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1BC04E48"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6772EE22"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SESIÓN ORDINARIA</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sidR="00B32AEA">
        <w:rPr>
          <w:rFonts w:ascii="Abadi" w:hAnsi="Abadi"/>
          <w:b/>
          <w:sz w:val="21"/>
          <w:szCs w:val="21"/>
        </w:rPr>
        <w:t>SEGUNDO</w:t>
      </w:r>
      <w:r>
        <w:rPr>
          <w:rFonts w:ascii="Abadi" w:hAnsi="Abadi"/>
          <w:b/>
          <w:sz w:val="21"/>
          <w:szCs w:val="21"/>
        </w:rPr>
        <w:t xml:space="preserve"> PERIODO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A DIPUTADA LAURA CRISTINA MÁRQUEZ ALCALÁ</w:t>
      </w:r>
      <w:r>
        <w:rPr>
          <w:rFonts w:ascii="Abadi" w:hAnsi="Abadi"/>
          <w:b/>
          <w:sz w:val="21"/>
          <w:szCs w:val="21"/>
        </w:rPr>
        <w:t xml:space="preserve">. </w:t>
      </w:r>
      <w:r w:rsidR="001A2C08">
        <w:rPr>
          <w:rFonts w:ascii="Abadi" w:hAnsi="Abadi"/>
          <w:b/>
          <w:sz w:val="21"/>
          <w:szCs w:val="21"/>
        </w:rPr>
        <w:t>22 DE JUNIO D</w:t>
      </w:r>
      <w:r>
        <w:rPr>
          <w:rFonts w:ascii="Abadi" w:hAnsi="Abadi"/>
          <w:b/>
          <w:sz w:val="21"/>
          <w:szCs w:val="21"/>
        </w:rPr>
        <w:t>E 202</w:t>
      </w:r>
      <w:r w:rsidR="001A2C08">
        <w:rPr>
          <w:rFonts w:ascii="Abadi" w:hAnsi="Abadi"/>
          <w:b/>
          <w:sz w:val="21"/>
          <w:szCs w:val="21"/>
        </w:rPr>
        <w:t>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4943F033"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Lectura y, en su caso, aprobación del orden del día.</w:t>
      </w:r>
    </w:p>
    <w:p w14:paraId="15B36E87" w14:textId="4D17D8B6" w:rsidR="00163CF2" w:rsidRDefault="00163CF2" w:rsidP="001A6CFD">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A6CFD">
        <w:rPr>
          <w:rFonts w:ascii="Abadi" w:hAnsi="Abadi" w:cs="ArialMT"/>
          <w:b/>
          <w:bCs/>
          <w:sz w:val="21"/>
          <w:szCs w:val="21"/>
        </w:rPr>
        <w:t xml:space="preserve"> 15</w:t>
      </w:r>
    </w:p>
    <w:p w14:paraId="22375B3C" w14:textId="77777777" w:rsidR="00163CF2" w:rsidRPr="00006796" w:rsidRDefault="00163CF2" w:rsidP="00B67903">
      <w:pPr>
        <w:autoSpaceDE w:val="0"/>
        <w:autoSpaceDN w:val="0"/>
        <w:adjustRightInd w:val="0"/>
        <w:jc w:val="both"/>
        <w:rPr>
          <w:rFonts w:ascii="Abadi" w:hAnsi="Abadi" w:cs="ArialMT"/>
          <w:b/>
          <w:bCs/>
          <w:sz w:val="21"/>
          <w:szCs w:val="21"/>
        </w:rPr>
      </w:pPr>
    </w:p>
    <w:p w14:paraId="3A4C8362"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Lectura y, en su caso, aprobación del acta de la sesión ordinaria celebrada el 15 de junio del año en curso.</w:t>
      </w:r>
    </w:p>
    <w:p w14:paraId="2F7FF1EE" w14:textId="0FBABBC2" w:rsidR="00163CF2" w:rsidRPr="00163CF2" w:rsidRDefault="00163CF2" w:rsidP="00163CF2">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A6CFD">
        <w:rPr>
          <w:rFonts w:ascii="Abadi" w:hAnsi="Abadi" w:cs="ArialMT"/>
          <w:b/>
          <w:bCs/>
          <w:sz w:val="21"/>
          <w:szCs w:val="21"/>
        </w:rPr>
        <w:t xml:space="preserve"> 20</w:t>
      </w:r>
    </w:p>
    <w:p w14:paraId="24591162" w14:textId="77777777" w:rsidR="00B67903" w:rsidRPr="00006796" w:rsidRDefault="00B67903" w:rsidP="00B67903">
      <w:pPr>
        <w:autoSpaceDE w:val="0"/>
        <w:autoSpaceDN w:val="0"/>
        <w:adjustRightInd w:val="0"/>
        <w:jc w:val="both"/>
        <w:rPr>
          <w:rFonts w:ascii="Abadi" w:hAnsi="Abadi" w:cs="ArialMT"/>
          <w:b/>
          <w:bCs/>
          <w:sz w:val="21"/>
          <w:szCs w:val="21"/>
        </w:rPr>
      </w:pPr>
    </w:p>
    <w:p w14:paraId="07FC9AB9"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Dar cuenta con las comunicaciones y correspondencia recibidas.</w:t>
      </w:r>
    </w:p>
    <w:p w14:paraId="00C84E94" w14:textId="77777777" w:rsidR="00B67903" w:rsidRDefault="00B67903" w:rsidP="00B67903">
      <w:pPr>
        <w:autoSpaceDE w:val="0"/>
        <w:autoSpaceDN w:val="0"/>
        <w:adjustRightInd w:val="0"/>
        <w:jc w:val="both"/>
        <w:rPr>
          <w:rFonts w:ascii="Abadi" w:hAnsi="Abadi" w:cs="ArialMT"/>
          <w:b/>
          <w:bCs/>
          <w:sz w:val="21"/>
          <w:szCs w:val="21"/>
        </w:rPr>
      </w:pPr>
    </w:p>
    <w:p w14:paraId="20A3A52E" w14:textId="6D6C5FDC" w:rsidR="00163CF2" w:rsidRDefault="00163CF2" w:rsidP="00B67903">
      <w:pPr>
        <w:autoSpaceDE w:val="0"/>
        <w:autoSpaceDN w:val="0"/>
        <w:adjustRightInd w:val="0"/>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A6CFD">
        <w:rPr>
          <w:rFonts w:ascii="Abadi" w:hAnsi="Abadi" w:cs="ArialMT"/>
          <w:b/>
          <w:bCs/>
          <w:sz w:val="21"/>
          <w:szCs w:val="21"/>
        </w:rPr>
        <w:t xml:space="preserve"> 27</w:t>
      </w:r>
    </w:p>
    <w:p w14:paraId="1586C797" w14:textId="77777777" w:rsidR="00163CF2" w:rsidRPr="00006796" w:rsidRDefault="00163CF2" w:rsidP="00B67903">
      <w:pPr>
        <w:autoSpaceDE w:val="0"/>
        <w:autoSpaceDN w:val="0"/>
        <w:adjustRightInd w:val="0"/>
        <w:jc w:val="both"/>
        <w:rPr>
          <w:rFonts w:ascii="Abadi" w:hAnsi="Abadi" w:cs="ArialMT"/>
          <w:b/>
          <w:bCs/>
          <w:sz w:val="21"/>
          <w:szCs w:val="21"/>
        </w:rPr>
      </w:pPr>
    </w:p>
    <w:p w14:paraId="1F7B2D0E"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 la iniciativa formulada por diputadas y diputados integrantes del Grupo </w:t>
      </w:r>
      <w:r w:rsidRPr="00006796">
        <w:rPr>
          <w:rFonts w:ascii="Abadi" w:hAnsi="Abadi" w:cs="ArialMT"/>
          <w:b/>
          <w:bCs/>
          <w:sz w:val="21"/>
          <w:szCs w:val="21"/>
        </w:rPr>
        <w:t>Parlamentario del Partido Acción Nacional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w:t>
      </w:r>
    </w:p>
    <w:p w14:paraId="09FD338F" w14:textId="77777777" w:rsidR="00163CF2" w:rsidRDefault="00163CF2" w:rsidP="00163CF2">
      <w:pPr>
        <w:pStyle w:val="Prrafodelista"/>
        <w:autoSpaceDE w:val="0"/>
        <w:autoSpaceDN w:val="0"/>
        <w:adjustRightInd w:val="0"/>
        <w:ind w:left="1287" w:right="709"/>
        <w:contextualSpacing/>
        <w:jc w:val="both"/>
        <w:rPr>
          <w:rFonts w:ascii="Abadi" w:hAnsi="Abadi" w:cs="ArialMT"/>
          <w:b/>
          <w:bCs/>
          <w:sz w:val="21"/>
          <w:szCs w:val="21"/>
        </w:rPr>
      </w:pPr>
    </w:p>
    <w:p w14:paraId="5EAAD541" w14:textId="59C0C24B" w:rsidR="00163CF2" w:rsidRDefault="00163CF2" w:rsidP="00174CBF">
      <w:pPr>
        <w:pStyle w:val="Prrafodelista"/>
        <w:autoSpaceDE w:val="0"/>
        <w:autoSpaceDN w:val="0"/>
        <w:adjustRightInd w:val="0"/>
        <w:ind w:left="1287"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74CBF">
        <w:rPr>
          <w:rFonts w:ascii="Abadi" w:hAnsi="Abadi" w:cs="ArialMT"/>
          <w:b/>
          <w:bCs/>
          <w:sz w:val="21"/>
          <w:szCs w:val="21"/>
        </w:rPr>
        <w:t xml:space="preserve"> 43</w:t>
      </w:r>
    </w:p>
    <w:p w14:paraId="19B5B10F" w14:textId="77777777" w:rsidR="00B053E1" w:rsidRDefault="00B053E1" w:rsidP="00B053E1">
      <w:pPr>
        <w:pStyle w:val="Prrafodelista"/>
        <w:autoSpaceDE w:val="0"/>
        <w:autoSpaceDN w:val="0"/>
        <w:adjustRightInd w:val="0"/>
        <w:ind w:left="1287" w:right="709"/>
        <w:contextualSpacing/>
        <w:jc w:val="both"/>
        <w:rPr>
          <w:rFonts w:ascii="Abadi" w:hAnsi="Abadi" w:cs="ArialMT"/>
          <w:b/>
          <w:bCs/>
          <w:sz w:val="21"/>
          <w:szCs w:val="21"/>
        </w:rPr>
      </w:pPr>
    </w:p>
    <w:p w14:paraId="451DBA85" w14:textId="77777777" w:rsidR="00163CF2" w:rsidRPr="0030088F" w:rsidRDefault="00163CF2" w:rsidP="00163CF2">
      <w:pPr>
        <w:ind w:left="1276" w:right="709"/>
        <w:jc w:val="both"/>
        <w:rPr>
          <w:rFonts w:ascii="Abadi" w:hAnsi="Abadi"/>
          <w:b/>
          <w:bCs/>
          <w:sz w:val="21"/>
          <w:szCs w:val="21"/>
        </w:rPr>
      </w:pPr>
      <w:r w:rsidRPr="0030088F">
        <w:rPr>
          <w:rFonts w:ascii="Abadi" w:hAnsi="Abadi"/>
          <w:b/>
          <w:bCs/>
          <w:sz w:val="21"/>
          <w:szCs w:val="21"/>
        </w:rPr>
        <w:t>(Sube a tribuna el diputado César Larrondo Díaz dar lectura a la exposición de motivos de la iniciativa en referencia)</w:t>
      </w:r>
    </w:p>
    <w:p w14:paraId="47C3FF16" w14:textId="77777777" w:rsidR="00163CF2" w:rsidRPr="00006796" w:rsidRDefault="00163CF2" w:rsidP="00B053E1">
      <w:pPr>
        <w:pStyle w:val="Prrafodelista"/>
        <w:autoSpaceDE w:val="0"/>
        <w:autoSpaceDN w:val="0"/>
        <w:adjustRightInd w:val="0"/>
        <w:ind w:left="1287" w:right="709"/>
        <w:contextualSpacing/>
        <w:jc w:val="both"/>
        <w:rPr>
          <w:rFonts w:ascii="Abadi" w:hAnsi="Abadi" w:cs="ArialMT"/>
          <w:b/>
          <w:bCs/>
          <w:sz w:val="21"/>
          <w:szCs w:val="21"/>
        </w:rPr>
      </w:pPr>
    </w:p>
    <w:p w14:paraId="537C28C9" w14:textId="6F99392D" w:rsidR="00B67903" w:rsidRDefault="00163CF2" w:rsidP="00174CBF">
      <w:pPr>
        <w:autoSpaceDE w:val="0"/>
        <w:autoSpaceDN w:val="0"/>
        <w:adjustRightInd w:val="0"/>
        <w:ind w:right="-284"/>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74CBF">
        <w:rPr>
          <w:rFonts w:ascii="Abadi" w:hAnsi="Abadi" w:cs="ArialMT"/>
          <w:b/>
          <w:bCs/>
          <w:sz w:val="21"/>
          <w:szCs w:val="21"/>
        </w:rPr>
        <w:t xml:space="preserve"> 47</w:t>
      </w:r>
    </w:p>
    <w:p w14:paraId="162EC168" w14:textId="77777777" w:rsidR="00163CF2" w:rsidRPr="00006796" w:rsidRDefault="00163CF2" w:rsidP="00B67903">
      <w:pPr>
        <w:autoSpaceDE w:val="0"/>
        <w:autoSpaceDN w:val="0"/>
        <w:adjustRightInd w:val="0"/>
        <w:jc w:val="both"/>
        <w:rPr>
          <w:rFonts w:ascii="Abadi" w:hAnsi="Abadi" w:cs="ArialMT"/>
          <w:b/>
          <w:bCs/>
          <w:sz w:val="21"/>
          <w:szCs w:val="21"/>
        </w:rPr>
      </w:pPr>
    </w:p>
    <w:p w14:paraId="5D357CEC"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 la iniciativa suscrita por diputada y diputados integrantes del Grupo Parlamentario del Partido Revolucionario Institucional a efecto de reformar y adicionar diversos artículos de la </w:t>
      </w:r>
      <w:r w:rsidRPr="00006796">
        <w:rPr>
          <w:rFonts w:ascii="Abadi" w:hAnsi="Abadi" w:cs="ArialMT"/>
          <w:b/>
          <w:bCs/>
          <w:sz w:val="21"/>
          <w:szCs w:val="21"/>
        </w:rPr>
        <w:lastRenderedPageBreak/>
        <w:t>Ley de Cultura Física y Deporte del Estado de Guanajuato.</w:t>
      </w:r>
    </w:p>
    <w:p w14:paraId="08F71512" w14:textId="77777777" w:rsidR="00A92642" w:rsidRDefault="00A92642" w:rsidP="00A92642">
      <w:pPr>
        <w:pStyle w:val="Prrafodelista"/>
        <w:autoSpaceDE w:val="0"/>
        <w:autoSpaceDN w:val="0"/>
        <w:adjustRightInd w:val="0"/>
        <w:ind w:left="1287" w:right="709"/>
        <w:contextualSpacing/>
        <w:jc w:val="both"/>
        <w:rPr>
          <w:rFonts w:ascii="Abadi" w:hAnsi="Abadi" w:cs="ArialMT"/>
          <w:b/>
          <w:bCs/>
          <w:sz w:val="21"/>
          <w:szCs w:val="21"/>
        </w:rPr>
      </w:pPr>
    </w:p>
    <w:p w14:paraId="59458448" w14:textId="05ED4EDD" w:rsidR="00A92642" w:rsidRDefault="00A92642" w:rsidP="000362B4">
      <w:pPr>
        <w:pStyle w:val="Prrafodelista"/>
        <w:autoSpaceDE w:val="0"/>
        <w:autoSpaceDN w:val="0"/>
        <w:adjustRightInd w:val="0"/>
        <w:ind w:left="1287"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AD20A1">
        <w:rPr>
          <w:rFonts w:ascii="Abadi" w:hAnsi="Abadi" w:cs="ArialMT"/>
          <w:b/>
          <w:bCs/>
          <w:sz w:val="21"/>
          <w:szCs w:val="21"/>
        </w:rPr>
        <w:tab/>
      </w:r>
      <w:r w:rsidR="00AD20A1">
        <w:rPr>
          <w:rFonts w:ascii="Abadi" w:hAnsi="Abadi" w:cs="ArialMT"/>
          <w:b/>
          <w:bCs/>
          <w:sz w:val="21"/>
          <w:szCs w:val="21"/>
        </w:rPr>
        <w:tab/>
      </w:r>
      <w:r>
        <w:rPr>
          <w:rFonts w:ascii="Abadi" w:hAnsi="Abadi" w:cs="ArialMT"/>
          <w:b/>
          <w:bCs/>
          <w:sz w:val="21"/>
          <w:szCs w:val="21"/>
        </w:rPr>
        <w:t xml:space="preserve">Pág. </w:t>
      </w:r>
      <w:r w:rsidR="000362B4">
        <w:rPr>
          <w:rFonts w:ascii="Abadi" w:hAnsi="Abadi" w:cs="ArialMT"/>
          <w:b/>
          <w:bCs/>
          <w:sz w:val="21"/>
          <w:szCs w:val="21"/>
        </w:rPr>
        <w:t>50</w:t>
      </w:r>
    </w:p>
    <w:p w14:paraId="4695BD87" w14:textId="77777777" w:rsidR="00A92642" w:rsidRDefault="00A92642" w:rsidP="00A92642">
      <w:pPr>
        <w:pStyle w:val="Prrafodelista"/>
        <w:autoSpaceDE w:val="0"/>
        <w:autoSpaceDN w:val="0"/>
        <w:adjustRightInd w:val="0"/>
        <w:ind w:left="1287" w:right="709"/>
        <w:contextualSpacing/>
        <w:jc w:val="both"/>
        <w:rPr>
          <w:rFonts w:ascii="Abadi" w:hAnsi="Abadi" w:cs="ArialMT"/>
          <w:b/>
          <w:bCs/>
          <w:sz w:val="21"/>
          <w:szCs w:val="21"/>
        </w:rPr>
      </w:pPr>
    </w:p>
    <w:p w14:paraId="5BD09625" w14:textId="77777777" w:rsidR="00A92642" w:rsidRPr="00A92642" w:rsidRDefault="00A92642" w:rsidP="00A92642">
      <w:pPr>
        <w:pStyle w:val="Prrafodelista"/>
        <w:ind w:left="1287" w:right="709"/>
        <w:jc w:val="both"/>
        <w:rPr>
          <w:rFonts w:ascii="Abadi" w:hAnsi="Abadi"/>
          <w:b/>
          <w:bCs/>
          <w:sz w:val="21"/>
          <w:szCs w:val="21"/>
        </w:rPr>
      </w:pPr>
      <w:r w:rsidRPr="00A92642">
        <w:rPr>
          <w:rFonts w:ascii="Abadi" w:hAnsi="Abadi"/>
          <w:b/>
          <w:bCs/>
          <w:sz w:val="21"/>
          <w:szCs w:val="21"/>
        </w:rPr>
        <w:t>(Sube a tribuna el diputado Gustavo Adolfo Alfaro Reyes, para dar lectura a la exposición de motivos de la iniciativa en referencia)</w:t>
      </w:r>
    </w:p>
    <w:p w14:paraId="52C92A2D" w14:textId="77777777" w:rsidR="00A92642" w:rsidRDefault="00A92642" w:rsidP="00A92642">
      <w:pPr>
        <w:autoSpaceDE w:val="0"/>
        <w:autoSpaceDN w:val="0"/>
        <w:adjustRightInd w:val="0"/>
        <w:ind w:right="709"/>
        <w:contextualSpacing/>
        <w:jc w:val="both"/>
        <w:rPr>
          <w:rFonts w:ascii="Abadi" w:hAnsi="Abadi" w:cs="ArialMT"/>
          <w:b/>
          <w:bCs/>
          <w:sz w:val="21"/>
          <w:szCs w:val="21"/>
        </w:rPr>
      </w:pPr>
    </w:p>
    <w:p w14:paraId="3FB4C7D3" w14:textId="25248ACB" w:rsidR="00AD20A1" w:rsidRDefault="00AD20A1" w:rsidP="000362B4">
      <w:pPr>
        <w:pStyle w:val="Prrafodelista"/>
        <w:autoSpaceDE w:val="0"/>
        <w:autoSpaceDN w:val="0"/>
        <w:adjustRightInd w:val="0"/>
        <w:ind w:left="1287"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0362B4">
        <w:rPr>
          <w:rFonts w:ascii="Abadi" w:hAnsi="Abadi" w:cs="ArialMT"/>
          <w:b/>
          <w:bCs/>
          <w:sz w:val="21"/>
          <w:szCs w:val="21"/>
        </w:rPr>
        <w:t>107</w:t>
      </w:r>
    </w:p>
    <w:p w14:paraId="4E2D6CD3" w14:textId="77777777" w:rsidR="00AD20A1" w:rsidRPr="00A92642" w:rsidRDefault="00AD20A1" w:rsidP="00A92642">
      <w:pPr>
        <w:autoSpaceDE w:val="0"/>
        <w:autoSpaceDN w:val="0"/>
        <w:adjustRightInd w:val="0"/>
        <w:ind w:right="709"/>
        <w:contextualSpacing/>
        <w:jc w:val="both"/>
        <w:rPr>
          <w:rFonts w:ascii="Abadi" w:hAnsi="Abadi" w:cs="ArialMT"/>
          <w:b/>
          <w:bCs/>
          <w:sz w:val="21"/>
          <w:szCs w:val="21"/>
        </w:rPr>
      </w:pPr>
    </w:p>
    <w:p w14:paraId="06F00199" w14:textId="3C672945" w:rsidR="00AD20A1" w:rsidRDefault="00AD20A1" w:rsidP="00AD20A1">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57ADDE48"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iniciativa signada por la diputada Martha Edith Moreno Valencia, integrante del Grupo Parlamentario del Partido MORENA a fin de reformar el artículo 53 y adicionar una fracción XXXIV al artículo 18 y una fracción IX al artículo 48 de la Ley de Cultura Física y Deporte del Estado de Guanajuato.</w:t>
      </w:r>
    </w:p>
    <w:p w14:paraId="1233761A" w14:textId="77777777" w:rsidR="00830DA6" w:rsidRDefault="00830DA6" w:rsidP="00830DA6">
      <w:pPr>
        <w:pStyle w:val="Prrafodelista"/>
        <w:autoSpaceDE w:val="0"/>
        <w:autoSpaceDN w:val="0"/>
        <w:adjustRightInd w:val="0"/>
        <w:ind w:left="1287" w:right="709"/>
        <w:contextualSpacing/>
        <w:jc w:val="both"/>
        <w:rPr>
          <w:rFonts w:ascii="Abadi" w:hAnsi="Abadi" w:cs="ArialMT"/>
          <w:b/>
          <w:bCs/>
          <w:sz w:val="21"/>
          <w:szCs w:val="21"/>
        </w:rPr>
      </w:pPr>
    </w:p>
    <w:p w14:paraId="40FB871F" w14:textId="05B3F440" w:rsidR="00830DA6" w:rsidRDefault="00830DA6" w:rsidP="000362B4">
      <w:pPr>
        <w:pStyle w:val="Prrafodelista"/>
        <w:autoSpaceDE w:val="0"/>
        <w:autoSpaceDN w:val="0"/>
        <w:adjustRightInd w:val="0"/>
        <w:ind w:left="1287"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0362B4">
        <w:rPr>
          <w:rFonts w:ascii="Abadi" w:hAnsi="Abadi" w:cs="ArialMT"/>
          <w:b/>
          <w:bCs/>
          <w:sz w:val="21"/>
          <w:szCs w:val="21"/>
        </w:rPr>
        <w:t>110</w:t>
      </w:r>
    </w:p>
    <w:p w14:paraId="55039552" w14:textId="77777777" w:rsidR="00830DA6" w:rsidRDefault="00830DA6" w:rsidP="00830DA6">
      <w:pPr>
        <w:pStyle w:val="Prrafodelista"/>
        <w:ind w:left="1287" w:right="709"/>
        <w:jc w:val="both"/>
        <w:rPr>
          <w:rFonts w:ascii="Abadi" w:hAnsi="Abadi"/>
          <w:b/>
          <w:bCs/>
          <w:sz w:val="21"/>
          <w:szCs w:val="21"/>
        </w:rPr>
      </w:pPr>
    </w:p>
    <w:p w14:paraId="2EBA6FFD" w14:textId="11431183" w:rsidR="00830DA6" w:rsidRPr="00830DA6" w:rsidRDefault="00830DA6" w:rsidP="00830DA6">
      <w:pPr>
        <w:pStyle w:val="Prrafodelista"/>
        <w:ind w:left="1287" w:right="709"/>
        <w:jc w:val="both"/>
        <w:rPr>
          <w:rFonts w:ascii="Abadi" w:hAnsi="Abadi"/>
          <w:b/>
          <w:bCs/>
          <w:sz w:val="21"/>
          <w:szCs w:val="21"/>
        </w:rPr>
      </w:pPr>
      <w:r w:rsidRPr="00830DA6">
        <w:rPr>
          <w:rFonts w:ascii="Abadi" w:hAnsi="Abadi"/>
          <w:b/>
          <w:bCs/>
          <w:sz w:val="21"/>
          <w:szCs w:val="21"/>
        </w:rPr>
        <w:t>(Sube a tribuna la diputada Martha Edith Moreno Valencia, dar lectura a la exposición de motivos de su iniciativa en referencia)</w:t>
      </w:r>
    </w:p>
    <w:p w14:paraId="019A92D9" w14:textId="77777777" w:rsidR="005B4988" w:rsidRDefault="00830DA6" w:rsidP="00830DA6">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B9E8B68" w14:textId="63ADFF35" w:rsidR="00830DA6" w:rsidRDefault="005B4988" w:rsidP="000362B4">
      <w:pPr>
        <w:pStyle w:val="Prrafodelista"/>
        <w:autoSpaceDE w:val="0"/>
        <w:autoSpaceDN w:val="0"/>
        <w:adjustRightInd w:val="0"/>
        <w:ind w:left="1287"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30DA6">
        <w:rPr>
          <w:rFonts w:ascii="Abadi" w:hAnsi="Abadi" w:cs="ArialMT"/>
          <w:b/>
          <w:bCs/>
          <w:sz w:val="21"/>
          <w:szCs w:val="21"/>
        </w:rPr>
        <w:t xml:space="preserve">Pág. </w:t>
      </w:r>
      <w:r w:rsidR="000362B4">
        <w:rPr>
          <w:rFonts w:ascii="Abadi" w:hAnsi="Abadi" w:cs="ArialMT"/>
          <w:b/>
          <w:bCs/>
          <w:sz w:val="21"/>
          <w:szCs w:val="21"/>
        </w:rPr>
        <w:t>113</w:t>
      </w:r>
    </w:p>
    <w:p w14:paraId="7B889620" w14:textId="77777777" w:rsidR="00830DA6" w:rsidRPr="00830DA6" w:rsidRDefault="00830DA6" w:rsidP="00830DA6">
      <w:pPr>
        <w:autoSpaceDE w:val="0"/>
        <w:autoSpaceDN w:val="0"/>
        <w:adjustRightInd w:val="0"/>
        <w:ind w:right="709"/>
        <w:contextualSpacing/>
        <w:jc w:val="both"/>
        <w:rPr>
          <w:rFonts w:ascii="Abadi" w:hAnsi="Abadi" w:cs="ArialMT"/>
          <w:b/>
          <w:bCs/>
          <w:sz w:val="21"/>
          <w:szCs w:val="21"/>
        </w:rPr>
      </w:pPr>
    </w:p>
    <w:p w14:paraId="44356232"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4184394D" w14:textId="5ECC492B" w:rsidR="00D37BDA" w:rsidRDefault="00B67903" w:rsidP="00D37BDA">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 la iniciativa suscrita por las diputadas Dessire </w:t>
      </w:r>
      <w:proofErr w:type="spellStart"/>
      <w:r w:rsidRPr="00006796">
        <w:rPr>
          <w:rFonts w:ascii="Abadi" w:hAnsi="Abadi" w:cs="ArialMT"/>
          <w:b/>
          <w:bCs/>
          <w:sz w:val="21"/>
          <w:szCs w:val="21"/>
        </w:rPr>
        <w:t>Angel</w:t>
      </w:r>
      <w:proofErr w:type="spellEnd"/>
      <w:r w:rsidRPr="00006796">
        <w:rPr>
          <w:rFonts w:ascii="Abadi" w:hAnsi="Abadi" w:cs="ArialMT"/>
          <w:b/>
          <w:bCs/>
          <w:sz w:val="21"/>
          <w:szCs w:val="21"/>
        </w:rPr>
        <w:t xml:space="preserve"> Rocha, Yulma Rocha Aguilar y Martha Lourdes Ortega Roque a efecto de reformar y adicionar diversos artículos de la Ley de Movilidad del Estado </w:t>
      </w:r>
      <w:r w:rsidRPr="00006796">
        <w:rPr>
          <w:rFonts w:ascii="Abadi" w:hAnsi="Abadi" w:cs="ArialMT"/>
          <w:b/>
          <w:bCs/>
          <w:sz w:val="21"/>
          <w:szCs w:val="21"/>
        </w:rPr>
        <w:t>de Guanajuato y sus Municipios.</w:t>
      </w:r>
    </w:p>
    <w:p w14:paraId="0A7DD7A4" w14:textId="77777777" w:rsidR="00D37BDA" w:rsidRDefault="00D37BDA" w:rsidP="00D37BDA">
      <w:pPr>
        <w:pStyle w:val="Prrafodelista"/>
        <w:autoSpaceDE w:val="0"/>
        <w:autoSpaceDN w:val="0"/>
        <w:adjustRightInd w:val="0"/>
        <w:ind w:left="1287" w:right="709"/>
        <w:contextualSpacing/>
        <w:jc w:val="both"/>
        <w:rPr>
          <w:rFonts w:ascii="Abadi" w:hAnsi="Abadi" w:cs="ArialMT"/>
          <w:b/>
          <w:bCs/>
          <w:sz w:val="21"/>
          <w:szCs w:val="21"/>
        </w:rPr>
      </w:pPr>
    </w:p>
    <w:p w14:paraId="3C89CBF4" w14:textId="5436157E" w:rsidR="00D37BDA" w:rsidRDefault="00D37BDA" w:rsidP="00D37BDA">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0362B4">
        <w:rPr>
          <w:rFonts w:ascii="Abadi" w:hAnsi="Abadi" w:cs="ArialMT"/>
          <w:b/>
          <w:bCs/>
          <w:sz w:val="21"/>
          <w:szCs w:val="21"/>
        </w:rPr>
        <w:t>114</w:t>
      </w:r>
    </w:p>
    <w:p w14:paraId="544D823A" w14:textId="77777777" w:rsidR="00D37BDA" w:rsidRPr="00D37BDA" w:rsidRDefault="00D37BDA" w:rsidP="00D37BDA">
      <w:pPr>
        <w:pStyle w:val="Prrafodelista"/>
        <w:autoSpaceDE w:val="0"/>
        <w:autoSpaceDN w:val="0"/>
        <w:adjustRightInd w:val="0"/>
        <w:ind w:left="1287" w:right="709"/>
        <w:contextualSpacing/>
        <w:jc w:val="both"/>
        <w:rPr>
          <w:rFonts w:ascii="Abadi" w:hAnsi="Abadi" w:cs="ArialMT"/>
          <w:b/>
          <w:bCs/>
          <w:sz w:val="21"/>
          <w:szCs w:val="21"/>
        </w:rPr>
      </w:pPr>
    </w:p>
    <w:p w14:paraId="3F302D16" w14:textId="77777777" w:rsidR="00D37BDA" w:rsidRPr="00D37BDA" w:rsidRDefault="00D37BDA" w:rsidP="00D37BDA">
      <w:pPr>
        <w:pStyle w:val="Prrafodelista"/>
        <w:ind w:left="1287" w:right="709"/>
        <w:jc w:val="both"/>
        <w:rPr>
          <w:rFonts w:ascii="Abadi" w:hAnsi="Abadi"/>
          <w:b/>
          <w:bCs/>
          <w:sz w:val="21"/>
          <w:szCs w:val="21"/>
        </w:rPr>
      </w:pPr>
      <w:r w:rsidRPr="00D37BDA">
        <w:rPr>
          <w:rFonts w:ascii="Abadi" w:hAnsi="Abadi"/>
          <w:b/>
          <w:bCs/>
          <w:sz w:val="21"/>
          <w:szCs w:val="21"/>
        </w:rPr>
        <w:t xml:space="preserve">(Sube a tribuna la diputada Dessire </w:t>
      </w:r>
      <w:proofErr w:type="spellStart"/>
      <w:r w:rsidRPr="00D37BDA">
        <w:rPr>
          <w:rFonts w:ascii="Abadi" w:hAnsi="Abadi"/>
          <w:b/>
          <w:bCs/>
          <w:sz w:val="21"/>
          <w:szCs w:val="21"/>
        </w:rPr>
        <w:t>Angel</w:t>
      </w:r>
      <w:proofErr w:type="spellEnd"/>
      <w:r w:rsidRPr="00D37BDA">
        <w:rPr>
          <w:rFonts w:ascii="Abadi" w:hAnsi="Abadi"/>
          <w:b/>
          <w:bCs/>
          <w:sz w:val="21"/>
          <w:szCs w:val="21"/>
        </w:rPr>
        <w:t xml:space="preserve"> Rocha para dar lectura a la exposición de motivos de la iniciativa en referencia)</w:t>
      </w:r>
    </w:p>
    <w:p w14:paraId="51A71674" w14:textId="4856F863" w:rsidR="005B4988" w:rsidRPr="00006796" w:rsidRDefault="00D37BDA" w:rsidP="000362B4">
      <w:pPr>
        <w:pStyle w:val="Prrafodelista"/>
        <w:autoSpaceDE w:val="0"/>
        <w:autoSpaceDN w:val="0"/>
        <w:adjustRightInd w:val="0"/>
        <w:ind w:left="1287" w:right="-284"/>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43261E">
        <w:rPr>
          <w:rFonts w:ascii="Abadi" w:hAnsi="Abadi" w:cs="ArialMT"/>
          <w:b/>
          <w:bCs/>
          <w:sz w:val="21"/>
          <w:szCs w:val="21"/>
        </w:rPr>
        <w:tab/>
      </w:r>
      <w:r w:rsidR="000362B4">
        <w:rPr>
          <w:rFonts w:ascii="Abadi" w:hAnsi="Abadi" w:cs="ArialMT"/>
          <w:b/>
          <w:bCs/>
          <w:sz w:val="21"/>
          <w:szCs w:val="21"/>
        </w:rPr>
        <w:tab/>
      </w:r>
      <w:r>
        <w:rPr>
          <w:rFonts w:ascii="Abadi" w:hAnsi="Abadi" w:cs="ArialMT"/>
          <w:b/>
          <w:bCs/>
          <w:sz w:val="21"/>
          <w:szCs w:val="21"/>
        </w:rPr>
        <w:t>Pág.</w:t>
      </w:r>
      <w:r w:rsidR="000362B4">
        <w:rPr>
          <w:rFonts w:ascii="Abadi" w:hAnsi="Abadi" w:cs="ArialMT"/>
          <w:b/>
          <w:bCs/>
          <w:sz w:val="21"/>
          <w:szCs w:val="21"/>
        </w:rPr>
        <w:t xml:space="preserve"> 125</w:t>
      </w:r>
    </w:p>
    <w:p w14:paraId="0E6583C7" w14:textId="77777777" w:rsidR="00B67903" w:rsidRPr="00006796" w:rsidRDefault="00B67903" w:rsidP="005170ED">
      <w:pPr>
        <w:ind w:right="709"/>
        <w:jc w:val="both"/>
        <w:rPr>
          <w:rFonts w:ascii="Abadi" w:hAnsi="Abadi" w:cs="ArialMT"/>
          <w:b/>
          <w:bCs/>
          <w:sz w:val="21"/>
          <w:szCs w:val="21"/>
        </w:rPr>
      </w:pPr>
    </w:p>
    <w:p w14:paraId="677D1712"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iniciativa formulada por el diputado Ernesto Alejandro Prieto Gallardo integrante del Grupo Parlamentario del Partido MORENA por la que se reforman los artículos 154 y 154-a y se adicionan la fracción XXV al artículo 11 y la fracción VIII al artículo 153 del Código Penal del Estado de Guanajuato.</w:t>
      </w:r>
    </w:p>
    <w:p w14:paraId="7206C7EF" w14:textId="77777777" w:rsidR="009E6428" w:rsidRDefault="009E6428" w:rsidP="009E6428">
      <w:pPr>
        <w:autoSpaceDE w:val="0"/>
        <w:autoSpaceDN w:val="0"/>
        <w:adjustRightInd w:val="0"/>
        <w:ind w:right="709"/>
        <w:contextualSpacing/>
        <w:jc w:val="both"/>
        <w:rPr>
          <w:rFonts w:ascii="Abadi" w:hAnsi="Abadi" w:cs="ArialMT"/>
          <w:b/>
          <w:bCs/>
          <w:sz w:val="21"/>
          <w:szCs w:val="21"/>
        </w:rPr>
      </w:pPr>
    </w:p>
    <w:p w14:paraId="7437CE33" w14:textId="62BAFA3A" w:rsidR="00763599" w:rsidRPr="00006796" w:rsidRDefault="00763599" w:rsidP="00811C01">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11C01">
        <w:rPr>
          <w:rFonts w:ascii="Abadi" w:hAnsi="Abadi" w:cs="ArialMT"/>
          <w:b/>
          <w:bCs/>
          <w:sz w:val="21"/>
          <w:szCs w:val="21"/>
        </w:rPr>
        <w:t xml:space="preserve"> 128</w:t>
      </w:r>
    </w:p>
    <w:p w14:paraId="6E209D1A" w14:textId="77777777" w:rsidR="00763599" w:rsidRDefault="00763599" w:rsidP="009E6428">
      <w:pPr>
        <w:autoSpaceDE w:val="0"/>
        <w:autoSpaceDN w:val="0"/>
        <w:adjustRightInd w:val="0"/>
        <w:ind w:right="709"/>
        <w:contextualSpacing/>
        <w:jc w:val="both"/>
        <w:rPr>
          <w:rFonts w:ascii="Abadi" w:hAnsi="Abadi" w:cs="ArialMT"/>
          <w:b/>
          <w:bCs/>
          <w:sz w:val="21"/>
          <w:szCs w:val="21"/>
        </w:rPr>
      </w:pPr>
    </w:p>
    <w:p w14:paraId="422800AD" w14:textId="77777777" w:rsidR="009E6428" w:rsidRPr="0030088F" w:rsidRDefault="009E6428" w:rsidP="00763599">
      <w:pPr>
        <w:ind w:left="1276" w:right="709"/>
        <w:jc w:val="both"/>
        <w:rPr>
          <w:rFonts w:ascii="Abadi" w:hAnsi="Abadi"/>
          <w:b/>
          <w:bCs/>
          <w:sz w:val="21"/>
          <w:szCs w:val="21"/>
        </w:rPr>
      </w:pPr>
      <w:r w:rsidRPr="0030088F">
        <w:rPr>
          <w:rFonts w:ascii="Abadi" w:hAnsi="Abadi"/>
          <w:b/>
          <w:bCs/>
          <w:sz w:val="21"/>
          <w:szCs w:val="21"/>
        </w:rPr>
        <w:t>(Sube a tribuna el diputado Alejandro Ernesto Alejandro Prieto Gallardo dar lectura a la exposición de motivos de su iniciativa en referencia)</w:t>
      </w:r>
    </w:p>
    <w:p w14:paraId="4705BCC7" w14:textId="77777777" w:rsidR="009E6428" w:rsidRPr="009E6428" w:rsidRDefault="009E6428" w:rsidP="009E6428">
      <w:pPr>
        <w:autoSpaceDE w:val="0"/>
        <w:autoSpaceDN w:val="0"/>
        <w:adjustRightInd w:val="0"/>
        <w:ind w:right="709"/>
        <w:contextualSpacing/>
        <w:jc w:val="both"/>
        <w:rPr>
          <w:rFonts w:ascii="Abadi" w:hAnsi="Abadi" w:cs="ArialMT"/>
          <w:b/>
          <w:bCs/>
          <w:sz w:val="21"/>
          <w:szCs w:val="21"/>
        </w:rPr>
      </w:pPr>
    </w:p>
    <w:p w14:paraId="7ED0A122" w14:textId="45BD2BDE" w:rsidR="00763599" w:rsidRPr="00006796" w:rsidRDefault="00763599" w:rsidP="00313BF8">
      <w:pPr>
        <w:pStyle w:val="Prrafodelista"/>
        <w:autoSpaceDE w:val="0"/>
        <w:autoSpaceDN w:val="0"/>
        <w:adjustRightInd w:val="0"/>
        <w:ind w:left="1287"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313BF8">
        <w:rPr>
          <w:rFonts w:ascii="Abadi" w:hAnsi="Abadi" w:cs="ArialMT"/>
          <w:b/>
          <w:bCs/>
          <w:sz w:val="21"/>
          <w:szCs w:val="21"/>
        </w:rPr>
        <w:t xml:space="preserve"> 135</w:t>
      </w:r>
    </w:p>
    <w:p w14:paraId="554C8D9C" w14:textId="77777777" w:rsidR="005B4988" w:rsidRPr="00006796" w:rsidRDefault="005B4988" w:rsidP="005B4988">
      <w:pPr>
        <w:pStyle w:val="Prrafodelista"/>
        <w:autoSpaceDE w:val="0"/>
        <w:autoSpaceDN w:val="0"/>
        <w:adjustRightInd w:val="0"/>
        <w:ind w:left="1287" w:right="709"/>
        <w:contextualSpacing/>
        <w:jc w:val="both"/>
        <w:rPr>
          <w:rFonts w:ascii="Abadi" w:hAnsi="Abadi" w:cs="ArialMT"/>
          <w:b/>
          <w:bCs/>
          <w:sz w:val="21"/>
          <w:szCs w:val="21"/>
        </w:rPr>
      </w:pPr>
    </w:p>
    <w:p w14:paraId="44EB0D11"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086124DD"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del informe de resultados formulado por la Auditoría Superior del Estado de Guanajuato relativo a la auditoría específica con enfoque de cumplimiento financiero practicada a la Junta Municipal de Agua Potable y Alcantarillado de </w:t>
      </w:r>
      <w:r w:rsidRPr="00006796">
        <w:rPr>
          <w:rFonts w:ascii="Abadi" w:hAnsi="Abadi" w:cs="ArialMT"/>
          <w:b/>
          <w:bCs/>
          <w:sz w:val="21"/>
          <w:szCs w:val="21"/>
        </w:rPr>
        <w:lastRenderedPageBreak/>
        <w:t xml:space="preserve">Celaya,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por el ejercicio fiscal del año 2021.</w:t>
      </w:r>
    </w:p>
    <w:p w14:paraId="32454E14" w14:textId="77777777" w:rsidR="009772BA" w:rsidRDefault="009772BA" w:rsidP="009772BA">
      <w:pPr>
        <w:pStyle w:val="Prrafodelista"/>
        <w:autoSpaceDE w:val="0"/>
        <w:autoSpaceDN w:val="0"/>
        <w:adjustRightInd w:val="0"/>
        <w:ind w:left="1287"/>
        <w:contextualSpacing/>
        <w:jc w:val="both"/>
        <w:rPr>
          <w:rFonts w:ascii="Abadi" w:hAnsi="Abadi" w:cs="ArialMT"/>
          <w:b/>
          <w:bCs/>
          <w:sz w:val="21"/>
          <w:szCs w:val="21"/>
        </w:rPr>
      </w:pPr>
    </w:p>
    <w:p w14:paraId="563400DE" w14:textId="0B2B3A15" w:rsidR="009772BA" w:rsidRDefault="009772BA" w:rsidP="00313BF8">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313BF8">
        <w:rPr>
          <w:rFonts w:ascii="Abadi" w:hAnsi="Abadi" w:cs="ArialMT"/>
          <w:b/>
          <w:bCs/>
          <w:sz w:val="21"/>
          <w:szCs w:val="21"/>
        </w:rPr>
        <w:t>139</w:t>
      </w:r>
    </w:p>
    <w:p w14:paraId="11CFE40A" w14:textId="77777777" w:rsidR="00B67903" w:rsidRDefault="00B67903" w:rsidP="00B67903">
      <w:pPr>
        <w:autoSpaceDE w:val="0"/>
        <w:autoSpaceDN w:val="0"/>
        <w:adjustRightInd w:val="0"/>
        <w:jc w:val="both"/>
        <w:rPr>
          <w:rFonts w:ascii="Abadi" w:hAnsi="Abadi" w:cs="ArialMT"/>
          <w:b/>
          <w:bCs/>
          <w:sz w:val="21"/>
          <w:szCs w:val="21"/>
        </w:rPr>
      </w:pPr>
    </w:p>
    <w:p w14:paraId="0B0A5862" w14:textId="77777777" w:rsidR="005B4988" w:rsidRPr="00006796" w:rsidRDefault="005B4988" w:rsidP="00B67903">
      <w:pPr>
        <w:autoSpaceDE w:val="0"/>
        <w:autoSpaceDN w:val="0"/>
        <w:adjustRightInd w:val="0"/>
        <w:jc w:val="both"/>
        <w:rPr>
          <w:rFonts w:ascii="Abadi" w:hAnsi="Abadi" w:cs="ArialMT"/>
          <w:b/>
          <w:bCs/>
          <w:sz w:val="21"/>
          <w:szCs w:val="21"/>
        </w:rPr>
      </w:pPr>
    </w:p>
    <w:p w14:paraId="6F6C1E7C"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suscrita por diputada y diputados integrantes del Grupo Parlamentario del Partido MORENA, a efecto de exhortar al Gobernador del Estado.</w:t>
      </w:r>
    </w:p>
    <w:p w14:paraId="72D4183C" w14:textId="77777777" w:rsidR="009772BA" w:rsidRDefault="009772BA" w:rsidP="009772BA">
      <w:pPr>
        <w:pStyle w:val="Prrafodelista"/>
        <w:autoSpaceDE w:val="0"/>
        <w:autoSpaceDN w:val="0"/>
        <w:adjustRightInd w:val="0"/>
        <w:ind w:left="1287"/>
        <w:contextualSpacing/>
        <w:jc w:val="both"/>
        <w:rPr>
          <w:rFonts w:ascii="Abadi" w:hAnsi="Abadi" w:cs="ArialMT"/>
          <w:b/>
          <w:bCs/>
          <w:sz w:val="21"/>
          <w:szCs w:val="21"/>
        </w:rPr>
      </w:pPr>
    </w:p>
    <w:p w14:paraId="6894A4F9" w14:textId="0B051A59" w:rsidR="009772BA" w:rsidRDefault="009772BA" w:rsidP="009772BA">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D653F0">
        <w:rPr>
          <w:rFonts w:ascii="Abadi" w:hAnsi="Abadi" w:cs="ArialMT"/>
          <w:b/>
          <w:bCs/>
          <w:sz w:val="21"/>
          <w:szCs w:val="21"/>
        </w:rPr>
        <w:t>140</w:t>
      </w:r>
    </w:p>
    <w:p w14:paraId="39A2E90E" w14:textId="77777777" w:rsidR="0021402F" w:rsidRPr="0021402F" w:rsidRDefault="0021402F" w:rsidP="0021402F">
      <w:pPr>
        <w:autoSpaceDE w:val="0"/>
        <w:autoSpaceDN w:val="0"/>
        <w:adjustRightInd w:val="0"/>
        <w:ind w:right="709"/>
        <w:contextualSpacing/>
        <w:jc w:val="both"/>
        <w:rPr>
          <w:rFonts w:ascii="Abadi" w:hAnsi="Abadi" w:cs="ArialMT"/>
          <w:b/>
          <w:bCs/>
          <w:sz w:val="21"/>
          <w:szCs w:val="21"/>
        </w:rPr>
      </w:pPr>
    </w:p>
    <w:p w14:paraId="21DA667F" w14:textId="77777777" w:rsidR="00B67903" w:rsidRDefault="00B67903" w:rsidP="005170ED">
      <w:pPr>
        <w:autoSpaceDE w:val="0"/>
        <w:autoSpaceDN w:val="0"/>
        <w:adjustRightInd w:val="0"/>
        <w:ind w:right="709"/>
        <w:jc w:val="both"/>
        <w:rPr>
          <w:rFonts w:ascii="Abadi" w:hAnsi="Abadi" w:cs="ArialMT"/>
          <w:b/>
          <w:bCs/>
          <w:sz w:val="21"/>
          <w:szCs w:val="21"/>
        </w:rPr>
      </w:pPr>
    </w:p>
    <w:p w14:paraId="43390246" w14:textId="77777777" w:rsidR="00AC5575" w:rsidRDefault="00AC5575" w:rsidP="00AC5575">
      <w:pPr>
        <w:ind w:left="1276" w:right="709"/>
        <w:jc w:val="both"/>
        <w:rPr>
          <w:rFonts w:ascii="Abadi" w:hAnsi="Abadi"/>
          <w:b/>
          <w:bCs/>
          <w:sz w:val="21"/>
          <w:szCs w:val="21"/>
        </w:rPr>
      </w:pPr>
      <w:r w:rsidRPr="0030088F">
        <w:rPr>
          <w:rFonts w:ascii="Abadi" w:hAnsi="Abadi"/>
          <w:b/>
          <w:bCs/>
          <w:sz w:val="21"/>
          <w:szCs w:val="21"/>
        </w:rPr>
        <w:t>(Sube a tribuna el diputado Ernesto Millán Soberanes dar lectura a la propuesta de punto de acuerdo en referencia)</w:t>
      </w:r>
    </w:p>
    <w:p w14:paraId="303C646A" w14:textId="77777777" w:rsidR="006A362F" w:rsidRDefault="006A362F" w:rsidP="00AC5575">
      <w:pPr>
        <w:ind w:left="1276" w:right="709"/>
        <w:jc w:val="both"/>
        <w:rPr>
          <w:rFonts w:ascii="Abadi" w:hAnsi="Abadi"/>
          <w:b/>
          <w:bCs/>
          <w:sz w:val="21"/>
          <w:szCs w:val="21"/>
        </w:rPr>
      </w:pPr>
    </w:p>
    <w:p w14:paraId="65B69548" w14:textId="3D77B4B3" w:rsidR="006A362F" w:rsidRDefault="006A362F" w:rsidP="00D653F0">
      <w:pPr>
        <w:ind w:left="1276"/>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sidR="00D653F0">
        <w:rPr>
          <w:rFonts w:ascii="Abadi" w:hAnsi="Abadi" w:cs="ArialMT"/>
          <w:b/>
          <w:bCs/>
          <w:sz w:val="21"/>
          <w:szCs w:val="21"/>
        </w:rPr>
        <w:tab/>
      </w:r>
      <w:r>
        <w:rPr>
          <w:rFonts w:ascii="Abadi" w:hAnsi="Abadi" w:cs="ArialMT"/>
          <w:b/>
          <w:bCs/>
          <w:sz w:val="21"/>
          <w:szCs w:val="21"/>
        </w:rPr>
        <w:t>Pág.</w:t>
      </w:r>
      <w:r w:rsidR="00D653F0">
        <w:rPr>
          <w:rFonts w:ascii="Abadi" w:hAnsi="Abadi" w:cs="ArialMT"/>
          <w:b/>
          <w:bCs/>
          <w:sz w:val="21"/>
          <w:szCs w:val="21"/>
        </w:rPr>
        <w:t xml:space="preserve"> 144</w:t>
      </w:r>
    </w:p>
    <w:p w14:paraId="4527AC40" w14:textId="77777777" w:rsidR="006A362F" w:rsidRPr="0030088F" w:rsidRDefault="006A362F" w:rsidP="00AC5575">
      <w:pPr>
        <w:ind w:left="1276" w:right="709"/>
        <w:jc w:val="both"/>
        <w:rPr>
          <w:rFonts w:ascii="Abadi" w:hAnsi="Abadi"/>
          <w:b/>
          <w:bCs/>
          <w:sz w:val="21"/>
          <w:szCs w:val="21"/>
        </w:rPr>
      </w:pPr>
    </w:p>
    <w:p w14:paraId="79E5EA48" w14:textId="77777777" w:rsidR="005B4988" w:rsidRPr="00006796" w:rsidRDefault="005B4988" w:rsidP="005170ED">
      <w:pPr>
        <w:autoSpaceDE w:val="0"/>
        <w:autoSpaceDN w:val="0"/>
        <w:adjustRightInd w:val="0"/>
        <w:ind w:right="709"/>
        <w:jc w:val="both"/>
        <w:rPr>
          <w:rFonts w:ascii="Abadi" w:hAnsi="Abadi" w:cs="ArialMT"/>
          <w:b/>
          <w:bCs/>
          <w:sz w:val="21"/>
          <w:szCs w:val="21"/>
        </w:rPr>
      </w:pPr>
    </w:p>
    <w:p w14:paraId="529ADBE5"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formulada por diputadas y diputados integrantes del Grupo Parlamentario del Partido Acción Nacional, para exhortar a Protección Civil, bomberos y cuerpos de Seguridad Ciudadana de los 46 municipios.</w:t>
      </w:r>
    </w:p>
    <w:p w14:paraId="5FF2EBDA" w14:textId="77777777" w:rsidR="00112C68" w:rsidRPr="00112C68" w:rsidRDefault="00112C68" w:rsidP="00112C68">
      <w:pPr>
        <w:autoSpaceDE w:val="0"/>
        <w:autoSpaceDN w:val="0"/>
        <w:adjustRightInd w:val="0"/>
        <w:ind w:right="709"/>
        <w:contextualSpacing/>
        <w:jc w:val="both"/>
        <w:rPr>
          <w:rFonts w:ascii="Abadi" w:hAnsi="Abadi" w:cs="ArialMT"/>
          <w:b/>
          <w:bCs/>
          <w:sz w:val="21"/>
          <w:szCs w:val="21"/>
        </w:rPr>
      </w:pPr>
    </w:p>
    <w:p w14:paraId="3843B23E" w14:textId="6A334AE4" w:rsidR="006249B0" w:rsidRDefault="00112C68" w:rsidP="00112C68">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A7D54">
        <w:rPr>
          <w:rFonts w:ascii="Abadi" w:hAnsi="Abadi" w:cs="ArialMT"/>
          <w:b/>
          <w:bCs/>
          <w:sz w:val="21"/>
          <w:szCs w:val="21"/>
        </w:rPr>
        <w:t xml:space="preserve"> 146</w:t>
      </w:r>
    </w:p>
    <w:p w14:paraId="10A81398" w14:textId="77777777" w:rsidR="00DF6EA4" w:rsidRDefault="00DF6EA4" w:rsidP="00112C68">
      <w:pPr>
        <w:autoSpaceDE w:val="0"/>
        <w:autoSpaceDN w:val="0"/>
        <w:adjustRightInd w:val="0"/>
        <w:contextualSpacing/>
        <w:jc w:val="both"/>
        <w:rPr>
          <w:rFonts w:ascii="Abadi" w:hAnsi="Abadi" w:cs="ArialMT"/>
          <w:b/>
          <w:bCs/>
          <w:sz w:val="21"/>
          <w:szCs w:val="21"/>
        </w:rPr>
      </w:pPr>
    </w:p>
    <w:p w14:paraId="1BD76B91" w14:textId="77777777" w:rsidR="00DF6EA4" w:rsidRPr="0030088F" w:rsidRDefault="00DF6EA4" w:rsidP="00DF6EA4">
      <w:pPr>
        <w:ind w:left="1276" w:right="709"/>
        <w:jc w:val="both"/>
        <w:rPr>
          <w:rFonts w:ascii="Abadi" w:hAnsi="Abadi"/>
          <w:b/>
          <w:bCs/>
          <w:sz w:val="21"/>
          <w:szCs w:val="21"/>
        </w:rPr>
      </w:pPr>
      <w:r w:rsidRPr="0030088F">
        <w:rPr>
          <w:rFonts w:ascii="Abadi" w:hAnsi="Abadi"/>
          <w:b/>
          <w:bCs/>
          <w:sz w:val="21"/>
          <w:szCs w:val="21"/>
        </w:rPr>
        <w:t>(Sube a tribuna la diputada Katya Cristina Soto Escamilla para dar lectura a la propuesta de punto de acuerdo en referencia)</w:t>
      </w:r>
    </w:p>
    <w:p w14:paraId="153B37C6" w14:textId="77777777" w:rsidR="00DF6EA4" w:rsidRPr="006249B0" w:rsidRDefault="00DF6EA4" w:rsidP="00112C68">
      <w:pPr>
        <w:autoSpaceDE w:val="0"/>
        <w:autoSpaceDN w:val="0"/>
        <w:adjustRightInd w:val="0"/>
        <w:contextualSpacing/>
        <w:jc w:val="both"/>
        <w:rPr>
          <w:rFonts w:ascii="Abadi" w:hAnsi="Abadi" w:cs="ArialMT"/>
          <w:b/>
          <w:bCs/>
          <w:sz w:val="21"/>
          <w:szCs w:val="21"/>
        </w:rPr>
      </w:pPr>
    </w:p>
    <w:p w14:paraId="523A9515" w14:textId="7CC0B76E" w:rsidR="00DF6EA4" w:rsidRDefault="00DF6EA4" w:rsidP="00DF6EA4">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A7D54">
        <w:rPr>
          <w:rFonts w:ascii="Abadi" w:hAnsi="Abadi" w:cs="ArialMT"/>
          <w:b/>
          <w:bCs/>
          <w:sz w:val="21"/>
          <w:szCs w:val="21"/>
        </w:rPr>
        <w:t xml:space="preserve"> 149</w:t>
      </w:r>
    </w:p>
    <w:p w14:paraId="19F2BE27"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1075AF78"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 la propuesta de punto de </w:t>
      </w:r>
      <w:r w:rsidRPr="00006796">
        <w:rPr>
          <w:rFonts w:ascii="Abadi" w:hAnsi="Abadi" w:cs="ArialMT"/>
          <w:b/>
          <w:bCs/>
          <w:sz w:val="21"/>
          <w:szCs w:val="21"/>
        </w:rPr>
        <w:t>acuerdo signada por el diputado Cuauhtémoc Becerra González, integrante del Grupo Parlamentario del Partido MORENA a efecto de exhortar a la Universidad de Guanajuato.</w:t>
      </w:r>
    </w:p>
    <w:p w14:paraId="77021EB3" w14:textId="77777777" w:rsidR="005B02E9" w:rsidRDefault="005B02E9" w:rsidP="005B02E9">
      <w:pPr>
        <w:pStyle w:val="Prrafodelista"/>
        <w:autoSpaceDE w:val="0"/>
        <w:autoSpaceDN w:val="0"/>
        <w:adjustRightInd w:val="0"/>
        <w:ind w:left="1287"/>
        <w:contextualSpacing/>
        <w:jc w:val="both"/>
        <w:rPr>
          <w:rFonts w:ascii="Abadi" w:hAnsi="Abadi" w:cs="ArialMT"/>
          <w:b/>
          <w:bCs/>
          <w:sz w:val="21"/>
          <w:szCs w:val="21"/>
        </w:rPr>
      </w:pPr>
    </w:p>
    <w:p w14:paraId="57326FB1" w14:textId="445C4CBF" w:rsidR="005B02E9" w:rsidRDefault="007C5594" w:rsidP="005B02E9">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B02E9">
        <w:rPr>
          <w:rFonts w:ascii="Abadi" w:hAnsi="Abadi" w:cs="ArialMT"/>
          <w:b/>
          <w:bCs/>
          <w:sz w:val="21"/>
          <w:szCs w:val="21"/>
        </w:rPr>
        <w:t xml:space="preserve">Pág. </w:t>
      </w:r>
      <w:r w:rsidR="005A7D54">
        <w:rPr>
          <w:rFonts w:ascii="Abadi" w:hAnsi="Abadi" w:cs="ArialMT"/>
          <w:b/>
          <w:bCs/>
          <w:sz w:val="21"/>
          <w:szCs w:val="21"/>
        </w:rPr>
        <w:t>151</w:t>
      </w:r>
    </w:p>
    <w:p w14:paraId="02677CFC" w14:textId="77777777" w:rsidR="005B02E9" w:rsidRPr="00006796" w:rsidRDefault="005B02E9" w:rsidP="005B02E9">
      <w:pPr>
        <w:pStyle w:val="Prrafodelista"/>
        <w:autoSpaceDE w:val="0"/>
        <w:autoSpaceDN w:val="0"/>
        <w:adjustRightInd w:val="0"/>
        <w:ind w:left="1287" w:right="709"/>
        <w:contextualSpacing/>
        <w:jc w:val="both"/>
        <w:rPr>
          <w:rFonts w:ascii="Abadi" w:hAnsi="Abadi" w:cs="ArialMT"/>
          <w:b/>
          <w:bCs/>
          <w:sz w:val="21"/>
          <w:szCs w:val="21"/>
        </w:rPr>
      </w:pPr>
    </w:p>
    <w:p w14:paraId="0DD94525" w14:textId="77777777" w:rsidR="00B67903" w:rsidRDefault="00B67903" w:rsidP="005170ED">
      <w:pPr>
        <w:autoSpaceDE w:val="0"/>
        <w:autoSpaceDN w:val="0"/>
        <w:adjustRightInd w:val="0"/>
        <w:ind w:right="709"/>
        <w:jc w:val="both"/>
        <w:rPr>
          <w:rFonts w:ascii="Abadi" w:hAnsi="Abadi" w:cs="ArialMT"/>
          <w:b/>
          <w:bCs/>
          <w:sz w:val="21"/>
          <w:szCs w:val="21"/>
        </w:rPr>
      </w:pPr>
    </w:p>
    <w:p w14:paraId="166CC5DE" w14:textId="77777777" w:rsidR="005B02E9" w:rsidRDefault="005B02E9" w:rsidP="005B02E9">
      <w:pPr>
        <w:ind w:left="1276" w:right="709"/>
        <w:jc w:val="both"/>
        <w:rPr>
          <w:rFonts w:ascii="Abadi" w:hAnsi="Abadi"/>
          <w:b/>
          <w:bCs/>
          <w:sz w:val="21"/>
          <w:szCs w:val="21"/>
        </w:rPr>
      </w:pPr>
      <w:r w:rsidRPr="0030088F">
        <w:rPr>
          <w:rFonts w:ascii="Abadi" w:hAnsi="Abadi"/>
          <w:b/>
          <w:bCs/>
          <w:sz w:val="21"/>
          <w:szCs w:val="21"/>
        </w:rPr>
        <w:t xml:space="preserve">(Sube a tribuna el diputado Cuauhtémoc Becerra González, para dar lectura a la propuesta de punto de acuerdo en referencia) </w:t>
      </w:r>
    </w:p>
    <w:p w14:paraId="5BA10B36" w14:textId="77777777" w:rsidR="005B02E9" w:rsidRDefault="005B02E9" w:rsidP="005B02E9">
      <w:pPr>
        <w:pStyle w:val="Prrafodelista"/>
        <w:autoSpaceDE w:val="0"/>
        <w:autoSpaceDN w:val="0"/>
        <w:adjustRightInd w:val="0"/>
        <w:ind w:left="1287"/>
        <w:contextualSpacing/>
        <w:jc w:val="both"/>
        <w:rPr>
          <w:rFonts w:ascii="Abadi" w:hAnsi="Abadi" w:cs="ArialMT"/>
          <w:b/>
          <w:bCs/>
          <w:sz w:val="21"/>
          <w:szCs w:val="21"/>
        </w:rPr>
      </w:pPr>
    </w:p>
    <w:p w14:paraId="7C4D5243" w14:textId="06CEE801" w:rsidR="005B02E9" w:rsidRDefault="007C5594" w:rsidP="005B02E9">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B02E9">
        <w:rPr>
          <w:rFonts w:ascii="Abadi" w:hAnsi="Abadi" w:cs="ArialMT"/>
          <w:b/>
          <w:bCs/>
          <w:sz w:val="21"/>
          <w:szCs w:val="21"/>
        </w:rPr>
        <w:t xml:space="preserve">Pág. </w:t>
      </w:r>
      <w:r w:rsidR="005A7D54">
        <w:rPr>
          <w:rFonts w:ascii="Abadi" w:hAnsi="Abadi" w:cs="ArialMT"/>
          <w:b/>
          <w:bCs/>
          <w:sz w:val="21"/>
          <w:szCs w:val="21"/>
        </w:rPr>
        <w:t>153</w:t>
      </w:r>
    </w:p>
    <w:p w14:paraId="40E069F2" w14:textId="77777777" w:rsidR="005B02E9" w:rsidRPr="0030088F" w:rsidRDefault="005B02E9" w:rsidP="005B02E9">
      <w:pPr>
        <w:jc w:val="both"/>
        <w:rPr>
          <w:rFonts w:ascii="Abadi" w:hAnsi="Abadi"/>
          <w:b/>
          <w:bCs/>
          <w:sz w:val="21"/>
          <w:szCs w:val="21"/>
        </w:rPr>
      </w:pPr>
    </w:p>
    <w:p w14:paraId="731C0EB2" w14:textId="77777777" w:rsidR="005B02E9" w:rsidRPr="00006796" w:rsidRDefault="005B02E9" w:rsidP="005170ED">
      <w:pPr>
        <w:autoSpaceDE w:val="0"/>
        <w:autoSpaceDN w:val="0"/>
        <w:adjustRightInd w:val="0"/>
        <w:ind w:right="709"/>
        <w:jc w:val="both"/>
        <w:rPr>
          <w:rFonts w:ascii="Abadi" w:hAnsi="Abadi" w:cs="ArialMT"/>
          <w:b/>
          <w:bCs/>
          <w:sz w:val="21"/>
          <w:szCs w:val="21"/>
        </w:rPr>
      </w:pPr>
    </w:p>
    <w:p w14:paraId="633E58E8"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formulada por la diputada y el diputado integrantes del Grupo Parlamentario del Partido Verde Ecologista de México para girar un exhorto al Poder Ejecutivo y a los 46 ayuntamientos del estado de Guanajuato.</w:t>
      </w:r>
    </w:p>
    <w:p w14:paraId="3FC23E77" w14:textId="77777777" w:rsidR="006C58A6" w:rsidRDefault="006C58A6" w:rsidP="006C58A6">
      <w:pPr>
        <w:pStyle w:val="Prrafodelista"/>
        <w:autoSpaceDE w:val="0"/>
        <w:autoSpaceDN w:val="0"/>
        <w:adjustRightInd w:val="0"/>
        <w:ind w:left="1287"/>
        <w:contextualSpacing/>
        <w:jc w:val="both"/>
        <w:rPr>
          <w:rFonts w:ascii="Abadi" w:hAnsi="Abadi" w:cs="ArialMT"/>
          <w:b/>
          <w:bCs/>
          <w:sz w:val="21"/>
          <w:szCs w:val="21"/>
        </w:rPr>
      </w:pPr>
    </w:p>
    <w:p w14:paraId="2DB92A78" w14:textId="6723F833" w:rsidR="006C58A6" w:rsidRDefault="007C5594" w:rsidP="006C58A6">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6C58A6">
        <w:rPr>
          <w:rFonts w:ascii="Abadi" w:hAnsi="Abadi" w:cs="ArialMT"/>
          <w:b/>
          <w:bCs/>
          <w:sz w:val="21"/>
          <w:szCs w:val="21"/>
        </w:rPr>
        <w:t xml:space="preserve">Pág. </w:t>
      </w:r>
      <w:r w:rsidR="00CF6003">
        <w:rPr>
          <w:rFonts w:ascii="Abadi" w:hAnsi="Abadi" w:cs="ArialMT"/>
          <w:b/>
          <w:bCs/>
          <w:sz w:val="21"/>
          <w:szCs w:val="21"/>
        </w:rPr>
        <w:t>155</w:t>
      </w:r>
    </w:p>
    <w:p w14:paraId="55F43085" w14:textId="77777777" w:rsidR="006C58A6" w:rsidRDefault="006C58A6" w:rsidP="006C58A6">
      <w:pPr>
        <w:pStyle w:val="Prrafodelista"/>
        <w:autoSpaceDE w:val="0"/>
        <w:autoSpaceDN w:val="0"/>
        <w:adjustRightInd w:val="0"/>
        <w:ind w:left="1287"/>
        <w:contextualSpacing/>
        <w:jc w:val="both"/>
        <w:rPr>
          <w:rFonts w:ascii="Abadi" w:hAnsi="Abadi" w:cs="ArialMT"/>
          <w:b/>
          <w:bCs/>
          <w:sz w:val="21"/>
          <w:szCs w:val="21"/>
        </w:rPr>
      </w:pPr>
    </w:p>
    <w:p w14:paraId="401B801F" w14:textId="77777777" w:rsidR="006C58A6" w:rsidRDefault="006C58A6" w:rsidP="006C58A6">
      <w:pPr>
        <w:pStyle w:val="Prrafodelista"/>
        <w:autoSpaceDE w:val="0"/>
        <w:autoSpaceDN w:val="0"/>
        <w:adjustRightInd w:val="0"/>
        <w:ind w:left="1287" w:right="709"/>
        <w:contextualSpacing/>
        <w:jc w:val="both"/>
        <w:rPr>
          <w:rFonts w:ascii="Abadi" w:hAnsi="Abadi" w:cs="ArialMT"/>
          <w:b/>
          <w:bCs/>
          <w:sz w:val="21"/>
          <w:szCs w:val="21"/>
        </w:rPr>
      </w:pPr>
    </w:p>
    <w:p w14:paraId="375746B1" w14:textId="77777777" w:rsidR="006C58A6" w:rsidRPr="006C58A6" w:rsidRDefault="006C58A6" w:rsidP="006C58A6">
      <w:pPr>
        <w:pStyle w:val="Prrafodelista"/>
        <w:ind w:left="1287" w:right="709"/>
        <w:jc w:val="both"/>
        <w:rPr>
          <w:rFonts w:ascii="Abadi" w:hAnsi="Abadi"/>
          <w:b/>
          <w:bCs/>
          <w:sz w:val="21"/>
          <w:szCs w:val="21"/>
        </w:rPr>
      </w:pPr>
      <w:r w:rsidRPr="006C58A6">
        <w:rPr>
          <w:rFonts w:ascii="Abadi" w:hAnsi="Abadi"/>
          <w:b/>
          <w:bCs/>
          <w:sz w:val="21"/>
          <w:szCs w:val="21"/>
        </w:rPr>
        <w:t>(Sube a tribuna el diputado Gerardo Fernández González, para dar lectura al punto de acuerdo en referencia)</w:t>
      </w:r>
    </w:p>
    <w:p w14:paraId="2E634CB6" w14:textId="77777777" w:rsidR="006C58A6" w:rsidRPr="006C58A6" w:rsidRDefault="006C58A6" w:rsidP="006C58A6">
      <w:pPr>
        <w:autoSpaceDE w:val="0"/>
        <w:autoSpaceDN w:val="0"/>
        <w:adjustRightInd w:val="0"/>
        <w:ind w:right="709"/>
        <w:contextualSpacing/>
        <w:jc w:val="both"/>
        <w:rPr>
          <w:rFonts w:ascii="Abadi" w:hAnsi="Abadi" w:cs="ArialMT"/>
          <w:b/>
          <w:bCs/>
          <w:sz w:val="21"/>
          <w:szCs w:val="21"/>
        </w:rPr>
      </w:pPr>
    </w:p>
    <w:p w14:paraId="19E32809" w14:textId="3E9FA55A" w:rsidR="006C58A6" w:rsidRDefault="007C5594" w:rsidP="006C58A6">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6C58A6">
        <w:rPr>
          <w:rFonts w:ascii="Abadi" w:hAnsi="Abadi" w:cs="ArialMT"/>
          <w:b/>
          <w:bCs/>
          <w:sz w:val="21"/>
          <w:szCs w:val="21"/>
        </w:rPr>
        <w:t xml:space="preserve">Pág. </w:t>
      </w:r>
      <w:r w:rsidR="00CF6003">
        <w:rPr>
          <w:rFonts w:ascii="Abadi" w:hAnsi="Abadi" w:cs="ArialMT"/>
          <w:b/>
          <w:bCs/>
          <w:sz w:val="21"/>
          <w:szCs w:val="21"/>
        </w:rPr>
        <w:t>158</w:t>
      </w:r>
    </w:p>
    <w:p w14:paraId="5464511B" w14:textId="77777777" w:rsidR="005B02E9" w:rsidRPr="005B02E9" w:rsidRDefault="005B02E9" w:rsidP="005B02E9">
      <w:pPr>
        <w:autoSpaceDE w:val="0"/>
        <w:autoSpaceDN w:val="0"/>
        <w:adjustRightInd w:val="0"/>
        <w:ind w:right="709"/>
        <w:contextualSpacing/>
        <w:jc w:val="both"/>
        <w:rPr>
          <w:rFonts w:ascii="Abadi" w:hAnsi="Abadi" w:cs="ArialMT"/>
          <w:b/>
          <w:bCs/>
          <w:sz w:val="21"/>
          <w:szCs w:val="21"/>
        </w:rPr>
      </w:pPr>
    </w:p>
    <w:p w14:paraId="69E5AC86"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2B186E44"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 la propuesta de punto de acuerdo signada por la diputada Alma Edwviges Alcaraz Hernández integrante </w:t>
      </w:r>
      <w:r w:rsidRPr="00006796">
        <w:rPr>
          <w:rFonts w:ascii="Abadi" w:hAnsi="Abadi" w:cs="ArialMT"/>
          <w:b/>
          <w:bCs/>
          <w:sz w:val="21"/>
          <w:szCs w:val="21"/>
        </w:rPr>
        <w:lastRenderedPageBreak/>
        <w:t>del Grupo Parlamentario del Partido MORENA a efecto de girar atento exhorto a los 46 ayuntamientos y al titular de la Comisión Estatal de Búsqueda de Personas.</w:t>
      </w:r>
    </w:p>
    <w:p w14:paraId="716FFF3C" w14:textId="6E830E1B" w:rsidR="0016342E" w:rsidRDefault="0016342E" w:rsidP="0016342E">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B928B1">
        <w:rPr>
          <w:rFonts w:ascii="Abadi" w:hAnsi="Abadi" w:cs="ArialMT"/>
          <w:b/>
          <w:bCs/>
          <w:sz w:val="21"/>
          <w:szCs w:val="21"/>
        </w:rPr>
        <w:t xml:space="preserve"> 160</w:t>
      </w:r>
    </w:p>
    <w:p w14:paraId="065B2390" w14:textId="77777777" w:rsidR="0016342E" w:rsidRDefault="0016342E" w:rsidP="0016342E">
      <w:pPr>
        <w:pStyle w:val="Prrafodelista"/>
        <w:autoSpaceDE w:val="0"/>
        <w:autoSpaceDN w:val="0"/>
        <w:adjustRightInd w:val="0"/>
        <w:ind w:left="1287" w:right="709"/>
        <w:contextualSpacing/>
        <w:jc w:val="both"/>
        <w:rPr>
          <w:rFonts w:ascii="Abadi" w:hAnsi="Abadi" w:cs="ArialMT"/>
          <w:b/>
          <w:bCs/>
          <w:sz w:val="21"/>
          <w:szCs w:val="21"/>
        </w:rPr>
      </w:pPr>
    </w:p>
    <w:p w14:paraId="5638854D" w14:textId="77777777" w:rsidR="0016342E" w:rsidRPr="0016342E" w:rsidRDefault="0016342E" w:rsidP="0016342E">
      <w:pPr>
        <w:pStyle w:val="Prrafodelista"/>
        <w:ind w:left="1287" w:right="709"/>
        <w:jc w:val="both"/>
        <w:rPr>
          <w:rFonts w:ascii="Abadi" w:hAnsi="Abadi"/>
          <w:b/>
          <w:bCs/>
          <w:sz w:val="21"/>
          <w:szCs w:val="21"/>
        </w:rPr>
      </w:pPr>
      <w:r w:rsidRPr="0016342E">
        <w:rPr>
          <w:rFonts w:ascii="Abadi" w:hAnsi="Abadi"/>
          <w:b/>
          <w:bCs/>
          <w:sz w:val="21"/>
          <w:szCs w:val="21"/>
        </w:rPr>
        <w:t>(Sube a tribuna la diputada Alma Edwviges Alcaraz Hernández, para dar lectura a la propuesta de punto de acuerdo en referencia)</w:t>
      </w:r>
    </w:p>
    <w:p w14:paraId="08C98621" w14:textId="77777777" w:rsidR="00E003AB" w:rsidRDefault="00E003AB" w:rsidP="00E003AB">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6B6CDD0" w14:textId="38CBB79D" w:rsidR="00E003AB" w:rsidRDefault="00E003AB" w:rsidP="00E003AB">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B928B1">
        <w:rPr>
          <w:rFonts w:ascii="Abadi" w:hAnsi="Abadi" w:cs="ArialMT"/>
          <w:b/>
          <w:bCs/>
          <w:sz w:val="21"/>
          <w:szCs w:val="21"/>
        </w:rPr>
        <w:t xml:space="preserve"> 163</w:t>
      </w:r>
    </w:p>
    <w:p w14:paraId="4AB3357D" w14:textId="77777777" w:rsidR="0016342E" w:rsidRPr="0016342E" w:rsidRDefault="0016342E" w:rsidP="0016342E">
      <w:pPr>
        <w:autoSpaceDE w:val="0"/>
        <w:autoSpaceDN w:val="0"/>
        <w:adjustRightInd w:val="0"/>
        <w:ind w:right="709"/>
        <w:contextualSpacing/>
        <w:jc w:val="both"/>
        <w:rPr>
          <w:rFonts w:ascii="Abadi" w:hAnsi="Abadi" w:cs="ArialMT"/>
          <w:b/>
          <w:bCs/>
          <w:sz w:val="21"/>
          <w:szCs w:val="21"/>
        </w:rPr>
      </w:pPr>
    </w:p>
    <w:p w14:paraId="634AFB85"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150F1ABA" w14:textId="0F455BA1" w:rsidR="00E003AB" w:rsidRPr="00B928B1" w:rsidRDefault="00B67903" w:rsidP="00E003AB">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de obvia resolución suscrita por el diputado David Martínez Mendizábal, integrante del Grupo Parlamentario del Partido MORENA a fin de exhortar a la Secretaría de Gobierno del Estado de Guanajuato y a la Secretaría de Gobernación, así como a la Procuraduría General de Justicia y al Poder Judicial del Estado de Tlaxcala y, en su caso, aprobación de la misma</w:t>
      </w:r>
      <w:r w:rsidR="00B928B1">
        <w:rPr>
          <w:rFonts w:ascii="Abadi" w:hAnsi="Abadi" w:cs="ArialMT"/>
          <w:b/>
          <w:bCs/>
          <w:sz w:val="21"/>
          <w:szCs w:val="21"/>
        </w:rPr>
        <w:t>.</w:t>
      </w:r>
    </w:p>
    <w:p w14:paraId="10E236A0" w14:textId="72D8DFBD" w:rsidR="00E003AB" w:rsidRDefault="00E003AB" w:rsidP="00E003AB">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E003AB">
        <w:rPr>
          <w:rFonts w:ascii="Abadi" w:hAnsi="Abadi" w:cs="ArialMT"/>
          <w:b/>
          <w:bCs/>
          <w:sz w:val="21"/>
          <w:szCs w:val="21"/>
        </w:rPr>
        <w:t>Pág.</w:t>
      </w:r>
      <w:r w:rsidR="00B928B1">
        <w:rPr>
          <w:rFonts w:ascii="Abadi" w:hAnsi="Abadi" w:cs="ArialMT"/>
          <w:b/>
          <w:bCs/>
          <w:sz w:val="21"/>
          <w:szCs w:val="21"/>
        </w:rPr>
        <w:t xml:space="preserve"> 165</w:t>
      </w:r>
    </w:p>
    <w:p w14:paraId="19798575" w14:textId="77777777" w:rsidR="001F7AC9" w:rsidRDefault="001F7AC9" w:rsidP="00E003AB">
      <w:pPr>
        <w:pStyle w:val="Prrafodelista"/>
        <w:autoSpaceDE w:val="0"/>
        <w:autoSpaceDN w:val="0"/>
        <w:adjustRightInd w:val="0"/>
        <w:ind w:left="1287"/>
        <w:contextualSpacing/>
        <w:jc w:val="both"/>
        <w:rPr>
          <w:rFonts w:ascii="Abadi" w:hAnsi="Abadi" w:cs="ArialMT"/>
          <w:b/>
          <w:bCs/>
          <w:sz w:val="21"/>
          <w:szCs w:val="21"/>
        </w:rPr>
      </w:pPr>
    </w:p>
    <w:p w14:paraId="64340EBC" w14:textId="3C26243B" w:rsidR="001F7AC9" w:rsidRDefault="001F7AC9" w:rsidP="001F7AC9">
      <w:pPr>
        <w:pStyle w:val="Prrafodelista"/>
        <w:autoSpaceDE w:val="0"/>
        <w:autoSpaceDN w:val="0"/>
        <w:adjustRightInd w:val="0"/>
        <w:ind w:left="1287" w:right="709"/>
        <w:contextualSpacing/>
        <w:jc w:val="both"/>
        <w:rPr>
          <w:rFonts w:ascii="Abadi" w:hAnsi="Abadi"/>
          <w:b/>
          <w:bCs/>
          <w:sz w:val="21"/>
          <w:szCs w:val="21"/>
        </w:rPr>
      </w:pPr>
      <w:r w:rsidRPr="0030088F">
        <w:rPr>
          <w:rFonts w:ascii="Abadi" w:hAnsi="Abadi"/>
          <w:b/>
          <w:bCs/>
          <w:sz w:val="21"/>
          <w:szCs w:val="21"/>
        </w:rPr>
        <w:t>(Sube a tribuna el diputado David Martínez Mendizábal, para dar lectura a la propuesta de punto de acuerdo de obvia resolución en referencia)</w:t>
      </w:r>
    </w:p>
    <w:p w14:paraId="1BD57ECF" w14:textId="77777777" w:rsidR="001F7AC9" w:rsidRDefault="001F7AC9" w:rsidP="001F7AC9">
      <w:pPr>
        <w:pStyle w:val="Prrafodelista"/>
        <w:autoSpaceDE w:val="0"/>
        <w:autoSpaceDN w:val="0"/>
        <w:adjustRightInd w:val="0"/>
        <w:ind w:left="1287" w:right="709"/>
        <w:contextualSpacing/>
        <w:jc w:val="both"/>
        <w:rPr>
          <w:rFonts w:ascii="Abadi" w:hAnsi="Abadi"/>
          <w:b/>
          <w:bCs/>
          <w:sz w:val="21"/>
          <w:szCs w:val="21"/>
        </w:rPr>
      </w:pPr>
    </w:p>
    <w:p w14:paraId="730F983B" w14:textId="266036D5" w:rsidR="001F7AC9" w:rsidRPr="00E003AB" w:rsidRDefault="001F7AC9" w:rsidP="007C5594">
      <w:pPr>
        <w:pStyle w:val="Prrafodelista"/>
        <w:autoSpaceDE w:val="0"/>
        <w:autoSpaceDN w:val="0"/>
        <w:adjustRightInd w:val="0"/>
        <w:ind w:left="1287" w:right="142"/>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7C5594">
        <w:rPr>
          <w:rFonts w:ascii="Abadi" w:hAnsi="Abadi" w:cs="ArialMT"/>
          <w:b/>
          <w:bCs/>
          <w:sz w:val="21"/>
          <w:szCs w:val="21"/>
        </w:rPr>
        <w:tab/>
      </w:r>
      <w:r w:rsidR="000D7A5A">
        <w:rPr>
          <w:rFonts w:ascii="Abadi" w:hAnsi="Abadi" w:cs="ArialMT"/>
          <w:b/>
          <w:bCs/>
          <w:sz w:val="21"/>
          <w:szCs w:val="21"/>
        </w:rPr>
        <w:tab/>
      </w:r>
      <w:r w:rsidRPr="00E003AB">
        <w:rPr>
          <w:rFonts w:ascii="Abadi" w:hAnsi="Abadi" w:cs="ArialMT"/>
          <w:b/>
          <w:bCs/>
          <w:sz w:val="21"/>
          <w:szCs w:val="21"/>
        </w:rPr>
        <w:t>Pág.</w:t>
      </w:r>
      <w:r w:rsidR="00B928B1">
        <w:rPr>
          <w:rFonts w:ascii="Abadi" w:hAnsi="Abadi" w:cs="ArialMT"/>
          <w:b/>
          <w:bCs/>
          <w:sz w:val="21"/>
          <w:szCs w:val="21"/>
        </w:rPr>
        <w:t xml:space="preserve"> 168</w:t>
      </w:r>
    </w:p>
    <w:p w14:paraId="47576B88" w14:textId="77777777" w:rsidR="00E003AB" w:rsidRPr="00E003AB" w:rsidRDefault="00E003AB" w:rsidP="00E003AB">
      <w:pPr>
        <w:autoSpaceDE w:val="0"/>
        <w:autoSpaceDN w:val="0"/>
        <w:adjustRightInd w:val="0"/>
        <w:ind w:right="709"/>
        <w:contextualSpacing/>
        <w:jc w:val="both"/>
        <w:rPr>
          <w:rFonts w:ascii="Abadi" w:hAnsi="Abadi" w:cs="ArialMT"/>
          <w:b/>
          <w:bCs/>
          <w:sz w:val="21"/>
          <w:szCs w:val="21"/>
        </w:rPr>
      </w:pPr>
    </w:p>
    <w:p w14:paraId="6D65E255" w14:textId="77777777" w:rsidR="00B67903" w:rsidRPr="00006796" w:rsidRDefault="00B67903" w:rsidP="00B67903">
      <w:pPr>
        <w:jc w:val="both"/>
        <w:rPr>
          <w:rFonts w:ascii="Abadi" w:hAnsi="Abadi" w:cs="ArialMT"/>
          <w:b/>
          <w:bCs/>
          <w:sz w:val="21"/>
          <w:szCs w:val="21"/>
        </w:rPr>
      </w:pPr>
    </w:p>
    <w:p w14:paraId="78A8D8BA"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de obvia resolución formulada por la diputada Hades Berenice Aguilar Castillo integrante del Grupo Parlamentario del Partido MORENA a fin de instruir al Auditor Superior del Estado de Guanajuato para que adicione al Programa General de Fiscalización 2023 una auditoría financiera y de cumplimiento al Poder Ejecutivo del Estado de Guanajuato, a través del FIDESSEG y, en su caso, aprobación de la misma.</w:t>
      </w:r>
    </w:p>
    <w:p w14:paraId="4340599B" w14:textId="77777777" w:rsidR="00B4444E" w:rsidRDefault="00B4444E" w:rsidP="00B4444E">
      <w:pPr>
        <w:pStyle w:val="Prrafodelista"/>
        <w:autoSpaceDE w:val="0"/>
        <w:autoSpaceDN w:val="0"/>
        <w:adjustRightInd w:val="0"/>
        <w:ind w:left="1287" w:right="709"/>
        <w:contextualSpacing/>
        <w:jc w:val="both"/>
        <w:rPr>
          <w:rFonts w:ascii="Abadi" w:hAnsi="Abadi" w:cs="ArialMT"/>
          <w:b/>
          <w:bCs/>
          <w:sz w:val="21"/>
          <w:szCs w:val="21"/>
        </w:rPr>
      </w:pPr>
    </w:p>
    <w:p w14:paraId="52C18A6B" w14:textId="5F67816C" w:rsidR="00B4444E" w:rsidRDefault="00B4444E" w:rsidP="00B4444E">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0D7A5A">
        <w:rPr>
          <w:rFonts w:ascii="Abadi" w:hAnsi="Abadi" w:cs="ArialMT"/>
          <w:b/>
          <w:bCs/>
          <w:sz w:val="21"/>
          <w:szCs w:val="21"/>
        </w:rPr>
        <w:t xml:space="preserve"> 171</w:t>
      </w:r>
    </w:p>
    <w:p w14:paraId="027B6440" w14:textId="77777777" w:rsidR="00B4444E" w:rsidRDefault="00B4444E" w:rsidP="00B4444E">
      <w:pPr>
        <w:pStyle w:val="Prrafodelista"/>
        <w:autoSpaceDE w:val="0"/>
        <w:autoSpaceDN w:val="0"/>
        <w:adjustRightInd w:val="0"/>
        <w:ind w:left="1287" w:right="709"/>
        <w:contextualSpacing/>
        <w:jc w:val="both"/>
        <w:rPr>
          <w:rFonts w:ascii="Abadi" w:hAnsi="Abadi" w:cs="ArialMT"/>
          <w:b/>
          <w:bCs/>
          <w:sz w:val="21"/>
          <w:szCs w:val="21"/>
        </w:rPr>
      </w:pPr>
    </w:p>
    <w:p w14:paraId="2B85FB6C" w14:textId="77777777" w:rsidR="00B4444E" w:rsidRPr="00B4444E" w:rsidRDefault="00B4444E" w:rsidP="00B4444E">
      <w:pPr>
        <w:pStyle w:val="Prrafodelista"/>
        <w:ind w:left="1287" w:right="709"/>
        <w:jc w:val="both"/>
        <w:rPr>
          <w:rFonts w:ascii="Abadi" w:hAnsi="Abadi"/>
          <w:b/>
          <w:bCs/>
          <w:sz w:val="21"/>
          <w:szCs w:val="21"/>
        </w:rPr>
      </w:pPr>
      <w:r w:rsidRPr="00B4444E">
        <w:rPr>
          <w:rFonts w:ascii="Abadi" w:hAnsi="Abadi"/>
          <w:b/>
          <w:bCs/>
          <w:sz w:val="21"/>
          <w:szCs w:val="21"/>
        </w:rPr>
        <w:t>(Sube a tribuna la diputada Hades Berenice Aguilar Castillo, para dar lectura al punto de acuerdo de obvia resolución en referencia)</w:t>
      </w:r>
    </w:p>
    <w:p w14:paraId="635A2EBD" w14:textId="77777777" w:rsidR="00C5090D" w:rsidRPr="00C5090D" w:rsidRDefault="00C5090D" w:rsidP="00C5090D">
      <w:pPr>
        <w:autoSpaceDE w:val="0"/>
        <w:autoSpaceDN w:val="0"/>
        <w:adjustRightInd w:val="0"/>
        <w:ind w:right="709"/>
        <w:contextualSpacing/>
        <w:jc w:val="both"/>
        <w:rPr>
          <w:rFonts w:ascii="Abadi" w:hAnsi="Abadi" w:cs="ArialMT"/>
          <w:b/>
          <w:bCs/>
          <w:sz w:val="21"/>
          <w:szCs w:val="21"/>
        </w:rPr>
      </w:pPr>
    </w:p>
    <w:p w14:paraId="387E8764" w14:textId="7BF5D726" w:rsidR="00B4444E" w:rsidRDefault="00B4444E" w:rsidP="00B4444E">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0D7A5A">
        <w:rPr>
          <w:rFonts w:ascii="Abadi" w:hAnsi="Abadi" w:cs="ArialMT"/>
          <w:b/>
          <w:bCs/>
          <w:sz w:val="21"/>
          <w:szCs w:val="21"/>
        </w:rPr>
        <w:t xml:space="preserve"> 175</w:t>
      </w:r>
    </w:p>
    <w:p w14:paraId="008F4F89"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14EAE6E8"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 xml:space="preserve">Presentación del informe de los conceptos generales de los estados financieros de los recursos presupuestales y las transferencias y ajustes presupuestales del Poder Legislativo del Estado, correspondiente al periodo comprendido del 1 al 31 de marzo del año en curso, formulado por la Comisión de </w:t>
      </w:r>
      <w:r w:rsidRPr="00006796">
        <w:rPr>
          <w:rFonts w:ascii="Abadi" w:hAnsi="Abadi" w:cs="ArialMT"/>
          <w:b/>
          <w:bCs/>
          <w:sz w:val="21"/>
          <w:szCs w:val="21"/>
        </w:rPr>
        <w:lastRenderedPageBreak/>
        <w:t>Administración y, en su caso, aprobación del mismo.</w:t>
      </w:r>
    </w:p>
    <w:p w14:paraId="7B00A741"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1E8ECAAB" w14:textId="76A6FDEE"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513DB">
        <w:rPr>
          <w:rFonts w:ascii="Abadi" w:hAnsi="Abadi" w:cs="ArialMT"/>
          <w:b/>
          <w:bCs/>
          <w:sz w:val="21"/>
          <w:szCs w:val="21"/>
        </w:rPr>
        <w:t xml:space="preserve"> 181</w:t>
      </w:r>
    </w:p>
    <w:p w14:paraId="5B27BD1C"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MT"/>
          <w:b/>
          <w:bCs/>
          <w:sz w:val="21"/>
          <w:szCs w:val="21"/>
        </w:rPr>
      </w:pPr>
    </w:p>
    <w:p w14:paraId="12A9053D" w14:textId="77777777" w:rsidR="00B67903" w:rsidRPr="00006796" w:rsidRDefault="00B67903" w:rsidP="00B67903">
      <w:pPr>
        <w:autoSpaceDE w:val="0"/>
        <w:autoSpaceDN w:val="0"/>
        <w:adjustRightInd w:val="0"/>
        <w:jc w:val="both"/>
        <w:rPr>
          <w:rFonts w:ascii="Abadi" w:hAnsi="Abadi" w:cs="ArialMT"/>
          <w:b/>
          <w:bCs/>
          <w:sz w:val="21"/>
          <w:szCs w:val="21"/>
        </w:rPr>
      </w:pPr>
    </w:p>
    <w:p w14:paraId="793AA18D"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del informe de los conceptos generales de los estados financieros de los recursos presupuestales y las transferencias y ajustes presupuestales del Poder Legislativo del Estado, correspondiente al periodo comprendido del 1 al 30 de abril del año en curso, formulado por la Comisión de Administración y, en su caso, aprobación del mismo.</w:t>
      </w:r>
    </w:p>
    <w:p w14:paraId="0AB29CDE"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2255D014" w14:textId="67FAEEB7"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513DB">
        <w:rPr>
          <w:rFonts w:ascii="Abadi" w:hAnsi="Abadi" w:cs="ArialMT"/>
          <w:b/>
          <w:bCs/>
          <w:sz w:val="21"/>
          <w:szCs w:val="21"/>
        </w:rPr>
        <w:t xml:space="preserve"> 181</w:t>
      </w:r>
    </w:p>
    <w:p w14:paraId="615C7485" w14:textId="77777777" w:rsidR="007C5594" w:rsidRPr="007C5594" w:rsidRDefault="007C5594" w:rsidP="007C5594">
      <w:pPr>
        <w:autoSpaceDE w:val="0"/>
        <w:autoSpaceDN w:val="0"/>
        <w:adjustRightInd w:val="0"/>
        <w:ind w:right="709"/>
        <w:contextualSpacing/>
        <w:jc w:val="both"/>
        <w:rPr>
          <w:rFonts w:ascii="Abadi" w:hAnsi="Abadi" w:cs="ArialMT"/>
          <w:b/>
          <w:bCs/>
          <w:sz w:val="21"/>
          <w:szCs w:val="21"/>
        </w:rPr>
      </w:pPr>
    </w:p>
    <w:p w14:paraId="5954A31B"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1F02353A"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06796">
        <w:rPr>
          <w:rFonts w:ascii="Abadi" w:hAnsi="Abadi" w:cs="ArialMT"/>
          <w:b/>
          <w:bCs/>
          <w:sz w:val="21"/>
          <w:szCs w:val="21"/>
        </w:rPr>
        <w:t>Presentación del informe de los conceptos generales de los estados financieros de los recursos presupuestales del Poder Legislativo del Estado, correspondiente al periodo comprendido del 1 al 31 de mayo del año en curso, formulado por la Comisión de Administración y, en su caso, aprobación del mismo.</w:t>
      </w:r>
    </w:p>
    <w:p w14:paraId="2FAAF928"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3EDF08BD" w14:textId="718A3542"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E513DB">
        <w:rPr>
          <w:rFonts w:ascii="Abadi" w:hAnsi="Abadi" w:cs="ArialMT"/>
          <w:b/>
          <w:bCs/>
          <w:sz w:val="21"/>
          <w:szCs w:val="21"/>
        </w:rPr>
        <w:t xml:space="preserve"> 182</w:t>
      </w:r>
    </w:p>
    <w:p w14:paraId="2AF0A229" w14:textId="77777777" w:rsidR="007C5594" w:rsidRPr="007C5594" w:rsidRDefault="007C5594" w:rsidP="007C5594">
      <w:pPr>
        <w:autoSpaceDE w:val="0"/>
        <w:autoSpaceDN w:val="0"/>
        <w:adjustRightInd w:val="0"/>
        <w:ind w:right="709"/>
        <w:contextualSpacing/>
        <w:jc w:val="both"/>
        <w:rPr>
          <w:rFonts w:ascii="Abadi" w:hAnsi="Abadi" w:cs="ArialMT"/>
          <w:b/>
          <w:bCs/>
          <w:sz w:val="21"/>
          <w:szCs w:val="21"/>
        </w:rPr>
      </w:pPr>
    </w:p>
    <w:p w14:paraId="32C0B38F" w14:textId="77777777" w:rsidR="00B67903" w:rsidRPr="00006796" w:rsidRDefault="00B67903" w:rsidP="005170ED">
      <w:pPr>
        <w:autoSpaceDE w:val="0"/>
        <w:autoSpaceDN w:val="0"/>
        <w:adjustRightInd w:val="0"/>
        <w:ind w:right="709"/>
        <w:jc w:val="both"/>
        <w:rPr>
          <w:rFonts w:ascii="Abadi" w:hAnsi="Abadi" w:cs="ArialMT"/>
          <w:b/>
          <w:bCs/>
          <w:sz w:val="21"/>
          <w:szCs w:val="21"/>
        </w:rPr>
      </w:pPr>
    </w:p>
    <w:p w14:paraId="25B54559"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Desarrollo Urbano y Obra Pública </w:t>
      </w:r>
      <w:r w:rsidRPr="00006796">
        <w:rPr>
          <w:rFonts w:ascii="Abadi" w:hAnsi="Abadi" w:cs="ArialMT"/>
          <w:b/>
          <w:bCs/>
          <w:sz w:val="21"/>
          <w:szCs w:val="21"/>
        </w:rPr>
        <w:t xml:space="preserve">relativo a la propuesta de punto de acuerdo suscrita por diputada y diputados integrantes del Grupo Parlamentario del Partido Revolucionario Institucional para exhortar al Congreso de la Unión a fin de que expida la Ley General de Aguas. </w:t>
      </w:r>
      <w:r w:rsidRPr="00006796">
        <w:rPr>
          <w:rFonts w:ascii="Abadi" w:hAnsi="Abadi" w:cs="Arial-ItalicMT"/>
          <w:b/>
          <w:bCs/>
          <w:i/>
          <w:iCs/>
          <w:sz w:val="21"/>
          <w:szCs w:val="21"/>
        </w:rPr>
        <w:t>(ELD 263/LXV-PPA)</w:t>
      </w:r>
    </w:p>
    <w:p w14:paraId="1030C237" w14:textId="77777777" w:rsidR="00624831" w:rsidRDefault="00624831" w:rsidP="00624831">
      <w:pPr>
        <w:pStyle w:val="Prrafodelista"/>
        <w:autoSpaceDE w:val="0"/>
        <w:autoSpaceDN w:val="0"/>
        <w:adjustRightInd w:val="0"/>
        <w:ind w:left="1287" w:right="709"/>
        <w:contextualSpacing/>
        <w:jc w:val="both"/>
        <w:rPr>
          <w:rFonts w:ascii="Abadi" w:hAnsi="Abadi" w:cs="ArialMT"/>
          <w:b/>
          <w:bCs/>
          <w:sz w:val="21"/>
          <w:szCs w:val="21"/>
        </w:rPr>
      </w:pPr>
    </w:p>
    <w:p w14:paraId="3BB93FFF" w14:textId="4C1C30E8" w:rsidR="00624831" w:rsidRDefault="00624831" w:rsidP="00883EBB">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883EBB">
        <w:rPr>
          <w:rFonts w:ascii="Abadi" w:hAnsi="Abadi" w:cs="ArialMT"/>
          <w:b/>
          <w:bCs/>
          <w:sz w:val="21"/>
          <w:szCs w:val="21"/>
        </w:rPr>
        <w:tab/>
      </w:r>
      <w:r>
        <w:rPr>
          <w:rFonts w:ascii="Abadi" w:hAnsi="Abadi" w:cs="ArialMT"/>
          <w:b/>
          <w:bCs/>
          <w:sz w:val="21"/>
          <w:szCs w:val="21"/>
        </w:rPr>
        <w:t>Pág.</w:t>
      </w:r>
      <w:r>
        <w:rPr>
          <w:rFonts w:ascii="Abadi" w:hAnsi="Abadi" w:cs="Arial-ItalicMT"/>
          <w:b/>
          <w:bCs/>
          <w:i/>
          <w:iCs/>
          <w:sz w:val="21"/>
          <w:szCs w:val="21"/>
        </w:rPr>
        <w:t xml:space="preserve"> </w:t>
      </w:r>
      <w:r w:rsidR="00AD2492">
        <w:rPr>
          <w:rFonts w:ascii="Abadi" w:hAnsi="Abadi" w:cs="Arial-ItalicMT"/>
          <w:b/>
          <w:bCs/>
          <w:i/>
          <w:iCs/>
          <w:sz w:val="21"/>
          <w:szCs w:val="21"/>
        </w:rPr>
        <w:t>183</w:t>
      </w:r>
    </w:p>
    <w:p w14:paraId="0E359882" w14:textId="77777777" w:rsidR="00624831" w:rsidRDefault="00624831" w:rsidP="00624831">
      <w:pPr>
        <w:pStyle w:val="Prrafodelista"/>
        <w:autoSpaceDE w:val="0"/>
        <w:autoSpaceDN w:val="0"/>
        <w:adjustRightInd w:val="0"/>
        <w:ind w:left="1287" w:right="709"/>
        <w:contextualSpacing/>
        <w:jc w:val="both"/>
        <w:rPr>
          <w:rFonts w:ascii="Abadi" w:hAnsi="Abadi" w:cs="Arial-ItalicMT"/>
          <w:b/>
          <w:bCs/>
          <w:i/>
          <w:iCs/>
          <w:sz w:val="21"/>
          <w:szCs w:val="21"/>
        </w:rPr>
      </w:pPr>
    </w:p>
    <w:p w14:paraId="1F86CE0C" w14:textId="77777777" w:rsidR="00624831" w:rsidRDefault="00624831" w:rsidP="00624831">
      <w:pPr>
        <w:pStyle w:val="Prrafodelista"/>
        <w:ind w:left="1287" w:right="709"/>
        <w:jc w:val="both"/>
        <w:rPr>
          <w:rFonts w:ascii="Abadi" w:hAnsi="Abadi"/>
          <w:b/>
          <w:bCs/>
          <w:sz w:val="21"/>
          <w:szCs w:val="21"/>
        </w:rPr>
      </w:pPr>
      <w:r w:rsidRPr="00624831">
        <w:rPr>
          <w:rFonts w:ascii="Abadi" w:hAnsi="Abadi"/>
          <w:b/>
          <w:bCs/>
          <w:sz w:val="21"/>
          <w:szCs w:val="21"/>
        </w:rPr>
        <w:t>(Sube a tribuna el diputado Cuauhtémoc Becerra González, para hablar en contra del dictamen en referencia)</w:t>
      </w:r>
    </w:p>
    <w:p w14:paraId="4AA0ADEF" w14:textId="77777777" w:rsidR="00D66F48" w:rsidRDefault="00D66F48" w:rsidP="00624831">
      <w:pPr>
        <w:pStyle w:val="Prrafodelista"/>
        <w:ind w:left="1287" w:right="709"/>
        <w:jc w:val="both"/>
        <w:rPr>
          <w:rFonts w:ascii="Abadi" w:hAnsi="Abadi"/>
          <w:b/>
          <w:bCs/>
          <w:sz w:val="21"/>
          <w:szCs w:val="21"/>
        </w:rPr>
      </w:pPr>
    </w:p>
    <w:p w14:paraId="0740055D" w14:textId="79B193F9" w:rsidR="00883EBB" w:rsidRDefault="00883EBB" w:rsidP="00883EBB">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Pr>
          <w:rFonts w:ascii="Abadi" w:hAnsi="Abadi" w:cs="Arial-ItalicMT"/>
          <w:b/>
          <w:bCs/>
          <w:i/>
          <w:iCs/>
          <w:sz w:val="21"/>
          <w:szCs w:val="21"/>
        </w:rPr>
        <w:t xml:space="preserve"> </w:t>
      </w:r>
      <w:r w:rsidR="00AD2492">
        <w:rPr>
          <w:rFonts w:ascii="Abadi" w:hAnsi="Abadi" w:cs="Arial-ItalicMT"/>
          <w:b/>
          <w:bCs/>
          <w:i/>
          <w:iCs/>
          <w:sz w:val="21"/>
          <w:szCs w:val="21"/>
        </w:rPr>
        <w:t>193</w:t>
      </w:r>
    </w:p>
    <w:p w14:paraId="0FC15755" w14:textId="77777777" w:rsidR="00883EBB" w:rsidRDefault="00883EBB" w:rsidP="00624831">
      <w:pPr>
        <w:pStyle w:val="Prrafodelista"/>
        <w:ind w:left="1287" w:right="709"/>
        <w:jc w:val="both"/>
        <w:rPr>
          <w:rFonts w:ascii="Abadi" w:hAnsi="Abadi"/>
          <w:b/>
          <w:bCs/>
          <w:sz w:val="21"/>
          <w:szCs w:val="21"/>
        </w:rPr>
      </w:pPr>
    </w:p>
    <w:p w14:paraId="41C32E38" w14:textId="77777777" w:rsidR="00D66F48" w:rsidRPr="00877762" w:rsidRDefault="00D66F48" w:rsidP="00883EBB">
      <w:pPr>
        <w:ind w:left="1276" w:right="709"/>
        <w:jc w:val="both"/>
        <w:rPr>
          <w:rFonts w:ascii="Abadi" w:hAnsi="Abadi"/>
          <w:b/>
          <w:bCs/>
          <w:sz w:val="21"/>
          <w:szCs w:val="21"/>
        </w:rPr>
      </w:pPr>
      <w:r w:rsidRPr="00877762">
        <w:rPr>
          <w:rFonts w:ascii="Abadi" w:hAnsi="Abadi"/>
          <w:b/>
          <w:bCs/>
          <w:sz w:val="21"/>
          <w:szCs w:val="21"/>
        </w:rPr>
        <w:t xml:space="preserve">(Sube a tribuna el diputado Alejandro Arias Ávila, para hablar </w:t>
      </w:r>
      <w:r>
        <w:rPr>
          <w:rFonts w:ascii="Abadi" w:hAnsi="Abadi"/>
          <w:b/>
          <w:bCs/>
          <w:sz w:val="21"/>
          <w:szCs w:val="21"/>
        </w:rPr>
        <w:t xml:space="preserve">a favor </w:t>
      </w:r>
      <w:r w:rsidRPr="00877762">
        <w:rPr>
          <w:rFonts w:ascii="Abadi" w:hAnsi="Abadi"/>
          <w:b/>
          <w:bCs/>
          <w:sz w:val="21"/>
          <w:szCs w:val="21"/>
        </w:rPr>
        <w:t>del dictamen en referencia)</w:t>
      </w:r>
    </w:p>
    <w:p w14:paraId="45D91007" w14:textId="6DC9FEF0" w:rsidR="00883EE5" w:rsidRPr="00883EE5" w:rsidRDefault="00883EBB" w:rsidP="00883EBB">
      <w:pPr>
        <w:autoSpaceDE w:val="0"/>
        <w:autoSpaceDN w:val="0"/>
        <w:adjustRightInd w:val="0"/>
        <w:ind w:right="142"/>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B46FD">
        <w:rPr>
          <w:rFonts w:ascii="Abadi" w:hAnsi="Abadi" w:cs="ArialMT"/>
          <w:b/>
          <w:bCs/>
          <w:sz w:val="21"/>
          <w:szCs w:val="21"/>
        </w:rPr>
        <w:t xml:space="preserve"> 194</w:t>
      </w:r>
    </w:p>
    <w:p w14:paraId="36323D5A"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40686D41"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Seguridad Pública y Comunicaciones relativo a la propuesta de punto de acuerdo suscrita por la diputada Irma Leticia González Sánchez, integrante del Grupo Parlamentario del partido MORENA, mediante la cual se acuerda girar un atento exhorto al Ayuntamiento de León, Guanajuato, para que, actualice su Reglamento del Sistema Municipal de Protección Civil de León, en donde incluya </w:t>
      </w:r>
      <w:r w:rsidRPr="00006796">
        <w:rPr>
          <w:rFonts w:ascii="Abadi" w:hAnsi="Abadi" w:cs="ArialMT"/>
          <w:b/>
          <w:bCs/>
          <w:sz w:val="21"/>
          <w:szCs w:val="21"/>
        </w:rPr>
        <w:lastRenderedPageBreak/>
        <w:t xml:space="preserve">y desarrolle un apartado sobre el Uso de Aeronaves Piloteadas a Distancia y Globos Aerostáticos. </w:t>
      </w:r>
      <w:r w:rsidRPr="00006796">
        <w:rPr>
          <w:rFonts w:ascii="Abadi" w:hAnsi="Abadi" w:cs="Arial-ItalicMT"/>
          <w:b/>
          <w:bCs/>
          <w:i/>
          <w:iCs/>
          <w:sz w:val="21"/>
          <w:szCs w:val="21"/>
        </w:rPr>
        <w:t>(ELD 255/LXV-PPA)</w:t>
      </w:r>
    </w:p>
    <w:p w14:paraId="07D9CD31"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15CE584B" w14:textId="3D4B336A"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B46FD">
        <w:rPr>
          <w:rFonts w:ascii="Abadi" w:hAnsi="Abadi" w:cs="ArialMT"/>
          <w:b/>
          <w:bCs/>
          <w:sz w:val="21"/>
          <w:szCs w:val="21"/>
        </w:rPr>
        <w:t xml:space="preserve"> 196</w:t>
      </w:r>
    </w:p>
    <w:p w14:paraId="5564206D" w14:textId="77777777" w:rsidR="007C5594"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617B194E" w14:textId="77777777" w:rsidR="00047890" w:rsidRDefault="00047890" w:rsidP="00047890">
      <w:pPr>
        <w:pStyle w:val="Prrafodelista"/>
        <w:autoSpaceDE w:val="0"/>
        <w:autoSpaceDN w:val="0"/>
        <w:adjustRightInd w:val="0"/>
        <w:ind w:left="1287" w:right="709"/>
        <w:contextualSpacing/>
        <w:jc w:val="both"/>
        <w:rPr>
          <w:rFonts w:ascii="Abadi" w:hAnsi="Abadi" w:cs="Arial-ItalicMT"/>
          <w:b/>
          <w:bCs/>
          <w:i/>
          <w:iCs/>
          <w:sz w:val="21"/>
          <w:szCs w:val="21"/>
        </w:rPr>
      </w:pPr>
    </w:p>
    <w:p w14:paraId="775DCC4D" w14:textId="77777777" w:rsidR="00047890" w:rsidRDefault="00047890" w:rsidP="00047890">
      <w:pPr>
        <w:pStyle w:val="Prrafodelista"/>
        <w:ind w:left="1287" w:right="709"/>
        <w:jc w:val="both"/>
        <w:rPr>
          <w:rFonts w:ascii="Abadi" w:hAnsi="Abadi"/>
          <w:b/>
          <w:bCs/>
          <w:sz w:val="21"/>
          <w:szCs w:val="21"/>
        </w:rPr>
      </w:pPr>
      <w:r w:rsidRPr="00047890">
        <w:rPr>
          <w:rFonts w:ascii="Abadi" w:hAnsi="Abadi"/>
          <w:b/>
          <w:bCs/>
          <w:sz w:val="21"/>
          <w:szCs w:val="21"/>
        </w:rPr>
        <w:t>(Sube a tribuna la diputada Irma Leticia González Sánchez, para hablar a favor del dictamen)</w:t>
      </w:r>
    </w:p>
    <w:p w14:paraId="482D6A1C" w14:textId="488AC782" w:rsidR="00047890" w:rsidRDefault="00047890" w:rsidP="00047890">
      <w:pPr>
        <w:pStyle w:val="Prrafodelista"/>
        <w:ind w:left="1287" w:right="709"/>
        <w:jc w:val="both"/>
        <w:rPr>
          <w:rFonts w:ascii="Abadi" w:hAnsi="Abadi"/>
          <w:b/>
          <w:bCs/>
          <w:sz w:val="21"/>
          <w:szCs w:val="21"/>
        </w:rPr>
      </w:pPr>
    </w:p>
    <w:p w14:paraId="24B244D5" w14:textId="179FC762" w:rsidR="00047890" w:rsidRPr="00047890" w:rsidRDefault="00047890" w:rsidP="00047890">
      <w:pPr>
        <w:pStyle w:val="Prrafodelista"/>
        <w:ind w:left="1287"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t xml:space="preserve">Pág. </w:t>
      </w:r>
      <w:r w:rsidR="001B46FD">
        <w:rPr>
          <w:rFonts w:ascii="Abadi" w:hAnsi="Abadi"/>
          <w:b/>
          <w:bCs/>
          <w:sz w:val="21"/>
          <w:szCs w:val="21"/>
        </w:rPr>
        <w:t>200</w:t>
      </w:r>
    </w:p>
    <w:p w14:paraId="01341C00" w14:textId="77777777" w:rsidR="00B67903" w:rsidRPr="00006796" w:rsidRDefault="00B67903" w:rsidP="00B67903">
      <w:pPr>
        <w:jc w:val="both"/>
        <w:rPr>
          <w:rFonts w:ascii="Abadi" w:hAnsi="Abadi" w:cs="Arial-ItalicMT"/>
          <w:b/>
          <w:bCs/>
          <w:i/>
          <w:iCs/>
          <w:sz w:val="21"/>
          <w:szCs w:val="21"/>
        </w:rPr>
      </w:pPr>
    </w:p>
    <w:p w14:paraId="4722E71E"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Gobernación y Puntos Constitucionales relativo a tres iniciativas la primera, suscrita por las diputadas Yulma Rocha Aguilar, Martha Lourdes Ortega Roque y Dessire </w:t>
      </w:r>
      <w:proofErr w:type="spellStart"/>
      <w:r w:rsidRPr="00006796">
        <w:rPr>
          <w:rFonts w:ascii="Abadi" w:hAnsi="Abadi" w:cs="ArialMT"/>
          <w:b/>
          <w:bCs/>
          <w:sz w:val="21"/>
          <w:szCs w:val="21"/>
        </w:rPr>
        <w:t>Angel</w:t>
      </w:r>
      <w:proofErr w:type="spellEnd"/>
      <w:r w:rsidRPr="00006796">
        <w:rPr>
          <w:rFonts w:ascii="Abadi" w:hAnsi="Abadi" w:cs="ArialMT"/>
          <w:b/>
          <w:bCs/>
          <w:sz w:val="21"/>
          <w:szCs w:val="21"/>
        </w:rPr>
        <w:t xml:space="preserve"> Rocha por la que se reforman los artículos 46, 69 y 111 de la Constitución Política para el Estado de Guanajuato; y se adiciona un artículo 194 Bis a la Ley de Instituciones y Procedimientos Electorales para el Estado de Guanajuato, </w:t>
      </w:r>
      <w:r w:rsidRPr="00006796">
        <w:rPr>
          <w:rFonts w:ascii="Abadi" w:hAnsi="Abadi" w:cs="Arial-ItalicMT"/>
          <w:b/>
          <w:bCs/>
          <w:i/>
          <w:iCs/>
          <w:sz w:val="21"/>
          <w:szCs w:val="21"/>
        </w:rPr>
        <w:t xml:space="preserve">en la parte que corresponde al primero de los ordenamientos; </w:t>
      </w:r>
      <w:r w:rsidRPr="00006796">
        <w:rPr>
          <w:rFonts w:ascii="Abadi" w:hAnsi="Abadi" w:cs="ArialMT"/>
          <w:b/>
          <w:bCs/>
          <w:sz w:val="21"/>
          <w:szCs w:val="21"/>
        </w:rPr>
        <w:t xml:space="preserve">la segunda, formulada por la diputada Hades Berenice Aguilar Castillo y el diputado David Martínez Mendizábal integrantes del Grupo Parlamentario del Partido MORENA a efecto de adicionar una fracción VII al artículo </w:t>
      </w:r>
      <w:r w:rsidRPr="00006796">
        <w:rPr>
          <w:rFonts w:ascii="Abadi" w:hAnsi="Abadi" w:cs="ArialMT"/>
          <w:b/>
          <w:bCs/>
          <w:sz w:val="21"/>
          <w:szCs w:val="21"/>
        </w:rPr>
        <w:t xml:space="preserve">25, y una fracción IV al artículo 26, de la Constitución Política para el Estado de Guanajuato y, la tercera, de reformas y adiciones a diversos artículos de la Constitución Política para el Estado de Guanajuato, </w:t>
      </w:r>
      <w:r w:rsidRPr="00006796">
        <w:rPr>
          <w:rFonts w:ascii="Abadi" w:hAnsi="Abadi" w:cs="Arial-ItalicMT"/>
          <w:b/>
          <w:bCs/>
          <w:i/>
          <w:iCs/>
          <w:sz w:val="21"/>
          <w:szCs w:val="21"/>
        </w:rPr>
        <w:t xml:space="preserve">en materia de armonización sobre suspensión de derechos para ocupar un cargo, empleo o comisión del servicio público, </w:t>
      </w:r>
      <w:r w:rsidRPr="00006796">
        <w:rPr>
          <w:rFonts w:ascii="Abadi" w:hAnsi="Abadi" w:cs="ArialMT"/>
          <w:b/>
          <w:bCs/>
          <w:sz w:val="21"/>
          <w:szCs w:val="21"/>
        </w:rPr>
        <w:t xml:space="preserve">suscrita por las diputadas y los diputados integrantes de la Comisión de Gobernación y Puntos Constitucionales, así como por diputadas integrantes de la Sexagésima Quinta Legislatura del Congreso del Estado de Guanajuato. </w:t>
      </w:r>
      <w:r w:rsidRPr="00006796">
        <w:rPr>
          <w:rFonts w:ascii="Abadi" w:hAnsi="Abadi" w:cs="Arial-ItalicMT"/>
          <w:b/>
          <w:bCs/>
          <w:i/>
          <w:iCs/>
          <w:sz w:val="21"/>
          <w:szCs w:val="21"/>
        </w:rPr>
        <w:t>(ELD 182A/LXV-I, ELD 449/LXV-I y ELD 507/LXV-I).</w:t>
      </w:r>
    </w:p>
    <w:p w14:paraId="2A0058AB" w14:textId="37B8F585" w:rsidR="00554CA8" w:rsidRDefault="00554CA8" w:rsidP="00554CA8">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0F4643">
        <w:rPr>
          <w:rFonts w:ascii="Abadi" w:hAnsi="Abadi" w:cs="ArialMT"/>
          <w:b/>
          <w:bCs/>
          <w:sz w:val="21"/>
          <w:szCs w:val="21"/>
        </w:rPr>
        <w:t>201</w:t>
      </w:r>
    </w:p>
    <w:p w14:paraId="6404B7EF" w14:textId="77777777" w:rsidR="00554CA8" w:rsidRDefault="00554CA8" w:rsidP="00554CA8">
      <w:pPr>
        <w:pStyle w:val="Prrafodelista"/>
        <w:autoSpaceDE w:val="0"/>
        <w:autoSpaceDN w:val="0"/>
        <w:adjustRightInd w:val="0"/>
        <w:ind w:left="1287" w:right="709"/>
        <w:contextualSpacing/>
        <w:jc w:val="both"/>
        <w:rPr>
          <w:rFonts w:ascii="Abadi" w:hAnsi="Abadi" w:cs="Arial-ItalicMT"/>
          <w:b/>
          <w:bCs/>
          <w:i/>
          <w:iCs/>
          <w:sz w:val="21"/>
          <w:szCs w:val="21"/>
        </w:rPr>
      </w:pPr>
    </w:p>
    <w:p w14:paraId="7468B904" w14:textId="77777777" w:rsidR="00554CA8" w:rsidRPr="00554CA8" w:rsidRDefault="00554CA8" w:rsidP="00554CA8">
      <w:pPr>
        <w:pStyle w:val="Prrafodelista"/>
        <w:ind w:left="1287" w:right="709"/>
        <w:jc w:val="both"/>
        <w:rPr>
          <w:rFonts w:ascii="Abadi" w:hAnsi="Abadi"/>
          <w:b/>
          <w:bCs/>
          <w:sz w:val="21"/>
          <w:szCs w:val="21"/>
        </w:rPr>
      </w:pPr>
      <w:r w:rsidRPr="00554CA8">
        <w:rPr>
          <w:rFonts w:ascii="Abadi" w:hAnsi="Abadi"/>
          <w:b/>
          <w:bCs/>
          <w:sz w:val="21"/>
          <w:szCs w:val="21"/>
        </w:rPr>
        <w:t xml:space="preserve">(Sube a tribuna la diputada Susana Bermúdez Cano, para hablar a favor del dictamen en referencia) </w:t>
      </w:r>
    </w:p>
    <w:p w14:paraId="15ED9EF7" w14:textId="77777777" w:rsidR="00554CA8" w:rsidRPr="00554CA8" w:rsidRDefault="00554CA8" w:rsidP="00554CA8">
      <w:pPr>
        <w:autoSpaceDE w:val="0"/>
        <w:autoSpaceDN w:val="0"/>
        <w:adjustRightInd w:val="0"/>
        <w:ind w:right="709"/>
        <w:contextualSpacing/>
        <w:jc w:val="both"/>
        <w:rPr>
          <w:rFonts w:ascii="Abadi" w:hAnsi="Abadi" w:cs="Arial-ItalicMT"/>
          <w:b/>
          <w:bCs/>
          <w:i/>
          <w:iCs/>
          <w:sz w:val="21"/>
          <w:szCs w:val="21"/>
        </w:rPr>
      </w:pPr>
    </w:p>
    <w:p w14:paraId="4D5FAFC4" w14:textId="2309DE1A" w:rsidR="00554CA8" w:rsidRDefault="00554CA8" w:rsidP="00554CA8">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0F4643">
        <w:rPr>
          <w:rFonts w:ascii="Abadi" w:hAnsi="Abadi" w:cs="ArialMT"/>
          <w:b/>
          <w:bCs/>
          <w:sz w:val="21"/>
          <w:szCs w:val="21"/>
        </w:rPr>
        <w:t>257</w:t>
      </w:r>
    </w:p>
    <w:p w14:paraId="59EA562A" w14:textId="77777777" w:rsidR="000F4643" w:rsidRDefault="000F4643" w:rsidP="00554CA8">
      <w:pPr>
        <w:pStyle w:val="Prrafodelista"/>
        <w:autoSpaceDE w:val="0"/>
        <w:autoSpaceDN w:val="0"/>
        <w:adjustRightInd w:val="0"/>
        <w:ind w:left="1287"/>
        <w:contextualSpacing/>
        <w:jc w:val="both"/>
        <w:rPr>
          <w:rFonts w:ascii="Abadi" w:hAnsi="Abadi" w:cs="ArialMT"/>
          <w:b/>
          <w:bCs/>
          <w:sz w:val="21"/>
          <w:szCs w:val="21"/>
        </w:rPr>
      </w:pPr>
    </w:p>
    <w:p w14:paraId="11213894" w14:textId="77777777" w:rsidR="00CA0845" w:rsidRDefault="00CA0845" w:rsidP="00486560">
      <w:pPr>
        <w:ind w:left="1276" w:right="709"/>
        <w:jc w:val="both"/>
        <w:rPr>
          <w:rFonts w:ascii="Abadi" w:hAnsi="Abadi"/>
          <w:b/>
          <w:bCs/>
          <w:sz w:val="21"/>
          <w:szCs w:val="21"/>
        </w:rPr>
      </w:pPr>
      <w:r w:rsidRPr="0048744F">
        <w:rPr>
          <w:rFonts w:ascii="Abadi" w:hAnsi="Abadi"/>
          <w:b/>
          <w:bCs/>
          <w:sz w:val="21"/>
          <w:szCs w:val="21"/>
        </w:rPr>
        <w:t>(Sube a tribuna la diputada Hades Berenice Aguilar Castillo, para hablar a favor del dictamen en referencia)</w:t>
      </w:r>
    </w:p>
    <w:p w14:paraId="1C972D08" w14:textId="3851B8F8"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4330EE">
        <w:rPr>
          <w:rFonts w:ascii="Abadi" w:hAnsi="Abadi" w:cs="ArialMT"/>
          <w:b/>
          <w:bCs/>
          <w:sz w:val="21"/>
          <w:szCs w:val="21"/>
        </w:rPr>
        <w:t>268</w:t>
      </w:r>
    </w:p>
    <w:p w14:paraId="062A3746" w14:textId="77777777" w:rsidR="00486560" w:rsidRDefault="00486560" w:rsidP="00486560">
      <w:pPr>
        <w:ind w:left="1276" w:right="709"/>
        <w:jc w:val="both"/>
        <w:rPr>
          <w:rFonts w:ascii="Abadi" w:hAnsi="Abadi"/>
          <w:b/>
          <w:bCs/>
          <w:sz w:val="21"/>
          <w:szCs w:val="21"/>
        </w:rPr>
      </w:pPr>
    </w:p>
    <w:p w14:paraId="362707CB" w14:textId="1262BAB6" w:rsidR="00F67264" w:rsidRDefault="00F67264" w:rsidP="00486560">
      <w:pPr>
        <w:ind w:left="1276" w:right="709"/>
        <w:jc w:val="both"/>
        <w:rPr>
          <w:rFonts w:ascii="Abadi" w:hAnsi="Abadi"/>
          <w:b/>
          <w:bCs/>
          <w:sz w:val="21"/>
          <w:szCs w:val="21"/>
        </w:rPr>
      </w:pPr>
      <w:r w:rsidRPr="006F0B31">
        <w:rPr>
          <w:rFonts w:ascii="Abadi" w:hAnsi="Abadi"/>
          <w:b/>
          <w:bCs/>
          <w:sz w:val="21"/>
          <w:szCs w:val="21"/>
        </w:rPr>
        <w:t>(Sube a tribuna el diputado Gustavo Adolfo Alfaro Reyes, para hablar a favor del dictamen en referencia)</w:t>
      </w:r>
    </w:p>
    <w:p w14:paraId="30F867B6" w14:textId="77777777" w:rsidR="00D419F3" w:rsidRDefault="00D419F3" w:rsidP="00486560">
      <w:pPr>
        <w:ind w:left="1276" w:right="709"/>
        <w:jc w:val="both"/>
        <w:rPr>
          <w:rFonts w:ascii="Abadi" w:hAnsi="Abadi"/>
          <w:b/>
          <w:bCs/>
          <w:sz w:val="21"/>
          <w:szCs w:val="21"/>
        </w:rPr>
      </w:pPr>
    </w:p>
    <w:p w14:paraId="5ED61DA3" w14:textId="41CA6A88"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4330EE">
        <w:rPr>
          <w:rFonts w:ascii="Abadi" w:hAnsi="Abadi" w:cs="ArialMT"/>
          <w:b/>
          <w:bCs/>
          <w:sz w:val="21"/>
          <w:szCs w:val="21"/>
        </w:rPr>
        <w:t xml:space="preserve"> 269</w:t>
      </w:r>
    </w:p>
    <w:p w14:paraId="411F0A2C" w14:textId="77777777" w:rsidR="00486560" w:rsidRDefault="00486560" w:rsidP="00486560">
      <w:pPr>
        <w:ind w:left="1276" w:right="709"/>
        <w:jc w:val="both"/>
        <w:rPr>
          <w:rFonts w:ascii="Abadi" w:hAnsi="Abadi"/>
          <w:b/>
          <w:bCs/>
          <w:sz w:val="21"/>
          <w:szCs w:val="21"/>
        </w:rPr>
      </w:pPr>
    </w:p>
    <w:p w14:paraId="657ECCFC" w14:textId="77777777" w:rsidR="00D419F3" w:rsidRDefault="00D419F3" w:rsidP="00486560">
      <w:pPr>
        <w:ind w:left="1276" w:right="709"/>
        <w:jc w:val="both"/>
        <w:rPr>
          <w:rFonts w:ascii="Abadi" w:hAnsi="Abadi"/>
          <w:b/>
          <w:bCs/>
          <w:sz w:val="21"/>
          <w:szCs w:val="21"/>
        </w:rPr>
      </w:pPr>
      <w:r w:rsidRPr="00D043D3">
        <w:rPr>
          <w:rFonts w:ascii="Abadi" w:hAnsi="Abadi"/>
          <w:b/>
          <w:bCs/>
          <w:sz w:val="21"/>
          <w:szCs w:val="21"/>
        </w:rPr>
        <w:t xml:space="preserve">(Sube a tribuna la diputada Martha Lourdes Ortega Roque, para hablar a favor del dictamen </w:t>
      </w:r>
      <w:r>
        <w:rPr>
          <w:rFonts w:ascii="Abadi" w:hAnsi="Abadi"/>
          <w:b/>
          <w:bCs/>
          <w:sz w:val="21"/>
          <w:szCs w:val="21"/>
        </w:rPr>
        <w:t xml:space="preserve">en </w:t>
      </w:r>
      <w:r w:rsidRPr="00D043D3">
        <w:rPr>
          <w:rFonts w:ascii="Abadi" w:hAnsi="Abadi"/>
          <w:b/>
          <w:bCs/>
          <w:sz w:val="21"/>
          <w:szCs w:val="21"/>
        </w:rPr>
        <w:t>referencia)</w:t>
      </w:r>
    </w:p>
    <w:p w14:paraId="2828A2BC" w14:textId="77777777" w:rsidR="00786632" w:rsidRDefault="00786632" w:rsidP="00486560">
      <w:pPr>
        <w:ind w:left="1276" w:right="709"/>
        <w:jc w:val="both"/>
        <w:rPr>
          <w:rFonts w:ascii="Abadi" w:hAnsi="Abadi"/>
          <w:b/>
          <w:bCs/>
          <w:sz w:val="21"/>
          <w:szCs w:val="21"/>
        </w:rPr>
      </w:pPr>
    </w:p>
    <w:p w14:paraId="3F42984C" w14:textId="54B2AF01"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C32042">
        <w:rPr>
          <w:rFonts w:ascii="Abadi" w:hAnsi="Abadi" w:cs="ArialMT"/>
          <w:b/>
          <w:bCs/>
          <w:sz w:val="21"/>
          <w:szCs w:val="21"/>
        </w:rPr>
        <w:t>270</w:t>
      </w:r>
    </w:p>
    <w:p w14:paraId="5ACE8148" w14:textId="77777777" w:rsidR="00486560" w:rsidRDefault="00486560" w:rsidP="00486560">
      <w:pPr>
        <w:ind w:left="1276" w:right="709"/>
        <w:jc w:val="both"/>
        <w:rPr>
          <w:rFonts w:ascii="Abadi" w:hAnsi="Abadi"/>
          <w:b/>
          <w:bCs/>
          <w:sz w:val="21"/>
          <w:szCs w:val="21"/>
        </w:rPr>
      </w:pPr>
    </w:p>
    <w:p w14:paraId="31F1B4BA" w14:textId="77777777" w:rsidR="00786632" w:rsidRDefault="00786632" w:rsidP="00486560">
      <w:pPr>
        <w:ind w:left="1276" w:right="709"/>
        <w:jc w:val="both"/>
        <w:rPr>
          <w:rFonts w:ascii="Abadi" w:hAnsi="Abadi"/>
          <w:b/>
          <w:bCs/>
          <w:sz w:val="21"/>
          <w:szCs w:val="21"/>
        </w:rPr>
      </w:pPr>
      <w:r w:rsidRPr="0068178E">
        <w:rPr>
          <w:rFonts w:ascii="Abadi" w:hAnsi="Abadi"/>
          <w:b/>
          <w:bCs/>
          <w:sz w:val="21"/>
          <w:szCs w:val="21"/>
        </w:rPr>
        <w:t>(Sube a tribuna la diputada Susana Bermúdez Cano, para rectificación de hechos de la diputada que le antecedió en el uso de la voz)</w:t>
      </w:r>
    </w:p>
    <w:p w14:paraId="3D22D495" w14:textId="77777777" w:rsidR="00486560" w:rsidRDefault="00486560" w:rsidP="00486560">
      <w:pPr>
        <w:ind w:left="1276" w:right="709"/>
        <w:jc w:val="both"/>
        <w:rPr>
          <w:rFonts w:ascii="Abadi" w:hAnsi="Abadi"/>
          <w:b/>
          <w:bCs/>
          <w:sz w:val="21"/>
          <w:szCs w:val="21"/>
        </w:rPr>
      </w:pPr>
    </w:p>
    <w:p w14:paraId="5CFF334E" w14:textId="14E4B524"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4330EE">
        <w:rPr>
          <w:rFonts w:ascii="Abadi" w:hAnsi="Abadi" w:cs="ArialMT"/>
          <w:b/>
          <w:bCs/>
          <w:sz w:val="21"/>
          <w:szCs w:val="21"/>
        </w:rPr>
        <w:t>27</w:t>
      </w:r>
      <w:r w:rsidR="00076162">
        <w:rPr>
          <w:rFonts w:ascii="Abadi" w:hAnsi="Abadi" w:cs="ArialMT"/>
          <w:b/>
          <w:bCs/>
          <w:sz w:val="21"/>
          <w:szCs w:val="21"/>
        </w:rPr>
        <w:t>2</w:t>
      </w:r>
    </w:p>
    <w:p w14:paraId="11A0B2FC" w14:textId="77777777" w:rsidR="00486560" w:rsidRDefault="00486560" w:rsidP="00486560">
      <w:pPr>
        <w:ind w:left="1276" w:right="709"/>
        <w:jc w:val="both"/>
        <w:rPr>
          <w:rFonts w:ascii="Abadi" w:hAnsi="Abadi"/>
          <w:b/>
          <w:bCs/>
          <w:sz w:val="21"/>
          <w:szCs w:val="21"/>
        </w:rPr>
      </w:pPr>
    </w:p>
    <w:p w14:paraId="7E81668A" w14:textId="77777777" w:rsidR="004B283B" w:rsidRDefault="004B283B" w:rsidP="00486560">
      <w:pPr>
        <w:ind w:left="1276" w:right="709"/>
        <w:jc w:val="both"/>
        <w:rPr>
          <w:rFonts w:ascii="Abadi" w:hAnsi="Abadi"/>
          <w:b/>
          <w:bCs/>
          <w:sz w:val="21"/>
          <w:szCs w:val="21"/>
        </w:rPr>
      </w:pPr>
      <w:r w:rsidRPr="008438D6">
        <w:rPr>
          <w:rFonts w:ascii="Abadi" w:hAnsi="Abadi"/>
          <w:b/>
          <w:bCs/>
          <w:sz w:val="21"/>
          <w:szCs w:val="21"/>
        </w:rPr>
        <w:t>(Sube a tribuna la diputada Yulma Rocha Aguilar, para rectificación de hechos)</w:t>
      </w:r>
    </w:p>
    <w:p w14:paraId="2C8DABDE" w14:textId="77777777"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1BFC9FDF" w14:textId="6D52646D" w:rsidR="00486560" w:rsidRDefault="00486560" w:rsidP="00486560">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 xml:space="preserve">Pág. </w:t>
      </w:r>
      <w:r w:rsidR="00C32042">
        <w:rPr>
          <w:rFonts w:ascii="Abadi" w:hAnsi="Abadi" w:cs="ArialMT"/>
          <w:b/>
          <w:bCs/>
          <w:sz w:val="21"/>
          <w:szCs w:val="21"/>
        </w:rPr>
        <w:t>27</w:t>
      </w:r>
      <w:r w:rsidR="00076162">
        <w:rPr>
          <w:rFonts w:ascii="Abadi" w:hAnsi="Abadi" w:cs="ArialMT"/>
          <w:b/>
          <w:bCs/>
          <w:sz w:val="21"/>
          <w:szCs w:val="21"/>
        </w:rPr>
        <w:t>3</w:t>
      </w:r>
    </w:p>
    <w:p w14:paraId="39FF8E23" w14:textId="77777777" w:rsidR="00486560" w:rsidRDefault="00486560" w:rsidP="00486560">
      <w:pPr>
        <w:ind w:left="1276" w:right="709"/>
        <w:jc w:val="both"/>
        <w:rPr>
          <w:rFonts w:ascii="Abadi" w:hAnsi="Abadi"/>
          <w:b/>
          <w:bCs/>
          <w:sz w:val="21"/>
          <w:szCs w:val="21"/>
        </w:rPr>
      </w:pPr>
    </w:p>
    <w:p w14:paraId="6B56DDA1" w14:textId="61C9017E" w:rsidR="004B283B" w:rsidRDefault="00486560" w:rsidP="00786632">
      <w:pPr>
        <w:jc w:val="both"/>
        <w:rPr>
          <w:rFonts w:ascii="Abadi" w:hAnsi="Abadi"/>
          <w:b/>
          <w:bCs/>
          <w:sz w:val="21"/>
          <w:szCs w:val="21"/>
        </w:rPr>
      </w:pPr>
      <w:r>
        <w:rPr>
          <w:rFonts w:ascii="Abadi" w:hAnsi="Abadi"/>
          <w:b/>
          <w:bCs/>
          <w:sz w:val="21"/>
          <w:szCs w:val="21"/>
        </w:rPr>
        <w:tab/>
      </w:r>
      <w:r>
        <w:rPr>
          <w:rFonts w:ascii="Abadi" w:hAnsi="Abadi"/>
          <w:b/>
          <w:bCs/>
          <w:sz w:val="21"/>
          <w:szCs w:val="21"/>
        </w:rPr>
        <w:tab/>
      </w:r>
    </w:p>
    <w:p w14:paraId="3420A9E1" w14:textId="017FE443"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5170ED">
        <w:rPr>
          <w:rFonts w:ascii="Abadi" w:hAnsi="Abadi" w:cs="ArialMT"/>
          <w:b/>
          <w:bCs/>
          <w:sz w:val="21"/>
          <w:szCs w:val="21"/>
        </w:rPr>
        <w:t>Discusión y, en su caso, aprobación del dictamen suscrito por la Comisión de Justicia relativo a la iniciativa a efecto de reformar el artículo 2197 y adicionar los artículos 2195-A, 2195-B, 2195-C, 2195-D, 2195-E y 2212–A, al Código Civil para el Estado de Guanajuato presentada por diputadas y diputados integrantes del Grupo Parlamentario del Partido Acción Nacional.</w:t>
      </w:r>
      <w:r w:rsidR="005170ED" w:rsidRPr="005170ED">
        <w:rPr>
          <w:rFonts w:ascii="Abadi" w:hAnsi="Abadi" w:cs="ArialMT"/>
          <w:b/>
          <w:bCs/>
          <w:sz w:val="21"/>
          <w:szCs w:val="21"/>
        </w:rPr>
        <w:t xml:space="preserve"> </w:t>
      </w:r>
      <w:r w:rsidRPr="005170ED">
        <w:rPr>
          <w:rFonts w:ascii="Abadi" w:hAnsi="Abadi" w:cs="Arial-ItalicMT"/>
          <w:b/>
          <w:bCs/>
          <w:i/>
          <w:iCs/>
          <w:sz w:val="21"/>
          <w:szCs w:val="21"/>
        </w:rPr>
        <w:t>(ELD 329/LXV-I)</w:t>
      </w:r>
    </w:p>
    <w:p w14:paraId="3C3544DD" w14:textId="48B0EC3F" w:rsidR="001C4417" w:rsidRPr="00076162" w:rsidRDefault="001C4417" w:rsidP="001C4417">
      <w:pPr>
        <w:pStyle w:val="Prrafodelista"/>
        <w:autoSpaceDE w:val="0"/>
        <w:autoSpaceDN w:val="0"/>
        <w:adjustRightInd w:val="0"/>
        <w:ind w:left="1287"/>
        <w:contextualSpacing/>
        <w:jc w:val="both"/>
        <w:rPr>
          <w:rFonts w:ascii="Abadi" w:hAnsi="Abadi" w:cs="Arial-Italic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Pr>
          <w:rFonts w:ascii="Abadi" w:hAnsi="Abadi" w:cs="Arial-ItalicMT"/>
          <w:b/>
          <w:bCs/>
          <w:i/>
          <w:iCs/>
          <w:sz w:val="21"/>
          <w:szCs w:val="21"/>
        </w:rPr>
        <w:t xml:space="preserve"> </w:t>
      </w:r>
      <w:r w:rsidR="00076162" w:rsidRPr="00076162">
        <w:rPr>
          <w:rFonts w:ascii="Abadi" w:hAnsi="Abadi" w:cs="Arial-ItalicMT"/>
          <w:b/>
          <w:bCs/>
          <w:sz w:val="21"/>
          <w:szCs w:val="21"/>
        </w:rPr>
        <w:t>274</w:t>
      </w:r>
    </w:p>
    <w:p w14:paraId="123F6B24" w14:textId="77777777" w:rsidR="001C4417" w:rsidRDefault="001C4417" w:rsidP="001C4417">
      <w:pPr>
        <w:pStyle w:val="Prrafodelista"/>
        <w:autoSpaceDE w:val="0"/>
        <w:autoSpaceDN w:val="0"/>
        <w:adjustRightInd w:val="0"/>
        <w:ind w:left="1287" w:right="709"/>
        <w:contextualSpacing/>
        <w:jc w:val="both"/>
        <w:rPr>
          <w:rFonts w:ascii="Abadi" w:hAnsi="Abadi" w:cs="Arial-ItalicMT"/>
          <w:b/>
          <w:bCs/>
          <w:i/>
          <w:iCs/>
          <w:sz w:val="21"/>
          <w:szCs w:val="21"/>
        </w:rPr>
      </w:pPr>
    </w:p>
    <w:p w14:paraId="7618469D" w14:textId="3826DD9A" w:rsidR="001C4417" w:rsidRPr="001C4417" w:rsidRDefault="001C4417" w:rsidP="001C4417">
      <w:pPr>
        <w:pStyle w:val="Prrafodelista"/>
        <w:ind w:left="1287" w:right="709"/>
        <w:jc w:val="both"/>
        <w:rPr>
          <w:rFonts w:ascii="Abadi" w:hAnsi="Abadi"/>
          <w:b/>
          <w:bCs/>
          <w:sz w:val="21"/>
          <w:szCs w:val="21"/>
        </w:rPr>
      </w:pPr>
      <w:r w:rsidRPr="001C4417">
        <w:rPr>
          <w:rFonts w:ascii="Abadi" w:hAnsi="Abadi"/>
          <w:b/>
          <w:bCs/>
          <w:sz w:val="21"/>
          <w:szCs w:val="21"/>
        </w:rPr>
        <w:t xml:space="preserve">(Sube a tribuna la diputada Laura Cristina Márquez Alcalá, para hablar como autora del dictamen en referencia) </w:t>
      </w:r>
    </w:p>
    <w:p w14:paraId="6EA3AB1A" w14:textId="77777777" w:rsidR="00486560" w:rsidRPr="00486560" w:rsidRDefault="00486560" w:rsidP="00486560">
      <w:pPr>
        <w:autoSpaceDE w:val="0"/>
        <w:autoSpaceDN w:val="0"/>
        <w:adjustRightInd w:val="0"/>
        <w:ind w:right="709"/>
        <w:contextualSpacing/>
        <w:jc w:val="both"/>
        <w:rPr>
          <w:rFonts w:ascii="Abadi" w:hAnsi="Abadi" w:cs="Arial-ItalicMT"/>
          <w:b/>
          <w:bCs/>
          <w:i/>
          <w:iCs/>
          <w:sz w:val="21"/>
          <w:szCs w:val="21"/>
        </w:rPr>
      </w:pPr>
    </w:p>
    <w:p w14:paraId="1285FF25" w14:textId="0061A381" w:rsidR="001C4417" w:rsidRDefault="001C4417" w:rsidP="001C4417">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Pr>
          <w:rFonts w:ascii="Abadi" w:hAnsi="Abadi" w:cs="Arial-ItalicMT"/>
          <w:b/>
          <w:bCs/>
          <w:i/>
          <w:iCs/>
          <w:sz w:val="21"/>
          <w:szCs w:val="21"/>
        </w:rPr>
        <w:t xml:space="preserve"> </w:t>
      </w:r>
      <w:r w:rsidR="00076162">
        <w:rPr>
          <w:rFonts w:ascii="Abadi" w:hAnsi="Abadi" w:cs="Arial-ItalicMT"/>
          <w:b/>
          <w:bCs/>
          <w:i/>
          <w:iCs/>
          <w:sz w:val="21"/>
          <w:szCs w:val="21"/>
        </w:rPr>
        <w:t>285</w:t>
      </w:r>
    </w:p>
    <w:p w14:paraId="6421F048"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050BE84E" w14:textId="1540A64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Fomento Agropecuario relativo a la iniciativa suscrita por diputadas y diputados integrantes del Grupo Parlamentario del Partido Acción Nacional por la que se reforman y adicionan diversas disposiciones de la Ley de Fomento y Desarrollo Agrícola para el Estado de Guanajuato. </w:t>
      </w:r>
      <w:r w:rsidRPr="00006796">
        <w:rPr>
          <w:rFonts w:ascii="Abadi" w:hAnsi="Abadi" w:cs="Arial-ItalicMT"/>
          <w:b/>
          <w:bCs/>
          <w:i/>
          <w:iCs/>
          <w:sz w:val="21"/>
          <w:szCs w:val="21"/>
        </w:rPr>
        <w:t>(ELD 337/LXV-I)</w:t>
      </w:r>
    </w:p>
    <w:p w14:paraId="7D89AF11" w14:textId="77777777" w:rsidR="00CC4A56" w:rsidRDefault="00CC4A56" w:rsidP="00CC4A56">
      <w:pPr>
        <w:pStyle w:val="Prrafodelista"/>
        <w:autoSpaceDE w:val="0"/>
        <w:autoSpaceDN w:val="0"/>
        <w:adjustRightInd w:val="0"/>
        <w:ind w:left="1287" w:right="709"/>
        <w:contextualSpacing/>
        <w:jc w:val="both"/>
        <w:rPr>
          <w:rFonts w:ascii="Abadi" w:hAnsi="Abadi" w:cs="Arial-ItalicMT"/>
          <w:b/>
          <w:bCs/>
          <w:i/>
          <w:iCs/>
          <w:sz w:val="21"/>
          <w:szCs w:val="21"/>
        </w:rPr>
      </w:pPr>
    </w:p>
    <w:p w14:paraId="6254633B" w14:textId="7418EEE5" w:rsidR="00CC4A56" w:rsidRDefault="00CC4A56" w:rsidP="00CC4A56">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433FB">
        <w:rPr>
          <w:rFonts w:ascii="Abadi" w:hAnsi="Abadi" w:cs="ArialMT"/>
          <w:b/>
          <w:bCs/>
          <w:sz w:val="21"/>
          <w:szCs w:val="21"/>
        </w:rPr>
        <w:t xml:space="preserve"> 287</w:t>
      </w:r>
    </w:p>
    <w:p w14:paraId="73150149" w14:textId="77777777" w:rsidR="00CC4A56" w:rsidRDefault="00CC4A56" w:rsidP="00CC4A56">
      <w:pPr>
        <w:pStyle w:val="Prrafodelista"/>
        <w:autoSpaceDE w:val="0"/>
        <w:autoSpaceDN w:val="0"/>
        <w:adjustRightInd w:val="0"/>
        <w:ind w:left="1287" w:right="709"/>
        <w:contextualSpacing/>
        <w:jc w:val="both"/>
        <w:rPr>
          <w:rFonts w:ascii="Abadi" w:hAnsi="Abadi" w:cs="Arial-ItalicMT"/>
          <w:b/>
          <w:bCs/>
          <w:i/>
          <w:iCs/>
          <w:sz w:val="21"/>
          <w:szCs w:val="21"/>
        </w:rPr>
      </w:pPr>
    </w:p>
    <w:p w14:paraId="0FB8CA4D" w14:textId="77777777" w:rsidR="00CC4A56" w:rsidRPr="00CC4A56" w:rsidRDefault="00CC4A56" w:rsidP="00CC4A56">
      <w:pPr>
        <w:pStyle w:val="Prrafodelista"/>
        <w:ind w:left="1287" w:right="709"/>
        <w:jc w:val="both"/>
        <w:rPr>
          <w:rFonts w:ascii="Abadi" w:hAnsi="Abadi"/>
          <w:b/>
          <w:bCs/>
          <w:sz w:val="21"/>
          <w:szCs w:val="21"/>
        </w:rPr>
      </w:pPr>
      <w:r w:rsidRPr="00CC4A56">
        <w:rPr>
          <w:rFonts w:ascii="Abadi" w:hAnsi="Abadi"/>
          <w:b/>
          <w:bCs/>
          <w:sz w:val="21"/>
          <w:szCs w:val="21"/>
        </w:rPr>
        <w:t>(Sube a tribuna el diputado Víctor Manuel Zanella Huerta, para hablar a favor del dictamen)</w:t>
      </w:r>
    </w:p>
    <w:p w14:paraId="7A8BF8FA" w14:textId="77777777" w:rsidR="00CC4A56" w:rsidRDefault="00CC4A56" w:rsidP="00CC4A56">
      <w:pPr>
        <w:autoSpaceDE w:val="0"/>
        <w:autoSpaceDN w:val="0"/>
        <w:adjustRightInd w:val="0"/>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2F694978" w14:textId="4051A4CC" w:rsidR="00FB775A" w:rsidRPr="00FB775A" w:rsidRDefault="00CC4A56" w:rsidP="00CC4A56">
      <w:pPr>
        <w:autoSpaceDE w:val="0"/>
        <w:autoSpaceDN w:val="0"/>
        <w:adjustRightInd w:val="0"/>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433FB">
        <w:rPr>
          <w:rFonts w:ascii="Abadi" w:hAnsi="Abadi" w:cs="ArialMT"/>
          <w:b/>
          <w:bCs/>
          <w:sz w:val="21"/>
          <w:szCs w:val="21"/>
        </w:rPr>
        <w:t xml:space="preserve"> 293</w:t>
      </w:r>
    </w:p>
    <w:p w14:paraId="34DBAC43"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6A6C5B75"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Fomento Agropecuario relativo a la iniciativa suscrita por diputadas y diputados integrantes del Grupo Parlamentario del Partido Acción Nacional a efecto de adicionar diversas disposiciones a la Ley de Fomento a la Agricultura Familiar del Estado de Guanajuato. </w:t>
      </w:r>
      <w:r w:rsidRPr="00006796">
        <w:rPr>
          <w:rFonts w:ascii="Abadi" w:hAnsi="Abadi" w:cs="Arial-ItalicMT"/>
          <w:b/>
          <w:bCs/>
          <w:i/>
          <w:iCs/>
          <w:sz w:val="21"/>
          <w:szCs w:val="21"/>
        </w:rPr>
        <w:t>(ELD 309/LXV-I)</w:t>
      </w:r>
    </w:p>
    <w:p w14:paraId="43F56BE4" w14:textId="6AB1CD95" w:rsidR="00973E9F" w:rsidRDefault="00973E9F" w:rsidP="005669B6">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sidR="005669B6">
        <w:rPr>
          <w:rFonts w:ascii="Abadi" w:hAnsi="Abadi" w:cs="ArialMT"/>
          <w:b/>
          <w:bCs/>
          <w:sz w:val="21"/>
          <w:szCs w:val="21"/>
        </w:rPr>
        <w:tab/>
      </w:r>
      <w:r>
        <w:rPr>
          <w:rFonts w:ascii="Abadi" w:hAnsi="Abadi" w:cs="ArialMT"/>
          <w:b/>
          <w:bCs/>
          <w:sz w:val="21"/>
          <w:szCs w:val="21"/>
        </w:rPr>
        <w:t>Pá</w:t>
      </w:r>
      <w:r w:rsidR="005669B6">
        <w:rPr>
          <w:rFonts w:ascii="Abadi" w:hAnsi="Abadi" w:cs="ArialMT"/>
          <w:b/>
          <w:bCs/>
          <w:sz w:val="21"/>
          <w:szCs w:val="21"/>
        </w:rPr>
        <w:t>g</w:t>
      </w:r>
      <w:r>
        <w:rPr>
          <w:rFonts w:ascii="Abadi" w:hAnsi="Abadi" w:cs="ArialMT"/>
          <w:b/>
          <w:bCs/>
          <w:sz w:val="21"/>
          <w:szCs w:val="21"/>
        </w:rPr>
        <w:t>.</w:t>
      </w:r>
      <w:r w:rsidR="006433FB">
        <w:rPr>
          <w:rFonts w:ascii="Abadi" w:hAnsi="Abadi" w:cs="ArialMT"/>
          <w:b/>
          <w:bCs/>
          <w:sz w:val="21"/>
          <w:szCs w:val="21"/>
        </w:rPr>
        <w:t xml:space="preserve"> 295</w:t>
      </w:r>
    </w:p>
    <w:p w14:paraId="1F95F2AF" w14:textId="77777777" w:rsidR="00973E9F" w:rsidRDefault="00973E9F" w:rsidP="005170ED">
      <w:pPr>
        <w:ind w:right="709"/>
        <w:jc w:val="both"/>
        <w:rPr>
          <w:rFonts w:ascii="Abadi" w:hAnsi="Abadi" w:cs="ArialMT"/>
          <w:b/>
          <w:bCs/>
          <w:sz w:val="21"/>
          <w:szCs w:val="21"/>
        </w:rPr>
      </w:pPr>
    </w:p>
    <w:p w14:paraId="519A134B" w14:textId="2DEF2E18" w:rsidR="00973E9F" w:rsidRDefault="005669B6" w:rsidP="005669B6">
      <w:pPr>
        <w:ind w:left="1276" w:right="709"/>
        <w:jc w:val="both"/>
        <w:rPr>
          <w:rFonts w:ascii="Abadi" w:hAnsi="Abadi"/>
          <w:b/>
          <w:bCs/>
          <w:sz w:val="21"/>
          <w:szCs w:val="21"/>
        </w:rPr>
      </w:pPr>
      <w:r w:rsidRPr="00941913">
        <w:rPr>
          <w:rFonts w:ascii="Abadi" w:hAnsi="Abadi"/>
          <w:b/>
          <w:bCs/>
          <w:sz w:val="21"/>
          <w:szCs w:val="21"/>
        </w:rPr>
        <w:t xml:space="preserve">(Sube a tribuna la diputada Briseida Anabel Magdaleno </w:t>
      </w:r>
      <w:r w:rsidRPr="00941913">
        <w:rPr>
          <w:rFonts w:ascii="Abadi" w:hAnsi="Abadi"/>
          <w:b/>
          <w:bCs/>
          <w:sz w:val="21"/>
          <w:szCs w:val="21"/>
        </w:rPr>
        <w:lastRenderedPageBreak/>
        <w:t>González, para hablar a favor del dictamen en referencia)</w:t>
      </w:r>
    </w:p>
    <w:p w14:paraId="51D4082F" w14:textId="77777777" w:rsidR="005669B6" w:rsidRDefault="005669B6" w:rsidP="005170ED">
      <w:pPr>
        <w:ind w:right="709"/>
        <w:jc w:val="both"/>
        <w:rPr>
          <w:rFonts w:ascii="Abadi" w:hAnsi="Abadi"/>
          <w:b/>
          <w:bCs/>
          <w:sz w:val="21"/>
          <w:szCs w:val="21"/>
        </w:rPr>
      </w:pPr>
    </w:p>
    <w:p w14:paraId="6C9B808D" w14:textId="645ED5D5" w:rsidR="005669B6" w:rsidRDefault="005669B6" w:rsidP="005669B6">
      <w:pPr>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433FB">
        <w:rPr>
          <w:rFonts w:ascii="Abadi" w:hAnsi="Abadi" w:cs="ArialMT"/>
          <w:b/>
          <w:bCs/>
          <w:sz w:val="21"/>
          <w:szCs w:val="21"/>
        </w:rPr>
        <w:t xml:space="preserve"> 302</w:t>
      </w:r>
    </w:p>
    <w:p w14:paraId="270E59E5" w14:textId="77777777" w:rsidR="005669B6" w:rsidRDefault="005669B6" w:rsidP="005170ED">
      <w:pPr>
        <w:ind w:right="709"/>
        <w:jc w:val="both"/>
        <w:rPr>
          <w:rFonts w:ascii="Abadi" w:hAnsi="Abadi"/>
          <w:b/>
          <w:bCs/>
          <w:sz w:val="21"/>
          <w:szCs w:val="21"/>
        </w:rPr>
      </w:pPr>
    </w:p>
    <w:p w14:paraId="74D904E8" w14:textId="77777777" w:rsidR="005669B6" w:rsidRPr="00006796" w:rsidRDefault="005669B6" w:rsidP="005170ED">
      <w:pPr>
        <w:ind w:right="709"/>
        <w:jc w:val="both"/>
        <w:rPr>
          <w:rFonts w:ascii="Abadi" w:hAnsi="Abadi" w:cs="Arial-ItalicMT"/>
          <w:b/>
          <w:bCs/>
          <w:i/>
          <w:iCs/>
          <w:sz w:val="21"/>
          <w:szCs w:val="21"/>
        </w:rPr>
      </w:pPr>
    </w:p>
    <w:p w14:paraId="6CEBF7E0"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 la propuesta de punto de acuerdo formulada por diputadas y diputados integrantes del Grupo Parlamentario del Partido MORENA, a efecto de exhortar al contralor municipal de San Miguel de Allende,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para que en el ámbito de sus atribuciones resuelva con prontitud los procedimientos de presunta responsabilidad administrativa derivados de la revisión de cuenta pública 2019 de dicho Municipio y, en su caso, promueva las sanciones correspondientes. </w:t>
      </w:r>
      <w:r w:rsidRPr="00006796">
        <w:rPr>
          <w:rFonts w:ascii="Abadi" w:hAnsi="Abadi" w:cs="Arial-ItalicMT"/>
          <w:b/>
          <w:bCs/>
          <w:i/>
          <w:iCs/>
          <w:sz w:val="21"/>
          <w:szCs w:val="21"/>
        </w:rPr>
        <w:t>(ELD 90/LXV-PPA)</w:t>
      </w:r>
    </w:p>
    <w:p w14:paraId="051078E7" w14:textId="77777777" w:rsidR="005669B6" w:rsidRDefault="005669B6" w:rsidP="005669B6">
      <w:pPr>
        <w:pStyle w:val="Prrafodelista"/>
        <w:ind w:left="1287" w:right="709"/>
        <w:jc w:val="both"/>
        <w:rPr>
          <w:rFonts w:ascii="Abadi" w:hAnsi="Abadi" w:cs="ArialMT"/>
          <w:b/>
          <w:bCs/>
          <w:sz w:val="21"/>
          <w:szCs w:val="21"/>
        </w:rPr>
      </w:pPr>
    </w:p>
    <w:p w14:paraId="17EBD47F" w14:textId="3ED53071" w:rsidR="005669B6" w:rsidRPr="005669B6" w:rsidRDefault="005669B6" w:rsidP="005669B6">
      <w:pPr>
        <w:pStyle w:val="Prrafodelista"/>
        <w:ind w:left="1287" w:right="142"/>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Pr="005669B6">
        <w:rPr>
          <w:rFonts w:ascii="Abadi" w:hAnsi="Abadi" w:cs="ArialMT"/>
          <w:b/>
          <w:bCs/>
          <w:sz w:val="21"/>
          <w:szCs w:val="21"/>
        </w:rPr>
        <w:t>Pág.</w:t>
      </w:r>
      <w:r w:rsidR="00AD0F76">
        <w:rPr>
          <w:rFonts w:ascii="Abadi" w:hAnsi="Abadi" w:cs="ArialMT"/>
          <w:b/>
          <w:bCs/>
          <w:sz w:val="21"/>
          <w:szCs w:val="21"/>
        </w:rPr>
        <w:t xml:space="preserve"> 304</w:t>
      </w:r>
    </w:p>
    <w:p w14:paraId="7FC7D896" w14:textId="77777777" w:rsidR="005669B6" w:rsidRPr="005669B6" w:rsidRDefault="005669B6" w:rsidP="005669B6">
      <w:pPr>
        <w:autoSpaceDE w:val="0"/>
        <w:autoSpaceDN w:val="0"/>
        <w:adjustRightInd w:val="0"/>
        <w:ind w:right="709"/>
        <w:contextualSpacing/>
        <w:jc w:val="both"/>
        <w:rPr>
          <w:rFonts w:ascii="Abadi" w:hAnsi="Abadi" w:cs="Arial-ItalicMT"/>
          <w:b/>
          <w:bCs/>
          <w:i/>
          <w:iCs/>
          <w:sz w:val="21"/>
          <w:szCs w:val="21"/>
        </w:rPr>
      </w:pPr>
    </w:p>
    <w:p w14:paraId="33914FBA"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68AC5614"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 la iniciativa formulada por el Gobernador del Estado, a efecto de que se autorice en lo general que una fracción del bien inmueble materia de la autorización otorgada </w:t>
      </w:r>
      <w:r w:rsidRPr="00006796">
        <w:rPr>
          <w:rFonts w:ascii="Abadi" w:hAnsi="Abadi" w:cs="ArialMT"/>
          <w:b/>
          <w:bCs/>
          <w:sz w:val="21"/>
          <w:szCs w:val="21"/>
        </w:rPr>
        <w:t xml:space="preserve">mediante el Decreto Legislativo número 137, publicado en el Periódico Oficial del Gobierno del Estado número 48, segunda parte, de fecha 17 de junio de 1997, se destine para la construcción y equipamiento de la Estación de Transferencia Metropolitana. </w:t>
      </w:r>
      <w:r w:rsidRPr="00006796">
        <w:rPr>
          <w:rFonts w:ascii="Abadi" w:hAnsi="Abadi" w:cs="Arial-ItalicMT"/>
          <w:b/>
          <w:bCs/>
          <w:i/>
          <w:iCs/>
          <w:sz w:val="21"/>
          <w:szCs w:val="21"/>
        </w:rPr>
        <w:t>(ELD 486/LXV-I)</w:t>
      </w:r>
    </w:p>
    <w:p w14:paraId="005D182D"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76380F90" w14:textId="13A43292"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AD0F76">
        <w:rPr>
          <w:rFonts w:ascii="Abadi" w:hAnsi="Abadi" w:cs="ArialMT"/>
          <w:b/>
          <w:bCs/>
          <w:sz w:val="21"/>
          <w:szCs w:val="21"/>
        </w:rPr>
        <w:t xml:space="preserve"> 311</w:t>
      </w:r>
    </w:p>
    <w:p w14:paraId="753CE4C1"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366F305B"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629EECE5"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 la iniciativa formulada por el Gobernador del Estado a efecto de que se le autorice, previa desafectación del dominio público del Estado, la enajenación mediante la figura de donación de tres bienes inmuebles, en favor de la asociación civil denominada Asociación de Bomberos del Estado de Guanajuato, A.C. </w:t>
      </w:r>
      <w:r w:rsidRPr="00006796">
        <w:rPr>
          <w:rFonts w:ascii="Abadi" w:hAnsi="Abadi" w:cs="Arial-ItalicMT"/>
          <w:b/>
          <w:bCs/>
          <w:i/>
          <w:iCs/>
          <w:sz w:val="21"/>
          <w:szCs w:val="21"/>
        </w:rPr>
        <w:t>(ELD 487/LXV-I)</w:t>
      </w:r>
    </w:p>
    <w:p w14:paraId="1C838089"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11206EAB" w14:textId="76777315"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AD0F76">
        <w:rPr>
          <w:rFonts w:ascii="Abadi" w:hAnsi="Abadi" w:cs="ArialMT"/>
          <w:b/>
          <w:bCs/>
          <w:sz w:val="21"/>
          <w:szCs w:val="21"/>
        </w:rPr>
        <w:t xml:space="preserve"> 318</w:t>
      </w:r>
    </w:p>
    <w:p w14:paraId="6E109731"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05F3053B"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571C5B75"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 la iniciativa formulada por el Gobernador del Estado, a efecto de que se autorice previa desafectación del dominio público del </w:t>
      </w:r>
      <w:r w:rsidRPr="00006796">
        <w:rPr>
          <w:rFonts w:ascii="Abadi" w:hAnsi="Abadi" w:cs="ArialMT"/>
          <w:b/>
          <w:bCs/>
          <w:sz w:val="21"/>
          <w:szCs w:val="21"/>
        </w:rPr>
        <w:lastRenderedPageBreak/>
        <w:t xml:space="preserve">Estado, la enajenación de dos bienes inmuebles mediante su aportación al patrimonio del Instituto de Seguridad Social del Estado de Guanajuato para que los destine al desarrollo de proyectos de infraestructura. </w:t>
      </w:r>
      <w:r w:rsidRPr="00006796">
        <w:rPr>
          <w:rFonts w:ascii="Abadi" w:hAnsi="Abadi" w:cs="Arial-ItalicMT"/>
          <w:b/>
          <w:bCs/>
          <w:i/>
          <w:iCs/>
          <w:sz w:val="21"/>
          <w:szCs w:val="21"/>
        </w:rPr>
        <w:t>(ELD 488/LXV-I)</w:t>
      </w:r>
    </w:p>
    <w:p w14:paraId="56FF9111"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498A6BCE" w14:textId="2D9A1D77"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AD0F76">
        <w:rPr>
          <w:rFonts w:ascii="Abadi" w:hAnsi="Abadi" w:cs="ArialMT"/>
          <w:b/>
          <w:bCs/>
          <w:sz w:val="21"/>
          <w:szCs w:val="21"/>
        </w:rPr>
        <w:t xml:space="preserve"> 324</w:t>
      </w:r>
    </w:p>
    <w:p w14:paraId="0AEF94C1"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75ED8C17"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35244079"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 la iniciativa formulada por el Gobernador del Estado a efecto de que se le autorice previa desafectación del dominio público del Estado la enajenación mediante la donación de un bien inmueble de propiedad estatal en favor del municipio de Irapuato,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w:t>
      </w:r>
      <w:r w:rsidRPr="00006796">
        <w:rPr>
          <w:rFonts w:ascii="Abadi" w:hAnsi="Abadi" w:cs="Arial-ItalicMT"/>
          <w:b/>
          <w:bCs/>
          <w:i/>
          <w:iCs/>
          <w:sz w:val="21"/>
          <w:szCs w:val="21"/>
        </w:rPr>
        <w:t>(ELD 198/LXV-I).</w:t>
      </w:r>
    </w:p>
    <w:p w14:paraId="6FCEFF91"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041F9EF6" w14:textId="12E602B0"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AD0F76">
        <w:rPr>
          <w:rFonts w:ascii="Abadi" w:hAnsi="Abadi" w:cs="ArialMT"/>
          <w:b/>
          <w:bCs/>
          <w:sz w:val="21"/>
          <w:szCs w:val="21"/>
        </w:rPr>
        <w:t xml:space="preserve"> 333</w:t>
      </w:r>
    </w:p>
    <w:p w14:paraId="6BD30142" w14:textId="02D9EA9C" w:rsidR="00AD0F76" w:rsidRPr="00006796" w:rsidRDefault="00AD0F76" w:rsidP="007C5594">
      <w:pPr>
        <w:pStyle w:val="Prrafodelista"/>
        <w:autoSpaceDE w:val="0"/>
        <w:autoSpaceDN w:val="0"/>
        <w:adjustRightInd w:val="0"/>
        <w:ind w:left="1287"/>
        <w:contextualSpacing/>
        <w:jc w:val="both"/>
        <w:rPr>
          <w:rFonts w:ascii="Abadi" w:hAnsi="Abadi" w:cs="Arial-ItalicMT"/>
          <w:b/>
          <w:bCs/>
          <w:i/>
          <w:iCs/>
          <w:sz w:val="21"/>
          <w:szCs w:val="21"/>
        </w:rPr>
      </w:pPr>
    </w:p>
    <w:p w14:paraId="5EB19280"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4ACA2E02" w14:textId="77777777" w:rsidR="00B67903" w:rsidRPr="00006796" w:rsidRDefault="00B67903" w:rsidP="00B67903">
      <w:pPr>
        <w:pStyle w:val="Prrafodelista"/>
        <w:autoSpaceDE w:val="0"/>
        <w:autoSpaceDN w:val="0"/>
        <w:adjustRightInd w:val="0"/>
        <w:ind w:left="720"/>
        <w:jc w:val="both"/>
        <w:rPr>
          <w:rFonts w:ascii="Abadi" w:hAnsi="Abadi" w:cs="Arial-ItalicMT"/>
          <w:b/>
          <w:bCs/>
          <w:i/>
          <w:iCs/>
          <w:sz w:val="21"/>
          <w:szCs w:val="21"/>
        </w:rPr>
      </w:pPr>
    </w:p>
    <w:p w14:paraId="4953EA94"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 la propuesta de punto de acuerdo formulada por el diputado Ernesto Alejandro Prieto Gallardo, integrante del Grupo Parlamentario del Partido MORENA, a efecto de exhortar al titular del Poder Ejecutivo del Estado para que revise la actuación del Secretario </w:t>
      </w:r>
      <w:r w:rsidRPr="00006796">
        <w:rPr>
          <w:rFonts w:ascii="Abadi" w:hAnsi="Abadi" w:cs="ArialMT"/>
          <w:b/>
          <w:bCs/>
          <w:sz w:val="21"/>
          <w:szCs w:val="21"/>
        </w:rPr>
        <w:t xml:space="preserve">de Finanzas, Inversión y Administración en la celebración del convenio que firmó con la empresa </w:t>
      </w:r>
      <w:proofErr w:type="spellStart"/>
      <w:r w:rsidRPr="00006796">
        <w:rPr>
          <w:rFonts w:ascii="Abadi" w:hAnsi="Abadi" w:cs="ArialMT"/>
          <w:b/>
          <w:bCs/>
          <w:sz w:val="21"/>
          <w:szCs w:val="21"/>
        </w:rPr>
        <w:t>Fieracapital</w:t>
      </w:r>
      <w:proofErr w:type="spellEnd"/>
      <w:r w:rsidRPr="00006796">
        <w:rPr>
          <w:rFonts w:ascii="Abadi" w:hAnsi="Abadi" w:cs="ArialMT"/>
          <w:b/>
          <w:bCs/>
          <w:sz w:val="21"/>
          <w:szCs w:val="21"/>
        </w:rPr>
        <w:t xml:space="preserve"> inmobiliaria S.A. de C.V., y se deslinden las responsabilidades a que haya lugar. </w:t>
      </w:r>
      <w:r w:rsidRPr="00006796">
        <w:rPr>
          <w:rFonts w:ascii="Abadi" w:hAnsi="Abadi" w:cs="Arial-ItalicMT"/>
          <w:b/>
          <w:bCs/>
          <w:i/>
          <w:iCs/>
          <w:sz w:val="21"/>
          <w:szCs w:val="21"/>
        </w:rPr>
        <w:t>(ELD 273/LXV-PPA)</w:t>
      </w:r>
    </w:p>
    <w:p w14:paraId="6BD54DE5"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228C6F3A" w14:textId="344952EF"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20A30">
        <w:rPr>
          <w:rFonts w:ascii="Abadi" w:hAnsi="Abadi" w:cs="ArialMT"/>
          <w:b/>
          <w:bCs/>
          <w:sz w:val="21"/>
          <w:szCs w:val="21"/>
        </w:rPr>
        <w:t xml:space="preserve"> 336</w:t>
      </w:r>
    </w:p>
    <w:p w14:paraId="1C1BF1E5"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335B002A"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45222147"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auditoría integral practicada por la Auditoría Superior del Estado de Guanajuato a la administración pública municipal de Salamanca,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006796">
        <w:rPr>
          <w:rFonts w:ascii="Abadi" w:hAnsi="Abadi" w:cs="Arial-ItalicMT"/>
          <w:b/>
          <w:bCs/>
          <w:i/>
          <w:iCs/>
          <w:sz w:val="21"/>
          <w:szCs w:val="21"/>
        </w:rPr>
        <w:t>(ELD 260/LXV-IRASEG)</w:t>
      </w:r>
    </w:p>
    <w:p w14:paraId="1CB91852" w14:textId="77777777" w:rsidR="006571F3" w:rsidRDefault="006571F3" w:rsidP="006571F3">
      <w:pPr>
        <w:pStyle w:val="Prrafodelista"/>
        <w:autoSpaceDE w:val="0"/>
        <w:autoSpaceDN w:val="0"/>
        <w:adjustRightInd w:val="0"/>
        <w:ind w:left="1287" w:right="709"/>
        <w:contextualSpacing/>
        <w:jc w:val="both"/>
        <w:rPr>
          <w:rFonts w:ascii="Abadi" w:hAnsi="Abadi" w:cs="ArialMT"/>
          <w:b/>
          <w:bCs/>
          <w:sz w:val="21"/>
          <w:szCs w:val="21"/>
        </w:rPr>
      </w:pPr>
    </w:p>
    <w:p w14:paraId="0BE508A0" w14:textId="32369F0D" w:rsidR="006571F3" w:rsidRPr="00520A30" w:rsidRDefault="006571F3" w:rsidP="006571F3">
      <w:pPr>
        <w:pStyle w:val="Prrafodelista"/>
        <w:autoSpaceDE w:val="0"/>
        <w:autoSpaceDN w:val="0"/>
        <w:adjustRightInd w:val="0"/>
        <w:ind w:left="1287" w:right="142"/>
        <w:contextualSpacing/>
        <w:jc w:val="both"/>
        <w:rPr>
          <w:rFonts w:ascii="Abadi" w:hAnsi="Abadi" w:cs="Arial-Italic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Pr="006571F3">
        <w:rPr>
          <w:rFonts w:ascii="Abadi" w:hAnsi="Abadi" w:cs="Arial-ItalicMT"/>
          <w:b/>
          <w:bCs/>
          <w:i/>
          <w:iCs/>
          <w:sz w:val="21"/>
          <w:szCs w:val="21"/>
        </w:rPr>
        <w:t>.</w:t>
      </w:r>
      <w:r>
        <w:rPr>
          <w:rFonts w:ascii="Abadi" w:hAnsi="Abadi" w:cs="Arial-ItalicMT"/>
          <w:b/>
          <w:bCs/>
          <w:i/>
          <w:iCs/>
          <w:sz w:val="21"/>
          <w:szCs w:val="21"/>
        </w:rPr>
        <w:t xml:space="preserve"> </w:t>
      </w:r>
      <w:r w:rsidR="00520A30" w:rsidRPr="00520A30">
        <w:rPr>
          <w:rFonts w:ascii="Abadi" w:hAnsi="Abadi" w:cs="Arial-ItalicMT"/>
          <w:b/>
          <w:bCs/>
          <w:sz w:val="21"/>
          <w:szCs w:val="21"/>
        </w:rPr>
        <w:t>342</w:t>
      </w:r>
    </w:p>
    <w:p w14:paraId="74374E5C" w14:textId="77777777" w:rsidR="0075282C" w:rsidRDefault="0075282C" w:rsidP="0075282C">
      <w:pPr>
        <w:autoSpaceDE w:val="0"/>
        <w:autoSpaceDN w:val="0"/>
        <w:adjustRightInd w:val="0"/>
        <w:ind w:right="709"/>
        <w:contextualSpacing/>
        <w:jc w:val="both"/>
        <w:rPr>
          <w:rFonts w:ascii="Abadi" w:hAnsi="Abadi" w:cs="Arial-ItalicMT"/>
          <w:b/>
          <w:bCs/>
          <w:i/>
          <w:iCs/>
          <w:sz w:val="21"/>
          <w:szCs w:val="21"/>
        </w:rPr>
      </w:pPr>
    </w:p>
    <w:p w14:paraId="6AAC535A" w14:textId="77777777" w:rsidR="0075282C" w:rsidRDefault="0075282C" w:rsidP="006571F3">
      <w:pPr>
        <w:ind w:left="1276" w:right="709"/>
        <w:jc w:val="both"/>
        <w:rPr>
          <w:rFonts w:ascii="Abadi" w:hAnsi="Abadi"/>
          <w:b/>
          <w:bCs/>
          <w:sz w:val="21"/>
          <w:szCs w:val="21"/>
        </w:rPr>
      </w:pPr>
      <w:r w:rsidRPr="000365F3">
        <w:rPr>
          <w:rFonts w:ascii="Abadi" w:hAnsi="Abadi"/>
          <w:b/>
          <w:bCs/>
          <w:sz w:val="21"/>
          <w:szCs w:val="21"/>
        </w:rPr>
        <w:t>(Sube a tribuna la diputada Alma Edwviges Alcaraz, para hablar en contra del dictamen en referencia)</w:t>
      </w:r>
    </w:p>
    <w:p w14:paraId="770212D6" w14:textId="77777777" w:rsidR="006571F3" w:rsidRDefault="006571F3" w:rsidP="0075282C">
      <w:pPr>
        <w:autoSpaceDE w:val="0"/>
        <w:autoSpaceDN w:val="0"/>
        <w:adjustRightInd w:val="0"/>
        <w:ind w:right="709"/>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06E055D7" w14:textId="2F7B292C" w:rsidR="0075282C" w:rsidRPr="00520A30" w:rsidRDefault="006571F3" w:rsidP="006571F3">
      <w:pPr>
        <w:autoSpaceDE w:val="0"/>
        <w:autoSpaceDN w:val="0"/>
        <w:adjustRightInd w:val="0"/>
        <w:ind w:right="142"/>
        <w:contextualSpacing/>
        <w:jc w:val="both"/>
        <w:rPr>
          <w:rFonts w:ascii="Abadi" w:hAnsi="Abadi" w:cs="Arial-Italic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Pr="006571F3">
        <w:rPr>
          <w:rFonts w:ascii="Abadi" w:hAnsi="Abadi" w:cs="Arial-ItalicMT"/>
          <w:b/>
          <w:bCs/>
          <w:i/>
          <w:iCs/>
          <w:sz w:val="21"/>
          <w:szCs w:val="21"/>
        </w:rPr>
        <w:t>.</w:t>
      </w:r>
      <w:r w:rsidR="00520A30">
        <w:rPr>
          <w:rFonts w:ascii="Abadi" w:hAnsi="Abadi" w:cs="Arial-ItalicMT"/>
          <w:b/>
          <w:bCs/>
          <w:i/>
          <w:iCs/>
          <w:sz w:val="21"/>
          <w:szCs w:val="21"/>
        </w:rPr>
        <w:t xml:space="preserve"> </w:t>
      </w:r>
      <w:r w:rsidR="00520A30" w:rsidRPr="00520A30">
        <w:rPr>
          <w:rFonts w:ascii="Abadi" w:hAnsi="Abadi" w:cs="Arial-ItalicMT"/>
          <w:b/>
          <w:bCs/>
          <w:sz w:val="21"/>
          <w:szCs w:val="21"/>
        </w:rPr>
        <w:t>356</w:t>
      </w:r>
    </w:p>
    <w:p w14:paraId="49636859"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05A70A15"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lastRenderedPageBreak/>
        <w:t xml:space="preserve">Discusión y, en su caso, aprobación del dictamen emitido por la Comisión de Hacienda y Fiscalización relativo al informe de resultados de la auditoría integral practicada por la Auditoría Superior del Estado de Guanajuato a la administración pública municipal de Acámbaro,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006796">
        <w:rPr>
          <w:rFonts w:ascii="Abadi" w:hAnsi="Abadi" w:cs="Arial-ItalicMT"/>
          <w:b/>
          <w:bCs/>
          <w:i/>
          <w:iCs/>
          <w:sz w:val="21"/>
          <w:szCs w:val="21"/>
        </w:rPr>
        <w:t>(ELD 259/LXV-IRASEG)</w:t>
      </w:r>
    </w:p>
    <w:p w14:paraId="5291D6EF" w14:textId="77777777" w:rsidR="007C5594" w:rsidRDefault="007C5594" w:rsidP="007C5594">
      <w:pPr>
        <w:pStyle w:val="Prrafodelista"/>
        <w:autoSpaceDE w:val="0"/>
        <w:autoSpaceDN w:val="0"/>
        <w:adjustRightInd w:val="0"/>
        <w:ind w:left="1287" w:right="709"/>
        <w:contextualSpacing/>
        <w:jc w:val="both"/>
        <w:rPr>
          <w:rFonts w:ascii="Abadi" w:hAnsi="Abadi" w:cs="ArialMT"/>
          <w:b/>
          <w:bCs/>
          <w:sz w:val="21"/>
          <w:szCs w:val="21"/>
        </w:rPr>
      </w:pPr>
    </w:p>
    <w:p w14:paraId="7BF3310D" w14:textId="77583C98"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520A30">
        <w:rPr>
          <w:rFonts w:ascii="Abadi" w:hAnsi="Abadi" w:cs="ArialMT"/>
          <w:b/>
          <w:bCs/>
          <w:sz w:val="21"/>
          <w:szCs w:val="21"/>
        </w:rPr>
        <w:t xml:space="preserve"> 358</w:t>
      </w:r>
    </w:p>
    <w:p w14:paraId="7FB91F50"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743A82BF"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03B6BF4B"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Dolores Hidalgo Cuna de la Independencia Nacional,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correspondientes al periodo comprendido del 1 de enero al 31 de </w:t>
      </w:r>
      <w:r w:rsidRPr="00006796">
        <w:rPr>
          <w:rFonts w:ascii="Abadi" w:hAnsi="Abadi" w:cs="ArialMT"/>
          <w:b/>
          <w:bCs/>
          <w:sz w:val="21"/>
          <w:szCs w:val="21"/>
        </w:rPr>
        <w:t xml:space="preserve">diciembre del ejercicio fiscal del año 2021. </w:t>
      </w:r>
      <w:r w:rsidRPr="00006796">
        <w:rPr>
          <w:rFonts w:ascii="Abadi" w:hAnsi="Abadi" w:cs="Arial-ItalicMT"/>
          <w:b/>
          <w:bCs/>
          <w:i/>
          <w:iCs/>
          <w:sz w:val="21"/>
          <w:szCs w:val="21"/>
        </w:rPr>
        <w:t>(ELD 313/LXV-IRASEG)</w:t>
      </w:r>
    </w:p>
    <w:p w14:paraId="1C46144E"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48F4B665" w14:textId="555BAFB4"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34581B">
        <w:rPr>
          <w:rFonts w:ascii="Abadi" w:hAnsi="Abadi" w:cs="ArialMT"/>
          <w:b/>
          <w:bCs/>
          <w:sz w:val="21"/>
          <w:szCs w:val="21"/>
        </w:rPr>
        <w:t xml:space="preserve"> 369</w:t>
      </w:r>
    </w:p>
    <w:p w14:paraId="5A9C8BD5"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14D554EC" w14:textId="77777777" w:rsidR="00B67903" w:rsidRPr="00006796" w:rsidRDefault="00B67903" w:rsidP="00B67903">
      <w:pPr>
        <w:jc w:val="both"/>
        <w:rPr>
          <w:rFonts w:ascii="Abadi" w:hAnsi="Abadi" w:cs="Arial-ItalicMT"/>
          <w:b/>
          <w:bCs/>
          <w:i/>
          <w:iCs/>
          <w:sz w:val="21"/>
          <w:szCs w:val="21"/>
        </w:rPr>
      </w:pPr>
    </w:p>
    <w:p w14:paraId="28907C61" w14:textId="3041D0C0" w:rsidR="00B67903" w:rsidRDefault="00B67903" w:rsidP="006F4110">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7C5594">
        <w:rPr>
          <w:rFonts w:ascii="Abadi" w:hAnsi="Abadi" w:cs="ArialMT"/>
          <w:b/>
          <w:bCs/>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w:t>
      </w:r>
      <w:r w:rsidR="007C5594" w:rsidRPr="007C5594">
        <w:rPr>
          <w:rFonts w:ascii="Abadi" w:hAnsi="Abadi" w:cs="ArialMT"/>
          <w:b/>
          <w:bCs/>
          <w:sz w:val="21"/>
          <w:szCs w:val="21"/>
        </w:rPr>
        <w:t xml:space="preserve"> </w:t>
      </w:r>
      <w:r w:rsidRPr="007C5594">
        <w:rPr>
          <w:rFonts w:ascii="Abadi" w:hAnsi="Abadi" w:cs="ArialMT"/>
          <w:b/>
          <w:bCs/>
          <w:sz w:val="21"/>
          <w:szCs w:val="21"/>
        </w:rPr>
        <w:t xml:space="preserve">la administración pública municipal de San Miguel de Allende, </w:t>
      </w:r>
      <w:proofErr w:type="spellStart"/>
      <w:r w:rsidRPr="007C5594">
        <w:rPr>
          <w:rFonts w:ascii="Abadi" w:hAnsi="Abadi" w:cs="ArialMT"/>
          <w:b/>
          <w:bCs/>
          <w:sz w:val="21"/>
          <w:szCs w:val="21"/>
        </w:rPr>
        <w:t>Gto</w:t>
      </w:r>
      <w:proofErr w:type="spellEnd"/>
      <w:r w:rsidRPr="007C5594">
        <w:rPr>
          <w:rFonts w:ascii="Abadi" w:hAnsi="Abadi" w:cs="ArialMT"/>
          <w:b/>
          <w:bCs/>
          <w:sz w:val="21"/>
          <w:szCs w:val="21"/>
        </w:rPr>
        <w:t xml:space="preserve">., correspondientes al periodo comprendido del 1 de enero al 31 de diciembre del ejercicio fiscal del año 2021. </w:t>
      </w:r>
      <w:r w:rsidRPr="007C5594">
        <w:rPr>
          <w:rFonts w:ascii="Abadi" w:hAnsi="Abadi" w:cs="Arial-ItalicMT"/>
          <w:b/>
          <w:bCs/>
          <w:i/>
          <w:iCs/>
          <w:sz w:val="21"/>
          <w:szCs w:val="21"/>
        </w:rPr>
        <w:t>(ELD 314/LXV-IRASEG)</w:t>
      </w:r>
    </w:p>
    <w:p w14:paraId="186BE78A"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1EF0C993" w14:textId="13E8155E"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F3497">
        <w:rPr>
          <w:rFonts w:ascii="Abadi" w:hAnsi="Abadi" w:cs="ArialMT"/>
          <w:b/>
          <w:bCs/>
          <w:sz w:val="21"/>
          <w:szCs w:val="21"/>
        </w:rPr>
        <w:t xml:space="preserve"> 378</w:t>
      </w:r>
    </w:p>
    <w:p w14:paraId="5209FAAA" w14:textId="77777777" w:rsidR="007C5594" w:rsidRPr="007C5594"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4A006975"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0CDA8DA4"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León,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correspondientes al periodo comprendido del 1 de enero al 31 de </w:t>
      </w:r>
      <w:r w:rsidRPr="00006796">
        <w:rPr>
          <w:rFonts w:ascii="Abadi" w:hAnsi="Abadi" w:cs="ArialMT"/>
          <w:b/>
          <w:bCs/>
          <w:sz w:val="21"/>
          <w:szCs w:val="21"/>
        </w:rPr>
        <w:lastRenderedPageBreak/>
        <w:t xml:space="preserve">diciembre del ejercicio fiscal del año 2021. </w:t>
      </w:r>
      <w:r w:rsidRPr="00006796">
        <w:rPr>
          <w:rFonts w:ascii="Abadi" w:hAnsi="Abadi" w:cs="Arial-ItalicMT"/>
          <w:b/>
          <w:bCs/>
          <w:i/>
          <w:iCs/>
          <w:sz w:val="21"/>
          <w:szCs w:val="21"/>
        </w:rPr>
        <w:t>(ELD 318/LXV-IRASEG)</w:t>
      </w:r>
    </w:p>
    <w:p w14:paraId="377881C7" w14:textId="77777777" w:rsidR="00B67903" w:rsidRDefault="00B67903" w:rsidP="00B67903">
      <w:pPr>
        <w:autoSpaceDE w:val="0"/>
        <w:autoSpaceDN w:val="0"/>
        <w:adjustRightInd w:val="0"/>
        <w:jc w:val="both"/>
        <w:rPr>
          <w:rFonts w:ascii="Abadi" w:hAnsi="Abadi" w:cs="Arial-ItalicMT"/>
          <w:b/>
          <w:bCs/>
          <w:i/>
          <w:iCs/>
          <w:sz w:val="21"/>
          <w:szCs w:val="21"/>
        </w:rPr>
      </w:pPr>
    </w:p>
    <w:p w14:paraId="7964B549" w14:textId="3FCD04DB"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F3497">
        <w:rPr>
          <w:rFonts w:ascii="Abadi" w:hAnsi="Abadi" w:cs="ArialMT"/>
          <w:b/>
          <w:bCs/>
          <w:sz w:val="21"/>
          <w:szCs w:val="21"/>
        </w:rPr>
        <w:t xml:space="preserve"> 387</w:t>
      </w:r>
    </w:p>
    <w:p w14:paraId="6BDF87AC" w14:textId="77777777" w:rsidR="007C5594" w:rsidRPr="00006796" w:rsidRDefault="007C5594" w:rsidP="00B67903">
      <w:pPr>
        <w:autoSpaceDE w:val="0"/>
        <w:autoSpaceDN w:val="0"/>
        <w:adjustRightInd w:val="0"/>
        <w:jc w:val="both"/>
        <w:rPr>
          <w:rFonts w:ascii="Abadi" w:hAnsi="Abadi" w:cs="Arial-ItalicMT"/>
          <w:b/>
          <w:bCs/>
          <w:i/>
          <w:iCs/>
          <w:sz w:val="21"/>
          <w:szCs w:val="21"/>
        </w:rPr>
      </w:pPr>
    </w:p>
    <w:p w14:paraId="251787C9"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Diego de la Unión,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275/LXV-IRASEG)</w:t>
      </w:r>
    </w:p>
    <w:p w14:paraId="12C0F15B" w14:textId="77777777" w:rsidR="00B67903" w:rsidRDefault="00B67903" w:rsidP="005170ED">
      <w:pPr>
        <w:autoSpaceDE w:val="0"/>
        <w:autoSpaceDN w:val="0"/>
        <w:adjustRightInd w:val="0"/>
        <w:ind w:right="709"/>
        <w:jc w:val="both"/>
        <w:rPr>
          <w:rFonts w:ascii="Abadi" w:hAnsi="Abadi" w:cs="Arial-ItalicMT"/>
          <w:b/>
          <w:bCs/>
          <w:i/>
          <w:iCs/>
          <w:sz w:val="21"/>
          <w:szCs w:val="21"/>
        </w:rPr>
      </w:pPr>
    </w:p>
    <w:p w14:paraId="4799FA95" w14:textId="188566F8"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F3497">
        <w:rPr>
          <w:rFonts w:ascii="Abadi" w:hAnsi="Abadi" w:cs="ArialMT"/>
          <w:b/>
          <w:bCs/>
          <w:sz w:val="21"/>
          <w:szCs w:val="21"/>
        </w:rPr>
        <w:t xml:space="preserve"> 387</w:t>
      </w:r>
    </w:p>
    <w:p w14:paraId="5969B6E3" w14:textId="77777777" w:rsidR="007C5594" w:rsidRPr="00006796" w:rsidRDefault="007C5594" w:rsidP="005170ED">
      <w:pPr>
        <w:autoSpaceDE w:val="0"/>
        <w:autoSpaceDN w:val="0"/>
        <w:adjustRightInd w:val="0"/>
        <w:ind w:right="709"/>
        <w:jc w:val="both"/>
        <w:rPr>
          <w:rFonts w:ascii="Abadi" w:hAnsi="Abadi" w:cs="Arial-ItalicMT"/>
          <w:b/>
          <w:bCs/>
          <w:i/>
          <w:iCs/>
          <w:sz w:val="21"/>
          <w:szCs w:val="21"/>
        </w:rPr>
      </w:pPr>
    </w:p>
    <w:p w14:paraId="0EF7E08A"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Silao de la Victoria,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278/LXV-IRASEG)</w:t>
      </w:r>
    </w:p>
    <w:p w14:paraId="7B7D510E"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24EE4B9C" w14:textId="4D9EF944"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F3497">
        <w:rPr>
          <w:rFonts w:ascii="Abadi" w:hAnsi="Abadi" w:cs="ArialMT"/>
          <w:b/>
          <w:bCs/>
          <w:sz w:val="21"/>
          <w:szCs w:val="21"/>
        </w:rPr>
        <w:t xml:space="preserve"> 406</w:t>
      </w:r>
    </w:p>
    <w:p w14:paraId="19607505"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566DD59D"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4EA8CCD0"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al informe de resultados de la revisión practicada por la </w:t>
      </w:r>
      <w:r w:rsidRPr="00006796">
        <w:rPr>
          <w:rFonts w:ascii="Abadi" w:hAnsi="Abadi" w:cs="ArialMT"/>
          <w:b/>
          <w:bCs/>
          <w:sz w:val="21"/>
          <w:szCs w:val="21"/>
        </w:rPr>
        <w:t xml:space="preserve">Auditoría Superior del Estado de Guanajuato, a la cuenta pública municipal de Pénjamo,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285/LXV-IRASEG)</w:t>
      </w:r>
    </w:p>
    <w:p w14:paraId="68EB68CA"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23D79A6E" w14:textId="3CD52416"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F3497">
        <w:rPr>
          <w:rFonts w:ascii="Abadi" w:hAnsi="Abadi" w:cs="ArialMT"/>
          <w:b/>
          <w:bCs/>
          <w:sz w:val="21"/>
          <w:szCs w:val="21"/>
        </w:rPr>
        <w:t xml:space="preserve"> 416</w:t>
      </w:r>
    </w:p>
    <w:p w14:paraId="16B5E2EA"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3CC62D2A"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596CE0E9" w14:textId="77777777" w:rsidR="007C5594" w:rsidRDefault="00B67903" w:rsidP="007C5594">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Irapuato,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301/LXV-IRASEG)</w:t>
      </w:r>
    </w:p>
    <w:p w14:paraId="4A539BE2" w14:textId="77777777" w:rsidR="007C5594" w:rsidRPr="007C5594"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33E0DCDB" w14:textId="54A0270E" w:rsidR="007C5594" w:rsidRPr="007C5594" w:rsidRDefault="007C5594" w:rsidP="00116F5A">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116F5A">
        <w:rPr>
          <w:rFonts w:ascii="Abadi" w:hAnsi="Abadi" w:cs="ArialMT"/>
          <w:b/>
          <w:bCs/>
          <w:sz w:val="21"/>
          <w:szCs w:val="21"/>
        </w:rPr>
        <w:tab/>
      </w:r>
      <w:r w:rsidR="00116F5A">
        <w:rPr>
          <w:rFonts w:ascii="Abadi" w:hAnsi="Abadi" w:cs="ArialMT"/>
          <w:b/>
          <w:bCs/>
          <w:sz w:val="21"/>
          <w:szCs w:val="21"/>
        </w:rPr>
        <w:tab/>
        <w:t xml:space="preserve">               </w:t>
      </w:r>
      <w:r w:rsidRPr="007C5594">
        <w:rPr>
          <w:rFonts w:ascii="Abadi" w:hAnsi="Abadi" w:cs="ArialMT"/>
          <w:b/>
          <w:bCs/>
          <w:sz w:val="21"/>
          <w:szCs w:val="21"/>
        </w:rPr>
        <w:t>Pág.</w:t>
      </w:r>
      <w:r w:rsidR="006F3497">
        <w:rPr>
          <w:rFonts w:ascii="Abadi" w:hAnsi="Abadi" w:cs="ArialMT"/>
          <w:b/>
          <w:bCs/>
          <w:sz w:val="21"/>
          <w:szCs w:val="21"/>
        </w:rPr>
        <w:t xml:space="preserve"> 4</w:t>
      </w:r>
      <w:r w:rsidR="000B2442">
        <w:rPr>
          <w:rFonts w:ascii="Abadi" w:hAnsi="Abadi" w:cs="ArialMT"/>
          <w:b/>
          <w:bCs/>
          <w:sz w:val="21"/>
          <w:szCs w:val="21"/>
        </w:rPr>
        <w:t>2</w:t>
      </w:r>
      <w:r w:rsidR="006F3497">
        <w:rPr>
          <w:rFonts w:ascii="Abadi" w:hAnsi="Abadi" w:cs="ArialMT"/>
          <w:b/>
          <w:bCs/>
          <w:sz w:val="21"/>
          <w:szCs w:val="21"/>
        </w:rPr>
        <w:t>6</w:t>
      </w:r>
    </w:p>
    <w:p w14:paraId="533795CF"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6415C294" w14:textId="77777777" w:rsidR="00B67903" w:rsidRPr="00006796" w:rsidRDefault="00B67903" w:rsidP="005170ED">
      <w:pPr>
        <w:ind w:right="709"/>
        <w:jc w:val="both"/>
        <w:rPr>
          <w:rFonts w:ascii="Abadi" w:hAnsi="Abadi" w:cs="Arial-ItalicMT"/>
          <w:b/>
          <w:bCs/>
          <w:i/>
          <w:iCs/>
          <w:sz w:val="21"/>
          <w:szCs w:val="21"/>
        </w:rPr>
      </w:pPr>
    </w:p>
    <w:p w14:paraId="31D68A73"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Purísima del Rincón,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303/LXV-IRASEG)</w:t>
      </w:r>
    </w:p>
    <w:p w14:paraId="04F58683"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4B1628E2" w14:textId="4EFD6BB3"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16F5A">
        <w:rPr>
          <w:rFonts w:ascii="Abadi" w:hAnsi="Abadi" w:cs="ArialMT"/>
          <w:b/>
          <w:bCs/>
          <w:sz w:val="21"/>
          <w:szCs w:val="21"/>
        </w:rPr>
        <w:t xml:space="preserve"> 4</w:t>
      </w:r>
      <w:r w:rsidR="00195CB6">
        <w:rPr>
          <w:rFonts w:ascii="Abadi" w:hAnsi="Abadi" w:cs="ArialMT"/>
          <w:b/>
          <w:bCs/>
          <w:sz w:val="21"/>
          <w:szCs w:val="21"/>
        </w:rPr>
        <w:t>3</w:t>
      </w:r>
      <w:r w:rsidR="00116F5A">
        <w:rPr>
          <w:rFonts w:ascii="Abadi" w:hAnsi="Abadi" w:cs="ArialMT"/>
          <w:b/>
          <w:bCs/>
          <w:sz w:val="21"/>
          <w:szCs w:val="21"/>
        </w:rPr>
        <w:t>6</w:t>
      </w:r>
    </w:p>
    <w:p w14:paraId="57B616F8"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0E8A19B9"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63098DAB"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lastRenderedPageBreak/>
        <w:t xml:space="preserve">Discusión y, en su caso, aprobación del dictamen emitido por la Comisión de Hacienda y Fiscalización relativo al informe de resultados de la revisión practicada por la Auditoría Superior del Estado de Guanajuato, a la cuenta pública municipal de Tierra Blanca,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304/LXV-IRASEG)</w:t>
      </w:r>
    </w:p>
    <w:p w14:paraId="40D82B34"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3843C1BC" w14:textId="095335A5"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116F5A">
        <w:rPr>
          <w:rFonts w:ascii="Abadi" w:hAnsi="Abadi" w:cs="ArialMT"/>
          <w:b/>
          <w:bCs/>
          <w:sz w:val="21"/>
          <w:szCs w:val="21"/>
        </w:rPr>
        <w:t xml:space="preserve"> 4</w:t>
      </w:r>
      <w:r w:rsidR="00195CB6">
        <w:rPr>
          <w:rFonts w:ascii="Abadi" w:hAnsi="Abadi" w:cs="ArialMT"/>
          <w:b/>
          <w:bCs/>
          <w:sz w:val="21"/>
          <w:szCs w:val="21"/>
        </w:rPr>
        <w:t>45</w:t>
      </w:r>
    </w:p>
    <w:p w14:paraId="162B81EF"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008CD38F"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359CC0C9"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Xichú,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305/LXV-IRASEG)</w:t>
      </w:r>
    </w:p>
    <w:p w14:paraId="2276336A" w14:textId="77777777" w:rsidR="007C5594" w:rsidRDefault="007C5594" w:rsidP="007C5594">
      <w:pPr>
        <w:pStyle w:val="Prrafodelista"/>
        <w:autoSpaceDE w:val="0"/>
        <w:autoSpaceDN w:val="0"/>
        <w:adjustRightInd w:val="0"/>
        <w:ind w:left="1287" w:right="709"/>
        <w:contextualSpacing/>
        <w:jc w:val="both"/>
        <w:rPr>
          <w:rFonts w:ascii="Abadi" w:hAnsi="Abadi" w:cs="ArialMT"/>
          <w:b/>
          <w:bCs/>
          <w:sz w:val="21"/>
          <w:szCs w:val="21"/>
        </w:rPr>
      </w:pPr>
    </w:p>
    <w:p w14:paraId="7E2E67D4" w14:textId="4D22CBAA"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01EEA">
        <w:rPr>
          <w:rFonts w:ascii="Abadi" w:hAnsi="Abadi" w:cs="ArialMT"/>
          <w:b/>
          <w:bCs/>
          <w:sz w:val="21"/>
          <w:szCs w:val="21"/>
        </w:rPr>
        <w:t xml:space="preserve"> 4</w:t>
      </w:r>
      <w:r w:rsidR="00195CB6">
        <w:rPr>
          <w:rFonts w:ascii="Abadi" w:hAnsi="Abadi" w:cs="ArialMT"/>
          <w:b/>
          <w:bCs/>
          <w:sz w:val="21"/>
          <w:szCs w:val="21"/>
        </w:rPr>
        <w:t>55</w:t>
      </w:r>
    </w:p>
    <w:p w14:paraId="6BF0565F"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599C9C76"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682B3E12"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Dolores Hidalgo Cuna de la </w:t>
      </w:r>
      <w:r w:rsidRPr="00006796">
        <w:rPr>
          <w:rFonts w:ascii="Abadi" w:hAnsi="Abadi" w:cs="ArialMT"/>
          <w:b/>
          <w:bCs/>
          <w:sz w:val="21"/>
          <w:szCs w:val="21"/>
        </w:rPr>
        <w:t xml:space="preserve">Independencia Nacional,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311/LXVIRASEG)</w:t>
      </w:r>
    </w:p>
    <w:p w14:paraId="5DF92542" w14:textId="77777777" w:rsidR="00B67903" w:rsidRDefault="00B67903" w:rsidP="005170ED">
      <w:pPr>
        <w:autoSpaceDE w:val="0"/>
        <w:autoSpaceDN w:val="0"/>
        <w:adjustRightInd w:val="0"/>
        <w:ind w:right="709"/>
        <w:jc w:val="both"/>
        <w:rPr>
          <w:rFonts w:ascii="Abadi" w:hAnsi="Abadi" w:cs="Arial-ItalicMT"/>
          <w:b/>
          <w:bCs/>
          <w:i/>
          <w:iCs/>
          <w:sz w:val="21"/>
          <w:szCs w:val="21"/>
        </w:rPr>
      </w:pPr>
    </w:p>
    <w:p w14:paraId="4BC49C2B" w14:textId="77777777" w:rsidR="007C5594" w:rsidRDefault="007C5594" w:rsidP="005170ED">
      <w:pPr>
        <w:autoSpaceDE w:val="0"/>
        <w:autoSpaceDN w:val="0"/>
        <w:adjustRightInd w:val="0"/>
        <w:ind w:right="709"/>
        <w:jc w:val="both"/>
        <w:rPr>
          <w:rFonts w:ascii="Abadi" w:hAnsi="Abadi" w:cs="Arial-ItalicMT"/>
          <w:b/>
          <w:bCs/>
          <w:i/>
          <w:iCs/>
          <w:sz w:val="21"/>
          <w:szCs w:val="21"/>
        </w:rPr>
      </w:pPr>
    </w:p>
    <w:p w14:paraId="6196892C" w14:textId="035E966D"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01EEA">
        <w:rPr>
          <w:rFonts w:ascii="Abadi" w:hAnsi="Abadi" w:cs="ArialMT"/>
          <w:b/>
          <w:bCs/>
          <w:sz w:val="21"/>
          <w:szCs w:val="21"/>
        </w:rPr>
        <w:t xml:space="preserve"> 4</w:t>
      </w:r>
      <w:r w:rsidR="00BB4D6C">
        <w:rPr>
          <w:rFonts w:ascii="Abadi" w:hAnsi="Abadi" w:cs="ArialMT"/>
          <w:b/>
          <w:bCs/>
          <w:sz w:val="21"/>
          <w:szCs w:val="21"/>
        </w:rPr>
        <w:t>65</w:t>
      </w:r>
    </w:p>
    <w:p w14:paraId="554C0CDE" w14:textId="77777777" w:rsidR="007C5594" w:rsidRPr="00006796" w:rsidRDefault="007C5594" w:rsidP="005170ED">
      <w:pPr>
        <w:autoSpaceDE w:val="0"/>
        <w:autoSpaceDN w:val="0"/>
        <w:adjustRightInd w:val="0"/>
        <w:ind w:right="709"/>
        <w:jc w:val="both"/>
        <w:rPr>
          <w:rFonts w:ascii="Abadi" w:hAnsi="Abadi" w:cs="Arial-ItalicMT"/>
          <w:b/>
          <w:bCs/>
          <w:i/>
          <w:iCs/>
          <w:sz w:val="21"/>
          <w:szCs w:val="21"/>
        </w:rPr>
      </w:pPr>
    </w:p>
    <w:p w14:paraId="3A174452"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Santa Cruz de Juventino Rosas,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312/LXV-IRASEG)</w:t>
      </w:r>
    </w:p>
    <w:p w14:paraId="29A4D47C" w14:textId="77777777" w:rsidR="00B67903" w:rsidRDefault="00B67903" w:rsidP="00B67903">
      <w:pPr>
        <w:autoSpaceDE w:val="0"/>
        <w:autoSpaceDN w:val="0"/>
        <w:adjustRightInd w:val="0"/>
        <w:jc w:val="both"/>
        <w:rPr>
          <w:rFonts w:ascii="Abadi" w:hAnsi="Abadi" w:cs="Arial-ItalicMT"/>
          <w:b/>
          <w:bCs/>
          <w:i/>
          <w:iCs/>
          <w:sz w:val="21"/>
          <w:szCs w:val="21"/>
        </w:rPr>
      </w:pPr>
    </w:p>
    <w:p w14:paraId="647BC295" w14:textId="24D853E8"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01EEA">
        <w:rPr>
          <w:rFonts w:ascii="Abadi" w:hAnsi="Abadi" w:cs="ArialMT"/>
          <w:b/>
          <w:bCs/>
          <w:sz w:val="21"/>
          <w:szCs w:val="21"/>
        </w:rPr>
        <w:t xml:space="preserve"> 4</w:t>
      </w:r>
      <w:r w:rsidR="00BB4D6C">
        <w:rPr>
          <w:rFonts w:ascii="Abadi" w:hAnsi="Abadi" w:cs="ArialMT"/>
          <w:b/>
          <w:bCs/>
          <w:sz w:val="21"/>
          <w:szCs w:val="21"/>
        </w:rPr>
        <w:t>75</w:t>
      </w:r>
    </w:p>
    <w:p w14:paraId="619677B8" w14:textId="77777777" w:rsidR="007C5594" w:rsidRPr="00006796" w:rsidRDefault="007C5594" w:rsidP="00B67903">
      <w:pPr>
        <w:autoSpaceDE w:val="0"/>
        <w:autoSpaceDN w:val="0"/>
        <w:adjustRightInd w:val="0"/>
        <w:jc w:val="both"/>
        <w:rPr>
          <w:rFonts w:ascii="Abadi" w:hAnsi="Abadi" w:cs="Arial-ItalicMT"/>
          <w:b/>
          <w:bCs/>
          <w:i/>
          <w:iCs/>
          <w:sz w:val="21"/>
          <w:szCs w:val="21"/>
        </w:rPr>
      </w:pPr>
    </w:p>
    <w:p w14:paraId="33785298" w14:textId="77777777" w:rsidR="00B67903"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Abasolo,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315/LXV-IRASEG)</w:t>
      </w:r>
    </w:p>
    <w:p w14:paraId="3A494DA3"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p>
    <w:p w14:paraId="72126035" w14:textId="65032E95"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801EEA">
        <w:rPr>
          <w:rFonts w:ascii="Abadi" w:hAnsi="Abadi" w:cs="ArialMT"/>
          <w:b/>
          <w:bCs/>
          <w:sz w:val="21"/>
          <w:szCs w:val="21"/>
        </w:rPr>
        <w:t xml:space="preserve"> 4</w:t>
      </w:r>
      <w:r w:rsidR="00BB4D6C">
        <w:rPr>
          <w:rFonts w:ascii="Abadi" w:hAnsi="Abadi" w:cs="ArialMT"/>
          <w:b/>
          <w:bCs/>
          <w:sz w:val="21"/>
          <w:szCs w:val="21"/>
        </w:rPr>
        <w:t>85</w:t>
      </w:r>
    </w:p>
    <w:p w14:paraId="6980DA0D" w14:textId="77777777" w:rsidR="007C5594" w:rsidRPr="007C5594" w:rsidRDefault="007C5594" w:rsidP="007C5594">
      <w:pPr>
        <w:autoSpaceDE w:val="0"/>
        <w:autoSpaceDN w:val="0"/>
        <w:adjustRightInd w:val="0"/>
        <w:ind w:right="709"/>
        <w:contextualSpacing/>
        <w:jc w:val="both"/>
        <w:rPr>
          <w:rFonts w:ascii="Abadi" w:hAnsi="Abadi" w:cs="Arial-ItalicMT"/>
          <w:b/>
          <w:bCs/>
          <w:i/>
          <w:iCs/>
          <w:sz w:val="21"/>
          <w:szCs w:val="21"/>
        </w:rPr>
      </w:pPr>
    </w:p>
    <w:p w14:paraId="2A0557E1" w14:textId="77777777" w:rsidR="00B67903" w:rsidRPr="00006796" w:rsidRDefault="00B67903" w:rsidP="005170ED">
      <w:pPr>
        <w:autoSpaceDE w:val="0"/>
        <w:autoSpaceDN w:val="0"/>
        <w:adjustRightInd w:val="0"/>
        <w:ind w:right="709"/>
        <w:jc w:val="both"/>
        <w:rPr>
          <w:rFonts w:ascii="Abadi" w:hAnsi="Abadi" w:cs="Arial-ItalicMT"/>
          <w:b/>
          <w:bCs/>
          <w:i/>
          <w:iCs/>
          <w:sz w:val="21"/>
          <w:szCs w:val="21"/>
        </w:rPr>
      </w:pPr>
    </w:p>
    <w:p w14:paraId="2A09113B"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w:t>
      </w:r>
      <w:r w:rsidRPr="00006796">
        <w:rPr>
          <w:rFonts w:ascii="Abadi" w:hAnsi="Abadi" w:cs="ArialMT"/>
          <w:b/>
          <w:bCs/>
          <w:sz w:val="21"/>
          <w:szCs w:val="21"/>
        </w:rPr>
        <w:lastRenderedPageBreak/>
        <w:t xml:space="preserve">Fiscalización relativo al informe de resultados de la revisión practicada por la Auditoría Superior del Estado de Guanajuato, a la cuenta pública municipal de Pueblo Nuevo,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316/LXV-IRASEG)</w:t>
      </w:r>
    </w:p>
    <w:p w14:paraId="38E6CAA4" w14:textId="77777777" w:rsidR="00B67903" w:rsidRDefault="00B67903" w:rsidP="005170ED">
      <w:pPr>
        <w:autoSpaceDE w:val="0"/>
        <w:autoSpaceDN w:val="0"/>
        <w:adjustRightInd w:val="0"/>
        <w:ind w:right="709"/>
        <w:jc w:val="both"/>
        <w:rPr>
          <w:rFonts w:ascii="Abadi" w:hAnsi="Abadi" w:cs="Arial-ItalicMT"/>
          <w:b/>
          <w:bCs/>
          <w:i/>
          <w:iCs/>
          <w:sz w:val="21"/>
          <w:szCs w:val="21"/>
        </w:rPr>
      </w:pPr>
    </w:p>
    <w:p w14:paraId="06953198" w14:textId="37DE3395"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3A3A54">
        <w:rPr>
          <w:rFonts w:ascii="Abadi" w:hAnsi="Abadi" w:cs="ArialMT"/>
          <w:b/>
          <w:bCs/>
          <w:sz w:val="21"/>
          <w:szCs w:val="21"/>
        </w:rPr>
        <w:t xml:space="preserve"> 4</w:t>
      </w:r>
      <w:r w:rsidR="00BB4D6C">
        <w:rPr>
          <w:rFonts w:ascii="Abadi" w:hAnsi="Abadi" w:cs="ArialMT"/>
          <w:b/>
          <w:bCs/>
          <w:sz w:val="21"/>
          <w:szCs w:val="21"/>
        </w:rPr>
        <w:t>94</w:t>
      </w:r>
    </w:p>
    <w:p w14:paraId="71DEACB9" w14:textId="77777777" w:rsidR="007C5594" w:rsidRPr="00006796" w:rsidRDefault="007C5594" w:rsidP="005170ED">
      <w:pPr>
        <w:autoSpaceDE w:val="0"/>
        <w:autoSpaceDN w:val="0"/>
        <w:adjustRightInd w:val="0"/>
        <w:ind w:right="709"/>
        <w:jc w:val="both"/>
        <w:rPr>
          <w:rFonts w:ascii="Abadi" w:hAnsi="Abadi" w:cs="Arial-ItalicMT"/>
          <w:b/>
          <w:bCs/>
          <w:i/>
          <w:iCs/>
          <w:sz w:val="21"/>
          <w:szCs w:val="21"/>
        </w:rPr>
      </w:pPr>
    </w:p>
    <w:p w14:paraId="08F8D6FD" w14:textId="77777777" w:rsidR="00B67903" w:rsidRPr="00006796" w:rsidRDefault="00B67903" w:rsidP="005170ED">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León,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317/LXV-IRASEG)</w:t>
      </w:r>
    </w:p>
    <w:p w14:paraId="4D5C607B" w14:textId="77777777" w:rsidR="00B67903" w:rsidRDefault="00B67903" w:rsidP="00B67903">
      <w:pPr>
        <w:autoSpaceDE w:val="0"/>
        <w:autoSpaceDN w:val="0"/>
        <w:adjustRightInd w:val="0"/>
        <w:jc w:val="both"/>
        <w:rPr>
          <w:rFonts w:ascii="Abadi" w:hAnsi="Abadi" w:cs="Arial-ItalicMT"/>
          <w:b/>
          <w:bCs/>
          <w:i/>
          <w:iCs/>
          <w:sz w:val="21"/>
          <w:szCs w:val="21"/>
        </w:rPr>
      </w:pPr>
    </w:p>
    <w:p w14:paraId="3EDC42F0" w14:textId="07FC0D80"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3A3A54">
        <w:rPr>
          <w:rFonts w:ascii="Abadi" w:hAnsi="Abadi" w:cs="ArialMT"/>
          <w:b/>
          <w:bCs/>
          <w:sz w:val="21"/>
          <w:szCs w:val="21"/>
        </w:rPr>
        <w:t xml:space="preserve"> </w:t>
      </w:r>
      <w:r w:rsidR="00A973A1">
        <w:rPr>
          <w:rFonts w:ascii="Abadi" w:hAnsi="Abadi" w:cs="ArialMT"/>
          <w:b/>
          <w:bCs/>
          <w:sz w:val="21"/>
          <w:szCs w:val="21"/>
        </w:rPr>
        <w:t>505</w:t>
      </w:r>
    </w:p>
    <w:p w14:paraId="202ECF87" w14:textId="77777777" w:rsidR="007C5594" w:rsidRPr="00006796" w:rsidRDefault="007C5594" w:rsidP="00B67903">
      <w:pPr>
        <w:autoSpaceDE w:val="0"/>
        <w:autoSpaceDN w:val="0"/>
        <w:adjustRightInd w:val="0"/>
        <w:jc w:val="both"/>
        <w:rPr>
          <w:rFonts w:ascii="Abadi" w:hAnsi="Abadi" w:cs="Arial-ItalicMT"/>
          <w:b/>
          <w:bCs/>
          <w:i/>
          <w:iCs/>
          <w:sz w:val="21"/>
          <w:szCs w:val="21"/>
        </w:rPr>
      </w:pPr>
    </w:p>
    <w:p w14:paraId="5B2A21DA" w14:textId="77777777" w:rsidR="007C5594" w:rsidRDefault="00B67903" w:rsidP="007C5594">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Apaseo el Alto,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319/LXV-IRASEG)</w:t>
      </w:r>
    </w:p>
    <w:p w14:paraId="09CC24B0" w14:textId="77777777" w:rsidR="007C5594" w:rsidRPr="007C5594"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2E24B248" w14:textId="302C7F97" w:rsidR="007C5594" w:rsidRPr="007C5594" w:rsidRDefault="007C5594" w:rsidP="003A3A54">
      <w:pPr>
        <w:pStyle w:val="Prrafodelista"/>
        <w:autoSpaceDE w:val="0"/>
        <w:autoSpaceDN w:val="0"/>
        <w:adjustRightInd w:val="0"/>
        <w:ind w:left="1287" w:right="142"/>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sidR="003A3A54">
        <w:rPr>
          <w:rFonts w:ascii="Abadi" w:hAnsi="Abadi" w:cs="ArialMT"/>
          <w:b/>
          <w:bCs/>
          <w:sz w:val="21"/>
          <w:szCs w:val="21"/>
        </w:rPr>
        <w:tab/>
      </w:r>
      <w:r w:rsidRPr="007C5594">
        <w:rPr>
          <w:rFonts w:ascii="Abadi" w:hAnsi="Abadi" w:cs="ArialMT"/>
          <w:b/>
          <w:bCs/>
          <w:sz w:val="21"/>
          <w:szCs w:val="21"/>
        </w:rPr>
        <w:t>Pág.</w:t>
      </w:r>
      <w:r w:rsidR="003A3A54">
        <w:rPr>
          <w:rFonts w:ascii="Abadi" w:hAnsi="Abadi" w:cs="ArialMT"/>
          <w:b/>
          <w:bCs/>
          <w:sz w:val="21"/>
          <w:szCs w:val="21"/>
        </w:rPr>
        <w:t xml:space="preserve"> 5</w:t>
      </w:r>
      <w:r w:rsidR="00A973A1">
        <w:rPr>
          <w:rFonts w:ascii="Abadi" w:hAnsi="Abadi" w:cs="ArialMT"/>
          <w:b/>
          <w:bCs/>
          <w:sz w:val="21"/>
          <w:szCs w:val="21"/>
        </w:rPr>
        <w:t>15</w:t>
      </w:r>
    </w:p>
    <w:p w14:paraId="2B61852C" w14:textId="77777777" w:rsidR="00B67903" w:rsidRPr="00006796" w:rsidRDefault="00B67903" w:rsidP="00B13823">
      <w:pPr>
        <w:autoSpaceDE w:val="0"/>
        <w:autoSpaceDN w:val="0"/>
        <w:adjustRightInd w:val="0"/>
        <w:ind w:right="709"/>
        <w:jc w:val="both"/>
        <w:rPr>
          <w:rFonts w:ascii="Abadi" w:hAnsi="Abadi" w:cs="Arial-ItalicMT"/>
          <w:b/>
          <w:bCs/>
          <w:i/>
          <w:iCs/>
          <w:sz w:val="21"/>
          <w:szCs w:val="21"/>
        </w:rPr>
      </w:pPr>
    </w:p>
    <w:p w14:paraId="573EAA65" w14:textId="77777777" w:rsidR="00B67903" w:rsidRDefault="00B67903" w:rsidP="00B13823">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Yuriria,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320/LXV-IRASEG)</w:t>
      </w:r>
    </w:p>
    <w:p w14:paraId="37D06BE8" w14:textId="77777777" w:rsidR="007C5594" w:rsidRDefault="007C5594" w:rsidP="007C5594">
      <w:pPr>
        <w:pStyle w:val="Prrafodelista"/>
        <w:autoSpaceDE w:val="0"/>
        <w:autoSpaceDN w:val="0"/>
        <w:adjustRightInd w:val="0"/>
        <w:ind w:left="1287"/>
        <w:contextualSpacing/>
        <w:jc w:val="both"/>
        <w:rPr>
          <w:rFonts w:ascii="Abadi" w:hAnsi="Abadi" w:cs="ArialMT"/>
          <w:b/>
          <w:bCs/>
          <w:sz w:val="21"/>
          <w:szCs w:val="21"/>
        </w:rPr>
      </w:pPr>
    </w:p>
    <w:p w14:paraId="3C7205FA" w14:textId="5E8AB3D8"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61FAD">
        <w:rPr>
          <w:rFonts w:ascii="Abadi" w:hAnsi="Abadi" w:cs="ArialMT"/>
          <w:b/>
          <w:bCs/>
          <w:sz w:val="21"/>
          <w:szCs w:val="21"/>
        </w:rPr>
        <w:t xml:space="preserve"> 5</w:t>
      </w:r>
      <w:r w:rsidR="00A973A1">
        <w:rPr>
          <w:rFonts w:ascii="Abadi" w:hAnsi="Abadi" w:cs="ArialMT"/>
          <w:b/>
          <w:bCs/>
          <w:sz w:val="21"/>
          <w:szCs w:val="21"/>
        </w:rPr>
        <w:t>26</w:t>
      </w:r>
    </w:p>
    <w:p w14:paraId="6DC95652" w14:textId="77777777" w:rsidR="007C5594" w:rsidRPr="00006796" w:rsidRDefault="007C5594" w:rsidP="007C5594">
      <w:pPr>
        <w:pStyle w:val="Prrafodelista"/>
        <w:autoSpaceDE w:val="0"/>
        <w:autoSpaceDN w:val="0"/>
        <w:adjustRightInd w:val="0"/>
        <w:ind w:left="1287" w:right="709"/>
        <w:contextualSpacing/>
        <w:jc w:val="both"/>
        <w:rPr>
          <w:rFonts w:ascii="Abadi" w:hAnsi="Abadi" w:cs="Arial-ItalicMT"/>
          <w:b/>
          <w:bCs/>
          <w:i/>
          <w:iCs/>
          <w:sz w:val="21"/>
          <w:szCs w:val="21"/>
        </w:rPr>
      </w:pPr>
    </w:p>
    <w:p w14:paraId="5756BF9E" w14:textId="77777777" w:rsidR="00B67903" w:rsidRDefault="00B67903" w:rsidP="00B13823">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San Miguel de Allende, </w:t>
      </w:r>
      <w:proofErr w:type="spellStart"/>
      <w:r w:rsidRPr="00006796">
        <w:rPr>
          <w:rFonts w:ascii="Abadi" w:hAnsi="Abadi" w:cs="ArialMT"/>
          <w:b/>
          <w:bCs/>
          <w:sz w:val="21"/>
          <w:szCs w:val="21"/>
        </w:rPr>
        <w:t>Gto</w:t>
      </w:r>
      <w:proofErr w:type="spellEnd"/>
      <w:r w:rsidRPr="00006796">
        <w:rPr>
          <w:rFonts w:ascii="Abadi" w:hAnsi="Abadi" w:cs="ArialMT"/>
          <w:b/>
          <w:bCs/>
          <w:sz w:val="21"/>
          <w:szCs w:val="21"/>
        </w:rPr>
        <w:t xml:space="preserve">., correspondiente al ejercicio fiscal del año 2021. </w:t>
      </w:r>
      <w:r w:rsidRPr="00006796">
        <w:rPr>
          <w:rFonts w:ascii="Abadi" w:hAnsi="Abadi" w:cs="Arial-ItalicMT"/>
          <w:b/>
          <w:bCs/>
          <w:i/>
          <w:iCs/>
          <w:sz w:val="21"/>
          <w:szCs w:val="21"/>
        </w:rPr>
        <w:t>(ELD 321/LXV-IRASEG)</w:t>
      </w:r>
    </w:p>
    <w:p w14:paraId="73C96866" w14:textId="092D4807"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661FAD">
        <w:rPr>
          <w:rFonts w:ascii="Abadi" w:hAnsi="Abadi" w:cs="ArialMT"/>
          <w:b/>
          <w:bCs/>
          <w:sz w:val="21"/>
          <w:szCs w:val="21"/>
        </w:rPr>
        <w:t xml:space="preserve"> 5</w:t>
      </w:r>
      <w:r w:rsidR="00A973A1">
        <w:rPr>
          <w:rFonts w:ascii="Abadi" w:hAnsi="Abadi" w:cs="ArialMT"/>
          <w:b/>
          <w:bCs/>
          <w:sz w:val="21"/>
          <w:szCs w:val="21"/>
        </w:rPr>
        <w:t>36</w:t>
      </w:r>
    </w:p>
    <w:p w14:paraId="3601FFAB" w14:textId="77777777" w:rsidR="00B67903" w:rsidRPr="00006796" w:rsidRDefault="00B67903" w:rsidP="00B67903">
      <w:pPr>
        <w:autoSpaceDE w:val="0"/>
        <w:autoSpaceDN w:val="0"/>
        <w:adjustRightInd w:val="0"/>
        <w:jc w:val="both"/>
        <w:rPr>
          <w:rFonts w:ascii="Abadi" w:hAnsi="Abadi" w:cs="Arial-ItalicMT"/>
          <w:b/>
          <w:bCs/>
          <w:i/>
          <w:iCs/>
          <w:sz w:val="21"/>
          <w:szCs w:val="21"/>
        </w:rPr>
      </w:pPr>
    </w:p>
    <w:p w14:paraId="05BA12D9" w14:textId="77777777" w:rsidR="00B67903" w:rsidRDefault="00B67903" w:rsidP="00B67903">
      <w:pPr>
        <w:pStyle w:val="Prrafodelista"/>
        <w:numPr>
          <w:ilvl w:val="0"/>
          <w:numId w:val="5"/>
        </w:numPr>
        <w:spacing w:after="160" w:line="259" w:lineRule="auto"/>
        <w:contextualSpacing/>
        <w:jc w:val="both"/>
        <w:rPr>
          <w:rFonts w:ascii="Abadi" w:hAnsi="Abadi" w:cs="ArialMT"/>
          <w:b/>
          <w:bCs/>
          <w:sz w:val="21"/>
          <w:szCs w:val="21"/>
        </w:rPr>
      </w:pPr>
      <w:r w:rsidRPr="00006796">
        <w:rPr>
          <w:rFonts w:ascii="Abadi" w:hAnsi="Abadi" w:cs="ArialMT"/>
          <w:b/>
          <w:bCs/>
          <w:sz w:val="21"/>
          <w:szCs w:val="21"/>
        </w:rPr>
        <w:t>Asuntos generales.</w:t>
      </w:r>
    </w:p>
    <w:p w14:paraId="08B445F0" w14:textId="77777777" w:rsidR="00B135D8" w:rsidRDefault="00B135D8" w:rsidP="00B135D8">
      <w:pPr>
        <w:pStyle w:val="Prrafodelista"/>
        <w:ind w:left="1287"/>
        <w:jc w:val="both"/>
        <w:rPr>
          <w:rFonts w:ascii="Abadi" w:hAnsi="Abadi" w:cs="ArialMT"/>
          <w:b/>
          <w:bCs/>
          <w:sz w:val="21"/>
          <w:szCs w:val="21"/>
        </w:rPr>
      </w:pPr>
    </w:p>
    <w:p w14:paraId="4D78DDE5" w14:textId="1E06DF61" w:rsidR="00B135D8" w:rsidRDefault="00B135D8" w:rsidP="007C5594">
      <w:pPr>
        <w:pStyle w:val="Prrafodelista"/>
        <w:ind w:left="1287" w:right="709"/>
        <w:jc w:val="both"/>
        <w:rPr>
          <w:rFonts w:ascii="Abadi" w:hAnsi="Abadi"/>
          <w:b/>
          <w:bCs/>
          <w:sz w:val="21"/>
          <w:szCs w:val="21"/>
        </w:rPr>
      </w:pPr>
      <w:r w:rsidRPr="00B135D8">
        <w:rPr>
          <w:rFonts w:ascii="Abadi" w:hAnsi="Abadi"/>
          <w:b/>
          <w:bCs/>
          <w:sz w:val="21"/>
          <w:szCs w:val="21"/>
        </w:rPr>
        <w:t>(Sube a tribuna la diputada Lilia Margarita Rionda Salas, para hablar asuntos de interés general)</w:t>
      </w:r>
    </w:p>
    <w:p w14:paraId="5071CF1D" w14:textId="77777777" w:rsidR="007D27F1" w:rsidRDefault="007D27F1" w:rsidP="00B135D8">
      <w:pPr>
        <w:pStyle w:val="Prrafodelista"/>
        <w:ind w:left="1287"/>
        <w:jc w:val="both"/>
        <w:rPr>
          <w:rFonts w:ascii="Abadi" w:hAnsi="Abadi"/>
          <w:b/>
          <w:bCs/>
          <w:sz w:val="21"/>
          <w:szCs w:val="21"/>
        </w:rPr>
      </w:pPr>
    </w:p>
    <w:p w14:paraId="18EF0048" w14:textId="6635F8FF" w:rsidR="007C5594" w:rsidRPr="00006796" w:rsidRDefault="007C5594" w:rsidP="007C5594">
      <w:pPr>
        <w:pStyle w:val="Prrafodelista"/>
        <w:autoSpaceDE w:val="0"/>
        <w:autoSpaceDN w:val="0"/>
        <w:adjustRightInd w:val="0"/>
        <w:ind w:left="1287" w:right="-284"/>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A973A1">
        <w:rPr>
          <w:rFonts w:ascii="Abadi" w:hAnsi="Abadi" w:cs="ArialMT"/>
          <w:b/>
          <w:bCs/>
          <w:sz w:val="21"/>
          <w:szCs w:val="21"/>
        </w:rPr>
        <w:t xml:space="preserve"> </w:t>
      </w:r>
      <w:r w:rsidR="00305DBF">
        <w:rPr>
          <w:rFonts w:ascii="Abadi" w:hAnsi="Abadi" w:cs="ArialMT"/>
          <w:b/>
          <w:bCs/>
          <w:sz w:val="21"/>
          <w:szCs w:val="21"/>
        </w:rPr>
        <w:t>547</w:t>
      </w:r>
    </w:p>
    <w:p w14:paraId="78420CB9" w14:textId="77777777" w:rsidR="007C5594" w:rsidRDefault="007C5594" w:rsidP="00B135D8">
      <w:pPr>
        <w:pStyle w:val="Prrafodelista"/>
        <w:ind w:left="1287"/>
        <w:jc w:val="both"/>
        <w:rPr>
          <w:rFonts w:ascii="Abadi" w:hAnsi="Abadi"/>
          <w:b/>
          <w:bCs/>
          <w:sz w:val="21"/>
          <w:szCs w:val="21"/>
        </w:rPr>
      </w:pPr>
    </w:p>
    <w:p w14:paraId="40D4F85F" w14:textId="77777777" w:rsidR="007D27F1" w:rsidRDefault="007D27F1" w:rsidP="007C5594">
      <w:pPr>
        <w:ind w:left="1276" w:right="709"/>
        <w:jc w:val="both"/>
        <w:rPr>
          <w:noProof/>
        </w:rPr>
      </w:pPr>
      <w:r w:rsidRPr="0021218C">
        <w:rPr>
          <w:rFonts w:ascii="Abadi" w:hAnsi="Abadi"/>
          <w:b/>
          <w:bCs/>
          <w:sz w:val="21"/>
          <w:szCs w:val="21"/>
        </w:rPr>
        <w:t xml:space="preserve">(Sube a tribuna el diputado Gerardo Fernández González, </w:t>
      </w:r>
      <w:r w:rsidRPr="0021218C">
        <w:rPr>
          <w:rFonts w:ascii="Abadi" w:hAnsi="Abadi"/>
          <w:b/>
          <w:bCs/>
          <w:sz w:val="21"/>
          <w:szCs w:val="21"/>
        </w:rPr>
        <w:lastRenderedPageBreak/>
        <w:t>para hablar en asuntos de interés general)</w:t>
      </w:r>
      <w:r w:rsidRPr="00DF0FBA">
        <w:rPr>
          <w:noProof/>
        </w:rPr>
        <w:t xml:space="preserve"> </w:t>
      </w:r>
    </w:p>
    <w:p w14:paraId="748E7877" w14:textId="77777777" w:rsidR="00946138" w:rsidRDefault="00946138" w:rsidP="007C5594">
      <w:pPr>
        <w:ind w:left="1276" w:right="709"/>
        <w:jc w:val="both"/>
        <w:rPr>
          <w:noProof/>
        </w:rPr>
      </w:pPr>
    </w:p>
    <w:p w14:paraId="1CE11AA5" w14:textId="69242986"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305DBF">
        <w:rPr>
          <w:rFonts w:ascii="Abadi" w:hAnsi="Abadi" w:cs="ArialMT"/>
          <w:b/>
          <w:bCs/>
          <w:sz w:val="21"/>
          <w:szCs w:val="21"/>
        </w:rPr>
        <w:t xml:space="preserve"> </w:t>
      </w:r>
      <w:r w:rsidR="00BB0871">
        <w:rPr>
          <w:rFonts w:ascii="Abadi" w:hAnsi="Abadi" w:cs="ArialMT"/>
          <w:b/>
          <w:bCs/>
          <w:sz w:val="21"/>
          <w:szCs w:val="21"/>
        </w:rPr>
        <w:t>548</w:t>
      </w:r>
    </w:p>
    <w:p w14:paraId="7953BF5C" w14:textId="77777777" w:rsidR="007C5594" w:rsidRDefault="007C5594" w:rsidP="007C5594">
      <w:pPr>
        <w:ind w:left="1276" w:right="709"/>
        <w:jc w:val="both"/>
        <w:rPr>
          <w:noProof/>
        </w:rPr>
      </w:pPr>
    </w:p>
    <w:p w14:paraId="40832E2E" w14:textId="038F67E4" w:rsidR="00946138" w:rsidRDefault="00946138" w:rsidP="007C5594">
      <w:pPr>
        <w:ind w:left="1276" w:right="709"/>
        <w:jc w:val="both"/>
        <w:rPr>
          <w:rFonts w:ascii="Abadi" w:hAnsi="Abadi"/>
          <w:b/>
          <w:bCs/>
          <w:sz w:val="21"/>
          <w:szCs w:val="21"/>
        </w:rPr>
      </w:pPr>
      <w:r w:rsidRPr="003A7899">
        <w:rPr>
          <w:rFonts w:ascii="Abadi" w:hAnsi="Abadi"/>
          <w:b/>
          <w:bCs/>
          <w:sz w:val="21"/>
          <w:szCs w:val="21"/>
        </w:rPr>
        <w:t>(Sube a tribuna la diputada Irma Leticia González Sánchez, para hablar en asuntos de interés general)</w:t>
      </w:r>
    </w:p>
    <w:p w14:paraId="54D117C9" w14:textId="77777777" w:rsidR="008202A0" w:rsidRDefault="008202A0" w:rsidP="007C5594">
      <w:pPr>
        <w:ind w:left="1276" w:right="709"/>
        <w:jc w:val="both"/>
        <w:rPr>
          <w:rFonts w:ascii="Abadi" w:hAnsi="Abadi"/>
          <w:b/>
          <w:bCs/>
          <w:sz w:val="21"/>
          <w:szCs w:val="21"/>
        </w:rPr>
      </w:pPr>
    </w:p>
    <w:p w14:paraId="7DA09BF7" w14:textId="773CAF21" w:rsidR="007C5594" w:rsidRPr="00006796" w:rsidRDefault="007C5594" w:rsidP="007C5594">
      <w:pPr>
        <w:pStyle w:val="Prrafodelista"/>
        <w:autoSpaceDE w:val="0"/>
        <w:autoSpaceDN w:val="0"/>
        <w:adjustRightInd w:val="0"/>
        <w:ind w:left="1287" w:right="142"/>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BB0871">
        <w:rPr>
          <w:rFonts w:ascii="Abadi" w:hAnsi="Abadi" w:cs="ArialMT"/>
          <w:b/>
          <w:bCs/>
          <w:sz w:val="21"/>
          <w:szCs w:val="21"/>
        </w:rPr>
        <w:t xml:space="preserve"> 550</w:t>
      </w:r>
    </w:p>
    <w:p w14:paraId="700B53F4" w14:textId="77777777" w:rsidR="007C5594" w:rsidRDefault="007C5594" w:rsidP="007C5594">
      <w:pPr>
        <w:ind w:left="1276" w:right="709"/>
        <w:jc w:val="both"/>
        <w:rPr>
          <w:rFonts w:ascii="Abadi" w:hAnsi="Abadi"/>
          <w:b/>
          <w:bCs/>
          <w:sz w:val="21"/>
          <w:szCs w:val="21"/>
        </w:rPr>
      </w:pPr>
    </w:p>
    <w:p w14:paraId="084D3BC5" w14:textId="77777777" w:rsidR="008202A0" w:rsidRDefault="008202A0" w:rsidP="007C5594">
      <w:pPr>
        <w:ind w:left="1276" w:right="709"/>
        <w:jc w:val="both"/>
        <w:rPr>
          <w:rFonts w:ascii="Abadi" w:hAnsi="Abadi"/>
          <w:b/>
          <w:bCs/>
          <w:sz w:val="21"/>
          <w:szCs w:val="21"/>
        </w:rPr>
      </w:pPr>
      <w:r w:rsidRPr="006D1A90">
        <w:rPr>
          <w:rFonts w:ascii="Abadi" w:hAnsi="Abadi"/>
          <w:b/>
          <w:bCs/>
          <w:sz w:val="21"/>
          <w:szCs w:val="21"/>
        </w:rPr>
        <w:t>(Sube a tribuna el Diputado Alejandro Arias Ávila, para hablar en asuntos de interés general)</w:t>
      </w:r>
    </w:p>
    <w:p w14:paraId="759AF983" w14:textId="77777777" w:rsidR="007C5594" w:rsidRDefault="007C5594" w:rsidP="007C5594">
      <w:pPr>
        <w:ind w:left="1276" w:right="709"/>
        <w:jc w:val="both"/>
        <w:rPr>
          <w:rFonts w:ascii="Abadi" w:hAnsi="Abadi"/>
          <w:b/>
          <w:bCs/>
          <w:sz w:val="21"/>
          <w:szCs w:val="21"/>
        </w:rPr>
      </w:pPr>
    </w:p>
    <w:p w14:paraId="5F44ABBD" w14:textId="49E3EEF5"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BB0871">
        <w:rPr>
          <w:rFonts w:ascii="Abadi" w:hAnsi="Abadi" w:cs="ArialMT"/>
          <w:b/>
          <w:bCs/>
          <w:sz w:val="21"/>
          <w:szCs w:val="21"/>
        </w:rPr>
        <w:t xml:space="preserve"> 554</w:t>
      </w:r>
    </w:p>
    <w:p w14:paraId="56964E3F" w14:textId="77777777" w:rsidR="007C5594" w:rsidRDefault="007C5594" w:rsidP="007C5594">
      <w:pPr>
        <w:ind w:left="1276" w:right="709"/>
        <w:jc w:val="both"/>
        <w:rPr>
          <w:rFonts w:ascii="Abadi" w:hAnsi="Abadi"/>
          <w:b/>
          <w:bCs/>
          <w:sz w:val="21"/>
          <w:szCs w:val="21"/>
        </w:rPr>
      </w:pPr>
    </w:p>
    <w:p w14:paraId="7BE7D7C3" w14:textId="77777777" w:rsidR="008202A0" w:rsidRDefault="008202A0" w:rsidP="007C5594">
      <w:pPr>
        <w:ind w:left="1276" w:right="709"/>
        <w:jc w:val="both"/>
        <w:rPr>
          <w:noProof/>
        </w:rPr>
      </w:pPr>
    </w:p>
    <w:p w14:paraId="7678E0E1" w14:textId="77777777" w:rsidR="00A75A3B" w:rsidRDefault="00A75A3B" w:rsidP="007C5594">
      <w:pPr>
        <w:ind w:left="1276" w:right="709"/>
        <w:jc w:val="both"/>
        <w:rPr>
          <w:rFonts w:ascii="Abadi" w:hAnsi="Abadi"/>
          <w:b/>
          <w:bCs/>
          <w:sz w:val="21"/>
          <w:szCs w:val="21"/>
        </w:rPr>
      </w:pPr>
      <w:r w:rsidRPr="00A329A0">
        <w:rPr>
          <w:rFonts w:ascii="Abadi" w:hAnsi="Abadi"/>
          <w:b/>
          <w:bCs/>
          <w:sz w:val="21"/>
          <w:szCs w:val="21"/>
        </w:rPr>
        <w:t>(Sube a tribuna el diputado David Martínez Mendizábal, para rectificación de hechos del diputado que le antecedió en el uso de la voz)</w:t>
      </w:r>
    </w:p>
    <w:p w14:paraId="70A0EBA9" w14:textId="77777777" w:rsidR="00B77CA6" w:rsidRDefault="00B77CA6" w:rsidP="007C5594">
      <w:pPr>
        <w:ind w:left="1276" w:right="709"/>
        <w:jc w:val="both"/>
        <w:rPr>
          <w:rFonts w:ascii="Abadi" w:hAnsi="Abadi"/>
          <w:b/>
          <w:bCs/>
          <w:sz w:val="21"/>
          <w:szCs w:val="21"/>
        </w:rPr>
      </w:pPr>
    </w:p>
    <w:p w14:paraId="23D2C92F" w14:textId="4F467413" w:rsidR="007C5594" w:rsidRPr="00006796" w:rsidRDefault="007C5594" w:rsidP="007C5594">
      <w:pPr>
        <w:pStyle w:val="Prrafodelista"/>
        <w:autoSpaceDE w:val="0"/>
        <w:autoSpaceDN w:val="0"/>
        <w:adjustRightInd w:val="0"/>
        <w:ind w:left="1287"/>
        <w:contextualSpacing/>
        <w:jc w:val="both"/>
        <w:rPr>
          <w:rFonts w:ascii="Abadi" w:hAnsi="Abadi" w:cs="Arial-ItalicMT"/>
          <w:b/>
          <w:bCs/>
          <w:i/>
          <w:i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t>Pág.</w:t>
      </w:r>
      <w:r w:rsidR="00BB0871">
        <w:rPr>
          <w:rFonts w:ascii="Abadi" w:hAnsi="Abadi" w:cs="ArialMT"/>
          <w:b/>
          <w:bCs/>
          <w:sz w:val="21"/>
          <w:szCs w:val="21"/>
        </w:rPr>
        <w:t xml:space="preserve"> 554</w:t>
      </w:r>
    </w:p>
    <w:p w14:paraId="192B0E5D" w14:textId="77777777" w:rsidR="007C5594" w:rsidRDefault="007C5594" w:rsidP="007C5594">
      <w:pPr>
        <w:ind w:left="1276" w:right="709"/>
        <w:jc w:val="both"/>
        <w:rPr>
          <w:rFonts w:ascii="Abadi" w:hAnsi="Abadi"/>
          <w:b/>
          <w:bCs/>
          <w:sz w:val="21"/>
          <w:szCs w:val="21"/>
        </w:rPr>
      </w:pPr>
    </w:p>
    <w:p w14:paraId="2F7EAACD" w14:textId="77777777" w:rsidR="005B33ED" w:rsidRDefault="005B33ED" w:rsidP="00B77CA6">
      <w:pPr>
        <w:jc w:val="both"/>
        <w:rPr>
          <w:rFonts w:ascii="Abadi" w:hAnsi="Abadi"/>
          <w:b/>
          <w:bCs/>
          <w:sz w:val="21"/>
          <w:szCs w:val="21"/>
        </w:rPr>
      </w:pPr>
    </w:p>
    <w:p w14:paraId="2831C0A1" w14:textId="77777777" w:rsidR="005B33ED" w:rsidRDefault="005B33ED" w:rsidP="007C5594">
      <w:pPr>
        <w:ind w:left="1276" w:right="709"/>
        <w:jc w:val="both"/>
        <w:rPr>
          <w:rFonts w:ascii="Abadi" w:hAnsi="Abadi"/>
          <w:b/>
          <w:bCs/>
          <w:sz w:val="21"/>
          <w:szCs w:val="21"/>
        </w:rPr>
      </w:pPr>
      <w:r w:rsidRPr="00435D8F">
        <w:rPr>
          <w:rFonts w:ascii="Abadi" w:hAnsi="Abadi"/>
          <w:b/>
          <w:bCs/>
          <w:sz w:val="21"/>
          <w:szCs w:val="21"/>
        </w:rPr>
        <w:t xml:space="preserve">(Sube a tribuna el diputado Cuauhtémoc Becerra González, para hablar en asuntos de interés general) </w:t>
      </w:r>
    </w:p>
    <w:p w14:paraId="0D044164" w14:textId="4A2F7367" w:rsidR="004B2EC9" w:rsidRDefault="004B2EC9" w:rsidP="00F3526F">
      <w:pPr>
        <w:ind w:left="1276"/>
        <w:jc w:val="both"/>
        <w:rPr>
          <w:rFonts w:ascii="Abadi" w:hAnsi="Abadi"/>
          <w:b/>
          <w:bCs/>
          <w:sz w:val="21"/>
          <w:szCs w:val="21"/>
        </w:rPr>
      </w:pPr>
      <w:r>
        <w:rPr>
          <w:rFonts w:ascii="Abadi" w:hAnsi="Abadi" w:cs="ArialMT"/>
          <w:b/>
          <w:bCs/>
          <w:sz w:val="21"/>
          <w:szCs w:val="21"/>
        </w:rPr>
        <w:tab/>
      </w:r>
      <w:r>
        <w:rPr>
          <w:rFonts w:ascii="Abadi" w:hAnsi="Abadi" w:cs="ArialMT"/>
          <w:b/>
          <w:bCs/>
          <w:sz w:val="21"/>
          <w:szCs w:val="21"/>
        </w:rPr>
        <w:tab/>
      </w:r>
      <w:r>
        <w:rPr>
          <w:rFonts w:ascii="Abadi" w:hAnsi="Abadi" w:cs="ArialMT"/>
          <w:b/>
          <w:bCs/>
          <w:sz w:val="21"/>
          <w:szCs w:val="21"/>
        </w:rPr>
        <w:tab/>
      </w:r>
      <w:r w:rsidR="00F3526F">
        <w:rPr>
          <w:rFonts w:ascii="Abadi" w:hAnsi="Abadi" w:cs="ArialMT"/>
          <w:b/>
          <w:bCs/>
          <w:sz w:val="21"/>
          <w:szCs w:val="21"/>
        </w:rPr>
        <w:tab/>
      </w:r>
      <w:r w:rsidR="00F3526F">
        <w:rPr>
          <w:rFonts w:ascii="Abadi" w:hAnsi="Abadi" w:cs="ArialMT"/>
          <w:b/>
          <w:bCs/>
          <w:sz w:val="21"/>
          <w:szCs w:val="21"/>
        </w:rPr>
        <w:tab/>
      </w:r>
      <w:r>
        <w:rPr>
          <w:rFonts w:ascii="Abadi" w:hAnsi="Abadi" w:cs="ArialMT"/>
          <w:b/>
          <w:bCs/>
          <w:sz w:val="21"/>
          <w:szCs w:val="21"/>
        </w:rPr>
        <w:tab/>
      </w:r>
      <w:r w:rsidR="00F3526F">
        <w:rPr>
          <w:rFonts w:ascii="Abadi" w:hAnsi="Abadi" w:cs="ArialMT"/>
          <w:b/>
          <w:bCs/>
          <w:sz w:val="21"/>
          <w:szCs w:val="21"/>
        </w:rPr>
        <w:tab/>
      </w:r>
      <w:r>
        <w:rPr>
          <w:rFonts w:ascii="Abadi" w:hAnsi="Abadi" w:cs="ArialMT"/>
          <w:b/>
          <w:bCs/>
          <w:sz w:val="21"/>
          <w:szCs w:val="21"/>
        </w:rPr>
        <w:t>Pág. 555</w:t>
      </w:r>
    </w:p>
    <w:p w14:paraId="1260D756" w14:textId="77777777" w:rsidR="005B33ED" w:rsidRDefault="005B33ED" w:rsidP="00B77CA6">
      <w:pPr>
        <w:jc w:val="both"/>
        <w:rPr>
          <w:rFonts w:ascii="Abadi" w:hAnsi="Abadi"/>
          <w:b/>
          <w:bCs/>
          <w:sz w:val="21"/>
          <w:szCs w:val="21"/>
        </w:rPr>
      </w:pPr>
    </w:p>
    <w:p w14:paraId="54B1EFA8" w14:textId="3355E47A" w:rsidR="00B67903" w:rsidRDefault="00727E27" w:rsidP="00B13823">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r w:rsidRPr="0030088F">
        <w:rPr>
          <w:rFonts w:ascii="Abadi" w:hAnsi="Abadi"/>
          <w:noProof/>
          <w:sz w:val="21"/>
          <w:szCs w:val="21"/>
        </w:rPr>
        <w:drawing>
          <wp:anchor distT="0" distB="0" distL="114300" distR="114300" simplePos="0" relativeHeight="251658244" behindDoc="1" locked="0" layoutInCell="1" allowOverlap="1" wp14:anchorId="1DA0A386" wp14:editId="54A97F5A">
            <wp:simplePos x="0" y="0"/>
            <wp:positionH relativeFrom="column">
              <wp:posOffset>580390</wp:posOffset>
            </wp:positionH>
            <wp:positionV relativeFrom="paragraph">
              <wp:posOffset>391160</wp:posOffset>
            </wp:positionV>
            <wp:extent cx="1641395" cy="863600"/>
            <wp:effectExtent l="247650" t="228600" r="245110" b="793750"/>
            <wp:wrapTight wrapText="bothSides">
              <wp:wrapPolygon edited="0">
                <wp:start x="-3260" y="-5718"/>
                <wp:lineTo x="-3260" y="40976"/>
                <wp:lineTo x="24576" y="40976"/>
                <wp:lineTo x="24576" y="-5718"/>
                <wp:lineTo x="-3260" y="-5718"/>
              </wp:wrapPolygon>
            </wp:wrapTight>
            <wp:docPr id="1699529423" name="Imagen 1699529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529423" name=""/>
                    <pic:cNvPicPr/>
                  </pic:nvPicPr>
                  <pic:blipFill rotWithShape="1">
                    <a:blip r:embed="rId14" cstate="print">
                      <a:extLst>
                        <a:ext uri="{28A0092B-C50C-407E-A947-70E740481C1C}">
                          <a14:useLocalDpi xmlns:a14="http://schemas.microsoft.com/office/drawing/2010/main" val="0"/>
                        </a:ext>
                      </a:extLst>
                    </a:blip>
                    <a:srcRect b="6458"/>
                    <a:stretch/>
                  </pic:blipFill>
                  <pic:spPr bwMode="auto">
                    <a:xfrm>
                      <a:off x="0" y="0"/>
                      <a:ext cx="1641395" cy="8636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1E3CC9F" w14:textId="1BB96B4B" w:rsidR="00727E27" w:rsidRDefault="00727E27" w:rsidP="00B13823">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6462C439" w14:textId="5AAA27C5" w:rsidR="00727E27" w:rsidRDefault="00727E27" w:rsidP="00B13823">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33AA76B0" w14:textId="61DF9590" w:rsidR="000C28AA" w:rsidRDefault="002B0A8D" w:rsidP="002B0A8D">
      <w:pPr>
        <w:pStyle w:val="Prrafodelista"/>
        <w:tabs>
          <w:tab w:val="left" w:pos="3119"/>
        </w:tabs>
        <w:kinsoku w:val="0"/>
        <w:overflowPunct w:val="0"/>
        <w:autoSpaceDE w:val="0"/>
        <w:autoSpaceDN w:val="0"/>
        <w:adjustRightInd w:val="0"/>
        <w:ind w:left="0"/>
        <w:jc w:val="center"/>
        <w:rPr>
          <w:rFonts w:ascii="Abadi" w:hAnsi="Abadi"/>
          <w:b/>
          <w:bCs/>
          <w:sz w:val="21"/>
          <w:szCs w:val="21"/>
        </w:rPr>
      </w:pPr>
      <w:r>
        <w:rPr>
          <w:rFonts w:ascii="Abadi" w:hAnsi="Abadi"/>
          <w:b/>
          <w:sz w:val="21"/>
          <w:szCs w:val="21"/>
        </w:rPr>
        <w:t>PRESIDENCIA DE LA DIPUTADA LAURA CRISTINA MÁRQUEZ ALCALÁ</w:t>
      </w:r>
    </w:p>
    <w:p w14:paraId="5944A6B1" w14:textId="23DCECEC" w:rsidR="00617633" w:rsidRDefault="000C28AA" w:rsidP="002B0A8D">
      <w:pPr>
        <w:jc w:val="both"/>
        <w:rPr>
          <w:rFonts w:ascii="Abadi" w:hAnsi="Abadi" w:cs="ArialMT"/>
          <w:b/>
          <w:bCs/>
          <w:sz w:val="21"/>
          <w:szCs w:val="21"/>
        </w:rPr>
      </w:pPr>
      <w:r>
        <w:rPr>
          <w:rFonts w:ascii="Abadi" w:hAnsi="Abadi"/>
          <w:b/>
          <w:bCs/>
          <w:sz w:val="21"/>
          <w:szCs w:val="21"/>
        </w:rPr>
        <w:tab/>
      </w:r>
    </w:p>
    <w:p w14:paraId="51CFB074" w14:textId="3B62CE63" w:rsidR="00D95F13" w:rsidRDefault="002B0A8D" w:rsidP="00D95F13">
      <w:pPr>
        <w:jc w:val="both"/>
        <w:rPr>
          <w:rFonts w:ascii="Abadi" w:hAnsi="Abadi"/>
          <w:sz w:val="21"/>
          <w:szCs w:val="21"/>
        </w:rPr>
      </w:pPr>
      <w:r>
        <w:rPr>
          <w:rFonts w:ascii="Abadi" w:hAnsi="Abadi"/>
          <w:b/>
          <w:bCs/>
          <w:sz w:val="21"/>
          <w:szCs w:val="21"/>
        </w:rPr>
        <w:tab/>
      </w:r>
      <w:r w:rsidR="00D95F13" w:rsidRPr="0030088F">
        <w:rPr>
          <w:rFonts w:ascii="Abadi" w:hAnsi="Abadi"/>
          <w:b/>
          <w:bCs/>
          <w:sz w:val="21"/>
          <w:szCs w:val="21"/>
        </w:rPr>
        <w:t xml:space="preserve">- La </w:t>
      </w:r>
      <w:proofErr w:type="gramStart"/>
      <w:r w:rsidR="00D95F13" w:rsidRPr="0030088F">
        <w:rPr>
          <w:rFonts w:ascii="Abadi" w:hAnsi="Abadi"/>
          <w:b/>
          <w:bCs/>
          <w:sz w:val="21"/>
          <w:szCs w:val="21"/>
        </w:rPr>
        <w:t>Presidencia.-</w:t>
      </w:r>
      <w:proofErr w:type="gramEnd"/>
      <w:r w:rsidR="00D95F13" w:rsidRPr="0030088F">
        <w:rPr>
          <w:rFonts w:ascii="Abadi" w:hAnsi="Abadi"/>
          <w:sz w:val="21"/>
          <w:szCs w:val="21"/>
        </w:rPr>
        <w:t xml:space="preserve"> Vamos a iniciar </w:t>
      </w:r>
      <w:r w:rsidR="00D95F13">
        <w:rPr>
          <w:rFonts w:ascii="Abadi" w:hAnsi="Abadi"/>
          <w:sz w:val="21"/>
          <w:szCs w:val="21"/>
        </w:rPr>
        <w:t xml:space="preserve">la sesión </w:t>
      </w:r>
      <w:r w:rsidR="00D95F13" w:rsidRPr="0030088F">
        <w:rPr>
          <w:rFonts w:ascii="Abadi" w:hAnsi="Abadi"/>
          <w:sz w:val="21"/>
          <w:szCs w:val="21"/>
        </w:rPr>
        <w:t xml:space="preserve">el día de hoy, con el gusto de saludarle a todas y todos, agradeciendo además la participación de todo el equipo de colaborador que nos ayudan hacer nuestro trabajo de manera profesional en favor de las y los guanajuatenses, pido a la Secretaría certificar el cuórum conforme al registro de asistencia del sistema electronico.  </w:t>
      </w:r>
    </w:p>
    <w:p w14:paraId="27B13F50" w14:textId="77777777" w:rsidR="00D95F13" w:rsidRPr="0030088F" w:rsidRDefault="00D95F13" w:rsidP="00D95F13">
      <w:pPr>
        <w:jc w:val="both"/>
        <w:rPr>
          <w:rFonts w:ascii="Abadi" w:hAnsi="Abadi"/>
          <w:sz w:val="21"/>
          <w:szCs w:val="21"/>
        </w:rPr>
      </w:pPr>
    </w:p>
    <w:p w14:paraId="55D6AC7D" w14:textId="77777777" w:rsidR="00D95F13" w:rsidRDefault="00D95F13" w:rsidP="00D95F13">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b/>
          <w:bCs/>
          <w:sz w:val="21"/>
          <w:szCs w:val="21"/>
        </w:rPr>
        <w:t xml:space="preserve"> </w:t>
      </w:r>
      <w:r w:rsidRPr="0030088F">
        <w:rPr>
          <w:rFonts w:ascii="Abadi" w:hAnsi="Abadi"/>
          <w:sz w:val="21"/>
          <w:szCs w:val="21"/>
        </w:rPr>
        <w:t>¡Muy buenos días! le informo presidenta, que la asistencia al momento, es de 29 diputadas y diputados, por lo cual hay cuórum legal, para sesionar.</w:t>
      </w:r>
    </w:p>
    <w:p w14:paraId="27A41BBE" w14:textId="77777777" w:rsidR="00D95F13" w:rsidRPr="0030088F" w:rsidRDefault="00D95F13" w:rsidP="00D95F13">
      <w:pPr>
        <w:jc w:val="both"/>
        <w:rPr>
          <w:rFonts w:ascii="Abadi" w:hAnsi="Abadi"/>
          <w:sz w:val="21"/>
          <w:szCs w:val="21"/>
        </w:rPr>
      </w:pPr>
      <w:r w:rsidRPr="0030088F">
        <w:rPr>
          <w:rFonts w:ascii="Abadi" w:hAnsi="Abadi"/>
          <w:sz w:val="21"/>
          <w:szCs w:val="21"/>
        </w:rPr>
        <w:t xml:space="preserve"> </w:t>
      </w:r>
    </w:p>
    <w:p w14:paraId="5DC903D1" w14:textId="77777777" w:rsidR="00D95F13" w:rsidRDefault="00D95F13" w:rsidP="00D95F13">
      <w:pPr>
        <w:jc w:val="both"/>
        <w:rPr>
          <w:rFonts w:ascii="Abadi" w:hAnsi="Abadi"/>
          <w:sz w:val="21"/>
          <w:szCs w:val="21"/>
        </w:rPr>
      </w:pPr>
      <w:r w:rsidRPr="0030088F">
        <w:rPr>
          <w:rFonts w:ascii="Abadi" w:hAnsi="Abadi"/>
          <w:b/>
          <w:bCs/>
          <w:sz w:val="21"/>
          <w:szCs w:val="21"/>
        </w:rPr>
        <w:tab/>
        <w:t xml:space="preserve">- 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Gracias diputado,</w:t>
      </w:r>
      <w:r w:rsidRPr="0030088F">
        <w:rPr>
          <w:rFonts w:ascii="Abadi" w:hAnsi="Abadi"/>
          <w:b/>
          <w:bCs/>
          <w:sz w:val="21"/>
          <w:szCs w:val="21"/>
        </w:rPr>
        <w:t xml:space="preserve"> </w:t>
      </w:r>
      <w:r w:rsidRPr="0030088F">
        <w:rPr>
          <w:rFonts w:ascii="Abadi" w:hAnsi="Abadi"/>
          <w:sz w:val="21"/>
          <w:szCs w:val="21"/>
        </w:rPr>
        <w:t xml:space="preserve">siendo las </w:t>
      </w:r>
      <w:r w:rsidRPr="0030088F">
        <w:rPr>
          <w:rFonts w:ascii="Abadi" w:hAnsi="Abadi"/>
          <w:b/>
          <w:bCs/>
          <w:sz w:val="21"/>
          <w:szCs w:val="21"/>
        </w:rPr>
        <w:t>10:17 (diez horas con diecisiete minutos)</w:t>
      </w:r>
      <w:r w:rsidRPr="0030088F">
        <w:rPr>
          <w:rFonts w:ascii="Abadi" w:hAnsi="Abadi"/>
          <w:sz w:val="21"/>
          <w:szCs w:val="21"/>
        </w:rPr>
        <w:t xml:space="preserve"> se abre la sesión.</w:t>
      </w:r>
    </w:p>
    <w:p w14:paraId="0872902B" w14:textId="77777777" w:rsidR="003A118B" w:rsidRPr="0030088F" w:rsidRDefault="003A118B" w:rsidP="00D95F13">
      <w:pPr>
        <w:jc w:val="both"/>
        <w:rPr>
          <w:rFonts w:ascii="Abadi" w:hAnsi="Abadi"/>
          <w:sz w:val="21"/>
          <w:szCs w:val="21"/>
        </w:rPr>
      </w:pPr>
    </w:p>
    <w:p w14:paraId="03A440D2" w14:textId="77777777" w:rsidR="00D95F13" w:rsidRDefault="00D95F13" w:rsidP="00D95F13">
      <w:pPr>
        <w:jc w:val="both"/>
        <w:rPr>
          <w:rFonts w:ascii="Abadi" w:hAnsi="Abadi"/>
          <w:b/>
          <w:bCs/>
          <w:sz w:val="21"/>
          <w:szCs w:val="21"/>
        </w:rPr>
      </w:pPr>
      <w:r w:rsidRPr="0030088F">
        <w:rPr>
          <w:rFonts w:ascii="Abadi" w:hAnsi="Abadi"/>
          <w:b/>
          <w:bCs/>
          <w:sz w:val="21"/>
          <w:szCs w:val="21"/>
        </w:rPr>
        <w:t>(se instruye a la secretaría dar lectura al orden del día)</w:t>
      </w:r>
    </w:p>
    <w:p w14:paraId="46EABB56" w14:textId="77777777" w:rsidR="00AE3727" w:rsidRDefault="00AE3727" w:rsidP="00D95F13">
      <w:pPr>
        <w:jc w:val="both"/>
        <w:rPr>
          <w:rFonts w:ascii="Abadi" w:hAnsi="Abadi"/>
          <w:b/>
          <w:bCs/>
          <w:sz w:val="21"/>
          <w:szCs w:val="21"/>
        </w:rPr>
      </w:pPr>
    </w:p>
    <w:p w14:paraId="713015F2" w14:textId="7FF36CFA" w:rsidR="003A118B" w:rsidRDefault="00AE3727" w:rsidP="00D95F13">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45" behindDoc="1" locked="0" layoutInCell="1" allowOverlap="1" wp14:anchorId="21B16BF1" wp14:editId="0D28460A">
            <wp:simplePos x="0" y="0"/>
            <wp:positionH relativeFrom="column">
              <wp:posOffset>567055</wp:posOffset>
            </wp:positionH>
            <wp:positionV relativeFrom="paragraph">
              <wp:posOffset>330835</wp:posOffset>
            </wp:positionV>
            <wp:extent cx="1339850" cy="695325"/>
            <wp:effectExtent l="247650" t="228600" r="241300" b="752475"/>
            <wp:wrapTight wrapText="bothSides">
              <wp:wrapPolygon edited="0">
                <wp:start x="-3992" y="-7101"/>
                <wp:lineTo x="-3992" y="44384"/>
                <wp:lineTo x="25183" y="44384"/>
                <wp:lineTo x="25183" y="-7101"/>
                <wp:lineTo x="-3992" y="-7101"/>
              </wp:wrapPolygon>
            </wp:wrapTight>
            <wp:docPr id="1372405990" name="Imagen 1372405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405990" name=""/>
                    <pic:cNvPicPr/>
                  </pic:nvPicPr>
                  <pic:blipFill rotWithShape="1">
                    <a:blip r:embed="rId15" cstate="print">
                      <a:extLst>
                        <a:ext uri="{28A0092B-C50C-407E-A947-70E740481C1C}">
                          <a14:useLocalDpi xmlns:a14="http://schemas.microsoft.com/office/drawing/2010/main" val="0"/>
                        </a:ext>
                      </a:extLst>
                    </a:blip>
                    <a:srcRect b="7664"/>
                    <a:stretch/>
                  </pic:blipFill>
                  <pic:spPr bwMode="auto">
                    <a:xfrm>
                      <a:off x="0" y="0"/>
                      <a:ext cx="1339850" cy="69532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EA44DEA" w14:textId="77777777" w:rsidR="0079409F" w:rsidRPr="0079409F" w:rsidRDefault="0079409F" w:rsidP="0079409F">
      <w:pPr>
        <w:pStyle w:val="Prrafodelista"/>
        <w:kinsoku w:val="0"/>
        <w:overflowPunct w:val="0"/>
        <w:autoSpaceDE w:val="0"/>
        <w:autoSpaceDN w:val="0"/>
        <w:adjustRightInd w:val="0"/>
        <w:ind w:left="426"/>
        <w:contextualSpacing/>
        <w:jc w:val="both"/>
        <w:rPr>
          <w:rFonts w:ascii="Abadi" w:hAnsi="Abadi" w:cs="Arial"/>
          <w:b/>
          <w:bCs/>
          <w:sz w:val="21"/>
          <w:szCs w:val="21"/>
        </w:rPr>
      </w:pPr>
    </w:p>
    <w:p w14:paraId="53147C94" w14:textId="77777777" w:rsidR="0079409F" w:rsidRPr="0079409F" w:rsidRDefault="0079409F" w:rsidP="0079409F">
      <w:pPr>
        <w:pStyle w:val="Prrafodelista"/>
        <w:kinsoku w:val="0"/>
        <w:overflowPunct w:val="0"/>
        <w:autoSpaceDE w:val="0"/>
        <w:autoSpaceDN w:val="0"/>
        <w:adjustRightInd w:val="0"/>
        <w:ind w:left="426"/>
        <w:contextualSpacing/>
        <w:jc w:val="both"/>
        <w:rPr>
          <w:rFonts w:ascii="Abadi" w:hAnsi="Abadi" w:cs="Arial"/>
          <w:b/>
          <w:bCs/>
          <w:sz w:val="21"/>
          <w:szCs w:val="21"/>
        </w:rPr>
      </w:pPr>
    </w:p>
    <w:p w14:paraId="090D2D09" w14:textId="77777777" w:rsidR="0079409F" w:rsidRPr="0079409F" w:rsidRDefault="0079409F" w:rsidP="0079409F">
      <w:pPr>
        <w:pStyle w:val="Prrafodelista"/>
        <w:kinsoku w:val="0"/>
        <w:overflowPunct w:val="0"/>
        <w:autoSpaceDE w:val="0"/>
        <w:autoSpaceDN w:val="0"/>
        <w:adjustRightInd w:val="0"/>
        <w:ind w:left="426"/>
        <w:contextualSpacing/>
        <w:jc w:val="both"/>
        <w:rPr>
          <w:rFonts w:ascii="Abadi" w:hAnsi="Abadi" w:cs="Arial"/>
          <w:b/>
          <w:bCs/>
          <w:sz w:val="21"/>
          <w:szCs w:val="21"/>
        </w:rPr>
      </w:pPr>
    </w:p>
    <w:p w14:paraId="6DE21EF4" w14:textId="77777777" w:rsidR="0079409F" w:rsidRPr="0079409F" w:rsidRDefault="0079409F" w:rsidP="0079409F">
      <w:pPr>
        <w:pStyle w:val="Prrafodelista"/>
        <w:kinsoku w:val="0"/>
        <w:overflowPunct w:val="0"/>
        <w:autoSpaceDE w:val="0"/>
        <w:autoSpaceDN w:val="0"/>
        <w:adjustRightInd w:val="0"/>
        <w:ind w:left="426"/>
        <w:contextualSpacing/>
        <w:jc w:val="both"/>
        <w:rPr>
          <w:rFonts w:ascii="Abadi" w:hAnsi="Abadi" w:cs="Arial"/>
          <w:b/>
          <w:bCs/>
          <w:sz w:val="21"/>
          <w:szCs w:val="21"/>
        </w:rPr>
      </w:pPr>
    </w:p>
    <w:p w14:paraId="2E70658E" w14:textId="77777777" w:rsidR="0079409F" w:rsidRDefault="0079409F" w:rsidP="0079409F">
      <w:pPr>
        <w:jc w:val="both"/>
        <w:rPr>
          <w:rFonts w:ascii="Abadi" w:hAnsi="Abadi"/>
          <w:b/>
          <w:bCs/>
          <w:sz w:val="21"/>
          <w:szCs w:val="21"/>
        </w:rPr>
      </w:pPr>
    </w:p>
    <w:p w14:paraId="4F98FB0B" w14:textId="77777777" w:rsidR="0079409F" w:rsidRDefault="0079409F" w:rsidP="0079409F">
      <w:pPr>
        <w:jc w:val="both"/>
        <w:rPr>
          <w:rFonts w:ascii="Abadi" w:hAnsi="Abadi"/>
          <w:b/>
          <w:bCs/>
          <w:sz w:val="21"/>
          <w:szCs w:val="21"/>
        </w:rPr>
      </w:pPr>
    </w:p>
    <w:p w14:paraId="49E84E3C" w14:textId="77777777" w:rsidR="0079409F" w:rsidRDefault="0079409F" w:rsidP="0079409F">
      <w:pPr>
        <w:jc w:val="both"/>
        <w:rPr>
          <w:rFonts w:ascii="Abadi" w:hAnsi="Abadi"/>
          <w:b/>
          <w:bCs/>
          <w:sz w:val="21"/>
          <w:szCs w:val="21"/>
        </w:rPr>
      </w:pPr>
    </w:p>
    <w:p w14:paraId="6C9A6522" w14:textId="77777777" w:rsidR="0079409F" w:rsidRDefault="0079409F" w:rsidP="0079409F">
      <w:pPr>
        <w:jc w:val="both"/>
        <w:rPr>
          <w:rFonts w:ascii="Abadi" w:hAnsi="Abadi"/>
          <w:b/>
          <w:bCs/>
          <w:sz w:val="21"/>
          <w:szCs w:val="21"/>
        </w:rPr>
      </w:pPr>
    </w:p>
    <w:p w14:paraId="39B0C522" w14:textId="77777777" w:rsidR="0079409F" w:rsidRDefault="0079409F" w:rsidP="0079409F">
      <w:pPr>
        <w:jc w:val="both"/>
        <w:rPr>
          <w:rFonts w:ascii="Abadi" w:hAnsi="Abadi"/>
          <w:b/>
          <w:bCs/>
          <w:sz w:val="21"/>
          <w:szCs w:val="21"/>
        </w:rPr>
      </w:pPr>
    </w:p>
    <w:p w14:paraId="5F4B684E" w14:textId="77777777" w:rsidR="0079409F" w:rsidRDefault="0079409F" w:rsidP="0079409F">
      <w:pPr>
        <w:jc w:val="both"/>
        <w:rPr>
          <w:rFonts w:ascii="Abadi" w:hAnsi="Abadi"/>
          <w:b/>
          <w:bCs/>
          <w:sz w:val="21"/>
          <w:szCs w:val="21"/>
        </w:rPr>
      </w:pPr>
    </w:p>
    <w:p w14:paraId="2DE3951B" w14:textId="77777777" w:rsidR="0079409F" w:rsidRDefault="0079409F" w:rsidP="0079409F">
      <w:pPr>
        <w:jc w:val="both"/>
        <w:rPr>
          <w:rFonts w:ascii="Abadi" w:hAnsi="Abadi"/>
          <w:b/>
          <w:bCs/>
          <w:sz w:val="21"/>
          <w:szCs w:val="21"/>
        </w:rPr>
      </w:pPr>
    </w:p>
    <w:p w14:paraId="2EA767E0" w14:textId="15EBCCEA" w:rsidR="0079409F" w:rsidRPr="0030088F" w:rsidRDefault="0079409F" w:rsidP="0079409F">
      <w:pPr>
        <w:jc w:val="both"/>
        <w:rPr>
          <w:rFonts w:ascii="Abadi" w:hAnsi="Abadi"/>
          <w:sz w:val="21"/>
          <w:szCs w:val="21"/>
        </w:rPr>
      </w:pPr>
      <w:r>
        <w:rPr>
          <w:rFonts w:ascii="Abadi" w:hAnsi="Abadi"/>
          <w:b/>
          <w:bCs/>
          <w:sz w:val="21"/>
          <w:szCs w:val="21"/>
        </w:rPr>
        <w:tab/>
      </w:r>
      <w:r w:rsidRPr="0030088F">
        <w:rPr>
          <w:rFonts w:ascii="Abadi" w:hAnsi="Abadi"/>
          <w:b/>
          <w:bCs/>
          <w:sz w:val="21"/>
          <w:szCs w:val="21"/>
        </w:rPr>
        <w:t>- La</w:t>
      </w:r>
      <w:r>
        <w:rPr>
          <w:rFonts w:ascii="Abadi" w:hAnsi="Abadi"/>
          <w:b/>
          <w:bCs/>
          <w:sz w:val="21"/>
          <w:szCs w:val="21"/>
        </w:rPr>
        <w:t xml:space="preserve"> </w:t>
      </w:r>
      <w:proofErr w:type="gramStart"/>
      <w:r>
        <w:rPr>
          <w:rFonts w:ascii="Abadi" w:hAnsi="Abadi"/>
          <w:b/>
          <w:bCs/>
          <w:sz w:val="21"/>
          <w:szCs w:val="21"/>
        </w:rPr>
        <w:t>S</w:t>
      </w:r>
      <w:r w:rsidRPr="0030088F">
        <w:rPr>
          <w:rFonts w:ascii="Abadi" w:hAnsi="Abadi"/>
          <w:b/>
          <w:bCs/>
          <w:sz w:val="21"/>
          <w:szCs w:val="21"/>
        </w:rPr>
        <w:t>ecretaría.-</w:t>
      </w:r>
      <w:proofErr w:type="gramEnd"/>
      <w:r w:rsidRPr="0030088F">
        <w:rPr>
          <w:rFonts w:ascii="Abadi" w:hAnsi="Abadi"/>
          <w:b/>
          <w:bCs/>
          <w:sz w:val="21"/>
          <w:szCs w:val="21"/>
        </w:rPr>
        <w:t xml:space="preserve"> </w:t>
      </w:r>
      <w:r w:rsidRPr="0030088F">
        <w:rPr>
          <w:rFonts w:ascii="Abadi" w:hAnsi="Abadi"/>
          <w:sz w:val="21"/>
          <w:szCs w:val="21"/>
        </w:rPr>
        <w:t>El orden del día para la siguiente sesión es el siguiente</w:t>
      </w:r>
      <w:r>
        <w:rPr>
          <w:rFonts w:ascii="Abadi" w:hAnsi="Abadi"/>
          <w:sz w:val="21"/>
          <w:szCs w:val="21"/>
        </w:rPr>
        <w:t>:</w:t>
      </w:r>
    </w:p>
    <w:p w14:paraId="60FB959C" w14:textId="77777777" w:rsidR="0079409F" w:rsidRPr="0079409F" w:rsidRDefault="0079409F" w:rsidP="0079409F">
      <w:pPr>
        <w:pStyle w:val="Prrafodelista"/>
        <w:kinsoku w:val="0"/>
        <w:overflowPunct w:val="0"/>
        <w:autoSpaceDE w:val="0"/>
        <w:autoSpaceDN w:val="0"/>
        <w:adjustRightInd w:val="0"/>
        <w:ind w:left="426"/>
        <w:contextualSpacing/>
        <w:jc w:val="both"/>
        <w:rPr>
          <w:rFonts w:ascii="Abadi" w:hAnsi="Abadi" w:cs="Arial"/>
          <w:b/>
          <w:bCs/>
          <w:sz w:val="21"/>
          <w:szCs w:val="21"/>
        </w:rPr>
      </w:pPr>
    </w:p>
    <w:p w14:paraId="1363EA09" w14:textId="0F9BA452" w:rsidR="003A118B" w:rsidRPr="00AE3727" w:rsidRDefault="003A118B" w:rsidP="00AE3727">
      <w:pPr>
        <w:pStyle w:val="Prrafodelista"/>
        <w:numPr>
          <w:ilvl w:val="0"/>
          <w:numId w:val="4"/>
        </w:numPr>
        <w:kinsoku w:val="0"/>
        <w:overflowPunct w:val="0"/>
        <w:autoSpaceDE w:val="0"/>
        <w:autoSpaceDN w:val="0"/>
        <w:adjustRightInd w:val="0"/>
        <w:ind w:left="426"/>
        <w:contextualSpacing/>
        <w:jc w:val="both"/>
        <w:rPr>
          <w:rFonts w:ascii="Abadi" w:hAnsi="Abadi" w:cs="Arial"/>
          <w:b/>
          <w:bCs/>
          <w:sz w:val="21"/>
          <w:szCs w:val="21"/>
        </w:rPr>
      </w:pPr>
      <w:r w:rsidRPr="00AE3727">
        <w:rPr>
          <w:rFonts w:ascii="Abadi" w:hAnsi="Abadi"/>
          <w:b/>
          <w:bCs/>
          <w:sz w:val="21"/>
          <w:szCs w:val="21"/>
        </w:rPr>
        <w:lastRenderedPageBreak/>
        <w:t>LECTURA Y, EN SU CASO, APROBACIÓN DEL ORDEN DEL DÍA.</w:t>
      </w:r>
      <w:r>
        <w:rPr>
          <w:rStyle w:val="Refdenotaalpie"/>
          <w:rFonts w:ascii="Abadi" w:hAnsi="Abadi" w:cs="Arial"/>
          <w:b/>
          <w:bCs/>
          <w:sz w:val="21"/>
          <w:szCs w:val="21"/>
        </w:rPr>
        <w:footnoteReference w:id="3"/>
      </w:r>
    </w:p>
    <w:p w14:paraId="54B268AF" w14:textId="77777777" w:rsidR="003A118B" w:rsidRPr="0030088F" w:rsidRDefault="003A118B" w:rsidP="00D95F13">
      <w:pPr>
        <w:jc w:val="both"/>
        <w:rPr>
          <w:rFonts w:ascii="Abadi" w:hAnsi="Abadi"/>
          <w:b/>
          <w:bCs/>
          <w:sz w:val="21"/>
          <w:szCs w:val="21"/>
        </w:rPr>
      </w:pPr>
    </w:p>
    <w:p w14:paraId="409ED1E7" w14:textId="77777777" w:rsidR="0004410D" w:rsidRDefault="0004410D"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5EB92C77" w14:textId="651C1464" w:rsidR="0004410D" w:rsidRPr="00A23DA0" w:rsidRDefault="0004410D" w:rsidP="0004410D">
      <w:pPr>
        <w:autoSpaceDE w:val="0"/>
        <w:autoSpaceDN w:val="0"/>
        <w:adjustRightInd w:val="0"/>
        <w:jc w:val="both"/>
        <w:rPr>
          <w:rFonts w:ascii="Abadi" w:hAnsi="Abadi" w:cs="ArialMT"/>
          <w:sz w:val="21"/>
          <w:szCs w:val="21"/>
        </w:rPr>
      </w:pPr>
      <w:r w:rsidRPr="00A23DA0">
        <w:rPr>
          <w:rFonts w:ascii="Abadi" w:hAnsi="Abadi" w:cs="ArialMT"/>
          <w:b/>
          <w:bCs/>
          <w:sz w:val="21"/>
          <w:szCs w:val="21"/>
        </w:rPr>
        <w:t>I.-</w:t>
      </w:r>
      <w:r w:rsidRPr="00A23DA0">
        <w:rPr>
          <w:rFonts w:ascii="Abadi" w:hAnsi="Abadi" w:cs="ArialMT"/>
          <w:sz w:val="21"/>
          <w:szCs w:val="21"/>
        </w:rPr>
        <w:t xml:space="preserve"> Lectura y, en su caso, aprobación del orden del día. </w:t>
      </w:r>
      <w:r w:rsidRPr="00A23DA0">
        <w:rPr>
          <w:rFonts w:ascii="Abadi" w:hAnsi="Abadi" w:cs="ArialMT"/>
          <w:b/>
          <w:bCs/>
          <w:sz w:val="21"/>
          <w:szCs w:val="21"/>
        </w:rPr>
        <w:t>II.-</w:t>
      </w:r>
      <w:r w:rsidRPr="00A23DA0">
        <w:rPr>
          <w:rFonts w:ascii="Abadi" w:hAnsi="Abadi" w:cs="ArialMT"/>
          <w:sz w:val="21"/>
          <w:szCs w:val="21"/>
        </w:rPr>
        <w:t xml:space="preserve"> Lectura y, en su caso, aprobación del acta de la sesión ordinaria celebrada el 15 de junio del año en curso. </w:t>
      </w:r>
      <w:r w:rsidRPr="00A23DA0">
        <w:rPr>
          <w:rFonts w:ascii="Abadi" w:hAnsi="Abadi" w:cs="ArialMT"/>
          <w:b/>
          <w:bCs/>
          <w:sz w:val="21"/>
          <w:szCs w:val="21"/>
        </w:rPr>
        <w:t>II.-</w:t>
      </w:r>
      <w:r w:rsidRPr="00A23DA0">
        <w:rPr>
          <w:rFonts w:ascii="Abadi" w:hAnsi="Abadi" w:cs="ArialMT"/>
          <w:sz w:val="21"/>
          <w:szCs w:val="21"/>
        </w:rPr>
        <w:t xml:space="preserve">Dar cuenta con las comunicaciones y correspondencia recibidas. </w:t>
      </w:r>
      <w:r w:rsidRPr="00A23DA0">
        <w:rPr>
          <w:rFonts w:ascii="Abadi" w:hAnsi="Abadi" w:cs="ArialMT"/>
          <w:b/>
          <w:bCs/>
          <w:sz w:val="21"/>
          <w:szCs w:val="21"/>
        </w:rPr>
        <w:t>III.-</w:t>
      </w:r>
      <w:r w:rsidRPr="00A23DA0">
        <w:rPr>
          <w:rFonts w:ascii="Abadi" w:hAnsi="Abadi" w:cs="ArialMT"/>
          <w:sz w:val="21"/>
          <w:szCs w:val="21"/>
        </w:rPr>
        <w:t xml:space="preserve"> Presentación de la iniciativa formulada por diputadas y diputados integrantes del Grupo Parlamentario del Partido Acción Nacional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 </w:t>
      </w:r>
      <w:r w:rsidRPr="00A23DA0">
        <w:rPr>
          <w:rFonts w:ascii="Abadi" w:hAnsi="Abadi" w:cs="ArialMT"/>
          <w:b/>
          <w:bCs/>
          <w:sz w:val="21"/>
          <w:szCs w:val="21"/>
        </w:rPr>
        <w:t>IV.-</w:t>
      </w:r>
      <w:r w:rsidRPr="00A23DA0">
        <w:rPr>
          <w:rFonts w:ascii="Abadi" w:hAnsi="Abadi" w:cs="ArialMT"/>
          <w:sz w:val="21"/>
          <w:szCs w:val="21"/>
        </w:rPr>
        <w:t xml:space="preserve"> Presentación de la iniciativa suscrita por diputada y diputados integrantes del Grupo Parlamentario del Partido Revolucionario Institucional a efecto de reformar y adicionar diversos artículos de la Ley de Cultura Física y Deporte del Estado de Guanajuato. </w:t>
      </w:r>
      <w:r w:rsidRPr="00A23DA0">
        <w:rPr>
          <w:rFonts w:ascii="Abadi" w:hAnsi="Abadi" w:cs="ArialMT"/>
          <w:b/>
          <w:bCs/>
          <w:sz w:val="21"/>
          <w:szCs w:val="21"/>
        </w:rPr>
        <w:t>V.-</w:t>
      </w:r>
      <w:r w:rsidRPr="00A23DA0">
        <w:rPr>
          <w:rFonts w:ascii="Abadi" w:hAnsi="Abadi" w:cs="ArialMT"/>
          <w:sz w:val="21"/>
          <w:szCs w:val="21"/>
        </w:rPr>
        <w:t xml:space="preserve"> Presentación de la iniciativa signada por la diputada Martha Edith Moreno Valencia, integrante del Grupo Parlamentario del Partido MORENA a fin de reformar el artículo 53 y adicionar una fracción XXXIV al artículo 18 y una fracción IX al artículo 48 de la Ley de Cultura Física y Deporte del Estado de Guanajuato. </w:t>
      </w:r>
      <w:r w:rsidRPr="00A23DA0">
        <w:rPr>
          <w:rFonts w:ascii="Abadi" w:hAnsi="Abadi" w:cs="ArialMT"/>
          <w:b/>
          <w:bCs/>
          <w:sz w:val="21"/>
          <w:szCs w:val="21"/>
        </w:rPr>
        <w:t>VI.-</w:t>
      </w:r>
      <w:r w:rsidRPr="00A23DA0">
        <w:rPr>
          <w:rFonts w:ascii="Abadi" w:hAnsi="Abadi" w:cs="ArialMT"/>
          <w:sz w:val="21"/>
          <w:szCs w:val="21"/>
        </w:rPr>
        <w:t xml:space="preserve"> Presentación de la iniciativa suscrita por las diputadas Dessire </w:t>
      </w:r>
      <w:proofErr w:type="spellStart"/>
      <w:r w:rsidRPr="00A23DA0">
        <w:rPr>
          <w:rFonts w:ascii="Abadi" w:hAnsi="Abadi" w:cs="ArialMT"/>
          <w:sz w:val="21"/>
          <w:szCs w:val="21"/>
        </w:rPr>
        <w:t>Angel</w:t>
      </w:r>
      <w:proofErr w:type="spellEnd"/>
      <w:r w:rsidRPr="00A23DA0">
        <w:rPr>
          <w:rFonts w:ascii="Abadi" w:hAnsi="Abadi" w:cs="ArialMT"/>
          <w:sz w:val="21"/>
          <w:szCs w:val="21"/>
        </w:rPr>
        <w:t xml:space="preserve"> Rocha, Yulma Rocha Aguilar y Martha Lourdes Ortega Roque a efecto de reformar y adicionar diversos artículos de la Ley de Movilidad del Estado de Guanajuato y sus Municipios. </w:t>
      </w:r>
      <w:r w:rsidRPr="00A23DA0">
        <w:rPr>
          <w:rFonts w:ascii="Abadi" w:hAnsi="Abadi" w:cs="ArialMT"/>
          <w:b/>
          <w:bCs/>
          <w:sz w:val="21"/>
          <w:szCs w:val="21"/>
        </w:rPr>
        <w:t>VII.-</w:t>
      </w:r>
      <w:r w:rsidRPr="00A23DA0">
        <w:rPr>
          <w:rFonts w:ascii="Abadi" w:hAnsi="Abadi" w:cs="ArialMT"/>
          <w:sz w:val="21"/>
          <w:szCs w:val="21"/>
        </w:rPr>
        <w:t xml:space="preserve"> Presentación de la iniciativa formulada por el diputado Ernesto Alejandro Prieto Gallardo integrante del Grupo Parlamentario del Partido MORENA por la que se reforman los artículos 154 y 154-a y se adicionan la fracción XXV al artículo 11 y la fracción VIII al artículo 153 del Código Penal del Estado de Guanajuato. </w:t>
      </w:r>
      <w:r w:rsidRPr="00A23DA0">
        <w:rPr>
          <w:rFonts w:ascii="Abadi" w:hAnsi="Abadi" w:cs="ArialMT"/>
          <w:b/>
          <w:bCs/>
          <w:sz w:val="21"/>
          <w:szCs w:val="21"/>
        </w:rPr>
        <w:t>VIII.-</w:t>
      </w:r>
      <w:r w:rsidRPr="00A23DA0">
        <w:rPr>
          <w:rFonts w:ascii="Abadi" w:hAnsi="Abadi" w:cs="ArialMT"/>
          <w:sz w:val="21"/>
          <w:szCs w:val="21"/>
        </w:rPr>
        <w:t xml:space="preserve"> Presentación del informe de resultados formulado por la Auditoría Superior del Estado de Guanajuato relativo a la auditoría específica con enfoque de cumplimiento financiero practicada a la Junta Municipal de Agua Potable y Alcantarillado de Celaya,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por el ejercicio </w:t>
      </w:r>
      <w:r w:rsidRPr="00A23DA0">
        <w:rPr>
          <w:rFonts w:ascii="Abadi" w:hAnsi="Abadi" w:cs="ArialMT"/>
          <w:sz w:val="21"/>
          <w:szCs w:val="21"/>
        </w:rPr>
        <w:t xml:space="preserve">fiscal del año 2021. </w:t>
      </w:r>
      <w:r w:rsidRPr="00A23DA0">
        <w:rPr>
          <w:rFonts w:ascii="Abadi" w:hAnsi="Abadi" w:cs="ArialMT"/>
          <w:b/>
          <w:bCs/>
          <w:sz w:val="21"/>
          <w:szCs w:val="21"/>
        </w:rPr>
        <w:t>IX.-</w:t>
      </w:r>
      <w:r w:rsidRPr="00A23DA0">
        <w:rPr>
          <w:rFonts w:ascii="Abadi" w:hAnsi="Abadi" w:cs="ArialMT"/>
          <w:sz w:val="21"/>
          <w:szCs w:val="21"/>
        </w:rPr>
        <w:t xml:space="preserve"> Presentación de la propuesta de punto de acuerdo suscrita por diputada y diputados integrantes del Grupo Parlamentario del Partido MORENA, a efecto de exhortar al Gobernador del Estado. </w:t>
      </w:r>
      <w:r w:rsidRPr="00A23DA0">
        <w:rPr>
          <w:rFonts w:ascii="Abadi" w:hAnsi="Abadi" w:cs="ArialMT"/>
          <w:b/>
          <w:bCs/>
          <w:sz w:val="21"/>
          <w:szCs w:val="21"/>
        </w:rPr>
        <w:t>X.-</w:t>
      </w:r>
      <w:r w:rsidRPr="00A23DA0">
        <w:rPr>
          <w:rFonts w:ascii="Abadi" w:hAnsi="Abadi" w:cs="ArialMT"/>
          <w:sz w:val="21"/>
          <w:szCs w:val="21"/>
        </w:rPr>
        <w:t xml:space="preserve"> Presentación de la propuesta de punto de acuerdo formulada por diputadas y diputados integrantes del Grupo Parlamentario del Partido Acción Nacional, para exhortar a Protección Civil, bomberos y cuerpos de Seguridad Ciudadana de los 46 municipios. </w:t>
      </w:r>
      <w:r w:rsidRPr="00A23DA0">
        <w:rPr>
          <w:rFonts w:ascii="Abadi" w:hAnsi="Abadi" w:cs="ArialMT"/>
          <w:b/>
          <w:bCs/>
          <w:sz w:val="21"/>
          <w:szCs w:val="21"/>
        </w:rPr>
        <w:t>XI.-</w:t>
      </w:r>
      <w:r w:rsidRPr="00A23DA0">
        <w:rPr>
          <w:rFonts w:ascii="Abadi" w:hAnsi="Abadi" w:cs="ArialMT"/>
          <w:sz w:val="21"/>
          <w:szCs w:val="21"/>
        </w:rPr>
        <w:t xml:space="preserve"> Presentación de la propuesta de punto de acuerdo signada por el diputado Cuauhtémoc Becerra González, integrante del Grupo Parlamentario del Partido MORENA a efecto de exhortar a la Universidad de Guanajuato. </w:t>
      </w:r>
      <w:r w:rsidRPr="00A23DA0">
        <w:rPr>
          <w:rFonts w:ascii="Abadi" w:hAnsi="Abadi" w:cs="ArialMT"/>
          <w:b/>
          <w:bCs/>
          <w:sz w:val="21"/>
          <w:szCs w:val="21"/>
        </w:rPr>
        <w:t>XII.-</w:t>
      </w:r>
      <w:r w:rsidRPr="00A23DA0">
        <w:rPr>
          <w:rFonts w:ascii="Abadi" w:hAnsi="Abadi" w:cs="ArialMT"/>
          <w:sz w:val="21"/>
          <w:szCs w:val="21"/>
        </w:rPr>
        <w:t xml:space="preserve"> Presentación de la propuesta de punto de acuerdo formulada por la diputada y el diputado integrantes del Grupo Parlamentario del Partido Verde Ecologista de México para girar un exhorto al Poder Ejecutivo y a los 46 ayuntamientos del estado de Guanajuato. </w:t>
      </w:r>
      <w:r w:rsidRPr="00A23DA0">
        <w:rPr>
          <w:rFonts w:ascii="Abadi" w:hAnsi="Abadi" w:cs="ArialMT"/>
          <w:b/>
          <w:bCs/>
          <w:sz w:val="21"/>
          <w:szCs w:val="21"/>
        </w:rPr>
        <w:t>XIII.-</w:t>
      </w:r>
      <w:r w:rsidRPr="00A23DA0">
        <w:rPr>
          <w:rFonts w:ascii="Abadi" w:hAnsi="Abadi" w:cs="ArialMT"/>
          <w:sz w:val="21"/>
          <w:szCs w:val="21"/>
        </w:rPr>
        <w:t xml:space="preserve"> Presentación de la propuesta de punto de acuerdo signada por la diputada Alma Edwviges Alcaraz Hernández integrante del Grupo Parlamentario del Partido MORENA a efecto de girar atento exhorto a los 46 ayuntamientos y al titular de la Comisión Estatal de Búsqueda de Personas. </w:t>
      </w:r>
      <w:r w:rsidRPr="00A23DA0">
        <w:rPr>
          <w:rFonts w:ascii="Abadi" w:hAnsi="Abadi" w:cs="ArialMT"/>
          <w:b/>
          <w:bCs/>
          <w:sz w:val="21"/>
          <w:szCs w:val="21"/>
        </w:rPr>
        <w:t>XIV.-</w:t>
      </w:r>
      <w:r w:rsidRPr="00A23DA0">
        <w:rPr>
          <w:rFonts w:ascii="Abadi" w:hAnsi="Abadi" w:cs="ArialMT"/>
          <w:sz w:val="21"/>
          <w:szCs w:val="21"/>
        </w:rPr>
        <w:t xml:space="preserve"> Presentación de la propuesta de punto de acuerdo de obvia resolución suscrita por el diputado David Martínez Mendizábal, integrante del Grupo Parlamentario del Partido MORENA a fin de exhortar a la Secretaría de Gobierno del Estado de Guanajuato y a la Secretaría de Gobernación, así como a la Procuraduría General de Justicia y al Poder Judicial del Estado de Tlaxcala y, en su caso, aprobación de la misma. </w:t>
      </w:r>
      <w:r w:rsidRPr="00A23DA0">
        <w:rPr>
          <w:rFonts w:ascii="Abadi" w:hAnsi="Abadi" w:cs="ArialMT"/>
          <w:b/>
          <w:bCs/>
          <w:sz w:val="21"/>
          <w:szCs w:val="21"/>
        </w:rPr>
        <w:t>XV.-</w:t>
      </w:r>
      <w:r w:rsidRPr="00A23DA0">
        <w:rPr>
          <w:rFonts w:ascii="Abadi" w:hAnsi="Abadi" w:cs="ArialMT"/>
          <w:sz w:val="21"/>
          <w:szCs w:val="21"/>
        </w:rPr>
        <w:t xml:space="preserve"> Presentación de la propuesta de punto de acuerdo de obvia resolución formulada por la diputada Hades Berenice Aguilar Castillo integrante del Grupo Parlamentario del Partido MORENA a fin de instruir al Auditor Superior del Estado de Guanajuato para que adicione al Programa General de Fiscalización 2023 una auditoría financiera y de cumplimiento al Poder Ejecutivo del Estado de Guanajuato, a través del FIDESSEG y, en su caso, aprobación de la misma. </w:t>
      </w:r>
      <w:r w:rsidRPr="00A23DA0">
        <w:rPr>
          <w:rFonts w:ascii="Abadi" w:hAnsi="Abadi" w:cs="ArialMT"/>
          <w:b/>
          <w:bCs/>
          <w:sz w:val="21"/>
          <w:szCs w:val="21"/>
        </w:rPr>
        <w:t>XVI.-</w:t>
      </w:r>
      <w:r w:rsidRPr="00A23DA0">
        <w:rPr>
          <w:rFonts w:ascii="Abadi" w:hAnsi="Abadi" w:cs="ArialMT"/>
          <w:sz w:val="21"/>
          <w:szCs w:val="21"/>
        </w:rPr>
        <w:t xml:space="preserve"> Presentación del informe de los conceptos generales de los estados financieros de los </w:t>
      </w:r>
      <w:r w:rsidRPr="00A23DA0">
        <w:rPr>
          <w:rFonts w:ascii="Abadi" w:hAnsi="Abadi" w:cs="ArialMT"/>
          <w:sz w:val="21"/>
          <w:szCs w:val="21"/>
        </w:rPr>
        <w:lastRenderedPageBreak/>
        <w:t xml:space="preserve">recursos presupuestales y las transferencias y ajustes presupuestales del Poder Legislativo del Estado, correspondiente al periodo comprendido del 1 al 31 de marzo del año en curso, formulado por la Comisión de Administración y, en su caso, aprobación del mismo. </w:t>
      </w:r>
      <w:r w:rsidRPr="00A23DA0">
        <w:rPr>
          <w:rFonts w:ascii="Abadi" w:hAnsi="Abadi" w:cs="Arial-BoldMT"/>
          <w:b/>
          <w:bCs/>
          <w:sz w:val="21"/>
          <w:szCs w:val="21"/>
        </w:rPr>
        <w:t xml:space="preserve">XVII.- </w:t>
      </w:r>
      <w:r w:rsidRPr="00A23DA0">
        <w:rPr>
          <w:rFonts w:ascii="Abadi" w:hAnsi="Abadi" w:cs="ArialMT"/>
          <w:sz w:val="21"/>
          <w:szCs w:val="21"/>
        </w:rPr>
        <w:t xml:space="preserve">Presentación del informe de los conceptos generales de los estados financieros de los recursos presupuestales y las transferencias y ajustes presupuestales del Poder Legislativo del Estado, correspondiente al periodo comprendido del 1 al 30 de abril del año en curso, formulado por la Comisión de Administración y, en su caso, aprobación del mismo. </w:t>
      </w:r>
      <w:r w:rsidRPr="00A23DA0">
        <w:rPr>
          <w:rFonts w:ascii="Abadi" w:hAnsi="Abadi" w:cs="Arial-BoldMT"/>
          <w:b/>
          <w:bCs/>
          <w:sz w:val="21"/>
          <w:szCs w:val="21"/>
        </w:rPr>
        <w:t>XVIII.</w:t>
      </w:r>
      <w:proofErr w:type="gramStart"/>
      <w:r w:rsidRPr="00A23DA0">
        <w:rPr>
          <w:rFonts w:ascii="Abadi" w:hAnsi="Abadi" w:cs="Arial-BoldMT"/>
          <w:b/>
          <w:bCs/>
          <w:sz w:val="21"/>
          <w:szCs w:val="21"/>
        </w:rPr>
        <w:t xml:space="preserve">-  </w:t>
      </w:r>
      <w:r w:rsidRPr="00A23DA0">
        <w:rPr>
          <w:rFonts w:ascii="Abadi" w:hAnsi="Abadi" w:cs="ArialMT"/>
          <w:sz w:val="21"/>
          <w:szCs w:val="21"/>
        </w:rPr>
        <w:t>Presentación</w:t>
      </w:r>
      <w:proofErr w:type="gramEnd"/>
      <w:r w:rsidRPr="00A23DA0">
        <w:rPr>
          <w:rFonts w:ascii="Abadi" w:hAnsi="Abadi" w:cs="ArialMT"/>
          <w:sz w:val="21"/>
          <w:szCs w:val="21"/>
        </w:rPr>
        <w:t xml:space="preserve"> del informe de los conceptos generales de los estados financieros de los recursos presupuestales del Poder Legislativo del Estado, correspondiente al periodo comprendido del 1 al 31 de mayo del año en curso, formulado por la Comisión de Administración y, en su caso, aprobación del mismo. </w:t>
      </w:r>
      <w:r w:rsidRPr="00A23DA0">
        <w:rPr>
          <w:rFonts w:ascii="Abadi" w:hAnsi="Abadi" w:cs="ArialMT"/>
          <w:b/>
          <w:bCs/>
          <w:sz w:val="21"/>
          <w:szCs w:val="21"/>
        </w:rPr>
        <w:t>XX.-</w:t>
      </w:r>
      <w:r w:rsidRPr="00A23DA0">
        <w:rPr>
          <w:rFonts w:ascii="Abadi" w:hAnsi="Abadi" w:cs="ArialMT"/>
          <w:sz w:val="21"/>
          <w:szCs w:val="21"/>
        </w:rPr>
        <w:t xml:space="preserve"> Discusión y, en su caso, aprobación del dictamen emitido por la Comisión de Desarrollo Urbano y Obra Pública relativo a la propuesta de punto de acuerdo suscrita por diputada y diputados integrantes del Grupo Parlamentario del Partido Revolucionario Institucional para exhortar al Congreso de la Unión a fin de que expida la Ley General de Aguas. </w:t>
      </w:r>
      <w:r w:rsidRPr="00A23DA0">
        <w:rPr>
          <w:rFonts w:ascii="Abadi" w:hAnsi="Abadi" w:cs="Arial-ItalicMT"/>
          <w:i/>
          <w:iCs/>
          <w:sz w:val="21"/>
          <w:szCs w:val="21"/>
        </w:rPr>
        <w:t xml:space="preserve">(ELD 263/LXV-PPA) </w:t>
      </w:r>
      <w:r w:rsidRPr="00A23DA0">
        <w:rPr>
          <w:rFonts w:ascii="Abadi" w:hAnsi="Abadi" w:cs="Arial-BoldMT"/>
          <w:b/>
          <w:bCs/>
          <w:sz w:val="21"/>
          <w:szCs w:val="21"/>
        </w:rPr>
        <w:t xml:space="preserve">XXI.- </w:t>
      </w:r>
      <w:r w:rsidRPr="00A23DA0">
        <w:rPr>
          <w:rFonts w:ascii="Abadi" w:hAnsi="Abadi" w:cs="ArialMT"/>
          <w:sz w:val="21"/>
          <w:szCs w:val="21"/>
        </w:rPr>
        <w:t xml:space="preserve">Discusión y, en su caso, aprobación del dictamen presentado por la Comisión de Seguridad Pública y Comunicaciones relativo a la propuesta de punto de acuerdo suscrita por la diputada Irma Leticia González Sánchez, integrante del Grupo Parlamentario del partido MORENA, mediante la cual se acuerda girar un atento exhorto al Ayuntamiento de León, Guanajuato, para que, actualice su Reglamento del Sistema Municipal de Protección Civil de León, en donde incluya y desarrolle un apartado sobre el Uso de Aeronaves Piloteadas a Distancia y Globos Aerostáticos. </w:t>
      </w:r>
      <w:r w:rsidRPr="00A23DA0">
        <w:rPr>
          <w:rFonts w:ascii="Abadi" w:hAnsi="Abadi" w:cs="Arial-ItalicMT"/>
          <w:i/>
          <w:iCs/>
          <w:sz w:val="21"/>
          <w:szCs w:val="21"/>
        </w:rPr>
        <w:t xml:space="preserve">(ELD 255/LXV-PPA)  </w:t>
      </w:r>
      <w:r w:rsidRPr="00A23DA0">
        <w:rPr>
          <w:rFonts w:ascii="Abadi" w:hAnsi="Abadi" w:cs="ArialMT"/>
          <w:b/>
          <w:bCs/>
          <w:sz w:val="21"/>
          <w:szCs w:val="21"/>
        </w:rPr>
        <w:t>XXII.-</w:t>
      </w:r>
      <w:r w:rsidRPr="00A23DA0">
        <w:rPr>
          <w:rFonts w:ascii="Abadi" w:hAnsi="Abadi" w:cs="ArialMT"/>
          <w:sz w:val="21"/>
          <w:szCs w:val="21"/>
        </w:rPr>
        <w:t xml:space="preserve"> Discusión y, en su caso, aprobación del dictamen emitido por la Comisión de Gobernación y Puntos Constitucionales relativo a tres iniciativas la primera, suscrita por las diputadas Yulma Rocha Aguilar, Martha Lourdes Ortega Roque y Dessire </w:t>
      </w:r>
      <w:proofErr w:type="spellStart"/>
      <w:r w:rsidRPr="00A23DA0">
        <w:rPr>
          <w:rFonts w:ascii="Abadi" w:hAnsi="Abadi" w:cs="ArialMT"/>
          <w:sz w:val="21"/>
          <w:szCs w:val="21"/>
        </w:rPr>
        <w:t>Angel</w:t>
      </w:r>
      <w:proofErr w:type="spellEnd"/>
      <w:r w:rsidRPr="00A23DA0">
        <w:rPr>
          <w:rFonts w:ascii="Abadi" w:hAnsi="Abadi" w:cs="ArialMT"/>
          <w:sz w:val="21"/>
          <w:szCs w:val="21"/>
        </w:rPr>
        <w:t xml:space="preserve"> Rocha por la que se reforman los artículos 46, 69 y 111 de la Constitución Política para el Estado de Guanajuato; y se adiciona un artículo 194 Bis a la Ley de Instituciones y Procedimientos Electorales para el Estado de Guanajuato, </w:t>
      </w:r>
      <w:r w:rsidRPr="00A23DA0">
        <w:rPr>
          <w:rFonts w:ascii="Abadi" w:hAnsi="Abadi" w:cs="Arial-ItalicMT"/>
          <w:i/>
          <w:iCs/>
          <w:sz w:val="21"/>
          <w:szCs w:val="21"/>
        </w:rPr>
        <w:t xml:space="preserve">en la parte que corresponde al </w:t>
      </w:r>
      <w:r w:rsidRPr="00A23DA0">
        <w:rPr>
          <w:rFonts w:ascii="Abadi" w:hAnsi="Abadi" w:cs="Arial-ItalicMT"/>
          <w:i/>
          <w:iCs/>
          <w:sz w:val="21"/>
          <w:szCs w:val="21"/>
        </w:rPr>
        <w:t xml:space="preserve">primero de los ordenamientos; </w:t>
      </w:r>
      <w:r w:rsidRPr="00A23DA0">
        <w:rPr>
          <w:rFonts w:ascii="Abadi" w:hAnsi="Abadi" w:cs="ArialMT"/>
          <w:sz w:val="21"/>
          <w:szCs w:val="21"/>
        </w:rPr>
        <w:t xml:space="preserve">la segunda, formulada por la diputada Hades Berenice Aguilar Castillo y el diputado David Martínez Mendizábal integrantes del Grupo Parlamentario del Partido MORENA a efecto de adicionar una fracción VII al artículo 25, y una fracción IV al artículo 26, de la Constitución Política para el Estado de Guanajuato y, la tercera, de reformas y adiciones a diversos artículos de la Constitución Política para el Estado de Guanajuato, </w:t>
      </w:r>
      <w:r w:rsidRPr="00A23DA0">
        <w:rPr>
          <w:rFonts w:ascii="Abadi" w:hAnsi="Abadi" w:cs="Arial-ItalicMT"/>
          <w:i/>
          <w:iCs/>
          <w:sz w:val="21"/>
          <w:szCs w:val="21"/>
        </w:rPr>
        <w:t xml:space="preserve">en materia de armonización sobre suspensión de derechos para ocupar un cargo, empleo o comisión del servicio público, </w:t>
      </w:r>
      <w:r w:rsidRPr="00A23DA0">
        <w:rPr>
          <w:rFonts w:ascii="Abadi" w:hAnsi="Abadi" w:cs="ArialMT"/>
          <w:sz w:val="21"/>
          <w:szCs w:val="21"/>
        </w:rPr>
        <w:t xml:space="preserve">suscrita por las diputadas y los diputados integrantes de la Comisión de Gobernación y Puntos Constitucionales, así como por diputadas integrantes de la Sexagésima Quinta Legislatura del Congreso del Estado de Guanajuato. </w:t>
      </w:r>
      <w:r w:rsidRPr="00A23DA0">
        <w:rPr>
          <w:rFonts w:ascii="Abadi" w:hAnsi="Abadi" w:cs="Arial-ItalicMT"/>
          <w:i/>
          <w:iCs/>
          <w:sz w:val="21"/>
          <w:szCs w:val="21"/>
        </w:rPr>
        <w:t xml:space="preserve">(ELD 182A/LXV-I, ELD 449/LXV-I y ELD 507/LXV-I).  </w:t>
      </w:r>
      <w:r w:rsidRPr="00A23DA0">
        <w:rPr>
          <w:rFonts w:ascii="Abadi" w:hAnsi="Abadi" w:cs="ArialMT"/>
          <w:b/>
          <w:bCs/>
          <w:sz w:val="21"/>
          <w:szCs w:val="21"/>
        </w:rPr>
        <w:t xml:space="preserve">XXIII.- </w:t>
      </w:r>
      <w:r w:rsidRPr="00A23DA0">
        <w:rPr>
          <w:rFonts w:ascii="Abadi" w:hAnsi="Abadi" w:cs="ArialMT"/>
          <w:sz w:val="21"/>
          <w:szCs w:val="21"/>
        </w:rPr>
        <w:t xml:space="preserve">Discusión y, en su caso, aprobación del dictamen suscrito por la Comisión de Justicia relativo a la iniciativa a efecto de reformar el artículo 2197 y adicionar los artículos 2195-A, 2195-B, 2195-C, 2195-D, 2195-E y 2212–A, al Código Civil para el Estado de Guanajuato presentada por diputadas y diputados integrantes del Grupo Parlamentario del Partido Acción Nacional. </w:t>
      </w:r>
      <w:r w:rsidRPr="00A23DA0">
        <w:rPr>
          <w:rFonts w:ascii="Abadi" w:hAnsi="Abadi" w:cs="Arial-ItalicMT"/>
          <w:i/>
          <w:iCs/>
          <w:sz w:val="21"/>
          <w:szCs w:val="21"/>
        </w:rPr>
        <w:t xml:space="preserve">(ELD 329/LXV-I) </w:t>
      </w:r>
      <w:r w:rsidRPr="00A23DA0">
        <w:rPr>
          <w:rFonts w:ascii="Abadi" w:hAnsi="Abadi" w:cs="ArialMT"/>
          <w:b/>
          <w:bCs/>
          <w:sz w:val="21"/>
          <w:szCs w:val="21"/>
        </w:rPr>
        <w:t>XXIV.-</w:t>
      </w:r>
      <w:r w:rsidRPr="00A23DA0">
        <w:rPr>
          <w:rFonts w:ascii="Abadi" w:hAnsi="Abadi" w:cs="ArialMT"/>
          <w:sz w:val="21"/>
          <w:szCs w:val="21"/>
        </w:rPr>
        <w:t xml:space="preserve"> Discusión y, en su caso, aprobación del dictamen formulado por la Comisión de Fomento Agropecuario relativo a la iniciativa suscrita por diputadas y diputados integrantes del Grupo Parlamentario del Partido Acción Nacional por la que se reforman y adicionan diversas disposiciones de la Ley de Fomento y Desarrollo Agrícola para el Estado de Guanajuato. </w:t>
      </w:r>
      <w:r w:rsidRPr="00A23DA0">
        <w:rPr>
          <w:rFonts w:ascii="Abadi" w:hAnsi="Abadi" w:cs="Arial-ItalicMT"/>
          <w:i/>
          <w:iCs/>
          <w:sz w:val="21"/>
          <w:szCs w:val="21"/>
        </w:rPr>
        <w:t xml:space="preserve">(ELD 337/LXV-I) </w:t>
      </w:r>
      <w:r w:rsidRPr="00A23DA0">
        <w:rPr>
          <w:rFonts w:ascii="Abadi" w:hAnsi="Abadi" w:cs="ArialMT"/>
          <w:b/>
          <w:bCs/>
          <w:sz w:val="21"/>
          <w:szCs w:val="21"/>
        </w:rPr>
        <w:t>XXV.-</w:t>
      </w:r>
      <w:r w:rsidRPr="00A23DA0">
        <w:rPr>
          <w:rFonts w:ascii="Abadi" w:hAnsi="Abadi" w:cs="ArialMT"/>
          <w:sz w:val="21"/>
          <w:szCs w:val="21"/>
        </w:rPr>
        <w:t xml:space="preserve"> Discusión y, en su caso, aprobación del dictamen emitido por la Comisión de Fomento Agropecuario relativo a la iniciativa suscrita por diputadas y diputados integrantes del Grupo Parlamentario del Partido Acción Nacional a efecto de adicionar diversas disposiciones a la Ley de Fomento a la Agricultura Familiar del Estado de Guanajuato. </w:t>
      </w:r>
      <w:r w:rsidRPr="00A23DA0">
        <w:rPr>
          <w:rFonts w:ascii="Abadi" w:hAnsi="Abadi" w:cs="Arial-ItalicMT"/>
          <w:i/>
          <w:iCs/>
          <w:sz w:val="21"/>
          <w:szCs w:val="21"/>
        </w:rPr>
        <w:t xml:space="preserve">(ELD 309/LXV-I) </w:t>
      </w:r>
      <w:r w:rsidRPr="00A23DA0">
        <w:rPr>
          <w:rFonts w:ascii="Abadi" w:hAnsi="Abadi" w:cs="ArialMT"/>
          <w:b/>
          <w:bCs/>
          <w:sz w:val="21"/>
          <w:szCs w:val="21"/>
        </w:rPr>
        <w:t>XXVI.-</w:t>
      </w:r>
      <w:r w:rsidRPr="00A23DA0">
        <w:rPr>
          <w:rFonts w:ascii="Abadi" w:hAnsi="Abadi" w:cs="ArialMT"/>
          <w:sz w:val="21"/>
          <w:szCs w:val="21"/>
        </w:rPr>
        <w:t xml:space="preserve"> Discusión y, en su caso, aprobación del dictamen signado por la Comisión de Hacienda y Fiscalización relativo a la propuesta de punto de acuerdo formulada por diputadas y diputados integrantes del Grupo Parlamentario del Partido MORENA, a efecto de exhortar al contralor municipal de San Miguel de Allende,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para que en el ámbito de sus atribuciones resuelva con prontitud los </w:t>
      </w:r>
      <w:r w:rsidRPr="00A23DA0">
        <w:rPr>
          <w:rFonts w:ascii="Abadi" w:hAnsi="Abadi" w:cs="ArialMT"/>
          <w:sz w:val="21"/>
          <w:szCs w:val="21"/>
        </w:rPr>
        <w:lastRenderedPageBreak/>
        <w:t xml:space="preserve">procedimientos de presunta responsabilidad administrativa derivados de la revisión de cuenta pública 2019 de dicho Municipio y, en su caso, promueva las sanciones correspondientes. </w:t>
      </w:r>
      <w:r w:rsidRPr="00A23DA0">
        <w:rPr>
          <w:rFonts w:ascii="Abadi" w:hAnsi="Abadi" w:cs="Arial-ItalicMT"/>
          <w:i/>
          <w:iCs/>
          <w:sz w:val="21"/>
          <w:szCs w:val="21"/>
        </w:rPr>
        <w:t xml:space="preserve">(ELD 90/LXV-PPA) </w:t>
      </w:r>
      <w:r w:rsidRPr="00A23DA0">
        <w:rPr>
          <w:rFonts w:ascii="Abadi" w:hAnsi="Abadi" w:cs="ArialMT"/>
          <w:b/>
          <w:bCs/>
          <w:sz w:val="21"/>
          <w:szCs w:val="21"/>
        </w:rPr>
        <w:t>XXVII.-</w:t>
      </w:r>
      <w:r w:rsidRPr="00A23DA0">
        <w:rPr>
          <w:rFonts w:ascii="Abadi" w:hAnsi="Abadi" w:cs="ArialMT"/>
          <w:sz w:val="21"/>
          <w:szCs w:val="21"/>
        </w:rPr>
        <w:t xml:space="preserve"> Discusión y, en su caso, aprobación del dictamen presentado por la Comisión de Hacienda y Fiscalización relativo a la iniciativa formulada por el Gobernador del Estado, a efecto de que se autorice en lo general que una fracción del bien inmueble materia de la autorización otorgada mediante el Decreto Legislativo número 137, publicado en el Periódico Oficial del Gobierno del Estado número 48, segunda parte, de fecha 17 de junio de 1997, se destine para la construcción y equipamiento de la Estación de Transferencia Metropolitana. </w:t>
      </w:r>
      <w:r w:rsidRPr="00A23DA0">
        <w:rPr>
          <w:rFonts w:ascii="Abadi" w:hAnsi="Abadi" w:cs="Arial-ItalicMT"/>
          <w:i/>
          <w:iCs/>
          <w:sz w:val="21"/>
          <w:szCs w:val="21"/>
        </w:rPr>
        <w:t xml:space="preserve">(ELD 486/LXV-I) </w:t>
      </w:r>
      <w:r w:rsidRPr="00A23DA0">
        <w:rPr>
          <w:rFonts w:ascii="Abadi" w:hAnsi="Abadi" w:cs="ArialMT"/>
          <w:b/>
          <w:bCs/>
          <w:sz w:val="21"/>
          <w:szCs w:val="21"/>
        </w:rPr>
        <w:t>XXVIII.-</w:t>
      </w:r>
      <w:r w:rsidRPr="00A23DA0">
        <w:rPr>
          <w:rFonts w:ascii="Abadi" w:hAnsi="Abadi" w:cs="ArialMT"/>
          <w:sz w:val="21"/>
          <w:szCs w:val="21"/>
        </w:rPr>
        <w:t xml:space="preserve"> Discusión y, en su caso, aprobación del dictamen signado por la Comisión de Hacienda y Fiscalización relativo a la iniciativa formulada por el Gobernador del Estado a efecto de que se le autorice, previa desafectación del dominio público del Estado, la enajenación mediante la figura de donación de tres bienes inmuebles, en favor de la asociación civil denominada Asociación de Bomberos del Estado de Guanajuato, A.C. </w:t>
      </w:r>
      <w:r w:rsidRPr="00A23DA0">
        <w:rPr>
          <w:rFonts w:ascii="Abadi" w:hAnsi="Abadi" w:cs="Arial-ItalicMT"/>
          <w:i/>
          <w:iCs/>
          <w:sz w:val="21"/>
          <w:szCs w:val="21"/>
        </w:rPr>
        <w:t xml:space="preserve">(ELD 487/LXV-I) </w:t>
      </w:r>
      <w:r w:rsidRPr="00A23DA0">
        <w:rPr>
          <w:rFonts w:ascii="Abadi" w:hAnsi="Abadi" w:cs="ArialMT"/>
          <w:b/>
          <w:bCs/>
          <w:sz w:val="21"/>
          <w:szCs w:val="21"/>
        </w:rPr>
        <w:t>XXIX.-</w:t>
      </w:r>
      <w:r w:rsidRPr="00A23DA0">
        <w:rPr>
          <w:rFonts w:ascii="Abadi" w:hAnsi="Abadi" w:cs="ArialMT"/>
          <w:sz w:val="21"/>
          <w:szCs w:val="21"/>
        </w:rPr>
        <w:t xml:space="preserve"> Discusión y, en su caso, aprobación del dictamen formulado por la Comisión de Hacienda y Fiscalización relativo a la iniciativa formulada por el Gobernador del Estado, a efecto de que se autorice previa desafectación del dominio público del Estado, la enajenación de dos bienes inmuebles mediante su aportación al patrimonio del Instituto de Seguridad Social del Estado de Guanajuato para que los destine al desarrollo de proyectos de infraestructura. </w:t>
      </w:r>
      <w:r w:rsidRPr="00A23DA0">
        <w:rPr>
          <w:rFonts w:ascii="Abadi" w:hAnsi="Abadi" w:cs="Arial-ItalicMT"/>
          <w:i/>
          <w:iCs/>
          <w:sz w:val="21"/>
          <w:szCs w:val="21"/>
        </w:rPr>
        <w:t xml:space="preserve">(ELD 488/LXV-I) </w:t>
      </w:r>
      <w:proofErr w:type="gramStart"/>
      <w:r w:rsidRPr="00A23DA0">
        <w:rPr>
          <w:rFonts w:ascii="Abadi" w:hAnsi="Abadi" w:cs="ArialMT"/>
          <w:b/>
          <w:bCs/>
          <w:sz w:val="21"/>
          <w:szCs w:val="21"/>
        </w:rPr>
        <w:t>XXX.-</w:t>
      </w:r>
      <w:proofErr w:type="gramEnd"/>
      <w:r w:rsidRPr="00A23DA0">
        <w:rPr>
          <w:rFonts w:ascii="Abadi" w:hAnsi="Abadi" w:cs="ArialMT"/>
          <w:sz w:val="21"/>
          <w:szCs w:val="21"/>
        </w:rPr>
        <w:t xml:space="preserve"> Discusión y, en su caso, aprobación del dictamen suscrito por la Comisión de Hacienda y Fiscalización relativo a la iniciativa formulada por el Gobernador del Estado a efecto de que se le autorice previa desafectación del dominio público del Estado la enajenación mediante la donación de un bien inmueble de propiedad estatal en favor del municipio de Irapuato,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w:t>
      </w:r>
      <w:r w:rsidRPr="00A23DA0">
        <w:rPr>
          <w:rFonts w:ascii="Abadi" w:hAnsi="Abadi" w:cs="Arial-ItalicMT"/>
          <w:i/>
          <w:iCs/>
          <w:sz w:val="21"/>
          <w:szCs w:val="21"/>
        </w:rPr>
        <w:t xml:space="preserve">(ELD 198/LXV-I). </w:t>
      </w:r>
      <w:r w:rsidRPr="00A23DA0">
        <w:rPr>
          <w:rFonts w:ascii="Abadi" w:hAnsi="Abadi" w:cs="ArialMT"/>
          <w:b/>
          <w:bCs/>
          <w:sz w:val="21"/>
          <w:szCs w:val="21"/>
        </w:rPr>
        <w:t>XXXI.-</w:t>
      </w:r>
      <w:r w:rsidRPr="00A23DA0">
        <w:rPr>
          <w:rFonts w:ascii="Abadi" w:hAnsi="Abadi" w:cs="ArialMT"/>
          <w:sz w:val="21"/>
          <w:szCs w:val="21"/>
        </w:rPr>
        <w:t xml:space="preserve"> Discusión y, en su caso, aprobación del dictamen signado por la Comisión de Hacienda y Fiscalización relativo a la propuesta de punto de acuerdo formulada por el diputado Ernesto Alejandro Prieto Gallardo, integrante del Grupo Parlamentario del Partido MORENA, a efecto de exhortar al titular del Poder Ejecutivo del Estado para que </w:t>
      </w:r>
      <w:r w:rsidRPr="00A23DA0">
        <w:rPr>
          <w:rFonts w:ascii="Abadi" w:hAnsi="Abadi" w:cs="ArialMT"/>
          <w:sz w:val="21"/>
          <w:szCs w:val="21"/>
        </w:rPr>
        <w:t xml:space="preserve">revise la actuación del Secretario de Finanzas, Inversión y Administración en la celebración del convenio que firmó con la empresa Fiera capital inmobiliaria S.A. de C.V., y se deslinden las responsabilidades a que haya lugar. </w:t>
      </w:r>
      <w:r w:rsidRPr="00A23DA0">
        <w:rPr>
          <w:rFonts w:ascii="Abadi" w:hAnsi="Abadi" w:cs="Arial-ItalicMT"/>
          <w:i/>
          <w:iCs/>
          <w:sz w:val="21"/>
          <w:szCs w:val="21"/>
        </w:rPr>
        <w:t xml:space="preserve">(ELD 273/LXV-PPA) </w:t>
      </w:r>
      <w:r w:rsidRPr="00A23DA0">
        <w:rPr>
          <w:rFonts w:ascii="Abadi" w:hAnsi="Abadi" w:cs="ArialMT"/>
          <w:b/>
          <w:bCs/>
          <w:sz w:val="21"/>
          <w:szCs w:val="21"/>
        </w:rPr>
        <w:t>XXXII.-</w:t>
      </w:r>
      <w:r w:rsidRPr="00A23DA0">
        <w:rPr>
          <w:rFonts w:ascii="Abadi" w:hAnsi="Abadi" w:cs="ArialMT"/>
          <w:sz w:val="21"/>
          <w:szCs w:val="21"/>
        </w:rPr>
        <w:t xml:space="preserve"> Discusión y, en su caso, aprobación del dictamen formulado por la Comisión de Hacienda y Fiscalización relativo al informe de resultados de la auditoría integral practicada por la Auditoría Superior del Estado de Guanajuato a la administración pública municipal de Salamanca,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A23DA0">
        <w:rPr>
          <w:rFonts w:ascii="Abadi" w:hAnsi="Abadi" w:cs="Arial-ItalicMT"/>
          <w:i/>
          <w:iCs/>
          <w:sz w:val="21"/>
          <w:szCs w:val="21"/>
        </w:rPr>
        <w:t xml:space="preserve">(ELD 260/LXV-IRASEG) </w:t>
      </w:r>
      <w:r w:rsidRPr="00A23DA0">
        <w:rPr>
          <w:rFonts w:ascii="Abadi" w:hAnsi="Abadi" w:cs="ArialMT"/>
          <w:b/>
          <w:bCs/>
          <w:sz w:val="21"/>
          <w:szCs w:val="21"/>
        </w:rPr>
        <w:t>XXXIII.-</w:t>
      </w:r>
      <w:r w:rsidRPr="00A23DA0">
        <w:rPr>
          <w:rFonts w:ascii="Abadi" w:hAnsi="Abadi" w:cs="ArialMT"/>
          <w:sz w:val="21"/>
          <w:szCs w:val="21"/>
        </w:rPr>
        <w:t xml:space="preserve"> Discusión y, en su caso, aprobación del dictamen emitido por la Comisión de Hacienda y Fiscalización relativo al informe de resultados de la auditoría integral practicada por la Auditoría Superior del Estado de Guanajuato a la administración pública municipal de Acámbaro,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A23DA0">
        <w:rPr>
          <w:rFonts w:ascii="Abadi" w:hAnsi="Abadi" w:cs="Arial-ItalicMT"/>
          <w:i/>
          <w:iCs/>
          <w:sz w:val="21"/>
          <w:szCs w:val="21"/>
        </w:rPr>
        <w:t xml:space="preserve">(ELD 259/LXV-IRASEG) </w:t>
      </w:r>
      <w:r w:rsidRPr="00A23DA0">
        <w:rPr>
          <w:rFonts w:ascii="Abadi" w:hAnsi="Abadi" w:cs="ArialMT"/>
          <w:b/>
          <w:bCs/>
          <w:sz w:val="21"/>
          <w:szCs w:val="21"/>
        </w:rPr>
        <w:t>XXXIV.-</w:t>
      </w:r>
      <w:r w:rsidRPr="00A23DA0">
        <w:rPr>
          <w:rFonts w:ascii="Abadi" w:hAnsi="Abadi" w:cs="ArialMT"/>
          <w:sz w:val="21"/>
          <w:szCs w:val="21"/>
        </w:rPr>
        <w:t xml:space="preserve"> Discusión y, en su caso, aprobación del dictamen presentado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Dolores Hidalgo Cuna de la Independencia Nacional,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correspondientes al periodo comprendido del 1 de enero al 31 de diciembre del ejercicio fiscal del año 2021. </w:t>
      </w:r>
      <w:r w:rsidRPr="00A23DA0">
        <w:rPr>
          <w:rFonts w:ascii="Abadi" w:hAnsi="Abadi" w:cs="Arial-ItalicMT"/>
          <w:i/>
          <w:iCs/>
          <w:sz w:val="21"/>
          <w:szCs w:val="21"/>
        </w:rPr>
        <w:t xml:space="preserve">(ELD 313/LXV-IRASEG) </w:t>
      </w:r>
      <w:r w:rsidRPr="00A23DA0">
        <w:rPr>
          <w:rFonts w:ascii="Abadi" w:hAnsi="Abadi" w:cs="ArialMT"/>
          <w:b/>
          <w:bCs/>
          <w:sz w:val="21"/>
          <w:szCs w:val="21"/>
        </w:rPr>
        <w:t>XXXV.-</w:t>
      </w:r>
      <w:r w:rsidRPr="00A23DA0">
        <w:rPr>
          <w:rFonts w:ascii="Abadi" w:hAnsi="Abadi" w:cs="ArialMT"/>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w:t>
      </w:r>
      <w:r>
        <w:rPr>
          <w:rFonts w:ascii="Abadi" w:hAnsi="Abadi" w:cs="ArialMT"/>
          <w:sz w:val="21"/>
          <w:szCs w:val="21"/>
        </w:rPr>
        <w:t xml:space="preserve"> </w:t>
      </w:r>
      <w:r w:rsidRPr="00A23DA0">
        <w:rPr>
          <w:rFonts w:ascii="Abadi" w:hAnsi="Abadi" w:cs="ArialMT"/>
          <w:sz w:val="21"/>
          <w:szCs w:val="21"/>
        </w:rPr>
        <w:t xml:space="preserve">la administración pública municipal de San Miguel de Allende,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w:t>
      </w:r>
      <w:r w:rsidRPr="00A23DA0">
        <w:rPr>
          <w:rFonts w:ascii="Abadi" w:hAnsi="Abadi" w:cs="ArialMT"/>
          <w:sz w:val="21"/>
          <w:szCs w:val="21"/>
        </w:rPr>
        <w:lastRenderedPageBreak/>
        <w:t>correspondientes al periodo comprendido del 1 de enero al 31 de diciembre</w:t>
      </w:r>
      <w:r>
        <w:rPr>
          <w:rFonts w:ascii="Abadi" w:hAnsi="Abadi" w:cs="ArialMT"/>
          <w:sz w:val="21"/>
          <w:szCs w:val="21"/>
        </w:rPr>
        <w:t xml:space="preserve"> </w:t>
      </w:r>
      <w:r w:rsidRPr="00A23DA0">
        <w:rPr>
          <w:rFonts w:ascii="Abadi" w:hAnsi="Abadi" w:cs="ArialMT"/>
          <w:sz w:val="21"/>
          <w:szCs w:val="21"/>
        </w:rPr>
        <w:t xml:space="preserve">del ejercicio fiscal del año 2021. </w:t>
      </w:r>
      <w:r w:rsidRPr="00A23DA0">
        <w:rPr>
          <w:rFonts w:ascii="Abadi" w:hAnsi="Abadi" w:cs="Arial-ItalicMT"/>
          <w:i/>
          <w:iCs/>
          <w:sz w:val="21"/>
          <w:szCs w:val="21"/>
        </w:rPr>
        <w:t xml:space="preserve">(ELD 314/LXV-IRASEG) </w:t>
      </w:r>
      <w:r w:rsidRPr="00A23DA0">
        <w:rPr>
          <w:rFonts w:ascii="Abadi" w:hAnsi="Abadi" w:cs="ArialMT"/>
          <w:b/>
          <w:bCs/>
          <w:sz w:val="21"/>
          <w:szCs w:val="21"/>
        </w:rPr>
        <w:t>XXXVI.-</w:t>
      </w:r>
      <w:r w:rsidRPr="00A23DA0">
        <w:rPr>
          <w:rFonts w:ascii="Abadi" w:hAnsi="Abadi" w:cs="ArialMT"/>
          <w:sz w:val="21"/>
          <w:szCs w:val="21"/>
        </w:rPr>
        <w:t xml:space="preserve"> Discusión y, en su caso, aprobación del dictamen emitido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León,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correspondientes al periodo comprendido del 1 de enero al 31 de diciembre del ejercicio fiscal del año 2021. </w:t>
      </w:r>
      <w:r w:rsidRPr="00A23DA0">
        <w:rPr>
          <w:rFonts w:ascii="Abadi" w:hAnsi="Abadi" w:cs="Arial-ItalicMT"/>
          <w:i/>
          <w:iCs/>
          <w:sz w:val="21"/>
          <w:szCs w:val="21"/>
        </w:rPr>
        <w:t xml:space="preserve">(ELD 318/LXV-IRASEG) </w:t>
      </w:r>
      <w:r w:rsidRPr="00A23DA0">
        <w:rPr>
          <w:rFonts w:ascii="Abadi" w:hAnsi="Abadi" w:cs="ArialMT"/>
          <w:b/>
          <w:bCs/>
          <w:sz w:val="21"/>
          <w:szCs w:val="21"/>
        </w:rPr>
        <w:t>XXXVII.-</w:t>
      </w:r>
      <w:r w:rsidRPr="00A23DA0">
        <w:rPr>
          <w:rFonts w:ascii="Abadi" w:hAnsi="Abadi" w:cs="ArialMT"/>
          <w:sz w:val="21"/>
          <w:szCs w:val="21"/>
        </w:rPr>
        <w:t xml:space="preserve"> Discusión y, en su caso, aprobación del dictamen suscrito por la Comisión de Hacienda y Fiscalización relativo al informe de resultados de la revisión practicada por la Auditoría Superior del Estado de Guanajuato, a la cuenta pública municipal de San Diego de la Unión,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275/LXV-IRASEG) </w:t>
      </w:r>
      <w:r w:rsidRPr="00A23DA0">
        <w:rPr>
          <w:rFonts w:ascii="Abadi" w:hAnsi="Abadi" w:cs="ArialMT"/>
          <w:b/>
          <w:bCs/>
          <w:sz w:val="21"/>
          <w:szCs w:val="21"/>
        </w:rPr>
        <w:t>XXXVIII.-</w:t>
      </w:r>
      <w:r w:rsidRPr="00A23DA0">
        <w:rPr>
          <w:rFonts w:ascii="Abadi" w:hAnsi="Abadi" w:cs="ArialMT"/>
          <w:sz w:val="21"/>
          <w:szCs w:val="21"/>
        </w:rPr>
        <w:t xml:space="preserve"> Discusión y, en su caso, aprobación del dictamen formulado por la Comisión de Hacienda y Fiscalización relativo al informe de resultados de la revisión practicada por la Auditoría Superior del Estado de Guanajuato, a la cuenta pública municipal de Silao de la Victoria,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278/LXV-IRASEG) </w:t>
      </w:r>
      <w:r w:rsidRPr="00A23DA0">
        <w:rPr>
          <w:rFonts w:ascii="Abadi" w:hAnsi="Abadi" w:cs="ArialMT"/>
          <w:b/>
          <w:bCs/>
          <w:sz w:val="21"/>
          <w:szCs w:val="21"/>
        </w:rPr>
        <w:t>XXXIX.-</w:t>
      </w:r>
      <w:r w:rsidRPr="00A23DA0">
        <w:rPr>
          <w:rFonts w:ascii="Abadi" w:hAnsi="Abadi" w:cs="ArialMT"/>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Pénjamo,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285/LXV-IRASEG) </w:t>
      </w:r>
      <w:r w:rsidRPr="00A23DA0">
        <w:rPr>
          <w:rFonts w:ascii="Abadi" w:hAnsi="Abadi" w:cs="ArialMT"/>
          <w:b/>
          <w:bCs/>
          <w:sz w:val="21"/>
          <w:szCs w:val="21"/>
        </w:rPr>
        <w:t>XL.-</w:t>
      </w:r>
      <w:r w:rsidRPr="00A23DA0">
        <w:rPr>
          <w:rFonts w:ascii="Abadi" w:hAnsi="Abadi" w:cs="ArialMT"/>
          <w:sz w:val="21"/>
          <w:szCs w:val="21"/>
        </w:rPr>
        <w:t xml:space="preserve"> Discusión y, en su caso, aprobación del dictamen presentado por la Comisión de Hacienda y Fiscalización relativo al informe de resultados de la revisión practicada por la Auditoría Superior del Estado de Guanajuato, a la cuenta pública municipal de Irapuato,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301/LXV-IRASEG) </w:t>
      </w:r>
      <w:r w:rsidRPr="00A23DA0">
        <w:rPr>
          <w:rFonts w:ascii="Abadi" w:hAnsi="Abadi" w:cs="ArialMT"/>
          <w:b/>
          <w:bCs/>
          <w:sz w:val="21"/>
          <w:szCs w:val="21"/>
        </w:rPr>
        <w:t>XLI.-</w:t>
      </w:r>
      <w:r w:rsidRPr="00A23DA0">
        <w:rPr>
          <w:rFonts w:ascii="Abadi" w:hAnsi="Abadi" w:cs="ArialMT"/>
          <w:sz w:val="21"/>
          <w:szCs w:val="21"/>
        </w:rPr>
        <w:t xml:space="preserve"> Discusión y, en su caso, aprobación del dictamen signado por la Comisión de Hacienda y Fiscalización relativo al informe de resultados de la revisión practicada por la Auditoría Superior del Estado de Guanajuato, a la cuenta pública municipal de Purísima del Rincón,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303/LXV-IRASEG) </w:t>
      </w:r>
      <w:r w:rsidRPr="00A23DA0">
        <w:rPr>
          <w:rFonts w:ascii="Abadi" w:hAnsi="Abadi" w:cs="ArialMT"/>
          <w:b/>
          <w:bCs/>
          <w:sz w:val="21"/>
          <w:szCs w:val="21"/>
        </w:rPr>
        <w:t>XLII.-</w:t>
      </w:r>
      <w:r w:rsidRPr="00A23DA0">
        <w:rPr>
          <w:rFonts w:ascii="Abadi" w:hAnsi="Abadi" w:cs="ArialMT"/>
          <w:sz w:val="21"/>
          <w:szCs w:val="21"/>
        </w:rPr>
        <w:t xml:space="preserve">Discusión y, en su caso, aprobación del dictamen emitido </w:t>
      </w:r>
      <w:r w:rsidRPr="00A23DA0">
        <w:rPr>
          <w:rFonts w:ascii="Abadi" w:hAnsi="Abadi" w:cs="ArialMT"/>
          <w:sz w:val="21"/>
          <w:szCs w:val="21"/>
        </w:rPr>
        <w:t xml:space="preserve">por la Comisión de Hacienda y Fiscalización relativo al informe de resultados de la revisión practicada por la Auditoría Superior del Estado de Guanajuato, a la cuenta pública municipal de Tierra Blanca,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304/LXV-IRASEG) </w:t>
      </w:r>
      <w:r w:rsidRPr="00A23DA0">
        <w:rPr>
          <w:rFonts w:ascii="Abadi" w:hAnsi="Abadi" w:cs="ArialMT"/>
          <w:b/>
          <w:bCs/>
          <w:sz w:val="21"/>
          <w:szCs w:val="21"/>
        </w:rPr>
        <w:t>XLIII.-</w:t>
      </w:r>
      <w:r w:rsidRPr="00A23DA0">
        <w:rPr>
          <w:rFonts w:ascii="Abadi" w:hAnsi="Abadi" w:cs="ArialMT"/>
          <w:sz w:val="21"/>
          <w:szCs w:val="21"/>
        </w:rPr>
        <w:t xml:space="preserve"> Discusión y, en su caso, aprobación del dictamen signado por la Comisión de Hacienda y Fiscalización relativo al informe de resultados de la revisión practicada por la Auditoría Superior del Estado de Guanajuato, a la cuenta pública municipal de Xichú,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305/LXV-IRASEG) </w:t>
      </w:r>
      <w:r w:rsidRPr="00A23DA0">
        <w:rPr>
          <w:rFonts w:ascii="Abadi" w:hAnsi="Abadi" w:cs="ArialMT"/>
          <w:b/>
          <w:bCs/>
          <w:sz w:val="21"/>
          <w:szCs w:val="21"/>
        </w:rPr>
        <w:t>XLIV.-</w:t>
      </w:r>
      <w:r w:rsidRPr="00A23DA0">
        <w:rPr>
          <w:rFonts w:ascii="Abadi" w:hAnsi="Abadi" w:cs="ArialMT"/>
          <w:sz w:val="21"/>
          <w:szCs w:val="21"/>
        </w:rPr>
        <w:t xml:space="preserve"> Discusión y, en su caso, aprobación del dictamen formulado por la Comisión de Hacienda y Fiscalización relativo al informe de resultados de la revisión practicada por la Auditoría Superior del Estado de Guanajuato, a la cuenta pública municipal de Dolores Hidalgo Cuna de la Independencia Nacional,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311/LXVIRASEG) </w:t>
      </w:r>
      <w:r w:rsidRPr="00A23DA0">
        <w:rPr>
          <w:rFonts w:ascii="Abadi" w:hAnsi="Abadi" w:cs="ArialMT"/>
          <w:b/>
          <w:bCs/>
          <w:sz w:val="21"/>
          <w:szCs w:val="21"/>
        </w:rPr>
        <w:t>XLV.-</w:t>
      </w:r>
      <w:r w:rsidRPr="00A23DA0">
        <w:rPr>
          <w:rFonts w:ascii="Abadi" w:hAnsi="Abadi" w:cs="ArialMT"/>
          <w:sz w:val="21"/>
          <w:szCs w:val="21"/>
        </w:rPr>
        <w:t xml:space="preserve"> Discusión y, en su caso, aprobación del dictamen signado por la Comisión de Hacienda y Fiscalización relativo al informe de resultados de la revisión practicada por la Auditoría Superior del Estado de Guanajuato, a la cuenta pública municipal de Santa Cruz de Juventino Rosas,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312/LXV-IRASEG) </w:t>
      </w:r>
      <w:r w:rsidRPr="00A23DA0">
        <w:rPr>
          <w:rFonts w:ascii="Abadi" w:hAnsi="Abadi" w:cs="ArialMT"/>
          <w:b/>
          <w:bCs/>
          <w:sz w:val="21"/>
          <w:szCs w:val="21"/>
        </w:rPr>
        <w:t>XLVI.-</w:t>
      </w:r>
      <w:r w:rsidRPr="00A23DA0">
        <w:rPr>
          <w:rFonts w:ascii="Abadi" w:hAnsi="Abadi" w:cs="ArialMT"/>
          <w:sz w:val="21"/>
          <w:szCs w:val="21"/>
        </w:rPr>
        <w:t xml:space="preserve"> Discusión y, en su caso, aprobación del dictamen emitido por la Comisión de Hacienda y Fiscalización relativo al informe de resultados de la revisión practicada por la Auditoría Superior del Estado de Guanajuato, a la cuenta pública municipal de Abasolo,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315/LXV-IRASEG) </w:t>
      </w:r>
      <w:r w:rsidRPr="00A23DA0">
        <w:rPr>
          <w:rFonts w:ascii="Abadi" w:hAnsi="Abadi" w:cs="ArialMT"/>
          <w:b/>
          <w:bCs/>
          <w:sz w:val="21"/>
          <w:szCs w:val="21"/>
        </w:rPr>
        <w:t>XLVII.-</w:t>
      </w:r>
      <w:r w:rsidRPr="00A23DA0">
        <w:rPr>
          <w:rFonts w:ascii="Abadi" w:hAnsi="Abadi" w:cs="ArialMT"/>
          <w:sz w:val="21"/>
          <w:szCs w:val="21"/>
        </w:rPr>
        <w:t xml:space="preserve"> Discusión y, en su caso, aprobación del dictamen suscrito por la Comisión de Hacienda y Fiscalización relativo al informe de resultados de la revisión practicada por la Auditoría Superior del Estado de Guanajuato, a la cuenta pública municipal de Pueblo Nuevo,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316/LXV-IRASEG) </w:t>
      </w:r>
      <w:r w:rsidRPr="00A23DA0">
        <w:rPr>
          <w:rFonts w:ascii="Abadi" w:hAnsi="Abadi" w:cs="ArialMT"/>
          <w:b/>
          <w:bCs/>
          <w:sz w:val="21"/>
          <w:szCs w:val="21"/>
        </w:rPr>
        <w:t>XLVIII.-</w:t>
      </w:r>
      <w:r w:rsidRPr="00A23DA0">
        <w:rPr>
          <w:rFonts w:ascii="Abadi" w:hAnsi="Abadi" w:cs="ArialMT"/>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León,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317/LXV-IRASEG) </w:t>
      </w:r>
      <w:r w:rsidRPr="00A23DA0">
        <w:rPr>
          <w:rFonts w:ascii="Abadi" w:hAnsi="Abadi" w:cs="ArialMT"/>
          <w:b/>
          <w:bCs/>
          <w:sz w:val="21"/>
          <w:szCs w:val="21"/>
        </w:rPr>
        <w:t>XLIX.-</w:t>
      </w:r>
      <w:r w:rsidRPr="00A23DA0">
        <w:rPr>
          <w:rFonts w:ascii="Abadi" w:hAnsi="Abadi" w:cs="ArialMT"/>
          <w:sz w:val="21"/>
          <w:szCs w:val="21"/>
        </w:rPr>
        <w:t xml:space="preserve"> </w:t>
      </w:r>
      <w:r w:rsidRPr="00A23DA0">
        <w:rPr>
          <w:rFonts w:ascii="Abadi" w:hAnsi="Abadi" w:cs="ArialMT"/>
          <w:sz w:val="21"/>
          <w:szCs w:val="21"/>
        </w:rPr>
        <w:lastRenderedPageBreak/>
        <w:t xml:space="preserve">Discusión y, en su caso, aprobación del dictamen presentado por la Comisión de Hacienda y Fiscalización relativo al informe de resultados de la revisión practicada por la Auditoría Superior del Estado de Guanajuato, a la cuenta pública municipal de Apaseo el Alto,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319/LXV-IRASEG) </w:t>
      </w:r>
      <w:r w:rsidRPr="00A23DA0">
        <w:rPr>
          <w:rFonts w:ascii="Abadi" w:hAnsi="Abadi" w:cs="ArialMT"/>
          <w:b/>
          <w:bCs/>
          <w:sz w:val="21"/>
          <w:szCs w:val="21"/>
        </w:rPr>
        <w:t>L.-</w:t>
      </w:r>
      <w:r w:rsidRPr="00A23DA0">
        <w:rPr>
          <w:rFonts w:ascii="Abadi" w:hAnsi="Abadi" w:cs="ArialMT"/>
          <w:sz w:val="21"/>
          <w:szCs w:val="21"/>
        </w:rPr>
        <w:t xml:space="preserve"> Discusión y, en su caso, aprobación del dictamen signado por la Comisión de Hacienda y Fiscalización relativo al informe de resultados de la revisión practicada por la Auditoría Superior del Estado de Guanajuato, a la cuenta pública municipal de Yuriria,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320/LXV-IRASEG) </w:t>
      </w:r>
      <w:proofErr w:type="gramStart"/>
      <w:r w:rsidRPr="00A23DA0">
        <w:rPr>
          <w:rFonts w:ascii="Abadi" w:hAnsi="Abadi" w:cs="ArialMT"/>
          <w:b/>
          <w:bCs/>
          <w:sz w:val="21"/>
          <w:szCs w:val="21"/>
        </w:rPr>
        <w:t>LI.-</w:t>
      </w:r>
      <w:proofErr w:type="gramEnd"/>
      <w:r w:rsidRPr="00A23DA0">
        <w:rPr>
          <w:rFonts w:ascii="Abadi" w:hAnsi="Abadi" w:cs="ArialMT"/>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San Miguel de Allende, </w:t>
      </w:r>
      <w:proofErr w:type="spellStart"/>
      <w:r w:rsidRPr="00A23DA0">
        <w:rPr>
          <w:rFonts w:ascii="Abadi" w:hAnsi="Abadi" w:cs="ArialMT"/>
          <w:sz w:val="21"/>
          <w:szCs w:val="21"/>
        </w:rPr>
        <w:t>Gto</w:t>
      </w:r>
      <w:proofErr w:type="spellEnd"/>
      <w:r w:rsidRPr="00A23DA0">
        <w:rPr>
          <w:rFonts w:ascii="Abadi" w:hAnsi="Abadi" w:cs="ArialMT"/>
          <w:sz w:val="21"/>
          <w:szCs w:val="21"/>
        </w:rPr>
        <w:t xml:space="preserve">., correspondiente al ejercicio fiscal del año 2021. </w:t>
      </w:r>
      <w:r w:rsidRPr="00A23DA0">
        <w:rPr>
          <w:rFonts w:ascii="Abadi" w:hAnsi="Abadi" w:cs="Arial-ItalicMT"/>
          <w:i/>
          <w:iCs/>
          <w:sz w:val="21"/>
          <w:szCs w:val="21"/>
        </w:rPr>
        <w:t xml:space="preserve">(ELD 321/LXV-IRASEG) </w:t>
      </w:r>
      <w:r w:rsidRPr="00A23DA0">
        <w:rPr>
          <w:rFonts w:ascii="Abadi" w:hAnsi="Abadi" w:cs="ArialMT"/>
          <w:b/>
          <w:bCs/>
          <w:sz w:val="21"/>
          <w:szCs w:val="21"/>
        </w:rPr>
        <w:t>LII.-</w:t>
      </w:r>
      <w:r w:rsidRPr="00A23DA0">
        <w:rPr>
          <w:rFonts w:ascii="Abadi" w:hAnsi="Abadi" w:cs="ArialMT"/>
          <w:sz w:val="21"/>
          <w:szCs w:val="21"/>
        </w:rPr>
        <w:t xml:space="preserve"> Asuntos generales.</w:t>
      </w:r>
    </w:p>
    <w:p w14:paraId="00EBB291" w14:textId="77777777" w:rsidR="0004410D" w:rsidRDefault="0004410D" w:rsidP="0004410D">
      <w:pPr>
        <w:jc w:val="both"/>
        <w:rPr>
          <w:rFonts w:ascii="Abadi" w:hAnsi="Abadi" w:cs="ArialMT"/>
          <w:sz w:val="21"/>
          <w:szCs w:val="21"/>
        </w:rPr>
      </w:pPr>
    </w:p>
    <w:p w14:paraId="7ED3C5DD" w14:textId="04E06A8B" w:rsidR="005D60A1" w:rsidRDefault="005D60A1" w:rsidP="005D60A1">
      <w:pPr>
        <w:jc w:val="both"/>
        <w:rPr>
          <w:rFonts w:ascii="Abadi" w:hAnsi="Abadi"/>
          <w:sz w:val="21"/>
          <w:szCs w:val="21"/>
        </w:rPr>
      </w:pPr>
      <w:r>
        <w:rPr>
          <w:rFonts w:ascii="Abadi" w:hAnsi="Abadi"/>
          <w:sz w:val="21"/>
          <w:szCs w:val="21"/>
        </w:rPr>
        <w:tab/>
      </w:r>
      <w:r w:rsidRPr="005D60A1">
        <w:rPr>
          <w:rFonts w:ascii="Abadi" w:hAnsi="Abadi"/>
          <w:b/>
          <w:bCs/>
          <w:sz w:val="21"/>
          <w:szCs w:val="21"/>
        </w:rPr>
        <w:t xml:space="preserve">- La </w:t>
      </w:r>
      <w:proofErr w:type="gramStart"/>
      <w:r w:rsidRPr="005D60A1">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Se da cuenta con la incorporación a la sesión de la diputada Briseida Anabel Magdaleno González el diputado Martín López Camacho y el diputado Miguel Ángel Salim </w:t>
      </w:r>
      <w:proofErr w:type="spellStart"/>
      <w:r w:rsidRPr="0030088F">
        <w:rPr>
          <w:rFonts w:ascii="Abadi" w:hAnsi="Abadi"/>
          <w:sz w:val="21"/>
          <w:szCs w:val="21"/>
        </w:rPr>
        <w:t>Alle</w:t>
      </w:r>
      <w:proofErr w:type="spellEnd"/>
      <w:r w:rsidRPr="0030088F">
        <w:rPr>
          <w:rFonts w:ascii="Abadi" w:hAnsi="Abadi"/>
          <w:sz w:val="21"/>
          <w:szCs w:val="21"/>
        </w:rPr>
        <w:t xml:space="preserve">, y la diputada Yulma Rocha Aguilar. </w:t>
      </w:r>
    </w:p>
    <w:p w14:paraId="0B0FEDEA" w14:textId="77777777" w:rsidR="005D60A1" w:rsidRPr="0030088F" w:rsidRDefault="005D60A1" w:rsidP="005D60A1">
      <w:pPr>
        <w:jc w:val="both"/>
        <w:rPr>
          <w:rFonts w:ascii="Abadi" w:hAnsi="Abadi"/>
          <w:sz w:val="21"/>
          <w:szCs w:val="21"/>
        </w:rPr>
      </w:pPr>
    </w:p>
    <w:p w14:paraId="1D5AA66C" w14:textId="77777777" w:rsidR="005D60A1" w:rsidRDefault="005D60A1" w:rsidP="005D60A1">
      <w:pPr>
        <w:jc w:val="both"/>
        <w:rPr>
          <w:rFonts w:ascii="Abadi" w:hAnsi="Abadi"/>
          <w:sz w:val="21"/>
          <w:szCs w:val="21"/>
        </w:rPr>
      </w:pPr>
      <w:r w:rsidRPr="0030088F">
        <w:rPr>
          <w:rFonts w:ascii="Abadi" w:hAnsi="Abadi"/>
          <w:sz w:val="21"/>
          <w:szCs w:val="21"/>
        </w:rPr>
        <w:tab/>
        <w:t>- Así mismo da esta presidencia la más cordial bienvenida a los alumnos padres de familia y docentes de la delegación regional de educación siete Acámbaro del municipio de Coroneo invitados por el diputado César Larrondo Díaz, sean ustedes bienvenidos, bienvenidas.</w:t>
      </w:r>
    </w:p>
    <w:p w14:paraId="57480D00" w14:textId="77777777" w:rsidR="005D60A1" w:rsidRPr="0030088F" w:rsidRDefault="005D60A1" w:rsidP="005D60A1">
      <w:pPr>
        <w:jc w:val="both"/>
        <w:rPr>
          <w:rFonts w:ascii="Abadi" w:hAnsi="Abadi"/>
          <w:sz w:val="21"/>
          <w:szCs w:val="21"/>
        </w:rPr>
      </w:pPr>
    </w:p>
    <w:p w14:paraId="39AF4FE2" w14:textId="77777777" w:rsidR="005D60A1" w:rsidRDefault="005D60A1" w:rsidP="005D60A1">
      <w:pPr>
        <w:jc w:val="both"/>
        <w:rPr>
          <w:rFonts w:ascii="Abadi" w:hAnsi="Abadi"/>
          <w:sz w:val="21"/>
          <w:szCs w:val="21"/>
        </w:rPr>
      </w:pPr>
      <w:r w:rsidRPr="0030088F">
        <w:rPr>
          <w:rFonts w:ascii="Abadi" w:hAnsi="Abadi"/>
          <w:sz w:val="21"/>
          <w:szCs w:val="21"/>
        </w:rPr>
        <w:tab/>
        <w:t xml:space="preserve">- La propuesta de orden del día está a consideración de la asamblea si desean hacer uso de la palabra indíquelo a esta presidenta. No habiendo intervenciones le pido al secretario que en votación económica a través del sistema electrónico pregunta a la asamblea si se aprueba el orden del día puesto a su consideración. </w:t>
      </w:r>
    </w:p>
    <w:p w14:paraId="4771E327" w14:textId="77777777" w:rsidR="005D60A1" w:rsidRPr="0030088F" w:rsidRDefault="005D60A1" w:rsidP="005D60A1">
      <w:pPr>
        <w:jc w:val="both"/>
        <w:rPr>
          <w:rFonts w:ascii="Abadi" w:hAnsi="Abadi"/>
          <w:sz w:val="21"/>
          <w:szCs w:val="21"/>
        </w:rPr>
      </w:pPr>
    </w:p>
    <w:p w14:paraId="159851FE" w14:textId="77777777" w:rsidR="005D60A1" w:rsidRDefault="005D60A1" w:rsidP="005D60A1">
      <w:pPr>
        <w:jc w:val="both"/>
        <w:rPr>
          <w:rFonts w:ascii="Abadi" w:hAnsi="Abadi"/>
          <w:b/>
          <w:bCs/>
          <w:sz w:val="21"/>
          <w:szCs w:val="21"/>
        </w:rPr>
      </w:pPr>
      <w:r w:rsidRPr="0030088F">
        <w:rPr>
          <w:rFonts w:ascii="Abadi" w:hAnsi="Abadi"/>
          <w:b/>
          <w:bCs/>
          <w:sz w:val="21"/>
          <w:szCs w:val="21"/>
        </w:rPr>
        <w:t>(se abre el sistema electrónico)</w:t>
      </w:r>
    </w:p>
    <w:p w14:paraId="3EF5F50B" w14:textId="77777777" w:rsidR="005D60A1" w:rsidRPr="0030088F" w:rsidRDefault="005D60A1" w:rsidP="005D60A1">
      <w:pPr>
        <w:jc w:val="both"/>
        <w:rPr>
          <w:rFonts w:ascii="Abadi" w:hAnsi="Abadi"/>
          <w:b/>
          <w:bCs/>
          <w:sz w:val="21"/>
          <w:szCs w:val="21"/>
        </w:rPr>
      </w:pPr>
    </w:p>
    <w:p w14:paraId="0F8E3C4B" w14:textId="7CC67C56" w:rsidR="005D60A1" w:rsidRDefault="005D60A1" w:rsidP="005D60A1">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Por instrucciones de la presidencia en votación económica se les pregunta si se aprueba el orden del día esto mediante el sistema electrónico. ¿diputado Salim?</w:t>
      </w:r>
    </w:p>
    <w:p w14:paraId="4FF6E19B" w14:textId="77777777" w:rsidR="005D60A1" w:rsidRPr="0030088F" w:rsidRDefault="005D60A1" w:rsidP="005D60A1">
      <w:pPr>
        <w:jc w:val="both"/>
        <w:rPr>
          <w:rFonts w:ascii="Abadi" w:hAnsi="Abadi"/>
          <w:sz w:val="21"/>
          <w:szCs w:val="21"/>
        </w:rPr>
      </w:pPr>
    </w:p>
    <w:p w14:paraId="5EABB381" w14:textId="77777777" w:rsidR="005D60A1" w:rsidRDefault="005D60A1" w:rsidP="005D60A1">
      <w:pPr>
        <w:jc w:val="both"/>
        <w:rPr>
          <w:rFonts w:ascii="Abadi" w:hAnsi="Abadi"/>
          <w:sz w:val="21"/>
          <w:szCs w:val="21"/>
        </w:rPr>
      </w:pPr>
      <w:r w:rsidRPr="0030088F">
        <w:rPr>
          <w:rFonts w:ascii="Abadi" w:hAnsi="Abadi"/>
          <w:b/>
          <w:bCs/>
          <w:sz w:val="21"/>
          <w:szCs w:val="21"/>
        </w:rPr>
        <w:t>(Voz) diputada Lilia,</w:t>
      </w:r>
      <w:r w:rsidRPr="0030088F">
        <w:rPr>
          <w:rFonts w:ascii="Abadi" w:hAnsi="Abadi"/>
          <w:sz w:val="21"/>
          <w:szCs w:val="21"/>
        </w:rPr>
        <w:t xml:space="preserve"> secretario mi sistema no aparece </w:t>
      </w:r>
      <w:r w:rsidRPr="0030088F">
        <w:rPr>
          <w:rFonts w:ascii="Abadi" w:hAnsi="Abadi"/>
          <w:b/>
          <w:bCs/>
          <w:sz w:val="21"/>
          <w:szCs w:val="21"/>
        </w:rPr>
        <w:t>(Voz) diputada Presidenta,</w:t>
      </w:r>
      <w:r w:rsidRPr="0030088F">
        <w:rPr>
          <w:rFonts w:ascii="Abadi" w:hAnsi="Abadi"/>
          <w:sz w:val="21"/>
          <w:szCs w:val="21"/>
        </w:rPr>
        <w:t xml:space="preserve"> pueden revisar por favor, podemos verificar por favor el sistema de la diputada Rionda. </w:t>
      </w:r>
      <w:r w:rsidRPr="0030088F">
        <w:rPr>
          <w:rFonts w:ascii="Abadi" w:hAnsi="Abadi"/>
          <w:b/>
          <w:bCs/>
          <w:sz w:val="21"/>
          <w:szCs w:val="21"/>
        </w:rPr>
        <w:t>(Voz) diputado Secretario</w:t>
      </w:r>
      <w:r w:rsidRPr="0030088F">
        <w:rPr>
          <w:rFonts w:ascii="Abadi" w:hAnsi="Abadi"/>
          <w:sz w:val="21"/>
          <w:szCs w:val="21"/>
        </w:rPr>
        <w:t xml:space="preserve"> ¿diputada Martha Lourdes? </w:t>
      </w:r>
    </w:p>
    <w:p w14:paraId="40D3F10D" w14:textId="77777777" w:rsidR="005D60A1" w:rsidRPr="0030088F" w:rsidRDefault="005D60A1" w:rsidP="005D60A1">
      <w:pPr>
        <w:jc w:val="both"/>
        <w:rPr>
          <w:rFonts w:ascii="Abadi" w:hAnsi="Abadi"/>
          <w:sz w:val="21"/>
          <w:szCs w:val="21"/>
        </w:rPr>
      </w:pPr>
    </w:p>
    <w:p w14:paraId="7C1246C8" w14:textId="77777777" w:rsidR="005D60A1" w:rsidRDefault="005D60A1" w:rsidP="005D60A1">
      <w:pPr>
        <w:jc w:val="both"/>
        <w:rPr>
          <w:rFonts w:ascii="Abadi" w:hAnsi="Abadi"/>
          <w:sz w:val="21"/>
          <w:szCs w:val="21"/>
        </w:rPr>
      </w:pPr>
      <w:r w:rsidRPr="0030088F">
        <w:rPr>
          <w:rFonts w:ascii="Abadi" w:hAnsi="Abadi"/>
          <w:sz w:val="21"/>
          <w:szCs w:val="21"/>
        </w:rPr>
        <w:t>¿falta alguna diputada o diputado por emitir su voto?</w:t>
      </w:r>
    </w:p>
    <w:p w14:paraId="2954BE6A" w14:textId="083788CB" w:rsidR="005D60A1" w:rsidRPr="0030088F" w:rsidRDefault="005D60A1" w:rsidP="005D60A1">
      <w:pPr>
        <w:jc w:val="both"/>
        <w:rPr>
          <w:rFonts w:ascii="Abadi" w:hAnsi="Abadi"/>
          <w:sz w:val="21"/>
          <w:szCs w:val="21"/>
        </w:rPr>
      </w:pPr>
    </w:p>
    <w:p w14:paraId="64326E93" w14:textId="2A335152" w:rsidR="005D60A1" w:rsidRPr="0030088F" w:rsidRDefault="005D60A1" w:rsidP="005D60A1">
      <w:pPr>
        <w:jc w:val="both"/>
        <w:rPr>
          <w:rFonts w:ascii="Abadi" w:hAnsi="Abadi"/>
          <w:b/>
          <w:bCs/>
          <w:sz w:val="21"/>
          <w:szCs w:val="21"/>
        </w:rPr>
      </w:pPr>
      <w:r w:rsidRPr="0030088F">
        <w:rPr>
          <w:rFonts w:ascii="Abadi" w:hAnsi="Abadi"/>
          <w:b/>
          <w:bCs/>
          <w:sz w:val="21"/>
          <w:szCs w:val="21"/>
        </w:rPr>
        <w:t>(se cierra el sistema electrónico)</w:t>
      </w:r>
    </w:p>
    <w:p w14:paraId="7DC8EA6B" w14:textId="0DC3925B" w:rsidR="005D60A1" w:rsidRPr="0030088F" w:rsidRDefault="005D60A1" w:rsidP="005D60A1">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46" behindDoc="1" locked="0" layoutInCell="1" allowOverlap="1" wp14:anchorId="4FB1D376" wp14:editId="064E51E3">
            <wp:simplePos x="0" y="0"/>
            <wp:positionH relativeFrom="column">
              <wp:posOffset>518160</wp:posOffset>
            </wp:positionH>
            <wp:positionV relativeFrom="paragraph">
              <wp:posOffset>318770</wp:posOffset>
            </wp:positionV>
            <wp:extent cx="1447800" cy="766655"/>
            <wp:effectExtent l="247650" t="247650" r="247650" b="243205"/>
            <wp:wrapTight wrapText="bothSides">
              <wp:wrapPolygon edited="0">
                <wp:start x="-2274" y="-6979"/>
                <wp:lineTo x="-3695" y="-5906"/>
                <wp:lineTo x="-3695" y="20401"/>
                <wp:lineTo x="-2274" y="27917"/>
                <wp:lineTo x="23589" y="27917"/>
                <wp:lineTo x="25011" y="20401"/>
                <wp:lineTo x="25011" y="2684"/>
                <wp:lineTo x="23589" y="-5369"/>
                <wp:lineTo x="23589" y="-6979"/>
                <wp:lineTo x="-2274" y="-6979"/>
              </wp:wrapPolygon>
            </wp:wrapTight>
            <wp:docPr id="1015340518" name="Imagen 1015340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340518" name=""/>
                    <pic:cNvPicPr/>
                  </pic:nvPicPr>
                  <pic:blipFill rotWithShape="1">
                    <a:blip r:embed="rId16" cstate="print">
                      <a:extLst>
                        <a:ext uri="{28A0092B-C50C-407E-A947-70E740481C1C}">
                          <a14:useLocalDpi xmlns:a14="http://schemas.microsoft.com/office/drawing/2010/main" val="0"/>
                        </a:ext>
                      </a:extLst>
                    </a:blip>
                    <a:srcRect b="5854"/>
                    <a:stretch/>
                  </pic:blipFill>
                  <pic:spPr bwMode="auto">
                    <a:xfrm>
                      <a:off x="0" y="0"/>
                      <a:ext cx="1447800" cy="76665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FD61617" w14:textId="701EC9F4" w:rsidR="005D60A1" w:rsidRDefault="005D60A1" w:rsidP="005D60A1">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Presidenta le informó que se han registrado 32 votos a favor 0 votos en contra.</w:t>
      </w:r>
    </w:p>
    <w:p w14:paraId="585FFF73" w14:textId="77777777" w:rsidR="005D60A1" w:rsidRPr="0030088F" w:rsidRDefault="005D60A1" w:rsidP="005D60A1">
      <w:pPr>
        <w:jc w:val="both"/>
        <w:rPr>
          <w:rFonts w:ascii="Abadi" w:hAnsi="Abadi"/>
          <w:sz w:val="21"/>
          <w:szCs w:val="21"/>
        </w:rPr>
      </w:pPr>
    </w:p>
    <w:p w14:paraId="731A36B6" w14:textId="77777777" w:rsidR="005D60A1" w:rsidRPr="0030088F" w:rsidRDefault="005D60A1" w:rsidP="005D60A1">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 La </w:t>
      </w:r>
      <w:proofErr w:type="gramStart"/>
      <w:r w:rsidRPr="0030088F">
        <w:rPr>
          <w:rFonts w:ascii="Abadi" w:hAnsi="Abadi"/>
          <w:b/>
          <w:bCs/>
          <w:sz w:val="21"/>
          <w:szCs w:val="21"/>
        </w:rPr>
        <w:t>Presidencia.-</w:t>
      </w:r>
      <w:proofErr w:type="gramEnd"/>
      <w:r w:rsidRPr="0030088F">
        <w:rPr>
          <w:rFonts w:ascii="Abadi" w:hAnsi="Abadi"/>
          <w:sz w:val="21"/>
          <w:szCs w:val="21"/>
        </w:rPr>
        <w:t xml:space="preserve"> El orden del día ha sido aprobado por unanimidad de votos.</w:t>
      </w:r>
    </w:p>
    <w:p w14:paraId="34C5861C" w14:textId="77777777" w:rsidR="001B4544" w:rsidRPr="00A23DA0" w:rsidRDefault="001B4544" w:rsidP="0004410D">
      <w:pPr>
        <w:jc w:val="both"/>
        <w:rPr>
          <w:rFonts w:ascii="Abadi" w:hAnsi="Abadi" w:cs="ArialMT"/>
          <w:sz w:val="21"/>
          <w:szCs w:val="21"/>
        </w:rPr>
      </w:pPr>
    </w:p>
    <w:p w14:paraId="207FFEC4" w14:textId="40B765A4" w:rsidR="005B0E5A" w:rsidRDefault="005B0E5A" w:rsidP="0023456B">
      <w:pPr>
        <w:pStyle w:val="Prrafodelista"/>
        <w:numPr>
          <w:ilvl w:val="0"/>
          <w:numId w:val="6"/>
        </w:numPr>
        <w:kinsoku w:val="0"/>
        <w:overflowPunct w:val="0"/>
        <w:autoSpaceDE w:val="0"/>
        <w:autoSpaceDN w:val="0"/>
        <w:adjustRightInd w:val="0"/>
        <w:spacing w:before="130"/>
        <w:ind w:left="426" w:right="103" w:hanging="426"/>
        <w:jc w:val="both"/>
        <w:rPr>
          <w:rFonts w:ascii="Abadi" w:hAnsi="Abadi"/>
          <w:b/>
          <w:bCs/>
          <w:sz w:val="21"/>
          <w:szCs w:val="21"/>
        </w:rPr>
      </w:pPr>
      <w:r w:rsidRPr="00BC178E">
        <w:rPr>
          <w:rFonts w:ascii="Abadi" w:hAnsi="Abadi"/>
          <w:b/>
          <w:bCs/>
          <w:sz w:val="21"/>
          <w:szCs w:val="21"/>
        </w:rPr>
        <w:t>LECTURA Y, EN SU CASO, APROBACIÓN DEL ACTA DE LA SESIÓN ORDINARIA CELEBRADA EL 1</w:t>
      </w:r>
      <w:r w:rsidR="00E817E6">
        <w:rPr>
          <w:rFonts w:ascii="Abadi" w:hAnsi="Abadi"/>
          <w:b/>
          <w:bCs/>
          <w:sz w:val="21"/>
          <w:szCs w:val="21"/>
        </w:rPr>
        <w:t xml:space="preserve">5 </w:t>
      </w:r>
      <w:r w:rsidRPr="00BC178E">
        <w:rPr>
          <w:rFonts w:ascii="Abadi" w:hAnsi="Abadi"/>
          <w:b/>
          <w:bCs/>
          <w:sz w:val="21"/>
          <w:szCs w:val="21"/>
        </w:rPr>
        <w:t xml:space="preserve">DE </w:t>
      </w:r>
      <w:r w:rsidR="00E817E6">
        <w:rPr>
          <w:rFonts w:ascii="Abadi" w:hAnsi="Abadi"/>
          <w:b/>
          <w:bCs/>
          <w:sz w:val="21"/>
          <w:szCs w:val="21"/>
        </w:rPr>
        <w:t xml:space="preserve">JUNIO </w:t>
      </w:r>
      <w:r w:rsidRPr="00BC178E">
        <w:rPr>
          <w:rFonts w:ascii="Abadi" w:hAnsi="Abadi"/>
          <w:b/>
          <w:bCs/>
          <w:sz w:val="21"/>
          <w:szCs w:val="21"/>
        </w:rPr>
        <w:t>DEL AÑO EN CURSO.</w:t>
      </w:r>
      <w:r w:rsidR="003C3303">
        <w:rPr>
          <w:rStyle w:val="Refdenotaalpie"/>
          <w:rFonts w:ascii="Abadi" w:hAnsi="Abadi"/>
          <w:b/>
          <w:bCs/>
          <w:sz w:val="21"/>
          <w:szCs w:val="21"/>
        </w:rPr>
        <w:footnoteReference w:id="4"/>
      </w:r>
    </w:p>
    <w:p w14:paraId="6E227AE7" w14:textId="77777777" w:rsidR="000469D6" w:rsidRDefault="000469D6" w:rsidP="00B94F68">
      <w:pPr>
        <w:autoSpaceDE w:val="0"/>
        <w:autoSpaceDN w:val="0"/>
        <w:adjustRightInd w:val="0"/>
        <w:jc w:val="center"/>
        <w:rPr>
          <w:rFonts w:ascii="Abadi" w:hAnsi="Abadi" w:cs="ErasITC-Bold"/>
          <w:b/>
          <w:bCs/>
          <w:sz w:val="21"/>
          <w:szCs w:val="21"/>
        </w:rPr>
      </w:pPr>
    </w:p>
    <w:p w14:paraId="3F3F8BA9" w14:textId="5D71B465"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ACTA NÚMERO 70</w:t>
      </w:r>
    </w:p>
    <w:p w14:paraId="03DDBB26" w14:textId="77777777"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SEXAGÉSIMA QUINTA LEGISLATURA CONSTITUCIONAL DEL</w:t>
      </w:r>
    </w:p>
    <w:p w14:paraId="6C6151BB" w14:textId="77777777"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CONGRESO DEL ESTADO LIBRE Y SOBERANO DE GUANAJUATO</w:t>
      </w:r>
    </w:p>
    <w:p w14:paraId="6C896439" w14:textId="77777777"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SEGUNDO PERIODO ORDINARIO DE SESIONES</w:t>
      </w:r>
    </w:p>
    <w:p w14:paraId="6DD6D11F" w14:textId="77777777"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SEGUNDO AÑO DE EJERCICIO CONSTITUCIONAL</w:t>
      </w:r>
    </w:p>
    <w:p w14:paraId="65217A2F" w14:textId="77777777" w:rsidR="00B94F68" w:rsidRPr="00CF79E5" w:rsidRDefault="00B94F68" w:rsidP="00B94F68">
      <w:pPr>
        <w:autoSpaceDE w:val="0"/>
        <w:autoSpaceDN w:val="0"/>
        <w:adjustRightInd w:val="0"/>
        <w:jc w:val="center"/>
        <w:rPr>
          <w:rFonts w:ascii="Abadi" w:hAnsi="Abadi" w:cs="ErasITC-Bold"/>
          <w:b/>
          <w:bCs/>
          <w:sz w:val="21"/>
          <w:szCs w:val="21"/>
        </w:rPr>
      </w:pPr>
      <w:r w:rsidRPr="00CF79E5">
        <w:rPr>
          <w:rFonts w:ascii="Abadi" w:hAnsi="Abadi" w:cs="ErasITC-Bold"/>
          <w:b/>
          <w:bCs/>
          <w:sz w:val="21"/>
          <w:szCs w:val="21"/>
        </w:rPr>
        <w:t>SESIÓN CELEBRADA EL 15 DE JUNIO DE 2023</w:t>
      </w:r>
    </w:p>
    <w:p w14:paraId="160E5780" w14:textId="77777777" w:rsidR="00B94F68" w:rsidRDefault="00B94F68" w:rsidP="00B94F68">
      <w:pPr>
        <w:kinsoku w:val="0"/>
        <w:overflowPunct w:val="0"/>
        <w:autoSpaceDE w:val="0"/>
        <w:autoSpaceDN w:val="0"/>
        <w:adjustRightInd w:val="0"/>
        <w:spacing w:before="130"/>
        <w:ind w:right="103"/>
        <w:jc w:val="both"/>
        <w:rPr>
          <w:rFonts w:ascii="Abadi" w:hAnsi="Abadi"/>
          <w:b/>
          <w:bCs/>
          <w:sz w:val="21"/>
          <w:szCs w:val="21"/>
        </w:rPr>
      </w:pPr>
    </w:p>
    <w:p w14:paraId="4C6CE612" w14:textId="77777777" w:rsidR="00476316" w:rsidRPr="00CF79E5" w:rsidRDefault="00476316" w:rsidP="00476316">
      <w:pPr>
        <w:jc w:val="center"/>
        <w:rPr>
          <w:rFonts w:ascii="Abadi" w:hAnsi="Abadi" w:cs="ErasITC-Bold"/>
          <w:b/>
          <w:bCs/>
          <w:sz w:val="21"/>
          <w:szCs w:val="21"/>
        </w:rPr>
      </w:pPr>
      <w:r w:rsidRPr="00CF79E5">
        <w:rPr>
          <w:rFonts w:ascii="Abadi" w:hAnsi="Abadi" w:cs="ErasITC-Bold"/>
          <w:b/>
          <w:bCs/>
          <w:sz w:val="21"/>
          <w:szCs w:val="21"/>
        </w:rPr>
        <w:lastRenderedPageBreak/>
        <w:t>PRESIDENCIA DE LA DIPUTADA LAURA CRISTINA MÁRQUEZ ALCALÁ</w:t>
      </w:r>
    </w:p>
    <w:p w14:paraId="1BE21C85" w14:textId="77777777" w:rsidR="00476316" w:rsidRPr="00B94F68" w:rsidRDefault="00476316" w:rsidP="00B94F68">
      <w:pPr>
        <w:kinsoku w:val="0"/>
        <w:overflowPunct w:val="0"/>
        <w:autoSpaceDE w:val="0"/>
        <w:autoSpaceDN w:val="0"/>
        <w:adjustRightInd w:val="0"/>
        <w:spacing w:before="130"/>
        <w:ind w:right="103"/>
        <w:jc w:val="both"/>
        <w:rPr>
          <w:rFonts w:ascii="Abadi" w:hAnsi="Abadi"/>
          <w:b/>
          <w:bCs/>
          <w:sz w:val="21"/>
          <w:szCs w:val="21"/>
        </w:rPr>
      </w:pPr>
    </w:p>
    <w:p w14:paraId="24AD4EAB" w14:textId="1A5B6ADE" w:rsidR="00806A8D"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En la ciudad de Guanajuato, capital del Estado del mismo nombre, en el salón de sesiones</w:t>
      </w:r>
      <w:r>
        <w:rPr>
          <w:rFonts w:ascii="Abadi" w:hAnsi="Abadi" w:cs="Verdana"/>
          <w:sz w:val="21"/>
          <w:szCs w:val="21"/>
        </w:rPr>
        <w:t xml:space="preserve"> </w:t>
      </w:r>
      <w:r w:rsidRPr="00CF79E5">
        <w:rPr>
          <w:rFonts w:ascii="Abadi" w:hAnsi="Abadi" w:cs="Verdana"/>
          <w:sz w:val="21"/>
          <w:szCs w:val="21"/>
        </w:rPr>
        <w:t>del recinto oficial se reunieron las diputadas y los diputados que integran la Sexagésima Quinta</w:t>
      </w:r>
      <w:r>
        <w:rPr>
          <w:rFonts w:ascii="Abadi" w:hAnsi="Abadi" w:cs="Verdana"/>
          <w:sz w:val="21"/>
          <w:szCs w:val="21"/>
        </w:rPr>
        <w:t xml:space="preserve"> </w:t>
      </w:r>
      <w:r w:rsidRPr="00CF79E5">
        <w:rPr>
          <w:rFonts w:ascii="Abadi" w:hAnsi="Abadi" w:cs="Verdana"/>
          <w:sz w:val="21"/>
          <w:szCs w:val="21"/>
        </w:rPr>
        <w:t>Legislatura del Congreso del Estado Libre y Soberano de Guanajuato a efecto de llevar a cabo la</w:t>
      </w:r>
      <w:r>
        <w:rPr>
          <w:rFonts w:ascii="Abadi" w:hAnsi="Abadi" w:cs="Verdana"/>
          <w:sz w:val="21"/>
          <w:szCs w:val="21"/>
        </w:rPr>
        <w:t xml:space="preserve"> </w:t>
      </w:r>
      <w:r w:rsidRPr="00CF79E5">
        <w:rPr>
          <w:rFonts w:ascii="Abadi" w:hAnsi="Abadi" w:cs="Verdana"/>
          <w:sz w:val="21"/>
          <w:szCs w:val="21"/>
        </w:rPr>
        <w:t>sesión ordinaria, en los términos de la convocatoria, la cual tuvo el siguiente desarrollo: - - - - - -</w:t>
      </w:r>
      <w:r>
        <w:rPr>
          <w:rFonts w:ascii="Abadi" w:hAnsi="Abadi" w:cs="Verdana"/>
          <w:sz w:val="21"/>
          <w:szCs w:val="21"/>
        </w:rPr>
        <w:t xml:space="preserve"> </w:t>
      </w:r>
      <w:r w:rsidR="00806A8D">
        <w:rPr>
          <w:rFonts w:ascii="Abadi" w:hAnsi="Abadi" w:cs="Verdana"/>
          <w:sz w:val="21"/>
          <w:szCs w:val="21"/>
        </w:rPr>
        <w:t>- - - - - - - - - - - - - - - - - -</w:t>
      </w:r>
    </w:p>
    <w:p w14:paraId="2C5D1108" w14:textId="24DB7F06" w:rsidR="00EE744D" w:rsidRPr="00CF79E5" w:rsidRDefault="00806A8D"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La presidencia solicitó a la secretaría certificar el cuórum conforme al registro de</w:t>
      </w:r>
      <w:r w:rsidR="00EE744D">
        <w:rPr>
          <w:rFonts w:ascii="Abadi" w:hAnsi="Abadi" w:cs="Verdana"/>
          <w:sz w:val="21"/>
          <w:szCs w:val="21"/>
        </w:rPr>
        <w:t xml:space="preserve"> </w:t>
      </w:r>
      <w:r w:rsidR="00EE744D" w:rsidRPr="00CF79E5">
        <w:rPr>
          <w:rFonts w:ascii="Abadi" w:hAnsi="Abadi" w:cs="Verdana"/>
          <w:sz w:val="21"/>
          <w:szCs w:val="21"/>
        </w:rPr>
        <w:t xml:space="preserve">asistencia del sistema electrónico. Se registró la presencia de veintiocho diputadas y </w:t>
      </w:r>
      <w:proofErr w:type="gramStart"/>
      <w:r w:rsidR="00EE744D" w:rsidRPr="00CF79E5">
        <w:rPr>
          <w:rFonts w:ascii="Abadi" w:hAnsi="Abadi" w:cs="Verdana"/>
          <w:sz w:val="21"/>
          <w:szCs w:val="21"/>
        </w:rPr>
        <w:t>diputados.</w:t>
      </w:r>
      <w:r w:rsidR="00EE744D">
        <w:rPr>
          <w:rFonts w:ascii="Abadi" w:hAnsi="Abadi" w:cs="Verdana"/>
          <w:sz w:val="21"/>
          <w:szCs w:val="21"/>
        </w:rPr>
        <w:t>-</w:t>
      </w:r>
      <w:proofErr w:type="gramEnd"/>
      <w:r w:rsidR="00EE744D">
        <w:rPr>
          <w:rFonts w:ascii="Abadi" w:hAnsi="Abadi" w:cs="Verdana"/>
          <w:sz w:val="21"/>
          <w:szCs w:val="21"/>
        </w:rPr>
        <w:t xml:space="preserve">  - - - - - - - - </w:t>
      </w:r>
      <w:r>
        <w:rPr>
          <w:rFonts w:ascii="Abadi" w:hAnsi="Abadi" w:cs="Verdana"/>
          <w:sz w:val="21"/>
          <w:szCs w:val="21"/>
        </w:rPr>
        <w:t>- - - - - - - - - - - - - - -</w:t>
      </w:r>
    </w:p>
    <w:p w14:paraId="37A2B65C" w14:textId="1E5CDF03" w:rsidR="00EE744D" w:rsidRPr="00CF79E5" w:rsidRDefault="00073A6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Durante el desahogo del punto uno del orden del día, se incorporaron a la sesión las diputadas</w:t>
      </w:r>
      <w:r w:rsidR="00EE744D">
        <w:rPr>
          <w:rFonts w:ascii="Abadi" w:hAnsi="Abadi" w:cs="Verdana"/>
          <w:sz w:val="21"/>
          <w:szCs w:val="21"/>
        </w:rPr>
        <w:t xml:space="preserve"> </w:t>
      </w:r>
      <w:r w:rsidR="00EE744D" w:rsidRPr="00CF79E5">
        <w:rPr>
          <w:rFonts w:ascii="Abadi" w:hAnsi="Abadi" w:cs="Verdana"/>
          <w:sz w:val="21"/>
          <w:szCs w:val="21"/>
        </w:rPr>
        <w:t>Angélica Casillas Martínez, Irma Leticia González Sánchez y Yulma Rocha Aguilar y el diputado</w:t>
      </w:r>
      <w:r w:rsidR="00EE744D">
        <w:rPr>
          <w:rFonts w:ascii="Abadi" w:hAnsi="Abadi" w:cs="Verdana"/>
          <w:sz w:val="21"/>
          <w:szCs w:val="21"/>
        </w:rPr>
        <w:t xml:space="preserve"> </w:t>
      </w:r>
      <w:r w:rsidR="00EE744D" w:rsidRPr="00CF79E5">
        <w:rPr>
          <w:rFonts w:ascii="Abadi" w:hAnsi="Abadi" w:cs="Verdana"/>
          <w:sz w:val="21"/>
          <w:szCs w:val="21"/>
        </w:rPr>
        <w:t>Martín López Camacho. Las diputadas Martha Edith Moreno Valencia y Hades Berenice Aguilar</w:t>
      </w:r>
      <w:r w:rsidR="00EE744D">
        <w:rPr>
          <w:rFonts w:ascii="Abadi" w:hAnsi="Abadi" w:cs="Verdana"/>
          <w:sz w:val="21"/>
          <w:szCs w:val="21"/>
        </w:rPr>
        <w:t xml:space="preserve"> </w:t>
      </w:r>
      <w:r w:rsidR="00EE744D" w:rsidRPr="00CF79E5">
        <w:rPr>
          <w:rFonts w:ascii="Abadi" w:hAnsi="Abadi" w:cs="Verdana"/>
          <w:sz w:val="21"/>
          <w:szCs w:val="21"/>
        </w:rPr>
        <w:t>Castillo se incorporaron a la sesión durante el desahogo del punto cinco del orden del día; y el</w:t>
      </w:r>
      <w:r w:rsidR="00EE744D">
        <w:rPr>
          <w:rFonts w:ascii="Abadi" w:hAnsi="Abadi" w:cs="Verdana"/>
          <w:sz w:val="21"/>
          <w:szCs w:val="21"/>
        </w:rPr>
        <w:t xml:space="preserve"> </w:t>
      </w:r>
      <w:r w:rsidR="00EE744D" w:rsidRPr="00CF79E5">
        <w:rPr>
          <w:rFonts w:ascii="Abadi" w:hAnsi="Abadi" w:cs="Verdana"/>
          <w:sz w:val="21"/>
          <w:szCs w:val="21"/>
        </w:rPr>
        <w:t>diputado Ernesto Alejandro Prieto Gallardo durante el desahogo del punto catorce. La presidencia</w:t>
      </w:r>
      <w:r w:rsidR="0083781E">
        <w:rPr>
          <w:rFonts w:ascii="Abadi" w:hAnsi="Abadi" w:cs="Verdana"/>
          <w:sz w:val="21"/>
          <w:szCs w:val="21"/>
        </w:rPr>
        <w:t xml:space="preserve"> </w:t>
      </w:r>
      <w:r w:rsidR="00EE744D" w:rsidRPr="00CF79E5">
        <w:rPr>
          <w:rFonts w:ascii="Abadi" w:hAnsi="Abadi" w:cs="Verdana"/>
          <w:sz w:val="21"/>
          <w:szCs w:val="21"/>
        </w:rPr>
        <w:t>justificó la inasistencia del diputado Rolando Fortino Alcántar Rojas a la presente sesión, en virtud</w:t>
      </w:r>
      <w:r w:rsidR="0083781E">
        <w:rPr>
          <w:rFonts w:ascii="Abadi" w:hAnsi="Abadi" w:cs="Verdana"/>
          <w:sz w:val="21"/>
          <w:szCs w:val="21"/>
        </w:rPr>
        <w:t xml:space="preserve"> </w:t>
      </w:r>
      <w:r w:rsidR="00EE744D" w:rsidRPr="00CF79E5">
        <w:rPr>
          <w:rFonts w:ascii="Abadi" w:hAnsi="Abadi" w:cs="Verdana"/>
          <w:sz w:val="21"/>
          <w:szCs w:val="21"/>
        </w:rPr>
        <w:t>del oficio presentado previamente en términos del artículo veintiocho de la Ley Orgánica del Poder</w:t>
      </w:r>
      <w:r w:rsidR="0083781E">
        <w:rPr>
          <w:rFonts w:ascii="Abadi" w:hAnsi="Abadi" w:cs="Verdana"/>
          <w:sz w:val="21"/>
          <w:szCs w:val="21"/>
        </w:rPr>
        <w:t xml:space="preserve"> </w:t>
      </w:r>
      <w:r w:rsidR="00EE744D" w:rsidRPr="00CF79E5">
        <w:rPr>
          <w:rFonts w:ascii="Abadi" w:hAnsi="Abadi" w:cs="Verdana"/>
          <w:sz w:val="21"/>
          <w:szCs w:val="21"/>
        </w:rPr>
        <w:t xml:space="preserve">Legislativo del Estado. - - - - - - - - - - - </w:t>
      </w:r>
    </w:p>
    <w:p w14:paraId="783AB651" w14:textId="5B5A519D"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Comprobado el cuórum legal, la presidencia declaró abierta la sesión a las diez horas con</w:t>
      </w:r>
      <w:r>
        <w:rPr>
          <w:rFonts w:ascii="Abadi" w:hAnsi="Abadi" w:cs="Verdana"/>
          <w:sz w:val="21"/>
          <w:szCs w:val="21"/>
        </w:rPr>
        <w:t xml:space="preserve"> </w:t>
      </w:r>
      <w:r w:rsidRPr="00CF79E5">
        <w:rPr>
          <w:rFonts w:ascii="Abadi" w:hAnsi="Abadi" w:cs="Verdana"/>
          <w:sz w:val="21"/>
          <w:szCs w:val="21"/>
        </w:rPr>
        <w:t xml:space="preserve">dieciocho minutos del quince de junio de dos mil veintitrés. - - - - - - - - - - - - - </w:t>
      </w:r>
    </w:p>
    <w:p w14:paraId="7F714BE4" w14:textId="32F9EDB8" w:rsidR="00EE744D" w:rsidRPr="00CF79E5" w:rsidRDefault="0083781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La secretaría por instrucción de la presidencia dio lectura al orden del día. Concluida la</w:t>
      </w:r>
      <w:r w:rsidR="00EE744D">
        <w:rPr>
          <w:rFonts w:ascii="Abadi" w:hAnsi="Abadi" w:cs="Verdana"/>
          <w:sz w:val="21"/>
          <w:szCs w:val="21"/>
        </w:rPr>
        <w:t xml:space="preserve"> </w:t>
      </w:r>
      <w:r w:rsidR="00EE744D" w:rsidRPr="00CF79E5">
        <w:rPr>
          <w:rFonts w:ascii="Abadi" w:hAnsi="Abadi" w:cs="Verdana"/>
          <w:sz w:val="21"/>
          <w:szCs w:val="21"/>
        </w:rPr>
        <w:t>lectura se sometió a consideración. Al no registrarse intervenciones se recabó votación, siendo</w:t>
      </w:r>
      <w:r w:rsidR="00EE744D">
        <w:rPr>
          <w:rFonts w:ascii="Abadi" w:hAnsi="Abadi" w:cs="Verdana"/>
          <w:sz w:val="21"/>
          <w:szCs w:val="21"/>
        </w:rPr>
        <w:t xml:space="preserve"> </w:t>
      </w:r>
      <w:r w:rsidR="00EE744D" w:rsidRPr="00CF79E5">
        <w:rPr>
          <w:rFonts w:ascii="Abadi" w:hAnsi="Abadi" w:cs="Verdana"/>
          <w:sz w:val="21"/>
          <w:szCs w:val="21"/>
        </w:rPr>
        <w:t>aprobado en votación económica -en la modalidad electrónica- por unanimidad de los presentes,</w:t>
      </w:r>
      <w:r w:rsidR="00EE744D">
        <w:rPr>
          <w:rFonts w:ascii="Abadi" w:hAnsi="Abadi" w:cs="Verdana"/>
          <w:sz w:val="21"/>
          <w:szCs w:val="21"/>
        </w:rPr>
        <w:t xml:space="preserve"> </w:t>
      </w:r>
      <w:r w:rsidR="00EE744D" w:rsidRPr="00CF79E5">
        <w:rPr>
          <w:rFonts w:ascii="Abadi" w:hAnsi="Abadi" w:cs="Verdana"/>
          <w:sz w:val="21"/>
          <w:szCs w:val="21"/>
        </w:rPr>
        <w:t xml:space="preserve">con treinta y dos votos, sin discusión. - - - - - - - - - - - - - - - - - - - - - - - - </w:t>
      </w:r>
    </w:p>
    <w:p w14:paraId="38795D71" w14:textId="17AA9FAE"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la bienvenida a sus invitados, alumnos, directivos y docentes del</w:t>
      </w:r>
      <w:r>
        <w:rPr>
          <w:rFonts w:ascii="Abadi" w:hAnsi="Abadi" w:cs="Verdana"/>
          <w:sz w:val="21"/>
          <w:szCs w:val="21"/>
        </w:rPr>
        <w:t xml:space="preserve"> </w:t>
      </w:r>
      <w:r w:rsidRPr="00CF79E5">
        <w:rPr>
          <w:rFonts w:ascii="Abadi" w:hAnsi="Abadi" w:cs="Verdana"/>
          <w:sz w:val="21"/>
          <w:szCs w:val="21"/>
        </w:rPr>
        <w:t>Instituto Educativo Japones de Guanajuato -</w:t>
      </w:r>
      <w:proofErr w:type="spellStart"/>
      <w:r w:rsidRPr="00CF79E5">
        <w:rPr>
          <w:rFonts w:ascii="Abadi" w:hAnsi="Abadi" w:cs="Verdana"/>
          <w:sz w:val="21"/>
          <w:szCs w:val="21"/>
        </w:rPr>
        <w:t>Atushi</w:t>
      </w:r>
      <w:proofErr w:type="spellEnd"/>
      <w:r w:rsidRPr="00CF79E5">
        <w:rPr>
          <w:rFonts w:ascii="Abadi" w:hAnsi="Abadi" w:cs="Verdana"/>
          <w:sz w:val="21"/>
          <w:szCs w:val="21"/>
        </w:rPr>
        <w:t xml:space="preserve"> Imai, director, </w:t>
      </w:r>
      <w:proofErr w:type="spellStart"/>
      <w:r w:rsidRPr="00CF79E5">
        <w:rPr>
          <w:rFonts w:ascii="Abadi" w:hAnsi="Abadi" w:cs="Verdana"/>
          <w:sz w:val="21"/>
          <w:szCs w:val="21"/>
        </w:rPr>
        <w:t>Takato</w:t>
      </w:r>
      <w:proofErr w:type="spellEnd"/>
      <w:r w:rsidRPr="00CF79E5">
        <w:rPr>
          <w:rFonts w:ascii="Abadi" w:hAnsi="Abadi" w:cs="Verdana"/>
          <w:sz w:val="21"/>
          <w:szCs w:val="21"/>
        </w:rPr>
        <w:t xml:space="preserve"> </w:t>
      </w:r>
      <w:proofErr w:type="spellStart"/>
      <w:r w:rsidRPr="00CF79E5">
        <w:rPr>
          <w:rFonts w:ascii="Abadi" w:hAnsi="Abadi" w:cs="Verdana"/>
          <w:sz w:val="21"/>
          <w:szCs w:val="21"/>
        </w:rPr>
        <w:t>Nakau</w:t>
      </w:r>
      <w:proofErr w:type="spellEnd"/>
      <w:r w:rsidRPr="00CF79E5">
        <w:rPr>
          <w:rFonts w:ascii="Abadi" w:hAnsi="Abadi" w:cs="Verdana"/>
          <w:sz w:val="21"/>
          <w:szCs w:val="21"/>
        </w:rPr>
        <w:t>, subdirector</w:t>
      </w:r>
      <w:r>
        <w:rPr>
          <w:rFonts w:ascii="Abadi" w:hAnsi="Abadi" w:cs="Verdana"/>
          <w:sz w:val="21"/>
          <w:szCs w:val="21"/>
        </w:rPr>
        <w:t xml:space="preserve"> </w:t>
      </w:r>
      <w:proofErr w:type="spellStart"/>
      <w:r w:rsidRPr="00CF79E5">
        <w:rPr>
          <w:rFonts w:ascii="Abadi" w:hAnsi="Abadi" w:cs="Verdana"/>
          <w:sz w:val="21"/>
          <w:szCs w:val="21"/>
        </w:rPr>
        <w:t>Teruyuki</w:t>
      </w:r>
      <w:proofErr w:type="spellEnd"/>
      <w:r w:rsidRPr="00CF79E5">
        <w:rPr>
          <w:rFonts w:ascii="Abadi" w:hAnsi="Abadi" w:cs="Verdana"/>
          <w:sz w:val="21"/>
          <w:szCs w:val="21"/>
        </w:rPr>
        <w:t xml:space="preserve"> </w:t>
      </w:r>
      <w:proofErr w:type="spellStart"/>
      <w:r w:rsidRPr="00CF79E5">
        <w:rPr>
          <w:rFonts w:ascii="Abadi" w:hAnsi="Abadi" w:cs="Verdana"/>
          <w:sz w:val="21"/>
          <w:szCs w:val="21"/>
        </w:rPr>
        <w:t>Takeda</w:t>
      </w:r>
      <w:proofErr w:type="spellEnd"/>
      <w:r w:rsidRPr="00CF79E5">
        <w:rPr>
          <w:rFonts w:ascii="Abadi" w:hAnsi="Abadi" w:cs="Verdana"/>
          <w:sz w:val="21"/>
          <w:szCs w:val="21"/>
        </w:rPr>
        <w:t xml:space="preserve">, profesor, Yoko </w:t>
      </w:r>
      <w:proofErr w:type="spellStart"/>
      <w:r w:rsidRPr="00CF79E5">
        <w:rPr>
          <w:rFonts w:ascii="Abadi" w:hAnsi="Abadi" w:cs="Verdana"/>
          <w:sz w:val="21"/>
          <w:szCs w:val="21"/>
        </w:rPr>
        <w:t>Hamanaka</w:t>
      </w:r>
      <w:proofErr w:type="spellEnd"/>
      <w:r w:rsidRPr="00CF79E5">
        <w:rPr>
          <w:rFonts w:ascii="Abadi" w:hAnsi="Abadi" w:cs="Verdana"/>
          <w:sz w:val="21"/>
          <w:szCs w:val="21"/>
        </w:rPr>
        <w:t xml:space="preserve">, profesora- acompañados del señor </w:t>
      </w:r>
      <w:proofErr w:type="spellStart"/>
      <w:r w:rsidRPr="00CF79E5">
        <w:rPr>
          <w:rFonts w:ascii="Abadi" w:hAnsi="Abadi" w:cs="Verdana"/>
          <w:sz w:val="21"/>
          <w:szCs w:val="21"/>
        </w:rPr>
        <w:t>Tsukamoto</w:t>
      </w:r>
      <w:proofErr w:type="spellEnd"/>
      <w:r w:rsidRPr="00CF79E5">
        <w:rPr>
          <w:rFonts w:ascii="Abadi" w:hAnsi="Abadi" w:cs="Verdana"/>
          <w:sz w:val="21"/>
          <w:szCs w:val="21"/>
        </w:rPr>
        <w:t xml:space="preserve"> </w:t>
      </w:r>
      <w:proofErr w:type="spellStart"/>
      <w:r w:rsidRPr="00CF79E5">
        <w:rPr>
          <w:rFonts w:ascii="Abadi" w:hAnsi="Abadi" w:cs="Verdana"/>
          <w:sz w:val="21"/>
          <w:szCs w:val="21"/>
        </w:rPr>
        <w:t>Goshi</w:t>
      </w:r>
      <w:proofErr w:type="spellEnd"/>
      <w:r w:rsidRPr="00CF79E5">
        <w:rPr>
          <w:rFonts w:ascii="Abadi" w:hAnsi="Abadi" w:cs="Verdana"/>
          <w:sz w:val="21"/>
          <w:szCs w:val="21"/>
        </w:rPr>
        <w:t>,</w:t>
      </w:r>
      <w:r>
        <w:rPr>
          <w:rFonts w:ascii="Abadi" w:hAnsi="Abadi" w:cs="Verdana"/>
          <w:sz w:val="21"/>
          <w:szCs w:val="21"/>
        </w:rPr>
        <w:t xml:space="preserve"> </w:t>
      </w:r>
      <w:r w:rsidRPr="00CF79E5">
        <w:rPr>
          <w:rFonts w:ascii="Abadi" w:hAnsi="Abadi" w:cs="Verdana"/>
          <w:sz w:val="21"/>
          <w:szCs w:val="21"/>
        </w:rPr>
        <w:t xml:space="preserve">Cónsul General Adjunto del Japón en León, Guanajuato; a alumnos y </w:t>
      </w:r>
      <w:r w:rsidRPr="00CF79E5">
        <w:rPr>
          <w:rFonts w:ascii="Abadi" w:hAnsi="Abadi" w:cs="Verdana"/>
          <w:sz w:val="21"/>
          <w:szCs w:val="21"/>
        </w:rPr>
        <w:t>docentes de la escuela</w:t>
      </w:r>
      <w:r>
        <w:rPr>
          <w:rFonts w:ascii="Abadi" w:hAnsi="Abadi" w:cs="Verdana"/>
          <w:sz w:val="21"/>
          <w:szCs w:val="21"/>
        </w:rPr>
        <w:t xml:space="preserve"> </w:t>
      </w:r>
      <w:r w:rsidRPr="00CF79E5">
        <w:rPr>
          <w:rFonts w:ascii="Abadi" w:hAnsi="Abadi" w:cs="Verdana"/>
          <w:sz w:val="21"/>
          <w:szCs w:val="21"/>
        </w:rPr>
        <w:t>primaria Valentín Gómez Farías del municipio de Santiago Maravatío, invitados por el diputado</w:t>
      </w:r>
      <w:r>
        <w:rPr>
          <w:rFonts w:ascii="Abadi" w:hAnsi="Abadi" w:cs="Verdana"/>
          <w:sz w:val="21"/>
          <w:szCs w:val="21"/>
        </w:rPr>
        <w:t xml:space="preserve"> </w:t>
      </w:r>
      <w:r w:rsidRPr="00CF79E5">
        <w:rPr>
          <w:rFonts w:ascii="Abadi" w:hAnsi="Abadi" w:cs="Verdana"/>
          <w:sz w:val="21"/>
          <w:szCs w:val="21"/>
        </w:rPr>
        <w:t>Jorge Ortiz Ortega; así como a alumnos y docentes de la Universidad Interactiva y a Distancia del</w:t>
      </w:r>
      <w:r>
        <w:rPr>
          <w:rFonts w:ascii="Abadi" w:hAnsi="Abadi" w:cs="Verdana"/>
          <w:sz w:val="21"/>
          <w:szCs w:val="21"/>
        </w:rPr>
        <w:t xml:space="preserve"> </w:t>
      </w:r>
      <w:r w:rsidRPr="00CF79E5">
        <w:rPr>
          <w:rFonts w:ascii="Abadi" w:hAnsi="Abadi" w:cs="Verdana"/>
          <w:sz w:val="21"/>
          <w:szCs w:val="21"/>
        </w:rPr>
        <w:t>Estado de Guanajuato (UNIDEG) Plantel San Luis de la Paz, invitados por el diputado Armando</w:t>
      </w:r>
      <w:r>
        <w:rPr>
          <w:rFonts w:ascii="Abadi" w:hAnsi="Abadi" w:cs="Verdana"/>
          <w:sz w:val="21"/>
          <w:szCs w:val="21"/>
        </w:rPr>
        <w:t xml:space="preserve"> </w:t>
      </w:r>
      <w:r w:rsidRPr="00CF79E5">
        <w:rPr>
          <w:rFonts w:ascii="Abadi" w:hAnsi="Abadi" w:cs="Verdana"/>
          <w:sz w:val="21"/>
          <w:szCs w:val="21"/>
        </w:rPr>
        <w:t xml:space="preserve">Rangel Hernández. - - - - - </w:t>
      </w:r>
      <w:r w:rsidR="0083781E">
        <w:rPr>
          <w:rFonts w:ascii="Abadi" w:hAnsi="Abadi" w:cs="Verdana"/>
          <w:sz w:val="21"/>
          <w:szCs w:val="21"/>
        </w:rPr>
        <w:t xml:space="preserve">- - - - - - </w:t>
      </w:r>
    </w:p>
    <w:p w14:paraId="23029C62" w14:textId="41AE9D8B" w:rsidR="00EE744D"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En votación económica -en la modalidad electrónica- se aprobó por unanimidad de los</w:t>
      </w:r>
      <w:r>
        <w:rPr>
          <w:rFonts w:ascii="Abadi" w:hAnsi="Abadi" w:cs="Verdana"/>
          <w:sz w:val="21"/>
          <w:szCs w:val="21"/>
        </w:rPr>
        <w:t xml:space="preserve"> </w:t>
      </w:r>
      <w:r w:rsidRPr="00CF79E5">
        <w:rPr>
          <w:rFonts w:ascii="Abadi" w:hAnsi="Abadi" w:cs="Verdana"/>
          <w:sz w:val="21"/>
          <w:szCs w:val="21"/>
        </w:rPr>
        <w:t>presentes, sin discusión, con treinta y dos votos, la dispensa de lectura del acta de la sesión</w:t>
      </w:r>
      <w:r>
        <w:rPr>
          <w:rFonts w:ascii="Abadi" w:hAnsi="Abadi" w:cs="Verdana"/>
          <w:sz w:val="21"/>
          <w:szCs w:val="21"/>
        </w:rPr>
        <w:t xml:space="preserve"> </w:t>
      </w:r>
      <w:r w:rsidRPr="00CF79E5">
        <w:rPr>
          <w:rFonts w:ascii="Abadi" w:hAnsi="Abadi" w:cs="Verdana"/>
          <w:sz w:val="21"/>
          <w:szCs w:val="21"/>
        </w:rPr>
        <w:t>ordinaria celebrada el ocho de junio del año en curso. En la misma modalidad, se aprobó por</w:t>
      </w:r>
      <w:r>
        <w:rPr>
          <w:rFonts w:ascii="Abadi" w:hAnsi="Abadi" w:cs="Verdana"/>
          <w:sz w:val="21"/>
          <w:szCs w:val="21"/>
        </w:rPr>
        <w:t xml:space="preserve"> </w:t>
      </w:r>
      <w:r w:rsidRPr="00CF79E5">
        <w:rPr>
          <w:rFonts w:ascii="Abadi" w:hAnsi="Abadi" w:cs="Verdana"/>
          <w:sz w:val="21"/>
          <w:szCs w:val="21"/>
        </w:rPr>
        <w:t>unanimidad de los presentes, sin discusión, el acta de referencia, con treinta y dos votos. - - - - -</w:t>
      </w:r>
      <w:r>
        <w:rPr>
          <w:rFonts w:ascii="Abadi" w:hAnsi="Abadi" w:cs="Verdana"/>
          <w:sz w:val="21"/>
          <w:szCs w:val="21"/>
        </w:rPr>
        <w:t xml:space="preserve"> - </w:t>
      </w:r>
      <w:r w:rsidR="0083781E">
        <w:rPr>
          <w:rFonts w:ascii="Abadi" w:hAnsi="Abadi" w:cs="Verdana"/>
          <w:sz w:val="21"/>
          <w:szCs w:val="21"/>
        </w:rPr>
        <w:t xml:space="preserve"> - - - - - - - -</w:t>
      </w:r>
    </w:p>
    <w:p w14:paraId="36361765" w14:textId="2198E4D8"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la bienvenida a niños, apoyos y colaboradores del Centro de</w:t>
      </w:r>
      <w:r>
        <w:rPr>
          <w:rFonts w:ascii="Abadi" w:hAnsi="Abadi" w:cs="Verdana"/>
          <w:sz w:val="21"/>
          <w:szCs w:val="21"/>
        </w:rPr>
        <w:t xml:space="preserve"> </w:t>
      </w:r>
      <w:r w:rsidRPr="00CF79E5">
        <w:rPr>
          <w:rFonts w:ascii="Abadi" w:hAnsi="Abadi" w:cs="Verdana"/>
          <w:sz w:val="21"/>
          <w:szCs w:val="21"/>
        </w:rPr>
        <w:t xml:space="preserve">Rehabilitación e Inclusión Infantil Teletón Guanajuato, invitados por este Congreso del </w:t>
      </w:r>
      <w:proofErr w:type="gramStart"/>
      <w:r w:rsidRPr="00CF79E5">
        <w:rPr>
          <w:rFonts w:ascii="Abadi" w:hAnsi="Abadi" w:cs="Verdana"/>
          <w:sz w:val="21"/>
          <w:szCs w:val="21"/>
        </w:rPr>
        <w:t>Estado.</w:t>
      </w:r>
      <w:r>
        <w:rPr>
          <w:rFonts w:ascii="Abadi" w:hAnsi="Abadi" w:cs="Verdana"/>
          <w:sz w:val="21"/>
          <w:szCs w:val="21"/>
        </w:rPr>
        <w:t>-</w:t>
      </w:r>
      <w:proofErr w:type="gramEnd"/>
      <w:r>
        <w:rPr>
          <w:rFonts w:ascii="Abadi" w:hAnsi="Abadi" w:cs="Verdana"/>
          <w:sz w:val="21"/>
          <w:szCs w:val="21"/>
        </w:rPr>
        <w:t xml:space="preserve"> - - </w:t>
      </w:r>
      <w:r w:rsidR="0083781E">
        <w:rPr>
          <w:rFonts w:ascii="Abadi" w:hAnsi="Abadi" w:cs="Verdana"/>
          <w:sz w:val="21"/>
          <w:szCs w:val="21"/>
        </w:rPr>
        <w:t xml:space="preserve">- - - - - - - - - - - - - - - - - - - - - - - </w:t>
      </w:r>
    </w:p>
    <w:p w14:paraId="542C5595" w14:textId="5680983A"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En votación económica -en la modalidad electrónica- se aprobó por unanimidad de los</w:t>
      </w:r>
      <w:r>
        <w:rPr>
          <w:rFonts w:ascii="Abadi" w:hAnsi="Abadi" w:cs="Verdana"/>
          <w:sz w:val="21"/>
          <w:szCs w:val="21"/>
        </w:rPr>
        <w:t xml:space="preserve"> </w:t>
      </w:r>
      <w:r w:rsidRPr="00CF79E5">
        <w:rPr>
          <w:rFonts w:ascii="Abadi" w:hAnsi="Abadi" w:cs="Verdana"/>
          <w:sz w:val="21"/>
          <w:szCs w:val="21"/>
        </w:rPr>
        <w:t>presentes, sin discusión, con treinta y dos votos, la dispensa de lectura de las comunicaciones y</w:t>
      </w:r>
      <w:r>
        <w:rPr>
          <w:rFonts w:ascii="Abadi" w:hAnsi="Abadi" w:cs="Verdana"/>
          <w:sz w:val="21"/>
          <w:szCs w:val="21"/>
        </w:rPr>
        <w:t xml:space="preserve"> </w:t>
      </w:r>
      <w:r w:rsidRPr="00CF79E5">
        <w:rPr>
          <w:rFonts w:ascii="Abadi" w:hAnsi="Abadi" w:cs="Verdana"/>
          <w:sz w:val="21"/>
          <w:szCs w:val="21"/>
        </w:rPr>
        <w:t>correspondencia recibidas, en razón de encontrarse en la Gaceta Parlamentaria. La presidencia</w:t>
      </w:r>
      <w:r>
        <w:rPr>
          <w:rFonts w:ascii="Abadi" w:hAnsi="Abadi" w:cs="Verdana"/>
          <w:sz w:val="21"/>
          <w:szCs w:val="21"/>
        </w:rPr>
        <w:t xml:space="preserve"> </w:t>
      </w:r>
      <w:r w:rsidRPr="00CF79E5">
        <w:rPr>
          <w:rFonts w:ascii="Abadi" w:hAnsi="Abadi" w:cs="Verdana"/>
          <w:sz w:val="21"/>
          <w:szCs w:val="21"/>
        </w:rPr>
        <w:t xml:space="preserve">ordenó ejecutar los acuerdos dictados a las comunicaciones y correspondencia recibidas. - </w:t>
      </w:r>
    </w:p>
    <w:p w14:paraId="43DC1171" w14:textId="202130FF"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cuenta con la iniciativa suscrita por las diputadas y los diputados</w:t>
      </w:r>
      <w:r>
        <w:rPr>
          <w:rFonts w:ascii="Abadi" w:hAnsi="Abadi" w:cs="Verdana"/>
          <w:sz w:val="21"/>
          <w:szCs w:val="21"/>
        </w:rPr>
        <w:t xml:space="preserve"> </w:t>
      </w:r>
      <w:r w:rsidRPr="00CF79E5">
        <w:rPr>
          <w:rFonts w:ascii="Abadi" w:hAnsi="Abadi" w:cs="Verdana"/>
          <w:sz w:val="21"/>
          <w:szCs w:val="21"/>
        </w:rPr>
        <w:t>integrantes de la Comisión de Derechos Humanos y Atención a Grupo Vulnerables por la que se</w:t>
      </w:r>
      <w:r>
        <w:rPr>
          <w:rFonts w:ascii="Abadi" w:hAnsi="Abadi" w:cs="Verdana"/>
          <w:sz w:val="21"/>
          <w:szCs w:val="21"/>
        </w:rPr>
        <w:t xml:space="preserve"> </w:t>
      </w:r>
      <w:r w:rsidRPr="00CF79E5">
        <w:rPr>
          <w:rFonts w:ascii="Abadi" w:hAnsi="Abadi" w:cs="Verdana"/>
          <w:sz w:val="21"/>
          <w:szCs w:val="21"/>
        </w:rPr>
        <w:t>reforman, adicionan y derogan diversas disposiciones de la Ley para la Búsqueda de Personas</w:t>
      </w:r>
      <w:r>
        <w:rPr>
          <w:rFonts w:ascii="Abadi" w:hAnsi="Abadi" w:cs="Verdana"/>
          <w:sz w:val="21"/>
          <w:szCs w:val="21"/>
        </w:rPr>
        <w:t xml:space="preserve"> </w:t>
      </w:r>
      <w:r w:rsidRPr="00CF79E5">
        <w:rPr>
          <w:rFonts w:ascii="Abadi" w:hAnsi="Abadi" w:cs="Verdana"/>
          <w:sz w:val="21"/>
          <w:szCs w:val="21"/>
        </w:rPr>
        <w:t>Desaparecidas en el Estado de Guanajuato (ELD 523/LXV-I); y la turnó a la Comisión de</w:t>
      </w:r>
      <w:r>
        <w:rPr>
          <w:rFonts w:ascii="Abadi" w:hAnsi="Abadi" w:cs="Verdana"/>
          <w:sz w:val="21"/>
          <w:szCs w:val="21"/>
        </w:rPr>
        <w:t xml:space="preserve"> </w:t>
      </w:r>
      <w:r w:rsidRPr="00CF79E5">
        <w:rPr>
          <w:rFonts w:ascii="Abadi" w:hAnsi="Abadi" w:cs="Verdana"/>
          <w:sz w:val="21"/>
          <w:szCs w:val="21"/>
        </w:rPr>
        <w:t>Gobernación y Puntos Constitucionales, con fundamento en el artículo ciento once -fracción</w:t>
      </w:r>
      <w:r>
        <w:rPr>
          <w:rFonts w:ascii="Abadi" w:hAnsi="Abadi" w:cs="Verdana"/>
          <w:sz w:val="21"/>
          <w:szCs w:val="21"/>
        </w:rPr>
        <w:t xml:space="preserve">  </w:t>
      </w:r>
      <w:r w:rsidRPr="00CF79E5">
        <w:rPr>
          <w:rFonts w:ascii="Abadi" w:hAnsi="Abadi" w:cs="Verdana"/>
          <w:sz w:val="21"/>
          <w:szCs w:val="21"/>
        </w:rPr>
        <w:t>segunda- de la Ley Orgánica del Poder Legislativo del Estado, para estudio y dictamen. - - - - - -</w:t>
      </w:r>
      <w:r>
        <w:rPr>
          <w:rFonts w:ascii="Abadi" w:hAnsi="Abadi" w:cs="Verdana"/>
          <w:sz w:val="21"/>
          <w:szCs w:val="21"/>
        </w:rPr>
        <w:t xml:space="preserve"> - - - </w:t>
      </w:r>
    </w:p>
    <w:p w14:paraId="6C95ED7F" w14:textId="171B2D14" w:rsidR="00EE744D" w:rsidRPr="00CF79E5" w:rsidRDefault="004A4754"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A petición de la presidencia, el diputado Armando Rangel Hernández dio lectura a la</w:t>
      </w:r>
      <w:r w:rsidR="00EE744D">
        <w:rPr>
          <w:rFonts w:ascii="Abadi" w:hAnsi="Abadi" w:cs="Verdana"/>
          <w:sz w:val="21"/>
          <w:szCs w:val="21"/>
        </w:rPr>
        <w:t xml:space="preserve"> </w:t>
      </w:r>
      <w:r w:rsidR="00EE744D" w:rsidRPr="00CF79E5">
        <w:rPr>
          <w:rFonts w:ascii="Abadi" w:hAnsi="Abadi" w:cs="Verdana"/>
          <w:sz w:val="21"/>
          <w:szCs w:val="21"/>
        </w:rPr>
        <w:t>exposición de motivos de la iniciativa de Ley Municipal para el Estado de Guanajuato formulada</w:t>
      </w:r>
      <w:r w:rsidR="00EE744D">
        <w:rPr>
          <w:rFonts w:ascii="Abadi" w:hAnsi="Abadi" w:cs="Verdana"/>
          <w:sz w:val="21"/>
          <w:szCs w:val="21"/>
        </w:rPr>
        <w:t xml:space="preserve"> </w:t>
      </w:r>
      <w:r w:rsidR="00EE744D" w:rsidRPr="00CF79E5">
        <w:rPr>
          <w:rFonts w:ascii="Abadi" w:hAnsi="Abadi" w:cs="Verdana"/>
          <w:sz w:val="21"/>
          <w:szCs w:val="21"/>
        </w:rPr>
        <w:t>por diputadas y diputados integrantes del Grupo Parlamentario del Partido Acción Nacional (ELD</w:t>
      </w:r>
      <w:r w:rsidR="00EE744D">
        <w:rPr>
          <w:rFonts w:ascii="Abadi" w:hAnsi="Abadi" w:cs="Verdana"/>
          <w:sz w:val="21"/>
          <w:szCs w:val="21"/>
        </w:rPr>
        <w:t xml:space="preserve"> </w:t>
      </w:r>
      <w:r w:rsidR="00EE744D" w:rsidRPr="00CF79E5">
        <w:rPr>
          <w:rFonts w:ascii="Abadi" w:hAnsi="Abadi" w:cs="Verdana"/>
          <w:sz w:val="21"/>
          <w:szCs w:val="21"/>
        </w:rPr>
        <w:t>524/LXV-I). Terminada la lectura, la presidencia turnó la iniciativa a la Comisión de Asuntos</w:t>
      </w:r>
      <w:r w:rsidR="00EE744D">
        <w:rPr>
          <w:rFonts w:ascii="Abadi" w:hAnsi="Abadi" w:cs="Verdana"/>
          <w:sz w:val="21"/>
          <w:szCs w:val="21"/>
        </w:rPr>
        <w:t xml:space="preserve"> </w:t>
      </w:r>
      <w:r w:rsidR="00EE744D" w:rsidRPr="00CF79E5">
        <w:rPr>
          <w:rFonts w:ascii="Abadi" w:hAnsi="Abadi" w:cs="Verdana"/>
          <w:sz w:val="21"/>
          <w:szCs w:val="21"/>
        </w:rPr>
        <w:t xml:space="preserve">Municipales, para su estudio y dictamen, con fundamento en el artículo ciento </w:t>
      </w:r>
      <w:r w:rsidR="00EE744D" w:rsidRPr="00CF79E5">
        <w:rPr>
          <w:rFonts w:ascii="Abadi" w:hAnsi="Abadi" w:cs="Verdana"/>
          <w:sz w:val="21"/>
          <w:szCs w:val="21"/>
        </w:rPr>
        <w:lastRenderedPageBreak/>
        <w:t>cuatro -fracción</w:t>
      </w:r>
      <w:r w:rsidR="00EE744D">
        <w:rPr>
          <w:rFonts w:ascii="Abadi" w:hAnsi="Abadi" w:cs="Verdana"/>
          <w:sz w:val="21"/>
          <w:szCs w:val="21"/>
        </w:rPr>
        <w:t xml:space="preserve"> </w:t>
      </w:r>
      <w:r w:rsidR="00EE744D" w:rsidRPr="00CF79E5">
        <w:rPr>
          <w:rFonts w:ascii="Abadi" w:hAnsi="Abadi" w:cs="Verdana"/>
          <w:sz w:val="21"/>
          <w:szCs w:val="21"/>
        </w:rPr>
        <w:t xml:space="preserve">primera- de la Ley Orgánica del Poder Legislativo del Estado. - - - - - - - - - </w:t>
      </w:r>
    </w:p>
    <w:p w14:paraId="4EC50BFC" w14:textId="4D0B5738"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diputada Ruth Noemí Tiscareño Agoitia, a solicitud de la presidencia, dio lectura a la</w:t>
      </w:r>
      <w:r>
        <w:rPr>
          <w:rFonts w:ascii="Abadi" w:hAnsi="Abadi" w:cs="Verdana"/>
          <w:sz w:val="21"/>
          <w:szCs w:val="21"/>
        </w:rPr>
        <w:t xml:space="preserve"> </w:t>
      </w:r>
      <w:r w:rsidRPr="00CF79E5">
        <w:rPr>
          <w:rFonts w:ascii="Abadi" w:hAnsi="Abadi" w:cs="Verdana"/>
          <w:sz w:val="21"/>
          <w:szCs w:val="21"/>
        </w:rPr>
        <w:t>exposición de motivos de la iniciativa suscrita por diputada y diputados integrantes del Grupo</w:t>
      </w:r>
      <w:r>
        <w:rPr>
          <w:rFonts w:ascii="Abadi" w:hAnsi="Abadi" w:cs="Verdana"/>
          <w:sz w:val="21"/>
          <w:szCs w:val="21"/>
        </w:rPr>
        <w:t xml:space="preserve"> </w:t>
      </w:r>
      <w:r w:rsidRPr="00CF79E5">
        <w:rPr>
          <w:rFonts w:ascii="Abadi" w:hAnsi="Abadi" w:cs="Verdana"/>
          <w:sz w:val="21"/>
          <w:szCs w:val="21"/>
        </w:rPr>
        <w:t>Parlamentario del Partido Revolucionario Institucional a efecto de reformar los artículos trescientos</w:t>
      </w:r>
      <w:r>
        <w:rPr>
          <w:rFonts w:ascii="Abadi" w:hAnsi="Abadi" w:cs="Verdana"/>
          <w:sz w:val="21"/>
          <w:szCs w:val="21"/>
        </w:rPr>
        <w:t xml:space="preserve"> </w:t>
      </w:r>
      <w:r w:rsidRPr="00CF79E5">
        <w:rPr>
          <w:rFonts w:ascii="Abadi" w:hAnsi="Abadi" w:cs="Verdana"/>
          <w:sz w:val="21"/>
          <w:szCs w:val="21"/>
        </w:rPr>
        <w:t>treinta y seis, fracción séptima, trescientos treinta y siete, fracción segunda y cuatrocientos</w:t>
      </w:r>
      <w:r>
        <w:rPr>
          <w:rFonts w:ascii="Abadi" w:hAnsi="Abadi" w:cs="Verdana"/>
          <w:sz w:val="21"/>
          <w:szCs w:val="21"/>
        </w:rPr>
        <w:t xml:space="preserve"> </w:t>
      </w:r>
      <w:r w:rsidRPr="00CF79E5">
        <w:rPr>
          <w:rFonts w:ascii="Abadi" w:hAnsi="Abadi" w:cs="Verdana"/>
          <w:sz w:val="21"/>
          <w:szCs w:val="21"/>
        </w:rPr>
        <w:t>setenta y cuatro-A, primero, segundo y cuarto párrafos; y adicionar un tercer párrafo al artículo</w:t>
      </w:r>
      <w:r>
        <w:rPr>
          <w:rFonts w:ascii="Abadi" w:hAnsi="Abadi" w:cs="Verdana"/>
          <w:sz w:val="21"/>
          <w:szCs w:val="21"/>
        </w:rPr>
        <w:t xml:space="preserve"> </w:t>
      </w:r>
      <w:r w:rsidRPr="00CF79E5">
        <w:rPr>
          <w:rFonts w:ascii="Abadi" w:hAnsi="Abadi" w:cs="Verdana"/>
          <w:sz w:val="21"/>
          <w:szCs w:val="21"/>
        </w:rPr>
        <w:t>cuatrocientos setenta y cuatro-A, recorriéndose los subsecuentes del Código Civil para el Estado</w:t>
      </w:r>
      <w:r>
        <w:rPr>
          <w:rFonts w:ascii="Abadi" w:hAnsi="Abadi" w:cs="Verdana"/>
          <w:sz w:val="21"/>
          <w:szCs w:val="21"/>
        </w:rPr>
        <w:t xml:space="preserve"> </w:t>
      </w:r>
      <w:r w:rsidRPr="00CF79E5">
        <w:rPr>
          <w:rFonts w:ascii="Abadi" w:hAnsi="Abadi" w:cs="Verdana"/>
          <w:sz w:val="21"/>
          <w:szCs w:val="21"/>
        </w:rPr>
        <w:t>de Guanajuato (ELD 525/LXV-I). Concluida la lectura, la presidencia turnó la iniciativa a la</w:t>
      </w:r>
      <w:r>
        <w:rPr>
          <w:rFonts w:ascii="Abadi" w:hAnsi="Abadi" w:cs="Verdana"/>
          <w:sz w:val="21"/>
          <w:szCs w:val="21"/>
        </w:rPr>
        <w:t xml:space="preserve"> </w:t>
      </w:r>
      <w:r w:rsidRPr="00CF79E5">
        <w:rPr>
          <w:rFonts w:ascii="Abadi" w:hAnsi="Abadi" w:cs="Verdana"/>
          <w:sz w:val="21"/>
          <w:szCs w:val="21"/>
        </w:rPr>
        <w:t>Comisión de Justicia, para su estudio y dictamen, con fundamento en el artículo ciento trece -</w:t>
      </w:r>
      <w:r>
        <w:rPr>
          <w:rFonts w:ascii="Abadi" w:hAnsi="Abadi" w:cs="Verdana"/>
          <w:sz w:val="21"/>
          <w:szCs w:val="21"/>
        </w:rPr>
        <w:t xml:space="preserve"> </w:t>
      </w:r>
      <w:r w:rsidRPr="00CF79E5">
        <w:rPr>
          <w:rFonts w:ascii="Abadi" w:hAnsi="Abadi" w:cs="Verdana"/>
          <w:sz w:val="21"/>
          <w:szCs w:val="21"/>
        </w:rPr>
        <w:t xml:space="preserve">fracción segunda- de la Ley Orgánica del Poder Legislativo del Estado. - - - - - - - - - - - </w:t>
      </w:r>
    </w:p>
    <w:p w14:paraId="215F6472" w14:textId="68E4DFCC" w:rsidR="00EE744D" w:rsidRPr="00CF79E5" w:rsidRDefault="00EE744D" w:rsidP="004A4754">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Por indicación de la presidencia, la diputada Laura Cristina Márquez Alcalá dio lectura a</w:t>
      </w:r>
      <w:r>
        <w:rPr>
          <w:rFonts w:ascii="Abadi" w:hAnsi="Abadi" w:cs="Verdana"/>
          <w:sz w:val="21"/>
          <w:szCs w:val="21"/>
        </w:rPr>
        <w:t xml:space="preserve"> </w:t>
      </w:r>
      <w:r w:rsidRPr="00CF79E5">
        <w:rPr>
          <w:rFonts w:ascii="Abadi" w:hAnsi="Abadi" w:cs="Verdana"/>
          <w:sz w:val="21"/>
          <w:szCs w:val="21"/>
        </w:rPr>
        <w:t>la exposición de motivos de la iniciativa formulada por diputadas y diputados integrantes del Grupo</w:t>
      </w:r>
      <w:r>
        <w:rPr>
          <w:rFonts w:ascii="Abadi" w:hAnsi="Abadi" w:cs="Verdana"/>
          <w:sz w:val="21"/>
          <w:szCs w:val="21"/>
        </w:rPr>
        <w:t xml:space="preserve"> </w:t>
      </w:r>
      <w:r w:rsidRPr="00CF79E5">
        <w:rPr>
          <w:rFonts w:ascii="Abadi" w:hAnsi="Abadi" w:cs="Verdana"/>
          <w:sz w:val="21"/>
          <w:szCs w:val="21"/>
        </w:rPr>
        <w:t>Parlamentario del Partido Acción Nacional mediante la cual se reforma el tercer párrafo del artículo</w:t>
      </w:r>
      <w:r w:rsidR="004A4754">
        <w:rPr>
          <w:rFonts w:ascii="Abadi" w:hAnsi="Abadi" w:cs="Verdana"/>
          <w:sz w:val="21"/>
          <w:szCs w:val="21"/>
        </w:rPr>
        <w:t xml:space="preserve">  </w:t>
      </w:r>
      <w:r w:rsidRPr="00CF79E5">
        <w:rPr>
          <w:rFonts w:ascii="Abadi" w:hAnsi="Abadi" w:cs="Verdana"/>
          <w:sz w:val="21"/>
          <w:szCs w:val="21"/>
        </w:rPr>
        <w:t>diez y adicionan un inciso b a la fracción segunda del artículo diez, recorriéndose en su orden los</w:t>
      </w:r>
      <w:r>
        <w:rPr>
          <w:rFonts w:ascii="Abadi" w:hAnsi="Abadi" w:cs="Verdana"/>
          <w:sz w:val="21"/>
          <w:szCs w:val="21"/>
        </w:rPr>
        <w:t xml:space="preserve"> </w:t>
      </w:r>
      <w:r w:rsidRPr="00CF79E5">
        <w:rPr>
          <w:rFonts w:ascii="Abadi" w:hAnsi="Abadi" w:cs="Verdana"/>
          <w:sz w:val="21"/>
          <w:szCs w:val="21"/>
        </w:rPr>
        <w:t>subsecuentes y el artículo veinticinco Bis a la Ley Orgánica de la Fiscalía General del Estado de</w:t>
      </w:r>
      <w:r>
        <w:rPr>
          <w:rFonts w:ascii="Abadi" w:hAnsi="Abadi" w:cs="Verdana"/>
          <w:sz w:val="21"/>
          <w:szCs w:val="21"/>
        </w:rPr>
        <w:t xml:space="preserve"> </w:t>
      </w:r>
      <w:r w:rsidRPr="00CF79E5">
        <w:rPr>
          <w:rFonts w:ascii="Abadi" w:hAnsi="Abadi" w:cs="Verdana"/>
          <w:sz w:val="21"/>
          <w:szCs w:val="21"/>
        </w:rPr>
        <w:t>Guanajuato (ELD 526/LXV-I). Una vez lo cual, la presidencia turnó la iniciativa a la Comisión de</w:t>
      </w:r>
      <w:r>
        <w:rPr>
          <w:rFonts w:ascii="Abadi" w:hAnsi="Abadi" w:cs="Verdana"/>
          <w:sz w:val="21"/>
          <w:szCs w:val="21"/>
        </w:rPr>
        <w:t xml:space="preserve"> </w:t>
      </w:r>
      <w:r w:rsidRPr="00CF79E5">
        <w:rPr>
          <w:rFonts w:ascii="Abadi" w:hAnsi="Abadi" w:cs="Verdana"/>
          <w:sz w:val="21"/>
          <w:szCs w:val="21"/>
        </w:rPr>
        <w:t>Justicia, con fundamento en el artículo ciento trece -fracción tercera- de la Ley Orgánica del Poder</w:t>
      </w:r>
      <w:r>
        <w:rPr>
          <w:rFonts w:ascii="Abadi" w:hAnsi="Abadi" w:cs="Verdana"/>
          <w:sz w:val="21"/>
          <w:szCs w:val="21"/>
        </w:rPr>
        <w:t xml:space="preserve"> </w:t>
      </w:r>
      <w:r w:rsidRPr="00CF79E5">
        <w:rPr>
          <w:rFonts w:ascii="Abadi" w:hAnsi="Abadi" w:cs="Verdana"/>
          <w:sz w:val="21"/>
          <w:szCs w:val="21"/>
        </w:rPr>
        <w:t>Legislativo del Estado para estudio y dictamen; asimismo, la remitió para su opinión a la Comisión</w:t>
      </w:r>
      <w:r w:rsidR="004A4754">
        <w:rPr>
          <w:rFonts w:ascii="Abadi" w:hAnsi="Abadi" w:cs="Verdana"/>
          <w:sz w:val="21"/>
          <w:szCs w:val="21"/>
        </w:rPr>
        <w:t xml:space="preserve"> </w:t>
      </w:r>
      <w:r w:rsidRPr="00CF79E5">
        <w:rPr>
          <w:rFonts w:ascii="Abadi" w:hAnsi="Abadi" w:cs="Verdana"/>
          <w:sz w:val="21"/>
          <w:szCs w:val="21"/>
        </w:rPr>
        <w:t>para la Igualdad de Género, con fundamento en los artículos cincuenta y nueve -fracción décima</w:t>
      </w:r>
      <w:proofErr w:type="gramStart"/>
      <w:r w:rsidRPr="00CF79E5">
        <w:rPr>
          <w:rFonts w:ascii="Abadi" w:hAnsi="Abadi" w:cs="Verdana"/>
          <w:sz w:val="21"/>
          <w:szCs w:val="21"/>
        </w:rPr>
        <w:t>-</w:t>
      </w:r>
      <w:r>
        <w:rPr>
          <w:rFonts w:ascii="Abadi" w:hAnsi="Abadi" w:cs="Verdana"/>
          <w:sz w:val="21"/>
          <w:szCs w:val="21"/>
        </w:rPr>
        <w:t xml:space="preserve">  </w:t>
      </w:r>
      <w:r w:rsidRPr="00CF79E5">
        <w:rPr>
          <w:rFonts w:ascii="Abadi" w:hAnsi="Abadi" w:cs="Verdana"/>
          <w:sz w:val="21"/>
          <w:szCs w:val="21"/>
        </w:rPr>
        <w:t>segundo</w:t>
      </w:r>
      <w:proofErr w:type="gramEnd"/>
      <w:r w:rsidRPr="00CF79E5">
        <w:rPr>
          <w:rFonts w:ascii="Abadi" w:hAnsi="Abadi" w:cs="Verdana"/>
          <w:sz w:val="21"/>
          <w:szCs w:val="21"/>
        </w:rPr>
        <w:t xml:space="preserve"> párrafo y ciento dieciséis -fracción quinta- de la citada ley. - - - </w:t>
      </w:r>
      <w:r w:rsidR="0012414E">
        <w:rPr>
          <w:rFonts w:ascii="Abadi" w:hAnsi="Abadi" w:cs="Verdana"/>
          <w:sz w:val="21"/>
          <w:szCs w:val="21"/>
        </w:rPr>
        <w:t xml:space="preserve">- - - - - - - - - - - - - - - - - - - </w:t>
      </w:r>
    </w:p>
    <w:p w14:paraId="639D23B5" w14:textId="77777777"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Por instrucción de la presidencia, la diputada Martha Lourdes Ortega Roque dio lectura a</w:t>
      </w:r>
      <w:r>
        <w:rPr>
          <w:rFonts w:ascii="Abadi" w:hAnsi="Abadi" w:cs="Verdana"/>
          <w:sz w:val="21"/>
          <w:szCs w:val="21"/>
        </w:rPr>
        <w:t xml:space="preserve"> </w:t>
      </w:r>
      <w:r w:rsidRPr="00CF79E5">
        <w:rPr>
          <w:rFonts w:ascii="Abadi" w:hAnsi="Abadi" w:cs="Verdana"/>
          <w:sz w:val="21"/>
          <w:szCs w:val="21"/>
        </w:rPr>
        <w:t>la exposición de motivos de la iniciativa suscrita por ella y el diputado integrantes del Grupo</w:t>
      </w:r>
      <w:r>
        <w:rPr>
          <w:rFonts w:ascii="Abadi" w:hAnsi="Abadi" w:cs="Verdana"/>
          <w:sz w:val="21"/>
          <w:szCs w:val="21"/>
        </w:rPr>
        <w:t xml:space="preserve"> </w:t>
      </w:r>
      <w:r w:rsidRPr="00CF79E5">
        <w:rPr>
          <w:rFonts w:ascii="Abadi" w:hAnsi="Abadi" w:cs="Verdana"/>
          <w:sz w:val="21"/>
          <w:szCs w:val="21"/>
        </w:rPr>
        <w:t>Parlamentario del Partido Verde Ecologista de México a efecto de adicionar la fracción décima al</w:t>
      </w:r>
      <w:r>
        <w:rPr>
          <w:rFonts w:ascii="Abadi" w:hAnsi="Abadi" w:cs="Verdana"/>
          <w:sz w:val="21"/>
          <w:szCs w:val="21"/>
        </w:rPr>
        <w:t xml:space="preserve"> </w:t>
      </w:r>
      <w:r w:rsidRPr="00CF79E5">
        <w:rPr>
          <w:rFonts w:ascii="Abadi" w:hAnsi="Abadi" w:cs="Verdana"/>
          <w:sz w:val="21"/>
          <w:szCs w:val="21"/>
        </w:rPr>
        <w:t>artículo cuarenta y nueve, recorriendo en su orden las subsecuentes de la Ley de Cambio Climático</w:t>
      </w:r>
    </w:p>
    <w:p w14:paraId="1E6FBCBC" w14:textId="77CD49DF" w:rsidR="00EE744D"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para el Estado de Guanajuato y sus Municipios (ELD 527/LXV-I). Concluida la lectura, la</w:t>
      </w:r>
      <w:r>
        <w:rPr>
          <w:rFonts w:ascii="Abadi" w:hAnsi="Abadi" w:cs="Verdana"/>
          <w:sz w:val="21"/>
          <w:szCs w:val="21"/>
        </w:rPr>
        <w:t xml:space="preserve"> </w:t>
      </w:r>
      <w:r w:rsidRPr="00CF79E5">
        <w:rPr>
          <w:rFonts w:ascii="Abadi" w:hAnsi="Abadi" w:cs="Verdana"/>
          <w:sz w:val="21"/>
          <w:szCs w:val="21"/>
        </w:rPr>
        <w:t xml:space="preserve">presidencia turnó la iniciativa a la Comisión de </w:t>
      </w:r>
      <w:r w:rsidRPr="00CF79E5">
        <w:rPr>
          <w:rFonts w:ascii="Abadi" w:hAnsi="Abadi" w:cs="Verdana"/>
          <w:sz w:val="21"/>
          <w:szCs w:val="21"/>
        </w:rPr>
        <w:t>Medio Ambiente, para su estudio y dictamen, con</w:t>
      </w:r>
      <w:r>
        <w:rPr>
          <w:rFonts w:ascii="Abadi" w:hAnsi="Abadi" w:cs="Verdana"/>
          <w:sz w:val="21"/>
          <w:szCs w:val="21"/>
        </w:rPr>
        <w:t xml:space="preserve"> </w:t>
      </w:r>
      <w:r w:rsidRPr="00CF79E5">
        <w:rPr>
          <w:rFonts w:ascii="Abadi" w:hAnsi="Abadi" w:cs="Verdana"/>
          <w:sz w:val="21"/>
          <w:szCs w:val="21"/>
        </w:rPr>
        <w:t>fundamento en el artículo ciento quince -fracción primera- de la Ley Orgánica del Poder Legislativo</w:t>
      </w:r>
      <w:r>
        <w:rPr>
          <w:rFonts w:ascii="Abadi" w:hAnsi="Abadi" w:cs="Verdana"/>
          <w:sz w:val="21"/>
          <w:szCs w:val="21"/>
        </w:rPr>
        <w:t xml:space="preserve"> </w:t>
      </w:r>
      <w:r w:rsidRPr="00CF79E5">
        <w:rPr>
          <w:rFonts w:ascii="Abadi" w:hAnsi="Abadi" w:cs="Verdana"/>
          <w:sz w:val="21"/>
          <w:szCs w:val="21"/>
        </w:rPr>
        <w:t>del Estado.</w:t>
      </w:r>
      <w:r w:rsidR="004A4754">
        <w:rPr>
          <w:rFonts w:ascii="Abadi" w:hAnsi="Abadi" w:cs="Verdana"/>
          <w:sz w:val="21"/>
          <w:szCs w:val="21"/>
        </w:rPr>
        <w:t xml:space="preserve"> - - - - - - - - - - - - - - - -</w:t>
      </w:r>
      <w:r w:rsidRPr="00CF79E5">
        <w:rPr>
          <w:rFonts w:ascii="Abadi" w:hAnsi="Abadi" w:cs="Verdana"/>
          <w:sz w:val="21"/>
          <w:szCs w:val="21"/>
        </w:rPr>
        <w:t xml:space="preserve"> </w:t>
      </w:r>
    </w:p>
    <w:p w14:paraId="3FA833F1" w14:textId="10A5C641"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solicitud de la presidencia, el diputado Gustavo Adolfo Alfaro Reyes dio lectura a la</w:t>
      </w:r>
      <w:r>
        <w:rPr>
          <w:rFonts w:ascii="Abadi" w:hAnsi="Abadi" w:cs="Verdana"/>
          <w:sz w:val="21"/>
          <w:szCs w:val="21"/>
        </w:rPr>
        <w:t xml:space="preserve"> </w:t>
      </w:r>
      <w:r w:rsidRPr="00CF79E5">
        <w:rPr>
          <w:rFonts w:ascii="Abadi" w:hAnsi="Abadi" w:cs="Verdana"/>
          <w:sz w:val="21"/>
          <w:szCs w:val="21"/>
        </w:rPr>
        <w:t>exposición de motivos de la iniciativa formulada por diputada y diputados integrantes del Grupo</w:t>
      </w:r>
      <w:r>
        <w:rPr>
          <w:rFonts w:ascii="Abadi" w:hAnsi="Abadi" w:cs="Verdana"/>
          <w:sz w:val="21"/>
          <w:szCs w:val="21"/>
        </w:rPr>
        <w:t xml:space="preserve"> </w:t>
      </w:r>
      <w:r w:rsidRPr="00CF79E5">
        <w:rPr>
          <w:rFonts w:ascii="Abadi" w:hAnsi="Abadi" w:cs="Verdana"/>
          <w:sz w:val="21"/>
          <w:szCs w:val="21"/>
        </w:rPr>
        <w:t>Parlamentario del Partido Revolucionario Institucional a efecto de reformar la fracción tercera del</w:t>
      </w:r>
      <w:r>
        <w:rPr>
          <w:rFonts w:ascii="Abadi" w:hAnsi="Abadi" w:cs="Verdana"/>
          <w:sz w:val="21"/>
          <w:szCs w:val="21"/>
        </w:rPr>
        <w:t xml:space="preserve"> </w:t>
      </w:r>
      <w:r w:rsidRPr="00CF79E5">
        <w:rPr>
          <w:rFonts w:ascii="Abadi" w:hAnsi="Abadi" w:cs="Verdana"/>
          <w:sz w:val="21"/>
          <w:szCs w:val="21"/>
        </w:rPr>
        <w:t>artículo seis de la Ley de Acceso de las Mujeres a una Vida Libre de Violencia para el Estado de</w:t>
      </w:r>
      <w:r>
        <w:rPr>
          <w:rFonts w:ascii="Abadi" w:hAnsi="Abadi" w:cs="Verdana"/>
          <w:sz w:val="21"/>
          <w:szCs w:val="21"/>
        </w:rPr>
        <w:t xml:space="preserve"> </w:t>
      </w:r>
      <w:r w:rsidRPr="00CF79E5">
        <w:rPr>
          <w:rFonts w:ascii="Abadi" w:hAnsi="Abadi" w:cs="Verdana"/>
          <w:sz w:val="21"/>
          <w:szCs w:val="21"/>
        </w:rPr>
        <w:t>Guanajuato (ELD 528/LXV-I). Agotada la lectura, la presidencia turnó la iniciativa a la Comisión</w:t>
      </w:r>
      <w:r>
        <w:rPr>
          <w:rFonts w:ascii="Abadi" w:hAnsi="Abadi" w:cs="Verdana"/>
          <w:sz w:val="21"/>
          <w:szCs w:val="21"/>
        </w:rPr>
        <w:t xml:space="preserve"> </w:t>
      </w:r>
      <w:r w:rsidRPr="00CF79E5">
        <w:rPr>
          <w:rFonts w:ascii="Abadi" w:hAnsi="Abadi" w:cs="Verdana"/>
          <w:sz w:val="21"/>
          <w:szCs w:val="21"/>
        </w:rPr>
        <w:t>para la Igualdad de Género, para su estudio y dictamen, con fundamento en el artículo ciento</w:t>
      </w:r>
      <w:r>
        <w:rPr>
          <w:rFonts w:ascii="Abadi" w:hAnsi="Abadi" w:cs="Verdana"/>
          <w:sz w:val="21"/>
          <w:szCs w:val="21"/>
        </w:rPr>
        <w:t xml:space="preserve"> </w:t>
      </w:r>
      <w:r w:rsidRPr="00CF79E5">
        <w:rPr>
          <w:rFonts w:ascii="Abadi" w:hAnsi="Abadi" w:cs="Verdana"/>
          <w:sz w:val="21"/>
          <w:szCs w:val="21"/>
        </w:rPr>
        <w:t xml:space="preserve">dieciséis -fracción tercera- de la Ley Orgánica del Poder Legislativo del Estado. </w:t>
      </w:r>
    </w:p>
    <w:p w14:paraId="32DD6E82" w14:textId="180EF3A5" w:rsidR="00EE744D" w:rsidRPr="00CF79E5"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La presidencia dio la bienvenida a estudiantes y docentes del Centro de Bachillerato</w:t>
      </w:r>
      <w:r>
        <w:rPr>
          <w:rFonts w:ascii="Abadi" w:hAnsi="Abadi" w:cs="Verdana"/>
          <w:sz w:val="21"/>
          <w:szCs w:val="21"/>
        </w:rPr>
        <w:t xml:space="preserve"> </w:t>
      </w:r>
      <w:r w:rsidRPr="00CF79E5">
        <w:rPr>
          <w:rFonts w:ascii="Abadi" w:hAnsi="Abadi" w:cs="Verdana"/>
          <w:sz w:val="21"/>
          <w:szCs w:val="21"/>
        </w:rPr>
        <w:t xml:space="preserve">Tecnológico </w:t>
      </w:r>
      <w:r>
        <w:rPr>
          <w:rFonts w:ascii="Abadi" w:hAnsi="Abadi" w:cs="Verdana"/>
          <w:sz w:val="21"/>
          <w:szCs w:val="21"/>
        </w:rPr>
        <w:tab/>
      </w:r>
      <w:r w:rsidRPr="00CF79E5">
        <w:rPr>
          <w:rFonts w:ascii="Abadi" w:hAnsi="Abadi" w:cs="Verdana"/>
          <w:sz w:val="21"/>
          <w:szCs w:val="21"/>
        </w:rPr>
        <w:t>Agropecuario número doscientos veinte del municipio de Irapuato, invitados por el</w:t>
      </w:r>
      <w:r>
        <w:rPr>
          <w:rFonts w:ascii="Abadi" w:hAnsi="Abadi" w:cs="Verdana"/>
          <w:sz w:val="21"/>
          <w:szCs w:val="21"/>
        </w:rPr>
        <w:t xml:space="preserve"> </w:t>
      </w:r>
      <w:r w:rsidRPr="00CF79E5">
        <w:rPr>
          <w:rFonts w:ascii="Abadi" w:hAnsi="Abadi" w:cs="Verdana"/>
          <w:sz w:val="21"/>
          <w:szCs w:val="21"/>
        </w:rPr>
        <w:t>Congreso del Estado; así como a militantes de MORENA de los municipios de Guanajuato, San</w:t>
      </w:r>
      <w:r>
        <w:rPr>
          <w:rFonts w:ascii="Abadi" w:hAnsi="Abadi" w:cs="Verdana"/>
          <w:sz w:val="21"/>
          <w:szCs w:val="21"/>
        </w:rPr>
        <w:t xml:space="preserve"> </w:t>
      </w:r>
      <w:r w:rsidRPr="00CF79E5">
        <w:rPr>
          <w:rFonts w:ascii="Abadi" w:hAnsi="Abadi" w:cs="Verdana"/>
          <w:sz w:val="21"/>
          <w:szCs w:val="21"/>
        </w:rPr>
        <w:t>Francisco del Rincón, Santa Cruz de Juventino Rosas, Irapuato, San Miguel de Allende, Celaya,</w:t>
      </w:r>
      <w:r>
        <w:rPr>
          <w:rFonts w:ascii="Abadi" w:hAnsi="Abadi" w:cs="Verdana"/>
          <w:sz w:val="21"/>
          <w:szCs w:val="21"/>
        </w:rPr>
        <w:t xml:space="preserve"> </w:t>
      </w:r>
      <w:r w:rsidRPr="00CF79E5">
        <w:rPr>
          <w:rFonts w:ascii="Abadi" w:hAnsi="Abadi" w:cs="Verdana"/>
          <w:sz w:val="21"/>
          <w:szCs w:val="21"/>
        </w:rPr>
        <w:t xml:space="preserve">Comonfort, Villagrán y Cuerámaro. - - - - - - - - </w:t>
      </w:r>
    </w:p>
    <w:p w14:paraId="3A58EC92" w14:textId="0545D137"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Por instrucción de la presidencia, el diputado Cuauhtémoc Becerra González dio lectura</w:t>
      </w:r>
      <w:r>
        <w:rPr>
          <w:rFonts w:ascii="Abadi" w:hAnsi="Abadi" w:cs="Verdana"/>
          <w:sz w:val="21"/>
          <w:szCs w:val="21"/>
        </w:rPr>
        <w:t xml:space="preserve"> </w:t>
      </w:r>
      <w:r w:rsidRPr="00CF79E5">
        <w:rPr>
          <w:rFonts w:ascii="Abadi" w:hAnsi="Abadi" w:cs="Verdana"/>
          <w:sz w:val="21"/>
          <w:szCs w:val="21"/>
        </w:rPr>
        <w:t>a la exposición de motivos de la iniciativa suscrita por diputadas y diputados integrantes del Grupo</w:t>
      </w:r>
      <w:r>
        <w:rPr>
          <w:rFonts w:ascii="Abadi" w:hAnsi="Abadi" w:cs="Verdana"/>
          <w:sz w:val="21"/>
          <w:szCs w:val="21"/>
        </w:rPr>
        <w:t xml:space="preserve"> </w:t>
      </w:r>
      <w:r w:rsidRPr="00CF79E5">
        <w:rPr>
          <w:rFonts w:ascii="Abadi" w:hAnsi="Abadi" w:cs="Verdana"/>
          <w:sz w:val="21"/>
          <w:szCs w:val="21"/>
        </w:rPr>
        <w:t>Parlamentario del Partido MORENA mediante la cual se expide la Ley de Comunicación Social para</w:t>
      </w:r>
      <w:r w:rsidR="0012414E">
        <w:rPr>
          <w:rFonts w:ascii="Abadi" w:hAnsi="Abadi" w:cs="Verdana"/>
          <w:sz w:val="21"/>
          <w:szCs w:val="21"/>
        </w:rPr>
        <w:t xml:space="preserve"> </w:t>
      </w:r>
      <w:r w:rsidRPr="00CF79E5">
        <w:rPr>
          <w:rFonts w:ascii="Abadi" w:hAnsi="Abadi" w:cs="Verdana"/>
          <w:sz w:val="21"/>
          <w:szCs w:val="21"/>
        </w:rPr>
        <w:t>el Estado y los Municipios de Guanajuato y se reforma la fracción novena del artículo siete de la</w:t>
      </w:r>
      <w:r>
        <w:rPr>
          <w:rFonts w:ascii="Abadi" w:hAnsi="Abadi" w:cs="Verdana"/>
          <w:sz w:val="21"/>
          <w:szCs w:val="21"/>
        </w:rPr>
        <w:t xml:space="preserve"> </w:t>
      </w:r>
      <w:r w:rsidRPr="00CF79E5">
        <w:rPr>
          <w:rFonts w:ascii="Abadi" w:hAnsi="Abadi" w:cs="Verdana"/>
          <w:sz w:val="21"/>
          <w:szCs w:val="21"/>
        </w:rPr>
        <w:t>Ley de Contrataciones Públicas para el Estado de Guanajuato (ELD 529/LXV-I). Una vez lo cual,</w:t>
      </w:r>
      <w:r>
        <w:rPr>
          <w:rFonts w:ascii="Abadi" w:hAnsi="Abadi" w:cs="Verdana"/>
          <w:sz w:val="21"/>
          <w:szCs w:val="21"/>
        </w:rPr>
        <w:t xml:space="preserve"> </w:t>
      </w:r>
      <w:r w:rsidRPr="00CF79E5">
        <w:rPr>
          <w:rFonts w:ascii="Abadi" w:hAnsi="Abadi" w:cs="Verdana"/>
          <w:sz w:val="21"/>
          <w:szCs w:val="21"/>
        </w:rPr>
        <w:t>la presidencia turnó la iniciativa a la Comisión de Hacienda y Fiscalización, para su estudio y</w:t>
      </w:r>
      <w:r>
        <w:rPr>
          <w:rFonts w:ascii="Abadi" w:hAnsi="Abadi" w:cs="Verdana"/>
          <w:sz w:val="21"/>
          <w:szCs w:val="21"/>
        </w:rPr>
        <w:t xml:space="preserve"> </w:t>
      </w:r>
      <w:r w:rsidRPr="00CF79E5">
        <w:rPr>
          <w:rFonts w:ascii="Abadi" w:hAnsi="Abadi" w:cs="Verdana"/>
          <w:sz w:val="21"/>
          <w:szCs w:val="21"/>
        </w:rPr>
        <w:t>dictamen, con fundamento en el artículo ciento doce -fracción décima quinta- de la Ley Orgánica</w:t>
      </w:r>
      <w:r>
        <w:rPr>
          <w:rFonts w:ascii="Abadi" w:hAnsi="Abadi" w:cs="Verdana"/>
          <w:sz w:val="21"/>
          <w:szCs w:val="21"/>
        </w:rPr>
        <w:t xml:space="preserve"> </w:t>
      </w:r>
      <w:r w:rsidRPr="00CF79E5">
        <w:rPr>
          <w:rFonts w:ascii="Abadi" w:hAnsi="Abadi" w:cs="Verdana"/>
          <w:sz w:val="21"/>
          <w:szCs w:val="21"/>
        </w:rPr>
        <w:t xml:space="preserve">del Poder Legislativo del Estado. - - </w:t>
      </w:r>
    </w:p>
    <w:p w14:paraId="007868A5" w14:textId="0232198E"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petición de la presidencia, el diputado David Martínez Mendizábal dio lectura a la</w:t>
      </w:r>
      <w:r>
        <w:rPr>
          <w:rFonts w:ascii="Abadi" w:hAnsi="Abadi" w:cs="Verdana"/>
          <w:sz w:val="21"/>
          <w:szCs w:val="21"/>
        </w:rPr>
        <w:t xml:space="preserve"> </w:t>
      </w:r>
      <w:r w:rsidRPr="00CF79E5">
        <w:rPr>
          <w:rFonts w:ascii="Abadi" w:hAnsi="Abadi" w:cs="Verdana"/>
          <w:sz w:val="21"/>
          <w:szCs w:val="21"/>
        </w:rPr>
        <w:t>propuesta de punto de acuerdo suscrita por él y la diputada Hades Berenice Aguilar Castillo,</w:t>
      </w:r>
      <w:r>
        <w:rPr>
          <w:rFonts w:ascii="Abadi" w:hAnsi="Abadi" w:cs="Verdana"/>
          <w:sz w:val="21"/>
          <w:szCs w:val="21"/>
        </w:rPr>
        <w:t xml:space="preserve"> </w:t>
      </w:r>
      <w:r w:rsidRPr="00CF79E5">
        <w:rPr>
          <w:rFonts w:ascii="Abadi" w:hAnsi="Abadi" w:cs="Verdana"/>
          <w:sz w:val="21"/>
          <w:szCs w:val="21"/>
        </w:rPr>
        <w:t>integrantes del Grupo Parlamentario del Partido MORENA a efecto de exhortar al Gobernador del</w:t>
      </w:r>
      <w:r>
        <w:rPr>
          <w:rFonts w:ascii="Abadi" w:hAnsi="Abadi" w:cs="Verdana"/>
          <w:sz w:val="21"/>
          <w:szCs w:val="21"/>
        </w:rPr>
        <w:t xml:space="preserve"> </w:t>
      </w:r>
      <w:r w:rsidRPr="00CF79E5">
        <w:rPr>
          <w:rFonts w:ascii="Abadi" w:hAnsi="Abadi" w:cs="Verdana"/>
          <w:sz w:val="21"/>
          <w:szCs w:val="21"/>
        </w:rPr>
        <w:t>Estado de Guanajuato (ELD 289/LXV-PPA). Agotada la lectura, la presidencia turnó la propuesta</w:t>
      </w:r>
      <w:r>
        <w:rPr>
          <w:rFonts w:ascii="Abadi" w:hAnsi="Abadi" w:cs="Verdana"/>
          <w:sz w:val="21"/>
          <w:szCs w:val="21"/>
        </w:rPr>
        <w:t xml:space="preserve"> </w:t>
      </w:r>
      <w:r w:rsidRPr="00CF79E5">
        <w:rPr>
          <w:rFonts w:ascii="Abadi" w:hAnsi="Abadi" w:cs="Verdana"/>
          <w:sz w:val="21"/>
          <w:szCs w:val="21"/>
        </w:rPr>
        <w:t xml:space="preserve">de punto de acuerdo a la Comisión de Desarrollo Económico y Social, para su estudio y </w:t>
      </w:r>
      <w:r w:rsidRPr="00CF79E5">
        <w:rPr>
          <w:rFonts w:ascii="Abadi" w:hAnsi="Abadi" w:cs="Verdana"/>
          <w:sz w:val="21"/>
          <w:szCs w:val="21"/>
        </w:rPr>
        <w:lastRenderedPageBreak/>
        <w:t xml:space="preserve">dictamen, con fundamento en el artículo ciento siete -fracción sexta- de la Ley Orgánica del Poder </w:t>
      </w:r>
      <w:proofErr w:type="gramStart"/>
      <w:r w:rsidRPr="00CF79E5">
        <w:rPr>
          <w:rFonts w:ascii="Abadi" w:hAnsi="Abadi" w:cs="Verdana"/>
          <w:sz w:val="21"/>
          <w:szCs w:val="21"/>
        </w:rPr>
        <w:t>Legislativo</w:t>
      </w:r>
      <w:r>
        <w:rPr>
          <w:rFonts w:ascii="Abadi" w:hAnsi="Abadi" w:cs="Verdana"/>
          <w:sz w:val="21"/>
          <w:szCs w:val="21"/>
        </w:rPr>
        <w:t xml:space="preserve">  </w:t>
      </w:r>
      <w:r w:rsidRPr="00CF79E5">
        <w:rPr>
          <w:rFonts w:ascii="Abadi" w:hAnsi="Abadi" w:cs="Verdana"/>
          <w:sz w:val="21"/>
          <w:szCs w:val="21"/>
        </w:rPr>
        <w:t>del</w:t>
      </w:r>
      <w:proofErr w:type="gramEnd"/>
      <w:r w:rsidRPr="00CF79E5">
        <w:rPr>
          <w:rFonts w:ascii="Abadi" w:hAnsi="Abadi" w:cs="Verdana"/>
          <w:sz w:val="21"/>
          <w:szCs w:val="21"/>
        </w:rPr>
        <w:t xml:space="preserve"> Estado. - - - - - - - - - - - </w:t>
      </w:r>
    </w:p>
    <w:p w14:paraId="26533FFC" w14:textId="570AFB15" w:rsidR="00EE744D"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la bienvenida a sus invitados, alumnos y docentes de la Universidad</w:t>
      </w:r>
      <w:r>
        <w:rPr>
          <w:rFonts w:ascii="Abadi" w:hAnsi="Abadi" w:cs="Verdana"/>
          <w:sz w:val="21"/>
          <w:szCs w:val="21"/>
        </w:rPr>
        <w:t xml:space="preserve"> </w:t>
      </w:r>
      <w:r w:rsidRPr="00CF79E5">
        <w:rPr>
          <w:rFonts w:ascii="Abadi" w:hAnsi="Abadi" w:cs="Verdana"/>
          <w:sz w:val="21"/>
          <w:szCs w:val="21"/>
        </w:rPr>
        <w:t>de León del municipio de León; así como a alumnos y docentes de la secundaria oficial Justo Sierra</w:t>
      </w:r>
      <w:r>
        <w:rPr>
          <w:rFonts w:ascii="Abadi" w:hAnsi="Abadi" w:cs="Verdana"/>
          <w:sz w:val="21"/>
          <w:szCs w:val="21"/>
        </w:rPr>
        <w:t xml:space="preserve"> </w:t>
      </w:r>
      <w:r w:rsidRPr="00CF79E5">
        <w:rPr>
          <w:rFonts w:ascii="Abadi" w:hAnsi="Abadi" w:cs="Verdana"/>
          <w:sz w:val="21"/>
          <w:szCs w:val="21"/>
        </w:rPr>
        <w:t>e integrantes del Instituto Municipal de la Juventud del municipio de Apaseo el Alto, invitados por</w:t>
      </w:r>
      <w:r>
        <w:rPr>
          <w:rFonts w:ascii="Abadi" w:hAnsi="Abadi" w:cs="Verdana"/>
          <w:sz w:val="21"/>
          <w:szCs w:val="21"/>
        </w:rPr>
        <w:t xml:space="preserve"> </w:t>
      </w:r>
      <w:r w:rsidRPr="00CF79E5">
        <w:rPr>
          <w:rFonts w:ascii="Abadi" w:hAnsi="Abadi" w:cs="Verdana"/>
          <w:sz w:val="21"/>
          <w:szCs w:val="21"/>
        </w:rPr>
        <w:t xml:space="preserve">el diputado César Larrondo Díaz. - - - - - - - - - - </w:t>
      </w:r>
    </w:p>
    <w:p w14:paraId="62CA694F" w14:textId="6277E247" w:rsidR="00EE744D"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solicitud de la presidencia, la diputada Hades Berenice Aguilar Castillo, integrante del</w:t>
      </w:r>
      <w:r>
        <w:rPr>
          <w:rFonts w:ascii="Abadi" w:hAnsi="Abadi" w:cs="Verdana"/>
          <w:sz w:val="21"/>
          <w:szCs w:val="21"/>
        </w:rPr>
        <w:t xml:space="preserve"> </w:t>
      </w:r>
      <w:r>
        <w:rPr>
          <w:rFonts w:ascii="Abadi" w:hAnsi="Abadi" w:cs="Verdana"/>
          <w:sz w:val="21"/>
          <w:szCs w:val="21"/>
        </w:rPr>
        <w:tab/>
      </w:r>
      <w:r w:rsidRPr="00CF79E5">
        <w:rPr>
          <w:rFonts w:ascii="Abadi" w:hAnsi="Abadi" w:cs="Verdana"/>
          <w:sz w:val="21"/>
          <w:szCs w:val="21"/>
        </w:rPr>
        <w:t>Grupo Parlamentario del Partido MORENA dio lectura a su propuesta de punto de acuerdo, a efecto</w:t>
      </w:r>
      <w:r>
        <w:rPr>
          <w:rFonts w:ascii="Abadi" w:hAnsi="Abadi" w:cs="Verdana"/>
          <w:sz w:val="21"/>
          <w:szCs w:val="21"/>
        </w:rPr>
        <w:t xml:space="preserve"> </w:t>
      </w:r>
      <w:r w:rsidRPr="00CF79E5">
        <w:rPr>
          <w:rFonts w:ascii="Abadi" w:hAnsi="Abadi" w:cs="Verdana"/>
          <w:sz w:val="21"/>
          <w:szCs w:val="21"/>
        </w:rPr>
        <w:t>de solicitar al Gobernador del Estado, a través de la Junta de Gobierno y Coordinación Política, la</w:t>
      </w:r>
      <w:r>
        <w:rPr>
          <w:rFonts w:ascii="Abadi" w:hAnsi="Abadi" w:cs="Verdana"/>
          <w:sz w:val="21"/>
          <w:szCs w:val="21"/>
        </w:rPr>
        <w:t xml:space="preserve"> </w:t>
      </w:r>
      <w:r w:rsidRPr="00CF79E5">
        <w:rPr>
          <w:rFonts w:ascii="Abadi" w:hAnsi="Abadi" w:cs="Verdana"/>
          <w:sz w:val="21"/>
          <w:szCs w:val="21"/>
        </w:rPr>
        <w:t>comparecencia de la Secretaria de Desarrollo Social y Humano; y exhortar al órgano de vigilancia</w:t>
      </w:r>
      <w:r>
        <w:rPr>
          <w:rFonts w:ascii="Abadi" w:hAnsi="Abadi" w:cs="Verdana"/>
          <w:sz w:val="21"/>
          <w:szCs w:val="21"/>
        </w:rPr>
        <w:t xml:space="preserve"> </w:t>
      </w:r>
      <w:r w:rsidRPr="00CF79E5">
        <w:rPr>
          <w:rFonts w:ascii="Abadi" w:hAnsi="Abadi" w:cs="Verdana"/>
          <w:sz w:val="21"/>
          <w:szCs w:val="21"/>
        </w:rPr>
        <w:t>del FIDESSEG (ELD 290/LXV-PPA). Concluida la lectura, la presidencia remitió lo relativo al punto</w:t>
      </w:r>
      <w:r>
        <w:rPr>
          <w:rFonts w:ascii="Abadi" w:hAnsi="Abadi" w:cs="Verdana"/>
          <w:sz w:val="21"/>
          <w:szCs w:val="21"/>
        </w:rPr>
        <w:t xml:space="preserve"> </w:t>
      </w:r>
      <w:r w:rsidRPr="00CF79E5">
        <w:rPr>
          <w:rFonts w:ascii="Abadi" w:hAnsi="Abadi" w:cs="Verdana"/>
          <w:sz w:val="21"/>
          <w:szCs w:val="21"/>
        </w:rPr>
        <w:t>primero de la propuesta como correspondencia a la Junta de Gobierno y Coordinación Política con</w:t>
      </w:r>
      <w:r>
        <w:rPr>
          <w:rFonts w:ascii="Abadi" w:hAnsi="Abadi" w:cs="Verdana"/>
          <w:sz w:val="21"/>
          <w:szCs w:val="21"/>
        </w:rPr>
        <w:t xml:space="preserve"> </w:t>
      </w:r>
      <w:r w:rsidRPr="00CF79E5">
        <w:rPr>
          <w:rFonts w:ascii="Abadi" w:hAnsi="Abadi" w:cs="Verdana"/>
          <w:sz w:val="21"/>
          <w:szCs w:val="21"/>
        </w:rPr>
        <w:t>fundamento en el artículo setenta y dos -fracción décima- de la Ley Orgánica del Poder Legislativo</w:t>
      </w:r>
      <w:r>
        <w:rPr>
          <w:rFonts w:ascii="Abadi" w:hAnsi="Abadi" w:cs="Verdana"/>
          <w:sz w:val="21"/>
          <w:szCs w:val="21"/>
        </w:rPr>
        <w:t xml:space="preserve"> </w:t>
      </w:r>
      <w:r w:rsidRPr="00CF79E5">
        <w:rPr>
          <w:rFonts w:ascii="Abadi" w:hAnsi="Abadi" w:cs="Verdana"/>
          <w:sz w:val="21"/>
          <w:szCs w:val="21"/>
        </w:rPr>
        <w:t>del Estado; y lo correspondiente al punto segundo de la propuesta lo turnó a la Comisión de</w:t>
      </w:r>
      <w:r>
        <w:rPr>
          <w:rFonts w:ascii="Abadi" w:hAnsi="Abadi" w:cs="Verdana"/>
          <w:sz w:val="21"/>
          <w:szCs w:val="21"/>
        </w:rPr>
        <w:t xml:space="preserve"> </w:t>
      </w:r>
      <w:r w:rsidRPr="00CF79E5">
        <w:rPr>
          <w:rFonts w:ascii="Abadi" w:hAnsi="Abadi" w:cs="Verdana"/>
          <w:sz w:val="21"/>
          <w:szCs w:val="21"/>
        </w:rPr>
        <w:t>Hacienda y Fiscalización para su estudio y dictamen, con fundamento en el artículo ciento doce -</w:t>
      </w:r>
      <w:r>
        <w:rPr>
          <w:rFonts w:ascii="Abadi" w:hAnsi="Abadi" w:cs="Verdana"/>
          <w:sz w:val="21"/>
          <w:szCs w:val="21"/>
        </w:rPr>
        <w:t xml:space="preserve"> </w:t>
      </w:r>
      <w:r w:rsidRPr="00CF79E5">
        <w:rPr>
          <w:rFonts w:ascii="Abadi" w:hAnsi="Abadi" w:cs="Verdana"/>
          <w:sz w:val="21"/>
          <w:szCs w:val="21"/>
        </w:rPr>
        <w:t xml:space="preserve">fracción décima quinta- de la citada ley. - - - - </w:t>
      </w:r>
    </w:p>
    <w:p w14:paraId="757B4763" w14:textId="6298278C"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Por instrucción de la presidencia, la diputada Briseida Anabel Magdaleno González dio</w:t>
      </w:r>
      <w:r>
        <w:rPr>
          <w:rFonts w:ascii="Abadi" w:hAnsi="Abadi" w:cs="Verdana"/>
          <w:sz w:val="21"/>
          <w:szCs w:val="21"/>
        </w:rPr>
        <w:t xml:space="preserve"> </w:t>
      </w:r>
      <w:r w:rsidRPr="00CF79E5">
        <w:rPr>
          <w:rFonts w:ascii="Abadi" w:hAnsi="Abadi" w:cs="Verdana"/>
          <w:sz w:val="21"/>
          <w:szCs w:val="21"/>
        </w:rPr>
        <w:t>lectura a la propuesta de punto de acuerdo formulada por diputadas y diputados integrantes del</w:t>
      </w:r>
      <w:r>
        <w:rPr>
          <w:rFonts w:ascii="Abadi" w:hAnsi="Abadi" w:cs="Verdana"/>
          <w:sz w:val="21"/>
          <w:szCs w:val="21"/>
        </w:rPr>
        <w:t xml:space="preserve"> </w:t>
      </w:r>
      <w:r w:rsidRPr="00CF79E5">
        <w:rPr>
          <w:rFonts w:ascii="Abadi" w:hAnsi="Abadi" w:cs="Verdana"/>
          <w:sz w:val="21"/>
          <w:szCs w:val="21"/>
        </w:rPr>
        <w:t>Grupo Parlamentario del Partido Acción Nacional a efecto de exhortar al Presidente de la República</w:t>
      </w:r>
      <w:r w:rsidR="0012414E">
        <w:rPr>
          <w:rFonts w:ascii="Abadi" w:hAnsi="Abadi" w:cs="Verdana"/>
          <w:sz w:val="21"/>
          <w:szCs w:val="21"/>
        </w:rPr>
        <w:t xml:space="preserve"> </w:t>
      </w:r>
      <w:r w:rsidRPr="00CF79E5">
        <w:rPr>
          <w:rFonts w:ascii="Abadi" w:hAnsi="Abadi" w:cs="Verdana"/>
          <w:sz w:val="21"/>
          <w:szCs w:val="21"/>
        </w:rPr>
        <w:t>(ELD 291/LXV-PPA). Una vez lo cual, la presidencia turnó la propuesta de punto de acuerdo a la</w:t>
      </w:r>
      <w:r>
        <w:rPr>
          <w:rFonts w:ascii="Abadi" w:hAnsi="Abadi" w:cs="Verdana"/>
          <w:sz w:val="21"/>
          <w:szCs w:val="21"/>
        </w:rPr>
        <w:t xml:space="preserve"> </w:t>
      </w:r>
      <w:r w:rsidRPr="00CF79E5">
        <w:rPr>
          <w:rFonts w:ascii="Abadi" w:hAnsi="Abadi" w:cs="Verdana"/>
          <w:sz w:val="21"/>
          <w:szCs w:val="21"/>
        </w:rPr>
        <w:t>Comisión de Derechos Humanos y Atención a Grupos Vulnerables, para su estudio y dictamen,</w:t>
      </w:r>
      <w:r>
        <w:rPr>
          <w:rFonts w:ascii="Abadi" w:hAnsi="Abadi" w:cs="Verdana"/>
          <w:sz w:val="21"/>
          <w:szCs w:val="21"/>
        </w:rPr>
        <w:t xml:space="preserve"> </w:t>
      </w:r>
      <w:r w:rsidRPr="00CF79E5">
        <w:rPr>
          <w:rFonts w:ascii="Abadi" w:hAnsi="Abadi" w:cs="Verdana"/>
          <w:sz w:val="21"/>
          <w:szCs w:val="21"/>
        </w:rPr>
        <w:t>con fundamento en el artículo ciento seis -fracción décima segunda- de la Ley Orgánica del Poder</w:t>
      </w:r>
      <w:r>
        <w:rPr>
          <w:rFonts w:ascii="Abadi" w:hAnsi="Abadi" w:cs="Verdana"/>
          <w:sz w:val="21"/>
          <w:szCs w:val="21"/>
        </w:rPr>
        <w:t xml:space="preserve"> </w:t>
      </w:r>
      <w:r w:rsidRPr="00CF79E5">
        <w:rPr>
          <w:rFonts w:ascii="Abadi" w:hAnsi="Abadi" w:cs="Verdana"/>
          <w:sz w:val="21"/>
          <w:szCs w:val="21"/>
        </w:rPr>
        <w:t xml:space="preserve">Legislativo del Estado. - - - - - - - - - - - - - - - - </w:t>
      </w:r>
    </w:p>
    <w:p w14:paraId="156EA55E" w14:textId="5B4F2BB2"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petición de la presidencia, la diputada Alma Edwviges Alcaraz Hernández, integrante</w:t>
      </w:r>
      <w:r>
        <w:rPr>
          <w:rFonts w:ascii="Abadi" w:hAnsi="Abadi" w:cs="Verdana"/>
          <w:sz w:val="21"/>
          <w:szCs w:val="21"/>
        </w:rPr>
        <w:t xml:space="preserve"> </w:t>
      </w:r>
      <w:r w:rsidRPr="00CF79E5">
        <w:rPr>
          <w:rFonts w:ascii="Abadi" w:hAnsi="Abadi" w:cs="Verdana"/>
          <w:sz w:val="21"/>
          <w:szCs w:val="21"/>
        </w:rPr>
        <w:t>del Grupo Parlamentario del Partido MORENA dio lectura a su propuesta de punto de acuerdo a</w:t>
      </w:r>
      <w:r>
        <w:rPr>
          <w:rFonts w:ascii="Abadi" w:hAnsi="Abadi" w:cs="Verdana"/>
          <w:sz w:val="21"/>
          <w:szCs w:val="21"/>
        </w:rPr>
        <w:t xml:space="preserve"> </w:t>
      </w:r>
      <w:r w:rsidRPr="00CF79E5">
        <w:rPr>
          <w:rFonts w:ascii="Abadi" w:hAnsi="Abadi" w:cs="Verdana"/>
          <w:sz w:val="21"/>
          <w:szCs w:val="21"/>
        </w:rPr>
        <w:t>efecto de exhortar al titular del Poder Ejecutivo del Estado (ELD 292/LXV-PPA), solicitando a la</w:t>
      </w:r>
      <w:r>
        <w:rPr>
          <w:rFonts w:ascii="Abadi" w:hAnsi="Abadi" w:cs="Verdana"/>
          <w:sz w:val="21"/>
          <w:szCs w:val="21"/>
        </w:rPr>
        <w:t xml:space="preserve"> </w:t>
      </w:r>
      <w:r w:rsidRPr="00CF79E5">
        <w:rPr>
          <w:rFonts w:ascii="Abadi" w:hAnsi="Abadi" w:cs="Verdana"/>
          <w:sz w:val="21"/>
          <w:szCs w:val="21"/>
        </w:rPr>
        <w:t>presidencia darle el trámite de obvia resolución. Agotada la lectura y en atención a lo solicitado</w:t>
      </w:r>
      <w:r>
        <w:rPr>
          <w:rFonts w:ascii="Abadi" w:hAnsi="Abadi" w:cs="Verdana"/>
          <w:sz w:val="21"/>
          <w:szCs w:val="21"/>
        </w:rPr>
        <w:t xml:space="preserve"> </w:t>
      </w:r>
      <w:r w:rsidRPr="00CF79E5">
        <w:rPr>
          <w:rFonts w:ascii="Abadi" w:hAnsi="Abadi" w:cs="Verdana"/>
          <w:sz w:val="21"/>
          <w:szCs w:val="21"/>
        </w:rPr>
        <w:t xml:space="preserve">por la </w:t>
      </w:r>
      <w:r w:rsidRPr="00CF79E5">
        <w:rPr>
          <w:rFonts w:ascii="Abadi" w:hAnsi="Abadi" w:cs="Verdana"/>
          <w:sz w:val="21"/>
          <w:szCs w:val="21"/>
        </w:rPr>
        <w:t>proponente, la presidencia sometió a consideración de la Asamblea declarar el asunto de</w:t>
      </w:r>
      <w:r>
        <w:rPr>
          <w:rFonts w:ascii="Abadi" w:hAnsi="Abadi" w:cs="Verdana"/>
          <w:sz w:val="21"/>
          <w:szCs w:val="21"/>
        </w:rPr>
        <w:t xml:space="preserve"> </w:t>
      </w:r>
      <w:r w:rsidRPr="00CF79E5">
        <w:rPr>
          <w:rFonts w:ascii="Abadi" w:hAnsi="Abadi" w:cs="Verdana"/>
          <w:sz w:val="21"/>
          <w:szCs w:val="21"/>
        </w:rPr>
        <w:t>obvia resolución, registrándose la intervención del diputado Ernesto Alejandro Prieto Gallardo para</w:t>
      </w:r>
      <w:r>
        <w:rPr>
          <w:rFonts w:ascii="Abadi" w:hAnsi="Abadi" w:cs="Verdana"/>
          <w:sz w:val="21"/>
          <w:szCs w:val="21"/>
        </w:rPr>
        <w:t xml:space="preserve"> </w:t>
      </w:r>
      <w:r w:rsidRPr="00CF79E5">
        <w:rPr>
          <w:rFonts w:ascii="Abadi" w:hAnsi="Abadi" w:cs="Verdana"/>
          <w:sz w:val="21"/>
          <w:szCs w:val="21"/>
        </w:rPr>
        <w:t>hablar a favor. Agotada la intervención, se recabó votación económica -en la modalidad</w:t>
      </w:r>
      <w:r>
        <w:rPr>
          <w:rFonts w:ascii="Abadi" w:hAnsi="Abadi" w:cs="Verdana"/>
          <w:sz w:val="21"/>
          <w:szCs w:val="21"/>
        </w:rPr>
        <w:t xml:space="preserve"> </w:t>
      </w:r>
      <w:r w:rsidRPr="00CF79E5">
        <w:rPr>
          <w:rFonts w:ascii="Abadi" w:hAnsi="Abadi" w:cs="Verdana"/>
          <w:sz w:val="21"/>
          <w:szCs w:val="21"/>
        </w:rPr>
        <w:t>electrónica-, no resultando aprobada la obvia resolución por mayoría, al computarse doce votos a</w:t>
      </w:r>
      <w:r>
        <w:rPr>
          <w:rFonts w:ascii="Abadi" w:hAnsi="Abadi" w:cs="Verdana"/>
          <w:sz w:val="21"/>
          <w:szCs w:val="21"/>
        </w:rPr>
        <w:t xml:space="preserve"> </w:t>
      </w:r>
      <w:r w:rsidRPr="00CF79E5">
        <w:rPr>
          <w:rFonts w:ascii="Abadi" w:hAnsi="Abadi" w:cs="Verdana"/>
          <w:sz w:val="21"/>
          <w:szCs w:val="21"/>
        </w:rPr>
        <w:t>favor y veintidós votos en contra. La diputada Alma Edwviges Alcaraz Hernández razonó su voto</w:t>
      </w:r>
      <w:r>
        <w:rPr>
          <w:rFonts w:ascii="Abadi" w:hAnsi="Abadi" w:cs="Verdana"/>
          <w:sz w:val="21"/>
          <w:szCs w:val="21"/>
        </w:rPr>
        <w:t xml:space="preserve"> </w:t>
      </w:r>
      <w:r w:rsidRPr="00CF79E5">
        <w:rPr>
          <w:rFonts w:ascii="Abadi" w:hAnsi="Abadi" w:cs="Verdana"/>
          <w:sz w:val="21"/>
          <w:szCs w:val="21"/>
        </w:rPr>
        <w:t>a favor, con fundamento en el artículo doscientos dos de la Ley Orgánica del Poder Legislativo del</w:t>
      </w:r>
      <w:r>
        <w:rPr>
          <w:rFonts w:ascii="Abadi" w:hAnsi="Abadi" w:cs="Verdana"/>
          <w:sz w:val="21"/>
          <w:szCs w:val="21"/>
        </w:rPr>
        <w:t xml:space="preserve"> </w:t>
      </w:r>
      <w:r w:rsidRPr="00CF79E5">
        <w:rPr>
          <w:rFonts w:ascii="Abadi" w:hAnsi="Abadi" w:cs="Verdana"/>
          <w:sz w:val="21"/>
          <w:szCs w:val="21"/>
        </w:rPr>
        <w:t>Estado. Al no aprobarse la obvia resolución, la presidencia turnó la propuesta de punto de acuerdo a la Comisión de Justicia, para su estudio y dictamen, con fundamento en el artículo ciento trece</w:t>
      </w:r>
      <w:r>
        <w:rPr>
          <w:rFonts w:ascii="Abadi" w:hAnsi="Abadi" w:cs="Verdana"/>
          <w:sz w:val="21"/>
          <w:szCs w:val="21"/>
        </w:rPr>
        <w:t xml:space="preserve"> </w:t>
      </w:r>
      <w:r w:rsidRPr="00CF79E5">
        <w:rPr>
          <w:rFonts w:ascii="Abadi" w:hAnsi="Abadi" w:cs="Verdana"/>
          <w:sz w:val="21"/>
          <w:szCs w:val="21"/>
        </w:rPr>
        <w:t xml:space="preserve">-fracción novena- de la Ley Orgánica del Poder Legislativo del Estado. </w:t>
      </w:r>
    </w:p>
    <w:p w14:paraId="50CAB920" w14:textId="43BC18BB"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solicitud de la presidencia, el diputado Ernesto Alejandro Prieto Gallardo, integrante</w:t>
      </w:r>
      <w:r>
        <w:rPr>
          <w:rFonts w:ascii="Abadi" w:hAnsi="Abadi" w:cs="Verdana"/>
          <w:sz w:val="21"/>
          <w:szCs w:val="21"/>
        </w:rPr>
        <w:t xml:space="preserve"> </w:t>
      </w:r>
      <w:r w:rsidRPr="00CF79E5">
        <w:rPr>
          <w:rFonts w:ascii="Abadi" w:hAnsi="Abadi" w:cs="Verdana"/>
          <w:sz w:val="21"/>
          <w:szCs w:val="21"/>
        </w:rPr>
        <w:t>del Grupo Parlamentario del Partido MORENA dio lectura a su propuesta de punto de acuerdo a</w:t>
      </w:r>
      <w:r>
        <w:rPr>
          <w:rFonts w:ascii="Abadi" w:hAnsi="Abadi" w:cs="Verdana"/>
          <w:sz w:val="21"/>
          <w:szCs w:val="21"/>
        </w:rPr>
        <w:t xml:space="preserve"> </w:t>
      </w:r>
      <w:r w:rsidRPr="00CF79E5">
        <w:rPr>
          <w:rFonts w:ascii="Abadi" w:hAnsi="Abadi" w:cs="Verdana"/>
          <w:sz w:val="21"/>
          <w:szCs w:val="21"/>
        </w:rPr>
        <w:t>efecto de exhortar al titular del Poder Ejecutivo del Estado (ELD 293/LXV-PPA). Concluida la</w:t>
      </w:r>
      <w:r>
        <w:rPr>
          <w:rFonts w:ascii="Abadi" w:hAnsi="Abadi" w:cs="Verdana"/>
          <w:sz w:val="21"/>
          <w:szCs w:val="21"/>
        </w:rPr>
        <w:t xml:space="preserve"> </w:t>
      </w:r>
      <w:r w:rsidRPr="00CF79E5">
        <w:rPr>
          <w:rFonts w:ascii="Abadi" w:hAnsi="Abadi" w:cs="Verdana"/>
          <w:sz w:val="21"/>
          <w:szCs w:val="21"/>
        </w:rPr>
        <w:t>lectura, la presidencia turnó la propuesta de punto de acuerdo a la Comisión de Hacienda y</w:t>
      </w:r>
      <w:r>
        <w:rPr>
          <w:rFonts w:ascii="Abadi" w:hAnsi="Abadi" w:cs="Verdana"/>
          <w:sz w:val="21"/>
          <w:szCs w:val="21"/>
        </w:rPr>
        <w:t xml:space="preserve"> </w:t>
      </w:r>
      <w:r w:rsidRPr="00CF79E5">
        <w:rPr>
          <w:rFonts w:ascii="Abadi" w:hAnsi="Abadi" w:cs="Verdana"/>
          <w:sz w:val="21"/>
          <w:szCs w:val="21"/>
        </w:rPr>
        <w:t>Fiscalización para su estudio y dictamen, con fundamento en el artículo ciento doce -fracción</w:t>
      </w:r>
      <w:r>
        <w:rPr>
          <w:rFonts w:ascii="Abadi" w:hAnsi="Abadi" w:cs="Verdana"/>
          <w:sz w:val="21"/>
          <w:szCs w:val="21"/>
        </w:rPr>
        <w:t xml:space="preserve"> </w:t>
      </w:r>
      <w:r w:rsidRPr="00CF79E5">
        <w:rPr>
          <w:rFonts w:ascii="Abadi" w:hAnsi="Abadi" w:cs="Verdana"/>
          <w:sz w:val="21"/>
          <w:szCs w:val="21"/>
        </w:rPr>
        <w:t xml:space="preserve">décima quinta- de la Ley Orgánica del Poder Legislativo del Estado. - - - - - - - - - - - </w:t>
      </w:r>
    </w:p>
    <w:p w14:paraId="30A8EEB0" w14:textId="50E6D095" w:rsidR="00EE744D" w:rsidRPr="00CF79E5"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La diputada Alma Edwviges Alcaraz Hernández, integrante del Grupo Parlamentario del</w:t>
      </w:r>
      <w:r>
        <w:rPr>
          <w:rFonts w:ascii="Abadi" w:hAnsi="Abadi" w:cs="Verdana"/>
          <w:sz w:val="21"/>
          <w:szCs w:val="21"/>
        </w:rPr>
        <w:t xml:space="preserve"> </w:t>
      </w:r>
      <w:r w:rsidRPr="00CF79E5">
        <w:rPr>
          <w:rFonts w:ascii="Abadi" w:hAnsi="Abadi" w:cs="Verdana"/>
          <w:sz w:val="21"/>
          <w:szCs w:val="21"/>
        </w:rPr>
        <w:t>Partido MORENA, a petición de la presidencia, dio lectura a su propuesta de punto de acuerdo a</w:t>
      </w:r>
      <w:r>
        <w:rPr>
          <w:rFonts w:ascii="Abadi" w:hAnsi="Abadi" w:cs="Verdana"/>
          <w:sz w:val="21"/>
          <w:szCs w:val="21"/>
        </w:rPr>
        <w:t xml:space="preserve"> </w:t>
      </w:r>
      <w:r w:rsidRPr="00CF79E5">
        <w:rPr>
          <w:rFonts w:ascii="Abadi" w:hAnsi="Abadi" w:cs="Verdana"/>
          <w:sz w:val="21"/>
          <w:szCs w:val="21"/>
        </w:rPr>
        <w:t>efecto de exhortar a los titulares de la Secretaría de Salud y de la Secretaría de Seguridad Pública</w:t>
      </w:r>
      <w:r>
        <w:rPr>
          <w:rFonts w:ascii="Abadi" w:hAnsi="Abadi" w:cs="Verdana"/>
          <w:sz w:val="21"/>
          <w:szCs w:val="21"/>
        </w:rPr>
        <w:t xml:space="preserve"> </w:t>
      </w:r>
      <w:r w:rsidRPr="00CF79E5">
        <w:rPr>
          <w:rFonts w:ascii="Abadi" w:hAnsi="Abadi" w:cs="Verdana"/>
          <w:sz w:val="21"/>
          <w:szCs w:val="21"/>
        </w:rPr>
        <w:t>del Estado y a sus homólogos en los cuarenta y seis municipios del Estado (ELD 294/LXV-PPA).</w:t>
      </w:r>
      <w:r>
        <w:rPr>
          <w:rFonts w:ascii="Abadi" w:hAnsi="Abadi" w:cs="Verdana"/>
          <w:sz w:val="21"/>
          <w:szCs w:val="21"/>
        </w:rPr>
        <w:t xml:space="preserve"> - - </w:t>
      </w:r>
      <w:r w:rsidR="0012414E">
        <w:rPr>
          <w:rFonts w:ascii="Abadi" w:hAnsi="Abadi" w:cs="Verdana"/>
          <w:sz w:val="21"/>
          <w:szCs w:val="21"/>
        </w:rPr>
        <w:tab/>
      </w:r>
      <w:r w:rsidRPr="00CF79E5">
        <w:rPr>
          <w:rFonts w:ascii="Abadi" w:hAnsi="Abadi" w:cs="Verdana"/>
          <w:sz w:val="21"/>
          <w:szCs w:val="21"/>
        </w:rPr>
        <w:t>Una vez lo cual, la presidencia turnó la propuesta de punto de acuerdo a la Comisión de Salud</w:t>
      </w:r>
      <w:r>
        <w:rPr>
          <w:rFonts w:ascii="Abadi" w:hAnsi="Abadi" w:cs="Verdana"/>
          <w:sz w:val="21"/>
          <w:szCs w:val="21"/>
        </w:rPr>
        <w:t xml:space="preserve"> </w:t>
      </w:r>
      <w:r w:rsidRPr="00CF79E5">
        <w:rPr>
          <w:rFonts w:ascii="Abadi" w:hAnsi="Abadi" w:cs="Verdana"/>
          <w:sz w:val="21"/>
          <w:szCs w:val="21"/>
        </w:rPr>
        <w:t>Pública para su estudio y dictamen, con fundamento en el artículo ciento dieciocho -fracciones</w:t>
      </w:r>
      <w:r w:rsidR="0012414E">
        <w:rPr>
          <w:rFonts w:ascii="Abadi" w:hAnsi="Abadi" w:cs="Verdana"/>
          <w:sz w:val="21"/>
          <w:szCs w:val="21"/>
        </w:rPr>
        <w:t xml:space="preserve"> </w:t>
      </w:r>
      <w:r w:rsidRPr="00CF79E5">
        <w:rPr>
          <w:rFonts w:ascii="Abadi" w:hAnsi="Abadi" w:cs="Verdana"/>
          <w:sz w:val="21"/>
          <w:szCs w:val="21"/>
        </w:rPr>
        <w:t xml:space="preserve">segunda y cuarta- de la Ley Orgánica del Poder Legislativo del Estado. - - </w:t>
      </w:r>
    </w:p>
    <w:p w14:paraId="5BD99CAB" w14:textId="4B2613A3" w:rsidR="00EE744D" w:rsidRPr="00CF79E5" w:rsidRDefault="0012414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Por instrucción de la presidencia, la diputada Irma Leticia González Sánchez, integrante</w:t>
      </w:r>
      <w:r w:rsidR="00EE744D">
        <w:rPr>
          <w:rFonts w:ascii="Abadi" w:hAnsi="Abadi" w:cs="Verdana"/>
          <w:sz w:val="21"/>
          <w:szCs w:val="21"/>
        </w:rPr>
        <w:t xml:space="preserve"> </w:t>
      </w:r>
      <w:r w:rsidR="00EE744D" w:rsidRPr="00CF79E5">
        <w:rPr>
          <w:rFonts w:ascii="Abadi" w:hAnsi="Abadi" w:cs="Verdana"/>
          <w:sz w:val="21"/>
          <w:szCs w:val="21"/>
        </w:rPr>
        <w:t>del Grupo Parlamentario del Partido MORENA dio lectura a su propuesta de punto de acuerdo a</w:t>
      </w:r>
      <w:r w:rsidR="00EE744D">
        <w:rPr>
          <w:rFonts w:ascii="Abadi" w:hAnsi="Abadi" w:cs="Verdana"/>
          <w:sz w:val="21"/>
          <w:szCs w:val="21"/>
        </w:rPr>
        <w:t xml:space="preserve"> </w:t>
      </w:r>
      <w:r w:rsidR="00EE744D" w:rsidRPr="00CF79E5">
        <w:rPr>
          <w:rFonts w:ascii="Abadi" w:hAnsi="Abadi" w:cs="Verdana"/>
          <w:sz w:val="21"/>
          <w:szCs w:val="21"/>
        </w:rPr>
        <w:t>efecto de exhortar a los ayuntamientos del Estado (ELD 295/LXV-PPA). Agotada la lectura, la</w:t>
      </w:r>
      <w:r w:rsidR="00EE744D">
        <w:rPr>
          <w:rFonts w:ascii="Abadi" w:hAnsi="Abadi" w:cs="Verdana"/>
          <w:sz w:val="21"/>
          <w:szCs w:val="21"/>
        </w:rPr>
        <w:t xml:space="preserve"> </w:t>
      </w:r>
      <w:r w:rsidR="00EE744D" w:rsidRPr="00CF79E5">
        <w:rPr>
          <w:rFonts w:ascii="Abadi" w:hAnsi="Abadi" w:cs="Verdana"/>
          <w:sz w:val="21"/>
          <w:szCs w:val="21"/>
        </w:rPr>
        <w:t>presidencia turnó la propuesta de punto de acuerdo a la Comisión de Asuntos Municipales, para</w:t>
      </w:r>
      <w:r w:rsidR="00EE744D">
        <w:rPr>
          <w:rFonts w:ascii="Abadi" w:hAnsi="Abadi" w:cs="Verdana"/>
          <w:sz w:val="21"/>
          <w:szCs w:val="21"/>
        </w:rPr>
        <w:t xml:space="preserve"> </w:t>
      </w:r>
      <w:r w:rsidR="00EE744D" w:rsidRPr="00CF79E5">
        <w:rPr>
          <w:rFonts w:ascii="Abadi" w:hAnsi="Abadi" w:cs="Verdana"/>
          <w:sz w:val="21"/>
          <w:szCs w:val="21"/>
        </w:rPr>
        <w:t xml:space="preserve">su </w:t>
      </w:r>
      <w:r w:rsidR="00EE744D" w:rsidRPr="00CF79E5">
        <w:rPr>
          <w:rFonts w:ascii="Abadi" w:hAnsi="Abadi" w:cs="Verdana"/>
          <w:sz w:val="21"/>
          <w:szCs w:val="21"/>
        </w:rPr>
        <w:lastRenderedPageBreak/>
        <w:t>estudio y dictamen, con fundamento en el artículo ciento cuatro -fracción segunda- de la Ley</w:t>
      </w:r>
      <w:r w:rsidR="00EE744D">
        <w:rPr>
          <w:rFonts w:ascii="Abadi" w:hAnsi="Abadi" w:cs="Verdana"/>
          <w:sz w:val="21"/>
          <w:szCs w:val="21"/>
        </w:rPr>
        <w:t xml:space="preserve"> </w:t>
      </w:r>
      <w:r w:rsidR="00EE744D" w:rsidRPr="00CF79E5">
        <w:rPr>
          <w:rFonts w:ascii="Abadi" w:hAnsi="Abadi" w:cs="Verdana"/>
          <w:sz w:val="21"/>
          <w:szCs w:val="21"/>
        </w:rPr>
        <w:t xml:space="preserve">Orgánica del Poder Legislativo del Estado. </w:t>
      </w:r>
    </w:p>
    <w:p w14:paraId="465C37F1" w14:textId="796A6435"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la bienvenida a jóvenes del municipio de Romita, invitados por la</w:t>
      </w:r>
      <w:r>
        <w:rPr>
          <w:rFonts w:ascii="Abadi" w:hAnsi="Abadi" w:cs="Verdana"/>
          <w:sz w:val="21"/>
          <w:szCs w:val="21"/>
        </w:rPr>
        <w:t xml:space="preserve"> </w:t>
      </w:r>
      <w:r w:rsidRPr="00CF79E5">
        <w:rPr>
          <w:rFonts w:ascii="Abadi" w:hAnsi="Abadi" w:cs="Verdana"/>
          <w:sz w:val="21"/>
          <w:szCs w:val="21"/>
        </w:rPr>
        <w:t>diputada y el diputado integrantes del Grupo Parlamentario del Partido Verde Ecologista de México.</w:t>
      </w:r>
      <w:r w:rsidR="0012414E">
        <w:rPr>
          <w:rFonts w:ascii="Abadi" w:hAnsi="Abadi" w:cs="Verdana"/>
          <w:sz w:val="21"/>
          <w:szCs w:val="21"/>
        </w:rPr>
        <w:t xml:space="preserve"> - - - - - - - - - - - - - - - - </w:t>
      </w:r>
    </w:p>
    <w:p w14:paraId="5ADB0100" w14:textId="7F31E430" w:rsidR="00EE744D" w:rsidRPr="00CF79E5" w:rsidRDefault="0012414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Al existir votaciones en los siguientes puntos del orden del día, la Mesa Directiva se</w:t>
      </w:r>
      <w:r w:rsidR="00EE744D">
        <w:rPr>
          <w:rFonts w:ascii="Abadi" w:hAnsi="Abadi" w:cs="Verdana"/>
          <w:sz w:val="21"/>
          <w:szCs w:val="21"/>
        </w:rPr>
        <w:t xml:space="preserve"> </w:t>
      </w:r>
      <w:r w:rsidR="00EE744D" w:rsidRPr="00CF79E5">
        <w:rPr>
          <w:rFonts w:ascii="Abadi" w:hAnsi="Abadi" w:cs="Verdana"/>
          <w:sz w:val="21"/>
          <w:szCs w:val="21"/>
        </w:rPr>
        <w:t>cercioró de la presencia de las diputadas y los diputados asistentes a la presente sesión; y la</w:t>
      </w:r>
      <w:r w:rsidR="00EE744D">
        <w:rPr>
          <w:rFonts w:ascii="Abadi" w:hAnsi="Abadi" w:cs="Verdana"/>
          <w:sz w:val="21"/>
          <w:szCs w:val="21"/>
        </w:rPr>
        <w:t xml:space="preserve"> </w:t>
      </w:r>
      <w:r w:rsidR="00EE744D" w:rsidRPr="00CF79E5">
        <w:rPr>
          <w:rFonts w:ascii="Abadi" w:hAnsi="Abadi" w:cs="Verdana"/>
          <w:sz w:val="21"/>
          <w:szCs w:val="21"/>
        </w:rPr>
        <w:t>presidencia les solicitó abstenerse de abandonar el salón de sesiones durante las votaciones. - - -</w:t>
      </w:r>
      <w:r w:rsidR="00EE744D">
        <w:rPr>
          <w:rFonts w:ascii="Abadi" w:hAnsi="Abadi" w:cs="Verdana"/>
          <w:sz w:val="21"/>
          <w:szCs w:val="21"/>
        </w:rPr>
        <w:t xml:space="preserve"> - - - - - - - - - - -</w:t>
      </w:r>
      <w:r>
        <w:rPr>
          <w:rFonts w:ascii="Abadi" w:hAnsi="Abadi" w:cs="Verdana"/>
          <w:sz w:val="21"/>
          <w:szCs w:val="21"/>
        </w:rPr>
        <w:t xml:space="preserve"> - - - - - - - - - </w:t>
      </w:r>
    </w:p>
    <w:p w14:paraId="255F2F18" w14:textId="38EE8076"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A solicitud de la presidencia, el diputado Víctor Manuel Zanella Huerta dio lectura a la</w:t>
      </w:r>
      <w:r>
        <w:rPr>
          <w:rFonts w:ascii="Abadi" w:hAnsi="Abadi" w:cs="Verdana"/>
          <w:sz w:val="21"/>
          <w:szCs w:val="21"/>
        </w:rPr>
        <w:t xml:space="preserve"> </w:t>
      </w:r>
      <w:r w:rsidRPr="00CF79E5">
        <w:rPr>
          <w:rFonts w:ascii="Abadi" w:hAnsi="Abadi" w:cs="Verdana"/>
          <w:sz w:val="21"/>
          <w:szCs w:val="21"/>
        </w:rPr>
        <w:t>propuesta de punto de acuerdo de obvia resolución suscrita por diputadas y diputados integrantes</w:t>
      </w:r>
      <w:r w:rsidR="0012414E">
        <w:rPr>
          <w:rFonts w:ascii="Abadi" w:hAnsi="Abadi" w:cs="Verdana"/>
          <w:sz w:val="21"/>
          <w:szCs w:val="21"/>
        </w:rPr>
        <w:t xml:space="preserve"> </w:t>
      </w:r>
      <w:r w:rsidRPr="00CF79E5">
        <w:rPr>
          <w:rFonts w:ascii="Abadi" w:hAnsi="Abadi" w:cs="Verdana"/>
          <w:sz w:val="21"/>
          <w:szCs w:val="21"/>
        </w:rPr>
        <w:t>del Grupo Parlamentario del Partido Acción Nacional a efecto de instruir al Auditor Superior del</w:t>
      </w:r>
      <w:r>
        <w:rPr>
          <w:rFonts w:ascii="Abadi" w:hAnsi="Abadi" w:cs="Verdana"/>
          <w:sz w:val="21"/>
          <w:szCs w:val="21"/>
        </w:rPr>
        <w:t xml:space="preserve"> </w:t>
      </w:r>
      <w:r w:rsidRPr="00CF79E5">
        <w:rPr>
          <w:rFonts w:ascii="Abadi" w:hAnsi="Abadi" w:cs="Verdana"/>
          <w:sz w:val="21"/>
          <w:szCs w:val="21"/>
        </w:rPr>
        <w:t>Estado la adición del Programa General de Fiscalización dos mil veintitrés (ELD 296/LXV-PPA). Una</w:t>
      </w:r>
      <w:r w:rsidR="0012414E">
        <w:rPr>
          <w:rFonts w:ascii="Abadi" w:hAnsi="Abadi" w:cs="Verdana"/>
          <w:sz w:val="21"/>
          <w:szCs w:val="21"/>
        </w:rPr>
        <w:t xml:space="preserve"> </w:t>
      </w:r>
      <w:r w:rsidRPr="00CF79E5">
        <w:rPr>
          <w:rFonts w:ascii="Abadi" w:hAnsi="Abadi" w:cs="Verdana"/>
          <w:sz w:val="21"/>
          <w:szCs w:val="21"/>
        </w:rPr>
        <w:t>vez lo cual, se sometió a consideración de la Asamblea declarar el asunto de obvia resolución; al</w:t>
      </w:r>
      <w:r>
        <w:rPr>
          <w:rFonts w:ascii="Abadi" w:hAnsi="Abadi" w:cs="Verdana"/>
          <w:sz w:val="21"/>
          <w:szCs w:val="21"/>
        </w:rPr>
        <w:t xml:space="preserve"> </w:t>
      </w:r>
      <w:r w:rsidRPr="00CF79E5">
        <w:rPr>
          <w:rFonts w:ascii="Abadi" w:hAnsi="Abadi" w:cs="Verdana"/>
          <w:sz w:val="21"/>
          <w:szCs w:val="21"/>
        </w:rPr>
        <w:t>no registrarse participaciones se recabó votación económica -en la modalidad electrónica-,</w:t>
      </w:r>
      <w:r>
        <w:rPr>
          <w:rFonts w:ascii="Abadi" w:hAnsi="Abadi" w:cs="Verdana"/>
          <w:sz w:val="21"/>
          <w:szCs w:val="21"/>
        </w:rPr>
        <w:t xml:space="preserve"> </w:t>
      </w:r>
      <w:r w:rsidRPr="00CF79E5">
        <w:rPr>
          <w:rFonts w:ascii="Abadi" w:hAnsi="Abadi" w:cs="Verdana"/>
          <w:sz w:val="21"/>
          <w:szCs w:val="21"/>
        </w:rPr>
        <w:t>resultando aprobada la obvia resolución por unanimidad de los presentes, con treinta cinco votos.</w:t>
      </w:r>
      <w:r w:rsidR="0012414E" w:rsidRPr="0012414E">
        <w:rPr>
          <w:rFonts w:ascii="Abadi" w:hAnsi="Abadi" w:cs="Verdana"/>
          <w:sz w:val="21"/>
          <w:szCs w:val="21"/>
        </w:rPr>
        <w:t xml:space="preserve"> </w:t>
      </w:r>
      <w:r w:rsidR="0012414E" w:rsidRPr="00CF79E5">
        <w:rPr>
          <w:rFonts w:ascii="Abadi" w:hAnsi="Abadi" w:cs="Verdana"/>
          <w:sz w:val="21"/>
          <w:szCs w:val="21"/>
        </w:rPr>
        <w:t xml:space="preserve">- - - </w:t>
      </w:r>
    </w:p>
    <w:p w14:paraId="4F9E7B4B" w14:textId="653263DD"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En consecuencia, se sometió a discusión el punto de acuerdo, registrándose las participaciones de las diputadas Ruth Noemí Tiscareño Agoitia para hablar en contra y Hades Berenice Aguilar Castillo</w:t>
      </w:r>
      <w:r>
        <w:rPr>
          <w:rFonts w:ascii="Abadi" w:hAnsi="Abadi" w:cs="Verdana"/>
          <w:sz w:val="21"/>
          <w:szCs w:val="21"/>
        </w:rPr>
        <w:t xml:space="preserve"> </w:t>
      </w:r>
      <w:r w:rsidRPr="00CF79E5">
        <w:rPr>
          <w:rFonts w:ascii="Abadi" w:hAnsi="Abadi" w:cs="Verdana"/>
          <w:sz w:val="21"/>
          <w:szCs w:val="21"/>
        </w:rPr>
        <w:t>para hablar a favor y presentar una propuesta de modificación. Agotadas las intervenciones, se</w:t>
      </w:r>
      <w:r>
        <w:rPr>
          <w:rFonts w:ascii="Abadi" w:hAnsi="Abadi" w:cs="Verdana"/>
          <w:sz w:val="21"/>
          <w:szCs w:val="21"/>
        </w:rPr>
        <w:t xml:space="preserve"> </w:t>
      </w:r>
      <w:r w:rsidRPr="00CF79E5">
        <w:rPr>
          <w:rFonts w:ascii="Abadi" w:hAnsi="Abadi" w:cs="Verdana"/>
          <w:sz w:val="21"/>
          <w:szCs w:val="21"/>
        </w:rPr>
        <w:t>sometió a votación nominal -mediante el sistema electrónico- la propuesta de modificación</w:t>
      </w:r>
      <w:r>
        <w:rPr>
          <w:rFonts w:ascii="Abadi" w:hAnsi="Abadi" w:cs="Verdana"/>
          <w:sz w:val="21"/>
          <w:szCs w:val="21"/>
        </w:rPr>
        <w:t xml:space="preserve"> </w:t>
      </w:r>
      <w:r w:rsidRPr="00CF79E5">
        <w:rPr>
          <w:rFonts w:ascii="Abadi" w:hAnsi="Abadi" w:cs="Verdana"/>
          <w:sz w:val="21"/>
          <w:szCs w:val="21"/>
        </w:rPr>
        <w:t>presentada por la diputada Hades Berenice Aguilar Castillo, la cual no se aprobó por mayoría, al</w:t>
      </w:r>
      <w:r>
        <w:rPr>
          <w:rFonts w:ascii="Abadi" w:hAnsi="Abadi" w:cs="Verdana"/>
          <w:sz w:val="21"/>
          <w:szCs w:val="21"/>
        </w:rPr>
        <w:t xml:space="preserve"> </w:t>
      </w:r>
      <w:r w:rsidRPr="00CF79E5">
        <w:rPr>
          <w:rFonts w:ascii="Abadi" w:hAnsi="Abadi" w:cs="Verdana"/>
          <w:sz w:val="21"/>
          <w:szCs w:val="21"/>
        </w:rPr>
        <w:t>registrarse doce votos a favor y veintitrés votos en contra. En consecuencia, se recabó votación</w:t>
      </w:r>
      <w:r>
        <w:rPr>
          <w:rFonts w:ascii="Abadi" w:hAnsi="Abadi" w:cs="Verdana"/>
          <w:sz w:val="21"/>
          <w:szCs w:val="21"/>
        </w:rPr>
        <w:t xml:space="preserve"> </w:t>
      </w:r>
      <w:r w:rsidRPr="00CF79E5">
        <w:rPr>
          <w:rFonts w:ascii="Abadi" w:hAnsi="Abadi" w:cs="Verdana"/>
          <w:sz w:val="21"/>
          <w:szCs w:val="21"/>
        </w:rPr>
        <w:t>nominal -en la modalidad electrónica- para aprobar el punto de acuerdo, mismo que no se aprobó</w:t>
      </w:r>
      <w:r>
        <w:rPr>
          <w:rFonts w:ascii="Abadi" w:hAnsi="Abadi" w:cs="Verdana"/>
          <w:sz w:val="21"/>
          <w:szCs w:val="21"/>
        </w:rPr>
        <w:t xml:space="preserve"> </w:t>
      </w:r>
      <w:r w:rsidRPr="00CF79E5">
        <w:rPr>
          <w:rFonts w:ascii="Abadi" w:hAnsi="Abadi" w:cs="Verdana"/>
          <w:sz w:val="21"/>
          <w:szCs w:val="21"/>
        </w:rPr>
        <w:t>por mayoría, al computarse veintidós votos a favor y trece votos en contra. Los diputados Gerardo</w:t>
      </w:r>
      <w:r>
        <w:rPr>
          <w:rFonts w:ascii="Abadi" w:hAnsi="Abadi" w:cs="Verdana"/>
          <w:sz w:val="21"/>
          <w:szCs w:val="21"/>
        </w:rPr>
        <w:t xml:space="preserve"> </w:t>
      </w:r>
      <w:r w:rsidRPr="00CF79E5">
        <w:rPr>
          <w:rFonts w:ascii="Abadi" w:hAnsi="Abadi" w:cs="Verdana"/>
          <w:sz w:val="21"/>
          <w:szCs w:val="21"/>
        </w:rPr>
        <w:t>Fernández González, Ernesto Alejandro Prieto Gallardo y Víctor Manuel Zanella Huerta, así como</w:t>
      </w:r>
      <w:r>
        <w:rPr>
          <w:rFonts w:ascii="Abadi" w:hAnsi="Abadi" w:cs="Verdana"/>
          <w:sz w:val="21"/>
          <w:szCs w:val="21"/>
        </w:rPr>
        <w:t xml:space="preserve"> </w:t>
      </w:r>
      <w:r w:rsidRPr="00CF79E5">
        <w:rPr>
          <w:rFonts w:ascii="Abadi" w:hAnsi="Abadi" w:cs="Verdana"/>
          <w:sz w:val="21"/>
          <w:szCs w:val="21"/>
        </w:rPr>
        <w:t>la diputada Alma Edwviges Alcaraz Hernández razonaron su voto -los dos primeros y la tercera,</w:t>
      </w:r>
      <w:r>
        <w:rPr>
          <w:rFonts w:ascii="Abadi" w:hAnsi="Abadi" w:cs="Verdana"/>
          <w:sz w:val="21"/>
          <w:szCs w:val="21"/>
        </w:rPr>
        <w:t xml:space="preserve"> </w:t>
      </w:r>
      <w:r w:rsidRPr="00CF79E5">
        <w:rPr>
          <w:rFonts w:ascii="Abadi" w:hAnsi="Abadi" w:cs="Verdana"/>
          <w:sz w:val="21"/>
          <w:szCs w:val="21"/>
        </w:rPr>
        <w:t>en contra y el segundo, a favor- con fundamento en el artículo doscientos dos de la Ley Orgánica</w:t>
      </w:r>
      <w:r>
        <w:rPr>
          <w:rFonts w:ascii="Abadi" w:hAnsi="Abadi" w:cs="Verdana"/>
          <w:sz w:val="21"/>
          <w:szCs w:val="21"/>
        </w:rPr>
        <w:t xml:space="preserve"> </w:t>
      </w:r>
      <w:r w:rsidRPr="00CF79E5">
        <w:rPr>
          <w:rFonts w:ascii="Abadi" w:hAnsi="Abadi" w:cs="Verdana"/>
          <w:sz w:val="21"/>
          <w:szCs w:val="21"/>
        </w:rPr>
        <w:t xml:space="preserve">del </w:t>
      </w:r>
      <w:r w:rsidRPr="00CF79E5">
        <w:rPr>
          <w:rFonts w:ascii="Abadi" w:hAnsi="Abadi" w:cs="Verdana"/>
          <w:sz w:val="21"/>
          <w:szCs w:val="21"/>
        </w:rPr>
        <w:t>Poder Legislativo del Estado. En consecuencia, la presidencia instruyó a la Secretaría General</w:t>
      </w:r>
      <w:r>
        <w:rPr>
          <w:rFonts w:ascii="Abadi" w:hAnsi="Abadi" w:cs="Verdana"/>
          <w:sz w:val="21"/>
          <w:szCs w:val="21"/>
        </w:rPr>
        <w:t xml:space="preserve"> </w:t>
      </w:r>
      <w:r w:rsidRPr="00CF79E5">
        <w:rPr>
          <w:rFonts w:ascii="Abadi" w:hAnsi="Abadi" w:cs="Verdana"/>
          <w:sz w:val="21"/>
          <w:szCs w:val="21"/>
        </w:rPr>
        <w:t xml:space="preserve">el archivo definitivo de la propuesta de punto de acuerdo. - - - - - - - - - - - - - - - - - - - - - </w:t>
      </w:r>
      <w:r w:rsidR="0012414E">
        <w:rPr>
          <w:rFonts w:ascii="Abadi" w:hAnsi="Abadi" w:cs="Verdana"/>
          <w:sz w:val="21"/>
          <w:szCs w:val="21"/>
        </w:rPr>
        <w:t>- -</w:t>
      </w:r>
    </w:p>
    <w:p w14:paraId="4EE85221" w14:textId="30C2FF44"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Por instrucción de la presidencia, el diputado David Martínez Mendizábal, integrante del</w:t>
      </w:r>
      <w:r>
        <w:rPr>
          <w:rFonts w:ascii="Abadi" w:hAnsi="Abadi" w:cs="Verdana"/>
          <w:sz w:val="21"/>
          <w:szCs w:val="21"/>
        </w:rPr>
        <w:t xml:space="preserve"> </w:t>
      </w:r>
      <w:r w:rsidRPr="00CF79E5">
        <w:rPr>
          <w:rFonts w:ascii="Abadi" w:hAnsi="Abadi" w:cs="Verdana"/>
          <w:sz w:val="21"/>
          <w:szCs w:val="21"/>
        </w:rPr>
        <w:t>Grupo Parlamentario del Partido MORENA dio lectura a su propuesta de punto de acuerdo de obvia</w:t>
      </w:r>
      <w:r w:rsidR="0012414E">
        <w:rPr>
          <w:rFonts w:ascii="Abadi" w:hAnsi="Abadi" w:cs="Verdana"/>
          <w:sz w:val="21"/>
          <w:szCs w:val="21"/>
        </w:rPr>
        <w:t xml:space="preserve"> </w:t>
      </w:r>
      <w:r w:rsidRPr="00CF79E5">
        <w:rPr>
          <w:rFonts w:ascii="Abadi" w:hAnsi="Abadi" w:cs="Verdana"/>
          <w:sz w:val="21"/>
          <w:szCs w:val="21"/>
        </w:rPr>
        <w:t>resolución a fin de exhortar al Fiscal General del Estado de Guanajuato (ELD 297/LXV-PPA). Una</w:t>
      </w:r>
      <w:r>
        <w:rPr>
          <w:rFonts w:ascii="Abadi" w:hAnsi="Abadi" w:cs="Verdana"/>
          <w:sz w:val="21"/>
          <w:szCs w:val="21"/>
        </w:rPr>
        <w:t xml:space="preserve"> </w:t>
      </w:r>
      <w:r w:rsidRPr="00CF79E5">
        <w:rPr>
          <w:rFonts w:ascii="Abadi" w:hAnsi="Abadi" w:cs="Verdana"/>
          <w:sz w:val="21"/>
          <w:szCs w:val="21"/>
        </w:rPr>
        <w:t>vez lo cual, se sometió a consideración de la Asamblea declarar el asunto de obvia resolución; al</w:t>
      </w:r>
      <w:r>
        <w:rPr>
          <w:rFonts w:ascii="Abadi" w:hAnsi="Abadi" w:cs="Verdana"/>
          <w:sz w:val="21"/>
          <w:szCs w:val="21"/>
        </w:rPr>
        <w:t xml:space="preserve"> </w:t>
      </w:r>
      <w:r w:rsidRPr="00CF79E5">
        <w:rPr>
          <w:rFonts w:ascii="Abadi" w:hAnsi="Abadi" w:cs="Verdana"/>
          <w:sz w:val="21"/>
          <w:szCs w:val="21"/>
        </w:rPr>
        <w:t>no registrarse participaciones se recabó votación económica -en la modalidad electrónica-,</w:t>
      </w:r>
      <w:r>
        <w:rPr>
          <w:rFonts w:ascii="Abadi" w:hAnsi="Abadi" w:cs="Verdana"/>
          <w:sz w:val="21"/>
          <w:szCs w:val="21"/>
        </w:rPr>
        <w:t xml:space="preserve"> </w:t>
      </w:r>
      <w:r w:rsidRPr="00CF79E5">
        <w:rPr>
          <w:rFonts w:ascii="Abadi" w:hAnsi="Abadi" w:cs="Verdana"/>
          <w:sz w:val="21"/>
          <w:szCs w:val="21"/>
        </w:rPr>
        <w:t>resultando aprobada la obvia resolución por unanimidad de los presentes, con treinta y cinco</w:t>
      </w:r>
      <w:r>
        <w:rPr>
          <w:rFonts w:ascii="Abadi" w:hAnsi="Abadi" w:cs="Verdana"/>
          <w:sz w:val="21"/>
          <w:szCs w:val="21"/>
        </w:rPr>
        <w:t xml:space="preserve"> </w:t>
      </w:r>
      <w:r w:rsidRPr="00CF79E5">
        <w:rPr>
          <w:rFonts w:ascii="Abadi" w:hAnsi="Abadi" w:cs="Verdana"/>
          <w:sz w:val="21"/>
          <w:szCs w:val="21"/>
        </w:rPr>
        <w:t>votos. En consecuencia, se sometió a discusión el punto de acuerdo, registrándose la participación</w:t>
      </w:r>
      <w:r>
        <w:rPr>
          <w:rFonts w:ascii="Abadi" w:hAnsi="Abadi" w:cs="Verdana"/>
          <w:sz w:val="21"/>
          <w:szCs w:val="21"/>
        </w:rPr>
        <w:t xml:space="preserve"> </w:t>
      </w:r>
      <w:r w:rsidRPr="00CF79E5">
        <w:rPr>
          <w:rFonts w:ascii="Abadi" w:hAnsi="Abadi" w:cs="Verdana"/>
          <w:sz w:val="21"/>
          <w:szCs w:val="21"/>
        </w:rPr>
        <w:t>de la diputada Susana Bermúdez Cano para hablar en contra, a quien le rectificó hechos el diputado</w:t>
      </w:r>
      <w:r>
        <w:rPr>
          <w:rFonts w:ascii="Abadi" w:hAnsi="Abadi" w:cs="Verdana"/>
          <w:sz w:val="21"/>
          <w:szCs w:val="21"/>
        </w:rPr>
        <w:t xml:space="preserve"> </w:t>
      </w:r>
      <w:r w:rsidRPr="00CF79E5">
        <w:rPr>
          <w:rFonts w:ascii="Abadi" w:hAnsi="Abadi" w:cs="Verdana"/>
          <w:sz w:val="21"/>
          <w:szCs w:val="21"/>
        </w:rPr>
        <w:t>David Martínez Mendizábal. Agotadas las intervenciones, se recabó votación nominal -en la</w:t>
      </w:r>
      <w:r>
        <w:rPr>
          <w:rFonts w:ascii="Abadi" w:hAnsi="Abadi" w:cs="Verdana"/>
          <w:sz w:val="21"/>
          <w:szCs w:val="21"/>
        </w:rPr>
        <w:t xml:space="preserve"> </w:t>
      </w:r>
      <w:r w:rsidRPr="00CF79E5">
        <w:rPr>
          <w:rFonts w:ascii="Abadi" w:hAnsi="Abadi" w:cs="Verdana"/>
          <w:sz w:val="21"/>
          <w:szCs w:val="21"/>
        </w:rPr>
        <w:t>modalidad electrónica- no resultando aprobado el punto de acuerdo al computarse diez votos a</w:t>
      </w:r>
      <w:r>
        <w:rPr>
          <w:rFonts w:ascii="Abadi" w:hAnsi="Abadi" w:cs="Verdana"/>
          <w:sz w:val="21"/>
          <w:szCs w:val="21"/>
        </w:rPr>
        <w:t xml:space="preserve"> </w:t>
      </w:r>
      <w:r w:rsidRPr="00CF79E5">
        <w:rPr>
          <w:rFonts w:ascii="Abadi" w:hAnsi="Abadi" w:cs="Verdana"/>
          <w:sz w:val="21"/>
          <w:szCs w:val="21"/>
        </w:rPr>
        <w:t>favor y veintiún votos en contra. El diputado Alejandro Arias Ávila razonó su voto en contra, con</w:t>
      </w:r>
      <w:r>
        <w:rPr>
          <w:rFonts w:ascii="Abadi" w:hAnsi="Abadi" w:cs="Verdana"/>
          <w:sz w:val="21"/>
          <w:szCs w:val="21"/>
        </w:rPr>
        <w:t xml:space="preserve"> </w:t>
      </w:r>
      <w:r w:rsidRPr="00CF79E5">
        <w:rPr>
          <w:rFonts w:ascii="Abadi" w:hAnsi="Abadi" w:cs="Verdana"/>
          <w:sz w:val="21"/>
          <w:szCs w:val="21"/>
        </w:rPr>
        <w:t>fundamento en el artículo doscientos dos de la Ley Orgánica del Poder Legislativo del Estado. En</w:t>
      </w:r>
      <w:r>
        <w:rPr>
          <w:rFonts w:ascii="Abadi" w:hAnsi="Abadi" w:cs="Verdana"/>
          <w:sz w:val="21"/>
          <w:szCs w:val="21"/>
        </w:rPr>
        <w:t xml:space="preserve"> </w:t>
      </w:r>
      <w:r w:rsidRPr="00CF79E5">
        <w:rPr>
          <w:rFonts w:ascii="Abadi" w:hAnsi="Abadi" w:cs="Verdana"/>
          <w:sz w:val="21"/>
          <w:szCs w:val="21"/>
        </w:rPr>
        <w:t>consecuencia, la presidencia instruyó a la Secretaría General el archivo definitivo de la propuesta</w:t>
      </w:r>
      <w:r>
        <w:rPr>
          <w:rFonts w:ascii="Abadi" w:hAnsi="Abadi" w:cs="Verdana"/>
          <w:sz w:val="21"/>
          <w:szCs w:val="21"/>
        </w:rPr>
        <w:t xml:space="preserve"> </w:t>
      </w:r>
      <w:r w:rsidRPr="00CF79E5">
        <w:rPr>
          <w:rFonts w:ascii="Abadi" w:hAnsi="Abadi" w:cs="Verdana"/>
          <w:sz w:val="21"/>
          <w:szCs w:val="21"/>
        </w:rPr>
        <w:t xml:space="preserve">de punto de acuerdo. - - - - - - - - - - - - - - - - - - - - - - - - - </w:t>
      </w:r>
    </w:p>
    <w:p w14:paraId="776D710D" w14:textId="5B20AD78"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 xml:space="preserve">El diputado Ernesto Alejandro Prieto Gallardo, integrante del Grupo Parlamentario </w:t>
      </w:r>
      <w:proofErr w:type="gramStart"/>
      <w:r w:rsidRPr="00CF79E5">
        <w:rPr>
          <w:rFonts w:ascii="Abadi" w:hAnsi="Abadi" w:cs="Verdana"/>
          <w:sz w:val="21"/>
          <w:szCs w:val="21"/>
        </w:rPr>
        <w:t>del</w:t>
      </w:r>
      <w:r>
        <w:rPr>
          <w:rFonts w:ascii="Abadi" w:hAnsi="Abadi" w:cs="Verdana"/>
          <w:sz w:val="21"/>
          <w:szCs w:val="21"/>
        </w:rPr>
        <w:t xml:space="preserve">  </w:t>
      </w:r>
      <w:r w:rsidRPr="00CF79E5">
        <w:rPr>
          <w:rFonts w:ascii="Abadi" w:hAnsi="Abadi" w:cs="Verdana"/>
          <w:sz w:val="21"/>
          <w:szCs w:val="21"/>
        </w:rPr>
        <w:t>Partido</w:t>
      </w:r>
      <w:proofErr w:type="gramEnd"/>
      <w:r w:rsidRPr="00CF79E5">
        <w:rPr>
          <w:rFonts w:ascii="Abadi" w:hAnsi="Abadi" w:cs="Verdana"/>
          <w:sz w:val="21"/>
          <w:szCs w:val="21"/>
        </w:rPr>
        <w:t xml:space="preserve"> MORENA, a petición de la presidencia, dio lectura a su propuesta de punto de acuerdo de</w:t>
      </w:r>
      <w:r w:rsidR="0012414E">
        <w:rPr>
          <w:rFonts w:ascii="Abadi" w:hAnsi="Abadi" w:cs="Verdana"/>
          <w:sz w:val="21"/>
          <w:szCs w:val="21"/>
        </w:rPr>
        <w:t xml:space="preserve"> </w:t>
      </w:r>
      <w:r w:rsidRPr="00CF79E5">
        <w:rPr>
          <w:rFonts w:ascii="Abadi" w:hAnsi="Abadi" w:cs="Verdana"/>
          <w:sz w:val="21"/>
          <w:szCs w:val="21"/>
        </w:rPr>
        <w:t>obvia resolución a efecto de exhortar a los titulares de la Secretaría de Economía y de la Secretaría</w:t>
      </w:r>
      <w:r w:rsidR="0012414E">
        <w:rPr>
          <w:rFonts w:ascii="Abadi" w:hAnsi="Abadi" w:cs="Verdana"/>
          <w:sz w:val="21"/>
          <w:szCs w:val="21"/>
        </w:rPr>
        <w:t xml:space="preserve"> </w:t>
      </w:r>
      <w:r w:rsidRPr="00CF79E5">
        <w:rPr>
          <w:rFonts w:ascii="Abadi" w:hAnsi="Abadi" w:cs="Verdana"/>
          <w:sz w:val="21"/>
          <w:szCs w:val="21"/>
        </w:rPr>
        <w:t>de Hacienda y Crédito Público (ELD 298/LXV-PPA). Una vez lo cual, se sometió a consideración de</w:t>
      </w:r>
      <w:r w:rsidR="0012414E">
        <w:rPr>
          <w:rFonts w:ascii="Abadi" w:hAnsi="Abadi" w:cs="Verdana"/>
          <w:sz w:val="21"/>
          <w:szCs w:val="21"/>
        </w:rPr>
        <w:t xml:space="preserve"> </w:t>
      </w:r>
      <w:r w:rsidRPr="00CF79E5">
        <w:rPr>
          <w:rFonts w:ascii="Abadi" w:hAnsi="Abadi" w:cs="Verdana"/>
          <w:sz w:val="21"/>
          <w:szCs w:val="21"/>
        </w:rPr>
        <w:t>la Asamblea declarar el asunto de obvia resolución; al no registrarse participaciones se recabó</w:t>
      </w:r>
      <w:r>
        <w:rPr>
          <w:rFonts w:ascii="Abadi" w:hAnsi="Abadi" w:cs="Verdana"/>
          <w:sz w:val="21"/>
          <w:szCs w:val="21"/>
        </w:rPr>
        <w:t xml:space="preserve"> </w:t>
      </w:r>
      <w:r w:rsidRPr="00CF79E5">
        <w:rPr>
          <w:rFonts w:ascii="Abadi" w:hAnsi="Abadi" w:cs="Verdana"/>
          <w:sz w:val="21"/>
          <w:szCs w:val="21"/>
        </w:rPr>
        <w:t>votación económica -en la modalidad electrónica-, resultando aprobada la obvia resolución por</w:t>
      </w:r>
      <w:r>
        <w:rPr>
          <w:rFonts w:ascii="Abadi" w:hAnsi="Abadi" w:cs="Verdana"/>
          <w:sz w:val="21"/>
          <w:szCs w:val="21"/>
        </w:rPr>
        <w:t xml:space="preserve"> </w:t>
      </w:r>
      <w:r w:rsidRPr="00CF79E5">
        <w:rPr>
          <w:rFonts w:ascii="Abadi" w:hAnsi="Abadi" w:cs="Verdana"/>
          <w:sz w:val="21"/>
          <w:szCs w:val="21"/>
        </w:rPr>
        <w:t>unanimidad de los presentes, con treinta y tres votos. En consecuencia, se sometió a discusión el</w:t>
      </w:r>
      <w:r>
        <w:rPr>
          <w:rFonts w:ascii="Abadi" w:hAnsi="Abadi" w:cs="Verdana"/>
          <w:sz w:val="21"/>
          <w:szCs w:val="21"/>
        </w:rPr>
        <w:t xml:space="preserve"> </w:t>
      </w:r>
      <w:r w:rsidRPr="00CF79E5">
        <w:rPr>
          <w:rFonts w:ascii="Abadi" w:hAnsi="Abadi" w:cs="Verdana"/>
          <w:sz w:val="21"/>
          <w:szCs w:val="21"/>
        </w:rPr>
        <w:t xml:space="preserve">punto de acuerdo, registrándose la participación de los diputados Miguel Ángel Salim </w:t>
      </w:r>
      <w:proofErr w:type="spellStart"/>
      <w:r w:rsidRPr="00CF79E5">
        <w:rPr>
          <w:rFonts w:ascii="Abadi" w:hAnsi="Abadi" w:cs="Verdana"/>
          <w:sz w:val="21"/>
          <w:szCs w:val="21"/>
        </w:rPr>
        <w:t>Alle</w:t>
      </w:r>
      <w:proofErr w:type="spellEnd"/>
      <w:r w:rsidRPr="00CF79E5">
        <w:rPr>
          <w:rFonts w:ascii="Abadi" w:hAnsi="Abadi" w:cs="Verdana"/>
          <w:sz w:val="21"/>
          <w:szCs w:val="21"/>
        </w:rPr>
        <w:t xml:space="preserve"> -quien aceptó una interpelación del diputado Ernesto Millán Soberanes- y Gustavo Adolfo Alfaro Reyes</w:t>
      </w:r>
      <w:r>
        <w:rPr>
          <w:rFonts w:ascii="Abadi" w:hAnsi="Abadi" w:cs="Verdana"/>
          <w:sz w:val="21"/>
          <w:szCs w:val="21"/>
        </w:rPr>
        <w:t xml:space="preserve"> </w:t>
      </w:r>
      <w:r w:rsidRPr="00CF79E5">
        <w:rPr>
          <w:rFonts w:ascii="Abadi" w:hAnsi="Abadi" w:cs="Verdana"/>
          <w:sz w:val="21"/>
          <w:szCs w:val="21"/>
        </w:rPr>
        <w:t xml:space="preserve">para hablar a favor y este último además presentó una propuesta de </w:t>
      </w:r>
      <w:r w:rsidRPr="00CF79E5">
        <w:rPr>
          <w:rFonts w:ascii="Abadi" w:hAnsi="Abadi" w:cs="Verdana"/>
          <w:sz w:val="21"/>
          <w:szCs w:val="21"/>
        </w:rPr>
        <w:lastRenderedPageBreak/>
        <w:t>modificación. Agotadas las</w:t>
      </w:r>
      <w:r>
        <w:rPr>
          <w:rFonts w:ascii="Abadi" w:hAnsi="Abadi" w:cs="Verdana"/>
          <w:sz w:val="21"/>
          <w:szCs w:val="21"/>
        </w:rPr>
        <w:t xml:space="preserve"> </w:t>
      </w:r>
      <w:r w:rsidRPr="00CF79E5">
        <w:rPr>
          <w:rFonts w:ascii="Abadi" w:hAnsi="Abadi" w:cs="Verdana"/>
          <w:sz w:val="21"/>
          <w:szCs w:val="21"/>
        </w:rPr>
        <w:t>intervenciones, se sometió a votación nominal -mediante el sistema electrónico- la propuesta de</w:t>
      </w:r>
      <w:r>
        <w:rPr>
          <w:rFonts w:ascii="Abadi" w:hAnsi="Abadi" w:cs="Verdana"/>
          <w:sz w:val="21"/>
          <w:szCs w:val="21"/>
        </w:rPr>
        <w:t xml:space="preserve"> </w:t>
      </w:r>
      <w:r w:rsidRPr="00CF79E5">
        <w:rPr>
          <w:rFonts w:ascii="Abadi" w:hAnsi="Abadi" w:cs="Verdana"/>
          <w:sz w:val="21"/>
          <w:szCs w:val="21"/>
        </w:rPr>
        <w:t>modificación presentada por el diputado Gustavo Adolfo Alfaro Reyes, la cual resultó aprobada por</w:t>
      </w:r>
      <w:r w:rsidR="0012414E">
        <w:rPr>
          <w:rFonts w:ascii="Abadi" w:hAnsi="Abadi" w:cs="Verdana"/>
          <w:sz w:val="21"/>
          <w:szCs w:val="21"/>
        </w:rPr>
        <w:t xml:space="preserve"> </w:t>
      </w:r>
      <w:r w:rsidRPr="00CF79E5">
        <w:rPr>
          <w:rFonts w:ascii="Abadi" w:hAnsi="Abadi" w:cs="Verdana"/>
          <w:sz w:val="21"/>
          <w:szCs w:val="21"/>
        </w:rPr>
        <w:t>unanimidad de los presentes, al computarse treinta y cuatro votos. En consecuencia, la presidencia</w:t>
      </w:r>
      <w:r w:rsidR="0012414E">
        <w:rPr>
          <w:rFonts w:ascii="Abadi" w:hAnsi="Abadi" w:cs="Verdana"/>
          <w:sz w:val="21"/>
          <w:szCs w:val="21"/>
        </w:rPr>
        <w:t xml:space="preserve"> </w:t>
      </w:r>
      <w:r w:rsidRPr="00CF79E5">
        <w:rPr>
          <w:rFonts w:ascii="Abadi" w:hAnsi="Abadi" w:cs="Verdana"/>
          <w:sz w:val="21"/>
          <w:szCs w:val="21"/>
        </w:rPr>
        <w:t>instruyó remitir el acuerdo aprobado junto con sus consideraciones a los titulares de la Secretaría</w:t>
      </w:r>
    </w:p>
    <w:p w14:paraId="08DC2DBA" w14:textId="474A98FE" w:rsidR="00EE744D" w:rsidRPr="00CF79E5"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 xml:space="preserve">de Economía y de la Secretaría de Hacienda y Crédito Público, para los efectos conducentes. </w:t>
      </w:r>
      <w:r>
        <w:rPr>
          <w:rFonts w:ascii="Abadi" w:hAnsi="Abadi" w:cs="Verdana"/>
          <w:sz w:val="21"/>
          <w:szCs w:val="21"/>
        </w:rPr>
        <w:t xml:space="preserve"> </w:t>
      </w:r>
      <w:r>
        <w:rPr>
          <w:rFonts w:ascii="Abadi" w:hAnsi="Abadi" w:cs="Verdana"/>
          <w:sz w:val="21"/>
          <w:szCs w:val="21"/>
        </w:rPr>
        <w:tab/>
      </w:r>
      <w:r w:rsidRPr="00CF79E5">
        <w:rPr>
          <w:rFonts w:ascii="Abadi" w:hAnsi="Abadi" w:cs="Verdana"/>
          <w:sz w:val="21"/>
          <w:szCs w:val="21"/>
        </w:rPr>
        <w:t>Con el objeto de agilizar el trámite parlamentario de los asuntos agendados en los puntos</w:t>
      </w:r>
      <w:r>
        <w:rPr>
          <w:rFonts w:ascii="Abadi" w:hAnsi="Abadi" w:cs="Verdana"/>
          <w:sz w:val="21"/>
          <w:szCs w:val="21"/>
        </w:rPr>
        <w:t xml:space="preserve"> </w:t>
      </w:r>
      <w:r w:rsidRPr="00CF79E5">
        <w:rPr>
          <w:rFonts w:ascii="Abadi" w:hAnsi="Abadi" w:cs="Verdana"/>
          <w:sz w:val="21"/>
          <w:szCs w:val="21"/>
        </w:rPr>
        <w:t>del veintiuno al treinta y cuatro del orden del día, y en virtud de haberse proporcionado con</w:t>
      </w:r>
      <w:r>
        <w:rPr>
          <w:rFonts w:ascii="Abadi" w:hAnsi="Abadi" w:cs="Verdana"/>
          <w:sz w:val="21"/>
          <w:szCs w:val="21"/>
        </w:rPr>
        <w:t xml:space="preserve"> </w:t>
      </w:r>
      <w:r w:rsidRPr="00CF79E5">
        <w:rPr>
          <w:rFonts w:ascii="Abadi" w:hAnsi="Abadi" w:cs="Verdana"/>
          <w:sz w:val="21"/>
          <w:szCs w:val="21"/>
        </w:rPr>
        <w:t>anticipación, así como encontrarse en la Gaceta Parlamentaria, la presidencia propuso su dispensa</w:t>
      </w:r>
      <w:r w:rsidR="0012414E">
        <w:rPr>
          <w:rFonts w:ascii="Abadi" w:hAnsi="Abadi" w:cs="Verdana"/>
          <w:sz w:val="21"/>
          <w:szCs w:val="21"/>
        </w:rPr>
        <w:t xml:space="preserve"> </w:t>
      </w:r>
      <w:r w:rsidRPr="00CF79E5">
        <w:rPr>
          <w:rFonts w:ascii="Abadi" w:hAnsi="Abadi" w:cs="Verdana"/>
          <w:sz w:val="21"/>
          <w:szCs w:val="21"/>
        </w:rPr>
        <w:t>de lectura. Asimismo, propuso que los dictámenes emitidos por la Comisión de Hacienda y</w:t>
      </w:r>
      <w:r>
        <w:rPr>
          <w:rFonts w:ascii="Abadi" w:hAnsi="Abadi" w:cs="Verdana"/>
          <w:sz w:val="21"/>
          <w:szCs w:val="21"/>
        </w:rPr>
        <w:t xml:space="preserve"> </w:t>
      </w:r>
      <w:r w:rsidRPr="00CF79E5">
        <w:rPr>
          <w:rFonts w:ascii="Abadi" w:hAnsi="Abadi" w:cs="Verdana"/>
          <w:sz w:val="21"/>
          <w:szCs w:val="21"/>
        </w:rPr>
        <w:t>Fiscalización agendados en los puntos del veinticinco al treinta y cuatro del orden del día fueran</w:t>
      </w:r>
      <w:r>
        <w:rPr>
          <w:rFonts w:ascii="Abadi" w:hAnsi="Abadi" w:cs="Verdana"/>
          <w:sz w:val="21"/>
          <w:szCs w:val="21"/>
        </w:rPr>
        <w:t xml:space="preserve"> </w:t>
      </w:r>
      <w:r w:rsidRPr="00CF79E5">
        <w:rPr>
          <w:rFonts w:ascii="Abadi" w:hAnsi="Abadi" w:cs="Verdana"/>
          <w:sz w:val="21"/>
          <w:szCs w:val="21"/>
        </w:rPr>
        <w:t>sometidos a discusión y posterior votación en un solo acto. Puesta a consideración la propuesta,</w:t>
      </w:r>
      <w:r>
        <w:rPr>
          <w:rFonts w:ascii="Abadi" w:hAnsi="Abadi" w:cs="Verdana"/>
          <w:sz w:val="21"/>
          <w:szCs w:val="21"/>
        </w:rPr>
        <w:t xml:space="preserve"> </w:t>
      </w:r>
      <w:r w:rsidRPr="00CF79E5">
        <w:rPr>
          <w:rFonts w:ascii="Abadi" w:hAnsi="Abadi" w:cs="Verdana"/>
          <w:sz w:val="21"/>
          <w:szCs w:val="21"/>
        </w:rPr>
        <w:t>resultó aprobada en votación económica -en la modalidad electrónica- por unanimidad de los</w:t>
      </w:r>
      <w:r>
        <w:rPr>
          <w:rFonts w:ascii="Abadi" w:hAnsi="Abadi" w:cs="Verdana"/>
          <w:sz w:val="21"/>
          <w:szCs w:val="21"/>
        </w:rPr>
        <w:t xml:space="preserve"> </w:t>
      </w:r>
      <w:r w:rsidRPr="00CF79E5">
        <w:rPr>
          <w:rFonts w:ascii="Abadi" w:hAnsi="Abadi" w:cs="Verdana"/>
          <w:sz w:val="21"/>
          <w:szCs w:val="21"/>
        </w:rPr>
        <w:t>presentes, sin discusión, al computarse treinta y tres votos. Por lo que se procedió a desahogar el</w:t>
      </w:r>
    </w:p>
    <w:p w14:paraId="01D2E96D" w14:textId="43C7A9B9" w:rsidR="00EE744D" w:rsidRPr="00CF79E5"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 xml:space="preserve">orden del día en los términos aprobados. - - - </w:t>
      </w:r>
    </w:p>
    <w:p w14:paraId="522A57BD" w14:textId="13DC1A2C"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Se sometió a discusión en lo general el dictamen suscrito por la Comisión de Desarrollo</w:t>
      </w:r>
      <w:r>
        <w:rPr>
          <w:rFonts w:ascii="Abadi" w:hAnsi="Abadi" w:cs="Verdana"/>
          <w:sz w:val="21"/>
          <w:szCs w:val="21"/>
        </w:rPr>
        <w:t xml:space="preserve"> </w:t>
      </w:r>
      <w:r w:rsidRPr="00CF79E5">
        <w:rPr>
          <w:rFonts w:ascii="Abadi" w:hAnsi="Abadi" w:cs="Verdana"/>
          <w:sz w:val="21"/>
          <w:szCs w:val="21"/>
        </w:rPr>
        <w:t>Económico y Social relativo a la iniciativa formulada por diputadas y diputados integrantes del</w:t>
      </w:r>
      <w:r>
        <w:rPr>
          <w:rFonts w:ascii="Abadi" w:hAnsi="Abadi" w:cs="Verdana"/>
          <w:sz w:val="21"/>
          <w:szCs w:val="21"/>
        </w:rPr>
        <w:t xml:space="preserve"> </w:t>
      </w:r>
      <w:r w:rsidRPr="00CF79E5">
        <w:rPr>
          <w:rFonts w:ascii="Abadi" w:hAnsi="Abadi" w:cs="Verdana"/>
          <w:sz w:val="21"/>
          <w:szCs w:val="21"/>
        </w:rPr>
        <w:t>Grupo Parlamentario de Partido Acción Nacional a efecto de reformar y adicionar diversas</w:t>
      </w:r>
      <w:r>
        <w:rPr>
          <w:rFonts w:ascii="Abadi" w:hAnsi="Abadi" w:cs="Verdana"/>
          <w:sz w:val="21"/>
          <w:szCs w:val="21"/>
        </w:rPr>
        <w:t xml:space="preserve"> </w:t>
      </w:r>
      <w:r w:rsidRPr="00CF79E5">
        <w:rPr>
          <w:rFonts w:ascii="Abadi" w:hAnsi="Abadi" w:cs="Verdana"/>
          <w:sz w:val="21"/>
          <w:szCs w:val="21"/>
        </w:rPr>
        <w:t>disposiciones de la Ley de Mejora Regulatoria para el Estado de Guanajuato. Se registró la</w:t>
      </w:r>
      <w:r>
        <w:rPr>
          <w:rFonts w:ascii="Abadi" w:hAnsi="Abadi" w:cs="Verdana"/>
          <w:sz w:val="21"/>
          <w:szCs w:val="21"/>
        </w:rPr>
        <w:t xml:space="preserve"> </w:t>
      </w:r>
      <w:r w:rsidRPr="00CF79E5">
        <w:rPr>
          <w:rFonts w:ascii="Abadi" w:hAnsi="Abadi" w:cs="Verdana"/>
          <w:sz w:val="21"/>
          <w:szCs w:val="21"/>
        </w:rPr>
        <w:t xml:space="preserve">intervención del diputado Miguel Ángel Salim </w:t>
      </w:r>
      <w:proofErr w:type="spellStart"/>
      <w:r w:rsidRPr="00CF79E5">
        <w:rPr>
          <w:rFonts w:ascii="Abadi" w:hAnsi="Abadi" w:cs="Verdana"/>
          <w:sz w:val="21"/>
          <w:szCs w:val="21"/>
        </w:rPr>
        <w:t>Alle</w:t>
      </w:r>
      <w:proofErr w:type="spellEnd"/>
      <w:r w:rsidRPr="00CF79E5">
        <w:rPr>
          <w:rFonts w:ascii="Abadi" w:hAnsi="Abadi" w:cs="Verdana"/>
          <w:sz w:val="21"/>
          <w:szCs w:val="21"/>
        </w:rPr>
        <w:t xml:space="preserve"> para hablar a favor. Agotada la participación, se</w:t>
      </w:r>
      <w:r w:rsidR="0012414E">
        <w:rPr>
          <w:rFonts w:ascii="Abadi" w:hAnsi="Abadi" w:cs="Verdana"/>
          <w:sz w:val="21"/>
          <w:szCs w:val="21"/>
        </w:rPr>
        <w:t xml:space="preserve"> </w:t>
      </w:r>
      <w:r w:rsidRPr="00CF79E5">
        <w:rPr>
          <w:rFonts w:ascii="Abadi" w:hAnsi="Abadi" w:cs="Verdana"/>
          <w:sz w:val="21"/>
          <w:szCs w:val="21"/>
        </w:rPr>
        <w:t>recabó votación y resultó aprobado el dictamen en lo general por mayoría, en votación nominal -</w:t>
      </w:r>
      <w:r w:rsidR="0012414E">
        <w:rPr>
          <w:rFonts w:ascii="Abadi" w:hAnsi="Abadi" w:cs="Verdana"/>
          <w:sz w:val="21"/>
          <w:szCs w:val="21"/>
        </w:rPr>
        <w:t xml:space="preserve"> </w:t>
      </w:r>
      <w:r w:rsidRPr="00CF79E5">
        <w:rPr>
          <w:rFonts w:ascii="Abadi" w:hAnsi="Abadi" w:cs="Verdana"/>
          <w:sz w:val="21"/>
          <w:szCs w:val="21"/>
        </w:rPr>
        <w:t>en la modalidad electrónica- al registrarse veintiún votos a favor y doce votos en contra. La</w:t>
      </w:r>
      <w:r>
        <w:rPr>
          <w:rFonts w:ascii="Abadi" w:hAnsi="Abadi" w:cs="Verdana"/>
          <w:sz w:val="21"/>
          <w:szCs w:val="21"/>
        </w:rPr>
        <w:t xml:space="preserve"> </w:t>
      </w:r>
      <w:r w:rsidRPr="00CF79E5">
        <w:rPr>
          <w:rFonts w:ascii="Abadi" w:hAnsi="Abadi" w:cs="Verdana"/>
          <w:sz w:val="21"/>
          <w:szCs w:val="21"/>
        </w:rPr>
        <w:t xml:space="preserve">diputada Dessire </w:t>
      </w:r>
      <w:proofErr w:type="spellStart"/>
      <w:r w:rsidRPr="00CF79E5">
        <w:rPr>
          <w:rFonts w:ascii="Abadi" w:hAnsi="Abadi" w:cs="Verdana"/>
          <w:sz w:val="21"/>
          <w:szCs w:val="21"/>
        </w:rPr>
        <w:t>Angel</w:t>
      </w:r>
      <w:proofErr w:type="spellEnd"/>
      <w:r w:rsidRPr="00CF79E5">
        <w:rPr>
          <w:rFonts w:ascii="Abadi" w:hAnsi="Abadi" w:cs="Verdana"/>
          <w:sz w:val="21"/>
          <w:szCs w:val="21"/>
        </w:rPr>
        <w:t xml:space="preserve"> Rocha razonó su voto en contra, con fundamento en el artículo doscientos</w:t>
      </w:r>
      <w:r>
        <w:rPr>
          <w:rFonts w:ascii="Abadi" w:hAnsi="Abadi" w:cs="Verdana"/>
          <w:sz w:val="21"/>
          <w:szCs w:val="21"/>
        </w:rPr>
        <w:t xml:space="preserve"> </w:t>
      </w:r>
      <w:r w:rsidRPr="00CF79E5">
        <w:rPr>
          <w:rFonts w:ascii="Abadi" w:hAnsi="Abadi" w:cs="Verdana"/>
          <w:sz w:val="21"/>
          <w:szCs w:val="21"/>
        </w:rPr>
        <w:t>dos de la Ley Orgánica del Poder Legislativo del Estado. A continuación, se sometió a discusión el</w:t>
      </w:r>
      <w:r>
        <w:rPr>
          <w:rFonts w:ascii="Abadi" w:hAnsi="Abadi" w:cs="Verdana"/>
          <w:sz w:val="21"/>
          <w:szCs w:val="21"/>
        </w:rPr>
        <w:t xml:space="preserve"> </w:t>
      </w:r>
      <w:r w:rsidRPr="00CF79E5">
        <w:rPr>
          <w:rFonts w:ascii="Abadi" w:hAnsi="Abadi" w:cs="Verdana"/>
          <w:sz w:val="21"/>
          <w:szCs w:val="21"/>
        </w:rPr>
        <w:t>dictamen en lo particular, registrándose la intervención de la diputada Susana Bermúdez Cano</w:t>
      </w:r>
      <w:r>
        <w:rPr>
          <w:rFonts w:ascii="Abadi" w:hAnsi="Abadi" w:cs="Verdana"/>
          <w:sz w:val="21"/>
          <w:szCs w:val="21"/>
        </w:rPr>
        <w:t xml:space="preserve"> </w:t>
      </w:r>
      <w:r w:rsidRPr="00CF79E5">
        <w:rPr>
          <w:rFonts w:ascii="Abadi" w:hAnsi="Abadi" w:cs="Verdana"/>
          <w:sz w:val="21"/>
          <w:szCs w:val="21"/>
        </w:rPr>
        <w:t>para reservarse los artículos tres, fracción primera y en el caso de la fracción décima séptima del</w:t>
      </w:r>
      <w:r>
        <w:rPr>
          <w:rFonts w:ascii="Abadi" w:hAnsi="Abadi" w:cs="Verdana"/>
          <w:sz w:val="21"/>
          <w:szCs w:val="21"/>
        </w:rPr>
        <w:t xml:space="preserve"> </w:t>
      </w:r>
      <w:r w:rsidRPr="00CF79E5">
        <w:rPr>
          <w:rFonts w:ascii="Abadi" w:hAnsi="Abadi" w:cs="Verdana"/>
          <w:sz w:val="21"/>
          <w:szCs w:val="21"/>
        </w:rPr>
        <w:t xml:space="preserve">dictamen en los términos y alcances de la </w:t>
      </w:r>
      <w:r w:rsidRPr="00CF79E5">
        <w:rPr>
          <w:rFonts w:ascii="Abadi" w:hAnsi="Abadi" w:cs="Verdana"/>
          <w:sz w:val="21"/>
          <w:szCs w:val="21"/>
        </w:rPr>
        <w:t>fracción décima segunda vigente, y párrafo cuarto del</w:t>
      </w:r>
      <w:r>
        <w:rPr>
          <w:rFonts w:ascii="Abadi" w:hAnsi="Abadi" w:cs="Verdana"/>
          <w:sz w:val="21"/>
          <w:szCs w:val="21"/>
        </w:rPr>
        <w:t xml:space="preserve"> </w:t>
      </w:r>
      <w:r w:rsidRPr="00CF79E5">
        <w:rPr>
          <w:rFonts w:ascii="Abadi" w:hAnsi="Abadi" w:cs="Verdana"/>
          <w:sz w:val="21"/>
          <w:szCs w:val="21"/>
        </w:rPr>
        <w:t>artículo diecisiete, la cual se aprobó por mayoría, en votación nominal -en la modalidad</w:t>
      </w:r>
      <w:r>
        <w:rPr>
          <w:rFonts w:ascii="Abadi" w:hAnsi="Abadi" w:cs="Verdana"/>
          <w:sz w:val="21"/>
          <w:szCs w:val="21"/>
        </w:rPr>
        <w:t xml:space="preserve"> </w:t>
      </w:r>
      <w:r w:rsidRPr="00CF79E5">
        <w:rPr>
          <w:rFonts w:ascii="Abadi" w:hAnsi="Abadi" w:cs="Verdana"/>
          <w:sz w:val="21"/>
          <w:szCs w:val="21"/>
        </w:rPr>
        <w:t>electrónica- al computarse veintinueve votos a favor y tres votos en contra, sin discusión. La</w:t>
      </w:r>
      <w:r>
        <w:rPr>
          <w:rFonts w:ascii="Abadi" w:hAnsi="Abadi" w:cs="Verdana"/>
          <w:sz w:val="21"/>
          <w:szCs w:val="21"/>
        </w:rPr>
        <w:t xml:space="preserve"> </w:t>
      </w:r>
      <w:r w:rsidRPr="00CF79E5">
        <w:rPr>
          <w:rFonts w:ascii="Abadi" w:hAnsi="Abadi" w:cs="Verdana"/>
          <w:sz w:val="21"/>
          <w:szCs w:val="21"/>
        </w:rPr>
        <w:t xml:space="preserve">diputada Dessire </w:t>
      </w:r>
      <w:proofErr w:type="spellStart"/>
      <w:r w:rsidRPr="00CF79E5">
        <w:rPr>
          <w:rFonts w:ascii="Abadi" w:hAnsi="Abadi" w:cs="Verdana"/>
          <w:sz w:val="21"/>
          <w:szCs w:val="21"/>
        </w:rPr>
        <w:t>Angel</w:t>
      </w:r>
      <w:proofErr w:type="spellEnd"/>
      <w:r w:rsidRPr="00CF79E5">
        <w:rPr>
          <w:rFonts w:ascii="Abadi" w:hAnsi="Abadi" w:cs="Verdana"/>
          <w:sz w:val="21"/>
          <w:szCs w:val="21"/>
        </w:rPr>
        <w:t xml:space="preserve"> Rocha razonó su voto en contra, con fundamento en el artículo doscientos</w:t>
      </w:r>
      <w:r>
        <w:rPr>
          <w:rFonts w:ascii="Abadi" w:hAnsi="Abadi" w:cs="Verdana"/>
          <w:sz w:val="21"/>
          <w:szCs w:val="21"/>
        </w:rPr>
        <w:t xml:space="preserve"> </w:t>
      </w:r>
      <w:r w:rsidRPr="00CF79E5">
        <w:rPr>
          <w:rFonts w:ascii="Abadi" w:hAnsi="Abadi" w:cs="Verdana"/>
          <w:sz w:val="21"/>
          <w:szCs w:val="21"/>
        </w:rPr>
        <w:t>dos de la Ley Orgánica del Poder Legislativo del Estado. La presidencia declaró tener por aprobados</w:t>
      </w:r>
      <w:r>
        <w:rPr>
          <w:rFonts w:ascii="Abadi" w:hAnsi="Abadi" w:cs="Verdana"/>
          <w:sz w:val="21"/>
          <w:szCs w:val="21"/>
        </w:rPr>
        <w:t xml:space="preserve"> </w:t>
      </w:r>
      <w:r w:rsidRPr="00CF79E5">
        <w:rPr>
          <w:rFonts w:ascii="Abadi" w:hAnsi="Abadi" w:cs="Verdana"/>
          <w:sz w:val="21"/>
          <w:szCs w:val="21"/>
        </w:rPr>
        <w:t>los artículos no reservados contenidos en el dictamen e instruyó remitir al Ejecutivo del Estado el</w:t>
      </w:r>
      <w:r>
        <w:rPr>
          <w:rFonts w:ascii="Abadi" w:hAnsi="Abadi" w:cs="Verdana"/>
          <w:sz w:val="21"/>
          <w:szCs w:val="21"/>
        </w:rPr>
        <w:t xml:space="preserve"> </w:t>
      </w:r>
      <w:r w:rsidRPr="00CF79E5">
        <w:rPr>
          <w:rFonts w:ascii="Abadi" w:hAnsi="Abadi" w:cs="Verdana"/>
          <w:sz w:val="21"/>
          <w:szCs w:val="21"/>
        </w:rPr>
        <w:t xml:space="preserve">decreto aprobado para los efectos constitucionales de su competencia. - - - - - - - - - - - - - - - - </w:t>
      </w:r>
      <w:r>
        <w:rPr>
          <w:rFonts w:ascii="Abadi" w:hAnsi="Abadi" w:cs="Verdana"/>
          <w:sz w:val="21"/>
          <w:szCs w:val="21"/>
        </w:rPr>
        <w:t xml:space="preserve">- - - - - - </w:t>
      </w:r>
    </w:p>
    <w:p w14:paraId="479722D2" w14:textId="69D98BA8"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Se sometió a discusión el dictamen presentado por la Comisión de Derechos Humanos y</w:t>
      </w:r>
      <w:r>
        <w:rPr>
          <w:rFonts w:ascii="Abadi" w:hAnsi="Abadi" w:cs="Verdana"/>
          <w:sz w:val="21"/>
          <w:szCs w:val="21"/>
        </w:rPr>
        <w:t xml:space="preserve"> </w:t>
      </w:r>
      <w:r w:rsidRPr="00CF79E5">
        <w:rPr>
          <w:rFonts w:ascii="Abadi" w:hAnsi="Abadi" w:cs="Verdana"/>
          <w:sz w:val="21"/>
          <w:szCs w:val="21"/>
        </w:rPr>
        <w:t>Atención a Grupos Vulnerables relativo a la iniciativa por la que se crea la Ley para la Diversidad</w:t>
      </w:r>
      <w:r>
        <w:rPr>
          <w:rFonts w:ascii="Abadi" w:hAnsi="Abadi" w:cs="Verdana"/>
          <w:sz w:val="21"/>
          <w:szCs w:val="21"/>
        </w:rPr>
        <w:t xml:space="preserve"> </w:t>
      </w:r>
      <w:r w:rsidRPr="00CF79E5">
        <w:rPr>
          <w:rFonts w:ascii="Abadi" w:hAnsi="Abadi" w:cs="Verdana"/>
          <w:sz w:val="21"/>
          <w:szCs w:val="21"/>
        </w:rPr>
        <w:t>Sexual del Estado de Guanajuato y sus Municipios, suscrita por la diputada y el diputado</w:t>
      </w:r>
      <w:r>
        <w:rPr>
          <w:rFonts w:ascii="Abadi" w:hAnsi="Abadi" w:cs="Verdana"/>
          <w:sz w:val="21"/>
          <w:szCs w:val="21"/>
        </w:rPr>
        <w:t xml:space="preserve"> </w:t>
      </w:r>
      <w:r w:rsidRPr="00CF79E5">
        <w:rPr>
          <w:rFonts w:ascii="Abadi" w:hAnsi="Abadi" w:cs="Verdana"/>
          <w:sz w:val="21"/>
          <w:szCs w:val="21"/>
        </w:rPr>
        <w:t>integrantes del Grupo Parlamentario del Partido Verde Ecologista de México ante la Sexagésima</w:t>
      </w:r>
      <w:r>
        <w:rPr>
          <w:rFonts w:ascii="Abadi" w:hAnsi="Abadi" w:cs="Verdana"/>
          <w:sz w:val="21"/>
          <w:szCs w:val="21"/>
        </w:rPr>
        <w:t xml:space="preserve"> </w:t>
      </w:r>
      <w:r w:rsidRPr="00CF79E5">
        <w:rPr>
          <w:rFonts w:ascii="Abadi" w:hAnsi="Abadi" w:cs="Verdana"/>
          <w:sz w:val="21"/>
          <w:szCs w:val="21"/>
        </w:rPr>
        <w:t>Cuarta Legislatura (64461). Se registraron las participaciones de los diputados Gerardo Fernández</w:t>
      </w:r>
      <w:r>
        <w:rPr>
          <w:rFonts w:ascii="Abadi" w:hAnsi="Abadi" w:cs="Verdana"/>
          <w:sz w:val="21"/>
          <w:szCs w:val="21"/>
        </w:rPr>
        <w:t xml:space="preserve"> </w:t>
      </w:r>
      <w:r w:rsidRPr="00CF79E5">
        <w:rPr>
          <w:rFonts w:ascii="Abadi" w:hAnsi="Abadi" w:cs="Verdana"/>
          <w:sz w:val="21"/>
          <w:szCs w:val="21"/>
        </w:rPr>
        <w:t>González y David Martínez Mendizábal para hablar en contra. Agotadas las intervenciones, se</w:t>
      </w:r>
      <w:r>
        <w:rPr>
          <w:rFonts w:ascii="Abadi" w:hAnsi="Abadi" w:cs="Verdana"/>
          <w:sz w:val="21"/>
          <w:szCs w:val="21"/>
        </w:rPr>
        <w:t xml:space="preserve"> </w:t>
      </w:r>
      <w:r w:rsidRPr="00CF79E5">
        <w:rPr>
          <w:rFonts w:ascii="Abadi" w:hAnsi="Abadi" w:cs="Verdana"/>
          <w:sz w:val="21"/>
          <w:szCs w:val="21"/>
        </w:rPr>
        <w:t>recabó votación nominal -en la modalidad electrónica-, resultando no aprobado el dictamen por</w:t>
      </w:r>
      <w:r>
        <w:rPr>
          <w:rFonts w:ascii="Abadi" w:hAnsi="Abadi" w:cs="Verdana"/>
          <w:sz w:val="21"/>
          <w:szCs w:val="21"/>
        </w:rPr>
        <w:t xml:space="preserve"> </w:t>
      </w:r>
      <w:r w:rsidRPr="00CF79E5">
        <w:rPr>
          <w:rFonts w:ascii="Abadi" w:hAnsi="Abadi" w:cs="Verdana"/>
          <w:sz w:val="21"/>
          <w:szCs w:val="21"/>
        </w:rPr>
        <w:t>unanimidad de los presentes, al registrarse treinta y tres votos en contra. En consecuencia, con</w:t>
      </w:r>
      <w:r>
        <w:rPr>
          <w:rFonts w:ascii="Abadi" w:hAnsi="Abadi" w:cs="Verdana"/>
          <w:sz w:val="21"/>
          <w:szCs w:val="21"/>
        </w:rPr>
        <w:t xml:space="preserve"> </w:t>
      </w:r>
      <w:r w:rsidRPr="00CF79E5">
        <w:rPr>
          <w:rFonts w:ascii="Abadi" w:hAnsi="Abadi" w:cs="Verdana"/>
          <w:sz w:val="21"/>
          <w:szCs w:val="21"/>
        </w:rPr>
        <w:t>fundamento en el artículo ciento ochenta y dos de la Ley Orgánica del Poder Legislativo del Estado,</w:t>
      </w:r>
      <w:r w:rsidR="0012414E">
        <w:rPr>
          <w:rFonts w:ascii="Abadi" w:hAnsi="Abadi" w:cs="Verdana"/>
          <w:sz w:val="21"/>
          <w:szCs w:val="21"/>
        </w:rPr>
        <w:t xml:space="preserve"> </w:t>
      </w:r>
      <w:r w:rsidRPr="00CF79E5">
        <w:rPr>
          <w:rFonts w:ascii="Abadi" w:hAnsi="Abadi" w:cs="Verdana"/>
          <w:sz w:val="21"/>
          <w:szCs w:val="21"/>
        </w:rPr>
        <w:t>en votación económica -en la modalidad electrónica- se aprobó por unanimidad de los presentes,</w:t>
      </w:r>
      <w:r>
        <w:rPr>
          <w:rFonts w:ascii="Abadi" w:hAnsi="Abadi" w:cs="Verdana"/>
          <w:sz w:val="21"/>
          <w:szCs w:val="21"/>
        </w:rPr>
        <w:t xml:space="preserve"> </w:t>
      </w:r>
      <w:r w:rsidRPr="00CF79E5">
        <w:rPr>
          <w:rFonts w:ascii="Abadi" w:hAnsi="Abadi" w:cs="Verdana"/>
          <w:sz w:val="21"/>
          <w:szCs w:val="21"/>
        </w:rPr>
        <w:t>con treinta y cuatro votos devolver el dictamen a la comisión dictaminadora para nuevo estudio y</w:t>
      </w:r>
      <w:r>
        <w:rPr>
          <w:rFonts w:ascii="Abadi" w:hAnsi="Abadi" w:cs="Verdana"/>
          <w:sz w:val="21"/>
          <w:szCs w:val="21"/>
        </w:rPr>
        <w:t xml:space="preserve"> </w:t>
      </w:r>
      <w:r w:rsidRPr="00CF79E5">
        <w:rPr>
          <w:rFonts w:ascii="Abadi" w:hAnsi="Abadi" w:cs="Verdana"/>
          <w:sz w:val="21"/>
          <w:szCs w:val="21"/>
        </w:rPr>
        <w:t xml:space="preserve">dictamen. - - - - - - - - - - - - - - - - - - - - - - - </w:t>
      </w:r>
    </w:p>
    <w:p w14:paraId="0C1FBE44" w14:textId="59CFACE8"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dio la bienvenida a un grupo de activistas en favor de los derechos de las</w:t>
      </w:r>
      <w:r>
        <w:rPr>
          <w:rFonts w:ascii="Abadi" w:hAnsi="Abadi" w:cs="Verdana"/>
          <w:sz w:val="21"/>
          <w:szCs w:val="21"/>
        </w:rPr>
        <w:t xml:space="preserve"> </w:t>
      </w:r>
      <w:r w:rsidRPr="00CF79E5">
        <w:rPr>
          <w:rFonts w:ascii="Abadi" w:hAnsi="Abadi" w:cs="Verdana"/>
          <w:sz w:val="21"/>
          <w:szCs w:val="21"/>
        </w:rPr>
        <w:t>personas LGBTTIQ+, invitados por la diputada y el diputado integrantes del Grupo Parlamentario</w:t>
      </w:r>
      <w:r>
        <w:rPr>
          <w:rFonts w:ascii="Abadi" w:hAnsi="Abadi" w:cs="Verdana"/>
          <w:sz w:val="21"/>
          <w:szCs w:val="21"/>
        </w:rPr>
        <w:t xml:space="preserve"> </w:t>
      </w:r>
      <w:r w:rsidRPr="00CF79E5">
        <w:rPr>
          <w:rFonts w:ascii="Abadi" w:hAnsi="Abadi" w:cs="Verdana"/>
          <w:sz w:val="21"/>
          <w:szCs w:val="21"/>
        </w:rPr>
        <w:t xml:space="preserve">del Partido Verde Ecologista de México. - - - - - - - - - - - - - - - - - - - - - - - - - - </w:t>
      </w:r>
    </w:p>
    <w:p w14:paraId="0CF62954" w14:textId="46351AB6"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Se sometió a discusión el dictamen emitido por la Comisión de Gobernación y Puntos</w:t>
      </w:r>
      <w:r>
        <w:rPr>
          <w:rFonts w:ascii="Abadi" w:hAnsi="Abadi" w:cs="Verdana"/>
          <w:sz w:val="21"/>
          <w:szCs w:val="21"/>
        </w:rPr>
        <w:t xml:space="preserve">  </w:t>
      </w:r>
      <w:r w:rsidRPr="00CF79E5">
        <w:rPr>
          <w:rFonts w:ascii="Abadi" w:hAnsi="Abadi" w:cs="Verdana"/>
          <w:sz w:val="21"/>
          <w:szCs w:val="21"/>
        </w:rPr>
        <w:t>Constitucionales relativo a la iniciativa suscrita por diputado y diputada integrantes del Grupo</w:t>
      </w:r>
      <w:r>
        <w:rPr>
          <w:rFonts w:ascii="Abadi" w:hAnsi="Abadi" w:cs="Verdana"/>
          <w:sz w:val="21"/>
          <w:szCs w:val="21"/>
        </w:rPr>
        <w:t xml:space="preserve"> </w:t>
      </w:r>
      <w:r w:rsidRPr="00CF79E5">
        <w:rPr>
          <w:rFonts w:ascii="Abadi" w:hAnsi="Abadi" w:cs="Verdana"/>
          <w:sz w:val="21"/>
          <w:szCs w:val="21"/>
        </w:rPr>
        <w:t>Parlamentario del Partido MORENA por la que se adicionan las fracciones séptima y octava</w:t>
      </w:r>
      <w:r>
        <w:rPr>
          <w:rFonts w:ascii="Abadi" w:hAnsi="Abadi" w:cs="Verdana"/>
          <w:sz w:val="21"/>
          <w:szCs w:val="21"/>
        </w:rPr>
        <w:t xml:space="preserve"> </w:t>
      </w:r>
      <w:r w:rsidRPr="00CF79E5">
        <w:rPr>
          <w:rFonts w:ascii="Abadi" w:hAnsi="Abadi" w:cs="Verdana"/>
          <w:sz w:val="21"/>
          <w:szCs w:val="21"/>
        </w:rPr>
        <w:t>recorriéndose las subsecuentes en su orden del artículo ciento veintinueve, y se deroga el artículo</w:t>
      </w:r>
      <w:r w:rsidR="0012414E">
        <w:rPr>
          <w:rFonts w:ascii="Abadi" w:hAnsi="Abadi" w:cs="Verdana"/>
          <w:sz w:val="21"/>
          <w:szCs w:val="21"/>
        </w:rPr>
        <w:t xml:space="preserve"> </w:t>
      </w:r>
      <w:r w:rsidRPr="00CF79E5">
        <w:rPr>
          <w:rFonts w:ascii="Abadi" w:hAnsi="Abadi" w:cs="Verdana"/>
          <w:sz w:val="21"/>
          <w:szCs w:val="21"/>
        </w:rPr>
        <w:t xml:space="preserve">segundo transitorio de la Ley de Víctimas para el Estado de Guanajuato, </w:t>
      </w:r>
      <w:r w:rsidRPr="00CF79E5">
        <w:rPr>
          <w:rFonts w:ascii="Abadi" w:hAnsi="Abadi" w:cs="Verdana"/>
          <w:sz w:val="21"/>
          <w:szCs w:val="21"/>
        </w:rPr>
        <w:lastRenderedPageBreak/>
        <w:t>asimismo se deroga la</w:t>
      </w:r>
      <w:r>
        <w:rPr>
          <w:rFonts w:ascii="Abadi" w:hAnsi="Abadi" w:cs="Verdana"/>
          <w:sz w:val="21"/>
          <w:szCs w:val="21"/>
        </w:rPr>
        <w:t xml:space="preserve"> </w:t>
      </w:r>
      <w:r w:rsidRPr="00CF79E5">
        <w:rPr>
          <w:rFonts w:ascii="Abadi" w:hAnsi="Abadi" w:cs="Verdana"/>
          <w:sz w:val="21"/>
          <w:szCs w:val="21"/>
        </w:rPr>
        <w:t>fracción quinta del artículo ocho y las fracciones cuarta y séptima del artículo ciento veinticuatro</w:t>
      </w:r>
      <w:r>
        <w:rPr>
          <w:rFonts w:ascii="Abadi" w:hAnsi="Abadi" w:cs="Verdana"/>
          <w:sz w:val="21"/>
          <w:szCs w:val="21"/>
        </w:rPr>
        <w:t xml:space="preserve"> </w:t>
      </w:r>
      <w:r w:rsidRPr="00CF79E5">
        <w:rPr>
          <w:rFonts w:ascii="Abadi" w:hAnsi="Abadi" w:cs="Verdana"/>
          <w:sz w:val="21"/>
          <w:szCs w:val="21"/>
        </w:rPr>
        <w:t>de la Ley Orgánica de la Fiscalía General del Estado de Guanajuato, en la parte correspondiente</w:t>
      </w:r>
      <w:r>
        <w:rPr>
          <w:rFonts w:ascii="Abadi" w:hAnsi="Abadi" w:cs="Verdana"/>
          <w:sz w:val="21"/>
          <w:szCs w:val="21"/>
        </w:rPr>
        <w:t xml:space="preserve"> </w:t>
      </w:r>
      <w:r w:rsidRPr="00CF79E5">
        <w:rPr>
          <w:rFonts w:ascii="Abadi" w:hAnsi="Abadi" w:cs="Verdana"/>
          <w:sz w:val="21"/>
          <w:szCs w:val="21"/>
        </w:rPr>
        <w:t>al primero de los ordenamientos (ELD 150A/LXV-I). Se registró la intervención de la diputada Alma</w:t>
      </w:r>
      <w:r>
        <w:rPr>
          <w:rFonts w:ascii="Abadi" w:hAnsi="Abadi" w:cs="Verdana"/>
          <w:sz w:val="21"/>
          <w:szCs w:val="21"/>
        </w:rPr>
        <w:t xml:space="preserve"> </w:t>
      </w:r>
      <w:r w:rsidRPr="00CF79E5">
        <w:rPr>
          <w:rFonts w:ascii="Abadi" w:hAnsi="Abadi" w:cs="Verdana"/>
          <w:sz w:val="21"/>
          <w:szCs w:val="21"/>
        </w:rPr>
        <w:t>Edwviges Alcaraz Hernández para hablar en contra. La diputada Yulma Rocha Aguilar declinó su</w:t>
      </w:r>
      <w:r>
        <w:rPr>
          <w:rFonts w:ascii="Abadi" w:hAnsi="Abadi" w:cs="Verdana"/>
          <w:sz w:val="21"/>
          <w:szCs w:val="21"/>
        </w:rPr>
        <w:t xml:space="preserve"> </w:t>
      </w:r>
      <w:r w:rsidRPr="00CF79E5">
        <w:rPr>
          <w:rFonts w:ascii="Abadi" w:hAnsi="Abadi" w:cs="Verdana"/>
          <w:sz w:val="21"/>
          <w:szCs w:val="21"/>
        </w:rPr>
        <w:t>participación para hablar a favor. Concluidas las intervenciones, se recabó votación nominal -en</w:t>
      </w:r>
      <w:r>
        <w:rPr>
          <w:rFonts w:ascii="Abadi" w:hAnsi="Abadi" w:cs="Verdana"/>
          <w:sz w:val="21"/>
          <w:szCs w:val="21"/>
        </w:rPr>
        <w:t xml:space="preserve"> </w:t>
      </w:r>
      <w:r w:rsidRPr="00CF79E5">
        <w:rPr>
          <w:rFonts w:ascii="Abadi" w:hAnsi="Abadi" w:cs="Verdana"/>
          <w:sz w:val="21"/>
          <w:szCs w:val="21"/>
        </w:rPr>
        <w:t>la modalidad electrónica-, resultando aprobado el dictamen por mayoría, con veintiséis votos a</w:t>
      </w:r>
      <w:r>
        <w:rPr>
          <w:rFonts w:ascii="Abadi" w:hAnsi="Abadi" w:cs="Verdana"/>
          <w:sz w:val="21"/>
          <w:szCs w:val="21"/>
        </w:rPr>
        <w:t xml:space="preserve"> </w:t>
      </w:r>
      <w:r w:rsidRPr="00CF79E5">
        <w:rPr>
          <w:rFonts w:ascii="Abadi" w:hAnsi="Abadi" w:cs="Verdana"/>
          <w:sz w:val="21"/>
          <w:szCs w:val="21"/>
        </w:rPr>
        <w:t>favor y ocho votos en contra. La diputada Susana Bermúdez Cano razonó su voto a favor, con</w:t>
      </w:r>
      <w:r>
        <w:rPr>
          <w:rFonts w:ascii="Abadi" w:hAnsi="Abadi" w:cs="Verdana"/>
          <w:sz w:val="21"/>
          <w:szCs w:val="21"/>
        </w:rPr>
        <w:t xml:space="preserve"> </w:t>
      </w:r>
      <w:r w:rsidRPr="00CF79E5">
        <w:rPr>
          <w:rFonts w:ascii="Abadi" w:hAnsi="Abadi" w:cs="Verdana"/>
          <w:sz w:val="21"/>
          <w:szCs w:val="21"/>
        </w:rPr>
        <w:t>fundamento en el artículo doscientos dos de la Ley Orgánica del Poder Legislativo del Estado. La</w:t>
      </w:r>
      <w:r>
        <w:rPr>
          <w:rFonts w:ascii="Abadi" w:hAnsi="Abadi" w:cs="Verdana"/>
          <w:sz w:val="21"/>
          <w:szCs w:val="21"/>
        </w:rPr>
        <w:t xml:space="preserve"> </w:t>
      </w:r>
      <w:r w:rsidRPr="00CF79E5">
        <w:rPr>
          <w:rFonts w:ascii="Abadi" w:hAnsi="Abadi" w:cs="Verdana"/>
          <w:sz w:val="21"/>
          <w:szCs w:val="21"/>
        </w:rPr>
        <w:t>presidencia instruyó a la Secretaría General al archivo definitivo de la iniciativa referida en el</w:t>
      </w:r>
      <w:r>
        <w:rPr>
          <w:rFonts w:ascii="Abadi" w:hAnsi="Abadi" w:cs="Verdana"/>
          <w:sz w:val="21"/>
          <w:szCs w:val="21"/>
        </w:rPr>
        <w:t xml:space="preserve"> </w:t>
      </w:r>
      <w:r w:rsidRPr="00CF79E5">
        <w:rPr>
          <w:rFonts w:ascii="Abadi" w:hAnsi="Abadi" w:cs="Verdana"/>
          <w:sz w:val="21"/>
          <w:szCs w:val="21"/>
        </w:rPr>
        <w:t xml:space="preserve">dictamen aprobado, en la parte correspondiente al primer ordenamiento. - - - </w:t>
      </w:r>
    </w:p>
    <w:p w14:paraId="351CB3F0" w14:textId="6D9F2C59" w:rsidR="00EE744D"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Se sometió a discusión el dictamen formulado por la Comisión de Gobernación y Puntos</w:t>
      </w:r>
      <w:r>
        <w:rPr>
          <w:rFonts w:ascii="Abadi" w:hAnsi="Abadi" w:cs="Verdana"/>
          <w:sz w:val="21"/>
          <w:szCs w:val="21"/>
        </w:rPr>
        <w:t xml:space="preserve"> </w:t>
      </w:r>
      <w:r w:rsidRPr="00CF79E5">
        <w:rPr>
          <w:rFonts w:ascii="Abadi" w:hAnsi="Abadi" w:cs="Verdana"/>
          <w:sz w:val="21"/>
          <w:szCs w:val="21"/>
        </w:rPr>
        <w:t>Constitucionales relativo a la iniciativa suscrita por las diputadas Yulma Rocha Aguilar, Martha</w:t>
      </w:r>
      <w:r>
        <w:rPr>
          <w:rFonts w:ascii="Abadi" w:hAnsi="Abadi" w:cs="Verdana"/>
          <w:sz w:val="21"/>
          <w:szCs w:val="21"/>
        </w:rPr>
        <w:t xml:space="preserve"> </w:t>
      </w:r>
      <w:r w:rsidRPr="00CF79E5">
        <w:rPr>
          <w:rFonts w:ascii="Abadi" w:hAnsi="Abadi" w:cs="Verdana"/>
          <w:sz w:val="21"/>
          <w:szCs w:val="21"/>
        </w:rPr>
        <w:t xml:space="preserve">Lourdes Ortega Roque y Dessire </w:t>
      </w:r>
      <w:proofErr w:type="spellStart"/>
      <w:r w:rsidRPr="00CF79E5">
        <w:rPr>
          <w:rFonts w:ascii="Abadi" w:hAnsi="Abadi" w:cs="Verdana"/>
          <w:sz w:val="21"/>
          <w:szCs w:val="21"/>
        </w:rPr>
        <w:t>Angel</w:t>
      </w:r>
      <w:proofErr w:type="spellEnd"/>
      <w:r w:rsidRPr="00CF79E5">
        <w:rPr>
          <w:rFonts w:ascii="Abadi" w:hAnsi="Abadi" w:cs="Verdana"/>
          <w:sz w:val="21"/>
          <w:szCs w:val="21"/>
        </w:rPr>
        <w:t xml:space="preserve"> Rocha, a efecto de reformar diversos artículos de la Ley- Orgánica del Poder Ejecutivo para el Estado de Guanajuato y de la Ley Orgánica Municipal para el</w:t>
      </w:r>
      <w:r w:rsidR="0012414E">
        <w:rPr>
          <w:rFonts w:ascii="Abadi" w:hAnsi="Abadi" w:cs="Verdana"/>
          <w:sz w:val="21"/>
          <w:szCs w:val="21"/>
        </w:rPr>
        <w:t xml:space="preserve"> </w:t>
      </w:r>
      <w:r w:rsidRPr="00CF79E5">
        <w:rPr>
          <w:rFonts w:ascii="Abadi" w:hAnsi="Abadi" w:cs="Verdana"/>
          <w:sz w:val="21"/>
          <w:szCs w:val="21"/>
        </w:rPr>
        <w:t>Estado de Guanajuato, en lo correspondiente al primero de los ordenamientos. (ELD 313A/LXVI</w:t>
      </w:r>
      <w:proofErr w:type="gramStart"/>
      <w:r w:rsidRPr="00CF79E5">
        <w:rPr>
          <w:rFonts w:ascii="Abadi" w:hAnsi="Abadi" w:cs="Verdana"/>
          <w:sz w:val="21"/>
          <w:szCs w:val="21"/>
        </w:rPr>
        <w:t>).</w:t>
      </w:r>
      <w:r w:rsidR="0012414E">
        <w:rPr>
          <w:rFonts w:ascii="Abadi" w:hAnsi="Abadi" w:cs="Verdana"/>
          <w:sz w:val="21"/>
          <w:szCs w:val="21"/>
        </w:rPr>
        <w:t>-</w:t>
      </w:r>
      <w:proofErr w:type="gramEnd"/>
      <w:r w:rsidR="0012414E">
        <w:rPr>
          <w:rFonts w:ascii="Abadi" w:hAnsi="Abadi" w:cs="Verdana"/>
          <w:sz w:val="21"/>
          <w:szCs w:val="21"/>
        </w:rPr>
        <w:t xml:space="preserve"> - - - - - - - - - - - - - - - - - - - - - -</w:t>
      </w:r>
    </w:p>
    <w:p w14:paraId="29884CD9" w14:textId="19A578FA" w:rsidR="00EE744D" w:rsidRPr="00CF79E5" w:rsidRDefault="0012414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Se registraron las intervenciones de las diputadas Lilia Margarita Rionda Salas y Yulma Rocha</w:t>
      </w:r>
      <w:r w:rsidR="00EE744D">
        <w:rPr>
          <w:rFonts w:ascii="Abadi" w:hAnsi="Abadi" w:cs="Verdana"/>
          <w:sz w:val="21"/>
          <w:szCs w:val="21"/>
        </w:rPr>
        <w:t xml:space="preserve"> </w:t>
      </w:r>
      <w:r w:rsidR="00EE744D" w:rsidRPr="00CF79E5">
        <w:rPr>
          <w:rFonts w:ascii="Abadi" w:hAnsi="Abadi" w:cs="Verdana"/>
          <w:sz w:val="21"/>
          <w:szCs w:val="21"/>
        </w:rPr>
        <w:t>Aguilar para hablar a favor. Una vez lo cual, se recabó votación nominal -en la modalidad</w:t>
      </w:r>
      <w:r w:rsidR="00EE744D">
        <w:rPr>
          <w:rFonts w:ascii="Abadi" w:hAnsi="Abadi" w:cs="Verdana"/>
          <w:sz w:val="21"/>
          <w:szCs w:val="21"/>
        </w:rPr>
        <w:t xml:space="preserve"> </w:t>
      </w:r>
      <w:r w:rsidR="00EE744D" w:rsidRPr="00CF79E5">
        <w:rPr>
          <w:rFonts w:ascii="Abadi" w:hAnsi="Abadi" w:cs="Verdana"/>
          <w:sz w:val="21"/>
          <w:szCs w:val="21"/>
        </w:rPr>
        <w:t>electrónica-, resultando aprobado el dictamen por unanimidad de los presentes, con treinta y un</w:t>
      </w:r>
      <w:r w:rsidR="00EE744D">
        <w:rPr>
          <w:rFonts w:ascii="Abadi" w:hAnsi="Abadi" w:cs="Verdana"/>
          <w:sz w:val="21"/>
          <w:szCs w:val="21"/>
        </w:rPr>
        <w:t xml:space="preserve"> </w:t>
      </w:r>
      <w:r w:rsidR="00EE744D" w:rsidRPr="00CF79E5">
        <w:rPr>
          <w:rFonts w:ascii="Abadi" w:hAnsi="Abadi" w:cs="Verdana"/>
          <w:sz w:val="21"/>
          <w:szCs w:val="21"/>
        </w:rPr>
        <w:t>votos. La presidencia instruyó remitir al Ejecutivo del Estado el decreto aprobado para los efectos</w:t>
      </w:r>
      <w:r>
        <w:rPr>
          <w:rFonts w:ascii="Abadi" w:hAnsi="Abadi" w:cs="Verdana"/>
          <w:sz w:val="21"/>
          <w:szCs w:val="21"/>
        </w:rPr>
        <w:t xml:space="preserve"> </w:t>
      </w:r>
      <w:r w:rsidR="00EE744D" w:rsidRPr="00CF79E5">
        <w:rPr>
          <w:rFonts w:ascii="Abadi" w:hAnsi="Abadi" w:cs="Verdana"/>
          <w:sz w:val="21"/>
          <w:szCs w:val="21"/>
        </w:rPr>
        <w:t xml:space="preserve">constitucionales de su competencia. - - - - - - - </w:t>
      </w:r>
      <w:r>
        <w:rPr>
          <w:rFonts w:ascii="Abadi" w:hAnsi="Abadi" w:cs="Verdana"/>
          <w:sz w:val="21"/>
          <w:szCs w:val="21"/>
        </w:rPr>
        <w:t>- - - - - - - - - - - - -</w:t>
      </w:r>
    </w:p>
    <w:p w14:paraId="0DDCBCBA" w14:textId="4B820F09" w:rsidR="0012414E"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Se sometieron a discusión los dictámenes signados por la Comisión de Hacienda y</w:t>
      </w:r>
      <w:r>
        <w:rPr>
          <w:rFonts w:ascii="Abadi" w:hAnsi="Abadi" w:cs="Verdana"/>
          <w:sz w:val="21"/>
          <w:szCs w:val="21"/>
        </w:rPr>
        <w:t xml:space="preserve"> </w:t>
      </w:r>
      <w:r w:rsidRPr="00CF79E5">
        <w:rPr>
          <w:rFonts w:ascii="Abadi" w:hAnsi="Abadi" w:cs="Verdana"/>
          <w:sz w:val="21"/>
          <w:szCs w:val="21"/>
        </w:rPr>
        <w:t>Fiscalización -contenidos en los puntos del veinticinco al treinta y cuatro del orden del día- relativos</w:t>
      </w:r>
      <w:r>
        <w:rPr>
          <w:rFonts w:ascii="Abadi" w:hAnsi="Abadi" w:cs="Verdana"/>
          <w:sz w:val="21"/>
          <w:szCs w:val="21"/>
        </w:rPr>
        <w:t xml:space="preserve"> </w:t>
      </w:r>
      <w:r w:rsidRPr="00CF79E5">
        <w:rPr>
          <w:rFonts w:ascii="Abadi" w:hAnsi="Abadi" w:cs="Verdana"/>
          <w:sz w:val="21"/>
          <w:szCs w:val="21"/>
        </w:rPr>
        <w:t>a: 1. Informe de resultados de la auditoría practicada por la Auditoría Superior del Estado de</w:t>
      </w:r>
      <w:r>
        <w:rPr>
          <w:rFonts w:ascii="Abadi" w:hAnsi="Abadi" w:cs="Verdana"/>
          <w:sz w:val="21"/>
          <w:szCs w:val="21"/>
        </w:rPr>
        <w:t xml:space="preserve"> </w:t>
      </w:r>
      <w:r w:rsidRPr="00CF79E5">
        <w:rPr>
          <w:rFonts w:ascii="Abadi" w:hAnsi="Abadi" w:cs="Verdana"/>
          <w:sz w:val="21"/>
          <w:szCs w:val="21"/>
        </w:rPr>
        <w:t>Guanajuato, a la infraestructura pública municipal respecto de las operaciones realizadas por la</w:t>
      </w:r>
      <w:r>
        <w:rPr>
          <w:rFonts w:ascii="Abadi" w:hAnsi="Abadi" w:cs="Verdana"/>
          <w:sz w:val="21"/>
          <w:szCs w:val="21"/>
        </w:rPr>
        <w:t xml:space="preserve"> </w:t>
      </w:r>
      <w:r w:rsidRPr="00CF79E5">
        <w:rPr>
          <w:rFonts w:ascii="Abadi" w:hAnsi="Abadi" w:cs="Verdana"/>
          <w:sz w:val="21"/>
          <w:szCs w:val="21"/>
        </w:rPr>
        <w:t>administración pública municipal de San Diego de la Unión, Guanajuato, correspondientes al</w:t>
      </w:r>
      <w:r>
        <w:rPr>
          <w:rFonts w:ascii="Abadi" w:hAnsi="Abadi" w:cs="Verdana"/>
          <w:sz w:val="21"/>
          <w:szCs w:val="21"/>
        </w:rPr>
        <w:t xml:space="preserve"> </w:t>
      </w:r>
      <w:r w:rsidRPr="00CF79E5">
        <w:rPr>
          <w:rFonts w:ascii="Abadi" w:hAnsi="Abadi" w:cs="Verdana"/>
          <w:sz w:val="21"/>
          <w:szCs w:val="21"/>
        </w:rPr>
        <w:t xml:space="preserve">periodo comprendido del </w:t>
      </w:r>
      <w:r w:rsidRPr="00CF79E5">
        <w:rPr>
          <w:rFonts w:ascii="Abadi" w:hAnsi="Abadi" w:cs="Verdana"/>
          <w:sz w:val="21"/>
          <w:szCs w:val="21"/>
        </w:rPr>
        <w:t>uno de enero al treinta y uno de diciembre del ejercicio fiscal del año dos</w:t>
      </w:r>
      <w:r>
        <w:rPr>
          <w:rFonts w:ascii="Abadi" w:hAnsi="Abadi" w:cs="Verdana"/>
          <w:sz w:val="21"/>
          <w:szCs w:val="21"/>
        </w:rPr>
        <w:t xml:space="preserve"> </w:t>
      </w:r>
      <w:r w:rsidRPr="00CF79E5">
        <w:rPr>
          <w:rFonts w:ascii="Abadi" w:hAnsi="Abadi" w:cs="Verdana"/>
          <w:sz w:val="21"/>
          <w:szCs w:val="21"/>
        </w:rPr>
        <w:t>mil veintiuno. (ELD 263/LXV-IRASEG); 2. Informe de resultados de la auditoría practicada por la</w:t>
      </w:r>
      <w:r>
        <w:rPr>
          <w:rFonts w:ascii="Abadi" w:hAnsi="Abadi" w:cs="Verdana"/>
          <w:sz w:val="21"/>
          <w:szCs w:val="21"/>
        </w:rPr>
        <w:t xml:space="preserve"> </w:t>
      </w:r>
      <w:r w:rsidRPr="00CF79E5">
        <w:rPr>
          <w:rFonts w:ascii="Abadi" w:hAnsi="Abadi" w:cs="Verdana"/>
          <w:sz w:val="21"/>
          <w:szCs w:val="21"/>
        </w:rPr>
        <w:t>Auditoría Superior del Estado de Guanajuato, a la infraestructura pública municipal respecto de</w:t>
      </w:r>
      <w:r>
        <w:rPr>
          <w:rFonts w:ascii="Abadi" w:hAnsi="Abadi" w:cs="Verdana"/>
          <w:sz w:val="21"/>
          <w:szCs w:val="21"/>
        </w:rPr>
        <w:t xml:space="preserve"> </w:t>
      </w:r>
      <w:r w:rsidRPr="00CF79E5">
        <w:rPr>
          <w:rFonts w:ascii="Abadi" w:hAnsi="Abadi" w:cs="Verdana"/>
          <w:sz w:val="21"/>
          <w:szCs w:val="21"/>
        </w:rPr>
        <w:t>las operaciones realizadas por la administración pública municipal de Silao de la Victoria,</w:t>
      </w:r>
      <w:r>
        <w:rPr>
          <w:rFonts w:ascii="Abadi" w:hAnsi="Abadi" w:cs="Verdana"/>
          <w:sz w:val="21"/>
          <w:szCs w:val="21"/>
        </w:rPr>
        <w:t xml:space="preserve"> </w:t>
      </w:r>
      <w:r w:rsidRPr="00CF79E5">
        <w:rPr>
          <w:rFonts w:ascii="Abadi" w:hAnsi="Abadi" w:cs="Verdana"/>
          <w:sz w:val="21"/>
          <w:szCs w:val="21"/>
        </w:rPr>
        <w:t>Guanajuato, correspondientes al periodo comprendido del uno de enero al treinta y uno de</w:t>
      </w:r>
      <w:r>
        <w:rPr>
          <w:rFonts w:ascii="Abadi" w:hAnsi="Abadi" w:cs="Verdana"/>
          <w:sz w:val="21"/>
          <w:szCs w:val="21"/>
        </w:rPr>
        <w:t xml:space="preserve"> </w:t>
      </w:r>
      <w:r w:rsidRPr="00CF79E5">
        <w:rPr>
          <w:rFonts w:ascii="Abadi" w:hAnsi="Abadi" w:cs="Verdana"/>
          <w:sz w:val="21"/>
          <w:szCs w:val="21"/>
        </w:rPr>
        <w:t>diciembre del ejercicio fiscal del año dos mil veintiuno. (ELD 264/LXV-IRASEG); 3. Informe de</w:t>
      </w:r>
      <w:r>
        <w:rPr>
          <w:rFonts w:ascii="Abadi" w:hAnsi="Abadi" w:cs="Verdana"/>
          <w:sz w:val="21"/>
          <w:szCs w:val="21"/>
        </w:rPr>
        <w:t xml:space="preserve"> </w:t>
      </w:r>
      <w:r w:rsidRPr="00CF79E5">
        <w:rPr>
          <w:rFonts w:ascii="Abadi" w:hAnsi="Abadi" w:cs="Verdana"/>
          <w:sz w:val="21"/>
          <w:szCs w:val="21"/>
        </w:rPr>
        <w:t>resultados de la auditoría practicada por la Auditoría Superior del Estado de Guanajuato, a la</w:t>
      </w:r>
      <w:r>
        <w:rPr>
          <w:rFonts w:ascii="Abadi" w:hAnsi="Abadi" w:cs="Verdana"/>
          <w:sz w:val="21"/>
          <w:szCs w:val="21"/>
        </w:rPr>
        <w:t xml:space="preserve"> </w:t>
      </w:r>
      <w:r w:rsidRPr="00CF79E5">
        <w:rPr>
          <w:rFonts w:ascii="Abadi" w:hAnsi="Abadi" w:cs="Verdana"/>
          <w:sz w:val="21"/>
          <w:szCs w:val="21"/>
        </w:rPr>
        <w:t>infraestructura pública municipal respecto de las operaciones realizadas por la administración</w:t>
      </w:r>
      <w:r>
        <w:rPr>
          <w:rFonts w:ascii="Abadi" w:hAnsi="Abadi" w:cs="Verdana"/>
          <w:sz w:val="21"/>
          <w:szCs w:val="21"/>
        </w:rPr>
        <w:t xml:space="preserve"> </w:t>
      </w:r>
      <w:r w:rsidRPr="00CF79E5">
        <w:rPr>
          <w:rFonts w:ascii="Abadi" w:hAnsi="Abadi" w:cs="Verdana"/>
          <w:sz w:val="21"/>
          <w:szCs w:val="21"/>
        </w:rPr>
        <w:t>pública municipal de Pénjamo, Guanajuato, correspondientes al periodo comprendido del uno de</w:t>
      </w:r>
      <w:r>
        <w:rPr>
          <w:rFonts w:ascii="Abadi" w:hAnsi="Abadi" w:cs="Verdana"/>
          <w:sz w:val="21"/>
          <w:szCs w:val="21"/>
        </w:rPr>
        <w:t xml:space="preserve"> </w:t>
      </w:r>
      <w:r w:rsidRPr="00CF79E5">
        <w:rPr>
          <w:rFonts w:ascii="Abadi" w:hAnsi="Abadi" w:cs="Verdana"/>
          <w:sz w:val="21"/>
          <w:szCs w:val="21"/>
        </w:rPr>
        <w:t>enero al treinta y uno de diciembre del ejercicio fiscal del año dos mil veintiuno. (ELD 295/LXVIRASEG);</w:t>
      </w:r>
      <w:r>
        <w:rPr>
          <w:rFonts w:ascii="Abadi" w:hAnsi="Abadi" w:cs="Verdana"/>
          <w:sz w:val="21"/>
          <w:szCs w:val="21"/>
        </w:rPr>
        <w:t xml:space="preserve"> </w:t>
      </w:r>
      <w:r w:rsidRPr="00CF79E5">
        <w:rPr>
          <w:rFonts w:ascii="Abadi" w:hAnsi="Abadi" w:cs="Verdana"/>
          <w:sz w:val="21"/>
          <w:szCs w:val="21"/>
        </w:rPr>
        <w:t>4. Informe de resultados de la revisión practicada por la Auditoría Superior del Estado</w:t>
      </w:r>
      <w:r>
        <w:rPr>
          <w:rFonts w:ascii="Abadi" w:hAnsi="Abadi" w:cs="Verdana"/>
          <w:sz w:val="21"/>
          <w:szCs w:val="21"/>
        </w:rPr>
        <w:t xml:space="preserve"> </w:t>
      </w:r>
      <w:r w:rsidRPr="00CF79E5">
        <w:rPr>
          <w:rFonts w:ascii="Abadi" w:hAnsi="Abadi" w:cs="Verdana"/>
          <w:sz w:val="21"/>
          <w:szCs w:val="21"/>
        </w:rPr>
        <w:t>de Guanajuato, a la cuenta pública municipal de Ocampo, Guanajuato, correspondiente al ejercicio</w:t>
      </w:r>
      <w:r>
        <w:rPr>
          <w:rFonts w:ascii="Abadi" w:hAnsi="Abadi" w:cs="Verdana"/>
          <w:sz w:val="21"/>
          <w:szCs w:val="21"/>
        </w:rPr>
        <w:t xml:space="preserve"> </w:t>
      </w:r>
      <w:r w:rsidRPr="00CF79E5">
        <w:rPr>
          <w:rFonts w:ascii="Abadi" w:hAnsi="Abadi" w:cs="Verdana"/>
          <w:sz w:val="21"/>
          <w:szCs w:val="21"/>
        </w:rPr>
        <w:t>fiscal del año dos mil veintiuno. (ELD 273/LXV-IRASEG); 5. Informe de resultados de la revisión</w:t>
      </w:r>
      <w:r>
        <w:rPr>
          <w:rFonts w:ascii="Abadi" w:hAnsi="Abadi" w:cs="Verdana"/>
          <w:sz w:val="21"/>
          <w:szCs w:val="21"/>
        </w:rPr>
        <w:t xml:space="preserve"> </w:t>
      </w:r>
      <w:r w:rsidRPr="00CF79E5">
        <w:rPr>
          <w:rFonts w:ascii="Abadi" w:hAnsi="Abadi" w:cs="Verdana"/>
          <w:sz w:val="21"/>
          <w:szCs w:val="21"/>
        </w:rPr>
        <w:t>practicada por la Auditoría Superior del Estado de Guanajuato, a la cuenta pública municipal de</w:t>
      </w:r>
      <w:r>
        <w:rPr>
          <w:rFonts w:ascii="Abadi" w:hAnsi="Abadi" w:cs="Verdana"/>
          <w:sz w:val="21"/>
          <w:szCs w:val="21"/>
        </w:rPr>
        <w:t xml:space="preserve"> </w:t>
      </w:r>
      <w:r w:rsidRPr="00CF79E5">
        <w:rPr>
          <w:rFonts w:ascii="Abadi" w:hAnsi="Abadi" w:cs="Verdana"/>
          <w:sz w:val="21"/>
          <w:szCs w:val="21"/>
        </w:rPr>
        <w:t>Tarimoro, Guanajuato, correspondiente al ejercicio fiscal del año dos mil veintiuno. (ELD 279/LXVIRASEG);</w:t>
      </w:r>
      <w:r>
        <w:rPr>
          <w:rFonts w:ascii="Abadi" w:hAnsi="Abadi" w:cs="Verdana"/>
          <w:sz w:val="21"/>
          <w:szCs w:val="21"/>
        </w:rPr>
        <w:t xml:space="preserve"> </w:t>
      </w:r>
      <w:r w:rsidRPr="00CF79E5">
        <w:rPr>
          <w:rFonts w:ascii="Abadi" w:hAnsi="Abadi" w:cs="Verdana"/>
          <w:sz w:val="21"/>
          <w:szCs w:val="21"/>
        </w:rPr>
        <w:t>6. Informe de resultados de la revisión practicada por la Auditoría Superior del Estado</w:t>
      </w:r>
      <w:r>
        <w:rPr>
          <w:rFonts w:ascii="Abadi" w:hAnsi="Abadi" w:cs="Verdana"/>
          <w:sz w:val="21"/>
          <w:szCs w:val="21"/>
        </w:rPr>
        <w:t xml:space="preserve"> </w:t>
      </w:r>
      <w:r w:rsidRPr="00CF79E5">
        <w:rPr>
          <w:rFonts w:ascii="Abadi" w:hAnsi="Abadi" w:cs="Verdana"/>
          <w:sz w:val="21"/>
          <w:szCs w:val="21"/>
        </w:rPr>
        <w:t>de Guanajuato, a la cuenta pública municipal de Apaseo el Grande, Guanajuato, correspondiente</w:t>
      </w:r>
      <w:r>
        <w:rPr>
          <w:rFonts w:ascii="Abadi" w:hAnsi="Abadi" w:cs="Verdana"/>
          <w:sz w:val="21"/>
          <w:szCs w:val="21"/>
        </w:rPr>
        <w:t xml:space="preserve"> </w:t>
      </w:r>
      <w:r w:rsidRPr="00CF79E5">
        <w:rPr>
          <w:rFonts w:ascii="Abadi" w:hAnsi="Abadi" w:cs="Verdana"/>
          <w:sz w:val="21"/>
          <w:szCs w:val="21"/>
        </w:rPr>
        <w:t>al ejercicio fiscal del año dos mil veintiuno. (ELD 284/LXV-IRASEG); 7. Informe de resultados de</w:t>
      </w:r>
      <w:r>
        <w:rPr>
          <w:rFonts w:ascii="Abadi" w:hAnsi="Abadi" w:cs="Verdana"/>
          <w:sz w:val="21"/>
          <w:szCs w:val="21"/>
        </w:rPr>
        <w:t xml:space="preserve"> </w:t>
      </w:r>
      <w:r w:rsidRPr="00CF79E5">
        <w:rPr>
          <w:rFonts w:ascii="Abadi" w:hAnsi="Abadi" w:cs="Verdana"/>
          <w:sz w:val="21"/>
          <w:szCs w:val="21"/>
        </w:rPr>
        <w:t>la revisión practicada por la Auditoría Superior del Estado de Guanajuato, a la cuenta pública</w:t>
      </w:r>
      <w:r>
        <w:rPr>
          <w:rFonts w:ascii="Abadi" w:hAnsi="Abadi" w:cs="Verdana"/>
          <w:sz w:val="21"/>
          <w:szCs w:val="21"/>
        </w:rPr>
        <w:t xml:space="preserve"> </w:t>
      </w:r>
      <w:r w:rsidRPr="00CF79E5">
        <w:rPr>
          <w:rFonts w:ascii="Abadi" w:hAnsi="Abadi" w:cs="Verdana"/>
          <w:sz w:val="21"/>
          <w:szCs w:val="21"/>
        </w:rPr>
        <w:t>municipal de San José Iturbide, Guanajuato, correspondiente al ejercicio fiscal del año dos mil</w:t>
      </w:r>
      <w:r>
        <w:rPr>
          <w:rFonts w:ascii="Abadi" w:hAnsi="Abadi" w:cs="Verdana"/>
          <w:sz w:val="21"/>
          <w:szCs w:val="21"/>
        </w:rPr>
        <w:t xml:space="preserve"> </w:t>
      </w:r>
      <w:r w:rsidRPr="00CF79E5">
        <w:rPr>
          <w:rFonts w:ascii="Abadi" w:hAnsi="Abadi" w:cs="Verdana"/>
          <w:sz w:val="21"/>
          <w:szCs w:val="21"/>
        </w:rPr>
        <w:t>veintiuno. (ELD 286/LXV-IRASEG); 8. Informe de resultados de la revisión practicada por la</w:t>
      </w:r>
      <w:r>
        <w:rPr>
          <w:rFonts w:ascii="Abadi" w:hAnsi="Abadi" w:cs="Verdana"/>
          <w:sz w:val="21"/>
          <w:szCs w:val="21"/>
        </w:rPr>
        <w:t xml:space="preserve"> </w:t>
      </w:r>
      <w:r w:rsidRPr="00CF79E5">
        <w:rPr>
          <w:rFonts w:ascii="Abadi" w:hAnsi="Abadi" w:cs="Verdana"/>
          <w:sz w:val="21"/>
          <w:szCs w:val="21"/>
        </w:rPr>
        <w:t>Auditoría Superior del Estado de Guanajuato, a la cuenta pública municipal de Cuerámaro,</w:t>
      </w:r>
      <w:r>
        <w:rPr>
          <w:rFonts w:ascii="Abadi" w:hAnsi="Abadi" w:cs="Verdana"/>
          <w:sz w:val="21"/>
          <w:szCs w:val="21"/>
        </w:rPr>
        <w:t xml:space="preserve"> </w:t>
      </w:r>
      <w:r w:rsidRPr="00CF79E5">
        <w:rPr>
          <w:rFonts w:ascii="Abadi" w:hAnsi="Abadi" w:cs="Verdana"/>
          <w:sz w:val="21"/>
          <w:szCs w:val="21"/>
        </w:rPr>
        <w:t>Guanajuato, correspondiente al ejercicio fiscal del año dos mil veintiuno. (ELD 294/LXV-IRASEG);</w:t>
      </w:r>
      <w:r>
        <w:rPr>
          <w:rFonts w:ascii="Abadi" w:hAnsi="Abadi" w:cs="Verdana"/>
          <w:sz w:val="21"/>
          <w:szCs w:val="21"/>
        </w:rPr>
        <w:t xml:space="preserve"> </w:t>
      </w:r>
      <w:r w:rsidRPr="00CF79E5">
        <w:rPr>
          <w:rFonts w:ascii="Abadi" w:hAnsi="Abadi" w:cs="Verdana"/>
          <w:sz w:val="21"/>
          <w:szCs w:val="21"/>
        </w:rPr>
        <w:t>9. Informe de resultados de la revisión practicada por la Auditoría Superior del Estado de</w:t>
      </w:r>
      <w:r>
        <w:rPr>
          <w:rFonts w:ascii="Abadi" w:hAnsi="Abadi" w:cs="Verdana"/>
          <w:sz w:val="21"/>
          <w:szCs w:val="21"/>
        </w:rPr>
        <w:t xml:space="preserve"> </w:t>
      </w:r>
      <w:r w:rsidRPr="00CF79E5">
        <w:rPr>
          <w:rFonts w:ascii="Abadi" w:hAnsi="Abadi" w:cs="Verdana"/>
          <w:sz w:val="21"/>
          <w:szCs w:val="21"/>
        </w:rPr>
        <w:t>Guanajuato, a la cuenta pública municipal de Villagrán, Guanajuato, correspondiente al ejercicio</w:t>
      </w:r>
      <w:r>
        <w:rPr>
          <w:rFonts w:ascii="Abadi" w:hAnsi="Abadi" w:cs="Verdana"/>
          <w:sz w:val="21"/>
          <w:szCs w:val="21"/>
        </w:rPr>
        <w:t xml:space="preserve"> </w:t>
      </w:r>
      <w:r w:rsidRPr="00CF79E5">
        <w:rPr>
          <w:rFonts w:ascii="Abadi" w:hAnsi="Abadi" w:cs="Verdana"/>
          <w:sz w:val="21"/>
          <w:szCs w:val="21"/>
        </w:rPr>
        <w:t>fiscal del año dos mil veintiuno. (ELD 298/LXV-IRASEG); y 10. Informe de resultados de la revisión</w:t>
      </w:r>
      <w:r>
        <w:rPr>
          <w:rFonts w:ascii="Abadi" w:hAnsi="Abadi" w:cs="Verdana"/>
          <w:sz w:val="21"/>
          <w:szCs w:val="21"/>
        </w:rPr>
        <w:t xml:space="preserve"> </w:t>
      </w:r>
      <w:r w:rsidRPr="00CF79E5">
        <w:rPr>
          <w:rFonts w:ascii="Abadi" w:hAnsi="Abadi" w:cs="Verdana"/>
          <w:sz w:val="21"/>
          <w:szCs w:val="21"/>
        </w:rPr>
        <w:t xml:space="preserve">practicada </w:t>
      </w:r>
      <w:r w:rsidRPr="00CF79E5">
        <w:rPr>
          <w:rFonts w:ascii="Abadi" w:hAnsi="Abadi" w:cs="Verdana"/>
          <w:sz w:val="21"/>
          <w:szCs w:val="21"/>
        </w:rPr>
        <w:lastRenderedPageBreak/>
        <w:t>por la Auditoría Superior del Estado de Guanajuato, a la cuenta pública municipal de</w:t>
      </w:r>
      <w:r>
        <w:rPr>
          <w:rFonts w:ascii="Abadi" w:hAnsi="Abadi" w:cs="Verdana"/>
          <w:sz w:val="21"/>
          <w:szCs w:val="21"/>
        </w:rPr>
        <w:t xml:space="preserve"> </w:t>
      </w:r>
      <w:r w:rsidRPr="00CF79E5">
        <w:rPr>
          <w:rFonts w:ascii="Abadi" w:hAnsi="Abadi" w:cs="Verdana"/>
          <w:sz w:val="21"/>
          <w:szCs w:val="21"/>
        </w:rPr>
        <w:t>Jerécuaro, Guanajuato, correspondiente al ejercicio fiscal del año dos mil veintiuno. (ELD 302/LXVIRASEG).</w:t>
      </w:r>
      <w:r>
        <w:rPr>
          <w:rFonts w:ascii="Abadi" w:hAnsi="Abadi" w:cs="Verdana"/>
          <w:sz w:val="21"/>
          <w:szCs w:val="21"/>
        </w:rPr>
        <w:t xml:space="preserve"> </w:t>
      </w:r>
      <w:r w:rsidRPr="00CF79E5">
        <w:rPr>
          <w:rFonts w:ascii="Abadi" w:hAnsi="Abadi" w:cs="Verdana"/>
          <w:sz w:val="21"/>
          <w:szCs w:val="21"/>
        </w:rPr>
        <w:t>Al no registrarse intervenciones se recabó votación nominal -en la modalidad</w:t>
      </w:r>
      <w:r>
        <w:rPr>
          <w:rFonts w:ascii="Abadi" w:hAnsi="Abadi" w:cs="Verdana"/>
          <w:sz w:val="21"/>
          <w:szCs w:val="21"/>
        </w:rPr>
        <w:t xml:space="preserve"> </w:t>
      </w:r>
      <w:r w:rsidRPr="00CF79E5">
        <w:rPr>
          <w:rFonts w:ascii="Abadi" w:hAnsi="Abadi" w:cs="Verdana"/>
          <w:sz w:val="21"/>
          <w:szCs w:val="21"/>
        </w:rPr>
        <w:t>electrónica- resultando aprobados los dictámenes por mayoría, al computarse veinticuatro votos</w:t>
      </w:r>
      <w:r>
        <w:rPr>
          <w:rFonts w:ascii="Abadi" w:hAnsi="Abadi" w:cs="Verdana"/>
          <w:sz w:val="21"/>
          <w:szCs w:val="21"/>
        </w:rPr>
        <w:t xml:space="preserve"> </w:t>
      </w:r>
      <w:r w:rsidRPr="00CF79E5">
        <w:rPr>
          <w:rFonts w:ascii="Abadi" w:hAnsi="Abadi" w:cs="Verdana"/>
          <w:sz w:val="21"/>
          <w:szCs w:val="21"/>
        </w:rPr>
        <w:t>a favor y ocho votos en contra. La presidencia ordenó remitir los acuerdos aprobados relativos a</w:t>
      </w:r>
      <w:r>
        <w:rPr>
          <w:rFonts w:ascii="Abadi" w:hAnsi="Abadi" w:cs="Verdana"/>
          <w:sz w:val="21"/>
          <w:szCs w:val="21"/>
        </w:rPr>
        <w:t xml:space="preserve"> </w:t>
      </w:r>
      <w:r w:rsidRPr="00CF79E5">
        <w:rPr>
          <w:rFonts w:ascii="Abadi" w:hAnsi="Abadi" w:cs="Verdana"/>
          <w:sz w:val="21"/>
          <w:szCs w:val="21"/>
        </w:rPr>
        <w:t>las cuentas públicas -contenidos en los puntos del veintiocho al treinta y cuatro del orden del día</w:t>
      </w:r>
      <w:r>
        <w:rPr>
          <w:rFonts w:ascii="Abadi" w:hAnsi="Abadi" w:cs="Verdana"/>
          <w:sz w:val="21"/>
          <w:szCs w:val="21"/>
        </w:rPr>
        <w:t xml:space="preserve"> </w:t>
      </w:r>
      <w:r w:rsidRPr="00CF79E5">
        <w:rPr>
          <w:rFonts w:ascii="Abadi" w:hAnsi="Abadi" w:cs="Verdana"/>
          <w:sz w:val="21"/>
          <w:szCs w:val="21"/>
        </w:rPr>
        <w:t>al</w:t>
      </w:r>
      <w:r>
        <w:rPr>
          <w:rFonts w:ascii="Abadi" w:hAnsi="Abadi" w:cs="Verdana"/>
          <w:sz w:val="21"/>
          <w:szCs w:val="21"/>
        </w:rPr>
        <w:t xml:space="preserve"> </w:t>
      </w:r>
      <w:r w:rsidRPr="00CF79E5">
        <w:rPr>
          <w:rFonts w:ascii="Abadi" w:hAnsi="Abadi" w:cs="Verdana"/>
          <w:sz w:val="21"/>
          <w:szCs w:val="21"/>
        </w:rPr>
        <w:t>titular del</w:t>
      </w:r>
      <w:r w:rsidR="003E7F94">
        <w:rPr>
          <w:rFonts w:ascii="Abadi" w:hAnsi="Abadi" w:cs="Verdana"/>
          <w:sz w:val="21"/>
          <w:szCs w:val="21"/>
        </w:rPr>
        <w:t>44444</w:t>
      </w:r>
      <w:r w:rsidRPr="00CF79E5">
        <w:rPr>
          <w:rFonts w:ascii="Abadi" w:hAnsi="Abadi" w:cs="Verdana"/>
          <w:sz w:val="21"/>
          <w:szCs w:val="21"/>
        </w:rPr>
        <w:t xml:space="preserve"> Poder Ejecutivo del Estado, para su publicación en el Periódico Oficial del Gobierno</w:t>
      </w:r>
      <w:r>
        <w:rPr>
          <w:rFonts w:ascii="Abadi" w:hAnsi="Abadi" w:cs="Verdana"/>
          <w:sz w:val="21"/>
          <w:szCs w:val="21"/>
        </w:rPr>
        <w:t xml:space="preserve"> </w:t>
      </w:r>
      <w:r w:rsidRPr="00CF79E5">
        <w:rPr>
          <w:rFonts w:ascii="Abadi" w:hAnsi="Abadi" w:cs="Verdana"/>
          <w:sz w:val="21"/>
          <w:szCs w:val="21"/>
        </w:rPr>
        <w:t>del Estado de Guanajuato. De igual forma, con fundamento en el artículo treinta y siete -fracción</w:t>
      </w:r>
      <w:r>
        <w:rPr>
          <w:rFonts w:ascii="Abadi" w:hAnsi="Abadi" w:cs="Verdana"/>
          <w:sz w:val="21"/>
          <w:szCs w:val="21"/>
        </w:rPr>
        <w:t xml:space="preserve"> </w:t>
      </w:r>
      <w:r w:rsidRPr="00CF79E5">
        <w:rPr>
          <w:rFonts w:ascii="Abadi" w:hAnsi="Abadi" w:cs="Verdana"/>
          <w:sz w:val="21"/>
          <w:szCs w:val="21"/>
        </w:rPr>
        <w:t>sexta- de la Ley de Fiscalización Superior del Estado de Guanajuato, ordenó remitir los acuerdos</w:t>
      </w:r>
      <w:r>
        <w:rPr>
          <w:rFonts w:ascii="Abadi" w:hAnsi="Abadi" w:cs="Verdana"/>
          <w:sz w:val="21"/>
          <w:szCs w:val="21"/>
        </w:rPr>
        <w:t xml:space="preserve"> </w:t>
      </w:r>
      <w:r w:rsidRPr="00CF79E5">
        <w:rPr>
          <w:rFonts w:ascii="Abadi" w:hAnsi="Abadi" w:cs="Verdana"/>
          <w:sz w:val="21"/>
          <w:szCs w:val="21"/>
        </w:rPr>
        <w:t xml:space="preserve">aprobados junto con sus dictámenes y los informes de resultados a la Auditoría </w:t>
      </w:r>
      <w:r>
        <w:rPr>
          <w:rFonts w:ascii="Abadi" w:hAnsi="Abadi" w:cs="Verdana"/>
          <w:sz w:val="21"/>
          <w:szCs w:val="21"/>
        </w:rPr>
        <w:tab/>
      </w:r>
      <w:r w:rsidRPr="00CF79E5">
        <w:rPr>
          <w:rFonts w:ascii="Abadi" w:hAnsi="Abadi" w:cs="Verdana"/>
          <w:sz w:val="21"/>
          <w:szCs w:val="21"/>
        </w:rPr>
        <w:t>Superior del Estado</w:t>
      </w:r>
      <w:r>
        <w:rPr>
          <w:rFonts w:ascii="Abadi" w:hAnsi="Abadi" w:cs="Verdana"/>
          <w:sz w:val="21"/>
          <w:szCs w:val="21"/>
        </w:rPr>
        <w:t xml:space="preserve"> </w:t>
      </w:r>
      <w:r w:rsidRPr="00CF79E5">
        <w:rPr>
          <w:rFonts w:ascii="Abadi" w:hAnsi="Abadi" w:cs="Verdana"/>
          <w:sz w:val="21"/>
          <w:szCs w:val="21"/>
        </w:rPr>
        <w:t xml:space="preserve">de Guanajuato, para efectos de su </w:t>
      </w:r>
      <w:proofErr w:type="gramStart"/>
      <w:r w:rsidRPr="00CF79E5">
        <w:rPr>
          <w:rFonts w:ascii="Abadi" w:hAnsi="Abadi" w:cs="Verdana"/>
          <w:sz w:val="21"/>
          <w:szCs w:val="21"/>
        </w:rPr>
        <w:t>notificación.</w:t>
      </w:r>
      <w:r w:rsidR="0012414E">
        <w:rPr>
          <w:rFonts w:ascii="Abadi" w:hAnsi="Abadi" w:cs="Verdana"/>
          <w:sz w:val="21"/>
          <w:szCs w:val="21"/>
        </w:rPr>
        <w:t>-</w:t>
      </w:r>
      <w:proofErr w:type="gramEnd"/>
      <w:r w:rsidR="0012414E">
        <w:rPr>
          <w:rFonts w:ascii="Abadi" w:hAnsi="Abadi" w:cs="Verdana"/>
          <w:sz w:val="21"/>
          <w:szCs w:val="21"/>
        </w:rPr>
        <w:t xml:space="preserve"> -</w:t>
      </w:r>
    </w:p>
    <w:p w14:paraId="257C1841" w14:textId="44DDBAB5" w:rsidR="00EE744D" w:rsidRPr="00CF79E5" w:rsidRDefault="0012414E" w:rsidP="00EE744D">
      <w:pPr>
        <w:autoSpaceDE w:val="0"/>
        <w:autoSpaceDN w:val="0"/>
        <w:adjustRightInd w:val="0"/>
        <w:jc w:val="both"/>
        <w:rPr>
          <w:rFonts w:ascii="Abadi" w:hAnsi="Abadi" w:cs="Verdana"/>
          <w:sz w:val="21"/>
          <w:szCs w:val="21"/>
        </w:rPr>
      </w:pPr>
      <w:r>
        <w:rPr>
          <w:rFonts w:ascii="Abadi" w:hAnsi="Abadi" w:cs="Verdana"/>
          <w:sz w:val="21"/>
          <w:szCs w:val="21"/>
        </w:rPr>
        <w:tab/>
      </w:r>
      <w:r w:rsidR="00EE744D" w:rsidRPr="00CF79E5">
        <w:rPr>
          <w:rFonts w:ascii="Abadi" w:hAnsi="Abadi" w:cs="Verdana"/>
          <w:sz w:val="21"/>
          <w:szCs w:val="21"/>
        </w:rPr>
        <w:t>En el apartado de asuntos generales, se registraron las participaciones del diputado</w:t>
      </w:r>
      <w:r w:rsidR="00EE744D">
        <w:rPr>
          <w:rFonts w:ascii="Abadi" w:hAnsi="Abadi" w:cs="Verdana"/>
          <w:sz w:val="21"/>
          <w:szCs w:val="21"/>
        </w:rPr>
        <w:t xml:space="preserve"> </w:t>
      </w:r>
      <w:r w:rsidR="00EE744D" w:rsidRPr="00CF79E5">
        <w:rPr>
          <w:rFonts w:ascii="Abadi" w:hAnsi="Abadi" w:cs="Verdana"/>
          <w:sz w:val="21"/>
          <w:szCs w:val="21"/>
        </w:rPr>
        <w:t xml:space="preserve">Martín López Camacho con el tema </w:t>
      </w:r>
      <w:r w:rsidR="00EE744D" w:rsidRPr="00CF79E5">
        <w:rPr>
          <w:rFonts w:ascii="Abadi" w:hAnsi="Abadi" w:cs="Verdana-Italic"/>
          <w:i/>
          <w:iCs/>
          <w:sz w:val="21"/>
          <w:szCs w:val="21"/>
        </w:rPr>
        <w:t>legitimación social -</w:t>
      </w:r>
      <w:r w:rsidR="00EE744D" w:rsidRPr="00CF79E5">
        <w:rPr>
          <w:rFonts w:ascii="Abadi" w:hAnsi="Abadi" w:cs="Verdana"/>
          <w:sz w:val="21"/>
          <w:szCs w:val="21"/>
        </w:rPr>
        <w:t>quien previo a su intervención pidió guardar</w:t>
      </w:r>
      <w:r w:rsidR="00EE744D">
        <w:rPr>
          <w:rFonts w:ascii="Abadi" w:hAnsi="Abadi" w:cs="Verdana"/>
          <w:sz w:val="21"/>
          <w:szCs w:val="21"/>
        </w:rPr>
        <w:t xml:space="preserve"> </w:t>
      </w:r>
      <w:r w:rsidR="00EE744D" w:rsidRPr="00CF79E5">
        <w:rPr>
          <w:rFonts w:ascii="Abadi" w:hAnsi="Abadi" w:cs="Verdana"/>
          <w:sz w:val="21"/>
          <w:szCs w:val="21"/>
        </w:rPr>
        <w:t>un minuto de silencio en honor de los policías que han perdido la vida a manos del crimen y de</w:t>
      </w:r>
      <w:r w:rsidR="00EE744D">
        <w:rPr>
          <w:rFonts w:ascii="Abadi" w:hAnsi="Abadi" w:cs="Verdana"/>
          <w:sz w:val="21"/>
          <w:szCs w:val="21"/>
        </w:rPr>
        <w:t xml:space="preserve"> </w:t>
      </w:r>
      <w:r w:rsidR="00EE744D" w:rsidRPr="00CF79E5">
        <w:rPr>
          <w:rFonts w:ascii="Abadi" w:hAnsi="Abadi" w:cs="Verdana"/>
          <w:sz w:val="21"/>
          <w:szCs w:val="21"/>
        </w:rPr>
        <w:t>todas las víctimas que han fallecido por homicidios dolosos, procediendo a guardar un minuto de</w:t>
      </w:r>
      <w:r w:rsidR="00EE744D">
        <w:rPr>
          <w:rFonts w:ascii="Abadi" w:hAnsi="Abadi" w:cs="Verdana"/>
          <w:sz w:val="21"/>
          <w:szCs w:val="21"/>
        </w:rPr>
        <w:t xml:space="preserve"> </w:t>
      </w:r>
      <w:r w:rsidR="00EE744D" w:rsidRPr="00CF79E5">
        <w:rPr>
          <w:rFonts w:ascii="Abadi" w:hAnsi="Abadi" w:cs="Verdana"/>
          <w:sz w:val="21"/>
          <w:szCs w:val="21"/>
        </w:rPr>
        <w:t xml:space="preserve">silencio-; del diputado César Larrondo Díaz, con el tema </w:t>
      </w:r>
      <w:r w:rsidR="00EE744D" w:rsidRPr="00CF79E5">
        <w:rPr>
          <w:rFonts w:ascii="Abadi" w:hAnsi="Abadi" w:cs="Verdana-Italic"/>
          <w:i/>
          <w:iCs/>
          <w:sz w:val="21"/>
          <w:szCs w:val="21"/>
        </w:rPr>
        <w:t>observaciones</w:t>
      </w:r>
      <w:r w:rsidR="00EE744D" w:rsidRPr="00CF79E5">
        <w:rPr>
          <w:rFonts w:ascii="Abadi" w:hAnsi="Abadi" w:cs="Verdana"/>
          <w:sz w:val="21"/>
          <w:szCs w:val="21"/>
        </w:rPr>
        <w:t>; de la diputada Irma Leticia</w:t>
      </w:r>
      <w:r w:rsidR="00EE744D">
        <w:rPr>
          <w:rFonts w:ascii="Abadi" w:hAnsi="Abadi" w:cs="Verdana"/>
          <w:sz w:val="21"/>
          <w:szCs w:val="21"/>
        </w:rPr>
        <w:t xml:space="preserve"> </w:t>
      </w:r>
      <w:r w:rsidR="00EE744D" w:rsidRPr="00CF79E5">
        <w:rPr>
          <w:rFonts w:ascii="Abadi" w:hAnsi="Abadi" w:cs="Verdana"/>
          <w:sz w:val="21"/>
          <w:szCs w:val="21"/>
        </w:rPr>
        <w:t xml:space="preserve">González Sánchez, con el tema </w:t>
      </w:r>
      <w:r w:rsidR="00EE744D" w:rsidRPr="00CF79E5">
        <w:rPr>
          <w:rFonts w:ascii="Abadi" w:hAnsi="Abadi" w:cs="Verdana-Italic"/>
          <w:i/>
          <w:iCs/>
          <w:sz w:val="21"/>
          <w:szCs w:val="21"/>
        </w:rPr>
        <w:t>COPECOL</w:t>
      </w:r>
      <w:r w:rsidR="00EE744D" w:rsidRPr="00CF79E5">
        <w:rPr>
          <w:rFonts w:ascii="Abadi" w:hAnsi="Abadi" w:cs="Verdana"/>
          <w:sz w:val="21"/>
          <w:szCs w:val="21"/>
        </w:rPr>
        <w:t>; del diputado David Martínez Mendizábal, con el tema</w:t>
      </w:r>
      <w:r w:rsidR="00EE744D">
        <w:rPr>
          <w:rFonts w:ascii="Abadi" w:hAnsi="Abadi" w:cs="Verdana"/>
          <w:sz w:val="21"/>
          <w:szCs w:val="21"/>
        </w:rPr>
        <w:t xml:space="preserve"> </w:t>
      </w:r>
      <w:r w:rsidR="00EE744D" w:rsidRPr="00CF79E5">
        <w:rPr>
          <w:rFonts w:ascii="Abadi" w:hAnsi="Abadi" w:cs="Verdana-Italic"/>
          <w:i/>
          <w:iCs/>
          <w:sz w:val="21"/>
          <w:szCs w:val="21"/>
        </w:rPr>
        <w:t xml:space="preserve">PRI; </w:t>
      </w:r>
      <w:r w:rsidR="00EE744D" w:rsidRPr="00CF79E5">
        <w:rPr>
          <w:rFonts w:ascii="Abadi" w:hAnsi="Abadi" w:cs="Verdana"/>
          <w:sz w:val="21"/>
          <w:szCs w:val="21"/>
        </w:rPr>
        <w:t xml:space="preserve">y de la diputada Yulma Rocha Aguilar, con el tema </w:t>
      </w:r>
      <w:r w:rsidR="00EE744D" w:rsidRPr="00CF79E5">
        <w:rPr>
          <w:rFonts w:ascii="Abadi" w:hAnsi="Abadi" w:cs="Verdana-Italic"/>
          <w:i/>
          <w:iCs/>
          <w:sz w:val="21"/>
          <w:szCs w:val="21"/>
        </w:rPr>
        <w:t>abejas</w:t>
      </w:r>
      <w:r w:rsidR="00EE744D" w:rsidRPr="00CF79E5">
        <w:rPr>
          <w:rFonts w:ascii="Abadi" w:hAnsi="Abadi" w:cs="Verdana"/>
          <w:sz w:val="21"/>
          <w:szCs w:val="21"/>
        </w:rPr>
        <w:t xml:space="preserve">. - - - </w:t>
      </w:r>
    </w:p>
    <w:p w14:paraId="3F293ABB" w14:textId="17D6CC0F" w:rsidR="00EE744D" w:rsidRPr="00CF79E5" w:rsidRDefault="00EE744D" w:rsidP="00EE744D">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secretaría informó que se habían agotado los asuntos listados en el orden del día, que</w:t>
      </w:r>
      <w:r>
        <w:rPr>
          <w:rFonts w:ascii="Abadi" w:hAnsi="Abadi" w:cs="Verdana"/>
          <w:sz w:val="21"/>
          <w:szCs w:val="21"/>
        </w:rPr>
        <w:t xml:space="preserve"> </w:t>
      </w:r>
      <w:r w:rsidRPr="00CF79E5">
        <w:rPr>
          <w:rFonts w:ascii="Abadi" w:hAnsi="Abadi" w:cs="Verdana"/>
          <w:sz w:val="21"/>
          <w:szCs w:val="21"/>
        </w:rPr>
        <w:t>la asistencia a la sesión había sido de treinta y cinco diputadas y diputados, que se había registrado</w:t>
      </w:r>
      <w:r w:rsidR="0012414E">
        <w:rPr>
          <w:rFonts w:ascii="Abadi" w:hAnsi="Abadi" w:cs="Verdana"/>
          <w:sz w:val="21"/>
          <w:szCs w:val="21"/>
        </w:rPr>
        <w:t xml:space="preserve"> </w:t>
      </w:r>
      <w:r w:rsidRPr="00CF79E5">
        <w:rPr>
          <w:rFonts w:ascii="Abadi" w:hAnsi="Abadi" w:cs="Verdana"/>
          <w:sz w:val="21"/>
          <w:szCs w:val="21"/>
        </w:rPr>
        <w:t>la inasistencia del diputado Rolando Fortino Alcántar Rojas, justificada en su momento por la</w:t>
      </w:r>
      <w:r>
        <w:rPr>
          <w:rFonts w:ascii="Abadi" w:hAnsi="Abadi" w:cs="Verdana"/>
          <w:sz w:val="21"/>
          <w:szCs w:val="21"/>
        </w:rPr>
        <w:t xml:space="preserve"> </w:t>
      </w:r>
      <w:r w:rsidRPr="00CF79E5">
        <w:rPr>
          <w:rFonts w:ascii="Abadi" w:hAnsi="Abadi" w:cs="Verdana"/>
          <w:sz w:val="21"/>
          <w:szCs w:val="21"/>
        </w:rPr>
        <w:t>presidencia y se retiraron con permiso de la presidencia las diputadas Susana Bermúdez Cano y</w:t>
      </w:r>
      <w:r>
        <w:rPr>
          <w:rFonts w:ascii="Abadi" w:hAnsi="Abadi" w:cs="Verdana"/>
          <w:sz w:val="21"/>
          <w:szCs w:val="21"/>
        </w:rPr>
        <w:t xml:space="preserve"> </w:t>
      </w:r>
      <w:r w:rsidRPr="00CF79E5">
        <w:rPr>
          <w:rFonts w:ascii="Abadi" w:hAnsi="Abadi" w:cs="Verdana"/>
          <w:sz w:val="21"/>
          <w:szCs w:val="21"/>
        </w:rPr>
        <w:t>María de la Luz Hernández Martínez y los diputados Cuauhtémoc Becerra González y José Alfonso</w:t>
      </w:r>
    </w:p>
    <w:p w14:paraId="2BBEDFCB" w14:textId="265F2C00" w:rsidR="00EE744D" w:rsidRPr="00CF79E5" w:rsidRDefault="00EE744D" w:rsidP="00EE744D">
      <w:pPr>
        <w:autoSpaceDE w:val="0"/>
        <w:autoSpaceDN w:val="0"/>
        <w:adjustRightInd w:val="0"/>
        <w:jc w:val="both"/>
        <w:rPr>
          <w:rFonts w:ascii="Abadi" w:hAnsi="Abadi" w:cs="Verdana"/>
          <w:sz w:val="21"/>
          <w:szCs w:val="21"/>
        </w:rPr>
      </w:pPr>
      <w:r w:rsidRPr="00CF79E5">
        <w:rPr>
          <w:rFonts w:ascii="Abadi" w:hAnsi="Abadi" w:cs="Verdana"/>
          <w:sz w:val="21"/>
          <w:szCs w:val="21"/>
        </w:rPr>
        <w:t xml:space="preserve">Borja Pimentel. - - - - - - - - - - - - - - - - - - - - - </w:t>
      </w:r>
    </w:p>
    <w:p w14:paraId="1F7472CA" w14:textId="26046638" w:rsidR="00EE744D" w:rsidRDefault="00EE744D" w:rsidP="0012414E">
      <w:pPr>
        <w:autoSpaceDE w:val="0"/>
        <w:autoSpaceDN w:val="0"/>
        <w:adjustRightInd w:val="0"/>
        <w:jc w:val="both"/>
        <w:rPr>
          <w:rFonts w:ascii="Abadi" w:hAnsi="Abadi" w:cs="Verdana"/>
          <w:sz w:val="21"/>
          <w:szCs w:val="21"/>
        </w:rPr>
      </w:pPr>
      <w:r>
        <w:rPr>
          <w:rFonts w:ascii="Abadi" w:hAnsi="Abadi" w:cs="Verdana"/>
          <w:sz w:val="21"/>
          <w:szCs w:val="21"/>
        </w:rPr>
        <w:tab/>
      </w:r>
      <w:r w:rsidRPr="00CF79E5">
        <w:rPr>
          <w:rFonts w:ascii="Abadi" w:hAnsi="Abadi" w:cs="Verdana"/>
          <w:sz w:val="21"/>
          <w:szCs w:val="21"/>
        </w:rPr>
        <w:t>La presidencia expresó que, en virtud de que el cuórum de asistencia se había mantenido,</w:t>
      </w:r>
      <w:r w:rsidR="0012414E">
        <w:rPr>
          <w:rFonts w:ascii="Abadi" w:hAnsi="Abadi" w:cs="Verdana"/>
          <w:sz w:val="21"/>
          <w:szCs w:val="21"/>
        </w:rPr>
        <w:t xml:space="preserve"> </w:t>
      </w:r>
      <w:r w:rsidRPr="00CF79E5">
        <w:rPr>
          <w:rFonts w:ascii="Abadi" w:hAnsi="Abadi" w:cs="Verdana"/>
          <w:sz w:val="21"/>
          <w:szCs w:val="21"/>
        </w:rPr>
        <w:t>no procedería a instruir a la secretaría a un nuevo pase de lista; por lo que levantó la sesión siendo</w:t>
      </w:r>
      <w:r w:rsidR="0012414E">
        <w:rPr>
          <w:rFonts w:ascii="Abadi" w:hAnsi="Abadi" w:cs="Verdana"/>
          <w:sz w:val="21"/>
          <w:szCs w:val="21"/>
        </w:rPr>
        <w:t xml:space="preserve"> </w:t>
      </w:r>
      <w:r w:rsidRPr="00CF79E5">
        <w:rPr>
          <w:rFonts w:ascii="Abadi" w:hAnsi="Abadi" w:cs="Verdana"/>
          <w:sz w:val="21"/>
          <w:szCs w:val="21"/>
        </w:rPr>
        <w:t xml:space="preserve">las dieciséis horas </w:t>
      </w:r>
      <w:r w:rsidRPr="00CF79E5">
        <w:rPr>
          <w:rFonts w:ascii="Abadi" w:hAnsi="Abadi" w:cs="Verdana"/>
          <w:sz w:val="21"/>
          <w:szCs w:val="21"/>
        </w:rPr>
        <w:t>con cuarenta y tres minutos e indicó que se citaría para la siguiente por conducto</w:t>
      </w:r>
      <w:r w:rsidR="0012414E">
        <w:rPr>
          <w:rFonts w:ascii="Abadi" w:hAnsi="Abadi" w:cs="Verdana"/>
          <w:sz w:val="21"/>
          <w:szCs w:val="21"/>
        </w:rPr>
        <w:t xml:space="preserve"> </w:t>
      </w:r>
      <w:r w:rsidRPr="00CF79E5">
        <w:rPr>
          <w:rFonts w:ascii="Abadi" w:hAnsi="Abadi" w:cs="Verdana"/>
          <w:sz w:val="21"/>
          <w:szCs w:val="21"/>
        </w:rPr>
        <w:t xml:space="preserve">de la Secretaría General. - - - - - - - - - - - - - - - - - - </w:t>
      </w:r>
      <w:r w:rsidR="0012414E">
        <w:rPr>
          <w:rFonts w:ascii="Abadi" w:hAnsi="Abadi" w:cs="Verdana"/>
          <w:sz w:val="21"/>
          <w:szCs w:val="21"/>
        </w:rPr>
        <w:tab/>
      </w:r>
      <w:r w:rsidRPr="00CF79E5">
        <w:rPr>
          <w:rFonts w:ascii="Abadi" w:hAnsi="Abadi" w:cs="Verdana"/>
          <w:sz w:val="21"/>
          <w:szCs w:val="21"/>
        </w:rPr>
        <w:t>Las intervenciones de las diputadas y de los diputados registradas durante la presente</w:t>
      </w:r>
      <w:r>
        <w:rPr>
          <w:rFonts w:ascii="Abadi" w:hAnsi="Abadi" w:cs="Verdana"/>
          <w:sz w:val="21"/>
          <w:szCs w:val="21"/>
        </w:rPr>
        <w:t xml:space="preserve"> </w:t>
      </w:r>
      <w:r w:rsidRPr="00CF79E5">
        <w:rPr>
          <w:rFonts w:ascii="Abadi" w:hAnsi="Abadi" w:cs="Verdana"/>
          <w:sz w:val="21"/>
          <w:szCs w:val="21"/>
        </w:rPr>
        <w:t>sesión se contienen íntegramente en versión mecanográfica y forman parte de la presente acta;</w:t>
      </w:r>
      <w:r>
        <w:rPr>
          <w:rFonts w:ascii="Abadi" w:hAnsi="Abadi" w:cs="Verdana"/>
          <w:sz w:val="21"/>
          <w:szCs w:val="21"/>
        </w:rPr>
        <w:t xml:space="preserve"> </w:t>
      </w:r>
      <w:r w:rsidRPr="00CF79E5">
        <w:rPr>
          <w:rFonts w:ascii="Abadi" w:hAnsi="Abadi" w:cs="Verdana"/>
          <w:sz w:val="21"/>
          <w:szCs w:val="21"/>
        </w:rPr>
        <w:t>así como el oficio por el que se solicitó la justificación de la inasistencia del diputado Rolando</w:t>
      </w:r>
      <w:r>
        <w:rPr>
          <w:rFonts w:ascii="Abadi" w:hAnsi="Abadi" w:cs="Verdana"/>
          <w:sz w:val="21"/>
          <w:szCs w:val="21"/>
        </w:rPr>
        <w:t xml:space="preserve"> </w:t>
      </w:r>
      <w:r w:rsidRPr="00CF79E5">
        <w:rPr>
          <w:rFonts w:ascii="Abadi" w:hAnsi="Abadi" w:cs="Verdana"/>
          <w:sz w:val="21"/>
          <w:szCs w:val="21"/>
        </w:rPr>
        <w:t>Fortino Alcántar Rojas; y las propuestas y reservas presentadas durante la sesión por el diputado</w:t>
      </w:r>
      <w:r>
        <w:rPr>
          <w:rFonts w:ascii="Abadi" w:hAnsi="Abadi" w:cs="Verdana"/>
          <w:sz w:val="21"/>
          <w:szCs w:val="21"/>
        </w:rPr>
        <w:t xml:space="preserve"> </w:t>
      </w:r>
      <w:r w:rsidRPr="00CF79E5">
        <w:rPr>
          <w:rFonts w:ascii="Abadi" w:hAnsi="Abadi" w:cs="Verdana"/>
          <w:sz w:val="21"/>
          <w:szCs w:val="21"/>
        </w:rPr>
        <w:t>Gustavo Adolfo Alfaro Reyes y las diputadas Hades Berenice Aguilar Castillo y Susana Bermúdez</w:t>
      </w:r>
      <w:r>
        <w:rPr>
          <w:rFonts w:ascii="Abadi" w:hAnsi="Abadi" w:cs="Verdana"/>
          <w:sz w:val="21"/>
          <w:szCs w:val="21"/>
        </w:rPr>
        <w:t xml:space="preserve"> </w:t>
      </w:r>
      <w:r w:rsidRPr="00CF79E5">
        <w:rPr>
          <w:rFonts w:ascii="Abadi" w:hAnsi="Abadi" w:cs="Verdana"/>
          <w:sz w:val="21"/>
          <w:szCs w:val="21"/>
        </w:rPr>
        <w:t xml:space="preserve">Cano. Damos fe. </w:t>
      </w:r>
      <w:r w:rsidR="0012414E">
        <w:rPr>
          <w:rFonts w:ascii="Abadi" w:hAnsi="Abadi" w:cs="Verdana"/>
          <w:sz w:val="21"/>
          <w:szCs w:val="21"/>
        </w:rPr>
        <w:t>–</w:t>
      </w:r>
      <w:r w:rsidRPr="00CF79E5">
        <w:rPr>
          <w:rFonts w:ascii="Abadi" w:hAnsi="Abadi" w:cs="Verdana"/>
          <w:sz w:val="21"/>
          <w:szCs w:val="21"/>
        </w:rPr>
        <w:t xml:space="preserve"> </w:t>
      </w:r>
    </w:p>
    <w:p w14:paraId="14A45D11" w14:textId="77777777" w:rsidR="0012414E" w:rsidRPr="00CF79E5" w:rsidRDefault="0012414E" w:rsidP="0012414E">
      <w:pPr>
        <w:autoSpaceDE w:val="0"/>
        <w:autoSpaceDN w:val="0"/>
        <w:adjustRightInd w:val="0"/>
        <w:jc w:val="both"/>
        <w:rPr>
          <w:rFonts w:ascii="Abadi" w:hAnsi="Abadi" w:cs="Verdana"/>
          <w:sz w:val="21"/>
          <w:szCs w:val="21"/>
        </w:rPr>
      </w:pPr>
    </w:p>
    <w:p w14:paraId="516477C3" w14:textId="77777777" w:rsidR="00EE744D" w:rsidRPr="00CF79E5"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LAURA CRISTINA MÁRQUEZ ALCALÁ</w:t>
      </w:r>
    </w:p>
    <w:p w14:paraId="16535F84" w14:textId="77777777" w:rsidR="00EE744D"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DIPUTADA PRESIDENTA</w:t>
      </w:r>
    </w:p>
    <w:p w14:paraId="1783FF1B" w14:textId="77777777" w:rsidR="00EE744D" w:rsidRPr="00CF79E5" w:rsidRDefault="00EE744D" w:rsidP="00EE744D">
      <w:pPr>
        <w:autoSpaceDE w:val="0"/>
        <w:autoSpaceDN w:val="0"/>
        <w:adjustRightInd w:val="0"/>
        <w:jc w:val="both"/>
        <w:rPr>
          <w:rFonts w:ascii="Abadi" w:hAnsi="Abadi" w:cs="Verdana-Bold"/>
          <w:b/>
          <w:bCs/>
          <w:sz w:val="21"/>
          <w:szCs w:val="21"/>
        </w:rPr>
      </w:pPr>
    </w:p>
    <w:p w14:paraId="3DDE7278" w14:textId="77777777" w:rsidR="00EE744D" w:rsidRPr="00CF79E5"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BRICIO BALDERAS ÁLVAREZ</w:t>
      </w:r>
    </w:p>
    <w:p w14:paraId="19DA4042" w14:textId="77777777" w:rsidR="00EE744D"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DIPUTADO SECRETARIO</w:t>
      </w:r>
    </w:p>
    <w:p w14:paraId="64DFF592" w14:textId="77777777" w:rsidR="00EE744D" w:rsidRPr="00CF79E5" w:rsidRDefault="00EE744D" w:rsidP="00EE744D">
      <w:pPr>
        <w:autoSpaceDE w:val="0"/>
        <w:autoSpaceDN w:val="0"/>
        <w:adjustRightInd w:val="0"/>
        <w:jc w:val="both"/>
        <w:rPr>
          <w:rFonts w:ascii="Abadi" w:hAnsi="Abadi" w:cs="Verdana-Bold"/>
          <w:b/>
          <w:bCs/>
          <w:sz w:val="21"/>
          <w:szCs w:val="21"/>
        </w:rPr>
      </w:pPr>
    </w:p>
    <w:p w14:paraId="7EDCDAD2" w14:textId="77777777" w:rsidR="00EE744D" w:rsidRPr="00CF79E5"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MIGUEL ÁNGEL SALIM ALLE</w:t>
      </w:r>
    </w:p>
    <w:p w14:paraId="79C3A2FF" w14:textId="77777777" w:rsidR="00EE744D"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DIPUTADO SECRETARIO</w:t>
      </w:r>
    </w:p>
    <w:p w14:paraId="61510273" w14:textId="77777777" w:rsidR="00EE744D" w:rsidRPr="00CF79E5" w:rsidRDefault="00EE744D" w:rsidP="00EE744D">
      <w:pPr>
        <w:autoSpaceDE w:val="0"/>
        <w:autoSpaceDN w:val="0"/>
        <w:adjustRightInd w:val="0"/>
        <w:jc w:val="both"/>
        <w:rPr>
          <w:rFonts w:ascii="Abadi" w:hAnsi="Abadi" w:cs="Verdana-Bold"/>
          <w:b/>
          <w:bCs/>
          <w:sz w:val="21"/>
          <w:szCs w:val="21"/>
        </w:rPr>
      </w:pPr>
    </w:p>
    <w:p w14:paraId="7BD7F2AE" w14:textId="77777777" w:rsidR="00EE744D" w:rsidRPr="00CF79E5" w:rsidRDefault="00EE744D" w:rsidP="00EE744D">
      <w:pPr>
        <w:autoSpaceDE w:val="0"/>
        <w:autoSpaceDN w:val="0"/>
        <w:adjustRightInd w:val="0"/>
        <w:jc w:val="both"/>
        <w:rPr>
          <w:rFonts w:ascii="Abadi" w:hAnsi="Abadi" w:cs="Verdana-Bold"/>
          <w:b/>
          <w:bCs/>
          <w:sz w:val="21"/>
          <w:szCs w:val="21"/>
        </w:rPr>
      </w:pPr>
      <w:r w:rsidRPr="00CF79E5">
        <w:rPr>
          <w:rFonts w:ascii="Abadi" w:hAnsi="Abadi" w:cs="Verdana-Bold"/>
          <w:b/>
          <w:bCs/>
          <w:sz w:val="21"/>
          <w:szCs w:val="21"/>
        </w:rPr>
        <w:t>ALMA EDWVIGES ALCARAZ HERNÁNDEZ</w:t>
      </w:r>
    </w:p>
    <w:p w14:paraId="6BD02D0C" w14:textId="2685F58C" w:rsidR="00EE744D" w:rsidRDefault="00EE744D" w:rsidP="00EE744D">
      <w:pPr>
        <w:kinsoku w:val="0"/>
        <w:overflowPunct w:val="0"/>
        <w:jc w:val="both"/>
        <w:rPr>
          <w:rFonts w:ascii="Abadi" w:hAnsi="Abadi" w:cs="Verdana-Bold"/>
          <w:b/>
          <w:bCs/>
          <w:sz w:val="21"/>
          <w:szCs w:val="21"/>
        </w:rPr>
      </w:pPr>
      <w:r w:rsidRPr="00CF79E5">
        <w:rPr>
          <w:rFonts w:ascii="Abadi" w:hAnsi="Abadi" w:cs="Verdana-Bold"/>
          <w:b/>
          <w:bCs/>
          <w:sz w:val="21"/>
          <w:szCs w:val="21"/>
        </w:rPr>
        <w:t>DIPUTADA VICEPRESIDENTA</w:t>
      </w:r>
    </w:p>
    <w:p w14:paraId="31F20575" w14:textId="77777777" w:rsidR="003C2A25" w:rsidRDefault="003C2A25" w:rsidP="00EE744D">
      <w:pPr>
        <w:kinsoku w:val="0"/>
        <w:overflowPunct w:val="0"/>
        <w:jc w:val="both"/>
        <w:rPr>
          <w:rFonts w:ascii="Abadi" w:hAnsi="Abadi" w:cs="Verdana-Bold"/>
          <w:b/>
          <w:bCs/>
          <w:sz w:val="21"/>
          <w:szCs w:val="21"/>
        </w:rPr>
      </w:pPr>
    </w:p>
    <w:p w14:paraId="4A317DC1" w14:textId="5185A4D0" w:rsidR="003C2A25" w:rsidRDefault="003C2A25" w:rsidP="003C2A25">
      <w:pPr>
        <w:jc w:val="both"/>
        <w:rPr>
          <w:rFonts w:ascii="Abadi" w:hAnsi="Abadi"/>
          <w:sz w:val="21"/>
          <w:szCs w:val="21"/>
        </w:rPr>
      </w:pPr>
      <w:r>
        <w:rPr>
          <w:rFonts w:ascii="Abadi" w:hAnsi="Abadi"/>
          <w:b/>
          <w:bCs/>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Para desahogar el siguiente punto del orden del día. Se propone se dispensa la lectura del acta de la sesión ordinaria celebrada el pasado 15 de junio del año en curso misma que se encuentra en la Gaceta Parlamentaria. Si desean registrarse con respecto a esta propuesta indiquenlo a esta presidencia. No habiendo intervenciones pido el diputado secretario que en votación económica a través del sistema electrónico pregunt</w:t>
      </w:r>
      <w:r>
        <w:rPr>
          <w:rFonts w:ascii="Abadi" w:hAnsi="Abadi"/>
          <w:sz w:val="21"/>
          <w:szCs w:val="21"/>
        </w:rPr>
        <w:t>e</w:t>
      </w:r>
      <w:r w:rsidRPr="0030088F">
        <w:rPr>
          <w:rFonts w:ascii="Abadi" w:hAnsi="Abadi"/>
          <w:sz w:val="21"/>
          <w:szCs w:val="21"/>
        </w:rPr>
        <w:t xml:space="preserve"> a las diputadas y diputados si se aprueba la dispensa de lectura.</w:t>
      </w:r>
    </w:p>
    <w:p w14:paraId="0E634D5B" w14:textId="77777777" w:rsidR="003C2A25" w:rsidRPr="0030088F" w:rsidRDefault="003C2A25" w:rsidP="003C2A25">
      <w:pPr>
        <w:jc w:val="both"/>
        <w:rPr>
          <w:rFonts w:ascii="Abadi" w:hAnsi="Abadi"/>
          <w:sz w:val="21"/>
          <w:szCs w:val="21"/>
        </w:rPr>
      </w:pPr>
    </w:p>
    <w:p w14:paraId="67B23AA4" w14:textId="77777777" w:rsidR="003C2A25" w:rsidRDefault="003C2A25" w:rsidP="003C2A25">
      <w:pPr>
        <w:jc w:val="both"/>
        <w:rPr>
          <w:rFonts w:ascii="Abadi" w:hAnsi="Abadi"/>
          <w:b/>
          <w:bCs/>
          <w:sz w:val="21"/>
          <w:szCs w:val="21"/>
        </w:rPr>
      </w:pPr>
      <w:r w:rsidRPr="0030088F">
        <w:rPr>
          <w:rFonts w:ascii="Abadi" w:hAnsi="Abadi"/>
          <w:b/>
          <w:bCs/>
          <w:sz w:val="21"/>
          <w:szCs w:val="21"/>
        </w:rPr>
        <w:t>(se abre el sistema electrónico)</w:t>
      </w:r>
    </w:p>
    <w:p w14:paraId="6C24627B" w14:textId="77777777" w:rsidR="003C2A25" w:rsidRPr="0030088F" w:rsidRDefault="003C2A25" w:rsidP="003C2A25">
      <w:pPr>
        <w:jc w:val="both"/>
        <w:rPr>
          <w:rFonts w:ascii="Abadi" w:hAnsi="Abadi"/>
          <w:b/>
          <w:bCs/>
          <w:sz w:val="21"/>
          <w:szCs w:val="21"/>
        </w:rPr>
      </w:pPr>
    </w:p>
    <w:p w14:paraId="3B808423" w14:textId="77777777" w:rsidR="003C2A25" w:rsidRPr="0030088F"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 xml:space="preserve">En votación económica y mediante el sistema electrónico se les pregunta si se aprueba la propuesta sobre dispensa de lectura. ¿diputada Briseida </w:t>
      </w:r>
    </w:p>
    <w:p w14:paraId="4C5A1565" w14:textId="77777777" w:rsidR="003C2A25" w:rsidRDefault="003C2A25" w:rsidP="003C2A25">
      <w:pPr>
        <w:jc w:val="both"/>
        <w:rPr>
          <w:rFonts w:ascii="Abadi" w:hAnsi="Abadi"/>
          <w:sz w:val="21"/>
          <w:szCs w:val="21"/>
        </w:rPr>
      </w:pPr>
      <w:r w:rsidRPr="0030088F">
        <w:rPr>
          <w:rFonts w:ascii="Abadi" w:hAnsi="Abadi"/>
          <w:sz w:val="21"/>
          <w:szCs w:val="21"/>
        </w:rPr>
        <w:t>¿falta alguna diputada o diputado por emitir su voto?</w:t>
      </w:r>
    </w:p>
    <w:p w14:paraId="0137F10B" w14:textId="77777777" w:rsidR="003C2A25" w:rsidRPr="0030088F" w:rsidRDefault="003C2A25" w:rsidP="003C2A25">
      <w:pPr>
        <w:jc w:val="both"/>
        <w:rPr>
          <w:rFonts w:ascii="Abadi" w:hAnsi="Abadi"/>
          <w:sz w:val="21"/>
          <w:szCs w:val="21"/>
        </w:rPr>
      </w:pPr>
    </w:p>
    <w:p w14:paraId="36F3A600" w14:textId="77777777" w:rsidR="003C2A25" w:rsidRPr="0030088F" w:rsidRDefault="003C2A25" w:rsidP="003C2A25">
      <w:pPr>
        <w:jc w:val="both"/>
        <w:rPr>
          <w:rFonts w:ascii="Abadi" w:hAnsi="Abadi"/>
          <w:b/>
          <w:bCs/>
          <w:sz w:val="21"/>
          <w:szCs w:val="21"/>
        </w:rPr>
      </w:pPr>
      <w:r w:rsidRPr="0030088F">
        <w:rPr>
          <w:rFonts w:ascii="Abadi" w:hAnsi="Abadi"/>
          <w:b/>
          <w:bCs/>
          <w:sz w:val="21"/>
          <w:szCs w:val="21"/>
        </w:rPr>
        <w:t>(se cierra el sistema electrónico)</w:t>
      </w:r>
    </w:p>
    <w:p w14:paraId="3C340D77" w14:textId="77777777" w:rsidR="003C2A25" w:rsidRPr="0030088F" w:rsidRDefault="003C2A25" w:rsidP="003C2A25">
      <w:pPr>
        <w:jc w:val="both"/>
        <w:rPr>
          <w:rFonts w:ascii="Abadi" w:hAnsi="Abadi"/>
          <w:b/>
          <w:bCs/>
          <w:sz w:val="21"/>
          <w:szCs w:val="21"/>
        </w:rPr>
      </w:pPr>
      <w:r w:rsidRPr="0030088F">
        <w:rPr>
          <w:rFonts w:ascii="Abadi" w:hAnsi="Abadi"/>
          <w:noProof/>
          <w:sz w:val="21"/>
          <w:szCs w:val="21"/>
        </w:rPr>
        <w:lastRenderedPageBreak/>
        <w:drawing>
          <wp:inline distT="0" distB="0" distL="0" distR="0" wp14:anchorId="7C0A5E86" wp14:editId="24425AD0">
            <wp:extent cx="1538287" cy="821533"/>
            <wp:effectExtent l="247650" t="247650" r="252730" b="245745"/>
            <wp:docPr id="517582926" name="Imagen 517582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82926" name=""/>
                    <pic:cNvPicPr/>
                  </pic:nvPicPr>
                  <pic:blipFill rotWithShape="1">
                    <a:blip r:embed="rId17"/>
                    <a:srcRect b="5049"/>
                    <a:stretch/>
                  </pic:blipFill>
                  <pic:spPr bwMode="auto">
                    <a:xfrm>
                      <a:off x="0" y="0"/>
                      <a:ext cx="1557733" cy="83191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3F5624D" w14:textId="77777777" w:rsidR="003C2A25" w:rsidRPr="0030088F" w:rsidRDefault="003C2A25" w:rsidP="003C2A25">
      <w:pPr>
        <w:jc w:val="both"/>
        <w:rPr>
          <w:rFonts w:ascii="Abadi" w:hAnsi="Abadi"/>
          <w:sz w:val="21"/>
          <w:szCs w:val="21"/>
        </w:rPr>
      </w:pPr>
    </w:p>
    <w:p w14:paraId="67C8F62B" w14:textId="77777777" w:rsidR="003C2A25"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b/>
          <w:bCs/>
          <w:sz w:val="21"/>
          <w:szCs w:val="21"/>
        </w:rPr>
        <w:t xml:space="preserve"> </w:t>
      </w:r>
      <w:r w:rsidRPr="0030088F">
        <w:rPr>
          <w:rFonts w:ascii="Abadi" w:hAnsi="Abadi"/>
          <w:sz w:val="21"/>
          <w:szCs w:val="21"/>
        </w:rPr>
        <w:t>Presidente le informo que se han registrado 32 votos a favor 0 votos en contra.</w:t>
      </w:r>
    </w:p>
    <w:p w14:paraId="45B27282" w14:textId="77777777" w:rsidR="003C2A25" w:rsidRPr="0030088F" w:rsidRDefault="003C2A25" w:rsidP="003C2A25">
      <w:pPr>
        <w:jc w:val="both"/>
        <w:rPr>
          <w:rFonts w:ascii="Abadi" w:hAnsi="Abadi"/>
          <w:sz w:val="21"/>
          <w:szCs w:val="21"/>
        </w:rPr>
      </w:pPr>
    </w:p>
    <w:p w14:paraId="2398B36D" w14:textId="77777777" w:rsidR="003C2A25"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La dispensa de lectura ha sido aprobada por unanimidad de votos</w:t>
      </w:r>
      <w:r>
        <w:rPr>
          <w:rFonts w:ascii="Abadi" w:hAnsi="Abadi"/>
          <w:sz w:val="21"/>
          <w:szCs w:val="21"/>
        </w:rPr>
        <w:t>.</w:t>
      </w:r>
    </w:p>
    <w:p w14:paraId="499A6ADD" w14:textId="77777777" w:rsidR="003C2A25" w:rsidRDefault="003C2A25" w:rsidP="003C2A25">
      <w:pPr>
        <w:jc w:val="both"/>
        <w:rPr>
          <w:rFonts w:ascii="Abadi" w:hAnsi="Abadi"/>
          <w:sz w:val="21"/>
          <w:szCs w:val="21"/>
        </w:rPr>
      </w:pPr>
    </w:p>
    <w:p w14:paraId="34283457" w14:textId="77777777" w:rsidR="003C2A25" w:rsidRDefault="003C2A25" w:rsidP="003C2A25">
      <w:pPr>
        <w:jc w:val="both"/>
        <w:rPr>
          <w:rFonts w:ascii="Abadi" w:hAnsi="Abadi"/>
          <w:sz w:val="21"/>
          <w:szCs w:val="21"/>
        </w:rPr>
      </w:pPr>
      <w:r>
        <w:rPr>
          <w:rFonts w:ascii="Abadi" w:hAnsi="Abadi"/>
          <w:sz w:val="21"/>
          <w:szCs w:val="21"/>
        </w:rPr>
        <w:tab/>
      </w:r>
      <w:r w:rsidRPr="003E228D">
        <w:rPr>
          <w:rFonts w:ascii="Abadi" w:hAnsi="Abadi"/>
          <w:b/>
          <w:bCs/>
          <w:sz w:val="21"/>
          <w:szCs w:val="21"/>
        </w:rPr>
        <w:t xml:space="preserve">- La </w:t>
      </w:r>
      <w:proofErr w:type="gramStart"/>
      <w:r w:rsidRPr="003E228D">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n consecuencia procede someter a consideración de este pleno el acta de referencia. Si desean hacer uso de la palabra indiquenlo a esta presidenta. Al no registrarse intervenciones se solicita a la secretaría que en votación económica a través del sistema electrónico pregunte si se aprueba el acta de referencia.</w:t>
      </w:r>
    </w:p>
    <w:p w14:paraId="2C818167" w14:textId="77777777" w:rsidR="003C2A25" w:rsidRPr="0030088F" w:rsidRDefault="003C2A25" w:rsidP="003C2A25">
      <w:pPr>
        <w:jc w:val="both"/>
        <w:rPr>
          <w:rFonts w:ascii="Abadi" w:hAnsi="Abadi"/>
          <w:sz w:val="21"/>
          <w:szCs w:val="21"/>
        </w:rPr>
      </w:pPr>
    </w:p>
    <w:p w14:paraId="056CBBFC" w14:textId="77777777" w:rsidR="003C2A25" w:rsidRDefault="003C2A25" w:rsidP="003C2A25">
      <w:pPr>
        <w:jc w:val="both"/>
        <w:rPr>
          <w:rFonts w:ascii="Abadi" w:hAnsi="Abadi"/>
          <w:b/>
          <w:bCs/>
          <w:sz w:val="21"/>
          <w:szCs w:val="21"/>
        </w:rPr>
      </w:pPr>
      <w:r w:rsidRPr="0030088F">
        <w:rPr>
          <w:rFonts w:ascii="Abadi" w:hAnsi="Abadi"/>
          <w:b/>
          <w:bCs/>
          <w:sz w:val="21"/>
          <w:szCs w:val="21"/>
        </w:rPr>
        <w:t>(se abre el sistema electrónico)</w:t>
      </w:r>
    </w:p>
    <w:p w14:paraId="7446C1D6" w14:textId="77777777" w:rsidR="003C2A25" w:rsidRPr="0030088F" w:rsidRDefault="003C2A25" w:rsidP="003C2A25">
      <w:pPr>
        <w:jc w:val="both"/>
        <w:rPr>
          <w:rFonts w:ascii="Abadi" w:hAnsi="Abadi"/>
          <w:b/>
          <w:bCs/>
          <w:sz w:val="21"/>
          <w:szCs w:val="21"/>
        </w:rPr>
      </w:pPr>
    </w:p>
    <w:p w14:paraId="377465E0" w14:textId="1DB1044A" w:rsidR="003C2A25"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b/>
          <w:bCs/>
          <w:sz w:val="21"/>
          <w:szCs w:val="21"/>
        </w:rPr>
        <w:t xml:space="preserve"> </w:t>
      </w:r>
      <w:r w:rsidRPr="0030088F">
        <w:rPr>
          <w:rFonts w:ascii="Abadi" w:hAnsi="Abadi"/>
          <w:sz w:val="21"/>
          <w:szCs w:val="21"/>
        </w:rPr>
        <w:t>En votación económica y mediante el sistema electrónico se les consulta si se aprueba el acta de referencia. ¿</w:t>
      </w:r>
      <w:r>
        <w:rPr>
          <w:rFonts w:ascii="Abadi" w:hAnsi="Abadi"/>
          <w:sz w:val="21"/>
          <w:szCs w:val="21"/>
        </w:rPr>
        <w:t>D</w:t>
      </w:r>
      <w:r w:rsidRPr="0030088F">
        <w:rPr>
          <w:rFonts w:ascii="Abadi" w:hAnsi="Abadi"/>
          <w:sz w:val="21"/>
          <w:szCs w:val="21"/>
        </w:rPr>
        <w:t>iputada Katya?</w:t>
      </w:r>
      <w:r>
        <w:rPr>
          <w:rFonts w:ascii="Abadi" w:hAnsi="Abadi"/>
          <w:sz w:val="21"/>
          <w:szCs w:val="21"/>
        </w:rPr>
        <w:t xml:space="preserve"> </w:t>
      </w:r>
      <w:r w:rsidRPr="0030088F">
        <w:rPr>
          <w:rFonts w:ascii="Abadi" w:hAnsi="Abadi"/>
          <w:sz w:val="21"/>
          <w:szCs w:val="21"/>
        </w:rPr>
        <w:t>¿diputad</w:t>
      </w:r>
      <w:r>
        <w:rPr>
          <w:rFonts w:ascii="Abadi" w:hAnsi="Abadi"/>
          <w:sz w:val="21"/>
          <w:szCs w:val="21"/>
        </w:rPr>
        <w:t>a</w:t>
      </w:r>
      <w:r w:rsidRPr="0030088F">
        <w:rPr>
          <w:rFonts w:ascii="Abadi" w:hAnsi="Abadi"/>
          <w:sz w:val="21"/>
          <w:szCs w:val="21"/>
        </w:rPr>
        <w:t xml:space="preserve"> Melanie?</w:t>
      </w:r>
    </w:p>
    <w:p w14:paraId="3ABA71EA" w14:textId="77777777" w:rsidR="003C2A25" w:rsidRPr="0030088F" w:rsidRDefault="003C2A25" w:rsidP="003C2A25">
      <w:pPr>
        <w:jc w:val="both"/>
        <w:rPr>
          <w:rFonts w:ascii="Abadi" w:hAnsi="Abadi"/>
          <w:sz w:val="21"/>
          <w:szCs w:val="21"/>
        </w:rPr>
      </w:pPr>
    </w:p>
    <w:p w14:paraId="0775061D" w14:textId="77777777" w:rsidR="003C2A25" w:rsidRDefault="003C2A25" w:rsidP="003C2A25">
      <w:pPr>
        <w:jc w:val="both"/>
        <w:rPr>
          <w:rFonts w:ascii="Abadi" w:hAnsi="Abadi"/>
          <w:sz w:val="21"/>
          <w:szCs w:val="21"/>
        </w:rPr>
      </w:pPr>
      <w:r w:rsidRPr="0030088F">
        <w:rPr>
          <w:rFonts w:ascii="Abadi" w:hAnsi="Abadi"/>
          <w:sz w:val="21"/>
          <w:szCs w:val="21"/>
        </w:rPr>
        <w:t xml:space="preserve"> ¿falta alguna diputada o diputado por emitir su voto?</w:t>
      </w:r>
    </w:p>
    <w:p w14:paraId="7652051A" w14:textId="77777777" w:rsidR="003C2A25" w:rsidRPr="0030088F" w:rsidRDefault="003C2A25" w:rsidP="003C2A25">
      <w:pPr>
        <w:jc w:val="both"/>
        <w:rPr>
          <w:rFonts w:ascii="Abadi" w:hAnsi="Abadi"/>
          <w:sz w:val="21"/>
          <w:szCs w:val="21"/>
        </w:rPr>
      </w:pPr>
    </w:p>
    <w:p w14:paraId="2F7841CE" w14:textId="77777777" w:rsidR="003C2A25" w:rsidRPr="0030088F" w:rsidRDefault="003C2A25" w:rsidP="003C2A25">
      <w:pPr>
        <w:jc w:val="both"/>
        <w:rPr>
          <w:rFonts w:ascii="Abadi" w:hAnsi="Abadi"/>
          <w:b/>
          <w:bCs/>
          <w:sz w:val="21"/>
          <w:szCs w:val="21"/>
        </w:rPr>
      </w:pPr>
      <w:r w:rsidRPr="0030088F">
        <w:rPr>
          <w:rFonts w:ascii="Abadi" w:hAnsi="Abadi"/>
          <w:b/>
          <w:bCs/>
          <w:sz w:val="21"/>
          <w:szCs w:val="21"/>
        </w:rPr>
        <w:t>(se cierra el sistema electrónico)</w:t>
      </w:r>
    </w:p>
    <w:p w14:paraId="33814950" w14:textId="77777777" w:rsidR="003C2A25" w:rsidRPr="0030088F" w:rsidRDefault="003C2A25" w:rsidP="003C2A25">
      <w:pPr>
        <w:jc w:val="both"/>
        <w:rPr>
          <w:rFonts w:ascii="Abadi" w:hAnsi="Abadi"/>
          <w:b/>
          <w:bCs/>
          <w:sz w:val="21"/>
          <w:szCs w:val="21"/>
        </w:rPr>
      </w:pPr>
      <w:r w:rsidRPr="0030088F">
        <w:rPr>
          <w:rFonts w:ascii="Abadi" w:hAnsi="Abadi"/>
          <w:noProof/>
          <w:sz w:val="21"/>
          <w:szCs w:val="21"/>
        </w:rPr>
        <w:drawing>
          <wp:inline distT="0" distB="0" distL="0" distR="0" wp14:anchorId="0922AAFA" wp14:editId="55A85B39">
            <wp:extent cx="1418482" cy="728662"/>
            <wp:effectExtent l="247650" t="247650" r="239395" b="243205"/>
            <wp:docPr id="819932784" name="Imagen 819932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32784" name=""/>
                    <pic:cNvPicPr/>
                  </pic:nvPicPr>
                  <pic:blipFill rotWithShape="1">
                    <a:blip r:embed="rId18"/>
                    <a:srcRect b="8670"/>
                    <a:stretch/>
                  </pic:blipFill>
                  <pic:spPr bwMode="auto">
                    <a:xfrm>
                      <a:off x="0" y="0"/>
                      <a:ext cx="1435727" cy="737521"/>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1E654DD" w14:textId="77777777" w:rsidR="003C2A25"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Le informo presidenta que se registraron 32 votos a favor 0 votos en contra. </w:t>
      </w:r>
    </w:p>
    <w:p w14:paraId="20FA266B" w14:textId="77777777" w:rsidR="003C2A25" w:rsidRPr="0030088F" w:rsidRDefault="003C2A25" w:rsidP="003C2A25">
      <w:pPr>
        <w:jc w:val="both"/>
        <w:rPr>
          <w:rFonts w:ascii="Abadi" w:hAnsi="Abadi"/>
          <w:sz w:val="21"/>
          <w:szCs w:val="21"/>
        </w:rPr>
      </w:pPr>
    </w:p>
    <w:p w14:paraId="7C524ABE" w14:textId="77777777" w:rsidR="003C2A25" w:rsidRPr="0030088F" w:rsidRDefault="003C2A25" w:rsidP="003C2A25">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El acta ha sido aprobada por unanimidad de votos.</w:t>
      </w:r>
    </w:p>
    <w:p w14:paraId="14A64854" w14:textId="77777777" w:rsidR="003C2A25" w:rsidRDefault="003C2A25" w:rsidP="00EE744D">
      <w:pPr>
        <w:kinsoku w:val="0"/>
        <w:overflowPunct w:val="0"/>
        <w:jc w:val="both"/>
        <w:rPr>
          <w:rFonts w:ascii="Abadi" w:hAnsi="Abadi"/>
          <w:sz w:val="21"/>
          <w:szCs w:val="21"/>
        </w:rPr>
      </w:pPr>
    </w:p>
    <w:p w14:paraId="7629B628" w14:textId="7EA1C4DE" w:rsidR="00F01613" w:rsidRPr="00040CA4" w:rsidRDefault="00F01613"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7E1D0E">
        <w:rPr>
          <w:rStyle w:val="Refdenotaalpie"/>
          <w:rFonts w:ascii="Abadi" w:hAnsi="Abadi"/>
          <w:b/>
          <w:bCs/>
          <w:sz w:val="21"/>
          <w:szCs w:val="21"/>
        </w:rPr>
        <w:footnoteReference w:id="5"/>
      </w:r>
    </w:p>
    <w:p w14:paraId="393E2487" w14:textId="77777777" w:rsidR="00F01613" w:rsidRDefault="00F01613" w:rsidP="00F01613">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41D837A1" w14:textId="61CDEDD6"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F51546" w14:paraId="79448CED" w14:textId="77777777" w:rsidTr="003521CC">
        <w:tc>
          <w:tcPr>
            <w:tcW w:w="2112" w:type="dxa"/>
            <w:shd w:val="clear" w:color="auto" w:fill="EEECE1" w:themeFill="background2"/>
          </w:tcPr>
          <w:p w14:paraId="390545C8" w14:textId="673E9807" w:rsidR="00D118F1" w:rsidRPr="00F51546" w:rsidRDefault="00311370" w:rsidP="005B747D">
            <w:pPr>
              <w:jc w:val="both"/>
              <w:rPr>
                <w:rFonts w:ascii="Abadi" w:hAnsi="Abadi"/>
                <w:b/>
                <w:bCs/>
                <w:sz w:val="21"/>
                <w:szCs w:val="21"/>
              </w:rPr>
            </w:pPr>
            <w:r w:rsidRPr="00F51546">
              <w:rPr>
                <w:rFonts w:ascii="Abadi" w:hAnsi="Abadi"/>
                <w:b/>
                <w:bCs/>
                <w:sz w:val="21"/>
                <w:szCs w:val="21"/>
              </w:rPr>
              <w:t>A S U N T O</w:t>
            </w:r>
          </w:p>
        </w:tc>
        <w:tc>
          <w:tcPr>
            <w:tcW w:w="2126" w:type="dxa"/>
            <w:shd w:val="clear" w:color="auto" w:fill="EEECE1" w:themeFill="background2"/>
          </w:tcPr>
          <w:p w14:paraId="1A52E5BF" w14:textId="3C249DB4" w:rsidR="00D118F1" w:rsidRPr="00F51546" w:rsidRDefault="0071798E" w:rsidP="005B747D">
            <w:pPr>
              <w:jc w:val="both"/>
              <w:rPr>
                <w:rFonts w:ascii="Abadi" w:hAnsi="Abadi"/>
                <w:b/>
                <w:bCs/>
                <w:sz w:val="21"/>
                <w:szCs w:val="21"/>
              </w:rPr>
            </w:pPr>
            <w:r w:rsidRPr="00F51546">
              <w:rPr>
                <w:rFonts w:ascii="Abadi" w:hAnsi="Abadi"/>
                <w:b/>
                <w:bCs/>
                <w:sz w:val="21"/>
                <w:szCs w:val="21"/>
              </w:rPr>
              <w:t>A C U E R D O</w:t>
            </w:r>
          </w:p>
        </w:tc>
      </w:tr>
      <w:tr w:rsidR="004A767A" w:rsidRPr="00F51546" w14:paraId="4751BC1E" w14:textId="77777777" w:rsidTr="003521CC">
        <w:tc>
          <w:tcPr>
            <w:tcW w:w="2112" w:type="dxa"/>
            <w:shd w:val="clear" w:color="auto" w:fill="EEECE1" w:themeFill="background2"/>
          </w:tcPr>
          <w:p w14:paraId="5EF668AC" w14:textId="77777777" w:rsidR="003A3E40" w:rsidRPr="00F51546"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F51546" w:rsidRDefault="003A3E40" w:rsidP="005B747D">
            <w:pPr>
              <w:jc w:val="both"/>
              <w:rPr>
                <w:rFonts w:ascii="Abadi" w:hAnsi="Abadi"/>
                <w:b/>
                <w:bCs/>
                <w:sz w:val="21"/>
                <w:szCs w:val="21"/>
              </w:rPr>
            </w:pPr>
          </w:p>
        </w:tc>
      </w:tr>
      <w:tr w:rsidR="0071798E" w:rsidRPr="00F51546" w14:paraId="5975F9CD" w14:textId="77777777" w:rsidTr="003521CC">
        <w:tc>
          <w:tcPr>
            <w:tcW w:w="4238" w:type="dxa"/>
            <w:gridSpan w:val="2"/>
            <w:shd w:val="clear" w:color="auto" w:fill="EEECE1" w:themeFill="background2"/>
          </w:tcPr>
          <w:p w14:paraId="1BA30EA8" w14:textId="2A8E1D8E" w:rsidR="0071798E" w:rsidRPr="00F51546" w:rsidRDefault="00EC48B9" w:rsidP="005B747D">
            <w:pPr>
              <w:jc w:val="both"/>
              <w:rPr>
                <w:rFonts w:ascii="Abadi" w:hAnsi="Abadi"/>
                <w:b/>
                <w:bCs/>
                <w:sz w:val="21"/>
                <w:szCs w:val="21"/>
              </w:rPr>
            </w:pPr>
            <w:r w:rsidRPr="00F51546">
              <w:rPr>
                <w:rFonts w:ascii="Abadi" w:hAnsi="Abadi"/>
                <w:b/>
                <w:bCs/>
                <w:sz w:val="21"/>
                <w:szCs w:val="21"/>
              </w:rPr>
              <w:t>I. Comunicados provenientes de poderes de la Unión y Organismos Autónomos.</w:t>
            </w:r>
          </w:p>
        </w:tc>
      </w:tr>
      <w:tr w:rsidR="006468C8" w:rsidRPr="00F51546" w14:paraId="55C43F52" w14:textId="77777777" w:rsidTr="003521CC">
        <w:tc>
          <w:tcPr>
            <w:tcW w:w="2112" w:type="dxa"/>
          </w:tcPr>
          <w:p w14:paraId="06CAC7B5" w14:textId="7A885260" w:rsidR="00B53C9D" w:rsidRPr="00F51546" w:rsidRDefault="005D5BD9" w:rsidP="0040217F">
            <w:pPr>
              <w:jc w:val="both"/>
              <w:rPr>
                <w:rFonts w:ascii="Abadi" w:hAnsi="Abadi" w:cs="Calibri"/>
                <w:b/>
                <w:bCs/>
                <w:sz w:val="21"/>
                <w:szCs w:val="21"/>
              </w:rPr>
            </w:pPr>
            <w:r w:rsidRPr="00F51546">
              <w:rPr>
                <w:rFonts w:ascii="Abadi" w:hAnsi="Abadi" w:cs="Calibri"/>
                <w:b/>
                <w:bCs/>
                <w:sz w:val="21"/>
                <w:szCs w:val="21"/>
              </w:rPr>
              <w:t>1.01</w:t>
            </w:r>
          </w:p>
          <w:p w14:paraId="2123B013" w14:textId="77777777" w:rsidR="00F51768" w:rsidRPr="00F51546" w:rsidRDefault="00F51768" w:rsidP="0040217F">
            <w:pPr>
              <w:jc w:val="both"/>
              <w:rPr>
                <w:rFonts w:ascii="Abadi" w:hAnsi="Abadi" w:cs="Calibri"/>
                <w:b/>
                <w:bCs/>
                <w:sz w:val="21"/>
                <w:szCs w:val="21"/>
              </w:rPr>
            </w:pPr>
          </w:p>
          <w:p w14:paraId="138C09AF" w14:textId="058CD4C2" w:rsidR="0040217F" w:rsidRPr="00F51546" w:rsidRDefault="0040217F" w:rsidP="0040217F">
            <w:pPr>
              <w:jc w:val="both"/>
              <w:rPr>
                <w:rFonts w:ascii="Abadi" w:hAnsi="Abadi" w:cs="Calibri"/>
                <w:sz w:val="21"/>
                <w:szCs w:val="21"/>
                <w:lang w:val="es-MX" w:eastAsia="es-MX"/>
              </w:rPr>
            </w:pPr>
            <w:r w:rsidRPr="00F51546">
              <w:rPr>
                <w:rFonts w:ascii="Abadi" w:hAnsi="Abadi" w:cs="Calibri"/>
                <w:sz w:val="21"/>
                <w:szCs w:val="21"/>
              </w:rPr>
              <w:t xml:space="preserve">El director general de Información Legislativa y encargado del despacho de la Unidad de Enlace de la Secretaría de Gobernación remite copia del oficio UCVPS/1225/2023, suscrito por la titular de la Unidad Coordinadora de Vinculación y Participación Social de la Secretaría de Salud, mediante el cual da respuesta a la consulta y a la solicitud de información, correspondiente a la propuesta de punto de acuerdo por el que se exhorta a la Secretaría de Salud Federal y a la Secretaría de Salud del Estado, para que en coordinación con la Secretaría de Educación Pública y la Secretaría de Educación de Guanajuato, lleven a cabo cursos de capacitación a las y </w:t>
            </w:r>
            <w:r w:rsidRPr="00F51546">
              <w:rPr>
                <w:rFonts w:ascii="Abadi" w:hAnsi="Abadi" w:cs="Calibri"/>
                <w:sz w:val="21"/>
                <w:szCs w:val="21"/>
              </w:rPr>
              <w:lastRenderedPageBreak/>
              <w:t>los estudiantes conforme sus programas académicos, realizados por personal especializado desde un enfoque de género y de derechos humanos, a fin de que se conozca la importancia de menstruar en condiciones de dignidad.</w:t>
            </w:r>
          </w:p>
          <w:p w14:paraId="55DF574F" w14:textId="75CA087A" w:rsidR="001B14F1" w:rsidRPr="00F51546" w:rsidRDefault="001B14F1" w:rsidP="000F64AB">
            <w:pPr>
              <w:jc w:val="both"/>
              <w:rPr>
                <w:rFonts w:ascii="Abadi" w:hAnsi="Abadi"/>
                <w:sz w:val="21"/>
                <w:szCs w:val="21"/>
              </w:rPr>
            </w:pPr>
          </w:p>
        </w:tc>
        <w:tc>
          <w:tcPr>
            <w:tcW w:w="2126" w:type="dxa"/>
          </w:tcPr>
          <w:p w14:paraId="2191DB6A" w14:textId="77777777" w:rsidR="00600430" w:rsidRPr="00F51546" w:rsidRDefault="00600430" w:rsidP="005D5BD9">
            <w:pPr>
              <w:jc w:val="both"/>
              <w:rPr>
                <w:rFonts w:ascii="Abadi" w:hAnsi="Abadi" w:cs="Calibri"/>
                <w:sz w:val="21"/>
                <w:szCs w:val="21"/>
              </w:rPr>
            </w:pPr>
          </w:p>
          <w:p w14:paraId="2237259A" w14:textId="77777777" w:rsidR="00600430" w:rsidRPr="00F51546" w:rsidRDefault="00600430" w:rsidP="005D5BD9">
            <w:pPr>
              <w:jc w:val="both"/>
              <w:rPr>
                <w:rFonts w:ascii="Abadi" w:hAnsi="Abadi" w:cs="Calibri"/>
                <w:sz w:val="21"/>
                <w:szCs w:val="21"/>
              </w:rPr>
            </w:pPr>
          </w:p>
          <w:p w14:paraId="0232717D" w14:textId="739B2714" w:rsidR="005D5BD9" w:rsidRPr="00F51546" w:rsidRDefault="005D5BD9" w:rsidP="005D5BD9">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Salud Pública.</w:t>
            </w:r>
          </w:p>
          <w:p w14:paraId="74254B3C" w14:textId="755B1A93" w:rsidR="00E87B19" w:rsidRPr="00F51546" w:rsidRDefault="00E87B19" w:rsidP="005B747D">
            <w:pPr>
              <w:jc w:val="both"/>
              <w:rPr>
                <w:rFonts w:ascii="Abadi" w:hAnsi="Abadi"/>
                <w:b/>
                <w:bCs/>
                <w:sz w:val="21"/>
                <w:szCs w:val="21"/>
              </w:rPr>
            </w:pPr>
          </w:p>
        </w:tc>
      </w:tr>
      <w:tr w:rsidR="006468C8" w:rsidRPr="00F51546" w14:paraId="466D81A8" w14:textId="77777777" w:rsidTr="003521CC">
        <w:tc>
          <w:tcPr>
            <w:tcW w:w="2112" w:type="dxa"/>
          </w:tcPr>
          <w:p w14:paraId="4643EBB7" w14:textId="77777777" w:rsidR="00C917B3" w:rsidRPr="00F51546" w:rsidRDefault="00C917B3" w:rsidP="00C917B3">
            <w:pPr>
              <w:jc w:val="both"/>
              <w:rPr>
                <w:rFonts w:ascii="Abadi" w:hAnsi="Abadi" w:cs="Calibri"/>
                <w:sz w:val="21"/>
                <w:szCs w:val="21"/>
              </w:rPr>
            </w:pPr>
          </w:p>
          <w:p w14:paraId="3C7AA02B" w14:textId="77777777" w:rsidR="00C917B3" w:rsidRPr="00F51546" w:rsidRDefault="00C917B3" w:rsidP="00C917B3">
            <w:pPr>
              <w:jc w:val="both"/>
              <w:rPr>
                <w:rFonts w:ascii="Abadi" w:hAnsi="Abadi" w:cs="Calibri"/>
                <w:b/>
                <w:bCs/>
                <w:sz w:val="21"/>
                <w:szCs w:val="21"/>
              </w:rPr>
            </w:pPr>
            <w:r w:rsidRPr="00F51546">
              <w:rPr>
                <w:rFonts w:ascii="Abadi" w:hAnsi="Abadi" w:cs="Calibri"/>
                <w:b/>
                <w:bCs/>
                <w:sz w:val="21"/>
                <w:szCs w:val="21"/>
              </w:rPr>
              <w:t>1.02</w:t>
            </w:r>
          </w:p>
          <w:p w14:paraId="33F4F0AB" w14:textId="77777777" w:rsidR="00C917B3" w:rsidRPr="00F51546" w:rsidRDefault="00C917B3" w:rsidP="00C917B3">
            <w:pPr>
              <w:jc w:val="both"/>
              <w:rPr>
                <w:rFonts w:ascii="Abadi" w:hAnsi="Abadi" w:cs="Calibri"/>
                <w:sz w:val="21"/>
                <w:szCs w:val="21"/>
              </w:rPr>
            </w:pPr>
          </w:p>
          <w:p w14:paraId="47678BA1" w14:textId="475F7414" w:rsidR="00C917B3" w:rsidRPr="00F51546" w:rsidRDefault="00C917B3" w:rsidP="00C917B3">
            <w:pPr>
              <w:jc w:val="both"/>
              <w:rPr>
                <w:rFonts w:ascii="Abadi" w:hAnsi="Abadi" w:cs="Calibri"/>
                <w:sz w:val="21"/>
                <w:szCs w:val="21"/>
              </w:rPr>
            </w:pPr>
            <w:r w:rsidRPr="00F51546">
              <w:rPr>
                <w:rFonts w:ascii="Abadi" w:hAnsi="Abadi" w:cs="Calibri"/>
                <w:sz w:val="21"/>
                <w:szCs w:val="21"/>
              </w:rPr>
              <w:t xml:space="preserve">El director general de Información Legislativa y encargado del despacho de la Unidad de Enlace de la Secretaría de Gobernación remite copia del oficio CESP. 066/2023, suscrito por la Coordinadora de Enlace y Seguimiento Parlamentario de la Secretaría de Medio Ambiente y Recursos Naturales, mediante el cual da respuesta al punto de acuerdo aprobado por esta Legislatura, en el que se efectúa un exhorto a los titulares de  las dependencias federales, Comisión Federal de Electricidad (CFE), Petróleos Mexicanos (PEMEX), Secretaría de Medio Ambiente y Recursos Naturales (SEMARNAT) y la Secretaría de Energía (SENER), a efecto de que se evite la quema de </w:t>
            </w:r>
            <w:r w:rsidRPr="00F51546">
              <w:rPr>
                <w:rFonts w:ascii="Abadi" w:hAnsi="Abadi" w:cs="Calibri"/>
                <w:sz w:val="21"/>
                <w:szCs w:val="21"/>
              </w:rPr>
              <w:t>combustóleo en el municipio de Salamanca y se cumpla con lo establecido en las Normas Oficiales Mexicanas y en los tratados internacionales en materia de calidad del aire, con la finalidad de reducir la contaminación y salvaguardar el medio ambiente y la salud de los habitantes de Salamanca.</w:t>
            </w:r>
          </w:p>
          <w:p w14:paraId="397CC0DD" w14:textId="5FC5D38E" w:rsidR="00AE1A6F" w:rsidRPr="00F51546" w:rsidRDefault="00AE1A6F" w:rsidP="002B7145">
            <w:pPr>
              <w:jc w:val="both"/>
              <w:rPr>
                <w:rFonts w:ascii="Abadi" w:hAnsi="Abadi" w:cs="Calibri"/>
                <w:sz w:val="21"/>
                <w:szCs w:val="21"/>
              </w:rPr>
            </w:pPr>
          </w:p>
        </w:tc>
        <w:tc>
          <w:tcPr>
            <w:tcW w:w="2126" w:type="dxa"/>
          </w:tcPr>
          <w:p w14:paraId="01FF9E6E" w14:textId="43177DA7" w:rsidR="001B14F1" w:rsidRPr="00F51546" w:rsidRDefault="001B14F1" w:rsidP="005B747D">
            <w:pPr>
              <w:jc w:val="both"/>
              <w:rPr>
                <w:rFonts w:ascii="Abadi" w:hAnsi="Abadi"/>
                <w:b/>
                <w:bCs/>
                <w:sz w:val="21"/>
                <w:szCs w:val="21"/>
              </w:rPr>
            </w:pPr>
          </w:p>
        </w:tc>
      </w:tr>
      <w:tr w:rsidR="006468C8" w:rsidRPr="00F51546" w14:paraId="724BEC41" w14:textId="77777777" w:rsidTr="003521CC">
        <w:tc>
          <w:tcPr>
            <w:tcW w:w="2112" w:type="dxa"/>
          </w:tcPr>
          <w:p w14:paraId="43542D68" w14:textId="77777777" w:rsidR="00F51768" w:rsidRPr="00F51546" w:rsidRDefault="00F51768" w:rsidP="00F51768">
            <w:pPr>
              <w:jc w:val="both"/>
              <w:rPr>
                <w:rFonts w:ascii="Abadi" w:hAnsi="Abadi" w:cs="Calibri"/>
                <w:b/>
                <w:bCs/>
                <w:sz w:val="21"/>
                <w:szCs w:val="21"/>
              </w:rPr>
            </w:pPr>
            <w:r w:rsidRPr="00F51546">
              <w:rPr>
                <w:rFonts w:ascii="Abadi" w:hAnsi="Abadi" w:cs="Calibri"/>
                <w:b/>
                <w:bCs/>
                <w:sz w:val="21"/>
                <w:szCs w:val="21"/>
              </w:rPr>
              <w:t>1.03</w:t>
            </w:r>
          </w:p>
          <w:p w14:paraId="0AB636BE" w14:textId="77777777" w:rsidR="00416BCF" w:rsidRPr="00F51546" w:rsidRDefault="00416BCF" w:rsidP="00F51768">
            <w:pPr>
              <w:jc w:val="both"/>
              <w:rPr>
                <w:rFonts w:ascii="Abadi" w:hAnsi="Abadi" w:cs="Calibri"/>
                <w:b/>
                <w:bCs/>
                <w:sz w:val="21"/>
                <w:szCs w:val="21"/>
              </w:rPr>
            </w:pPr>
          </w:p>
          <w:p w14:paraId="6A9BA18B" w14:textId="77777777" w:rsidR="00DB4685" w:rsidRPr="00F51546" w:rsidRDefault="00F51768" w:rsidP="002B7145">
            <w:pPr>
              <w:jc w:val="both"/>
              <w:rPr>
                <w:rFonts w:ascii="Abadi" w:hAnsi="Abadi" w:cs="Calibri"/>
                <w:sz w:val="21"/>
                <w:szCs w:val="21"/>
                <w:lang w:val="es-MX" w:eastAsia="es-MX"/>
              </w:rPr>
            </w:pPr>
            <w:r w:rsidRPr="00F51546">
              <w:rPr>
                <w:rFonts w:ascii="Abadi" w:hAnsi="Abadi" w:cs="Calibri"/>
                <w:sz w:val="21"/>
                <w:szCs w:val="21"/>
              </w:rPr>
              <w:t>El secretario de la Sección de Trámite de Controversias Constitucionales y de Acciones de Inconstitucionalidad del Poder Judicial de la Federación de la Suprema Corte de Justicia de la Nación notifica copia certificada de la sentencia de la acción de inconstitucionalidad 96/2019.</w:t>
            </w:r>
          </w:p>
          <w:p w14:paraId="60231302" w14:textId="67E71B4D" w:rsidR="00A57C47" w:rsidRPr="00F51546" w:rsidRDefault="00A57C47" w:rsidP="002B7145">
            <w:pPr>
              <w:jc w:val="both"/>
              <w:rPr>
                <w:rFonts w:ascii="Abadi" w:hAnsi="Abadi" w:cs="Calibri"/>
                <w:sz w:val="21"/>
                <w:szCs w:val="21"/>
                <w:lang w:val="es-MX" w:eastAsia="es-MX"/>
              </w:rPr>
            </w:pPr>
          </w:p>
        </w:tc>
        <w:tc>
          <w:tcPr>
            <w:tcW w:w="2126" w:type="dxa"/>
          </w:tcPr>
          <w:p w14:paraId="0EE65875" w14:textId="77777777" w:rsidR="00F51768" w:rsidRPr="00F51546" w:rsidRDefault="00F51768" w:rsidP="00F51768">
            <w:pPr>
              <w:jc w:val="both"/>
              <w:rPr>
                <w:rFonts w:ascii="Abadi" w:hAnsi="Abadi" w:cs="Calibri"/>
                <w:sz w:val="21"/>
                <w:szCs w:val="21"/>
              </w:rPr>
            </w:pPr>
          </w:p>
          <w:p w14:paraId="0F1F5ECD" w14:textId="77777777" w:rsidR="00A57C47" w:rsidRPr="00F51546" w:rsidRDefault="00A57C47" w:rsidP="00F51768">
            <w:pPr>
              <w:jc w:val="both"/>
              <w:rPr>
                <w:rFonts w:ascii="Abadi" w:hAnsi="Abadi" w:cs="Calibri"/>
                <w:sz w:val="21"/>
                <w:szCs w:val="21"/>
              </w:rPr>
            </w:pPr>
          </w:p>
          <w:p w14:paraId="5E3F9C0A" w14:textId="08646794" w:rsidR="00F51768" w:rsidRPr="00F51546" w:rsidRDefault="00F51768" w:rsidP="00F51768">
            <w:pPr>
              <w:jc w:val="both"/>
              <w:rPr>
                <w:rFonts w:ascii="Abadi" w:hAnsi="Abadi" w:cs="Calibri"/>
                <w:b/>
                <w:bCs/>
                <w:sz w:val="21"/>
                <w:szCs w:val="21"/>
                <w:lang w:val="es-MX" w:eastAsia="es-MX"/>
              </w:rPr>
            </w:pPr>
            <w:r w:rsidRPr="00F51546">
              <w:rPr>
                <w:rFonts w:ascii="Abadi" w:hAnsi="Abadi" w:cs="Calibri"/>
                <w:b/>
                <w:bCs/>
                <w:sz w:val="21"/>
                <w:szCs w:val="21"/>
              </w:rPr>
              <w:t>Enterados y se deja a disposición de las diputadas y de los diputados de esta Sexagésima Quinta Legislatura del Congreso del Estado.</w:t>
            </w:r>
          </w:p>
          <w:p w14:paraId="3C9D1C1A" w14:textId="05F251D2" w:rsidR="00C55D75" w:rsidRPr="00F51546" w:rsidRDefault="00C55D75" w:rsidP="005B747D">
            <w:pPr>
              <w:jc w:val="both"/>
              <w:rPr>
                <w:rFonts w:ascii="Abadi" w:hAnsi="Abadi"/>
                <w:b/>
                <w:bCs/>
                <w:sz w:val="21"/>
                <w:szCs w:val="21"/>
              </w:rPr>
            </w:pPr>
          </w:p>
        </w:tc>
      </w:tr>
      <w:tr w:rsidR="006468C8" w:rsidRPr="00F51546" w14:paraId="2D86301D" w14:textId="77777777" w:rsidTr="003521CC">
        <w:tc>
          <w:tcPr>
            <w:tcW w:w="2112" w:type="dxa"/>
          </w:tcPr>
          <w:p w14:paraId="35C0440A" w14:textId="77777777" w:rsidR="008D640C" w:rsidRPr="00F51546" w:rsidRDefault="008D640C" w:rsidP="008D640C">
            <w:pPr>
              <w:jc w:val="both"/>
              <w:rPr>
                <w:rFonts w:ascii="Abadi" w:hAnsi="Abadi" w:cs="Calibri"/>
                <w:b/>
                <w:bCs/>
                <w:sz w:val="21"/>
                <w:szCs w:val="21"/>
                <w:lang w:val="es-MX" w:eastAsia="es-MX"/>
              </w:rPr>
            </w:pPr>
            <w:r w:rsidRPr="00F51546">
              <w:rPr>
                <w:rFonts w:ascii="Abadi" w:hAnsi="Abadi" w:cs="Calibri"/>
                <w:b/>
                <w:bCs/>
                <w:sz w:val="21"/>
                <w:szCs w:val="21"/>
              </w:rPr>
              <w:t>2.01</w:t>
            </w:r>
          </w:p>
          <w:p w14:paraId="17F0D128" w14:textId="77777777" w:rsidR="00A57C47" w:rsidRPr="00F51546" w:rsidRDefault="00A57C47" w:rsidP="008D640C">
            <w:pPr>
              <w:jc w:val="both"/>
              <w:rPr>
                <w:rFonts w:ascii="Abadi" w:hAnsi="Abadi" w:cs="Calibri"/>
                <w:sz w:val="21"/>
                <w:szCs w:val="21"/>
              </w:rPr>
            </w:pPr>
          </w:p>
          <w:p w14:paraId="1C6B7112" w14:textId="3683D566" w:rsidR="00DA4AC9" w:rsidRPr="00F51546" w:rsidRDefault="008D640C" w:rsidP="002B7145">
            <w:pPr>
              <w:jc w:val="both"/>
              <w:rPr>
                <w:rFonts w:ascii="Abadi" w:hAnsi="Abadi" w:cs="Calibri"/>
                <w:sz w:val="21"/>
                <w:szCs w:val="21"/>
                <w:lang w:val="es-MX" w:eastAsia="es-MX"/>
              </w:rPr>
            </w:pPr>
            <w:r w:rsidRPr="00F51546">
              <w:rPr>
                <w:rFonts w:ascii="Abadi" w:hAnsi="Abadi" w:cs="Calibri"/>
                <w:sz w:val="21"/>
                <w:szCs w:val="21"/>
              </w:rPr>
              <w:t>La coordinadora general Jurídica del Gobierno del Estado de Guanajuato remite respuesta a la consulta de la iniciativa a efecto de reformar y adicionar diversas disposiciones del Código Civil para el Estado de Guanajuato.</w:t>
            </w:r>
          </w:p>
        </w:tc>
        <w:tc>
          <w:tcPr>
            <w:tcW w:w="2126" w:type="dxa"/>
          </w:tcPr>
          <w:p w14:paraId="138E66D6" w14:textId="77777777" w:rsidR="008B658E" w:rsidRPr="00F51546" w:rsidRDefault="008B658E" w:rsidP="008D640C">
            <w:pPr>
              <w:jc w:val="both"/>
              <w:rPr>
                <w:rFonts w:ascii="Abadi" w:hAnsi="Abadi" w:cs="Calibri"/>
                <w:b/>
                <w:bCs/>
                <w:sz w:val="21"/>
                <w:szCs w:val="21"/>
              </w:rPr>
            </w:pPr>
          </w:p>
          <w:p w14:paraId="3DEC92A8" w14:textId="77777777" w:rsidR="00A57C47" w:rsidRPr="00F51546" w:rsidRDefault="00A57C47" w:rsidP="008D640C">
            <w:pPr>
              <w:jc w:val="both"/>
              <w:rPr>
                <w:rFonts w:ascii="Abadi" w:hAnsi="Abadi" w:cs="Calibri"/>
                <w:b/>
                <w:bCs/>
                <w:sz w:val="21"/>
                <w:szCs w:val="21"/>
              </w:rPr>
            </w:pPr>
          </w:p>
          <w:p w14:paraId="31BF2119" w14:textId="0C94A78D" w:rsidR="008D640C" w:rsidRPr="00F51546" w:rsidRDefault="008D640C" w:rsidP="008D640C">
            <w:pPr>
              <w:jc w:val="both"/>
              <w:rPr>
                <w:rFonts w:ascii="Abadi" w:hAnsi="Abadi" w:cs="Calibri"/>
                <w:b/>
                <w:bCs/>
                <w:sz w:val="21"/>
                <w:szCs w:val="21"/>
              </w:rPr>
            </w:pPr>
            <w:r w:rsidRPr="00F51546">
              <w:rPr>
                <w:rFonts w:ascii="Abadi" w:hAnsi="Abadi" w:cs="Calibri"/>
                <w:b/>
                <w:bCs/>
                <w:sz w:val="21"/>
                <w:szCs w:val="21"/>
              </w:rPr>
              <w:t>Enterados y se informa que se turnó a la Comisión de Justicia.</w:t>
            </w:r>
          </w:p>
          <w:p w14:paraId="60DD86B8" w14:textId="1E2709C9" w:rsidR="001B14F1" w:rsidRPr="00F51546" w:rsidRDefault="001B14F1" w:rsidP="005B747D">
            <w:pPr>
              <w:jc w:val="both"/>
              <w:rPr>
                <w:rFonts w:ascii="Abadi" w:hAnsi="Abadi"/>
                <w:b/>
                <w:bCs/>
                <w:sz w:val="21"/>
                <w:szCs w:val="21"/>
              </w:rPr>
            </w:pPr>
          </w:p>
        </w:tc>
      </w:tr>
      <w:tr w:rsidR="006468C8" w:rsidRPr="00F51546" w14:paraId="499C5FE8" w14:textId="77777777" w:rsidTr="003521CC">
        <w:tc>
          <w:tcPr>
            <w:tcW w:w="2112" w:type="dxa"/>
          </w:tcPr>
          <w:p w14:paraId="34595E93" w14:textId="77777777" w:rsidR="00305165" w:rsidRPr="00F51546" w:rsidRDefault="00305165" w:rsidP="00305165">
            <w:pPr>
              <w:jc w:val="both"/>
              <w:rPr>
                <w:rFonts w:ascii="Abadi" w:hAnsi="Abadi" w:cs="Calibri"/>
                <w:b/>
                <w:bCs/>
                <w:sz w:val="21"/>
                <w:szCs w:val="21"/>
              </w:rPr>
            </w:pPr>
            <w:r w:rsidRPr="00F51546">
              <w:rPr>
                <w:rFonts w:ascii="Abadi" w:hAnsi="Abadi" w:cs="Calibri"/>
                <w:b/>
                <w:bCs/>
                <w:sz w:val="21"/>
                <w:szCs w:val="21"/>
              </w:rPr>
              <w:t>2.02</w:t>
            </w:r>
          </w:p>
          <w:p w14:paraId="020433A2" w14:textId="77777777" w:rsidR="00305165" w:rsidRPr="00F51546" w:rsidRDefault="00305165" w:rsidP="00305165">
            <w:pPr>
              <w:jc w:val="both"/>
              <w:rPr>
                <w:rFonts w:ascii="Abadi" w:hAnsi="Abadi" w:cs="Calibri"/>
                <w:sz w:val="21"/>
                <w:szCs w:val="21"/>
              </w:rPr>
            </w:pPr>
          </w:p>
          <w:p w14:paraId="4080C46C" w14:textId="763D7A95" w:rsidR="00305165" w:rsidRPr="00F51546" w:rsidRDefault="00305165" w:rsidP="00305165">
            <w:pPr>
              <w:jc w:val="both"/>
              <w:rPr>
                <w:rFonts w:ascii="Abadi" w:hAnsi="Abadi" w:cs="Calibri"/>
                <w:sz w:val="21"/>
                <w:szCs w:val="21"/>
              </w:rPr>
            </w:pPr>
            <w:r w:rsidRPr="00F51546">
              <w:rPr>
                <w:rFonts w:ascii="Abadi" w:hAnsi="Abadi" w:cs="Calibri"/>
                <w:sz w:val="21"/>
                <w:szCs w:val="21"/>
              </w:rPr>
              <w:lastRenderedPageBreak/>
              <w:t>La consejera presidenta del Instituto Electoral del Estado de Guanajuato remite opinión técnica de la iniciativa a efecto de reformar y adicionar diversos artículos de la Constitución Política para el Estado de Guanajuato y de la Ley de Instituciones y Procedimientos Electorales para el Estado de Guanajuato, en la parte correspondiente al primer ordenamiento.</w:t>
            </w:r>
          </w:p>
          <w:p w14:paraId="6D6B5674" w14:textId="6BE51FEF" w:rsidR="00DB4685" w:rsidRPr="00F51546" w:rsidRDefault="00DB4685" w:rsidP="002B7145">
            <w:pPr>
              <w:jc w:val="both"/>
              <w:rPr>
                <w:rFonts w:ascii="Abadi" w:hAnsi="Abadi" w:cs="Calibri"/>
                <w:sz w:val="21"/>
                <w:szCs w:val="21"/>
              </w:rPr>
            </w:pPr>
          </w:p>
        </w:tc>
        <w:tc>
          <w:tcPr>
            <w:tcW w:w="2126" w:type="dxa"/>
          </w:tcPr>
          <w:p w14:paraId="35208BC7" w14:textId="77777777" w:rsidR="00305165" w:rsidRPr="00F51546" w:rsidRDefault="00305165" w:rsidP="00305165">
            <w:pPr>
              <w:jc w:val="both"/>
              <w:rPr>
                <w:rFonts w:ascii="Abadi" w:hAnsi="Abadi" w:cs="Calibri"/>
                <w:sz w:val="21"/>
                <w:szCs w:val="21"/>
              </w:rPr>
            </w:pPr>
          </w:p>
          <w:p w14:paraId="3F525F87" w14:textId="77777777" w:rsidR="00305165" w:rsidRPr="00F51546" w:rsidRDefault="00305165" w:rsidP="00305165">
            <w:pPr>
              <w:jc w:val="both"/>
              <w:rPr>
                <w:rFonts w:ascii="Abadi" w:hAnsi="Abadi" w:cs="Calibri"/>
                <w:sz w:val="21"/>
                <w:szCs w:val="21"/>
              </w:rPr>
            </w:pPr>
          </w:p>
          <w:p w14:paraId="36523DF4" w14:textId="3C9F1E18" w:rsidR="00305165" w:rsidRPr="00F51546" w:rsidRDefault="00305165" w:rsidP="00305165">
            <w:pPr>
              <w:jc w:val="both"/>
              <w:rPr>
                <w:rFonts w:ascii="Abadi" w:hAnsi="Abadi" w:cs="Calibri"/>
                <w:b/>
                <w:bCs/>
                <w:sz w:val="21"/>
                <w:szCs w:val="21"/>
              </w:rPr>
            </w:pPr>
            <w:r w:rsidRPr="00F51546">
              <w:rPr>
                <w:rFonts w:ascii="Abadi" w:hAnsi="Abadi" w:cs="Calibri"/>
                <w:b/>
                <w:bCs/>
                <w:sz w:val="21"/>
                <w:szCs w:val="21"/>
              </w:rPr>
              <w:lastRenderedPageBreak/>
              <w:t>Enterados y se informa que se turnó a la Comisión de Gobernación y Puntos Constitucionales.</w:t>
            </w:r>
          </w:p>
          <w:p w14:paraId="49E0A164" w14:textId="4A5F82AF" w:rsidR="00B62AA3" w:rsidRPr="00F51546" w:rsidRDefault="00B62AA3" w:rsidP="005B747D">
            <w:pPr>
              <w:jc w:val="both"/>
              <w:rPr>
                <w:rFonts w:ascii="Abadi" w:hAnsi="Abadi"/>
                <w:b/>
                <w:bCs/>
                <w:sz w:val="21"/>
                <w:szCs w:val="21"/>
              </w:rPr>
            </w:pPr>
          </w:p>
        </w:tc>
      </w:tr>
      <w:tr w:rsidR="006468C8" w:rsidRPr="00F51546" w14:paraId="0CCC2005" w14:textId="77777777" w:rsidTr="003521CC">
        <w:tc>
          <w:tcPr>
            <w:tcW w:w="2112" w:type="dxa"/>
          </w:tcPr>
          <w:p w14:paraId="2DBF9675" w14:textId="4EC0E973" w:rsidR="00B67F8D" w:rsidRPr="00F51546" w:rsidRDefault="00B67F8D" w:rsidP="00B67F8D">
            <w:pPr>
              <w:jc w:val="both"/>
              <w:rPr>
                <w:rFonts w:ascii="Abadi" w:hAnsi="Abadi" w:cs="Calibri"/>
                <w:b/>
                <w:bCs/>
                <w:sz w:val="21"/>
                <w:szCs w:val="21"/>
              </w:rPr>
            </w:pPr>
            <w:r w:rsidRPr="00F51546">
              <w:rPr>
                <w:rFonts w:ascii="Abadi" w:hAnsi="Abadi" w:cs="Calibri"/>
                <w:b/>
                <w:bCs/>
                <w:sz w:val="21"/>
                <w:szCs w:val="21"/>
              </w:rPr>
              <w:lastRenderedPageBreak/>
              <w:t>2.0</w:t>
            </w:r>
            <w:r w:rsidR="000A7810" w:rsidRPr="00F51546">
              <w:rPr>
                <w:rFonts w:ascii="Abadi" w:hAnsi="Abadi" w:cs="Calibri"/>
                <w:b/>
                <w:bCs/>
                <w:sz w:val="21"/>
                <w:szCs w:val="21"/>
              </w:rPr>
              <w:t>3</w:t>
            </w:r>
          </w:p>
          <w:p w14:paraId="3B062DBE" w14:textId="77777777" w:rsidR="00B67F8D" w:rsidRPr="00F51546" w:rsidRDefault="00B67F8D" w:rsidP="00B67F8D">
            <w:pPr>
              <w:jc w:val="both"/>
              <w:rPr>
                <w:rFonts w:ascii="Abadi" w:hAnsi="Abadi" w:cs="Calibri"/>
                <w:sz w:val="21"/>
                <w:szCs w:val="21"/>
              </w:rPr>
            </w:pPr>
          </w:p>
          <w:p w14:paraId="039A3B10" w14:textId="77777777" w:rsidR="00B62AA3" w:rsidRDefault="00B67F8D" w:rsidP="002B7145">
            <w:pPr>
              <w:jc w:val="both"/>
              <w:rPr>
                <w:rFonts w:ascii="Abadi" w:hAnsi="Abadi" w:cs="Calibri"/>
                <w:sz w:val="21"/>
                <w:szCs w:val="21"/>
              </w:rPr>
            </w:pPr>
            <w:r w:rsidRPr="00F51546">
              <w:rPr>
                <w:rFonts w:ascii="Abadi" w:hAnsi="Abadi" w:cs="Calibri"/>
                <w:sz w:val="21"/>
                <w:szCs w:val="21"/>
              </w:rPr>
              <w:t>La coordinadora general Jurídica del Gobierno del Estado de Guanajuato remite opinión consolidada con la Secretaría de Gobierno de la iniciativa a efecto de adicionar una fracción VII al artículo 25, y una fracción IV al artículo 26 de la Constitución Política para el Estado de Guanajuato.</w:t>
            </w:r>
          </w:p>
          <w:p w14:paraId="7AEEF3B0" w14:textId="7F2DD7E0" w:rsidR="00F51546" w:rsidRPr="00F51546" w:rsidRDefault="00F51546" w:rsidP="002B7145">
            <w:pPr>
              <w:jc w:val="both"/>
              <w:rPr>
                <w:rFonts w:ascii="Abadi" w:hAnsi="Abadi" w:cs="Calibri"/>
                <w:sz w:val="21"/>
                <w:szCs w:val="21"/>
              </w:rPr>
            </w:pPr>
          </w:p>
        </w:tc>
        <w:tc>
          <w:tcPr>
            <w:tcW w:w="2126" w:type="dxa"/>
          </w:tcPr>
          <w:p w14:paraId="12FF0ACE" w14:textId="77777777" w:rsidR="006E55BF" w:rsidRPr="00F51546" w:rsidRDefault="006E55BF" w:rsidP="006E55BF">
            <w:pPr>
              <w:jc w:val="both"/>
              <w:rPr>
                <w:rFonts w:ascii="Abadi" w:hAnsi="Abadi" w:cs="Calibri"/>
                <w:b/>
                <w:bCs/>
                <w:sz w:val="21"/>
                <w:szCs w:val="21"/>
              </w:rPr>
            </w:pPr>
          </w:p>
          <w:p w14:paraId="1D1FA864" w14:textId="77777777" w:rsidR="006E55BF" w:rsidRPr="00F51546" w:rsidRDefault="006E55BF" w:rsidP="006E55BF">
            <w:pPr>
              <w:jc w:val="both"/>
              <w:rPr>
                <w:rFonts w:ascii="Abadi" w:hAnsi="Abadi" w:cs="Calibri"/>
                <w:b/>
                <w:bCs/>
                <w:sz w:val="21"/>
                <w:szCs w:val="21"/>
              </w:rPr>
            </w:pPr>
          </w:p>
          <w:p w14:paraId="711B6F9E" w14:textId="5D4E3A4E" w:rsidR="006E55BF" w:rsidRPr="00F51546" w:rsidRDefault="006E55BF" w:rsidP="006E55BF">
            <w:pPr>
              <w:jc w:val="both"/>
              <w:rPr>
                <w:rFonts w:ascii="Abadi" w:hAnsi="Abadi" w:cs="Calibri"/>
                <w:b/>
                <w:bCs/>
                <w:sz w:val="21"/>
                <w:szCs w:val="21"/>
              </w:rPr>
            </w:pPr>
            <w:r w:rsidRPr="00F51546">
              <w:rPr>
                <w:rFonts w:ascii="Abadi" w:hAnsi="Abadi" w:cs="Calibri"/>
                <w:b/>
                <w:bCs/>
                <w:sz w:val="21"/>
                <w:szCs w:val="21"/>
              </w:rPr>
              <w:t>Enterados y se informa que se turnó a la Comisión de Gobernación y Puntos Constitucionales.</w:t>
            </w:r>
          </w:p>
          <w:p w14:paraId="3C07A830" w14:textId="75ED68CD" w:rsidR="00B62AA3" w:rsidRPr="00F51546" w:rsidRDefault="00B62AA3" w:rsidP="005B747D">
            <w:pPr>
              <w:jc w:val="both"/>
              <w:rPr>
                <w:rFonts w:ascii="Abadi" w:hAnsi="Abadi" w:cs="Calibri"/>
                <w:b/>
                <w:bCs/>
                <w:sz w:val="21"/>
                <w:szCs w:val="21"/>
              </w:rPr>
            </w:pPr>
          </w:p>
        </w:tc>
      </w:tr>
      <w:tr w:rsidR="000877C6" w:rsidRPr="00F51546" w14:paraId="52161F99" w14:textId="77777777" w:rsidTr="003521CC">
        <w:tc>
          <w:tcPr>
            <w:tcW w:w="2112" w:type="dxa"/>
          </w:tcPr>
          <w:p w14:paraId="1B53CBBE" w14:textId="58BB7DF4" w:rsidR="003964EE" w:rsidRPr="00F51546" w:rsidRDefault="003964EE" w:rsidP="003964EE">
            <w:pPr>
              <w:jc w:val="both"/>
              <w:rPr>
                <w:rFonts w:ascii="Abadi" w:hAnsi="Abadi" w:cs="Calibri"/>
                <w:b/>
                <w:bCs/>
                <w:sz w:val="21"/>
                <w:szCs w:val="21"/>
              </w:rPr>
            </w:pPr>
            <w:r w:rsidRPr="00F51546">
              <w:rPr>
                <w:rFonts w:ascii="Abadi" w:hAnsi="Abadi" w:cs="Calibri"/>
                <w:b/>
                <w:bCs/>
                <w:sz w:val="21"/>
                <w:szCs w:val="21"/>
              </w:rPr>
              <w:t>2.0</w:t>
            </w:r>
            <w:r w:rsidR="000757FA" w:rsidRPr="00F51546">
              <w:rPr>
                <w:rFonts w:ascii="Abadi" w:hAnsi="Abadi" w:cs="Calibri"/>
                <w:b/>
                <w:bCs/>
                <w:sz w:val="21"/>
                <w:szCs w:val="21"/>
              </w:rPr>
              <w:t>4</w:t>
            </w:r>
          </w:p>
          <w:p w14:paraId="437BFE21" w14:textId="77777777" w:rsidR="003964EE" w:rsidRPr="00F51546" w:rsidRDefault="003964EE" w:rsidP="00AD3E17">
            <w:pPr>
              <w:jc w:val="both"/>
              <w:rPr>
                <w:rFonts w:ascii="Abadi" w:hAnsi="Abadi" w:cs="Calibri"/>
                <w:sz w:val="21"/>
                <w:szCs w:val="21"/>
              </w:rPr>
            </w:pPr>
          </w:p>
          <w:p w14:paraId="6C528CEA" w14:textId="06D0FDAD" w:rsidR="00AD3E17" w:rsidRPr="00F51546" w:rsidRDefault="00AD3E17" w:rsidP="00AD3E17">
            <w:pPr>
              <w:jc w:val="both"/>
              <w:rPr>
                <w:rFonts w:ascii="Abadi" w:hAnsi="Abadi" w:cs="Calibri"/>
                <w:sz w:val="21"/>
                <w:szCs w:val="21"/>
                <w:lang w:val="es-MX" w:eastAsia="es-MX"/>
              </w:rPr>
            </w:pPr>
            <w:r w:rsidRPr="00F51546">
              <w:rPr>
                <w:rFonts w:ascii="Abadi" w:hAnsi="Abadi" w:cs="Calibri"/>
                <w:sz w:val="21"/>
                <w:szCs w:val="21"/>
              </w:rPr>
              <w:t xml:space="preserve">La coordinadora general Jurídica del Gobierno del Estado de Guanajuato remite respuesta a la consulta de la iniciativa de reformas y adiciones a diversos artículos de la Constitución Política para el Estado de </w:t>
            </w:r>
            <w:r w:rsidRPr="00F51546">
              <w:rPr>
                <w:rFonts w:ascii="Abadi" w:hAnsi="Abadi" w:cs="Calibri"/>
                <w:sz w:val="21"/>
                <w:szCs w:val="21"/>
              </w:rPr>
              <w:t>Guanajuato, en materia de armonización sobre suspensión de derechos para ocupar un cargo, empleo o comisión del servicio público.</w:t>
            </w:r>
          </w:p>
          <w:p w14:paraId="2AA601D1" w14:textId="77777777" w:rsidR="000877C6" w:rsidRPr="00F51546" w:rsidRDefault="000877C6" w:rsidP="002B7145">
            <w:pPr>
              <w:jc w:val="both"/>
              <w:rPr>
                <w:rFonts w:ascii="Abadi" w:hAnsi="Abadi"/>
                <w:sz w:val="21"/>
                <w:szCs w:val="21"/>
              </w:rPr>
            </w:pPr>
          </w:p>
        </w:tc>
        <w:tc>
          <w:tcPr>
            <w:tcW w:w="2126" w:type="dxa"/>
          </w:tcPr>
          <w:p w14:paraId="48AB2F43" w14:textId="77777777" w:rsidR="003964EE" w:rsidRPr="00F51546" w:rsidRDefault="003964EE" w:rsidP="006D0464">
            <w:pPr>
              <w:jc w:val="both"/>
              <w:rPr>
                <w:rFonts w:ascii="Abadi" w:hAnsi="Abadi" w:cs="Calibri"/>
                <w:b/>
                <w:bCs/>
                <w:sz w:val="21"/>
                <w:szCs w:val="21"/>
              </w:rPr>
            </w:pPr>
          </w:p>
          <w:p w14:paraId="5B31BC0B" w14:textId="77777777" w:rsidR="003964EE" w:rsidRPr="00F51546" w:rsidRDefault="003964EE" w:rsidP="006D0464">
            <w:pPr>
              <w:jc w:val="both"/>
              <w:rPr>
                <w:rFonts w:ascii="Abadi" w:hAnsi="Abadi" w:cs="Calibri"/>
                <w:b/>
                <w:bCs/>
                <w:sz w:val="21"/>
                <w:szCs w:val="21"/>
              </w:rPr>
            </w:pPr>
          </w:p>
          <w:p w14:paraId="574BE10C" w14:textId="6A41038A" w:rsidR="006D0464" w:rsidRPr="00F51546" w:rsidRDefault="006D0464" w:rsidP="006D0464">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p w14:paraId="3DA084DE" w14:textId="77777777" w:rsidR="000877C6" w:rsidRPr="00F51546" w:rsidRDefault="000877C6" w:rsidP="005B747D">
            <w:pPr>
              <w:jc w:val="both"/>
              <w:rPr>
                <w:rFonts w:ascii="Abadi" w:hAnsi="Abadi"/>
                <w:b/>
                <w:bCs/>
                <w:sz w:val="21"/>
                <w:szCs w:val="21"/>
              </w:rPr>
            </w:pPr>
          </w:p>
        </w:tc>
      </w:tr>
      <w:tr w:rsidR="000877C6" w:rsidRPr="00F51546" w14:paraId="093F1388" w14:textId="77777777" w:rsidTr="003521CC">
        <w:tc>
          <w:tcPr>
            <w:tcW w:w="2112" w:type="dxa"/>
          </w:tcPr>
          <w:p w14:paraId="3F64F787" w14:textId="0FA76734" w:rsidR="000757FA" w:rsidRPr="00F51546" w:rsidRDefault="000757FA" w:rsidP="00AB519B">
            <w:pPr>
              <w:jc w:val="both"/>
              <w:rPr>
                <w:rFonts w:ascii="Abadi" w:hAnsi="Abadi" w:cs="Calibri"/>
                <w:b/>
                <w:bCs/>
                <w:sz w:val="21"/>
                <w:szCs w:val="21"/>
              </w:rPr>
            </w:pPr>
            <w:r w:rsidRPr="00F51546">
              <w:rPr>
                <w:rFonts w:ascii="Abadi" w:hAnsi="Abadi" w:cs="Calibri"/>
                <w:b/>
                <w:bCs/>
                <w:sz w:val="21"/>
                <w:szCs w:val="21"/>
              </w:rPr>
              <w:t>2.05</w:t>
            </w:r>
          </w:p>
          <w:p w14:paraId="477EAC65" w14:textId="77777777" w:rsidR="00726DE5" w:rsidRPr="00F51546" w:rsidRDefault="00726DE5" w:rsidP="00AB519B">
            <w:pPr>
              <w:jc w:val="both"/>
              <w:rPr>
                <w:rFonts w:ascii="Abadi" w:hAnsi="Abadi" w:cs="Calibri"/>
                <w:b/>
                <w:bCs/>
                <w:sz w:val="21"/>
                <w:szCs w:val="21"/>
              </w:rPr>
            </w:pPr>
          </w:p>
          <w:p w14:paraId="724625BE" w14:textId="1246C0F3" w:rsidR="00AB519B" w:rsidRPr="00F51546" w:rsidRDefault="00AB519B" w:rsidP="00AB519B">
            <w:pPr>
              <w:jc w:val="both"/>
              <w:rPr>
                <w:rFonts w:ascii="Abadi" w:hAnsi="Abadi" w:cs="Calibri"/>
                <w:sz w:val="21"/>
                <w:szCs w:val="21"/>
              </w:rPr>
            </w:pPr>
            <w:r w:rsidRPr="00F51546">
              <w:rPr>
                <w:rFonts w:ascii="Abadi" w:hAnsi="Abadi" w:cs="Calibri"/>
                <w:sz w:val="21"/>
                <w:szCs w:val="21"/>
              </w:rPr>
              <w:t>La secretaria ejecutiva del Sistema de Protección de los Derechos de Niñas, Niños y Adolescentes del Estado de Guanajuato remite la propuesta de Ruta para el desarrollo de ejercicios de participación de niñas, niños y adolescentes en materia legislativa.</w:t>
            </w:r>
          </w:p>
          <w:p w14:paraId="35C72073" w14:textId="77777777" w:rsidR="000877C6" w:rsidRPr="00F51546" w:rsidRDefault="000877C6" w:rsidP="002B7145">
            <w:pPr>
              <w:jc w:val="both"/>
              <w:rPr>
                <w:rFonts w:ascii="Abadi" w:hAnsi="Abadi" w:cs="Calibri"/>
                <w:sz w:val="21"/>
                <w:szCs w:val="21"/>
              </w:rPr>
            </w:pPr>
          </w:p>
        </w:tc>
        <w:tc>
          <w:tcPr>
            <w:tcW w:w="2126" w:type="dxa"/>
          </w:tcPr>
          <w:p w14:paraId="661F42AF" w14:textId="77777777" w:rsidR="00726DE5" w:rsidRPr="00F51546" w:rsidRDefault="00726DE5" w:rsidP="006D0464">
            <w:pPr>
              <w:jc w:val="both"/>
              <w:rPr>
                <w:rFonts w:ascii="Abadi" w:hAnsi="Abadi" w:cs="Calibri"/>
                <w:sz w:val="21"/>
                <w:szCs w:val="21"/>
              </w:rPr>
            </w:pPr>
          </w:p>
          <w:p w14:paraId="45D86802" w14:textId="77777777" w:rsidR="00726DE5" w:rsidRPr="00F51546" w:rsidRDefault="00726DE5" w:rsidP="006D0464">
            <w:pPr>
              <w:jc w:val="both"/>
              <w:rPr>
                <w:rFonts w:ascii="Abadi" w:hAnsi="Abadi" w:cs="Calibri"/>
                <w:sz w:val="21"/>
                <w:szCs w:val="21"/>
              </w:rPr>
            </w:pPr>
          </w:p>
          <w:p w14:paraId="1E4BCF85" w14:textId="584E1069" w:rsidR="006D0464" w:rsidRPr="00F51546" w:rsidRDefault="006D0464" w:rsidP="006D0464">
            <w:pPr>
              <w:jc w:val="both"/>
              <w:rPr>
                <w:rFonts w:ascii="Abadi" w:hAnsi="Abadi" w:cs="Calibri"/>
                <w:b/>
                <w:bCs/>
                <w:sz w:val="21"/>
                <w:szCs w:val="21"/>
              </w:rPr>
            </w:pPr>
            <w:r w:rsidRPr="00F51546">
              <w:rPr>
                <w:rFonts w:ascii="Abadi" w:hAnsi="Abadi" w:cs="Calibri"/>
                <w:b/>
                <w:bCs/>
                <w:sz w:val="21"/>
                <w:szCs w:val="21"/>
              </w:rPr>
              <w:t>Enterados y se informa que se turnó a la Comisión de Derechos Humanos y Atención a Grupos Vulnerables.</w:t>
            </w:r>
          </w:p>
          <w:p w14:paraId="3334BCE3" w14:textId="77777777" w:rsidR="000877C6" w:rsidRPr="00F51546" w:rsidRDefault="000877C6" w:rsidP="005B747D">
            <w:pPr>
              <w:jc w:val="both"/>
              <w:rPr>
                <w:rFonts w:ascii="Abadi" w:hAnsi="Abadi" w:cs="Calibri"/>
                <w:sz w:val="21"/>
                <w:szCs w:val="21"/>
              </w:rPr>
            </w:pPr>
          </w:p>
        </w:tc>
      </w:tr>
      <w:tr w:rsidR="00723E30" w:rsidRPr="00F51546" w14:paraId="47C88BAC" w14:textId="77777777" w:rsidTr="003521CC">
        <w:tc>
          <w:tcPr>
            <w:tcW w:w="2112" w:type="dxa"/>
          </w:tcPr>
          <w:p w14:paraId="17F3C1C5" w14:textId="05CF2354" w:rsidR="00726DE5" w:rsidRPr="00F51546" w:rsidRDefault="00726DE5" w:rsidP="00AB519B">
            <w:pPr>
              <w:jc w:val="both"/>
              <w:rPr>
                <w:rFonts w:ascii="Abadi" w:hAnsi="Abadi" w:cs="Calibri"/>
                <w:b/>
                <w:bCs/>
                <w:sz w:val="21"/>
                <w:szCs w:val="21"/>
              </w:rPr>
            </w:pPr>
            <w:r w:rsidRPr="00F51546">
              <w:rPr>
                <w:rFonts w:ascii="Abadi" w:hAnsi="Abadi" w:cs="Calibri"/>
                <w:b/>
                <w:bCs/>
                <w:sz w:val="21"/>
                <w:szCs w:val="21"/>
              </w:rPr>
              <w:t>2.06</w:t>
            </w:r>
          </w:p>
          <w:p w14:paraId="023064DC" w14:textId="77777777" w:rsidR="00726DE5" w:rsidRPr="00F51546" w:rsidRDefault="00726DE5" w:rsidP="00AB519B">
            <w:pPr>
              <w:jc w:val="both"/>
              <w:rPr>
                <w:rFonts w:ascii="Abadi" w:hAnsi="Abadi" w:cs="Calibri"/>
                <w:sz w:val="21"/>
                <w:szCs w:val="21"/>
              </w:rPr>
            </w:pPr>
          </w:p>
          <w:p w14:paraId="0150DCA3" w14:textId="7D5D5FC8" w:rsidR="00AB519B" w:rsidRPr="00F51546" w:rsidRDefault="00AB519B" w:rsidP="00AB519B">
            <w:pPr>
              <w:jc w:val="both"/>
              <w:rPr>
                <w:rFonts w:ascii="Abadi" w:hAnsi="Abadi" w:cs="Calibri"/>
                <w:sz w:val="21"/>
                <w:szCs w:val="21"/>
              </w:rPr>
            </w:pPr>
            <w:r w:rsidRPr="00F51546">
              <w:rPr>
                <w:rFonts w:ascii="Abadi" w:hAnsi="Abadi" w:cs="Calibri"/>
                <w:sz w:val="21"/>
                <w:szCs w:val="21"/>
              </w:rPr>
              <w:t xml:space="preserve">El subsecretario de Finanzas e Inversión de la Secretaría de Finanzas, Inversión y Administración remite evidencia de la publicación en el Periódico Oficial del Gobierno del Estado número 113, cuarta parte, de fecha 7 de junio de 2023, de las condiciones financieras pactadas en el contrato de apertura de crédito simple suscrito el 12 de mayo del año en curso, entre el estado de Guanajuato y el Banco Nacional de México, S.A., Integrante del Grupo Financiero Banamex, en cumplimiento en lo establecido en el Artículo Segundo </w:t>
            </w:r>
            <w:r w:rsidRPr="00F51546">
              <w:rPr>
                <w:rFonts w:ascii="Abadi" w:hAnsi="Abadi" w:cs="Calibri"/>
                <w:sz w:val="21"/>
                <w:szCs w:val="21"/>
              </w:rPr>
              <w:lastRenderedPageBreak/>
              <w:t>Transitorio del Decreto número 173, publicado el 30 de diciembre de 2022, en el Periódico Oficial del Gobierno del Estado de Guanajuato.</w:t>
            </w:r>
          </w:p>
          <w:p w14:paraId="4044B3D2" w14:textId="77777777" w:rsidR="00723E30" w:rsidRPr="00F51546" w:rsidRDefault="00723E30" w:rsidP="002B7145">
            <w:pPr>
              <w:jc w:val="both"/>
              <w:rPr>
                <w:rFonts w:ascii="Abadi" w:hAnsi="Abadi" w:cs="Calibri"/>
                <w:sz w:val="21"/>
                <w:szCs w:val="21"/>
              </w:rPr>
            </w:pPr>
          </w:p>
        </w:tc>
        <w:tc>
          <w:tcPr>
            <w:tcW w:w="2126" w:type="dxa"/>
          </w:tcPr>
          <w:p w14:paraId="024AE71F" w14:textId="77777777" w:rsidR="00726DE5" w:rsidRPr="00F51546" w:rsidRDefault="00726DE5" w:rsidP="00AB519B">
            <w:pPr>
              <w:jc w:val="both"/>
              <w:rPr>
                <w:rFonts w:ascii="Abadi" w:hAnsi="Abadi" w:cs="Calibri"/>
                <w:sz w:val="21"/>
                <w:szCs w:val="21"/>
              </w:rPr>
            </w:pPr>
          </w:p>
          <w:p w14:paraId="73BB7408" w14:textId="77777777" w:rsidR="00726DE5" w:rsidRPr="00F51546" w:rsidRDefault="00726DE5" w:rsidP="00AB519B">
            <w:pPr>
              <w:jc w:val="both"/>
              <w:rPr>
                <w:rFonts w:ascii="Abadi" w:hAnsi="Abadi" w:cs="Calibri"/>
                <w:sz w:val="21"/>
                <w:szCs w:val="21"/>
              </w:rPr>
            </w:pPr>
          </w:p>
          <w:p w14:paraId="3FDD5F01" w14:textId="0E91356E" w:rsidR="00AB519B" w:rsidRPr="00F51546" w:rsidRDefault="00AB519B" w:rsidP="00AB519B">
            <w:pPr>
              <w:jc w:val="both"/>
              <w:rPr>
                <w:rFonts w:ascii="Abadi" w:hAnsi="Abadi" w:cs="Calibri"/>
                <w:b/>
                <w:bCs/>
                <w:sz w:val="21"/>
                <w:szCs w:val="21"/>
              </w:rPr>
            </w:pPr>
            <w:r w:rsidRPr="00F51546">
              <w:rPr>
                <w:rFonts w:ascii="Abadi" w:hAnsi="Abadi" w:cs="Calibri"/>
                <w:b/>
                <w:bCs/>
                <w:sz w:val="21"/>
                <w:szCs w:val="21"/>
              </w:rPr>
              <w:t>Enterados, se turna a la Comisión de Hacienda y Fiscalización y se remite a la Auditoría Superior del Estado de Guanajuato y a la Unidad de Estudios de las Finanzas Públicas.</w:t>
            </w:r>
          </w:p>
          <w:p w14:paraId="26B34E1E" w14:textId="77777777" w:rsidR="00723E30" w:rsidRPr="00F51546" w:rsidRDefault="00723E30" w:rsidP="005B747D">
            <w:pPr>
              <w:jc w:val="both"/>
              <w:rPr>
                <w:rFonts w:ascii="Abadi" w:hAnsi="Abadi" w:cs="Calibri"/>
                <w:sz w:val="21"/>
                <w:szCs w:val="21"/>
              </w:rPr>
            </w:pPr>
          </w:p>
        </w:tc>
      </w:tr>
      <w:tr w:rsidR="00723E30" w:rsidRPr="00F51546" w14:paraId="5FE0AE78" w14:textId="77777777" w:rsidTr="003521CC">
        <w:tc>
          <w:tcPr>
            <w:tcW w:w="2112" w:type="dxa"/>
          </w:tcPr>
          <w:p w14:paraId="7B261DC9" w14:textId="77777777" w:rsidR="006A603A" w:rsidRPr="00F51546" w:rsidRDefault="006A603A" w:rsidP="006A603A">
            <w:pPr>
              <w:jc w:val="both"/>
              <w:rPr>
                <w:rFonts w:ascii="Abadi" w:hAnsi="Abadi" w:cs="Calibri"/>
                <w:b/>
                <w:bCs/>
                <w:sz w:val="21"/>
                <w:szCs w:val="21"/>
              </w:rPr>
            </w:pPr>
            <w:r w:rsidRPr="00F51546">
              <w:rPr>
                <w:rFonts w:ascii="Abadi" w:hAnsi="Abadi" w:cs="Calibri"/>
                <w:b/>
                <w:bCs/>
                <w:sz w:val="21"/>
                <w:szCs w:val="21"/>
              </w:rPr>
              <w:t>2.07</w:t>
            </w:r>
          </w:p>
          <w:p w14:paraId="6FD0A265" w14:textId="77777777" w:rsidR="00386298" w:rsidRPr="00F51546" w:rsidRDefault="00386298" w:rsidP="006A603A">
            <w:pPr>
              <w:jc w:val="both"/>
              <w:rPr>
                <w:rFonts w:ascii="Abadi" w:hAnsi="Abadi" w:cs="Calibri"/>
                <w:sz w:val="21"/>
                <w:szCs w:val="21"/>
              </w:rPr>
            </w:pPr>
          </w:p>
          <w:p w14:paraId="11852817" w14:textId="77777777" w:rsidR="00386298" w:rsidRPr="00F51546" w:rsidRDefault="00386298" w:rsidP="00386298">
            <w:pPr>
              <w:jc w:val="both"/>
              <w:rPr>
                <w:rFonts w:ascii="Abadi" w:hAnsi="Abadi" w:cs="Calibri"/>
                <w:sz w:val="21"/>
                <w:szCs w:val="21"/>
              </w:rPr>
            </w:pPr>
            <w:r w:rsidRPr="00F51546">
              <w:rPr>
                <w:rFonts w:ascii="Abadi" w:hAnsi="Abadi" w:cs="Calibri"/>
                <w:sz w:val="21"/>
                <w:szCs w:val="21"/>
              </w:rPr>
              <w:t>La coordinadora general Jurídica del Gobierno del Estado de Guanajuato remite opinión consolidada con la Secretaría de Desarrollo Agroalimentaria y Rural de la iniciativa que reforma la Ley de Fomento y Desarrollo Agrícola para el Estado de Guanajuato.</w:t>
            </w:r>
          </w:p>
          <w:p w14:paraId="52584974" w14:textId="77777777" w:rsidR="00386298" w:rsidRPr="00F51546" w:rsidRDefault="00386298" w:rsidP="006A603A">
            <w:pPr>
              <w:jc w:val="both"/>
              <w:rPr>
                <w:rFonts w:ascii="Abadi" w:hAnsi="Abadi" w:cs="Calibri"/>
                <w:sz w:val="21"/>
                <w:szCs w:val="21"/>
              </w:rPr>
            </w:pPr>
          </w:p>
          <w:p w14:paraId="73A316DB" w14:textId="77777777" w:rsidR="00723E30" w:rsidRPr="00F51546" w:rsidRDefault="00723E30" w:rsidP="002B7145">
            <w:pPr>
              <w:jc w:val="both"/>
              <w:rPr>
                <w:rFonts w:ascii="Abadi" w:hAnsi="Abadi" w:cs="Calibri"/>
                <w:sz w:val="21"/>
                <w:szCs w:val="21"/>
              </w:rPr>
            </w:pPr>
          </w:p>
        </w:tc>
        <w:tc>
          <w:tcPr>
            <w:tcW w:w="2126" w:type="dxa"/>
          </w:tcPr>
          <w:p w14:paraId="74D0A92C" w14:textId="77777777" w:rsidR="00386298" w:rsidRPr="00F51546" w:rsidRDefault="00386298" w:rsidP="00386298">
            <w:pPr>
              <w:jc w:val="both"/>
              <w:rPr>
                <w:rFonts w:ascii="Abadi" w:hAnsi="Abadi" w:cs="Calibri"/>
                <w:sz w:val="21"/>
                <w:szCs w:val="21"/>
              </w:rPr>
            </w:pPr>
          </w:p>
          <w:p w14:paraId="358CC9E9" w14:textId="77777777" w:rsidR="00386298" w:rsidRPr="00F51546" w:rsidRDefault="00386298" w:rsidP="00386298">
            <w:pPr>
              <w:jc w:val="both"/>
              <w:rPr>
                <w:rFonts w:ascii="Abadi" w:hAnsi="Abadi" w:cs="Calibri"/>
                <w:sz w:val="21"/>
                <w:szCs w:val="21"/>
              </w:rPr>
            </w:pPr>
          </w:p>
          <w:p w14:paraId="05A5AF54" w14:textId="03F6FE77" w:rsidR="00386298" w:rsidRPr="00F51546" w:rsidRDefault="00386298" w:rsidP="00386298">
            <w:pPr>
              <w:jc w:val="both"/>
              <w:rPr>
                <w:rFonts w:ascii="Abadi" w:hAnsi="Abadi" w:cs="Calibri"/>
                <w:b/>
                <w:bCs/>
                <w:sz w:val="21"/>
                <w:szCs w:val="21"/>
              </w:rPr>
            </w:pPr>
            <w:r w:rsidRPr="00F51546">
              <w:rPr>
                <w:rFonts w:ascii="Abadi" w:hAnsi="Abadi" w:cs="Calibri"/>
                <w:b/>
                <w:bCs/>
                <w:sz w:val="21"/>
                <w:szCs w:val="21"/>
              </w:rPr>
              <w:t>Enterados y se informa que se turnó a la Comisión de Fomento Agropecuario.</w:t>
            </w:r>
          </w:p>
          <w:p w14:paraId="52B0B370" w14:textId="77777777" w:rsidR="00723E30" w:rsidRPr="00F51546" w:rsidRDefault="00723E30" w:rsidP="005B747D">
            <w:pPr>
              <w:jc w:val="both"/>
              <w:rPr>
                <w:rFonts w:ascii="Abadi" w:hAnsi="Abadi" w:cs="Calibri"/>
                <w:sz w:val="21"/>
                <w:szCs w:val="21"/>
              </w:rPr>
            </w:pPr>
          </w:p>
        </w:tc>
      </w:tr>
      <w:tr w:rsidR="00723E30" w:rsidRPr="00F51546" w14:paraId="21F3B09F" w14:textId="77777777" w:rsidTr="003521CC">
        <w:tc>
          <w:tcPr>
            <w:tcW w:w="2112" w:type="dxa"/>
          </w:tcPr>
          <w:p w14:paraId="51AB215F" w14:textId="77777777" w:rsidR="00C97C4C" w:rsidRPr="00F51546" w:rsidRDefault="00C97C4C" w:rsidP="00C97C4C">
            <w:pPr>
              <w:jc w:val="both"/>
              <w:rPr>
                <w:rFonts w:ascii="Abadi" w:hAnsi="Abadi" w:cs="Calibri"/>
                <w:b/>
                <w:bCs/>
                <w:sz w:val="21"/>
                <w:szCs w:val="21"/>
                <w:lang w:val="es-MX" w:eastAsia="es-MX"/>
              </w:rPr>
            </w:pPr>
            <w:r w:rsidRPr="00F51546">
              <w:rPr>
                <w:rFonts w:ascii="Abadi" w:hAnsi="Abadi" w:cs="Calibri"/>
                <w:b/>
                <w:bCs/>
                <w:sz w:val="21"/>
                <w:szCs w:val="21"/>
              </w:rPr>
              <w:t>2.08</w:t>
            </w:r>
          </w:p>
          <w:p w14:paraId="5EA9C537" w14:textId="77777777" w:rsidR="00723E30" w:rsidRPr="00F51546" w:rsidRDefault="00723E30" w:rsidP="002B7145">
            <w:pPr>
              <w:jc w:val="both"/>
              <w:rPr>
                <w:rFonts w:ascii="Abadi" w:hAnsi="Abadi"/>
                <w:sz w:val="21"/>
                <w:szCs w:val="21"/>
              </w:rPr>
            </w:pPr>
          </w:p>
          <w:p w14:paraId="77AC6792" w14:textId="77777777" w:rsidR="00C97C4C" w:rsidRPr="00F51546" w:rsidRDefault="00C97C4C" w:rsidP="00C97C4C">
            <w:pPr>
              <w:jc w:val="both"/>
              <w:rPr>
                <w:rFonts w:ascii="Abadi" w:hAnsi="Abadi" w:cs="Calibri"/>
                <w:sz w:val="21"/>
                <w:szCs w:val="21"/>
                <w:lang w:val="es-MX" w:eastAsia="es-MX"/>
              </w:rPr>
            </w:pPr>
            <w:r w:rsidRPr="00F51546">
              <w:rPr>
                <w:rFonts w:ascii="Abadi" w:hAnsi="Abadi" w:cs="Calibri"/>
                <w:sz w:val="21"/>
                <w:szCs w:val="21"/>
              </w:rPr>
              <w:t>La coordinadora general Jurídica del Gobierno del Estado de Guanajuato remite opinión consolidada con la Secretaría de Desarrollo Agroalimentario y Rural y el Instituto para las Mujeres Guanajuatenses de la iniciativa a efecto de adicionar diversas disposiciones a la Ley de Fomento a la Agricultura Familiar del Estado de Guanajuato.</w:t>
            </w:r>
          </w:p>
          <w:p w14:paraId="4992292E" w14:textId="77777777" w:rsidR="00C97C4C" w:rsidRPr="00F51546" w:rsidRDefault="00C97C4C" w:rsidP="002B7145">
            <w:pPr>
              <w:jc w:val="both"/>
              <w:rPr>
                <w:rFonts w:ascii="Abadi" w:hAnsi="Abadi"/>
                <w:sz w:val="21"/>
                <w:szCs w:val="21"/>
              </w:rPr>
            </w:pPr>
          </w:p>
        </w:tc>
        <w:tc>
          <w:tcPr>
            <w:tcW w:w="2126" w:type="dxa"/>
          </w:tcPr>
          <w:p w14:paraId="5DBD3118" w14:textId="77777777" w:rsidR="00897020" w:rsidRPr="00F51546" w:rsidRDefault="00897020" w:rsidP="00897020">
            <w:pPr>
              <w:jc w:val="both"/>
              <w:rPr>
                <w:rFonts w:ascii="Abadi" w:hAnsi="Abadi" w:cs="Calibri"/>
                <w:b/>
                <w:bCs/>
                <w:sz w:val="21"/>
                <w:szCs w:val="21"/>
              </w:rPr>
            </w:pPr>
          </w:p>
          <w:p w14:paraId="3AED7283" w14:textId="77777777" w:rsidR="00897020" w:rsidRPr="00F51546" w:rsidRDefault="00897020" w:rsidP="00897020">
            <w:pPr>
              <w:jc w:val="both"/>
              <w:rPr>
                <w:rFonts w:ascii="Abadi" w:hAnsi="Abadi" w:cs="Calibri"/>
                <w:b/>
                <w:bCs/>
                <w:sz w:val="21"/>
                <w:szCs w:val="21"/>
              </w:rPr>
            </w:pPr>
          </w:p>
          <w:p w14:paraId="08545430" w14:textId="3E115B6E" w:rsidR="00897020" w:rsidRPr="00F51546" w:rsidRDefault="00897020" w:rsidP="00897020">
            <w:pPr>
              <w:jc w:val="both"/>
              <w:rPr>
                <w:rFonts w:ascii="Abadi" w:hAnsi="Abadi" w:cs="Calibri"/>
                <w:b/>
                <w:bCs/>
                <w:sz w:val="21"/>
                <w:szCs w:val="21"/>
              </w:rPr>
            </w:pPr>
            <w:r w:rsidRPr="00F51546">
              <w:rPr>
                <w:rFonts w:ascii="Abadi" w:hAnsi="Abadi" w:cs="Calibri"/>
                <w:b/>
                <w:bCs/>
                <w:sz w:val="21"/>
                <w:szCs w:val="21"/>
              </w:rPr>
              <w:t>Enterados y se informa que se turnó a la Comisión de Fomento Agropecuario.</w:t>
            </w:r>
          </w:p>
          <w:p w14:paraId="07429FA8" w14:textId="77777777" w:rsidR="00723E30" w:rsidRPr="00F51546" w:rsidRDefault="00723E30" w:rsidP="005B747D">
            <w:pPr>
              <w:jc w:val="both"/>
              <w:rPr>
                <w:rFonts w:ascii="Abadi" w:hAnsi="Abadi"/>
                <w:b/>
                <w:bCs/>
                <w:sz w:val="21"/>
                <w:szCs w:val="21"/>
              </w:rPr>
            </w:pPr>
          </w:p>
        </w:tc>
      </w:tr>
      <w:tr w:rsidR="00723E30" w:rsidRPr="00F51546" w14:paraId="5A418922" w14:textId="77777777" w:rsidTr="003521CC">
        <w:tc>
          <w:tcPr>
            <w:tcW w:w="2112" w:type="dxa"/>
          </w:tcPr>
          <w:p w14:paraId="6F142178" w14:textId="77777777" w:rsidR="00897020" w:rsidRPr="00F51546" w:rsidRDefault="00897020" w:rsidP="00897020">
            <w:pPr>
              <w:jc w:val="both"/>
              <w:rPr>
                <w:rFonts w:ascii="Abadi" w:hAnsi="Abadi" w:cs="Calibri"/>
                <w:b/>
                <w:bCs/>
                <w:sz w:val="21"/>
                <w:szCs w:val="21"/>
              </w:rPr>
            </w:pPr>
            <w:r w:rsidRPr="00F51546">
              <w:rPr>
                <w:rFonts w:ascii="Abadi" w:hAnsi="Abadi" w:cs="Calibri"/>
                <w:b/>
                <w:bCs/>
                <w:sz w:val="21"/>
                <w:szCs w:val="21"/>
              </w:rPr>
              <w:t>2.09</w:t>
            </w:r>
          </w:p>
          <w:p w14:paraId="6F0B3D99" w14:textId="77777777" w:rsidR="00723E30" w:rsidRPr="00F51546" w:rsidRDefault="00723E30" w:rsidP="002B7145">
            <w:pPr>
              <w:jc w:val="both"/>
              <w:rPr>
                <w:rFonts w:ascii="Abadi" w:hAnsi="Abadi" w:cs="Calibri"/>
                <w:sz w:val="21"/>
                <w:szCs w:val="21"/>
              </w:rPr>
            </w:pPr>
          </w:p>
          <w:p w14:paraId="76DB747D" w14:textId="77777777" w:rsidR="009B5F28" w:rsidRPr="00F51546" w:rsidRDefault="009B5F28" w:rsidP="009B5F28">
            <w:pPr>
              <w:jc w:val="both"/>
              <w:rPr>
                <w:rFonts w:ascii="Abadi" w:hAnsi="Abadi" w:cs="Calibri"/>
                <w:sz w:val="21"/>
                <w:szCs w:val="21"/>
              </w:rPr>
            </w:pPr>
            <w:r w:rsidRPr="00F51546">
              <w:rPr>
                <w:rFonts w:ascii="Abadi" w:hAnsi="Abadi" w:cs="Calibri"/>
                <w:sz w:val="21"/>
                <w:szCs w:val="21"/>
              </w:rPr>
              <w:t xml:space="preserve">El presidente y el secretario de la Junta Directiva de la Universidad de Guanajuato remiten </w:t>
            </w:r>
            <w:r w:rsidRPr="00F51546">
              <w:rPr>
                <w:rFonts w:ascii="Abadi" w:hAnsi="Abadi" w:cs="Calibri"/>
                <w:sz w:val="21"/>
                <w:szCs w:val="21"/>
              </w:rPr>
              <w:t>respuesta a la solicitud de información respecto a la manera en que dicha Junta Directiva cumplirá con los principios de oportunidad y transparencia en el proceso de designación de la persona titular de la Rectoría General para el periodo 2023-2027.</w:t>
            </w:r>
          </w:p>
          <w:p w14:paraId="74FDD09F" w14:textId="77777777" w:rsidR="009B5F28" w:rsidRPr="00F51546" w:rsidRDefault="009B5F28" w:rsidP="002B7145">
            <w:pPr>
              <w:jc w:val="both"/>
              <w:rPr>
                <w:rFonts w:ascii="Abadi" w:hAnsi="Abadi"/>
                <w:sz w:val="21"/>
                <w:szCs w:val="21"/>
              </w:rPr>
            </w:pPr>
          </w:p>
        </w:tc>
        <w:tc>
          <w:tcPr>
            <w:tcW w:w="2126" w:type="dxa"/>
          </w:tcPr>
          <w:p w14:paraId="1C9AC527" w14:textId="77777777" w:rsidR="009B5F28" w:rsidRPr="00F51546" w:rsidRDefault="009B5F28">
            <w:pPr>
              <w:jc w:val="both"/>
              <w:rPr>
                <w:rFonts w:ascii="Abadi" w:hAnsi="Abadi" w:cs="Calibri"/>
                <w:sz w:val="21"/>
                <w:szCs w:val="21"/>
              </w:rPr>
            </w:pPr>
          </w:p>
          <w:p w14:paraId="685C7660" w14:textId="77777777" w:rsidR="009B5F28" w:rsidRPr="00F51546" w:rsidRDefault="009B5F28">
            <w:pPr>
              <w:jc w:val="both"/>
              <w:rPr>
                <w:rFonts w:ascii="Abadi" w:hAnsi="Abadi" w:cs="Calibri"/>
                <w:sz w:val="21"/>
                <w:szCs w:val="21"/>
              </w:rPr>
            </w:pPr>
          </w:p>
          <w:p w14:paraId="107CD9F2" w14:textId="3E362967" w:rsidR="00400F48" w:rsidRPr="00F51546" w:rsidRDefault="00FD459F">
            <w:pPr>
              <w:jc w:val="both"/>
              <w:rPr>
                <w:rFonts w:ascii="Abadi" w:hAnsi="Abadi" w:cs="Calibri"/>
                <w:b/>
                <w:bCs/>
                <w:sz w:val="21"/>
                <w:szCs w:val="21"/>
              </w:rPr>
            </w:pPr>
            <w:r w:rsidRPr="00F51546">
              <w:rPr>
                <w:rFonts w:ascii="Abadi" w:hAnsi="Abadi" w:cs="Calibri"/>
                <w:b/>
                <w:bCs/>
                <w:sz w:val="21"/>
                <w:szCs w:val="21"/>
              </w:rPr>
              <w:t>Enterados y se informa que se turnó a la Comisión de Educación, Ciencia y Tecnología y Cultura.</w:t>
            </w:r>
          </w:p>
          <w:p w14:paraId="48395368" w14:textId="77777777" w:rsidR="00723E30" w:rsidRPr="00F51546" w:rsidRDefault="00723E30" w:rsidP="005B747D">
            <w:pPr>
              <w:jc w:val="both"/>
              <w:rPr>
                <w:rFonts w:ascii="Abadi" w:hAnsi="Abadi" w:cs="Calibri"/>
                <w:sz w:val="21"/>
                <w:szCs w:val="21"/>
              </w:rPr>
            </w:pPr>
          </w:p>
        </w:tc>
      </w:tr>
      <w:tr w:rsidR="00723E30" w:rsidRPr="00F51546" w14:paraId="1E860036" w14:textId="77777777" w:rsidTr="003521CC">
        <w:tc>
          <w:tcPr>
            <w:tcW w:w="2112" w:type="dxa"/>
          </w:tcPr>
          <w:p w14:paraId="0FB50023" w14:textId="77777777" w:rsidR="003709F9" w:rsidRPr="00F51546" w:rsidRDefault="003709F9" w:rsidP="003709F9">
            <w:pPr>
              <w:jc w:val="both"/>
              <w:rPr>
                <w:rFonts w:ascii="Abadi" w:hAnsi="Abadi" w:cs="Calibri"/>
                <w:b/>
                <w:bCs/>
                <w:sz w:val="21"/>
                <w:szCs w:val="21"/>
              </w:rPr>
            </w:pPr>
            <w:r w:rsidRPr="00F51546">
              <w:rPr>
                <w:rFonts w:ascii="Abadi" w:hAnsi="Abadi" w:cs="Calibri"/>
                <w:b/>
                <w:bCs/>
                <w:sz w:val="21"/>
                <w:szCs w:val="21"/>
              </w:rPr>
              <w:t>2.1</w:t>
            </w:r>
          </w:p>
          <w:p w14:paraId="09B30D85" w14:textId="77777777" w:rsidR="003709F9" w:rsidRPr="00F51546" w:rsidRDefault="003709F9">
            <w:pPr>
              <w:jc w:val="both"/>
              <w:rPr>
                <w:rFonts w:ascii="Abadi" w:hAnsi="Abadi" w:cs="Calibri"/>
                <w:sz w:val="21"/>
                <w:szCs w:val="21"/>
              </w:rPr>
            </w:pPr>
          </w:p>
          <w:p w14:paraId="202A50E8" w14:textId="351A6AFA" w:rsidR="00400F48" w:rsidRPr="00F51546" w:rsidRDefault="00FD459F">
            <w:pPr>
              <w:jc w:val="both"/>
              <w:rPr>
                <w:rFonts w:ascii="Abadi" w:hAnsi="Abadi" w:cs="Calibri"/>
                <w:sz w:val="21"/>
                <w:szCs w:val="21"/>
              </w:rPr>
            </w:pPr>
            <w:r w:rsidRPr="00F51546">
              <w:rPr>
                <w:rFonts w:ascii="Abadi" w:hAnsi="Abadi" w:cs="Calibri"/>
                <w:sz w:val="21"/>
                <w:szCs w:val="21"/>
              </w:rPr>
              <w:t>La consejera presidenta del Instituto Electoral del Estado de Guanajuato remite respuesta a la consulta de la iniciativa a efecto de reformar los artículos 11 y 190 de la Ley de Instituciones y Procedimientos Electorales para el Estado de Guanajuato.</w:t>
            </w:r>
          </w:p>
          <w:p w14:paraId="1F36BAB7" w14:textId="77777777" w:rsidR="00723E30" w:rsidRPr="00F51546" w:rsidRDefault="00723E30" w:rsidP="002B7145">
            <w:pPr>
              <w:jc w:val="both"/>
              <w:rPr>
                <w:rFonts w:ascii="Abadi" w:hAnsi="Abadi" w:cs="Calibri"/>
                <w:sz w:val="21"/>
                <w:szCs w:val="21"/>
              </w:rPr>
            </w:pPr>
          </w:p>
        </w:tc>
        <w:tc>
          <w:tcPr>
            <w:tcW w:w="2126" w:type="dxa"/>
          </w:tcPr>
          <w:p w14:paraId="019D8084" w14:textId="77777777" w:rsidR="003709F9" w:rsidRPr="00F51546" w:rsidRDefault="003709F9">
            <w:pPr>
              <w:jc w:val="both"/>
              <w:rPr>
                <w:rFonts w:ascii="Abadi" w:hAnsi="Abadi" w:cs="Calibri"/>
                <w:sz w:val="21"/>
                <w:szCs w:val="21"/>
              </w:rPr>
            </w:pPr>
          </w:p>
          <w:p w14:paraId="54ABB8C1" w14:textId="77777777" w:rsidR="003709F9" w:rsidRPr="00F51546" w:rsidRDefault="003709F9">
            <w:pPr>
              <w:jc w:val="both"/>
              <w:rPr>
                <w:rFonts w:ascii="Abadi" w:hAnsi="Abadi" w:cs="Calibri"/>
                <w:sz w:val="21"/>
                <w:szCs w:val="21"/>
              </w:rPr>
            </w:pPr>
          </w:p>
          <w:p w14:paraId="381313A1" w14:textId="4B3B7ACD" w:rsidR="00400F48" w:rsidRPr="00F51546" w:rsidRDefault="00FD459F">
            <w:pPr>
              <w:jc w:val="both"/>
              <w:rPr>
                <w:rFonts w:ascii="Abadi" w:hAnsi="Abadi" w:cs="Calibri"/>
                <w:b/>
                <w:bCs/>
                <w:sz w:val="21"/>
                <w:szCs w:val="21"/>
              </w:rPr>
            </w:pPr>
            <w:r w:rsidRPr="00F51546">
              <w:rPr>
                <w:rFonts w:ascii="Abadi" w:hAnsi="Abadi" w:cs="Calibri"/>
                <w:b/>
                <w:bCs/>
                <w:sz w:val="21"/>
                <w:szCs w:val="21"/>
              </w:rPr>
              <w:t>Enterados y se informa que se turnó a la Comisión de Asuntos Electorales.</w:t>
            </w:r>
          </w:p>
          <w:p w14:paraId="11A5BE66" w14:textId="77777777" w:rsidR="00723E30" w:rsidRPr="00F51546" w:rsidRDefault="00723E30" w:rsidP="005B747D">
            <w:pPr>
              <w:jc w:val="both"/>
              <w:rPr>
                <w:rFonts w:ascii="Abadi" w:hAnsi="Abadi" w:cs="Calibri"/>
                <w:sz w:val="21"/>
                <w:szCs w:val="21"/>
              </w:rPr>
            </w:pPr>
          </w:p>
        </w:tc>
      </w:tr>
      <w:tr w:rsidR="00723E30" w:rsidRPr="00F51546" w14:paraId="309FD1F9" w14:textId="77777777" w:rsidTr="003521CC">
        <w:tc>
          <w:tcPr>
            <w:tcW w:w="2112" w:type="dxa"/>
          </w:tcPr>
          <w:p w14:paraId="172617CF" w14:textId="77777777" w:rsidR="00482D8B" w:rsidRPr="00F51546" w:rsidRDefault="00482D8B" w:rsidP="00482D8B">
            <w:pPr>
              <w:jc w:val="both"/>
              <w:rPr>
                <w:rFonts w:ascii="Abadi" w:hAnsi="Abadi" w:cs="Calibri"/>
                <w:b/>
                <w:bCs/>
                <w:sz w:val="21"/>
                <w:szCs w:val="21"/>
              </w:rPr>
            </w:pPr>
            <w:r w:rsidRPr="00F51546">
              <w:rPr>
                <w:rFonts w:ascii="Abadi" w:hAnsi="Abadi" w:cs="Calibri"/>
                <w:b/>
                <w:bCs/>
                <w:sz w:val="21"/>
                <w:szCs w:val="21"/>
              </w:rPr>
              <w:t>2.11</w:t>
            </w:r>
          </w:p>
          <w:p w14:paraId="6A155C7B" w14:textId="77777777" w:rsidR="00723E30" w:rsidRPr="00F51546" w:rsidRDefault="00723E30" w:rsidP="002B7145">
            <w:pPr>
              <w:jc w:val="both"/>
              <w:rPr>
                <w:rFonts w:ascii="Abadi" w:hAnsi="Abadi" w:cs="Calibri"/>
                <w:sz w:val="21"/>
                <w:szCs w:val="21"/>
              </w:rPr>
            </w:pPr>
          </w:p>
          <w:p w14:paraId="5C85EC67" w14:textId="77777777" w:rsidR="00ED749D" w:rsidRPr="00F51546" w:rsidRDefault="00ED749D" w:rsidP="00ED749D">
            <w:pPr>
              <w:jc w:val="both"/>
              <w:rPr>
                <w:rFonts w:ascii="Abadi" w:hAnsi="Abadi" w:cs="Calibri"/>
                <w:sz w:val="21"/>
                <w:szCs w:val="21"/>
              </w:rPr>
            </w:pPr>
            <w:r w:rsidRPr="00F51546">
              <w:rPr>
                <w:rFonts w:ascii="Abadi" w:hAnsi="Abadi" w:cs="Calibri"/>
                <w:sz w:val="21"/>
                <w:szCs w:val="21"/>
              </w:rPr>
              <w:t xml:space="preserve">El procurador de los Derechos Humanos del Estado de Guanajuato remite respuesta a la consulta de la iniciativa a efecto de reformar y adicionar diversos artículos de la Constitución Política para el Estado de Guanajuato y de la Ley de Instituciones y Procedimientos Electorales para el Estado de Guanajuato, en lo </w:t>
            </w:r>
            <w:r w:rsidRPr="00F51546">
              <w:rPr>
                <w:rFonts w:ascii="Abadi" w:hAnsi="Abadi" w:cs="Calibri"/>
                <w:sz w:val="21"/>
                <w:szCs w:val="21"/>
              </w:rPr>
              <w:lastRenderedPageBreak/>
              <w:t>relativo al segundo ordenamiento.</w:t>
            </w:r>
          </w:p>
          <w:p w14:paraId="15C2D117" w14:textId="77777777" w:rsidR="00ED749D" w:rsidRPr="00F51546" w:rsidRDefault="00ED749D" w:rsidP="002B7145">
            <w:pPr>
              <w:jc w:val="both"/>
              <w:rPr>
                <w:rFonts w:ascii="Abadi" w:hAnsi="Abadi" w:cs="Calibri"/>
                <w:sz w:val="21"/>
                <w:szCs w:val="21"/>
              </w:rPr>
            </w:pPr>
          </w:p>
        </w:tc>
        <w:tc>
          <w:tcPr>
            <w:tcW w:w="2126" w:type="dxa"/>
          </w:tcPr>
          <w:p w14:paraId="495222FF" w14:textId="77777777" w:rsidR="00ED749D" w:rsidRPr="00F51546" w:rsidRDefault="00ED749D" w:rsidP="00ED749D">
            <w:pPr>
              <w:jc w:val="both"/>
              <w:rPr>
                <w:rFonts w:ascii="Abadi" w:hAnsi="Abadi" w:cs="Calibri"/>
                <w:b/>
                <w:bCs/>
                <w:sz w:val="21"/>
                <w:szCs w:val="21"/>
              </w:rPr>
            </w:pPr>
          </w:p>
          <w:p w14:paraId="22A2C781" w14:textId="77777777" w:rsidR="00ED749D" w:rsidRPr="00F51546" w:rsidRDefault="00ED749D" w:rsidP="00ED749D">
            <w:pPr>
              <w:jc w:val="both"/>
              <w:rPr>
                <w:rFonts w:ascii="Abadi" w:hAnsi="Abadi" w:cs="Calibri"/>
                <w:b/>
                <w:bCs/>
                <w:sz w:val="21"/>
                <w:szCs w:val="21"/>
              </w:rPr>
            </w:pPr>
          </w:p>
          <w:p w14:paraId="62660FC5" w14:textId="59CC6878" w:rsidR="00ED749D" w:rsidRPr="00F51546" w:rsidRDefault="00ED749D" w:rsidP="00ED749D">
            <w:pPr>
              <w:jc w:val="both"/>
              <w:rPr>
                <w:rFonts w:ascii="Abadi" w:hAnsi="Abadi" w:cs="Calibri"/>
                <w:b/>
                <w:bCs/>
                <w:sz w:val="21"/>
                <w:szCs w:val="21"/>
              </w:rPr>
            </w:pPr>
            <w:r w:rsidRPr="00F51546">
              <w:rPr>
                <w:rFonts w:ascii="Abadi" w:hAnsi="Abadi" w:cs="Calibri"/>
                <w:b/>
                <w:bCs/>
                <w:sz w:val="21"/>
                <w:szCs w:val="21"/>
              </w:rPr>
              <w:t>Enterados y se informa que se turnó a la Comisión de Asuntos Electorales.</w:t>
            </w:r>
          </w:p>
          <w:p w14:paraId="6DDC1F0B" w14:textId="77777777" w:rsidR="00723E30" w:rsidRPr="00F51546" w:rsidRDefault="00723E30" w:rsidP="005B747D">
            <w:pPr>
              <w:jc w:val="both"/>
              <w:rPr>
                <w:rFonts w:ascii="Abadi" w:hAnsi="Abadi"/>
                <w:b/>
                <w:bCs/>
                <w:sz w:val="21"/>
                <w:szCs w:val="21"/>
              </w:rPr>
            </w:pPr>
          </w:p>
        </w:tc>
      </w:tr>
      <w:tr w:rsidR="00723E30" w:rsidRPr="00F51546" w14:paraId="4062ECA1" w14:textId="77777777" w:rsidTr="003521CC">
        <w:tc>
          <w:tcPr>
            <w:tcW w:w="2112" w:type="dxa"/>
          </w:tcPr>
          <w:p w14:paraId="267E4F78" w14:textId="77777777" w:rsidR="00C31F76" w:rsidRPr="00F51546" w:rsidRDefault="00C31F76" w:rsidP="00C31F76">
            <w:pPr>
              <w:jc w:val="both"/>
              <w:rPr>
                <w:rFonts w:ascii="Abadi" w:hAnsi="Abadi" w:cs="Calibri"/>
                <w:b/>
                <w:bCs/>
                <w:sz w:val="21"/>
                <w:szCs w:val="21"/>
              </w:rPr>
            </w:pPr>
            <w:r w:rsidRPr="00F51546">
              <w:rPr>
                <w:rFonts w:ascii="Abadi" w:hAnsi="Abadi" w:cs="Calibri"/>
                <w:b/>
                <w:bCs/>
                <w:sz w:val="21"/>
                <w:szCs w:val="21"/>
              </w:rPr>
              <w:t>2.12</w:t>
            </w:r>
          </w:p>
          <w:p w14:paraId="6B87DADE" w14:textId="77777777" w:rsidR="00C31F76" w:rsidRPr="00F51546" w:rsidRDefault="00C31F76" w:rsidP="00C31F76">
            <w:pPr>
              <w:jc w:val="both"/>
              <w:rPr>
                <w:rFonts w:ascii="Abadi" w:hAnsi="Abadi" w:cs="Calibri"/>
                <w:sz w:val="21"/>
                <w:szCs w:val="21"/>
                <w:lang w:val="es-MX" w:eastAsia="es-MX"/>
              </w:rPr>
            </w:pPr>
          </w:p>
          <w:p w14:paraId="463D01B8" w14:textId="1E0DD3B6" w:rsidR="00836CA3" w:rsidRPr="00F51546" w:rsidRDefault="00836CA3" w:rsidP="00836CA3">
            <w:pPr>
              <w:jc w:val="both"/>
              <w:rPr>
                <w:rFonts w:ascii="Abadi" w:hAnsi="Abadi" w:cs="Calibri"/>
                <w:sz w:val="21"/>
                <w:szCs w:val="21"/>
              </w:rPr>
            </w:pPr>
            <w:r w:rsidRPr="00F51546">
              <w:rPr>
                <w:rFonts w:ascii="Abadi" w:hAnsi="Abadi" w:cs="Calibri"/>
                <w:sz w:val="21"/>
                <w:szCs w:val="21"/>
              </w:rPr>
              <w:t>La magistrada presidenta del Tribunal Estatal Electoral de Guanajuato y presidenta del Observatorio de Participación Política de las Mujeres en el Estado de Guanajuato remite respuesta a la consulta de la iniciativa a efecto de reformar el inciso e de la fracción I del artículo 47 de la Ley de Instituciones y Procedimientos Electorales para el Estado de Guanajuato.</w:t>
            </w:r>
          </w:p>
          <w:p w14:paraId="7E47035D" w14:textId="77777777" w:rsidR="00723E30" w:rsidRPr="00F51546" w:rsidRDefault="00723E30" w:rsidP="002B7145">
            <w:pPr>
              <w:jc w:val="both"/>
              <w:rPr>
                <w:rFonts w:ascii="Abadi" w:hAnsi="Abadi"/>
                <w:sz w:val="21"/>
                <w:szCs w:val="21"/>
              </w:rPr>
            </w:pPr>
          </w:p>
        </w:tc>
        <w:tc>
          <w:tcPr>
            <w:tcW w:w="2126" w:type="dxa"/>
          </w:tcPr>
          <w:p w14:paraId="3834C06E" w14:textId="77777777" w:rsidR="00C31F76" w:rsidRPr="00F51546" w:rsidRDefault="00C31F76" w:rsidP="00836CA3">
            <w:pPr>
              <w:jc w:val="both"/>
              <w:rPr>
                <w:rFonts w:ascii="Abadi" w:hAnsi="Abadi" w:cs="Calibri"/>
                <w:sz w:val="21"/>
                <w:szCs w:val="21"/>
              </w:rPr>
            </w:pPr>
          </w:p>
          <w:p w14:paraId="205A6524" w14:textId="77777777" w:rsidR="00C31F76" w:rsidRPr="00F51546" w:rsidRDefault="00C31F76" w:rsidP="00836CA3">
            <w:pPr>
              <w:jc w:val="both"/>
              <w:rPr>
                <w:rFonts w:ascii="Abadi" w:hAnsi="Abadi" w:cs="Calibri"/>
                <w:sz w:val="21"/>
                <w:szCs w:val="21"/>
              </w:rPr>
            </w:pPr>
          </w:p>
          <w:p w14:paraId="5758CBA7" w14:textId="5AC706BD" w:rsidR="00836CA3" w:rsidRPr="00F51546" w:rsidRDefault="00836CA3" w:rsidP="00836CA3">
            <w:pPr>
              <w:jc w:val="both"/>
              <w:rPr>
                <w:rFonts w:ascii="Abadi" w:hAnsi="Abadi" w:cs="Calibri"/>
                <w:b/>
                <w:bCs/>
                <w:sz w:val="21"/>
                <w:szCs w:val="21"/>
              </w:rPr>
            </w:pPr>
            <w:r w:rsidRPr="00F51546">
              <w:rPr>
                <w:rFonts w:ascii="Abadi" w:hAnsi="Abadi" w:cs="Calibri"/>
                <w:b/>
                <w:bCs/>
                <w:sz w:val="21"/>
                <w:szCs w:val="21"/>
              </w:rPr>
              <w:t>Enterados y se informa que se turnó a la Comisión de Asuntos Electorales.</w:t>
            </w:r>
          </w:p>
          <w:p w14:paraId="0558F2B0" w14:textId="77777777" w:rsidR="00723E30" w:rsidRPr="00F51546" w:rsidRDefault="00723E30" w:rsidP="005B747D">
            <w:pPr>
              <w:jc w:val="both"/>
              <w:rPr>
                <w:rFonts w:ascii="Abadi" w:hAnsi="Abadi"/>
                <w:b/>
                <w:bCs/>
                <w:sz w:val="21"/>
                <w:szCs w:val="21"/>
              </w:rPr>
            </w:pPr>
          </w:p>
        </w:tc>
      </w:tr>
      <w:tr w:rsidR="00723E30" w:rsidRPr="00F51546" w14:paraId="61AED140" w14:textId="77777777" w:rsidTr="003521CC">
        <w:tc>
          <w:tcPr>
            <w:tcW w:w="2112" w:type="dxa"/>
          </w:tcPr>
          <w:p w14:paraId="6296A893" w14:textId="77777777" w:rsidR="003D54DF" w:rsidRPr="00F51546" w:rsidRDefault="003D54DF" w:rsidP="003D54DF">
            <w:pPr>
              <w:jc w:val="both"/>
              <w:rPr>
                <w:rFonts w:ascii="Abadi" w:hAnsi="Abadi" w:cs="Calibri"/>
                <w:b/>
                <w:bCs/>
                <w:sz w:val="21"/>
                <w:szCs w:val="21"/>
              </w:rPr>
            </w:pPr>
            <w:r w:rsidRPr="00F51546">
              <w:rPr>
                <w:rFonts w:ascii="Abadi" w:hAnsi="Abadi" w:cs="Calibri"/>
                <w:b/>
                <w:bCs/>
                <w:sz w:val="21"/>
                <w:szCs w:val="21"/>
              </w:rPr>
              <w:t>2.13</w:t>
            </w:r>
          </w:p>
          <w:p w14:paraId="56E6246D" w14:textId="77777777" w:rsidR="003D54DF" w:rsidRPr="00F51546" w:rsidRDefault="003D54DF" w:rsidP="003D54DF">
            <w:pPr>
              <w:jc w:val="both"/>
              <w:rPr>
                <w:rFonts w:ascii="Abadi" w:hAnsi="Abadi" w:cs="Calibri"/>
                <w:sz w:val="21"/>
                <w:szCs w:val="21"/>
                <w:lang w:val="es-MX" w:eastAsia="es-MX"/>
              </w:rPr>
            </w:pPr>
          </w:p>
          <w:p w14:paraId="4C67AEF3" w14:textId="26F6838F" w:rsidR="003D54DF" w:rsidRPr="00F51546" w:rsidRDefault="003D54DF" w:rsidP="003D54DF">
            <w:pPr>
              <w:jc w:val="both"/>
              <w:rPr>
                <w:rFonts w:ascii="Abadi" w:hAnsi="Abadi" w:cs="Calibri"/>
                <w:sz w:val="21"/>
                <w:szCs w:val="21"/>
                <w:lang w:val="es-MX" w:eastAsia="es-MX"/>
              </w:rPr>
            </w:pPr>
            <w:r w:rsidRPr="00F51546">
              <w:rPr>
                <w:rFonts w:ascii="Abadi" w:hAnsi="Abadi" w:cs="Calibri"/>
                <w:sz w:val="21"/>
                <w:szCs w:val="21"/>
              </w:rPr>
              <w:t>El procurador de los Derechos Humanos del Estado de Guanajuato remite respuesta a la consulta de la iniciativa por la que se reforma el artículo 5 de la Ley de Acceso de las Mujeres a una Vida Libre de Violencia para el Estado de Guanajuato y se adiciona un artículo 153 a-2, y se reforma la denominación del Capítulo IV del Título Primero del Código Penal del Estado de Guanajuato.</w:t>
            </w:r>
          </w:p>
          <w:p w14:paraId="2E1CBA26" w14:textId="77777777" w:rsidR="00723E30" w:rsidRPr="00F51546" w:rsidRDefault="00723E30" w:rsidP="002B7145">
            <w:pPr>
              <w:jc w:val="both"/>
              <w:rPr>
                <w:rFonts w:ascii="Abadi" w:hAnsi="Abadi"/>
                <w:sz w:val="21"/>
                <w:szCs w:val="21"/>
              </w:rPr>
            </w:pPr>
          </w:p>
        </w:tc>
        <w:tc>
          <w:tcPr>
            <w:tcW w:w="2126" w:type="dxa"/>
          </w:tcPr>
          <w:p w14:paraId="691F1E89" w14:textId="77777777" w:rsidR="003D54DF" w:rsidRPr="00F51546" w:rsidRDefault="003D54DF" w:rsidP="003D54DF">
            <w:pPr>
              <w:jc w:val="both"/>
              <w:rPr>
                <w:rFonts w:ascii="Abadi" w:hAnsi="Abadi" w:cs="Calibri"/>
                <w:b/>
                <w:bCs/>
                <w:sz w:val="21"/>
                <w:szCs w:val="21"/>
              </w:rPr>
            </w:pPr>
          </w:p>
          <w:p w14:paraId="545AE280" w14:textId="77777777" w:rsidR="003D54DF" w:rsidRPr="00F51546" w:rsidRDefault="003D54DF" w:rsidP="003D54DF">
            <w:pPr>
              <w:jc w:val="both"/>
              <w:rPr>
                <w:rFonts w:ascii="Abadi" w:hAnsi="Abadi" w:cs="Calibri"/>
                <w:b/>
                <w:bCs/>
                <w:sz w:val="21"/>
                <w:szCs w:val="21"/>
              </w:rPr>
            </w:pPr>
          </w:p>
          <w:p w14:paraId="03E0381B" w14:textId="69E369B3" w:rsidR="003D54DF" w:rsidRPr="00F51546" w:rsidRDefault="003D54DF" w:rsidP="003D54DF">
            <w:pPr>
              <w:jc w:val="both"/>
              <w:rPr>
                <w:rFonts w:ascii="Abadi" w:hAnsi="Abadi" w:cs="Calibri"/>
                <w:b/>
                <w:bCs/>
                <w:sz w:val="21"/>
                <w:szCs w:val="21"/>
              </w:rPr>
            </w:pPr>
            <w:r w:rsidRPr="00F51546">
              <w:rPr>
                <w:rFonts w:ascii="Abadi" w:hAnsi="Abadi" w:cs="Calibri"/>
                <w:b/>
                <w:bCs/>
                <w:sz w:val="21"/>
                <w:szCs w:val="21"/>
              </w:rPr>
              <w:t>Enterados y se informa que se turnó a las Comisiones Unidas de Justicia y para la Igualdad de Género.</w:t>
            </w:r>
          </w:p>
          <w:p w14:paraId="1F1E1F98" w14:textId="77777777" w:rsidR="00723E30" w:rsidRPr="00F51546" w:rsidRDefault="00723E30" w:rsidP="005B747D">
            <w:pPr>
              <w:jc w:val="both"/>
              <w:rPr>
                <w:rFonts w:ascii="Abadi" w:hAnsi="Abadi"/>
                <w:b/>
                <w:bCs/>
                <w:sz w:val="21"/>
                <w:szCs w:val="21"/>
              </w:rPr>
            </w:pPr>
          </w:p>
        </w:tc>
      </w:tr>
      <w:tr w:rsidR="00723E30" w:rsidRPr="00F51546" w14:paraId="514DC4FF" w14:textId="77777777" w:rsidTr="003521CC">
        <w:tc>
          <w:tcPr>
            <w:tcW w:w="2112" w:type="dxa"/>
          </w:tcPr>
          <w:p w14:paraId="09D1EE2B" w14:textId="77777777" w:rsidR="00E23647" w:rsidRPr="00F51546" w:rsidRDefault="00E23647" w:rsidP="00E23647">
            <w:pPr>
              <w:jc w:val="both"/>
              <w:rPr>
                <w:rFonts w:ascii="Abadi" w:hAnsi="Abadi" w:cs="Arial"/>
                <w:b/>
                <w:bCs/>
                <w:sz w:val="21"/>
                <w:szCs w:val="21"/>
              </w:rPr>
            </w:pPr>
            <w:r w:rsidRPr="00F51546">
              <w:rPr>
                <w:rFonts w:ascii="Abadi" w:hAnsi="Abadi" w:cs="Arial"/>
                <w:b/>
                <w:bCs/>
                <w:sz w:val="21"/>
                <w:szCs w:val="21"/>
              </w:rPr>
              <w:t>2.14</w:t>
            </w:r>
          </w:p>
          <w:p w14:paraId="0C18604A" w14:textId="77777777" w:rsidR="00E23647" w:rsidRPr="00F51546" w:rsidRDefault="00E23647" w:rsidP="00E23647">
            <w:pPr>
              <w:jc w:val="both"/>
              <w:rPr>
                <w:rFonts w:ascii="Abadi" w:hAnsi="Abadi" w:cs="Arial"/>
                <w:b/>
                <w:bCs/>
                <w:sz w:val="21"/>
                <w:szCs w:val="21"/>
              </w:rPr>
            </w:pPr>
          </w:p>
          <w:p w14:paraId="05923FCF" w14:textId="1E329DD9" w:rsidR="00E23647" w:rsidRPr="00F51546" w:rsidRDefault="00E23647" w:rsidP="00E23647">
            <w:pPr>
              <w:jc w:val="both"/>
              <w:rPr>
                <w:rFonts w:ascii="Abadi" w:hAnsi="Abadi" w:cs="Arial"/>
                <w:sz w:val="21"/>
                <w:szCs w:val="21"/>
              </w:rPr>
            </w:pPr>
            <w:r w:rsidRPr="00F51546">
              <w:rPr>
                <w:rFonts w:ascii="Abadi" w:hAnsi="Abadi" w:cs="Arial"/>
                <w:sz w:val="21"/>
                <w:szCs w:val="21"/>
              </w:rPr>
              <w:t>La magistrada presidenta del Tribunal Estatal Electoral de Guanajuato remite respuesta a la consulta de la iniciativa a efecto de reformar los artículos 11 y 190 de la Ley de Instituciones y Procedimientos Electorales para el Estado de Guanajuato.</w:t>
            </w:r>
          </w:p>
          <w:p w14:paraId="0A9E6596" w14:textId="77777777" w:rsidR="00723E30" w:rsidRPr="00F51546" w:rsidRDefault="00723E30" w:rsidP="002B7145">
            <w:pPr>
              <w:jc w:val="both"/>
              <w:rPr>
                <w:rFonts w:ascii="Abadi" w:hAnsi="Abadi" w:cs="Arial"/>
                <w:b/>
                <w:bCs/>
                <w:sz w:val="21"/>
                <w:szCs w:val="21"/>
              </w:rPr>
            </w:pPr>
          </w:p>
        </w:tc>
        <w:tc>
          <w:tcPr>
            <w:tcW w:w="2126" w:type="dxa"/>
          </w:tcPr>
          <w:p w14:paraId="26437635" w14:textId="77777777" w:rsidR="00E23647" w:rsidRPr="00F51546" w:rsidRDefault="00E23647" w:rsidP="00E23647">
            <w:pPr>
              <w:jc w:val="both"/>
              <w:rPr>
                <w:rFonts w:ascii="Abadi" w:hAnsi="Abadi" w:cs="Calibri"/>
                <w:sz w:val="21"/>
                <w:szCs w:val="21"/>
              </w:rPr>
            </w:pPr>
          </w:p>
          <w:p w14:paraId="695A6076" w14:textId="77777777" w:rsidR="00E23647" w:rsidRPr="00F51546" w:rsidRDefault="00E23647" w:rsidP="00E23647">
            <w:pPr>
              <w:jc w:val="both"/>
              <w:rPr>
                <w:rFonts w:ascii="Abadi" w:hAnsi="Abadi" w:cs="Calibri"/>
                <w:sz w:val="21"/>
                <w:szCs w:val="21"/>
              </w:rPr>
            </w:pPr>
          </w:p>
          <w:p w14:paraId="4415A74A" w14:textId="051A9F35" w:rsidR="00E23647" w:rsidRPr="00F51546" w:rsidRDefault="00E23647" w:rsidP="00E23647">
            <w:pPr>
              <w:jc w:val="both"/>
              <w:rPr>
                <w:rFonts w:ascii="Abadi" w:hAnsi="Abadi" w:cs="Arial"/>
                <w:b/>
                <w:bCs/>
                <w:sz w:val="21"/>
                <w:szCs w:val="21"/>
              </w:rPr>
            </w:pPr>
            <w:r w:rsidRPr="00F51546">
              <w:rPr>
                <w:rFonts w:ascii="Abadi" w:hAnsi="Abadi" w:cs="Arial"/>
                <w:b/>
                <w:bCs/>
                <w:sz w:val="21"/>
                <w:szCs w:val="21"/>
              </w:rPr>
              <w:t>Enterados y se informa que se turnó a la Comisión de Asuntos Electorales.</w:t>
            </w:r>
          </w:p>
          <w:p w14:paraId="79ABDD17" w14:textId="77777777" w:rsidR="00723E30" w:rsidRPr="00F51546" w:rsidRDefault="00723E30" w:rsidP="005B747D">
            <w:pPr>
              <w:jc w:val="both"/>
              <w:rPr>
                <w:rFonts w:ascii="Abadi" w:hAnsi="Abadi"/>
                <w:b/>
                <w:bCs/>
                <w:sz w:val="21"/>
                <w:szCs w:val="21"/>
              </w:rPr>
            </w:pPr>
          </w:p>
        </w:tc>
      </w:tr>
      <w:tr w:rsidR="00477315" w:rsidRPr="00F51546" w14:paraId="43B89CD4" w14:textId="77777777" w:rsidTr="003521CC">
        <w:tc>
          <w:tcPr>
            <w:tcW w:w="2112" w:type="dxa"/>
          </w:tcPr>
          <w:p w14:paraId="5710606D" w14:textId="77777777" w:rsidR="009E7089" w:rsidRPr="00F51546" w:rsidRDefault="009E7089" w:rsidP="009E7089">
            <w:pPr>
              <w:jc w:val="both"/>
              <w:rPr>
                <w:rFonts w:ascii="Abadi" w:hAnsi="Abadi" w:cs="Calibri"/>
                <w:b/>
                <w:bCs/>
                <w:sz w:val="21"/>
                <w:szCs w:val="21"/>
                <w:lang w:val="es-MX" w:eastAsia="es-MX"/>
              </w:rPr>
            </w:pPr>
            <w:r w:rsidRPr="00F51546">
              <w:rPr>
                <w:rFonts w:ascii="Abadi" w:hAnsi="Abadi" w:cs="Calibri"/>
                <w:b/>
                <w:bCs/>
                <w:sz w:val="21"/>
                <w:szCs w:val="21"/>
              </w:rPr>
              <w:t>2.15</w:t>
            </w:r>
          </w:p>
          <w:p w14:paraId="18A4FEF7" w14:textId="77777777" w:rsidR="009E7089" w:rsidRPr="00F51546" w:rsidRDefault="009E7089" w:rsidP="009E7089">
            <w:pPr>
              <w:jc w:val="both"/>
              <w:rPr>
                <w:rFonts w:ascii="Abadi" w:hAnsi="Abadi" w:cs="Calibri"/>
                <w:sz w:val="21"/>
                <w:szCs w:val="21"/>
              </w:rPr>
            </w:pPr>
          </w:p>
          <w:p w14:paraId="6388AD5A" w14:textId="0CD615F0" w:rsidR="009E7089" w:rsidRPr="00F51546" w:rsidRDefault="009E7089" w:rsidP="009E7089">
            <w:pPr>
              <w:jc w:val="both"/>
              <w:rPr>
                <w:rFonts w:ascii="Abadi" w:hAnsi="Abadi" w:cs="Arial"/>
                <w:sz w:val="21"/>
                <w:szCs w:val="21"/>
              </w:rPr>
            </w:pPr>
            <w:r w:rsidRPr="00F51546">
              <w:rPr>
                <w:rFonts w:ascii="Abadi" w:hAnsi="Abadi" w:cs="Arial"/>
                <w:sz w:val="21"/>
                <w:szCs w:val="21"/>
              </w:rPr>
              <w:t>La abogada general de la Universidad de Guanajuato remite respuesta a la consulta de la iniciativa por la que se reforman y adicionan diversas disposiciones a la Ley de Acceso de las Mujeres a una Vida Libre de Violencia para el Estado de Guanajuato.</w:t>
            </w:r>
          </w:p>
          <w:p w14:paraId="581CE945" w14:textId="77777777" w:rsidR="00477315" w:rsidRPr="00F51546" w:rsidRDefault="00477315" w:rsidP="002B7145">
            <w:pPr>
              <w:jc w:val="both"/>
              <w:rPr>
                <w:rFonts w:ascii="Abadi" w:hAnsi="Abadi"/>
                <w:sz w:val="21"/>
                <w:szCs w:val="21"/>
              </w:rPr>
            </w:pPr>
          </w:p>
        </w:tc>
        <w:tc>
          <w:tcPr>
            <w:tcW w:w="2126" w:type="dxa"/>
          </w:tcPr>
          <w:p w14:paraId="5F451FC1" w14:textId="77777777" w:rsidR="009E7089" w:rsidRPr="00F51546" w:rsidRDefault="009E7089" w:rsidP="009E7089">
            <w:pPr>
              <w:jc w:val="both"/>
              <w:rPr>
                <w:rFonts w:ascii="Abadi" w:hAnsi="Abadi" w:cs="Calibri"/>
                <w:b/>
                <w:bCs/>
                <w:sz w:val="21"/>
                <w:szCs w:val="21"/>
              </w:rPr>
            </w:pPr>
          </w:p>
          <w:p w14:paraId="26172409" w14:textId="77777777" w:rsidR="009E7089" w:rsidRPr="00F51546" w:rsidRDefault="009E7089" w:rsidP="009E7089">
            <w:pPr>
              <w:jc w:val="both"/>
              <w:rPr>
                <w:rFonts w:ascii="Abadi" w:hAnsi="Abadi" w:cs="Calibri"/>
                <w:b/>
                <w:bCs/>
                <w:sz w:val="21"/>
                <w:szCs w:val="21"/>
              </w:rPr>
            </w:pPr>
          </w:p>
          <w:p w14:paraId="43C1DFD6" w14:textId="79E01F21" w:rsidR="009E7089" w:rsidRPr="00F51546" w:rsidRDefault="009E7089" w:rsidP="009E7089">
            <w:pPr>
              <w:jc w:val="both"/>
              <w:rPr>
                <w:rFonts w:ascii="Abadi" w:hAnsi="Abadi" w:cs="Arial"/>
                <w:b/>
                <w:bCs/>
                <w:sz w:val="21"/>
                <w:szCs w:val="21"/>
              </w:rPr>
            </w:pPr>
            <w:r w:rsidRPr="00F51546">
              <w:rPr>
                <w:rFonts w:ascii="Abadi" w:hAnsi="Abadi" w:cs="Arial"/>
                <w:b/>
                <w:bCs/>
                <w:sz w:val="21"/>
                <w:szCs w:val="21"/>
              </w:rPr>
              <w:t>Enterados y se informa que se turnó a la Comisión para la igualdad de Género.</w:t>
            </w:r>
          </w:p>
          <w:p w14:paraId="682DE50A" w14:textId="77777777" w:rsidR="00477315" w:rsidRPr="00F51546" w:rsidRDefault="00477315" w:rsidP="005B747D">
            <w:pPr>
              <w:jc w:val="both"/>
              <w:rPr>
                <w:rFonts w:ascii="Abadi" w:hAnsi="Abadi"/>
                <w:b/>
                <w:bCs/>
                <w:sz w:val="21"/>
                <w:szCs w:val="21"/>
              </w:rPr>
            </w:pPr>
          </w:p>
        </w:tc>
      </w:tr>
      <w:tr w:rsidR="003D5807" w:rsidRPr="00F51546" w14:paraId="6A9CDA59" w14:textId="77777777" w:rsidTr="003521CC">
        <w:tc>
          <w:tcPr>
            <w:tcW w:w="2112" w:type="dxa"/>
          </w:tcPr>
          <w:p w14:paraId="3280F748" w14:textId="77777777" w:rsidR="006F5A9A" w:rsidRPr="00F51546" w:rsidRDefault="006F5A9A" w:rsidP="006F5A9A">
            <w:pPr>
              <w:jc w:val="both"/>
              <w:rPr>
                <w:rFonts w:ascii="Abadi" w:hAnsi="Abadi" w:cs="Arial"/>
                <w:b/>
                <w:bCs/>
                <w:sz w:val="21"/>
                <w:szCs w:val="21"/>
              </w:rPr>
            </w:pPr>
            <w:r w:rsidRPr="00F51546">
              <w:rPr>
                <w:rFonts w:ascii="Abadi" w:hAnsi="Abadi" w:cs="Arial"/>
                <w:b/>
                <w:bCs/>
                <w:sz w:val="21"/>
                <w:szCs w:val="21"/>
              </w:rPr>
              <w:t>2.16</w:t>
            </w:r>
          </w:p>
          <w:p w14:paraId="107BAF05" w14:textId="77777777" w:rsidR="006F5A9A" w:rsidRPr="00F51546" w:rsidRDefault="006F5A9A" w:rsidP="006F5A9A">
            <w:pPr>
              <w:jc w:val="both"/>
              <w:rPr>
                <w:rFonts w:ascii="Abadi" w:hAnsi="Abadi" w:cs="Arial"/>
                <w:sz w:val="21"/>
                <w:szCs w:val="21"/>
              </w:rPr>
            </w:pPr>
          </w:p>
          <w:p w14:paraId="416D50A2" w14:textId="77777777" w:rsidR="006F5A9A" w:rsidRPr="00F51546" w:rsidRDefault="006F5A9A" w:rsidP="006F5A9A">
            <w:pPr>
              <w:jc w:val="both"/>
              <w:rPr>
                <w:rFonts w:ascii="Abadi" w:hAnsi="Abadi" w:cs="Arial"/>
                <w:sz w:val="21"/>
                <w:szCs w:val="21"/>
              </w:rPr>
            </w:pPr>
          </w:p>
          <w:p w14:paraId="3A1182DA" w14:textId="73F60D68" w:rsidR="006F5A9A" w:rsidRPr="00F51546" w:rsidRDefault="006F5A9A" w:rsidP="006F5A9A">
            <w:pPr>
              <w:jc w:val="both"/>
              <w:rPr>
                <w:rFonts w:ascii="Abadi" w:hAnsi="Abadi" w:cs="Arial"/>
                <w:sz w:val="21"/>
                <w:szCs w:val="21"/>
              </w:rPr>
            </w:pPr>
            <w:r w:rsidRPr="00F51546">
              <w:rPr>
                <w:rFonts w:ascii="Abadi" w:hAnsi="Abadi" w:cs="Arial"/>
                <w:sz w:val="21"/>
                <w:szCs w:val="21"/>
              </w:rPr>
              <w:t>El procurador de los Derechos Humanos del Estado de Guanajuato remite respuesta a la consulta de la iniciativa por la que se reforma y adiciona un segundo párrafo a la fracción XVII del artículo 8 de la Ley para la Protección de los Derechos Humanos en el Estado de Guanajuato.</w:t>
            </w:r>
          </w:p>
          <w:p w14:paraId="0E614186" w14:textId="77777777" w:rsidR="003D5807" w:rsidRPr="00F51546" w:rsidRDefault="003D5807" w:rsidP="002B7145">
            <w:pPr>
              <w:jc w:val="both"/>
              <w:rPr>
                <w:rFonts w:ascii="Abadi" w:hAnsi="Abadi" w:cs="Arial"/>
                <w:sz w:val="21"/>
                <w:szCs w:val="21"/>
              </w:rPr>
            </w:pPr>
          </w:p>
        </w:tc>
        <w:tc>
          <w:tcPr>
            <w:tcW w:w="2126" w:type="dxa"/>
          </w:tcPr>
          <w:p w14:paraId="1E387288" w14:textId="77777777" w:rsidR="006F5A9A" w:rsidRPr="00F51546" w:rsidRDefault="006F5A9A" w:rsidP="006F5A9A">
            <w:pPr>
              <w:jc w:val="both"/>
              <w:rPr>
                <w:rFonts w:ascii="Abadi" w:hAnsi="Abadi" w:cs="Arial"/>
                <w:sz w:val="21"/>
                <w:szCs w:val="21"/>
              </w:rPr>
            </w:pPr>
          </w:p>
          <w:p w14:paraId="540271A2" w14:textId="77777777" w:rsidR="006F5A9A" w:rsidRPr="00F51546" w:rsidRDefault="006F5A9A" w:rsidP="006F5A9A">
            <w:pPr>
              <w:jc w:val="both"/>
              <w:rPr>
                <w:rFonts w:ascii="Abadi" w:hAnsi="Abadi" w:cs="Arial"/>
                <w:sz w:val="21"/>
                <w:szCs w:val="21"/>
              </w:rPr>
            </w:pPr>
          </w:p>
          <w:p w14:paraId="0FEC0C3F" w14:textId="77777777" w:rsidR="006F5A9A" w:rsidRPr="00F51546" w:rsidRDefault="006F5A9A" w:rsidP="006F5A9A">
            <w:pPr>
              <w:jc w:val="both"/>
              <w:rPr>
                <w:rFonts w:ascii="Abadi" w:hAnsi="Abadi" w:cs="Arial"/>
                <w:sz w:val="21"/>
                <w:szCs w:val="21"/>
              </w:rPr>
            </w:pPr>
          </w:p>
          <w:p w14:paraId="6C54BD01" w14:textId="7CCE42F8" w:rsidR="006F5A9A" w:rsidRPr="00F51546" w:rsidRDefault="006F5A9A" w:rsidP="006F5A9A">
            <w:pPr>
              <w:jc w:val="both"/>
              <w:rPr>
                <w:rFonts w:ascii="Abadi" w:hAnsi="Abadi" w:cs="Arial"/>
                <w:sz w:val="21"/>
                <w:szCs w:val="21"/>
              </w:rPr>
            </w:pPr>
            <w:r w:rsidRPr="00F51546">
              <w:rPr>
                <w:rFonts w:ascii="Abadi" w:hAnsi="Abadi" w:cs="Arial"/>
                <w:b/>
                <w:bCs/>
                <w:sz w:val="21"/>
                <w:szCs w:val="21"/>
              </w:rPr>
              <w:t>Enterados y se informa que se turnó</w:t>
            </w:r>
            <w:r w:rsidRPr="00F51546">
              <w:rPr>
                <w:rFonts w:ascii="Abadi" w:hAnsi="Abadi" w:cs="Arial"/>
                <w:sz w:val="21"/>
                <w:szCs w:val="21"/>
              </w:rPr>
              <w:t xml:space="preserve"> a la Comisión de Derechos Humanos y Atención a Grupos Vulnerables.</w:t>
            </w:r>
          </w:p>
          <w:p w14:paraId="441B6920" w14:textId="77777777" w:rsidR="003D5807" w:rsidRPr="00F51546" w:rsidRDefault="003D5807" w:rsidP="005B747D">
            <w:pPr>
              <w:jc w:val="both"/>
              <w:rPr>
                <w:rFonts w:ascii="Abadi" w:hAnsi="Abadi" w:cs="Arial"/>
                <w:sz w:val="21"/>
                <w:szCs w:val="21"/>
              </w:rPr>
            </w:pPr>
          </w:p>
        </w:tc>
      </w:tr>
      <w:tr w:rsidR="00DA2F7C" w:rsidRPr="00F51546" w14:paraId="1EE909F6" w14:textId="77777777" w:rsidTr="00892A7B">
        <w:tc>
          <w:tcPr>
            <w:tcW w:w="4238" w:type="dxa"/>
            <w:gridSpan w:val="2"/>
            <w:shd w:val="clear" w:color="auto" w:fill="C4BC96" w:themeFill="background2" w:themeFillShade="BF"/>
          </w:tcPr>
          <w:p w14:paraId="6BCFD346" w14:textId="2CB815BB" w:rsidR="00DA2F7C" w:rsidRPr="00F51546" w:rsidRDefault="00381471" w:rsidP="00381471">
            <w:pPr>
              <w:jc w:val="both"/>
              <w:rPr>
                <w:rFonts w:ascii="Abadi" w:hAnsi="Abadi" w:cs="Calibri"/>
                <w:b/>
                <w:bCs/>
                <w:sz w:val="21"/>
                <w:szCs w:val="21"/>
              </w:rPr>
            </w:pPr>
            <w:r w:rsidRPr="00F51546">
              <w:rPr>
                <w:rFonts w:ascii="Abadi" w:hAnsi="Abadi" w:cs="Calibri"/>
                <w:b/>
                <w:bCs/>
                <w:sz w:val="21"/>
                <w:szCs w:val="21"/>
              </w:rPr>
              <w:t>II. Comunicados provenientes de los ayuntamientos del Estado</w:t>
            </w:r>
            <w:r w:rsidR="00197291" w:rsidRPr="00F51546">
              <w:rPr>
                <w:rFonts w:ascii="Abadi" w:hAnsi="Abadi" w:cs="Calibri"/>
                <w:b/>
                <w:bCs/>
                <w:sz w:val="21"/>
                <w:szCs w:val="21"/>
              </w:rPr>
              <w:t>.</w:t>
            </w:r>
          </w:p>
        </w:tc>
      </w:tr>
      <w:tr w:rsidR="003D5807" w:rsidRPr="00F51546" w14:paraId="18B192EA" w14:textId="77777777" w:rsidTr="003521CC">
        <w:tc>
          <w:tcPr>
            <w:tcW w:w="2112" w:type="dxa"/>
          </w:tcPr>
          <w:p w14:paraId="0A18F061" w14:textId="77777777" w:rsidR="00CB336D" w:rsidRPr="00F51546" w:rsidRDefault="00CB336D" w:rsidP="00CB336D">
            <w:pPr>
              <w:jc w:val="both"/>
              <w:rPr>
                <w:rFonts w:ascii="Abadi" w:hAnsi="Abadi" w:cs="Calibri"/>
                <w:b/>
                <w:bCs/>
                <w:sz w:val="21"/>
                <w:szCs w:val="21"/>
                <w:lang w:val="es-MX" w:eastAsia="es-MX"/>
              </w:rPr>
            </w:pPr>
            <w:r w:rsidRPr="00F51546">
              <w:rPr>
                <w:rFonts w:ascii="Abadi" w:hAnsi="Abadi" w:cs="Calibri"/>
                <w:b/>
                <w:bCs/>
                <w:sz w:val="21"/>
                <w:szCs w:val="21"/>
              </w:rPr>
              <w:lastRenderedPageBreak/>
              <w:t>3.01</w:t>
            </w:r>
          </w:p>
          <w:p w14:paraId="667777CF" w14:textId="77777777" w:rsidR="003D5807" w:rsidRPr="00F51546" w:rsidRDefault="003D5807" w:rsidP="002B7145">
            <w:pPr>
              <w:jc w:val="both"/>
              <w:rPr>
                <w:rFonts w:ascii="Abadi" w:hAnsi="Abadi"/>
                <w:sz w:val="21"/>
                <w:szCs w:val="21"/>
              </w:rPr>
            </w:pPr>
          </w:p>
          <w:p w14:paraId="58731D95" w14:textId="77777777" w:rsidR="00CB336D" w:rsidRPr="00F51546" w:rsidRDefault="00CB336D" w:rsidP="00CB336D">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San Francisco del Rincón,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adicionar un párrafo segundo y se hace el recorrido del segundo párrafo como tercero, del artículo 45 de la Ley para la Protección de los Pueblos y Comunidades Indígenas en el Estado de Guanajuato.</w:t>
            </w:r>
          </w:p>
          <w:p w14:paraId="1E716D7D" w14:textId="77777777" w:rsidR="00CB336D" w:rsidRPr="00F51546" w:rsidRDefault="00CB336D" w:rsidP="002B7145">
            <w:pPr>
              <w:jc w:val="both"/>
              <w:rPr>
                <w:rFonts w:ascii="Abadi" w:hAnsi="Abadi"/>
                <w:sz w:val="21"/>
                <w:szCs w:val="21"/>
              </w:rPr>
            </w:pPr>
          </w:p>
        </w:tc>
        <w:tc>
          <w:tcPr>
            <w:tcW w:w="2126" w:type="dxa"/>
          </w:tcPr>
          <w:p w14:paraId="70DF4C4C" w14:textId="77777777" w:rsidR="00CB336D" w:rsidRPr="00F51546" w:rsidRDefault="00CB336D" w:rsidP="00CB336D">
            <w:pPr>
              <w:jc w:val="both"/>
              <w:rPr>
                <w:rFonts w:ascii="Abadi" w:hAnsi="Abadi" w:cs="Calibri"/>
                <w:sz w:val="21"/>
                <w:szCs w:val="21"/>
              </w:rPr>
            </w:pPr>
          </w:p>
          <w:p w14:paraId="3C7F8A78" w14:textId="77777777" w:rsidR="00CB336D" w:rsidRPr="00F51546" w:rsidRDefault="00CB336D" w:rsidP="00CB336D">
            <w:pPr>
              <w:jc w:val="both"/>
              <w:rPr>
                <w:rFonts w:ascii="Abadi" w:hAnsi="Abadi" w:cs="Calibri"/>
                <w:sz w:val="21"/>
                <w:szCs w:val="21"/>
              </w:rPr>
            </w:pPr>
          </w:p>
          <w:p w14:paraId="40543A74" w14:textId="417EE763" w:rsidR="00CB336D" w:rsidRPr="00F51546" w:rsidRDefault="00CB336D" w:rsidP="00CB336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Derechos Humanos y Atención a Grupos Vulnerables.</w:t>
            </w:r>
          </w:p>
          <w:p w14:paraId="00821022" w14:textId="77777777" w:rsidR="003D5807" w:rsidRPr="00F51546" w:rsidRDefault="003D5807" w:rsidP="005B747D">
            <w:pPr>
              <w:jc w:val="both"/>
              <w:rPr>
                <w:rFonts w:ascii="Abadi" w:hAnsi="Abadi"/>
                <w:b/>
                <w:bCs/>
                <w:sz w:val="21"/>
                <w:szCs w:val="21"/>
              </w:rPr>
            </w:pPr>
          </w:p>
        </w:tc>
      </w:tr>
      <w:tr w:rsidR="003D5807" w:rsidRPr="00F51546" w14:paraId="6C5EDACC" w14:textId="77777777" w:rsidTr="003521CC">
        <w:tc>
          <w:tcPr>
            <w:tcW w:w="2112" w:type="dxa"/>
          </w:tcPr>
          <w:p w14:paraId="2B3AAE16" w14:textId="77777777" w:rsidR="004F27B2" w:rsidRPr="00F51546" w:rsidRDefault="004F27B2" w:rsidP="004F27B2">
            <w:pPr>
              <w:jc w:val="both"/>
              <w:rPr>
                <w:rFonts w:ascii="Abadi" w:hAnsi="Abadi" w:cs="Calibri"/>
                <w:b/>
                <w:bCs/>
                <w:sz w:val="21"/>
                <w:szCs w:val="21"/>
              </w:rPr>
            </w:pPr>
            <w:r w:rsidRPr="00F51546">
              <w:rPr>
                <w:rFonts w:ascii="Abadi" w:hAnsi="Abadi" w:cs="Calibri"/>
                <w:b/>
                <w:bCs/>
                <w:sz w:val="21"/>
                <w:szCs w:val="21"/>
              </w:rPr>
              <w:t>3.02</w:t>
            </w:r>
          </w:p>
          <w:p w14:paraId="78FDEF4B" w14:textId="77777777" w:rsidR="003D5807" w:rsidRPr="00F51546" w:rsidRDefault="003D5807" w:rsidP="002B7145">
            <w:pPr>
              <w:jc w:val="both"/>
              <w:rPr>
                <w:rFonts w:ascii="Abadi" w:hAnsi="Abadi" w:cs="Calibri"/>
                <w:sz w:val="21"/>
                <w:szCs w:val="21"/>
              </w:rPr>
            </w:pPr>
          </w:p>
          <w:p w14:paraId="4033DD0B" w14:textId="77777777" w:rsidR="004F27B2" w:rsidRPr="00F51546" w:rsidRDefault="004F27B2" w:rsidP="004F27B2">
            <w:pPr>
              <w:jc w:val="both"/>
              <w:rPr>
                <w:rFonts w:ascii="Abadi" w:hAnsi="Abadi" w:cs="Calibri"/>
                <w:sz w:val="21"/>
                <w:szCs w:val="21"/>
              </w:rPr>
            </w:pPr>
            <w:r w:rsidRPr="00F51546">
              <w:rPr>
                <w:rFonts w:ascii="Abadi" w:hAnsi="Abadi" w:cs="Calibri"/>
                <w:sz w:val="21"/>
                <w:szCs w:val="21"/>
              </w:rPr>
              <w:t xml:space="preserve">Los integrantes de la Comisión de Igualdad de Género del Ayuntamiento de Victoria, </w:t>
            </w:r>
            <w:proofErr w:type="spellStart"/>
            <w:r w:rsidRPr="00F51546">
              <w:rPr>
                <w:rFonts w:ascii="Abadi" w:hAnsi="Abadi" w:cs="Calibri"/>
                <w:sz w:val="21"/>
                <w:szCs w:val="21"/>
              </w:rPr>
              <w:t>Gto</w:t>
            </w:r>
            <w:proofErr w:type="spellEnd"/>
            <w:r w:rsidRPr="00F51546">
              <w:rPr>
                <w:rFonts w:ascii="Abadi" w:hAnsi="Abadi" w:cs="Calibri"/>
                <w:sz w:val="21"/>
                <w:szCs w:val="21"/>
              </w:rPr>
              <w:t>., remiten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segundo ordenamiento.</w:t>
            </w:r>
          </w:p>
          <w:p w14:paraId="6F5DD513" w14:textId="77777777" w:rsidR="004F27B2" w:rsidRPr="00F51546" w:rsidRDefault="004F27B2" w:rsidP="002B7145">
            <w:pPr>
              <w:jc w:val="both"/>
              <w:rPr>
                <w:rFonts w:ascii="Abadi" w:hAnsi="Abadi" w:cs="Calibri"/>
                <w:sz w:val="21"/>
                <w:szCs w:val="21"/>
              </w:rPr>
            </w:pPr>
          </w:p>
        </w:tc>
        <w:tc>
          <w:tcPr>
            <w:tcW w:w="2126" w:type="dxa"/>
          </w:tcPr>
          <w:p w14:paraId="4A1558C7" w14:textId="77777777" w:rsidR="004F27B2" w:rsidRPr="00F51546" w:rsidRDefault="004F27B2" w:rsidP="004F27B2">
            <w:pPr>
              <w:jc w:val="both"/>
              <w:rPr>
                <w:rFonts w:ascii="Abadi" w:hAnsi="Abadi" w:cs="Calibri"/>
                <w:sz w:val="21"/>
                <w:szCs w:val="21"/>
              </w:rPr>
            </w:pPr>
          </w:p>
          <w:p w14:paraId="669A7E14" w14:textId="77777777" w:rsidR="004F27B2" w:rsidRPr="00F51546" w:rsidRDefault="004F27B2" w:rsidP="004F27B2">
            <w:pPr>
              <w:jc w:val="both"/>
              <w:rPr>
                <w:rFonts w:ascii="Abadi" w:hAnsi="Abadi" w:cs="Calibri"/>
                <w:sz w:val="21"/>
                <w:szCs w:val="21"/>
              </w:rPr>
            </w:pPr>
          </w:p>
          <w:p w14:paraId="42AB3066" w14:textId="2FFBB6A4" w:rsidR="004F27B2" w:rsidRPr="00F51546" w:rsidRDefault="004F27B2" w:rsidP="004F27B2">
            <w:pPr>
              <w:jc w:val="both"/>
              <w:rPr>
                <w:rFonts w:ascii="Abadi" w:hAnsi="Abadi" w:cs="Calibri"/>
                <w:b/>
                <w:bCs/>
                <w:sz w:val="21"/>
                <w:szCs w:val="21"/>
              </w:rPr>
            </w:pPr>
            <w:r w:rsidRPr="00F51546">
              <w:rPr>
                <w:rFonts w:ascii="Abadi" w:hAnsi="Abadi" w:cs="Calibri"/>
                <w:b/>
                <w:bCs/>
                <w:sz w:val="21"/>
                <w:szCs w:val="21"/>
              </w:rPr>
              <w:t>Enterados y se informa que se turnó a la Comisión para la Igualdad de Género.</w:t>
            </w:r>
          </w:p>
          <w:p w14:paraId="7DC43CD6" w14:textId="77777777" w:rsidR="003D5807" w:rsidRPr="00F51546" w:rsidRDefault="003D5807" w:rsidP="005B747D">
            <w:pPr>
              <w:jc w:val="both"/>
              <w:rPr>
                <w:rFonts w:ascii="Abadi" w:hAnsi="Abadi" w:cs="Calibri"/>
                <w:sz w:val="21"/>
                <w:szCs w:val="21"/>
              </w:rPr>
            </w:pPr>
          </w:p>
        </w:tc>
      </w:tr>
      <w:tr w:rsidR="003D5807" w:rsidRPr="00F51546" w14:paraId="3BA6C293" w14:textId="77777777" w:rsidTr="003521CC">
        <w:tc>
          <w:tcPr>
            <w:tcW w:w="2112" w:type="dxa"/>
          </w:tcPr>
          <w:p w14:paraId="7936AC0C" w14:textId="77777777" w:rsidR="004F27B2" w:rsidRPr="00F51546" w:rsidRDefault="004F27B2" w:rsidP="004F27B2">
            <w:pPr>
              <w:jc w:val="both"/>
              <w:rPr>
                <w:rFonts w:ascii="Abadi" w:hAnsi="Abadi" w:cs="Calibri"/>
                <w:b/>
                <w:bCs/>
                <w:sz w:val="21"/>
                <w:szCs w:val="21"/>
              </w:rPr>
            </w:pPr>
            <w:r w:rsidRPr="00F51546">
              <w:rPr>
                <w:rFonts w:ascii="Abadi" w:hAnsi="Abadi" w:cs="Calibri"/>
                <w:b/>
                <w:bCs/>
                <w:sz w:val="21"/>
                <w:szCs w:val="21"/>
              </w:rPr>
              <w:t>3.03</w:t>
            </w:r>
          </w:p>
          <w:p w14:paraId="012050AC" w14:textId="77777777" w:rsidR="00124ECF" w:rsidRPr="00F51546" w:rsidRDefault="00124ECF" w:rsidP="004F27B2">
            <w:pPr>
              <w:jc w:val="both"/>
              <w:rPr>
                <w:rFonts w:ascii="Abadi" w:hAnsi="Abadi" w:cs="Calibri"/>
                <w:sz w:val="21"/>
                <w:szCs w:val="21"/>
              </w:rPr>
            </w:pPr>
          </w:p>
          <w:p w14:paraId="57B5DA17" w14:textId="77777777" w:rsidR="00124ECF" w:rsidRPr="00F51546" w:rsidRDefault="00124ECF" w:rsidP="00124ECF">
            <w:pPr>
              <w:jc w:val="both"/>
              <w:rPr>
                <w:rFonts w:ascii="Abadi" w:hAnsi="Abadi" w:cs="Calibri"/>
                <w:sz w:val="21"/>
                <w:szCs w:val="21"/>
                <w:lang w:val="es-MX" w:eastAsia="es-MX"/>
              </w:rPr>
            </w:pPr>
            <w:r w:rsidRPr="00F51546">
              <w:rPr>
                <w:rFonts w:ascii="Abadi" w:hAnsi="Abadi" w:cs="Calibri"/>
                <w:sz w:val="21"/>
                <w:szCs w:val="21"/>
              </w:rPr>
              <w:t xml:space="preserve">Los integrantes de la Comisión de Igualdad de Género </w:t>
            </w:r>
            <w:r w:rsidRPr="00F51546">
              <w:rPr>
                <w:rFonts w:ascii="Abadi" w:hAnsi="Abadi" w:cs="Calibri"/>
                <w:sz w:val="21"/>
                <w:szCs w:val="21"/>
              </w:rPr>
              <w:t xml:space="preserve">del Ayuntamiento de Victoria, </w:t>
            </w:r>
            <w:proofErr w:type="spellStart"/>
            <w:r w:rsidRPr="00F51546">
              <w:rPr>
                <w:rFonts w:ascii="Abadi" w:hAnsi="Abadi" w:cs="Calibri"/>
                <w:sz w:val="21"/>
                <w:szCs w:val="21"/>
              </w:rPr>
              <w:t>Gto</w:t>
            </w:r>
            <w:proofErr w:type="spellEnd"/>
            <w:r w:rsidRPr="00F51546">
              <w:rPr>
                <w:rFonts w:ascii="Abadi" w:hAnsi="Abadi" w:cs="Calibri"/>
                <w:sz w:val="21"/>
                <w:szCs w:val="21"/>
              </w:rPr>
              <w:t>., remiten respuesta a la consulta de la iniciativa de reformas y adiciones a diversos artículos de la Constitución Política para el Estado de Guanajuato, en materia de armonización sobre suspensión de derechos para ocupar un cargo, empleo o comisión del servicio público.</w:t>
            </w:r>
          </w:p>
          <w:p w14:paraId="1ABE9D7C" w14:textId="77777777" w:rsidR="00124ECF" w:rsidRPr="00F51546" w:rsidRDefault="00124ECF" w:rsidP="004F27B2">
            <w:pPr>
              <w:jc w:val="both"/>
              <w:rPr>
                <w:rFonts w:ascii="Abadi" w:hAnsi="Abadi" w:cs="Calibri"/>
                <w:sz w:val="21"/>
                <w:szCs w:val="21"/>
                <w:lang w:val="es-MX" w:eastAsia="es-MX"/>
              </w:rPr>
            </w:pPr>
          </w:p>
          <w:p w14:paraId="0DFCA419" w14:textId="77777777" w:rsidR="003D5807" w:rsidRPr="00F51546" w:rsidRDefault="003D5807" w:rsidP="002B7145">
            <w:pPr>
              <w:jc w:val="both"/>
              <w:rPr>
                <w:rFonts w:ascii="Abadi" w:hAnsi="Abadi"/>
                <w:sz w:val="21"/>
                <w:szCs w:val="21"/>
              </w:rPr>
            </w:pPr>
          </w:p>
        </w:tc>
        <w:tc>
          <w:tcPr>
            <w:tcW w:w="2126" w:type="dxa"/>
          </w:tcPr>
          <w:p w14:paraId="61682ADC" w14:textId="77777777" w:rsidR="00124ECF" w:rsidRPr="00F51546" w:rsidRDefault="00124ECF" w:rsidP="00124ECF">
            <w:pPr>
              <w:jc w:val="both"/>
              <w:rPr>
                <w:rFonts w:ascii="Abadi" w:hAnsi="Abadi" w:cs="Calibri"/>
                <w:sz w:val="21"/>
                <w:szCs w:val="21"/>
              </w:rPr>
            </w:pPr>
          </w:p>
          <w:p w14:paraId="029C9A94" w14:textId="77777777" w:rsidR="00124ECF" w:rsidRPr="00F51546" w:rsidRDefault="00124ECF" w:rsidP="00124ECF">
            <w:pPr>
              <w:jc w:val="both"/>
              <w:rPr>
                <w:rFonts w:ascii="Abadi" w:hAnsi="Abadi" w:cs="Calibri"/>
                <w:sz w:val="21"/>
                <w:szCs w:val="21"/>
              </w:rPr>
            </w:pPr>
          </w:p>
          <w:p w14:paraId="6535D29C" w14:textId="744127B1" w:rsidR="00124ECF" w:rsidRPr="00F51546" w:rsidRDefault="00124ECF" w:rsidP="00124ECF">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p w14:paraId="302FFA6C" w14:textId="77777777" w:rsidR="003D5807" w:rsidRPr="00F51546" w:rsidRDefault="003D5807" w:rsidP="005B747D">
            <w:pPr>
              <w:jc w:val="both"/>
              <w:rPr>
                <w:rFonts w:ascii="Abadi" w:hAnsi="Abadi"/>
                <w:b/>
                <w:bCs/>
                <w:sz w:val="21"/>
                <w:szCs w:val="21"/>
              </w:rPr>
            </w:pPr>
          </w:p>
        </w:tc>
      </w:tr>
      <w:tr w:rsidR="003D5807" w:rsidRPr="00F51546" w14:paraId="19C4E8AB" w14:textId="77777777" w:rsidTr="003521CC">
        <w:tc>
          <w:tcPr>
            <w:tcW w:w="2112" w:type="dxa"/>
          </w:tcPr>
          <w:p w14:paraId="1A5B2208" w14:textId="77777777" w:rsidR="003A30FF" w:rsidRPr="00F51546" w:rsidRDefault="003A30FF" w:rsidP="003A30FF">
            <w:pPr>
              <w:jc w:val="both"/>
              <w:rPr>
                <w:rFonts w:ascii="Abadi" w:hAnsi="Abadi" w:cs="Calibri"/>
                <w:b/>
                <w:bCs/>
                <w:sz w:val="21"/>
                <w:szCs w:val="21"/>
                <w:lang w:val="es-MX" w:eastAsia="es-MX"/>
              </w:rPr>
            </w:pPr>
            <w:r w:rsidRPr="00F51546">
              <w:rPr>
                <w:rFonts w:ascii="Abadi" w:hAnsi="Abadi" w:cs="Calibri"/>
                <w:b/>
                <w:bCs/>
                <w:sz w:val="21"/>
                <w:szCs w:val="21"/>
              </w:rPr>
              <w:t>3.04</w:t>
            </w:r>
          </w:p>
          <w:p w14:paraId="0674366E" w14:textId="77777777" w:rsidR="003D5807" w:rsidRPr="00F51546" w:rsidRDefault="003D5807" w:rsidP="002B7145">
            <w:pPr>
              <w:jc w:val="both"/>
              <w:rPr>
                <w:rFonts w:ascii="Abadi" w:hAnsi="Abadi"/>
                <w:sz w:val="21"/>
                <w:szCs w:val="21"/>
              </w:rPr>
            </w:pPr>
          </w:p>
          <w:p w14:paraId="0382C485" w14:textId="77777777" w:rsidR="003A30FF" w:rsidRPr="00F51546" w:rsidRDefault="003A30FF" w:rsidP="003A30FF">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Irapuato,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adicionar el artículo 8-1 a la Ley del Sistema de Seguridad Pública del Estado de Guanajuato.</w:t>
            </w:r>
          </w:p>
          <w:p w14:paraId="078343DE" w14:textId="77777777" w:rsidR="003A30FF" w:rsidRPr="00F51546" w:rsidRDefault="003A30FF" w:rsidP="002B7145">
            <w:pPr>
              <w:jc w:val="both"/>
              <w:rPr>
                <w:rFonts w:ascii="Abadi" w:hAnsi="Abadi"/>
                <w:sz w:val="21"/>
                <w:szCs w:val="21"/>
              </w:rPr>
            </w:pPr>
          </w:p>
        </w:tc>
        <w:tc>
          <w:tcPr>
            <w:tcW w:w="2126" w:type="dxa"/>
          </w:tcPr>
          <w:p w14:paraId="7180856A" w14:textId="77777777" w:rsidR="00381471" w:rsidRPr="00F51546" w:rsidRDefault="00381471" w:rsidP="00B1441F">
            <w:pPr>
              <w:jc w:val="both"/>
              <w:rPr>
                <w:rFonts w:ascii="Abadi" w:hAnsi="Abadi" w:cs="Calibri"/>
                <w:sz w:val="21"/>
                <w:szCs w:val="21"/>
              </w:rPr>
            </w:pPr>
          </w:p>
          <w:p w14:paraId="78F562BE" w14:textId="77777777" w:rsidR="00381471" w:rsidRPr="00F51546" w:rsidRDefault="00381471" w:rsidP="00B1441F">
            <w:pPr>
              <w:jc w:val="both"/>
              <w:rPr>
                <w:rFonts w:ascii="Abadi" w:hAnsi="Abadi" w:cs="Calibri"/>
                <w:sz w:val="21"/>
                <w:szCs w:val="21"/>
              </w:rPr>
            </w:pPr>
          </w:p>
          <w:p w14:paraId="2F9EC19B" w14:textId="6A8B3176" w:rsidR="00B1441F" w:rsidRPr="00F51546" w:rsidRDefault="00B1441F" w:rsidP="00B1441F">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p w14:paraId="51CF538B" w14:textId="77777777" w:rsidR="003D5807" w:rsidRPr="00F51546" w:rsidRDefault="003D5807" w:rsidP="005B747D">
            <w:pPr>
              <w:jc w:val="both"/>
              <w:rPr>
                <w:rFonts w:ascii="Abadi" w:hAnsi="Abadi"/>
                <w:b/>
                <w:bCs/>
                <w:sz w:val="21"/>
                <w:szCs w:val="21"/>
              </w:rPr>
            </w:pPr>
          </w:p>
        </w:tc>
      </w:tr>
      <w:tr w:rsidR="00477315" w:rsidRPr="00F51546" w14:paraId="4ABA39A4" w14:textId="77777777" w:rsidTr="003521CC">
        <w:tc>
          <w:tcPr>
            <w:tcW w:w="2112" w:type="dxa"/>
          </w:tcPr>
          <w:p w14:paraId="2E72857F" w14:textId="77777777" w:rsidR="009E1F2C" w:rsidRPr="00F51546" w:rsidRDefault="009E1F2C" w:rsidP="009E1F2C">
            <w:pPr>
              <w:jc w:val="both"/>
              <w:rPr>
                <w:rFonts w:ascii="Abadi" w:hAnsi="Abadi" w:cs="Calibri"/>
                <w:b/>
                <w:bCs/>
                <w:sz w:val="21"/>
                <w:szCs w:val="21"/>
                <w:lang w:val="es-MX" w:eastAsia="es-MX"/>
              </w:rPr>
            </w:pPr>
            <w:r w:rsidRPr="00F51546">
              <w:rPr>
                <w:rFonts w:ascii="Abadi" w:hAnsi="Abadi" w:cs="Calibri"/>
                <w:b/>
                <w:bCs/>
                <w:sz w:val="21"/>
                <w:szCs w:val="21"/>
              </w:rPr>
              <w:t>3.05</w:t>
            </w:r>
          </w:p>
          <w:p w14:paraId="07EC8B2F" w14:textId="77777777" w:rsidR="00477315" w:rsidRPr="00F51546" w:rsidRDefault="00477315" w:rsidP="002B7145">
            <w:pPr>
              <w:jc w:val="both"/>
              <w:rPr>
                <w:rFonts w:ascii="Abadi" w:hAnsi="Abadi"/>
                <w:sz w:val="21"/>
                <w:szCs w:val="21"/>
              </w:rPr>
            </w:pPr>
          </w:p>
          <w:p w14:paraId="603D8D44" w14:textId="77777777" w:rsidR="009E1F2C" w:rsidRPr="00F51546" w:rsidRDefault="009E1F2C" w:rsidP="009E1F2C">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Uriangato,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al informe de resultados, dictamen y acuerdo aprobados por esta Legislatura, relativos a la revisión de la cuenta pública de dicho Municipio, correspondiente al ejercicio fiscal 2021.</w:t>
            </w:r>
          </w:p>
          <w:p w14:paraId="1C6555F2" w14:textId="77777777" w:rsidR="009E1F2C" w:rsidRPr="00F51546" w:rsidRDefault="009E1F2C" w:rsidP="002B7145">
            <w:pPr>
              <w:jc w:val="both"/>
              <w:rPr>
                <w:rFonts w:ascii="Abadi" w:hAnsi="Abadi"/>
                <w:sz w:val="21"/>
                <w:szCs w:val="21"/>
              </w:rPr>
            </w:pPr>
          </w:p>
        </w:tc>
        <w:tc>
          <w:tcPr>
            <w:tcW w:w="2126" w:type="dxa"/>
          </w:tcPr>
          <w:p w14:paraId="2E803202" w14:textId="77777777" w:rsidR="0079513E" w:rsidRPr="00F51546" w:rsidRDefault="0079513E" w:rsidP="00B1441F">
            <w:pPr>
              <w:jc w:val="both"/>
              <w:rPr>
                <w:rFonts w:ascii="Abadi" w:hAnsi="Abadi" w:cs="Calibri"/>
                <w:b/>
                <w:bCs/>
                <w:sz w:val="21"/>
                <w:szCs w:val="21"/>
              </w:rPr>
            </w:pPr>
          </w:p>
          <w:p w14:paraId="5566FBA5" w14:textId="77777777" w:rsidR="0079513E" w:rsidRPr="00F51546" w:rsidRDefault="0079513E" w:rsidP="00B1441F">
            <w:pPr>
              <w:jc w:val="both"/>
              <w:rPr>
                <w:rFonts w:ascii="Abadi" w:hAnsi="Abadi" w:cs="Calibri"/>
                <w:b/>
                <w:bCs/>
                <w:sz w:val="21"/>
                <w:szCs w:val="21"/>
              </w:rPr>
            </w:pPr>
          </w:p>
          <w:p w14:paraId="66641B02" w14:textId="070B3E70" w:rsidR="00B1441F" w:rsidRPr="00F51546" w:rsidRDefault="00B1441F" w:rsidP="00B1441F">
            <w:pPr>
              <w:jc w:val="both"/>
              <w:rPr>
                <w:rFonts w:ascii="Abadi" w:hAnsi="Abadi" w:cs="Calibri"/>
                <w:b/>
                <w:bCs/>
                <w:sz w:val="21"/>
                <w:szCs w:val="21"/>
              </w:rPr>
            </w:pPr>
            <w:r w:rsidRPr="00F51546">
              <w:rPr>
                <w:rFonts w:ascii="Abadi" w:hAnsi="Abadi" w:cs="Calibri"/>
                <w:b/>
                <w:bCs/>
                <w:sz w:val="21"/>
                <w:szCs w:val="21"/>
              </w:rPr>
              <w:t>Enterados y se remite a la Auditoría Superior del Estado de Guanajuato.</w:t>
            </w:r>
          </w:p>
          <w:p w14:paraId="769EF216" w14:textId="77777777" w:rsidR="00477315" w:rsidRPr="00F51546" w:rsidRDefault="00477315" w:rsidP="005B747D">
            <w:pPr>
              <w:jc w:val="both"/>
              <w:rPr>
                <w:rFonts w:ascii="Abadi" w:hAnsi="Abadi" w:cs="Calibri"/>
                <w:b/>
                <w:bCs/>
                <w:sz w:val="21"/>
                <w:szCs w:val="21"/>
              </w:rPr>
            </w:pPr>
          </w:p>
        </w:tc>
      </w:tr>
      <w:tr w:rsidR="00477315" w:rsidRPr="00F51546" w14:paraId="4F5A2DCB" w14:textId="77777777" w:rsidTr="003521CC">
        <w:tc>
          <w:tcPr>
            <w:tcW w:w="2112" w:type="dxa"/>
          </w:tcPr>
          <w:p w14:paraId="489BE238" w14:textId="77777777" w:rsidR="009E1F2C" w:rsidRPr="00F51546" w:rsidRDefault="009E1F2C" w:rsidP="009E1F2C">
            <w:pPr>
              <w:jc w:val="both"/>
              <w:rPr>
                <w:rFonts w:ascii="Abadi" w:hAnsi="Abadi" w:cs="Calibri"/>
                <w:b/>
                <w:bCs/>
                <w:sz w:val="21"/>
                <w:szCs w:val="21"/>
                <w:lang w:val="es-MX" w:eastAsia="es-MX"/>
              </w:rPr>
            </w:pPr>
            <w:r w:rsidRPr="00F51546">
              <w:rPr>
                <w:rFonts w:ascii="Abadi" w:hAnsi="Abadi" w:cs="Calibri"/>
                <w:b/>
                <w:bCs/>
                <w:sz w:val="21"/>
                <w:szCs w:val="21"/>
              </w:rPr>
              <w:t>3.06</w:t>
            </w:r>
          </w:p>
          <w:p w14:paraId="025E3E0C" w14:textId="77777777" w:rsidR="00477315" w:rsidRPr="00F51546" w:rsidRDefault="00477315" w:rsidP="002B7145">
            <w:pPr>
              <w:jc w:val="both"/>
              <w:rPr>
                <w:rFonts w:ascii="Abadi" w:hAnsi="Abadi"/>
                <w:sz w:val="21"/>
                <w:szCs w:val="21"/>
              </w:rPr>
            </w:pPr>
          </w:p>
          <w:p w14:paraId="13002255" w14:textId="77777777" w:rsidR="009E1F2C" w:rsidRPr="00F51546" w:rsidRDefault="009E1F2C" w:rsidP="009E1F2C">
            <w:pPr>
              <w:jc w:val="both"/>
              <w:rPr>
                <w:rFonts w:ascii="Abadi" w:hAnsi="Abadi" w:cs="Calibri"/>
                <w:sz w:val="21"/>
                <w:szCs w:val="21"/>
                <w:lang w:val="es-MX" w:eastAsia="es-MX"/>
              </w:rPr>
            </w:pPr>
            <w:r w:rsidRPr="00F51546">
              <w:rPr>
                <w:rFonts w:ascii="Abadi" w:hAnsi="Abadi" w:cs="Calibri"/>
                <w:sz w:val="21"/>
                <w:szCs w:val="21"/>
              </w:rPr>
              <w:t xml:space="preserve">El presidente municipal de Silao de </w:t>
            </w:r>
            <w:r w:rsidRPr="00F51546">
              <w:rPr>
                <w:rFonts w:ascii="Abadi" w:hAnsi="Abadi" w:cs="Calibri"/>
                <w:sz w:val="21"/>
                <w:szCs w:val="21"/>
              </w:rPr>
              <w:lastRenderedPageBreak/>
              <w:t xml:space="preserve">la Victoria, </w:t>
            </w:r>
            <w:proofErr w:type="spellStart"/>
            <w:r w:rsidRPr="00F51546">
              <w:rPr>
                <w:rFonts w:ascii="Abadi" w:hAnsi="Abadi" w:cs="Calibri"/>
                <w:sz w:val="21"/>
                <w:szCs w:val="21"/>
              </w:rPr>
              <w:t>Gto</w:t>
            </w:r>
            <w:proofErr w:type="spellEnd"/>
            <w:r w:rsidRPr="00F51546">
              <w:rPr>
                <w:rFonts w:ascii="Abadi" w:hAnsi="Abadi" w:cs="Calibri"/>
                <w:sz w:val="21"/>
                <w:szCs w:val="21"/>
              </w:rPr>
              <w:t>., comunica el nombramiento de la titular de la Secretaría del Ayuntamiento de dicho municipio, a partir del 9 de mayo del presente año.</w:t>
            </w:r>
          </w:p>
          <w:p w14:paraId="654227F6" w14:textId="77777777" w:rsidR="009E1F2C" w:rsidRPr="00F51546" w:rsidRDefault="009E1F2C" w:rsidP="002B7145">
            <w:pPr>
              <w:jc w:val="both"/>
              <w:rPr>
                <w:rFonts w:ascii="Abadi" w:hAnsi="Abadi"/>
                <w:sz w:val="21"/>
                <w:szCs w:val="21"/>
              </w:rPr>
            </w:pPr>
          </w:p>
        </w:tc>
        <w:tc>
          <w:tcPr>
            <w:tcW w:w="2126" w:type="dxa"/>
          </w:tcPr>
          <w:p w14:paraId="0B9A81B4" w14:textId="77777777" w:rsidR="008417DA" w:rsidRPr="00F51546" w:rsidRDefault="008417DA" w:rsidP="00B1441F">
            <w:pPr>
              <w:jc w:val="both"/>
              <w:rPr>
                <w:rFonts w:ascii="Abadi" w:hAnsi="Abadi" w:cs="Calibri"/>
                <w:b/>
                <w:bCs/>
                <w:sz w:val="21"/>
                <w:szCs w:val="21"/>
              </w:rPr>
            </w:pPr>
          </w:p>
          <w:p w14:paraId="5FC08965" w14:textId="3370DB51" w:rsidR="00B1441F" w:rsidRPr="00F51546" w:rsidRDefault="00B1441F" w:rsidP="00B1441F">
            <w:pPr>
              <w:jc w:val="both"/>
              <w:rPr>
                <w:rFonts w:ascii="Abadi" w:hAnsi="Abadi" w:cs="Calibri"/>
                <w:b/>
                <w:bCs/>
                <w:sz w:val="21"/>
                <w:szCs w:val="21"/>
              </w:rPr>
            </w:pPr>
            <w:r w:rsidRPr="00F51546">
              <w:rPr>
                <w:rFonts w:ascii="Abadi" w:hAnsi="Abadi" w:cs="Calibri"/>
                <w:b/>
                <w:bCs/>
                <w:sz w:val="21"/>
                <w:szCs w:val="21"/>
              </w:rPr>
              <w:t>Enterados.</w:t>
            </w:r>
          </w:p>
          <w:p w14:paraId="3603EAF9" w14:textId="77777777" w:rsidR="00477315" w:rsidRPr="00F51546" w:rsidRDefault="00477315" w:rsidP="005B747D">
            <w:pPr>
              <w:jc w:val="both"/>
              <w:rPr>
                <w:rFonts w:ascii="Abadi" w:hAnsi="Abadi" w:cs="Calibri"/>
                <w:b/>
                <w:bCs/>
                <w:sz w:val="21"/>
                <w:szCs w:val="21"/>
              </w:rPr>
            </w:pPr>
          </w:p>
        </w:tc>
      </w:tr>
      <w:tr w:rsidR="00477315" w:rsidRPr="00F51546" w14:paraId="2A25BD24" w14:textId="77777777" w:rsidTr="003521CC">
        <w:tc>
          <w:tcPr>
            <w:tcW w:w="2112" w:type="dxa"/>
          </w:tcPr>
          <w:p w14:paraId="4911291E" w14:textId="77777777" w:rsidR="009E1F2C" w:rsidRPr="00F51546" w:rsidRDefault="009E1F2C" w:rsidP="009E1F2C">
            <w:pPr>
              <w:jc w:val="both"/>
              <w:rPr>
                <w:rFonts w:ascii="Abadi" w:hAnsi="Abadi" w:cs="Calibri"/>
                <w:b/>
                <w:bCs/>
                <w:sz w:val="21"/>
                <w:szCs w:val="21"/>
                <w:lang w:val="es-MX" w:eastAsia="es-MX"/>
              </w:rPr>
            </w:pPr>
            <w:r w:rsidRPr="00F51546">
              <w:rPr>
                <w:rFonts w:ascii="Abadi" w:hAnsi="Abadi" w:cs="Calibri"/>
                <w:b/>
                <w:bCs/>
                <w:sz w:val="21"/>
                <w:szCs w:val="21"/>
              </w:rPr>
              <w:t>3.07</w:t>
            </w:r>
          </w:p>
          <w:p w14:paraId="6389122F" w14:textId="77777777" w:rsidR="00477315" w:rsidRPr="00F51546" w:rsidRDefault="00477315" w:rsidP="002B7145">
            <w:pPr>
              <w:jc w:val="both"/>
              <w:rPr>
                <w:rFonts w:ascii="Abadi" w:hAnsi="Abadi"/>
                <w:sz w:val="21"/>
                <w:szCs w:val="21"/>
              </w:rPr>
            </w:pPr>
          </w:p>
          <w:p w14:paraId="1AF441B2" w14:textId="77777777" w:rsidR="009E1F2C" w:rsidRPr="00F51546" w:rsidRDefault="009E1F2C" w:rsidP="009E1F2C">
            <w:pPr>
              <w:jc w:val="both"/>
              <w:rPr>
                <w:rFonts w:ascii="Abadi" w:hAnsi="Abadi" w:cs="Calibri"/>
                <w:sz w:val="21"/>
                <w:szCs w:val="21"/>
                <w:lang w:val="es-MX" w:eastAsia="es-MX"/>
              </w:rPr>
            </w:pPr>
            <w:r w:rsidRPr="00F51546">
              <w:rPr>
                <w:rFonts w:ascii="Abadi" w:hAnsi="Abadi" w:cs="Calibri"/>
                <w:sz w:val="21"/>
                <w:szCs w:val="21"/>
              </w:rPr>
              <w:t xml:space="preserve">La tesorera municipal de Acámbaro, </w:t>
            </w:r>
            <w:proofErr w:type="spellStart"/>
            <w:r w:rsidRPr="00F51546">
              <w:rPr>
                <w:rFonts w:ascii="Abadi" w:hAnsi="Abadi" w:cs="Calibri"/>
                <w:sz w:val="21"/>
                <w:szCs w:val="21"/>
              </w:rPr>
              <w:t>Gto</w:t>
            </w:r>
            <w:proofErr w:type="spellEnd"/>
            <w:r w:rsidRPr="00F51546">
              <w:rPr>
                <w:rFonts w:ascii="Abadi" w:hAnsi="Abadi" w:cs="Calibri"/>
                <w:sz w:val="21"/>
                <w:szCs w:val="21"/>
              </w:rPr>
              <w:t>., remite el presupuesto de la administración central municipal para el ejercicio fiscal 2023, así como el acuerdo de ayuntamiento del mismo.</w:t>
            </w:r>
          </w:p>
          <w:p w14:paraId="519BAEB2" w14:textId="77777777" w:rsidR="009E1F2C" w:rsidRPr="00F51546" w:rsidRDefault="009E1F2C" w:rsidP="002B7145">
            <w:pPr>
              <w:jc w:val="both"/>
              <w:rPr>
                <w:rFonts w:ascii="Abadi" w:hAnsi="Abadi"/>
                <w:sz w:val="21"/>
                <w:szCs w:val="21"/>
              </w:rPr>
            </w:pPr>
          </w:p>
        </w:tc>
        <w:tc>
          <w:tcPr>
            <w:tcW w:w="2126" w:type="dxa"/>
          </w:tcPr>
          <w:p w14:paraId="0EFB51E4" w14:textId="77777777" w:rsidR="0079513E" w:rsidRPr="00F51546" w:rsidRDefault="0079513E" w:rsidP="00B1441F">
            <w:pPr>
              <w:jc w:val="both"/>
              <w:rPr>
                <w:rFonts w:ascii="Abadi" w:hAnsi="Abadi" w:cs="Calibri"/>
                <w:b/>
                <w:bCs/>
                <w:sz w:val="21"/>
                <w:szCs w:val="21"/>
              </w:rPr>
            </w:pPr>
          </w:p>
          <w:p w14:paraId="21F79DE3" w14:textId="77777777" w:rsidR="008417DA" w:rsidRPr="00F51546" w:rsidRDefault="008417DA" w:rsidP="00B1441F">
            <w:pPr>
              <w:jc w:val="both"/>
              <w:rPr>
                <w:rFonts w:ascii="Abadi" w:hAnsi="Abadi" w:cs="Calibri"/>
                <w:b/>
                <w:bCs/>
                <w:sz w:val="21"/>
                <w:szCs w:val="21"/>
              </w:rPr>
            </w:pPr>
          </w:p>
          <w:p w14:paraId="0987D2EF" w14:textId="7B1CFBDF" w:rsidR="00B1441F" w:rsidRPr="00F51546" w:rsidRDefault="00B1441F" w:rsidP="00B1441F">
            <w:pPr>
              <w:jc w:val="both"/>
              <w:rPr>
                <w:rFonts w:ascii="Abadi" w:hAnsi="Abadi" w:cs="Calibri"/>
                <w:b/>
                <w:bCs/>
                <w:sz w:val="21"/>
                <w:szCs w:val="21"/>
              </w:rPr>
            </w:pPr>
            <w:r w:rsidRPr="00F51546">
              <w:rPr>
                <w:rFonts w:ascii="Abadi" w:hAnsi="Abadi" w:cs="Calibri"/>
                <w:b/>
                <w:bCs/>
                <w:sz w:val="21"/>
                <w:szCs w:val="21"/>
              </w:rPr>
              <w:t>Enterados y se remite a la Auditoría Superior del Estado de Guanajuato.</w:t>
            </w:r>
          </w:p>
          <w:p w14:paraId="5C89B65C" w14:textId="77777777" w:rsidR="00477315" w:rsidRPr="00F51546" w:rsidRDefault="00477315" w:rsidP="005B747D">
            <w:pPr>
              <w:jc w:val="both"/>
              <w:rPr>
                <w:rFonts w:ascii="Abadi" w:hAnsi="Abadi" w:cs="Calibri"/>
                <w:b/>
                <w:bCs/>
                <w:sz w:val="21"/>
                <w:szCs w:val="21"/>
              </w:rPr>
            </w:pPr>
          </w:p>
        </w:tc>
      </w:tr>
      <w:tr w:rsidR="00477315" w:rsidRPr="00F51546" w14:paraId="60BA1EC1" w14:textId="77777777" w:rsidTr="003521CC">
        <w:tc>
          <w:tcPr>
            <w:tcW w:w="2112" w:type="dxa"/>
          </w:tcPr>
          <w:p w14:paraId="48D2FDEB" w14:textId="77777777" w:rsidR="00470CC6" w:rsidRPr="00F51546" w:rsidRDefault="00470CC6" w:rsidP="00470CC6">
            <w:pPr>
              <w:jc w:val="both"/>
              <w:rPr>
                <w:rFonts w:ascii="Abadi" w:hAnsi="Abadi" w:cs="Calibri"/>
                <w:b/>
                <w:bCs/>
                <w:sz w:val="21"/>
                <w:szCs w:val="21"/>
              </w:rPr>
            </w:pPr>
            <w:r w:rsidRPr="00F51546">
              <w:rPr>
                <w:rFonts w:ascii="Abadi" w:hAnsi="Abadi" w:cs="Calibri"/>
                <w:b/>
                <w:bCs/>
                <w:sz w:val="21"/>
                <w:szCs w:val="21"/>
              </w:rPr>
              <w:t>3.08</w:t>
            </w:r>
          </w:p>
          <w:p w14:paraId="07AAD47F" w14:textId="77777777" w:rsidR="00477315" w:rsidRPr="00F51546" w:rsidRDefault="00477315" w:rsidP="002B7145">
            <w:pPr>
              <w:jc w:val="both"/>
              <w:rPr>
                <w:rFonts w:ascii="Abadi" w:hAnsi="Abadi"/>
                <w:sz w:val="21"/>
                <w:szCs w:val="21"/>
              </w:rPr>
            </w:pPr>
          </w:p>
          <w:p w14:paraId="04D5E021" w14:textId="1A77CFD3" w:rsidR="00470CC6" w:rsidRPr="00F51546" w:rsidRDefault="00470CC6"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Santiago Maravatío,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24248B4A" w14:textId="77777777" w:rsidR="0079513E" w:rsidRPr="00F51546" w:rsidRDefault="0079513E" w:rsidP="003A30FF">
            <w:pPr>
              <w:jc w:val="both"/>
              <w:rPr>
                <w:rFonts w:ascii="Abadi" w:hAnsi="Abadi" w:cs="Calibri"/>
                <w:b/>
                <w:bCs/>
                <w:sz w:val="21"/>
                <w:szCs w:val="21"/>
              </w:rPr>
            </w:pPr>
          </w:p>
          <w:p w14:paraId="10A85F6F" w14:textId="77777777" w:rsidR="0079513E" w:rsidRPr="00F51546" w:rsidRDefault="0079513E" w:rsidP="003A30FF">
            <w:pPr>
              <w:jc w:val="both"/>
              <w:rPr>
                <w:rFonts w:ascii="Abadi" w:hAnsi="Abadi" w:cs="Calibri"/>
                <w:b/>
                <w:bCs/>
                <w:sz w:val="21"/>
                <w:szCs w:val="21"/>
              </w:rPr>
            </w:pPr>
          </w:p>
          <w:p w14:paraId="4F0F646D" w14:textId="29006ED3" w:rsidR="003A30FF" w:rsidRPr="00F51546" w:rsidRDefault="003A30FF" w:rsidP="003A30FF">
            <w:pPr>
              <w:jc w:val="both"/>
              <w:rPr>
                <w:rFonts w:ascii="Abadi" w:hAnsi="Abadi" w:cs="Calibri"/>
                <w:b/>
                <w:bCs/>
                <w:sz w:val="21"/>
                <w:szCs w:val="21"/>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p w14:paraId="1C04017F" w14:textId="77777777" w:rsidR="00477315" w:rsidRPr="00F51546" w:rsidRDefault="00477315" w:rsidP="005B747D">
            <w:pPr>
              <w:jc w:val="both"/>
              <w:rPr>
                <w:rFonts w:ascii="Abadi" w:hAnsi="Abadi" w:cs="Calibri"/>
                <w:b/>
                <w:bCs/>
                <w:sz w:val="21"/>
                <w:szCs w:val="21"/>
              </w:rPr>
            </w:pPr>
          </w:p>
        </w:tc>
      </w:tr>
      <w:tr w:rsidR="00477315" w:rsidRPr="00F51546" w14:paraId="50E30F4B" w14:textId="77777777" w:rsidTr="003521CC">
        <w:tc>
          <w:tcPr>
            <w:tcW w:w="2112" w:type="dxa"/>
          </w:tcPr>
          <w:p w14:paraId="1FD51192" w14:textId="77777777" w:rsidR="00470CC6" w:rsidRPr="00F51546" w:rsidRDefault="00470CC6" w:rsidP="00470CC6">
            <w:pPr>
              <w:jc w:val="both"/>
              <w:rPr>
                <w:rFonts w:ascii="Abadi" w:hAnsi="Abadi" w:cs="Calibri"/>
                <w:b/>
                <w:bCs/>
                <w:sz w:val="21"/>
                <w:szCs w:val="21"/>
                <w:lang w:val="es-MX" w:eastAsia="es-MX"/>
              </w:rPr>
            </w:pPr>
            <w:r w:rsidRPr="00F51546">
              <w:rPr>
                <w:rFonts w:ascii="Abadi" w:hAnsi="Abadi" w:cs="Calibri"/>
                <w:b/>
                <w:bCs/>
                <w:sz w:val="21"/>
                <w:szCs w:val="21"/>
              </w:rPr>
              <w:t>3.09</w:t>
            </w:r>
          </w:p>
          <w:p w14:paraId="559A6CF9" w14:textId="77777777" w:rsidR="00477315" w:rsidRPr="00F51546" w:rsidRDefault="00477315" w:rsidP="002B7145">
            <w:pPr>
              <w:jc w:val="both"/>
              <w:rPr>
                <w:rFonts w:ascii="Abadi" w:hAnsi="Abadi"/>
                <w:sz w:val="21"/>
                <w:szCs w:val="21"/>
              </w:rPr>
            </w:pPr>
          </w:p>
          <w:p w14:paraId="5F3AC61A" w14:textId="2BA70F4B" w:rsidR="00470CC6" w:rsidRPr="00F51546" w:rsidRDefault="00470CC6"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comunica la aprobación de la Minuta Proyecto de Decreto mediante la cual se reforman los artículos 6 párrafo </w:t>
            </w:r>
            <w:r w:rsidRPr="00F51546">
              <w:rPr>
                <w:rFonts w:ascii="Abadi" w:hAnsi="Abadi" w:cs="Calibri"/>
                <w:sz w:val="21"/>
                <w:szCs w:val="21"/>
              </w:rPr>
              <w:t>tercero, 23 fracción I, 24 fracción II, 103 y 105 y se derogan los artículos 77, fracción XIV y 104, párrafo tercero de la Constitución Política para el Estado de Guanajuato.</w:t>
            </w:r>
          </w:p>
        </w:tc>
        <w:tc>
          <w:tcPr>
            <w:tcW w:w="2126" w:type="dxa"/>
          </w:tcPr>
          <w:p w14:paraId="7D8AFB3F" w14:textId="77777777" w:rsidR="0079513E" w:rsidRPr="00F51546" w:rsidRDefault="0079513E" w:rsidP="003A30FF">
            <w:pPr>
              <w:jc w:val="both"/>
              <w:rPr>
                <w:rFonts w:ascii="Abadi" w:hAnsi="Abadi" w:cs="Calibri"/>
                <w:b/>
                <w:bCs/>
                <w:sz w:val="21"/>
                <w:szCs w:val="21"/>
              </w:rPr>
            </w:pPr>
          </w:p>
          <w:p w14:paraId="375D5BB2" w14:textId="77777777" w:rsidR="0079513E" w:rsidRPr="00F51546" w:rsidRDefault="0079513E" w:rsidP="003A30FF">
            <w:pPr>
              <w:jc w:val="both"/>
              <w:rPr>
                <w:rFonts w:ascii="Abadi" w:hAnsi="Abadi" w:cs="Calibri"/>
                <w:b/>
                <w:bCs/>
                <w:sz w:val="21"/>
                <w:szCs w:val="21"/>
              </w:rPr>
            </w:pPr>
          </w:p>
          <w:p w14:paraId="3F1BCE3E" w14:textId="57D59260" w:rsidR="003A30FF" w:rsidRPr="00F51546" w:rsidRDefault="003A30FF" w:rsidP="003A30FF">
            <w:pPr>
              <w:jc w:val="both"/>
              <w:rPr>
                <w:rFonts w:ascii="Abadi" w:hAnsi="Abadi" w:cs="Calibri"/>
                <w:b/>
                <w:bCs/>
                <w:sz w:val="21"/>
                <w:szCs w:val="21"/>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p w14:paraId="6CCEB42D" w14:textId="77777777" w:rsidR="00477315" w:rsidRPr="00F51546" w:rsidRDefault="00477315" w:rsidP="005B747D">
            <w:pPr>
              <w:jc w:val="both"/>
              <w:rPr>
                <w:rFonts w:ascii="Abadi" w:hAnsi="Abadi" w:cs="Calibri"/>
                <w:b/>
                <w:bCs/>
                <w:sz w:val="21"/>
                <w:szCs w:val="21"/>
              </w:rPr>
            </w:pPr>
          </w:p>
        </w:tc>
      </w:tr>
      <w:tr w:rsidR="00477315" w:rsidRPr="00F51546" w14:paraId="00C26007" w14:textId="77777777" w:rsidTr="003521CC">
        <w:tc>
          <w:tcPr>
            <w:tcW w:w="2112" w:type="dxa"/>
          </w:tcPr>
          <w:p w14:paraId="291AEB5C" w14:textId="77777777" w:rsidR="00470CC6" w:rsidRPr="00F51546" w:rsidRDefault="00470CC6" w:rsidP="00470CC6">
            <w:pPr>
              <w:jc w:val="both"/>
              <w:rPr>
                <w:rFonts w:ascii="Abadi" w:hAnsi="Abadi" w:cs="Calibri"/>
                <w:b/>
                <w:bCs/>
                <w:sz w:val="21"/>
                <w:szCs w:val="21"/>
                <w:lang w:val="es-MX" w:eastAsia="es-MX"/>
              </w:rPr>
            </w:pPr>
            <w:r w:rsidRPr="00F51546">
              <w:rPr>
                <w:rFonts w:ascii="Abadi" w:hAnsi="Abadi" w:cs="Calibri"/>
                <w:b/>
                <w:bCs/>
                <w:sz w:val="21"/>
                <w:szCs w:val="21"/>
              </w:rPr>
              <w:t>3.1</w:t>
            </w:r>
          </w:p>
          <w:p w14:paraId="0591CF5B" w14:textId="77777777" w:rsidR="00477315" w:rsidRPr="00F51546" w:rsidRDefault="00477315" w:rsidP="002B7145">
            <w:pPr>
              <w:jc w:val="both"/>
              <w:rPr>
                <w:rFonts w:ascii="Abadi" w:hAnsi="Abadi"/>
                <w:sz w:val="21"/>
                <w:szCs w:val="21"/>
              </w:rPr>
            </w:pPr>
          </w:p>
          <w:p w14:paraId="781F5BEA" w14:textId="77777777" w:rsidR="00470CC6" w:rsidRPr="00F51546" w:rsidRDefault="00470CC6" w:rsidP="00470CC6">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Yuriria,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p w14:paraId="31CE8E48" w14:textId="77777777" w:rsidR="00470CC6" w:rsidRPr="00F51546" w:rsidRDefault="00470CC6" w:rsidP="002B7145">
            <w:pPr>
              <w:jc w:val="both"/>
              <w:rPr>
                <w:rFonts w:ascii="Abadi" w:hAnsi="Abadi"/>
                <w:sz w:val="21"/>
                <w:szCs w:val="21"/>
              </w:rPr>
            </w:pPr>
          </w:p>
        </w:tc>
        <w:tc>
          <w:tcPr>
            <w:tcW w:w="2126" w:type="dxa"/>
          </w:tcPr>
          <w:p w14:paraId="00F474C2" w14:textId="77777777" w:rsidR="0079513E" w:rsidRPr="00F51546" w:rsidRDefault="0079513E" w:rsidP="00455623">
            <w:pPr>
              <w:jc w:val="both"/>
              <w:rPr>
                <w:rFonts w:ascii="Abadi" w:hAnsi="Abadi" w:cs="Calibri"/>
                <w:b/>
                <w:bCs/>
                <w:sz w:val="21"/>
                <w:szCs w:val="21"/>
              </w:rPr>
            </w:pPr>
          </w:p>
          <w:p w14:paraId="6F074BA7" w14:textId="77777777" w:rsidR="0079513E" w:rsidRPr="00F51546" w:rsidRDefault="0079513E" w:rsidP="00455623">
            <w:pPr>
              <w:jc w:val="both"/>
              <w:rPr>
                <w:rFonts w:ascii="Abadi" w:hAnsi="Abadi" w:cs="Calibri"/>
                <w:b/>
                <w:bCs/>
                <w:sz w:val="21"/>
                <w:szCs w:val="21"/>
              </w:rPr>
            </w:pPr>
          </w:p>
          <w:p w14:paraId="53B00068" w14:textId="3D2FD4E6" w:rsidR="00455623" w:rsidRPr="00F51546" w:rsidRDefault="00455623" w:rsidP="00455623">
            <w:pPr>
              <w:jc w:val="both"/>
              <w:rPr>
                <w:rFonts w:ascii="Abadi" w:hAnsi="Abadi" w:cs="Calibri"/>
                <w:b/>
                <w:bCs/>
                <w:sz w:val="21"/>
                <w:szCs w:val="21"/>
                <w:lang w:val="es-MX" w:eastAsia="es-MX"/>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p w14:paraId="5C35386C" w14:textId="77777777" w:rsidR="00477315" w:rsidRPr="00F51546" w:rsidRDefault="00477315" w:rsidP="005B747D">
            <w:pPr>
              <w:jc w:val="both"/>
              <w:rPr>
                <w:rFonts w:ascii="Abadi" w:hAnsi="Abadi"/>
                <w:b/>
                <w:bCs/>
                <w:sz w:val="21"/>
                <w:szCs w:val="21"/>
              </w:rPr>
            </w:pPr>
          </w:p>
        </w:tc>
      </w:tr>
      <w:tr w:rsidR="00477315" w:rsidRPr="00F51546" w14:paraId="6E4CA198" w14:textId="77777777" w:rsidTr="003521CC">
        <w:tc>
          <w:tcPr>
            <w:tcW w:w="2112" w:type="dxa"/>
          </w:tcPr>
          <w:p w14:paraId="651D5B8B" w14:textId="77777777" w:rsidR="0087478D" w:rsidRPr="00F51546" w:rsidRDefault="0087478D" w:rsidP="0087478D">
            <w:pPr>
              <w:jc w:val="both"/>
              <w:rPr>
                <w:rFonts w:ascii="Abadi" w:hAnsi="Abadi" w:cs="Calibri"/>
                <w:b/>
                <w:bCs/>
                <w:sz w:val="21"/>
                <w:szCs w:val="21"/>
              </w:rPr>
            </w:pPr>
            <w:r w:rsidRPr="00F51546">
              <w:rPr>
                <w:rFonts w:ascii="Abadi" w:hAnsi="Abadi" w:cs="Calibri"/>
                <w:b/>
                <w:bCs/>
                <w:sz w:val="21"/>
                <w:szCs w:val="21"/>
              </w:rPr>
              <w:t>3.02</w:t>
            </w:r>
          </w:p>
          <w:p w14:paraId="7FF2EB4D" w14:textId="77777777" w:rsidR="007F73D2" w:rsidRPr="00F51546" w:rsidRDefault="007F73D2" w:rsidP="00C30152">
            <w:pPr>
              <w:jc w:val="both"/>
              <w:rPr>
                <w:rFonts w:ascii="Abadi" w:hAnsi="Abadi" w:cs="Calibri"/>
                <w:sz w:val="21"/>
                <w:szCs w:val="21"/>
              </w:rPr>
            </w:pPr>
          </w:p>
          <w:p w14:paraId="3BEAA963" w14:textId="1A097431" w:rsidR="00477315" w:rsidRPr="00F51546" w:rsidRDefault="00C30152" w:rsidP="002B7145">
            <w:pPr>
              <w:jc w:val="both"/>
              <w:rPr>
                <w:rFonts w:ascii="Abadi" w:hAnsi="Abadi" w:cs="Calibri"/>
                <w:sz w:val="21"/>
                <w:szCs w:val="21"/>
              </w:rPr>
            </w:pPr>
            <w:r w:rsidRPr="00F51546">
              <w:rPr>
                <w:rFonts w:ascii="Abadi" w:hAnsi="Abadi" w:cs="Calibri"/>
                <w:sz w:val="21"/>
                <w:szCs w:val="21"/>
              </w:rPr>
              <w:t xml:space="preserve">Los integrantes de la Comisión de Igualdad de Género del Ayuntamiento de Victoria,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remiten respuesta a la consulta de la iniciativa por la que se reforman y adicionan diversas disposiciones de la Ley de Instituciones y Procedimientos Electorales para el Estado de Guanajuato y de la Ley de Acceso de las Mujeres a una Vida Libre de Violencia para el Estado de Guanajuato, en la parte correspondiente al </w:t>
            </w:r>
            <w:r w:rsidRPr="00F51546">
              <w:rPr>
                <w:rFonts w:ascii="Abadi" w:hAnsi="Abadi" w:cs="Calibri"/>
                <w:sz w:val="21"/>
                <w:szCs w:val="21"/>
              </w:rPr>
              <w:lastRenderedPageBreak/>
              <w:t>segundo ordenamiento.</w:t>
            </w:r>
          </w:p>
        </w:tc>
        <w:tc>
          <w:tcPr>
            <w:tcW w:w="2126" w:type="dxa"/>
          </w:tcPr>
          <w:p w14:paraId="3DB5FC1B" w14:textId="77777777" w:rsidR="0087478D" w:rsidRPr="00F51546" w:rsidRDefault="0087478D" w:rsidP="00923C93">
            <w:pPr>
              <w:jc w:val="both"/>
              <w:rPr>
                <w:rFonts w:ascii="Abadi" w:hAnsi="Abadi" w:cs="Calibri"/>
                <w:b/>
                <w:bCs/>
                <w:sz w:val="21"/>
                <w:szCs w:val="21"/>
              </w:rPr>
            </w:pPr>
          </w:p>
          <w:p w14:paraId="3017A687" w14:textId="77777777" w:rsidR="0087478D" w:rsidRPr="00F51546" w:rsidRDefault="0087478D" w:rsidP="00923C93">
            <w:pPr>
              <w:jc w:val="both"/>
              <w:rPr>
                <w:rFonts w:ascii="Abadi" w:hAnsi="Abadi" w:cs="Calibri"/>
                <w:b/>
                <w:bCs/>
                <w:sz w:val="21"/>
                <w:szCs w:val="21"/>
              </w:rPr>
            </w:pPr>
          </w:p>
          <w:p w14:paraId="386DFD81" w14:textId="6E89F62D" w:rsidR="00923C93" w:rsidRPr="00F51546" w:rsidRDefault="00923C93" w:rsidP="00923C93">
            <w:pPr>
              <w:jc w:val="both"/>
              <w:rPr>
                <w:rFonts w:ascii="Abadi" w:hAnsi="Abadi" w:cs="Calibri"/>
                <w:b/>
                <w:bCs/>
                <w:sz w:val="21"/>
                <w:szCs w:val="21"/>
              </w:rPr>
            </w:pPr>
            <w:r w:rsidRPr="00F51546">
              <w:rPr>
                <w:rFonts w:ascii="Abadi" w:hAnsi="Abadi" w:cs="Calibri"/>
                <w:b/>
                <w:bCs/>
                <w:sz w:val="21"/>
                <w:szCs w:val="21"/>
              </w:rPr>
              <w:t>Enterados y se informa que se turnó a la Comisión para la Igualdad de Género.</w:t>
            </w:r>
          </w:p>
          <w:p w14:paraId="34710153" w14:textId="77777777" w:rsidR="00477315" w:rsidRPr="00F51546" w:rsidRDefault="00477315" w:rsidP="005B747D">
            <w:pPr>
              <w:jc w:val="both"/>
              <w:rPr>
                <w:rFonts w:ascii="Abadi" w:hAnsi="Abadi" w:cs="Calibri"/>
                <w:b/>
                <w:bCs/>
                <w:sz w:val="21"/>
                <w:szCs w:val="21"/>
              </w:rPr>
            </w:pPr>
          </w:p>
        </w:tc>
      </w:tr>
      <w:tr w:rsidR="00477315" w:rsidRPr="00F51546" w14:paraId="7E0C1FB3" w14:textId="77777777" w:rsidTr="003521CC">
        <w:tc>
          <w:tcPr>
            <w:tcW w:w="2112" w:type="dxa"/>
          </w:tcPr>
          <w:p w14:paraId="5050321C" w14:textId="77777777" w:rsidR="006240CB" w:rsidRPr="00F51546" w:rsidRDefault="006240CB" w:rsidP="006240CB">
            <w:pPr>
              <w:jc w:val="both"/>
              <w:rPr>
                <w:rFonts w:ascii="Abadi" w:hAnsi="Abadi" w:cs="Calibri"/>
                <w:b/>
                <w:bCs/>
                <w:sz w:val="21"/>
                <w:szCs w:val="21"/>
              </w:rPr>
            </w:pPr>
            <w:r w:rsidRPr="00F51546">
              <w:rPr>
                <w:rFonts w:ascii="Abadi" w:hAnsi="Abadi" w:cs="Calibri"/>
                <w:b/>
                <w:bCs/>
                <w:sz w:val="21"/>
                <w:szCs w:val="21"/>
              </w:rPr>
              <w:t>3.03</w:t>
            </w:r>
          </w:p>
          <w:p w14:paraId="385F4F05" w14:textId="77777777" w:rsidR="00055CC6" w:rsidRPr="00F51546" w:rsidRDefault="00055CC6" w:rsidP="006240CB">
            <w:pPr>
              <w:jc w:val="both"/>
              <w:rPr>
                <w:rFonts w:ascii="Abadi" w:hAnsi="Abadi" w:cs="Calibri"/>
                <w:sz w:val="21"/>
                <w:szCs w:val="21"/>
                <w:lang w:val="es-MX" w:eastAsia="es-MX"/>
              </w:rPr>
            </w:pPr>
          </w:p>
          <w:p w14:paraId="0CE03943" w14:textId="11175CD9" w:rsidR="00477315" w:rsidRPr="00F51546" w:rsidRDefault="00055CC6" w:rsidP="002B7145">
            <w:pPr>
              <w:jc w:val="both"/>
              <w:rPr>
                <w:rFonts w:ascii="Abadi" w:hAnsi="Abadi" w:cs="Calibri"/>
                <w:sz w:val="21"/>
                <w:szCs w:val="21"/>
                <w:lang w:val="es-MX" w:eastAsia="es-MX"/>
              </w:rPr>
            </w:pPr>
            <w:r w:rsidRPr="00F51546">
              <w:rPr>
                <w:rFonts w:ascii="Abadi" w:hAnsi="Abadi" w:cs="Calibri"/>
                <w:sz w:val="21"/>
                <w:szCs w:val="21"/>
              </w:rPr>
              <w:t xml:space="preserve">Los integrantes de la Comisión de Igualdad de Género del Ayuntamiento de Victoria, </w:t>
            </w:r>
            <w:proofErr w:type="spellStart"/>
            <w:r w:rsidRPr="00F51546">
              <w:rPr>
                <w:rFonts w:ascii="Abadi" w:hAnsi="Abadi" w:cs="Calibri"/>
                <w:sz w:val="21"/>
                <w:szCs w:val="21"/>
              </w:rPr>
              <w:t>Gto</w:t>
            </w:r>
            <w:proofErr w:type="spellEnd"/>
            <w:r w:rsidRPr="00F51546">
              <w:rPr>
                <w:rFonts w:ascii="Abadi" w:hAnsi="Abadi" w:cs="Calibri"/>
                <w:sz w:val="21"/>
                <w:szCs w:val="21"/>
              </w:rPr>
              <w:t>., remiten respuesta a la consulta de la iniciativa de reformas y adiciones a diversos artículos de la Constitución Política para el Estado de Guanajuato, en materia de armonización sobre suspensión de derechos para ocupar un cargo, empleo o comisión del servicio público.</w:t>
            </w:r>
          </w:p>
        </w:tc>
        <w:tc>
          <w:tcPr>
            <w:tcW w:w="2126" w:type="dxa"/>
          </w:tcPr>
          <w:p w14:paraId="61C35785" w14:textId="77777777" w:rsidR="00055CC6" w:rsidRPr="00F51546" w:rsidRDefault="00055CC6" w:rsidP="00923C93">
            <w:pPr>
              <w:jc w:val="both"/>
              <w:rPr>
                <w:rFonts w:ascii="Abadi" w:hAnsi="Abadi" w:cs="Calibri"/>
                <w:b/>
                <w:bCs/>
                <w:sz w:val="21"/>
                <w:szCs w:val="21"/>
              </w:rPr>
            </w:pPr>
          </w:p>
          <w:p w14:paraId="0462014D" w14:textId="77777777" w:rsidR="00055CC6" w:rsidRPr="00F51546" w:rsidRDefault="00055CC6" w:rsidP="00923C93">
            <w:pPr>
              <w:jc w:val="both"/>
              <w:rPr>
                <w:rFonts w:ascii="Abadi" w:hAnsi="Abadi" w:cs="Calibri"/>
                <w:b/>
                <w:bCs/>
                <w:sz w:val="21"/>
                <w:szCs w:val="21"/>
              </w:rPr>
            </w:pPr>
          </w:p>
          <w:p w14:paraId="3D07C792" w14:textId="3B6748D6" w:rsidR="00923C93" w:rsidRPr="00F51546" w:rsidRDefault="00923C93" w:rsidP="00923C93">
            <w:pPr>
              <w:jc w:val="both"/>
              <w:rPr>
                <w:rFonts w:ascii="Abadi" w:hAnsi="Abadi" w:cs="Calibri"/>
                <w:b/>
                <w:bCs/>
                <w:sz w:val="21"/>
                <w:szCs w:val="21"/>
              </w:rPr>
            </w:pPr>
            <w:r w:rsidRPr="00F51546">
              <w:rPr>
                <w:rFonts w:ascii="Abadi" w:hAnsi="Abadi" w:cs="Calibri"/>
                <w:b/>
                <w:bCs/>
                <w:sz w:val="21"/>
                <w:szCs w:val="21"/>
              </w:rPr>
              <w:t>Enterados y se informa que se turnó a la Comisión de Gobernación y Puntos Constitucionales.</w:t>
            </w:r>
          </w:p>
          <w:p w14:paraId="11016854" w14:textId="77777777" w:rsidR="00477315" w:rsidRPr="00F51546" w:rsidRDefault="00477315" w:rsidP="005B747D">
            <w:pPr>
              <w:jc w:val="both"/>
              <w:rPr>
                <w:rFonts w:ascii="Abadi" w:hAnsi="Abadi" w:cs="Calibri"/>
                <w:b/>
                <w:bCs/>
                <w:sz w:val="21"/>
                <w:szCs w:val="21"/>
              </w:rPr>
            </w:pPr>
          </w:p>
        </w:tc>
      </w:tr>
      <w:tr w:rsidR="00477315" w:rsidRPr="00F51546" w14:paraId="52623A8A" w14:textId="77777777" w:rsidTr="003521CC">
        <w:tc>
          <w:tcPr>
            <w:tcW w:w="2112" w:type="dxa"/>
          </w:tcPr>
          <w:p w14:paraId="5C20693E" w14:textId="77777777" w:rsidR="000D7E50" w:rsidRPr="00F51546" w:rsidRDefault="000D7E50" w:rsidP="000D7E50">
            <w:pPr>
              <w:jc w:val="both"/>
              <w:rPr>
                <w:rFonts w:ascii="Abadi" w:hAnsi="Abadi" w:cs="Calibri"/>
                <w:b/>
                <w:bCs/>
                <w:sz w:val="21"/>
                <w:szCs w:val="21"/>
                <w:lang w:val="es-MX" w:eastAsia="es-MX"/>
              </w:rPr>
            </w:pPr>
            <w:r w:rsidRPr="00F51546">
              <w:rPr>
                <w:rFonts w:ascii="Abadi" w:hAnsi="Abadi" w:cs="Calibri"/>
                <w:b/>
                <w:bCs/>
                <w:sz w:val="21"/>
                <w:szCs w:val="21"/>
              </w:rPr>
              <w:t>3.04</w:t>
            </w:r>
          </w:p>
          <w:p w14:paraId="4039EDB6" w14:textId="77777777" w:rsidR="00477315" w:rsidRPr="00F51546" w:rsidRDefault="00477315" w:rsidP="002B7145">
            <w:pPr>
              <w:jc w:val="both"/>
              <w:rPr>
                <w:rFonts w:ascii="Abadi" w:hAnsi="Abadi"/>
                <w:sz w:val="21"/>
                <w:szCs w:val="21"/>
              </w:rPr>
            </w:pPr>
          </w:p>
          <w:p w14:paraId="32291748" w14:textId="46BE1717" w:rsidR="00FA4BC0" w:rsidRPr="00F51546" w:rsidRDefault="00FA4BC0"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Irapuato,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adicionar el artículo 8-1 a la Ley del Sistema de Seguridad Pública del Estado de Guanajuato.</w:t>
            </w:r>
          </w:p>
        </w:tc>
        <w:tc>
          <w:tcPr>
            <w:tcW w:w="2126" w:type="dxa"/>
          </w:tcPr>
          <w:p w14:paraId="0BD35CF6" w14:textId="77777777" w:rsidR="00852756" w:rsidRPr="00F51546" w:rsidRDefault="00852756" w:rsidP="00923C93">
            <w:pPr>
              <w:jc w:val="both"/>
              <w:rPr>
                <w:rFonts w:ascii="Abadi" w:hAnsi="Abadi" w:cs="Calibri"/>
                <w:b/>
                <w:bCs/>
                <w:sz w:val="21"/>
                <w:szCs w:val="21"/>
              </w:rPr>
            </w:pPr>
          </w:p>
          <w:p w14:paraId="505F3147" w14:textId="77777777" w:rsidR="00852756" w:rsidRPr="00F51546" w:rsidRDefault="00852756" w:rsidP="00923C93">
            <w:pPr>
              <w:jc w:val="both"/>
              <w:rPr>
                <w:rFonts w:ascii="Abadi" w:hAnsi="Abadi" w:cs="Calibri"/>
                <w:b/>
                <w:bCs/>
                <w:sz w:val="21"/>
                <w:szCs w:val="21"/>
              </w:rPr>
            </w:pPr>
          </w:p>
          <w:p w14:paraId="115345B1" w14:textId="46A20323" w:rsidR="00923C93" w:rsidRPr="00F51546" w:rsidRDefault="00923C93" w:rsidP="00923C93">
            <w:pPr>
              <w:jc w:val="both"/>
              <w:rPr>
                <w:rFonts w:ascii="Abadi" w:hAnsi="Abadi" w:cs="Calibri"/>
                <w:b/>
                <w:bCs/>
                <w:sz w:val="21"/>
                <w:szCs w:val="21"/>
              </w:rPr>
            </w:pPr>
            <w:r w:rsidRPr="00F51546">
              <w:rPr>
                <w:rFonts w:ascii="Abadi" w:hAnsi="Abadi" w:cs="Calibri"/>
                <w:b/>
                <w:bCs/>
                <w:sz w:val="21"/>
                <w:szCs w:val="21"/>
              </w:rPr>
              <w:t>Enterados y se informa que se turnó a la Comisión de Seguridad Pública y Comunicaciones.</w:t>
            </w:r>
          </w:p>
          <w:p w14:paraId="6D6EE55E" w14:textId="77777777" w:rsidR="00477315" w:rsidRPr="00F51546" w:rsidRDefault="00477315" w:rsidP="005B747D">
            <w:pPr>
              <w:jc w:val="both"/>
              <w:rPr>
                <w:rFonts w:ascii="Abadi" w:hAnsi="Abadi" w:cs="Calibri"/>
                <w:b/>
                <w:bCs/>
                <w:sz w:val="21"/>
                <w:szCs w:val="21"/>
              </w:rPr>
            </w:pPr>
          </w:p>
        </w:tc>
      </w:tr>
      <w:tr w:rsidR="00477315" w:rsidRPr="00F51546" w14:paraId="0D0B5DB0" w14:textId="77777777" w:rsidTr="003521CC">
        <w:tc>
          <w:tcPr>
            <w:tcW w:w="2112" w:type="dxa"/>
          </w:tcPr>
          <w:p w14:paraId="23B3168C" w14:textId="77777777" w:rsidR="000D7E50" w:rsidRPr="00F51546" w:rsidRDefault="000D7E50" w:rsidP="000D7E50">
            <w:pPr>
              <w:jc w:val="both"/>
              <w:rPr>
                <w:rFonts w:ascii="Abadi" w:hAnsi="Abadi" w:cs="Calibri"/>
                <w:b/>
                <w:bCs/>
                <w:sz w:val="21"/>
                <w:szCs w:val="21"/>
                <w:lang w:val="es-MX" w:eastAsia="es-MX"/>
              </w:rPr>
            </w:pPr>
            <w:r w:rsidRPr="00F51546">
              <w:rPr>
                <w:rFonts w:ascii="Abadi" w:hAnsi="Abadi" w:cs="Calibri"/>
                <w:b/>
                <w:bCs/>
                <w:sz w:val="21"/>
                <w:szCs w:val="21"/>
              </w:rPr>
              <w:t>3.05</w:t>
            </w:r>
          </w:p>
          <w:p w14:paraId="5FF23CDA" w14:textId="77777777" w:rsidR="00477315" w:rsidRPr="00F51546" w:rsidRDefault="00477315" w:rsidP="002B7145">
            <w:pPr>
              <w:jc w:val="both"/>
              <w:rPr>
                <w:rFonts w:ascii="Abadi" w:hAnsi="Abadi"/>
                <w:sz w:val="21"/>
                <w:szCs w:val="21"/>
              </w:rPr>
            </w:pPr>
          </w:p>
          <w:p w14:paraId="1D6C8F7C" w14:textId="5FA35595" w:rsidR="00852756" w:rsidRPr="00F51546" w:rsidRDefault="00852756"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Uriangato,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al informe de resultados, dictamen y acuerdo aprobados por esta Legislatura, relativos a la revisión de la cuenta pública de dicho Municipio, correspondiente al ejercicio fiscal 2021.</w:t>
            </w:r>
          </w:p>
        </w:tc>
        <w:tc>
          <w:tcPr>
            <w:tcW w:w="2126" w:type="dxa"/>
          </w:tcPr>
          <w:p w14:paraId="346849AB" w14:textId="77777777" w:rsidR="00852756" w:rsidRPr="00F51546" w:rsidRDefault="00852756" w:rsidP="00923C93">
            <w:pPr>
              <w:jc w:val="both"/>
              <w:rPr>
                <w:rFonts w:ascii="Abadi" w:hAnsi="Abadi" w:cs="Calibri"/>
                <w:b/>
                <w:bCs/>
                <w:sz w:val="21"/>
                <w:szCs w:val="21"/>
              </w:rPr>
            </w:pPr>
          </w:p>
          <w:p w14:paraId="49EAA966" w14:textId="77777777" w:rsidR="00852756" w:rsidRPr="00F51546" w:rsidRDefault="00852756" w:rsidP="00923C93">
            <w:pPr>
              <w:jc w:val="both"/>
              <w:rPr>
                <w:rFonts w:ascii="Abadi" w:hAnsi="Abadi" w:cs="Calibri"/>
                <w:b/>
                <w:bCs/>
                <w:sz w:val="21"/>
                <w:szCs w:val="21"/>
              </w:rPr>
            </w:pPr>
          </w:p>
          <w:p w14:paraId="73ACCEAF" w14:textId="1FDF05B5" w:rsidR="00923C93" w:rsidRPr="00F51546" w:rsidRDefault="00923C93" w:rsidP="00923C93">
            <w:pPr>
              <w:jc w:val="both"/>
              <w:rPr>
                <w:rFonts w:ascii="Abadi" w:hAnsi="Abadi" w:cs="Calibri"/>
                <w:b/>
                <w:bCs/>
                <w:sz w:val="21"/>
                <w:szCs w:val="21"/>
              </w:rPr>
            </w:pPr>
            <w:r w:rsidRPr="00F51546">
              <w:rPr>
                <w:rFonts w:ascii="Abadi" w:hAnsi="Abadi" w:cs="Calibri"/>
                <w:b/>
                <w:bCs/>
                <w:sz w:val="21"/>
                <w:szCs w:val="21"/>
              </w:rPr>
              <w:t>Enterados y se remite a la Auditoría Superior del Estado de Guanajuato.</w:t>
            </w:r>
          </w:p>
          <w:p w14:paraId="68C9493B" w14:textId="77777777" w:rsidR="00477315" w:rsidRPr="00F51546" w:rsidRDefault="00477315" w:rsidP="005B747D">
            <w:pPr>
              <w:jc w:val="both"/>
              <w:rPr>
                <w:rFonts w:ascii="Abadi" w:hAnsi="Abadi" w:cs="Calibri"/>
                <w:b/>
                <w:bCs/>
                <w:sz w:val="21"/>
                <w:szCs w:val="21"/>
              </w:rPr>
            </w:pPr>
          </w:p>
        </w:tc>
      </w:tr>
      <w:tr w:rsidR="00477315" w:rsidRPr="00F51546" w14:paraId="244AC5A0" w14:textId="77777777" w:rsidTr="003521CC">
        <w:tc>
          <w:tcPr>
            <w:tcW w:w="2112" w:type="dxa"/>
          </w:tcPr>
          <w:p w14:paraId="52294A51" w14:textId="77777777" w:rsidR="000D7E50" w:rsidRPr="00F51546" w:rsidRDefault="000D7E50" w:rsidP="000D7E50">
            <w:pPr>
              <w:jc w:val="both"/>
              <w:rPr>
                <w:rFonts w:ascii="Abadi" w:hAnsi="Abadi" w:cs="Calibri"/>
                <w:b/>
                <w:bCs/>
                <w:sz w:val="21"/>
                <w:szCs w:val="21"/>
                <w:lang w:val="es-MX" w:eastAsia="es-MX"/>
              </w:rPr>
            </w:pPr>
            <w:r w:rsidRPr="00F51546">
              <w:rPr>
                <w:rFonts w:ascii="Abadi" w:hAnsi="Abadi" w:cs="Calibri"/>
                <w:b/>
                <w:bCs/>
                <w:sz w:val="21"/>
                <w:szCs w:val="21"/>
              </w:rPr>
              <w:t>3.06</w:t>
            </w:r>
          </w:p>
          <w:p w14:paraId="1F2A4C2A" w14:textId="77777777" w:rsidR="00477315" w:rsidRPr="00F51546" w:rsidRDefault="00477315" w:rsidP="002B7145">
            <w:pPr>
              <w:jc w:val="both"/>
              <w:rPr>
                <w:rFonts w:ascii="Abadi" w:hAnsi="Abadi"/>
                <w:sz w:val="21"/>
                <w:szCs w:val="21"/>
              </w:rPr>
            </w:pPr>
          </w:p>
          <w:p w14:paraId="0815E914" w14:textId="7E120ACF" w:rsidR="005A35D4" w:rsidRPr="00F51546" w:rsidRDefault="007D75BE" w:rsidP="002B7145">
            <w:pPr>
              <w:jc w:val="both"/>
              <w:rPr>
                <w:rFonts w:ascii="Abadi" w:hAnsi="Abadi" w:cs="Calibri"/>
                <w:sz w:val="21"/>
                <w:szCs w:val="21"/>
                <w:lang w:val="es-MX" w:eastAsia="es-MX"/>
              </w:rPr>
            </w:pPr>
            <w:r w:rsidRPr="00F51546">
              <w:rPr>
                <w:rFonts w:ascii="Abadi" w:hAnsi="Abadi" w:cs="Calibri"/>
                <w:sz w:val="21"/>
                <w:szCs w:val="21"/>
              </w:rPr>
              <w:t xml:space="preserve">El presidente municipal de Silao de la Victoria, </w:t>
            </w:r>
            <w:proofErr w:type="spellStart"/>
            <w:r w:rsidRPr="00F51546">
              <w:rPr>
                <w:rFonts w:ascii="Abadi" w:hAnsi="Abadi" w:cs="Calibri"/>
                <w:sz w:val="21"/>
                <w:szCs w:val="21"/>
              </w:rPr>
              <w:t>Gto</w:t>
            </w:r>
            <w:proofErr w:type="spellEnd"/>
            <w:r w:rsidRPr="00F51546">
              <w:rPr>
                <w:rFonts w:ascii="Abadi" w:hAnsi="Abadi" w:cs="Calibri"/>
                <w:sz w:val="21"/>
                <w:szCs w:val="21"/>
              </w:rPr>
              <w:t>., comunica el nombramiento de la titular de la Secretaría del Ayuntamiento de dicho municipio, a partir del 9 de mayo del presente año.</w:t>
            </w:r>
          </w:p>
        </w:tc>
        <w:tc>
          <w:tcPr>
            <w:tcW w:w="2126" w:type="dxa"/>
          </w:tcPr>
          <w:p w14:paraId="2B6D5A46" w14:textId="77777777" w:rsidR="005A3C7A" w:rsidRPr="00F51546" w:rsidRDefault="005A3C7A" w:rsidP="00663AED">
            <w:pPr>
              <w:jc w:val="both"/>
              <w:rPr>
                <w:rFonts w:ascii="Abadi" w:hAnsi="Abadi" w:cs="Calibri"/>
                <w:b/>
                <w:bCs/>
                <w:sz w:val="21"/>
                <w:szCs w:val="21"/>
              </w:rPr>
            </w:pPr>
          </w:p>
          <w:p w14:paraId="5FD2BB63" w14:textId="77777777" w:rsidR="005A3C7A" w:rsidRPr="00F51546" w:rsidRDefault="005A3C7A" w:rsidP="00663AED">
            <w:pPr>
              <w:jc w:val="both"/>
              <w:rPr>
                <w:rFonts w:ascii="Abadi" w:hAnsi="Abadi" w:cs="Calibri"/>
                <w:b/>
                <w:bCs/>
                <w:sz w:val="21"/>
                <w:szCs w:val="21"/>
              </w:rPr>
            </w:pPr>
          </w:p>
          <w:p w14:paraId="4E7E8FAD" w14:textId="1D2CEED2" w:rsidR="00663AED" w:rsidRPr="00F51546" w:rsidRDefault="00663AED" w:rsidP="00663AED">
            <w:pPr>
              <w:jc w:val="both"/>
              <w:rPr>
                <w:rFonts w:ascii="Abadi" w:hAnsi="Abadi" w:cs="Calibri"/>
                <w:b/>
                <w:bCs/>
                <w:sz w:val="21"/>
                <w:szCs w:val="21"/>
              </w:rPr>
            </w:pPr>
            <w:r w:rsidRPr="00F51546">
              <w:rPr>
                <w:rFonts w:ascii="Abadi" w:hAnsi="Abadi" w:cs="Calibri"/>
                <w:b/>
                <w:bCs/>
                <w:sz w:val="21"/>
                <w:szCs w:val="21"/>
              </w:rPr>
              <w:t>Enterados.</w:t>
            </w:r>
          </w:p>
          <w:p w14:paraId="4B9B6A53" w14:textId="77777777" w:rsidR="00477315" w:rsidRPr="00F51546" w:rsidRDefault="00477315" w:rsidP="005B747D">
            <w:pPr>
              <w:jc w:val="both"/>
              <w:rPr>
                <w:rFonts w:ascii="Abadi" w:hAnsi="Abadi" w:cs="Calibri"/>
                <w:b/>
                <w:bCs/>
                <w:sz w:val="21"/>
                <w:szCs w:val="21"/>
              </w:rPr>
            </w:pPr>
          </w:p>
        </w:tc>
      </w:tr>
      <w:tr w:rsidR="00923C93" w:rsidRPr="00F51546" w14:paraId="30A81EBE" w14:textId="77777777" w:rsidTr="003521CC">
        <w:tc>
          <w:tcPr>
            <w:tcW w:w="2112" w:type="dxa"/>
          </w:tcPr>
          <w:p w14:paraId="56C6C337" w14:textId="77777777" w:rsidR="000D7E50" w:rsidRPr="00F51546" w:rsidRDefault="000D7E50" w:rsidP="000D7E50">
            <w:pPr>
              <w:jc w:val="both"/>
              <w:rPr>
                <w:rFonts w:ascii="Abadi" w:hAnsi="Abadi" w:cs="Calibri"/>
                <w:b/>
                <w:bCs/>
                <w:sz w:val="21"/>
                <w:szCs w:val="21"/>
                <w:lang w:val="es-MX" w:eastAsia="es-MX"/>
              </w:rPr>
            </w:pPr>
            <w:r w:rsidRPr="00F51546">
              <w:rPr>
                <w:rFonts w:ascii="Abadi" w:hAnsi="Abadi" w:cs="Calibri"/>
                <w:b/>
                <w:bCs/>
                <w:sz w:val="21"/>
                <w:szCs w:val="21"/>
              </w:rPr>
              <w:t>3.07</w:t>
            </w:r>
          </w:p>
          <w:p w14:paraId="68857D06" w14:textId="77777777" w:rsidR="00923C93" w:rsidRPr="00F51546" w:rsidRDefault="00923C93" w:rsidP="002B7145">
            <w:pPr>
              <w:jc w:val="both"/>
              <w:rPr>
                <w:rFonts w:ascii="Abadi" w:hAnsi="Abadi"/>
                <w:sz w:val="21"/>
                <w:szCs w:val="21"/>
              </w:rPr>
            </w:pPr>
          </w:p>
          <w:p w14:paraId="1104EC0D" w14:textId="27C7092F" w:rsidR="007D75BE" w:rsidRPr="00F51546" w:rsidRDefault="00BA0E2D" w:rsidP="002B7145">
            <w:pPr>
              <w:jc w:val="both"/>
              <w:rPr>
                <w:rFonts w:ascii="Abadi" w:hAnsi="Abadi" w:cs="Calibri"/>
                <w:sz w:val="21"/>
                <w:szCs w:val="21"/>
                <w:lang w:val="es-MX" w:eastAsia="es-MX"/>
              </w:rPr>
            </w:pPr>
            <w:r w:rsidRPr="00F51546">
              <w:rPr>
                <w:rFonts w:ascii="Abadi" w:hAnsi="Abadi" w:cs="Calibri"/>
                <w:sz w:val="21"/>
                <w:szCs w:val="21"/>
              </w:rPr>
              <w:t xml:space="preserve">La tesorera municipal de Acámbaro, </w:t>
            </w:r>
            <w:proofErr w:type="spellStart"/>
            <w:r w:rsidRPr="00F51546">
              <w:rPr>
                <w:rFonts w:ascii="Abadi" w:hAnsi="Abadi" w:cs="Calibri"/>
                <w:sz w:val="21"/>
                <w:szCs w:val="21"/>
              </w:rPr>
              <w:t>Gto</w:t>
            </w:r>
            <w:proofErr w:type="spellEnd"/>
            <w:r w:rsidRPr="00F51546">
              <w:rPr>
                <w:rFonts w:ascii="Abadi" w:hAnsi="Abadi" w:cs="Calibri"/>
                <w:sz w:val="21"/>
                <w:szCs w:val="21"/>
              </w:rPr>
              <w:t>., remite el presupuesto de la administración central municipal para el ejercicio fiscal 2023, así como el acuerdo de ayuntamiento del mismo.</w:t>
            </w:r>
          </w:p>
        </w:tc>
        <w:tc>
          <w:tcPr>
            <w:tcW w:w="2126" w:type="dxa"/>
          </w:tcPr>
          <w:p w14:paraId="1190229C" w14:textId="77777777" w:rsidR="008417DA" w:rsidRPr="00F51546" w:rsidRDefault="008417DA" w:rsidP="00663AED">
            <w:pPr>
              <w:jc w:val="both"/>
              <w:rPr>
                <w:rFonts w:ascii="Abadi" w:hAnsi="Abadi" w:cs="Calibri"/>
                <w:b/>
                <w:bCs/>
                <w:sz w:val="21"/>
                <w:szCs w:val="21"/>
              </w:rPr>
            </w:pPr>
          </w:p>
          <w:p w14:paraId="62B8417E" w14:textId="77777777" w:rsidR="008417DA" w:rsidRPr="00F51546" w:rsidRDefault="008417DA" w:rsidP="00663AED">
            <w:pPr>
              <w:jc w:val="both"/>
              <w:rPr>
                <w:rFonts w:ascii="Abadi" w:hAnsi="Abadi" w:cs="Calibri"/>
                <w:b/>
                <w:bCs/>
                <w:sz w:val="21"/>
                <w:szCs w:val="21"/>
              </w:rPr>
            </w:pPr>
          </w:p>
          <w:p w14:paraId="78BA2031" w14:textId="618C6980" w:rsidR="00663AED" w:rsidRPr="00F51546" w:rsidRDefault="00663AED" w:rsidP="00663AED">
            <w:pPr>
              <w:jc w:val="both"/>
              <w:rPr>
                <w:rFonts w:ascii="Abadi" w:hAnsi="Abadi" w:cs="Calibri"/>
                <w:b/>
                <w:bCs/>
                <w:sz w:val="21"/>
                <w:szCs w:val="21"/>
              </w:rPr>
            </w:pPr>
            <w:r w:rsidRPr="00F51546">
              <w:rPr>
                <w:rFonts w:ascii="Abadi" w:hAnsi="Abadi" w:cs="Calibri"/>
                <w:b/>
                <w:bCs/>
                <w:sz w:val="21"/>
                <w:szCs w:val="21"/>
              </w:rPr>
              <w:t>Enterados y se remite a la Auditoría Superior del Estado de Guanajuato.</w:t>
            </w:r>
          </w:p>
          <w:p w14:paraId="04E06C51" w14:textId="77777777" w:rsidR="00923C93" w:rsidRPr="00F51546" w:rsidRDefault="00923C93" w:rsidP="005B747D">
            <w:pPr>
              <w:jc w:val="both"/>
              <w:rPr>
                <w:rFonts w:ascii="Abadi" w:hAnsi="Abadi" w:cs="Calibri"/>
                <w:b/>
                <w:bCs/>
                <w:sz w:val="21"/>
                <w:szCs w:val="21"/>
              </w:rPr>
            </w:pPr>
          </w:p>
        </w:tc>
      </w:tr>
      <w:tr w:rsidR="00923C93" w:rsidRPr="00F51546" w14:paraId="09B89227" w14:textId="77777777" w:rsidTr="003521CC">
        <w:tc>
          <w:tcPr>
            <w:tcW w:w="2112" w:type="dxa"/>
          </w:tcPr>
          <w:p w14:paraId="0C1AA408" w14:textId="199B2562" w:rsidR="00923C93" w:rsidRPr="00F51546" w:rsidRDefault="00016DFD" w:rsidP="002B7145">
            <w:pPr>
              <w:jc w:val="both"/>
              <w:rPr>
                <w:rFonts w:ascii="Abadi" w:hAnsi="Abadi"/>
                <w:b/>
                <w:bCs/>
                <w:sz w:val="21"/>
                <w:szCs w:val="21"/>
              </w:rPr>
            </w:pPr>
            <w:r w:rsidRPr="00F51546">
              <w:rPr>
                <w:rFonts w:ascii="Abadi" w:hAnsi="Abadi"/>
                <w:b/>
                <w:bCs/>
                <w:sz w:val="21"/>
                <w:szCs w:val="21"/>
              </w:rPr>
              <w:t>3.08</w:t>
            </w:r>
          </w:p>
          <w:p w14:paraId="261B3E41" w14:textId="77777777" w:rsidR="00A22234" w:rsidRPr="00F51546" w:rsidRDefault="00A22234" w:rsidP="002B7145">
            <w:pPr>
              <w:jc w:val="both"/>
              <w:rPr>
                <w:rFonts w:ascii="Abadi" w:hAnsi="Abadi"/>
                <w:sz w:val="21"/>
                <w:szCs w:val="21"/>
              </w:rPr>
            </w:pPr>
          </w:p>
          <w:p w14:paraId="3CB02528" w14:textId="7C86554B" w:rsidR="00A22234" w:rsidRPr="00F51546" w:rsidRDefault="00A22234"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Santiago Maravatío,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69ACAE17" w14:textId="77777777" w:rsidR="00A22234" w:rsidRPr="00F51546" w:rsidRDefault="00A22234" w:rsidP="00663AED">
            <w:pPr>
              <w:jc w:val="both"/>
              <w:rPr>
                <w:rFonts w:ascii="Abadi" w:hAnsi="Abadi" w:cs="Calibri"/>
                <w:b/>
                <w:bCs/>
                <w:sz w:val="21"/>
                <w:szCs w:val="21"/>
              </w:rPr>
            </w:pPr>
          </w:p>
          <w:p w14:paraId="474598E0" w14:textId="77777777" w:rsidR="00016DFD" w:rsidRPr="00F51546" w:rsidRDefault="00016DFD" w:rsidP="00663AED">
            <w:pPr>
              <w:jc w:val="both"/>
              <w:rPr>
                <w:rFonts w:ascii="Abadi" w:hAnsi="Abadi" w:cs="Calibri"/>
                <w:b/>
                <w:bCs/>
                <w:sz w:val="21"/>
                <w:szCs w:val="21"/>
              </w:rPr>
            </w:pPr>
          </w:p>
          <w:p w14:paraId="0EA015DE" w14:textId="6FF5E456" w:rsidR="00663AED" w:rsidRPr="00F51546" w:rsidRDefault="00663AED" w:rsidP="00663AED">
            <w:pPr>
              <w:jc w:val="both"/>
              <w:rPr>
                <w:rFonts w:ascii="Abadi" w:hAnsi="Abadi" w:cs="Calibri"/>
                <w:b/>
                <w:bCs/>
                <w:sz w:val="21"/>
                <w:szCs w:val="21"/>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p w14:paraId="4C8E49F8" w14:textId="77777777" w:rsidR="00923C93" w:rsidRPr="00F51546" w:rsidRDefault="00923C93" w:rsidP="005B747D">
            <w:pPr>
              <w:jc w:val="both"/>
              <w:rPr>
                <w:rFonts w:ascii="Abadi" w:hAnsi="Abadi" w:cs="Calibri"/>
                <w:b/>
                <w:bCs/>
                <w:sz w:val="21"/>
                <w:szCs w:val="21"/>
              </w:rPr>
            </w:pPr>
          </w:p>
        </w:tc>
      </w:tr>
      <w:tr w:rsidR="00923C93" w:rsidRPr="00F51546" w14:paraId="586A2935" w14:textId="77777777" w:rsidTr="003521CC">
        <w:tc>
          <w:tcPr>
            <w:tcW w:w="2112" w:type="dxa"/>
          </w:tcPr>
          <w:p w14:paraId="7C9A3BA3" w14:textId="5E2FBE61" w:rsidR="00923C93" w:rsidRPr="00F51546" w:rsidRDefault="00AA00BB" w:rsidP="002B7145">
            <w:pPr>
              <w:jc w:val="both"/>
              <w:rPr>
                <w:rFonts w:ascii="Abadi" w:hAnsi="Abadi"/>
                <w:b/>
                <w:bCs/>
                <w:sz w:val="21"/>
                <w:szCs w:val="21"/>
              </w:rPr>
            </w:pPr>
            <w:r w:rsidRPr="00F51546">
              <w:rPr>
                <w:rFonts w:ascii="Abadi" w:hAnsi="Abadi"/>
                <w:b/>
                <w:bCs/>
                <w:sz w:val="21"/>
                <w:szCs w:val="21"/>
              </w:rPr>
              <w:t>3.09</w:t>
            </w:r>
          </w:p>
          <w:p w14:paraId="11FED220" w14:textId="77777777" w:rsidR="00AA00BB" w:rsidRPr="00F51546" w:rsidRDefault="00AA00BB" w:rsidP="002B7145">
            <w:pPr>
              <w:jc w:val="both"/>
              <w:rPr>
                <w:rFonts w:ascii="Abadi" w:hAnsi="Abadi"/>
                <w:sz w:val="21"/>
                <w:szCs w:val="21"/>
              </w:rPr>
            </w:pPr>
          </w:p>
          <w:p w14:paraId="08CB9A98" w14:textId="756FE7F7" w:rsidR="00AA00BB" w:rsidRPr="00F51546" w:rsidRDefault="00AA00B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comunica la aprobación de la Minuta Proyecto de Decreto mediante la cual se reforman los </w:t>
            </w:r>
            <w:r w:rsidRPr="00F51546">
              <w:rPr>
                <w:rFonts w:ascii="Abadi" w:hAnsi="Abadi" w:cs="Calibri"/>
                <w:sz w:val="21"/>
                <w:szCs w:val="21"/>
              </w:rPr>
              <w:lastRenderedPageBreak/>
              <w:t>artículos 6 párrafo tercero, 23 fracción I, 24 fracción II, 103 y 105 y se derogan los artículos 77, fracción XIV y 104, párrafo tercero de la Constitución Política para el Estado de Guanajuato.</w:t>
            </w:r>
          </w:p>
        </w:tc>
        <w:tc>
          <w:tcPr>
            <w:tcW w:w="2126" w:type="dxa"/>
          </w:tcPr>
          <w:p w14:paraId="7CB5B08F" w14:textId="77777777" w:rsidR="00AA00BB" w:rsidRPr="00F51546" w:rsidRDefault="00AA00BB" w:rsidP="00597547">
            <w:pPr>
              <w:jc w:val="both"/>
              <w:rPr>
                <w:rFonts w:ascii="Abadi" w:hAnsi="Abadi" w:cs="Calibri"/>
                <w:b/>
                <w:bCs/>
                <w:sz w:val="21"/>
                <w:szCs w:val="21"/>
              </w:rPr>
            </w:pPr>
          </w:p>
          <w:p w14:paraId="702C73BD" w14:textId="77777777" w:rsidR="00AA00BB" w:rsidRPr="00F51546" w:rsidRDefault="00AA00BB" w:rsidP="00597547">
            <w:pPr>
              <w:jc w:val="both"/>
              <w:rPr>
                <w:rFonts w:ascii="Abadi" w:hAnsi="Abadi" w:cs="Calibri"/>
                <w:b/>
                <w:bCs/>
                <w:sz w:val="21"/>
                <w:szCs w:val="21"/>
              </w:rPr>
            </w:pPr>
          </w:p>
          <w:p w14:paraId="63535D2F" w14:textId="61435BFA" w:rsidR="00597547" w:rsidRPr="00F51546" w:rsidRDefault="00597547" w:rsidP="00597547">
            <w:pPr>
              <w:jc w:val="both"/>
              <w:rPr>
                <w:rFonts w:ascii="Abadi" w:hAnsi="Abadi" w:cs="Calibri"/>
                <w:b/>
                <w:bCs/>
                <w:sz w:val="21"/>
                <w:szCs w:val="21"/>
              </w:rPr>
            </w:pPr>
            <w:r w:rsidRPr="00F51546">
              <w:rPr>
                <w:rFonts w:ascii="Abadi" w:hAnsi="Abadi" w:cs="Calibri"/>
                <w:b/>
                <w:bCs/>
                <w:sz w:val="21"/>
                <w:szCs w:val="21"/>
              </w:rPr>
              <w:t xml:space="preserve">Enterados y se agrega a su expediente para efecto del cómputo, de conformidad con el artículo 145 de la Constitución Política </w:t>
            </w:r>
            <w:r w:rsidRPr="00F51546">
              <w:rPr>
                <w:rFonts w:ascii="Abadi" w:hAnsi="Abadi" w:cs="Calibri"/>
                <w:b/>
                <w:bCs/>
                <w:sz w:val="21"/>
                <w:szCs w:val="21"/>
              </w:rPr>
              <w:lastRenderedPageBreak/>
              <w:t>para el Estado de Guanajuato.</w:t>
            </w:r>
          </w:p>
          <w:p w14:paraId="05F66415" w14:textId="77777777" w:rsidR="00923C93" w:rsidRPr="00F51546" w:rsidRDefault="00923C93" w:rsidP="005B747D">
            <w:pPr>
              <w:jc w:val="both"/>
              <w:rPr>
                <w:rFonts w:ascii="Abadi" w:hAnsi="Abadi" w:cs="Calibri"/>
                <w:b/>
                <w:bCs/>
                <w:sz w:val="21"/>
                <w:szCs w:val="21"/>
              </w:rPr>
            </w:pPr>
          </w:p>
        </w:tc>
      </w:tr>
      <w:tr w:rsidR="00923C93" w:rsidRPr="00F51546" w14:paraId="493DEAA9" w14:textId="77777777" w:rsidTr="003521CC">
        <w:tc>
          <w:tcPr>
            <w:tcW w:w="2112" w:type="dxa"/>
          </w:tcPr>
          <w:p w14:paraId="0C4A92C1" w14:textId="4B573F92" w:rsidR="00923C93" w:rsidRPr="00F51546" w:rsidRDefault="00624C55" w:rsidP="002B7145">
            <w:pPr>
              <w:jc w:val="both"/>
              <w:rPr>
                <w:rFonts w:ascii="Abadi" w:hAnsi="Abadi"/>
                <w:b/>
                <w:bCs/>
                <w:sz w:val="21"/>
                <w:szCs w:val="21"/>
              </w:rPr>
            </w:pPr>
            <w:r w:rsidRPr="00F51546">
              <w:rPr>
                <w:rFonts w:ascii="Abadi" w:hAnsi="Abadi"/>
                <w:b/>
                <w:bCs/>
                <w:sz w:val="21"/>
                <w:szCs w:val="21"/>
              </w:rPr>
              <w:lastRenderedPageBreak/>
              <w:t>3.1</w:t>
            </w:r>
          </w:p>
          <w:p w14:paraId="4AB40633" w14:textId="77777777" w:rsidR="00624C55" w:rsidRPr="00F51546" w:rsidRDefault="00624C55" w:rsidP="002B7145">
            <w:pPr>
              <w:jc w:val="both"/>
              <w:rPr>
                <w:rFonts w:ascii="Abadi" w:hAnsi="Abadi"/>
                <w:sz w:val="21"/>
                <w:szCs w:val="21"/>
              </w:rPr>
            </w:pPr>
          </w:p>
          <w:p w14:paraId="7BBBBD34" w14:textId="77725BB0" w:rsidR="00624C55" w:rsidRPr="00F51546" w:rsidRDefault="00E17286"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Purísima del Rincón,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6937253D" w14:textId="77777777" w:rsidR="00923C93" w:rsidRPr="00F51546" w:rsidRDefault="00923C93" w:rsidP="005B747D">
            <w:pPr>
              <w:jc w:val="both"/>
              <w:rPr>
                <w:rFonts w:ascii="Abadi" w:hAnsi="Abadi"/>
                <w:b/>
                <w:bCs/>
                <w:sz w:val="21"/>
                <w:szCs w:val="21"/>
              </w:rPr>
            </w:pPr>
          </w:p>
          <w:p w14:paraId="28CA6614" w14:textId="77777777" w:rsidR="00E17286" w:rsidRPr="00F51546" w:rsidRDefault="00E17286" w:rsidP="005B747D">
            <w:pPr>
              <w:jc w:val="both"/>
              <w:rPr>
                <w:rFonts w:ascii="Abadi" w:hAnsi="Abadi"/>
                <w:b/>
                <w:bCs/>
                <w:sz w:val="21"/>
                <w:szCs w:val="21"/>
              </w:rPr>
            </w:pPr>
          </w:p>
          <w:p w14:paraId="6C5663C2" w14:textId="553526B9" w:rsidR="00E17286" w:rsidRPr="00F51546" w:rsidRDefault="00E17286" w:rsidP="005B747D">
            <w:pPr>
              <w:jc w:val="both"/>
              <w:rPr>
                <w:rFonts w:ascii="Abadi" w:hAnsi="Abadi" w:cs="Calibri"/>
                <w:b/>
                <w:bCs/>
                <w:sz w:val="21"/>
                <w:szCs w:val="21"/>
                <w:lang w:val="es-MX" w:eastAsia="es-MX"/>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tc>
      </w:tr>
      <w:tr w:rsidR="00665ED4" w:rsidRPr="00F51546" w14:paraId="303092D6" w14:textId="77777777" w:rsidTr="003521CC">
        <w:tc>
          <w:tcPr>
            <w:tcW w:w="2112" w:type="dxa"/>
          </w:tcPr>
          <w:p w14:paraId="7E862296" w14:textId="4B28F7AC" w:rsidR="00665ED4" w:rsidRPr="00F51546" w:rsidRDefault="00C22AE6" w:rsidP="002B7145">
            <w:pPr>
              <w:jc w:val="both"/>
              <w:rPr>
                <w:rFonts w:ascii="Abadi" w:hAnsi="Abadi"/>
                <w:b/>
                <w:bCs/>
                <w:sz w:val="21"/>
                <w:szCs w:val="21"/>
              </w:rPr>
            </w:pPr>
            <w:r w:rsidRPr="00F51546">
              <w:rPr>
                <w:rFonts w:ascii="Abadi" w:hAnsi="Abadi"/>
                <w:b/>
                <w:bCs/>
                <w:sz w:val="21"/>
                <w:szCs w:val="21"/>
              </w:rPr>
              <w:t>3.11</w:t>
            </w:r>
          </w:p>
          <w:p w14:paraId="75C5971A" w14:textId="77777777" w:rsidR="00E17286" w:rsidRPr="00F51546" w:rsidRDefault="00E17286" w:rsidP="002B7145">
            <w:pPr>
              <w:jc w:val="both"/>
              <w:rPr>
                <w:rFonts w:ascii="Abadi" w:hAnsi="Abadi"/>
                <w:sz w:val="21"/>
                <w:szCs w:val="21"/>
              </w:rPr>
            </w:pPr>
          </w:p>
          <w:p w14:paraId="67077628" w14:textId="3205D4A6" w:rsidR="00E17286" w:rsidRPr="00F51546" w:rsidRDefault="00055DBD"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Valle de Santiago,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3E581524" w14:textId="77777777" w:rsidR="00665ED4" w:rsidRPr="00F51546" w:rsidRDefault="00665ED4" w:rsidP="005B747D">
            <w:pPr>
              <w:jc w:val="both"/>
              <w:rPr>
                <w:rFonts w:ascii="Abadi" w:hAnsi="Abadi"/>
                <w:b/>
                <w:bCs/>
                <w:sz w:val="21"/>
                <w:szCs w:val="21"/>
              </w:rPr>
            </w:pPr>
          </w:p>
          <w:p w14:paraId="4BF308F0" w14:textId="77777777" w:rsidR="0095053B" w:rsidRPr="00F51546" w:rsidRDefault="0095053B" w:rsidP="005B747D">
            <w:pPr>
              <w:jc w:val="both"/>
              <w:rPr>
                <w:rFonts w:ascii="Abadi" w:hAnsi="Abadi"/>
                <w:b/>
                <w:bCs/>
                <w:sz w:val="21"/>
                <w:szCs w:val="21"/>
              </w:rPr>
            </w:pPr>
          </w:p>
          <w:p w14:paraId="50C4CD85" w14:textId="77777777" w:rsidR="0095053B" w:rsidRPr="00F51546" w:rsidRDefault="0095053B" w:rsidP="0095053B">
            <w:pPr>
              <w:jc w:val="both"/>
              <w:rPr>
                <w:rFonts w:ascii="Abadi" w:hAnsi="Abadi" w:cs="Calibri"/>
                <w:b/>
                <w:bCs/>
                <w:sz w:val="21"/>
                <w:szCs w:val="21"/>
                <w:lang w:val="es-MX" w:eastAsia="es-MX"/>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p w14:paraId="244CC50F" w14:textId="77777777" w:rsidR="0095053B" w:rsidRPr="00F51546" w:rsidRDefault="0095053B" w:rsidP="005B747D">
            <w:pPr>
              <w:jc w:val="both"/>
              <w:rPr>
                <w:rFonts w:ascii="Abadi" w:hAnsi="Abadi"/>
                <w:b/>
                <w:bCs/>
                <w:sz w:val="21"/>
                <w:szCs w:val="21"/>
              </w:rPr>
            </w:pPr>
          </w:p>
        </w:tc>
      </w:tr>
      <w:tr w:rsidR="00665ED4" w:rsidRPr="00F51546" w14:paraId="3ABC25CC" w14:textId="77777777" w:rsidTr="003521CC">
        <w:tc>
          <w:tcPr>
            <w:tcW w:w="2112" w:type="dxa"/>
          </w:tcPr>
          <w:p w14:paraId="3CD9A2AC" w14:textId="31CD10D4" w:rsidR="00665ED4" w:rsidRPr="00F51546" w:rsidRDefault="00C22AE6" w:rsidP="002B7145">
            <w:pPr>
              <w:jc w:val="both"/>
              <w:rPr>
                <w:rFonts w:ascii="Abadi" w:hAnsi="Abadi"/>
                <w:b/>
                <w:bCs/>
                <w:sz w:val="21"/>
                <w:szCs w:val="21"/>
              </w:rPr>
            </w:pPr>
            <w:r w:rsidRPr="00F51546">
              <w:rPr>
                <w:rFonts w:ascii="Abadi" w:hAnsi="Abadi"/>
                <w:b/>
                <w:bCs/>
                <w:sz w:val="21"/>
                <w:szCs w:val="21"/>
              </w:rPr>
              <w:t>3.12</w:t>
            </w:r>
          </w:p>
          <w:p w14:paraId="0447A03E" w14:textId="77777777" w:rsidR="00C22AE6" w:rsidRPr="00F51546" w:rsidRDefault="00C22AE6" w:rsidP="002B7145">
            <w:pPr>
              <w:jc w:val="both"/>
              <w:rPr>
                <w:rFonts w:ascii="Abadi" w:hAnsi="Abadi"/>
                <w:sz w:val="21"/>
                <w:szCs w:val="21"/>
              </w:rPr>
            </w:pPr>
          </w:p>
          <w:p w14:paraId="16DA4F95" w14:textId="0DAFF001" w:rsidR="00C22AE6" w:rsidRPr="00F51546" w:rsidRDefault="0095053B"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Yuriria,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w:t>
            </w:r>
            <w:r w:rsidRPr="00F51546">
              <w:rPr>
                <w:rFonts w:ascii="Abadi" w:hAnsi="Abadi" w:cs="Calibri"/>
                <w:sz w:val="21"/>
                <w:szCs w:val="21"/>
              </w:rPr>
              <w:t>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7B603B58" w14:textId="77777777" w:rsidR="00665ED4" w:rsidRPr="00F51546" w:rsidRDefault="00665ED4" w:rsidP="005B747D">
            <w:pPr>
              <w:jc w:val="both"/>
              <w:rPr>
                <w:rFonts w:ascii="Abadi" w:hAnsi="Abadi"/>
                <w:b/>
                <w:bCs/>
                <w:sz w:val="21"/>
                <w:szCs w:val="21"/>
              </w:rPr>
            </w:pPr>
          </w:p>
          <w:p w14:paraId="1E0C47E1" w14:textId="77777777" w:rsidR="002A7CC3" w:rsidRPr="00F51546" w:rsidRDefault="002A7CC3" w:rsidP="005B747D">
            <w:pPr>
              <w:jc w:val="both"/>
              <w:rPr>
                <w:rFonts w:ascii="Abadi" w:hAnsi="Abadi"/>
                <w:b/>
                <w:bCs/>
                <w:sz w:val="21"/>
                <w:szCs w:val="21"/>
              </w:rPr>
            </w:pPr>
          </w:p>
          <w:p w14:paraId="502BC89E" w14:textId="6142CDC6" w:rsidR="002A7CC3" w:rsidRPr="00F51546" w:rsidRDefault="002A7CC3" w:rsidP="005B747D">
            <w:pPr>
              <w:jc w:val="both"/>
              <w:rPr>
                <w:rFonts w:ascii="Abadi" w:hAnsi="Abadi" w:cs="Calibri"/>
                <w:b/>
                <w:bCs/>
                <w:sz w:val="21"/>
                <w:szCs w:val="21"/>
                <w:lang w:val="es-MX" w:eastAsia="es-MX"/>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tc>
      </w:tr>
      <w:tr w:rsidR="00665ED4" w:rsidRPr="00F51546" w14:paraId="2C79563F" w14:textId="77777777" w:rsidTr="003521CC">
        <w:tc>
          <w:tcPr>
            <w:tcW w:w="2112" w:type="dxa"/>
          </w:tcPr>
          <w:p w14:paraId="4A5A118B" w14:textId="2877F8A1" w:rsidR="00665ED4" w:rsidRPr="00F51546" w:rsidRDefault="00283670" w:rsidP="002B7145">
            <w:pPr>
              <w:jc w:val="both"/>
              <w:rPr>
                <w:rFonts w:ascii="Abadi" w:hAnsi="Abadi"/>
                <w:b/>
                <w:bCs/>
                <w:sz w:val="21"/>
                <w:szCs w:val="21"/>
              </w:rPr>
            </w:pPr>
            <w:r w:rsidRPr="00F51546">
              <w:rPr>
                <w:rFonts w:ascii="Abadi" w:hAnsi="Abadi"/>
                <w:b/>
                <w:bCs/>
                <w:sz w:val="21"/>
                <w:szCs w:val="21"/>
              </w:rPr>
              <w:t>3.13</w:t>
            </w:r>
          </w:p>
          <w:p w14:paraId="05A795D2" w14:textId="77777777" w:rsidR="00283670" w:rsidRPr="00F51546" w:rsidRDefault="00283670" w:rsidP="002B7145">
            <w:pPr>
              <w:jc w:val="both"/>
              <w:rPr>
                <w:rFonts w:ascii="Abadi" w:hAnsi="Abadi"/>
                <w:sz w:val="21"/>
                <w:szCs w:val="21"/>
              </w:rPr>
            </w:pPr>
          </w:p>
          <w:p w14:paraId="5F02D920" w14:textId="49A963DF" w:rsidR="00283670" w:rsidRPr="00F51546" w:rsidRDefault="00E37F9A"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reformar y adicionar diversas disposiciones a la Ley de Movilidad del Estado de Guanajuato y sus Municipios y a la Ley Orgánica Municipal para el Estado de Guanajuato, en la parte correspondiente al segundo ordenamiento.</w:t>
            </w:r>
          </w:p>
        </w:tc>
        <w:tc>
          <w:tcPr>
            <w:tcW w:w="2126" w:type="dxa"/>
          </w:tcPr>
          <w:p w14:paraId="1B0FE186" w14:textId="77777777" w:rsidR="00665ED4" w:rsidRPr="00F51546" w:rsidRDefault="00665ED4" w:rsidP="005B747D">
            <w:pPr>
              <w:jc w:val="both"/>
              <w:rPr>
                <w:rFonts w:ascii="Abadi" w:hAnsi="Abadi"/>
                <w:b/>
                <w:bCs/>
                <w:sz w:val="21"/>
                <w:szCs w:val="21"/>
              </w:rPr>
            </w:pPr>
          </w:p>
          <w:p w14:paraId="2D84DE15" w14:textId="77777777" w:rsidR="00E37F9A" w:rsidRPr="00F51546" w:rsidRDefault="00E37F9A" w:rsidP="005B747D">
            <w:pPr>
              <w:jc w:val="both"/>
              <w:rPr>
                <w:rFonts w:ascii="Abadi" w:hAnsi="Abadi"/>
                <w:b/>
                <w:bCs/>
                <w:sz w:val="21"/>
                <w:szCs w:val="21"/>
              </w:rPr>
            </w:pPr>
          </w:p>
          <w:p w14:paraId="35B6AE8C" w14:textId="77777777" w:rsidR="00E37F9A" w:rsidRPr="00F51546" w:rsidRDefault="00E37F9A" w:rsidP="00E37F9A">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Asuntos Municipales.</w:t>
            </w:r>
          </w:p>
          <w:p w14:paraId="0B508E8C" w14:textId="77777777" w:rsidR="00E37F9A" w:rsidRPr="00F51546" w:rsidRDefault="00E37F9A" w:rsidP="005B747D">
            <w:pPr>
              <w:jc w:val="both"/>
              <w:rPr>
                <w:rFonts w:ascii="Abadi" w:hAnsi="Abadi"/>
                <w:b/>
                <w:bCs/>
                <w:sz w:val="21"/>
                <w:szCs w:val="21"/>
              </w:rPr>
            </w:pPr>
          </w:p>
        </w:tc>
      </w:tr>
      <w:tr w:rsidR="00665ED4" w:rsidRPr="00F51546" w14:paraId="77BBD742" w14:textId="77777777" w:rsidTr="003521CC">
        <w:tc>
          <w:tcPr>
            <w:tcW w:w="2112" w:type="dxa"/>
          </w:tcPr>
          <w:p w14:paraId="73D56CA6" w14:textId="77777777" w:rsidR="00665ED4" w:rsidRPr="00F51546" w:rsidRDefault="00D62BE1" w:rsidP="002B7145">
            <w:pPr>
              <w:jc w:val="both"/>
              <w:rPr>
                <w:rFonts w:ascii="Abadi" w:hAnsi="Abadi"/>
                <w:b/>
                <w:bCs/>
                <w:sz w:val="21"/>
                <w:szCs w:val="21"/>
              </w:rPr>
            </w:pPr>
            <w:r w:rsidRPr="00F51546">
              <w:rPr>
                <w:rFonts w:ascii="Abadi" w:hAnsi="Abadi"/>
                <w:b/>
                <w:bCs/>
                <w:sz w:val="21"/>
                <w:szCs w:val="21"/>
              </w:rPr>
              <w:t>3.14</w:t>
            </w:r>
          </w:p>
          <w:p w14:paraId="2E1FFC99" w14:textId="77777777" w:rsidR="00D62BE1" w:rsidRPr="00F51546" w:rsidRDefault="00D62BE1" w:rsidP="002B7145">
            <w:pPr>
              <w:jc w:val="both"/>
              <w:rPr>
                <w:rFonts w:ascii="Abadi" w:hAnsi="Abadi"/>
                <w:b/>
                <w:bCs/>
                <w:sz w:val="21"/>
                <w:szCs w:val="21"/>
              </w:rPr>
            </w:pPr>
          </w:p>
          <w:p w14:paraId="7E6F4B7B" w14:textId="77777777" w:rsidR="00885632" w:rsidRPr="00F51546" w:rsidRDefault="00885632" w:rsidP="00885632">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el acuerdo recaído a la consulta de la iniciativa por la que se crea la Ley de la Agencia de Energía del Estado de Guanajuato y se reforman y adicionan diversas disposiciones de la Ley Orgánica del </w:t>
            </w:r>
            <w:r w:rsidRPr="00F51546">
              <w:rPr>
                <w:rFonts w:ascii="Abadi" w:hAnsi="Abadi" w:cs="Calibri"/>
                <w:sz w:val="21"/>
                <w:szCs w:val="21"/>
              </w:rPr>
              <w:lastRenderedPageBreak/>
              <w:t>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610FA1BD" w14:textId="55DB70C8" w:rsidR="00D62BE1" w:rsidRPr="00F51546" w:rsidRDefault="00D62BE1" w:rsidP="002B7145">
            <w:pPr>
              <w:jc w:val="both"/>
              <w:rPr>
                <w:rFonts w:ascii="Abadi" w:hAnsi="Abadi"/>
                <w:b/>
                <w:bCs/>
                <w:sz w:val="21"/>
                <w:szCs w:val="21"/>
              </w:rPr>
            </w:pPr>
          </w:p>
        </w:tc>
        <w:tc>
          <w:tcPr>
            <w:tcW w:w="2126" w:type="dxa"/>
          </w:tcPr>
          <w:p w14:paraId="2C13230D" w14:textId="77777777" w:rsidR="00665ED4" w:rsidRPr="00F51546" w:rsidRDefault="00665ED4" w:rsidP="005B747D">
            <w:pPr>
              <w:jc w:val="both"/>
              <w:rPr>
                <w:rFonts w:ascii="Abadi" w:hAnsi="Abadi"/>
                <w:b/>
                <w:bCs/>
                <w:sz w:val="21"/>
                <w:szCs w:val="21"/>
              </w:rPr>
            </w:pPr>
          </w:p>
          <w:p w14:paraId="762750D7" w14:textId="77777777" w:rsidR="00885632" w:rsidRPr="00F51546" w:rsidRDefault="00885632" w:rsidP="005B747D">
            <w:pPr>
              <w:jc w:val="both"/>
              <w:rPr>
                <w:rFonts w:ascii="Abadi" w:hAnsi="Abadi"/>
                <w:b/>
                <w:bCs/>
                <w:sz w:val="21"/>
                <w:szCs w:val="21"/>
              </w:rPr>
            </w:pPr>
          </w:p>
          <w:p w14:paraId="564CFC08" w14:textId="77777777" w:rsidR="00885632" w:rsidRPr="00F51546" w:rsidRDefault="00885632" w:rsidP="00885632">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las Comisiones Unidas de Gobernación y Puntos Constitucionales y de Desarrollo Económico y Social.</w:t>
            </w:r>
          </w:p>
          <w:p w14:paraId="2FBCC41A" w14:textId="77777777" w:rsidR="00885632" w:rsidRPr="00F51546" w:rsidRDefault="00885632" w:rsidP="005B747D">
            <w:pPr>
              <w:jc w:val="both"/>
              <w:rPr>
                <w:rFonts w:ascii="Abadi" w:hAnsi="Abadi"/>
                <w:b/>
                <w:bCs/>
                <w:sz w:val="21"/>
                <w:szCs w:val="21"/>
              </w:rPr>
            </w:pPr>
          </w:p>
        </w:tc>
      </w:tr>
      <w:tr w:rsidR="00665ED4" w:rsidRPr="00F51546" w14:paraId="2297D845" w14:textId="77777777" w:rsidTr="003521CC">
        <w:tc>
          <w:tcPr>
            <w:tcW w:w="2112" w:type="dxa"/>
          </w:tcPr>
          <w:p w14:paraId="50874BCA" w14:textId="4A5FF8A3" w:rsidR="00665ED4" w:rsidRPr="00F51546" w:rsidRDefault="00D62BE1" w:rsidP="002B7145">
            <w:pPr>
              <w:jc w:val="both"/>
              <w:rPr>
                <w:rFonts w:ascii="Abadi" w:hAnsi="Abadi"/>
                <w:b/>
                <w:bCs/>
                <w:sz w:val="21"/>
                <w:szCs w:val="21"/>
              </w:rPr>
            </w:pPr>
            <w:r w:rsidRPr="00F51546">
              <w:rPr>
                <w:rFonts w:ascii="Abadi" w:hAnsi="Abadi"/>
                <w:b/>
                <w:bCs/>
                <w:sz w:val="21"/>
                <w:szCs w:val="21"/>
              </w:rPr>
              <w:t>3.15</w:t>
            </w:r>
          </w:p>
          <w:p w14:paraId="5A9F4965" w14:textId="77777777" w:rsidR="00D62BE1" w:rsidRPr="00F51546" w:rsidRDefault="00D62BE1" w:rsidP="002B7145">
            <w:pPr>
              <w:jc w:val="both"/>
              <w:rPr>
                <w:rFonts w:ascii="Abadi" w:hAnsi="Abadi"/>
                <w:sz w:val="21"/>
                <w:szCs w:val="21"/>
              </w:rPr>
            </w:pPr>
          </w:p>
          <w:p w14:paraId="7C3DF98E" w14:textId="09D800FA" w:rsidR="002A7CC3" w:rsidRPr="00F51546" w:rsidRDefault="006E0012"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reformar y adicionar diversas disposiciones de la Ley del Sistema de Seguridad Pública del Estado de Guanajuato.</w:t>
            </w:r>
          </w:p>
        </w:tc>
        <w:tc>
          <w:tcPr>
            <w:tcW w:w="2126" w:type="dxa"/>
          </w:tcPr>
          <w:p w14:paraId="218FD280" w14:textId="77777777" w:rsidR="00665ED4" w:rsidRPr="00F51546" w:rsidRDefault="00665ED4" w:rsidP="005B747D">
            <w:pPr>
              <w:jc w:val="both"/>
              <w:rPr>
                <w:rFonts w:ascii="Abadi" w:hAnsi="Abadi"/>
                <w:b/>
                <w:bCs/>
                <w:sz w:val="21"/>
                <w:szCs w:val="21"/>
              </w:rPr>
            </w:pPr>
          </w:p>
          <w:p w14:paraId="67370696" w14:textId="77777777" w:rsidR="006E0012" w:rsidRPr="00F51546" w:rsidRDefault="006E0012" w:rsidP="005B747D">
            <w:pPr>
              <w:jc w:val="both"/>
              <w:rPr>
                <w:rFonts w:ascii="Abadi" w:hAnsi="Abadi"/>
                <w:b/>
                <w:bCs/>
                <w:sz w:val="21"/>
                <w:szCs w:val="21"/>
              </w:rPr>
            </w:pPr>
          </w:p>
          <w:p w14:paraId="100F4B99" w14:textId="77777777" w:rsidR="006E0012" w:rsidRPr="00F51546" w:rsidRDefault="006E0012" w:rsidP="006E0012">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p w14:paraId="709BC314" w14:textId="77777777" w:rsidR="006E0012" w:rsidRPr="00F51546" w:rsidRDefault="006E0012" w:rsidP="005B747D">
            <w:pPr>
              <w:jc w:val="both"/>
              <w:rPr>
                <w:rFonts w:ascii="Abadi" w:hAnsi="Abadi"/>
                <w:b/>
                <w:bCs/>
                <w:sz w:val="21"/>
                <w:szCs w:val="21"/>
              </w:rPr>
            </w:pPr>
          </w:p>
        </w:tc>
      </w:tr>
      <w:tr w:rsidR="00665ED4" w:rsidRPr="00F51546" w14:paraId="45081AB3" w14:textId="77777777" w:rsidTr="003521CC">
        <w:tc>
          <w:tcPr>
            <w:tcW w:w="2112" w:type="dxa"/>
          </w:tcPr>
          <w:p w14:paraId="1A14FE5B" w14:textId="5C037816" w:rsidR="00665ED4" w:rsidRPr="00F51546" w:rsidRDefault="00522BA8" w:rsidP="002B7145">
            <w:pPr>
              <w:jc w:val="both"/>
              <w:rPr>
                <w:rFonts w:ascii="Abadi" w:hAnsi="Abadi"/>
                <w:b/>
                <w:bCs/>
                <w:sz w:val="21"/>
                <w:szCs w:val="21"/>
              </w:rPr>
            </w:pPr>
            <w:r w:rsidRPr="00F51546">
              <w:rPr>
                <w:rFonts w:ascii="Abadi" w:hAnsi="Abadi"/>
                <w:b/>
                <w:bCs/>
                <w:sz w:val="21"/>
                <w:szCs w:val="21"/>
              </w:rPr>
              <w:t>3.16</w:t>
            </w:r>
          </w:p>
          <w:p w14:paraId="54BFB806" w14:textId="77777777" w:rsidR="00D62BE1" w:rsidRPr="00F51546" w:rsidRDefault="00D62BE1" w:rsidP="002B7145">
            <w:pPr>
              <w:jc w:val="both"/>
              <w:rPr>
                <w:rFonts w:ascii="Abadi" w:hAnsi="Abadi"/>
                <w:sz w:val="21"/>
                <w:szCs w:val="21"/>
              </w:rPr>
            </w:pPr>
          </w:p>
          <w:p w14:paraId="3650883D" w14:textId="1FDF53A2" w:rsidR="002A7CC3" w:rsidRPr="00F51546" w:rsidRDefault="004D2D0A"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el acuerdo recaído a la consulta de la iniciativa a efecto de adicionar el artículo 8-1 a la Ley del Sistema de </w:t>
            </w:r>
            <w:r w:rsidRPr="00F51546">
              <w:rPr>
                <w:rFonts w:ascii="Abadi" w:hAnsi="Abadi" w:cs="Calibri"/>
                <w:sz w:val="21"/>
                <w:szCs w:val="21"/>
              </w:rPr>
              <w:t>Seguridad Pública del Estado de Guanajuato.</w:t>
            </w:r>
          </w:p>
        </w:tc>
        <w:tc>
          <w:tcPr>
            <w:tcW w:w="2126" w:type="dxa"/>
          </w:tcPr>
          <w:p w14:paraId="4A76CBD7" w14:textId="77777777" w:rsidR="00665ED4" w:rsidRPr="00F51546" w:rsidRDefault="00665ED4" w:rsidP="005B747D">
            <w:pPr>
              <w:jc w:val="both"/>
              <w:rPr>
                <w:rFonts w:ascii="Abadi" w:hAnsi="Abadi"/>
                <w:b/>
                <w:bCs/>
                <w:sz w:val="21"/>
                <w:szCs w:val="21"/>
              </w:rPr>
            </w:pPr>
          </w:p>
          <w:p w14:paraId="4AD8E9FC" w14:textId="77777777" w:rsidR="004D2D0A" w:rsidRPr="00F51546" w:rsidRDefault="004D2D0A" w:rsidP="005B747D">
            <w:pPr>
              <w:jc w:val="both"/>
              <w:rPr>
                <w:rFonts w:ascii="Abadi" w:hAnsi="Abadi"/>
                <w:b/>
                <w:bCs/>
                <w:sz w:val="21"/>
                <w:szCs w:val="21"/>
              </w:rPr>
            </w:pPr>
          </w:p>
          <w:p w14:paraId="2BB245F5" w14:textId="77777777" w:rsidR="004D2D0A" w:rsidRPr="00F51546" w:rsidRDefault="004D2D0A" w:rsidP="004D2D0A">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p w14:paraId="4A875657" w14:textId="77777777" w:rsidR="004D2D0A" w:rsidRPr="00F51546" w:rsidRDefault="004D2D0A" w:rsidP="005B747D">
            <w:pPr>
              <w:jc w:val="both"/>
              <w:rPr>
                <w:rFonts w:ascii="Abadi" w:hAnsi="Abadi"/>
                <w:b/>
                <w:bCs/>
                <w:sz w:val="21"/>
                <w:szCs w:val="21"/>
              </w:rPr>
            </w:pPr>
          </w:p>
        </w:tc>
      </w:tr>
      <w:tr w:rsidR="00665ED4" w:rsidRPr="00F51546" w14:paraId="1F9DC1ED" w14:textId="77777777" w:rsidTr="003521CC">
        <w:tc>
          <w:tcPr>
            <w:tcW w:w="2112" w:type="dxa"/>
          </w:tcPr>
          <w:p w14:paraId="59B15758" w14:textId="3D8239FA" w:rsidR="00665ED4" w:rsidRPr="00F51546" w:rsidRDefault="00522BA8" w:rsidP="002B7145">
            <w:pPr>
              <w:jc w:val="both"/>
              <w:rPr>
                <w:rFonts w:ascii="Abadi" w:hAnsi="Abadi"/>
                <w:b/>
                <w:bCs/>
                <w:sz w:val="21"/>
                <w:szCs w:val="21"/>
              </w:rPr>
            </w:pPr>
            <w:r w:rsidRPr="00F51546">
              <w:rPr>
                <w:rFonts w:ascii="Abadi" w:hAnsi="Abadi"/>
                <w:b/>
                <w:bCs/>
                <w:sz w:val="21"/>
                <w:szCs w:val="21"/>
              </w:rPr>
              <w:t>3.17</w:t>
            </w:r>
          </w:p>
          <w:p w14:paraId="0F6A000F" w14:textId="77777777" w:rsidR="00D62BE1" w:rsidRPr="00F51546" w:rsidRDefault="00D62BE1" w:rsidP="002B7145">
            <w:pPr>
              <w:jc w:val="both"/>
              <w:rPr>
                <w:rFonts w:ascii="Abadi" w:hAnsi="Abadi"/>
                <w:sz w:val="21"/>
                <w:szCs w:val="21"/>
              </w:rPr>
            </w:pPr>
          </w:p>
          <w:p w14:paraId="54463242" w14:textId="3E9AC7B5" w:rsidR="002A7CC3" w:rsidRPr="00F51546" w:rsidRDefault="004D2D0A"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que reforma y adiciona diversas disposiciones de la Ley de Movilidad del Estado de Guanajuato y sus Municipios.</w:t>
            </w:r>
          </w:p>
        </w:tc>
        <w:tc>
          <w:tcPr>
            <w:tcW w:w="2126" w:type="dxa"/>
          </w:tcPr>
          <w:p w14:paraId="4A97E958" w14:textId="77777777" w:rsidR="00665ED4" w:rsidRPr="00F51546" w:rsidRDefault="00665ED4" w:rsidP="005B747D">
            <w:pPr>
              <w:jc w:val="both"/>
              <w:rPr>
                <w:rFonts w:ascii="Abadi" w:hAnsi="Abadi"/>
                <w:b/>
                <w:bCs/>
                <w:sz w:val="21"/>
                <w:szCs w:val="21"/>
              </w:rPr>
            </w:pPr>
          </w:p>
          <w:p w14:paraId="5E1465F5" w14:textId="77777777" w:rsidR="004D2D0A" w:rsidRPr="00F51546" w:rsidRDefault="004D2D0A" w:rsidP="005B747D">
            <w:pPr>
              <w:jc w:val="both"/>
              <w:rPr>
                <w:rFonts w:ascii="Abadi" w:hAnsi="Abadi"/>
                <w:b/>
                <w:bCs/>
                <w:sz w:val="21"/>
                <w:szCs w:val="21"/>
              </w:rPr>
            </w:pPr>
          </w:p>
          <w:p w14:paraId="2402EF29" w14:textId="1891D8A9" w:rsidR="004D2D0A" w:rsidRPr="00F51546" w:rsidRDefault="00D935D0"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tc>
      </w:tr>
      <w:tr w:rsidR="00665ED4" w:rsidRPr="00F51546" w14:paraId="362B197E" w14:textId="77777777" w:rsidTr="003521CC">
        <w:tc>
          <w:tcPr>
            <w:tcW w:w="2112" w:type="dxa"/>
          </w:tcPr>
          <w:p w14:paraId="6B19B0A2" w14:textId="38A60169" w:rsidR="00665ED4" w:rsidRPr="00F51546" w:rsidRDefault="00522BA8" w:rsidP="002B7145">
            <w:pPr>
              <w:jc w:val="both"/>
              <w:rPr>
                <w:rFonts w:ascii="Abadi" w:hAnsi="Abadi"/>
                <w:b/>
                <w:bCs/>
                <w:sz w:val="21"/>
                <w:szCs w:val="21"/>
              </w:rPr>
            </w:pPr>
            <w:r w:rsidRPr="00F51546">
              <w:rPr>
                <w:rFonts w:ascii="Abadi" w:hAnsi="Abadi"/>
                <w:b/>
                <w:bCs/>
                <w:sz w:val="21"/>
                <w:szCs w:val="21"/>
              </w:rPr>
              <w:t>3.18</w:t>
            </w:r>
          </w:p>
          <w:p w14:paraId="5B3C887E" w14:textId="77777777" w:rsidR="00522BA8" w:rsidRPr="00F51546" w:rsidRDefault="00522BA8" w:rsidP="002B7145">
            <w:pPr>
              <w:jc w:val="both"/>
              <w:rPr>
                <w:rFonts w:ascii="Abadi" w:hAnsi="Abadi"/>
                <w:sz w:val="21"/>
                <w:szCs w:val="21"/>
              </w:rPr>
            </w:pPr>
          </w:p>
          <w:p w14:paraId="02256643" w14:textId="64B7BEFF" w:rsidR="00522BA8" w:rsidRPr="00F51546" w:rsidRDefault="00D935D0"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tc>
        <w:tc>
          <w:tcPr>
            <w:tcW w:w="2126" w:type="dxa"/>
          </w:tcPr>
          <w:p w14:paraId="10312580" w14:textId="77777777" w:rsidR="00665ED4" w:rsidRPr="00F51546" w:rsidRDefault="00665ED4" w:rsidP="005B747D">
            <w:pPr>
              <w:jc w:val="both"/>
              <w:rPr>
                <w:rFonts w:ascii="Abadi" w:hAnsi="Abadi"/>
                <w:b/>
                <w:bCs/>
                <w:sz w:val="21"/>
                <w:szCs w:val="21"/>
              </w:rPr>
            </w:pPr>
          </w:p>
          <w:p w14:paraId="4EB1A8D9" w14:textId="77777777" w:rsidR="00D935D0" w:rsidRPr="00F51546" w:rsidRDefault="00D935D0" w:rsidP="005B747D">
            <w:pPr>
              <w:jc w:val="both"/>
              <w:rPr>
                <w:rFonts w:ascii="Abadi" w:hAnsi="Abadi"/>
                <w:b/>
                <w:bCs/>
                <w:sz w:val="21"/>
                <w:szCs w:val="21"/>
              </w:rPr>
            </w:pPr>
          </w:p>
          <w:p w14:paraId="6FD0BE8D" w14:textId="37054647" w:rsidR="00D935D0" w:rsidRPr="00F51546" w:rsidRDefault="000E26F7"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tc>
      </w:tr>
      <w:tr w:rsidR="00665ED4" w:rsidRPr="00F51546" w14:paraId="0FA7DF74" w14:textId="77777777" w:rsidTr="003521CC">
        <w:tc>
          <w:tcPr>
            <w:tcW w:w="2112" w:type="dxa"/>
          </w:tcPr>
          <w:p w14:paraId="783FBC50" w14:textId="7E3CF58E" w:rsidR="00665ED4" w:rsidRPr="00F51546" w:rsidRDefault="00522BA8" w:rsidP="002B7145">
            <w:pPr>
              <w:jc w:val="both"/>
              <w:rPr>
                <w:rFonts w:ascii="Abadi" w:hAnsi="Abadi"/>
                <w:b/>
                <w:bCs/>
                <w:sz w:val="21"/>
                <w:szCs w:val="21"/>
              </w:rPr>
            </w:pPr>
            <w:r w:rsidRPr="00F51546">
              <w:rPr>
                <w:rFonts w:ascii="Abadi" w:hAnsi="Abadi"/>
                <w:b/>
                <w:bCs/>
                <w:sz w:val="21"/>
                <w:szCs w:val="21"/>
              </w:rPr>
              <w:t>3.</w:t>
            </w:r>
            <w:r w:rsidR="00A14283" w:rsidRPr="00F51546">
              <w:rPr>
                <w:rFonts w:ascii="Abadi" w:hAnsi="Abadi"/>
                <w:b/>
                <w:bCs/>
                <w:sz w:val="21"/>
                <w:szCs w:val="21"/>
              </w:rPr>
              <w:t>19</w:t>
            </w:r>
          </w:p>
          <w:p w14:paraId="65785CE6" w14:textId="77777777" w:rsidR="00522BA8" w:rsidRPr="00F51546" w:rsidRDefault="00522BA8" w:rsidP="002B7145">
            <w:pPr>
              <w:jc w:val="both"/>
              <w:rPr>
                <w:rFonts w:ascii="Abadi" w:hAnsi="Abadi"/>
                <w:sz w:val="21"/>
                <w:szCs w:val="21"/>
              </w:rPr>
            </w:pPr>
          </w:p>
          <w:p w14:paraId="2E7DC154" w14:textId="52477A1C" w:rsidR="00522BA8" w:rsidRPr="00F51546" w:rsidRDefault="000E26F7"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respuesta a la consulta de la iniciativa por la que se adicionan los párrafos segundo, tercero y cuarto, recorriéndose los </w:t>
            </w:r>
            <w:r w:rsidRPr="00F51546">
              <w:rPr>
                <w:rFonts w:ascii="Abadi" w:hAnsi="Abadi" w:cs="Calibri"/>
                <w:sz w:val="21"/>
                <w:szCs w:val="21"/>
              </w:rPr>
              <w:lastRenderedPageBreak/>
              <w:t>subsecuentes, al artículo 157 de la Ley de Movilidad del Estado de Guanajuato y sus Municipios.</w:t>
            </w:r>
          </w:p>
        </w:tc>
        <w:tc>
          <w:tcPr>
            <w:tcW w:w="2126" w:type="dxa"/>
          </w:tcPr>
          <w:p w14:paraId="5DC7244B" w14:textId="77777777" w:rsidR="00665ED4" w:rsidRPr="00F51546" w:rsidRDefault="00665ED4" w:rsidP="005B747D">
            <w:pPr>
              <w:jc w:val="both"/>
              <w:rPr>
                <w:rFonts w:ascii="Abadi" w:hAnsi="Abadi"/>
                <w:b/>
                <w:bCs/>
                <w:sz w:val="21"/>
                <w:szCs w:val="21"/>
              </w:rPr>
            </w:pPr>
          </w:p>
          <w:p w14:paraId="0CB613CD" w14:textId="77777777" w:rsidR="000E26F7" w:rsidRPr="00F51546" w:rsidRDefault="000E26F7" w:rsidP="005B747D">
            <w:pPr>
              <w:jc w:val="both"/>
              <w:rPr>
                <w:rFonts w:ascii="Abadi" w:hAnsi="Abadi"/>
                <w:b/>
                <w:bCs/>
                <w:sz w:val="21"/>
                <w:szCs w:val="21"/>
              </w:rPr>
            </w:pPr>
          </w:p>
          <w:p w14:paraId="296E8317" w14:textId="386517F1" w:rsidR="000E26F7" w:rsidRPr="00F51546" w:rsidRDefault="000E26F7"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tc>
      </w:tr>
      <w:tr w:rsidR="00665ED4" w:rsidRPr="00F51546" w14:paraId="43421170" w14:textId="77777777" w:rsidTr="003521CC">
        <w:tc>
          <w:tcPr>
            <w:tcW w:w="2112" w:type="dxa"/>
          </w:tcPr>
          <w:p w14:paraId="767BE3FD" w14:textId="6872A479" w:rsidR="00665ED4" w:rsidRPr="00F51546" w:rsidRDefault="00A14283" w:rsidP="002B7145">
            <w:pPr>
              <w:jc w:val="both"/>
              <w:rPr>
                <w:rFonts w:ascii="Abadi" w:hAnsi="Abadi"/>
                <w:b/>
                <w:bCs/>
                <w:sz w:val="21"/>
                <w:szCs w:val="21"/>
              </w:rPr>
            </w:pPr>
            <w:r w:rsidRPr="00F51546">
              <w:rPr>
                <w:rFonts w:ascii="Abadi" w:hAnsi="Abadi"/>
                <w:b/>
                <w:bCs/>
                <w:sz w:val="21"/>
                <w:szCs w:val="21"/>
              </w:rPr>
              <w:t>3.2</w:t>
            </w:r>
          </w:p>
          <w:p w14:paraId="50D0102F" w14:textId="77777777" w:rsidR="00A14283" w:rsidRPr="00F51546" w:rsidRDefault="00A14283" w:rsidP="002B7145">
            <w:pPr>
              <w:jc w:val="both"/>
              <w:rPr>
                <w:rFonts w:ascii="Abadi" w:hAnsi="Abadi"/>
                <w:sz w:val="21"/>
                <w:szCs w:val="21"/>
              </w:rPr>
            </w:pPr>
          </w:p>
          <w:p w14:paraId="36340D4E" w14:textId="60E5BDC1" w:rsidR="000E26F7" w:rsidRPr="00F51546" w:rsidRDefault="0074458D"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el acuerdo recaído a la consulta de la iniciativa a efecto de adicionar un Capítulo III denominado de los Bienes de Dominio Público y Privado de los Municipios, con los artículos 220 Bis, 220 Ter, 220 </w:t>
            </w:r>
            <w:proofErr w:type="spellStart"/>
            <w:r w:rsidRPr="00F51546">
              <w:rPr>
                <w:rFonts w:ascii="Abadi" w:hAnsi="Abadi" w:cs="Calibri"/>
                <w:sz w:val="21"/>
                <w:szCs w:val="21"/>
              </w:rPr>
              <w:t>Quater</w:t>
            </w:r>
            <w:proofErr w:type="spellEnd"/>
            <w:r w:rsidRPr="00F51546">
              <w:rPr>
                <w:rFonts w:ascii="Abadi" w:hAnsi="Abadi" w:cs="Calibri"/>
                <w:sz w:val="21"/>
                <w:szCs w:val="21"/>
              </w:rPr>
              <w:t xml:space="preserve"> y 220 Quinquies, a la Ley Orgánica Municipal para el Estado de Guanajuato.</w:t>
            </w:r>
          </w:p>
        </w:tc>
        <w:tc>
          <w:tcPr>
            <w:tcW w:w="2126" w:type="dxa"/>
          </w:tcPr>
          <w:p w14:paraId="6593DE1D" w14:textId="77777777" w:rsidR="00665ED4" w:rsidRPr="00F51546" w:rsidRDefault="00665ED4" w:rsidP="005B747D">
            <w:pPr>
              <w:jc w:val="both"/>
              <w:rPr>
                <w:rFonts w:ascii="Abadi" w:hAnsi="Abadi"/>
                <w:b/>
                <w:bCs/>
                <w:sz w:val="21"/>
                <w:szCs w:val="21"/>
              </w:rPr>
            </w:pPr>
          </w:p>
          <w:p w14:paraId="0F80019D" w14:textId="77777777" w:rsidR="0074458D" w:rsidRPr="00F51546" w:rsidRDefault="0074458D" w:rsidP="005B747D">
            <w:pPr>
              <w:jc w:val="both"/>
              <w:rPr>
                <w:rFonts w:ascii="Abadi" w:hAnsi="Abadi"/>
                <w:b/>
                <w:bCs/>
                <w:sz w:val="21"/>
                <w:szCs w:val="21"/>
              </w:rPr>
            </w:pPr>
          </w:p>
          <w:p w14:paraId="05EF2A9A" w14:textId="1A01FDBC" w:rsidR="0074458D" w:rsidRPr="00F51546" w:rsidRDefault="0074458D"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Asuntos Municipales.</w:t>
            </w:r>
          </w:p>
        </w:tc>
      </w:tr>
      <w:tr w:rsidR="00665ED4" w:rsidRPr="00F51546" w14:paraId="72BD5067" w14:textId="77777777" w:rsidTr="003521CC">
        <w:tc>
          <w:tcPr>
            <w:tcW w:w="2112" w:type="dxa"/>
          </w:tcPr>
          <w:p w14:paraId="1420A49B" w14:textId="7B6A09EB" w:rsidR="00665ED4" w:rsidRPr="00F51546" w:rsidRDefault="00D26533" w:rsidP="002B7145">
            <w:pPr>
              <w:jc w:val="both"/>
              <w:rPr>
                <w:rFonts w:ascii="Abadi" w:hAnsi="Abadi"/>
                <w:b/>
                <w:bCs/>
                <w:sz w:val="21"/>
                <w:szCs w:val="21"/>
              </w:rPr>
            </w:pPr>
            <w:r w:rsidRPr="00F51546">
              <w:rPr>
                <w:rFonts w:ascii="Abadi" w:hAnsi="Abadi"/>
                <w:b/>
                <w:bCs/>
                <w:sz w:val="21"/>
                <w:szCs w:val="21"/>
              </w:rPr>
              <w:t>3.21</w:t>
            </w:r>
          </w:p>
          <w:p w14:paraId="10E0F943" w14:textId="77777777" w:rsidR="00A14283" w:rsidRPr="00F51546" w:rsidRDefault="00A14283" w:rsidP="002B7145">
            <w:pPr>
              <w:jc w:val="both"/>
              <w:rPr>
                <w:rFonts w:ascii="Abadi" w:hAnsi="Abadi"/>
                <w:sz w:val="21"/>
                <w:szCs w:val="21"/>
              </w:rPr>
            </w:pPr>
          </w:p>
          <w:p w14:paraId="58A3D811" w14:textId="52000EA2" w:rsidR="00A14283" w:rsidRPr="00F51546" w:rsidRDefault="0074458D"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reformar el artículo 76 en su fracción II, inciso G, haciéndose el recorrido del inciso H y adicionándose un inciso I a la Ley Orgánica Municipal para el Estado de Guanajuato.</w:t>
            </w:r>
          </w:p>
        </w:tc>
        <w:tc>
          <w:tcPr>
            <w:tcW w:w="2126" w:type="dxa"/>
          </w:tcPr>
          <w:p w14:paraId="668FB4A4" w14:textId="77777777" w:rsidR="00665ED4" w:rsidRPr="00F51546" w:rsidRDefault="00665ED4" w:rsidP="005B747D">
            <w:pPr>
              <w:jc w:val="both"/>
              <w:rPr>
                <w:rFonts w:ascii="Abadi" w:hAnsi="Abadi"/>
                <w:b/>
                <w:bCs/>
                <w:sz w:val="21"/>
                <w:szCs w:val="21"/>
              </w:rPr>
            </w:pPr>
          </w:p>
          <w:p w14:paraId="74BAB814" w14:textId="77777777" w:rsidR="00996EDA" w:rsidRPr="00F51546" w:rsidRDefault="00996EDA" w:rsidP="005B747D">
            <w:pPr>
              <w:jc w:val="both"/>
              <w:rPr>
                <w:rFonts w:ascii="Abadi" w:hAnsi="Abadi"/>
                <w:b/>
                <w:bCs/>
                <w:sz w:val="21"/>
                <w:szCs w:val="21"/>
              </w:rPr>
            </w:pPr>
          </w:p>
          <w:p w14:paraId="20A4F0F9" w14:textId="620FB095" w:rsidR="00996EDA" w:rsidRPr="00F51546" w:rsidRDefault="00996EDA"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Asuntos Municipales.</w:t>
            </w:r>
          </w:p>
        </w:tc>
      </w:tr>
      <w:tr w:rsidR="00665ED4" w:rsidRPr="00F51546" w14:paraId="4BBBC40F" w14:textId="77777777" w:rsidTr="003521CC">
        <w:tc>
          <w:tcPr>
            <w:tcW w:w="2112" w:type="dxa"/>
          </w:tcPr>
          <w:p w14:paraId="720C4C8F" w14:textId="4B9A7B27" w:rsidR="00665ED4" w:rsidRPr="00F51546" w:rsidRDefault="00D26533" w:rsidP="002B7145">
            <w:pPr>
              <w:jc w:val="both"/>
              <w:rPr>
                <w:rFonts w:ascii="Abadi" w:hAnsi="Abadi"/>
                <w:b/>
                <w:bCs/>
                <w:sz w:val="21"/>
                <w:szCs w:val="21"/>
              </w:rPr>
            </w:pPr>
            <w:r w:rsidRPr="00F51546">
              <w:rPr>
                <w:rFonts w:ascii="Abadi" w:hAnsi="Abadi"/>
                <w:b/>
                <w:bCs/>
                <w:sz w:val="21"/>
                <w:szCs w:val="21"/>
              </w:rPr>
              <w:t>3.22</w:t>
            </w:r>
          </w:p>
          <w:p w14:paraId="676A0361" w14:textId="77777777" w:rsidR="00A14283" w:rsidRPr="00F51546" w:rsidRDefault="00A14283" w:rsidP="002B7145">
            <w:pPr>
              <w:jc w:val="both"/>
              <w:rPr>
                <w:rFonts w:ascii="Abadi" w:hAnsi="Abadi"/>
                <w:sz w:val="21"/>
                <w:szCs w:val="21"/>
              </w:rPr>
            </w:pPr>
          </w:p>
          <w:p w14:paraId="63C2785A" w14:textId="2E4AA67E" w:rsidR="00A14283" w:rsidRPr="00F51546" w:rsidRDefault="00996EDA"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el acuerdo recaído a la consulta de la iniciativa a efecto de </w:t>
            </w:r>
            <w:r w:rsidRPr="00F51546">
              <w:rPr>
                <w:rFonts w:ascii="Abadi" w:hAnsi="Abadi" w:cs="Calibri"/>
                <w:sz w:val="21"/>
                <w:szCs w:val="21"/>
              </w:rPr>
              <w:t>reformar y adicionar diversas disposiciones del Código Territorial para el Estado y los Municipios de Guanajuato.</w:t>
            </w:r>
          </w:p>
        </w:tc>
        <w:tc>
          <w:tcPr>
            <w:tcW w:w="2126" w:type="dxa"/>
          </w:tcPr>
          <w:p w14:paraId="795E4BCD" w14:textId="77777777" w:rsidR="00665ED4" w:rsidRPr="00F51546" w:rsidRDefault="00665ED4" w:rsidP="005B747D">
            <w:pPr>
              <w:jc w:val="both"/>
              <w:rPr>
                <w:rFonts w:ascii="Abadi" w:hAnsi="Abadi"/>
                <w:b/>
                <w:bCs/>
                <w:sz w:val="21"/>
                <w:szCs w:val="21"/>
              </w:rPr>
            </w:pPr>
          </w:p>
          <w:p w14:paraId="5302F91A" w14:textId="77777777" w:rsidR="00996EDA" w:rsidRPr="00F51546" w:rsidRDefault="00996EDA" w:rsidP="005B747D">
            <w:pPr>
              <w:jc w:val="both"/>
              <w:rPr>
                <w:rFonts w:ascii="Abadi" w:hAnsi="Abadi"/>
                <w:b/>
                <w:bCs/>
                <w:sz w:val="21"/>
                <w:szCs w:val="21"/>
              </w:rPr>
            </w:pPr>
          </w:p>
          <w:p w14:paraId="368FF521" w14:textId="354CF09B" w:rsidR="00996EDA" w:rsidRPr="00F51546" w:rsidRDefault="00996EDA"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Desarrollo Urbano y Obra Pública.</w:t>
            </w:r>
          </w:p>
        </w:tc>
      </w:tr>
      <w:tr w:rsidR="00665ED4" w:rsidRPr="00F51546" w14:paraId="49B93404" w14:textId="77777777" w:rsidTr="003521CC">
        <w:tc>
          <w:tcPr>
            <w:tcW w:w="2112" w:type="dxa"/>
          </w:tcPr>
          <w:p w14:paraId="389DFDA3" w14:textId="20810F12" w:rsidR="00665ED4" w:rsidRPr="00F51546" w:rsidRDefault="00024F7B" w:rsidP="002B7145">
            <w:pPr>
              <w:jc w:val="both"/>
              <w:rPr>
                <w:rFonts w:ascii="Abadi" w:hAnsi="Abadi"/>
                <w:b/>
                <w:bCs/>
                <w:sz w:val="21"/>
                <w:szCs w:val="21"/>
              </w:rPr>
            </w:pPr>
            <w:r w:rsidRPr="00F51546">
              <w:rPr>
                <w:rFonts w:ascii="Abadi" w:hAnsi="Abadi"/>
                <w:b/>
                <w:bCs/>
                <w:sz w:val="21"/>
                <w:szCs w:val="21"/>
              </w:rPr>
              <w:t>3.23</w:t>
            </w:r>
          </w:p>
          <w:p w14:paraId="5894164E" w14:textId="77777777" w:rsidR="00A14283" w:rsidRPr="00F51546" w:rsidRDefault="00A14283" w:rsidP="002B7145">
            <w:pPr>
              <w:jc w:val="both"/>
              <w:rPr>
                <w:rFonts w:ascii="Abadi" w:hAnsi="Abadi"/>
                <w:sz w:val="21"/>
                <w:szCs w:val="21"/>
              </w:rPr>
            </w:pPr>
          </w:p>
          <w:p w14:paraId="7D5D61D1" w14:textId="5349D861" w:rsidR="00A14283" w:rsidRPr="00F51546" w:rsidRDefault="00024F7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adicionar una fracción VII al artículo 25, y una fracción IV al artículo 26 de la Constitución Política para el Estado de Guanajuato.</w:t>
            </w:r>
          </w:p>
        </w:tc>
        <w:tc>
          <w:tcPr>
            <w:tcW w:w="2126" w:type="dxa"/>
          </w:tcPr>
          <w:p w14:paraId="027E7E20" w14:textId="77777777" w:rsidR="00665ED4" w:rsidRPr="00F51546" w:rsidRDefault="00665ED4" w:rsidP="005B747D">
            <w:pPr>
              <w:jc w:val="both"/>
              <w:rPr>
                <w:rFonts w:ascii="Abadi" w:hAnsi="Abadi"/>
                <w:b/>
                <w:bCs/>
                <w:sz w:val="21"/>
                <w:szCs w:val="21"/>
              </w:rPr>
            </w:pPr>
          </w:p>
        </w:tc>
      </w:tr>
      <w:tr w:rsidR="00FD459F" w:rsidRPr="00F51546" w14:paraId="437FE043" w14:textId="77777777" w:rsidTr="003521CC">
        <w:tc>
          <w:tcPr>
            <w:tcW w:w="2112" w:type="dxa"/>
          </w:tcPr>
          <w:p w14:paraId="0FB29320" w14:textId="0455F651" w:rsidR="00FD459F" w:rsidRPr="00F51546" w:rsidRDefault="001F0C34" w:rsidP="002B7145">
            <w:pPr>
              <w:jc w:val="both"/>
              <w:rPr>
                <w:rFonts w:ascii="Abadi" w:hAnsi="Abadi"/>
                <w:b/>
                <w:bCs/>
                <w:sz w:val="21"/>
                <w:szCs w:val="21"/>
              </w:rPr>
            </w:pPr>
            <w:r w:rsidRPr="00F51546">
              <w:rPr>
                <w:rFonts w:ascii="Abadi" w:hAnsi="Abadi"/>
                <w:b/>
                <w:bCs/>
                <w:sz w:val="21"/>
                <w:szCs w:val="21"/>
              </w:rPr>
              <w:t>3.24</w:t>
            </w:r>
          </w:p>
          <w:p w14:paraId="606120D9" w14:textId="77777777" w:rsidR="001F0C34" w:rsidRPr="00F51546" w:rsidRDefault="001F0C34" w:rsidP="002B7145">
            <w:pPr>
              <w:jc w:val="both"/>
              <w:rPr>
                <w:rFonts w:ascii="Abadi" w:hAnsi="Abadi"/>
                <w:b/>
                <w:bCs/>
                <w:sz w:val="21"/>
                <w:szCs w:val="21"/>
              </w:rPr>
            </w:pPr>
          </w:p>
          <w:p w14:paraId="6583CE36" w14:textId="2C356D1B" w:rsidR="001F0C34" w:rsidRPr="00F51546" w:rsidRDefault="001302D8"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adicionar un párrafo segundo y se hace el recorrido del segundo párrafo como tercero, del artículo 45 de la Ley para la Protección de los Pueblos y Comunidades Indígenas en el Estado de Guanajuato.</w:t>
            </w:r>
          </w:p>
        </w:tc>
        <w:tc>
          <w:tcPr>
            <w:tcW w:w="2126" w:type="dxa"/>
          </w:tcPr>
          <w:p w14:paraId="6A6DD219" w14:textId="77777777" w:rsidR="00FD459F" w:rsidRPr="00F51546" w:rsidRDefault="00FD459F" w:rsidP="005B747D">
            <w:pPr>
              <w:jc w:val="both"/>
              <w:rPr>
                <w:rFonts w:ascii="Abadi" w:hAnsi="Abadi"/>
                <w:b/>
                <w:bCs/>
                <w:sz w:val="21"/>
                <w:szCs w:val="21"/>
              </w:rPr>
            </w:pPr>
          </w:p>
          <w:p w14:paraId="269553DD" w14:textId="77777777" w:rsidR="001302D8" w:rsidRPr="00F51546" w:rsidRDefault="001302D8" w:rsidP="005B747D">
            <w:pPr>
              <w:jc w:val="both"/>
              <w:rPr>
                <w:rFonts w:ascii="Abadi" w:hAnsi="Abadi"/>
                <w:b/>
                <w:bCs/>
                <w:sz w:val="21"/>
                <w:szCs w:val="21"/>
              </w:rPr>
            </w:pPr>
          </w:p>
          <w:p w14:paraId="0C8ACA4F" w14:textId="34FAF51D" w:rsidR="001302D8" w:rsidRPr="00F51546" w:rsidRDefault="001302D8"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Derechos Humanos y Atención a Grupos Vulnerables.</w:t>
            </w:r>
          </w:p>
        </w:tc>
      </w:tr>
      <w:tr w:rsidR="00FD459F" w:rsidRPr="00F51546" w14:paraId="6260774F" w14:textId="77777777" w:rsidTr="003521CC">
        <w:tc>
          <w:tcPr>
            <w:tcW w:w="2112" w:type="dxa"/>
          </w:tcPr>
          <w:p w14:paraId="7A0460CC" w14:textId="33A4A63C" w:rsidR="00FD459F" w:rsidRPr="00F51546" w:rsidRDefault="009D6CB5" w:rsidP="002B7145">
            <w:pPr>
              <w:jc w:val="both"/>
              <w:rPr>
                <w:rFonts w:ascii="Abadi" w:hAnsi="Abadi"/>
                <w:b/>
                <w:bCs/>
                <w:sz w:val="21"/>
                <w:szCs w:val="21"/>
              </w:rPr>
            </w:pPr>
            <w:r w:rsidRPr="00F51546">
              <w:rPr>
                <w:rFonts w:ascii="Abadi" w:hAnsi="Abadi"/>
                <w:b/>
                <w:bCs/>
                <w:sz w:val="21"/>
                <w:szCs w:val="21"/>
              </w:rPr>
              <w:t>3.25</w:t>
            </w:r>
          </w:p>
          <w:p w14:paraId="3F68565B" w14:textId="77777777" w:rsidR="001F0C34" w:rsidRPr="00F51546" w:rsidRDefault="001F0C34" w:rsidP="002B7145">
            <w:pPr>
              <w:jc w:val="both"/>
              <w:rPr>
                <w:rFonts w:ascii="Abadi" w:hAnsi="Abadi"/>
                <w:b/>
                <w:bCs/>
                <w:sz w:val="21"/>
                <w:szCs w:val="21"/>
              </w:rPr>
            </w:pPr>
          </w:p>
          <w:p w14:paraId="1176E1BC" w14:textId="316FE2BF" w:rsidR="001302D8" w:rsidRPr="00F51546" w:rsidRDefault="00601404"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el acuerdo recaído a la consulta de la iniciativa por la que se adiciona una fracción XXIV al </w:t>
            </w:r>
            <w:r w:rsidRPr="00F51546">
              <w:rPr>
                <w:rFonts w:ascii="Abadi" w:hAnsi="Abadi" w:cs="Calibri"/>
                <w:sz w:val="21"/>
                <w:szCs w:val="21"/>
              </w:rPr>
              <w:lastRenderedPageBreak/>
              <w:t>artículo 9 de la Ley del Sistema de Seguridad Pública del Estado de Guanajuato, y una fracción XXIV al artículo 16 de la Ley de Acceso de las Mujeres a una Vida Libre de Violencia para el Estado de Guanajuato.</w:t>
            </w:r>
          </w:p>
        </w:tc>
        <w:tc>
          <w:tcPr>
            <w:tcW w:w="2126" w:type="dxa"/>
          </w:tcPr>
          <w:p w14:paraId="295BEEEB" w14:textId="77777777" w:rsidR="00FD459F" w:rsidRPr="00F51546" w:rsidRDefault="00FD459F" w:rsidP="005B747D">
            <w:pPr>
              <w:jc w:val="both"/>
              <w:rPr>
                <w:rFonts w:ascii="Abadi" w:hAnsi="Abadi"/>
                <w:b/>
                <w:bCs/>
                <w:sz w:val="21"/>
                <w:szCs w:val="21"/>
              </w:rPr>
            </w:pPr>
          </w:p>
          <w:p w14:paraId="03D8E3A0" w14:textId="77777777" w:rsidR="00601404" w:rsidRPr="00F51546" w:rsidRDefault="00601404" w:rsidP="005B747D">
            <w:pPr>
              <w:jc w:val="both"/>
              <w:rPr>
                <w:rFonts w:ascii="Abadi" w:hAnsi="Abadi"/>
                <w:b/>
                <w:bCs/>
                <w:sz w:val="21"/>
                <w:szCs w:val="21"/>
              </w:rPr>
            </w:pPr>
          </w:p>
          <w:p w14:paraId="18BE94D5" w14:textId="193ABFA7" w:rsidR="00601404" w:rsidRPr="00F51546" w:rsidRDefault="00601404"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las Comisiones Unidas de Seguridad Pública y Comunicaciones y para la Igualdad de Género.</w:t>
            </w:r>
          </w:p>
        </w:tc>
      </w:tr>
      <w:tr w:rsidR="00665ED4" w:rsidRPr="00F51546" w14:paraId="4998C094" w14:textId="77777777" w:rsidTr="003521CC">
        <w:tc>
          <w:tcPr>
            <w:tcW w:w="2112" w:type="dxa"/>
          </w:tcPr>
          <w:p w14:paraId="17A0B2FE" w14:textId="5D49AE8C" w:rsidR="00665ED4" w:rsidRPr="00F51546" w:rsidRDefault="009D6CB5" w:rsidP="002B7145">
            <w:pPr>
              <w:jc w:val="both"/>
              <w:rPr>
                <w:rFonts w:ascii="Abadi" w:hAnsi="Abadi"/>
                <w:b/>
                <w:bCs/>
                <w:sz w:val="21"/>
                <w:szCs w:val="21"/>
              </w:rPr>
            </w:pPr>
            <w:r w:rsidRPr="00F51546">
              <w:rPr>
                <w:rFonts w:ascii="Abadi" w:hAnsi="Abadi"/>
                <w:b/>
                <w:bCs/>
                <w:sz w:val="21"/>
                <w:szCs w:val="21"/>
              </w:rPr>
              <w:t>3.26</w:t>
            </w:r>
          </w:p>
          <w:p w14:paraId="4346266E" w14:textId="77777777" w:rsidR="001F0C34" w:rsidRPr="00F51546" w:rsidRDefault="001F0C34" w:rsidP="002B7145">
            <w:pPr>
              <w:jc w:val="both"/>
              <w:rPr>
                <w:rFonts w:ascii="Abadi" w:hAnsi="Abadi"/>
                <w:sz w:val="21"/>
                <w:szCs w:val="21"/>
              </w:rPr>
            </w:pPr>
          </w:p>
          <w:p w14:paraId="62F52FB9" w14:textId="39EFF52E" w:rsidR="00601404" w:rsidRPr="00F51546" w:rsidRDefault="00601404"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que reforma diversas disposiciones de la Ley para la Protección y Atención del Migrante y sus Familias del Estado de Guanajuato.</w:t>
            </w:r>
          </w:p>
        </w:tc>
        <w:tc>
          <w:tcPr>
            <w:tcW w:w="2126" w:type="dxa"/>
          </w:tcPr>
          <w:p w14:paraId="4D3253C5" w14:textId="77777777" w:rsidR="00665ED4" w:rsidRPr="00F51546" w:rsidRDefault="00665ED4" w:rsidP="005B747D">
            <w:pPr>
              <w:jc w:val="both"/>
              <w:rPr>
                <w:rFonts w:ascii="Abadi" w:hAnsi="Abadi"/>
                <w:b/>
                <w:bCs/>
                <w:sz w:val="21"/>
                <w:szCs w:val="21"/>
              </w:rPr>
            </w:pPr>
          </w:p>
          <w:p w14:paraId="7342C283" w14:textId="77777777" w:rsidR="00601404" w:rsidRPr="00F51546" w:rsidRDefault="00601404" w:rsidP="005B747D">
            <w:pPr>
              <w:jc w:val="both"/>
              <w:rPr>
                <w:rFonts w:ascii="Abadi" w:hAnsi="Abadi"/>
                <w:b/>
                <w:bCs/>
                <w:sz w:val="21"/>
                <w:szCs w:val="21"/>
              </w:rPr>
            </w:pPr>
          </w:p>
          <w:p w14:paraId="7D44867A" w14:textId="77777777" w:rsidR="000373FB" w:rsidRPr="00F51546" w:rsidRDefault="000373FB" w:rsidP="000373FB">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p w14:paraId="7334BF38" w14:textId="77777777" w:rsidR="00601404" w:rsidRPr="00F51546" w:rsidRDefault="00601404" w:rsidP="005B747D">
            <w:pPr>
              <w:jc w:val="both"/>
              <w:rPr>
                <w:rFonts w:ascii="Abadi" w:hAnsi="Abadi"/>
                <w:b/>
                <w:bCs/>
                <w:sz w:val="21"/>
                <w:szCs w:val="21"/>
              </w:rPr>
            </w:pPr>
          </w:p>
        </w:tc>
      </w:tr>
      <w:tr w:rsidR="00024F7B" w:rsidRPr="00F51546" w14:paraId="3B47A61C" w14:textId="77777777" w:rsidTr="003521CC">
        <w:tc>
          <w:tcPr>
            <w:tcW w:w="2112" w:type="dxa"/>
          </w:tcPr>
          <w:p w14:paraId="02F45E01" w14:textId="27F09B36" w:rsidR="00024F7B" w:rsidRPr="00F51546" w:rsidRDefault="001211E9" w:rsidP="002B7145">
            <w:pPr>
              <w:jc w:val="both"/>
              <w:rPr>
                <w:rFonts w:ascii="Abadi" w:hAnsi="Abadi"/>
                <w:b/>
                <w:bCs/>
                <w:sz w:val="21"/>
                <w:szCs w:val="21"/>
              </w:rPr>
            </w:pPr>
            <w:r w:rsidRPr="00F51546">
              <w:rPr>
                <w:rFonts w:ascii="Abadi" w:hAnsi="Abadi"/>
                <w:b/>
                <w:bCs/>
                <w:sz w:val="21"/>
                <w:szCs w:val="21"/>
              </w:rPr>
              <w:t>3.27</w:t>
            </w:r>
          </w:p>
          <w:p w14:paraId="16B13502" w14:textId="77777777" w:rsidR="001F0C34" w:rsidRPr="00F51546" w:rsidRDefault="001F0C34" w:rsidP="002B7145">
            <w:pPr>
              <w:jc w:val="both"/>
              <w:rPr>
                <w:rFonts w:ascii="Abadi" w:hAnsi="Abadi"/>
                <w:sz w:val="21"/>
                <w:szCs w:val="21"/>
              </w:rPr>
            </w:pPr>
          </w:p>
          <w:p w14:paraId="7125A749" w14:textId="09EF4E4E" w:rsidR="000373FB" w:rsidRPr="00F51546" w:rsidRDefault="000373F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fin de reformar y adicionar diversas disposiciones de la Ley para la Protección y Atención del Migrante y sus Familias del Estado de Guanajuato, a efecto de fortalecer los derechos humanos de las mujeres migrantes.</w:t>
            </w:r>
          </w:p>
        </w:tc>
        <w:tc>
          <w:tcPr>
            <w:tcW w:w="2126" w:type="dxa"/>
          </w:tcPr>
          <w:p w14:paraId="3BF240B8" w14:textId="77777777" w:rsidR="00024F7B" w:rsidRPr="00F51546" w:rsidRDefault="00024F7B" w:rsidP="005B747D">
            <w:pPr>
              <w:jc w:val="both"/>
              <w:rPr>
                <w:rFonts w:ascii="Abadi" w:hAnsi="Abadi"/>
                <w:b/>
                <w:bCs/>
                <w:sz w:val="21"/>
                <w:szCs w:val="21"/>
              </w:rPr>
            </w:pPr>
          </w:p>
          <w:p w14:paraId="236F45F4" w14:textId="77777777" w:rsidR="000373FB" w:rsidRPr="00F51546" w:rsidRDefault="000373FB" w:rsidP="005B747D">
            <w:pPr>
              <w:jc w:val="both"/>
              <w:rPr>
                <w:rFonts w:ascii="Abadi" w:hAnsi="Abadi"/>
                <w:b/>
                <w:bCs/>
                <w:sz w:val="21"/>
                <w:szCs w:val="21"/>
              </w:rPr>
            </w:pPr>
          </w:p>
          <w:p w14:paraId="4C8F94AE" w14:textId="172073D6" w:rsidR="000373FB" w:rsidRPr="00F51546" w:rsidRDefault="000373FB"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tc>
      </w:tr>
      <w:tr w:rsidR="00024F7B" w:rsidRPr="00F51546" w14:paraId="29171B40" w14:textId="77777777" w:rsidTr="003521CC">
        <w:tc>
          <w:tcPr>
            <w:tcW w:w="2112" w:type="dxa"/>
          </w:tcPr>
          <w:p w14:paraId="35DB7B10" w14:textId="27E1AC7F" w:rsidR="00024F7B" w:rsidRPr="00F51546" w:rsidRDefault="00216D24" w:rsidP="002B7145">
            <w:pPr>
              <w:jc w:val="both"/>
              <w:rPr>
                <w:rFonts w:ascii="Abadi" w:hAnsi="Abadi"/>
                <w:b/>
                <w:bCs/>
                <w:sz w:val="21"/>
                <w:szCs w:val="21"/>
              </w:rPr>
            </w:pPr>
            <w:r w:rsidRPr="00F51546">
              <w:rPr>
                <w:rFonts w:ascii="Abadi" w:hAnsi="Abadi"/>
                <w:b/>
                <w:bCs/>
                <w:sz w:val="21"/>
                <w:szCs w:val="21"/>
              </w:rPr>
              <w:t>3.28</w:t>
            </w:r>
          </w:p>
          <w:p w14:paraId="0B84C02C" w14:textId="77777777" w:rsidR="001F0C34" w:rsidRPr="00F51546" w:rsidRDefault="001F0C34" w:rsidP="002B7145">
            <w:pPr>
              <w:jc w:val="both"/>
              <w:rPr>
                <w:rFonts w:ascii="Abadi" w:hAnsi="Abadi"/>
                <w:sz w:val="21"/>
                <w:szCs w:val="21"/>
              </w:rPr>
            </w:pPr>
          </w:p>
          <w:p w14:paraId="46BC6447" w14:textId="13397271" w:rsidR="000373FB" w:rsidRPr="00F51546" w:rsidRDefault="007624C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w:t>
            </w:r>
            <w:r w:rsidRPr="00F51546">
              <w:rPr>
                <w:rFonts w:ascii="Abadi" w:hAnsi="Abadi" w:cs="Calibri"/>
                <w:sz w:val="21"/>
                <w:szCs w:val="21"/>
              </w:rPr>
              <w:t xml:space="preserve">Apaseo el Grande, </w:t>
            </w:r>
            <w:proofErr w:type="spellStart"/>
            <w:r w:rsidRPr="00F51546">
              <w:rPr>
                <w:rFonts w:ascii="Abadi" w:hAnsi="Abadi" w:cs="Calibri"/>
                <w:sz w:val="21"/>
                <w:szCs w:val="21"/>
              </w:rPr>
              <w:t>Gto</w:t>
            </w:r>
            <w:proofErr w:type="spellEnd"/>
            <w:r w:rsidRPr="00F51546">
              <w:rPr>
                <w:rFonts w:ascii="Abadi" w:hAnsi="Abadi" w:cs="Calibri"/>
                <w:sz w:val="21"/>
                <w:szCs w:val="21"/>
              </w:rPr>
              <w:t>., remite el acuerdo recaído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tc>
        <w:tc>
          <w:tcPr>
            <w:tcW w:w="2126" w:type="dxa"/>
          </w:tcPr>
          <w:p w14:paraId="6BED34ED" w14:textId="77777777" w:rsidR="00024F7B" w:rsidRPr="00F51546" w:rsidRDefault="00024F7B" w:rsidP="005B747D">
            <w:pPr>
              <w:jc w:val="both"/>
              <w:rPr>
                <w:rFonts w:ascii="Abadi" w:hAnsi="Abadi"/>
                <w:b/>
                <w:bCs/>
                <w:sz w:val="21"/>
                <w:szCs w:val="21"/>
              </w:rPr>
            </w:pPr>
          </w:p>
          <w:p w14:paraId="555FE169" w14:textId="77777777" w:rsidR="007624CB" w:rsidRPr="00F51546" w:rsidRDefault="007624CB" w:rsidP="005B747D">
            <w:pPr>
              <w:jc w:val="both"/>
              <w:rPr>
                <w:rFonts w:ascii="Abadi" w:hAnsi="Abadi"/>
                <w:b/>
                <w:bCs/>
                <w:sz w:val="21"/>
                <w:szCs w:val="21"/>
              </w:rPr>
            </w:pPr>
          </w:p>
          <w:p w14:paraId="445FC50B" w14:textId="2F4673F3" w:rsidR="007624CB" w:rsidRPr="00F51546" w:rsidRDefault="007624CB"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tc>
      </w:tr>
      <w:tr w:rsidR="00024F7B" w:rsidRPr="00F51546" w14:paraId="5B994BF7" w14:textId="77777777" w:rsidTr="003521CC">
        <w:tc>
          <w:tcPr>
            <w:tcW w:w="2112" w:type="dxa"/>
          </w:tcPr>
          <w:p w14:paraId="4A6E96E0" w14:textId="681E3EA0" w:rsidR="00024F7B" w:rsidRPr="00F51546" w:rsidRDefault="00216D24" w:rsidP="002B7145">
            <w:pPr>
              <w:jc w:val="both"/>
              <w:rPr>
                <w:rFonts w:ascii="Abadi" w:hAnsi="Abadi"/>
                <w:b/>
                <w:bCs/>
                <w:sz w:val="21"/>
                <w:szCs w:val="21"/>
              </w:rPr>
            </w:pPr>
            <w:r w:rsidRPr="00F51546">
              <w:rPr>
                <w:rFonts w:ascii="Abadi" w:hAnsi="Abadi"/>
                <w:b/>
                <w:bCs/>
                <w:sz w:val="21"/>
                <w:szCs w:val="21"/>
              </w:rPr>
              <w:t>3.29</w:t>
            </w:r>
          </w:p>
          <w:p w14:paraId="6142412E" w14:textId="77777777" w:rsidR="001F0C34" w:rsidRPr="00F51546" w:rsidRDefault="001F0C34" w:rsidP="002B7145">
            <w:pPr>
              <w:jc w:val="both"/>
              <w:rPr>
                <w:rFonts w:ascii="Abadi" w:hAnsi="Abadi"/>
                <w:sz w:val="21"/>
                <w:szCs w:val="21"/>
              </w:rPr>
            </w:pPr>
          </w:p>
          <w:p w14:paraId="767D416F" w14:textId="3FA4BBF6" w:rsidR="00AF160B" w:rsidRPr="00F51546" w:rsidRDefault="00AF160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tc>
        <w:tc>
          <w:tcPr>
            <w:tcW w:w="2126" w:type="dxa"/>
          </w:tcPr>
          <w:p w14:paraId="775E0050" w14:textId="77777777" w:rsidR="00024F7B" w:rsidRPr="00F51546" w:rsidRDefault="00024F7B" w:rsidP="005B747D">
            <w:pPr>
              <w:jc w:val="both"/>
              <w:rPr>
                <w:rFonts w:ascii="Abadi" w:hAnsi="Abadi"/>
                <w:b/>
                <w:bCs/>
                <w:sz w:val="21"/>
                <w:szCs w:val="21"/>
              </w:rPr>
            </w:pPr>
          </w:p>
          <w:p w14:paraId="46369AA8" w14:textId="77777777" w:rsidR="00AF160B" w:rsidRPr="00F51546" w:rsidRDefault="00AF160B" w:rsidP="005B747D">
            <w:pPr>
              <w:jc w:val="both"/>
              <w:rPr>
                <w:rFonts w:ascii="Abadi" w:hAnsi="Abadi"/>
                <w:b/>
                <w:bCs/>
                <w:sz w:val="21"/>
                <w:szCs w:val="21"/>
              </w:rPr>
            </w:pPr>
          </w:p>
          <w:p w14:paraId="3E4441B3" w14:textId="23B3B5FE" w:rsidR="00AF160B" w:rsidRPr="00F51546" w:rsidRDefault="00AF160B"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tc>
      </w:tr>
      <w:tr w:rsidR="00FD459F" w:rsidRPr="00F51546" w14:paraId="484D188A" w14:textId="77777777" w:rsidTr="003521CC">
        <w:tc>
          <w:tcPr>
            <w:tcW w:w="2112" w:type="dxa"/>
          </w:tcPr>
          <w:p w14:paraId="5ED8AF7A" w14:textId="79C0F155" w:rsidR="00FD459F" w:rsidRPr="00F51546" w:rsidRDefault="00216D24" w:rsidP="002B7145">
            <w:pPr>
              <w:jc w:val="both"/>
              <w:rPr>
                <w:rFonts w:ascii="Abadi" w:hAnsi="Abadi"/>
                <w:b/>
                <w:bCs/>
                <w:sz w:val="21"/>
                <w:szCs w:val="21"/>
              </w:rPr>
            </w:pPr>
            <w:r w:rsidRPr="00F51546">
              <w:rPr>
                <w:rFonts w:ascii="Abadi" w:hAnsi="Abadi"/>
                <w:b/>
                <w:bCs/>
                <w:sz w:val="21"/>
                <w:szCs w:val="21"/>
              </w:rPr>
              <w:t>3.3</w:t>
            </w:r>
          </w:p>
          <w:p w14:paraId="49543CBC" w14:textId="77777777" w:rsidR="001F0C34" w:rsidRPr="00F51546" w:rsidRDefault="001F0C34" w:rsidP="002B7145">
            <w:pPr>
              <w:jc w:val="both"/>
              <w:rPr>
                <w:rFonts w:ascii="Abadi" w:hAnsi="Abadi"/>
                <w:sz w:val="21"/>
                <w:szCs w:val="21"/>
              </w:rPr>
            </w:pPr>
          </w:p>
          <w:p w14:paraId="50E1303D" w14:textId="3585C799" w:rsidR="00AF160B" w:rsidRPr="00F51546" w:rsidRDefault="00AD17C3"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respuesta a la consulta de la iniciativa por la que se adiciona una fracción XXIV al artículo 9 de la Ley </w:t>
            </w:r>
            <w:r w:rsidRPr="00F51546">
              <w:rPr>
                <w:rFonts w:ascii="Abadi" w:hAnsi="Abadi" w:cs="Calibri"/>
                <w:sz w:val="21"/>
                <w:szCs w:val="21"/>
              </w:rPr>
              <w:lastRenderedPageBreak/>
              <w:t>del Sistema de Seguridad Pública del Estado de Guanajuato, y una fracción XXIV al artículo 16 de la Ley de Acceso de las Mujeres a una Vida Libre de Violencia para el Estado de Guanajuato.</w:t>
            </w:r>
          </w:p>
        </w:tc>
        <w:tc>
          <w:tcPr>
            <w:tcW w:w="2126" w:type="dxa"/>
          </w:tcPr>
          <w:p w14:paraId="09BA297D" w14:textId="77777777" w:rsidR="00FD459F" w:rsidRPr="00F51546" w:rsidRDefault="00FD459F" w:rsidP="005B747D">
            <w:pPr>
              <w:jc w:val="both"/>
              <w:rPr>
                <w:rFonts w:ascii="Abadi" w:hAnsi="Abadi"/>
                <w:b/>
                <w:bCs/>
                <w:sz w:val="21"/>
                <w:szCs w:val="21"/>
              </w:rPr>
            </w:pPr>
          </w:p>
          <w:p w14:paraId="494069F1" w14:textId="77777777" w:rsidR="00AD17C3" w:rsidRPr="00F51546" w:rsidRDefault="00AD17C3" w:rsidP="005B747D">
            <w:pPr>
              <w:jc w:val="both"/>
              <w:rPr>
                <w:rFonts w:ascii="Abadi" w:hAnsi="Abadi"/>
                <w:b/>
                <w:bCs/>
                <w:sz w:val="21"/>
                <w:szCs w:val="21"/>
              </w:rPr>
            </w:pPr>
          </w:p>
          <w:p w14:paraId="6A0476C3" w14:textId="7E95D7F8" w:rsidR="00AD17C3" w:rsidRPr="00F51546" w:rsidRDefault="00AD17C3" w:rsidP="005B747D">
            <w:pPr>
              <w:jc w:val="both"/>
              <w:rPr>
                <w:rFonts w:ascii="Abadi" w:hAnsi="Abadi" w:cs="Calibri"/>
                <w:sz w:val="21"/>
                <w:szCs w:val="21"/>
                <w:lang w:val="es-MX" w:eastAsia="es-MX"/>
              </w:rPr>
            </w:pPr>
            <w:r w:rsidRPr="00F51546">
              <w:rPr>
                <w:rFonts w:ascii="Abadi" w:hAnsi="Abadi" w:cs="Calibri"/>
                <w:sz w:val="21"/>
                <w:szCs w:val="21"/>
              </w:rPr>
              <w:t>Enterados y se informa que se turnó a las Comisiones Unidas de Seguridad Pública y Comunicaciones y para la Igualdad de Género.</w:t>
            </w:r>
          </w:p>
        </w:tc>
      </w:tr>
      <w:tr w:rsidR="00FD459F" w:rsidRPr="00F51546" w14:paraId="3DB68ADF" w14:textId="77777777" w:rsidTr="003521CC">
        <w:tc>
          <w:tcPr>
            <w:tcW w:w="2112" w:type="dxa"/>
          </w:tcPr>
          <w:p w14:paraId="1ABC49CA" w14:textId="7EBEA0F0" w:rsidR="00FD459F" w:rsidRPr="00F51546" w:rsidRDefault="001D46AD" w:rsidP="002B7145">
            <w:pPr>
              <w:jc w:val="both"/>
              <w:rPr>
                <w:rFonts w:ascii="Abadi" w:hAnsi="Abadi"/>
                <w:b/>
                <w:bCs/>
                <w:sz w:val="21"/>
                <w:szCs w:val="21"/>
              </w:rPr>
            </w:pPr>
            <w:r w:rsidRPr="00F51546">
              <w:rPr>
                <w:rFonts w:ascii="Abadi" w:hAnsi="Abadi"/>
                <w:b/>
                <w:bCs/>
                <w:sz w:val="21"/>
                <w:szCs w:val="21"/>
              </w:rPr>
              <w:t>3.31</w:t>
            </w:r>
          </w:p>
          <w:p w14:paraId="464977DE" w14:textId="77777777" w:rsidR="001F0C34" w:rsidRPr="00F51546" w:rsidRDefault="001F0C34" w:rsidP="002B7145">
            <w:pPr>
              <w:jc w:val="both"/>
              <w:rPr>
                <w:rFonts w:ascii="Abadi" w:hAnsi="Abadi"/>
                <w:sz w:val="21"/>
                <w:szCs w:val="21"/>
              </w:rPr>
            </w:pPr>
          </w:p>
          <w:p w14:paraId="50B35015" w14:textId="2BA68A77" w:rsidR="00672EB0" w:rsidRPr="00F51546" w:rsidRDefault="00672EB0"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la consulta de la iniciativa que reforma diversas disposiciones de la Ley para la Protección y Atención del Migrante y sus Familias del Estado de Guanajuato.</w:t>
            </w:r>
          </w:p>
        </w:tc>
        <w:tc>
          <w:tcPr>
            <w:tcW w:w="2126" w:type="dxa"/>
          </w:tcPr>
          <w:p w14:paraId="32DEF0B2" w14:textId="77777777" w:rsidR="00FD459F" w:rsidRPr="00F51546" w:rsidRDefault="00FD459F" w:rsidP="005B747D">
            <w:pPr>
              <w:jc w:val="both"/>
              <w:rPr>
                <w:rFonts w:ascii="Abadi" w:hAnsi="Abadi"/>
                <w:b/>
                <w:bCs/>
                <w:sz w:val="21"/>
                <w:szCs w:val="21"/>
              </w:rPr>
            </w:pPr>
          </w:p>
          <w:p w14:paraId="6C10A1C3" w14:textId="77777777" w:rsidR="00672EB0" w:rsidRPr="00F51546" w:rsidRDefault="00672EB0" w:rsidP="005B747D">
            <w:pPr>
              <w:jc w:val="both"/>
              <w:rPr>
                <w:rFonts w:ascii="Abadi" w:hAnsi="Abadi"/>
                <w:b/>
                <w:bCs/>
                <w:sz w:val="21"/>
                <w:szCs w:val="21"/>
              </w:rPr>
            </w:pPr>
          </w:p>
          <w:p w14:paraId="0A140954" w14:textId="1D3C4E3B" w:rsidR="00672EB0" w:rsidRPr="00F51546" w:rsidRDefault="00672EB0"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tc>
      </w:tr>
      <w:tr w:rsidR="00FD459F" w:rsidRPr="00F51546" w14:paraId="310C7E4D" w14:textId="77777777" w:rsidTr="003521CC">
        <w:tc>
          <w:tcPr>
            <w:tcW w:w="2112" w:type="dxa"/>
          </w:tcPr>
          <w:p w14:paraId="511AB52E" w14:textId="539A8F3A" w:rsidR="00FD459F" w:rsidRPr="00F51546" w:rsidRDefault="001D46AD" w:rsidP="002B7145">
            <w:pPr>
              <w:jc w:val="both"/>
              <w:rPr>
                <w:rFonts w:ascii="Abadi" w:hAnsi="Abadi"/>
                <w:b/>
                <w:bCs/>
                <w:sz w:val="21"/>
                <w:szCs w:val="21"/>
              </w:rPr>
            </w:pPr>
            <w:r w:rsidRPr="00F51546">
              <w:rPr>
                <w:rFonts w:ascii="Abadi" w:hAnsi="Abadi"/>
                <w:b/>
                <w:bCs/>
                <w:sz w:val="21"/>
                <w:szCs w:val="21"/>
              </w:rPr>
              <w:t>3.32</w:t>
            </w:r>
          </w:p>
          <w:p w14:paraId="51A48E59" w14:textId="77777777" w:rsidR="001F0C34" w:rsidRPr="00F51546" w:rsidRDefault="001F0C34" w:rsidP="002B7145">
            <w:pPr>
              <w:jc w:val="both"/>
              <w:rPr>
                <w:rFonts w:ascii="Abadi" w:hAnsi="Abadi"/>
                <w:sz w:val="21"/>
                <w:szCs w:val="21"/>
              </w:rPr>
            </w:pPr>
          </w:p>
          <w:p w14:paraId="38693B69" w14:textId="63B3B6AF" w:rsidR="00672EB0" w:rsidRPr="00F51546" w:rsidRDefault="002E2082"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reformar y adicionar diversas disposiciones del Código Territorial para el Estado y los Municipios de Guanajuato.</w:t>
            </w:r>
          </w:p>
        </w:tc>
        <w:tc>
          <w:tcPr>
            <w:tcW w:w="2126" w:type="dxa"/>
          </w:tcPr>
          <w:p w14:paraId="086CB515" w14:textId="77777777" w:rsidR="00FD459F" w:rsidRPr="00F51546" w:rsidRDefault="00FD459F" w:rsidP="005B747D">
            <w:pPr>
              <w:jc w:val="both"/>
              <w:rPr>
                <w:rFonts w:ascii="Abadi" w:hAnsi="Abadi"/>
                <w:b/>
                <w:bCs/>
                <w:sz w:val="21"/>
                <w:szCs w:val="21"/>
              </w:rPr>
            </w:pPr>
          </w:p>
          <w:p w14:paraId="3611E351" w14:textId="77777777" w:rsidR="002E2082" w:rsidRPr="00F51546" w:rsidRDefault="002E2082" w:rsidP="005B747D">
            <w:pPr>
              <w:jc w:val="both"/>
              <w:rPr>
                <w:rFonts w:ascii="Abadi" w:hAnsi="Abadi"/>
                <w:b/>
                <w:bCs/>
                <w:sz w:val="21"/>
                <w:szCs w:val="21"/>
              </w:rPr>
            </w:pPr>
          </w:p>
          <w:p w14:paraId="3818F8C5" w14:textId="15857A23" w:rsidR="002E2082" w:rsidRPr="00F51546" w:rsidRDefault="002E2082"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Desarrollo Urbano y Obra Pública.</w:t>
            </w:r>
          </w:p>
        </w:tc>
      </w:tr>
      <w:tr w:rsidR="00FD459F" w:rsidRPr="00F51546" w14:paraId="02D9A34A" w14:textId="77777777" w:rsidTr="003521CC">
        <w:tc>
          <w:tcPr>
            <w:tcW w:w="2112" w:type="dxa"/>
          </w:tcPr>
          <w:p w14:paraId="50E44CD7" w14:textId="0F9C8C02" w:rsidR="00FD459F" w:rsidRPr="00F51546" w:rsidRDefault="003958A5" w:rsidP="002B7145">
            <w:pPr>
              <w:jc w:val="both"/>
              <w:rPr>
                <w:rFonts w:ascii="Abadi" w:hAnsi="Abadi"/>
                <w:b/>
                <w:bCs/>
                <w:sz w:val="21"/>
                <w:szCs w:val="21"/>
              </w:rPr>
            </w:pPr>
            <w:r w:rsidRPr="00F51546">
              <w:rPr>
                <w:rFonts w:ascii="Abadi" w:hAnsi="Abadi"/>
                <w:b/>
                <w:bCs/>
                <w:sz w:val="21"/>
                <w:szCs w:val="21"/>
              </w:rPr>
              <w:t>3.33</w:t>
            </w:r>
          </w:p>
          <w:p w14:paraId="11C59914" w14:textId="77777777" w:rsidR="001F0C34" w:rsidRPr="00F51546" w:rsidRDefault="001F0C34" w:rsidP="002B7145">
            <w:pPr>
              <w:jc w:val="both"/>
              <w:rPr>
                <w:rFonts w:ascii="Abadi" w:hAnsi="Abadi"/>
                <w:sz w:val="21"/>
                <w:szCs w:val="21"/>
              </w:rPr>
            </w:pPr>
          </w:p>
          <w:p w14:paraId="4756168E" w14:textId="7455DB8D" w:rsidR="002E2082" w:rsidRPr="00F51546" w:rsidRDefault="002E2082"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respuesta a la consulta de la iniciativa a efecto de reformar el artículo 76 en su fracción II, inciso G, haciéndose el recorrido del inciso H y adicionándose un </w:t>
            </w:r>
            <w:r w:rsidRPr="00F51546">
              <w:rPr>
                <w:rFonts w:ascii="Abadi" w:hAnsi="Abadi" w:cs="Calibri"/>
                <w:sz w:val="21"/>
                <w:szCs w:val="21"/>
              </w:rPr>
              <w:t>inciso I a la Ley Orgánica Municipal para el Estado de Guanajuato.</w:t>
            </w:r>
          </w:p>
        </w:tc>
        <w:tc>
          <w:tcPr>
            <w:tcW w:w="2126" w:type="dxa"/>
          </w:tcPr>
          <w:p w14:paraId="258142EE" w14:textId="77777777" w:rsidR="00FD459F" w:rsidRPr="00F51546" w:rsidRDefault="00FD459F" w:rsidP="005B747D">
            <w:pPr>
              <w:jc w:val="both"/>
              <w:rPr>
                <w:rFonts w:ascii="Abadi" w:hAnsi="Abadi"/>
                <w:b/>
                <w:bCs/>
                <w:sz w:val="21"/>
                <w:szCs w:val="21"/>
              </w:rPr>
            </w:pPr>
          </w:p>
          <w:p w14:paraId="4D05C777" w14:textId="77777777" w:rsidR="002E2082" w:rsidRPr="00F51546" w:rsidRDefault="002E2082" w:rsidP="005B747D">
            <w:pPr>
              <w:jc w:val="both"/>
              <w:rPr>
                <w:rFonts w:ascii="Abadi" w:hAnsi="Abadi"/>
                <w:b/>
                <w:bCs/>
                <w:sz w:val="21"/>
                <w:szCs w:val="21"/>
              </w:rPr>
            </w:pPr>
          </w:p>
          <w:p w14:paraId="23748B43" w14:textId="77777777" w:rsidR="009627FE" w:rsidRPr="00F51546" w:rsidRDefault="009627FE" w:rsidP="009627FE">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Asuntos Municipales.</w:t>
            </w:r>
          </w:p>
          <w:p w14:paraId="4CAC2378" w14:textId="77777777" w:rsidR="002E2082" w:rsidRPr="00F51546" w:rsidRDefault="002E2082" w:rsidP="005B747D">
            <w:pPr>
              <w:jc w:val="both"/>
              <w:rPr>
                <w:rFonts w:ascii="Abadi" w:hAnsi="Abadi"/>
                <w:b/>
                <w:bCs/>
                <w:sz w:val="21"/>
                <w:szCs w:val="21"/>
              </w:rPr>
            </w:pPr>
          </w:p>
        </w:tc>
      </w:tr>
      <w:tr w:rsidR="00FD459F" w:rsidRPr="00F51546" w14:paraId="3B8C56B1" w14:textId="77777777" w:rsidTr="003521CC">
        <w:tc>
          <w:tcPr>
            <w:tcW w:w="2112" w:type="dxa"/>
          </w:tcPr>
          <w:p w14:paraId="7123CF8C" w14:textId="3FC6FE84" w:rsidR="00FD459F" w:rsidRPr="00F51546" w:rsidRDefault="003958A5" w:rsidP="002B7145">
            <w:pPr>
              <w:jc w:val="both"/>
              <w:rPr>
                <w:rFonts w:ascii="Abadi" w:hAnsi="Abadi"/>
                <w:b/>
                <w:bCs/>
                <w:sz w:val="21"/>
                <w:szCs w:val="21"/>
              </w:rPr>
            </w:pPr>
            <w:r w:rsidRPr="00F51546">
              <w:rPr>
                <w:rFonts w:ascii="Abadi" w:hAnsi="Abadi"/>
                <w:b/>
                <w:bCs/>
                <w:sz w:val="21"/>
                <w:szCs w:val="21"/>
              </w:rPr>
              <w:t>3.34</w:t>
            </w:r>
          </w:p>
          <w:p w14:paraId="2C275AE5" w14:textId="77777777" w:rsidR="001F0C34" w:rsidRPr="00F51546" w:rsidRDefault="001F0C34" w:rsidP="002B7145">
            <w:pPr>
              <w:jc w:val="both"/>
              <w:rPr>
                <w:rFonts w:ascii="Abadi" w:hAnsi="Abadi"/>
                <w:sz w:val="21"/>
                <w:szCs w:val="21"/>
              </w:rPr>
            </w:pPr>
          </w:p>
          <w:p w14:paraId="725A088D" w14:textId="73D3A284" w:rsidR="009627FE" w:rsidRPr="00F51546" w:rsidRDefault="009627FE"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fin de reformar y adicionar diversas disposiciones de la Ley para la Protección y Atención del Migrante y sus Familias del Estado de Guanajuato, a efecto de fortalecer los derechos humanos de las mujeres migrantes.</w:t>
            </w:r>
          </w:p>
        </w:tc>
        <w:tc>
          <w:tcPr>
            <w:tcW w:w="2126" w:type="dxa"/>
          </w:tcPr>
          <w:p w14:paraId="603C180A" w14:textId="77777777" w:rsidR="00FD459F" w:rsidRPr="00F51546" w:rsidRDefault="00FD459F" w:rsidP="005B747D">
            <w:pPr>
              <w:jc w:val="both"/>
              <w:rPr>
                <w:rFonts w:ascii="Abadi" w:hAnsi="Abadi"/>
                <w:b/>
                <w:bCs/>
                <w:sz w:val="21"/>
                <w:szCs w:val="21"/>
              </w:rPr>
            </w:pPr>
          </w:p>
          <w:p w14:paraId="683820AF" w14:textId="77777777" w:rsidR="009627FE" w:rsidRPr="00F51546" w:rsidRDefault="009627FE" w:rsidP="005B747D">
            <w:pPr>
              <w:jc w:val="both"/>
              <w:rPr>
                <w:rFonts w:ascii="Abadi" w:hAnsi="Abadi"/>
                <w:b/>
                <w:bCs/>
                <w:sz w:val="21"/>
                <w:szCs w:val="21"/>
              </w:rPr>
            </w:pPr>
          </w:p>
          <w:p w14:paraId="0306EBAF" w14:textId="099DE011" w:rsidR="009627FE" w:rsidRPr="00F51546" w:rsidRDefault="000B6CE0"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tc>
      </w:tr>
      <w:tr w:rsidR="00FD459F" w:rsidRPr="00F51546" w14:paraId="3DD2D4F2" w14:textId="77777777" w:rsidTr="003521CC">
        <w:tc>
          <w:tcPr>
            <w:tcW w:w="2112" w:type="dxa"/>
          </w:tcPr>
          <w:p w14:paraId="330AE211" w14:textId="6EFA68DE" w:rsidR="00FD459F" w:rsidRPr="00F51546" w:rsidRDefault="00F12118" w:rsidP="002B7145">
            <w:pPr>
              <w:jc w:val="both"/>
              <w:rPr>
                <w:rFonts w:ascii="Abadi" w:hAnsi="Abadi"/>
                <w:b/>
                <w:bCs/>
                <w:sz w:val="21"/>
                <w:szCs w:val="21"/>
              </w:rPr>
            </w:pPr>
            <w:r w:rsidRPr="00F51546">
              <w:rPr>
                <w:rFonts w:ascii="Abadi" w:hAnsi="Abadi"/>
                <w:b/>
                <w:bCs/>
                <w:sz w:val="21"/>
                <w:szCs w:val="21"/>
              </w:rPr>
              <w:t>3.35</w:t>
            </w:r>
          </w:p>
          <w:p w14:paraId="6E5D1B7C" w14:textId="77777777" w:rsidR="001F0C34" w:rsidRPr="00F51546" w:rsidRDefault="001F0C34" w:rsidP="002B7145">
            <w:pPr>
              <w:jc w:val="both"/>
              <w:rPr>
                <w:rFonts w:ascii="Abadi" w:hAnsi="Abadi"/>
                <w:sz w:val="21"/>
                <w:szCs w:val="21"/>
              </w:rPr>
            </w:pPr>
          </w:p>
          <w:p w14:paraId="11E68E09" w14:textId="0E6699F3" w:rsidR="00050705" w:rsidRPr="00F51546" w:rsidRDefault="00050705"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adicionar un párrafo segundo y se hace el recorrido del segundo párrafo como tercero, del artículo 45 de la Ley para la Protección de los Pueblos y Comunidades Indígenas en el Estado de Guanajuato.</w:t>
            </w:r>
          </w:p>
        </w:tc>
        <w:tc>
          <w:tcPr>
            <w:tcW w:w="2126" w:type="dxa"/>
          </w:tcPr>
          <w:p w14:paraId="1636E444" w14:textId="77777777" w:rsidR="00FD459F" w:rsidRPr="00F51546" w:rsidRDefault="00FD459F" w:rsidP="005B747D">
            <w:pPr>
              <w:jc w:val="both"/>
              <w:rPr>
                <w:rFonts w:ascii="Abadi" w:hAnsi="Abadi"/>
                <w:b/>
                <w:bCs/>
                <w:sz w:val="21"/>
                <w:szCs w:val="21"/>
              </w:rPr>
            </w:pPr>
          </w:p>
          <w:p w14:paraId="6DE87484" w14:textId="77777777" w:rsidR="00050705" w:rsidRPr="00F51546" w:rsidRDefault="00050705" w:rsidP="005B747D">
            <w:pPr>
              <w:jc w:val="both"/>
              <w:rPr>
                <w:rFonts w:ascii="Abadi" w:hAnsi="Abadi"/>
                <w:b/>
                <w:bCs/>
                <w:sz w:val="21"/>
                <w:szCs w:val="21"/>
              </w:rPr>
            </w:pPr>
          </w:p>
          <w:p w14:paraId="54E3AF8F" w14:textId="0107EE1F" w:rsidR="00050705" w:rsidRPr="00F51546" w:rsidRDefault="00A57C47"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Derechos Humanos y Atención a Grupos Vulnerables.</w:t>
            </w:r>
          </w:p>
        </w:tc>
      </w:tr>
      <w:tr w:rsidR="00024F7B" w:rsidRPr="00F51546" w14:paraId="3A97B0E9" w14:textId="77777777" w:rsidTr="003521CC">
        <w:tc>
          <w:tcPr>
            <w:tcW w:w="2112" w:type="dxa"/>
          </w:tcPr>
          <w:p w14:paraId="71EFD97A" w14:textId="2CBA3DC0" w:rsidR="00024F7B" w:rsidRPr="00F51546" w:rsidRDefault="00F12118" w:rsidP="002B7145">
            <w:pPr>
              <w:jc w:val="both"/>
              <w:rPr>
                <w:rFonts w:ascii="Abadi" w:hAnsi="Abadi"/>
                <w:b/>
                <w:bCs/>
                <w:sz w:val="21"/>
                <w:szCs w:val="21"/>
              </w:rPr>
            </w:pPr>
            <w:r w:rsidRPr="00F51546">
              <w:rPr>
                <w:rFonts w:ascii="Abadi" w:hAnsi="Abadi"/>
                <w:b/>
                <w:bCs/>
                <w:sz w:val="21"/>
                <w:szCs w:val="21"/>
              </w:rPr>
              <w:t>3.36</w:t>
            </w:r>
          </w:p>
          <w:p w14:paraId="7BF4BAB8" w14:textId="77777777" w:rsidR="001F0C34" w:rsidRPr="00F51546" w:rsidRDefault="001F0C34" w:rsidP="002B7145">
            <w:pPr>
              <w:jc w:val="both"/>
              <w:rPr>
                <w:rFonts w:ascii="Abadi" w:hAnsi="Abadi"/>
                <w:sz w:val="21"/>
                <w:szCs w:val="21"/>
              </w:rPr>
            </w:pPr>
          </w:p>
          <w:p w14:paraId="0833E29E" w14:textId="33D7AE9D" w:rsidR="00AE17F3" w:rsidRPr="00F51546" w:rsidRDefault="00EC00B6"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respuesta a la consulta de la iniciativa a efecto de reformar y adicionar diversas </w:t>
            </w:r>
            <w:r w:rsidRPr="00F51546">
              <w:rPr>
                <w:rFonts w:ascii="Abadi" w:hAnsi="Abadi" w:cs="Calibri"/>
                <w:sz w:val="21"/>
                <w:szCs w:val="21"/>
              </w:rPr>
              <w:lastRenderedPageBreak/>
              <w:t>disposiciones de la Ley para la Protección y Atención del Migrante y sus Familias del Estado de Guanajuato, para dar mayor apertura a la participación de la sociedad civil en materia de políticas públicas para los migrantes y sus familias.</w:t>
            </w:r>
          </w:p>
        </w:tc>
        <w:tc>
          <w:tcPr>
            <w:tcW w:w="2126" w:type="dxa"/>
          </w:tcPr>
          <w:p w14:paraId="5E87A4BC" w14:textId="77777777" w:rsidR="00024F7B" w:rsidRPr="00F51546" w:rsidRDefault="00024F7B" w:rsidP="005B747D">
            <w:pPr>
              <w:jc w:val="both"/>
              <w:rPr>
                <w:rFonts w:ascii="Abadi" w:hAnsi="Abadi"/>
                <w:b/>
                <w:bCs/>
                <w:sz w:val="21"/>
                <w:szCs w:val="21"/>
              </w:rPr>
            </w:pPr>
          </w:p>
          <w:p w14:paraId="4C9B7268" w14:textId="77777777" w:rsidR="007F4389" w:rsidRPr="00F51546" w:rsidRDefault="007F4389" w:rsidP="005B747D">
            <w:pPr>
              <w:jc w:val="both"/>
              <w:rPr>
                <w:rFonts w:ascii="Abadi" w:hAnsi="Abadi"/>
                <w:b/>
                <w:bCs/>
                <w:sz w:val="21"/>
                <w:szCs w:val="21"/>
              </w:rPr>
            </w:pPr>
          </w:p>
          <w:p w14:paraId="49897D46" w14:textId="49692F3D" w:rsidR="007F4389" w:rsidRPr="00F51546" w:rsidRDefault="007F4389"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Atención al Migrante.</w:t>
            </w:r>
          </w:p>
        </w:tc>
      </w:tr>
      <w:tr w:rsidR="00024F7B" w:rsidRPr="00F51546" w14:paraId="1A1CAB62" w14:textId="77777777" w:rsidTr="003521CC">
        <w:tc>
          <w:tcPr>
            <w:tcW w:w="2112" w:type="dxa"/>
          </w:tcPr>
          <w:p w14:paraId="09331553" w14:textId="28BAF8B0" w:rsidR="00024F7B" w:rsidRPr="00F51546" w:rsidRDefault="00F12118" w:rsidP="002B7145">
            <w:pPr>
              <w:jc w:val="both"/>
              <w:rPr>
                <w:rFonts w:ascii="Abadi" w:hAnsi="Abadi"/>
                <w:b/>
                <w:bCs/>
                <w:sz w:val="21"/>
                <w:szCs w:val="21"/>
              </w:rPr>
            </w:pPr>
            <w:r w:rsidRPr="00F51546">
              <w:rPr>
                <w:rFonts w:ascii="Abadi" w:hAnsi="Abadi"/>
                <w:b/>
                <w:bCs/>
                <w:sz w:val="21"/>
                <w:szCs w:val="21"/>
              </w:rPr>
              <w:t>3.37</w:t>
            </w:r>
          </w:p>
          <w:p w14:paraId="106ED10A" w14:textId="77777777" w:rsidR="001F0C34" w:rsidRPr="00F51546" w:rsidRDefault="001F0C34" w:rsidP="002B7145">
            <w:pPr>
              <w:jc w:val="both"/>
              <w:rPr>
                <w:rFonts w:ascii="Abadi" w:hAnsi="Abadi"/>
                <w:sz w:val="21"/>
                <w:szCs w:val="21"/>
              </w:rPr>
            </w:pPr>
          </w:p>
          <w:p w14:paraId="686AA33F" w14:textId="64A5A3F8" w:rsidR="007F4389" w:rsidRPr="00F51546" w:rsidRDefault="002A3E9F"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de reformas y adiciones a diversos artículos de la Constitución Política para el Estado de Guanajuato, en materia de armonización sobre suspensión de derechos para ocupar un cargo, empleo o comisión del servicio público.</w:t>
            </w:r>
          </w:p>
        </w:tc>
        <w:tc>
          <w:tcPr>
            <w:tcW w:w="2126" w:type="dxa"/>
          </w:tcPr>
          <w:p w14:paraId="6A36255B" w14:textId="77777777" w:rsidR="00024F7B" w:rsidRPr="00F51546" w:rsidRDefault="00024F7B" w:rsidP="005B747D">
            <w:pPr>
              <w:jc w:val="both"/>
              <w:rPr>
                <w:rFonts w:ascii="Abadi" w:hAnsi="Abadi"/>
                <w:b/>
                <w:bCs/>
                <w:sz w:val="21"/>
                <w:szCs w:val="21"/>
              </w:rPr>
            </w:pPr>
          </w:p>
          <w:p w14:paraId="607F635F" w14:textId="77777777" w:rsidR="00E34575" w:rsidRPr="00F51546" w:rsidRDefault="00E34575" w:rsidP="005B747D">
            <w:pPr>
              <w:jc w:val="both"/>
              <w:rPr>
                <w:rFonts w:ascii="Abadi" w:hAnsi="Abadi"/>
                <w:b/>
                <w:bCs/>
                <w:sz w:val="21"/>
                <w:szCs w:val="21"/>
              </w:rPr>
            </w:pPr>
          </w:p>
          <w:p w14:paraId="5E05A876" w14:textId="26DB51C0" w:rsidR="00E34575" w:rsidRPr="00F51546" w:rsidRDefault="00E34575"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tc>
      </w:tr>
      <w:tr w:rsidR="00024F7B" w:rsidRPr="00F51546" w14:paraId="0117FF53" w14:textId="77777777" w:rsidTr="003521CC">
        <w:tc>
          <w:tcPr>
            <w:tcW w:w="2112" w:type="dxa"/>
          </w:tcPr>
          <w:p w14:paraId="4A2639E0" w14:textId="3AEB308A" w:rsidR="00024F7B" w:rsidRPr="00F51546" w:rsidRDefault="0071763A" w:rsidP="002B7145">
            <w:pPr>
              <w:jc w:val="both"/>
              <w:rPr>
                <w:rFonts w:ascii="Abadi" w:hAnsi="Abadi"/>
                <w:b/>
                <w:bCs/>
                <w:sz w:val="21"/>
                <w:szCs w:val="21"/>
              </w:rPr>
            </w:pPr>
            <w:r w:rsidRPr="00F51546">
              <w:rPr>
                <w:rFonts w:ascii="Abadi" w:hAnsi="Abadi"/>
                <w:b/>
                <w:bCs/>
                <w:sz w:val="21"/>
                <w:szCs w:val="21"/>
              </w:rPr>
              <w:t>3.38</w:t>
            </w:r>
          </w:p>
          <w:p w14:paraId="02C4CF91" w14:textId="77777777" w:rsidR="001F0C34" w:rsidRPr="00F51546" w:rsidRDefault="001F0C34" w:rsidP="002B7145">
            <w:pPr>
              <w:jc w:val="both"/>
              <w:rPr>
                <w:rFonts w:ascii="Abadi" w:hAnsi="Abadi"/>
                <w:sz w:val="21"/>
                <w:szCs w:val="21"/>
              </w:rPr>
            </w:pPr>
          </w:p>
          <w:p w14:paraId="58E79362" w14:textId="3B18D782" w:rsidR="00E34575" w:rsidRPr="00F51546" w:rsidRDefault="00BF2B80"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Atarjea, </w:t>
            </w:r>
            <w:proofErr w:type="spellStart"/>
            <w:r w:rsidRPr="00F51546">
              <w:rPr>
                <w:rFonts w:ascii="Abadi" w:hAnsi="Abadi" w:cs="Calibri"/>
                <w:sz w:val="21"/>
                <w:szCs w:val="21"/>
              </w:rPr>
              <w:t>Gto</w:t>
            </w:r>
            <w:proofErr w:type="spellEnd"/>
            <w:r w:rsidRPr="00F51546">
              <w:rPr>
                <w:rFonts w:ascii="Abadi" w:hAnsi="Abadi" w:cs="Calibri"/>
                <w:sz w:val="21"/>
                <w:szCs w:val="21"/>
              </w:rPr>
              <w:t>., comunica la aprobación de la Minuta Proyecto de Decreto mediante la cual se reforman los artículos 6 párrafo tercero, 23 fracción I, 24 fracción II, 103 y 105 y se derogan los artículos 77, fracción XIV y 104, párrafo tercero de la Constitución Política para el Estado de Guanajuato.</w:t>
            </w:r>
          </w:p>
        </w:tc>
        <w:tc>
          <w:tcPr>
            <w:tcW w:w="2126" w:type="dxa"/>
          </w:tcPr>
          <w:p w14:paraId="688E2F02" w14:textId="77777777" w:rsidR="00024F7B" w:rsidRPr="00F51546" w:rsidRDefault="00024F7B" w:rsidP="005B747D">
            <w:pPr>
              <w:jc w:val="both"/>
              <w:rPr>
                <w:rFonts w:ascii="Abadi" w:hAnsi="Abadi"/>
                <w:b/>
                <w:bCs/>
                <w:sz w:val="21"/>
                <w:szCs w:val="21"/>
              </w:rPr>
            </w:pPr>
          </w:p>
          <w:p w14:paraId="0960E21C" w14:textId="77777777" w:rsidR="00BF2B80" w:rsidRPr="00F51546" w:rsidRDefault="00BF2B80" w:rsidP="005B747D">
            <w:pPr>
              <w:jc w:val="both"/>
              <w:rPr>
                <w:rFonts w:ascii="Abadi" w:hAnsi="Abadi"/>
                <w:b/>
                <w:bCs/>
                <w:sz w:val="21"/>
                <w:szCs w:val="21"/>
              </w:rPr>
            </w:pPr>
          </w:p>
          <w:p w14:paraId="470E0D10" w14:textId="3D354F06" w:rsidR="00BF2B80" w:rsidRPr="00F51546" w:rsidRDefault="001B69F2" w:rsidP="005B747D">
            <w:pPr>
              <w:jc w:val="both"/>
              <w:rPr>
                <w:rFonts w:ascii="Abadi" w:hAnsi="Abadi" w:cs="Calibri"/>
                <w:b/>
                <w:bCs/>
                <w:sz w:val="21"/>
                <w:szCs w:val="21"/>
                <w:lang w:val="es-MX" w:eastAsia="es-MX"/>
              </w:rPr>
            </w:pPr>
            <w:r w:rsidRPr="00F51546">
              <w:rPr>
                <w:rFonts w:ascii="Abadi" w:hAnsi="Abadi" w:cs="Calibri"/>
                <w:b/>
                <w:bCs/>
                <w:sz w:val="21"/>
                <w:szCs w:val="21"/>
              </w:rPr>
              <w:t>Enterados y se agrega a su expediente para efecto del cómputo, de conformidad con el artículo 145 de la Constitución Política para el Estado de Guanajuato.</w:t>
            </w:r>
          </w:p>
        </w:tc>
      </w:tr>
      <w:tr w:rsidR="00024F7B" w:rsidRPr="00F51546" w14:paraId="01147C6A" w14:textId="77777777" w:rsidTr="003521CC">
        <w:tc>
          <w:tcPr>
            <w:tcW w:w="2112" w:type="dxa"/>
          </w:tcPr>
          <w:p w14:paraId="54AC9E02" w14:textId="278EBCFA" w:rsidR="00024F7B" w:rsidRPr="00F51546" w:rsidRDefault="0071763A" w:rsidP="002B7145">
            <w:pPr>
              <w:jc w:val="both"/>
              <w:rPr>
                <w:rFonts w:ascii="Abadi" w:hAnsi="Abadi"/>
                <w:b/>
                <w:bCs/>
                <w:sz w:val="21"/>
                <w:szCs w:val="21"/>
              </w:rPr>
            </w:pPr>
            <w:r w:rsidRPr="00F51546">
              <w:rPr>
                <w:rFonts w:ascii="Abadi" w:hAnsi="Abadi"/>
                <w:b/>
                <w:bCs/>
                <w:sz w:val="21"/>
                <w:szCs w:val="21"/>
              </w:rPr>
              <w:t>3.39</w:t>
            </w:r>
          </w:p>
          <w:p w14:paraId="53D21263" w14:textId="77777777" w:rsidR="001F0C34" w:rsidRPr="00F51546" w:rsidRDefault="001F0C34" w:rsidP="002B7145">
            <w:pPr>
              <w:jc w:val="both"/>
              <w:rPr>
                <w:rFonts w:ascii="Abadi" w:hAnsi="Abadi"/>
                <w:sz w:val="21"/>
                <w:szCs w:val="21"/>
              </w:rPr>
            </w:pPr>
          </w:p>
          <w:p w14:paraId="10AAC4D5" w14:textId="372C7E2D" w:rsidR="00BD3961" w:rsidRPr="00F51546" w:rsidRDefault="003A42CA"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Yuriria,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reformar el artículo 23 de la Ley para las Juventudes del Estado de Guanajuato.</w:t>
            </w:r>
          </w:p>
        </w:tc>
        <w:tc>
          <w:tcPr>
            <w:tcW w:w="2126" w:type="dxa"/>
          </w:tcPr>
          <w:p w14:paraId="2325002A" w14:textId="77777777" w:rsidR="00024F7B" w:rsidRPr="00F51546" w:rsidRDefault="00024F7B" w:rsidP="005B747D">
            <w:pPr>
              <w:jc w:val="both"/>
              <w:rPr>
                <w:rFonts w:ascii="Abadi" w:hAnsi="Abadi"/>
                <w:b/>
                <w:bCs/>
                <w:sz w:val="21"/>
                <w:szCs w:val="21"/>
              </w:rPr>
            </w:pPr>
          </w:p>
          <w:p w14:paraId="2CCD3897" w14:textId="77777777" w:rsidR="003A42CA" w:rsidRPr="00F51546" w:rsidRDefault="003A42CA" w:rsidP="005B747D">
            <w:pPr>
              <w:jc w:val="both"/>
              <w:rPr>
                <w:rFonts w:ascii="Abadi" w:hAnsi="Abadi"/>
                <w:b/>
                <w:bCs/>
                <w:sz w:val="21"/>
                <w:szCs w:val="21"/>
              </w:rPr>
            </w:pPr>
          </w:p>
          <w:p w14:paraId="7157FF66" w14:textId="77777777" w:rsidR="003A42CA" w:rsidRPr="00F51546" w:rsidRDefault="003A42CA" w:rsidP="003A42CA">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Juventud y Deporte.</w:t>
            </w:r>
          </w:p>
          <w:p w14:paraId="024DE345" w14:textId="77777777" w:rsidR="003A42CA" w:rsidRPr="00F51546" w:rsidRDefault="003A42CA" w:rsidP="005B747D">
            <w:pPr>
              <w:jc w:val="both"/>
              <w:rPr>
                <w:rFonts w:ascii="Abadi" w:hAnsi="Abadi"/>
                <w:b/>
                <w:bCs/>
                <w:sz w:val="21"/>
                <w:szCs w:val="21"/>
              </w:rPr>
            </w:pPr>
          </w:p>
        </w:tc>
      </w:tr>
      <w:tr w:rsidR="00024F7B" w:rsidRPr="00F51546" w14:paraId="0BE0243D" w14:textId="77777777" w:rsidTr="003521CC">
        <w:tc>
          <w:tcPr>
            <w:tcW w:w="2112" w:type="dxa"/>
          </w:tcPr>
          <w:p w14:paraId="303A0E2B" w14:textId="64B9B45E" w:rsidR="00024F7B" w:rsidRPr="00F51546" w:rsidRDefault="0071763A" w:rsidP="002B7145">
            <w:pPr>
              <w:jc w:val="both"/>
              <w:rPr>
                <w:rFonts w:ascii="Abadi" w:hAnsi="Abadi"/>
                <w:b/>
                <w:bCs/>
                <w:sz w:val="21"/>
                <w:szCs w:val="21"/>
              </w:rPr>
            </w:pPr>
            <w:r w:rsidRPr="00F51546">
              <w:rPr>
                <w:rFonts w:ascii="Abadi" w:hAnsi="Abadi"/>
                <w:b/>
                <w:bCs/>
                <w:sz w:val="21"/>
                <w:szCs w:val="21"/>
              </w:rPr>
              <w:t>3.4</w:t>
            </w:r>
          </w:p>
          <w:p w14:paraId="54CDBF39" w14:textId="77777777" w:rsidR="001F0C34" w:rsidRPr="00F51546" w:rsidRDefault="001F0C34" w:rsidP="002B7145">
            <w:pPr>
              <w:jc w:val="both"/>
              <w:rPr>
                <w:rFonts w:ascii="Abadi" w:hAnsi="Abadi"/>
                <w:sz w:val="21"/>
                <w:szCs w:val="21"/>
              </w:rPr>
            </w:pPr>
          </w:p>
          <w:p w14:paraId="09F59C08" w14:textId="25DA991E" w:rsidR="00CB637D" w:rsidRPr="00F51546" w:rsidRDefault="00CB637D"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Irapuato, </w:t>
            </w:r>
            <w:proofErr w:type="spellStart"/>
            <w:r w:rsidRPr="00F51546">
              <w:rPr>
                <w:rFonts w:ascii="Abadi" w:hAnsi="Abadi" w:cs="Calibri"/>
                <w:sz w:val="21"/>
                <w:szCs w:val="21"/>
              </w:rPr>
              <w:t>Gto</w:t>
            </w:r>
            <w:proofErr w:type="spellEnd"/>
            <w:r w:rsidRPr="00F51546">
              <w:rPr>
                <w:rFonts w:ascii="Abadi" w:hAnsi="Abadi" w:cs="Calibri"/>
                <w:sz w:val="21"/>
                <w:szCs w:val="21"/>
              </w:rPr>
              <w:t>., remite copia simple del oficio DGAJ/DN/CR/1941/2023, suscrito por la directora de lo Normativo, por medio del cual da respuesta a la consulta de la iniciativa que reforma y adiciona diversas disposiciones de la Ley de Movilidad del Estado de Guanajuato y sus Municipios.</w:t>
            </w:r>
          </w:p>
        </w:tc>
        <w:tc>
          <w:tcPr>
            <w:tcW w:w="2126" w:type="dxa"/>
          </w:tcPr>
          <w:p w14:paraId="4584E430" w14:textId="77777777" w:rsidR="00024F7B" w:rsidRPr="00F51546" w:rsidRDefault="00024F7B" w:rsidP="005B747D">
            <w:pPr>
              <w:jc w:val="both"/>
              <w:rPr>
                <w:rFonts w:ascii="Abadi" w:hAnsi="Abadi"/>
                <w:b/>
                <w:bCs/>
                <w:sz w:val="21"/>
                <w:szCs w:val="21"/>
              </w:rPr>
            </w:pPr>
          </w:p>
          <w:p w14:paraId="36D7ED8C" w14:textId="77777777" w:rsidR="00CB637D" w:rsidRPr="00F51546" w:rsidRDefault="00CB637D" w:rsidP="005B747D">
            <w:pPr>
              <w:jc w:val="both"/>
              <w:rPr>
                <w:rFonts w:ascii="Abadi" w:hAnsi="Abadi"/>
                <w:b/>
                <w:bCs/>
                <w:sz w:val="21"/>
                <w:szCs w:val="21"/>
              </w:rPr>
            </w:pPr>
          </w:p>
          <w:p w14:paraId="2E6FA380" w14:textId="143F8A01" w:rsidR="00CB637D" w:rsidRPr="00F51546" w:rsidRDefault="00CB637D"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tc>
      </w:tr>
      <w:tr w:rsidR="00024F7B" w:rsidRPr="00F51546" w14:paraId="67178079" w14:textId="77777777" w:rsidTr="003521CC">
        <w:tc>
          <w:tcPr>
            <w:tcW w:w="2112" w:type="dxa"/>
          </w:tcPr>
          <w:p w14:paraId="792B092D" w14:textId="022683C3" w:rsidR="00024F7B" w:rsidRPr="00F51546" w:rsidRDefault="0071763A" w:rsidP="002B7145">
            <w:pPr>
              <w:jc w:val="both"/>
              <w:rPr>
                <w:rFonts w:ascii="Abadi" w:hAnsi="Abadi"/>
                <w:b/>
                <w:bCs/>
                <w:sz w:val="21"/>
                <w:szCs w:val="21"/>
              </w:rPr>
            </w:pPr>
            <w:r w:rsidRPr="00F51546">
              <w:rPr>
                <w:rFonts w:ascii="Abadi" w:hAnsi="Abadi"/>
                <w:b/>
                <w:bCs/>
                <w:sz w:val="21"/>
                <w:szCs w:val="21"/>
              </w:rPr>
              <w:t>3.</w:t>
            </w:r>
            <w:r w:rsidR="00F34104" w:rsidRPr="00F51546">
              <w:rPr>
                <w:rFonts w:ascii="Abadi" w:hAnsi="Abadi"/>
                <w:b/>
                <w:bCs/>
                <w:sz w:val="21"/>
                <w:szCs w:val="21"/>
              </w:rPr>
              <w:t>41</w:t>
            </w:r>
          </w:p>
          <w:p w14:paraId="7A086A1E" w14:textId="77777777" w:rsidR="001F0C34" w:rsidRPr="00F51546" w:rsidRDefault="001F0C34" w:rsidP="002B7145">
            <w:pPr>
              <w:jc w:val="both"/>
              <w:rPr>
                <w:rFonts w:ascii="Abadi" w:hAnsi="Abadi"/>
                <w:sz w:val="21"/>
                <w:szCs w:val="21"/>
              </w:rPr>
            </w:pPr>
          </w:p>
          <w:p w14:paraId="30DAE50B" w14:textId="01A4C193" w:rsidR="00CB637D" w:rsidRPr="00F51546" w:rsidRDefault="008564B1"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Irapuato, </w:t>
            </w:r>
            <w:proofErr w:type="spellStart"/>
            <w:r w:rsidRPr="00F51546">
              <w:rPr>
                <w:rFonts w:ascii="Abadi" w:hAnsi="Abadi" w:cs="Calibri"/>
                <w:sz w:val="21"/>
                <w:szCs w:val="21"/>
              </w:rPr>
              <w:t>Gto</w:t>
            </w:r>
            <w:proofErr w:type="spellEnd"/>
            <w:r w:rsidRPr="00F51546">
              <w:rPr>
                <w:rFonts w:ascii="Abadi" w:hAnsi="Abadi" w:cs="Calibri"/>
                <w:sz w:val="21"/>
                <w:szCs w:val="21"/>
              </w:rPr>
              <w:t xml:space="preserve">., remite copia simple del oficio DGAJ/DN/CR/1909/2023, suscrito por la directora de lo Normativo, por medio del cual da respuesta a la consulta de la iniciativa a efecto de reformar y adicionar diversas disposiciones de la Ley del Sistema de Seguridad Pública </w:t>
            </w:r>
            <w:r w:rsidRPr="00F51546">
              <w:rPr>
                <w:rFonts w:ascii="Abadi" w:hAnsi="Abadi" w:cs="Calibri"/>
                <w:sz w:val="21"/>
                <w:szCs w:val="21"/>
              </w:rPr>
              <w:lastRenderedPageBreak/>
              <w:t>del Estado de Guanajuato.</w:t>
            </w:r>
          </w:p>
        </w:tc>
        <w:tc>
          <w:tcPr>
            <w:tcW w:w="2126" w:type="dxa"/>
          </w:tcPr>
          <w:p w14:paraId="0A7FE192" w14:textId="77777777" w:rsidR="00024F7B" w:rsidRPr="00F51546" w:rsidRDefault="00024F7B" w:rsidP="005B747D">
            <w:pPr>
              <w:jc w:val="both"/>
              <w:rPr>
                <w:rFonts w:ascii="Abadi" w:hAnsi="Abadi"/>
                <w:b/>
                <w:bCs/>
                <w:sz w:val="21"/>
                <w:szCs w:val="21"/>
              </w:rPr>
            </w:pPr>
          </w:p>
          <w:p w14:paraId="1EBE5B9B" w14:textId="77777777" w:rsidR="008564B1" w:rsidRPr="00F51546" w:rsidRDefault="008564B1" w:rsidP="005B747D">
            <w:pPr>
              <w:jc w:val="both"/>
              <w:rPr>
                <w:rFonts w:ascii="Abadi" w:hAnsi="Abadi"/>
                <w:b/>
                <w:bCs/>
                <w:sz w:val="21"/>
                <w:szCs w:val="21"/>
              </w:rPr>
            </w:pPr>
          </w:p>
          <w:p w14:paraId="4FB9BCDA" w14:textId="77777777" w:rsidR="00EC6455" w:rsidRPr="00F51546" w:rsidRDefault="00EC6455" w:rsidP="00EC6455">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Seguridad Pública y Comunicaciones.</w:t>
            </w:r>
          </w:p>
          <w:p w14:paraId="5891A944" w14:textId="77777777" w:rsidR="008564B1" w:rsidRPr="00F51546" w:rsidRDefault="008564B1" w:rsidP="005B747D">
            <w:pPr>
              <w:jc w:val="both"/>
              <w:rPr>
                <w:rFonts w:ascii="Abadi" w:hAnsi="Abadi"/>
                <w:b/>
                <w:bCs/>
                <w:sz w:val="21"/>
                <w:szCs w:val="21"/>
              </w:rPr>
            </w:pPr>
          </w:p>
        </w:tc>
      </w:tr>
      <w:tr w:rsidR="00024F7B" w:rsidRPr="00F51546" w14:paraId="05B6CF25" w14:textId="77777777" w:rsidTr="003521CC">
        <w:tc>
          <w:tcPr>
            <w:tcW w:w="2112" w:type="dxa"/>
          </w:tcPr>
          <w:p w14:paraId="617C0BA3" w14:textId="08DECE9E" w:rsidR="00024F7B" w:rsidRPr="00F51546" w:rsidRDefault="008F536F" w:rsidP="002B7145">
            <w:pPr>
              <w:jc w:val="both"/>
              <w:rPr>
                <w:rFonts w:ascii="Abadi" w:hAnsi="Abadi"/>
                <w:b/>
                <w:bCs/>
                <w:sz w:val="21"/>
                <w:szCs w:val="21"/>
              </w:rPr>
            </w:pPr>
            <w:r w:rsidRPr="00F51546">
              <w:rPr>
                <w:rFonts w:ascii="Abadi" w:hAnsi="Abadi"/>
                <w:b/>
                <w:bCs/>
                <w:sz w:val="21"/>
                <w:szCs w:val="21"/>
              </w:rPr>
              <w:t>3.42</w:t>
            </w:r>
          </w:p>
          <w:p w14:paraId="3E0002E1" w14:textId="77777777" w:rsidR="00015172" w:rsidRPr="00F51546" w:rsidRDefault="00015172" w:rsidP="002B7145">
            <w:pPr>
              <w:jc w:val="both"/>
              <w:rPr>
                <w:rFonts w:ascii="Abadi" w:hAnsi="Abadi"/>
                <w:sz w:val="21"/>
                <w:szCs w:val="21"/>
              </w:rPr>
            </w:pPr>
          </w:p>
          <w:p w14:paraId="0BA89BF2" w14:textId="64D609C0" w:rsidR="00EC6455" w:rsidRPr="00F51546" w:rsidRDefault="00203E4D" w:rsidP="002B7145">
            <w:pPr>
              <w:jc w:val="both"/>
              <w:rPr>
                <w:rFonts w:ascii="Abadi" w:hAnsi="Abadi" w:cs="Calibri"/>
                <w:sz w:val="21"/>
                <w:szCs w:val="21"/>
                <w:lang w:val="es-MX" w:eastAsia="es-MX"/>
              </w:rPr>
            </w:pPr>
            <w:r w:rsidRPr="00F51546">
              <w:rPr>
                <w:rFonts w:ascii="Abadi" w:hAnsi="Abadi" w:cs="Calibri"/>
                <w:sz w:val="21"/>
                <w:szCs w:val="21"/>
              </w:rPr>
              <w:t xml:space="preserve">El secretario del ayuntamiento de Irapuato, </w:t>
            </w:r>
            <w:proofErr w:type="spellStart"/>
            <w:r w:rsidRPr="00F51546">
              <w:rPr>
                <w:rFonts w:ascii="Abadi" w:hAnsi="Abadi" w:cs="Calibri"/>
                <w:sz w:val="21"/>
                <w:szCs w:val="21"/>
              </w:rPr>
              <w:t>Gto</w:t>
            </w:r>
            <w:proofErr w:type="spellEnd"/>
            <w:r w:rsidRPr="00F51546">
              <w:rPr>
                <w:rFonts w:ascii="Abadi" w:hAnsi="Abadi" w:cs="Calibri"/>
                <w:sz w:val="21"/>
                <w:szCs w:val="21"/>
              </w:rPr>
              <w:t>., remite copia simple del oficio DGAJ/DN/CR/1933/2023, suscrito por la directora de lo Normativo, por medio del cual da respuesta a la consulta de la iniciativa de reformas y adiciones a diversos artículos de la Constitución Política para el Estado de Guanajuato, en materia de armonización sobre suspensión de derechos para ocupar un cargo, empleo o comisión del servicio público.</w:t>
            </w:r>
          </w:p>
        </w:tc>
        <w:tc>
          <w:tcPr>
            <w:tcW w:w="2126" w:type="dxa"/>
          </w:tcPr>
          <w:p w14:paraId="126B1A0B" w14:textId="77777777" w:rsidR="00024F7B" w:rsidRPr="00F51546" w:rsidRDefault="00024F7B" w:rsidP="005B747D">
            <w:pPr>
              <w:jc w:val="both"/>
              <w:rPr>
                <w:rFonts w:ascii="Abadi" w:hAnsi="Abadi"/>
                <w:b/>
                <w:bCs/>
                <w:sz w:val="21"/>
                <w:szCs w:val="21"/>
              </w:rPr>
            </w:pPr>
          </w:p>
          <w:p w14:paraId="7F08874D" w14:textId="77777777" w:rsidR="00203E4D" w:rsidRPr="00F51546" w:rsidRDefault="00203E4D" w:rsidP="005B747D">
            <w:pPr>
              <w:jc w:val="both"/>
              <w:rPr>
                <w:rFonts w:ascii="Abadi" w:hAnsi="Abadi"/>
                <w:b/>
                <w:bCs/>
                <w:sz w:val="21"/>
                <w:szCs w:val="21"/>
              </w:rPr>
            </w:pPr>
          </w:p>
          <w:p w14:paraId="5E733B4D" w14:textId="3C906CD4" w:rsidR="00203E4D" w:rsidRPr="00F51546" w:rsidRDefault="00203E4D"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tc>
      </w:tr>
      <w:tr w:rsidR="00024F7B" w:rsidRPr="00F51546" w14:paraId="27467FBB" w14:textId="77777777" w:rsidTr="003521CC">
        <w:tc>
          <w:tcPr>
            <w:tcW w:w="2112" w:type="dxa"/>
          </w:tcPr>
          <w:p w14:paraId="55EEDE81" w14:textId="06252177" w:rsidR="00024F7B" w:rsidRPr="00F51546" w:rsidRDefault="008F536F" w:rsidP="002B7145">
            <w:pPr>
              <w:jc w:val="both"/>
              <w:rPr>
                <w:rFonts w:ascii="Abadi" w:hAnsi="Abadi"/>
                <w:b/>
                <w:bCs/>
                <w:sz w:val="21"/>
                <w:szCs w:val="21"/>
              </w:rPr>
            </w:pPr>
            <w:r w:rsidRPr="00F51546">
              <w:rPr>
                <w:rFonts w:ascii="Abadi" w:hAnsi="Abadi"/>
                <w:b/>
                <w:bCs/>
                <w:sz w:val="21"/>
                <w:szCs w:val="21"/>
              </w:rPr>
              <w:t>3.43</w:t>
            </w:r>
          </w:p>
          <w:p w14:paraId="5CC0E0AB" w14:textId="77777777" w:rsidR="00015172" w:rsidRPr="00F51546" w:rsidRDefault="00015172" w:rsidP="002B7145">
            <w:pPr>
              <w:jc w:val="both"/>
              <w:rPr>
                <w:rFonts w:ascii="Abadi" w:hAnsi="Abadi"/>
                <w:sz w:val="21"/>
                <w:szCs w:val="21"/>
              </w:rPr>
            </w:pPr>
          </w:p>
          <w:p w14:paraId="51356D92" w14:textId="2957CB06" w:rsidR="00203E4D" w:rsidRPr="00F51546" w:rsidRDefault="0092681B" w:rsidP="002B7145">
            <w:pPr>
              <w:jc w:val="both"/>
              <w:rPr>
                <w:rFonts w:ascii="Abadi" w:hAnsi="Abadi" w:cs="Calibri"/>
                <w:sz w:val="21"/>
                <w:szCs w:val="21"/>
                <w:lang w:val="es-MX" w:eastAsia="es-MX"/>
              </w:rPr>
            </w:pPr>
            <w:r w:rsidRPr="00F51546">
              <w:rPr>
                <w:rFonts w:ascii="Abadi" w:hAnsi="Abadi" w:cs="Calibri"/>
                <w:sz w:val="21"/>
                <w:szCs w:val="21"/>
              </w:rPr>
              <w:t xml:space="preserve">La secretaria del ayuntamiento de Abasolo, </w:t>
            </w:r>
            <w:proofErr w:type="spellStart"/>
            <w:r w:rsidRPr="00F51546">
              <w:rPr>
                <w:rFonts w:ascii="Abadi" w:hAnsi="Abadi" w:cs="Calibri"/>
                <w:sz w:val="21"/>
                <w:szCs w:val="21"/>
              </w:rPr>
              <w:t>Gto</w:t>
            </w:r>
            <w:proofErr w:type="spellEnd"/>
            <w:r w:rsidRPr="00F51546">
              <w:rPr>
                <w:rFonts w:ascii="Abadi" w:hAnsi="Abadi" w:cs="Calibri"/>
                <w:sz w:val="21"/>
                <w:szCs w:val="21"/>
              </w:rPr>
              <w:t>., remite respuesta a la 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tc>
        <w:tc>
          <w:tcPr>
            <w:tcW w:w="2126" w:type="dxa"/>
          </w:tcPr>
          <w:p w14:paraId="32E710AF" w14:textId="77777777" w:rsidR="00024F7B" w:rsidRPr="00F51546" w:rsidRDefault="00024F7B" w:rsidP="005B747D">
            <w:pPr>
              <w:jc w:val="both"/>
              <w:rPr>
                <w:rFonts w:ascii="Abadi" w:hAnsi="Abadi"/>
                <w:b/>
                <w:bCs/>
                <w:sz w:val="21"/>
                <w:szCs w:val="21"/>
              </w:rPr>
            </w:pPr>
          </w:p>
          <w:p w14:paraId="3FF2527F" w14:textId="77777777" w:rsidR="0092681B" w:rsidRPr="00F51546" w:rsidRDefault="0092681B" w:rsidP="005B747D">
            <w:pPr>
              <w:jc w:val="both"/>
              <w:rPr>
                <w:rFonts w:ascii="Abadi" w:hAnsi="Abadi"/>
                <w:b/>
                <w:bCs/>
                <w:sz w:val="21"/>
                <w:szCs w:val="21"/>
              </w:rPr>
            </w:pPr>
          </w:p>
          <w:p w14:paraId="09B95D8C" w14:textId="1C20F31C" w:rsidR="0092681B" w:rsidRPr="00F51546" w:rsidRDefault="00A31F7E" w:rsidP="005B747D">
            <w:pPr>
              <w:jc w:val="both"/>
              <w:rPr>
                <w:rFonts w:ascii="Abadi" w:hAnsi="Abadi" w:cs="Calibri"/>
                <w:b/>
                <w:bCs/>
                <w:sz w:val="21"/>
                <w:szCs w:val="21"/>
                <w:lang w:val="es-MX" w:eastAsia="es-MX"/>
              </w:rPr>
            </w:pPr>
            <w:r w:rsidRPr="00F51546">
              <w:rPr>
                <w:rFonts w:ascii="Abadi" w:hAnsi="Abadi" w:cs="Calibri"/>
                <w:b/>
                <w:bCs/>
                <w:sz w:val="21"/>
                <w:szCs w:val="21"/>
              </w:rPr>
              <w:t>Enterados y se informa que se turnó a la Comisión de Gobernación y Puntos Constitucionales.</w:t>
            </w:r>
          </w:p>
        </w:tc>
      </w:tr>
      <w:tr w:rsidR="00BD1756" w:rsidRPr="00F51546" w14:paraId="26B21981" w14:textId="77777777" w:rsidTr="00724835">
        <w:tc>
          <w:tcPr>
            <w:tcW w:w="4238" w:type="dxa"/>
            <w:gridSpan w:val="2"/>
            <w:shd w:val="clear" w:color="auto" w:fill="C4BC96" w:themeFill="background2" w:themeFillShade="BF"/>
          </w:tcPr>
          <w:p w14:paraId="6AE9CEDE" w14:textId="7F559D1C" w:rsidR="00BD1756" w:rsidRPr="00F51546" w:rsidRDefault="00BD1756" w:rsidP="007874A3">
            <w:pPr>
              <w:jc w:val="both"/>
              <w:rPr>
                <w:rFonts w:ascii="Abadi" w:hAnsi="Abadi"/>
                <w:b/>
                <w:bCs/>
                <w:sz w:val="21"/>
                <w:szCs w:val="21"/>
              </w:rPr>
            </w:pPr>
            <w:r w:rsidRPr="00F51546">
              <w:rPr>
                <w:rFonts w:ascii="Abadi" w:hAnsi="Abadi"/>
                <w:b/>
                <w:bCs/>
                <w:sz w:val="21"/>
                <w:szCs w:val="21"/>
              </w:rPr>
              <w:t>II</w:t>
            </w:r>
            <w:r w:rsidR="009A72E1" w:rsidRPr="00F51546">
              <w:rPr>
                <w:rFonts w:ascii="Abadi" w:hAnsi="Abadi"/>
                <w:b/>
                <w:bCs/>
                <w:sz w:val="21"/>
                <w:szCs w:val="21"/>
              </w:rPr>
              <w:t>I</w:t>
            </w:r>
            <w:r w:rsidRPr="00F51546">
              <w:rPr>
                <w:rFonts w:ascii="Abadi" w:hAnsi="Abadi"/>
                <w:b/>
                <w:bCs/>
                <w:sz w:val="21"/>
                <w:szCs w:val="21"/>
              </w:rPr>
              <w:t xml:space="preserve">. Comunicados provenientes de los </w:t>
            </w:r>
            <w:r w:rsidR="00C32721" w:rsidRPr="00F51546">
              <w:rPr>
                <w:rFonts w:ascii="Abadi" w:hAnsi="Abadi"/>
                <w:b/>
                <w:bCs/>
                <w:sz w:val="21"/>
                <w:szCs w:val="21"/>
              </w:rPr>
              <w:t xml:space="preserve">poderes de otros </w:t>
            </w:r>
            <w:r w:rsidRPr="00F51546">
              <w:rPr>
                <w:rFonts w:ascii="Abadi" w:hAnsi="Abadi"/>
                <w:b/>
                <w:bCs/>
                <w:sz w:val="21"/>
                <w:szCs w:val="21"/>
              </w:rPr>
              <w:t>Estado</w:t>
            </w:r>
            <w:r w:rsidR="00C32721" w:rsidRPr="00F51546">
              <w:rPr>
                <w:rFonts w:ascii="Abadi" w:hAnsi="Abadi"/>
                <w:b/>
                <w:bCs/>
                <w:sz w:val="21"/>
                <w:szCs w:val="21"/>
              </w:rPr>
              <w:t>s.</w:t>
            </w:r>
          </w:p>
        </w:tc>
      </w:tr>
      <w:tr w:rsidR="00024F7B" w:rsidRPr="00F51546" w14:paraId="7D0DD6FC" w14:textId="77777777" w:rsidTr="003521CC">
        <w:tc>
          <w:tcPr>
            <w:tcW w:w="2112" w:type="dxa"/>
          </w:tcPr>
          <w:p w14:paraId="322D02E8" w14:textId="1947B744" w:rsidR="00024F7B" w:rsidRPr="00F51546" w:rsidRDefault="00724133" w:rsidP="002B7145">
            <w:pPr>
              <w:jc w:val="both"/>
              <w:rPr>
                <w:rFonts w:ascii="Abadi" w:hAnsi="Abadi"/>
                <w:b/>
                <w:bCs/>
                <w:sz w:val="21"/>
                <w:szCs w:val="21"/>
              </w:rPr>
            </w:pPr>
            <w:r w:rsidRPr="00F51546">
              <w:rPr>
                <w:rFonts w:ascii="Abadi" w:hAnsi="Abadi"/>
                <w:b/>
                <w:bCs/>
                <w:sz w:val="21"/>
                <w:szCs w:val="21"/>
              </w:rPr>
              <w:t>4.01</w:t>
            </w:r>
          </w:p>
          <w:p w14:paraId="283F1178" w14:textId="77777777" w:rsidR="00015172" w:rsidRPr="00F51546" w:rsidRDefault="00015172" w:rsidP="002B7145">
            <w:pPr>
              <w:jc w:val="both"/>
              <w:rPr>
                <w:rFonts w:ascii="Abadi" w:hAnsi="Abadi"/>
                <w:sz w:val="21"/>
                <w:szCs w:val="21"/>
              </w:rPr>
            </w:pPr>
          </w:p>
          <w:p w14:paraId="569EE16E" w14:textId="3C1CB781" w:rsidR="00A31F7E" w:rsidRPr="00F51546" w:rsidRDefault="0019765D" w:rsidP="002B7145">
            <w:pPr>
              <w:jc w:val="both"/>
              <w:rPr>
                <w:rFonts w:ascii="Abadi" w:hAnsi="Abadi" w:cs="Calibri"/>
                <w:sz w:val="21"/>
                <w:szCs w:val="21"/>
                <w:lang w:val="es-MX" w:eastAsia="es-MX"/>
              </w:rPr>
            </w:pPr>
            <w:r w:rsidRPr="00F51546">
              <w:rPr>
                <w:rFonts w:ascii="Abadi" w:hAnsi="Abadi" w:cs="Calibri"/>
                <w:sz w:val="21"/>
                <w:szCs w:val="21"/>
              </w:rPr>
              <w:t>La Quincuagésima Quinta Legislatura del Congreso del Estado de Morelos remite punto de acuerdo en el que se exhorta al titular del Poder Ejecutivo Federal a garantizar la adecuada prestación de los servicios de salud, así como medicamentos e insumos para la salud en el Instituto de Seguridad y Servicios Sociales de los Trabajadores al Servicio del Estado, para su adhesión.</w:t>
            </w:r>
          </w:p>
        </w:tc>
        <w:tc>
          <w:tcPr>
            <w:tcW w:w="2126" w:type="dxa"/>
          </w:tcPr>
          <w:p w14:paraId="2B05938E" w14:textId="77777777" w:rsidR="00024F7B" w:rsidRPr="00F51546" w:rsidRDefault="00024F7B" w:rsidP="005B747D">
            <w:pPr>
              <w:jc w:val="both"/>
              <w:rPr>
                <w:rFonts w:ascii="Abadi" w:hAnsi="Abadi"/>
                <w:b/>
                <w:bCs/>
                <w:sz w:val="21"/>
                <w:szCs w:val="21"/>
              </w:rPr>
            </w:pPr>
          </w:p>
          <w:p w14:paraId="18ACB6A5" w14:textId="77777777" w:rsidR="0019765D" w:rsidRPr="00F51546" w:rsidRDefault="0019765D" w:rsidP="005B747D">
            <w:pPr>
              <w:jc w:val="both"/>
              <w:rPr>
                <w:rFonts w:ascii="Abadi" w:hAnsi="Abadi"/>
                <w:b/>
                <w:bCs/>
                <w:sz w:val="21"/>
                <w:szCs w:val="21"/>
              </w:rPr>
            </w:pPr>
          </w:p>
          <w:p w14:paraId="36D2F4B8" w14:textId="77777777" w:rsidR="0019765D" w:rsidRPr="00F51546" w:rsidRDefault="0019765D" w:rsidP="0019765D">
            <w:pPr>
              <w:jc w:val="both"/>
              <w:rPr>
                <w:rFonts w:ascii="Abadi" w:hAnsi="Abadi" w:cs="Calibri"/>
                <w:b/>
                <w:bCs/>
                <w:sz w:val="21"/>
                <w:szCs w:val="21"/>
                <w:lang w:val="es-MX" w:eastAsia="es-MX"/>
              </w:rPr>
            </w:pPr>
            <w:r w:rsidRPr="00F51546">
              <w:rPr>
                <w:rFonts w:ascii="Abadi" w:hAnsi="Abadi" w:cs="Calibri"/>
                <w:b/>
                <w:bCs/>
                <w:sz w:val="21"/>
                <w:szCs w:val="21"/>
              </w:rPr>
              <w:t>Enterados.</w:t>
            </w:r>
          </w:p>
          <w:p w14:paraId="283B1127" w14:textId="77777777" w:rsidR="0019765D" w:rsidRPr="00F51546" w:rsidRDefault="0019765D" w:rsidP="005B747D">
            <w:pPr>
              <w:jc w:val="both"/>
              <w:rPr>
                <w:rFonts w:ascii="Abadi" w:hAnsi="Abadi"/>
                <w:b/>
                <w:bCs/>
                <w:sz w:val="21"/>
                <w:szCs w:val="21"/>
              </w:rPr>
            </w:pPr>
          </w:p>
        </w:tc>
      </w:tr>
      <w:tr w:rsidR="00F34104" w:rsidRPr="00F51546" w14:paraId="758840FE" w14:textId="77777777" w:rsidTr="003521CC">
        <w:tc>
          <w:tcPr>
            <w:tcW w:w="2112" w:type="dxa"/>
          </w:tcPr>
          <w:p w14:paraId="2A01762D" w14:textId="42640F57" w:rsidR="00F34104" w:rsidRPr="00F51546" w:rsidRDefault="008F36F3" w:rsidP="002B7145">
            <w:pPr>
              <w:jc w:val="both"/>
              <w:rPr>
                <w:rFonts w:ascii="Abadi" w:hAnsi="Abadi"/>
                <w:b/>
                <w:bCs/>
                <w:sz w:val="21"/>
                <w:szCs w:val="21"/>
              </w:rPr>
            </w:pPr>
            <w:r w:rsidRPr="00F51546">
              <w:rPr>
                <w:rFonts w:ascii="Abadi" w:hAnsi="Abadi"/>
                <w:b/>
                <w:bCs/>
                <w:sz w:val="21"/>
                <w:szCs w:val="21"/>
              </w:rPr>
              <w:t>4.02</w:t>
            </w:r>
          </w:p>
          <w:p w14:paraId="605C555E" w14:textId="77777777" w:rsidR="00015172" w:rsidRPr="00F51546" w:rsidRDefault="00015172" w:rsidP="002B7145">
            <w:pPr>
              <w:jc w:val="both"/>
              <w:rPr>
                <w:rFonts w:ascii="Abadi" w:hAnsi="Abadi"/>
                <w:sz w:val="21"/>
                <w:szCs w:val="21"/>
              </w:rPr>
            </w:pPr>
          </w:p>
          <w:p w14:paraId="4C94B78D" w14:textId="280301EF" w:rsidR="00A31F7E" w:rsidRPr="00F51546" w:rsidRDefault="00FC61EE" w:rsidP="002B7145">
            <w:pPr>
              <w:jc w:val="both"/>
              <w:rPr>
                <w:rFonts w:ascii="Abadi" w:hAnsi="Abadi" w:cs="Calibri"/>
                <w:sz w:val="21"/>
                <w:szCs w:val="21"/>
                <w:lang w:val="es-MX" w:eastAsia="es-MX"/>
              </w:rPr>
            </w:pPr>
            <w:r w:rsidRPr="00F51546">
              <w:rPr>
                <w:rFonts w:ascii="Abadi" w:hAnsi="Abadi" w:cs="Calibri"/>
                <w:sz w:val="21"/>
                <w:szCs w:val="21"/>
              </w:rPr>
              <w:t>La Sexagésima Cuarta Legislatura del Congreso del Estado de Tabasco comunica la elección e integración de la Comisión Permanente que fungirá durante el segundo periodo de receso del segundo año de ejercicio constitucional; la clausura de los trabajos del segundo periodo ordinario de sesiones del segundo año de ejercicio constitucional; así como la instalación de la Comisión Permanente que fungirá durante el segundo periodo de receso del segundo año de ejercicio constitucional.</w:t>
            </w:r>
          </w:p>
        </w:tc>
        <w:tc>
          <w:tcPr>
            <w:tcW w:w="2126" w:type="dxa"/>
          </w:tcPr>
          <w:p w14:paraId="13AAB325" w14:textId="77777777" w:rsidR="00F34104" w:rsidRPr="00F51546" w:rsidRDefault="00F34104" w:rsidP="005B747D">
            <w:pPr>
              <w:jc w:val="both"/>
              <w:rPr>
                <w:rFonts w:ascii="Abadi" w:hAnsi="Abadi"/>
                <w:b/>
                <w:bCs/>
                <w:sz w:val="21"/>
                <w:szCs w:val="21"/>
              </w:rPr>
            </w:pPr>
          </w:p>
          <w:p w14:paraId="2940A4E8" w14:textId="77777777" w:rsidR="00FC61EE" w:rsidRPr="00F51546" w:rsidRDefault="00FC61EE" w:rsidP="005B747D">
            <w:pPr>
              <w:jc w:val="both"/>
              <w:rPr>
                <w:rFonts w:ascii="Abadi" w:hAnsi="Abadi"/>
                <w:b/>
                <w:bCs/>
                <w:sz w:val="21"/>
                <w:szCs w:val="21"/>
              </w:rPr>
            </w:pPr>
          </w:p>
          <w:p w14:paraId="6BB10A7B" w14:textId="77777777" w:rsidR="00B13F11" w:rsidRPr="00F51546" w:rsidRDefault="00B13F11" w:rsidP="00B13F11">
            <w:pPr>
              <w:jc w:val="both"/>
              <w:rPr>
                <w:rFonts w:ascii="Abadi" w:hAnsi="Abadi" w:cs="Calibri"/>
                <w:b/>
                <w:bCs/>
                <w:sz w:val="21"/>
                <w:szCs w:val="21"/>
                <w:lang w:val="es-MX" w:eastAsia="es-MX"/>
              </w:rPr>
            </w:pPr>
            <w:r w:rsidRPr="00F51546">
              <w:rPr>
                <w:rFonts w:ascii="Abadi" w:hAnsi="Abadi" w:cs="Calibri"/>
                <w:b/>
                <w:bCs/>
                <w:sz w:val="21"/>
                <w:szCs w:val="21"/>
              </w:rPr>
              <w:t>Enterados.</w:t>
            </w:r>
          </w:p>
          <w:p w14:paraId="00526F66" w14:textId="77777777" w:rsidR="00FC61EE" w:rsidRPr="00F51546" w:rsidRDefault="00FC61EE" w:rsidP="005B747D">
            <w:pPr>
              <w:jc w:val="both"/>
              <w:rPr>
                <w:rFonts w:ascii="Abadi" w:hAnsi="Abadi"/>
                <w:b/>
                <w:bCs/>
                <w:sz w:val="21"/>
                <w:szCs w:val="21"/>
              </w:rPr>
            </w:pPr>
          </w:p>
        </w:tc>
      </w:tr>
      <w:tr w:rsidR="00F34104" w:rsidRPr="00F51546" w14:paraId="0F642918" w14:textId="77777777" w:rsidTr="003521CC">
        <w:tc>
          <w:tcPr>
            <w:tcW w:w="2112" w:type="dxa"/>
          </w:tcPr>
          <w:p w14:paraId="72D5AA7E" w14:textId="1BDB878B" w:rsidR="00F34104" w:rsidRPr="00F51546" w:rsidRDefault="00223449" w:rsidP="002B7145">
            <w:pPr>
              <w:jc w:val="both"/>
              <w:rPr>
                <w:rFonts w:ascii="Abadi" w:hAnsi="Abadi"/>
                <w:b/>
                <w:bCs/>
                <w:sz w:val="21"/>
                <w:szCs w:val="21"/>
              </w:rPr>
            </w:pPr>
            <w:r w:rsidRPr="00F51546">
              <w:rPr>
                <w:rFonts w:ascii="Abadi" w:hAnsi="Abadi"/>
                <w:b/>
                <w:bCs/>
                <w:sz w:val="21"/>
                <w:szCs w:val="21"/>
              </w:rPr>
              <w:t>4.03</w:t>
            </w:r>
          </w:p>
          <w:p w14:paraId="32592436" w14:textId="77777777" w:rsidR="00015172" w:rsidRPr="00F51546" w:rsidRDefault="00015172" w:rsidP="002B7145">
            <w:pPr>
              <w:jc w:val="both"/>
              <w:rPr>
                <w:rFonts w:ascii="Abadi" w:hAnsi="Abadi"/>
                <w:sz w:val="21"/>
                <w:szCs w:val="21"/>
              </w:rPr>
            </w:pPr>
          </w:p>
          <w:p w14:paraId="07323F2C" w14:textId="783D752F" w:rsidR="00A31F7E" w:rsidRPr="00F51546" w:rsidRDefault="00402B7E" w:rsidP="002B7145">
            <w:pPr>
              <w:jc w:val="both"/>
              <w:rPr>
                <w:rFonts w:ascii="Abadi" w:hAnsi="Abadi" w:cs="Calibri"/>
                <w:sz w:val="21"/>
                <w:szCs w:val="21"/>
                <w:lang w:val="es-MX" w:eastAsia="es-MX"/>
              </w:rPr>
            </w:pPr>
            <w:r w:rsidRPr="00F51546">
              <w:rPr>
                <w:rFonts w:ascii="Abadi" w:hAnsi="Abadi" w:cs="Calibri"/>
                <w:sz w:val="21"/>
                <w:szCs w:val="21"/>
              </w:rPr>
              <w:t xml:space="preserve">La Sexagésima Quinta Legislatura </w:t>
            </w:r>
            <w:r w:rsidRPr="00F51546">
              <w:rPr>
                <w:rFonts w:ascii="Abadi" w:hAnsi="Abadi" w:cs="Calibri"/>
                <w:sz w:val="21"/>
                <w:szCs w:val="21"/>
              </w:rPr>
              <w:lastRenderedPageBreak/>
              <w:t>del Congreso del Estado de Hidalgo remite respuesta al punto de acuerdo aprobado por esta Legislatura, mediante el cual se exhorta a la Cámara de Diputados del Congreso de la Unión y a las legislaturas de los congresos de las entidades federativas, para que manifiesten su respaldo a las acciones legales emprendidas por el Gobierno de México en Estados Unidos que buscan frenar el tráfico ilegal de armas hacia México.</w:t>
            </w:r>
          </w:p>
        </w:tc>
        <w:tc>
          <w:tcPr>
            <w:tcW w:w="2126" w:type="dxa"/>
          </w:tcPr>
          <w:p w14:paraId="7D24D73A" w14:textId="77777777" w:rsidR="00F34104" w:rsidRPr="00F51546" w:rsidRDefault="00F34104" w:rsidP="005B747D">
            <w:pPr>
              <w:jc w:val="both"/>
              <w:rPr>
                <w:rFonts w:ascii="Abadi" w:hAnsi="Abadi"/>
                <w:b/>
                <w:bCs/>
                <w:sz w:val="21"/>
                <w:szCs w:val="21"/>
              </w:rPr>
            </w:pPr>
          </w:p>
          <w:p w14:paraId="074E121C" w14:textId="77777777" w:rsidR="00402B7E" w:rsidRPr="00F51546" w:rsidRDefault="00402B7E" w:rsidP="005B747D">
            <w:pPr>
              <w:jc w:val="both"/>
              <w:rPr>
                <w:rFonts w:ascii="Abadi" w:hAnsi="Abadi"/>
                <w:b/>
                <w:bCs/>
                <w:sz w:val="21"/>
                <w:szCs w:val="21"/>
              </w:rPr>
            </w:pPr>
          </w:p>
          <w:p w14:paraId="28857B3D" w14:textId="77777777" w:rsidR="00402B7E" w:rsidRPr="00F51546" w:rsidRDefault="00402B7E" w:rsidP="00402B7E">
            <w:pPr>
              <w:jc w:val="both"/>
              <w:rPr>
                <w:rFonts w:ascii="Abadi" w:hAnsi="Abadi" w:cs="Calibri"/>
                <w:b/>
                <w:bCs/>
                <w:sz w:val="21"/>
                <w:szCs w:val="21"/>
                <w:lang w:val="es-MX" w:eastAsia="es-MX"/>
              </w:rPr>
            </w:pPr>
            <w:r w:rsidRPr="00F51546">
              <w:rPr>
                <w:rFonts w:ascii="Abadi" w:hAnsi="Abadi" w:cs="Calibri"/>
                <w:b/>
                <w:bCs/>
                <w:sz w:val="21"/>
                <w:szCs w:val="21"/>
              </w:rPr>
              <w:t>Enterados.</w:t>
            </w:r>
          </w:p>
          <w:p w14:paraId="2DAE3641" w14:textId="77777777" w:rsidR="00402B7E" w:rsidRPr="00F51546" w:rsidRDefault="00402B7E" w:rsidP="005B747D">
            <w:pPr>
              <w:jc w:val="both"/>
              <w:rPr>
                <w:rFonts w:ascii="Abadi" w:hAnsi="Abadi"/>
                <w:b/>
                <w:bCs/>
                <w:sz w:val="21"/>
                <w:szCs w:val="21"/>
              </w:rPr>
            </w:pPr>
          </w:p>
        </w:tc>
      </w:tr>
      <w:tr w:rsidR="00F34104" w:rsidRPr="00F51546" w14:paraId="4B513569" w14:textId="77777777" w:rsidTr="003521CC">
        <w:tc>
          <w:tcPr>
            <w:tcW w:w="2112" w:type="dxa"/>
          </w:tcPr>
          <w:p w14:paraId="5AD0336C" w14:textId="3D9D896A" w:rsidR="00F34104" w:rsidRPr="00F51546" w:rsidRDefault="00223449" w:rsidP="002B7145">
            <w:pPr>
              <w:jc w:val="both"/>
              <w:rPr>
                <w:rFonts w:ascii="Abadi" w:hAnsi="Abadi"/>
                <w:b/>
                <w:bCs/>
                <w:sz w:val="21"/>
                <w:szCs w:val="21"/>
              </w:rPr>
            </w:pPr>
            <w:r w:rsidRPr="00F51546">
              <w:rPr>
                <w:rFonts w:ascii="Abadi" w:hAnsi="Abadi"/>
                <w:b/>
                <w:bCs/>
                <w:sz w:val="21"/>
                <w:szCs w:val="21"/>
              </w:rPr>
              <w:t>4.04</w:t>
            </w:r>
          </w:p>
          <w:p w14:paraId="404AD419" w14:textId="77777777" w:rsidR="00015172" w:rsidRPr="00F51546" w:rsidRDefault="00015172" w:rsidP="002B7145">
            <w:pPr>
              <w:jc w:val="both"/>
              <w:rPr>
                <w:rFonts w:ascii="Abadi" w:hAnsi="Abadi"/>
                <w:sz w:val="21"/>
                <w:szCs w:val="21"/>
              </w:rPr>
            </w:pPr>
          </w:p>
          <w:p w14:paraId="10892A28" w14:textId="0AA98BA0" w:rsidR="00A31F7E" w:rsidRPr="00F51546" w:rsidRDefault="00D219F2" w:rsidP="002B7145">
            <w:pPr>
              <w:jc w:val="both"/>
              <w:rPr>
                <w:rFonts w:ascii="Abadi" w:hAnsi="Abadi" w:cs="Calibri"/>
                <w:sz w:val="21"/>
                <w:szCs w:val="21"/>
                <w:lang w:val="es-MX" w:eastAsia="es-MX"/>
              </w:rPr>
            </w:pPr>
            <w:r w:rsidRPr="00F51546">
              <w:rPr>
                <w:rFonts w:ascii="Abadi" w:hAnsi="Abadi" w:cs="Calibri"/>
                <w:sz w:val="21"/>
                <w:szCs w:val="21"/>
              </w:rPr>
              <w:t>La Sexagésima Quinta Legislatura del Congreso del Estado de Hidalgo comunica la elección e integración de la Mesa Directiva que presidirá los trabajos durante el mes de junio, correspondiente al segundo periodo ordinario de sesiones del segundo año de ejercicio constitucional.</w:t>
            </w:r>
          </w:p>
        </w:tc>
        <w:tc>
          <w:tcPr>
            <w:tcW w:w="2126" w:type="dxa"/>
          </w:tcPr>
          <w:p w14:paraId="26EAD840" w14:textId="77777777" w:rsidR="00F34104" w:rsidRPr="00F51546" w:rsidRDefault="00F34104" w:rsidP="005B747D">
            <w:pPr>
              <w:jc w:val="both"/>
              <w:rPr>
                <w:rFonts w:ascii="Abadi" w:hAnsi="Abadi"/>
                <w:b/>
                <w:bCs/>
                <w:sz w:val="21"/>
                <w:szCs w:val="21"/>
              </w:rPr>
            </w:pPr>
          </w:p>
          <w:p w14:paraId="5D9F971F" w14:textId="77777777" w:rsidR="00D219F2" w:rsidRPr="00F51546" w:rsidRDefault="00D219F2" w:rsidP="005B747D">
            <w:pPr>
              <w:jc w:val="both"/>
              <w:rPr>
                <w:rFonts w:ascii="Abadi" w:hAnsi="Abadi"/>
                <w:b/>
                <w:bCs/>
                <w:sz w:val="21"/>
                <w:szCs w:val="21"/>
              </w:rPr>
            </w:pPr>
          </w:p>
          <w:p w14:paraId="2BD6419A" w14:textId="77777777" w:rsidR="0005182E" w:rsidRPr="00F51546" w:rsidRDefault="0005182E" w:rsidP="0005182E">
            <w:pPr>
              <w:jc w:val="both"/>
              <w:rPr>
                <w:rFonts w:ascii="Abadi" w:hAnsi="Abadi" w:cs="Calibri"/>
                <w:b/>
                <w:bCs/>
                <w:sz w:val="21"/>
                <w:szCs w:val="21"/>
                <w:lang w:val="es-MX" w:eastAsia="es-MX"/>
              </w:rPr>
            </w:pPr>
            <w:r w:rsidRPr="00F51546">
              <w:rPr>
                <w:rFonts w:ascii="Abadi" w:hAnsi="Abadi" w:cs="Calibri"/>
                <w:b/>
                <w:bCs/>
                <w:sz w:val="21"/>
                <w:szCs w:val="21"/>
              </w:rPr>
              <w:t>Enterados.</w:t>
            </w:r>
          </w:p>
          <w:p w14:paraId="7922E8FD" w14:textId="77777777" w:rsidR="00D219F2" w:rsidRPr="00F51546" w:rsidRDefault="00D219F2" w:rsidP="005B747D">
            <w:pPr>
              <w:jc w:val="both"/>
              <w:rPr>
                <w:rFonts w:ascii="Abadi" w:hAnsi="Abadi"/>
                <w:b/>
                <w:bCs/>
                <w:sz w:val="21"/>
                <w:szCs w:val="21"/>
              </w:rPr>
            </w:pPr>
          </w:p>
        </w:tc>
      </w:tr>
      <w:tr w:rsidR="00F34104" w:rsidRPr="00F51546" w14:paraId="0D616FDA" w14:textId="77777777" w:rsidTr="003521CC">
        <w:tc>
          <w:tcPr>
            <w:tcW w:w="2112" w:type="dxa"/>
          </w:tcPr>
          <w:p w14:paraId="5347C3A0" w14:textId="33ADD5EE" w:rsidR="00F34104" w:rsidRPr="00F51546" w:rsidRDefault="0026505D" w:rsidP="002B7145">
            <w:pPr>
              <w:jc w:val="both"/>
              <w:rPr>
                <w:rFonts w:ascii="Abadi" w:hAnsi="Abadi"/>
                <w:b/>
                <w:bCs/>
                <w:sz w:val="21"/>
                <w:szCs w:val="21"/>
              </w:rPr>
            </w:pPr>
            <w:r w:rsidRPr="00F51546">
              <w:rPr>
                <w:rFonts w:ascii="Abadi" w:hAnsi="Abadi"/>
                <w:b/>
                <w:bCs/>
                <w:sz w:val="21"/>
                <w:szCs w:val="21"/>
              </w:rPr>
              <w:t>4.05</w:t>
            </w:r>
          </w:p>
          <w:p w14:paraId="4E5920E5" w14:textId="77777777" w:rsidR="00015172" w:rsidRPr="00F51546" w:rsidRDefault="00015172" w:rsidP="002B7145">
            <w:pPr>
              <w:jc w:val="both"/>
              <w:rPr>
                <w:rFonts w:ascii="Abadi" w:hAnsi="Abadi"/>
                <w:sz w:val="21"/>
                <w:szCs w:val="21"/>
              </w:rPr>
            </w:pPr>
          </w:p>
          <w:p w14:paraId="781E0664" w14:textId="693FA449" w:rsidR="00A31F7E" w:rsidRPr="00F51546" w:rsidRDefault="00377C29" w:rsidP="002B7145">
            <w:pPr>
              <w:jc w:val="both"/>
              <w:rPr>
                <w:rFonts w:ascii="Abadi" w:hAnsi="Abadi" w:cs="Calibri"/>
                <w:sz w:val="21"/>
                <w:szCs w:val="21"/>
                <w:lang w:val="es-MX" w:eastAsia="es-MX"/>
              </w:rPr>
            </w:pPr>
            <w:r w:rsidRPr="00F51546">
              <w:rPr>
                <w:rFonts w:ascii="Abadi" w:hAnsi="Abadi" w:cs="Calibri"/>
                <w:sz w:val="21"/>
                <w:szCs w:val="21"/>
              </w:rPr>
              <w:t xml:space="preserve">La Quincuagésima Quinta Legislatura del Congreso del Estado de Morelos comunica la aprobación de la Minuta con Proyecto Decreto, por el que se reforman los artículos 55 y 91 de la Constitución Política de los </w:t>
            </w:r>
            <w:r w:rsidRPr="00F51546">
              <w:rPr>
                <w:rFonts w:ascii="Abadi" w:hAnsi="Abadi" w:cs="Calibri"/>
                <w:sz w:val="21"/>
                <w:szCs w:val="21"/>
              </w:rPr>
              <w:t>Estados Unidos Mexicanos, en materia de edad mínima para ocupar cargo público.</w:t>
            </w:r>
          </w:p>
        </w:tc>
        <w:tc>
          <w:tcPr>
            <w:tcW w:w="2126" w:type="dxa"/>
          </w:tcPr>
          <w:p w14:paraId="78CEDE2C" w14:textId="77777777" w:rsidR="00F34104" w:rsidRPr="00F51546" w:rsidRDefault="00F34104" w:rsidP="005B747D">
            <w:pPr>
              <w:jc w:val="both"/>
              <w:rPr>
                <w:rFonts w:ascii="Abadi" w:hAnsi="Abadi"/>
                <w:b/>
                <w:bCs/>
                <w:sz w:val="21"/>
                <w:szCs w:val="21"/>
              </w:rPr>
            </w:pPr>
          </w:p>
          <w:p w14:paraId="0FFD8A39" w14:textId="77777777" w:rsidR="00377C29" w:rsidRPr="00F51546" w:rsidRDefault="00377C29" w:rsidP="005B747D">
            <w:pPr>
              <w:jc w:val="both"/>
              <w:rPr>
                <w:rFonts w:ascii="Abadi" w:hAnsi="Abadi"/>
                <w:b/>
                <w:bCs/>
                <w:sz w:val="21"/>
                <w:szCs w:val="21"/>
              </w:rPr>
            </w:pPr>
          </w:p>
          <w:p w14:paraId="3792DFB6" w14:textId="77777777" w:rsidR="00632CA0" w:rsidRPr="00F51546" w:rsidRDefault="00632CA0" w:rsidP="00632CA0">
            <w:pPr>
              <w:jc w:val="both"/>
              <w:rPr>
                <w:rFonts w:ascii="Abadi" w:hAnsi="Abadi" w:cs="Calibri"/>
                <w:b/>
                <w:bCs/>
                <w:sz w:val="21"/>
                <w:szCs w:val="21"/>
                <w:lang w:val="es-MX" w:eastAsia="es-MX"/>
              </w:rPr>
            </w:pPr>
            <w:r w:rsidRPr="00F51546">
              <w:rPr>
                <w:rFonts w:ascii="Abadi" w:hAnsi="Abadi" w:cs="Calibri"/>
                <w:b/>
                <w:bCs/>
                <w:sz w:val="21"/>
                <w:szCs w:val="21"/>
              </w:rPr>
              <w:t>Enterados.</w:t>
            </w:r>
          </w:p>
          <w:p w14:paraId="32E81B05" w14:textId="77777777" w:rsidR="00377C29" w:rsidRPr="00F51546" w:rsidRDefault="00377C29" w:rsidP="005B747D">
            <w:pPr>
              <w:jc w:val="both"/>
              <w:rPr>
                <w:rFonts w:ascii="Abadi" w:hAnsi="Abadi"/>
                <w:b/>
                <w:bCs/>
                <w:sz w:val="21"/>
                <w:szCs w:val="21"/>
              </w:rPr>
            </w:pPr>
          </w:p>
        </w:tc>
      </w:tr>
      <w:tr w:rsidR="00F34104" w:rsidRPr="00F51546" w14:paraId="11ED9A6D" w14:textId="77777777" w:rsidTr="003521CC">
        <w:tc>
          <w:tcPr>
            <w:tcW w:w="2112" w:type="dxa"/>
          </w:tcPr>
          <w:p w14:paraId="4D1F042A" w14:textId="3588B65C" w:rsidR="00F34104" w:rsidRPr="00F51546" w:rsidRDefault="00CE4C0A" w:rsidP="002B7145">
            <w:pPr>
              <w:jc w:val="both"/>
              <w:rPr>
                <w:rFonts w:ascii="Abadi" w:hAnsi="Abadi"/>
                <w:b/>
                <w:bCs/>
                <w:sz w:val="21"/>
                <w:szCs w:val="21"/>
              </w:rPr>
            </w:pPr>
            <w:r w:rsidRPr="00F51546">
              <w:rPr>
                <w:rFonts w:ascii="Abadi" w:hAnsi="Abadi"/>
                <w:b/>
                <w:bCs/>
                <w:sz w:val="21"/>
                <w:szCs w:val="21"/>
              </w:rPr>
              <w:t>4.06</w:t>
            </w:r>
          </w:p>
          <w:p w14:paraId="2BFBE5C7" w14:textId="77777777" w:rsidR="00015172" w:rsidRPr="00F51546" w:rsidRDefault="00015172" w:rsidP="002B7145">
            <w:pPr>
              <w:jc w:val="both"/>
              <w:rPr>
                <w:rFonts w:ascii="Abadi" w:hAnsi="Abadi"/>
                <w:sz w:val="21"/>
                <w:szCs w:val="21"/>
              </w:rPr>
            </w:pPr>
          </w:p>
          <w:p w14:paraId="6E0CBA49" w14:textId="78613A2E" w:rsidR="00A31F7E" w:rsidRPr="00F51546" w:rsidRDefault="00570511" w:rsidP="002B7145">
            <w:pPr>
              <w:jc w:val="both"/>
              <w:rPr>
                <w:rFonts w:ascii="Abadi" w:hAnsi="Abadi" w:cs="Calibri"/>
                <w:sz w:val="21"/>
                <w:szCs w:val="21"/>
                <w:lang w:val="es-MX" w:eastAsia="es-MX"/>
              </w:rPr>
            </w:pPr>
            <w:r w:rsidRPr="00F51546">
              <w:rPr>
                <w:rFonts w:ascii="Abadi" w:hAnsi="Abadi" w:cs="Calibri"/>
                <w:sz w:val="21"/>
                <w:szCs w:val="21"/>
              </w:rPr>
              <w:t>La Quincuagésima Quinta Legislatura del Congreso del Estado de Morelos comunica la aprobación de la Minuta con Proyecto Decreto, por el que se reforman y adicionan los artículos 38 y 102 de la Constitución Política de los Estados Unidos Mexicanos, en materia de suspensión de derechos para ocupar cargo, empleo o comisión del servicio público.</w:t>
            </w:r>
          </w:p>
        </w:tc>
        <w:tc>
          <w:tcPr>
            <w:tcW w:w="2126" w:type="dxa"/>
          </w:tcPr>
          <w:p w14:paraId="77648103" w14:textId="77777777" w:rsidR="00F34104" w:rsidRPr="00F51546" w:rsidRDefault="00F34104" w:rsidP="005B747D">
            <w:pPr>
              <w:jc w:val="both"/>
              <w:rPr>
                <w:rFonts w:ascii="Abadi" w:hAnsi="Abadi"/>
                <w:b/>
                <w:bCs/>
                <w:sz w:val="21"/>
                <w:szCs w:val="21"/>
              </w:rPr>
            </w:pPr>
          </w:p>
          <w:p w14:paraId="1AA9A7A8" w14:textId="77777777" w:rsidR="00570511" w:rsidRPr="00F51546" w:rsidRDefault="00570511" w:rsidP="005B747D">
            <w:pPr>
              <w:jc w:val="both"/>
              <w:rPr>
                <w:rFonts w:ascii="Abadi" w:hAnsi="Abadi"/>
                <w:b/>
                <w:bCs/>
                <w:sz w:val="21"/>
                <w:szCs w:val="21"/>
              </w:rPr>
            </w:pPr>
          </w:p>
          <w:p w14:paraId="4D3DCE92" w14:textId="77777777" w:rsidR="00570511" w:rsidRPr="00F51546" w:rsidRDefault="00570511" w:rsidP="00570511">
            <w:pPr>
              <w:jc w:val="both"/>
              <w:rPr>
                <w:rFonts w:ascii="Abadi" w:hAnsi="Abadi" w:cs="Calibri"/>
                <w:b/>
                <w:bCs/>
                <w:sz w:val="21"/>
                <w:szCs w:val="21"/>
                <w:lang w:val="es-MX" w:eastAsia="es-MX"/>
              </w:rPr>
            </w:pPr>
            <w:r w:rsidRPr="00F51546">
              <w:rPr>
                <w:rFonts w:ascii="Abadi" w:hAnsi="Abadi" w:cs="Calibri"/>
                <w:b/>
                <w:bCs/>
                <w:sz w:val="21"/>
                <w:szCs w:val="21"/>
              </w:rPr>
              <w:t>Enterados.</w:t>
            </w:r>
          </w:p>
          <w:p w14:paraId="79537648" w14:textId="77777777" w:rsidR="00570511" w:rsidRPr="00F51546" w:rsidRDefault="00570511" w:rsidP="005B747D">
            <w:pPr>
              <w:jc w:val="both"/>
              <w:rPr>
                <w:rFonts w:ascii="Abadi" w:hAnsi="Abadi"/>
                <w:b/>
                <w:bCs/>
                <w:sz w:val="21"/>
                <w:szCs w:val="21"/>
              </w:rPr>
            </w:pPr>
          </w:p>
        </w:tc>
      </w:tr>
      <w:tr w:rsidR="00B94B28" w:rsidRPr="00F51546" w14:paraId="5FC63747" w14:textId="77777777" w:rsidTr="00B94B28">
        <w:tc>
          <w:tcPr>
            <w:tcW w:w="4238" w:type="dxa"/>
            <w:gridSpan w:val="2"/>
            <w:shd w:val="clear" w:color="auto" w:fill="C4BC96" w:themeFill="background2" w:themeFillShade="BF"/>
          </w:tcPr>
          <w:p w14:paraId="6019FB30" w14:textId="0CCA02A4" w:rsidR="00B94B28" w:rsidRPr="00F51546" w:rsidRDefault="00B94B28" w:rsidP="00B94B28">
            <w:pPr>
              <w:jc w:val="both"/>
              <w:rPr>
                <w:rFonts w:ascii="Abadi" w:hAnsi="Abadi"/>
                <w:b/>
                <w:bCs/>
                <w:sz w:val="21"/>
                <w:szCs w:val="21"/>
              </w:rPr>
            </w:pPr>
            <w:r w:rsidRPr="00F51546">
              <w:rPr>
                <w:rFonts w:ascii="Abadi" w:hAnsi="Abadi"/>
                <w:b/>
                <w:bCs/>
                <w:sz w:val="21"/>
                <w:szCs w:val="21"/>
              </w:rPr>
              <w:t>I</w:t>
            </w:r>
            <w:r w:rsidR="00C36BB5" w:rsidRPr="00F51546">
              <w:rPr>
                <w:rFonts w:ascii="Abadi" w:hAnsi="Abadi"/>
                <w:b/>
                <w:bCs/>
                <w:sz w:val="21"/>
                <w:szCs w:val="21"/>
              </w:rPr>
              <w:t>V</w:t>
            </w:r>
            <w:r w:rsidRPr="00F51546">
              <w:rPr>
                <w:rFonts w:ascii="Abadi" w:hAnsi="Abadi"/>
                <w:b/>
                <w:bCs/>
                <w:sz w:val="21"/>
                <w:szCs w:val="21"/>
              </w:rPr>
              <w:t>. Co</w:t>
            </w:r>
            <w:r w:rsidR="00C36BB5" w:rsidRPr="00F51546">
              <w:rPr>
                <w:rFonts w:ascii="Abadi" w:hAnsi="Abadi"/>
                <w:b/>
                <w:bCs/>
                <w:sz w:val="21"/>
                <w:szCs w:val="21"/>
              </w:rPr>
              <w:t xml:space="preserve">rrespondencia </w:t>
            </w:r>
            <w:r w:rsidR="00724835" w:rsidRPr="00F51546">
              <w:rPr>
                <w:rFonts w:ascii="Abadi" w:hAnsi="Abadi"/>
                <w:b/>
                <w:bCs/>
                <w:sz w:val="21"/>
                <w:szCs w:val="21"/>
              </w:rPr>
              <w:t xml:space="preserve">de </w:t>
            </w:r>
            <w:r w:rsidRPr="00F51546">
              <w:rPr>
                <w:rFonts w:ascii="Abadi" w:hAnsi="Abadi"/>
                <w:b/>
                <w:bCs/>
                <w:sz w:val="21"/>
                <w:szCs w:val="21"/>
              </w:rPr>
              <w:t>p</w:t>
            </w:r>
            <w:r w:rsidR="00724835" w:rsidRPr="00F51546">
              <w:rPr>
                <w:rFonts w:ascii="Abadi" w:hAnsi="Abadi"/>
                <w:b/>
                <w:bCs/>
                <w:sz w:val="21"/>
                <w:szCs w:val="21"/>
              </w:rPr>
              <w:t>a</w:t>
            </w:r>
            <w:r w:rsidRPr="00F51546">
              <w:rPr>
                <w:rFonts w:ascii="Abadi" w:hAnsi="Abadi"/>
                <w:b/>
                <w:bCs/>
                <w:sz w:val="21"/>
                <w:szCs w:val="21"/>
              </w:rPr>
              <w:t>r</w:t>
            </w:r>
            <w:r w:rsidR="00724835" w:rsidRPr="00F51546">
              <w:rPr>
                <w:rFonts w:ascii="Abadi" w:hAnsi="Abadi"/>
                <w:b/>
                <w:bCs/>
                <w:sz w:val="21"/>
                <w:szCs w:val="21"/>
              </w:rPr>
              <w:t>t</w:t>
            </w:r>
            <w:r w:rsidRPr="00F51546">
              <w:rPr>
                <w:rFonts w:ascii="Abadi" w:hAnsi="Abadi"/>
                <w:b/>
                <w:bCs/>
                <w:sz w:val="21"/>
                <w:szCs w:val="21"/>
              </w:rPr>
              <w:t>i</w:t>
            </w:r>
            <w:r w:rsidR="00724835" w:rsidRPr="00F51546">
              <w:rPr>
                <w:rFonts w:ascii="Abadi" w:hAnsi="Abadi"/>
                <w:b/>
                <w:bCs/>
                <w:sz w:val="21"/>
                <w:szCs w:val="21"/>
              </w:rPr>
              <w:t>culare</w:t>
            </w:r>
            <w:r w:rsidRPr="00F51546">
              <w:rPr>
                <w:rFonts w:ascii="Abadi" w:hAnsi="Abadi"/>
                <w:b/>
                <w:bCs/>
                <w:sz w:val="21"/>
                <w:szCs w:val="21"/>
              </w:rPr>
              <w:t>s.</w:t>
            </w:r>
          </w:p>
        </w:tc>
      </w:tr>
      <w:tr w:rsidR="00F34104" w:rsidRPr="00F51546" w14:paraId="78018992" w14:textId="77777777" w:rsidTr="003521CC">
        <w:tc>
          <w:tcPr>
            <w:tcW w:w="2112" w:type="dxa"/>
          </w:tcPr>
          <w:p w14:paraId="6E50EECF" w14:textId="596B8ABA" w:rsidR="00F34104" w:rsidRPr="00F51546" w:rsidRDefault="008C575C" w:rsidP="002B7145">
            <w:pPr>
              <w:jc w:val="both"/>
              <w:rPr>
                <w:rFonts w:ascii="Abadi" w:hAnsi="Abadi"/>
                <w:b/>
                <w:bCs/>
                <w:sz w:val="21"/>
                <w:szCs w:val="21"/>
              </w:rPr>
            </w:pPr>
            <w:r w:rsidRPr="00F51546">
              <w:rPr>
                <w:rFonts w:ascii="Abadi" w:hAnsi="Abadi"/>
                <w:b/>
                <w:bCs/>
                <w:sz w:val="21"/>
                <w:szCs w:val="21"/>
              </w:rPr>
              <w:t>5.01</w:t>
            </w:r>
          </w:p>
          <w:p w14:paraId="29E11F50" w14:textId="77777777" w:rsidR="00015172" w:rsidRPr="00F51546" w:rsidRDefault="00015172" w:rsidP="002B7145">
            <w:pPr>
              <w:jc w:val="both"/>
              <w:rPr>
                <w:rFonts w:ascii="Abadi" w:hAnsi="Abadi"/>
                <w:sz w:val="21"/>
                <w:szCs w:val="21"/>
              </w:rPr>
            </w:pPr>
          </w:p>
          <w:p w14:paraId="6349FB39" w14:textId="074C3FA0" w:rsidR="00A31F7E" w:rsidRPr="00F51546" w:rsidRDefault="000029D7" w:rsidP="002B7145">
            <w:pPr>
              <w:jc w:val="both"/>
              <w:rPr>
                <w:rFonts w:ascii="Abadi" w:hAnsi="Abadi" w:cs="Calibri"/>
                <w:sz w:val="21"/>
                <w:szCs w:val="21"/>
                <w:lang w:val="es-MX" w:eastAsia="es-MX"/>
              </w:rPr>
            </w:pPr>
            <w:r w:rsidRPr="00F51546">
              <w:rPr>
                <w:rFonts w:ascii="Abadi" w:hAnsi="Abadi" w:cs="Calibri"/>
                <w:sz w:val="21"/>
                <w:szCs w:val="21"/>
              </w:rPr>
              <w:t>Integrantes de la Asociación de Colonos del Municipio Libre de Guanajuato Capital solicitan al ayuntamiento de Guanajuato se promueva y gestione ante las autoridades estatal, federal y del Congreso del Estado para que se inicie la construcción de un relleno sanitario para el municipio de Guanajuato, con base en los lineamientos que establece la Norma Oficial Mexicana NOM-083-SEMARNAT-2003 y otras acciones.</w:t>
            </w:r>
          </w:p>
        </w:tc>
        <w:tc>
          <w:tcPr>
            <w:tcW w:w="2126" w:type="dxa"/>
          </w:tcPr>
          <w:p w14:paraId="6F123ACA" w14:textId="77777777" w:rsidR="00F34104" w:rsidRPr="00F51546" w:rsidRDefault="00F34104" w:rsidP="005B747D">
            <w:pPr>
              <w:jc w:val="both"/>
              <w:rPr>
                <w:rFonts w:ascii="Abadi" w:hAnsi="Abadi"/>
                <w:b/>
                <w:bCs/>
                <w:sz w:val="21"/>
                <w:szCs w:val="21"/>
              </w:rPr>
            </w:pPr>
          </w:p>
          <w:p w14:paraId="521ED692" w14:textId="77777777" w:rsidR="000029D7" w:rsidRPr="00F51546" w:rsidRDefault="000029D7" w:rsidP="005B747D">
            <w:pPr>
              <w:jc w:val="both"/>
              <w:rPr>
                <w:rFonts w:ascii="Abadi" w:hAnsi="Abadi"/>
                <w:b/>
                <w:bCs/>
                <w:sz w:val="21"/>
                <w:szCs w:val="21"/>
              </w:rPr>
            </w:pPr>
          </w:p>
          <w:p w14:paraId="75BE201B" w14:textId="77777777" w:rsidR="000029D7" w:rsidRPr="00F51546" w:rsidRDefault="000029D7" w:rsidP="000029D7">
            <w:pPr>
              <w:jc w:val="both"/>
              <w:rPr>
                <w:rFonts w:ascii="Abadi" w:hAnsi="Abadi" w:cs="Calibri"/>
                <w:b/>
                <w:bCs/>
                <w:sz w:val="21"/>
                <w:szCs w:val="21"/>
                <w:lang w:val="es-MX" w:eastAsia="es-MX"/>
              </w:rPr>
            </w:pPr>
            <w:r w:rsidRPr="00F51546">
              <w:rPr>
                <w:rFonts w:ascii="Abadi" w:hAnsi="Abadi" w:cs="Calibri"/>
                <w:b/>
                <w:bCs/>
                <w:sz w:val="21"/>
                <w:szCs w:val="21"/>
              </w:rPr>
              <w:t>Enterados.</w:t>
            </w:r>
          </w:p>
          <w:p w14:paraId="28379951" w14:textId="77777777" w:rsidR="000029D7" w:rsidRPr="00F51546" w:rsidRDefault="000029D7" w:rsidP="005B747D">
            <w:pPr>
              <w:jc w:val="both"/>
              <w:rPr>
                <w:rFonts w:ascii="Abadi" w:hAnsi="Abadi"/>
                <w:b/>
                <w:bCs/>
                <w:sz w:val="21"/>
                <w:szCs w:val="21"/>
              </w:rPr>
            </w:pPr>
          </w:p>
        </w:tc>
      </w:tr>
    </w:tbl>
    <w:p w14:paraId="32520F56" w14:textId="4F64A8E0" w:rsidR="00233D5E" w:rsidRPr="00040CA4" w:rsidRDefault="00233D5E" w:rsidP="00233D5E">
      <w:pPr>
        <w:kinsoku w:val="0"/>
        <w:overflowPunct w:val="0"/>
        <w:autoSpaceDE w:val="0"/>
        <w:autoSpaceDN w:val="0"/>
        <w:adjustRightInd w:val="0"/>
        <w:spacing w:before="1"/>
        <w:jc w:val="both"/>
        <w:rPr>
          <w:rFonts w:ascii="Abadi" w:hAnsi="Abadi" w:cs="Arial"/>
          <w:b/>
          <w:bCs/>
          <w:sz w:val="21"/>
          <w:szCs w:val="21"/>
        </w:rPr>
      </w:pPr>
    </w:p>
    <w:p w14:paraId="3A24F4B6" w14:textId="3B1C68E2" w:rsidR="00E467E2" w:rsidRDefault="00E467E2" w:rsidP="00E467E2">
      <w:pPr>
        <w:jc w:val="both"/>
        <w:rPr>
          <w:rFonts w:ascii="Abadi" w:hAnsi="Abadi"/>
          <w:sz w:val="21"/>
          <w:szCs w:val="21"/>
        </w:rPr>
      </w:pPr>
      <w:r>
        <w:rPr>
          <w:rFonts w:ascii="Abadi" w:hAnsi="Abadi"/>
          <w:b/>
          <w:bCs/>
          <w:sz w:val="21"/>
          <w:szCs w:val="21"/>
        </w:rPr>
        <w:lastRenderedPageBreak/>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 el siguiente punto del orden del día relativo a las comunicaciones y correspondencia recibida, se propone la dispensa de su lectura en razón de encontrarse en la Gaceta Parlamentaria</w:t>
      </w:r>
      <w:r>
        <w:rPr>
          <w:rFonts w:ascii="Abadi" w:hAnsi="Abadi"/>
          <w:sz w:val="21"/>
          <w:szCs w:val="21"/>
        </w:rPr>
        <w:t>. S</w:t>
      </w:r>
      <w:r w:rsidRPr="0030088F">
        <w:rPr>
          <w:rFonts w:ascii="Abadi" w:hAnsi="Abadi"/>
          <w:sz w:val="21"/>
          <w:szCs w:val="21"/>
        </w:rPr>
        <w:t>i desean hacer uso de la palabra respecto de esta propuesta sírvanse indicarlo. Al no registrarse intervenciones solicito a la secretaría que en votación económica a través del sistema electrónico pregunte si se aprueba la propuesta.</w:t>
      </w:r>
    </w:p>
    <w:p w14:paraId="7C3ED5D3" w14:textId="77777777" w:rsidR="00E467E2" w:rsidRPr="0030088F" w:rsidRDefault="00E467E2" w:rsidP="00E467E2">
      <w:pPr>
        <w:jc w:val="both"/>
        <w:rPr>
          <w:rFonts w:ascii="Abadi" w:hAnsi="Abadi"/>
          <w:sz w:val="21"/>
          <w:szCs w:val="21"/>
        </w:rPr>
      </w:pPr>
    </w:p>
    <w:p w14:paraId="36CCC861" w14:textId="77777777" w:rsidR="00E467E2" w:rsidRDefault="00E467E2" w:rsidP="00E467E2">
      <w:pPr>
        <w:jc w:val="both"/>
        <w:rPr>
          <w:rFonts w:ascii="Abadi" w:hAnsi="Abadi"/>
          <w:b/>
          <w:bCs/>
          <w:sz w:val="21"/>
          <w:szCs w:val="21"/>
        </w:rPr>
      </w:pPr>
      <w:r w:rsidRPr="0030088F">
        <w:rPr>
          <w:rFonts w:ascii="Abadi" w:hAnsi="Abadi"/>
          <w:b/>
          <w:bCs/>
          <w:sz w:val="21"/>
          <w:szCs w:val="21"/>
        </w:rPr>
        <w:t>(se abre el sistema electrónico)</w:t>
      </w:r>
    </w:p>
    <w:p w14:paraId="74DAACD3" w14:textId="77777777" w:rsidR="00E467E2" w:rsidRPr="0030088F" w:rsidRDefault="00E467E2" w:rsidP="00E467E2">
      <w:pPr>
        <w:jc w:val="both"/>
        <w:rPr>
          <w:rFonts w:ascii="Abadi" w:hAnsi="Abadi"/>
          <w:b/>
          <w:bCs/>
          <w:sz w:val="21"/>
          <w:szCs w:val="21"/>
        </w:rPr>
      </w:pPr>
    </w:p>
    <w:p w14:paraId="692FF80B" w14:textId="77777777" w:rsidR="00E467E2" w:rsidRDefault="00E467E2" w:rsidP="00E467E2">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En votación económica y por medio del sistema electrónico se les consulta si se aprueba la propuesta de referencia. ¿</w:t>
      </w:r>
      <w:r>
        <w:rPr>
          <w:rFonts w:ascii="Abadi" w:hAnsi="Abadi"/>
          <w:sz w:val="21"/>
          <w:szCs w:val="21"/>
        </w:rPr>
        <w:t>D</w:t>
      </w:r>
      <w:r w:rsidRPr="0030088F">
        <w:rPr>
          <w:rFonts w:ascii="Abadi" w:hAnsi="Abadi"/>
          <w:sz w:val="21"/>
          <w:szCs w:val="21"/>
        </w:rPr>
        <w:t xml:space="preserve">iputado Gerardo? ¿diputada Martha Lourdes? ¿diputada Dessire? ¿diputada Ruth? </w:t>
      </w:r>
    </w:p>
    <w:p w14:paraId="1B7358B0" w14:textId="77777777" w:rsidR="00E467E2" w:rsidRPr="0030088F" w:rsidRDefault="00E467E2" w:rsidP="00E467E2">
      <w:pPr>
        <w:jc w:val="both"/>
        <w:rPr>
          <w:rFonts w:ascii="Abadi" w:hAnsi="Abadi"/>
          <w:sz w:val="21"/>
          <w:szCs w:val="21"/>
        </w:rPr>
      </w:pPr>
    </w:p>
    <w:p w14:paraId="704BB0C9" w14:textId="77777777" w:rsidR="00E467E2" w:rsidRDefault="00E467E2" w:rsidP="00E467E2">
      <w:pPr>
        <w:jc w:val="both"/>
        <w:rPr>
          <w:rFonts w:ascii="Abadi" w:hAnsi="Abadi"/>
          <w:sz w:val="21"/>
          <w:szCs w:val="21"/>
        </w:rPr>
      </w:pPr>
      <w:r w:rsidRPr="0030088F">
        <w:rPr>
          <w:rFonts w:ascii="Abadi" w:hAnsi="Abadi"/>
          <w:sz w:val="21"/>
          <w:szCs w:val="21"/>
        </w:rPr>
        <w:t>¿falta alguna diputada o diputado por emitir su voto?</w:t>
      </w:r>
    </w:p>
    <w:p w14:paraId="268E264E" w14:textId="77777777" w:rsidR="00E467E2" w:rsidRPr="0030088F" w:rsidRDefault="00E467E2" w:rsidP="00E467E2">
      <w:pPr>
        <w:jc w:val="both"/>
        <w:rPr>
          <w:rFonts w:ascii="Abadi" w:hAnsi="Abadi"/>
          <w:sz w:val="21"/>
          <w:szCs w:val="21"/>
        </w:rPr>
      </w:pPr>
    </w:p>
    <w:p w14:paraId="22C9F35A" w14:textId="77777777" w:rsidR="00E467E2" w:rsidRPr="0030088F" w:rsidRDefault="00E467E2" w:rsidP="00E467E2">
      <w:pPr>
        <w:jc w:val="both"/>
        <w:rPr>
          <w:rFonts w:ascii="Abadi" w:hAnsi="Abadi"/>
          <w:b/>
          <w:bCs/>
          <w:sz w:val="21"/>
          <w:szCs w:val="21"/>
        </w:rPr>
      </w:pPr>
      <w:r w:rsidRPr="0030088F">
        <w:rPr>
          <w:rFonts w:ascii="Abadi" w:hAnsi="Abadi"/>
          <w:b/>
          <w:bCs/>
          <w:sz w:val="21"/>
          <w:szCs w:val="21"/>
        </w:rPr>
        <w:t>(se cierra el sistema electrónico)</w:t>
      </w:r>
    </w:p>
    <w:p w14:paraId="38897F90" w14:textId="77777777" w:rsidR="00E467E2" w:rsidRPr="0030088F" w:rsidRDefault="00E467E2" w:rsidP="00E467E2">
      <w:pPr>
        <w:jc w:val="both"/>
        <w:rPr>
          <w:rFonts w:ascii="Abadi" w:hAnsi="Abadi"/>
          <w:b/>
          <w:bCs/>
          <w:sz w:val="21"/>
          <w:szCs w:val="21"/>
        </w:rPr>
      </w:pPr>
      <w:r w:rsidRPr="0030088F">
        <w:rPr>
          <w:rFonts w:ascii="Abadi" w:hAnsi="Abadi"/>
          <w:noProof/>
          <w:sz w:val="21"/>
          <w:szCs w:val="21"/>
        </w:rPr>
        <w:drawing>
          <wp:inline distT="0" distB="0" distL="0" distR="0" wp14:anchorId="195F86F3" wp14:editId="641ADB51">
            <wp:extent cx="1634863" cy="862013"/>
            <wp:effectExtent l="247650" t="247650" r="251460" b="243205"/>
            <wp:docPr id="2055726453" name="Imagen 2055726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726453" name=""/>
                    <pic:cNvPicPr/>
                  </pic:nvPicPr>
                  <pic:blipFill rotWithShape="1">
                    <a:blip r:embed="rId19"/>
                    <a:srcRect b="6256"/>
                    <a:stretch/>
                  </pic:blipFill>
                  <pic:spPr bwMode="auto">
                    <a:xfrm>
                      <a:off x="0" y="0"/>
                      <a:ext cx="1646607" cy="86820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DEF962D" w14:textId="77777777" w:rsidR="00E467E2" w:rsidRDefault="00E467E2" w:rsidP="00E467E2">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Presidencia le informo que se registraron 33 votos a favor 0 votos en contra.</w:t>
      </w:r>
    </w:p>
    <w:p w14:paraId="277CFB08" w14:textId="77777777" w:rsidR="00E467E2" w:rsidRPr="0030088F" w:rsidRDefault="00E467E2" w:rsidP="00E467E2">
      <w:pPr>
        <w:jc w:val="both"/>
        <w:rPr>
          <w:rFonts w:ascii="Abadi" w:hAnsi="Abadi"/>
          <w:sz w:val="21"/>
          <w:szCs w:val="21"/>
        </w:rPr>
      </w:pPr>
    </w:p>
    <w:p w14:paraId="3B60EE2D" w14:textId="77777777" w:rsidR="00E467E2" w:rsidRDefault="00E467E2" w:rsidP="00E467E2">
      <w:pPr>
        <w:jc w:val="both"/>
        <w:rPr>
          <w:rFonts w:ascii="Abadi" w:hAnsi="Abadi"/>
          <w:sz w:val="21"/>
          <w:szCs w:val="21"/>
        </w:rPr>
      </w:pPr>
      <w:r w:rsidRPr="0030088F">
        <w:rPr>
          <w:rFonts w:ascii="Abadi" w:hAnsi="Abadi"/>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La propuesta ha sido aprobada por unanimidad de votos.</w:t>
      </w:r>
    </w:p>
    <w:p w14:paraId="0F370EAD" w14:textId="77777777" w:rsidR="00E467E2" w:rsidRPr="0030088F" w:rsidRDefault="00E467E2" w:rsidP="00E467E2">
      <w:pPr>
        <w:jc w:val="both"/>
        <w:rPr>
          <w:rFonts w:ascii="Abadi" w:hAnsi="Abadi"/>
          <w:sz w:val="21"/>
          <w:szCs w:val="21"/>
        </w:rPr>
      </w:pPr>
    </w:p>
    <w:p w14:paraId="109E062C" w14:textId="77777777" w:rsidR="00E467E2" w:rsidRPr="0030088F" w:rsidRDefault="00E467E2" w:rsidP="00E467E2">
      <w:pPr>
        <w:ind w:left="993" w:right="850"/>
        <w:jc w:val="both"/>
        <w:rPr>
          <w:rFonts w:ascii="Abadi" w:hAnsi="Abadi"/>
          <w:b/>
          <w:bCs/>
          <w:i/>
          <w:iCs/>
          <w:sz w:val="21"/>
          <w:szCs w:val="21"/>
          <w:u w:val="single"/>
        </w:rPr>
      </w:pPr>
      <w:r w:rsidRPr="0030088F">
        <w:rPr>
          <w:rFonts w:ascii="Abadi" w:hAnsi="Abadi"/>
          <w:b/>
          <w:bCs/>
          <w:i/>
          <w:iCs/>
          <w:sz w:val="21"/>
          <w:szCs w:val="21"/>
          <w:u w:val="single"/>
        </w:rPr>
        <w:t>En consecuencia ejecútense los acuerdos dictados por esta presidencia a las comunicaciones y correspondencia recibidas.</w:t>
      </w:r>
    </w:p>
    <w:p w14:paraId="5C94AE3E" w14:textId="77777777" w:rsidR="00013CF3" w:rsidRDefault="00013CF3" w:rsidP="00E467E2">
      <w:pPr>
        <w:pStyle w:val="Textoindependiente"/>
        <w:kinsoku w:val="0"/>
        <w:overflowPunct w:val="0"/>
        <w:spacing w:before="9"/>
        <w:ind w:right="850"/>
        <w:rPr>
          <w:rFonts w:ascii="Abadi" w:hAnsi="Abadi"/>
          <w:sz w:val="21"/>
          <w:szCs w:val="21"/>
        </w:rPr>
      </w:pPr>
      <w:r>
        <w:rPr>
          <w:rFonts w:ascii="Abadi" w:hAnsi="Abadi"/>
          <w:sz w:val="21"/>
          <w:szCs w:val="21"/>
        </w:rPr>
        <w:tab/>
      </w:r>
    </w:p>
    <w:p w14:paraId="45E9A967" w14:textId="1B3C6274" w:rsidR="00817D58" w:rsidRPr="00013CF3" w:rsidRDefault="00013CF3" w:rsidP="00013CF3">
      <w:pPr>
        <w:pStyle w:val="Textoindependiente"/>
        <w:kinsoku w:val="0"/>
        <w:overflowPunct w:val="0"/>
        <w:spacing w:before="9"/>
        <w:rPr>
          <w:rFonts w:ascii="Abadi" w:hAnsi="Abadi"/>
          <w:b w:val="0"/>
          <w:bCs w:val="0"/>
          <w:sz w:val="21"/>
          <w:szCs w:val="21"/>
        </w:rPr>
      </w:pPr>
      <w:r>
        <w:rPr>
          <w:rFonts w:ascii="Abadi" w:hAnsi="Abadi"/>
          <w:sz w:val="21"/>
          <w:szCs w:val="21"/>
        </w:rPr>
        <w:tab/>
      </w:r>
      <w:r w:rsidRPr="0030088F">
        <w:rPr>
          <w:rFonts w:ascii="Abadi" w:hAnsi="Abadi"/>
          <w:sz w:val="21"/>
          <w:szCs w:val="21"/>
        </w:rPr>
        <w:t xml:space="preserve">- </w:t>
      </w:r>
      <w:r w:rsidRPr="00013CF3">
        <w:rPr>
          <w:rFonts w:ascii="Abadi" w:hAnsi="Abadi"/>
          <w:b w:val="0"/>
          <w:bCs w:val="0"/>
          <w:sz w:val="21"/>
          <w:szCs w:val="21"/>
        </w:rPr>
        <w:t>Se da cuenta de la incorporación de la diputada Dessire Rocha.</w:t>
      </w:r>
    </w:p>
    <w:p w14:paraId="70450CEF" w14:textId="77777777" w:rsidR="00D2104C" w:rsidRPr="00013CF3" w:rsidRDefault="00D2104C" w:rsidP="00817D58">
      <w:pPr>
        <w:pStyle w:val="Textoindependiente"/>
        <w:kinsoku w:val="0"/>
        <w:overflowPunct w:val="0"/>
        <w:spacing w:before="9"/>
        <w:rPr>
          <w:rFonts w:ascii="Abadi" w:hAnsi="Abadi"/>
          <w:b w:val="0"/>
          <w:bCs w:val="0"/>
          <w:sz w:val="21"/>
          <w:szCs w:val="21"/>
        </w:rPr>
      </w:pPr>
    </w:p>
    <w:p w14:paraId="2A8B2FA9" w14:textId="46BE2BAA" w:rsidR="00374533" w:rsidRDefault="00374533" w:rsidP="00E467E2">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INICIATIVA FORMULADA POR DIPUTADAS Y DIPUTADOS INTEGRANTES DEL GRUPO PARLAMENTARIO DEL PARTIDO ACCIÓN NACIONAL A EFECTO DE REFORMAR LA FRACCIÓN IV DEL ARTÍCULO 1 Y LA FRACCIÓN I DEL ARTÍCULO 6; Y ADICIONAR UNA FRACCIÓN IV AL ARTÍCULO 2 Y UNA FRACCIÓN XI AL ARTÍCULO 6, RECORRIENDO EN SU ORDEN LAS SUBSECUENTES, ASÍ COMO LOS ARTÍCULOS 38 BIS Y 39 BIS A LA LEY PARA LA PROTECCIÓN ANIMAL DEL ESTADO DE GUANAJUATO.</w:t>
      </w:r>
      <w:r w:rsidR="005132AB">
        <w:rPr>
          <w:rStyle w:val="Refdenotaalpie"/>
          <w:rFonts w:ascii="Abadi" w:hAnsi="Abadi" w:cs="ArialMT"/>
          <w:b/>
          <w:bCs/>
          <w:sz w:val="21"/>
          <w:szCs w:val="21"/>
        </w:rPr>
        <w:footnoteReference w:id="6"/>
      </w:r>
    </w:p>
    <w:p w14:paraId="1A48128F" w14:textId="77777777" w:rsidR="00B17643" w:rsidRDefault="00B17643" w:rsidP="00B17643">
      <w:pPr>
        <w:autoSpaceDE w:val="0"/>
        <w:autoSpaceDN w:val="0"/>
        <w:adjustRightInd w:val="0"/>
        <w:contextualSpacing/>
        <w:jc w:val="both"/>
        <w:rPr>
          <w:rFonts w:ascii="Abadi" w:hAnsi="Abadi" w:cs="ArialMT"/>
          <w:b/>
          <w:bCs/>
          <w:sz w:val="21"/>
          <w:szCs w:val="21"/>
        </w:rPr>
      </w:pPr>
    </w:p>
    <w:p w14:paraId="58CA1884" w14:textId="77777777" w:rsidR="00B17643" w:rsidRDefault="00B17643" w:rsidP="00B17643">
      <w:pPr>
        <w:autoSpaceDE w:val="0"/>
        <w:autoSpaceDN w:val="0"/>
        <w:adjustRightInd w:val="0"/>
        <w:contextualSpacing/>
        <w:jc w:val="both"/>
        <w:rPr>
          <w:rFonts w:ascii="Abadi" w:hAnsi="Abadi" w:cs="ArialMT"/>
          <w:b/>
          <w:bCs/>
          <w:sz w:val="21"/>
          <w:szCs w:val="21"/>
        </w:rPr>
      </w:pPr>
    </w:p>
    <w:p w14:paraId="4F8AD35B" w14:textId="77777777" w:rsidR="00D00189" w:rsidRPr="00A153CC" w:rsidRDefault="00D00189" w:rsidP="00D00189">
      <w:pPr>
        <w:jc w:val="both"/>
        <w:rPr>
          <w:rFonts w:ascii="Abadi" w:hAnsi="Abadi" w:cs="Arial"/>
          <w:b/>
          <w:bCs/>
          <w:sz w:val="21"/>
          <w:szCs w:val="21"/>
        </w:rPr>
      </w:pPr>
      <w:r w:rsidRPr="00A153CC">
        <w:rPr>
          <w:rFonts w:ascii="Abadi" w:hAnsi="Abadi" w:cs="Arial"/>
          <w:b/>
          <w:bCs/>
          <w:sz w:val="21"/>
          <w:szCs w:val="21"/>
        </w:rPr>
        <w:t xml:space="preserve">Diputada Laura Cristina Márquez </w:t>
      </w:r>
      <w:proofErr w:type="spellStart"/>
      <w:r w:rsidRPr="00A153CC">
        <w:rPr>
          <w:rFonts w:ascii="Abadi" w:hAnsi="Abadi" w:cs="Arial"/>
          <w:b/>
          <w:bCs/>
          <w:sz w:val="21"/>
          <w:szCs w:val="21"/>
        </w:rPr>
        <w:t>Márquez</w:t>
      </w:r>
      <w:proofErr w:type="spellEnd"/>
      <w:r w:rsidRPr="00A153CC">
        <w:rPr>
          <w:rFonts w:ascii="Abadi" w:hAnsi="Abadi" w:cs="Arial"/>
          <w:b/>
          <w:bCs/>
          <w:sz w:val="21"/>
          <w:szCs w:val="21"/>
        </w:rPr>
        <w:t xml:space="preserve"> </w:t>
      </w:r>
    </w:p>
    <w:p w14:paraId="1BDB3CB4" w14:textId="77777777" w:rsidR="00D00189" w:rsidRPr="00A153CC" w:rsidRDefault="00D00189" w:rsidP="00D00189">
      <w:pPr>
        <w:jc w:val="both"/>
        <w:rPr>
          <w:rFonts w:ascii="Abadi" w:hAnsi="Abadi" w:cs="Arial"/>
          <w:b/>
          <w:bCs/>
          <w:sz w:val="21"/>
          <w:szCs w:val="21"/>
        </w:rPr>
      </w:pPr>
      <w:r w:rsidRPr="00A153CC">
        <w:rPr>
          <w:rFonts w:ascii="Abadi" w:hAnsi="Abadi" w:cs="Arial"/>
          <w:b/>
          <w:bCs/>
          <w:sz w:val="21"/>
          <w:szCs w:val="21"/>
        </w:rPr>
        <w:t>Presidente del Congreso del Estado</w:t>
      </w:r>
      <w:r w:rsidRPr="00A153CC">
        <w:rPr>
          <w:rFonts w:ascii="Abadi" w:hAnsi="Abadi" w:cs="Arial"/>
          <w:b/>
          <w:bCs/>
          <w:sz w:val="21"/>
          <w:szCs w:val="21"/>
        </w:rPr>
        <w:tab/>
      </w:r>
    </w:p>
    <w:p w14:paraId="44B4756B" w14:textId="77777777" w:rsidR="00D00189" w:rsidRPr="00A153CC" w:rsidRDefault="00D00189" w:rsidP="00D00189">
      <w:pPr>
        <w:jc w:val="both"/>
        <w:rPr>
          <w:rFonts w:ascii="Abadi" w:hAnsi="Abadi" w:cs="Arial"/>
          <w:b/>
          <w:bCs/>
          <w:sz w:val="21"/>
          <w:szCs w:val="21"/>
        </w:rPr>
      </w:pPr>
      <w:r w:rsidRPr="00A153CC">
        <w:rPr>
          <w:rFonts w:ascii="Abadi" w:hAnsi="Abadi" w:cs="Arial"/>
          <w:b/>
          <w:bCs/>
          <w:sz w:val="21"/>
          <w:szCs w:val="21"/>
        </w:rPr>
        <w:t xml:space="preserve">Libre y Soberano de Guanajuato </w:t>
      </w:r>
    </w:p>
    <w:p w14:paraId="5A097445" w14:textId="77777777" w:rsidR="00D00189" w:rsidRPr="00A153CC" w:rsidRDefault="00D00189" w:rsidP="00D00189">
      <w:pPr>
        <w:jc w:val="both"/>
        <w:rPr>
          <w:rFonts w:ascii="Abadi" w:hAnsi="Abadi" w:cs="Arial"/>
          <w:b/>
          <w:bCs/>
          <w:sz w:val="21"/>
          <w:szCs w:val="21"/>
        </w:rPr>
      </w:pPr>
      <w:r w:rsidRPr="00A153CC">
        <w:rPr>
          <w:rFonts w:ascii="Abadi" w:hAnsi="Abadi" w:cs="Arial"/>
          <w:b/>
          <w:bCs/>
          <w:sz w:val="21"/>
          <w:szCs w:val="21"/>
        </w:rPr>
        <w:t>Sexagésima Quinta Legislatura</w:t>
      </w:r>
    </w:p>
    <w:p w14:paraId="37BE5235" w14:textId="77777777" w:rsidR="00D00189" w:rsidRPr="00A153CC" w:rsidRDefault="00D00189" w:rsidP="00D00189">
      <w:pPr>
        <w:jc w:val="both"/>
        <w:rPr>
          <w:rFonts w:ascii="Abadi" w:hAnsi="Abadi" w:cs="Arial"/>
          <w:b/>
          <w:bCs/>
          <w:sz w:val="21"/>
          <w:szCs w:val="21"/>
        </w:rPr>
      </w:pPr>
    </w:p>
    <w:p w14:paraId="1B649E9D" w14:textId="77777777" w:rsidR="00D00189" w:rsidRPr="00A153CC" w:rsidRDefault="00D00189" w:rsidP="00D00189">
      <w:pPr>
        <w:jc w:val="both"/>
        <w:rPr>
          <w:rFonts w:ascii="Abadi" w:hAnsi="Abadi" w:cs="Arial"/>
          <w:b/>
          <w:bCs/>
          <w:sz w:val="21"/>
          <w:szCs w:val="21"/>
        </w:rPr>
      </w:pPr>
      <w:r w:rsidRPr="00A153CC">
        <w:rPr>
          <w:rFonts w:ascii="Abadi" w:hAnsi="Abadi" w:cs="Arial"/>
          <w:b/>
          <w:bCs/>
          <w:sz w:val="21"/>
          <w:szCs w:val="21"/>
        </w:rPr>
        <w:t xml:space="preserve">P r e s e n t e </w:t>
      </w:r>
    </w:p>
    <w:p w14:paraId="7E259AF6" w14:textId="77777777" w:rsidR="00D00189" w:rsidRPr="001548E3" w:rsidRDefault="00D00189" w:rsidP="00D00189">
      <w:pPr>
        <w:jc w:val="both"/>
        <w:rPr>
          <w:rFonts w:ascii="Abadi" w:hAnsi="Abadi" w:cs="Arial"/>
          <w:sz w:val="21"/>
          <w:szCs w:val="21"/>
        </w:rPr>
      </w:pPr>
    </w:p>
    <w:p w14:paraId="03B6DCD6" w14:textId="77777777" w:rsidR="00D00189" w:rsidRPr="001548E3" w:rsidRDefault="00D00189" w:rsidP="00D00189">
      <w:pPr>
        <w:jc w:val="both"/>
        <w:rPr>
          <w:rFonts w:ascii="Abadi" w:hAnsi="Abadi" w:cs="Arial"/>
          <w:b/>
          <w:bCs/>
          <w:sz w:val="21"/>
          <w:szCs w:val="21"/>
        </w:rPr>
      </w:pPr>
      <w:r w:rsidRPr="001548E3">
        <w:rPr>
          <w:rFonts w:ascii="Abadi" w:hAnsi="Abadi" w:cs="Arial"/>
          <w:sz w:val="21"/>
          <w:szCs w:val="21"/>
        </w:rPr>
        <w:t xml:space="preserve">El que suscribe Diputado César Larrondo Díaz y quienes integramos el Grupo Parlamentario del Partido Acción Nacional, ante la Sexagésima Quinta Legislatura del Congreso del Estado Libre y Soberano de Guanajuato, con fundamento en lo dispuesto por los artículos 56 fracción II, de la Constitución Política para el Estado de Guanajuato; y 167 fracción II, 168 y 209 de la Ley Orgánica del Poder Legislativo del Estado de Guanajuato, nos permitimos someter a la consideración de esta Honorable Asamblea, la presente Iniciativa con proyecto de Decreto por el que se </w:t>
      </w:r>
      <w:r w:rsidRPr="001548E3">
        <w:rPr>
          <w:rFonts w:ascii="Abadi" w:eastAsia="Arial" w:hAnsi="Abadi" w:cs="Arial"/>
          <w:sz w:val="21"/>
          <w:szCs w:val="21"/>
          <w:lang w:val="es-ES_tradnl" w:eastAsia="es-MX"/>
        </w:rPr>
        <w:t>reforma el artículo 1° fracción IV, artículo 6° fracción I, y se adiciona la fracción IV del artículo 2, la fracción XI del artículo 6, recorriéndose en su orden las subsecuentes, y se adicionan los artículos 38 Bis y 39 Bis de la Ley para la Protección Animal del Estado de Guanajuato,</w:t>
      </w:r>
      <w:r w:rsidRPr="001548E3">
        <w:rPr>
          <w:rFonts w:ascii="Abadi" w:hAnsi="Abadi" w:cs="Arial"/>
          <w:sz w:val="21"/>
          <w:szCs w:val="21"/>
        </w:rPr>
        <w:t xml:space="preserve"> con base en la siguiente:</w:t>
      </w:r>
    </w:p>
    <w:p w14:paraId="1942AED3" w14:textId="77777777" w:rsidR="00D00189" w:rsidRPr="001548E3" w:rsidRDefault="00D00189" w:rsidP="00D00189">
      <w:pPr>
        <w:jc w:val="both"/>
        <w:rPr>
          <w:rFonts w:ascii="Abadi" w:hAnsi="Abadi" w:cs="Arial"/>
          <w:b/>
          <w:bCs/>
          <w:sz w:val="21"/>
          <w:szCs w:val="21"/>
        </w:rPr>
      </w:pPr>
    </w:p>
    <w:p w14:paraId="2E398728" w14:textId="77777777" w:rsidR="00D00189" w:rsidRPr="001548E3" w:rsidRDefault="00D00189" w:rsidP="00D00189">
      <w:pPr>
        <w:jc w:val="both"/>
        <w:rPr>
          <w:rFonts w:ascii="Abadi" w:hAnsi="Abadi" w:cs="Arial"/>
          <w:b/>
          <w:bCs/>
          <w:sz w:val="21"/>
          <w:szCs w:val="21"/>
        </w:rPr>
      </w:pPr>
    </w:p>
    <w:p w14:paraId="7002CD57" w14:textId="77777777" w:rsidR="00D00189" w:rsidRPr="00A153CC" w:rsidRDefault="00D00189" w:rsidP="00D00189">
      <w:pPr>
        <w:jc w:val="center"/>
        <w:rPr>
          <w:rFonts w:ascii="Abadi" w:hAnsi="Abadi" w:cs="Arial"/>
          <w:b/>
          <w:bCs/>
          <w:sz w:val="21"/>
          <w:szCs w:val="21"/>
        </w:rPr>
      </w:pPr>
      <w:r w:rsidRPr="00A153CC">
        <w:rPr>
          <w:rFonts w:ascii="Abadi" w:hAnsi="Abadi" w:cs="Arial"/>
          <w:b/>
          <w:bCs/>
          <w:sz w:val="21"/>
          <w:szCs w:val="21"/>
        </w:rPr>
        <w:t>EXPOSICIÓN DE MOTIVOS</w:t>
      </w:r>
    </w:p>
    <w:p w14:paraId="368C6B35" w14:textId="77777777" w:rsidR="00D00189" w:rsidRPr="001548E3" w:rsidRDefault="00D00189" w:rsidP="00D00189">
      <w:pPr>
        <w:ind w:firstLine="1"/>
        <w:jc w:val="both"/>
        <w:rPr>
          <w:rFonts w:ascii="Abadi" w:hAnsi="Abadi" w:cs="Arial"/>
          <w:b/>
          <w:bCs/>
          <w:sz w:val="21"/>
          <w:szCs w:val="21"/>
        </w:rPr>
      </w:pPr>
    </w:p>
    <w:p w14:paraId="43F9999C"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 xml:space="preserve">La salud pública veterinaria, es un término que empleó la Organización Mundial de la Salud por primera vez en 1946, con el contexto de la protección y mejora de la salud humana. </w:t>
      </w:r>
    </w:p>
    <w:p w14:paraId="5986C8D7" w14:textId="77777777" w:rsidR="00D00189" w:rsidRPr="001548E3" w:rsidRDefault="00D00189" w:rsidP="00D00189">
      <w:pPr>
        <w:ind w:firstLine="1"/>
        <w:jc w:val="both"/>
        <w:rPr>
          <w:rFonts w:ascii="Abadi" w:hAnsi="Abadi" w:cs="Arial"/>
          <w:sz w:val="21"/>
          <w:szCs w:val="21"/>
        </w:rPr>
      </w:pPr>
    </w:p>
    <w:p w14:paraId="22D3D1C6"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lastRenderedPageBreak/>
        <w:t xml:space="preserve">Por consiguiente, la fundación de la primera escuela de veterinaria en México fue en el año 1853, y con ello, los veterinarios tienen un papel fundamental con el bienestar del hombre y los animales. </w:t>
      </w:r>
    </w:p>
    <w:p w14:paraId="33236176" w14:textId="77777777" w:rsidR="00D00189" w:rsidRPr="001548E3" w:rsidRDefault="00D00189" w:rsidP="00D00189">
      <w:pPr>
        <w:ind w:firstLine="1"/>
        <w:jc w:val="both"/>
        <w:rPr>
          <w:rFonts w:ascii="Abadi" w:hAnsi="Abadi" w:cs="Arial"/>
          <w:sz w:val="21"/>
          <w:szCs w:val="21"/>
        </w:rPr>
      </w:pPr>
    </w:p>
    <w:p w14:paraId="6F5EBF1C"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Bajo este precepto, los problemas sanitarios no deben ser hechos aislados, la medicina veterinaria contribuye en garantizar la salud pública en atención y prevención de enfermedades zoonóticas desde su origen, como la brucelosis, tuberculosis, leishmaniosis, leptospirosis, rabia o parasitosis, entre otras que, pueden acabar enfermando al ser humano. Por ello, la veterinaria presenta un papel importante para las sociedades y ante los patógenos que representan riesgos globales para la salud pública, siendo de prevención la salud animal con la veterinaria.</w:t>
      </w:r>
    </w:p>
    <w:p w14:paraId="20D68DCF" w14:textId="77777777" w:rsidR="00D00189" w:rsidRPr="001548E3" w:rsidRDefault="00D00189" w:rsidP="00D00189">
      <w:pPr>
        <w:jc w:val="both"/>
        <w:rPr>
          <w:rFonts w:ascii="Abadi" w:hAnsi="Abadi" w:cs="Arial"/>
          <w:sz w:val="21"/>
          <w:szCs w:val="21"/>
        </w:rPr>
      </w:pPr>
    </w:p>
    <w:p w14:paraId="620B02C2"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 xml:space="preserve">Por otra parte, en la actualidad las mascotas son parte fundamental de la mayoría de los hogares en el mundo, los animales han llegado a ocupar un lugar muy especial debido a qué una de las tendencias en México en tiempos de Covid-19, fue el incremento de mascotas en los hogares, el Instituto Nacional de Estadística y Geografía (INEGI), señala que, en el 2021 por cada 100 hogares 57 cuentan con una mascota, y para los adultos mayores donde suelen ser los más responsables en el cuidado de los animales; el INEGI (ENBIARE) señala una captación del 85.7% de la población adulta con una empatía con la vida no humana, con opiniones en defensa de la crueldad animal o sufrimiento, así como el cuidado de las plantas u árboles, en tanto a que el 73.4% declaró cohabitar con mascotas, que a nivel hogar se tienen un 69.8% de algún tipo de mascota. </w:t>
      </w:r>
    </w:p>
    <w:p w14:paraId="5B75AE08" w14:textId="77777777" w:rsidR="00D00189" w:rsidRPr="001548E3" w:rsidRDefault="00D00189" w:rsidP="00D00189">
      <w:pPr>
        <w:ind w:firstLine="1"/>
        <w:jc w:val="both"/>
        <w:rPr>
          <w:rFonts w:ascii="Abadi" w:hAnsi="Abadi" w:cs="Arial"/>
          <w:sz w:val="21"/>
          <w:szCs w:val="21"/>
        </w:rPr>
      </w:pPr>
    </w:p>
    <w:p w14:paraId="4CA255C7"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Lo anterior, genera una proporcionalidad de 80 millones de animales domésticos siendo 43.8 millones caninos, 16.2 millones felinos y 20 millones de variedad miscelánea</w:t>
      </w:r>
      <w:r w:rsidRPr="001548E3">
        <w:rPr>
          <w:rStyle w:val="Refdenotaalpie"/>
          <w:rFonts w:ascii="Abadi" w:hAnsi="Abadi" w:cs="Arial"/>
          <w:sz w:val="21"/>
          <w:szCs w:val="21"/>
        </w:rPr>
        <w:footnoteReference w:id="7"/>
      </w:r>
      <w:r w:rsidRPr="001548E3">
        <w:rPr>
          <w:rFonts w:ascii="Abadi" w:hAnsi="Abadi" w:cs="Arial"/>
          <w:sz w:val="21"/>
          <w:szCs w:val="21"/>
        </w:rPr>
        <w:t xml:space="preserve">. Siendo así que, 25 millones de hogares en México cuentan con al menos una mascota, por ello, los actores para proteger la vida y garantizar su bienestar, así como el trato digno y </w:t>
      </w:r>
      <w:r w:rsidRPr="001548E3">
        <w:rPr>
          <w:rFonts w:ascii="Abadi" w:hAnsi="Abadi" w:cs="Arial"/>
          <w:sz w:val="21"/>
          <w:szCs w:val="21"/>
        </w:rPr>
        <w:t>respetuoso en materia ambiental, depende de las participaciones de todas las instancias como la pública, privada, social, la científica, la ecológica y cultural.</w:t>
      </w:r>
    </w:p>
    <w:p w14:paraId="0AC18A37" w14:textId="77777777" w:rsidR="00D00189" w:rsidRPr="001548E3" w:rsidRDefault="00D00189" w:rsidP="00D00189">
      <w:pPr>
        <w:ind w:firstLine="1"/>
        <w:jc w:val="both"/>
        <w:rPr>
          <w:rFonts w:ascii="Abadi" w:hAnsi="Abadi" w:cs="Arial"/>
          <w:sz w:val="21"/>
          <w:szCs w:val="21"/>
        </w:rPr>
      </w:pPr>
    </w:p>
    <w:p w14:paraId="3DE00811"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Debido a que, uno de los factores que incrementa el abandono de los animales domésticos es la desinformación, y el gasto económico que implican los cuidados de la salud de las mascotas, de acuerdo con el INEGI (2020) en nuestro país, existen alrededor de 23 millones de perros y gatos en abandono</w:t>
      </w:r>
      <w:r w:rsidRPr="001548E3">
        <w:rPr>
          <w:rStyle w:val="Refdenotaalpie"/>
          <w:rFonts w:ascii="Abadi" w:hAnsi="Abadi" w:cs="Arial"/>
          <w:sz w:val="21"/>
          <w:szCs w:val="21"/>
        </w:rPr>
        <w:footnoteReference w:id="8"/>
      </w:r>
      <w:r w:rsidRPr="001548E3">
        <w:rPr>
          <w:rFonts w:ascii="Abadi" w:hAnsi="Abadi" w:cs="Arial"/>
          <w:sz w:val="21"/>
          <w:szCs w:val="21"/>
        </w:rPr>
        <w:t xml:space="preserve">. Ya que tener en posesión a una mascota implica una decisión en promedio de 15 años a 25 años y algunos hasta 30 en cuidados de la salud, alimentación y atención. </w:t>
      </w:r>
    </w:p>
    <w:p w14:paraId="56A254D5" w14:textId="77777777" w:rsidR="00D00189" w:rsidRPr="001548E3" w:rsidRDefault="00D00189" w:rsidP="00D00189">
      <w:pPr>
        <w:jc w:val="both"/>
        <w:rPr>
          <w:rFonts w:ascii="Abadi" w:hAnsi="Abadi" w:cs="Arial"/>
          <w:sz w:val="21"/>
          <w:szCs w:val="21"/>
        </w:rPr>
      </w:pPr>
    </w:p>
    <w:p w14:paraId="2C9D555C" w14:textId="77777777" w:rsidR="00D00189" w:rsidRPr="001548E3" w:rsidRDefault="00D00189" w:rsidP="00D00189">
      <w:pPr>
        <w:jc w:val="both"/>
        <w:rPr>
          <w:rFonts w:ascii="Abadi" w:hAnsi="Abadi" w:cs="Arial"/>
          <w:sz w:val="21"/>
          <w:szCs w:val="21"/>
        </w:rPr>
      </w:pPr>
      <w:r w:rsidRPr="001548E3">
        <w:rPr>
          <w:rFonts w:ascii="Abadi" w:hAnsi="Abadi" w:cs="Arial"/>
          <w:sz w:val="21"/>
          <w:szCs w:val="21"/>
        </w:rPr>
        <w:t>Por lo tanto, contar con una clínica veterinaria pública en los ayuntamientos crearía atenciones oportunas a los animales de compañía, a esos seres sintientes que merecen un trato digno y una atención médica de calidad, así lo señala la Proclamación de la Declaración Universal de los Derechos Humanos de los Animales, aprobada por la UNESCO, y por la ONU, compuesta por 14 artículos enfocados en proteger la vida digna y la integridad de todos los animales, estableciendo que los animales poseen derechos y merecen un respeto equiparable al que existe entre las personas, citó los artículos:</w:t>
      </w:r>
    </w:p>
    <w:p w14:paraId="2AE06611" w14:textId="77777777" w:rsidR="00D00189" w:rsidRPr="001548E3" w:rsidRDefault="00D00189" w:rsidP="00D00189">
      <w:pPr>
        <w:ind w:firstLine="1"/>
        <w:jc w:val="both"/>
        <w:rPr>
          <w:rFonts w:ascii="Abadi" w:hAnsi="Abadi" w:cs="Arial"/>
          <w:sz w:val="21"/>
          <w:szCs w:val="21"/>
        </w:rPr>
      </w:pPr>
    </w:p>
    <w:p w14:paraId="7DB86420" w14:textId="77777777" w:rsidR="00D00189" w:rsidRPr="001548E3" w:rsidRDefault="00D00189" w:rsidP="00D00189">
      <w:pPr>
        <w:jc w:val="both"/>
        <w:rPr>
          <w:rFonts w:ascii="Abadi" w:hAnsi="Abadi" w:cs="Arial"/>
          <w:b/>
          <w:bCs/>
          <w:i/>
          <w:iCs/>
          <w:sz w:val="21"/>
          <w:szCs w:val="21"/>
        </w:rPr>
      </w:pPr>
      <w:r w:rsidRPr="001548E3">
        <w:rPr>
          <w:rFonts w:ascii="Abadi" w:hAnsi="Abadi" w:cs="Arial"/>
          <w:sz w:val="21"/>
          <w:szCs w:val="21"/>
        </w:rPr>
        <w:t xml:space="preserve">Artículo 1° </w:t>
      </w:r>
      <w:r w:rsidRPr="001548E3">
        <w:rPr>
          <w:rFonts w:ascii="Abadi" w:hAnsi="Abadi" w:cs="Arial"/>
          <w:i/>
          <w:iCs/>
          <w:sz w:val="21"/>
          <w:szCs w:val="21"/>
        </w:rPr>
        <w:t>todos los animales nacen iguales ante la vida y tienen derecho a la existencia.</w:t>
      </w:r>
    </w:p>
    <w:p w14:paraId="25E62A8B" w14:textId="77777777" w:rsidR="00D00189" w:rsidRDefault="00D00189" w:rsidP="00D00189">
      <w:pPr>
        <w:jc w:val="both"/>
        <w:rPr>
          <w:rFonts w:ascii="Abadi" w:hAnsi="Abadi" w:cs="Arial"/>
          <w:i/>
          <w:iCs/>
          <w:sz w:val="21"/>
          <w:szCs w:val="21"/>
        </w:rPr>
      </w:pPr>
      <w:r w:rsidRPr="001548E3">
        <w:rPr>
          <w:rFonts w:ascii="Abadi" w:hAnsi="Abadi" w:cs="Arial"/>
          <w:i/>
          <w:iCs/>
          <w:sz w:val="21"/>
          <w:szCs w:val="21"/>
        </w:rPr>
        <w:t>Artículo 2° Todos los animales tienen derecho a la atención, a los cuidados y a la protección del hombre.</w:t>
      </w:r>
    </w:p>
    <w:p w14:paraId="18833A8D" w14:textId="77777777" w:rsidR="000B0AE8" w:rsidRPr="001548E3" w:rsidRDefault="000B0AE8" w:rsidP="00D00189">
      <w:pPr>
        <w:jc w:val="both"/>
        <w:rPr>
          <w:rFonts w:ascii="Abadi" w:hAnsi="Abadi" w:cs="Arial"/>
          <w:b/>
          <w:bCs/>
          <w:i/>
          <w:iCs/>
          <w:sz w:val="21"/>
          <w:szCs w:val="21"/>
        </w:rPr>
      </w:pPr>
    </w:p>
    <w:p w14:paraId="09FAE759" w14:textId="77777777" w:rsidR="00D00189" w:rsidRPr="001548E3" w:rsidRDefault="00D00189" w:rsidP="00D00189">
      <w:pPr>
        <w:jc w:val="both"/>
        <w:rPr>
          <w:rFonts w:ascii="Abadi" w:hAnsi="Abadi" w:cs="Arial"/>
          <w:b/>
          <w:bCs/>
          <w:i/>
          <w:iCs/>
          <w:sz w:val="21"/>
          <w:szCs w:val="21"/>
        </w:rPr>
      </w:pPr>
      <w:r w:rsidRPr="001548E3">
        <w:rPr>
          <w:rFonts w:ascii="Abadi" w:hAnsi="Abadi" w:cs="Arial"/>
          <w:i/>
          <w:iCs/>
          <w:sz w:val="21"/>
          <w:szCs w:val="21"/>
        </w:rPr>
        <w:t>Artículo 14° Los organismos de protección y salvaguarda de los animales deben ser representados a nivel gubernamental</w:t>
      </w:r>
      <w:r w:rsidRPr="001548E3">
        <w:rPr>
          <w:rStyle w:val="Refdenotaalpie"/>
          <w:rFonts w:ascii="Abadi" w:hAnsi="Abadi" w:cs="Arial"/>
          <w:i/>
          <w:iCs/>
          <w:sz w:val="21"/>
          <w:szCs w:val="21"/>
        </w:rPr>
        <w:footnoteReference w:id="9"/>
      </w:r>
      <w:r w:rsidRPr="001548E3">
        <w:rPr>
          <w:rFonts w:ascii="Abadi" w:hAnsi="Abadi" w:cs="Arial"/>
          <w:i/>
          <w:iCs/>
          <w:sz w:val="21"/>
          <w:szCs w:val="21"/>
        </w:rPr>
        <w:t>.</w:t>
      </w:r>
    </w:p>
    <w:p w14:paraId="7989F46E" w14:textId="77777777" w:rsidR="00D00189" w:rsidRPr="001548E3" w:rsidRDefault="00D00189" w:rsidP="00D00189">
      <w:pPr>
        <w:jc w:val="both"/>
        <w:rPr>
          <w:rFonts w:ascii="Abadi" w:hAnsi="Abadi" w:cs="Arial"/>
          <w:b/>
          <w:bCs/>
          <w:i/>
          <w:iCs/>
          <w:sz w:val="21"/>
          <w:szCs w:val="21"/>
        </w:rPr>
      </w:pPr>
    </w:p>
    <w:p w14:paraId="3C731B85"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 xml:space="preserve">Bajo estos preceptos, es claro que debemos proteger y salvaguardar a los animales sintientes, dirigir esfuerzos económicos y sociales, aplicando los derechos de los animales para garantizar su bienestar. </w:t>
      </w:r>
    </w:p>
    <w:p w14:paraId="26F38506" w14:textId="77777777" w:rsidR="00D00189" w:rsidRPr="001548E3" w:rsidRDefault="00D00189" w:rsidP="00D00189">
      <w:pPr>
        <w:ind w:firstLine="1"/>
        <w:jc w:val="both"/>
        <w:rPr>
          <w:rFonts w:ascii="Abadi" w:hAnsi="Abadi" w:cs="Arial"/>
          <w:sz w:val="21"/>
          <w:szCs w:val="21"/>
        </w:rPr>
      </w:pPr>
    </w:p>
    <w:p w14:paraId="67430A7F"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lastRenderedPageBreak/>
        <w:t>Nos referimos a esos animales que son considerados parte de la familia, y con la colaboración de los ayuntamientos en la creación de clínicas veterinarias públicas, podremos garantizar a esos seres sintientes una mejor calidad de vida. Además, se estaría haciendo justicia social para los animales y estas acciones forjan en la formación cívica de los seres humanos</w:t>
      </w:r>
      <w:r w:rsidRPr="001548E3">
        <w:rPr>
          <w:rStyle w:val="Refdenotaalpie"/>
          <w:rFonts w:ascii="Abadi" w:hAnsi="Abadi" w:cs="Arial"/>
          <w:sz w:val="21"/>
          <w:szCs w:val="21"/>
        </w:rPr>
        <w:footnoteReference w:id="10"/>
      </w:r>
      <w:r w:rsidRPr="001548E3">
        <w:rPr>
          <w:rFonts w:ascii="Abadi" w:hAnsi="Abadi" w:cs="Arial"/>
          <w:sz w:val="21"/>
          <w:szCs w:val="21"/>
        </w:rPr>
        <w:t xml:space="preserve">. </w:t>
      </w:r>
    </w:p>
    <w:p w14:paraId="11F6A9BE" w14:textId="77777777" w:rsidR="00D00189" w:rsidRPr="001548E3" w:rsidRDefault="00D00189" w:rsidP="00D00189">
      <w:pPr>
        <w:ind w:firstLine="1"/>
        <w:jc w:val="both"/>
        <w:rPr>
          <w:rFonts w:ascii="Abadi" w:hAnsi="Abadi" w:cs="Arial"/>
          <w:sz w:val="21"/>
          <w:szCs w:val="21"/>
        </w:rPr>
      </w:pPr>
    </w:p>
    <w:p w14:paraId="3EDA9E50" w14:textId="77777777" w:rsidR="00D00189" w:rsidRPr="001548E3" w:rsidRDefault="00D00189" w:rsidP="00D00189">
      <w:pPr>
        <w:ind w:firstLine="1"/>
        <w:jc w:val="both"/>
        <w:rPr>
          <w:rFonts w:ascii="Abadi" w:hAnsi="Abadi" w:cs="Arial"/>
          <w:sz w:val="21"/>
          <w:szCs w:val="21"/>
        </w:rPr>
      </w:pPr>
      <w:r w:rsidRPr="001548E3">
        <w:rPr>
          <w:rFonts w:ascii="Abadi" w:hAnsi="Abadi" w:cs="Arial"/>
          <w:sz w:val="21"/>
          <w:szCs w:val="21"/>
        </w:rPr>
        <w:t xml:space="preserve">Finalmente, al hablar de una sociedad justa no debe ser exclusiva para los seres humanos, debe ser ampliada para todo el universo de seres vivos que habitan en nuestro planeta tierra, por lo tanto, ser justos es reconocer los derechos de los que no pueden defenderse por sí mismos. La justicia social está basada en el derecho de la necesidad y protección, tienen su fundamento en la comunidad, en la paz social y engloba las relaciones entre seres vivos. </w:t>
      </w:r>
    </w:p>
    <w:p w14:paraId="63F8370E" w14:textId="77777777" w:rsidR="00D00189" w:rsidRPr="001548E3" w:rsidRDefault="00D00189" w:rsidP="00D00189">
      <w:pPr>
        <w:ind w:firstLine="1"/>
        <w:jc w:val="both"/>
        <w:rPr>
          <w:rFonts w:ascii="Abadi" w:hAnsi="Abadi" w:cs="Arial"/>
          <w:sz w:val="21"/>
          <w:szCs w:val="21"/>
        </w:rPr>
      </w:pPr>
    </w:p>
    <w:p w14:paraId="446505AD" w14:textId="77777777" w:rsidR="00D00189" w:rsidRPr="001548E3" w:rsidRDefault="00D00189" w:rsidP="00D00189">
      <w:pPr>
        <w:jc w:val="both"/>
        <w:rPr>
          <w:rFonts w:ascii="Abadi" w:hAnsi="Abadi" w:cs="Arial"/>
          <w:sz w:val="21"/>
          <w:szCs w:val="21"/>
        </w:rPr>
      </w:pPr>
      <w:r w:rsidRPr="001548E3">
        <w:rPr>
          <w:rFonts w:ascii="Abadi" w:hAnsi="Abadi" w:cs="Arial"/>
          <w:i/>
          <w:iCs/>
          <w:sz w:val="21"/>
          <w:szCs w:val="21"/>
        </w:rPr>
        <w:t>La nueva era a la que debemos aspirar es una, en la que convergen los seres humanos y los seres no humanos, de manera que, cuando somos una parte del todo, debemos de rendir justicia social, reconociendo sus derechos y nosotros los seres humanos las obligaciones</w:t>
      </w:r>
      <w:r w:rsidRPr="001548E3">
        <w:rPr>
          <w:rStyle w:val="Refdenotaalpie"/>
          <w:rFonts w:ascii="Abadi" w:hAnsi="Abadi" w:cs="Arial"/>
          <w:sz w:val="21"/>
          <w:szCs w:val="21"/>
        </w:rPr>
        <w:footnoteReference w:id="11"/>
      </w:r>
      <w:r w:rsidRPr="001548E3">
        <w:rPr>
          <w:rFonts w:ascii="Abadi" w:hAnsi="Abadi" w:cs="Arial"/>
          <w:sz w:val="21"/>
          <w:szCs w:val="21"/>
        </w:rPr>
        <w:t xml:space="preserve">. </w:t>
      </w:r>
    </w:p>
    <w:p w14:paraId="7297A5C5" w14:textId="77777777" w:rsidR="00D00189" w:rsidRDefault="00D00189" w:rsidP="00D00189">
      <w:pPr>
        <w:jc w:val="both"/>
        <w:rPr>
          <w:rFonts w:ascii="Abadi" w:hAnsi="Abadi" w:cs="Arial"/>
          <w:b/>
          <w:bCs/>
          <w:sz w:val="21"/>
          <w:szCs w:val="21"/>
        </w:rPr>
      </w:pPr>
      <w:r w:rsidRPr="001548E3">
        <w:rPr>
          <w:rFonts w:ascii="Abadi" w:hAnsi="Abadi" w:cs="Arial"/>
          <w:sz w:val="21"/>
          <w:szCs w:val="21"/>
        </w:rPr>
        <w:t xml:space="preserve">Por último, esta iniciativa es acorde a los Objetivos </w:t>
      </w:r>
      <w:r w:rsidRPr="001548E3">
        <w:rPr>
          <w:rFonts w:ascii="Abadi" w:hAnsi="Abadi" w:cs="Arial"/>
          <w:color w:val="202124"/>
          <w:sz w:val="21"/>
          <w:szCs w:val="21"/>
          <w:shd w:val="clear" w:color="auto" w:fill="FFFFFF"/>
        </w:rPr>
        <w:t>para el Desarrollo Sostenible</w:t>
      </w:r>
      <w:r w:rsidRPr="001548E3">
        <w:rPr>
          <w:rFonts w:ascii="Abadi" w:hAnsi="Abadi" w:cs="Arial"/>
          <w:sz w:val="21"/>
          <w:szCs w:val="21"/>
        </w:rPr>
        <w:t>, que adopta la Asamblea General de la Organización de las Naciones Unidas</w:t>
      </w:r>
      <w:r w:rsidRPr="001548E3">
        <w:rPr>
          <w:rFonts w:ascii="Abadi" w:hAnsi="Abadi" w:cs="Arial"/>
          <w:b/>
          <w:bCs/>
          <w:sz w:val="21"/>
          <w:szCs w:val="21"/>
        </w:rPr>
        <w:t xml:space="preserve">, </w:t>
      </w:r>
      <w:r w:rsidRPr="001548E3">
        <w:rPr>
          <w:rFonts w:ascii="Abadi" w:hAnsi="Abadi" w:cs="Arial"/>
          <w:sz w:val="21"/>
          <w:szCs w:val="21"/>
        </w:rPr>
        <w:t xml:space="preserve">direccionada al </w:t>
      </w:r>
      <w:r w:rsidRPr="001548E3">
        <w:rPr>
          <w:rFonts w:ascii="Abadi" w:hAnsi="Abadi" w:cs="Arial"/>
          <w:b/>
          <w:bCs/>
          <w:sz w:val="21"/>
          <w:szCs w:val="21"/>
        </w:rPr>
        <w:t>objetivo 16</w:t>
      </w:r>
      <w:r w:rsidRPr="001548E3">
        <w:rPr>
          <w:rFonts w:ascii="Abadi" w:hAnsi="Abadi" w:cs="Arial"/>
          <w:sz w:val="21"/>
          <w:szCs w:val="21"/>
        </w:rPr>
        <w:t>, denominado “</w:t>
      </w:r>
      <w:r w:rsidRPr="001548E3">
        <w:rPr>
          <w:rFonts w:ascii="Abadi" w:hAnsi="Abadi" w:cs="Arial"/>
          <w:b/>
          <w:bCs/>
          <w:sz w:val="21"/>
          <w:szCs w:val="21"/>
        </w:rPr>
        <w:t xml:space="preserve">Promover sociedades justas, pacíficas e inclusivas”, </w:t>
      </w:r>
      <w:r w:rsidRPr="001548E3">
        <w:rPr>
          <w:rFonts w:ascii="Abadi" w:hAnsi="Abadi" w:cs="Arial"/>
          <w:sz w:val="21"/>
          <w:szCs w:val="21"/>
        </w:rPr>
        <w:t xml:space="preserve">en términos generales, deben promoverse sociedades pacíficas e inclusivas para el desarrollo sostenible, así como, facilitar el acceso a la justicia para todos y crear instituciones eficaces, responsables e inclusivas a todos los niveles, por lo que debemos </w:t>
      </w:r>
      <w:r w:rsidRPr="001548E3">
        <w:rPr>
          <w:rFonts w:ascii="Abadi" w:hAnsi="Abadi" w:cs="Arial"/>
          <w:b/>
          <w:bCs/>
          <w:sz w:val="21"/>
          <w:szCs w:val="21"/>
        </w:rPr>
        <w:t xml:space="preserve">sensibilizar la atención a todos los seres vivos. </w:t>
      </w:r>
    </w:p>
    <w:p w14:paraId="403F6561" w14:textId="77777777" w:rsidR="00A153CC" w:rsidRPr="001548E3" w:rsidRDefault="00A153CC" w:rsidP="00D00189">
      <w:pPr>
        <w:jc w:val="both"/>
        <w:rPr>
          <w:rFonts w:ascii="Abadi" w:hAnsi="Abadi" w:cs="Arial"/>
          <w:b/>
          <w:bCs/>
          <w:sz w:val="21"/>
          <w:szCs w:val="21"/>
        </w:rPr>
      </w:pPr>
    </w:p>
    <w:p w14:paraId="3EBF744C" w14:textId="77777777" w:rsidR="00D00189" w:rsidRPr="001548E3" w:rsidRDefault="00D00189" w:rsidP="00D00189">
      <w:pPr>
        <w:pStyle w:val="Cuerpo"/>
        <w:spacing w:after="0" w:line="240" w:lineRule="auto"/>
        <w:jc w:val="both"/>
        <w:rPr>
          <w:rStyle w:val="Ninguno"/>
          <w:rFonts w:ascii="Abadi" w:hAnsi="Abadi" w:cs="Arial"/>
          <w:color w:val="auto"/>
          <w:sz w:val="21"/>
          <w:szCs w:val="21"/>
          <w:lang w:val="es-MX"/>
        </w:rPr>
      </w:pPr>
      <w:r w:rsidRPr="001548E3">
        <w:rPr>
          <w:rStyle w:val="Ninguno"/>
          <w:rFonts w:ascii="Abadi" w:hAnsi="Abadi" w:cs="Arial"/>
          <w:b w:val="0"/>
          <w:bCs w:val="0"/>
          <w:color w:val="auto"/>
          <w:sz w:val="21"/>
          <w:szCs w:val="21"/>
          <w:lang w:val="es-MX"/>
        </w:rPr>
        <w:t>De conformidad con lo establecido en el artículo 209 de la Ley Orgánica del Poder Legislativo del Estado de Guanajuato, la iniciativa presenta los siguientes impactos</w:t>
      </w:r>
      <w:r w:rsidRPr="001548E3">
        <w:rPr>
          <w:rStyle w:val="Ninguno"/>
          <w:rFonts w:ascii="Abadi" w:hAnsi="Abadi" w:cs="Arial"/>
          <w:color w:val="auto"/>
          <w:sz w:val="21"/>
          <w:szCs w:val="21"/>
          <w:lang w:val="es-MX"/>
        </w:rPr>
        <w:t xml:space="preserve">: </w:t>
      </w:r>
    </w:p>
    <w:p w14:paraId="51DD59A8" w14:textId="77777777" w:rsidR="00D00189" w:rsidRPr="001548E3" w:rsidRDefault="00D00189" w:rsidP="00D00189">
      <w:pPr>
        <w:pStyle w:val="Cuerpo"/>
        <w:spacing w:after="0" w:line="240" w:lineRule="auto"/>
        <w:jc w:val="both"/>
        <w:rPr>
          <w:rFonts w:ascii="Abadi" w:hAnsi="Abadi" w:cs="Arial"/>
          <w:b w:val="0"/>
          <w:bCs w:val="0"/>
          <w:color w:val="auto"/>
          <w:sz w:val="21"/>
          <w:szCs w:val="21"/>
          <w:lang w:val="es-MX"/>
        </w:rPr>
      </w:pPr>
    </w:p>
    <w:p w14:paraId="33C557E6" w14:textId="77777777" w:rsidR="00D00189" w:rsidRPr="001548E3" w:rsidRDefault="00D00189" w:rsidP="00427BD6">
      <w:pPr>
        <w:pStyle w:val="Prrafodelista"/>
        <w:numPr>
          <w:ilvl w:val="0"/>
          <w:numId w:val="11"/>
        </w:numPr>
        <w:contextualSpacing/>
        <w:jc w:val="both"/>
        <w:rPr>
          <w:rFonts w:ascii="Abadi" w:eastAsia="Arial" w:hAnsi="Abadi" w:cs="Arial"/>
          <w:b/>
          <w:bCs/>
          <w:sz w:val="21"/>
          <w:szCs w:val="21"/>
          <w:lang w:val="es-ES_tradnl" w:eastAsia="es-MX"/>
        </w:rPr>
      </w:pPr>
      <w:r w:rsidRPr="001548E3">
        <w:rPr>
          <w:rFonts w:ascii="Abadi" w:eastAsia="Arial" w:hAnsi="Abadi" w:cs="Arial"/>
          <w:sz w:val="21"/>
          <w:szCs w:val="21"/>
          <w:lang w:val="es-ES_tradnl" w:eastAsia="es-MX"/>
        </w:rPr>
        <w:t xml:space="preserve">Impacto Jurídico: Se reforma el artículo 1 fracción IV, artículo 6 </w:t>
      </w:r>
      <w:r w:rsidRPr="001548E3">
        <w:rPr>
          <w:rFonts w:ascii="Abadi" w:eastAsia="Arial" w:hAnsi="Abadi" w:cs="Arial"/>
          <w:sz w:val="21"/>
          <w:szCs w:val="21"/>
          <w:lang w:val="es-ES_tradnl" w:eastAsia="es-MX"/>
        </w:rPr>
        <w:t>fracción I, y se adiciona la fracción IV del artículo 2, la fracción XI del artículo 6, recorriéndose en su orden las subsecuentes, y se adicionan los artículos 38 Bis y 39 Bis de la Ley para la Protección Animal del Estado de Guanajuato, que impactará en la realización de sus reglamentos.</w:t>
      </w:r>
    </w:p>
    <w:p w14:paraId="34C9F28A" w14:textId="77777777" w:rsidR="00D00189" w:rsidRPr="001548E3" w:rsidRDefault="00D00189" w:rsidP="00427BD6">
      <w:pPr>
        <w:pStyle w:val="Prrafodelista"/>
        <w:numPr>
          <w:ilvl w:val="0"/>
          <w:numId w:val="11"/>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Impacto Administrativo: La presente iniciativa establecerá los mecanismos que deberán cumplir las autoridades administrativas y los ayuntamientos para la ejecución de las clínicas veterinarias públicas.</w:t>
      </w:r>
    </w:p>
    <w:p w14:paraId="426A65C2" w14:textId="77777777" w:rsidR="00D00189" w:rsidRPr="001548E3" w:rsidRDefault="00D00189" w:rsidP="00427BD6">
      <w:pPr>
        <w:pStyle w:val="Prrafodelista"/>
        <w:numPr>
          <w:ilvl w:val="0"/>
          <w:numId w:val="11"/>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Impacto Presupuestario: Las autoridades municipales y los organismos operadores destinarán los recursos que exija la presente reforma, de manera progresiva y de conformidad con su disponibilidad presupuestaria, a fin de dar cumplimiento a las disposiciones del presente decreto. </w:t>
      </w:r>
    </w:p>
    <w:p w14:paraId="06CEA436" w14:textId="77777777" w:rsidR="00D00189" w:rsidRPr="001548E3" w:rsidRDefault="00D00189" w:rsidP="00427BD6">
      <w:pPr>
        <w:pStyle w:val="Prrafodelista"/>
        <w:numPr>
          <w:ilvl w:val="0"/>
          <w:numId w:val="11"/>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Impacto social: Lo justo tienen dos sentidos el primero, garantizar a los seres humanos el bienestar y el segundo, dirigido al resto de los seres vivos. Crear Clínicas Veterinarias Públicas en los municipios del Estado de Guanajuato, permitirá la atención pronta y digna a los animales domésticos, ya sea en posesión o en abandono reconociendo los derechos de los animales con una atención especializada y económica para las y los guanajuatenses. </w:t>
      </w:r>
    </w:p>
    <w:p w14:paraId="407E7233" w14:textId="77777777" w:rsidR="00D00189" w:rsidRPr="001548E3" w:rsidRDefault="00D00189" w:rsidP="00D00189">
      <w:pPr>
        <w:pStyle w:val="Prrafodelista"/>
        <w:ind w:left="1080"/>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 </w:t>
      </w:r>
    </w:p>
    <w:p w14:paraId="4DEFEC69"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Por lo anteriormente expuesto, nos permitimos someter a consideración de esta Honorable Asamblea el siguiente proyecto de:</w:t>
      </w:r>
    </w:p>
    <w:p w14:paraId="084D68D7" w14:textId="77777777" w:rsidR="00D00189" w:rsidRPr="001548E3" w:rsidRDefault="00D00189" w:rsidP="00D00189">
      <w:pPr>
        <w:jc w:val="both"/>
        <w:rPr>
          <w:rFonts w:ascii="Abadi" w:eastAsia="Arial" w:hAnsi="Abadi" w:cs="Arial"/>
          <w:b/>
          <w:bCs/>
          <w:sz w:val="21"/>
          <w:szCs w:val="21"/>
          <w:lang w:val="es-ES_tradnl" w:eastAsia="es-MX"/>
        </w:rPr>
      </w:pPr>
    </w:p>
    <w:p w14:paraId="1CBBBAC7" w14:textId="77777777" w:rsidR="00D00189" w:rsidRPr="001548E3" w:rsidRDefault="00D00189" w:rsidP="00D00189">
      <w:pPr>
        <w:jc w:val="center"/>
        <w:rPr>
          <w:rFonts w:ascii="Abadi" w:hAnsi="Abadi" w:cs="Arial"/>
          <w:b/>
          <w:bCs/>
          <w:sz w:val="21"/>
          <w:szCs w:val="21"/>
        </w:rPr>
      </w:pPr>
      <w:r w:rsidRPr="001548E3">
        <w:rPr>
          <w:rFonts w:ascii="Abadi" w:hAnsi="Abadi" w:cs="Arial"/>
          <w:b/>
          <w:bCs/>
          <w:sz w:val="21"/>
          <w:szCs w:val="21"/>
        </w:rPr>
        <w:t>DECRETO</w:t>
      </w:r>
    </w:p>
    <w:p w14:paraId="68F92062" w14:textId="77777777" w:rsidR="00D00189" w:rsidRPr="001548E3" w:rsidRDefault="00D00189" w:rsidP="00D00189">
      <w:pPr>
        <w:jc w:val="center"/>
        <w:rPr>
          <w:rFonts w:ascii="Abadi" w:hAnsi="Abadi" w:cs="Arial"/>
          <w:sz w:val="21"/>
          <w:szCs w:val="21"/>
        </w:rPr>
      </w:pPr>
    </w:p>
    <w:p w14:paraId="385C435E"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hAnsi="Abadi" w:cs="Arial"/>
          <w:b/>
          <w:bCs/>
          <w:sz w:val="21"/>
          <w:szCs w:val="21"/>
        </w:rPr>
        <w:t>ÚNICO.</w:t>
      </w:r>
      <w:r w:rsidRPr="001548E3">
        <w:rPr>
          <w:rFonts w:ascii="Abadi" w:hAnsi="Abadi" w:cs="Arial"/>
          <w:sz w:val="21"/>
          <w:szCs w:val="21"/>
        </w:rPr>
        <w:t xml:space="preserve"> </w:t>
      </w:r>
      <w:r w:rsidRPr="001548E3">
        <w:rPr>
          <w:rFonts w:ascii="Abadi" w:eastAsia="Arial" w:hAnsi="Abadi" w:cs="Arial"/>
          <w:sz w:val="21"/>
          <w:szCs w:val="21"/>
          <w:lang w:val="es-ES_tradnl" w:eastAsia="es-MX"/>
        </w:rPr>
        <w:t xml:space="preserve">Se reforma el artículo 1° fracción IV, artículo 6° fracción I, y se adiciona la fracción IV del artículo 2, la fracción XI del artículo 6, </w:t>
      </w:r>
      <w:r w:rsidRPr="001548E3">
        <w:rPr>
          <w:rFonts w:ascii="Abadi" w:eastAsia="Arial" w:hAnsi="Abadi" w:cs="Arial"/>
          <w:sz w:val="21"/>
          <w:szCs w:val="21"/>
          <w:lang w:val="es-ES_tradnl" w:eastAsia="es-MX"/>
        </w:rPr>
        <w:lastRenderedPageBreak/>
        <w:t>recorriéndose en su orden las subsecuentes, y se adicionan los artículos 38 Bis y 39Bis de la Ley para la Protección Animal del Estado de Guanajuato, para quedar de la siguiente manera:</w:t>
      </w:r>
    </w:p>
    <w:p w14:paraId="469138FA" w14:textId="77777777" w:rsidR="00D00189" w:rsidRPr="001548E3" w:rsidRDefault="00D00189" w:rsidP="00D00189">
      <w:pPr>
        <w:pStyle w:val="Prrafodelista"/>
        <w:ind w:left="1080"/>
        <w:jc w:val="both"/>
        <w:rPr>
          <w:rFonts w:ascii="Abadi" w:eastAsia="Arial" w:hAnsi="Abadi" w:cs="Arial"/>
          <w:sz w:val="21"/>
          <w:szCs w:val="21"/>
          <w:lang w:val="es-ES_tradnl" w:eastAsia="es-MX"/>
        </w:rPr>
      </w:pPr>
    </w:p>
    <w:p w14:paraId="4C43A1C4"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Artículo 1. La presente ley es de orden público e interés social y tienen por objeto…</w:t>
      </w:r>
    </w:p>
    <w:p w14:paraId="59A1B8F7"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I al III…</w:t>
      </w:r>
    </w:p>
    <w:p w14:paraId="2C41B0A0" w14:textId="77777777" w:rsidR="00D00189" w:rsidRPr="001548E3" w:rsidRDefault="00D00189" w:rsidP="00D00189">
      <w:pPr>
        <w:jc w:val="both"/>
        <w:rPr>
          <w:rFonts w:ascii="Abadi" w:eastAsia="Arial" w:hAnsi="Abadi" w:cs="Arial"/>
          <w:sz w:val="21"/>
          <w:szCs w:val="21"/>
          <w:lang w:val="es-ES_tradnl" w:eastAsia="es-MX"/>
        </w:rPr>
      </w:pPr>
    </w:p>
    <w:p w14:paraId="6F21BC3E"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IV. Regular el funcionamiento de los Centros de Control y Asistencia Animal, </w:t>
      </w:r>
      <w:r w:rsidRPr="001548E3">
        <w:rPr>
          <w:rFonts w:ascii="Abadi" w:eastAsia="Arial" w:hAnsi="Abadi" w:cs="Arial"/>
          <w:b/>
          <w:bCs/>
          <w:sz w:val="21"/>
          <w:szCs w:val="21"/>
          <w:lang w:val="es-ES_tradnl" w:eastAsia="es-MX"/>
        </w:rPr>
        <w:t>así como de las Clínicas Veterinarias Públicas</w:t>
      </w:r>
      <w:r w:rsidRPr="001548E3">
        <w:rPr>
          <w:rFonts w:ascii="Abadi" w:eastAsia="Arial" w:hAnsi="Abadi" w:cs="Arial"/>
          <w:sz w:val="21"/>
          <w:szCs w:val="21"/>
          <w:lang w:val="es-ES_tradnl" w:eastAsia="es-MX"/>
        </w:rPr>
        <w:t>; y</w:t>
      </w:r>
    </w:p>
    <w:p w14:paraId="7C3F99B8" w14:textId="77777777" w:rsidR="00D00189" w:rsidRPr="001548E3" w:rsidRDefault="00D00189" w:rsidP="00D00189">
      <w:pPr>
        <w:jc w:val="both"/>
        <w:rPr>
          <w:rFonts w:ascii="Abadi" w:eastAsia="Arial" w:hAnsi="Abadi" w:cs="Arial"/>
          <w:sz w:val="21"/>
          <w:szCs w:val="21"/>
          <w:lang w:val="es-ES_tradnl" w:eastAsia="es-MX"/>
        </w:rPr>
      </w:pPr>
    </w:p>
    <w:p w14:paraId="2EF92A25"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Artículo 2. Para los efectos de esta Ley se entenderá…</w:t>
      </w:r>
    </w:p>
    <w:p w14:paraId="27D2A27D" w14:textId="77777777" w:rsidR="00D00189" w:rsidRPr="001548E3" w:rsidRDefault="00D00189" w:rsidP="00D00189">
      <w:pPr>
        <w:jc w:val="both"/>
        <w:rPr>
          <w:rFonts w:ascii="Abadi" w:eastAsia="Arial" w:hAnsi="Abadi" w:cs="Arial"/>
          <w:sz w:val="21"/>
          <w:szCs w:val="21"/>
          <w:lang w:val="es-ES_tradnl" w:eastAsia="es-MX"/>
        </w:rPr>
      </w:pPr>
    </w:p>
    <w:p w14:paraId="56B04F1B"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I a III…</w:t>
      </w:r>
    </w:p>
    <w:p w14:paraId="44D79367" w14:textId="77777777" w:rsidR="00D00189" w:rsidRPr="001548E3" w:rsidRDefault="00D00189" w:rsidP="00D00189">
      <w:pPr>
        <w:jc w:val="both"/>
        <w:rPr>
          <w:rFonts w:ascii="Abadi" w:eastAsia="Arial" w:hAnsi="Abadi" w:cs="Arial"/>
          <w:sz w:val="21"/>
          <w:szCs w:val="21"/>
          <w:lang w:val="es-ES_tradnl" w:eastAsia="es-MX"/>
        </w:rPr>
      </w:pPr>
    </w:p>
    <w:p w14:paraId="1D3EB308" w14:textId="77777777" w:rsidR="00D00189" w:rsidRPr="001548E3" w:rsidRDefault="00D00189" w:rsidP="00D00189">
      <w:pPr>
        <w:jc w:val="both"/>
        <w:rPr>
          <w:rFonts w:ascii="Abadi" w:eastAsia="Arial" w:hAnsi="Abadi" w:cs="Arial"/>
          <w:b/>
          <w:bCs/>
          <w:sz w:val="21"/>
          <w:szCs w:val="21"/>
          <w:lang w:val="es-ES_tradnl" w:eastAsia="es-MX"/>
        </w:rPr>
      </w:pPr>
      <w:r w:rsidRPr="001548E3">
        <w:rPr>
          <w:rFonts w:ascii="Abadi" w:eastAsia="Arial" w:hAnsi="Abadi" w:cs="Arial"/>
          <w:b/>
          <w:bCs/>
          <w:sz w:val="21"/>
          <w:szCs w:val="21"/>
          <w:lang w:val="es-ES_tradnl" w:eastAsia="es-MX"/>
        </w:rPr>
        <w:t xml:space="preserve">IV.- </w:t>
      </w:r>
      <w:r w:rsidRPr="00AE05AE">
        <w:rPr>
          <w:rFonts w:ascii="Abadi" w:eastAsia="Arial" w:hAnsi="Abadi" w:cs="Arial"/>
          <w:sz w:val="21"/>
          <w:szCs w:val="21"/>
          <w:lang w:val="es-ES_tradnl" w:eastAsia="es-MX"/>
        </w:rPr>
        <w:t>Clínica Veterinaria Pública: establecimiento público cuya función primordial es la atención médica directa de los animales, el cual además de los servicios que presta el Centro de Control y Asistencia Animal prestará los servicios de consulta y diagnóstico, hospitalización, medicina preventiva y cirugía, entre otros conforme a la suficiencia presupuestaria.</w:t>
      </w:r>
      <w:r w:rsidRPr="001548E3">
        <w:rPr>
          <w:rFonts w:ascii="Abadi" w:eastAsia="Arial" w:hAnsi="Abadi" w:cs="Arial"/>
          <w:b/>
          <w:bCs/>
          <w:sz w:val="21"/>
          <w:szCs w:val="21"/>
          <w:lang w:val="es-ES_tradnl" w:eastAsia="es-MX"/>
        </w:rPr>
        <w:t xml:space="preserve"> </w:t>
      </w:r>
    </w:p>
    <w:p w14:paraId="096700DE" w14:textId="77777777" w:rsidR="00D00189" w:rsidRPr="001548E3" w:rsidRDefault="00D00189" w:rsidP="00D00189">
      <w:pPr>
        <w:jc w:val="both"/>
        <w:rPr>
          <w:rFonts w:ascii="Abadi" w:eastAsia="Arial" w:hAnsi="Abadi" w:cs="Arial"/>
          <w:b/>
          <w:bCs/>
          <w:sz w:val="21"/>
          <w:szCs w:val="21"/>
          <w:lang w:val="es-ES_tradnl" w:eastAsia="es-MX"/>
        </w:rPr>
      </w:pPr>
    </w:p>
    <w:p w14:paraId="4F98F8A6" w14:textId="77777777" w:rsidR="00D00189" w:rsidRPr="001548E3" w:rsidRDefault="00D00189" w:rsidP="00D00189">
      <w:pPr>
        <w:jc w:val="both"/>
        <w:rPr>
          <w:rFonts w:ascii="Abadi" w:eastAsia="Arial" w:hAnsi="Abadi" w:cs="Arial"/>
          <w:sz w:val="21"/>
          <w:szCs w:val="21"/>
          <w:lang w:val="es-ES_tradnl" w:eastAsia="es-MX"/>
        </w:rPr>
      </w:pPr>
    </w:p>
    <w:p w14:paraId="3A87D464"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Artículo 6. Los ayuntamientos tienen las siguientes atribuciones… </w:t>
      </w:r>
    </w:p>
    <w:p w14:paraId="07EBE33D" w14:textId="77777777" w:rsidR="00D00189" w:rsidRPr="001548E3" w:rsidRDefault="00D00189" w:rsidP="00D00189">
      <w:pPr>
        <w:jc w:val="both"/>
        <w:rPr>
          <w:rFonts w:ascii="Abadi" w:eastAsia="Arial" w:hAnsi="Abadi" w:cs="Arial"/>
          <w:sz w:val="21"/>
          <w:szCs w:val="21"/>
          <w:lang w:val="es-ES_tradnl" w:eastAsia="es-MX"/>
        </w:rPr>
      </w:pPr>
    </w:p>
    <w:p w14:paraId="7F7945A4" w14:textId="77777777" w:rsidR="00D00189" w:rsidRPr="001548E3" w:rsidRDefault="00D00189" w:rsidP="00D00189">
      <w:pPr>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I. Dictar las disposiciones de carácter reglamentario para la aplicación de la presente Ley, así como para el funcionamiento de los Centros de Control y Asistencia Animal </w:t>
      </w:r>
      <w:r w:rsidRPr="001548E3">
        <w:rPr>
          <w:rFonts w:ascii="Abadi" w:eastAsia="Arial" w:hAnsi="Abadi" w:cs="Arial"/>
          <w:b/>
          <w:bCs/>
          <w:sz w:val="21"/>
          <w:szCs w:val="21"/>
          <w:lang w:val="es-ES_tradnl" w:eastAsia="es-MX"/>
        </w:rPr>
        <w:t>y, de Clínicas Veterinarias Públicas</w:t>
      </w:r>
      <w:r w:rsidRPr="001548E3">
        <w:rPr>
          <w:rFonts w:ascii="Abadi" w:eastAsia="Arial" w:hAnsi="Abadi" w:cs="Arial"/>
          <w:sz w:val="21"/>
          <w:szCs w:val="21"/>
          <w:lang w:val="es-ES_tradnl" w:eastAsia="es-MX"/>
        </w:rPr>
        <w:t xml:space="preserve"> en el ámbito de su competencia;</w:t>
      </w:r>
    </w:p>
    <w:p w14:paraId="6A71A467" w14:textId="77777777" w:rsidR="00D00189" w:rsidRPr="001548E3" w:rsidRDefault="00D00189" w:rsidP="00D00189">
      <w:pPr>
        <w:jc w:val="both"/>
        <w:rPr>
          <w:rFonts w:ascii="Abadi" w:eastAsia="Arial" w:hAnsi="Abadi" w:cs="Arial"/>
          <w:sz w:val="21"/>
          <w:szCs w:val="21"/>
          <w:lang w:val="es-ES_tradnl" w:eastAsia="es-MX"/>
        </w:rPr>
      </w:pPr>
    </w:p>
    <w:p w14:paraId="24BCFF20" w14:textId="77777777" w:rsidR="00D00189" w:rsidRPr="001548E3" w:rsidRDefault="00D00189" w:rsidP="00D00189">
      <w:pPr>
        <w:ind w:left="360"/>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II al X…</w:t>
      </w:r>
    </w:p>
    <w:p w14:paraId="01944432" w14:textId="77777777" w:rsidR="00D00189" w:rsidRPr="001548E3" w:rsidRDefault="00D00189" w:rsidP="00D00189">
      <w:pPr>
        <w:ind w:left="360"/>
        <w:jc w:val="both"/>
        <w:rPr>
          <w:rFonts w:ascii="Abadi" w:eastAsia="Arial" w:hAnsi="Abadi" w:cs="Arial"/>
          <w:sz w:val="21"/>
          <w:szCs w:val="21"/>
          <w:lang w:val="es-ES_tradnl" w:eastAsia="es-MX"/>
        </w:rPr>
      </w:pPr>
    </w:p>
    <w:p w14:paraId="3008F646" w14:textId="77777777" w:rsidR="00D00189" w:rsidRPr="00AE05AE" w:rsidRDefault="00D00189" w:rsidP="00D00189">
      <w:pPr>
        <w:jc w:val="both"/>
        <w:rPr>
          <w:rFonts w:ascii="Abadi" w:eastAsia="Arial" w:hAnsi="Abadi" w:cs="Arial"/>
          <w:sz w:val="21"/>
          <w:szCs w:val="21"/>
          <w:lang w:val="es-ES_tradnl" w:eastAsia="es-MX"/>
        </w:rPr>
      </w:pPr>
      <w:r w:rsidRPr="001548E3">
        <w:rPr>
          <w:rFonts w:ascii="Abadi" w:eastAsia="Arial" w:hAnsi="Abadi" w:cs="Arial"/>
          <w:b/>
          <w:bCs/>
          <w:sz w:val="21"/>
          <w:szCs w:val="21"/>
          <w:lang w:val="es-ES_tradnl" w:eastAsia="es-MX"/>
        </w:rPr>
        <w:t xml:space="preserve">XI.- </w:t>
      </w:r>
      <w:r w:rsidRPr="00AE05AE">
        <w:rPr>
          <w:rFonts w:ascii="Abadi" w:eastAsia="Arial" w:hAnsi="Abadi" w:cs="Arial"/>
          <w:sz w:val="21"/>
          <w:szCs w:val="21"/>
          <w:lang w:val="es-ES_tradnl" w:eastAsia="es-MX"/>
        </w:rPr>
        <w:t xml:space="preserve">Los ayuntamientos en el ámbito de sus competencias promoverán el establecimiento de Clínicas Veterinarias Públicas que proporcionen en materia de sanidad animal o servicios veterinarios, así como la estancia digna, segura y saludable para nos animales sintientes. </w:t>
      </w:r>
    </w:p>
    <w:p w14:paraId="62DCB98A" w14:textId="77777777" w:rsidR="00D00189" w:rsidRPr="001548E3" w:rsidRDefault="00D00189" w:rsidP="00D00189">
      <w:pPr>
        <w:jc w:val="both"/>
        <w:rPr>
          <w:rFonts w:ascii="Abadi" w:eastAsia="Arial" w:hAnsi="Abadi" w:cs="Arial"/>
          <w:sz w:val="21"/>
          <w:szCs w:val="21"/>
          <w:lang w:val="es-ES_tradnl" w:eastAsia="es-MX"/>
        </w:rPr>
      </w:pPr>
    </w:p>
    <w:p w14:paraId="48C6CDDE" w14:textId="77777777" w:rsidR="00D00189" w:rsidRPr="00AE05AE" w:rsidRDefault="00D00189" w:rsidP="00D00189">
      <w:pPr>
        <w:jc w:val="both"/>
        <w:rPr>
          <w:rFonts w:ascii="Abadi" w:eastAsia="Arial" w:hAnsi="Abadi" w:cs="Arial"/>
          <w:sz w:val="21"/>
          <w:szCs w:val="21"/>
          <w:lang w:val="es-ES_tradnl" w:eastAsia="es-MX"/>
        </w:rPr>
      </w:pPr>
      <w:r w:rsidRPr="001548E3">
        <w:rPr>
          <w:rFonts w:ascii="Abadi" w:eastAsia="Arial" w:hAnsi="Abadi" w:cs="Arial"/>
          <w:b/>
          <w:bCs/>
          <w:sz w:val="21"/>
          <w:szCs w:val="21"/>
          <w:lang w:val="es-ES_tradnl" w:eastAsia="es-MX"/>
        </w:rPr>
        <w:t xml:space="preserve">38 </w:t>
      </w:r>
      <w:proofErr w:type="gramStart"/>
      <w:r w:rsidRPr="001548E3">
        <w:rPr>
          <w:rFonts w:ascii="Abadi" w:eastAsia="Arial" w:hAnsi="Abadi" w:cs="Arial"/>
          <w:b/>
          <w:bCs/>
          <w:sz w:val="21"/>
          <w:szCs w:val="21"/>
          <w:lang w:val="es-ES_tradnl" w:eastAsia="es-MX"/>
        </w:rPr>
        <w:t>Bis.-</w:t>
      </w:r>
      <w:proofErr w:type="gramEnd"/>
      <w:r w:rsidRPr="001548E3">
        <w:rPr>
          <w:rFonts w:ascii="Abadi" w:eastAsia="Arial" w:hAnsi="Abadi" w:cs="Arial"/>
          <w:b/>
          <w:bCs/>
          <w:sz w:val="21"/>
          <w:szCs w:val="21"/>
          <w:lang w:val="es-ES_tradnl" w:eastAsia="es-MX"/>
        </w:rPr>
        <w:t xml:space="preserve"> </w:t>
      </w:r>
      <w:r w:rsidRPr="00AE05AE">
        <w:rPr>
          <w:rFonts w:ascii="Abadi" w:eastAsia="Arial" w:hAnsi="Abadi" w:cs="Arial"/>
          <w:sz w:val="21"/>
          <w:szCs w:val="21"/>
          <w:lang w:val="es-ES_tradnl" w:eastAsia="es-MX"/>
        </w:rPr>
        <w:t>Los municipios encauzarán a las Clínicas Veterinarias Públicas conforme a las siguientes obligaciones:</w:t>
      </w:r>
    </w:p>
    <w:p w14:paraId="0DD4A102" w14:textId="77777777" w:rsidR="00D00189" w:rsidRPr="001548E3" w:rsidRDefault="00D00189" w:rsidP="00D00189">
      <w:pPr>
        <w:jc w:val="both"/>
        <w:rPr>
          <w:rFonts w:ascii="Abadi" w:eastAsia="Arial" w:hAnsi="Abadi" w:cs="Arial"/>
          <w:sz w:val="21"/>
          <w:szCs w:val="21"/>
          <w:lang w:val="es-ES_tradnl" w:eastAsia="es-MX"/>
        </w:rPr>
      </w:pPr>
    </w:p>
    <w:p w14:paraId="313177A9" w14:textId="77777777" w:rsidR="00D00189" w:rsidRPr="001548E3" w:rsidRDefault="00D00189" w:rsidP="00427BD6">
      <w:pPr>
        <w:pStyle w:val="Prrafodelista"/>
        <w:numPr>
          <w:ilvl w:val="0"/>
          <w:numId w:val="12"/>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Cumplimiento a las leyes, reglamentos y Normas Oficiales </w:t>
      </w:r>
      <w:r w:rsidRPr="001548E3">
        <w:rPr>
          <w:rFonts w:ascii="Abadi" w:eastAsia="Arial" w:hAnsi="Abadi" w:cs="Arial"/>
          <w:sz w:val="21"/>
          <w:szCs w:val="21"/>
          <w:lang w:val="es-ES_tradnl" w:eastAsia="es-MX"/>
        </w:rPr>
        <w:t>Mexicanas de observancia obligatoria a la sanidad animal, en específico las del ámbito de Clínicas y Hospitales veterinarios que comercialicen productos para uso o consumo animal.</w:t>
      </w:r>
    </w:p>
    <w:p w14:paraId="51C84F22" w14:textId="77777777" w:rsidR="00D00189" w:rsidRPr="001548E3" w:rsidRDefault="00D00189" w:rsidP="00427BD6">
      <w:pPr>
        <w:pStyle w:val="Prrafodelista"/>
        <w:numPr>
          <w:ilvl w:val="0"/>
          <w:numId w:val="12"/>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Contar con las áreas necesarias para la recepción y atención de los animales domésticos como sala de consulta, sala de quirófano independiente, área de estética y hospitalización. </w:t>
      </w:r>
    </w:p>
    <w:p w14:paraId="0C90A2CC" w14:textId="77777777" w:rsidR="00D00189" w:rsidRPr="001548E3" w:rsidRDefault="00D00189" w:rsidP="00427BD6">
      <w:pPr>
        <w:pStyle w:val="Prrafodelista"/>
        <w:numPr>
          <w:ilvl w:val="0"/>
          <w:numId w:val="12"/>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Adicionalmente y dependiendo de la superficie contar con la disponibilidad de equipo radiológico, ultrasonido, electrocardiógrafo, y laboratorio, así como el equipo de esterilización para el instrumental y material quirúrgico. </w:t>
      </w:r>
    </w:p>
    <w:p w14:paraId="23C21E9D" w14:textId="77777777" w:rsidR="00D00189" w:rsidRPr="001548E3" w:rsidRDefault="00D00189" w:rsidP="00427BD6">
      <w:pPr>
        <w:pStyle w:val="Prrafodelista"/>
        <w:numPr>
          <w:ilvl w:val="0"/>
          <w:numId w:val="12"/>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El personal encargado deberá capacitarse en las áreas de bienestar animal, técnicas de captura y sacrificio, para proporcionar un trato digno, respetuoso, manejo ético y responsable.</w:t>
      </w:r>
    </w:p>
    <w:p w14:paraId="691D30D8" w14:textId="77777777" w:rsidR="00D00189" w:rsidRPr="001548E3" w:rsidRDefault="00D00189" w:rsidP="00427BD6">
      <w:pPr>
        <w:pStyle w:val="Prrafodelista"/>
        <w:numPr>
          <w:ilvl w:val="0"/>
          <w:numId w:val="12"/>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Los médicos veterinarios adscritos a los servicios de la clínica deberán estar titulados y contar con cédula profesional, se podrá contar con la participación de pasantes de dicha carrera para realizar servicio social o prácticas profesionales, así como voluntariado, siempre bajo la supervisión de un responsable de área. </w:t>
      </w:r>
    </w:p>
    <w:p w14:paraId="1FE7B712" w14:textId="77777777" w:rsidR="00D00189" w:rsidRPr="001548E3" w:rsidRDefault="00D00189" w:rsidP="00D00189">
      <w:pPr>
        <w:pStyle w:val="Prrafodelista"/>
        <w:rPr>
          <w:rFonts w:ascii="Abadi" w:eastAsia="Arial" w:hAnsi="Abadi" w:cs="Arial"/>
          <w:sz w:val="21"/>
          <w:szCs w:val="21"/>
          <w:lang w:val="es-ES_tradnl" w:eastAsia="es-MX"/>
        </w:rPr>
      </w:pPr>
    </w:p>
    <w:p w14:paraId="1766F6E6" w14:textId="77777777" w:rsidR="00D00189" w:rsidRPr="001548E3" w:rsidRDefault="00D00189" w:rsidP="00D00189">
      <w:pPr>
        <w:pStyle w:val="Prrafodelista"/>
        <w:ind w:left="1080"/>
        <w:jc w:val="both"/>
        <w:rPr>
          <w:rFonts w:ascii="Abadi" w:eastAsia="Arial" w:hAnsi="Abadi" w:cs="Arial"/>
          <w:sz w:val="21"/>
          <w:szCs w:val="21"/>
          <w:lang w:val="es-ES_tradnl" w:eastAsia="es-MX"/>
        </w:rPr>
      </w:pPr>
    </w:p>
    <w:p w14:paraId="641A825C" w14:textId="77777777" w:rsidR="00D00189" w:rsidRPr="001548E3" w:rsidRDefault="00D00189" w:rsidP="00427BD6">
      <w:pPr>
        <w:pStyle w:val="Prrafodelista"/>
        <w:numPr>
          <w:ilvl w:val="0"/>
          <w:numId w:val="13"/>
        </w:numPr>
        <w:contextualSpacing/>
        <w:jc w:val="both"/>
        <w:rPr>
          <w:rFonts w:ascii="Abadi" w:eastAsia="Arial" w:hAnsi="Abadi" w:cs="Arial"/>
          <w:sz w:val="21"/>
          <w:szCs w:val="21"/>
          <w:lang w:val="es-ES_tradnl" w:eastAsia="es-MX"/>
        </w:rPr>
      </w:pPr>
      <w:r w:rsidRPr="001548E3">
        <w:rPr>
          <w:rFonts w:ascii="Abadi" w:eastAsia="Arial" w:hAnsi="Abadi" w:cs="Arial"/>
          <w:sz w:val="21"/>
          <w:szCs w:val="21"/>
          <w:lang w:val="es-ES_tradnl" w:eastAsia="es-MX"/>
        </w:rPr>
        <w:t xml:space="preserve">Bis. La infraestructura de las Clínicas Veterinarias Públicas debe contar con la separación física de las áreas para la atención y cuidados de los animales domésticos, tener una recepción con mostrador para la difusión y promoción que permitan crear una cultura de la tenencia responsable, trato digno y respetuoso, tener ventilación adecuada, con área de separación de residuos y deberán estar a cargo de un Médico Veterinario titulado con cédula profesional.  </w:t>
      </w:r>
    </w:p>
    <w:p w14:paraId="6807F516" w14:textId="77777777" w:rsidR="00D00189" w:rsidRPr="001548E3" w:rsidRDefault="00D00189" w:rsidP="00D00189">
      <w:pPr>
        <w:jc w:val="both"/>
        <w:rPr>
          <w:rFonts w:ascii="Abadi" w:eastAsia="Arial" w:hAnsi="Abadi" w:cs="Arial"/>
          <w:sz w:val="21"/>
          <w:szCs w:val="21"/>
          <w:lang w:val="es-ES_tradnl" w:eastAsia="es-MX"/>
        </w:rPr>
      </w:pPr>
    </w:p>
    <w:p w14:paraId="31D046B6" w14:textId="77777777" w:rsidR="00D00189" w:rsidRPr="001548E3" w:rsidRDefault="00D00189" w:rsidP="00D00189">
      <w:pPr>
        <w:jc w:val="both"/>
        <w:rPr>
          <w:rFonts w:ascii="Abadi" w:hAnsi="Abadi" w:cs="Arial"/>
          <w:sz w:val="21"/>
          <w:szCs w:val="21"/>
        </w:rPr>
      </w:pPr>
    </w:p>
    <w:p w14:paraId="1E358664" w14:textId="77777777" w:rsidR="00D00189" w:rsidRPr="001548E3" w:rsidRDefault="00D00189" w:rsidP="00D00189">
      <w:pPr>
        <w:jc w:val="center"/>
        <w:rPr>
          <w:rFonts w:ascii="Abadi" w:hAnsi="Abadi" w:cs="Arial"/>
          <w:b/>
          <w:bCs/>
          <w:sz w:val="21"/>
          <w:szCs w:val="21"/>
        </w:rPr>
      </w:pPr>
      <w:r w:rsidRPr="001548E3">
        <w:rPr>
          <w:rFonts w:ascii="Abadi" w:hAnsi="Abadi" w:cs="Arial"/>
          <w:b/>
          <w:bCs/>
          <w:sz w:val="21"/>
          <w:szCs w:val="21"/>
        </w:rPr>
        <w:lastRenderedPageBreak/>
        <w:t>TRANSITORIO</w:t>
      </w:r>
    </w:p>
    <w:p w14:paraId="06716EBE" w14:textId="77777777" w:rsidR="00D00189" w:rsidRPr="001548E3" w:rsidRDefault="00D00189" w:rsidP="00D00189">
      <w:pPr>
        <w:jc w:val="center"/>
        <w:rPr>
          <w:rFonts w:ascii="Abadi" w:hAnsi="Abadi" w:cs="Arial"/>
          <w:sz w:val="21"/>
          <w:szCs w:val="21"/>
        </w:rPr>
      </w:pPr>
    </w:p>
    <w:p w14:paraId="48B21C48" w14:textId="77777777" w:rsidR="00D00189" w:rsidRPr="001548E3" w:rsidRDefault="00D00189" w:rsidP="00D00189">
      <w:pPr>
        <w:jc w:val="both"/>
        <w:rPr>
          <w:rFonts w:ascii="Abadi" w:hAnsi="Abadi" w:cs="Arial"/>
          <w:b/>
          <w:bCs/>
          <w:sz w:val="21"/>
          <w:szCs w:val="21"/>
        </w:rPr>
      </w:pPr>
      <w:r w:rsidRPr="001548E3">
        <w:rPr>
          <w:rFonts w:ascii="Abadi" w:hAnsi="Abadi" w:cs="Arial"/>
          <w:b/>
          <w:bCs/>
          <w:sz w:val="21"/>
          <w:szCs w:val="21"/>
        </w:rPr>
        <w:t>Artículo Único.</w:t>
      </w:r>
      <w:r w:rsidRPr="001548E3">
        <w:rPr>
          <w:rFonts w:ascii="Abadi" w:hAnsi="Abadi" w:cs="Arial"/>
          <w:sz w:val="21"/>
          <w:szCs w:val="21"/>
        </w:rPr>
        <w:t xml:space="preserve"> El presente decreto entrará en vigor el día siguiente al de su publicación en el Periódico Oficial del Gobierno del Estado de Guanajuato.</w:t>
      </w:r>
    </w:p>
    <w:p w14:paraId="73F3C4E7" w14:textId="77777777" w:rsidR="00D00189" w:rsidRPr="001548E3" w:rsidRDefault="00D00189" w:rsidP="00D00189">
      <w:pPr>
        <w:jc w:val="both"/>
        <w:rPr>
          <w:rFonts w:ascii="Abadi" w:hAnsi="Abadi" w:cs="Arial"/>
          <w:b/>
          <w:bCs/>
          <w:sz w:val="21"/>
          <w:szCs w:val="21"/>
        </w:rPr>
      </w:pPr>
    </w:p>
    <w:p w14:paraId="69D5CE72" w14:textId="77777777" w:rsidR="00D00189" w:rsidRPr="001548E3" w:rsidRDefault="00D00189" w:rsidP="00D00189">
      <w:pPr>
        <w:jc w:val="both"/>
        <w:rPr>
          <w:rFonts w:ascii="Abadi" w:hAnsi="Abadi" w:cs="Arial"/>
          <w:sz w:val="21"/>
          <w:szCs w:val="21"/>
        </w:rPr>
      </w:pPr>
      <w:r w:rsidRPr="001548E3">
        <w:rPr>
          <w:rFonts w:ascii="Abadi" w:hAnsi="Abadi" w:cs="Arial"/>
          <w:b/>
          <w:bCs/>
          <w:sz w:val="21"/>
          <w:szCs w:val="21"/>
        </w:rPr>
        <w:t>Segundo</w:t>
      </w:r>
      <w:r w:rsidRPr="001548E3">
        <w:rPr>
          <w:rFonts w:ascii="Abadi" w:hAnsi="Abadi" w:cs="Arial"/>
          <w:sz w:val="21"/>
          <w:szCs w:val="21"/>
        </w:rPr>
        <w:t xml:space="preserve">. Para el cabal cumplimiento de lo establecido en el presente Decreto, el Ejecutivo del Estado de Guanajuato deberá emitir un plazo de 180 días naturales posterior a su entrada en vigor, las adecuaciones normativas, reglamentos, lineamientos, acuerdos o decretos que estime necesario. </w:t>
      </w:r>
    </w:p>
    <w:p w14:paraId="4A5DE76C" w14:textId="77777777" w:rsidR="00D00189" w:rsidRPr="001548E3" w:rsidRDefault="00D00189" w:rsidP="00D00189">
      <w:pPr>
        <w:jc w:val="both"/>
        <w:rPr>
          <w:rFonts w:ascii="Abadi" w:hAnsi="Abadi" w:cs="Arial"/>
          <w:sz w:val="21"/>
          <w:szCs w:val="21"/>
        </w:rPr>
      </w:pPr>
    </w:p>
    <w:p w14:paraId="0F83E551" w14:textId="77777777" w:rsidR="00D00189" w:rsidRPr="001548E3" w:rsidRDefault="00D00189" w:rsidP="00D00189">
      <w:pPr>
        <w:jc w:val="both"/>
        <w:rPr>
          <w:rFonts w:ascii="Abadi" w:hAnsi="Abadi" w:cs="Arial"/>
          <w:sz w:val="21"/>
          <w:szCs w:val="21"/>
        </w:rPr>
      </w:pPr>
      <w:r w:rsidRPr="001548E3">
        <w:rPr>
          <w:rFonts w:ascii="Abadi" w:hAnsi="Abadi" w:cs="Arial"/>
          <w:b/>
          <w:bCs/>
          <w:sz w:val="21"/>
          <w:szCs w:val="21"/>
        </w:rPr>
        <w:t>Tercero.</w:t>
      </w:r>
      <w:r w:rsidRPr="001548E3">
        <w:rPr>
          <w:rFonts w:ascii="Abadi" w:hAnsi="Abadi" w:cs="Arial"/>
          <w:sz w:val="21"/>
          <w:szCs w:val="21"/>
        </w:rPr>
        <w:t xml:space="preserve"> Las autoridades municipales y los organismos operadores destinarán los recursos que exija la presente reforma, de manera progresiva y de conformidad con su disponibilidad presupuestaria, a fin de dar cumplimiento a las disposiciones del presente decreto.</w:t>
      </w:r>
    </w:p>
    <w:p w14:paraId="5201080D" w14:textId="77777777" w:rsidR="00D00189" w:rsidRPr="001548E3" w:rsidRDefault="00D00189" w:rsidP="00D00189">
      <w:pPr>
        <w:jc w:val="both"/>
        <w:rPr>
          <w:rFonts w:ascii="Abadi" w:hAnsi="Abadi" w:cs="Arial"/>
          <w:b/>
          <w:bCs/>
          <w:sz w:val="21"/>
          <w:szCs w:val="21"/>
        </w:rPr>
      </w:pPr>
    </w:p>
    <w:p w14:paraId="0C9EBA56" w14:textId="77777777" w:rsidR="00D00189" w:rsidRPr="001548E3" w:rsidRDefault="00D00189" w:rsidP="00D00189">
      <w:pPr>
        <w:jc w:val="both"/>
        <w:rPr>
          <w:rFonts w:ascii="Abadi" w:hAnsi="Abadi" w:cs="Arial"/>
          <w:b/>
          <w:bCs/>
          <w:sz w:val="21"/>
          <w:szCs w:val="21"/>
        </w:rPr>
      </w:pPr>
      <w:r w:rsidRPr="001548E3">
        <w:rPr>
          <w:rFonts w:ascii="Abadi" w:hAnsi="Abadi" w:cs="Arial"/>
          <w:sz w:val="21"/>
          <w:szCs w:val="21"/>
        </w:rPr>
        <w:t>Por lo expuesto y fundado, solicitamos a Usted dar a la presente iniciativa, el trámite señalado en la Ley Orgánica del Poder Legislativo del Estado de Guanajuato.</w:t>
      </w:r>
    </w:p>
    <w:p w14:paraId="405F2007" w14:textId="77777777" w:rsidR="00D00189" w:rsidRPr="001548E3" w:rsidRDefault="00D00189" w:rsidP="00D00189">
      <w:pPr>
        <w:jc w:val="both"/>
        <w:rPr>
          <w:rFonts w:ascii="Abadi" w:hAnsi="Abadi" w:cs="Arial"/>
          <w:b/>
          <w:bCs/>
          <w:sz w:val="21"/>
          <w:szCs w:val="21"/>
        </w:rPr>
      </w:pPr>
    </w:p>
    <w:p w14:paraId="22FB6207" w14:textId="77777777" w:rsidR="00D00189" w:rsidRPr="00084BB7" w:rsidRDefault="00D00189" w:rsidP="00D00189">
      <w:pPr>
        <w:jc w:val="center"/>
        <w:rPr>
          <w:rFonts w:ascii="Abadi" w:hAnsi="Abadi" w:cs="Arial"/>
          <w:b/>
          <w:bCs/>
          <w:sz w:val="21"/>
          <w:szCs w:val="21"/>
        </w:rPr>
      </w:pPr>
      <w:r w:rsidRPr="00084BB7">
        <w:rPr>
          <w:rFonts w:ascii="Abadi" w:hAnsi="Abadi" w:cs="Arial"/>
          <w:b/>
          <w:bCs/>
          <w:sz w:val="21"/>
          <w:szCs w:val="21"/>
        </w:rPr>
        <w:t>A T E N T A M E N T E</w:t>
      </w:r>
    </w:p>
    <w:p w14:paraId="20EC6FAD" w14:textId="77777777" w:rsidR="00D00189" w:rsidRPr="00084BB7" w:rsidRDefault="00D00189" w:rsidP="00D00189">
      <w:pPr>
        <w:jc w:val="center"/>
        <w:rPr>
          <w:rFonts w:ascii="Abadi" w:hAnsi="Abadi" w:cs="Arial"/>
          <w:b/>
          <w:bCs/>
          <w:sz w:val="21"/>
          <w:szCs w:val="21"/>
        </w:rPr>
      </w:pPr>
      <w:r w:rsidRPr="00084BB7">
        <w:rPr>
          <w:rFonts w:ascii="Abadi" w:hAnsi="Abadi" w:cs="Arial"/>
          <w:b/>
          <w:bCs/>
          <w:sz w:val="21"/>
          <w:szCs w:val="21"/>
        </w:rPr>
        <w:t xml:space="preserve">Guanajuato, </w:t>
      </w:r>
      <w:proofErr w:type="spellStart"/>
      <w:r w:rsidRPr="00084BB7">
        <w:rPr>
          <w:rFonts w:ascii="Abadi" w:hAnsi="Abadi" w:cs="Arial"/>
          <w:b/>
          <w:bCs/>
          <w:sz w:val="21"/>
          <w:szCs w:val="21"/>
        </w:rPr>
        <w:t>Gto</w:t>
      </w:r>
      <w:proofErr w:type="spellEnd"/>
      <w:r w:rsidRPr="00084BB7">
        <w:rPr>
          <w:rFonts w:ascii="Abadi" w:hAnsi="Abadi" w:cs="Arial"/>
          <w:b/>
          <w:bCs/>
          <w:sz w:val="21"/>
          <w:szCs w:val="21"/>
        </w:rPr>
        <w:t>., a 22 de junio de 2023</w:t>
      </w:r>
    </w:p>
    <w:p w14:paraId="2984FE1D" w14:textId="77777777" w:rsidR="00D00189" w:rsidRPr="00084BB7" w:rsidRDefault="00D00189" w:rsidP="00D00189">
      <w:pPr>
        <w:jc w:val="center"/>
        <w:rPr>
          <w:rFonts w:ascii="Abadi" w:hAnsi="Abadi" w:cs="Arial"/>
          <w:b/>
          <w:bCs/>
          <w:sz w:val="21"/>
          <w:szCs w:val="21"/>
        </w:rPr>
      </w:pPr>
    </w:p>
    <w:p w14:paraId="6E157633" w14:textId="77777777" w:rsidR="00D00189" w:rsidRPr="00084BB7" w:rsidRDefault="00D00189" w:rsidP="00D00189">
      <w:pPr>
        <w:jc w:val="center"/>
        <w:rPr>
          <w:rFonts w:ascii="Abadi" w:hAnsi="Abadi" w:cs="Arial"/>
          <w:b/>
          <w:bCs/>
          <w:sz w:val="21"/>
          <w:szCs w:val="21"/>
        </w:rPr>
      </w:pPr>
      <w:r w:rsidRPr="00084BB7">
        <w:rPr>
          <w:rFonts w:ascii="Abadi" w:hAnsi="Abadi" w:cs="Arial"/>
          <w:b/>
          <w:bCs/>
          <w:sz w:val="21"/>
          <w:szCs w:val="21"/>
        </w:rPr>
        <w:t>Diputadas y Diputados integrantes del</w:t>
      </w:r>
    </w:p>
    <w:p w14:paraId="4864704C" w14:textId="77777777" w:rsidR="00D00189" w:rsidRPr="00084BB7" w:rsidRDefault="00D00189" w:rsidP="00D00189">
      <w:pPr>
        <w:jc w:val="center"/>
        <w:rPr>
          <w:rFonts w:ascii="Abadi" w:hAnsi="Abadi" w:cs="Arial"/>
          <w:b/>
          <w:bCs/>
          <w:sz w:val="21"/>
          <w:szCs w:val="21"/>
        </w:rPr>
      </w:pPr>
      <w:r w:rsidRPr="00084BB7">
        <w:rPr>
          <w:rFonts w:ascii="Abadi" w:hAnsi="Abadi" w:cs="Arial"/>
          <w:b/>
          <w:bCs/>
          <w:sz w:val="21"/>
          <w:szCs w:val="21"/>
        </w:rPr>
        <w:t>Grupo Parlamentario del Partido Acción Nacional</w:t>
      </w:r>
    </w:p>
    <w:p w14:paraId="5034F17E" w14:textId="77777777" w:rsidR="00D00189" w:rsidRPr="00084BB7" w:rsidRDefault="00D00189" w:rsidP="00D00189">
      <w:pPr>
        <w:jc w:val="center"/>
        <w:rPr>
          <w:rFonts w:ascii="Abadi" w:hAnsi="Abadi" w:cs="Arial"/>
          <w:b/>
          <w:bCs/>
          <w:sz w:val="21"/>
          <w:szCs w:val="21"/>
        </w:rPr>
      </w:pPr>
    </w:p>
    <w:p w14:paraId="1A215F78" w14:textId="77777777" w:rsidR="00D00189" w:rsidRPr="00084BB7" w:rsidRDefault="00D00189" w:rsidP="00D00189">
      <w:pPr>
        <w:jc w:val="center"/>
        <w:rPr>
          <w:rFonts w:ascii="Abadi" w:hAnsi="Abadi" w:cs="Arial"/>
          <w:b/>
          <w:bCs/>
          <w:sz w:val="21"/>
          <w:szCs w:val="21"/>
        </w:rPr>
      </w:pPr>
    </w:p>
    <w:p w14:paraId="0D583944" w14:textId="77777777" w:rsidR="00D00189" w:rsidRPr="00084BB7" w:rsidRDefault="00D00189" w:rsidP="00D00189">
      <w:pPr>
        <w:jc w:val="center"/>
        <w:rPr>
          <w:rFonts w:ascii="Abadi" w:hAnsi="Abadi" w:cs="Arial"/>
          <w:b/>
          <w:bCs/>
          <w:sz w:val="21"/>
          <w:szCs w:val="21"/>
        </w:rPr>
      </w:pPr>
      <w:proofErr w:type="spellStart"/>
      <w:r w:rsidRPr="00084BB7">
        <w:rPr>
          <w:rFonts w:ascii="Abadi" w:hAnsi="Abadi" w:cs="Arial"/>
          <w:b/>
          <w:bCs/>
          <w:sz w:val="21"/>
          <w:szCs w:val="21"/>
        </w:rPr>
        <w:t>Dip</w:t>
      </w:r>
      <w:proofErr w:type="spellEnd"/>
      <w:r w:rsidRPr="00084BB7">
        <w:rPr>
          <w:rFonts w:ascii="Abadi" w:hAnsi="Abadi" w:cs="Arial"/>
          <w:b/>
          <w:bCs/>
          <w:sz w:val="21"/>
          <w:szCs w:val="21"/>
        </w:rPr>
        <w:t>. Luis Ernesto Ayala Torres</w:t>
      </w:r>
    </w:p>
    <w:p w14:paraId="0C99A1CD" w14:textId="77777777" w:rsidR="00D00189" w:rsidRPr="00084BB7" w:rsidRDefault="00D00189" w:rsidP="00D00189">
      <w:pPr>
        <w:jc w:val="center"/>
        <w:rPr>
          <w:rFonts w:ascii="Abadi" w:hAnsi="Abadi" w:cs="Arial"/>
          <w:b/>
          <w:bCs/>
          <w:sz w:val="21"/>
          <w:szCs w:val="21"/>
        </w:rPr>
      </w:pPr>
      <w:r w:rsidRPr="00084BB7">
        <w:rPr>
          <w:rFonts w:ascii="Abadi" w:hAnsi="Abadi" w:cs="Arial"/>
          <w:b/>
          <w:bCs/>
          <w:sz w:val="21"/>
          <w:szCs w:val="21"/>
        </w:rPr>
        <w:t>Coordinador</w:t>
      </w:r>
    </w:p>
    <w:p w14:paraId="20A6CE8A" w14:textId="77777777" w:rsidR="00B17643" w:rsidRDefault="00B17643" w:rsidP="00B17643">
      <w:pPr>
        <w:autoSpaceDE w:val="0"/>
        <w:autoSpaceDN w:val="0"/>
        <w:adjustRightInd w:val="0"/>
        <w:contextualSpacing/>
        <w:jc w:val="both"/>
        <w:rPr>
          <w:rFonts w:ascii="Abadi" w:hAnsi="Abadi" w:cs="ArialMT"/>
          <w:b/>
          <w:bCs/>
          <w:sz w:val="21"/>
          <w:szCs w:val="21"/>
        </w:rPr>
      </w:pPr>
    </w:p>
    <w:p w14:paraId="04A6F474" w14:textId="77777777" w:rsidR="003C0D7B" w:rsidRDefault="003C0D7B" w:rsidP="00B17643">
      <w:pPr>
        <w:autoSpaceDE w:val="0"/>
        <w:autoSpaceDN w:val="0"/>
        <w:adjustRightInd w:val="0"/>
        <w:contextualSpacing/>
        <w:jc w:val="both"/>
        <w:rPr>
          <w:rFonts w:ascii="Abadi" w:hAnsi="Abadi" w:cs="ArialMT"/>
          <w:b/>
          <w:bCs/>
          <w:sz w:val="21"/>
          <w:szCs w:val="21"/>
        </w:rPr>
      </w:pPr>
    </w:p>
    <w:p w14:paraId="254E244A"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Luis Ernesto Ayala Torres.</w:t>
      </w:r>
    </w:p>
    <w:p w14:paraId="41D2FEBA" w14:textId="77777777" w:rsidR="003C0D7B" w:rsidRPr="003C0D7B" w:rsidRDefault="003C0D7B" w:rsidP="003C0D7B">
      <w:pPr>
        <w:contextualSpacing/>
        <w:rPr>
          <w:rFonts w:ascii="Abadi" w:hAnsi="Abadi" w:cs="Arial"/>
          <w:b/>
          <w:bCs/>
          <w:sz w:val="21"/>
          <w:szCs w:val="21"/>
        </w:rPr>
      </w:pPr>
      <w:r w:rsidRPr="003C0D7B">
        <w:rPr>
          <w:rFonts w:ascii="Abadi" w:hAnsi="Abadi" w:cs="Arial"/>
          <w:b/>
          <w:bCs/>
          <w:sz w:val="21"/>
          <w:szCs w:val="21"/>
        </w:rPr>
        <w:t>Coordinador</w:t>
      </w:r>
    </w:p>
    <w:p w14:paraId="56830939"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Rolando Fortino Alcántar Rojas </w:t>
      </w:r>
    </w:p>
    <w:p w14:paraId="7C05BFDF"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Bricio Balderas Álvarez </w:t>
      </w:r>
    </w:p>
    <w:p w14:paraId="039ECAFF"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Susana Bermúdez Cano </w:t>
      </w:r>
    </w:p>
    <w:p w14:paraId="7DDE4B36"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José Alfonso Borja Pimentel </w:t>
      </w:r>
    </w:p>
    <w:p w14:paraId="53F847C2"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Angélica Casilla Martínez </w:t>
      </w:r>
    </w:p>
    <w:p w14:paraId="76E5C21A"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Martha Guadalupe Hernández Camarena </w:t>
      </w:r>
    </w:p>
    <w:p w14:paraId="67545D79"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María de la Luz Hernández Martínez </w:t>
      </w:r>
    </w:p>
    <w:p w14:paraId="2A92D8E1"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César Larrondo Díaz </w:t>
      </w:r>
    </w:p>
    <w:p w14:paraId="5E96F51F"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Martín López Camacho </w:t>
      </w:r>
    </w:p>
    <w:p w14:paraId="604687BE"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Briseida Anabel Magdaleno González </w:t>
      </w:r>
    </w:p>
    <w:p w14:paraId="0CD269EE"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Laura Cristina Márquez Alcalá </w:t>
      </w:r>
    </w:p>
    <w:p w14:paraId="7F368422"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Dp</w:t>
      </w:r>
      <w:proofErr w:type="spellEnd"/>
      <w:r w:rsidRPr="003C0D7B">
        <w:rPr>
          <w:rFonts w:ascii="Abadi" w:hAnsi="Abadi" w:cs="Arial"/>
          <w:b/>
          <w:bCs/>
          <w:sz w:val="21"/>
          <w:szCs w:val="21"/>
        </w:rPr>
        <w:t xml:space="preserve">. Aldo Iván Márquez Becerra </w:t>
      </w:r>
    </w:p>
    <w:p w14:paraId="697800CA"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Noemí Márquez </w:t>
      </w:r>
      <w:proofErr w:type="spellStart"/>
      <w:r w:rsidRPr="003C0D7B">
        <w:rPr>
          <w:rFonts w:ascii="Abadi" w:hAnsi="Abadi" w:cs="Arial"/>
          <w:b/>
          <w:bCs/>
          <w:sz w:val="21"/>
          <w:szCs w:val="21"/>
        </w:rPr>
        <w:t>Márquez</w:t>
      </w:r>
      <w:proofErr w:type="spellEnd"/>
      <w:r w:rsidRPr="003C0D7B">
        <w:rPr>
          <w:rFonts w:ascii="Abadi" w:hAnsi="Abadi" w:cs="Arial"/>
          <w:b/>
          <w:bCs/>
          <w:sz w:val="21"/>
          <w:szCs w:val="21"/>
        </w:rPr>
        <w:t xml:space="preserve"> </w:t>
      </w:r>
    </w:p>
    <w:p w14:paraId="3BC329B6"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Janet Melanie Murillo Chávez </w:t>
      </w:r>
    </w:p>
    <w:p w14:paraId="49240D46"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Jorge Ortiz Ortega </w:t>
      </w:r>
    </w:p>
    <w:p w14:paraId="071E0E53"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Armando Daniel Hernández </w:t>
      </w:r>
    </w:p>
    <w:p w14:paraId="27183C1A"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Lilia </w:t>
      </w:r>
      <w:proofErr w:type="gramStart"/>
      <w:r w:rsidRPr="003C0D7B">
        <w:rPr>
          <w:rFonts w:ascii="Abadi" w:hAnsi="Abadi" w:cs="Arial"/>
          <w:b/>
          <w:bCs/>
          <w:sz w:val="21"/>
          <w:szCs w:val="21"/>
        </w:rPr>
        <w:t>Margarita  Rionda</w:t>
      </w:r>
      <w:proofErr w:type="gramEnd"/>
      <w:r w:rsidRPr="003C0D7B">
        <w:rPr>
          <w:rFonts w:ascii="Abadi" w:hAnsi="Abadi" w:cs="Arial"/>
          <w:b/>
          <w:bCs/>
          <w:sz w:val="21"/>
          <w:szCs w:val="21"/>
        </w:rPr>
        <w:t xml:space="preserve"> Salas </w:t>
      </w:r>
    </w:p>
    <w:p w14:paraId="67C682E4"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Miguel </w:t>
      </w:r>
      <w:proofErr w:type="gramStart"/>
      <w:r w:rsidRPr="003C0D7B">
        <w:rPr>
          <w:rFonts w:ascii="Abadi" w:hAnsi="Abadi" w:cs="Arial"/>
          <w:b/>
          <w:bCs/>
          <w:sz w:val="21"/>
          <w:szCs w:val="21"/>
        </w:rPr>
        <w:t>Ángel  Salim</w:t>
      </w:r>
      <w:proofErr w:type="gramEnd"/>
      <w:r w:rsidRPr="003C0D7B">
        <w:rPr>
          <w:rFonts w:ascii="Abadi" w:hAnsi="Abadi" w:cs="Arial"/>
          <w:b/>
          <w:bCs/>
          <w:sz w:val="21"/>
          <w:szCs w:val="21"/>
        </w:rPr>
        <w:t xml:space="preserve"> </w:t>
      </w:r>
      <w:proofErr w:type="spellStart"/>
      <w:r w:rsidRPr="003C0D7B">
        <w:rPr>
          <w:rFonts w:ascii="Abadi" w:hAnsi="Abadi" w:cs="Arial"/>
          <w:b/>
          <w:bCs/>
          <w:sz w:val="21"/>
          <w:szCs w:val="21"/>
        </w:rPr>
        <w:t>Alle</w:t>
      </w:r>
      <w:proofErr w:type="spellEnd"/>
      <w:r w:rsidRPr="003C0D7B">
        <w:rPr>
          <w:rFonts w:ascii="Abadi" w:hAnsi="Abadi" w:cs="Arial"/>
          <w:b/>
          <w:bCs/>
          <w:sz w:val="21"/>
          <w:szCs w:val="21"/>
        </w:rPr>
        <w:t xml:space="preserve"> </w:t>
      </w:r>
    </w:p>
    <w:p w14:paraId="45984FAD"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Katya Cristina   Soto Escamilla                                 </w:t>
      </w:r>
    </w:p>
    <w:p w14:paraId="7F357A6F" w14:textId="77777777" w:rsidR="003C0D7B" w:rsidRPr="003C0D7B" w:rsidRDefault="003C0D7B" w:rsidP="003C0D7B">
      <w:pPr>
        <w:contextualSpacing/>
        <w:rPr>
          <w:rFonts w:ascii="Abadi" w:hAnsi="Abadi" w:cs="Arial"/>
          <w:b/>
          <w:bCs/>
          <w:sz w:val="21"/>
          <w:szCs w:val="21"/>
        </w:rPr>
      </w:pPr>
      <w:proofErr w:type="spellStart"/>
      <w:r w:rsidRPr="003C0D7B">
        <w:rPr>
          <w:rFonts w:ascii="Abadi" w:hAnsi="Abadi" w:cs="Arial"/>
          <w:b/>
          <w:bCs/>
          <w:sz w:val="21"/>
          <w:szCs w:val="21"/>
        </w:rPr>
        <w:t>Dip</w:t>
      </w:r>
      <w:proofErr w:type="spellEnd"/>
      <w:r w:rsidRPr="003C0D7B">
        <w:rPr>
          <w:rFonts w:ascii="Abadi" w:hAnsi="Abadi" w:cs="Arial"/>
          <w:b/>
          <w:bCs/>
          <w:sz w:val="21"/>
          <w:szCs w:val="21"/>
        </w:rPr>
        <w:t xml:space="preserve">. Víctor Manuel Zanella Huerta </w:t>
      </w:r>
    </w:p>
    <w:p w14:paraId="6194D221" w14:textId="77777777" w:rsidR="003C0D7B" w:rsidRPr="00B17643" w:rsidRDefault="003C0D7B" w:rsidP="00B17643">
      <w:pPr>
        <w:autoSpaceDE w:val="0"/>
        <w:autoSpaceDN w:val="0"/>
        <w:adjustRightInd w:val="0"/>
        <w:contextualSpacing/>
        <w:jc w:val="both"/>
        <w:rPr>
          <w:rFonts w:ascii="Abadi" w:hAnsi="Abadi" w:cs="ArialMT"/>
          <w:b/>
          <w:bCs/>
          <w:sz w:val="21"/>
          <w:szCs w:val="21"/>
        </w:rPr>
      </w:pPr>
    </w:p>
    <w:p w14:paraId="38B03C7E" w14:textId="77777777" w:rsidR="00374533" w:rsidRDefault="00374533" w:rsidP="00374533">
      <w:pPr>
        <w:autoSpaceDE w:val="0"/>
        <w:autoSpaceDN w:val="0"/>
        <w:adjustRightInd w:val="0"/>
        <w:jc w:val="both"/>
        <w:rPr>
          <w:rFonts w:ascii="Abadi" w:hAnsi="Abadi" w:cs="ArialMT"/>
          <w:b/>
          <w:bCs/>
          <w:sz w:val="21"/>
          <w:szCs w:val="21"/>
        </w:rPr>
      </w:pPr>
    </w:p>
    <w:p w14:paraId="70748024" w14:textId="25614AF2" w:rsidR="0066698E" w:rsidRDefault="0066698E" w:rsidP="0066698E">
      <w:pPr>
        <w:jc w:val="both"/>
        <w:rPr>
          <w:rFonts w:ascii="Abadi" w:hAnsi="Abadi"/>
          <w:b/>
          <w:bCs/>
          <w:sz w:val="21"/>
          <w:szCs w:val="21"/>
        </w:rPr>
      </w:pPr>
      <w:r>
        <w:rPr>
          <w:rFonts w:ascii="Abadi" w:hAnsi="Abadi"/>
          <w:b/>
          <w:bCs/>
          <w:sz w:val="21"/>
          <w:szCs w:val="21"/>
        </w:rPr>
        <w:tab/>
      </w: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Enseguida se piden al diputado César Larrondo Díaz dar lectura a la exposición de motivos de la iniciativa relativa al punto cuarto del orden del día. </w:t>
      </w:r>
      <w:r w:rsidRPr="0030088F">
        <w:rPr>
          <w:rFonts w:ascii="Abadi" w:hAnsi="Abadi"/>
          <w:b/>
          <w:bCs/>
          <w:sz w:val="21"/>
          <w:szCs w:val="21"/>
        </w:rPr>
        <w:t>(ELD 530/LXV-I)</w:t>
      </w:r>
    </w:p>
    <w:p w14:paraId="244F7A99" w14:textId="77777777" w:rsidR="0066698E" w:rsidRPr="0030088F" w:rsidRDefault="0066698E" w:rsidP="0066698E">
      <w:pPr>
        <w:jc w:val="both"/>
        <w:rPr>
          <w:rFonts w:ascii="Abadi" w:hAnsi="Abadi"/>
          <w:b/>
          <w:bCs/>
          <w:sz w:val="21"/>
          <w:szCs w:val="21"/>
        </w:rPr>
      </w:pPr>
    </w:p>
    <w:p w14:paraId="4064D35F" w14:textId="77777777" w:rsidR="0066698E" w:rsidRDefault="0066698E" w:rsidP="0066698E">
      <w:pPr>
        <w:jc w:val="both"/>
        <w:rPr>
          <w:rFonts w:ascii="Abadi" w:hAnsi="Abadi"/>
          <w:sz w:val="21"/>
          <w:szCs w:val="21"/>
        </w:rPr>
      </w:pPr>
      <w:r w:rsidRPr="0030088F">
        <w:rPr>
          <w:rFonts w:ascii="Abadi" w:hAnsi="Abadi"/>
          <w:sz w:val="21"/>
          <w:szCs w:val="21"/>
        </w:rPr>
        <w:tab/>
        <w:t>- Adelante diputado.</w:t>
      </w:r>
    </w:p>
    <w:p w14:paraId="7667F7BB" w14:textId="77777777" w:rsidR="0066698E" w:rsidRPr="0030088F" w:rsidRDefault="0066698E" w:rsidP="0066698E">
      <w:pPr>
        <w:jc w:val="both"/>
        <w:rPr>
          <w:rFonts w:ascii="Abadi" w:hAnsi="Abadi"/>
          <w:sz w:val="21"/>
          <w:szCs w:val="21"/>
        </w:rPr>
      </w:pPr>
    </w:p>
    <w:p w14:paraId="770DCBBC" w14:textId="77777777" w:rsidR="0066698E" w:rsidRPr="0030088F" w:rsidRDefault="0066698E" w:rsidP="0066698E">
      <w:pPr>
        <w:jc w:val="both"/>
        <w:rPr>
          <w:rFonts w:ascii="Abadi" w:hAnsi="Abadi"/>
          <w:b/>
          <w:bCs/>
          <w:sz w:val="21"/>
          <w:szCs w:val="21"/>
        </w:rPr>
      </w:pPr>
      <w:r w:rsidRPr="0030088F">
        <w:rPr>
          <w:rFonts w:ascii="Abadi" w:hAnsi="Abadi"/>
          <w:b/>
          <w:bCs/>
          <w:sz w:val="21"/>
          <w:szCs w:val="21"/>
        </w:rPr>
        <w:t>(Sube a tribuna el diputado César Larrondo Díaz dar lectura a la exposición de motivos de la iniciativa en referencia)</w:t>
      </w:r>
    </w:p>
    <w:p w14:paraId="674DDE89" w14:textId="77777777" w:rsidR="0066698E" w:rsidRPr="0030088F" w:rsidRDefault="0066698E" w:rsidP="0066698E">
      <w:pPr>
        <w:jc w:val="both"/>
        <w:rPr>
          <w:rFonts w:ascii="Abadi" w:hAnsi="Abadi"/>
          <w:sz w:val="21"/>
          <w:szCs w:val="21"/>
        </w:rPr>
      </w:pPr>
    </w:p>
    <w:p w14:paraId="315F15B2" w14:textId="77777777" w:rsidR="0066698E" w:rsidRPr="0030088F" w:rsidRDefault="0066698E" w:rsidP="0066698E">
      <w:pPr>
        <w:jc w:val="both"/>
        <w:rPr>
          <w:rFonts w:ascii="Abadi" w:hAnsi="Abadi"/>
          <w:sz w:val="21"/>
          <w:szCs w:val="21"/>
        </w:rPr>
      </w:pPr>
      <w:r w:rsidRPr="0030088F">
        <w:rPr>
          <w:rFonts w:ascii="Abadi" w:hAnsi="Abadi"/>
          <w:noProof/>
          <w:sz w:val="21"/>
          <w:szCs w:val="21"/>
        </w:rPr>
        <w:drawing>
          <wp:anchor distT="0" distB="0" distL="114300" distR="114300" simplePos="0" relativeHeight="251658247" behindDoc="1" locked="0" layoutInCell="1" allowOverlap="1" wp14:anchorId="30C63E8B" wp14:editId="26EBB324">
            <wp:simplePos x="0" y="0"/>
            <wp:positionH relativeFrom="column">
              <wp:posOffset>452755</wp:posOffset>
            </wp:positionH>
            <wp:positionV relativeFrom="paragraph">
              <wp:posOffset>438150</wp:posOffset>
            </wp:positionV>
            <wp:extent cx="1644650" cy="870585"/>
            <wp:effectExtent l="247650" t="228600" r="241300" b="824865"/>
            <wp:wrapTight wrapText="bothSides">
              <wp:wrapPolygon edited="0">
                <wp:start x="-3253" y="-5672"/>
                <wp:lineTo x="-3253" y="41593"/>
                <wp:lineTo x="24519" y="41593"/>
                <wp:lineTo x="24519" y="-5672"/>
                <wp:lineTo x="-3253" y="-5672"/>
              </wp:wrapPolygon>
            </wp:wrapTight>
            <wp:docPr id="395515459" name="Imagen 395515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515459" name=""/>
                    <pic:cNvPicPr/>
                  </pic:nvPicPr>
                  <pic:blipFill rotWithShape="1">
                    <a:blip r:embed="rId20" cstate="print">
                      <a:extLst>
                        <a:ext uri="{28A0092B-C50C-407E-A947-70E740481C1C}">
                          <a14:useLocalDpi xmlns:a14="http://schemas.microsoft.com/office/drawing/2010/main" val="0"/>
                        </a:ext>
                      </a:extLst>
                    </a:blip>
                    <a:srcRect b="5854"/>
                    <a:stretch/>
                  </pic:blipFill>
                  <pic:spPr bwMode="auto">
                    <a:xfrm>
                      <a:off x="0" y="0"/>
                      <a:ext cx="1644650" cy="8705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7D02508" w14:textId="77777777" w:rsidR="0066698E" w:rsidRPr="0030088F" w:rsidRDefault="0066698E" w:rsidP="0066698E">
      <w:pPr>
        <w:jc w:val="center"/>
        <w:rPr>
          <w:rFonts w:ascii="Abadi" w:hAnsi="Abadi"/>
          <w:b/>
          <w:bCs/>
          <w:sz w:val="21"/>
          <w:szCs w:val="21"/>
        </w:rPr>
      </w:pPr>
      <w:r w:rsidRPr="0030088F">
        <w:rPr>
          <w:rFonts w:ascii="Abadi" w:hAnsi="Abadi"/>
          <w:b/>
          <w:bCs/>
          <w:sz w:val="21"/>
          <w:szCs w:val="21"/>
        </w:rPr>
        <w:t>Diputado César Larrondo Díaz</w:t>
      </w:r>
    </w:p>
    <w:p w14:paraId="772975CD" w14:textId="77777777" w:rsidR="0066698E" w:rsidRPr="0030088F" w:rsidRDefault="0066698E" w:rsidP="0066698E">
      <w:pPr>
        <w:jc w:val="both"/>
        <w:rPr>
          <w:rFonts w:ascii="Abadi" w:hAnsi="Abadi"/>
          <w:sz w:val="21"/>
          <w:szCs w:val="21"/>
        </w:rPr>
      </w:pPr>
    </w:p>
    <w:p w14:paraId="0C9927C5" w14:textId="77777777" w:rsidR="0066698E" w:rsidRDefault="0066698E" w:rsidP="0066698E">
      <w:pPr>
        <w:jc w:val="both"/>
        <w:rPr>
          <w:rFonts w:ascii="Abadi" w:hAnsi="Abadi"/>
          <w:sz w:val="21"/>
          <w:szCs w:val="21"/>
        </w:rPr>
      </w:pPr>
      <w:r w:rsidRPr="0030088F">
        <w:rPr>
          <w:rFonts w:ascii="Abadi" w:hAnsi="Abadi"/>
          <w:sz w:val="21"/>
          <w:szCs w:val="21"/>
        </w:rPr>
        <w:t>- Muy buenos días con su permiso de la presidenta y de su Mesa Directiva de mis compañeros y compañeras diputadas aquí presentes saludo con mucho gusto a los medios de comunicación que hoy se encuentran aquí, a la ciudadanía que nos acompaña en este recinto y a quienes nos siguen mediante la transmisión virtual y en especial pues hoy quiero agradecer y dar la bienvenida a la escuela primaria Sor Juana Inés de la Cruz del municipio de Coroneo muchas gracias bienvenidos aquí a su casa legislativa a cada una y uno de ustedes</w:t>
      </w:r>
      <w:r>
        <w:rPr>
          <w:rFonts w:ascii="Abadi" w:hAnsi="Abadi"/>
          <w:sz w:val="21"/>
          <w:szCs w:val="21"/>
        </w:rPr>
        <w:t xml:space="preserve">. </w:t>
      </w:r>
    </w:p>
    <w:p w14:paraId="32DB2DDF" w14:textId="77777777" w:rsidR="0066698E" w:rsidRPr="0030088F" w:rsidRDefault="0066698E" w:rsidP="0066698E">
      <w:pPr>
        <w:jc w:val="both"/>
        <w:rPr>
          <w:rFonts w:ascii="Abadi" w:hAnsi="Abadi"/>
          <w:sz w:val="21"/>
          <w:szCs w:val="21"/>
        </w:rPr>
      </w:pPr>
    </w:p>
    <w:p w14:paraId="6A97726D" w14:textId="77777777" w:rsidR="0066698E" w:rsidRDefault="0066698E" w:rsidP="0066698E">
      <w:pPr>
        <w:jc w:val="both"/>
        <w:rPr>
          <w:rFonts w:ascii="Abadi" w:hAnsi="Abadi"/>
          <w:sz w:val="21"/>
          <w:szCs w:val="21"/>
        </w:rPr>
      </w:pPr>
      <w:r w:rsidRPr="0030088F">
        <w:rPr>
          <w:rFonts w:ascii="Abadi" w:hAnsi="Abadi"/>
          <w:sz w:val="21"/>
          <w:szCs w:val="21"/>
        </w:rPr>
        <w:t xml:space="preserve">- También quiero aprovechar porque yo no sé si el próximo jueves vaya yo a subir aquí pero quiero agradecerle a esta Mesa Directiva y decirle que mi reconocimiento por el trabajo que se llevó a cabo en este periodo ¡muchas </w:t>
      </w:r>
      <w:r w:rsidRPr="0030088F">
        <w:rPr>
          <w:rFonts w:ascii="Abadi" w:hAnsi="Abadi"/>
          <w:sz w:val="21"/>
          <w:szCs w:val="21"/>
        </w:rPr>
        <w:lastRenderedPageBreak/>
        <w:t>felicidades! muchas gracias, así como a todos los que ayudan a que esto se lleve ¿vuelvo a subir el jueves? -órale pues, el jueves subo otra vez- pero por si acaso, no verdad, que no sabe uno, este entonces pues de verdad gracias ¡felicidades presidenta! eh, la salud pública veterinaria es un término que empleó la organización mundial de la salud por primera vez en 1946 en el contexto de la protección y mejora de la salud humana, por consiguiente,  la fundación de la primera escuela veterinaria en México fue en el año 1853 y con ello los veterinarios formaron un papel fundamental con el bienestar del hombre y los animales, bajo este precepto los problemas sanitarios no deben ser hechos aislados, la medicina veterinaria contribuye en garantizar la salud pública en atención y prevención de enfermedades son óticas de su origen como la brucelosis, tuberculosis, la rabia, o parasitosis entre otras más, que pueden acabar enfermando al ser humano.</w:t>
      </w:r>
    </w:p>
    <w:p w14:paraId="2B047EA0" w14:textId="77777777" w:rsidR="0066698E" w:rsidRPr="0030088F" w:rsidRDefault="0066698E" w:rsidP="0066698E">
      <w:pPr>
        <w:jc w:val="both"/>
        <w:rPr>
          <w:rFonts w:ascii="Abadi" w:hAnsi="Abadi"/>
          <w:sz w:val="21"/>
          <w:szCs w:val="21"/>
        </w:rPr>
      </w:pPr>
    </w:p>
    <w:p w14:paraId="4F0DB2D6" w14:textId="77777777" w:rsidR="0066698E" w:rsidRDefault="0066698E" w:rsidP="0066698E">
      <w:pPr>
        <w:jc w:val="both"/>
        <w:rPr>
          <w:rFonts w:ascii="Abadi" w:hAnsi="Abadi"/>
          <w:sz w:val="21"/>
          <w:szCs w:val="21"/>
        </w:rPr>
      </w:pPr>
      <w:r w:rsidRPr="0030088F">
        <w:rPr>
          <w:rFonts w:ascii="Abadi" w:hAnsi="Abadi"/>
          <w:sz w:val="21"/>
          <w:szCs w:val="21"/>
        </w:rPr>
        <w:t xml:space="preserve">- Por ello la veterinaria, presenta un papel importante para las sociedades ante los patógenos que representan riesgos globales para la salud pública siendo de prevención la salud animal con la veterinaria, por otra parte en la actualidad las mascotas son parte fundamental de la mayoría de los hogares en el mundo, los animales han llegado a ocupar un lugar muy especial debido a que una de las tendencias en México en tiempos de COVID 19, fue el incremento de mascotas en los hogares el Instituto Nacional de Estadística y Geografía por sus siglas el INEGI, señala que en el 2021 por cada 100 hogares 57 contaban con una mascota generando entonces una proporcionalidad de 80  millones de animales domésticos, 143.8 millones caninos, 16.2 millones felinos y 20 millones de variedad, miscelánea son entonces 25 millones de hogares en México que cuentan con al menos 1 mascota, por ello los actores para proteger la vida y garantizar su bienestar así como el trato digno y respetuoso en materia ambiental depende de las participaciones de todas las instancias como la pública, la privada, la sociedad, la científica, la ecológica y cultural. </w:t>
      </w:r>
    </w:p>
    <w:p w14:paraId="4180C4FB" w14:textId="77777777" w:rsidR="0066698E" w:rsidRPr="0030088F" w:rsidRDefault="0066698E" w:rsidP="0066698E">
      <w:pPr>
        <w:jc w:val="both"/>
        <w:rPr>
          <w:rFonts w:ascii="Abadi" w:hAnsi="Abadi"/>
          <w:sz w:val="21"/>
          <w:szCs w:val="21"/>
        </w:rPr>
      </w:pPr>
    </w:p>
    <w:p w14:paraId="5B92A384" w14:textId="77777777" w:rsidR="0066698E" w:rsidRDefault="0066698E" w:rsidP="0066698E">
      <w:pPr>
        <w:jc w:val="both"/>
        <w:rPr>
          <w:rFonts w:ascii="Abadi" w:hAnsi="Abadi"/>
          <w:sz w:val="21"/>
          <w:szCs w:val="21"/>
        </w:rPr>
      </w:pPr>
      <w:r w:rsidRPr="0030088F">
        <w:rPr>
          <w:rFonts w:ascii="Abadi" w:hAnsi="Abadi"/>
          <w:sz w:val="21"/>
          <w:szCs w:val="21"/>
        </w:rPr>
        <w:t xml:space="preserve">- Debido a que uno de los factores que incrementa el abandono de los animales domésticos es la desinformación y el gasto económico que implican los ciudadanos de la salud los cuidados de la salud de las mascotas </w:t>
      </w:r>
      <w:r w:rsidRPr="0030088F">
        <w:rPr>
          <w:rFonts w:ascii="Abadi" w:hAnsi="Abadi"/>
          <w:sz w:val="21"/>
          <w:szCs w:val="21"/>
        </w:rPr>
        <w:t>de acuerdo con el INEGI, por el 2020, en nuestro país ya existían alrededor de 23 millones de perros y gatos en abandono porque tener en posesión a una mascota implica una tenencia de 15 años a 25 años de algunos hasta 30 años en atención a alimentación y cuidados de salud.</w:t>
      </w:r>
    </w:p>
    <w:p w14:paraId="08492C37" w14:textId="77777777" w:rsidR="0066698E" w:rsidRPr="0030088F" w:rsidRDefault="0066698E" w:rsidP="0066698E">
      <w:pPr>
        <w:jc w:val="both"/>
        <w:rPr>
          <w:rFonts w:ascii="Abadi" w:hAnsi="Abadi"/>
          <w:sz w:val="21"/>
          <w:szCs w:val="21"/>
        </w:rPr>
      </w:pPr>
    </w:p>
    <w:p w14:paraId="2397EEC0" w14:textId="77777777" w:rsidR="0066698E" w:rsidRDefault="0066698E" w:rsidP="0066698E">
      <w:pPr>
        <w:jc w:val="both"/>
        <w:rPr>
          <w:rFonts w:ascii="Abadi" w:hAnsi="Abadi"/>
          <w:sz w:val="21"/>
          <w:szCs w:val="21"/>
        </w:rPr>
      </w:pPr>
      <w:r w:rsidRPr="0030088F">
        <w:rPr>
          <w:rFonts w:ascii="Abadi" w:hAnsi="Abadi"/>
          <w:sz w:val="21"/>
          <w:szCs w:val="21"/>
        </w:rPr>
        <w:t>- Creo que es importante hacer mención y pues sí, pedir a todas y a todos los ciudadanos que adquieren una mascota debemos de ser conscientes, de que es, para tenerla, cuidarla y protegerla,  no es un tema de que cuando ya me cansé, que ya se orinó mucho, que ya no lo aguanto, que chilla mucho, pues tenemos que echarlo fuera y lo tenemos que decir, ya no lo quiero, yo creo que bueno aquí está “Bruno” que nos lo trajeron hace unos días ¡verdad! entonces pues con la responsabilidad de aguantarnos, un animal dependiendo el que se adquiera pues tiene un ciclo de vida y hay que aguantarnos hasta que eso se cumpla, además se ayudan mucho para otras cosas.</w:t>
      </w:r>
    </w:p>
    <w:p w14:paraId="6B43D295" w14:textId="77777777" w:rsidR="0066698E" w:rsidRPr="0030088F" w:rsidRDefault="0066698E" w:rsidP="0066698E">
      <w:pPr>
        <w:jc w:val="both"/>
        <w:rPr>
          <w:rFonts w:ascii="Abadi" w:hAnsi="Abadi"/>
          <w:sz w:val="21"/>
          <w:szCs w:val="21"/>
        </w:rPr>
      </w:pPr>
    </w:p>
    <w:p w14:paraId="16AEEF87" w14:textId="77777777" w:rsidR="0066698E" w:rsidRDefault="0066698E" w:rsidP="0066698E">
      <w:pPr>
        <w:jc w:val="both"/>
        <w:rPr>
          <w:rFonts w:ascii="Abadi" w:hAnsi="Abadi"/>
          <w:sz w:val="21"/>
          <w:szCs w:val="21"/>
        </w:rPr>
      </w:pPr>
      <w:r w:rsidRPr="0030088F">
        <w:rPr>
          <w:rFonts w:ascii="Abadi" w:hAnsi="Abadi"/>
          <w:sz w:val="21"/>
          <w:szCs w:val="21"/>
        </w:rPr>
        <w:t xml:space="preserve">- Por lo tanto contar con una clínica veterinaria pública en los ayuntamientos o en los municipios creará atenciones oportunas en los animales de compañía y a los que se encuentran en situación de abandono a esos seres sintientes que merecen un trato digno y una atención médica de calidad así lo señala la proclamación de la declaración universal de los derechos humanos de los animales aprobada por la UNESCO y por la ONU compuesta por 14 artículos enfocados en proteger la vida digna y la integridad estableciendo que los animales poseen derechos y merecen un respeto equiparable al que existe entre las personas; y que cito. </w:t>
      </w:r>
    </w:p>
    <w:p w14:paraId="3AAB58CF" w14:textId="77777777" w:rsidR="0066698E" w:rsidRPr="0030088F" w:rsidRDefault="0066698E" w:rsidP="0066698E">
      <w:pPr>
        <w:jc w:val="both"/>
        <w:rPr>
          <w:rFonts w:ascii="Abadi" w:hAnsi="Abadi"/>
          <w:sz w:val="21"/>
          <w:szCs w:val="21"/>
        </w:rPr>
      </w:pPr>
    </w:p>
    <w:p w14:paraId="5027D539" w14:textId="77777777" w:rsidR="0066698E" w:rsidRDefault="0066698E" w:rsidP="0066698E">
      <w:pPr>
        <w:jc w:val="both"/>
        <w:rPr>
          <w:rFonts w:ascii="Abadi" w:hAnsi="Abadi"/>
          <w:sz w:val="21"/>
          <w:szCs w:val="21"/>
        </w:rPr>
      </w:pPr>
      <w:r w:rsidRPr="0030088F">
        <w:rPr>
          <w:rFonts w:ascii="Abadi" w:hAnsi="Abadi"/>
          <w:sz w:val="21"/>
          <w:szCs w:val="21"/>
        </w:rPr>
        <w:t>- Artículo número 1, todos los animales nacen iguales ante la vida y tienen derecho a la existencia.</w:t>
      </w:r>
    </w:p>
    <w:p w14:paraId="33D8007B" w14:textId="77777777" w:rsidR="0066698E" w:rsidRPr="0030088F" w:rsidRDefault="0066698E" w:rsidP="0066698E">
      <w:pPr>
        <w:jc w:val="both"/>
        <w:rPr>
          <w:rFonts w:ascii="Abadi" w:hAnsi="Abadi"/>
          <w:sz w:val="21"/>
          <w:szCs w:val="21"/>
        </w:rPr>
      </w:pPr>
    </w:p>
    <w:p w14:paraId="232BDAFA" w14:textId="77777777" w:rsidR="0066698E" w:rsidRDefault="0066698E" w:rsidP="0066698E">
      <w:pPr>
        <w:jc w:val="both"/>
        <w:rPr>
          <w:rFonts w:ascii="Abadi" w:hAnsi="Abadi"/>
          <w:sz w:val="21"/>
          <w:szCs w:val="21"/>
        </w:rPr>
      </w:pPr>
      <w:r w:rsidRPr="0030088F">
        <w:rPr>
          <w:rFonts w:ascii="Abadi" w:hAnsi="Abadi"/>
          <w:sz w:val="21"/>
          <w:szCs w:val="21"/>
        </w:rPr>
        <w:t>- Artículo número 2, todos los animales tienen derecho a la atención a los cuidados y a la protección del hombre.</w:t>
      </w:r>
    </w:p>
    <w:p w14:paraId="45505F2A" w14:textId="77777777" w:rsidR="0066698E" w:rsidRPr="0030088F" w:rsidRDefault="0066698E" w:rsidP="0066698E">
      <w:pPr>
        <w:jc w:val="both"/>
        <w:rPr>
          <w:rFonts w:ascii="Abadi" w:hAnsi="Abadi"/>
          <w:sz w:val="21"/>
          <w:szCs w:val="21"/>
        </w:rPr>
      </w:pPr>
    </w:p>
    <w:p w14:paraId="647C788B" w14:textId="77777777" w:rsidR="0066698E" w:rsidRPr="0030088F" w:rsidRDefault="0066698E" w:rsidP="0066698E">
      <w:pPr>
        <w:jc w:val="both"/>
        <w:rPr>
          <w:rFonts w:ascii="Abadi" w:hAnsi="Abadi"/>
          <w:sz w:val="21"/>
          <w:szCs w:val="21"/>
        </w:rPr>
      </w:pPr>
      <w:r w:rsidRPr="0030088F">
        <w:rPr>
          <w:rFonts w:ascii="Abadi" w:hAnsi="Abadi"/>
          <w:sz w:val="21"/>
          <w:szCs w:val="21"/>
        </w:rPr>
        <w:t xml:space="preserve">- Artículo número 14, los organismos de protección y salvaguarda de los animales deben ser representados a nivel gubernamental, bajo estos preceptos es claro que debemos proteger y salvaguardar los animales sintientes dirigir esfuerzos económicos y sociales aplicados los derechos de los animales para garantizar su bienestar </w:t>
      </w:r>
      <w:r w:rsidRPr="0030088F">
        <w:rPr>
          <w:rFonts w:ascii="Abadi" w:hAnsi="Abadi"/>
          <w:sz w:val="21"/>
          <w:szCs w:val="21"/>
        </w:rPr>
        <w:lastRenderedPageBreak/>
        <w:t>animales que son considerados parte de la familia, con la colaboración de los ayuntamientos y los municipios y administraciones en la creación de clínicas veterinarias públicas podremos garantizar una atención en salud y cuidados así como una concientización en la tenencia que tanta falta hace -aquí recuerdo que me decía un compañero diputado a veces hacemos leyes pero no les mandamos dinero a los municipios- cuando se hacen leyes, pues está la Ley de Seguridad Pública y tenemos cuerpos de seguridad y tenemos este los cuarteles o lo, el área donde está la seguridad pública, o los hospitales, pues tampoco se les manda dinero, ahí es la habilidad de cada ayuntamiento y presidente municipal que deba tener para gestionar los recursos tanto públicos y privados que para estos casos hay inclusive privados para que puedan entonces acceder a ellos y puedan hacer esas clínicas veterinarias o esas veterinarias en cada uno de sus municipios.</w:t>
      </w:r>
    </w:p>
    <w:p w14:paraId="16295087" w14:textId="77777777" w:rsidR="0066698E" w:rsidRDefault="0066698E" w:rsidP="0066698E">
      <w:pPr>
        <w:jc w:val="both"/>
        <w:rPr>
          <w:rFonts w:ascii="Abadi" w:hAnsi="Abadi"/>
          <w:sz w:val="21"/>
          <w:szCs w:val="21"/>
        </w:rPr>
      </w:pPr>
      <w:r w:rsidRPr="0030088F">
        <w:rPr>
          <w:rFonts w:ascii="Abadi" w:hAnsi="Abadi"/>
          <w:sz w:val="21"/>
          <w:szCs w:val="21"/>
        </w:rPr>
        <w:t>- Ahí anda mi diputado que me decía esto ¡verdad! -pero esa es la idea diputado- que gestionen, para eso votan por ellos además son tiempos electorales ya próximos que algunos se comprometan a ser a lo mejor estas veterinarias, a lo mejor tienen más votos ¿verdad? coordinador, bueno seguimos pues.</w:t>
      </w:r>
    </w:p>
    <w:p w14:paraId="7C059D09" w14:textId="77777777" w:rsidR="0066698E" w:rsidRPr="0030088F" w:rsidRDefault="0066698E" w:rsidP="0066698E">
      <w:pPr>
        <w:jc w:val="both"/>
        <w:rPr>
          <w:rFonts w:ascii="Abadi" w:hAnsi="Abadi"/>
          <w:sz w:val="21"/>
          <w:szCs w:val="21"/>
        </w:rPr>
      </w:pPr>
    </w:p>
    <w:p w14:paraId="4A031153" w14:textId="77777777" w:rsidR="0066698E" w:rsidRDefault="0066698E" w:rsidP="0066698E">
      <w:pPr>
        <w:jc w:val="both"/>
        <w:rPr>
          <w:rFonts w:ascii="Abadi" w:hAnsi="Abadi"/>
          <w:sz w:val="21"/>
          <w:szCs w:val="21"/>
        </w:rPr>
      </w:pPr>
      <w:r w:rsidRPr="0030088F">
        <w:rPr>
          <w:rFonts w:ascii="Abadi" w:hAnsi="Abadi"/>
          <w:sz w:val="21"/>
          <w:szCs w:val="21"/>
        </w:rPr>
        <w:t>- Además estaría haciendo justicia social para los animales y dichas acciones forjar la información o la formación cívica de los seres humanos, al hablar de una sociedad, justa nos referimos a todo el universo de seres vivos que habitan en nuestro “Planeta Tierra” por lo tanto ser justos es reconocer los derechos de los que no pueden defenderse por sí mismos, la justicia social está basada en el derecho de la necesidad y protección tiene su fundamento en la comunidad en la paz social y en lo global las relaciones entre seres vivos.</w:t>
      </w:r>
    </w:p>
    <w:p w14:paraId="2D3DF9CD" w14:textId="77777777" w:rsidR="0066698E" w:rsidRPr="0030088F" w:rsidRDefault="0066698E" w:rsidP="0066698E">
      <w:pPr>
        <w:jc w:val="both"/>
        <w:rPr>
          <w:rFonts w:ascii="Abadi" w:hAnsi="Abadi"/>
          <w:sz w:val="21"/>
          <w:szCs w:val="21"/>
        </w:rPr>
      </w:pPr>
    </w:p>
    <w:p w14:paraId="72BC8586" w14:textId="77777777" w:rsidR="0066698E" w:rsidRDefault="0066698E" w:rsidP="0066698E">
      <w:pPr>
        <w:jc w:val="both"/>
        <w:rPr>
          <w:rFonts w:ascii="Abadi" w:hAnsi="Abadi"/>
          <w:sz w:val="21"/>
          <w:szCs w:val="21"/>
        </w:rPr>
      </w:pPr>
      <w:r w:rsidRPr="0030088F">
        <w:rPr>
          <w:rFonts w:ascii="Abadi" w:hAnsi="Abadi"/>
          <w:sz w:val="21"/>
          <w:szCs w:val="21"/>
        </w:rPr>
        <w:t xml:space="preserve">- La nueva era de lo que debemos aspirar sería una en la que convergen los seres humanos y los seres no humanos, de manera que cuando somos una parte del todo debemos de rendir justicia social reconociendo sus derechos y nosotros los seres humanos las obligaciones, en este orden de ideas la presente iniciativa de reforma y adición a lo siguiente y también cabe hacer aclaración que no se preocupen los veterinarios porque no es quitarles la chamba, la verdad es que hay mucho también animal que está en estado de abandono y que hoy </w:t>
      </w:r>
      <w:r w:rsidRPr="0030088F">
        <w:rPr>
          <w:rFonts w:ascii="Abadi" w:hAnsi="Abadi"/>
          <w:sz w:val="21"/>
          <w:szCs w:val="21"/>
        </w:rPr>
        <w:t>estas veterinarias tendrían que también atenderlos para que los desparasiten, los cuiden, los bañen, desquiten las pulgas y tengamos mejores, -pues aunque estén en la calle- animales sanos ¿no? entonces, así es de que, no se preocupen de todas maneras el que tiene para llevar su animal con el veterinario pues ya lo va seguir llevando, ¿no?</w:t>
      </w:r>
    </w:p>
    <w:p w14:paraId="6B7BA752" w14:textId="77777777" w:rsidR="0066698E" w:rsidRPr="0030088F" w:rsidRDefault="0066698E" w:rsidP="0066698E">
      <w:pPr>
        <w:jc w:val="both"/>
        <w:rPr>
          <w:rFonts w:ascii="Abadi" w:hAnsi="Abadi"/>
          <w:sz w:val="21"/>
          <w:szCs w:val="21"/>
        </w:rPr>
      </w:pPr>
    </w:p>
    <w:p w14:paraId="455B66DB" w14:textId="77777777" w:rsidR="0066698E" w:rsidRDefault="0066698E" w:rsidP="0066698E">
      <w:pPr>
        <w:jc w:val="both"/>
        <w:rPr>
          <w:rFonts w:ascii="Abadi" w:hAnsi="Abadi"/>
          <w:sz w:val="21"/>
          <w:szCs w:val="21"/>
        </w:rPr>
      </w:pPr>
      <w:r w:rsidRPr="0030088F">
        <w:rPr>
          <w:rFonts w:ascii="Abadi" w:hAnsi="Abadi"/>
          <w:sz w:val="21"/>
          <w:szCs w:val="21"/>
        </w:rPr>
        <w:t xml:space="preserve">- Artículo 1. La presente ley es de orden público e interés social y tiene por objeto fracción cuarta regular el funcionamiento de los centros de control de asistencia animal así como de las clínicas veterinarias y públicas. </w:t>
      </w:r>
    </w:p>
    <w:p w14:paraId="77E7D0A4" w14:textId="77777777" w:rsidR="0066698E" w:rsidRPr="0030088F" w:rsidRDefault="0066698E" w:rsidP="0066698E">
      <w:pPr>
        <w:jc w:val="both"/>
        <w:rPr>
          <w:rFonts w:ascii="Abadi" w:hAnsi="Abadi"/>
          <w:sz w:val="21"/>
          <w:szCs w:val="21"/>
        </w:rPr>
      </w:pPr>
    </w:p>
    <w:p w14:paraId="5E85BF17" w14:textId="77777777" w:rsidR="0066698E" w:rsidRDefault="0066698E" w:rsidP="0066698E">
      <w:pPr>
        <w:jc w:val="both"/>
        <w:rPr>
          <w:rFonts w:ascii="Abadi" w:hAnsi="Abadi"/>
          <w:sz w:val="21"/>
          <w:szCs w:val="21"/>
        </w:rPr>
      </w:pPr>
      <w:r w:rsidRPr="0030088F">
        <w:rPr>
          <w:rFonts w:ascii="Abadi" w:hAnsi="Abadi"/>
          <w:sz w:val="21"/>
          <w:szCs w:val="21"/>
        </w:rPr>
        <w:t>- Y artículo 2. Para los efectos de esta ley, se entenderá fracción IV, clínica veterinaria pública establecimiento público cuya función primordial es atención médica directa de los animales el cual además de los servicios que presta el centro de control y asistencia animal prestarán los servicios de consulta y diagnóstico, hospitalización, medicina preventiva y cirugía, entre otros, conforme a las suficiencia presupuestaria.</w:t>
      </w:r>
    </w:p>
    <w:p w14:paraId="03724CB7" w14:textId="77777777" w:rsidR="0066698E" w:rsidRPr="0030088F" w:rsidRDefault="0066698E" w:rsidP="0066698E">
      <w:pPr>
        <w:jc w:val="both"/>
        <w:rPr>
          <w:rFonts w:ascii="Abadi" w:hAnsi="Abadi"/>
          <w:sz w:val="21"/>
          <w:szCs w:val="21"/>
        </w:rPr>
      </w:pPr>
    </w:p>
    <w:p w14:paraId="4C00C5E6" w14:textId="77777777" w:rsidR="0066698E" w:rsidRDefault="0066698E" w:rsidP="0066698E">
      <w:pPr>
        <w:jc w:val="both"/>
        <w:rPr>
          <w:rFonts w:ascii="Abadi" w:hAnsi="Abadi"/>
          <w:sz w:val="21"/>
          <w:szCs w:val="21"/>
        </w:rPr>
      </w:pPr>
      <w:r w:rsidRPr="0030088F">
        <w:rPr>
          <w:rFonts w:ascii="Abadi" w:hAnsi="Abadi"/>
          <w:sz w:val="21"/>
          <w:szCs w:val="21"/>
        </w:rPr>
        <w:t xml:space="preserve">- Artículo 6. Los ayuntamientos tienen las siguientes atribuciones fracción I, dictar las disposiciones de carácter reglamentario para la aplicación de la presente Ley, así como por el funcionamiento de los centros de control y asistencia animal, y de clínicas veterinarias públicas, en el ámbito de su competencia, fracción XI, los ayuntamientos, en el ámbito de sus  competencias promoverán, el  establecimiento de clínicas veterinarias públicas que le proporcionen,  servicios veterinarios o de sanidad animal así como la estancia digna segura y saludable para los animales sintientes. </w:t>
      </w:r>
    </w:p>
    <w:p w14:paraId="371064FF" w14:textId="77777777" w:rsidR="0066698E" w:rsidRPr="0030088F" w:rsidRDefault="0066698E" w:rsidP="0066698E">
      <w:pPr>
        <w:jc w:val="both"/>
        <w:rPr>
          <w:rFonts w:ascii="Abadi" w:hAnsi="Abadi"/>
          <w:sz w:val="21"/>
          <w:szCs w:val="21"/>
        </w:rPr>
      </w:pPr>
    </w:p>
    <w:p w14:paraId="54B4DBA6" w14:textId="77777777" w:rsidR="0066698E" w:rsidRPr="0030088F" w:rsidRDefault="0066698E" w:rsidP="0066698E">
      <w:pPr>
        <w:jc w:val="both"/>
        <w:rPr>
          <w:rFonts w:ascii="Abadi" w:hAnsi="Abadi"/>
          <w:sz w:val="21"/>
          <w:szCs w:val="21"/>
        </w:rPr>
      </w:pPr>
      <w:r w:rsidRPr="0030088F">
        <w:rPr>
          <w:rFonts w:ascii="Abadi" w:hAnsi="Abadi"/>
          <w:sz w:val="21"/>
          <w:szCs w:val="21"/>
        </w:rPr>
        <w:t xml:space="preserve">- Por último, esta iniciativa es acorde a los objetivos para el desarrollo sostenible que adopta la Asamblea General de la Organización de las Naciones Unidas, direccionada al objetivo 16 denominado “Promover Sociedades Justas Pacíficas e Inclusivas para el Desarrollo Sostenible Facilitar el Acceso y Atención para todas las Instituciones Eficaces y Responsables en todos los niveles Fomentando la Atención y Prevención en todos los Seres Vivos” </w:t>
      </w:r>
    </w:p>
    <w:p w14:paraId="395B5A01" w14:textId="77777777" w:rsidR="0066698E" w:rsidRDefault="0066698E" w:rsidP="0066698E">
      <w:pPr>
        <w:jc w:val="both"/>
        <w:rPr>
          <w:rFonts w:ascii="Abadi" w:hAnsi="Abadi"/>
          <w:sz w:val="21"/>
          <w:szCs w:val="21"/>
        </w:rPr>
      </w:pPr>
      <w:r w:rsidRPr="0030088F">
        <w:rPr>
          <w:rFonts w:ascii="Abadi" w:hAnsi="Abadi"/>
          <w:sz w:val="21"/>
          <w:szCs w:val="21"/>
        </w:rPr>
        <w:t>- Muchas gracias.</w:t>
      </w:r>
    </w:p>
    <w:p w14:paraId="030C0A81" w14:textId="77777777" w:rsidR="0066698E" w:rsidRPr="0030088F" w:rsidRDefault="0066698E" w:rsidP="0066698E">
      <w:pPr>
        <w:jc w:val="both"/>
        <w:rPr>
          <w:rFonts w:ascii="Abadi" w:hAnsi="Abadi"/>
          <w:sz w:val="21"/>
          <w:szCs w:val="21"/>
        </w:rPr>
      </w:pPr>
    </w:p>
    <w:p w14:paraId="0098A505" w14:textId="77777777" w:rsidR="0066698E" w:rsidRDefault="0066698E" w:rsidP="0066698E">
      <w:pPr>
        <w:jc w:val="both"/>
        <w:rPr>
          <w:rFonts w:ascii="Abadi" w:hAnsi="Abadi"/>
          <w:sz w:val="21"/>
          <w:szCs w:val="21"/>
        </w:rPr>
      </w:pPr>
      <w:r w:rsidRPr="0030088F">
        <w:rPr>
          <w:rFonts w:ascii="Abadi" w:hAnsi="Abadi"/>
          <w:sz w:val="21"/>
          <w:szCs w:val="21"/>
        </w:rPr>
        <w:t>- Es cuanto señora presidenta.</w:t>
      </w:r>
    </w:p>
    <w:p w14:paraId="7543F775" w14:textId="77777777" w:rsidR="0066698E" w:rsidRPr="0030088F" w:rsidRDefault="0066698E" w:rsidP="0066698E">
      <w:pPr>
        <w:jc w:val="both"/>
        <w:rPr>
          <w:rFonts w:ascii="Abadi" w:hAnsi="Abadi"/>
          <w:sz w:val="21"/>
          <w:szCs w:val="21"/>
        </w:rPr>
      </w:pPr>
    </w:p>
    <w:p w14:paraId="7AFF5D52" w14:textId="77777777" w:rsidR="0066698E" w:rsidRDefault="0066698E" w:rsidP="0066698E">
      <w:pPr>
        <w:jc w:val="both"/>
        <w:rPr>
          <w:rFonts w:ascii="Abadi" w:hAnsi="Abadi"/>
          <w:sz w:val="21"/>
          <w:szCs w:val="21"/>
        </w:rPr>
      </w:pPr>
      <w:r w:rsidRPr="0030088F">
        <w:rPr>
          <w:rFonts w:ascii="Abadi" w:hAnsi="Abadi"/>
          <w:sz w:val="21"/>
          <w:szCs w:val="21"/>
        </w:rPr>
        <w:lastRenderedPageBreak/>
        <w:t>- ¡Mucha gracias diputado!</w:t>
      </w:r>
    </w:p>
    <w:p w14:paraId="04BD18CD" w14:textId="77777777" w:rsidR="0066698E" w:rsidRPr="0030088F" w:rsidRDefault="0066698E" w:rsidP="0066698E">
      <w:pPr>
        <w:jc w:val="both"/>
        <w:rPr>
          <w:rFonts w:ascii="Abadi" w:hAnsi="Abadi"/>
          <w:sz w:val="21"/>
          <w:szCs w:val="21"/>
        </w:rPr>
      </w:pPr>
    </w:p>
    <w:p w14:paraId="31AC0EF3" w14:textId="77777777" w:rsidR="0066698E" w:rsidRPr="0030088F" w:rsidRDefault="0066698E" w:rsidP="0066698E">
      <w:pPr>
        <w:ind w:left="851" w:right="1183"/>
        <w:jc w:val="both"/>
        <w:rPr>
          <w:rFonts w:ascii="Abadi" w:hAnsi="Abadi"/>
          <w:b/>
          <w:bCs/>
          <w:i/>
          <w:iCs/>
          <w:sz w:val="21"/>
          <w:szCs w:val="21"/>
          <w:u w:val="single"/>
        </w:rPr>
      </w:pPr>
      <w:r w:rsidRPr="0030088F">
        <w:rPr>
          <w:rFonts w:ascii="Abadi" w:hAnsi="Abadi"/>
          <w:b/>
          <w:bCs/>
          <w:i/>
          <w:iCs/>
          <w:sz w:val="21"/>
          <w:szCs w:val="21"/>
          <w:u w:val="single"/>
        </w:rPr>
        <w:t>Se turnan la Comisión de Medio Ambiente, con fundamento en el artículo 115 fracciones II y V, de nuestra Ley Orgánica para su dictamen.</w:t>
      </w:r>
    </w:p>
    <w:p w14:paraId="5005254B" w14:textId="77777777" w:rsidR="0066698E" w:rsidRPr="00006796" w:rsidRDefault="0066698E" w:rsidP="00374533">
      <w:pPr>
        <w:autoSpaceDE w:val="0"/>
        <w:autoSpaceDN w:val="0"/>
        <w:adjustRightInd w:val="0"/>
        <w:jc w:val="both"/>
        <w:rPr>
          <w:rFonts w:ascii="Abadi" w:hAnsi="Abadi" w:cs="ArialMT"/>
          <w:b/>
          <w:bCs/>
          <w:sz w:val="21"/>
          <w:szCs w:val="21"/>
        </w:rPr>
      </w:pPr>
    </w:p>
    <w:p w14:paraId="5C0D6CF0" w14:textId="659A0344" w:rsidR="00374533" w:rsidRDefault="00374533" w:rsidP="00013CF3">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INICIATIVA SUSCRITA POR DIPUTADA Y DIPUTADOS INTEGRANTES DEL GRUPO PARLAMENTARIO DEL PARTIDO REVOLUCIONARIO INSTITUCIONAL A EFECTO DE REFORMAR Y ADICIONAR DIVERSOS ARTÍCULOS DE LA LEY DE CULTURA FÍSICA Y DEPORTE DEL ESTADO DE GUANAJUATO.</w:t>
      </w:r>
      <w:r w:rsidR="00F530FF">
        <w:rPr>
          <w:rStyle w:val="Refdenotaalpie"/>
          <w:rFonts w:ascii="Abadi" w:hAnsi="Abadi" w:cs="ArialMT"/>
          <w:b/>
          <w:bCs/>
          <w:sz w:val="21"/>
          <w:szCs w:val="21"/>
        </w:rPr>
        <w:footnoteReference w:id="12"/>
      </w:r>
    </w:p>
    <w:p w14:paraId="310D379E" w14:textId="77777777" w:rsidR="00BF55D3" w:rsidRDefault="00BF55D3" w:rsidP="003E7F94">
      <w:pPr>
        <w:autoSpaceDE w:val="0"/>
        <w:autoSpaceDN w:val="0"/>
        <w:adjustRightInd w:val="0"/>
        <w:contextualSpacing/>
        <w:jc w:val="both"/>
        <w:rPr>
          <w:rFonts w:ascii="Abadi" w:hAnsi="Abadi" w:cs="ArialMT"/>
          <w:b/>
          <w:bCs/>
          <w:sz w:val="21"/>
          <w:szCs w:val="21"/>
        </w:rPr>
      </w:pPr>
    </w:p>
    <w:p w14:paraId="28EFFF5C" w14:textId="42F1EEDD"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 xml:space="preserve">INICIATIVA CON PROYECTO INTEGRAL DE DECRETO POR EL QUE SE REFORMAN Y ADICIONAN DIVERSOS ARTÍCULOS, FRACCIONES Y PÁRRAFOS DE LEY DE CULTURA FÍSICA Y DEPORTE DEL ESTADO DE GUANAJUATO, CON LA FINALIDAD DE REGULAR CON MAYOR PRECISIÓN E INCORPORAR LA ATENCIÓN POR PARTE DEL ESTADO Y LOS MUNICIPIOS AL DERECHO FUNDAMENTAL DE LA CULTUTRA FÍSICA Y DEL DEPORTE DE LA NIÑEZ, LAS MUJERES, LAS PERSONAS DISCAPACITADAS Y LOS GRUPOS SOCIALES INVISIBLES Y VULNERABLES, </w:t>
      </w:r>
      <w:r w:rsidRPr="00C5545D">
        <w:rPr>
          <w:rFonts w:ascii="Abadi" w:hAnsi="Abadi" w:cs="Arial"/>
          <w:b/>
          <w:color w:val="212529"/>
          <w:sz w:val="21"/>
          <w:szCs w:val="21"/>
        </w:rPr>
        <w:t xml:space="preserve">MEDIANTE LA PROMOCIÓN DE ACTIVIDADES DEPORTIVAS QUE PERMITAN LA, PROTECCIÓN, INTEGRACIÓN Y EL RESPETO DE TODAS LAS PERSONAS, CON BASE EN LA IMPLMENTACIÓN DE LAS PERSPECTIVAS DE GÉNERO Y DE INCLUSIÓN A LA DIVERSIDAD SEXUAL, PARA  </w:t>
      </w:r>
      <w:r w:rsidRPr="00C5545D">
        <w:rPr>
          <w:rFonts w:ascii="Abadi" w:hAnsi="Abadi" w:cs="Arial"/>
          <w:b/>
          <w:sz w:val="21"/>
          <w:szCs w:val="21"/>
        </w:rPr>
        <w:t xml:space="preserve">INCREMENTAR LA INTEGRACIÓN Y LA CALIDAD DE LA CULTURA FÍSICA Y EL DEPORTE EN EL ESTADO Y LOS MUNICIPIOS, </w:t>
      </w:r>
      <w:r w:rsidRPr="00C5545D">
        <w:rPr>
          <w:rFonts w:ascii="Abadi" w:hAnsi="Abadi" w:cs="Arial"/>
          <w:b/>
          <w:color w:val="212529"/>
          <w:sz w:val="21"/>
          <w:szCs w:val="21"/>
        </w:rPr>
        <w:t>CON PERSPECTIVAS DE GÉNERO Y DE INCLUSIÓN.</w:t>
      </w:r>
    </w:p>
    <w:p w14:paraId="1A24394D" w14:textId="77777777" w:rsidR="00BF55D3" w:rsidRPr="00C5545D" w:rsidRDefault="00BF55D3" w:rsidP="00BF55D3">
      <w:pPr>
        <w:spacing w:after="23" w:line="259" w:lineRule="auto"/>
        <w:ind w:left="142"/>
        <w:jc w:val="both"/>
        <w:rPr>
          <w:rFonts w:ascii="Abadi" w:hAnsi="Abadi"/>
          <w:sz w:val="21"/>
          <w:szCs w:val="21"/>
        </w:rPr>
      </w:pPr>
      <w:r w:rsidRPr="00C5545D">
        <w:rPr>
          <w:rFonts w:ascii="Abadi" w:hAnsi="Abadi" w:cs="Arial"/>
          <w:b/>
          <w:sz w:val="21"/>
          <w:szCs w:val="21"/>
        </w:rPr>
        <w:t xml:space="preserve"> </w:t>
      </w:r>
    </w:p>
    <w:p w14:paraId="256A5FFD" w14:textId="77777777" w:rsidR="002D5FD7" w:rsidRDefault="00BF55D3" w:rsidP="002D5FD7">
      <w:pPr>
        <w:spacing w:after="31" w:line="249" w:lineRule="auto"/>
        <w:ind w:left="137" w:right="5"/>
        <w:jc w:val="both"/>
        <w:rPr>
          <w:rFonts w:ascii="Abadi" w:hAnsi="Abadi" w:cs="Arial"/>
          <w:b/>
          <w:sz w:val="21"/>
          <w:szCs w:val="21"/>
        </w:rPr>
      </w:pPr>
      <w:r w:rsidRPr="00C5545D">
        <w:rPr>
          <w:rFonts w:ascii="Abadi" w:hAnsi="Abadi" w:cs="Arial"/>
          <w:b/>
          <w:sz w:val="21"/>
          <w:szCs w:val="21"/>
        </w:rPr>
        <w:t>C. DIPUTADA LAURA CRISTINA MÁRQUEZ ALCALÁ</w:t>
      </w:r>
      <w:r w:rsidR="002D5FD7">
        <w:rPr>
          <w:rFonts w:ascii="Abadi" w:hAnsi="Abadi" w:cs="Arial"/>
          <w:b/>
          <w:sz w:val="21"/>
          <w:szCs w:val="21"/>
        </w:rPr>
        <w:t xml:space="preserve"> </w:t>
      </w:r>
    </w:p>
    <w:p w14:paraId="59969F65" w14:textId="30A0D724" w:rsidR="00BF55D3" w:rsidRPr="00C5545D" w:rsidRDefault="00BF55D3" w:rsidP="002D5FD7">
      <w:pPr>
        <w:spacing w:after="31" w:line="249" w:lineRule="auto"/>
        <w:ind w:left="137" w:right="5"/>
        <w:jc w:val="both"/>
        <w:rPr>
          <w:rFonts w:ascii="Abadi" w:hAnsi="Abadi"/>
          <w:sz w:val="21"/>
          <w:szCs w:val="21"/>
        </w:rPr>
      </w:pPr>
      <w:r w:rsidRPr="00C5545D">
        <w:rPr>
          <w:rFonts w:ascii="Abadi" w:hAnsi="Abadi" w:cs="Arial"/>
          <w:b/>
          <w:sz w:val="21"/>
          <w:szCs w:val="21"/>
        </w:rPr>
        <w:t xml:space="preserve">PRESIDENTA DE LA MESA DIRECTIVA DE LA LXV LEGISLATURA DEL ESTADO </w:t>
      </w:r>
      <w:proofErr w:type="gramStart"/>
      <w:r w:rsidRPr="00C5545D">
        <w:rPr>
          <w:rFonts w:ascii="Abadi" w:hAnsi="Abadi" w:cs="Arial"/>
          <w:b/>
          <w:sz w:val="21"/>
          <w:szCs w:val="21"/>
        </w:rPr>
        <w:t>DE  GUANAJUATO</w:t>
      </w:r>
      <w:proofErr w:type="gramEnd"/>
      <w:r w:rsidRPr="00C5545D">
        <w:rPr>
          <w:rFonts w:ascii="Abadi" w:hAnsi="Abadi" w:cs="Arial"/>
          <w:b/>
          <w:sz w:val="21"/>
          <w:szCs w:val="21"/>
        </w:rPr>
        <w:t xml:space="preserve">.  </w:t>
      </w:r>
    </w:p>
    <w:p w14:paraId="026DBFD6"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 xml:space="preserve">P R E S E N T E. </w:t>
      </w:r>
    </w:p>
    <w:p w14:paraId="4765159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BF8FE39" w14:textId="77777777" w:rsidR="00BF55D3" w:rsidRPr="00C5545D" w:rsidRDefault="00BF55D3" w:rsidP="00BF55D3">
      <w:pPr>
        <w:ind w:left="137" w:right="4"/>
        <w:jc w:val="both"/>
        <w:rPr>
          <w:rFonts w:ascii="Abadi" w:hAnsi="Abadi"/>
          <w:sz w:val="21"/>
          <w:szCs w:val="21"/>
        </w:rPr>
      </w:pPr>
      <w:r w:rsidRPr="00C5545D">
        <w:rPr>
          <w:rFonts w:ascii="Abadi" w:hAnsi="Abadi" w:cs="Arial"/>
          <w:b/>
          <w:sz w:val="21"/>
          <w:szCs w:val="21"/>
        </w:rPr>
        <w:t>GUSTAVO ADOLFO ALFARO REYES</w:t>
      </w:r>
      <w:r w:rsidRPr="00C5545D">
        <w:rPr>
          <w:rFonts w:ascii="Abadi" w:hAnsi="Abadi"/>
          <w:sz w:val="21"/>
          <w:szCs w:val="21"/>
        </w:rPr>
        <w:t xml:space="preserve"> proponente y quienes suscriben</w:t>
      </w:r>
      <w:r>
        <w:rPr>
          <w:rFonts w:ascii="Abadi" w:hAnsi="Abadi" w:cs="Arial"/>
          <w:b/>
          <w:sz w:val="21"/>
          <w:szCs w:val="21"/>
        </w:rPr>
        <w:t xml:space="preserve">, </w:t>
      </w:r>
      <w:r w:rsidRPr="00C5545D">
        <w:rPr>
          <w:rFonts w:ascii="Abadi" w:hAnsi="Abadi"/>
          <w:sz w:val="21"/>
          <w:szCs w:val="21"/>
        </w:rPr>
        <w:t>Diputadas y Diputados integrantes de la LXV Legislatura del H. Congreso del Estado de Guanajuato y del Grupo Parlamentario del Partido Revolucionario Institucional, con fundamento en lo dispuesto en la fracción II del artículo 56 de la Constitución Política para el Estado de Guanajuato, así como en el artículo 167, fracción II de la Ley Orgánica del Poder Legislativo del Estado de Guanajuato, someto a consideración del Pleno para su aprobación, la iniciativa que constituye el</w:t>
      </w:r>
      <w:r w:rsidRPr="00C5545D">
        <w:rPr>
          <w:rFonts w:ascii="Abadi" w:hAnsi="Abadi" w:cs="Arial"/>
          <w:b/>
          <w:i/>
          <w:sz w:val="21"/>
          <w:szCs w:val="21"/>
        </w:rPr>
        <w:t xml:space="preserve"> </w:t>
      </w:r>
      <w:r w:rsidRPr="00C5545D">
        <w:rPr>
          <w:rFonts w:ascii="Abadi" w:hAnsi="Abadi" w:cs="Arial"/>
          <w:b/>
          <w:sz w:val="21"/>
          <w:szCs w:val="21"/>
        </w:rPr>
        <w:t xml:space="preserve">PROYECTO INTEGRAL DE DECRETO POR EL </w:t>
      </w:r>
      <w:r>
        <w:rPr>
          <w:rFonts w:ascii="Abadi" w:hAnsi="Abadi" w:cs="Arial"/>
          <w:b/>
          <w:sz w:val="21"/>
          <w:szCs w:val="21"/>
        </w:rPr>
        <w:t xml:space="preserve"> </w:t>
      </w:r>
      <w:r w:rsidRPr="00C5545D">
        <w:rPr>
          <w:rFonts w:ascii="Abadi" w:hAnsi="Abadi" w:cs="Arial"/>
          <w:b/>
          <w:sz w:val="21"/>
          <w:szCs w:val="21"/>
        </w:rPr>
        <w:t xml:space="preserve">QUE SE REFORMAN Y ADICIONAN DIVERSOS ARTÍCULOS, FRACCIONES Y PÁRRAFOS DE LEY DE CULTURA FÍSICA Y DEPORTE DEL ESTADO DE GUANAJUATO, CON LA FINALIDAD DE REGULAR CON MAYOR PRECISIÓN E INCORPORAR LA ATENCIÓN POR PARTE DEL ESTADO Y LOS MUNICIPIOS AL DERECHO FUNDAMENTAL DE LA CULTUTRA FÍSICA Y DEL DEPORTE DE LA NIÑEZ, LAS MUJERES, LAS PERSONAS DISCAPACITADAS Y LOS GRUPOS SOCIALES INVISIBLES Y VULNERABLES, </w:t>
      </w:r>
      <w:r w:rsidRPr="00C5545D">
        <w:rPr>
          <w:rFonts w:ascii="Abadi" w:hAnsi="Abadi" w:cs="Arial"/>
          <w:b/>
          <w:color w:val="212529"/>
          <w:sz w:val="21"/>
          <w:szCs w:val="21"/>
        </w:rPr>
        <w:t xml:space="preserve">MEDIANTE LA PROMOCIÓN DE ACTIVIDADES DEPORTIVAS QUE PERMITAN LA, PROTECCIÓN, INTEGRACIÓN Y EL RESPETO DE TODAS LAS PERSONAS, CON BASE EN LA IMPLMENTACIÓN DE LA PERSPECTIVA DE GÉNERO Y DE INCLUSIÓN A </w:t>
      </w:r>
      <w:r>
        <w:rPr>
          <w:rFonts w:ascii="Abadi" w:hAnsi="Abadi" w:cs="Arial"/>
          <w:b/>
          <w:color w:val="212529"/>
          <w:sz w:val="21"/>
          <w:szCs w:val="21"/>
        </w:rPr>
        <w:t xml:space="preserve"> </w:t>
      </w:r>
      <w:r w:rsidRPr="00C5545D">
        <w:rPr>
          <w:rFonts w:ascii="Abadi" w:hAnsi="Abadi" w:cs="Arial"/>
          <w:b/>
          <w:color w:val="212529"/>
          <w:sz w:val="21"/>
          <w:szCs w:val="21"/>
        </w:rPr>
        <w:t xml:space="preserve">LA DIVERSIDAD SEXUAL, PARA </w:t>
      </w:r>
      <w:r w:rsidRPr="00C5545D">
        <w:rPr>
          <w:rFonts w:ascii="Abadi" w:hAnsi="Abadi" w:cs="Arial"/>
          <w:b/>
          <w:sz w:val="21"/>
          <w:szCs w:val="21"/>
        </w:rPr>
        <w:t xml:space="preserve">INCREMENTAR LA INTEGRACIÓN, LA CALIDAD DE LA CULTURA FÍSICA Y EL DEPORTE EN EL ESTADO Y LOS MUNICIPIOS </w:t>
      </w:r>
      <w:r w:rsidRPr="00C5545D">
        <w:rPr>
          <w:rFonts w:ascii="Abadi" w:hAnsi="Abadi" w:cs="Arial"/>
          <w:b/>
          <w:color w:val="212529"/>
          <w:sz w:val="21"/>
          <w:szCs w:val="21"/>
        </w:rPr>
        <w:t>CON PERSPECTIVAS DE GÉNERO Y DE INCLUSIÓN</w:t>
      </w:r>
      <w:r w:rsidRPr="00C5545D">
        <w:rPr>
          <w:rFonts w:ascii="Abadi" w:hAnsi="Abadi" w:cs="Arial"/>
          <w:b/>
          <w:i/>
          <w:sz w:val="21"/>
          <w:szCs w:val="21"/>
        </w:rPr>
        <w:t>,</w:t>
      </w:r>
      <w:r w:rsidRPr="00C5545D">
        <w:rPr>
          <w:rFonts w:ascii="Abadi" w:hAnsi="Abadi"/>
          <w:sz w:val="21"/>
          <w:szCs w:val="21"/>
        </w:rPr>
        <w:t xml:space="preserve"> conforme a la siguiente:  </w:t>
      </w:r>
    </w:p>
    <w:p w14:paraId="6A3D9111" w14:textId="77777777" w:rsidR="00BF55D3" w:rsidRPr="00C5545D" w:rsidRDefault="00BF55D3" w:rsidP="00BF55D3">
      <w:pPr>
        <w:spacing w:after="21" w:line="259" w:lineRule="auto"/>
        <w:ind w:left="201"/>
        <w:jc w:val="both"/>
        <w:rPr>
          <w:rFonts w:ascii="Abadi" w:hAnsi="Abadi"/>
          <w:sz w:val="21"/>
          <w:szCs w:val="21"/>
        </w:rPr>
      </w:pPr>
      <w:r w:rsidRPr="00C5545D">
        <w:rPr>
          <w:rFonts w:ascii="Abadi" w:hAnsi="Abadi" w:cs="Arial"/>
          <w:b/>
          <w:sz w:val="21"/>
          <w:szCs w:val="21"/>
        </w:rPr>
        <w:t xml:space="preserve"> </w:t>
      </w:r>
    </w:p>
    <w:p w14:paraId="56F33A80" w14:textId="1D13A6EE" w:rsidR="00BF55D3" w:rsidRPr="00C5545D" w:rsidRDefault="00BF55D3" w:rsidP="00BF55D3">
      <w:pPr>
        <w:spacing w:line="259" w:lineRule="auto"/>
        <w:ind w:left="157" w:right="20"/>
        <w:jc w:val="center"/>
        <w:rPr>
          <w:rFonts w:ascii="Abadi" w:hAnsi="Abadi"/>
          <w:sz w:val="21"/>
          <w:szCs w:val="21"/>
        </w:rPr>
      </w:pPr>
      <w:r w:rsidRPr="00C5545D">
        <w:rPr>
          <w:rFonts w:ascii="Abadi" w:hAnsi="Abadi" w:cs="Arial"/>
          <w:b/>
          <w:sz w:val="21"/>
          <w:szCs w:val="21"/>
        </w:rPr>
        <w:t>EXPOSICION DE MOTIVOS.</w:t>
      </w:r>
    </w:p>
    <w:p w14:paraId="4C182DF8" w14:textId="15F7C856" w:rsidR="00BF55D3" w:rsidRPr="00C5545D" w:rsidRDefault="00BF55D3" w:rsidP="00BF55D3">
      <w:pPr>
        <w:spacing w:line="259" w:lineRule="auto"/>
        <w:ind w:left="142"/>
        <w:jc w:val="center"/>
        <w:rPr>
          <w:rFonts w:ascii="Abadi" w:hAnsi="Abadi"/>
          <w:sz w:val="21"/>
          <w:szCs w:val="21"/>
        </w:rPr>
      </w:pPr>
    </w:p>
    <w:p w14:paraId="56A86B65"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Hace ya años que toda la comunidad internacional reconoce y acepta los beneficios que reporta el deporte entre sus practicantes tanto a nivel fisiológico, como psicológico, sociológico o educativo. Sin embargo, en determinados contextos y situaciones, el deporte puede ser fuente de discriminaciones, acosos y agresiones para determinadas personas. En este sentido, el </w:t>
      </w:r>
      <w:r w:rsidRPr="00C5545D">
        <w:rPr>
          <w:rFonts w:ascii="Abadi" w:hAnsi="Abadi"/>
          <w:sz w:val="21"/>
          <w:szCs w:val="21"/>
        </w:rPr>
        <w:lastRenderedPageBreak/>
        <w:t xml:space="preserve">uso inapropiado del deporte como herramienta para oprimir y discriminar a determinados grupos sociales ha estado tradicionalmente extendido en nuestro país. Hasta hace relativamente poco las mujeres han tenido vetada la participación en determinados deportes reservados históricamente a los hombres. </w:t>
      </w:r>
    </w:p>
    <w:p w14:paraId="162CD58A"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5108CC6C"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El avance en los derechos de las mujeres gracias a la lucha feminista en las últimas décadas ha propiciado que poco a poco la mujer participe cada vez más en la vida deportiva en el mundo, en sus diferentes vertientes (competitiva, educativa, recreativa, higiénica...). Por ello, hoy día, sobre todo en países europeos, las mujeres deportistas no tienen (en la mayoría de los casos) la necesidad de reducir sus gustos deportivos, alcanzando logros que hace unos años eran inalcanzables. </w:t>
      </w:r>
    </w:p>
    <w:p w14:paraId="59973B6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9CEB50A"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De igual modo, el deporte ha integrado tradicionalmente entre sus características, no solo las visiones estereotipadas de las masculinidades y las feminidades, sino que los estereotipos ligados a la heterosexualidad y homosexualidad también lo han caracterizado y lo siguen haciendo (</w:t>
      </w:r>
      <w:proofErr w:type="spellStart"/>
      <w:r w:rsidRPr="00C5545D">
        <w:rPr>
          <w:rFonts w:ascii="Abadi" w:hAnsi="Abadi"/>
          <w:sz w:val="21"/>
          <w:szCs w:val="21"/>
        </w:rPr>
        <w:t>Ayvazo</w:t>
      </w:r>
      <w:proofErr w:type="spellEnd"/>
      <w:r w:rsidRPr="00C5545D">
        <w:rPr>
          <w:rFonts w:ascii="Abadi" w:hAnsi="Abadi"/>
          <w:sz w:val="21"/>
          <w:szCs w:val="21"/>
        </w:rPr>
        <w:t xml:space="preserve"> y Sutherland, 2009; Dowling, 2013)</w:t>
      </w:r>
      <w:r w:rsidRPr="00C5545D">
        <w:rPr>
          <w:rFonts w:ascii="Abadi" w:hAnsi="Abadi"/>
          <w:sz w:val="21"/>
          <w:szCs w:val="21"/>
          <w:vertAlign w:val="superscript"/>
        </w:rPr>
        <w:footnoteReference w:id="13"/>
      </w:r>
      <w:r w:rsidRPr="00C5545D">
        <w:rPr>
          <w:rFonts w:ascii="Abadi" w:hAnsi="Abadi"/>
          <w:sz w:val="21"/>
          <w:szCs w:val="21"/>
        </w:rPr>
        <w:t xml:space="preserve">. </w:t>
      </w:r>
    </w:p>
    <w:p w14:paraId="2A03F33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74962965" w14:textId="77777777" w:rsidR="00BF55D3" w:rsidRPr="00C5545D" w:rsidRDefault="00BF55D3" w:rsidP="00BF55D3">
      <w:pPr>
        <w:spacing w:after="207"/>
        <w:ind w:left="137" w:right="4"/>
        <w:jc w:val="both"/>
        <w:rPr>
          <w:rFonts w:ascii="Abadi" w:hAnsi="Abadi"/>
          <w:sz w:val="21"/>
          <w:szCs w:val="21"/>
        </w:rPr>
      </w:pPr>
      <w:r w:rsidRPr="00C5545D">
        <w:rPr>
          <w:rFonts w:ascii="Abadi" w:hAnsi="Abadi"/>
          <w:sz w:val="21"/>
          <w:szCs w:val="21"/>
        </w:rPr>
        <w:t xml:space="preserve">A pesar de que el colectivo de minorías sexuales como lesbianas, gais, transexuales o bisexuales (LGTB) lleva años luchando por eliminar las discriminaciones en la sociedad, sigue siendo un grupo claramente señalado y repudiado en algunos sectores o contextos de nuestra sociedad, tales como el deporte. Si bien en otros países occidentales la situación ha cambiado, en el deporte español sigue presente la actitud homófoba o heterosexista y escasean los estudios, investigaciones, campañas, programas… enfocados a conocer y visibilizar las discriminaciones heterosexistas del colectivo o comunidad LGTB, en cuanto a su libre desarrollo en el deporte y sensibilizar tanto a deportistas como a la sociedad general, </w:t>
      </w:r>
      <w:r w:rsidRPr="00C5545D">
        <w:rPr>
          <w:rFonts w:ascii="Abadi" w:hAnsi="Abadi"/>
          <w:sz w:val="21"/>
          <w:szCs w:val="21"/>
        </w:rPr>
        <w:t>especialmente en el ámbito del espectáculo deportivo por su influencia social</w:t>
      </w:r>
      <w:r w:rsidRPr="00C5545D">
        <w:rPr>
          <w:rFonts w:ascii="Abadi" w:hAnsi="Abadi"/>
          <w:sz w:val="21"/>
          <w:szCs w:val="21"/>
          <w:vertAlign w:val="superscript"/>
        </w:rPr>
        <w:footnoteReference w:id="14"/>
      </w:r>
      <w:r w:rsidRPr="00C5545D">
        <w:rPr>
          <w:rFonts w:ascii="Abadi" w:hAnsi="Abadi"/>
          <w:sz w:val="21"/>
          <w:szCs w:val="21"/>
        </w:rPr>
        <w:t xml:space="preserve">. </w:t>
      </w:r>
    </w:p>
    <w:p w14:paraId="3FBEEC2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b/>
          <w:sz w:val="21"/>
          <w:szCs w:val="21"/>
        </w:rPr>
        <w:t xml:space="preserve"> </w:t>
      </w:r>
    </w:p>
    <w:p w14:paraId="1A771DCB"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El deporte ha sido históricamente un lugar de dominación masculina, tradicionalmente reservado para un único colectivo, los hombres que cumplen con los requisitos de lo que Connell</w:t>
      </w:r>
      <w:r w:rsidRPr="00C5545D">
        <w:rPr>
          <w:rFonts w:ascii="Abadi" w:hAnsi="Abadi"/>
          <w:sz w:val="21"/>
          <w:szCs w:val="21"/>
          <w:vertAlign w:val="superscript"/>
        </w:rPr>
        <w:footnoteReference w:id="15"/>
      </w:r>
      <w:r w:rsidRPr="00C5545D">
        <w:rPr>
          <w:rFonts w:ascii="Abadi" w:hAnsi="Abadi"/>
          <w:sz w:val="21"/>
          <w:szCs w:val="21"/>
        </w:rPr>
        <w:t xml:space="preserve"> (1995) denomina masculinidad hegemónica (heterosexualidad, desarrollo físico, poca afectividad). Fruto de dicha dominación es la escasa participación de las mujeres en el deporte y el rechazo de la homosexualidad en la práctica deportiva. </w:t>
      </w:r>
    </w:p>
    <w:p w14:paraId="66BEA4F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ACCC9F1"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la revisión de la literatura encontramos un considerable número de autores que confirman la existencia un clima hostil a la diversidad de orientación sexual en el deporte (Barbero, 2003; Griffin, 1998; </w:t>
      </w:r>
      <w:proofErr w:type="spellStart"/>
      <w:r w:rsidRPr="00C5545D">
        <w:rPr>
          <w:rFonts w:ascii="Abadi" w:hAnsi="Abadi"/>
          <w:sz w:val="21"/>
          <w:szCs w:val="21"/>
        </w:rPr>
        <w:t>Krane</w:t>
      </w:r>
      <w:proofErr w:type="spellEnd"/>
      <w:r w:rsidRPr="00C5545D">
        <w:rPr>
          <w:rFonts w:ascii="Abadi" w:hAnsi="Abadi"/>
          <w:sz w:val="21"/>
          <w:szCs w:val="21"/>
        </w:rPr>
        <w:t xml:space="preserve">, 1997; O’Brien, </w:t>
      </w:r>
      <w:proofErr w:type="spellStart"/>
      <w:r w:rsidRPr="00C5545D">
        <w:rPr>
          <w:rFonts w:ascii="Abadi" w:hAnsi="Abadi"/>
          <w:sz w:val="21"/>
          <w:szCs w:val="21"/>
        </w:rPr>
        <w:t>Shovelton</w:t>
      </w:r>
      <w:proofErr w:type="spellEnd"/>
      <w:r w:rsidRPr="00C5545D">
        <w:rPr>
          <w:rFonts w:ascii="Abadi" w:hAnsi="Abadi"/>
          <w:sz w:val="21"/>
          <w:szCs w:val="21"/>
        </w:rPr>
        <w:t xml:space="preserve"> y </w:t>
      </w:r>
      <w:proofErr w:type="spellStart"/>
      <w:r w:rsidRPr="00C5545D">
        <w:rPr>
          <w:rFonts w:ascii="Abadi" w:hAnsi="Abadi"/>
          <w:sz w:val="21"/>
          <w:szCs w:val="21"/>
        </w:rPr>
        <w:t>Latner</w:t>
      </w:r>
      <w:proofErr w:type="spellEnd"/>
      <w:r w:rsidRPr="00C5545D">
        <w:rPr>
          <w:rFonts w:ascii="Abadi" w:hAnsi="Abadi"/>
          <w:sz w:val="21"/>
          <w:szCs w:val="21"/>
        </w:rPr>
        <w:t xml:space="preserve">, 2013; </w:t>
      </w:r>
      <w:proofErr w:type="spellStart"/>
      <w:r w:rsidRPr="00C5545D">
        <w:rPr>
          <w:rFonts w:ascii="Abadi" w:hAnsi="Abadi"/>
          <w:sz w:val="21"/>
          <w:szCs w:val="21"/>
        </w:rPr>
        <w:t>Pronger</w:t>
      </w:r>
      <w:proofErr w:type="spellEnd"/>
      <w:r w:rsidRPr="00C5545D">
        <w:rPr>
          <w:rFonts w:ascii="Abadi" w:hAnsi="Abadi"/>
          <w:sz w:val="21"/>
          <w:szCs w:val="21"/>
        </w:rPr>
        <w:t xml:space="preserve">, 1990; 2000). Entre las diferentes pautas y acciones que generan marginación y que encontramos en el deporte se 1208 I + G 2014. Aportaciones a la Investigación sobre Mujeres y Género describen: estereotipos negativos, acoso verbal, discriminación en la selección del equipo, aislamiento social, pérdida de apoyos, atención negativa de los medios (Barber y </w:t>
      </w:r>
      <w:proofErr w:type="spellStart"/>
      <w:r w:rsidRPr="00C5545D">
        <w:rPr>
          <w:rFonts w:ascii="Abadi" w:hAnsi="Abadi"/>
          <w:sz w:val="21"/>
          <w:szCs w:val="21"/>
        </w:rPr>
        <w:t>Krane</w:t>
      </w:r>
      <w:proofErr w:type="spellEnd"/>
      <w:r w:rsidRPr="00C5545D">
        <w:rPr>
          <w:rFonts w:ascii="Abadi" w:hAnsi="Abadi"/>
          <w:sz w:val="21"/>
          <w:szCs w:val="21"/>
        </w:rPr>
        <w:t>, 2007)</w:t>
      </w:r>
      <w:r w:rsidRPr="00C5545D">
        <w:rPr>
          <w:rFonts w:ascii="Abadi" w:hAnsi="Abadi"/>
          <w:sz w:val="21"/>
          <w:szCs w:val="21"/>
          <w:vertAlign w:val="superscript"/>
        </w:rPr>
        <w:footnoteReference w:id="16"/>
      </w:r>
      <w:r w:rsidRPr="00C5545D">
        <w:rPr>
          <w:rFonts w:ascii="Abadi" w:hAnsi="Abadi"/>
          <w:sz w:val="21"/>
          <w:szCs w:val="21"/>
        </w:rPr>
        <w:t xml:space="preserve">. </w:t>
      </w:r>
    </w:p>
    <w:p w14:paraId="5D6BED5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07C93FF"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Sin embargo, también es verdad que en los últimos años otros estudios han demostrado que este clima negativo hacia las minorías sexuales se ha mitigado en algunos países o contextos. El estudio de </w:t>
      </w:r>
      <w:proofErr w:type="spellStart"/>
      <w:r w:rsidRPr="00C5545D">
        <w:rPr>
          <w:rFonts w:ascii="Abadi" w:hAnsi="Abadi"/>
          <w:sz w:val="21"/>
          <w:szCs w:val="21"/>
        </w:rPr>
        <w:t>Kauer</w:t>
      </w:r>
      <w:proofErr w:type="spellEnd"/>
      <w:r w:rsidRPr="00C5545D">
        <w:rPr>
          <w:rFonts w:ascii="Abadi" w:hAnsi="Abadi"/>
          <w:sz w:val="21"/>
          <w:szCs w:val="21"/>
        </w:rPr>
        <w:t xml:space="preserve"> y </w:t>
      </w:r>
      <w:proofErr w:type="spellStart"/>
      <w:r w:rsidRPr="00C5545D">
        <w:rPr>
          <w:rFonts w:ascii="Abadi" w:hAnsi="Abadi"/>
          <w:sz w:val="21"/>
          <w:szCs w:val="21"/>
        </w:rPr>
        <w:t>Krane</w:t>
      </w:r>
      <w:proofErr w:type="spellEnd"/>
      <w:r w:rsidRPr="00C5545D">
        <w:rPr>
          <w:rFonts w:ascii="Abadi" w:hAnsi="Abadi"/>
          <w:sz w:val="21"/>
          <w:szCs w:val="21"/>
        </w:rPr>
        <w:t xml:space="preserve"> (2006) destaca que la “salida del armario” de las mujeres dentro del equipo femenino afectó positivamente a las actitudes de las jugadoras heterosexuales. Similarmente, los estudios de </w:t>
      </w:r>
      <w:proofErr w:type="spellStart"/>
      <w:r w:rsidRPr="00C5545D">
        <w:rPr>
          <w:rFonts w:ascii="Abadi" w:hAnsi="Abadi"/>
          <w:sz w:val="21"/>
          <w:szCs w:val="21"/>
        </w:rPr>
        <w:t>Ensign</w:t>
      </w:r>
      <w:proofErr w:type="spellEnd"/>
      <w:r w:rsidRPr="00C5545D">
        <w:rPr>
          <w:rFonts w:ascii="Abadi" w:hAnsi="Abadi"/>
          <w:sz w:val="21"/>
          <w:szCs w:val="21"/>
        </w:rPr>
        <w:t xml:space="preserve">, </w:t>
      </w:r>
      <w:proofErr w:type="spellStart"/>
      <w:r w:rsidRPr="00C5545D">
        <w:rPr>
          <w:rFonts w:ascii="Abadi" w:hAnsi="Abadi"/>
          <w:sz w:val="21"/>
          <w:szCs w:val="21"/>
        </w:rPr>
        <w:t>Yiamouyiannis</w:t>
      </w:r>
      <w:proofErr w:type="spellEnd"/>
      <w:r w:rsidRPr="00C5545D">
        <w:rPr>
          <w:rFonts w:ascii="Abadi" w:hAnsi="Abadi"/>
          <w:sz w:val="21"/>
          <w:szCs w:val="21"/>
        </w:rPr>
        <w:t xml:space="preserve">, White y </w:t>
      </w:r>
      <w:proofErr w:type="spellStart"/>
      <w:r w:rsidRPr="00C5545D">
        <w:rPr>
          <w:rFonts w:ascii="Abadi" w:hAnsi="Abadi"/>
          <w:sz w:val="21"/>
          <w:szCs w:val="21"/>
        </w:rPr>
        <w:t>Ridpath</w:t>
      </w:r>
      <w:proofErr w:type="spellEnd"/>
      <w:r w:rsidRPr="00C5545D">
        <w:rPr>
          <w:rFonts w:ascii="Abadi" w:hAnsi="Abadi"/>
          <w:sz w:val="21"/>
          <w:szCs w:val="21"/>
        </w:rPr>
        <w:t xml:space="preserve"> (2011) y </w:t>
      </w:r>
      <w:proofErr w:type="spellStart"/>
      <w:r w:rsidRPr="00C5545D">
        <w:rPr>
          <w:rFonts w:ascii="Abadi" w:hAnsi="Abadi"/>
          <w:sz w:val="21"/>
          <w:szCs w:val="21"/>
        </w:rPr>
        <w:t>Oswalt</w:t>
      </w:r>
      <w:proofErr w:type="spellEnd"/>
      <w:r w:rsidRPr="00C5545D">
        <w:rPr>
          <w:rFonts w:ascii="Abadi" w:hAnsi="Abadi"/>
          <w:sz w:val="21"/>
          <w:szCs w:val="21"/>
        </w:rPr>
        <w:t xml:space="preserve"> y Vargas (2013) encuentran actitudes positivas hacia los deportistas LGTB entre los entrenadores, existiendo solo el 15% de los entrenadores y entrenadoras encuestados que demostraban actitudes negativas. La mejora del clima hacia las personas no </w:t>
      </w:r>
      <w:r w:rsidRPr="00C5545D">
        <w:rPr>
          <w:rFonts w:ascii="Abadi" w:hAnsi="Abadi"/>
          <w:sz w:val="21"/>
          <w:szCs w:val="21"/>
        </w:rPr>
        <w:lastRenderedPageBreak/>
        <w:t xml:space="preserve">heterosexuales se hace más claro cuando se entra en contacto directo con personas del colectivo LGTB, creando de un clima más respetuoso e inclusivo (Adam y Anderson, 2012; </w:t>
      </w:r>
      <w:proofErr w:type="spellStart"/>
      <w:r w:rsidRPr="00C5545D">
        <w:rPr>
          <w:rFonts w:ascii="Abadi" w:hAnsi="Abadi"/>
          <w:sz w:val="21"/>
          <w:szCs w:val="21"/>
        </w:rPr>
        <w:t>Cunnigham</w:t>
      </w:r>
      <w:proofErr w:type="spellEnd"/>
      <w:r w:rsidRPr="00C5545D">
        <w:rPr>
          <w:rFonts w:ascii="Abadi" w:hAnsi="Abadi"/>
          <w:sz w:val="21"/>
          <w:szCs w:val="21"/>
        </w:rPr>
        <w:t xml:space="preserve"> y Melton, 2012; </w:t>
      </w:r>
      <w:proofErr w:type="spellStart"/>
      <w:r w:rsidRPr="00C5545D">
        <w:rPr>
          <w:rFonts w:ascii="Abadi" w:hAnsi="Abadi"/>
          <w:sz w:val="21"/>
          <w:szCs w:val="21"/>
        </w:rPr>
        <w:t>Ensign</w:t>
      </w:r>
      <w:proofErr w:type="spellEnd"/>
      <w:r w:rsidRPr="00C5545D">
        <w:rPr>
          <w:rFonts w:ascii="Abadi" w:hAnsi="Abadi"/>
          <w:sz w:val="21"/>
          <w:szCs w:val="21"/>
        </w:rPr>
        <w:t xml:space="preserve">, </w:t>
      </w:r>
      <w:proofErr w:type="spellStart"/>
      <w:r w:rsidRPr="00C5545D">
        <w:rPr>
          <w:rFonts w:ascii="Abadi" w:hAnsi="Abadi"/>
          <w:sz w:val="21"/>
          <w:szCs w:val="21"/>
        </w:rPr>
        <w:t>Yiamouyiannis</w:t>
      </w:r>
      <w:proofErr w:type="spellEnd"/>
      <w:r w:rsidRPr="00C5545D">
        <w:rPr>
          <w:rFonts w:ascii="Abadi" w:hAnsi="Abadi"/>
          <w:sz w:val="21"/>
          <w:szCs w:val="21"/>
        </w:rPr>
        <w:t xml:space="preserve">, White y </w:t>
      </w:r>
      <w:proofErr w:type="spellStart"/>
      <w:r w:rsidRPr="00C5545D">
        <w:rPr>
          <w:rFonts w:ascii="Abadi" w:hAnsi="Abadi"/>
          <w:sz w:val="21"/>
          <w:szCs w:val="21"/>
        </w:rPr>
        <w:t>Ridpath</w:t>
      </w:r>
      <w:proofErr w:type="spellEnd"/>
      <w:r w:rsidRPr="00C5545D">
        <w:rPr>
          <w:rFonts w:ascii="Abadi" w:hAnsi="Abadi"/>
          <w:sz w:val="21"/>
          <w:szCs w:val="21"/>
        </w:rPr>
        <w:t>, 2011)</w:t>
      </w:r>
      <w:r w:rsidRPr="00C5545D">
        <w:rPr>
          <w:rFonts w:ascii="Abadi" w:hAnsi="Abadi"/>
          <w:sz w:val="21"/>
          <w:szCs w:val="21"/>
          <w:vertAlign w:val="superscript"/>
        </w:rPr>
        <w:footnoteReference w:id="17"/>
      </w:r>
      <w:r w:rsidRPr="00C5545D">
        <w:rPr>
          <w:rFonts w:ascii="Abadi" w:hAnsi="Abadi"/>
          <w:sz w:val="21"/>
          <w:szCs w:val="21"/>
        </w:rPr>
        <w:t>.</w:t>
      </w:r>
      <w:r w:rsidRPr="00C5545D">
        <w:rPr>
          <w:rFonts w:ascii="Abadi" w:hAnsi="Abadi" w:cs="Arial"/>
          <w:b/>
          <w:sz w:val="21"/>
          <w:szCs w:val="21"/>
        </w:rPr>
        <w:t xml:space="preserve"> </w:t>
      </w:r>
    </w:p>
    <w:p w14:paraId="42407F2C" w14:textId="28E6DD71" w:rsidR="00BF55D3" w:rsidRPr="00C5545D" w:rsidRDefault="00BF55D3" w:rsidP="00BF55D3">
      <w:pPr>
        <w:spacing w:after="216" w:line="259" w:lineRule="auto"/>
        <w:ind w:left="142"/>
        <w:jc w:val="both"/>
        <w:rPr>
          <w:rFonts w:ascii="Abadi" w:hAnsi="Abadi"/>
          <w:sz w:val="21"/>
          <w:szCs w:val="21"/>
        </w:rPr>
      </w:pPr>
      <w:r w:rsidRPr="00C5545D">
        <w:rPr>
          <w:rFonts w:ascii="Abadi" w:hAnsi="Abadi" w:cs="Arial"/>
          <w:b/>
          <w:sz w:val="21"/>
          <w:szCs w:val="21"/>
        </w:rPr>
        <w:t xml:space="preserve"> </w:t>
      </w:r>
    </w:p>
    <w:p w14:paraId="3F5B8563"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 xml:space="preserve">El deporte como un derecho humano. </w:t>
      </w:r>
    </w:p>
    <w:p w14:paraId="35190EF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D5FF811"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La Organización de las Naciones Unidas (ONU) define los Derechos Humanos como “</w:t>
      </w:r>
      <w:r w:rsidRPr="00C5545D">
        <w:rPr>
          <w:rFonts w:ascii="Abadi" w:hAnsi="Abadi" w:cs="Arial"/>
          <w:i/>
          <w:sz w:val="21"/>
          <w:szCs w:val="21"/>
        </w:rPr>
        <w:t>aquellos derechos inherentes a todos los seres humanos, sin distinción alguna de nacionalidad, lugar de residencia, sexo, origen nacional o étnico, color, religión, lengua, o cualquier otra condición</w:t>
      </w:r>
      <w:r w:rsidRPr="00C5545D">
        <w:rPr>
          <w:rFonts w:ascii="Abadi" w:hAnsi="Abadi"/>
          <w:sz w:val="21"/>
          <w:szCs w:val="21"/>
        </w:rPr>
        <w:t>”</w:t>
      </w:r>
      <w:r w:rsidRPr="00C5545D">
        <w:rPr>
          <w:rFonts w:ascii="Abadi" w:hAnsi="Abadi"/>
          <w:sz w:val="21"/>
          <w:szCs w:val="21"/>
          <w:vertAlign w:val="superscript"/>
        </w:rPr>
        <w:footnoteReference w:id="18"/>
      </w:r>
      <w:r w:rsidRPr="00C5545D">
        <w:rPr>
          <w:rFonts w:ascii="Abadi" w:hAnsi="Abadi"/>
          <w:sz w:val="21"/>
          <w:szCs w:val="21"/>
        </w:rPr>
        <w:t xml:space="preserve">. </w:t>
      </w:r>
    </w:p>
    <w:p w14:paraId="05BC71F5"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96C65F3"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Los Derechos Humanos son instrumentos para el logro de una vida humana digna, y son derechos fundamentales que se caracterizan por proteger la dignidad de las personas. </w:t>
      </w:r>
    </w:p>
    <w:p w14:paraId="3E8FD99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F9C6109"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lo tanto, es obligación de los gobiernos promover los Derechos Humanos y libertades fundamentales, toda vez que son un tema transversal que deben ser considerados en las políticas públicas de desarrollo, asistencia, seguridad y asuntos sociales y económicos. Por su parte, la Ley General de Cultura Física y Deporte (en adelante LGCFD) en su artículo 5° define a la actividad física como los “actos motores propios del ser humano, realizados como parte de sus actividades cotidianas”. A su vez, se distinguen dos tipos de actividades físicas, la recreación física y el deporte. </w:t>
      </w:r>
    </w:p>
    <w:p w14:paraId="1D43598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BCF7AC5"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La recreación física corresponde a las “</w:t>
      </w:r>
      <w:r w:rsidRPr="00C5545D">
        <w:rPr>
          <w:rFonts w:ascii="Abadi" w:hAnsi="Abadi" w:cs="Arial"/>
          <w:i/>
          <w:sz w:val="21"/>
          <w:szCs w:val="21"/>
        </w:rPr>
        <w:t>actividades físicas que se realizan con fines lúdicos que permiten la utilización positiva del tiempo libre</w:t>
      </w:r>
      <w:r w:rsidRPr="00C5545D">
        <w:rPr>
          <w:rFonts w:ascii="Abadi" w:hAnsi="Abadi"/>
          <w:sz w:val="21"/>
          <w:szCs w:val="21"/>
        </w:rPr>
        <w:t xml:space="preserve">”. Mientras que por deporte se entiende la </w:t>
      </w:r>
      <w:r w:rsidRPr="00C5545D">
        <w:rPr>
          <w:rFonts w:ascii="Abadi" w:hAnsi="Abadi" w:cs="Arial"/>
          <w:i/>
          <w:sz w:val="21"/>
          <w:szCs w:val="21"/>
        </w:rPr>
        <w:t>“actividad física, organizada y reglamentada, que tiene por finalidad preservar y mejorar la salud física y mental, el desarrollo social, ético e intelectual, con el logro de resultados en competiciones</w:t>
      </w:r>
      <w:r w:rsidRPr="00C5545D">
        <w:rPr>
          <w:rFonts w:ascii="Abadi" w:hAnsi="Abadi"/>
          <w:sz w:val="21"/>
          <w:szCs w:val="21"/>
        </w:rPr>
        <w:t>”</w:t>
      </w:r>
      <w:r w:rsidRPr="00C5545D">
        <w:rPr>
          <w:rFonts w:ascii="Abadi" w:hAnsi="Abadi"/>
          <w:sz w:val="21"/>
          <w:szCs w:val="21"/>
          <w:vertAlign w:val="superscript"/>
        </w:rPr>
        <w:t>7</w:t>
      </w:r>
      <w:r w:rsidRPr="00C5545D">
        <w:rPr>
          <w:rFonts w:ascii="Abadi" w:hAnsi="Abadi"/>
          <w:sz w:val="21"/>
          <w:szCs w:val="21"/>
        </w:rPr>
        <w:t xml:space="preserve">. </w:t>
      </w:r>
    </w:p>
    <w:p w14:paraId="21A5BDC5"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E6DFF1D"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Asimismo, dentro del deporte se identifican tres distintos ámbitos: </w:t>
      </w:r>
    </w:p>
    <w:p w14:paraId="0CE0DF7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9EAA43D" w14:textId="77777777" w:rsidR="00BF55D3" w:rsidRPr="00C5545D" w:rsidRDefault="00BF55D3" w:rsidP="00BF55D3">
      <w:pPr>
        <w:numPr>
          <w:ilvl w:val="0"/>
          <w:numId w:val="49"/>
        </w:numPr>
        <w:spacing w:after="78" w:line="247" w:lineRule="auto"/>
        <w:ind w:right="4" w:hanging="720"/>
        <w:jc w:val="both"/>
        <w:rPr>
          <w:rFonts w:ascii="Abadi" w:hAnsi="Abadi"/>
          <w:sz w:val="21"/>
          <w:szCs w:val="21"/>
        </w:rPr>
      </w:pPr>
      <w:r w:rsidRPr="00C5545D">
        <w:rPr>
          <w:rFonts w:ascii="Abadi" w:hAnsi="Abadi" w:cs="Arial"/>
          <w:b/>
          <w:sz w:val="21"/>
          <w:szCs w:val="21"/>
        </w:rPr>
        <w:t>Deporte Social</w:t>
      </w:r>
      <w:r w:rsidRPr="00C5545D">
        <w:rPr>
          <w:rFonts w:ascii="Abadi" w:hAnsi="Abadi"/>
          <w:sz w:val="21"/>
          <w:szCs w:val="21"/>
        </w:rPr>
        <w:t xml:space="preserve">: el deporte que promueve, fomenta y estimula el que todas las personas sin distinción de género, edad, discapacidad, condición social, religión, opiniones, preferencias o estado civil, tengan igualdad de participación en actividades deportivas con finalidades recreativas, educativas y de salud o rehabilitación. </w:t>
      </w:r>
    </w:p>
    <w:p w14:paraId="29AB8C3B" w14:textId="77777777" w:rsidR="00BF55D3" w:rsidRPr="00C5545D" w:rsidRDefault="00BF55D3" w:rsidP="00BF55D3">
      <w:pPr>
        <w:spacing w:line="259" w:lineRule="auto"/>
        <w:ind w:left="142"/>
        <w:jc w:val="both"/>
        <w:rPr>
          <w:rFonts w:ascii="Abadi" w:hAnsi="Abadi"/>
          <w:sz w:val="21"/>
          <w:szCs w:val="21"/>
        </w:rPr>
      </w:pPr>
      <w:r w:rsidRPr="00C5545D">
        <w:rPr>
          <w:rFonts w:ascii="Abadi" w:eastAsia="Calibri" w:hAnsi="Abadi" w:cs="Calibri"/>
          <w:sz w:val="21"/>
          <w:szCs w:val="21"/>
        </w:rPr>
        <w:t xml:space="preserve"> </w:t>
      </w:r>
    </w:p>
    <w:p w14:paraId="352F85A2" w14:textId="77777777" w:rsidR="00BF55D3" w:rsidRPr="00C5545D" w:rsidRDefault="00BF55D3" w:rsidP="00BF55D3">
      <w:pPr>
        <w:spacing w:line="259" w:lineRule="auto"/>
        <w:ind w:left="2330"/>
        <w:jc w:val="both"/>
        <w:rPr>
          <w:rFonts w:ascii="Abadi" w:hAnsi="Abadi"/>
          <w:sz w:val="21"/>
          <w:szCs w:val="21"/>
        </w:rPr>
      </w:pPr>
      <w:r w:rsidRPr="00C5545D">
        <w:rPr>
          <w:rFonts w:ascii="Abadi" w:hAnsi="Abadi"/>
          <w:sz w:val="21"/>
          <w:szCs w:val="21"/>
        </w:rPr>
        <w:t xml:space="preserve"> </w:t>
      </w:r>
    </w:p>
    <w:p w14:paraId="7B26554A" w14:textId="77777777" w:rsidR="00BF55D3" w:rsidRPr="00C5545D" w:rsidRDefault="00BF55D3" w:rsidP="00BF55D3">
      <w:pPr>
        <w:numPr>
          <w:ilvl w:val="0"/>
          <w:numId w:val="49"/>
        </w:numPr>
        <w:spacing w:after="15" w:line="247" w:lineRule="auto"/>
        <w:ind w:right="4" w:hanging="720"/>
        <w:jc w:val="both"/>
        <w:rPr>
          <w:rFonts w:ascii="Abadi" w:hAnsi="Abadi"/>
          <w:sz w:val="21"/>
          <w:szCs w:val="21"/>
        </w:rPr>
      </w:pPr>
      <w:r w:rsidRPr="00C5545D">
        <w:rPr>
          <w:rFonts w:ascii="Abadi" w:hAnsi="Abadi" w:cs="Arial"/>
          <w:b/>
          <w:sz w:val="21"/>
          <w:szCs w:val="21"/>
        </w:rPr>
        <w:t>Deporte de Rendimiento</w:t>
      </w:r>
      <w:r w:rsidRPr="00C5545D">
        <w:rPr>
          <w:rFonts w:ascii="Abadi" w:hAnsi="Abadi"/>
          <w:sz w:val="21"/>
          <w:szCs w:val="21"/>
        </w:rPr>
        <w:t xml:space="preserve">: el deporte que promueve, fomenta y estimula el que todas las personas puedan mejorar su nivel de calidad deportiva como aficionados, pudiendo integrarse al deporte de alto rendimiento, o en su caso, sujetarse adecuadamente a una relación laboral por la práctica del deporte. </w:t>
      </w:r>
    </w:p>
    <w:p w14:paraId="08A2F5FE" w14:textId="77777777" w:rsidR="00BF55D3" w:rsidRPr="00C5545D" w:rsidRDefault="00BF55D3" w:rsidP="00BF55D3">
      <w:pPr>
        <w:spacing w:line="259" w:lineRule="auto"/>
        <w:ind w:left="1222"/>
        <w:jc w:val="both"/>
        <w:rPr>
          <w:rFonts w:ascii="Abadi" w:hAnsi="Abadi"/>
          <w:sz w:val="21"/>
          <w:szCs w:val="21"/>
        </w:rPr>
      </w:pPr>
      <w:r w:rsidRPr="00C5545D">
        <w:rPr>
          <w:rFonts w:ascii="Abadi" w:hAnsi="Abadi"/>
          <w:sz w:val="21"/>
          <w:szCs w:val="21"/>
        </w:rPr>
        <w:t xml:space="preserve"> </w:t>
      </w:r>
    </w:p>
    <w:p w14:paraId="6EC3B95C" w14:textId="77777777" w:rsidR="00BF55D3" w:rsidRPr="00C5545D" w:rsidRDefault="00BF55D3" w:rsidP="00BF55D3">
      <w:pPr>
        <w:numPr>
          <w:ilvl w:val="0"/>
          <w:numId w:val="49"/>
        </w:numPr>
        <w:spacing w:after="15" w:line="247" w:lineRule="auto"/>
        <w:ind w:right="4" w:hanging="720"/>
        <w:jc w:val="both"/>
        <w:rPr>
          <w:rFonts w:ascii="Abadi" w:hAnsi="Abadi"/>
          <w:sz w:val="21"/>
          <w:szCs w:val="21"/>
        </w:rPr>
      </w:pPr>
      <w:r w:rsidRPr="00C5545D">
        <w:rPr>
          <w:rFonts w:ascii="Abadi" w:hAnsi="Abadi" w:cs="Arial"/>
          <w:b/>
          <w:sz w:val="21"/>
          <w:szCs w:val="21"/>
        </w:rPr>
        <w:t>Deporte de Alto Rendimiento</w:t>
      </w:r>
      <w:r w:rsidRPr="00C5545D">
        <w:rPr>
          <w:rFonts w:ascii="Abadi" w:hAnsi="Abadi"/>
          <w:sz w:val="21"/>
          <w:szCs w:val="21"/>
        </w:rPr>
        <w:t xml:space="preserve">: el deporte que se practica con altas exigencias técnicas y científicas de preparación y entrenamiento, que permite al deportista la participación en preselecciones y selecciones nacionales que representan al país en competiciones y pruebas oficiales de carácter internacional. </w:t>
      </w:r>
    </w:p>
    <w:p w14:paraId="65AADF1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73CE864"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Por su parte, en el informe “</w:t>
      </w:r>
      <w:r w:rsidRPr="00C5545D">
        <w:rPr>
          <w:rFonts w:ascii="Abadi" w:hAnsi="Abadi" w:cs="Arial"/>
          <w:i/>
          <w:sz w:val="21"/>
          <w:szCs w:val="21"/>
        </w:rPr>
        <w:t>El deporte al servicio del desarrollo y la paz</w:t>
      </w:r>
      <w:r w:rsidRPr="00C5545D">
        <w:rPr>
          <w:rFonts w:ascii="Abadi" w:hAnsi="Abadi"/>
          <w:sz w:val="21"/>
          <w:szCs w:val="21"/>
        </w:rPr>
        <w:t>” se define al deporte como “</w:t>
      </w:r>
      <w:r w:rsidRPr="00C5545D">
        <w:rPr>
          <w:rFonts w:ascii="Abadi" w:hAnsi="Abadi" w:cs="Arial"/>
          <w:i/>
          <w:sz w:val="21"/>
          <w:szCs w:val="21"/>
        </w:rPr>
        <w:t>las formas de actividad física que contribuyen al buen estado físico, el bienestar mental y la interacción social</w:t>
      </w:r>
      <w:r w:rsidRPr="00C5545D">
        <w:rPr>
          <w:rFonts w:ascii="Abadi" w:hAnsi="Abadi"/>
          <w:sz w:val="21"/>
          <w:szCs w:val="21"/>
        </w:rPr>
        <w:t>”. Y continúa “</w:t>
      </w:r>
      <w:r w:rsidRPr="00C5545D">
        <w:rPr>
          <w:rFonts w:ascii="Abadi" w:hAnsi="Abadi" w:cs="Arial"/>
          <w:i/>
          <w:sz w:val="21"/>
          <w:szCs w:val="21"/>
        </w:rPr>
        <w:t xml:space="preserve">entre estas formas de actividad física se incluye el juego, la recreación, el deporte organizado, informal o de </w:t>
      </w:r>
      <w:r w:rsidRPr="00C5545D">
        <w:rPr>
          <w:rFonts w:ascii="Abadi" w:hAnsi="Abadi" w:cs="Arial"/>
          <w:i/>
          <w:sz w:val="21"/>
          <w:szCs w:val="21"/>
        </w:rPr>
        <w:lastRenderedPageBreak/>
        <w:t>competición; y los deportes o juegos autóctonos</w:t>
      </w:r>
      <w:r w:rsidRPr="00C5545D">
        <w:rPr>
          <w:rFonts w:ascii="Abadi" w:hAnsi="Abadi"/>
          <w:sz w:val="21"/>
          <w:szCs w:val="21"/>
        </w:rPr>
        <w:t>”</w:t>
      </w:r>
      <w:r w:rsidRPr="00C5545D">
        <w:rPr>
          <w:rFonts w:ascii="Abadi" w:hAnsi="Abadi"/>
          <w:sz w:val="21"/>
          <w:szCs w:val="21"/>
          <w:vertAlign w:val="superscript"/>
        </w:rPr>
        <w:footnoteReference w:id="19"/>
      </w:r>
      <w:r w:rsidRPr="00C5545D">
        <w:rPr>
          <w:rFonts w:ascii="Abadi" w:hAnsi="Abadi"/>
          <w:sz w:val="21"/>
          <w:szCs w:val="21"/>
        </w:rPr>
        <w:t xml:space="preserve">. </w:t>
      </w:r>
    </w:p>
    <w:p w14:paraId="26AC344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75E2325"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Otra definición del deporte la podemos encontrar en la Carta Europea del Deporte, del Consejo de Europa, en su artículo 2, señala que deporte es “</w:t>
      </w:r>
      <w:r w:rsidRPr="00C5545D">
        <w:rPr>
          <w:rFonts w:ascii="Abadi" w:hAnsi="Abadi" w:cs="Arial"/>
          <w:i/>
          <w:sz w:val="21"/>
          <w:szCs w:val="21"/>
        </w:rPr>
        <w:t xml:space="preserve">todo tipo de actividades físicas que, mediante una participación, organizada o de otro tipo, tengan por finalidad la expresión o la mejora de la condición física y psíquica, el desarrollo de las relaciones sociales o el logro de resultados en competiciones de todos los niveles”. </w:t>
      </w:r>
    </w:p>
    <w:p w14:paraId="3177016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3D7CD64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Respecto al deporte como Derecho Humano, la Carta Internacional de la Educación Física, la Actividad Física y el Deporte, de la UNESCO, reconoce en su artículo 1°que, “</w:t>
      </w:r>
      <w:r w:rsidRPr="00C5545D">
        <w:rPr>
          <w:rFonts w:ascii="Abadi" w:hAnsi="Abadi" w:cs="Arial"/>
          <w:i/>
          <w:sz w:val="21"/>
          <w:szCs w:val="21"/>
        </w:rPr>
        <w:t>La práctica de la educación física, la actividad física y el deporte como un derecho fundamental para todos</w:t>
      </w:r>
      <w:r w:rsidRPr="00C5545D">
        <w:rPr>
          <w:rFonts w:ascii="Abadi" w:hAnsi="Abadi"/>
          <w:sz w:val="21"/>
          <w:szCs w:val="21"/>
        </w:rPr>
        <w:t>”. Además, en el mismo artículo se señala en forma textual:</w:t>
      </w:r>
      <w:r w:rsidRPr="00C5545D">
        <w:rPr>
          <w:rFonts w:ascii="Abadi" w:hAnsi="Abadi" w:cs="Arial"/>
          <w:i/>
          <w:sz w:val="21"/>
          <w:szCs w:val="21"/>
        </w:rPr>
        <w:t xml:space="preserve"> </w:t>
      </w:r>
    </w:p>
    <w:p w14:paraId="79346AA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AEC9036"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“1.1 Todo ser humano tiene el derecho fundamental de acceder a la educación física, la actividad física y el deporte sin discriminación alguna, ya esté está basada en criterios étnicos, el sexo, la orientación sexual, el idioma, la religión, la opinión política o de cualquier otra índole, el origen nacional o social, la posición económica o cualquier otro factor. </w:t>
      </w:r>
    </w:p>
    <w:p w14:paraId="1065581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1AF11032" w14:textId="77777777" w:rsidR="00BF55D3" w:rsidRPr="00C5545D" w:rsidRDefault="00BF55D3" w:rsidP="00BF55D3">
      <w:pPr>
        <w:spacing w:after="228" w:line="249" w:lineRule="auto"/>
        <w:ind w:left="137" w:right="3"/>
        <w:jc w:val="both"/>
        <w:rPr>
          <w:rFonts w:ascii="Abadi" w:hAnsi="Abadi"/>
          <w:sz w:val="21"/>
          <w:szCs w:val="21"/>
        </w:rPr>
      </w:pPr>
      <w:r w:rsidRPr="00C5545D">
        <w:rPr>
          <w:rFonts w:ascii="Abadi" w:hAnsi="Abadi" w:cs="Arial"/>
          <w:i/>
          <w:sz w:val="21"/>
          <w:szCs w:val="21"/>
        </w:rPr>
        <w:t xml:space="preserve">1.2 La posibilidad de desarrollar el bienestar y las capacidades físicas, psicológicas y sociales por medio de estas actividades debe verse respaldada por todas las instituciones gubernamentales, deportivas y educativas. </w:t>
      </w:r>
    </w:p>
    <w:p w14:paraId="767F33DB" w14:textId="35B6151A"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08F53F70"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 </w:t>
      </w:r>
    </w:p>
    <w:p w14:paraId="438F6E4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708745CE"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1.4 La igualdad de oportunidades de participar e intervenir a todos los niveles de supervisión y adopción de decisiones en la educación física, la actividad física y el deporte, ya sea con fines de esparcimiento y </w:t>
      </w:r>
      <w:r w:rsidRPr="00C5545D">
        <w:rPr>
          <w:rFonts w:ascii="Abadi" w:hAnsi="Abadi" w:cs="Arial"/>
          <w:i/>
          <w:sz w:val="21"/>
          <w:szCs w:val="21"/>
        </w:rPr>
        <w:t>recreo, promoción de la salud o altos resultados deportivos, es un derecho que toda niña y toda mujer debe poder ejercer plenamente</w:t>
      </w:r>
      <w:r w:rsidRPr="00C5545D">
        <w:rPr>
          <w:rFonts w:ascii="Abadi" w:hAnsi="Abadi"/>
          <w:sz w:val="21"/>
          <w:szCs w:val="21"/>
        </w:rPr>
        <w:t>…”</w:t>
      </w:r>
      <w:r w:rsidRPr="00C5545D">
        <w:rPr>
          <w:rFonts w:ascii="Abadi" w:hAnsi="Abadi"/>
          <w:sz w:val="21"/>
          <w:szCs w:val="21"/>
          <w:vertAlign w:val="superscript"/>
        </w:rPr>
        <w:footnoteReference w:id="20"/>
      </w:r>
      <w:r w:rsidRPr="00C5545D">
        <w:rPr>
          <w:rFonts w:ascii="Abadi" w:hAnsi="Abadi" w:cs="Arial"/>
          <w:i/>
          <w:sz w:val="21"/>
          <w:szCs w:val="21"/>
        </w:rPr>
        <w:t xml:space="preserve"> </w:t>
      </w:r>
    </w:p>
    <w:p w14:paraId="108DD4C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2C283075"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Es en esta carta internacional, ratificada por México, donde se reconoce al deporte como un derecho fundamental; además, se señala que este derecho fundamental debe ejercerse de manera incluyente, fomentando las distintas capacidades de las personas y en un contexto de igualdad de oportunidades. Igualmente, se señala que las instituciones públicas de cada país deben de apoyar y respaldar este derecho fundamental. </w:t>
      </w:r>
    </w:p>
    <w:p w14:paraId="1CD7B66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A7D1BE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México, el artículo 4, párrafo doceavo de la Constitución Política de los Estados Unidos Mexicanos, señala con precisión que: </w:t>
      </w:r>
    </w:p>
    <w:p w14:paraId="4CA362C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3103BB0"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“Toda persona tiene derecho a la cultura física y a la práctica del deporte. Corresponde al Estado su promoción, fomento y estímulo conforme a las leyes en la materia.” </w:t>
      </w:r>
    </w:p>
    <w:p w14:paraId="10CEA3E9"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6272D45F"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De lo que se obtiene que, es indiscutible que el derecho a la cultura física y al deporte, tiene carácter fundamental, por lo que los órganos del estado en los tres niveles de gobierno están obligados a promoverlos, respetarlos y garantizarlos de acuerdo al propio artículo 1º de la Carta Fundamental. Y entre los órganos que se encuentran obligados a estos aspectos se encuentra el poder legislativo, como es el caso en que los iniciantes asumimos esta responsabilidad, mediante la presente iniciativa integral que nos permite de penetrar a sectores, como es el deporte, donde no son visibles ciertos grupos sociales como es el caso de la niñez y los sectores más vulnerables o invisibles en el ámbito de protección de sus derechos fundamentales. </w:t>
      </w:r>
    </w:p>
    <w:p w14:paraId="6A4A1939"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7B6A24F"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 xml:space="preserve">En tal sentido podemos señalar que el Comité Olímpico Internacional (COI) reconoce en la Carta Olímpica como principio fundamental de su movimiento que </w:t>
      </w:r>
      <w:r w:rsidRPr="00C5545D">
        <w:rPr>
          <w:rFonts w:ascii="Abadi" w:hAnsi="Abadi"/>
          <w:sz w:val="21"/>
          <w:szCs w:val="21"/>
        </w:rPr>
        <w:lastRenderedPageBreak/>
        <w:t>“</w:t>
      </w:r>
      <w:r w:rsidRPr="00C5545D">
        <w:rPr>
          <w:rFonts w:ascii="Abadi" w:hAnsi="Abadi" w:cs="Arial"/>
          <w:i/>
          <w:sz w:val="21"/>
          <w:szCs w:val="21"/>
        </w:rPr>
        <w:t xml:space="preserve">La práctica del deporte es un derecho humano. Toda persona debe tener la posibilidad de practicar deporte sin discriminación de ningún tipo y dentro del espíritu olímpico, que exige comprensión mutua, espíritu de </w:t>
      </w:r>
      <w:proofErr w:type="gramStart"/>
      <w:r w:rsidRPr="00C5545D">
        <w:rPr>
          <w:rFonts w:ascii="Abadi" w:hAnsi="Abadi" w:cs="Arial"/>
          <w:i/>
          <w:sz w:val="21"/>
          <w:szCs w:val="21"/>
        </w:rPr>
        <w:t>amistad,  solidaridad</w:t>
      </w:r>
      <w:proofErr w:type="gramEnd"/>
      <w:r w:rsidRPr="00C5545D">
        <w:rPr>
          <w:rFonts w:ascii="Abadi" w:hAnsi="Abadi" w:cs="Arial"/>
          <w:i/>
          <w:sz w:val="21"/>
          <w:szCs w:val="21"/>
        </w:rPr>
        <w:t xml:space="preserve"> y juego limpio</w:t>
      </w:r>
      <w:r w:rsidRPr="00C5545D">
        <w:rPr>
          <w:rFonts w:ascii="Abadi" w:hAnsi="Abadi"/>
          <w:sz w:val="21"/>
          <w:szCs w:val="21"/>
        </w:rPr>
        <w:t xml:space="preserve">”. Si bien el Estado Mexicano no está obligado al cumplimiento de la Carta Olímpica, ésta sí es reconocida por el Comité Olímpico Mexicano (COM) y las asociaciones deportivas afiliadas a este. Por lo que las acciones de éstos últimos deben estar orientadas al fomento y cumplimiento de este derecho humano. </w:t>
      </w:r>
    </w:p>
    <w:p w14:paraId="747D7B2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CEB5C5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su parte, el tratadista Karlos Castilla señala a la práctica deportiva como el derecho que tiene toda persona a desarrollar actividades predominantemente físicas, de manera individual o colectiva, con fines recreativos o competitivos, de forma preferentemente organizada y sujeta a normas para su desarrollo.  </w:t>
      </w:r>
    </w:p>
    <w:p w14:paraId="3C4169B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481669A"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Para este autor, el núcleo o contenido esencial de la práctica del deporte es la posibilidad que tiene una persona de desarrollar la actividad física de su preferencia en el nivel o intensidad que comúnmente lo hace. Así, para Castilla, se trata de un derecho con distinta protección según sea: profesional; semiprofesional; recreativo o esporádico. </w:t>
      </w:r>
    </w:p>
    <w:p w14:paraId="6349E29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4874B26"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este orden de ideas, el derecho a la práctica deportiva puede expresarse en cualquiera de las formas en las que se manifiestan los derechos subjetivos, pero principalmente como: </w:t>
      </w:r>
    </w:p>
    <w:p w14:paraId="755AA76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1D5EA66" w14:textId="77777777" w:rsidR="00BF55D3" w:rsidRPr="00C5545D" w:rsidRDefault="00BF55D3" w:rsidP="00BF55D3">
      <w:pPr>
        <w:numPr>
          <w:ilvl w:val="0"/>
          <w:numId w:val="50"/>
        </w:numPr>
        <w:spacing w:after="15" w:line="247" w:lineRule="auto"/>
        <w:ind w:right="4" w:hanging="259"/>
        <w:jc w:val="both"/>
        <w:rPr>
          <w:rFonts w:ascii="Abadi" w:hAnsi="Abadi"/>
          <w:sz w:val="21"/>
          <w:szCs w:val="21"/>
        </w:rPr>
      </w:pPr>
      <w:r w:rsidRPr="00C5545D">
        <w:rPr>
          <w:rFonts w:ascii="Abadi" w:hAnsi="Abadi"/>
          <w:sz w:val="21"/>
          <w:szCs w:val="21"/>
        </w:rPr>
        <w:t xml:space="preserve">Derecho en sentido estricto (con obligaciones correlativas de hacer). </w:t>
      </w:r>
    </w:p>
    <w:p w14:paraId="768E10C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327D986" w14:textId="77777777" w:rsidR="00BF55D3" w:rsidRPr="00C5545D" w:rsidRDefault="00BF55D3" w:rsidP="00BF55D3">
      <w:pPr>
        <w:numPr>
          <w:ilvl w:val="0"/>
          <w:numId w:val="50"/>
        </w:numPr>
        <w:spacing w:after="15" w:line="247" w:lineRule="auto"/>
        <w:ind w:right="4" w:hanging="259"/>
        <w:jc w:val="both"/>
        <w:rPr>
          <w:rFonts w:ascii="Abadi" w:hAnsi="Abadi"/>
          <w:sz w:val="21"/>
          <w:szCs w:val="21"/>
        </w:rPr>
      </w:pPr>
      <w:r w:rsidRPr="00C5545D">
        <w:rPr>
          <w:rFonts w:ascii="Abadi" w:hAnsi="Abadi"/>
          <w:sz w:val="21"/>
          <w:szCs w:val="21"/>
        </w:rPr>
        <w:t xml:space="preserve">Libertad (con obligaciones correlativas de no hacer). </w:t>
      </w:r>
    </w:p>
    <w:p w14:paraId="6AD0BB2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4A7A579"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De esta forma, y dependiendo de su proyección, será un derecho autónomo de la persona o un derecho prestación por parte del Estado. </w:t>
      </w:r>
    </w:p>
    <w:p w14:paraId="0E83EDB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76429E3A"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Como derecho prestación, el Estado debe: </w:t>
      </w:r>
    </w:p>
    <w:p w14:paraId="74BD0BB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377FE18" w14:textId="77777777" w:rsidR="00BF55D3" w:rsidRPr="00C5545D" w:rsidRDefault="00BF55D3" w:rsidP="00BF55D3">
      <w:pPr>
        <w:numPr>
          <w:ilvl w:val="1"/>
          <w:numId w:val="50"/>
        </w:numPr>
        <w:spacing w:after="15" w:line="247" w:lineRule="auto"/>
        <w:ind w:right="4" w:hanging="720"/>
        <w:jc w:val="both"/>
        <w:rPr>
          <w:rFonts w:ascii="Abadi" w:hAnsi="Abadi"/>
          <w:sz w:val="21"/>
          <w:szCs w:val="21"/>
        </w:rPr>
      </w:pPr>
      <w:r w:rsidRPr="00C5545D">
        <w:rPr>
          <w:rFonts w:ascii="Abadi" w:hAnsi="Abadi" w:cs="Arial"/>
          <w:b/>
          <w:sz w:val="21"/>
          <w:szCs w:val="21"/>
        </w:rPr>
        <w:t>Respetar</w:t>
      </w:r>
      <w:r w:rsidRPr="00C5545D">
        <w:rPr>
          <w:rFonts w:ascii="Abadi" w:hAnsi="Abadi"/>
          <w:sz w:val="21"/>
          <w:szCs w:val="21"/>
        </w:rPr>
        <w:t xml:space="preserve">. Abstenerse de prohibir una determinada práctica deportiva, asegurar que el funcionamiento de asociaciones y federaciones deportivas no impida o limite indebidamente la práctica del deporte, generar las condiciones para que las prácticas deportivas se puedan desarrollar en todos los niveles posibles, garantizar presupuestos para instalaciones, equipamiento, transporte, etc.;  </w:t>
      </w:r>
    </w:p>
    <w:p w14:paraId="7D5BAD9D" w14:textId="77777777" w:rsidR="00BF55D3" w:rsidRPr="00C5545D" w:rsidRDefault="00BF55D3" w:rsidP="00BF55D3">
      <w:pPr>
        <w:spacing w:line="259" w:lineRule="auto"/>
        <w:ind w:left="1222"/>
        <w:jc w:val="both"/>
        <w:rPr>
          <w:rFonts w:ascii="Abadi" w:hAnsi="Abadi"/>
          <w:sz w:val="21"/>
          <w:szCs w:val="21"/>
        </w:rPr>
      </w:pPr>
      <w:r w:rsidRPr="00C5545D">
        <w:rPr>
          <w:rFonts w:ascii="Abadi" w:hAnsi="Abadi" w:cs="Arial"/>
          <w:b/>
          <w:sz w:val="21"/>
          <w:szCs w:val="21"/>
        </w:rPr>
        <w:t xml:space="preserve"> </w:t>
      </w:r>
    </w:p>
    <w:p w14:paraId="41206A81" w14:textId="77777777" w:rsidR="00BF55D3" w:rsidRPr="00C5545D" w:rsidRDefault="00BF55D3" w:rsidP="00BF55D3">
      <w:pPr>
        <w:spacing w:line="259" w:lineRule="auto"/>
        <w:ind w:left="1222"/>
        <w:jc w:val="both"/>
        <w:rPr>
          <w:rFonts w:ascii="Abadi" w:hAnsi="Abadi"/>
          <w:sz w:val="21"/>
          <w:szCs w:val="21"/>
        </w:rPr>
      </w:pPr>
      <w:r w:rsidRPr="00C5545D">
        <w:rPr>
          <w:rFonts w:ascii="Abadi" w:hAnsi="Abadi" w:cs="Arial"/>
          <w:b/>
          <w:sz w:val="21"/>
          <w:szCs w:val="21"/>
        </w:rPr>
        <w:t xml:space="preserve"> </w:t>
      </w:r>
    </w:p>
    <w:p w14:paraId="13A2A41E" w14:textId="77777777" w:rsidR="00BF55D3" w:rsidRPr="00C5545D" w:rsidRDefault="00BF55D3" w:rsidP="00BF55D3">
      <w:pPr>
        <w:numPr>
          <w:ilvl w:val="1"/>
          <w:numId w:val="50"/>
        </w:numPr>
        <w:spacing w:after="15" w:line="247" w:lineRule="auto"/>
        <w:ind w:right="4" w:hanging="720"/>
        <w:jc w:val="both"/>
        <w:rPr>
          <w:rFonts w:ascii="Abadi" w:hAnsi="Abadi"/>
          <w:sz w:val="21"/>
          <w:szCs w:val="21"/>
        </w:rPr>
      </w:pPr>
      <w:r w:rsidRPr="00C5545D">
        <w:rPr>
          <w:rFonts w:ascii="Abadi" w:hAnsi="Abadi" w:cs="Arial"/>
          <w:b/>
          <w:sz w:val="21"/>
          <w:szCs w:val="21"/>
        </w:rPr>
        <w:t>Proteger.</w:t>
      </w:r>
      <w:r w:rsidRPr="00C5545D">
        <w:rPr>
          <w:rFonts w:ascii="Abadi" w:hAnsi="Abadi"/>
          <w:sz w:val="21"/>
          <w:szCs w:val="21"/>
        </w:rPr>
        <w:t xml:space="preserve"> Establecer las formas y modalidades en las que se puede desarrollar el deporte, reconocer los derechos y obligaciones que tienen quiénes las desarrollan, establecer el conjunto de instituciones y mecanismos para que promuevan, aseguren, faciliten y hagan efectiva la práctica del deporte; y </w:t>
      </w:r>
    </w:p>
    <w:p w14:paraId="617ED0CA" w14:textId="77777777" w:rsidR="00BF55D3" w:rsidRPr="00C5545D" w:rsidRDefault="00BF55D3" w:rsidP="00BF55D3">
      <w:pPr>
        <w:spacing w:line="259" w:lineRule="auto"/>
        <w:ind w:left="862"/>
        <w:jc w:val="both"/>
        <w:rPr>
          <w:rFonts w:ascii="Abadi" w:hAnsi="Abadi"/>
          <w:sz w:val="21"/>
          <w:szCs w:val="21"/>
        </w:rPr>
      </w:pPr>
      <w:r w:rsidRPr="00C5545D">
        <w:rPr>
          <w:rFonts w:ascii="Abadi" w:eastAsia="Calibri" w:hAnsi="Abadi" w:cs="Calibri"/>
          <w:sz w:val="21"/>
          <w:szCs w:val="21"/>
        </w:rPr>
        <w:t xml:space="preserve"> </w:t>
      </w:r>
    </w:p>
    <w:p w14:paraId="591CB092" w14:textId="77777777" w:rsidR="00BF55D3" w:rsidRPr="00C5545D" w:rsidRDefault="00BF55D3" w:rsidP="00BF55D3">
      <w:pPr>
        <w:numPr>
          <w:ilvl w:val="1"/>
          <w:numId w:val="50"/>
        </w:numPr>
        <w:spacing w:after="15" w:line="247" w:lineRule="auto"/>
        <w:ind w:right="4" w:hanging="720"/>
        <w:jc w:val="both"/>
        <w:rPr>
          <w:rFonts w:ascii="Abadi" w:hAnsi="Abadi"/>
          <w:sz w:val="21"/>
          <w:szCs w:val="21"/>
        </w:rPr>
      </w:pPr>
      <w:r w:rsidRPr="00C5545D">
        <w:rPr>
          <w:rFonts w:ascii="Abadi" w:hAnsi="Abadi" w:cs="Arial"/>
          <w:b/>
          <w:sz w:val="21"/>
          <w:szCs w:val="21"/>
        </w:rPr>
        <w:t>Garantizar</w:t>
      </w:r>
      <w:r w:rsidRPr="00C5545D">
        <w:rPr>
          <w:rFonts w:ascii="Abadi" w:hAnsi="Abadi"/>
          <w:sz w:val="21"/>
          <w:szCs w:val="21"/>
        </w:rPr>
        <w:t xml:space="preserve">. Establecer una institución encargada de vigilar que las normas sobre el deporte se cumplan, reconocer los recursos judiciales para hacer exigible el conjunto de condiciones necesarias para que una persona pueda practicar el deporte de su preferencia, así como para asegurar que ninguna persona sea excluida o limitada ilegal o indebidamente de la práctica deportiva en el nivel para el cual está preparada, establecer las sanciones ante el incumplimiento de todo lo anterior. </w:t>
      </w:r>
    </w:p>
    <w:p w14:paraId="3CAEAD0D" w14:textId="77777777" w:rsidR="00BF55D3" w:rsidRPr="00C5545D" w:rsidRDefault="00BF55D3" w:rsidP="00BF55D3">
      <w:pPr>
        <w:spacing w:line="259" w:lineRule="auto"/>
        <w:ind w:left="862"/>
        <w:jc w:val="both"/>
        <w:rPr>
          <w:rFonts w:ascii="Abadi" w:hAnsi="Abadi"/>
          <w:sz w:val="21"/>
          <w:szCs w:val="21"/>
        </w:rPr>
      </w:pPr>
      <w:r w:rsidRPr="00C5545D">
        <w:rPr>
          <w:rFonts w:ascii="Abadi" w:eastAsia="Calibri" w:hAnsi="Abadi" w:cs="Calibri"/>
          <w:sz w:val="21"/>
          <w:szCs w:val="21"/>
        </w:rPr>
        <w:t xml:space="preserve"> </w:t>
      </w:r>
    </w:p>
    <w:p w14:paraId="1431A7AA"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Distintos convenios internacionales reconocidas por México enfatizan el derecho a la actividad física y deporte de sectores vulnerables de la población. Tal es el caso de la CEDAW en el que todos los Estados firmantes se comprometen a implementar </w:t>
      </w:r>
      <w:r w:rsidRPr="00C5545D">
        <w:rPr>
          <w:rFonts w:ascii="Abadi" w:hAnsi="Abadi"/>
          <w:sz w:val="21"/>
          <w:szCs w:val="21"/>
        </w:rPr>
        <w:lastRenderedPageBreak/>
        <w:t xml:space="preserve">políticas orientadas a eliminar la discriminación contra la mujer en los ámbitos político, social, económico y cultural, incluyendo el deporte. </w:t>
      </w:r>
    </w:p>
    <w:p w14:paraId="4FF9D35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E2E6FE0"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su artículo 10°, la CEDAW señala lo siguiente: </w:t>
      </w:r>
    </w:p>
    <w:p w14:paraId="1686BD18"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A10F798"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w:t>
      </w:r>
      <w:r w:rsidRPr="00C5545D">
        <w:rPr>
          <w:rFonts w:ascii="Abadi" w:hAnsi="Abadi" w:cs="Arial"/>
          <w:i/>
          <w:sz w:val="21"/>
          <w:szCs w:val="21"/>
        </w:rPr>
        <w:t xml:space="preserve">Artículo 10°. Los </w:t>
      </w:r>
      <w:proofErr w:type="gramStart"/>
      <w:r w:rsidRPr="00C5545D">
        <w:rPr>
          <w:rFonts w:ascii="Abadi" w:hAnsi="Abadi" w:cs="Arial"/>
          <w:i/>
          <w:sz w:val="21"/>
          <w:szCs w:val="21"/>
        </w:rPr>
        <w:t>Estados Partes</w:t>
      </w:r>
      <w:proofErr w:type="gramEnd"/>
      <w:r w:rsidRPr="00C5545D">
        <w:rPr>
          <w:rFonts w:ascii="Abadi" w:hAnsi="Abadi" w:cs="Arial"/>
          <w:i/>
          <w:sz w:val="21"/>
          <w:szCs w:val="21"/>
        </w:rPr>
        <w:t xml:space="preserve"> adoptarán todas las medidas apropiadas para eliminar la discriminación contra la mujer, a fin de asegurarle la igualdad de derechos con el hombre en la esfera de la educación y en particular para asegurar, en condiciones de igualdad entre hombres y mujeres</w:t>
      </w:r>
      <w:r w:rsidRPr="00C5545D">
        <w:rPr>
          <w:rFonts w:ascii="Abadi" w:hAnsi="Abadi"/>
          <w:sz w:val="21"/>
          <w:szCs w:val="21"/>
        </w:rPr>
        <w:t xml:space="preserve">: … </w:t>
      </w:r>
    </w:p>
    <w:p w14:paraId="07F74CB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54637A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  </w:t>
      </w:r>
    </w:p>
    <w:p w14:paraId="61D11C1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E2E8654"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g) Las mismas oportunidades para participar activamente en el deporte y la educación física...” </w:t>
      </w:r>
    </w:p>
    <w:p w14:paraId="49E4094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C459F1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Asimismo, en el artículo 13° señala que: </w:t>
      </w:r>
    </w:p>
    <w:p w14:paraId="25F4560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995E267"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“Artículo 13°. Los </w:t>
      </w:r>
      <w:proofErr w:type="gramStart"/>
      <w:r w:rsidRPr="00C5545D">
        <w:rPr>
          <w:rFonts w:ascii="Abadi" w:hAnsi="Abadi" w:cs="Arial"/>
          <w:i/>
          <w:sz w:val="21"/>
          <w:szCs w:val="21"/>
        </w:rPr>
        <w:t>Estados Partes</w:t>
      </w:r>
      <w:proofErr w:type="gramEnd"/>
      <w:r w:rsidRPr="00C5545D">
        <w:rPr>
          <w:rFonts w:ascii="Abadi" w:hAnsi="Abadi" w:cs="Arial"/>
          <w:i/>
          <w:sz w:val="21"/>
          <w:szCs w:val="21"/>
        </w:rPr>
        <w:t xml:space="preserve"> adoptarán todas las medidas apropiadas para eliminar la discriminación contra la mujer en otras esferas de la vida económica y social a fin de asegurar, en condiciones de igualdad entre hombres y mujeres, los mismos derechos, en particular</w:t>
      </w:r>
      <w:r w:rsidRPr="00C5545D">
        <w:rPr>
          <w:rFonts w:ascii="Abadi" w:hAnsi="Abadi"/>
          <w:sz w:val="21"/>
          <w:szCs w:val="21"/>
        </w:rPr>
        <w:t xml:space="preserve">: </w:t>
      </w:r>
    </w:p>
    <w:p w14:paraId="761B4D4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B52D05A" w14:textId="37B05079" w:rsidR="00BF55D3" w:rsidRPr="00C5545D" w:rsidRDefault="00BF55D3" w:rsidP="008814CC">
      <w:pPr>
        <w:spacing w:line="259" w:lineRule="auto"/>
        <w:ind w:left="142"/>
        <w:jc w:val="both"/>
        <w:rPr>
          <w:rFonts w:ascii="Abadi" w:hAnsi="Abadi"/>
          <w:sz w:val="21"/>
          <w:szCs w:val="21"/>
        </w:rPr>
      </w:pPr>
      <w:r w:rsidRPr="00C5545D">
        <w:rPr>
          <w:rFonts w:ascii="Abadi" w:hAnsi="Abadi"/>
          <w:sz w:val="21"/>
          <w:szCs w:val="21"/>
        </w:rPr>
        <w:t xml:space="preserve"> [...] </w:t>
      </w:r>
    </w:p>
    <w:p w14:paraId="230FD05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0B90DB9" w14:textId="77777777" w:rsidR="00BF55D3" w:rsidRPr="00C5545D" w:rsidRDefault="00BF55D3" w:rsidP="00BF55D3">
      <w:pPr>
        <w:spacing w:after="32" w:line="249" w:lineRule="auto"/>
        <w:ind w:left="137" w:right="3"/>
        <w:jc w:val="both"/>
        <w:rPr>
          <w:rFonts w:ascii="Abadi" w:hAnsi="Abadi"/>
          <w:sz w:val="21"/>
          <w:szCs w:val="21"/>
        </w:rPr>
      </w:pPr>
      <w:r w:rsidRPr="00C5545D">
        <w:rPr>
          <w:rFonts w:ascii="Abadi" w:hAnsi="Abadi" w:cs="Arial"/>
          <w:i/>
          <w:sz w:val="21"/>
          <w:szCs w:val="21"/>
        </w:rPr>
        <w:t xml:space="preserve">c) El derecho a participar en actividades de esparcimiento, deportes y en todos los aspectos de la vida cultural.” </w:t>
      </w:r>
    </w:p>
    <w:p w14:paraId="465043C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10460843"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El derecho al deporte de las niñas, niños y adolescentes</w:t>
      </w:r>
      <w:r w:rsidRPr="00C5545D">
        <w:rPr>
          <w:rFonts w:ascii="Abadi" w:hAnsi="Abadi" w:cs="Arial"/>
          <w:b/>
          <w:sz w:val="21"/>
          <w:szCs w:val="21"/>
          <w:vertAlign w:val="superscript"/>
        </w:rPr>
        <w:footnoteReference w:id="21"/>
      </w:r>
      <w:r w:rsidRPr="00C5545D">
        <w:rPr>
          <w:rFonts w:ascii="Abadi" w:hAnsi="Abadi" w:cs="Arial"/>
          <w:b/>
          <w:sz w:val="21"/>
          <w:szCs w:val="21"/>
        </w:rPr>
        <w:t xml:space="preserve">: </w:t>
      </w:r>
    </w:p>
    <w:p w14:paraId="69B79E5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b/>
          <w:sz w:val="21"/>
          <w:szCs w:val="21"/>
        </w:rPr>
        <w:t xml:space="preserve"> </w:t>
      </w:r>
    </w:p>
    <w:p w14:paraId="4441A18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Ahora bien, en este tema la Convención sobre los Derechos del Niño, reconoce a estos como individuos con derecho al pleno desarrollo físico, social y mental. Tiene carácter de obligatoria para los Estados firmantes, entre los que se incluye México, y estos tienen la responsabilidad de tomar </w:t>
      </w:r>
      <w:r w:rsidRPr="00C5545D">
        <w:rPr>
          <w:rFonts w:ascii="Abadi" w:hAnsi="Abadi"/>
          <w:sz w:val="21"/>
          <w:szCs w:val="21"/>
        </w:rPr>
        <w:t xml:space="preserve">medidas necesarias para la protección de los derechos reconocidos en la Convención. </w:t>
      </w:r>
    </w:p>
    <w:p w14:paraId="24DEADE8"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DC26C69"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Así, en el artículo 31° de la Convención sobre los derechos del niño se señala: </w:t>
      </w:r>
    </w:p>
    <w:p w14:paraId="76C5A46D"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741D0DA"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“1. Los </w:t>
      </w:r>
      <w:proofErr w:type="gramStart"/>
      <w:r w:rsidRPr="00C5545D">
        <w:rPr>
          <w:rFonts w:ascii="Abadi" w:hAnsi="Abadi" w:cs="Arial"/>
          <w:i/>
          <w:sz w:val="21"/>
          <w:szCs w:val="21"/>
        </w:rPr>
        <w:t>Estados Partes</w:t>
      </w:r>
      <w:proofErr w:type="gramEnd"/>
      <w:r w:rsidRPr="00C5545D">
        <w:rPr>
          <w:rFonts w:ascii="Abadi" w:hAnsi="Abadi" w:cs="Arial"/>
          <w:i/>
          <w:sz w:val="21"/>
          <w:szCs w:val="21"/>
        </w:rPr>
        <w:t xml:space="preserve"> reconocen el derecho del niño al descanso y el esparcimiento, al juego y a las actividades recreativas propias de su edad y a participar libremente en la vida cultural y en las artes. </w:t>
      </w:r>
    </w:p>
    <w:p w14:paraId="52F5FA5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419279FB"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cs="Arial"/>
          <w:i/>
          <w:sz w:val="21"/>
          <w:szCs w:val="21"/>
        </w:rPr>
        <w:t xml:space="preserve">2. Los </w:t>
      </w:r>
      <w:proofErr w:type="gramStart"/>
      <w:r w:rsidRPr="00C5545D">
        <w:rPr>
          <w:rFonts w:ascii="Abadi" w:hAnsi="Abadi" w:cs="Arial"/>
          <w:i/>
          <w:sz w:val="21"/>
          <w:szCs w:val="21"/>
        </w:rPr>
        <w:t>Estados Partes</w:t>
      </w:r>
      <w:proofErr w:type="gramEnd"/>
      <w:r w:rsidRPr="00C5545D">
        <w:rPr>
          <w:rFonts w:ascii="Abadi" w:hAnsi="Abadi" w:cs="Arial"/>
          <w:i/>
          <w:sz w:val="21"/>
          <w:szCs w:val="21"/>
        </w:rPr>
        <w:t xml:space="preserve"> respetarán y promoverán el derecho del niño a participar plenamente en la vida cultural y artística y propiciarán oportunidades apropiadas, en condiciones de igualdad, de participar con la vida cultural, artística, recreativa y de esparcimiento</w:t>
      </w:r>
      <w:r w:rsidRPr="00C5545D">
        <w:rPr>
          <w:rFonts w:ascii="Abadi" w:hAnsi="Abadi"/>
          <w:sz w:val="21"/>
          <w:szCs w:val="21"/>
        </w:rPr>
        <w:t xml:space="preserve">”. </w:t>
      </w:r>
    </w:p>
    <w:p w14:paraId="2B5E74D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1B62497"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Por otro lado, el criterio de interpretación denominado “interés superior del niño” Según la opinión consultiva sobre la condición jurídica y derechos de los niños</w:t>
      </w:r>
      <w:r w:rsidRPr="00C5545D">
        <w:rPr>
          <w:rFonts w:ascii="Abadi" w:hAnsi="Abadi"/>
          <w:sz w:val="21"/>
          <w:szCs w:val="21"/>
          <w:vertAlign w:val="superscript"/>
        </w:rPr>
        <w:footnoteReference w:id="22"/>
      </w:r>
      <w:r w:rsidRPr="00C5545D">
        <w:rPr>
          <w:rFonts w:ascii="Abadi" w:hAnsi="Abadi"/>
          <w:sz w:val="21"/>
          <w:szCs w:val="21"/>
        </w:rPr>
        <w:t xml:space="preserve">: </w:t>
      </w:r>
    </w:p>
    <w:p w14:paraId="23A69AA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988FFA5"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w:t>
      </w:r>
      <w:r w:rsidRPr="00C5545D">
        <w:rPr>
          <w:rFonts w:ascii="Abadi" w:hAnsi="Abadi" w:cs="Arial"/>
          <w:i/>
          <w:sz w:val="21"/>
          <w:szCs w:val="21"/>
        </w:rPr>
        <w:t>...este principio regulador de la normativa de los derechos del niño se funda en la dignidad misma del ser humano, en las características propias de los niños, y en la necesidad de propiciar el desarrollo de éstos, con pleno aprovechamiento de sus potencialidades, así como en la naturaleza y alcances de la Convención sobre los Derechos del Niño</w:t>
      </w:r>
      <w:r w:rsidRPr="00C5545D">
        <w:rPr>
          <w:rFonts w:ascii="Abadi" w:hAnsi="Abadi"/>
          <w:sz w:val="21"/>
          <w:szCs w:val="21"/>
        </w:rPr>
        <w:t xml:space="preserve">”. </w:t>
      </w:r>
    </w:p>
    <w:p w14:paraId="27C42F2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C513585" w14:textId="77777777" w:rsidR="00BF55D3" w:rsidRPr="00C5545D" w:rsidRDefault="00BF55D3" w:rsidP="00BF55D3">
      <w:pPr>
        <w:spacing w:after="207"/>
        <w:ind w:left="137" w:right="4"/>
        <w:jc w:val="both"/>
        <w:rPr>
          <w:rFonts w:ascii="Abadi" w:hAnsi="Abadi"/>
          <w:sz w:val="21"/>
          <w:szCs w:val="21"/>
        </w:rPr>
      </w:pPr>
      <w:r w:rsidRPr="00C5545D">
        <w:rPr>
          <w:rFonts w:ascii="Abadi" w:hAnsi="Abadi"/>
          <w:sz w:val="21"/>
          <w:szCs w:val="21"/>
        </w:rPr>
        <w:t xml:space="preserve">En ese sentido, el Tribunal formuló dos conclusiones con relación a este principio o criterio. La primera, que es: </w:t>
      </w:r>
    </w:p>
    <w:p w14:paraId="427F070F" w14:textId="77777777" w:rsidR="00BF55D3" w:rsidRPr="00C5545D" w:rsidRDefault="00BF55D3" w:rsidP="00BF55D3">
      <w:pPr>
        <w:spacing w:line="259" w:lineRule="auto"/>
        <w:ind w:left="142"/>
        <w:jc w:val="both"/>
        <w:rPr>
          <w:rFonts w:ascii="Abadi" w:hAnsi="Abadi"/>
          <w:sz w:val="21"/>
          <w:szCs w:val="21"/>
        </w:rPr>
      </w:pPr>
      <w:r w:rsidRPr="00C5545D">
        <w:rPr>
          <w:rFonts w:ascii="Abadi" w:eastAsia="Calibri" w:hAnsi="Abadi" w:cs="Calibri"/>
          <w:noProof/>
          <w:sz w:val="21"/>
          <w:szCs w:val="21"/>
        </w:rPr>
        <mc:AlternateContent>
          <mc:Choice Requires="wpg">
            <w:drawing>
              <wp:inline distT="0" distB="0" distL="0" distR="0" wp14:anchorId="2A1B9643" wp14:editId="7F6047A7">
                <wp:extent cx="1829054" cy="9144"/>
                <wp:effectExtent l="0" t="0" r="0" b="0"/>
                <wp:docPr id="104320" name="Grupo 104320"/>
                <wp:cNvGraphicFramePr/>
                <a:graphic xmlns:a="http://schemas.openxmlformats.org/drawingml/2006/main">
                  <a:graphicData uri="http://schemas.microsoft.com/office/word/2010/wordprocessingGroup">
                    <wpg:wgp>
                      <wpg:cNvGrpSpPr/>
                      <wpg:grpSpPr>
                        <a:xfrm>
                          <a:off x="0" y="0"/>
                          <a:ext cx="1829054" cy="9144"/>
                          <a:chOff x="0" y="0"/>
                          <a:chExt cx="1829054" cy="9144"/>
                        </a:xfrm>
                      </wpg:grpSpPr>
                      <wps:wsp>
                        <wps:cNvPr id="135720" name="Shape 135720"/>
                        <wps:cNvSpPr/>
                        <wps:spPr>
                          <a:xfrm>
                            <a:off x="0" y="0"/>
                            <a:ext cx="1829054" cy="9144"/>
                          </a:xfrm>
                          <a:custGeom>
                            <a:avLst/>
                            <a:gdLst/>
                            <a:ahLst/>
                            <a:cxnLst/>
                            <a:rect l="0" t="0" r="0" b="0"/>
                            <a:pathLst>
                              <a:path w="1829054" h="9144">
                                <a:moveTo>
                                  <a:pt x="0" y="0"/>
                                </a:moveTo>
                                <a:lnTo>
                                  <a:pt x="1829054" y="0"/>
                                </a:lnTo>
                                <a:lnTo>
                                  <a:pt x="182905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inline>
            </w:drawing>
          </mc:Choice>
          <mc:Fallback xmlns:arto="http://schemas.microsoft.com/office/word/2006/arto">
            <w:pict>
              <v:group w14:anchorId="44FE858C" id="Grupo 104320" o:spid="_x0000_s1026" style="width:2in;height:.7pt;mso-position-horizontal-relative:char;mso-position-vertical-relative:line" coordsize="1829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">
                <v:shape id="Shape 135720" o:spid="_x0000_s1027" style="position:absolute;width:18290;height:91;visibility:visible;mso-wrap-style:square;v-text-anchor:top" coordsize="1829054,9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" path="m,l1829054,r,9144l,9144,,e" fillcolor="black" stroked="f" strokeweight="0">
                  <v:stroke miterlimit="83231f" joinstyle="miter"/>
                  <v:path arrowok="t" textboxrect="0,0,1829054,9144"/>
                </v:shape>
                <w10:anchorlock/>
              </v:group>
            </w:pict>
          </mc:Fallback>
        </mc:AlternateContent>
      </w:r>
      <w:r w:rsidRPr="00C5545D">
        <w:rPr>
          <w:rFonts w:ascii="Abadi" w:eastAsia="Calibri" w:hAnsi="Abadi" w:cs="Calibri"/>
          <w:sz w:val="21"/>
          <w:szCs w:val="21"/>
        </w:rPr>
        <w:t xml:space="preserve"> </w:t>
      </w:r>
    </w:p>
    <w:p w14:paraId="1E3E98D4" w14:textId="77777777" w:rsidR="00BF55D3" w:rsidRPr="00C5545D" w:rsidRDefault="00BF55D3" w:rsidP="00BF55D3">
      <w:pPr>
        <w:spacing w:after="1" w:line="243" w:lineRule="auto"/>
        <w:ind w:left="137" w:right="1"/>
        <w:jc w:val="both"/>
        <w:rPr>
          <w:rFonts w:ascii="Abadi" w:hAnsi="Abadi"/>
          <w:sz w:val="21"/>
          <w:szCs w:val="21"/>
        </w:rPr>
      </w:pPr>
      <w:r w:rsidRPr="00C5545D">
        <w:rPr>
          <w:rFonts w:ascii="Abadi" w:hAnsi="Abadi" w:cs="Arial"/>
          <w:i/>
          <w:sz w:val="21"/>
          <w:szCs w:val="21"/>
        </w:rPr>
        <w:t xml:space="preserve">“[...] ...punto de referencia para asegurar la efectiva realización de todos los derechos contemplados en [la Convención], cuya observancia permitirá al sujeto el más amplio desenvolvimiento de sus potencialidades. A este criterio han de ceñirse las acciones del Estado y de la sociedad en lo que respecta a la protección de los niños y a la promoción y preservación de sus derechos”. </w:t>
      </w:r>
    </w:p>
    <w:p w14:paraId="6279B05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lastRenderedPageBreak/>
        <w:t xml:space="preserve"> </w:t>
      </w:r>
    </w:p>
    <w:p w14:paraId="716EE3B4" w14:textId="77777777" w:rsidR="00BF55D3" w:rsidRPr="00C5545D" w:rsidRDefault="00BF55D3" w:rsidP="00BF55D3">
      <w:pPr>
        <w:spacing w:after="5" w:line="250" w:lineRule="auto"/>
        <w:ind w:left="137"/>
        <w:jc w:val="both"/>
        <w:rPr>
          <w:rFonts w:ascii="Abadi" w:hAnsi="Abadi"/>
          <w:sz w:val="21"/>
          <w:szCs w:val="21"/>
        </w:rPr>
      </w:pPr>
      <w:r w:rsidRPr="00C5545D">
        <w:rPr>
          <w:rFonts w:ascii="Abadi" w:hAnsi="Abadi"/>
          <w:sz w:val="21"/>
          <w:szCs w:val="21"/>
        </w:rPr>
        <w:t xml:space="preserve">La segunda: </w:t>
      </w:r>
    </w:p>
    <w:p w14:paraId="4622520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DB17DBB" w14:textId="77777777" w:rsidR="00BF55D3" w:rsidRPr="00C5545D" w:rsidRDefault="00BF55D3" w:rsidP="00BF55D3">
      <w:pPr>
        <w:spacing w:after="1" w:line="243" w:lineRule="auto"/>
        <w:ind w:left="137" w:right="1"/>
        <w:jc w:val="both"/>
        <w:rPr>
          <w:rFonts w:ascii="Abadi" w:hAnsi="Abadi"/>
          <w:sz w:val="21"/>
          <w:szCs w:val="21"/>
        </w:rPr>
      </w:pPr>
      <w:r w:rsidRPr="00C5545D">
        <w:rPr>
          <w:rFonts w:ascii="Abadi" w:hAnsi="Abadi"/>
          <w:sz w:val="21"/>
          <w:szCs w:val="21"/>
        </w:rPr>
        <w:t xml:space="preserve">“[...] </w:t>
      </w:r>
      <w:r w:rsidRPr="00C5545D">
        <w:rPr>
          <w:rFonts w:ascii="Abadi" w:hAnsi="Abadi" w:cs="Arial"/>
          <w:i/>
          <w:sz w:val="21"/>
          <w:szCs w:val="21"/>
        </w:rPr>
        <w:t xml:space="preserve">que para asegurar, en la mayor medida posible, la prevalencia del interés superior del niño, el preámbulo de la Convención sobre los Derechos del Niño establece que éste requiere “cuidados especiales”, y el artículo 19 de la Convención Americana señala que debe recibir “medidas especiales de protección”. En ambos casos, la necesidad de adoptar esas medidas o cuidados proviene de la situación específica en la que se encuentran los niños, tomando en cuenta su debilidad, inmadurez o inexperiencia”. </w:t>
      </w:r>
    </w:p>
    <w:p w14:paraId="0D3148B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36BEC5BB" w14:textId="77777777" w:rsidR="00BF55D3" w:rsidRPr="00C5545D" w:rsidRDefault="00BF55D3" w:rsidP="00BF55D3">
      <w:pPr>
        <w:spacing w:after="5" w:line="250" w:lineRule="auto"/>
        <w:ind w:left="137"/>
        <w:jc w:val="both"/>
        <w:rPr>
          <w:rFonts w:ascii="Abadi" w:hAnsi="Abadi"/>
          <w:sz w:val="21"/>
          <w:szCs w:val="21"/>
        </w:rPr>
      </w:pPr>
      <w:r w:rsidRPr="00C5545D">
        <w:rPr>
          <w:rFonts w:ascii="Abadi" w:hAnsi="Abadi"/>
          <w:sz w:val="21"/>
          <w:szCs w:val="21"/>
        </w:rPr>
        <w:t>En tal sentido la Corte Interamericana ha destacado que: “...</w:t>
      </w:r>
      <w:r w:rsidRPr="00C5545D">
        <w:rPr>
          <w:rFonts w:ascii="Abadi" w:hAnsi="Abadi" w:cs="Arial"/>
          <w:i/>
          <w:sz w:val="21"/>
          <w:szCs w:val="21"/>
        </w:rPr>
        <w:t>el Estado debe prestar especial atención a las necesidades y a los derechos de los niños, en consideración a su condición particular de vulnerabilidad</w:t>
      </w:r>
      <w:r w:rsidRPr="00C5545D">
        <w:rPr>
          <w:rFonts w:ascii="Abadi" w:hAnsi="Abadi"/>
          <w:sz w:val="21"/>
          <w:szCs w:val="21"/>
        </w:rPr>
        <w:t xml:space="preserve">”. Lo anterior, incluye su derecho fundamental a la realización de la actividad deportiva, en cualquiera de sus vertientes. </w:t>
      </w:r>
    </w:p>
    <w:p w14:paraId="4FB4747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58E40743" w14:textId="77777777" w:rsidR="00BF55D3" w:rsidRPr="00C5545D" w:rsidRDefault="00BF55D3" w:rsidP="00BF55D3">
      <w:pPr>
        <w:spacing w:after="5" w:line="250" w:lineRule="auto"/>
        <w:ind w:left="137"/>
        <w:jc w:val="both"/>
        <w:rPr>
          <w:rFonts w:ascii="Abadi" w:hAnsi="Abadi"/>
          <w:sz w:val="21"/>
          <w:szCs w:val="21"/>
        </w:rPr>
      </w:pPr>
      <w:r w:rsidRPr="00C5545D">
        <w:rPr>
          <w:rFonts w:ascii="Abadi" w:hAnsi="Abadi"/>
          <w:sz w:val="21"/>
          <w:szCs w:val="21"/>
        </w:rPr>
        <w:t>Por su parte la Suprema Corte de Justicia de la Nación</w:t>
      </w:r>
      <w:r w:rsidRPr="00C5545D">
        <w:rPr>
          <w:rFonts w:ascii="Abadi" w:hAnsi="Abadi"/>
          <w:sz w:val="21"/>
          <w:szCs w:val="21"/>
          <w:vertAlign w:val="superscript"/>
        </w:rPr>
        <w:footnoteReference w:id="23"/>
      </w:r>
      <w:r w:rsidRPr="00C5545D">
        <w:rPr>
          <w:rFonts w:ascii="Abadi" w:hAnsi="Abadi"/>
          <w:sz w:val="21"/>
          <w:szCs w:val="21"/>
        </w:rPr>
        <w:t xml:space="preserve"> ha señalado sobre los derechos fundamentales de las personas de la diversidad sexual, dentro de los que, indudablemente se encuentran grupos de niños, niños y adolescentes; terma sobre el que precisa: </w:t>
      </w:r>
    </w:p>
    <w:p w14:paraId="3EF78AFA"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99B7967" w14:textId="77777777" w:rsidR="00BF55D3" w:rsidRPr="00C5545D" w:rsidRDefault="00BF55D3" w:rsidP="00BF55D3">
      <w:pPr>
        <w:spacing w:after="1" w:line="243" w:lineRule="auto"/>
        <w:ind w:left="137" w:right="1"/>
        <w:jc w:val="both"/>
        <w:rPr>
          <w:rFonts w:ascii="Abadi" w:hAnsi="Abadi"/>
          <w:sz w:val="21"/>
          <w:szCs w:val="21"/>
        </w:rPr>
      </w:pPr>
      <w:r w:rsidRPr="00C5545D">
        <w:rPr>
          <w:rFonts w:ascii="Abadi" w:hAnsi="Abadi" w:cs="Arial"/>
          <w:i/>
          <w:sz w:val="21"/>
          <w:szCs w:val="21"/>
        </w:rPr>
        <w:t xml:space="preserve">“[...] la identidad de género es un elemento constitutivo y constituyente de la identidad de las personas, en consecuencia, su reconocimiento por parte del Estado resulta de vital importancia para garantizar el pleno goce de los derechos humanos de las personas trans, incluyendo la protección contra la violencia, tortura, malos tratos, derecho a la salud, a la educación, empleo, vivienda, acceso a la seguridad social, así como el derecho a la libertad de expresión, y de asociación. [...] tratándose de las personas transexuales que, por su condición, son sujetos de rechazo y discriminación, el legislador debe implementar los mecanismos necesarios para el reconocimiento, tutela y garantía de sus derechos fundamentales, </w:t>
      </w:r>
      <w:r w:rsidRPr="00C5545D">
        <w:rPr>
          <w:rFonts w:ascii="Abadi" w:hAnsi="Abadi" w:cs="Arial"/>
          <w:i/>
          <w:sz w:val="21"/>
          <w:szCs w:val="21"/>
        </w:rPr>
        <w:t xml:space="preserve">para lo cual es de suma relevancia que puedan </w:t>
      </w:r>
      <w:r w:rsidRPr="00C5545D">
        <w:rPr>
          <w:rFonts w:ascii="Abadi" w:hAnsi="Abadi"/>
          <w:sz w:val="21"/>
          <w:szCs w:val="21"/>
        </w:rPr>
        <w:t xml:space="preserve">adecuar su sexo psicológico al legal...”.  </w:t>
      </w:r>
    </w:p>
    <w:p w14:paraId="1C8D436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726092B9" w14:textId="77777777" w:rsidR="00BF55D3" w:rsidRPr="00C5545D" w:rsidRDefault="00BF55D3" w:rsidP="00BF55D3">
      <w:pPr>
        <w:spacing w:after="5" w:line="250" w:lineRule="auto"/>
        <w:ind w:left="137"/>
        <w:jc w:val="both"/>
        <w:rPr>
          <w:rFonts w:ascii="Abadi" w:hAnsi="Abadi"/>
          <w:sz w:val="21"/>
          <w:szCs w:val="21"/>
        </w:rPr>
      </w:pPr>
      <w:r w:rsidRPr="00C5545D">
        <w:rPr>
          <w:rFonts w:ascii="Abadi" w:hAnsi="Abadi"/>
          <w:sz w:val="21"/>
          <w:szCs w:val="21"/>
        </w:rPr>
        <w:t xml:space="preserve">Lo anterior equivale a que, en ejercicio del derecho fundamental al deporte, la niñez trans debe contar con un mecanismo legal que proteja, visualice y haga efectivos este derecho. Es decir, no debe ser discriminado, ni violentado en el ejercicio de </w:t>
      </w:r>
      <w:proofErr w:type="gramStart"/>
      <w:r w:rsidRPr="00C5545D">
        <w:rPr>
          <w:rFonts w:ascii="Abadi" w:hAnsi="Abadi"/>
          <w:sz w:val="21"/>
          <w:szCs w:val="21"/>
        </w:rPr>
        <w:t>la  cultura</w:t>
      </w:r>
      <w:proofErr w:type="gramEnd"/>
      <w:r w:rsidRPr="00C5545D">
        <w:rPr>
          <w:rFonts w:ascii="Abadi" w:hAnsi="Abadi"/>
          <w:sz w:val="21"/>
          <w:szCs w:val="21"/>
        </w:rPr>
        <w:t xml:space="preserve"> física y el deporte en Guanajuato, por el sólo hecho de tener una orientación sexual diversa.  </w:t>
      </w:r>
    </w:p>
    <w:p w14:paraId="7DE9B325"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98AA109" w14:textId="77777777" w:rsidR="00BF55D3" w:rsidRPr="00C5545D" w:rsidRDefault="00BF55D3" w:rsidP="0049186B">
      <w:pPr>
        <w:spacing w:after="5" w:line="250" w:lineRule="auto"/>
        <w:ind w:left="137"/>
        <w:jc w:val="both"/>
        <w:rPr>
          <w:rFonts w:ascii="Abadi" w:hAnsi="Abadi"/>
          <w:sz w:val="21"/>
          <w:szCs w:val="21"/>
        </w:rPr>
      </w:pPr>
      <w:r w:rsidRPr="00C5545D">
        <w:rPr>
          <w:rFonts w:ascii="Abadi" w:hAnsi="Abadi"/>
          <w:sz w:val="21"/>
          <w:szCs w:val="21"/>
        </w:rPr>
        <w:t xml:space="preserve">En síntesis, para los iniciantes, las violaciones constantes al derecho humano a la cultura física y el deporte, por discriminación, violencia, ausencia de perspectiva de género, no inclusión de personas de la diversidad sexual, etc., ha sido un tema considerado como tabú en Latinoamérica, en México y en el estado de Guanajuato, por ello, se ha mantenido invisible esta categoría de personas en cuanto a su desarrollo en el deporte, por lo que, se debe visibilizar mediante acciones como la presente iniciativa, para ampliar su espectro de protección en la Ley  de Cultura Física y Deporte del Estado de Guanajuato. Ello es parte de nuestras motivaciones. </w:t>
      </w:r>
    </w:p>
    <w:p w14:paraId="26507CDC" w14:textId="77777777" w:rsidR="00BF55D3" w:rsidRPr="00C5545D" w:rsidRDefault="00BF55D3" w:rsidP="0049186B">
      <w:pPr>
        <w:spacing w:line="259" w:lineRule="auto"/>
        <w:ind w:left="142"/>
        <w:jc w:val="both"/>
        <w:rPr>
          <w:rFonts w:ascii="Abadi" w:hAnsi="Abadi"/>
          <w:sz w:val="21"/>
          <w:szCs w:val="21"/>
        </w:rPr>
      </w:pPr>
      <w:r w:rsidRPr="00C5545D">
        <w:rPr>
          <w:rFonts w:ascii="Abadi" w:hAnsi="Abadi" w:cs="Arial"/>
          <w:i/>
          <w:sz w:val="21"/>
          <w:szCs w:val="21"/>
        </w:rPr>
        <w:t xml:space="preserve"> </w:t>
      </w:r>
    </w:p>
    <w:p w14:paraId="2E87AE57" w14:textId="77777777" w:rsidR="0049186B" w:rsidRPr="00C5545D" w:rsidRDefault="0049186B" w:rsidP="0049186B">
      <w:pPr>
        <w:spacing w:line="249" w:lineRule="auto"/>
        <w:ind w:left="137" w:right="5"/>
        <w:jc w:val="both"/>
        <w:rPr>
          <w:rFonts w:ascii="Abadi" w:hAnsi="Abadi"/>
          <w:sz w:val="21"/>
          <w:szCs w:val="21"/>
        </w:rPr>
      </w:pPr>
      <w:r w:rsidRPr="00C5545D">
        <w:rPr>
          <w:rFonts w:ascii="Abadi" w:hAnsi="Abadi" w:cs="Arial"/>
          <w:b/>
          <w:sz w:val="21"/>
          <w:szCs w:val="21"/>
        </w:rPr>
        <w:t>El derecho al deporte de las personas con discapacidad</w:t>
      </w:r>
      <w:r>
        <w:rPr>
          <w:rStyle w:val="Refdenotaalpie"/>
          <w:rFonts w:ascii="Abadi" w:hAnsi="Abadi" w:cs="Arial"/>
          <w:b/>
          <w:sz w:val="21"/>
          <w:szCs w:val="21"/>
        </w:rPr>
        <w:footnoteReference w:id="24"/>
      </w:r>
      <w:r w:rsidRPr="00C5545D">
        <w:rPr>
          <w:rFonts w:ascii="Abadi" w:hAnsi="Abadi" w:cs="Arial"/>
          <w:b/>
          <w:sz w:val="21"/>
          <w:szCs w:val="21"/>
        </w:rPr>
        <w:t xml:space="preserve">. </w:t>
      </w:r>
    </w:p>
    <w:p w14:paraId="2637FB40"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cs="Arial"/>
          <w:b/>
          <w:sz w:val="21"/>
          <w:szCs w:val="21"/>
        </w:rPr>
        <w:t xml:space="preserve"> </w:t>
      </w:r>
    </w:p>
    <w:p w14:paraId="4CAE9034" w14:textId="77777777" w:rsidR="0049186B" w:rsidRPr="00C5545D" w:rsidRDefault="0049186B" w:rsidP="0049186B">
      <w:pPr>
        <w:ind w:left="137" w:right="4"/>
        <w:jc w:val="both"/>
        <w:rPr>
          <w:rFonts w:ascii="Abadi" w:hAnsi="Abadi"/>
          <w:sz w:val="21"/>
          <w:szCs w:val="21"/>
        </w:rPr>
      </w:pPr>
      <w:r w:rsidRPr="00C5545D">
        <w:rPr>
          <w:rFonts w:ascii="Abadi" w:hAnsi="Abadi"/>
          <w:sz w:val="21"/>
          <w:szCs w:val="21"/>
        </w:rPr>
        <w:t xml:space="preserve">La Convención Sobre los Derechos de las Personas con Discapacidad, se reconoce la necesidad de garantizar que las personas con discapacidad ejerzan plenamente y sin discriminación todos sus derechos y libertades fundamentales. </w:t>
      </w:r>
    </w:p>
    <w:p w14:paraId="5FDEFF71"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08FA891E" w14:textId="77777777" w:rsidR="0049186B" w:rsidRPr="00C5545D" w:rsidRDefault="0049186B" w:rsidP="0049186B">
      <w:pPr>
        <w:ind w:left="137" w:right="4"/>
        <w:jc w:val="both"/>
        <w:rPr>
          <w:rFonts w:ascii="Abadi" w:hAnsi="Abadi"/>
          <w:sz w:val="21"/>
          <w:szCs w:val="21"/>
        </w:rPr>
      </w:pPr>
      <w:r w:rsidRPr="00C5545D">
        <w:rPr>
          <w:rFonts w:ascii="Abadi" w:hAnsi="Abadi"/>
          <w:sz w:val="21"/>
          <w:szCs w:val="21"/>
        </w:rPr>
        <w:t xml:space="preserve">Dicha Convención, en su artículo 30° señala: </w:t>
      </w:r>
    </w:p>
    <w:p w14:paraId="0E6AE911"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367BE840" w14:textId="77777777" w:rsidR="0049186B" w:rsidRPr="00C5545D" w:rsidRDefault="0049186B" w:rsidP="0049186B">
      <w:pPr>
        <w:spacing w:after="5" w:line="249" w:lineRule="auto"/>
        <w:ind w:left="137" w:right="3"/>
        <w:jc w:val="both"/>
        <w:rPr>
          <w:rFonts w:ascii="Abadi" w:hAnsi="Abadi"/>
          <w:sz w:val="21"/>
          <w:szCs w:val="21"/>
        </w:rPr>
      </w:pPr>
      <w:r w:rsidRPr="00C5545D">
        <w:rPr>
          <w:rFonts w:ascii="Abadi" w:hAnsi="Abadi" w:cs="Arial"/>
          <w:i/>
          <w:sz w:val="21"/>
          <w:szCs w:val="21"/>
        </w:rPr>
        <w:t>“</w:t>
      </w:r>
      <w:r w:rsidRPr="00C5545D">
        <w:rPr>
          <w:rFonts w:ascii="Abadi" w:hAnsi="Abadi" w:cs="Arial"/>
          <w:b/>
          <w:i/>
          <w:sz w:val="21"/>
          <w:szCs w:val="21"/>
        </w:rPr>
        <w:t>Artículo 30</w:t>
      </w:r>
      <w:r w:rsidRPr="00C5545D">
        <w:rPr>
          <w:rFonts w:ascii="Abadi" w:hAnsi="Abadi" w:cs="Arial"/>
          <w:i/>
          <w:sz w:val="21"/>
          <w:szCs w:val="21"/>
        </w:rPr>
        <w:t xml:space="preserve">°. Participación en la vida cultural, las actividades recreativas, el esparcimiento y el deporte.  </w:t>
      </w:r>
    </w:p>
    <w:p w14:paraId="4A89A622" w14:textId="77777777" w:rsidR="0049186B" w:rsidRPr="00C5545D" w:rsidRDefault="0049186B" w:rsidP="0049186B">
      <w:pPr>
        <w:spacing w:after="17" w:line="259" w:lineRule="auto"/>
        <w:ind w:left="142"/>
        <w:jc w:val="both"/>
        <w:rPr>
          <w:rFonts w:ascii="Abadi" w:hAnsi="Abadi"/>
          <w:sz w:val="21"/>
          <w:szCs w:val="21"/>
        </w:rPr>
      </w:pPr>
      <w:r w:rsidRPr="00C5545D">
        <w:rPr>
          <w:rFonts w:ascii="Abadi" w:hAnsi="Abadi" w:cs="Arial"/>
          <w:i/>
          <w:sz w:val="21"/>
          <w:szCs w:val="21"/>
        </w:rPr>
        <w:t xml:space="preserve"> </w:t>
      </w:r>
    </w:p>
    <w:p w14:paraId="1DB739C0" w14:textId="77777777" w:rsidR="0049186B" w:rsidRPr="00C5545D" w:rsidRDefault="0049186B" w:rsidP="0049186B">
      <w:pPr>
        <w:spacing w:after="5" w:line="249" w:lineRule="auto"/>
        <w:ind w:left="137" w:right="3"/>
        <w:jc w:val="both"/>
        <w:rPr>
          <w:rFonts w:ascii="Abadi" w:hAnsi="Abadi"/>
          <w:sz w:val="21"/>
          <w:szCs w:val="21"/>
        </w:rPr>
      </w:pPr>
      <w:r w:rsidRPr="00C5545D">
        <w:rPr>
          <w:rFonts w:ascii="Abadi" w:hAnsi="Abadi" w:cs="Arial"/>
          <w:i/>
          <w:sz w:val="21"/>
          <w:szCs w:val="21"/>
        </w:rPr>
        <w:t xml:space="preserve">[…] </w:t>
      </w:r>
    </w:p>
    <w:p w14:paraId="192F3499"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cs="Arial"/>
          <w:i/>
          <w:sz w:val="21"/>
          <w:szCs w:val="21"/>
        </w:rPr>
        <w:t xml:space="preserve"> </w:t>
      </w:r>
    </w:p>
    <w:p w14:paraId="43018DC0" w14:textId="77777777" w:rsidR="0049186B" w:rsidRPr="00C5545D" w:rsidRDefault="0049186B" w:rsidP="0049186B">
      <w:pPr>
        <w:ind w:left="137" w:right="4"/>
        <w:jc w:val="both"/>
        <w:rPr>
          <w:rFonts w:ascii="Abadi" w:hAnsi="Abadi"/>
          <w:sz w:val="21"/>
          <w:szCs w:val="21"/>
        </w:rPr>
      </w:pPr>
      <w:r w:rsidRPr="00C5545D">
        <w:rPr>
          <w:rFonts w:ascii="Abadi" w:hAnsi="Abadi"/>
          <w:sz w:val="21"/>
          <w:szCs w:val="21"/>
        </w:rPr>
        <w:t xml:space="preserve">5. A fin de que las personas con discapacidad puedan participar en igualdad </w:t>
      </w:r>
      <w:r w:rsidRPr="00C5545D">
        <w:rPr>
          <w:rFonts w:ascii="Abadi" w:hAnsi="Abadi"/>
          <w:sz w:val="21"/>
          <w:szCs w:val="21"/>
        </w:rPr>
        <w:lastRenderedPageBreak/>
        <w:t xml:space="preserve">de condiciones con las demás en actividades recreativas, de esparcimiento y deportivas, los </w:t>
      </w:r>
      <w:proofErr w:type="gramStart"/>
      <w:r w:rsidRPr="00C5545D">
        <w:rPr>
          <w:rFonts w:ascii="Abadi" w:hAnsi="Abadi"/>
          <w:sz w:val="21"/>
          <w:szCs w:val="21"/>
        </w:rPr>
        <w:t>Estados Partes</w:t>
      </w:r>
      <w:proofErr w:type="gramEnd"/>
      <w:r w:rsidRPr="00C5545D">
        <w:rPr>
          <w:rFonts w:ascii="Abadi" w:hAnsi="Abadi"/>
          <w:sz w:val="21"/>
          <w:szCs w:val="21"/>
        </w:rPr>
        <w:t xml:space="preserve"> adoptarán las medidas pertinentes para: </w:t>
      </w:r>
    </w:p>
    <w:p w14:paraId="2DA7D31F"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1A5B13F9" w14:textId="77777777" w:rsidR="0049186B" w:rsidRPr="00C5545D" w:rsidRDefault="0049186B" w:rsidP="0049186B">
      <w:pPr>
        <w:numPr>
          <w:ilvl w:val="0"/>
          <w:numId w:val="51"/>
        </w:numPr>
        <w:spacing w:after="15" w:line="247" w:lineRule="auto"/>
        <w:ind w:right="4" w:hanging="10"/>
        <w:jc w:val="both"/>
        <w:rPr>
          <w:rFonts w:ascii="Abadi" w:hAnsi="Abadi"/>
          <w:sz w:val="21"/>
          <w:szCs w:val="21"/>
        </w:rPr>
      </w:pPr>
      <w:r w:rsidRPr="00C5545D">
        <w:rPr>
          <w:rFonts w:ascii="Abadi" w:hAnsi="Abadi"/>
          <w:sz w:val="21"/>
          <w:szCs w:val="21"/>
        </w:rPr>
        <w:t xml:space="preserve">Alentar y promover la participación, en la mayor medida posible, de las personas con discapacidad en las actividades deportivas generales a todos los niveles; </w:t>
      </w:r>
    </w:p>
    <w:p w14:paraId="3319E46A"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035C8FC0" w14:textId="77777777" w:rsidR="0049186B" w:rsidRPr="00C5545D" w:rsidRDefault="0049186B" w:rsidP="0049186B">
      <w:pPr>
        <w:numPr>
          <w:ilvl w:val="0"/>
          <w:numId w:val="51"/>
        </w:numPr>
        <w:spacing w:after="15" w:line="247" w:lineRule="auto"/>
        <w:ind w:right="4" w:hanging="10"/>
        <w:jc w:val="both"/>
        <w:rPr>
          <w:rFonts w:ascii="Abadi" w:hAnsi="Abadi"/>
          <w:sz w:val="21"/>
          <w:szCs w:val="21"/>
        </w:rPr>
      </w:pPr>
      <w:r w:rsidRPr="00C5545D">
        <w:rPr>
          <w:rFonts w:ascii="Abadi" w:hAnsi="Abadi"/>
          <w:sz w:val="21"/>
          <w:szCs w:val="21"/>
        </w:rPr>
        <w:t xml:space="preserve">Asegurar que las personas con discapacidad tengan la oportunidad de organizar y desarrollar actividades deportivas y recreativas específicas para dichas personas y de participar en dichas actividades y, a ese fin, alentar a que se les ofrezca, en igualdad de condiciones con las demás, instrucción, formación y recursos adecuados; </w:t>
      </w:r>
    </w:p>
    <w:p w14:paraId="1103790B" w14:textId="77777777" w:rsidR="0049186B" w:rsidRPr="00C5545D" w:rsidRDefault="0049186B" w:rsidP="0049186B">
      <w:pPr>
        <w:spacing w:after="31" w:line="259" w:lineRule="auto"/>
        <w:ind w:left="142"/>
        <w:jc w:val="both"/>
        <w:rPr>
          <w:rFonts w:ascii="Abadi" w:hAnsi="Abadi"/>
          <w:sz w:val="21"/>
          <w:szCs w:val="21"/>
        </w:rPr>
      </w:pPr>
      <w:r w:rsidRPr="00C5545D">
        <w:rPr>
          <w:rFonts w:ascii="Abadi" w:hAnsi="Abadi"/>
          <w:sz w:val="21"/>
          <w:szCs w:val="21"/>
        </w:rPr>
        <w:t xml:space="preserve"> </w:t>
      </w:r>
    </w:p>
    <w:p w14:paraId="4D4748A0" w14:textId="77777777" w:rsidR="0049186B" w:rsidRPr="00C5545D" w:rsidRDefault="0049186B" w:rsidP="0049186B">
      <w:pPr>
        <w:numPr>
          <w:ilvl w:val="0"/>
          <w:numId w:val="52"/>
        </w:numPr>
        <w:spacing w:after="15" w:line="247" w:lineRule="auto"/>
        <w:ind w:left="581" w:right="4" w:hanging="454"/>
        <w:jc w:val="both"/>
        <w:rPr>
          <w:rFonts w:ascii="Abadi" w:hAnsi="Abadi"/>
          <w:sz w:val="21"/>
          <w:szCs w:val="21"/>
        </w:rPr>
      </w:pPr>
      <w:r w:rsidRPr="00C5545D">
        <w:rPr>
          <w:rFonts w:ascii="Abadi" w:hAnsi="Abadi"/>
          <w:sz w:val="21"/>
          <w:szCs w:val="21"/>
        </w:rPr>
        <w:t xml:space="preserve">Asegurar que las personas con discapacidad tengan acceso a </w:t>
      </w:r>
    </w:p>
    <w:p w14:paraId="42BA13B7" w14:textId="77777777" w:rsidR="0049186B" w:rsidRPr="00C5545D" w:rsidRDefault="0049186B" w:rsidP="0049186B">
      <w:pPr>
        <w:ind w:left="137" w:right="4"/>
        <w:jc w:val="both"/>
        <w:rPr>
          <w:rFonts w:ascii="Abadi" w:hAnsi="Abadi"/>
          <w:sz w:val="21"/>
          <w:szCs w:val="21"/>
        </w:rPr>
      </w:pPr>
      <w:r w:rsidRPr="00C5545D">
        <w:rPr>
          <w:rFonts w:ascii="Abadi" w:hAnsi="Abadi"/>
          <w:sz w:val="21"/>
          <w:szCs w:val="21"/>
        </w:rPr>
        <w:t xml:space="preserve">instalaciones deportivas, recreativas y turísticas; </w:t>
      </w:r>
    </w:p>
    <w:p w14:paraId="77933B67"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665ADC25" w14:textId="77777777" w:rsidR="0049186B" w:rsidRPr="00C5545D" w:rsidRDefault="0049186B" w:rsidP="0049186B">
      <w:pPr>
        <w:numPr>
          <w:ilvl w:val="0"/>
          <w:numId w:val="52"/>
        </w:numPr>
        <w:spacing w:after="15" w:line="247" w:lineRule="auto"/>
        <w:ind w:left="581" w:right="4" w:hanging="454"/>
        <w:jc w:val="both"/>
        <w:rPr>
          <w:rFonts w:ascii="Abadi" w:hAnsi="Abadi"/>
          <w:sz w:val="21"/>
          <w:szCs w:val="21"/>
        </w:rPr>
      </w:pPr>
      <w:r w:rsidRPr="00C5545D">
        <w:rPr>
          <w:rFonts w:ascii="Abadi" w:hAnsi="Abadi"/>
          <w:sz w:val="21"/>
          <w:szCs w:val="21"/>
        </w:rPr>
        <w:t xml:space="preserve">Asegurar que los niños y las niñas con discapacidad tengan igual acceso con los demás niños y niñas a la participación en actividades lúdicas, recreativas, de esparcimiento y deportivas, incluidas las que se realicen dentro del sistema escolar; y </w:t>
      </w:r>
    </w:p>
    <w:p w14:paraId="46BC6FDA" w14:textId="77777777" w:rsidR="0049186B" w:rsidRPr="00C5545D" w:rsidRDefault="0049186B" w:rsidP="0049186B">
      <w:pPr>
        <w:spacing w:line="259" w:lineRule="auto"/>
        <w:ind w:left="142"/>
        <w:jc w:val="both"/>
        <w:rPr>
          <w:rFonts w:ascii="Abadi" w:hAnsi="Abadi"/>
          <w:sz w:val="21"/>
          <w:szCs w:val="21"/>
        </w:rPr>
      </w:pPr>
      <w:r w:rsidRPr="00C5545D">
        <w:rPr>
          <w:rFonts w:ascii="Abadi" w:hAnsi="Abadi"/>
          <w:sz w:val="21"/>
          <w:szCs w:val="21"/>
        </w:rPr>
        <w:t xml:space="preserve"> </w:t>
      </w:r>
    </w:p>
    <w:p w14:paraId="461BD410" w14:textId="77777777" w:rsidR="0049186B" w:rsidRPr="00C5545D" w:rsidRDefault="0049186B" w:rsidP="0049186B">
      <w:pPr>
        <w:numPr>
          <w:ilvl w:val="0"/>
          <w:numId w:val="52"/>
        </w:numPr>
        <w:spacing w:after="15" w:line="247" w:lineRule="auto"/>
        <w:ind w:left="581" w:right="4" w:hanging="454"/>
        <w:jc w:val="both"/>
        <w:rPr>
          <w:rFonts w:ascii="Abadi" w:hAnsi="Abadi"/>
          <w:sz w:val="21"/>
          <w:szCs w:val="21"/>
        </w:rPr>
      </w:pPr>
      <w:r w:rsidRPr="00C5545D">
        <w:rPr>
          <w:rFonts w:ascii="Abadi" w:hAnsi="Abadi"/>
          <w:sz w:val="21"/>
          <w:szCs w:val="21"/>
        </w:rPr>
        <w:t xml:space="preserve">Asegurar que las personas con discapacidad tengan acceso a los servicios de quienes participan en la organización de actividades recreativas, turísticas, de esparcimiento y deportivas. </w:t>
      </w:r>
    </w:p>
    <w:p w14:paraId="1029651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F18AE07"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Ahora bien, es importante señalar que, en 2015, la Asamblea General de las Naciones Unidas aprobó la Agenda para el Desarrollo Sostenible, que contiene un conjunto de diecisiete Objetivos de Desarrollo Sostenible. En dicha agenda, se reconoce la importancia del deporte como un facilitador del desarrollo sostenible; señalando lo siguiente: “</w:t>
      </w:r>
      <w:r w:rsidRPr="00C5545D">
        <w:rPr>
          <w:rFonts w:ascii="Abadi" w:hAnsi="Abadi" w:cs="Arial"/>
          <w:i/>
          <w:sz w:val="21"/>
          <w:szCs w:val="21"/>
        </w:rPr>
        <w:t xml:space="preserve">El deporte contribuye cada vez más a hacer realidad el desarrollo y la paz </w:t>
      </w:r>
      <w:r w:rsidRPr="00C5545D">
        <w:rPr>
          <w:rFonts w:ascii="Abadi" w:hAnsi="Abadi" w:cs="Arial"/>
          <w:i/>
          <w:sz w:val="21"/>
          <w:szCs w:val="21"/>
        </w:rPr>
        <w:t>promoviendo la tolerancia y el respeto, y que respalda también el empoderamiento de las mujeres y los jóvenes, las personas y las comunidades, así como los objetivos en materia de salud, educación e inclusión social</w:t>
      </w:r>
      <w:r w:rsidRPr="00C5545D">
        <w:rPr>
          <w:rFonts w:ascii="Abadi" w:hAnsi="Abadi"/>
          <w:sz w:val="21"/>
          <w:szCs w:val="21"/>
        </w:rPr>
        <w:t>”.</w:t>
      </w:r>
      <w:r w:rsidRPr="00C5545D">
        <w:rPr>
          <w:rFonts w:ascii="Abadi" w:hAnsi="Abadi" w:cs="Arial"/>
          <w:i/>
          <w:sz w:val="21"/>
          <w:szCs w:val="21"/>
        </w:rPr>
        <w:t xml:space="preserve"> </w:t>
      </w:r>
    </w:p>
    <w:p w14:paraId="10D907A1"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7106711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resumen, existen tratados internacionales aceptados por México que reconocen a la actividad física y deporte como un derecho fundamental para el desarrollo íntegro de los individuos. Asimismo, dichos tratados y convenciones establecen la obligatoriedad de los Estados de fomentar y proteger este derecho fundamental; así como buscar su desarrollo en un ambiente de equidad y libre de discriminación. Sin embargo, las proclamas en documentos o cuerpos normativos internacionales y constitucionales de cualquier país, incluido el nuestro, una cosa es la proclama de normas o principios, y una diversa es la realidad de la observancia de las normas, tanto por parte del estado, como de la población que compone a una Nación. Por ello, las reformas o propuestas legislativas para reforzar temas que aparentemente están incluidos en los cuerpos Constitucionales, jamás salen sobrando. Segunda cuestión que nos motiva como iniciantes. </w:t>
      </w:r>
    </w:p>
    <w:p w14:paraId="1F2D9C1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7D36DF7E" w14:textId="715F9EC9"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D28CEA6" w14:textId="77777777" w:rsidR="00BF55D3" w:rsidRPr="00C5545D" w:rsidRDefault="00BF55D3" w:rsidP="00BF55D3">
      <w:pPr>
        <w:spacing w:after="8" w:line="250" w:lineRule="auto"/>
        <w:ind w:left="137"/>
        <w:jc w:val="both"/>
        <w:rPr>
          <w:rFonts w:ascii="Abadi" w:hAnsi="Abadi"/>
          <w:sz w:val="21"/>
          <w:szCs w:val="21"/>
        </w:rPr>
      </w:pPr>
      <w:r w:rsidRPr="00C5545D">
        <w:rPr>
          <w:rFonts w:ascii="Abadi" w:hAnsi="Abadi"/>
          <w:sz w:val="21"/>
          <w:szCs w:val="21"/>
        </w:rPr>
        <w:t>E</w:t>
      </w:r>
      <w:r w:rsidRPr="00C5545D">
        <w:rPr>
          <w:rFonts w:ascii="Abadi" w:hAnsi="Abadi" w:cs="Arial"/>
          <w:b/>
          <w:color w:val="212529"/>
          <w:sz w:val="21"/>
          <w:szCs w:val="21"/>
        </w:rPr>
        <w:t>l derecho a la igualdad y a la no discriminación de la comunidad LGBT</w:t>
      </w:r>
      <w:r w:rsidRPr="00C5545D">
        <w:rPr>
          <w:rFonts w:ascii="Abadi" w:hAnsi="Abadi" w:cs="Arial"/>
          <w:b/>
          <w:color w:val="212529"/>
          <w:sz w:val="21"/>
          <w:szCs w:val="21"/>
          <w:vertAlign w:val="superscript"/>
        </w:rPr>
        <w:footnoteReference w:id="25"/>
      </w:r>
      <w:r w:rsidRPr="00C5545D">
        <w:rPr>
          <w:rFonts w:ascii="Abadi" w:hAnsi="Abadi"/>
          <w:sz w:val="21"/>
          <w:szCs w:val="21"/>
        </w:rPr>
        <w:t xml:space="preserve"> </w:t>
      </w:r>
    </w:p>
    <w:p w14:paraId="618C831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668E839D"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La lucha por el pleno reconocimiento y respeto de los derechos de la comunidad de la diversidad o LGBT, por sus siglas utilizadas para describir a las personas cuyas características no se ajustan a los roles tradicionales de género femeninos y masculinos, (y que no implican el desconocimiento de otras manifestaciones de identidad y expresión de género u orientación sexual), se fundamenta en la igualdad y no discriminación, derecho que se encuentra reconocido en diversos ordenamientos jurídicos, tanto internacionales como nacionales y locales</w:t>
      </w:r>
      <w:r w:rsidRPr="00C5545D">
        <w:rPr>
          <w:rFonts w:ascii="Abadi" w:eastAsia="Roboto" w:hAnsi="Abadi" w:cs="Roboto"/>
          <w:color w:val="212529"/>
          <w:sz w:val="21"/>
          <w:szCs w:val="21"/>
          <w:vertAlign w:val="subscript"/>
        </w:rPr>
        <w:t xml:space="preserve">: </w:t>
      </w:r>
    </w:p>
    <w:p w14:paraId="045C11F4" w14:textId="77777777" w:rsidR="00BF55D3" w:rsidRPr="00C5545D" w:rsidRDefault="00BF55D3" w:rsidP="00BF55D3">
      <w:pPr>
        <w:spacing w:line="259" w:lineRule="auto"/>
        <w:ind w:left="142"/>
        <w:jc w:val="both"/>
        <w:rPr>
          <w:rFonts w:ascii="Abadi" w:hAnsi="Abadi"/>
          <w:sz w:val="21"/>
          <w:szCs w:val="21"/>
        </w:rPr>
      </w:pPr>
      <w:r w:rsidRPr="00C5545D">
        <w:rPr>
          <w:rFonts w:ascii="Abadi" w:eastAsia="Roboto" w:hAnsi="Abadi" w:cs="Roboto"/>
          <w:color w:val="212529"/>
          <w:sz w:val="21"/>
          <w:szCs w:val="21"/>
        </w:rPr>
        <w:t xml:space="preserve"> </w:t>
      </w:r>
    </w:p>
    <w:p w14:paraId="5B29710A" w14:textId="77777777" w:rsidR="00BF55D3" w:rsidRPr="00C5545D" w:rsidRDefault="00BF55D3" w:rsidP="00BF55D3">
      <w:pPr>
        <w:numPr>
          <w:ilvl w:val="0"/>
          <w:numId w:val="53"/>
        </w:numPr>
        <w:spacing w:line="249" w:lineRule="auto"/>
        <w:ind w:hanging="360"/>
        <w:jc w:val="both"/>
        <w:rPr>
          <w:rFonts w:ascii="Abadi" w:hAnsi="Abadi"/>
          <w:sz w:val="21"/>
          <w:szCs w:val="21"/>
        </w:rPr>
      </w:pPr>
      <w:r w:rsidRPr="00C5545D">
        <w:rPr>
          <w:rFonts w:ascii="Abadi" w:hAnsi="Abadi" w:cs="Arial"/>
          <w:b/>
          <w:i/>
          <w:color w:val="212529"/>
          <w:sz w:val="21"/>
          <w:szCs w:val="21"/>
        </w:rPr>
        <w:lastRenderedPageBreak/>
        <w:t>En el derecho internacional:</w:t>
      </w:r>
      <w:r w:rsidRPr="00C5545D">
        <w:rPr>
          <w:rFonts w:ascii="Abadi" w:hAnsi="Abadi" w:cs="Arial"/>
          <w:i/>
          <w:color w:val="212529"/>
          <w:sz w:val="21"/>
          <w:szCs w:val="21"/>
        </w:rPr>
        <w:t xml:space="preserve"> </w:t>
      </w:r>
      <w:r w:rsidRPr="00C5545D">
        <w:rPr>
          <w:rFonts w:ascii="Abadi" w:hAnsi="Abadi"/>
          <w:color w:val="212529"/>
          <w:sz w:val="21"/>
          <w:szCs w:val="21"/>
        </w:rPr>
        <w:t xml:space="preserve">se encuentra contemplado en la Declaración Universal de los Derechos Humanos (art.7); en el Pacto Internacional de Derechos Civiles y Políticos (arts. 4 y 26); en el Pacto Internacional de Derechos Económicos, Sociales y Culturales (art. 2.2); en la Convención sobre los Derechos del Niño (art. 2.1); en el Convenio relativo a la discriminación en materia de empleo y ocupación (art. 1.1); así como en la Declaración Americana de los Derechos y Deberes del Hombre (art. 2); en la Convención Americana sobre Derechos Humanos (arts. 1 y 24); en el Protocolo adicional a la Convención Americana sobre Derechos Humanos en Materia de Derechos Económicos, Sociales y </w:t>
      </w:r>
    </w:p>
    <w:p w14:paraId="5FE27DB3" w14:textId="77777777" w:rsidR="00BF55D3" w:rsidRPr="00C5545D" w:rsidRDefault="00BF55D3" w:rsidP="00BF55D3">
      <w:pPr>
        <w:spacing w:line="249" w:lineRule="auto"/>
        <w:ind w:left="872"/>
        <w:jc w:val="both"/>
        <w:rPr>
          <w:rFonts w:ascii="Abadi" w:hAnsi="Abadi"/>
          <w:sz w:val="21"/>
          <w:szCs w:val="21"/>
        </w:rPr>
      </w:pPr>
      <w:r w:rsidRPr="00C5545D">
        <w:rPr>
          <w:rFonts w:ascii="Abadi" w:hAnsi="Abadi"/>
          <w:color w:val="212529"/>
          <w:sz w:val="21"/>
          <w:szCs w:val="21"/>
        </w:rPr>
        <w:t xml:space="preserve">Culturales (art.3). </w:t>
      </w:r>
    </w:p>
    <w:p w14:paraId="0EFD198B" w14:textId="77777777" w:rsidR="00BF55D3" w:rsidRPr="00C5545D" w:rsidRDefault="00BF55D3" w:rsidP="00BF55D3">
      <w:pPr>
        <w:spacing w:line="259" w:lineRule="auto"/>
        <w:ind w:left="862"/>
        <w:jc w:val="both"/>
        <w:rPr>
          <w:rFonts w:ascii="Abadi" w:hAnsi="Abadi"/>
          <w:sz w:val="21"/>
          <w:szCs w:val="21"/>
        </w:rPr>
      </w:pPr>
      <w:r w:rsidRPr="00C5545D">
        <w:rPr>
          <w:rFonts w:ascii="Abadi" w:hAnsi="Abadi"/>
          <w:color w:val="212529"/>
          <w:sz w:val="21"/>
          <w:szCs w:val="21"/>
        </w:rPr>
        <w:t xml:space="preserve"> </w:t>
      </w:r>
    </w:p>
    <w:p w14:paraId="1EC990FC" w14:textId="77777777" w:rsidR="00BF55D3" w:rsidRPr="00C5545D" w:rsidRDefault="00BF55D3" w:rsidP="00BF55D3">
      <w:pPr>
        <w:numPr>
          <w:ilvl w:val="0"/>
          <w:numId w:val="53"/>
        </w:numPr>
        <w:spacing w:line="249" w:lineRule="auto"/>
        <w:ind w:hanging="360"/>
        <w:jc w:val="both"/>
        <w:rPr>
          <w:rFonts w:ascii="Abadi" w:hAnsi="Abadi"/>
          <w:sz w:val="21"/>
          <w:szCs w:val="21"/>
        </w:rPr>
      </w:pPr>
      <w:r w:rsidRPr="00C5545D">
        <w:rPr>
          <w:rFonts w:ascii="Abadi" w:hAnsi="Abadi" w:cs="Arial"/>
          <w:b/>
          <w:i/>
          <w:color w:val="212529"/>
          <w:sz w:val="21"/>
          <w:szCs w:val="21"/>
        </w:rPr>
        <w:t>En el derecho nacional:</w:t>
      </w:r>
      <w:r w:rsidRPr="00C5545D">
        <w:rPr>
          <w:rFonts w:ascii="Abadi" w:hAnsi="Abadi"/>
          <w:color w:val="212529"/>
          <w:sz w:val="21"/>
          <w:szCs w:val="21"/>
        </w:rPr>
        <w:t xml:space="preserve"> es reconocido en la Constitución Política de los Estados Unidos Mexicanos (arts. 1 párrafo quinto y 4° párrafo primero); en la Ley Federal para Prevenir y Eliminar la Discriminación (arts. 1, 2 y 9 fracción XXVIII); Ley General de Víctimas (arts. 5 y 18); Ley sobre Refugiados, Protección Complementaria y Asilo Político (arts. 8 y 59); Ley de Migración (art. 109 XI). </w:t>
      </w:r>
    </w:p>
    <w:p w14:paraId="35CBE2D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69C972DF"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En tal sentido, el derecho a la igualdad ante la ley implica que todas las personas, en las mismas condiciones, para que reciban el mismo trato, por lo que, todo estado que se precie de ser democrático tiene  la obligación  de garantizar este derecho fundamental, y evitar la discriminación prohibiendo toda distinción, restricción, exclusión o preferencia por motivos de origen étnico o nacional, raza, color, sexo, condición social, idioma, religión, posición económica, opiniones, o cualquier otra condición social, cuyo objetivo sea anular o menoscabar el reconocimiento de los derechos humanos de toda persona. Es decir, el derecho a la igualdad prohíbe la discriminación de derecho, mientras que la </w:t>
      </w:r>
      <w:r w:rsidRPr="00C5545D">
        <w:rPr>
          <w:rFonts w:ascii="Abadi" w:hAnsi="Abadi"/>
          <w:color w:val="212529"/>
          <w:sz w:val="21"/>
          <w:szCs w:val="21"/>
        </w:rPr>
        <w:t xml:space="preserve">no discriminación prohíbe la discriminación de hecho. </w:t>
      </w:r>
    </w:p>
    <w:p w14:paraId="7048B405"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302F09F2"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Por ello,  ninguna persona debe ser discriminada por su  identidad de género, orientación sexual o expresión de género; entendiendo la </w:t>
      </w:r>
      <w:r w:rsidRPr="00C5545D">
        <w:rPr>
          <w:rFonts w:ascii="Abadi" w:hAnsi="Abadi" w:cs="Arial"/>
          <w:b/>
          <w:color w:val="212529"/>
          <w:sz w:val="21"/>
          <w:szCs w:val="21"/>
        </w:rPr>
        <w:t>identidad de género</w:t>
      </w:r>
      <w:r w:rsidRPr="00C5545D">
        <w:rPr>
          <w:rFonts w:ascii="Abadi" w:hAnsi="Abadi"/>
          <w:color w:val="212529"/>
          <w:sz w:val="21"/>
          <w:szCs w:val="21"/>
        </w:rPr>
        <w:t xml:space="preserve"> como cada persona se siente y se piensa respecto a sí misma y como lo interpreta, correspondiendo o no con el sexo asignado al nacer; </w:t>
      </w:r>
      <w:r w:rsidRPr="00C5545D">
        <w:rPr>
          <w:rFonts w:ascii="Abadi" w:hAnsi="Abadi" w:cs="Arial"/>
          <w:b/>
          <w:color w:val="212529"/>
          <w:sz w:val="21"/>
          <w:szCs w:val="21"/>
        </w:rPr>
        <w:t>la orientación sexual</w:t>
      </w:r>
      <w:r w:rsidRPr="00C5545D">
        <w:rPr>
          <w:rFonts w:ascii="Abadi" w:hAnsi="Abadi"/>
          <w:color w:val="212529"/>
          <w:sz w:val="21"/>
          <w:szCs w:val="21"/>
        </w:rPr>
        <w:t xml:space="preserve"> es hacia quien se siente física, espiritual y emocionalmente atraído; y </w:t>
      </w:r>
      <w:r w:rsidRPr="00C5545D">
        <w:rPr>
          <w:rFonts w:ascii="Abadi" w:hAnsi="Abadi" w:cs="Arial"/>
          <w:b/>
          <w:color w:val="212529"/>
          <w:sz w:val="21"/>
          <w:szCs w:val="21"/>
        </w:rPr>
        <w:t>la</w:t>
      </w:r>
      <w:r w:rsidRPr="00C5545D">
        <w:rPr>
          <w:rFonts w:ascii="Abadi" w:hAnsi="Abadi"/>
          <w:color w:val="212529"/>
          <w:sz w:val="21"/>
          <w:szCs w:val="21"/>
        </w:rPr>
        <w:t xml:space="preserve"> </w:t>
      </w:r>
      <w:r w:rsidRPr="00C5545D">
        <w:rPr>
          <w:rFonts w:ascii="Abadi" w:hAnsi="Abadi" w:cs="Arial"/>
          <w:b/>
          <w:color w:val="212529"/>
          <w:sz w:val="21"/>
          <w:szCs w:val="21"/>
        </w:rPr>
        <w:t>expresión de género</w:t>
      </w:r>
      <w:r w:rsidRPr="00C5545D">
        <w:rPr>
          <w:rFonts w:ascii="Abadi" w:hAnsi="Abadi"/>
          <w:color w:val="212529"/>
          <w:sz w:val="21"/>
          <w:szCs w:val="21"/>
        </w:rPr>
        <w:t xml:space="preserve"> es como cada persona manifiesta y exterioriza su género a través de la manera en que actúa, se viste, se comporta e interactúa con los demás.</w:t>
      </w:r>
      <w:r w:rsidRPr="00C5545D">
        <w:rPr>
          <w:rFonts w:ascii="Abadi" w:hAnsi="Abadi" w:cs="Arial"/>
          <w:i/>
          <w:sz w:val="21"/>
          <w:szCs w:val="21"/>
        </w:rPr>
        <w:t xml:space="preserve"> </w:t>
      </w:r>
    </w:p>
    <w:p w14:paraId="179D529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097573B9"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Por esto, el derecho a la igualdad y no discriminación de la comunidad LGBT es un derecho reconocido y protegido en el plano internacional, nacional y local y un principio internacional y nacional de carácter obligatorio para el Estado Mexicano, por tanto, es obligación de todas las autoridades, en los tres niveles de gobierno, en el ámbito de sus competencias, combatir las prácticas discriminatorias, no inclusivas por orientación sexual,  así  como eliminar de su legislación, leyes que atenten contra la dignidad de las personas y adecuar a sus normas otras medidas que garanticen la igualdad de todas las personas. </w:t>
      </w:r>
    </w:p>
    <w:p w14:paraId="79E53B0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6A164592" w14:textId="77777777" w:rsidR="00BF55D3" w:rsidRPr="00C5545D" w:rsidRDefault="00BF55D3" w:rsidP="00BF55D3">
      <w:pPr>
        <w:spacing w:after="8" w:line="250" w:lineRule="auto"/>
        <w:ind w:left="137"/>
        <w:jc w:val="both"/>
        <w:rPr>
          <w:rFonts w:ascii="Abadi" w:hAnsi="Abadi"/>
          <w:sz w:val="21"/>
          <w:szCs w:val="21"/>
        </w:rPr>
      </w:pPr>
      <w:r w:rsidRPr="00C5545D">
        <w:rPr>
          <w:rFonts w:ascii="Abadi" w:hAnsi="Abadi" w:cs="Arial"/>
          <w:b/>
          <w:color w:val="212529"/>
          <w:sz w:val="21"/>
          <w:szCs w:val="21"/>
        </w:rPr>
        <w:t xml:space="preserve">En el deporte: </w:t>
      </w:r>
    </w:p>
    <w:p w14:paraId="7377DD8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b/>
          <w:color w:val="212529"/>
          <w:sz w:val="21"/>
          <w:szCs w:val="21"/>
        </w:rPr>
        <w:t xml:space="preserve"> </w:t>
      </w:r>
    </w:p>
    <w:p w14:paraId="587BA9E3"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En lo particular, en el deporte se manifiesta fuertemente el machismo y la discriminación por orientación sexual y expresión de género, que </w:t>
      </w:r>
      <w:proofErr w:type="spellStart"/>
      <w:r w:rsidRPr="00C5545D">
        <w:rPr>
          <w:rFonts w:ascii="Abadi" w:hAnsi="Abadi"/>
          <w:color w:val="212529"/>
          <w:sz w:val="21"/>
          <w:szCs w:val="21"/>
        </w:rPr>
        <w:t>aun</w:t>
      </w:r>
      <w:proofErr w:type="spellEnd"/>
      <w:r w:rsidRPr="00C5545D">
        <w:rPr>
          <w:rFonts w:ascii="Abadi" w:hAnsi="Abadi"/>
          <w:color w:val="212529"/>
          <w:sz w:val="21"/>
          <w:szCs w:val="21"/>
        </w:rPr>
        <w:t xml:space="preserve"> persiste en nuestras sociedades actuales. Lo anterior a menudo produce que se excluya de su práctica, en lo general o el algún deporte en particular la práctica a personas adultas, menores de edad o personas de la diversidad sexual, quienes no van a ocultar su identidad para poder realizar cierta actividad deportiva. </w:t>
      </w:r>
    </w:p>
    <w:p w14:paraId="1B315BE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4F9EAE97"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Así, la diversidad sexual en el deporte está expuesta a situaciones de violencia verbal, psicológica, física o simbólica, lo que limita o impide el ejercicio del pleno derecho </w:t>
      </w:r>
      <w:r w:rsidRPr="00C5545D">
        <w:rPr>
          <w:rFonts w:ascii="Abadi" w:hAnsi="Abadi"/>
          <w:color w:val="212529"/>
          <w:sz w:val="21"/>
          <w:szCs w:val="21"/>
        </w:rPr>
        <w:lastRenderedPageBreak/>
        <w:t xml:space="preserve">fundamental de todas las personas a la cultura física y el deporte. </w:t>
      </w:r>
    </w:p>
    <w:p w14:paraId="159CA74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35C93EA2"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Es por esto que, las prácticas de cultura física y deportivas deben ser destinadas a la sociedad en general, sin hacer especial mención en leyes o normas; sin embargo, esto no ocurre así, existiendo en la actividad deportiva, como área que hasta ahora ha resultado invisible para ciertos sectores de población o en concreto sobre la actividad deportiva, en cuanto a que tienen el  derecho fundamental al libre disfrute de la actividad deportiva que más les convenga; sin embargo, en esta área sabemos que existe violencia, discriminación, ausencia de criterios considerando la perspectiva de género, tanto en el deporte profesional, como en la actividad ordinaria de una sociedad, es decir en el deporte social, de rendimiento o de alto rendimiento.  </w:t>
      </w:r>
    </w:p>
    <w:p w14:paraId="04749469"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076E4588"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Desde esta perspectiva, el deporte y las actividades físicas se constituyen en catalizadores para la formación y para el fortalecimiento de redes ciudadanas, al tiempo que son vitales para la socialización y para la contención de este grave problema al que nadie ha puesto atención, cuando menos en el estado de Guanajuato, por ello, el interés de la Fracción Parlamentaria del Partido Revolucionario Institucional en presentar esta iniciativa. </w:t>
      </w:r>
    </w:p>
    <w:p w14:paraId="2C6E2D87"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19D55396"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Porque consideramos que las actividades deportivas, permitidas a cualquier persona, y que el estado visualice el problema, lo atienda y solucione, generarán un clima recreativo y de diversión que repercute positivamente en la calidad de vida y en la salud psíquica de quienes son sus protagonistas. </w:t>
      </w:r>
    </w:p>
    <w:p w14:paraId="27F4562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639A7DB2"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En este tema de diversidad sexual, resulta importante señalar que en el estado de Guanajuato se hace necesario incluir en la Ley de Cultura Física y Deporte del Estado de Guanajuato, que se elaboren programas deportivos y acciones que contribuyan a la </w:t>
      </w:r>
      <w:r w:rsidRPr="00C5545D">
        <w:rPr>
          <w:rFonts w:ascii="Abadi" w:hAnsi="Abadi"/>
          <w:color w:val="212529"/>
          <w:sz w:val="21"/>
          <w:szCs w:val="21"/>
        </w:rPr>
        <w:t xml:space="preserve">inclusión social de las personas pertenecientes a grupos sociales que tienen vulnerados sus derechos, como es la que corresponde a la diversidad sexual o comunidad o LGBT. En dicha norma también debe establecerse que la actividad física y deportiva en la entidad se lleve a cabo mediante la promoción de actividades que permitan la integración y el respeto de todas las personas, fomentando la fraternidad y la diversidad en el deporte de competición social, de rendimiento y de alto rendimiento, y las relacionadas con el trabajo dentro de la administración pública estatal o municipal o en el ámbito privado. </w:t>
      </w:r>
    </w:p>
    <w:p w14:paraId="38D4F9D8"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olor w:val="212529"/>
          <w:sz w:val="21"/>
          <w:szCs w:val="21"/>
        </w:rPr>
        <w:t xml:space="preserve"> </w:t>
      </w:r>
    </w:p>
    <w:p w14:paraId="5D81A7B0" w14:textId="77777777" w:rsidR="00BF55D3" w:rsidRPr="00C5545D" w:rsidRDefault="00BF55D3" w:rsidP="00BF55D3">
      <w:pPr>
        <w:spacing w:line="249" w:lineRule="auto"/>
        <w:ind w:left="137"/>
        <w:jc w:val="both"/>
        <w:rPr>
          <w:rFonts w:ascii="Abadi" w:hAnsi="Abadi"/>
          <w:sz w:val="21"/>
          <w:szCs w:val="21"/>
        </w:rPr>
      </w:pPr>
      <w:r w:rsidRPr="00C5545D">
        <w:rPr>
          <w:rFonts w:ascii="Abadi" w:hAnsi="Abadi"/>
          <w:color w:val="212529"/>
          <w:sz w:val="21"/>
          <w:szCs w:val="21"/>
        </w:rPr>
        <w:t xml:space="preserve">Es por esto, que los proponentes consideramos que, en la actual Ley de Cultura Física y Deporte del Estado de Guanajuato, se hace necesario actualizar algunos de sus preceptos a efecto de integrar la perspectiva de género, la participación de estratos de la sociedad que se consideran vulnerables, como lo son las personas con discapacidad y de la tercera edad, así una perspectiva de inclusión de las personas de la diversidad sexual. </w:t>
      </w:r>
    </w:p>
    <w:p w14:paraId="520AEB1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07E8ED1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cs="Arial"/>
          <w:i/>
          <w:sz w:val="21"/>
          <w:szCs w:val="21"/>
        </w:rPr>
        <w:t xml:space="preserve"> </w:t>
      </w:r>
    </w:p>
    <w:p w14:paraId="0DDCD6F0"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 xml:space="preserve">Protección de los derechos humanos con perspectiva de género. </w:t>
      </w:r>
    </w:p>
    <w:p w14:paraId="6C2E7C84"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E6BD12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En 2003, al afrontar el tema de la protección los derechos humanos de la mujer en el Sistema Interamericano de Derechos Humanos (SIDH), Cecilia Medina Quiroga, ex Presidenta de la Corte Interamericana de Derechos Humanos (Corte IDH), elogiaba el empeño de la Comisión Interamericana de Derechos Humanos (CIDH) por integrar la perspectiva de género en todas sus actividades y contribuir así eficazmente al mejoramiento de la condición de la mujer en las Américas. A la vez, observaba cómo en la misma materia el papel jugado por la Corte de San José parecía haber sido, hasta aquel momento, “extremadamente modesto”</w:t>
      </w:r>
      <w:r w:rsidRPr="00C5545D">
        <w:rPr>
          <w:rFonts w:ascii="Abadi" w:hAnsi="Abadi"/>
          <w:sz w:val="21"/>
          <w:szCs w:val="21"/>
          <w:vertAlign w:val="superscript"/>
        </w:rPr>
        <w:footnoteReference w:id="26"/>
      </w:r>
      <w:r w:rsidRPr="00C5545D">
        <w:rPr>
          <w:rFonts w:ascii="Abadi" w:eastAsia="Verdana" w:hAnsi="Abadi" w:cs="Verdana"/>
          <w:sz w:val="21"/>
          <w:szCs w:val="21"/>
        </w:rPr>
        <w:t xml:space="preserve"> </w:t>
      </w:r>
    </w:p>
    <w:p w14:paraId="1943D974"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5AF9FC86"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lastRenderedPageBreak/>
        <w:t>Sin embargo, es a partir de 2006, en que la Corte IDH ha examinado con frecuencia cuestiones relacionadas de manera específica con los derechos humanos de las mujeres, en particular con la violencia de género –“la violencia dirigida contra la mujer porque es mujer o que le afecta en forma desproporcionada”3 – y con el acceso de las mujeres víctimas de violencia a recursos judiciales idóneos y efectivos.</w:t>
      </w:r>
      <w:r w:rsidRPr="00C5545D">
        <w:rPr>
          <w:rFonts w:ascii="Abadi" w:eastAsia="Verdana" w:hAnsi="Abadi" w:cs="Verdana"/>
          <w:sz w:val="21"/>
          <w:szCs w:val="21"/>
        </w:rPr>
        <w:t xml:space="preserve"> </w:t>
      </w:r>
    </w:p>
    <w:p w14:paraId="43598229"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5BE344CC"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La Corte de San José</w:t>
      </w:r>
      <w:r w:rsidRPr="00C5545D">
        <w:rPr>
          <w:rFonts w:ascii="Abadi" w:hAnsi="Abadi"/>
          <w:sz w:val="21"/>
          <w:szCs w:val="21"/>
          <w:vertAlign w:val="superscript"/>
        </w:rPr>
        <w:footnoteReference w:id="27"/>
      </w:r>
      <w:r w:rsidRPr="00C5545D">
        <w:rPr>
          <w:rFonts w:ascii="Abadi" w:hAnsi="Abadi"/>
          <w:sz w:val="21"/>
          <w:szCs w:val="21"/>
        </w:rPr>
        <w:t xml:space="preserve"> ha contribuido con sus decisiones más recientes a integrar la perspectiva de género en el Sistema Interamericano de Derechos Humanos, poniéndose al paso con las actuales tendencias del Derecho Internacional en materia de protección de los derechos humanos de las mujeres y, de esa manera, promoviendo su ulterior desarrollo.</w:t>
      </w:r>
      <w:r w:rsidRPr="00C5545D">
        <w:rPr>
          <w:rFonts w:ascii="Abadi" w:eastAsia="Verdana" w:hAnsi="Abadi" w:cs="Verdana"/>
          <w:sz w:val="21"/>
          <w:szCs w:val="21"/>
        </w:rPr>
        <w:t xml:space="preserve"> </w:t>
      </w:r>
    </w:p>
    <w:p w14:paraId="38D32126"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16AB7CE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consecuencia, se citará en la presente iniciativa, en primer término, el desarrollo del concepto o del “enfoque de género” y de su consolidación en la teoría y en la práctica del Derecho Internacional de los Derechos Humanos (DIDH). </w:t>
      </w:r>
    </w:p>
    <w:p w14:paraId="4BE2A7EB"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5150B697"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Derechos humanos, derechos de las mujeres y perspectiva de género.</w:t>
      </w:r>
      <w:r w:rsidRPr="00C5545D">
        <w:rPr>
          <w:rFonts w:ascii="Abadi" w:eastAsia="Verdana" w:hAnsi="Abadi" w:cs="Verdana"/>
          <w:b/>
          <w:sz w:val="21"/>
          <w:szCs w:val="21"/>
        </w:rPr>
        <w:t xml:space="preserve"> </w:t>
      </w:r>
    </w:p>
    <w:p w14:paraId="20799EFE"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b/>
          <w:sz w:val="21"/>
          <w:szCs w:val="21"/>
        </w:rPr>
        <w:t xml:space="preserve"> </w:t>
      </w:r>
    </w:p>
    <w:p w14:paraId="74D52B7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En las últimas décadas ha crecido progresivamente el compromiso de la Comunidad Internacional con la promoción y protección de los derechos humanos de las mujeres. A los fines específicos del presente estudio, cabe</w:t>
      </w:r>
      <w:r>
        <w:rPr>
          <w:rFonts w:ascii="Abadi" w:hAnsi="Abadi"/>
          <w:sz w:val="21"/>
          <w:szCs w:val="21"/>
        </w:rPr>
        <w:t xml:space="preserve"> </w:t>
      </w:r>
      <w:r w:rsidRPr="00C5545D">
        <w:rPr>
          <w:rFonts w:ascii="Abadi" w:hAnsi="Abadi"/>
          <w:sz w:val="21"/>
          <w:szCs w:val="21"/>
        </w:rPr>
        <w:t>subrayar cómo la evolución de la agenda internacional en la materia se ha desarrollado básicamente en dos momentos, que son:</w:t>
      </w:r>
      <w:r w:rsidRPr="00C5545D">
        <w:rPr>
          <w:rFonts w:ascii="Abadi" w:eastAsia="Verdana" w:hAnsi="Abadi" w:cs="Verdana"/>
          <w:sz w:val="21"/>
          <w:szCs w:val="21"/>
        </w:rPr>
        <w:t xml:space="preserve"> </w:t>
      </w:r>
    </w:p>
    <w:p w14:paraId="30F19973"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3F98982F" w14:textId="77777777" w:rsidR="00BF55D3" w:rsidRPr="00C5545D" w:rsidRDefault="00BF55D3" w:rsidP="00BF55D3">
      <w:pPr>
        <w:ind w:left="137" w:right="4"/>
        <w:jc w:val="both"/>
        <w:rPr>
          <w:rFonts w:ascii="Abadi" w:hAnsi="Abadi"/>
          <w:sz w:val="21"/>
          <w:szCs w:val="21"/>
        </w:rPr>
      </w:pPr>
      <w:r w:rsidRPr="00C5545D">
        <w:rPr>
          <w:rFonts w:ascii="Abadi" w:hAnsi="Abadi" w:cs="Arial"/>
          <w:b/>
          <w:sz w:val="21"/>
          <w:szCs w:val="21"/>
        </w:rPr>
        <w:t>El primero</w:t>
      </w:r>
      <w:r w:rsidRPr="00C5545D">
        <w:rPr>
          <w:rFonts w:ascii="Abadi" w:hAnsi="Abadi"/>
          <w:sz w:val="21"/>
          <w:szCs w:val="21"/>
        </w:rPr>
        <w:t xml:space="preserve">, dio inicio en la mitad de los años 70, cuando, gracias al aporte de la teoría feminista del Derecho, se fue afirmando la necesidad de una protección específica de las mujeres en el ámbito del Derecho Interamericano de Derechos Humanos. Así, también bajo el impulso de los movimientos sociales de mujeres, al lado de los instrumentos de protección general de los derechos de todo ser humano se multiplicaron iniciativas destinadas a dar una respuesta particular a la problemática de </w:t>
      </w:r>
      <w:r w:rsidRPr="00C5545D">
        <w:rPr>
          <w:rFonts w:ascii="Abadi" w:hAnsi="Abadi"/>
          <w:sz w:val="21"/>
          <w:szCs w:val="21"/>
        </w:rPr>
        <w:t>género, que culminaron con la adopción, en 1979, de la Convención sobre la Eliminación de todas las Formas de Discriminación contra la Mujer (CEDAW, por sus siglas en inglés).</w:t>
      </w:r>
      <w:r w:rsidRPr="00C5545D">
        <w:rPr>
          <w:rFonts w:ascii="Abadi" w:eastAsia="Verdana" w:hAnsi="Abadi" w:cs="Verdana"/>
          <w:sz w:val="21"/>
          <w:szCs w:val="21"/>
        </w:rPr>
        <w:t xml:space="preserve"> </w:t>
      </w:r>
    </w:p>
    <w:p w14:paraId="5C1320E2"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64E167D3"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Así, el núcleo conceptual de esta primera fase de desarrolló en la manera de concebir la protección internacional de las mujeres fue la distinción entre los términos “sexo” y “género”, el primero referido a las diferencias biológicas entre hombres y mujeres, el segundo a las costumbres, prácticas y normas a partir de las cuales, en un determinado contexto sociocultural y momento histórico, las diversidades biológicas se traducen en diferencias socialmente construidas que conllevan a oportunidades y condiciones de vida desigualdades. A partir de este presupuesto se afirmó la idea de que, frente a las desigualdades históricas y estructurales experimentadas por las mujeres a causa del proceso de estereotipación en razón del género y a pesar de la existencia de unos derechos humanos inherentes a toda persona, era necesario un tratamiento específico de las violaciones de los derechos de la mujer. </w:t>
      </w:r>
    </w:p>
    <w:p w14:paraId="3658EEC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CCE36EC" w14:textId="77777777" w:rsidR="00BF55D3" w:rsidRPr="00C5545D" w:rsidRDefault="00BF55D3" w:rsidP="00BF55D3">
      <w:pPr>
        <w:ind w:left="137" w:right="4"/>
        <w:jc w:val="both"/>
        <w:rPr>
          <w:rFonts w:ascii="Abadi" w:hAnsi="Abadi"/>
          <w:sz w:val="21"/>
          <w:szCs w:val="21"/>
        </w:rPr>
      </w:pPr>
      <w:r w:rsidRPr="00C5545D">
        <w:rPr>
          <w:rFonts w:ascii="Abadi" w:hAnsi="Abadi" w:cs="Arial"/>
          <w:b/>
          <w:sz w:val="21"/>
          <w:szCs w:val="21"/>
        </w:rPr>
        <w:t>La segunda</w:t>
      </w:r>
      <w:r w:rsidRPr="00C5545D">
        <w:rPr>
          <w:rFonts w:ascii="Abadi" w:hAnsi="Abadi"/>
          <w:sz w:val="21"/>
          <w:szCs w:val="21"/>
        </w:rPr>
        <w:t xml:space="preserve"> etapa del proceso de evolución del ordenamiento internacional en esta materia –que se extiende hasta hoy en día– inició en la primera mitad de los años 90, cuando, en contraposición al enfoque anterior, emergió la convicción de que los instrumentos específicos, como la CEDAW, por sí solos eran insuficientes para garantizar la efectiva salvaguardia de los derechos de las mujeres y que era necesario integrar el reconocimiento de las diferencias de género en la interpretación y aplicación de todos los tratados generales sobre derechos humanos. </w:t>
      </w:r>
    </w:p>
    <w:p w14:paraId="5E1DA64B" w14:textId="77777777" w:rsidR="00BF55D3" w:rsidRPr="00C5545D" w:rsidRDefault="00BF55D3" w:rsidP="00BF55D3">
      <w:pPr>
        <w:spacing w:after="13" w:line="259" w:lineRule="auto"/>
        <w:ind w:left="142"/>
        <w:jc w:val="both"/>
        <w:rPr>
          <w:rFonts w:ascii="Abadi" w:hAnsi="Abadi"/>
          <w:sz w:val="21"/>
          <w:szCs w:val="21"/>
        </w:rPr>
      </w:pPr>
      <w:r w:rsidRPr="00C5545D">
        <w:rPr>
          <w:rFonts w:ascii="Abadi" w:hAnsi="Abadi"/>
          <w:sz w:val="21"/>
          <w:szCs w:val="21"/>
        </w:rPr>
        <w:t xml:space="preserve"> </w:t>
      </w:r>
    </w:p>
    <w:p w14:paraId="32816BAE" w14:textId="77777777" w:rsidR="00BF55D3" w:rsidRPr="00C5545D" w:rsidRDefault="00BF55D3" w:rsidP="00BF55D3">
      <w:pPr>
        <w:spacing w:after="42"/>
        <w:ind w:left="137" w:right="4"/>
        <w:jc w:val="both"/>
        <w:rPr>
          <w:rFonts w:ascii="Abadi" w:hAnsi="Abadi"/>
          <w:sz w:val="21"/>
          <w:szCs w:val="21"/>
        </w:rPr>
      </w:pPr>
      <w:r w:rsidRPr="00C5545D">
        <w:rPr>
          <w:rFonts w:ascii="Abadi" w:hAnsi="Abadi"/>
          <w:sz w:val="21"/>
          <w:szCs w:val="21"/>
        </w:rPr>
        <w:t>En este contexto se difundió la expresión “transversalización de la perspectiva de género” (</w:t>
      </w:r>
      <w:r w:rsidRPr="00C5545D">
        <w:rPr>
          <w:rFonts w:ascii="Abadi" w:hAnsi="Abadi" w:cs="Arial"/>
          <w:i/>
          <w:sz w:val="21"/>
          <w:szCs w:val="21"/>
        </w:rPr>
        <w:t xml:space="preserve">en inglés, </w:t>
      </w:r>
      <w:proofErr w:type="spellStart"/>
      <w:r w:rsidRPr="00C5545D">
        <w:rPr>
          <w:rFonts w:ascii="Abadi" w:hAnsi="Abadi" w:cs="Arial"/>
          <w:i/>
          <w:sz w:val="21"/>
          <w:szCs w:val="21"/>
        </w:rPr>
        <w:t>gender</w:t>
      </w:r>
      <w:proofErr w:type="spellEnd"/>
      <w:r w:rsidRPr="00C5545D">
        <w:rPr>
          <w:rFonts w:ascii="Abadi" w:hAnsi="Abadi" w:cs="Arial"/>
          <w:i/>
          <w:sz w:val="21"/>
          <w:szCs w:val="21"/>
        </w:rPr>
        <w:t xml:space="preserve"> mainstreaming</w:t>
      </w:r>
      <w:r w:rsidRPr="00C5545D">
        <w:rPr>
          <w:rFonts w:ascii="Abadi" w:hAnsi="Abadi"/>
          <w:sz w:val="21"/>
          <w:szCs w:val="21"/>
        </w:rPr>
        <w:t xml:space="preserve">), donde la tradicional dicotomía entre los términos “sexo” y “género” dejaba el paso a la utilización de este último como sinónimo de “mujer”, y el concepto de “perspectiva de </w:t>
      </w:r>
      <w:proofErr w:type="gramStart"/>
      <w:r w:rsidRPr="00C5545D">
        <w:rPr>
          <w:rFonts w:ascii="Abadi" w:hAnsi="Abadi"/>
          <w:sz w:val="21"/>
          <w:szCs w:val="21"/>
        </w:rPr>
        <w:t>género”  remitía</w:t>
      </w:r>
      <w:proofErr w:type="gramEnd"/>
      <w:r w:rsidRPr="00C5545D">
        <w:rPr>
          <w:rFonts w:ascii="Abadi" w:hAnsi="Abadi"/>
          <w:sz w:val="21"/>
          <w:szCs w:val="21"/>
        </w:rPr>
        <w:t xml:space="preserve"> a un enfoque sensible al </w:t>
      </w:r>
      <w:r w:rsidRPr="00C5545D">
        <w:rPr>
          <w:rFonts w:ascii="Abadi" w:hAnsi="Abadi"/>
          <w:sz w:val="21"/>
          <w:szCs w:val="21"/>
        </w:rPr>
        <w:lastRenderedPageBreak/>
        <w:t>valor de las diferencias entre hombres y mujeres, así como a sus consecuencias sobre el goce de los derechos fundamentales por parte de estas últimas</w:t>
      </w:r>
      <w:r w:rsidRPr="00C5545D">
        <w:rPr>
          <w:rFonts w:ascii="Abadi" w:hAnsi="Abadi"/>
          <w:sz w:val="21"/>
          <w:szCs w:val="21"/>
          <w:vertAlign w:val="superscript"/>
        </w:rPr>
        <w:footnoteReference w:id="28"/>
      </w:r>
      <w:r w:rsidRPr="00C5545D">
        <w:rPr>
          <w:rFonts w:ascii="Abadi" w:hAnsi="Abadi"/>
          <w:sz w:val="21"/>
          <w:szCs w:val="21"/>
        </w:rPr>
        <w:t xml:space="preserve">. </w:t>
      </w:r>
    </w:p>
    <w:p w14:paraId="2A0CC349"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6AC8F87"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Lo que inspiró este cambio de dirección fue, por un lado, la voluntad de superar la división artificial que, tanto en la práctica internacional como en la doctrina, se había producido entre los derechos de las mujeres y los del resto de la humanidad; por otro, la percepción de que los derechos humanos de la mujer pueden ser violados en formas diferentes a aquellos de los hombres y que determinadas violaciones tienen lugar contra la mujer sólo por el hecho de serlo; y, finalmente, la conciencia, surgida de la teoría feminista contemporánea, de que, aunque tienen una formulación neutral desde el punto de vista del sexo, las normas contenidas en los instrumentos de protección general de los derechos humanos han sido tradicionalmente aplicadas –por los órganos encargados de su supervisión– de acuerdo con estereotipos de género y desde una perspectiva masculina, es decir, tomando como referencia a los hombres. </w:t>
      </w:r>
    </w:p>
    <w:p w14:paraId="650AF6D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70ADB821"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El primer paso hacia la transversalización de la perspectiva de género fue marcado en la Conferencia Mundial sobre Derechos Humanos llevada a cabo en Viena en 1993, al proclamarse que </w:t>
      </w:r>
      <w:r w:rsidRPr="00C5545D">
        <w:rPr>
          <w:rFonts w:ascii="Abadi" w:hAnsi="Abadi" w:cs="Arial"/>
          <w:i/>
          <w:sz w:val="21"/>
          <w:szCs w:val="21"/>
        </w:rPr>
        <w:t>“[l]a igualdad de condición de la mujer y sus derechos humanos deben integrarse en las principales actividades de todo el sistema de las Naciones Unidas</w:t>
      </w:r>
      <w:r w:rsidRPr="00C5545D">
        <w:rPr>
          <w:rFonts w:ascii="Abadi" w:hAnsi="Abadi"/>
          <w:sz w:val="21"/>
          <w:szCs w:val="21"/>
        </w:rPr>
        <w:t>”</w:t>
      </w:r>
      <w:r w:rsidRPr="00C5545D">
        <w:rPr>
          <w:rFonts w:ascii="Abadi" w:hAnsi="Abadi"/>
          <w:sz w:val="21"/>
          <w:szCs w:val="21"/>
          <w:vertAlign w:val="superscript"/>
        </w:rPr>
        <w:t>18</w:t>
      </w:r>
      <w:r w:rsidRPr="00C5545D">
        <w:rPr>
          <w:rFonts w:ascii="Abadi" w:hAnsi="Abadi"/>
          <w:sz w:val="21"/>
          <w:szCs w:val="21"/>
        </w:rPr>
        <w:t xml:space="preserve">. Cuatro años más tarde, bajo el impulso de la IV Conferencia Mundial sobre la Mujer, el Consejo Económico y Social de las Naciones Unidas proclamó la necesidad de una “inclusión activa y visible” del enfoque de género en todas las políticas y programas de la Organización, precisando, al mismo tiempo, que el </w:t>
      </w:r>
      <w:proofErr w:type="spellStart"/>
      <w:r w:rsidRPr="00C5545D">
        <w:rPr>
          <w:rFonts w:ascii="Abadi" w:hAnsi="Abadi" w:cs="Arial"/>
          <w:i/>
          <w:sz w:val="21"/>
          <w:szCs w:val="21"/>
        </w:rPr>
        <w:t>gender</w:t>
      </w:r>
      <w:proofErr w:type="spellEnd"/>
      <w:r w:rsidRPr="00C5545D">
        <w:rPr>
          <w:rFonts w:ascii="Abadi" w:hAnsi="Abadi" w:cs="Arial"/>
          <w:i/>
          <w:sz w:val="21"/>
          <w:szCs w:val="21"/>
        </w:rPr>
        <w:t xml:space="preserve"> mainstreaming</w:t>
      </w:r>
      <w:r w:rsidRPr="00C5545D">
        <w:rPr>
          <w:rFonts w:ascii="Abadi" w:hAnsi="Abadi"/>
          <w:sz w:val="21"/>
          <w:szCs w:val="21"/>
        </w:rPr>
        <w:t xml:space="preserve"> no debería sustituir la necesidad de desarrollar instrumentos y mecanismos especiales para la salvaguarda de los derechos de la mujer. </w:t>
      </w:r>
    </w:p>
    <w:p w14:paraId="537DB22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827D524" w14:textId="77777777" w:rsidR="00BF55D3" w:rsidRPr="00C5545D" w:rsidRDefault="00BF55D3" w:rsidP="00BF55D3">
      <w:pPr>
        <w:spacing w:after="92"/>
        <w:ind w:left="137" w:right="4"/>
        <w:jc w:val="both"/>
        <w:rPr>
          <w:rFonts w:ascii="Abadi" w:hAnsi="Abadi"/>
          <w:sz w:val="21"/>
          <w:szCs w:val="21"/>
        </w:rPr>
      </w:pPr>
      <w:r w:rsidRPr="00C5545D">
        <w:rPr>
          <w:rFonts w:ascii="Abadi" w:hAnsi="Abadi"/>
          <w:sz w:val="21"/>
          <w:szCs w:val="21"/>
        </w:rPr>
        <w:t xml:space="preserve">Desde entonces, la perspectiva de género ha empezado a difundirse a todos los órganos y agencias especializadas de la ONU, así como a las más importantes organizaciones gubernamentales de alcance regional, a través de un proceso continuo, dinámico y ascendente que dura hasta el en día de hoy. Este desarrollo ha acompañado y complementado la multiplicación de documentos internacionales específicamente centrados en la mujer, </w:t>
      </w:r>
      <w:r>
        <w:rPr>
          <w:rFonts w:ascii="Abadi" w:hAnsi="Abadi"/>
          <w:sz w:val="21"/>
          <w:szCs w:val="21"/>
        </w:rPr>
        <w:t>p</w:t>
      </w:r>
      <w:r w:rsidRPr="00C5545D">
        <w:rPr>
          <w:rFonts w:ascii="Abadi" w:hAnsi="Abadi"/>
          <w:sz w:val="21"/>
          <w:szCs w:val="21"/>
        </w:rPr>
        <w:t>articularmente en temas de la mayor trascendencia, como la discriminación por sexo, la violencia de género, y la protección de la maternidad y de la salud.</w:t>
      </w:r>
      <w:r w:rsidRPr="00C5545D">
        <w:rPr>
          <w:rFonts w:ascii="Abadi" w:eastAsia="Verdana" w:hAnsi="Abadi" w:cs="Verdana"/>
          <w:sz w:val="21"/>
          <w:szCs w:val="21"/>
        </w:rPr>
        <w:t xml:space="preserve"> </w:t>
      </w:r>
    </w:p>
    <w:p w14:paraId="4B28732F"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69D7B940"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Así, a partir del presupuesto básico de que “la eliminación de la violencia contra la mujer es condición indispensable para su desarrollo individual y social y su plena e igualitaria participación en todas las esferas de vida”, la CIM promovió con éxito la adopción, en 1994, de la Convención Interamericana para Prevenir, Sancionar y Erradicar la Violencia contra la Mujer (Convención de Belém do Pará), primer acuerdo internacional que tiene como fin la eliminación de la violencia de género.</w:t>
      </w:r>
      <w:r w:rsidRPr="00C5545D">
        <w:rPr>
          <w:rFonts w:ascii="Abadi" w:eastAsia="Verdana" w:hAnsi="Abadi" w:cs="Verdana"/>
          <w:sz w:val="21"/>
          <w:szCs w:val="21"/>
        </w:rPr>
        <w:t xml:space="preserve"> </w:t>
      </w:r>
    </w:p>
    <w:p w14:paraId="13EAAAAA"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2CA1EA24"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La Convención de Belém do Pará, que define la violencia contra la mujer como “cualquier acción o conducta, basada en su género, que causa muerte, daño o sufrimiento físico, sexual o psicológico a la mujer, tanto en su ámbito público como en el privado” (art. 1), establece la obligación de los Estados parte de actuar con la debida diligencia para prevenir, investigar y sancionar la violencia contra la mujer, y prevé la posibilidad de presentar quejas o denuncias individuales ante la CIDH por incumplimiento de dicha obligación.</w:t>
      </w:r>
      <w:r w:rsidRPr="00C5545D">
        <w:rPr>
          <w:rFonts w:ascii="Abadi" w:eastAsia="Verdana" w:hAnsi="Abadi" w:cs="Verdana"/>
          <w:sz w:val="21"/>
          <w:szCs w:val="21"/>
        </w:rPr>
        <w:t xml:space="preserve"> </w:t>
      </w:r>
    </w:p>
    <w:p w14:paraId="5AA02B43"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4DA88E6B" w14:textId="77777777" w:rsidR="00BF55D3" w:rsidRPr="00C5545D" w:rsidRDefault="00BF55D3" w:rsidP="00BF55D3">
      <w:pPr>
        <w:spacing w:line="249" w:lineRule="auto"/>
        <w:ind w:left="137" w:right="5"/>
        <w:jc w:val="both"/>
        <w:rPr>
          <w:rFonts w:ascii="Abadi" w:hAnsi="Abadi"/>
          <w:sz w:val="21"/>
          <w:szCs w:val="21"/>
        </w:rPr>
      </w:pPr>
      <w:r w:rsidRPr="00C5545D">
        <w:rPr>
          <w:rFonts w:ascii="Abadi" w:hAnsi="Abadi" w:cs="Arial"/>
          <w:b/>
          <w:sz w:val="21"/>
          <w:szCs w:val="21"/>
        </w:rPr>
        <w:t>La inclusión de la perspectiva de género en el Sistema Interamericano, síntesis del papel de la CIDH.</w:t>
      </w:r>
      <w:r w:rsidRPr="00C5545D">
        <w:rPr>
          <w:rFonts w:ascii="Abadi" w:eastAsia="Verdana" w:hAnsi="Abadi" w:cs="Verdana"/>
          <w:b/>
          <w:sz w:val="21"/>
          <w:szCs w:val="21"/>
        </w:rPr>
        <w:t xml:space="preserve"> </w:t>
      </w:r>
    </w:p>
    <w:p w14:paraId="566C79FC"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1A908D9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Durante las primeras décadas de su existencia la Comisión Interamericana no se </w:t>
      </w:r>
      <w:r w:rsidRPr="00C5545D">
        <w:rPr>
          <w:rFonts w:ascii="Abadi" w:hAnsi="Abadi"/>
          <w:sz w:val="21"/>
          <w:szCs w:val="21"/>
        </w:rPr>
        <w:lastRenderedPageBreak/>
        <w:t xml:space="preserve">mostró sensible a la problemática de género, a pesar de que las mujeres de la región eran víctimas de violaciones, muchas veces sistemáticas, de sus derechos fundamentales. </w:t>
      </w:r>
    </w:p>
    <w:p w14:paraId="3694B9EA"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2AD1A9B"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lo que, es a partir de la mitad de la década de los 90, y bajo recomendación de la Asamblea General de la OEA, que la CIDH comenzó a dedicar atención a los derechos de las mujeres. El punto de inflexión fue marcado por la creación, en 1994, de la Relatoría Especial de la Comisión sobre los Derechos de la Mujer, con el mandato de analizar la observancia de las obligaciones establecidas en la Convención Americana de Derechos Humanos por las leyes y prácticas de los Estados de la OEA relacionadas con la mujer. </w:t>
      </w:r>
    </w:p>
    <w:p w14:paraId="45E2628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8EBCEE9"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Al sintetizar los principales desarrollos de la práctica de la Comisión Interamericana de Derechos Humanos (CIDH) en la materia se hace evidente, en primer lugar, cómo esta ha enfatizado constantemente que la igualdad formal, aunque no garantiza la eliminación de las instancias </w:t>
      </w:r>
      <w:proofErr w:type="gramStart"/>
      <w:r w:rsidRPr="00C5545D">
        <w:rPr>
          <w:rFonts w:ascii="Abadi" w:hAnsi="Abadi"/>
          <w:sz w:val="21"/>
          <w:szCs w:val="21"/>
        </w:rPr>
        <w:t>de  discriminación</w:t>
      </w:r>
      <w:proofErr w:type="gramEnd"/>
      <w:r w:rsidRPr="00C5545D">
        <w:rPr>
          <w:rFonts w:ascii="Abadi" w:hAnsi="Abadi"/>
          <w:sz w:val="21"/>
          <w:szCs w:val="21"/>
        </w:rPr>
        <w:t xml:space="preserve"> en la práctica, es indispensable para mejorar la condición de la mujer en la vida social, económica y política. Con base en esto, la Comisión Interamericana se ha pronunciado respecto a numerosos casos de discriminación por razón de sexo en la ley, instando a los Estados a emprender una revisión completa de las provisiones con el propósito o efecto de impedir el goce de los derechos de las mujeres en condición de igualdad a los hombres. </w:t>
      </w:r>
    </w:p>
    <w:p w14:paraId="296D8BA6"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A933253"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Igualmente, se ha afirmado la posibilidad de la adopción por parte de los Estados de medidas especiales de carácter temporal encaminadas a acelerar la igualdad de facto entre el hombre y la mujer. La CIDH ha afirmado reiteradamente que la violencia de género representa una violación de los derechos a la integridad personal y a la protección de la honra y la dignidad de las mujeres, y ha calificado la violación sexual cometida por agentes del Estado como una forma de tortura. Además, ha establecido que la violencia doméstica es –al igual que </w:t>
      </w:r>
      <w:r w:rsidRPr="00C5545D">
        <w:rPr>
          <w:rFonts w:ascii="Abadi" w:hAnsi="Abadi"/>
          <w:sz w:val="21"/>
          <w:szCs w:val="21"/>
        </w:rPr>
        <w:t>cualquier otro tipo de violencia– una violación de los derechos humanos de la mujer</w:t>
      </w:r>
      <w:r w:rsidRPr="00C5545D">
        <w:rPr>
          <w:rFonts w:ascii="Abadi" w:hAnsi="Abadi"/>
          <w:sz w:val="21"/>
          <w:szCs w:val="21"/>
          <w:vertAlign w:val="superscript"/>
        </w:rPr>
        <w:footnoteReference w:id="29"/>
      </w:r>
      <w:r w:rsidRPr="00C5545D">
        <w:rPr>
          <w:rFonts w:ascii="Abadi" w:hAnsi="Abadi"/>
          <w:sz w:val="21"/>
          <w:szCs w:val="21"/>
        </w:rPr>
        <w:t xml:space="preserve">. </w:t>
      </w:r>
    </w:p>
    <w:p w14:paraId="2BFE7DE2" w14:textId="77777777" w:rsidR="00BF55D3" w:rsidRPr="00C5545D" w:rsidRDefault="00BF55D3" w:rsidP="00BF55D3">
      <w:pPr>
        <w:spacing w:after="3" w:line="259" w:lineRule="auto"/>
        <w:ind w:left="142"/>
        <w:jc w:val="both"/>
        <w:rPr>
          <w:rFonts w:ascii="Abadi" w:hAnsi="Abadi"/>
          <w:sz w:val="21"/>
          <w:szCs w:val="21"/>
        </w:rPr>
      </w:pPr>
      <w:r w:rsidRPr="00C5545D">
        <w:rPr>
          <w:rFonts w:ascii="Abadi" w:hAnsi="Abadi"/>
          <w:sz w:val="21"/>
          <w:szCs w:val="21"/>
        </w:rPr>
        <w:t xml:space="preserve"> </w:t>
      </w:r>
    </w:p>
    <w:p w14:paraId="5D3017DF"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La UNICEF define el </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como “el comportamiento agresivo que es intencional y que involucra un desbalance de poder o fuerza”. El </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o acoso es una realidad que sufren los individuos afectando su bienestar, desarrollo y el ejercicio de sus derechos y responsabilidades. Asimismo, esta problemática debe de entenderse en su más amplio sentido como una privación a los derechos humanos al tener implicaciones en la salud pública, educación, orden y seguridad. </w:t>
      </w:r>
    </w:p>
    <w:p w14:paraId="1910BEE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32774A54"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Esta forma de violencia entre pares se presenta primordialmente en el ambiente educativo, pueden presentarse fenómenos de </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en diferentes ámbitos, como en el hogar, trabajo o deporte.</w:t>
      </w:r>
      <w:r w:rsidRPr="00C5545D">
        <w:rPr>
          <w:rFonts w:ascii="Abadi" w:eastAsia="Verdana" w:hAnsi="Abadi" w:cs="Verdana"/>
          <w:sz w:val="21"/>
          <w:szCs w:val="21"/>
        </w:rPr>
        <w:t xml:space="preserve"> </w:t>
      </w:r>
    </w:p>
    <w:p w14:paraId="256B3FC6"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1E7A5ECE"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Existen distintas formas de </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entre las que se encuentran: </w:t>
      </w:r>
    </w:p>
    <w:p w14:paraId="5793D070"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5CB03D17" w14:textId="77777777" w:rsidR="00BF55D3" w:rsidRPr="00C5545D" w:rsidRDefault="00BF55D3" w:rsidP="00BF55D3">
      <w:pPr>
        <w:numPr>
          <w:ilvl w:val="0"/>
          <w:numId w:val="54"/>
        </w:numPr>
        <w:spacing w:after="15" w:line="247" w:lineRule="auto"/>
        <w:ind w:right="4" w:hanging="720"/>
        <w:jc w:val="both"/>
        <w:rPr>
          <w:rFonts w:ascii="Abadi" w:hAnsi="Abadi"/>
          <w:sz w:val="21"/>
          <w:szCs w:val="21"/>
        </w:rPr>
      </w:pP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directo que consiste en burlas, ataques verbales y físicos, extorsión y destrucción de propiedad. </w:t>
      </w:r>
    </w:p>
    <w:p w14:paraId="7024847A" w14:textId="77777777" w:rsidR="00BF55D3" w:rsidRPr="00C5545D" w:rsidRDefault="00BF55D3" w:rsidP="00BF55D3">
      <w:pPr>
        <w:spacing w:line="259" w:lineRule="auto"/>
        <w:ind w:left="1222"/>
        <w:jc w:val="both"/>
        <w:rPr>
          <w:rFonts w:ascii="Abadi" w:hAnsi="Abadi"/>
          <w:sz w:val="21"/>
          <w:szCs w:val="21"/>
        </w:rPr>
      </w:pPr>
      <w:r w:rsidRPr="00C5545D">
        <w:rPr>
          <w:rFonts w:ascii="Abadi" w:hAnsi="Abadi"/>
          <w:sz w:val="21"/>
          <w:szCs w:val="21"/>
        </w:rPr>
        <w:t xml:space="preserve"> </w:t>
      </w:r>
    </w:p>
    <w:p w14:paraId="43FB3674" w14:textId="77777777" w:rsidR="00BF55D3" w:rsidRPr="00C5545D" w:rsidRDefault="00BF55D3" w:rsidP="00BF55D3">
      <w:pPr>
        <w:numPr>
          <w:ilvl w:val="0"/>
          <w:numId w:val="54"/>
        </w:numPr>
        <w:spacing w:after="15" w:line="247" w:lineRule="auto"/>
        <w:ind w:right="4" w:hanging="720"/>
        <w:jc w:val="both"/>
        <w:rPr>
          <w:rFonts w:ascii="Abadi" w:hAnsi="Abadi"/>
          <w:sz w:val="21"/>
          <w:szCs w:val="21"/>
        </w:rPr>
      </w:pP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indirecto que consiste en ignorar, esparcir rumores, bromas maliciosas, entre otros.</w:t>
      </w:r>
      <w:r w:rsidRPr="00C5545D">
        <w:rPr>
          <w:rFonts w:ascii="Abadi" w:eastAsia="Verdana" w:hAnsi="Abadi" w:cs="Verdana"/>
          <w:sz w:val="21"/>
          <w:szCs w:val="21"/>
        </w:rPr>
        <w:t xml:space="preserve"> </w:t>
      </w:r>
    </w:p>
    <w:p w14:paraId="1764DCFB" w14:textId="77777777" w:rsidR="00BF55D3" w:rsidRPr="00C5545D" w:rsidRDefault="00BF55D3" w:rsidP="00BF55D3">
      <w:pPr>
        <w:spacing w:after="161" w:line="259" w:lineRule="auto"/>
        <w:ind w:left="862"/>
        <w:jc w:val="both"/>
        <w:rPr>
          <w:rFonts w:ascii="Abadi" w:hAnsi="Abadi"/>
          <w:sz w:val="21"/>
          <w:szCs w:val="21"/>
        </w:rPr>
      </w:pPr>
      <w:r w:rsidRPr="00C5545D">
        <w:rPr>
          <w:rFonts w:ascii="Abadi" w:eastAsia="Verdana" w:hAnsi="Abadi" w:cs="Verdana"/>
          <w:sz w:val="21"/>
          <w:szCs w:val="21"/>
        </w:rPr>
        <w:t xml:space="preserve">  </w:t>
      </w:r>
    </w:p>
    <w:p w14:paraId="137E3EAF" w14:textId="77777777" w:rsidR="00BF55D3" w:rsidRPr="00C5545D" w:rsidRDefault="00BF55D3" w:rsidP="00BF55D3">
      <w:pPr>
        <w:numPr>
          <w:ilvl w:val="0"/>
          <w:numId w:val="54"/>
        </w:numPr>
        <w:spacing w:after="15" w:line="247" w:lineRule="auto"/>
        <w:ind w:right="4" w:hanging="720"/>
        <w:jc w:val="both"/>
        <w:rPr>
          <w:rFonts w:ascii="Abadi" w:hAnsi="Abadi"/>
          <w:sz w:val="21"/>
          <w:szCs w:val="21"/>
        </w:rPr>
      </w:pPr>
      <w:r w:rsidRPr="00C5545D">
        <w:rPr>
          <w:rFonts w:ascii="Abadi" w:hAnsi="Abadi"/>
          <w:sz w:val="21"/>
          <w:szCs w:val="21"/>
        </w:rPr>
        <w:t>Ciber-</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que se realiza a través del uso de internet, redes sociales y tecnología, incluyendo mensajes de texto y correos electrónicos.</w:t>
      </w:r>
      <w:r w:rsidRPr="00C5545D">
        <w:rPr>
          <w:rFonts w:ascii="Abadi" w:eastAsia="Verdana" w:hAnsi="Abadi" w:cs="Verdana"/>
          <w:sz w:val="21"/>
          <w:szCs w:val="21"/>
        </w:rPr>
        <w:t xml:space="preserve"> </w:t>
      </w:r>
    </w:p>
    <w:p w14:paraId="6D378D9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73F1D9E"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Entre las principales causas del </w:t>
      </w:r>
      <w:proofErr w:type="spellStart"/>
      <w:proofErr w:type="gramStart"/>
      <w:r w:rsidRPr="00C5545D">
        <w:rPr>
          <w:rFonts w:ascii="Abadi" w:hAnsi="Abadi"/>
          <w:sz w:val="21"/>
          <w:szCs w:val="21"/>
        </w:rPr>
        <w:t>bullying</w:t>
      </w:r>
      <w:proofErr w:type="spellEnd"/>
      <w:proofErr w:type="gramEnd"/>
      <w:r w:rsidRPr="00C5545D">
        <w:rPr>
          <w:rFonts w:ascii="Abadi" w:hAnsi="Abadi"/>
          <w:sz w:val="21"/>
          <w:szCs w:val="21"/>
        </w:rPr>
        <w:t xml:space="preserve"> o acoso se encuentran los estereotipos y prejuicios hacia un individuo, ya sea por su condición social, económica, física, entre otras. Tal es el caso de los estereotipos de género, que corresponden a opiniones generalizadas acerca de atributos que hombres o mujeres deberían de poseer o roles que deberían desempeñar por </w:t>
      </w:r>
      <w:r w:rsidRPr="00C5545D">
        <w:rPr>
          <w:rFonts w:ascii="Abadi" w:hAnsi="Abadi"/>
          <w:sz w:val="21"/>
          <w:szCs w:val="21"/>
        </w:rPr>
        <w:lastRenderedPageBreak/>
        <w:t xml:space="preserve">pertenecer al grupo social masculino o femenino.  </w:t>
      </w:r>
    </w:p>
    <w:p w14:paraId="1B5FE861"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9628AA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Los estereotipos de género son dañinos cuando limitan la capacidad de las personas para desarrollarse personal o profesionalmente o afectan de alguna manera las decisiones de los individuos. Esto se refiere a la </w:t>
      </w:r>
      <w:r w:rsidRPr="00C5545D">
        <w:rPr>
          <w:rFonts w:ascii="Abadi" w:hAnsi="Abadi" w:cs="Arial"/>
          <w:b/>
          <w:sz w:val="21"/>
          <w:szCs w:val="21"/>
          <w:u w:val="single" w:color="000000"/>
        </w:rPr>
        <w:t>creencia de que</w:t>
      </w:r>
      <w:r w:rsidRPr="00C5545D">
        <w:rPr>
          <w:rFonts w:ascii="Abadi" w:hAnsi="Abadi" w:cs="Arial"/>
          <w:b/>
          <w:sz w:val="21"/>
          <w:szCs w:val="21"/>
        </w:rPr>
        <w:t xml:space="preserve"> </w:t>
      </w:r>
      <w:r w:rsidRPr="00C5545D">
        <w:rPr>
          <w:rFonts w:ascii="Abadi" w:hAnsi="Abadi" w:cs="Arial"/>
          <w:b/>
          <w:sz w:val="21"/>
          <w:szCs w:val="21"/>
          <w:u w:val="single" w:color="000000"/>
        </w:rPr>
        <w:t>ciertas disciplinas son más adecuadas para hombres y otras para</w:t>
      </w:r>
      <w:r w:rsidRPr="00C5545D">
        <w:rPr>
          <w:rFonts w:ascii="Abadi" w:hAnsi="Abadi" w:cs="Arial"/>
          <w:b/>
          <w:sz w:val="21"/>
          <w:szCs w:val="21"/>
        </w:rPr>
        <w:t xml:space="preserve"> </w:t>
      </w:r>
      <w:r w:rsidRPr="00C5545D">
        <w:rPr>
          <w:rFonts w:ascii="Abadi" w:hAnsi="Abadi" w:cs="Arial"/>
          <w:b/>
          <w:sz w:val="21"/>
          <w:szCs w:val="21"/>
          <w:u w:val="single" w:color="000000"/>
        </w:rPr>
        <w:t>mujeres</w:t>
      </w:r>
      <w:r w:rsidRPr="00C5545D">
        <w:rPr>
          <w:rFonts w:ascii="Abadi" w:hAnsi="Abadi"/>
          <w:sz w:val="21"/>
          <w:szCs w:val="21"/>
        </w:rPr>
        <w:t xml:space="preserve"> debido a las </w:t>
      </w:r>
      <w:r w:rsidRPr="00C5545D">
        <w:rPr>
          <w:rFonts w:ascii="Abadi" w:hAnsi="Abadi" w:cs="Arial"/>
          <w:b/>
          <w:sz w:val="21"/>
          <w:szCs w:val="21"/>
          <w:u w:val="single" w:color="000000"/>
        </w:rPr>
        <w:t>preconcepciones de la masculinidad y feminidad</w:t>
      </w:r>
      <w:r w:rsidRPr="00C5545D">
        <w:rPr>
          <w:rFonts w:ascii="Abadi" w:hAnsi="Abadi"/>
          <w:sz w:val="21"/>
          <w:szCs w:val="21"/>
        </w:rPr>
        <w:t xml:space="preserve"> que se sostienen en un orden cultural bajo el sistema sexo género.  </w:t>
      </w:r>
    </w:p>
    <w:p w14:paraId="646D47EF"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F6D88EB"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Asimismo, existen diversas tradiciones o costumbres que generan violencia entre pares, tal es el caso de las novatadas e iniciaciones deportivas. Existen casos en que es común que se ejercen distintos tipos de violencia (física o emocional, laboral, docente, sexual, etc.) para integrarse y pertenecer a equipos en ciertas prácticas deportivas, sobre todo por nuestra cultura latinoamericana de países en subdesarrollo. Lo anterior, además de vulnerar la integridad, es una conducta que violenta los Derechos Humanos, ya que la base del sistema general de los mismos se encuentra el derecho a la igualdad y a la no discriminación. </w:t>
      </w:r>
    </w:p>
    <w:p w14:paraId="382A8B3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532ABF40" w14:textId="77777777" w:rsidR="00BF55D3" w:rsidRPr="00C5545D" w:rsidRDefault="00BF55D3" w:rsidP="00BF55D3">
      <w:pPr>
        <w:spacing w:after="5" w:line="249" w:lineRule="auto"/>
        <w:ind w:left="137" w:right="3"/>
        <w:jc w:val="both"/>
        <w:rPr>
          <w:rFonts w:ascii="Abadi" w:hAnsi="Abadi"/>
          <w:sz w:val="21"/>
          <w:szCs w:val="21"/>
        </w:rPr>
      </w:pPr>
      <w:r w:rsidRPr="00C5545D">
        <w:rPr>
          <w:rFonts w:ascii="Abadi" w:hAnsi="Abadi"/>
          <w:sz w:val="21"/>
          <w:szCs w:val="21"/>
        </w:rPr>
        <w:t>Es igualmente importante citar que en el deporte la mujer sufre discriminación, por lo que se entiende como: “</w:t>
      </w:r>
      <w:r w:rsidRPr="00C5545D">
        <w:rPr>
          <w:rFonts w:ascii="Abadi" w:hAnsi="Abadi" w:cs="Arial"/>
          <w:i/>
          <w:sz w:val="21"/>
          <w:szCs w:val="21"/>
        </w:rPr>
        <w:t>toda distinción, exclusión o restricción basada en el sexo que tenga por objeto o resultado menoscabar o anular el reconocimiento, goce o ejercicio por la mujer, independientemente de su estado civil, sobre la base de la igualdad del hombre y la mujer, de los derechos humanos y las libertades fundamentales en las esferas política, económica, social, cultural y civil o en cualquier otra esfera</w:t>
      </w:r>
      <w:r w:rsidRPr="00C5545D">
        <w:rPr>
          <w:rFonts w:ascii="Abadi" w:hAnsi="Abadi"/>
          <w:sz w:val="21"/>
          <w:szCs w:val="21"/>
        </w:rPr>
        <w:t>”</w:t>
      </w:r>
      <w:r w:rsidRPr="00C5545D">
        <w:rPr>
          <w:rFonts w:ascii="Abadi" w:hAnsi="Abadi"/>
          <w:sz w:val="21"/>
          <w:szCs w:val="21"/>
          <w:vertAlign w:val="superscript"/>
        </w:rPr>
        <w:footnoteReference w:id="30"/>
      </w:r>
      <w:r w:rsidRPr="00C5545D">
        <w:rPr>
          <w:rFonts w:ascii="Abadi" w:hAnsi="Abadi"/>
          <w:sz w:val="21"/>
          <w:szCs w:val="21"/>
        </w:rPr>
        <w:t xml:space="preserve">. </w:t>
      </w:r>
    </w:p>
    <w:p w14:paraId="29F7DC08"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4C0FA5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Así, la discriminación por razones de género implica de la exclusión arbitraria de las personas, es decir, consiste en dar un trato de inferioridad a personas o a grupos, a causa de su género. Esto se produce cuando, con base en alguna distinción injustificada y arbitraria relacionada con el género se </w:t>
      </w:r>
      <w:r w:rsidRPr="00C5545D">
        <w:rPr>
          <w:rFonts w:ascii="Abadi" w:hAnsi="Abadi"/>
          <w:sz w:val="21"/>
          <w:szCs w:val="21"/>
        </w:rPr>
        <w:t xml:space="preserve">realizan actos o conductas que niegan a las mujeres y a otros tipos de grupos estructuralmente expuesto a la discriminación por otras categorías (como ingreso, color de su piel, preferencias sexuales, etc.) de la igualdad de trato; produciéndose un daño que puede traducirse en la anulación o restricción del goce pleno de sus Derechos Humanos. </w:t>
      </w:r>
    </w:p>
    <w:p w14:paraId="1A4FE658"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06448D8C"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otro lado, la discriminación por razón de género es un fenómeno social que vulnera la dignidad, los Derechos Humanos y las libertades fundamentales de las mujeres y otros grupos sociales con expresiones de su corporalidad que trascienden de la lógica binaria entre hombres y mujeres, conforme al sistema sexo-género. Todas las personas pueden ser objeto de discriminación por razón de género o bien alguna de las categorías; sin embargo, aquellas que se encuentran en situación de vulnerabilidad o desventaja, ya sea por una circunstancia social o personal, son quienes la padecen en mayor medida estructuralmente. En este sentido las mujeres han experimentado prácticas de exclusión histórica y estructural para la </w:t>
      </w:r>
      <w:r w:rsidRPr="00C5545D">
        <w:rPr>
          <w:rFonts w:ascii="Abadi" w:hAnsi="Abadi" w:cs="Arial"/>
          <w:b/>
          <w:sz w:val="21"/>
          <w:szCs w:val="21"/>
          <w:u w:val="single" w:color="000000"/>
        </w:rPr>
        <w:t>participación deportiva</w:t>
      </w:r>
      <w:r w:rsidRPr="00C5545D">
        <w:rPr>
          <w:rFonts w:ascii="Abadi" w:hAnsi="Abadi"/>
          <w:sz w:val="21"/>
          <w:szCs w:val="21"/>
        </w:rPr>
        <w:t>, el mercado laboral entre muchas más, lo que debe ser corregido en forma paulatina.</w:t>
      </w:r>
      <w:r w:rsidRPr="00C5545D">
        <w:rPr>
          <w:rFonts w:ascii="Abadi" w:eastAsia="Verdana" w:hAnsi="Abadi" w:cs="Verdana"/>
          <w:sz w:val="21"/>
          <w:szCs w:val="21"/>
        </w:rPr>
        <w:t xml:space="preserve"> </w:t>
      </w:r>
    </w:p>
    <w:p w14:paraId="0EF6E398"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3085E66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Al respecto, consideramos pertinente señalar que el Estudio sobre la Igualdad entre Mujeres y Hombres en materia de puestos y salarios en la Administración Pública Federal (APF) 2017, elaborado por la CNDH, mostró que las mujeres representan más de la mitad del total de personas empleadas en las 49 instituciones de la APF que consideró el estudio, es decir 53.5%. Sin embargo, aunque se observó que en las jefaturas de departamento hay un 46.8% de participación femenina, lo cual, es indicativo de un incremento de la presencia de mujeres en puestos de mando medio, en las subdirecciones y direcciones de área el porcentaje de mujeres se reduce a 37%; mientras que entre las direcciones generales adjuntas y las direcciones generales sólo alcanza 28.5% y 21.9% respectivamente, de tal forma que entre jefatura de departamento y dirección general el porcentaje de mujeres se reduce a la mitad</w:t>
      </w:r>
      <w:r w:rsidRPr="00C5545D">
        <w:rPr>
          <w:rFonts w:ascii="Abadi" w:hAnsi="Abadi"/>
          <w:sz w:val="21"/>
          <w:szCs w:val="21"/>
          <w:vertAlign w:val="superscript"/>
        </w:rPr>
        <w:footnoteReference w:id="31"/>
      </w:r>
      <w:r w:rsidRPr="00C5545D">
        <w:rPr>
          <w:rFonts w:ascii="Abadi" w:hAnsi="Abadi"/>
          <w:sz w:val="21"/>
          <w:szCs w:val="21"/>
        </w:rPr>
        <w:t xml:space="preserve">. </w:t>
      </w:r>
    </w:p>
    <w:p w14:paraId="1BE3FEDE"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lastRenderedPageBreak/>
        <w:t xml:space="preserve"> </w:t>
      </w:r>
    </w:p>
    <w:p w14:paraId="14B54625" w14:textId="77777777" w:rsidR="00BF55D3" w:rsidRPr="00C5545D" w:rsidRDefault="00BF55D3" w:rsidP="00BF55D3">
      <w:pPr>
        <w:spacing w:after="212"/>
        <w:ind w:left="137" w:right="4"/>
        <w:jc w:val="both"/>
        <w:rPr>
          <w:rFonts w:ascii="Abadi" w:hAnsi="Abadi"/>
          <w:sz w:val="21"/>
          <w:szCs w:val="21"/>
        </w:rPr>
      </w:pPr>
      <w:r w:rsidRPr="00C5545D">
        <w:rPr>
          <w:rFonts w:ascii="Abadi" w:hAnsi="Abadi"/>
          <w:sz w:val="21"/>
          <w:szCs w:val="21"/>
        </w:rPr>
        <w:t xml:space="preserve">Aunado a estas condiciones estructurales, se encuentran elementos como la permanencia y reproducción de la construcción de concepciones culturales que vinculan lo femenino con valores como sumisión y dependencia; contrarias a la competencia e independencia necesarias en la práctica </w:t>
      </w:r>
      <w:proofErr w:type="gramStart"/>
      <w:r w:rsidRPr="00C5545D">
        <w:rPr>
          <w:rFonts w:ascii="Abadi" w:hAnsi="Abadi"/>
          <w:sz w:val="21"/>
          <w:szCs w:val="21"/>
        </w:rPr>
        <w:t>de  deportes</w:t>
      </w:r>
      <w:proofErr w:type="gramEnd"/>
      <w:r w:rsidRPr="00C5545D">
        <w:rPr>
          <w:rFonts w:ascii="Abadi" w:hAnsi="Abadi"/>
          <w:sz w:val="21"/>
          <w:szCs w:val="21"/>
        </w:rPr>
        <w:t xml:space="preserve"> individuales. De acuerdo con lo señalado por la CNDH, la discriminación por razones de género se origina en las distintas relaciones sociales, muchas veces desde las familias, a través de la formación de estereotipos y prejuicios.</w:t>
      </w:r>
      <w:r w:rsidRPr="00C5545D">
        <w:rPr>
          <w:rFonts w:ascii="Abadi" w:eastAsia="Verdana" w:hAnsi="Abadi" w:cs="Verdana"/>
          <w:sz w:val="21"/>
          <w:szCs w:val="21"/>
        </w:rPr>
        <w:t xml:space="preserve"> </w:t>
      </w:r>
    </w:p>
    <w:p w14:paraId="0950B576"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784E364C"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Un estereotipo es una imagen o idea comúnmente aceptada por los individuos, con base en la que se atribuyen características determinadas a cierto grupo o tipo de personas. El estereotipo se forma al atribuir características generales a todos los integrantes de un grupo, con lo que no se concibe a las personas en función de sus propias características, sino de ideas generales, a veces exageradas y frecuentemente falsas, que giran en torno a la creencia de que todos los miembros del grupo son de una forma determinada. Esta lógica de asignación de características en función de concepciones preestablecidas se alinea conforme al sistema de ordenamiento sexo- género las cuales se trasladan a la esfera deportiva. De tal forma, </w:t>
      </w:r>
      <w:r w:rsidRPr="00C5545D">
        <w:rPr>
          <w:rFonts w:ascii="Abadi" w:hAnsi="Abadi" w:cs="Arial"/>
          <w:b/>
          <w:sz w:val="21"/>
          <w:szCs w:val="21"/>
          <w:u w:val="single" w:color="000000"/>
        </w:rPr>
        <w:t>las expectativas de las mujeres se encuentran condicionadas</w:t>
      </w:r>
      <w:r w:rsidRPr="00C5545D">
        <w:rPr>
          <w:rFonts w:ascii="Abadi" w:hAnsi="Abadi" w:cs="Arial"/>
          <w:b/>
          <w:sz w:val="21"/>
          <w:szCs w:val="21"/>
        </w:rPr>
        <w:t xml:space="preserve"> </w:t>
      </w:r>
      <w:r w:rsidRPr="00C5545D">
        <w:rPr>
          <w:rFonts w:ascii="Abadi" w:hAnsi="Abadi" w:cs="Arial"/>
          <w:b/>
          <w:sz w:val="21"/>
          <w:szCs w:val="21"/>
          <w:u w:val="single" w:color="000000"/>
        </w:rPr>
        <w:t>a cumplir con roles de cuidado del hogar y/o asistencia lo cual inhibe su</w:t>
      </w:r>
      <w:r w:rsidRPr="00C5545D">
        <w:rPr>
          <w:rFonts w:ascii="Abadi" w:hAnsi="Abadi" w:cs="Arial"/>
          <w:b/>
          <w:sz w:val="21"/>
          <w:szCs w:val="21"/>
        </w:rPr>
        <w:t xml:space="preserve"> </w:t>
      </w:r>
      <w:r w:rsidRPr="00C5545D">
        <w:rPr>
          <w:rFonts w:ascii="Abadi" w:hAnsi="Abadi" w:cs="Arial"/>
          <w:b/>
          <w:sz w:val="21"/>
          <w:szCs w:val="21"/>
          <w:u w:val="single" w:color="000000"/>
        </w:rPr>
        <w:t>participación y representa mayores obstáculos para participar</w:t>
      </w:r>
      <w:r w:rsidRPr="00C5545D">
        <w:rPr>
          <w:rFonts w:ascii="Abadi" w:hAnsi="Abadi" w:cs="Arial"/>
          <w:b/>
          <w:sz w:val="21"/>
          <w:szCs w:val="21"/>
        </w:rPr>
        <w:t xml:space="preserve"> </w:t>
      </w:r>
      <w:r w:rsidRPr="00C5545D">
        <w:rPr>
          <w:rFonts w:ascii="Abadi" w:hAnsi="Abadi" w:cs="Arial"/>
          <w:b/>
          <w:sz w:val="21"/>
          <w:szCs w:val="21"/>
          <w:u w:val="single" w:color="000000"/>
        </w:rPr>
        <w:t>activamente en el deporte.</w:t>
      </w:r>
      <w:r w:rsidRPr="00C5545D">
        <w:rPr>
          <w:rFonts w:ascii="Abadi" w:eastAsia="Verdana" w:hAnsi="Abadi" w:cs="Verdana"/>
          <w:sz w:val="21"/>
          <w:szCs w:val="21"/>
        </w:rPr>
        <w:t xml:space="preserve"> </w:t>
      </w:r>
    </w:p>
    <w:p w14:paraId="6B85F7EB"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0D84EB62"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lo anteriormente descrito, la discriminación por razones de género es la manifestación concreta, individual o colectiva de la negación del principio de igualdad y no discriminación entre las personas, en este caso hacia las mujeres, constituyéndose en uno de los mayores obstáculos para avanzar en el pleno ejercicio de sus derechos humanos de las mujeres en </w:t>
      </w:r>
      <w:r w:rsidRPr="00C5545D">
        <w:rPr>
          <w:rFonts w:ascii="Abadi" w:hAnsi="Abadi"/>
          <w:sz w:val="21"/>
          <w:szCs w:val="21"/>
        </w:rPr>
        <w:t xml:space="preserve">espacios tradicionalmente masculinizados como el deportivo. </w:t>
      </w:r>
    </w:p>
    <w:p w14:paraId="3F46CF91"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A95B3A9"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En esta misma línea de pensamiento, los estudios sobre esta problemática reflejan que, dentro del ámbito público, la falta de políticas públicas enfocadas a la prevención de la discriminación por razones de género orientadas a ciertos ámbitos sociales ha ocasionado que prevalezcan patrones socioculturales de discriminación que afectan la participación de las mujeres en el deporte.</w:t>
      </w:r>
      <w:r w:rsidRPr="00C5545D">
        <w:rPr>
          <w:rFonts w:ascii="Abadi" w:eastAsia="Verdana" w:hAnsi="Abadi" w:cs="Verdana"/>
          <w:sz w:val="21"/>
          <w:szCs w:val="21"/>
        </w:rPr>
        <w:t xml:space="preserve"> </w:t>
      </w:r>
    </w:p>
    <w:p w14:paraId="7C1A26E5"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12530A7E"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Y es a partir de esta caracterización de la problemática de la discriminación por razones género, cuando es necesario identificar medios que contribuyan a solventar dicha problemática y alcanzar la igualdad de género. </w:t>
      </w:r>
    </w:p>
    <w:p w14:paraId="16C63B7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DE35CAE"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ello, a partir de esta caracterización de la problemática de la discriminación por razones género es necesario identificar medios que contribuyan a solventar dicha problemática y alcanzar la igualdad de género. </w:t>
      </w:r>
    </w:p>
    <w:p w14:paraId="26675801"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5A7DB34"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 tales condiciones lo que se conoce como árbol de la igualdad de género, comprende como elementos, tanto horizontales como verticales, los siguientes: a) desarrollo integral de las mujeres; b) goce pleno de derechos fundamentales; c) integración escolar, laboral, </w:t>
      </w:r>
      <w:r w:rsidRPr="00C5545D">
        <w:rPr>
          <w:rFonts w:ascii="Abadi" w:hAnsi="Abadi" w:cs="Arial"/>
          <w:b/>
          <w:sz w:val="21"/>
          <w:szCs w:val="21"/>
          <w:u w:val="single" w:color="000000"/>
        </w:rPr>
        <w:t>deportivo,</w:t>
      </w:r>
      <w:r w:rsidRPr="00C5545D">
        <w:rPr>
          <w:rFonts w:ascii="Abadi" w:hAnsi="Abadi"/>
          <w:sz w:val="21"/>
          <w:szCs w:val="21"/>
        </w:rPr>
        <w:t xml:space="preserve"> etc.; d) trato igualitario; e) </w:t>
      </w:r>
      <w:r w:rsidRPr="00C5545D">
        <w:rPr>
          <w:rFonts w:ascii="Abadi" w:hAnsi="Abadi" w:cs="Arial"/>
          <w:b/>
          <w:sz w:val="21"/>
          <w:szCs w:val="21"/>
        </w:rPr>
        <w:t>equidad de género</w:t>
      </w:r>
      <w:r w:rsidRPr="00C5545D">
        <w:rPr>
          <w:rFonts w:ascii="Abadi" w:hAnsi="Abadi"/>
          <w:sz w:val="21"/>
          <w:szCs w:val="21"/>
        </w:rPr>
        <w:t xml:space="preserve"> en distintos ámbitos sociales; f) imparcialidad; g) </w:t>
      </w:r>
      <w:r w:rsidRPr="00C5545D">
        <w:rPr>
          <w:rFonts w:ascii="Abadi" w:hAnsi="Abadi" w:cs="Arial"/>
          <w:b/>
          <w:sz w:val="21"/>
          <w:szCs w:val="21"/>
        </w:rPr>
        <w:t>cultura de equidad de género</w:t>
      </w:r>
      <w:r w:rsidRPr="00C5545D">
        <w:rPr>
          <w:rFonts w:ascii="Abadi" w:hAnsi="Abadi"/>
          <w:sz w:val="21"/>
          <w:szCs w:val="21"/>
        </w:rPr>
        <w:t xml:space="preserve"> y; h) existencia de políticas públicas y privadas para prevenir la discriminación de la mujer y de la persona cualquiera que sea su preferencia sexual</w:t>
      </w:r>
      <w:r w:rsidRPr="00C5545D">
        <w:rPr>
          <w:rFonts w:ascii="Abadi" w:hAnsi="Abadi"/>
          <w:sz w:val="21"/>
          <w:szCs w:val="21"/>
          <w:vertAlign w:val="superscript"/>
        </w:rPr>
        <w:footnoteReference w:id="32"/>
      </w:r>
      <w:r w:rsidRPr="00C5545D">
        <w:rPr>
          <w:rFonts w:ascii="Abadi" w:hAnsi="Abadi"/>
          <w:sz w:val="21"/>
          <w:szCs w:val="21"/>
        </w:rPr>
        <w:t xml:space="preserve">. </w:t>
      </w:r>
    </w:p>
    <w:p w14:paraId="7391469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274EBE04" w14:textId="77777777" w:rsidR="00BF55D3" w:rsidRPr="00C5545D" w:rsidRDefault="00BF55D3" w:rsidP="00BF55D3">
      <w:pPr>
        <w:spacing w:after="33" w:line="249" w:lineRule="auto"/>
        <w:ind w:left="137" w:right="5"/>
        <w:jc w:val="both"/>
        <w:rPr>
          <w:rFonts w:ascii="Abadi" w:hAnsi="Abadi"/>
          <w:sz w:val="21"/>
          <w:szCs w:val="21"/>
        </w:rPr>
      </w:pPr>
      <w:r w:rsidRPr="00C5545D">
        <w:rPr>
          <w:rFonts w:ascii="Abadi" w:hAnsi="Abadi" w:cs="Arial"/>
          <w:b/>
          <w:sz w:val="21"/>
          <w:szCs w:val="21"/>
        </w:rPr>
        <w:t>Medios para accionar la igualdad de género en otros ámbitos y el deportivo</w:t>
      </w:r>
      <w:r w:rsidRPr="00C5545D">
        <w:rPr>
          <w:rFonts w:ascii="Abadi" w:hAnsi="Abadi" w:cs="Arial"/>
          <w:b/>
          <w:sz w:val="21"/>
          <w:szCs w:val="21"/>
          <w:vertAlign w:val="superscript"/>
        </w:rPr>
        <w:t>23</w:t>
      </w:r>
      <w:r w:rsidRPr="00C5545D">
        <w:rPr>
          <w:rFonts w:ascii="Abadi" w:hAnsi="Abadi" w:cs="Arial"/>
          <w:b/>
          <w:sz w:val="21"/>
          <w:szCs w:val="21"/>
        </w:rPr>
        <w:t>.</w:t>
      </w:r>
      <w:r w:rsidRPr="00C5545D">
        <w:rPr>
          <w:rFonts w:ascii="Abadi" w:eastAsia="Verdana" w:hAnsi="Abadi" w:cs="Verdana"/>
          <w:b/>
          <w:sz w:val="21"/>
          <w:szCs w:val="21"/>
        </w:rPr>
        <w:t xml:space="preserve"> </w:t>
      </w:r>
    </w:p>
    <w:p w14:paraId="12DC764C" w14:textId="77777777" w:rsidR="00BF55D3" w:rsidRPr="00C5545D" w:rsidRDefault="00BF55D3" w:rsidP="00BF55D3">
      <w:pPr>
        <w:spacing w:line="259" w:lineRule="auto"/>
        <w:ind w:left="142"/>
        <w:jc w:val="both"/>
        <w:rPr>
          <w:rFonts w:ascii="Abadi" w:hAnsi="Abadi"/>
          <w:sz w:val="21"/>
          <w:szCs w:val="21"/>
        </w:rPr>
      </w:pPr>
      <w:r w:rsidRPr="00C5545D">
        <w:rPr>
          <w:rFonts w:ascii="Abadi" w:eastAsia="Verdana" w:hAnsi="Abadi" w:cs="Verdana"/>
          <w:sz w:val="21"/>
          <w:szCs w:val="21"/>
        </w:rPr>
        <w:t xml:space="preserve"> </w:t>
      </w:r>
    </w:p>
    <w:p w14:paraId="2EB30918"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Entre los medios identificados, la creación y desarrollo de políticas públicas para la prevención de la discriminación por motivos de género involucra el accionar de instituciones y dependencias públicas. Estas medidas pueden estar orientadas a ámbitos </w:t>
      </w:r>
      <w:r w:rsidRPr="00C5545D">
        <w:rPr>
          <w:rFonts w:ascii="Abadi" w:hAnsi="Abadi"/>
          <w:sz w:val="21"/>
          <w:szCs w:val="21"/>
        </w:rPr>
        <w:lastRenderedPageBreak/>
        <w:t xml:space="preserve">sociales específicos, como el trabajo, escuela o el deporte. Estos esfuerzos deben contar con el apoyo de todas las autoridades involucradas en los diversos ámbitos; así como establecer responsabilidades y áreas de acción entre ellas. </w:t>
      </w:r>
    </w:p>
    <w:p w14:paraId="25709C2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C22A9F4"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Estamos seguros de que la implementación de estos medios permitirá alcanzar la igualdad de género en los distintos ámbitos sociales en los que se desarrollan las mujeres, entendida como el goce de un trato igualitario y la integración de las mujeres en dichos ámbitos.  </w:t>
      </w:r>
    </w:p>
    <w:p w14:paraId="08DEDB2C"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688ADF41"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Hoy en día, se espera que la integración de esta igualdad alcance el ámbito deportivo. Lo anterior, promoverá el goce pleno de los derechos fundamentales por parte de las mujeres y otros grupos históricamente excluidos o violentados. Lo cual permitirá el ejercicio pleno de su derecho a la no discriminación e igualdad en la esfera deportiva. </w:t>
      </w:r>
    </w:p>
    <w:p w14:paraId="32A3AA43"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4BC7AA86" w14:textId="77777777" w:rsidR="00BF55D3" w:rsidRPr="00C5545D" w:rsidRDefault="00BF55D3" w:rsidP="00BF55D3">
      <w:pPr>
        <w:ind w:left="137" w:right="4"/>
        <w:jc w:val="both"/>
        <w:rPr>
          <w:rFonts w:ascii="Abadi" w:hAnsi="Abadi"/>
          <w:sz w:val="21"/>
          <w:szCs w:val="21"/>
        </w:rPr>
      </w:pPr>
      <w:r w:rsidRPr="00C5545D">
        <w:rPr>
          <w:rFonts w:ascii="Abadi" w:hAnsi="Abadi"/>
          <w:sz w:val="21"/>
          <w:szCs w:val="21"/>
        </w:rPr>
        <w:t xml:space="preserve">Por lo antes señalado, quienes integramos la Fracción Parlamentaria del Partido Revolucionario Institucional, realizamos un trabajo, serio, arduo y acucioso de análisis de la vigente Ley de Cultura Física y Deporte en esta entidad, a efecto de incluir todos estos derechos fundamentales al deporte y a la cultura física, conforme a los criterios internacionales y nacionales sobre los temas que abordamos en el presente documento. El producto que hemos obtenido, es una propuesta integral de reformas y adiciones a la ley mencionada siguiendo los principios que rigen nuestra actividad legislativa, entre los que se encuentran, el hacer propuesta de leyes serias, que representen un beneficio social y que tengan como fin último resolver problemas que a diario vive la ciudadanía en su interrelación entre sus pares y con respecto de las autoridades estatales y municipales. Todo ello, con el firme propósito de coadyuvar a la mejor continua del cuerpo normativo, que en diversas materia, rige en el Estado de </w:t>
      </w:r>
      <w:proofErr w:type="gramStart"/>
      <w:r w:rsidRPr="00C5545D">
        <w:rPr>
          <w:rFonts w:ascii="Abadi" w:hAnsi="Abadi"/>
          <w:sz w:val="21"/>
          <w:szCs w:val="21"/>
        </w:rPr>
        <w:t>Guanajuato,  para</w:t>
      </w:r>
      <w:proofErr w:type="gramEnd"/>
      <w:r w:rsidRPr="00C5545D">
        <w:rPr>
          <w:rFonts w:ascii="Abadi" w:hAnsi="Abadi"/>
          <w:sz w:val="21"/>
          <w:szCs w:val="21"/>
        </w:rPr>
        <w:t xml:space="preserve"> contribuir e un mejor estado de derecho y a construir el Estado democrático de Derecho al que todos aspiramos. </w:t>
      </w:r>
    </w:p>
    <w:p w14:paraId="45E5BCE2" w14:textId="77777777" w:rsidR="00BF55D3" w:rsidRPr="00C5545D" w:rsidRDefault="00BF55D3" w:rsidP="00BF55D3">
      <w:pPr>
        <w:spacing w:line="259" w:lineRule="auto"/>
        <w:ind w:left="142"/>
        <w:jc w:val="both"/>
        <w:rPr>
          <w:rFonts w:ascii="Abadi" w:hAnsi="Abadi"/>
          <w:sz w:val="21"/>
          <w:szCs w:val="21"/>
        </w:rPr>
      </w:pPr>
      <w:r w:rsidRPr="00C5545D">
        <w:rPr>
          <w:rFonts w:ascii="Abadi" w:hAnsi="Abadi"/>
          <w:sz w:val="21"/>
          <w:szCs w:val="21"/>
        </w:rPr>
        <w:t xml:space="preserve"> </w:t>
      </w:r>
    </w:p>
    <w:p w14:paraId="198BFAA7" w14:textId="77777777" w:rsidR="00BF55D3" w:rsidRDefault="00BF55D3" w:rsidP="00BF55D3">
      <w:pPr>
        <w:ind w:left="137" w:right="4"/>
        <w:jc w:val="both"/>
        <w:rPr>
          <w:rFonts w:ascii="Abadi" w:hAnsi="Abadi"/>
          <w:sz w:val="21"/>
          <w:szCs w:val="21"/>
        </w:rPr>
      </w:pPr>
      <w:r w:rsidRPr="00C5545D">
        <w:rPr>
          <w:rFonts w:ascii="Abadi" w:hAnsi="Abadi"/>
          <w:sz w:val="21"/>
          <w:szCs w:val="21"/>
        </w:rPr>
        <w:t xml:space="preserve">Por lo anterior, a efecto de facilitar el entendimiento de la presente iniciativa se </w:t>
      </w:r>
      <w:r w:rsidRPr="00C5545D">
        <w:rPr>
          <w:rFonts w:ascii="Abadi" w:hAnsi="Abadi"/>
          <w:sz w:val="21"/>
          <w:szCs w:val="21"/>
        </w:rPr>
        <w:t xml:space="preserve">presenta a continuación un cuadro comparativo que hace referencia a el texto actual de los artículos en la Ley de Cultura Física y Deporte del Estado de Guanajuato, en el extremo izquierdo, en tanto, en el extremo derecho se presenta el articulo con la redacción propuesta en negritas, o bien, los casos de adiciones en fracciones o párrafos, en los que no hay referencia en la actual ley. La gráfica señala: </w:t>
      </w:r>
    </w:p>
    <w:p w14:paraId="71F5CE51" w14:textId="77777777" w:rsidR="00363292" w:rsidRDefault="00363292" w:rsidP="00BF55D3">
      <w:pPr>
        <w:ind w:left="137" w:right="4"/>
        <w:jc w:val="both"/>
        <w:rPr>
          <w:rFonts w:ascii="Abadi" w:hAnsi="Abadi"/>
          <w:sz w:val="21"/>
          <w:szCs w:val="21"/>
        </w:rPr>
      </w:pPr>
    </w:p>
    <w:p w14:paraId="20F22CE0" w14:textId="77777777" w:rsidR="00363292" w:rsidRDefault="00363292" w:rsidP="00BF55D3">
      <w:pPr>
        <w:ind w:left="137" w:right="4"/>
        <w:jc w:val="both"/>
        <w:rPr>
          <w:rFonts w:ascii="Abadi" w:hAnsi="Abadi"/>
          <w:sz w:val="21"/>
          <w:szCs w:val="21"/>
        </w:rPr>
      </w:pPr>
    </w:p>
    <w:tbl>
      <w:tblPr>
        <w:tblStyle w:val="Tablaconcuadrcula"/>
        <w:tblW w:w="0" w:type="auto"/>
        <w:tblInd w:w="137" w:type="dxa"/>
        <w:tblLook w:val="04A0" w:firstRow="1" w:lastRow="0" w:firstColumn="1" w:lastColumn="0" w:noHBand="0" w:noVBand="1"/>
      </w:tblPr>
      <w:tblGrid>
        <w:gridCol w:w="1891"/>
        <w:gridCol w:w="2073"/>
      </w:tblGrid>
      <w:tr w:rsidR="004E3959" w:rsidRPr="00695491" w14:paraId="0AEE14FA" w14:textId="77777777" w:rsidTr="008305DC">
        <w:tc>
          <w:tcPr>
            <w:tcW w:w="1891" w:type="dxa"/>
          </w:tcPr>
          <w:p w14:paraId="6B217D04" w14:textId="1C38BEC3" w:rsidR="004E3959" w:rsidRPr="00695491" w:rsidRDefault="004E3959" w:rsidP="004E3959">
            <w:pPr>
              <w:ind w:right="4"/>
              <w:jc w:val="both"/>
              <w:rPr>
                <w:rFonts w:ascii="Abadi" w:hAnsi="Abadi"/>
                <w:sz w:val="21"/>
                <w:szCs w:val="21"/>
              </w:rPr>
            </w:pPr>
            <w:r w:rsidRPr="00695491">
              <w:rPr>
                <w:rFonts w:ascii="Abadi" w:hAnsi="Abadi"/>
                <w:b/>
                <w:sz w:val="21"/>
                <w:szCs w:val="21"/>
              </w:rPr>
              <w:t xml:space="preserve">           TEXTO ACTUAL </w:t>
            </w:r>
          </w:p>
        </w:tc>
        <w:tc>
          <w:tcPr>
            <w:tcW w:w="2073" w:type="dxa"/>
          </w:tcPr>
          <w:p w14:paraId="7EC5F251" w14:textId="47FB02F3" w:rsidR="004E3959" w:rsidRPr="00695491" w:rsidRDefault="004E3959" w:rsidP="004E3959">
            <w:pPr>
              <w:ind w:right="4"/>
              <w:jc w:val="both"/>
              <w:rPr>
                <w:rFonts w:ascii="Abadi" w:hAnsi="Abadi"/>
                <w:sz w:val="21"/>
                <w:szCs w:val="21"/>
              </w:rPr>
            </w:pPr>
            <w:r w:rsidRPr="00695491">
              <w:rPr>
                <w:rFonts w:ascii="Abadi" w:hAnsi="Abadi"/>
                <w:b/>
                <w:sz w:val="21"/>
                <w:szCs w:val="21"/>
              </w:rPr>
              <w:t xml:space="preserve">         TEXTO PROPUESTO </w:t>
            </w:r>
          </w:p>
        </w:tc>
      </w:tr>
      <w:tr w:rsidR="00AE0C53" w:rsidRPr="00695491" w14:paraId="00A96583" w14:textId="77777777" w:rsidTr="008305DC">
        <w:tc>
          <w:tcPr>
            <w:tcW w:w="1891" w:type="dxa"/>
          </w:tcPr>
          <w:p w14:paraId="6099043B" w14:textId="77777777" w:rsidR="00AE0C53" w:rsidRPr="00695491" w:rsidRDefault="00AE0C53" w:rsidP="00321BF0">
            <w:pPr>
              <w:ind w:left="317"/>
              <w:jc w:val="both"/>
              <w:rPr>
                <w:rFonts w:ascii="Abadi" w:hAnsi="Abadi"/>
                <w:sz w:val="21"/>
                <w:szCs w:val="21"/>
              </w:rPr>
            </w:pPr>
            <w:r w:rsidRPr="00695491">
              <w:rPr>
                <w:rFonts w:ascii="Abadi" w:eastAsia="Verdana" w:hAnsi="Abadi" w:cs="Verdana"/>
                <w:sz w:val="21"/>
                <w:szCs w:val="21"/>
              </w:rPr>
              <w:t xml:space="preserve">Artículo 2. La presente Ley tiene por finalidad: </w:t>
            </w:r>
          </w:p>
          <w:p w14:paraId="69442340" w14:textId="77777777" w:rsidR="00AE0C53" w:rsidRPr="00695491" w:rsidRDefault="00AE0C53"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 </w:t>
            </w:r>
          </w:p>
          <w:p w14:paraId="76092F0E" w14:textId="77777777" w:rsidR="00AE0C53" w:rsidRPr="00695491" w:rsidRDefault="00AE0C53" w:rsidP="00321BF0">
            <w:pPr>
              <w:numPr>
                <w:ilvl w:val="0"/>
                <w:numId w:val="66"/>
              </w:numPr>
              <w:spacing w:after="2"/>
              <w:ind w:left="317" w:right="75" w:hanging="360"/>
              <w:jc w:val="both"/>
              <w:rPr>
                <w:rFonts w:ascii="Abadi" w:hAnsi="Abadi"/>
                <w:sz w:val="21"/>
                <w:szCs w:val="21"/>
              </w:rPr>
            </w:pPr>
            <w:r w:rsidRPr="00695491">
              <w:rPr>
                <w:rFonts w:ascii="Abadi" w:eastAsia="Verdana" w:hAnsi="Abadi" w:cs="Verdana"/>
                <w:sz w:val="21"/>
                <w:szCs w:val="21"/>
              </w:rPr>
              <w:t xml:space="preserve">Fomentar el óptimo, equitativo y ordenado desarrollo de la cultura física y el deporte en todas sus </w:t>
            </w:r>
          </w:p>
          <w:p w14:paraId="595F2000" w14:textId="77777777" w:rsidR="00AE0C53" w:rsidRPr="00695491" w:rsidRDefault="00AE0C53"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manifestaciones y expresiones; </w:t>
            </w:r>
          </w:p>
          <w:p w14:paraId="315B79D7" w14:textId="77777777" w:rsidR="00AE0C53" w:rsidRPr="00695491" w:rsidRDefault="00AE0C53"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 </w:t>
            </w:r>
          </w:p>
          <w:p w14:paraId="1D5DFEC8" w14:textId="77777777" w:rsidR="00AE0C53" w:rsidRPr="00695491" w:rsidRDefault="00AE0C53" w:rsidP="00321BF0">
            <w:pPr>
              <w:numPr>
                <w:ilvl w:val="0"/>
                <w:numId w:val="66"/>
              </w:numPr>
              <w:spacing w:line="241" w:lineRule="auto"/>
              <w:ind w:left="317" w:right="75" w:hanging="360"/>
              <w:jc w:val="both"/>
              <w:rPr>
                <w:rFonts w:ascii="Abadi" w:hAnsi="Abadi"/>
                <w:sz w:val="21"/>
                <w:szCs w:val="21"/>
              </w:rPr>
            </w:pPr>
            <w:r w:rsidRPr="00695491">
              <w:rPr>
                <w:rFonts w:ascii="Abadi" w:eastAsia="Verdana" w:hAnsi="Abadi" w:cs="Verdana"/>
                <w:sz w:val="21"/>
                <w:szCs w:val="21"/>
              </w:rPr>
              <w:t xml:space="preserve">Elevar, por medio de la activación física, la cultura física y el deporte, el nivel de vida social y cultural de los habitantes de Guanajuato; </w:t>
            </w:r>
          </w:p>
          <w:p w14:paraId="3A03F1AF" w14:textId="77777777" w:rsidR="00AE0C53" w:rsidRPr="00695491" w:rsidRDefault="00AE0C53"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 </w:t>
            </w:r>
          </w:p>
          <w:p w14:paraId="445B94CD" w14:textId="77777777" w:rsidR="00AE0C53" w:rsidRPr="00695491" w:rsidRDefault="00AE0C53" w:rsidP="00321BF0">
            <w:pPr>
              <w:numPr>
                <w:ilvl w:val="0"/>
                <w:numId w:val="66"/>
              </w:numPr>
              <w:spacing w:line="241" w:lineRule="auto"/>
              <w:ind w:left="317" w:right="75" w:hanging="360"/>
              <w:jc w:val="both"/>
              <w:rPr>
                <w:rFonts w:ascii="Abadi" w:hAnsi="Abadi"/>
                <w:sz w:val="21"/>
                <w:szCs w:val="21"/>
              </w:rPr>
            </w:pPr>
            <w:r w:rsidRPr="00695491">
              <w:rPr>
                <w:rFonts w:ascii="Abadi" w:eastAsia="Verdana" w:hAnsi="Abadi" w:cs="Verdana"/>
                <w:sz w:val="21"/>
                <w:szCs w:val="21"/>
              </w:rPr>
              <w:t xml:space="preserve">Fomentar la creación, conservación, mejoramiento, protección, difusión, promoción, investigación y aprovechamiento de los </w:t>
            </w:r>
            <w:r w:rsidRPr="00695491">
              <w:rPr>
                <w:rFonts w:ascii="Abadi" w:eastAsia="Verdana" w:hAnsi="Abadi" w:cs="Verdana"/>
                <w:sz w:val="21"/>
                <w:szCs w:val="21"/>
              </w:rPr>
              <w:lastRenderedPageBreak/>
              <w:t xml:space="preserve">recursos humanos, materiales y financieros destinados a la cultura </w:t>
            </w:r>
          </w:p>
          <w:p w14:paraId="0868483B" w14:textId="77777777" w:rsidR="00AE0C53" w:rsidRPr="00695491" w:rsidRDefault="00AE0C53" w:rsidP="00321BF0">
            <w:pPr>
              <w:spacing w:line="259" w:lineRule="auto"/>
              <w:jc w:val="both"/>
              <w:rPr>
                <w:rFonts w:ascii="Abadi" w:hAnsi="Abadi"/>
                <w:sz w:val="21"/>
                <w:szCs w:val="21"/>
              </w:rPr>
            </w:pPr>
            <w:r w:rsidRPr="00695491">
              <w:rPr>
                <w:rFonts w:ascii="Abadi" w:eastAsia="Verdana" w:hAnsi="Abadi" w:cs="Verdana"/>
                <w:sz w:val="21"/>
                <w:szCs w:val="21"/>
              </w:rPr>
              <w:t xml:space="preserve">física y el deporte; </w:t>
            </w:r>
          </w:p>
          <w:p w14:paraId="23A7A50D" w14:textId="77777777" w:rsidR="00AE0C53" w:rsidRPr="00695491" w:rsidRDefault="00AE0C53"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2CA00D69" w14:textId="77777777" w:rsidR="001F5F1E" w:rsidRPr="00695491" w:rsidRDefault="00AE0C53" w:rsidP="00321BF0">
            <w:pPr>
              <w:spacing w:after="2"/>
              <w:ind w:left="317" w:right="77"/>
              <w:jc w:val="both"/>
              <w:rPr>
                <w:rFonts w:ascii="Abadi" w:hAnsi="Abadi"/>
                <w:sz w:val="21"/>
                <w:szCs w:val="21"/>
              </w:rPr>
            </w:pPr>
            <w:r w:rsidRPr="00695491">
              <w:rPr>
                <w:rFonts w:ascii="Abadi" w:eastAsia="Verdana" w:hAnsi="Abadi" w:cs="Verdana"/>
                <w:sz w:val="21"/>
                <w:szCs w:val="21"/>
              </w:rPr>
              <w:t xml:space="preserve">Fomentar el desarrollo de la activación física, la cultura física y el deporte, para la prevención social de la </w:t>
            </w:r>
            <w:r w:rsidR="001F5F1E" w:rsidRPr="00695491">
              <w:rPr>
                <w:rFonts w:ascii="Abadi" w:eastAsia="Verdana" w:hAnsi="Abadi" w:cs="Verdana"/>
                <w:sz w:val="21"/>
                <w:szCs w:val="21"/>
              </w:rPr>
              <w:t xml:space="preserve">violencia, delincuencia, adicciones y conductas antisociales; y medio en la preservación de la salud y prevención </w:t>
            </w:r>
          </w:p>
          <w:p w14:paraId="132F4805" w14:textId="77777777" w:rsidR="001F5F1E" w:rsidRPr="00695491" w:rsidRDefault="001F5F1E"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de enfermedades; </w:t>
            </w:r>
          </w:p>
          <w:p w14:paraId="17EA9740" w14:textId="77777777" w:rsidR="001F5F1E" w:rsidRPr="00695491" w:rsidRDefault="001F5F1E"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 </w:t>
            </w:r>
          </w:p>
          <w:p w14:paraId="1DB924E7" w14:textId="77777777" w:rsidR="001F5F1E" w:rsidRPr="00695491" w:rsidRDefault="001F5F1E" w:rsidP="00321BF0">
            <w:pPr>
              <w:numPr>
                <w:ilvl w:val="0"/>
                <w:numId w:val="68"/>
              </w:numPr>
              <w:spacing w:line="241" w:lineRule="auto"/>
              <w:ind w:left="317" w:right="75" w:hanging="360"/>
              <w:jc w:val="both"/>
              <w:rPr>
                <w:rFonts w:ascii="Abadi" w:hAnsi="Abadi"/>
                <w:sz w:val="21"/>
                <w:szCs w:val="21"/>
              </w:rPr>
            </w:pPr>
            <w:r w:rsidRPr="00695491">
              <w:rPr>
                <w:rFonts w:ascii="Abadi" w:eastAsia="Verdana" w:hAnsi="Abadi" w:cs="Verdana"/>
                <w:sz w:val="21"/>
                <w:szCs w:val="21"/>
              </w:rPr>
              <w:t xml:space="preserve">Incentivar la inversión social y privada para el desarrollo de la cultura física y el deporte, como complemento de la actuación pública; </w:t>
            </w:r>
          </w:p>
          <w:p w14:paraId="62C983AA" w14:textId="77777777" w:rsidR="001F5F1E" w:rsidRPr="00695491" w:rsidRDefault="001F5F1E" w:rsidP="00321BF0">
            <w:pPr>
              <w:spacing w:line="259" w:lineRule="auto"/>
              <w:ind w:left="317"/>
              <w:jc w:val="both"/>
              <w:rPr>
                <w:rFonts w:ascii="Abadi" w:hAnsi="Abadi"/>
                <w:sz w:val="21"/>
                <w:szCs w:val="21"/>
              </w:rPr>
            </w:pPr>
            <w:r w:rsidRPr="00695491">
              <w:rPr>
                <w:rFonts w:ascii="Abadi" w:eastAsia="Verdana" w:hAnsi="Abadi" w:cs="Verdana"/>
                <w:sz w:val="21"/>
                <w:szCs w:val="21"/>
              </w:rPr>
              <w:t xml:space="preserve"> </w:t>
            </w:r>
          </w:p>
          <w:p w14:paraId="67CCF11D" w14:textId="77777777" w:rsidR="001F5F1E" w:rsidRPr="00695491" w:rsidRDefault="001F5F1E" w:rsidP="00321BF0">
            <w:pPr>
              <w:numPr>
                <w:ilvl w:val="0"/>
                <w:numId w:val="68"/>
              </w:numPr>
              <w:spacing w:after="2"/>
              <w:ind w:left="317" w:right="75" w:hanging="360"/>
              <w:jc w:val="both"/>
              <w:rPr>
                <w:rFonts w:ascii="Abadi" w:hAnsi="Abadi"/>
                <w:sz w:val="21"/>
                <w:szCs w:val="21"/>
              </w:rPr>
            </w:pPr>
            <w:r w:rsidRPr="00695491">
              <w:rPr>
                <w:rFonts w:ascii="Abadi" w:eastAsia="Verdana" w:hAnsi="Abadi" w:cs="Verdana"/>
                <w:sz w:val="21"/>
                <w:szCs w:val="21"/>
              </w:rPr>
              <w:t xml:space="preserve">Promover las medidas preventivas necesarias para erradicar la violencia en el deporte; </w:t>
            </w:r>
          </w:p>
          <w:p w14:paraId="3C4AD601" w14:textId="77777777" w:rsidR="001F5F1E" w:rsidRPr="00695491" w:rsidRDefault="001F5F1E"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1E00B07E" w14:textId="77777777" w:rsidR="001F5F1E" w:rsidRPr="00695491" w:rsidRDefault="001F5F1E"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1B7F9A3B" w14:textId="77777777" w:rsidR="001F5F1E" w:rsidRPr="00695491" w:rsidRDefault="001F5F1E"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094C95B7" w14:textId="77777777" w:rsidR="001F5F1E" w:rsidRPr="00695491" w:rsidRDefault="001F5F1E"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5A183D82" w14:textId="77777777" w:rsidR="001F5F1E" w:rsidRPr="00695491" w:rsidRDefault="001F5F1E" w:rsidP="00321BF0">
            <w:pPr>
              <w:numPr>
                <w:ilvl w:val="0"/>
                <w:numId w:val="68"/>
              </w:numPr>
              <w:ind w:left="459" w:right="75" w:hanging="360"/>
              <w:jc w:val="both"/>
              <w:rPr>
                <w:rFonts w:ascii="Abadi" w:hAnsi="Abadi"/>
                <w:sz w:val="21"/>
                <w:szCs w:val="21"/>
              </w:rPr>
            </w:pPr>
            <w:r w:rsidRPr="00695491">
              <w:rPr>
                <w:rFonts w:ascii="Abadi" w:eastAsia="Verdana" w:hAnsi="Abadi" w:cs="Verdana"/>
                <w:sz w:val="21"/>
                <w:szCs w:val="21"/>
              </w:rPr>
              <w:t xml:space="preserve">Fomentar, ordenar y regular a las Asociaciones y Sociedades Deportivas del Estado; </w:t>
            </w:r>
          </w:p>
          <w:p w14:paraId="6EFC8E9F" w14:textId="77777777" w:rsidR="001F5F1E" w:rsidRPr="00695491" w:rsidRDefault="001F5F1E" w:rsidP="00321BF0">
            <w:pPr>
              <w:spacing w:line="259" w:lineRule="auto"/>
              <w:ind w:left="459"/>
              <w:jc w:val="both"/>
              <w:rPr>
                <w:rFonts w:ascii="Abadi" w:hAnsi="Abadi"/>
                <w:sz w:val="21"/>
                <w:szCs w:val="21"/>
              </w:rPr>
            </w:pPr>
            <w:r w:rsidRPr="00695491">
              <w:rPr>
                <w:rFonts w:ascii="Abadi" w:eastAsia="Verdana" w:hAnsi="Abadi" w:cs="Verdana"/>
                <w:sz w:val="21"/>
                <w:szCs w:val="21"/>
              </w:rPr>
              <w:t xml:space="preserve"> </w:t>
            </w:r>
          </w:p>
          <w:p w14:paraId="69F86744" w14:textId="77777777" w:rsidR="001F5F1E" w:rsidRPr="00695491" w:rsidRDefault="001F5F1E" w:rsidP="00321BF0">
            <w:pPr>
              <w:numPr>
                <w:ilvl w:val="0"/>
                <w:numId w:val="68"/>
              </w:numPr>
              <w:spacing w:after="2"/>
              <w:ind w:left="459" w:right="75" w:hanging="360"/>
              <w:jc w:val="both"/>
              <w:rPr>
                <w:rFonts w:ascii="Abadi" w:hAnsi="Abadi"/>
                <w:sz w:val="21"/>
                <w:szCs w:val="21"/>
              </w:rPr>
            </w:pPr>
            <w:r w:rsidRPr="00695491">
              <w:rPr>
                <w:rFonts w:ascii="Abadi" w:eastAsia="Verdana" w:hAnsi="Abadi" w:cs="Verdana"/>
                <w:sz w:val="21"/>
                <w:szCs w:val="21"/>
              </w:rPr>
              <w:t xml:space="preserve">Incentivar la actividad deportiva que se desarrolla en forma organizada y programática en coordinación con las </w:t>
            </w:r>
          </w:p>
          <w:p w14:paraId="799E7F21" w14:textId="77777777" w:rsidR="001F5F1E" w:rsidRPr="00695491" w:rsidRDefault="001F5F1E" w:rsidP="00321BF0">
            <w:pPr>
              <w:spacing w:line="259" w:lineRule="auto"/>
              <w:ind w:left="459"/>
              <w:jc w:val="both"/>
              <w:rPr>
                <w:rFonts w:ascii="Abadi" w:hAnsi="Abadi"/>
                <w:sz w:val="21"/>
                <w:szCs w:val="21"/>
              </w:rPr>
            </w:pPr>
            <w:r w:rsidRPr="00695491">
              <w:rPr>
                <w:rFonts w:ascii="Abadi" w:eastAsia="Verdana" w:hAnsi="Abadi" w:cs="Verdana"/>
                <w:sz w:val="21"/>
                <w:szCs w:val="21"/>
              </w:rPr>
              <w:t xml:space="preserve">Asociaciones Deportivas del Estado; </w:t>
            </w:r>
          </w:p>
          <w:p w14:paraId="7D274B76" w14:textId="77777777" w:rsidR="00AE0C53" w:rsidRPr="00695491" w:rsidRDefault="00AE0C53" w:rsidP="00321BF0">
            <w:pPr>
              <w:ind w:left="459" w:right="4"/>
              <w:jc w:val="both"/>
              <w:rPr>
                <w:rFonts w:ascii="Abadi" w:hAnsi="Abadi"/>
                <w:sz w:val="21"/>
                <w:szCs w:val="21"/>
              </w:rPr>
            </w:pPr>
          </w:p>
          <w:p w14:paraId="6786E753" w14:textId="77777777" w:rsidR="003917D7" w:rsidRPr="00695491" w:rsidRDefault="003917D7" w:rsidP="00321BF0">
            <w:pPr>
              <w:numPr>
                <w:ilvl w:val="0"/>
                <w:numId w:val="68"/>
              </w:numPr>
              <w:spacing w:line="241" w:lineRule="auto"/>
              <w:ind w:left="459" w:right="75" w:hanging="360"/>
              <w:jc w:val="both"/>
              <w:rPr>
                <w:rFonts w:ascii="Abadi" w:hAnsi="Abadi"/>
                <w:sz w:val="21"/>
                <w:szCs w:val="21"/>
              </w:rPr>
            </w:pPr>
            <w:r w:rsidRPr="00695491">
              <w:rPr>
                <w:rFonts w:ascii="Abadi" w:eastAsia="Verdana" w:hAnsi="Abadi" w:cs="Verdana"/>
                <w:sz w:val="21"/>
                <w:szCs w:val="21"/>
              </w:rPr>
              <w:t xml:space="preserve">Promover en la práctica de actividades físicas, recreativas y deportivas el aprovechamiento, protección y conservación adecuada del medio ambiente; </w:t>
            </w:r>
          </w:p>
          <w:p w14:paraId="3D6545ED" w14:textId="77777777" w:rsidR="003917D7" w:rsidRPr="00695491" w:rsidRDefault="003917D7" w:rsidP="00321BF0">
            <w:pPr>
              <w:spacing w:line="259" w:lineRule="auto"/>
              <w:ind w:left="459"/>
              <w:jc w:val="both"/>
              <w:rPr>
                <w:rFonts w:ascii="Abadi" w:hAnsi="Abadi"/>
                <w:sz w:val="21"/>
                <w:szCs w:val="21"/>
              </w:rPr>
            </w:pPr>
            <w:r w:rsidRPr="00695491">
              <w:rPr>
                <w:rFonts w:ascii="Abadi" w:eastAsia="Verdana" w:hAnsi="Abadi" w:cs="Verdana"/>
                <w:sz w:val="21"/>
                <w:szCs w:val="21"/>
              </w:rPr>
              <w:t xml:space="preserve"> </w:t>
            </w:r>
          </w:p>
          <w:p w14:paraId="1BCC5204" w14:textId="77777777" w:rsidR="00F34B29" w:rsidRPr="00695491" w:rsidRDefault="00F34B29" w:rsidP="00321BF0">
            <w:pPr>
              <w:numPr>
                <w:ilvl w:val="0"/>
                <w:numId w:val="68"/>
              </w:numPr>
              <w:spacing w:after="2" w:line="241" w:lineRule="auto"/>
              <w:ind w:left="459" w:right="75" w:hanging="360"/>
              <w:jc w:val="both"/>
              <w:rPr>
                <w:rFonts w:ascii="Abadi" w:hAnsi="Abadi"/>
                <w:sz w:val="21"/>
                <w:szCs w:val="21"/>
              </w:rPr>
            </w:pPr>
            <w:r w:rsidRPr="00695491">
              <w:rPr>
                <w:rFonts w:ascii="Abadi" w:eastAsia="Verdana" w:hAnsi="Abadi" w:cs="Verdana"/>
                <w:sz w:val="21"/>
                <w:szCs w:val="21"/>
              </w:rPr>
              <w:t xml:space="preserve">Garantizar a todas las personas sin distinción de género, edad, discapacidad, condición social, religión, opiniones, preferencias o estado civil, la igualdad de </w:t>
            </w:r>
            <w:r w:rsidRPr="00695491">
              <w:rPr>
                <w:rFonts w:ascii="Abadi" w:eastAsia="Verdana" w:hAnsi="Abadi" w:cs="Verdana"/>
                <w:sz w:val="21"/>
                <w:szCs w:val="21"/>
              </w:rPr>
              <w:lastRenderedPageBreak/>
              <w:t xml:space="preserve">oportunidades dentro de los programas de desarrollo que en materia de cultura física y deporte se </w:t>
            </w:r>
          </w:p>
          <w:p w14:paraId="08731BCE" w14:textId="77777777" w:rsidR="00F34B29" w:rsidRPr="00695491" w:rsidRDefault="00F34B29" w:rsidP="00321BF0">
            <w:pPr>
              <w:spacing w:line="259" w:lineRule="auto"/>
              <w:jc w:val="both"/>
              <w:rPr>
                <w:rFonts w:ascii="Abadi" w:hAnsi="Abadi"/>
                <w:sz w:val="21"/>
                <w:szCs w:val="21"/>
              </w:rPr>
            </w:pPr>
            <w:r w:rsidRPr="00695491">
              <w:rPr>
                <w:rFonts w:ascii="Abadi" w:eastAsia="Verdana" w:hAnsi="Abadi" w:cs="Verdana"/>
                <w:sz w:val="21"/>
                <w:szCs w:val="21"/>
              </w:rPr>
              <w:t xml:space="preserve">implementen; y </w:t>
            </w:r>
          </w:p>
          <w:p w14:paraId="42FE51BA" w14:textId="77777777" w:rsidR="00F34B29" w:rsidRPr="00695491" w:rsidRDefault="00F34B29" w:rsidP="00321BF0">
            <w:pPr>
              <w:spacing w:line="259" w:lineRule="auto"/>
              <w:jc w:val="both"/>
              <w:rPr>
                <w:rFonts w:ascii="Abadi" w:hAnsi="Abadi"/>
                <w:sz w:val="21"/>
                <w:szCs w:val="21"/>
              </w:rPr>
            </w:pPr>
            <w:r w:rsidRPr="00695491">
              <w:rPr>
                <w:rFonts w:ascii="Abadi" w:eastAsia="Verdana" w:hAnsi="Abadi" w:cs="Verdana"/>
                <w:sz w:val="21"/>
                <w:szCs w:val="21"/>
              </w:rPr>
              <w:t xml:space="preserve"> </w:t>
            </w:r>
          </w:p>
          <w:p w14:paraId="6AA75E8F" w14:textId="319226A3" w:rsidR="003917D7" w:rsidRPr="00695491" w:rsidRDefault="00F34B29" w:rsidP="00321BF0">
            <w:pPr>
              <w:ind w:right="4"/>
              <w:jc w:val="both"/>
              <w:rPr>
                <w:rFonts w:ascii="Abadi" w:hAnsi="Abadi"/>
                <w:sz w:val="21"/>
                <w:szCs w:val="21"/>
              </w:rPr>
            </w:pPr>
            <w:r w:rsidRPr="00695491">
              <w:rPr>
                <w:rFonts w:ascii="Abadi" w:eastAsia="Verdana" w:hAnsi="Abadi" w:cs="Verdana"/>
                <w:sz w:val="21"/>
                <w:szCs w:val="21"/>
              </w:rPr>
              <w:t>Los deportistas con algún tipo de discapacidad no serán objeto de discriminación alguna</w:t>
            </w:r>
          </w:p>
        </w:tc>
        <w:tc>
          <w:tcPr>
            <w:tcW w:w="2073" w:type="dxa"/>
          </w:tcPr>
          <w:p w14:paraId="082DC963" w14:textId="77777777" w:rsidR="00AE0C53" w:rsidRPr="00695491" w:rsidRDefault="00AE0C53" w:rsidP="00321BF0">
            <w:pPr>
              <w:ind w:left="412"/>
              <w:jc w:val="both"/>
              <w:rPr>
                <w:rFonts w:ascii="Abadi" w:hAnsi="Abadi"/>
                <w:sz w:val="21"/>
                <w:szCs w:val="21"/>
              </w:rPr>
            </w:pPr>
            <w:r w:rsidRPr="00695491">
              <w:rPr>
                <w:rFonts w:ascii="Abadi" w:eastAsia="Verdana" w:hAnsi="Abadi" w:cs="Verdana"/>
                <w:sz w:val="21"/>
                <w:szCs w:val="21"/>
              </w:rPr>
              <w:lastRenderedPageBreak/>
              <w:t xml:space="preserve">Artículo 2. La presente Ley tiene por finalidad: </w:t>
            </w:r>
          </w:p>
          <w:p w14:paraId="5F937E1B"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3859BE6B" w14:textId="77777777" w:rsidR="00AE0C53" w:rsidRPr="00695491" w:rsidRDefault="00AE0C53" w:rsidP="00321BF0">
            <w:pPr>
              <w:numPr>
                <w:ilvl w:val="0"/>
                <w:numId w:val="67"/>
              </w:numPr>
              <w:spacing w:line="241" w:lineRule="auto"/>
              <w:ind w:left="412" w:right="74" w:hanging="360"/>
              <w:jc w:val="both"/>
              <w:rPr>
                <w:rFonts w:ascii="Abadi" w:hAnsi="Abadi"/>
                <w:sz w:val="21"/>
                <w:szCs w:val="21"/>
              </w:rPr>
            </w:pPr>
            <w:r w:rsidRPr="00695491">
              <w:rPr>
                <w:rFonts w:ascii="Abadi" w:eastAsia="Verdana" w:hAnsi="Abadi" w:cs="Verdana"/>
                <w:sz w:val="21"/>
                <w:szCs w:val="21"/>
              </w:rPr>
              <w:t xml:space="preserve">Fomentar el óptimo, equitativo y ordenado desarrollo de la cultura física y el deporte en todas sus manifestaciones y expresiones; </w:t>
            </w:r>
          </w:p>
          <w:p w14:paraId="65EAE08A"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7EB50DE2" w14:textId="77777777" w:rsidR="00AE0C53" w:rsidRPr="00695491" w:rsidRDefault="00AE0C53" w:rsidP="00321BF0">
            <w:pPr>
              <w:numPr>
                <w:ilvl w:val="0"/>
                <w:numId w:val="67"/>
              </w:numPr>
              <w:spacing w:line="241" w:lineRule="auto"/>
              <w:ind w:left="412" w:right="74" w:hanging="360"/>
              <w:jc w:val="both"/>
              <w:rPr>
                <w:rFonts w:ascii="Abadi" w:hAnsi="Abadi"/>
                <w:sz w:val="21"/>
                <w:szCs w:val="21"/>
              </w:rPr>
            </w:pPr>
            <w:r w:rsidRPr="00695491">
              <w:rPr>
                <w:rFonts w:ascii="Abadi" w:eastAsia="Verdana" w:hAnsi="Abadi" w:cs="Verdana"/>
                <w:sz w:val="21"/>
                <w:szCs w:val="21"/>
              </w:rPr>
              <w:t xml:space="preserve">Elevar, por medio de la activación física, la cultura física y el deporte, el nivel de vida social y cultural de los habitantes de </w:t>
            </w:r>
          </w:p>
          <w:p w14:paraId="02E28BB2"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Guanajuato; </w:t>
            </w:r>
          </w:p>
          <w:p w14:paraId="4815D10E"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0801D212" w14:textId="77777777" w:rsidR="00AE0C53" w:rsidRPr="00695491" w:rsidRDefault="00AE0C53" w:rsidP="00321BF0">
            <w:pPr>
              <w:numPr>
                <w:ilvl w:val="0"/>
                <w:numId w:val="67"/>
              </w:numPr>
              <w:spacing w:line="241" w:lineRule="auto"/>
              <w:ind w:left="412" w:right="74" w:hanging="360"/>
              <w:jc w:val="both"/>
              <w:rPr>
                <w:rFonts w:ascii="Abadi" w:hAnsi="Abadi"/>
                <w:sz w:val="21"/>
                <w:szCs w:val="21"/>
              </w:rPr>
            </w:pPr>
            <w:r w:rsidRPr="00695491">
              <w:rPr>
                <w:rFonts w:ascii="Abadi" w:eastAsia="Verdana" w:hAnsi="Abadi" w:cs="Verdana"/>
                <w:sz w:val="21"/>
                <w:szCs w:val="21"/>
              </w:rPr>
              <w:t xml:space="preserve">Fomentar la creación, conservación, mejoramiento, protección, difusión, promoción, investigación y aprovechamiento de los recursos humanos, </w:t>
            </w:r>
            <w:r w:rsidRPr="00695491">
              <w:rPr>
                <w:rFonts w:ascii="Abadi" w:eastAsia="Verdana" w:hAnsi="Abadi" w:cs="Verdana"/>
                <w:sz w:val="21"/>
                <w:szCs w:val="21"/>
              </w:rPr>
              <w:lastRenderedPageBreak/>
              <w:t xml:space="preserve">materiales y financieros destinados a la cultura física y el deporte; </w:t>
            </w:r>
          </w:p>
          <w:p w14:paraId="48E4A7B3"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0702497C" w14:textId="77777777" w:rsidR="00AE0C53" w:rsidRPr="00695491" w:rsidRDefault="00AE0C53"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5E542CFA" w14:textId="77777777" w:rsidR="00056818" w:rsidRPr="00695491" w:rsidRDefault="00AE0C53" w:rsidP="00321BF0">
            <w:pPr>
              <w:spacing w:after="2"/>
              <w:ind w:left="412" w:right="76"/>
              <w:jc w:val="both"/>
              <w:rPr>
                <w:rFonts w:ascii="Abadi" w:hAnsi="Abadi"/>
                <w:sz w:val="21"/>
                <w:szCs w:val="21"/>
              </w:rPr>
            </w:pPr>
            <w:r w:rsidRPr="00695491">
              <w:rPr>
                <w:rFonts w:ascii="Abadi" w:eastAsia="Verdana" w:hAnsi="Abadi" w:cs="Verdana"/>
                <w:sz w:val="21"/>
                <w:szCs w:val="21"/>
              </w:rPr>
              <w:t xml:space="preserve">Fomentar el desarrollo de la activación física, la cultura física y el deporte, para la prevención social de la violencia, </w:t>
            </w:r>
            <w:r w:rsidR="00056818" w:rsidRPr="00695491">
              <w:rPr>
                <w:rFonts w:ascii="Abadi" w:eastAsia="Verdana" w:hAnsi="Abadi" w:cs="Verdana"/>
                <w:sz w:val="21"/>
                <w:szCs w:val="21"/>
              </w:rPr>
              <w:t xml:space="preserve">delincuencia, adicciones y conductas antisociales; y medio en la preservación de la salud y prevención de enfermedades; </w:t>
            </w:r>
          </w:p>
          <w:p w14:paraId="5E4E5127"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6A02E365" w14:textId="77777777" w:rsidR="00321BF0" w:rsidRDefault="00321BF0" w:rsidP="00321BF0">
            <w:pPr>
              <w:spacing w:line="259" w:lineRule="auto"/>
              <w:ind w:left="412"/>
              <w:jc w:val="both"/>
              <w:rPr>
                <w:rFonts w:ascii="Abadi" w:eastAsia="Verdana" w:hAnsi="Abadi" w:cs="Verdana"/>
                <w:sz w:val="21"/>
                <w:szCs w:val="21"/>
              </w:rPr>
            </w:pPr>
          </w:p>
          <w:p w14:paraId="5AB3AA5B" w14:textId="77777777" w:rsidR="00321BF0" w:rsidRDefault="00321BF0" w:rsidP="00321BF0">
            <w:pPr>
              <w:spacing w:line="259" w:lineRule="auto"/>
              <w:ind w:left="412"/>
              <w:jc w:val="both"/>
              <w:rPr>
                <w:rFonts w:ascii="Abadi" w:eastAsia="Verdana" w:hAnsi="Abadi" w:cs="Verdana"/>
                <w:sz w:val="21"/>
                <w:szCs w:val="21"/>
              </w:rPr>
            </w:pPr>
          </w:p>
          <w:p w14:paraId="15CB5815" w14:textId="77777777" w:rsidR="00321BF0" w:rsidRDefault="00321BF0" w:rsidP="00321BF0">
            <w:pPr>
              <w:spacing w:line="259" w:lineRule="auto"/>
              <w:ind w:left="412"/>
              <w:jc w:val="both"/>
              <w:rPr>
                <w:rFonts w:ascii="Abadi" w:eastAsia="Verdana" w:hAnsi="Abadi" w:cs="Verdana"/>
                <w:sz w:val="21"/>
                <w:szCs w:val="21"/>
              </w:rPr>
            </w:pPr>
          </w:p>
          <w:p w14:paraId="7D8C394E" w14:textId="399B4C4F"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077F5402" w14:textId="77777777" w:rsidR="00056818" w:rsidRPr="00695491" w:rsidRDefault="00056818" w:rsidP="00321BF0">
            <w:pPr>
              <w:numPr>
                <w:ilvl w:val="0"/>
                <w:numId w:val="69"/>
              </w:numPr>
              <w:spacing w:line="241" w:lineRule="auto"/>
              <w:ind w:left="412" w:right="74" w:hanging="360"/>
              <w:jc w:val="both"/>
              <w:rPr>
                <w:rFonts w:ascii="Abadi" w:hAnsi="Abadi"/>
                <w:sz w:val="21"/>
                <w:szCs w:val="21"/>
              </w:rPr>
            </w:pPr>
            <w:r w:rsidRPr="00695491">
              <w:rPr>
                <w:rFonts w:ascii="Abadi" w:eastAsia="Verdana" w:hAnsi="Abadi" w:cs="Verdana"/>
                <w:sz w:val="21"/>
                <w:szCs w:val="21"/>
              </w:rPr>
              <w:t xml:space="preserve">Incentivar la inversión social y privada para el desarrollo de la cultura física y el deporte, como complemento de la </w:t>
            </w:r>
          </w:p>
          <w:p w14:paraId="3AC68F24"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actuación pública; </w:t>
            </w:r>
          </w:p>
          <w:p w14:paraId="6E6E3DAE" w14:textId="77777777" w:rsidR="00056818" w:rsidRDefault="00056818" w:rsidP="00321BF0">
            <w:pPr>
              <w:spacing w:line="259" w:lineRule="auto"/>
              <w:ind w:left="412"/>
              <w:jc w:val="both"/>
              <w:rPr>
                <w:rFonts w:ascii="Abadi" w:eastAsia="Verdana" w:hAnsi="Abadi" w:cs="Verdana"/>
                <w:sz w:val="21"/>
                <w:szCs w:val="21"/>
              </w:rPr>
            </w:pPr>
            <w:r w:rsidRPr="00695491">
              <w:rPr>
                <w:rFonts w:ascii="Abadi" w:eastAsia="Verdana" w:hAnsi="Abadi" w:cs="Verdana"/>
                <w:sz w:val="21"/>
                <w:szCs w:val="21"/>
              </w:rPr>
              <w:t xml:space="preserve"> </w:t>
            </w:r>
          </w:p>
          <w:p w14:paraId="2D473A64" w14:textId="77777777" w:rsidR="00321BF0" w:rsidRPr="00695491" w:rsidRDefault="00321BF0" w:rsidP="00321BF0">
            <w:pPr>
              <w:spacing w:line="259" w:lineRule="auto"/>
              <w:ind w:left="412"/>
              <w:jc w:val="both"/>
              <w:rPr>
                <w:rFonts w:ascii="Abadi" w:hAnsi="Abadi"/>
                <w:sz w:val="21"/>
                <w:szCs w:val="21"/>
              </w:rPr>
            </w:pPr>
          </w:p>
          <w:p w14:paraId="164121BE" w14:textId="77777777" w:rsidR="00056818" w:rsidRPr="00695491" w:rsidRDefault="00056818" w:rsidP="00321BF0">
            <w:pPr>
              <w:numPr>
                <w:ilvl w:val="0"/>
                <w:numId w:val="69"/>
              </w:numPr>
              <w:spacing w:line="243" w:lineRule="auto"/>
              <w:ind w:left="412" w:right="74" w:hanging="360"/>
              <w:jc w:val="both"/>
              <w:rPr>
                <w:rFonts w:ascii="Abadi" w:hAnsi="Abadi"/>
                <w:sz w:val="21"/>
                <w:szCs w:val="21"/>
              </w:rPr>
            </w:pPr>
            <w:r w:rsidRPr="00695491">
              <w:rPr>
                <w:rFonts w:ascii="Abadi" w:hAnsi="Abadi"/>
                <w:sz w:val="21"/>
                <w:szCs w:val="21"/>
              </w:rPr>
              <w:t xml:space="preserve">Promover las medidas preventivas necesarias para erradicar la violencia en el deporte, </w:t>
            </w:r>
            <w:r w:rsidRPr="00695491">
              <w:rPr>
                <w:rFonts w:ascii="Abadi" w:hAnsi="Abadi"/>
                <w:b/>
                <w:sz w:val="21"/>
                <w:szCs w:val="21"/>
              </w:rPr>
              <w:t>la discriminación por cuestiones de género, preferencias sexuales o cualquier otra</w:t>
            </w:r>
            <w:r w:rsidRPr="00695491">
              <w:rPr>
                <w:rFonts w:ascii="Abadi" w:eastAsia="Verdana" w:hAnsi="Abadi" w:cs="Verdana"/>
                <w:sz w:val="21"/>
                <w:szCs w:val="21"/>
              </w:rPr>
              <w:t xml:space="preserve">; </w:t>
            </w:r>
          </w:p>
          <w:p w14:paraId="5BB82E4B"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43D4DCE5"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582B1B60" w14:textId="77777777" w:rsidR="00056818" w:rsidRPr="00695491" w:rsidRDefault="00056818" w:rsidP="00321BF0">
            <w:pPr>
              <w:numPr>
                <w:ilvl w:val="0"/>
                <w:numId w:val="69"/>
              </w:numPr>
              <w:spacing w:line="259" w:lineRule="auto"/>
              <w:ind w:left="412" w:right="74" w:hanging="360"/>
              <w:jc w:val="both"/>
              <w:rPr>
                <w:rFonts w:ascii="Abadi" w:hAnsi="Abadi"/>
                <w:sz w:val="21"/>
                <w:szCs w:val="21"/>
              </w:rPr>
            </w:pPr>
            <w:r w:rsidRPr="00695491">
              <w:rPr>
                <w:rFonts w:ascii="Abadi" w:eastAsia="Verdana" w:hAnsi="Abadi" w:cs="Verdana"/>
                <w:sz w:val="21"/>
                <w:szCs w:val="21"/>
              </w:rPr>
              <w:t xml:space="preserve">Fomentar, ordenar y regular a las </w:t>
            </w:r>
          </w:p>
          <w:p w14:paraId="08C61815"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Asociaciones y Sociedades Deportivas del </w:t>
            </w:r>
          </w:p>
          <w:p w14:paraId="329687D1"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Estado; </w:t>
            </w:r>
          </w:p>
          <w:p w14:paraId="53E51A84"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17371FA2" w14:textId="77777777" w:rsidR="00056818" w:rsidRPr="00695491" w:rsidRDefault="00056818" w:rsidP="00321BF0">
            <w:pPr>
              <w:numPr>
                <w:ilvl w:val="0"/>
                <w:numId w:val="69"/>
              </w:numPr>
              <w:spacing w:after="2"/>
              <w:ind w:left="412" w:right="74" w:hanging="360"/>
              <w:jc w:val="both"/>
              <w:rPr>
                <w:rFonts w:ascii="Abadi" w:hAnsi="Abadi"/>
                <w:sz w:val="21"/>
                <w:szCs w:val="21"/>
              </w:rPr>
            </w:pPr>
            <w:r w:rsidRPr="00695491">
              <w:rPr>
                <w:rFonts w:ascii="Abadi" w:eastAsia="Verdana" w:hAnsi="Abadi" w:cs="Verdana"/>
                <w:sz w:val="21"/>
                <w:szCs w:val="21"/>
              </w:rPr>
              <w:t xml:space="preserve">Incentivar la actividad deportiva que se desarrolla en forma organizada y programática en coordinación con las </w:t>
            </w:r>
          </w:p>
          <w:p w14:paraId="38C54FFC"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Asociaciones Deportivas del Estado; </w:t>
            </w:r>
          </w:p>
          <w:p w14:paraId="049A50FD"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2F21B69A"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3B6710BB" w14:textId="77777777" w:rsidR="00056818" w:rsidRPr="00695491" w:rsidRDefault="00056818" w:rsidP="00321BF0">
            <w:pPr>
              <w:numPr>
                <w:ilvl w:val="0"/>
                <w:numId w:val="69"/>
              </w:numPr>
              <w:spacing w:after="2" w:line="241" w:lineRule="auto"/>
              <w:ind w:left="412" w:right="74" w:hanging="360"/>
              <w:jc w:val="both"/>
              <w:rPr>
                <w:rFonts w:ascii="Abadi" w:hAnsi="Abadi"/>
                <w:sz w:val="21"/>
                <w:szCs w:val="21"/>
              </w:rPr>
            </w:pPr>
            <w:r w:rsidRPr="00695491">
              <w:rPr>
                <w:rFonts w:ascii="Abadi" w:eastAsia="Verdana" w:hAnsi="Abadi" w:cs="Verdana"/>
                <w:sz w:val="21"/>
                <w:szCs w:val="21"/>
              </w:rPr>
              <w:t xml:space="preserve">Promover en la práctica de actividades físicas, recreativas y deportivas el aprovechamiento, protección y conservación adecuada del medio ambiente; </w:t>
            </w:r>
          </w:p>
          <w:p w14:paraId="7BF9A727"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338E7F7A"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7CBD2BFB" w14:textId="77777777" w:rsidR="00056818" w:rsidRPr="00695491" w:rsidRDefault="00056818" w:rsidP="00321BF0">
            <w:pPr>
              <w:numPr>
                <w:ilvl w:val="0"/>
                <w:numId w:val="69"/>
              </w:numPr>
              <w:spacing w:after="2" w:line="241" w:lineRule="auto"/>
              <w:ind w:left="412" w:right="74" w:hanging="360"/>
              <w:jc w:val="both"/>
              <w:rPr>
                <w:rFonts w:ascii="Abadi" w:hAnsi="Abadi"/>
                <w:sz w:val="21"/>
                <w:szCs w:val="21"/>
              </w:rPr>
            </w:pPr>
            <w:r w:rsidRPr="00695491">
              <w:rPr>
                <w:rFonts w:ascii="Abadi" w:eastAsia="Verdana" w:hAnsi="Abadi" w:cs="Verdana"/>
                <w:sz w:val="21"/>
                <w:szCs w:val="21"/>
              </w:rPr>
              <w:t xml:space="preserve">Garantizar a todas las personas </w:t>
            </w:r>
            <w:r w:rsidRPr="00695491">
              <w:rPr>
                <w:rFonts w:ascii="Abadi" w:eastAsia="Verdana" w:hAnsi="Abadi" w:cs="Verdana"/>
                <w:b/>
                <w:sz w:val="21"/>
                <w:szCs w:val="21"/>
              </w:rPr>
              <w:t>sin distinción de género</w:t>
            </w:r>
            <w:r w:rsidRPr="00695491">
              <w:rPr>
                <w:rFonts w:ascii="Abadi" w:eastAsia="Verdana" w:hAnsi="Abadi" w:cs="Verdana"/>
                <w:sz w:val="21"/>
                <w:szCs w:val="21"/>
              </w:rPr>
              <w:t xml:space="preserve"> o preferencia sexual, edad, discapacidad, condición social, religión, opiniones, preferencias o estado civil, la </w:t>
            </w:r>
            <w:r w:rsidRPr="00695491">
              <w:rPr>
                <w:rFonts w:ascii="Abadi" w:eastAsia="Verdana" w:hAnsi="Abadi" w:cs="Verdana"/>
                <w:sz w:val="21"/>
                <w:szCs w:val="21"/>
              </w:rPr>
              <w:lastRenderedPageBreak/>
              <w:t xml:space="preserve">igualdad de oportunidades dentro de los programas de desarrollo que en materia de cultura física y deporte se implementen; y </w:t>
            </w:r>
          </w:p>
          <w:p w14:paraId="004D3306"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2CAB23F4" w14:textId="77777777" w:rsidR="00056818" w:rsidRPr="00695491" w:rsidRDefault="00056818" w:rsidP="00321BF0">
            <w:pPr>
              <w:spacing w:line="259" w:lineRule="auto"/>
              <w:ind w:left="412"/>
              <w:jc w:val="both"/>
              <w:rPr>
                <w:rFonts w:ascii="Abadi" w:hAnsi="Abadi"/>
                <w:sz w:val="21"/>
                <w:szCs w:val="21"/>
              </w:rPr>
            </w:pPr>
            <w:r w:rsidRPr="00695491">
              <w:rPr>
                <w:rFonts w:ascii="Abadi" w:eastAsia="Verdana" w:hAnsi="Abadi" w:cs="Verdana"/>
                <w:sz w:val="21"/>
                <w:szCs w:val="21"/>
              </w:rPr>
              <w:t xml:space="preserve"> </w:t>
            </w:r>
          </w:p>
          <w:p w14:paraId="3C8F1904" w14:textId="77777777" w:rsidR="00056818" w:rsidRPr="00695491" w:rsidRDefault="00056818" w:rsidP="00321BF0">
            <w:pPr>
              <w:numPr>
                <w:ilvl w:val="0"/>
                <w:numId w:val="69"/>
              </w:numPr>
              <w:spacing w:line="245" w:lineRule="auto"/>
              <w:ind w:left="412" w:right="74" w:hanging="360"/>
              <w:jc w:val="both"/>
              <w:rPr>
                <w:rFonts w:ascii="Abadi" w:hAnsi="Abadi"/>
                <w:sz w:val="21"/>
                <w:szCs w:val="21"/>
              </w:rPr>
            </w:pPr>
            <w:r w:rsidRPr="00695491">
              <w:rPr>
                <w:rFonts w:ascii="Abadi" w:eastAsia="Verdana" w:hAnsi="Abadi" w:cs="Verdana"/>
                <w:b/>
                <w:sz w:val="21"/>
                <w:szCs w:val="21"/>
              </w:rPr>
              <w:t>Prevenir que cualquier persona, las niñas, los niños, las y los adolescentes</w:t>
            </w:r>
            <w:r w:rsidRPr="00695491">
              <w:rPr>
                <w:rFonts w:ascii="Abadi" w:eastAsia="Verdana" w:hAnsi="Abadi" w:cs="Verdana"/>
                <w:sz w:val="21"/>
                <w:szCs w:val="21"/>
              </w:rPr>
              <w:t>, o deportistas con algún tipo de discapacidad no serán objeto de discriminación alguna.</w:t>
            </w:r>
            <w:r w:rsidRPr="00695491">
              <w:rPr>
                <w:rFonts w:ascii="Abadi" w:hAnsi="Abadi"/>
                <w:sz w:val="21"/>
                <w:szCs w:val="21"/>
              </w:rPr>
              <w:t xml:space="preserve"> </w:t>
            </w:r>
          </w:p>
          <w:p w14:paraId="517B4644" w14:textId="77777777" w:rsidR="00AE0C53" w:rsidRPr="00695491" w:rsidRDefault="00AE0C53" w:rsidP="00321BF0">
            <w:pPr>
              <w:ind w:left="412" w:right="4"/>
              <w:jc w:val="both"/>
              <w:rPr>
                <w:rFonts w:ascii="Abadi" w:hAnsi="Abadi"/>
                <w:sz w:val="21"/>
                <w:szCs w:val="21"/>
              </w:rPr>
            </w:pPr>
          </w:p>
          <w:p w14:paraId="31E38671" w14:textId="58BF7A5B" w:rsidR="00931815" w:rsidRPr="00695491" w:rsidRDefault="00931815" w:rsidP="00321BF0">
            <w:pPr>
              <w:ind w:left="412" w:right="4"/>
              <w:jc w:val="both"/>
              <w:rPr>
                <w:rFonts w:ascii="Abadi" w:hAnsi="Abadi"/>
                <w:sz w:val="21"/>
                <w:szCs w:val="21"/>
              </w:rPr>
            </w:pPr>
          </w:p>
        </w:tc>
      </w:tr>
      <w:tr w:rsidR="009A7350" w:rsidRPr="00695491" w14:paraId="6F220A9F" w14:textId="77777777" w:rsidTr="008305DC">
        <w:tc>
          <w:tcPr>
            <w:tcW w:w="1891" w:type="dxa"/>
          </w:tcPr>
          <w:p w14:paraId="5EA55AE0" w14:textId="77777777" w:rsidR="009A7350" w:rsidRPr="00695491" w:rsidRDefault="009A7350" w:rsidP="002F75ED">
            <w:pPr>
              <w:spacing w:after="2"/>
              <w:ind w:right="74"/>
              <w:jc w:val="both"/>
              <w:rPr>
                <w:rFonts w:ascii="Abadi" w:hAnsi="Abadi"/>
                <w:sz w:val="21"/>
                <w:szCs w:val="21"/>
              </w:rPr>
            </w:pPr>
            <w:r w:rsidRPr="00695491">
              <w:rPr>
                <w:rFonts w:ascii="Abadi" w:eastAsia="Verdana" w:hAnsi="Abadi" w:cs="Verdana"/>
                <w:sz w:val="21"/>
                <w:szCs w:val="21"/>
              </w:rPr>
              <w:lastRenderedPageBreak/>
              <w:t xml:space="preserve">responsable en la promoción, fomento y estímulo del derecho a la cultura física y a la práctica del deporte; </w:t>
            </w:r>
          </w:p>
          <w:p w14:paraId="089C2888"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69CBA51F" w14:textId="77777777" w:rsidR="009A7350" w:rsidRPr="00695491" w:rsidRDefault="009A7350" w:rsidP="002F75ED">
            <w:pPr>
              <w:numPr>
                <w:ilvl w:val="0"/>
                <w:numId w:val="70"/>
              </w:numPr>
              <w:spacing w:after="2"/>
              <w:ind w:right="72" w:hanging="720"/>
              <w:jc w:val="both"/>
              <w:rPr>
                <w:rFonts w:ascii="Abadi" w:hAnsi="Abadi"/>
                <w:sz w:val="21"/>
                <w:szCs w:val="21"/>
              </w:rPr>
            </w:pPr>
            <w:r w:rsidRPr="00695491">
              <w:rPr>
                <w:rFonts w:ascii="Abadi" w:eastAsia="Verdana" w:hAnsi="Abadi" w:cs="Verdana"/>
                <w:sz w:val="21"/>
                <w:szCs w:val="21"/>
              </w:rPr>
              <w:t xml:space="preserve">La distinción entre las diversas manifestaciones o modalidades del deporte resulta necesaria para el óptimo, equitativo y ordenado desarrollo de los sistemas deportivos del Estado de Guanajuato; </w:t>
            </w:r>
          </w:p>
          <w:p w14:paraId="448A8D8C"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1265144C" w14:textId="77777777" w:rsidR="009A7350" w:rsidRPr="00695491" w:rsidRDefault="009A7350" w:rsidP="002F75ED">
            <w:pPr>
              <w:numPr>
                <w:ilvl w:val="0"/>
                <w:numId w:val="70"/>
              </w:numPr>
              <w:spacing w:after="2"/>
              <w:ind w:right="72" w:hanging="720"/>
              <w:jc w:val="both"/>
              <w:rPr>
                <w:rFonts w:ascii="Abadi" w:hAnsi="Abadi"/>
                <w:sz w:val="21"/>
                <w:szCs w:val="21"/>
              </w:rPr>
            </w:pPr>
            <w:r w:rsidRPr="00695491">
              <w:rPr>
                <w:rFonts w:ascii="Abadi" w:eastAsia="Verdana" w:hAnsi="Abadi" w:cs="Verdana"/>
                <w:sz w:val="21"/>
                <w:szCs w:val="21"/>
              </w:rPr>
              <w:t xml:space="preserve">El desarrollo y la práctica del deporte debe realizarse observando </w:t>
            </w:r>
          </w:p>
          <w:p w14:paraId="4AC85251"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sus bases éticas; </w:t>
            </w:r>
          </w:p>
          <w:p w14:paraId="020ADBCD"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759EE9F0" w14:textId="77777777" w:rsidR="009A7350" w:rsidRPr="00695491" w:rsidRDefault="009A7350" w:rsidP="002F75ED">
            <w:pPr>
              <w:numPr>
                <w:ilvl w:val="0"/>
                <w:numId w:val="70"/>
              </w:numPr>
              <w:spacing w:line="241" w:lineRule="auto"/>
              <w:ind w:right="72" w:hanging="720"/>
              <w:jc w:val="both"/>
              <w:rPr>
                <w:rFonts w:ascii="Abadi" w:hAnsi="Abadi"/>
                <w:sz w:val="21"/>
                <w:szCs w:val="21"/>
              </w:rPr>
            </w:pPr>
            <w:r w:rsidRPr="00695491">
              <w:rPr>
                <w:rFonts w:ascii="Abadi" w:eastAsia="Verdana" w:hAnsi="Abadi" w:cs="Verdana"/>
                <w:sz w:val="21"/>
                <w:szCs w:val="21"/>
              </w:rPr>
              <w:t xml:space="preserve">En el desarrollo del deporte debe protegerse la dignidad, integridad, salud y seguridad de los deportistas, así como asegurarse y defenderse el desarrollo sostenible del deporte, y </w:t>
            </w:r>
          </w:p>
          <w:p w14:paraId="6C818B4E"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40CA2E7D" w14:textId="77777777" w:rsidR="009A7350" w:rsidRPr="00695491" w:rsidRDefault="009A7350" w:rsidP="002F75ED">
            <w:pPr>
              <w:numPr>
                <w:ilvl w:val="0"/>
                <w:numId w:val="70"/>
              </w:numPr>
              <w:ind w:right="72" w:hanging="720"/>
              <w:jc w:val="both"/>
              <w:rPr>
                <w:rFonts w:ascii="Abadi" w:hAnsi="Abadi"/>
                <w:sz w:val="21"/>
                <w:szCs w:val="21"/>
              </w:rPr>
            </w:pPr>
            <w:r w:rsidRPr="00695491">
              <w:rPr>
                <w:rFonts w:ascii="Abadi" w:eastAsia="Verdana" w:hAnsi="Abadi" w:cs="Verdana"/>
                <w:sz w:val="21"/>
                <w:szCs w:val="21"/>
              </w:rPr>
              <w:t xml:space="preserve">La existencia de una adecuada cooperación a nivel internacional, nacional, regional, estatal y municipal son necesarias para el desarrollo equilibrado y universal de la cultura física y deporte. </w:t>
            </w:r>
          </w:p>
          <w:p w14:paraId="276654B1" w14:textId="77777777" w:rsidR="009A7350" w:rsidRPr="00695491" w:rsidRDefault="009A7350" w:rsidP="002F75ED">
            <w:pPr>
              <w:spacing w:after="41" w:line="259" w:lineRule="auto"/>
              <w:jc w:val="both"/>
              <w:rPr>
                <w:rFonts w:ascii="Abadi" w:hAnsi="Abadi"/>
                <w:sz w:val="21"/>
                <w:szCs w:val="21"/>
              </w:rPr>
            </w:pPr>
            <w:r w:rsidRPr="00695491">
              <w:rPr>
                <w:rFonts w:ascii="Abadi" w:eastAsia="Verdana" w:hAnsi="Abadi" w:cs="Verdana"/>
                <w:sz w:val="21"/>
                <w:szCs w:val="21"/>
              </w:rPr>
              <w:t xml:space="preserve"> </w:t>
            </w:r>
          </w:p>
          <w:p w14:paraId="1BCBD7A1"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761C0058"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b/>
                <w:sz w:val="21"/>
                <w:szCs w:val="21"/>
              </w:rPr>
              <w:t xml:space="preserve">        </w:t>
            </w:r>
          </w:p>
          <w:p w14:paraId="7DA7F880" w14:textId="2B462D66" w:rsidR="009A7350" w:rsidRPr="00695491" w:rsidRDefault="009A7350" w:rsidP="002F75ED">
            <w:pPr>
              <w:ind w:right="4"/>
              <w:jc w:val="both"/>
              <w:rPr>
                <w:rFonts w:ascii="Abadi" w:hAnsi="Abadi"/>
                <w:sz w:val="21"/>
                <w:szCs w:val="21"/>
              </w:rPr>
            </w:pPr>
            <w:r w:rsidRPr="00695491">
              <w:rPr>
                <w:rFonts w:ascii="Abadi" w:eastAsia="Verdana" w:hAnsi="Abadi" w:cs="Verdana"/>
                <w:b/>
                <w:sz w:val="21"/>
                <w:szCs w:val="21"/>
              </w:rPr>
              <w:t xml:space="preserve">        Sin referente. </w:t>
            </w:r>
          </w:p>
        </w:tc>
        <w:tc>
          <w:tcPr>
            <w:tcW w:w="2073" w:type="dxa"/>
          </w:tcPr>
          <w:p w14:paraId="6430DEFF" w14:textId="77777777" w:rsidR="009A7350" w:rsidRPr="00695491" w:rsidRDefault="009A7350" w:rsidP="002F75ED">
            <w:pPr>
              <w:spacing w:after="2"/>
              <w:ind w:right="73"/>
              <w:jc w:val="both"/>
              <w:rPr>
                <w:rFonts w:ascii="Abadi" w:hAnsi="Abadi"/>
                <w:sz w:val="21"/>
                <w:szCs w:val="21"/>
              </w:rPr>
            </w:pPr>
            <w:r w:rsidRPr="00695491">
              <w:rPr>
                <w:rFonts w:ascii="Abadi" w:eastAsia="Verdana" w:hAnsi="Abadi" w:cs="Verdana"/>
                <w:sz w:val="21"/>
                <w:szCs w:val="21"/>
              </w:rPr>
              <w:t xml:space="preserve">promoción, fomento y estímulo del derecho a la cultura física y a la práctica del deporte; </w:t>
            </w:r>
          </w:p>
          <w:p w14:paraId="41E7CAB5"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74585512" w14:textId="77777777" w:rsidR="009A7350" w:rsidRPr="00695491" w:rsidRDefault="009A7350" w:rsidP="002F75ED">
            <w:pPr>
              <w:numPr>
                <w:ilvl w:val="0"/>
                <w:numId w:val="71"/>
              </w:numPr>
              <w:spacing w:line="241" w:lineRule="auto"/>
              <w:ind w:right="73" w:hanging="360"/>
              <w:jc w:val="both"/>
              <w:rPr>
                <w:rFonts w:ascii="Abadi" w:hAnsi="Abadi"/>
                <w:sz w:val="21"/>
                <w:szCs w:val="21"/>
              </w:rPr>
            </w:pPr>
            <w:r w:rsidRPr="00695491">
              <w:rPr>
                <w:rFonts w:ascii="Abadi" w:eastAsia="Verdana" w:hAnsi="Abadi" w:cs="Verdana"/>
                <w:sz w:val="21"/>
                <w:szCs w:val="21"/>
              </w:rPr>
              <w:t xml:space="preserve">La distinción entre las diversas manifestaciones o modalidades del deporte resulta necesaria para el óptimo, equitativo y ordenado desarrollo de los sistemas deportivos del Estado de Guanajuato; </w:t>
            </w:r>
          </w:p>
          <w:p w14:paraId="7BC49323"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3F4DB2CE"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22D163E0" w14:textId="77777777" w:rsidR="009A7350" w:rsidRPr="00695491" w:rsidRDefault="009A7350" w:rsidP="002F75ED">
            <w:pPr>
              <w:numPr>
                <w:ilvl w:val="0"/>
                <w:numId w:val="71"/>
              </w:numPr>
              <w:spacing w:line="241" w:lineRule="auto"/>
              <w:ind w:right="73" w:hanging="360"/>
              <w:jc w:val="both"/>
              <w:rPr>
                <w:rFonts w:ascii="Abadi" w:hAnsi="Abadi"/>
                <w:sz w:val="21"/>
                <w:szCs w:val="21"/>
              </w:rPr>
            </w:pPr>
            <w:r w:rsidRPr="00695491">
              <w:rPr>
                <w:rFonts w:ascii="Abadi" w:eastAsia="Verdana" w:hAnsi="Abadi" w:cs="Verdana"/>
                <w:sz w:val="21"/>
                <w:szCs w:val="21"/>
              </w:rPr>
              <w:t xml:space="preserve">El desarrollo y la práctica del deporte debe realizarse observando sus bases éticas; </w:t>
            </w:r>
          </w:p>
          <w:p w14:paraId="55F15673"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268E5DF5" w14:textId="77777777" w:rsidR="009A7350" w:rsidRPr="00695491" w:rsidRDefault="009A7350" w:rsidP="002F75ED">
            <w:pPr>
              <w:numPr>
                <w:ilvl w:val="0"/>
                <w:numId w:val="71"/>
              </w:numPr>
              <w:spacing w:line="241" w:lineRule="auto"/>
              <w:ind w:right="73" w:hanging="360"/>
              <w:jc w:val="both"/>
              <w:rPr>
                <w:rFonts w:ascii="Abadi" w:hAnsi="Abadi"/>
                <w:sz w:val="21"/>
                <w:szCs w:val="21"/>
              </w:rPr>
            </w:pPr>
            <w:r w:rsidRPr="00695491">
              <w:rPr>
                <w:rFonts w:ascii="Abadi" w:eastAsia="Verdana" w:hAnsi="Abadi" w:cs="Verdana"/>
                <w:sz w:val="21"/>
                <w:szCs w:val="21"/>
              </w:rPr>
              <w:t xml:space="preserve">En el desarrollo del deporte debe protegerse la dignidad, integridad, salud y seguridad de los deportistas, así como asegurarse y defenderse el desarrollo sostenible del deporte; </w:t>
            </w:r>
          </w:p>
          <w:p w14:paraId="3EB75439"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1A26EED8"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62A589AB" w14:textId="77777777" w:rsidR="009A7350" w:rsidRPr="00695491" w:rsidRDefault="009A7350" w:rsidP="002F75ED">
            <w:pPr>
              <w:numPr>
                <w:ilvl w:val="0"/>
                <w:numId w:val="71"/>
              </w:numPr>
              <w:spacing w:line="241" w:lineRule="auto"/>
              <w:ind w:right="73" w:hanging="360"/>
              <w:jc w:val="both"/>
              <w:rPr>
                <w:rFonts w:ascii="Abadi" w:hAnsi="Abadi"/>
                <w:sz w:val="21"/>
                <w:szCs w:val="21"/>
              </w:rPr>
            </w:pPr>
            <w:r w:rsidRPr="00695491">
              <w:rPr>
                <w:rFonts w:ascii="Abadi" w:eastAsia="Verdana" w:hAnsi="Abadi" w:cs="Verdana"/>
                <w:sz w:val="21"/>
                <w:szCs w:val="21"/>
              </w:rPr>
              <w:t xml:space="preserve">La existencia de una adecuada cooperación a nivel internacional, nacional, regional, estatal y municipal son necesarias para el desarrollo equilibrado y universal de la cultura física y deporte; y </w:t>
            </w:r>
          </w:p>
          <w:p w14:paraId="039F3D9E" w14:textId="77777777" w:rsidR="009A7350" w:rsidRPr="00695491" w:rsidRDefault="009A7350" w:rsidP="002F75ED">
            <w:pPr>
              <w:spacing w:after="41" w:line="259" w:lineRule="auto"/>
              <w:jc w:val="both"/>
              <w:rPr>
                <w:rFonts w:ascii="Abadi" w:hAnsi="Abadi"/>
                <w:sz w:val="21"/>
                <w:szCs w:val="21"/>
              </w:rPr>
            </w:pPr>
            <w:r w:rsidRPr="00695491">
              <w:rPr>
                <w:rFonts w:ascii="Abadi" w:eastAsia="Verdana" w:hAnsi="Abadi" w:cs="Verdana"/>
                <w:sz w:val="21"/>
                <w:szCs w:val="21"/>
              </w:rPr>
              <w:t xml:space="preserve"> </w:t>
            </w:r>
          </w:p>
          <w:p w14:paraId="0F0B775F" w14:textId="77777777" w:rsidR="009A7350" w:rsidRPr="00695491" w:rsidRDefault="009A7350" w:rsidP="002F75ED">
            <w:pPr>
              <w:spacing w:line="259" w:lineRule="auto"/>
              <w:jc w:val="both"/>
              <w:rPr>
                <w:rFonts w:ascii="Abadi" w:hAnsi="Abadi"/>
                <w:sz w:val="21"/>
                <w:szCs w:val="21"/>
              </w:rPr>
            </w:pPr>
            <w:r w:rsidRPr="00695491">
              <w:rPr>
                <w:rFonts w:ascii="Abadi" w:eastAsia="Verdana" w:hAnsi="Abadi" w:cs="Verdana"/>
                <w:sz w:val="21"/>
                <w:szCs w:val="21"/>
              </w:rPr>
              <w:t xml:space="preserve"> </w:t>
            </w:r>
          </w:p>
          <w:p w14:paraId="2FF54342" w14:textId="45EF27FE" w:rsidR="009A7350" w:rsidRPr="00695491" w:rsidRDefault="009A7350" w:rsidP="002F75ED">
            <w:pPr>
              <w:ind w:right="4"/>
              <w:jc w:val="both"/>
              <w:rPr>
                <w:rFonts w:ascii="Abadi" w:hAnsi="Abadi"/>
                <w:sz w:val="21"/>
                <w:szCs w:val="21"/>
              </w:rPr>
            </w:pPr>
            <w:r w:rsidRPr="00695491">
              <w:rPr>
                <w:rFonts w:ascii="Abadi" w:eastAsia="Verdana" w:hAnsi="Abadi" w:cs="Verdana"/>
                <w:b/>
                <w:sz w:val="21"/>
                <w:szCs w:val="21"/>
              </w:rPr>
              <w:t>La cultura física y el deporte desarrollarán</w:t>
            </w:r>
            <w:r w:rsidRPr="00695491">
              <w:rPr>
                <w:rFonts w:ascii="Abadi" w:eastAsia="Verdana" w:hAnsi="Abadi" w:cs="Verdana"/>
                <w:b/>
                <w:color w:val="212529"/>
                <w:sz w:val="21"/>
                <w:szCs w:val="21"/>
              </w:rPr>
              <w:t xml:space="preserve"> mediante la promoción de actividades que permitan la integración y el respeto de todas las personas, con perspectivas de género y de inclusión, así como de protección amplia a sectores vulnerables.</w:t>
            </w:r>
            <w:r w:rsidRPr="00695491">
              <w:rPr>
                <w:rFonts w:ascii="Abadi" w:eastAsia="Verdana" w:hAnsi="Abadi" w:cs="Verdana"/>
                <w:sz w:val="21"/>
                <w:szCs w:val="21"/>
              </w:rPr>
              <w:t xml:space="preserve"> </w:t>
            </w:r>
          </w:p>
        </w:tc>
      </w:tr>
      <w:tr w:rsidR="00237327" w:rsidRPr="00695491" w14:paraId="55D90FD9" w14:textId="77777777" w:rsidTr="008305DC">
        <w:tc>
          <w:tcPr>
            <w:tcW w:w="1891" w:type="dxa"/>
          </w:tcPr>
          <w:p w14:paraId="0FA645F3"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78D63618"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4CE6271C"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347748B2"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5F2CA13D" w14:textId="77777777" w:rsidR="00237327" w:rsidRPr="00C5545D" w:rsidRDefault="00237327" w:rsidP="00BA5FBA">
            <w:pPr>
              <w:numPr>
                <w:ilvl w:val="0"/>
                <w:numId w:val="74"/>
              </w:numPr>
              <w:spacing w:line="241" w:lineRule="auto"/>
              <w:rPr>
                <w:rFonts w:ascii="Abadi" w:hAnsi="Abadi"/>
                <w:sz w:val="21"/>
                <w:szCs w:val="21"/>
              </w:rPr>
            </w:pPr>
            <w:r w:rsidRPr="00C5545D">
              <w:rPr>
                <w:rFonts w:ascii="Abadi" w:eastAsia="Verdana" w:hAnsi="Abadi" w:cs="Verdana"/>
                <w:sz w:val="21"/>
                <w:szCs w:val="21"/>
              </w:rPr>
              <w:t xml:space="preserve">Entrenadores. Los instructores, técnicos, profesores de </w:t>
            </w:r>
            <w:r w:rsidRPr="00C5545D">
              <w:rPr>
                <w:rFonts w:ascii="Abadi" w:eastAsia="Verdana" w:hAnsi="Abadi" w:cs="Verdana"/>
                <w:sz w:val="21"/>
                <w:szCs w:val="21"/>
              </w:rPr>
              <w:lastRenderedPageBreak/>
              <w:t xml:space="preserve">educación física y especialistas en materia de deporte; </w:t>
            </w:r>
          </w:p>
          <w:p w14:paraId="4E32936D"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054E9684"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Ley General. Ley General de </w:t>
            </w:r>
          </w:p>
          <w:p w14:paraId="32F0F83B"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616FC4B3"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17D9FBFE"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20A50782" w14:textId="77777777" w:rsidR="00237327" w:rsidRPr="00C5545D" w:rsidRDefault="00237327" w:rsidP="00BA5FBA">
            <w:pPr>
              <w:numPr>
                <w:ilvl w:val="0"/>
                <w:numId w:val="74"/>
              </w:numPr>
              <w:spacing w:line="241" w:lineRule="auto"/>
              <w:rPr>
                <w:rFonts w:ascii="Abadi" w:hAnsi="Abadi"/>
                <w:sz w:val="21"/>
                <w:szCs w:val="21"/>
              </w:rPr>
            </w:pPr>
            <w:r w:rsidRPr="00C5545D">
              <w:rPr>
                <w:rFonts w:ascii="Abadi" w:eastAsia="Verdana" w:hAnsi="Abadi" w:cs="Verdana"/>
                <w:sz w:val="21"/>
                <w:szCs w:val="21"/>
              </w:rPr>
              <w:t xml:space="preserve">Organismo municipal. La dependencia, organismo desconcentrado o entidad paramunicipal con que cuente cada municipio para el cumplimiento de esta </w:t>
            </w:r>
          </w:p>
          <w:p w14:paraId="761DBD98"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Ley; </w:t>
            </w:r>
          </w:p>
          <w:p w14:paraId="6DFF7956"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7CDEC1AA"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RED. El Registro Estatal de </w:t>
            </w:r>
          </w:p>
          <w:p w14:paraId="08B8867B"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2A0BC991"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214091F3"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452BDBB0"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3E97C28F" w14:textId="77777777" w:rsidR="00237327" w:rsidRPr="00C5545D" w:rsidRDefault="00237327" w:rsidP="00BA5FBA">
            <w:pPr>
              <w:numPr>
                <w:ilvl w:val="0"/>
                <w:numId w:val="74"/>
              </w:numPr>
              <w:rPr>
                <w:rFonts w:ascii="Abadi" w:hAnsi="Abadi"/>
                <w:sz w:val="21"/>
                <w:szCs w:val="21"/>
              </w:rPr>
            </w:pPr>
            <w:r w:rsidRPr="00C5545D">
              <w:rPr>
                <w:rFonts w:ascii="Abadi" w:eastAsia="Verdana" w:hAnsi="Abadi" w:cs="Verdana"/>
                <w:sz w:val="21"/>
                <w:szCs w:val="21"/>
              </w:rPr>
              <w:t xml:space="preserve">Reglamento. El Reglamento de la presente Ley; </w:t>
            </w:r>
          </w:p>
          <w:p w14:paraId="5F0FB6B3"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78E0C731"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Reglamento </w:t>
            </w:r>
            <w:r w:rsidRPr="00C5545D">
              <w:rPr>
                <w:rFonts w:ascii="Abadi" w:eastAsia="Verdana" w:hAnsi="Abadi" w:cs="Verdana"/>
                <w:sz w:val="21"/>
                <w:szCs w:val="21"/>
              </w:rPr>
              <w:tab/>
              <w:t xml:space="preserve">Interior. </w:t>
            </w:r>
            <w:r w:rsidRPr="00C5545D">
              <w:rPr>
                <w:rFonts w:ascii="Abadi" w:eastAsia="Verdana" w:hAnsi="Abadi" w:cs="Verdana"/>
                <w:sz w:val="21"/>
                <w:szCs w:val="21"/>
              </w:rPr>
              <w:tab/>
              <w:t xml:space="preserve">El </w:t>
            </w:r>
          </w:p>
          <w:p w14:paraId="62469EA8"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Reglamento Interior de la CODE; </w:t>
            </w:r>
          </w:p>
          <w:p w14:paraId="4A41769C"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4C7027DF"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05B670C1"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RENADE. El Registro Nacional de </w:t>
            </w:r>
          </w:p>
          <w:p w14:paraId="43104E51"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639947B9"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59106E1A" w14:textId="7A752222"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665CBCB3" w14:textId="77777777" w:rsidR="00237327" w:rsidRPr="00C5545D" w:rsidRDefault="00237327" w:rsidP="00BA5FBA">
            <w:pPr>
              <w:numPr>
                <w:ilvl w:val="0"/>
                <w:numId w:val="74"/>
              </w:numPr>
              <w:spacing w:after="2"/>
              <w:rPr>
                <w:rFonts w:ascii="Abadi" w:hAnsi="Abadi"/>
                <w:sz w:val="21"/>
                <w:szCs w:val="21"/>
              </w:rPr>
            </w:pPr>
            <w:r w:rsidRPr="00C5545D">
              <w:rPr>
                <w:rFonts w:ascii="Abadi" w:eastAsia="Verdana" w:hAnsi="Abadi" w:cs="Verdana"/>
                <w:sz w:val="21"/>
                <w:szCs w:val="21"/>
              </w:rPr>
              <w:t xml:space="preserve">Sistema Estatal. El Sistema Estatal de Cultura Física y Deporte; </w:t>
            </w:r>
          </w:p>
          <w:p w14:paraId="0EC01664"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7A27BB5D"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SINADE. Sistema Nacional de </w:t>
            </w:r>
          </w:p>
          <w:p w14:paraId="614BD219"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34C7F7E7"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767E2531"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SEG. Secretaría de Educación de </w:t>
            </w:r>
          </w:p>
          <w:p w14:paraId="6065C58E"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Guanajuato; y </w:t>
            </w:r>
          </w:p>
          <w:p w14:paraId="3B58C30F"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573FF48F" w14:textId="77777777" w:rsidR="00237327" w:rsidRPr="00C5545D" w:rsidRDefault="00237327" w:rsidP="00BA5FBA">
            <w:pPr>
              <w:numPr>
                <w:ilvl w:val="0"/>
                <w:numId w:val="74"/>
              </w:numPr>
              <w:spacing w:line="259" w:lineRule="auto"/>
              <w:rPr>
                <w:rFonts w:ascii="Abadi" w:hAnsi="Abadi"/>
                <w:sz w:val="21"/>
                <w:szCs w:val="21"/>
              </w:rPr>
            </w:pPr>
            <w:r w:rsidRPr="00C5545D">
              <w:rPr>
                <w:rFonts w:ascii="Abadi" w:eastAsia="Verdana" w:hAnsi="Abadi" w:cs="Verdana"/>
                <w:sz w:val="21"/>
                <w:szCs w:val="21"/>
              </w:rPr>
              <w:t xml:space="preserve">(DEROGADA, P.O. 22 DE JULIO </w:t>
            </w:r>
          </w:p>
          <w:p w14:paraId="4B95F12F" w14:textId="77777777" w:rsidR="00237327" w:rsidRPr="00C5545D" w:rsidRDefault="00237327" w:rsidP="00237327">
            <w:pPr>
              <w:spacing w:after="41" w:line="259" w:lineRule="auto"/>
              <w:rPr>
                <w:rFonts w:ascii="Abadi" w:hAnsi="Abadi"/>
                <w:sz w:val="21"/>
                <w:szCs w:val="21"/>
              </w:rPr>
            </w:pPr>
            <w:r w:rsidRPr="00C5545D">
              <w:rPr>
                <w:rFonts w:ascii="Abadi" w:eastAsia="Verdana" w:hAnsi="Abadi" w:cs="Verdana"/>
                <w:sz w:val="21"/>
                <w:szCs w:val="21"/>
              </w:rPr>
              <w:t xml:space="preserve">DE 2020) </w:t>
            </w:r>
          </w:p>
          <w:p w14:paraId="52526CBE" w14:textId="77777777" w:rsidR="00237327" w:rsidRPr="00C5545D" w:rsidRDefault="00237327" w:rsidP="00237327">
            <w:pPr>
              <w:spacing w:line="259" w:lineRule="auto"/>
              <w:rPr>
                <w:rFonts w:ascii="Abadi" w:hAnsi="Abadi"/>
                <w:sz w:val="21"/>
                <w:szCs w:val="21"/>
              </w:rPr>
            </w:pPr>
            <w:r w:rsidRPr="00C5545D">
              <w:rPr>
                <w:rFonts w:ascii="Abadi" w:eastAsia="Verdana" w:hAnsi="Abadi" w:cs="Verdana"/>
                <w:sz w:val="21"/>
                <w:szCs w:val="21"/>
              </w:rPr>
              <w:t xml:space="preserve"> </w:t>
            </w:r>
          </w:p>
          <w:p w14:paraId="07FE7931" w14:textId="3F22989A" w:rsidR="00237327" w:rsidRPr="00695491" w:rsidRDefault="00237327" w:rsidP="00237327">
            <w:pPr>
              <w:ind w:right="4"/>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Referente </w:t>
            </w:r>
          </w:p>
        </w:tc>
        <w:tc>
          <w:tcPr>
            <w:tcW w:w="2073" w:type="dxa"/>
          </w:tcPr>
          <w:p w14:paraId="6CFCC59A" w14:textId="77777777" w:rsidR="00237327" w:rsidRPr="00695491" w:rsidRDefault="00237327" w:rsidP="00237327">
            <w:pPr>
              <w:spacing w:line="242" w:lineRule="auto"/>
              <w:rPr>
                <w:rFonts w:ascii="Abadi" w:hAnsi="Abadi"/>
                <w:sz w:val="21"/>
                <w:szCs w:val="21"/>
              </w:rPr>
            </w:pPr>
            <w:r w:rsidRPr="00695491">
              <w:rPr>
                <w:rFonts w:ascii="Abadi" w:eastAsia="Verdana" w:hAnsi="Abadi" w:cs="Verdana"/>
                <w:sz w:val="21"/>
                <w:szCs w:val="21"/>
              </w:rPr>
              <w:lastRenderedPageBreak/>
              <w:t xml:space="preserve">Artículo 4. Para los efectos de esta Ley se entenderá por: </w:t>
            </w:r>
          </w:p>
          <w:p w14:paraId="38359603"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7AC8CEAC" w14:textId="77777777" w:rsidR="00237327" w:rsidRPr="00695491" w:rsidRDefault="00237327" w:rsidP="00BA5FBA">
            <w:pPr>
              <w:numPr>
                <w:ilvl w:val="0"/>
                <w:numId w:val="72"/>
              </w:numPr>
              <w:spacing w:line="259" w:lineRule="auto"/>
              <w:rPr>
                <w:rFonts w:ascii="Abadi" w:hAnsi="Abadi"/>
                <w:sz w:val="21"/>
                <w:szCs w:val="21"/>
              </w:rPr>
            </w:pPr>
            <w:r w:rsidRPr="00695491">
              <w:rPr>
                <w:rFonts w:ascii="Abadi" w:eastAsia="Verdana" w:hAnsi="Abadi" w:cs="Verdana"/>
                <w:sz w:val="21"/>
                <w:szCs w:val="21"/>
              </w:rPr>
              <w:t xml:space="preserve">CECOVIDE. Comité Especial Contra la </w:t>
            </w:r>
          </w:p>
          <w:p w14:paraId="04AD97AC"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Violencia en el Deporte; </w:t>
            </w:r>
          </w:p>
          <w:p w14:paraId="12A04647"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lastRenderedPageBreak/>
              <w:t xml:space="preserve"> </w:t>
            </w:r>
          </w:p>
          <w:p w14:paraId="29B4CC63" w14:textId="77777777" w:rsidR="00237327" w:rsidRPr="00695491" w:rsidRDefault="00237327" w:rsidP="00BA5FBA">
            <w:pPr>
              <w:numPr>
                <w:ilvl w:val="0"/>
                <w:numId w:val="72"/>
              </w:numPr>
              <w:spacing w:line="259" w:lineRule="auto"/>
              <w:rPr>
                <w:rFonts w:ascii="Abadi" w:hAnsi="Abadi"/>
                <w:sz w:val="21"/>
                <w:szCs w:val="21"/>
              </w:rPr>
            </w:pPr>
            <w:r w:rsidRPr="00695491">
              <w:rPr>
                <w:rFonts w:ascii="Abadi" w:eastAsia="Verdana" w:hAnsi="Abadi" w:cs="Verdana"/>
                <w:sz w:val="21"/>
                <w:szCs w:val="21"/>
              </w:rPr>
              <w:t xml:space="preserve">CODE. La Comisión de Deporte del </w:t>
            </w:r>
          </w:p>
          <w:p w14:paraId="1811CD74"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Estado de Guanajuato; </w:t>
            </w:r>
          </w:p>
          <w:p w14:paraId="7E03ACA9"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6E03C135" w14:textId="77777777" w:rsidR="00237327" w:rsidRPr="00695491" w:rsidRDefault="00237327" w:rsidP="00BA5FBA">
            <w:pPr>
              <w:numPr>
                <w:ilvl w:val="0"/>
                <w:numId w:val="72"/>
              </w:numPr>
              <w:spacing w:after="2"/>
              <w:rPr>
                <w:rFonts w:ascii="Abadi" w:hAnsi="Abadi"/>
                <w:sz w:val="21"/>
                <w:szCs w:val="21"/>
              </w:rPr>
            </w:pPr>
            <w:r w:rsidRPr="00695491">
              <w:rPr>
                <w:rFonts w:ascii="Abadi" w:eastAsia="Verdana" w:hAnsi="Abadi" w:cs="Verdana"/>
                <w:sz w:val="21"/>
                <w:szCs w:val="21"/>
              </w:rPr>
              <w:t xml:space="preserve">Consejo Directivo. El Consejo Directivo de la CODE; </w:t>
            </w:r>
          </w:p>
          <w:p w14:paraId="21180B29"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3270F5F1" w14:textId="77777777" w:rsidR="00237327" w:rsidRPr="00695491" w:rsidRDefault="00237327" w:rsidP="00BA5FBA">
            <w:pPr>
              <w:numPr>
                <w:ilvl w:val="0"/>
                <w:numId w:val="72"/>
              </w:numPr>
              <w:spacing w:line="259" w:lineRule="auto"/>
              <w:rPr>
                <w:rFonts w:ascii="Abadi" w:hAnsi="Abadi"/>
                <w:sz w:val="21"/>
                <w:szCs w:val="21"/>
              </w:rPr>
            </w:pPr>
            <w:r w:rsidRPr="00695491">
              <w:rPr>
                <w:rFonts w:ascii="Abadi" w:eastAsia="Verdana" w:hAnsi="Abadi" w:cs="Verdana"/>
                <w:sz w:val="21"/>
                <w:szCs w:val="21"/>
              </w:rPr>
              <w:t xml:space="preserve">Consejo Estatal. El Consejo Estatal de </w:t>
            </w:r>
          </w:p>
          <w:p w14:paraId="3297F46B"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Cultura Física y Deporte de la CODE; </w:t>
            </w:r>
          </w:p>
          <w:p w14:paraId="7AF46EF0" w14:textId="77777777" w:rsidR="00237327" w:rsidRPr="00695491" w:rsidRDefault="00237327" w:rsidP="00237327">
            <w:pPr>
              <w:ind w:right="4"/>
              <w:jc w:val="both"/>
              <w:rPr>
                <w:rFonts w:ascii="Abadi" w:hAnsi="Abadi"/>
                <w:sz w:val="21"/>
                <w:szCs w:val="21"/>
              </w:rPr>
            </w:pPr>
          </w:p>
          <w:p w14:paraId="508D9436" w14:textId="77777777" w:rsidR="00237327" w:rsidRPr="00695491" w:rsidRDefault="00237327" w:rsidP="00237327">
            <w:pPr>
              <w:ind w:right="4"/>
              <w:jc w:val="both"/>
              <w:rPr>
                <w:rFonts w:ascii="Abadi" w:hAnsi="Abadi"/>
                <w:sz w:val="21"/>
                <w:szCs w:val="21"/>
              </w:rPr>
            </w:pPr>
          </w:p>
          <w:p w14:paraId="627BBD2C" w14:textId="77777777" w:rsidR="00237327" w:rsidRPr="00695491" w:rsidRDefault="00237327" w:rsidP="00BA5FBA">
            <w:pPr>
              <w:numPr>
                <w:ilvl w:val="0"/>
                <w:numId w:val="73"/>
              </w:numPr>
              <w:spacing w:line="259" w:lineRule="auto"/>
              <w:ind w:right="73" w:hanging="720"/>
              <w:jc w:val="both"/>
              <w:rPr>
                <w:rFonts w:ascii="Abadi" w:hAnsi="Abadi"/>
                <w:sz w:val="21"/>
                <w:szCs w:val="21"/>
              </w:rPr>
            </w:pPr>
            <w:r w:rsidRPr="00695491">
              <w:rPr>
                <w:rFonts w:ascii="Abadi" w:eastAsia="Verdana" w:hAnsi="Abadi" w:cs="Verdana"/>
                <w:sz w:val="21"/>
                <w:szCs w:val="21"/>
              </w:rPr>
              <w:t xml:space="preserve">COEDE. Consejo Estatal del Deporte </w:t>
            </w:r>
          </w:p>
          <w:p w14:paraId="40152DDB"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Estudiantil; </w:t>
            </w:r>
          </w:p>
          <w:p w14:paraId="078D017B"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477E73C5"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592C2D39" w14:textId="77777777" w:rsidR="00237327" w:rsidRPr="00695491" w:rsidRDefault="00237327" w:rsidP="00BA5FBA">
            <w:pPr>
              <w:numPr>
                <w:ilvl w:val="0"/>
                <w:numId w:val="73"/>
              </w:numPr>
              <w:spacing w:line="259" w:lineRule="auto"/>
              <w:ind w:right="73" w:hanging="720"/>
              <w:jc w:val="both"/>
              <w:rPr>
                <w:rFonts w:ascii="Abadi" w:hAnsi="Abadi"/>
                <w:sz w:val="21"/>
                <w:szCs w:val="21"/>
              </w:rPr>
            </w:pPr>
            <w:r w:rsidRPr="00695491">
              <w:rPr>
                <w:rFonts w:ascii="Abadi" w:eastAsia="Verdana" w:hAnsi="Abadi" w:cs="Verdana"/>
                <w:sz w:val="21"/>
                <w:szCs w:val="21"/>
              </w:rPr>
              <w:t xml:space="preserve">CONADE. La Comisión Nacional de </w:t>
            </w:r>
          </w:p>
          <w:p w14:paraId="0ECFC9B0"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Cultura Física y Deporte; </w:t>
            </w:r>
          </w:p>
          <w:p w14:paraId="54792094"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45E3BE15" w14:textId="77777777" w:rsidR="00237327" w:rsidRPr="00695491" w:rsidRDefault="00237327" w:rsidP="00BA5FBA">
            <w:pPr>
              <w:numPr>
                <w:ilvl w:val="0"/>
                <w:numId w:val="73"/>
              </w:numPr>
              <w:spacing w:line="259" w:lineRule="auto"/>
              <w:ind w:right="73" w:hanging="720"/>
              <w:jc w:val="both"/>
              <w:rPr>
                <w:rFonts w:ascii="Abadi" w:hAnsi="Abadi"/>
                <w:sz w:val="21"/>
                <w:szCs w:val="21"/>
              </w:rPr>
            </w:pPr>
            <w:r w:rsidRPr="00695491">
              <w:rPr>
                <w:rFonts w:ascii="Abadi" w:eastAsia="Verdana" w:hAnsi="Abadi" w:cs="Verdana"/>
                <w:sz w:val="21"/>
                <w:szCs w:val="21"/>
              </w:rPr>
              <w:t xml:space="preserve">COVEDE. Consejo de Vigilancia </w:t>
            </w:r>
          </w:p>
          <w:p w14:paraId="4D00102F"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Electoral Deportiva de la CODE; </w:t>
            </w:r>
          </w:p>
          <w:p w14:paraId="1679ABC6"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54BF9675" w14:textId="77777777" w:rsidR="00237327" w:rsidRPr="00695491" w:rsidRDefault="00237327" w:rsidP="00BA5FBA">
            <w:pPr>
              <w:numPr>
                <w:ilvl w:val="0"/>
                <w:numId w:val="73"/>
              </w:numPr>
              <w:spacing w:line="241" w:lineRule="auto"/>
              <w:ind w:right="73" w:hanging="720"/>
              <w:jc w:val="both"/>
              <w:rPr>
                <w:rFonts w:ascii="Abadi" w:hAnsi="Abadi"/>
                <w:sz w:val="21"/>
                <w:szCs w:val="21"/>
              </w:rPr>
            </w:pPr>
            <w:r w:rsidRPr="00695491">
              <w:rPr>
                <w:rFonts w:ascii="Abadi" w:eastAsia="Verdana" w:hAnsi="Abadi" w:cs="Verdana"/>
                <w:sz w:val="21"/>
                <w:szCs w:val="21"/>
              </w:rPr>
              <w:t xml:space="preserve">Cultura física. Conjunto de bienes, conocimientos, ideas, valores y elementos materiales que el hombre ha producido con relación al movimiento y uso de su cuerpo; </w:t>
            </w:r>
          </w:p>
          <w:p w14:paraId="54FBE3F0"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5E645B6E" w14:textId="77777777" w:rsidR="00237327" w:rsidRPr="00695491" w:rsidRDefault="00237327" w:rsidP="00BA5FBA">
            <w:pPr>
              <w:numPr>
                <w:ilvl w:val="0"/>
                <w:numId w:val="73"/>
              </w:numPr>
              <w:spacing w:after="2"/>
              <w:ind w:right="73" w:hanging="720"/>
              <w:jc w:val="both"/>
              <w:rPr>
                <w:rFonts w:ascii="Abadi" w:hAnsi="Abadi"/>
                <w:sz w:val="21"/>
                <w:szCs w:val="21"/>
              </w:rPr>
            </w:pPr>
            <w:r w:rsidRPr="00695491">
              <w:rPr>
                <w:rFonts w:ascii="Abadi" w:eastAsia="Verdana" w:hAnsi="Abadi" w:cs="Verdana"/>
                <w:sz w:val="21"/>
                <w:szCs w:val="21"/>
              </w:rPr>
              <w:t xml:space="preserve">Deporte. Actividad física, organizada y reglamentada, que tiene por finalidad preservar y mejorar la salud física y mental, el desarrollo social, ético e intelectual, con el logro de resultados en competiciones; </w:t>
            </w:r>
          </w:p>
          <w:p w14:paraId="4B1484B8"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6D34670D" w14:textId="77777777" w:rsidR="00237327" w:rsidRPr="00695491" w:rsidRDefault="00237327" w:rsidP="00BA5FBA">
            <w:pPr>
              <w:numPr>
                <w:ilvl w:val="0"/>
                <w:numId w:val="73"/>
              </w:numPr>
              <w:spacing w:line="241" w:lineRule="auto"/>
              <w:ind w:right="73" w:hanging="720"/>
              <w:jc w:val="both"/>
              <w:rPr>
                <w:rFonts w:ascii="Abadi" w:hAnsi="Abadi"/>
                <w:sz w:val="21"/>
                <w:szCs w:val="21"/>
              </w:rPr>
            </w:pPr>
            <w:r w:rsidRPr="00695491">
              <w:rPr>
                <w:rFonts w:ascii="Abadi" w:eastAsia="Verdana" w:hAnsi="Abadi" w:cs="Verdana"/>
                <w:sz w:val="21"/>
                <w:szCs w:val="21"/>
              </w:rPr>
              <w:t xml:space="preserve">Deporte de Alto Rendimiento. Es aquel que se practica con altas exigencias técnicas y científicas de preparación y entrenamiento que permiten al deportista participar en preselecciones y selecciones nacionales que representen a Guanajuato y al país en competencias y pruebas de carácter nacional o internacional; </w:t>
            </w:r>
          </w:p>
          <w:p w14:paraId="0E624042"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6A47D20E"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6052581F" w14:textId="77777777" w:rsidR="00237327" w:rsidRPr="00695491" w:rsidRDefault="00237327" w:rsidP="00237327">
            <w:pPr>
              <w:spacing w:after="8" w:line="259" w:lineRule="auto"/>
              <w:rPr>
                <w:rFonts w:ascii="Abadi" w:hAnsi="Abadi"/>
                <w:sz w:val="21"/>
                <w:szCs w:val="21"/>
              </w:rPr>
            </w:pPr>
            <w:r w:rsidRPr="00695491">
              <w:rPr>
                <w:rFonts w:ascii="Abadi" w:eastAsia="Verdana" w:hAnsi="Abadi" w:cs="Verdana"/>
                <w:sz w:val="21"/>
                <w:szCs w:val="21"/>
              </w:rPr>
              <w:t xml:space="preserve"> </w:t>
            </w:r>
          </w:p>
          <w:p w14:paraId="520B92D3" w14:textId="77777777" w:rsidR="00237327" w:rsidRPr="00695491" w:rsidRDefault="00237327" w:rsidP="00BA5FBA">
            <w:pPr>
              <w:numPr>
                <w:ilvl w:val="0"/>
                <w:numId w:val="73"/>
              </w:numPr>
              <w:spacing w:after="2" w:line="241" w:lineRule="auto"/>
              <w:ind w:right="73" w:hanging="720"/>
              <w:jc w:val="both"/>
              <w:rPr>
                <w:rFonts w:ascii="Abadi" w:hAnsi="Abadi"/>
                <w:sz w:val="21"/>
                <w:szCs w:val="21"/>
              </w:rPr>
            </w:pPr>
            <w:r w:rsidRPr="00695491">
              <w:rPr>
                <w:rFonts w:ascii="Abadi" w:eastAsia="Verdana" w:hAnsi="Abadi" w:cs="Verdana"/>
                <w:b/>
                <w:sz w:val="21"/>
                <w:szCs w:val="21"/>
              </w:rPr>
              <w:t xml:space="preserve">Deporte de Rendimiento: el deporte que promueve, fomenta y estimula el que todas las personas puedan mejorar su nivel de calidad deportiva como aficionados, pudiendo integrarse al deporte de alto rendimiento, o en su caso, sujetarse adecuadamente a una relación laboral por la práctica del deporte. </w:t>
            </w:r>
          </w:p>
          <w:p w14:paraId="210C8245"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77EE4DD5" w14:textId="77777777" w:rsidR="00237327" w:rsidRPr="00695491" w:rsidRDefault="00237327" w:rsidP="00237327">
            <w:pPr>
              <w:spacing w:line="259" w:lineRule="auto"/>
              <w:rPr>
                <w:rFonts w:ascii="Abadi" w:hAnsi="Abadi"/>
                <w:sz w:val="21"/>
                <w:szCs w:val="21"/>
              </w:rPr>
            </w:pPr>
            <w:r w:rsidRPr="00695491">
              <w:rPr>
                <w:rFonts w:ascii="Abadi" w:eastAsia="Verdana" w:hAnsi="Abadi" w:cs="Verdana"/>
                <w:sz w:val="21"/>
                <w:szCs w:val="21"/>
              </w:rPr>
              <w:t xml:space="preserve"> </w:t>
            </w:r>
          </w:p>
          <w:p w14:paraId="6EF2B5FA" w14:textId="77777777" w:rsidR="00237327" w:rsidRDefault="00237327" w:rsidP="00237327">
            <w:pPr>
              <w:ind w:right="4"/>
              <w:jc w:val="both"/>
              <w:rPr>
                <w:rFonts w:ascii="Abadi" w:eastAsia="Verdana" w:hAnsi="Abadi" w:cs="Verdana"/>
                <w:b/>
                <w:sz w:val="21"/>
                <w:szCs w:val="21"/>
              </w:rPr>
            </w:pPr>
            <w:r w:rsidRPr="00695491">
              <w:rPr>
                <w:rFonts w:ascii="Abadi" w:eastAsia="Verdana" w:hAnsi="Abadi" w:cs="Verdana"/>
                <w:b/>
                <w:sz w:val="21"/>
                <w:szCs w:val="21"/>
              </w:rPr>
              <w:t>Deporte Social</w:t>
            </w:r>
            <w:r w:rsidRPr="00695491">
              <w:rPr>
                <w:rFonts w:ascii="Abadi" w:eastAsia="Verdana" w:hAnsi="Abadi" w:cs="Verdana"/>
                <w:sz w:val="21"/>
                <w:szCs w:val="21"/>
              </w:rPr>
              <w:t xml:space="preserve">. </w:t>
            </w:r>
            <w:r w:rsidRPr="00695491">
              <w:rPr>
                <w:rFonts w:ascii="Abadi" w:eastAsia="Verdana" w:hAnsi="Abadi" w:cs="Verdana"/>
                <w:b/>
                <w:sz w:val="21"/>
                <w:szCs w:val="21"/>
              </w:rPr>
              <w:t xml:space="preserve">Es el deporte que </w:t>
            </w:r>
            <w:r w:rsidRPr="00695491">
              <w:rPr>
                <w:rFonts w:ascii="Abadi" w:eastAsia="Verdana" w:hAnsi="Abadi" w:cs="Verdana"/>
                <w:b/>
                <w:sz w:val="21"/>
                <w:szCs w:val="21"/>
              </w:rPr>
              <w:lastRenderedPageBreak/>
              <w:t>promueve, fomenta, estimula el que todas las personas sin distinción de género, edad, discapacidad, condición social, religión, opiniones, preferencias de cualquier índole, diversidad sexual o estado civil, tengan igualdad de participación en</w:t>
            </w:r>
          </w:p>
          <w:p w14:paraId="1CDD437B" w14:textId="77777777" w:rsidR="00F11019" w:rsidRDefault="00F11019" w:rsidP="00237327">
            <w:pPr>
              <w:ind w:right="4"/>
              <w:jc w:val="both"/>
              <w:rPr>
                <w:rFonts w:ascii="Abadi" w:eastAsia="Verdana" w:hAnsi="Abadi" w:cs="Verdana"/>
                <w:b/>
                <w:sz w:val="21"/>
                <w:szCs w:val="21"/>
              </w:rPr>
            </w:pPr>
          </w:p>
          <w:p w14:paraId="1A2DF710" w14:textId="77777777" w:rsidR="00F11019" w:rsidRDefault="00F11019" w:rsidP="00237327">
            <w:pPr>
              <w:ind w:right="4"/>
              <w:jc w:val="both"/>
              <w:rPr>
                <w:rFonts w:ascii="Abadi" w:eastAsia="Verdana" w:hAnsi="Abadi" w:cs="Verdana"/>
                <w:b/>
                <w:sz w:val="21"/>
                <w:szCs w:val="21"/>
              </w:rPr>
            </w:pPr>
          </w:p>
          <w:p w14:paraId="37F375C6" w14:textId="77777777" w:rsidR="00F11019" w:rsidRPr="00C5545D" w:rsidRDefault="00F11019" w:rsidP="002F75ED">
            <w:pPr>
              <w:spacing w:after="2"/>
              <w:ind w:right="76"/>
              <w:jc w:val="both"/>
              <w:rPr>
                <w:rFonts w:ascii="Abadi" w:hAnsi="Abadi"/>
                <w:sz w:val="21"/>
                <w:szCs w:val="21"/>
              </w:rPr>
            </w:pPr>
            <w:r w:rsidRPr="00C5545D">
              <w:rPr>
                <w:rFonts w:ascii="Abadi" w:eastAsia="Verdana" w:hAnsi="Abadi" w:cs="Verdana"/>
                <w:b/>
                <w:sz w:val="21"/>
                <w:szCs w:val="21"/>
              </w:rPr>
              <w:t xml:space="preserve">actividades deportivas con finalidades recreativas, educativas, de salud o rehabilitación. </w:t>
            </w:r>
          </w:p>
          <w:p w14:paraId="11F9ED5F"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C141115" w14:textId="77777777" w:rsidR="00F11019" w:rsidRPr="00C5545D" w:rsidRDefault="00F11019" w:rsidP="002F75ED">
            <w:pPr>
              <w:numPr>
                <w:ilvl w:val="0"/>
                <w:numId w:val="75"/>
              </w:numPr>
              <w:spacing w:after="2"/>
              <w:jc w:val="both"/>
              <w:rPr>
                <w:rFonts w:ascii="Abadi" w:hAnsi="Abadi"/>
                <w:sz w:val="21"/>
                <w:szCs w:val="21"/>
              </w:rPr>
            </w:pPr>
            <w:r w:rsidRPr="00C5545D">
              <w:rPr>
                <w:rFonts w:ascii="Abadi" w:eastAsia="Verdana" w:hAnsi="Abadi" w:cs="Verdana"/>
                <w:sz w:val="21"/>
                <w:szCs w:val="21"/>
              </w:rPr>
              <w:t xml:space="preserve">Director General. El Director General de la CODE; </w:t>
            </w:r>
          </w:p>
          <w:p w14:paraId="68E0159D"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sz w:val="21"/>
                <w:szCs w:val="21"/>
              </w:rPr>
              <w:t xml:space="preserve"> </w:t>
            </w:r>
          </w:p>
          <w:p w14:paraId="77AA10B5"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sz w:val="21"/>
                <w:szCs w:val="21"/>
              </w:rPr>
              <w:t xml:space="preserve"> </w:t>
            </w:r>
          </w:p>
          <w:p w14:paraId="524FE671"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sz w:val="21"/>
                <w:szCs w:val="21"/>
              </w:rPr>
              <w:t xml:space="preserve"> </w:t>
            </w:r>
          </w:p>
          <w:p w14:paraId="5E484C19" w14:textId="77777777" w:rsidR="00F11019" w:rsidRPr="00C5545D" w:rsidRDefault="00F11019" w:rsidP="002F75ED">
            <w:pPr>
              <w:numPr>
                <w:ilvl w:val="0"/>
                <w:numId w:val="75"/>
              </w:numPr>
              <w:spacing w:line="241" w:lineRule="auto"/>
              <w:jc w:val="both"/>
              <w:rPr>
                <w:rFonts w:ascii="Abadi" w:hAnsi="Abadi"/>
                <w:sz w:val="21"/>
                <w:szCs w:val="21"/>
              </w:rPr>
            </w:pPr>
            <w:r w:rsidRPr="00C5545D">
              <w:rPr>
                <w:rFonts w:ascii="Abadi" w:eastAsia="Verdana" w:hAnsi="Abadi" w:cs="Verdana"/>
                <w:sz w:val="21"/>
                <w:szCs w:val="21"/>
              </w:rPr>
              <w:t xml:space="preserve">Entrenadores. Los instructores, técnicos, profesores de educación física y especialistas en materia de deporte; </w:t>
            </w:r>
          </w:p>
          <w:p w14:paraId="169C4D20"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sz w:val="21"/>
                <w:szCs w:val="21"/>
              </w:rPr>
              <w:t xml:space="preserve"> </w:t>
            </w:r>
          </w:p>
          <w:p w14:paraId="054789A3" w14:textId="77777777" w:rsidR="00F11019" w:rsidRPr="00C5545D" w:rsidRDefault="00F11019" w:rsidP="002F75ED">
            <w:pPr>
              <w:numPr>
                <w:ilvl w:val="0"/>
                <w:numId w:val="75"/>
              </w:numPr>
              <w:spacing w:line="259" w:lineRule="auto"/>
              <w:jc w:val="both"/>
              <w:rPr>
                <w:rFonts w:ascii="Abadi" w:hAnsi="Abadi"/>
                <w:sz w:val="21"/>
                <w:szCs w:val="21"/>
              </w:rPr>
            </w:pPr>
            <w:r w:rsidRPr="00C5545D">
              <w:rPr>
                <w:rFonts w:ascii="Abadi" w:eastAsia="Verdana" w:hAnsi="Abadi" w:cs="Verdana"/>
                <w:sz w:val="21"/>
                <w:szCs w:val="21"/>
              </w:rPr>
              <w:t xml:space="preserve">Ley General. Ley General de Cultura </w:t>
            </w:r>
          </w:p>
          <w:p w14:paraId="2477F0DB" w14:textId="77777777" w:rsidR="00F11019" w:rsidRPr="00C5545D" w:rsidRDefault="00F11019" w:rsidP="002F75ED">
            <w:pPr>
              <w:spacing w:line="259" w:lineRule="auto"/>
              <w:jc w:val="both"/>
              <w:rPr>
                <w:rFonts w:ascii="Abadi" w:hAnsi="Abadi"/>
                <w:sz w:val="21"/>
                <w:szCs w:val="21"/>
              </w:rPr>
            </w:pPr>
            <w:r w:rsidRPr="00C5545D">
              <w:rPr>
                <w:rFonts w:ascii="Abadi" w:eastAsia="Verdana" w:hAnsi="Abadi" w:cs="Verdana"/>
                <w:sz w:val="21"/>
                <w:szCs w:val="21"/>
              </w:rPr>
              <w:t xml:space="preserve">Física y Deporte; </w:t>
            </w:r>
          </w:p>
          <w:p w14:paraId="285FD5B4"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7F96338D"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4044AE45"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25DE6542"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5FDF66CC"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18778770" w14:textId="77777777" w:rsidR="00F11019" w:rsidRPr="00C5545D" w:rsidRDefault="00F11019" w:rsidP="00BA5FBA">
            <w:pPr>
              <w:numPr>
                <w:ilvl w:val="0"/>
                <w:numId w:val="75"/>
              </w:numPr>
              <w:spacing w:after="2" w:line="241" w:lineRule="auto"/>
              <w:rPr>
                <w:rFonts w:ascii="Abadi" w:hAnsi="Abadi"/>
                <w:sz w:val="21"/>
                <w:szCs w:val="21"/>
              </w:rPr>
            </w:pPr>
            <w:r w:rsidRPr="00C5545D">
              <w:rPr>
                <w:rFonts w:ascii="Abadi" w:eastAsia="Verdana" w:hAnsi="Abadi" w:cs="Verdana"/>
                <w:sz w:val="21"/>
                <w:szCs w:val="21"/>
              </w:rPr>
              <w:t xml:space="preserve">Organismo municipal. La dependencia, organismo desconcentrado o entidad paramunicipal con que cuente cada </w:t>
            </w:r>
            <w:r w:rsidRPr="00C5545D">
              <w:rPr>
                <w:rFonts w:ascii="Abadi" w:eastAsia="Verdana" w:hAnsi="Abadi" w:cs="Verdana"/>
                <w:sz w:val="21"/>
                <w:szCs w:val="21"/>
              </w:rPr>
              <w:t xml:space="preserve">municipio para el cumplimiento de esta </w:t>
            </w:r>
          </w:p>
          <w:p w14:paraId="3C9399AC"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Ley; </w:t>
            </w:r>
          </w:p>
          <w:p w14:paraId="057B27FD"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60B9D9D8"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RED. El Registro Estatal de Cultura </w:t>
            </w:r>
          </w:p>
          <w:p w14:paraId="54E71181"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Física y Deporte; </w:t>
            </w:r>
          </w:p>
          <w:p w14:paraId="3F975A21"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2C697CC8" w14:textId="77777777" w:rsidR="00F11019" w:rsidRPr="00C5545D" w:rsidRDefault="00F11019" w:rsidP="00BA5FBA">
            <w:pPr>
              <w:numPr>
                <w:ilvl w:val="0"/>
                <w:numId w:val="75"/>
              </w:numPr>
              <w:spacing w:after="2"/>
              <w:rPr>
                <w:rFonts w:ascii="Abadi" w:hAnsi="Abadi"/>
                <w:sz w:val="21"/>
                <w:szCs w:val="21"/>
              </w:rPr>
            </w:pPr>
            <w:r w:rsidRPr="00C5545D">
              <w:rPr>
                <w:rFonts w:ascii="Abadi" w:eastAsia="Verdana" w:hAnsi="Abadi" w:cs="Verdana"/>
                <w:sz w:val="21"/>
                <w:szCs w:val="21"/>
              </w:rPr>
              <w:t xml:space="preserve">Reglamento. El Reglamento de la presente Ley; </w:t>
            </w:r>
          </w:p>
          <w:p w14:paraId="65E4C17F"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13E011DC"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Reglamento Interior. El Reglamento </w:t>
            </w:r>
          </w:p>
          <w:p w14:paraId="1619EDE8"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Interior de la CODE; </w:t>
            </w:r>
          </w:p>
          <w:p w14:paraId="7BC88D9B"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57ED7994"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RENADE. El Registro Nacional de </w:t>
            </w:r>
          </w:p>
          <w:p w14:paraId="4C5E0FC9"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4F9076DF"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742D3594"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Sistema Estatal. El Sistema Estatal de </w:t>
            </w:r>
          </w:p>
          <w:p w14:paraId="056D768A"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536944B4"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087D8C8E"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SINADE. Sistema Nacional de </w:t>
            </w:r>
          </w:p>
          <w:p w14:paraId="5385CAEC"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4EC6A76F"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36123626"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SEG. Secretaría de Educación de </w:t>
            </w:r>
          </w:p>
          <w:p w14:paraId="73B42E10"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Guanajuato; y </w:t>
            </w:r>
          </w:p>
          <w:p w14:paraId="625808FB"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665D780C" w14:textId="77777777" w:rsidR="00F11019" w:rsidRPr="00C5545D" w:rsidRDefault="00F11019" w:rsidP="00BA5FBA">
            <w:pPr>
              <w:numPr>
                <w:ilvl w:val="0"/>
                <w:numId w:val="75"/>
              </w:numPr>
              <w:spacing w:line="259" w:lineRule="auto"/>
              <w:rPr>
                <w:rFonts w:ascii="Abadi" w:hAnsi="Abadi"/>
                <w:sz w:val="21"/>
                <w:szCs w:val="21"/>
              </w:rPr>
            </w:pPr>
            <w:r w:rsidRPr="00C5545D">
              <w:rPr>
                <w:rFonts w:ascii="Abadi" w:eastAsia="Verdana" w:hAnsi="Abadi" w:cs="Verdana"/>
                <w:sz w:val="21"/>
                <w:szCs w:val="21"/>
              </w:rPr>
              <w:t xml:space="preserve">(DEROGADA, P.O. 22 DE JULIO DE </w:t>
            </w:r>
          </w:p>
          <w:p w14:paraId="2AD34FA9"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2020) </w:t>
            </w:r>
          </w:p>
          <w:p w14:paraId="07A3BE12" w14:textId="77777777" w:rsidR="00F11019" w:rsidRPr="00C5545D" w:rsidRDefault="00F11019" w:rsidP="00F11019">
            <w:pPr>
              <w:spacing w:line="259" w:lineRule="auto"/>
              <w:rPr>
                <w:rFonts w:ascii="Abadi" w:hAnsi="Abadi"/>
                <w:sz w:val="21"/>
                <w:szCs w:val="21"/>
              </w:rPr>
            </w:pPr>
            <w:r w:rsidRPr="00C5545D">
              <w:rPr>
                <w:rFonts w:ascii="Abadi" w:eastAsia="Verdana" w:hAnsi="Abadi" w:cs="Verdana"/>
                <w:sz w:val="21"/>
                <w:szCs w:val="21"/>
              </w:rPr>
              <w:t xml:space="preserve"> </w:t>
            </w:r>
          </w:p>
          <w:p w14:paraId="487BF0FE" w14:textId="57C0668E" w:rsidR="00F11019" w:rsidRPr="00695491" w:rsidRDefault="00F11019" w:rsidP="00446BD0">
            <w:pPr>
              <w:spacing w:line="259" w:lineRule="auto"/>
              <w:rPr>
                <w:rFonts w:ascii="Abadi" w:hAnsi="Abadi"/>
                <w:sz w:val="21"/>
                <w:szCs w:val="21"/>
              </w:rPr>
            </w:pPr>
            <w:r w:rsidRPr="00C5545D">
              <w:rPr>
                <w:rFonts w:ascii="Abadi" w:eastAsia="Verdana" w:hAnsi="Abadi" w:cs="Verdana"/>
                <w:sz w:val="21"/>
                <w:szCs w:val="21"/>
              </w:rPr>
              <w:t xml:space="preserve"> </w:t>
            </w:r>
          </w:p>
        </w:tc>
      </w:tr>
      <w:tr w:rsidR="00E63659" w:rsidRPr="00695491" w14:paraId="3DE17A64" w14:textId="77777777" w:rsidTr="008305DC">
        <w:tc>
          <w:tcPr>
            <w:tcW w:w="1891" w:type="dxa"/>
          </w:tcPr>
          <w:p w14:paraId="1E95A7DF" w14:textId="77777777" w:rsidR="00E63659" w:rsidRPr="00C5545D" w:rsidRDefault="00E63659" w:rsidP="00446BD0">
            <w:pPr>
              <w:spacing w:line="259" w:lineRule="auto"/>
              <w:ind w:right="70"/>
              <w:jc w:val="both"/>
              <w:rPr>
                <w:rFonts w:ascii="Abadi" w:hAnsi="Abadi"/>
                <w:sz w:val="21"/>
                <w:szCs w:val="21"/>
              </w:rPr>
            </w:pPr>
            <w:r w:rsidRPr="00C5545D">
              <w:rPr>
                <w:rFonts w:ascii="Abadi" w:eastAsia="Verdana" w:hAnsi="Abadi" w:cs="Verdana"/>
                <w:b/>
                <w:sz w:val="21"/>
                <w:szCs w:val="21"/>
              </w:rPr>
              <w:lastRenderedPageBreak/>
              <w:t xml:space="preserve">Competencia del Ejecutivo del </w:t>
            </w:r>
          </w:p>
          <w:p w14:paraId="6E55E73B" w14:textId="0B2B2EFB" w:rsidR="00E63659" w:rsidRPr="00C5545D" w:rsidRDefault="00E63659" w:rsidP="00446BD0">
            <w:pPr>
              <w:spacing w:line="241" w:lineRule="auto"/>
              <w:ind w:right="73" w:firstLine="3135"/>
              <w:jc w:val="both"/>
              <w:rPr>
                <w:rFonts w:ascii="Abadi" w:hAnsi="Abadi"/>
                <w:sz w:val="21"/>
                <w:szCs w:val="21"/>
              </w:rPr>
            </w:pPr>
            <w:proofErr w:type="spellStart"/>
            <w:r w:rsidRPr="00C5545D">
              <w:rPr>
                <w:rFonts w:ascii="Abadi" w:eastAsia="Verdana" w:hAnsi="Abadi" w:cs="Verdana"/>
                <w:b/>
                <w:sz w:val="21"/>
                <w:szCs w:val="21"/>
              </w:rPr>
              <w:t>E</w:t>
            </w:r>
            <w:r w:rsidR="00446BD0">
              <w:rPr>
                <w:rFonts w:ascii="Abadi" w:eastAsia="Verdana" w:hAnsi="Abadi" w:cs="Verdana"/>
                <w:b/>
                <w:sz w:val="21"/>
                <w:szCs w:val="21"/>
              </w:rPr>
              <w:t>E</w:t>
            </w:r>
            <w:r w:rsidRPr="00C5545D">
              <w:rPr>
                <w:rFonts w:ascii="Abadi" w:eastAsia="Verdana" w:hAnsi="Abadi" w:cs="Verdana"/>
                <w:b/>
                <w:sz w:val="21"/>
                <w:szCs w:val="21"/>
              </w:rPr>
              <w:t>stado</w:t>
            </w:r>
            <w:proofErr w:type="spellEnd"/>
            <w:r w:rsidRPr="00C5545D">
              <w:rPr>
                <w:rFonts w:ascii="Abadi" w:eastAsia="Verdana" w:hAnsi="Abadi" w:cs="Verdana"/>
                <w:b/>
                <w:sz w:val="21"/>
                <w:szCs w:val="21"/>
              </w:rPr>
              <w:t xml:space="preserve"> </w:t>
            </w:r>
            <w:r w:rsidRPr="00C5545D">
              <w:rPr>
                <w:rFonts w:ascii="Abadi" w:eastAsia="Verdana" w:hAnsi="Abadi" w:cs="Verdana"/>
                <w:sz w:val="21"/>
                <w:szCs w:val="21"/>
              </w:rPr>
              <w:t xml:space="preserve">Artículo 6. Compete al titular del Poder </w:t>
            </w:r>
            <w:r w:rsidRPr="00C5545D">
              <w:rPr>
                <w:rFonts w:ascii="Abadi" w:eastAsia="Verdana" w:hAnsi="Abadi" w:cs="Verdana"/>
                <w:sz w:val="21"/>
                <w:szCs w:val="21"/>
              </w:rPr>
              <w:lastRenderedPageBreak/>
              <w:t xml:space="preserve">Ejecutivo del Estado: </w:t>
            </w:r>
          </w:p>
          <w:p w14:paraId="7094BEBD"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15663FB1" w14:textId="77777777" w:rsidR="00E63659" w:rsidRPr="00C5545D" w:rsidRDefault="00E63659" w:rsidP="00446BD0">
            <w:pPr>
              <w:numPr>
                <w:ilvl w:val="0"/>
                <w:numId w:val="76"/>
              </w:numPr>
              <w:spacing w:line="259" w:lineRule="auto"/>
              <w:ind w:right="36" w:hanging="720"/>
              <w:jc w:val="both"/>
              <w:rPr>
                <w:rFonts w:ascii="Abadi" w:hAnsi="Abadi"/>
                <w:sz w:val="21"/>
                <w:szCs w:val="21"/>
              </w:rPr>
            </w:pPr>
            <w:r w:rsidRPr="00C5545D">
              <w:rPr>
                <w:rFonts w:ascii="Abadi" w:eastAsia="Verdana" w:hAnsi="Abadi" w:cs="Verdana"/>
                <w:sz w:val="21"/>
                <w:szCs w:val="21"/>
              </w:rPr>
              <w:t xml:space="preserve">Promover y fomentar el desarrollo de </w:t>
            </w:r>
          </w:p>
          <w:p w14:paraId="0EA6137D"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la cultura física y el deporte; </w:t>
            </w:r>
          </w:p>
          <w:p w14:paraId="14466001"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6ADDC5AD" w14:textId="77777777" w:rsidR="00E63659" w:rsidRPr="00C5545D" w:rsidRDefault="00E63659" w:rsidP="00446BD0">
            <w:pPr>
              <w:numPr>
                <w:ilvl w:val="0"/>
                <w:numId w:val="76"/>
              </w:numPr>
              <w:spacing w:line="241" w:lineRule="auto"/>
              <w:ind w:right="36" w:hanging="720"/>
              <w:jc w:val="both"/>
              <w:rPr>
                <w:rFonts w:ascii="Abadi" w:hAnsi="Abadi"/>
                <w:sz w:val="21"/>
                <w:szCs w:val="21"/>
              </w:rPr>
            </w:pPr>
            <w:r w:rsidRPr="00C5545D">
              <w:rPr>
                <w:rFonts w:ascii="Abadi" w:eastAsia="Verdana" w:hAnsi="Abadi" w:cs="Verdana"/>
                <w:sz w:val="21"/>
                <w:szCs w:val="21"/>
              </w:rPr>
              <w:t xml:space="preserve">Incluir en el Plan Estatal de Desarrollo y en el Programa de Gobierno los objetivos, metas, estrategias y acciones para incrementar la calidad de la cultura física y el deporte en el Estado; </w:t>
            </w:r>
          </w:p>
          <w:p w14:paraId="58F56A58"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59FD8C68"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6F0054D5"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7AC37486"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375A3057" w14:textId="77777777" w:rsidR="00E63659" w:rsidRPr="00C5545D" w:rsidRDefault="00E63659" w:rsidP="00446BD0">
            <w:pPr>
              <w:numPr>
                <w:ilvl w:val="0"/>
                <w:numId w:val="76"/>
              </w:numPr>
              <w:spacing w:line="259" w:lineRule="auto"/>
              <w:ind w:right="36" w:hanging="720"/>
              <w:jc w:val="both"/>
              <w:rPr>
                <w:rFonts w:ascii="Abadi" w:hAnsi="Abadi"/>
                <w:sz w:val="21"/>
                <w:szCs w:val="21"/>
              </w:rPr>
            </w:pPr>
            <w:r w:rsidRPr="00C5545D">
              <w:rPr>
                <w:rFonts w:ascii="Abadi" w:eastAsia="Verdana" w:hAnsi="Abadi" w:cs="Verdana"/>
                <w:sz w:val="21"/>
                <w:szCs w:val="21"/>
              </w:rPr>
              <w:t xml:space="preserve">Designar y remover libremente al </w:t>
            </w:r>
          </w:p>
          <w:p w14:paraId="19FD5698"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Director General; </w:t>
            </w:r>
          </w:p>
          <w:p w14:paraId="26EFC8A8"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57F19ACA" w14:textId="77777777" w:rsidR="00E63659" w:rsidRPr="00C5545D" w:rsidRDefault="00E63659" w:rsidP="00446BD0">
            <w:pPr>
              <w:numPr>
                <w:ilvl w:val="0"/>
                <w:numId w:val="76"/>
              </w:numPr>
              <w:spacing w:line="241" w:lineRule="auto"/>
              <w:ind w:right="36" w:hanging="720"/>
              <w:jc w:val="both"/>
              <w:rPr>
                <w:rFonts w:ascii="Abadi" w:hAnsi="Abadi"/>
                <w:sz w:val="21"/>
                <w:szCs w:val="21"/>
              </w:rPr>
            </w:pPr>
            <w:r w:rsidRPr="00C5545D">
              <w:rPr>
                <w:rFonts w:ascii="Abadi" w:eastAsia="Verdana" w:hAnsi="Abadi" w:cs="Verdana"/>
                <w:sz w:val="21"/>
                <w:szCs w:val="21"/>
              </w:rPr>
              <w:t xml:space="preserve">Incluir en la propuesta de presupuesto de egresos correspondiente, la partida para la difusión, promoción, fomento, práctica, investigación, ejecución, supervisión y evaluación de la Cultura Física y Deporte; así como las instalaciones y espacios que se requieran para su práctica; </w:t>
            </w:r>
          </w:p>
          <w:p w14:paraId="6ACC1557"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325BA244" w14:textId="77777777" w:rsidR="00E63659" w:rsidRPr="00C5545D" w:rsidRDefault="00E63659" w:rsidP="00446BD0">
            <w:pPr>
              <w:numPr>
                <w:ilvl w:val="0"/>
                <w:numId w:val="76"/>
              </w:numPr>
              <w:spacing w:line="259" w:lineRule="auto"/>
              <w:ind w:right="36" w:hanging="720"/>
              <w:jc w:val="both"/>
              <w:rPr>
                <w:rFonts w:ascii="Abadi" w:hAnsi="Abadi"/>
                <w:sz w:val="21"/>
                <w:szCs w:val="21"/>
              </w:rPr>
            </w:pPr>
            <w:r w:rsidRPr="00C5545D">
              <w:rPr>
                <w:rFonts w:ascii="Abadi" w:eastAsia="Verdana" w:hAnsi="Abadi" w:cs="Verdana"/>
                <w:sz w:val="21"/>
                <w:szCs w:val="21"/>
              </w:rPr>
              <w:t xml:space="preserve">Emitir el Programa Estatal de </w:t>
            </w:r>
          </w:p>
          <w:p w14:paraId="006CE7B1"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Cultura Física y Deporte; y </w:t>
            </w:r>
          </w:p>
          <w:p w14:paraId="6D0134BC"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6250FC6B" w14:textId="77777777" w:rsidR="00E63659" w:rsidRPr="00C5545D" w:rsidRDefault="00E63659" w:rsidP="00446BD0">
            <w:pPr>
              <w:numPr>
                <w:ilvl w:val="0"/>
                <w:numId w:val="76"/>
              </w:numPr>
              <w:spacing w:after="59" w:line="241" w:lineRule="auto"/>
              <w:ind w:right="36" w:hanging="720"/>
              <w:jc w:val="both"/>
              <w:rPr>
                <w:rFonts w:ascii="Abadi" w:hAnsi="Abadi"/>
                <w:sz w:val="21"/>
                <w:szCs w:val="21"/>
              </w:rPr>
            </w:pPr>
            <w:r w:rsidRPr="00C5545D">
              <w:rPr>
                <w:rFonts w:ascii="Abadi" w:eastAsia="Verdana" w:hAnsi="Abadi" w:cs="Verdana"/>
                <w:sz w:val="21"/>
                <w:szCs w:val="21"/>
              </w:rPr>
              <w:t xml:space="preserve">Las demás que le otorguen (sic) Ley General, esta Ley y otros ordenamientos aplicables. </w:t>
            </w:r>
          </w:p>
          <w:p w14:paraId="0341CDEE" w14:textId="57F07E72" w:rsidR="00E63659" w:rsidRPr="00695491" w:rsidRDefault="00E63659" w:rsidP="00446BD0">
            <w:pPr>
              <w:ind w:right="4"/>
              <w:jc w:val="both"/>
              <w:rPr>
                <w:rFonts w:ascii="Abadi" w:hAnsi="Abadi"/>
                <w:sz w:val="21"/>
                <w:szCs w:val="21"/>
              </w:rPr>
            </w:pPr>
            <w:r w:rsidRPr="00C5545D">
              <w:rPr>
                <w:rFonts w:ascii="Abadi" w:eastAsia="Verdana" w:hAnsi="Abadi" w:cs="Verdana"/>
                <w:sz w:val="21"/>
                <w:szCs w:val="21"/>
              </w:rPr>
              <w:t xml:space="preserve"> </w:t>
            </w:r>
          </w:p>
        </w:tc>
        <w:tc>
          <w:tcPr>
            <w:tcW w:w="2073" w:type="dxa"/>
          </w:tcPr>
          <w:p w14:paraId="108B11E0" w14:textId="77777777" w:rsidR="00E63659" w:rsidRPr="00C5545D" w:rsidRDefault="00E63659" w:rsidP="00446BD0">
            <w:pPr>
              <w:spacing w:line="259" w:lineRule="auto"/>
              <w:ind w:left="118"/>
              <w:jc w:val="both"/>
              <w:rPr>
                <w:rFonts w:ascii="Abadi" w:hAnsi="Abadi"/>
                <w:sz w:val="21"/>
                <w:szCs w:val="21"/>
              </w:rPr>
            </w:pPr>
            <w:r w:rsidRPr="00C5545D">
              <w:rPr>
                <w:rFonts w:ascii="Abadi" w:eastAsia="Verdana" w:hAnsi="Abadi" w:cs="Verdana"/>
                <w:b/>
                <w:sz w:val="21"/>
                <w:szCs w:val="21"/>
              </w:rPr>
              <w:lastRenderedPageBreak/>
              <w:t xml:space="preserve">Competencia del Ejecutivo del Estado </w:t>
            </w:r>
          </w:p>
          <w:p w14:paraId="423972C0"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30F40851" w14:textId="77777777" w:rsidR="00E63659" w:rsidRPr="00C5545D" w:rsidRDefault="00E63659" w:rsidP="00446BD0">
            <w:pPr>
              <w:spacing w:line="242" w:lineRule="auto"/>
              <w:jc w:val="both"/>
              <w:rPr>
                <w:rFonts w:ascii="Abadi" w:hAnsi="Abadi"/>
                <w:sz w:val="21"/>
                <w:szCs w:val="21"/>
              </w:rPr>
            </w:pPr>
            <w:r w:rsidRPr="00C5545D">
              <w:rPr>
                <w:rFonts w:ascii="Abadi" w:eastAsia="Verdana" w:hAnsi="Abadi" w:cs="Verdana"/>
                <w:sz w:val="21"/>
                <w:szCs w:val="21"/>
              </w:rPr>
              <w:lastRenderedPageBreak/>
              <w:t xml:space="preserve">Artículo 6. Compete al titular del Poder Ejecutivo del Estado: </w:t>
            </w:r>
          </w:p>
          <w:p w14:paraId="1CEFD9BA"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3880874B" w14:textId="77777777" w:rsidR="00E63659" w:rsidRPr="00C5545D" w:rsidRDefault="00E63659" w:rsidP="00446BD0">
            <w:pPr>
              <w:numPr>
                <w:ilvl w:val="0"/>
                <w:numId w:val="77"/>
              </w:numPr>
              <w:spacing w:line="242" w:lineRule="auto"/>
              <w:ind w:hanging="720"/>
              <w:jc w:val="both"/>
              <w:rPr>
                <w:rFonts w:ascii="Abadi" w:hAnsi="Abadi"/>
                <w:sz w:val="21"/>
                <w:szCs w:val="21"/>
              </w:rPr>
            </w:pPr>
            <w:r w:rsidRPr="00C5545D">
              <w:rPr>
                <w:rFonts w:ascii="Abadi" w:eastAsia="Verdana" w:hAnsi="Abadi" w:cs="Verdana"/>
                <w:sz w:val="21"/>
                <w:szCs w:val="21"/>
              </w:rPr>
              <w:t xml:space="preserve">Promover y fomentar el desarrollo de la cultura física y el deporte; </w:t>
            </w:r>
          </w:p>
          <w:p w14:paraId="35D3101A"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7D1D96B3" w14:textId="77777777" w:rsidR="00E63659" w:rsidRPr="00C5545D" w:rsidRDefault="00E63659" w:rsidP="00446BD0">
            <w:pPr>
              <w:numPr>
                <w:ilvl w:val="0"/>
                <w:numId w:val="77"/>
              </w:numPr>
              <w:spacing w:after="2" w:line="241" w:lineRule="auto"/>
              <w:ind w:hanging="720"/>
              <w:jc w:val="both"/>
              <w:rPr>
                <w:rFonts w:ascii="Abadi" w:hAnsi="Abadi"/>
                <w:sz w:val="21"/>
                <w:szCs w:val="21"/>
              </w:rPr>
            </w:pPr>
            <w:r w:rsidRPr="00C5545D">
              <w:rPr>
                <w:rFonts w:ascii="Abadi" w:eastAsia="Verdana" w:hAnsi="Abadi" w:cs="Verdana"/>
                <w:sz w:val="21"/>
                <w:szCs w:val="21"/>
              </w:rPr>
              <w:t xml:space="preserve">Incluir en el Plan Estatal de Desarrollo y en el Programa de Gobierno los objetivos, metas, estrategias, </w:t>
            </w:r>
            <w:r w:rsidRPr="00C5545D">
              <w:rPr>
                <w:rFonts w:ascii="Abadi" w:eastAsia="Verdana" w:hAnsi="Abadi" w:cs="Verdana"/>
                <w:b/>
                <w:sz w:val="21"/>
                <w:szCs w:val="21"/>
              </w:rPr>
              <w:t>medidas preventivas</w:t>
            </w:r>
            <w:r w:rsidRPr="00C5545D">
              <w:rPr>
                <w:rFonts w:ascii="Abadi" w:eastAsia="Verdana" w:hAnsi="Abadi" w:cs="Verdana"/>
                <w:sz w:val="21"/>
                <w:szCs w:val="21"/>
              </w:rPr>
              <w:t xml:space="preserve"> </w:t>
            </w:r>
            <w:r w:rsidRPr="00C5545D">
              <w:rPr>
                <w:rFonts w:ascii="Abadi" w:eastAsia="Verdana" w:hAnsi="Abadi" w:cs="Verdana"/>
                <w:b/>
                <w:sz w:val="21"/>
                <w:szCs w:val="21"/>
              </w:rPr>
              <w:t>para erradicar la violencia o la discriminación</w:t>
            </w:r>
            <w:r w:rsidRPr="00C5545D">
              <w:rPr>
                <w:rFonts w:ascii="Abadi" w:eastAsia="Verdana" w:hAnsi="Abadi" w:cs="Verdana"/>
                <w:sz w:val="21"/>
                <w:szCs w:val="21"/>
              </w:rPr>
              <w:t xml:space="preserve"> y acciones para incrementar </w:t>
            </w:r>
            <w:r w:rsidRPr="00C5545D">
              <w:rPr>
                <w:rFonts w:ascii="Abadi" w:eastAsia="Verdana" w:hAnsi="Abadi" w:cs="Verdana"/>
                <w:b/>
                <w:sz w:val="21"/>
                <w:szCs w:val="21"/>
              </w:rPr>
              <w:t>la integración</w:t>
            </w:r>
            <w:r w:rsidRPr="00C5545D">
              <w:rPr>
                <w:rFonts w:ascii="Abadi" w:eastAsia="Verdana" w:hAnsi="Abadi" w:cs="Verdana"/>
                <w:sz w:val="21"/>
                <w:szCs w:val="21"/>
              </w:rPr>
              <w:t xml:space="preserve">, la calidad de la cultura física y el deporte en el Estado </w:t>
            </w:r>
            <w:r w:rsidRPr="00C5545D">
              <w:rPr>
                <w:rFonts w:ascii="Abadi" w:eastAsia="Verdana" w:hAnsi="Abadi" w:cs="Verdana"/>
                <w:b/>
                <w:color w:val="212529"/>
                <w:sz w:val="21"/>
                <w:szCs w:val="21"/>
              </w:rPr>
              <w:t>con perspectivas de género y de inclusión;</w:t>
            </w:r>
            <w:r w:rsidRPr="00C5545D">
              <w:rPr>
                <w:rFonts w:ascii="Abadi" w:eastAsia="Verdana" w:hAnsi="Abadi" w:cs="Verdana"/>
                <w:sz w:val="21"/>
                <w:szCs w:val="21"/>
              </w:rPr>
              <w:t xml:space="preserve"> </w:t>
            </w:r>
          </w:p>
          <w:p w14:paraId="732B4863"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5E84E570" w14:textId="77777777" w:rsidR="00E63659" w:rsidRPr="00C5545D" w:rsidRDefault="00E63659" w:rsidP="00446BD0">
            <w:pPr>
              <w:numPr>
                <w:ilvl w:val="0"/>
                <w:numId w:val="77"/>
              </w:numPr>
              <w:spacing w:line="259" w:lineRule="auto"/>
              <w:ind w:hanging="720"/>
              <w:jc w:val="both"/>
              <w:rPr>
                <w:rFonts w:ascii="Abadi" w:hAnsi="Abadi"/>
                <w:sz w:val="21"/>
                <w:szCs w:val="21"/>
              </w:rPr>
            </w:pPr>
            <w:r w:rsidRPr="00C5545D">
              <w:rPr>
                <w:rFonts w:ascii="Abadi" w:eastAsia="Verdana" w:hAnsi="Abadi" w:cs="Verdana"/>
                <w:sz w:val="21"/>
                <w:szCs w:val="21"/>
              </w:rPr>
              <w:t xml:space="preserve">Designar y remover libremente al </w:t>
            </w:r>
          </w:p>
          <w:p w14:paraId="2B62F40C"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Director General; </w:t>
            </w:r>
          </w:p>
          <w:p w14:paraId="0E393B97"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44AFD16B" w14:textId="77777777" w:rsidR="00E63659" w:rsidRPr="00C5545D" w:rsidRDefault="00E63659" w:rsidP="00446BD0">
            <w:pPr>
              <w:numPr>
                <w:ilvl w:val="0"/>
                <w:numId w:val="77"/>
              </w:numPr>
              <w:spacing w:after="2"/>
              <w:ind w:hanging="720"/>
              <w:jc w:val="both"/>
              <w:rPr>
                <w:rFonts w:ascii="Abadi" w:hAnsi="Abadi"/>
                <w:sz w:val="21"/>
                <w:szCs w:val="21"/>
              </w:rPr>
            </w:pPr>
            <w:r w:rsidRPr="00C5545D">
              <w:rPr>
                <w:rFonts w:ascii="Abadi" w:eastAsia="Verdana" w:hAnsi="Abadi" w:cs="Verdana"/>
                <w:sz w:val="21"/>
                <w:szCs w:val="21"/>
              </w:rPr>
              <w:t xml:space="preserve">Incluir en la propuesta de presupuesto de egresos correspondiente, la partida para la difusión, promoción, fomento, práctica, investigación, ejecución, supervisión y evaluación de la Cultura Física y Deporte; así como las instalaciones y espacios que se requieran para su práctica; </w:t>
            </w:r>
          </w:p>
          <w:p w14:paraId="2801CD3D"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682B6F0E"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65505A61"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56A82376" w14:textId="77777777" w:rsidR="00E63659" w:rsidRPr="00C5545D" w:rsidRDefault="00E63659" w:rsidP="00446BD0">
            <w:pPr>
              <w:numPr>
                <w:ilvl w:val="0"/>
                <w:numId w:val="77"/>
              </w:numPr>
              <w:spacing w:line="259" w:lineRule="auto"/>
              <w:ind w:hanging="720"/>
              <w:jc w:val="both"/>
              <w:rPr>
                <w:rFonts w:ascii="Abadi" w:hAnsi="Abadi"/>
                <w:sz w:val="21"/>
                <w:szCs w:val="21"/>
              </w:rPr>
            </w:pPr>
            <w:r w:rsidRPr="00C5545D">
              <w:rPr>
                <w:rFonts w:ascii="Abadi" w:eastAsia="Verdana" w:hAnsi="Abadi" w:cs="Verdana"/>
                <w:sz w:val="21"/>
                <w:szCs w:val="21"/>
              </w:rPr>
              <w:t xml:space="preserve">Emitir el Programa Estatal de Cultura </w:t>
            </w:r>
          </w:p>
          <w:p w14:paraId="0B65591C"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Física y Deporte; y </w:t>
            </w:r>
          </w:p>
          <w:p w14:paraId="4A184896" w14:textId="77777777" w:rsidR="00E63659" w:rsidRPr="00C5545D" w:rsidRDefault="00E63659" w:rsidP="00446BD0">
            <w:pPr>
              <w:spacing w:line="259" w:lineRule="auto"/>
              <w:jc w:val="both"/>
              <w:rPr>
                <w:rFonts w:ascii="Abadi" w:hAnsi="Abadi"/>
                <w:sz w:val="21"/>
                <w:szCs w:val="21"/>
              </w:rPr>
            </w:pPr>
            <w:r w:rsidRPr="00C5545D">
              <w:rPr>
                <w:rFonts w:ascii="Abadi" w:eastAsia="Verdana" w:hAnsi="Abadi" w:cs="Verdana"/>
                <w:sz w:val="21"/>
                <w:szCs w:val="21"/>
              </w:rPr>
              <w:t xml:space="preserve"> </w:t>
            </w:r>
          </w:p>
          <w:p w14:paraId="20A56BED" w14:textId="77777777" w:rsidR="00E63659" w:rsidRPr="00C5545D" w:rsidRDefault="00E63659" w:rsidP="00446BD0">
            <w:pPr>
              <w:numPr>
                <w:ilvl w:val="0"/>
                <w:numId w:val="77"/>
              </w:numPr>
              <w:spacing w:after="59" w:line="241" w:lineRule="auto"/>
              <w:ind w:hanging="720"/>
              <w:jc w:val="both"/>
              <w:rPr>
                <w:rFonts w:ascii="Abadi" w:hAnsi="Abadi"/>
                <w:sz w:val="21"/>
                <w:szCs w:val="21"/>
              </w:rPr>
            </w:pPr>
            <w:r w:rsidRPr="00C5545D">
              <w:rPr>
                <w:rFonts w:ascii="Abadi" w:eastAsia="Verdana" w:hAnsi="Abadi" w:cs="Verdana"/>
                <w:sz w:val="21"/>
                <w:szCs w:val="21"/>
              </w:rPr>
              <w:t xml:space="preserve">Las demás que le otorguen (sic) Ley General, esta Ley y otros ordenamientos aplicables. </w:t>
            </w:r>
          </w:p>
          <w:p w14:paraId="0E85CBA0" w14:textId="052A16E1" w:rsidR="00E63659" w:rsidRPr="00695491" w:rsidRDefault="00E63659" w:rsidP="00446BD0">
            <w:pPr>
              <w:ind w:right="4"/>
              <w:jc w:val="both"/>
              <w:rPr>
                <w:rFonts w:ascii="Abadi" w:hAnsi="Abadi"/>
                <w:sz w:val="21"/>
                <w:szCs w:val="21"/>
              </w:rPr>
            </w:pPr>
            <w:r w:rsidRPr="00C5545D">
              <w:rPr>
                <w:rFonts w:ascii="Abadi" w:eastAsia="Verdana" w:hAnsi="Abadi" w:cs="Verdana"/>
                <w:sz w:val="21"/>
                <w:szCs w:val="21"/>
              </w:rPr>
              <w:t xml:space="preserve"> </w:t>
            </w:r>
          </w:p>
        </w:tc>
      </w:tr>
      <w:tr w:rsidR="00617284" w:rsidRPr="00695491" w14:paraId="00A54C5B" w14:textId="77777777" w:rsidTr="008305DC">
        <w:tc>
          <w:tcPr>
            <w:tcW w:w="1891" w:type="dxa"/>
          </w:tcPr>
          <w:p w14:paraId="3FC757DE" w14:textId="77777777" w:rsidR="00617284" w:rsidRPr="00C5545D" w:rsidRDefault="00617284" w:rsidP="00617284">
            <w:pPr>
              <w:spacing w:line="259" w:lineRule="auto"/>
              <w:ind w:right="75"/>
              <w:jc w:val="right"/>
              <w:rPr>
                <w:rFonts w:ascii="Abadi" w:hAnsi="Abadi"/>
                <w:sz w:val="21"/>
                <w:szCs w:val="21"/>
              </w:rPr>
            </w:pPr>
            <w:r w:rsidRPr="00C5545D">
              <w:rPr>
                <w:rFonts w:ascii="Abadi" w:eastAsia="Verdana" w:hAnsi="Abadi" w:cs="Verdana"/>
                <w:b/>
                <w:sz w:val="21"/>
                <w:szCs w:val="21"/>
              </w:rPr>
              <w:lastRenderedPageBreak/>
              <w:t xml:space="preserve">Competencia de la Secretaría de </w:t>
            </w:r>
          </w:p>
          <w:p w14:paraId="5D82B18B" w14:textId="77777777" w:rsidR="00617284" w:rsidRPr="00C5545D" w:rsidRDefault="00617284" w:rsidP="00617284">
            <w:pPr>
              <w:spacing w:line="241" w:lineRule="auto"/>
              <w:ind w:firstLine="2756"/>
              <w:rPr>
                <w:rFonts w:ascii="Abadi" w:hAnsi="Abadi"/>
                <w:sz w:val="21"/>
                <w:szCs w:val="21"/>
              </w:rPr>
            </w:pPr>
            <w:r w:rsidRPr="00C5545D">
              <w:rPr>
                <w:rFonts w:ascii="Abadi" w:eastAsia="Verdana" w:hAnsi="Abadi" w:cs="Verdana"/>
                <w:b/>
                <w:sz w:val="21"/>
                <w:szCs w:val="21"/>
              </w:rPr>
              <w:t xml:space="preserve">Educación </w:t>
            </w:r>
            <w:r w:rsidRPr="00C5545D">
              <w:rPr>
                <w:rFonts w:ascii="Abadi" w:eastAsia="Verdana" w:hAnsi="Abadi" w:cs="Verdana"/>
                <w:sz w:val="21"/>
                <w:szCs w:val="21"/>
              </w:rPr>
              <w:t xml:space="preserve">Artículo 7. Le corresponde a la Secretaría de Educación las siguientes atribuciones: </w:t>
            </w:r>
          </w:p>
          <w:p w14:paraId="79E20FCA"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7084A09B" w14:textId="77777777" w:rsidR="00617284" w:rsidRPr="00C5545D" w:rsidRDefault="00617284" w:rsidP="00617284">
            <w:pPr>
              <w:spacing w:line="259" w:lineRule="auto"/>
              <w:ind w:right="74"/>
              <w:jc w:val="right"/>
              <w:rPr>
                <w:rFonts w:ascii="Abadi" w:hAnsi="Abadi"/>
                <w:sz w:val="21"/>
                <w:szCs w:val="21"/>
              </w:rPr>
            </w:pPr>
            <w:r w:rsidRPr="00C5545D">
              <w:rPr>
                <w:rFonts w:ascii="Abadi" w:eastAsia="Verdana" w:hAnsi="Abadi" w:cs="Verdana"/>
                <w:sz w:val="21"/>
                <w:szCs w:val="21"/>
              </w:rPr>
              <w:t xml:space="preserve">(REFORMADA, P.O. 22 DE JULIO DE </w:t>
            </w:r>
          </w:p>
          <w:p w14:paraId="2B124DA0" w14:textId="77777777" w:rsidR="00617284" w:rsidRPr="00C5545D" w:rsidRDefault="00617284" w:rsidP="00617284">
            <w:pPr>
              <w:spacing w:line="241" w:lineRule="auto"/>
              <w:ind w:firstLine="3291"/>
              <w:rPr>
                <w:rFonts w:ascii="Abadi" w:eastAsia="Verdana" w:hAnsi="Abadi"/>
                <w:sz w:val="21"/>
                <w:szCs w:val="21"/>
              </w:rPr>
            </w:pPr>
            <w:r w:rsidRPr="00C5545D">
              <w:rPr>
                <w:rFonts w:ascii="Abadi" w:eastAsia="Verdana" w:hAnsi="Abadi" w:cs="Verdana"/>
                <w:sz w:val="21"/>
                <w:szCs w:val="21"/>
              </w:rPr>
              <w:t xml:space="preserve">2020) I. Fomentar entre la comunidad educativa la práctica de la cultura física y el deporte; </w:t>
            </w:r>
          </w:p>
          <w:p w14:paraId="3E73F161" w14:textId="00FFDD46" w:rsidR="00617284" w:rsidRPr="00C5545D" w:rsidRDefault="00617284" w:rsidP="00617284">
            <w:pPr>
              <w:spacing w:line="241" w:lineRule="auto"/>
              <w:ind w:firstLine="3291"/>
              <w:rPr>
                <w:rFonts w:ascii="Abadi" w:hAnsi="Abadi"/>
                <w:sz w:val="21"/>
                <w:szCs w:val="21"/>
              </w:rPr>
            </w:pPr>
            <w:r w:rsidRPr="00C5545D">
              <w:rPr>
                <w:rFonts w:ascii="Abadi" w:eastAsia="Verdana" w:hAnsi="Abadi" w:cs="Verdana"/>
                <w:b/>
                <w:sz w:val="21"/>
                <w:szCs w:val="21"/>
              </w:rPr>
              <w:t xml:space="preserve">       Se recorrió</w:t>
            </w:r>
          </w:p>
          <w:p w14:paraId="0E2120D4" w14:textId="77777777" w:rsidR="00617284" w:rsidRPr="00695491" w:rsidRDefault="00617284" w:rsidP="00617284">
            <w:pPr>
              <w:ind w:right="4"/>
              <w:jc w:val="both"/>
              <w:rPr>
                <w:rFonts w:ascii="Abadi" w:hAnsi="Abadi"/>
                <w:sz w:val="21"/>
                <w:szCs w:val="21"/>
              </w:rPr>
            </w:pPr>
          </w:p>
        </w:tc>
        <w:tc>
          <w:tcPr>
            <w:tcW w:w="2073" w:type="dxa"/>
          </w:tcPr>
          <w:p w14:paraId="3E4E8449" w14:textId="77777777" w:rsidR="00617284" w:rsidRPr="00C5545D" w:rsidRDefault="00617284" w:rsidP="00617284">
            <w:pPr>
              <w:numPr>
                <w:ilvl w:val="0"/>
                <w:numId w:val="86"/>
              </w:numPr>
              <w:ind w:right="70"/>
              <w:jc w:val="both"/>
              <w:rPr>
                <w:rFonts w:ascii="Abadi" w:hAnsi="Abadi"/>
                <w:sz w:val="21"/>
                <w:szCs w:val="21"/>
              </w:rPr>
            </w:pPr>
            <w:r w:rsidRPr="00C5545D">
              <w:rPr>
                <w:rFonts w:ascii="Abadi" w:eastAsia="Verdana" w:hAnsi="Abadi" w:cs="Verdana"/>
                <w:sz w:val="21"/>
                <w:szCs w:val="21"/>
              </w:rPr>
              <w:t xml:space="preserve">Promover la vinculación de los programas de educación física con la </w:t>
            </w:r>
          </w:p>
          <w:p w14:paraId="6535A88D"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cultura física y el deporte; </w:t>
            </w:r>
          </w:p>
          <w:p w14:paraId="1F5B4DBB"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0CC1B988" w14:textId="77777777" w:rsidR="00617284" w:rsidRPr="00C5545D" w:rsidRDefault="00617284" w:rsidP="00617284">
            <w:pPr>
              <w:spacing w:line="259" w:lineRule="auto"/>
              <w:ind w:left="34"/>
              <w:rPr>
                <w:rFonts w:ascii="Abadi" w:hAnsi="Abadi"/>
                <w:sz w:val="21"/>
                <w:szCs w:val="21"/>
              </w:rPr>
            </w:pPr>
            <w:r w:rsidRPr="00C5545D">
              <w:rPr>
                <w:rFonts w:ascii="Abadi" w:eastAsia="Verdana" w:hAnsi="Abadi" w:cs="Verdana"/>
                <w:sz w:val="21"/>
                <w:szCs w:val="21"/>
              </w:rPr>
              <w:t xml:space="preserve">(REFORMADA, P.O. 22 DE JULIO DE 2020) </w:t>
            </w:r>
          </w:p>
          <w:p w14:paraId="7EF74B87"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7176EB80" w14:textId="77777777" w:rsidR="00617284" w:rsidRPr="00C5545D" w:rsidRDefault="00617284" w:rsidP="00617284">
            <w:pPr>
              <w:numPr>
                <w:ilvl w:val="0"/>
                <w:numId w:val="86"/>
              </w:numPr>
              <w:ind w:right="70"/>
              <w:jc w:val="both"/>
              <w:rPr>
                <w:rFonts w:ascii="Abadi" w:hAnsi="Abadi"/>
                <w:sz w:val="21"/>
                <w:szCs w:val="21"/>
              </w:rPr>
            </w:pPr>
            <w:r w:rsidRPr="00C5545D">
              <w:rPr>
                <w:rFonts w:ascii="Abadi" w:eastAsia="Verdana" w:hAnsi="Abadi" w:cs="Verdana"/>
                <w:sz w:val="21"/>
                <w:szCs w:val="21"/>
              </w:rPr>
              <w:t xml:space="preserve">Realizar acciones que fortalezcan la cultura física y el deporte en el sector educativo; </w:t>
            </w:r>
          </w:p>
          <w:p w14:paraId="7A359245"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74395C2C" w14:textId="77777777" w:rsidR="00617284" w:rsidRPr="00C5545D" w:rsidRDefault="00617284" w:rsidP="00617284">
            <w:pPr>
              <w:spacing w:line="259" w:lineRule="auto"/>
              <w:ind w:left="34"/>
              <w:rPr>
                <w:rFonts w:ascii="Abadi" w:hAnsi="Abadi"/>
                <w:sz w:val="21"/>
                <w:szCs w:val="21"/>
              </w:rPr>
            </w:pPr>
            <w:r w:rsidRPr="00C5545D">
              <w:rPr>
                <w:rFonts w:ascii="Abadi" w:eastAsia="Verdana" w:hAnsi="Abadi" w:cs="Verdana"/>
                <w:sz w:val="21"/>
                <w:szCs w:val="21"/>
              </w:rPr>
              <w:t xml:space="preserve">(REFORMADA, P.O. 22 DE JULIO DE 2020) </w:t>
            </w:r>
          </w:p>
          <w:p w14:paraId="5791EE9B"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147B9C6F" w14:textId="77777777" w:rsidR="00617284" w:rsidRPr="00C5545D" w:rsidRDefault="00617284" w:rsidP="00617284">
            <w:pPr>
              <w:numPr>
                <w:ilvl w:val="0"/>
                <w:numId w:val="86"/>
              </w:numPr>
              <w:spacing w:line="241" w:lineRule="auto"/>
              <w:ind w:right="70"/>
              <w:jc w:val="both"/>
              <w:rPr>
                <w:rFonts w:ascii="Abadi" w:hAnsi="Abadi"/>
                <w:sz w:val="21"/>
                <w:szCs w:val="21"/>
              </w:rPr>
            </w:pPr>
            <w:r w:rsidRPr="00C5545D">
              <w:rPr>
                <w:rFonts w:ascii="Abadi" w:eastAsia="Verdana" w:hAnsi="Abadi" w:cs="Verdana"/>
                <w:sz w:val="21"/>
                <w:szCs w:val="21"/>
              </w:rPr>
              <w:t xml:space="preserve">Promover la creación de infraestructura deportiva en los planteles educativos para la práctica de cultura física y deporte; </w:t>
            </w:r>
          </w:p>
          <w:p w14:paraId="652D05EB"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0B490009"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0A930FD2" w14:textId="77777777" w:rsidR="00617284" w:rsidRPr="00C5545D" w:rsidRDefault="00617284" w:rsidP="00617284">
            <w:pPr>
              <w:numPr>
                <w:ilvl w:val="0"/>
                <w:numId w:val="86"/>
              </w:numPr>
              <w:ind w:right="70"/>
              <w:jc w:val="both"/>
              <w:rPr>
                <w:rFonts w:ascii="Abadi" w:hAnsi="Abadi"/>
                <w:sz w:val="21"/>
                <w:szCs w:val="21"/>
              </w:rPr>
            </w:pPr>
            <w:r w:rsidRPr="00C5545D">
              <w:rPr>
                <w:rFonts w:ascii="Abadi" w:eastAsia="Verdana" w:hAnsi="Abadi" w:cs="Verdana"/>
                <w:sz w:val="21"/>
                <w:szCs w:val="21"/>
              </w:rPr>
              <w:t xml:space="preserve">Participar en la elaboración del contenido del Programa Estatal de Cultura </w:t>
            </w:r>
          </w:p>
          <w:p w14:paraId="46D2A7C2"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Física y Deporte; </w:t>
            </w:r>
          </w:p>
          <w:p w14:paraId="1A7A875C"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69A78BA4" w14:textId="77777777" w:rsidR="00617284" w:rsidRPr="00C5545D" w:rsidRDefault="00617284" w:rsidP="00617284">
            <w:pPr>
              <w:spacing w:line="259" w:lineRule="auto"/>
              <w:ind w:left="34"/>
              <w:rPr>
                <w:rFonts w:ascii="Abadi" w:hAnsi="Abadi"/>
                <w:sz w:val="21"/>
                <w:szCs w:val="21"/>
              </w:rPr>
            </w:pPr>
            <w:r w:rsidRPr="00C5545D">
              <w:rPr>
                <w:rFonts w:ascii="Abadi" w:eastAsia="Verdana" w:hAnsi="Abadi" w:cs="Verdana"/>
                <w:sz w:val="21"/>
                <w:szCs w:val="21"/>
              </w:rPr>
              <w:t xml:space="preserve">(REFORMADA, P.O. 22 DE JULIO DE 2020) </w:t>
            </w:r>
          </w:p>
          <w:p w14:paraId="5BA50DC2"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lastRenderedPageBreak/>
              <w:t xml:space="preserve"> </w:t>
            </w:r>
          </w:p>
          <w:p w14:paraId="660DBCFE" w14:textId="77777777" w:rsidR="00617284" w:rsidRPr="00C5545D" w:rsidRDefault="00617284" w:rsidP="00617284">
            <w:pPr>
              <w:numPr>
                <w:ilvl w:val="0"/>
                <w:numId w:val="86"/>
              </w:numPr>
              <w:spacing w:line="241" w:lineRule="auto"/>
              <w:ind w:right="70"/>
              <w:jc w:val="both"/>
              <w:rPr>
                <w:rFonts w:ascii="Abadi" w:hAnsi="Abadi"/>
                <w:sz w:val="21"/>
                <w:szCs w:val="21"/>
              </w:rPr>
            </w:pPr>
            <w:r w:rsidRPr="00C5545D">
              <w:rPr>
                <w:rFonts w:ascii="Abadi" w:eastAsia="Verdana" w:hAnsi="Abadi" w:cs="Verdana"/>
                <w:sz w:val="21"/>
                <w:szCs w:val="21"/>
              </w:rPr>
              <w:t xml:space="preserve">Coordinarse con la CODE en los aspectos relativos al deporte competitivo que se realiza en las instituciones públicas y particulares; </w:t>
            </w:r>
          </w:p>
          <w:p w14:paraId="38183D3B"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14F1DBED"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1D8EBE42" w14:textId="77777777" w:rsidR="00617284" w:rsidRPr="00C5545D" w:rsidRDefault="00617284" w:rsidP="00617284">
            <w:pPr>
              <w:numPr>
                <w:ilvl w:val="0"/>
                <w:numId w:val="86"/>
              </w:numPr>
              <w:spacing w:line="241" w:lineRule="auto"/>
              <w:ind w:right="70"/>
              <w:jc w:val="both"/>
              <w:rPr>
                <w:rFonts w:ascii="Abadi" w:hAnsi="Abadi"/>
                <w:sz w:val="21"/>
                <w:szCs w:val="21"/>
              </w:rPr>
            </w:pPr>
            <w:r w:rsidRPr="00C5545D">
              <w:rPr>
                <w:rFonts w:ascii="Abadi" w:eastAsia="Verdana" w:hAnsi="Abadi" w:cs="Verdana"/>
                <w:b/>
                <w:sz w:val="21"/>
                <w:szCs w:val="21"/>
              </w:rPr>
              <w:t xml:space="preserve">Implementar las medidas preventivas para evitar la violencia o la discriminación; </w:t>
            </w:r>
          </w:p>
          <w:p w14:paraId="0825B56F"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b/>
                <w:sz w:val="21"/>
                <w:szCs w:val="21"/>
              </w:rPr>
              <w:t xml:space="preserve"> </w:t>
            </w:r>
          </w:p>
          <w:p w14:paraId="29AE136E" w14:textId="77777777" w:rsidR="00617284" w:rsidRPr="00C5545D" w:rsidRDefault="00617284" w:rsidP="00617284">
            <w:pPr>
              <w:numPr>
                <w:ilvl w:val="0"/>
                <w:numId w:val="86"/>
              </w:numPr>
              <w:spacing w:line="241" w:lineRule="auto"/>
              <w:ind w:right="70"/>
              <w:jc w:val="both"/>
              <w:rPr>
                <w:rFonts w:ascii="Abadi" w:hAnsi="Abadi"/>
                <w:sz w:val="21"/>
                <w:szCs w:val="21"/>
              </w:rPr>
            </w:pPr>
            <w:r w:rsidRPr="00C5545D">
              <w:rPr>
                <w:rFonts w:ascii="Abadi" w:eastAsia="Verdana" w:hAnsi="Abadi" w:cs="Verdana"/>
                <w:b/>
                <w:sz w:val="21"/>
                <w:szCs w:val="21"/>
              </w:rPr>
              <w:t xml:space="preserve">Realizar las acciones para incrementar la integración, la calidad de la cultura física y el deporte en el sector educativo estatal </w:t>
            </w:r>
            <w:r w:rsidRPr="00C5545D">
              <w:rPr>
                <w:rFonts w:ascii="Abadi" w:eastAsia="Verdana" w:hAnsi="Abadi" w:cs="Verdana"/>
                <w:b/>
                <w:color w:val="212529"/>
                <w:sz w:val="21"/>
                <w:szCs w:val="21"/>
              </w:rPr>
              <w:t>con perspectivas de género y de inclusión;</w:t>
            </w:r>
            <w:r w:rsidRPr="00C5545D">
              <w:rPr>
                <w:rFonts w:ascii="Abadi" w:eastAsia="Verdana" w:hAnsi="Abadi" w:cs="Verdana"/>
                <w:sz w:val="21"/>
                <w:szCs w:val="21"/>
              </w:rPr>
              <w:t xml:space="preserve"> y </w:t>
            </w:r>
          </w:p>
          <w:p w14:paraId="162C2DF8" w14:textId="77777777" w:rsidR="00617284" w:rsidRPr="00C5545D" w:rsidRDefault="00617284" w:rsidP="00617284">
            <w:pPr>
              <w:spacing w:line="259" w:lineRule="auto"/>
              <w:rPr>
                <w:rFonts w:ascii="Abadi" w:hAnsi="Abadi"/>
                <w:sz w:val="21"/>
                <w:szCs w:val="21"/>
              </w:rPr>
            </w:pPr>
            <w:r w:rsidRPr="00C5545D">
              <w:rPr>
                <w:rFonts w:ascii="Abadi" w:eastAsia="Verdana" w:hAnsi="Abadi" w:cs="Verdana"/>
                <w:sz w:val="21"/>
                <w:szCs w:val="21"/>
              </w:rPr>
              <w:t xml:space="preserve"> </w:t>
            </w:r>
          </w:p>
          <w:p w14:paraId="37EC2FC0" w14:textId="77777777" w:rsidR="00617284" w:rsidRPr="00C5545D" w:rsidRDefault="00617284" w:rsidP="00617284">
            <w:pPr>
              <w:numPr>
                <w:ilvl w:val="0"/>
                <w:numId w:val="86"/>
              </w:numPr>
              <w:spacing w:after="60"/>
              <w:ind w:right="70"/>
              <w:jc w:val="both"/>
              <w:rPr>
                <w:rFonts w:ascii="Abadi" w:hAnsi="Abadi"/>
                <w:sz w:val="21"/>
                <w:szCs w:val="21"/>
              </w:rPr>
            </w:pPr>
            <w:r w:rsidRPr="00C5545D">
              <w:rPr>
                <w:rFonts w:ascii="Abadi" w:eastAsia="Verdana" w:hAnsi="Abadi" w:cs="Verdana"/>
                <w:sz w:val="21"/>
                <w:szCs w:val="21"/>
              </w:rPr>
              <w:t xml:space="preserve">Las demás que señalen las leyes y disposiciones jurídicas aplicables. </w:t>
            </w:r>
          </w:p>
          <w:p w14:paraId="27F517F8" w14:textId="7AF0BC7A" w:rsidR="00617284" w:rsidRPr="00695491" w:rsidRDefault="00617284" w:rsidP="00617284">
            <w:pPr>
              <w:ind w:right="4"/>
              <w:jc w:val="both"/>
              <w:rPr>
                <w:rFonts w:ascii="Abadi" w:hAnsi="Abadi"/>
                <w:sz w:val="21"/>
                <w:szCs w:val="21"/>
              </w:rPr>
            </w:pPr>
            <w:r w:rsidRPr="00C5545D">
              <w:rPr>
                <w:rFonts w:ascii="Abadi" w:eastAsia="Verdana" w:hAnsi="Abadi" w:cs="Verdana"/>
                <w:sz w:val="21"/>
                <w:szCs w:val="21"/>
              </w:rPr>
              <w:t xml:space="preserve"> </w:t>
            </w:r>
          </w:p>
        </w:tc>
      </w:tr>
      <w:tr w:rsidR="00617284" w:rsidRPr="00695491" w14:paraId="4CA22772" w14:textId="77777777" w:rsidTr="008305DC">
        <w:tc>
          <w:tcPr>
            <w:tcW w:w="1891" w:type="dxa"/>
          </w:tcPr>
          <w:p w14:paraId="09AD5610" w14:textId="77777777" w:rsidR="008305DC" w:rsidRDefault="00CF0EAD" w:rsidP="008305DC">
            <w:pPr>
              <w:spacing w:line="246" w:lineRule="auto"/>
              <w:ind w:right="-10" w:firstLine="1706"/>
              <w:rPr>
                <w:rFonts w:ascii="Abadi" w:eastAsia="Verdana" w:hAnsi="Abadi" w:cs="Verdana"/>
                <w:b/>
                <w:sz w:val="21"/>
                <w:szCs w:val="21"/>
              </w:rPr>
            </w:pPr>
            <w:r w:rsidRPr="00C5545D">
              <w:rPr>
                <w:rFonts w:ascii="Abadi" w:eastAsia="Verdana" w:hAnsi="Abadi" w:cs="Verdana"/>
                <w:b/>
                <w:sz w:val="21"/>
                <w:szCs w:val="21"/>
              </w:rPr>
              <w:lastRenderedPageBreak/>
              <w:t xml:space="preserve"> </w:t>
            </w:r>
            <w:r w:rsidR="008305DC">
              <w:rPr>
                <w:rFonts w:ascii="Abadi" w:eastAsia="Verdana" w:hAnsi="Abadi" w:cs="Verdana"/>
                <w:b/>
                <w:sz w:val="21"/>
                <w:szCs w:val="21"/>
              </w:rPr>
              <w:t>Competencia de los ayuntamientos</w:t>
            </w:r>
          </w:p>
          <w:p w14:paraId="08FCA312" w14:textId="07A80B88" w:rsidR="00CF0EAD" w:rsidRPr="008305DC" w:rsidRDefault="00CF0EAD" w:rsidP="008305DC">
            <w:pPr>
              <w:spacing w:line="246" w:lineRule="auto"/>
              <w:ind w:right="-10" w:firstLine="1706"/>
              <w:rPr>
                <w:rFonts w:ascii="Abadi" w:eastAsia="Verdana" w:hAnsi="Abadi" w:cs="Verdana"/>
                <w:b/>
                <w:sz w:val="21"/>
                <w:szCs w:val="21"/>
              </w:rPr>
            </w:pPr>
            <w:r w:rsidRPr="00C5545D">
              <w:rPr>
                <w:rFonts w:ascii="Abadi" w:eastAsia="Verdana" w:hAnsi="Abadi" w:cs="Verdana"/>
                <w:sz w:val="21"/>
                <w:szCs w:val="21"/>
              </w:rPr>
              <w:t xml:space="preserve"> </w:t>
            </w:r>
            <w:r w:rsidRPr="00C5545D">
              <w:rPr>
                <w:rFonts w:ascii="Abadi" w:eastAsia="Verdana" w:hAnsi="Abadi" w:cs="Verdana"/>
                <w:sz w:val="21"/>
                <w:szCs w:val="21"/>
              </w:rPr>
              <w:tab/>
            </w:r>
            <w:r w:rsidR="008305DC" w:rsidRPr="00C5545D">
              <w:rPr>
                <w:rFonts w:ascii="Abadi" w:eastAsia="Verdana" w:hAnsi="Abadi" w:cs="Verdana"/>
                <w:sz w:val="21"/>
                <w:szCs w:val="21"/>
              </w:rPr>
              <w:t xml:space="preserve">Artículo </w:t>
            </w:r>
            <w:r w:rsidRPr="00C5545D">
              <w:rPr>
                <w:rFonts w:ascii="Abadi" w:eastAsia="Verdana" w:hAnsi="Abadi" w:cs="Verdana"/>
                <w:sz w:val="21"/>
                <w:szCs w:val="21"/>
              </w:rPr>
              <w:t xml:space="preserve">10. Corresponde </w:t>
            </w:r>
            <w:r w:rsidRPr="00C5545D">
              <w:rPr>
                <w:rFonts w:ascii="Abadi" w:eastAsia="Verdana" w:hAnsi="Abadi" w:cs="Verdana"/>
                <w:sz w:val="21"/>
                <w:szCs w:val="21"/>
              </w:rPr>
              <w:tab/>
              <w:t xml:space="preserve">a </w:t>
            </w:r>
            <w:r w:rsidRPr="00C5545D">
              <w:rPr>
                <w:rFonts w:ascii="Abadi" w:eastAsia="Verdana" w:hAnsi="Abadi" w:cs="Verdana"/>
                <w:sz w:val="21"/>
                <w:szCs w:val="21"/>
              </w:rPr>
              <w:tab/>
              <w:t xml:space="preserve">los Ayuntamientos: </w:t>
            </w:r>
          </w:p>
          <w:p w14:paraId="5F08A854" w14:textId="77777777" w:rsidR="00CF0EAD" w:rsidRPr="00C5545D" w:rsidRDefault="00CF0EAD" w:rsidP="00CF0EAD">
            <w:pPr>
              <w:spacing w:line="259" w:lineRule="auto"/>
              <w:rPr>
                <w:rFonts w:ascii="Abadi" w:hAnsi="Abadi"/>
                <w:sz w:val="21"/>
                <w:szCs w:val="21"/>
              </w:rPr>
            </w:pPr>
            <w:r w:rsidRPr="00C5545D">
              <w:rPr>
                <w:rFonts w:ascii="Abadi" w:eastAsia="Verdana" w:hAnsi="Abadi" w:cs="Verdana"/>
                <w:sz w:val="21"/>
                <w:szCs w:val="21"/>
              </w:rPr>
              <w:t xml:space="preserve"> </w:t>
            </w:r>
          </w:p>
          <w:p w14:paraId="32986AEC" w14:textId="1C4ABF92" w:rsidR="00617284" w:rsidRPr="002B2DE1" w:rsidRDefault="00CF0EAD" w:rsidP="008305DC">
            <w:pPr>
              <w:pStyle w:val="Prrafodelista"/>
              <w:numPr>
                <w:ilvl w:val="0"/>
                <w:numId w:val="87"/>
              </w:numPr>
              <w:ind w:left="743" w:right="4"/>
              <w:jc w:val="both"/>
              <w:rPr>
                <w:rFonts w:ascii="Abadi" w:eastAsia="Verdana" w:hAnsi="Abadi" w:cs="Verdana"/>
                <w:sz w:val="21"/>
                <w:szCs w:val="21"/>
              </w:rPr>
            </w:pPr>
            <w:r w:rsidRPr="002B2DE1">
              <w:rPr>
                <w:rFonts w:ascii="Abadi" w:eastAsia="Verdana" w:hAnsi="Abadi" w:cs="Verdana"/>
                <w:sz w:val="21"/>
                <w:szCs w:val="21"/>
              </w:rPr>
              <w:t xml:space="preserve">Establecer en el Plan Municipal de Desarrollo y en el Programa de Gobierno </w:t>
            </w:r>
            <w:r w:rsidRPr="002B2DE1">
              <w:rPr>
                <w:rFonts w:ascii="Abadi" w:eastAsia="Verdana" w:hAnsi="Abadi" w:cs="Verdana"/>
                <w:sz w:val="21"/>
                <w:szCs w:val="21"/>
              </w:rPr>
              <w:t>Municipal las metas, estrategias y acciones para incrementar la calidad de la cultura</w:t>
            </w:r>
          </w:p>
          <w:p w14:paraId="72CE83B4" w14:textId="77777777" w:rsidR="002B2DE1" w:rsidRPr="00C5545D" w:rsidRDefault="002B2DE1" w:rsidP="002B2DE1">
            <w:pPr>
              <w:rPr>
                <w:rFonts w:ascii="Abadi" w:hAnsi="Abadi"/>
                <w:sz w:val="21"/>
                <w:szCs w:val="21"/>
              </w:rPr>
            </w:pPr>
            <w:r w:rsidRPr="00C5545D">
              <w:rPr>
                <w:rFonts w:ascii="Abadi" w:eastAsia="Verdana" w:hAnsi="Abadi" w:cs="Verdana"/>
                <w:sz w:val="21"/>
                <w:szCs w:val="21"/>
              </w:rPr>
              <w:t xml:space="preserve">física y el deporte en el municipio en los términos del Programa Estatal de </w:t>
            </w:r>
          </w:p>
          <w:p w14:paraId="779F8427"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Cultura Física y Deporte; </w:t>
            </w:r>
          </w:p>
          <w:p w14:paraId="3D9DBE6F"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679F8250" w14:textId="77777777" w:rsidR="002B2DE1" w:rsidRPr="00C5545D" w:rsidRDefault="002B2DE1" w:rsidP="002B2DE1">
            <w:pPr>
              <w:numPr>
                <w:ilvl w:val="0"/>
                <w:numId w:val="88"/>
              </w:numPr>
              <w:spacing w:after="2"/>
              <w:ind w:right="74"/>
              <w:jc w:val="both"/>
              <w:rPr>
                <w:rFonts w:ascii="Abadi" w:hAnsi="Abadi"/>
                <w:sz w:val="21"/>
                <w:szCs w:val="21"/>
              </w:rPr>
            </w:pPr>
            <w:r w:rsidRPr="00C5545D">
              <w:rPr>
                <w:rFonts w:ascii="Abadi" w:eastAsia="Verdana" w:hAnsi="Abadi" w:cs="Verdana"/>
                <w:sz w:val="21"/>
                <w:szCs w:val="21"/>
              </w:rPr>
              <w:t xml:space="preserve">Contar con un organismo municipal, en los términos de la presente Ley; </w:t>
            </w:r>
          </w:p>
          <w:p w14:paraId="6D5716AB"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410D95A2" w14:textId="77777777" w:rsidR="002B2DE1" w:rsidRPr="00C5545D" w:rsidRDefault="002B2DE1" w:rsidP="002B2DE1">
            <w:pPr>
              <w:numPr>
                <w:ilvl w:val="0"/>
                <w:numId w:val="88"/>
              </w:numPr>
              <w:spacing w:line="241" w:lineRule="auto"/>
              <w:ind w:right="74"/>
              <w:jc w:val="both"/>
              <w:rPr>
                <w:rFonts w:ascii="Abadi" w:hAnsi="Abadi"/>
                <w:sz w:val="21"/>
                <w:szCs w:val="21"/>
              </w:rPr>
            </w:pPr>
            <w:r w:rsidRPr="00C5545D">
              <w:rPr>
                <w:rFonts w:ascii="Abadi" w:eastAsia="Verdana" w:hAnsi="Abadi" w:cs="Verdana"/>
                <w:sz w:val="21"/>
                <w:szCs w:val="21"/>
              </w:rPr>
              <w:t xml:space="preserve">Diseñar, aplicar y evaluar el Programa Municipal de Cultura Física y Deporte y demás proyectos en la materia; </w:t>
            </w:r>
          </w:p>
          <w:p w14:paraId="413236E7"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3E710799" w14:textId="77777777" w:rsidR="002B2DE1" w:rsidRPr="00C5545D" w:rsidRDefault="002B2DE1" w:rsidP="002B2DE1">
            <w:pPr>
              <w:numPr>
                <w:ilvl w:val="0"/>
                <w:numId w:val="88"/>
              </w:numPr>
              <w:spacing w:after="2" w:line="241" w:lineRule="auto"/>
              <w:ind w:right="74"/>
              <w:jc w:val="both"/>
              <w:rPr>
                <w:rFonts w:ascii="Abadi" w:hAnsi="Abadi"/>
                <w:sz w:val="21"/>
                <w:szCs w:val="21"/>
              </w:rPr>
            </w:pPr>
            <w:r w:rsidRPr="00C5545D">
              <w:rPr>
                <w:rFonts w:ascii="Abadi" w:eastAsia="Verdana" w:hAnsi="Abadi" w:cs="Verdana"/>
                <w:sz w:val="21"/>
                <w:szCs w:val="21"/>
              </w:rPr>
              <w:t xml:space="preserve">Emitir los reglamentos y disposiciones administrativas de observancia general, para regular lo relativo a la cultura física y el deporte en el municipio; </w:t>
            </w:r>
          </w:p>
          <w:p w14:paraId="113D3D98"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7570AEDB" w14:textId="77777777" w:rsidR="002B2DE1" w:rsidRPr="00C5545D" w:rsidRDefault="002B2DE1" w:rsidP="002B2DE1">
            <w:pPr>
              <w:numPr>
                <w:ilvl w:val="0"/>
                <w:numId w:val="88"/>
              </w:numPr>
              <w:spacing w:line="241" w:lineRule="auto"/>
              <w:ind w:right="74"/>
              <w:jc w:val="both"/>
              <w:rPr>
                <w:rFonts w:ascii="Abadi" w:hAnsi="Abadi"/>
                <w:sz w:val="21"/>
                <w:szCs w:val="21"/>
              </w:rPr>
            </w:pPr>
            <w:r w:rsidRPr="00C5545D">
              <w:rPr>
                <w:rFonts w:ascii="Abadi" w:eastAsia="Verdana" w:hAnsi="Abadi" w:cs="Verdana"/>
                <w:sz w:val="21"/>
                <w:szCs w:val="21"/>
              </w:rPr>
              <w:t xml:space="preserve">Establecer en sus presupuestos de egresos las partidas para la difusión, promoción, fomento, práctica, investigación, enseñanza, supervisión y </w:t>
            </w:r>
            <w:r w:rsidRPr="00C5545D">
              <w:rPr>
                <w:rFonts w:ascii="Abadi" w:eastAsia="Verdana" w:hAnsi="Abadi" w:cs="Verdana"/>
                <w:sz w:val="21"/>
                <w:szCs w:val="21"/>
              </w:rPr>
              <w:lastRenderedPageBreak/>
              <w:t xml:space="preserve">evaluación de la cultura física y el deporte; así como para la construcción, remodelación, ampliación, adecuación, equipamiento, mantenimiento y conservación de las instalaciones y espacios que se requieran para su práctica; </w:t>
            </w:r>
          </w:p>
          <w:p w14:paraId="7EF10210"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7EE91F69" w14:textId="77777777" w:rsidR="002B2DE1" w:rsidRPr="00C5545D" w:rsidRDefault="002B2DE1" w:rsidP="002B2DE1">
            <w:pPr>
              <w:numPr>
                <w:ilvl w:val="0"/>
                <w:numId w:val="88"/>
              </w:numPr>
              <w:spacing w:line="241" w:lineRule="auto"/>
              <w:ind w:right="74"/>
              <w:jc w:val="both"/>
              <w:rPr>
                <w:rFonts w:ascii="Abadi" w:hAnsi="Abadi"/>
                <w:sz w:val="21"/>
                <w:szCs w:val="21"/>
              </w:rPr>
            </w:pPr>
            <w:r w:rsidRPr="00C5545D">
              <w:rPr>
                <w:rFonts w:ascii="Abadi" w:eastAsia="Verdana" w:hAnsi="Abadi" w:cs="Verdana"/>
                <w:sz w:val="21"/>
                <w:szCs w:val="21"/>
              </w:rPr>
              <w:t xml:space="preserve">Otorgar reconocimientos y apoyos en favor de personas, entidades u organismos que se hayan destacado en la práctica, difusión, promoción, fomento o investigación de la cultura física y el deporte; así como en participaciones relevantes en eventos deportivos; </w:t>
            </w:r>
          </w:p>
          <w:p w14:paraId="50670C3C"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1C4D34D6" w14:textId="77777777" w:rsidR="002B2DE1" w:rsidRPr="00C5545D" w:rsidRDefault="002B2DE1" w:rsidP="002B2DE1">
            <w:pPr>
              <w:numPr>
                <w:ilvl w:val="0"/>
                <w:numId w:val="88"/>
              </w:numPr>
              <w:spacing w:line="241" w:lineRule="auto"/>
              <w:ind w:right="74"/>
              <w:jc w:val="both"/>
              <w:rPr>
                <w:rFonts w:ascii="Abadi" w:hAnsi="Abadi"/>
                <w:sz w:val="21"/>
                <w:szCs w:val="21"/>
              </w:rPr>
            </w:pPr>
            <w:r w:rsidRPr="00C5545D">
              <w:rPr>
                <w:rFonts w:ascii="Abadi" w:eastAsia="Verdana" w:hAnsi="Abadi" w:cs="Verdana"/>
                <w:sz w:val="21"/>
                <w:szCs w:val="21"/>
              </w:rPr>
              <w:t xml:space="preserve">Gestionar y promover ante particulares, organismos públicos, privados, estatales y nacionales, el financiamiento para programas y proyectos en materia de cultura física y deporte; </w:t>
            </w:r>
          </w:p>
          <w:p w14:paraId="58F0C3D1" w14:textId="77777777" w:rsidR="002B2DE1" w:rsidRPr="00C5545D" w:rsidRDefault="002B2DE1" w:rsidP="002B2DE1">
            <w:pPr>
              <w:spacing w:line="259" w:lineRule="auto"/>
              <w:rPr>
                <w:rFonts w:ascii="Abadi" w:hAnsi="Abadi"/>
                <w:sz w:val="21"/>
                <w:szCs w:val="21"/>
              </w:rPr>
            </w:pPr>
            <w:r w:rsidRPr="00C5545D">
              <w:rPr>
                <w:rFonts w:ascii="Abadi" w:eastAsia="Verdana" w:hAnsi="Abadi" w:cs="Verdana"/>
                <w:sz w:val="21"/>
                <w:szCs w:val="21"/>
              </w:rPr>
              <w:t xml:space="preserve"> </w:t>
            </w:r>
          </w:p>
          <w:p w14:paraId="27950D1B" w14:textId="77777777" w:rsidR="002B2DE1" w:rsidRPr="00C5545D" w:rsidRDefault="002B2DE1" w:rsidP="002B2DE1">
            <w:pPr>
              <w:numPr>
                <w:ilvl w:val="0"/>
                <w:numId w:val="88"/>
              </w:numPr>
              <w:spacing w:line="241" w:lineRule="auto"/>
              <w:ind w:right="74"/>
              <w:jc w:val="both"/>
              <w:rPr>
                <w:rFonts w:ascii="Abadi" w:hAnsi="Abadi"/>
                <w:sz w:val="21"/>
                <w:szCs w:val="21"/>
              </w:rPr>
            </w:pPr>
            <w:r w:rsidRPr="00C5545D">
              <w:rPr>
                <w:rFonts w:ascii="Abadi" w:eastAsia="Verdana" w:hAnsi="Abadi" w:cs="Verdana"/>
                <w:sz w:val="21"/>
                <w:szCs w:val="21"/>
              </w:rPr>
              <w:t xml:space="preserve">Acordar la suscripción de acuerdos o convenios de coordinación con </w:t>
            </w:r>
            <w:r w:rsidRPr="00C5545D">
              <w:rPr>
                <w:rFonts w:ascii="Abadi" w:eastAsia="Verdana" w:hAnsi="Abadi" w:cs="Verdana"/>
                <w:sz w:val="21"/>
                <w:szCs w:val="21"/>
              </w:rPr>
              <w:t xml:space="preserve">la Federación, el Estado, otros estados, ayuntamientos, organismos sociales o privados, para el </w:t>
            </w:r>
          </w:p>
          <w:p w14:paraId="7D6D1EBF" w14:textId="77777777" w:rsidR="002B2DE1" w:rsidRDefault="002B2DE1" w:rsidP="002B2DE1">
            <w:pPr>
              <w:ind w:right="4"/>
              <w:jc w:val="both"/>
              <w:rPr>
                <w:rFonts w:ascii="Abadi" w:eastAsia="Verdana" w:hAnsi="Abadi" w:cs="Verdana"/>
                <w:sz w:val="21"/>
                <w:szCs w:val="21"/>
              </w:rPr>
            </w:pPr>
            <w:r w:rsidRPr="00C5545D">
              <w:rPr>
                <w:rFonts w:ascii="Abadi" w:eastAsia="Verdana" w:hAnsi="Abadi" w:cs="Verdana"/>
                <w:sz w:val="21"/>
                <w:szCs w:val="21"/>
              </w:rPr>
              <w:t>cumplimiento del objeto de esta Ley;</w:t>
            </w:r>
          </w:p>
          <w:p w14:paraId="0FBDA57D" w14:textId="77777777" w:rsidR="00462710" w:rsidRDefault="00462710" w:rsidP="002B2DE1">
            <w:pPr>
              <w:ind w:right="4"/>
              <w:jc w:val="both"/>
              <w:rPr>
                <w:rFonts w:ascii="Abadi" w:eastAsia="Verdana" w:hAnsi="Abadi" w:cs="Verdana"/>
                <w:sz w:val="21"/>
                <w:szCs w:val="21"/>
              </w:rPr>
            </w:pPr>
          </w:p>
          <w:p w14:paraId="79826BF2" w14:textId="77777777" w:rsidR="00462710" w:rsidRPr="00C5545D" w:rsidRDefault="00462710" w:rsidP="00462710">
            <w:pPr>
              <w:numPr>
                <w:ilvl w:val="0"/>
                <w:numId w:val="90"/>
              </w:numPr>
              <w:spacing w:line="241" w:lineRule="auto"/>
              <w:ind w:right="75"/>
              <w:jc w:val="both"/>
              <w:rPr>
                <w:rFonts w:ascii="Abadi" w:hAnsi="Abadi"/>
                <w:sz w:val="21"/>
                <w:szCs w:val="21"/>
              </w:rPr>
            </w:pPr>
            <w:r w:rsidRPr="00C5545D">
              <w:rPr>
                <w:rFonts w:ascii="Abadi" w:eastAsia="Verdana" w:hAnsi="Abadi" w:cs="Verdana"/>
                <w:sz w:val="21"/>
                <w:szCs w:val="21"/>
              </w:rPr>
              <w:t xml:space="preserve">Coordinarse con la CONADE, CODE, organismos estatales o municipales en materia deportiva para la promoción, fomento y desarrollo de la cultura física y deporte y la infraestructura deportiva; </w:t>
            </w:r>
          </w:p>
          <w:p w14:paraId="1B742451"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51A20593" w14:textId="77777777" w:rsidR="00462710" w:rsidRPr="00C5545D" w:rsidRDefault="00462710" w:rsidP="00462710">
            <w:pPr>
              <w:numPr>
                <w:ilvl w:val="0"/>
                <w:numId w:val="90"/>
              </w:numPr>
              <w:spacing w:line="241" w:lineRule="auto"/>
              <w:ind w:right="75"/>
              <w:jc w:val="both"/>
              <w:rPr>
                <w:rFonts w:ascii="Abadi" w:hAnsi="Abadi"/>
                <w:sz w:val="21"/>
                <w:szCs w:val="21"/>
              </w:rPr>
            </w:pPr>
            <w:r w:rsidRPr="00C5545D">
              <w:rPr>
                <w:rFonts w:ascii="Abadi" w:eastAsia="Verdana" w:hAnsi="Abadi" w:cs="Verdana"/>
                <w:sz w:val="21"/>
                <w:szCs w:val="21"/>
              </w:rPr>
              <w:t xml:space="preserve">Promover, facilitar y propiciar la práctica de actividades deportivas y de cultura física entre los integrantes de la administración pública municipal; </w:t>
            </w:r>
          </w:p>
          <w:p w14:paraId="4FBCC38D"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17A6C853" w14:textId="77777777" w:rsidR="00462710" w:rsidRPr="00C5545D" w:rsidRDefault="00462710" w:rsidP="00462710">
            <w:pPr>
              <w:numPr>
                <w:ilvl w:val="0"/>
                <w:numId w:val="90"/>
              </w:numPr>
              <w:spacing w:line="241" w:lineRule="auto"/>
              <w:ind w:right="75"/>
              <w:jc w:val="both"/>
              <w:rPr>
                <w:rFonts w:ascii="Abadi" w:hAnsi="Abadi"/>
                <w:sz w:val="21"/>
                <w:szCs w:val="21"/>
              </w:rPr>
            </w:pPr>
            <w:r w:rsidRPr="00C5545D">
              <w:rPr>
                <w:rFonts w:ascii="Abadi" w:eastAsia="Verdana" w:hAnsi="Abadi" w:cs="Verdana"/>
                <w:sz w:val="21"/>
                <w:szCs w:val="21"/>
              </w:rPr>
              <w:t xml:space="preserve">Vigilar y mantener la seguridad en espacios e instalaciones municipales destinados a la práctica de la cultura física y deporte, así como en eventos y competencias que se celebren en dichas áreas; </w:t>
            </w:r>
          </w:p>
          <w:p w14:paraId="745FD24B"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1B1385A7" w14:textId="77777777" w:rsidR="00462710" w:rsidRPr="00C5545D" w:rsidRDefault="00462710" w:rsidP="00462710">
            <w:pPr>
              <w:numPr>
                <w:ilvl w:val="0"/>
                <w:numId w:val="90"/>
              </w:numPr>
              <w:spacing w:after="2" w:line="241" w:lineRule="auto"/>
              <w:ind w:right="75"/>
              <w:jc w:val="both"/>
              <w:rPr>
                <w:rFonts w:ascii="Abadi" w:hAnsi="Abadi"/>
                <w:sz w:val="21"/>
                <w:szCs w:val="21"/>
              </w:rPr>
            </w:pPr>
            <w:r w:rsidRPr="00C5545D">
              <w:rPr>
                <w:rFonts w:ascii="Abadi" w:eastAsia="Verdana" w:hAnsi="Abadi" w:cs="Verdana"/>
                <w:sz w:val="21"/>
                <w:szCs w:val="21"/>
              </w:rPr>
              <w:t xml:space="preserve">Restringir la promoción y </w:t>
            </w:r>
            <w:r w:rsidRPr="00C5545D">
              <w:rPr>
                <w:rFonts w:ascii="Abadi" w:eastAsia="Verdana" w:hAnsi="Abadi" w:cs="Verdana"/>
                <w:sz w:val="21"/>
                <w:szCs w:val="21"/>
              </w:rPr>
              <w:lastRenderedPageBreak/>
              <w:t xml:space="preserve">colocación de anuncios de bebidas con contenido alcohólico y de tabaco en espacios para la práctica de la cultura física y el deporte, especialmente donde participen niños y jóvenes, en los términos de la Ley General de Salud y demás disposiciones aplicables; </w:t>
            </w:r>
          </w:p>
          <w:p w14:paraId="56FB1BA0"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7A5FBFA9" w14:textId="77777777" w:rsidR="00462710" w:rsidRPr="00C5545D" w:rsidRDefault="00462710" w:rsidP="00462710">
            <w:pPr>
              <w:numPr>
                <w:ilvl w:val="0"/>
                <w:numId w:val="90"/>
              </w:numPr>
              <w:spacing w:line="241" w:lineRule="auto"/>
              <w:ind w:right="75"/>
              <w:jc w:val="both"/>
              <w:rPr>
                <w:rFonts w:ascii="Abadi" w:hAnsi="Abadi"/>
                <w:sz w:val="21"/>
                <w:szCs w:val="21"/>
              </w:rPr>
            </w:pPr>
            <w:r w:rsidRPr="00C5545D">
              <w:rPr>
                <w:rFonts w:ascii="Abadi" w:eastAsia="Verdana" w:hAnsi="Abadi" w:cs="Verdana"/>
                <w:sz w:val="21"/>
                <w:szCs w:val="21"/>
              </w:rPr>
              <w:t xml:space="preserve">Emitir los lineamientos y mecanismos para prevenir la violencia en cualquier evento de carácter deportivo que se celebre en el municipio, en los términos de la Ley </w:t>
            </w:r>
          </w:p>
          <w:p w14:paraId="46489DDF"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General; </w:t>
            </w:r>
          </w:p>
          <w:p w14:paraId="32BFA10B" w14:textId="5520C14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7C91F4E4"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066CBD20" w14:textId="77777777" w:rsidR="00462710" w:rsidRPr="00C5545D" w:rsidRDefault="00462710" w:rsidP="00462710">
            <w:pPr>
              <w:numPr>
                <w:ilvl w:val="0"/>
                <w:numId w:val="90"/>
              </w:numPr>
              <w:spacing w:line="241" w:lineRule="auto"/>
              <w:ind w:right="75"/>
              <w:jc w:val="both"/>
              <w:rPr>
                <w:rFonts w:ascii="Abadi" w:hAnsi="Abadi"/>
                <w:sz w:val="21"/>
                <w:szCs w:val="21"/>
              </w:rPr>
            </w:pPr>
            <w:r w:rsidRPr="00C5545D">
              <w:rPr>
                <w:rFonts w:ascii="Abadi" w:eastAsia="Verdana" w:hAnsi="Abadi" w:cs="Verdana"/>
                <w:sz w:val="21"/>
                <w:szCs w:val="21"/>
              </w:rPr>
              <w:t xml:space="preserve">Acordar la suscripción de convenios con los organismos públicos de la administración pública federal o estatal en materia de salud, para concertar las acciones encaminadas a la atención médica a los deportistas que estén debidamente inscritos en el </w:t>
            </w:r>
          </w:p>
          <w:p w14:paraId="14A0367D"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Registro; </w:t>
            </w:r>
          </w:p>
          <w:p w14:paraId="61572649" w14:textId="77777777" w:rsidR="00462710" w:rsidRPr="00C5545D" w:rsidRDefault="00462710" w:rsidP="00462710">
            <w:pPr>
              <w:spacing w:line="259" w:lineRule="auto"/>
              <w:rPr>
                <w:rFonts w:ascii="Abadi" w:hAnsi="Abadi"/>
                <w:sz w:val="21"/>
                <w:szCs w:val="21"/>
              </w:rPr>
            </w:pPr>
            <w:r w:rsidRPr="00C5545D">
              <w:rPr>
                <w:rFonts w:ascii="Abadi" w:eastAsia="Verdana" w:hAnsi="Abadi" w:cs="Verdana"/>
                <w:sz w:val="21"/>
                <w:szCs w:val="21"/>
              </w:rPr>
              <w:t xml:space="preserve"> </w:t>
            </w:r>
          </w:p>
          <w:p w14:paraId="606EE891" w14:textId="6764A64B" w:rsidR="00462710" w:rsidRPr="002B2DE1" w:rsidRDefault="00462710" w:rsidP="00462710">
            <w:pPr>
              <w:ind w:right="4"/>
              <w:jc w:val="both"/>
              <w:rPr>
                <w:rFonts w:ascii="Abadi" w:hAnsi="Abadi"/>
                <w:sz w:val="21"/>
                <w:szCs w:val="21"/>
              </w:rPr>
            </w:pPr>
            <w:r w:rsidRPr="00C5545D">
              <w:rPr>
                <w:rFonts w:ascii="Abadi" w:eastAsia="Verdana" w:hAnsi="Abadi" w:cs="Verdana"/>
                <w:sz w:val="21"/>
                <w:szCs w:val="21"/>
              </w:rPr>
              <w:t xml:space="preserve">Expedir los lineamientos para </w:t>
            </w:r>
            <w:r w:rsidRPr="00C5545D">
              <w:rPr>
                <w:rFonts w:ascii="Abadi" w:eastAsia="Verdana" w:hAnsi="Abadi" w:cs="Verdana"/>
                <w:sz w:val="21"/>
                <w:szCs w:val="21"/>
              </w:rPr>
              <w:t>el uso de instalaciones deportivas públicas y privadas donde se</w:t>
            </w:r>
          </w:p>
        </w:tc>
        <w:tc>
          <w:tcPr>
            <w:tcW w:w="2073" w:type="dxa"/>
          </w:tcPr>
          <w:p w14:paraId="4485F3C3" w14:textId="77777777" w:rsidR="008305DC" w:rsidRDefault="009C410B" w:rsidP="009C410B">
            <w:pPr>
              <w:spacing w:after="2"/>
              <w:ind w:firstLine="389"/>
              <w:rPr>
                <w:rFonts w:ascii="Abadi" w:eastAsia="Verdana" w:hAnsi="Abadi" w:cs="Verdana"/>
                <w:b/>
                <w:sz w:val="21"/>
                <w:szCs w:val="21"/>
              </w:rPr>
            </w:pPr>
            <w:r w:rsidRPr="00C5545D">
              <w:rPr>
                <w:rFonts w:ascii="Abadi" w:eastAsia="Verdana" w:hAnsi="Abadi" w:cs="Verdana"/>
                <w:b/>
                <w:sz w:val="21"/>
                <w:szCs w:val="21"/>
              </w:rPr>
              <w:lastRenderedPageBreak/>
              <w:t xml:space="preserve">Competencia de los ayuntamientos </w:t>
            </w:r>
          </w:p>
          <w:p w14:paraId="0F7354AF" w14:textId="7A986C76" w:rsidR="009C410B" w:rsidRPr="00C5545D" w:rsidRDefault="009C410B" w:rsidP="009C410B">
            <w:pPr>
              <w:spacing w:after="2"/>
              <w:ind w:firstLine="389"/>
              <w:rPr>
                <w:rFonts w:ascii="Abadi" w:hAnsi="Abadi"/>
                <w:sz w:val="21"/>
                <w:szCs w:val="21"/>
              </w:rPr>
            </w:pPr>
            <w:r w:rsidRPr="00C5545D">
              <w:rPr>
                <w:rFonts w:ascii="Abadi" w:eastAsia="Verdana" w:hAnsi="Abadi" w:cs="Verdana"/>
                <w:sz w:val="21"/>
                <w:szCs w:val="21"/>
              </w:rPr>
              <w:t xml:space="preserve">Artículo 10. Corresponde a los </w:t>
            </w:r>
          </w:p>
          <w:p w14:paraId="56847818" w14:textId="77777777" w:rsidR="009C410B" w:rsidRPr="00C5545D" w:rsidRDefault="009C410B" w:rsidP="009C410B">
            <w:pPr>
              <w:spacing w:line="259" w:lineRule="auto"/>
              <w:rPr>
                <w:rFonts w:ascii="Abadi" w:hAnsi="Abadi"/>
                <w:sz w:val="21"/>
                <w:szCs w:val="21"/>
              </w:rPr>
            </w:pPr>
            <w:r w:rsidRPr="00C5545D">
              <w:rPr>
                <w:rFonts w:ascii="Abadi" w:eastAsia="Verdana" w:hAnsi="Abadi" w:cs="Verdana"/>
                <w:sz w:val="21"/>
                <w:szCs w:val="21"/>
              </w:rPr>
              <w:t xml:space="preserve">Ayuntamientos: </w:t>
            </w:r>
          </w:p>
          <w:p w14:paraId="3300053D" w14:textId="77777777" w:rsidR="009C410B" w:rsidRPr="00C5545D" w:rsidRDefault="009C410B" w:rsidP="009C410B">
            <w:pPr>
              <w:spacing w:line="259" w:lineRule="auto"/>
              <w:rPr>
                <w:rFonts w:ascii="Abadi" w:hAnsi="Abadi"/>
                <w:sz w:val="21"/>
                <w:szCs w:val="21"/>
              </w:rPr>
            </w:pPr>
            <w:r w:rsidRPr="00C5545D">
              <w:rPr>
                <w:rFonts w:ascii="Abadi" w:eastAsia="Verdana" w:hAnsi="Abadi" w:cs="Verdana"/>
                <w:sz w:val="21"/>
                <w:szCs w:val="21"/>
              </w:rPr>
              <w:t xml:space="preserve"> </w:t>
            </w:r>
          </w:p>
          <w:p w14:paraId="22D5CACE" w14:textId="77777777" w:rsidR="009C410B" w:rsidRPr="00C5545D" w:rsidRDefault="009C410B" w:rsidP="009C410B">
            <w:pPr>
              <w:spacing w:line="259" w:lineRule="auto"/>
              <w:rPr>
                <w:rFonts w:ascii="Abadi" w:hAnsi="Abadi"/>
                <w:sz w:val="21"/>
                <w:szCs w:val="21"/>
              </w:rPr>
            </w:pPr>
            <w:r w:rsidRPr="00C5545D">
              <w:rPr>
                <w:rFonts w:ascii="Abadi" w:eastAsia="Verdana" w:hAnsi="Abadi" w:cs="Verdana"/>
                <w:sz w:val="21"/>
                <w:szCs w:val="21"/>
              </w:rPr>
              <w:t xml:space="preserve"> </w:t>
            </w:r>
          </w:p>
          <w:p w14:paraId="51B8D7FD" w14:textId="77777777" w:rsidR="00617284" w:rsidRDefault="009C410B" w:rsidP="009C410B">
            <w:pPr>
              <w:ind w:right="4"/>
              <w:jc w:val="both"/>
              <w:rPr>
                <w:rFonts w:ascii="Abadi" w:eastAsia="Verdana" w:hAnsi="Abadi" w:cs="Verdana"/>
                <w:sz w:val="21"/>
                <w:szCs w:val="21"/>
              </w:rPr>
            </w:pPr>
            <w:r w:rsidRPr="00C5545D">
              <w:rPr>
                <w:rFonts w:ascii="Abadi" w:eastAsia="Verdana" w:hAnsi="Abadi" w:cs="Verdana"/>
                <w:sz w:val="21"/>
                <w:szCs w:val="21"/>
              </w:rPr>
              <w:t>I. Establecer en el Plan Municipal de Desarrollo y en el Programa de Gobierno Municipal las metas, estrategias y acciones para incrementar la calidad de la cultura física y el deporte en el municipio en los</w:t>
            </w:r>
          </w:p>
          <w:p w14:paraId="57276661" w14:textId="77777777" w:rsidR="00FA7CA0" w:rsidRDefault="00FA7CA0" w:rsidP="009C410B">
            <w:pPr>
              <w:ind w:right="4"/>
              <w:jc w:val="both"/>
              <w:rPr>
                <w:rFonts w:ascii="Abadi" w:hAnsi="Abadi"/>
                <w:sz w:val="21"/>
                <w:szCs w:val="21"/>
              </w:rPr>
            </w:pPr>
          </w:p>
          <w:p w14:paraId="21C6EB64" w14:textId="77777777" w:rsidR="00FA7CA0" w:rsidRDefault="00FA7CA0" w:rsidP="009C410B">
            <w:pPr>
              <w:ind w:right="4"/>
              <w:jc w:val="both"/>
              <w:rPr>
                <w:rFonts w:ascii="Abadi" w:hAnsi="Abadi"/>
                <w:sz w:val="21"/>
                <w:szCs w:val="21"/>
              </w:rPr>
            </w:pPr>
          </w:p>
          <w:p w14:paraId="674114F2"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términos del Programa Estatal de Cultura </w:t>
            </w:r>
          </w:p>
          <w:p w14:paraId="46CD7BE7"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Física y Deporte; </w:t>
            </w:r>
          </w:p>
          <w:p w14:paraId="54172DA6"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183F2641"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49AB4323" w14:textId="77777777" w:rsidR="00FA7CA0" w:rsidRPr="00C5545D" w:rsidRDefault="00FA7CA0" w:rsidP="00FA7CA0">
            <w:pPr>
              <w:numPr>
                <w:ilvl w:val="0"/>
                <w:numId w:val="89"/>
              </w:numPr>
              <w:spacing w:after="2"/>
              <w:ind w:right="74"/>
              <w:jc w:val="both"/>
              <w:rPr>
                <w:rFonts w:ascii="Abadi" w:hAnsi="Abadi"/>
                <w:sz w:val="21"/>
                <w:szCs w:val="21"/>
              </w:rPr>
            </w:pPr>
            <w:r w:rsidRPr="00C5545D">
              <w:rPr>
                <w:rFonts w:ascii="Abadi" w:eastAsia="Verdana" w:hAnsi="Abadi" w:cs="Verdana"/>
                <w:sz w:val="21"/>
                <w:szCs w:val="21"/>
              </w:rPr>
              <w:t xml:space="preserve">Contar con un organismo municipal, en los términos de la presente Ley; </w:t>
            </w:r>
          </w:p>
          <w:p w14:paraId="4A3B600B"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62E06707" w14:textId="77777777" w:rsidR="00FA7CA0" w:rsidRPr="00C5545D" w:rsidRDefault="00FA7CA0" w:rsidP="00FA7CA0">
            <w:pPr>
              <w:numPr>
                <w:ilvl w:val="0"/>
                <w:numId w:val="89"/>
              </w:numPr>
              <w:spacing w:after="2"/>
              <w:ind w:right="74"/>
              <w:jc w:val="both"/>
              <w:rPr>
                <w:rFonts w:ascii="Abadi" w:hAnsi="Abadi"/>
                <w:sz w:val="21"/>
                <w:szCs w:val="21"/>
              </w:rPr>
            </w:pPr>
            <w:r w:rsidRPr="00C5545D">
              <w:rPr>
                <w:rFonts w:ascii="Abadi" w:eastAsia="Verdana" w:hAnsi="Abadi" w:cs="Verdana"/>
                <w:sz w:val="21"/>
                <w:szCs w:val="21"/>
              </w:rPr>
              <w:t xml:space="preserve">Diseñar, aplicar y evaluar el Programa Municipal de Cultura Física y Deporte y demás proyectos en la materia; </w:t>
            </w:r>
          </w:p>
          <w:p w14:paraId="55DD59FF"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27D27F67"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516E5E3F" w14:textId="77777777" w:rsidR="00FA7CA0" w:rsidRPr="00C5545D" w:rsidRDefault="00FA7CA0" w:rsidP="00FA7CA0">
            <w:pPr>
              <w:numPr>
                <w:ilvl w:val="0"/>
                <w:numId w:val="89"/>
              </w:numPr>
              <w:spacing w:after="2" w:line="241" w:lineRule="auto"/>
              <w:ind w:right="74"/>
              <w:jc w:val="both"/>
              <w:rPr>
                <w:rFonts w:ascii="Abadi" w:hAnsi="Abadi"/>
                <w:sz w:val="21"/>
                <w:szCs w:val="21"/>
              </w:rPr>
            </w:pPr>
            <w:r w:rsidRPr="00C5545D">
              <w:rPr>
                <w:rFonts w:ascii="Abadi" w:eastAsia="Verdana" w:hAnsi="Abadi" w:cs="Verdana"/>
                <w:sz w:val="21"/>
                <w:szCs w:val="21"/>
              </w:rPr>
              <w:t xml:space="preserve">Emitir los reglamentos y disposiciones administrativas de observancia general, para regular lo relativo a la cultura física y el deporte en el municipio, </w:t>
            </w:r>
            <w:r w:rsidRPr="00C5545D">
              <w:rPr>
                <w:rFonts w:ascii="Abadi" w:eastAsia="Verdana" w:hAnsi="Abadi" w:cs="Verdana"/>
                <w:b/>
                <w:color w:val="212529"/>
                <w:sz w:val="21"/>
                <w:szCs w:val="21"/>
              </w:rPr>
              <w:t>con perspectivas de género y de inclusión</w:t>
            </w:r>
            <w:r w:rsidRPr="00C5545D">
              <w:rPr>
                <w:rFonts w:ascii="Abadi" w:eastAsia="Verdana" w:hAnsi="Abadi" w:cs="Verdana"/>
                <w:sz w:val="21"/>
                <w:szCs w:val="21"/>
              </w:rPr>
              <w:t xml:space="preserve">; </w:t>
            </w:r>
          </w:p>
          <w:p w14:paraId="122269D6"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4D42ED24" w14:textId="77777777" w:rsidR="00FA7CA0" w:rsidRPr="00C5545D" w:rsidRDefault="00FA7CA0" w:rsidP="00FA7CA0">
            <w:pPr>
              <w:numPr>
                <w:ilvl w:val="0"/>
                <w:numId w:val="89"/>
              </w:numPr>
              <w:spacing w:after="2" w:line="241" w:lineRule="auto"/>
              <w:ind w:right="74"/>
              <w:jc w:val="both"/>
              <w:rPr>
                <w:rFonts w:ascii="Abadi" w:hAnsi="Abadi"/>
                <w:sz w:val="21"/>
                <w:szCs w:val="21"/>
              </w:rPr>
            </w:pPr>
            <w:r w:rsidRPr="00C5545D">
              <w:rPr>
                <w:rFonts w:ascii="Abadi" w:eastAsia="Verdana" w:hAnsi="Abadi" w:cs="Verdana"/>
                <w:sz w:val="21"/>
                <w:szCs w:val="21"/>
              </w:rPr>
              <w:t xml:space="preserve">Establecer en sus presupuestos de egresos las partidas para la difusión, promoción, fomento, práctica, investigación, enseñanza, supervisión y evaluación de la cultura física y el deporte; así como para la construcción, </w:t>
            </w:r>
            <w:r w:rsidRPr="00C5545D">
              <w:rPr>
                <w:rFonts w:ascii="Abadi" w:eastAsia="Verdana" w:hAnsi="Abadi" w:cs="Verdana"/>
                <w:sz w:val="21"/>
                <w:szCs w:val="21"/>
              </w:rPr>
              <w:lastRenderedPageBreak/>
              <w:t xml:space="preserve">remodelación, ampliación, adecuación, equipamiento, mantenimiento y conservación de las instalaciones y espacios que se requieran para su práctica; </w:t>
            </w:r>
          </w:p>
          <w:p w14:paraId="1B9052F9"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0ACBEC95" w14:textId="77777777" w:rsidR="00FA7CA0" w:rsidRPr="00C5545D" w:rsidRDefault="00FA7CA0" w:rsidP="00FA7CA0">
            <w:pPr>
              <w:spacing w:line="259" w:lineRule="auto"/>
              <w:rPr>
                <w:rFonts w:ascii="Abadi" w:hAnsi="Abadi"/>
                <w:sz w:val="21"/>
                <w:szCs w:val="21"/>
              </w:rPr>
            </w:pPr>
            <w:r w:rsidRPr="00C5545D">
              <w:rPr>
                <w:rFonts w:ascii="Abadi" w:eastAsia="Verdana" w:hAnsi="Abadi" w:cs="Verdana"/>
                <w:sz w:val="21"/>
                <w:szCs w:val="21"/>
              </w:rPr>
              <w:t xml:space="preserve"> </w:t>
            </w:r>
          </w:p>
          <w:p w14:paraId="4C3FC69A" w14:textId="77777777" w:rsidR="00FA7CA0" w:rsidRPr="00C5545D" w:rsidRDefault="00FA7CA0" w:rsidP="00FA7CA0">
            <w:pPr>
              <w:numPr>
                <w:ilvl w:val="0"/>
                <w:numId w:val="89"/>
              </w:numPr>
              <w:spacing w:line="241" w:lineRule="auto"/>
              <w:ind w:right="74"/>
              <w:jc w:val="both"/>
              <w:rPr>
                <w:rFonts w:ascii="Abadi" w:hAnsi="Abadi"/>
                <w:sz w:val="21"/>
                <w:szCs w:val="21"/>
              </w:rPr>
            </w:pPr>
            <w:r w:rsidRPr="00C5545D">
              <w:rPr>
                <w:rFonts w:ascii="Abadi" w:eastAsia="Verdana" w:hAnsi="Abadi" w:cs="Verdana"/>
                <w:sz w:val="21"/>
                <w:szCs w:val="21"/>
              </w:rPr>
              <w:t xml:space="preserve">Otorgar reconocimientos y apoyos en favor de personas, entidades u organismos que se hayan destacado en la práctica, difusión, promoción, fomento o investigación de la cultura física y el deporte; así como en participaciones </w:t>
            </w:r>
          </w:p>
          <w:p w14:paraId="45B2DDCF" w14:textId="77777777" w:rsidR="00FA7CA0" w:rsidRDefault="00FA7CA0" w:rsidP="00FA7CA0">
            <w:pPr>
              <w:spacing w:line="259" w:lineRule="auto"/>
              <w:rPr>
                <w:rFonts w:ascii="Abadi" w:eastAsia="Verdana" w:hAnsi="Abadi" w:cs="Verdana"/>
                <w:sz w:val="21"/>
                <w:szCs w:val="21"/>
              </w:rPr>
            </w:pPr>
            <w:r w:rsidRPr="00C5545D">
              <w:rPr>
                <w:rFonts w:ascii="Abadi" w:eastAsia="Verdana" w:hAnsi="Abadi" w:cs="Verdana"/>
                <w:sz w:val="21"/>
                <w:szCs w:val="21"/>
              </w:rPr>
              <w:t xml:space="preserve">relevantes en eventos deportivos; </w:t>
            </w:r>
          </w:p>
          <w:p w14:paraId="26515870" w14:textId="77777777" w:rsidR="00A83F0B" w:rsidRDefault="00A83F0B" w:rsidP="00FA7CA0">
            <w:pPr>
              <w:spacing w:line="259" w:lineRule="auto"/>
              <w:rPr>
                <w:rFonts w:ascii="Abadi" w:eastAsia="Verdana" w:hAnsi="Abadi" w:cs="Verdana"/>
                <w:sz w:val="21"/>
                <w:szCs w:val="21"/>
              </w:rPr>
            </w:pPr>
          </w:p>
          <w:p w14:paraId="1036EC82" w14:textId="77777777" w:rsidR="00A83F0B" w:rsidRPr="00C5545D" w:rsidRDefault="00A83F0B" w:rsidP="00A83F0B">
            <w:pPr>
              <w:numPr>
                <w:ilvl w:val="0"/>
                <w:numId w:val="89"/>
              </w:numPr>
              <w:spacing w:line="241" w:lineRule="auto"/>
              <w:ind w:right="74"/>
              <w:jc w:val="both"/>
              <w:rPr>
                <w:rFonts w:ascii="Abadi" w:hAnsi="Abadi"/>
                <w:sz w:val="21"/>
                <w:szCs w:val="21"/>
              </w:rPr>
            </w:pPr>
            <w:r w:rsidRPr="00C5545D">
              <w:rPr>
                <w:rFonts w:ascii="Abadi" w:eastAsia="Verdana" w:hAnsi="Abadi" w:cs="Verdana"/>
                <w:sz w:val="21"/>
                <w:szCs w:val="21"/>
              </w:rPr>
              <w:t xml:space="preserve">Gestionar y promover ante particulares, organismos públicos, privados, estatales y nacionales, el financiamiento para programas y proyectos en materia de cultura física y deporte; </w:t>
            </w:r>
          </w:p>
          <w:p w14:paraId="261BDE44" w14:textId="77777777" w:rsidR="00A83F0B" w:rsidRPr="00C5545D" w:rsidRDefault="00A83F0B" w:rsidP="00A83F0B">
            <w:pPr>
              <w:spacing w:line="259" w:lineRule="auto"/>
              <w:rPr>
                <w:rFonts w:ascii="Abadi" w:hAnsi="Abadi"/>
                <w:sz w:val="21"/>
                <w:szCs w:val="21"/>
              </w:rPr>
            </w:pPr>
            <w:r w:rsidRPr="00C5545D">
              <w:rPr>
                <w:rFonts w:ascii="Abadi" w:eastAsia="Verdana" w:hAnsi="Abadi" w:cs="Verdana"/>
                <w:sz w:val="21"/>
                <w:szCs w:val="21"/>
              </w:rPr>
              <w:t xml:space="preserve"> </w:t>
            </w:r>
          </w:p>
          <w:p w14:paraId="162AA289" w14:textId="77777777" w:rsidR="00A83F0B" w:rsidRPr="00C5545D" w:rsidRDefault="00A83F0B" w:rsidP="00A83F0B">
            <w:pPr>
              <w:spacing w:line="259" w:lineRule="auto"/>
              <w:rPr>
                <w:rFonts w:ascii="Abadi" w:hAnsi="Abadi"/>
                <w:sz w:val="21"/>
                <w:szCs w:val="21"/>
              </w:rPr>
            </w:pPr>
            <w:r w:rsidRPr="00C5545D">
              <w:rPr>
                <w:rFonts w:ascii="Abadi" w:eastAsia="Verdana" w:hAnsi="Abadi" w:cs="Verdana"/>
                <w:sz w:val="21"/>
                <w:szCs w:val="21"/>
              </w:rPr>
              <w:t xml:space="preserve"> </w:t>
            </w:r>
          </w:p>
          <w:p w14:paraId="2473F97D" w14:textId="7CAA0E59" w:rsidR="00A83F0B" w:rsidRDefault="00A83F0B" w:rsidP="00A83F0B">
            <w:pPr>
              <w:spacing w:line="259" w:lineRule="auto"/>
              <w:rPr>
                <w:rFonts w:ascii="Abadi" w:eastAsia="Verdana" w:hAnsi="Abadi" w:cs="Verdana"/>
                <w:sz w:val="21"/>
                <w:szCs w:val="21"/>
              </w:rPr>
            </w:pPr>
            <w:r w:rsidRPr="00C5545D">
              <w:rPr>
                <w:rFonts w:ascii="Abadi" w:eastAsia="Verdana" w:hAnsi="Abadi" w:cs="Verdana"/>
                <w:sz w:val="21"/>
                <w:szCs w:val="21"/>
              </w:rPr>
              <w:t>Acordar la suscripción de acuerdos o convenios de coordinación con la Federación, el Estado, otros estados, ayuntamientos, organismos sociales o privados, para el cumplimiento del objeto de esta Ley;</w:t>
            </w:r>
          </w:p>
          <w:p w14:paraId="0753E25A" w14:textId="77777777" w:rsidR="006F05DA" w:rsidRDefault="006F05DA" w:rsidP="00A83F0B">
            <w:pPr>
              <w:spacing w:line="259" w:lineRule="auto"/>
              <w:rPr>
                <w:rFonts w:ascii="Abadi" w:eastAsia="Verdana" w:hAnsi="Abadi" w:cs="Verdana"/>
                <w:sz w:val="21"/>
                <w:szCs w:val="21"/>
              </w:rPr>
            </w:pPr>
          </w:p>
          <w:p w14:paraId="73926021" w14:textId="77777777" w:rsidR="006F05DA" w:rsidRPr="00C5545D" w:rsidRDefault="006F05DA" w:rsidP="006F05DA">
            <w:pPr>
              <w:numPr>
                <w:ilvl w:val="0"/>
                <w:numId w:val="91"/>
              </w:numPr>
              <w:spacing w:after="2" w:line="241" w:lineRule="auto"/>
              <w:ind w:right="75"/>
              <w:jc w:val="both"/>
              <w:rPr>
                <w:rFonts w:ascii="Abadi" w:hAnsi="Abadi"/>
                <w:sz w:val="21"/>
                <w:szCs w:val="21"/>
              </w:rPr>
            </w:pPr>
            <w:r w:rsidRPr="00C5545D">
              <w:rPr>
                <w:rFonts w:ascii="Abadi" w:eastAsia="Verdana" w:hAnsi="Abadi" w:cs="Verdana"/>
                <w:sz w:val="21"/>
                <w:szCs w:val="21"/>
              </w:rPr>
              <w:t xml:space="preserve">Coordinarse con la CONADE, CODE, organismos estatales o municipales en materia deportiva para la promoción, fomento y desarrollo de la cultura física y deporte y la infraestructura deportiva; </w:t>
            </w:r>
          </w:p>
          <w:p w14:paraId="517EC9A6"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080AC24B"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1FCC7AAF" w14:textId="77777777" w:rsidR="006F05DA" w:rsidRPr="00C5545D" w:rsidRDefault="006F05DA" w:rsidP="006F05DA">
            <w:pPr>
              <w:numPr>
                <w:ilvl w:val="0"/>
                <w:numId w:val="91"/>
              </w:numPr>
              <w:spacing w:line="241" w:lineRule="auto"/>
              <w:ind w:right="75"/>
              <w:jc w:val="both"/>
              <w:rPr>
                <w:rFonts w:ascii="Abadi" w:hAnsi="Abadi"/>
                <w:sz w:val="21"/>
                <w:szCs w:val="21"/>
              </w:rPr>
            </w:pPr>
            <w:r w:rsidRPr="00C5545D">
              <w:rPr>
                <w:rFonts w:ascii="Abadi" w:eastAsia="Verdana" w:hAnsi="Abadi" w:cs="Verdana"/>
                <w:sz w:val="21"/>
                <w:szCs w:val="21"/>
              </w:rPr>
              <w:t xml:space="preserve">Promover, facilitar y propiciar la práctica de actividades deportivas y de cultura física entre los integrantes de la administración pública municipal; </w:t>
            </w:r>
          </w:p>
          <w:p w14:paraId="028B5156"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35BC07D7" w14:textId="77777777" w:rsidR="006F05DA" w:rsidRPr="00C5545D" w:rsidRDefault="006F05DA" w:rsidP="006F05DA">
            <w:pPr>
              <w:numPr>
                <w:ilvl w:val="0"/>
                <w:numId w:val="91"/>
              </w:numPr>
              <w:spacing w:line="241" w:lineRule="auto"/>
              <w:ind w:right="75"/>
              <w:jc w:val="both"/>
              <w:rPr>
                <w:rFonts w:ascii="Abadi" w:hAnsi="Abadi"/>
                <w:sz w:val="21"/>
                <w:szCs w:val="21"/>
              </w:rPr>
            </w:pPr>
            <w:r w:rsidRPr="00C5545D">
              <w:rPr>
                <w:rFonts w:ascii="Abadi" w:eastAsia="Verdana" w:hAnsi="Abadi" w:cs="Verdana"/>
                <w:sz w:val="21"/>
                <w:szCs w:val="21"/>
              </w:rPr>
              <w:t xml:space="preserve">Vigilar y mantener la seguridad en espacios e instalaciones municipales destinados a la práctica de la cultura física y deporte, así como en eventos y competencias que se celebren en dichas áreas; </w:t>
            </w:r>
          </w:p>
          <w:p w14:paraId="09859469"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649B2755" w14:textId="77777777" w:rsidR="006F05DA" w:rsidRPr="00C5545D" w:rsidRDefault="006F05DA" w:rsidP="006F05DA">
            <w:pPr>
              <w:numPr>
                <w:ilvl w:val="0"/>
                <w:numId w:val="91"/>
              </w:numPr>
              <w:spacing w:line="241" w:lineRule="auto"/>
              <w:ind w:right="75"/>
              <w:jc w:val="both"/>
              <w:rPr>
                <w:rFonts w:ascii="Abadi" w:hAnsi="Abadi"/>
                <w:sz w:val="21"/>
                <w:szCs w:val="21"/>
              </w:rPr>
            </w:pPr>
            <w:r w:rsidRPr="00C5545D">
              <w:rPr>
                <w:rFonts w:ascii="Abadi" w:eastAsia="Verdana" w:hAnsi="Abadi" w:cs="Verdana"/>
                <w:sz w:val="21"/>
                <w:szCs w:val="21"/>
              </w:rPr>
              <w:t xml:space="preserve">Restringir la promoción y colocación de anuncios de bebidas con contenido alcohólico y de tabaco en espacios para la práctica de la cultura física y el deporte, </w:t>
            </w:r>
            <w:r w:rsidRPr="00C5545D">
              <w:rPr>
                <w:rFonts w:ascii="Abadi" w:eastAsia="Verdana" w:hAnsi="Abadi" w:cs="Verdana"/>
                <w:sz w:val="21"/>
                <w:szCs w:val="21"/>
              </w:rPr>
              <w:lastRenderedPageBreak/>
              <w:t xml:space="preserve">especialmente donde participen niños y jóvenes, en los términos de la Ley General de Salud y demás disposiciones aplicables; </w:t>
            </w:r>
          </w:p>
          <w:p w14:paraId="2F40C1A5"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6251A1A5"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70B31473" w14:textId="77777777" w:rsidR="006F05DA" w:rsidRPr="00C5545D" w:rsidRDefault="006F05DA" w:rsidP="006F05DA">
            <w:pPr>
              <w:numPr>
                <w:ilvl w:val="0"/>
                <w:numId w:val="91"/>
              </w:numPr>
              <w:spacing w:line="241" w:lineRule="auto"/>
              <w:ind w:right="75"/>
              <w:jc w:val="both"/>
              <w:rPr>
                <w:rFonts w:ascii="Abadi" w:hAnsi="Abadi"/>
                <w:sz w:val="21"/>
                <w:szCs w:val="21"/>
              </w:rPr>
            </w:pPr>
            <w:r w:rsidRPr="00C5545D">
              <w:rPr>
                <w:rFonts w:ascii="Abadi" w:eastAsia="Verdana" w:hAnsi="Abadi" w:cs="Verdana"/>
                <w:sz w:val="21"/>
                <w:szCs w:val="21"/>
              </w:rPr>
              <w:t>Emitir los lineamientos y mecanismos para prevenir la violencia</w:t>
            </w:r>
            <w:r w:rsidRPr="00C5545D">
              <w:rPr>
                <w:rFonts w:ascii="Abadi" w:eastAsia="Verdana" w:hAnsi="Abadi" w:cs="Verdana"/>
                <w:b/>
                <w:sz w:val="21"/>
                <w:szCs w:val="21"/>
              </w:rPr>
              <w:t xml:space="preserve"> y la discriminación por cuestiones de género, orientación sexual o cualquier otra causa, fomentando la igualdad entre el hombre y la mujer, </w:t>
            </w:r>
            <w:r w:rsidRPr="00C5545D">
              <w:rPr>
                <w:rFonts w:ascii="Abadi" w:eastAsia="Verdana" w:hAnsi="Abadi" w:cs="Verdana"/>
                <w:sz w:val="21"/>
                <w:szCs w:val="21"/>
              </w:rPr>
              <w:t xml:space="preserve">en cualquier evento de carácter deportivo que se celebre en el municipio, en los términos de la Ley General; </w:t>
            </w:r>
          </w:p>
          <w:p w14:paraId="212473FE"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0E82A6A0"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453F0950" w14:textId="77777777" w:rsidR="006F05DA" w:rsidRPr="00C5545D" w:rsidRDefault="006F05DA" w:rsidP="006F05DA">
            <w:pPr>
              <w:numPr>
                <w:ilvl w:val="0"/>
                <w:numId w:val="91"/>
              </w:numPr>
              <w:spacing w:line="241" w:lineRule="auto"/>
              <w:ind w:right="75"/>
              <w:jc w:val="both"/>
              <w:rPr>
                <w:rFonts w:ascii="Abadi" w:hAnsi="Abadi"/>
                <w:sz w:val="21"/>
                <w:szCs w:val="21"/>
              </w:rPr>
            </w:pPr>
            <w:r w:rsidRPr="00C5545D">
              <w:rPr>
                <w:rFonts w:ascii="Abadi" w:eastAsia="Verdana" w:hAnsi="Abadi" w:cs="Verdana"/>
                <w:sz w:val="21"/>
                <w:szCs w:val="21"/>
              </w:rPr>
              <w:t xml:space="preserve">Acordar la suscripción de convenios con los organismos públicos de la administración pública federal o estatal en materia de salud, para concertar las acciones encaminadas a la atención médica a los deportistas que estén debidamente inscritos en el Registro; </w:t>
            </w:r>
          </w:p>
          <w:p w14:paraId="1E551CF4"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42447CC8" w14:textId="7777777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 xml:space="preserve"> </w:t>
            </w:r>
          </w:p>
          <w:p w14:paraId="25D1901D" w14:textId="5873CAB7" w:rsidR="006F05DA" w:rsidRPr="00C5545D" w:rsidRDefault="006F05DA" w:rsidP="006F05DA">
            <w:pPr>
              <w:spacing w:line="259" w:lineRule="auto"/>
              <w:rPr>
                <w:rFonts w:ascii="Abadi" w:hAnsi="Abadi"/>
                <w:sz w:val="21"/>
                <w:szCs w:val="21"/>
              </w:rPr>
            </w:pPr>
            <w:r w:rsidRPr="00C5545D">
              <w:rPr>
                <w:rFonts w:ascii="Abadi" w:eastAsia="Verdana" w:hAnsi="Abadi" w:cs="Verdana"/>
                <w:sz w:val="21"/>
                <w:szCs w:val="21"/>
              </w:rPr>
              <w:t>Expedir los lineamientos para el uso de instalaciones deportivas públicas y</w:t>
            </w:r>
          </w:p>
          <w:p w14:paraId="19DCF4A5" w14:textId="7ED20BE9" w:rsidR="00FA7CA0" w:rsidRPr="00695491" w:rsidRDefault="00FA7CA0" w:rsidP="009C410B">
            <w:pPr>
              <w:ind w:right="4"/>
              <w:jc w:val="both"/>
              <w:rPr>
                <w:rFonts w:ascii="Abadi" w:hAnsi="Abadi"/>
                <w:sz w:val="21"/>
                <w:szCs w:val="21"/>
              </w:rPr>
            </w:pPr>
          </w:p>
        </w:tc>
      </w:tr>
      <w:tr w:rsidR="00617284" w:rsidRPr="00695491" w14:paraId="1BC8464E" w14:textId="77777777" w:rsidTr="008305DC">
        <w:tc>
          <w:tcPr>
            <w:tcW w:w="1891" w:type="dxa"/>
          </w:tcPr>
          <w:p w14:paraId="2F97751D" w14:textId="77777777" w:rsidR="00606828" w:rsidRPr="00C5545D" w:rsidRDefault="00606828" w:rsidP="00606828">
            <w:pPr>
              <w:rPr>
                <w:rFonts w:ascii="Abadi" w:hAnsi="Abadi"/>
                <w:sz w:val="21"/>
                <w:szCs w:val="21"/>
              </w:rPr>
            </w:pPr>
            <w:r w:rsidRPr="00C5545D">
              <w:rPr>
                <w:rFonts w:ascii="Abadi" w:eastAsia="Verdana" w:hAnsi="Abadi" w:cs="Verdana"/>
                <w:sz w:val="21"/>
                <w:szCs w:val="21"/>
              </w:rPr>
              <w:lastRenderedPageBreak/>
              <w:t xml:space="preserve">promueva o practique la Cultura Física y el Deporte; </w:t>
            </w:r>
          </w:p>
          <w:p w14:paraId="6074963A" w14:textId="77777777" w:rsidR="00606828" w:rsidRDefault="00606828" w:rsidP="00606828">
            <w:pPr>
              <w:spacing w:line="259" w:lineRule="auto"/>
              <w:rPr>
                <w:rFonts w:ascii="Abadi" w:eastAsia="Verdana" w:hAnsi="Abadi" w:cs="Verdana"/>
                <w:sz w:val="21"/>
                <w:szCs w:val="21"/>
              </w:rPr>
            </w:pPr>
            <w:r w:rsidRPr="00C5545D">
              <w:rPr>
                <w:rFonts w:ascii="Abadi" w:eastAsia="Verdana" w:hAnsi="Abadi" w:cs="Verdana"/>
                <w:sz w:val="21"/>
                <w:szCs w:val="21"/>
              </w:rPr>
              <w:t xml:space="preserve"> </w:t>
            </w:r>
          </w:p>
          <w:p w14:paraId="30A7F4B0" w14:textId="77777777" w:rsidR="00865EE9" w:rsidRDefault="00865EE9" w:rsidP="00606828">
            <w:pPr>
              <w:spacing w:line="259" w:lineRule="auto"/>
              <w:rPr>
                <w:rFonts w:ascii="Abadi" w:hAnsi="Abadi"/>
                <w:sz w:val="21"/>
                <w:szCs w:val="21"/>
              </w:rPr>
            </w:pPr>
          </w:p>
          <w:p w14:paraId="069E729A" w14:textId="77777777" w:rsidR="00865EE9" w:rsidRPr="00C5545D" w:rsidRDefault="00865EE9" w:rsidP="00606828">
            <w:pPr>
              <w:spacing w:line="259" w:lineRule="auto"/>
              <w:rPr>
                <w:rFonts w:ascii="Abadi" w:hAnsi="Abadi"/>
                <w:sz w:val="21"/>
                <w:szCs w:val="21"/>
              </w:rPr>
            </w:pPr>
          </w:p>
          <w:p w14:paraId="73B40DDA" w14:textId="77777777" w:rsidR="00606828" w:rsidRPr="00C5545D" w:rsidRDefault="00606828" w:rsidP="00606828">
            <w:pPr>
              <w:numPr>
                <w:ilvl w:val="0"/>
                <w:numId w:val="92"/>
              </w:numPr>
              <w:spacing w:line="259" w:lineRule="auto"/>
              <w:ind w:right="73"/>
              <w:jc w:val="both"/>
              <w:rPr>
                <w:rFonts w:ascii="Abadi" w:hAnsi="Abadi"/>
                <w:sz w:val="21"/>
                <w:szCs w:val="21"/>
              </w:rPr>
            </w:pPr>
            <w:r w:rsidRPr="00C5545D">
              <w:rPr>
                <w:rFonts w:ascii="Abadi" w:eastAsia="Verdana" w:hAnsi="Abadi" w:cs="Verdana"/>
                <w:sz w:val="21"/>
                <w:szCs w:val="21"/>
              </w:rPr>
              <w:t xml:space="preserve">Integrar el Sistema Municipal del </w:t>
            </w:r>
          </w:p>
          <w:p w14:paraId="5D845BC8"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Deporte; </w:t>
            </w:r>
          </w:p>
          <w:p w14:paraId="39C1DD9A"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5D5F1D88" w14:textId="77777777" w:rsidR="00606828" w:rsidRPr="00C5545D" w:rsidRDefault="00606828" w:rsidP="00606828">
            <w:pPr>
              <w:numPr>
                <w:ilvl w:val="0"/>
                <w:numId w:val="92"/>
              </w:numPr>
              <w:spacing w:after="2"/>
              <w:ind w:right="73"/>
              <w:jc w:val="both"/>
              <w:rPr>
                <w:rFonts w:ascii="Abadi" w:hAnsi="Abadi"/>
                <w:sz w:val="21"/>
                <w:szCs w:val="21"/>
              </w:rPr>
            </w:pPr>
            <w:r w:rsidRPr="00C5545D">
              <w:rPr>
                <w:rFonts w:ascii="Abadi" w:eastAsia="Verdana" w:hAnsi="Abadi" w:cs="Verdana"/>
                <w:sz w:val="21"/>
                <w:szCs w:val="21"/>
              </w:rPr>
              <w:t xml:space="preserve">Emitir la convocatoria para el sector social y privado que conformará el Sistema Municipal del Deporte, de acuerdo a la normatividad aplicable; </w:t>
            </w:r>
          </w:p>
          <w:p w14:paraId="24FCDA47"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134E908A" w14:textId="77777777" w:rsidR="00606828" w:rsidRPr="00C5545D" w:rsidRDefault="00606828" w:rsidP="00606828">
            <w:pPr>
              <w:numPr>
                <w:ilvl w:val="0"/>
                <w:numId w:val="92"/>
              </w:numPr>
              <w:spacing w:line="241" w:lineRule="auto"/>
              <w:ind w:right="73"/>
              <w:jc w:val="both"/>
              <w:rPr>
                <w:rFonts w:ascii="Abadi" w:hAnsi="Abadi"/>
                <w:sz w:val="21"/>
                <w:szCs w:val="21"/>
              </w:rPr>
            </w:pPr>
            <w:r w:rsidRPr="00C5545D">
              <w:rPr>
                <w:rFonts w:ascii="Abadi" w:eastAsia="Verdana" w:hAnsi="Abadi" w:cs="Verdana"/>
                <w:sz w:val="21"/>
                <w:szCs w:val="21"/>
              </w:rPr>
              <w:t xml:space="preserve">Atender y dar seguimiento a la solicitud de clausura de establecimientos deportivos que no cumplan con los requisitos que marca la Ley, su reglamento y demás </w:t>
            </w:r>
          </w:p>
          <w:p w14:paraId="480BC132"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disposiciones aplicables; y </w:t>
            </w:r>
          </w:p>
          <w:p w14:paraId="05FF6473"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31BD359E" w14:textId="77777777" w:rsidR="00606828" w:rsidRPr="00C5545D" w:rsidRDefault="00606828" w:rsidP="00606828">
            <w:pPr>
              <w:numPr>
                <w:ilvl w:val="0"/>
                <w:numId w:val="92"/>
              </w:numPr>
              <w:spacing w:after="8" w:line="235" w:lineRule="auto"/>
              <w:ind w:right="73"/>
              <w:jc w:val="both"/>
              <w:rPr>
                <w:rFonts w:ascii="Abadi" w:hAnsi="Abadi"/>
                <w:sz w:val="21"/>
                <w:szCs w:val="21"/>
              </w:rPr>
            </w:pPr>
            <w:r w:rsidRPr="00C5545D">
              <w:rPr>
                <w:rFonts w:ascii="Abadi" w:eastAsia="Verdana" w:hAnsi="Abadi" w:cs="Verdana"/>
                <w:sz w:val="21"/>
                <w:szCs w:val="21"/>
              </w:rPr>
              <w:t xml:space="preserve">Las demás que señalen las leyes y disposiciones jurídicas aplicables.  </w:t>
            </w:r>
          </w:p>
          <w:p w14:paraId="42BEBDD3"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2A850FCF"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4DBC4EF7" w14:textId="77777777" w:rsidR="00606828" w:rsidRPr="00C5545D" w:rsidRDefault="00606828" w:rsidP="00606828">
            <w:pPr>
              <w:spacing w:line="259" w:lineRule="auto"/>
              <w:rPr>
                <w:rFonts w:ascii="Abadi" w:hAnsi="Abadi"/>
                <w:sz w:val="21"/>
                <w:szCs w:val="21"/>
              </w:rPr>
            </w:pPr>
            <w:r w:rsidRPr="00C5545D">
              <w:rPr>
                <w:rFonts w:ascii="Abadi" w:eastAsia="Verdana" w:hAnsi="Abadi" w:cs="Verdana"/>
                <w:sz w:val="21"/>
                <w:szCs w:val="21"/>
              </w:rPr>
              <w:t xml:space="preserve">      </w:t>
            </w:r>
          </w:p>
          <w:p w14:paraId="03D02186" w14:textId="4C2E409B" w:rsidR="00617284" w:rsidRPr="00695491" w:rsidRDefault="00606828" w:rsidP="00606828">
            <w:pPr>
              <w:ind w:right="4"/>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Se hace recorrido</w:t>
            </w:r>
          </w:p>
        </w:tc>
        <w:tc>
          <w:tcPr>
            <w:tcW w:w="2073" w:type="dxa"/>
          </w:tcPr>
          <w:p w14:paraId="3E667DF5"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privadas donde se promueva o practique la </w:t>
            </w:r>
          </w:p>
          <w:p w14:paraId="7CFB0587"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Cultura Física y el Deporte; </w:t>
            </w:r>
          </w:p>
          <w:p w14:paraId="451010F7"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1467B690"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69D37C31" w14:textId="77777777" w:rsidR="00095D69" w:rsidRPr="00C5545D" w:rsidRDefault="00095D69" w:rsidP="00095D69">
            <w:pPr>
              <w:numPr>
                <w:ilvl w:val="0"/>
                <w:numId w:val="93"/>
              </w:numPr>
              <w:spacing w:line="259" w:lineRule="auto"/>
              <w:ind w:right="72"/>
              <w:jc w:val="both"/>
              <w:rPr>
                <w:rFonts w:ascii="Abadi" w:hAnsi="Abadi"/>
                <w:sz w:val="21"/>
                <w:szCs w:val="21"/>
              </w:rPr>
            </w:pPr>
            <w:r w:rsidRPr="00C5545D">
              <w:rPr>
                <w:rFonts w:ascii="Abadi" w:eastAsia="Verdana" w:hAnsi="Abadi" w:cs="Verdana"/>
                <w:sz w:val="21"/>
                <w:szCs w:val="21"/>
              </w:rPr>
              <w:t xml:space="preserve">Integrar el Sistema Municipal del </w:t>
            </w:r>
          </w:p>
          <w:p w14:paraId="71504162"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Deporte; </w:t>
            </w:r>
          </w:p>
          <w:p w14:paraId="2EE947C9"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4673B52C" w14:textId="77777777" w:rsidR="00095D69" w:rsidRPr="00C5545D" w:rsidRDefault="00095D69" w:rsidP="00095D69">
            <w:pPr>
              <w:numPr>
                <w:ilvl w:val="0"/>
                <w:numId w:val="93"/>
              </w:numPr>
              <w:spacing w:after="2"/>
              <w:ind w:right="72"/>
              <w:jc w:val="both"/>
              <w:rPr>
                <w:rFonts w:ascii="Abadi" w:hAnsi="Abadi"/>
                <w:sz w:val="21"/>
                <w:szCs w:val="21"/>
              </w:rPr>
            </w:pPr>
            <w:r w:rsidRPr="00C5545D">
              <w:rPr>
                <w:rFonts w:ascii="Abadi" w:eastAsia="Verdana" w:hAnsi="Abadi" w:cs="Verdana"/>
                <w:sz w:val="21"/>
                <w:szCs w:val="21"/>
              </w:rPr>
              <w:t xml:space="preserve">Emitir la convocatoria para el sector social y privado que conformará el Sistema Municipal del Deporte, de acuerdo a la </w:t>
            </w:r>
          </w:p>
          <w:p w14:paraId="5FFA39F1"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normatividad aplicable; </w:t>
            </w:r>
          </w:p>
          <w:p w14:paraId="1D8DAE0A"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5F5A8727" w14:textId="77777777" w:rsidR="00095D69" w:rsidRPr="00C5545D" w:rsidRDefault="00095D69" w:rsidP="00095D69">
            <w:pPr>
              <w:numPr>
                <w:ilvl w:val="0"/>
                <w:numId w:val="93"/>
              </w:numPr>
              <w:spacing w:after="2" w:line="241" w:lineRule="auto"/>
              <w:ind w:right="72"/>
              <w:jc w:val="both"/>
              <w:rPr>
                <w:rFonts w:ascii="Abadi" w:hAnsi="Abadi"/>
                <w:sz w:val="21"/>
                <w:szCs w:val="21"/>
              </w:rPr>
            </w:pPr>
            <w:r w:rsidRPr="00C5545D">
              <w:rPr>
                <w:rFonts w:ascii="Abadi" w:eastAsia="Verdana" w:hAnsi="Abadi" w:cs="Verdana"/>
                <w:sz w:val="21"/>
                <w:szCs w:val="21"/>
              </w:rPr>
              <w:t xml:space="preserve">Atender y dar seguimiento a la solicitud de clausura de establecimientos deportivos que no cumplan con los requisitos que marca la Ley, su reglamento y demás disposiciones aplicables; y </w:t>
            </w:r>
          </w:p>
          <w:p w14:paraId="2EFFD4FC"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279A9E04"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sz w:val="21"/>
                <w:szCs w:val="21"/>
              </w:rPr>
              <w:t xml:space="preserve"> </w:t>
            </w:r>
          </w:p>
          <w:p w14:paraId="71ACCA74" w14:textId="77777777" w:rsidR="00095D69" w:rsidRPr="00C5545D" w:rsidRDefault="00095D69" w:rsidP="00095D69">
            <w:pPr>
              <w:numPr>
                <w:ilvl w:val="0"/>
                <w:numId w:val="93"/>
              </w:numPr>
              <w:spacing w:after="2" w:line="241" w:lineRule="auto"/>
              <w:ind w:right="72"/>
              <w:jc w:val="both"/>
              <w:rPr>
                <w:rFonts w:ascii="Abadi" w:hAnsi="Abadi"/>
                <w:sz w:val="21"/>
                <w:szCs w:val="21"/>
              </w:rPr>
            </w:pPr>
            <w:r w:rsidRPr="00C5545D">
              <w:rPr>
                <w:rFonts w:ascii="Abadi" w:eastAsia="Verdana" w:hAnsi="Abadi" w:cs="Verdana"/>
                <w:b/>
                <w:sz w:val="21"/>
                <w:szCs w:val="21"/>
              </w:rPr>
              <w:t xml:space="preserve">Emitir Lineamientos que establezcan las acciones para incrementar la integración, la calidad de la cultura física y el deporte en el Municipio. </w:t>
            </w:r>
          </w:p>
          <w:p w14:paraId="0CDFBD87" w14:textId="77777777" w:rsidR="00095D69" w:rsidRPr="00C5545D" w:rsidRDefault="00095D69" w:rsidP="00095D69">
            <w:pPr>
              <w:spacing w:line="259" w:lineRule="auto"/>
              <w:rPr>
                <w:rFonts w:ascii="Abadi" w:hAnsi="Abadi"/>
                <w:sz w:val="21"/>
                <w:szCs w:val="21"/>
              </w:rPr>
            </w:pPr>
            <w:r w:rsidRPr="00C5545D">
              <w:rPr>
                <w:rFonts w:ascii="Abadi" w:eastAsia="Verdana" w:hAnsi="Abadi" w:cs="Verdana"/>
                <w:b/>
                <w:sz w:val="21"/>
                <w:szCs w:val="21"/>
              </w:rPr>
              <w:t xml:space="preserve"> </w:t>
            </w:r>
          </w:p>
          <w:p w14:paraId="7E76A168" w14:textId="77777777" w:rsidR="00095D69" w:rsidRPr="00C5545D" w:rsidRDefault="00095D69" w:rsidP="00095D69">
            <w:pPr>
              <w:numPr>
                <w:ilvl w:val="0"/>
                <w:numId w:val="93"/>
              </w:numPr>
              <w:spacing w:after="60"/>
              <w:ind w:right="72"/>
              <w:jc w:val="both"/>
              <w:rPr>
                <w:rFonts w:ascii="Abadi" w:hAnsi="Abadi"/>
                <w:sz w:val="21"/>
                <w:szCs w:val="21"/>
              </w:rPr>
            </w:pPr>
            <w:r w:rsidRPr="00C5545D">
              <w:rPr>
                <w:rFonts w:ascii="Abadi" w:eastAsia="Verdana" w:hAnsi="Abadi" w:cs="Verdana"/>
                <w:sz w:val="21"/>
                <w:szCs w:val="21"/>
              </w:rPr>
              <w:lastRenderedPageBreak/>
              <w:t xml:space="preserve">Las demás que señalen las leyes y disposiciones jurídicas aplicables. </w:t>
            </w:r>
          </w:p>
          <w:p w14:paraId="62A2D4BD" w14:textId="77777777" w:rsidR="00617284" w:rsidRPr="00695491" w:rsidRDefault="00617284" w:rsidP="00617284">
            <w:pPr>
              <w:ind w:right="4"/>
              <w:jc w:val="both"/>
              <w:rPr>
                <w:rFonts w:ascii="Abadi" w:hAnsi="Abadi"/>
                <w:sz w:val="21"/>
                <w:szCs w:val="21"/>
              </w:rPr>
            </w:pPr>
          </w:p>
        </w:tc>
      </w:tr>
      <w:tr w:rsidR="008703B2" w:rsidRPr="00695491" w14:paraId="45769231" w14:textId="77777777" w:rsidTr="008305DC">
        <w:tc>
          <w:tcPr>
            <w:tcW w:w="1891" w:type="dxa"/>
          </w:tcPr>
          <w:p w14:paraId="32B3696E" w14:textId="77777777" w:rsidR="00EA42C8" w:rsidRPr="00C5545D" w:rsidRDefault="00EA42C8" w:rsidP="00865EE9">
            <w:pPr>
              <w:spacing w:line="242" w:lineRule="auto"/>
              <w:ind w:right="72"/>
              <w:jc w:val="both"/>
              <w:rPr>
                <w:rFonts w:ascii="Abadi" w:hAnsi="Abadi"/>
                <w:sz w:val="21"/>
                <w:szCs w:val="21"/>
              </w:rPr>
            </w:pPr>
            <w:r w:rsidRPr="00C5545D">
              <w:rPr>
                <w:rFonts w:ascii="Abadi" w:eastAsia="Verdana" w:hAnsi="Abadi" w:cs="Verdana"/>
                <w:b/>
                <w:sz w:val="21"/>
                <w:szCs w:val="21"/>
              </w:rPr>
              <w:lastRenderedPageBreak/>
              <w:t xml:space="preserve">Fomento al deporte por los poderes y organismos autónomos </w:t>
            </w:r>
          </w:p>
          <w:p w14:paraId="27E0800C" w14:textId="77777777" w:rsidR="00EA42C8" w:rsidRPr="00C5545D" w:rsidRDefault="00EA42C8" w:rsidP="00865EE9">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6A9D1317" w14:textId="77777777" w:rsidR="00EA42C8" w:rsidRPr="00C5545D" w:rsidRDefault="00EA42C8" w:rsidP="00865EE9">
            <w:pPr>
              <w:spacing w:after="59" w:line="241" w:lineRule="auto"/>
              <w:ind w:right="73"/>
              <w:jc w:val="both"/>
              <w:rPr>
                <w:rFonts w:ascii="Abadi" w:hAnsi="Abadi"/>
                <w:sz w:val="21"/>
                <w:szCs w:val="21"/>
              </w:rPr>
            </w:pPr>
            <w:r w:rsidRPr="00C5545D">
              <w:rPr>
                <w:rFonts w:ascii="Abadi" w:eastAsia="Verdana" w:hAnsi="Abadi" w:cs="Verdana"/>
                <w:sz w:val="21"/>
                <w:szCs w:val="21"/>
              </w:rPr>
              <w:t xml:space="preserve">Artículo 11. Los poderes Legislativo, Ejecutivo y Judicial, así como los organismos autónomos, deberán promover, facilitar y propiciar la práctica de actividades de cultura física y deporte, entre todos sus servidores públicos. </w:t>
            </w:r>
          </w:p>
          <w:p w14:paraId="26F2452E" w14:textId="77777777" w:rsidR="00EA42C8" w:rsidRPr="00C5545D" w:rsidRDefault="00EA42C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754B7CC" w14:textId="77777777" w:rsidR="00EA42C8" w:rsidRPr="00C5545D" w:rsidRDefault="00EA42C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81BEEE4" w14:textId="77777777" w:rsidR="00EA42C8" w:rsidRPr="00C5545D" w:rsidRDefault="00EA42C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6ED8B80" w14:textId="72A87C3D" w:rsidR="008703B2" w:rsidRPr="00695491" w:rsidRDefault="00EA42C8" w:rsidP="00865EE9">
            <w:pPr>
              <w:ind w:right="4"/>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Sin referente</w:t>
            </w:r>
          </w:p>
        </w:tc>
        <w:tc>
          <w:tcPr>
            <w:tcW w:w="2073" w:type="dxa"/>
          </w:tcPr>
          <w:p w14:paraId="361C896B" w14:textId="77777777" w:rsidR="007D4E83" w:rsidRPr="00C5545D" w:rsidRDefault="007D4E83" w:rsidP="00865EE9">
            <w:pPr>
              <w:spacing w:line="242" w:lineRule="auto"/>
              <w:ind w:right="72"/>
              <w:jc w:val="both"/>
              <w:rPr>
                <w:rFonts w:ascii="Abadi" w:hAnsi="Abadi"/>
                <w:sz w:val="21"/>
                <w:szCs w:val="21"/>
              </w:rPr>
            </w:pPr>
            <w:r w:rsidRPr="00C5545D">
              <w:rPr>
                <w:rFonts w:ascii="Abadi" w:eastAsia="Verdana" w:hAnsi="Abadi" w:cs="Verdana"/>
                <w:b/>
                <w:sz w:val="21"/>
                <w:szCs w:val="21"/>
              </w:rPr>
              <w:t xml:space="preserve">Fomento al deporte por los poderes y organismos autónomos </w:t>
            </w:r>
          </w:p>
          <w:p w14:paraId="7FD0A828" w14:textId="77777777" w:rsidR="007D4E83" w:rsidRPr="00C5545D" w:rsidRDefault="007D4E83" w:rsidP="00865EE9">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2D00204" w14:textId="77777777" w:rsidR="007D4E83" w:rsidRPr="00C5545D" w:rsidRDefault="007D4E83" w:rsidP="00865EE9">
            <w:pPr>
              <w:spacing w:after="60"/>
              <w:ind w:right="71"/>
              <w:jc w:val="both"/>
              <w:rPr>
                <w:rFonts w:ascii="Abadi" w:hAnsi="Abadi"/>
                <w:sz w:val="21"/>
                <w:szCs w:val="21"/>
              </w:rPr>
            </w:pPr>
            <w:r w:rsidRPr="00C5545D">
              <w:rPr>
                <w:rFonts w:ascii="Abadi" w:eastAsia="Verdana" w:hAnsi="Abadi" w:cs="Verdana"/>
                <w:sz w:val="21"/>
                <w:szCs w:val="21"/>
              </w:rPr>
              <w:t xml:space="preserve">Artículo 11. Los poderes Legislativo, Ejecutivo y Judicial, así como los organismos autónomos, deberán promover, facilitar y propiciar la práctica de actividades de cultura física y deporte, entre todos sus servidores públicos. </w:t>
            </w:r>
          </w:p>
          <w:p w14:paraId="00EA141F" w14:textId="77777777" w:rsidR="007D4E83" w:rsidRPr="00C5545D" w:rsidRDefault="007D4E8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F129360" w14:textId="77777777" w:rsidR="007D4E83" w:rsidRDefault="007D4E83"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41F4AD05" w14:textId="77777777" w:rsidR="00865EE9" w:rsidRDefault="00865EE9" w:rsidP="00865EE9">
            <w:pPr>
              <w:spacing w:line="259" w:lineRule="auto"/>
              <w:jc w:val="both"/>
              <w:rPr>
                <w:rFonts w:ascii="Abadi" w:hAnsi="Abadi"/>
                <w:sz w:val="21"/>
                <w:szCs w:val="21"/>
              </w:rPr>
            </w:pPr>
          </w:p>
          <w:p w14:paraId="708DCC23" w14:textId="77777777" w:rsidR="00865EE9" w:rsidRDefault="00865EE9" w:rsidP="00865EE9">
            <w:pPr>
              <w:spacing w:line="259" w:lineRule="auto"/>
              <w:jc w:val="both"/>
              <w:rPr>
                <w:rFonts w:ascii="Abadi" w:hAnsi="Abadi"/>
                <w:sz w:val="21"/>
                <w:szCs w:val="21"/>
              </w:rPr>
            </w:pPr>
          </w:p>
          <w:p w14:paraId="65A2E165" w14:textId="77777777" w:rsidR="00865EE9" w:rsidRDefault="00865EE9" w:rsidP="00865EE9">
            <w:pPr>
              <w:spacing w:line="259" w:lineRule="auto"/>
              <w:jc w:val="both"/>
              <w:rPr>
                <w:rFonts w:ascii="Abadi" w:hAnsi="Abadi"/>
                <w:sz w:val="21"/>
                <w:szCs w:val="21"/>
              </w:rPr>
            </w:pPr>
          </w:p>
          <w:p w14:paraId="0D424811" w14:textId="77777777" w:rsidR="00865EE9" w:rsidRPr="00C5545D" w:rsidRDefault="00865EE9" w:rsidP="00865EE9">
            <w:pPr>
              <w:spacing w:line="259" w:lineRule="auto"/>
              <w:jc w:val="both"/>
              <w:rPr>
                <w:rFonts w:ascii="Abadi" w:hAnsi="Abadi"/>
                <w:sz w:val="21"/>
                <w:szCs w:val="21"/>
              </w:rPr>
            </w:pPr>
          </w:p>
          <w:p w14:paraId="320D5B5B" w14:textId="76AC977E" w:rsidR="008703B2" w:rsidRPr="00695491" w:rsidRDefault="007D4E83" w:rsidP="00865EE9">
            <w:pPr>
              <w:ind w:right="4"/>
              <w:jc w:val="both"/>
              <w:rPr>
                <w:rFonts w:ascii="Abadi" w:hAnsi="Abadi"/>
                <w:sz w:val="21"/>
                <w:szCs w:val="21"/>
              </w:rPr>
            </w:pPr>
            <w:r w:rsidRPr="00C5545D">
              <w:rPr>
                <w:rFonts w:ascii="Abadi" w:eastAsia="Verdana" w:hAnsi="Abadi" w:cs="Verdana"/>
                <w:b/>
                <w:sz w:val="21"/>
                <w:szCs w:val="21"/>
              </w:rPr>
              <w:t>Debiendo evitar la violencia de género o la discriminación, por orientación sexual o discapacidad, fomentando la integración y la igualdad entre el hombre y la mujer, en cualquier evento de carácter deportivo que lleve a cabo.</w:t>
            </w:r>
          </w:p>
        </w:tc>
      </w:tr>
      <w:tr w:rsidR="008703B2" w:rsidRPr="00695491" w14:paraId="7A65F832" w14:textId="77777777" w:rsidTr="008305DC">
        <w:tc>
          <w:tcPr>
            <w:tcW w:w="1891" w:type="dxa"/>
          </w:tcPr>
          <w:p w14:paraId="14C7EE2C" w14:textId="77777777" w:rsidR="00D66A3B" w:rsidRDefault="00D66A3B" w:rsidP="00865EE9">
            <w:pPr>
              <w:spacing w:line="259" w:lineRule="auto"/>
              <w:ind w:right="72"/>
              <w:jc w:val="both"/>
              <w:rPr>
                <w:rFonts w:ascii="Abadi" w:eastAsia="Verdana" w:hAnsi="Abadi" w:cs="Verdana"/>
                <w:b/>
                <w:sz w:val="21"/>
                <w:szCs w:val="21"/>
              </w:rPr>
            </w:pPr>
            <w:r w:rsidRPr="00C5545D">
              <w:rPr>
                <w:rFonts w:ascii="Abadi" w:eastAsia="Verdana" w:hAnsi="Abadi" w:cs="Verdana"/>
                <w:b/>
                <w:sz w:val="21"/>
                <w:szCs w:val="21"/>
              </w:rPr>
              <w:t xml:space="preserve">Acciones del Sistema Estatal </w:t>
            </w:r>
          </w:p>
          <w:p w14:paraId="5234EF82" w14:textId="77777777" w:rsidR="00321EA8" w:rsidRDefault="00321EA8" w:rsidP="00865EE9">
            <w:pPr>
              <w:spacing w:line="259" w:lineRule="auto"/>
              <w:ind w:right="72"/>
              <w:jc w:val="both"/>
              <w:rPr>
                <w:rFonts w:ascii="Abadi" w:eastAsia="Verdana" w:hAnsi="Abadi" w:cs="Verdana"/>
                <w:b/>
                <w:sz w:val="21"/>
                <w:szCs w:val="21"/>
              </w:rPr>
            </w:pPr>
          </w:p>
          <w:p w14:paraId="33FE9F62" w14:textId="77777777" w:rsidR="00321EA8" w:rsidRDefault="00321EA8" w:rsidP="00865EE9">
            <w:pPr>
              <w:spacing w:line="259" w:lineRule="auto"/>
              <w:ind w:right="72"/>
              <w:jc w:val="both"/>
              <w:rPr>
                <w:rFonts w:ascii="Abadi" w:eastAsia="Verdana" w:hAnsi="Abadi" w:cs="Verdana"/>
                <w:b/>
                <w:sz w:val="21"/>
                <w:szCs w:val="21"/>
              </w:rPr>
            </w:pPr>
          </w:p>
          <w:p w14:paraId="778EF611" w14:textId="77777777" w:rsidR="00321EA8" w:rsidRDefault="00321EA8" w:rsidP="00865EE9">
            <w:pPr>
              <w:spacing w:line="259" w:lineRule="auto"/>
              <w:ind w:right="72"/>
              <w:jc w:val="both"/>
              <w:rPr>
                <w:rFonts w:ascii="Abadi" w:eastAsia="Verdana" w:hAnsi="Abadi" w:cs="Verdana"/>
                <w:b/>
                <w:sz w:val="21"/>
                <w:szCs w:val="21"/>
              </w:rPr>
            </w:pPr>
          </w:p>
          <w:p w14:paraId="7317297F" w14:textId="77777777" w:rsidR="00321EA8" w:rsidRPr="00C5545D" w:rsidRDefault="00321EA8" w:rsidP="00865EE9">
            <w:pPr>
              <w:jc w:val="both"/>
              <w:rPr>
                <w:rFonts w:ascii="Abadi" w:hAnsi="Abadi"/>
                <w:sz w:val="21"/>
                <w:szCs w:val="21"/>
              </w:rPr>
            </w:pPr>
            <w:r w:rsidRPr="00C5545D">
              <w:rPr>
                <w:rFonts w:ascii="Abadi" w:eastAsia="Verdana" w:hAnsi="Abadi" w:cs="Verdana"/>
                <w:sz w:val="21"/>
                <w:szCs w:val="21"/>
              </w:rPr>
              <w:t xml:space="preserve">Artículo 14. El Sistema Estatal realizará las </w:t>
            </w:r>
            <w:r w:rsidRPr="00C5545D">
              <w:rPr>
                <w:rFonts w:ascii="Abadi" w:eastAsia="Verdana" w:hAnsi="Abadi" w:cs="Verdana"/>
                <w:sz w:val="21"/>
                <w:szCs w:val="21"/>
              </w:rPr>
              <w:t xml:space="preserve">siguientes acciones: </w:t>
            </w:r>
          </w:p>
          <w:p w14:paraId="5A9FE5D8"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3418149" w14:textId="77777777" w:rsidR="00321EA8" w:rsidRPr="00C5545D" w:rsidRDefault="00321EA8" w:rsidP="00865EE9">
            <w:pPr>
              <w:numPr>
                <w:ilvl w:val="0"/>
                <w:numId w:val="94"/>
              </w:numPr>
              <w:spacing w:line="241" w:lineRule="auto"/>
              <w:ind w:right="75"/>
              <w:jc w:val="both"/>
              <w:rPr>
                <w:rFonts w:ascii="Abadi" w:hAnsi="Abadi"/>
                <w:sz w:val="21"/>
                <w:szCs w:val="21"/>
              </w:rPr>
            </w:pPr>
            <w:r w:rsidRPr="00C5545D">
              <w:rPr>
                <w:rFonts w:ascii="Abadi" w:eastAsia="Verdana" w:hAnsi="Abadi" w:cs="Verdana"/>
                <w:sz w:val="21"/>
                <w:szCs w:val="21"/>
              </w:rPr>
              <w:t xml:space="preserve">Ejecutar las políticas, planes y programas para fomentar el desarrollo y el ejercicio del derecho a la cultura física y el deporte en el Estado de </w:t>
            </w:r>
          </w:p>
          <w:p w14:paraId="4309A3FD"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Guanajuato; </w:t>
            </w:r>
          </w:p>
          <w:p w14:paraId="63E4EBE9"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03B4307"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C874745" w14:textId="77777777" w:rsidR="00321EA8" w:rsidRPr="00C5545D" w:rsidRDefault="00321EA8" w:rsidP="00865EE9">
            <w:pPr>
              <w:numPr>
                <w:ilvl w:val="0"/>
                <w:numId w:val="94"/>
              </w:numPr>
              <w:spacing w:line="241" w:lineRule="auto"/>
              <w:ind w:right="75"/>
              <w:jc w:val="both"/>
              <w:rPr>
                <w:rFonts w:ascii="Abadi" w:hAnsi="Abadi"/>
                <w:sz w:val="21"/>
                <w:szCs w:val="21"/>
              </w:rPr>
            </w:pPr>
            <w:r w:rsidRPr="00C5545D">
              <w:rPr>
                <w:rFonts w:ascii="Abadi" w:eastAsia="Verdana" w:hAnsi="Abadi" w:cs="Verdana"/>
                <w:sz w:val="21"/>
                <w:szCs w:val="21"/>
              </w:rPr>
              <w:t xml:space="preserve">Establecer los mecanismos para la planeación, supervisión, ejecución y evaluación de los programas, organismos deportivos, procesos y actividades de sus integrantes; </w:t>
            </w:r>
          </w:p>
          <w:p w14:paraId="4CC61934"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6C1B262" w14:textId="77777777" w:rsidR="00321EA8" w:rsidRPr="00C5545D" w:rsidRDefault="00321EA8" w:rsidP="00865EE9">
            <w:pPr>
              <w:numPr>
                <w:ilvl w:val="0"/>
                <w:numId w:val="94"/>
              </w:numPr>
              <w:spacing w:line="241" w:lineRule="auto"/>
              <w:ind w:right="75"/>
              <w:jc w:val="both"/>
              <w:rPr>
                <w:rFonts w:ascii="Abadi" w:hAnsi="Abadi"/>
                <w:sz w:val="21"/>
                <w:szCs w:val="21"/>
              </w:rPr>
            </w:pPr>
            <w:r w:rsidRPr="00C5545D">
              <w:rPr>
                <w:rFonts w:ascii="Abadi" w:eastAsia="Verdana" w:hAnsi="Abadi" w:cs="Verdana"/>
                <w:sz w:val="21"/>
                <w:szCs w:val="21"/>
              </w:rPr>
              <w:t xml:space="preserve">Promover la participación de los sectores público, social y privado en el fomento, promoción, práctica, investigación y estímulo de la cultura </w:t>
            </w:r>
          </w:p>
          <w:p w14:paraId="2FE55948"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física y el deporte; </w:t>
            </w:r>
          </w:p>
          <w:p w14:paraId="0C9EE66B"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6FA4062" w14:textId="77777777" w:rsidR="00321EA8" w:rsidRPr="00C5545D" w:rsidRDefault="00321EA8" w:rsidP="00865EE9">
            <w:pPr>
              <w:numPr>
                <w:ilvl w:val="0"/>
                <w:numId w:val="94"/>
              </w:numPr>
              <w:spacing w:after="2"/>
              <w:ind w:right="75"/>
              <w:jc w:val="both"/>
              <w:rPr>
                <w:rFonts w:ascii="Abadi" w:hAnsi="Abadi"/>
                <w:sz w:val="21"/>
                <w:szCs w:val="21"/>
              </w:rPr>
            </w:pPr>
            <w:r w:rsidRPr="00C5545D">
              <w:rPr>
                <w:rFonts w:ascii="Abadi" w:eastAsia="Verdana" w:hAnsi="Abadi" w:cs="Verdana"/>
                <w:sz w:val="21"/>
                <w:szCs w:val="21"/>
              </w:rPr>
              <w:t xml:space="preserve">Formular propuestas para integrar el Programa Estatal de Cultura Física y </w:t>
            </w:r>
          </w:p>
          <w:p w14:paraId="0984BB35"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Deporte; </w:t>
            </w:r>
          </w:p>
          <w:p w14:paraId="440E9E4B"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FDB8C5E" w14:textId="77777777" w:rsidR="00321EA8" w:rsidRPr="00C5545D" w:rsidRDefault="00321EA8" w:rsidP="00865EE9">
            <w:pPr>
              <w:numPr>
                <w:ilvl w:val="0"/>
                <w:numId w:val="94"/>
              </w:numPr>
              <w:spacing w:after="2" w:line="241" w:lineRule="auto"/>
              <w:ind w:right="75"/>
              <w:jc w:val="both"/>
              <w:rPr>
                <w:rFonts w:ascii="Abadi" w:hAnsi="Abadi"/>
                <w:sz w:val="21"/>
                <w:szCs w:val="21"/>
              </w:rPr>
            </w:pPr>
            <w:r w:rsidRPr="00C5545D">
              <w:rPr>
                <w:rFonts w:ascii="Abadi" w:eastAsia="Verdana" w:hAnsi="Abadi" w:cs="Verdana"/>
                <w:sz w:val="21"/>
                <w:szCs w:val="21"/>
              </w:rPr>
              <w:t xml:space="preserve">Desarrollar e impulsar un </w:t>
            </w:r>
            <w:r w:rsidRPr="00C5545D">
              <w:rPr>
                <w:rFonts w:ascii="Abadi" w:eastAsia="Verdana" w:hAnsi="Abadi" w:cs="Verdana"/>
                <w:sz w:val="21"/>
                <w:szCs w:val="21"/>
              </w:rPr>
              <w:lastRenderedPageBreak/>
              <w:t xml:space="preserve">sistema estatal de administración de los recursos humanos, técnicos y financieros en la cultura física y el deporte; </w:t>
            </w:r>
          </w:p>
          <w:p w14:paraId="24A4EC49"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60962FE" w14:textId="77777777" w:rsidR="00321EA8" w:rsidRPr="00C5545D" w:rsidRDefault="00321EA8" w:rsidP="00865EE9">
            <w:pPr>
              <w:numPr>
                <w:ilvl w:val="0"/>
                <w:numId w:val="94"/>
              </w:numPr>
              <w:spacing w:line="241" w:lineRule="auto"/>
              <w:ind w:right="75"/>
              <w:jc w:val="both"/>
              <w:rPr>
                <w:rFonts w:ascii="Abadi" w:hAnsi="Abadi"/>
                <w:sz w:val="21"/>
                <w:szCs w:val="21"/>
              </w:rPr>
            </w:pPr>
            <w:r w:rsidRPr="00C5545D">
              <w:rPr>
                <w:rFonts w:ascii="Abadi" w:eastAsia="Verdana" w:hAnsi="Abadi" w:cs="Verdana"/>
                <w:sz w:val="21"/>
                <w:szCs w:val="21"/>
              </w:rPr>
              <w:t xml:space="preserve">Generar las acciones, financiamiento y programas, para la coordinación, fomento, apoyo, promoción, difusión y desarrollo de la cultura física y el deporte dentro del </w:t>
            </w:r>
          </w:p>
          <w:p w14:paraId="11278624"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Estado; </w:t>
            </w:r>
          </w:p>
          <w:p w14:paraId="3451BAB7"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E74DBB1" w14:textId="77777777" w:rsidR="00321EA8" w:rsidRDefault="00321EA8"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1381DD73" w14:textId="77777777" w:rsidR="00865EE9" w:rsidRPr="00C5545D" w:rsidRDefault="00865EE9" w:rsidP="00865EE9">
            <w:pPr>
              <w:spacing w:line="259" w:lineRule="auto"/>
              <w:jc w:val="both"/>
              <w:rPr>
                <w:rFonts w:ascii="Abadi" w:hAnsi="Abadi"/>
                <w:sz w:val="21"/>
                <w:szCs w:val="21"/>
              </w:rPr>
            </w:pPr>
          </w:p>
          <w:p w14:paraId="241CEDA5"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4D58C57"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F759E54" w14:textId="77777777" w:rsidR="00321EA8" w:rsidRPr="00C5545D" w:rsidRDefault="00321EA8" w:rsidP="00865EE9">
            <w:pPr>
              <w:numPr>
                <w:ilvl w:val="0"/>
                <w:numId w:val="94"/>
              </w:numPr>
              <w:spacing w:line="241" w:lineRule="auto"/>
              <w:ind w:right="75"/>
              <w:jc w:val="both"/>
              <w:rPr>
                <w:rFonts w:ascii="Abadi" w:hAnsi="Abadi"/>
                <w:sz w:val="21"/>
                <w:szCs w:val="21"/>
              </w:rPr>
            </w:pPr>
            <w:r w:rsidRPr="00C5545D">
              <w:rPr>
                <w:rFonts w:ascii="Abadi" w:eastAsia="Verdana" w:hAnsi="Abadi" w:cs="Verdana"/>
                <w:sz w:val="21"/>
                <w:szCs w:val="21"/>
              </w:rPr>
              <w:t xml:space="preserve">Proponer planes y programas que contribuyan a fomentar y promover el desarrollo de la activación física, la cultura física y del deporte con equidad e igualdad hacia las personas con discapacidad; </w:t>
            </w:r>
          </w:p>
          <w:p w14:paraId="2E47C340" w14:textId="77777777" w:rsidR="00321EA8" w:rsidRPr="00C5545D" w:rsidRDefault="00321EA8"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3A59A24" w14:textId="121A33B6" w:rsidR="00321EA8" w:rsidRPr="00C5545D" w:rsidRDefault="00321EA8" w:rsidP="00865EE9">
            <w:pPr>
              <w:spacing w:line="259" w:lineRule="auto"/>
              <w:ind w:right="72"/>
              <w:jc w:val="both"/>
              <w:rPr>
                <w:rFonts w:ascii="Abadi" w:hAnsi="Abadi"/>
                <w:sz w:val="21"/>
                <w:szCs w:val="21"/>
              </w:rPr>
            </w:pPr>
            <w:r w:rsidRPr="00C5545D">
              <w:rPr>
                <w:rFonts w:ascii="Abadi" w:eastAsia="Verdana" w:hAnsi="Abadi" w:cs="Verdana"/>
                <w:sz w:val="21"/>
                <w:szCs w:val="21"/>
              </w:rPr>
              <w:t>Generar y promover la competitividad y la excelencia en el deporte, estableciendo</w:t>
            </w:r>
          </w:p>
          <w:p w14:paraId="70D33D5C" w14:textId="77777777" w:rsidR="008703B2" w:rsidRPr="00695491" w:rsidRDefault="008703B2" w:rsidP="00865EE9">
            <w:pPr>
              <w:ind w:right="4"/>
              <w:jc w:val="both"/>
              <w:rPr>
                <w:rFonts w:ascii="Abadi" w:hAnsi="Abadi"/>
                <w:sz w:val="21"/>
                <w:szCs w:val="21"/>
              </w:rPr>
            </w:pPr>
          </w:p>
        </w:tc>
        <w:tc>
          <w:tcPr>
            <w:tcW w:w="2073" w:type="dxa"/>
          </w:tcPr>
          <w:p w14:paraId="73A01413" w14:textId="77777777" w:rsidR="00821143" w:rsidRPr="00C5545D" w:rsidRDefault="00821143" w:rsidP="00865EE9">
            <w:pPr>
              <w:spacing w:line="259" w:lineRule="auto"/>
              <w:ind w:right="72"/>
              <w:jc w:val="both"/>
              <w:rPr>
                <w:rFonts w:ascii="Abadi" w:hAnsi="Abadi"/>
                <w:sz w:val="21"/>
                <w:szCs w:val="21"/>
              </w:rPr>
            </w:pPr>
            <w:r w:rsidRPr="00C5545D">
              <w:rPr>
                <w:rFonts w:ascii="Abadi" w:eastAsia="Verdana" w:hAnsi="Abadi" w:cs="Verdana"/>
                <w:b/>
                <w:sz w:val="21"/>
                <w:szCs w:val="21"/>
              </w:rPr>
              <w:lastRenderedPageBreak/>
              <w:t xml:space="preserve">Acciones del Sistema Estatal </w:t>
            </w:r>
          </w:p>
          <w:p w14:paraId="3E63350B" w14:textId="77777777" w:rsidR="008703B2" w:rsidRDefault="008703B2" w:rsidP="00865EE9">
            <w:pPr>
              <w:ind w:right="4"/>
              <w:jc w:val="both"/>
              <w:rPr>
                <w:rFonts w:ascii="Abadi" w:hAnsi="Abadi"/>
                <w:sz w:val="21"/>
                <w:szCs w:val="21"/>
              </w:rPr>
            </w:pPr>
          </w:p>
          <w:p w14:paraId="7EF6BB96" w14:textId="77777777" w:rsidR="00471940" w:rsidRPr="00C5545D" w:rsidRDefault="00471940" w:rsidP="00865EE9">
            <w:pPr>
              <w:jc w:val="both"/>
              <w:rPr>
                <w:rFonts w:ascii="Abadi" w:hAnsi="Abadi"/>
                <w:sz w:val="21"/>
                <w:szCs w:val="21"/>
              </w:rPr>
            </w:pPr>
            <w:r w:rsidRPr="00C5545D">
              <w:rPr>
                <w:rFonts w:ascii="Abadi" w:eastAsia="Verdana" w:hAnsi="Abadi" w:cs="Verdana"/>
                <w:sz w:val="21"/>
                <w:szCs w:val="21"/>
              </w:rPr>
              <w:t xml:space="preserve">Artículo 14. El Sistema Estatal realizará las siguientes acciones: </w:t>
            </w:r>
          </w:p>
          <w:p w14:paraId="5A876C77" w14:textId="77777777" w:rsidR="00471940" w:rsidRDefault="00471940"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55F7EC0D" w14:textId="77777777" w:rsidR="00865EE9" w:rsidRDefault="00865EE9" w:rsidP="00865EE9">
            <w:pPr>
              <w:spacing w:line="259" w:lineRule="auto"/>
              <w:jc w:val="both"/>
              <w:rPr>
                <w:rFonts w:ascii="Abadi" w:hAnsi="Abadi"/>
                <w:sz w:val="21"/>
                <w:szCs w:val="21"/>
              </w:rPr>
            </w:pPr>
          </w:p>
          <w:p w14:paraId="41694E8F" w14:textId="77777777" w:rsidR="00865EE9" w:rsidRPr="00C5545D" w:rsidRDefault="00865EE9" w:rsidP="00865EE9">
            <w:pPr>
              <w:spacing w:line="259" w:lineRule="auto"/>
              <w:jc w:val="both"/>
              <w:rPr>
                <w:rFonts w:ascii="Abadi" w:hAnsi="Abadi"/>
                <w:sz w:val="21"/>
                <w:szCs w:val="21"/>
              </w:rPr>
            </w:pPr>
          </w:p>
          <w:p w14:paraId="1858FE8E" w14:textId="77777777" w:rsidR="00471940" w:rsidRPr="00C5545D" w:rsidRDefault="00471940" w:rsidP="00865EE9">
            <w:pPr>
              <w:numPr>
                <w:ilvl w:val="0"/>
                <w:numId w:val="95"/>
              </w:numPr>
              <w:spacing w:line="241" w:lineRule="auto"/>
              <w:ind w:right="74"/>
              <w:jc w:val="both"/>
              <w:rPr>
                <w:rFonts w:ascii="Abadi" w:hAnsi="Abadi"/>
                <w:sz w:val="21"/>
                <w:szCs w:val="21"/>
              </w:rPr>
            </w:pPr>
            <w:r w:rsidRPr="00C5545D">
              <w:rPr>
                <w:rFonts w:ascii="Abadi" w:eastAsia="Verdana" w:hAnsi="Abadi" w:cs="Verdana"/>
                <w:sz w:val="21"/>
                <w:szCs w:val="21"/>
              </w:rPr>
              <w:t xml:space="preserve">Ejecutar las políticas, planes y programas para fomentar el desarrollo y el ejercicio del derecho a la cultura física y el deporte </w:t>
            </w:r>
            <w:r w:rsidRPr="00C5545D">
              <w:rPr>
                <w:rFonts w:ascii="Abadi" w:eastAsia="Verdana" w:hAnsi="Abadi" w:cs="Verdana"/>
                <w:b/>
                <w:sz w:val="21"/>
                <w:szCs w:val="21"/>
              </w:rPr>
              <w:t>social, de rendimiento o alto rendimiento</w:t>
            </w:r>
            <w:r w:rsidRPr="00C5545D">
              <w:rPr>
                <w:rFonts w:ascii="Abadi" w:eastAsia="Verdana" w:hAnsi="Abadi" w:cs="Verdana"/>
                <w:sz w:val="21"/>
                <w:szCs w:val="21"/>
              </w:rPr>
              <w:t xml:space="preserve"> en el Estado de Guanajuato; </w:t>
            </w:r>
          </w:p>
          <w:p w14:paraId="292A4197" w14:textId="77777777" w:rsidR="00471940" w:rsidRDefault="00471940"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367C5A3A" w14:textId="77777777" w:rsidR="00865EE9" w:rsidRPr="00C5545D" w:rsidRDefault="00865EE9" w:rsidP="00865EE9">
            <w:pPr>
              <w:spacing w:line="259" w:lineRule="auto"/>
              <w:jc w:val="both"/>
              <w:rPr>
                <w:rFonts w:ascii="Abadi" w:hAnsi="Abadi"/>
                <w:sz w:val="21"/>
                <w:szCs w:val="21"/>
              </w:rPr>
            </w:pPr>
          </w:p>
          <w:p w14:paraId="5522F394"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8E757AC" w14:textId="77777777" w:rsidR="00471940" w:rsidRPr="00C5545D" w:rsidRDefault="00471940" w:rsidP="00865EE9">
            <w:pPr>
              <w:numPr>
                <w:ilvl w:val="0"/>
                <w:numId w:val="95"/>
              </w:numPr>
              <w:spacing w:line="241" w:lineRule="auto"/>
              <w:ind w:right="74"/>
              <w:jc w:val="both"/>
              <w:rPr>
                <w:rFonts w:ascii="Abadi" w:hAnsi="Abadi"/>
                <w:sz w:val="21"/>
                <w:szCs w:val="21"/>
              </w:rPr>
            </w:pPr>
            <w:r w:rsidRPr="00C5545D">
              <w:rPr>
                <w:rFonts w:ascii="Abadi" w:eastAsia="Verdana" w:hAnsi="Abadi" w:cs="Verdana"/>
                <w:sz w:val="21"/>
                <w:szCs w:val="21"/>
              </w:rPr>
              <w:t xml:space="preserve">Establecer los mecanismos para la planeación, supervisión, ejecución y evaluación de los programas, organismos deportivos, procesos y actividades de sus integrantes; </w:t>
            </w:r>
          </w:p>
          <w:p w14:paraId="1E1B3256"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466C059" w14:textId="77777777" w:rsidR="00471940" w:rsidRPr="00C5545D" w:rsidRDefault="00471940" w:rsidP="00865EE9">
            <w:pPr>
              <w:numPr>
                <w:ilvl w:val="0"/>
                <w:numId w:val="95"/>
              </w:numPr>
              <w:spacing w:after="2" w:line="241" w:lineRule="auto"/>
              <w:ind w:right="74"/>
              <w:jc w:val="both"/>
              <w:rPr>
                <w:rFonts w:ascii="Abadi" w:hAnsi="Abadi"/>
                <w:sz w:val="21"/>
                <w:szCs w:val="21"/>
              </w:rPr>
            </w:pPr>
            <w:r w:rsidRPr="00C5545D">
              <w:rPr>
                <w:rFonts w:ascii="Abadi" w:eastAsia="Verdana" w:hAnsi="Abadi" w:cs="Verdana"/>
                <w:sz w:val="21"/>
                <w:szCs w:val="21"/>
              </w:rPr>
              <w:t xml:space="preserve">Promover la participación de los sectores público, social y privado en el fomento, promoción, práctica, investigación y estímulo de la cultura física y el deporte; </w:t>
            </w:r>
          </w:p>
          <w:p w14:paraId="44EDC52A"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0B1A3E3" w14:textId="77777777" w:rsidR="00471940" w:rsidRPr="00C5545D" w:rsidRDefault="00471940" w:rsidP="00865EE9">
            <w:pPr>
              <w:numPr>
                <w:ilvl w:val="0"/>
                <w:numId w:val="95"/>
              </w:numPr>
              <w:spacing w:line="259" w:lineRule="auto"/>
              <w:ind w:right="74"/>
              <w:jc w:val="both"/>
              <w:rPr>
                <w:rFonts w:ascii="Abadi" w:hAnsi="Abadi"/>
                <w:sz w:val="21"/>
                <w:szCs w:val="21"/>
              </w:rPr>
            </w:pPr>
            <w:r w:rsidRPr="00C5545D">
              <w:rPr>
                <w:rFonts w:ascii="Abadi" w:eastAsia="Verdana" w:hAnsi="Abadi" w:cs="Verdana"/>
                <w:sz w:val="21"/>
                <w:szCs w:val="21"/>
              </w:rPr>
              <w:t xml:space="preserve">Formular propuestas para integrar el </w:t>
            </w:r>
          </w:p>
          <w:p w14:paraId="69E92E2E"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Programa Estatal de Cultura Física y </w:t>
            </w:r>
          </w:p>
          <w:p w14:paraId="319D7826"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Deporte; </w:t>
            </w:r>
          </w:p>
          <w:p w14:paraId="011710B1"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CE80355" w14:textId="77777777" w:rsidR="00471940" w:rsidRPr="00C5545D" w:rsidRDefault="00471940" w:rsidP="00865EE9">
            <w:pPr>
              <w:numPr>
                <w:ilvl w:val="0"/>
                <w:numId w:val="95"/>
              </w:numPr>
              <w:spacing w:line="241" w:lineRule="auto"/>
              <w:ind w:right="74"/>
              <w:jc w:val="both"/>
              <w:rPr>
                <w:rFonts w:ascii="Abadi" w:hAnsi="Abadi"/>
                <w:sz w:val="21"/>
                <w:szCs w:val="21"/>
              </w:rPr>
            </w:pPr>
            <w:r w:rsidRPr="00C5545D">
              <w:rPr>
                <w:rFonts w:ascii="Abadi" w:eastAsia="Verdana" w:hAnsi="Abadi" w:cs="Verdana"/>
                <w:sz w:val="21"/>
                <w:szCs w:val="21"/>
              </w:rPr>
              <w:t xml:space="preserve">Desarrollar e impulsar un sistema estatal de administración de los recursos </w:t>
            </w:r>
            <w:r w:rsidRPr="00C5545D">
              <w:rPr>
                <w:rFonts w:ascii="Abadi" w:eastAsia="Verdana" w:hAnsi="Abadi" w:cs="Verdana"/>
                <w:sz w:val="21"/>
                <w:szCs w:val="21"/>
              </w:rPr>
              <w:lastRenderedPageBreak/>
              <w:t xml:space="preserve">humanos, técnicos y financieros en la cultura física y el deporte; </w:t>
            </w:r>
          </w:p>
          <w:p w14:paraId="1BD4B417"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A0D9E10"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7759F23" w14:textId="77777777" w:rsidR="00471940" w:rsidRPr="00C5545D" w:rsidRDefault="00471940" w:rsidP="00865EE9">
            <w:pPr>
              <w:numPr>
                <w:ilvl w:val="0"/>
                <w:numId w:val="95"/>
              </w:numPr>
              <w:spacing w:after="2"/>
              <w:ind w:right="74"/>
              <w:jc w:val="both"/>
              <w:rPr>
                <w:rFonts w:ascii="Abadi" w:hAnsi="Abadi"/>
                <w:sz w:val="21"/>
                <w:szCs w:val="21"/>
              </w:rPr>
            </w:pPr>
            <w:r w:rsidRPr="00C5545D">
              <w:rPr>
                <w:rFonts w:ascii="Abadi" w:eastAsia="Verdana" w:hAnsi="Abadi" w:cs="Verdana"/>
                <w:sz w:val="21"/>
                <w:szCs w:val="21"/>
              </w:rPr>
              <w:t xml:space="preserve">Generar las acciones, financiamiento y programas </w:t>
            </w:r>
            <w:r w:rsidRPr="00C5545D">
              <w:rPr>
                <w:rFonts w:ascii="Abadi" w:eastAsia="Verdana" w:hAnsi="Abadi" w:cs="Verdana"/>
                <w:b/>
                <w:sz w:val="21"/>
                <w:szCs w:val="21"/>
              </w:rPr>
              <w:t>de deporte social de rendimiento o alto rendimiento equitativos entre mujeres y hombres</w:t>
            </w:r>
            <w:r w:rsidRPr="00C5545D">
              <w:rPr>
                <w:rFonts w:ascii="Abadi" w:eastAsia="Verdana" w:hAnsi="Abadi" w:cs="Verdana"/>
                <w:sz w:val="21"/>
                <w:szCs w:val="21"/>
              </w:rPr>
              <w:t xml:space="preserve">, para la coordinación, fomento, apoyo, promoción, difusión y desarrollo de la cultura física y el deporte dentro del </w:t>
            </w:r>
          </w:p>
          <w:p w14:paraId="4666B497"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Estado; </w:t>
            </w:r>
          </w:p>
          <w:p w14:paraId="6D2AEB81"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299AE39"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CBD8C02" w14:textId="77777777" w:rsidR="00471940" w:rsidRPr="00C5545D" w:rsidRDefault="00471940" w:rsidP="00865EE9">
            <w:pPr>
              <w:numPr>
                <w:ilvl w:val="0"/>
                <w:numId w:val="95"/>
              </w:numPr>
              <w:spacing w:line="241" w:lineRule="auto"/>
              <w:ind w:right="74"/>
              <w:jc w:val="both"/>
              <w:rPr>
                <w:rFonts w:ascii="Abadi" w:hAnsi="Abadi"/>
                <w:sz w:val="21"/>
                <w:szCs w:val="21"/>
              </w:rPr>
            </w:pPr>
            <w:r w:rsidRPr="00C5545D">
              <w:rPr>
                <w:rFonts w:ascii="Abadi" w:eastAsia="Verdana" w:hAnsi="Abadi" w:cs="Verdana"/>
                <w:sz w:val="21"/>
                <w:szCs w:val="21"/>
              </w:rPr>
              <w:t xml:space="preserve">Proponer planes y programas que contribuyan a fomentar y promover el desarrollo de la activación física, la cultura física y del deporte con equidad e igualdad hacia las personas con discapacidad; </w:t>
            </w:r>
          </w:p>
          <w:p w14:paraId="0EB117A0"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AE40202" w14:textId="77777777" w:rsidR="00471940" w:rsidRPr="00C5545D" w:rsidRDefault="0047194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2E5F146" w14:textId="582DD8FF" w:rsidR="00471940" w:rsidRPr="00695491" w:rsidRDefault="00471940" w:rsidP="00865EE9">
            <w:pPr>
              <w:ind w:right="4"/>
              <w:jc w:val="both"/>
              <w:rPr>
                <w:rFonts w:ascii="Abadi" w:hAnsi="Abadi"/>
                <w:sz w:val="21"/>
                <w:szCs w:val="21"/>
              </w:rPr>
            </w:pPr>
            <w:r w:rsidRPr="00C5545D">
              <w:rPr>
                <w:rFonts w:ascii="Abadi" w:eastAsia="Verdana" w:hAnsi="Abadi" w:cs="Verdana"/>
                <w:sz w:val="21"/>
                <w:szCs w:val="21"/>
              </w:rPr>
              <w:t xml:space="preserve">Generar y promover la competitividad en cualquiera </w:t>
            </w:r>
            <w:r w:rsidRPr="00C5545D">
              <w:rPr>
                <w:rFonts w:ascii="Abadi" w:eastAsia="Verdana" w:hAnsi="Abadi" w:cs="Verdana"/>
                <w:b/>
                <w:sz w:val="21"/>
                <w:szCs w:val="21"/>
              </w:rPr>
              <w:t xml:space="preserve">de las formas del deporte </w:t>
            </w:r>
            <w:r w:rsidRPr="00C5545D">
              <w:rPr>
                <w:rFonts w:ascii="Abadi" w:eastAsia="Verdana" w:hAnsi="Abadi" w:cs="Verdana"/>
                <w:sz w:val="21"/>
                <w:szCs w:val="21"/>
              </w:rPr>
              <w:t xml:space="preserve">en condiciones </w:t>
            </w:r>
            <w:r w:rsidRPr="00C5545D">
              <w:rPr>
                <w:rFonts w:ascii="Abadi" w:eastAsia="Verdana" w:hAnsi="Abadi" w:cs="Verdana"/>
                <w:b/>
                <w:sz w:val="21"/>
                <w:szCs w:val="21"/>
              </w:rPr>
              <w:t>de igualdad y sin</w:t>
            </w:r>
          </w:p>
        </w:tc>
      </w:tr>
      <w:tr w:rsidR="004F2712" w:rsidRPr="00695491" w14:paraId="4346777F" w14:textId="77777777" w:rsidTr="008305DC">
        <w:tc>
          <w:tcPr>
            <w:tcW w:w="1891" w:type="dxa"/>
          </w:tcPr>
          <w:p w14:paraId="7EB9B5DD" w14:textId="77777777" w:rsidR="003A480E" w:rsidRPr="00C5545D" w:rsidRDefault="003A480E" w:rsidP="00865EE9">
            <w:pPr>
              <w:spacing w:line="241" w:lineRule="auto"/>
              <w:ind w:right="75"/>
              <w:jc w:val="both"/>
              <w:rPr>
                <w:rFonts w:ascii="Abadi" w:hAnsi="Abadi"/>
                <w:sz w:val="21"/>
                <w:szCs w:val="21"/>
              </w:rPr>
            </w:pPr>
            <w:r w:rsidRPr="00C5545D">
              <w:rPr>
                <w:rFonts w:ascii="Abadi" w:eastAsia="Verdana" w:hAnsi="Abadi" w:cs="Verdana"/>
                <w:sz w:val="21"/>
                <w:szCs w:val="21"/>
              </w:rPr>
              <w:lastRenderedPageBreak/>
              <w:t xml:space="preserve">reconocimientos y apoyos en favor de las personas, entidades u organismos que </w:t>
            </w:r>
            <w:r w:rsidRPr="00C5545D">
              <w:rPr>
                <w:rFonts w:ascii="Abadi" w:eastAsia="Verdana" w:hAnsi="Abadi" w:cs="Verdana"/>
                <w:sz w:val="21"/>
                <w:szCs w:val="21"/>
              </w:rPr>
              <w:t xml:space="preserve">por su trayectoria y resultados se hagan acreedores a los mismos; y </w:t>
            </w:r>
          </w:p>
          <w:p w14:paraId="3582EC9A"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ABB9999"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A0071A1"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E13E875"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CC9A878"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F50E6E1" w14:textId="77777777" w:rsidR="003A480E" w:rsidRDefault="003A480E"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7C3DF779" w14:textId="77777777" w:rsidR="00865EE9" w:rsidRDefault="00865EE9" w:rsidP="00865EE9">
            <w:pPr>
              <w:spacing w:line="259" w:lineRule="auto"/>
              <w:jc w:val="both"/>
              <w:rPr>
                <w:rFonts w:ascii="Abadi" w:hAnsi="Abadi"/>
                <w:sz w:val="21"/>
                <w:szCs w:val="21"/>
              </w:rPr>
            </w:pPr>
          </w:p>
          <w:p w14:paraId="282B6E55" w14:textId="77777777" w:rsidR="00865EE9" w:rsidRDefault="00865EE9" w:rsidP="00865EE9">
            <w:pPr>
              <w:spacing w:line="259" w:lineRule="auto"/>
              <w:jc w:val="both"/>
              <w:rPr>
                <w:rFonts w:ascii="Abadi" w:hAnsi="Abadi"/>
                <w:sz w:val="21"/>
                <w:szCs w:val="21"/>
              </w:rPr>
            </w:pPr>
          </w:p>
          <w:p w14:paraId="691BE223" w14:textId="77777777" w:rsidR="00865EE9" w:rsidRPr="00C5545D" w:rsidRDefault="00865EE9" w:rsidP="00865EE9">
            <w:pPr>
              <w:spacing w:line="259" w:lineRule="auto"/>
              <w:jc w:val="both"/>
              <w:rPr>
                <w:rFonts w:ascii="Abadi" w:hAnsi="Abadi"/>
                <w:sz w:val="21"/>
                <w:szCs w:val="21"/>
              </w:rPr>
            </w:pPr>
          </w:p>
          <w:p w14:paraId="2DB5ECC7"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7495A1F" w14:textId="77777777" w:rsidR="003A480E" w:rsidRPr="00C5545D" w:rsidRDefault="003A480E" w:rsidP="00865EE9">
            <w:pPr>
              <w:spacing w:after="2"/>
              <w:jc w:val="both"/>
              <w:rPr>
                <w:rFonts w:ascii="Abadi" w:hAnsi="Abadi"/>
                <w:sz w:val="21"/>
                <w:szCs w:val="21"/>
              </w:rPr>
            </w:pPr>
            <w:r w:rsidRPr="00C5545D">
              <w:rPr>
                <w:rFonts w:ascii="Abadi" w:eastAsia="Verdana" w:hAnsi="Abadi" w:cs="Verdana"/>
                <w:sz w:val="21"/>
                <w:szCs w:val="21"/>
              </w:rPr>
              <w:t xml:space="preserve">IX. Las demás que señalen las leyes y disposiciones jurídicas aplicables. </w:t>
            </w:r>
          </w:p>
          <w:p w14:paraId="14132A36" w14:textId="77777777" w:rsidR="003A480E" w:rsidRPr="00C5545D" w:rsidRDefault="003A480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E471004" w14:textId="77777777" w:rsidR="003A480E" w:rsidRPr="00C5545D" w:rsidRDefault="003A480E" w:rsidP="00865EE9">
            <w:pPr>
              <w:spacing w:after="60"/>
              <w:ind w:right="76"/>
              <w:jc w:val="both"/>
              <w:rPr>
                <w:rFonts w:ascii="Abadi" w:hAnsi="Abadi"/>
                <w:sz w:val="21"/>
                <w:szCs w:val="21"/>
              </w:rPr>
            </w:pPr>
            <w:r w:rsidRPr="00C5545D">
              <w:rPr>
                <w:rFonts w:ascii="Abadi" w:eastAsia="Verdana" w:hAnsi="Abadi" w:cs="Verdana"/>
                <w:sz w:val="21"/>
                <w:szCs w:val="21"/>
              </w:rPr>
              <w:t xml:space="preserve">El Sistema Estatal deberá coordinar sus actividades con el fin de aplicar las políticas, planes y programas que en materia de activación física, cultura física y deporte emita el Sistema Nacional de Cultura Física y Deporte. </w:t>
            </w:r>
          </w:p>
          <w:p w14:paraId="6572468D" w14:textId="77777777" w:rsidR="004F2712" w:rsidRPr="00695491" w:rsidRDefault="004F2712" w:rsidP="00865EE9">
            <w:pPr>
              <w:ind w:right="4"/>
              <w:jc w:val="both"/>
              <w:rPr>
                <w:rFonts w:ascii="Abadi" w:hAnsi="Abadi"/>
                <w:sz w:val="21"/>
                <w:szCs w:val="21"/>
              </w:rPr>
            </w:pPr>
          </w:p>
        </w:tc>
        <w:tc>
          <w:tcPr>
            <w:tcW w:w="2073" w:type="dxa"/>
          </w:tcPr>
          <w:p w14:paraId="74E60418" w14:textId="77777777" w:rsidR="000170DC" w:rsidRPr="00C5545D" w:rsidRDefault="000170DC" w:rsidP="00865EE9">
            <w:pPr>
              <w:spacing w:after="43" w:line="241" w:lineRule="auto"/>
              <w:ind w:right="72"/>
              <w:jc w:val="both"/>
              <w:rPr>
                <w:rFonts w:ascii="Abadi" w:hAnsi="Abadi"/>
                <w:sz w:val="21"/>
                <w:szCs w:val="21"/>
              </w:rPr>
            </w:pPr>
            <w:r w:rsidRPr="00C5545D">
              <w:rPr>
                <w:rFonts w:ascii="Abadi" w:eastAsia="Verdana" w:hAnsi="Abadi" w:cs="Verdana"/>
                <w:b/>
                <w:sz w:val="21"/>
                <w:szCs w:val="21"/>
              </w:rPr>
              <w:t>discriminación de ninguna especie, así como</w:t>
            </w:r>
            <w:r w:rsidRPr="00C5545D">
              <w:rPr>
                <w:rFonts w:ascii="Abadi" w:eastAsia="Verdana" w:hAnsi="Abadi" w:cs="Verdana"/>
                <w:sz w:val="21"/>
                <w:szCs w:val="21"/>
              </w:rPr>
              <w:t xml:space="preserve"> la excelencia en el deporte, estableciendo reconocimientos y apoyos en favor de las personas, entidades u organismos que por su trayectoria y resultados se hagan acreedores a los mismos, </w:t>
            </w:r>
            <w:r w:rsidRPr="00C5545D">
              <w:rPr>
                <w:rFonts w:ascii="Abadi" w:eastAsia="Verdana" w:hAnsi="Abadi" w:cs="Verdana"/>
                <w:b/>
                <w:sz w:val="21"/>
                <w:szCs w:val="21"/>
              </w:rPr>
              <w:t>tomando en consideración, en lo conducente, la perspectiva de género</w:t>
            </w:r>
            <w:r w:rsidRPr="00C5545D">
              <w:rPr>
                <w:rFonts w:ascii="Abadi" w:eastAsia="Verdana" w:hAnsi="Abadi" w:cs="Verdana"/>
                <w:sz w:val="21"/>
                <w:szCs w:val="21"/>
              </w:rPr>
              <w:t xml:space="preserve">; y </w:t>
            </w:r>
          </w:p>
          <w:p w14:paraId="373803A1" w14:textId="77777777" w:rsidR="000170DC" w:rsidRPr="00C5545D" w:rsidRDefault="000170DC" w:rsidP="00865EE9">
            <w:pPr>
              <w:spacing w:line="259" w:lineRule="auto"/>
              <w:jc w:val="both"/>
              <w:rPr>
                <w:rFonts w:ascii="Abadi" w:hAnsi="Abadi"/>
                <w:sz w:val="21"/>
                <w:szCs w:val="21"/>
              </w:rPr>
            </w:pPr>
            <w:r w:rsidRPr="00C5545D">
              <w:rPr>
                <w:rFonts w:ascii="Abadi" w:hAnsi="Abadi"/>
                <w:sz w:val="21"/>
                <w:szCs w:val="21"/>
              </w:rPr>
              <w:t xml:space="preserve"> </w:t>
            </w:r>
          </w:p>
          <w:p w14:paraId="7AF01B84" w14:textId="77777777" w:rsidR="000170DC" w:rsidRPr="00C5545D" w:rsidRDefault="000170DC" w:rsidP="00865EE9">
            <w:pPr>
              <w:spacing w:line="259" w:lineRule="auto"/>
              <w:jc w:val="both"/>
              <w:rPr>
                <w:rFonts w:ascii="Abadi" w:hAnsi="Abadi"/>
                <w:sz w:val="21"/>
                <w:szCs w:val="21"/>
              </w:rPr>
            </w:pPr>
            <w:r w:rsidRPr="00C5545D">
              <w:rPr>
                <w:rFonts w:ascii="Abadi" w:hAnsi="Abadi"/>
                <w:sz w:val="21"/>
                <w:szCs w:val="21"/>
              </w:rPr>
              <w:t xml:space="preserve"> </w:t>
            </w:r>
          </w:p>
          <w:p w14:paraId="685C8399" w14:textId="77777777" w:rsidR="000170DC" w:rsidRPr="00C5545D" w:rsidRDefault="000170DC" w:rsidP="00865EE9">
            <w:pPr>
              <w:jc w:val="both"/>
              <w:rPr>
                <w:rFonts w:ascii="Abadi" w:hAnsi="Abadi"/>
                <w:sz w:val="21"/>
                <w:szCs w:val="21"/>
              </w:rPr>
            </w:pPr>
            <w:r w:rsidRPr="00C5545D">
              <w:rPr>
                <w:rFonts w:ascii="Abadi" w:eastAsia="Verdana" w:hAnsi="Abadi" w:cs="Verdana"/>
                <w:sz w:val="21"/>
                <w:szCs w:val="21"/>
              </w:rPr>
              <w:t xml:space="preserve">IX. Las demás que señalen las leyes y disposiciones jurídicas aplicables. </w:t>
            </w:r>
          </w:p>
          <w:p w14:paraId="40316D1B" w14:textId="77777777" w:rsidR="000170DC" w:rsidRPr="00C5545D" w:rsidRDefault="000170DC"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3338D8F" w14:textId="77777777" w:rsidR="000170DC" w:rsidRPr="00C5545D" w:rsidRDefault="000170DC" w:rsidP="00865EE9">
            <w:pPr>
              <w:spacing w:after="59" w:line="241" w:lineRule="auto"/>
              <w:ind w:right="73"/>
              <w:jc w:val="both"/>
              <w:rPr>
                <w:rFonts w:ascii="Abadi" w:hAnsi="Abadi"/>
                <w:sz w:val="21"/>
                <w:szCs w:val="21"/>
              </w:rPr>
            </w:pPr>
            <w:r w:rsidRPr="00C5545D">
              <w:rPr>
                <w:rFonts w:ascii="Abadi" w:eastAsia="Verdana" w:hAnsi="Abadi" w:cs="Verdana"/>
                <w:sz w:val="21"/>
                <w:szCs w:val="21"/>
              </w:rPr>
              <w:t xml:space="preserve">El Sistema Estatal deberá coordinar sus actividades con el fin de aplicar las políticas, planes y programas que en materia de activación física, cultura física y deporte emita el Sistema Nacional de Cultura Física y Deporte. </w:t>
            </w:r>
          </w:p>
          <w:p w14:paraId="2BCA7E3E" w14:textId="77777777" w:rsidR="000170DC" w:rsidRPr="00C5545D" w:rsidRDefault="000170DC"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C097E7D" w14:textId="77777777" w:rsidR="004F2712" w:rsidRPr="00695491" w:rsidRDefault="004F2712" w:rsidP="00865EE9">
            <w:pPr>
              <w:ind w:right="4"/>
              <w:jc w:val="both"/>
              <w:rPr>
                <w:rFonts w:ascii="Abadi" w:hAnsi="Abadi"/>
                <w:sz w:val="21"/>
                <w:szCs w:val="21"/>
              </w:rPr>
            </w:pPr>
          </w:p>
        </w:tc>
      </w:tr>
      <w:tr w:rsidR="004F2712" w:rsidRPr="00695491" w14:paraId="3651C332" w14:textId="77777777" w:rsidTr="008305DC">
        <w:tc>
          <w:tcPr>
            <w:tcW w:w="1891" w:type="dxa"/>
          </w:tcPr>
          <w:p w14:paraId="503E0C3D" w14:textId="77777777" w:rsidR="00076220" w:rsidRPr="00C5545D" w:rsidRDefault="00076220" w:rsidP="00076220">
            <w:pPr>
              <w:rPr>
                <w:rFonts w:ascii="Abadi" w:hAnsi="Abadi"/>
                <w:sz w:val="21"/>
                <w:szCs w:val="21"/>
              </w:rPr>
            </w:pPr>
            <w:r w:rsidRPr="00C5545D">
              <w:rPr>
                <w:rFonts w:ascii="Abadi" w:eastAsia="Verdana" w:hAnsi="Abadi" w:cs="Verdana"/>
                <w:sz w:val="21"/>
                <w:szCs w:val="21"/>
              </w:rPr>
              <w:t xml:space="preserve">Artículo 18. La CODE tendrá las siguientes atribuciones: </w:t>
            </w:r>
          </w:p>
          <w:p w14:paraId="77686755"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 </w:t>
            </w:r>
          </w:p>
          <w:p w14:paraId="7B512CA6" w14:textId="77777777" w:rsidR="00076220" w:rsidRPr="00C5545D" w:rsidRDefault="00076220" w:rsidP="00076220">
            <w:pPr>
              <w:numPr>
                <w:ilvl w:val="0"/>
                <w:numId w:val="96"/>
              </w:numPr>
              <w:spacing w:line="242" w:lineRule="auto"/>
              <w:ind w:right="73"/>
              <w:jc w:val="both"/>
              <w:rPr>
                <w:rFonts w:ascii="Abadi" w:hAnsi="Abadi"/>
                <w:sz w:val="21"/>
                <w:szCs w:val="21"/>
              </w:rPr>
            </w:pPr>
            <w:r w:rsidRPr="00C5545D">
              <w:rPr>
                <w:rFonts w:ascii="Abadi" w:eastAsia="Verdana" w:hAnsi="Abadi" w:cs="Verdana"/>
                <w:sz w:val="21"/>
                <w:szCs w:val="21"/>
              </w:rPr>
              <w:t xml:space="preserve">Formular, conducir y evaluar la política de cultura física y deporte en </w:t>
            </w:r>
          </w:p>
          <w:p w14:paraId="742AD769"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Guanajuato; </w:t>
            </w:r>
          </w:p>
          <w:p w14:paraId="2A96C1C5"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 </w:t>
            </w:r>
          </w:p>
          <w:p w14:paraId="74946852" w14:textId="77777777" w:rsidR="00076220" w:rsidRPr="00C5545D" w:rsidRDefault="00076220" w:rsidP="00076220">
            <w:pPr>
              <w:numPr>
                <w:ilvl w:val="0"/>
                <w:numId w:val="96"/>
              </w:numPr>
              <w:spacing w:line="241" w:lineRule="auto"/>
              <w:ind w:right="73"/>
              <w:jc w:val="both"/>
              <w:rPr>
                <w:rFonts w:ascii="Abadi" w:hAnsi="Abadi"/>
                <w:sz w:val="21"/>
                <w:szCs w:val="21"/>
              </w:rPr>
            </w:pPr>
            <w:r w:rsidRPr="00C5545D">
              <w:rPr>
                <w:rFonts w:ascii="Abadi" w:eastAsia="Verdana" w:hAnsi="Abadi" w:cs="Verdana"/>
                <w:sz w:val="21"/>
                <w:szCs w:val="21"/>
              </w:rPr>
              <w:t xml:space="preserve">Proponer al Gobernador del Estado el Programa Estatal de Cultura Física y Deporte, atendiendo a lo </w:t>
            </w:r>
            <w:r w:rsidRPr="00C5545D">
              <w:rPr>
                <w:rFonts w:ascii="Abadi" w:eastAsia="Verdana" w:hAnsi="Abadi" w:cs="Verdana"/>
                <w:sz w:val="21"/>
                <w:szCs w:val="21"/>
              </w:rPr>
              <w:lastRenderedPageBreak/>
              <w:t xml:space="preserve">dispuesto en la Ley General y demás ordenamientos aplicables; </w:t>
            </w:r>
          </w:p>
          <w:p w14:paraId="7C73161C"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 </w:t>
            </w:r>
          </w:p>
          <w:p w14:paraId="662427FB" w14:textId="77777777" w:rsidR="00076220" w:rsidRPr="00C5545D" w:rsidRDefault="00076220" w:rsidP="00076220">
            <w:pPr>
              <w:numPr>
                <w:ilvl w:val="0"/>
                <w:numId w:val="96"/>
              </w:numPr>
              <w:spacing w:line="241" w:lineRule="auto"/>
              <w:ind w:right="73"/>
              <w:jc w:val="both"/>
              <w:rPr>
                <w:rFonts w:ascii="Abadi" w:hAnsi="Abadi"/>
                <w:sz w:val="21"/>
                <w:szCs w:val="21"/>
              </w:rPr>
            </w:pPr>
            <w:r w:rsidRPr="00C5545D">
              <w:rPr>
                <w:rFonts w:ascii="Abadi" w:eastAsia="Verdana" w:hAnsi="Abadi" w:cs="Verdana"/>
                <w:sz w:val="21"/>
                <w:szCs w:val="21"/>
              </w:rPr>
              <w:t xml:space="preserve">Impulsar la investigación, capacitación y enseñanza de la cultura física y el deporte, así como de otras ciencias aplicadas en la materia, en coordinación con los sectores público, social y privado, así como instituciones educativas; </w:t>
            </w:r>
          </w:p>
          <w:p w14:paraId="141EB31C"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 </w:t>
            </w:r>
          </w:p>
          <w:p w14:paraId="78C9F45D" w14:textId="77777777" w:rsidR="00076220" w:rsidRPr="00C5545D" w:rsidRDefault="00076220" w:rsidP="00076220">
            <w:pPr>
              <w:numPr>
                <w:ilvl w:val="0"/>
                <w:numId w:val="96"/>
              </w:numPr>
              <w:spacing w:line="241" w:lineRule="auto"/>
              <w:ind w:right="73"/>
              <w:jc w:val="both"/>
              <w:rPr>
                <w:rFonts w:ascii="Abadi" w:hAnsi="Abadi"/>
                <w:sz w:val="21"/>
                <w:szCs w:val="21"/>
              </w:rPr>
            </w:pPr>
            <w:r w:rsidRPr="00C5545D">
              <w:rPr>
                <w:rFonts w:ascii="Abadi" w:eastAsia="Verdana" w:hAnsi="Abadi" w:cs="Verdana"/>
                <w:sz w:val="21"/>
                <w:szCs w:val="21"/>
              </w:rPr>
              <w:t xml:space="preserve">Implementar acciones que fomenten el desarrollo de la cultura física y el deporte, en coordinación con los organismos municipales, los </w:t>
            </w:r>
          </w:p>
          <w:p w14:paraId="76B080A7"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sectores público, social y privado; </w:t>
            </w:r>
          </w:p>
          <w:p w14:paraId="6C448405" w14:textId="77777777" w:rsidR="00076220" w:rsidRPr="00C5545D" w:rsidRDefault="00076220" w:rsidP="00076220">
            <w:pPr>
              <w:spacing w:line="259" w:lineRule="auto"/>
              <w:rPr>
                <w:rFonts w:ascii="Abadi" w:hAnsi="Abadi"/>
                <w:sz w:val="21"/>
                <w:szCs w:val="21"/>
              </w:rPr>
            </w:pPr>
            <w:r w:rsidRPr="00C5545D">
              <w:rPr>
                <w:rFonts w:ascii="Abadi" w:eastAsia="Verdana" w:hAnsi="Abadi" w:cs="Verdana"/>
                <w:sz w:val="21"/>
                <w:szCs w:val="21"/>
              </w:rPr>
              <w:t xml:space="preserve"> </w:t>
            </w:r>
          </w:p>
          <w:p w14:paraId="2EF9204C" w14:textId="1B89AFAD" w:rsidR="004F2712" w:rsidRPr="00695491" w:rsidRDefault="00076220" w:rsidP="00076220">
            <w:pPr>
              <w:ind w:right="4"/>
              <w:jc w:val="both"/>
              <w:rPr>
                <w:rFonts w:ascii="Abadi" w:hAnsi="Abadi"/>
                <w:sz w:val="21"/>
                <w:szCs w:val="21"/>
              </w:rPr>
            </w:pPr>
            <w:r w:rsidRPr="00C5545D">
              <w:rPr>
                <w:rFonts w:ascii="Abadi" w:eastAsia="Verdana" w:hAnsi="Abadi" w:cs="Verdana"/>
                <w:sz w:val="21"/>
                <w:szCs w:val="21"/>
              </w:rPr>
              <w:t>Otorgar reconocimientos y apoyos a las personas y organismos que se</w:t>
            </w:r>
          </w:p>
        </w:tc>
        <w:tc>
          <w:tcPr>
            <w:tcW w:w="2073" w:type="dxa"/>
          </w:tcPr>
          <w:p w14:paraId="69F9AC45" w14:textId="77777777" w:rsidR="00CB7374" w:rsidRPr="00C5545D" w:rsidRDefault="00CB7374" w:rsidP="00CB7374">
            <w:pPr>
              <w:rPr>
                <w:rFonts w:ascii="Abadi" w:hAnsi="Abadi"/>
                <w:sz w:val="21"/>
                <w:szCs w:val="21"/>
              </w:rPr>
            </w:pPr>
            <w:r w:rsidRPr="00C5545D">
              <w:rPr>
                <w:rFonts w:ascii="Abadi" w:eastAsia="Verdana" w:hAnsi="Abadi" w:cs="Verdana"/>
                <w:sz w:val="21"/>
                <w:szCs w:val="21"/>
              </w:rPr>
              <w:lastRenderedPageBreak/>
              <w:t xml:space="preserve">Artículo 18. La CODE tendrá las siguientes atribuciones: </w:t>
            </w:r>
          </w:p>
          <w:p w14:paraId="2A52C017"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439FF0D9" w14:textId="77777777" w:rsidR="00CB7374" w:rsidRPr="00C5545D" w:rsidRDefault="00CB7374" w:rsidP="00CB7374">
            <w:pPr>
              <w:numPr>
                <w:ilvl w:val="0"/>
                <w:numId w:val="97"/>
              </w:numPr>
              <w:spacing w:line="242" w:lineRule="auto"/>
              <w:ind w:right="74"/>
              <w:jc w:val="both"/>
              <w:rPr>
                <w:rFonts w:ascii="Abadi" w:hAnsi="Abadi"/>
                <w:sz w:val="21"/>
                <w:szCs w:val="21"/>
              </w:rPr>
            </w:pPr>
            <w:r w:rsidRPr="00C5545D">
              <w:rPr>
                <w:rFonts w:ascii="Abadi" w:eastAsia="Verdana" w:hAnsi="Abadi" w:cs="Verdana"/>
                <w:sz w:val="21"/>
                <w:szCs w:val="21"/>
              </w:rPr>
              <w:t xml:space="preserve">Formular, conducir y evaluar la política de cultura física y deporte en Guanajuato; </w:t>
            </w:r>
          </w:p>
          <w:p w14:paraId="69E77B0A"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70681009"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633C2E91" w14:textId="77777777" w:rsidR="00CB7374" w:rsidRPr="00C5545D" w:rsidRDefault="00CB7374" w:rsidP="00CB7374">
            <w:pPr>
              <w:numPr>
                <w:ilvl w:val="0"/>
                <w:numId w:val="97"/>
              </w:numPr>
              <w:spacing w:line="241" w:lineRule="auto"/>
              <w:ind w:right="74"/>
              <w:jc w:val="both"/>
              <w:rPr>
                <w:rFonts w:ascii="Abadi" w:hAnsi="Abadi"/>
                <w:sz w:val="21"/>
                <w:szCs w:val="21"/>
              </w:rPr>
            </w:pPr>
            <w:r w:rsidRPr="00C5545D">
              <w:rPr>
                <w:rFonts w:ascii="Abadi" w:eastAsia="Verdana" w:hAnsi="Abadi" w:cs="Verdana"/>
                <w:sz w:val="21"/>
                <w:szCs w:val="21"/>
              </w:rPr>
              <w:t xml:space="preserve">Proponer al Gobernador del Estado el Programa Estatal de Cultura Física y Deporte, atendiendo a lo dispuesto en la Ley </w:t>
            </w:r>
            <w:r w:rsidRPr="00C5545D">
              <w:rPr>
                <w:rFonts w:ascii="Abadi" w:eastAsia="Verdana" w:hAnsi="Abadi" w:cs="Verdana"/>
                <w:sz w:val="21"/>
                <w:szCs w:val="21"/>
              </w:rPr>
              <w:lastRenderedPageBreak/>
              <w:t xml:space="preserve">General y demás ordenamientos aplicables; </w:t>
            </w:r>
          </w:p>
          <w:p w14:paraId="16D34FEA"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43AD7250" w14:textId="77777777" w:rsidR="00CB7374" w:rsidRPr="00C5545D" w:rsidRDefault="00CB7374" w:rsidP="00CB7374">
            <w:pPr>
              <w:numPr>
                <w:ilvl w:val="0"/>
                <w:numId w:val="97"/>
              </w:numPr>
              <w:spacing w:line="241" w:lineRule="auto"/>
              <w:ind w:right="74"/>
              <w:jc w:val="both"/>
              <w:rPr>
                <w:rFonts w:ascii="Abadi" w:hAnsi="Abadi"/>
                <w:sz w:val="21"/>
                <w:szCs w:val="21"/>
              </w:rPr>
            </w:pPr>
            <w:r w:rsidRPr="00C5545D">
              <w:rPr>
                <w:rFonts w:ascii="Abadi" w:eastAsia="Verdana" w:hAnsi="Abadi" w:cs="Verdana"/>
                <w:sz w:val="21"/>
                <w:szCs w:val="21"/>
              </w:rPr>
              <w:t xml:space="preserve">Impulsar la investigación, capacitación y enseñanza de la cultura física y el deporte, así como de otras ciencias aplicadas en la materia, en coordinación con los sectores público, social y privado, así como instituciones educativas; </w:t>
            </w:r>
          </w:p>
          <w:p w14:paraId="70074AA4"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62C75EC7"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158BD309" w14:textId="77777777" w:rsidR="00CB7374" w:rsidRPr="00C5545D" w:rsidRDefault="00CB7374" w:rsidP="00CB7374">
            <w:pPr>
              <w:numPr>
                <w:ilvl w:val="0"/>
                <w:numId w:val="97"/>
              </w:numPr>
              <w:spacing w:after="2" w:line="241" w:lineRule="auto"/>
              <w:ind w:right="74"/>
              <w:jc w:val="both"/>
              <w:rPr>
                <w:rFonts w:ascii="Abadi" w:hAnsi="Abadi"/>
                <w:sz w:val="21"/>
                <w:szCs w:val="21"/>
              </w:rPr>
            </w:pPr>
            <w:r w:rsidRPr="00C5545D">
              <w:rPr>
                <w:rFonts w:ascii="Abadi" w:eastAsia="Verdana" w:hAnsi="Abadi" w:cs="Verdana"/>
                <w:sz w:val="21"/>
                <w:szCs w:val="21"/>
              </w:rPr>
              <w:t xml:space="preserve">Implementar acciones que fomenten el desarrollo de la cultura física y el deporte, en coordinación con los organismos municipales, los sectores público, social y privado; </w:t>
            </w:r>
          </w:p>
          <w:p w14:paraId="302BB279" w14:textId="77777777" w:rsidR="00CB7374" w:rsidRPr="00C5545D" w:rsidRDefault="00CB7374" w:rsidP="00CB7374">
            <w:pPr>
              <w:spacing w:line="259" w:lineRule="auto"/>
              <w:rPr>
                <w:rFonts w:ascii="Abadi" w:hAnsi="Abadi"/>
                <w:sz w:val="21"/>
                <w:szCs w:val="21"/>
              </w:rPr>
            </w:pPr>
            <w:r w:rsidRPr="00C5545D">
              <w:rPr>
                <w:rFonts w:ascii="Abadi" w:eastAsia="Verdana" w:hAnsi="Abadi" w:cs="Verdana"/>
                <w:sz w:val="21"/>
                <w:szCs w:val="21"/>
              </w:rPr>
              <w:t xml:space="preserve"> </w:t>
            </w:r>
          </w:p>
          <w:p w14:paraId="2658C386" w14:textId="176A9A43" w:rsidR="004F2712" w:rsidRPr="00695491" w:rsidRDefault="00CB7374" w:rsidP="00CB7374">
            <w:pPr>
              <w:ind w:right="4"/>
              <w:jc w:val="both"/>
              <w:rPr>
                <w:rFonts w:ascii="Abadi" w:hAnsi="Abadi"/>
                <w:sz w:val="21"/>
                <w:szCs w:val="21"/>
              </w:rPr>
            </w:pPr>
            <w:r w:rsidRPr="00C5545D">
              <w:rPr>
                <w:rFonts w:ascii="Abadi" w:eastAsia="Verdana" w:hAnsi="Abadi" w:cs="Verdana"/>
                <w:sz w:val="21"/>
                <w:szCs w:val="21"/>
              </w:rPr>
              <w:t xml:space="preserve">Otorgar reconocimientos y apoyos </w:t>
            </w:r>
            <w:r w:rsidRPr="00C5545D">
              <w:rPr>
                <w:rFonts w:ascii="Abadi" w:eastAsia="Verdana" w:hAnsi="Abadi" w:cs="Verdana"/>
                <w:b/>
                <w:sz w:val="21"/>
                <w:szCs w:val="21"/>
              </w:rPr>
              <w:t>equitativos</w:t>
            </w:r>
            <w:r w:rsidRPr="00C5545D">
              <w:rPr>
                <w:rFonts w:ascii="Abadi" w:eastAsia="Verdana" w:hAnsi="Abadi" w:cs="Verdana"/>
                <w:sz w:val="21"/>
                <w:szCs w:val="21"/>
              </w:rPr>
              <w:t xml:space="preserve"> a las personas y organismos</w:t>
            </w:r>
          </w:p>
        </w:tc>
      </w:tr>
      <w:tr w:rsidR="004F2712" w:rsidRPr="00695491" w14:paraId="6A77490F" w14:textId="77777777" w:rsidTr="008305DC">
        <w:tc>
          <w:tcPr>
            <w:tcW w:w="1891" w:type="dxa"/>
          </w:tcPr>
          <w:p w14:paraId="37F2FE4D" w14:textId="77777777" w:rsidR="001A0CC6" w:rsidRPr="00C5545D" w:rsidRDefault="001A0CC6" w:rsidP="00865EE9">
            <w:pPr>
              <w:spacing w:line="241" w:lineRule="auto"/>
              <w:ind w:right="73"/>
              <w:jc w:val="both"/>
              <w:rPr>
                <w:rFonts w:ascii="Abadi" w:hAnsi="Abadi"/>
                <w:sz w:val="21"/>
                <w:szCs w:val="21"/>
              </w:rPr>
            </w:pPr>
            <w:r w:rsidRPr="00C5545D">
              <w:rPr>
                <w:rFonts w:ascii="Abadi" w:eastAsia="Verdana" w:hAnsi="Abadi" w:cs="Verdana"/>
                <w:sz w:val="21"/>
                <w:szCs w:val="21"/>
              </w:rPr>
              <w:lastRenderedPageBreak/>
              <w:t xml:space="preserve">hayan distinguido por sus actividades en la difusión, promoción, fomento, investigación, práctica o supervisión de la cultura física y el deporte, así como a las personas que en forma individual o colectiva, hayan sobresalido en </w:t>
            </w:r>
            <w:r w:rsidRPr="00C5545D">
              <w:rPr>
                <w:rFonts w:ascii="Abadi" w:eastAsia="Verdana" w:hAnsi="Abadi" w:cs="Verdana"/>
                <w:sz w:val="21"/>
                <w:szCs w:val="21"/>
              </w:rPr>
              <w:t xml:space="preserve">eventos deportivos estatales, </w:t>
            </w:r>
          </w:p>
          <w:p w14:paraId="0012A180"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nacionales o internacionales; </w:t>
            </w:r>
          </w:p>
          <w:p w14:paraId="65CA5096"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D828754" w14:textId="77777777" w:rsidR="001A0CC6" w:rsidRPr="00C5545D" w:rsidRDefault="001A0CC6" w:rsidP="00865EE9">
            <w:pPr>
              <w:numPr>
                <w:ilvl w:val="0"/>
                <w:numId w:val="98"/>
              </w:numPr>
              <w:spacing w:line="241" w:lineRule="auto"/>
              <w:ind w:right="73"/>
              <w:jc w:val="both"/>
              <w:rPr>
                <w:rFonts w:ascii="Abadi" w:hAnsi="Abadi"/>
                <w:sz w:val="21"/>
                <w:szCs w:val="21"/>
              </w:rPr>
            </w:pPr>
            <w:r w:rsidRPr="00C5545D">
              <w:rPr>
                <w:rFonts w:ascii="Abadi" w:eastAsia="Verdana" w:hAnsi="Abadi" w:cs="Verdana"/>
                <w:sz w:val="21"/>
                <w:szCs w:val="21"/>
              </w:rPr>
              <w:t xml:space="preserve">Proponer el desarrollo de programas de formación, capacitación, actualización y enseñanza en materia </w:t>
            </w:r>
          </w:p>
          <w:p w14:paraId="338E53CB"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de cultura física y deporte; </w:t>
            </w:r>
          </w:p>
          <w:p w14:paraId="76316803"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070300D"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AF05164" w14:textId="77777777" w:rsidR="001A0CC6" w:rsidRPr="00C5545D" w:rsidRDefault="001A0CC6" w:rsidP="00865EE9">
            <w:pPr>
              <w:numPr>
                <w:ilvl w:val="0"/>
                <w:numId w:val="98"/>
              </w:numPr>
              <w:spacing w:after="2"/>
              <w:ind w:right="73"/>
              <w:jc w:val="both"/>
              <w:rPr>
                <w:rFonts w:ascii="Abadi" w:hAnsi="Abadi"/>
                <w:sz w:val="21"/>
                <w:szCs w:val="21"/>
              </w:rPr>
            </w:pPr>
            <w:r w:rsidRPr="00C5545D">
              <w:rPr>
                <w:rFonts w:ascii="Abadi" w:eastAsia="Verdana" w:hAnsi="Abadi" w:cs="Verdana"/>
                <w:sz w:val="21"/>
                <w:szCs w:val="21"/>
              </w:rPr>
              <w:t xml:space="preserve">Coordinar, fomentar, promover y organizar la celebración de competencias, campeonatos, torneos y programas de cultura física y deporte en colaboración con todos los sectores de la población; </w:t>
            </w:r>
          </w:p>
          <w:p w14:paraId="006F4E09"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911678A" w14:textId="77777777" w:rsidR="001A0CC6" w:rsidRPr="00C5545D" w:rsidRDefault="001A0CC6" w:rsidP="00865EE9">
            <w:pPr>
              <w:numPr>
                <w:ilvl w:val="0"/>
                <w:numId w:val="98"/>
              </w:numPr>
              <w:spacing w:after="2"/>
              <w:ind w:right="73"/>
              <w:jc w:val="both"/>
              <w:rPr>
                <w:rFonts w:ascii="Abadi" w:hAnsi="Abadi"/>
                <w:sz w:val="21"/>
                <w:szCs w:val="21"/>
              </w:rPr>
            </w:pPr>
            <w:r w:rsidRPr="00C5545D">
              <w:rPr>
                <w:rFonts w:ascii="Abadi" w:eastAsia="Verdana" w:hAnsi="Abadi" w:cs="Verdana"/>
                <w:sz w:val="21"/>
                <w:szCs w:val="21"/>
              </w:rPr>
              <w:t xml:space="preserve">Promover la participación de deportistas en eventos nacionales e </w:t>
            </w:r>
          </w:p>
          <w:p w14:paraId="3BBE02C9"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internacionales; </w:t>
            </w:r>
          </w:p>
          <w:p w14:paraId="037D9C4F"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4E23A86" w14:textId="77777777" w:rsidR="001A0CC6" w:rsidRPr="00C5545D" w:rsidRDefault="001A0CC6" w:rsidP="00865EE9">
            <w:pPr>
              <w:numPr>
                <w:ilvl w:val="0"/>
                <w:numId w:val="98"/>
              </w:numPr>
              <w:spacing w:after="3"/>
              <w:ind w:right="73"/>
              <w:jc w:val="both"/>
              <w:rPr>
                <w:rFonts w:ascii="Abadi" w:hAnsi="Abadi"/>
                <w:sz w:val="21"/>
                <w:szCs w:val="21"/>
              </w:rPr>
            </w:pPr>
            <w:r w:rsidRPr="00C5545D">
              <w:rPr>
                <w:rFonts w:ascii="Abadi" w:eastAsia="Verdana" w:hAnsi="Abadi" w:cs="Verdana"/>
                <w:sz w:val="21"/>
                <w:szCs w:val="21"/>
              </w:rPr>
              <w:t xml:space="preserve">Difundir y promover la cultura física y el deporte a través de los medios de </w:t>
            </w:r>
          </w:p>
          <w:p w14:paraId="75EBE684"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comunicación; </w:t>
            </w:r>
          </w:p>
          <w:p w14:paraId="75F74CDD"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B4C9E51" w14:textId="77777777" w:rsidR="001A0CC6" w:rsidRPr="00C5545D" w:rsidRDefault="001A0CC6" w:rsidP="00865EE9">
            <w:pPr>
              <w:numPr>
                <w:ilvl w:val="0"/>
                <w:numId w:val="98"/>
              </w:numPr>
              <w:spacing w:line="241" w:lineRule="auto"/>
              <w:ind w:right="73"/>
              <w:jc w:val="both"/>
              <w:rPr>
                <w:rFonts w:ascii="Abadi" w:hAnsi="Abadi"/>
                <w:sz w:val="21"/>
                <w:szCs w:val="21"/>
              </w:rPr>
            </w:pPr>
            <w:r w:rsidRPr="00C5545D">
              <w:rPr>
                <w:rFonts w:ascii="Abadi" w:eastAsia="Verdana" w:hAnsi="Abadi" w:cs="Verdana"/>
                <w:sz w:val="21"/>
                <w:szCs w:val="21"/>
              </w:rPr>
              <w:t xml:space="preserve">Promover la práctica de actividades de cultura física y deporte entre los integrantes de la </w:t>
            </w:r>
            <w:r w:rsidRPr="00C5545D">
              <w:rPr>
                <w:rFonts w:ascii="Abadi" w:eastAsia="Verdana" w:hAnsi="Abadi" w:cs="Verdana"/>
                <w:sz w:val="21"/>
                <w:szCs w:val="21"/>
              </w:rPr>
              <w:lastRenderedPageBreak/>
              <w:t xml:space="preserve">administración pública estatal y municipal; </w:t>
            </w:r>
          </w:p>
          <w:p w14:paraId="35624FC9"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79B9B01" w14:textId="77777777" w:rsidR="001A0CC6" w:rsidRPr="00C5545D" w:rsidRDefault="001A0CC6" w:rsidP="00865EE9">
            <w:pPr>
              <w:numPr>
                <w:ilvl w:val="0"/>
                <w:numId w:val="98"/>
              </w:numPr>
              <w:spacing w:after="2"/>
              <w:ind w:right="73"/>
              <w:jc w:val="both"/>
              <w:rPr>
                <w:rFonts w:ascii="Abadi" w:hAnsi="Abadi"/>
                <w:sz w:val="21"/>
                <w:szCs w:val="21"/>
              </w:rPr>
            </w:pPr>
            <w:r w:rsidRPr="00C5545D">
              <w:rPr>
                <w:rFonts w:ascii="Abadi" w:eastAsia="Verdana" w:hAnsi="Abadi" w:cs="Verdana"/>
                <w:sz w:val="21"/>
                <w:szCs w:val="21"/>
              </w:rPr>
              <w:t xml:space="preserve">Coordinar con los municipios, los organismos deportivos a que se refiere esta Ley y en general con cualquier persona, la formación y capacitación de profesionales y promotores para el fomento de la cultura física y el deporte; </w:t>
            </w:r>
          </w:p>
          <w:p w14:paraId="479625B1"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630D735" w14:textId="77777777" w:rsidR="001A0CC6" w:rsidRPr="00C5545D" w:rsidRDefault="001A0CC6" w:rsidP="00865EE9">
            <w:pPr>
              <w:numPr>
                <w:ilvl w:val="0"/>
                <w:numId w:val="98"/>
              </w:numPr>
              <w:ind w:right="73"/>
              <w:jc w:val="both"/>
              <w:rPr>
                <w:rFonts w:ascii="Abadi" w:hAnsi="Abadi"/>
                <w:sz w:val="21"/>
                <w:szCs w:val="21"/>
              </w:rPr>
            </w:pPr>
            <w:r w:rsidRPr="00C5545D">
              <w:rPr>
                <w:rFonts w:ascii="Abadi" w:eastAsia="Verdana" w:hAnsi="Abadi" w:cs="Verdana"/>
                <w:sz w:val="21"/>
                <w:szCs w:val="21"/>
              </w:rPr>
              <w:t xml:space="preserve">Difundir la información de interés público para la práctica de la cultura </w:t>
            </w:r>
          </w:p>
          <w:p w14:paraId="7ABCF945"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física y el deporte; </w:t>
            </w:r>
          </w:p>
          <w:p w14:paraId="3EB3D749" w14:textId="77777777" w:rsidR="001A0CC6" w:rsidRPr="00C5545D" w:rsidRDefault="001A0CC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9BA34FF" w14:textId="1456D1E1" w:rsidR="004F2712" w:rsidRPr="00695491" w:rsidRDefault="001A0CC6" w:rsidP="00865EE9">
            <w:pPr>
              <w:ind w:right="4"/>
              <w:jc w:val="both"/>
              <w:rPr>
                <w:rFonts w:ascii="Abadi" w:hAnsi="Abadi"/>
                <w:sz w:val="21"/>
                <w:szCs w:val="21"/>
              </w:rPr>
            </w:pPr>
            <w:r w:rsidRPr="00C5545D">
              <w:rPr>
                <w:rFonts w:ascii="Abadi" w:eastAsia="Verdana" w:hAnsi="Abadi" w:cs="Verdana"/>
                <w:sz w:val="21"/>
                <w:szCs w:val="21"/>
              </w:rPr>
              <w:t>Vigilar y validar en coordinación con las dependencias y entidades competentes, el cumplimiento de los lineamientos en materia de infraestructura deportiva; así como</w:t>
            </w:r>
          </w:p>
        </w:tc>
        <w:tc>
          <w:tcPr>
            <w:tcW w:w="2073" w:type="dxa"/>
          </w:tcPr>
          <w:p w14:paraId="3A5E02E9" w14:textId="77777777" w:rsidR="00B33B90" w:rsidRPr="00C5545D" w:rsidRDefault="00B33B90" w:rsidP="00865EE9">
            <w:pPr>
              <w:spacing w:line="241" w:lineRule="auto"/>
              <w:ind w:right="73"/>
              <w:jc w:val="both"/>
              <w:rPr>
                <w:rFonts w:ascii="Abadi" w:hAnsi="Abadi"/>
                <w:sz w:val="21"/>
                <w:szCs w:val="21"/>
              </w:rPr>
            </w:pPr>
            <w:r w:rsidRPr="00C5545D">
              <w:rPr>
                <w:rFonts w:ascii="Abadi" w:eastAsia="Verdana" w:hAnsi="Abadi" w:cs="Verdana"/>
                <w:sz w:val="21"/>
                <w:szCs w:val="21"/>
              </w:rPr>
              <w:lastRenderedPageBreak/>
              <w:t xml:space="preserve">que se hayan distinguido por sus actividades en la difusión, promoción, fomento, investigación, práctica o supervisión de la cultura física y el deporte, así como a las personas que en forma individual o colectiva, hayan sobresalido en eventos deportivos </w:t>
            </w:r>
            <w:r w:rsidRPr="00C5545D">
              <w:rPr>
                <w:rFonts w:ascii="Abadi" w:eastAsia="Verdana" w:hAnsi="Abadi" w:cs="Verdana"/>
                <w:b/>
                <w:sz w:val="21"/>
                <w:szCs w:val="21"/>
              </w:rPr>
              <w:t>de alto rendimiento</w:t>
            </w:r>
            <w:r w:rsidRPr="00C5545D">
              <w:rPr>
                <w:rFonts w:ascii="Abadi" w:eastAsia="Verdana" w:hAnsi="Abadi" w:cs="Verdana"/>
                <w:sz w:val="21"/>
                <w:szCs w:val="21"/>
              </w:rPr>
              <w:t xml:space="preserve"> estatales, nacionales o internacionales; </w:t>
            </w:r>
          </w:p>
          <w:p w14:paraId="43A26ED3" w14:textId="77777777" w:rsidR="00B33B90" w:rsidRDefault="00B33B90"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6EAF55E4" w14:textId="77777777" w:rsidR="00865EE9" w:rsidRPr="00C5545D" w:rsidRDefault="00865EE9" w:rsidP="00865EE9">
            <w:pPr>
              <w:spacing w:line="259" w:lineRule="auto"/>
              <w:jc w:val="both"/>
              <w:rPr>
                <w:rFonts w:ascii="Abadi" w:hAnsi="Abadi"/>
                <w:sz w:val="21"/>
                <w:szCs w:val="21"/>
              </w:rPr>
            </w:pPr>
          </w:p>
          <w:p w14:paraId="498267BF" w14:textId="77777777" w:rsidR="00B33B90" w:rsidRPr="00C5545D" w:rsidRDefault="00B33B90" w:rsidP="00865EE9">
            <w:pPr>
              <w:numPr>
                <w:ilvl w:val="0"/>
                <w:numId w:val="99"/>
              </w:numPr>
              <w:spacing w:line="241" w:lineRule="auto"/>
              <w:ind w:right="74"/>
              <w:jc w:val="both"/>
              <w:rPr>
                <w:rFonts w:ascii="Abadi" w:hAnsi="Abadi"/>
                <w:sz w:val="21"/>
                <w:szCs w:val="21"/>
              </w:rPr>
            </w:pPr>
            <w:r w:rsidRPr="00C5545D">
              <w:rPr>
                <w:rFonts w:ascii="Abadi" w:eastAsia="Verdana" w:hAnsi="Abadi" w:cs="Verdana"/>
                <w:sz w:val="21"/>
                <w:szCs w:val="21"/>
              </w:rPr>
              <w:t>Proponer el desarrollo de programas de formación, capacitación, actualización y enseñanza en materia de cultura física y deporte</w:t>
            </w:r>
            <w:r w:rsidRPr="00C5545D">
              <w:rPr>
                <w:rFonts w:ascii="Abadi" w:eastAsia="Verdana" w:hAnsi="Abadi" w:cs="Verdana"/>
                <w:b/>
                <w:sz w:val="21"/>
                <w:szCs w:val="21"/>
              </w:rPr>
              <w:t>, así como en derechos humanos</w:t>
            </w:r>
            <w:r w:rsidRPr="00C5545D">
              <w:rPr>
                <w:rFonts w:ascii="Abadi" w:eastAsia="Verdana" w:hAnsi="Abadi" w:cs="Verdana"/>
                <w:sz w:val="21"/>
                <w:szCs w:val="21"/>
              </w:rPr>
              <w:t xml:space="preserve">; </w:t>
            </w:r>
          </w:p>
          <w:p w14:paraId="2AD2F516"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A1119A4" w14:textId="77777777" w:rsidR="00B33B90" w:rsidRPr="00C5545D" w:rsidRDefault="00B33B90" w:rsidP="00865EE9">
            <w:pPr>
              <w:numPr>
                <w:ilvl w:val="0"/>
                <w:numId w:val="99"/>
              </w:numPr>
              <w:spacing w:line="241" w:lineRule="auto"/>
              <w:ind w:right="74"/>
              <w:jc w:val="both"/>
              <w:rPr>
                <w:rFonts w:ascii="Abadi" w:hAnsi="Abadi"/>
                <w:sz w:val="21"/>
                <w:szCs w:val="21"/>
              </w:rPr>
            </w:pPr>
            <w:r w:rsidRPr="00C5545D">
              <w:rPr>
                <w:rFonts w:ascii="Abadi" w:eastAsia="Verdana" w:hAnsi="Abadi" w:cs="Verdana"/>
                <w:sz w:val="21"/>
                <w:szCs w:val="21"/>
              </w:rPr>
              <w:t xml:space="preserve">Coordinar, fomentar, promover y organizar la celebración de competencias, campeonatos, torneos y programas de cultura física y deporte en colaboración con todos los sectores de la población; </w:t>
            </w:r>
          </w:p>
          <w:p w14:paraId="7D11A1CF"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8797E82"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7F701E3" w14:textId="77777777" w:rsidR="00B33B90" w:rsidRPr="00C5545D" w:rsidRDefault="00B33B90" w:rsidP="00865EE9">
            <w:pPr>
              <w:numPr>
                <w:ilvl w:val="0"/>
                <w:numId w:val="99"/>
              </w:numPr>
              <w:spacing w:line="241" w:lineRule="auto"/>
              <w:ind w:right="74"/>
              <w:jc w:val="both"/>
              <w:rPr>
                <w:rFonts w:ascii="Abadi" w:hAnsi="Abadi"/>
                <w:sz w:val="21"/>
                <w:szCs w:val="21"/>
              </w:rPr>
            </w:pPr>
            <w:r w:rsidRPr="00C5545D">
              <w:rPr>
                <w:rFonts w:ascii="Abadi" w:eastAsia="Verdana" w:hAnsi="Abadi" w:cs="Verdana"/>
                <w:sz w:val="21"/>
                <w:szCs w:val="21"/>
              </w:rPr>
              <w:t xml:space="preserve">Promover la participación de deportistas en eventos nacionales e internacionales; </w:t>
            </w:r>
          </w:p>
          <w:p w14:paraId="3A10584D" w14:textId="77777777" w:rsidR="00B33B90" w:rsidRDefault="00B33B90"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3E9610E5" w14:textId="77777777" w:rsidR="00865EE9" w:rsidRDefault="00865EE9" w:rsidP="00865EE9">
            <w:pPr>
              <w:spacing w:line="259" w:lineRule="auto"/>
              <w:jc w:val="both"/>
              <w:rPr>
                <w:rFonts w:ascii="Abadi" w:hAnsi="Abadi"/>
                <w:sz w:val="21"/>
                <w:szCs w:val="21"/>
              </w:rPr>
            </w:pPr>
          </w:p>
          <w:p w14:paraId="57F06231" w14:textId="77777777" w:rsidR="00865EE9" w:rsidRPr="00C5545D" w:rsidRDefault="00865EE9" w:rsidP="00865EE9">
            <w:pPr>
              <w:spacing w:line="259" w:lineRule="auto"/>
              <w:jc w:val="both"/>
              <w:rPr>
                <w:rFonts w:ascii="Abadi" w:hAnsi="Abadi"/>
                <w:sz w:val="21"/>
                <w:szCs w:val="21"/>
              </w:rPr>
            </w:pPr>
          </w:p>
          <w:p w14:paraId="20185EF6" w14:textId="77777777" w:rsidR="00B33B90" w:rsidRPr="00C5545D" w:rsidRDefault="00B33B90" w:rsidP="00865EE9">
            <w:pPr>
              <w:numPr>
                <w:ilvl w:val="0"/>
                <w:numId w:val="99"/>
              </w:numPr>
              <w:spacing w:line="241" w:lineRule="auto"/>
              <w:ind w:right="74"/>
              <w:jc w:val="both"/>
              <w:rPr>
                <w:rFonts w:ascii="Abadi" w:hAnsi="Abadi"/>
                <w:sz w:val="21"/>
                <w:szCs w:val="21"/>
              </w:rPr>
            </w:pPr>
            <w:r w:rsidRPr="00C5545D">
              <w:rPr>
                <w:rFonts w:ascii="Abadi" w:eastAsia="Verdana" w:hAnsi="Abadi" w:cs="Verdana"/>
                <w:sz w:val="21"/>
                <w:szCs w:val="21"/>
              </w:rPr>
              <w:t xml:space="preserve">Difundir y promover la cultura física y el deporte a través de los medios de comunicación; </w:t>
            </w:r>
          </w:p>
          <w:p w14:paraId="61FFC6CD"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C7A9298" w14:textId="77777777" w:rsidR="00B33B90" w:rsidRPr="00C5545D" w:rsidRDefault="00B33B90" w:rsidP="00865EE9">
            <w:pPr>
              <w:numPr>
                <w:ilvl w:val="0"/>
                <w:numId w:val="99"/>
              </w:numPr>
              <w:spacing w:line="241" w:lineRule="auto"/>
              <w:ind w:right="74"/>
              <w:jc w:val="both"/>
              <w:rPr>
                <w:rFonts w:ascii="Abadi" w:hAnsi="Abadi"/>
                <w:sz w:val="21"/>
                <w:szCs w:val="21"/>
              </w:rPr>
            </w:pPr>
            <w:r w:rsidRPr="00C5545D">
              <w:rPr>
                <w:rFonts w:ascii="Abadi" w:eastAsia="Verdana" w:hAnsi="Abadi" w:cs="Verdana"/>
                <w:sz w:val="21"/>
                <w:szCs w:val="21"/>
              </w:rPr>
              <w:t xml:space="preserve">Promover la práctica de actividades de cultura física y deporte entre los integrantes de la </w:t>
            </w:r>
            <w:r w:rsidRPr="00C5545D">
              <w:rPr>
                <w:rFonts w:ascii="Abadi" w:eastAsia="Verdana" w:hAnsi="Abadi" w:cs="Verdana"/>
                <w:sz w:val="21"/>
                <w:szCs w:val="21"/>
              </w:rPr>
              <w:lastRenderedPageBreak/>
              <w:t xml:space="preserve">administración pública estatal y municipal; </w:t>
            </w:r>
          </w:p>
          <w:p w14:paraId="7556AF2D"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98B4903" w14:textId="77777777" w:rsidR="00B33B90" w:rsidRPr="00C5545D" w:rsidRDefault="00B33B90" w:rsidP="00865EE9">
            <w:pPr>
              <w:numPr>
                <w:ilvl w:val="0"/>
                <w:numId w:val="99"/>
              </w:numPr>
              <w:ind w:right="74"/>
              <w:jc w:val="both"/>
              <w:rPr>
                <w:rFonts w:ascii="Abadi" w:hAnsi="Abadi"/>
                <w:sz w:val="21"/>
                <w:szCs w:val="21"/>
              </w:rPr>
            </w:pPr>
            <w:r w:rsidRPr="00C5545D">
              <w:rPr>
                <w:rFonts w:ascii="Abadi" w:eastAsia="Verdana" w:hAnsi="Abadi" w:cs="Verdana"/>
                <w:sz w:val="21"/>
                <w:szCs w:val="21"/>
              </w:rPr>
              <w:t xml:space="preserve">Coordinar con los municipios, los organismos deportivos a que se refiere esta Ley y en general con cualquier persona, la formación y capacitación de profesionales y promotores para el fomento de la cultura física y el deporte; </w:t>
            </w:r>
          </w:p>
          <w:p w14:paraId="0F7CAEB7"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D4765EB"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71DAE20" w14:textId="77777777" w:rsidR="00B33B90" w:rsidRPr="00C5545D" w:rsidRDefault="00B33B90" w:rsidP="00865EE9">
            <w:pPr>
              <w:numPr>
                <w:ilvl w:val="0"/>
                <w:numId w:val="99"/>
              </w:numPr>
              <w:spacing w:after="2"/>
              <w:ind w:right="74"/>
              <w:jc w:val="both"/>
              <w:rPr>
                <w:rFonts w:ascii="Abadi" w:hAnsi="Abadi"/>
                <w:sz w:val="21"/>
                <w:szCs w:val="21"/>
              </w:rPr>
            </w:pPr>
            <w:r w:rsidRPr="00C5545D">
              <w:rPr>
                <w:rFonts w:ascii="Abadi" w:eastAsia="Verdana" w:hAnsi="Abadi" w:cs="Verdana"/>
                <w:sz w:val="21"/>
                <w:szCs w:val="21"/>
              </w:rPr>
              <w:t xml:space="preserve">Difundir la información de interés público para la práctica de la cultura física y el deporte; </w:t>
            </w:r>
          </w:p>
          <w:p w14:paraId="48AE05F3" w14:textId="77777777" w:rsidR="00B33B90" w:rsidRPr="00C5545D" w:rsidRDefault="00B33B90"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79000B0" w14:textId="57270CB9" w:rsidR="004F2712" w:rsidRPr="00695491" w:rsidRDefault="00B33B90" w:rsidP="00865EE9">
            <w:pPr>
              <w:ind w:right="4"/>
              <w:jc w:val="both"/>
              <w:rPr>
                <w:rFonts w:ascii="Abadi" w:hAnsi="Abadi"/>
                <w:sz w:val="21"/>
                <w:szCs w:val="21"/>
              </w:rPr>
            </w:pPr>
            <w:r w:rsidRPr="00C5545D">
              <w:rPr>
                <w:rFonts w:ascii="Abadi" w:eastAsia="Verdana" w:hAnsi="Abadi" w:cs="Verdana"/>
                <w:sz w:val="21"/>
                <w:szCs w:val="21"/>
              </w:rPr>
              <w:t>Vigilar y validar en coordinación con las dependencias y entidades competentes, el cumplimiento de los lineamientos en materia de infraestructura deportiva; así como promover la creación,</w:t>
            </w:r>
          </w:p>
        </w:tc>
      </w:tr>
      <w:tr w:rsidR="000D61C1" w:rsidRPr="00695491" w14:paraId="3392885F" w14:textId="77777777" w:rsidTr="008305DC">
        <w:tc>
          <w:tcPr>
            <w:tcW w:w="1891" w:type="dxa"/>
          </w:tcPr>
          <w:p w14:paraId="286AEA5D" w14:textId="77777777" w:rsidR="00672233" w:rsidRDefault="00672233" w:rsidP="00865EE9">
            <w:pPr>
              <w:spacing w:after="2"/>
              <w:ind w:right="75"/>
              <w:jc w:val="both"/>
              <w:rPr>
                <w:rFonts w:ascii="Abadi" w:eastAsia="Verdana" w:hAnsi="Abadi" w:cs="Verdana"/>
                <w:sz w:val="21"/>
                <w:szCs w:val="21"/>
              </w:rPr>
            </w:pPr>
            <w:r w:rsidRPr="00C5545D">
              <w:rPr>
                <w:rFonts w:ascii="Abadi" w:eastAsia="Verdana" w:hAnsi="Abadi" w:cs="Verdana"/>
                <w:sz w:val="21"/>
                <w:szCs w:val="21"/>
              </w:rPr>
              <w:lastRenderedPageBreak/>
              <w:t xml:space="preserve">promover la creación, mantenimiento y conservación de instalaciones y áreas para su práctica; </w:t>
            </w:r>
          </w:p>
          <w:p w14:paraId="4F0608A1" w14:textId="77777777" w:rsidR="00865EE9" w:rsidRPr="00C5545D" w:rsidRDefault="00865EE9" w:rsidP="00865EE9">
            <w:pPr>
              <w:spacing w:after="2"/>
              <w:ind w:right="75"/>
              <w:jc w:val="both"/>
              <w:rPr>
                <w:rFonts w:ascii="Abadi" w:hAnsi="Abadi"/>
                <w:sz w:val="21"/>
                <w:szCs w:val="21"/>
              </w:rPr>
            </w:pPr>
          </w:p>
          <w:p w14:paraId="28ADAA35" w14:textId="77777777" w:rsidR="00672233" w:rsidRPr="00C5545D" w:rsidRDefault="00672233" w:rsidP="00865EE9">
            <w:pPr>
              <w:numPr>
                <w:ilvl w:val="0"/>
                <w:numId w:val="100"/>
              </w:numPr>
              <w:ind w:right="73"/>
              <w:jc w:val="both"/>
              <w:rPr>
                <w:rFonts w:ascii="Abadi" w:hAnsi="Abadi"/>
                <w:sz w:val="21"/>
                <w:szCs w:val="21"/>
              </w:rPr>
            </w:pPr>
            <w:r w:rsidRPr="00C5545D">
              <w:rPr>
                <w:rFonts w:ascii="Abadi" w:eastAsia="Verdana" w:hAnsi="Abadi" w:cs="Verdana"/>
                <w:sz w:val="21"/>
                <w:szCs w:val="21"/>
              </w:rPr>
              <w:t xml:space="preserve">Impulsar la construcción y equipamiento de las instalaciones </w:t>
            </w:r>
          </w:p>
          <w:p w14:paraId="2967847A"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deportivas públicas; </w:t>
            </w:r>
          </w:p>
          <w:p w14:paraId="03521244"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E937B4A" w14:textId="77777777" w:rsidR="00672233" w:rsidRPr="00C5545D" w:rsidRDefault="00672233" w:rsidP="00865EE9">
            <w:pPr>
              <w:numPr>
                <w:ilvl w:val="0"/>
                <w:numId w:val="100"/>
              </w:numPr>
              <w:spacing w:after="2"/>
              <w:ind w:right="73"/>
              <w:jc w:val="both"/>
              <w:rPr>
                <w:rFonts w:ascii="Abadi" w:hAnsi="Abadi"/>
                <w:sz w:val="21"/>
                <w:szCs w:val="21"/>
              </w:rPr>
            </w:pPr>
            <w:r w:rsidRPr="00C5545D">
              <w:rPr>
                <w:rFonts w:ascii="Abadi" w:eastAsia="Verdana" w:hAnsi="Abadi" w:cs="Verdana"/>
                <w:sz w:val="21"/>
                <w:szCs w:val="21"/>
              </w:rPr>
              <w:t xml:space="preserve">Desarrollar de acuerdo a la normatividad aplicable el mantenimiento y conservación de las </w:t>
            </w:r>
          </w:p>
          <w:p w14:paraId="7AEDB5C0"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instalaciones propias; </w:t>
            </w:r>
          </w:p>
          <w:p w14:paraId="0C627EDD"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9A99E5B" w14:textId="77777777" w:rsidR="00672233" w:rsidRPr="00C5545D" w:rsidRDefault="00672233" w:rsidP="00865EE9">
            <w:pPr>
              <w:numPr>
                <w:ilvl w:val="0"/>
                <w:numId w:val="100"/>
              </w:numPr>
              <w:spacing w:line="241" w:lineRule="auto"/>
              <w:ind w:right="73"/>
              <w:jc w:val="both"/>
              <w:rPr>
                <w:rFonts w:ascii="Abadi" w:hAnsi="Abadi"/>
                <w:sz w:val="21"/>
                <w:szCs w:val="21"/>
              </w:rPr>
            </w:pPr>
            <w:r w:rsidRPr="00C5545D">
              <w:rPr>
                <w:rFonts w:ascii="Abadi" w:eastAsia="Verdana" w:hAnsi="Abadi" w:cs="Verdana"/>
                <w:sz w:val="21"/>
                <w:szCs w:val="21"/>
              </w:rPr>
              <w:t xml:space="preserve">Promover el otorgamiento de créditos y becas para deportistas y entrenadores en instituciones </w:t>
            </w:r>
          </w:p>
          <w:p w14:paraId="3B2CDA22"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educativas públicas y particulares; </w:t>
            </w:r>
          </w:p>
          <w:p w14:paraId="42B9125C"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1021C40"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902B25E" w14:textId="77777777" w:rsidR="00672233" w:rsidRPr="00C5545D" w:rsidRDefault="00672233" w:rsidP="00865EE9">
            <w:pPr>
              <w:spacing w:line="259" w:lineRule="auto"/>
              <w:ind w:right="74"/>
              <w:jc w:val="both"/>
              <w:rPr>
                <w:rFonts w:ascii="Abadi" w:hAnsi="Abadi"/>
                <w:sz w:val="21"/>
                <w:szCs w:val="21"/>
              </w:rPr>
            </w:pPr>
            <w:r w:rsidRPr="00C5545D">
              <w:rPr>
                <w:rFonts w:ascii="Abadi" w:eastAsia="Verdana" w:hAnsi="Abadi" w:cs="Verdana"/>
                <w:sz w:val="21"/>
                <w:szCs w:val="21"/>
              </w:rPr>
              <w:t xml:space="preserve">(REFORMADA, P.O. 22 DE JULIO DE </w:t>
            </w:r>
          </w:p>
          <w:p w14:paraId="5781A84C" w14:textId="77777777" w:rsidR="00672233" w:rsidRPr="00C5545D" w:rsidRDefault="00672233" w:rsidP="00865EE9">
            <w:pPr>
              <w:spacing w:line="241" w:lineRule="auto"/>
              <w:ind w:right="71" w:firstLine="3291"/>
              <w:jc w:val="both"/>
              <w:rPr>
                <w:rFonts w:ascii="Abadi" w:hAnsi="Abadi"/>
                <w:sz w:val="21"/>
                <w:szCs w:val="21"/>
              </w:rPr>
            </w:pPr>
            <w:r w:rsidRPr="00C5545D">
              <w:rPr>
                <w:rFonts w:ascii="Abadi" w:eastAsia="Verdana" w:hAnsi="Abadi" w:cs="Verdana"/>
                <w:sz w:val="21"/>
                <w:szCs w:val="21"/>
              </w:rPr>
              <w:t xml:space="preserve">2020) XVII. Promover coordinadamente con la Secretaría de Educación y la Secretaría de Salud, el impulso de programas académicos y de salud enfocados a la educación física, la cultura física, el deporte y demás </w:t>
            </w:r>
          </w:p>
          <w:p w14:paraId="242257E2"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ciencias aplicables; </w:t>
            </w:r>
          </w:p>
          <w:p w14:paraId="54923EA2"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979BC46" w14:textId="77777777" w:rsidR="00672233" w:rsidRPr="00C5545D" w:rsidRDefault="00672233" w:rsidP="00865EE9">
            <w:pPr>
              <w:spacing w:line="259" w:lineRule="auto"/>
              <w:ind w:right="73"/>
              <w:jc w:val="both"/>
              <w:rPr>
                <w:rFonts w:ascii="Abadi" w:hAnsi="Abadi"/>
                <w:sz w:val="21"/>
                <w:szCs w:val="21"/>
              </w:rPr>
            </w:pPr>
            <w:r w:rsidRPr="00C5545D">
              <w:rPr>
                <w:rFonts w:ascii="Abadi" w:eastAsia="Verdana" w:hAnsi="Abadi" w:cs="Verdana"/>
                <w:sz w:val="21"/>
                <w:szCs w:val="21"/>
              </w:rPr>
              <w:t xml:space="preserve">(ADICIONADA, P.O. 29 DE MAYO DE </w:t>
            </w:r>
          </w:p>
          <w:p w14:paraId="1E3880BB" w14:textId="77777777" w:rsidR="00672233" w:rsidRPr="00C5545D" w:rsidRDefault="00672233" w:rsidP="00865EE9">
            <w:pPr>
              <w:spacing w:line="243" w:lineRule="auto"/>
              <w:ind w:firstLine="3291"/>
              <w:jc w:val="both"/>
              <w:rPr>
                <w:rFonts w:ascii="Abadi" w:hAnsi="Abadi"/>
                <w:sz w:val="21"/>
                <w:szCs w:val="21"/>
              </w:rPr>
            </w:pPr>
            <w:r w:rsidRPr="00C5545D">
              <w:rPr>
                <w:rFonts w:ascii="Abadi" w:eastAsia="Verdana" w:hAnsi="Abadi" w:cs="Verdana"/>
                <w:sz w:val="21"/>
                <w:szCs w:val="21"/>
              </w:rPr>
              <w:t xml:space="preserve">2018) XVIII. Promover coordinadamente con la Secretaría de Turismo del Estado, Ayuntamientos y los organismos </w:t>
            </w:r>
            <w:r w:rsidRPr="00C5545D">
              <w:rPr>
                <w:rFonts w:ascii="Abadi" w:eastAsia="Verdana" w:hAnsi="Abadi" w:cs="Verdana"/>
                <w:sz w:val="21"/>
                <w:szCs w:val="21"/>
              </w:rPr>
              <w:lastRenderedPageBreak/>
              <w:t xml:space="preserve">públicos, los sectores social y privado relacionados con la cultura física y el deporte, </w:t>
            </w:r>
            <w:r w:rsidRPr="00C5545D">
              <w:rPr>
                <w:rFonts w:ascii="Abadi" w:eastAsia="Verdana" w:hAnsi="Abadi" w:cs="Verdana"/>
                <w:sz w:val="21"/>
                <w:szCs w:val="21"/>
              </w:rPr>
              <w:tab/>
              <w:t xml:space="preserve">el </w:t>
            </w:r>
            <w:r w:rsidRPr="00C5545D">
              <w:rPr>
                <w:rFonts w:ascii="Abadi" w:eastAsia="Verdana" w:hAnsi="Abadi" w:cs="Verdana"/>
                <w:sz w:val="21"/>
                <w:szCs w:val="21"/>
              </w:rPr>
              <w:tab/>
              <w:t xml:space="preserve">impulso </w:t>
            </w:r>
            <w:r w:rsidRPr="00C5545D">
              <w:rPr>
                <w:rFonts w:ascii="Abadi" w:eastAsia="Verdana" w:hAnsi="Abadi" w:cs="Verdana"/>
                <w:sz w:val="21"/>
                <w:szCs w:val="21"/>
              </w:rPr>
              <w:tab/>
              <w:t xml:space="preserve">al </w:t>
            </w:r>
            <w:r w:rsidRPr="00C5545D">
              <w:rPr>
                <w:rFonts w:ascii="Abadi" w:eastAsia="Verdana" w:hAnsi="Abadi" w:cs="Verdana"/>
                <w:sz w:val="21"/>
                <w:szCs w:val="21"/>
              </w:rPr>
              <w:tab/>
              <w:t xml:space="preserve">turismo deportivo; </w:t>
            </w:r>
          </w:p>
          <w:p w14:paraId="78AF3B5B"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584FF73" w14:textId="77777777" w:rsidR="00672233" w:rsidRPr="00C5545D" w:rsidRDefault="00672233" w:rsidP="00865EE9">
            <w:pPr>
              <w:numPr>
                <w:ilvl w:val="0"/>
                <w:numId w:val="101"/>
              </w:numPr>
              <w:spacing w:after="2" w:line="241" w:lineRule="auto"/>
              <w:ind w:right="75"/>
              <w:jc w:val="both"/>
              <w:rPr>
                <w:rFonts w:ascii="Abadi" w:hAnsi="Abadi"/>
                <w:sz w:val="21"/>
                <w:szCs w:val="21"/>
              </w:rPr>
            </w:pPr>
            <w:r w:rsidRPr="00C5545D">
              <w:rPr>
                <w:rFonts w:ascii="Abadi" w:eastAsia="Verdana" w:hAnsi="Abadi" w:cs="Verdana"/>
                <w:sz w:val="21"/>
                <w:szCs w:val="21"/>
              </w:rPr>
              <w:t xml:space="preserve">Proponer los lineamientos y mecanismos para prevenir la violencia en cualquier evento de carácter deportivo, en los términos de la Ley </w:t>
            </w:r>
          </w:p>
          <w:p w14:paraId="0A48E67A"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General de Cultura Física y Deporte; </w:t>
            </w:r>
          </w:p>
          <w:p w14:paraId="29BE8800"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D742BE3" w14:textId="77777777" w:rsidR="00672233" w:rsidRPr="00C5545D" w:rsidRDefault="00672233" w:rsidP="00865EE9">
            <w:pPr>
              <w:numPr>
                <w:ilvl w:val="0"/>
                <w:numId w:val="101"/>
              </w:numPr>
              <w:spacing w:line="241" w:lineRule="auto"/>
              <w:ind w:right="75"/>
              <w:jc w:val="both"/>
              <w:rPr>
                <w:rFonts w:ascii="Abadi" w:hAnsi="Abadi"/>
                <w:sz w:val="21"/>
                <w:szCs w:val="21"/>
              </w:rPr>
            </w:pPr>
            <w:r w:rsidRPr="00C5545D">
              <w:rPr>
                <w:rFonts w:ascii="Abadi" w:eastAsia="Verdana" w:hAnsi="Abadi" w:cs="Verdana"/>
                <w:sz w:val="21"/>
                <w:szCs w:val="21"/>
              </w:rPr>
              <w:t xml:space="preserve">Certificar la capacitación de profesionales y promotores para el fomento del deporte y la cultura física; </w:t>
            </w:r>
          </w:p>
          <w:p w14:paraId="3CC46CAC"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689C7B8" w14:textId="77777777" w:rsidR="00672233" w:rsidRPr="00C5545D" w:rsidRDefault="00672233" w:rsidP="00865EE9">
            <w:pPr>
              <w:numPr>
                <w:ilvl w:val="0"/>
                <w:numId w:val="101"/>
              </w:numPr>
              <w:spacing w:line="242" w:lineRule="auto"/>
              <w:ind w:right="75"/>
              <w:jc w:val="both"/>
              <w:rPr>
                <w:rFonts w:ascii="Abadi" w:hAnsi="Abadi"/>
                <w:sz w:val="21"/>
                <w:szCs w:val="21"/>
              </w:rPr>
            </w:pPr>
            <w:r w:rsidRPr="00C5545D">
              <w:rPr>
                <w:rFonts w:ascii="Abadi" w:eastAsia="Verdana" w:hAnsi="Abadi" w:cs="Verdana"/>
                <w:sz w:val="21"/>
                <w:szCs w:val="21"/>
              </w:rPr>
              <w:t xml:space="preserve">Establecer, operar y mantener actualizado el Registro, en </w:t>
            </w:r>
          </w:p>
          <w:p w14:paraId="7EBFB163" w14:textId="77777777" w:rsidR="00672233" w:rsidRPr="00C5545D" w:rsidRDefault="00672233" w:rsidP="00865EE9">
            <w:pPr>
              <w:spacing w:line="259" w:lineRule="auto"/>
              <w:jc w:val="both"/>
              <w:rPr>
                <w:rFonts w:ascii="Abadi" w:hAnsi="Abadi"/>
                <w:sz w:val="21"/>
                <w:szCs w:val="21"/>
              </w:rPr>
            </w:pPr>
            <w:r w:rsidRPr="00C5545D">
              <w:rPr>
                <w:rFonts w:ascii="Abadi" w:eastAsia="Verdana" w:hAnsi="Abadi" w:cs="Verdana"/>
                <w:sz w:val="21"/>
                <w:szCs w:val="21"/>
              </w:rPr>
              <w:t xml:space="preserve">coordinación con el RENADE; </w:t>
            </w:r>
          </w:p>
          <w:p w14:paraId="6E0BF5C0" w14:textId="77777777" w:rsidR="000D61C1" w:rsidRPr="00695491" w:rsidRDefault="000D61C1" w:rsidP="00865EE9">
            <w:pPr>
              <w:ind w:right="4"/>
              <w:jc w:val="both"/>
              <w:rPr>
                <w:rFonts w:ascii="Abadi" w:hAnsi="Abadi"/>
                <w:sz w:val="21"/>
                <w:szCs w:val="21"/>
              </w:rPr>
            </w:pPr>
          </w:p>
        </w:tc>
        <w:tc>
          <w:tcPr>
            <w:tcW w:w="2073" w:type="dxa"/>
          </w:tcPr>
          <w:p w14:paraId="17D50C34" w14:textId="77777777" w:rsidR="004A5206" w:rsidRPr="00C5545D" w:rsidRDefault="004A5206" w:rsidP="00865EE9">
            <w:pPr>
              <w:tabs>
                <w:tab w:val="center" w:pos="757"/>
                <w:tab w:val="center" w:pos="1951"/>
                <w:tab w:val="center" w:pos="3040"/>
                <w:tab w:val="center" w:pos="4193"/>
              </w:tabs>
              <w:spacing w:line="259" w:lineRule="auto"/>
              <w:jc w:val="both"/>
              <w:rPr>
                <w:rFonts w:ascii="Abadi" w:hAnsi="Abadi"/>
                <w:sz w:val="21"/>
                <w:szCs w:val="21"/>
              </w:rPr>
            </w:pPr>
            <w:r w:rsidRPr="00C5545D">
              <w:rPr>
                <w:rFonts w:ascii="Abadi" w:eastAsia="Verdana" w:hAnsi="Abadi" w:cs="Verdana"/>
                <w:sz w:val="21"/>
                <w:szCs w:val="21"/>
              </w:rPr>
              <w:lastRenderedPageBreak/>
              <w:t xml:space="preserve">mantenimiento </w:t>
            </w:r>
            <w:r w:rsidRPr="00C5545D">
              <w:rPr>
                <w:rFonts w:ascii="Abadi" w:eastAsia="Verdana" w:hAnsi="Abadi" w:cs="Verdana"/>
                <w:sz w:val="21"/>
                <w:szCs w:val="21"/>
              </w:rPr>
              <w:tab/>
              <w:t xml:space="preserve">y </w:t>
            </w:r>
            <w:r w:rsidRPr="00C5545D">
              <w:rPr>
                <w:rFonts w:ascii="Abadi" w:eastAsia="Verdana" w:hAnsi="Abadi" w:cs="Verdana"/>
                <w:sz w:val="21"/>
                <w:szCs w:val="21"/>
              </w:rPr>
              <w:tab/>
              <w:t xml:space="preserve">conservación </w:t>
            </w:r>
            <w:r w:rsidRPr="00C5545D">
              <w:rPr>
                <w:rFonts w:ascii="Abadi" w:eastAsia="Verdana" w:hAnsi="Abadi" w:cs="Verdana"/>
                <w:sz w:val="21"/>
                <w:szCs w:val="21"/>
              </w:rPr>
              <w:tab/>
              <w:t xml:space="preserve">de </w:t>
            </w:r>
          </w:p>
          <w:p w14:paraId="6341F065"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instalaciones y áreas para su práctica; </w:t>
            </w:r>
          </w:p>
          <w:p w14:paraId="73B033CC" w14:textId="77777777" w:rsidR="004A5206" w:rsidRDefault="004A5206"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6C4B620E" w14:textId="77777777" w:rsidR="00865EE9" w:rsidRDefault="00865EE9" w:rsidP="00865EE9">
            <w:pPr>
              <w:spacing w:line="259" w:lineRule="auto"/>
              <w:jc w:val="both"/>
              <w:rPr>
                <w:rFonts w:ascii="Abadi" w:hAnsi="Abadi"/>
                <w:sz w:val="21"/>
                <w:szCs w:val="21"/>
              </w:rPr>
            </w:pPr>
          </w:p>
          <w:p w14:paraId="79249797" w14:textId="77777777" w:rsidR="00865EE9" w:rsidRPr="00C5545D" w:rsidRDefault="00865EE9" w:rsidP="00865EE9">
            <w:pPr>
              <w:spacing w:line="259" w:lineRule="auto"/>
              <w:jc w:val="both"/>
              <w:rPr>
                <w:rFonts w:ascii="Abadi" w:hAnsi="Abadi"/>
                <w:sz w:val="21"/>
                <w:szCs w:val="21"/>
              </w:rPr>
            </w:pPr>
          </w:p>
          <w:p w14:paraId="49C00289" w14:textId="77777777" w:rsidR="004A5206" w:rsidRPr="00C5545D" w:rsidRDefault="004A5206" w:rsidP="00865EE9">
            <w:pPr>
              <w:numPr>
                <w:ilvl w:val="0"/>
                <w:numId w:val="102"/>
              </w:numPr>
              <w:ind w:right="36"/>
              <w:jc w:val="both"/>
              <w:rPr>
                <w:rFonts w:ascii="Abadi" w:hAnsi="Abadi"/>
                <w:sz w:val="21"/>
                <w:szCs w:val="21"/>
              </w:rPr>
            </w:pPr>
            <w:r w:rsidRPr="00C5545D">
              <w:rPr>
                <w:rFonts w:ascii="Abadi" w:eastAsia="Verdana" w:hAnsi="Abadi" w:cs="Verdana"/>
                <w:sz w:val="21"/>
                <w:szCs w:val="21"/>
              </w:rPr>
              <w:t xml:space="preserve">Impulsar la construcción y equipamiento de las instalaciones </w:t>
            </w:r>
          </w:p>
          <w:p w14:paraId="662E0B1F"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deportivas públicas; </w:t>
            </w:r>
          </w:p>
          <w:p w14:paraId="0F6D9DCC"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B4B6669" w14:textId="77777777" w:rsidR="004A5206" w:rsidRPr="00C5545D" w:rsidRDefault="004A5206" w:rsidP="00865EE9">
            <w:pPr>
              <w:numPr>
                <w:ilvl w:val="0"/>
                <w:numId w:val="102"/>
              </w:numPr>
              <w:spacing w:after="2"/>
              <w:ind w:right="36"/>
              <w:jc w:val="both"/>
              <w:rPr>
                <w:rFonts w:ascii="Abadi" w:hAnsi="Abadi"/>
                <w:sz w:val="21"/>
                <w:szCs w:val="21"/>
              </w:rPr>
            </w:pPr>
            <w:r w:rsidRPr="00C5545D">
              <w:rPr>
                <w:rFonts w:ascii="Abadi" w:eastAsia="Verdana" w:hAnsi="Abadi" w:cs="Verdana"/>
                <w:sz w:val="21"/>
                <w:szCs w:val="21"/>
              </w:rPr>
              <w:t xml:space="preserve">Desarrollar de acuerdo a la normatividad aplicable el mantenimiento y conservación de las instalaciones propias; </w:t>
            </w:r>
          </w:p>
          <w:p w14:paraId="16A4B90B"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85B87E1" w14:textId="77777777" w:rsidR="004A5206" w:rsidRDefault="004A5206"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7A789502" w14:textId="77777777" w:rsidR="004A5206" w:rsidRPr="00C5545D" w:rsidRDefault="004A5206" w:rsidP="00865EE9">
            <w:pPr>
              <w:numPr>
                <w:ilvl w:val="0"/>
                <w:numId w:val="102"/>
              </w:numPr>
              <w:spacing w:line="241" w:lineRule="auto"/>
              <w:ind w:right="36"/>
              <w:jc w:val="both"/>
              <w:rPr>
                <w:rFonts w:ascii="Abadi" w:hAnsi="Abadi"/>
                <w:sz w:val="21"/>
                <w:szCs w:val="21"/>
              </w:rPr>
            </w:pPr>
            <w:r w:rsidRPr="00C5545D">
              <w:rPr>
                <w:rFonts w:ascii="Abadi" w:eastAsia="Verdana" w:hAnsi="Abadi" w:cs="Verdana"/>
                <w:sz w:val="21"/>
                <w:szCs w:val="21"/>
              </w:rPr>
              <w:t xml:space="preserve">Promover el otorgamiento de créditos y becas para deportistas </w:t>
            </w:r>
            <w:r w:rsidRPr="00C5545D">
              <w:rPr>
                <w:rFonts w:ascii="Abadi" w:eastAsia="Verdana" w:hAnsi="Abadi" w:cs="Verdana"/>
                <w:b/>
                <w:sz w:val="21"/>
                <w:szCs w:val="21"/>
              </w:rPr>
              <w:t>de rendimiento</w:t>
            </w:r>
            <w:r w:rsidRPr="00C5545D">
              <w:rPr>
                <w:rFonts w:ascii="Abadi" w:eastAsia="Verdana" w:hAnsi="Abadi" w:cs="Verdana"/>
                <w:sz w:val="21"/>
                <w:szCs w:val="21"/>
              </w:rPr>
              <w:t xml:space="preserve"> y entrenadores en instituciones educativas públicas y particulares; </w:t>
            </w:r>
          </w:p>
          <w:p w14:paraId="7EF9587F"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EC4FA32"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5BF25F5" w14:textId="77777777" w:rsidR="004A5206" w:rsidRPr="00C5545D" w:rsidRDefault="004A5206" w:rsidP="00865EE9">
            <w:pPr>
              <w:spacing w:line="259" w:lineRule="auto"/>
              <w:ind w:left="34"/>
              <w:jc w:val="both"/>
              <w:rPr>
                <w:rFonts w:ascii="Abadi" w:hAnsi="Abadi"/>
                <w:sz w:val="21"/>
                <w:szCs w:val="21"/>
              </w:rPr>
            </w:pPr>
            <w:r w:rsidRPr="00C5545D">
              <w:rPr>
                <w:rFonts w:ascii="Abadi" w:eastAsia="Verdana" w:hAnsi="Abadi" w:cs="Verdana"/>
                <w:sz w:val="21"/>
                <w:szCs w:val="21"/>
              </w:rPr>
              <w:t xml:space="preserve">(REFORMADA, P.O. 22 DE JULIO DE 2020) </w:t>
            </w:r>
          </w:p>
          <w:p w14:paraId="31200105" w14:textId="77777777" w:rsidR="004A5206" w:rsidRDefault="004A5206" w:rsidP="00865EE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73E8DA78" w14:textId="77777777" w:rsidR="00865EE9" w:rsidRDefault="00865EE9" w:rsidP="00865EE9">
            <w:pPr>
              <w:spacing w:line="259" w:lineRule="auto"/>
              <w:jc w:val="both"/>
              <w:rPr>
                <w:rFonts w:ascii="Abadi" w:hAnsi="Abadi"/>
                <w:sz w:val="21"/>
                <w:szCs w:val="21"/>
              </w:rPr>
            </w:pPr>
          </w:p>
          <w:p w14:paraId="1D01190D" w14:textId="77777777" w:rsidR="00865EE9" w:rsidRPr="00C5545D" w:rsidRDefault="00865EE9" w:rsidP="00865EE9">
            <w:pPr>
              <w:spacing w:line="259" w:lineRule="auto"/>
              <w:jc w:val="both"/>
              <w:rPr>
                <w:rFonts w:ascii="Abadi" w:hAnsi="Abadi"/>
                <w:sz w:val="21"/>
                <w:szCs w:val="21"/>
              </w:rPr>
            </w:pPr>
          </w:p>
          <w:p w14:paraId="33D3EE90" w14:textId="77777777" w:rsidR="004A5206" w:rsidRPr="00C5545D" w:rsidRDefault="004A5206" w:rsidP="00865EE9">
            <w:pPr>
              <w:numPr>
                <w:ilvl w:val="0"/>
                <w:numId w:val="102"/>
              </w:numPr>
              <w:spacing w:line="259" w:lineRule="auto"/>
              <w:ind w:right="36"/>
              <w:jc w:val="both"/>
              <w:rPr>
                <w:rFonts w:ascii="Abadi" w:hAnsi="Abadi"/>
                <w:sz w:val="21"/>
                <w:szCs w:val="21"/>
              </w:rPr>
            </w:pPr>
            <w:r w:rsidRPr="00C5545D">
              <w:rPr>
                <w:rFonts w:ascii="Abadi" w:eastAsia="Verdana" w:hAnsi="Abadi" w:cs="Verdana"/>
                <w:sz w:val="21"/>
                <w:szCs w:val="21"/>
              </w:rPr>
              <w:t xml:space="preserve">Promover coordinadamente con la </w:t>
            </w:r>
          </w:p>
          <w:p w14:paraId="6473EAAB"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Secretaría de Educación y la Secretaría de </w:t>
            </w:r>
          </w:p>
          <w:p w14:paraId="4DFE9297" w14:textId="77777777" w:rsidR="004A5206" w:rsidRPr="00C5545D" w:rsidRDefault="004A5206" w:rsidP="00865EE9">
            <w:pPr>
              <w:spacing w:line="241" w:lineRule="auto"/>
              <w:ind w:right="75"/>
              <w:jc w:val="both"/>
              <w:rPr>
                <w:rFonts w:ascii="Abadi" w:hAnsi="Abadi"/>
                <w:sz w:val="21"/>
                <w:szCs w:val="21"/>
              </w:rPr>
            </w:pPr>
            <w:r w:rsidRPr="00C5545D">
              <w:rPr>
                <w:rFonts w:ascii="Abadi" w:eastAsia="Verdana" w:hAnsi="Abadi" w:cs="Verdana"/>
                <w:sz w:val="21"/>
                <w:szCs w:val="21"/>
              </w:rPr>
              <w:t xml:space="preserve">Salud, el impulso de programas académicos y de salud enfocados a la educación física, la cultura física, el deporte </w:t>
            </w:r>
          </w:p>
          <w:p w14:paraId="3A4A76FC"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y demás ciencias aplicables; </w:t>
            </w:r>
          </w:p>
          <w:p w14:paraId="55C36A00"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4C674A4" w14:textId="77777777" w:rsidR="004A5206" w:rsidRPr="00C5545D" w:rsidRDefault="004A5206" w:rsidP="00865EE9">
            <w:pPr>
              <w:spacing w:line="259" w:lineRule="auto"/>
              <w:ind w:right="73"/>
              <w:jc w:val="both"/>
              <w:rPr>
                <w:rFonts w:ascii="Abadi" w:hAnsi="Abadi"/>
                <w:sz w:val="21"/>
                <w:szCs w:val="21"/>
              </w:rPr>
            </w:pPr>
            <w:r w:rsidRPr="00C5545D">
              <w:rPr>
                <w:rFonts w:ascii="Abadi" w:eastAsia="Verdana" w:hAnsi="Abadi" w:cs="Verdana"/>
                <w:sz w:val="21"/>
                <w:szCs w:val="21"/>
              </w:rPr>
              <w:t xml:space="preserve">(ADICIONADA, P.O. 29 DE MAYO DE </w:t>
            </w:r>
          </w:p>
          <w:p w14:paraId="0C758DF9" w14:textId="77777777" w:rsidR="004A5206" w:rsidRPr="00C5545D" w:rsidRDefault="004A5206" w:rsidP="00865EE9">
            <w:pPr>
              <w:spacing w:line="259" w:lineRule="auto"/>
              <w:ind w:right="71"/>
              <w:jc w:val="both"/>
              <w:rPr>
                <w:rFonts w:ascii="Abadi" w:hAnsi="Abadi"/>
                <w:sz w:val="21"/>
                <w:szCs w:val="21"/>
              </w:rPr>
            </w:pPr>
            <w:r w:rsidRPr="00C5545D">
              <w:rPr>
                <w:rFonts w:ascii="Abadi" w:eastAsia="Verdana" w:hAnsi="Abadi" w:cs="Verdana"/>
                <w:sz w:val="21"/>
                <w:szCs w:val="21"/>
              </w:rPr>
              <w:t xml:space="preserve">2018) </w:t>
            </w:r>
          </w:p>
          <w:p w14:paraId="14D44D7F"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FADB1EB" w14:textId="77777777" w:rsidR="004A5206" w:rsidRPr="00C5545D" w:rsidRDefault="004A5206" w:rsidP="00865EE9">
            <w:pPr>
              <w:numPr>
                <w:ilvl w:val="0"/>
                <w:numId w:val="103"/>
              </w:numPr>
              <w:spacing w:line="241" w:lineRule="auto"/>
              <w:ind w:right="75"/>
              <w:jc w:val="both"/>
              <w:rPr>
                <w:rFonts w:ascii="Abadi" w:hAnsi="Abadi"/>
                <w:sz w:val="21"/>
                <w:szCs w:val="21"/>
              </w:rPr>
            </w:pPr>
            <w:r w:rsidRPr="00C5545D">
              <w:rPr>
                <w:rFonts w:ascii="Abadi" w:eastAsia="Verdana" w:hAnsi="Abadi" w:cs="Verdana"/>
                <w:sz w:val="21"/>
                <w:szCs w:val="21"/>
              </w:rPr>
              <w:t xml:space="preserve">Promover coordinadamente con la Secretaría de Turismo del Estado, Ayuntamientos y los organismos </w:t>
            </w:r>
            <w:r w:rsidRPr="00C5545D">
              <w:rPr>
                <w:rFonts w:ascii="Abadi" w:eastAsia="Verdana" w:hAnsi="Abadi" w:cs="Verdana"/>
                <w:sz w:val="21"/>
                <w:szCs w:val="21"/>
              </w:rPr>
              <w:lastRenderedPageBreak/>
              <w:t xml:space="preserve">públicos, los sectores social y privado relacionados con la cultura física y el deporte, el impulso al turismo deportivo; </w:t>
            </w:r>
          </w:p>
          <w:p w14:paraId="358F415D"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3CB6114" w14:textId="77777777" w:rsidR="004A5206" w:rsidRPr="00C5545D" w:rsidRDefault="004A5206" w:rsidP="00865EE9">
            <w:pPr>
              <w:numPr>
                <w:ilvl w:val="0"/>
                <w:numId w:val="103"/>
              </w:numPr>
              <w:spacing w:line="241" w:lineRule="auto"/>
              <w:ind w:right="75"/>
              <w:jc w:val="both"/>
              <w:rPr>
                <w:rFonts w:ascii="Abadi" w:hAnsi="Abadi"/>
                <w:sz w:val="21"/>
                <w:szCs w:val="21"/>
              </w:rPr>
            </w:pPr>
            <w:r w:rsidRPr="00C5545D">
              <w:rPr>
                <w:rFonts w:ascii="Abadi" w:eastAsia="Verdana" w:hAnsi="Abadi" w:cs="Verdana"/>
                <w:sz w:val="21"/>
                <w:szCs w:val="21"/>
              </w:rPr>
              <w:t xml:space="preserve">Proponer los lineamientos y mecanismos para prevenir la violencia en cualquier evento de carácter deportivo, en los términos de la Ley General de Cultura </w:t>
            </w:r>
          </w:p>
          <w:p w14:paraId="3C58235E"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Física y Deporte; </w:t>
            </w:r>
          </w:p>
          <w:p w14:paraId="1C51A498"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3240DB9" w14:textId="77777777" w:rsidR="004A5206" w:rsidRPr="00C5545D" w:rsidRDefault="004A5206" w:rsidP="00865EE9">
            <w:pPr>
              <w:numPr>
                <w:ilvl w:val="0"/>
                <w:numId w:val="103"/>
              </w:numPr>
              <w:ind w:right="75"/>
              <w:jc w:val="both"/>
              <w:rPr>
                <w:rFonts w:ascii="Abadi" w:hAnsi="Abadi"/>
                <w:sz w:val="21"/>
                <w:szCs w:val="21"/>
              </w:rPr>
            </w:pPr>
            <w:r w:rsidRPr="00C5545D">
              <w:rPr>
                <w:rFonts w:ascii="Abadi" w:eastAsia="Verdana" w:hAnsi="Abadi" w:cs="Verdana"/>
                <w:sz w:val="21"/>
                <w:szCs w:val="21"/>
              </w:rPr>
              <w:t xml:space="preserve">Certificar la capacitación de profesionales y promotores para el </w:t>
            </w:r>
          </w:p>
          <w:p w14:paraId="192F3605"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fomento del deporte y la cultura física; </w:t>
            </w:r>
          </w:p>
          <w:p w14:paraId="4338200E" w14:textId="77777777" w:rsidR="004A5206" w:rsidRPr="00C5545D" w:rsidRDefault="004A520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BDFCB99" w14:textId="5B329971" w:rsidR="000D61C1" w:rsidRPr="00695491" w:rsidRDefault="004A5206" w:rsidP="00865EE9">
            <w:pPr>
              <w:ind w:right="4"/>
              <w:jc w:val="both"/>
              <w:rPr>
                <w:rFonts w:ascii="Abadi" w:hAnsi="Abadi"/>
                <w:sz w:val="21"/>
                <w:szCs w:val="21"/>
              </w:rPr>
            </w:pPr>
            <w:r w:rsidRPr="00C5545D">
              <w:rPr>
                <w:rFonts w:ascii="Abadi" w:eastAsia="Verdana" w:hAnsi="Abadi" w:cs="Verdana"/>
                <w:sz w:val="21"/>
                <w:szCs w:val="21"/>
              </w:rPr>
              <w:t>Establecer, operar y mantener actualizado el Registro, en coordinación con el RENADE;</w:t>
            </w:r>
          </w:p>
        </w:tc>
      </w:tr>
      <w:tr w:rsidR="000D61C1" w:rsidRPr="00695491" w14:paraId="39C37D8C" w14:textId="77777777" w:rsidTr="008305DC">
        <w:tc>
          <w:tcPr>
            <w:tcW w:w="1891" w:type="dxa"/>
          </w:tcPr>
          <w:p w14:paraId="5889F853" w14:textId="77777777" w:rsidR="00DD2DC0" w:rsidRPr="00C5545D" w:rsidRDefault="00DD2DC0" w:rsidP="00DD2DC0">
            <w:pPr>
              <w:numPr>
                <w:ilvl w:val="0"/>
                <w:numId w:val="104"/>
              </w:numPr>
              <w:spacing w:after="2"/>
              <w:ind w:right="73"/>
              <w:jc w:val="both"/>
              <w:rPr>
                <w:rFonts w:ascii="Abadi" w:hAnsi="Abadi"/>
                <w:sz w:val="21"/>
                <w:szCs w:val="21"/>
              </w:rPr>
            </w:pPr>
            <w:r w:rsidRPr="00C5545D">
              <w:rPr>
                <w:rFonts w:ascii="Abadi" w:eastAsia="Verdana" w:hAnsi="Abadi" w:cs="Verdana"/>
                <w:sz w:val="21"/>
                <w:szCs w:val="21"/>
              </w:rPr>
              <w:lastRenderedPageBreak/>
              <w:t xml:space="preserve">Gestionar recursos técnicos, humanos y materiales para una adecuada preparación y desempeño de las diferentes selecciones representativas en eventos deportivos locales, </w:t>
            </w:r>
            <w:r w:rsidRPr="00C5545D">
              <w:rPr>
                <w:rFonts w:ascii="Abadi" w:eastAsia="Verdana" w:hAnsi="Abadi" w:cs="Verdana"/>
                <w:sz w:val="21"/>
                <w:szCs w:val="21"/>
              </w:rPr>
              <w:t xml:space="preserve">nacionales e internacionales; </w:t>
            </w:r>
          </w:p>
          <w:p w14:paraId="40086EBB"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1E8CC8F6" w14:textId="77777777" w:rsidR="00DD2DC0" w:rsidRPr="00C5545D" w:rsidRDefault="00DD2DC0" w:rsidP="00DD2DC0">
            <w:pPr>
              <w:numPr>
                <w:ilvl w:val="0"/>
                <w:numId w:val="104"/>
              </w:numPr>
              <w:spacing w:line="241" w:lineRule="auto"/>
              <w:ind w:right="73"/>
              <w:jc w:val="both"/>
              <w:rPr>
                <w:rFonts w:ascii="Abadi" w:hAnsi="Abadi"/>
                <w:sz w:val="21"/>
                <w:szCs w:val="21"/>
              </w:rPr>
            </w:pPr>
            <w:r w:rsidRPr="00C5545D">
              <w:rPr>
                <w:rFonts w:ascii="Abadi" w:eastAsia="Verdana" w:hAnsi="Abadi" w:cs="Verdana"/>
                <w:sz w:val="21"/>
                <w:szCs w:val="21"/>
              </w:rPr>
              <w:t xml:space="preserve">Asesorar a las personas que desarrollan actividades relacionadas con el deporte que tengan un fin preponderantemente económico, así como emitir recomendaciones a los organismos municipales y ayuntamientos con la finalidad de que en las instalaciones deportivas privadas que se encuentran en los municipios cuenten con personal inscrito en el Registro y capacitado en estas materias; </w:t>
            </w:r>
          </w:p>
          <w:p w14:paraId="1A0654B8"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7FECD807" w14:textId="77777777" w:rsidR="00DD2DC0" w:rsidRPr="00C5545D" w:rsidRDefault="00DD2DC0" w:rsidP="00DD2DC0">
            <w:pPr>
              <w:numPr>
                <w:ilvl w:val="0"/>
                <w:numId w:val="104"/>
              </w:numPr>
              <w:spacing w:line="242" w:lineRule="auto"/>
              <w:ind w:right="73"/>
              <w:jc w:val="both"/>
              <w:rPr>
                <w:rFonts w:ascii="Abadi" w:hAnsi="Abadi"/>
                <w:sz w:val="21"/>
                <w:szCs w:val="21"/>
              </w:rPr>
            </w:pPr>
            <w:r w:rsidRPr="00C5545D">
              <w:rPr>
                <w:rFonts w:ascii="Abadi" w:eastAsia="Verdana" w:hAnsi="Abadi" w:cs="Verdana"/>
                <w:sz w:val="21"/>
                <w:szCs w:val="21"/>
              </w:rPr>
              <w:t xml:space="preserve">Implementar acciones para promover el deporte social en el </w:t>
            </w:r>
          </w:p>
          <w:p w14:paraId="3C2885CB"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Estado; </w:t>
            </w:r>
          </w:p>
          <w:p w14:paraId="79A1A352"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4903742E" w14:textId="77777777" w:rsidR="00DD2DC0" w:rsidRPr="00C5545D" w:rsidRDefault="00DD2DC0" w:rsidP="00DD2DC0">
            <w:pPr>
              <w:numPr>
                <w:ilvl w:val="0"/>
                <w:numId w:val="104"/>
              </w:numPr>
              <w:ind w:right="73"/>
              <w:jc w:val="both"/>
              <w:rPr>
                <w:rFonts w:ascii="Abadi" w:hAnsi="Abadi"/>
                <w:sz w:val="21"/>
                <w:szCs w:val="21"/>
              </w:rPr>
            </w:pPr>
            <w:r w:rsidRPr="00C5545D">
              <w:rPr>
                <w:rFonts w:ascii="Abadi" w:eastAsia="Verdana" w:hAnsi="Abadi" w:cs="Verdana"/>
                <w:sz w:val="21"/>
                <w:szCs w:val="21"/>
              </w:rPr>
              <w:t xml:space="preserve">Publicar su presupuesto, programas y sistemas de evaluación a través del Periódico Oficial del </w:t>
            </w:r>
          </w:p>
          <w:p w14:paraId="248CD810"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Gobierno del Estado de Guanajuato; </w:t>
            </w:r>
          </w:p>
          <w:p w14:paraId="4A499F00"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05659DE4" w14:textId="77777777" w:rsidR="00DD2DC0" w:rsidRPr="00C5545D" w:rsidRDefault="00DD2DC0" w:rsidP="00DD2DC0">
            <w:pPr>
              <w:numPr>
                <w:ilvl w:val="0"/>
                <w:numId w:val="104"/>
              </w:numPr>
              <w:spacing w:line="241" w:lineRule="auto"/>
              <w:ind w:right="73"/>
              <w:jc w:val="both"/>
              <w:rPr>
                <w:rFonts w:ascii="Abadi" w:hAnsi="Abadi"/>
                <w:sz w:val="21"/>
                <w:szCs w:val="21"/>
              </w:rPr>
            </w:pPr>
            <w:r w:rsidRPr="00C5545D">
              <w:rPr>
                <w:rFonts w:ascii="Abadi" w:eastAsia="Verdana" w:hAnsi="Abadi" w:cs="Verdana"/>
                <w:sz w:val="21"/>
                <w:szCs w:val="21"/>
              </w:rPr>
              <w:t xml:space="preserve">Cumplir y aplicar los acuerdos, políticas, planes y programas que </w:t>
            </w:r>
            <w:r w:rsidRPr="00C5545D">
              <w:rPr>
                <w:rFonts w:ascii="Abadi" w:eastAsia="Verdana" w:hAnsi="Abadi" w:cs="Verdana"/>
                <w:sz w:val="21"/>
                <w:szCs w:val="21"/>
              </w:rPr>
              <w:lastRenderedPageBreak/>
              <w:t xml:space="preserve">en materia de cultura física y deporte implemente el SINADE y tengan obligatoriedad para Guanajuato; </w:t>
            </w:r>
          </w:p>
          <w:p w14:paraId="2666F3F8"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56AA3727" w14:textId="77777777" w:rsidR="00DD2DC0" w:rsidRPr="00C5545D" w:rsidRDefault="00DD2DC0" w:rsidP="00DD2DC0">
            <w:pPr>
              <w:numPr>
                <w:ilvl w:val="0"/>
                <w:numId w:val="104"/>
              </w:numPr>
              <w:ind w:right="73"/>
              <w:jc w:val="both"/>
              <w:rPr>
                <w:rFonts w:ascii="Abadi" w:hAnsi="Abadi"/>
                <w:sz w:val="21"/>
                <w:szCs w:val="21"/>
              </w:rPr>
            </w:pPr>
            <w:r w:rsidRPr="00C5545D">
              <w:rPr>
                <w:rFonts w:ascii="Abadi" w:eastAsia="Verdana" w:hAnsi="Abadi" w:cs="Verdana"/>
                <w:sz w:val="21"/>
                <w:szCs w:val="21"/>
              </w:rPr>
              <w:t xml:space="preserve">Integrar el Sistema Estatal, para promover y fomentar el desarrollo </w:t>
            </w:r>
          </w:p>
          <w:p w14:paraId="5B12A6A3"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de la cultura física y deporte; </w:t>
            </w:r>
          </w:p>
          <w:p w14:paraId="758FA263"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2255B4BD" w14:textId="77777777" w:rsidR="00DD2DC0" w:rsidRPr="00C5545D" w:rsidRDefault="00DD2DC0" w:rsidP="00DD2DC0">
            <w:pPr>
              <w:numPr>
                <w:ilvl w:val="0"/>
                <w:numId w:val="104"/>
              </w:numPr>
              <w:spacing w:line="241" w:lineRule="auto"/>
              <w:ind w:right="73"/>
              <w:jc w:val="both"/>
              <w:rPr>
                <w:rFonts w:ascii="Abadi" w:hAnsi="Abadi"/>
                <w:sz w:val="21"/>
                <w:szCs w:val="21"/>
              </w:rPr>
            </w:pPr>
            <w:r w:rsidRPr="00C5545D">
              <w:rPr>
                <w:rFonts w:ascii="Abadi" w:eastAsia="Verdana" w:hAnsi="Abadi" w:cs="Verdana"/>
                <w:sz w:val="21"/>
                <w:szCs w:val="21"/>
              </w:rPr>
              <w:t xml:space="preserve">Asesorar al Titular del Poder Ejecutivo del Estado y a los ayuntamientos en la definición de estrategias en proyectos de cultura física y deporte; </w:t>
            </w:r>
          </w:p>
          <w:p w14:paraId="4D038B67"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1C07D8F8" w14:textId="77777777" w:rsidR="00DD2DC0" w:rsidRPr="00C5545D" w:rsidRDefault="00DD2DC0" w:rsidP="00DD2DC0">
            <w:pPr>
              <w:numPr>
                <w:ilvl w:val="0"/>
                <w:numId w:val="104"/>
              </w:numPr>
              <w:spacing w:line="241" w:lineRule="auto"/>
              <w:ind w:right="73"/>
              <w:jc w:val="both"/>
              <w:rPr>
                <w:rFonts w:ascii="Abadi" w:hAnsi="Abadi"/>
                <w:sz w:val="21"/>
                <w:szCs w:val="21"/>
              </w:rPr>
            </w:pPr>
            <w:r w:rsidRPr="00C5545D">
              <w:rPr>
                <w:rFonts w:ascii="Abadi" w:eastAsia="Verdana" w:hAnsi="Abadi" w:cs="Verdana"/>
                <w:sz w:val="21"/>
                <w:szCs w:val="21"/>
              </w:rPr>
              <w:t xml:space="preserve">Establecer instrumentos y procedimientos para identificar y seleccionar a talentos deportivos; </w:t>
            </w:r>
          </w:p>
          <w:p w14:paraId="741B60CE" w14:textId="77777777" w:rsidR="00DD2DC0" w:rsidRPr="00C5545D" w:rsidRDefault="00DD2DC0" w:rsidP="00DD2DC0">
            <w:pPr>
              <w:spacing w:line="259" w:lineRule="auto"/>
              <w:rPr>
                <w:rFonts w:ascii="Abadi" w:hAnsi="Abadi"/>
                <w:sz w:val="21"/>
                <w:szCs w:val="21"/>
              </w:rPr>
            </w:pPr>
            <w:r w:rsidRPr="00C5545D">
              <w:rPr>
                <w:rFonts w:ascii="Abadi" w:eastAsia="Verdana" w:hAnsi="Abadi" w:cs="Verdana"/>
                <w:sz w:val="21"/>
                <w:szCs w:val="21"/>
              </w:rPr>
              <w:t xml:space="preserve"> </w:t>
            </w:r>
          </w:p>
          <w:p w14:paraId="1D29184E" w14:textId="595DC050" w:rsidR="000D61C1" w:rsidRPr="00695491" w:rsidRDefault="00DD2DC0" w:rsidP="00DD2DC0">
            <w:pPr>
              <w:ind w:right="4"/>
              <w:jc w:val="both"/>
              <w:rPr>
                <w:rFonts w:ascii="Abadi" w:hAnsi="Abadi"/>
                <w:sz w:val="21"/>
                <w:szCs w:val="21"/>
              </w:rPr>
            </w:pPr>
            <w:r w:rsidRPr="00C5545D">
              <w:rPr>
                <w:rFonts w:ascii="Abadi" w:eastAsia="Verdana" w:hAnsi="Abadi" w:cs="Verdana"/>
                <w:sz w:val="21"/>
                <w:szCs w:val="21"/>
              </w:rPr>
              <w:t>Promover y fomentar el otorgamiento de apoyos a talentos</w:t>
            </w:r>
          </w:p>
        </w:tc>
        <w:tc>
          <w:tcPr>
            <w:tcW w:w="2073" w:type="dxa"/>
          </w:tcPr>
          <w:p w14:paraId="5DBE1650" w14:textId="77777777" w:rsidR="002B7218" w:rsidRPr="00C5545D" w:rsidRDefault="002B7218" w:rsidP="002B7218">
            <w:pPr>
              <w:numPr>
                <w:ilvl w:val="0"/>
                <w:numId w:val="105"/>
              </w:numPr>
              <w:spacing w:after="2"/>
              <w:ind w:right="72"/>
              <w:jc w:val="both"/>
              <w:rPr>
                <w:rFonts w:ascii="Abadi" w:hAnsi="Abadi"/>
                <w:sz w:val="21"/>
                <w:szCs w:val="21"/>
              </w:rPr>
            </w:pPr>
            <w:r w:rsidRPr="00C5545D">
              <w:rPr>
                <w:rFonts w:ascii="Abadi" w:eastAsia="Verdana" w:hAnsi="Abadi" w:cs="Verdana"/>
                <w:sz w:val="21"/>
                <w:szCs w:val="21"/>
              </w:rPr>
              <w:lastRenderedPageBreak/>
              <w:t xml:space="preserve">Gestionar recursos técnicos, humanos y materiales para una adecuada preparación y desempeño de las diferentes selecciones representativas en eventos deportivos locales, nacionales e internacionales; </w:t>
            </w:r>
          </w:p>
          <w:p w14:paraId="606AF678"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027E39A8" w14:textId="77777777" w:rsidR="002B7218" w:rsidRPr="00C5545D" w:rsidRDefault="002B7218" w:rsidP="002B7218">
            <w:pPr>
              <w:numPr>
                <w:ilvl w:val="0"/>
                <w:numId w:val="105"/>
              </w:numPr>
              <w:spacing w:line="241" w:lineRule="auto"/>
              <w:ind w:right="72"/>
              <w:jc w:val="both"/>
              <w:rPr>
                <w:rFonts w:ascii="Abadi" w:hAnsi="Abadi"/>
                <w:sz w:val="21"/>
                <w:szCs w:val="21"/>
              </w:rPr>
            </w:pPr>
            <w:r w:rsidRPr="00C5545D">
              <w:rPr>
                <w:rFonts w:ascii="Abadi" w:eastAsia="Verdana" w:hAnsi="Abadi" w:cs="Verdana"/>
                <w:sz w:val="21"/>
                <w:szCs w:val="21"/>
              </w:rPr>
              <w:t xml:space="preserve">Asesorar a las personas que desarrollan actividades relacionadas con el deporte que tengan un fin preponderantemente económico, así como emitir recomendaciones a los organismos municipales y ayuntamientos con la finalidad de que en las instalaciones deportivas privadas que se encuentran en los municipios cuenten con personal inscrito en el Registro y capacitado en estas materias; </w:t>
            </w:r>
          </w:p>
          <w:p w14:paraId="3F769043"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428936F4"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250E0C9A" w14:textId="77777777" w:rsidR="002B7218" w:rsidRPr="00C5545D" w:rsidRDefault="002B7218" w:rsidP="002B7218">
            <w:pPr>
              <w:numPr>
                <w:ilvl w:val="0"/>
                <w:numId w:val="105"/>
              </w:numPr>
              <w:spacing w:line="259" w:lineRule="auto"/>
              <w:ind w:right="72"/>
              <w:jc w:val="both"/>
              <w:rPr>
                <w:rFonts w:ascii="Abadi" w:hAnsi="Abadi"/>
                <w:sz w:val="21"/>
                <w:szCs w:val="21"/>
              </w:rPr>
            </w:pPr>
            <w:r w:rsidRPr="00C5545D">
              <w:rPr>
                <w:rFonts w:ascii="Abadi" w:eastAsia="Verdana" w:hAnsi="Abadi" w:cs="Verdana"/>
                <w:sz w:val="21"/>
                <w:szCs w:val="21"/>
              </w:rPr>
              <w:t xml:space="preserve">Implementar </w:t>
            </w:r>
            <w:r w:rsidRPr="00C5545D">
              <w:rPr>
                <w:rFonts w:ascii="Abadi" w:eastAsia="Verdana" w:hAnsi="Abadi" w:cs="Verdana"/>
                <w:sz w:val="21"/>
                <w:szCs w:val="21"/>
              </w:rPr>
              <w:tab/>
              <w:t xml:space="preserve">acciones </w:t>
            </w:r>
            <w:r w:rsidRPr="00C5545D">
              <w:rPr>
                <w:rFonts w:ascii="Abadi" w:eastAsia="Verdana" w:hAnsi="Abadi" w:cs="Verdana"/>
                <w:sz w:val="21"/>
                <w:szCs w:val="21"/>
              </w:rPr>
              <w:tab/>
              <w:t xml:space="preserve">para </w:t>
            </w:r>
          </w:p>
          <w:p w14:paraId="2706413F"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promover el deporte social en el Estado; </w:t>
            </w:r>
          </w:p>
          <w:p w14:paraId="3601C46F"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7CD9B927"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47A0FD69" w14:textId="77777777" w:rsidR="002B7218" w:rsidRPr="00C5545D" w:rsidRDefault="002B7218" w:rsidP="002B7218">
            <w:pPr>
              <w:numPr>
                <w:ilvl w:val="0"/>
                <w:numId w:val="105"/>
              </w:numPr>
              <w:ind w:right="72"/>
              <w:jc w:val="both"/>
              <w:rPr>
                <w:rFonts w:ascii="Abadi" w:hAnsi="Abadi"/>
                <w:sz w:val="21"/>
                <w:szCs w:val="21"/>
              </w:rPr>
            </w:pPr>
            <w:r w:rsidRPr="00C5545D">
              <w:rPr>
                <w:rFonts w:ascii="Abadi" w:eastAsia="Verdana" w:hAnsi="Abadi" w:cs="Verdana"/>
                <w:sz w:val="21"/>
                <w:szCs w:val="21"/>
              </w:rPr>
              <w:t xml:space="preserve">Publicar su presupuesto, programas y sistemas de evaluación a través del </w:t>
            </w:r>
          </w:p>
          <w:p w14:paraId="062682E2"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Periódico Oficial del Gobierno del Estado de </w:t>
            </w:r>
          </w:p>
          <w:p w14:paraId="0E77D47F"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Guanajuato; </w:t>
            </w:r>
          </w:p>
          <w:p w14:paraId="261FCF0D"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2D56E111" w14:textId="77777777" w:rsidR="002B7218" w:rsidRPr="00C5545D" w:rsidRDefault="002B7218" w:rsidP="002B7218">
            <w:pPr>
              <w:numPr>
                <w:ilvl w:val="0"/>
                <w:numId w:val="105"/>
              </w:numPr>
              <w:spacing w:line="241" w:lineRule="auto"/>
              <w:ind w:right="72"/>
              <w:jc w:val="both"/>
              <w:rPr>
                <w:rFonts w:ascii="Abadi" w:hAnsi="Abadi"/>
                <w:sz w:val="21"/>
                <w:szCs w:val="21"/>
              </w:rPr>
            </w:pPr>
            <w:r w:rsidRPr="00C5545D">
              <w:rPr>
                <w:rFonts w:ascii="Abadi" w:eastAsia="Verdana" w:hAnsi="Abadi" w:cs="Verdana"/>
                <w:sz w:val="21"/>
                <w:szCs w:val="21"/>
              </w:rPr>
              <w:t xml:space="preserve">Cumplir y aplicar los acuerdos, políticas, planes y programas que en materia de cultura física y deporte implemente el SINADE y tengan </w:t>
            </w:r>
          </w:p>
          <w:p w14:paraId="79051D9E"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lastRenderedPageBreak/>
              <w:t xml:space="preserve">obligatoriedad para Guanajuato; </w:t>
            </w:r>
          </w:p>
          <w:p w14:paraId="544E2B6F"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55E53709" w14:textId="77777777" w:rsidR="002B7218" w:rsidRPr="00C5545D" w:rsidRDefault="002B7218" w:rsidP="002B7218">
            <w:pPr>
              <w:numPr>
                <w:ilvl w:val="0"/>
                <w:numId w:val="105"/>
              </w:numPr>
              <w:ind w:right="72"/>
              <w:jc w:val="both"/>
              <w:rPr>
                <w:rFonts w:ascii="Abadi" w:hAnsi="Abadi"/>
                <w:sz w:val="21"/>
                <w:szCs w:val="21"/>
              </w:rPr>
            </w:pPr>
            <w:r w:rsidRPr="00C5545D">
              <w:rPr>
                <w:rFonts w:ascii="Abadi" w:eastAsia="Verdana" w:hAnsi="Abadi" w:cs="Verdana"/>
                <w:sz w:val="21"/>
                <w:szCs w:val="21"/>
              </w:rPr>
              <w:t xml:space="preserve">Integrar el Sistema Estatal, para promover y fomentar el desarrollo de la cultura física y deporte; </w:t>
            </w:r>
          </w:p>
          <w:p w14:paraId="557D3BD2"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406CC22D" w14:textId="77777777" w:rsidR="002B7218" w:rsidRPr="00C5545D" w:rsidRDefault="002B7218" w:rsidP="002B7218">
            <w:pPr>
              <w:numPr>
                <w:ilvl w:val="0"/>
                <w:numId w:val="105"/>
              </w:numPr>
              <w:spacing w:line="241" w:lineRule="auto"/>
              <w:ind w:right="72"/>
              <w:jc w:val="both"/>
              <w:rPr>
                <w:rFonts w:ascii="Abadi" w:hAnsi="Abadi"/>
                <w:sz w:val="21"/>
                <w:szCs w:val="21"/>
              </w:rPr>
            </w:pPr>
            <w:r w:rsidRPr="00C5545D">
              <w:rPr>
                <w:rFonts w:ascii="Abadi" w:eastAsia="Verdana" w:hAnsi="Abadi" w:cs="Verdana"/>
                <w:sz w:val="21"/>
                <w:szCs w:val="21"/>
              </w:rPr>
              <w:t xml:space="preserve">Asesorar al Titular del Poder Ejecutivo del Estado y a los ayuntamientos en la definición de estrategias en proyectos de cultura física y deporte; </w:t>
            </w:r>
          </w:p>
          <w:p w14:paraId="27621EDA"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7A465740"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778E2C15" w14:textId="77777777" w:rsidR="002B7218" w:rsidRPr="00C5545D" w:rsidRDefault="002B7218" w:rsidP="002B7218">
            <w:pPr>
              <w:numPr>
                <w:ilvl w:val="0"/>
                <w:numId w:val="105"/>
              </w:numPr>
              <w:spacing w:line="242" w:lineRule="auto"/>
              <w:ind w:right="72"/>
              <w:jc w:val="both"/>
              <w:rPr>
                <w:rFonts w:ascii="Abadi" w:hAnsi="Abadi"/>
                <w:sz w:val="21"/>
                <w:szCs w:val="21"/>
              </w:rPr>
            </w:pPr>
            <w:r w:rsidRPr="00C5545D">
              <w:rPr>
                <w:rFonts w:ascii="Abadi" w:eastAsia="Verdana" w:hAnsi="Abadi" w:cs="Verdana"/>
                <w:sz w:val="21"/>
                <w:szCs w:val="21"/>
              </w:rPr>
              <w:t xml:space="preserve">Establecer instrumentos y procedimientos para identificar y </w:t>
            </w:r>
          </w:p>
          <w:p w14:paraId="243E08F5"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seleccionar a talentos deportivos; </w:t>
            </w:r>
          </w:p>
          <w:p w14:paraId="7AEA650F" w14:textId="77777777" w:rsidR="002B7218" w:rsidRPr="00C5545D" w:rsidRDefault="002B7218" w:rsidP="002B7218">
            <w:pPr>
              <w:spacing w:line="259" w:lineRule="auto"/>
              <w:rPr>
                <w:rFonts w:ascii="Abadi" w:hAnsi="Abadi"/>
                <w:sz w:val="21"/>
                <w:szCs w:val="21"/>
              </w:rPr>
            </w:pPr>
            <w:r w:rsidRPr="00C5545D">
              <w:rPr>
                <w:rFonts w:ascii="Abadi" w:eastAsia="Verdana" w:hAnsi="Abadi" w:cs="Verdana"/>
                <w:sz w:val="21"/>
                <w:szCs w:val="21"/>
              </w:rPr>
              <w:t xml:space="preserve"> </w:t>
            </w:r>
          </w:p>
          <w:p w14:paraId="4C9636DC" w14:textId="0D33EA49" w:rsidR="000D61C1" w:rsidRPr="00695491" w:rsidRDefault="002B7218" w:rsidP="002B7218">
            <w:pPr>
              <w:ind w:right="4"/>
              <w:jc w:val="both"/>
              <w:rPr>
                <w:rFonts w:ascii="Abadi" w:hAnsi="Abadi"/>
                <w:sz w:val="21"/>
                <w:szCs w:val="21"/>
              </w:rPr>
            </w:pPr>
            <w:r w:rsidRPr="00C5545D">
              <w:rPr>
                <w:rFonts w:ascii="Abadi" w:eastAsia="Verdana" w:hAnsi="Abadi" w:cs="Verdana"/>
                <w:sz w:val="21"/>
                <w:szCs w:val="21"/>
              </w:rPr>
              <w:t>Promover y fomentar el otorgamiento de apoyos a talentos deportivos y deportistas de alto rendimiento,</w:t>
            </w:r>
          </w:p>
        </w:tc>
      </w:tr>
      <w:tr w:rsidR="000D61C1" w:rsidRPr="00695491" w14:paraId="46E167B8" w14:textId="77777777" w:rsidTr="008305DC">
        <w:tc>
          <w:tcPr>
            <w:tcW w:w="1891" w:type="dxa"/>
          </w:tcPr>
          <w:p w14:paraId="0E5B222A" w14:textId="77777777" w:rsidR="00414B1B" w:rsidRPr="00C5545D" w:rsidRDefault="00414B1B" w:rsidP="00414B1B">
            <w:pPr>
              <w:rPr>
                <w:rFonts w:ascii="Abadi" w:hAnsi="Abadi"/>
                <w:sz w:val="21"/>
                <w:szCs w:val="21"/>
              </w:rPr>
            </w:pPr>
            <w:r w:rsidRPr="00C5545D">
              <w:rPr>
                <w:rFonts w:ascii="Abadi" w:eastAsia="Verdana" w:hAnsi="Abadi" w:cs="Verdana"/>
                <w:sz w:val="21"/>
                <w:szCs w:val="21"/>
              </w:rPr>
              <w:lastRenderedPageBreak/>
              <w:t xml:space="preserve">deportivos y deportistas de alto rendimiento; </w:t>
            </w:r>
          </w:p>
          <w:p w14:paraId="593A5D3A"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2F176E36"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30EBD5ED" w14:textId="77777777" w:rsidR="00414B1B" w:rsidRDefault="00414B1B" w:rsidP="00414B1B">
            <w:pPr>
              <w:spacing w:line="259" w:lineRule="auto"/>
              <w:rPr>
                <w:rFonts w:ascii="Abadi" w:eastAsia="Verdana" w:hAnsi="Abadi" w:cs="Verdana"/>
                <w:sz w:val="21"/>
                <w:szCs w:val="21"/>
              </w:rPr>
            </w:pPr>
            <w:r w:rsidRPr="00C5545D">
              <w:rPr>
                <w:rFonts w:ascii="Abadi" w:eastAsia="Verdana" w:hAnsi="Abadi" w:cs="Verdana"/>
                <w:sz w:val="21"/>
                <w:szCs w:val="21"/>
              </w:rPr>
              <w:t xml:space="preserve"> </w:t>
            </w:r>
          </w:p>
          <w:p w14:paraId="61A1D9BD" w14:textId="77777777" w:rsidR="00865EE9" w:rsidRDefault="00865EE9" w:rsidP="00414B1B">
            <w:pPr>
              <w:spacing w:line="259" w:lineRule="auto"/>
              <w:rPr>
                <w:rFonts w:ascii="Abadi" w:hAnsi="Abadi"/>
                <w:sz w:val="21"/>
                <w:szCs w:val="21"/>
              </w:rPr>
            </w:pPr>
          </w:p>
          <w:p w14:paraId="22C2B337" w14:textId="77777777" w:rsidR="00865EE9" w:rsidRPr="00C5545D" w:rsidRDefault="00865EE9" w:rsidP="00414B1B">
            <w:pPr>
              <w:spacing w:line="259" w:lineRule="auto"/>
              <w:rPr>
                <w:rFonts w:ascii="Abadi" w:hAnsi="Abadi"/>
                <w:sz w:val="21"/>
                <w:szCs w:val="21"/>
              </w:rPr>
            </w:pPr>
          </w:p>
          <w:p w14:paraId="627AA370" w14:textId="77777777" w:rsidR="00414B1B" w:rsidRPr="00C5545D" w:rsidRDefault="00414B1B" w:rsidP="00414B1B">
            <w:pPr>
              <w:spacing w:line="259" w:lineRule="auto"/>
              <w:ind w:right="72"/>
              <w:jc w:val="right"/>
              <w:rPr>
                <w:rFonts w:ascii="Abadi" w:hAnsi="Abadi"/>
                <w:sz w:val="21"/>
                <w:szCs w:val="21"/>
              </w:rPr>
            </w:pPr>
            <w:r w:rsidRPr="00C5545D">
              <w:rPr>
                <w:rFonts w:ascii="Abadi" w:eastAsia="Verdana" w:hAnsi="Abadi" w:cs="Verdana"/>
                <w:sz w:val="21"/>
                <w:szCs w:val="21"/>
              </w:rPr>
              <w:t xml:space="preserve">(REFORMADA, P.O. 19 DE JULIO DE </w:t>
            </w:r>
          </w:p>
          <w:p w14:paraId="15DCDE53" w14:textId="77777777" w:rsidR="00414B1B" w:rsidRPr="00C5545D" w:rsidRDefault="00414B1B" w:rsidP="00414B1B">
            <w:pPr>
              <w:spacing w:line="259" w:lineRule="auto"/>
              <w:ind w:right="71"/>
              <w:jc w:val="right"/>
              <w:rPr>
                <w:rFonts w:ascii="Abadi" w:hAnsi="Abadi"/>
                <w:sz w:val="21"/>
                <w:szCs w:val="21"/>
              </w:rPr>
            </w:pPr>
            <w:r w:rsidRPr="00C5545D">
              <w:rPr>
                <w:rFonts w:ascii="Abadi" w:eastAsia="Verdana" w:hAnsi="Abadi" w:cs="Verdana"/>
                <w:sz w:val="21"/>
                <w:szCs w:val="21"/>
              </w:rPr>
              <w:t xml:space="preserve">2021) </w:t>
            </w:r>
          </w:p>
          <w:p w14:paraId="5549D970" w14:textId="77777777" w:rsidR="00414B1B" w:rsidRPr="00C5545D" w:rsidRDefault="00414B1B" w:rsidP="00414B1B">
            <w:pPr>
              <w:spacing w:line="259" w:lineRule="auto"/>
              <w:jc w:val="right"/>
              <w:rPr>
                <w:rFonts w:ascii="Abadi" w:hAnsi="Abadi"/>
                <w:sz w:val="21"/>
                <w:szCs w:val="21"/>
              </w:rPr>
            </w:pPr>
            <w:r w:rsidRPr="00C5545D">
              <w:rPr>
                <w:rFonts w:ascii="Abadi" w:eastAsia="Verdana" w:hAnsi="Abadi" w:cs="Verdana"/>
                <w:sz w:val="21"/>
                <w:szCs w:val="21"/>
              </w:rPr>
              <w:t xml:space="preserve"> </w:t>
            </w:r>
          </w:p>
          <w:p w14:paraId="0D277BE0" w14:textId="77777777" w:rsidR="00414B1B" w:rsidRPr="00C5545D" w:rsidRDefault="00414B1B" w:rsidP="00414B1B">
            <w:pPr>
              <w:numPr>
                <w:ilvl w:val="0"/>
                <w:numId w:val="106"/>
              </w:numPr>
              <w:spacing w:line="241" w:lineRule="auto"/>
              <w:ind w:right="74"/>
              <w:jc w:val="both"/>
              <w:rPr>
                <w:rFonts w:ascii="Abadi" w:hAnsi="Abadi"/>
                <w:sz w:val="21"/>
                <w:szCs w:val="21"/>
              </w:rPr>
            </w:pPr>
            <w:r w:rsidRPr="00C5545D">
              <w:rPr>
                <w:rFonts w:ascii="Abadi" w:eastAsia="Verdana" w:hAnsi="Abadi" w:cs="Verdana"/>
                <w:sz w:val="21"/>
                <w:szCs w:val="21"/>
              </w:rPr>
              <w:t xml:space="preserve">Promover programas especiales que amplíen las opciones de la cultura física y deporte a grupos vulnerables y personas con discapacidad; </w:t>
            </w:r>
          </w:p>
          <w:p w14:paraId="3EC80037"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19BD0E88" w14:textId="77777777" w:rsidR="00414B1B" w:rsidRPr="00C5545D" w:rsidRDefault="00414B1B" w:rsidP="00414B1B">
            <w:pPr>
              <w:spacing w:line="259" w:lineRule="auto"/>
              <w:ind w:right="72"/>
              <w:jc w:val="right"/>
              <w:rPr>
                <w:rFonts w:ascii="Abadi" w:hAnsi="Abadi"/>
                <w:sz w:val="21"/>
                <w:szCs w:val="21"/>
              </w:rPr>
            </w:pPr>
            <w:r w:rsidRPr="00C5545D">
              <w:rPr>
                <w:rFonts w:ascii="Abadi" w:eastAsia="Verdana" w:hAnsi="Abadi" w:cs="Verdana"/>
                <w:sz w:val="21"/>
                <w:szCs w:val="21"/>
              </w:rPr>
              <w:t xml:space="preserve">(ADICIONADA, P.O. 19 DE JULIO DE </w:t>
            </w:r>
          </w:p>
          <w:p w14:paraId="04E33500" w14:textId="77777777" w:rsidR="00414B1B" w:rsidRPr="00C5545D" w:rsidRDefault="00414B1B" w:rsidP="00414B1B">
            <w:pPr>
              <w:spacing w:line="259" w:lineRule="auto"/>
              <w:ind w:right="71"/>
              <w:jc w:val="right"/>
              <w:rPr>
                <w:rFonts w:ascii="Abadi" w:hAnsi="Abadi"/>
                <w:sz w:val="21"/>
                <w:szCs w:val="21"/>
              </w:rPr>
            </w:pPr>
            <w:r w:rsidRPr="00C5545D">
              <w:rPr>
                <w:rFonts w:ascii="Abadi" w:eastAsia="Verdana" w:hAnsi="Abadi" w:cs="Verdana"/>
                <w:sz w:val="21"/>
                <w:szCs w:val="21"/>
              </w:rPr>
              <w:t xml:space="preserve">2021) </w:t>
            </w:r>
          </w:p>
          <w:p w14:paraId="1B750051" w14:textId="77777777" w:rsidR="00414B1B" w:rsidRPr="00C5545D" w:rsidRDefault="00414B1B" w:rsidP="00414B1B">
            <w:pPr>
              <w:spacing w:line="259" w:lineRule="auto"/>
              <w:jc w:val="right"/>
              <w:rPr>
                <w:rFonts w:ascii="Abadi" w:hAnsi="Abadi"/>
                <w:sz w:val="21"/>
                <w:szCs w:val="21"/>
              </w:rPr>
            </w:pPr>
            <w:r w:rsidRPr="00C5545D">
              <w:rPr>
                <w:rFonts w:ascii="Abadi" w:eastAsia="Verdana" w:hAnsi="Abadi" w:cs="Verdana"/>
                <w:sz w:val="21"/>
                <w:szCs w:val="21"/>
              </w:rPr>
              <w:t xml:space="preserve"> </w:t>
            </w:r>
          </w:p>
          <w:p w14:paraId="7299E98E" w14:textId="77777777" w:rsidR="00414B1B" w:rsidRPr="00C5545D" w:rsidRDefault="00414B1B" w:rsidP="00414B1B">
            <w:pPr>
              <w:numPr>
                <w:ilvl w:val="0"/>
                <w:numId w:val="106"/>
              </w:numPr>
              <w:spacing w:line="241" w:lineRule="auto"/>
              <w:ind w:right="74"/>
              <w:jc w:val="both"/>
              <w:rPr>
                <w:rFonts w:ascii="Abadi" w:hAnsi="Abadi"/>
                <w:sz w:val="21"/>
                <w:szCs w:val="21"/>
              </w:rPr>
            </w:pPr>
            <w:r w:rsidRPr="00C5545D">
              <w:rPr>
                <w:rFonts w:ascii="Abadi" w:eastAsia="Verdana" w:hAnsi="Abadi" w:cs="Verdana"/>
                <w:sz w:val="21"/>
                <w:szCs w:val="21"/>
              </w:rPr>
              <w:t xml:space="preserve">Realizar acciones o campañas a efecto de promover la cultura física y el deporte, encaminadas a desalentar el consumo de bebidas alcohólicas y evitarlo en menores de edad, en coordinación con las autoridades estatales y municipales, así como con </w:t>
            </w:r>
          </w:p>
          <w:p w14:paraId="15A1ED64"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los sectores social y privado; y </w:t>
            </w:r>
          </w:p>
          <w:p w14:paraId="001CD219"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6CB4C878" w14:textId="77777777" w:rsidR="00414B1B" w:rsidRPr="00C5545D" w:rsidRDefault="00414B1B" w:rsidP="00414B1B">
            <w:pPr>
              <w:spacing w:line="259" w:lineRule="auto"/>
              <w:ind w:right="71"/>
              <w:jc w:val="right"/>
              <w:rPr>
                <w:rFonts w:ascii="Abadi" w:hAnsi="Abadi"/>
                <w:sz w:val="21"/>
                <w:szCs w:val="21"/>
              </w:rPr>
            </w:pPr>
            <w:r w:rsidRPr="00C5545D">
              <w:rPr>
                <w:rFonts w:ascii="Abadi" w:eastAsia="Verdana" w:hAnsi="Abadi" w:cs="Verdana"/>
                <w:sz w:val="21"/>
                <w:szCs w:val="21"/>
              </w:rPr>
              <w:t xml:space="preserve">(RECORRIDA EN SU ORDEN, P.O. 19 </w:t>
            </w:r>
          </w:p>
          <w:p w14:paraId="6E7B970F" w14:textId="77777777" w:rsidR="00414B1B" w:rsidRPr="00C5545D" w:rsidRDefault="00414B1B" w:rsidP="00414B1B">
            <w:pPr>
              <w:spacing w:after="53" w:line="246" w:lineRule="auto"/>
              <w:ind w:firstLine="1930"/>
              <w:rPr>
                <w:rFonts w:ascii="Abadi" w:hAnsi="Abadi"/>
                <w:sz w:val="21"/>
                <w:szCs w:val="21"/>
              </w:rPr>
            </w:pPr>
            <w:r w:rsidRPr="00C5545D">
              <w:rPr>
                <w:rFonts w:ascii="Abadi" w:eastAsia="Verdana" w:hAnsi="Abadi" w:cs="Verdana"/>
                <w:sz w:val="21"/>
                <w:szCs w:val="21"/>
              </w:rPr>
              <w:t xml:space="preserve">DE JULIO DE 2021) XXXIII. Las demás que señalen las leyes </w:t>
            </w:r>
            <w:r w:rsidRPr="00C5545D">
              <w:rPr>
                <w:rFonts w:ascii="Abadi" w:eastAsia="Verdana" w:hAnsi="Abadi" w:cs="Verdana"/>
                <w:sz w:val="21"/>
                <w:szCs w:val="21"/>
              </w:rPr>
              <w:tab/>
              <w:t xml:space="preserve">y </w:t>
            </w:r>
            <w:r w:rsidRPr="00C5545D">
              <w:rPr>
                <w:rFonts w:ascii="Abadi" w:eastAsia="Verdana" w:hAnsi="Abadi" w:cs="Verdana"/>
                <w:sz w:val="21"/>
                <w:szCs w:val="21"/>
              </w:rPr>
              <w:tab/>
              <w:t xml:space="preserve">disposiciones </w:t>
            </w:r>
            <w:r w:rsidRPr="00C5545D">
              <w:rPr>
                <w:rFonts w:ascii="Abadi" w:eastAsia="Verdana" w:hAnsi="Abadi" w:cs="Verdana"/>
                <w:sz w:val="21"/>
                <w:szCs w:val="21"/>
              </w:rPr>
              <w:tab/>
              <w:t xml:space="preserve">jurídicas aplicables. </w:t>
            </w:r>
          </w:p>
          <w:p w14:paraId="165EFF3B"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557239BF"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1A1E40E3"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t xml:space="preserve"> </w:t>
            </w:r>
          </w:p>
          <w:p w14:paraId="15ABF88B" w14:textId="77777777" w:rsidR="00414B1B" w:rsidRPr="00C5545D" w:rsidRDefault="00414B1B" w:rsidP="00414B1B">
            <w:pPr>
              <w:spacing w:line="259" w:lineRule="auto"/>
              <w:rPr>
                <w:rFonts w:ascii="Abadi" w:hAnsi="Abadi"/>
                <w:sz w:val="21"/>
                <w:szCs w:val="21"/>
              </w:rPr>
            </w:pPr>
            <w:r w:rsidRPr="00C5545D">
              <w:rPr>
                <w:rFonts w:ascii="Abadi" w:eastAsia="Verdana" w:hAnsi="Abadi" w:cs="Verdana"/>
                <w:sz w:val="21"/>
                <w:szCs w:val="21"/>
              </w:rPr>
              <w:lastRenderedPageBreak/>
              <w:t xml:space="preserve"> </w:t>
            </w:r>
          </w:p>
          <w:p w14:paraId="1BB445B8" w14:textId="016AA931" w:rsidR="000D61C1" w:rsidRPr="00695491" w:rsidRDefault="00414B1B" w:rsidP="00414B1B">
            <w:pPr>
              <w:ind w:right="4"/>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Sin referente</w:t>
            </w:r>
          </w:p>
        </w:tc>
        <w:tc>
          <w:tcPr>
            <w:tcW w:w="2073" w:type="dxa"/>
          </w:tcPr>
          <w:p w14:paraId="27CDAE93" w14:textId="77777777" w:rsidR="00630E4F" w:rsidRPr="00C5545D" w:rsidRDefault="00630E4F" w:rsidP="00865EE9">
            <w:pPr>
              <w:jc w:val="both"/>
              <w:rPr>
                <w:rFonts w:ascii="Abadi" w:hAnsi="Abadi"/>
                <w:sz w:val="21"/>
                <w:szCs w:val="21"/>
              </w:rPr>
            </w:pPr>
            <w:r w:rsidRPr="00C5545D">
              <w:rPr>
                <w:rFonts w:ascii="Abadi" w:eastAsia="Verdana" w:hAnsi="Abadi" w:cs="Verdana"/>
                <w:b/>
                <w:sz w:val="21"/>
                <w:szCs w:val="21"/>
              </w:rPr>
              <w:lastRenderedPageBreak/>
              <w:t xml:space="preserve">observando los principios de igualdad y perspectiva de género y no </w:t>
            </w:r>
          </w:p>
          <w:p w14:paraId="18AF1354"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b/>
                <w:sz w:val="21"/>
                <w:szCs w:val="21"/>
              </w:rPr>
              <w:t>discriminación</w:t>
            </w:r>
            <w:r w:rsidRPr="00C5545D">
              <w:rPr>
                <w:rFonts w:ascii="Abadi" w:eastAsia="Verdana" w:hAnsi="Abadi" w:cs="Verdana"/>
                <w:sz w:val="21"/>
                <w:szCs w:val="21"/>
              </w:rPr>
              <w:t xml:space="preserve">; </w:t>
            </w:r>
          </w:p>
          <w:p w14:paraId="0F8545F9"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6DA2DBD"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B195BB0" w14:textId="77777777" w:rsidR="00630E4F" w:rsidRPr="00C5545D" w:rsidRDefault="00630E4F" w:rsidP="00865EE9">
            <w:pPr>
              <w:spacing w:line="259" w:lineRule="auto"/>
              <w:ind w:left="34"/>
              <w:jc w:val="both"/>
              <w:rPr>
                <w:rFonts w:ascii="Abadi" w:hAnsi="Abadi"/>
                <w:sz w:val="21"/>
                <w:szCs w:val="21"/>
              </w:rPr>
            </w:pPr>
            <w:r w:rsidRPr="00C5545D">
              <w:rPr>
                <w:rFonts w:ascii="Abadi" w:eastAsia="Verdana" w:hAnsi="Abadi" w:cs="Verdana"/>
                <w:sz w:val="21"/>
                <w:szCs w:val="21"/>
              </w:rPr>
              <w:t xml:space="preserve">(REFORMADA, P.O. 19 DE JULIO DE 2021) </w:t>
            </w:r>
          </w:p>
          <w:p w14:paraId="16DF5957"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1730F63" w14:textId="77777777" w:rsidR="00630E4F" w:rsidRPr="00C5545D" w:rsidRDefault="00630E4F" w:rsidP="00865EE9">
            <w:pPr>
              <w:spacing w:line="241" w:lineRule="auto"/>
              <w:ind w:right="73"/>
              <w:jc w:val="both"/>
              <w:rPr>
                <w:rFonts w:ascii="Abadi" w:hAnsi="Abadi"/>
                <w:sz w:val="21"/>
                <w:szCs w:val="21"/>
              </w:rPr>
            </w:pPr>
            <w:r w:rsidRPr="00C5545D">
              <w:rPr>
                <w:rFonts w:ascii="Abadi" w:eastAsia="Verdana" w:hAnsi="Abadi" w:cs="Verdana"/>
                <w:sz w:val="21"/>
                <w:szCs w:val="21"/>
              </w:rPr>
              <w:t xml:space="preserve">XXXI. Promover programas especiales que amplíen las opciones de la cultura física y deporte </w:t>
            </w:r>
            <w:r w:rsidRPr="00C5545D">
              <w:rPr>
                <w:rFonts w:ascii="Abadi" w:eastAsia="Verdana" w:hAnsi="Abadi" w:cs="Verdana"/>
                <w:b/>
                <w:sz w:val="21"/>
                <w:szCs w:val="21"/>
              </w:rPr>
              <w:t>y eviten la discriminación</w:t>
            </w:r>
            <w:r w:rsidRPr="00C5545D">
              <w:rPr>
                <w:rFonts w:ascii="Abadi" w:eastAsia="Verdana" w:hAnsi="Abadi" w:cs="Verdana"/>
                <w:sz w:val="21"/>
                <w:szCs w:val="21"/>
              </w:rPr>
              <w:t xml:space="preserve"> a grupos vulnerables y personas con discapacidad; </w:t>
            </w:r>
          </w:p>
          <w:p w14:paraId="062205F6"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24B5C4C" w14:textId="77777777" w:rsidR="00630E4F" w:rsidRPr="00C5545D" w:rsidRDefault="00630E4F" w:rsidP="00865EE9">
            <w:pPr>
              <w:spacing w:line="259" w:lineRule="auto"/>
              <w:ind w:right="73"/>
              <w:jc w:val="both"/>
              <w:rPr>
                <w:rFonts w:ascii="Abadi" w:hAnsi="Abadi"/>
                <w:sz w:val="21"/>
                <w:szCs w:val="21"/>
              </w:rPr>
            </w:pPr>
            <w:r w:rsidRPr="00C5545D">
              <w:rPr>
                <w:rFonts w:ascii="Abadi" w:eastAsia="Verdana" w:hAnsi="Abadi" w:cs="Verdana"/>
                <w:sz w:val="21"/>
                <w:szCs w:val="21"/>
              </w:rPr>
              <w:t xml:space="preserve">(ADICIONADA, P.O. 19 DE JULIO DE </w:t>
            </w:r>
          </w:p>
          <w:p w14:paraId="0020B6B7" w14:textId="77777777" w:rsidR="00630E4F" w:rsidRPr="00C5545D" w:rsidRDefault="00630E4F" w:rsidP="00865EE9">
            <w:pPr>
              <w:spacing w:line="241" w:lineRule="auto"/>
              <w:ind w:right="71" w:firstLine="3721"/>
              <w:jc w:val="both"/>
              <w:rPr>
                <w:rFonts w:ascii="Abadi" w:hAnsi="Abadi"/>
                <w:sz w:val="21"/>
                <w:szCs w:val="21"/>
              </w:rPr>
            </w:pPr>
            <w:r w:rsidRPr="00C5545D">
              <w:rPr>
                <w:rFonts w:ascii="Abadi" w:eastAsia="Verdana" w:hAnsi="Abadi" w:cs="Verdana"/>
                <w:sz w:val="21"/>
                <w:szCs w:val="21"/>
              </w:rPr>
              <w:t xml:space="preserve">2021) XXXII. Realizar acciones o campañas a efecto de promover la cultura física y el deporte, encaminadas a desalentar el consumo de bebidas alcohólicas y evitarlo en menores de edad, en coordinación con las autoridades estatales y municipales, así como con los sectores social y privado; y </w:t>
            </w:r>
          </w:p>
          <w:p w14:paraId="020E3B90"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70FB5D0" w14:textId="77777777" w:rsidR="00630E4F" w:rsidRPr="00C5545D" w:rsidRDefault="00630E4F" w:rsidP="00865EE9">
            <w:pPr>
              <w:spacing w:line="259" w:lineRule="auto"/>
              <w:ind w:right="71"/>
              <w:jc w:val="both"/>
              <w:rPr>
                <w:rFonts w:ascii="Abadi" w:hAnsi="Abadi"/>
                <w:sz w:val="21"/>
                <w:szCs w:val="21"/>
              </w:rPr>
            </w:pPr>
            <w:r w:rsidRPr="00C5545D">
              <w:rPr>
                <w:rFonts w:ascii="Abadi" w:eastAsia="Verdana" w:hAnsi="Abadi" w:cs="Verdana"/>
                <w:sz w:val="21"/>
                <w:szCs w:val="21"/>
              </w:rPr>
              <w:t xml:space="preserve">(RECORRIDA EN SU ORDEN, P.O. 19 DE </w:t>
            </w:r>
          </w:p>
          <w:p w14:paraId="30BEE51D" w14:textId="77777777" w:rsidR="00630E4F" w:rsidRPr="00C5545D" w:rsidRDefault="00630E4F" w:rsidP="00865EE9">
            <w:pPr>
              <w:spacing w:line="259" w:lineRule="auto"/>
              <w:ind w:right="73"/>
              <w:jc w:val="both"/>
              <w:rPr>
                <w:rFonts w:ascii="Abadi" w:hAnsi="Abadi"/>
                <w:sz w:val="21"/>
                <w:szCs w:val="21"/>
              </w:rPr>
            </w:pPr>
            <w:r w:rsidRPr="00C5545D">
              <w:rPr>
                <w:rFonts w:ascii="Abadi" w:eastAsia="Verdana" w:hAnsi="Abadi" w:cs="Verdana"/>
                <w:sz w:val="21"/>
                <w:szCs w:val="21"/>
              </w:rPr>
              <w:t xml:space="preserve">JULIO DE 2021) </w:t>
            </w:r>
          </w:p>
          <w:p w14:paraId="26684734"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9805C2D" w14:textId="77777777" w:rsidR="00630E4F" w:rsidRPr="00C5545D" w:rsidRDefault="00630E4F" w:rsidP="00865EE9">
            <w:pPr>
              <w:spacing w:line="235" w:lineRule="auto"/>
              <w:ind w:right="75"/>
              <w:jc w:val="both"/>
              <w:rPr>
                <w:rFonts w:ascii="Abadi" w:hAnsi="Abadi"/>
                <w:sz w:val="21"/>
                <w:szCs w:val="21"/>
              </w:rPr>
            </w:pPr>
            <w:r w:rsidRPr="00C5545D">
              <w:rPr>
                <w:rFonts w:ascii="Abadi" w:eastAsia="Verdana" w:hAnsi="Abadi" w:cs="Verdana"/>
                <w:sz w:val="21"/>
                <w:szCs w:val="21"/>
              </w:rPr>
              <w:t xml:space="preserve">XXXIII. Las demás que señalen las leyes y disposiciones jurídicas aplicables.  </w:t>
            </w:r>
          </w:p>
          <w:p w14:paraId="1C5CEC5D" w14:textId="77777777" w:rsidR="00630E4F" w:rsidRPr="00C5545D" w:rsidRDefault="00630E4F"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3E4603C" w14:textId="77777777" w:rsidR="00630E4F" w:rsidRPr="00C5545D" w:rsidRDefault="00630E4F" w:rsidP="00865EE9">
            <w:pPr>
              <w:spacing w:after="2" w:line="241" w:lineRule="auto"/>
              <w:ind w:right="72"/>
              <w:jc w:val="both"/>
              <w:rPr>
                <w:rFonts w:ascii="Abadi" w:hAnsi="Abadi"/>
                <w:sz w:val="21"/>
                <w:szCs w:val="21"/>
              </w:rPr>
            </w:pPr>
            <w:r w:rsidRPr="00C5545D">
              <w:rPr>
                <w:rFonts w:ascii="Abadi" w:eastAsia="Verdana" w:hAnsi="Abadi" w:cs="Verdana"/>
                <w:b/>
                <w:sz w:val="21"/>
                <w:szCs w:val="21"/>
              </w:rPr>
              <w:t xml:space="preserve">Los reconocimientos, créditos y apoyos a que se refieren las fracción V, XVI y XXX de este artículo no se otorgarán cuando las personas físicas o morales que cuenten sentencia firme por la </w:t>
            </w:r>
            <w:r w:rsidRPr="00C5545D">
              <w:rPr>
                <w:rFonts w:ascii="Abadi" w:eastAsia="Verdana" w:hAnsi="Abadi" w:cs="Verdana"/>
                <w:b/>
                <w:sz w:val="21"/>
                <w:szCs w:val="21"/>
              </w:rPr>
              <w:lastRenderedPageBreak/>
              <w:t>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a quienes hayan sido</w:t>
            </w:r>
            <w:r w:rsidRPr="00C5545D">
              <w:rPr>
                <w:rFonts w:ascii="Abadi" w:eastAsia="Verdana" w:hAnsi="Abadi" w:cs="Verdana"/>
                <w:i/>
                <w:sz w:val="21"/>
                <w:szCs w:val="21"/>
              </w:rPr>
              <w:t xml:space="preserve"> </w:t>
            </w:r>
            <w:r w:rsidRPr="00C5545D">
              <w:rPr>
                <w:rFonts w:ascii="Abadi" w:eastAsia="Verdana" w:hAnsi="Abadi" w:cs="Verdana"/>
                <w:b/>
                <w:sz w:val="21"/>
                <w:szCs w:val="21"/>
              </w:rPr>
              <w:t xml:space="preserve">declaradas como personas deudoras alimentarias morosas. </w:t>
            </w:r>
          </w:p>
          <w:p w14:paraId="6DE35FDC" w14:textId="77777777" w:rsidR="000D61C1" w:rsidRPr="00695491" w:rsidRDefault="000D61C1" w:rsidP="00865EE9">
            <w:pPr>
              <w:ind w:right="4"/>
              <w:jc w:val="both"/>
              <w:rPr>
                <w:rFonts w:ascii="Abadi" w:hAnsi="Abadi"/>
                <w:sz w:val="21"/>
                <w:szCs w:val="21"/>
              </w:rPr>
            </w:pPr>
          </w:p>
        </w:tc>
      </w:tr>
      <w:tr w:rsidR="00995666" w:rsidRPr="00695491" w14:paraId="3A988DC7" w14:textId="77777777" w:rsidTr="008305DC">
        <w:tc>
          <w:tcPr>
            <w:tcW w:w="1891" w:type="dxa"/>
          </w:tcPr>
          <w:p w14:paraId="141E542D" w14:textId="77777777" w:rsidR="00995666" w:rsidRPr="00C5545D" w:rsidRDefault="00995666" w:rsidP="00995666">
            <w:pPr>
              <w:spacing w:line="241" w:lineRule="auto"/>
              <w:ind w:right="74" w:firstLine="230"/>
              <w:rPr>
                <w:rFonts w:ascii="Abadi" w:hAnsi="Abadi"/>
                <w:sz w:val="21"/>
                <w:szCs w:val="21"/>
              </w:rPr>
            </w:pPr>
            <w:r w:rsidRPr="00C5545D">
              <w:rPr>
                <w:rFonts w:ascii="Abadi" w:eastAsia="Verdana" w:hAnsi="Abadi" w:cs="Verdana"/>
                <w:b/>
                <w:sz w:val="21"/>
                <w:szCs w:val="21"/>
              </w:rPr>
              <w:lastRenderedPageBreak/>
              <w:t xml:space="preserve">Facultades del Consejo Directivo </w:t>
            </w:r>
            <w:r w:rsidRPr="00C5545D">
              <w:rPr>
                <w:rFonts w:ascii="Abadi" w:eastAsia="Verdana" w:hAnsi="Abadi" w:cs="Verdana"/>
                <w:sz w:val="21"/>
                <w:szCs w:val="21"/>
              </w:rPr>
              <w:t xml:space="preserve">Artículo 25. El Consejo Directivo tendrá las siguientes facultades: </w:t>
            </w:r>
          </w:p>
          <w:p w14:paraId="6A8FEBC8"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2E5542A8" w14:textId="77777777" w:rsidR="00995666" w:rsidRPr="00C5545D" w:rsidRDefault="00995666" w:rsidP="00995666">
            <w:pPr>
              <w:numPr>
                <w:ilvl w:val="0"/>
                <w:numId w:val="107"/>
              </w:numPr>
              <w:ind w:right="75"/>
              <w:jc w:val="both"/>
              <w:rPr>
                <w:rFonts w:ascii="Abadi" w:hAnsi="Abadi"/>
                <w:sz w:val="21"/>
                <w:szCs w:val="21"/>
              </w:rPr>
            </w:pPr>
            <w:r w:rsidRPr="00C5545D">
              <w:rPr>
                <w:rFonts w:ascii="Abadi" w:eastAsia="Verdana" w:hAnsi="Abadi" w:cs="Verdana"/>
                <w:sz w:val="21"/>
                <w:szCs w:val="21"/>
              </w:rPr>
              <w:t xml:space="preserve">Analizar y aprobar, en su caso, el informe de actividades, los programas, planes de trabajo, acciones, o propuestas que presente el Director General así como sus modificaciones o actualizaciones; </w:t>
            </w:r>
          </w:p>
          <w:p w14:paraId="17EAE932"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2A00E58D" w14:textId="77777777" w:rsidR="00995666" w:rsidRPr="00C5545D" w:rsidRDefault="00995666" w:rsidP="00995666">
            <w:pPr>
              <w:numPr>
                <w:ilvl w:val="0"/>
                <w:numId w:val="107"/>
              </w:numPr>
              <w:spacing w:line="241" w:lineRule="auto"/>
              <w:ind w:right="75"/>
              <w:jc w:val="both"/>
              <w:rPr>
                <w:rFonts w:ascii="Abadi" w:hAnsi="Abadi"/>
                <w:sz w:val="21"/>
                <w:szCs w:val="21"/>
              </w:rPr>
            </w:pPr>
            <w:r w:rsidRPr="00C5545D">
              <w:rPr>
                <w:rFonts w:ascii="Abadi" w:eastAsia="Verdana" w:hAnsi="Abadi" w:cs="Verdana"/>
                <w:sz w:val="21"/>
                <w:szCs w:val="21"/>
              </w:rPr>
              <w:t xml:space="preserve">Aprobar el anteproyecto del presupuesto de egresos anual y los estados </w:t>
            </w:r>
            <w:r w:rsidRPr="00C5545D">
              <w:rPr>
                <w:rFonts w:ascii="Abadi" w:eastAsia="Verdana" w:hAnsi="Abadi" w:cs="Verdana"/>
                <w:sz w:val="21"/>
                <w:szCs w:val="21"/>
              </w:rPr>
              <w:t xml:space="preserve">financieros trimestrales; </w:t>
            </w:r>
          </w:p>
          <w:p w14:paraId="7F732983"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000C77E3" w14:textId="77777777" w:rsidR="00995666" w:rsidRPr="00C5545D" w:rsidRDefault="00995666" w:rsidP="00995666">
            <w:pPr>
              <w:numPr>
                <w:ilvl w:val="0"/>
                <w:numId w:val="107"/>
              </w:numPr>
              <w:spacing w:after="2"/>
              <w:ind w:right="75"/>
              <w:jc w:val="both"/>
              <w:rPr>
                <w:rFonts w:ascii="Abadi" w:hAnsi="Abadi"/>
                <w:sz w:val="21"/>
                <w:szCs w:val="21"/>
              </w:rPr>
            </w:pPr>
            <w:r w:rsidRPr="00C5545D">
              <w:rPr>
                <w:rFonts w:ascii="Abadi" w:eastAsia="Verdana" w:hAnsi="Abadi" w:cs="Verdana"/>
                <w:sz w:val="21"/>
                <w:szCs w:val="21"/>
              </w:rPr>
              <w:t xml:space="preserve">Analizar y aprobar, en su caso, los proyectos normativos, reglamentarios y demás disposiciones administrativas de la CODE que presente el Director </w:t>
            </w:r>
          </w:p>
          <w:p w14:paraId="795FE527"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General; </w:t>
            </w:r>
          </w:p>
          <w:p w14:paraId="6EE6F104"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2CB92B01" w14:textId="77777777" w:rsidR="00995666" w:rsidRPr="00C5545D" w:rsidRDefault="00995666" w:rsidP="00995666">
            <w:pPr>
              <w:numPr>
                <w:ilvl w:val="0"/>
                <w:numId w:val="107"/>
              </w:numPr>
              <w:spacing w:after="2" w:line="241" w:lineRule="auto"/>
              <w:ind w:right="75"/>
              <w:jc w:val="both"/>
              <w:rPr>
                <w:rFonts w:ascii="Abadi" w:hAnsi="Abadi"/>
                <w:sz w:val="21"/>
                <w:szCs w:val="21"/>
              </w:rPr>
            </w:pPr>
            <w:r w:rsidRPr="00C5545D">
              <w:rPr>
                <w:rFonts w:ascii="Abadi" w:eastAsia="Verdana" w:hAnsi="Abadi" w:cs="Verdana"/>
                <w:sz w:val="21"/>
                <w:szCs w:val="21"/>
              </w:rPr>
              <w:t xml:space="preserve">Proponer al Gobernador del Estado, por conducto de la Coordinación General Jurídica, reformas al marco jurídico en materia de cultura física y deporte; </w:t>
            </w:r>
          </w:p>
          <w:p w14:paraId="56B38547"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400CCC4F" w14:textId="77777777" w:rsidR="00995666" w:rsidRPr="00C5545D" w:rsidRDefault="00995666" w:rsidP="00995666">
            <w:pPr>
              <w:numPr>
                <w:ilvl w:val="0"/>
                <w:numId w:val="107"/>
              </w:numPr>
              <w:spacing w:line="241" w:lineRule="auto"/>
              <w:ind w:right="75"/>
              <w:jc w:val="both"/>
              <w:rPr>
                <w:rFonts w:ascii="Abadi" w:hAnsi="Abadi"/>
                <w:sz w:val="21"/>
                <w:szCs w:val="21"/>
              </w:rPr>
            </w:pPr>
            <w:r w:rsidRPr="00C5545D">
              <w:rPr>
                <w:rFonts w:ascii="Abadi" w:eastAsia="Verdana" w:hAnsi="Abadi" w:cs="Verdana"/>
                <w:sz w:val="21"/>
                <w:szCs w:val="21"/>
              </w:rPr>
              <w:t xml:space="preserve">Autorizar actos o la celebración de contratos en los términos de la Ley de la materia, sobre bienes muebles e inmuebles propiedad del Estado; </w:t>
            </w:r>
          </w:p>
          <w:p w14:paraId="4606D288"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0EC79176" w14:textId="77777777" w:rsidR="00995666" w:rsidRPr="00C5545D" w:rsidRDefault="00995666" w:rsidP="00995666">
            <w:pPr>
              <w:numPr>
                <w:ilvl w:val="0"/>
                <w:numId w:val="107"/>
              </w:numPr>
              <w:spacing w:line="241" w:lineRule="auto"/>
              <w:ind w:right="75"/>
              <w:jc w:val="both"/>
              <w:rPr>
                <w:rFonts w:ascii="Abadi" w:hAnsi="Abadi"/>
                <w:sz w:val="21"/>
                <w:szCs w:val="21"/>
              </w:rPr>
            </w:pPr>
            <w:r w:rsidRPr="00C5545D">
              <w:rPr>
                <w:rFonts w:ascii="Abadi" w:eastAsia="Verdana" w:hAnsi="Abadi" w:cs="Verdana"/>
                <w:sz w:val="21"/>
                <w:szCs w:val="21"/>
              </w:rPr>
              <w:t xml:space="preserve">Aprobar la aceptación de herencias, donaciones, legados y demás liberalidades; </w:t>
            </w:r>
          </w:p>
          <w:p w14:paraId="19241E7B"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19B21A85" w14:textId="77777777" w:rsidR="00995666" w:rsidRPr="00C5545D" w:rsidRDefault="00995666" w:rsidP="00995666">
            <w:pPr>
              <w:numPr>
                <w:ilvl w:val="0"/>
                <w:numId w:val="107"/>
              </w:numPr>
              <w:spacing w:after="2" w:line="241" w:lineRule="auto"/>
              <w:ind w:right="75"/>
              <w:jc w:val="both"/>
              <w:rPr>
                <w:rFonts w:ascii="Abadi" w:hAnsi="Abadi"/>
                <w:sz w:val="21"/>
                <w:szCs w:val="21"/>
              </w:rPr>
            </w:pPr>
            <w:r w:rsidRPr="00C5545D">
              <w:rPr>
                <w:rFonts w:ascii="Abadi" w:eastAsia="Verdana" w:hAnsi="Abadi" w:cs="Verdana"/>
                <w:sz w:val="21"/>
                <w:szCs w:val="21"/>
              </w:rPr>
              <w:t xml:space="preserve">Autorizar la práctica de auditorías para vigilar la correcta aplicación de los recursos, la ejecución de </w:t>
            </w:r>
            <w:r w:rsidRPr="00C5545D">
              <w:rPr>
                <w:rFonts w:ascii="Abadi" w:eastAsia="Verdana" w:hAnsi="Abadi" w:cs="Verdana"/>
                <w:sz w:val="21"/>
                <w:szCs w:val="21"/>
              </w:rPr>
              <w:lastRenderedPageBreak/>
              <w:t xml:space="preserve">programas y el cumplimiento de metas; </w:t>
            </w:r>
          </w:p>
          <w:p w14:paraId="60B01EE1"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5F9D9147" w14:textId="77777777" w:rsidR="00995666" w:rsidRPr="00C5545D" w:rsidRDefault="00995666" w:rsidP="00995666">
            <w:pPr>
              <w:numPr>
                <w:ilvl w:val="0"/>
                <w:numId w:val="107"/>
              </w:numPr>
              <w:spacing w:after="2"/>
              <w:ind w:right="75"/>
              <w:jc w:val="both"/>
              <w:rPr>
                <w:rFonts w:ascii="Abadi" w:hAnsi="Abadi"/>
                <w:sz w:val="21"/>
                <w:szCs w:val="21"/>
              </w:rPr>
            </w:pPr>
            <w:r w:rsidRPr="00C5545D">
              <w:rPr>
                <w:rFonts w:ascii="Abadi" w:eastAsia="Verdana" w:hAnsi="Abadi" w:cs="Verdana"/>
                <w:sz w:val="21"/>
                <w:szCs w:val="21"/>
              </w:rPr>
              <w:t xml:space="preserve">Autorizar actos de dominio sobre el patrimonio inmobiliario sujetándose a las disposiciones legales </w:t>
            </w:r>
          </w:p>
          <w:p w14:paraId="3ADB2E14"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correspondientes; </w:t>
            </w:r>
          </w:p>
          <w:p w14:paraId="05839494" w14:textId="77777777" w:rsidR="00995666" w:rsidRPr="00C5545D" w:rsidRDefault="00995666" w:rsidP="00995666">
            <w:pPr>
              <w:spacing w:line="259" w:lineRule="auto"/>
              <w:rPr>
                <w:rFonts w:ascii="Abadi" w:hAnsi="Abadi"/>
                <w:sz w:val="21"/>
                <w:szCs w:val="21"/>
              </w:rPr>
            </w:pPr>
            <w:r w:rsidRPr="00C5545D">
              <w:rPr>
                <w:rFonts w:ascii="Abadi" w:eastAsia="Verdana" w:hAnsi="Abadi" w:cs="Verdana"/>
                <w:sz w:val="21"/>
                <w:szCs w:val="21"/>
              </w:rPr>
              <w:t xml:space="preserve"> </w:t>
            </w:r>
          </w:p>
          <w:p w14:paraId="66B0DCF6" w14:textId="77777777" w:rsidR="00995666" w:rsidRDefault="00995666" w:rsidP="00995666">
            <w:pPr>
              <w:ind w:right="4"/>
              <w:jc w:val="both"/>
              <w:rPr>
                <w:rFonts w:ascii="Abadi" w:eastAsia="Verdana" w:hAnsi="Abadi" w:cs="Verdana"/>
                <w:sz w:val="21"/>
                <w:szCs w:val="21"/>
              </w:rPr>
            </w:pPr>
            <w:r w:rsidRPr="00C5545D">
              <w:rPr>
                <w:rFonts w:ascii="Abadi" w:eastAsia="Verdana" w:hAnsi="Abadi" w:cs="Verdana"/>
                <w:sz w:val="21"/>
                <w:szCs w:val="21"/>
              </w:rPr>
              <w:t>Aprobar la creación de las unidades administrativas necesarias para cumplir con el objeto de la CODE y que permita el presupuesto;</w:t>
            </w:r>
          </w:p>
          <w:p w14:paraId="36B7B175" w14:textId="77777777" w:rsidR="00340078" w:rsidRDefault="00340078" w:rsidP="00995666">
            <w:pPr>
              <w:ind w:right="4"/>
              <w:jc w:val="both"/>
              <w:rPr>
                <w:rFonts w:ascii="Abadi" w:eastAsia="Verdana" w:hAnsi="Abadi" w:cs="Verdana"/>
                <w:sz w:val="21"/>
                <w:szCs w:val="21"/>
              </w:rPr>
            </w:pPr>
          </w:p>
          <w:p w14:paraId="18FE6702" w14:textId="77777777" w:rsidR="00340078" w:rsidRDefault="00340078" w:rsidP="00995666">
            <w:pPr>
              <w:ind w:right="4"/>
              <w:jc w:val="both"/>
              <w:rPr>
                <w:rFonts w:ascii="Abadi" w:eastAsia="Verdana" w:hAnsi="Abadi" w:cs="Verdana"/>
                <w:sz w:val="21"/>
                <w:szCs w:val="21"/>
              </w:rPr>
            </w:pPr>
          </w:p>
          <w:p w14:paraId="72C2747E" w14:textId="77777777" w:rsidR="00340078" w:rsidRPr="00C5545D" w:rsidRDefault="00340078" w:rsidP="00340078">
            <w:pPr>
              <w:numPr>
                <w:ilvl w:val="0"/>
                <w:numId w:val="109"/>
              </w:numPr>
              <w:spacing w:line="259" w:lineRule="auto"/>
              <w:ind w:right="113"/>
              <w:jc w:val="both"/>
              <w:rPr>
                <w:rFonts w:ascii="Abadi" w:hAnsi="Abadi"/>
                <w:sz w:val="21"/>
                <w:szCs w:val="21"/>
              </w:rPr>
            </w:pPr>
            <w:r w:rsidRPr="00C5545D">
              <w:rPr>
                <w:rFonts w:ascii="Abadi" w:eastAsia="Verdana" w:hAnsi="Abadi" w:cs="Verdana"/>
                <w:sz w:val="21"/>
                <w:szCs w:val="21"/>
              </w:rPr>
              <w:t xml:space="preserve">Diseñar, aprobar y evaluar el </w:t>
            </w:r>
          </w:p>
          <w:p w14:paraId="28FBEB87"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Programa Estatal de Cultura Física y </w:t>
            </w:r>
          </w:p>
          <w:p w14:paraId="6387674B"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Deporte; </w:t>
            </w:r>
          </w:p>
          <w:p w14:paraId="5C928C80"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 </w:t>
            </w:r>
          </w:p>
          <w:p w14:paraId="7D24E5AF" w14:textId="77777777" w:rsidR="00340078" w:rsidRPr="00C5545D" w:rsidRDefault="00340078" w:rsidP="00340078">
            <w:pPr>
              <w:numPr>
                <w:ilvl w:val="0"/>
                <w:numId w:val="109"/>
              </w:numPr>
              <w:spacing w:line="241" w:lineRule="auto"/>
              <w:ind w:right="113"/>
              <w:jc w:val="both"/>
              <w:rPr>
                <w:rFonts w:ascii="Abadi" w:hAnsi="Abadi"/>
                <w:sz w:val="21"/>
                <w:szCs w:val="21"/>
              </w:rPr>
            </w:pPr>
            <w:r w:rsidRPr="00C5545D">
              <w:rPr>
                <w:rFonts w:ascii="Abadi" w:eastAsia="Verdana" w:hAnsi="Abadi" w:cs="Verdana"/>
                <w:sz w:val="21"/>
                <w:szCs w:val="21"/>
              </w:rPr>
              <w:t xml:space="preserve">Instalar el Consejo Estatal y conocer las propuestas que esté realice; </w:t>
            </w:r>
          </w:p>
          <w:p w14:paraId="0B8C6CF4" w14:textId="77777777" w:rsidR="00340078" w:rsidRDefault="00340078" w:rsidP="00340078">
            <w:pPr>
              <w:spacing w:line="259" w:lineRule="auto"/>
              <w:rPr>
                <w:rFonts w:ascii="Abadi" w:eastAsia="Verdana" w:hAnsi="Abadi" w:cs="Verdana"/>
                <w:sz w:val="21"/>
                <w:szCs w:val="21"/>
              </w:rPr>
            </w:pPr>
            <w:r w:rsidRPr="00C5545D">
              <w:rPr>
                <w:rFonts w:ascii="Abadi" w:eastAsia="Verdana" w:hAnsi="Abadi" w:cs="Verdana"/>
                <w:sz w:val="21"/>
                <w:szCs w:val="21"/>
              </w:rPr>
              <w:t xml:space="preserve"> </w:t>
            </w:r>
          </w:p>
          <w:p w14:paraId="3DC9589E" w14:textId="77777777" w:rsidR="00271A14" w:rsidRPr="00C5545D" w:rsidRDefault="00271A14" w:rsidP="00340078">
            <w:pPr>
              <w:spacing w:line="259" w:lineRule="auto"/>
              <w:rPr>
                <w:rFonts w:ascii="Abadi" w:hAnsi="Abadi"/>
                <w:sz w:val="21"/>
                <w:szCs w:val="21"/>
              </w:rPr>
            </w:pPr>
          </w:p>
          <w:p w14:paraId="253C8237" w14:textId="77777777" w:rsidR="00340078" w:rsidRPr="00C5545D" w:rsidRDefault="00340078" w:rsidP="00340078">
            <w:pPr>
              <w:numPr>
                <w:ilvl w:val="0"/>
                <w:numId w:val="109"/>
              </w:numPr>
              <w:spacing w:line="241" w:lineRule="auto"/>
              <w:ind w:right="113"/>
              <w:jc w:val="both"/>
              <w:rPr>
                <w:rFonts w:ascii="Abadi" w:hAnsi="Abadi"/>
                <w:sz w:val="21"/>
                <w:szCs w:val="21"/>
              </w:rPr>
            </w:pPr>
            <w:r w:rsidRPr="00C5545D">
              <w:rPr>
                <w:rFonts w:ascii="Abadi" w:eastAsia="Verdana" w:hAnsi="Abadi" w:cs="Verdana"/>
                <w:sz w:val="21"/>
                <w:szCs w:val="21"/>
              </w:rPr>
              <w:t xml:space="preserve">Estudiar y, en su caso, aprobar los proyectos de inversión en la construcción, ampliación, mantenimiento o conservación de espacios de cultura física y deporte, así como el financiamiento de los programas </w:t>
            </w:r>
            <w:r w:rsidRPr="00C5545D">
              <w:rPr>
                <w:rFonts w:ascii="Abadi" w:eastAsia="Verdana" w:hAnsi="Abadi" w:cs="Verdana"/>
                <w:sz w:val="21"/>
                <w:szCs w:val="21"/>
              </w:rPr>
              <w:t xml:space="preserve">que proponga el Director </w:t>
            </w:r>
          </w:p>
          <w:p w14:paraId="1D5C4CF4"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General; </w:t>
            </w:r>
          </w:p>
          <w:p w14:paraId="7900DF5D"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 </w:t>
            </w:r>
          </w:p>
          <w:p w14:paraId="3185F1DD" w14:textId="77777777" w:rsidR="00340078" w:rsidRPr="00C5545D" w:rsidRDefault="00340078" w:rsidP="00340078">
            <w:pPr>
              <w:numPr>
                <w:ilvl w:val="0"/>
                <w:numId w:val="109"/>
              </w:numPr>
              <w:spacing w:line="241" w:lineRule="auto"/>
              <w:ind w:right="113"/>
              <w:jc w:val="both"/>
              <w:rPr>
                <w:rFonts w:ascii="Abadi" w:hAnsi="Abadi"/>
                <w:sz w:val="21"/>
                <w:szCs w:val="21"/>
              </w:rPr>
            </w:pPr>
            <w:r w:rsidRPr="00C5545D">
              <w:rPr>
                <w:rFonts w:ascii="Abadi" w:eastAsia="Verdana" w:hAnsi="Abadi" w:cs="Verdana"/>
                <w:sz w:val="21"/>
                <w:szCs w:val="21"/>
              </w:rPr>
              <w:t xml:space="preserve">Aprobar el ingreso de deportistas y personalidades destacadas en el ámbito del deporte al Salón Estatal de la Fama; </w:t>
            </w:r>
          </w:p>
          <w:p w14:paraId="7A9C8785"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 </w:t>
            </w:r>
          </w:p>
          <w:p w14:paraId="6207EA28" w14:textId="77777777" w:rsidR="00340078" w:rsidRPr="00C5545D" w:rsidRDefault="00340078" w:rsidP="00340078">
            <w:pPr>
              <w:numPr>
                <w:ilvl w:val="0"/>
                <w:numId w:val="109"/>
              </w:numPr>
              <w:spacing w:line="241" w:lineRule="auto"/>
              <w:ind w:right="113"/>
              <w:jc w:val="both"/>
              <w:rPr>
                <w:rFonts w:ascii="Abadi" w:hAnsi="Abadi"/>
                <w:sz w:val="21"/>
                <w:szCs w:val="21"/>
              </w:rPr>
            </w:pPr>
            <w:r w:rsidRPr="00C5545D">
              <w:rPr>
                <w:rFonts w:ascii="Abadi" w:eastAsia="Verdana" w:hAnsi="Abadi" w:cs="Verdana"/>
                <w:sz w:val="21"/>
                <w:szCs w:val="21"/>
              </w:rPr>
              <w:t xml:space="preserve">Proponer, en su caso, al Congreso del Estado, candidatos a obtener el Premio Estatal del Deporte, en los términos de la Ley de la materia; </w:t>
            </w:r>
          </w:p>
          <w:p w14:paraId="64AEEFA6" w14:textId="77777777" w:rsidR="00340078" w:rsidRDefault="00340078" w:rsidP="00340078">
            <w:pPr>
              <w:spacing w:line="259" w:lineRule="auto"/>
              <w:rPr>
                <w:rFonts w:ascii="Abadi" w:eastAsia="Verdana" w:hAnsi="Abadi" w:cs="Verdana"/>
                <w:sz w:val="21"/>
                <w:szCs w:val="21"/>
              </w:rPr>
            </w:pPr>
            <w:r w:rsidRPr="00C5545D">
              <w:rPr>
                <w:rFonts w:ascii="Abadi" w:eastAsia="Verdana" w:hAnsi="Abadi" w:cs="Verdana"/>
                <w:sz w:val="21"/>
                <w:szCs w:val="21"/>
              </w:rPr>
              <w:t xml:space="preserve"> </w:t>
            </w:r>
          </w:p>
          <w:p w14:paraId="3D39EBE1" w14:textId="77777777" w:rsidR="00D926DF" w:rsidRDefault="00D926DF" w:rsidP="00340078">
            <w:pPr>
              <w:spacing w:line="259" w:lineRule="auto"/>
              <w:rPr>
                <w:rFonts w:ascii="Abadi" w:hAnsi="Abadi"/>
                <w:sz w:val="21"/>
                <w:szCs w:val="21"/>
              </w:rPr>
            </w:pPr>
          </w:p>
          <w:p w14:paraId="0C58C8CA" w14:textId="77777777" w:rsidR="00D926DF" w:rsidRPr="00C5545D" w:rsidRDefault="00D926DF" w:rsidP="00340078">
            <w:pPr>
              <w:spacing w:line="259" w:lineRule="auto"/>
              <w:rPr>
                <w:rFonts w:ascii="Abadi" w:hAnsi="Abadi"/>
                <w:sz w:val="21"/>
                <w:szCs w:val="21"/>
              </w:rPr>
            </w:pPr>
          </w:p>
          <w:p w14:paraId="262C9B75" w14:textId="77777777" w:rsidR="00340078" w:rsidRPr="00C5545D" w:rsidRDefault="00340078" w:rsidP="00340078">
            <w:pPr>
              <w:numPr>
                <w:ilvl w:val="0"/>
                <w:numId w:val="109"/>
              </w:numPr>
              <w:spacing w:after="2"/>
              <w:ind w:right="113"/>
              <w:jc w:val="both"/>
              <w:rPr>
                <w:rFonts w:ascii="Abadi" w:hAnsi="Abadi"/>
                <w:sz w:val="21"/>
                <w:szCs w:val="21"/>
              </w:rPr>
            </w:pPr>
            <w:r w:rsidRPr="00C5545D">
              <w:rPr>
                <w:rFonts w:ascii="Abadi" w:eastAsia="Verdana" w:hAnsi="Abadi" w:cs="Verdana"/>
                <w:sz w:val="21"/>
                <w:szCs w:val="21"/>
              </w:rPr>
              <w:t xml:space="preserve">Aprobar los mecanismos por los cuales la CODE obtenga ingresos propios; y </w:t>
            </w:r>
          </w:p>
          <w:p w14:paraId="18549D6A"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 </w:t>
            </w:r>
          </w:p>
          <w:p w14:paraId="0127B10C" w14:textId="77777777" w:rsidR="00340078" w:rsidRPr="00C5545D" w:rsidRDefault="00340078" w:rsidP="00340078">
            <w:pPr>
              <w:numPr>
                <w:ilvl w:val="0"/>
                <w:numId w:val="109"/>
              </w:numPr>
              <w:ind w:right="113"/>
              <w:jc w:val="both"/>
              <w:rPr>
                <w:rFonts w:ascii="Abadi" w:hAnsi="Abadi"/>
                <w:sz w:val="21"/>
                <w:szCs w:val="21"/>
              </w:rPr>
            </w:pPr>
            <w:r w:rsidRPr="00C5545D">
              <w:rPr>
                <w:rFonts w:ascii="Abadi" w:eastAsia="Verdana" w:hAnsi="Abadi" w:cs="Verdana"/>
                <w:sz w:val="21"/>
                <w:szCs w:val="21"/>
              </w:rPr>
              <w:t xml:space="preserve">Las demás que señalen las leyes y disposiciones jurídicas aplicables. </w:t>
            </w:r>
          </w:p>
          <w:p w14:paraId="6ABFBC0D" w14:textId="77777777" w:rsidR="00340078" w:rsidRPr="00C5545D" w:rsidRDefault="00340078" w:rsidP="00340078">
            <w:pPr>
              <w:spacing w:line="259" w:lineRule="auto"/>
              <w:rPr>
                <w:rFonts w:ascii="Abadi" w:hAnsi="Abadi"/>
                <w:sz w:val="21"/>
                <w:szCs w:val="21"/>
              </w:rPr>
            </w:pPr>
            <w:r w:rsidRPr="00C5545D">
              <w:rPr>
                <w:rFonts w:ascii="Abadi" w:eastAsia="Verdana" w:hAnsi="Abadi" w:cs="Verdana"/>
                <w:sz w:val="21"/>
                <w:szCs w:val="21"/>
              </w:rPr>
              <w:t xml:space="preserve"> </w:t>
            </w:r>
          </w:p>
          <w:p w14:paraId="23C7A650" w14:textId="77777777" w:rsidR="00340078" w:rsidRDefault="00340078" w:rsidP="00995666">
            <w:pPr>
              <w:ind w:right="4"/>
              <w:jc w:val="both"/>
              <w:rPr>
                <w:rFonts w:ascii="Abadi" w:hAnsi="Abadi"/>
                <w:sz w:val="21"/>
                <w:szCs w:val="21"/>
              </w:rPr>
            </w:pPr>
          </w:p>
          <w:p w14:paraId="77D5DFC8" w14:textId="77777777" w:rsidR="00014F12" w:rsidRDefault="00014F12" w:rsidP="00995666">
            <w:pPr>
              <w:ind w:right="4"/>
              <w:jc w:val="both"/>
              <w:rPr>
                <w:rFonts w:ascii="Abadi" w:hAnsi="Abadi"/>
                <w:sz w:val="21"/>
                <w:szCs w:val="21"/>
              </w:rPr>
            </w:pPr>
          </w:p>
          <w:p w14:paraId="62F6E514" w14:textId="77777777" w:rsidR="00014F12" w:rsidRPr="00C5545D" w:rsidRDefault="00014F12" w:rsidP="00014F12">
            <w:pPr>
              <w:spacing w:line="259" w:lineRule="auto"/>
              <w:rPr>
                <w:rFonts w:ascii="Abadi" w:hAnsi="Abadi"/>
                <w:sz w:val="21"/>
                <w:szCs w:val="21"/>
              </w:rPr>
            </w:pPr>
            <w:r w:rsidRPr="00C5545D">
              <w:rPr>
                <w:rFonts w:ascii="Abadi" w:eastAsia="Verdana" w:hAnsi="Abadi" w:cs="Verdana"/>
                <w:b/>
                <w:sz w:val="21"/>
                <w:szCs w:val="21"/>
              </w:rPr>
              <w:t xml:space="preserve">Sin Precedente </w:t>
            </w:r>
          </w:p>
          <w:p w14:paraId="34BF1FFC" w14:textId="77777777" w:rsidR="00014F12" w:rsidRPr="00C5545D" w:rsidRDefault="00014F12" w:rsidP="00014F12">
            <w:pPr>
              <w:spacing w:line="259" w:lineRule="auto"/>
              <w:rPr>
                <w:rFonts w:ascii="Abadi" w:hAnsi="Abadi"/>
                <w:sz w:val="21"/>
                <w:szCs w:val="21"/>
              </w:rPr>
            </w:pPr>
            <w:r w:rsidRPr="00C5545D">
              <w:rPr>
                <w:rFonts w:ascii="Abadi" w:eastAsia="Verdana" w:hAnsi="Abadi" w:cs="Verdana"/>
                <w:b/>
                <w:sz w:val="21"/>
                <w:szCs w:val="21"/>
              </w:rPr>
              <w:t xml:space="preserve"> </w:t>
            </w:r>
          </w:p>
          <w:p w14:paraId="2256FB05" w14:textId="77777777" w:rsidR="00014F12" w:rsidRDefault="00014F12" w:rsidP="00995666">
            <w:pPr>
              <w:ind w:right="4"/>
              <w:jc w:val="both"/>
              <w:rPr>
                <w:rFonts w:ascii="Abadi" w:hAnsi="Abadi"/>
                <w:sz w:val="21"/>
                <w:szCs w:val="21"/>
              </w:rPr>
            </w:pPr>
          </w:p>
          <w:p w14:paraId="622AF775" w14:textId="77777777" w:rsidR="00916D48" w:rsidRDefault="00916D48" w:rsidP="00995666">
            <w:pPr>
              <w:ind w:right="4"/>
              <w:jc w:val="both"/>
              <w:rPr>
                <w:rFonts w:ascii="Abadi" w:hAnsi="Abadi"/>
                <w:sz w:val="21"/>
                <w:szCs w:val="21"/>
              </w:rPr>
            </w:pPr>
          </w:p>
          <w:p w14:paraId="0F952A50" w14:textId="77777777" w:rsidR="00916D48" w:rsidRDefault="00916D48" w:rsidP="00995666">
            <w:pPr>
              <w:ind w:right="4"/>
              <w:jc w:val="both"/>
              <w:rPr>
                <w:rFonts w:ascii="Abadi" w:hAnsi="Abadi"/>
                <w:sz w:val="21"/>
                <w:szCs w:val="21"/>
              </w:rPr>
            </w:pPr>
          </w:p>
          <w:p w14:paraId="6884F7A2" w14:textId="77777777" w:rsidR="00916D48" w:rsidRPr="00C5545D" w:rsidRDefault="00916D48" w:rsidP="00271A14">
            <w:pPr>
              <w:spacing w:after="59" w:line="241" w:lineRule="auto"/>
              <w:ind w:right="73"/>
              <w:jc w:val="both"/>
              <w:rPr>
                <w:rFonts w:ascii="Abadi" w:hAnsi="Abadi"/>
                <w:sz w:val="21"/>
                <w:szCs w:val="21"/>
              </w:rPr>
            </w:pPr>
            <w:r w:rsidRPr="00C5545D">
              <w:rPr>
                <w:rFonts w:ascii="Abadi" w:eastAsia="Verdana" w:hAnsi="Abadi" w:cs="Verdana"/>
                <w:sz w:val="21"/>
                <w:szCs w:val="21"/>
              </w:rPr>
              <w:t xml:space="preserve">El funcionamiento del Consejo Directivo se regulará en el Reglamento de la Ley. </w:t>
            </w:r>
          </w:p>
          <w:p w14:paraId="7662B59C" w14:textId="23E7A70B" w:rsidR="00916D48" w:rsidRPr="00695491" w:rsidRDefault="00916D48" w:rsidP="00995666">
            <w:pPr>
              <w:ind w:right="4"/>
              <w:jc w:val="both"/>
              <w:rPr>
                <w:rFonts w:ascii="Abadi" w:hAnsi="Abadi"/>
                <w:sz w:val="21"/>
                <w:szCs w:val="21"/>
              </w:rPr>
            </w:pPr>
          </w:p>
        </w:tc>
        <w:tc>
          <w:tcPr>
            <w:tcW w:w="2073" w:type="dxa"/>
          </w:tcPr>
          <w:p w14:paraId="047F39BC" w14:textId="77777777" w:rsidR="00995666" w:rsidRPr="00C5545D" w:rsidRDefault="00995666" w:rsidP="00865EE9">
            <w:pPr>
              <w:spacing w:line="241" w:lineRule="auto"/>
              <w:ind w:right="75" w:firstLine="660"/>
              <w:jc w:val="both"/>
              <w:rPr>
                <w:rFonts w:ascii="Abadi" w:hAnsi="Abadi"/>
                <w:sz w:val="21"/>
                <w:szCs w:val="21"/>
              </w:rPr>
            </w:pPr>
            <w:r w:rsidRPr="00C5545D">
              <w:rPr>
                <w:rFonts w:ascii="Abadi" w:eastAsia="Verdana" w:hAnsi="Abadi" w:cs="Verdana"/>
                <w:b/>
                <w:sz w:val="21"/>
                <w:szCs w:val="21"/>
              </w:rPr>
              <w:lastRenderedPageBreak/>
              <w:t xml:space="preserve">Facultades del Consejo Directivo </w:t>
            </w:r>
            <w:r w:rsidRPr="00C5545D">
              <w:rPr>
                <w:rFonts w:ascii="Abadi" w:eastAsia="Verdana" w:hAnsi="Abadi" w:cs="Verdana"/>
                <w:sz w:val="21"/>
                <w:szCs w:val="21"/>
              </w:rPr>
              <w:t xml:space="preserve">Artículo 25. El Consejo Directivo tendrá las siguientes facultades: </w:t>
            </w:r>
          </w:p>
          <w:p w14:paraId="1FD6A1AA"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804AB5C" w14:textId="77777777" w:rsidR="00995666" w:rsidRPr="00C5545D" w:rsidRDefault="00995666" w:rsidP="00865EE9">
            <w:pPr>
              <w:numPr>
                <w:ilvl w:val="0"/>
                <w:numId w:val="108"/>
              </w:numPr>
              <w:spacing w:line="241" w:lineRule="auto"/>
              <w:ind w:right="76"/>
              <w:jc w:val="both"/>
              <w:rPr>
                <w:rFonts w:ascii="Abadi" w:hAnsi="Abadi"/>
                <w:sz w:val="21"/>
                <w:szCs w:val="21"/>
              </w:rPr>
            </w:pPr>
            <w:r w:rsidRPr="00C5545D">
              <w:rPr>
                <w:rFonts w:ascii="Abadi" w:eastAsia="Verdana" w:hAnsi="Abadi" w:cs="Verdana"/>
                <w:sz w:val="21"/>
                <w:szCs w:val="21"/>
              </w:rPr>
              <w:t xml:space="preserve">Analizar y aprobar, en su caso, el informe de actividades, los programas, planes de trabajo, acciones, o propuestas que presente el Director General así como sus modificaciones o actualizaciones; </w:t>
            </w:r>
          </w:p>
          <w:p w14:paraId="362EAF88"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810B658"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43021D0" w14:textId="77777777" w:rsidR="00995666" w:rsidRPr="00C5545D" w:rsidRDefault="00995666" w:rsidP="00865EE9">
            <w:pPr>
              <w:numPr>
                <w:ilvl w:val="0"/>
                <w:numId w:val="108"/>
              </w:numPr>
              <w:spacing w:line="241" w:lineRule="auto"/>
              <w:ind w:right="76"/>
              <w:jc w:val="both"/>
              <w:rPr>
                <w:rFonts w:ascii="Abadi" w:hAnsi="Abadi"/>
                <w:sz w:val="21"/>
                <w:szCs w:val="21"/>
              </w:rPr>
            </w:pPr>
            <w:r w:rsidRPr="00C5545D">
              <w:rPr>
                <w:rFonts w:ascii="Abadi" w:eastAsia="Verdana" w:hAnsi="Abadi" w:cs="Verdana"/>
                <w:sz w:val="21"/>
                <w:szCs w:val="21"/>
              </w:rPr>
              <w:t xml:space="preserve">Aprobar el anteproyecto del presupuesto de egresos anual y los estados financieros trimestrales; </w:t>
            </w:r>
          </w:p>
          <w:p w14:paraId="758E0C37"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5778A4C" w14:textId="77777777" w:rsidR="00995666" w:rsidRPr="00C5545D" w:rsidRDefault="00995666" w:rsidP="00865EE9">
            <w:pPr>
              <w:numPr>
                <w:ilvl w:val="0"/>
                <w:numId w:val="108"/>
              </w:numPr>
              <w:ind w:right="76"/>
              <w:jc w:val="both"/>
              <w:rPr>
                <w:rFonts w:ascii="Abadi" w:hAnsi="Abadi"/>
                <w:sz w:val="21"/>
                <w:szCs w:val="21"/>
              </w:rPr>
            </w:pPr>
            <w:r w:rsidRPr="00C5545D">
              <w:rPr>
                <w:rFonts w:ascii="Abadi" w:eastAsia="Verdana" w:hAnsi="Abadi" w:cs="Verdana"/>
                <w:sz w:val="21"/>
                <w:szCs w:val="21"/>
              </w:rPr>
              <w:t xml:space="preserve">Analizar y aprobar, en su caso, los proyectos normativos, reglamentarios y demás disposiciones administrativas de la </w:t>
            </w:r>
          </w:p>
          <w:p w14:paraId="36016A3D"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CODE que presente el Director General; </w:t>
            </w:r>
          </w:p>
          <w:p w14:paraId="6F557DD3"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DC8F56C"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617C0E1E" w14:textId="77777777" w:rsidR="00995666" w:rsidRPr="00C5545D" w:rsidRDefault="00995666" w:rsidP="00865EE9">
            <w:pPr>
              <w:numPr>
                <w:ilvl w:val="0"/>
                <w:numId w:val="108"/>
              </w:numPr>
              <w:spacing w:line="241" w:lineRule="auto"/>
              <w:ind w:right="76"/>
              <w:jc w:val="both"/>
              <w:rPr>
                <w:rFonts w:ascii="Abadi" w:hAnsi="Abadi"/>
                <w:sz w:val="21"/>
                <w:szCs w:val="21"/>
              </w:rPr>
            </w:pPr>
            <w:r w:rsidRPr="00C5545D">
              <w:rPr>
                <w:rFonts w:ascii="Abadi" w:eastAsia="Verdana" w:hAnsi="Abadi" w:cs="Verdana"/>
                <w:sz w:val="21"/>
                <w:szCs w:val="21"/>
              </w:rPr>
              <w:t xml:space="preserve">Proponer al Gobernador del Estado, por conducto de la Coordinación General Jurídica, reformas al marco jurídico en materia de cultura física y deporte; </w:t>
            </w:r>
          </w:p>
          <w:p w14:paraId="6F368597"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9AFD2E4"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093A3100" w14:textId="77777777" w:rsidR="00995666" w:rsidRPr="00C5545D" w:rsidRDefault="00995666" w:rsidP="00865EE9">
            <w:pPr>
              <w:numPr>
                <w:ilvl w:val="0"/>
                <w:numId w:val="108"/>
              </w:numPr>
              <w:spacing w:line="241" w:lineRule="auto"/>
              <w:ind w:right="76"/>
              <w:jc w:val="both"/>
              <w:rPr>
                <w:rFonts w:ascii="Abadi" w:hAnsi="Abadi"/>
                <w:sz w:val="21"/>
                <w:szCs w:val="21"/>
              </w:rPr>
            </w:pPr>
            <w:r w:rsidRPr="00C5545D">
              <w:rPr>
                <w:rFonts w:ascii="Abadi" w:eastAsia="Verdana" w:hAnsi="Abadi" w:cs="Verdana"/>
                <w:sz w:val="21"/>
                <w:szCs w:val="21"/>
              </w:rPr>
              <w:t xml:space="preserve">Autorizar actos o la celebración de contratos en los términos de la Ley de la materia, sobre bienes muebles e inmuebles propiedad del Estado; </w:t>
            </w:r>
          </w:p>
          <w:p w14:paraId="18767B02"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459C370" w14:textId="77777777" w:rsidR="00995666" w:rsidRPr="00C5545D" w:rsidRDefault="00995666" w:rsidP="00865EE9">
            <w:pPr>
              <w:numPr>
                <w:ilvl w:val="0"/>
                <w:numId w:val="108"/>
              </w:numPr>
              <w:spacing w:line="242" w:lineRule="auto"/>
              <w:ind w:right="76"/>
              <w:jc w:val="both"/>
              <w:rPr>
                <w:rFonts w:ascii="Abadi" w:hAnsi="Abadi"/>
                <w:sz w:val="21"/>
                <w:szCs w:val="21"/>
              </w:rPr>
            </w:pPr>
            <w:r w:rsidRPr="00C5545D">
              <w:rPr>
                <w:rFonts w:ascii="Abadi" w:eastAsia="Verdana" w:hAnsi="Abadi" w:cs="Verdana"/>
                <w:sz w:val="21"/>
                <w:szCs w:val="21"/>
              </w:rPr>
              <w:t xml:space="preserve">Aprobar la aceptación de herencias, donaciones, legados y demás liberalidades; </w:t>
            </w:r>
          </w:p>
          <w:p w14:paraId="52AB4CA5"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0A82F2F"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F26DE5D" w14:textId="77777777" w:rsidR="00995666" w:rsidRPr="00C5545D" w:rsidRDefault="00995666" w:rsidP="00865EE9">
            <w:pPr>
              <w:numPr>
                <w:ilvl w:val="0"/>
                <w:numId w:val="108"/>
              </w:numPr>
              <w:spacing w:after="2" w:line="241" w:lineRule="auto"/>
              <w:ind w:right="76"/>
              <w:jc w:val="both"/>
              <w:rPr>
                <w:rFonts w:ascii="Abadi" w:hAnsi="Abadi"/>
                <w:sz w:val="21"/>
                <w:szCs w:val="21"/>
              </w:rPr>
            </w:pPr>
            <w:r w:rsidRPr="00C5545D">
              <w:rPr>
                <w:rFonts w:ascii="Abadi" w:eastAsia="Verdana" w:hAnsi="Abadi" w:cs="Verdana"/>
                <w:sz w:val="21"/>
                <w:szCs w:val="21"/>
              </w:rPr>
              <w:t xml:space="preserve">Autorizar la práctica de auditorías para vigilar la correcta aplicación de los recursos, la ejecución de </w:t>
            </w:r>
            <w:r w:rsidRPr="00C5545D">
              <w:rPr>
                <w:rFonts w:ascii="Abadi" w:eastAsia="Verdana" w:hAnsi="Abadi" w:cs="Verdana"/>
                <w:sz w:val="21"/>
                <w:szCs w:val="21"/>
              </w:rPr>
              <w:lastRenderedPageBreak/>
              <w:t xml:space="preserve">programas y el cumplimiento de metas; </w:t>
            </w:r>
          </w:p>
          <w:p w14:paraId="312D69C8"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63FE8E3" w14:textId="77777777" w:rsidR="00995666" w:rsidRPr="00C5545D" w:rsidRDefault="00995666" w:rsidP="00865EE9">
            <w:pPr>
              <w:numPr>
                <w:ilvl w:val="0"/>
                <w:numId w:val="108"/>
              </w:numPr>
              <w:spacing w:after="2"/>
              <w:ind w:right="76"/>
              <w:jc w:val="both"/>
              <w:rPr>
                <w:rFonts w:ascii="Abadi" w:hAnsi="Abadi"/>
                <w:sz w:val="21"/>
                <w:szCs w:val="21"/>
              </w:rPr>
            </w:pPr>
            <w:r w:rsidRPr="00C5545D">
              <w:rPr>
                <w:rFonts w:ascii="Abadi" w:eastAsia="Verdana" w:hAnsi="Abadi" w:cs="Verdana"/>
                <w:sz w:val="21"/>
                <w:szCs w:val="21"/>
              </w:rPr>
              <w:t xml:space="preserve">Autorizar actos de dominio sobre el patrimonio inmobiliario sujetándose a las disposiciones legales correspondientes; </w:t>
            </w:r>
          </w:p>
          <w:p w14:paraId="4CD60E07"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AE4F9E9" w14:textId="77777777" w:rsidR="00995666" w:rsidRPr="00C5545D" w:rsidRDefault="00995666"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560054D" w14:textId="77777777" w:rsidR="00995666" w:rsidRDefault="00995666" w:rsidP="00865EE9">
            <w:pPr>
              <w:ind w:right="4"/>
              <w:jc w:val="both"/>
              <w:rPr>
                <w:rFonts w:ascii="Abadi" w:eastAsia="Verdana" w:hAnsi="Abadi" w:cs="Verdana"/>
                <w:sz w:val="21"/>
                <w:szCs w:val="21"/>
              </w:rPr>
            </w:pPr>
            <w:r w:rsidRPr="00C5545D">
              <w:rPr>
                <w:rFonts w:ascii="Abadi" w:eastAsia="Verdana" w:hAnsi="Abadi" w:cs="Verdana"/>
                <w:sz w:val="21"/>
                <w:szCs w:val="21"/>
              </w:rPr>
              <w:t xml:space="preserve">Aprobar la creación de las unidades administrativas necesarias para cumplir con el objeto de la CODE y que permita el presupuesto; </w:t>
            </w:r>
          </w:p>
          <w:p w14:paraId="15EF0258" w14:textId="77777777" w:rsidR="004A12BB" w:rsidRDefault="004A12BB" w:rsidP="00865EE9">
            <w:pPr>
              <w:ind w:right="4"/>
              <w:jc w:val="both"/>
              <w:rPr>
                <w:rFonts w:ascii="Abadi" w:eastAsia="Verdana" w:hAnsi="Abadi" w:cs="Verdana"/>
                <w:sz w:val="21"/>
                <w:szCs w:val="21"/>
              </w:rPr>
            </w:pPr>
          </w:p>
          <w:p w14:paraId="79288FC0" w14:textId="77777777" w:rsidR="004A12BB" w:rsidRDefault="004A12BB" w:rsidP="00865EE9">
            <w:pPr>
              <w:ind w:right="4"/>
              <w:jc w:val="both"/>
              <w:rPr>
                <w:rFonts w:ascii="Abadi" w:eastAsia="Verdana" w:hAnsi="Abadi" w:cs="Verdana"/>
                <w:sz w:val="21"/>
                <w:szCs w:val="21"/>
              </w:rPr>
            </w:pPr>
          </w:p>
          <w:p w14:paraId="70CAB197" w14:textId="77777777" w:rsidR="004A12BB" w:rsidRDefault="004A12BB" w:rsidP="00865EE9">
            <w:pPr>
              <w:ind w:right="4"/>
              <w:jc w:val="both"/>
              <w:rPr>
                <w:rFonts w:ascii="Abadi" w:eastAsia="Verdana" w:hAnsi="Abadi" w:cs="Verdana"/>
                <w:sz w:val="21"/>
                <w:szCs w:val="21"/>
              </w:rPr>
            </w:pPr>
          </w:p>
          <w:p w14:paraId="02F23033" w14:textId="77777777" w:rsidR="004A12BB" w:rsidRDefault="004A12BB" w:rsidP="00865EE9">
            <w:pPr>
              <w:ind w:right="4"/>
              <w:jc w:val="both"/>
              <w:rPr>
                <w:rFonts w:ascii="Abadi" w:eastAsia="Verdana" w:hAnsi="Abadi" w:cs="Verdana"/>
                <w:sz w:val="21"/>
                <w:szCs w:val="21"/>
              </w:rPr>
            </w:pPr>
          </w:p>
          <w:p w14:paraId="202FBEF0" w14:textId="77777777" w:rsidR="004A12BB" w:rsidRPr="00C5545D" w:rsidRDefault="004A12BB" w:rsidP="00865EE9">
            <w:pPr>
              <w:numPr>
                <w:ilvl w:val="0"/>
                <w:numId w:val="110"/>
              </w:numPr>
              <w:spacing w:line="259" w:lineRule="auto"/>
              <w:jc w:val="both"/>
              <w:rPr>
                <w:rFonts w:ascii="Abadi" w:hAnsi="Abadi"/>
                <w:sz w:val="21"/>
                <w:szCs w:val="21"/>
              </w:rPr>
            </w:pPr>
            <w:r w:rsidRPr="00C5545D">
              <w:rPr>
                <w:rFonts w:ascii="Abadi" w:eastAsia="Verdana" w:hAnsi="Abadi" w:cs="Verdana"/>
                <w:sz w:val="21"/>
                <w:szCs w:val="21"/>
              </w:rPr>
              <w:t xml:space="preserve">Diseñar, aprobar y evaluar el Programa </w:t>
            </w:r>
          </w:p>
          <w:p w14:paraId="62BCCFAF"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Estatal de Cultura Física y Deporte; </w:t>
            </w:r>
          </w:p>
          <w:p w14:paraId="00785CE5"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24907B62"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5DA2F4D" w14:textId="77777777" w:rsidR="004A12BB" w:rsidRPr="00C5545D" w:rsidRDefault="004A12BB" w:rsidP="00865EE9">
            <w:pPr>
              <w:numPr>
                <w:ilvl w:val="0"/>
                <w:numId w:val="110"/>
              </w:numPr>
              <w:spacing w:line="242" w:lineRule="auto"/>
              <w:jc w:val="both"/>
              <w:rPr>
                <w:rFonts w:ascii="Abadi" w:hAnsi="Abadi"/>
                <w:sz w:val="21"/>
                <w:szCs w:val="21"/>
              </w:rPr>
            </w:pPr>
            <w:r w:rsidRPr="00C5545D">
              <w:rPr>
                <w:rFonts w:ascii="Abadi" w:eastAsia="Verdana" w:hAnsi="Abadi" w:cs="Verdana"/>
                <w:sz w:val="21"/>
                <w:szCs w:val="21"/>
              </w:rPr>
              <w:t xml:space="preserve">Instalar el Consejo Estatal y conocer las propuestas que esté realice; </w:t>
            </w:r>
          </w:p>
          <w:p w14:paraId="2E557401"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F50100D"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D84735A" w14:textId="77777777" w:rsidR="004A12BB" w:rsidRPr="00C5545D" w:rsidRDefault="004A12BB" w:rsidP="00865EE9">
            <w:pPr>
              <w:numPr>
                <w:ilvl w:val="0"/>
                <w:numId w:val="110"/>
              </w:numPr>
              <w:spacing w:line="241" w:lineRule="auto"/>
              <w:jc w:val="both"/>
              <w:rPr>
                <w:rFonts w:ascii="Abadi" w:hAnsi="Abadi"/>
                <w:sz w:val="21"/>
                <w:szCs w:val="21"/>
              </w:rPr>
            </w:pPr>
            <w:r w:rsidRPr="00C5545D">
              <w:rPr>
                <w:rFonts w:ascii="Abadi" w:eastAsia="Verdana" w:hAnsi="Abadi" w:cs="Verdana"/>
                <w:sz w:val="21"/>
                <w:szCs w:val="21"/>
              </w:rPr>
              <w:t xml:space="preserve">Estudiar y, en su caso, aprobar los proyectos de inversión en la construcción, ampliación, mantenimiento o conservación de espacios de cultura física y deporte, así como el financiamiento de los programas que proponga el Director General; </w:t>
            </w:r>
          </w:p>
          <w:p w14:paraId="3D4A191D"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EB24A12"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8D07AE3"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1075B4F" w14:textId="77777777" w:rsidR="004A12BB" w:rsidRPr="00C5545D" w:rsidRDefault="004A12BB" w:rsidP="00865EE9">
            <w:pPr>
              <w:numPr>
                <w:ilvl w:val="0"/>
                <w:numId w:val="110"/>
              </w:numPr>
              <w:spacing w:after="2"/>
              <w:jc w:val="both"/>
              <w:rPr>
                <w:rFonts w:ascii="Abadi" w:hAnsi="Abadi"/>
                <w:sz w:val="21"/>
                <w:szCs w:val="21"/>
              </w:rPr>
            </w:pPr>
            <w:r w:rsidRPr="00C5545D">
              <w:rPr>
                <w:rFonts w:ascii="Abadi" w:eastAsia="Verdana" w:hAnsi="Abadi" w:cs="Verdana"/>
                <w:sz w:val="21"/>
                <w:szCs w:val="21"/>
              </w:rPr>
              <w:t xml:space="preserve">Aprobar el ingreso de deportistas y personalidades destacadas en el ámbito del deporte al Salón Estatal de la Fama; </w:t>
            </w:r>
          </w:p>
          <w:p w14:paraId="4246E7DA"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5395D4E"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4BD3B45" w14:textId="77777777" w:rsidR="004A12BB" w:rsidRPr="00C5545D" w:rsidRDefault="004A12BB" w:rsidP="00865EE9">
            <w:pPr>
              <w:numPr>
                <w:ilvl w:val="0"/>
                <w:numId w:val="110"/>
              </w:numPr>
              <w:spacing w:after="2" w:line="241" w:lineRule="auto"/>
              <w:jc w:val="both"/>
              <w:rPr>
                <w:rFonts w:ascii="Abadi" w:hAnsi="Abadi"/>
                <w:sz w:val="21"/>
                <w:szCs w:val="21"/>
              </w:rPr>
            </w:pPr>
            <w:r w:rsidRPr="00C5545D">
              <w:rPr>
                <w:rFonts w:ascii="Abadi" w:eastAsia="Verdana" w:hAnsi="Abadi" w:cs="Verdana"/>
                <w:sz w:val="21"/>
                <w:szCs w:val="21"/>
              </w:rPr>
              <w:t xml:space="preserve">Proponer, en su caso, al Congreso del Estado, candidatos a obtener el Premio Estatal del Deporte, en los términos de la Ley de la materia, </w:t>
            </w:r>
            <w:r w:rsidRPr="00C5545D">
              <w:rPr>
                <w:rFonts w:ascii="Abadi" w:eastAsia="Verdana" w:hAnsi="Abadi" w:cs="Verdana"/>
                <w:b/>
                <w:sz w:val="21"/>
                <w:szCs w:val="21"/>
              </w:rPr>
              <w:t>procurando observar en lo posible la perspectiva de género</w:t>
            </w:r>
            <w:r w:rsidRPr="00C5545D">
              <w:rPr>
                <w:rFonts w:ascii="Abadi" w:eastAsia="Verdana" w:hAnsi="Abadi" w:cs="Verdana"/>
                <w:sz w:val="21"/>
                <w:szCs w:val="21"/>
              </w:rPr>
              <w:t xml:space="preserve">; </w:t>
            </w:r>
          </w:p>
          <w:p w14:paraId="1A97C047"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4AB82129" w14:textId="77777777" w:rsidR="004A12BB" w:rsidRPr="00C5545D" w:rsidRDefault="004A12BB" w:rsidP="00865EE9">
            <w:pPr>
              <w:numPr>
                <w:ilvl w:val="0"/>
                <w:numId w:val="110"/>
              </w:numPr>
              <w:spacing w:after="2"/>
              <w:jc w:val="both"/>
              <w:rPr>
                <w:rFonts w:ascii="Abadi" w:hAnsi="Abadi"/>
                <w:sz w:val="21"/>
                <w:szCs w:val="21"/>
              </w:rPr>
            </w:pPr>
            <w:r w:rsidRPr="00C5545D">
              <w:rPr>
                <w:rFonts w:ascii="Abadi" w:eastAsia="Verdana" w:hAnsi="Abadi" w:cs="Verdana"/>
                <w:sz w:val="21"/>
                <w:szCs w:val="21"/>
              </w:rPr>
              <w:t xml:space="preserve">Aprobar los mecanismos por los cuales la CODE obtenga ingresos propios; y </w:t>
            </w:r>
          </w:p>
          <w:p w14:paraId="14DCF2AC"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7B565C9D"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3B2BF2B7" w14:textId="77777777" w:rsidR="004A12BB" w:rsidRPr="00C5545D" w:rsidRDefault="004A12BB" w:rsidP="00865EE9">
            <w:pPr>
              <w:numPr>
                <w:ilvl w:val="0"/>
                <w:numId w:val="110"/>
              </w:numPr>
              <w:spacing w:after="2"/>
              <w:jc w:val="both"/>
              <w:rPr>
                <w:rFonts w:ascii="Abadi" w:hAnsi="Abadi"/>
                <w:sz w:val="21"/>
                <w:szCs w:val="21"/>
              </w:rPr>
            </w:pPr>
            <w:r w:rsidRPr="00C5545D">
              <w:rPr>
                <w:rFonts w:ascii="Abadi" w:eastAsia="Verdana" w:hAnsi="Abadi" w:cs="Verdana"/>
                <w:sz w:val="21"/>
                <w:szCs w:val="21"/>
              </w:rPr>
              <w:t xml:space="preserve">Las demás que señalen las leyes y disposiciones jurídicas aplicables. </w:t>
            </w:r>
          </w:p>
          <w:p w14:paraId="200B1DBD" w14:textId="77777777" w:rsidR="004A12BB" w:rsidRPr="00C5545D" w:rsidRDefault="004A12BB"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1C1840EE" w14:textId="26616638" w:rsidR="00182ABE" w:rsidRPr="00C5545D" w:rsidRDefault="004A12BB" w:rsidP="00865EE9">
            <w:pPr>
              <w:ind w:right="4"/>
              <w:jc w:val="both"/>
              <w:rPr>
                <w:rFonts w:ascii="Abadi" w:hAnsi="Abadi"/>
                <w:sz w:val="21"/>
                <w:szCs w:val="21"/>
              </w:rPr>
            </w:pPr>
            <w:r w:rsidRPr="00C5545D">
              <w:rPr>
                <w:rFonts w:ascii="Abadi" w:eastAsia="Verdana" w:hAnsi="Abadi" w:cs="Verdana"/>
                <w:b/>
                <w:sz w:val="21"/>
                <w:szCs w:val="21"/>
              </w:rPr>
              <w:t xml:space="preserve">No se propondrá como candidato a obtener el Premio Estatal del Deporte,  a que refiere la fracción XIV del presente artículo, a las personas físicas que cuenten sentencia firme por la comisión intencional de delitos contra la vida </w:t>
            </w:r>
            <w:r w:rsidRPr="00C5545D">
              <w:rPr>
                <w:rFonts w:ascii="Abadi" w:eastAsia="Verdana" w:hAnsi="Abadi" w:cs="Verdana"/>
                <w:b/>
                <w:sz w:val="21"/>
                <w:szCs w:val="21"/>
              </w:rPr>
              <w:lastRenderedPageBreak/>
              <w:t>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a quienes hayan sido</w:t>
            </w:r>
            <w:r w:rsidRPr="00C5545D">
              <w:rPr>
                <w:rFonts w:ascii="Abadi" w:eastAsia="Verdana" w:hAnsi="Abadi" w:cs="Verdana"/>
                <w:i/>
                <w:sz w:val="21"/>
                <w:szCs w:val="21"/>
              </w:rPr>
              <w:t xml:space="preserve"> </w:t>
            </w:r>
            <w:r w:rsidRPr="00C5545D">
              <w:rPr>
                <w:rFonts w:ascii="Abadi" w:eastAsia="Verdana" w:hAnsi="Abadi" w:cs="Verdana"/>
                <w:b/>
                <w:sz w:val="21"/>
                <w:szCs w:val="21"/>
              </w:rPr>
              <w:t>declaradas</w:t>
            </w:r>
            <w:r w:rsidR="00182ABE">
              <w:rPr>
                <w:rFonts w:ascii="Abadi" w:eastAsia="Verdana" w:hAnsi="Abadi" w:cs="Verdana"/>
                <w:b/>
                <w:sz w:val="21"/>
                <w:szCs w:val="21"/>
              </w:rPr>
              <w:t xml:space="preserve"> </w:t>
            </w:r>
            <w:r w:rsidR="00182ABE" w:rsidRPr="00C5545D">
              <w:rPr>
                <w:rFonts w:ascii="Abadi" w:eastAsia="Verdana" w:hAnsi="Abadi" w:cs="Verdana"/>
                <w:b/>
                <w:sz w:val="21"/>
                <w:szCs w:val="21"/>
              </w:rPr>
              <w:t xml:space="preserve">como personas deudoras </w:t>
            </w:r>
            <w:r w:rsidR="00271A14">
              <w:rPr>
                <w:rFonts w:ascii="Abadi" w:eastAsia="Verdana" w:hAnsi="Abadi" w:cs="Verdana"/>
                <w:b/>
                <w:sz w:val="21"/>
                <w:szCs w:val="21"/>
              </w:rPr>
              <w:t>a</w:t>
            </w:r>
            <w:r w:rsidR="00182ABE" w:rsidRPr="00C5545D">
              <w:rPr>
                <w:rFonts w:ascii="Abadi" w:eastAsia="Verdana" w:hAnsi="Abadi" w:cs="Verdana"/>
                <w:b/>
                <w:sz w:val="21"/>
                <w:szCs w:val="21"/>
              </w:rPr>
              <w:t xml:space="preserve">limentarias morosas. </w:t>
            </w:r>
          </w:p>
          <w:p w14:paraId="697F9DEF" w14:textId="77777777" w:rsidR="00182ABE" w:rsidRPr="00C5545D" w:rsidRDefault="00182ABE" w:rsidP="00865EE9">
            <w:pPr>
              <w:spacing w:line="259" w:lineRule="auto"/>
              <w:jc w:val="both"/>
              <w:rPr>
                <w:rFonts w:ascii="Abadi" w:hAnsi="Abadi"/>
                <w:sz w:val="21"/>
                <w:szCs w:val="21"/>
              </w:rPr>
            </w:pPr>
            <w:r w:rsidRPr="00C5545D">
              <w:rPr>
                <w:rFonts w:ascii="Abadi" w:eastAsia="Verdana" w:hAnsi="Abadi" w:cs="Verdana"/>
                <w:sz w:val="21"/>
                <w:szCs w:val="21"/>
              </w:rPr>
              <w:t xml:space="preserve"> </w:t>
            </w:r>
          </w:p>
          <w:p w14:paraId="5FDAD1DC" w14:textId="77777777" w:rsidR="00182ABE" w:rsidRPr="00C5545D" w:rsidRDefault="00182ABE" w:rsidP="00865EE9">
            <w:pPr>
              <w:spacing w:after="60"/>
              <w:jc w:val="both"/>
              <w:rPr>
                <w:rFonts w:ascii="Abadi" w:hAnsi="Abadi"/>
                <w:sz w:val="21"/>
                <w:szCs w:val="21"/>
              </w:rPr>
            </w:pPr>
            <w:r w:rsidRPr="00C5545D">
              <w:rPr>
                <w:rFonts w:ascii="Abadi" w:eastAsia="Verdana" w:hAnsi="Abadi" w:cs="Verdana"/>
                <w:sz w:val="21"/>
                <w:szCs w:val="21"/>
              </w:rPr>
              <w:t xml:space="preserve">El funcionamiento del Consejo Directivo se regulará en el Reglamento de la Ley. </w:t>
            </w:r>
          </w:p>
          <w:p w14:paraId="43DE1A02" w14:textId="6580AB88" w:rsidR="00182ABE" w:rsidRPr="00695491" w:rsidRDefault="00182ABE" w:rsidP="00865EE9">
            <w:pPr>
              <w:ind w:right="4"/>
              <w:jc w:val="both"/>
              <w:rPr>
                <w:rFonts w:ascii="Abadi" w:hAnsi="Abadi"/>
                <w:sz w:val="21"/>
                <w:szCs w:val="21"/>
              </w:rPr>
            </w:pPr>
          </w:p>
        </w:tc>
      </w:tr>
      <w:tr w:rsidR="00BE4721" w:rsidRPr="00695491" w14:paraId="76B40CB6" w14:textId="77777777" w:rsidTr="008305DC">
        <w:tc>
          <w:tcPr>
            <w:tcW w:w="1891" w:type="dxa"/>
          </w:tcPr>
          <w:p w14:paraId="1A13A5EE" w14:textId="77777777" w:rsidR="00BE4721" w:rsidRPr="00C5545D" w:rsidRDefault="00BE4721" w:rsidP="00271A14">
            <w:pPr>
              <w:spacing w:after="2"/>
              <w:ind w:right="74" w:firstLine="262"/>
              <w:jc w:val="both"/>
              <w:rPr>
                <w:rFonts w:ascii="Abadi" w:hAnsi="Abadi"/>
                <w:sz w:val="21"/>
                <w:szCs w:val="21"/>
              </w:rPr>
            </w:pPr>
            <w:r w:rsidRPr="00C5545D">
              <w:rPr>
                <w:rFonts w:ascii="Abadi" w:eastAsia="Verdana" w:hAnsi="Abadi" w:cs="Verdana"/>
                <w:b/>
                <w:sz w:val="21"/>
                <w:szCs w:val="21"/>
              </w:rPr>
              <w:lastRenderedPageBreak/>
              <w:t xml:space="preserve">Atribuciones del Consejo Estatal </w:t>
            </w:r>
            <w:r w:rsidRPr="00C5545D">
              <w:rPr>
                <w:rFonts w:ascii="Abadi" w:eastAsia="Verdana" w:hAnsi="Abadi" w:cs="Verdana"/>
                <w:sz w:val="21"/>
                <w:szCs w:val="21"/>
              </w:rPr>
              <w:t xml:space="preserve">Artículo 29. El Consejo Estatal tendrá las siguientes atribuciones: </w:t>
            </w:r>
          </w:p>
          <w:p w14:paraId="7ED16C61"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4337CC09" w14:textId="77777777" w:rsidR="00BE4721" w:rsidRPr="00C5545D" w:rsidRDefault="00BE4721" w:rsidP="00271A14">
            <w:pPr>
              <w:numPr>
                <w:ilvl w:val="0"/>
                <w:numId w:val="111"/>
              </w:numPr>
              <w:spacing w:after="2"/>
              <w:ind w:right="74"/>
              <w:jc w:val="both"/>
              <w:rPr>
                <w:rFonts w:ascii="Abadi" w:hAnsi="Abadi"/>
                <w:sz w:val="21"/>
                <w:szCs w:val="21"/>
              </w:rPr>
            </w:pPr>
            <w:r w:rsidRPr="00C5545D">
              <w:rPr>
                <w:rFonts w:ascii="Abadi" w:eastAsia="Verdana" w:hAnsi="Abadi" w:cs="Verdana"/>
                <w:sz w:val="21"/>
                <w:szCs w:val="21"/>
              </w:rPr>
              <w:t xml:space="preserve">Generar propuestas que repercutan en el desarrollo de la cultura física y deporte, y presentarlas al Consejo </w:t>
            </w:r>
          </w:p>
          <w:p w14:paraId="4E9B466B"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Directivo; </w:t>
            </w:r>
          </w:p>
          <w:p w14:paraId="35E945D9"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749AC61F" w14:textId="77777777" w:rsidR="00271A14" w:rsidRDefault="00BE4721" w:rsidP="00271A14">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1899C67F" w14:textId="77777777" w:rsidR="00271A14" w:rsidRDefault="00271A14" w:rsidP="00271A14">
            <w:pPr>
              <w:spacing w:line="259" w:lineRule="auto"/>
              <w:jc w:val="both"/>
              <w:rPr>
                <w:rFonts w:ascii="Abadi" w:eastAsia="Verdana" w:hAnsi="Abadi" w:cs="Verdana"/>
                <w:sz w:val="21"/>
                <w:szCs w:val="21"/>
              </w:rPr>
            </w:pPr>
          </w:p>
          <w:p w14:paraId="411D9241" w14:textId="77777777" w:rsidR="00271A14" w:rsidRDefault="00271A14" w:rsidP="00271A14">
            <w:pPr>
              <w:spacing w:line="259" w:lineRule="auto"/>
              <w:jc w:val="both"/>
              <w:rPr>
                <w:rFonts w:ascii="Abadi" w:eastAsia="Verdana" w:hAnsi="Abadi" w:cs="Verdana"/>
                <w:sz w:val="21"/>
                <w:szCs w:val="21"/>
              </w:rPr>
            </w:pPr>
          </w:p>
          <w:p w14:paraId="2F2377CC" w14:textId="77777777" w:rsidR="00271A14" w:rsidRDefault="00271A14" w:rsidP="00271A14">
            <w:pPr>
              <w:spacing w:line="259" w:lineRule="auto"/>
              <w:jc w:val="both"/>
              <w:rPr>
                <w:rFonts w:ascii="Abadi" w:eastAsia="Verdana" w:hAnsi="Abadi" w:cs="Verdana"/>
                <w:sz w:val="21"/>
                <w:szCs w:val="21"/>
              </w:rPr>
            </w:pPr>
          </w:p>
          <w:p w14:paraId="3A834FA0" w14:textId="26809D68"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5A9291C1" w14:textId="77777777" w:rsidR="00BE4721" w:rsidRPr="00C5545D" w:rsidRDefault="00BE4721" w:rsidP="00271A14">
            <w:pPr>
              <w:numPr>
                <w:ilvl w:val="0"/>
                <w:numId w:val="111"/>
              </w:numPr>
              <w:spacing w:line="241" w:lineRule="auto"/>
              <w:ind w:right="74"/>
              <w:jc w:val="both"/>
              <w:rPr>
                <w:rFonts w:ascii="Abadi" w:hAnsi="Abadi"/>
                <w:sz w:val="21"/>
                <w:szCs w:val="21"/>
              </w:rPr>
            </w:pPr>
            <w:r w:rsidRPr="00C5545D">
              <w:rPr>
                <w:rFonts w:ascii="Abadi" w:eastAsia="Verdana" w:hAnsi="Abadi" w:cs="Verdana"/>
                <w:sz w:val="21"/>
                <w:szCs w:val="21"/>
              </w:rPr>
              <w:t xml:space="preserve">Proponer criterios para la </w:t>
            </w:r>
            <w:r w:rsidRPr="00C5545D">
              <w:rPr>
                <w:rFonts w:ascii="Abadi" w:eastAsia="Verdana" w:hAnsi="Abadi" w:cs="Verdana"/>
                <w:sz w:val="21"/>
                <w:szCs w:val="21"/>
              </w:rPr>
              <w:t xml:space="preserve">planeación y ejecución de las políticas y programas en materia de cultura física y deporte; </w:t>
            </w:r>
          </w:p>
          <w:p w14:paraId="43EE70C8"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2D697010" w14:textId="77777777" w:rsidR="00BE4721" w:rsidRDefault="00BE4721" w:rsidP="00271A14">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655617EA" w14:textId="77777777" w:rsidR="00271A14" w:rsidRDefault="00271A14" w:rsidP="00271A14">
            <w:pPr>
              <w:spacing w:line="259" w:lineRule="auto"/>
              <w:jc w:val="both"/>
              <w:rPr>
                <w:rFonts w:ascii="Abadi" w:hAnsi="Abadi"/>
                <w:sz w:val="21"/>
                <w:szCs w:val="21"/>
              </w:rPr>
            </w:pPr>
          </w:p>
          <w:p w14:paraId="644E4030" w14:textId="77777777" w:rsidR="00271A14" w:rsidRDefault="00271A14" w:rsidP="00271A14">
            <w:pPr>
              <w:spacing w:line="259" w:lineRule="auto"/>
              <w:jc w:val="both"/>
              <w:rPr>
                <w:rFonts w:ascii="Abadi" w:hAnsi="Abadi"/>
                <w:sz w:val="21"/>
                <w:szCs w:val="21"/>
              </w:rPr>
            </w:pPr>
          </w:p>
          <w:p w14:paraId="339A5E7B" w14:textId="77777777" w:rsidR="00271A14" w:rsidRDefault="00271A14" w:rsidP="00271A14">
            <w:pPr>
              <w:spacing w:line="259" w:lineRule="auto"/>
              <w:jc w:val="both"/>
              <w:rPr>
                <w:rFonts w:ascii="Abadi" w:hAnsi="Abadi"/>
                <w:sz w:val="21"/>
                <w:szCs w:val="21"/>
              </w:rPr>
            </w:pPr>
          </w:p>
          <w:p w14:paraId="36356E75" w14:textId="77777777" w:rsidR="00271A14" w:rsidRPr="00C5545D" w:rsidRDefault="00271A14" w:rsidP="00271A14">
            <w:pPr>
              <w:spacing w:line="259" w:lineRule="auto"/>
              <w:jc w:val="both"/>
              <w:rPr>
                <w:rFonts w:ascii="Abadi" w:hAnsi="Abadi"/>
                <w:sz w:val="21"/>
                <w:szCs w:val="21"/>
              </w:rPr>
            </w:pPr>
          </w:p>
          <w:p w14:paraId="40FCF39F" w14:textId="77777777" w:rsidR="00BE4721" w:rsidRPr="00C5545D" w:rsidRDefault="00BE4721" w:rsidP="00271A14">
            <w:pPr>
              <w:numPr>
                <w:ilvl w:val="0"/>
                <w:numId w:val="111"/>
              </w:numPr>
              <w:spacing w:after="1" w:line="241" w:lineRule="auto"/>
              <w:ind w:right="74"/>
              <w:jc w:val="both"/>
              <w:rPr>
                <w:rFonts w:ascii="Abadi" w:hAnsi="Abadi"/>
                <w:sz w:val="21"/>
                <w:szCs w:val="21"/>
              </w:rPr>
            </w:pPr>
            <w:r w:rsidRPr="00C5545D">
              <w:rPr>
                <w:rFonts w:ascii="Abadi" w:eastAsia="Verdana" w:hAnsi="Abadi" w:cs="Verdana"/>
                <w:sz w:val="21"/>
                <w:szCs w:val="21"/>
              </w:rPr>
              <w:t xml:space="preserve">Canalizar al Consejo Directivo los proyectos y propuestas de la ciudadanía en materia de cultura física y deporte; </w:t>
            </w:r>
          </w:p>
          <w:p w14:paraId="431B047C" w14:textId="77777777" w:rsidR="00BE4721" w:rsidRDefault="00BE4721" w:rsidP="00271A14">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0C0137D5" w14:textId="77777777" w:rsidR="00271A14" w:rsidRPr="00C5545D" w:rsidRDefault="00271A14" w:rsidP="00271A14">
            <w:pPr>
              <w:spacing w:line="259" w:lineRule="auto"/>
              <w:jc w:val="both"/>
              <w:rPr>
                <w:rFonts w:ascii="Abadi" w:hAnsi="Abadi"/>
                <w:sz w:val="21"/>
                <w:szCs w:val="21"/>
              </w:rPr>
            </w:pPr>
          </w:p>
          <w:p w14:paraId="7E87EE32" w14:textId="77777777" w:rsidR="00BE4721" w:rsidRPr="00C5545D" w:rsidRDefault="00BE4721" w:rsidP="00271A14">
            <w:pPr>
              <w:numPr>
                <w:ilvl w:val="0"/>
                <w:numId w:val="111"/>
              </w:numPr>
              <w:ind w:right="74"/>
              <w:jc w:val="both"/>
              <w:rPr>
                <w:rFonts w:ascii="Abadi" w:hAnsi="Abadi"/>
                <w:sz w:val="21"/>
                <w:szCs w:val="21"/>
              </w:rPr>
            </w:pPr>
            <w:r w:rsidRPr="00C5545D">
              <w:rPr>
                <w:rFonts w:ascii="Abadi" w:eastAsia="Verdana" w:hAnsi="Abadi" w:cs="Verdana"/>
                <w:sz w:val="21"/>
                <w:szCs w:val="21"/>
              </w:rPr>
              <w:t xml:space="preserve">Conocer de las quejas que a título individual presenten los deportistas o quienes realizan cultura física cuando consideren vulnerados sus derechos derivados de la cultura física y el deporte, en los términos de la presente </w:t>
            </w:r>
          </w:p>
          <w:p w14:paraId="3FC9FC9C"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Ley; </w:t>
            </w:r>
          </w:p>
          <w:p w14:paraId="42ECBDAB"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0F353087" w14:textId="77777777" w:rsidR="00BE4721" w:rsidRPr="00C5545D" w:rsidRDefault="00BE4721" w:rsidP="00271A14">
            <w:pPr>
              <w:numPr>
                <w:ilvl w:val="0"/>
                <w:numId w:val="111"/>
              </w:numPr>
              <w:spacing w:line="241" w:lineRule="auto"/>
              <w:ind w:right="74"/>
              <w:jc w:val="both"/>
              <w:rPr>
                <w:rFonts w:ascii="Abadi" w:hAnsi="Abadi"/>
                <w:sz w:val="21"/>
                <w:szCs w:val="21"/>
              </w:rPr>
            </w:pPr>
            <w:r w:rsidRPr="00C5545D">
              <w:rPr>
                <w:rFonts w:ascii="Abadi" w:eastAsia="Verdana" w:hAnsi="Abadi" w:cs="Verdana"/>
                <w:sz w:val="21"/>
                <w:szCs w:val="21"/>
              </w:rPr>
              <w:t xml:space="preserve">Formular recomendaciones a la autoridad que corresponda a fin de salvaguardar los derechos establecidos en esta Ley y proponer soluciones a los conflictos; y </w:t>
            </w:r>
          </w:p>
          <w:p w14:paraId="069351A3"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5CAF7C3B" w14:textId="77777777" w:rsidR="00BE4721" w:rsidRPr="00C5545D" w:rsidRDefault="00BE4721" w:rsidP="00271A14">
            <w:pPr>
              <w:numPr>
                <w:ilvl w:val="0"/>
                <w:numId w:val="111"/>
              </w:numPr>
              <w:spacing w:after="60"/>
              <w:ind w:right="74"/>
              <w:jc w:val="both"/>
              <w:rPr>
                <w:rFonts w:ascii="Abadi" w:hAnsi="Abadi"/>
                <w:sz w:val="21"/>
                <w:szCs w:val="21"/>
              </w:rPr>
            </w:pPr>
            <w:r w:rsidRPr="00C5545D">
              <w:rPr>
                <w:rFonts w:ascii="Abadi" w:eastAsia="Verdana" w:hAnsi="Abadi" w:cs="Verdana"/>
                <w:sz w:val="21"/>
                <w:szCs w:val="21"/>
              </w:rPr>
              <w:t xml:space="preserve">Las demás que estime </w:t>
            </w:r>
            <w:r w:rsidRPr="00C5545D">
              <w:rPr>
                <w:rFonts w:ascii="Abadi" w:eastAsia="Verdana" w:hAnsi="Abadi" w:cs="Verdana"/>
                <w:sz w:val="21"/>
                <w:szCs w:val="21"/>
              </w:rPr>
              <w:lastRenderedPageBreak/>
              <w:t xml:space="preserve">necesarias para el cumplimiento de su objeto. </w:t>
            </w:r>
          </w:p>
          <w:p w14:paraId="62EF613B" w14:textId="533DCF1B" w:rsidR="00BE4721" w:rsidRPr="00695491" w:rsidRDefault="00BE4721" w:rsidP="00271A14">
            <w:pPr>
              <w:ind w:right="4"/>
              <w:jc w:val="both"/>
              <w:rPr>
                <w:rFonts w:ascii="Abadi" w:hAnsi="Abadi"/>
                <w:sz w:val="21"/>
                <w:szCs w:val="21"/>
              </w:rPr>
            </w:pPr>
            <w:r w:rsidRPr="00C5545D">
              <w:rPr>
                <w:rFonts w:ascii="Abadi" w:eastAsia="Verdana" w:hAnsi="Abadi" w:cs="Verdana"/>
                <w:sz w:val="21"/>
                <w:szCs w:val="21"/>
              </w:rPr>
              <w:t xml:space="preserve"> </w:t>
            </w:r>
          </w:p>
        </w:tc>
        <w:tc>
          <w:tcPr>
            <w:tcW w:w="2073" w:type="dxa"/>
          </w:tcPr>
          <w:p w14:paraId="052C16FA" w14:textId="77777777" w:rsidR="00BE4721" w:rsidRPr="00C5545D" w:rsidRDefault="00BE4721" w:rsidP="00271A14">
            <w:pPr>
              <w:spacing w:after="2"/>
              <w:ind w:right="75" w:firstLine="692"/>
              <w:jc w:val="both"/>
              <w:rPr>
                <w:rFonts w:ascii="Abadi" w:hAnsi="Abadi"/>
                <w:sz w:val="21"/>
                <w:szCs w:val="21"/>
              </w:rPr>
            </w:pPr>
            <w:r w:rsidRPr="00C5545D">
              <w:rPr>
                <w:rFonts w:ascii="Abadi" w:eastAsia="Verdana" w:hAnsi="Abadi" w:cs="Verdana"/>
                <w:b/>
                <w:sz w:val="21"/>
                <w:szCs w:val="21"/>
              </w:rPr>
              <w:lastRenderedPageBreak/>
              <w:t xml:space="preserve">Atribuciones del Consejo Estatal </w:t>
            </w:r>
            <w:r w:rsidRPr="00C5545D">
              <w:rPr>
                <w:rFonts w:ascii="Abadi" w:eastAsia="Verdana" w:hAnsi="Abadi" w:cs="Verdana"/>
                <w:sz w:val="21"/>
                <w:szCs w:val="21"/>
              </w:rPr>
              <w:t xml:space="preserve">Artículo 29. El Consejo Estatal tendrá las siguientes atribuciones: </w:t>
            </w:r>
          </w:p>
          <w:p w14:paraId="077A1D5C"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72C51029" w14:textId="77777777" w:rsidR="00BE4721" w:rsidRPr="00C5545D" w:rsidRDefault="00BE4721" w:rsidP="00271A14">
            <w:pPr>
              <w:numPr>
                <w:ilvl w:val="0"/>
                <w:numId w:val="112"/>
              </w:numPr>
              <w:spacing w:line="241" w:lineRule="auto"/>
              <w:ind w:right="73"/>
              <w:jc w:val="both"/>
              <w:rPr>
                <w:rFonts w:ascii="Abadi" w:hAnsi="Abadi"/>
                <w:sz w:val="21"/>
                <w:szCs w:val="21"/>
              </w:rPr>
            </w:pPr>
            <w:r w:rsidRPr="00C5545D">
              <w:rPr>
                <w:rFonts w:ascii="Abadi" w:eastAsia="Verdana" w:hAnsi="Abadi" w:cs="Verdana"/>
                <w:sz w:val="21"/>
                <w:szCs w:val="21"/>
              </w:rPr>
              <w:t xml:space="preserve">Generar propuestas que repercutan en el desarrollo </w:t>
            </w:r>
            <w:r w:rsidRPr="00C5545D">
              <w:rPr>
                <w:rFonts w:ascii="Abadi" w:eastAsia="Verdana" w:hAnsi="Abadi" w:cs="Verdana"/>
                <w:b/>
                <w:sz w:val="21"/>
                <w:szCs w:val="21"/>
              </w:rPr>
              <w:t>con perspectiva de género</w:t>
            </w:r>
            <w:r w:rsidRPr="00C5545D">
              <w:rPr>
                <w:rFonts w:ascii="Abadi" w:eastAsia="Verdana" w:hAnsi="Abadi" w:cs="Verdana"/>
                <w:sz w:val="21"/>
                <w:szCs w:val="21"/>
              </w:rPr>
              <w:t xml:space="preserve"> de la cultura física y deporte, tomando en consideración la equidad y la igualdad que presentará al Consejo Directivo; </w:t>
            </w:r>
          </w:p>
          <w:p w14:paraId="0D09E883"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5029A78E"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690DD4BD" w14:textId="77777777" w:rsidR="00BE4721" w:rsidRPr="00C5545D" w:rsidRDefault="00BE4721" w:rsidP="00271A14">
            <w:pPr>
              <w:numPr>
                <w:ilvl w:val="0"/>
                <w:numId w:val="112"/>
              </w:numPr>
              <w:spacing w:line="241" w:lineRule="auto"/>
              <w:ind w:right="73"/>
              <w:jc w:val="both"/>
              <w:rPr>
                <w:rFonts w:ascii="Abadi" w:hAnsi="Abadi"/>
                <w:sz w:val="21"/>
                <w:szCs w:val="21"/>
              </w:rPr>
            </w:pPr>
            <w:r w:rsidRPr="00C5545D">
              <w:rPr>
                <w:rFonts w:ascii="Abadi" w:eastAsia="Verdana" w:hAnsi="Abadi" w:cs="Verdana"/>
                <w:sz w:val="21"/>
                <w:szCs w:val="21"/>
              </w:rPr>
              <w:t xml:space="preserve">Proponer criterios para la planeación y ejecución de las políticas y programas en materia de cultura física y deporte, </w:t>
            </w:r>
            <w:r w:rsidRPr="00C5545D">
              <w:rPr>
                <w:rFonts w:ascii="Abadi" w:eastAsia="Verdana" w:hAnsi="Abadi" w:cs="Verdana"/>
                <w:b/>
                <w:sz w:val="21"/>
                <w:szCs w:val="21"/>
              </w:rPr>
              <w:t>con perspectivas de género y de inclusión de sectores vulnerables o invisibles</w:t>
            </w:r>
            <w:r w:rsidRPr="00C5545D">
              <w:rPr>
                <w:rFonts w:ascii="Abadi" w:eastAsia="Verdana" w:hAnsi="Abadi" w:cs="Verdana"/>
                <w:sz w:val="21"/>
                <w:szCs w:val="21"/>
              </w:rPr>
              <w:t xml:space="preserve">; </w:t>
            </w:r>
          </w:p>
          <w:p w14:paraId="52A754EA"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78717151" w14:textId="77777777" w:rsidR="00BE4721" w:rsidRPr="00C5545D" w:rsidRDefault="00BE4721" w:rsidP="00271A14">
            <w:pPr>
              <w:numPr>
                <w:ilvl w:val="0"/>
                <w:numId w:val="112"/>
              </w:numPr>
              <w:spacing w:line="241" w:lineRule="auto"/>
              <w:ind w:right="73"/>
              <w:jc w:val="both"/>
              <w:rPr>
                <w:rFonts w:ascii="Abadi" w:hAnsi="Abadi"/>
                <w:sz w:val="21"/>
                <w:szCs w:val="21"/>
              </w:rPr>
            </w:pPr>
            <w:r w:rsidRPr="00C5545D">
              <w:rPr>
                <w:rFonts w:ascii="Abadi" w:eastAsia="Verdana" w:hAnsi="Abadi" w:cs="Verdana"/>
                <w:sz w:val="21"/>
                <w:szCs w:val="21"/>
              </w:rPr>
              <w:t xml:space="preserve">Canalizar al Consejo Directivo los proyectos y propuestas de la ciudadanía en materia de cultura física y deporte; </w:t>
            </w:r>
          </w:p>
          <w:p w14:paraId="3315283D"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4DB570B8"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44B22467" w14:textId="77777777" w:rsidR="00BE4721" w:rsidRPr="00C5545D" w:rsidRDefault="00BE4721" w:rsidP="00271A14">
            <w:pPr>
              <w:numPr>
                <w:ilvl w:val="0"/>
                <w:numId w:val="112"/>
              </w:numPr>
              <w:ind w:right="73"/>
              <w:jc w:val="both"/>
              <w:rPr>
                <w:rFonts w:ascii="Abadi" w:hAnsi="Abadi"/>
                <w:sz w:val="21"/>
                <w:szCs w:val="21"/>
              </w:rPr>
            </w:pPr>
            <w:r w:rsidRPr="00C5545D">
              <w:rPr>
                <w:rFonts w:ascii="Abadi" w:eastAsia="Verdana" w:hAnsi="Abadi" w:cs="Verdana"/>
                <w:sz w:val="21"/>
                <w:szCs w:val="21"/>
              </w:rPr>
              <w:t xml:space="preserve">Conocer de las quejas que a título individual presenten los deportistas o quienes realizan cultura física cuando consideren vulnerados sus derechos derivados de la cultura física y el deporte, en los términos de la presente Ley; </w:t>
            </w:r>
          </w:p>
          <w:p w14:paraId="012B49EE"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74BFE003"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0001C7E9" w14:textId="77777777" w:rsidR="00BE4721" w:rsidRPr="00C5545D" w:rsidRDefault="00BE4721" w:rsidP="00271A14">
            <w:pPr>
              <w:numPr>
                <w:ilvl w:val="0"/>
                <w:numId w:val="112"/>
              </w:numPr>
              <w:spacing w:line="241" w:lineRule="auto"/>
              <w:ind w:right="73"/>
              <w:jc w:val="both"/>
              <w:rPr>
                <w:rFonts w:ascii="Abadi" w:hAnsi="Abadi"/>
                <w:sz w:val="21"/>
                <w:szCs w:val="21"/>
              </w:rPr>
            </w:pPr>
            <w:r w:rsidRPr="00C5545D">
              <w:rPr>
                <w:rFonts w:ascii="Abadi" w:eastAsia="Verdana" w:hAnsi="Abadi" w:cs="Verdana"/>
                <w:sz w:val="21"/>
                <w:szCs w:val="21"/>
              </w:rPr>
              <w:t xml:space="preserve">Formular recomendaciones a la autoridad que corresponda a fin de salvaguardar los derechos establecidos en esta Ley y proponer soluciones a los conflictos; y </w:t>
            </w:r>
          </w:p>
          <w:p w14:paraId="5F5ED530" w14:textId="77777777" w:rsidR="00BE4721" w:rsidRPr="00C5545D" w:rsidRDefault="00BE4721" w:rsidP="00271A14">
            <w:pPr>
              <w:spacing w:line="259" w:lineRule="auto"/>
              <w:jc w:val="both"/>
              <w:rPr>
                <w:rFonts w:ascii="Abadi" w:hAnsi="Abadi"/>
                <w:sz w:val="21"/>
                <w:szCs w:val="21"/>
              </w:rPr>
            </w:pPr>
            <w:r w:rsidRPr="00C5545D">
              <w:rPr>
                <w:rFonts w:ascii="Abadi" w:eastAsia="Verdana" w:hAnsi="Abadi" w:cs="Verdana"/>
                <w:sz w:val="21"/>
                <w:szCs w:val="21"/>
              </w:rPr>
              <w:t xml:space="preserve"> </w:t>
            </w:r>
          </w:p>
          <w:p w14:paraId="54257E56" w14:textId="77777777" w:rsidR="00BE4721" w:rsidRPr="00C5545D" w:rsidRDefault="00BE4721" w:rsidP="00271A14">
            <w:pPr>
              <w:numPr>
                <w:ilvl w:val="0"/>
                <w:numId w:val="112"/>
              </w:numPr>
              <w:spacing w:after="60"/>
              <w:ind w:right="73"/>
              <w:jc w:val="both"/>
              <w:rPr>
                <w:rFonts w:ascii="Abadi" w:hAnsi="Abadi"/>
                <w:sz w:val="21"/>
                <w:szCs w:val="21"/>
              </w:rPr>
            </w:pPr>
            <w:r w:rsidRPr="00C5545D">
              <w:rPr>
                <w:rFonts w:ascii="Abadi" w:eastAsia="Verdana" w:hAnsi="Abadi" w:cs="Verdana"/>
                <w:sz w:val="21"/>
                <w:szCs w:val="21"/>
              </w:rPr>
              <w:t xml:space="preserve">Las demás que estime necesarias para el cumplimiento de su objeto. </w:t>
            </w:r>
          </w:p>
          <w:p w14:paraId="14720EF2" w14:textId="3D6C8029" w:rsidR="00BE4721" w:rsidRPr="00695491" w:rsidRDefault="00BE4721" w:rsidP="00271A14">
            <w:pPr>
              <w:ind w:right="4"/>
              <w:jc w:val="both"/>
              <w:rPr>
                <w:rFonts w:ascii="Abadi" w:hAnsi="Abadi"/>
                <w:sz w:val="21"/>
                <w:szCs w:val="21"/>
              </w:rPr>
            </w:pPr>
            <w:r w:rsidRPr="00C5545D">
              <w:rPr>
                <w:rFonts w:ascii="Abadi" w:eastAsia="Verdana" w:hAnsi="Abadi" w:cs="Verdana"/>
                <w:sz w:val="21"/>
                <w:szCs w:val="21"/>
              </w:rPr>
              <w:t xml:space="preserve"> </w:t>
            </w:r>
          </w:p>
        </w:tc>
      </w:tr>
      <w:tr w:rsidR="00BE4721" w:rsidRPr="00695491" w14:paraId="2AD4A13F" w14:textId="77777777" w:rsidTr="008305DC">
        <w:tc>
          <w:tcPr>
            <w:tcW w:w="1891" w:type="dxa"/>
          </w:tcPr>
          <w:p w14:paraId="28CD7CD9" w14:textId="77777777" w:rsidR="00F4548B" w:rsidRPr="00C5545D" w:rsidRDefault="00F4548B" w:rsidP="004E4139">
            <w:pPr>
              <w:spacing w:line="259" w:lineRule="auto"/>
              <w:ind w:left="62"/>
              <w:jc w:val="both"/>
              <w:rPr>
                <w:rFonts w:ascii="Abadi" w:hAnsi="Abadi"/>
                <w:sz w:val="21"/>
                <w:szCs w:val="21"/>
              </w:rPr>
            </w:pPr>
            <w:r w:rsidRPr="00C5545D">
              <w:rPr>
                <w:rFonts w:ascii="Abadi" w:eastAsia="Verdana" w:hAnsi="Abadi" w:cs="Verdana"/>
                <w:b/>
                <w:sz w:val="21"/>
                <w:szCs w:val="21"/>
              </w:rPr>
              <w:t xml:space="preserve">Objetivos del Programa Estatal de </w:t>
            </w:r>
          </w:p>
          <w:p w14:paraId="6E3B46EE" w14:textId="77777777" w:rsidR="00F4548B" w:rsidRPr="00C5545D" w:rsidRDefault="00F4548B" w:rsidP="004E4139">
            <w:pPr>
              <w:spacing w:line="259" w:lineRule="auto"/>
              <w:ind w:right="75"/>
              <w:jc w:val="both"/>
              <w:rPr>
                <w:rFonts w:ascii="Abadi" w:hAnsi="Abadi"/>
                <w:sz w:val="21"/>
                <w:szCs w:val="21"/>
              </w:rPr>
            </w:pPr>
            <w:r w:rsidRPr="00C5545D">
              <w:rPr>
                <w:rFonts w:ascii="Abadi" w:eastAsia="Verdana" w:hAnsi="Abadi" w:cs="Verdana"/>
                <w:b/>
                <w:sz w:val="21"/>
                <w:szCs w:val="21"/>
              </w:rPr>
              <w:t xml:space="preserve">Cultura Física y Deporte </w:t>
            </w:r>
          </w:p>
          <w:p w14:paraId="731CF7D8" w14:textId="77777777" w:rsidR="00F4548B" w:rsidRPr="00C5545D" w:rsidRDefault="00F4548B" w:rsidP="004E4139">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73A31D9A" w14:textId="395CFC26" w:rsidR="00BE4721" w:rsidRPr="00695491" w:rsidRDefault="00F4548B" w:rsidP="004E4139">
            <w:pPr>
              <w:ind w:right="4"/>
              <w:jc w:val="both"/>
              <w:rPr>
                <w:rFonts w:ascii="Abadi" w:hAnsi="Abadi"/>
                <w:sz w:val="21"/>
                <w:szCs w:val="21"/>
              </w:rPr>
            </w:pPr>
            <w:r w:rsidRPr="00C5545D">
              <w:rPr>
                <w:rFonts w:ascii="Abadi" w:eastAsia="Verdana" w:hAnsi="Abadi" w:cs="Verdana"/>
                <w:sz w:val="21"/>
                <w:szCs w:val="21"/>
              </w:rPr>
              <w:t>Artículo 30. El Ejecutivo del Estado a través de la CODE, diseñara, aplicara y</w:t>
            </w:r>
          </w:p>
        </w:tc>
        <w:tc>
          <w:tcPr>
            <w:tcW w:w="2073" w:type="dxa"/>
          </w:tcPr>
          <w:p w14:paraId="56E8121E" w14:textId="77777777" w:rsidR="000319D6" w:rsidRPr="00C5545D" w:rsidRDefault="000319D6" w:rsidP="004E4139">
            <w:pPr>
              <w:spacing w:line="259" w:lineRule="auto"/>
              <w:ind w:right="73"/>
              <w:jc w:val="both"/>
              <w:rPr>
                <w:rFonts w:ascii="Abadi" w:hAnsi="Abadi"/>
                <w:sz w:val="21"/>
                <w:szCs w:val="21"/>
              </w:rPr>
            </w:pPr>
            <w:r w:rsidRPr="00C5545D">
              <w:rPr>
                <w:rFonts w:ascii="Abadi" w:eastAsia="Verdana" w:hAnsi="Abadi" w:cs="Verdana"/>
                <w:b/>
                <w:sz w:val="21"/>
                <w:szCs w:val="21"/>
              </w:rPr>
              <w:t xml:space="preserve">Objetivos del Programa Estatal de </w:t>
            </w:r>
          </w:p>
          <w:p w14:paraId="200BFC71" w14:textId="77777777" w:rsidR="000319D6" w:rsidRPr="00C5545D" w:rsidRDefault="000319D6" w:rsidP="004E4139">
            <w:pPr>
              <w:spacing w:line="259" w:lineRule="auto"/>
              <w:ind w:right="75"/>
              <w:jc w:val="both"/>
              <w:rPr>
                <w:rFonts w:ascii="Abadi" w:hAnsi="Abadi"/>
                <w:sz w:val="21"/>
                <w:szCs w:val="21"/>
              </w:rPr>
            </w:pPr>
            <w:r w:rsidRPr="00C5545D">
              <w:rPr>
                <w:rFonts w:ascii="Abadi" w:eastAsia="Verdana" w:hAnsi="Abadi" w:cs="Verdana"/>
                <w:b/>
                <w:sz w:val="21"/>
                <w:szCs w:val="21"/>
              </w:rPr>
              <w:t xml:space="preserve">Cultura Física y Deporte </w:t>
            </w:r>
          </w:p>
          <w:p w14:paraId="06E031FA" w14:textId="77777777" w:rsidR="000319D6" w:rsidRPr="00C5545D" w:rsidRDefault="000319D6" w:rsidP="004E4139">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53B39129" w14:textId="61E9FCC4" w:rsidR="00BE4721" w:rsidRPr="00695491" w:rsidRDefault="000319D6" w:rsidP="004E4139">
            <w:pPr>
              <w:ind w:right="4"/>
              <w:jc w:val="both"/>
              <w:rPr>
                <w:rFonts w:ascii="Abadi" w:hAnsi="Abadi"/>
                <w:sz w:val="21"/>
                <w:szCs w:val="21"/>
              </w:rPr>
            </w:pPr>
            <w:r w:rsidRPr="00C5545D">
              <w:rPr>
                <w:rFonts w:ascii="Abadi" w:eastAsia="Verdana" w:hAnsi="Abadi" w:cs="Verdana"/>
                <w:sz w:val="21"/>
                <w:szCs w:val="21"/>
              </w:rPr>
              <w:t>Artículo 30. El Ejecutivo del Estado a través de la CODE, diseñara, aplicara y evaluara</w:t>
            </w:r>
          </w:p>
        </w:tc>
      </w:tr>
      <w:tr w:rsidR="00BE4721" w:rsidRPr="00695491" w14:paraId="10386B27" w14:textId="77777777" w:rsidTr="008305DC">
        <w:tc>
          <w:tcPr>
            <w:tcW w:w="1891" w:type="dxa"/>
          </w:tcPr>
          <w:p w14:paraId="508FF57F" w14:textId="77777777" w:rsidR="00AB6595" w:rsidRPr="00C5545D" w:rsidRDefault="00AB6595" w:rsidP="004E4139">
            <w:pPr>
              <w:spacing w:line="241" w:lineRule="auto"/>
              <w:ind w:right="75"/>
              <w:jc w:val="both"/>
              <w:rPr>
                <w:rFonts w:ascii="Abadi" w:hAnsi="Abadi"/>
                <w:sz w:val="21"/>
                <w:szCs w:val="21"/>
              </w:rPr>
            </w:pPr>
            <w:proofErr w:type="spellStart"/>
            <w:proofErr w:type="gramStart"/>
            <w:r w:rsidRPr="00C5545D">
              <w:rPr>
                <w:rFonts w:ascii="Abadi" w:eastAsia="Verdana" w:hAnsi="Abadi" w:cs="Verdana"/>
                <w:sz w:val="21"/>
                <w:szCs w:val="21"/>
              </w:rPr>
              <w:t>evaluara</w:t>
            </w:r>
            <w:proofErr w:type="spellEnd"/>
            <w:proofErr w:type="gramEnd"/>
            <w:r w:rsidRPr="00C5545D">
              <w:rPr>
                <w:rFonts w:ascii="Abadi" w:eastAsia="Verdana" w:hAnsi="Abadi" w:cs="Verdana"/>
                <w:sz w:val="21"/>
                <w:szCs w:val="21"/>
              </w:rPr>
              <w:t xml:space="preserve"> el Programa Estatal de Cultura Física y Deporte, el cual establecerá los objetivos, metas, estrategias, lineamientos y acciones para la difusión, promoción, fomento, capacitación, investigación, práctica, supervisión y evaluación de la cultura física y deporte, así como de las ciencias aplicadas al deporte, con la participación de los municipios y de los sectores público, social y privado. </w:t>
            </w:r>
          </w:p>
          <w:p w14:paraId="3DC9E17A" w14:textId="77777777" w:rsidR="00AB6595" w:rsidRPr="00C5545D" w:rsidRDefault="00AB6595"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04DBE515" w14:textId="77777777" w:rsidR="00AB6595" w:rsidRPr="00C5545D" w:rsidRDefault="00AB6595"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02F00F5B" w14:textId="77777777" w:rsidR="00AB6595" w:rsidRPr="00C5545D" w:rsidRDefault="00AB6595"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4E89B66D" w14:textId="77777777" w:rsidR="00AB6595" w:rsidRPr="00C5545D" w:rsidRDefault="00AB6595"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14285F6D" w14:textId="77777777" w:rsidR="00AB6595" w:rsidRPr="00C5545D" w:rsidRDefault="00AB6595"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6BE18B52" w14:textId="77777777" w:rsidR="00AB6595" w:rsidRPr="00C5545D" w:rsidRDefault="00AB6595" w:rsidP="004E4139">
            <w:pPr>
              <w:spacing w:after="2" w:line="241" w:lineRule="auto"/>
              <w:ind w:right="74"/>
              <w:jc w:val="both"/>
              <w:rPr>
                <w:rFonts w:ascii="Abadi" w:hAnsi="Abadi"/>
                <w:sz w:val="21"/>
                <w:szCs w:val="21"/>
              </w:rPr>
            </w:pPr>
            <w:r w:rsidRPr="00C5545D">
              <w:rPr>
                <w:rFonts w:ascii="Abadi" w:eastAsia="Verdana" w:hAnsi="Abadi" w:cs="Verdana"/>
                <w:sz w:val="21"/>
                <w:szCs w:val="21"/>
              </w:rPr>
              <w:t xml:space="preserve">El Programa Estatal de Cultura Física y Deporte deberá ser elaborado por la CODE en concordancia con </w:t>
            </w:r>
            <w:r w:rsidRPr="00C5545D">
              <w:rPr>
                <w:rFonts w:ascii="Abadi" w:eastAsia="Verdana" w:hAnsi="Abadi" w:cs="Verdana"/>
                <w:sz w:val="21"/>
                <w:szCs w:val="21"/>
              </w:rPr>
              <w:t xml:space="preserve">la Política Nacional de Cultura Física y Deporte, en los términos de la Ley General, la presente ley y la Ley de Planeación para el Estado de Guanajuato y sus respectivos reglamentos. </w:t>
            </w:r>
          </w:p>
          <w:p w14:paraId="60B799E2" w14:textId="77777777" w:rsidR="00BE4721" w:rsidRPr="00695491" w:rsidRDefault="00BE4721" w:rsidP="004E4139">
            <w:pPr>
              <w:ind w:right="4"/>
              <w:jc w:val="both"/>
              <w:rPr>
                <w:rFonts w:ascii="Abadi" w:hAnsi="Abadi"/>
                <w:sz w:val="21"/>
                <w:szCs w:val="21"/>
              </w:rPr>
            </w:pPr>
          </w:p>
        </w:tc>
        <w:tc>
          <w:tcPr>
            <w:tcW w:w="2073" w:type="dxa"/>
          </w:tcPr>
          <w:p w14:paraId="5574F5FE" w14:textId="77777777" w:rsidR="005362B4" w:rsidRPr="00C5545D" w:rsidRDefault="005362B4" w:rsidP="004E4139">
            <w:pPr>
              <w:spacing w:line="241" w:lineRule="auto"/>
              <w:ind w:right="72"/>
              <w:jc w:val="both"/>
              <w:rPr>
                <w:rFonts w:ascii="Abadi" w:hAnsi="Abadi"/>
                <w:sz w:val="21"/>
                <w:szCs w:val="21"/>
              </w:rPr>
            </w:pPr>
            <w:r w:rsidRPr="00C5545D">
              <w:rPr>
                <w:rFonts w:ascii="Abadi" w:eastAsia="Verdana" w:hAnsi="Abadi" w:cs="Verdana"/>
                <w:sz w:val="21"/>
                <w:szCs w:val="21"/>
              </w:rPr>
              <w:t xml:space="preserve">el Programa Estatal de Cultura Física y Deporte, el cual establecerá los objetivos, metas, estrategias, lineamientos y acciones para la difusión, promoción, fomento, capacitación, investigación, práctica, supervisión, evaluación, </w:t>
            </w:r>
            <w:r w:rsidRPr="00C5545D">
              <w:rPr>
                <w:rFonts w:ascii="Abadi" w:eastAsia="Verdana" w:hAnsi="Abadi" w:cs="Verdana"/>
                <w:b/>
                <w:sz w:val="21"/>
                <w:szCs w:val="21"/>
              </w:rPr>
              <w:t>fomentando la integración, la igualdad entre el hombre y la mujer, la inclusión de sectores vulnerables o invisibles en</w:t>
            </w:r>
            <w:r w:rsidRPr="00C5545D">
              <w:rPr>
                <w:rFonts w:ascii="Abadi" w:eastAsia="Verdana" w:hAnsi="Abadi" w:cs="Verdana"/>
                <w:sz w:val="21"/>
                <w:szCs w:val="21"/>
              </w:rPr>
              <w:t xml:space="preserve"> la cultura física y deporte , así como de las ciencias aplicadas al deporte </w:t>
            </w:r>
            <w:r w:rsidRPr="00C5545D">
              <w:rPr>
                <w:rFonts w:ascii="Abadi" w:eastAsia="Verdana" w:hAnsi="Abadi" w:cs="Verdana"/>
                <w:b/>
                <w:sz w:val="21"/>
                <w:szCs w:val="21"/>
              </w:rPr>
              <w:t>y los derechos humanos</w:t>
            </w:r>
            <w:r w:rsidRPr="00C5545D">
              <w:rPr>
                <w:rFonts w:ascii="Abadi" w:eastAsia="Verdana" w:hAnsi="Abadi" w:cs="Verdana"/>
                <w:sz w:val="21"/>
                <w:szCs w:val="21"/>
              </w:rPr>
              <w:t xml:space="preserve"> con la participación de los municipios y de los sectores público, social y privado. </w:t>
            </w:r>
          </w:p>
          <w:p w14:paraId="030DF070" w14:textId="77777777" w:rsidR="005362B4" w:rsidRPr="00C5545D" w:rsidRDefault="005362B4"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48CDA006" w14:textId="77777777" w:rsidR="005362B4" w:rsidRPr="00C5545D" w:rsidRDefault="005362B4" w:rsidP="004E4139">
            <w:pPr>
              <w:spacing w:line="259" w:lineRule="auto"/>
              <w:jc w:val="both"/>
              <w:rPr>
                <w:rFonts w:ascii="Abadi" w:hAnsi="Abadi"/>
                <w:sz w:val="21"/>
                <w:szCs w:val="21"/>
              </w:rPr>
            </w:pPr>
            <w:r w:rsidRPr="00C5545D">
              <w:rPr>
                <w:rFonts w:ascii="Abadi" w:eastAsia="Verdana" w:hAnsi="Abadi" w:cs="Verdana"/>
                <w:sz w:val="21"/>
                <w:szCs w:val="21"/>
              </w:rPr>
              <w:t xml:space="preserve"> </w:t>
            </w:r>
          </w:p>
          <w:p w14:paraId="1380EDE3" w14:textId="77777777" w:rsidR="005362B4" w:rsidRPr="00C5545D" w:rsidRDefault="005362B4" w:rsidP="004E4139">
            <w:pPr>
              <w:spacing w:line="241" w:lineRule="auto"/>
              <w:ind w:right="70"/>
              <w:jc w:val="both"/>
              <w:rPr>
                <w:rFonts w:ascii="Abadi" w:hAnsi="Abadi"/>
                <w:sz w:val="21"/>
                <w:szCs w:val="21"/>
              </w:rPr>
            </w:pPr>
            <w:r w:rsidRPr="00C5545D">
              <w:rPr>
                <w:rFonts w:ascii="Abadi" w:eastAsia="Verdana" w:hAnsi="Abadi" w:cs="Verdana"/>
                <w:sz w:val="21"/>
                <w:szCs w:val="21"/>
              </w:rPr>
              <w:t xml:space="preserve">El Programa Estatal de Cultura Física y Deporte deberá ser elaborado por la CODE en concordancia con la Política Nacional de Cultura Física y Deporte, en los términos de la Ley General, la presente ley y la Ley de Planeación para el Estado de Guanajuato y sus respectivos reglamentos. </w:t>
            </w:r>
          </w:p>
          <w:p w14:paraId="5432D091" w14:textId="77777777" w:rsidR="005362B4" w:rsidRPr="00C5545D" w:rsidRDefault="005362B4" w:rsidP="004E4139">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7E975F85" w14:textId="77777777" w:rsidR="00BE4721" w:rsidRPr="00695491" w:rsidRDefault="00BE4721" w:rsidP="004E4139">
            <w:pPr>
              <w:ind w:right="4"/>
              <w:jc w:val="both"/>
              <w:rPr>
                <w:rFonts w:ascii="Abadi" w:hAnsi="Abadi"/>
                <w:sz w:val="21"/>
                <w:szCs w:val="21"/>
              </w:rPr>
            </w:pPr>
          </w:p>
        </w:tc>
      </w:tr>
      <w:tr w:rsidR="00BE4721" w:rsidRPr="00695491" w14:paraId="50CC8DBE" w14:textId="77777777" w:rsidTr="008305DC">
        <w:tc>
          <w:tcPr>
            <w:tcW w:w="1891" w:type="dxa"/>
          </w:tcPr>
          <w:p w14:paraId="10491DA3" w14:textId="77777777" w:rsidR="00B0416C" w:rsidRPr="00C5545D" w:rsidRDefault="00B0416C" w:rsidP="00312690">
            <w:pPr>
              <w:jc w:val="both"/>
              <w:rPr>
                <w:rFonts w:ascii="Abadi" w:hAnsi="Abadi"/>
                <w:sz w:val="21"/>
                <w:szCs w:val="21"/>
              </w:rPr>
            </w:pPr>
            <w:r w:rsidRPr="00C5545D">
              <w:rPr>
                <w:rFonts w:ascii="Abadi" w:eastAsia="Verdana" w:hAnsi="Abadi" w:cs="Verdana"/>
                <w:b/>
                <w:sz w:val="21"/>
                <w:szCs w:val="21"/>
              </w:rPr>
              <w:t xml:space="preserve">Corresponsabilidad en las instalaciones deportivas </w:t>
            </w:r>
          </w:p>
          <w:p w14:paraId="60029DC6" w14:textId="77777777" w:rsidR="00B0416C" w:rsidRPr="00C5545D" w:rsidRDefault="00B0416C" w:rsidP="00312690">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5F6BB189" w14:textId="77777777" w:rsidR="00B0416C" w:rsidRPr="00C5545D" w:rsidRDefault="00B0416C" w:rsidP="00312690">
            <w:pPr>
              <w:spacing w:line="241" w:lineRule="auto"/>
              <w:ind w:right="72"/>
              <w:jc w:val="both"/>
              <w:rPr>
                <w:rFonts w:ascii="Abadi" w:hAnsi="Abadi"/>
                <w:sz w:val="21"/>
                <w:szCs w:val="21"/>
              </w:rPr>
            </w:pPr>
            <w:r w:rsidRPr="00C5545D">
              <w:rPr>
                <w:rFonts w:ascii="Abadi" w:eastAsia="Verdana" w:hAnsi="Abadi" w:cs="Verdana"/>
                <w:sz w:val="21"/>
                <w:szCs w:val="21"/>
              </w:rPr>
              <w:t xml:space="preserve">Artículo 35. El Ejecutivo del Estado y los ayuntamientos, en el ámbito de sus respectivas competencias, promoverán la construcción, remodelación, ampliación, adecuación, equipamiento, y proveerán el mantenimiento y conservación de las instalaciones y espacios necesarios, que permitan atender adecuadamente las demandas que requiera el desarrollo de la cultura física y el deporte, con la participación de los sectores social y privado. </w:t>
            </w:r>
          </w:p>
          <w:p w14:paraId="4186B13B" w14:textId="77777777" w:rsidR="00B0416C" w:rsidRPr="00C5545D" w:rsidRDefault="00B0416C" w:rsidP="00312690">
            <w:pPr>
              <w:spacing w:line="259" w:lineRule="auto"/>
              <w:jc w:val="both"/>
              <w:rPr>
                <w:rFonts w:ascii="Abadi" w:hAnsi="Abadi"/>
                <w:sz w:val="21"/>
                <w:szCs w:val="21"/>
              </w:rPr>
            </w:pPr>
            <w:r w:rsidRPr="00C5545D">
              <w:rPr>
                <w:rFonts w:ascii="Abadi" w:eastAsia="Verdana" w:hAnsi="Abadi" w:cs="Verdana"/>
                <w:sz w:val="21"/>
                <w:szCs w:val="21"/>
              </w:rPr>
              <w:t xml:space="preserve"> </w:t>
            </w:r>
          </w:p>
          <w:p w14:paraId="674A03D1" w14:textId="77777777" w:rsidR="00B0416C" w:rsidRPr="00C5545D" w:rsidRDefault="00B0416C" w:rsidP="00312690">
            <w:pPr>
              <w:spacing w:line="241" w:lineRule="auto"/>
              <w:ind w:right="76"/>
              <w:jc w:val="both"/>
              <w:rPr>
                <w:rFonts w:ascii="Abadi" w:hAnsi="Abadi"/>
                <w:sz w:val="21"/>
                <w:szCs w:val="21"/>
              </w:rPr>
            </w:pPr>
            <w:r w:rsidRPr="00C5545D">
              <w:rPr>
                <w:rFonts w:ascii="Abadi" w:eastAsia="Verdana" w:hAnsi="Abadi" w:cs="Verdana"/>
                <w:sz w:val="21"/>
                <w:szCs w:val="21"/>
              </w:rPr>
              <w:t xml:space="preserve">La CODE y los organismos municipales promoverán </w:t>
            </w:r>
            <w:r w:rsidRPr="00C5545D">
              <w:rPr>
                <w:rFonts w:ascii="Abadi" w:eastAsia="Verdana" w:hAnsi="Abadi" w:cs="Verdana"/>
                <w:sz w:val="21"/>
                <w:szCs w:val="21"/>
              </w:rPr>
              <w:lastRenderedPageBreak/>
              <w:t xml:space="preserve">acciones para el uso óptimo de las instalaciones públicas. </w:t>
            </w:r>
          </w:p>
          <w:p w14:paraId="5F737821" w14:textId="77777777" w:rsidR="00BE4721" w:rsidRPr="00695491" w:rsidRDefault="00BE4721" w:rsidP="00312690">
            <w:pPr>
              <w:ind w:right="4"/>
              <w:jc w:val="both"/>
              <w:rPr>
                <w:rFonts w:ascii="Abadi" w:hAnsi="Abadi"/>
                <w:sz w:val="21"/>
                <w:szCs w:val="21"/>
              </w:rPr>
            </w:pPr>
          </w:p>
        </w:tc>
        <w:tc>
          <w:tcPr>
            <w:tcW w:w="2073" w:type="dxa"/>
          </w:tcPr>
          <w:p w14:paraId="23ABFD3D" w14:textId="77777777" w:rsidR="00312690" w:rsidRPr="00C5545D" w:rsidRDefault="00312690" w:rsidP="00312690">
            <w:pPr>
              <w:jc w:val="both"/>
              <w:rPr>
                <w:rFonts w:ascii="Abadi" w:hAnsi="Abadi"/>
                <w:sz w:val="21"/>
                <w:szCs w:val="21"/>
              </w:rPr>
            </w:pPr>
            <w:r w:rsidRPr="00C5545D">
              <w:rPr>
                <w:rFonts w:ascii="Abadi" w:eastAsia="Verdana" w:hAnsi="Abadi" w:cs="Verdana"/>
                <w:b/>
                <w:sz w:val="21"/>
                <w:szCs w:val="21"/>
              </w:rPr>
              <w:lastRenderedPageBreak/>
              <w:t xml:space="preserve">Corresponsabilidad en las instalaciones deportivas </w:t>
            </w:r>
          </w:p>
          <w:p w14:paraId="181ECBA7" w14:textId="77777777" w:rsidR="00312690" w:rsidRPr="00C5545D" w:rsidRDefault="00312690" w:rsidP="00312690">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70778BE0" w14:textId="77777777" w:rsidR="00312690" w:rsidRPr="00C5545D" w:rsidRDefault="00312690" w:rsidP="00312690">
            <w:pPr>
              <w:spacing w:line="241" w:lineRule="auto"/>
              <w:ind w:right="75"/>
              <w:jc w:val="both"/>
              <w:rPr>
                <w:rFonts w:ascii="Abadi" w:hAnsi="Abadi"/>
                <w:sz w:val="21"/>
                <w:szCs w:val="21"/>
              </w:rPr>
            </w:pPr>
            <w:r w:rsidRPr="00C5545D">
              <w:rPr>
                <w:rFonts w:ascii="Abadi" w:eastAsia="Verdana" w:hAnsi="Abadi" w:cs="Verdana"/>
                <w:sz w:val="21"/>
                <w:szCs w:val="21"/>
              </w:rPr>
              <w:t xml:space="preserve">Artículo 35. El Ejecutivo del Estado y los ayuntamientos, en el ámbito de sus respectivas competencias, promoverán la construcción, remodelación, ampliación, adecuación, equipamiento, y proveerán el mantenimiento y conservación de las instalaciones y espacios necesarios, que permitan atender adecuadamente las demandas que requiera el desarrollo de la cultura física y el deporte, con la participación de los sectores social y privado. </w:t>
            </w:r>
          </w:p>
          <w:p w14:paraId="353DF1C8" w14:textId="77777777" w:rsidR="00312690" w:rsidRPr="00C5545D" w:rsidRDefault="00312690" w:rsidP="00312690">
            <w:pPr>
              <w:spacing w:line="259" w:lineRule="auto"/>
              <w:jc w:val="both"/>
              <w:rPr>
                <w:rFonts w:ascii="Abadi" w:hAnsi="Abadi"/>
                <w:sz w:val="21"/>
                <w:szCs w:val="21"/>
              </w:rPr>
            </w:pPr>
            <w:r w:rsidRPr="00C5545D">
              <w:rPr>
                <w:rFonts w:ascii="Abadi" w:eastAsia="Verdana" w:hAnsi="Abadi" w:cs="Verdana"/>
                <w:sz w:val="21"/>
                <w:szCs w:val="21"/>
              </w:rPr>
              <w:t xml:space="preserve"> </w:t>
            </w:r>
          </w:p>
          <w:p w14:paraId="24716498" w14:textId="77777777" w:rsidR="00312690" w:rsidRPr="00C5545D" w:rsidRDefault="00312690" w:rsidP="00312690">
            <w:pPr>
              <w:spacing w:line="259" w:lineRule="auto"/>
              <w:jc w:val="both"/>
              <w:rPr>
                <w:rFonts w:ascii="Abadi" w:hAnsi="Abadi"/>
                <w:sz w:val="21"/>
                <w:szCs w:val="21"/>
              </w:rPr>
            </w:pPr>
            <w:r w:rsidRPr="00C5545D">
              <w:rPr>
                <w:rFonts w:ascii="Abadi" w:eastAsia="Verdana" w:hAnsi="Abadi" w:cs="Verdana"/>
                <w:sz w:val="21"/>
                <w:szCs w:val="21"/>
              </w:rPr>
              <w:t xml:space="preserve"> </w:t>
            </w:r>
          </w:p>
          <w:p w14:paraId="2D2CD404" w14:textId="77777777" w:rsidR="00312690" w:rsidRPr="00C5545D" w:rsidRDefault="00312690" w:rsidP="00312690">
            <w:pPr>
              <w:spacing w:after="56" w:line="241" w:lineRule="auto"/>
              <w:ind w:right="72"/>
              <w:jc w:val="both"/>
              <w:rPr>
                <w:rFonts w:ascii="Abadi" w:hAnsi="Abadi"/>
                <w:sz w:val="21"/>
                <w:szCs w:val="21"/>
              </w:rPr>
            </w:pPr>
            <w:r w:rsidRPr="00C5545D">
              <w:rPr>
                <w:rFonts w:ascii="Abadi" w:eastAsia="Verdana" w:hAnsi="Abadi" w:cs="Verdana"/>
                <w:sz w:val="21"/>
                <w:szCs w:val="21"/>
              </w:rPr>
              <w:t xml:space="preserve">La CODE y los organismos municipales promoverán </w:t>
            </w:r>
            <w:r w:rsidRPr="00C5545D">
              <w:rPr>
                <w:rFonts w:ascii="Abadi" w:eastAsia="Verdana" w:hAnsi="Abadi" w:cs="Verdana"/>
                <w:sz w:val="21"/>
                <w:szCs w:val="21"/>
              </w:rPr>
              <w:lastRenderedPageBreak/>
              <w:t xml:space="preserve">acciones para el uso óptimo </w:t>
            </w:r>
            <w:r w:rsidRPr="00C5545D">
              <w:rPr>
                <w:rFonts w:ascii="Abadi" w:eastAsia="Verdana" w:hAnsi="Abadi" w:cs="Verdana"/>
                <w:b/>
                <w:sz w:val="21"/>
                <w:szCs w:val="21"/>
              </w:rPr>
              <w:t xml:space="preserve">y adecuaciones </w:t>
            </w:r>
            <w:r w:rsidRPr="00C5545D">
              <w:rPr>
                <w:rFonts w:ascii="Abadi" w:eastAsia="Verdana" w:hAnsi="Abadi" w:cs="Verdana"/>
                <w:sz w:val="21"/>
                <w:szCs w:val="21"/>
              </w:rPr>
              <w:t xml:space="preserve">de las instalaciones públicas, </w:t>
            </w:r>
            <w:r w:rsidRPr="00C5545D">
              <w:rPr>
                <w:rFonts w:ascii="Abadi" w:eastAsia="Verdana" w:hAnsi="Abadi" w:cs="Verdana"/>
                <w:b/>
                <w:sz w:val="21"/>
                <w:szCs w:val="21"/>
              </w:rPr>
              <w:t>con especial atención a las niñas, niños, adolescentes.</w:t>
            </w:r>
            <w:r w:rsidRPr="00C5545D">
              <w:rPr>
                <w:rFonts w:ascii="Abadi" w:eastAsia="Verdana" w:hAnsi="Abadi" w:cs="Verdana"/>
                <w:sz w:val="21"/>
                <w:szCs w:val="21"/>
              </w:rPr>
              <w:t xml:space="preserve"> </w:t>
            </w:r>
          </w:p>
          <w:p w14:paraId="6BD47655" w14:textId="77777777" w:rsidR="00BE4721" w:rsidRPr="00695491" w:rsidRDefault="00BE4721" w:rsidP="00312690">
            <w:pPr>
              <w:ind w:right="4"/>
              <w:jc w:val="both"/>
              <w:rPr>
                <w:rFonts w:ascii="Abadi" w:hAnsi="Abadi"/>
                <w:sz w:val="21"/>
                <w:szCs w:val="21"/>
              </w:rPr>
            </w:pPr>
          </w:p>
        </w:tc>
      </w:tr>
      <w:tr w:rsidR="00EC3F84" w:rsidRPr="00695491" w14:paraId="7FFFF2AB" w14:textId="77777777" w:rsidTr="008305DC">
        <w:tc>
          <w:tcPr>
            <w:tcW w:w="1891" w:type="dxa"/>
          </w:tcPr>
          <w:p w14:paraId="61A476F0" w14:textId="77777777" w:rsidR="00563402" w:rsidRPr="00C5545D" w:rsidRDefault="00563402" w:rsidP="00C87457">
            <w:pPr>
              <w:spacing w:line="259" w:lineRule="auto"/>
              <w:ind w:right="75"/>
              <w:jc w:val="both"/>
              <w:rPr>
                <w:rFonts w:ascii="Abadi" w:hAnsi="Abadi"/>
                <w:sz w:val="21"/>
                <w:szCs w:val="21"/>
              </w:rPr>
            </w:pPr>
            <w:r w:rsidRPr="00C5545D">
              <w:rPr>
                <w:rFonts w:ascii="Abadi" w:eastAsia="Verdana" w:hAnsi="Abadi" w:cs="Verdana"/>
                <w:b/>
                <w:sz w:val="21"/>
                <w:szCs w:val="21"/>
              </w:rPr>
              <w:lastRenderedPageBreak/>
              <w:t xml:space="preserve">Instalaciones deportivas públicas </w:t>
            </w:r>
          </w:p>
          <w:p w14:paraId="7D73CA72" w14:textId="77777777" w:rsidR="00563402" w:rsidRPr="00C5545D" w:rsidRDefault="00563402" w:rsidP="00C87457">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5E2A81E1" w14:textId="77777777" w:rsidR="00563402" w:rsidRPr="00C5545D" w:rsidRDefault="00563402" w:rsidP="00C87457">
            <w:pPr>
              <w:spacing w:after="2" w:line="241" w:lineRule="auto"/>
              <w:ind w:right="74"/>
              <w:jc w:val="both"/>
              <w:rPr>
                <w:rFonts w:ascii="Abadi" w:hAnsi="Abadi"/>
                <w:sz w:val="21"/>
                <w:szCs w:val="21"/>
              </w:rPr>
            </w:pPr>
            <w:r w:rsidRPr="00C5545D">
              <w:rPr>
                <w:rFonts w:ascii="Abadi" w:eastAsia="Verdana" w:hAnsi="Abadi" w:cs="Verdana"/>
                <w:sz w:val="21"/>
                <w:szCs w:val="21"/>
              </w:rPr>
              <w:t xml:space="preserve">Artículo 39. Las instalaciones deportivas públicas son aquellos centros y áreas destinados a la práctica de la cultura física y el deporte que se encuentran administrados por la CODE o los municipios. Las instalaciones deportivas públicas deberán estar puestas a disposición de la comunidad para su uso público y serán utilizadas exclusivamente para los usos de la cultura física y el deporte. </w:t>
            </w:r>
          </w:p>
          <w:p w14:paraId="1FC5885B"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780CC8F2" w14:textId="77777777" w:rsidR="00563402" w:rsidRPr="00C5545D" w:rsidRDefault="00563402" w:rsidP="00C87457">
            <w:pPr>
              <w:spacing w:after="2"/>
              <w:ind w:right="77"/>
              <w:jc w:val="both"/>
              <w:rPr>
                <w:rFonts w:ascii="Abadi" w:hAnsi="Abadi"/>
                <w:sz w:val="21"/>
                <w:szCs w:val="21"/>
              </w:rPr>
            </w:pPr>
            <w:r w:rsidRPr="00C5545D">
              <w:rPr>
                <w:rFonts w:ascii="Abadi" w:eastAsia="Verdana" w:hAnsi="Abadi" w:cs="Verdana"/>
                <w:sz w:val="21"/>
                <w:szCs w:val="21"/>
              </w:rPr>
              <w:t xml:space="preserve">Las personas que las utilicen deberán respetar los reglamentos que las regulen. </w:t>
            </w:r>
          </w:p>
          <w:p w14:paraId="1D85ED78"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35F3CA51" w14:textId="77777777" w:rsidR="00563402" w:rsidRPr="00C5545D" w:rsidRDefault="00563402" w:rsidP="00C87457">
            <w:pPr>
              <w:spacing w:line="241" w:lineRule="auto"/>
              <w:ind w:right="75"/>
              <w:jc w:val="both"/>
              <w:rPr>
                <w:rFonts w:ascii="Abadi" w:hAnsi="Abadi"/>
                <w:sz w:val="21"/>
                <w:szCs w:val="21"/>
              </w:rPr>
            </w:pPr>
            <w:r w:rsidRPr="00C5545D">
              <w:rPr>
                <w:rFonts w:ascii="Abadi" w:eastAsia="Verdana" w:hAnsi="Abadi" w:cs="Verdana"/>
                <w:sz w:val="21"/>
                <w:szCs w:val="21"/>
              </w:rPr>
              <w:t xml:space="preserve">Las instalaciones deportivas públicas deben garantizar la utilización multifuncional, teniendo en cuenta las diferentes </w:t>
            </w:r>
            <w:r w:rsidRPr="00C5545D">
              <w:rPr>
                <w:rFonts w:ascii="Abadi" w:eastAsia="Verdana" w:hAnsi="Abadi" w:cs="Verdana"/>
                <w:sz w:val="21"/>
                <w:szCs w:val="21"/>
              </w:rPr>
              <w:t xml:space="preserve">disciplinas deportivas, la máxima disponibilidad de horario. </w:t>
            </w:r>
          </w:p>
          <w:p w14:paraId="64A56854"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38A055BA"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7A059A08"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referencia </w:t>
            </w:r>
          </w:p>
          <w:p w14:paraId="43F32077"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1313CEF"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38FB9682"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26C9D278"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279C05E2"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279A8319"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DA4214F"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4C9EBBA0"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090C092"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4C38538A"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referencia. </w:t>
            </w:r>
          </w:p>
          <w:p w14:paraId="27E9BF4F"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D5D0766"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4F1BBC2"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8BCC3F0"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CB5AC73"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0A57E96" w14:textId="77777777" w:rsidR="00563402" w:rsidRPr="00C5545D" w:rsidRDefault="00563402"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referencia </w:t>
            </w:r>
          </w:p>
          <w:p w14:paraId="1EDA03EA" w14:textId="77777777" w:rsidR="00EC3F84" w:rsidRPr="00695491" w:rsidRDefault="00EC3F84" w:rsidP="00C87457">
            <w:pPr>
              <w:ind w:right="4"/>
              <w:jc w:val="both"/>
              <w:rPr>
                <w:rFonts w:ascii="Abadi" w:hAnsi="Abadi"/>
                <w:sz w:val="21"/>
                <w:szCs w:val="21"/>
              </w:rPr>
            </w:pPr>
          </w:p>
        </w:tc>
        <w:tc>
          <w:tcPr>
            <w:tcW w:w="2073" w:type="dxa"/>
          </w:tcPr>
          <w:p w14:paraId="09AB6A1C" w14:textId="77777777" w:rsidR="00034A33" w:rsidRPr="00C5545D" w:rsidRDefault="00034A33" w:rsidP="00C87457">
            <w:pPr>
              <w:spacing w:line="259" w:lineRule="auto"/>
              <w:ind w:right="76"/>
              <w:jc w:val="both"/>
              <w:rPr>
                <w:rFonts w:ascii="Abadi" w:hAnsi="Abadi"/>
                <w:sz w:val="21"/>
                <w:szCs w:val="21"/>
              </w:rPr>
            </w:pPr>
            <w:r w:rsidRPr="00C5545D">
              <w:rPr>
                <w:rFonts w:ascii="Abadi" w:eastAsia="Verdana" w:hAnsi="Abadi" w:cs="Verdana"/>
                <w:b/>
                <w:sz w:val="21"/>
                <w:szCs w:val="21"/>
              </w:rPr>
              <w:t xml:space="preserve">Instalaciones deportivas públicas </w:t>
            </w:r>
          </w:p>
          <w:p w14:paraId="10127690" w14:textId="77777777" w:rsidR="00034A33" w:rsidRPr="00C5545D" w:rsidRDefault="00034A33" w:rsidP="00C87457">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2F5B233E" w14:textId="77777777" w:rsidR="00034A33" w:rsidRPr="00C5545D" w:rsidRDefault="00034A33" w:rsidP="00C87457">
            <w:pPr>
              <w:spacing w:after="2" w:line="241" w:lineRule="auto"/>
              <w:ind w:right="72"/>
              <w:jc w:val="both"/>
              <w:rPr>
                <w:rFonts w:ascii="Abadi" w:hAnsi="Abadi"/>
                <w:sz w:val="21"/>
                <w:szCs w:val="21"/>
              </w:rPr>
            </w:pPr>
            <w:r w:rsidRPr="00C5545D">
              <w:rPr>
                <w:rFonts w:ascii="Abadi" w:eastAsia="Verdana" w:hAnsi="Abadi" w:cs="Verdana"/>
                <w:sz w:val="21"/>
                <w:szCs w:val="21"/>
              </w:rPr>
              <w:t xml:space="preserve">Artículo 39. Las instalaciones deportivas públicas son aquellos centros y áreas destinados a la práctica de la cultura física y el deporte que se encuentran administrados por la CODE o los municipios. Las instalaciones deportivas públicas deberán estar puestas a disposición de la comunidad para su uso público y serán utilizadas exclusivamente para los usos de la cultura física y el deporte. </w:t>
            </w:r>
          </w:p>
          <w:p w14:paraId="5663CC73"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4DA74A31" w14:textId="77777777" w:rsidR="00034A33" w:rsidRPr="00C5545D" w:rsidRDefault="00034A33" w:rsidP="00C87457">
            <w:pPr>
              <w:jc w:val="both"/>
              <w:rPr>
                <w:rFonts w:ascii="Abadi" w:hAnsi="Abadi"/>
                <w:sz w:val="21"/>
                <w:szCs w:val="21"/>
              </w:rPr>
            </w:pPr>
            <w:r w:rsidRPr="00C5545D">
              <w:rPr>
                <w:rFonts w:ascii="Abadi" w:eastAsia="Verdana" w:hAnsi="Abadi" w:cs="Verdana"/>
                <w:sz w:val="21"/>
                <w:szCs w:val="21"/>
              </w:rPr>
              <w:t xml:space="preserve">Las personas que las utilicen deberán respetar los reglamentos que las regulen. </w:t>
            </w:r>
          </w:p>
          <w:p w14:paraId="25D621A7"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22D5D411"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0356633" w14:textId="77777777" w:rsidR="00034A33" w:rsidRPr="00C5545D" w:rsidRDefault="00034A33" w:rsidP="00C87457">
            <w:pPr>
              <w:spacing w:line="241" w:lineRule="auto"/>
              <w:ind w:right="74"/>
              <w:jc w:val="both"/>
              <w:rPr>
                <w:rFonts w:ascii="Abadi" w:hAnsi="Abadi"/>
                <w:sz w:val="21"/>
                <w:szCs w:val="21"/>
              </w:rPr>
            </w:pPr>
            <w:r w:rsidRPr="00C5545D">
              <w:rPr>
                <w:rFonts w:ascii="Abadi" w:eastAsia="Verdana" w:hAnsi="Abadi" w:cs="Verdana"/>
                <w:sz w:val="21"/>
                <w:szCs w:val="21"/>
              </w:rPr>
              <w:t xml:space="preserve">Las instalaciones deportivas públicas deben garantizar la utilización multifuncional, teniendo en cuenta las diferentes disciplinas deportivas, la máxima disponibilidad de horario. </w:t>
            </w:r>
          </w:p>
          <w:p w14:paraId="1B9E53B9"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23FEA598" w14:textId="77777777" w:rsidR="00034A33" w:rsidRPr="00C5545D" w:rsidRDefault="00034A33" w:rsidP="00C87457">
            <w:pPr>
              <w:spacing w:after="2"/>
              <w:ind w:right="73"/>
              <w:jc w:val="both"/>
              <w:rPr>
                <w:rFonts w:ascii="Abadi" w:hAnsi="Abadi"/>
                <w:sz w:val="21"/>
                <w:szCs w:val="21"/>
              </w:rPr>
            </w:pPr>
            <w:r w:rsidRPr="00C5545D">
              <w:rPr>
                <w:rFonts w:ascii="Abadi" w:eastAsia="Verdana" w:hAnsi="Abadi" w:cs="Verdana"/>
                <w:b/>
                <w:sz w:val="21"/>
                <w:szCs w:val="21"/>
              </w:rPr>
              <w:t>En los espacios de estas instalaciones se deberá evitar acciones de discriminación de cualquier índole o preconcepciones de la masculinidad y feminidad en cualquier rama del deporte a las personas que pretendan o hagan uso hacer uso de las mismas</w:t>
            </w:r>
            <w:r w:rsidRPr="00C5545D">
              <w:rPr>
                <w:rFonts w:ascii="Abadi" w:eastAsia="Verdana" w:hAnsi="Abadi" w:cs="Verdana"/>
                <w:sz w:val="21"/>
                <w:szCs w:val="21"/>
              </w:rPr>
              <w:t xml:space="preserve">. </w:t>
            </w:r>
          </w:p>
          <w:p w14:paraId="7B2381B8"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1C347751" w14:textId="77777777" w:rsidR="00034A33" w:rsidRPr="00C5545D" w:rsidRDefault="00034A33" w:rsidP="00C87457">
            <w:pPr>
              <w:spacing w:line="241" w:lineRule="auto"/>
              <w:ind w:right="74"/>
              <w:jc w:val="both"/>
              <w:rPr>
                <w:rFonts w:ascii="Abadi" w:hAnsi="Abadi"/>
                <w:sz w:val="21"/>
                <w:szCs w:val="21"/>
              </w:rPr>
            </w:pPr>
            <w:r w:rsidRPr="00C5545D">
              <w:rPr>
                <w:rFonts w:ascii="Abadi" w:eastAsia="Verdana" w:hAnsi="Abadi" w:cs="Verdana"/>
                <w:b/>
                <w:sz w:val="21"/>
                <w:szCs w:val="21"/>
              </w:rPr>
              <w:t xml:space="preserve">Asimismo, se deberán establecer programas periódicos de entradas gratuitas a niñas, niños y adolescentes a efecto de fomentar el uso de las instalaciones y el deporte en la niñez. </w:t>
            </w:r>
          </w:p>
          <w:p w14:paraId="23D2217D" w14:textId="77777777" w:rsidR="00034A33" w:rsidRPr="00C5545D" w:rsidRDefault="00034A33"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F5B81B0" w14:textId="77777777" w:rsidR="00034A33" w:rsidRPr="00C5545D" w:rsidRDefault="00034A33" w:rsidP="00C87457">
            <w:pPr>
              <w:spacing w:after="59" w:line="241" w:lineRule="auto"/>
              <w:ind w:right="72"/>
              <w:jc w:val="both"/>
              <w:rPr>
                <w:rFonts w:ascii="Abadi" w:hAnsi="Abadi"/>
                <w:sz w:val="21"/>
                <w:szCs w:val="21"/>
              </w:rPr>
            </w:pPr>
            <w:r w:rsidRPr="00C5545D">
              <w:rPr>
                <w:rFonts w:ascii="Abadi" w:eastAsia="Verdana" w:hAnsi="Abadi" w:cs="Verdana"/>
                <w:b/>
                <w:sz w:val="21"/>
                <w:szCs w:val="21"/>
              </w:rPr>
              <w:t xml:space="preserve">Los usuarios de estas instalaciones deportivas tendrán prohibido la introducción, venta o consumo de bebidas alcohólicas, sustancias psicotrópicas o enervantes prohibidas por las leyes de la materia. La violación a esta disposición se sancionará con la clausura de las instalaciones por la autoridad competente. </w:t>
            </w:r>
          </w:p>
          <w:p w14:paraId="2CD4EFCA" w14:textId="77777777" w:rsidR="00EC3F84" w:rsidRPr="00695491" w:rsidRDefault="00EC3F84" w:rsidP="00C87457">
            <w:pPr>
              <w:ind w:right="4"/>
              <w:jc w:val="both"/>
              <w:rPr>
                <w:rFonts w:ascii="Abadi" w:hAnsi="Abadi"/>
                <w:sz w:val="21"/>
                <w:szCs w:val="21"/>
              </w:rPr>
            </w:pPr>
          </w:p>
        </w:tc>
      </w:tr>
      <w:tr w:rsidR="00FE7C41" w:rsidRPr="00695491" w14:paraId="05BCD932" w14:textId="77777777" w:rsidTr="008305DC">
        <w:tc>
          <w:tcPr>
            <w:tcW w:w="1891" w:type="dxa"/>
          </w:tcPr>
          <w:p w14:paraId="336CF21C" w14:textId="77777777" w:rsidR="00FE7C41" w:rsidRPr="00C5545D" w:rsidRDefault="00FE7C41" w:rsidP="00C87457">
            <w:pPr>
              <w:spacing w:line="259" w:lineRule="auto"/>
              <w:ind w:left="86"/>
              <w:jc w:val="both"/>
              <w:rPr>
                <w:rFonts w:ascii="Abadi" w:hAnsi="Abadi"/>
                <w:sz w:val="21"/>
                <w:szCs w:val="21"/>
              </w:rPr>
            </w:pPr>
            <w:r w:rsidRPr="00C5545D">
              <w:rPr>
                <w:rFonts w:ascii="Abadi" w:eastAsia="Verdana" w:hAnsi="Abadi" w:cs="Verdana"/>
                <w:b/>
                <w:sz w:val="21"/>
                <w:szCs w:val="21"/>
              </w:rPr>
              <w:t xml:space="preserve">Instalaciones deportivas privadas </w:t>
            </w:r>
          </w:p>
          <w:p w14:paraId="7590E6DF"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lastRenderedPageBreak/>
              <w:t xml:space="preserve"> </w:t>
            </w:r>
          </w:p>
          <w:p w14:paraId="52F5FCE2" w14:textId="77777777" w:rsidR="00FE7C41" w:rsidRPr="00C5545D" w:rsidRDefault="00FE7C41" w:rsidP="00C87457">
            <w:pPr>
              <w:spacing w:line="241" w:lineRule="auto"/>
              <w:ind w:right="73"/>
              <w:jc w:val="both"/>
              <w:rPr>
                <w:rFonts w:ascii="Abadi" w:hAnsi="Abadi"/>
                <w:sz w:val="21"/>
                <w:szCs w:val="21"/>
              </w:rPr>
            </w:pPr>
            <w:r w:rsidRPr="00C5545D">
              <w:rPr>
                <w:rFonts w:ascii="Abadi" w:eastAsia="Verdana" w:hAnsi="Abadi" w:cs="Verdana"/>
                <w:sz w:val="21"/>
                <w:szCs w:val="21"/>
              </w:rPr>
              <w:t xml:space="preserve">Artículo 40. Las instalaciones deportivas privadas, son aquellos centros y áreas destinados a la práctica de la cultura física y el deporte que se encuentran administrados por el sector privado y que tienen preponderantemente un fin de lucro. </w:t>
            </w:r>
          </w:p>
          <w:p w14:paraId="41F35E51"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307618B4" w14:textId="77777777" w:rsidR="00FE7C41" w:rsidRPr="00C5545D" w:rsidRDefault="00FE7C41" w:rsidP="00C87457">
            <w:pPr>
              <w:spacing w:line="241" w:lineRule="auto"/>
              <w:ind w:right="75"/>
              <w:jc w:val="both"/>
              <w:rPr>
                <w:rFonts w:ascii="Abadi" w:hAnsi="Abadi"/>
                <w:sz w:val="21"/>
                <w:szCs w:val="21"/>
              </w:rPr>
            </w:pPr>
            <w:r w:rsidRPr="00C5545D">
              <w:rPr>
                <w:rFonts w:ascii="Abadi" w:eastAsia="Verdana" w:hAnsi="Abadi" w:cs="Verdana"/>
                <w:sz w:val="21"/>
                <w:szCs w:val="21"/>
              </w:rPr>
              <w:t xml:space="preserve">Las instalaciones deportivas privadas, deberán contar con un espacio adecuado para la práctica deportiva, así como garantizar la seguridad de las personas que reciben servicios en las mismas. Deberán contar con las medidas de seguridad y protección civil, que determine la normatividad aplicable. </w:t>
            </w:r>
          </w:p>
          <w:p w14:paraId="3D9E6B9C"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1931EAF" w14:textId="77777777" w:rsidR="00FE7C41" w:rsidRPr="00C5545D" w:rsidRDefault="00FE7C41" w:rsidP="00C87457">
            <w:pPr>
              <w:spacing w:after="2" w:line="241" w:lineRule="auto"/>
              <w:ind w:right="75"/>
              <w:jc w:val="both"/>
              <w:rPr>
                <w:rFonts w:ascii="Abadi" w:hAnsi="Abadi"/>
                <w:sz w:val="21"/>
                <w:szCs w:val="21"/>
              </w:rPr>
            </w:pPr>
            <w:r w:rsidRPr="00C5545D">
              <w:rPr>
                <w:rFonts w:ascii="Abadi" w:eastAsia="Verdana" w:hAnsi="Abadi" w:cs="Verdana"/>
                <w:sz w:val="21"/>
                <w:szCs w:val="21"/>
              </w:rPr>
              <w:t xml:space="preserve">El personal que labore en las instalaciones deportivas privadas y que realice servicios en materia de cultura física y deporte; deberá contar con los estudios oficiales y las certificaciones necesarias para prestar dichos servicios; así </w:t>
            </w:r>
            <w:r w:rsidRPr="00C5545D">
              <w:rPr>
                <w:rFonts w:ascii="Abadi" w:eastAsia="Verdana" w:hAnsi="Abadi" w:cs="Verdana"/>
                <w:sz w:val="21"/>
                <w:szCs w:val="21"/>
              </w:rPr>
              <w:t xml:space="preserve">como estar inscritos en el Registro. </w:t>
            </w:r>
          </w:p>
          <w:p w14:paraId="040CDF58"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7CE0D62F" w14:textId="77777777" w:rsidR="00FE7C41" w:rsidRPr="00C5545D" w:rsidRDefault="00FE7C41" w:rsidP="00C87457">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5885BCA5"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1DA2F25D"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F38AD42"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referencia. </w:t>
            </w:r>
          </w:p>
          <w:p w14:paraId="0C5B7DCB"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CF58CCB"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63271C7D"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6E7CD1F5"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58F8915"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E8AC5D1"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1CD3BEF1"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250D921" w14:textId="77777777" w:rsidR="00FE7C41" w:rsidRPr="00C5545D" w:rsidRDefault="00FE7C41" w:rsidP="00C87457">
            <w:pPr>
              <w:spacing w:after="24" w:line="259" w:lineRule="auto"/>
              <w:jc w:val="both"/>
              <w:rPr>
                <w:rFonts w:ascii="Abadi" w:hAnsi="Abadi"/>
                <w:sz w:val="21"/>
                <w:szCs w:val="21"/>
              </w:rPr>
            </w:pPr>
            <w:r w:rsidRPr="00C5545D">
              <w:rPr>
                <w:rFonts w:ascii="Abadi" w:eastAsia="Verdana" w:hAnsi="Abadi" w:cs="Verdana"/>
                <w:b/>
                <w:sz w:val="21"/>
                <w:szCs w:val="21"/>
              </w:rPr>
              <w:t xml:space="preserve"> </w:t>
            </w:r>
          </w:p>
          <w:p w14:paraId="72A67597"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referencia </w:t>
            </w:r>
          </w:p>
          <w:p w14:paraId="76FA214F"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74DCC36A"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5441B31E"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7781583E"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7EF2AE2" w14:textId="38233444" w:rsidR="00FE7C41" w:rsidRPr="00695491" w:rsidRDefault="00FE7C41" w:rsidP="00C87457">
            <w:pPr>
              <w:ind w:right="4"/>
              <w:jc w:val="both"/>
              <w:rPr>
                <w:rFonts w:ascii="Abadi" w:hAnsi="Abadi"/>
                <w:sz w:val="21"/>
                <w:szCs w:val="21"/>
              </w:rPr>
            </w:pPr>
            <w:r w:rsidRPr="00C5545D">
              <w:rPr>
                <w:rFonts w:ascii="Abadi" w:eastAsia="Verdana" w:hAnsi="Abadi" w:cs="Verdana"/>
                <w:b/>
                <w:sz w:val="21"/>
                <w:szCs w:val="21"/>
              </w:rPr>
              <w:t xml:space="preserve">          </w:t>
            </w:r>
          </w:p>
        </w:tc>
        <w:tc>
          <w:tcPr>
            <w:tcW w:w="2073" w:type="dxa"/>
          </w:tcPr>
          <w:p w14:paraId="749950E3" w14:textId="77777777" w:rsidR="00FE7C41" w:rsidRPr="00C5545D" w:rsidRDefault="00FE7C41" w:rsidP="00C87457">
            <w:pPr>
              <w:spacing w:line="259" w:lineRule="auto"/>
              <w:ind w:right="75"/>
              <w:jc w:val="both"/>
              <w:rPr>
                <w:rFonts w:ascii="Abadi" w:hAnsi="Abadi"/>
                <w:sz w:val="21"/>
                <w:szCs w:val="21"/>
              </w:rPr>
            </w:pPr>
            <w:r w:rsidRPr="00C5545D">
              <w:rPr>
                <w:rFonts w:ascii="Abadi" w:eastAsia="Verdana" w:hAnsi="Abadi" w:cs="Verdana"/>
                <w:b/>
                <w:sz w:val="21"/>
                <w:szCs w:val="21"/>
              </w:rPr>
              <w:lastRenderedPageBreak/>
              <w:t xml:space="preserve">Instalaciones deportivas privadas </w:t>
            </w:r>
          </w:p>
          <w:p w14:paraId="38C10EAC"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15CC036" w14:textId="77777777" w:rsidR="00FE7C41" w:rsidRPr="00C5545D" w:rsidRDefault="00FE7C41" w:rsidP="00C87457">
            <w:pPr>
              <w:spacing w:line="241" w:lineRule="auto"/>
              <w:ind w:right="74"/>
              <w:jc w:val="both"/>
              <w:rPr>
                <w:rFonts w:ascii="Abadi" w:hAnsi="Abadi"/>
                <w:sz w:val="21"/>
                <w:szCs w:val="21"/>
              </w:rPr>
            </w:pPr>
            <w:r w:rsidRPr="00C5545D">
              <w:rPr>
                <w:rFonts w:ascii="Abadi" w:eastAsia="Verdana" w:hAnsi="Abadi" w:cs="Verdana"/>
                <w:sz w:val="21"/>
                <w:szCs w:val="21"/>
              </w:rPr>
              <w:lastRenderedPageBreak/>
              <w:t xml:space="preserve">Artículo 40. Las instalaciones deportivas privadas, son aquellos centros y áreas destinados a la práctica de la cultura física y el deporte que se encuentran administrados por el sector privado y que tienen preponderantemente un fin de lucro. </w:t>
            </w:r>
          </w:p>
          <w:p w14:paraId="3E46CEC1"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3D76949C"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92FFDFD" w14:textId="77777777" w:rsidR="00FE7C41" w:rsidRPr="00C5545D" w:rsidRDefault="00FE7C41" w:rsidP="00C87457">
            <w:pPr>
              <w:spacing w:line="241" w:lineRule="auto"/>
              <w:ind w:right="73"/>
              <w:jc w:val="both"/>
              <w:rPr>
                <w:rFonts w:ascii="Abadi" w:hAnsi="Abadi"/>
                <w:sz w:val="21"/>
                <w:szCs w:val="21"/>
              </w:rPr>
            </w:pPr>
            <w:r w:rsidRPr="00C5545D">
              <w:rPr>
                <w:rFonts w:ascii="Abadi" w:eastAsia="Verdana" w:hAnsi="Abadi" w:cs="Verdana"/>
                <w:sz w:val="21"/>
                <w:szCs w:val="21"/>
              </w:rPr>
              <w:t xml:space="preserve">Las instalaciones deportivas privadas, deberán contar con un espacio adecuado para la práctica deportiva, así como garantizar la seguridad de las personas que reciben servicios en las mismas. Deberán contar con las medidas de seguridad y protección civil, que determine la normatividad aplicable. </w:t>
            </w:r>
          </w:p>
          <w:p w14:paraId="112F9A2C"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A3A337E"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55D65ABD" w14:textId="77777777" w:rsidR="00FE7C41" w:rsidRPr="00C5545D" w:rsidRDefault="00FE7C41" w:rsidP="00C87457">
            <w:pPr>
              <w:spacing w:after="2" w:line="241" w:lineRule="auto"/>
              <w:ind w:right="73"/>
              <w:jc w:val="both"/>
              <w:rPr>
                <w:rFonts w:ascii="Abadi" w:hAnsi="Abadi"/>
                <w:sz w:val="21"/>
                <w:szCs w:val="21"/>
              </w:rPr>
            </w:pPr>
            <w:r w:rsidRPr="00C5545D">
              <w:rPr>
                <w:rFonts w:ascii="Abadi" w:eastAsia="Verdana" w:hAnsi="Abadi" w:cs="Verdana"/>
                <w:sz w:val="21"/>
                <w:szCs w:val="21"/>
              </w:rPr>
              <w:t>El personal que labore en las instalaciones deportivas privadas y que realice servicios en materia de cultura física y deporte; deberá contar con los estudios oficiales y las certificaciones necesarias para prestar dichos servicios</w:t>
            </w:r>
            <w:r w:rsidRPr="00C5545D">
              <w:rPr>
                <w:rFonts w:ascii="Abadi" w:eastAsia="Verdana" w:hAnsi="Abadi" w:cs="Verdana"/>
                <w:b/>
                <w:sz w:val="21"/>
                <w:szCs w:val="21"/>
              </w:rPr>
              <w:t>, así como en derechos humanos</w:t>
            </w:r>
            <w:r w:rsidRPr="00C5545D">
              <w:rPr>
                <w:rFonts w:ascii="Abadi" w:eastAsia="Verdana" w:hAnsi="Abadi" w:cs="Verdana"/>
                <w:sz w:val="21"/>
                <w:szCs w:val="21"/>
              </w:rPr>
              <w:t xml:space="preserve">; así como estar inscritos en el Registro. </w:t>
            </w:r>
          </w:p>
          <w:p w14:paraId="1B63E911"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2F0F3EF" w14:textId="77777777" w:rsidR="00FE7C41" w:rsidRPr="00C5545D" w:rsidRDefault="00FE7C41" w:rsidP="00C87457">
            <w:pPr>
              <w:spacing w:line="241" w:lineRule="auto"/>
              <w:ind w:right="73"/>
              <w:jc w:val="both"/>
              <w:rPr>
                <w:rFonts w:ascii="Abadi" w:hAnsi="Abadi"/>
                <w:sz w:val="21"/>
                <w:szCs w:val="21"/>
              </w:rPr>
            </w:pPr>
            <w:r w:rsidRPr="00C5545D">
              <w:rPr>
                <w:rFonts w:ascii="Abadi" w:eastAsia="Verdana" w:hAnsi="Abadi" w:cs="Verdana"/>
                <w:b/>
                <w:sz w:val="21"/>
                <w:szCs w:val="21"/>
              </w:rPr>
              <w:t>En los espacios de estas instalaciones se deberá evitar acciones de discriminación de cualquier índole o preconcepciones de la masculinidad y feminidad en cualquier rama del deporte a las personas que pretendan o hagan uso hacer uso de las mismas</w:t>
            </w:r>
            <w:r w:rsidRPr="00C5545D">
              <w:rPr>
                <w:rFonts w:ascii="Abadi" w:eastAsia="Verdana" w:hAnsi="Abadi" w:cs="Verdana"/>
                <w:sz w:val="21"/>
                <w:szCs w:val="21"/>
              </w:rPr>
              <w:t xml:space="preserve">. </w:t>
            </w:r>
          </w:p>
          <w:p w14:paraId="50CB11F5" w14:textId="77777777" w:rsidR="00FE7C41" w:rsidRPr="00C5545D" w:rsidRDefault="00FE7C41"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7D4CC8B6" w14:textId="197CC0B1" w:rsidR="00FE7C41" w:rsidRPr="00695491" w:rsidRDefault="00FE7C41" w:rsidP="00C87457">
            <w:pPr>
              <w:ind w:right="4"/>
              <w:jc w:val="both"/>
              <w:rPr>
                <w:rFonts w:ascii="Abadi" w:hAnsi="Abadi"/>
                <w:sz w:val="21"/>
                <w:szCs w:val="21"/>
              </w:rPr>
            </w:pPr>
            <w:r w:rsidRPr="00C5545D">
              <w:rPr>
                <w:rFonts w:ascii="Abadi" w:eastAsia="Verdana" w:hAnsi="Abadi" w:cs="Verdana"/>
                <w:b/>
                <w:sz w:val="21"/>
                <w:szCs w:val="21"/>
              </w:rPr>
              <w:t>Queda prohibido a los usuarios de estas instalaciones deportivas la introducción, venta o consumo de bebidas alcohólicas, sustancias psicotrópicas o enervantes prohibidas por las leyes de la materia. La violación a esta disposición se sancionará con la clausura de las instalaciones por la autoridad competente.</w:t>
            </w:r>
            <w:r w:rsidRPr="00C5545D">
              <w:rPr>
                <w:rFonts w:ascii="Abadi" w:eastAsia="Verdana" w:hAnsi="Abadi" w:cs="Verdana"/>
                <w:sz w:val="21"/>
                <w:szCs w:val="21"/>
              </w:rPr>
              <w:t xml:space="preserve"> </w:t>
            </w:r>
          </w:p>
        </w:tc>
      </w:tr>
      <w:tr w:rsidR="00FE7C41" w:rsidRPr="00695491" w14:paraId="3A15F837" w14:textId="77777777" w:rsidTr="008305DC">
        <w:tc>
          <w:tcPr>
            <w:tcW w:w="1891" w:type="dxa"/>
          </w:tcPr>
          <w:p w14:paraId="06DD9540" w14:textId="77777777" w:rsidR="00BE5E51" w:rsidRPr="00C5545D" w:rsidRDefault="00BE5E51" w:rsidP="00C87457">
            <w:pPr>
              <w:spacing w:line="259" w:lineRule="auto"/>
              <w:ind w:right="76"/>
              <w:jc w:val="both"/>
              <w:rPr>
                <w:rFonts w:ascii="Abadi" w:hAnsi="Abadi"/>
                <w:sz w:val="21"/>
                <w:szCs w:val="21"/>
              </w:rPr>
            </w:pPr>
            <w:r w:rsidRPr="00C5545D">
              <w:rPr>
                <w:rFonts w:ascii="Abadi" w:eastAsia="Verdana" w:hAnsi="Abadi" w:cs="Verdana"/>
                <w:b/>
                <w:sz w:val="21"/>
                <w:szCs w:val="21"/>
              </w:rPr>
              <w:lastRenderedPageBreak/>
              <w:t xml:space="preserve">Objeto del Sistema Municipal de </w:t>
            </w:r>
          </w:p>
          <w:p w14:paraId="7DB36B7F" w14:textId="77777777" w:rsidR="00BE5E51" w:rsidRPr="00C5545D" w:rsidRDefault="00BE5E51" w:rsidP="00C87457">
            <w:pPr>
              <w:spacing w:line="259" w:lineRule="auto"/>
              <w:ind w:right="75"/>
              <w:jc w:val="both"/>
              <w:rPr>
                <w:rFonts w:ascii="Abadi" w:hAnsi="Abadi"/>
                <w:sz w:val="21"/>
                <w:szCs w:val="21"/>
              </w:rPr>
            </w:pPr>
            <w:r w:rsidRPr="00C5545D">
              <w:rPr>
                <w:rFonts w:ascii="Abadi" w:eastAsia="Verdana" w:hAnsi="Abadi" w:cs="Verdana"/>
                <w:b/>
                <w:sz w:val="21"/>
                <w:szCs w:val="21"/>
              </w:rPr>
              <w:t xml:space="preserve">Cultura Física y Deporte </w:t>
            </w:r>
          </w:p>
          <w:p w14:paraId="672FF0A1" w14:textId="77777777" w:rsidR="00BE5E51" w:rsidRPr="00C5545D" w:rsidRDefault="00BE5E51" w:rsidP="00C87457">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278B3A0D" w14:textId="352F3651" w:rsidR="00FE7C41" w:rsidRPr="00695491" w:rsidRDefault="00BE5E51" w:rsidP="00C87457">
            <w:pPr>
              <w:ind w:right="4"/>
              <w:jc w:val="both"/>
              <w:rPr>
                <w:rFonts w:ascii="Abadi" w:hAnsi="Abadi"/>
                <w:sz w:val="21"/>
                <w:szCs w:val="21"/>
              </w:rPr>
            </w:pPr>
            <w:r w:rsidRPr="00C5545D">
              <w:rPr>
                <w:rFonts w:ascii="Abadi" w:eastAsia="Verdana" w:hAnsi="Abadi" w:cs="Verdana"/>
                <w:sz w:val="21"/>
                <w:szCs w:val="21"/>
              </w:rPr>
              <w:t>Artículo 42. El Sistema Municipal de Cultura Física y Deporte tiene como</w:t>
            </w:r>
          </w:p>
        </w:tc>
        <w:tc>
          <w:tcPr>
            <w:tcW w:w="2073" w:type="dxa"/>
          </w:tcPr>
          <w:p w14:paraId="366B37DB" w14:textId="77777777" w:rsidR="00FE390F" w:rsidRPr="00C5545D" w:rsidRDefault="00FE390F" w:rsidP="00C87457">
            <w:pPr>
              <w:spacing w:line="259" w:lineRule="auto"/>
              <w:ind w:right="76"/>
              <w:jc w:val="both"/>
              <w:rPr>
                <w:rFonts w:ascii="Abadi" w:hAnsi="Abadi"/>
                <w:sz w:val="21"/>
                <w:szCs w:val="21"/>
              </w:rPr>
            </w:pPr>
            <w:r w:rsidRPr="00C5545D">
              <w:rPr>
                <w:rFonts w:ascii="Abadi" w:eastAsia="Verdana" w:hAnsi="Abadi" w:cs="Verdana"/>
                <w:b/>
                <w:sz w:val="21"/>
                <w:szCs w:val="21"/>
              </w:rPr>
              <w:t xml:space="preserve">Objeto del Sistema Municipal de </w:t>
            </w:r>
          </w:p>
          <w:p w14:paraId="4A4AA520" w14:textId="77777777" w:rsidR="00FE390F" w:rsidRPr="00C5545D" w:rsidRDefault="00FE390F" w:rsidP="00C87457">
            <w:pPr>
              <w:spacing w:line="259" w:lineRule="auto"/>
              <w:ind w:right="75"/>
              <w:jc w:val="both"/>
              <w:rPr>
                <w:rFonts w:ascii="Abadi" w:hAnsi="Abadi"/>
                <w:sz w:val="21"/>
                <w:szCs w:val="21"/>
              </w:rPr>
            </w:pPr>
            <w:r w:rsidRPr="00C5545D">
              <w:rPr>
                <w:rFonts w:ascii="Abadi" w:eastAsia="Verdana" w:hAnsi="Abadi" w:cs="Verdana"/>
                <w:b/>
                <w:sz w:val="21"/>
                <w:szCs w:val="21"/>
              </w:rPr>
              <w:t xml:space="preserve">Cultura Física y Deporte </w:t>
            </w:r>
          </w:p>
          <w:p w14:paraId="2CAD8AED" w14:textId="77777777" w:rsidR="00FE390F" w:rsidRPr="00C5545D" w:rsidRDefault="00FE390F" w:rsidP="00C87457">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233EC4F0" w14:textId="18B778D2" w:rsidR="00FE7C41" w:rsidRPr="00695491" w:rsidRDefault="00FE390F" w:rsidP="00C87457">
            <w:pPr>
              <w:ind w:right="4"/>
              <w:jc w:val="both"/>
              <w:rPr>
                <w:rFonts w:ascii="Abadi" w:hAnsi="Abadi"/>
                <w:sz w:val="21"/>
                <w:szCs w:val="21"/>
              </w:rPr>
            </w:pPr>
            <w:r w:rsidRPr="00C5545D">
              <w:rPr>
                <w:rFonts w:ascii="Abadi" w:eastAsia="Verdana" w:hAnsi="Abadi" w:cs="Verdana"/>
                <w:sz w:val="21"/>
                <w:szCs w:val="21"/>
              </w:rPr>
              <w:t>Artículo 42. El Sistema Municipal de Cultura Física y Deporte tiene como objeto generar</w:t>
            </w:r>
          </w:p>
        </w:tc>
      </w:tr>
      <w:tr w:rsidR="00C72CA7" w:rsidRPr="00695491" w14:paraId="71543A36" w14:textId="77777777" w:rsidTr="008305DC">
        <w:tc>
          <w:tcPr>
            <w:tcW w:w="1891" w:type="dxa"/>
          </w:tcPr>
          <w:p w14:paraId="7A446413" w14:textId="77777777" w:rsidR="00C72CA7" w:rsidRPr="00C5545D" w:rsidRDefault="00C72CA7" w:rsidP="00C87457">
            <w:pPr>
              <w:spacing w:line="241" w:lineRule="auto"/>
              <w:ind w:right="72"/>
              <w:jc w:val="both"/>
              <w:rPr>
                <w:rFonts w:ascii="Abadi" w:hAnsi="Abadi"/>
                <w:sz w:val="21"/>
                <w:szCs w:val="21"/>
              </w:rPr>
            </w:pPr>
            <w:r w:rsidRPr="00C5545D">
              <w:rPr>
                <w:rFonts w:ascii="Abadi" w:eastAsia="Verdana" w:hAnsi="Abadi" w:cs="Verdana"/>
                <w:sz w:val="21"/>
                <w:szCs w:val="21"/>
              </w:rPr>
              <w:t xml:space="preserve">objeto generar acciones, financiamientos y programas necesarios para la coordinación, </w:t>
            </w:r>
            <w:r w:rsidRPr="00C5545D">
              <w:rPr>
                <w:rFonts w:ascii="Abadi" w:eastAsia="Verdana" w:hAnsi="Abadi" w:cs="Verdana"/>
                <w:sz w:val="21"/>
                <w:szCs w:val="21"/>
              </w:rPr>
              <w:lastRenderedPageBreak/>
              <w:t xml:space="preserve">fomento, investigación, apoyo, promoción, difusión y desarrollo de la cultura física y del deporte así como el óptimo aprovechamiento de los recursos humanos, financieros y materiales en el ámbito municipal. </w:t>
            </w:r>
          </w:p>
          <w:p w14:paraId="2CC036D9" w14:textId="77777777" w:rsidR="00C72CA7" w:rsidRPr="00C5545D" w:rsidRDefault="00C72CA7"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504E5BE" w14:textId="77777777" w:rsidR="00C72CA7" w:rsidRPr="00C5545D" w:rsidRDefault="00C72CA7"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07EE8BBC" w14:textId="77777777" w:rsidR="00C72CA7" w:rsidRPr="00C5545D" w:rsidRDefault="00C72CA7"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5735960" w14:textId="77777777" w:rsidR="00C72CA7" w:rsidRPr="00C5545D" w:rsidRDefault="00C72CA7"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1538ACEA" w14:textId="77777777" w:rsidR="00C72CA7" w:rsidRPr="00C5545D" w:rsidRDefault="00C72CA7" w:rsidP="00C87457">
            <w:pPr>
              <w:ind w:right="75"/>
              <w:jc w:val="both"/>
              <w:rPr>
                <w:rFonts w:ascii="Abadi" w:hAnsi="Abadi"/>
                <w:sz w:val="21"/>
                <w:szCs w:val="21"/>
              </w:rPr>
            </w:pPr>
            <w:r w:rsidRPr="00C5545D">
              <w:rPr>
                <w:rFonts w:ascii="Abadi" w:eastAsia="Verdana" w:hAnsi="Abadi" w:cs="Verdana"/>
                <w:sz w:val="21"/>
                <w:szCs w:val="21"/>
              </w:rPr>
              <w:t xml:space="preserve">El organismo municipal, será la autoridad que funja como coordinadora dentro del desarrollo, actividades y funcionamiento del Sistema Municipal de Cultura Física y Deporte, de acuerdo a sus respectivas atribuciones. </w:t>
            </w:r>
          </w:p>
          <w:p w14:paraId="3A4E5C35" w14:textId="77777777" w:rsidR="00C72CA7" w:rsidRPr="00C5545D" w:rsidRDefault="00C72CA7"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B3436DE" w14:textId="77777777" w:rsidR="00C72CA7" w:rsidRPr="00C5545D" w:rsidRDefault="00C72CA7" w:rsidP="00C87457">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77E02554" w14:textId="4D29C5C7" w:rsidR="00C72CA7" w:rsidRPr="00695491" w:rsidRDefault="00C72CA7" w:rsidP="00C87457">
            <w:pPr>
              <w:ind w:right="4"/>
              <w:jc w:val="both"/>
              <w:rPr>
                <w:rFonts w:ascii="Abadi" w:hAnsi="Abadi"/>
                <w:sz w:val="21"/>
                <w:szCs w:val="21"/>
              </w:rPr>
            </w:pPr>
            <w:r w:rsidRPr="00C5545D">
              <w:rPr>
                <w:rFonts w:ascii="Abadi" w:eastAsia="Verdana" w:hAnsi="Abadi" w:cs="Verdana"/>
                <w:sz w:val="21"/>
                <w:szCs w:val="21"/>
              </w:rPr>
              <w:t xml:space="preserve"> </w:t>
            </w:r>
          </w:p>
        </w:tc>
        <w:tc>
          <w:tcPr>
            <w:tcW w:w="2073" w:type="dxa"/>
          </w:tcPr>
          <w:p w14:paraId="298025BB" w14:textId="77777777" w:rsidR="00707F4B" w:rsidRPr="00C5545D" w:rsidRDefault="00707F4B" w:rsidP="00C87457">
            <w:pPr>
              <w:spacing w:line="241" w:lineRule="auto"/>
              <w:ind w:right="73"/>
              <w:jc w:val="both"/>
              <w:rPr>
                <w:rFonts w:ascii="Abadi" w:hAnsi="Abadi"/>
                <w:sz w:val="21"/>
                <w:szCs w:val="21"/>
              </w:rPr>
            </w:pPr>
            <w:r w:rsidRPr="00C5545D">
              <w:rPr>
                <w:rFonts w:ascii="Abadi" w:eastAsia="Verdana" w:hAnsi="Abadi" w:cs="Verdana"/>
                <w:sz w:val="21"/>
                <w:szCs w:val="21"/>
              </w:rPr>
              <w:lastRenderedPageBreak/>
              <w:t xml:space="preserve">acciones, financiamientos y programas necesarios para la coordinación, fomento, </w:t>
            </w:r>
            <w:r w:rsidRPr="00C5545D">
              <w:rPr>
                <w:rFonts w:ascii="Abadi" w:eastAsia="Verdana" w:hAnsi="Abadi" w:cs="Verdana"/>
                <w:sz w:val="21"/>
                <w:szCs w:val="21"/>
              </w:rPr>
              <w:lastRenderedPageBreak/>
              <w:t xml:space="preserve">investigación, apoyo, promoción, difusión y desarrollo de la cultura física y del deporte así como el óptimo aprovechamiento de los recursos humanos, financieros y materiales en el ámbito municipal, </w:t>
            </w:r>
            <w:r w:rsidRPr="00C5545D">
              <w:rPr>
                <w:rFonts w:ascii="Abadi" w:eastAsia="Verdana" w:hAnsi="Abadi" w:cs="Verdana"/>
                <w:b/>
                <w:sz w:val="21"/>
                <w:szCs w:val="21"/>
              </w:rPr>
              <w:t>fomentando la integración social, la igualdad entre el hombre y la mujer, la inclusión de sectores vulnerables o invisibles y los derechos humanos</w:t>
            </w:r>
            <w:r w:rsidRPr="00C5545D">
              <w:rPr>
                <w:rFonts w:ascii="Abadi" w:eastAsia="Verdana" w:hAnsi="Abadi" w:cs="Verdana"/>
                <w:sz w:val="21"/>
                <w:szCs w:val="21"/>
              </w:rPr>
              <w:t xml:space="preserve">. </w:t>
            </w:r>
          </w:p>
          <w:p w14:paraId="343451D3" w14:textId="77777777" w:rsidR="00707F4B" w:rsidRPr="00C5545D" w:rsidRDefault="00707F4B"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5633CBCA" w14:textId="77777777" w:rsidR="00707F4B" w:rsidRPr="00C5545D" w:rsidRDefault="00707F4B"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1C1DF0CE" w14:textId="77777777" w:rsidR="00707F4B" w:rsidRPr="00C5545D" w:rsidRDefault="00707F4B" w:rsidP="00C87457">
            <w:pPr>
              <w:spacing w:line="259" w:lineRule="auto"/>
              <w:jc w:val="both"/>
              <w:rPr>
                <w:rFonts w:ascii="Abadi" w:hAnsi="Abadi"/>
                <w:sz w:val="21"/>
                <w:szCs w:val="21"/>
              </w:rPr>
            </w:pPr>
            <w:r w:rsidRPr="00C5545D">
              <w:rPr>
                <w:rFonts w:ascii="Abadi" w:eastAsia="Verdana" w:hAnsi="Abadi" w:cs="Verdana"/>
                <w:sz w:val="21"/>
                <w:szCs w:val="21"/>
              </w:rPr>
              <w:t xml:space="preserve">El organismo municipal... </w:t>
            </w:r>
          </w:p>
          <w:p w14:paraId="43ABE24E" w14:textId="77777777" w:rsidR="00707F4B" w:rsidRPr="00C5545D" w:rsidRDefault="00707F4B" w:rsidP="00C87457">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3415B183" w14:textId="77777777" w:rsidR="00707F4B" w:rsidRPr="00C5545D" w:rsidRDefault="00707F4B" w:rsidP="00C87457">
            <w:pPr>
              <w:spacing w:line="259" w:lineRule="auto"/>
              <w:jc w:val="both"/>
              <w:rPr>
                <w:rFonts w:ascii="Abadi" w:hAnsi="Abadi"/>
                <w:sz w:val="21"/>
                <w:szCs w:val="21"/>
              </w:rPr>
            </w:pPr>
            <w:r w:rsidRPr="00C5545D">
              <w:rPr>
                <w:rFonts w:ascii="Abadi" w:eastAsia="Verdana" w:hAnsi="Abadi" w:cs="Verdana"/>
                <w:sz w:val="21"/>
                <w:szCs w:val="21"/>
              </w:rPr>
              <w:t xml:space="preserve"> </w:t>
            </w:r>
          </w:p>
          <w:p w14:paraId="6D04EF10" w14:textId="77777777" w:rsidR="00C72CA7" w:rsidRPr="00695491" w:rsidRDefault="00C72CA7" w:rsidP="00C87457">
            <w:pPr>
              <w:ind w:right="4"/>
              <w:jc w:val="both"/>
              <w:rPr>
                <w:rFonts w:ascii="Abadi" w:hAnsi="Abadi"/>
                <w:sz w:val="21"/>
                <w:szCs w:val="21"/>
              </w:rPr>
            </w:pPr>
          </w:p>
        </w:tc>
      </w:tr>
      <w:tr w:rsidR="00C72CA7" w:rsidRPr="00695491" w14:paraId="2CDA11C6" w14:textId="77777777" w:rsidTr="008305DC">
        <w:tc>
          <w:tcPr>
            <w:tcW w:w="1891" w:type="dxa"/>
          </w:tcPr>
          <w:p w14:paraId="456EC05D" w14:textId="77777777" w:rsidR="001571F4" w:rsidRPr="00C5545D" w:rsidRDefault="001571F4" w:rsidP="00264BC9">
            <w:pPr>
              <w:spacing w:line="244" w:lineRule="auto"/>
              <w:ind w:firstLine="367"/>
              <w:jc w:val="both"/>
              <w:rPr>
                <w:rFonts w:ascii="Abadi" w:hAnsi="Abadi"/>
                <w:sz w:val="21"/>
                <w:szCs w:val="21"/>
              </w:rPr>
            </w:pPr>
            <w:r w:rsidRPr="00C5545D">
              <w:rPr>
                <w:rFonts w:ascii="Abadi" w:eastAsia="Verdana" w:hAnsi="Abadi" w:cs="Verdana"/>
                <w:b/>
                <w:sz w:val="21"/>
                <w:szCs w:val="21"/>
              </w:rPr>
              <w:lastRenderedPageBreak/>
              <w:t xml:space="preserve">Atribuciones de los organismos municipales </w:t>
            </w:r>
            <w:r w:rsidRPr="00C5545D">
              <w:rPr>
                <w:rFonts w:ascii="Abadi" w:eastAsia="Verdana" w:hAnsi="Abadi" w:cs="Verdana"/>
                <w:sz w:val="21"/>
                <w:szCs w:val="21"/>
              </w:rPr>
              <w:t xml:space="preserve">Artículo </w:t>
            </w:r>
            <w:r w:rsidRPr="00C5545D">
              <w:rPr>
                <w:rFonts w:ascii="Abadi" w:eastAsia="Verdana" w:hAnsi="Abadi" w:cs="Verdana"/>
                <w:sz w:val="21"/>
                <w:szCs w:val="21"/>
              </w:rPr>
              <w:tab/>
              <w:t xml:space="preserve">45. </w:t>
            </w:r>
            <w:r w:rsidRPr="00C5545D">
              <w:rPr>
                <w:rFonts w:ascii="Abadi" w:eastAsia="Verdana" w:hAnsi="Abadi" w:cs="Verdana"/>
                <w:sz w:val="21"/>
                <w:szCs w:val="21"/>
              </w:rPr>
              <w:tab/>
              <w:t xml:space="preserve">Los </w:t>
            </w:r>
            <w:r w:rsidRPr="00C5545D">
              <w:rPr>
                <w:rFonts w:ascii="Abadi" w:eastAsia="Verdana" w:hAnsi="Abadi" w:cs="Verdana"/>
                <w:sz w:val="21"/>
                <w:szCs w:val="21"/>
              </w:rPr>
              <w:tab/>
              <w:t xml:space="preserve">organismos municipales, en el ámbito de su competencia, tendrán las siguientes atribuciones: </w:t>
            </w:r>
          </w:p>
          <w:p w14:paraId="44D67B2A"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33FC9C1" w14:textId="77777777" w:rsidR="001571F4" w:rsidRPr="00C5545D" w:rsidRDefault="001571F4" w:rsidP="00264BC9">
            <w:pPr>
              <w:numPr>
                <w:ilvl w:val="0"/>
                <w:numId w:val="113"/>
              </w:numPr>
              <w:spacing w:after="2"/>
              <w:ind w:right="75"/>
              <w:jc w:val="both"/>
              <w:rPr>
                <w:rFonts w:ascii="Abadi" w:hAnsi="Abadi"/>
                <w:sz w:val="21"/>
                <w:szCs w:val="21"/>
              </w:rPr>
            </w:pPr>
            <w:r w:rsidRPr="00C5545D">
              <w:rPr>
                <w:rFonts w:ascii="Abadi" w:eastAsia="Verdana" w:hAnsi="Abadi" w:cs="Verdana"/>
                <w:sz w:val="21"/>
                <w:szCs w:val="21"/>
              </w:rPr>
              <w:t xml:space="preserve">Proponer, coordinar y </w:t>
            </w:r>
            <w:r w:rsidRPr="00C5545D">
              <w:rPr>
                <w:rFonts w:ascii="Abadi" w:eastAsia="Verdana" w:hAnsi="Abadi" w:cs="Verdana"/>
                <w:sz w:val="21"/>
                <w:szCs w:val="21"/>
              </w:rPr>
              <w:t xml:space="preserve">evaluar la cultura física y el deporte en el municipio; </w:t>
            </w:r>
          </w:p>
          <w:p w14:paraId="712BE699"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C3A7497" w14:textId="77777777" w:rsidR="001571F4" w:rsidRPr="00C5545D" w:rsidRDefault="001571F4" w:rsidP="00264BC9">
            <w:pPr>
              <w:numPr>
                <w:ilvl w:val="0"/>
                <w:numId w:val="113"/>
              </w:numPr>
              <w:spacing w:line="241" w:lineRule="auto"/>
              <w:ind w:right="75"/>
              <w:jc w:val="both"/>
              <w:rPr>
                <w:rFonts w:ascii="Abadi" w:hAnsi="Abadi"/>
                <w:sz w:val="21"/>
                <w:szCs w:val="21"/>
              </w:rPr>
            </w:pPr>
            <w:r w:rsidRPr="00C5545D">
              <w:rPr>
                <w:rFonts w:ascii="Abadi" w:eastAsia="Verdana" w:hAnsi="Abadi" w:cs="Verdana"/>
                <w:sz w:val="21"/>
                <w:szCs w:val="21"/>
              </w:rPr>
              <w:t xml:space="preserve">Proponer al ayuntamiento las metas, estrategias y acciones para incrementar la calidad de cultura física y el deporte en el municipio; </w:t>
            </w:r>
          </w:p>
          <w:p w14:paraId="2997AC2F"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AB54D0F"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85A04F3"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107CC994" w14:textId="77777777" w:rsidR="001571F4" w:rsidRPr="00C5545D" w:rsidRDefault="001571F4" w:rsidP="00264BC9">
            <w:pPr>
              <w:numPr>
                <w:ilvl w:val="0"/>
                <w:numId w:val="113"/>
              </w:numPr>
              <w:spacing w:line="241" w:lineRule="auto"/>
              <w:ind w:right="75"/>
              <w:jc w:val="both"/>
              <w:rPr>
                <w:rFonts w:ascii="Abadi" w:hAnsi="Abadi"/>
                <w:sz w:val="21"/>
                <w:szCs w:val="21"/>
              </w:rPr>
            </w:pPr>
            <w:r w:rsidRPr="00C5545D">
              <w:rPr>
                <w:rFonts w:ascii="Abadi" w:eastAsia="Verdana" w:hAnsi="Abadi" w:cs="Verdana"/>
                <w:sz w:val="21"/>
                <w:szCs w:val="21"/>
              </w:rPr>
              <w:t xml:space="preserve">Mantener en buen estado las instalaciones deportivas del municipio y promover la creación de nuevas áreas y espacios para la práctica de la cultura física y el deporte; </w:t>
            </w:r>
          </w:p>
          <w:p w14:paraId="1E4DEA71"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E27A2F4"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1A3436E" w14:textId="77777777" w:rsidR="001571F4" w:rsidRPr="00C5545D" w:rsidRDefault="001571F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D659782" w14:textId="77777777" w:rsidR="00C72CA7" w:rsidRDefault="001571F4" w:rsidP="00264BC9">
            <w:pPr>
              <w:ind w:right="4"/>
              <w:jc w:val="both"/>
              <w:rPr>
                <w:rFonts w:ascii="Abadi" w:eastAsia="Verdana" w:hAnsi="Abadi" w:cs="Verdana"/>
                <w:sz w:val="21"/>
                <w:szCs w:val="21"/>
              </w:rPr>
            </w:pPr>
            <w:r w:rsidRPr="00C5545D">
              <w:rPr>
                <w:rFonts w:ascii="Abadi" w:eastAsia="Verdana" w:hAnsi="Abadi" w:cs="Verdana"/>
                <w:sz w:val="21"/>
                <w:szCs w:val="21"/>
              </w:rPr>
              <w:t>Establecer mecanismos de vinculación con organismos públicos y privados para la difusión, promoción,</w:t>
            </w:r>
          </w:p>
          <w:p w14:paraId="44AA1FCF" w14:textId="77777777" w:rsidR="00024797" w:rsidRDefault="00024797" w:rsidP="00264BC9">
            <w:pPr>
              <w:ind w:right="4"/>
              <w:jc w:val="both"/>
              <w:rPr>
                <w:rFonts w:ascii="Abadi" w:eastAsia="Verdana" w:hAnsi="Abadi" w:cs="Verdana"/>
                <w:sz w:val="21"/>
                <w:szCs w:val="21"/>
              </w:rPr>
            </w:pPr>
          </w:p>
          <w:p w14:paraId="4D93184C" w14:textId="77777777" w:rsidR="00024797" w:rsidRPr="00C5545D" w:rsidRDefault="00024797" w:rsidP="00264BC9">
            <w:pPr>
              <w:jc w:val="both"/>
              <w:rPr>
                <w:rFonts w:ascii="Abadi" w:hAnsi="Abadi"/>
                <w:sz w:val="21"/>
                <w:szCs w:val="21"/>
              </w:rPr>
            </w:pPr>
            <w:r w:rsidRPr="00C5545D">
              <w:rPr>
                <w:rFonts w:ascii="Abadi" w:eastAsia="Verdana" w:hAnsi="Abadi" w:cs="Verdana"/>
                <w:sz w:val="21"/>
                <w:szCs w:val="21"/>
              </w:rPr>
              <w:t xml:space="preserve">fomento, práctica, investigación, enseñanza, supervisión y evaluación </w:t>
            </w:r>
          </w:p>
          <w:p w14:paraId="1F17FC1F"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en cultura física y deporte; </w:t>
            </w:r>
          </w:p>
          <w:p w14:paraId="762FE2F0"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621FB70"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0B7C10C" w14:textId="77777777" w:rsidR="00024797" w:rsidRPr="00C5545D" w:rsidRDefault="00024797" w:rsidP="00264BC9">
            <w:pPr>
              <w:numPr>
                <w:ilvl w:val="0"/>
                <w:numId w:val="115"/>
              </w:numPr>
              <w:spacing w:after="2" w:line="241" w:lineRule="auto"/>
              <w:ind w:right="35"/>
              <w:jc w:val="both"/>
              <w:rPr>
                <w:rFonts w:ascii="Abadi" w:hAnsi="Abadi"/>
                <w:sz w:val="21"/>
                <w:szCs w:val="21"/>
              </w:rPr>
            </w:pPr>
            <w:r w:rsidRPr="00C5545D">
              <w:rPr>
                <w:rFonts w:ascii="Abadi" w:eastAsia="Verdana" w:hAnsi="Abadi" w:cs="Verdana"/>
                <w:sz w:val="21"/>
                <w:szCs w:val="21"/>
              </w:rPr>
              <w:t xml:space="preserve">Otorgar reconocimientos y apoyos a aquellas personas y organismos </w:t>
            </w:r>
            <w:r w:rsidRPr="00C5545D">
              <w:rPr>
                <w:rFonts w:ascii="Abadi" w:eastAsia="Verdana" w:hAnsi="Abadi" w:cs="Verdana"/>
                <w:sz w:val="21"/>
                <w:szCs w:val="21"/>
              </w:rPr>
              <w:lastRenderedPageBreak/>
              <w:t xml:space="preserve">públicos o privados, que se hayan distinguido en la difusión, promoción, fomento, práctica o investigación en </w:t>
            </w:r>
          </w:p>
          <w:p w14:paraId="2475962B"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cultura física y deporte; </w:t>
            </w:r>
          </w:p>
          <w:p w14:paraId="4E0EBAED"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625EA22"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1793D5D9" w14:textId="77777777" w:rsidR="00024797" w:rsidRPr="00C5545D" w:rsidRDefault="00024797" w:rsidP="00264BC9">
            <w:pPr>
              <w:numPr>
                <w:ilvl w:val="0"/>
                <w:numId w:val="115"/>
              </w:numPr>
              <w:spacing w:line="241" w:lineRule="auto"/>
              <w:ind w:right="35"/>
              <w:jc w:val="both"/>
              <w:rPr>
                <w:rFonts w:ascii="Abadi" w:hAnsi="Abadi"/>
                <w:sz w:val="21"/>
                <w:szCs w:val="21"/>
              </w:rPr>
            </w:pPr>
            <w:r w:rsidRPr="00C5545D">
              <w:rPr>
                <w:rFonts w:ascii="Abadi" w:eastAsia="Verdana" w:hAnsi="Abadi" w:cs="Verdana"/>
                <w:sz w:val="21"/>
                <w:szCs w:val="21"/>
              </w:rPr>
              <w:t xml:space="preserve">Realizar y difundir investigaciones en cultura física y deporte; </w:t>
            </w:r>
          </w:p>
          <w:p w14:paraId="1D7FA1DA"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470EEA1" w14:textId="77777777" w:rsidR="00024797" w:rsidRPr="00C5545D" w:rsidRDefault="00024797" w:rsidP="00264BC9">
            <w:pPr>
              <w:numPr>
                <w:ilvl w:val="0"/>
                <w:numId w:val="115"/>
              </w:numPr>
              <w:spacing w:line="241" w:lineRule="auto"/>
              <w:ind w:right="35"/>
              <w:jc w:val="both"/>
              <w:rPr>
                <w:rFonts w:ascii="Abadi" w:hAnsi="Abadi"/>
                <w:sz w:val="21"/>
                <w:szCs w:val="21"/>
              </w:rPr>
            </w:pPr>
            <w:r w:rsidRPr="00C5545D">
              <w:rPr>
                <w:rFonts w:ascii="Abadi" w:eastAsia="Verdana" w:hAnsi="Abadi" w:cs="Verdana"/>
                <w:sz w:val="21"/>
                <w:szCs w:val="21"/>
              </w:rPr>
              <w:t xml:space="preserve">Celebrar convenios de coordinación o colaboración en materia de cultura física y deporte; </w:t>
            </w:r>
          </w:p>
          <w:p w14:paraId="3B7F6670"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189A943" w14:textId="77777777" w:rsidR="00024797" w:rsidRPr="00C5545D" w:rsidRDefault="00024797" w:rsidP="00264BC9">
            <w:pPr>
              <w:numPr>
                <w:ilvl w:val="0"/>
                <w:numId w:val="115"/>
              </w:numPr>
              <w:spacing w:after="2" w:line="241" w:lineRule="auto"/>
              <w:ind w:right="35"/>
              <w:jc w:val="both"/>
              <w:rPr>
                <w:rFonts w:ascii="Abadi" w:hAnsi="Abadi"/>
                <w:sz w:val="21"/>
                <w:szCs w:val="21"/>
              </w:rPr>
            </w:pPr>
            <w:r w:rsidRPr="00C5545D">
              <w:rPr>
                <w:rFonts w:ascii="Abadi" w:eastAsia="Verdana" w:hAnsi="Abadi" w:cs="Verdana"/>
                <w:sz w:val="21"/>
                <w:szCs w:val="21"/>
              </w:rPr>
              <w:t xml:space="preserve">Integrar en sus programas y anteproyecto de presupuesto, las acciones y recursos necesarios para el cumplimiento de sus atribuciones; </w:t>
            </w:r>
          </w:p>
          <w:p w14:paraId="392F2943"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14EB279" w14:textId="77777777" w:rsidR="00024797" w:rsidRPr="00C5545D" w:rsidRDefault="00024797" w:rsidP="00264BC9">
            <w:pPr>
              <w:numPr>
                <w:ilvl w:val="0"/>
                <w:numId w:val="115"/>
              </w:numPr>
              <w:ind w:right="35"/>
              <w:jc w:val="both"/>
              <w:rPr>
                <w:rFonts w:ascii="Abadi" w:hAnsi="Abadi"/>
                <w:sz w:val="21"/>
                <w:szCs w:val="21"/>
              </w:rPr>
            </w:pPr>
            <w:r w:rsidRPr="00C5545D">
              <w:rPr>
                <w:rFonts w:ascii="Abadi" w:eastAsia="Verdana" w:hAnsi="Abadi" w:cs="Verdana"/>
                <w:sz w:val="21"/>
                <w:szCs w:val="21"/>
              </w:rPr>
              <w:t xml:space="preserve">Promover la cultura física y el deporte a través de los medios de </w:t>
            </w:r>
          </w:p>
          <w:p w14:paraId="2321C292"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comunicación; </w:t>
            </w:r>
          </w:p>
          <w:p w14:paraId="6132231E" w14:textId="77777777" w:rsidR="00024797" w:rsidRDefault="00024797"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6495A8AD" w14:textId="77777777" w:rsidR="009511C5" w:rsidRDefault="009511C5" w:rsidP="00264BC9">
            <w:pPr>
              <w:spacing w:line="259" w:lineRule="auto"/>
              <w:jc w:val="both"/>
              <w:rPr>
                <w:rFonts w:ascii="Abadi" w:eastAsia="Verdana" w:hAnsi="Abadi" w:cs="Verdana"/>
                <w:sz w:val="21"/>
                <w:szCs w:val="21"/>
              </w:rPr>
            </w:pPr>
          </w:p>
          <w:p w14:paraId="0B7161DA" w14:textId="77777777" w:rsidR="009511C5" w:rsidRDefault="009511C5" w:rsidP="00264BC9">
            <w:pPr>
              <w:spacing w:line="259" w:lineRule="auto"/>
              <w:jc w:val="both"/>
              <w:rPr>
                <w:rFonts w:ascii="Abadi" w:eastAsia="Verdana" w:hAnsi="Abadi" w:cs="Verdana"/>
                <w:sz w:val="21"/>
                <w:szCs w:val="21"/>
              </w:rPr>
            </w:pPr>
          </w:p>
          <w:p w14:paraId="440A403F" w14:textId="77777777" w:rsidR="009511C5" w:rsidRDefault="009511C5" w:rsidP="00264BC9">
            <w:pPr>
              <w:spacing w:line="259" w:lineRule="auto"/>
              <w:jc w:val="both"/>
              <w:rPr>
                <w:rFonts w:ascii="Abadi" w:eastAsia="Verdana" w:hAnsi="Abadi" w:cs="Verdana"/>
                <w:sz w:val="21"/>
                <w:szCs w:val="21"/>
              </w:rPr>
            </w:pPr>
          </w:p>
          <w:p w14:paraId="7D8CDE9F" w14:textId="77777777" w:rsidR="009511C5" w:rsidRPr="00C5545D" w:rsidRDefault="009511C5" w:rsidP="00264BC9">
            <w:pPr>
              <w:spacing w:line="259" w:lineRule="auto"/>
              <w:jc w:val="both"/>
              <w:rPr>
                <w:rFonts w:ascii="Abadi" w:hAnsi="Abadi"/>
                <w:sz w:val="21"/>
                <w:szCs w:val="21"/>
              </w:rPr>
            </w:pPr>
          </w:p>
          <w:p w14:paraId="5B7A2C0F" w14:textId="77777777" w:rsidR="00024797" w:rsidRPr="00C5545D" w:rsidRDefault="00024797" w:rsidP="00264BC9">
            <w:pPr>
              <w:numPr>
                <w:ilvl w:val="0"/>
                <w:numId w:val="115"/>
              </w:numPr>
              <w:spacing w:line="259" w:lineRule="auto"/>
              <w:ind w:right="35"/>
              <w:jc w:val="both"/>
              <w:rPr>
                <w:rFonts w:ascii="Abadi" w:hAnsi="Abadi"/>
                <w:sz w:val="21"/>
                <w:szCs w:val="21"/>
              </w:rPr>
            </w:pPr>
            <w:r w:rsidRPr="00C5545D">
              <w:rPr>
                <w:rFonts w:ascii="Abadi" w:eastAsia="Verdana" w:hAnsi="Abadi" w:cs="Verdana"/>
                <w:sz w:val="21"/>
                <w:szCs w:val="21"/>
              </w:rPr>
              <w:t xml:space="preserve">Gestionar en su municipio la </w:t>
            </w:r>
          </w:p>
          <w:p w14:paraId="78F92672"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inscripción en el Registro; </w:t>
            </w:r>
          </w:p>
          <w:p w14:paraId="0944CBF1"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F509F03" w14:textId="77777777" w:rsidR="00024797" w:rsidRPr="00C5545D" w:rsidRDefault="00024797" w:rsidP="00264BC9">
            <w:pPr>
              <w:numPr>
                <w:ilvl w:val="0"/>
                <w:numId w:val="115"/>
              </w:numPr>
              <w:ind w:right="35"/>
              <w:jc w:val="both"/>
              <w:rPr>
                <w:rFonts w:ascii="Abadi" w:hAnsi="Abadi"/>
                <w:sz w:val="21"/>
                <w:szCs w:val="21"/>
              </w:rPr>
            </w:pPr>
            <w:r w:rsidRPr="00C5545D">
              <w:rPr>
                <w:rFonts w:ascii="Abadi" w:eastAsia="Verdana" w:hAnsi="Abadi" w:cs="Verdana"/>
                <w:sz w:val="21"/>
                <w:szCs w:val="21"/>
              </w:rPr>
              <w:t xml:space="preserve">Promover la realización de torneos, </w:t>
            </w:r>
            <w:r w:rsidRPr="00C5545D">
              <w:rPr>
                <w:rFonts w:ascii="Abadi" w:eastAsia="Verdana" w:hAnsi="Abadi" w:cs="Verdana"/>
                <w:sz w:val="21"/>
                <w:szCs w:val="21"/>
              </w:rPr>
              <w:t xml:space="preserve">competencias y campeonatos de </w:t>
            </w:r>
          </w:p>
          <w:p w14:paraId="42F1145A"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cultura física y deporte; </w:t>
            </w:r>
          </w:p>
          <w:p w14:paraId="35A68781"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0A92C4A"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514F737"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105CB4C7"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F8FE7D2"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EBD3F99" w14:textId="77777777" w:rsidR="00024797" w:rsidRDefault="00024797"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212EAF77" w14:textId="77777777" w:rsidR="009511C5" w:rsidRDefault="009511C5" w:rsidP="00264BC9">
            <w:pPr>
              <w:spacing w:line="259" w:lineRule="auto"/>
              <w:jc w:val="both"/>
              <w:rPr>
                <w:rFonts w:ascii="Abadi" w:hAnsi="Abadi"/>
                <w:sz w:val="21"/>
                <w:szCs w:val="21"/>
              </w:rPr>
            </w:pPr>
          </w:p>
          <w:p w14:paraId="186B6554" w14:textId="77777777" w:rsidR="009511C5" w:rsidRDefault="009511C5" w:rsidP="00264BC9">
            <w:pPr>
              <w:spacing w:line="259" w:lineRule="auto"/>
              <w:jc w:val="both"/>
              <w:rPr>
                <w:rFonts w:ascii="Abadi" w:hAnsi="Abadi"/>
                <w:sz w:val="21"/>
                <w:szCs w:val="21"/>
              </w:rPr>
            </w:pPr>
          </w:p>
          <w:p w14:paraId="04835ACE" w14:textId="77777777" w:rsidR="009511C5" w:rsidRDefault="009511C5" w:rsidP="00264BC9">
            <w:pPr>
              <w:spacing w:line="259" w:lineRule="auto"/>
              <w:jc w:val="both"/>
              <w:rPr>
                <w:rFonts w:ascii="Abadi" w:hAnsi="Abadi"/>
                <w:sz w:val="21"/>
                <w:szCs w:val="21"/>
              </w:rPr>
            </w:pPr>
          </w:p>
          <w:p w14:paraId="1A5AD7B0" w14:textId="77777777" w:rsidR="009511C5" w:rsidRDefault="009511C5" w:rsidP="00264BC9">
            <w:pPr>
              <w:spacing w:line="259" w:lineRule="auto"/>
              <w:jc w:val="both"/>
              <w:rPr>
                <w:rFonts w:ascii="Abadi" w:hAnsi="Abadi"/>
                <w:sz w:val="21"/>
                <w:szCs w:val="21"/>
              </w:rPr>
            </w:pPr>
          </w:p>
          <w:p w14:paraId="726D5050" w14:textId="77777777" w:rsidR="009511C5" w:rsidRDefault="009511C5" w:rsidP="00264BC9">
            <w:pPr>
              <w:spacing w:line="259" w:lineRule="auto"/>
              <w:jc w:val="both"/>
              <w:rPr>
                <w:rFonts w:ascii="Abadi" w:hAnsi="Abadi"/>
                <w:sz w:val="21"/>
                <w:szCs w:val="21"/>
              </w:rPr>
            </w:pPr>
          </w:p>
          <w:p w14:paraId="61C29C4C" w14:textId="77777777" w:rsidR="009511C5" w:rsidRDefault="009511C5" w:rsidP="00264BC9">
            <w:pPr>
              <w:spacing w:line="259" w:lineRule="auto"/>
              <w:jc w:val="both"/>
              <w:rPr>
                <w:rFonts w:ascii="Abadi" w:hAnsi="Abadi"/>
                <w:sz w:val="21"/>
                <w:szCs w:val="21"/>
              </w:rPr>
            </w:pPr>
          </w:p>
          <w:p w14:paraId="61907451" w14:textId="77777777" w:rsidR="009511C5" w:rsidRPr="00C5545D" w:rsidRDefault="009511C5" w:rsidP="00264BC9">
            <w:pPr>
              <w:spacing w:line="259" w:lineRule="auto"/>
              <w:jc w:val="both"/>
              <w:rPr>
                <w:rFonts w:ascii="Abadi" w:hAnsi="Abadi"/>
                <w:sz w:val="21"/>
                <w:szCs w:val="21"/>
              </w:rPr>
            </w:pPr>
          </w:p>
          <w:p w14:paraId="1D3DC865"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63D8F2D" w14:textId="77777777"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2AA8BEF" w14:textId="77777777" w:rsidR="00024797" w:rsidRPr="00C5545D" w:rsidRDefault="00024797" w:rsidP="00264BC9">
            <w:pPr>
              <w:numPr>
                <w:ilvl w:val="0"/>
                <w:numId w:val="115"/>
              </w:numPr>
              <w:spacing w:line="241" w:lineRule="auto"/>
              <w:ind w:right="35"/>
              <w:jc w:val="both"/>
              <w:rPr>
                <w:rFonts w:ascii="Abadi" w:hAnsi="Abadi"/>
                <w:sz w:val="21"/>
                <w:szCs w:val="21"/>
              </w:rPr>
            </w:pPr>
            <w:r w:rsidRPr="00C5545D">
              <w:rPr>
                <w:rFonts w:ascii="Abadi" w:eastAsia="Verdana" w:hAnsi="Abadi" w:cs="Verdana"/>
                <w:sz w:val="21"/>
                <w:szCs w:val="21"/>
              </w:rPr>
              <w:t xml:space="preserve">Fijar las bases a las que se sujetará la participación de deportistas, en competencias y eventos municipales en congruencia con las disposiciones federales y </w:t>
            </w:r>
          </w:p>
          <w:p w14:paraId="5F3786A9" w14:textId="77777777" w:rsidR="00C80DC3" w:rsidRDefault="00024797"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estatales vigentes;</w:t>
            </w:r>
          </w:p>
          <w:p w14:paraId="43C740D1" w14:textId="5E3CD801" w:rsidR="00024797" w:rsidRPr="00C5545D" w:rsidRDefault="0002479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0AE140E" w14:textId="77777777" w:rsidR="00C80DC3" w:rsidRPr="00C5545D" w:rsidRDefault="00C80DC3" w:rsidP="00264BC9">
            <w:pPr>
              <w:numPr>
                <w:ilvl w:val="0"/>
                <w:numId w:val="117"/>
              </w:numPr>
              <w:spacing w:after="2"/>
              <w:ind w:right="74"/>
              <w:jc w:val="both"/>
              <w:rPr>
                <w:rFonts w:ascii="Abadi" w:hAnsi="Abadi"/>
                <w:sz w:val="21"/>
                <w:szCs w:val="21"/>
              </w:rPr>
            </w:pPr>
            <w:r w:rsidRPr="00C5545D">
              <w:rPr>
                <w:rFonts w:ascii="Abadi" w:eastAsia="Verdana" w:hAnsi="Abadi" w:cs="Verdana"/>
                <w:sz w:val="21"/>
                <w:szCs w:val="21"/>
              </w:rPr>
              <w:t xml:space="preserve">Asesorar a los habitantes y organismos del municipio, que así lo soliciten en cultura física y deporte; </w:t>
            </w:r>
          </w:p>
          <w:p w14:paraId="21442086" w14:textId="77777777" w:rsidR="00C80DC3" w:rsidRDefault="00C80DC3"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2CB5E157" w14:textId="77777777" w:rsidR="00264BC9" w:rsidRPr="00C5545D" w:rsidRDefault="00264BC9" w:rsidP="00264BC9">
            <w:pPr>
              <w:spacing w:line="259" w:lineRule="auto"/>
              <w:jc w:val="both"/>
              <w:rPr>
                <w:rFonts w:ascii="Abadi" w:hAnsi="Abadi"/>
                <w:sz w:val="21"/>
                <w:szCs w:val="21"/>
              </w:rPr>
            </w:pPr>
          </w:p>
          <w:p w14:paraId="4DA07A70" w14:textId="77777777" w:rsidR="00C80DC3" w:rsidRPr="00C5545D" w:rsidRDefault="00C80DC3" w:rsidP="00264BC9">
            <w:pPr>
              <w:numPr>
                <w:ilvl w:val="0"/>
                <w:numId w:val="117"/>
              </w:numPr>
              <w:spacing w:line="241" w:lineRule="auto"/>
              <w:ind w:right="74"/>
              <w:jc w:val="both"/>
              <w:rPr>
                <w:rFonts w:ascii="Abadi" w:hAnsi="Abadi"/>
                <w:sz w:val="21"/>
                <w:szCs w:val="21"/>
              </w:rPr>
            </w:pPr>
            <w:r w:rsidRPr="00C5545D">
              <w:rPr>
                <w:rFonts w:ascii="Abadi" w:eastAsia="Verdana" w:hAnsi="Abadi" w:cs="Verdana"/>
                <w:sz w:val="21"/>
                <w:szCs w:val="21"/>
              </w:rPr>
              <w:t xml:space="preserve">Imponer las sanciones que establece esta Ley en el ámbito de su competencia; </w:t>
            </w:r>
          </w:p>
          <w:p w14:paraId="2085F8A6" w14:textId="77777777" w:rsidR="00C80DC3" w:rsidRDefault="00C80DC3"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087051A3" w14:textId="77777777" w:rsidR="00264BC9" w:rsidRPr="00C5545D" w:rsidRDefault="00264BC9" w:rsidP="00264BC9">
            <w:pPr>
              <w:spacing w:line="259" w:lineRule="auto"/>
              <w:jc w:val="both"/>
              <w:rPr>
                <w:rFonts w:ascii="Abadi" w:hAnsi="Abadi"/>
                <w:sz w:val="21"/>
                <w:szCs w:val="21"/>
              </w:rPr>
            </w:pPr>
          </w:p>
          <w:p w14:paraId="4EA0C99A" w14:textId="77777777" w:rsidR="00C80DC3" w:rsidRPr="00C5545D" w:rsidRDefault="00C80DC3" w:rsidP="00264BC9">
            <w:pPr>
              <w:numPr>
                <w:ilvl w:val="0"/>
                <w:numId w:val="117"/>
              </w:numPr>
              <w:spacing w:line="241" w:lineRule="auto"/>
              <w:ind w:right="74"/>
              <w:jc w:val="both"/>
              <w:rPr>
                <w:rFonts w:ascii="Abadi" w:hAnsi="Abadi"/>
                <w:sz w:val="21"/>
                <w:szCs w:val="21"/>
              </w:rPr>
            </w:pPr>
            <w:r w:rsidRPr="00C5545D">
              <w:rPr>
                <w:rFonts w:ascii="Abadi" w:eastAsia="Verdana" w:hAnsi="Abadi" w:cs="Verdana"/>
                <w:sz w:val="21"/>
                <w:szCs w:val="21"/>
              </w:rPr>
              <w:t xml:space="preserve">Implementar programas de capacitación y formación a </w:t>
            </w:r>
            <w:r w:rsidRPr="00C5545D">
              <w:rPr>
                <w:rFonts w:ascii="Abadi" w:eastAsia="Verdana" w:hAnsi="Abadi" w:cs="Verdana"/>
                <w:sz w:val="21"/>
                <w:szCs w:val="21"/>
              </w:rPr>
              <w:lastRenderedPageBreak/>
              <w:t xml:space="preserve">especialistas, deportistas profesionales, directivos, jueces, </w:t>
            </w:r>
          </w:p>
          <w:p w14:paraId="0962F5DC"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árbitros y entrenadores; </w:t>
            </w:r>
          </w:p>
          <w:p w14:paraId="347EB564"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C018734" w14:textId="77777777" w:rsidR="00C80DC3" w:rsidRDefault="00C80DC3"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7EFE3A79" w14:textId="77777777" w:rsidR="00264BC9" w:rsidRDefault="00264BC9" w:rsidP="00264BC9">
            <w:pPr>
              <w:spacing w:line="259" w:lineRule="auto"/>
              <w:jc w:val="both"/>
              <w:rPr>
                <w:rFonts w:ascii="Abadi" w:hAnsi="Abadi"/>
                <w:sz w:val="21"/>
                <w:szCs w:val="21"/>
              </w:rPr>
            </w:pPr>
          </w:p>
          <w:p w14:paraId="3DE21CFD" w14:textId="77777777" w:rsidR="00264BC9" w:rsidRDefault="00264BC9" w:rsidP="00264BC9">
            <w:pPr>
              <w:spacing w:line="259" w:lineRule="auto"/>
              <w:jc w:val="both"/>
              <w:rPr>
                <w:rFonts w:ascii="Abadi" w:hAnsi="Abadi"/>
                <w:sz w:val="21"/>
                <w:szCs w:val="21"/>
              </w:rPr>
            </w:pPr>
          </w:p>
          <w:p w14:paraId="6DB7F651" w14:textId="77777777" w:rsidR="00264BC9" w:rsidRDefault="00264BC9" w:rsidP="00264BC9">
            <w:pPr>
              <w:spacing w:line="259" w:lineRule="auto"/>
              <w:jc w:val="both"/>
              <w:rPr>
                <w:rFonts w:ascii="Abadi" w:hAnsi="Abadi"/>
                <w:sz w:val="21"/>
                <w:szCs w:val="21"/>
              </w:rPr>
            </w:pPr>
          </w:p>
          <w:p w14:paraId="2DC917C6" w14:textId="77777777" w:rsidR="00264BC9" w:rsidRDefault="00264BC9" w:rsidP="00264BC9">
            <w:pPr>
              <w:spacing w:line="259" w:lineRule="auto"/>
              <w:jc w:val="both"/>
              <w:rPr>
                <w:rFonts w:ascii="Abadi" w:hAnsi="Abadi"/>
                <w:sz w:val="21"/>
                <w:szCs w:val="21"/>
              </w:rPr>
            </w:pPr>
          </w:p>
          <w:p w14:paraId="56F74840" w14:textId="77777777" w:rsidR="00264BC9" w:rsidRPr="00C5545D" w:rsidRDefault="00264BC9" w:rsidP="00264BC9">
            <w:pPr>
              <w:spacing w:line="259" w:lineRule="auto"/>
              <w:jc w:val="both"/>
              <w:rPr>
                <w:rFonts w:ascii="Abadi" w:hAnsi="Abadi"/>
                <w:sz w:val="21"/>
                <w:szCs w:val="21"/>
              </w:rPr>
            </w:pPr>
          </w:p>
          <w:p w14:paraId="61ACD9D6"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F2DE200"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E43EC1F"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EC63E18" w14:textId="77777777" w:rsidR="00C80DC3" w:rsidRPr="00C5545D" w:rsidRDefault="00C80DC3" w:rsidP="00264BC9">
            <w:pPr>
              <w:numPr>
                <w:ilvl w:val="0"/>
                <w:numId w:val="117"/>
              </w:numPr>
              <w:spacing w:after="2"/>
              <w:ind w:right="74"/>
              <w:jc w:val="both"/>
              <w:rPr>
                <w:rFonts w:ascii="Abadi" w:hAnsi="Abadi"/>
                <w:sz w:val="21"/>
                <w:szCs w:val="21"/>
              </w:rPr>
            </w:pPr>
            <w:r w:rsidRPr="00C5545D">
              <w:rPr>
                <w:rFonts w:ascii="Abadi" w:eastAsia="Verdana" w:hAnsi="Abadi" w:cs="Verdana"/>
                <w:sz w:val="21"/>
                <w:szCs w:val="21"/>
              </w:rPr>
              <w:t xml:space="preserve">Presentar al ayuntamiento el proyecto anual de actividades en materia de cultura física y deporte; </w:t>
            </w:r>
          </w:p>
          <w:p w14:paraId="464920F2"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E81B210" w14:textId="77777777" w:rsidR="00C80DC3" w:rsidRPr="00C5545D" w:rsidRDefault="00C80DC3" w:rsidP="00264BC9">
            <w:pPr>
              <w:numPr>
                <w:ilvl w:val="0"/>
                <w:numId w:val="117"/>
              </w:numPr>
              <w:spacing w:line="241" w:lineRule="auto"/>
              <w:ind w:right="74"/>
              <w:jc w:val="both"/>
              <w:rPr>
                <w:rFonts w:ascii="Abadi" w:hAnsi="Abadi"/>
                <w:sz w:val="21"/>
                <w:szCs w:val="21"/>
              </w:rPr>
            </w:pPr>
            <w:r w:rsidRPr="00C5545D">
              <w:rPr>
                <w:rFonts w:ascii="Abadi" w:eastAsia="Verdana" w:hAnsi="Abadi" w:cs="Verdana"/>
                <w:sz w:val="21"/>
                <w:szCs w:val="21"/>
              </w:rPr>
              <w:t xml:space="preserve">Promover ante la autoridad competente procedimientos administrativos para clausurar las instalaciones que no cumplan con los requisitos que establezca la </w:t>
            </w:r>
          </w:p>
          <w:p w14:paraId="5098FAF6"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normatividad aplicable; y </w:t>
            </w:r>
          </w:p>
          <w:p w14:paraId="17E07F9E" w14:textId="77777777" w:rsidR="00C80DC3" w:rsidRPr="00C5545D" w:rsidRDefault="00C80DC3"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4FC3F5C" w14:textId="2F5EB62B" w:rsidR="00024797" w:rsidRPr="00695491" w:rsidRDefault="00024797" w:rsidP="00264BC9">
            <w:pPr>
              <w:ind w:right="4"/>
              <w:jc w:val="both"/>
              <w:rPr>
                <w:rFonts w:ascii="Abadi" w:hAnsi="Abadi"/>
                <w:sz w:val="21"/>
                <w:szCs w:val="21"/>
              </w:rPr>
            </w:pPr>
          </w:p>
        </w:tc>
        <w:tc>
          <w:tcPr>
            <w:tcW w:w="2073" w:type="dxa"/>
          </w:tcPr>
          <w:p w14:paraId="420B752F" w14:textId="77777777" w:rsidR="00926D34" w:rsidRPr="00C5545D" w:rsidRDefault="00926D34" w:rsidP="00264BC9">
            <w:pPr>
              <w:spacing w:line="241" w:lineRule="auto"/>
              <w:ind w:right="73" w:firstLine="797"/>
              <w:jc w:val="both"/>
              <w:rPr>
                <w:rFonts w:ascii="Abadi" w:hAnsi="Abadi"/>
                <w:sz w:val="21"/>
                <w:szCs w:val="21"/>
              </w:rPr>
            </w:pPr>
            <w:r w:rsidRPr="00C5545D">
              <w:rPr>
                <w:rFonts w:ascii="Abadi" w:eastAsia="Verdana" w:hAnsi="Abadi" w:cs="Verdana"/>
                <w:b/>
                <w:sz w:val="21"/>
                <w:szCs w:val="21"/>
              </w:rPr>
              <w:lastRenderedPageBreak/>
              <w:t xml:space="preserve">Atribuciones de los organismos municipales </w:t>
            </w:r>
            <w:r w:rsidRPr="00C5545D">
              <w:rPr>
                <w:rFonts w:ascii="Abadi" w:eastAsia="Verdana" w:hAnsi="Abadi" w:cs="Verdana"/>
                <w:sz w:val="21"/>
                <w:szCs w:val="21"/>
              </w:rPr>
              <w:t xml:space="preserve">Artículo 45. Los organismos municipales, en el ámbito de su competencia, tendrán las siguientes atribuciones: </w:t>
            </w:r>
          </w:p>
          <w:p w14:paraId="4C9B6CF5"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1AFC787"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F863552" w14:textId="77777777" w:rsidR="00926D34" w:rsidRPr="00C5545D" w:rsidRDefault="00926D34" w:rsidP="00264BC9">
            <w:pPr>
              <w:numPr>
                <w:ilvl w:val="0"/>
                <w:numId w:val="114"/>
              </w:numPr>
              <w:ind w:right="72"/>
              <w:jc w:val="both"/>
              <w:rPr>
                <w:rFonts w:ascii="Abadi" w:hAnsi="Abadi"/>
                <w:sz w:val="21"/>
                <w:szCs w:val="21"/>
              </w:rPr>
            </w:pPr>
            <w:r w:rsidRPr="00C5545D">
              <w:rPr>
                <w:rFonts w:ascii="Abadi" w:eastAsia="Verdana" w:hAnsi="Abadi" w:cs="Verdana"/>
                <w:sz w:val="21"/>
                <w:szCs w:val="21"/>
              </w:rPr>
              <w:t xml:space="preserve">Proponer, coordinar y evaluar la cultura física y el deporte en el municipio; </w:t>
            </w:r>
          </w:p>
          <w:p w14:paraId="6AB87C3B"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282D46D"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01C3024" w14:textId="77777777" w:rsidR="00926D34" w:rsidRPr="00C5545D" w:rsidRDefault="00926D34" w:rsidP="00264BC9">
            <w:pPr>
              <w:numPr>
                <w:ilvl w:val="0"/>
                <w:numId w:val="114"/>
              </w:numPr>
              <w:spacing w:after="2"/>
              <w:ind w:right="72"/>
              <w:jc w:val="both"/>
              <w:rPr>
                <w:rFonts w:ascii="Abadi" w:hAnsi="Abadi"/>
                <w:sz w:val="21"/>
                <w:szCs w:val="21"/>
              </w:rPr>
            </w:pPr>
            <w:r w:rsidRPr="00C5545D">
              <w:rPr>
                <w:rFonts w:ascii="Abadi" w:eastAsia="Verdana" w:hAnsi="Abadi" w:cs="Verdana"/>
                <w:sz w:val="21"/>
                <w:szCs w:val="21"/>
              </w:rPr>
              <w:t xml:space="preserve">Proponer al ayuntamiento las metas, estrategias y acciones para incrementar la calidad de cultura física y el deporte en el municipio </w:t>
            </w:r>
            <w:r w:rsidRPr="00C5545D">
              <w:rPr>
                <w:rFonts w:ascii="Abadi" w:eastAsia="Verdana" w:hAnsi="Abadi" w:cs="Verdana"/>
                <w:b/>
                <w:sz w:val="21"/>
                <w:szCs w:val="21"/>
              </w:rPr>
              <w:t>con perspectivas de género y de inclusión de sectores vulnerables o invisibles</w:t>
            </w:r>
            <w:r w:rsidRPr="00C5545D">
              <w:rPr>
                <w:rFonts w:ascii="Abadi" w:eastAsia="Verdana" w:hAnsi="Abadi" w:cs="Verdana"/>
                <w:sz w:val="21"/>
                <w:szCs w:val="21"/>
              </w:rPr>
              <w:t xml:space="preserve">; </w:t>
            </w:r>
          </w:p>
          <w:p w14:paraId="446FA70D"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A686CA0" w14:textId="77777777" w:rsidR="00926D34" w:rsidRPr="00C5545D" w:rsidRDefault="00926D34" w:rsidP="00264BC9">
            <w:pPr>
              <w:numPr>
                <w:ilvl w:val="0"/>
                <w:numId w:val="114"/>
              </w:numPr>
              <w:spacing w:after="2" w:line="241" w:lineRule="auto"/>
              <w:ind w:right="72"/>
              <w:jc w:val="both"/>
              <w:rPr>
                <w:rFonts w:ascii="Abadi" w:hAnsi="Abadi"/>
                <w:sz w:val="21"/>
                <w:szCs w:val="21"/>
              </w:rPr>
            </w:pPr>
            <w:r w:rsidRPr="00C5545D">
              <w:rPr>
                <w:rFonts w:ascii="Abadi" w:eastAsia="Verdana" w:hAnsi="Abadi" w:cs="Verdana"/>
                <w:sz w:val="21"/>
                <w:szCs w:val="21"/>
              </w:rPr>
              <w:t xml:space="preserve">Mantener en buen estado las instalaciones deportivas del municipio y promover la creación de nuevas áreas y espacios para la práctica de la cultura física y el deporte </w:t>
            </w:r>
            <w:r w:rsidRPr="00C5545D">
              <w:rPr>
                <w:rFonts w:ascii="Abadi" w:eastAsia="Verdana" w:hAnsi="Abadi" w:cs="Verdana"/>
                <w:b/>
                <w:sz w:val="21"/>
                <w:szCs w:val="21"/>
              </w:rPr>
              <w:t xml:space="preserve">con especial atención a las adecuadas para niñas, niños, </w:t>
            </w:r>
          </w:p>
          <w:p w14:paraId="631BF3DD"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b/>
                <w:sz w:val="21"/>
                <w:szCs w:val="21"/>
              </w:rPr>
              <w:t>adolescentes</w:t>
            </w:r>
            <w:r w:rsidRPr="00C5545D">
              <w:rPr>
                <w:rFonts w:ascii="Abadi" w:eastAsia="Verdana" w:hAnsi="Abadi" w:cs="Verdana"/>
                <w:sz w:val="21"/>
                <w:szCs w:val="21"/>
              </w:rPr>
              <w:t xml:space="preserve">; </w:t>
            </w:r>
          </w:p>
          <w:p w14:paraId="426758E6" w14:textId="77777777" w:rsidR="00926D34" w:rsidRPr="00C5545D" w:rsidRDefault="00926D34"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24750DE" w14:textId="77777777" w:rsidR="00C72CA7" w:rsidRDefault="00926D34" w:rsidP="00264BC9">
            <w:pPr>
              <w:ind w:right="4"/>
              <w:jc w:val="both"/>
              <w:rPr>
                <w:rFonts w:ascii="Abadi" w:eastAsia="Verdana" w:hAnsi="Abadi" w:cs="Verdana"/>
                <w:sz w:val="21"/>
                <w:szCs w:val="21"/>
              </w:rPr>
            </w:pPr>
            <w:r w:rsidRPr="00C5545D">
              <w:rPr>
                <w:rFonts w:ascii="Abadi" w:eastAsia="Verdana" w:hAnsi="Abadi" w:cs="Verdana"/>
                <w:sz w:val="21"/>
                <w:szCs w:val="21"/>
              </w:rPr>
              <w:t>Establecer mecanismos de vinculación con organismos públicos y privados para la difusión, promoción, fomento, práctica,</w:t>
            </w:r>
          </w:p>
          <w:p w14:paraId="57F42E72" w14:textId="77777777" w:rsidR="00B21E27" w:rsidRDefault="00B21E27" w:rsidP="00264BC9">
            <w:pPr>
              <w:ind w:right="4"/>
              <w:jc w:val="both"/>
              <w:rPr>
                <w:rFonts w:ascii="Abadi" w:eastAsia="Verdana" w:hAnsi="Abadi" w:cs="Verdana"/>
                <w:sz w:val="21"/>
                <w:szCs w:val="21"/>
              </w:rPr>
            </w:pPr>
          </w:p>
          <w:p w14:paraId="4DA6AF85" w14:textId="77777777" w:rsidR="00B21E27" w:rsidRPr="00C5545D" w:rsidRDefault="00B21E27" w:rsidP="00264BC9">
            <w:pPr>
              <w:spacing w:after="2"/>
              <w:ind w:right="71"/>
              <w:jc w:val="both"/>
              <w:rPr>
                <w:rFonts w:ascii="Abadi" w:hAnsi="Abadi"/>
                <w:sz w:val="21"/>
                <w:szCs w:val="21"/>
              </w:rPr>
            </w:pPr>
            <w:r w:rsidRPr="00C5545D">
              <w:rPr>
                <w:rFonts w:ascii="Abadi" w:eastAsia="Verdana" w:hAnsi="Abadi" w:cs="Verdana"/>
                <w:sz w:val="21"/>
                <w:szCs w:val="21"/>
              </w:rPr>
              <w:t>investigación, enseñanza, supervisión y evaluación en cultura física y deporte</w:t>
            </w:r>
            <w:r w:rsidRPr="00C5545D">
              <w:rPr>
                <w:rFonts w:ascii="Abadi" w:eastAsia="Verdana" w:hAnsi="Abadi" w:cs="Verdana"/>
                <w:b/>
                <w:sz w:val="21"/>
                <w:szCs w:val="21"/>
              </w:rPr>
              <w:t>, así como de derechos humanos</w:t>
            </w:r>
            <w:r w:rsidRPr="00C5545D">
              <w:rPr>
                <w:rFonts w:ascii="Abadi" w:eastAsia="Verdana" w:hAnsi="Abadi" w:cs="Verdana"/>
                <w:sz w:val="21"/>
                <w:szCs w:val="21"/>
              </w:rPr>
              <w:t xml:space="preserve">; </w:t>
            </w:r>
          </w:p>
          <w:p w14:paraId="0EA84E92"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9DAF4ED"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FF329A7" w14:textId="77777777" w:rsidR="00B21E27" w:rsidRPr="00C5545D" w:rsidRDefault="00B21E27" w:rsidP="00264BC9">
            <w:pPr>
              <w:numPr>
                <w:ilvl w:val="0"/>
                <w:numId w:val="116"/>
              </w:numPr>
              <w:spacing w:line="241" w:lineRule="auto"/>
              <w:ind w:right="73"/>
              <w:jc w:val="both"/>
              <w:rPr>
                <w:rFonts w:ascii="Abadi" w:hAnsi="Abadi"/>
                <w:sz w:val="21"/>
                <w:szCs w:val="21"/>
              </w:rPr>
            </w:pPr>
            <w:r w:rsidRPr="00C5545D">
              <w:rPr>
                <w:rFonts w:ascii="Abadi" w:eastAsia="Verdana" w:hAnsi="Abadi" w:cs="Verdana"/>
                <w:sz w:val="21"/>
                <w:szCs w:val="21"/>
              </w:rPr>
              <w:lastRenderedPageBreak/>
              <w:t xml:space="preserve">Otorgar reconocimientos y apoyos </w:t>
            </w:r>
            <w:r w:rsidRPr="00C5545D">
              <w:rPr>
                <w:rFonts w:ascii="Abadi" w:eastAsia="Verdana" w:hAnsi="Abadi" w:cs="Verdana"/>
                <w:b/>
                <w:sz w:val="21"/>
                <w:szCs w:val="21"/>
              </w:rPr>
              <w:t>equitativos y sin discriminación</w:t>
            </w:r>
            <w:r w:rsidRPr="00C5545D">
              <w:rPr>
                <w:rFonts w:ascii="Abadi" w:eastAsia="Verdana" w:hAnsi="Abadi" w:cs="Verdana"/>
                <w:sz w:val="21"/>
                <w:szCs w:val="21"/>
              </w:rPr>
              <w:t xml:space="preserve"> a aquellas personas y organismos públicos o privados, que se hayan distinguido en la difusión, promoción, fomento, práctica o investigación en cultura física y deporte; </w:t>
            </w:r>
          </w:p>
          <w:p w14:paraId="7E91A150"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3E67C5D"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C3DD0D5" w14:textId="77777777" w:rsidR="00B21E27" w:rsidRPr="00C5545D" w:rsidRDefault="00B21E27" w:rsidP="00264BC9">
            <w:pPr>
              <w:numPr>
                <w:ilvl w:val="0"/>
                <w:numId w:val="116"/>
              </w:numPr>
              <w:spacing w:line="241" w:lineRule="auto"/>
              <w:ind w:right="73"/>
              <w:jc w:val="both"/>
              <w:rPr>
                <w:rFonts w:ascii="Abadi" w:hAnsi="Abadi"/>
                <w:sz w:val="21"/>
                <w:szCs w:val="21"/>
              </w:rPr>
            </w:pPr>
            <w:r w:rsidRPr="00C5545D">
              <w:rPr>
                <w:rFonts w:ascii="Abadi" w:eastAsia="Verdana" w:hAnsi="Abadi" w:cs="Verdana"/>
                <w:sz w:val="21"/>
                <w:szCs w:val="21"/>
              </w:rPr>
              <w:t xml:space="preserve">Realizar y difundir investigaciones en cultura física y deporte; </w:t>
            </w:r>
          </w:p>
          <w:p w14:paraId="5A813513"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9DDEE80" w14:textId="77777777" w:rsidR="00B21E27" w:rsidRPr="00C5545D" w:rsidRDefault="00B21E27" w:rsidP="00264BC9">
            <w:pPr>
              <w:numPr>
                <w:ilvl w:val="0"/>
                <w:numId w:val="116"/>
              </w:numPr>
              <w:spacing w:line="241" w:lineRule="auto"/>
              <w:ind w:right="73"/>
              <w:jc w:val="both"/>
              <w:rPr>
                <w:rFonts w:ascii="Abadi" w:hAnsi="Abadi"/>
                <w:sz w:val="21"/>
                <w:szCs w:val="21"/>
              </w:rPr>
            </w:pPr>
            <w:r w:rsidRPr="00C5545D">
              <w:rPr>
                <w:rFonts w:ascii="Abadi" w:eastAsia="Verdana" w:hAnsi="Abadi" w:cs="Verdana"/>
                <w:sz w:val="21"/>
                <w:szCs w:val="21"/>
              </w:rPr>
              <w:t xml:space="preserve">Celebrar convenios de coordinación o colaboración en materia de cultura física y deporte; </w:t>
            </w:r>
          </w:p>
          <w:p w14:paraId="42135AC0"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B8D3EB4" w14:textId="77777777" w:rsidR="00B21E27" w:rsidRPr="00C5545D" w:rsidRDefault="00B21E27" w:rsidP="00264BC9">
            <w:pPr>
              <w:numPr>
                <w:ilvl w:val="0"/>
                <w:numId w:val="116"/>
              </w:numPr>
              <w:spacing w:after="2" w:line="241" w:lineRule="auto"/>
              <w:ind w:right="73"/>
              <w:jc w:val="both"/>
              <w:rPr>
                <w:rFonts w:ascii="Abadi" w:hAnsi="Abadi"/>
                <w:sz w:val="21"/>
                <w:szCs w:val="21"/>
              </w:rPr>
            </w:pPr>
            <w:r w:rsidRPr="00C5545D">
              <w:rPr>
                <w:rFonts w:ascii="Abadi" w:eastAsia="Verdana" w:hAnsi="Abadi" w:cs="Verdana"/>
                <w:sz w:val="21"/>
                <w:szCs w:val="21"/>
              </w:rPr>
              <w:t xml:space="preserve">Integrar en sus programas y anteproyecto de presupuesto, las acciones y recursos necesarios para el cumplimiento de sus atribuciones; </w:t>
            </w:r>
          </w:p>
          <w:p w14:paraId="74AB801D"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25EDB22" w14:textId="77777777" w:rsidR="00B21E27" w:rsidRPr="00C5545D" w:rsidRDefault="00B21E27" w:rsidP="00264BC9">
            <w:pPr>
              <w:numPr>
                <w:ilvl w:val="0"/>
                <w:numId w:val="116"/>
              </w:numPr>
              <w:ind w:right="73"/>
              <w:jc w:val="both"/>
              <w:rPr>
                <w:rFonts w:ascii="Abadi" w:hAnsi="Abadi"/>
                <w:sz w:val="21"/>
                <w:szCs w:val="21"/>
              </w:rPr>
            </w:pPr>
            <w:r w:rsidRPr="00C5545D">
              <w:rPr>
                <w:rFonts w:ascii="Abadi" w:eastAsia="Verdana" w:hAnsi="Abadi" w:cs="Verdana"/>
                <w:sz w:val="21"/>
                <w:szCs w:val="21"/>
              </w:rPr>
              <w:t xml:space="preserve">Promover la cultura física y el deporte a través de los medios de comunicación; </w:t>
            </w:r>
          </w:p>
          <w:p w14:paraId="3C099845"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57235EB7"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02F56F8C" w14:textId="77777777" w:rsidR="00B21E27" w:rsidRPr="00C5545D" w:rsidRDefault="00B21E27" w:rsidP="00264BC9">
            <w:pPr>
              <w:numPr>
                <w:ilvl w:val="0"/>
                <w:numId w:val="116"/>
              </w:numPr>
              <w:spacing w:after="2"/>
              <w:ind w:right="73"/>
              <w:jc w:val="both"/>
              <w:rPr>
                <w:rFonts w:ascii="Abadi" w:hAnsi="Abadi"/>
                <w:sz w:val="21"/>
                <w:szCs w:val="21"/>
              </w:rPr>
            </w:pPr>
            <w:r w:rsidRPr="00C5545D">
              <w:rPr>
                <w:rFonts w:ascii="Abadi" w:eastAsia="Verdana" w:hAnsi="Abadi" w:cs="Verdana"/>
                <w:sz w:val="21"/>
                <w:szCs w:val="21"/>
              </w:rPr>
              <w:t xml:space="preserve">Gestionar en su municipio la inscripción en el Registro; </w:t>
            </w:r>
          </w:p>
          <w:p w14:paraId="1CC4F1E7"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A80EC8F" w14:textId="77777777" w:rsidR="00B21E27" w:rsidRPr="00C5545D" w:rsidRDefault="00B21E27" w:rsidP="00264BC9">
            <w:pPr>
              <w:numPr>
                <w:ilvl w:val="0"/>
                <w:numId w:val="116"/>
              </w:numPr>
              <w:spacing w:line="241" w:lineRule="auto"/>
              <w:ind w:right="73"/>
              <w:jc w:val="both"/>
              <w:rPr>
                <w:rFonts w:ascii="Abadi" w:hAnsi="Abadi"/>
                <w:sz w:val="21"/>
                <w:szCs w:val="21"/>
              </w:rPr>
            </w:pPr>
            <w:r w:rsidRPr="00C5545D">
              <w:rPr>
                <w:rFonts w:ascii="Abadi" w:eastAsia="Verdana" w:hAnsi="Abadi" w:cs="Verdana"/>
                <w:sz w:val="21"/>
                <w:szCs w:val="21"/>
              </w:rPr>
              <w:t xml:space="preserve">Promover la realización de torneos, competencias y campeonatos de cultura física y deporte en condiciones </w:t>
            </w:r>
            <w:r w:rsidRPr="00C5545D">
              <w:rPr>
                <w:rFonts w:ascii="Abadi" w:eastAsia="Verdana" w:hAnsi="Abadi" w:cs="Verdana"/>
                <w:b/>
                <w:sz w:val="21"/>
                <w:szCs w:val="21"/>
              </w:rPr>
              <w:t xml:space="preserve">de igualdad y sin discriminación de ninguna especie, fomentando la integración social, la igualdad entre el hombre y la mujer, la inclusión de sectores vulnerables o invisibles y los derechos humanos, evitando la </w:t>
            </w:r>
          </w:p>
          <w:p w14:paraId="4EFFF8EC"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b/>
                <w:sz w:val="21"/>
                <w:szCs w:val="21"/>
              </w:rPr>
              <w:t>violencia de cualquier especie</w:t>
            </w:r>
            <w:r w:rsidRPr="00C5545D">
              <w:rPr>
                <w:rFonts w:ascii="Abadi" w:eastAsia="Verdana" w:hAnsi="Abadi" w:cs="Verdana"/>
                <w:sz w:val="21"/>
                <w:szCs w:val="21"/>
              </w:rPr>
              <w:t xml:space="preserve">; </w:t>
            </w:r>
          </w:p>
          <w:p w14:paraId="4CFD60CE"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2F77AE55" w14:textId="77777777" w:rsidR="00B21E27" w:rsidRPr="00C5545D" w:rsidRDefault="00B21E27" w:rsidP="00264BC9">
            <w:pPr>
              <w:numPr>
                <w:ilvl w:val="0"/>
                <w:numId w:val="116"/>
              </w:numPr>
              <w:spacing w:line="241" w:lineRule="auto"/>
              <w:ind w:right="73"/>
              <w:jc w:val="both"/>
              <w:rPr>
                <w:rFonts w:ascii="Abadi" w:hAnsi="Abadi"/>
                <w:sz w:val="21"/>
                <w:szCs w:val="21"/>
              </w:rPr>
            </w:pPr>
            <w:r w:rsidRPr="00C5545D">
              <w:rPr>
                <w:rFonts w:ascii="Abadi" w:eastAsia="Verdana" w:hAnsi="Abadi" w:cs="Verdana"/>
                <w:sz w:val="21"/>
                <w:szCs w:val="21"/>
              </w:rPr>
              <w:t xml:space="preserve">Fijar las bases a las que se sujetará la participación de deportistas, en competencias y eventos municipales en congruencia con las disposiciones federales y estatales vigentes; </w:t>
            </w:r>
          </w:p>
          <w:p w14:paraId="1D67B126" w14:textId="77777777" w:rsidR="00B21E27" w:rsidRPr="00C5545D" w:rsidRDefault="00B21E27"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4377AC83" w14:textId="77777777" w:rsidR="00C22489" w:rsidRPr="00C5545D" w:rsidRDefault="00C22489" w:rsidP="00264BC9">
            <w:pPr>
              <w:numPr>
                <w:ilvl w:val="0"/>
                <w:numId w:val="118"/>
              </w:numPr>
              <w:spacing w:after="2"/>
              <w:ind w:right="72"/>
              <w:jc w:val="both"/>
              <w:rPr>
                <w:rFonts w:ascii="Abadi" w:hAnsi="Abadi"/>
                <w:sz w:val="21"/>
                <w:szCs w:val="21"/>
              </w:rPr>
            </w:pPr>
            <w:r w:rsidRPr="00C5545D">
              <w:rPr>
                <w:rFonts w:ascii="Abadi" w:eastAsia="Verdana" w:hAnsi="Abadi" w:cs="Verdana"/>
                <w:sz w:val="21"/>
                <w:szCs w:val="21"/>
              </w:rPr>
              <w:t xml:space="preserve">Asesorar a los habitantes y organismos del municipio, que así lo soliciten en cultura física y deporte; </w:t>
            </w:r>
          </w:p>
          <w:p w14:paraId="61220729" w14:textId="77777777" w:rsidR="00C22489" w:rsidRPr="00C5545D" w:rsidRDefault="00C22489"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179AD79" w14:textId="77777777" w:rsidR="00C22489" w:rsidRPr="00C5545D" w:rsidRDefault="00C22489" w:rsidP="00264BC9">
            <w:pPr>
              <w:numPr>
                <w:ilvl w:val="0"/>
                <w:numId w:val="118"/>
              </w:numPr>
              <w:spacing w:after="2"/>
              <w:ind w:right="72"/>
              <w:jc w:val="both"/>
              <w:rPr>
                <w:rFonts w:ascii="Abadi" w:hAnsi="Abadi"/>
                <w:sz w:val="21"/>
                <w:szCs w:val="21"/>
              </w:rPr>
            </w:pPr>
            <w:r w:rsidRPr="00C5545D">
              <w:rPr>
                <w:rFonts w:ascii="Abadi" w:eastAsia="Verdana" w:hAnsi="Abadi" w:cs="Verdana"/>
                <w:sz w:val="21"/>
                <w:szCs w:val="21"/>
              </w:rPr>
              <w:t xml:space="preserve">Imponer las sanciones que establece esta Ley en el ámbito de su competencia; </w:t>
            </w:r>
          </w:p>
          <w:p w14:paraId="6400E547" w14:textId="77777777" w:rsidR="00C22489" w:rsidRPr="00C5545D" w:rsidRDefault="00C22489"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1168CB68" w14:textId="77777777" w:rsidR="00C22489" w:rsidRDefault="00C22489" w:rsidP="00264BC9">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77465B1D" w14:textId="77777777" w:rsidR="00264BC9" w:rsidRPr="00C5545D" w:rsidRDefault="00264BC9" w:rsidP="00264BC9">
            <w:pPr>
              <w:spacing w:line="259" w:lineRule="auto"/>
              <w:jc w:val="both"/>
              <w:rPr>
                <w:rFonts w:ascii="Abadi" w:hAnsi="Abadi"/>
                <w:sz w:val="21"/>
                <w:szCs w:val="21"/>
              </w:rPr>
            </w:pPr>
          </w:p>
          <w:p w14:paraId="7C501CDC" w14:textId="77777777" w:rsidR="00C22489" w:rsidRPr="00C5545D" w:rsidRDefault="00C22489" w:rsidP="00264BC9">
            <w:pPr>
              <w:numPr>
                <w:ilvl w:val="0"/>
                <w:numId w:val="118"/>
              </w:numPr>
              <w:spacing w:after="2" w:line="241" w:lineRule="auto"/>
              <w:ind w:right="72"/>
              <w:jc w:val="both"/>
              <w:rPr>
                <w:rFonts w:ascii="Abadi" w:hAnsi="Abadi"/>
                <w:sz w:val="21"/>
                <w:szCs w:val="21"/>
              </w:rPr>
            </w:pPr>
            <w:r w:rsidRPr="00C5545D">
              <w:rPr>
                <w:rFonts w:ascii="Abadi" w:eastAsia="Verdana" w:hAnsi="Abadi" w:cs="Verdana"/>
                <w:sz w:val="21"/>
                <w:szCs w:val="21"/>
              </w:rPr>
              <w:t>Implementar programas de capacitación en materia deportiva</w:t>
            </w:r>
            <w:r w:rsidRPr="00C5545D">
              <w:rPr>
                <w:rFonts w:ascii="Abadi" w:eastAsia="Verdana" w:hAnsi="Abadi" w:cs="Verdana"/>
                <w:b/>
                <w:sz w:val="21"/>
                <w:szCs w:val="21"/>
              </w:rPr>
              <w:t xml:space="preserve">, </w:t>
            </w:r>
            <w:r w:rsidRPr="00C5545D">
              <w:rPr>
                <w:rFonts w:ascii="Abadi" w:eastAsia="Verdana" w:hAnsi="Abadi" w:cs="Verdana"/>
                <w:b/>
                <w:sz w:val="21"/>
                <w:szCs w:val="21"/>
              </w:rPr>
              <w:lastRenderedPageBreak/>
              <w:t xml:space="preserve">así como en derechos humanos, perspectiva de género, inclusión, no discriminación, no violencia, interés superior de la niñez, sectores sociales vulnerables o invisibles </w:t>
            </w:r>
            <w:r w:rsidRPr="00C5545D">
              <w:rPr>
                <w:rFonts w:ascii="Abadi" w:eastAsia="Verdana" w:hAnsi="Abadi" w:cs="Verdana"/>
                <w:sz w:val="21"/>
                <w:szCs w:val="21"/>
              </w:rPr>
              <w:t xml:space="preserve">y formación a especialistas, deportistas profesionales, directivos, jueces, árbitros y entrenadores; </w:t>
            </w:r>
          </w:p>
          <w:p w14:paraId="28701A16" w14:textId="77777777" w:rsidR="00C22489" w:rsidRPr="00C5545D" w:rsidRDefault="00C22489"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6FA582B3" w14:textId="77777777" w:rsidR="00C22489" w:rsidRPr="00C5545D" w:rsidRDefault="00C22489" w:rsidP="00264BC9">
            <w:pPr>
              <w:numPr>
                <w:ilvl w:val="0"/>
                <w:numId w:val="118"/>
              </w:numPr>
              <w:spacing w:after="2"/>
              <w:ind w:right="72"/>
              <w:jc w:val="both"/>
              <w:rPr>
                <w:rFonts w:ascii="Abadi" w:hAnsi="Abadi"/>
                <w:sz w:val="21"/>
                <w:szCs w:val="21"/>
              </w:rPr>
            </w:pPr>
            <w:r w:rsidRPr="00C5545D">
              <w:rPr>
                <w:rFonts w:ascii="Abadi" w:eastAsia="Verdana" w:hAnsi="Abadi" w:cs="Verdana"/>
                <w:sz w:val="21"/>
                <w:szCs w:val="21"/>
              </w:rPr>
              <w:t xml:space="preserve">Presentar al ayuntamiento el proyecto anual de actividades en materia de cultura física y deporte; </w:t>
            </w:r>
          </w:p>
          <w:p w14:paraId="3B93FC85" w14:textId="77777777" w:rsidR="00C22489" w:rsidRPr="00C5545D" w:rsidRDefault="00C22489"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374B5EF2" w14:textId="77777777" w:rsidR="00C22489" w:rsidRPr="007325FA" w:rsidRDefault="00C22489" w:rsidP="00264BC9">
            <w:pPr>
              <w:numPr>
                <w:ilvl w:val="0"/>
                <w:numId w:val="118"/>
              </w:numPr>
              <w:spacing w:line="241" w:lineRule="auto"/>
              <w:ind w:right="72"/>
              <w:jc w:val="both"/>
              <w:rPr>
                <w:rFonts w:ascii="Abadi" w:hAnsi="Abadi"/>
                <w:sz w:val="21"/>
                <w:szCs w:val="21"/>
              </w:rPr>
            </w:pPr>
            <w:r w:rsidRPr="00C5545D">
              <w:rPr>
                <w:rFonts w:ascii="Abadi" w:eastAsia="Verdana" w:hAnsi="Abadi" w:cs="Verdana"/>
                <w:sz w:val="21"/>
                <w:szCs w:val="21"/>
              </w:rPr>
              <w:t xml:space="preserve">Promover ante la autoridad competente procedimientos administrativos para clausurar las instalaciones que no cumplan con los requisitos que establezca la normatividad aplicable, que </w:t>
            </w:r>
            <w:r w:rsidRPr="00C5545D">
              <w:rPr>
                <w:rFonts w:ascii="Abadi" w:eastAsia="Verdana" w:hAnsi="Abadi" w:cs="Verdana"/>
                <w:b/>
                <w:sz w:val="21"/>
                <w:szCs w:val="21"/>
              </w:rPr>
              <w:t>el personal realice cualquier acción de violencia o manifestaciones de discriminación de cualquier índole</w:t>
            </w:r>
            <w:r w:rsidRPr="00C5545D">
              <w:rPr>
                <w:rFonts w:ascii="Abadi" w:eastAsia="Verdana" w:hAnsi="Abadi" w:cs="Verdana"/>
                <w:sz w:val="21"/>
                <w:szCs w:val="21"/>
              </w:rPr>
              <w:t xml:space="preserve"> </w:t>
            </w:r>
            <w:r w:rsidRPr="00C5545D">
              <w:rPr>
                <w:rFonts w:ascii="Abadi" w:eastAsia="Verdana" w:hAnsi="Abadi" w:cs="Verdana"/>
                <w:b/>
                <w:sz w:val="21"/>
                <w:szCs w:val="21"/>
              </w:rPr>
              <w:t>o que permitan a los usuarios la introducción, venta o consumo de bebidas alcohólicas, sustancias psicotrópicas o enervantes prohibidas por las leyes de la materia</w:t>
            </w:r>
            <w:r w:rsidRPr="00C5545D">
              <w:rPr>
                <w:rFonts w:ascii="Abadi" w:eastAsia="Verdana" w:hAnsi="Abadi" w:cs="Verdana"/>
                <w:sz w:val="21"/>
                <w:szCs w:val="21"/>
              </w:rPr>
              <w:t xml:space="preserve">; y </w:t>
            </w:r>
          </w:p>
          <w:p w14:paraId="496E6ABF" w14:textId="77777777" w:rsidR="007325FA" w:rsidRDefault="007325FA" w:rsidP="00264BC9">
            <w:pPr>
              <w:pStyle w:val="Prrafodelista"/>
              <w:jc w:val="both"/>
              <w:rPr>
                <w:rFonts w:ascii="Abadi" w:hAnsi="Abadi"/>
                <w:sz w:val="21"/>
                <w:szCs w:val="21"/>
              </w:rPr>
            </w:pPr>
          </w:p>
          <w:p w14:paraId="3F4B5E53" w14:textId="51B1FC68" w:rsidR="007325FA" w:rsidRPr="00C5545D" w:rsidRDefault="007325FA" w:rsidP="00264BC9">
            <w:pPr>
              <w:numPr>
                <w:ilvl w:val="0"/>
                <w:numId w:val="118"/>
              </w:numPr>
              <w:spacing w:line="241" w:lineRule="auto"/>
              <w:ind w:right="72"/>
              <w:jc w:val="both"/>
              <w:rPr>
                <w:rFonts w:ascii="Abadi" w:hAnsi="Abadi"/>
                <w:sz w:val="21"/>
                <w:szCs w:val="21"/>
              </w:rPr>
            </w:pPr>
            <w:r w:rsidRPr="00C5545D">
              <w:rPr>
                <w:rFonts w:ascii="Abadi" w:eastAsia="Verdana" w:hAnsi="Abadi" w:cs="Verdana"/>
                <w:sz w:val="21"/>
                <w:szCs w:val="21"/>
              </w:rPr>
              <w:t>Las demás que les otorguen esta Ley y otros ordenamientos aplicables.</w:t>
            </w:r>
          </w:p>
          <w:p w14:paraId="61864194" w14:textId="77777777" w:rsidR="00C22489" w:rsidRPr="00C5545D" w:rsidRDefault="00C22489" w:rsidP="00264BC9">
            <w:pPr>
              <w:spacing w:line="259" w:lineRule="auto"/>
              <w:jc w:val="both"/>
              <w:rPr>
                <w:rFonts w:ascii="Abadi" w:hAnsi="Abadi"/>
                <w:sz w:val="21"/>
                <w:szCs w:val="21"/>
              </w:rPr>
            </w:pPr>
            <w:r w:rsidRPr="00C5545D">
              <w:rPr>
                <w:rFonts w:ascii="Abadi" w:eastAsia="Verdana" w:hAnsi="Abadi" w:cs="Verdana"/>
                <w:sz w:val="21"/>
                <w:szCs w:val="21"/>
              </w:rPr>
              <w:t xml:space="preserve"> </w:t>
            </w:r>
          </w:p>
          <w:p w14:paraId="7C1781C3" w14:textId="4A58F4BE" w:rsidR="00B21E27" w:rsidRPr="00695491" w:rsidRDefault="00B21E27" w:rsidP="00264BC9">
            <w:pPr>
              <w:ind w:right="4"/>
              <w:jc w:val="both"/>
              <w:rPr>
                <w:rFonts w:ascii="Abadi" w:hAnsi="Abadi"/>
                <w:sz w:val="21"/>
                <w:szCs w:val="21"/>
              </w:rPr>
            </w:pPr>
          </w:p>
        </w:tc>
      </w:tr>
      <w:tr w:rsidR="00AA1FAF" w:rsidRPr="00695491" w14:paraId="40693A42" w14:textId="77777777" w:rsidTr="008305DC">
        <w:tc>
          <w:tcPr>
            <w:tcW w:w="1891" w:type="dxa"/>
          </w:tcPr>
          <w:p w14:paraId="50CAEC1C" w14:textId="77777777" w:rsidR="00AA1FAF" w:rsidRPr="00C5545D" w:rsidRDefault="00AA1FAF" w:rsidP="00AA1FAF">
            <w:pPr>
              <w:spacing w:line="259" w:lineRule="auto"/>
              <w:ind w:right="72"/>
              <w:jc w:val="right"/>
              <w:rPr>
                <w:rFonts w:ascii="Abadi" w:hAnsi="Abadi"/>
                <w:sz w:val="21"/>
                <w:szCs w:val="21"/>
              </w:rPr>
            </w:pPr>
            <w:r w:rsidRPr="00C5545D">
              <w:rPr>
                <w:rFonts w:ascii="Abadi" w:eastAsia="Verdana" w:hAnsi="Abadi" w:cs="Verdana"/>
                <w:b/>
                <w:sz w:val="21"/>
                <w:szCs w:val="21"/>
              </w:rPr>
              <w:lastRenderedPageBreak/>
              <w:t xml:space="preserve">Coordinación, Colaboración y </w:t>
            </w:r>
          </w:p>
          <w:p w14:paraId="13D0C0F9" w14:textId="77777777" w:rsidR="00AA1FAF" w:rsidRPr="00C5545D" w:rsidRDefault="00AA1FAF" w:rsidP="00AA1FAF">
            <w:pPr>
              <w:spacing w:line="259" w:lineRule="auto"/>
              <w:ind w:right="73"/>
              <w:jc w:val="right"/>
              <w:rPr>
                <w:rFonts w:ascii="Abadi" w:hAnsi="Abadi"/>
                <w:sz w:val="21"/>
                <w:szCs w:val="21"/>
              </w:rPr>
            </w:pPr>
            <w:r w:rsidRPr="00C5545D">
              <w:rPr>
                <w:rFonts w:ascii="Abadi" w:eastAsia="Verdana" w:hAnsi="Abadi" w:cs="Verdana"/>
                <w:b/>
                <w:sz w:val="21"/>
                <w:szCs w:val="21"/>
              </w:rPr>
              <w:t xml:space="preserve">Concertación </w:t>
            </w:r>
          </w:p>
          <w:p w14:paraId="4A87CFEC" w14:textId="77777777" w:rsidR="00AA1FAF" w:rsidRPr="00C5545D" w:rsidRDefault="00AA1FAF" w:rsidP="00AA1FAF">
            <w:pPr>
              <w:spacing w:line="259" w:lineRule="auto"/>
              <w:ind w:right="2"/>
              <w:jc w:val="right"/>
              <w:rPr>
                <w:rFonts w:ascii="Abadi" w:hAnsi="Abadi"/>
                <w:sz w:val="21"/>
                <w:szCs w:val="21"/>
              </w:rPr>
            </w:pPr>
            <w:r w:rsidRPr="00C5545D">
              <w:rPr>
                <w:rFonts w:ascii="Abadi" w:eastAsia="Verdana" w:hAnsi="Abadi" w:cs="Verdana"/>
                <w:b/>
                <w:sz w:val="21"/>
                <w:szCs w:val="21"/>
              </w:rPr>
              <w:t xml:space="preserve"> </w:t>
            </w:r>
          </w:p>
          <w:p w14:paraId="574064CE" w14:textId="77777777" w:rsidR="00AA1FAF" w:rsidRPr="00C5545D" w:rsidRDefault="00AA1FAF" w:rsidP="003B6799">
            <w:pPr>
              <w:spacing w:line="241" w:lineRule="auto"/>
              <w:ind w:right="73"/>
              <w:jc w:val="both"/>
              <w:rPr>
                <w:rFonts w:ascii="Abadi" w:hAnsi="Abadi"/>
                <w:sz w:val="21"/>
                <w:szCs w:val="21"/>
              </w:rPr>
            </w:pPr>
            <w:r w:rsidRPr="00C5545D">
              <w:rPr>
                <w:rFonts w:ascii="Abadi" w:eastAsia="Verdana" w:hAnsi="Abadi" w:cs="Verdana"/>
                <w:sz w:val="21"/>
                <w:szCs w:val="21"/>
              </w:rPr>
              <w:t xml:space="preserve">Artículo 46. El Ejecutivo del Estado a través de la CODE y los municipios, promoverán acciones de coordinación, colaboración, y concertación con los sectores público, social y privado que tengan por objetivo el desarrollo óptimo de la cultura física y el deporte en el Estado. </w:t>
            </w:r>
          </w:p>
          <w:p w14:paraId="67483A09" w14:textId="77777777" w:rsidR="00AA1FAF" w:rsidRPr="00695491" w:rsidRDefault="00AA1FAF" w:rsidP="00AA1FAF">
            <w:pPr>
              <w:ind w:right="4"/>
              <w:jc w:val="both"/>
              <w:rPr>
                <w:rFonts w:ascii="Abadi" w:hAnsi="Abadi"/>
                <w:sz w:val="21"/>
                <w:szCs w:val="21"/>
              </w:rPr>
            </w:pPr>
          </w:p>
        </w:tc>
        <w:tc>
          <w:tcPr>
            <w:tcW w:w="2073" w:type="dxa"/>
          </w:tcPr>
          <w:p w14:paraId="7901286E" w14:textId="77777777" w:rsidR="00AA1FAF" w:rsidRPr="00C5545D" w:rsidRDefault="00AA1FAF" w:rsidP="003B6799">
            <w:pPr>
              <w:spacing w:line="259" w:lineRule="auto"/>
              <w:ind w:right="72"/>
              <w:jc w:val="both"/>
              <w:rPr>
                <w:rFonts w:ascii="Abadi" w:hAnsi="Abadi"/>
                <w:sz w:val="21"/>
                <w:szCs w:val="21"/>
              </w:rPr>
            </w:pPr>
            <w:r w:rsidRPr="00C5545D">
              <w:rPr>
                <w:rFonts w:ascii="Abadi" w:eastAsia="Verdana" w:hAnsi="Abadi" w:cs="Verdana"/>
                <w:b/>
                <w:sz w:val="21"/>
                <w:szCs w:val="21"/>
              </w:rPr>
              <w:t xml:space="preserve">Coordinación, Colaboración y </w:t>
            </w:r>
          </w:p>
          <w:p w14:paraId="3C78EFA2" w14:textId="77777777" w:rsidR="00AA1FAF" w:rsidRPr="00C5545D" w:rsidRDefault="00AA1FAF" w:rsidP="003B6799">
            <w:pPr>
              <w:spacing w:line="259" w:lineRule="auto"/>
              <w:ind w:right="73"/>
              <w:jc w:val="both"/>
              <w:rPr>
                <w:rFonts w:ascii="Abadi" w:hAnsi="Abadi"/>
                <w:sz w:val="21"/>
                <w:szCs w:val="21"/>
              </w:rPr>
            </w:pPr>
            <w:r w:rsidRPr="00C5545D">
              <w:rPr>
                <w:rFonts w:ascii="Abadi" w:eastAsia="Verdana" w:hAnsi="Abadi" w:cs="Verdana"/>
                <w:b/>
                <w:sz w:val="21"/>
                <w:szCs w:val="21"/>
              </w:rPr>
              <w:t xml:space="preserve">Concertación </w:t>
            </w:r>
          </w:p>
          <w:p w14:paraId="068DF472" w14:textId="77777777" w:rsidR="00AA1FAF" w:rsidRPr="00C5545D" w:rsidRDefault="00AA1FAF" w:rsidP="003B6799">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0EE75DAF" w14:textId="77777777" w:rsidR="00AA1FAF" w:rsidRPr="00C5545D" w:rsidRDefault="00AA1FAF" w:rsidP="003B6799">
            <w:pPr>
              <w:spacing w:line="241" w:lineRule="auto"/>
              <w:ind w:right="73"/>
              <w:jc w:val="both"/>
              <w:rPr>
                <w:rFonts w:ascii="Abadi" w:hAnsi="Abadi"/>
                <w:sz w:val="21"/>
                <w:szCs w:val="21"/>
              </w:rPr>
            </w:pPr>
            <w:r w:rsidRPr="00C5545D">
              <w:rPr>
                <w:rFonts w:ascii="Abadi" w:eastAsia="Verdana" w:hAnsi="Abadi" w:cs="Verdana"/>
                <w:sz w:val="21"/>
                <w:szCs w:val="21"/>
              </w:rPr>
              <w:t xml:space="preserve">Artículo 46. El Ejecutivo del Estado a través de la CODE y los municipios, promoverán acciones de coordinación, colaboración, y concertación con los sectores público, social y privado que tengan por objetivo el desarrollo óptimo, </w:t>
            </w:r>
            <w:r w:rsidRPr="00C5545D">
              <w:rPr>
                <w:rFonts w:ascii="Abadi" w:eastAsia="Verdana" w:hAnsi="Abadi" w:cs="Verdana"/>
                <w:b/>
                <w:sz w:val="21"/>
                <w:szCs w:val="21"/>
              </w:rPr>
              <w:t>con perspectiva de género, inclusiva, sin discriminación o violencia</w:t>
            </w:r>
            <w:r w:rsidRPr="00C5545D">
              <w:rPr>
                <w:rFonts w:ascii="Abadi" w:eastAsia="Verdana" w:hAnsi="Abadi" w:cs="Verdana"/>
                <w:sz w:val="21"/>
                <w:szCs w:val="21"/>
              </w:rPr>
              <w:t xml:space="preserve"> de la cultura física y el deporte en el Estado. </w:t>
            </w:r>
          </w:p>
          <w:p w14:paraId="58E7670D" w14:textId="5D01B2C0" w:rsidR="00AA1FAF" w:rsidRPr="00695491" w:rsidRDefault="00AA1FAF" w:rsidP="003B6799">
            <w:pPr>
              <w:ind w:right="4"/>
              <w:jc w:val="both"/>
              <w:rPr>
                <w:rFonts w:ascii="Abadi" w:hAnsi="Abadi"/>
                <w:sz w:val="21"/>
                <w:szCs w:val="21"/>
              </w:rPr>
            </w:pPr>
            <w:r w:rsidRPr="00C5545D">
              <w:rPr>
                <w:rFonts w:ascii="Abadi" w:eastAsia="Verdana" w:hAnsi="Abadi" w:cs="Verdana"/>
                <w:b/>
                <w:sz w:val="21"/>
                <w:szCs w:val="21"/>
              </w:rPr>
              <w:t xml:space="preserve"> </w:t>
            </w:r>
          </w:p>
        </w:tc>
      </w:tr>
      <w:tr w:rsidR="00F61AC2" w:rsidRPr="00695491" w14:paraId="45D38DF3" w14:textId="77777777" w:rsidTr="008305DC">
        <w:tc>
          <w:tcPr>
            <w:tcW w:w="1891" w:type="dxa"/>
          </w:tcPr>
          <w:p w14:paraId="11B572C2" w14:textId="77777777" w:rsidR="00F61AC2" w:rsidRPr="00C5545D" w:rsidRDefault="00F61AC2" w:rsidP="00754883">
            <w:pPr>
              <w:spacing w:after="59" w:line="241" w:lineRule="auto"/>
              <w:ind w:right="72"/>
              <w:jc w:val="both"/>
              <w:rPr>
                <w:rFonts w:ascii="Abadi" w:hAnsi="Abadi"/>
                <w:sz w:val="21"/>
                <w:szCs w:val="21"/>
              </w:rPr>
            </w:pPr>
            <w:r w:rsidRPr="00C5545D">
              <w:rPr>
                <w:rFonts w:ascii="Abadi" w:eastAsia="Verdana" w:hAnsi="Abadi" w:cs="Verdana"/>
                <w:sz w:val="21"/>
                <w:szCs w:val="21"/>
              </w:rPr>
              <w:t xml:space="preserve">VIII. Promover los mecanismos y acciones encaminados a prevenir la violencia en eventos deportivos y garantizar el desarrollo pacífico en los recintos donde se celebren eventos deportivos masivos y con fines de espectáculo y en sus inmediaciones, así como la seguridad y patrimonio de las </w:t>
            </w:r>
            <w:r w:rsidRPr="00C5545D">
              <w:rPr>
                <w:rFonts w:ascii="Abadi" w:eastAsia="Verdana" w:hAnsi="Abadi" w:cs="Verdana"/>
                <w:sz w:val="21"/>
                <w:szCs w:val="21"/>
              </w:rPr>
              <w:lastRenderedPageBreak/>
              <w:t xml:space="preserve">personas, en coordinación con las autoridades de Seguridad Pública, Privada y de Protección Civil correspondientes. </w:t>
            </w:r>
          </w:p>
          <w:p w14:paraId="4E0F18B6" w14:textId="1B1F5A9A" w:rsidR="00F61AC2" w:rsidRPr="00695491" w:rsidRDefault="00F61AC2" w:rsidP="00F61AC2">
            <w:pPr>
              <w:ind w:right="4"/>
              <w:jc w:val="both"/>
              <w:rPr>
                <w:rFonts w:ascii="Abadi" w:hAnsi="Abadi"/>
                <w:sz w:val="21"/>
                <w:szCs w:val="21"/>
              </w:rPr>
            </w:pPr>
          </w:p>
        </w:tc>
        <w:tc>
          <w:tcPr>
            <w:tcW w:w="2073" w:type="dxa"/>
          </w:tcPr>
          <w:p w14:paraId="30CEFBD0" w14:textId="77777777" w:rsidR="00F61AC2" w:rsidRPr="00C5545D" w:rsidRDefault="00F61AC2" w:rsidP="009F1218">
            <w:pPr>
              <w:ind w:right="72"/>
              <w:jc w:val="both"/>
              <w:rPr>
                <w:rFonts w:ascii="Abadi" w:hAnsi="Abadi"/>
                <w:sz w:val="21"/>
                <w:szCs w:val="21"/>
              </w:rPr>
            </w:pPr>
            <w:r w:rsidRPr="00C5545D">
              <w:rPr>
                <w:rFonts w:ascii="Abadi" w:eastAsia="Verdana" w:hAnsi="Abadi" w:cs="Verdana"/>
                <w:b/>
                <w:sz w:val="21"/>
                <w:szCs w:val="21"/>
              </w:rPr>
              <w:lastRenderedPageBreak/>
              <w:t xml:space="preserve">Promoción de la participación del sector social y privado </w:t>
            </w:r>
          </w:p>
          <w:p w14:paraId="0F9F17A2" w14:textId="77777777" w:rsidR="00F61AC2" w:rsidRPr="00C5545D" w:rsidRDefault="00F61AC2" w:rsidP="009F1218">
            <w:pPr>
              <w:spacing w:line="259" w:lineRule="auto"/>
              <w:ind w:right="1"/>
              <w:jc w:val="both"/>
              <w:rPr>
                <w:rFonts w:ascii="Abadi" w:hAnsi="Abadi"/>
                <w:sz w:val="21"/>
                <w:szCs w:val="21"/>
              </w:rPr>
            </w:pPr>
            <w:r w:rsidRPr="00C5545D">
              <w:rPr>
                <w:rFonts w:ascii="Abadi" w:eastAsia="Verdana" w:hAnsi="Abadi" w:cs="Verdana"/>
                <w:b/>
                <w:sz w:val="21"/>
                <w:szCs w:val="21"/>
              </w:rPr>
              <w:t xml:space="preserve"> </w:t>
            </w:r>
          </w:p>
          <w:p w14:paraId="655A56C0" w14:textId="77777777" w:rsidR="00F61AC2" w:rsidRPr="00C5545D" w:rsidRDefault="00F61AC2" w:rsidP="009F1218">
            <w:pPr>
              <w:spacing w:line="241" w:lineRule="auto"/>
              <w:ind w:right="76"/>
              <w:jc w:val="both"/>
              <w:rPr>
                <w:rFonts w:ascii="Abadi" w:hAnsi="Abadi"/>
                <w:sz w:val="21"/>
                <w:szCs w:val="21"/>
              </w:rPr>
            </w:pPr>
            <w:r w:rsidRPr="00C5545D">
              <w:rPr>
                <w:rFonts w:ascii="Abadi" w:eastAsia="Verdana" w:hAnsi="Abadi" w:cs="Verdana"/>
                <w:sz w:val="21"/>
                <w:szCs w:val="21"/>
              </w:rPr>
              <w:t xml:space="preserve">Artículo 48. El Ejecutivo del Estado, a través de la CODE y los municipios promoverán con el sector social y privado, la participación y colaboración activa para: </w:t>
            </w:r>
          </w:p>
          <w:p w14:paraId="55BEE6BB"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17A66BC1"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66807A17" w14:textId="77777777" w:rsidR="00F61AC2" w:rsidRPr="00C5545D" w:rsidRDefault="00F61AC2" w:rsidP="00C77D22">
            <w:pPr>
              <w:numPr>
                <w:ilvl w:val="0"/>
                <w:numId w:val="119"/>
              </w:numPr>
              <w:spacing w:line="242" w:lineRule="auto"/>
              <w:ind w:right="72"/>
              <w:jc w:val="both"/>
              <w:rPr>
                <w:rFonts w:ascii="Abadi" w:hAnsi="Abadi"/>
                <w:sz w:val="21"/>
                <w:szCs w:val="21"/>
              </w:rPr>
            </w:pPr>
            <w:r w:rsidRPr="00C5545D">
              <w:rPr>
                <w:rFonts w:ascii="Abadi" w:eastAsia="Verdana" w:hAnsi="Abadi" w:cs="Verdana"/>
                <w:sz w:val="21"/>
                <w:szCs w:val="21"/>
              </w:rPr>
              <w:t xml:space="preserve">Establecer en sus respectivos ámbitos de </w:t>
            </w:r>
            <w:r w:rsidRPr="00C5545D">
              <w:rPr>
                <w:rFonts w:ascii="Abadi" w:eastAsia="Verdana" w:hAnsi="Abadi" w:cs="Verdana"/>
                <w:sz w:val="21"/>
                <w:szCs w:val="21"/>
              </w:rPr>
              <w:lastRenderedPageBreak/>
              <w:t xml:space="preserve">competencia el Sistema Estatal y </w:t>
            </w:r>
          </w:p>
          <w:p w14:paraId="69D8C049"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Municipales de cultura física y deporte; </w:t>
            </w:r>
          </w:p>
          <w:p w14:paraId="3B559AFE"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E27E062"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AD7EED6" w14:textId="6112BFA3" w:rsidR="00F61AC2" w:rsidRPr="00C5545D" w:rsidRDefault="00F61AC2" w:rsidP="00C77D22">
            <w:pPr>
              <w:numPr>
                <w:ilvl w:val="0"/>
                <w:numId w:val="119"/>
              </w:numPr>
              <w:ind w:right="72"/>
              <w:jc w:val="both"/>
              <w:rPr>
                <w:rFonts w:ascii="Abadi" w:hAnsi="Abadi"/>
                <w:sz w:val="21"/>
                <w:szCs w:val="21"/>
              </w:rPr>
            </w:pPr>
            <w:r w:rsidRPr="00C5545D">
              <w:rPr>
                <w:rFonts w:ascii="Abadi" w:eastAsia="Verdana" w:hAnsi="Abadi" w:cs="Verdana"/>
                <w:sz w:val="21"/>
                <w:szCs w:val="21"/>
              </w:rPr>
              <w:t>Promover la iniciación y garantizar el acceso a la práctica de las actividades de cultura física-deportiva, recreativo</w:t>
            </w:r>
            <w:r w:rsidR="00B755F5">
              <w:rPr>
                <w:rFonts w:ascii="Abadi" w:eastAsia="Verdana" w:hAnsi="Abadi" w:cs="Verdana"/>
                <w:sz w:val="21"/>
                <w:szCs w:val="21"/>
              </w:rPr>
              <w:t xml:space="preserve"> </w:t>
            </w:r>
            <w:r w:rsidRPr="00C5545D">
              <w:rPr>
                <w:rFonts w:ascii="Abadi" w:eastAsia="Verdana" w:hAnsi="Abadi" w:cs="Verdana"/>
                <w:sz w:val="21"/>
                <w:szCs w:val="21"/>
              </w:rPr>
              <w:t xml:space="preserve">deportivas, de deporte en la rehabilitación y deporte a la población en general, en todas sus manifestaciones y expresiones; </w:t>
            </w:r>
          </w:p>
          <w:p w14:paraId="08F25C6A"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4D00BB9"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C5EA168" w14:textId="77777777" w:rsidR="00F61AC2" w:rsidRPr="00C5545D" w:rsidRDefault="00F61AC2" w:rsidP="00C77D22">
            <w:pPr>
              <w:numPr>
                <w:ilvl w:val="0"/>
                <w:numId w:val="119"/>
              </w:numPr>
              <w:spacing w:line="259" w:lineRule="auto"/>
              <w:ind w:right="72"/>
              <w:jc w:val="both"/>
              <w:rPr>
                <w:rFonts w:ascii="Abadi" w:hAnsi="Abadi"/>
                <w:sz w:val="21"/>
                <w:szCs w:val="21"/>
              </w:rPr>
            </w:pPr>
            <w:r w:rsidRPr="00C5545D">
              <w:rPr>
                <w:rFonts w:ascii="Abadi" w:eastAsia="Verdana" w:hAnsi="Abadi" w:cs="Verdana"/>
                <w:sz w:val="21"/>
                <w:szCs w:val="21"/>
              </w:rPr>
              <w:t xml:space="preserve">Ejecutar y dar seguimiento al Programa </w:t>
            </w:r>
          </w:p>
          <w:p w14:paraId="6562ED84"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Estatal de Cultura Física y Deporte; </w:t>
            </w:r>
          </w:p>
          <w:p w14:paraId="1F3EDFE2"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A1FAF67"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C98D524" w14:textId="77777777" w:rsidR="00F61AC2" w:rsidRPr="00C5545D" w:rsidRDefault="00F61AC2" w:rsidP="00C77D22">
            <w:pPr>
              <w:numPr>
                <w:ilvl w:val="0"/>
                <w:numId w:val="119"/>
              </w:numPr>
              <w:spacing w:line="241" w:lineRule="auto"/>
              <w:ind w:right="72"/>
              <w:jc w:val="both"/>
              <w:rPr>
                <w:rFonts w:ascii="Abadi" w:hAnsi="Abadi"/>
                <w:sz w:val="21"/>
                <w:szCs w:val="21"/>
              </w:rPr>
            </w:pPr>
            <w:r w:rsidRPr="00C5545D">
              <w:rPr>
                <w:rFonts w:ascii="Abadi" w:eastAsia="Verdana" w:hAnsi="Abadi" w:cs="Verdana"/>
                <w:sz w:val="21"/>
                <w:szCs w:val="21"/>
              </w:rPr>
              <w:t xml:space="preserve">Promover la construcción, adecuación, conservación y aprovechamiento óptimo de la infraestructura para la cultura física y el deporte, en coordinación con las respectivas Asociaciones Deportivas y de acuerdo a las Normas Oficiales y demás disposiciones que para tal efecto expida la </w:t>
            </w:r>
          </w:p>
          <w:p w14:paraId="4E358DEF"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dependencia correspondiente; </w:t>
            </w:r>
          </w:p>
          <w:p w14:paraId="7792EB14"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A5155A0"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D4EC299"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18C61DD" w14:textId="77777777" w:rsidR="00F61AC2" w:rsidRPr="00C5545D" w:rsidRDefault="00F61AC2" w:rsidP="00C77D22">
            <w:pPr>
              <w:numPr>
                <w:ilvl w:val="0"/>
                <w:numId w:val="119"/>
              </w:numPr>
              <w:spacing w:line="241" w:lineRule="auto"/>
              <w:ind w:right="72"/>
              <w:jc w:val="both"/>
              <w:rPr>
                <w:rFonts w:ascii="Abadi" w:hAnsi="Abadi"/>
                <w:sz w:val="21"/>
                <w:szCs w:val="21"/>
              </w:rPr>
            </w:pPr>
            <w:r w:rsidRPr="00C5545D">
              <w:rPr>
                <w:rFonts w:ascii="Abadi" w:eastAsia="Verdana" w:hAnsi="Abadi" w:cs="Verdana"/>
                <w:sz w:val="21"/>
                <w:szCs w:val="21"/>
              </w:rPr>
              <w:t xml:space="preserve">Formular y ejecutar políticas públicas, que fomenten actividades físicas y deportivas </w:t>
            </w:r>
            <w:r w:rsidRPr="00C5545D">
              <w:rPr>
                <w:rFonts w:ascii="Abadi" w:eastAsia="Verdana" w:hAnsi="Abadi" w:cs="Verdana"/>
                <w:b/>
                <w:sz w:val="21"/>
                <w:szCs w:val="21"/>
              </w:rPr>
              <w:t>sociales, de rendimiento o de alto rendimiento</w:t>
            </w:r>
            <w:r w:rsidRPr="00C5545D">
              <w:rPr>
                <w:rFonts w:ascii="Abadi" w:eastAsia="Verdana" w:hAnsi="Abadi" w:cs="Verdana"/>
                <w:sz w:val="21"/>
                <w:szCs w:val="21"/>
              </w:rPr>
              <w:t xml:space="preserve"> destinadas a las personas con discapacidad</w:t>
            </w:r>
            <w:r w:rsidRPr="00C5545D">
              <w:rPr>
                <w:rFonts w:ascii="Abadi" w:eastAsia="Verdana" w:hAnsi="Abadi" w:cs="Verdana"/>
                <w:b/>
                <w:sz w:val="21"/>
                <w:szCs w:val="21"/>
              </w:rPr>
              <w:t>, con igualdad y perspectiva de género</w:t>
            </w:r>
            <w:r w:rsidRPr="00C5545D">
              <w:rPr>
                <w:rFonts w:ascii="Abadi" w:eastAsia="Verdana" w:hAnsi="Abadi" w:cs="Verdana"/>
                <w:sz w:val="21"/>
                <w:szCs w:val="21"/>
              </w:rPr>
              <w:t xml:space="preserve">; </w:t>
            </w:r>
          </w:p>
          <w:p w14:paraId="119345E9"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9EDC154" w14:textId="77777777" w:rsidR="00F61AC2" w:rsidRPr="00C5545D" w:rsidRDefault="00F61AC2" w:rsidP="00C77D22">
            <w:pPr>
              <w:numPr>
                <w:ilvl w:val="0"/>
                <w:numId w:val="119"/>
              </w:numPr>
              <w:spacing w:line="241" w:lineRule="auto"/>
              <w:ind w:right="72"/>
              <w:jc w:val="both"/>
              <w:rPr>
                <w:rFonts w:ascii="Abadi" w:hAnsi="Abadi"/>
                <w:sz w:val="21"/>
                <w:szCs w:val="21"/>
              </w:rPr>
            </w:pPr>
            <w:r w:rsidRPr="00C5545D">
              <w:rPr>
                <w:rFonts w:ascii="Abadi" w:eastAsia="Verdana" w:hAnsi="Abadi" w:cs="Verdana"/>
                <w:sz w:val="21"/>
                <w:szCs w:val="21"/>
              </w:rPr>
              <w:t xml:space="preserve">Dar seguimiento y ejecutar las políticas y planes aprobados por el SINADE, el Sistema Estatal y los Sistemas Municipales en su caso; </w:t>
            </w:r>
          </w:p>
          <w:p w14:paraId="111E8A83" w14:textId="77777777" w:rsidR="00F61AC2" w:rsidRPr="00C5545D" w:rsidRDefault="00F61AC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AC48657" w14:textId="77777777" w:rsidR="00F61AC2" w:rsidRDefault="00F61AC2" w:rsidP="009F1218">
            <w:pPr>
              <w:ind w:right="4"/>
              <w:jc w:val="both"/>
              <w:rPr>
                <w:rFonts w:ascii="Abadi" w:eastAsia="Verdana" w:hAnsi="Abadi" w:cs="Verdana"/>
                <w:sz w:val="21"/>
                <w:szCs w:val="21"/>
              </w:rPr>
            </w:pPr>
            <w:r w:rsidRPr="00C5545D">
              <w:rPr>
                <w:rFonts w:ascii="Abadi" w:eastAsia="Verdana" w:hAnsi="Abadi" w:cs="Verdana"/>
                <w:sz w:val="21"/>
                <w:szCs w:val="21"/>
              </w:rPr>
              <w:t>Establecer procedimientos de difusión y promoción en materia de cultura física y deporte; y</w:t>
            </w:r>
          </w:p>
          <w:p w14:paraId="23AE6ED8" w14:textId="77777777" w:rsidR="00F61AC2" w:rsidRDefault="00F61AC2" w:rsidP="009F1218">
            <w:pPr>
              <w:ind w:right="4"/>
              <w:jc w:val="both"/>
              <w:rPr>
                <w:rFonts w:ascii="Abadi" w:eastAsia="Verdana" w:hAnsi="Abadi" w:cs="Verdana"/>
                <w:sz w:val="21"/>
                <w:szCs w:val="21"/>
              </w:rPr>
            </w:pPr>
          </w:p>
          <w:p w14:paraId="75DF09E4" w14:textId="77777777" w:rsidR="00F61AC2" w:rsidRPr="00C5545D" w:rsidRDefault="00F61AC2" w:rsidP="009F1218">
            <w:pPr>
              <w:spacing w:after="59" w:line="241" w:lineRule="auto"/>
              <w:ind w:right="72"/>
              <w:jc w:val="both"/>
              <w:rPr>
                <w:rFonts w:ascii="Abadi" w:hAnsi="Abadi"/>
                <w:sz w:val="21"/>
                <w:szCs w:val="21"/>
              </w:rPr>
            </w:pPr>
            <w:r w:rsidRPr="00C5545D">
              <w:rPr>
                <w:rFonts w:ascii="Abadi" w:eastAsia="Verdana" w:hAnsi="Abadi" w:cs="Verdana"/>
                <w:sz w:val="21"/>
                <w:szCs w:val="21"/>
              </w:rPr>
              <w:t xml:space="preserve">VIII. Promover los mecanismos y acciones encaminados a prevenir la violencia en eventos deportivos y garantizar el desarrollo pacífico en los recintos donde se celebren eventos deportivos masivos y con fines de espectáculo y en sus inmediaciones, así como la seguridad y patrimonio de las personas, en coordinación con </w:t>
            </w:r>
            <w:r w:rsidRPr="00C5545D">
              <w:rPr>
                <w:rFonts w:ascii="Abadi" w:eastAsia="Verdana" w:hAnsi="Abadi" w:cs="Verdana"/>
                <w:sz w:val="21"/>
                <w:szCs w:val="21"/>
              </w:rPr>
              <w:lastRenderedPageBreak/>
              <w:t xml:space="preserve">las autoridades de Seguridad Pública, Privada y de Protección Civil correspondientes. </w:t>
            </w:r>
          </w:p>
          <w:p w14:paraId="3433E48C" w14:textId="5BB472A5" w:rsidR="00F61AC2" w:rsidRPr="00695491" w:rsidRDefault="00F61AC2" w:rsidP="009F1218">
            <w:pPr>
              <w:ind w:right="4"/>
              <w:jc w:val="both"/>
              <w:rPr>
                <w:rFonts w:ascii="Abadi" w:hAnsi="Abadi"/>
                <w:sz w:val="21"/>
                <w:szCs w:val="21"/>
              </w:rPr>
            </w:pPr>
          </w:p>
        </w:tc>
      </w:tr>
      <w:tr w:rsidR="00F61AC2" w:rsidRPr="00695491" w14:paraId="2C23FEEA" w14:textId="77777777" w:rsidTr="008305DC">
        <w:tc>
          <w:tcPr>
            <w:tcW w:w="1891" w:type="dxa"/>
          </w:tcPr>
          <w:p w14:paraId="7C1DAD81" w14:textId="77777777" w:rsidR="00A74A4C" w:rsidRPr="00C5545D" w:rsidRDefault="00A74A4C" w:rsidP="009F1218">
            <w:pPr>
              <w:spacing w:line="259" w:lineRule="auto"/>
              <w:ind w:right="74"/>
              <w:jc w:val="both"/>
              <w:rPr>
                <w:rFonts w:ascii="Abadi" w:hAnsi="Abadi"/>
                <w:sz w:val="21"/>
                <w:szCs w:val="21"/>
              </w:rPr>
            </w:pPr>
            <w:r w:rsidRPr="00C5545D">
              <w:rPr>
                <w:rFonts w:ascii="Abadi" w:eastAsia="Verdana" w:hAnsi="Abadi" w:cs="Verdana"/>
                <w:b/>
                <w:sz w:val="21"/>
                <w:szCs w:val="21"/>
              </w:rPr>
              <w:lastRenderedPageBreak/>
              <w:t xml:space="preserve">Participación de las Instituciones </w:t>
            </w:r>
          </w:p>
          <w:p w14:paraId="199632A4" w14:textId="77777777" w:rsidR="00A74A4C" w:rsidRPr="00C5545D" w:rsidRDefault="00A74A4C" w:rsidP="009F1218">
            <w:pPr>
              <w:spacing w:line="259" w:lineRule="auto"/>
              <w:ind w:right="72"/>
              <w:jc w:val="both"/>
              <w:rPr>
                <w:rFonts w:ascii="Abadi" w:hAnsi="Abadi"/>
                <w:sz w:val="21"/>
                <w:szCs w:val="21"/>
              </w:rPr>
            </w:pPr>
            <w:r w:rsidRPr="00C5545D">
              <w:rPr>
                <w:rFonts w:ascii="Abadi" w:eastAsia="Verdana" w:hAnsi="Abadi" w:cs="Verdana"/>
                <w:b/>
                <w:sz w:val="21"/>
                <w:szCs w:val="21"/>
              </w:rPr>
              <w:t xml:space="preserve">Educativas </w:t>
            </w:r>
          </w:p>
          <w:p w14:paraId="32216BF6" w14:textId="77777777" w:rsidR="00A74A4C" w:rsidRPr="00C5545D" w:rsidRDefault="00A74A4C" w:rsidP="009F1218">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4737808D" w14:textId="77777777" w:rsidR="00A74A4C" w:rsidRPr="00C5545D" w:rsidRDefault="00A74A4C" w:rsidP="009F1218">
            <w:pPr>
              <w:spacing w:after="59" w:line="241" w:lineRule="auto"/>
              <w:ind w:right="72"/>
              <w:jc w:val="both"/>
              <w:rPr>
                <w:rFonts w:ascii="Abadi" w:hAnsi="Abadi"/>
                <w:sz w:val="21"/>
                <w:szCs w:val="21"/>
              </w:rPr>
            </w:pPr>
            <w:r w:rsidRPr="00C5545D">
              <w:rPr>
                <w:rFonts w:ascii="Abadi" w:eastAsia="Verdana" w:hAnsi="Abadi" w:cs="Verdana"/>
                <w:sz w:val="21"/>
                <w:szCs w:val="21"/>
              </w:rPr>
              <w:t xml:space="preserve">Artículo 50. La CODE podrá colaborar con universidades e instituciones de educación media superior y superior, con la finalidad de conjuntar esfuerzos para el desarrollo educativo y deportivo de deportistas. </w:t>
            </w:r>
          </w:p>
          <w:p w14:paraId="6EFAD2ED" w14:textId="77777777" w:rsidR="00F61AC2" w:rsidRPr="00695491" w:rsidRDefault="00F61AC2" w:rsidP="009F1218">
            <w:pPr>
              <w:ind w:right="4"/>
              <w:jc w:val="both"/>
              <w:rPr>
                <w:rFonts w:ascii="Abadi" w:hAnsi="Abadi"/>
                <w:sz w:val="21"/>
                <w:szCs w:val="21"/>
              </w:rPr>
            </w:pPr>
          </w:p>
        </w:tc>
        <w:tc>
          <w:tcPr>
            <w:tcW w:w="2073" w:type="dxa"/>
          </w:tcPr>
          <w:p w14:paraId="5E66F040" w14:textId="77777777" w:rsidR="009A7E9F" w:rsidRPr="00C5545D" w:rsidRDefault="009A7E9F" w:rsidP="009F1218">
            <w:pPr>
              <w:spacing w:line="259" w:lineRule="auto"/>
              <w:ind w:right="74"/>
              <w:jc w:val="both"/>
              <w:rPr>
                <w:rFonts w:ascii="Abadi" w:hAnsi="Abadi"/>
                <w:sz w:val="21"/>
                <w:szCs w:val="21"/>
              </w:rPr>
            </w:pPr>
            <w:r w:rsidRPr="00C5545D">
              <w:rPr>
                <w:rFonts w:ascii="Abadi" w:eastAsia="Verdana" w:hAnsi="Abadi" w:cs="Verdana"/>
                <w:b/>
                <w:sz w:val="21"/>
                <w:szCs w:val="21"/>
              </w:rPr>
              <w:t xml:space="preserve">Participación de las Instituciones </w:t>
            </w:r>
          </w:p>
          <w:p w14:paraId="2E1BAC2E" w14:textId="77777777" w:rsidR="009A7E9F" w:rsidRPr="00C5545D" w:rsidRDefault="009A7E9F" w:rsidP="009F1218">
            <w:pPr>
              <w:spacing w:line="259" w:lineRule="auto"/>
              <w:ind w:right="73"/>
              <w:jc w:val="both"/>
              <w:rPr>
                <w:rFonts w:ascii="Abadi" w:hAnsi="Abadi"/>
                <w:sz w:val="21"/>
                <w:szCs w:val="21"/>
              </w:rPr>
            </w:pPr>
            <w:r w:rsidRPr="00C5545D">
              <w:rPr>
                <w:rFonts w:ascii="Abadi" w:eastAsia="Verdana" w:hAnsi="Abadi" w:cs="Verdana"/>
                <w:b/>
                <w:sz w:val="21"/>
                <w:szCs w:val="21"/>
              </w:rPr>
              <w:t xml:space="preserve">Educativas </w:t>
            </w:r>
          </w:p>
          <w:p w14:paraId="76A92DE2" w14:textId="77777777" w:rsidR="009A7E9F" w:rsidRPr="00C5545D" w:rsidRDefault="009A7E9F" w:rsidP="009F1218">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53523AC0" w14:textId="77777777" w:rsidR="009A7E9F" w:rsidRPr="00C5545D" w:rsidRDefault="009A7E9F" w:rsidP="009F1218">
            <w:pPr>
              <w:spacing w:after="59" w:line="241" w:lineRule="auto"/>
              <w:ind w:right="72"/>
              <w:jc w:val="both"/>
              <w:rPr>
                <w:rFonts w:ascii="Abadi" w:hAnsi="Abadi"/>
                <w:sz w:val="21"/>
                <w:szCs w:val="21"/>
              </w:rPr>
            </w:pPr>
            <w:r w:rsidRPr="00C5545D">
              <w:rPr>
                <w:rFonts w:ascii="Abadi" w:eastAsia="Verdana" w:hAnsi="Abadi" w:cs="Verdana"/>
                <w:sz w:val="21"/>
                <w:szCs w:val="21"/>
              </w:rPr>
              <w:t xml:space="preserve">Artículo 50. La CODE podrá colaborar con universidades e instituciones de educación media superior y superior, con la finalidad de conjuntar esfuerzos para el desarrollo educativo y deportivo de deportistas </w:t>
            </w:r>
            <w:r w:rsidRPr="00C5545D">
              <w:rPr>
                <w:rFonts w:ascii="Abadi" w:eastAsia="Verdana" w:hAnsi="Abadi" w:cs="Verdana"/>
                <w:b/>
                <w:sz w:val="21"/>
                <w:szCs w:val="21"/>
              </w:rPr>
              <w:t>con igualdad y perspectiva de género</w:t>
            </w:r>
            <w:r w:rsidRPr="00C5545D">
              <w:rPr>
                <w:rFonts w:ascii="Abadi" w:eastAsia="Verdana" w:hAnsi="Abadi" w:cs="Verdana"/>
                <w:sz w:val="21"/>
                <w:szCs w:val="21"/>
              </w:rPr>
              <w:t xml:space="preserve">. </w:t>
            </w:r>
          </w:p>
          <w:p w14:paraId="277AC6A9" w14:textId="77777777" w:rsidR="00F61AC2" w:rsidRPr="00695491" w:rsidRDefault="00F61AC2" w:rsidP="009F1218">
            <w:pPr>
              <w:ind w:right="4"/>
              <w:jc w:val="both"/>
              <w:rPr>
                <w:rFonts w:ascii="Abadi" w:hAnsi="Abadi"/>
                <w:sz w:val="21"/>
                <w:szCs w:val="21"/>
              </w:rPr>
            </w:pPr>
          </w:p>
        </w:tc>
      </w:tr>
      <w:tr w:rsidR="00F61AC2" w:rsidRPr="00695491" w14:paraId="18A21019" w14:textId="77777777" w:rsidTr="008305DC">
        <w:tc>
          <w:tcPr>
            <w:tcW w:w="1891" w:type="dxa"/>
          </w:tcPr>
          <w:p w14:paraId="72805A2D" w14:textId="77777777" w:rsidR="000207E6" w:rsidRPr="00C5545D" w:rsidRDefault="000207E6" w:rsidP="009F1218">
            <w:pPr>
              <w:ind w:right="70"/>
              <w:jc w:val="both"/>
              <w:rPr>
                <w:rFonts w:ascii="Abadi" w:hAnsi="Abadi"/>
                <w:sz w:val="21"/>
                <w:szCs w:val="21"/>
              </w:rPr>
            </w:pPr>
            <w:r w:rsidRPr="00C5545D">
              <w:rPr>
                <w:rFonts w:ascii="Abadi" w:eastAsia="Verdana" w:hAnsi="Abadi" w:cs="Verdana"/>
                <w:b/>
                <w:sz w:val="21"/>
                <w:szCs w:val="21"/>
              </w:rPr>
              <w:t xml:space="preserve">Reconocimiento de modalidades y categorías deportivas </w:t>
            </w:r>
          </w:p>
          <w:p w14:paraId="411061B7" w14:textId="77777777" w:rsidR="000207E6" w:rsidRPr="00C5545D" w:rsidRDefault="000207E6" w:rsidP="009F1218">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2C817C94" w14:textId="77777777" w:rsidR="000207E6" w:rsidRPr="00C5545D" w:rsidRDefault="000207E6" w:rsidP="009F1218">
            <w:pPr>
              <w:spacing w:after="2"/>
              <w:ind w:right="75"/>
              <w:jc w:val="both"/>
              <w:rPr>
                <w:rFonts w:ascii="Abadi" w:hAnsi="Abadi"/>
                <w:sz w:val="21"/>
                <w:szCs w:val="21"/>
              </w:rPr>
            </w:pPr>
            <w:r w:rsidRPr="00C5545D">
              <w:rPr>
                <w:rFonts w:ascii="Abadi" w:eastAsia="Verdana" w:hAnsi="Abadi" w:cs="Verdana"/>
                <w:sz w:val="21"/>
                <w:szCs w:val="21"/>
              </w:rPr>
              <w:t xml:space="preserve">Artículo 58. Para los efectos de este capítulo, se reconoce al deporte en todas sus modalidades y categorías deportivas, </w:t>
            </w:r>
            <w:proofErr w:type="spellStart"/>
            <w:r w:rsidRPr="00C5545D">
              <w:rPr>
                <w:rFonts w:ascii="Abadi" w:eastAsia="Verdana" w:hAnsi="Abadi" w:cs="Verdana"/>
                <w:sz w:val="21"/>
                <w:szCs w:val="21"/>
              </w:rPr>
              <w:t>incuyendo</w:t>
            </w:r>
            <w:proofErr w:type="spellEnd"/>
            <w:r w:rsidRPr="00C5545D">
              <w:rPr>
                <w:rFonts w:ascii="Abadi" w:eastAsia="Verdana" w:hAnsi="Abadi" w:cs="Verdana"/>
                <w:sz w:val="21"/>
                <w:szCs w:val="21"/>
              </w:rPr>
              <w:t xml:space="preserve"> (sic) el desarrollado por el sector estudiantil, el deporte para personas con discapacidad y el deporte para personas adultas mayores. </w:t>
            </w:r>
          </w:p>
          <w:p w14:paraId="7E94FE19" w14:textId="77777777" w:rsidR="000207E6" w:rsidRPr="00C5545D" w:rsidRDefault="000207E6" w:rsidP="009F1218">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1C9F3D79" w14:textId="77777777" w:rsidR="00F61AC2" w:rsidRPr="00695491" w:rsidRDefault="00F61AC2" w:rsidP="009F1218">
            <w:pPr>
              <w:ind w:right="4"/>
              <w:jc w:val="both"/>
              <w:rPr>
                <w:rFonts w:ascii="Abadi" w:hAnsi="Abadi"/>
                <w:sz w:val="21"/>
                <w:szCs w:val="21"/>
              </w:rPr>
            </w:pPr>
          </w:p>
        </w:tc>
        <w:tc>
          <w:tcPr>
            <w:tcW w:w="2073" w:type="dxa"/>
          </w:tcPr>
          <w:p w14:paraId="5FA4E5AC" w14:textId="77777777" w:rsidR="00F032A0" w:rsidRPr="00C5545D" w:rsidRDefault="00F032A0" w:rsidP="009F1218">
            <w:pPr>
              <w:ind w:right="73"/>
              <w:jc w:val="both"/>
              <w:rPr>
                <w:rFonts w:ascii="Abadi" w:hAnsi="Abadi"/>
                <w:sz w:val="21"/>
                <w:szCs w:val="21"/>
              </w:rPr>
            </w:pPr>
            <w:r w:rsidRPr="00C5545D">
              <w:rPr>
                <w:rFonts w:ascii="Abadi" w:eastAsia="Verdana" w:hAnsi="Abadi" w:cs="Verdana"/>
                <w:b/>
                <w:sz w:val="21"/>
                <w:szCs w:val="21"/>
              </w:rPr>
              <w:t xml:space="preserve">Reconocimiento de modalidades y categorías deportivas </w:t>
            </w:r>
          </w:p>
          <w:p w14:paraId="540BD13F" w14:textId="77777777" w:rsidR="00F032A0" w:rsidRPr="00C5545D" w:rsidRDefault="00F032A0" w:rsidP="009F1218">
            <w:pPr>
              <w:spacing w:line="259" w:lineRule="auto"/>
              <w:ind w:right="2"/>
              <w:jc w:val="both"/>
              <w:rPr>
                <w:rFonts w:ascii="Abadi" w:hAnsi="Abadi"/>
                <w:sz w:val="21"/>
                <w:szCs w:val="21"/>
              </w:rPr>
            </w:pPr>
            <w:r w:rsidRPr="00C5545D">
              <w:rPr>
                <w:rFonts w:ascii="Abadi" w:eastAsia="Verdana" w:hAnsi="Abadi" w:cs="Verdana"/>
                <w:b/>
                <w:sz w:val="21"/>
                <w:szCs w:val="21"/>
              </w:rPr>
              <w:t xml:space="preserve"> </w:t>
            </w:r>
          </w:p>
          <w:p w14:paraId="64674EF4" w14:textId="77777777" w:rsidR="00F032A0" w:rsidRPr="00C5545D" w:rsidRDefault="00F032A0" w:rsidP="009F1218">
            <w:pPr>
              <w:spacing w:after="59" w:line="241" w:lineRule="auto"/>
              <w:ind w:right="69"/>
              <w:jc w:val="both"/>
              <w:rPr>
                <w:rFonts w:ascii="Abadi" w:hAnsi="Abadi"/>
                <w:sz w:val="21"/>
                <w:szCs w:val="21"/>
              </w:rPr>
            </w:pPr>
            <w:r w:rsidRPr="00C5545D">
              <w:rPr>
                <w:rFonts w:ascii="Abadi" w:eastAsia="Verdana" w:hAnsi="Abadi" w:cs="Verdana"/>
                <w:sz w:val="21"/>
                <w:szCs w:val="21"/>
              </w:rPr>
              <w:t xml:space="preserve">Artículo 58. Para los efectos de este capítulo, se reconoce al deporte en todas sus modalidades y categorías deportivas, incluyendo (sic) el desarrollado por el </w:t>
            </w:r>
            <w:r w:rsidRPr="00C5545D">
              <w:rPr>
                <w:rFonts w:ascii="Abadi" w:eastAsia="Verdana" w:hAnsi="Abadi" w:cs="Verdana"/>
                <w:b/>
                <w:sz w:val="21"/>
                <w:szCs w:val="21"/>
              </w:rPr>
              <w:t>sector de la niñez,</w:t>
            </w:r>
            <w:r w:rsidRPr="00C5545D">
              <w:rPr>
                <w:rFonts w:ascii="Abadi" w:eastAsia="Verdana" w:hAnsi="Abadi" w:cs="Verdana"/>
                <w:sz w:val="21"/>
                <w:szCs w:val="21"/>
              </w:rPr>
              <w:t xml:space="preserve"> estudiantil, </w:t>
            </w:r>
            <w:r w:rsidRPr="00C5545D">
              <w:rPr>
                <w:rFonts w:ascii="Abadi" w:eastAsia="Verdana" w:hAnsi="Abadi" w:cs="Verdana"/>
                <w:b/>
                <w:sz w:val="21"/>
                <w:szCs w:val="21"/>
              </w:rPr>
              <w:t>el deporte sin preconcepciones de la masculinidad y feminidad, inclusivo por razón de género,</w:t>
            </w:r>
            <w:r w:rsidRPr="00C5545D">
              <w:rPr>
                <w:rFonts w:ascii="Abadi" w:eastAsia="Verdana" w:hAnsi="Abadi" w:cs="Verdana"/>
                <w:sz w:val="21"/>
                <w:szCs w:val="21"/>
              </w:rPr>
              <w:t xml:space="preserve"> para personas con discapacidad y para personas adultas mayores </w:t>
            </w:r>
          </w:p>
          <w:p w14:paraId="240616B6" w14:textId="77777777" w:rsidR="00F61AC2" w:rsidRPr="00695491" w:rsidRDefault="00F61AC2" w:rsidP="009F1218">
            <w:pPr>
              <w:ind w:right="4"/>
              <w:jc w:val="both"/>
              <w:rPr>
                <w:rFonts w:ascii="Abadi" w:hAnsi="Abadi"/>
                <w:sz w:val="21"/>
                <w:szCs w:val="21"/>
              </w:rPr>
            </w:pPr>
          </w:p>
        </w:tc>
      </w:tr>
      <w:tr w:rsidR="003C5FF5" w:rsidRPr="00695491" w14:paraId="50593B93" w14:textId="77777777" w:rsidTr="008305DC">
        <w:tc>
          <w:tcPr>
            <w:tcW w:w="1891" w:type="dxa"/>
          </w:tcPr>
          <w:p w14:paraId="54C4172A" w14:textId="77777777" w:rsidR="003C5FF5" w:rsidRPr="00C5545D" w:rsidRDefault="003C5FF5" w:rsidP="009F1218">
            <w:pPr>
              <w:spacing w:line="241" w:lineRule="auto"/>
              <w:ind w:right="74"/>
              <w:jc w:val="both"/>
              <w:rPr>
                <w:rFonts w:ascii="Abadi" w:hAnsi="Abadi"/>
                <w:sz w:val="21"/>
                <w:szCs w:val="21"/>
              </w:rPr>
            </w:pPr>
            <w:r w:rsidRPr="00C5545D">
              <w:rPr>
                <w:rFonts w:ascii="Abadi" w:eastAsia="Verdana" w:hAnsi="Abadi" w:cs="Verdana"/>
                <w:sz w:val="21"/>
                <w:szCs w:val="21"/>
              </w:rPr>
              <w:t xml:space="preserve">Artículo 63. Quienes realizan cultura física, los deportistas y entrenadores, tendrán las siguientes obligaciones, según les corresponda: </w:t>
            </w:r>
          </w:p>
          <w:p w14:paraId="01B98366"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4F28B10"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I. Observar una conducta apegada a </w:t>
            </w:r>
          </w:p>
          <w:p w14:paraId="27CDC8B2"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los principios éticos; </w:t>
            </w:r>
          </w:p>
          <w:p w14:paraId="1C992404" w14:textId="77777777" w:rsidR="003C5FF5" w:rsidRDefault="003C5FF5"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2230549C" w14:textId="77777777" w:rsidR="003C5FF5" w:rsidRDefault="003C5FF5" w:rsidP="009F1218">
            <w:pPr>
              <w:spacing w:line="259" w:lineRule="auto"/>
              <w:jc w:val="both"/>
              <w:rPr>
                <w:rFonts w:ascii="Abadi" w:eastAsia="Verdana" w:hAnsi="Abadi" w:cs="Verdana"/>
                <w:sz w:val="21"/>
                <w:szCs w:val="21"/>
              </w:rPr>
            </w:pPr>
          </w:p>
          <w:p w14:paraId="1EEA3CE0" w14:textId="77777777" w:rsidR="003C5FF5" w:rsidRPr="00C5545D" w:rsidRDefault="003C5FF5" w:rsidP="00C77D22">
            <w:pPr>
              <w:numPr>
                <w:ilvl w:val="0"/>
                <w:numId w:val="120"/>
              </w:numPr>
              <w:spacing w:line="241" w:lineRule="auto"/>
              <w:ind w:right="74"/>
              <w:jc w:val="both"/>
              <w:rPr>
                <w:rFonts w:ascii="Abadi" w:hAnsi="Abadi"/>
                <w:sz w:val="21"/>
                <w:szCs w:val="21"/>
              </w:rPr>
            </w:pPr>
            <w:r w:rsidRPr="00C5545D">
              <w:rPr>
                <w:rFonts w:ascii="Abadi" w:eastAsia="Verdana" w:hAnsi="Abadi" w:cs="Verdana"/>
                <w:sz w:val="21"/>
                <w:szCs w:val="21"/>
              </w:rPr>
              <w:t xml:space="preserve">Asistir y representar en competencias oficiales a su organismo deportivo, al municipio o al Estado, según corresponda; </w:t>
            </w:r>
          </w:p>
          <w:p w14:paraId="1B2E308C"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6093629" w14:textId="77777777" w:rsidR="003C5FF5" w:rsidRPr="00C5545D" w:rsidRDefault="003C5FF5" w:rsidP="00C77D22">
            <w:pPr>
              <w:numPr>
                <w:ilvl w:val="0"/>
                <w:numId w:val="120"/>
              </w:numPr>
              <w:spacing w:line="241" w:lineRule="auto"/>
              <w:ind w:right="74"/>
              <w:jc w:val="both"/>
              <w:rPr>
                <w:rFonts w:ascii="Abadi" w:hAnsi="Abadi"/>
                <w:sz w:val="21"/>
                <w:szCs w:val="21"/>
              </w:rPr>
            </w:pPr>
            <w:r w:rsidRPr="00C5545D">
              <w:rPr>
                <w:rFonts w:ascii="Abadi" w:eastAsia="Verdana" w:hAnsi="Abadi" w:cs="Verdana"/>
                <w:sz w:val="21"/>
                <w:szCs w:val="21"/>
              </w:rPr>
              <w:t xml:space="preserve">Cuidar y conservar en buen estado, las instalaciones en que practiquen la cultura física y el deporte; así como, enterar a las autoridades de las deficiencias y daños que presenten las mismas; </w:t>
            </w:r>
          </w:p>
          <w:p w14:paraId="3A6FB1CA"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6A0465A0" w14:textId="77777777" w:rsidR="003C5FF5" w:rsidRPr="00C5545D" w:rsidRDefault="003C5FF5" w:rsidP="00C77D22">
            <w:pPr>
              <w:numPr>
                <w:ilvl w:val="0"/>
                <w:numId w:val="120"/>
              </w:numPr>
              <w:spacing w:after="2" w:line="241" w:lineRule="auto"/>
              <w:ind w:right="74"/>
              <w:jc w:val="both"/>
              <w:rPr>
                <w:rFonts w:ascii="Abadi" w:hAnsi="Abadi"/>
                <w:sz w:val="21"/>
                <w:szCs w:val="21"/>
              </w:rPr>
            </w:pPr>
            <w:r w:rsidRPr="00C5545D">
              <w:rPr>
                <w:rFonts w:ascii="Abadi" w:eastAsia="Verdana" w:hAnsi="Abadi" w:cs="Verdana"/>
                <w:sz w:val="21"/>
                <w:szCs w:val="21"/>
              </w:rPr>
              <w:t xml:space="preserve">No consumir, usar o distribuir sustancias farmacológicas, o métodos considerados como prohibidos o restringidos por los organismos </w:t>
            </w:r>
            <w:r w:rsidRPr="00C5545D">
              <w:rPr>
                <w:rFonts w:ascii="Abadi" w:eastAsia="Verdana" w:hAnsi="Abadi" w:cs="Verdana"/>
                <w:sz w:val="21"/>
                <w:szCs w:val="21"/>
              </w:rPr>
              <w:lastRenderedPageBreak/>
              <w:t xml:space="preserve">deportivos nacionales o </w:t>
            </w:r>
          </w:p>
          <w:p w14:paraId="45BBA3C2"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internacionales; </w:t>
            </w:r>
          </w:p>
          <w:p w14:paraId="4A863440"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198F4EDF" w14:textId="77777777" w:rsidR="003C5FF5" w:rsidRPr="00C5545D" w:rsidRDefault="003C5FF5" w:rsidP="00C77D22">
            <w:pPr>
              <w:numPr>
                <w:ilvl w:val="0"/>
                <w:numId w:val="120"/>
              </w:numPr>
              <w:spacing w:line="241" w:lineRule="auto"/>
              <w:ind w:right="74"/>
              <w:jc w:val="both"/>
              <w:rPr>
                <w:rFonts w:ascii="Abadi" w:hAnsi="Abadi"/>
                <w:sz w:val="21"/>
                <w:szCs w:val="21"/>
              </w:rPr>
            </w:pPr>
            <w:r w:rsidRPr="00C5545D">
              <w:rPr>
                <w:rFonts w:ascii="Abadi" w:eastAsia="Verdana" w:hAnsi="Abadi" w:cs="Verdana"/>
                <w:sz w:val="21"/>
                <w:szCs w:val="21"/>
              </w:rPr>
              <w:t xml:space="preserve">Someterse al antidopaje durante las competiciones o fuera de ellas cuando sean requeridos por la CODE, sus asociaciones deportivas a las que pertenezca (sic), o cualquier otro organismo competente en la materia en su caso; </w:t>
            </w:r>
          </w:p>
          <w:p w14:paraId="29D18FC3"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67850201" w14:textId="77777777" w:rsidR="003C5FF5" w:rsidRPr="00C5545D" w:rsidRDefault="003C5FF5" w:rsidP="00C77D22">
            <w:pPr>
              <w:numPr>
                <w:ilvl w:val="0"/>
                <w:numId w:val="120"/>
              </w:numPr>
              <w:spacing w:line="241" w:lineRule="auto"/>
              <w:ind w:right="74"/>
              <w:jc w:val="both"/>
              <w:rPr>
                <w:rFonts w:ascii="Abadi" w:hAnsi="Abadi"/>
                <w:sz w:val="21"/>
                <w:szCs w:val="21"/>
              </w:rPr>
            </w:pPr>
            <w:r w:rsidRPr="00C5545D">
              <w:rPr>
                <w:rFonts w:ascii="Abadi" w:eastAsia="Verdana" w:hAnsi="Abadi" w:cs="Verdana"/>
                <w:sz w:val="21"/>
                <w:szCs w:val="21"/>
              </w:rPr>
              <w:t xml:space="preserve">En caso de recibir algún tipo de apoyo cumplir con los lineamientos y normatividad aplicable, así como lo establecido en los contratos o convenios correspondientes; y </w:t>
            </w:r>
          </w:p>
          <w:p w14:paraId="74AADC38"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24170FBC" w14:textId="794AA79E" w:rsidR="003C5FF5" w:rsidRPr="00CD2FA1" w:rsidRDefault="003C5FF5" w:rsidP="001B69F2">
            <w:pPr>
              <w:numPr>
                <w:ilvl w:val="0"/>
                <w:numId w:val="120"/>
              </w:numPr>
              <w:spacing w:after="2" w:line="259" w:lineRule="auto"/>
              <w:ind w:right="74"/>
              <w:jc w:val="both"/>
              <w:rPr>
                <w:rFonts w:ascii="Abadi" w:hAnsi="Abadi"/>
                <w:sz w:val="21"/>
                <w:szCs w:val="21"/>
              </w:rPr>
            </w:pPr>
            <w:r w:rsidRPr="00CD2FA1">
              <w:rPr>
                <w:rFonts w:ascii="Abadi" w:eastAsia="Verdana" w:hAnsi="Abadi" w:cs="Verdana"/>
                <w:sz w:val="21"/>
                <w:szCs w:val="21"/>
              </w:rPr>
              <w:t xml:space="preserve">Las demás que señalen las leyes y disposiciones jurídicas aplicables. </w:t>
            </w:r>
          </w:p>
          <w:p w14:paraId="23C3655B"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ED501D9" w14:textId="1A142788" w:rsidR="003C5FF5" w:rsidRPr="00695491" w:rsidRDefault="003C5FF5" w:rsidP="009F1218">
            <w:pPr>
              <w:ind w:right="4"/>
              <w:jc w:val="both"/>
              <w:rPr>
                <w:rFonts w:ascii="Abadi" w:hAnsi="Abadi"/>
                <w:sz w:val="21"/>
                <w:szCs w:val="21"/>
              </w:rPr>
            </w:pPr>
            <w:r w:rsidRPr="00C5545D">
              <w:rPr>
                <w:rFonts w:ascii="Abadi" w:eastAsia="Verdana" w:hAnsi="Abadi" w:cs="Verdana"/>
                <w:sz w:val="21"/>
                <w:szCs w:val="21"/>
              </w:rPr>
              <w:t xml:space="preserve"> </w:t>
            </w:r>
          </w:p>
        </w:tc>
        <w:tc>
          <w:tcPr>
            <w:tcW w:w="2073" w:type="dxa"/>
          </w:tcPr>
          <w:p w14:paraId="11D1B73E" w14:textId="77777777" w:rsidR="003C5FF5" w:rsidRPr="00C5545D" w:rsidRDefault="003C5FF5" w:rsidP="00C77D22">
            <w:pPr>
              <w:numPr>
                <w:ilvl w:val="0"/>
                <w:numId w:val="121"/>
              </w:numPr>
              <w:spacing w:after="2"/>
              <w:ind w:right="74"/>
              <w:jc w:val="both"/>
              <w:rPr>
                <w:rFonts w:ascii="Abadi" w:hAnsi="Abadi"/>
                <w:sz w:val="21"/>
                <w:szCs w:val="21"/>
              </w:rPr>
            </w:pPr>
            <w:r w:rsidRPr="00C5545D">
              <w:rPr>
                <w:rFonts w:ascii="Abadi" w:eastAsia="Verdana" w:hAnsi="Abadi" w:cs="Verdana"/>
                <w:sz w:val="21"/>
                <w:szCs w:val="21"/>
              </w:rPr>
              <w:lastRenderedPageBreak/>
              <w:t xml:space="preserve">Asistir y representar en competencias oficiales a su organismo deportivo, al municipio o al Estado, según corresponda; </w:t>
            </w:r>
          </w:p>
          <w:p w14:paraId="356F6EE3"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0EFDB822"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68DB6A3" w14:textId="77777777" w:rsidR="003C5FF5" w:rsidRPr="00C5545D" w:rsidRDefault="003C5FF5" w:rsidP="00C77D22">
            <w:pPr>
              <w:numPr>
                <w:ilvl w:val="0"/>
                <w:numId w:val="121"/>
              </w:numPr>
              <w:spacing w:line="241" w:lineRule="auto"/>
              <w:ind w:right="74"/>
              <w:jc w:val="both"/>
              <w:rPr>
                <w:rFonts w:ascii="Abadi" w:hAnsi="Abadi"/>
                <w:sz w:val="21"/>
                <w:szCs w:val="21"/>
              </w:rPr>
            </w:pPr>
            <w:r w:rsidRPr="00C5545D">
              <w:rPr>
                <w:rFonts w:ascii="Abadi" w:eastAsia="Verdana" w:hAnsi="Abadi" w:cs="Verdana"/>
                <w:sz w:val="21"/>
                <w:szCs w:val="21"/>
              </w:rPr>
              <w:t xml:space="preserve">Cuidar y conservar en buen estado, las instalaciones en que practiquen la cultura física y el deporte; así como, enterar a las autoridades de las deficiencias y daños que </w:t>
            </w:r>
          </w:p>
          <w:p w14:paraId="75A44D39"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presenten las mismas; </w:t>
            </w:r>
          </w:p>
          <w:p w14:paraId="3B3384E2"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27DB1A3"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6B148464" w14:textId="77777777" w:rsidR="003C5FF5" w:rsidRPr="00C5545D" w:rsidRDefault="003C5FF5" w:rsidP="00C77D22">
            <w:pPr>
              <w:numPr>
                <w:ilvl w:val="0"/>
                <w:numId w:val="121"/>
              </w:numPr>
              <w:spacing w:after="2" w:line="241" w:lineRule="auto"/>
              <w:ind w:right="74"/>
              <w:jc w:val="both"/>
              <w:rPr>
                <w:rFonts w:ascii="Abadi" w:hAnsi="Abadi"/>
                <w:sz w:val="21"/>
                <w:szCs w:val="21"/>
              </w:rPr>
            </w:pPr>
            <w:r w:rsidRPr="00C5545D">
              <w:rPr>
                <w:rFonts w:ascii="Abadi" w:eastAsia="Verdana" w:hAnsi="Abadi" w:cs="Verdana"/>
                <w:sz w:val="21"/>
                <w:szCs w:val="21"/>
              </w:rPr>
              <w:t xml:space="preserve">No consumir, usar o distribuir sustancias farmacológicas, o métodos considerados como prohibidos o restringidos por los organismos deportivos nacionales o internacionales; </w:t>
            </w:r>
          </w:p>
          <w:p w14:paraId="0D27E9CA"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F40AECB"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F7E755D" w14:textId="77777777" w:rsidR="003C5FF5" w:rsidRPr="00C5545D" w:rsidRDefault="003C5FF5" w:rsidP="00C77D22">
            <w:pPr>
              <w:numPr>
                <w:ilvl w:val="0"/>
                <w:numId w:val="121"/>
              </w:numPr>
              <w:spacing w:line="241" w:lineRule="auto"/>
              <w:ind w:right="74"/>
              <w:jc w:val="both"/>
              <w:rPr>
                <w:rFonts w:ascii="Abadi" w:hAnsi="Abadi"/>
                <w:sz w:val="21"/>
                <w:szCs w:val="21"/>
              </w:rPr>
            </w:pPr>
            <w:r w:rsidRPr="00C5545D">
              <w:rPr>
                <w:rFonts w:ascii="Abadi" w:eastAsia="Verdana" w:hAnsi="Abadi" w:cs="Verdana"/>
                <w:sz w:val="21"/>
                <w:szCs w:val="21"/>
              </w:rPr>
              <w:t xml:space="preserve">Someterse al antidopaje durante las competiciones o fuera de ellas cuando sean requeridos por la CODE, sus asociaciones deportivas a las que pertenezca (sic), o cualquier otro organismo </w:t>
            </w:r>
            <w:r w:rsidRPr="00C5545D">
              <w:rPr>
                <w:rFonts w:ascii="Abadi" w:eastAsia="Verdana" w:hAnsi="Abadi" w:cs="Verdana"/>
                <w:sz w:val="21"/>
                <w:szCs w:val="21"/>
              </w:rPr>
              <w:lastRenderedPageBreak/>
              <w:t xml:space="preserve">competente en la materia en su caso; </w:t>
            </w:r>
          </w:p>
          <w:p w14:paraId="316965E6" w14:textId="77777777" w:rsidR="003C5FF5" w:rsidRPr="00C5545D" w:rsidRDefault="003C5FF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376FECC" w14:textId="77777777" w:rsidR="003C5FF5" w:rsidRDefault="003C5FF5"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1ADDCCA7" w14:textId="77777777" w:rsidR="0091518B" w:rsidRDefault="0091518B" w:rsidP="009F1218">
            <w:pPr>
              <w:spacing w:line="259" w:lineRule="auto"/>
              <w:jc w:val="both"/>
              <w:rPr>
                <w:rFonts w:ascii="Abadi" w:hAnsi="Abadi"/>
                <w:sz w:val="21"/>
                <w:szCs w:val="21"/>
              </w:rPr>
            </w:pPr>
          </w:p>
          <w:p w14:paraId="1E8E5652" w14:textId="77777777" w:rsidR="0091518B" w:rsidRDefault="0091518B" w:rsidP="009F1218">
            <w:pPr>
              <w:spacing w:line="259" w:lineRule="auto"/>
              <w:jc w:val="both"/>
              <w:rPr>
                <w:rFonts w:ascii="Abadi" w:hAnsi="Abadi"/>
                <w:sz w:val="21"/>
                <w:szCs w:val="21"/>
              </w:rPr>
            </w:pPr>
          </w:p>
          <w:p w14:paraId="6AC3DA27" w14:textId="77777777" w:rsidR="0091518B" w:rsidRDefault="0091518B" w:rsidP="009F1218">
            <w:pPr>
              <w:spacing w:line="259" w:lineRule="auto"/>
              <w:jc w:val="both"/>
              <w:rPr>
                <w:rFonts w:ascii="Abadi" w:hAnsi="Abadi"/>
                <w:sz w:val="21"/>
                <w:szCs w:val="21"/>
              </w:rPr>
            </w:pPr>
          </w:p>
          <w:p w14:paraId="49AB4A82" w14:textId="77777777" w:rsidR="0091518B" w:rsidRDefault="0091518B" w:rsidP="009F1218">
            <w:pPr>
              <w:spacing w:line="259" w:lineRule="auto"/>
              <w:jc w:val="both"/>
              <w:rPr>
                <w:rFonts w:ascii="Abadi" w:hAnsi="Abadi"/>
                <w:sz w:val="21"/>
                <w:szCs w:val="21"/>
              </w:rPr>
            </w:pPr>
          </w:p>
          <w:p w14:paraId="480F3BE1" w14:textId="77777777" w:rsidR="0091518B" w:rsidRDefault="0091518B" w:rsidP="009F1218">
            <w:pPr>
              <w:spacing w:line="259" w:lineRule="auto"/>
              <w:jc w:val="both"/>
              <w:rPr>
                <w:rFonts w:ascii="Abadi" w:hAnsi="Abadi"/>
                <w:sz w:val="21"/>
                <w:szCs w:val="21"/>
              </w:rPr>
            </w:pPr>
          </w:p>
          <w:p w14:paraId="3BAAC45A" w14:textId="77777777" w:rsidR="0091518B" w:rsidRDefault="0091518B" w:rsidP="009F1218">
            <w:pPr>
              <w:spacing w:line="259" w:lineRule="auto"/>
              <w:jc w:val="both"/>
              <w:rPr>
                <w:rFonts w:ascii="Abadi" w:hAnsi="Abadi"/>
                <w:sz w:val="21"/>
                <w:szCs w:val="21"/>
              </w:rPr>
            </w:pPr>
          </w:p>
          <w:p w14:paraId="04A5F6CA" w14:textId="77777777" w:rsidR="0091518B" w:rsidRDefault="0091518B" w:rsidP="009F1218">
            <w:pPr>
              <w:spacing w:line="259" w:lineRule="auto"/>
              <w:jc w:val="both"/>
              <w:rPr>
                <w:rFonts w:ascii="Abadi" w:hAnsi="Abadi"/>
                <w:sz w:val="21"/>
                <w:szCs w:val="21"/>
              </w:rPr>
            </w:pPr>
          </w:p>
          <w:p w14:paraId="12383F94" w14:textId="77777777" w:rsidR="0091518B" w:rsidRDefault="0091518B" w:rsidP="009F1218">
            <w:pPr>
              <w:spacing w:line="259" w:lineRule="auto"/>
              <w:jc w:val="both"/>
              <w:rPr>
                <w:rFonts w:ascii="Abadi" w:hAnsi="Abadi"/>
                <w:sz w:val="21"/>
                <w:szCs w:val="21"/>
              </w:rPr>
            </w:pPr>
          </w:p>
          <w:p w14:paraId="7BB73A77" w14:textId="77777777" w:rsidR="0091518B" w:rsidRDefault="0091518B" w:rsidP="009F1218">
            <w:pPr>
              <w:spacing w:line="259" w:lineRule="auto"/>
              <w:jc w:val="both"/>
              <w:rPr>
                <w:rFonts w:ascii="Abadi" w:hAnsi="Abadi"/>
                <w:sz w:val="21"/>
                <w:szCs w:val="21"/>
              </w:rPr>
            </w:pPr>
          </w:p>
          <w:p w14:paraId="374722F4" w14:textId="77777777" w:rsidR="0091518B" w:rsidRDefault="0091518B" w:rsidP="009F1218">
            <w:pPr>
              <w:spacing w:line="259" w:lineRule="auto"/>
              <w:jc w:val="both"/>
              <w:rPr>
                <w:rFonts w:ascii="Abadi" w:hAnsi="Abadi"/>
                <w:sz w:val="21"/>
                <w:szCs w:val="21"/>
              </w:rPr>
            </w:pPr>
          </w:p>
          <w:p w14:paraId="17447C94" w14:textId="77777777" w:rsidR="0091518B" w:rsidRDefault="0091518B" w:rsidP="009F1218">
            <w:pPr>
              <w:spacing w:line="259" w:lineRule="auto"/>
              <w:jc w:val="both"/>
              <w:rPr>
                <w:rFonts w:ascii="Abadi" w:hAnsi="Abadi"/>
                <w:sz w:val="21"/>
                <w:szCs w:val="21"/>
              </w:rPr>
            </w:pPr>
          </w:p>
          <w:p w14:paraId="7EC0BAF0" w14:textId="77777777" w:rsidR="0091518B" w:rsidRDefault="0091518B" w:rsidP="009F1218">
            <w:pPr>
              <w:spacing w:line="259" w:lineRule="auto"/>
              <w:jc w:val="both"/>
              <w:rPr>
                <w:rFonts w:ascii="Abadi" w:hAnsi="Abadi"/>
                <w:sz w:val="21"/>
                <w:szCs w:val="21"/>
              </w:rPr>
            </w:pPr>
          </w:p>
          <w:p w14:paraId="563EE6F9" w14:textId="77777777" w:rsidR="0091518B" w:rsidRDefault="0091518B" w:rsidP="009F1218">
            <w:pPr>
              <w:spacing w:line="259" w:lineRule="auto"/>
              <w:jc w:val="both"/>
              <w:rPr>
                <w:rFonts w:ascii="Abadi" w:hAnsi="Abadi"/>
                <w:sz w:val="21"/>
                <w:szCs w:val="21"/>
              </w:rPr>
            </w:pPr>
          </w:p>
          <w:p w14:paraId="2FBB2D69" w14:textId="77777777" w:rsidR="0091518B" w:rsidRPr="00C5545D" w:rsidRDefault="0091518B" w:rsidP="009F1218">
            <w:pPr>
              <w:spacing w:line="259" w:lineRule="auto"/>
              <w:jc w:val="both"/>
              <w:rPr>
                <w:rFonts w:ascii="Abadi" w:hAnsi="Abadi"/>
                <w:sz w:val="21"/>
                <w:szCs w:val="21"/>
              </w:rPr>
            </w:pPr>
          </w:p>
          <w:p w14:paraId="7719B491" w14:textId="77777777" w:rsidR="003C5FF5" w:rsidRPr="00C5545D" w:rsidRDefault="003C5FF5" w:rsidP="00C77D22">
            <w:pPr>
              <w:numPr>
                <w:ilvl w:val="0"/>
                <w:numId w:val="121"/>
              </w:numPr>
              <w:spacing w:line="241" w:lineRule="auto"/>
              <w:ind w:right="74"/>
              <w:jc w:val="both"/>
              <w:rPr>
                <w:rFonts w:ascii="Abadi" w:hAnsi="Abadi"/>
                <w:sz w:val="21"/>
                <w:szCs w:val="21"/>
              </w:rPr>
            </w:pPr>
            <w:r w:rsidRPr="00C5545D">
              <w:rPr>
                <w:rFonts w:ascii="Abadi" w:eastAsia="Verdana" w:hAnsi="Abadi" w:cs="Verdana"/>
                <w:sz w:val="21"/>
                <w:szCs w:val="21"/>
              </w:rPr>
              <w:t xml:space="preserve">En caso de recibir algún tipo de apoyo cumplir con los lineamientos y normatividad aplicable, así como lo establecido en los contratos o convenios correspondientes; y </w:t>
            </w:r>
          </w:p>
          <w:p w14:paraId="3031246D" w14:textId="77777777" w:rsidR="003C5FF5" w:rsidRDefault="003C5FF5"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022ED720" w14:textId="77777777" w:rsidR="00CD2FA1" w:rsidRDefault="00CD2FA1" w:rsidP="009F1218">
            <w:pPr>
              <w:spacing w:line="259" w:lineRule="auto"/>
              <w:jc w:val="both"/>
              <w:rPr>
                <w:rFonts w:ascii="Abadi" w:hAnsi="Abadi"/>
                <w:sz w:val="21"/>
                <w:szCs w:val="21"/>
              </w:rPr>
            </w:pPr>
          </w:p>
          <w:p w14:paraId="3AED89F8" w14:textId="77777777" w:rsidR="00CD2FA1" w:rsidRDefault="00CD2FA1" w:rsidP="009F1218">
            <w:pPr>
              <w:spacing w:line="259" w:lineRule="auto"/>
              <w:jc w:val="both"/>
              <w:rPr>
                <w:rFonts w:ascii="Abadi" w:hAnsi="Abadi"/>
                <w:sz w:val="21"/>
                <w:szCs w:val="21"/>
              </w:rPr>
            </w:pPr>
          </w:p>
          <w:p w14:paraId="41B872E7" w14:textId="77777777" w:rsidR="00CD2FA1" w:rsidRPr="00C5545D" w:rsidRDefault="00CD2FA1" w:rsidP="009F1218">
            <w:pPr>
              <w:spacing w:line="259" w:lineRule="auto"/>
              <w:jc w:val="both"/>
              <w:rPr>
                <w:rFonts w:ascii="Abadi" w:hAnsi="Abadi"/>
                <w:sz w:val="21"/>
                <w:szCs w:val="21"/>
              </w:rPr>
            </w:pPr>
          </w:p>
          <w:p w14:paraId="4CB4D4EC" w14:textId="4CD3312D" w:rsidR="003C5FF5" w:rsidRPr="00695491" w:rsidRDefault="003C5FF5" w:rsidP="00CD2FA1">
            <w:pPr>
              <w:numPr>
                <w:ilvl w:val="0"/>
                <w:numId w:val="121"/>
              </w:numPr>
              <w:spacing w:after="41" w:line="259" w:lineRule="auto"/>
              <w:ind w:right="74"/>
              <w:jc w:val="both"/>
              <w:rPr>
                <w:rFonts w:ascii="Abadi" w:hAnsi="Abadi"/>
                <w:sz w:val="21"/>
                <w:szCs w:val="21"/>
              </w:rPr>
            </w:pPr>
            <w:r w:rsidRPr="00CD2FA1">
              <w:rPr>
                <w:rFonts w:ascii="Abadi" w:eastAsia="Verdana" w:hAnsi="Abadi" w:cs="Verdana"/>
                <w:sz w:val="21"/>
                <w:szCs w:val="21"/>
              </w:rPr>
              <w:t xml:space="preserve">Las demás que señalen las leyes y disposiciones jurídicas aplicables. </w:t>
            </w:r>
          </w:p>
        </w:tc>
      </w:tr>
      <w:tr w:rsidR="003C5FF5" w:rsidRPr="00695491" w14:paraId="79114320" w14:textId="77777777" w:rsidTr="008305DC">
        <w:tc>
          <w:tcPr>
            <w:tcW w:w="1891" w:type="dxa"/>
          </w:tcPr>
          <w:p w14:paraId="0B053186" w14:textId="77777777" w:rsidR="007C1A45" w:rsidRPr="00C5545D" w:rsidRDefault="007C1A45" w:rsidP="009F1218">
            <w:pPr>
              <w:spacing w:line="259" w:lineRule="auto"/>
              <w:ind w:right="74"/>
              <w:jc w:val="both"/>
              <w:rPr>
                <w:rFonts w:ascii="Abadi" w:hAnsi="Abadi"/>
                <w:sz w:val="21"/>
                <w:szCs w:val="21"/>
              </w:rPr>
            </w:pPr>
            <w:r w:rsidRPr="00C5545D">
              <w:rPr>
                <w:rFonts w:ascii="Abadi" w:eastAsia="Verdana" w:hAnsi="Abadi" w:cs="Verdana"/>
                <w:b/>
                <w:sz w:val="21"/>
                <w:szCs w:val="21"/>
              </w:rPr>
              <w:lastRenderedPageBreak/>
              <w:t xml:space="preserve">Deporte para grupos vulnerables </w:t>
            </w:r>
          </w:p>
          <w:p w14:paraId="61498904" w14:textId="77777777" w:rsidR="007C1A45" w:rsidRPr="00C5545D" w:rsidRDefault="007C1A45"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D1A4627" w14:textId="77777777" w:rsidR="007C1A45" w:rsidRPr="00C5545D" w:rsidRDefault="007C1A45" w:rsidP="009F1218">
            <w:pPr>
              <w:spacing w:line="241" w:lineRule="auto"/>
              <w:ind w:right="73"/>
              <w:jc w:val="both"/>
              <w:rPr>
                <w:rFonts w:ascii="Abadi" w:hAnsi="Abadi"/>
                <w:sz w:val="21"/>
                <w:szCs w:val="21"/>
              </w:rPr>
            </w:pPr>
            <w:r w:rsidRPr="00C5545D">
              <w:rPr>
                <w:rFonts w:ascii="Abadi" w:eastAsia="Verdana" w:hAnsi="Abadi" w:cs="Verdana"/>
                <w:sz w:val="21"/>
                <w:szCs w:val="21"/>
              </w:rPr>
              <w:t xml:space="preserve">Artículo 66. La CODE implementara acciones y planes encaminados a la promoción y fomento de la </w:t>
            </w:r>
            <w:r w:rsidRPr="00C5545D">
              <w:rPr>
                <w:rFonts w:ascii="Abadi" w:eastAsia="Verdana" w:hAnsi="Abadi" w:cs="Verdana"/>
                <w:sz w:val="21"/>
                <w:szCs w:val="21"/>
              </w:rPr>
              <w:t xml:space="preserve">cultura física y el deporte para niñas, niños, mujeres, indígenas, adultos mayores y demás personas que por sus características puedan ser considerados dentro de los grupos vulnerables. </w:t>
            </w:r>
          </w:p>
          <w:p w14:paraId="54022EFE" w14:textId="77777777" w:rsidR="007C1A45" w:rsidRPr="00C5545D" w:rsidRDefault="007C1A45" w:rsidP="009F1218">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438843E0" w14:textId="77777777" w:rsidR="003C5FF5" w:rsidRPr="00695491" w:rsidRDefault="003C5FF5" w:rsidP="009F1218">
            <w:pPr>
              <w:ind w:right="4"/>
              <w:jc w:val="both"/>
              <w:rPr>
                <w:rFonts w:ascii="Abadi" w:hAnsi="Abadi"/>
                <w:sz w:val="21"/>
                <w:szCs w:val="21"/>
              </w:rPr>
            </w:pPr>
          </w:p>
        </w:tc>
        <w:tc>
          <w:tcPr>
            <w:tcW w:w="2073" w:type="dxa"/>
          </w:tcPr>
          <w:p w14:paraId="6E89E197" w14:textId="77777777" w:rsidR="00FE16D0" w:rsidRPr="00C5545D" w:rsidRDefault="00FE16D0" w:rsidP="009F1218">
            <w:pPr>
              <w:spacing w:line="259" w:lineRule="auto"/>
              <w:ind w:right="74"/>
              <w:jc w:val="both"/>
              <w:rPr>
                <w:rFonts w:ascii="Abadi" w:hAnsi="Abadi"/>
                <w:sz w:val="21"/>
                <w:szCs w:val="21"/>
              </w:rPr>
            </w:pPr>
            <w:r w:rsidRPr="00C5545D">
              <w:rPr>
                <w:rFonts w:ascii="Abadi" w:eastAsia="Verdana" w:hAnsi="Abadi" w:cs="Verdana"/>
                <w:b/>
                <w:sz w:val="21"/>
                <w:szCs w:val="21"/>
              </w:rPr>
              <w:t xml:space="preserve">Deporte para grupos vulnerables </w:t>
            </w:r>
          </w:p>
          <w:p w14:paraId="3AA055D1" w14:textId="77777777" w:rsidR="00FE16D0" w:rsidRPr="00C5545D" w:rsidRDefault="00FE16D0"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0282EE4" w14:textId="77777777" w:rsidR="00565E59" w:rsidRPr="00C5545D" w:rsidRDefault="00FE16D0" w:rsidP="009F1218">
            <w:pPr>
              <w:jc w:val="both"/>
              <w:rPr>
                <w:rFonts w:ascii="Abadi" w:hAnsi="Abadi"/>
                <w:sz w:val="21"/>
                <w:szCs w:val="21"/>
              </w:rPr>
            </w:pPr>
            <w:r w:rsidRPr="00C5545D">
              <w:rPr>
                <w:rFonts w:ascii="Abadi" w:eastAsia="Verdana" w:hAnsi="Abadi" w:cs="Verdana"/>
                <w:sz w:val="21"/>
                <w:szCs w:val="21"/>
              </w:rPr>
              <w:t xml:space="preserve">Artículo 66. La CODE implementara acciones y planes encaminados a la promoción y fomento de la cultura física y el deporte para niñas, niños, mujeres, indígenas, adultos mayores y demás personas que por sus características puedan ser considerados dentro de los grupos vulnerables, </w:t>
            </w:r>
            <w:r w:rsidRPr="00C5545D">
              <w:rPr>
                <w:rFonts w:ascii="Abadi" w:eastAsia="Verdana" w:hAnsi="Abadi" w:cs="Verdana"/>
                <w:b/>
                <w:sz w:val="21"/>
                <w:szCs w:val="21"/>
              </w:rPr>
              <w:t>así como de pleno respeto a los derechos humanos, la perspectiva de género, la no</w:t>
            </w:r>
            <w:r w:rsidR="00565E59">
              <w:rPr>
                <w:rFonts w:ascii="Abadi" w:eastAsia="Verdana" w:hAnsi="Abadi" w:cs="Verdana"/>
                <w:b/>
                <w:sz w:val="21"/>
                <w:szCs w:val="21"/>
              </w:rPr>
              <w:t xml:space="preserve"> </w:t>
            </w:r>
            <w:r w:rsidR="00565E59" w:rsidRPr="00C5545D">
              <w:rPr>
                <w:rFonts w:ascii="Abadi" w:eastAsia="Verdana" w:hAnsi="Abadi" w:cs="Verdana"/>
                <w:b/>
                <w:sz w:val="21"/>
                <w:szCs w:val="21"/>
              </w:rPr>
              <w:t>discriminación y la inclusión por diversidad sexual</w:t>
            </w:r>
            <w:r w:rsidR="00565E59" w:rsidRPr="00C5545D">
              <w:rPr>
                <w:rFonts w:ascii="Abadi" w:eastAsia="Verdana" w:hAnsi="Abadi" w:cs="Verdana"/>
                <w:sz w:val="21"/>
                <w:szCs w:val="21"/>
              </w:rPr>
              <w:t xml:space="preserve">. </w:t>
            </w:r>
          </w:p>
          <w:p w14:paraId="5DA0B374" w14:textId="609BA7EF" w:rsidR="003C5FF5" w:rsidRPr="00695491" w:rsidRDefault="003C5FF5" w:rsidP="009F1218">
            <w:pPr>
              <w:ind w:right="4"/>
              <w:jc w:val="both"/>
              <w:rPr>
                <w:rFonts w:ascii="Abadi" w:hAnsi="Abadi"/>
                <w:sz w:val="21"/>
                <w:szCs w:val="21"/>
              </w:rPr>
            </w:pPr>
          </w:p>
        </w:tc>
      </w:tr>
      <w:tr w:rsidR="00ED7B61" w:rsidRPr="00695491" w14:paraId="2F5142E9" w14:textId="77777777" w:rsidTr="008305DC">
        <w:tc>
          <w:tcPr>
            <w:tcW w:w="1891" w:type="dxa"/>
          </w:tcPr>
          <w:p w14:paraId="26492899" w14:textId="712D256A" w:rsidR="00ED7B61" w:rsidRPr="00695491" w:rsidRDefault="00ED7B61" w:rsidP="009F1218">
            <w:pPr>
              <w:ind w:right="4"/>
              <w:jc w:val="both"/>
              <w:rPr>
                <w:rFonts w:ascii="Abadi" w:hAnsi="Abadi"/>
                <w:sz w:val="21"/>
                <w:szCs w:val="21"/>
              </w:rPr>
            </w:pPr>
            <w:r w:rsidRPr="00C5545D">
              <w:rPr>
                <w:rFonts w:ascii="Abadi" w:eastAsia="Verdana" w:hAnsi="Abadi" w:cs="Verdana"/>
                <w:b/>
                <w:sz w:val="21"/>
                <w:szCs w:val="21"/>
              </w:rPr>
              <w:t xml:space="preserve">   SIN REFERENTE</w:t>
            </w:r>
          </w:p>
        </w:tc>
        <w:tc>
          <w:tcPr>
            <w:tcW w:w="2073" w:type="dxa"/>
          </w:tcPr>
          <w:p w14:paraId="7F5B57DF" w14:textId="77777777" w:rsidR="00ED7B61" w:rsidRPr="00C5545D" w:rsidRDefault="00ED7B61" w:rsidP="009F1218">
            <w:pPr>
              <w:spacing w:after="2"/>
              <w:ind w:right="72"/>
              <w:jc w:val="both"/>
              <w:rPr>
                <w:rFonts w:ascii="Abadi" w:hAnsi="Abadi"/>
                <w:sz w:val="21"/>
                <w:szCs w:val="21"/>
              </w:rPr>
            </w:pPr>
            <w:r w:rsidRPr="00C5545D">
              <w:rPr>
                <w:rFonts w:ascii="Abadi" w:eastAsia="Verdana" w:hAnsi="Abadi" w:cs="Verdana"/>
                <w:b/>
                <w:sz w:val="21"/>
                <w:szCs w:val="21"/>
              </w:rPr>
              <w:t xml:space="preserve">Artículo 66 Bis. A fin de que las personas con discapacidad puedan participar en igualdad de condiciones con las demás en actividades recreativas, de esparcimiento y deportivas, el estado y los Municipios deberán: </w:t>
            </w:r>
          </w:p>
          <w:p w14:paraId="6E471306"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7B1C7B0" w14:textId="77777777" w:rsidR="00ED7B61" w:rsidRPr="00C5545D" w:rsidRDefault="00ED7B61" w:rsidP="00C77D22">
            <w:pPr>
              <w:numPr>
                <w:ilvl w:val="0"/>
                <w:numId w:val="122"/>
              </w:numPr>
              <w:spacing w:line="241" w:lineRule="auto"/>
              <w:ind w:right="70"/>
              <w:jc w:val="both"/>
              <w:rPr>
                <w:rFonts w:ascii="Abadi" w:hAnsi="Abadi"/>
                <w:sz w:val="21"/>
                <w:szCs w:val="21"/>
              </w:rPr>
            </w:pPr>
            <w:r w:rsidRPr="00C5545D">
              <w:rPr>
                <w:rFonts w:ascii="Abadi" w:eastAsia="Verdana" w:hAnsi="Abadi" w:cs="Verdana"/>
                <w:b/>
                <w:sz w:val="21"/>
                <w:szCs w:val="21"/>
              </w:rPr>
              <w:t xml:space="preserve">Alentar y promover la participación, en la mayor medida posible, de las personas con discapacidad en las actividades deportivas generales a </w:t>
            </w:r>
          </w:p>
          <w:p w14:paraId="3A46842E"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todos los niveles; </w:t>
            </w:r>
          </w:p>
          <w:p w14:paraId="3E499900"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87F68FF" w14:textId="77777777" w:rsidR="00ED7B61" w:rsidRPr="00C5545D" w:rsidRDefault="00ED7B61" w:rsidP="00C77D22">
            <w:pPr>
              <w:numPr>
                <w:ilvl w:val="0"/>
                <w:numId w:val="122"/>
              </w:numPr>
              <w:spacing w:line="241" w:lineRule="auto"/>
              <w:ind w:right="70"/>
              <w:jc w:val="both"/>
              <w:rPr>
                <w:rFonts w:ascii="Abadi" w:hAnsi="Abadi"/>
                <w:sz w:val="21"/>
                <w:szCs w:val="21"/>
              </w:rPr>
            </w:pPr>
            <w:r w:rsidRPr="00C5545D">
              <w:rPr>
                <w:rFonts w:ascii="Abadi" w:eastAsia="Verdana" w:hAnsi="Abadi" w:cs="Verdana"/>
                <w:b/>
                <w:sz w:val="21"/>
                <w:szCs w:val="21"/>
              </w:rPr>
              <w:t xml:space="preserve">Asegurar que las personas con discapacidad tengan la oportunidad de organizar y desarrollar actividades deportivas y </w:t>
            </w:r>
            <w:r w:rsidRPr="00C5545D">
              <w:rPr>
                <w:rFonts w:ascii="Abadi" w:eastAsia="Verdana" w:hAnsi="Abadi" w:cs="Verdana"/>
                <w:b/>
                <w:sz w:val="21"/>
                <w:szCs w:val="21"/>
              </w:rPr>
              <w:lastRenderedPageBreak/>
              <w:t xml:space="preserve">recreativas específicas para dichas personas y de participar en dichas actividades y, a ese fin, alentar a que se les ofrezca, en igualdad de condiciones con las demás, instrucción, formación y </w:t>
            </w:r>
          </w:p>
          <w:p w14:paraId="3AEBC9DE"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recursos adecuados; </w:t>
            </w:r>
          </w:p>
          <w:p w14:paraId="02AC0B37"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1D36EDFC" w14:textId="77777777" w:rsidR="00ED7B61" w:rsidRPr="00C5545D" w:rsidRDefault="00ED7B61" w:rsidP="00C77D22">
            <w:pPr>
              <w:numPr>
                <w:ilvl w:val="0"/>
                <w:numId w:val="122"/>
              </w:numPr>
              <w:spacing w:after="2"/>
              <w:ind w:right="70"/>
              <w:jc w:val="both"/>
              <w:rPr>
                <w:rFonts w:ascii="Abadi" w:hAnsi="Abadi"/>
                <w:sz w:val="21"/>
                <w:szCs w:val="21"/>
              </w:rPr>
            </w:pPr>
            <w:r w:rsidRPr="00C5545D">
              <w:rPr>
                <w:rFonts w:ascii="Abadi" w:eastAsia="Verdana" w:hAnsi="Abadi" w:cs="Verdana"/>
                <w:b/>
                <w:sz w:val="21"/>
                <w:szCs w:val="21"/>
              </w:rPr>
              <w:t xml:space="preserve">Asegurar que las personas con discapacidad tengan acceso a instalaciones deportivas adaptadas con menores costos de acceso; </w:t>
            </w:r>
          </w:p>
          <w:p w14:paraId="5F54AE72"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EB52A59" w14:textId="77777777" w:rsidR="00ED7B61" w:rsidRPr="00C5545D" w:rsidRDefault="00ED7B61" w:rsidP="00C77D22">
            <w:pPr>
              <w:numPr>
                <w:ilvl w:val="0"/>
                <w:numId w:val="122"/>
              </w:numPr>
              <w:spacing w:line="241" w:lineRule="auto"/>
              <w:ind w:right="70"/>
              <w:jc w:val="both"/>
              <w:rPr>
                <w:rFonts w:ascii="Abadi" w:hAnsi="Abadi"/>
                <w:sz w:val="21"/>
                <w:szCs w:val="21"/>
              </w:rPr>
            </w:pPr>
            <w:r w:rsidRPr="00C5545D">
              <w:rPr>
                <w:rFonts w:ascii="Abadi" w:eastAsia="Verdana" w:hAnsi="Abadi" w:cs="Verdana"/>
                <w:b/>
                <w:sz w:val="21"/>
                <w:szCs w:val="21"/>
              </w:rPr>
              <w:t xml:space="preserve">Asegurar que los niños, las niñas y adolescentes con discapacidad tengan igual acceso con los demás niños y niñas a la participación en actividades lúdicas, recreativas, de esparcimiento y deportivas, incluidas las que se realicen dentro del sistema escolar; y </w:t>
            </w:r>
          </w:p>
          <w:p w14:paraId="1726777E"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9C2EA7A" w14:textId="77777777" w:rsidR="00ED7B61" w:rsidRPr="00C5545D" w:rsidRDefault="00ED7B61" w:rsidP="00C77D22">
            <w:pPr>
              <w:numPr>
                <w:ilvl w:val="0"/>
                <w:numId w:val="122"/>
              </w:numPr>
              <w:spacing w:line="241" w:lineRule="auto"/>
              <w:ind w:right="70"/>
              <w:jc w:val="both"/>
              <w:rPr>
                <w:rFonts w:ascii="Abadi" w:hAnsi="Abadi"/>
                <w:sz w:val="21"/>
                <w:szCs w:val="21"/>
              </w:rPr>
            </w:pPr>
            <w:r w:rsidRPr="00C5545D">
              <w:rPr>
                <w:rFonts w:ascii="Abadi" w:eastAsia="Verdana" w:hAnsi="Abadi" w:cs="Verdana"/>
                <w:b/>
                <w:sz w:val="21"/>
                <w:szCs w:val="21"/>
              </w:rPr>
              <w:t xml:space="preserve">Asegurar que las personas con discapacidad tengan acceso a los servicios de quienes participan en la organización de actividades recreativas, de esparcimiento y deportivas. </w:t>
            </w:r>
          </w:p>
          <w:p w14:paraId="05AA0BA9" w14:textId="77777777" w:rsidR="00ED7B61" w:rsidRPr="00C5545D" w:rsidRDefault="00ED7B61"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5FA746BA" w14:textId="678E14DB" w:rsidR="00ED7B61" w:rsidRPr="00695491" w:rsidRDefault="00ED7B61" w:rsidP="009F1218">
            <w:pPr>
              <w:ind w:right="4"/>
              <w:jc w:val="both"/>
              <w:rPr>
                <w:rFonts w:ascii="Abadi" w:hAnsi="Abadi"/>
                <w:sz w:val="21"/>
                <w:szCs w:val="21"/>
              </w:rPr>
            </w:pPr>
            <w:r w:rsidRPr="00C5545D">
              <w:rPr>
                <w:rFonts w:ascii="Abadi" w:eastAsia="Verdana" w:hAnsi="Abadi" w:cs="Verdana"/>
                <w:sz w:val="21"/>
                <w:szCs w:val="21"/>
              </w:rPr>
              <w:t xml:space="preserve"> </w:t>
            </w:r>
          </w:p>
        </w:tc>
      </w:tr>
      <w:tr w:rsidR="00ED7B61" w:rsidRPr="00695491" w14:paraId="4B7F0311" w14:textId="77777777" w:rsidTr="008305DC">
        <w:tc>
          <w:tcPr>
            <w:tcW w:w="1891" w:type="dxa"/>
          </w:tcPr>
          <w:p w14:paraId="5B80A95A" w14:textId="6016D444" w:rsidR="00ED7B61" w:rsidRPr="00695491" w:rsidRDefault="00480EBD" w:rsidP="009F1218">
            <w:pPr>
              <w:ind w:right="4"/>
              <w:jc w:val="both"/>
              <w:rPr>
                <w:rFonts w:ascii="Abadi" w:hAnsi="Abadi"/>
                <w:sz w:val="21"/>
                <w:szCs w:val="21"/>
              </w:rPr>
            </w:pPr>
            <w:r w:rsidRPr="00C5545D">
              <w:rPr>
                <w:rFonts w:ascii="Abadi" w:eastAsia="Verdana" w:hAnsi="Abadi" w:cs="Verdana"/>
                <w:b/>
                <w:sz w:val="21"/>
                <w:szCs w:val="21"/>
              </w:rPr>
              <w:lastRenderedPageBreak/>
              <w:t>Fondo de apoyo al deporte de alto rendimiento</w:t>
            </w:r>
          </w:p>
        </w:tc>
        <w:tc>
          <w:tcPr>
            <w:tcW w:w="2073" w:type="dxa"/>
          </w:tcPr>
          <w:p w14:paraId="71EDD130" w14:textId="4C4B5156" w:rsidR="00ED7B61" w:rsidRPr="00695491" w:rsidRDefault="00B92D94" w:rsidP="009F1218">
            <w:pPr>
              <w:ind w:right="4"/>
              <w:jc w:val="both"/>
              <w:rPr>
                <w:rFonts w:ascii="Abadi" w:hAnsi="Abadi"/>
                <w:sz w:val="21"/>
                <w:szCs w:val="21"/>
              </w:rPr>
            </w:pPr>
            <w:r w:rsidRPr="00C5545D">
              <w:rPr>
                <w:rFonts w:ascii="Abadi" w:eastAsia="Verdana" w:hAnsi="Abadi" w:cs="Verdana"/>
                <w:b/>
                <w:sz w:val="21"/>
                <w:szCs w:val="21"/>
              </w:rPr>
              <w:t>Fondo de apoyo al deporte de alto rendimiento</w:t>
            </w:r>
          </w:p>
        </w:tc>
      </w:tr>
      <w:tr w:rsidR="00091FDB" w:rsidRPr="00695491" w14:paraId="41581413" w14:textId="77777777" w:rsidTr="008305DC">
        <w:tc>
          <w:tcPr>
            <w:tcW w:w="1891" w:type="dxa"/>
          </w:tcPr>
          <w:p w14:paraId="621D7EA9"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0910F7C" w14:textId="77777777" w:rsidR="00091FDB" w:rsidRPr="00C5545D" w:rsidRDefault="00091FDB" w:rsidP="009F1218">
            <w:pPr>
              <w:spacing w:after="2"/>
              <w:jc w:val="both"/>
              <w:rPr>
                <w:rFonts w:ascii="Abadi" w:hAnsi="Abadi"/>
                <w:sz w:val="21"/>
                <w:szCs w:val="21"/>
              </w:rPr>
            </w:pPr>
            <w:r w:rsidRPr="00C5545D">
              <w:rPr>
                <w:rFonts w:ascii="Abadi" w:eastAsia="Verdana" w:hAnsi="Abadi" w:cs="Verdana"/>
                <w:sz w:val="21"/>
                <w:szCs w:val="21"/>
              </w:rPr>
              <w:t xml:space="preserve">Artículo 68. La CODE deberá integrar un Fondo de Apoyo al Deporte de Alto </w:t>
            </w:r>
          </w:p>
          <w:p w14:paraId="780BC5B6" w14:textId="77777777" w:rsidR="00091FDB" w:rsidRPr="00C5545D" w:rsidRDefault="00091FDB" w:rsidP="009F1218">
            <w:pPr>
              <w:ind w:right="73"/>
              <w:jc w:val="both"/>
              <w:rPr>
                <w:rFonts w:ascii="Abadi" w:hAnsi="Abadi"/>
                <w:sz w:val="21"/>
                <w:szCs w:val="21"/>
              </w:rPr>
            </w:pPr>
            <w:r w:rsidRPr="00C5545D">
              <w:rPr>
                <w:rFonts w:ascii="Abadi" w:eastAsia="Verdana" w:hAnsi="Abadi" w:cs="Verdana"/>
                <w:sz w:val="21"/>
                <w:szCs w:val="21"/>
              </w:rPr>
              <w:t xml:space="preserve">Rendimiento, con recursos presupuestales propios y los que pueda obtener para tal efecto, los cuales se destinarán a la entrega de apoyos en favor de deportistas y entrenadores de alto rendimiento. </w:t>
            </w:r>
          </w:p>
          <w:p w14:paraId="76ACC3C3"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CDEF85D" w14:textId="77777777" w:rsidR="00091FDB" w:rsidRDefault="00091FDB"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6E2C6861" w14:textId="77777777" w:rsidR="003C25A5" w:rsidRDefault="003C25A5" w:rsidP="009F1218">
            <w:pPr>
              <w:spacing w:line="259" w:lineRule="auto"/>
              <w:jc w:val="both"/>
              <w:rPr>
                <w:rFonts w:ascii="Abadi" w:hAnsi="Abadi"/>
                <w:sz w:val="21"/>
                <w:szCs w:val="21"/>
              </w:rPr>
            </w:pPr>
          </w:p>
          <w:p w14:paraId="6AA19EA9" w14:textId="77777777" w:rsidR="003C25A5" w:rsidRDefault="003C25A5" w:rsidP="009F1218">
            <w:pPr>
              <w:spacing w:line="259" w:lineRule="auto"/>
              <w:jc w:val="both"/>
              <w:rPr>
                <w:rFonts w:ascii="Abadi" w:hAnsi="Abadi"/>
                <w:sz w:val="21"/>
                <w:szCs w:val="21"/>
              </w:rPr>
            </w:pPr>
          </w:p>
          <w:p w14:paraId="1546103F" w14:textId="77777777" w:rsidR="003C25A5" w:rsidRPr="00C5545D" w:rsidRDefault="003C25A5" w:rsidP="009F1218">
            <w:pPr>
              <w:spacing w:line="259" w:lineRule="auto"/>
              <w:jc w:val="both"/>
              <w:rPr>
                <w:rFonts w:ascii="Abadi" w:hAnsi="Abadi"/>
                <w:sz w:val="21"/>
                <w:szCs w:val="21"/>
              </w:rPr>
            </w:pPr>
          </w:p>
          <w:p w14:paraId="70EAF09B"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001D6EF0"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04358DC9" w14:textId="77777777" w:rsidR="00091FDB" w:rsidRPr="00C5545D" w:rsidRDefault="00091FDB" w:rsidP="009F1218">
            <w:pPr>
              <w:spacing w:line="241" w:lineRule="auto"/>
              <w:jc w:val="both"/>
              <w:rPr>
                <w:rFonts w:ascii="Abadi" w:hAnsi="Abadi"/>
                <w:sz w:val="21"/>
                <w:szCs w:val="21"/>
              </w:rPr>
            </w:pPr>
            <w:r w:rsidRPr="00C5545D">
              <w:rPr>
                <w:rFonts w:ascii="Abadi" w:eastAsia="Verdana" w:hAnsi="Abadi" w:cs="Verdana"/>
                <w:sz w:val="21"/>
                <w:szCs w:val="21"/>
              </w:rPr>
              <w:t xml:space="preserve">La administración de dicho Fondo se regulará en el Reglamento de la Ley. </w:t>
            </w:r>
          </w:p>
          <w:p w14:paraId="158D0C06"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5F130646" w14:textId="77777777" w:rsidR="00091FDB" w:rsidRPr="00C5545D" w:rsidRDefault="00091FDB" w:rsidP="009F1218">
            <w:pPr>
              <w:spacing w:line="241" w:lineRule="auto"/>
              <w:ind w:right="73"/>
              <w:jc w:val="both"/>
              <w:rPr>
                <w:rFonts w:ascii="Abadi" w:hAnsi="Abadi"/>
                <w:sz w:val="21"/>
                <w:szCs w:val="21"/>
              </w:rPr>
            </w:pPr>
            <w:r w:rsidRPr="00C5545D">
              <w:rPr>
                <w:rFonts w:ascii="Abadi" w:eastAsia="Verdana" w:hAnsi="Abadi" w:cs="Verdana"/>
                <w:sz w:val="21"/>
                <w:szCs w:val="21"/>
              </w:rPr>
              <w:t xml:space="preserve">Los deportistas y entrenadores de alto rendimiento recibirán atención médica especializada así como contar con un seguro de vida, deberán participar en los entrenamientos, consultas médicas, seguir los planes de entrenamiento y participar en los eventos nacionales e internaciones que convoque (sic) las </w:t>
            </w:r>
            <w:r w:rsidRPr="00C5545D">
              <w:rPr>
                <w:rFonts w:ascii="Abadi" w:eastAsia="Verdana" w:hAnsi="Abadi" w:cs="Verdana"/>
                <w:sz w:val="21"/>
                <w:szCs w:val="21"/>
              </w:rPr>
              <w:lastRenderedPageBreak/>
              <w:t xml:space="preserve">autoridades deportivas. </w:t>
            </w:r>
          </w:p>
          <w:p w14:paraId="77E49902" w14:textId="77777777" w:rsidR="00091FDB" w:rsidRPr="00C5545D" w:rsidRDefault="00091FDB" w:rsidP="009F1218">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17CEE7B3"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79B8F2C"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25D08053"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4AD7B503"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sz w:val="21"/>
                <w:szCs w:val="21"/>
              </w:rPr>
              <w:t xml:space="preserve">     </w:t>
            </w:r>
            <w:r w:rsidRPr="00C5545D">
              <w:rPr>
                <w:rFonts w:ascii="Abadi" w:eastAsia="Verdana" w:hAnsi="Abadi" w:cs="Verdana"/>
                <w:b/>
                <w:sz w:val="21"/>
                <w:szCs w:val="21"/>
              </w:rPr>
              <w:t xml:space="preserve">Sin referente. </w:t>
            </w:r>
          </w:p>
          <w:p w14:paraId="50480B28"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76E0D9EA"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B14E4CA"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5B99D9BF"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8434F5A"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0947F6CE" w14:textId="77777777" w:rsidR="00091FDB" w:rsidRPr="00C5545D" w:rsidRDefault="00091FDB"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62A57AEA" w14:textId="28D3FEC6" w:rsidR="00091FDB" w:rsidRPr="00695491" w:rsidRDefault="00091FDB" w:rsidP="009F1218">
            <w:pPr>
              <w:ind w:right="4"/>
              <w:jc w:val="both"/>
              <w:rPr>
                <w:rFonts w:ascii="Abadi" w:hAnsi="Abadi"/>
                <w:sz w:val="21"/>
                <w:szCs w:val="21"/>
              </w:rPr>
            </w:pPr>
            <w:r w:rsidRPr="00C5545D">
              <w:rPr>
                <w:rFonts w:ascii="Abadi" w:eastAsia="Verdana" w:hAnsi="Abadi" w:cs="Verdana"/>
                <w:b/>
                <w:sz w:val="21"/>
                <w:szCs w:val="21"/>
              </w:rPr>
              <w:t xml:space="preserve"> </w:t>
            </w:r>
          </w:p>
        </w:tc>
        <w:tc>
          <w:tcPr>
            <w:tcW w:w="2073" w:type="dxa"/>
          </w:tcPr>
          <w:p w14:paraId="226BDB88" w14:textId="77777777" w:rsidR="003C25A5" w:rsidRDefault="003C25A5" w:rsidP="009F1218">
            <w:pPr>
              <w:spacing w:line="259" w:lineRule="auto"/>
              <w:jc w:val="both"/>
              <w:rPr>
                <w:rFonts w:ascii="Abadi" w:eastAsia="Verdana" w:hAnsi="Abadi" w:cs="Verdana"/>
                <w:sz w:val="21"/>
                <w:szCs w:val="21"/>
              </w:rPr>
            </w:pPr>
          </w:p>
          <w:p w14:paraId="6EADBD0E" w14:textId="5E6D4E90" w:rsidR="00DC00F0" w:rsidRPr="00C5545D" w:rsidRDefault="00DC00F0" w:rsidP="009F1218">
            <w:pPr>
              <w:spacing w:line="259" w:lineRule="auto"/>
              <w:jc w:val="both"/>
              <w:rPr>
                <w:rFonts w:ascii="Abadi" w:hAnsi="Abadi"/>
                <w:sz w:val="21"/>
                <w:szCs w:val="21"/>
              </w:rPr>
            </w:pPr>
            <w:r w:rsidRPr="00C5545D">
              <w:rPr>
                <w:rFonts w:ascii="Abadi" w:eastAsia="Verdana" w:hAnsi="Abadi" w:cs="Verdana"/>
                <w:sz w:val="21"/>
                <w:szCs w:val="21"/>
              </w:rPr>
              <w:t xml:space="preserve">Artículo 68. La CODE deberá integrar un </w:t>
            </w:r>
          </w:p>
          <w:p w14:paraId="1A3ABAF3" w14:textId="77777777" w:rsidR="00DC00F0" w:rsidRPr="00C5545D" w:rsidRDefault="00DC00F0" w:rsidP="009F1218">
            <w:pPr>
              <w:spacing w:line="241" w:lineRule="auto"/>
              <w:ind w:right="68"/>
              <w:jc w:val="both"/>
              <w:rPr>
                <w:rFonts w:ascii="Abadi" w:hAnsi="Abadi"/>
                <w:sz w:val="21"/>
                <w:szCs w:val="21"/>
              </w:rPr>
            </w:pPr>
            <w:r w:rsidRPr="00C5545D">
              <w:rPr>
                <w:rFonts w:ascii="Abadi" w:eastAsia="Verdana" w:hAnsi="Abadi" w:cs="Verdana"/>
                <w:sz w:val="21"/>
                <w:szCs w:val="21"/>
              </w:rPr>
              <w:t xml:space="preserve">Fondo de Apoyo al Deporte de Alto Rendimiento, con recursos presupuestales propios y los que pueda obtener para tal efecto, los cuales se destinarán a la entrega de apoyos en favor de deportistas y entrenadores de alto rendimiento </w:t>
            </w:r>
            <w:r w:rsidRPr="00C5545D">
              <w:rPr>
                <w:rFonts w:ascii="Abadi" w:eastAsia="Verdana" w:hAnsi="Abadi" w:cs="Verdana"/>
                <w:b/>
                <w:sz w:val="21"/>
                <w:szCs w:val="21"/>
              </w:rPr>
              <w:t xml:space="preserve">en forma equitativa y apegándose al principio de perspectiva de género, en su caso. </w:t>
            </w:r>
          </w:p>
          <w:p w14:paraId="5A22AF4D" w14:textId="77777777" w:rsidR="00DC00F0" w:rsidRPr="00C5545D" w:rsidRDefault="00DC00F0"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FAC118F" w14:textId="77777777" w:rsidR="00DC00F0" w:rsidRPr="00C5545D" w:rsidRDefault="00DC00F0"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072A8D12" w14:textId="77777777" w:rsidR="00DC00F0" w:rsidRPr="00C5545D" w:rsidRDefault="00DC00F0" w:rsidP="009F1218">
            <w:pPr>
              <w:spacing w:line="241" w:lineRule="auto"/>
              <w:jc w:val="both"/>
              <w:rPr>
                <w:rFonts w:ascii="Abadi" w:hAnsi="Abadi"/>
                <w:sz w:val="21"/>
                <w:szCs w:val="21"/>
              </w:rPr>
            </w:pPr>
            <w:r w:rsidRPr="00C5545D">
              <w:rPr>
                <w:rFonts w:ascii="Abadi" w:eastAsia="Verdana" w:hAnsi="Abadi" w:cs="Verdana"/>
                <w:sz w:val="21"/>
                <w:szCs w:val="21"/>
              </w:rPr>
              <w:t xml:space="preserve">La administración de dicho Fondo se regulará en el Reglamento de la Ley. </w:t>
            </w:r>
          </w:p>
          <w:p w14:paraId="0672913B" w14:textId="77777777" w:rsidR="00DC00F0" w:rsidRPr="00C5545D" w:rsidRDefault="00DC00F0"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43A45EB" w14:textId="77777777" w:rsidR="00DC00F0" w:rsidRPr="00C5545D" w:rsidRDefault="00DC00F0" w:rsidP="009F1218">
            <w:pPr>
              <w:spacing w:after="2" w:line="241" w:lineRule="auto"/>
              <w:ind w:right="74"/>
              <w:jc w:val="both"/>
              <w:rPr>
                <w:rFonts w:ascii="Abadi" w:hAnsi="Abadi"/>
                <w:sz w:val="21"/>
                <w:szCs w:val="21"/>
              </w:rPr>
            </w:pPr>
            <w:r w:rsidRPr="00C5545D">
              <w:rPr>
                <w:rFonts w:ascii="Abadi" w:eastAsia="Verdana" w:hAnsi="Abadi" w:cs="Verdana"/>
                <w:sz w:val="21"/>
                <w:szCs w:val="21"/>
              </w:rPr>
              <w:t xml:space="preserve">Los deportistas y entrenadores de alto rendimiento recibirán atención médica especializada así como contar con un seguro de vida, deberán participar en los entrenamientos, consultas médicas, seguir los planes de entrenamiento y participar en los eventos nacionales e internaciones que convoque (sic) las autoridades deportivas. </w:t>
            </w:r>
          </w:p>
          <w:p w14:paraId="7A993F21" w14:textId="77777777" w:rsidR="00DC00F0" w:rsidRPr="00C5545D" w:rsidRDefault="00DC00F0" w:rsidP="009F1218">
            <w:pPr>
              <w:spacing w:line="230" w:lineRule="auto"/>
              <w:ind w:right="4298"/>
              <w:jc w:val="both"/>
              <w:rPr>
                <w:rFonts w:ascii="Abadi" w:hAnsi="Abadi"/>
                <w:sz w:val="21"/>
                <w:szCs w:val="21"/>
              </w:rPr>
            </w:pPr>
            <w:r w:rsidRPr="00C5545D">
              <w:rPr>
                <w:rFonts w:ascii="Abadi" w:eastAsia="Verdana" w:hAnsi="Abadi" w:cs="Verdana"/>
                <w:sz w:val="21"/>
                <w:szCs w:val="21"/>
              </w:rPr>
              <w:t xml:space="preserve">  </w:t>
            </w:r>
          </w:p>
          <w:p w14:paraId="6417D171" w14:textId="77777777" w:rsidR="00DC00F0" w:rsidRPr="00C5545D" w:rsidRDefault="00DC00F0" w:rsidP="009F1218">
            <w:pPr>
              <w:spacing w:line="259" w:lineRule="auto"/>
              <w:jc w:val="both"/>
              <w:rPr>
                <w:rFonts w:ascii="Abadi" w:hAnsi="Abadi"/>
                <w:sz w:val="21"/>
                <w:szCs w:val="21"/>
              </w:rPr>
            </w:pPr>
            <w:r w:rsidRPr="00C5545D">
              <w:rPr>
                <w:rFonts w:ascii="Abadi" w:eastAsia="Verdana" w:hAnsi="Abadi" w:cs="Verdana"/>
                <w:sz w:val="21"/>
                <w:szCs w:val="21"/>
              </w:rPr>
              <w:lastRenderedPageBreak/>
              <w:t xml:space="preserve"> </w:t>
            </w:r>
          </w:p>
          <w:p w14:paraId="00CAD105" w14:textId="77777777" w:rsidR="00DC00F0" w:rsidRPr="00C5545D" w:rsidRDefault="00DC00F0" w:rsidP="009F1218">
            <w:pPr>
              <w:spacing w:after="43" w:line="241" w:lineRule="auto"/>
              <w:ind w:right="71"/>
              <w:jc w:val="both"/>
              <w:rPr>
                <w:rFonts w:ascii="Abadi" w:hAnsi="Abadi"/>
                <w:sz w:val="21"/>
                <w:szCs w:val="21"/>
              </w:rPr>
            </w:pPr>
            <w:r w:rsidRPr="00C5545D">
              <w:rPr>
                <w:rFonts w:ascii="Abadi" w:eastAsia="Verdana" w:hAnsi="Abadi" w:cs="Verdana"/>
                <w:b/>
                <w:sz w:val="21"/>
                <w:szCs w:val="21"/>
              </w:rPr>
              <w:t xml:space="preserve">Las instalaciones deportivas a cargo de la CODE, de la autoridad Municipal y las privadas que realicen cobro por el uso de instalaciones, deberán contar con servicio médico de emergencia cuando se realicen eventos deportivos. </w:t>
            </w:r>
          </w:p>
          <w:p w14:paraId="7FC14EAE" w14:textId="77777777" w:rsidR="00DC00F0" w:rsidRPr="00C5545D" w:rsidRDefault="00DC00F0" w:rsidP="009F1218">
            <w:pPr>
              <w:spacing w:line="259" w:lineRule="auto"/>
              <w:jc w:val="both"/>
              <w:rPr>
                <w:rFonts w:ascii="Abadi" w:hAnsi="Abadi"/>
                <w:sz w:val="21"/>
                <w:szCs w:val="21"/>
              </w:rPr>
            </w:pPr>
            <w:r w:rsidRPr="00C5545D">
              <w:rPr>
                <w:rFonts w:ascii="Abadi" w:hAnsi="Abadi"/>
                <w:b/>
                <w:sz w:val="21"/>
                <w:szCs w:val="21"/>
              </w:rPr>
              <w:t xml:space="preserve"> </w:t>
            </w:r>
          </w:p>
          <w:p w14:paraId="016957C0" w14:textId="77777777" w:rsidR="00091FDB" w:rsidRPr="00695491" w:rsidRDefault="00091FDB" w:rsidP="009F1218">
            <w:pPr>
              <w:ind w:right="4"/>
              <w:jc w:val="both"/>
              <w:rPr>
                <w:rFonts w:ascii="Abadi" w:hAnsi="Abadi"/>
                <w:sz w:val="21"/>
                <w:szCs w:val="21"/>
              </w:rPr>
            </w:pPr>
          </w:p>
        </w:tc>
      </w:tr>
      <w:tr w:rsidR="00091FDB" w:rsidRPr="00695491" w14:paraId="5629D1E3" w14:textId="77777777" w:rsidTr="008305DC">
        <w:tc>
          <w:tcPr>
            <w:tcW w:w="1891" w:type="dxa"/>
          </w:tcPr>
          <w:p w14:paraId="734DA6E3" w14:textId="77777777" w:rsidR="000E3062" w:rsidRPr="00C5545D" w:rsidRDefault="000E3062" w:rsidP="009F1218">
            <w:pPr>
              <w:spacing w:line="259" w:lineRule="auto"/>
              <w:ind w:left="60"/>
              <w:jc w:val="both"/>
              <w:rPr>
                <w:rFonts w:ascii="Abadi" w:hAnsi="Abadi"/>
                <w:sz w:val="21"/>
                <w:szCs w:val="21"/>
              </w:rPr>
            </w:pPr>
            <w:r w:rsidRPr="00C5545D">
              <w:rPr>
                <w:rFonts w:ascii="Abadi" w:eastAsia="Verdana" w:hAnsi="Abadi" w:cs="Verdana"/>
                <w:b/>
                <w:sz w:val="21"/>
                <w:szCs w:val="21"/>
              </w:rPr>
              <w:lastRenderedPageBreak/>
              <w:t xml:space="preserve">Derecho a recibir atención médica </w:t>
            </w:r>
          </w:p>
          <w:p w14:paraId="0508457C" w14:textId="77777777" w:rsidR="000E3062" w:rsidRPr="00C5545D" w:rsidRDefault="000E3062"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295E52A2" w14:textId="77777777" w:rsidR="000E3062" w:rsidRPr="00C5545D" w:rsidRDefault="000E3062" w:rsidP="009F1218">
            <w:pPr>
              <w:spacing w:line="241" w:lineRule="auto"/>
              <w:ind w:right="72"/>
              <w:jc w:val="both"/>
              <w:rPr>
                <w:rFonts w:ascii="Abadi" w:hAnsi="Abadi"/>
                <w:sz w:val="21"/>
                <w:szCs w:val="21"/>
              </w:rPr>
            </w:pPr>
            <w:r w:rsidRPr="00C5545D">
              <w:rPr>
                <w:rFonts w:ascii="Abadi" w:eastAsia="Verdana" w:hAnsi="Abadi" w:cs="Verdana"/>
                <w:sz w:val="21"/>
                <w:szCs w:val="21"/>
              </w:rPr>
              <w:t xml:space="preserve">Artículo 72. Los deportistas, que representen al Estado de Guanajuato, tendrán derecho a recibir atención y tratamiento médico de enfermedades o lesiones, siempre que éstas se produzcan con motivo de su participación en entrenamientos, juegos o competencias oficiales; en representación del Estado de </w:t>
            </w:r>
          </w:p>
          <w:p w14:paraId="54E3FFEA" w14:textId="2294C740" w:rsidR="00091FDB" w:rsidRPr="00695491" w:rsidRDefault="000E3062" w:rsidP="009F1218">
            <w:pPr>
              <w:ind w:right="4"/>
              <w:jc w:val="both"/>
              <w:rPr>
                <w:rFonts w:ascii="Abadi" w:hAnsi="Abadi"/>
                <w:sz w:val="21"/>
                <w:szCs w:val="21"/>
              </w:rPr>
            </w:pPr>
            <w:r w:rsidRPr="00C5545D">
              <w:rPr>
                <w:rFonts w:ascii="Abadi" w:eastAsia="Verdana" w:hAnsi="Abadi" w:cs="Verdana"/>
                <w:sz w:val="21"/>
                <w:szCs w:val="21"/>
              </w:rPr>
              <w:t>Guanajuato o sus municipios en alguna</w:t>
            </w:r>
          </w:p>
        </w:tc>
        <w:tc>
          <w:tcPr>
            <w:tcW w:w="2073" w:type="dxa"/>
          </w:tcPr>
          <w:p w14:paraId="19590780" w14:textId="77777777" w:rsidR="00862658" w:rsidRPr="00C5545D" w:rsidRDefault="00862658" w:rsidP="009F1218">
            <w:pPr>
              <w:spacing w:line="259" w:lineRule="auto"/>
              <w:ind w:right="73"/>
              <w:jc w:val="both"/>
              <w:rPr>
                <w:rFonts w:ascii="Abadi" w:hAnsi="Abadi"/>
                <w:sz w:val="21"/>
                <w:szCs w:val="21"/>
              </w:rPr>
            </w:pPr>
            <w:r w:rsidRPr="00C5545D">
              <w:rPr>
                <w:rFonts w:ascii="Abadi" w:eastAsia="Verdana" w:hAnsi="Abadi" w:cs="Verdana"/>
                <w:b/>
                <w:sz w:val="21"/>
                <w:szCs w:val="21"/>
              </w:rPr>
              <w:t xml:space="preserve">Derecho a recibir atención médica </w:t>
            </w:r>
          </w:p>
          <w:p w14:paraId="0781888E" w14:textId="77777777" w:rsidR="00862658" w:rsidRPr="00C5545D" w:rsidRDefault="00862658"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9DD9F01" w14:textId="0F6054E7" w:rsidR="00091FDB" w:rsidRPr="00695491" w:rsidRDefault="00862658" w:rsidP="009F1218">
            <w:pPr>
              <w:ind w:right="4"/>
              <w:jc w:val="both"/>
              <w:rPr>
                <w:rFonts w:ascii="Abadi" w:hAnsi="Abadi"/>
                <w:sz w:val="21"/>
                <w:szCs w:val="21"/>
              </w:rPr>
            </w:pPr>
            <w:r w:rsidRPr="00C5545D">
              <w:rPr>
                <w:rFonts w:ascii="Abadi" w:eastAsia="Verdana" w:hAnsi="Abadi" w:cs="Verdana"/>
                <w:sz w:val="21"/>
                <w:szCs w:val="21"/>
              </w:rPr>
              <w:t xml:space="preserve">Artículo 72. Los deportistas, que representen al Estado de Guanajuato, tendrán derecho a recibir atención y tratamiento médico de enfermedades o lesiones </w:t>
            </w:r>
            <w:r w:rsidRPr="00C5545D">
              <w:rPr>
                <w:rFonts w:ascii="Abadi" w:eastAsia="Verdana" w:hAnsi="Abadi" w:cs="Verdana"/>
                <w:b/>
                <w:sz w:val="21"/>
                <w:szCs w:val="21"/>
              </w:rPr>
              <w:t>o terapéutico en materia de psicología</w:t>
            </w:r>
            <w:r w:rsidRPr="00C5545D">
              <w:rPr>
                <w:rFonts w:ascii="Abadi" w:eastAsia="Verdana" w:hAnsi="Abadi" w:cs="Verdana"/>
                <w:sz w:val="21"/>
                <w:szCs w:val="21"/>
              </w:rPr>
              <w:t xml:space="preserve">, siempre que éstas se produzcan con motivo de su participación en entrenamientos, juegos o competencias oficiales; en representación del Estado de Guanajuato o sus municipios en alguna disciplina incluida en el Sistema Estatal, </w:t>
            </w:r>
            <w:r w:rsidRPr="00C5545D">
              <w:rPr>
                <w:rFonts w:ascii="Abadi" w:eastAsia="Verdana" w:hAnsi="Abadi" w:cs="Verdana"/>
                <w:b/>
                <w:sz w:val="21"/>
                <w:szCs w:val="21"/>
              </w:rPr>
              <w:t>o</w:t>
            </w:r>
          </w:p>
        </w:tc>
      </w:tr>
      <w:tr w:rsidR="00091FDB" w:rsidRPr="00695491" w14:paraId="1D0315E3" w14:textId="77777777" w:rsidTr="008305DC">
        <w:tc>
          <w:tcPr>
            <w:tcW w:w="1891" w:type="dxa"/>
          </w:tcPr>
          <w:p w14:paraId="275552BE"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disciplina incluida en el Sistema </w:t>
            </w:r>
          </w:p>
          <w:p w14:paraId="0F540663"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Estatal. </w:t>
            </w:r>
          </w:p>
          <w:p w14:paraId="2585C2C2"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178D4832"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22177717"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7940676C"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6CC91AC"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60FD3BA3" w14:textId="77777777" w:rsidR="00A77722" w:rsidRDefault="00A77722"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1D1919E0" w14:textId="77777777" w:rsidR="003C25A5" w:rsidRDefault="003C25A5" w:rsidP="009F1218">
            <w:pPr>
              <w:spacing w:line="259" w:lineRule="auto"/>
              <w:jc w:val="both"/>
              <w:rPr>
                <w:rFonts w:ascii="Abadi" w:hAnsi="Abadi"/>
                <w:sz w:val="21"/>
                <w:szCs w:val="21"/>
              </w:rPr>
            </w:pPr>
          </w:p>
          <w:p w14:paraId="64C43DBF" w14:textId="77777777" w:rsidR="003C25A5" w:rsidRDefault="003C25A5" w:rsidP="009F1218">
            <w:pPr>
              <w:spacing w:line="259" w:lineRule="auto"/>
              <w:jc w:val="both"/>
              <w:rPr>
                <w:rFonts w:ascii="Abadi" w:hAnsi="Abadi"/>
                <w:sz w:val="21"/>
                <w:szCs w:val="21"/>
              </w:rPr>
            </w:pPr>
          </w:p>
          <w:p w14:paraId="273B8E93" w14:textId="77777777" w:rsidR="003C25A5" w:rsidRDefault="003C25A5" w:rsidP="009F1218">
            <w:pPr>
              <w:spacing w:line="259" w:lineRule="auto"/>
              <w:jc w:val="both"/>
              <w:rPr>
                <w:rFonts w:ascii="Abadi" w:hAnsi="Abadi"/>
                <w:sz w:val="21"/>
                <w:szCs w:val="21"/>
              </w:rPr>
            </w:pPr>
          </w:p>
          <w:p w14:paraId="59AC8F1F" w14:textId="77777777" w:rsidR="003C25A5" w:rsidRDefault="003C25A5" w:rsidP="009F1218">
            <w:pPr>
              <w:spacing w:line="259" w:lineRule="auto"/>
              <w:jc w:val="both"/>
              <w:rPr>
                <w:rFonts w:ascii="Abadi" w:hAnsi="Abadi"/>
                <w:sz w:val="21"/>
                <w:szCs w:val="21"/>
              </w:rPr>
            </w:pPr>
          </w:p>
          <w:p w14:paraId="07890A4E" w14:textId="77777777" w:rsidR="003C25A5" w:rsidRPr="00C5545D" w:rsidRDefault="003C25A5" w:rsidP="009F1218">
            <w:pPr>
              <w:spacing w:line="259" w:lineRule="auto"/>
              <w:jc w:val="both"/>
              <w:rPr>
                <w:rFonts w:ascii="Abadi" w:hAnsi="Abadi"/>
                <w:sz w:val="21"/>
                <w:szCs w:val="21"/>
              </w:rPr>
            </w:pPr>
          </w:p>
          <w:p w14:paraId="6DE5D958" w14:textId="77777777" w:rsidR="00A77722" w:rsidRPr="00C5545D" w:rsidRDefault="00A77722"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25CFEBD9" w14:textId="77777777" w:rsidR="00A77722" w:rsidRPr="00C5545D" w:rsidRDefault="00A77722" w:rsidP="009F1218">
            <w:pPr>
              <w:spacing w:after="2" w:line="241" w:lineRule="auto"/>
              <w:ind w:right="73"/>
              <w:jc w:val="both"/>
              <w:rPr>
                <w:rFonts w:ascii="Abadi" w:hAnsi="Abadi"/>
                <w:sz w:val="21"/>
                <w:szCs w:val="21"/>
              </w:rPr>
            </w:pPr>
            <w:r w:rsidRPr="00C5545D">
              <w:rPr>
                <w:rFonts w:ascii="Abadi" w:eastAsia="Verdana" w:hAnsi="Abadi" w:cs="Verdana"/>
                <w:sz w:val="21"/>
                <w:szCs w:val="21"/>
              </w:rPr>
              <w:t xml:space="preserve">El reglamento de la presente Ley, fijará el procedimiento y requisitos para acceder a la atención, rehabilitación y tratamiento médico. </w:t>
            </w:r>
          </w:p>
          <w:p w14:paraId="3497A672" w14:textId="77777777" w:rsidR="00A77722" w:rsidRPr="00C5545D" w:rsidRDefault="00A77722" w:rsidP="009F1218">
            <w:pPr>
              <w:spacing w:after="39" w:line="259" w:lineRule="auto"/>
              <w:jc w:val="both"/>
              <w:rPr>
                <w:rFonts w:ascii="Abadi" w:hAnsi="Abadi"/>
                <w:sz w:val="21"/>
                <w:szCs w:val="21"/>
              </w:rPr>
            </w:pPr>
            <w:r w:rsidRPr="00C5545D">
              <w:rPr>
                <w:rFonts w:ascii="Abadi" w:eastAsia="Verdana" w:hAnsi="Abadi" w:cs="Verdana"/>
                <w:sz w:val="21"/>
                <w:szCs w:val="21"/>
              </w:rPr>
              <w:t xml:space="preserve"> </w:t>
            </w:r>
          </w:p>
          <w:p w14:paraId="7FC8135B" w14:textId="77777777" w:rsidR="00091FDB" w:rsidRPr="00695491" w:rsidRDefault="00091FDB" w:rsidP="009F1218">
            <w:pPr>
              <w:ind w:right="4"/>
              <w:jc w:val="both"/>
              <w:rPr>
                <w:rFonts w:ascii="Abadi" w:hAnsi="Abadi"/>
                <w:sz w:val="21"/>
                <w:szCs w:val="21"/>
              </w:rPr>
            </w:pPr>
          </w:p>
        </w:tc>
        <w:tc>
          <w:tcPr>
            <w:tcW w:w="2073" w:type="dxa"/>
          </w:tcPr>
          <w:p w14:paraId="47DD60D9" w14:textId="77777777" w:rsidR="009060C2" w:rsidRPr="00C5545D" w:rsidRDefault="009060C2" w:rsidP="009F1218">
            <w:pPr>
              <w:spacing w:after="2"/>
              <w:ind w:right="71"/>
              <w:jc w:val="both"/>
              <w:rPr>
                <w:rFonts w:ascii="Abadi" w:hAnsi="Abadi"/>
                <w:sz w:val="21"/>
                <w:szCs w:val="21"/>
              </w:rPr>
            </w:pPr>
            <w:r w:rsidRPr="00C5545D">
              <w:rPr>
                <w:rFonts w:ascii="Abadi" w:eastAsia="Verdana" w:hAnsi="Abadi" w:cs="Verdana"/>
                <w:b/>
                <w:sz w:val="21"/>
                <w:szCs w:val="21"/>
              </w:rPr>
              <w:t xml:space="preserve">bien, cuando en estos supuestos se haya producido al deportista un daño psicológico, eventual o sistemático por parte de compañeros, entrenadores, cuerpo técnico, administrativo o directivos. </w:t>
            </w:r>
          </w:p>
          <w:p w14:paraId="12D94BB6" w14:textId="77777777" w:rsidR="009060C2" w:rsidRPr="00C5545D" w:rsidRDefault="009060C2"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353A47A8" w14:textId="77777777" w:rsidR="009060C2" w:rsidRDefault="009060C2" w:rsidP="009F1218">
            <w:pPr>
              <w:spacing w:line="259" w:lineRule="auto"/>
              <w:jc w:val="both"/>
              <w:rPr>
                <w:rFonts w:ascii="Abadi" w:eastAsia="Verdana" w:hAnsi="Abadi" w:cs="Verdana"/>
                <w:sz w:val="21"/>
                <w:szCs w:val="21"/>
              </w:rPr>
            </w:pPr>
            <w:r w:rsidRPr="00C5545D">
              <w:rPr>
                <w:rFonts w:ascii="Abadi" w:eastAsia="Verdana" w:hAnsi="Abadi" w:cs="Verdana"/>
                <w:sz w:val="21"/>
                <w:szCs w:val="21"/>
              </w:rPr>
              <w:t xml:space="preserve"> </w:t>
            </w:r>
          </w:p>
          <w:p w14:paraId="1C7E87B7" w14:textId="77777777" w:rsidR="003C25A5" w:rsidRPr="00C5545D" w:rsidRDefault="003C25A5" w:rsidP="009F1218">
            <w:pPr>
              <w:spacing w:line="259" w:lineRule="auto"/>
              <w:jc w:val="both"/>
              <w:rPr>
                <w:rFonts w:ascii="Abadi" w:hAnsi="Abadi"/>
                <w:sz w:val="21"/>
                <w:szCs w:val="21"/>
              </w:rPr>
            </w:pPr>
          </w:p>
          <w:p w14:paraId="17DBB6E6" w14:textId="77777777" w:rsidR="009060C2" w:rsidRPr="00C5545D" w:rsidRDefault="009060C2" w:rsidP="009F1218">
            <w:pPr>
              <w:spacing w:line="241" w:lineRule="auto"/>
              <w:ind w:right="76"/>
              <w:jc w:val="both"/>
              <w:rPr>
                <w:rFonts w:ascii="Abadi" w:hAnsi="Abadi"/>
                <w:sz w:val="21"/>
                <w:szCs w:val="21"/>
              </w:rPr>
            </w:pPr>
            <w:r w:rsidRPr="00C5545D">
              <w:rPr>
                <w:rFonts w:ascii="Abadi" w:eastAsia="Verdana" w:hAnsi="Abadi" w:cs="Verdana"/>
                <w:sz w:val="21"/>
                <w:szCs w:val="21"/>
              </w:rPr>
              <w:t xml:space="preserve">El reglamento de la presente Ley, fijará el procedimiento y requisitos para acceder a la atención, rehabilitación y tratamiento médico. </w:t>
            </w:r>
          </w:p>
          <w:p w14:paraId="6304583D" w14:textId="77777777" w:rsidR="009060C2" w:rsidRPr="00C5545D" w:rsidRDefault="009060C2" w:rsidP="009F1218">
            <w:pPr>
              <w:spacing w:after="41" w:line="259" w:lineRule="auto"/>
              <w:jc w:val="both"/>
              <w:rPr>
                <w:rFonts w:ascii="Abadi" w:hAnsi="Abadi"/>
                <w:sz w:val="21"/>
                <w:szCs w:val="21"/>
              </w:rPr>
            </w:pPr>
            <w:r w:rsidRPr="00C5545D">
              <w:rPr>
                <w:rFonts w:ascii="Abadi" w:eastAsia="Verdana" w:hAnsi="Abadi" w:cs="Verdana"/>
                <w:sz w:val="21"/>
                <w:szCs w:val="21"/>
              </w:rPr>
              <w:t xml:space="preserve"> </w:t>
            </w:r>
          </w:p>
          <w:p w14:paraId="399B7C7A" w14:textId="77777777" w:rsidR="00091FDB" w:rsidRPr="00695491" w:rsidRDefault="00091FDB" w:rsidP="009F1218">
            <w:pPr>
              <w:ind w:right="4"/>
              <w:jc w:val="both"/>
              <w:rPr>
                <w:rFonts w:ascii="Abadi" w:hAnsi="Abadi"/>
                <w:sz w:val="21"/>
                <w:szCs w:val="21"/>
              </w:rPr>
            </w:pPr>
          </w:p>
        </w:tc>
      </w:tr>
      <w:tr w:rsidR="00091FDB" w:rsidRPr="00695491" w14:paraId="36A51F47" w14:textId="77777777" w:rsidTr="008305DC">
        <w:tc>
          <w:tcPr>
            <w:tcW w:w="1891" w:type="dxa"/>
          </w:tcPr>
          <w:p w14:paraId="1C2C4AA9" w14:textId="77777777" w:rsidR="00D70850" w:rsidRPr="00C5545D" w:rsidRDefault="00D70850" w:rsidP="009F1218">
            <w:pPr>
              <w:spacing w:line="259" w:lineRule="auto"/>
              <w:ind w:right="73"/>
              <w:jc w:val="both"/>
              <w:rPr>
                <w:rFonts w:ascii="Abadi" w:hAnsi="Abadi"/>
                <w:sz w:val="21"/>
                <w:szCs w:val="21"/>
              </w:rPr>
            </w:pPr>
            <w:r w:rsidRPr="00C5545D">
              <w:rPr>
                <w:rFonts w:ascii="Abadi" w:eastAsia="Verdana" w:hAnsi="Abadi" w:cs="Verdana"/>
                <w:b/>
                <w:sz w:val="21"/>
                <w:szCs w:val="21"/>
              </w:rPr>
              <w:t xml:space="preserve">Otorgamiento de Apoyos </w:t>
            </w:r>
          </w:p>
          <w:p w14:paraId="6A390903" w14:textId="77777777" w:rsidR="00D70850" w:rsidRPr="00C5545D" w:rsidRDefault="00D70850" w:rsidP="009F1218">
            <w:pPr>
              <w:spacing w:line="259" w:lineRule="auto"/>
              <w:ind w:right="1"/>
              <w:jc w:val="both"/>
              <w:rPr>
                <w:rFonts w:ascii="Abadi" w:hAnsi="Abadi"/>
                <w:sz w:val="21"/>
                <w:szCs w:val="21"/>
              </w:rPr>
            </w:pPr>
            <w:r w:rsidRPr="00C5545D">
              <w:rPr>
                <w:rFonts w:ascii="Abadi" w:eastAsia="Verdana" w:hAnsi="Abadi" w:cs="Verdana"/>
                <w:b/>
                <w:sz w:val="21"/>
                <w:szCs w:val="21"/>
              </w:rPr>
              <w:t xml:space="preserve"> </w:t>
            </w:r>
          </w:p>
          <w:p w14:paraId="291BAD34" w14:textId="77777777" w:rsidR="00D70850" w:rsidRPr="00C5545D" w:rsidRDefault="00D70850" w:rsidP="009F1218">
            <w:pPr>
              <w:spacing w:line="241" w:lineRule="auto"/>
              <w:ind w:right="75"/>
              <w:jc w:val="both"/>
              <w:rPr>
                <w:rFonts w:ascii="Abadi" w:hAnsi="Abadi"/>
                <w:sz w:val="21"/>
                <w:szCs w:val="21"/>
              </w:rPr>
            </w:pPr>
            <w:r w:rsidRPr="00C5545D">
              <w:rPr>
                <w:rFonts w:ascii="Abadi" w:eastAsia="Verdana" w:hAnsi="Abadi" w:cs="Verdana"/>
                <w:sz w:val="21"/>
                <w:szCs w:val="21"/>
              </w:rPr>
              <w:t xml:space="preserve">Artículo 74. Las personas físicas o morales, que realizan actividades destinadas a la práctica, difusión, promoción, fomento, investigación o enseñanza en materia de cultura física y deporte, podrán recibir, entre otros, los apoyos económicos, materiales, becas, reconocimientos, capacitación, deportivos multidisciplinarios y las demás que señalen las leyes y disposiciones jurídicas aplicables. </w:t>
            </w:r>
          </w:p>
          <w:p w14:paraId="25D07A0F" w14:textId="77777777" w:rsidR="00D70850" w:rsidRPr="00C5545D" w:rsidRDefault="00D70850" w:rsidP="009F1218">
            <w:pPr>
              <w:spacing w:after="59" w:line="241" w:lineRule="auto"/>
              <w:ind w:right="74"/>
              <w:jc w:val="both"/>
              <w:rPr>
                <w:rFonts w:ascii="Abadi" w:hAnsi="Abadi"/>
                <w:sz w:val="21"/>
                <w:szCs w:val="21"/>
              </w:rPr>
            </w:pPr>
            <w:r w:rsidRPr="00C5545D">
              <w:rPr>
                <w:rFonts w:ascii="Abadi" w:eastAsia="Verdana" w:hAnsi="Abadi" w:cs="Verdana"/>
                <w:sz w:val="21"/>
                <w:szCs w:val="21"/>
              </w:rPr>
              <w:t xml:space="preserve">En el Reglamento de la presente Ley, se fijarán el trámite y los </w:t>
            </w:r>
            <w:r w:rsidRPr="00C5545D">
              <w:rPr>
                <w:rFonts w:ascii="Abadi" w:eastAsia="Verdana" w:hAnsi="Abadi" w:cs="Verdana"/>
                <w:sz w:val="21"/>
                <w:szCs w:val="21"/>
              </w:rPr>
              <w:lastRenderedPageBreak/>
              <w:t xml:space="preserve">requisitos para la entrega de los apoyos, los cuales estarán sujetos al presupuesto de la CODE. </w:t>
            </w:r>
          </w:p>
          <w:p w14:paraId="2E82A8B5" w14:textId="77777777" w:rsidR="00091FDB" w:rsidRPr="00695491" w:rsidRDefault="00091FDB" w:rsidP="009F1218">
            <w:pPr>
              <w:ind w:right="4"/>
              <w:jc w:val="both"/>
              <w:rPr>
                <w:rFonts w:ascii="Abadi" w:hAnsi="Abadi"/>
                <w:sz w:val="21"/>
                <w:szCs w:val="21"/>
              </w:rPr>
            </w:pPr>
          </w:p>
        </w:tc>
        <w:tc>
          <w:tcPr>
            <w:tcW w:w="2073" w:type="dxa"/>
          </w:tcPr>
          <w:p w14:paraId="47004160" w14:textId="77777777" w:rsidR="00F451EE" w:rsidRPr="00C5545D" w:rsidRDefault="00F451EE" w:rsidP="009F1218">
            <w:pPr>
              <w:spacing w:line="259" w:lineRule="auto"/>
              <w:ind w:right="73"/>
              <w:jc w:val="both"/>
              <w:rPr>
                <w:rFonts w:ascii="Abadi" w:hAnsi="Abadi"/>
                <w:sz w:val="21"/>
                <w:szCs w:val="21"/>
              </w:rPr>
            </w:pPr>
            <w:r w:rsidRPr="00C5545D">
              <w:rPr>
                <w:rFonts w:ascii="Abadi" w:eastAsia="Verdana" w:hAnsi="Abadi" w:cs="Verdana"/>
                <w:b/>
                <w:sz w:val="21"/>
                <w:szCs w:val="21"/>
              </w:rPr>
              <w:lastRenderedPageBreak/>
              <w:t xml:space="preserve">Otorgamiento de Apoyos </w:t>
            </w:r>
          </w:p>
          <w:p w14:paraId="6FD8E3E7" w14:textId="77777777" w:rsidR="00F451EE" w:rsidRPr="00C5545D" w:rsidRDefault="00F451EE" w:rsidP="009F1218">
            <w:pPr>
              <w:spacing w:line="259" w:lineRule="auto"/>
              <w:ind w:right="1"/>
              <w:jc w:val="both"/>
              <w:rPr>
                <w:rFonts w:ascii="Abadi" w:hAnsi="Abadi"/>
                <w:sz w:val="21"/>
                <w:szCs w:val="21"/>
              </w:rPr>
            </w:pPr>
            <w:r w:rsidRPr="00C5545D">
              <w:rPr>
                <w:rFonts w:ascii="Abadi" w:eastAsia="Verdana" w:hAnsi="Abadi" w:cs="Verdana"/>
                <w:b/>
                <w:sz w:val="21"/>
                <w:szCs w:val="21"/>
              </w:rPr>
              <w:t xml:space="preserve"> </w:t>
            </w:r>
          </w:p>
          <w:p w14:paraId="6EAC0190" w14:textId="77777777" w:rsidR="00F451EE" w:rsidRPr="00C5545D" w:rsidRDefault="00F451EE" w:rsidP="009F1218">
            <w:pPr>
              <w:spacing w:line="241" w:lineRule="auto"/>
              <w:ind w:right="73"/>
              <w:jc w:val="both"/>
              <w:rPr>
                <w:rFonts w:ascii="Abadi" w:hAnsi="Abadi"/>
                <w:sz w:val="21"/>
                <w:szCs w:val="21"/>
              </w:rPr>
            </w:pPr>
            <w:r w:rsidRPr="00C5545D">
              <w:rPr>
                <w:rFonts w:ascii="Abadi" w:eastAsia="Verdana" w:hAnsi="Abadi" w:cs="Verdana"/>
                <w:sz w:val="21"/>
                <w:szCs w:val="21"/>
              </w:rPr>
              <w:t xml:space="preserve">Artículo 74. Las personas físicas o morales, que realizan actividades destinadas a la práctica, difusión, promoción, fomento, investigación o enseñanza en materia de cultura física y deporte, podrán recibir, entre otros, los apoyos económicos, materiales, becas, reconocimientos, capacitación, deportivos multidisciplinarios y las demás que señalen las leyes y disposiciones jurídicas aplicables. </w:t>
            </w:r>
          </w:p>
          <w:p w14:paraId="57C4D9D6" w14:textId="77777777" w:rsidR="00F451EE" w:rsidRPr="00C5545D" w:rsidRDefault="00F451EE"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35E5CF91" w14:textId="77777777" w:rsidR="00F451EE" w:rsidRPr="00C5545D" w:rsidRDefault="00F451EE" w:rsidP="009F1218">
            <w:pPr>
              <w:spacing w:line="241" w:lineRule="auto"/>
              <w:ind w:right="76"/>
              <w:jc w:val="both"/>
              <w:rPr>
                <w:rFonts w:ascii="Abadi" w:hAnsi="Abadi"/>
                <w:sz w:val="21"/>
                <w:szCs w:val="21"/>
              </w:rPr>
            </w:pPr>
            <w:r w:rsidRPr="00C5545D">
              <w:rPr>
                <w:rFonts w:ascii="Abadi" w:eastAsia="Verdana" w:hAnsi="Abadi" w:cs="Verdana"/>
                <w:sz w:val="21"/>
                <w:szCs w:val="21"/>
              </w:rPr>
              <w:t xml:space="preserve">En el Reglamento de la presente Ley, se fijarán el trámite y los requisitos para la entrega de los </w:t>
            </w:r>
            <w:r w:rsidRPr="00C5545D">
              <w:rPr>
                <w:rFonts w:ascii="Abadi" w:eastAsia="Verdana" w:hAnsi="Abadi" w:cs="Verdana"/>
                <w:sz w:val="21"/>
                <w:szCs w:val="21"/>
              </w:rPr>
              <w:lastRenderedPageBreak/>
              <w:t xml:space="preserve">apoyos, los cuales estarán sujetos al presupuesto de la CODE. </w:t>
            </w:r>
          </w:p>
          <w:p w14:paraId="4C58CBEF" w14:textId="77777777" w:rsidR="00F451EE" w:rsidRPr="00C5545D" w:rsidRDefault="00F451EE"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05947D00" w14:textId="77777777" w:rsidR="00F451EE" w:rsidRPr="00C5545D" w:rsidRDefault="00F451EE" w:rsidP="009F1218">
            <w:pPr>
              <w:spacing w:line="259" w:lineRule="auto"/>
              <w:jc w:val="both"/>
              <w:rPr>
                <w:rFonts w:ascii="Abadi" w:hAnsi="Abadi"/>
                <w:sz w:val="21"/>
                <w:szCs w:val="21"/>
              </w:rPr>
            </w:pPr>
            <w:r w:rsidRPr="00C5545D">
              <w:rPr>
                <w:rFonts w:ascii="Abadi" w:eastAsia="Verdana" w:hAnsi="Abadi" w:cs="Verdana"/>
                <w:sz w:val="21"/>
                <w:szCs w:val="21"/>
              </w:rPr>
              <w:t xml:space="preserve"> </w:t>
            </w:r>
          </w:p>
          <w:p w14:paraId="2C8C0F11" w14:textId="77777777" w:rsidR="00F451EE" w:rsidRPr="00C5545D" w:rsidRDefault="00F451EE" w:rsidP="009F1218">
            <w:pPr>
              <w:spacing w:after="2" w:line="241" w:lineRule="auto"/>
              <w:ind w:right="73"/>
              <w:jc w:val="both"/>
              <w:rPr>
                <w:rFonts w:ascii="Abadi" w:hAnsi="Abadi"/>
                <w:sz w:val="21"/>
                <w:szCs w:val="21"/>
              </w:rPr>
            </w:pPr>
            <w:r w:rsidRPr="00C5545D">
              <w:rPr>
                <w:rFonts w:ascii="Abadi" w:eastAsia="Verdana" w:hAnsi="Abadi" w:cs="Verdana"/>
                <w:b/>
                <w:sz w:val="21"/>
                <w:szCs w:val="21"/>
              </w:rPr>
              <w:t xml:space="preserve">No se entregarán apoyos a que se refiere el párrafo anterior, cuando exista denuncia o sanción pendiente de cumplir, derivadas de hechos que constituyan agresiones dolosas, de acoso, violencia contra mujeres o discriminación en cualquiera de sus formas establecidas en las leyes de la materia a deportistas, directivos, personal administrativo, entrenadores, árbitros, aficionados, dentro o fuera de los espacios, oficinas e instalaciones deportivas. </w:t>
            </w:r>
          </w:p>
          <w:p w14:paraId="142ABD25" w14:textId="77777777" w:rsidR="00F451EE" w:rsidRPr="00C5545D" w:rsidRDefault="00F451EE"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41DA5F1C" w14:textId="77777777" w:rsidR="00091FDB" w:rsidRDefault="00F451EE" w:rsidP="009F1218">
            <w:pPr>
              <w:ind w:right="4"/>
              <w:jc w:val="both"/>
              <w:rPr>
                <w:rFonts w:ascii="Abadi" w:eastAsia="Verdana" w:hAnsi="Abadi" w:cs="Verdana"/>
                <w:b/>
                <w:sz w:val="21"/>
                <w:szCs w:val="21"/>
              </w:rPr>
            </w:pPr>
            <w:r w:rsidRPr="00C5545D">
              <w:rPr>
                <w:rFonts w:ascii="Abadi" w:eastAsia="Verdana" w:hAnsi="Abadi" w:cs="Verdana"/>
                <w:b/>
                <w:sz w:val="21"/>
                <w:szCs w:val="21"/>
              </w:rPr>
              <w:t>Tampoco se otorgará apoyo a que refiere el presente artículo a las personas físicas o morales que cuenten sentencia firme por la</w:t>
            </w:r>
          </w:p>
          <w:p w14:paraId="47058799" w14:textId="77777777" w:rsidR="0098745F" w:rsidRDefault="0098745F" w:rsidP="009F1218">
            <w:pPr>
              <w:ind w:right="4"/>
              <w:jc w:val="both"/>
              <w:rPr>
                <w:rFonts w:ascii="Abadi" w:eastAsia="Verdana" w:hAnsi="Abadi" w:cs="Verdana"/>
                <w:b/>
                <w:sz w:val="21"/>
                <w:szCs w:val="21"/>
              </w:rPr>
            </w:pPr>
          </w:p>
          <w:p w14:paraId="3A2FC1A3" w14:textId="77777777" w:rsidR="0098745F" w:rsidRPr="00C5545D" w:rsidRDefault="0098745F" w:rsidP="009F1218">
            <w:pPr>
              <w:spacing w:line="241" w:lineRule="auto"/>
              <w:ind w:right="73"/>
              <w:jc w:val="both"/>
              <w:rPr>
                <w:rFonts w:ascii="Abadi" w:hAnsi="Abadi"/>
                <w:sz w:val="21"/>
                <w:szCs w:val="21"/>
              </w:rPr>
            </w:pPr>
            <w:r w:rsidRPr="00C5545D">
              <w:rPr>
                <w:rFonts w:ascii="Abadi" w:eastAsia="Verdana" w:hAnsi="Abadi" w:cs="Verdana"/>
                <w:b/>
                <w:sz w:val="21"/>
                <w:szCs w:val="21"/>
              </w:rPr>
              <w:t xml:space="preserve">comisión intencional de delitos contra la vida y la integridad corporal; contra la libertad y seguridad sexuales, el normal desarrollo psicosexual; por violencia familiar, violencia familiar </w:t>
            </w:r>
            <w:r w:rsidRPr="00C5545D">
              <w:rPr>
                <w:rFonts w:ascii="Abadi" w:eastAsia="Verdana" w:hAnsi="Abadi" w:cs="Verdana"/>
                <w:b/>
                <w:sz w:val="21"/>
                <w:szCs w:val="21"/>
              </w:rPr>
              <w:t>equiparada o doméstica, violación a la intimidad sexual; por violencia política contra las mujeres en razón de género, en cualquiera de sus modalidades y tipos, o a quienes hayan sido</w:t>
            </w:r>
            <w:r w:rsidRPr="00C5545D">
              <w:rPr>
                <w:rFonts w:ascii="Abadi" w:eastAsia="Verdana" w:hAnsi="Abadi" w:cs="Verdana"/>
                <w:i/>
                <w:sz w:val="21"/>
                <w:szCs w:val="21"/>
              </w:rPr>
              <w:t xml:space="preserve"> </w:t>
            </w:r>
            <w:r w:rsidRPr="00C5545D">
              <w:rPr>
                <w:rFonts w:ascii="Abadi" w:eastAsia="Verdana" w:hAnsi="Abadi" w:cs="Verdana"/>
                <w:b/>
                <w:sz w:val="21"/>
                <w:szCs w:val="21"/>
              </w:rPr>
              <w:t xml:space="preserve">declaradas como personas deudoras alimentarias morosas. </w:t>
            </w:r>
          </w:p>
          <w:p w14:paraId="552467E0" w14:textId="77777777" w:rsidR="0098745F" w:rsidRPr="00C5545D" w:rsidRDefault="0098745F" w:rsidP="009F1218">
            <w:pPr>
              <w:spacing w:line="259" w:lineRule="auto"/>
              <w:jc w:val="both"/>
              <w:rPr>
                <w:rFonts w:ascii="Abadi" w:hAnsi="Abadi"/>
                <w:sz w:val="21"/>
                <w:szCs w:val="21"/>
              </w:rPr>
            </w:pPr>
            <w:r w:rsidRPr="00C5545D">
              <w:rPr>
                <w:rFonts w:ascii="Abadi" w:eastAsia="Verdana" w:hAnsi="Abadi" w:cs="Verdana"/>
                <w:b/>
                <w:sz w:val="21"/>
                <w:szCs w:val="21"/>
              </w:rPr>
              <w:t xml:space="preserve"> </w:t>
            </w:r>
          </w:p>
          <w:p w14:paraId="658EE99D" w14:textId="46A6F03C" w:rsidR="0098745F" w:rsidRPr="00695491" w:rsidRDefault="0098745F" w:rsidP="009F1218">
            <w:pPr>
              <w:ind w:right="4"/>
              <w:jc w:val="both"/>
              <w:rPr>
                <w:rFonts w:ascii="Abadi" w:hAnsi="Abadi"/>
                <w:sz w:val="21"/>
                <w:szCs w:val="21"/>
              </w:rPr>
            </w:pPr>
          </w:p>
        </w:tc>
      </w:tr>
      <w:tr w:rsidR="000E46BD" w:rsidRPr="00695491" w14:paraId="12910EB5" w14:textId="77777777" w:rsidTr="008305DC">
        <w:tc>
          <w:tcPr>
            <w:tcW w:w="1891" w:type="dxa"/>
          </w:tcPr>
          <w:p w14:paraId="450D3C7A" w14:textId="77777777" w:rsidR="00EC2B2E" w:rsidRPr="00C5545D" w:rsidRDefault="00EC2B2E" w:rsidP="009F1218">
            <w:pPr>
              <w:spacing w:line="241" w:lineRule="auto"/>
              <w:ind w:right="73"/>
              <w:jc w:val="both"/>
              <w:rPr>
                <w:rFonts w:ascii="Abadi" w:hAnsi="Abadi"/>
                <w:sz w:val="21"/>
                <w:szCs w:val="21"/>
              </w:rPr>
            </w:pPr>
            <w:r w:rsidRPr="00C5545D">
              <w:rPr>
                <w:rFonts w:ascii="Abadi" w:eastAsia="Verdana" w:hAnsi="Abadi" w:cs="Verdana"/>
                <w:sz w:val="21"/>
                <w:szCs w:val="21"/>
              </w:rPr>
              <w:lastRenderedPageBreak/>
              <w:t xml:space="preserve">Artículo 87. La CODE promoverá e impulsará acciones en contra de la violencia en el Deporte, para tal efecto, se instalará el CECOVIDE, que coadyuvará con el sector público, social y privado, en el fomento de campañas de sensibilización en contra de la violencia y acciones que procuren que el deporte y la cultura física sean un referente de valores, integración y convivencia Social, para lo cual deberá establecer un programa anual. </w:t>
            </w:r>
          </w:p>
          <w:p w14:paraId="55FAA172" w14:textId="77777777" w:rsidR="000E46BD" w:rsidRPr="00695491" w:rsidRDefault="000E46BD" w:rsidP="009F1218">
            <w:pPr>
              <w:ind w:right="4"/>
              <w:jc w:val="both"/>
              <w:rPr>
                <w:rFonts w:ascii="Abadi" w:hAnsi="Abadi"/>
                <w:sz w:val="21"/>
                <w:szCs w:val="21"/>
              </w:rPr>
            </w:pPr>
          </w:p>
        </w:tc>
        <w:tc>
          <w:tcPr>
            <w:tcW w:w="2073" w:type="dxa"/>
          </w:tcPr>
          <w:p w14:paraId="62103D0E" w14:textId="77777777" w:rsidR="009F1218" w:rsidRPr="00C5545D" w:rsidRDefault="009F1218" w:rsidP="009F1218">
            <w:pPr>
              <w:spacing w:line="241" w:lineRule="auto"/>
              <w:ind w:right="69"/>
              <w:jc w:val="both"/>
              <w:rPr>
                <w:rFonts w:ascii="Abadi" w:hAnsi="Abadi"/>
                <w:sz w:val="21"/>
                <w:szCs w:val="21"/>
              </w:rPr>
            </w:pPr>
            <w:r w:rsidRPr="00C5545D">
              <w:rPr>
                <w:rFonts w:ascii="Abadi" w:eastAsia="Verdana" w:hAnsi="Abadi" w:cs="Verdana"/>
                <w:sz w:val="21"/>
                <w:szCs w:val="21"/>
              </w:rPr>
              <w:t xml:space="preserve">Artículo 87. La CODE promoverá e impulsará acciones en contra de la violencia en el Deporte, para tal efecto, se instalará el CECOVIDE, que coadyuvará con el sector público, social y privado, en el fomento de campañas de sensibilización en contra de la violencia </w:t>
            </w:r>
            <w:r w:rsidRPr="00C5545D">
              <w:rPr>
                <w:rFonts w:ascii="Abadi" w:eastAsia="Verdana" w:hAnsi="Abadi" w:cs="Verdana"/>
                <w:b/>
                <w:sz w:val="21"/>
                <w:szCs w:val="21"/>
              </w:rPr>
              <w:t xml:space="preserve">cualquiera que sea su género, de la  discriminación y de la exclusión de las personas, niñas, niños y adolescentes de la diversidad sexual, así como de </w:t>
            </w:r>
            <w:r w:rsidRPr="00C5545D">
              <w:rPr>
                <w:rFonts w:ascii="Abadi" w:eastAsia="Verdana" w:hAnsi="Abadi" w:cs="Verdana"/>
                <w:sz w:val="21"/>
                <w:szCs w:val="21"/>
              </w:rPr>
              <w:t xml:space="preserve">acciones que procuren que el deporte y la cultura física sean un referente de valores, integración y convivencia Social </w:t>
            </w:r>
            <w:r w:rsidRPr="00C5545D">
              <w:rPr>
                <w:rFonts w:ascii="Abadi" w:eastAsia="Verdana" w:hAnsi="Abadi" w:cs="Verdana"/>
                <w:b/>
                <w:sz w:val="21"/>
                <w:szCs w:val="21"/>
              </w:rPr>
              <w:t>con pleno respeto a los derechos humanos</w:t>
            </w:r>
            <w:r w:rsidRPr="00C5545D">
              <w:rPr>
                <w:rFonts w:ascii="Abadi" w:eastAsia="Verdana" w:hAnsi="Abadi" w:cs="Verdana"/>
                <w:sz w:val="21"/>
                <w:szCs w:val="21"/>
              </w:rPr>
              <w:t xml:space="preserve">, para lo cual deberá </w:t>
            </w:r>
            <w:r w:rsidRPr="00C5545D">
              <w:rPr>
                <w:rFonts w:ascii="Abadi" w:eastAsia="Verdana" w:hAnsi="Abadi" w:cs="Verdana"/>
                <w:sz w:val="21"/>
                <w:szCs w:val="21"/>
              </w:rPr>
              <w:lastRenderedPageBreak/>
              <w:t xml:space="preserve">establecer un programa anual. </w:t>
            </w:r>
          </w:p>
          <w:p w14:paraId="0B107CD1" w14:textId="77777777" w:rsidR="000E46BD" w:rsidRPr="00695491" w:rsidRDefault="000E46BD" w:rsidP="009F1218">
            <w:pPr>
              <w:ind w:right="4"/>
              <w:jc w:val="both"/>
              <w:rPr>
                <w:rFonts w:ascii="Abadi" w:hAnsi="Abadi"/>
                <w:sz w:val="21"/>
                <w:szCs w:val="21"/>
              </w:rPr>
            </w:pPr>
          </w:p>
        </w:tc>
      </w:tr>
    </w:tbl>
    <w:p w14:paraId="57E82385" w14:textId="77777777" w:rsidR="00363292" w:rsidRPr="00C5545D" w:rsidRDefault="00363292" w:rsidP="00BF55D3">
      <w:pPr>
        <w:ind w:left="137" w:right="4"/>
        <w:jc w:val="both"/>
        <w:rPr>
          <w:rFonts w:ascii="Abadi" w:hAnsi="Abadi"/>
          <w:sz w:val="21"/>
          <w:szCs w:val="21"/>
        </w:rPr>
      </w:pPr>
    </w:p>
    <w:p w14:paraId="302F7D8B" w14:textId="77777777" w:rsidR="00BF55D3" w:rsidRDefault="00BF55D3" w:rsidP="00BF55D3">
      <w:pPr>
        <w:autoSpaceDE w:val="0"/>
        <w:autoSpaceDN w:val="0"/>
        <w:adjustRightInd w:val="0"/>
        <w:contextualSpacing/>
        <w:jc w:val="both"/>
        <w:rPr>
          <w:rFonts w:ascii="Abadi" w:hAnsi="Abadi" w:cs="ArialMT"/>
          <w:b/>
          <w:bCs/>
          <w:sz w:val="21"/>
          <w:szCs w:val="21"/>
        </w:rPr>
      </w:pPr>
    </w:p>
    <w:p w14:paraId="03D157C0" w14:textId="77777777" w:rsidR="003E7F94" w:rsidRDefault="003E7F94" w:rsidP="00BF55D3">
      <w:pPr>
        <w:autoSpaceDE w:val="0"/>
        <w:autoSpaceDN w:val="0"/>
        <w:adjustRightInd w:val="0"/>
        <w:contextualSpacing/>
        <w:jc w:val="both"/>
        <w:rPr>
          <w:rFonts w:ascii="Abadi" w:hAnsi="Abadi" w:cs="ArialMT"/>
          <w:b/>
          <w:bCs/>
          <w:sz w:val="21"/>
          <w:szCs w:val="21"/>
        </w:rPr>
      </w:pPr>
    </w:p>
    <w:p w14:paraId="5331A3B8" w14:textId="77777777" w:rsidR="003E7F94" w:rsidRPr="003E7F94" w:rsidRDefault="003E7F94" w:rsidP="00BF55D3">
      <w:pPr>
        <w:ind w:left="137" w:right="4"/>
        <w:jc w:val="both"/>
        <w:rPr>
          <w:rFonts w:ascii="Abadi" w:hAnsi="Abadi"/>
          <w:sz w:val="21"/>
          <w:szCs w:val="21"/>
        </w:rPr>
      </w:pPr>
      <w:r w:rsidRPr="003E7F94">
        <w:rPr>
          <w:rFonts w:ascii="Abadi" w:hAnsi="Abadi"/>
          <w:sz w:val="21"/>
          <w:szCs w:val="21"/>
        </w:rPr>
        <w:t xml:space="preserve">De ser aprobada, la presente iniciativa, tendrá los siguientes impactos, de conformidad con el artículo 209 de la Ley Orgánica del Poder Legislativo del Estado de Guanajuato: </w:t>
      </w:r>
    </w:p>
    <w:p w14:paraId="3262AA17" w14:textId="77777777" w:rsidR="003E7F94" w:rsidRPr="003E7F94" w:rsidRDefault="003E7F94" w:rsidP="003E7F94">
      <w:pPr>
        <w:spacing w:after="22" w:line="259" w:lineRule="auto"/>
        <w:ind w:left="142"/>
        <w:jc w:val="both"/>
        <w:rPr>
          <w:rFonts w:ascii="Abadi" w:hAnsi="Abadi"/>
          <w:sz w:val="21"/>
          <w:szCs w:val="21"/>
        </w:rPr>
      </w:pPr>
      <w:r w:rsidRPr="003E7F94">
        <w:rPr>
          <w:rFonts w:ascii="Abadi" w:hAnsi="Abadi"/>
          <w:sz w:val="21"/>
          <w:szCs w:val="21"/>
        </w:rPr>
        <w:t xml:space="preserve"> </w:t>
      </w:r>
    </w:p>
    <w:p w14:paraId="0E24073B" w14:textId="77777777" w:rsidR="003E7F94" w:rsidRPr="003E7F94" w:rsidRDefault="003E7F94" w:rsidP="003E7F94">
      <w:pPr>
        <w:numPr>
          <w:ilvl w:val="0"/>
          <w:numId w:val="55"/>
        </w:numPr>
        <w:spacing w:after="15" w:line="247" w:lineRule="auto"/>
        <w:ind w:right="4" w:hanging="677"/>
        <w:jc w:val="both"/>
        <w:rPr>
          <w:rFonts w:ascii="Abadi" w:hAnsi="Abadi"/>
          <w:sz w:val="21"/>
          <w:szCs w:val="21"/>
        </w:rPr>
      </w:pPr>
      <w:r w:rsidRPr="003E7F94">
        <w:rPr>
          <w:rFonts w:ascii="Abadi" w:hAnsi="Abadi" w:cs="Arial"/>
          <w:b/>
          <w:sz w:val="21"/>
          <w:szCs w:val="21"/>
        </w:rPr>
        <w:t xml:space="preserve">Impacto jurídico: </w:t>
      </w:r>
      <w:r w:rsidRPr="003E7F94">
        <w:rPr>
          <w:rFonts w:ascii="Abadi" w:hAnsi="Abadi"/>
          <w:sz w:val="21"/>
          <w:szCs w:val="21"/>
        </w:rPr>
        <w:t xml:space="preserve"> Se armoniza en forma general la Ley de Cultura Física y Deporte del Estado de Guanajuato, a los criterios y estándares internacionales, sobre incorporación de protección en el deporte de la mujer, las niñas, niños y adolescentes, las personas discapacitadas y de la tercera edad, así como las personas LTGB en el desarrollo de actividades de cultura física y deporte en el Estado de Guanajuato, su derecho fundamental a realizar actividades deportivas en instalaciones a cargo del estado, los Municipios y de carácter privado. </w:t>
      </w:r>
    </w:p>
    <w:p w14:paraId="173611DE" w14:textId="77777777" w:rsidR="003E7F94" w:rsidRPr="003E7F94" w:rsidRDefault="003E7F94" w:rsidP="003E7F94">
      <w:pPr>
        <w:spacing w:line="259" w:lineRule="auto"/>
        <w:ind w:left="2330"/>
        <w:jc w:val="both"/>
        <w:rPr>
          <w:rFonts w:ascii="Abadi" w:hAnsi="Abadi"/>
          <w:sz w:val="21"/>
          <w:szCs w:val="21"/>
        </w:rPr>
      </w:pPr>
      <w:r w:rsidRPr="003E7F94">
        <w:rPr>
          <w:rFonts w:ascii="Abadi" w:hAnsi="Abadi" w:cs="Arial"/>
          <w:b/>
          <w:sz w:val="21"/>
          <w:szCs w:val="21"/>
        </w:rPr>
        <w:t xml:space="preserve"> </w:t>
      </w:r>
    </w:p>
    <w:p w14:paraId="1058244E" w14:textId="77777777" w:rsidR="003E7F94" w:rsidRPr="003E7F94" w:rsidRDefault="003E7F94" w:rsidP="003E7F94">
      <w:pPr>
        <w:ind w:left="872" w:right="4"/>
        <w:jc w:val="both"/>
        <w:rPr>
          <w:rFonts w:ascii="Abadi" w:hAnsi="Abadi"/>
          <w:sz w:val="21"/>
          <w:szCs w:val="21"/>
        </w:rPr>
      </w:pPr>
      <w:r w:rsidRPr="003E7F94">
        <w:rPr>
          <w:rFonts w:ascii="Abadi" w:hAnsi="Abadi"/>
          <w:sz w:val="21"/>
          <w:szCs w:val="21"/>
        </w:rPr>
        <w:t xml:space="preserve">La protección implica que en el deporte no se deberán ejecutar acciones discriminatorias, con violencia en contra de la mujer, principalmente, así como de los sectores más desprotegidos e invisibles de la sociedad en el estado. </w:t>
      </w:r>
    </w:p>
    <w:p w14:paraId="20756FB9" w14:textId="77777777" w:rsidR="003E7F94" w:rsidRPr="003E7F94" w:rsidRDefault="003E7F94" w:rsidP="003E7F94">
      <w:pPr>
        <w:spacing w:line="259" w:lineRule="auto"/>
        <w:ind w:left="862"/>
        <w:jc w:val="both"/>
        <w:rPr>
          <w:rFonts w:ascii="Abadi" w:hAnsi="Abadi"/>
          <w:sz w:val="21"/>
          <w:szCs w:val="21"/>
        </w:rPr>
      </w:pPr>
      <w:r w:rsidRPr="003E7F94">
        <w:rPr>
          <w:rFonts w:ascii="Abadi" w:hAnsi="Abadi"/>
          <w:sz w:val="21"/>
          <w:szCs w:val="21"/>
        </w:rPr>
        <w:t xml:space="preserve"> </w:t>
      </w:r>
    </w:p>
    <w:p w14:paraId="544BC633" w14:textId="77777777" w:rsidR="003E7F94" w:rsidRPr="003E7F94" w:rsidRDefault="003E7F94" w:rsidP="003E7F94">
      <w:pPr>
        <w:ind w:left="860" w:right="4"/>
        <w:jc w:val="both"/>
        <w:rPr>
          <w:rFonts w:ascii="Abadi" w:hAnsi="Abadi"/>
          <w:sz w:val="21"/>
          <w:szCs w:val="21"/>
        </w:rPr>
      </w:pPr>
      <w:r w:rsidRPr="003E7F94">
        <w:rPr>
          <w:rFonts w:ascii="Abadi" w:hAnsi="Abadi"/>
          <w:sz w:val="21"/>
          <w:szCs w:val="21"/>
        </w:rPr>
        <w:t xml:space="preserve">Se armoniza la presente ley con las demás leyes generales y locales que tutelan la perspectiva de género en favor de la mujer, la no discriminación de cualquier persona, la no inclusión por cuestiones de orientación sexual, el interés superior de la niñez, la igualdad de condición de la mujer, el enfoque de género en todas las políticas y programas estatales y municipales, desarrollar instrumentos y mecanismos especiales para la salvaguarda de los derechos de la mujer, los derechos y la protección de la infancia a gozar de </w:t>
      </w:r>
      <w:r w:rsidRPr="003E7F94">
        <w:rPr>
          <w:rFonts w:ascii="Abadi" w:hAnsi="Abadi"/>
          <w:sz w:val="21"/>
          <w:szCs w:val="21"/>
        </w:rPr>
        <w:t xml:space="preserve">instalaciones adecuadas a su necesidad y sancionar la introducción, venta, consumo de alcohol o cualquier sustancia prohibida legalmente. </w:t>
      </w:r>
    </w:p>
    <w:p w14:paraId="79FF82FE" w14:textId="77777777" w:rsidR="003E7F94" w:rsidRPr="003E7F94" w:rsidRDefault="003E7F94" w:rsidP="003E7F94">
      <w:pPr>
        <w:spacing w:line="259" w:lineRule="auto"/>
        <w:ind w:left="850"/>
        <w:jc w:val="both"/>
        <w:rPr>
          <w:rFonts w:ascii="Abadi" w:hAnsi="Abadi"/>
          <w:sz w:val="21"/>
          <w:szCs w:val="21"/>
        </w:rPr>
      </w:pPr>
      <w:r w:rsidRPr="003E7F94">
        <w:rPr>
          <w:rFonts w:ascii="Abadi" w:hAnsi="Abadi"/>
          <w:sz w:val="21"/>
          <w:szCs w:val="21"/>
        </w:rPr>
        <w:t xml:space="preserve"> </w:t>
      </w:r>
    </w:p>
    <w:p w14:paraId="5A513CC3" w14:textId="77777777" w:rsidR="003E7F94" w:rsidRPr="003E7F94" w:rsidRDefault="003E7F94" w:rsidP="003E7F94">
      <w:pPr>
        <w:ind w:left="860" w:right="4"/>
        <w:jc w:val="both"/>
        <w:rPr>
          <w:rFonts w:ascii="Abadi" w:hAnsi="Abadi"/>
          <w:sz w:val="21"/>
          <w:szCs w:val="21"/>
        </w:rPr>
      </w:pPr>
      <w:r w:rsidRPr="003E7F94">
        <w:rPr>
          <w:rFonts w:ascii="Abadi" w:hAnsi="Abadi"/>
          <w:sz w:val="21"/>
          <w:szCs w:val="21"/>
        </w:rPr>
        <w:t>Por otro lado la presente ley establece la prohibición a otorgar créditos, apoyos, reconocimientos a personas o ser propuestas por el Congreso para el premio estatal del deporte a personas que cuenten con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a quienes hayan sido</w:t>
      </w:r>
      <w:r w:rsidRPr="003E7F94">
        <w:rPr>
          <w:rFonts w:ascii="Abadi" w:hAnsi="Abadi" w:cs="Arial"/>
          <w:i/>
          <w:sz w:val="21"/>
          <w:szCs w:val="21"/>
        </w:rPr>
        <w:t xml:space="preserve"> </w:t>
      </w:r>
      <w:r w:rsidRPr="003E7F94">
        <w:rPr>
          <w:rFonts w:ascii="Abadi" w:hAnsi="Abadi"/>
          <w:sz w:val="21"/>
          <w:szCs w:val="21"/>
        </w:rPr>
        <w:t xml:space="preserve">declaradas como personas deudoras alimentarias morosas, con lo que armoniza el presente proyecto con la reciente reforma constitución al artículo 38 de la Constitución Política de los Estados Unidos Mexicanos.  </w:t>
      </w:r>
    </w:p>
    <w:p w14:paraId="7994F3A8" w14:textId="77777777" w:rsidR="003E7F94" w:rsidRPr="003E7F94" w:rsidRDefault="003E7F94" w:rsidP="003E7F94">
      <w:pPr>
        <w:spacing w:after="21" w:line="259" w:lineRule="auto"/>
        <w:ind w:left="850"/>
        <w:jc w:val="both"/>
        <w:rPr>
          <w:rFonts w:ascii="Abadi" w:hAnsi="Abadi"/>
          <w:sz w:val="21"/>
          <w:szCs w:val="21"/>
        </w:rPr>
      </w:pPr>
      <w:r w:rsidRPr="003E7F94">
        <w:rPr>
          <w:rFonts w:ascii="Abadi" w:hAnsi="Abadi"/>
          <w:sz w:val="21"/>
          <w:szCs w:val="21"/>
        </w:rPr>
        <w:t xml:space="preserve"> </w:t>
      </w:r>
    </w:p>
    <w:p w14:paraId="625466AB" w14:textId="77777777" w:rsidR="003E7F94" w:rsidRPr="003E7F94" w:rsidRDefault="003E7F94" w:rsidP="003E7F94">
      <w:pPr>
        <w:numPr>
          <w:ilvl w:val="0"/>
          <w:numId w:val="55"/>
        </w:numPr>
        <w:spacing w:after="15" w:line="247" w:lineRule="auto"/>
        <w:ind w:right="4" w:hanging="677"/>
        <w:jc w:val="both"/>
        <w:rPr>
          <w:rFonts w:ascii="Abadi" w:hAnsi="Abadi"/>
          <w:sz w:val="21"/>
          <w:szCs w:val="21"/>
        </w:rPr>
      </w:pPr>
      <w:r w:rsidRPr="003E7F94">
        <w:rPr>
          <w:rFonts w:ascii="Abadi" w:hAnsi="Abadi" w:cs="Arial"/>
          <w:b/>
          <w:sz w:val="21"/>
          <w:szCs w:val="21"/>
        </w:rPr>
        <w:t xml:space="preserve">Impacto administrativo: </w:t>
      </w:r>
      <w:r w:rsidRPr="003E7F94">
        <w:rPr>
          <w:rFonts w:ascii="Abadi" w:hAnsi="Abadi"/>
          <w:sz w:val="21"/>
          <w:szCs w:val="21"/>
        </w:rPr>
        <w:t xml:space="preserve">Se aprecia únicamente asumir la presencia de un médico en los días que se celebren eventos deportivos, pudiendo realizarse turnos con el propio personal del Municipio o del Estado.  </w:t>
      </w:r>
    </w:p>
    <w:p w14:paraId="5AF3AB06" w14:textId="77777777" w:rsidR="003E7F94" w:rsidRPr="003E7F94" w:rsidRDefault="003E7F94" w:rsidP="003E7F94">
      <w:pPr>
        <w:spacing w:after="21" w:line="259" w:lineRule="auto"/>
        <w:ind w:left="862"/>
        <w:jc w:val="both"/>
        <w:rPr>
          <w:rFonts w:ascii="Abadi" w:hAnsi="Abadi"/>
          <w:sz w:val="21"/>
          <w:szCs w:val="21"/>
        </w:rPr>
      </w:pPr>
      <w:r w:rsidRPr="003E7F94">
        <w:rPr>
          <w:rFonts w:ascii="Abadi" w:hAnsi="Abadi"/>
          <w:sz w:val="21"/>
          <w:szCs w:val="21"/>
        </w:rPr>
        <w:t xml:space="preserve"> </w:t>
      </w:r>
    </w:p>
    <w:p w14:paraId="50F4FD84" w14:textId="77777777" w:rsidR="003E7F94" w:rsidRPr="003E7F94" w:rsidRDefault="003E7F94" w:rsidP="003E7F94">
      <w:pPr>
        <w:numPr>
          <w:ilvl w:val="0"/>
          <w:numId w:val="55"/>
        </w:numPr>
        <w:spacing w:after="15" w:line="247" w:lineRule="auto"/>
        <w:ind w:right="4" w:hanging="677"/>
        <w:jc w:val="both"/>
        <w:rPr>
          <w:rFonts w:ascii="Abadi" w:hAnsi="Abadi"/>
          <w:sz w:val="21"/>
          <w:szCs w:val="21"/>
        </w:rPr>
      </w:pPr>
      <w:r w:rsidRPr="003E7F94">
        <w:rPr>
          <w:rFonts w:ascii="Abadi" w:hAnsi="Abadi" w:cs="Arial"/>
          <w:b/>
          <w:sz w:val="21"/>
          <w:szCs w:val="21"/>
        </w:rPr>
        <w:t xml:space="preserve">Impacto presupuestario: </w:t>
      </w:r>
      <w:proofErr w:type="gramStart"/>
      <w:r w:rsidRPr="003E7F94">
        <w:rPr>
          <w:rFonts w:ascii="Abadi" w:hAnsi="Abadi"/>
          <w:sz w:val="21"/>
          <w:szCs w:val="21"/>
        </w:rPr>
        <w:t>El  que</w:t>
      </w:r>
      <w:proofErr w:type="gramEnd"/>
      <w:r w:rsidRPr="003E7F94">
        <w:rPr>
          <w:rFonts w:ascii="Abadi" w:hAnsi="Abadi"/>
          <w:sz w:val="21"/>
          <w:szCs w:val="21"/>
        </w:rPr>
        <w:t xml:space="preserve"> no es significativo y puede ser solventado con el pago de entrada o acceso a los centros o instalaciones deportivas.  </w:t>
      </w:r>
    </w:p>
    <w:p w14:paraId="61AE7FDA" w14:textId="77777777" w:rsidR="003E7F94" w:rsidRPr="003E7F94" w:rsidRDefault="003E7F94" w:rsidP="003E7F94">
      <w:pPr>
        <w:spacing w:after="24" w:line="259" w:lineRule="auto"/>
        <w:ind w:left="862"/>
        <w:jc w:val="both"/>
        <w:rPr>
          <w:rFonts w:ascii="Abadi" w:hAnsi="Abadi"/>
          <w:sz w:val="21"/>
          <w:szCs w:val="21"/>
        </w:rPr>
      </w:pPr>
      <w:r w:rsidRPr="003E7F94">
        <w:rPr>
          <w:rFonts w:ascii="Abadi" w:hAnsi="Abadi"/>
          <w:sz w:val="21"/>
          <w:szCs w:val="21"/>
        </w:rPr>
        <w:t xml:space="preserve"> </w:t>
      </w:r>
    </w:p>
    <w:p w14:paraId="7E6BB24C" w14:textId="77777777" w:rsidR="003E7F94" w:rsidRPr="003E7F94" w:rsidRDefault="003E7F94" w:rsidP="003E7F94">
      <w:pPr>
        <w:numPr>
          <w:ilvl w:val="0"/>
          <w:numId w:val="55"/>
        </w:numPr>
        <w:spacing w:after="15" w:line="247" w:lineRule="auto"/>
        <w:ind w:right="4" w:hanging="677"/>
        <w:jc w:val="both"/>
        <w:rPr>
          <w:rFonts w:ascii="Abadi" w:hAnsi="Abadi"/>
          <w:sz w:val="21"/>
          <w:szCs w:val="21"/>
        </w:rPr>
      </w:pPr>
      <w:r w:rsidRPr="003E7F94">
        <w:rPr>
          <w:rFonts w:ascii="Abadi" w:hAnsi="Abadi" w:cs="Arial"/>
          <w:b/>
          <w:sz w:val="21"/>
          <w:szCs w:val="21"/>
        </w:rPr>
        <w:t xml:space="preserve">Impacto social: </w:t>
      </w:r>
      <w:r w:rsidRPr="003E7F94">
        <w:rPr>
          <w:rFonts w:ascii="Abadi" w:hAnsi="Abadi"/>
          <w:sz w:val="21"/>
          <w:szCs w:val="21"/>
        </w:rPr>
        <w:t xml:space="preserve">Con esta iniciativa, se garantiza legalmente que las mujeres, niñas, niños y adolescentes, así como personas con discapacidad, de la tercera edad, de la diversidad sexual y cualquier otra de clases sociales no visibilizada, puedan acceder a este derecho fundamental del deporte. </w:t>
      </w:r>
    </w:p>
    <w:p w14:paraId="04A4013A"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lastRenderedPageBreak/>
        <w:t xml:space="preserve">Por lo anteriormente expuesto, someto a la consideración de este H. Congreso del Estado de Guanajuato el siguiente: </w:t>
      </w:r>
      <w:r w:rsidRPr="003E7F94">
        <w:rPr>
          <w:rFonts w:ascii="Abadi" w:hAnsi="Abadi" w:cs="Arial"/>
          <w:b/>
          <w:sz w:val="21"/>
          <w:szCs w:val="21"/>
        </w:rPr>
        <w:t xml:space="preserve"> </w:t>
      </w:r>
    </w:p>
    <w:p w14:paraId="22CFCC0A" w14:textId="77777777" w:rsidR="003E7F94" w:rsidRPr="003E7F94" w:rsidRDefault="003E7F94" w:rsidP="003E7F94">
      <w:pPr>
        <w:spacing w:line="259" w:lineRule="auto"/>
        <w:ind w:left="201"/>
        <w:jc w:val="both"/>
        <w:rPr>
          <w:rFonts w:ascii="Abadi" w:hAnsi="Abadi"/>
          <w:sz w:val="21"/>
          <w:szCs w:val="21"/>
        </w:rPr>
      </w:pPr>
      <w:r w:rsidRPr="003E7F94">
        <w:rPr>
          <w:rFonts w:ascii="Abadi" w:hAnsi="Abadi" w:cs="Arial"/>
          <w:b/>
          <w:sz w:val="21"/>
          <w:szCs w:val="21"/>
        </w:rPr>
        <w:t xml:space="preserve"> </w:t>
      </w:r>
    </w:p>
    <w:p w14:paraId="18D3576E" w14:textId="77777777" w:rsidR="003E7F94" w:rsidRPr="003E7F94" w:rsidRDefault="003E7F94" w:rsidP="003E7F94">
      <w:pPr>
        <w:spacing w:after="22" w:line="259" w:lineRule="auto"/>
        <w:ind w:left="201"/>
        <w:jc w:val="both"/>
        <w:rPr>
          <w:rFonts w:ascii="Abadi" w:hAnsi="Abadi"/>
          <w:sz w:val="21"/>
          <w:szCs w:val="21"/>
        </w:rPr>
      </w:pPr>
      <w:r w:rsidRPr="003E7F94">
        <w:rPr>
          <w:rFonts w:ascii="Abadi" w:hAnsi="Abadi" w:cs="Arial"/>
          <w:b/>
          <w:sz w:val="21"/>
          <w:szCs w:val="21"/>
        </w:rPr>
        <w:t xml:space="preserve"> </w:t>
      </w:r>
    </w:p>
    <w:p w14:paraId="7ECDC87C" w14:textId="77777777" w:rsidR="003E7F94" w:rsidRPr="003E7F94" w:rsidRDefault="003E7F94" w:rsidP="003E7F94">
      <w:pPr>
        <w:spacing w:line="259" w:lineRule="auto"/>
        <w:ind w:left="157"/>
        <w:jc w:val="both"/>
        <w:rPr>
          <w:rFonts w:ascii="Abadi" w:hAnsi="Abadi"/>
          <w:sz w:val="21"/>
          <w:szCs w:val="21"/>
        </w:rPr>
      </w:pPr>
      <w:r w:rsidRPr="003E7F94">
        <w:rPr>
          <w:rFonts w:ascii="Abadi" w:hAnsi="Abadi" w:cs="Arial"/>
          <w:b/>
          <w:sz w:val="21"/>
          <w:szCs w:val="21"/>
        </w:rPr>
        <w:t xml:space="preserve">D E C R E T O. </w:t>
      </w:r>
    </w:p>
    <w:p w14:paraId="37913FB9" w14:textId="77777777" w:rsidR="003E7F94" w:rsidRPr="003E7F94" w:rsidRDefault="003E7F94" w:rsidP="003E7F94">
      <w:pPr>
        <w:spacing w:line="259" w:lineRule="auto"/>
        <w:ind w:left="142"/>
        <w:jc w:val="both"/>
        <w:rPr>
          <w:rFonts w:ascii="Abadi" w:hAnsi="Abadi"/>
          <w:sz w:val="21"/>
          <w:szCs w:val="21"/>
        </w:rPr>
      </w:pPr>
      <w:r w:rsidRPr="003E7F94">
        <w:rPr>
          <w:rFonts w:ascii="Abadi" w:eastAsia="Verdana" w:hAnsi="Abadi" w:cs="Verdana"/>
          <w:sz w:val="21"/>
          <w:szCs w:val="21"/>
        </w:rPr>
        <w:t xml:space="preserve"> </w:t>
      </w:r>
    </w:p>
    <w:p w14:paraId="5A466DA7" w14:textId="77777777" w:rsidR="003E7F94" w:rsidRPr="003E7F94" w:rsidRDefault="003E7F94" w:rsidP="003E7F94">
      <w:pPr>
        <w:spacing w:line="241" w:lineRule="auto"/>
        <w:ind w:left="142" w:right="9"/>
        <w:jc w:val="both"/>
        <w:rPr>
          <w:rFonts w:ascii="Abadi" w:hAnsi="Abadi"/>
          <w:sz w:val="21"/>
          <w:szCs w:val="21"/>
        </w:rPr>
      </w:pPr>
      <w:r w:rsidRPr="003E7F94">
        <w:rPr>
          <w:rFonts w:ascii="Abadi" w:eastAsia="Verdana" w:hAnsi="Abadi" w:cs="Verdana"/>
          <w:b/>
          <w:sz w:val="21"/>
          <w:szCs w:val="21"/>
        </w:rPr>
        <w:t>PRIMERO</w:t>
      </w:r>
      <w:r w:rsidRPr="003E7F94">
        <w:rPr>
          <w:rFonts w:ascii="Abadi" w:eastAsia="Verdana" w:hAnsi="Abadi" w:cs="Verdana"/>
          <w:sz w:val="21"/>
          <w:szCs w:val="21"/>
        </w:rPr>
        <w:t xml:space="preserve">: Se reforman las fracciones VI, X y XI del artículo 2; fracciones XI y XII, y se hace el recorrido de las subsecuentes del artículo 4; fracción II del artículo 6; fracción VII y recorrido a la fracción IX del artículo 7; fracciones IV y XIII y recorrido a la XX del artículo 10; fracciones I, VI y VIII del artículo 14; las fracciones V, VI, XVI, XXX y XXXI del artículo 18; fracción XIV del artículo 25; las fracciones I y II del artículo 29; el primer párrafo del artículo 30; el segundo párrafo del artículo 35; el párrafo tercero del artículo 40; el primer párrafo del artículo 42; las fracciones II, III, IV, V, XI, XV y XVII del artículo 45; el artículo 46; fracción V del artículo 48; el artículo 50; artículo 58; fracción I del artículo 63; artículo 66; el primer párrafo del artículo 68; el primer párrafo del artículo 72 y; el artículo 87; todas y todos, de la Ley de Cultura y Deporte del Estado de Guanajuato, para quedar como sigue: </w:t>
      </w:r>
    </w:p>
    <w:p w14:paraId="5AE98A84" w14:textId="77777777" w:rsidR="003E7F94" w:rsidRPr="003E7F94" w:rsidRDefault="003E7F94" w:rsidP="003E7F94">
      <w:pPr>
        <w:spacing w:line="259" w:lineRule="auto"/>
        <w:ind w:left="142"/>
        <w:jc w:val="both"/>
        <w:rPr>
          <w:rFonts w:ascii="Abadi" w:hAnsi="Abadi"/>
          <w:sz w:val="21"/>
          <w:szCs w:val="21"/>
        </w:rPr>
      </w:pPr>
      <w:r w:rsidRPr="003E7F94">
        <w:rPr>
          <w:rFonts w:ascii="Abadi" w:eastAsia="Verdana" w:hAnsi="Abadi" w:cs="Verdana"/>
          <w:sz w:val="21"/>
          <w:szCs w:val="21"/>
        </w:rPr>
        <w:t xml:space="preserve"> </w:t>
      </w:r>
    </w:p>
    <w:p w14:paraId="4C73C48A"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2</w:t>
      </w:r>
      <w:r w:rsidRPr="003E7F94">
        <w:rPr>
          <w:rFonts w:ascii="Abadi" w:hAnsi="Abadi"/>
          <w:sz w:val="21"/>
          <w:szCs w:val="21"/>
        </w:rPr>
        <w:t xml:space="preserve">. La presente Ley tiene por finalidad: </w:t>
      </w:r>
    </w:p>
    <w:p w14:paraId="1047D32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E7B492B"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Fomentar ...; </w:t>
      </w:r>
    </w:p>
    <w:p w14:paraId="4AB2C89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7C63E1E"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Elevar...; </w:t>
      </w:r>
    </w:p>
    <w:p w14:paraId="1B49E90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D7C989C"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Fomentar...; </w:t>
      </w:r>
    </w:p>
    <w:p w14:paraId="2FF7A34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A402938"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Fomentar el desarrollo...; </w:t>
      </w:r>
    </w:p>
    <w:p w14:paraId="1A7A334C"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D0E97F1"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Incentivar...; </w:t>
      </w:r>
    </w:p>
    <w:p w14:paraId="13E7CE4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EE0FF1D"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Promover las medidas preventivas necesarias para erradicar la violencia en el deporte, </w:t>
      </w:r>
      <w:r w:rsidRPr="003E7F94">
        <w:rPr>
          <w:rFonts w:ascii="Abadi" w:hAnsi="Abadi" w:cs="Arial"/>
          <w:b/>
          <w:sz w:val="21"/>
          <w:szCs w:val="21"/>
        </w:rPr>
        <w:t>la discriminación por cuestiones de género, preferencias sexuales o cualquier otra</w:t>
      </w:r>
      <w:r w:rsidRPr="003E7F94">
        <w:rPr>
          <w:rFonts w:ascii="Abadi" w:hAnsi="Abadi"/>
          <w:sz w:val="21"/>
          <w:szCs w:val="21"/>
        </w:rPr>
        <w:t xml:space="preserve">; </w:t>
      </w:r>
    </w:p>
    <w:p w14:paraId="58A7D16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9193C67"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Fomentar, ordenar...; </w:t>
      </w:r>
    </w:p>
    <w:p w14:paraId="182F090C"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F7ACBBA"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Incentivar...; </w:t>
      </w:r>
    </w:p>
    <w:p w14:paraId="04E68B8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B8324D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129167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04E815B"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Promover...; </w:t>
      </w:r>
    </w:p>
    <w:p w14:paraId="0EC5628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5612F81"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sz w:val="21"/>
          <w:szCs w:val="21"/>
        </w:rPr>
        <w:t xml:space="preserve">Garantizar a todas las personas </w:t>
      </w:r>
      <w:r w:rsidRPr="003E7F94">
        <w:rPr>
          <w:rFonts w:ascii="Abadi" w:hAnsi="Abadi" w:cs="Arial"/>
          <w:b/>
          <w:sz w:val="21"/>
          <w:szCs w:val="21"/>
        </w:rPr>
        <w:t>sin distinción de género</w:t>
      </w:r>
      <w:r w:rsidRPr="003E7F94">
        <w:rPr>
          <w:rFonts w:ascii="Abadi" w:hAnsi="Abadi"/>
          <w:sz w:val="21"/>
          <w:szCs w:val="21"/>
        </w:rPr>
        <w:t xml:space="preserve"> o preferencia sexual, edad, discapacidad, condición social, religión, opiniones, preferencias o estado civil, la igualdad de oportunidades dentro de los programas de desarrollo que en materia de cultura física y deporte se implementen; y </w:t>
      </w:r>
    </w:p>
    <w:p w14:paraId="3C6841A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6AA8832" w14:textId="77777777" w:rsidR="003E7F94" w:rsidRPr="003E7F94" w:rsidRDefault="003E7F94" w:rsidP="003E7F94">
      <w:pPr>
        <w:numPr>
          <w:ilvl w:val="0"/>
          <w:numId w:val="56"/>
        </w:numPr>
        <w:spacing w:after="15" w:line="247" w:lineRule="auto"/>
        <w:ind w:right="4" w:hanging="532"/>
        <w:jc w:val="both"/>
        <w:rPr>
          <w:rFonts w:ascii="Abadi" w:hAnsi="Abadi"/>
          <w:sz w:val="21"/>
          <w:szCs w:val="21"/>
        </w:rPr>
      </w:pPr>
      <w:r w:rsidRPr="003E7F94">
        <w:rPr>
          <w:rFonts w:ascii="Abadi" w:hAnsi="Abadi" w:cs="Arial"/>
          <w:b/>
          <w:sz w:val="21"/>
          <w:szCs w:val="21"/>
        </w:rPr>
        <w:t>Prevenir que cualquier persona, las niñas, los niños, las y los adolescentes</w:t>
      </w:r>
      <w:r w:rsidRPr="003E7F94">
        <w:rPr>
          <w:rFonts w:ascii="Abadi" w:hAnsi="Abadi"/>
          <w:sz w:val="21"/>
          <w:szCs w:val="21"/>
        </w:rPr>
        <w:t xml:space="preserve">, o deportistas con algún tipo de discapacidad no serán objeto de discriminación alguna. </w:t>
      </w:r>
    </w:p>
    <w:p w14:paraId="57379D4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B9AD3E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DC08748"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w:t>
      </w:r>
      <w:r w:rsidRPr="003E7F94">
        <w:rPr>
          <w:rFonts w:ascii="Abadi" w:hAnsi="Abadi"/>
          <w:sz w:val="21"/>
          <w:szCs w:val="21"/>
        </w:rPr>
        <w:t xml:space="preserve"> Para los efectos de esta Ley se entenderá por: </w:t>
      </w:r>
    </w:p>
    <w:p w14:paraId="6E12B5B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ED2F2AB" w14:textId="77777777" w:rsidR="003E7F94" w:rsidRPr="003E7F94" w:rsidRDefault="003E7F94" w:rsidP="00335AD7">
      <w:pPr>
        <w:numPr>
          <w:ilvl w:val="0"/>
          <w:numId w:val="57"/>
        </w:numPr>
        <w:spacing w:line="247" w:lineRule="auto"/>
        <w:ind w:right="4" w:hanging="734"/>
        <w:jc w:val="both"/>
        <w:rPr>
          <w:rFonts w:ascii="Abadi" w:hAnsi="Abadi"/>
          <w:sz w:val="21"/>
          <w:szCs w:val="21"/>
        </w:rPr>
      </w:pPr>
      <w:r w:rsidRPr="003E7F94">
        <w:rPr>
          <w:rFonts w:ascii="Abadi" w:hAnsi="Abadi"/>
          <w:sz w:val="21"/>
          <w:szCs w:val="21"/>
        </w:rPr>
        <w:t xml:space="preserve">CECOVIDE...; </w:t>
      </w:r>
    </w:p>
    <w:p w14:paraId="5DB4703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E4310D4"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CODE...; </w:t>
      </w:r>
    </w:p>
    <w:p w14:paraId="1DE97D1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170C0BC"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Consejo...; </w:t>
      </w:r>
    </w:p>
    <w:p w14:paraId="7D9EBCE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DC26E4B"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Consejo Estatal...; </w:t>
      </w:r>
    </w:p>
    <w:p w14:paraId="370E14E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243C937"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COEDE...; </w:t>
      </w:r>
    </w:p>
    <w:p w14:paraId="6D8B15C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BCF421F"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CONADE. La Comisión Nacional de Cultura Física y Deporte; </w:t>
      </w:r>
    </w:p>
    <w:p w14:paraId="2928560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B7968A5"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COVEDE...; </w:t>
      </w:r>
    </w:p>
    <w:p w14:paraId="4BB03F7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37F4A37"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Cultura física...; </w:t>
      </w:r>
    </w:p>
    <w:p w14:paraId="054EEA3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F7CD9DC"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Deporte...; </w:t>
      </w:r>
    </w:p>
    <w:p w14:paraId="33BEB38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5F90287"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Deporte de Alto...; </w:t>
      </w:r>
    </w:p>
    <w:p w14:paraId="2CE2C46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29517E2" w14:textId="77777777" w:rsidR="003E7F94" w:rsidRPr="003E7F94" w:rsidRDefault="003E7F94" w:rsidP="003E7F94">
      <w:pPr>
        <w:numPr>
          <w:ilvl w:val="0"/>
          <w:numId w:val="57"/>
        </w:numPr>
        <w:spacing w:line="249" w:lineRule="auto"/>
        <w:ind w:right="4" w:hanging="734"/>
        <w:jc w:val="both"/>
        <w:rPr>
          <w:rFonts w:ascii="Abadi" w:hAnsi="Abadi"/>
          <w:sz w:val="21"/>
          <w:szCs w:val="21"/>
        </w:rPr>
      </w:pPr>
      <w:r w:rsidRPr="003E7F94">
        <w:rPr>
          <w:rFonts w:ascii="Abadi" w:hAnsi="Abadi" w:cs="Arial"/>
          <w:b/>
          <w:sz w:val="21"/>
          <w:szCs w:val="21"/>
        </w:rPr>
        <w:t xml:space="preserve">Deporte de Rendimiento: el deporte que promueve, fomenta y estimula el que todas las personas puedan mejorar su nivel de calidad deportiva como aficionados, pudiendo integrarse al deporte de alto rendimiento, o en su caso, sujetarse adecuadamente a una </w:t>
      </w:r>
      <w:r w:rsidRPr="003E7F94">
        <w:rPr>
          <w:rFonts w:ascii="Abadi" w:hAnsi="Abadi" w:cs="Arial"/>
          <w:b/>
          <w:sz w:val="21"/>
          <w:szCs w:val="21"/>
        </w:rPr>
        <w:lastRenderedPageBreak/>
        <w:t xml:space="preserve">relación laboral por la práctica del deporte. </w:t>
      </w:r>
    </w:p>
    <w:p w14:paraId="7CC1ED9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36C5F9A1" w14:textId="77777777" w:rsidR="003E7F94" w:rsidRPr="003E7F94" w:rsidRDefault="003E7F94" w:rsidP="003E7F94">
      <w:pPr>
        <w:numPr>
          <w:ilvl w:val="0"/>
          <w:numId w:val="57"/>
        </w:numPr>
        <w:spacing w:line="249" w:lineRule="auto"/>
        <w:ind w:right="4" w:hanging="734"/>
        <w:jc w:val="both"/>
        <w:rPr>
          <w:rFonts w:ascii="Abadi" w:hAnsi="Abadi"/>
          <w:sz w:val="21"/>
          <w:szCs w:val="21"/>
        </w:rPr>
      </w:pPr>
      <w:r w:rsidRPr="003E7F94">
        <w:rPr>
          <w:rFonts w:ascii="Abadi" w:hAnsi="Abadi" w:cs="Arial"/>
          <w:b/>
          <w:sz w:val="21"/>
          <w:szCs w:val="21"/>
        </w:rPr>
        <w:t>Deporte Social</w:t>
      </w:r>
      <w:r w:rsidRPr="003E7F94">
        <w:rPr>
          <w:rFonts w:ascii="Abadi" w:hAnsi="Abadi"/>
          <w:sz w:val="21"/>
          <w:szCs w:val="21"/>
        </w:rPr>
        <w:t xml:space="preserve">. </w:t>
      </w:r>
      <w:r w:rsidRPr="003E7F94">
        <w:rPr>
          <w:rFonts w:ascii="Abadi" w:hAnsi="Abadi" w:cs="Arial"/>
          <w:b/>
          <w:sz w:val="21"/>
          <w:szCs w:val="21"/>
        </w:rPr>
        <w:t xml:space="preserve">Es el deporte que promueve, fomenta, estimula el que todas las personas sin distinción de género, edad, discapacidad, condición social, religión, opiniones, preferencias de cualquier índole, diversidad sexual o estado civil, tengan igualdad de participación en actividades deportivas con finalidades recreativas, educativas, de salud o rehabilitación. </w:t>
      </w:r>
    </w:p>
    <w:p w14:paraId="64065B8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62F2DD54"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Director General...; </w:t>
      </w:r>
    </w:p>
    <w:p w14:paraId="1A21C6B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CD052B7"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Entrenadores...; </w:t>
      </w:r>
    </w:p>
    <w:p w14:paraId="7F01E4DC"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6B5B679"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Ley General...; </w:t>
      </w:r>
    </w:p>
    <w:p w14:paraId="0425FED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0ADA757"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Organismo municipal...; </w:t>
      </w:r>
    </w:p>
    <w:p w14:paraId="60F9816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EE65396"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RED...; </w:t>
      </w:r>
    </w:p>
    <w:p w14:paraId="4521956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46D908C"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Reglamento...; </w:t>
      </w:r>
    </w:p>
    <w:p w14:paraId="6A4F159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6FB12D2"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Reglamento Interior...; </w:t>
      </w:r>
    </w:p>
    <w:p w14:paraId="190DF68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7B68236"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RENADE...; </w:t>
      </w:r>
    </w:p>
    <w:p w14:paraId="3FAE392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9D40183"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Sistema Estatal...; </w:t>
      </w:r>
    </w:p>
    <w:p w14:paraId="754ABEB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F83D1FE"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SINADE...; </w:t>
      </w:r>
    </w:p>
    <w:p w14:paraId="0F1BD0D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926D012"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SEG...; y </w:t>
      </w:r>
    </w:p>
    <w:p w14:paraId="21091CD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5A3C622" w14:textId="77777777" w:rsidR="003E7F94" w:rsidRPr="003E7F94" w:rsidRDefault="003E7F94" w:rsidP="003E7F94">
      <w:pPr>
        <w:numPr>
          <w:ilvl w:val="0"/>
          <w:numId w:val="57"/>
        </w:numPr>
        <w:spacing w:after="15" w:line="247" w:lineRule="auto"/>
        <w:ind w:right="4" w:hanging="734"/>
        <w:jc w:val="both"/>
        <w:rPr>
          <w:rFonts w:ascii="Abadi" w:hAnsi="Abadi"/>
          <w:sz w:val="21"/>
          <w:szCs w:val="21"/>
        </w:rPr>
      </w:pPr>
      <w:r w:rsidRPr="003E7F94">
        <w:rPr>
          <w:rFonts w:ascii="Abadi" w:hAnsi="Abadi"/>
          <w:sz w:val="21"/>
          <w:szCs w:val="21"/>
        </w:rPr>
        <w:t xml:space="preserve">(DEROGADA) </w:t>
      </w:r>
    </w:p>
    <w:p w14:paraId="26F4ED6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D4372CA"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6</w:t>
      </w:r>
      <w:r w:rsidRPr="003E7F94">
        <w:rPr>
          <w:rFonts w:ascii="Abadi" w:hAnsi="Abadi"/>
          <w:sz w:val="21"/>
          <w:szCs w:val="21"/>
        </w:rPr>
        <w:t xml:space="preserve">. Compete al titular del Poder Ejecutivo del Estado: </w:t>
      </w:r>
    </w:p>
    <w:p w14:paraId="3F976CF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F3C7223"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Promover...; </w:t>
      </w:r>
    </w:p>
    <w:p w14:paraId="3CF36ED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1F05545"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Incluir en el Plan Estatal de Desarrollo y en el Programa de Gobierno los objetivos, metas, estrategias, </w:t>
      </w:r>
      <w:r w:rsidRPr="003E7F94">
        <w:rPr>
          <w:rFonts w:ascii="Abadi" w:hAnsi="Abadi" w:cs="Arial"/>
          <w:b/>
          <w:sz w:val="21"/>
          <w:szCs w:val="21"/>
        </w:rPr>
        <w:t>medidas preventivas</w:t>
      </w:r>
      <w:r w:rsidRPr="003E7F94">
        <w:rPr>
          <w:rFonts w:ascii="Abadi" w:hAnsi="Abadi"/>
          <w:sz w:val="21"/>
          <w:szCs w:val="21"/>
        </w:rPr>
        <w:t xml:space="preserve"> </w:t>
      </w:r>
      <w:r w:rsidRPr="003E7F94">
        <w:rPr>
          <w:rFonts w:ascii="Abadi" w:hAnsi="Abadi" w:cs="Arial"/>
          <w:b/>
          <w:sz w:val="21"/>
          <w:szCs w:val="21"/>
        </w:rPr>
        <w:t>para erradicar la violencia o la discriminación</w:t>
      </w:r>
      <w:r w:rsidRPr="003E7F94">
        <w:rPr>
          <w:rFonts w:ascii="Abadi" w:hAnsi="Abadi"/>
          <w:sz w:val="21"/>
          <w:szCs w:val="21"/>
        </w:rPr>
        <w:t xml:space="preserve"> y acciones para incrementar </w:t>
      </w:r>
      <w:r w:rsidRPr="003E7F94">
        <w:rPr>
          <w:rFonts w:ascii="Abadi" w:hAnsi="Abadi" w:cs="Arial"/>
          <w:b/>
          <w:sz w:val="21"/>
          <w:szCs w:val="21"/>
        </w:rPr>
        <w:t>la integración</w:t>
      </w:r>
      <w:r w:rsidRPr="003E7F94">
        <w:rPr>
          <w:rFonts w:ascii="Abadi" w:hAnsi="Abadi"/>
          <w:sz w:val="21"/>
          <w:szCs w:val="21"/>
        </w:rPr>
        <w:t xml:space="preserve">, la calidad de la cultura física y el deporte en el Estado </w:t>
      </w:r>
      <w:r w:rsidRPr="003E7F94">
        <w:rPr>
          <w:rFonts w:ascii="Abadi" w:hAnsi="Abadi" w:cs="Arial"/>
          <w:b/>
          <w:color w:val="212529"/>
          <w:sz w:val="21"/>
          <w:szCs w:val="21"/>
        </w:rPr>
        <w:t>con perspectivas de género y de inclusión;</w:t>
      </w:r>
      <w:r w:rsidRPr="003E7F94">
        <w:rPr>
          <w:rFonts w:ascii="Abadi" w:hAnsi="Abadi"/>
          <w:sz w:val="21"/>
          <w:szCs w:val="21"/>
        </w:rPr>
        <w:t xml:space="preserve"> </w:t>
      </w:r>
    </w:p>
    <w:p w14:paraId="5C041B1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491530C"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Designar...; </w:t>
      </w:r>
    </w:p>
    <w:p w14:paraId="762BC494"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Incluir...; </w:t>
      </w:r>
    </w:p>
    <w:p w14:paraId="08215E1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322BF92"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Emitir...; y </w:t>
      </w:r>
    </w:p>
    <w:p w14:paraId="671BEE2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58C04CB" w14:textId="77777777" w:rsidR="003E7F94" w:rsidRPr="003E7F94" w:rsidRDefault="003E7F94" w:rsidP="003E7F94">
      <w:pPr>
        <w:numPr>
          <w:ilvl w:val="0"/>
          <w:numId w:val="58"/>
        </w:numPr>
        <w:spacing w:after="15" w:line="247" w:lineRule="auto"/>
        <w:ind w:left="516" w:right="4" w:hanging="389"/>
        <w:jc w:val="both"/>
        <w:rPr>
          <w:rFonts w:ascii="Abadi" w:hAnsi="Abadi"/>
          <w:sz w:val="21"/>
          <w:szCs w:val="21"/>
        </w:rPr>
      </w:pPr>
      <w:r w:rsidRPr="003E7F94">
        <w:rPr>
          <w:rFonts w:ascii="Abadi" w:hAnsi="Abadi"/>
          <w:sz w:val="21"/>
          <w:szCs w:val="21"/>
        </w:rPr>
        <w:t xml:space="preserve">Las demás... </w:t>
      </w:r>
    </w:p>
    <w:p w14:paraId="57A0BA2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C13802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32750C6"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7</w:t>
      </w:r>
      <w:r w:rsidRPr="003E7F94">
        <w:rPr>
          <w:rFonts w:ascii="Abadi" w:hAnsi="Abadi"/>
          <w:sz w:val="21"/>
          <w:szCs w:val="21"/>
        </w:rPr>
        <w:t xml:space="preserve">. Le corresponde a la Secretaría de Educación las siguientes atribuciones: </w:t>
      </w:r>
    </w:p>
    <w:p w14:paraId="36528D2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7FDE71D"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Fomentar; </w:t>
      </w:r>
    </w:p>
    <w:p w14:paraId="0298042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CE30922"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Promover...; </w:t>
      </w:r>
    </w:p>
    <w:p w14:paraId="4CE2181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8C35126"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Realizar...; </w:t>
      </w:r>
    </w:p>
    <w:p w14:paraId="180CDF0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0D48FD8"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Promover...; </w:t>
      </w:r>
    </w:p>
    <w:p w14:paraId="359F20D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4BAD97A"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Participar...; </w:t>
      </w:r>
    </w:p>
    <w:p w14:paraId="7F35F83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47FEFC1"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Coordinarse...; </w:t>
      </w:r>
    </w:p>
    <w:p w14:paraId="4B1DAB8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C4A7A3D" w14:textId="77777777" w:rsidR="003E7F94" w:rsidRPr="003E7F94" w:rsidRDefault="003E7F94" w:rsidP="003E7F94">
      <w:pPr>
        <w:numPr>
          <w:ilvl w:val="0"/>
          <w:numId w:val="59"/>
        </w:numPr>
        <w:spacing w:after="210" w:line="249" w:lineRule="auto"/>
        <w:ind w:left="660" w:right="4" w:hanging="533"/>
        <w:jc w:val="both"/>
        <w:rPr>
          <w:rFonts w:ascii="Abadi" w:hAnsi="Abadi"/>
          <w:sz w:val="21"/>
          <w:szCs w:val="21"/>
        </w:rPr>
      </w:pPr>
      <w:r w:rsidRPr="003E7F94">
        <w:rPr>
          <w:rFonts w:ascii="Abadi" w:hAnsi="Abadi" w:cs="Arial"/>
          <w:b/>
          <w:sz w:val="21"/>
          <w:szCs w:val="21"/>
        </w:rPr>
        <w:t xml:space="preserve">Implementar las medidas preventivas para evitar la violencia o la discriminación; </w:t>
      </w:r>
    </w:p>
    <w:p w14:paraId="60405D56" w14:textId="77777777" w:rsidR="003E7F94" w:rsidRPr="003E7F94" w:rsidRDefault="003E7F94" w:rsidP="003E7F94">
      <w:pPr>
        <w:numPr>
          <w:ilvl w:val="0"/>
          <w:numId w:val="59"/>
        </w:numPr>
        <w:spacing w:after="171" w:line="249" w:lineRule="auto"/>
        <w:ind w:left="660" w:right="4" w:hanging="533"/>
        <w:jc w:val="both"/>
        <w:rPr>
          <w:rFonts w:ascii="Abadi" w:hAnsi="Abadi"/>
          <w:sz w:val="21"/>
          <w:szCs w:val="21"/>
        </w:rPr>
      </w:pPr>
      <w:r w:rsidRPr="003E7F94">
        <w:rPr>
          <w:rFonts w:ascii="Abadi" w:hAnsi="Abadi" w:cs="Arial"/>
          <w:b/>
          <w:sz w:val="21"/>
          <w:szCs w:val="21"/>
        </w:rPr>
        <w:t>Realizar...</w:t>
      </w:r>
      <w:r w:rsidRPr="003E7F94">
        <w:rPr>
          <w:rFonts w:ascii="Abadi" w:hAnsi="Abadi" w:cs="Arial"/>
          <w:b/>
          <w:color w:val="212529"/>
          <w:sz w:val="21"/>
          <w:szCs w:val="21"/>
        </w:rPr>
        <w:t>;</w:t>
      </w:r>
      <w:r w:rsidRPr="003E7F94">
        <w:rPr>
          <w:rFonts w:ascii="Abadi" w:hAnsi="Abadi"/>
          <w:sz w:val="21"/>
          <w:szCs w:val="21"/>
        </w:rPr>
        <w:t xml:space="preserve"> y </w:t>
      </w:r>
    </w:p>
    <w:p w14:paraId="20498AA7" w14:textId="77777777" w:rsidR="003E7F94" w:rsidRPr="003E7F94" w:rsidRDefault="003E7F94" w:rsidP="003E7F94">
      <w:pPr>
        <w:numPr>
          <w:ilvl w:val="0"/>
          <w:numId w:val="59"/>
        </w:numPr>
        <w:spacing w:after="15" w:line="247" w:lineRule="auto"/>
        <w:ind w:left="660" w:right="4" w:hanging="533"/>
        <w:jc w:val="both"/>
        <w:rPr>
          <w:rFonts w:ascii="Abadi" w:hAnsi="Abadi"/>
          <w:sz w:val="21"/>
          <w:szCs w:val="21"/>
        </w:rPr>
      </w:pPr>
      <w:r w:rsidRPr="003E7F94">
        <w:rPr>
          <w:rFonts w:ascii="Abadi" w:hAnsi="Abadi"/>
          <w:sz w:val="21"/>
          <w:szCs w:val="21"/>
        </w:rPr>
        <w:t xml:space="preserve">Las demás que señalen las leyes y disposiciones jurídicas aplicables. </w:t>
      </w:r>
    </w:p>
    <w:p w14:paraId="4058FD6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0FE8FB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0DB5E61"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10</w:t>
      </w:r>
      <w:r w:rsidRPr="003E7F94">
        <w:rPr>
          <w:rFonts w:ascii="Abadi" w:hAnsi="Abadi"/>
          <w:sz w:val="21"/>
          <w:szCs w:val="21"/>
        </w:rPr>
        <w:t xml:space="preserve">. Corresponde a los Ayuntamientos: </w:t>
      </w:r>
    </w:p>
    <w:p w14:paraId="6AC08A5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78873BC" w14:textId="77777777" w:rsidR="003E7F94" w:rsidRPr="003E7F94" w:rsidRDefault="003E7F94" w:rsidP="003D1604">
      <w:pPr>
        <w:numPr>
          <w:ilvl w:val="0"/>
          <w:numId w:val="60"/>
        </w:numPr>
        <w:spacing w:after="15"/>
        <w:ind w:right="4" w:hanging="705"/>
        <w:jc w:val="both"/>
        <w:rPr>
          <w:rFonts w:ascii="Abadi" w:hAnsi="Abadi"/>
          <w:sz w:val="21"/>
          <w:szCs w:val="21"/>
        </w:rPr>
      </w:pPr>
      <w:r w:rsidRPr="003E7F94">
        <w:rPr>
          <w:rFonts w:ascii="Abadi" w:hAnsi="Abadi"/>
          <w:sz w:val="21"/>
          <w:szCs w:val="21"/>
        </w:rPr>
        <w:t xml:space="preserve">Establecer...; </w:t>
      </w:r>
    </w:p>
    <w:p w14:paraId="48CCF9B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A94DC96"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Contar...; </w:t>
      </w:r>
    </w:p>
    <w:p w14:paraId="3BDF510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134D1DD"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Diseñar...; </w:t>
      </w:r>
    </w:p>
    <w:p w14:paraId="6263CDF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9E19643"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Emitir los reglamentos y disposiciones administrativas de observancia general, para regular lo relativo a la cultura física y el deporte en el municipio, </w:t>
      </w:r>
      <w:r w:rsidRPr="003E7F94">
        <w:rPr>
          <w:rFonts w:ascii="Abadi" w:hAnsi="Abadi" w:cs="Arial"/>
          <w:b/>
          <w:color w:val="212529"/>
          <w:sz w:val="21"/>
          <w:szCs w:val="21"/>
        </w:rPr>
        <w:t>con perspectivas de género y de inclusión</w:t>
      </w:r>
      <w:r w:rsidRPr="003E7F94">
        <w:rPr>
          <w:rFonts w:ascii="Abadi" w:hAnsi="Abadi"/>
          <w:sz w:val="21"/>
          <w:szCs w:val="21"/>
        </w:rPr>
        <w:t xml:space="preserve">; </w:t>
      </w:r>
    </w:p>
    <w:p w14:paraId="4E4E4E3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D1CB2C9"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Establecer...; </w:t>
      </w:r>
    </w:p>
    <w:p w14:paraId="41039213"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lastRenderedPageBreak/>
        <w:t xml:space="preserve">Otorgar...; </w:t>
      </w:r>
    </w:p>
    <w:p w14:paraId="4107C09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1733019"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Gestionar...; </w:t>
      </w:r>
    </w:p>
    <w:p w14:paraId="1B091C7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79655A7"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Acordar...; </w:t>
      </w:r>
    </w:p>
    <w:p w14:paraId="6D60BFA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3A48D22"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Coordinarse...; </w:t>
      </w:r>
    </w:p>
    <w:p w14:paraId="4AC71EC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3F39DF1"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Promover...; </w:t>
      </w:r>
    </w:p>
    <w:p w14:paraId="43FEF97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7B659E6"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Vigilar...; </w:t>
      </w:r>
    </w:p>
    <w:p w14:paraId="19A3A17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5758AE6"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Restringir...; </w:t>
      </w:r>
    </w:p>
    <w:p w14:paraId="795E766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7F0B631"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Emitir los lineamientos y mecanismos para prevenir la violencia</w:t>
      </w:r>
      <w:r w:rsidRPr="003E7F94">
        <w:rPr>
          <w:rFonts w:ascii="Abadi" w:hAnsi="Abadi" w:cs="Arial"/>
          <w:b/>
          <w:sz w:val="21"/>
          <w:szCs w:val="21"/>
        </w:rPr>
        <w:t xml:space="preserve"> y la discriminación por cuestiones de género, orientación sexual o cualquier otra causa, fomentando la igualdad entre el hombre y la mujer, </w:t>
      </w:r>
      <w:r w:rsidRPr="003E7F94">
        <w:rPr>
          <w:rFonts w:ascii="Abadi" w:hAnsi="Abadi"/>
          <w:sz w:val="21"/>
          <w:szCs w:val="21"/>
        </w:rPr>
        <w:t xml:space="preserve">en cualquier evento de carácter deportivo que se celebre en el municipio, en los términos de la Ley General; </w:t>
      </w:r>
    </w:p>
    <w:p w14:paraId="288A43F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B5DAC6C"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Acordar...; </w:t>
      </w:r>
    </w:p>
    <w:p w14:paraId="33ACA1B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0C40A2D"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Expedir...; </w:t>
      </w:r>
    </w:p>
    <w:p w14:paraId="7BC7120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F0B5A6E"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Integrar...; </w:t>
      </w:r>
    </w:p>
    <w:p w14:paraId="119902B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6099DF1"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Emitir...; </w:t>
      </w:r>
    </w:p>
    <w:p w14:paraId="29FCE54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5F43CD0"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Atender...;  </w:t>
      </w:r>
    </w:p>
    <w:p w14:paraId="65CDF2F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8EEF427" w14:textId="77777777" w:rsidR="003E7F94" w:rsidRPr="003E7F94" w:rsidRDefault="003E7F94" w:rsidP="003E7F94">
      <w:pPr>
        <w:numPr>
          <w:ilvl w:val="0"/>
          <w:numId w:val="60"/>
        </w:numPr>
        <w:spacing w:after="15" w:line="247" w:lineRule="auto"/>
        <w:ind w:right="4" w:hanging="705"/>
        <w:jc w:val="both"/>
        <w:rPr>
          <w:rFonts w:ascii="Abadi" w:hAnsi="Abadi"/>
          <w:sz w:val="21"/>
          <w:szCs w:val="21"/>
        </w:rPr>
      </w:pPr>
      <w:r w:rsidRPr="003E7F94">
        <w:rPr>
          <w:rFonts w:ascii="Abadi" w:hAnsi="Abadi"/>
          <w:sz w:val="21"/>
          <w:szCs w:val="21"/>
        </w:rPr>
        <w:t xml:space="preserve">Emitir...; y </w:t>
      </w:r>
    </w:p>
    <w:p w14:paraId="721950C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03C2573" w14:textId="77777777" w:rsidR="003E7F94" w:rsidRPr="003E7F94" w:rsidRDefault="003E7F94" w:rsidP="003E7F94">
      <w:pPr>
        <w:numPr>
          <w:ilvl w:val="0"/>
          <w:numId w:val="60"/>
        </w:numPr>
        <w:spacing w:line="249" w:lineRule="auto"/>
        <w:ind w:right="4" w:hanging="705"/>
        <w:jc w:val="both"/>
        <w:rPr>
          <w:rFonts w:ascii="Abadi" w:hAnsi="Abadi"/>
          <w:sz w:val="21"/>
          <w:szCs w:val="21"/>
        </w:rPr>
      </w:pPr>
      <w:r w:rsidRPr="003E7F94">
        <w:rPr>
          <w:rFonts w:ascii="Abadi" w:hAnsi="Abadi" w:cs="Arial"/>
          <w:b/>
          <w:sz w:val="21"/>
          <w:szCs w:val="21"/>
        </w:rPr>
        <w:t xml:space="preserve">Las demás... </w:t>
      </w:r>
    </w:p>
    <w:p w14:paraId="2E759A19" w14:textId="77777777" w:rsidR="003E7F94" w:rsidRPr="003E7F94" w:rsidRDefault="003E7F94" w:rsidP="003E7F94">
      <w:pPr>
        <w:spacing w:after="28" w:line="255" w:lineRule="auto"/>
        <w:ind w:left="142" w:right="8778"/>
        <w:jc w:val="both"/>
        <w:rPr>
          <w:rFonts w:ascii="Abadi" w:hAnsi="Abadi"/>
          <w:sz w:val="21"/>
          <w:szCs w:val="21"/>
        </w:rPr>
      </w:pPr>
      <w:r w:rsidRPr="003E7F94">
        <w:rPr>
          <w:rFonts w:ascii="Abadi" w:hAnsi="Abadi" w:cs="Arial"/>
          <w:b/>
          <w:sz w:val="21"/>
          <w:szCs w:val="21"/>
        </w:rPr>
        <w:t xml:space="preserve"> </w:t>
      </w:r>
      <w:r w:rsidRPr="003E7F94">
        <w:rPr>
          <w:rFonts w:ascii="Abadi" w:eastAsia="Verdana" w:hAnsi="Abadi" w:cs="Verdana"/>
          <w:sz w:val="21"/>
          <w:szCs w:val="21"/>
        </w:rPr>
        <w:t xml:space="preserve"> </w:t>
      </w:r>
    </w:p>
    <w:p w14:paraId="70A58B71"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14</w:t>
      </w:r>
      <w:r w:rsidRPr="003E7F94">
        <w:rPr>
          <w:rFonts w:ascii="Abadi" w:hAnsi="Abadi"/>
          <w:sz w:val="21"/>
          <w:szCs w:val="21"/>
        </w:rPr>
        <w:t xml:space="preserve">. El Sistema Estatal realizará las siguientes acciones: </w:t>
      </w:r>
    </w:p>
    <w:p w14:paraId="19E3708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55FC17B"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Ejecutar las políticas, planes y programas para fomentar el desarrollo y el ejercicio del derecho a la cultura física y el deporte </w:t>
      </w:r>
      <w:r w:rsidRPr="003E7F94">
        <w:rPr>
          <w:rFonts w:ascii="Abadi" w:hAnsi="Abadi" w:cs="Arial"/>
          <w:b/>
          <w:sz w:val="21"/>
          <w:szCs w:val="21"/>
        </w:rPr>
        <w:t>social, de rendimiento o alto rendimiento</w:t>
      </w:r>
      <w:r w:rsidRPr="003E7F94">
        <w:rPr>
          <w:rFonts w:ascii="Abadi" w:hAnsi="Abadi"/>
          <w:sz w:val="21"/>
          <w:szCs w:val="21"/>
        </w:rPr>
        <w:t xml:space="preserve"> en el Estado de Guanajuato; </w:t>
      </w:r>
    </w:p>
    <w:p w14:paraId="058E6381" w14:textId="366BBF0A" w:rsidR="003E7F94" w:rsidRPr="003E7F94" w:rsidRDefault="003E7F94" w:rsidP="003D1604">
      <w:pPr>
        <w:ind w:left="142" w:firstLine="60"/>
        <w:jc w:val="both"/>
        <w:rPr>
          <w:rFonts w:ascii="Abadi" w:hAnsi="Abadi"/>
          <w:sz w:val="21"/>
          <w:szCs w:val="21"/>
        </w:rPr>
      </w:pPr>
    </w:p>
    <w:p w14:paraId="428BFAD8"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Establecer...; </w:t>
      </w:r>
    </w:p>
    <w:p w14:paraId="0F23060A"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Promover; </w:t>
      </w:r>
    </w:p>
    <w:p w14:paraId="4DAB71BE" w14:textId="5E8CAC5C" w:rsidR="003E7F94" w:rsidRPr="003E7F94" w:rsidRDefault="003E7F94" w:rsidP="003D1604">
      <w:pPr>
        <w:ind w:left="142" w:firstLine="60"/>
        <w:jc w:val="both"/>
        <w:rPr>
          <w:rFonts w:ascii="Abadi" w:hAnsi="Abadi"/>
          <w:sz w:val="21"/>
          <w:szCs w:val="21"/>
        </w:rPr>
      </w:pPr>
    </w:p>
    <w:p w14:paraId="45376422"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Formular; </w:t>
      </w:r>
    </w:p>
    <w:p w14:paraId="79094B95" w14:textId="55BD3B6F" w:rsidR="003E7F94" w:rsidRPr="003E7F94" w:rsidRDefault="003E7F94" w:rsidP="003D1604">
      <w:pPr>
        <w:ind w:left="142" w:firstLine="60"/>
        <w:jc w:val="both"/>
        <w:rPr>
          <w:rFonts w:ascii="Abadi" w:hAnsi="Abadi"/>
          <w:sz w:val="21"/>
          <w:szCs w:val="21"/>
        </w:rPr>
      </w:pPr>
    </w:p>
    <w:p w14:paraId="74A58E29"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Desarrollar...; </w:t>
      </w:r>
    </w:p>
    <w:p w14:paraId="0E4B9EA1" w14:textId="579DEE62" w:rsidR="003E7F94" w:rsidRPr="003E7F94" w:rsidRDefault="003E7F94" w:rsidP="003D1604">
      <w:pPr>
        <w:ind w:left="142" w:firstLine="60"/>
        <w:jc w:val="both"/>
        <w:rPr>
          <w:rFonts w:ascii="Abadi" w:hAnsi="Abadi"/>
          <w:sz w:val="21"/>
          <w:szCs w:val="21"/>
        </w:rPr>
      </w:pPr>
    </w:p>
    <w:p w14:paraId="061130FA"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Generar las acciones, financiamiento y programas </w:t>
      </w:r>
      <w:r w:rsidRPr="003E7F94">
        <w:rPr>
          <w:rFonts w:ascii="Abadi" w:hAnsi="Abadi" w:cs="Arial"/>
          <w:b/>
          <w:sz w:val="21"/>
          <w:szCs w:val="21"/>
        </w:rPr>
        <w:t>de deporte social de rendimiento o alto rendimiento equitativos entre mujeres y hombres</w:t>
      </w:r>
      <w:r w:rsidRPr="003E7F94">
        <w:rPr>
          <w:rFonts w:ascii="Abadi" w:hAnsi="Abadi"/>
          <w:sz w:val="21"/>
          <w:szCs w:val="21"/>
        </w:rPr>
        <w:t xml:space="preserve">, para la coordinación, fomento, apoyo, promoción, difusión y desarrollo de la cultura física y el deporte dentro del Estado; </w:t>
      </w:r>
    </w:p>
    <w:p w14:paraId="5C9099EC" w14:textId="60CF165E" w:rsidR="003E7F94" w:rsidRPr="003E7F94" w:rsidRDefault="003E7F94" w:rsidP="003D1604">
      <w:pPr>
        <w:ind w:left="142" w:firstLine="60"/>
        <w:jc w:val="both"/>
        <w:rPr>
          <w:rFonts w:ascii="Abadi" w:hAnsi="Abadi"/>
          <w:sz w:val="21"/>
          <w:szCs w:val="21"/>
        </w:rPr>
      </w:pPr>
    </w:p>
    <w:p w14:paraId="326DC7EE"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Proponer planes...; </w:t>
      </w:r>
    </w:p>
    <w:p w14:paraId="389BBD18" w14:textId="0399FC27" w:rsidR="003E7F94" w:rsidRPr="003E7F94" w:rsidRDefault="003E7F94" w:rsidP="003D1604">
      <w:pPr>
        <w:ind w:left="142" w:firstLine="60"/>
        <w:jc w:val="both"/>
        <w:rPr>
          <w:rFonts w:ascii="Abadi" w:hAnsi="Abadi"/>
          <w:sz w:val="21"/>
          <w:szCs w:val="21"/>
        </w:rPr>
      </w:pPr>
    </w:p>
    <w:p w14:paraId="49B20E12"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Generar y promover la competitividad en cualquiera </w:t>
      </w:r>
      <w:r w:rsidRPr="003E7F94">
        <w:rPr>
          <w:rFonts w:ascii="Abadi" w:hAnsi="Abadi" w:cs="Arial"/>
          <w:b/>
          <w:sz w:val="21"/>
          <w:szCs w:val="21"/>
        </w:rPr>
        <w:t xml:space="preserve">de las formas del deporte </w:t>
      </w:r>
      <w:r w:rsidRPr="003E7F94">
        <w:rPr>
          <w:rFonts w:ascii="Abadi" w:hAnsi="Abadi"/>
          <w:sz w:val="21"/>
          <w:szCs w:val="21"/>
        </w:rPr>
        <w:t xml:space="preserve">en condiciones </w:t>
      </w:r>
      <w:r w:rsidRPr="003E7F94">
        <w:rPr>
          <w:rFonts w:ascii="Abadi" w:hAnsi="Abadi" w:cs="Arial"/>
          <w:b/>
          <w:sz w:val="21"/>
          <w:szCs w:val="21"/>
        </w:rPr>
        <w:t>de igualdad y sin discriminación de ninguna especie, así como</w:t>
      </w:r>
      <w:r w:rsidRPr="003E7F94">
        <w:rPr>
          <w:rFonts w:ascii="Abadi" w:hAnsi="Abadi"/>
          <w:sz w:val="21"/>
          <w:szCs w:val="21"/>
        </w:rPr>
        <w:t xml:space="preserve"> la excelencia en el deporte, estableciendo reconocimientos y apoyos en favor de las personas, entidades u organismos que por su trayectoria y resultados se hagan acreedores a los mismos, </w:t>
      </w:r>
      <w:r w:rsidRPr="003E7F94">
        <w:rPr>
          <w:rFonts w:ascii="Abadi" w:hAnsi="Abadi" w:cs="Arial"/>
          <w:b/>
          <w:sz w:val="21"/>
          <w:szCs w:val="21"/>
        </w:rPr>
        <w:t>tomando en consideración, en lo conducente, la perspectiva de género</w:t>
      </w:r>
      <w:r w:rsidRPr="003E7F94">
        <w:rPr>
          <w:rFonts w:ascii="Abadi" w:hAnsi="Abadi"/>
          <w:sz w:val="21"/>
          <w:szCs w:val="21"/>
        </w:rPr>
        <w:t xml:space="preserve">; y </w:t>
      </w:r>
    </w:p>
    <w:p w14:paraId="4ED2A5E6" w14:textId="456B1C24" w:rsidR="003E7F94" w:rsidRPr="003E7F94" w:rsidRDefault="003E7F94" w:rsidP="003D1604">
      <w:pPr>
        <w:ind w:left="142" w:firstLine="60"/>
        <w:jc w:val="both"/>
        <w:rPr>
          <w:rFonts w:ascii="Abadi" w:hAnsi="Abadi"/>
          <w:sz w:val="21"/>
          <w:szCs w:val="21"/>
        </w:rPr>
      </w:pPr>
    </w:p>
    <w:p w14:paraId="02334ED6"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Las demás... </w:t>
      </w:r>
    </w:p>
    <w:p w14:paraId="056418E6" w14:textId="39235EDB" w:rsidR="003E7F94" w:rsidRPr="003E7F94" w:rsidRDefault="003E7F94" w:rsidP="003D1604">
      <w:pPr>
        <w:ind w:left="142" w:firstLine="60"/>
        <w:jc w:val="both"/>
        <w:rPr>
          <w:rFonts w:ascii="Abadi" w:hAnsi="Abadi"/>
          <w:sz w:val="21"/>
          <w:szCs w:val="21"/>
        </w:rPr>
      </w:pPr>
    </w:p>
    <w:p w14:paraId="6C1BE906" w14:textId="77777777" w:rsidR="003E7F94" w:rsidRPr="003D1604" w:rsidRDefault="003E7F94" w:rsidP="00BA5FBA">
      <w:pPr>
        <w:pStyle w:val="Prrafodelista"/>
        <w:numPr>
          <w:ilvl w:val="0"/>
          <w:numId w:val="85"/>
        </w:numPr>
        <w:ind w:right="4"/>
        <w:jc w:val="both"/>
        <w:rPr>
          <w:rFonts w:ascii="Abadi" w:hAnsi="Abadi"/>
          <w:sz w:val="21"/>
          <w:szCs w:val="21"/>
        </w:rPr>
      </w:pPr>
      <w:r w:rsidRPr="003D1604">
        <w:rPr>
          <w:rFonts w:ascii="Abadi" w:hAnsi="Abadi"/>
          <w:sz w:val="21"/>
          <w:szCs w:val="21"/>
        </w:rPr>
        <w:t xml:space="preserve">El Sistema Estatal... </w:t>
      </w:r>
    </w:p>
    <w:p w14:paraId="05C7883B" w14:textId="6F319053" w:rsidR="003E7F94" w:rsidRPr="003E7F94" w:rsidRDefault="003E7F94" w:rsidP="003D1604">
      <w:pPr>
        <w:spacing w:after="158"/>
        <w:ind w:left="142" w:firstLine="60"/>
        <w:jc w:val="both"/>
        <w:rPr>
          <w:rFonts w:ascii="Abadi" w:hAnsi="Abadi"/>
          <w:sz w:val="21"/>
          <w:szCs w:val="21"/>
        </w:rPr>
      </w:pPr>
    </w:p>
    <w:p w14:paraId="52C1E9C4" w14:textId="77777777" w:rsidR="003E7F94" w:rsidRPr="003D1604" w:rsidRDefault="003E7F94" w:rsidP="00BA5FBA">
      <w:pPr>
        <w:pStyle w:val="Prrafodelista"/>
        <w:numPr>
          <w:ilvl w:val="0"/>
          <w:numId w:val="85"/>
        </w:numPr>
        <w:ind w:right="4"/>
        <w:jc w:val="both"/>
        <w:rPr>
          <w:rFonts w:ascii="Abadi" w:hAnsi="Abadi"/>
          <w:sz w:val="21"/>
          <w:szCs w:val="21"/>
        </w:rPr>
      </w:pPr>
      <w:r w:rsidRPr="003D1604">
        <w:rPr>
          <w:rFonts w:ascii="Abadi" w:hAnsi="Abadi" w:cs="Arial"/>
          <w:b/>
          <w:sz w:val="21"/>
          <w:szCs w:val="21"/>
        </w:rPr>
        <w:t>Artículo 18</w:t>
      </w:r>
      <w:r w:rsidRPr="003D1604">
        <w:rPr>
          <w:rFonts w:ascii="Abadi" w:hAnsi="Abadi"/>
          <w:sz w:val="21"/>
          <w:szCs w:val="21"/>
        </w:rPr>
        <w:t xml:space="preserve">. La CODE tendrá las siguientes atribuciones: </w:t>
      </w:r>
    </w:p>
    <w:p w14:paraId="7431F617" w14:textId="01354C3A" w:rsidR="003E7F94" w:rsidRPr="003E7F94" w:rsidRDefault="003E7F94" w:rsidP="003D1604">
      <w:pPr>
        <w:ind w:left="142" w:firstLine="60"/>
        <w:jc w:val="both"/>
        <w:rPr>
          <w:rFonts w:ascii="Abadi" w:hAnsi="Abadi"/>
          <w:sz w:val="21"/>
          <w:szCs w:val="21"/>
        </w:rPr>
      </w:pPr>
    </w:p>
    <w:p w14:paraId="3BBAD428"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Formular...; </w:t>
      </w:r>
    </w:p>
    <w:p w14:paraId="0969C97E" w14:textId="6C85976E" w:rsidR="003E7F94" w:rsidRPr="003E7F94" w:rsidRDefault="003E7F94" w:rsidP="003D1604">
      <w:pPr>
        <w:ind w:left="142" w:firstLine="60"/>
        <w:jc w:val="both"/>
        <w:rPr>
          <w:rFonts w:ascii="Abadi" w:hAnsi="Abadi"/>
          <w:sz w:val="21"/>
          <w:szCs w:val="21"/>
        </w:rPr>
      </w:pPr>
    </w:p>
    <w:p w14:paraId="3A639AC6"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Proponer...; </w:t>
      </w:r>
    </w:p>
    <w:p w14:paraId="1A357A05" w14:textId="5C0F59DC" w:rsidR="003E7F94" w:rsidRPr="003E7F94" w:rsidRDefault="003E7F94" w:rsidP="003D1604">
      <w:pPr>
        <w:ind w:left="142" w:firstLine="60"/>
        <w:jc w:val="both"/>
        <w:rPr>
          <w:rFonts w:ascii="Abadi" w:hAnsi="Abadi"/>
          <w:sz w:val="21"/>
          <w:szCs w:val="21"/>
        </w:rPr>
      </w:pPr>
    </w:p>
    <w:p w14:paraId="1096CE5D" w14:textId="77777777" w:rsidR="003E7F94" w:rsidRPr="003E7F94" w:rsidRDefault="003E7F94" w:rsidP="00BA5FBA">
      <w:pPr>
        <w:numPr>
          <w:ilvl w:val="0"/>
          <w:numId w:val="85"/>
        </w:numPr>
        <w:spacing w:after="15"/>
        <w:ind w:right="4"/>
        <w:jc w:val="both"/>
        <w:rPr>
          <w:rFonts w:ascii="Abadi" w:hAnsi="Abadi"/>
          <w:sz w:val="21"/>
          <w:szCs w:val="21"/>
        </w:rPr>
      </w:pPr>
      <w:r w:rsidRPr="003E7F94">
        <w:rPr>
          <w:rFonts w:ascii="Abadi" w:hAnsi="Abadi"/>
          <w:sz w:val="21"/>
          <w:szCs w:val="21"/>
        </w:rPr>
        <w:t xml:space="preserve">Impulsar...; </w:t>
      </w:r>
    </w:p>
    <w:p w14:paraId="04777046" w14:textId="53F73359" w:rsidR="003E7F94" w:rsidRPr="003E7F94" w:rsidRDefault="003E7F94" w:rsidP="003D1604">
      <w:pPr>
        <w:spacing w:line="259" w:lineRule="auto"/>
        <w:ind w:left="142" w:firstLine="60"/>
        <w:jc w:val="both"/>
        <w:rPr>
          <w:rFonts w:ascii="Abadi" w:hAnsi="Abadi"/>
          <w:sz w:val="21"/>
          <w:szCs w:val="21"/>
        </w:rPr>
      </w:pPr>
    </w:p>
    <w:p w14:paraId="751AE087"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Implementar...; </w:t>
      </w:r>
    </w:p>
    <w:p w14:paraId="2324969A" w14:textId="4D79C2C9" w:rsidR="003E7F94" w:rsidRPr="003E7F94" w:rsidRDefault="003E7F94" w:rsidP="003D1604">
      <w:pPr>
        <w:spacing w:line="259" w:lineRule="auto"/>
        <w:ind w:left="142" w:firstLine="60"/>
        <w:jc w:val="both"/>
        <w:rPr>
          <w:rFonts w:ascii="Abadi" w:hAnsi="Abadi"/>
          <w:sz w:val="21"/>
          <w:szCs w:val="21"/>
        </w:rPr>
      </w:pPr>
    </w:p>
    <w:p w14:paraId="4DB259A7"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Otorgar reconocimientos y apoyos </w:t>
      </w:r>
      <w:r w:rsidRPr="003E7F94">
        <w:rPr>
          <w:rFonts w:ascii="Abadi" w:hAnsi="Abadi" w:cs="Arial"/>
          <w:b/>
          <w:sz w:val="21"/>
          <w:szCs w:val="21"/>
        </w:rPr>
        <w:t>equitativos</w:t>
      </w:r>
      <w:r w:rsidRPr="003E7F94">
        <w:rPr>
          <w:rFonts w:ascii="Abadi" w:hAnsi="Abadi"/>
          <w:sz w:val="21"/>
          <w:szCs w:val="21"/>
        </w:rPr>
        <w:t xml:space="preserve"> a las personas y organismos que se hayan distinguido por sus actividades en la difusión, promoción, fomento, investigación, práctica o supervisión de la cultura física y el deporte, así como a las personas que en forma individual o colectiva, hayan sobresalido en eventos deportivos </w:t>
      </w:r>
      <w:r w:rsidRPr="003E7F94">
        <w:rPr>
          <w:rFonts w:ascii="Abadi" w:hAnsi="Abadi" w:cs="Arial"/>
          <w:b/>
          <w:sz w:val="21"/>
          <w:szCs w:val="21"/>
        </w:rPr>
        <w:t xml:space="preserve">de alto </w:t>
      </w:r>
      <w:r w:rsidRPr="003E7F94">
        <w:rPr>
          <w:rFonts w:ascii="Abadi" w:hAnsi="Abadi" w:cs="Arial"/>
          <w:b/>
          <w:sz w:val="21"/>
          <w:szCs w:val="21"/>
        </w:rPr>
        <w:lastRenderedPageBreak/>
        <w:t>rendimiento</w:t>
      </w:r>
      <w:r w:rsidRPr="003E7F94">
        <w:rPr>
          <w:rFonts w:ascii="Abadi" w:hAnsi="Abadi"/>
          <w:sz w:val="21"/>
          <w:szCs w:val="21"/>
        </w:rPr>
        <w:t xml:space="preserve"> estatales, nacionales o internacionales; </w:t>
      </w:r>
    </w:p>
    <w:p w14:paraId="4E262EFD" w14:textId="5332709C" w:rsidR="003E7F94" w:rsidRPr="003E7F94" w:rsidRDefault="003E7F94" w:rsidP="003D1604">
      <w:pPr>
        <w:spacing w:line="259" w:lineRule="auto"/>
        <w:ind w:left="142" w:firstLine="60"/>
        <w:jc w:val="both"/>
        <w:rPr>
          <w:rFonts w:ascii="Abadi" w:hAnsi="Abadi"/>
          <w:sz w:val="21"/>
          <w:szCs w:val="21"/>
        </w:rPr>
      </w:pPr>
    </w:p>
    <w:p w14:paraId="29E57927"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Proponer el desarrollo de programas de formación, capacitación, actualización y enseñanza en materia de cultura física y deporte</w:t>
      </w:r>
      <w:r w:rsidRPr="003E7F94">
        <w:rPr>
          <w:rFonts w:ascii="Abadi" w:hAnsi="Abadi" w:cs="Arial"/>
          <w:b/>
          <w:sz w:val="21"/>
          <w:szCs w:val="21"/>
        </w:rPr>
        <w:t>, así como en derechos humanos</w:t>
      </w:r>
      <w:r w:rsidRPr="003E7F94">
        <w:rPr>
          <w:rFonts w:ascii="Abadi" w:hAnsi="Abadi"/>
          <w:sz w:val="21"/>
          <w:szCs w:val="21"/>
        </w:rPr>
        <w:t xml:space="preserve">; </w:t>
      </w:r>
    </w:p>
    <w:p w14:paraId="63658D74" w14:textId="5116F779" w:rsidR="003E7F94" w:rsidRPr="003E7F94" w:rsidRDefault="003E7F94" w:rsidP="003D1604">
      <w:pPr>
        <w:spacing w:line="259" w:lineRule="auto"/>
        <w:ind w:left="142" w:firstLine="60"/>
        <w:jc w:val="both"/>
        <w:rPr>
          <w:rFonts w:ascii="Abadi" w:hAnsi="Abadi"/>
          <w:sz w:val="21"/>
          <w:szCs w:val="21"/>
        </w:rPr>
      </w:pPr>
    </w:p>
    <w:p w14:paraId="49F09580"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Coordinar...; </w:t>
      </w:r>
    </w:p>
    <w:p w14:paraId="2DA41ABB" w14:textId="7920BEE3" w:rsidR="003E7F94" w:rsidRPr="003E7F94" w:rsidRDefault="003E7F94" w:rsidP="003D1604">
      <w:pPr>
        <w:spacing w:line="259" w:lineRule="auto"/>
        <w:ind w:left="142" w:firstLine="60"/>
        <w:jc w:val="both"/>
        <w:rPr>
          <w:rFonts w:ascii="Abadi" w:hAnsi="Abadi"/>
          <w:sz w:val="21"/>
          <w:szCs w:val="21"/>
        </w:rPr>
      </w:pPr>
    </w:p>
    <w:p w14:paraId="0BA23980"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w:t>
      </w:r>
    </w:p>
    <w:p w14:paraId="69849480" w14:textId="7847F3D0" w:rsidR="003E7F94" w:rsidRPr="003E7F94" w:rsidRDefault="003E7F94" w:rsidP="003D1604">
      <w:pPr>
        <w:spacing w:line="259" w:lineRule="auto"/>
        <w:ind w:left="142" w:firstLine="60"/>
        <w:jc w:val="both"/>
        <w:rPr>
          <w:rFonts w:ascii="Abadi" w:hAnsi="Abadi"/>
          <w:sz w:val="21"/>
          <w:szCs w:val="21"/>
        </w:rPr>
      </w:pPr>
    </w:p>
    <w:p w14:paraId="1E41EAC3"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Difundir...; </w:t>
      </w:r>
    </w:p>
    <w:p w14:paraId="61D802C5" w14:textId="7B615B62" w:rsidR="003E7F94" w:rsidRPr="003E7F94" w:rsidRDefault="003E7F94" w:rsidP="003D1604">
      <w:pPr>
        <w:spacing w:line="259" w:lineRule="auto"/>
        <w:ind w:left="142" w:firstLine="60"/>
        <w:jc w:val="both"/>
        <w:rPr>
          <w:rFonts w:ascii="Abadi" w:hAnsi="Abadi"/>
          <w:sz w:val="21"/>
          <w:szCs w:val="21"/>
        </w:rPr>
      </w:pPr>
    </w:p>
    <w:p w14:paraId="36EF27CB"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w:t>
      </w:r>
    </w:p>
    <w:p w14:paraId="0FD663A0" w14:textId="60FBC34C" w:rsidR="003E7F94" w:rsidRPr="003E7F94" w:rsidRDefault="003E7F94" w:rsidP="003D1604">
      <w:pPr>
        <w:spacing w:line="259" w:lineRule="auto"/>
        <w:ind w:left="142" w:firstLine="60"/>
        <w:jc w:val="both"/>
        <w:rPr>
          <w:rFonts w:ascii="Abadi" w:hAnsi="Abadi"/>
          <w:sz w:val="21"/>
          <w:szCs w:val="21"/>
        </w:rPr>
      </w:pPr>
    </w:p>
    <w:p w14:paraId="2EB8B28A"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Coordinar...; </w:t>
      </w:r>
    </w:p>
    <w:p w14:paraId="7EA6218F" w14:textId="35802ED3" w:rsidR="003E7F94" w:rsidRPr="003E7F94" w:rsidRDefault="003E7F94" w:rsidP="003D1604">
      <w:pPr>
        <w:spacing w:line="259" w:lineRule="auto"/>
        <w:ind w:left="142" w:firstLine="60"/>
        <w:jc w:val="both"/>
        <w:rPr>
          <w:rFonts w:ascii="Abadi" w:hAnsi="Abadi"/>
          <w:sz w:val="21"/>
          <w:szCs w:val="21"/>
        </w:rPr>
      </w:pPr>
    </w:p>
    <w:p w14:paraId="46626B74"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Difundir...; </w:t>
      </w:r>
    </w:p>
    <w:p w14:paraId="48C10866" w14:textId="119123EE" w:rsidR="003E7F94" w:rsidRPr="003E7F94" w:rsidRDefault="003E7F94" w:rsidP="003D1604">
      <w:pPr>
        <w:spacing w:line="259" w:lineRule="auto"/>
        <w:ind w:left="142" w:firstLine="60"/>
        <w:jc w:val="both"/>
        <w:rPr>
          <w:rFonts w:ascii="Abadi" w:hAnsi="Abadi"/>
          <w:sz w:val="21"/>
          <w:szCs w:val="21"/>
        </w:rPr>
      </w:pPr>
    </w:p>
    <w:p w14:paraId="306C00EE"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Vigilar...; </w:t>
      </w:r>
    </w:p>
    <w:p w14:paraId="3A6C7610" w14:textId="081C1BAF" w:rsidR="003E7F94" w:rsidRPr="003E7F94" w:rsidRDefault="003E7F94" w:rsidP="003D1604">
      <w:pPr>
        <w:spacing w:line="259" w:lineRule="auto"/>
        <w:ind w:left="142" w:firstLine="60"/>
        <w:jc w:val="both"/>
        <w:rPr>
          <w:rFonts w:ascii="Abadi" w:hAnsi="Abadi"/>
          <w:sz w:val="21"/>
          <w:szCs w:val="21"/>
        </w:rPr>
      </w:pPr>
    </w:p>
    <w:p w14:paraId="6DFA2837"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Impulsar...; </w:t>
      </w:r>
    </w:p>
    <w:p w14:paraId="30E5AF1B" w14:textId="395EC139" w:rsidR="003E7F94" w:rsidRPr="003E7F94" w:rsidRDefault="003E7F94" w:rsidP="003D1604">
      <w:pPr>
        <w:spacing w:line="259" w:lineRule="auto"/>
        <w:ind w:left="142" w:firstLine="60"/>
        <w:jc w:val="both"/>
        <w:rPr>
          <w:rFonts w:ascii="Abadi" w:hAnsi="Abadi"/>
          <w:sz w:val="21"/>
          <w:szCs w:val="21"/>
        </w:rPr>
      </w:pPr>
    </w:p>
    <w:p w14:paraId="767B72A6"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Desarrollar...; </w:t>
      </w:r>
    </w:p>
    <w:p w14:paraId="78EA5452" w14:textId="0327677A" w:rsidR="003E7F94" w:rsidRPr="003E7F94" w:rsidRDefault="003E7F94" w:rsidP="003D1604">
      <w:pPr>
        <w:spacing w:line="259" w:lineRule="auto"/>
        <w:ind w:left="142" w:firstLine="60"/>
        <w:jc w:val="both"/>
        <w:rPr>
          <w:rFonts w:ascii="Abadi" w:hAnsi="Abadi"/>
          <w:sz w:val="21"/>
          <w:szCs w:val="21"/>
        </w:rPr>
      </w:pPr>
    </w:p>
    <w:p w14:paraId="50B1BE1B"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el otorgamiento de créditos y becas para deportistas </w:t>
      </w:r>
      <w:r w:rsidRPr="003E7F94">
        <w:rPr>
          <w:rFonts w:ascii="Abadi" w:hAnsi="Abadi" w:cs="Arial"/>
          <w:b/>
          <w:sz w:val="21"/>
          <w:szCs w:val="21"/>
        </w:rPr>
        <w:t>de rendimiento</w:t>
      </w:r>
      <w:r w:rsidRPr="003E7F94">
        <w:rPr>
          <w:rFonts w:ascii="Abadi" w:hAnsi="Abadi"/>
          <w:sz w:val="21"/>
          <w:szCs w:val="21"/>
        </w:rPr>
        <w:t xml:space="preserve"> y entrenadores en instituciones educativas públicas y particulares; </w:t>
      </w:r>
    </w:p>
    <w:p w14:paraId="4DD6F670" w14:textId="19B9568A" w:rsidR="003E7F94" w:rsidRPr="003E7F94" w:rsidRDefault="003E7F94" w:rsidP="003D1604">
      <w:pPr>
        <w:spacing w:line="259" w:lineRule="auto"/>
        <w:ind w:left="142" w:firstLine="60"/>
        <w:jc w:val="both"/>
        <w:rPr>
          <w:rFonts w:ascii="Abadi" w:hAnsi="Abadi"/>
          <w:sz w:val="21"/>
          <w:szCs w:val="21"/>
        </w:rPr>
      </w:pPr>
    </w:p>
    <w:p w14:paraId="4AB8FE5A"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w:t>
      </w:r>
    </w:p>
    <w:p w14:paraId="3602B077" w14:textId="7639ADD8" w:rsidR="003E7F94" w:rsidRPr="003E7F94" w:rsidRDefault="003E7F94" w:rsidP="003D1604">
      <w:pPr>
        <w:spacing w:line="259" w:lineRule="auto"/>
        <w:ind w:left="142" w:firstLine="60"/>
        <w:jc w:val="both"/>
        <w:rPr>
          <w:rFonts w:ascii="Abadi" w:hAnsi="Abadi"/>
          <w:sz w:val="21"/>
          <w:szCs w:val="21"/>
        </w:rPr>
      </w:pPr>
    </w:p>
    <w:p w14:paraId="2038A30B"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coordinadamente...; </w:t>
      </w:r>
    </w:p>
    <w:p w14:paraId="37D3A05C" w14:textId="1DCF33C7" w:rsidR="003E7F94" w:rsidRPr="003E7F94" w:rsidRDefault="003E7F94" w:rsidP="003D1604">
      <w:pPr>
        <w:spacing w:line="259" w:lineRule="auto"/>
        <w:ind w:left="142" w:firstLine="60"/>
        <w:jc w:val="both"/>
        <w:rPr>
          <w:rFonts w:ascii="Abadi" w:hAnsi="Abadi"/>
          <w:sz w:val="21"/>
          <w:szCs w:val="21"/>
        </w:rPr>
      </w:pPr>
    </w:p>
    <w:p w14:paraId="4CBBA836"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Proponer...; </w:t>
      </w:r>
    </w:p>
    <w:p w14:paraId="563101B3" w14:textId="310219F5" w:rsidR="003E7F94" w:rsidRPr="003E7F94" w:rsidRDefault="003E7F94" w:rsidP="003D1604">
      <w:pPr>
        <w:spacing w:line="259" w:lineRule="auto"/>
        <w:ind w:left="142" w:firstLine="60"/>
        <w:jc w:val="both"/>
        <w:rPr>
          <w:rFonts w:ascii="Abadi" w:hAnsi="Abadi"/>
          <w:sz w:val="21"/>
          <w:szCs w:val="21"/>
        </w:rPr>
      </w:pPr>
    </w:p>
    <w:p w14:paraId="311B00F3"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Certificar...; </w:t>
      </w:r>
    </w:p>
    <w:p w14:paraId="74004AB5" w14:textId="38AA9C7A" w:rsidR="003E7F94" w:rsidRPr="003E7F94" w:rsidRDefault="003E7F94" w:rsidP="003D1604">
      <w:pPr>
        <w:spacing w:line="259" w:lineRule="auto"/>
        <w:ind w:left="142" w:firstLine="60"/>
        <w:jc w:val="both"/>
        <w:rPr>
          <w:rFonts w:ascii="Abadi" w:hAnsi="Abadi"/>
          <w:sz w:val="21"/>
          <w:szCs w:val="21"/>
        </w:rPr>
      </w:pPr>
    </w:p>
    <w:p w14:paraId="4A3EF930"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Establecer...; </w:t>
      </w:r>
    </w:p>
    <w:p w14:paraId="6CEA94F4" w14:textId="0441D14F" w:rsidR="003E7F94" w:rsidRPr="003E7F94" w:rsidRDefault="003E7F94" w:rsidP="003D1604">
      <w:pPr>
        <w:spacing w:line="259" w:lineRule="auto"/>
        <w:ind w:left="142" w:firstLine="60"/>
        <w:jc w:val="both"/>
        <w:rPr>
          <w:rFonts w:ascii="Abadi" w:hAnsi="Abadi"/>
          <w:sz w:val="21"/>
          <w:szCs w:val="21"/>
        </w:rPr>
      </w:pPr>
    </w:p>
    <w:p w14:paraId="7E6151C4"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Gestionar...; </w:t>
      </w:r>
    </w:p>
    <w:p w14:paraId="768AD997" w14:textId="6C078722" w:rsidR="003E7F94" w:rsidRPr="003E7F94" w:rsidRDefault="003E7F94" w:rsidP="003D1604">
      <w:pPr>
        <w:spacing w:line="259" w:lineRule="auto"/>
        <w:ind w:left="142" w:firstLine="60"/>
        <w:jc w:val="both"/>
        <w:rPr>
          <w:rFonts w:ascii="Abadi" w:hAnsi="Abadi"/>
          <w:sz w:val="21"/>
          <w:szCs w:val="21"/>
        </w:rPr>
      </w:pPr>
    </w:p>
    <w:p w14:paraId="47CA6CC4"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Asesorar...; </w:t>
      </w:r>
    </w:p>
    <w:p w14:paraId="3BBB7F3C"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Implementar...; </w:t>
      </w:r>
    </w:p>
    <w:p w14:paraId="230CE715" w14:textId="77D80F78" w:rsidR="003E7F94" w:rsidRPr="003E7F94" w:rsidRDefault="003E7F94" w:rsidP="003D1604">
      <w:pPr>
        <w:spacing w:line="259" w:lineRule="auto"/>
        <w:ind w:left="142" w:firstLine="60"/>
        <w:jc w:val="both"/>
        <w:rPr>
          <w:rFonts w:ascii="Abadi" w:hAnsi="Abadi"/>
          <w:sz w:val="21"/>
          <w:szCs w:val="21"/>
        </w:rPr>
      </w:pPr>
    </w:p>
    <w:p w14:paraId="4109D2A4"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Publicar...; </w:t>
      </w:r>
    </w:p>
    <w:p w14:paraId="30E2B864" w14:textId="36D672FE" w:rsidR="003E7F94" w:rsidRPr="003E7F94" w:rsidRDefault="003E7F94" w:rsidP="003D1604">
      <w:pPr>
        <w:spacing w:line="259" w:lineRule="auto"/>
        <w:ind w:left="142" w:firstLine="60"/>
        <w:jc w:val="both"/>
        <w:rPr>
          <w:rFonts w:ascii="Abadi" w:hAnsi="Abadi"/>
          <w:sz w:val="21"/>
          <w:szCs w:val="21"/>
        </w:rPr>
      </w:pPr>
    </w:p>
    <w:p w14:paraId="04C8B3DE"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Cumplir...; </w:t>
      </w:r>
    </w:p>
    <w:p w14:paraId="22A8EF77" w14:textId="5C06529D" w:rsidR="003E7F94" w:rsidRPr="003E7F94" w:rsidRDefault="003E7F94" w:rsidP="003D1604">
      <w:pPr>
        <w:spacing w:line="259" w:lineRule="auto"/>
        <w:ind w:left="142" w:firstLine="60"/>
        <w:jc w:val="both"/>
        <w:rPr>
          <w:rFonts w:ascii="Abadi" w:hAnsi="Abadi"/>
          <w:sz w:val="21"/>
          <w:szCs w:val="21"/>
        </w:rPr>
      </w:pPr>
    </w:p>
    <w:p w14:paraId="45F77B53"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Integrar...; </w:t>
      </w:r>
    </w:p>
    <w:p w14:paraId="424309DA" w14:textId="799C30CA" w:rsidR="003E7F94" w:rsidRPr="003E7F94" w:rsidRDefault="003E7F94" w:rsidP="003D1604">
      <w:pPr>
        <w:spacing w:line="259" w:lineRule="auto"/>
        <w:ind w:left="142" w:firstLine="60"/>
        <w:jc w:val="both"/>
        <w:rPr>
          <w:rFonts w:ascii="Abadi" w:hAnsi="Abadi"/>
          <w:sz w:val="21"/>
          <w:szCs w:val="21"/>
        </w:rPr>
      </w:pPr>
    </w:p>
    <w:p w14:paraId="20DDBCD9"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Asesorar...; </w:t>
      </w:r>
    </w:p>
    <w:p w14:paraId="75A2A3B3" w14:textId="7808BAD4" w:rsidR="003E7F94" w:rsidRPr="003E7F94" w:rsidRDefault="003E7F94" w:rsidP="003D1604">
      <w:pPr>
        <w:spacing w:line="259" w:lineRule="auto"/>
        <w:ind w:left="142" w:firstLine="60"/>
        <w:jc w:val="both"/>
        <w:rPr>
          <w:rFonts w:ascii="Abadi" w:hAnsi="Abadi"/>
          <w:sz w:val="21"/>
          <w:szCs w:val="21"/>
        </w:rPr>
      </w:pPr>
    </w:p>
    <w:p w14:paraId="7B6F062E"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Establecer...; </w:t>
      </w:r>
    </w:p>
    <w:p w14:paraId="6D4D1229" w14:textId="01F44431" w:rsidR="003E7F94" w:rsidRPr="003E7F94" w:rsidRDefault="003E7F94" w:rsidP="003D1604">
      <w:pPr>
        <w:spacing w:line="259" w:lineRule="auto"/>
        <w:ind w:left="142" w:firstLine="60"/>
        <w:jc w:val="both"/>
        <w:rPr>
          <w:rFonts w:ascii="Abadi" w:hAnsi="Abadi"/>
          <w:sz w:val="21"/>
          <w:szCs w:val="21"/>
        </w:rPr>
      </w:pPr>
    </w:p>
    <w:p w14:paraId="40BEAE0C"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y fomentar el otorgamiento de apoyos a talentos deportivos y deportistas de alto rendimiento, </w:t>
      </w:r>
      <w:r w:rsidRPr="003E7F94">
        <w:rPr>
          <w:rFonts w:ascii="Abadi" w:hAnsi="Abadi" w:cs="Arial"/>
          <w:b/>
          <w:sz w:val="21"/>
          <w:szCs w:val="21"/>
        </w:rPr>
        <w:t>observando los principios de igualdad y perspectiva de género y no discriminación</w:t>
      </w:r>
      <w:r w:rsidRPr="003E7F94">
        <w:rPr>
          <w:rFonts w:ascii="Abadi" w:hAnsi="Abadi"/>
          <w:sz w:val="21"/>
          <w:szCs w:val="21"/>
        </w:rPr>
        <w:t xml:space="preserve">; </w:t>
      </w:r>
    </w:p>
    <w:p w14:paraId="6E27E5A3" w14:textId="12E8B1F1" w:rsidR="003E7F94" w:rsidRPr="003E7F94" w:rsidRDefault="003E7F94" w:rsidP="003D1604">
      <w:pPr>
        <w:spacing w:line="259" w:lineRule="auto"/>
        <w:ind w:left="142" w:firstLine="60"/>
        <w:jc w:val="both"/>
        <w:rPr>
          <w:rFonts w:ascii="Abadi" w:hAnsi="Abadi"/>
          <w:sz w:val="21"/>
          <w:szCs w:val="21"/>
        </w:rPr>
      </w:pPr>
    </w:p>
    <w:p w14:paraId="0BA191E8"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Promover programas especiales que amplíen las opciones de la cultura física y deporte </w:t>
      </w:r>
      <w:r w:rsidRPr="003E7F94">
        <w:rPr>
          <w:rFonts w:ascii="Abadi" w:hAnsi="Abadi" w:cs="Arial"/>
          <w:b/>
          <w:sz w:val="21"/>
          <w:szCs w:val="21"/>
        </w:rPr>
        <w:t>y eviten la discriminación</w:t>
      </w:r>
      <w:r w:rsidRPr="003E7F94">
        <w:rPr>
          <w:rFonts w:ascii="Abadi" w:hAnsi="Abadi"/>
          <w:sz w:val="21"/>
          <w:szCs w:val="21"/>
        </w:rPr>
        <w:t xml:space="preserve"> a grupos vulnerables y personas con discapacidad; </w:t>
      </w:r>
    </w:p>
    <w:p w14:paraId="50673624" w14:textId="03FF2F7E" w:rsidR="003E7F94" w:rsidRPr="003E7F94" w:rsidRDefault="003E7F94" w:rsidP="003D1604">
      <w:pPr>
        <w:spacing w:line="259" w:lineRule="auto"/>
        <w:ind w:left="142" w:firstLine="60"/>
        <w:jc w:val="both"/>
        <w:rPr>
          <w:rFonts w:ascii="Abadi" w:hAnsi="Abadi"/>
          <w:sz w:val="21"/>
          <w:szCs w:val="21"/>
        </w:rPr>
      </w:pPr>
    </w:p>
    <w:p w14:paraId="2294DA26"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Realizar...; y </w:t>
      </w:r>
    </w:p>
    <w:p w14:paraId="438199D4" w14:textId="6FCD9D15" w:rsidR="003E7F94" w:rsidRPr="003E7F94" w:rsidRDefault="003E7F94" w:rsidP="003D1604">
      <w:pPr>
        <w:spacing w:line="259" w:lineRule="auto"/>
        <w:ind w:left="142" w:firstLine="60"/>
        <w:jc w:val="both"/>
        <w:rPr>
          <w:rFonts w:ascii="Abadi" w:hAnsi="Abadi"/>
          <w:sz w:val="21"/>
          <w:szCs w:val="21"/>
        </w:rPr>
      </w:pPr>
    </w:p>
    <w:p w14:paraId="5DF7326E" w14:textId="77777777" w:rsidR="003E7F94" w:rsidRPr="003E7F94" w:rsidRDefault="003E7F94" w:rsidP="00BA5FBA">
      <w:pPr>
        <w:numPr>
          <w:ilvl w:val="0"/>
          <w:numId w:val="84"/>
        </w:numPr>
        <w:spacing w:after="15" w:line="247" w:lineRule="auto"/>
        <w:ind w:right="4"/>
        <w:jc w:val="both"/>
        <w:rPr>
          <w:rFonts w:ascii="Abadi" w:hAnsi="Abadi"/>
          <w:sz w:val="21"/>
          <w:szCs w:val="21"/>
        </w:rPr>
      </w:pPr>
      <w:r w:rsidRPr="003E7F94">
        <w:rPr>
          <w:rFonts w:ascii="Abadi" w:hAnsi="Abadi"/>
          <w:sz w:val="21"/>
          <w:szCs w:val="21"/>
        </w:rPr>
        <w:t xml:space="preserve">Las demás que señalen las leyes y disposiciones jurídicas aplicables. </w:t>
      </w:r>
    </w:p>
    <w:p w14:paraId="6F568CA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66016E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F5B632E"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25</w:t>
      </w:r>
      <w:r w:rsidRPr="003E7F94">
        <w:rPr>
          <w:rFonts w:ascii="Abadi" w:hAnsi="Abadi"/>
          <w:sz w:val="21"/>
          <w:szCs w:val="21"/>
        </w:rPr>
        <w:t xml:space="preserve">. El Consejo Directivo tendrá las siguientes facultades: </w:t>
      </w:r>
    </w:p>
    <w:p w14:paraId="3FF8853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C1BA74F"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Analizar y aprobar...; </w:t>
      </w:r>
    </w:p>
    <w:p w14:paraId="0BEE661B" w14:textId="0183E78C" w:rsidR="003E7F94" w:rsidRPr="003E7F94" w:rsidRDefault="003E7F94" w:rsidP="00540666">
      <w:pPr>
        <w:spacing w:line="259" w:lineRule="auto"/>
        <w:ind w:left="142" w:firstLine="60"/>
        <w:jc w:val="both"/>
        <w:rPr>
          <w:rFonts w:ascii="Abadi" w:hAnsi="Abadi"/>
          <w:sz w:val="21"/>
          <w:szCs w:val="21"/>
        </w:rPr>
      </w:pPr>
    </w:p>
    <w:p w14:paraId="53CFDC92"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Aprobar...; </w:t>
      </w:r>
    </w:p>
    <w:p w14:paraId="684DA0CF" w14:textId="3C569849" w:rsidR="003E7F94" w:rsidRPr="003E7F94" w:rsidRDefault="003E7F94" w:rsidP="00540666">
      <w:pPr>
        <w:spacing w:line="259" w:lineRule="auto"/>
        <w:ind w:left="142" w:firstLine="60"/>
        <w:jc w:val="both"/>
        <w:rPr>
          <w:rFonts w:ascii="Abadi" w:hAnsi="Abadi"/>
          <w:sz w:val="21"/>
          <w:szCs w:val="21"/>
        </w:rPr>
      </w:pPr>
    </w:p>
    <w:p w14:paraId="051F01E4"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Analizar...; </w:t>
      </w:r>
    </w:p>
    <w:p w14:paraId="11982F65" w14:textId="611D0BB9" w:rsidR="003E7F94" w:rsidRPr="003E7F94" w:rsidRDefault="003E7F94" w:rsidP="00540666">
      <w:pPr>
        <w:spacing w:line="259" w:lineRule="auto"/>
        <w:ind w:left="142" w:firstLine="60"/>
        <w:jc w:val="both"/>
        <w:rPr>
          <w:rFonts w:ascii="Abadi" w:hAnsi="Abadi"/>
          <w:sz w:val="21"/>
          <w:szCs w:val="21"/>
        </w:rPr>
      </w:pPr>
    </w:p>
    <w:p w14:paraId="165EE593"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Proponer...; </w:t>
      </w:r>
    </w:p>
    <w:p w14:paraId="5199EE80" w14:textId="3257B065" w:rsidR="003E7F94" w:rsidRPr="003E7F94" w:rsidRDefault="003E7F94" w:rsidP="00540666">
      <w:pPr>
        <w:spacing w:line="259" w:lineRule="auto"/>
        <w:ind w:left="142" w:firstLine="60"/>
        <w:jc w:val="both"/>
        <w:rPr>
          <w:rFonts w:ascii="Abadi" w:hAnsi="Abadi"/>
          <w:sz w:val="21"/>
          <w:szCs w:val="21"/>
        </w:rPr>
      </w:pPr>
    </w:p>
    <w:p w14:paraId="195F83E3"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Autorizar...; </w:t>
      </w:r>
    </w:p>
    <w:p w14:paraId="005357B6" w14:textId="6916D3A7" w:rsidR="003E7F94" w:rsidRPr="003E7F94" w:rsidRDefault="003E7F94" w:rsidP="00540666">
      <w:pPr>
        <w:spacing w:line="259" w:lineRule="auto"/>
        <w:ind w:left="142" w:firstLine="60"/>
        <w:jc w:val="both"/>
        <w:rPr>
          <w:rFonts w:ascii="Abadi" w:hAnsi="Abadi"/>
          <w:sz w:val="21"/>
          <w:szCs w:val="21"/>
        </w:rPr>
      </w:pPr>
    </w:p>
    <w:p w14:paraId="18589618"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Aprobar...; </w:t>
      </w:r>
    </w:p>
    <w:p w14:paraId="1982DA4F" w14:textId="2BC29A04" w:rsidR="003E7F94" w:rsidRPr="003E7F94" w:rsidRDefault="003E7F94" w:rsidP="00540666">
      <w:pPr>
        <w:spacing w:line="259" w:lineRule="auto"/>
        <w:ind w:left="142" w:firstLine="60"/>
        <w:jc w:val="both"/>
        <w:rPr>
          <w:rFonts w:ascii="Abadi" w:hAnsi="Abadi"/>
          <w:sz w:val="21"/>
          <w:szCs w:val="21"/>
        </w:rPr>
      </w:pPr>
    </w:p>
    <w:p w14:paraId="4BFDC466"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Autorizar la práctica...; </w:t>
      </w:r>
    </w:p>
    <w:p w14:paraId="616455D3" w14:textId="639B57F4" w:rsidR="003E7F94" w:rsidRPr="003E7F94" w:rsidRDefault="003E7F94" w:rsidP="00540666">
      <w:pPr>
        <w:spacing w:line="259" w:lineRule="auto"/>
        <w:ind w:left="142" w:firstLine="60"/>
        <w:jc w:val="both"/>
        <w:rPr>
          <w:rFonts w:ascii="Abadi" w:hAnsi="Abadi"/>
          <w:sz w:val="21"/>
          <w:szCs w:val="21"/>
        </w:rPr>
      </w:pPr>
    </w:p>
    <w:p w14:paraId="613D6AB9"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Autorizar actos...; </w:t>
      </w:r>
    </w:p>
    <w:p w14:paraId="0C342AB4" w14:textId="598A16F0" w:rsidR="003E7F94" w:rsidRPr="003E7F94" w:rsidRDefault="003E7F94" w:rsidP="00540666">
      <w:pPr>
        <w:spacing w:line="259" w:lineRule="auto"/>
        <w:ind w:left="142" w:firstLine="60"/>
        <w:jc w:val="both"/>
        <w:rPr>
          <w:rFonts w:ascii="Abadi" w:hAnsi="Abadi"/>
          <w:sz w:val="21"/>
          <w:szCs w:val="21"/>
        </w:rPr>
      </w:pPr>
    </w:p>
    <w:p w14:paraId="4856F9A8"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Aprobar la creación...; </w:t>
      </w:r>
    </w:p>
    <w:p w14:paraId="4BB479B2" w14:textId="219ED33A" w:rsidR="003E7F94" w:rsidRPr="003E7F94" w:rsidRDefault="003E7F94" w:rsidP="00540666">
      <w:pPr>
        <w:spacing w:line="259" w:lineRule="auto"/>
        <w:ind w:left="142" w:firstLine="60"/>
        <w:jc w:val="both"/>
        <w:rPr>
          <w:rFonts w:ascii="Abadi" w:hAnsi="Abadi"/>
          <w:sz w:val="21"/>
          <w:szCs w:val="21"/>
        </w:rPr>
      </w:pPr>
    </w:p>
    <w:p w14:paraId="65AD8F6F"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Diseñar...; </w:t>
      </w:r>
    </w:p>
    <w:p w14:paraId="4E647322" w14:textId="651A09F8" w:rsidR="003E7F94" w:rsidRPr="003E7F94" w:rsidRDefault="003E7F94" w:rsidP="00540666">
      <w:pPr>
        <w:spacing w:line="259" w:lineRule="auto"/>
        <w:ind w:left="142" w:firstLine="60"/>
        <w:jc w:val="both"/>
        <w:rPr>
          <w:rFonts w:ascii="Abadi" w:hAnsi="Abadi"/>
          <w:sz w:val="21"/>
          <w:szCs w:val="21"/>
        </w:rPr>
      </w:pPr>
    </w:p>
    <w:p w14:paraId="7EA1C912"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Instalar...; </w:t>
      </w:r>
    </w:p>
    <w:p w14:paraId="1FABC30F" w14:textId="32FD6E40" w:rsidR="003E7F94" w:rsidRPr="003E7F94" w:rsidRDefault="003E7F94" w:rsidP="00540666">
      <w:pPr>
        <w:spacing w:line="259" w:lineRule="auto"/>
        <w:ind w:left="142" w:firstLine="60"/>
        <w:jc w:val="both"/>
        <w:rPr>
          <w:rFonts w:ascii="Abadi" w:hAnsi="Abadi"/>
          <w:sz w:val="21"/>
          <w:szCs w:val="21"/>
        </w:rPr>
      </w:pPr>
    </w:p>
    <w:p w14:paraId="1B66D252"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Estudiar...; </w:t>
      </w:r>
    </w:p>
    <w:p w14:paraId="529F4C49" w14:textId="3F7B4A18" w:rsidR="003E7F94" w:rsidRPr="003E7F94" w:rsidRDefault="003E7F94" w:rsidP="00540666">
      <w:pPr>
        <w:spacing w:line="259" w:lineRule="auto"/>
        <w:ind w:left="142" w:firstLine="60"/>
        <w:jc w:val="both"/>
        <w:rPr>
          <w:rFonts w:ascii="Abadi" w:hAnsi="Abadi"/>
          <w:sz w:val="21"/>
          <w:szCs w:val="21"/>
        </w:rPr>
      </w:pPr>
    </w:p>
    <w:p w14:paraId="443E64B6"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Aprobar el ingreso...; </w:t>
      </w:r>
    </w:p>
    <w:p w14:paraId="28AA6BF1" w14:textId="77D64113" w:rsidR="003E7F94" w:rsidRPr="003E7F94" w:rsidRDefault="003E7F94" w:rsidP="00540666">
      <w:pPr>
        <w:spacing w:line="259" w:lineRule="auto"/>
        <w:ind w:left="142" w:firstLine="60"/>
        <w:jc w:val="both"/>
        <w:rPr>
          <w:rFonts w:ascii="Abadi" w:hAnsi="Abadi"/>
          <w:sz w:val="21"/>
          <w:szCs w:val="21"/>
        </w:rPr>
      </w:pPr>
    </w:p>
    <w:p w14:paraId="2CFBBD84" w14:textId="77777777" w:rsidR="003E7F94" w:rsidRPr="003E7F94" w:rsidRDefault="003E7F94" w:rsidP="00BA5FBA">
      <w:pPr>
        <w:numPr>
          <w:ilvl w:val="0"/>
          <w:numId w:val="83"/>
        </w:numPr>
        <w:spacing w:line="241" w:lineRule="auto"/>
        <w:ind w:right="4"/>
        <w:jc w:val="both"/>
        <w:rPr>
          <w:rFonts w:ascii="Abadi" w:hAnsi="Abadi"/>
          <w:sz w:val="21"/>
          <w:szCs w:val="21"/>
        </w:rPr>
      </w:pPr>
      <w:r w:rsidRPr="003E7F94">
        <w:rPr>
          <w:rFonts w:ascii="Abadi" w:hAnsi="Abadi"/>
          <w:sz w:val="21"/>
          <w:szCs w:val="21"/>
        </w:rPr>
        <w:t xml:space="preserve">Proponer, en su caso, al Congreso del Estado, candidatos a obtener el Premio Estatal del Deporte, en los términos de la Ley de la materia, </w:t>
      </w:r>
      <w:r w:rsidRPr="003E7F94">
        <w:rPr>
          <w:rFonts w:ascii="Abadi" w:hAnsi="Abadi" w:cs="Arial"/>
          <w:b/>
          <w:sz w:val="21"/>
          <w:szCs w:val="21"/>
        </w:rPr>
        <w:t>procurando observar en lo posible la perspectiva de género</w:t>
      </w:r>
      <w:r w:rsidRPr="003E7F94">
        <w:rPr>
          <w:rFonts w:ascii="Abadi" w:hAnsi="Abadi"/>
          <w:sz w:val="21"/>
          <w:szCs w:val="21"/>
        </w:rPr>
        <w:t xml:space="preserve">; </w:t>
      </w:r>
    </w:p>
    <w:p w14:paraId="50A236EF" w14:textId="718B653E" w:rsidR="003E7F94" w:rsidRPr="003E7F94" w:rsidRDefault="003E7F94" w:rsidP="00540666">
      <w:pPr>
        <w:spacing w:line="259" w:lineRule="auto"/>
        <w:ind w:left="142" w:firstLine="60"/>
        <w:jc w:val="both"/>
        <w:rPr>
          <w:rFonts w:ascii="Abadi" w:hAnsi="Abadi"/>
          <w:sz w:val="21"/>
          <w:szCs w:val="21"/>
        </w:rPr>
      </w:pPr>
    </w:p>
    <w:p w14:paraId="7A2261B0" w14:textId="77777777" w:rsidR="003E7F94" w:rsidRPr="003E7F94" w:rsidRDefault="003E7F94" w:rsidP="00BA5FBA">
      <w:pPr>
        <w:numPr>
          <w:ilvl w:val="0"/>
          <w:numId w:val="83"/>
        </w:numPr>
        <w:spacing w:after="15" w:line="247" w:lineRule="auto"/>
        <w:ind w:right="4"/>
        <w:jc w:val="both"/>
        <w:rPr>
          <w:rFonts w:ascii="Abadi" w:hAnsi="Abadi"/>
          <w:sz w:val="21"/>
          <w:szCs w:val="21"/>
        </w:rPr>
      </w:pPr>
      <w:r w:rsidRPr="003E7F94">
        <w:rPr>
          <w:rFonts w:ascii="Abadi" w:hAnsi="Abadi"/>
          <w:sz w:val="21"/>
          <w:szCs w:val="21"/>
        </w:rPr>
        <w:t xml:space="preserve">Aprobar...; y </w:t>
      </w:r>
    </w:p>
    <w:p w14:paraId="140A883D" w14:textId="0BB7F8BB" w:rsidR="003E7F94" w:rsidRPr="003E7F94" w:rsidRDefault="003E7F94" w:rsidP="00540666">
      <w:pPr>
        <w:spacing w:line="259" w:lineRule="auto"/>
        <w:ind w:left="142" w:firstLine="60"/>
        <w:jc w:val="both"/>
        <w:rPr>
          <w:rFonts w:ascii="Abadi" w:hAnsi="Abadi"/>
          <w:sz w:val="21"/>
          <w:szCs w:val="21"/>
        </w:rPr>
      </w:pPr>
    </w:p>
    <w:p w14:paraId="731943D4" w14:textId="77777777" w:rsidR="003E7F94" w:rsidRPr="003E7F94" w:rsidRDefault="003E7F94" w:rsidP="00BA5FBA">
      <w:pPr>
        <w:numPr>
          <w:ilvl w:val="0"/>
          <w:numId w:val="61"/>
        </w:numPr>
        <w:spacing w:after="15" w:line="247" w:lineRule="auto"/>
        <w:ind w:right="4"/>
        <w:jc w:val="both"/>
        <w:rPr>
          <w:rFonts w:ascii="Abadi" w:hAnsi="Abadi"/>
          <w:sz w:val="21"/>
          <w:szCs w:val="21"/>
        </w:rPr>
      </w:pPr>
      <w:r w:rsidRPr="003E7F94">
        <w:rPr>
          <w:rFonts w:ascii="Abadi" w:hAnsi="Abadi"/>
          <w:sz w:val="21"/>
          <w:szCs w:val="21"/>
        </w:rPr>
        <w:t xml:space="preserve">Las demás que señalen las leyes y disposiciones jurídicas aplicables. </w:t>
      </w:r>
    </w:p>
    <w:p w14:paraId="2B4C1AA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1A704E2"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El funcionamiento del Consejo Directivo se regulará en el Reglamento de la Ley. </w:t>
      </w:r>
    </w:p>
    <w:p w14:paraId="1F731CE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E27C83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738D612"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29.</w:t>
      </w:r>
      <w:r w:rsidRPr="003E7F94">
        <w:rPr>
          <w:rFonts w:ascii="Abadi" w:hAnsi="Abadi"/>
          <w:sz w:val="21"/>
          <w:szCs w:val="21"/>
        </w:rPr>
        <w:t xml:space="preserve"> El Consejo Estatal tendrá las siguientes atribuciones: </w:t>
      </w:r>
    </w:p>
    <w:p w14:paraId="5A79668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E600C5B"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Generar propuestas que repercutan en el desarrollo </w:t>
      </w:r>
      <w:r w:rsidRPr="003E7F94">
        <w:rPr>
          <w:rFonts w:ascii="Abadi" w:hAnsi="Abadi" w:cs="Arial"/>
          <w:b/>
          <w:sz w:val="21"/>
          <w:szCs w:val="21"/>
        </w:rPr>
        <w:t>con perspectiva de género</w:t>
      </w:r>
      <w:r w:rsidRPr="003E7F94">
        <w:rPr>
          <w:rFonts w:ascii="Abadi" w:hAnsi="Abadi"/>
          <w:sz w:val="21"/>
          <w:szCs w:val="21"/>
        </w:rPr>
        <w:t xml:space="preserve"> de la cultura física y deporte, tomando en consideración la equidad y la igualdad que presentará al Consejo Directivo; </w:t>
      </w:r>
    </w:p>
    <w:p w14:paraId="45C6F6CB" w14:textId="2BDC97A2" w:rsidR="003E7F94" w:rsidRPr="003E7F94" w:rsidRDefault="003E7F94" w:rsidP="00540666">
      <w:pPr>
        <w:ind w:left="142" w:firstLine="60"/>
        <w:jc w:val="both"/>
        <w:rPr>
          <w:rFonts w:ascii="Abadi" w:hAnsi="Abadi"/>
          <w:sz w:val="21"/>
          <w:szCs w:val="21"/>
        </w:rPr>
      </w:pPr>
    </w:p>
    <w:p w14:paraId="7CF6ADC6"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Proponer criterios para la planeación y ejecución de las políticas y programas en materia de cultura física y deporte, </w:t>
      </w:r>
      <w:r w:rsidRPr="003E7F94">
        <w:rPr>
          <w:rFonts w:ascii="Abadi" w:hAnsi="Abadi" w:cs="Arial"/>
          <w:b/>
          <w:sz w:val="21"/>
          <w:szCs w:val="21"/>
        </w:rPr>
        <w:t>con perspectivas de género y de inclusión de sectores vulnerables o invisibles</w:t>
      </w:r>
      <w:r w:rsidRPr="003E7F94">
        <w:rPr>
          <w:rFonts w:ascii="Abadi" w:hAnsi="Abadi"/>
          <w:sz w:val="21"/>
          <w:szCs w:val="21"/>
        </w:rPr>
        <w:t xml:space="preserve">; </w:t>
      </w:r>
    </w:p>
    <w:p w14:paraId="1E757194" w14:textId="48B1D9BF" w:rsidR="003E7F94" w:rsidRPr="003E7F94" w:rsidRDefault="003E7F94" w:rsidP="00540666">
      <w:pPr>
        <w:ind w:left="142" w:firstLine="60"/>
        <w:jc w:val="both"/>
        <w:rPr>
          <w:rFonts w:ascii="Abadi" w:hAnsi="Abadi"/>
          <w:sz w:val="21"/>
          <w:szCs w:val="21"/>
        </w:rPr>
      </w:pPr>
    </w:p>
    <w:p w14:paraId="1A92FCEE"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Canalizar...; </w:t>
      </w:r>
    </w:p>
    <w:p w14:paraId="13FDF8DA" w14:textId="69FB618E" w:rsidR="003E7F94" w:rsidRPr="003E7F94" w:rsidRDefault="003E7F94" w:rsidP="00540666">
      <w:pPr>
        <w:ind w:left="142" w:firstLine="60"/>
        <w:jc w:val="both"/>
        <w:rPr>
          <w:rFonts w:ascii="Abadi" w:hAnsi="Abadi"/>
          <w:sz w:val="21"/>
          <w:szCs w:val="21"/>
        </w:rPr>
      </w:pPr>
    </w:p>
    <w:p w14:paraId="11407420"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Conocer de...; </w:t>
      </w:r>
    </w:p>
    <w:p w14:paraId="70B3BA8D" w14:textId="6BDA7760" w:rsidR="003E7F94" w:rsidRPr="003E7F94" w:rsidRDefault="003E7F94" w:rsidP="00540666">
      <w:pPr>
        <w:ind w:left="142" w:firstLine="60"/>
        <w:jc w:val="both"/>
        <w:rPr>
          <w:rFonts w:ascii="Abadi" w:hAnsi="Abadi"/>
          <w:sz w:val="21"/>
          <w:szCs w:val="21"/>
        </w:rPr>
      </w:pPr>
    </w:p>
    <w:p w14:paraId="3A08A5A4"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Formular...; y </w:t>
      </w:r>
    </w:p>
    <w:p w14:paraId="78C74623" w14:textId="37228234" w:rsidR="003E7F94" w:rsidRPr="003E7F94" w:rsidRDefault="003E7F94" w:rsidP="00540666">
      <w:pPr>
        <w:ind w:left="142" w:firstLine="60"/>
        <w:jc w:val="both"/>
        <w:rPr>
          <w:rFonts w:ascii="Abadi" w:hAnsi="Abadi"/>
          <w:sz w:val="21"/>
          <w:szCs w:val="21"/>
        </w:rPr>
      </w:pPr>
    </w:p>
    <w:p w14:paraId="0FDAAA73" w14:textId="77777777" w:rsidR="003E7F94" w:rsidRPr="003E7F94" w:rsidRDefault="003E7F94" w:rsidP="00BA5FBA">
      <w:pPr>
        <w:numPr>
          <w:ilvl w:val="0"/>
          <w:numId w:val="82"/>
        </w:numPr>
        <w:spacing w:after="15"/>
        <w:ind w:right="4" w:hanging="389"/>
        <w:jc w:val="both"/>
        <w:rPr>
          <w:rFonts w:ascii="Abadi" w:hAnsi="Abadi"/>
          <w:sz w:val="21"/>
          <w:szCs w:val="21"/>
        </w:rPr>
      </w:pPr>
      <w:r w:rsidRPr="003E7F94">
        <w:rPr>
          <w:rFonts w:ascii="Abadi" w:hAnsi="Abadi"/>
          <w:sz w:val="21"/>
          <w:szCs w:val="21"/>
        </w:rPr>
        <w:t xml:space="preserve">Las demás.... </w:t>
      </w:r>
    </w:p>
    <w:p w14:paraId="52C9A97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D76E9B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5F1B147"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30</w:t>
      </w:r>
      <w:r w:rsidRPr="003E7F94">
        <w:rPr>
          <w:rFonts w:ascii="Abadi" w:hAnsi="Abadi"/>
          <w:sz w:val="21"/>
          <w:szCs w:val="21"/>
        </w:rPr>
        <w:t xml:space="preserve">. El Ejecutivo del Estado a través de la CODE, diseñara, aplicara y evaluara el Programa Estatal de Cultura Física y Deporte, el cual establecerá los objetivos, metas, estrategias, lineamientos y acciones para la difusión, promoción, fomento, capacitación, investigación, práctica, supervisión, evaluación, </w:t>
      </w:r>
      <w:r w:rsidRPr="003E7F94">
        <w:rPr>
          <w:rFonts w:ascii="Abadi" w:hAnsi="Abadi" w:cs="Arial"/>
          <w:b/>
          <w:sz w:val="21"/>
          <w:szCs w:val="21"/>
        </w:rPr>
        <w:t xml:space="preserve">fomentando la integración, la igualdad entre el hombre y la mujer, la inclusión de sectores vulnerables o </w:t>
      </w:r>
      <w:r w:rsidRPr="003E7F94">
        <w:rPr>
          <w:rFonts w:ascii="Abadi" w:hAnsi="Abadi" w:cs="Arial"/>
          <w:b/>
          <w:sz w:val="21"/>
          <w:szCs w:val="21"/>
        </w:rPr>
        <w:t>invisibles en</w:t>
      </w:r>
      <w:r w:rsidRPr="003E7F94">
        <w:rPr>
          <w:rFonts w:ascii="Abadi" w:hAnsi="Abadi"/>
          <w:sz w:val="21"/>
          <w:szCs w:val="21"/>
        </w:rPr>
        <w:t xml:space="preserve"> la cultura física y deporte , así como de las ciencias aplicadas al deporte </w:t>
      </w:r>
      <w:r w:rsidRPr="003E7F94">
        <w:rPr>
          <w:rFonts w:ascii="Abadi" w:hAnsi="Abadi" w:cs="Arial"/>
          <w:b/>
          <w:sz w:val="21"/>
          <w:szCs w:val="21"/>
        </w:rPr>
        <w:t>y los derechos humanos</w:t>
      </w:r>
      <w:r w:rsidRPr="003E7F94">
        <w:rPr>
          <w:rFonts w:ascii="Abadi" w:hAnsi="Abadi"/>
          <w:sz w:val="21"/>
          <w:szCs w:val="21"/>
        </w:rPr>
        <w:t xml:space="preserve"> con la participación de los municipios y de los sectores público, social y privado. </w:t>
      </w:r>
    </w:p>
    <w:p w14:paraId="542AE4C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C97AD64"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El Programa Estatal... </w:t>
      </w:r>
    </w:p>
    <w:p w14:paraId="31E39BE9" w14:textId="77777777" w:rsidR="003E7F94" w:rsidRPr="003E7F94" w:rsidRDefault="003E7F94" w:rsidP="003E7F94">
      <w:pPr>
        <w:spacing w:line="259" w:lineRule="auto"/>
        <w:ind w:left="142"/>
        <w:jc w:val="both"/>
        <w:rPr>
          <w:rFonts w:ascii="Abadi" w:hAnsi="Abadi"/>
          <w:sz w:val="21"/>
          <w:szCs w:val="21"/>
        </w:rPr>
      </w:pPr>
      <w:r w:rsidRPr="003E7F94">
        <w:rPr>
          <w:rFonts w:ascii="Abadi" w:eastAsia="Verdana" w:hAnsi="Abadi" w:cs="Verdana"/>
          <w:sz w:val="21"/>
          <w:szCs w:val="21"/>
        </w:rPr>
        <w:t xml:space="preserve"> </w:t>
      </w:r>
    </w:p>
    <w:p w14:paraId="03E11789" w14:textId="77777777" w:rsidR="003E7F94" w:rsidRPr="003E7F94" w:rsidRDefault="003E7F94" w:rsidP="003E7F94">
      <w:pPr>
        <w:spacing w:after="24" w:line="259" w:lineRule="auto"/>
        <w:ind w:left="142"/>
        <w:jc w:val="both"/>
        <w:rPr>
          <w:rFonts w:ascii="Abadi" w:hAnsi="Abadi"/>
          <w:sz w:val="21"/>
          <w:szCs w:val="21"/>
        </w:rPr>
      </w:pPr>
      <w:r w:rsidRPr="003E7F94">
        <w:rPr>
          <w:rFonts w:ascii="Abadi" w:eastAsia="Verdana" w:hAnsi="Abadi" w:cs="Verdana"/>
          <w:sz w:val="21"/>
          <w:szCs w:val="21"/>
        </w:rPr>
        <w:t xml:space="preserve"> </w:t>
      </w:r>
    </w:p>
    <w:p w14:paraId="6D5086BC"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35</w:t>
      </w:r>
      <w:r w:rsidRPr="003E7F94">
        <w:rPr>
          <w:rFonts w:ascii="Abadi" w:hAnsi="Abadi"/>
          <w:sz w:val="21"/>
          <w:szCs w:val="21"/>
        </w:rPr>
        <w:t xml:space="preserve">. El Ejecutivo... </w:t>
      </w:r>
    </w:p>
    <w:p w14:paraId="454DBB5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218680C"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 CODE y los organismos municipales promoverán acciones para el uso óptimo </w:t>
      </w:r>
      <w:r w:rsidRPr="003E7F94">
        <w:rPr>
          <w:rFonts w:ascii="Abadi" w:hAnsi="Abadi" w:cs="Arial"/>
          <w:b/>
          <w:sz w:val="21"/>
          <w:szCs w:val="21"/>
        </w:rPr>
        <w:t xml:space="preserve">y adecuaciones </w:t>
      </w:r>
      <w:r w:rsidRPr="003E7F94">
        <w:rPr>
          <w:rFonts w:ascii="Abadi" w:hAnsi="Abadi"/>
          <w:sz w:val="21"/>
          <w:szCs w:val="21"/>
        </w:rPr>
        <w:t xml:space="preserve">de las instalaciones públicas, </w:t>
      </w:r>
      <w:r w:rsidRPr="003E7F94">
        <w:rPr>
          <w:rFonts w:ascii="Abadi" w:hAnsi="Abadi" w:cs="Arial"/>
          <w:b/>
          <w:sz w:val="21"/>
          <w:szCs w:val="21"/>
        </w:rPr>
        <w:t>con especial atención a las niñas, niños, adolescentes.</w:t>
      </w:r>
      <w:r w:rsidRPr="003E7F94">
        <w:rPr>
          <w:rFonts w:ascii="Abadi" w:hAnsi="Abadi"/>
          <w:sz w:val="21"/>
          <w:szCs w:val="21"/>
        </w:rPr>
        <w:t xml:space="preserve"> </w:t>
      </w:r>
    </w:p>
    <w:p w14:paraId="0D5C68BB" w14:textId="77777777" w:rsidR="003E7F94" w:rsidRPr="003E7F94" w:rsidRDefault="003E7F94" w:rsidP="003E7F94">
      <w:pPr>
        <w:spacing w:after="158" w:line="259" w:lineRule="auto"/>
        <w:ind w:left="142"/>
        <w:jc w:val="both"/>
        <w:rPr>
          <w:rFonts w:ascii="Abadi" w:hAnsi="Abadi"/>
          <w:sz w:val="21"/>
          <w:szCs w:val="21"/>
        </w:rPr>
      </w:pPr>
      <w:r w:rsidRPr="003E7F94">
        <w:rPr>
          <w:rFonts w:ascii="Abadi" w:hAnsi="Abadi" w:cs="Arial"/>
          <w:b/>
          <w:sz w:val="21"/>
          <w:szCs w:val="21"/>
        </w:rPr>
        <w:t xml:space="preserve"> </w:t>
      </w:r>
    </w:p>
    <w:p w14:paraId="2D2A95A4"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40</w:t>
      </w:r>
      <w:r w:rsidRPr="003E7F94">
        <w:rPr>
          <w:rFonts w:ascii="Abadi" w:hAnsi="Abadi"/>
          <w:sz w:val="21"/>
          <w:szCs w:val="21"/>
        </w:rPr>
        <w:t xml:space="preserve">. Las instalaciones...  </w:t>
      </w:r>
    </w:p>
    <w:p w14:paraId="55BB87E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6595BCC"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Las instalaciones...  </w:t>
      </w:r>
    </w:p>
    <w:p w14:paraId="7D23616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15C5A0C"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El personal que labore en las instalaciones deportivas privadas y que realice servicios en materia de cultura física y deporte; deberá contar con los estudios oficiales y las certificaciones necesarias para prestar dichos servicios</w:t>
      </w:r>
      <w:r w:rsidRPr="003E7F94">
        <w:rPr>
          <w:rFonts w:ascii="Abadi" w:hAnsi="Abadi" w:cs="Arial"/>
          <w:b/>
          <w:sz w:val="21"/>
          <w:szCs w:val="21"/>
        </w:rPr>
        <w:t>, así como en derechos humanos</w:t>
      </w:r>
      <w:r w:rsidRPr="003E7F94">
        <w:rPr>
          <w:rFonts w:ascii="Abadi" w:hAnsi="Abadi"/>
          <w:sz w:val="21"/>
          <w:szCs w:val="21"/>
        </w:rPr>
        <w:t xml:space="preserve">; así como estar inscritos en el Registro. </w:t>
      </w:r>
    </w:p>
    <w:p w14:paraId="5EF7700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591851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4AAAFD26"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42</w:t>
      </w:r>
      <w:r w:rsidRPr="003E7F94">
        <w:rPr>
          <w:rFonts w:ascii="Abadi" w:hAnsi="Abadi"/>
          <w:sz w:val="21"/>
          <w:szCs w:val="21"/>
        </w:rPr>
        <w:t xml:space="preserve">. El Sistema Municipal de Cultura Física y Deporte tiene como objeto generar acciones, financiamientos y programas necesarios para la coordinación, fomento, investigación, apoyo, promoción, difusión y desarrollo de la cultura física y del deporte así como el óptimo aprovechamiento de los recursos humanos, financieros y materiales en el ámbito municipal, </w:t>
      </w:r>
      <w:r w:rsidRPr="003E7F94">
        <w:rPr>
          <w:rFonts w:ascii="Abadi" w:hAnsi="Abadi" w:cs="Arial"/>
          <w:b/>
          <w:sz w:val="21"/>
          <w:szCs w:val="21"/>
        </w:rPr>
        <w:t>fomentando la integración social, la igualdad entre el hombre y la mujer, la inclusión de sectores vulnerables o invisibles y los derechos humanos</w:t>
      </w:r>
      <w:r w:rsidRPr="003E7F94">
        <w:rPr>
          <w:rFonts w:ascii="Abadi" w:hAnsi="Abadi"/>
          <w:sz w:val="21"/>
          <w:szCs w:val="21"/>
        </w:rPr>
        <w:t xml:space="preserve">. </w:t>
      </w:r>
    </w:p>
    <w:p w14:paraId="1CBE6D14"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El organismo municipal... </w:t>
      </w:r>
    </w:p>
    <w:p w14:paraId="506B5CAD" w14:textId="77777777" w:rsidR="003E7F94" w:rsidRPr="003E7F94" w:rsidRDefault="003E7F94" w:rsidP="003E7F94">
      <w:pPr>
        <w:spacing w:after="29" w:line="254" w:lineRule="auto"/>
        <w:ind w:left="142" w:right="8778"/>
        <w:jc w:val="both"/>
        <w:rPr>
          <w:rFonts w:ascii="Abadi" w:hAnsi="Abadi"/>
          <w:sz w:val="21"/>
          <w:szCs w:val="21"/>
        </w:rPr>
      </w:pPr>
      <w:r w:rsidRPr="003E7F94">
        <w:rPr>
          <w:rFonts w:ascii="Abadi" w:hAnsi="Abadi"/>
          <w:sz w:val="21"/>
          <w:szCs w:val="21"/>
        </w:rPr>
        <w:t xml:space="preserve"> </w:t>
      </w:r>
      <w:r w:rsidRPr="003E7F94">
        <w:rPr>
          <w:rFonts w:ascii="Abadi" w:eastAsia="Verdana" w:hAnsi="Abadi" w:cs="Verdana"/>
          <w:sz w:val="21"/>
          <w:szCs w:val="21"/>
        </w:rPr>
        <w:t xml:space="preserve"> </w:t>
      </w:r>
    </w:p>
    <w:p w14:paraId="41CF2C78"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45</w:t>
      </w:r>
      <w:r w:rsidRPr="003E7F94">
        <w:rPr>
          <w:rFonts w:ascii="Abadi" w:hAnsi="Abadi"/>
          <w:sz w:val="21"/>
          <w:szCs w:val="21"/>
        </w:rPr>
        <w:t xml:space="preserve">. Los organismos municipales, en el ámbito de su competencia, tendrán las siguientes atribuciones: </w:t>
      </w:r>
    </w:p>
    <w:p w14:paraId="43E9C65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A6AF422"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Proponer...; </w:t>
      </w:r>
    </w:p>
    <w:p w14:paraId="7424B83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FBBACD5"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Proponer al ayuntamiento las metas, estrategias y acciones para </w:t>
      </w:r>
      <w:r w:rsidRPr="003E7F94">
        <w:rPr>
          <w:rFonts w:ascii="Abadi" w:hAnsi="Abadi"/>
          <w:sz w:val="21"/>
          <w:szCs w:val="21"/>
        </w:rPr>
        <w:lastRenderedPageBreak/>
        <w:t xml:space="preserve">incrementar la calidad de cultura física y el deporte en el municipio </w:t>
      </w:r>
      <w:r w:rsidRPr="003E7F94">
        <w:rPr>
          <w:rFonts w:ascii="Abadi" w:hAnsi="Abadi" w:cs="Arial"/>
          <w:b/>
          <w:sz w:val="21"/>
          <w:szCs w:val="21"/>
        </w:rPr>
        <w:t>con perspectivas de género y de inclusión de sectores vulnerables o invisibles</w:t>
      </w:r>
      <w:r w:rsidRPr="003E7F94">
        <w:rPr>
          <w:rFonts w:ascii="Abadi" w:hAnsi="Abadi"/>
          <w:sz w:val="21"/>
          <w:szCs w:val="21"/>
        </w:rPr>
        <w:t xml:space="preserve">; </w:t>
      </w:r>
    </w:p>
    <w:p w14:paraId="1DE250A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E3CF861"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Mantener en buen estado las instalaciones deportivas del municipio y promover la creación de nuevas áreas y espacios para la práctica de la cultura física y el deporte </w:t>
      </w:r>
      <w:r w:rsidRPr="003E7F94">
        <w:rPr>
          <w:rFonts w:ascii="Abadi" w:hAnsi="Abadi" w:cs="Arial"/>
          <w:b/>
          <w:sz w:val="21"/>
          <w:szCs w:val="21"/>
        </w:rPr>
        <w:t>con especial atención a las adecuadas para niñas, niños, adolescentes</w:t>
      </w:r>
      <w:r w:rsidRPr="003E7F94">
        <w:rPr>
          <w:rFonts w:ascii="Abadi" w:hAnsi="Abadi"/>
          <w:sz w:val="21"/>
          <w:szCs w:val="21"/>
        </w:rPr>
        <w:t xml:space="preserve">; </w:t>
      </w:r>
    </w:p>
    <w:p w14:paraId="54114F5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71CCB77"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Establecer mecanismos de vinculación con organismos públicos y privados para la difusión, promoción, fomento, práctica, investigación, enseñanza, supervisión y evaluación en cultura física y deporte</w:t>
      </w:r>
      <w:r w:rsidRPr="003E7F94">
        <w:rPr>
          <w:rFonts w:ascii="Abadi" w:hAnsi="Abadi" w:cs="Arial"/>
          <w:b/>
          <w:sz w:val="21"/>
          <w:szCs w:val="21"/>
        </w:rPr>
        <w:t>, así como de derechos humanos</w:t>
      </w:r>
      <w:r w:rsidRPr="003E7F94">
        <w:rPr>
          <w:rFonts w:ascii="Abadi" w:hAnsi="Abadi"/>
          <w:sz w:val="21"/>
          <w:szCs w:val="21"/>
        </w:rPr>
        <w:t xml:space="preserve">; </w:t>
      </w:r>
    </w:p>
    <w:p w14:paraId="66B6636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E114C92"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Otorgar reconocimientos y apoyos </w:t>
      </w:r>
      <w:r w:rsidRPr="003E7F94">
        <w:rPr>
          <w:rFonts w:ascii="Abadi" w:hAnsi="Abadi" w:cs="Arial"/>
          <w:b/>
          <w:sz w:val="21"/>
          <w:szCs w:val="21"/>
        </w:rPr>
        <w:t>equitativos y sin discriminación</w:t>
      </w:r>
      <w:r w:rsidRPr="003E7F94">
        <w:rPr>
          <w:rFonts w:ascii="Abadi" w:hAnsi="Abadi"/>
          <w:sz w:val="21"/>
          <w:szCs w:val="21"/>
        </w:rPr>
        <w:t xml:space="preserve"> a aquellas personas y organismos públicos o privados, que se hayan distinguido en la difusión, promoción, fomento, práctica o investigación en cultura física y deporte; </w:t>
      </w:r>
    </w:p>
    <w:p w14:paraId="78B3868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A3CF53D"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Realizar...; </w:t>
      </w:r>
    </w:p>
    <w:p w14:paraId="2F98D2F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4E140B8"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Celebrar...; </w:t>
      </w:r>
    </w:p>
    <w:p w14:paraId="207C8C2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519FF5F"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Integrar...; </w:t>
      </w:r>
    </w:p>
    <w:p w14:paraId="3166D0B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0625B04"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Promover...; </w:t>
      </w:r>
    </w:p>
    <w:p w14:paraId="684A946C"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02CE9A0"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Gestionar...; </w:t>
      </w:r>
    </w:p>
    <w:p w14:paraId="260B524E"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B613023" w14:textId="77777777" w:rsidR="003E7F94" w:rsidRPr="003E7F94" w:rsidRDefault="003E7F94" w:rsidP="00BA5FBA">
      <w:pPr>
        <w:numPr>
          <w:ilvl w:val="0"/>
          <w:numId w:val="62"/>
        </w:numPr>
        <w:spacing w:line="249" w:lineRule="auto"/>
        <w:ind w:left="833" w:right="4" w:hanging="360"/>
        <w:jc w:val="both"/>
        <w:rPr>
          <w:rFonts w:ascii="Abadi" w:hAnsi="Abadi"/>
          <w:sz w:val="21"/>
          <w:szCs w:val="21"/>
        </w:rPr>
      </w:pPr>
      <w:r w:rsidRPr="003E7F94">
        <w:rPr>
          <w:rFonts w:ascii="Abadi" w:hAnsi="Abadi"/>
          <w:sz w:val="21"/>
          <w:szCs w:val="21"/>
        </w:rPr>
        <w:t xml:space="preserve">Promover la realización de torneos, competencias y campeonatos de cultura física y deporte en condiciones </w:t>
      </w:r>
      <w:r w:rsidRPr="003E7F94">
        <w:rPr>
          <w:rFonts w:ascii="Abadi" w:hAnsi="Abadi" w:cs="Arial"/>
          <w:b/>
          <w:sz w:val="21"/>
          <w:szCs w:val="21"/>
        </w:rPr>
        <w:t xml:space="preserve">de igualdad y sin discriminación de ninguna especie, fomentando la integración social, la igualdad entre el hombre y la mujer, la inclusión de sectores vulnerables o invisibles y los derechos humanos, </w:t>
      </w:r>
      <w:r w:rsidRPr="003E7F94">
        <w:rPr>
          <w:rFonts w:ascii="Abadi" w:hAnsi="Abadi" w:cs="Arial"/>
          <w:b/>
          <w:sz w:val="21"/>
          <w:szCs w:val="21"/>
        </w:rPr>
        <w:t>evitando la violencia de cualquier especie</w:t>
      </w:r>
      <w:r w:rsidRPr="003E7F94">
        <w:rPr>
          <w:rFonts w:ascii="Abadi" w:hAnsi="Abadi"/>
          <w:sz w:val="21"/>
          <w:szCs w:val="21"/>
        </w:rPr>
        <w:t xml:space="preserve">; </w:t>
      </w:r>
    </w:p>
    <w:p w14:paraId="7A80723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CAAE7CC"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Fijar...; </w:t>
      </w:r>
    </w:p>
    <w:p w14:paraId="338B56F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39379F4"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Asesorar...; </w:t>
      </w:r>
    </w:p>
    <w:p w14:paraId="4BBA38A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21CC659"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Imponer...; </w:t>
      </w:r>
    </w:p>
    <w:p w14:paraId="64F2101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55FE7F8" w14:textId="77777777" w:rsidR="003E7F94" w:rsidRPr="003E7F94" w:rsidRDefault="003E7F94" w:rsidP="00BA5FBA">
      <w:pPr>
        <w:numPr>
          <w:ilvl w:val="0"/>
          <w:numId w:val="62"/>
        </w:numPr>
        <w:spacing w:line="249" w:lineRule="auto"/>
        <w:ind w:left="833" w:right="4" w:hanging="360"/>
        <w:jc w:val="both"/>
        <w:rPr>
          <w:rFonts w:ascii="Abadi" w:hAnsi="Abadi"/>
          <w:sz w:val="21"/>
          <w:szCs w:val="21"/>
        </w:rPr>
      </w:pPr>
      <w:r w:rsidRPr="003E7F94">
        <w:rPr>
          <w:rFonts w:ascii="Abadi" w:hAnsi="Abadi"/>
          <w:sz w:val="21"/>
          <w:szCs w:val="21"/>
        </w:rPr>
        <w:t>Implementar programas de capacitación en materia deportiva</w:t>
      </w:r>
      <w:r w:rsidRPr="003E7F94">
        <w:rPr>
          <w:rFonts w:ascii="Abadi" w:hAnsi="Abadi" w:cs="Arial"/>
          <w:b/>
          <w:sz w:val="21"/>
          <w:szCs w:val="21"/>
        </w:rPr>
        <w:t xml:space="preserve">, así como en derechos humanos, perspectiva de género, inclusión, no discriminación, no violencia, interés superior de la niñez, sectores sociales vulnerables o invisibles </w:t>
      </w:r>
      <w:r w:rsidRPr="003E7F94">
        <w:rPr>
          <w:rFonts w:ascii="Abadi" w:hAnsi="Abadi"/>
          <w:sz w:val="21"/>
          <w:szCs w:val="21"/>
        </w:rPr>
        <w:t xml:space="preserve">y formación a especialistas, deportistas profesionales, directivos, jueces, árbitros y entrenadores; </w:t>
      </w:r>
    </w:p>
    <w:p w14:paraId="3B52F5F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8B34C56"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Presentar...; </w:t>
      </w:r>
    </w:p>
    <w:p w14:paraId="11847B4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2791168" w14:textId="77777777" w:rsidR="003E7F94" w:rsidRPr="003E7F94" w:rsidRDefault="003E7F94" w:rsidP="00BA5FBA">
      <w:pPr>
        <w:numPr>
          <w:ilvl w:val="0"/>
          <w:numId w:val="62"/>
        </w:numPr>
        <w:spacing w:line="249" w:lineRule="auto"/>
        <w:ind w:left="833" w:right="4" w:hanging="360"/>
        <w:jc w:val="both"/>
        <w:rPr>
          <w:rFonts w:ascii="Abadi" w:hAnsi="Abadi"/>
          <w:sz w:val="21"/>
          <w:szCs w:val="21"/>
        </w:rPr>
      </w:pPr>
      <w:r w:rsidRPr="003E7F94">
        <w:rPr>
          <w:rFonts w:ascii="Abadi" w:hAnsi="Abadi"/>
          <w:sz w:val="21"/>
          <w:szCs w:val="21"/>
        </w:rPr>
        <w:t xml:space="preserve">Promover ante la autoridad competente procedimientos administrativos para clausurar las instalaciones que no cumplan con los requisitos que establezca la normatividad aplicable, que </w:t>
      </w:r>
      <w:r w:rsidRPr="003E7F94">
        <w:rPr>
          <w:rFonts w:ascii="Abadi" w:hAnsi="Abadi" w:cs="Arial"/>
          <w:b/>
          <w:sz w:val="21"/>
          <w:szCs w:val="21"/>
        </w:rPr>
        <w:t>el personal realice cualquier acción de violencia o manifestaciones de discriminación de cualquier índole</w:t>
      </w:r>
      <w:r w:rsidRPr="003E7F94">
        <w:rPr>
          <w:rFonts w:ascii="Abadi" w:hAnsi="Abadi"/>
          <w:sz w:val="21"/>
          <w:szCs w:val="21"/>
        </w:rPr>
        <w:t xml:space="preserve"> </w:t>
      </w:r>
      <w:r w:rsidRPr="003E7F94">
        <w:rPr>
          <w:rFonts w:ascii="Abadi" w:hAnsi="Abadi" w:cs="Arial"/>
          <w:b/>
          <w:sz w:val="21"/>
          <w:szCs w:val="21"/>
        </w:rPr>
        <w:t>o que permitan a los usuarios la introducción, venta o consumo de bebidas alcohólicas, sustancias psicotrópicas o enervantes prohibidas por las leyes de la materia</w:t>
      </w:r>
      <w:r w:rsidRPr="003E7F94">
        <w:rPr>
          <w:rFonts w:ascii="Abadi" w:hAnsi="Abadi"/>
          <w:sz w:val="21"/>
          <w:szCs w:val="21"/>
        </w:rPr>
        <w:t xml:space="preserve">; y </w:t>
      </w:r>
    </w:p>
    <w:p w14:paraId="199D7D6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9DFA75D" w14:textId="77777777" w:rsidR="003E7F94" w:rsidRPr="003E7F94" w:rsidRDefault="003E7F94" w:rsidP="00BA5FBA">
      <w:pPr>
        <w:numPr>
          <w:ilvl w:val="0"/>
          <w:numId w:val="62"/>
        </w:numPr>
        <w:spacing w:after="15" w:line="247" w:lineRule="auto"/>
        <w:ind w:left="833" w:right="4" w:hanging="360"/>
        <w:jc w:val="both"/>
        <w:rPr>
          <w:rFonts w:ascii="Abadi" w:hAnsi="Abadi"/>
          <w:sz w:val="21"/>
          <w:szCs w:val="21"/>
        </w:rPr>
      </w:pPr>
      <w:r w:rsidRPr="003E7F94">
        <w:rPr>
          <w:rFonts w:ascii="Abadi" w:hAnsi="Abadi"/>
          <w:sz w:val="21"/>
          <w:szCs w:val="21"/>
        </w:rPr>
        <w:t xml:space="preserve">Las demás...  </w:t>
      </w:r>
    </w:p>
    <w:p w14:paraId="24246C4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45BDE27"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46.</w:t>
      </w:r>
      <w:r w:rsidRPr="003E7F94">
        <w:rPr>
          <w:rFonts w:ascii="Abadi" w:hAnsi="Abadi"/>
          <w:sz w:val="21"/>
          <w:szCs w:val="21"/>
        </w:rPr>
        <w:t xml:space="preserve"> El Ejecutivo del Estado a través de la CODE y los municipios, promoverán acciones de coordinación, colaboración, y concertación con los sectores público, social y privado que tengan por objetivo el desarrollo óptimo, </w:t>
      </w:r>
      <w:r w:rsidRPr="003E7F94">
        <w:rPr>
          <w:rFonts w:ascii="Abadi" w:hAnsi="Abadi" w:cs="Arial"/>
          <w:b/>
          <w:sz w:val="21"/>
          <w:szCs w:val="21"/>
        </w:rPr>
        <w:t>con perspectiva de género, inclusiva, sin discriminación o violencia</w:t>
      </w:r>
      <w:r w:rsidRPr="003E7F94">
        <w:rPr>
          <w:rFonts w:ascii="Abadi" w:hAnsi="Abadi"/>
          <w:sz w:val="21"/>
          <w:szCs w:val="21"/>
        </w:rPr>
        <w:t xml:space="preserve"> de la cultura física y el deporte en el Estado. </w:t>
      </w:r>
    </w:p>
    <w:p w14:paraId="736654A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7C9BC3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1468370"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48</w:t>
      </w:r>
      <w:r w:rsidRPr="003E7F94">
        <w:rPr>
          <w:rFonts w:ascii="Abadi" w:hAnsi="Abadi"/>
          <w:sz w:val="21"/>
          <w:szCs w:val="21"/>
        </w:rPr>
        <w:t xml:space="preserve">. El Ejecutivo del Estado, a través de la CODE y los municipios promoverán con </w:t>
      </w:r>
      <w:r w:rsidRPr="003E7F94">
        <w:rPr>
          <w:rFonts w:ascii="Abadi" w:hAnsi="Abadi"/>
          <w:sz w:val="21"/>
          <w:szCs w:val="21"/>
        </w:rPr>
        <w:lastRenderedPageBreak/>
        <w:t xml:space="preserve">el sector social y privado, la participación y colaboración activa para: </w:t>
      </w:r>
    </w:p>
    <w:p w14:paraId="192D4A6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98B849D"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Establecer...; </w:t>
      </w:r>
    </w:p>
    <w:p w14:paraId="786B744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D585102"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Promover...; </w:t>
      </w:r>
    </w:p>
    <w:p w14:paraId="5028A0C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1ABDC96"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Ejecutar...; </w:t>
      </w:r>
    </w:p>
    <w:p w14:paraId="793A437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B3B891E"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Promover...; </w:t>
      </w:r>
    </w:p>
    <w:p w14:paraId="4608300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3270DC7"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Formular y ejecutar políticas públicas, que fomenten actividades físicas y deportivas </w:t>
      </w:r>
      <w:r w:rsidRPr="003E7F94">
        <w:rPr>
          <w:rFonts w:ascii="Abadi" w:hAnsi="Abadi" w:cs="Arial"/>
          <w:b/>
          <w:sz w:val="21"/>
          <w:szCs w:val="21"/>
        </w:rPr>
        <w:t>sociales, de rendimiento o de alto rendimiento</w:t>
      </w:r>
      <w:r w:rsidRPr="003E7F94">
        <w:rPr>
          <w:rFonts w:ascii="Abadi" w:hAnsi="Abadi"/>
          <w:sz w:val="21"/>
          <w:szCs w:val="21"/>
        </w:rPr>
        <w:t xml:space="preserve"> destinadas a las personas con discapacidad</w:t>
      </w:r>
      <w:r w:rsidRPr="003E7F94">
        <w:rPr>
          <w:rFonts w:ascii="Abadi" w:hAnsi="Abadi" w:cs="Arial"/>
          <w:b/>
          <w:sz w:val="21"/>
          <w:szCs w:val="21"/>
        </w:rPr>
        <w:t>, con igualdad y perspectiva de género</w:t>
      </w:r>
      <w:r w:rsidRPr="003E7F94">
        <w:rPr>
          <w:rFonts w:ascii="Abadi" w:hAnsi="Abadi"/>
          <w:sz w:val="21"/>
          <w:szCs w:val="21"/>
        </w:rPr>
        <w:t xml:space="preserve">; </w:t>
      </w:r>
    </w:p>
    <w:p w14:paraId="4C485C9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F14E9C5"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Dar seguimiento...; </w:t>
      </w:r>
    </w:p>
    <w:p w14:paraId="3058E70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DA40E26"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Establecer...; y </w:t>
      </w:r>
    </w:p>
    <w:p w14:paraId="79BFA56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838C226" w14:textId="77777777" w:rsidR="003E7F94" w:rsidRPr="003E7F94" w:rsidRDefault="003E7F94" w:rsidP="00BA5FBA">
      <w:pPr>
        <w:numPr>
          <w:ilvl w:val="1"/>
          <w:numId w:val="62"/>
        </w:numPr>
        <w:spacing w:after="15" w:line="247" w:lineRule="auto"/>
        <w:ind w:right="4" w:hanging="720"/>
        <w:jc w:val="both"/>
        <w:rPr>
          <w:rFonts w:ascii="Abadi" w:hAnsi="Abadi"/>
          <w:sz w:val="21"/>
          <w:szCs w:val="21"/>
        </w:rPr>
      </w:pPr>
      <w:r w:rsidRPr="003E7F94">
        <w:rPr>
          <w:rFonts w:ascii="Abadi" w:hAnsi="Abadi"/>
          <w:sz w:val="21"/>
          <w:szCs w:val="21"/>
        </w:rPr>
        <w:t xml:space="preserve">Promover... </w:t>
      </w:r>
    </w:p>
    <w:p w14:paraId="447CF6F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91AF5F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A5AB9DA"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50</w:t>
      </w:r>
      <w:r w:rsidRPr="003E7F94">
        <w:rPr>
          <w:rFonts w:ascii="Abadi" w:hAnsi="Abadi"/>
          <w:sz w:val="21"/>
          <w:szCs w:val="21"/>
        </w:rPr>
        <w:t xml:space="preserve">. La CODE podrá colaborar con universidades e instituciones de educación media superior y superior, con la finalidad de conjuntar esfuerzos para el desarrollo educativo y deportivo de deportistas </w:t>
      </w:r>
      <w:r w:rsidRPr="003E7F94">
        <w:rPr>
          <w:rFonts w:ascii="Abadi" w:hAnsi="Abadi" w:cs="Arial"/>
          <w:b/>
          <w:sz w:val="21"/>
          <w:szCs w:val="21"/>
        </w:rPr>
        <w:t>con igualdad y perspectiva de género</w:t>
      </w:r>
      <w:r w:rsidRPr="003E7F94">
        <w:rPr>
          <w:rFonts w:ascii="Abadi" w:hAnsi="Abadi"/>
          <w:sz w:val="21"/>
          <w:szCs w:val="21"/>
        </w:rPr>
        <w:t xml:space="preserve">. </w:t>
      </w:r>
    </w:p>
    <w:p w14:paraId="3598D81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3A6691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621A2118"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58</w:t>
      </w:r>
      <w:r w:rsidRPr="003E7F94">
        <w:rPr>
          <w:rFonts w:ascii="Abadi" w:hAnsi="Abadi"/>
          <w:sz w:val="21"/>
          <w:szCs w:val="21"/>
        </w:rPr>
        <w:t xml:space="preserve">. Para los efectos de este capítulo, se reconoce al deporte en todas sus modalidades y categorías deportivas, incluyendo (sic) el desarrollado por el </w:t>
      </w:r>
      <w:r w:rsidRPr="003E7F94">
        <w:rPr>
          <w:rFonts w:ascii="Abadi" w:hAnsi="Abadi" w:cs="Arial"/>
          <w:b/>
          <w:sz w:val="21"/>
          <w:szCs w:val="21"/>
        </w:rPr>
        <w:t>sector de la niñez,</w:t>
      </w:r>
      <w:r w:rsidRPr="003E7F94">
        <w:rPr>
          <w:rFonts w:ascii="Abadi" w:hAnsi="Abadi"/>
          <w:sz w:val="21"/>
          <w:szCs w:val="21"/>
        </w:rPr>
        <w:t xml:space="preserve"> estudiantil, </w:t>
      </w:r>
      <w:r w:rsidRPr="003E7F94">
        <w:rPr>
          <w:rFonts w:ascii="Abadi" w:hAnsi="Abadi" w:cs="Arial"/>
          <w:b/>
          <w:sz w:val="21"/>
          <w:szCs w:val="21"/>
        </w:rPr>
        <w:t>el deporte sin preconcepciones de la masculinidad y feminidad, inclusivo por razón de género,</w:t>
      </w:r>
      <w:r w:rsidRPr="003E7F94">
        <w:rPr>
          <w:rFonts w:ascii="Abadi" w:hAnsi="Abadi"/>
          <w:sz w:val="21"/>
          <w:szCs w:val="21"/>
        </w:rPr>
        <w:t xml:space="preserve"> para personas con discapacidad y para personas adultas mayores. </w:t>
      </w:r>
    </w:p>
    <w:p w14:paraId="1F74871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46F2A0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7AB98D2"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63</w:t>
      </w:r>
      <w:r w:rsidRPr="003E7F94">
        <w:rPr>
          <w:rFonts w:ascii="Abadi" w:hAnsi="Abadi"/>
          <w:sz w:val="21"/>
          <w:szCs w:val="21"/>
        </w:rPr>
        <w:t xml:space="preserve">. Quienes realizan cultura física, los deportistas y entrenadores, tendrán las siguientes obligaciones, según les corresponda: </w:t>
      </w:r>
    </w:p>
    <w:p w14:paraId="1D12811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9EE154E" w14:textId="77777777" w:rsidR="003E7F94" w:rsidRPr="003E7F94" w:rsidRDefault="003E7F94" w:rsidP="00BA5FBA">
      <w:pPr>
        <w:numPr>
          <w:ilvl w:val="0"/>
          <w:numId w:val="81"/>
        </w:numPr>
        <w:spacing w:line="249" w:lineRule="auto"/>
        <w:ind w:right="4"/>
        <w:jc w:val="both"/>
        <w:rPr>
          <w:rFonts w:ascii="Abadi" w:hAnsi="Abadi"/>
          <w:sz w:val="21"/>
          <w:szCs w:val="21"/>
        </w:rPr>
      </w:pPr>
      <w:r w:rsidRPr="003E7F94">
        <w:rPr>
          <w:rFonts w:ascii="Abadi" w:hAnsi="Abadi"/>
          <w:sz w:val="21"/>
          <w:szCs w:val="21"/>
        </w:rPr>
        <w:t xml:space="preserve">Observar una conducta apegada a los principios éticos </w:t>
      </w:r>
      <w:r w:rsidRPr="003E7F94">
        <w:rPr>
          <w:rFonts w:ascii="Abadi" w:hAnsi="Abadi" w:cs="Arial"/>
          <w:b/>
          <w:sz w:val="21"/>
          <w:szCs w:val="21"/>
        </w:rPr>
        <w:t xml:space="preserve">y de pleno respeto a </w:t>
      </w:r>
      <w:r w:rsidRPr="003E7F94">
        <w:rPr>
          <w:rFonts w:ascii="Abadi" w:hAnsi="Abadi" w:cs="Arial"/>
          <w:b/>
          <w:sz w:val="21"/>
          <w:szCs w:val="21"/>
        </w:rPr>
        <w:t>los derechos humanos, la no violencia o discriminación, al interés superior de la niñez, la inclusión por diversidad sexual la integración social y la igualdad entre el hombre y la mujer</w:t>
      </w:r>
      <w:r w:rsidRPr="003E7F94">
        <w:rPr>
          <w:rFonts w:ascii="Abadi" w:hAnsi="Abadi"/>
          <w:sz w:val="21"/>
          <w:szCs w:val="21"/>
        </w:rPr>
        <w:t xml:space="preserve">; </w:t>
      </w:r>
    </w:p>
    <w:p w14:paraId="6DB45103" w14:textId="13B74D23" w:rsidR="003E7F94" w:rsidRPr="003E7F94" w:rsidRDefault="003E7F94" w:rsidP="0010788C">
      <w:pPr>
        <w:spacing w:line="259" w:lineRule="auto"/>
        <w:ind w:left="142" w:firstLine="60"/>
        <w:jc w:val="both"/>
        <w:rPr>
          <w:rFonts w:ascii="Abadi" w:hAnsi="Abadi"/>
          <w:sz w:val="21"/>
          <w:szCs w:val="21"/>
        </w:rPr>
      </w:pPr>
    </w:p>
    <w:p w14:paraId="3994CDB6"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Asistir...; </w:t>
      </w:r>
    </w:p>
    <w:p w14:paraId="1CA48F11" w14:textId="7A16E14C" w:rsidR="003E7F94" w:rsidRPr="003E7F94" w:rsidRDefault="003E7F94" w:rsidP="0010788C">
      <w:pPr>
        <w:spacing w:line="259" w:lineRule="auto"/>
        <w:ind w:left="142" w:firstLine="60"/>
        <w:jc w:val="both"/>
        <w:rPr>
          <w:rFonts w:ascii="Abadi" w:hAnsi="Abadi"/>
          <w:sz w:val="21"/>
          <w:szCs w:val="21"/>
        </w:rPr>
      </w:pPr>
    </w:p>
    <w:p w14:paraId="701151BF"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Cuidar...; </w:t>
      </w:r>
    </w:p>
    <w:p w14:paraId="6379ECAB"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No consumir...; </w:t>
      </w:r>
    </w:p>
    <w:p w14:paraId="577945B2" w14:textId="5ACE198B" w:rsidR="003E7F94" w:rsidRPr="003E7F94" w:rsidRDefault="003E7F94" w:rsidP="0010788C">
      <w:pPr>
        <w:spacing w:line="259" w:lineRule="auto"/>
        <w:ind w:left="142" w:firstLine="60"/>
        <w:jc w:val="both"/>
        <w:rPr>
          <w:rFonts w:ascii="Abadi" w:hAnsi="Abadi"/>
          <w:sz w:val="21"/>
          <w:szCs w:val="21"/>
        </w:rPr>
      </w:pPr>
    </w:p>
    <w:p w14:paraId="627394E1"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Someterse...; </w:t>
      </w:r>
    </w:p>
    <w:p w14:paraId="07236611" w14:textId="2FB6C9EE" w:rsidR="003E7F94" w:rsidRPr="003E7F94" w:rsidRDefault="003E7F94" w:rsidP="0010788C">
      <w:pPr>
        <w:spacing w:line="259" w:lineRule="auto"/>
        <w:ind w:left="142" w:firstLine="60"/>
        <w:jc w:val="both"/>
        <w:rPr>
          <w:rFonts w:ascii="Abadi" w:hAnsi="Abadi"/>
          <w:sz w:val="21"/>
          <w:szCs w:val="21"/>
        </w:rPr>
      </w:pPr>
    </w:p>
    <w:p w14:paraId="740F43FC"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En caso...; y </w:t>
      </w:r>
    </w:p>
    <w:p w14:paraId="08B00207" w14:textId="126D8089" w:rsidR="003E7F94" w:rsidRPr="003E7F94" w:rsidRDefault="003E7F94" w:rsidP="0010788C">
      <w:pPr>
        <w:spacing w:line="259" w:lineRule="auto"/>
        <w:ind w:left="142" w:firstLine="60"/>
        <w:jc w:val="both"/>
        <w:rPr>
          <w:rFonts w:ascii="Abadi" w:hAnsi="Abadi"/>
          <w:sz w:val="21"/>
          <w:szCs w:val="21"/>
        </w:rPr>
      </w:pPr>
    </w:p>
    <w:p w14:paraId="634A742C" w14:textId="77777777" w:rsidR="003E7F94" w:rsidRPr="003E7F94" w:rsidRDefault="003E7F94" w:rsidP="00BA5FBA">
      <w:pPr>
        <w:numPr>
          <w:ilvl w:val="0"/>
          <w:numId w:val="81"/>
        </w:numPr>
        <w:spacing w:after="15" w:line="247" w:lineRule="auto"/>
        <w:ind w:right="4"/>
        <w:jc w:val="both"/>
        <w:rPr>
          <w:rFonts w:ascii="Abadi" w:hAnsi="Abadi"/>
          <w:sz w:val="21"/>
          <w:szCs w:val="21"/>
        </w:rPr>
      </w:pPr>
      <w:r w:rsidRPr="003E7F94">
        <w:rPr>
          <w:rFonts w:ascii="Abadi" w:hAnsi="Abadi"/>
          <w:sz w:val="21"/>
          <w:szCs w:val="21"/>
        </w:rPr>
        <w:t xml:space="preserve">Las demás... </w:t>
      </w:r>
    </w:p>
    <w:p w14:paraId="3A57AD94" w14:textId="0DE8CFC7" w:rsidR="003E7F94" w:rsidRPr="003E7F94" w:rsidRDefault="003E7F94" w:rsidP="0010788C">
      <w:pPr>
        <w:spacing w:line="259" w:lineRule="auto"/>
        <w:ind w:left="142" w:firstLine="60"/>
        <w:jc w:val="both"/>
        <w:rPr>
          <w:rFonts w:ascii="Abadi" w:hAnsi="Abadi"/>
          <w:sz w:val="21"/>
          <w:szCs w:val="21"/>
        </w:rPr>
      </w:pPr>
    </w:p>
    <w:p w14:paraId="50AAC854" w14:textId="3777CE20" w:rsidR="003E7F94" w:rsidRPr="003E7F94" w:rsidRDefault="003E7F94" w:rsidP="0010788C">
      <w:pPr>
        <w:spacing w:line="259" w:lineRule="auto"/>
        <w:ind w:left="142" w:firstLine="60"/>
        <w:jc w:val="both"/>
        <w:rPr>
          <w:rFonts w:ascii="Abadi" w:hAnsi="Abadi"/>
          <w:sz w:val="21"/>
          <w:szCs w:val="21"/>
        </w:rPr>
      </w:pPr>
    </w:p>
    <w:p w14:paraId="42D415E2"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cs="Arial"/>
          <w:b/>
          <w:sz w:val="21"/>
          <w:szCs w:val="21"/>
        </w:rPr>
        <w:t>Artículo 66.</w:t>
      </w:r>
      <w:r w:rsidRPr="0010788C">
        <w:rPr>
          <w:rFonts w:ascii="Abadi" w:hAnsi="Abadi"/>
          <w:sz w:val="21"/>
          <w:szCs w:val="21"/>
        </w:rPr>
        <w:t xml:space="preserve"> La CODE implementara acciones y planes encaminados a la promoción y fomento de la cultura física y el deporte para niñas, niños, mujeres, indígenas, adultos mayores y demás personas que por sus características puedan ser considerados dentro de los grupos vulnerables, </w:t>
      </w:r>
      <w:r w:rsidRPr="0010788C">
        <w:rPr>
          <w:rFonts w:ascii="Abadi" w:hAnsi="Abadi" w:cs="Arial"/>
          <w:b/>
          <w:sz w:val="21"/>
          <w:szCs w:val="21"/>
        </w:rPr>
        <w:t>así como de pleno respeto a los derechos humanos, la perspectiva de género, la no discriminación y la inclusión por diversidad sexual</w:t>
      </w:r>
      <w:r w:rsidRPr="0010788C">
        <w:rPr>
          <w:rFonts w:ascii="Abadi" w:hAnsi="Abadi"/>
          <w:sz w:val="21"/>
          <w:szCs w:val="21"/>
        </w:rPr>
        <w:t xml:space="preserve">. </w:t>
      </w:r>
    </w:p>
    <w:p w14:paraId="5D5850FF" w14:textId="5D170F81" w:rsidR="003E7F94" w:rsidRPr="003E7F94" w:rsidRDefault="003E7F94" w:rsidP="0010788C">
      <w:pPr>
        <w:spacing w:line="259" w:lineRule="auto"/>
        <w:ind w:left="142" w:firstLine="60"/>
        <w:jc w:val="both"/>
        <w:rPr>
          <w:rFonts w:ascii="Abadi" w:hAnsi="Abadi"/>
          <w:sz w:val="21"/>
          <w:szCs w:val="21"/>
        </w:rPr>
      </w:pPr>
    </w:p>
    <w:p w14:paraId="202834EF" w14:textId="58BAA3A6" w:rsidR="003E7F94" w:rsidRPr="003E7F94" w:rsidRDefault="003E7F94" w:rsidP="0010788C">
      <w:pPr>
        <w:spacing w:line="259" w:lineRule="auto"/>
        <w:ind w:left="142" w:firstLine="60"/>
        <w:jc w:val="both"/>
        <w:rPr>
          <w:rFonts w:ascii="Abadi" w:hAnsi="Abadi"/>
          <w:sz w:val="21"/>
          <w:szCs w:val="21"/>
        </w:rPr>
      </w:pPr>
    </w:p>
    <w:p w14:paraId="418376B0"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cs="Arial"/>
          <w:b/>
          <w:sz w:val="21"/>
          <w:szCs w:val="21"/>
        </w:rPr>
        <w:t>Artículo 68</w:t>
      </w:r>
      <w:r w:rsidRPr="0010788C">
        <w:rPr>
          <w:rFonts w:ascii="Abadi" w:hAnsi="Abadi"/>
          <w:sz w:val="21"/>
          <w:szCs w:val="21"/>
        </w:rPr>
        <w:t xml:space="preserve">. La CODE deberá integrar un Fondo de Apoyo al Deporte de Alto Rendimiento, con recursos presupuestales propios y los que pueda obtener para tal efecto, los cuales se destinarán a la entrega de apoyos en favor de deportistas y entrenadores de alto rendimiento </w:t>
      </w:r>
      <w:r w:rsidRPr="0010788C">
        <w:rPr>
          <w:rFonts w:ascii="Abadi" w:hAnsi="Abadi" w:cs="Arial"/>
          <w:b/>
          <w:sz w:val="21"/>
          <w:szCs w:val="21"/>
        </w:rPr>
        <w:t xml:space="preserve">en forma equitativa y apegándose al principio de perspectiva de género, en su caso. </w:t>
      </w:r>
    </w:p>
    <w:p w14:paraId="6B6D0AD0" w14:textId="6C1176B5" w:rsidR="003E7F94" w:rsidRPr="003E7F94" w:rsidRDefault="003E7F94" w:rsidP="0010788C">
      <w:pPr>
        <w:spacing w:line="259" w:lineRule="auto"/>
        <w:ind w:left="142" w:firstLine="60"/>
        <w:jc w:val="both"/>
        <w:rPr>
          <w:rFonts w:ascii="Abadi" w:hAnsi="Abadi"/>
          <w:sz w:val="21"/>
          <w:szCs w:val="21"/>
        </w:rPr>
      </w:pPr>
    </w:p>
    <w:p w14:paraId="5144B556"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sz w:val="21"/>
          <w:szCs w:val="21"/>
        </w:rPr>
        <w:t xml:space="preserve">La administración...  </w:t>
      </w:r>
    </w:p>
    <w:p w14:paraId="53ED941C" w14:textId="774118FF" w:rsidR="003E7F94" w:rsidRPr="003E7F94" w:rsidRDefault="003E7F94" w:rsidP="0010788C">
      <w:pPr>
        <w:spacing w:line="259" w:lineRule="auto"/>
        <w:ind w:left="142" w:firstLine="60"/>
        <w:jc w:val="both"/>
        <w:rPr>
          <w:rFonts w:ascii="Abadi" w:hAnsi="Abadi"/>
          <w:sz w:val="21"/>
          <w:szCs w:val="21"/>
        </w:rPr>
      </w:pPr>
    </w:p>
    <w:p w14:paraId="5C57D747"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sz w:val="21"/>
          <w:szCs w:val="21"/>
        </w:rPr>
        <w:t xml:space="preserve">Los deportistas...  </w:t>
      </w:r>
    </w:p>
    <w:p w14:paraId="30EAA838" w14:textId="19722A6D" w:rsidR="003E7F94" w:rsidRPr="003E7F94" w:rsidRDefault="003E7F94" w:rsidP="0010788C">
      <w:pPr>
        <w:spacing w:line="259" w:lineRule="auto"/>
        <w:ind w:left="142" w:firstLine="60"/>
        <w:jc w:val="both"/>
        <w:rPr>
          <w:rFonts w:ascii="Abadi" w:hAnsi="Abadi"/>
          <w:sz w:val="21"/>
          <w:szCs w:val="21"/>
        </w:rPr>
      </w:pPr>
    </w:p>
    <w:p w14:paraId="354435A0" w14:textId="4BD25317" w:rsidR="003E7F94" w:rsidRPr="003E7F94" w:rsidRDefault="003E7F94" w:rsidP="0010788C">
      <w:pPr>
        <w:spacing w:line="259" w:lineRule="auto"/>
        <w:ind w:left="142" w:firstLine="60"/>
        <w:jc w:val="both"/>
        <w:rPr>
          <w:rFonts w:ascii="Abadi" w:hAnsi="Abadi"/>
          <w:sz w:val="21"/>
          <w:szCs w:val="21"/>
        </w:rPr>
      </w:pPr>
    </w:p>
    <w:p w14:paraId="14CA0754"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cs="Arial"/>
          <w:b/>
          <w:sz w:val="21"/>
          <w:szCs w:val="21"/>
        </w:rPr>
        <w:t>Artículo 72</w:t>
      </w:r>
      <w:r w:rsidRPr="0010788C">
        <w:rPr>
          <w:rFonts w:ascii="Abadi" w:hAnsi="Abadi"/>
          <w:sz w:val="21"/>
          <w:szCs w:val="21"/>
        </w:rPr>
        <w:t xml:space="preserve">. Los deportistas, que representen al Estado de Guanajuato, tendrán derecho a recibir atención y tratamiento médico de enfermedades </w:t>
      </w:r>
      <w:r w:rsidRPr="0010788C">
        <w:rPr>
          <w:rFonts w:ascii="Abadi" w:hAnsi="Abadi"/>
          <w:sz w:val="21"/>
          <w:szCs w:val="21"/>
        </w:rPr>
        <w:lastRenderedPageBreak/>
        <w:t xml:space="preserve">o lesiones </w:t>
      </w:r>
      <w:r w:rsidRPr="0010788C">
        <w:rPr>
          <w:rFonts w:ascii="Abadi" w:hAnsi="Abadi" w:cs="Arial"/>
          <w:b/>
          <w:sz w:val="21"/>
          <w:szCs w:val="21"/>
        </w:rPr>
        <w:t>o terapéutico en materia de psicología</w:t>
      </w:r>
      <w:r w:rsidRPr="0010788C">
        <w:rPr>
          <w:rFonts w:ascii="Abadi" w:hAnsi="Abadi"/>
          <w:sz w:val="21"/>
          <w:szCs w:val="21"/>
        </w:rPr>
        <w:t xml:space="preserve">, siempre que éstas se produzcan con motivo de su participación en entrenamientos, juegos o competencias oficiales; en representación del Estado de Guanajuato o sus municipios en alguna disciplina incluida en el Sistema Estatal, </w:t>
      </w:r>
      <w:r w:rsidRPr="0010788C">
        <w:rPr>
          <w:rFonts w:ascii="Abadi" w:hAnsi="Abadi" w:cs="Arial"/>
          <w:b/>
          <w:sz w:val="21"/>
          <w:szCs w:val="21"/>
        </w:rPr>
        <w:t xml:space="preserve">o bien, cuando en estos supuestos se haya producido al deportista un daño psicológico, eventual o sistemático por parte de compañeros, entrenadores, cuerpo técnico, administrativo o directivos. </w:t>
      </w:r>
    </w:p>
    <w:p w14:paraId="2587F0F1" w14:textId="06E71DA2" w:rsidR="003E7F94" w:rsidRPr="003E7F94" w:rsidRDefault="003E7F94" w:rsidP="0010788C">
      <w:pPr>
        <w:spacing w:line="259" w:lineRule="auto"/>
        <w:ind w:left="142" w:firstLine="60"/>
        <w:jc w:val="both"/>
        <w:rPr>
          <w:rFonts w:ascii="Abadi" w:hAnsi="Abadi"/>
          <w:sz w:val="21"/>
          <w:szCs w:val="21"/>
        </w:rPr>
      </w:pPr>
    </w:p>
    <w:p w14:paraId="6B3315B4" w14:textId="77777777" w:rsidR="003E7F94" w:rsidRPr="0010788C" w:rsidRDefault="003E7F94" w:rsidP="00BA5FBA">
      <w:pPr>
        <w:pStyle w:val="Prrafodelista"/>
        <w:numPr>
          <w:ilvl w:val="0"/>
          <w:numId w:val="81"/>
        </w:numPr>
        <w:ind w:right="4"/>
        <w:jc w:val="both"/>
        <w:rPr>
          <w:rFonts w:ascii="Abadi" w:hAnsi="Abadi"/>
          <w:sz w:val="21"/>
          <w:szCs w:val="21"/>
        </w:rPr>
      </w:pPr>
      <w:r w:rsidRPr="0010788C">
        <w:rPr>
          <w:rFonts w:ascii="Abadi" w:hAnsi="Abadi"/>
          <w:sz w:val="21"/>
          <w:szCs w:val="21"/>
        </w:rPr>
        <w:t xml:space="preserve">El reglamento... </w:t>
      </w:r>
    </w:p>
    <w:p w14:paraId="21D49786" w14:textId="781E6626" w:rsidR="003E7F94" w:rsidRPr="003E7F94" w:rsidRDefault="003E7F94" w:rsidP="0010788C">
      <w:pPr>
        <w:spacing w:line="259" w:lineRule="auto"/>
        <w:ind w:left="142" w:firstLine="60"/>
        <w:jc w:val="both"/>
        <w:rPr>
          <w:rFonts w:ascii="Abadi" w:hAnsi="Abadi"/>
          <w:sz w:val="21"/>
          <w:szCs w:val="21"/>
        </w:rPr>
      </w:pPr>
    </w:p>
    <w:p w14:paraId="4D74962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CB15925"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87.</w:t>
      </w:r>
      <w:r w:rsidRPr="003E7F94">
        <w:rPr>
          <w:rFonts w:ascii="Abadi" w:hAnsi="Abadi"/>
          <w:sz w:val="21"/>
          <w:szCs w:val="21"/>
        </w:rPr>
        <w:t xml:space="preserve"> La CODE promoverá e impulsará acciones en contra de la violencia en el Deporte, para tal efecto, se instalará el CECOVIDE, que coadyuvará con el sector público, social y privado, en el fomento de campañas de sensibilización en contra de la violencia </w:t>
      </w:r>
      <w:r w:rsidRPr="003E7F94">
        <w:rPr>
          <w:rFonts w:ascii="Abadi" w:hAnsi="Abadi" w:cs="Arial"/>
          <w:b/>
          <w:sz w:val="21"/>
          <w:szCs w:val="21"/>
        </w:rPr>
        <w:t xml:space="preserve">cualquiera que sea su género, de la  discriminación y de la exclusión de las personas, niñas, niños y adolescentes de la diversidad sexual, así como de </w:t>
      </w:r>
      <w:r w:rsidRPr="003E7F94">
        <w:rPr>
          <w:rFonts w:ascii="Abadi" w:hAnsi="Abadi"/>
          <w:sz w:val="21"/>
          <w:szCs w:val="21"/>
        </w:rPr>
        <w:t xml:space="preserve">acciones que procuren que el deporte y la cultura física sean un referente de valores, integración y convivencia Social </w:t>
      </w:r>
      <w:r w:rsidRPr="003E7F94">
        <w:rPr>
          <w:rFonts w:ascii="Abadi" w:hAnsi="Abadi" w:cs="Arial"/>
          <w:b/>
          <w:sz w:val="21"/>
          <w:szCs w:val="21"/>
        </w:rPr>
        <w:t>con pleno respeto a los derechos humanos</w:t>
      </w:r>
      <w:r w:rsidRPr="003E7F94">
        <w:rPr>
          <w:rFonts w:ascii="Abadi" w:hAnsi="Abadi"/>
          <w:sz w:val="21"/>
          <w:szCs w:val="21"/>
        </w:rPr>
        <w:t xml:space="preserve">, para lo cual deberá establecer un programa anual. </w:t>
      </w:r>
    </w:p>
    <w:p w14:paraId="75E3CE6A" w14:textId="6D41AEA6"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F72BAF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F7B2BFC"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SEGUNDO</w:t>
      </w:r>
      <w:r w:rsidRPr="003E7F94">
        <w:rPr>
          <w:rFonts w:ascii="Abadi" w:hAnsi="Abadi"/>
          <w:sz w:val="21"/>
          <w:szCs w:val="21"/>
        </w:rPr>
        <w:t xml:space="preserve">: Se adiciona la fracción XIII al artículo 3, la fracción VIII del artículo 7; la fracción XIX del artículo 10; un segundo párrafo al artículo 11; un último párrafo al artículo 18; un penúltimo párrafo y recorrido del último actual del artículo 25; los párrafos cuarto, quinto y sexto del artículo 39; los párrafos cuarto y quinto del artículo 40; un artículo 66Bis; un párrafo cuarto al artículo 68 y; los párrafos tercer y cuarto del artículo 74, todas y todos de la </w:t>
      </w:r>
    </w:p>
    <w:p w14:paraId="23533A5D"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Ley de Cultura y Deporte del Estado de Guanajuato, para quedar como sigue: </w:t>
      </w:r>
    </w:p>
    <w:p w14:paraId="4AF2D72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133E28E"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3.</w:t>
      </w:r>
      <w:r w:rsidRPr="003E7F94">
        <w:rPr>
          <w:rFonts w:ascii="Abadi" w:hAnsi="Abadi"/>
          <w:sz w:val="21"/>
          <w:szCs w:val="21"/>
        </w:rPr>
        <w:t xml:space="preserve"> El ejercicio y desarrollo de la Cultura Física y Deporte en Guanajuato tendrá como base los siguientes principios: </w:t>
      </w:r>
    </w:p>
    <w:p w14:paraId="1E874C1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77DB98F"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cultura ...; </w:t>
      </w:r>
    </w:p>
    <w:p w14:paraId="3D44822F" w14:textId="71FF9800" w:rsidR="003E7F94" w:rsidRPr="003E7F94" w:rsidRDefault="003E7F94" w:rsidP="0010788C">
      <w:pPr>
        <w:spacing w:line="259" w:lineRule="auto"/>
        <w:ind w:left="142" w:firstLine="60"/>
        <w:jc w:val="both"/>
        <w:rPr>
          <w:rFonts w:ascii="Abadi" w:hAnsi="Abadi"/>
          <w:sz w:val="21"/>
          <w:szCs w:val="21"/>
        </w:rPr>
      </w:pPr>
    </w:p>
    <w:p w14:paraId="084319BF"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cultura física...; </w:t>
      </w:r>
    </w:p>
    <w:p w14:paraId="113F719B" w14:textId="75773D72" w:rsidR="003E7F94" w:rsidRPr="003E7F94" w:rsidRDefault="003E7F94" w:rsidP="0010788C">
      <w:pPr>
        <w:spacing w:line="259" w:lineRule="auto"/>
        <w:ind w:left="142" w:firstLine="60"/>
        <w:jc w:val="both"/>
        <w:rPr>
          <w:rFonts w:ascii="Abadi" w:hAnsi="Abadi"/>
          <w:sz w:val="21"/>
          <w:szCs w:val="21"/>
        </w:rPr>
      </w:pPr>
    </w:p>
    <w:p w14:paraId="49F60A25"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El derecho...; </w:t>
      </w:r>
    </w:p>
    <w:p w14:paraId="7EF0082D" w14:textId="7A7D2B95" w:rsidR="003E7F94" w:rsidRPr="003E7F94" w:rsidRDefault="003E7F94" w:rsidP="0010788C">
      <w:pPr>
        <w:spacing w:line="259" w:lineRule="auto"/>
        <w:ind w:left="142" w:firstLine="60"/>
        <w:jc w:val="both"/>
        <w:rPr>
          <w:rFonts w:ascii="Abadi" w:hAnsi="Abadi"/>
          <w:sz w:val="21"/>
          <w:szCs w:val="21"/>
        </w:rPr>
      </w:pPr>
    </w:p>
    <w:p w14:paraId="5976A546"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Los programas...; </w:t>
      </w:r>
    </w:p>
    <w:p w14:paraId="37AF633E" w14:textId="2EFDE5FF" w:rsidR="003E7F94" w:rsidRPr="003E7F94" w:rsidRDefault="003E7F94" w:rsidP="0010788C">
      <w:pPr>
        <w:spacing w:line="259" w:lineRule="auto"/>
        <w:ind w:left="142" w:firstLine="60"/>
        <w:jc w:val="both"/>
        <w:rPr>
          <w:rFonts w:ascii="Abadi" w:hAnsi="Abadi"/>
          <w:sz w:val="21"/>
          <w:szCs w:val="21"/>
        </w:rPr>
      </w:pPr>
    </w:p>
    <w:p w14:paraId="5E7F222E"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enseñanza...; </w:t>
      </w:r>
    </w:p>
    <w:p w14:paraId="4E4F24B0" w14:textId="5D6D2CA5" w:rsidR="003E7F94" w:rsidRPr="003E7F94" w:rsidRDefault="003E7F94" w:rsidP="0010788C">
      <w:pPr>
        <w:spacing w:line="259" w:lineRule="auto"/>
        <w:ind w:left="142" w:firstLine="60"/>
        <w:jc w:val="both"/>
        <w:rPr>
          <w:rFonts w:ascii="Abadi" w:hAnsi="Abadi"/>
          <w:sz w:val="21"/>
          <w:szCs w:val="21"/>
        </w:rPr>
      </w:pPr>
    </w:p>
    <w:p w14:paraId="4D3F55F1"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Para el desarrollo...; </w:t>
      </w:r>
    </w:p>
    <w:p w14:paraId="11D0EEDF" w14:textId="40569AF2" w:rsidR="003E7F94" w:rsidRPr="003E7F94" w:rsidRDefault="003E7F94" w:rsidP="0010788C">
      <w:pPr>
        <w:spacing w:line="259" w:lineRule="auto"/>
        <w:ind w:left="142" w:firstLine="60"/>
        <w:jc w:val="both"/>
        <w:rPr>
          <w:rFonts w:ascii="Abadi" w:hAnsi="Abadi"/>
          <w:sz w:val="21"/>
          <w:szCs w:val="21"/>
        </w:rPr>
      </w:pPr>
    </w:p>
    <w:p w14:paraId="17689F34"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investigación...; </w:t>
      </w:r>
    </w:p>
    <w:p w14:paraId="23B05E97" w14:textId="55830A0F" w:rsidR="003E7F94" w:rsidRPr="003E7F94" w:rsidRDefault="003E7F94" w:rsidP="0010788C">
      <w:pPr>
        <w:spacing w:line="259" w:lineRule="auto"/>
        <w:ind w:left="142" w:firstLine="60"/>
        <w:jc w:val="both"/>
        <w:rPr>
          <w:rFonts w:ascii="Abadi" w:hAnsi="Abadi"/>
          <w:sz w:val="21"/>
          <w:szCs w:val="21"/>
        </w:rPr>
      </w:pPr>
    </w:p>
    <w:p w14:paraId="40299262"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Las instituciones...; </w:t>
      </w:r>
    </w:p>
    <w:p w14:paraId="15E1970A"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distinción...; </w:t>
      </w:r>
    </w:p>
    <w:p w14:paraId="0A6C2185" w14:textId="1F25BA9E" w:rsidR="003E7F94" w:rsidRPr="003E7F94" w:rsidRDefault="003E7F94" w:rsidP="0010788C">
      <w:pPr>
        <w:spacing w:line="259" w:lineRule="auto"/>
        <w:ind w:left="142" w:firstLine="60"/>
        <w:jc w:val="both"/>
        <w:rPr>
          <w:rFonts w:ascii="Abadi" w:hAnsi="Abadi"/>
          <w:sz w:val="21"/>
          <w:szCs w:val="21"/>
        </w:rPr>
      </w:pPr>
    </w:p>
    <w:p w14:paraId="714E9858"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El desarrollo...; </w:t>
      </w:r>
    </w:p>
    <w:p w14:paraId="6F376E8A" w14:textId="0574F8B9" w:rsidR="003E7F94" w:rsidRPr="003E7F94" w:rsidRDefault="003E7F94" w:rsidP="0010788C">
      <w:pPr>
        <w:spacing w:line="259" w:lineRule="auto"/>
        <w:ind w:left="142" w:firstLine="60"/>
        <w:jc w:val="both"/>
        <w:rPr>
          <w:rFonts w:ascii="Abadi" w:hAnsi="Abadi"/>
          <w:sz w:val="21"/>
          <w:szCs w:val="21"/>
        </w:rPr>
      </w:pPr>
    </w:p>
    <w:p w14:paraId="3C9886AA"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En el desarrollo del deporte...; </w:t>
      </w:r>
    </w:p>
    <w:p w14:paraId="4272FC34" w14:textId="737682F5" w:rsidR="003E7F94" w:rsidRPr="003E7F94" w:rsidRDefault="003E7F94" w:rsidP="0010788C">
      <w:pPr>
        <w:spacing w:line="259" w:lineRule="auto"/>
        <w:ind w:left="142" w:firstLine="60"/>
        <w:jc w:val="both"/>
        <w:rPr>
          <w:rFonts w:ascii="Abadi" w:hAnsi="Abadi"/>
          <w:sz w:val="21"/>
          <w:szCs w:val="21"/>
        </w:rPr>
      </w:pPr>
    </w:p>
    <w:p w14:paraId="50422591"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La existencia...; y </w:t>
      </w:r>
    </w:p>
    <w:p w14:paraId="14A7FAE1" w14:textId="248AE239" w:rsidR="003E7F94" w:rsidRPr="003E7F94" w:rsidRDefault="003E7F94" w:rsidP="0010788C">
      <w:pPr>
        <w:spacing w:line="259" w:lineRule="auto"/>
        <w:ind w:left="569" w:firstLine="60"/>
        <w:jc w:val="both"/>
        <w:rPr>
          <w:rFonts w:ascii="Abadi" w:hAnsi="Abadi"/>
          <w:sz w:val="21"/>
          <w:szCs w:val="21"/>
        </w:rPr>
      </w:pPr>
    </w:p>
    <w:p w14:paraId="0B503CFE" w14:textId="77777777" w:rsidR="003E7F94" w:rsidRPr="003E7F94" w:rsidRDefault="003E7F94" w:rsidP="00BA5FBA">
      <w:pPr>
        <w:numPr>
          <w:ilvl w:val="0"/>
          <w:numId w:val="80"/>
        </w:numPr>
        <w:spacing w:after="8" w:line="250" w:lineRule="auto"/>
        <w:ind w:right="4"/>
        <w:jc w:val="both"/>
        <w:rPr>
          <w:rFonts w:ascii="Abadi" w:hAnsi="Abadi"/>
          <w:sz w:val="21"/>
          <w:szCs w:val="21"/>
        </w:rPr>
      </w:pPr>
      <w:r w:rsidRPr="003E7F94">
        <w:rPr>
          <w:rFonts w:ascii="Abadi" w:hAnsi="Abadi" w:cs="Arial"/>
          <w:b/>
          <w:sz w:val="21"/>
          <w:szCs w:val="21"/>
        </w:rPr>
        <w:t>La cultura física y el deporte desarrollarán</w:t>
      </w:r>
      <w:r w:rsidRPr="003E7F94">
        <w:rPr>
          <w:rFonts w:ascii="Abadi" w:hAnsi="Abadi" w:cs="Arial"/>
          <w:b/>
          <w:color w:val="212529"/>
          <w:sz w:val="21"/>
          <w:szCs w:val="21"/>
        </w:rPr>
        <w:t xml:space="preserve"> mediante la promoción de actividades que permitan la integración y el respeto de todas las personas, con perspectivas de género y de inclusión, así como de protección amplia a sectores vulnerables. </w:t>
      </w:r>
    </w:p>
    <w:p w14:paraId="2040990B" w14:textId="7F1569DD" w:rsidR="003E7F94" w:rsidRPr="003E7F94" w:rsidRDefault="003E7F94" w:rsidP="0010788C">
      <w:pPr>
        <w:spacing w:line="259" w:lineRule="auto"/>
        <w:ind w:left="142" w:firstLine="60"/>
        <w:jc w:val="both"/>
        <w:rPr>
          <w:rFonts w:ascii="Abadi" w:hAnsi="Abadi"/>
          <w:sz w:val="21"/>
          <w:szCs w:val="21"/>
        </w:rPr>
      </w:pPr>
    </w:p>
    <w:p w14:paraId="693BFA62" w14:textId="738B3639" w:rsidR="003E7F94" w:rsidRPr="003E7F94" w:rsidRDefault="003E7F94" w:rsidP="0010788C">
      <w:pPr>
        <w:spacing w:line="259" w:lineRule="auto"/>
        <w:ind w:left="142" w:firstLine="60"/>
        <w:jc w:val="both"/>
        <w:rPr>
          <w:rFonts w:ascii="Abadi" w:hAnsi="Abadi"/>
          <w:sz w:val="21"/>
          <w:szCs w:val="21"/>
        </w:rPr>
      </w:pPr>
    </w:p>
    <w:p w14:paraId="3D017511" w14:textId="77777777" w:rsidR="003E7F94" w:rsidRPr="0010788C" w:rsidRDefault="003E7F94" w:rsidP="00BA5FBA">
      <w:pPr>
        <w:pStyle w:val="Prrafodelista"/>
        <w:numPr>
          <w:ilvl w:val="0"/>
          <w:numId w:val="80"/>
        </w:numPr>
        <w:ind w:right="4"/>
        <w:jc w:val="both"/>
        <w:rPr>
          <w:rFonts w:ascii="Abadi" w:hAnsi="Abadi"/>
          <w:sz w:val="21"/>
          <w:szCs w:val="21"/>
        </w:rPr>
      </w:pPr>
      <w:r w:rsidRPr="0010788C">
        <w:rPr>
          <w:rFonts w:ascii="Abadi" w:hAnsi="Abadi" w:cs="Arial"/>
          <w:b/>
          <w:sz w:val="21"/>
          <w:szCs w:val="21"/>
        </w:rPr>
        <w:t>Artículo 7</w:t>
      </w:r>
      <w:r w:rsidRPr="0010788C">
        <w:rPr>
          <w:rFonts w:ascii="Abadi" w:hAnsi="Abadi"/>
          <w:sz w:val="21"/>
          <w:szCs w:val="21"/>
        </w:rPr>
        <w:t xml:space="preserve">. Le corresponde a la Secretaría de Educación las siguientes atribuciones: </w:t>
      </w:r>
    </w:p>
    <w:p w14:paraId="7BF4E37D" w14:textId="21D764F3" w:rsidR="003E7F94" w:rsidRPr="003E7F94" w:rsidRDefault="003E7F94" w:rsidP="0010788C">
      <w:pPr>
        <w:spacing w:line="259" w:lineRule="auto"/>
        <w:ind w:left="142" w:firstLine="60"/>
        <w:jc w:val="both"/>
        <w:rPr>
          <w:rFonts w:ascii="Abadi" w:hAnsi="Abadi"/>
          <w:sz w:val="21"/>
          <w:szCs w:val="21"/>
        </w:rPr>
      </w:pPr>
    </w:p>
    <w:p w14:paraId="7CC83C33"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Fomentar...  </w:t>
      </w:r>
    </w:p>
    <w:p w14:paraId="28BA723B" w14:textId="5F4887C8" w:rsidR="003E7F94" w:rsidRPr="003E7F94" w:rsidRDefault="003E7F94" w:rsidP="0010788C">
      <w:pPr>
        <w:spacing w:line="259" w:lineRule="auto"/>
        <w:ind w:left="142" w:firstLine="60"/>
        <w:jc w:val="both"/>
        <w:rPr>
          <w:rFonts w:ascii="Abadi" w:hAnsi="Abadi"/>
          <w:sz w:val="21"/>
          <w:szCs w:val="21"/>
        </w:rPr>
      </w:pPr>
    </w:p>
    <w:p w14:paraId="13BD0519"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Promover...; </w:t>
      </w:r>
    </w:p>
    <w:p w14:paraId="55794462" w14:textId="7C8DE4C3" w:rsidR="003E7F94" w:rsidRPr="003E7F94" w:rsidRDefault="003E7F94" w:rsidP="0010788C">
      <w:pPr>
        <w:spacing w:line="259" w:lineRule="auto"/>
        <w:ind w:left="142" w:firstLine="60"/>
        <w:jc w:val="both"/>
        <w:rPr>
          <w:rFonts w:ascii="Abadi" w:hAnsi="Abadi"/>
          <w:sz w:val="21"/>
          <w:szCs w:val="21"/>
        </w:rPr>
      </w:pPr>
    </w:p>
    <w:p w14:paraId="28413533"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Realizar...; </w:t>
      </w:r>
    </w:p>
    <w:p w14:paraId="68A2B7F2" w14:textId="6A8DF643" w:rsidR="003E7F94" w:rsidRPr="003E7F94" w:rsidRDefault="003E7F94" w:rsidP="0010788C">
      <w:pPr>
        <w:spacing w:line="259" w:lineRule="auto"/>
        <w:ind w:left="142" w:firstLine="60"/>
        <w:jc w:val="both"/>
        <w:rPr>
          <w:rFonts w:ascii="Abadi" w:hAnsi="Abadi"/>
          <w:sz w:val="21"/>
          <w:szCs w:val="21"/>
        </w:rPr>
      </w:pPr>
    </w:p>
    <w:p w14:paraId="4577B7A0"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Promover...; </w:t>
      </w:r>
    </w:p>
    <w:p w14:paraId="1CCC4081" w14:textId="632D580E" w:rsidR="003E7F94" w:rsidRPr="003E7F94" w:rsidRDefault="003E7F94" w:rsidP="0010788C">
      <w:pPr>
        <w:spacing w:line="259" w:lineRule="auto"/>
        <w:ind w:left="142" w:firstLine="60"/>
        <w:jc w:val="both"/>
        <w:rPr>
          <w:rFonts w:ascii="Abadi" w:hAnsi="Abadi"/>
          <w:sz w:val="21"/>
          <w:szCs w:val="21"/>
        </w:rPr>
      </w:pPr>
    </w:p>
    <w:p w14:paraId="62D3645C"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Participar...; </w:t>
      </w:r>
    </w:p>
    <w:p w14:paraId="62BE12E8" w14:textId="5D980A9E" w:rsidR="003E7F94" w:rsidRPr="003E7F94" w:rsidRDefault="003E7F94" w:rsidP="0010788C">
      <w:pPr>
        <w:spacing w:line="259" w:lineRule="auto"/>
        <w:ind w:left="142" w:firstLine="60"/>
        <w:jc w:val="both"/>
        <w:rPr>
          <w:rFonts w:ascii="Abadi" w:hAnsi="Abadi"/>
          <w:sz w:val="21"/>
          <w:szCs w:val="21"/>
        </w:rPr>
      </w:pPr>
    </w:p>
    <w:p w14:paraId="30E8474B" w14:textId="77777777" w:rsidR="003E7F94" w:rsidRPr="003E7F94" w:rsidRDefault="003E7F94" w:rsidP="00BA5FBA">
      <w:pPr>
        <w:numPr>
          <w:ilvl w:val="0"/>
          <w:numId w:val="80"/>
        </w:numPr>
        <w:spacing w:after="15" w:line="247" w:lineRule="auto"/>
        <w:ind w:right="4"/>
        <w:jc w:val="both"/>
        <w:rPr>
          <w:rFonts w:ascii="Abadi" w:hAnsi="Abadi"/>
          <w:sz w:val="21"/>
          <w:szCs w:val="21"/>
        </w:rPr>
      </w:pPr>
      <w:r w:rsidRPr="003E7F94">
        <w:rPr>
          <w:rFonts w:ascii="Abadi" w:hAnsi="Abadi"/>
          <w:sz w:val="21"/>
          <w:szCs w:val="21"/>
        </w:rPr>
        <w:t xml:space="preserve">Coordinarse...; </w:t>
      </w:r>
    </w:p>
    <w:p w14:paraId="5A03C922" w14:textId="2CDC4111" w:rsidR="003E7F94" w:rsidRPr="003E7F94" w:rsidRDefault="003E7F94" w:rsidP="0010788C">
      <w:pPr>
        <w:spacing w:after="23" w:line="259" w:lineRule="auto"/>
        <w:ind w:left="142" w:firstLine="60"/>
        <w:jc w:val="both"/>
        <w:rPr>
          <w:rFonts w:ascii="Abadi" w:hAnsi="Abadi"/>
          <w:sz w:val="21"/>
          <w:szCs w:val="21"/>
        </w:rPr>
      </w:pPr>
    </w:p>
    <w:p w14:paraId="5E4802BA" w14:textId="77777777" w:rsidR="003E7F94" w:rsidRPr="003E7F94" w:rsidRDefault="003E7F94" w:rsidP="00BA5FBA">
      <w:pPr>
        <w:numPr>
          <w:ilvl w:val="0"/>
          <w:numId w:val="80"/>
        </w:numPr>
        <w:spacing w:after="171" w:line="249" w:lineRule="auto"/>
        <w:ind w:right="4"/>
        <w:jc w:val="both"/>
        <w:rPr>
          <w:rFonts w:ascii="Abadi" w:hAnsi="Abadi"/>
          <w:sz w:val="21"/>
          <w:szCs w:val="21"/>
        </w:rPr>
      </w:pPr>
      <w:r w:rsidRPr="003E7F94">
        <w:rPr>
          <w:rFonts w:ascii="Abadi" w:hAnsi="Abadi" w:cs="Arial"/>
          <w:b/>
          <w:sz w:val="21"/>
          <w:szCs w:val="21"/>
        </w:rPr>
        <w:t xml:space="preserve">Implementar...  </w:t>
      </w:r>
    </w:p>
    <w:p w14:paraId="0B9D908F" w14:textId="77777777" w:rsidR="003E7F94" w:rsidRPr="003E7F94" w:rsidRDefault="003E7F94" w:rsidP="00BA5FBA">
      <w:pPr>
        <w:numPr>
          <w:ilvl w:val="0"/>
          <w:numId w:val="80"/>
        </w:numPr>
        <w:spacing w:after="168" w:line="249" w:lineRule="auto"/>
        <w:ind w:right="4"/>
        <w:jc w:val="both"/>
        <w:rPr>
          <w:rFonts w:ascii="Abadi" w:hAnsi="Abadi"/>
          <w:sz w:val="21"/>
          <w:szCs w:val="21"/>
        </w:rPr>
      </w:pPr>
      <w:r w:rsidRPr="003E7F94">
        <w:rPr>
          <w:rFonts w:ascii="Abadi" w:hAnsi="Abadi" w:cs="Arial"/>
          <w:b/>
          <w:sz w:val="21"/>
          <w:szCs w:val="21"/>
        </w:rPr>
        <w:t xml:space="preserve">Realizar las acciones para incrementar la integración, la calidad de la cultura física y el deporte en el sector educativo estatal </w:t>
      </w:r>
      <w:r w:rsidRPr="003E7F94">
        <w:rPr>
          <w:rFonts w:ascii="Abadi" w:hAnsi="Abadi" w:cs="Arial"/>
          <w:b/>
          <w:color w:val="212529"/>
          <w:sz w:val="21"/>
          <w:szCs w:val="21"/>
        </w:rPr>
        <w:t xml:space="preserve">con </w:t>
      </w:r>
      <w:r w:rsidRPr="003E7F94">
        <w:rPr>
          <w:rFonts w:ascii="Abadi" w:hAnsi="Abadi" w:cs="Arial"/>
          <w:b/>
          <w:color w:val="212529"/>
          <w:sz w:val="21"/>
          <w:szCs w:val="21"/>
        </w:rPr>
        <w:lastRenderedPageBreak/>
        <w:t>perspectivas de género y de inclusión;</w:t>
      </w:r>
      <w:r w:rsidRPr="003E7F94">
        <w:rPr>
          <w:rFonts w:ascii="Abadi" w:hAnsi="Abadi"/>
          <w:sz w:val="21"/>
          <w:szCs w:val="21"/>
        </w:rPr>
        <w:t xml:space="preserve"> y </w:t>
      </w:r>
    </w:p>
    <w:p w14:paraId="36BF8282"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Las demás que señalen las leyes y disposiciones jurídicas aplicables. </w:t>
      </w:r>
    </w:p>
    <w:p w14:paraId="6BFE96C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0EB638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156090A"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10</w:t>
      </w:r>
      <w:r w:rsidRPr="003E7F94">
        <w:rPr>
          <w:rFonts w:ascii="Abadi" w:hAnsi="Abadi"/>
          <w:sz w:val="21"/>
          <w:szCs w:val="21"/>
        </w:rPr>
        <w:t xml:space="preserve">. Corresponde a los Ayuntamientos: </w:t>
      </w:r>
    </w:p>
    <w:p w14:paraId="5CA573B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2540379"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Establecer...; </w:t>
      </w:r>
    </w:p>
    <w:p w14:paraId="7C162AC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973C465"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Contar...; </w:t>
      </w:r>
    </w:p>
    <w:p w14:paraId="6942483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ED8FA4A"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Diseñar...; </w:t>
      </w:r>
    </w:p>
    <w:p w14:paraId="5506A4F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AF3D838"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Emitir...; </w:t>
      </w:r>
    </w:p>
    <w:p w14:paraId="77BACE8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49230B7"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Establecer...; </w:t>
      </w:r>
    </w:p>
    <w:p w14:paraId="0763B95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7C9344A"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Otorgar...; </w:t>
      </w:r>
    </w:p>
    <w:p w14:paraId="1CE7C8E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3126351"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Gestionar...; </w:t>
      </w:r>
    </w:p>
    <w:p w14:paraId="7378CC6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C466B2D"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Acordar...; </w:t>
      </w:r>
    </w:p>
    <w:p w14:paraId="348A938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349CD4D" w14:textId="77777777" w:rsidR="003E7F94" w:rsidRPr="003E7F94" w:rsidRDefault="003E7F94" w:rsidP="00BA5FBA">
      <w:pPr>
        <w:numPr>
          <w:ilvl w:val="1"/>
          <w:numId w:val="63"/>
        </w:numPr>
        <w:spacing w:after="15" w:line="247" w:lineRule="auto"/>
        <w:ind w:right="4" w:hanging="720"/>
        <w:jc w:val="both"/>
        <w:rPr>
          <w:rFonts w:ascii="Abadi" w:hAnsi="Abadi"/>
          <w:sz w:val="21"/>
          <w:szCs w:val="21"/>
        </w:rPr>
      </w:pPr>
      <w:r w:rsidRPr="003E7F94">
        <w:rPr>
          <w:rFonts w:ascii="Abadi" w:hAnsi="Abadi"/>
          <w:sz w:val="21"/>
          <w:szCs w:val="21"/>
        </w:rPr>
        <w:t xml:space="preserve">Coordinarse...; </w:t>
      </w:r>
    </w:p>
    <w:p w14:paraId="0155CC1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383E613"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Promover...; </w:t>
      </w:r>
    </w:p>
    <w:p w14:paraId="061E3E9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15339E9"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Vigilar...; </w:t>
      </w:r>
    </w:p>
    <w:p w14:paraId="00E1757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46322B3"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Restringir...; </w:t>
      </w:r>
    </w:p>
    <w:p w14:paraId="4A37252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0989B89"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Emitir los lineamientos...; </w:t>
      </w:r>
    </w:p>
    <w:p w14:paraId="3993BF38"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41BA91F"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Acordar...; </w:t>
      </w:r>
    </w:p>
    <w:p w14:paraId="64340C0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BBEA630"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Expedir...; </w:t>
      </w:r>
    </w:p>
    <w:p w14:paraId="1BFA4F0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CB5FC2E"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Integrar...; </w:t>
      </w:r>
    </w:p>
    <w:p w14:paraId="1C98659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D7E8636"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Emitir...; </w:t>
      </w:r>
    </w:p>
    <w:p w14:paraId="19EF811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438F18E"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Atender...; y </w:t>
      </w:r>
    </w:p>
    <w:p w14:paraId="67979B0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E22DEC4" w14:textId="77777777" w:rsidR="003E7F94" w:rsidRPr="003E7F94" w:rsidRDefault="003E7F94" w:rsidP="00BA5FBA">
      <w:pPr>
        <w:numPr>
          <w:ilvl w:val="0"/>
          <w:numId w:val="63"/>
        </w:numPr>
        <w:spacing w:line="249" w:lineRule="auto"/>
        <w:ind w:right="4" w:hanging="360"/>
        <w:jc w:val="both"/>
        <w:rPr>
          <w:rFonts w:ascii="Abadi" w:hAnsi="Abadi"/>
          <w:sz w:val="21"/>
          <w:szCs w:val="21"/>
        </w:rPr>
      </w:pPr>
      <w:r w:rsidRPr="003E7F94">
        <w:rPr>
          <w:rFonts w:ascii="Abadi" w:hAnsi="Abadi" w:cs="Arial"/>
          <w:b/>
          <w:sz w:val="21"/>
          <w:szCs w:val="21"/>
        </w:rPr>
        <w:t xml:space="preserve">Emitir Lineamientos que establezcan las acciones para incrementar la integración, la calidad de la cultura física y el deporte en el Municipio. </w:t>
      </w:r>
    </w:p>
    <w:p w14:paraId="5AC8D7C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660AA736" w14:textId="77777777" w:rsidR="003E7F94" w:rsidRPr="003E7F94" w:rsidRDefault="003E7F94" w:rsidP="00BA5FBA">
      <w:pPr>
        <w:numPr>
          <w:ilvl w:val="0"/>
          <w:numId w:val="63"/>
        </w:numPr>
        <w:spacing w:after="15" w:line="247" w:lineRule="auto"/>
        <w:ind w:right="4" w:hanging="360"/>
        <w:jc w:val="both"/>
        <w:rPr>
          <w:rFonts w:ascii="Abadi" w:hAnsi="Abadi"/>
          <w:sz w:val="21"/>
          <w:szCs w:val="21"/>
        </w:rPr>
      </w:pPr>
      <w:r w:rsidRPr="003E7F94">
        <w:rPr>
          <w:rFonts w:ascii="Abadi" w:hAnsi="Abadi"/>
          <w:sz w:val="21"/>
          <w:szCs w:val="21"/>
        </w:rPr>
        <w:t xml:space="preserve">Las demás... </w:t>
      </w:r>
    </w:p>
    <w:p w14:paraId="41BDAC1E"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2480CB26"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BFE38E2"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11.</w:t>
      </w:r>
      <w:r w:rsidRPr="003E7F94">
        <w:rPr>
          <w:rFonts w:ascii="Abadi" w:hAnsi="Abadi"/>
          <w:sz w:val="21"/>
          <w:szCs w:val="21"/>
        </w:rPr>
        <w:t xml:space="preserve"> Los poderes Legislativo, Ejecutivo y Judicial, así como los organismos autónomos, deberán promover, facilitar y propiciar la práctica de actividades de cultura física y deporte, entre todos sus servidores públicos. </w:t>
      </w:r>
    </w:p>
    <w:p w14:paraId="62D92C43"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083F16A" w14:textId="77777777" w:rsidR="003E7F94" w:rsidRPr="003E7F94" w:rsidRDefault="003E7F94" w:rsidP="003E7F94">
      <w:pPr>
        <w:spacing w:line="249" w:lineRule="auto"/>
        <w:ind w:left="137" w:right="5"/>
        <w:jc w:val="both"/>
        <w:rPr>
          <w:rFonts w:ascii="Abadi" w:hAnsi="Abadi"/>
          <w:sz w:val="21"/>
          <w:szCs w:val="21"/>
        </w:rPr>
      </w:pPr>
      <w:r w:rsidRPr="003E7F94">
        <w:rPr>
          <w:rFonts w:ascii="Abadi" w:hAnsi="Abadi" w:cs="Arial"/>
          <w:b/>
          <w:sz w:val="21"/>
          <w:szCs w:val="21"/>
        </w:rPr>
        <w:t>Debiendo evitar la violencia de género o la discriminación, por orientación sexual o discapacidad, fomentando la integración y la igualdad entre el hombre y la mujer, en cualquier evento de carácter deportivo que lleve a cabo.</w:t>
      </w:r>
      <w:r w:rsidRPr="003E7F94">
        <w:rPr>
          <w:rFonts w:ascii="Abadi" w:hAnsi="Abadi"/>
          <w:sz w:val="21"/>
          <w:szCs w:val="21"/>
        </w:rPr>
        <w:t xml:space="preserve"> </w:t>
      </w:r>
    </w:p>
    <w:p w14:paraId="20D138A4" w14:textId="77777777" w:rsidR="003E7F94" w:rsidRPr="003E7F94" w:rsidRDefault="003E7F94" w:rsidP="003E7F94">
      <w:pPr>
        <w:spacing w:after="159" w:line="259" w:lineRule="auto"/>
        <w:ind w:left="142"/>
        <w:jc w:val="both"/>
        <w:rPr>
          <w:rFonts w:ascii="Abadi" w:hAnsi="Abadi"/>
          <w:sz w:val="21"/>
          <w:szCs w:val="21"/>
        </w:rPr>
      </w:pPr>
      <w:r w:rsidRPr="003E7F94">
        <w:rPr>
          <w:rFonts w:ascii="Abadi" w:hAnsi="Abadi"/>
          <w:sz w:val="21"/>
          <w:szCs w:val="21"/>
        </w:rPr>
        <w:t xml:space="preserve"> </w:t>
      </w:r>
    </w:p>
    <w:p w14:paraId="1576A9D9"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18</w:t>
      </w:r>
      <w:r w:rsidRPr="003E7F94">
        <w:rPr>
          <w:rFonts w:ascii="Abadi" w:hAnsi="Abadi"/>
          <w:sz w:val="21"/>
          <w:szCs w:val="21"/>
        </w:rPr>
        <w:t xml:space="preserve">. La CODE tendrá las siguientes atribuciones: </w:t>
      </w:r>
    </w:p>
    <w:p w14:paraId="045E9B2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C72551F"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Formular...; </w:t>
      </w:r>
    </w:p>
    <w:p w14:paraId="09386413" w14:textId="2F9E3F9A" w:rsidR="003E7F94" w:rsidRPr="003E7F94" w:rsidRDefault="003E7F94" w:rsidP="003E7F94">
      <w:pPr>
        <w:spacing w:line="259" w:lineRule="auto"/>
        <w:ind w:left="142" w:firstLine="60"/>
        <w:jc w:val="both"/>
        <w:rPr>
          <w:rFonts w:ascii="Abadi" w:hAnsi="Abadi"/>
          <w:sz w:val="21"/>
          <w:szCs w:val="21"/>
        </w:rPr>
      </w:pPr>
    </w:p>
    <w:p w14:paraId="5363F043"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Proponer...; </w:t>
      </w:r>
    </w:p>
    <w:p w14:paraId="3C051F7E" w14:textId="64FAB8A8" w:rsidR="003E7F94" w:rsidRPr="003E7F94" w:rsidRDefault="003E7F94" w:rsidP="003E7F94">
      <w:pPr>
        <w:spacing w:line="259" w:lineRule="auto"/>
        <w:ind w:left="142" w:firstLine="60"/>
        <w:jc w:val="both"/>
        <w:rPr>
          <w:rFonts w:ascii="Abadi" w:hAnsi="Abadi"/>
          <w:sz w:val="21"/>
          <w:szCs w:val="21"/>
        </w:rPr>
      </w:pPr>
    </w:p>
    <w:p w14:paraId="2B9606DB"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Impulsar...; </w:t>
      </w:r>
    </w:p>
    <w:p w14:paraId="3591D07B" w14:textId="018AEA57" w:rsidR="003E7F94" w:rsidRPr="003E7F94" w:rsidRDefault="003E7F94" w:rsidP="003E7F94">
      <w:pPr>
        <w:spacing w:line="259" w:lineRule="auto"/>
        <w:ind w:left="142" w:firstLine="60"/>
        <w:jc w:val="both"/>
        <w:rPr>
          <w:rFonts w:ascii="Abadi" w:hAnsi="Abadi"/>
          <w:sz w:val="21"/>
          <w:szCs w:val="21"/>
        </w:rPr>
      </w:pPr>
    </w:p>
    <w:p w14:paraId="35F7DF1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Implementar...; </w:t>
      </w:r>
    </w:p>
    <w:p w14:paraId="013752FA" w14:textId="494CAEE5" w:rsidR="003E7F94" w:rsidRPr="003E7F94" w:rsidRDefault="003E7F94" w:rsidP="003E7F94">
      <w:pPr>
        <w:spacing w:line="259" w:lineRule="auto"/>
        <w:ind w:left="142" w:firstLine="60"/>
        <w:jc w:val="both"/>
        <w:rPr>
          <w:rFonts w:ascii="Abadi" w:hAnsi="Abadi"/>
          <w:sz w:val="21"/>
          <w:szCs w:val="21"/>
        </w:rPr>
      </w:pPr>
    </w:p>
    <w:p w14:paraId="4276E277"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Otorgar...; </w:t>
      </w:r>
    </w:p>
    <w:p w14:paraId="65DAB80F" w14:textId="1DDE763D" w:rsidR="003E7F94" w:rsidRPr="003E7F94" w:rsidRDefault="003E7F94" w:rsidP="003E7F94">
      <w:pPr>
        <w:spacing w:line="259" w:lineRule="auto"/>
        <w:ind w:left="142" w:firstLine="60"/>
        <w:jc w:val="both"/>
        <w:rPr>
          <w:rFonts w:ascii="Abadi" w:hAnsi="Abadi"/>
          <w:sz w:val="21"/>
          <w:szCs w:val="21"/>
        </w:rPr>
      </w:pPr>
    </w:p>
    <w:p w14:paraId="12D41209"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Proponer...; </w:t>
      </w:r>
    </w:p>
    <w:p w14:paraId="6CC49D09" w14:textId="7A6AC871" w:rsidR="003E7F94" w:rsidRPr="003E7F94" w:rsidRDefault="003E7F94" w:rsidP="003E7F94">
      <w:pPr>
        <w:spacing w:line="259" w:lineRule="auto"/>
        <w:ind w:left="142" w:firstLine="60"/>
        <w:jc w:val="both"/>
        <w:rPr>
          <w:rFonts w:ascii="Abadi" w:hAnsi="Abadi"/>
          <w:sz w:val="21"/>
          <w:szCs w:val="21"/>
        </w:rPr>
      </w:pPr>
    </w:p>
    <w:p w14:paraId="4DC96432"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Coordinar...; </w:t>
      </w:r>
    </w:p>
    <w:p w14:paraId="4215AACE" w14:textId="6D987F6C" w:rsidR="003E7F94" w:rsidRPr="003E7F94" w:rsidRDefault="003E7F94" w:rsidP="003E7F94">
      <w:pPr>
        <w:spacing w:line="259" w:lineRule="auto"/>
        <w:ind w:left="142" w:firstLine="60"/>
        <w:jc w:val="both"/>
        <w:rPr>
          <w:rFonts w:ascii="Abadi" w:hAnsi="Abadi"/>
          <w:sz w:val="21"/>
          <w:szCs w:val="21"/>
        </w:rPr>
      </w:pPr>
    </w:p>
    <w:p w14:paraId="5446761A"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w:t>
      </w:r>
    </w:p>
    <w:p w14:paraId="2E2DB869" w14:textId="0E5D537D" w:rsidR="003E7F94" w:rsidRPr="003E7F94" w:rsidRDefault="003E7F94" w:rsidP="003E7F94">
      <w:pPr>
        <w:spacing w:line="259" w:lineRule="auto"/>
        <w:ind w:left="142" w:firstLine="60"/>
        <w:jc w:val="both"/>
        <w:rPr>
          <w:rFonts w:ascii="Abadi" w:hAnsi="Abadi"/>
          <w:sz w:val="21"/>
          <w:szCs w:val="21"/>
        </w:rPr>
      </w:pPr>
    </w:p>
    <w:p w14:paraId="2B085C61"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Difundir...; </w:t>
      </w:r>
    </w:p>
    <w:p w14:paraId="7ACCAC9B" w14:textId="2D58A2A0" w:rsidR="003E7F94" w:rsidRPr="003E7F94" w:rsidRDefault="003E7F94" w:rsidP="003E7F94">
      <w:pPr>
        <w:spacing w:line="259" w:lineRule="auto"/>
        <w:ind w:left="142" w:firstLine="60"/>
        <w:jc w:val="both"/>
        <w:rPr>
          <w:rFonts w:ascii="Abadi" w:hAnsi="Abadi"/>
          <w:sz w:val="21"/>
          <w:szCs w:val="21"/>
        </w:rPr>
      </w:pPr>
    </w:p>
    <w:p w14:paraId="1906BF6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w:t>
      </w:r>
    </w:p>
    <w:p w14:paraId="32EAA206" w14:textId="3C63A127" w:rsidR="003E7F94" w:rsidRPr="003E7F94" w:rsidRDefault="003E7F94" w:rsidP="003E7F94">
      <w:pPr>
        <w:spacing w:line="259" w:lineRule="auto"/>
        <w:ind w:left="142" w:firstLine="60"/>
        <w:jc w:val="both"/>
        <w:rPr>
          <w:rFonts w:ascii="Abadi" w:hAnsi="Abadi"/>
          <w:sz w:val="21"/>
          <w:szCs w:val="21"/>
        </w:rPr>
      </w:pPr>
    </w:p>
    <w:p w14:paraId="6E568975"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Coordinar...; </w:t>
      </w:r>
    </w:p>
    <w:p w14:paraId="08E44013" w14:textId="552A2484" w:rsidR="003E7F94" w:rsidRPr="003E7F94" w:rsidRDefault="003E7F94" w:rsidP="003E7F94">
      <w:pPr>
        <w:spacing w:line="259" w:lineRule="auto"/>
        <w:ind w:left="142" w:firstLine="60"/>
        <w:jc w:val="both"/>
        <w:rPr>
          <w:rFonts w:ascii="Abadi" w:hAnsi="Abadi"/>
          <w:sz w:val="21"/>
          <w:szCs w:val="21"/>
        </w:rPr>
      </w:pPr>
    </w:p>
    <w:p w14:paraId="377AC20A"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Difundir...; </w:t>
      </w:r>
    </w:p>
    <w:p w14:paraId="7B72C8C1" w14:textId="4CC7C381" w:rsidR="003E7F94" w:rsidRPr="003E7F94" w:rsidRDefault="003E7F94" w:rsidP="003E7F94">
      <w:pPr>
        <w:spacing w:line="259" w:lineRule="auto"/>
        <w:ind w:left="142" w:firstLine="60"/>
        <w:jc w:val="both"/>
        <w:rPr>
          <w:rFonts w:ascii="Abadi" w:hAnsi="Abadi"/>
          <w:sz w:val="21"/>
          <w:szCs w:val="21"/>
        </w:rPr>
      </w:pPr>
    </w:p>
    <w:p w14:paraId="7D8C8D1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Vigilar...; </w:t>
      </w:r>
    </w:p>
    <w:p w14:paraId="140EC597" w14:textId="26A406C1" w:rsidR="003E7F94" w:rsidRPr="003E7F94" w:rsidRDefault="003E7F94" w:rsidP="003E7F94">
      <w:pPr>
        <w:spacing w:line="259" w:lineRule="auto"/>
        <w:ind w:left="142" w:firstLine="60"/>
        <w:jc w:val="both"/>
        <w:rPr>
          <w:rFonts w:ascii="Abadi" w:hAnsi="Abadi"/>
          <w:sz w:val="21"/>
          <w:szCs w:val="21"/>
        </w:rPr>
      </w:pPr>
    </w:p>
    <w:p w14:paraId="15BEF7EB"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Impulsar...; </w:t>
      </w:r>
    </w:p>
    <w:p w14:paraId="5A399F7A" w14:textId="7DA3DA40" w:rsidR="003E7F94" w:rsidRPr="003E7F94" w:rsidRDefault="003E7F94" w:rsidP="003E7F94">
      <w:pPr>
        <w:spacing w:line="259" w:lineRule="auto"/>
        <w:ind w:left="142" w:firstLine="60"/>
        <w:jc w:val="both"/>
        <w:rPr>
          <w:rFonts w:ascii="Abadi" w:hAnsi="Abadi"/>
          <w:sz w:val="21"/>
          <w:szCs w:val="21"/>
        </w:rPr>
      </w:pPr>
    </w:p>
    <w:p w14:paraId="6FA7F27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Desarrollar...; </w:t>
      </w:r>
    </w:p>
    <w:p w14:paraId="190ED08D" w14:textId="11F8B5AD" w:rsidR="003E7F94" w:rsidRPr="003E7F94" w:rsidRDefault="003E7F94" w:rsidP="003E7F94">
      <w:pPr>
        <w:spacing w:line="259" w:lineRule="auto"/>
        <w:ind w:left="142" w:firstLine="60"/>
        <w:jc w:val="both"/>
        <w:rPr>
          <w:rFonts w:ascii="Abadi" w:hAnsi="Abadi"/>
          <w:sz w:val="21"/>
          <w:szCs w:val="21"/>
        </w:rPr>
      </w:pPr>
    </w:p>
    <w:p w14:paraId="68635F9A"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w:t>
      </w:r>
    </w:p>
    <w:p w14:paraId="4757817E" w14:textId="0D5E5B08" w:rsidR="003E7F94" w:rsidRPr="003E7F94" w:rsidRDefault="003E7F94" w:rsidP="003E7F94">
      <w:pPr>
        <w:spacing w:line="259" w:lineRule="auto"/>
        <w:ind w:left="142" w:firstLine="60"/>
        <w:jc w:val="both"/>
        <w:rPr>
          <w:rFonts w:ascii="Abadi" w:hAnsi="Abadi"/>
          <w:sz w:val="21"/>
          <w:szCs w:val="21"/>
        </w:rPr>
      </w:pPr>
    </w:p>
    <w:p w14:paraId="030FA3DB"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lastRenderedPageBreak/>
        <w:t xml:space="preserve">Promover...; </w:t>
      </w:r>
    </w:p>
    <w:p w14:paraId="0A0DBD50" w14:textId="77D709AF" w:rsidR="003E7F94" w:rsidRPr="003E7F94" w:rsidRDefault="003E7F94" w:rsidP="003E7F94">
      <w:pPr>
        <w:spacing w:line="259" w:lineRule="auto"/>
        <w:ind w:left="142" w:firstLine="60"/>
        <w:jc w:val="both"/>
        <w:rPr>
          <w:rFonts w:ascii="Abadi" w:hAnsi="Abadi"/>
          <w:sz w:val="21"/>
          <w:szCs w:val="21"/>
        </w:rPr>
      </w:pPr>
    </w:p>
    <w:p w14:paraId="4C2454BF"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coordinadamente...; </w:t>
      </w:r>
    </w:p>
    <w:p w14:paraId="28D3F414" w14:textId="0F9B7F3B" w:rsidR="003E7F94" w:rsidRPr="003E7F94" w:rsidRDefault="003E7F94" w:rsidP="003E7F94">
      <w:pPr>
        <w:spacing w:line="259" w:lineRule="auto"/>
        <w:ind w:left="142" w:firstLine="60"/>
        <w:jc w:val="both"/>
        <w:rPr>
          <w:rFonts w:ascii="Abadi" w:hAnsi="Abadi"/>
          <w:sz w:val="21"/>
          <w:szCs w:val="21"/>
        </w:rPr>
      </w:pPr>
    </w:p>
    <w:p w14:paraId="66475F82"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Proponer...; </w:t>
      </w:r>
    </w:p>
    <w:p w14:paraId="5B27D990" w14:textId="5B6CA943" w:rsidR="003E7F94" w:rsidRPr="003E7F94" w:rsidRDefault="003E7F94" w:rsidP="003E7F94">
      <w:pPr>
        <w:spacing w:line="259" w:lineRule="auto"/>
        <w:ind w:left="142" w:firstLine="60"/>
        <w:jc w:val="both"/>
        <w:rPr>
          <w:rFonts w:ascii="Abadi" w:hAnsi="Abadi"/>
          <w:sz w:val="21"/>
          <w:szCs w:val="21"/>
        </w:rPr>
      </w:pPr>
    </w:p>
    <w:p w14:paraId="22D25343"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Certificar...; </w:t>
      </w:r>
    </w:p>
    <w:p w14:paraId="79D10508" w14:textId="72A65D55" w:rsidR="003E7F94" w:rsidRPr="003E7F94" w:rsidRDefault="003E7F94" w:rsidP="003E7F94">
      <w:pPr>
        <w:spacing w:line="259" w:lineRule="auto"/>
        <w:ind w:left="142" w:firstLine="60"/>
        <w:jc w:val="both"/>
        <w:rPr>
          <w:rFonts w:ascii="Abadi" w:hAnsi="Abadi"/>
          <w:sz w:val="21"/>
          <w:szCs w:val="21"/>
        </w:rPr>
      </w:pPr>
    </w:p>
    <w:p w14:paraId="62BAFFFC"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Establecer...; </w:t>
      </w:r>
    </w:p>
    <w:p w14:paraId="3AFB5EF5" w14:textId="73577897" w:rsidR="003E7F94" w:rsidRPr="003E7F94" w:rsidRDefault="003E7F94" w:rsidP="003E7F94">
      <w:pPr>
        <w:spacing w:line="259" w:lineRule="auto"/>
        <w:ind w:left="142" w:firstLine="60"/>
        <w:jc w:val="both"/>
        <w:rPr>
          <w:rFonts w:ascii="Abadi" w:hAnsi="Abadi"/>
          <w:sz w:val="21"/>
          <w:szCs w:val="21"/>
        </w:rPr>
      </w:pPr>
    </w:p>
    <w:p w14:paraId="5876B2DF"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Gestionar...; </w:t>
      </w:r>
    </w:p>
    <w:p w14:paraId="5CB8F4FE" w14:textId="7DBA3CA7" w:rsidR="003E7F94" w:rsidRPr="003E7F94" w:rsidRDefault="003E7F94" w:rsidP="003E7F94">
      <w:pPr>
        <w:spacing w:line="259" w:lineRule="auto"/>
        <w:ind w:left="142" w:firstLine="60"/>
        <w:jc w:val="both"/>
        <w:rPr>
          <w:rFonts w:ascii="Abadi" w:hAnsi="Abadi"/>
          <w:sz w:val="21"/>
          <w:szCs w:val="21"/>
        </w:rPr>
      </w:pPr>
    </w:p>
    <w:p w14:paraId="3E9BA843"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Asesorar...; </w:t>
      </w:r>
    </w:p>
    <w:p w14:paraId="7492F312" w14:textId="6CB5BFFC" w:rsidR="003E7F94" w:rsidRPr="003E7F94" w:rsidRDefault="003E7F94" w:rsidP="003E7F94">
      <w:pPr>
        <w:spacing w:line="259" w:lineRule="auto"/>
        <w:ind w:left="142" w:firstLine="60"/>
        <w:jc w:val="both"/>
        <w:rPr>
          <w:rFonts w:ascii="Abadi" w:hAnsi="Abadi"/>
          <w:sz w:val="21"/>
          <w:szCs w:val="21"/>
        </w:rPr>
      </w:pPr>
    </w:p>
    <w:p w14:paraId="4483E67C"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Implementar...; </w:t>
      </w:r>
    </w:p>
    <w:p w14:paraId="132E0116" w14:textId="1393275A" w:rsidR="003E7F94" w:rsidRPr="003E7F94" w:rsidRDefault="003E7F94" w:rsidP="003E7F94">
      <w:pPr>
        <w:spacing w:line="259" w:lineRule="auto"/>
        <w:ind w:left="142" w:firstLine="60"/>
        <w:jc w:val="both"/>
        <w:rPr>
          <w:rFonts w:ascii="Abadi" w:hAnsi="Abadi"/>
          <w:sz w:val="21"/>
          <w:szCs w:val="21"/>
        </w:rPr>
      </w:pPr>
    </w:p>
    <w:p w14:paraId="66EC5AE4"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Publicar...; </w:t>
      </w:r>
    </w:p>
    <w:p w14:paraId="1467DBFC" w14:textId="0F596477" w:rsidR="003E7F94" w:rsidRPr="003E7F94" w:rsidRDefault="003E7F94" w:rsidP="003E7F94">
      <w:pPr>
        <w:spacing w:line="259" w:lineRule="auto"/>
        <w:ind w:left="142" w:firstLine="60"/>
        <w:jc w:val="both"/>
        <w:rPr>
          <w:rFonts w:ascii="Abadi" w:hAnsi="Abadi"/>
          <w:sz w:val="21"/>
          <w:szCs w:val="21"/>
        </w:rPr>
      </w:pPr>
    </w:p>
    <w:p w14:paraId="6F6F0F63"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Cumplir...; </w:t>
      </w:r>
    </w:p>
    <w:p w14:paraId="12AE35B0" w14:textId="736FE89E" w:rsidR="003E7F94" w:rsidRPr="003E7F94" w:rsidRDefault="003E7F94" w:rsidP="003E7F94">
      <w:pPr>
        <w:spacing w:line="259" w:lineRule="auto"/>
        <w:ind w:left="142" w:firstLine="60"/>
        <w:jc w:val="both"/>
        <w:rPr>
          <w:rFonts w:ascii="Abadi" w:hAnsi="Abadi"/>
          <w:sz w:val="21"/>
          <w:szCs w:val="21"/>
        </w:rPr>
      </w:pPr>
    </w:p>
    <w:p w14:paraId="404E69F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Integrar...; </w:t>
      </w:r>
    </w:p>
    <w:p w14:paraId="1B4512F0" w14:textId="273BE8DD" w:rsidR="003E7F94" w:rsidRPr="003E7F94" w:rsidRDefault="003E7F94" w:rsidP="003E7F94">
      <w:pPr>
        <w:spacing w:line="259" w:lineRule="auto"/>
        <w:ind w:left="142" w:firstLine="60"/>
        <w:jc w:val="both"/>
        <w:rPr>
          <w:rFonts w:ascii="Abadi" w:hAnsi="Abadi"/>
          <w:sz w:val="21"/>
          <w:szCs w:val="21"/>
        </w:rPr>
      </w:pPr>
    </w:p>
    <w:p w14:paraId="43F4369D"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Asesorar...; </w:t>
      </w:r>
    </w:p>
    <w:p w14:paraId="0ADFEC12" w14:textId="40613CAE" w:rsidR="003E7F94" w:rsidRPr="003E7F94" w:rsidRDefault="003E7F94" w:rsidP="003E7F94">
      <w:pPr>
        <w:spacing w:line="259" w:lineRule="auto"/>
        <w:ind w:left="142" w:firstLine="60"/>
        <w:jc w:val="both"/>
        <w:rPr>
          <w:rFonts w:ascii="Abadi" w:hAnsi="Abadi"/>
          <w:sz w:val="21"/>
          <w:szCs w:val="21"/>
        </w:rPr>
      </w:pPr>
    </w:p>
    <w:p w14:paraId="4B702982"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Establecer...; </w:t>
      </w:r>
    </w:p>
    <w:p w14:paraId="28F53832" w14:textId="6D61A33E" w:rsidR="003E7F94" w:rsidRPr="003E7F94" w:rsidRDefault="003E7F94" w:rsidP="003E7F94">
      <w:pPr>
        <w:spacing w:line="259" w:lineRule="auto"/>
        <w:ind w:left="142" w:firstLine="60"/>
        <w:jc w:val="both"/>
        <w:rPr>
          <w:rFonts w:ascii="Abadi" w:hAnsi="Abadi"/>
          <w:sz w:val="21"/>
          <w:szCs w:val="21"/>
        </w:rPr>
      </w:pPr>
    </w:p>
    <w:p w14:paraId="62799314"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y fomentar...; </w:t>
      </w:r>
    </w:p>
    <w:p w14:paraId="6D0C59F4" w14:textId="55C07F07" w:rsidR="003E7F94" w:rsidRPr="003E7F94" w:rsidRDefault="003E7F94" w:rsidP="003E7F94">
      <w:pPr>
        <w:spacing w:line="259" w:lineRule="auto"/>
        <w:ind w:left="142" w:firstLine="60"/>
        <w:jc w:val="both"/>
        <w:rPr>
          <w:rFonts w:ascii="Abadi" w:hAnsi="Abadi"/>
          <w:sz w:val="21"/>
          <w:szCs w:val="21"/>
        </w:rPr>
      </w:pPr>
    </w:p>
    <w:p w14:paraId="0DE3D0DE"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Promover programas...; </w:t>
      </w:r>
    </w:p>
    <w:p w14:paraId="77D0856C" w14:textId="54D612F9" w:rsidR="003E7F94" w:rsidRPr="003E7F94" w:rsidRDefault="003E7F94" w:rsidP="003E7F94">
      <w:pPr>
        <w:spacing w:line="259" w:lineRule="auto"/>
        <w:ind w:left="142" w:firstLine="60"/>
        <w:jc w:val="both"/>
        <w:rPr>
          <w:rFonts w:ascii="Abadi" w:hAnsi="Abadi"/>
          <w:sz w:val="21"/>
          <w:szCs w:val="21"/>
        </w:rPr>
      </w:pPr>
    </w:p>
    <w:p w14:paraId="159B89F5" w14:textId="77777777" w:rsidR="003E7F94" w:rsidRPr="003E7F94" w:rsidRDefault="003E7F94" w:rsidP="00BA5FBA">
      <w:pPr>
        <w:numPr>
          <w:ilvl w:val="0"/>
          <w:numId w:val="79"/>
        </w:numPr>
        <w:spacing w:after="15" w:line="247" w:lineRule="auto"/>
        <w:ind w:right="4" w:hanging="880"/>
        <w:jc w:val="both"/>
        <w:rPr>
          <w:rFonts w:ascii="Abadi" w:hAnsi="Abadi"/>
          <w:sz w:val="21"/>
          <w:szCs w:val="21"/>
        </w:rPr>
      </w:pPr>
      <w:r w:rsidRPr="003E7F94">
        <w:rPr>
          <w:rFonts w:ascii="Abadi" w:hAnsi="Abadi"/>
          <w:sz w:val="21"/>
          <w:szCs w:val="21"/>
        </w:rPr>
        <w:t xml:space="preserve">Realizar...; y </w:t>
      </w:r>
    </w:p>
    <w:p w14:paraId="0B082A17" w14:textId="33A2B5B9" w:rsidR="003E7F94" w:rsidRPr="003E7F94" w:rsidRDefault="003E7F94" w:rsidP="003E7F94">
      <w:pPr>
        <w:spacing w:line="259" w:lineRule="auto"/>
        <w:ind w:left="142" w:firstLine="60"/>
        <w:jc w:val="both"/>
        <w:rPr>
          <w:rFonts w:ascii="Abadi" w:hAnsi="Abadi"/>
          <w:sz w:val="21"/>
          <w:szCs w:val="21"/>
        </w:rPr>
      </w:pPr>
    </w:p>
    <w:p w14:paraId="53435CAB" w14:textId="77777777" w:rsidR="003E7F94" w:rsidRPr="003E7F94" w:rsidRDefault="003E7F94" w:rsidP="00BA5FBA">
      <w:pPr>
        <w:numPr>
          <w:ilvl w:val="0"/>
          <w:numId w:val="64"/>
        </w:numPr>
        <w:spacing w:after="15" w:line="247" w:lineRule="auto"/>
        <w:ind w:right="4" w:hanging="880"/>
        <w:jc w:val="both"/>
        <w:rPr>
          <w:rFonts w:ascii="Abadi" w:hAnsi="Abadi"/>
          <w:sz w:val="21"/>
          <w:szCs w:val="21"/>
        </w:rPr>
      </w:pPr>
      <w:r w:rsidRPr="003E7F94">
        <w:rPr>
          <w:rFonts w:ascii="Abadi" w:hAnsi="Abadi"/>
          <w:sz w:val="21"/>
          <w:szCs w:val="21"/>
        </w:rPr>
        <w:t xml:space="preserve">Las demás que señalen las leyes y disposiciones jurídicas aplicables. </w:t>
      </w:r>
    </w:p>
    <w:p w14:paraId="5A46DB5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B58B26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4C0FC8C" w14:textId="77777777" w:rsidR="003E7F94" w:rsidRPr="0049186B" w:rsidRDefault="003E7F94" w:rsidP="003E7F94">
      <w:pPr>
        <w:spacing w:after="168" w:line="249" w:lineRule="auto"/>
        <w:ind w:left="137" w:right="5"/>
        <w:jc w:val="both"/>
        <w:rPr>
          <w:rFonts w:ascii="Abadi" w:hAnsi="Abadi"/>
          <w:bCs/>
          <w:sz w:val="21"/>
          <w:szCs w:val="21"/>
        </w:rPr>
      </w:pPr>
      <w:r w:rsidRPr="0049186B">
        <w:rPr>
          <w:rFonts w:ascii="Abadi" w:hAnsi="Abadi" w:cs="Arial"/>
          <w:bCs/>
          <w:sz w:val="21"/>
          <w:szCs w:val="21"/>
        </w:rPr>
        <w:t>Los reconocimientos, créditos y apoyos a que se refieren las fracción V, XVI y XXX de este artículo no se otorgarán cuando las personas físicas o morales que cuenten sentencia firme por la comisión intencional de delitos contra la vida y la integridad corporal; contra la libertad y seguridad sexual, el normal desarrollo psicosexual; por violencia familiar, violencia familiar equiparada o doméstica, violación a la intimidad sexual; por violencia política contra las mujeres en razón de género, en cualquiera de sus modalidades y tipos, o a quienes hayan sido</w:t>
      </w:r>
      <w:r w:rsidRPr="0049186B">
        <w:rPr>
          <w:rFonts w:ascii="Abadi" w:hAnsi="Abadi" w:cs="Arial"/>
          <w:bCs/>
          <w:i/>
          <w:sz w:val="21"/>
          <w:szCs w:val="21"/>
        </w:rPr>
        <w:t xml:space="preserve"> </w:t>
      </w:r>
      <w:r w:rsidRPr="0049186B">
        <w:rPr>
          <w:rFonts w:ascii="Abadi" w:hAnsi="Abadi" w:cs="Arial"/>
          <w:bCs/>
          <w:sz w:val="21"/>
          <w:szCs w:val="21"/>
        </w:rPr>
        <w:t xml:space="preserve">declaradas como personas deudoras alimentarias morosas. </w:t>
      </w:r>
    </w:p>
    <w:p w14:paraId="3AA56CB0"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bCs/>
          <w:sz w:val="21"/>
          <w:szCs w:val="21"/>
        </w:rPr>
        <w:t xml:space="preserve"> </w:t>
      </w:r>
    </w:p>
    <w:p w14:paraId="77477001" w14:textId="77777777" w:rsidR="003E7F94" w:rsidRPr="0049186B" w:rsidRDefault="003E7F94" w:rsidP="003E7F94">
      <w:pPr>
        <w:ind w:left="137" w:right="4"/>
        <w:jc w:val="both"/>
        <w:rPr>
          <w:rFonts w:ascii="Abadi" w:hAnsi="Abadi"/>
          <w:bCs/>
          <w:sz w:val="21"/>
          <w:szCs w:val="21"/>
        </w:rPr>
      </w:pPr>
      <w:r w:rsidRPr="0049186B">
        <w:rPr>
          <w:rFonts w:ascii="Abadi" w:hAnsi="Abadi" w:cs="Arial"/>
          <w:bCs/>
          <w:sz w:val="21"/>
          <w:szCs w:val="21"/>
        </w:rPr>
        <w:t>Artículo 25</w:t>
      </w:r>
      <w:r w:rsidRPr="0049186B">
        <w:rPr>
          <w:rFonts w:ascii="Abadi" w:hAnsi="Abadi"/>
          <w:bCs/>
          <w:sz w:val="21"/>
          <w:szCs w:val="21"/>
        </w:rPr>
        <w:t xml:space="preserve">. El Consejo Directivo tendrá las siguientes facultades: </w:t>
      </w:r>
    </w:p>
    <w:p w14:paraId="0AA0CEED"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bCs/>
          <w:sz w:val="21"/>
          <w:szCs w:val="21"/>
        </w:rPr>
        <w:t xml:space="preserve"> </w:t>
      </w:r>
    </w:p>
    <w:p w14:paraId="562F179D"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Analizar y aprobar...; </w:t>
      </w:r>
    </w:p>
    <w:p w14:paraId="67A9C0BE" w14:textId="58D8FDEF" w:rsidR="003E7F94" w:rsidRPr="0049186B" w:rsidRDefault="003E7F94" w:rsidP="003E7F94">
      <w:pPr>
        <w:spacing w:line="259" w:lineRule="auto"/>
        <w:ind w:left="142" w:firstLine="60"/>
        <w:jc w:val="both"/>
        <w:rPr>
          <w:rFonts w:ascii="Abadi" w:hAnsi="Abadi"/>
          <w:bCs/>
          <w:sz w:val="21"/>
          <w:szCs w:val="21"/>
        </w:rPr>
      </w:pPr>
    </w:p>
    <w:p w14:paraId="765429A3"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Aprobar...; </w:t>
      </w:r>
    </w:p>
    <w:p w14:paraId="15CE52A5" w14:textId="17929CE2" w:rsidR="003E7F94" w:rsidRPr="0049186B" w:rsidRDefault="003E7F94" w:rsidP="003E7F94">
      <w:pPr>
        <w:spacing w:line="259" w:lineRule="auto"/>
        <w:ind w:left="142" w:firstLine="60"/>
        <w:jc w:val="both"/>
        <w:rPr>
          <w:rFonts w:ascii="Abadi" w:hAnsi="Abadi"/>
          <w:bCs/>
          <w:sz w:val="21"/>
          <w:szCs w:val="21"/>
        </w:rPr>
      </w:pPr>
    </w:p>
    <w:p w14:paraId="2745444F"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Analizar...; </w:t>
      </w:r>
    </w:p>
    <w:p w14:paraId="275A3F4D" w14:textId="6E994285" w:rsidR="003E7F94" w:rsidRPr="0049186B" w:rsidRDefault="003E7F94" w:rsidP="003E7F94">
      <w:pPr>
        <w:spacing w:line="259" w:lineRule="auto"/>
        <w:ind w:left="142" w:firstLine="60"/>
        <w:jc w:val="both"/>
        <w:rPr>
          <w:rFonts w:ascii="Abadi" w:hAnsi="Abadi"/>
          <w:bCs/>
          <w:sz w:val="21"/>
          <w:szCs w:val="21"/>
        </w:rPr>
      </w:pPr>
    </w:p>
    <w:p w14:paraId="4C3B3414"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Proponer...; </w:t>
      </w:r>
    </w:p>
    <w:p w14:paraId="1649CB92" w14:textId="0899DFE8" w:rsidR="003E7F94" w:rsidRPr="0049186B" w:rsidRDefault="003E7F94" w:rsidP="003E7F94">
      <w:pPr>
        <w:spacing w:line="259" w:lineRule="auto"/>
        <w:ind w:left="142" w:firstLine="60"/>
        <w:jc w:val="both"/>
        <w:rPr>
          <w:rFonts w:ascii="Abadi" w:hAnsi="Abadi"/>
          <w:bCs/>
          <w:sz w:val="21"/>
          <w:szCs w:val="21"/>
        </w:rPr>
      </w:pPr>
    </w:p>
    <w:p w14:paraId="28134D86"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Autorizar...; </w:t>
      </w:r>
    </w:p>
    <w:p w14:paraId="0791CAFA" w14:textId="122F76DD" w:rsidR="003E7F94" w:rsidRPr="0049186B" w:rsidRDefault="003E7F94" w:rsidP="003E7F94">
      <w:pPr>
        <w:spacing w:line="259" w:lineRule="auto"/>
        <w:ind w:left="142" w:firstLine="60"/>
        <w:jc w:val="both"/>
        <w:rPr>
          <w:rFonts w:ascii="Abadi" w:hAnsi="Abadi"/>
          <w:bCs/>
          <w:sz w:val="21"/>
          <w:szCs w:val="21"/>
        </w:rPr>
      </w:pPr>
    </w:p>
    <w:p w14:paraId="7F247C42"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Aprobar...; </w:t>
      </w:r>
    </w:p>
    <w:p w14:paraId="35BFECF5" w14:textId="41EFBCE0" w:rsidR="003E7F94" w:rsidRPr="0049186B" w:rsidRDefault="003E7F94" w:rsidP="003E7F94">
      <w:pPr>
        <w:spacing w:line="259" w:lineRule="auto"/>
        <w:ind w:left="142" w:firstLine="60"/>
        <w:jc w:val="both"/>
        <w:rPr>
          <w:rFonts w:ascii="Abadi" w:hAnsi="Abadi"/>
          <w:bCs/>
          <w:sz w:val="21"/>
          <w:szCs w:val="21"/>
        </w:rPr>
      </w:pPr>
    </w:p>
    <w:p w14:paraId="1EF24BF2"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Autorizar la práctica...; </w:t>
      </w:r>
    </w:p>
    <w:p w14:paraId="50584DB1" w14:textId="252DA6E2" w:rsidR="003E7F94" w:rsidRPr="0049186B" w:rsidRDefault="003E7F94" w:rsidP="003E7F94">
      <w:pPr>
        <w:spacing w:line="259" w:lineRule="auto"/>
        <w:ind w:left="142" w:firstLine="60"/>
        <w:jc w:val="both"/>
        <w:rPr>
          <w:rFonts w:ascii="Abadi" w:hAnsi="Abadi"/>
          <w:bCs/>
          <w:sz w:val="21"/>
          <w:szCs w:val="21"/>
        </w:rPr>
      </w:pPr>
    </w:p>
    <w:p w14:paraId="66A963C7"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Autorizar actos...; </w:t>
      </w:r>
    </w:p>
    <w:p w14:paraId="0B65B964" w14:textId="6367E6D8" w:rsidR="003E7F94" w:rsidRPr="0049186B" w:rsidRDefault="003E7F94" w:rsidP="003E7F94">
      <w:pPr>
        <w:spacing w:line="259" w:lineRule="auto"/>
        <w:ind w:left="142" w:firstLine="60"/>
        <w:jc w:val="both"/>
        <w:rPr>
          <w:rFonts w:ascii="Abadi" w:hAnsi="Abadi"/>
          <w:bCs/>
          <w:sz w:val="21"/>
          <w:szCs w:val="21"/>
        </w:rPr>
      </w:pPr>
    </w:p>
    <w:p w14:paraId="5885DA9D"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Aprobar la creación...; </w:t>
      </w:r>
    </w:p>
    <w:p w14:paraId="22209619" w14:textId="240FD5E5" w:rsidR="003E7F94" w:rsidRPr="0049186B" w:rsidRDefault="003E7F94" w:rsidP="003E7F94">
      <w:pPr>
        <w:spacing w:line="259" w:lineRule="auto"/>
        <w:ind w:left="142" w:firstLine="60"/>
        <w:jc w:val="both"/>
        <w:rPr>
          <w:rFonts w:ascii="Abadi" w:hAnsi="Abadi"/>
          <w:bCs/>
          <w:sz w:val="21"/>
          <w:szCs w:val="21"/>
        </w:rPr>
      </w:pPr>
    </w:p>
    <w:p w14:paraId="572B077C"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Diseñar...; </w:t>
      </w:r>
    </w:p>
    <w:p w14:paraId="28CB080D" w14:textId="0E8D7B7A" w:rsidR="003E7F94" w:rsidRPr="0049186B" w:rsidRDefault="003E7F94" w:rsidP="003E7F94">
      <w:pPr>
        <w:spacing w:line="259" w:lineRule="auto"/>
        <w:ind w:left="142" w:firstLine="60"/>
        <w:jc w:val="both"/>
        <w:rPr>
          <w:rFonts w:ascii="Abadi" w:hAnsi="Abadi"/>
          <w:bCs/>
          <w:sz w:val="21"/>
          <w:szCs w:val="21"/>
        </w:rPr>
      </w:pPr>
    </w:p>
    <w:p w14:paraId="100092B3"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Instalar...; </w:t>
      </w:r>
    </w:p>
    <w:p w14:paraId="01088472" w14:textId="64C69D28" w:rsidR="003E7F94" w:rsidRPr="0049186B" w:rsidRDefault="003E7F94" w:rsidP="003E7F94">
      <w:pPr>
        <w:spacing w:line="259" w:lineRule="auto"/>
        <w:ind w:left="142" w:firstLine="60"/>
        <w:jc w:val="both"/>
        <w:rPr>
          <w:rFonts w:ascii="Abadi" w:hAnsi="Abadi"/>
          <w:bCs/>
          <w:sz w:val="21"/>
          <w:szCs w:val="21"/>
        </w:rPr>
      </w:pPr>
    </w:p>
    <w:p w14:paraId="3ECDAB5B"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Estudiar...; </w:t>
      </w:r>
    </w:p>
    <w:p w14:paraId="7333A6C3" w14:textId="3287FD52" w:rsidR="003E7F94" w:rsidRPr="0049186B" w:rsidRDefault="003E7F94" w:rsidP="003E7F94">
      <w:pPr>
        <w:spacing w:line="259" w:lineRule="auto"/>
        <w:ind w:left="142" w:firstLine="60"/>
        <w:jc w:val="both"/>
        <w:rPr>
          <w:rFonts w:ascii="Abadi" w:hAnsi="Abadi"/>
          <w:bCs/>
          <w:sz w:val="21"/>
          <w:szCs w:val="21"/>
        </w:rPr>
      </w:pPr>
    </w:p>
    <w:p w14:paraId="1F9170F1"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Aprobar el ingreso...; </w:t>
      </w:r>
    </w:p>
    <w:p w14:paraId="29A688D2" w14:textId="260DFAF2" w:rsidR="003E7F94" w:rsidRPr="0049186B" w:rsidRDefault="003E7F94" w:rsidP="003E7F94">
      <w:pPr>
        <w:spacing w:line="259" w:lineRule="auto"/>
        <w:ind w:left="142" w:firstLine="60"/>
        <w:jc w:val="both"/>
        <w:rPr>
          <w:rFonts w:ascii="Abadi" w:hAnsi="Abadi"/>
          <w:bCs/>
          <w:sz w:val="21"/>
          <w:szCs w:val="21"/>
        </w:rPr>
      </w:pPr>
    </w:p>
    <w:p w14:paraId="74DBADC3"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Proponer...; </w:t>
      </w:r>
    </w:p>
    <w:p w14:paraId="2AA60B00"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Aprobar...; y </w:t>
      </w:r>
    </w:p>
    <w:p w14:paraId="3F00CDE6" w14:textId="0160ECAF" w:rsidR="003E7F94" w:rsidRPr="0049186B" w:rsidRDefault="003E7F94" w:rsidP="003E7F94">
      <w:pPr>
        <w:spacing w:line="259" w:lineRule="auto"/>
        <w:ind w:left="142" w:firstLine="60"/>
        <w:jc w:val="both"/>
        <w:rPr>
          <w:rFonts w:ascii="Abadi" w:hAnsi="Abadi"/>
          <w:bCs/>
          <w:sz w:val="21"/>
          <w:szCs w:val="21"/>
        </w:rPr>
      </w:pPr>
    </w:p>
    <w:p w14:paraId="1CE7D4A9" w14:textId="77777777" w:rsidR="003E7F94" w:rsidRPr="0049186B" w:rsidRDefault="003E7F94" w:rsidP="00BA5FBA">
      <w:pPr>
        <w:numPr>
          <w:ilvl w:val="0"/>
          <w:numId w:val="78"/>
        </w:numPr>
        <w:spacing w:after="15" w:line="247" w:lineRule="auto"/>
        <w:ind w:right="4" w:hanging="562"/>
        <w:jc w:val="both"/>
        <w:rPr>
          <w:rFonts w:ascii="Abadi" w:hAnsi="Abadi"/>
          <w:bCs/>
          <w:sz w:val="21"/>
          <w:szCs w:val="21"/>
        </w:rPr>
      </w:pPr>
      <w:r w:rsidRPr="0049186B">
        <w:rPr>
          <w:rFonts w:ascii="Abadi" w:hAnsi="Abadi"/>
          <w:bCs/>
          <w:sz w:val="21"/>
          <w:szCs w:val="21"/>
        </w:rPr>
        <w:t xml:space="preserve">Las demás...  </w:t>
      </w:r>
    </w:p>
    <w:p w14:paraId="04D624A6"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bCs/>
          <w:sz w:val="21"/>
          <w:szCs w:val="21"/>
        </w:rPr>
        <w:t xml:space="preserve"> </w:t>
      </w:r>
    </w:p>
    <w:p w14:paraId="2648B233" w14:textId="77777777" w:rsidR="003E7F94" w:rsidRPr="0049186B" w:rsidRDefault="003E7F94" w:rsidP="003E7F94">
      <w:pPr>
        <w:spacing w:after="168" w:line="249" w:lineRule="auto"/>
        <w:ind w:left="137" w:right="5"/>
        <w:jc w:val="both"/>
        <w:rPr>
          <w:rFonts w:ascii="Abadi" w:hAnsi="Abadi"/>
          <w:bCs/>
          <w:sz w:val="21"/>
          <w:szCs w:val="21"/>
        </w:rPr>
      </w:pPr>
      <w:r w:rsidRPr="0049186B">
        <w:rPr>
          <w:rFonts w:ascii="Abadi" w:hAnsi="Abadi" w:cs="Arial"/>
          <w:bCs/>
          <w:sz w:val="21"/>
          <w:szCs w:val="21"/>
        </w:rPr>
        <w:t>No se propondrá como candidato a obtener el Premio Estatal del Deporte,  a que refiere la fracción XIV del presente artículo, a las personas físicas que cuenten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a quienes hayan sido</w:t>
      </w:r>
      <w:r w:rsidRPr="0049186B">
        <w:rPr>
          <w:rFonts w:ascii="Abadi" w:hAnsi="Abadi" w:cs="Arial"/>
          <w:bCs/>
          <w:i/>
          <w:sz w:val="21"/>
          <w:szCs w:val="21"/>
        </w:rPr>
        <w:t xml:space="preserve"> </w:t>
      </w:r>
      <w:r w:rsidRPr="0049186B">
        <w:rPr>
          <w:rFonts w:ascii="Abadi" w:hAnsi="Abadi" w:cs="Arial"/>
          <w:bCs/>
          <w:sz w:val="21"/>
          <w:szCs w:val="21"/>
        </w:rPr>
        <w:t xml:space="preserve">declaradas como personas deudoras alimentarias morosas. </w:t>
      </w:r>
    </w:p>
    <w:p w14:paraId="4DE9035A"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lastRenderedPageBreak/>
        <w:t xml:space="preserve">El funcionamiento del Consejo Directivo se regulará en el Reglamento de la Ley. </w:t>
      </w:r>
    </w:p>
    <w:p w14:paraId="7F326FB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CF44EB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537BB158"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39</w:t>
      </w:r>
      <w:r w:rsidRPr="003E7F94">
        <w:rPr>
          <w:rFonts w:ascii="Abadi" w:hAnsi="Abadi"/>
          <w:sz w:val="21"/>
          <w:szCs w:val="21"/>
        </w:rPr>
        <w:t xml:space="preserve">. Las instalaciones...  </w:t>
      </w:r>
    </w:p>
    <w:p w14:paraId="4B4F5D07"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EB0AA23"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Las personas...  </w:t>
      </w:r>
    </w:p>
    <w:p w14:paraId="1A7BDD5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CE6A67A"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Las instalaciones...  </w:t>
      </w:r>
    </w:p>
    <w:p w14:paraId="578D4A5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26907E0"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En los espacios de estas instalaciones se deberá evitar acciones de discriminación de cualquier índole o preconcepciones de la masculinidad y feminidad en cualquier rama del deporte a las personas que pretendan o hagan uso hacer uso de las mismas</w:t>
      </w:r>
      <w:r w:rsidRPr="0049186B">
        <w:rPr>
          <w:rFonts w:ascii="Abadi" w:hAnsi="Abadi"/>
          <w:bCs/>
          <w:sz w:val="21"/>
          <w:szCs w:val="21"/>
        </w:rPr>
        <w:t xml:space="preserve">. </w:t>
      </w:r>
    </w:p>
    <w:p w14:paraId="725FFF47"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bCs/>
          <w:sz w:val="21"/>
          <w:szCs w:val="21"/>
        </w:rPr>
        <w:t xml:space="preserve"> </w:t>
      </w:r>
    </w:p>
    <w:p w14:paraId="67D13E00"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 xml:space="preserve">Asimismo, se deberán establecer programas periódicos de entradas gratuitas a niñas, niños y adolescentes a efecto de fomentar el uso de las instalaciones y el deporte en la niñez. </w:t>
      </w:r>
    </w:p>
    <w:p w14:paraId="614485E7"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1CD1CB15"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 xml:space="preserve">Los usuarios de estas instalaciones deportivas tendrán prohibido la introducción, venta o consumo de bebidas alcohólicas, sustancias psicotrópicas o enervantes prohibidas por las leyes de la materia. La violación a esta disposición se sancionará con la clausura de las instalaciones por la autoridad competente. </w:t>
      </w:r>
    </w:p>
    <w:p w14:paraId="3768A82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153F62B5" w14:textId="0D4C5056"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3BBA87FB"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40</w:t>
      </w:r>
      <w:r w:rsidRPr="003E7F94">
        <w:rPr>
          <w:rFonts w:ascii="Abadi" w:hAnsi="Abadi"/>
          <w:sz w:val="21"/>
          <w:szCs w:val="21"/>
        </w:rPr>
        <w:t xml:space="preserve">. Las instalaciones...  </w:t>
      </w:r>
    </w:p>
    <w:p w14:paraId="7DFF73EF"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4C0F8A2A"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Las instalaciones deportivas...  </w:t>
      </w:r>
    </w:p>
    <w:p w14:paraId="0B344E4B"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0AC4F56"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El personal...  </w:t>
      </w:r>
    </w:p>
    <w:p w14:paraId="1D6C8A0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7F73AA0" w14:textId="77777777" w:rsidR="003E7F94" w:rsidRPr="0049186B" w:rsidRDefault="003E7F94" w:rsidP="003E7F94">
      <w:pPr>
        <w:spacing w:line="249" w:lineRule="auto"/>
        <w:ind w:left="137" w:right="5"/>
        <w:jc w:val="both"/>
        <w:rPr>
          <w:rFonts w:ascii="Abadi" w:hAnsi="Abadi"/>
          <w:bCs/>
          <w:sz w:val="21"/>
          <w:szCs w:val="21"/>
        </w:rPr>
      </w:pPr>
      <w:r w:rsidRPr="003E7F94">
        <w:rPr>
          <w:rFonts w:ascii="Abadi" w:hAnsi="Abadi" w:cs="Arial"/>
          <w:b/>
          <w:sz w:val="21"/>
          <w:szCs w:val="21"/>
        </w:rPr>
        <w:t xml:space="preserve">En los espacios de estas instalaciones se deberá evitar acciones de discriminación de </w:t>
      </w:r>
      <w:r w:rsidRPr="0049186B">
        <w:rPr>
          <w:rFonts w:ascii="Abadi" w:hAnsi="Abadi" w:cs="Arial"/>
          <w:bCs/>
          <w:sz w:val="21"/>
          <w:szCs w:val="21"/>
        </w:rPr>
        <w:t>cualquier índole o preconcepciones de la masculinidad y feminidad en cualquier rama del deporte a las personas que pretendan o hagan uso hacer uso de las mismas</w:t>
      </w:r>
      <w:r w:rsidRPr="0049186B">
        <w:rPr>
          <w:rFonts w:ascii="Abadi" w:hAnsi="Abadi"/>
          <w:bCs/>
          <w:sz w:val="21"/>
          <w:szCs w:val="21"/>
        </w:rPr>
        <w:t xml:space="preserve">. </w:t>
      </w:r>
    </w:p>
    <w:p w14:paraId="12910C68"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bCs/>
          <w:sz w:val="21"/>
          <w:szCs w:val="21"/>
        </w:rPr>
        <w:t xml:space="preserve"> </w:t>
      </w:r>
    </w:p>
    <w:p w14:paraId="6195A40E"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 xml:space="preserve">Queda prohibido a los usuarios de estas instalaciones deportivas la introducción, venta o consumo de bebidas alcohólicas, sustancias psicotrópicas o enervantes prohibidas por las leyes de la materia. La violación a esta disposición se sancionará </w:t>
      </w:r>
      <w:r w:rsidRPr="0049186B">
        <w:rPr>
          <w:rFonts w:ascii="Abadi" w:hAnsi="Abadi" w:cs="Arial"/>
          <w:bCs/>
          <w:sz w:val="21"/>
          <w:szCs w:val="21"/>
        </w:rPr>
        <w:t xml:space="preserve">con la clausura de las instalaciones por la autoridad competente.” </w:t>
      </w:r>
    </w:p>
    <w:p w14:paraId="44C3A8B8"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212C6972"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3FD602A5"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 xml:space="preserve">Artículo 66 Bis. A fin de que las personas con discapacidad puedan participar en igualdad de condiciones con las demás en actividades recreativas, de esparcimiento y deportivas, el estado y los Municipios deberán: </w:t>
      </w:r>
    </w:p>
    <w:p w14:paraId="103051AE"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28BA3C9B" w14:textId="77777777" w:rsidR="003E7F94" w:rsidRPr="0049186B" w:rsidRDefault="003E7F94" w:rsidP="00BA5FBA">
      <w:pPr>
        <w:numPr>
          <w:ilvl w:val="0"/>
          <w:numId w:val="65"/>
        </w:numPr>
        <w:spacing w:line="249" w:lineRule="auto"/>
        <w:ind w:right="5"/>
        <w:jc w:val="both"/>
        <w:rPr>
          <w:rFonts w:ascii="Abadi" w:hAnsi="Abadi"/>
          <w:bCs/>
          <w:sz w:val="21"/>
          <w:szCs w:val="21"/>
        </w:rPr>
      </w:pPr>
      <w:r w:rsidRPr="0049186B">
        <w:rPr>
          <w:rFonts w:ascii="Abadi" w:hAnsi="Abadi" w:cs="Arial"/>
          <w:bCs/>
          <w:sz w:val="21"/>
          <w:szCs w:val="21"/>
        </w:rPr>
        <w:t xml:space="preserve">Alentar y promover la participación, en la mayor medida posible, de las personas con discapacidad en las actividades deportivas generales a todos los niveles; </w:t>
      </w:r>
    </w:p>
    <w:p w14:paraId="0BB3C939"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0B3B4B0E" w14:textId="77777777" w:rsidR="003E7F94" w:rsidRPr="0049186B" w:rsidRDefault="003E7F94" w:rsidP="00BA5FBA">
      <w:pPr>
        <w:numPr>
          <w:ilvl w:val="0"/>
          <w:numId w:val="65"/>
        </w:numPr>
        <w:spacing w:line="249" w:lineRule="auto"/>
        <w:ind w:right="5"/>
        <w:jc w:val="both"/>
        <w:rPr>
          <w:rFonts w:ascii="Abadi" w:hAnsi="Abadi"/>
          <w:bCs/>
          <w:sz w:val="21"/>
          <w:szCs w:val="21"/>
        </w:rPr>
      </w:pPr>
      <w:r w:rsidRPr="0049186B">
        <w:rPr>
          <w:rFonts w:ascii="Abadi" w:hAnsi="Abadi" w:cs="Arial"/>
          <w:bCs/>
          <w:sz w:val="21"/>
          <w:szCs w:val="21"/>
        </w:rPr>
        <w:t xml:space="preserve">Asegurar que las personas con discapacidad tengan la oportunidad de organizar y desarrollar actividades deportivas y recreativas específicas para dichas personas y de participar en dichas actividades y, a ese fin, alentar a que se les ofrezca, en igualdad de condiciones con las demás, instrucción, formación y recursos adecuados; </w:t>
      </w:r>
    </w:p>
    <w:p w14:paraId="7CBB062A"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2DE86E4C" w14:textId="77777777" w:rsidR="003E7F94" w:rsidRPr="0049186B" w:rsidRDefault="003E7F94" w:rsidP="00BA5FBA">
      <w:pPr>
        <w:numPr>
          <w:ilvl w:val="0"/>
          <w:numId w:val="65"/>
        </w:numPr>
        <w:spacing w:line="249" w:lineRule="auto"/>
        <w:ind w:right="5"/>
        <w:jc w:val="both"/>
        <w:rPr>
          <w:rFonts w:ascii="Abadi" w:hAnsi="Abadi"/>
          <w:bCs/>
          <w:sz w:val="21"/>
          <w:szCs w:val="21"/>
        </w:rPr>
      </w:pPr>
      <w:r w:rsidRPr="0049186B">
        <w:rPr>
          <w:rFonts w:ascii="Abadi" w:hAnsi="Abadi" w:cs="Arial"/>
          <w:bCs/>
          <w:sz w:val="21"/>
          <w:szCs w:val="21"/>
        </w:rPr>
        <w:t xml:space="preserve">Asegurar que las personas con discapacidad tengan acceso a instalaciones deportivas adaptadas con menores costos de acceso; </w:t>
      </w:r>
    </w:p>
    <w:p w14:paraId="48DC28F5"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411C268E" w14:textId="77777777" w:rsidR="003E7F94" w:rsidRPr="0049186B" w:rsidRDefault="003E7F94" w:rsidP="00BA5FBA">
      <w:pPr>
        <w:numPr>
          <w:ilvl w:val="0"/>
          <w:numId w:val="65"/>
        </w:numPr>
        <w:spacing w:line="249" w:lineRule="auto"/>
        <w:ind w:right="5"/>
        <w:jc w:val="both"/>
        <w:rPr>
          <w:rFonts w:ascii="Abadi" w:hAnsi="Abadi"/>
          <w:bCs/>
          <w:sz w:val="21"/>
          <w:szCs w:val="21"/>
        </w:rPr>
      </w:pPr>
      <w:r w:rsidRPr="0049186B">
        <w:rPr>
          <w:rFonts w:ascii="Abadi" w:hAnsi="Abadi" w:cs="Arial"/>
          <w:bCs/>
          <w:sz w:val="21"/>
          <w:szCs w:val="21"/>
        </w:rPr>
        <w:t xml:space="preserve">Asegurar que los niños, las niñas y adolescentes con discapacidad tengan igual acceso con los demás niños y niñas a la participación en actividades lúdicas, recreativas, de esparcimiento y deportivas, incluidas las que se realicen dentro del sistema escolar; y </w:t>
      </w:r>
    </w:p>
    <w:p w14:paraId="48B93875" w14:textId="255EDAC8"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04B7CCEE"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1A3D7392" w14:textId="77777777" w:rsidR="003E7F94" w:rsidRPr="003E7F94" w:rsidRDefault="003E7F94" w:rsidP="00BA5FBA">
      <w:pPr>
        <w:numPr>
          <w:ilvl w:val="0"/>
          <w:numId w:val="65"/>
        </w:numPr>
        <w:spacing w:line="249" w:lineRule="auto"/>
        <w:ind w:right="5"/>
        <w:jc w:val="both"/>
        <w:rPr>
          <w:rFonts w:ascii="Abadi" w:hAnsi="Abadi"/>
          <w:sz w:val="21"/>
          <w:szCs w:val="21"/>
        </w:rPr>
      </w:pPr>
      <w:r w:rsidRPr="003E7F94">
        <w:rPr>
          <w:rFonts w:ascii="Abadi" w:hAnsi="Abadi" w:cs="Arial"/>
          <w:b/>
          <w:sz w:val="21"/>
          <w:szCs w:val="21"/>
        </w:rPr>
        <w:t xml:space="preserve">Asegurar que las personas con discapacidad tengan acceso a los servicios de quienes participan en la organización de actividades recreativas, de esparcimiento y deportivas. </w:t>
      </w:r>
    </w:p>
    <w:p w14:paraId="428768D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5FCE519A"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091D7C0E"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68</w:t>
      </w:r>
      <w:r w:rsidRPr="003E7F94">
        <w:rPr>
          <w:rFonts w:ascii="Abadi" w:hAnsi="Abadi"/>
          <w:sz w:val="21"/>
          <w:szCs w:val="21"/>
        </w:rPr>
        <w:t>. La CODE deberá...</w:t>
      </w:r>
      <w:r w:rsidRPr="003E7F94">
        <w:rPr>
          <w:rFonts w:ascii="Abadi" w:hAnsi="Abadi" w:cs="Arial"/>
          <w:b/>
          <w:sz w:val="21"/>
          <w:szCs w:val="21"/>
        </w:rPr>
        <w:t xml:space="preserve"> </w:t>
      </w:r>
    </w:p>
    <w:p w14:paraId="4B2CE945"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4FDE126"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La administración...  </w:t>
      </w:r>
    </w:p>
    <w:p w14:paraId="6AB3238D"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567D3A0"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Los deportistas...  </w:t>
      </w:r>
    </w:p>
    <w:p w14:paraId="2B2EA78C"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7DE7A9B" w14:textId="77777777" w:rsidR="003E7F94" w:rsidRPr="003E7F94" w:rsidRDefault="003E7F94" w:rsidP="003E7F94">
      <w:pPr>
        <w:spacing w:line="249" w:lineRule="auto"/>
        <w:ind w:left="137" w:right="5"/>
        <w:jc w:val="both"/>
        <w:rPr>
          <w:rFonts w:ascii="Abadi" w:hAnsi="Abadi"/>
          <w:sz w:val="21"/>
          <w:szCs w:val="21"/>
        </w:rPr>
      </w:pPr>
      <w:r w:rsidRPr="003E7F94">
        <w:rPr>
          <w:rFonts w:ascii="Abadi" w:hAnsi="Abadi" w:cs="Arial"/>
          <w:b/>
          <w:sz w:val="21"/>
          <w:szCs w:val="21"/>
        </w:rPr>
        <w:lastRenderedPageBreak/>
        <w:t xml:space="preserve">Las instalaciones deportivas a cargo de la CODE, de la autoridad Municipal y las privadas que realicen cobro por el uso de instalaciones, deberán contar con servicio médico de emergencia cuando se realicen eventos deportivos. </w:t>
      </w:r>
    </w:p>
    <w:p w14:paraId="6D12507E"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cs="Arial"/>
          <w:b/>
          <w:sz w:val="21"/>
          <w:szCs w:val="21"/>
        </w:rPr>
        <w:t xml:space="preserve"> </w:t>
      </w:r>
    </w:p>
    <w:p w14:paraId="72A6D6D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058D4463"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Artículo 74</w:t>
      </w:r>
      <w:r w:rsidRPr="003E7F94">
        <w:rPr>
          <w:rFonts w:ascii="Abadi" w:hAnsi="Abadi"/>
          <w:sz w:val="21"/>
          <w:szCs w:val="21"/>
        </w:rPr>
        <w:t xml:space="preserve">. Las personas...  </w:t>
      </w:r>
    </w:p>
    <w:p w14:paraId="17853FB1"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6DE925D7" w14:textId="77777777" w:rsidR="003E7F94" w:rsidRPr="003E7F94" w:rsidRDefault="003E7F94" w:rsidP="003E7F94">
      <w:pPr>
        <w:ind w:left="137" w:right="4"/>
        <w:jc w:val="both"/>
        <w:rPr>
          <w:rFonts w:ascii="Abadi" w:hAnsi="Abadi"/>
          <w:sz w:val="21"/>
          <w:szCs w:val="21"/>
        </w:rPr>
      </w:pPr>
      <w:r w:rsidRPr="003E7F94">
        <w:rPr>
          <w:rFonts w:ascii="Abadi" w:hAnsi="Abadi"/>
          <w:sz w:val="21"/>
          <w:szCs w:val="21"/>
        </w:rPr>
        <w:t xml:space="preserve">En el Reglamento...  </w:t>
      </w:r>
    </w:p>
    <w:p w14:paraId="245DA052"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36DC1CF7" w14:textId="77777777" w:rsidR="003E7F94" w:rsidRPr="0049186B" w:rsidRDefault="003E7F94" w:rsidP="003E7F94">
      <w:pPr>
        <w:spacing w:line="249" w:lineRule="auto"/>
        <w:ind w:left="137" w:right="5"/>
        <w:jc w:val="both"/>
        <w:rPr>
          <w:rFonts w:ascii="Abadi" w:hAnsi="Abadi"/>
          <w:bCs/>
          <w:sz w:val="21"/>
          <w:szCs w:val="21"/>
        </w:rPr>
      </w:pPr>
      <w:r w:rsidRPr="0049186B">
        <w:rPr>
          <w:rFonts w:ascii="Abadi" w:hAnsi="Abadi" w:cs="Arial"/>
          <w:bCs/>
          <w:sz w:val="21"/>
          <w:szCs w:val="21"/>
        </w:rPr>
        <w:t xml:space="preserve">No se entregarán apoyos a que se refiere el párrafo anterior, cuando exista denuncia o sanción pendiente de cumplir, derivadas de hechos que constituyan agresiones dolosas, de acoso, violencia contra mujeres o discriminación en cualquiera de sus formas establecidas en las leyes de la materia a deportistas, directivos, personal administrativo, entrenadores, árbitros, aficionados, dentro o fuera de los espacios, oficinas e instalaciones deportivas. </w:t>
      </w:r>
    </w:p>
    <w:p w14:paraId="35500BE5" w14:textId="77777777" w:rsidR="003E7F94" w:rsidRPr="0049186B" w:rsidRDefault="003E7F94" w:rsidP="003E7F94">
      <w:pPr>
        <w:spacing w:line="259" w:lineRule="auto"/>
        <w:ind w:left="142"/>
        <w:jc w:val="both"/>
        <w:rPr>
          <w:rFonts w:ascii="Abadi" w:hAnsi="Abadi"/>
          <w:bCs/>
          <w:sz w:val="21"/>
          <w:szCs w:val="21"/>
        </w:rPr>
      </w:pPr>
      <w:r w:rsidRPr="0049186B">
        <w:rPr>
          <w:rFonts w:ascii="Abadi" w:hAnsi="Abadi" w:cs="Arial"/>
          <w:bCs/>
          <w:sz w:val="21"/>
          <w:szCs w:val="21"/>
        </w:rPr>
        <w:t xml:space="preserve"> </w:t>
      </w:r>
    </w:p>
    <w:p w14:paraId="5AE513B3" w14:textId="77777777" w:rsidR="003E7F94" w:rsidRPr="0049186B" w:rsidRDefault="003E7F94" w:rsidP="003E7F94">
      <w:pPr>
        <w:spacing w:after="170" w:line="249" w:lineRule="auto"/>
        <w:ind w:left="137" w:right="5"/>
        <w:jc w:val="both"/>
        <w:rPr>
          <w:rFonts w:ascii="Abadi" w:hAnsi="Abadi"/>
          <w:bCs/>
          <w:sz w:val="21"/>
          <w:szCs w:val="21"/>
        </w:rPr>
      </w:pPr>
      <w:r w:rsidRPr="0049186B">
        <w:rPr>
          <w:rFonts w:ascii="Abadi" w:hAnsi="Abadi" w:cs="Arial"/>
          <w:bCs/>
          <w:sz w:val="21"/>
          <w:szCs w:val="21"/>
        </w:rPr>
        <w:t>Tampoco se otorgará apoyo a que refiere el presente artículo a las personas físicas o morales que cuenten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a quienes hayan sido</w:t>
      </w:r>
      <w:r w:rsidRPr="0049186B">
        <w:rPr>
          <w:rFonts w:ascii="Abadi" w:hAnsi="Abadi" w:cs="Arial"/>
          <w:bCs/>
          <w:i/>
          <w:sz w:val="21"/>
          <w:szCs w:val="21"/>
        </w:rPr>
        <w:t xml:space="preserve"> </w:t>
      </w:r>
      <w:r w:rsidRPr="0049186B">
        <w:rPr>
          <w:rFonts w:ascii="Abadi" w:hAnsi="Abadi" w:cs="Arial"/>
          <w:bCs/>
          <w:sz w:val="21"/>
          <w:szCs w:val="21"/>
        </w:rPr>
        <w:t xml:space="preserve">declaradas como personas deudoras alimentarias morosas. </w:t>
      </w:r>
    </w:p>
    <w:p w14:paraId="533FF155" w14:textId="2F41F846" w:rsidR="003E7F94" w:rsidRPr="003E7F94" w:rsidRDefault="003E7F94" w:rsidP="003A4116">
      <w:pPr>
        <w:spacing w:line="259" w:lineRule="auto"/>
        <w:ind w:left="142"/>
        <w:jc w:val="both"/>
        <w:rPr>
          <w:rFonts w:ascii="Abadi" w:hAnsi="Abadi"/>
          <w:sz w:val="21"/>
          <w:szCs w:val="21"/>
        </w:rPr>
      </w:pPr>
      <w:r w:rsidRPr="003E7F94">
        <w:rPr>
          <w:rFonts w:ascii="Abadi" w:hAnsi="Abadi" w:cs="Arial"/>
          <w:b/>
          <w:sz w:val="21"/>
          <w:szCs w:val="21"/>
        </w:rPr>
        <w:t xml:space="preserve"> </w:t>
      </w:r>
    </w:p>
    <w:p w14:paraId="571A2344" w14:textId="10DE52CD" w:rsidR="003E7F94" w:rsidRPr="003E7F94" w:rsidRDefault="003E7F94" w:rsidP="003A4116">
      <w:pPr>
        <w:spacing w:after="169" w:line="249" w:lineRule="auto"/>
        <w:ind w:right="5"/>
        <w:jc w:val="center"/>
        <w:rPr>
          <w:rFonts w:ascii="Abadi" w:hAnsi="Abadi"/>
          <w:sz w:val="21"/>
          <w:szCs w:val="21"/>
        </w:rPr>
      </w:pPr>
      <w:r w:rsidRPr="003E7F94">
        <w:rPr>
          <w:rFonts w:ascii="Abadi" w:hAnsi="Abadi" w:cs="Arial"/>
          <w:b/>
          <w:sz w:val="21"/>
          <w:szCs w:val="21"/>
        </w:rPr>
        <w:t>TRANSITORIOS.</w:t>
      </w:r>
    </w:p>
    <w:p w14:paraId="20C7DC4B"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PRIMERO.</w:t>
      </w:r>
      <w:r w:rsidRPr="003E7F94">
        <w:rPr>
          <w:rFonts w:ascii="Abadi" w:hAnsi="Abadi"/>
          <w:sz w:val="21"/>
          <w:szCs w:val="21"/>
        </w:rPr>
        <w:t xml:space="preserve"> El Ejecutivo y los Municipios deberán adecuar los Reglamentos en la materia, dentro de los 90 días naturales posteriores a la publicación del presente Decreto. </w:t>
      </w:r>
    </w:p>
    <w:p w14:paraId="2E5AF500"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275CCF9"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SEGUNDO</w:t>
      </w:r>
      <w:r w:rsidRPr="003E7F94">
        <w:rPr>
          <w:rFonts w:ascii="Abadi" w:hAnsi="Abadi"/>
          <w:sz w:val="21"/>
          <w:szCs w:val="21"/>
        </w:rPr>
        <w:t xml:space="preserve">. Las personas físicas o morales que constituyan o tengan constituidas instituciones deportivas, deberán emitir los lineamientos internos de funcionamiento que se apeguen al presente Decreto. </w:t>
      </w:r>
    </w:p>
    <w:p w14:paraId="2C4573B4"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7F7494FB" w14:textId="77777777" w:rsidR="003E7F94" w:rsidRPr="003E7F94" w:rsidRDefault="003E7F94" w:rsidP="003E7F94">
      <w:pPr>
        <w:ind w:left="137" w:right="4"/>
        <w:jc w:val="both"/>
        <w:rPr>
          <w:rFonts w:ascii="Abadi" w:hAnsi="Abadi"/>
          <w:sz w:val="21"/>
          <w:szCs w:val="21"/>
        </w:rPr>
      </w:pPr>
      <w:r w:rsidRPr="003E7F94">
        <w:rPr>
          <w:rFonts w:ascii="Abadi" w:hAnsi="Abadi" w:cs="Arial"/>
          <w:b/>
          <w:sz w:val="21"/>
          <w:szCs w:val="21"/>
        </w:rPr>
        <w:t>TERCERO.</w:t>
      </w:r>
      <w:r w:rsidRPr="003E7F94">
        <w:rPr>
          <w:rFonts w:ascii="Abadi" w:hAnsi="Abadi"/>
          <w:sz w:val="21"/>
          <w:szCs w:val="21"/>
        </w:rPr>
        <w:t xml:space="preserve"> El presente Decreto entrará en vigor al día siguiente de su publicación en el Periódico Oficial del Estado de Guanajuato. </w:t>
      </w:r>
    </w:p>
    <w:p w14:paraId="36846429" w14:textId="77777777" w:rsidR="003E7F94" w:rsidRPr="003E7F94" w:rsidRDefault="003E7F94" w:rsidP="003E7F94">
      <w:pPr>
        <w:spacing w:line="259" w:lineRule="auto"/>
        <w:ind w:left="142"/>
        <w:jc w:val="both"/>
        <w:rPr>
          <w:rFonts w:ascii="Abadi" w:hAnsi="Abadi"/>
          <w:sz w:val="21"/>
          <w:szCs w:val="21"/>
        </w:rPr>
      </w:pPr>
      <w:r w:rsidRPr="003E7F94">
        <w:rPr>
          <w:rFonts w:ascii="Abadi" w:hAnsi="Abadi"/>
          <w:sz w:val="21"/>
          <w:szCs w:val="21"/>
        </w:rPr>
        <w:t xml:space="preserve"> </w:t>
      </w:r>
    </w:p>
    <w:p w14:paraId="10033FDB" w14:textId="77777777" w:rsidR="003E7F94" w:rsidRPr="003E7F94" w:rsidRDefault="003E7F94" w:rsidP="003E7F94">
      <w:pPr>
        <w:spacing w:line="259" w:lineRule="auto"/>
        <w:ind w:left="142"/>
        <w:jc w:val="both"/>
        <w:rPr>
          <w:rFonts w:ascii="Abadi" w:hAnsi="Abadi"/>
          <w:sz w:val="21"/>
          <w:szCs w:val="21"/>
        </w:rPr>
      </w:pPr>
      <w:r w:rsidRPr="003E7F94">
        <w:rPr>
          <w:rFonts w:ascii="Abadi" w:eastAsia="Verdana" w:hAnsi="Abadi" w:cs="Verdana"/>
          <w:sz w:val="21"/>
          <w:szCs w:val="21"/>
        </w:rPr>
        <w:t xml:space="preserve"> </w:t>
      </w:r>
    </w:p>
    <w:p w14:paraId="67B5688F" w14:textId="77777777" w:rsidR="003E7F94" w:rsidRPr="003E7F94" w:rsidRDefault="003E7F94" w:rsidP="003E7F94">
      <w:pPr>
        <w:spacing w:line="249" w:lineRule="auto"/>
        <w:ind w:right="5"/>
        <w:jc w:val="both"/>
        <w:rPr>
          <w:rFonts w:ascii="Abadi" w:hAnsi="Abadi"/>
          <w:sz w:val="21"/>
          <w:szCs w:val="21"/>
        </w:rPr>
      </w:pPr>
      <w:r w:rsidRPr="003E7F94">
        <w:rPr>
          <w:rFonts w:ascii="Abadi" w:eastAsia="Verdana" w:hAnsi="Abadi" w:cs="Verdana"/>
          <w:sz w:val="21"/>
          <w:szCs w:val="21"/>
        </w:rPr>
        <w:t xml:space="preserve">  </w:t>
      </w:r>
      <w:r w:rsidRPr="003E7F94">
        <w:rPr>
          <w:rFonts w:ascii="Abadi" w:hAnsi="Abadi" w:cs="Arial"/>
          <w:b/>
          <w:sz w:val="21"/>
          <w:szCs w:val="21"/>
        </w:rPr>
        <w:t xml:space="preserve">Guanajuato, </w:t>
      </w:r>
      <w:proofErr w:type="spellStart"/>
      <w:r w:rsidRPr="003E7F94">
        <w:rPr>
          <w:rFonts w:ascii="Abadi" w:hAnsi="Abadi" w:cs="Arial"/>
          <w:b/>
          <w:sz w:val="21"/>
          <w:szCs w:val="21"/>
        </w:rPr>
        <w:t>Gto</w:t>
      </w:r>
      <w:proofErr w:type="spellEnd"/>
      <w:r w:rsidRPr="003E7F94">
        <w:rPr>
          <w:rFonts w:ascii="Abadi" w:hAnsi="Abadi" w:cs="Arial"/>
          <w:b/>
          <w:sz w:val="21"/>
          <w:szCs w:val="21"/>
        </w:rPr>
        <w:t xml:space="preserve">., a 20 de junio de 2023. </w:t>
      </w:r>
    </w:p>
    <w:p w14:paraId="35791209" w14:textId="77777777" w:rsidR="003E7F94" w:rsidRPr="003E7F94" w:rsidRDefault="003E7F94" w:rsidP="003E7F94">
      <w:pPr>
        <w:spacing w:line="259" w:lineRule="auto"/>
        <w:ind w:left="157" w:right="23"/>
        <w:jc w:val="both"/>
        <w:rPr>
          <w:rFonts w:ascii="Abadi" w:hAnsi="Abadi"/>
          <w:sz w:val="21"/>
          <w:szCs w:val="21"/>
        </w:rPr>
      </w:pPr>
      <w:r w:rsidRPr="003E7F94">
        <w:rPr>
          <w:rFonts w:ascii="Abadi" w:hAnsi="Abadi" w:cs="Arial"/>
          <w:b/>
          <w:sz w:val="21"/>
          <w:szCs w:val="21"/>
        </w:rPr>
        <w:t xml:space="preserve">Diputadas y Diputados integrantes del Grupo </w:t>
      </w:r>
    </w:p>
    <w:p w14:paraId="00B5C62E" w14:textId="77777777" w:rsidR="003E7F94" w:rsidRPr="003E7F94" w:rsidRDefault="003E7F94" w:rsidP="003E7F94">
      <w:pPr>
        <w:spacing w:line="259" w:lineRule="auto"/>
        <w:ind w:left="157" w:right="20"/>
        <w:jc w:val="both"/>
        <w:rPr>
          <w:rFonts w:ascii="Abadi" w:hAnsi="Abadi"/>
          <w:sz w:val="21"/>
          <w:szCs w:val="21"/>
        </w:rPr>
      </w:pPr>
      <w:r w:rsidRPr="003E7F94">
        <w:rPr>
          <w:rFonts w:ascii="Abadi" w:hAnsi="Abadi" w:cs="Arial"/>
          <w:b/>
          <w:sz w:val="21"/>
          <w:szCs w:val="21"/>
        </w:rPr>
        <w:t xml:space="preserve">Parlamentario del Partido Revolucionario Institucional. </w:t>
      </w:r>
    </w:p>
    <w:p w14:paraId="797338C1" w14:textId="77777777" w:rsidR="00C54947" w:rsidRDefault="003E7F94" w:rsidP="00C54947">
      <w:pPr>
        <w:spacing w:after="225" w:line="259" w:lineRule="auto"/>
        <w:ind w:left="142"/>
        <w:jc w:val="both"/>
        <w:rPr>
          <w:rFonts w:ascii="Abadi" w:hAnsi="Abadi" w:cs="Arial"/>
          <w:b/>
          <w:sz w:val="21"/>
          <w:szCs w:val="21"/>
        </w:rPr>
      </w:pPr>
      <w:r w:rsidRPr="003E7F94">
        <w:rPr>
          <w:rFonts w:ascii="Abadi" w:hAnsi="Abadi" w:cs="Arial"/>
          <w:b/>
          <w:sz w:val="21"/>
          <w:szCs w:val="21"/>
        </w:rPr>
        <w:t xml:space="preserve"> </w:t>
      </w:r>
    </w:p>
    <w:p w14:paraId="657E30EE" w14:textId="77777777" w:rsidR="00C54947" w:rsidRDefault="00C54947" w:rsidP="00C54947">
      <w:pPr>
        <w:spacing w:after="225" w:line="259" w:lineRule="auto"/>
        <w:ind w:left="142"/>
        <w:jc w:val="both"/>
        <w:rPr>
          <w:rFonts w:ascii="Abadi" w:hAnsi="Abadi" w:cs="Arial"/>
          <w:b/>
          <w:sz w:val="21"/>
          <w:szCs w:val="21"/>
        </w:rPr>
      </w:pPr>
    </w:p>
    <w:p w14:paraId="4B27CEBA" w14:textId="54553FD2" w:rsidR="003E7F94" w:rsidRDefault="003E7F94" w:rsidP="00C54947">
      <w:pPr>
        <w:spacing w:after="225" w:line="259" w:lineRule="auto"/>
        <w:ind w:left="142"/>
        <w:jc w:val="both"/>
        <w:rPr>
          <w:rFonts w:ascii="Abadi" w:hAnsi="Abadi" w:cs="Arial"/>
          <w:b/>
          <w:sz w:val="21"/>
          <w:szCs w:val="21"/>
        </w:rPr>
      </w:pPr>
      <w:r w:rsidRPr="003E7F94">
        <w:rPr>
          <w:rFonts w:ascii="Abadi" w:hAnsi="Abadi" w:cs="Arial"/>
          <w:b/>
          <w:sz w:val="21"/>
          <w:szCs w:val="21"/>
        </w:rPr>
        <w:t xml:space="preserve">DIP. GUSTAVO ADOLFO ALFARO REYES.  </w:t>
      </w:r>
    </w:p>
    <w:p w14:paraId="1C3001B2" w14:textId="090CCD2C" w:rsidR="003E7F94" w:rsidRPr="003E7F94" w:rsidRDefault="003E7F94" w:rsidP="003E7F94">
      <w:pPr>
        <w:spacing w:after="193" w:line="249" w:lineRule="auto"/>
        <w:ind w:left="10" w:right="5"/>
        <w:jc w:val="both"/>
        <w:rPr>
          <w:rFonts w:ascii="Abadi" w:hAnsi="Abadi"/>
          <w:sz w:val="21"/>
          <w:szCs w:val="21"/>
        </w:rPr>
      </w:pPr>
      <w:r w:rsidRPr="003E7F94">
        <w:rPr>
          <w:rFonts w:ascii="Abadi" w:hAnsi="Abadi" w:cs="Arial"/>
          <w:b/>
          <w:sz w:val="21"/>
          <w:szCs w:val="21"/>
        </w:rPr>
        <w:t>DIP. RUTH NOEMÍ TISCAREÑO AGOITIA.  DIP. ALEJANDRO ARÍAS ÁVILA.</w:t>
      </w:r>
      <w:r w:rsidRPr="003E7F94">
        <w:rPr>
          <w:rFonts w:ascii="Abadi" w:eastAsia="Tahoma" w:hAnsi="Abadi" w:cs="Tahoma"/>
          <w:b/>
          <w:sz w:val="21"/>
          <w:szCs w:val="21"/>
        </w:rPr>
        <w:t xml:space="preserve"> </w:t>
      </w:r>
    </w:p>
    <w:p w14:paraId="644D84D6" w14:textId="77777777" w:rsidR="00991967" w:rsidRDefault="00991967" w:rsidP="00991967">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 xml:space="preserve">Enseguida se pide el diputado Gustavo Adolfo Alfaro Reyes dar lectura a la exposición de motivos de la iniciativa correspondiente al punto quinto del orden del día. </w:t>
      </w:r>
      <w:r w:rsidRPr="0030088F">
        <w:rPr>
          <w:rFonts w:ascii="Abadi" w:hAnsi="Abadi"/>
          <w:b/>
          <w:bCs/>
          <w:sz w:val="21"/>
          <w:szCs w:val="21"/>
        </w:rPr>
        <w:t>(ELD 531/LXV-I)</w:t>
      </w:r>
    </w:p>
    <w:p w14:paraId="288C6176" w14:textId="77777777" w:rsidR="00991967" w:rsidRPr="0030088F" w:rsidRDefault="00991967" w:rsidP="00991967">
      <w:pPr>
        <w:ind w:firstLine="708"/>
        <w:jc w:val="both"/>
        <w:rPr>
          <w:rFonts w:ascii="Abadi" w:hAnsi="Abadi"/>
          <w:b/>
          <w:bCs/>
          <w:sz w:val="21"/>
          <w:szCs w:val="21"/>
        </w:rPr>
      </w:pPr>
    </w:p>
    <w:p w14:paraId="0CEDE8BA" w14:textId="77777777" w:rsidR="00991967" w:rsidRDefault="00991967" w:rsidP="00991967">
      <w:pPr>
        <w:jc w:val="both"/>
        <w:rPr>
          <w:rFonts w:ascii="Abadi" w:hAnsi="Abadi"/>
          <w:sz w:val="21"/>
          <w:szCs w:val="21"/>
        </w:rPr>
      </w:pPr>
      <w:r w:rsidRPr="0030088F">
        <w:rPr>
          <w:rFonts w:ascii="Abadi" w:hAnsi="Abadi"/>
          <w:sz w:val="21"/>
          <w:szCs w:val="21"/>
        </w:rPr>
        <w:t xml:space="preserve">- Adelante. </w:t>
      </w:r>
    </w:p>
    <w:p w14:paraId="551C6FBF" w14:textId="77777777" w:rsidR="00991967" w:rsidRPr="0030088F" w:rsidRDefault="00991967" w:rsidP="00991967">
      <w:pPr>
        <w:jc w:val="both"/>
        <w:rPr>
          <w:rFonts w:ascii="Abadi" w:hAnsi="Abadi"/>
          <w:sz w:val="21"/>
          <w:szCs w:val="21"/>
        </w:rPr>
      </w:pPr>
    </w:p>
    <w:p w14:paraId="1E05D906" w14:textId="77777777" w:rsidR="00991967" w:rsidRDefault="00991967" w:rsidP="00991967">
      <w:pPr>
        <w:jc w:val="both"/>
        <w:rPr>
          <w:rFonts w:ascii="Abadi" w:hAnsi="Abadi"/>
          <w:b/>
          <w:bCs/>
          <w:sz w:val="21"/>
          <w:szCs w:val="21"/>
        </w:rPr>
      </w:pPr>
      <w:r w:rsidRPr="0030088F">
        <w:rPr>
          <w:rFonts w:ascii="Abadi" w:hAnsi="Abadi"/>
          <w:b/>
          <w:bCs/>
          <w:sz w:val="21"/>
          <w:szCs w:val="21"/>
        </w:rPr>
        <w:t>(Sube a tribuna el diputado Gustavo Adolfo Alfaro Reyes, para dar lectura a la exposición de motivos de la iniciativa en referencia)</w:t>
      </w:r>
    </w:p>
    <w:p w14:paraId="43B03B40" w14:textId="77777777" w:rsidR="00991967" w:rsidRPr="0030088F" w:rsidRDefault="00991967" w:rsidP="00991967">
      <w:pPr>
        <w:jc w:val="both"/>
        <w:rPr>
          <w:rFonts w:ascii="Abadi" w:hAnsi="Abadi"/>
          <w:b/>
          <w:bCs/>
          <w:sz w:val="21"/>
          <w:szCs w:val="21"/>
        </w:rPr>
      </w:pPr>
    </w:p>
    <w:p w14:paraId="61639085" w14:textId="6B79927A" w:rsidR="00991967" w:rsidRPr="0030088F" w:rsidRDefault="00991967" w:rsidP="00991967">
      <w:pPr>
        <w:jc w:val="both"/>
        <w:rPr>
          <w:rFonts w:ascii="Abadi" w:hAnsi="Abadi"/>
          <w:b/>
          <w:bCs/>
          <w:sz w:val="21"/>
          <w:szCs w:val="21"/>
        </w:rPr>
      </w:pPr>
    </w:p>
    <w:p w14:paraId="43AC3A3F" w14:textId="31F53920" w:rsidR="00991967" w:rsidRPr="0030088F" w:rsidRDefault="00991967" w:rsidP="00991967">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48" behindDoc="1" locked="0" layoutInCell="1" allowOverlap="1" wp14:anchorId="35C816D0" wp14:editId="02B4AE75">
            <wp:simplePos x="0" y="0"/>
            <wp:positionH relativeFrom="column">
              <wp:posOffset>653098</wp:posOffset>
            </wp:positionH>
            <wp:positionV relativeFrom="paragraph">
              <wp:posOffset>113348</wp:posOffset>
            </wp:positionV>
            <wp:extent cx="1243985" cy="650174"/>
            <wp:effectExtent l="247650" t="228600" r="241935" b="721995"/>
            <wp:wrapTight wrapText="bothSides">
              <wp:wrapPolygon edited="0">
                <wp:start x="-4300" y="-7601"/>
                <wp:lineTo x="-4300" y="44974"/>
                <wp:lineTo x="25470" y="44974"/>
                <wp:lineTo x="25470" y="-7601"/>
                <wp:lineTo x="-4300" y="-7601"/>
              </wp:wrapPolygon>
            </wp:wrapTight>
            <wp:docPr id="1857854404" name="Imagen 185785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854404" name=""/>
                    <pic:cNvPicPr/>
                  </pic:nvPicPr>
                  <pic:blipFill rotWithShape="1">
                    <a:blip r:embed="rId21" cstate="print">
                      <a:extLst>
                        <a:ext uri="{28A0092B-C50C-407E-A947-70E740481C1C}">
                          <a14:useLocalDpi xmlns:a14="http://schemas.microsoft.com/office/drawing/2010/main" val="0"/>
                        </a:ext>
                      </a:extLst>
                    </a:blip>
                    <a:srcRect b="7077"/>
                    <a:stretch/>
                  </pic:blipFill>
                  <pic:spPr bwMode="auto">
                    <a:xfrm>
                      <a:off x="0" y="0"/>
                      <a:ext cx="1243985" cy="65017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1436D5C" w14:textId="77777777" w:rsidR="00991967" w:rsidRDefault="00991967" w:rsidP="00991967">
      <w:pPr>
        <w:jc w:val="both"/>
        <w:rPr>
          <w:rFonts w:ascii="Abadi" w:hAnsi="Abadi"/>
          <w:b/>
          <w:bCs/>
          <w:sz w:val="21"/>
          <w:szCs w:val="21"/>
        </w:rPr>
      </w:pPr>
      <w:r w:rsidRPr="0030088F">
        <w:rPr>
          <w:rFonts w:ascii="Abadi" w:hAnsi="Abadi"/>
          <w:b/>
          <w:bCs/>
          <w:sz w:val="21"/>
          <w:szCs w:val="21"/>
        </w:rPr>
        <w:t>Diputado Gustavo Adolfo Alfaro Reyes</w:t>
      </w:r>
    </w:p>
    <w:p w14:paraId="561B0D26" w14:textId="77777777" w:rsidR="00991967" w:rsidRPr="0030088F" w:rsidRDefault="00991967" w:rsidP="00991967">
      <w:pPr>
        <w:jc w:val="both"/>
        <w:rPr>
          <w:rFonts w:ascii="Abadi" w:hAnsi="Abadi"/>
          <w:b/>
          <w:bCs/>
          <w:sz w:val="21"/>
          <w:szCs w:val="21"/>
        </w:rPr>
      </w:pPr>
    </w:p>
    <w:p w14:paraId="52C74088" w14:textId="77777777" w:rsidR="00991967" w:rsidRDefault="00991967" w:rsidP="00991967">
      <w:pPr>
        <w:jc w:val="both"/>
        <w:rPr>
          <w:rFonts w:ascii="Abadi" w:hAnsi="Abadi"/>
          <w:sz w:val="21"/>
          <w:szCs w:val="21"/>
        </w:rPr>
      </w:pPr>
      <w:r w:rsidRPr="0030088F">
        <w:rPr>
          <w:rFonts w:ascii="Abadi" w:hAnsi="Abadi"/>
          <w:sz w:val="21"/>
          <w:szCs w:val="21"/>
        </w:rPr>
        <w:t xml:space="preserve">- Gracias presidenta, con su permiso, muy buenos días a todos nuestras compañeras compañeros diputados, saludo con muchos gusto a las personas que nos acompañen el día de en este recito y a los que nos ven a través de los medios digitales, acudo a esta soberanía a presentar la siguiente iniciativa, con proyecto integral de decreto por lo que se reforman y adicionan diversos artículos fracciones y párrafos de la Ley de Cultura </w:t>
      </w:r>
      <w:r w:rsidRPr="0030088F">
        <w:rPr>
          <w:rFonts w:ascii="Abadi" w:hAnsi="Abadi"/>
          <w:sz w:val="21"/>
          <w:szCs w:val="21"/>
        </w:rPr>
        <w:lastRenderedPageBreak/>
        <w:t xml:space="preserve">Física y Deporte del Estado de Guanajuato conforme a la siguiente. </w:t>
      </w:r>
    </w:p>
    <w:p w14:paraId="7A936601" w14:textId="77777777" w:rsidR="00991967" w:rsidRPr="0030088F" w:rsidRDefault="00991967" w:rsidP="00991967">
      <w:pPr>
        <w:jc w:val="both"/>
        <w:rPr>
          <w:rFonts w:ascii="Abadi" w:hAnsi="Abadi"/>
          <w:sz w:val="21"/>
          <w:szCs w:val="21"/>
        </w:rPr>
      </w:pPr>
    </w:p>
    <w:p w14:paraId="410380A4" w14:textId="77777777" w:rsidR="00991967" w:rsidRDefault="00991967" w:rsidP="00991967">
      <w:pPr>
        <w:jc w:val="both"/>
        <w:rPr>
          <w:rFonts w:ascii="Abadi" w:hAnsi="Abadi"/>
          <w:sz w:val="21"/>
          <w:szCs w:val="21"/>
        </w:rPr>
      </w:pPr>
      <w:r w:rsidRPr="0030088F">
        <w:rPr>
          <w:rFonts w:ascii="Abadi" w:hAnsi="Abadi"/>
          <w:sz w:val="21"/>
          <w:szCs w:val="21"/>
        </w:rPr>
        <w:t xml:space="preserve">- Exposición de motivos: </w:t>
      </w:r>
    </w:p>
    <w:p w14:paraId="0AF8830D" w14:textId="77777777" w:rsidR="00991967" w:rsidRPr="0030088F" w:rsidRDefault="00991967" w:rsidP="00991967">
      <w:pPr>
        <w:jc w:val="both"/>
        <w:rPr>
          <w:rFonts w:ascii="Abadi" w:hAnsi="Abadi"/>
          <w:sz w:val="21"/>
          <w:szCs w:val="21"/>
        </w:rPr>
      </w:pPr>
    </w:p>
    <w:p w14:paraId="3E6AE83F" w14:textId="77777777" w:rsidR="00991967" w:rsidRDefault="00991967" w:rsidP="00991967">
      <w:pPr>
        <w:jc w:val="both"/>
        <w:rPr>
          <w:rFonts w:ascii="Abadi" w:hAnsi="Abadi"/>
          <w:sz w:val="21"/>
          <w:szCs w:val="21"/>
        </w:rPr>
      </w:pPr>
      <w:r w:rsidRPr="0030088F">
        <w:rPr>
          <w:rFonts w:ascii="Abadi" w:hAnsi="Abadi"/>
          <w:sz w:val="21"/>
          <w:szCs w:val="21"/>
        </w:rPr>
        <w:t>- La fracción parlamentaria del Partido Revolucionario institucional, en esta ocasión hemos, decidió presentar esta iniciativa, producto de un trabajo laborioso, que constituye un proyecto, de reforma integral  a la Ley de Cultura Física y Deporte del Estado de Guanajuato, la razón de hacer este trabajo surge, de la preocupación de la que en la cultura física y deporte, tanto a nivel mundial estatal, y municipal se siguen realizando cotidianamente acciones de violencia, discriminación exclusión de personas, por su condición de género diversidad sexual discapacidad, ser de la tercera edad, la niñez sin que se realice por parte del estado los municipios, así como del sector privado, acciones, programas, políticas públicas, para evitar la violencia de género o la discriminación fomentando la integración y la igualdad entre todas las personas en cualquier evento de carácter deportivo.</w:t>
      </w:r>
    </w:p>
    <w:p w14:paraId="0D6BFE36" w14:textId="77777777" w:rsidR="00991967" w:rsidRPr="0030088F" w:rsidRDefault="00991967" w:rsidP="00991967">
      <w:pPr>
        <w:jc w:val="both"/>
        <w:rPr>
          <w:rFonts w:ascii="Abadi" w:hAnsi="Abadi"/>
          <w:sz w:val="21"/>
          <w:szCs w:val="21"/>
        </w:rPr>
      </w:pPr>
    </w:p>
    <w:p w14:paraId="265C9C78" w14:textId="77777777" w:rsidR="00991967" w:rsidRDefault="00991967" w:rsidP="00991967">
      <w:pPr>
        <w:jc w:val="both"/>
        <w:rPr>
          <w:rFonts w:ascii="Abadi" w:hAnsi="Abadi"/>
          <w:sz w:val="21"/>
          <w:szCs w:val="21"/>
        </w:rPr>
      </w:pPr>
      <w:r w:rsidRPr="0030088F">
        <w:rPr>
          <w:rFonts w:ascii="Abadi" w:hAnsi="Abadi"/>
          <w:sz w:val="21"/>
          <w:szCs w:val="21"/>
        </w:rPr>
        <w:t>- Es común que en el deporte y las normas que lo regulan se detecten carencias de preceptos que tiendan a implementar o fomentar la perspectiva de género y la igualdad entre el hombre y la mujer sin que se realicen acciones para reducir o evitar en ciertas ramas de la cultura física y del deporte preconcepciones de masculinidad y feminidad, lo que implica que ciertas actividades deportivas se hayan considerado históricamente exclusivas para los hombres como es el fútbol, el boxeo, y otras.</w:t>
      </w:r>
    </w:p>
    <w:p w14:paraId="4EF3AD2C" w14:textId="77777777" w:rsidR="00991967" w:rsidRPr="0030088F" w:rsidRDefault="00991967" w:rsidP="00991967">
      <w:pPr>
        <w:jc w:val="both"/>
        <w:rPr>
          <w:rFonts w:ascii="Abadi" w:hAnsi="Abadi"/>
          <w:sz w:val="21"/>
          <w:szCs w:val="21"/>
        </w:rPr>
      </w:pPr>
    </w:p>
    <w:p w14:paraId="49EB6A6E" w14:textId="77777777" w:rsidR="00991967" w:rsidRDefault="00991967" w:rsidP="00991967">
      <w:pPr>
        <w:jc w:val="both"/>
        <w:rPr>
          <w:rFonts w:ascii="Abadi" w:hAnsi="Abadi"/>
          <w:sz w:val="21"/>
          <w:szCs w:val="21"/>
        </w:rPr>
      </w:pPr>
      <w:r w:rsidRPr="0030088F">
        <w:rPr>
          <w:rFonts w:ascii="Abadi" w:hAnsi="Abadi"/>
          <w:sz w:val="21"/>
          <w:szCs w:val="21"/>
        </w:rPr>
        <w:t xml:space="preserve">- Sin duda es elemental saber que la cultura física y el deporte son derechos fundamentales para todos establecidos en el artículo cuarto de la constitución federal, es así que la presente iniciativa no solo aborda la mayor protección para las mujeres bajo el principio de perspectiva de género, la no violencia, la igualdad entre hombres y mujeres y la no discriminación, también se hizo un trabajo de análisis de otros sectores para ser incluyentes en la actividad legislativa considerando la protección a este derecho de las personas discapacitadas de forma especial de las niñas niños y adolescentes de las que están comprendidas en la tercera edad así como de las personas con diversidad sexual o </w:t>
      </w:r>
      <w:r w:rsidRPr="0030088F">
        <w:rPr>
          <w:rFonts w:ascii="Abadi" w:hAnsi="Abadi"/>
          <w:sz w:val="21"/>
          <w:szCs w:val="21"/>
        </w:rPr>
        <w:t xml:space="preserve">comunidad LGBT, la iniciativa se sustenta en aumentar el espectro de protección del derecho fundamental a las actividades de cultura física y deporte en los siguientes ámbitos y temas principales. </w:t>
      </w:r>
    </w:p>
    <w:p w14:paraId="6CCCD71F" w14:textId="77777777" w:rsidR="00991967" w:rsidRPr="0030088F" w:rsidRDefault="00991967" w:rsidP="00991967">
      <w:pPr>
        <w:jc w:val="both"/>
        <w:rPr>
          <w:rFonts w:ascii="Abadi" w:hAnsi="Abadi"/>
          <w:sz w:val="21"/>
          <w:szCs w:val="21"/>
        </w:rPr>
      </w:pPr>
    </w:p>
    <w:p w14:paraId="675ED8B2" w14:textId="77777777" w:rsidR="00991967" w:rsidRDefault="00991967" w:rsidP="00991967">
      <w:pPr>
        <w:jc w:val="both"/>
        <w:rPr>
          <w:rFonts w:ascii="Abadi" w:hAnsi="Abadi"/>
          <w:sz w:val="21"/>
          <w:szCs w:val="21"/>
        </w:rPr>
      </w:pPr>
      <w:r w:rsidRPr="0030088F">
        <w:rPr>
          <w:rFonts w:ascii="Abadi" w:hAnsi="Abadi"/>
          <w:sz w:val="21"/>
          <w:szCs w:val="21"/>
        </w:rPr>
        <w:t xml:space="preserve">- A) Del estado. </w:t>
      </w:r>
    </w:p>
    <w:p w14:paraId="1ECC3008" w14:textId="77777777" w:rsidR="00991967" w:rsidRPr="0030088F" w:rsidRDefault="00991967" w:rsidP="00991967">
      <w:pPr>
        <w:jc w:val="both"/>
        <w:rPr>
          <w:rFonts w:ascii="Abadi" w:hAnsi="Abadi"/>
          <w:sz w:val="21"/>
          <w:szCs w:val="21"/>
        </w:rPr>
      </w:pPr>
    </w:p>
    <w:p w14:paraId="3CAC2398" w14:textId="77777777" w:rsidR="00991967" w:rsidRPr="0030088F" w:rsidRDefault="00991967" w:rsidP="00991967">
      <w:pPr>
        <w:jc w:val="both"/>
        <w:rPr>
          <w:rFonts w:ascii="Abadi" w:hAnsi="Abadi"/>
          <w:sz w:val="21"/>
          <w:szCs w:val="21"/>
        </w:rPr>
      </w:pPr>
      <w:r w:rsidRPr="0030088F">
        <w:rPr>
          <w:rFonts w:ascii="Abadi" w:hAnsi="Abadi"/>
          <w:sz w:val="21"/>
          <w:szCs w:val="21"/>
        </w:rPr>
        <w:t>- Número 1. Mayor alcance al objeto de la ley, incluyendo la obligación para el estado los municipios y la iniciativa privada de promover las medidas preventivas para erradicar la violencia de género en el deporte y la discriminación debiendo fomentarse la integración social y escolar.</w:t>
      </w:r>
    </w:p>
    <w:p w14:paraId="32DE4C85" w14:textId="77777777" w:rsidR="00991967" w:rsidRDefault="00991967" w:rsidP="00991967">
      <w:pPr>
        <w:jc w:val="both"/>
        <w:rPr>
          <w:rFonts w:ascii="Abadi" w:hAnsi="Abadi"/>
          <w:sz w:val="21"/>
          <w:szCs w:val="21"/>
        </w:rPr>
      </w:pPr>
      <w:r w:rsidRPr="0030088F">
        <w:rPr>
          <w:rFonts w:ascii="Abadi" w:hAnsi="Abadi"/>
          <w:sz w:val="21"/>
          <w:szCs w:val="21"/>
        </w:rPr>
        <w:t xml:space="preserve">-Dos. Incremento de acciones de prevención, para erradicar la discriminación en ciertas ramas del deporte por cuestiones de género preferencias sexuales así como la violencia contra mujeres niñas niños adolescentes personas discapacitadas de la tercera edad u otros sectores vulnerables o en visibilizados. </w:t>
      </w:r>
    </w:p>
    <w:p w14:paraId="4104719F" w14:textId="77777777" w:rsidR="00991967" w:rsidRPr="0030088F" w:rsidRDefault="00991967" w:rsidP="00991967">
      <w:pPr>
        <w:jc w:val="both"/>
        <w:rPr>
          <w:rFonts w:ascii="Abadi" w:hAnsi="Abadi"/>
          <w:sz w:val="21"/>
          <w:szCs w:val="21"/>
        </w:rPr>
      </w:pPr>
    </w:p>
    <w:p w14:paraId="152A5D0A" w14:textId="77777777" w:rsidR="00991967" w:rsidRDefault="00991967" w:rsidP="00991967">
      <w:pPr>
        <w:jc w:val="both"/>
        <w:rPr>
          <w:rFonts w:ascii="Abadi" w:hAnsi="Abadi"/>
          <w:sz w:val="21"/>
          <w:szCs w:val="21"/>
        </w:rPr>
      </w:pPr>
      <w:r w:rsidRPr="0030088F">
        <w:rPr>
          <w:rFonts w:ascii="Abadi" w:hAnsi="Abadi"/>
          <w:sz w:val="21"/>
          <w:szCs w:val="21"/>
        </w:rPr>
        <w:t>- Tres. Fomentar la igualdad entre las personas, eliminar la diferencia entre el hombre y la mujer prohibiendo preconcepciones de masculinidad y feminidad que aún persisten en el deporte.</w:t>
      </w:r>
    </w:p>
    <w:p w14:paraId="16B3F34E" w14:textId="77777777" w:rsidR="00991967" w:rsidRPr="0030088F" w:rsidRDefault="00991967" w:rsidP="00991967">
      <w:pPr>
        <w:jc w:val="both"/>
        <w:rPr>
          <w:rFonts w:ascii="Abadi" w:hAnsi="Abadi"/>
          <w:sz w:val="21"/>
          <w:szCs w:val="21"/>
        </w:rPr>
      </w:pPr>
    </w:p>
    <w:p w14:paraId="1540107E" w14:textId="77777777" w:rsidR="00991967" w:rsidRPr="0030088F" w:rsidRDefault="00991967" w:rsidP="00991967">
      <w:pPr>
        <w:jc w:val="both"/>
        <w:rPr>
          <w:rFonts w:ascii="Abadi" w:hAnsi="Abadi"/>
          <w:sz w:val="21"/>
          <w:szCs w:val="21"/>
        </w:rPr>
      </w:pPr>
      <w:r w:rsidRPr="0030088F">
        <w:rPr>
          <w:rFonts w:ascii="Abadi" w:hAnsi="Abadi"/>
          <w:sz w:val="21"/>
          <w:szCs w:val="21"/>
        </w:rPr>
        <w:t>- Cuatro. Servicio médico de emergencia que se establezca en cualquier tipo de deporte social de rendimiento de alto rendimiento enlace celebración de eventos deportivos.</w:t>
      </w:r>
    </w:p>
    <w:p w14:paraId="55C56CAB" w14:textId="77777777" w:rsidR="00991967" w:rsidRDefault="00991967" w:rsidP="00991967">
      <w:pPr>
        <w:jc w:val="both"/>
        <w:rPr>
          <w:rFonts w:ascii="Abadi" w:hAnsi="Abadi"/>
          <w:sz w:val="21"/>
          <w:szCs w:val="21"/>
        </w:rPr>
      </w:pPr>
      <w:r w:rsidRPr="0030088F">
        <w:rPr>
          <w:rFonts w:ascii="Abadi" w:hAnsi="Abadi"/>
          <w:sz w:val="21"/>
          <w:szCs w:val="21"/>
        </w:rPr>
        <w:t xml:space="preserve">-Cinco. Evitar la discriminación para que en esta actividad se propicie la igualdad de todas las personas en especial entre el hombre y la mujer generando las condiciones para prevenir y erradicar la discriminación de cualquier especie. </w:t>
      </w:r>
    </w:p>
    <w:p w14:paraId="0A5AD684" w14:textId="77777777" w:rsidR="00991967" w:rsidRPr="0030088F" w:rsidRDefault="00991967" w:rsidP="00991967">
      <w:pPr>
        <w:jc w:val="both"/>
        <w:rPr>
          <w:rFonts w:ascii="Abadi" w:hAnsi="Abadi"/>
          <w:sz w:val="21"/>
          <w:szCs w:val="21"/>
        </w:rPr>
      </w:pPr>
    </w:p>
    <w:p w14:paraId="11E6AD1F" w14:textId="77777777" w:rsidR="00991967" w:rsidRDefault="00991967" w:rsidP="00991967">
      <w:pPr>
        <w:jc w:val="both"/>
        <w:rPr>
          <w:rFonts w:ascii="Abadi" w:hAnsi="Abadi"/>
          <w:sz w:val="21"/>
          <w:szCs w:val="21"/>
        </w:rPr>
      </w:pPr>
      <w:r w:rsidRPr="0030088F">
        <w:rPr>
          <w:rFonts w:ascii="Abadi" w:hAnsi="Abadi"/>
          <w:sz w:val="21"/>
          <w:szCs w:val="21"/>
        </w:rPr>
        <w:t>- Seis. Protección más amplia, mediante la implementación de programas políticas, emisión actualización de reglamentos o lineamientos que protejan con más amplitud en el deporte a la niñez a las personas de la diversidad sexual y a otros sectores vulnerables, como el obrero el indígena etcétera.</w:t>
      </w:r>
    </w:p>
    <w:p w14:paraId="21A777B7" w14:textId="77777777" w:rsidR="00991967" w:rsidRPr="0030088F" w:rsidRDefault="00991967" w:rsidP="00991967">
      <w:pPr>
        <w:jc w:val="both"/>
        <w:rPr>
          <w:rFonts w:ascii="Abadi" w:hAnsi="Abadi"/>
          <w:sz w:val="21"/>
          <w:szCs w:val="21"/>
        </w:rPr>
      </w:pPr>
    </w:p>
    <w:p w14:paraId="598C3F4C" w14:textId="3166BAF7" w:rsidR="00991967" w:rsidRDefault="00991967" w:rsidP="00991967">
      <w:pPr>
        <w:jc w:val="both"/>
        <w:rPr>
          <w:rFonts w:ascii="Abadi" w:hAnsi="Abadi"/>
          <w:sz w:val="21"/>
          <w:szCs w:val="21"/>
        </w:rPr>
      </w:pPr>
      <w:r w:rsidRPr="0030088F">
        <w:rPr>
          <w:rFonts w:ascii="Abadi" w:hAnsi="Abadi"/>
          <w:sz w:val="21"/>
          <w:szCs w:val="21"/>
        </w:rPr>
        <w:t>-Siete. Igualdad de oportunidades dentro de los programas que deberán ser elaborados con perspectiva de género e inclusión sin estereotipos de marginalización, es decir, la inclusión del concepto de deporte de rendimiento que no está contemplado actualmente</w:t>
      </w:r>
      <w:r>
        <w:rPr>
          <w:rFonts w:ascii="Abadi" w:hAnsi="Abadi"/>
          <w:sz w:val="21"/>
          <w:szCs w:val="21"/>
        </w:rPr>
        <w:t>.</w:t>
      </w:r>
    </w:p>
    <w:p w14:paraId="47EE94E6" w14:textId="77777777" w:rsidR="00991967" w:rsidRPr="0030088F" w:rsidRDefault="00991967" w:rsidP="00991967">
      <w:pPr>
        <w:jc w:val="both"/>
        <w:rPr>
          <w:rFonts w:ascii="Abadi" w:hAnsi="Abadi"/>
          <w:sz w:val="21"/>
          <w:szCs w:val="21"/>
        </w:rPr>
      </w:pPr>
    </w:p>
    <w:p w14:paraId="746539EC" w14:textId="77777777" w:rsidR="00991967" w:rsidRDefault="00991967" w:rsidP="00991967">
      <w:pPr>
        <w:jc w:val="both"/>
        <w:rPr>
          <w:rFonts w:ascii="Abadi" w:hAnsi="Abadi"/>
          <w:sz w:val="21"/>
          <w:szCs w:val="21"/>
        </w:rPr>
      </w:pPr>
      <w:r w:rsidRPr="0030088F">
        <w:rPr>
          <w:rFonts w:ascii="Abadi" w:hAnsi="Abadi"/>
          <w:sz w:val="21"/>
          <w:szCs w:val="21"/>
        </w:rPr>
        <w:t xml:space="preserve">- Ocho. Perspectiva de género e inclusión qué tanto la CODE y el Consejo Directivo </w:t>
      </w:r>
      <w:proofErr w:type="gramStart"/>
      <w:r w:rsidRPr="0030088F">
        <w:rPr>
          <w:rFonts w:ascii="Abadi" w:hAnsi="Abadi"/>
          <w:sz w:val="21"/>
          <w:szCs w:val="21"/>
        </w:rPr>
        <w:t>Estatal,  establezcan</w:t>
      </w:r>
      <w:proofErr w:type="gramEnd"/>
      <w:r w:rsidRPr="0030088F">
        <w:rPr>
          <w:rFonts w:ascii="Abadi" w:hAnsi="Abadi"/>
          <w:sz w:val="21"/>
          <w:szCs w:val="21"/>
        </w:rPr>
        <w:t xml:space="preserve"> programas, políticas, criterios de planeación y lineamientos con perspectiva de género e inclusión así como de atención a sectores vulnerables y visibilizados o de categorías sospechosas. </w:t>
      </w:r>
    </w:p>
    <w:p w14:paraId="5161812E" w14:textId="77777777" w:rsidR="00991967" w:rsidRPr="0030088F" w:rsidRDefault="00991967" w:rsidP="00991967">
      <w:pPr>
        <w:jc w:val="both"/>
        <w:rPr>
          <w:rFonts w:ascii="Abadi" w:hAnsi="Abadi"/>
          <w:sz w:val="21"/>
          <w:szCs w:val="21"/>
        </w:rPr>
      </w:pPr>
    </w:p>
    <w:p w14:paraId="6A6C017A" w14:textId="77777777" w:rsidR="00991967" w:rsidRDefault="00991967" w:rsidP="00991967">
      <w:pPr>
        <w:jc w:val="both"/>
        <w:rPr>
          <w:rFonts w:ascii="Abadi" w:hAnsi="Abadi"/>
          <w:sz w:val="21"/>
          <w:szCs w:val="21"/>
        </w:rPr>
      </w:pPr>
      <w:r w:rsidRPr="0030088F">
        <w:rPr>
          <w:rFonts w:ascii="Abadi" w:hAnsi="Abadi"/>
          <w:sz w:val="21"/>
          <w:szCs w:val="21"/>
        </w:rPr>
        <w:t xml:space="preserve">- B) de los municipios y organismos municipales.  </w:t>
      </w:r>
    </w:p>
    <w:p w14:paraId="0155B600" w14:textId="77777777" w:rsidR="00991967" w:rsidRPr="0030088F" w:rsidRDefault="00991967" w:rsidP="00991967">
      <w:pPr>
        <w:jc w:val="both"/>
        <w:rPr>
          <w:rFonts w:ascii="Abadi" w:hAnsi="Abadi"/>
          <w:sz w:val="21"/>
          <w:szCs w:val="21"/>
        </w:rPr>
      </w:pPr>
    </w:p>
    <w:p w14:paraId="4C819124" w14:textId="77777777" w:rsidR="00991967" w:rsidRPr="0030088F" w:rsidRDefault="00991967" w:rsidP="00991967">
      <w:pPr>
        <w:jc w:val="both"/>
        <w:rPr>
          <w:rFonts w:ascii="Abadi" w:hAnsi="Abadi"/>
          <w:sz w:val="21"/>
          <w:szCs w:val="21"/>
        </w:rPr>
      </w:pPr>
      <w:r w:rsidRPr="0030088F">
        <w:rPr>
          <w:rFonts w:ascii="Abadi" w:hAnsi="Abadi"/>
          <w:sz w:val="21"/>
          <w:szCs w:val="21"/>
        </w:rPr>
        <w:t>- Número 1. Emisión o actualización de los reglamentos y disposiciones administrativas que deberán expedirse con perspectiva de género e inclusión, asimismo establecer programas de prevención y erradicación de la violencia y la discriminación fomentando la integración social y la igualdad entre el hombre y la mujer.</w:t>
      </w:r>
    </w:p>
    <w:p w14:paraId="21A9FA88" w14:textId="77777777" w:rsidR="00991967" w:rsidRDefault="00991967" w:rsidP="00991967">
      <w:pPr>
        <w:jc w:val="both"/>
        <w:rPr>
          <w:rFonts w:ascii="Abadi" w:hAnsi="Abadi"/>
          <w:sz w:val="21"/>
          <w:szCs w:val="21"/>
        </w:rPr>
      </w:pPr>
      <w:r w:rsidRPr="0030088F">
        <w:rPr>
          <w:rFonts w:ascii="Abadi" w:hAnsi="Abadi"/>
          <w:sz w:val="21"/>
          <w:szCs w:val="21"/>
        </w:rPr>
        <w:t>- Dos. Estrategias y acciones para incrementar la calidad de cultura física y el deporte en el municipio con perspectiva de género e inclusión de sectores vulnerables o en visibilizados se debe fomentar la integración de la comunidad deportiva con la sociedad.</w:t>
      </w:r>
    </w:p>
    <w:p w14:paraId="0C731318" w14:textId="77777777" w:rsidR="00991967" w:rsidRPr="0030088F" w:rsidRDefault="00991967" w:rsidP="00991967">
      <w:pPr>
        <w:jc w:val="both"/>
        <w:rPr>
          <w:rFonts w:ascii="Abadi" w:hAnsi="Abadi"/>
          <w:sz w:val="21"/>
          <w:szCs w:val="21"/>
        </w:rPr>
      </w:pPr>
    </w:p>
    <w:p w14:paraId="10FCEED4" w14:textId="77777777" w:rsidR="00991967" w:rsidRDefault="00991967" w:rsidP="00991967">
      <w:pPr>
        <w:jc w:val="both"/>
        <w:rPr>
          <w:rFonts w:ascii="Abadi" w:hAnsi="Abadi"/>
          <w:sz w:val="21"/>
          <w:szCs w:val="21"/>
        </w:rPr>
      </w:pPr>
      <w:r w:rsidRPr="0030088F">
        <w:rPr>
          <w:rFonts w:ascii="Abadi" w:hAnsi="Abadi"/>
          <w:sz w:val="21"/>
          <w:szCs w:val="21"/>
        </w:rPr>
        <w:t xml:space="preserve">- Tres. Reconocimientos y apoyos, los que deben ser otorgados con base a la equidad y no discriminación. </w:t>
      </w:r>
    </w:p>
    <w:p w14:paraId="44F927B4" w14:textId="77777777" w:rsidR="00991967" w:rsidRPr="0030088F" w:rsidRDefault="00991967" w:rsidP="00991967">
      <w:pPr>
        <w:jc w:val="both"/>
        <w:rPr>
          <w:rFonts w:ascii="Abadi" w:hAnsi="Abadi"/>
          <w:sz w:val="21"/>
          <w:szCs w:val="21"/>
        </w:rPr>
      </w:pPr>
    </w:p>
    <w:p w14:paraId="5262F010" w14:textId="77777777" w:rsidR="00991967" w:rsidRDefault="00991967" w:rsidP="00991967">
      <w:pPr>
        <w:jc w:val="both"/>
        <w:rPr>
          <w:rFonts w:ascii="Abadi" w:hAnsi="Abadi"/>
          <w:sz w:val="21"/>
          <w:szCs w:val="21"/>
        </w:rPr>
      </w:pPr>
      <w:r w:rsidRPr="0030088F">
        <w:rPr>
          <w:rFonts w:ascii="Abadi" w:hAnsi="Abadi"/>
          <w:sz w:val="21"/>
          <w:szCs w:val="21"/>
        </w:rPr>
        <w:t xml:space="preserve">- Cuatro. Torneos obligación de realización de torneos competencias y campeonatos de cultura física y deporte en condiciones de igualdad y sin discriminación de ninguna especie. </w:t>
      </w:r>
    </w:p>
    <w:p w14:paraId="0BCCA65A" w14:textId="77777777" w:rsidR="00991967" w:rsidRPr="0030088F" w:rsidRDefault="00991967" w:rsidP="00991967">
      <w:pPr>
        <w:jc w:val="both"/>
        <w:rPr>
          <w:rFonts w:ascii="Abadi" w:hAnsi="Abadi"/>
          <w:sz w:val="21"/>
          <w:szCs w:val="21"/>
        </w:rPr>
      </w:pPr>
    </w:p>
    <w:p w14:paraId="38A086BB" w14:textId="77777777" w:rsidR="00991967" w:rsidRDefault="00991967" w:rsidP="00991967">
      <w:pPr>
        <w:jc w:val="both"/>
        <w:rPr>
          <w:rFonts w:ascii="Abadi" w:hAnsi="Abadi"/>
          <w:sz w:val="21"/>
          <w:szCs w:val="21"/>
        </w:rPr>
      </w:pPr>
      <w:r w:rsidRPr="0030088F">
        <w:rPr>
          <w:rFonts w:ascii="Abadi" w:hAnsi="Abadi"/>
          <w:sz w:val="21"/>
          <w:szCs w:val="21"/>
        </w:rPr>
        <w:t xml:space="preserve">- Cinco. Capacitación, implementar programas de capacitación en materia deportiva, así como en derechos humanos perspectiva de género inclusión no discriminación, no violencia a la mujer, interés superior de la niñez, sectores sociales vulnerables o invisibles a deportistas profesionales, directivos, jueces, árbitros y entrenadores. </w:t>
      </w:r>
    </w:p>
    <w:p w14:paraId="489339B3" w14:textId="77777777" w:rsidR="00991967" w:rsidRPr="0030088F" w:rsidRDefault="00991967" w:rsidP="00991967">
      <w:pPr>
        <w:jc w:val="both"/>
        <w:rPr>
          <w:rFonts w:ascii="Abadi" w:hAnsi="Abadi"/>
          <w:sz w:val="21"/>
          <w:szCs w:val="21"/>
        </w:rPr>
      </w:pPr>
    </w:p>
    <w:p w14:paraId="015D8383" w14:textId="77777777" w:rsidR="00991967" w:rsidRDefault="00991967" w:rsidP="00991967">
      <w:pPr>
        <w:jc w:val="both"/>
        <w:rPr>
          <w:rFonts w:ascii="Abadi" w:hAnsi="Abadi"/>
          <w:sz w:val="21"/>
          <w:szCs w:val="21"/>
        </w:rPr>
      </w:pPr>
      <w:r w:rsidRPr="0030088F">
        <w:rPr>
          <w:rFonts w:ascii="Abadi" w:hAnsi="Abadi"/>
          <w:sz w:val="21"/>
          <w:szCs w:val="21"/>
        </w:rPr>
        <w:t xml:space="preserve">- Seis. Procedimientos administrativos, al personal que realice acciones de violencia contra la mujer y la niñez discriminación de cualquier índole o que permitan a los usuarios de las instalaciones deportivas la introducción venta o consumo de bebidas alcohólicas sustancias psicotrópicas o enervantes prohibidas. </w:t>
      </w:r>
    </w:p>
    <w:p w14:paraId="0D794E18" w14:textId="77777777" w:rsidR="00991967" w:rsidRPr="0030088F" w:rsidRDefault="00991967" w:rsidP="00991967">
      <w:pPr>
        <w:jc w:val="both"/>
        <w:rPr>
          <w:rFonts w:ascii="Abadi" w:hAnsi="Abadi"/>
          <w:sz w:val="21"/>
          <w:szCs w:val="21"/>
        </w:rPr>
      </w:pPr>
    </w:p>
    <w:p w14:paraId="7B8AE851" w14:textId="77777777" w:rsidR="00991967" w:rsidRDefault="00991967" w:rsidP="00991967">
      <w:pPr>
        <w:jc w:val="both"/>
        <w:rPr>
          <w:rFonts w:ascii="Abadi" w:hAnsi="Abadi"/>
          <w:sz w:val="21"/>
          <w:szCs w:val="21"/>
        </w:rPr>
      </w:pPr>
      <w:r w:rsidRPr="0030088F">
        <w:rPr>
          <w:rFonts w:ascii="Abadi" w:hAnsi="Abadi"/>
          <w:sz w:val="21"/>
          <w:szCs w:val="21"/>
        </w:rPr>
        <w:t xml:space="preserve">- C) de los poderes y organismos autónomos. </w:t>
      </w:r>
    </w:p>
    <w:p w14:paraId="50D0DDF2" w14:textId="77777777" w:rsidR="00991967" w:rsidRPr="0030088F" w:rsidRDefault="00991967" w:rsidP="00991967">
      <w:pPr>
        <w:jc w:val="both"/>
        <w:rPr>
          <w:rFonts w:ascii="Abadi" w:hAnsi="Abadi"/>
          <w:sz w:val="21"/>
          <w:szCs w:val="21"/>
        </w:rPr>
      </w:pPr>
    </w:p>
    <w:p w14:paraId="1AFF6051" w14:textId="77777777" w:rsidR="00991967" w:rsidRDefault="00991967" w:rsidP="00991967">
      <w:pPr>
        <w:jc w:val="both"/>
        <w:rPr>
          <w:rFonts w:ascii="Abadi" w:hAnsi="Abadi"/>
          <w:sz w:val="21"/>
          <w:szCs w:val="21"/>
        </w:rPr>
      </w:pPr>
      <w:r w:rsidRPr="0030088F">
        <w:rPr>
          <w:rFonts w:ascii="Abadi" w:hAnsi="Abadi"/>
          <w:sz w:val="21"/>
          <w:szCs w:val="21"/>
        </w:rPr>
        <w:t xml:space="preserve">- Uno. Implementar acciones de prevención y erradicación, para evitar la violencia de género o la discriminación por orientación sexual o discapacidad fomentando la integración y la igualdad entre el hombre y la mujer en cualquier evento de carácter deportivo que se lleve a cabo. </w:t>
      </w:r>
    </w:p>
    <w:p w14:paraId="09FCDFF9" w14:textId="77777777" w:rsidR="00991967" w:rsidRPr="0030088F" w:rsidRDefault="00991967" w:rsidP="00991967">
      <w:pPr>
        <w:jc w:val="both"/>
        <w:rPr>
          <w:rFonts w:ascii="Abadi" w:hAnsi="Abadi"/>
          <w:sz w:val="21"/>
          <w:szCs w:val="21"/>
        </w:rPr>
      </w:pPr>
    </w:p>
    <w:p w14:paraId="521ED03A" w14:textId="77777777" w:rsidR="00991967" w:rsidRDefault="00991967" w:rsidP="00991967">
      <w:pPr>
        <w:jc w:val="both"/>
        <w:rPr>
          <w:rFonts w:ascii="Abadi" w:hAnsi="Abadi"/>
          <w:sz w:val="21"/>
          <w:szCs w:val="21"/>
        </w:rPr>
      </w:pPr>
      <w:r w:rsidRPr="0030088F">
        <w:rPr>
          <w:rFonts w:ascii="Abadi" w:hAnsi="Abadi"/>
          <w:sz w:val="21"/>
          <w:szCs w:val="21"/>
        </w:rPr>
        <w:t xml:space="preserve">- Dos. Apoyos, se otorguen con igualdad y perspectiva de género sin discriminación de ninguna especie. </w:t>
      </w:r>
    </w:p>
    <w:p w14:paraId="6F934002" w14:textId="77777777" w:rsidR="00991967" w:rsidRPr="0030088F" w:rsidRDefault="00991967" w:rsidP="00991967">
      <w:pPr>
        <w:jc w:val="both"/>
        <w:rPr>
          <w:rFonts w:ascii="Abadi" w:hAnsi="Abadi"/>
          <w:sz w:val="21"/>
          <w:szCs w:val="21"/>
        </w:rPr>
      </w:pPr>
    </w:p>
    <w:p w14:paraId="032721E2" w14:textId="77777777" w:rsidR="00991967" w:rsidRPr="0030088F" w:rsidRDefault="00991967" w:rsidP="00991967">
      <w:pPr>
        <w:jc w:val="both"/>
        <w:rPr>
          <w:rFonts w:ascii="Abadi" w:hAnsi="Abadi"/>
          <w:sz w:val="21"/>
          <w:szCs w:val="21"/>
        </w:rPr>
      </w:pPr>
      <w:r w:rsidRPr="0030088F">
        <w:rPr>
          <w:rFonts w:ascii="Abadi" w:hAnsi="Abadi"/>
          <w:sz w:val="21"/>
          <w:szCs w:val="21"/>
        </w:rPr>
        <w:t xml:space="preserve">- D) del deporte de rendimiento y alto rendimiento. </w:t>
      </w:r>
    </w:p>
    <w:p w14:paraId="0F4B824B" w14:textId="77777777" w:rsidR="00991967" w:rsidRDefault="00991967" w:rsidP="00991967">
      <w:pPr>
        <w:jc w:val="both"/>
        <w:rPr>
          <w:rFonts w:ascii="Abadi" w:hAnsi="Abadi"/>
          <w:sz w:val="21"/>
          <w:szCs w:val="21"/>
        </w:rPr>
      </w:pPr>
      <w:r w:rsidRPr="0030088F">
        <w:rPr>
          <w:rFonts w:ascii="Abadi" w:hAnsi="Abadi"/>
          <w:sz w:val="21"/>
          <w:szCs w:val="21"/>
        </w:rPr>
        <w:t xml:space="preserve">- Número 1. Incremento del esquema de igualdad con perspectiva de género e incluyente que los programas de créditos reconocimientos por méritos y apoyos otorguen en forma equitativa entre hombres y mujeres. </w:t>
      </w:r>
    </w:p>
    <w:p w14:paraId="76365A24" w14:textId="77777777" w:rsidR="00991967" w:rsidRPr="0030088F" w:rsidRDefault="00991967" w:rsidP="00991967">
      <w:pPr>
        <w:jc w:val="both"/>
        <w:rPr>
          <w:rFonts w:ascii="Abadi" w:hAnsi="Abadi"/>
          <w:sz w:val="21"/>
          <w:szCs w:val="21"/>
        </w:rPr>
      </w:pPr>
    </w:p>
    <w:p w14:paraId="5ED22AA6" w14:textId="77777777" w:rsidR="00991967" w:rsidRDefault="00991967" w:rsidP="00991967">
      <w:pPr>
        <w:jc w:val="both"/>
        <w:rPr>
          <w:rFonts w:ascii="Abadi" w:hAnsi="Abadi"/>
          <w:sz w:val="21"/>
          <w:szCs w:val="21"/>
        </w:rPr>
      </w:pPr>
      <w:r w:rsidRPr="0030088F">
        <w:rPr>
          <w:rFonts w:ascii="Abadi" w:hAnsi="Abadi"/>
          <w:sz w:val="21"/>
          <w:szCs w:val="21"/>
        </w:rPr>
        <w:t xml:space="preserve">- Dos. Prohibiciones a la CODE y al Consejo Directivo, no podrán otorgar acceso a personas físicas o morales acceso a créditos reconocimientos y apoyos o poner a candidatos al premio estatal del deporte en los casos que se encuentren en los supuestos de restricciones de derechos a registros a cargos de elección popular o puestos públicos establecidos en la reciente reforma al artículo 38 de la Constitución Federal. </w:t>
      </w:r>
    </w:p>
    <w:p w14:paraId="444766DE" w14:textId="77777777" w:rsidR="00991967" w:rsidRPr="0030088F" w:rsidRDefault="00991967" w:rsidP="00991967">
      <w:pPr>
        <w:jc w:val="both"/>
        <w:rPr>
          <w:rFonts w:ascii="Abadi" w:hAnsi="Abadi"/>
          <w:sz w:val="21"/>
          <w:szCs w:val="21"/>
        </w:rPr>
      </w:pPr>
    </w:p>
    <w:p w14:paraId="3FBB0403" w14:textId="77777777" w:rsidR="00991967" w:rsidRDefault="00991967" w:rsidP="00991967">
      <w:pPr>
        <w:jc w:val="both"/>
        <w:rPr>
          <w:rFonts w:ascii="Abadi" w:hAnsi="Abadi"/>
          <w:sz w:val="21"/>
          <w:szCs w:val="21"/>
        </w:rPr>
      </w:pPr>
      <w:r w:rsidRPr="0030088F">
        <w:rPr>
          <w:rFonts w:ascii="Abadi" w:hAnsi="Abadi"/>
          <w:sz w:val="21"/>
          <w:szCs w:val="21"/>
        </w:rPr>
        <w:t xml:space="preserve">- E) de las instalaciones deportivas a cargo del estado los municipios y las instituciones privadas. </w:t>
      </w:r>
    </w:p>
    <w:p w14:paraId="3ED4330A" w14:textId="77777777" w:rsidR="00991967" w:rsidRPr="0030088F" w:rsidRDefault="00991967" w:rsidP="00991967">
      <w:pPr>
        <w:jc w:val="both"/>
        <w:rPr>
          <w:rFonts w:ascii="Abadi" w:hAnsi="Abadi"/>
          <w:sz w:val="21"/>
          <w:szCs w:val="21"/>
        </w:rPr>
      </w:pPr>
    </w:p>
    <w:p w14:paraId="0495BB8A" w14:textId="77777777" w:rsidR="00991967" w:rsidRDefault="00991967" w:rsidP="00991967">
      <w:pPr>
        <w:jc w:val="both"/>
        <w:rPr>
          <w:rFonts w:ascii="Abadi" w:hAnsi="Abadi"/>
          <w:sz w:val="21"/>
          <w:szCs w:val="21"/>
        </w:rPr>
      </w:pPr>
      <w:r w:rsidRPr="0030088F">
        <w:rPr>
          <w:rFonts w:ascii="Abadi" w:hAnsi="Abadi"/>
          <w:sz w:val="21"/>
          <w:szCs w:val="21"/>
        </w:rPr>
        <w:t xml:space="preserve">- Número 1. Espacios, adecuar áreas para el correcto acceso y uso de personas discapacitadas y de la niñez. </w:t>
      </w:r>
    </w:p>
    <w:p w14:paraId="146874D5" w14:textId="77777777" w:rsidR="00991967" w:rsidRPr="0030088F" w:rsidRDefault="00991967" w:rsidP="00991967">
      <w:pPr>
        <w:jc w:val="both"/>
        <w:rPr>
          <w:rFonts w:ascii="Abadi" w:hAnsi="Abadi"/>
          <w:sz w:val="21"/>
          <w:szCs w:val="21"/>
        </w:rPr>
      </w:pPr>
    </w:p>
    <w:p w14:paraId="7F484571" w14:textId="77777777" w:rsidR="00991967" w:rsidRDefault="00991967" w:rsidP="00991967">
      <w:pPr>
        <w:jc w:val="both"/>
        <w:rPr>
          <w:rFonts w:ascii="Abadi" w:hAnsi="Abadi"/>
          <w:sz w:val="21"/>
          <w:szCs w:val="21"/>
        </w:rPr>
      </w:pPr>
      <w:r w:rsidRPr="0030088F">
        <w:rPr>
          <w:rFonts w:ascii="Abadi" w:hAnsi="Abadi"/>
          <w:sz w:val="21"/>
          <w:szCs w:val="21"/>
        </w:rPr>
        <w:t xml:space="preserve">- Dos. Acceso en instalaciones donde se paga entrada, establecer programas periódicas de entradas gratuitas a niñas niños y adolescentes a efecto de fomentar el uso de las instalaciones y el deporte en la niñez. </w:t>
      </w:r>
    </w:p>
    <w:p w14:paraId="49C31A20" w14:textId="77777777" w:rsidR="00991967" w:rsidRPr="0030088F" w:rsidRDefault="00991967" w:rsidP="00991967">
      <w:pPr>
        <w:jc w:val="both"/>
        <w:rPr>
          <w:rFonts w:ascii="Abadi" w:hAnsi="Abadi"/>
          <w:sz w:val="21"/>
          <w:szCs w:val="21"/>
        </w:rPr>
      </w:pPr>
    </w:p>
    <w:p w14:paraId="129CF59E" w14:textId="77777777" w:rsidR="00991967" w:rsidRDefault="00991967" w:rsidP="00991967">
      <w:pPr>
        <w:jc w:val="both"/>
        <w:rPr>
          <w:rFonts w:ascii="Abadi" w:hAnsi="Abadi"/>
          <w:sz w:val="21"/>
          <w:szCs w:val="21"/>
        </w:rPr>
      </w:pPr>
      <w:r w:rsidRPr="0030088F">
        <w:rPr>
          <w:rFonts w:ascii="Abadi" w:hAnsi="Abadi"/>
          <w:sz w:val="21"/>
          <w:szCs w:val="21"/>
        </w:rPr>
        <w:t xml:space="preserve">- Tres. Protección a la niñez, se establece la prohibición a las a la introducción venta o consumo de bebidas alcohólicas sustancias psicotrópicas o enervantes prohibidas para proteger al extremo a la niñez en el ámbito del deporte la violación a esta disposición es sancionable con la clausura de las instalaciones deportivas. </w:t>
      </w:r>
    </w:p>
    <w:p w14:paraId="6BC2A6BE" w14:textId="77777777" w:rsidR="00991967" w:rsidRPr="0030088F" w:rsidRDefault="00991967" w:rsidP="00991967">
      <w:pPr>
        <w:jc w:val="both"/>
        <w:rPr>
          <w:rFonts w:ascii="Abadi" w:hAnsi="Abadi"/>
          <w:sz w:val="21"/>
          <w:szCs w:val="21"/>
        </w:rPr>
      </w:pPr>
    </w:p>
    <w:p w14:paraId="2A8761BA" w14:textId="77777777" w:rsidR="00991967" w:rsidRDefault="00991967" w:rsidP="00991967">
      <w:pPr>
        <w:jc w:val="both"/>
        <w:rPr>
          <w:rFonts w:ascii="Abadi" w:hAnsi="Abadi"/>
          <w:sz w:val="21"/>
          <w:szCs w:val="21"/>
        </w:rPr>
      </w:pPr>
      <w:r w:rsidRPr="0030088F">
        <w:rPr>
          <w:rFonts w:ascii="Abadi" w:hAnsi="Abadi"/>
          <w:sz w:val="21"/>
          <w:szCs w:val="21"/>
        </w:rPr>
        <w:lastRenderedPageBreak/>
        <w:t xml:space="preserve">- La presente iniciativa cumple con los requisitos establecidos por el artículo 209 de la Ley Orgánica del Poder Legislativo del Estado de Guanajuato, anteriormente expuesto manifiesto que es sometido a la consideración de este Honorable Congreso del Estado de Guanajuato la presente propuesta de decreto en el documento ingresado con las firmas electrónicas en el que se especifica el contenido específico y a detalle del mismo y que dada su amplitud en cuanto a la cantidad de artículos en los que se proponen reformas y adiciones ampliaría en exceso mi intervención. </w:t>
      </w:r>
    </w:p>
    <w:p w14:paraId="7B3A6943" w14:textId="77777777" w:rsidR="002754B3" w:rsidRPr="0030088F" w:rsidRDefault="002754B3" w:rsidP="00991967">
      <w:pPr>
        <w:jc w:val="both"/>
        <w:rPr>
          <w:rFonts w:ascii="Abadi" w:hAnsi="Abadi"/>
          <w:sz w:val="21"/>
          <w:szCs w:val="21"/>
        </w:rPr>
      </w:pPr>
    </w:p>
    <w:p w14:paraId="26BCE04F" w14:textId="77777777" w:rsidR="00991967" w:rsidRDefault="00991967" w:rsidP="00991967">
      <w:pPr>
        <w:jc w:val="both"/>
        <w:rPr>
          <w:rFonts w:ascii="Abadi" w:hAnsi="Abadi"/>
          <w:sz w:val="21"/>
          <w:szCs w:val="21"/>
        </w:rPr>
      </w:pPr>
      <w:r w:rsidRPr="0030088F">
        <w:rPr>
          <w:rFonts w:ascii="Abadi" w:hAnsi="Abadi"/>
          <w:sz w:val="21"/>
          <w:szCs w:val="21"/>
        </w:rPr>
        <w:t xml:space="preserve">- Es cuanto presidenta. </w:t>
      </w:r>
    </w:p>
    <w:p w14:paraId="13CE2B26" w14:textId="77777777" w:rsidR="002754B3" w:rsidRPr="0030088F" w:rsidRDefault="002754B3" w:rsidP="00991967">
      <w:pPr>
        <w:jc w:val="both"/>
        <w:rPr>
          <w:rFonts w:ascii="Abadi" w:hAnsi="Abadi"/>
          <w:sz w:val="21"/>
          <w:szCs w:val="21"/>
        </w:rPr>
      </w:pPr>
    </w:p>
    <w:p w14:paraId="36F5F1F8" w14:textId="77777777" w:rsidR="00991967" w:rsidRDefault="00991967" w:rsidP="00991967">
      <w:pPr>
        <w:ind w:left="993" w:right="1325"/>
        <w:jc w:val="both"/>
        <w:rPr>
          <w:rFonts w:ascii="Abadi" w:hAnsi="Abadi"/>
          <w:b/>
          <w:bCs/>
          <w:i/>
          <w:iCs/>
          <w:sz w:val="21"/>
          <w:szCs w:val="21"/>
          <w:u w:val="single"/>
        </w:rPr>
      </w:pPr>
      <w:r w:rsidRPr="0030088F">
        <w:rPr>
          <w:rFonts w:ascii="Abadi" w:hAnsi="Abadi"/>
          <w:b/>
          <w:bCs/>
          <w:i/>
          <w:iCs/>
          <w:sz w:val="21"/>
          <w:szCs w:val="21"/>
          <w:u w:val="single"/>
        </w:rPr>
        <w:t>Se turna a la Comisión de Juventud y Deporte con fundamento en el artículo 114 fracción I de nuestra Ley Orgánica para su estudio y dictamen.</w:t>
      </w:r>
    </w:p>
    <w:p w14:paraId="1D4CB96F" w14:textId="77777777" w:rsidR="00991967" w:rsidRPr="0030088F" w:rsidRDefault="00991967" w:rsidP="00991967">
      <w:pPr>
        <w:ind w:left="993" w:right="1325"/>
        <w:jc w:val="both"/>
        <w:rPr>
          <w:rFonts w:ascii="Abadi" w:hAnsi="Abadi"/>
          <w:b/>
          <w:bCs/>
          <w:i/>
          <w:iCs/>
          <w:sz w:val="21"/>
          <w:szCs w:val="21"/>
          <w:u w:val="single"/>
        </w:rPr>
      </w:pPr>
    </w:p>
    <w:p w14:paraId="14508493" w14:textId="673794A4" w:rsidR="00991967" w:rsidRDefault="00991967" w:rsidP="00991967">
      <w:pPr>
        <w:ind w:firstLine="708"/>
        <w:jc w:val="both"/>
        <w:rPr>
          <w:rFonts w:ascii="Abadi" w:hAnsi="Abadi"/>
          <w:sz w:val="21"/>
          <w:szCs w:val="21"/>
        </w:rPr>
      </w:pPr>
      <w:r w:rsidRPr="00991967">
        <w:rPr>
          <w:rFonts w:ascii="Abadi" w:hAnsi="Abadi"/>
          <w:b/>
          <w:bCs/>
          <w:sz w:val="21"/>
          <w:szCs w:val="21"/>
        </w:rPr>
        <w:t xml:space="preserve">- La </w:t>
      </w:r>
      <w:proofErr w:type="gramStart"/>
      <w:r w:rsidRPr="00991967">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De igual forma. </w:t>
      </w:r>
    </w:p>
    <w:p w14:paraId="7EF58D1A" w14:textId="77777777" w:rsidR="00991967" w:rsidRPr="0030088F" w:rsidRDefault="00991967" w:rsidP="00991967">
      <w:pPr>
        <w:ind w:firstLine="708"/>
        <w:jc w:val="both"/>
        <w:rPr>
          <w:rFonts w:ascii="Abadi" w:hAnsi="Abadi"/>
          <w:sz w:val="21"/>
          <w:szCs w:val="21"/>
        </w:rPr>
      </w:pPr>
    </w:p>
    <w:p w14:paraId="6FFAA7D5" w14:textId="77777777" w:rsidR="00991967" w:rsidRDefault="00991967" w:rsidP="00991967">
      <w:pPr>
        <w:ind w:left="1134" w:right="1325"/>
        <w:jc w:val="both"/>
        <w:rPr>
          <w:rFonts w:ascii="Abadi" w:hAnsi="Abadi"/>
          <w:b/>
          <w:bCs/>
          <w:i/>
          <w:iCs/>
          <w:sz w:val="21"/>
          <w:szCs w:val="21"/>
          <w:u w:val="single"/>
        </w:rPr>
      </w:pPr>
      <w:r w:rsidRPr="0030088F">
        <w:rPr>
          <w:rFonts w:ascii="Abadi" w:hAnsi="Abadi"/>
          <w:b/>
          <w:bCs/>
          <w:i/>
          <w:iCs/>
          <w:sz w:val="21"/>
          <w:szCs w:val="21"/>
          <w:u w:val="single"/>
        </w:rPr>
        <w:t xml:space="preserve">Se remite para opinión a la Comisión para la Igualdad de Género con fundamento en los artículos 59 fracción 10 segundo párrafo y 116 fracción V de nuestra Ley Orgánica. </w:t>
      </w:r>
    </w:p>
    <w:p w14:paraId="055A6115" w14:textId="77777777" w:rsidR="00991967" w:rsidRPr="0030088F" w:rsidRDefault="00991967" w:rsidP="00991967">
      <w:pPr>
        <w:ind w:left="1134" w:right="1325"/>
        <w:jc w:val="both"/>
        <w:rPr>
          <w:rFonts w:ascii="Abadi" w:hAnsi="Abadi"/>
          <w:b/>
          <w:bCs/>
          <w:i/>
          <w:iCs/>
          <w:sz w:val="21"/>
          <w:szCs w:val="21"/>
          <w:u w:val="single"/>
        </w:rPr>
      </w:pPr>
    </w:p>
    <w:p w14:paraId="7E058B90" w14:textId="01D9F152" w:rsidR="00991967" w:rsidRPr="0030088F" w:rsidRDefault="00991967" w:rsidP="00991967">
      <w:pPr>
        <w:ind w:firstLine="708"/>
        <w:jc w:val="both"/>
        <w:rPr>
          <w:rFonts w:ascii="Abadi" w:hAnsi="Abadi"/>
          <w:sz w:val="21"/>
          <w:szCs w:val="21"/>
        </w:rPr>
      </w:pPr>
      <w:r w:rsidRPr="0030088F">
        <w:rPr>
          <w:rFonts w:ascii="Abadi" w:hAnsi="Abadi"/>
          <w:sz w:val="21"/>
          <w:szCs w:val="21"/>
        </w:rPr>
        <w:t xml:space="preserve"> - Damos cuenta de la incorporación a los trabajos de la sesión de la diputada Hades Berenice Aguilar </w:t>
      </w:r>
      <w:r w:rsidR="003A0DB9">
        <w:rPr>
          <w:rFonts w:ascii="Abadi" w:hAnsi="Abadi"/>
          <w:sz w:val="21"/>
          <w:szCs w:val="21"/>
        </w:rPr>
        <w:t>Ca</w:t>
      </w:r>
      <w:r w:rsidRPr="0030088F">
        <w:rPr>
          <w:rFonts w:ascii="Abadi" w:hAnsi="Abadi"/>
          <w:sz w:val="21"/>
          <w:szCs w:val="21"/>
        </w:rPr>
        <w:t xml:space="preserve">stillo. </w:t>
      </w:r>
    </w:p>
    <w:p w14:paraId="6AC3A5D5" w14:textId="77777777" w:rsidR="00E45747" w:rsidRDefault="00E45747" w:rsidP="00E45747">
      <w:pPr>
        <w:autoSpaceDE w:val="0"/>
        <w:autoSpaceDN w:val="0"/>
        <w:adjustRightInd w:val="0"/>
        <w:contextualSpacing/>
        <w:jc w:val="both"/>
        <w:rPr>
          <w:rFonts w:ascii="Abadi" w:hAnsi="Abadi" w:cs="ArialMT"/>
          <w:b/>
          <w:bCs/>
          <w:sz w:val="21"/>
          <w:szCs w:val="21"/>
        </w:rPr>
      </w:pPr>
    </w:p>
    <w:p w14:paraId="48377394" w14:textId="77777777" w:rsidR="00991967" w:rsidRDefault="00991967" w:rsidP="00E45747">
      <w:pPr>
        <w:autoSpaceDE w:val="0"/>
        <w:autoSpaceDN w:val="0"/>
        <w:adjustRightInd w:val="0"/>
        <w:contextualSpacing/>
        <w:jc w:val="both"/>
        <w:rPr>
          <w:rFonts w:ascii="Abadi" w:hAnsi="Abadi" w:cs="ArialMT"/>
          <w:b/>
          <w:bCs/>
          <w:sz w:val="21"/>
          <w:szCs w:val="21"/>
        </w:rPr>
      </w:pPr>
    </w:p>
    <w:p w14:paraId="7ECAAF10" w14:textId="78EB60A6" w:rsidR="00374533" w:rsidRDefault="00374533" w:rsidP="003A0DB9">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 xml:space="preserve">PRESENTACIÓN DE LA INICIATIVA SIGNADA POR LA DIPUTADA MARTHA EDITH MORENO VALENCIA, INTEGRANTE DEL GRUPO PARLAMENTARIO DEL PARTIDO MORENA A FIN DE REFORMAR EL ARTÍCULO 53 Y ADICIONAR UNA </w:t>
      </w:r>
      <w:r w:rsidRPr="00006796">
        <w:rPr>
          <w:rFonts w:ascii="Abadi" w:hAnsi="Abadi" w:cs="ArialMT"/>
          <w:b/>
          <w:bCs/>
          <w:sz w:val="21"/>
          <w:szCs w:val="21"/>
        </w:rPr>
        <w:t>FRACCIÓN XXXIV AL ARTÍCULO 18 Y UNA FRACCIÓN IX AL ARTÍCULO 48 DE LA LEY DE CULTURA FÍSICA Y DEPORTE DEL ESTADO DE GUANAJUATO.</w:t>
      </w:r>
      <w:r w:rsidR="0049061B">
        <w:rPr>
          <w:rStyle w:val="Refdenotaalpie"/>
          <w:rFonts w:ascii="Abadi" w:hAnsi="Abadi" w:cs="ArialMT"/>
          <w:b/>
          <w:bCs/>
          <w:sz w:val="21"/>
          <w:szCs w:val="21"/>
        </w:rPr>
        <w:footnoteReference w:id="33"/>
      </w:r>
    </w:p>
    <w:p w14:paraId="683859FE" w14:textId="77777777" w:rsidR="00D4074D" w:rsidRPr="00553F77" w:rsidRDefault="00D4074D" w:rsidP="00553F77">
      <w:pPr>
        <w:autoSpaceDE w:val="0"/>
        <w:autoSpaceDN w:val="0"/>
        <w:adjustRightInd w:val="0"/>
        <w:ind w:left="360"/>
        <w:contextualSpacing/>
        <w:jc w:val="both"/>
        <w:rPr>
          <w:rFonts w:ascii="Abadi" w:hAnsi="Abadi" w:cs="ArialMT"/>
          <w:b/>
          <w:bCs/>
          <w:sz w:val="21"/>
          <w:szCs w:val="21"/>
        </w:rPr>
      </w:pPr>
    </w:p>
    <w:p w14:paraId="519123B2" w14:textId="77777777" w:rsidR="00D4074D" w:rsidRPr="006457E1" w:rsidRDefault="00D4074D" w:rsidP="00D4074D">
      <w:pPr>
        <w:ind w:left="-5"/>
        <w:rPr>
          <w:rFonts w:ascii="Abadi" w:hAnsi="Abadi"/>
          <w:b/>
          <w:bCs/>
          <w:sz w:val="21"/>
          <w:szCs w:val="21"/>
        </w:rPr>
      </w:pPr>
      <w:r w:rsidRPr="006457E1">
        <w:rPr>
          <w:rFonts w:ascii="Abadi" w:hAnsi="Abadi"/>
          <w:b/>
          <w:bCs/>
          <w:sz w:val="21"/>
          <w:szCs w:val="21"/>
        </w:rPr>
        <w:t xml:space="preserve">Diputada Laura Cristina Márquez Alcalá </w:t>
      </w:r>
    </w:p>
    <w:p w14:paraId="5052DF21" w14:textId="77777777" w:rsidR="00D4074D" w:rsidRDefault="00D4074D" w:rsidP="00D4074D">
      <w:pPr>
        <w:ind w:left="-5"/>
        <w:rPr>
          <w:rFonts w:ascii="Abadi" w:hAnsi="Abadi"/>
          <w:b/>
          <w:bCs/>
          <w:sz w:val="21"/>
          <w:szCs w:val="21"/>
        </w:rPr>
      </w:pPr>
      <w:r w:rsidRPr="006457E1">
        <w:rPr>
          <w:rFonts w:ascii="Abadi" w:hAnsi="Abadi"/>
          <w:b/>
          <w:bCs/>
          <w:sz w:val="21"/>
          <w:szCs w:val="21"/>
        </w:rPr>
        <w:t xml:space="preserve">Presidenta de la Mesa Directiva </w:t>
      </w:r>
    </w:p>
    <w:p w14:paraId="26238EF2" w14:textId="77777777" w:rsidR="00D4074D" w:rsidRDefault="00D4074D" w:rsidP="00D4074D">
      <w:pPr>
        <w:ind w:left="-5"/>
        <w:rPr>
          <w:rFonts w:ascii="Abadi" w:hAnsi="Abadi"/>
          <w:b/>
          <w:bCs/>
          <w:sz w:val="21"/>
          <w:szCs w:val="21"/>
        </w:rPr>
      </w:pPr>
      <w:r w:rsidRPr="006457E1">
        <w:rPr>
          <w:rFonts w:ascii="Abadi" w:hAnsi="Abadi"/>
          <w:b/>
          <w:bCs/>
          <w:sz w:val="21"/>
          <w:szCs w:val="21"/>
        </w:rPr>
        <w:t xml:space="preserve">Congreso Del Estado De Guanajuato LXV Legislatura </w:t>
      </w:r>
    </w:p>
    <w:p w14:paraId="443A4877" w14:textId="16CBDE80" w:rsidR="00D4074D" w:rsidRPr="006457E1" w:rsidRDefault="00D4074D" w:rsidP="00D4074D">
      <w:pPr>
        <w:ind w:left="-5"/>
        <w:rPr>
          <w:rFonts w:ascii="Abadi" w:hAnsi="Abadi"/>
          <w:b/>
          <w:bCs/>
          <w:sz w:val="21"/>
          <w:szCs w:val="21"/>
        </w:rPr>
      </w:pPr>
      <w:r w:rsidRPr="006457E1">
        <w:rPr>
          <w:rFonts w:ascii="Abadi" w:hAnsi="Abadi"/>
          <w:b/>
          <w:bCs/>
          <w:sz w:val="21"/>
          <w:szCs w:val="21"/>
        </w:rPr>
        <w:t xml:space="preserve">Presente. </w:t>
      </w:r>
    </w:p>
    <w:p w14:paraId="0AFAD6C6" w14:textId="77777777" w:rsidR="00D4074D" w:rsidRPr="006457E1" w:rsidRDefault="00D4074D" w:rsidP="00D4074D">
      <w:pPr>
        <w:rPr>
          <w:rFonts w:ascii="Abadi" w:hAnsi="Abadi"/>
          <w:sz w:val="21"/>
          <w:szCs w:val="21"/>
        </w:rPr>
      </w:pPr>
      <w:r w:rsidRPr="006457E1">
        <w:rPr>
          <w:rFonts w:ascii="Abadi" w:hAnsi="Abadi"/>
          <w:sz w:val="21"/>
          <w:szCs w:val="21"/>
        </w:rPr>
        <w:t xml:space="preserve"> </w:t>
      </w:r>
    </w:p>
    <w:p w14:paraId="540E1FBA" w14:textId="77777777" w:rsidR="00D4074D" w:rsidRDefault="00D4074D" w:rsidP="00D4074D">
      <w:pPr>
        <w:ind w:left="-5"/>
        <w:jc w:val="both"/>
        <w:rPr>
          <w:rFonts w:ascii="Abadi" w:hAnsi="Abadi"/>
          <w:sz w:val="21"/>
          <w:szCs w:val="21"/>
        </w:rPr>
      </w:pPr>
      <w:r w:rsidRPr="006457E1">
        <w:rPr>
          <w:rFonts w:ascii="Abadi" w:hAnsi="Abadi"/>
          <w:sz w:val="21"/>
          <w:szCs w:val="21"/>
        </w:rPr>
        <w:t xml:space="preserve">La que suscribe, Diputada Martha Edith Moreno Valencia, integrante del Grupo Parlamentario de Morena, en la LXV Legislatura del Congreso del Estado de Guanajuato, con fundamento en lo dispuesto en los artículos 56, fracción II de la Constitución Política para el Estado de Guanajuato; y los artículos 167, fracción II, el 168 y 209 de la Ley Orgánica del Poder Legislativo del Estado de Guanajuato, me permito someter a la consideración de esta Asamblea para su aprobación, la presente Iniciativa con proyecto de Decreto mediante el cual se reforma la Ley de Cultura Física y Deporte del Estado de Guanajuato, en atención a la siguiente: </w:t>
      </w:r>
    </w:p>
    <w:p w14:paraId="3CE40C72" w14:textId="77777777" w:rsidR="00D4074D" w:rsidRPr="006457E1" w:rsidRDefault="00D4074D" w:rsidP="00D4074D">
      <w:pPr>
        <w:ind w:left="-5"/>
        <w:jc w:val="both"/>
        <w:rPr>
          <w:rFonts w:ascii="Abadi" w:hAnsi="Abadi"/>
          <w:sz w:val="21"/>
          <w:szCs w:val="21"/>
        </w:rPr>
      </w:pPr>
    </w:p>
    <w:p w14:paraId="13BE3E25" w14:textId="54E15657" w:rsidR="00D4074D" w:rsidRPr="000C28D1" w:rsidRDefault="00D4074D" w:rsidP="00D4074D">
      <w:pPr>
        <w:ind w:right="6"/>
        <w:jc w:val="center"/>
        <w:rPr>
          <w:rFonts w:ascii="Abadi" w:hAnsi="Abadi"/>
          <w:b/>
          <w:bCs/>
          <w:sz w:val="21"/>
          <w:szCs w:val="21"/>
        </w:rPr>
      </w:pPr>
      <w:r w:rsidRPr="000C28D1">
        <w:rPr>
          <w:rFonts w:ascii="Abadi" w:hAnsi="Abadi"/>
          <w:b/>
          <w:bCs/>
          <w:sz w:val="21"/>
          <w:szCs w:val="21"/>
        </w:rPr>
        <w:t>Exposición de Motivos</w:t>
      </w:r>
    </w:p>
    <w:p w14:paraId="0462C4EC" w14:textId="77777777" w:rsidR="00D4074D" w:rsidRPr="006457E1" w:rsidRDefault="00D4074D" w:rsidP="00D4074D">
      <w:pPr>
        <w:ind w:right="6"/>
        <w:jc w:val="both"/>
        <w:rPr>
          <w:rFonts w:ascii="Abadi" w:hAnsi="Abadi"/>
          <w:sz w:val="21"/>
          <w:szCs w:val="21"/>
        </w:rPr>
      </w:pPr>
    </w:p>
    <w:p w14:paraId="5C293D0B" w14:textId="77777777" w:rsidR="00D4074D" w:rsidRDefault="00D4074D" w:rsidP="00D4074D">
      <w:pPr>
        <w:ind w:left="-5"/>
        <w:jc w:val="both"/>
        <w:rPr>
          <w:rFonts w:ascii="Abadi" w:hAnsi="Abadi"/>
          <w:sz w:val="21"/>
          <w:szCs w:val="21"/>
        </w:rPr>
      </w:pPr>
      <w:r w:rsidRPr="006457E1">
        <w:rPr>
          <w:rFonts w:ascii="Abadi" w:hAnsi="Abadi"/>
          <w:sz w:val="21"/>
          <w:szCs w:val="21"/>
        </w:rPr>
        <w:t xml:space="preserve">Cuando las mujeres intentan acceder al ámbito deportivo para hacer algún tipo de actividad física, a menudo son víctimas de acoso, humillaciones, discriminación y demás acciones que violentan sus derechos y que pueden llegar a limitar su participación en actividades deportivas. Cabe resaltar que el acoso en el deporte se llega a presentar desde los entrenamientos, competencias, en las instalaciones deportivas o en cualquier otra actividad relacionada, y que tanto hombres como mujeres están expuestos a ser transgredidos, pero que afecta desproporcionadamente a las mujeres y perpetúa la desigualdad de género. </w:t>
      </w:r>
    </w:p>
    <w:p w14:paraId="3517A863" w14:textId="77777777" w:rsidR="00D4074D" w:rsidRPr="006457E1" w:rsidRDefault="00D4074D" w:rsidP="00D4074D">
      <w:pPr>
        <w:ind w:left="-5"/>
        <w:jc w:val="both"/>
        <w:rPr>
          <w:rFonts w:ascii="Abadi" w:hAnsi="Abadi"/>
          <w:sz w:val="21"/>
          <w:szCs w:val="21"/>
        </w:rPr>
      </w:pPr>
    </w:p>
    <w:p w14:paraId="67A3AC30" w14:textId="77777777" w:rsidR="00D4074D" w:rsidRDefault="00D4074D" w:rsidP="00D4074D">
      <w:pPr>
        <w:ind w:left="-5"/>
        <w:jc w:val="both"/>
        <w:rPr>
          <w:rFonts w:ascii="Abadi" w:hAnsi="Abadi"/>
          <w:sz w:val="21"/>
          <w:szCs w:val="21"/>
        </w:rPr>
      </w:pPr>
      <w:r w:rsidRPr="006457E1">
        <w:rPr>
          <w:rFonts w:ascii="Abadi" w:hAnsi="Abadi"/>
          <w:sz w:val="21"/>
          <w:szCs w:val="21"/>
        </w:rPr>
        <w:t xml:space="preserve">Existen múltiples casos que evidencian los riesgos a los que se enfrentan las víctimas, ya que pueden llegar a sufrir de agresiones físicas, verbales, emocionales y hasta sexuales. Sin embargo, por la inacción de las autoridades y ante el miedo a las represalias, pocas veces se denuncia.  </w:t>
      </w:r>
    </w:p>
    <w:p w14:paraId="0D119F8F" w14:textId="77777777" w:rsidR="00D4074D" w:rsidRPr="006457E1" w:rsidRDefault="00D4074D" w:rsidP="00D4074D">
      <w:pPr>
        <w:ind w:left="-5"/>
        <w:jc w:val="both"/>
        <w:rPr>
          <w:rFonts w:ascii="Abadi" w:hAnsi="Abadi"/>
          <w:sz w:val="21"/>
          <w:szCs w:val="21"/>
        </w:rPr>
      </w:pPr>
    </w:p>
    <w:p w14:paraId="7822D68F" w14:textId="77777777" w:rsidR="00D4074D" w:rsidRDefault="00D4074D" w:rsidP="00D4074D">
      <w:pPr>
        <w:ind w:left="715"/>
        <w:jc w:val="both"/>
        <w:rPr>
          <w:rFonts w:ascii="Abadi" w:hAnsi="Abadi"/>
          <w:sz w:val="21"/>
          <w:szCs w:val="21"/>
        </w:rPr>
      </w:pPr>
      <w:r w:rsidRPr="006457E1">
        <w:rPr>
          <w:rFonts w:ascii="Abadi" w:hAnsi="Abadi" w:cs="Amasis MT Pro"/>
          <w:sz w:val="21"/>
          <w:szCs w:val="21"/>
        </w:rPr>
        <w:t>“Es exagerado el acoso qu</w:t>
      </w:r>
      <w:r w:rsidRPr="006457E1">
        <w:rPr>
          <w:rFonts w:ascii="Abadi" w:hAnsi="Abadi"/>
          <w:sz w:val="21"/>
          <w:szCs w:val="21"/>
        </w:rPr>
        <w:t xml:space="preserve">e vivimos nosotras las mujeres de México, de verdad </w:t>
      </w:r>
      <w:r w:rsidRPr="006457E1">
        <w:rPr>
          <w:rFonts w:ascii="Abadi" w:hAnsi="Abadi" w:cs="Amasis MT Pro"/>
          <w:sz w:val="21"/>
          <w:szCs w:val="21"/>
        </w:rPr>
        <w:t xml:space="preserve">todos los días sufrimos de algo”, “Estoy súper decepcionada porque estaba en el </w:t>
      </w:r>
      <w:r w:rsidRPr="006457E1">
        <w:rPr>
          <w:rFonts w:ascii="Abadi" w:hAnsi="Abadi"/>
          <w:sz w:val="21"/>
          <w:szCs w:val="21"/>
        </w:rPr>
        <w:t xml:space="preserve">estadio León, apoyando a mi club, a mis compañeros. Y neta, no puede ser que no hagan nada al respecto; era un fan del León, era un fan nuestro y estoy muy decepcionada y enojada. </w:t>
      </w:r>
      <w:r w:rsidRPr="006457E1">
        <w:rPr>
          <w:rFonts w:ascii="Abadi" w:hAnsi="Abadi" w:cs="Amasis MT Pro"/>
          <w:sz w:val="21"/>
          <w:szCs w:val="21"/>
        </w:rPr>
        <w:t>Esto no es cosa de ahorita, ha pasado siempre (…)”.</w:t>
      </w:r>
      <w:r w:rsidRPr="006457E1">
        <w:rPr>
          <w:rFonts w:ascii="Abadi" w:hAnsi="Abadi"/>
          <w:sz w:val="21"/>
          <w:szCs w:val="21"/>
          <w:vertAlign w:val="superscript"/>
        </w:rPr>
        <w:footnoteReference w:id="34"/>
      </w:r>
      <w:r w:rsidRPr="006457E1">
        <w:rPr>
          <w:rFonts w:ascii="Abadi" w:hAnsi="Abadi"/>
          <w:sz w:val="21"/>
          <w:szCs w:val="21"/>
        </w:rPr>
        <w:t xml:space="preserve"> </w:t>
      </w:r>
    </w:p>
    <w:p w14:paraId="6B8E3331" w14:textId="77777777" w:rsidR="00D4074D" w:rsidRPr="006457E1" w:rsidRDefault="00D4074D" w:rsidP="00D4074D">
      <w:pPr>
        <w:ind w:left="715"/>
        <w:jc w:val="both"/>
        <w:rPr>
          <w:rFonts w:ascii="Abadi" w:hAnsi="Abadi"/>
          <w:sz w:val="21"/>
          <w:szCs w:val="21"/>
        </w:rPr>
      </w:pPr>
    </w:p>
    <w:p w14:paraId="494ED9C2" w14:textId="77777777" w:rsidR="00D4074D" w:rsidRDefault="00D4074D" w:rsidP="009C41C5">
      <w:pPr>
        <w:ind w:left="-5"/>
        <w:jc w:val="both"/>
        <w:rPr>
          <w:rFonts w:ascii="Abadi" w:hAnsi="Abadi"/>
          <w:sz w:val="21"/>
          <w:szCs w:val="21"/>
        </w:rPr>
      </w:pPr>
      <w:r w:rsidRPr="006457E1">
        <w:rPr>
          <w:rFonts w:ascii="Abadi" w:hAnsi="Abadi"/>
          <w:sz w:val="21"/>
          <w:szCs w:val="21"/>
        </w:rPr>
        <w:t xml:space="preserve">Estas son algunas de las declaraciones de la joven Nailea Vidrio, futbolista del Club León Femenil, quien denunció a través de sus redes sociales que, junto con una compañera, fueron víctimas de acoso, y que incluso, han llegado a recibir amenazas que ponen en riesgo su vida. </w:t>
      </w:r>
    </w:p>
    <w:p w14:paraId="7104C429" w14:textId="77777777" w:rsidR="00D4074D" w:rsidRPr="006457E1" w:rsidRDefault="00D4074D" w:rsidP="009C41C5">
      <w:pPr>
        <w:ind w:left="-5"/>
        <w:jc w:val="both"/>
        <w:rPr>
          <w:rFonts w:ascii="Abadi" w:hAnsi="Abadi"/>
          <w:sz w:val="21"/>
          <w:szCs w:val="21"/>
        </w:rPr>
      </w:pPr>
    </w:p>
    <w:p w14:paraId="5EE64D2F" w14:textId="77777777" w:rsidR="00D4074D" w:rsidRDefault="00D4074D" w:rsidP="009C41C5">
      <w:pPr>
        <w:ind w:left="-5"/>
        <w:jc w:val="both"/>
        <w:rPr>
          <w:rFonts w:ascii="Abadi" w:hAnsi="Abadi"/>
          <w:sz w:val="21"/>
          <w:szCs w:val="21"/>
        </w:rPr>
      </w:pPr>
      <w:r w:rsidRPr="006457E1">
        <w:rPr>
          <w:rFonts w:ascii="Abadi" w:hAnsi="Abadi"/>
          <w:sz w:val="21"/>
          <w:szCs w:val="21"/>
        </w:rPr>
        <w:t>Otro caso que visibiliza el acoso y hostigamiento que se vive en contextos deportivos, es el de una clavadista que representa a Guanajuato que denunció haber sido abusada sexualmente por su propio compañero con quien entrenaba en las instalaciones de la Comisión de Deporte del Estado de Guanajuato (CODE), esto sucedió en febrero del 2021. Y aunque esta situación fue comunicada a su entonces entrenador, este no separó al clavadista de su equipo ni tomó alguna medida al respecto, además de que ya se cuenta con una carpeta de investigación encabezada por la</w:t>
      </w:r>
      <w:hyperlink r:id="rId22">
        <w:r w:rsidRPr="006457E1">
          <w:rPr>
            <w:rFonts w:ascii="Abadi" w:hAnsi="Abadi"/>
            <w:sz w:val="21"/>
            <w:szCs w:val="21"/>
          </w:rPr>
          <w:t xml:space="preserve"> </w:t>
        </w:r>
      </w:hyperlink>
      <w:hyperlink r:id="rId23">
        <w:r w:rsidRPr="006457E1">
          <w:rPr>
            <w:rFonts w:ascii="Abadi" w:hAnsi="Abadi"/>
            <w:sz w:val="21"/>
            <w:szCs w:val="21"/>
          </w:rPr>
          <w:t>Fiscalía General de Guanajuato</w:t>
        </w:r>
      </w:hyperlink>
      <w:hyperlink r:id="rId24">
        <w:r w:rsidRPr="006457E1">
          <w:rPr>
            <w:rFonts w:ascii="Abadi" w:hAnsi="Abadi"/>
            <w:sz w:val="21"/>
            <w:szCs w:val="21"/>
          </w:rPr>
          <w:t>.</w:t>
        </w:r>
      </w:hyperlink>
      <w:r w:rsidRPr="006457E1">
        <w:rPr>
          <w:rFonts w:ascii="Abadi" w:hAnsi="Abadi"/>
          <w:sz w:val="21"/>
          <w:szCs w:val="21"/>
          <w:vertAlign w:val="superscript"/>
        </w:rPr>
        <w:footnoteReference w:id="35"/>
      </w:r>
      <w:r w:rsidRPr="006457E1">
        <w:rPr>
          <w:rFonts w:ascii="Abadi" w:hAnsi="Abadi"/>
          <w:sz w:val="21"/>
          <w:szCs w:val="21"/>
        </w:rPr>
        <w:t xml:space="preserve"> </w:t>
      </w:r>
    </w:p>
    <w:p w14:paraId="442BDA51" w14:textId="77777777" w:rsidR="00D4074D" w:rsidRPr="006457E1" w:rsidRDefault="00D4074D" w:rsidP="009C41C5">
      <w:pPr>
        <w:ind w:left="-5"/>
        <w:jc w:val="both"/>
        <w:rPr>
          <w:rFonts w:ascii="Abadi" w:hAnsi="Abadi"/>
          <w:sz w:val="21"/>
          <w:szCs w:val="21"/>
        </w:rPr>
      </w:pPr>
    </w:p>
    <w:p w14:paraId="616331E3"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En el artículo 4º de la Constitución Política de los Estados Unidos Mexicanos, se </w:t>
      </w:r>
      <w:r w:rsidRPr="006457E1">
        <w:rPr>
          <w:rFonts w:ascii="Abadi" w:hAnsi="Abadi" w:cs="Amasis MT Pro"/>
          <w:sz w:val="21"/>
          <w:szCs w:val="21"/>
        </w:rPr>
        <w:t xml:space="preserve">establece que “Toda persona tiene derecho a la cultura física y a la práctica del </w:t>
      </w:r>
      <w:r w:rsidRPr="006457E1">
        <w:rPr>
          <w:rFonts w:ascii="Abadi" w:hAnsi="Abadi"/>
          <w:sz w:val="21"/>
          <w:szCs w:val="21"/>
        </w:rPr>
        <w:t xml:space="preserve">deporte. Corresponde al Estado su promoción, fomento y estímulo conforme a las </w:t>
      </w:r>
      <w:r w:rsidRPr="006457E1">
        <w:rPr>
          <w:rFonts w:ascii="Abadi" w:hAnsi="Abadi" w:cs="Amasis MT Pro"/>
          <w:sz w:val="21"/>
          <w:szCs w:val="21"/>
        </w:rPr>
        <w:t>leyes en la materia.” Por ello, el deporte debe ser un espacio de igualdad d</w:t>
      </w:r>
      <w:r w:rsidRPr="006457E1">
        <w:rPr>
          <w:rFonts w:ascii="Abadi" w:hAnsi="Abadi"/>
          <w:sz w:val="21"/>
          <w:szCs w:val="21"/>
        </w:rPr>
        <w:t xml:space="preserve">e oportunidades, en donde el ser mujer, no debe traducirse en un factor de riesgo para sufrir de acoso o discriminación y pueda garantizarse así este derecho. </w:t>
      </w:r>
    </w:p>
    <w:p w14:paraId="357DB0D9" w14:textId="77777777" w:rsidR="00D4074D" w:rsidRPr="006457E1" w:rsidRDefault="00D4074D" w:rsidP="009C41C5">
      <w:pPr>
        <w:jc w:val="both"/>
        <w:rPr>
          <w:rFonts w:ascii="Abadi" w:hAnsi="Abadi"/>
          <w:sz w:val="21"/>
          <w:szCs w:val="21"/>
        </w:rPr>
      </w:pPr>
      <w:r w:rsidRPr="006457E1">
        <w:rPr>
          <w:rFonts w:ascii="Abadi" w:eastAsia="Calibri" w:hAnsi="Abadi" w:cs="Calibri"/>
          <w:sz w:val="21"/>
          <w:szCs w:val="21"/>
        </w:rPr>
        <w:t xml:space="preserve"> </w:t>
      </w:r>
    </w:p>
    <w:p w14:paraId="31F65770" w14:textId="77777777" w:rsidR="00D4074D" w:rsidRDefault="00D4074D" w:rsidP="009C41C5">
      <w:pPr>
        <w:ind w:left="-5"/>
        <w:jc w:val="both"/>
        <w:rPr>
          <w:rFonts w:ascii="Abadi" w:hAnsi="Abadi"/>
          <w:sz w:val="21"/>
          <w:szCs w:val="21"/>
        </w:rPr>
      </w:pPr>
      <w:r w:rsidRPr="006457E1">
        <w:rPr>
          <w:rFonts w:ascii="Abadi" w:hAnsi="Abadi"/>
          <w:sz w:val="21"/>
          <w:szCs w:val="21"/>
        </w:rPr>
        <w:t>Con base en los resultados del Módulo de Práctica Deportiva y Ejercicio Físico (MOPRADEF) 2021 realizado por el INEGI, el 66.7% de las mujeres mencionaron ser inactivas físicamente, es decir, poco más de la mitad, lo cual es un dato preocupante. Como una de las posibles razones ante esta baja inserción en el deporte, puede ser que tradicionalmente y de manera errónea se ha clasificado como una actividad exclusiva para hombres, además, de que las mujeres deportistas enfrentan obstáculos adicionales como lo es el acoso y la discriminación por razón de género. Dichas problemáticas crean a su vez un ambiente desigual, hostil e inseguro para ellas, provocando que sea desalentador el participar en actividades deportivas.</w:t>
      </w:r>
    </w:p>
    <w:p w14:paraId="52853F06"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 </w:t>
      </w:r>
    </w:p>
    <w:p w14:paraId="5CCFB320" w14:textId="77777777" w:rsidR="00D4074D" w:rsidRDefault="00D4074D" w:rsidP="009C41C5">
      <w:pPr>
        <w:ind w:left="-5"/>
        <w:jc w:val="both"/>
        <w:rPr>
          <w:rFonts w:ascii="Abadi" w:hAnsi="Abadi"/>
          <w:sz w:val="21"/>
          <w:szCs w:val="21"/>
        </w:rPr>
      </w:pPr>
      <w:r w:rsidRPr="006457E1">
        <w:rPr>
          <w:rFonts w:ascii="Abadi" w:hAnsi="Abadi"/>
          <w:sz w:val="21"/>
          <w:szCs w:val="21"/>
        </w:rPr>
        <w:t>La lucha por la igualdad supone también la plena participación de las mujeres en actividades físicas, ya que persiste una brecha de desigualdad tanto en oportunidades, como en el apoyo social e institucional, condiciones que son determinantes en la carrera profesional de las deportistas.</w:t>
      </w:r>
    </w:p>
    <w:p w14:paraId="2717CCAF"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  </w:t>
      </w:r>
    </w:p>
    <w:p w14:paraId="57142B4B" w14:textId="77777777" w:rsidR="00D4074D" w:rsidRDefault="00D4074D" w:rsidP="009C41C5">
      <w:pPr>
        <w:ind w:left="-5"/>
        <w:jc w:val="both"/>
        <w:rPr>
          <w:rFonts w:ascii="Abadi" w:hAnsi="Abadi"/>
          <w:sz w:val="21"/>
          <w:szCs w:val="21"/>
        </w:rPr>
      </w:pPr>
      <w:r w:rsidRPr="006457E1">
        <w:rPr>
          <w:rFonts w:ascii="Abadi" w:hAnsi="Abadi"/>
          <w:sz w:val="21"/>
          <w:szCs w:val="21"/>
        </w:rPr>
        <w:t xml:space="preserve">En el caso de las mujeres resulta aún más importante realizar esfuerzos para la completa y total integración al mundo del deporte, por lo que, es crucial eliminar toda barrera que limite la participación de las mujeres. La presente iniciativa propone que también exista paridad en las asociaciones deportivas en el acceso a sus órganos de gobierno y representación, esto bajo los principios de igualdad sustantiva y representatividad, para fomentar una cultura física y deportiva inclusiva. </w:t>
      </w:r>
    </w:p>
    <w:p w14:paraId="3BCDAE4B" w14:textId="77777777" w:rsidR="00D4074D" w:rsidRPr="006457E1" w:rsidRDefault="00D4074D" w:rsidP="009C41C5">
      <w:pPr>
        <w:ind w:left="-5"/>
        <w:jc w:val="both"/>
        <w:rPr>
          <w:rFonts w:ascii="Abadi" w:hAnsi="Abadi"/>
          <w:sz w:val="21"/>
          <w:szCs w:val="21"/>
        </w:rPr>
      </w:pPr>
    </w:p>
    <w:p w14:paraId="5CA4491D" w14:textId="77777777" w:rsidR="00D4074D" w:rsidRDefault="00D4074D" w:rsidP="009C41C5">
      <w:pPr>
        <w:ind w:left="-5"/>
        <w:jc w:val="both"/>
        <w:rPr>
          <w:rFonts w:ascii="Abadi" w:hAnsi="Abadi"/>
          <w:sz w:val="21"/>
          <w:szCs w:val="21"/>
        </w:rPr>
      </w:pPr>
      <w:r w:rsidRPr="006457E1">
        <w:rPr>
          <w:rFonts w:ascii="Abadi" w:hAnsi="Abadi"/>
          <w:sz w:val="21"/>
          <w:szCs w:val="21"/>
        </w:rPr>
        <w:t xml:space="preserve">A su vez, esta reforma plantea que se le otorgue como atribución al CODE la capacidad de promover programas para prevenir y combatir el acoso en el ámbito deportivo, con la finalidad de crear un ambiente seguro, y así poder garantizar que tanto mujeres como hombres puedan participar plenamente en el deporte y desarrollar su talento al máximo. </w:t>
      </w:r>
    </w:p>
    <w:p w14:paraId="2595BD85" w14:textId="77777777" w:rsidR="00D4074D" w:rsidRPr="006457E1" w:rsidRDefault="00D4074D" w:rsidP="009C41C5">
      <w:pPr>
        <w:ind w:left="-5"/>
        <w:jc w:val="both"/>
        <w:rPr>
          <w:rFonts w:ascii="Abadi" w:hAnsi="Abadi"/>
          <w:sz w:val="21"/>
          <w:szCs w:val="21"/>
        </w:rPr>
      </w:pPr>
    </w:p>
    <w:p w14:paraId="7C9464F0" w14:textId="77777777" w:rsidR="00D4074D" w:rsidRDefault="00D4074D" w:rsidP="009C41C5">
      <w:pPr>
        <w:ind w:left="-5"/>
        <w:jc w:val="both"/>
        <w:rPr>
          <w:rFonts w:ascii="Abadi" w:hAnsi="Abadi"/>
          <w:sz w:val="21"/>
          <w:szCs w:val="21"/>
        </w:rPr>
      </w:pPr>
      <w:r w:rsidRPr="006457E1">
        <w:rPr>
          <w:rFonts w:ascii="Abadi" w:hAnsi="Abadi"/>
          <w:sz w:val="21"/>
          <w:szCs w:val="21"/>
        </w:rPr>
        <w:t xml:space="preserve">Es fundamental implementar medidas y acciones concretas que avancen hacia la </w:t>
      </w:r>
      <w:r w:rsidRPr="006457E1">
        <w:rPr>
          <w:rFonts w:ascii="Abadi" w:hAnsi="Abadi"/>
          <w:sz w:val="21"/>
          <w:szCs w:val="21"/>
        </w:rPr>
        <w:lastRenderedPageBreak/>
        <w:t xml:space="preserve">igualdad de género y prevengan y atiendan el acoso en el deporte. Esto implica establecer protocolos de denuncia efectivos, brindar capacitación sobre sensibilización de género y alentar la inclusión de mujeres en roles de liderazgo y toma de decisiones dentro de las organizaciones deportivas.  </w:t>
      </w:r>
    </w:p>
    <w:p w14:paraId="63F15248" w14:textId="77777777" w:rsidR="00D4074D" w:rsidRPr="006457E1" w:rsidRDefault="00D4074D" w:rsidP="009C41C5">
      <w:pPr>
        <w:ind w:left="-5"/>
        <w:jc w:val="both"/>
        <w:rPr>
          <w:rFonts w:ascii="Abadi" w:hAnsi="Abadi"/>
          <w:sz w:val="21"/>
          <w:szCs w:val="21"/>
        </w:rPr>
      </w:pPr>
    </w:p>
    <w:p w14:paraId="3BEE812D" w14:textId="77777777" w:rsidR="00D4074D" w:rsidRDefault="00D4074D" w:rsidP="009C41C5">
      <w:pPr>
        <w:ind w:left="-5"/>
        <w:jc w:val="both"/>
        <w:rPr>
          <w:rFonts w:ascii="Abadi" w:hAnsi="Abadi"/>
          <w:sz w:val="21"/>
          <w:szCs w:val="21"/>
        </w:rPr>
      </w:pPr>
      <w:r w:rsidRPr="006457E1">
        <w:rPr>
          <w:rFonts w:ascii="Abadi" w:hAnsi="Abadi"/>
          <w:sz w:val="21"/>
          <w:szCs w:val="21"/>
        </w:rPr>
        <w:t xml:space="preserve">El deporte es una herramienta de integración y desarrollo social, de educación y de salud para las y los Guanajuatenses. Por ello, es trascendental que se formulen y promuevan políticas para garantizar igualdad de condiciones entre hombres y mujeres en las prácticas deportivas, mismas que contribuirán a generar una sociedad más sana y justa, siendo esta la razón de ser de la presente propuesta de reforma. </w:t>
      </w:r>
    </w:p>
    <w:p w14:paraId="47DE8033" w14:textId="77777777" w:rsidR="00D4074D" w:rsidRPr="006457E1" w:rsidRDefault="00D4074D" w:rsidP="009C41C5">
      <w:pPr>
        <w:ind w:left="-5"/>
        <w:jc w:val="both"/>
        <w:rPr>
          <w:rFonts w:ascii="Abadi" w:hAnsi="Abadi"/>
          <w:sz w:val="21"/>
          <w:szCs w:val="21"/>
        </w:rPr>
      </w:pPr>
    </w:p>
    <w:p w14:paraId="3DE91119" w14:textId="77777777" w:rsidR="00D4074D" w:rsidRDefault="00D4074D" w:rsidP="009C41C5">
      <w:pPr>
        <w:ind w:left="-5"/>
        <w:jc w:val="both"/>
        <w:rPr>
          <w:rFonts w:ascii="Abadi" w:hAnsi="Abadi"/>
          <w:sz w:val="21"/>
          <w:szCs w:val="21"/>
        </w:rPr>
      </w:pPr>
      <w:r w:rsidRPr="006457E1">
        <w:rPr>
          <w:rFonts w:ascii="Abadi" w:hAnsi="Abadi"/>
          <w:sz w:val="21"/>
          <w:szCs w:val="21"/>
        </w:rPr>
        <w:t xml:space="preserve">La presente iniciativa tendrá los siguientes impactos de conformidad con el artículo 209 de la Ley Orgánica del Poder Legislativo del Estado de Guanajuato:  </w:t>
      </w:r>
    </w:p>
    <w:p w14:paraId="3141CD7D" w14:textId="77777777" w:rsidR="00D4074D" w:rsidRPr="006457E1" w:rsidRDefault="00D4074D" w:rsidP="009C41C5">
      <w:pPr>
        <w:ind w:left="-5"/>
        <w:jc w:val="both"/>
        <w:rPr>
          <w:rFonts w:ascii="Abadi" w:hAnsi="Abadi"/>
          <w:sz w:val="21"/>
          <w:szCs w:val="21"/>
        </w:rPr>
      </w:pPr>
    </w:p>
    <w:p w14:paraId="44751358" w14:textId="77777777" w:rsidR="00D4074D" w:rsidRDefault="00D4074D" w:rsidP="00427BD6">
      <w:pPr>
        <w:numPr>
          <w:ilvl w:val="0"/>
          <w:numId w:val="14"/>
        </w:numPr>
        <w:ind w:hanging="360"/>
        <w:jc w:val="both"/>
        <w:rPr>
          <w:rFonts w:ascii="Abadi" w:hAnsi="Abadi"/>
          <w:sz w:val="21"/>
          <w:szCs w:val="21"/>
        </w:rPr>
      </w:pPr>
      <w:r w:rsidRPr="006457E1">
        <w:rPr>
          <w:rFonts w:ascii="Abadi" w:hAnsi="Abadi"/>
          <w:sz w:val="21"/>
          <w:szCs w:val="21"/>
        </w:rPr>
        <w:t xml:space="preserve">Impacto jurídico: Se adiciona una fracción XXXIV del artículo 18, se adiciona una fracción IX al artículo 48, y se reforma el artículo 53 de la Ley de Cultura Física y Deporte del Estado de Guanajuato. </w:t>
      </w:r>
    </w:p>
    <w:p w14:paraId="5A73F620" w14:textId="77777777" w:rsidR="00D4074D" w:rsidRPr="006457E1" w:rsidRDefault="00D4074D" w:rsidP="009C41C5">
      <w:pPr>
        <w:ind w:left="1080"/>
        <w:jc w:val="both"/>
        <w:rPr>
          <w:rFonts w:ascii="Abadi" w:hAnsi="Abadi"/>
          <w:sz w:val="21"/>
          <w:szCs w:val="21"/>
        </w:rPr>
      </w:pPr>
    </w:p>
    <w:p w14:paraId="2DB61DB1" w14:textId="77777777" w:rsidR="00D4074D" w:rsidRDefault="00D4074D" w:rsidP="00427BD6">
      <w:pPr>
        <w:numPr>
          <w:ilvl w:val="0"/>
          <w:numId w:val="14"/>
        </w:numPr>
        <w:ind w:hanging="360"/>
        <w:jc w:val="both"/>
        <w:rPr>
          <w:rFonts w:ascii="Abadi" w:hAnsi="Abadi"/>
          <w:sz w:val="21"/>
          <w:szCs w:val="21"/>
        </w:rPr>
      </w:pPr>
      <w:r w:rsidRPr="006457E1">
        <w:rPr>
          <w:rFonts w:ascii="Abadi" w:hAnsi="Abadi"/>
          <w:sz w:val="21"/>
          <w:szCs w:val="21"/>
        </w:rPr>
        <w:t xml:space="preserve">Impacto administrativo: No existe impacto administrativo con esta iniciativa.  </w:t>
      </w:r>
    </w:p>
    <w:p w14:paraId="3E9DD0A3" w14:textId="77777777" w:rsidR="00D4074D" w:rsidRPr="006457E1" w:rsidRDefault="00D4074D" w:rsidP="009C41C5">
      <w:pPr>
        <w:ind w:left="1080"/>
        <w:jc w:val="both"/>
        <w:rPr>
          <w:rFonts w:ascii="Abadi" w:hAnsi="Abadi"/>
          <w:sz w:val="21"/>
          <w:szCs w:val="21"/>
        </w:rPr>
      </w:pPr>
    </w:p>
    <w:p w14:paraId="4759E60A" w14:textId="77777777" w:rsidR="00D4074D" w:rsidRDefault="00D4074D" w:rsidP="00427BD6">
      <w:pPr>
        <w:numPr>
          <w:ilvl w:val="0"/>
          <w:numId w:val="14"/>
        </w:numPr>
        <w:ind w:hanging="360"/>
        <w:jc w:val="both"/>
        <w:rPr>
          <w:rFonts w:ascii="Abadi" w:hAnsi="Abadi"/>
          <w:sz w:val="21"/>
          <w:szCs w:val="21"/>
        </w:rPr>
      </w:pPr>
      <w:r w:rsidRPr="006457E1">
        <w:rPr>
          <w:rFonts w:ascii="Abadi" w:hAnsi="Abadi"/>
          <w:sz w:val="21"/>
          <w:szCs w:val="21"/>
        </w:rPr>
        <w:t xml:space="preserve">Impacto presupuestario: No existe impacto presupuestal con esta iniciativa. </w:t>
      </w:r>
    </w:p>
    <w:p w14:paraId="5EDAEBE4" w14:textId="77777777" w:rsidR="00D4074D" w:rsidRDefault="00D4074D" w:rsidP="009C41C5">
      <w:pPr>
        <w:pStyle w:val="Prrafodelista"/>
        <w:jc w:val="both"/>
        <w:rPr>
          <w:rFonts w:ascii="Abadi" w:hAnsi="Abadi"/>
          <w:sz w:val="21"/>
          <w:szCs w:val="21"/>
        </w:rPr>
      </w:pPr>
    </w:p>
    <w:p w14:paraId="0F987700" w14:textId="77777777" w:rsidR="00D4074D" w:rsidRPr="006457E1" w:rsidRDefault="00D4074D" w:rsidP="009C41C5">
      <w:pPr>
        <w:ind w:left="1080"/>
        <w:jc w:val="both"/>
        <w:rPr>
          <w:rFonts w:ascii="Abadi" w:hAnsi="Abadi"/>
          <w:sz w:val="21"/>
          <w:szCs w:val="21"/>
        </w:rPr>
      </w:pPr>
    </w:p>
    <w:p w14:paraId="671A076D" w14:textId="77777777" w:rsidR="00D4074D" w:rsidRDefault="00D4074D" w:rsidP="00427BD6">
      <w:pPr>
        <w:numPr>
          <w:ilvl w:val="0"/>
          <w:numId w:val="14"/>
        </w:numPr>
        <w:ind w:hanging="360"/>
        <w:jc w:val="both"/>
        <w:rPr>
          <w:rFonts w:ascii="Abadi" w:hAnsi="Abadi"/>
          <w:sz w:val="21"/>
          <w:szCs w:val="21"/>
        </w:rPr>
      </w:pPr>
      <w:r w:rsidRPr="006457E1">
        <w:rPr>
          <w:rFonts w:ascii="Abadi" w:hAnsi="Abadi"/>
          <w:sz w:val="21"/>
          <w:szCs w:val="21"/>
        </w:rPr>
        <w:t xml:space="preserve">Impacto social: Se fortalece el marco jurídico para que se garantice la participación en igualdad de condiciones entre mujeres y hombres que fomenten en actividades físicas y deportivas, así como la prevención y atención del acoso en el ámbito deportivo. </w:t>
      </w:r>
    </w:p>
    <w:p w14:paraId="6C9BC4ED" w14:textId="77777777" w:rsidR="00D4074D" w:rsidRPr="006457E1" w:rsidRDefault="00D4074D" w:rsidP="009C41C5">
      <w:pPr>
        <w:ind w:left="1080"/>
        <w:jc w:val="both"/>
        <w:rPr>
          <w:rFonts w:ascii="Abadi" w:hAnsi="Abadi"/>
          <w:sz w:val="21"/>
          <w:szCs w:val="21"/>
        </w:rPr>
      </w:pPr>
    </w:p>
    <w:p w14:paraId="2EDE9A41" w14:textId="77777777" w:rsidR="00D4074D" w:rsidRDefault="00D4074D" w:rsidP="009C41C5">
      <w:pPr>
        <w:ind w:left="-5"/>
        <w:jc w:val="both"/>
        <w:rPr>
          <w:rFonts w:ascii="Abadi" w:hAnsi="Abadi"/>
          <w:sz w:val="21"/>
          <w:szCs w:val="21"/>
        </w:rPr>
      </w:pPr>
      <w:r w:rsidRPr="006457E1">
        <w:rPr>
          <w:rFonts w:ascii="Abadi" w:hAnsi="Abadi"/>
          <w:sz w:val="21"/>
          <w:szCs w:val="21"/>
        </w:rPr>
        <w:t xml:space="preserve">Por lo anteriormente expuesto, someto a la consideración de este H. Congreso del Estado de Guanajuato la siguiente iniciativa con proyecto de: </w:t>
      </w:r>
    </w:p>
    <w:p w14:paraId="2CD087A8"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 </w:t>
      </w:r>
    </w:p>
    <w:p w14:paraId="56F0FBEA" w14:textId="0637ED75" w:rsidR="00D4074D" w:rsidRDefault="00D4074D" w:rsidP="002754B3">
      <w:pPr>
        <w:ind w:right="4"/>
        <w:jc w:val="center"/>
        <w:rPr>
          <w:rFonts w:ascii="Abadi" w:hAnsi="Abadi"/>
          <w:sz w:val="21"/>
          <w:szCs w:val="21"/>
        </w:rPr>
      </w:pPr>
      <w:r w:rsidRPr="006457E1">
        <w:rPr>
          <w:rFonts w:ascii="Abadi" w:hAnsi="Abadi"/>
          <w:sz w:val="21"/>
          <w:szCs w:val="21"/>
        </w:rPr>
        <w:t>DECRETO</w:t>
      </w:r>
    </w:p>
    <w:p w14:paraId="75FD2F93" w14:textId="77777777" w:rsidR="00D4074D" w:rsidRPr="006457E1" w:rsidRDefault="00D4074D" w:rsidP="009C41C5">
      <w:pPr>
        <w:ind w:right="4"/>
        <w:jc w:val="both"/>
        <w:rPr>
          <w:rFonts w:ascii="Abadi" w:hAnsi="Abadi"/>
          <w:sz w:val="21"/>
          <w:szCs w:val="21"/>
        </w:rPr>
      </w:pPr>
    </w:p>
    <w:p w14:paraId="0D170601"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ARTÍCULO ÚNICO: Se adiciona una fracción XXXIV del artículo 18, se adiciona una fracción IX al artículo 48, y se reforma el artículo 53 de la Ley de Cultura Física y Deporte del Estado de Guanajuato, para quedar como sigue: </w:t>
      </w:r>
    </w:p>
    <w:p w14:paraId="474E018C" w14:textId="77777777" w:rsidR="00D4074D" w:rsidRPr="006457E1" w:rsidRDefault="00D4074D" w:rsidP="009C41C5">
      <w:pPr>
        <w:jc w:val="both"/>
        <w:rPr>
          <w:rFonts w:ascii="Abadi" w:hAnsi="Abadi"/>
          <w:sz w:val="21"/>
          <w:szCs w:val="21"/>
        </w:rPr>
      </w:pPr>
      <w:r w:rsidRPr="006457E1">
        <w:rPr>
          <w:rFonts w:ascii="Abadi" w:hAnsi="Abadi"/>
          <w:sz w:val="21"/>
          <w:szCs w:val="21"/>
        </w:rPr>
        <w:t xml:space="preserve"> </w:t>
      </w:r>
    </w:p>
    <w:p w14:paraId="169E1FA5"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Art 18: </w:t>
      </w:r>
      <w:r w:rsidRPr="006457E1">
        <w:rPr>
          <w:rFonts w:ascii="Abadi" w:hAnsi="Abadi" w:cs="Amasis MT Pro"/>
          <w:sz w:val="21"/>
          <w:szCs w:val="21"/>
        </w:rPr>
        <w:t>La CODE tendrá las siguientes atribuciones…</w:t>
      </w:r>
      <w:r w:rsidRPr="006457E1">
        <w:rPr>
          <w:rFonts w:ascii="Abadi" w:hAnsi="Abadi"/>
          <w:sz w:val="21"/>
          <w:szCs w:val="21"/>
        </w:rPr>
        <w:t xml:space="preserve"> </w:t>
      </w:r>
    </w:p>
    <w:p w14:paraId="4B30B0DE" w14:textId="77777777" w:rsidR="00D4074D" w:rsidRPr="006457E1" w:rsidRDefault="00D4074D" w:rsidP="009C41C5">
      <w:pPr>
        <w:ind w:left="715"/>
        <w:jc w:val="both"/>
        <w:rPr>
          <w:rFonts w:ascii="Abadi" w:hAnsi="Abadi"/>
          <w:sz w:val="21"/>
          <w:szCs w:val="21"/>
        </w:rPr>
      </w:pPr>
      <w:r w:rsidRPr="006457E1">
        <w:rPr>
          <w:rFonts w:ascii="Abadi" w:hAnsi="Abadi"/>
          <w:sz w:val="21"/>
          <w:szCs w:val="21"/>
        </w:rPr>
        <w:t xml:space="preserve">I </w:t>
      </w:r>
      <w:r w:rsidRPr="006457E1">
        <w:rPr>
          <w:rFonts w:ascii="Abadi" w:hAnsi="Abadi" w:cs="Amasis MT Pro"/>
          <w:sz w:val="21"/>
          <w:szCs w:val="21"/>
        </w:rPr>
        <w:t>–</w:t>
      </w:r>
      <w:r w:rsidRPr="006457E1">
        <w:rPr>
          <w:rFonts w:ascii="Abadi" w:hAnsi="Abadi"/>
          <w:sz w:val="21"/>
          <w:szCs w:val="21"/>
        </w:rPr>
        <w:t xml:space="preserve"> </w:t>
      </w:r>
      <w:r w:rsidRPr="006457E1">
        <w:rPr>
          <w:rFonts w:ascii="Abadi" w:hAnsi="Abadi" w:cs="Amasis MT Pro"/>
          <w:sz w:val="21"/>
          <w:szCs w:val="21"/>
        </w:rPr>
        <w:t>XXXIII …</w:t>
      </w:r>
      <w:r w:rsidRPr="006457E1">
        <w:rPr>
          <w:rFonts w:ascii="Abadi" w:hAnsi="Abadi"/>
          <w:sz w:val="21"/>
          <w:szCs w:val="21"/>
        </w:rPr>
        <w:t xml:space="preserve"> </w:t>
      </w:r>
    </w:p>
    <w:p w14:paraId="25FE09C5" w14:textId="77777777" w:rsidR="00D4074D" w:rsidRPr="006457E1" w:rsidRDefault="00D4074D" w:rsidP="009C41C5">
      <w:pPr>
        <w:ind w:left="720"/>
        <w:jc w:val="both"/>
        <w:rPr>
          <w:rFonts w:ascii="Abadi" w:hAnsi="Abadi"/>
          <w:sz w:val="21"/>
          <w:szCs w:val="21"/>
        </w:rPr>
      </w:pPr>
      <w:r w:rsidRPr="006457E1">
        <w:rPr>
          <w:rFonts w:ascii="Abadi" w:hAnsi="Abadi"/>
          <w:sz w:val="21"/>
          <w:szCs w:val="21"/>
        </w:rPr>
        <w:t xml:space="preserve"> </w:t>
      </w:r>
    </w:p>
    <w:p w14:paraId="1DC98B3B" w14:textId="2AD35C83" w:rsidR="00D4074D" w:rsidRPr="006457E1" w:rsidRDefault="00D4074D" w:rsidP="002754B3">
      <w:pPr>
        <w:jc w:val="both"/>
        <w:rPr>
          <w:rFonts w:ascii="Abadi" w:hAnsi="Abadi"/>
          <w:sz w:val="21"/>
          <w:szCs w:val="21"/>
        </w:rPr>
      </w:pPr>
      <w:r w:rsidRPr="006457E1">
        <w:rPr>
          <w:rFonts w:ascii="Abadi" w:hAnsi="Abadi"/>
          <w:sz w:val="21"/>
          <w:szCs w:val="21"/>
        </w:rPr>
        <w:t xml:space="preserve">XXXIV: Promover programas para prevenir y combatir el acoso en el ámbito deportivo, garantizando un entorno seguro y libre de violencia.  </w:t>
      </w:r>
    </w:p>
    <w:p w14:paraId="57EF26E8" w14:textId="387C5107" w:rsidR="00D4074D" w:rsidRPr="006457E1" w:rsidRDefault="00D4074D" w:rsidP="002754B3">
      <w:pPr>
        <w:jc w:val="both"/>
        <w:rPr>
          <w:rFonts w:ascii="Abadi" w:hAnsi="Abadi"/>
          <w:sz w:val="21"/>
          <w:szCs w:val="21"/>
        </w:rPr>
      </w:pPr>
      <w:r w:rsidRPr="006457E1">
        <w:rPr>
          <w:rFonts w:ascii="Abadi" w:hAnsi="Abadi"/>
          <w:sz w:val="21"/>
          <w:szCs w:val="21"/>
        </w:rPr>
        <w:t xml:space="preserve"> </w:t>
      </w:r>
    </w:p>
    <w:p w14:paraId="0CB46F45"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Artículo 48: </w:t>
      </w:r>
      <w:r w:rsidRPr="006457E1">
        <w:rPr>
          <w:rFonts w:ascii="Abadi" w:hAnsi="Abadi" w:cs="Amasis MT Pro"/>
          <w:sz w:val="21"/>
          <w:szCs w:val="21"/>
        </w:rPr>
        <w:t>El ejecutivo del Estado…</w:t>
      </w:r>
      <w:r w:rsidRPr="006457E1">
        <w:rPr>
          <w:rFonts w:ascii="Abadi" w:hAnsi="Abadi"/>
          <w:sz w:val="21"/>
          <w:szCs w:val="21"/>
        </w:rPr>
        <w:t xml:space="preserve"> </w:t>
      </w:r>
    </w:p>
    <w:p w14:paraId="011D6D82"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I - VIII </w:t>
      </w:r>
    </w:p>
    <w:p w14:paraId="60FEB39F"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IX. Promover, formular y ejecutar políticas de fomento a actividades físicas y deportivas garantizando la participación en igualdad de condiciones entre mujeres y hombres. </w:t>
      </w:r>
    </w:p>
    <w:p w14:paraId="263DB8BA"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 </w:t>
      </w:r>
    </w:p>
    <w:p w14:paraId="28E46DF8" w14:textId="77777777" w:rsidR="00D4074D" w:rsidRDefault="00D4074D" w:rsidP="002754B3">
      <w:pPr>
        <w:jc w:val="both"/>
        <w:rPr>
          <w:rFonts w:ascii="Abadi" w:hAnsi="Abadi"/>
          <w:sz w:val="21"/>
          <w:szCs w:val="21"/>
        </w:rPr>
      </w:pPr>
      <w:r w:rsidRPr="006457E1">
        <w:rPr>
          <w:rFonts w:ascii="Abadi" w:hAnsi="Abadi"/>
          <w:sz w:val="21"/>
          <w:szCs w:val="21"/>
        </w:rPr>
        <w:t xml:space="preserve">Artículo 53. Las Asociaciones Deportivas estatales, municipales y regionales regularán su estructura interna y funcionamiento, de conformidad con la Ley General, la presente Ley, sus estatutos y reglamentos internos observando en todo momento los principios de democracia, representatividad, equidad, igualdad sustantiva, legalidad, transparencia y rendición de cuentas.  </w:t>
      </w:r>
    </w:p>
    <w:p w14:paraId="5E5B97FC" w14:textId="77777777" w:rsidR="00D4074D" w:rsidRPr="006457E1" w:rsidRDefault="00D4074D" w:rsidP="002754B3">
      <w:pPr>
        <w:jc w:val="both"/>
        <w:rPr>
          <w:rFonts w:ascii="Abadi" w:hAnsi="Abadi"/>
          <w:sz w:val="21"/>
          <w:szCs w:val="21"/>
        </w:rPr>
      </w:pPr>
    </w:p>
    <w:p w14:paraId="7AE29707" w14:textId="77777777" w:rsidR="00D4074D" w:rsidRDefault="00D4074D" w:rsidP="002754B3">
      <w:pPr>
        <w:jc w:val="both"/>
        <w:rPr>
          <w:rFonts w:ascii="Abadi" w:hAnsi="Abadi"/>
          <w:sz w:val="21"/>
          <w:szCs w:val="21"/>
        </w:rPr>
      </w:pPr>
      <w:r w:rsidRPr="006457E1">
        <w:rPr>
          <w:rFonts w:ascii="Abadi" w:hAnsi="Abadi"/>
          <w:sz w:val="21"/>
          <w:szCs w:val="21"/>
        </w:rPr>
        <w:t xml:space="preserve">Es obligación para las Asociaciones Deportivas estatales, municipales y regionales, la igualdad de trato y oportunidades y, la paridad entre hombres y mujeres en el acceso a sus órganos de gobierno y representación.   </w:t>
      </w:r>
    </w:p>
    <w:p w14:paraId="61C8EABE" w14:textId="77777777" w:rsidR="00D4074D" w:rsidRPr="006457E1" w:rsidRDefault="00D4074D" w:rsidP="002754B3">
      <w:pPr>
        <w:jc w:val="both"/>
        <w:rPr>
          <w:rFonts w:ascii="Abadi" w:hAnsi="Abadi"/>
          <w:sz w:val="21"/>
          <w:szCs w:val="21"/>
        </w:rPr>
      </w:pPr>
    </w:p>
    <w:p w14:paraId="73E256F5" w14:textId="77777777" w:rsidR="00D4074D" w:rsidRPr="006457E1" w:rsidRDefault="00D4074D" w:rsidP="002754B3">
      <w:pPr>
        <w:jc w:val="both"/>
        <w:rPr>
          <w:rFonts w:ascii="Abadi" w:hAnsi="Abadi"/>
          <w:sz w:val="21"/>
          <w:szCs w:val="21"/>
        </w:rPr>
      </w:pPr>
      <w:r w:rsidRPr="006457E1">
        <w:rPr>
          <w:rFonts w:ascii="Abadi" w:hAnsi="Abadi" w:cs="Amasis MT Pro"/>
          <w:sz w:val="21"/>
          <w:szCs w:val="21"/>
        </w:rPr>
        <w:t>Las Asociaciones Deportivas Estatales debidamente …</w:t>
      </w:r>
      <w:r w:rsidRPr="006457E1">
        <w:rPr>
          <w:rFonts w:ascii="Abadi" w:hAnsi="Abadi"/>
          <w:sz w:val="21"/>
          <w:szCs w:val="21"/>
        </w:rPr>
        <w:t xml:space="preserve"> </w:t>
      </w:r>
    </w:p>
    <w:p w14:paraId="4D2EF056" w14:textId="77777777" w:rsidR="00D4074D" w:rsidRPr="006457E1" w:rsidRDefault="00D4074D" w:rsidP="002754B3">
      <w:pPr>
        <w:jc w:val="both"/>
        <w:rPr>
          <w:rFonts w:ascii="Abadi" w:hAnsi="Abadi"/>
          <w:sz w:val="21"/>
          <w:szCs w:val="21"/>
        </w:rPr>
      </w:pPr>
      <w:r w:rsidRPr="006457E1">
        <w:rPr>
          <w:rFonts w:ascii="Abadi" w:hAnsi="Abadi"/>
          <w:sz w:val="21"/>
          <w:szCs w:val="21"/>
        </w:rPr>
        <w:t xml:space="preserve"> </w:t>
      </w:r>
    </w:p>
    <w:p w14:paraId="1CC6EC7C" w14:textId="6AF3A544" w:rsidR="00D4074D" w:rsidRPr="006457E1" w:rsidRDefault="00D4074D" w:rsidP="009C41C5">
      <w:pPr>
        <w:ind w:right="3"/>
        <w:jc w:val="center"/>
        <w:rPr>
          <w:rFonts w:ascii="Abadi" w:hAnsi="Abadi"/>
          <w:sz w:val="21"/>
          <w:szCs w:val="21"/>
        </w:rPr>
      </w:pPr>
      <w:r w:rsidRPr="006457E1">
        <w:rPr>
          <w:rFonts w:ascii="Abadi" w:hAnsi="Abadi"/>
          <w:sz w:val="21"/>
          <w:szCs w:val="21"/>
        </w:rPr>
        <w:t>TRANSITORIOS</w:t>
      </w:r>
    </w:p>
    <w:p w14:paraId="166B1157" w14:textId="77777777" w:rsidR="00D4074D" w:rsidRPr="006457E1" w:rsidRDefault="00D4074D" w:rsidP="009C41C5">
      <w:pPr>
        <w:ind w:left="62"/>
        <w:jc w:val="both"/>
        <w:rPr>
          <w:rFonts w:ascii="Abadi" w:hAnsi="Abadi"/>
          <w:sz w:val="21"/>
          <w:szCs w:val="21"/>
        </w:rPr>
      </w:pPr>
      <w:r w:rsidRPr="006457E1">
        <w:rPr>
          <w:rFonts w:ascii="Abadi" w:hAnsi="Abadi"/>
          <w:sz w:val="21"/>
          <w:szCs w:val="21"/>
        </w:rPr>
        <w:t xml:space="preserve"> </w:t>
      </w:r>
    </w:p>
    <w:p w14:paraId="2484E43D" w14:textId="77777777" w:rsidR="00D4074D" w:rsidRPr="006457E1" w:rsidRDefault="00D4074D" w:rsidP="009C41C5">
      <w:pPr>
        <w:ind w:left="-5"/>
        <w:jc w:val="both"/>
        <w:rPr>
          <w:rFonts w:ascii="Abadi" w:hAnsi="Abadi"/>
          <w:sz w:val="21"/>
          <w:szCs w:val="21"/>
        </w:rPr>
      </w:pPr>
      <w:r w:rsidRPr="006457E1">
        <w:rPr>
          <w:rFonts w:ascii="Abadi" w:hAnsi="Abadi"/>
          <w:sz w:val="21"/>
          <w:szCs w:val="21"/>
        </w:rPr>
        <w:t xml:space="preserve">ÚNICO. El presente decreto entrara en vigor al día siguiente de su publicación en el Periódico Oficial del Gobierno del Estado de Guanajuato. </w:t>
      </w:r>
    </w:p>
    <w:p w14:paraId="1934C364" w14:textId="77777777" w:rsidR="00D4074D" w:rsidRPr="006457E1" w:rsidRDefault="00D4074D" w:rsidP="009C41C5">
      <w:pPr>
        <w:ind w:left="62"/>
        <w:jc w:val="both"/>
        <w:rPr>
          <w:rFonts w:ascii="Abadi" w:hAnsi="Abadi"/>
          <w:sz w:val="21"/>
          <w:szCs w:val="21"/>
        </w:rPr>
      </w:pPr>
      <w:r w:rsidRPr="006457E1">
        <w:rPr>
          <w:rFonts w:ascii="Abadi" w:hAnsi="Abadi"/>
          <w:sz w:val="21"/>
          <w:szCs w:val="21"/>
        </w:rPr>
        <w:t xml:space="preserve"> </w:t>
      </w:r>
    </w:p>
    <w:p w14:paraId="183894E5" w14:textId="77777777" w:rsidR="00D4074D" w:rsidRPr="006457E1" w:rsidRDefault="00D4074D" w:rsidP="009C41C5">
      <w:pPr>
        <w:ind w:right="5"/>
        <w:jc w:val="both"/>
        <w:rPr>
          <w:rFonts w:ascii="Abadi" w:hAnsi="Abadi"/>
          <w:sz w:val="21"/>
          <w:szCs w:val="21"/>
        </w:rPr>
      </w:pPr>
      <w:r w:rsidRPr="006457E1">
        <w:rPr>
          <w:rFonts w:ascii="Abadi" w:hAnsi="Abadi"/>
          <w:sz w:val="21"/>
          <w:szCs w:val="21"/>
        </w:rPr>
        <w:t xml:space="preserve">Guanajuato, </w:t>
      </w:r>
      <w:proofErr w:type="spellStart"/>
      <w:r w:rsidRPr="006457E1">
        <w:rPr>
          <w:rFonts w:ascii="Abadi" w:hAnsi="Abadi"/>
          <w:sz w:val="21"/>
          <w:szCs w:val="21"/>
        </w:rPr>
        <w:t>Gto</w:t>
      </w:r>
      <w:proofErr w:type="spellEnd"/>
      <w:r w:rsidRPr="006457E1">
        <w:rPr>
          <w:rFonts w:ascii="Abadi" w:hAnsi="Abadi"/>
          <w:sz w:val="21"/>
          <w:szCs w:val="21"/>
        </w:rPr>
        <w:t xml:space="preserve">. 21 de junio de 2023. </w:t>
      </w:r>
    </w:p>
    <w:p w14:paraId="405A36AF" w14:textId="77777777" w:rsidR="00D4074D" w:rsidRPr="00D4074D" w:rsidRDefault="00D4074D" w:rsidP="00D4074D">
      <w:pPr>
        <w:autoSpaceDE w:val="0"/>
        <w:autoSpaceDN w:val="0"/>
        <w:adjustRightInd w:val="0"/>
        <w:contextualSpacing/>
        <w:jc w:val="both"/>
        <w:rPr>
          <w:rFonts w:ascii="Abadi" w:hAnsi="Abadi" w:cs="ArialMT"/>
          <w:b/>
          <w:bCs/>
          <w:sz w:val="21"/>
          <w:szCs w:val="21"/>
        </w:rPr>
      </w:pPr>
    </w:p>
    <w:p w14:paraId="14E9AADA" w14:textId="77777777" w:rsidR="002754B3" w:rsidRDefault="002754B3" w:rsidP="002754B3">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Enseguida se solicita a la diputada a la diputada Martha Edith Moreno Valencia, dar lectura a la exposición de motivos de su iniciativa referida en el punto sexto del orden del día. </w:t>
      </w:r>
      <w:r w:rsidRPr="0030088F">
        <w:rPr>
          <w:rFonts w:ascii="Abadi" w:hAnsi="Abadi"/>
          <w:b/>
          <w:bCs/>
          <w:sz w:val="21"/>
          <w:szCs w:val="21"/>
        </w:rPr>
        <w:t>(ELD 532/LXV-I)</w:t>
      </w:r>
    </w:p>
    <w:p w14:paraId="0E4342F2" w14:textId="77777777" w:rsidR="002754B3" w:rsidRPr="0030088F" w:rsidRDefault="002754B3" w:rsidP="002754B3">
      <w:pPr>
        <w:ind w:firstLine="708"/>
        <w:jc w:val="both"/>
        <w:rPr>
          <w:rFonts w:ascii="Abadi" w:hAnsi="Abadi"/>
          <w:b/>
          <w:bCs/>
          <w:sz w:val="21"/>
          <w:szCs w:val="21"/>
        </w:rPr>
      </w:pPr>
    </w:p>
    <w:p w14:paraId="634C234B" w14:textId="77777777" w:rsidR="002754B3" w:rsidRDefault="002754B3" w:rsidP="002754B3">
      <w:pPr>
        <w:ind w:firstLine="708"/>
        <w:jc w:val="both"/>
        <w:rPr>
          <w:rFonts w:ascii="Abadi" w:hAnsi="Abadi"/>
          <w:sz w:val="21"/>
          <w:szCs w:val="21"/>
        </w:rPr>
      </w:pPr>
      <w:r w:rsidRPr="0030088F">
        <w:rPr>
          <w:rFonts w:ascii="Abadi" w:hAnsi="Abadi"/>
          <w:sz w:val="21"/>
          <w:szCs w:val="21"/>
        </w:rPr>
        <w:t xml:space="preserve">- Adelante. </w:t>
      </w:r>
    </w:p>
    <w:p w14:paraId="582405FE" w14:textId="77777777" w:rsidR="002754B3" w:rsidRPr="0030088F" w:rsidRDefault="002754B3" w:rsidP="002754B3">
      <w:pPr>
        <w:ind w:firstLine="708"/>
        <w:jc w:val="both"/>
        <w:rPr>
          <w:rFonts w:ascii="Abadi" w:hAnsi="Abadi"/>
          <w:sz w:val="21"/>
          <w:szCs w:val="21"/>
        </w:rPr>
      </w:pPr>
    </w:p>
    <w:p w14:paraId="7AF2D3A0" w14:textId="77777777" w:rsidR="002754B3" w:rsidRPr="0030088F" w:rsidRDefault="002754B3" w:rsidP="002754B3">
      <w:pPr>
        <w:jc w:val="both"/>
        <w:rPr>
          <w:rFonts w:ascii="Abadi" w:hAnsi="Abadi"/>
          <w:b/>
          <w:bCs/>
          <w:sz w:val="21"/>
          <w:szCs w:val="21"/>
        </w:rPr>
      </w:pPr>
      <w:r w:rsidRPr="0030088F">
        <w:rPr>
          <w:rFonts w:ascii="Abadi" w:hAnsi="Abadi"/>
          <w:b/>
          <w:bCs/>
          <w:sz w:val="21"/>
          <w:szCs w:val="21"/>
        </w:rPr>
        <w:t>(Sube a tribuna la diputada a la diputada Martha Edith Moreno Valencia, dar lectura a la exposición de motivos de su iniciativa en referencia)</w:t>
      </w:r>
    </w:p>
    <w:p w14:paraId="50ADAA18" w14:textId="0982CCC9" w:rsidR="002754B3" w:rsidRPr="0030088F" w:rsidRDefault="002754B3" w:rsidP="002754B3">
      <w:pPr>
        <w:jc w:val="both"/>
        <w:rPr>
          <w:rFonts w:ascii="Abadi" w:hAnsi="Abadi"/>
          <w:b/>
          <w:bCs/>
          <w:sz w:val="21"/>
          <w:szCs w:val="21"/>
        </w:rPr>
      </w:pPr>
    </w:p>
    <w:p w14:paraId="3163360F" w14:textId="77777777" w:rsidR="002754B3" w:rsidRDefault="002754B3" w:rsidP="002754B3">
      <w:pPr>
        <w:jc w:val="both"/>
        <w:rPr>
          <w:rFonts w:ascii="Abadi" w:hAnsi="Abadi"/>
          <w:b/>
          <w:bCs/>
          <w:sz w:val="21"/>
          <w:szCs w:val="21"/>
        </w:rPr>
      </w:pPr>
    </w:p>
    <w:p w14:paraId="6DC69C17" w14:textId="77777777" w:rsidR="002754B3" w:rsidRDefault="002754B3" w:rsidP="002754B3">
      <w:pPr>
        <w:jc w:val="both"/>
        <w:rPr>
          <w:rFonts w:ascii="Abadi" w:hAnsi="Abadi"/>
          <w:b/>
          <w:bCs/>
          <w:sz w:val="21"/>
          <w:szCs w:val="21"/>
        </w:rPr>
      </w:pPr>
    </w:p>
    <w:p w14:paraId="4CC202DB" w14:textId="77777777" w:rsidR="002754B3" w:rsidRDefault="002754B3" w:rsidP="002754B3">
      <w:pPr>
        <w:jc w:val="both"/>
        <w:rPr>
          <w:rFonts w:ascii="Abadi" w:hAnsi="Abadi"/>
          <w:b/>
          <w:bCs/>
          <w:sz w:val="21"/>
          <w:szCs w:val="21"/>
        </w:rPr>
      </w:pPr>
    </w:p>
    <w:p w14:paraId="4277EDFB" w14:textId="77777777" w:rsidR="002754B3" w:rsidRDefault="002754B3" w:rsidP="002754B3">
      <w:pPr>
        <w:jc w:val="both"/>
        <w:rPr>
          <w:rFonts w:ascii="Abadi" w:hAnsi="Abadi"/>
          <w:b/>
          <w:bCs/>
          <w:sz w:val="21"/>
          <w:szCs w:val="21"/>
        </w:rPr>
      </w:pPr>
    </w:p>
    <w:p w14:paraId="08CCF53B" w14:textId="143D430D" w:rsidR="002754B3" w:rsidRDefault="002754B3" w:rsidP="002754B3">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49" behindDoc="1" locked="0" layoutInCell="1" allowOverlap="1" wp14:anchorId="173D84C0" wp14:editId="1FED71D0">
            <wp:simplePos x="0" y="0"/>
            <wp:positionH relativeFrom="column">
              <wp:posOffset>494347</wp:posOffset>
            </wp:positionH>
            <wp:positionV relativeFrom="paragraph">
              <wp:posOffset>83185</wp:posOffset>
            </wp:positionV>
            <wp:extent cx="1552653" cy="816429"/>
            <wp:effectExtent l="247650" t="228600" r="238125" b="784225"/>
            <wp:wrapTight wrapText="bothSides">
              <wp:wrapPolygon edited="0">
                <wp:start x="-3445" y="-6051"/>
                <wp:lineTo x="-3445" y="41855"/>
                <wp:lineTo x="24648" y="41855"/>
                <wp:lineTo x="24648" y="-6051"/>
                <wp:lineTo x="-3445" y="-6051"/>
              </wp:wrapPolygon>
            </wp:wrapTight>
            <wp:docPr id="1697761846" name="Imagen 169776184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761846" name="Imagen 1" descr="Texto&#10;&#10;Descripción generada automáticamente"/>
                    <pic:cNvPicPr/>
                  </pic:nvPicPr>
                  <pic:blipFill rotWithShape="1">
                    <a:blip r:embed="rId25" cstate="print">
                      <a:extLst>
                        <a:ext uri="{28A0092B-C50C-407E-A947-70E740481C1C}">
                          <a14:useLocalDpi xmlns:a14="http://schemas.microsoft.com/office/drawing/2010/main" val="0"/>
                        </a:ext>
                      </a:extLst>
                    </a:blip>
                    <a:srcRect b="6512"/>
                    <a:stretch/>
                  </pic:blipFill>
                  <pic:spPr bwMode="auto">
                    <a:xfrm>
                      <a:off x="0" y="0"/>
                      <a:ext cx="1552653" cy="81642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61DA109" w14:textId="38B232A8" w:rsidR="002754B3" w:rsidRDefault="002754B3" w:rsidP="002754B3">
      <w:pPr>
        <w:jc w:val="both"/>
        <w:rPr>
          <w:rFonts w:ascii="Abadi" w:hAnsi="Abadi"/>
          <w:b/>
          <w:bCs/>
          <w:sz w:val="21"/>
          <w:szCs w:val="21"/>
        </w:rPr>
      </w:pPr>
      <w:r w:rsidRPr="0030088F">
        <w:rPr>
          <w:rFonts w:ascii="Abadi" w:hAnsi="Abadi"/>
          <w:b/>
          <w:bCs/>
          <w:sz w:val="21"/>
          <w:szCs w:val="21"/>
        </w:rPr>
        <w:t>Diputada Martha Edith Moreno Valencia</w:t>
      </w:r>
    </w:p>
    <w:p w14:paraId="2C48D8EB" w14:textId="77777777" w:rsidR="002754B3" w:rsidRPr="0030088F" w:rsidRDefault="002754B3" w:rsidP="002754B3">
      <w:pPr>
        <w:jc w:val="both"/>
        <w:rPr>
          <w:rFonts w:ascii="Abadi" w:hAnsi="Abadi"/>
          <w:b/>
          <w:bCs/>
          <w:sz w:val="21"/>
          <w:szCs w:val="21"/>
        </w:rPr>
      </w:pPr>
    </w:p>
    <w:p w14:paraId="79B7A9F6" w14:textId="77777777" w:rsidR="002754B3" w:rsidRDefault="002754B3" w:rsidP="002754B3">
      <w:pPr>
        <w:jc w:val="both"/>
        <w:rPr>
          <w:rFonts w:ascii="Abadi" w:hAnsi="Abadi"/>
          <w:sz w:val="21"/>
          <w:szCs w:val="21"/>
        </w:rPr>
      </w:pPr>
      <w:r w:rsidRPr="0030088F">
        <w:rPr>
          <w:rFonts w:ascii="Abadi" w:hAnsi="Abadi"/>
          <w:sz w:val="21"/>
          <w:szCs w:val="21"/>
        </w:rPr>
        <w:t xml:space="preserve">- Gracias diputada presidenta, con el permiso de los ciudadanos que es a quienes yo me debo, muy buenos días, compañeras compañeros diputados a quienes nos ven a través de las transmisiones digitales y también a quienes nos acompañan en esta casa legislativa, eh, me permitido someter a consideración de esta Asamblea para su aprobación la presente iniciativa con proyecto de decreto mediante el cual se reforma la Ley de Cultura Física y Deporte del Estado de Guanajuato, esto porque creo que lo he vivido yo y me atrevo a decir que todas las mujeres de manera general lo han vivido el acoso en el deporte que no nos sentimos seguras, ni de manera tranquila, cuando salimos a hacer alguna actividad deportiva ya sea por nuestro vestuario, ya sea porque bueno, este el hacer la actividad, pues nos permite estar en un área con muchos compañeros hombres y a veces eso nos limita a podernos sentir de manera segura realizando las actividades físicas. </w:t>
      </w:r>
    </w:p>
    <w:p w14:paraId="66253331" w14:textId="77777777" w:rsidR="002754B3" w:rsidRPr="0030088F" w:rsidRDefault="002754B3" w:rsidP="002754B3">
      <w:pPr>
        <w:jc w:val="both"/>
        <w:rPr>
          <w:rFonts w:ascii="Abadi" w:hAnsi="Abadi"/>
          <w:sz w:val="21"/>
          <w:szCs w:val="21"/>
        </w:rPr>
      </w:pPr>
    </w:p>
    <w:p w14:paraId="16003E74" w14:textId="77777777" w:rsidR="002754B3" w:rsidRDefault="002754B3" w:rsidP="002754B3">
      <w:pPr>
        <w:jc w:val="both"/>
        <w:rPr>
          <w:rFonts w:ascii="Abadi" w:hAnsi="Abadi"/>
          <w:sz w:val="21"/>
          <w:szCs w:val="21"/>
        </w:rPr>
      </w:pPr>
      <w:r w:rsidRPr="0030088F">
        <w:rPr>
          <w:rFonts w:ascii="Abadi" w:hAnsi="Abadi"/>
          <w:sz w:val="21"/>
          <w:szCs w:val="21"/>
        </w:rPr>
        <w:t xml:space="preserve">- Cuando las mujeres intentan acceder al ámbito deportivo para hacer algún tipo de actividad física a menudo son víctimas de acoso de humillaciones de discriminación y además y demás acciones que violentan sus derechos y que pueden llegar a limitar su participación en actividades deportivas cabe resaltar que el acoso en el deporte se llega a presentar desde los entrenamientos, las </w:t>
      </w:r>
      <w:r w:rsidRPr="0030088F">
        <w:rPr>
          <w:rFonts w:ascii="Abadi" w:hAnsi="Abadi"/>
          <w:sz w:val="21"/>
          <w:szCs w:val="21"/>
        </w:rPr>
        <w:t xml:space="preserve">competencias en las instalaciones deportivas o en cualquier otra actividad relacionada y qué tanto hombres como mujeres están expuestos a ser transgredidos, pero que afecta de manera desproporcionada a las mujeres y perpetúa la desigualdad de género existen múltiples casos que evidencian los riesgos a los que se enfrentan las víctimas ya que pueden llegar a sufrir de agresiones físicas agresiones verbales emocionales y hasta agresiones sexuales. </w:t>
      </w:r>
    </w:p>
    <w:p w14:paraId="2D687A85" w14:textId="77777777" w:rsidR="002754B3" w:rsidRPr="0030088F" w:rsidRDefault="002754B3" w:rsidP="002754B3">
      <w:pPr>
        <w:jc w:val="both"/>
        <w:rPr>
          <w:rFonts w:ascii="Abadi" w:hAnsi="Abadi"/>
          <w:sz w:val="21"/>
          <w:szCs w:val="21"/>
        </w:rPr>
      </w:pPr>
    </w:p>
    <w:p w14:paraId="226893D3" w14:textId="77777777" w:rsidR="002754B3" w:rsidRPr="0030088F" w:rsidRDefault="002754B3" w:rsidP="002754B3">
      <w:pPr>
        <w:jc w:val="both"/>
        <w:rPr>
          <w:rFonts w:ascii="Abadi" w:hAnsi="Abadi"/>
          <w:sz w:val="21"/>
          <w:szCs w:val="21"/>
        </w:rPr>
      </w:pPr>
      <w:r w:rsidRPr="0030088F">
        <w:rPr>
          <w:rFonts w:ascii="Abadi" w:hAnsi="Abadi"/>
          <w:sz w:val="21"/>
          <w:szCs w:val="21"/>
        </w:rPr>
        <w:t>- Sin embargo por la inacción de las autoridades y ante el miedo a las represalias pocas veces se denuncia, le cito, lo siguiente; es exagerado el acoso que vivimos nosotras las mujeres de México de verdad todos los días sufrimos de algo, estoy super decepcionada porque estaba en el estadio León apoyando a mi club a mis compañeros y neta no puede ser que no hagan nada al respecto, era un fan de León, era un fan nuestro y estoy muy decepcionada y enojada, esto no es cosa de ahorita, ha pasado siempre.</w:t>
      </w:r>
    </w:p>
    <w:p w14:paraId="20FBDB86" w14:textId="77777777" w:rsidR="002754B3" w:rsidRDefault="002754B3" w:rsidP="002754B3">
      <w:pPr>
        <w:jc w:val="both"/>
        <w:rPr>
          <w:rFonts w:ascii="Abadi" w:hAnsi="Abadi"/>
          <w:sz w:val="21"/>
          <w:szCs w:val="21"/>
        </w:rPr>
      </w:pPr>
      <w:r w:rsidRPr="0030088F">
        <w:rPr>
          <w:rFonts w:ascii="Abadi" w:hAnsi="Abadi"/>
          <w:sz w:val="21"/>
          <w:szCs w:val="21"/>
        </w:rPr>
        <w:t xml:space="preserve">- Estas son algunas de las declaraciones de la joven Nailea, futbolista del “Club León Femenil” quien denunció a través de sus redes sociales que junto con una compañera fueron víctimas de acoso y que incluso han llegado a recibir amenazas que ponen en riesgo su vida, otro caso que visibiliza el acoso y hostigamiento que se vive en contextos deportivos es el de una clavadista que representa a Guanajuato la cual denunció haber sido abusada sexualmente por su propio compañero con quien entrenaba en las instalaciones de la Comisión de Deporte del Estado de Guanajuato el CODE, eso sucedió en febrero del 2021 y aunque esa situación fue comunicada a su entonces entrenador este no separo al clavadista de su equipo, ni tomó ninguna medida al respecto, además de que se haya cuenta con una carpeta de investigación encabezada por la Fiscalía General de Guanajuato. </w:t>
      </w:r>
    </w:p>
    <w:p w14:paraId="452B308E" w14:textId="77777777" w:rsidR="002754B3" w:rsidRPr="0030088F" w:rsidRDefault="002754B3" w:rsidP="002754B3">
      <w:pPr>
        <w:jc w:val="both"/>
        <w:rPr>
          <w:rFonts w:ascii="Abadi" w:hAnsi="Abadi"/>
          <w:sz w:val="21"/>
          <w:szCs w:val="21"/>
        </w:rPr>
      </w:pPr>
    </w:p>
    <w:p w14:paraId="79215D4C" w14:textId="77777777" w:rsidR="002754B3" w:rsidRDefault="002754B3" w:rsidP="002754B3">
      <w:pPr>
        <w:jc w:val="both"/>
        <w:rPr>
          <w:rFonts w:ascii="Abadi" w:hAnsi="Abadi"/>
          <w:sz w:val="21"/>
          <w:szCs w:val="21"/>
        </w:rPr>
      </w:pPr>
      <w:r w:rsidRPr="0030088F">
        <w:rPr>
          <w:rFonts w:ascii="Abadi" w:hAnsi="Abadi"/>
          <w:sz w:val="21"/>
          <w:szCs w:val="21"/>
        </w:rPr>
        <w:t xml:space="preserve">- El artículo cuarto de la Constitución Política de los Estados Unidos Mexicanos, establece que toda persona tiene derecho a la cultura física y a la práctica del deporte, corresponde al estado su promoción el fomento y estímulo conforme a las leyes en la materia, por ello, el deporte debe ser un espacio de igualdad de oportunidades, en donde el ser mujer no debe traducirse en un factor de riesgo para sufrir de </w:t>
      </w:r>
      <w:r w:rsidRPr="0030088F">
        <w:rPr>
          <w:rFonts w:ascii="Abadi" w:hAnsi="Abadi"/>
          <w:sz w:val="21"/>
          <w:szCs w:val="21"/>
        </w:rPr>
        <w:lastRenderedPageBreak/>
        <w:t xml:space="preserve">acoso, discriminación o demás, y pueda garantizarse así este derecho. </w:t>
      </w:r>
    </w:p>
    <w:p w14:paraId="3CCCDABC" w14:textId="77777777" w:rsidR="002754B3" w:rsidRPr="0030088F" w:rsidRDefault="002754B3" w:rsidP="002754B3">
      <w:pPr>
        <w:jc w:val="both"/>
        <w:rPr>
          <w:rFonts w:ascii="Abadi" w:hAnsi="Abadi"/>
          <w:sz w:val="21"/>
          <w:szCs w:val="21"/>
        </w:rPr>
      </w:pPr>
    </w:p>
    <w:p w14:paraId="1005209A" w14:textId="77777777" w:rsidR="002754B3" w:rsidRDefault="002754B3" w:rsidP="002754B3">
      <w:pPr>
        <w:jc w:val="both"/>
        <w:rPr>
          <w:rFonts w:ascii="Abadi" w:hAnsi="Abadi"/>
          <w:sz w:val="21"/>
          <w:szCs w:val="21"/>
        </w:rPr>
      </w:pPr>
      <w:r w:rsidRPr="0030088F">
        <w:rPr>
          <w:rFonts w:ascii="Abadi" w:hAnsi="Abadi"/>
          <w:sz w:val="21"/>
          <w:szCs w:val="21"/>
        </w:rPr>
        <w:t xml:space="preserve">- Con base en los resultados del módulo de práctica deportiva y ejercicio físico en el 2021 realizado por el INEGI, el 66.7% de las mujeres mencionaron ser inactivas físicamente, es decir, poco más de la mitad lo cual es un dato preocupante como una de las posibles razones ante esta baja inserción en el deporte puede ser que tradicionalmente y de manera errónea sea clasificado como una actividad exclusiva de los hombres, además de que las mujeres deportistas enfrentan obstáculos adicionales como lo es el acoso y la discriminación por razones de género, dichas problemáticas crean a su vez un ambiente desigual, hostil e inseguro para ellas, provocando que sea desalentador el participar en actividades deportivas la lucha por la igualdad supone también la plena participación de las mujeres en actividades físicas ya que persiste una brecha de desigualdad tanto en oportunidades como en el apoyo social e institucional, condiciones que son determinantes en las carreras profesionales de los deportistas. </w:t>
      </w:r>
    </w:p>
    <w:p w14:paraId="203B9F6F" w14:textId="77777777" w:rsidR="002754B3" w:rsidRPr="0030088F" w:rsidRDefault="002754B3" w:rsidP="002754B3">
      <w:pPr>
        <w:jc w:val="both"/>
        <w:rPr>
          <w:rFonts w:ascii="Abadi" w:hAnsi="Abadi"/>
          <w:sz w:val="21"/>
          <w:szCs w:val="21"/>
        </w:rPr>
      </w:pPr>
    </w:p>
    <w:p w14:paraId="2FC06E51" w14:textId="77777777" w:rsidR="002754B3" w:rsidRDefault="002754B3" w:rsidP="002754B3">
      <w:pPr>
        <w:jc w:val="both"/>
        <w:rPr>
          <w:rFonts w:ascii="Abadi" w:hAnsi="Abadi"/>
          <w:sz w:val="21"/>
          <w:szCs w:val="21"/>
        </w:rPr>
      </w:pPr>
      <w:r w:rsidRPr="0030088F">
        <w:rPr>
          <w:rFonts w:ascii="Abadi" w:hAnsi="Abadi"/>
          <w:sz w:val="21"/>
          <w:szCs w:val="21"/>
        </w:rPr>
        <w:t xml:space="preserve">- En el caso de las mujeres, resulta aún más importante realizar esfuerzos para la completa y total integración al mundo del deporte por lo que es crucial eliminar toda barrera que limite la participación de las mujeres, la presente iniciativa propone que también exista paridad en las asociaciones deportivas en el acceso a sus órganos de gobierno y de representación, esto bajo los principios de igualdad sustantiva y representativa para fomentar una cultura física y deportiva inclusiva; a su vez esta reforma plantea que se otorgue como atribución al CODE la capacidad de promover programas para prevenir y combatir el acoso en el ámbito deportivo, con la finalidad de crear un ambiente seguro y así poder garantizar que tanto mujeres como hombres puedan participar plenamente en el deporte y desarrollar su talento al máximo. </w:t>
      </w:r>
    </w:p>
    <w:p w14:paraId="0AEF7B2F" w14:textId="77777777" w:rsidR="002754B3" w:rsidRPr="0030088F" w:rsidRDefault="002754B3" w:rsidP="002754B3">
      <w:pPr>
        <w:jc w:val="both"/>
        <w:rPr>
          <w:rFonts w:ascii="Abadi" w:hAnsi="Abadi"/>
          <w:sz w:val="21"/>
          <w:szCs w:val="21"/>
        </w:rPr>
      </w:pPr>
    </w:p>
    <w:p w14:paraId="0454E003" w14:textId="77777777" w:rsidR="002754B3" w:rsidRDefault="002754B3" w:rsidP="002754B3">
      <w:pPr>
        <w:jc w:val="both"/>
        <w:rPr>
          <w:rFonts w:ascii="Abadi" w:hAnsi="Abadi"/>
          <w:sz w:val="21"/>
          <w:szCs w:val="21"/>
        </w:rPr>
      </w:pPr>
      <w:r w:rsidRPr="0030088F">
        <w:rPr>
          <w:rFonts w:ascii="Abadi" w:hAnsi="Abadi"/>
          <w:sz w:val="21"/>
          <w:szCs w:val="21"/>
        </w:rPr>
        <w:t xml:space="preserve">- Es fundamental implementar medidas y acciones concretas que avancen hacia la igualdad de género y prevengan y atiendan el acoso en el deporte, esto implica establecer protocolos de denuncia afectivos, brindar </w:t>
      </w:r>
      <w:r w:rsidRPr="0030088F">
        <w:rPr>
          <w:rFonts w:ascii="Abadi" w:hAnsi="Abadi"/>
          <w:sz w:val="21"/>
          <w:szCs w:val="21"/>
        </w:rPr>
        <w:t xml:space="preserve">capacitación sobre sensibilización de género y alentar la inclusión de mujeres en roles de, de liderazgo y de toma de decisiones dentro de las organizaciones deportivas. </w:t>
      </w:r>
    </w:p>
    <w:p w14:paraId="09330212" w14:textId="77777777" w:rsidR="002754B3" w:rsidRPr="0030088F" w:rsidRDefault="002754B3" w:rsidP="002754B3">
      <w:pPr>
        <w:jc w:val="both"/>
        <w:rPr>
          <w:rFonts w:ascii="Abadi" w:hAnsi="Abadi"/>
          <w:sz w:val="21"/>
          <w:szCs w:val="21"/>
        </w:rPr>
      </w:pPr>
    </w:p>
    <w:p w14:paraId="47228A9D" w14:textId="77777777" w:rsidR="002754B3" w:rsidRDefault="002754B3" w:rsidP="002754B3">
      <w:pPr>
        <w:jc w:val="both"/>
        <w:rPr>
          <w:rFonts w:ascii="Abadi" w:hAnsi="Abadi"/>
          <w:sz w:val="21"/>
          <w:szCs w:val="21"/>
        </w:rPr>
      </w:pPr>
      <w:r w:rsidRPr="0030088F">
        <w:rPr>
          <w:rFonts w:ascii="Abadi" w:hAnsi="Abadi"/>
          <w:sz w:val="21"/>
          <w:szCs w:val="21"/>
        </w:rPr>
        <w:t xml:space="preserve">- El deporte es una herramienta de integración y desarrollo social de educación y de salud para las y los guanajuatenses por ello es trascendental que se formulen y promuevan políticas para garantizar igualdad en condiciones entre hombres y mujeres en las prácticas deportivas mismas que contribuirán a generar una sociedad más sana, más justa siendo esta la razón de ser la presente propuesta de ley muchas gracias. </w:t>
      </w:r>
    </w:p>
    <w:p w14:paraId="30A09424" w14:textId="77777777" w:rsidR="002754B3" w:rsidRPr="0030088F" w:rsidRDefault="002754B3" w:rsidP="002754B3">
      <w:pPr>
        <w:jc w:val="both"/>
        <w:rPr>
          <w:rFonts w:ascii="Abadi" w:hAnsi="Abadi"/>
          <w:sz w:val="21"/>
          <w:szCs w:val="21"/>
        </w:rPr>
      </w:pPr>
    </w:p>
    <w:p w14:paraId="132C735E" w14:textId="77777777" w:rsidR="002754B3" w:rsidRDefault="002754B3" w:rsidP="002754B3">
      <w:pPr>
        <w:jc w:val="both"/>
        <w:rPr>
          <w:rFonts w:ascii="Abadi" w:hAnsi="Abadi"/>
          <w:sz w:val="21"/>
          <w:szCs w:val="21"/>
        </w:rPr>
      </w:pPr>
      <w:r w:rsidRPr="0030088F">
        <w:rPr>
          <w:rFonts w:ascii="Abadi" w:hAnsi="Abadi"/>
          <w:sz w:val="21"/>
          <w:szCs w:val="21"/>
        </w:rPr>
        <w:t xml:space="preserve">- Es cuál gracias diputada. </w:t>
      </w:r>
    </w:p>
    <w:p w14:paraId="49F2EA5C" w14:textId="77777777" w:rsidR="002754B3" w:rsidRPr="0030088F" w:rsidRDefault="002754B3" w:rsidP="002754B3">
      <w:pPr>
        <w:jc w:val="both"/>
        <w:rPr>
          <w:rFonts w:ascii="Abadi" w:hAnsi="Abadi"/>
          <w:sz w:val="21"/>
          <w:szCs w:val="21"/>
        </w:rPr>
      </w:pPr>
    </w:p>
    <w:p w14:paraId="2B5297D2" w14:textId="77777777" w:rsidR="002754B3" w:rsidRDefault="002754B3" w:rsidP="002754B3">
      <w:pPr>
        <w:ind w:left="567" w:right="758"/>
        <w:jc w:val="both"/>
        <w:rPr>
          <w:rFonts w:ascii="Abadi" w:hAnsi="Abadi"/>
          <w:b/>
          <w:bCs/>
          <w:i/>
          <w:iCs/>
          <w:sz w:val="21"/>
          <w:szCs w:val="21"/>
          <w:u w:val="single"/>
        </w:rPr>
      </w:pPr>
      <w:r w:rsidRPr="0030088F">
        <w:rPr>
          <w:rFonts w:ascii="Abadi" w:hAnsi="Abadi"/>
          <w:b/>
          <w:bCs/>
          <w:i/>
          <w:iCs/>
          <w:sz w:val="21"/>
          <w:szCs w:val="21"/>
          <w:u w:val="single"/>
        </w:rPr>
        <w:t>Se turna a la Comisión de Juventud y Deporte con fundamento en el artículo 114 fracción I de nuestra Ley Orgánica para su estudio y dictamen.</w:t>
      </w:r>
    </w:p>
    <w:p w14:paraId="6266A48C" w14:textId="77777777" w:rsidR="002754B3" w:rsidRPr="0030088F" w:rsidRDefault="002754B3" w:rsidP="002754B3">
      <w:pPr>
        <w:ind w:left="567" w:right="758"/>
        <w:jc w:val="both"/>
        <w:rPr>
          <w:rFonts w:ascii="Abadi" w:hAnsi="Abadi"/>
          <w:b/>
          <w:bCs/>
          <w:i/>
          <w:iCs/>
          <w:sz w:val="21"/>
          <w:szCs w:val="21"/>
          <w:u w:val="single"/>
        </w:rPr>
      </w:pPr>
    </w:p>
    <w:p w14:paraId="1A970F62" w14:textId="035A7782" w:rsidR="002754B3" w:rsidRDefault="002754B3" w:rsidP="002754B3">
      <w:pPr>
        <w:ind w:firstLine="567"/>
        <w:jc w:val="both"/>
        <w:rPr>
          <w:rFonts w:ascii="Abadi" w:hAnsi="Abadi"/>
          <w:sz w:val="21"/>
          <w:szCs w:val="21"/>
        </w:rPr>
      </w:pPr>
      <w:r w:rsidRPr="002754B3">
        <w:rPr>
          <w:rFonts w:ascii="Abadi" w:hAnsi="Abadi"/>
          <w:b/>
          <w:bCs/>
          <w:sz w:val="21"/>
          <w:szCs w:val="21"/>
        </w:rPr>
        <w:t xml:space="preserve">- La </w:t>
      </w:r>
      <w:proofErr w:type="gramStart"/>
      <w:r w:rsidRPr="002754B3">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Y de igual manera.</w:t>
      </w:r>
    </w:p>
    <w:p w14:paraId="64ADC901" w14:textId="77777777" w:rsidR="002754B3" w:rsidRPr="0030088F" w:rsidRDefault="002754B3" w:rsidP="002754B3">
      <w:pPr>
        <w:ind w:firstLine="567"/>
        <w:jc w:val="both"/>
        <w:rPr>
          <w:rFonts w:ascii="Abadi" w:hAnsi="Abadi"/>
          <w:sz w:val="21"/>
          <w:szCs w:val="21"/>
        </w:rPr>
      </w:pPr>
    </w:p>
    <w:p w14:paraId="3035F001" w14:textId="77777777" w:rsidR="002754B3" w:rsidRDefault="002754B3" w:rsidP="002754B3">
      <w:pPr>
        <w:ind w:left="567" w:right="758"/>
        <w:jc w:val="both"/>
        <w:rPr>
          <w:rFonts w:ascii="Abadi" w:hAnsi="Abadi"/>
          <w:b/>
          <w:bCs/>
          <w:sz w:val="21"/>
          <w:szCs w:val="21"/>
          <w:u w:val="single"/>
        </w:rPr>
      </w:pPr>
      <w:r w:rsidRPr="0030088F">
        <w:rPr>
          <w:rFonts w:ascii="Abadi" w:hAnsi="Abadi"/>
          <w:b/>
          <w:bCs/>
          <w:i/>
          <w:iCs/>
          <w:sz w:val="21"/>
          <w:szCs w:val="21"/>
          <w:u w:val="single"/>
        </w:rPr>
        <w:t>Se remite para su opinión a la Comisión para la Igualdad de Género con fundamento en los artículos 59 fracción 10 segundo párrafo y 116 fracción V de nuestra Ley Orgánica.</w:t>
      </w:r>
      <w:r w:rsidRPr="0030088F">
        <w:rPr>
          <w:rFonts w:ascii="Abadi" w:hAnsi="Abadi"/>
          <w:b/>
          <w:bCs/>
          <w:sz w:val="21"/>
          <w:szCs w:val="21"/>
          <w:u w:val="single"/>
        </w:rPr>
        <w:t xml:space="preserve"> </w:t>
      </w:r>
    </w:p>
    <w:p w14:paraId="739FD844" w14:textId="77777777" w:rsidR="002754B3" w:rsidRPr="0030088F" w:rsidRDefault="002754B3" w:rsidP="002754B3">
      <w:pPr>
        <w:ind w:left="567" w:right="758"/>
        <w:jc w:val="both"/>
        <w:rPr>
          <w:rFonts w:ascii="Abadi" w:hAnsi="Abadi"/>
          <w:b/>
          <w:bCs/>
          <w:sz w:val="21"/>
          <w:szCs w:val="21"/>
          <w:u w:val="single"/>
        </w:rPr>
      </w:pPr>
    </w:p>
    <w:p w14:paraId="20452231" w14:textId="77777777" w:rsidR="002754B3" w:rsidRPr="0030088F" w:rsidRDefault="002754B3" w:rsidP="002754B3">
      <w:pPr>
        <w:ind w:firstLine="567"/>
        <w:jc w:val="both"/>
        <w:rPr>
          <w:rFonts w:ascii="Abadi" w:hAnsi="Abadi"/>
          <w:sz w:val="21"/>
          <w:szCs w:val="21"/>
        </w:rPr>
      </w:pPr>
      <w:r w:rsidRPr="0030088F">
        <w:rPr>
          <w:rFonts w:ascii="Abadi" w:hAnsi="Abadi"/>
          <w:sz w:val="21"/>
          <w:szCs w:val="21"/>
        </w:rPr>
        <w:t xml:space="preserve">- Damos cuenta de la incorporación del diputado Ernesto Alejandro Prieto Gallardo a los trabajos de la sesión. </w:t>
      </w:r>
    </w:p>
    <w:p w14:paraId="40AB017B" w14:textId="77777777" w:rsidR="00374533" w:rsidRDefault="00374533" w:rsidP="00374533">
      <w:pPr>
        <w:autoSpaceDE w:val="0"/>
        <w:autoSpaceDN w:val="0"/>
        <w:adjustRightInd w:val="0"/>
        <w:jc w:val="both"/>
        <w:rPr>
          <w:rFonts w:ascii="Abadi" w:hAnsi="Abadi" w:cs="ArialMT"/>
          <w:b/>
          <w:bCs/>
          <w:sz w:val="21"/>
          <w:szCs w:val="21"/>
        </w:rPr>
      </w:pPr>
    </w:p>
    <w:p w14:paraId="611C4756" w14:textId="77777777" w:rsidR="002754B3" w:rsidRPr="00006796" w:rsidRDefault="002754B3" w:rsidP="00374533">
      <w:pPr>
        <w:autoSpaceDE w:val="0"/>
        <w:autoSpaceDN w:val="0"/>
        <w:adjustRightInd w:val="0"/>
        <w:jc w:val="both"/>
        <w:rPr>
          <w:rFonts w:ascii="Abadi" w:hAnsi="Abadi" w:cs="ArialMT"/>
          <w:b/>
          <w:bCs/>
          <w:sz w:val="21"/>
          <w:szCs w:val="21"/>
        </w:rPr>
      </w:pPr>
    </w:p>
    <w:p w14:paraId="7B64B182" w14:textId="5FCCBE49" w:rsidR="00374533" w:rsidRDefault="00374533" w:rsidP="002754B3">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INICIATIVA SUSCRITA POR LAS DIPUTADAS DESSIRE ANGEL ROCHA, YULMA ROCHA AGUILAR Y MARTHA LOURDES ORTEGA ROQUE A EFECTO DE REFORMAR Y ADICIONAR DIVERSOS ARTÍCULOS DE LA LEY DE MOVILIDAD DEL ESTADO DE GUANAJUATO Y SUS MUNICIPIOS.</w:t>
      </w:r>
      <w:r w:rsidR="00956525">
        <w:rPr>
          <w:rStyle w:val="Refdenotaalpie"/>
          <w:rFonts w:ascii="Abadi" w:hAnsi="Abadi" w:cs="ArialMT"/>
          <w:b/>
          <w:bCs/>
          <w:sz w:val="21"/>
          <w:szCs w:val="21"/>
        </w:rPr>
        <w:footnoteReference w:id="36"/>
      </w:r>
    </w:p>
    <w:p w14:paraId="79097788" w14:textId="77777777" w:rsidR="00C0040E" w:rsidRDefault="00C0040E" w:rsidP="00C0040E">
      <w:pPr>
        <w:autoSpaceDE w:val="0"/>
        <w:autoSpaceDN w:val="0"/>
        <w:adjustRightInd w:val="0"/>
        <w:contextualSpacing/>
        <w:jc w:val="both"/>
        <w:rPr>
          <w:rFonts w:ascii="Abadi" w:hAnsi="Abadi" w:cs="ArialMT"/>
          <w:b/>
          <w:bCs/>
          <w:sz w:val="21"/>
          <w:szCs w:val="21"/>
        </w:rPr>
      </w:pPr>
    </w:p>
    <w:p w14:paraId="6879DFA1" w14:textId="77777777" w:rsidR="00C0040E" w:rsidRDefault="00C0040E" w:rsidP="00C0040E">
      <w:pPr>
        <w:autoSpaceDE w:val="0"/>
        <w:autoSpaceDN w:val="0"/>
        <w:adjustRightInd w:val="0"/>
        <w:contextualSpacing/>
        <w:jc w:val="both"/>
        <w:rPr>
          <w:rFonts w:ascii="Abadi" w:hAnsi="Abadi" w:cs="ArialMT"/>
          <w:b/>
          <w:bCs/>
          <w:sz w:val="21"/>
          <w:szCs w:val="21"/>
        </w:rPr>
      </w:pPr>
    </w:p>
    <w:p w14:paraId="3B48AE86" w14:textId="77777777" w:rsidR="00670E07" w:rsidRDefault="00670E07" w:rsidP="00C0040E">
      <w:pPr>
        <w:autoSpaceDE w:val="0"/>
        <w:autoSpaceDN w:val="0"/>
        <w:adjustRightInd w:val="0"/>
        <w:contextualSpacing/>
        <w:jc w:val="both"/>
        <w:rPr>
          <w:rFonts w:ascii="Abadi" w:hAnsi="Abadi" w:cs="ArialMT"/>
          <w:b/>
          <w:bCs/>
          <w:sz w:val="21"/>
          <w:szCs w:val="21"/>
        </w:rPr>
      </w:pPr>
    </w:p>
    <w:p w14:paraId="479ED305" w14:textId="77777777" w:rsidR="00670E07" w:rsidRPr="005E111C" w:rsidRDefault="00670E07" w:rsidP="00670E07">
      <w:pPr>
        <w:spacing w:line="259" w:lineRule="auto"/>
        <w:rPr>
          <w:rFonts w:ascii="Abadi" w:hAnsi="Abadi"/>
          <w:sz w:val="21"/>
          <w:szCs w:val="21"/>
        </w:rPr>
      </w:pPr>
      <w:r w:rsidRPr="005E111C">
        <w:rPr>
          <w:rFonts w:ascii="Abadi" w:hAnsi="Abadi" w:cs="Arial"/>
          <w:b/>
          <w:sz w:val="21"/>
          <w:szCs w:val="21"/>
        </w:rPr>
        <w:t xml:space="preserve">Diputada Laura Cristina Márquez Alcalá  </w:t>
      </w:r>
    </w:p>
    <w:p w14:paraId="33124048" w14:textId="77777777" w:rsidR="00670E07" w:rsidRPr="005E111C" w:rsidRDefault="00670E07" w:rsidP="00670E07">
      <w:pPr>
        <w:spacing w:after="10"/>
        <w:ind w:left="-5" w:right="49"/>
        <w:rPr>
          <w:rFonts w:ascii="Abadi" w:hAnsi="Abadi"/>
          <w:sz w:val="21"/>
          <w:szCs w:val="21"/>
        </w:rPr>
      </w:pPr>
      <w:r w:rsidRPr="005E111C">
        <w:rPr>
          <w:rFonts w:ascii="Abadi" w:hAnsi="Abadi"/>
          <w:sz w:val="21"/>
          <w:szCs w:val="21"/>
        </w:rPr>
        <w:t>Presidenta de la Mesa Directiva</w:t>
      </w:r>
      <w:r w:rsidRPr="005E111C">
        <w:rPr>
          <w:rFonts w:ascii="Abadi" w:hAnsi="Abadi" w:cs="Arial"/>
          <w:sz w:val="21"/>
          <w:szCs w:val="21"/>
        </w:rPr>
        <w:t xml:space="preserve"> </w:t>
      </w:r>
    </w:p>
    <w:p w14:paraId="5E38DF59" w14:textId="77777777" w:rsidR="00670E07" w:rsidRPr="005E111C" w:rsidRDefault="00670E07" w:rsidP="00670E07">
      <w:pPr>
        <w:spacing w:after="10"/>
        <w:ind w:left="-5" w:right="49"/>
        <w:rPr>
          <w:rFonts w:ascii="Abadi" w:hAnsi="Abadi"/>
          <w:sz w:val="21"/>
          <w:szCs w:val="21"/>
        </w:rPr>
      </w:pPr>
      <w:r w:rsidRPr="005E111C">
        <w:rPr>
          <w:rFonts w:ascii="Abadi" w:hAnsi="Abadi"/>
          <w:sz w:val="21"/>
          <w:szCs w:val="21"/>
        </w:rPr>
        <w:t xml:space="preserve">LXV Legislatura </w:t>
      </w:r>
      <w:r w:rsidRPr="005E111C">
        <w:rPr>
          <w:rFonts w:ascii="Abadi" w:hAnsi="Abadi" w:cs="Arial"/>
          <w:sz w:val="21"/>
          <w:szCs w:val="21"/>
        </w:rPr>
        <w:t xml:space="preserve"> </w:t>
      </w:r>
    </w:p>
    <w:p w14:paraId="46DD4754" w14:textId="77777777" w:rsidR="00670E07" w:rsidRPr="005E111C" w:rsidRDefault="00670E07" w:rsidP="00670E07">
      <w:pPr>
        <w:rPr>
          <w:rFonts w:ascii="Abadi" w:hAnsi="Abadi"/>
          <w:sz w:val="21"/>
          <w:szCs w:val="21"/>
        </w:rPr>
      </w:pPr>
      <w:r w:rsidRPr="005E111C">
        <w:rPr>
          <w:rFonts w:ascii="Abadi" w:hAnsi="Abadi"/>
          <w:sz w:val="21"/>
          <w:szCs w:val="21"/>
        </w:rPr>
        <w:lastRenderedPageBreak/>
        <w:t>Segundo Periodo Ordinario del Segundo Año de Ejercicio</w:t>
      </w:r>
    </w:p>
    <w:p w14:paraId="32062DDE" w14:textId="77777777" w:rsidR="00670E07" w:rsidRPr="005E111C" w:rsidRDefault="00670E07" w:rsidP="00670E07">
      <w:pPr>
        <w:rPr>
          <w:rFonts w:ascii="Abadi" w:hAnsi="Abadi"/>
          <w:sz w:val="21"/>
          <w:szCs w:val="21"/>
        </w:rPr>
      </w:pPr>
    </w:p>
    <w:p w14:paraId="321A7B03" w14:textId="77777777" w:rsidR="00670E07" w:rsidRDefault="00670E07" w:rsidP="000B631A">
      <w:pPr>
        <w:ind w:left="-5" w:right="49"/>
        <w:jc w:val="both"/>
        <w:rPr>
          <w:rFonts w:ascii="Abadi" w:hAnsi="Abadi" w:cs="Arial"/>
          <w:b/>
          <w:sz w:val="21"/>
          <w:szCs w:val="21"/>
        </w:rPr>
      </w:pPr>
      <w:r w:rsidRPr="005E111C">
        <w:rPr>
          <w:rFonts w:ascii="Abadi" w:hAnsi="Abadi" w:cs="Arial"/>
          <w:b/>
          <w:sz w:val="21"/>
          <w:szCs w:val="21"/>
        </w:rPr>
        <w:t xml:space="preserve">Diputadas Dessire Ángel Rocha, Yulma Rocha Aguilar y Martha Lourdes Ortega Roque, </w:t>
      </w:r>
      <w:r w:rsidRPr="005E111C">
        <w:rPr>
          <w:rFonts w:ascii="Abadi" w:hAnsi="Abadi"/>
          <w:sz w:val="21"/>
          <w:szCs w:val="21"/>
        </w:rPr>
        <w:t xml:space="preserve">de la LXV Legislatura del Congreso del Estado Libre y Soberano de Guanajuato, con fundamento en lo dispuesto por los artículos 56 fracción II de la Constitución Política para el Estado de Guanajuato, y el 167 fracción II, de la Ley Orgánica del Poder Legislativo del Estado de Guanajuato, me permito poner a la consideración de esta Soberanía la siguiente </w:t>
      </w:r>
      <w:r w:rsidRPr="005E111C">
        <w:rPr>
          <w:rFonts w:ascii="Abadi" w:hAnsi="Abadi" w:cs="Arial"/>
          <w:b/>
          <w:sz w:val="21"/>
          <w:szCs w:val="21"/>
        </w:rPr>
        <w:t>INICIATIVA</w:t>
      </w:r>
      <w:r w:rsidRPr="005E111C">
        <w:rPr>
          <w:rFonts w:ascii="Abadi" w:hAnsi="Abadi"/>
          <w:sz w:val="21"/>
          <w:szCs w:val="21"/>
        </w:rPr>
        <w:t xml:space="preserve"> con proyecto de Decreto que </w:t>
      </w:r>
      <w:r w:rsidRPr="005E111C">
        <w:rPr>
          <w:rFonts w:ascii="Abadi" w:hAnsi="Abadi" w:cs="Arial"/>
          <w:b/>
          <w:sz w:val="21"/>
          <w:szCs w:val="21"/>
        </w:rPr>
        <w:t xml:space="preserve">reforma diversos artículos de la Ley de Movilidad del Estado de Guanajuato y sus Municipios, en materia de movilidad con perspectiva de género. </w:t>
      </w:r>
    </w:p>
    <w:p w14:paraId="59E2D66B" w14:textId="77777777" w:rsidR="000B631A" w:rsidRPr="005E111C" w:rsidRDefault="000B631A" w:rsidP="000B631A">
      <w:pPr>
        <w:ind w:left="-5" w:right="49"/>
        <w:jc w:val="both"/>
        <w:rPr>
          <w:rFonts w:ascii="Abadi" w:hAnsi="Abadi"/>
          <w:sz w:val="21"/>
          <w:szCs w:val="21"/>
        </w:rPr>
      </w:pPr>
    </w:p>
    <w:p w14:paraId="3CEDE201" w14:textId="77777777" w:rsidR="00670E07" w:rsidRDefault="00670E07" w:rsidP="000B631A">
      <w:pPr>
        <w:ind w:left="-5" w:right="49"/>
        <w:jc w:val="both"/>
        <w:rPr>
          <w:rFonts w:ascii="Abadi" w:hAnsi="Abadi" w:cs="Arial"/>
          <w:sz w:val="21"/>
          <w:szCs w:val="21"/>
        </w:rPr>
      </w:pPr>
      <w:r w:rsidRPr="005E111C">
        <w:rPr>
          <w:rFonts w:ascii="Abadi" w:hAnsi="Abadi"/>
          <w:sz w:val="21"/>
          <w:szCs w:val="21"/>
        </w:rPr>
        <w:t xml:space="preserve">Dando cumplimiento al último párrafo del artículo 168 de la Ley que nos rige, lo hago en los siguientes términos: </w:t>
      </w:r>
      <w:r w:rsidRPr="005E111C">
        <w:rPr>
          <w:rFonts w:ascii="Abadi" w:hAnsi="Abadi" w:cs="Arial"/>
          <w:sz w:val="21"/>
          <w:szCs w:val="21"/>
        </w:rPr>
        <w:t xml:space="preserve"> </w:t>
      </w:r>
    </w:p>
    <w:p w14:paraId="77C5242F" w14:textId="77777777" w:rsidR="000B631A" w:rsidRPr="005E111C" w:rsidRDefault="000B631A" w:rsidP="000B631A">
      <w:pPr>
        <w:ind w:left="-5" w:right="49"/>
        <w:jc w:val="both"/>
        <w:rPr>
          <w:rFonts w:ascii="Abadi" w:hAnsi="Abadi"/>
          <w:sz w:val="21"/>
          <w:szCs w:val="21"/>
        </w:rPr>
      </w:pPr>
    </w:p>
    <w:p w14:paraId="0D0417E2" w14:textId="77777777" w:rsidR="00670E07" w:rsidRPr="00393EC0" w:rsidRDefault="00670E07" w:rsidP="000B631A">
      <w:pPr>
        <w:pStyle w:val="Ttulo1"/>
        <w:spacing w:after="158"/>
        <w:ind w:right="56"/>
        <w:jc w:val="both"/>
        <w:rPr>
          <w:rFonts w:ascii="Abadi" w:hAnsi="Abadi" w:cs="Arial"/>
          <w:i w:val="0"/>
          <w:iCs w:val="0"/>
          <w:sz w:val="21"/>
          <w:szCs w:val="21"/>
        </w:rPr>
      </w:pPr>
      <w:r w:rsidRPr="00393EC0">
        <w:rPr>
          <w:rFonts w:ascii="Abadi" w:hAnsi="Abadi" w:cs="Arial"/>
          <w:i w:val="0"/>
          <w:iCs w:val="0"/>
          <w:sz w:val="21"/>
          <w:szCs w:val="21"/>
        </w:rPr>
        <w:t xml:space="preserve">E x p o s i c i </w:t>
      </w:r>
      <w:proofErr w:type="spellStart"/>
      <w:r w:rsidRPr="00393EC0">
        <w:rPr>
          <w:rFonts w:ascii="Abadi" w:hAnsi="Abadi" w:cs="Arial"/>
          <w:i w:val="0"/>
          <w:iCs w:val="0"/>
          <w:sz w:val="21"/>
          <w:szCs w:val="21"/>
        </w:rPr>
        <w:t>ó</w:t>
      </w:r>
      <w:proofErr w:type="spellEnd"/>
      <w:r w:rsidRPr="00393EC0">
        <w:rPr>
          <w:rFonts w:ascii="Abadi" w:hAnsi="Abadi" w:cs="Arial"/>
          <w:i w:val="0"/>
          <w:iCs w:val="0"/>
          <w:sz w:val="21"/>
          <w:szCs w:val="21"/>
        </w:rPr>
        <w:t xml:space="preserve"> n   </w:t>
      </w:r>
      <w:proofErr w:type="spellStart"/>
      <w:r w:rsidRPr="00393EC0">
        <w:rPr>
          <w:rFonts w:ascii="Abadi" w:hAnsi="Abadi" w:cs="Arial"/>
          <w:i w:val="0"/>
          <w:iCs w:val="0"/>
          <w:sz w:val="21"/>
          <w:szCs w:val="21"/>
        </w:rPr>
        <w:t>d e</w:t>
      </w:r>
      <w:proofErr w:type="spellEnd"/>
      <w:r w:rsidRPr="00393EC0">
        <w:rPr>
          <w:rFonts w:ascii="Abadi" w:hAnsi="Abadi" w:cs="Arial"/>
          <w:i w:val="0"/>
          <w:iCs w:val="0"/>
          <w:sz w:val="21"/>
          <w:szCs w:val="21"/>
        </w:rPr>
        <w:t xml:space="preserve">   M o t i v o s </w:t>
      </w:r>
    </w:p>
    <w:p w14:paraId="7114F292" w14:textId="77777777" w:rsidR="00670E07" w:rsidRPr="005E111C" w:rsidRDefault="00670E07" w:rsidP="000B631A">
      <w:pPr>
        <w:ind w:left="-5" w:right="49"/>
        <w:jc w:val="both"/>
        <w:rPr>
          <w:rFonts w:ascii="Abadi" w:hAnsi="Abadi"/>
          <w:sz w:val="21"/>
          <w:szCs w:val="21"/>
        </w:rPr>
      </w:pPr>
      <w:r w:rsidRPr="005E111C">
        <w:rPr>
          <w:rFonts w:ascii="Abadi" w:hAnsi="Abadi"/>
          <w:sz w:val="21"/>
          <w:szCs w:val="21"/>
        </w:rPr>
        <w:t xml:space="preserve">La movilidad ya es un derecho humano consagrado en la Constitución Política de los Estados Unidos y en la Constitución Política para el Estado de Guanajuato. El derecho a la movilidad es un derecho en sí mismo, pero además es el acceso para ejercicio de otros. En esencia, el derecho a la movilidad está íntimamente relacionado con la libertad como la piedra angular del Estado constitucional. </w:t>
      </w:r>
      <w:r w:rsidRPr="005E111C">
        <w:rPr>
          <w:rFonts w:ascii="Abadi" w:hAnsi="Abadi" w:cs="Arial"/>
          <w:sz w:val="21"/>
          <w:szCs w:val="21"/>
        </w:rPr>
        <w:t xml:space="preserve"> </w:t>
      </w:r>
    </w:p>
    <w:p w14:paraId="64042AF8" w14:textId="77777777" w:rsidR="00393EC0" w:rsidRDefault="00670E07" w:rsidP="000B631A">
      <w:pPr>
        <w:ind w:left="-5" w:right="49"/>
        <w:jc w:val="both"/>
        <w:rPr>
          <w:rFonts w:ascii="Abadi" w:hAnsi="Abadi"/>
          <w:sz w:val="21"/>
          <w:szCs w:val="21"/>
        </w:rPr>
      </w:pPr>
      <w:r w:rsidRPr="005E111C">
        <w:rPr>
          <w:rFonts w:ascii="Abadi" w:hAnsi="Abadi"/>
          <w:sz w:val="21"/>
          <w:szCs w:val="21"/>
        </w:rPr>
        <w:t>La movilidad es mucho más que la suma de los diversos desplazamientos que realiza una persona hacia su lugar de residencia, su trabajo, sus lugares de ocio y esparcimiento, su educación, su salud y los cuidados, y los medios que utiliza para llegar a esos sitios. La movilidad permite que las personas puedan desarrollarse libremente en los diversos ámbitos de su vida, pero es necesario que esto se haga en igualdad de oportunidades y con seguridad.</w:t>
      </w:r>
    </w:p>
    <w:p w14:paraId="4BAAB117" w14:textId="0A9DD515" w:rsidR="00670E07" w:rsidRPr="005E111C" w:rsidRDefault="00670E07" w:rsidP="000B631A">
      <w:pPr>
        <w:ind w:left="-5" w:right="49"/>
        <w:jc w:val="both"/>
        <w:rPr>
          <w:rFonts w:ascii="Abadi" w:hAnsi="Abadi"/>
          <w:sz w:val="21"/>
          <w:szCs w:val="21"/>
        </w:rPr>
      </w:pPr>
      <w:r w:rsidRPr="005E111C">
        <w:rPr>
          <w:rFonts w:ascii="Abadi" w:hAnsi="Abadi"/>
          <w:sz w:val="21"/>
          <w:szCs w:val="21"/>
        </w:rPr>
        <w:t xml:space="preserve"> </w:t>
      </w:r>
      <w:r w:rsidRPr="005E111C">
        <w:rPr>
          <w:rFonts w:ascii="Abadi" w:hAnsi="Abadi" w:cs="Arial"/>
          <w:sz w:val="21"/>
          <w:szCs w:val="21"/>
        </w:rPr>
        <w:t xml:space="preserve"> </w:t>
      </w:r>
    </w:p>
    <w:p w14:paraId="6E58A87A" w14:textId="77777777" w:rsidR="00670E07" w:rsidRDefault="00670E07" w:rsidP="000B631A">
      <w:pPr>
        <w:ind w:left="-5" w:right="49"/>
        <w:jc w:val="both"/>
        <w:rPr>
          <w:rFonts w:ascii="Abadi" w:hAnsi="Abadi" w:cs="Arial"/>
          <w:sz w:val="21"/>
          <w:szCs w:val="21"/>
        </w:rPr>
      </w:pPr>
      <w:r w:rsidRPr="005E111C">
        <w:rPr>
          <w:rFonts w:ascii="Abadi" w:hAnsi="Abadi"/>
          <w:sz w:val="21"/>
          <w:szCs w:val="21"/>
        </w:rPr>
        <w:t xml:space="preserve">Colocar en el centro de la movilidad a las personas y sus necesidades es una tarea compleja, más cuando se trata de positivar este derecho en un instrumento normativo. De ahí que la Ley General de Movilidad y Seguridad Vial (LGMSV), publicada en el Diario Oficial de la Federación el día 17 de mayo de 2022, sea de los esfuerzos más loables que haya hecho el Estado mexicano como pionero en la materia. </w:t>
      </w:r>
      <w:r w:rsidRPr="005E111C">
        <w:rPr>
          <w:rFonts w:ascii="Abadi" w:hAnsi="Abadi" w:cs="Arial"/>
          <w:sz w:val="21"/>
          <w:szCs w:val="21"/>
        </w:rPr>
        <w:t xml:space="preserve"> </w:t>
      </w:r>
    </w:p>
    <w:p w14:paraId="59A18D28" w14:textId="77777777" w:rsidR="00393EC0" w:rsidRPr="005E111C" w:rsidRDefault="00393EC0" w:rsidP="000B631A">
      <w:pPr>
        <w:ind w:left="-5" w:right="49"/>
        <w:jc w:val="both"/>
        <w:rPr>
          <w:rFonts w:ascii="Abadi" w:hAnsi="Abadi"/>
          <w:sz w:val="21"/>
          <w:szCs w:val="21"/>
        </w:rPr>
      </w:pPr>
    </w:p>
    <w:p w14:paraId="5A444A74" w14:textId="77777777" w:rsidR="00670E07" w:rsidRDefault="00670E07" w:rsidP="000B631A">
      <w:pPr>
        <w:ind w:left="-5" w:right="49"/>
        <w:jc w:val="both"/>
        <w:rPr>
          <w:rFonts w:ascii="Abadi" w:hAnsi="Abadi" w:cs="Arial"/>
          <w:sz w:val="21"/>
          <w:szCs w:val="21"/>
        </w:rPr>
      </w:pPr>
      <w:r w:rsidRPr="005E111C">
        <w:rPr>
          <w:rFonts w:ascii="Abadi" w:hAnsi="Abadi"/>
          <w:sz w:val="21"/>
          <w:szCs w:val="21"/>
        </w:rPr>
        <w:t xml:space="preserve">La LGMSV otorgó en su segundo transitorio un plazo no mayor a 180 días, a partir del 18 de mayo de 2022, para que las Legislaturas de las entidades federativas aprobaran las reformas necesarias a las leyes de su competencia para efectos de armonizarlas. </w:t>
      </w:r>
      <w:r w:rsidRPr="005E111C">
        <w:rPr>
          <w:rFonts w:ascii="Abadi" w:hAnsi="Abadi" w:cs="Arial"/>
          <w:sz w:val="21"/>
          <w:szCs w:val="21"/>
        </w:rPr>
        <w:t xml:space="preserve"> </w:t>
      </w:r>
    </w:p>
    <w:p w14:paraId="07476744" w14:textId="77777777" w:rsidR="000B631A" w:rsidRPr="005E111C" w:rsidRDefault="000B631A" w:rsidP="000B631A">
      <w:pPr>
        <w:ind w:left="-5" w:right="49"/>
        <w:jc w:val="both"/>
        <w:rPr>
          <w:rFonts w:ascii="Abadi" w:hAnsi="Abadi"/>
          <w:sz w:val="21"/>
          <w:szCs w:val="21"/>
        </w:rPr>
      </w:pPr>
    </w:p>
    <w:p w14:paraId="5D1C7001" w14:textId="77777777" w:rsidR="000B631A" w:rsidRDefault="00670E07" w:rsidP="000B631A">
      <w:pPr>
        <w:jc w:val="both"/>
        <w:rPr>
          <w:rFonts w:ascii="Abadi" w:hAnsi="Abadi"/>
          <w:sz w:val="21"/>
          <w:szCs w:val="21"/>
        </w:rPr>
      </w:pPr>
      <w:r w:rsidRPr="005E111C">
        <w:rPr>
          <w:rFonts w:ascii="Abadi" w:hAnsi="Abadi"/>
          <w:sz w:val="21"/>
          <w:szCs w:val="21"/>
        </w:rPr>
        <w:t xml:space="preserve">Hasta la fecha de la presentación de esta iniciativa, sólo nueve entidades federativas han armonizado su marco normativo: Aguascalientes, Colima, Hidalgo, Jalisco, Michoacán, Nuevo León, Quintana Roo, Tamaulipas y Yucatán (Cuadro 1). Lo anterior muestra la complejidad legislativa que significa el reto de armonizar los marcos legales locales con el marco general. </w:t>
      </w:r>
    </w:p>
    <w:p w14:paraId="08E920FB" w14:textId="610A2438" w:rsidR="00670E07" w:rsidRPr="005E111C" w:rsidRDefault="00670E07" w:rsidP="000B631A">
      <w:pPr>
        <w:jc w:val="both"/>
        <w:rPr>
          <w:rFonts w:ascii="Abadi" w:hAnsi="Abadi" w:cs="Arial"/>
          <w:sz w:val="21"/>
          <w:szCs w:val="21"/>
        </w:rPr>
      </w:pPr>
      <w:r w:rsidRPr="005E111C">
        <w:rPr>
          <w:rFonts w:ascii="Abadi" w:hAnsi="Abadi" w:cs="Arial"/>
          <w:sz w:val="21"/>
          <w:szCs w:val="21"/>
        </w:rPr>
        <w:t xml:space="preserve"> </w:t>
      </w:r>
    </w:p>
    <w:p w14:paraId="72A2F2AE" w14:textId="77777777" w:rsidR="00670E07" w:rsidRPr="005E111C" w:rsidRDefault="00670E07" w:rsidP="000B631A">
      <w:pPr>
        <w:jc w:val="both"/>
        <w:rPr>
          <w:rFonts w:ascii="Abadi" w:hAnsi="Abadi" w:cs="Arial"/>
          <w:b/>
          <w:sz w:val="21"/>
          <w:szCs w:val="21"/>
        </w:rPr>
      </w:pPr>
      <w:r w:rsidRPr="005E111C">
        <w:rPr>
          <w:rFonts w:ascii="Abadi" w:hAnsi="Abadi" w:cs="Arial"/>
          <w:b/>
          <w:sz w:val="21"/>
          <w:szCs w:val="21"/>
        </w:rPr>
        <w:t>Cuadro 1: Reformas por entidad federativa a partir publicación de la Ley General de Movilidad y Seguridad Vial.</w:t>
      </w:r>
    </w:p>
    <w:p w14:paraId="7044F192" w14:textId="77777777" w:rsidR="00670E07" w:rsidRPr="005E111C" w:rsidRDefault="00670E07" w:rsidP="00670E07">
      <w:pPr>
        <w:rPr>
          <w:rFonts w:ascii="Abadi" w:hAnsi="Abadi" w:cs="Arial"/>
          <w:b/>
          <w:sz w:val="21"/>
          <w:szCs w:val="21"/>
        </w:rPr>
      </w:pPr>
    </w:p>
    <w:tbl>
      <w:tblPr>
        <w:tblStyle w:val="TableGrid"/>
        <w:tblW w:w="2046" w:type="dxa"/>
        <w:tblInd w:w="268" w:type="dxa"/>
        <w:tblCellMar>
          <w:top w:w="46" w:type="dxa"/>
          <w:left w:w="107" w:type="dxa"/>
          <w:right w:w="16" w:type="dxa"/>
        </w:tblCellMar>
        <w:tblLook w:val="04A0" w:firstRow="1" w:lastRow="0" w:firstColumn="1" w:lastColumn="0" w:noHBand="0" w:noVBand="1"/>
      </w:tblPr>
      <w:tblGrid>
        <w:gridCol w:w="1351"/>
        <w:gridCol w:w="1353"/>
        <w:gridCol w:w="1129"/>
      </w:tblGrid>
      <w:tr w:rsidR="004432AD" w:rsidRPr="005E111C" w14:paraId="28C06978" w14:textId="77777777" w:rsidTr="000B631A">
        <w:trPr>
          <w:trHeight w:val="1419"/>
        </w:trPr>
        <w:tc>
          <w:tcPr>
            <w:tcW w:w="587" w:type="dxa"/>
            <w:tcBorders>
              <w:top w:val="single" w:sz="4" w:space="0" w:color="000000"/>
              <w:left w:val="single" w:sz="4" w:space="0" w:color="000000"/>
              <w:bottom w:val="single" w:sz="4" w:space="0" w:color="000000"/>
              <w:right w:val="single" w:sz="4" w:space="0" w:color="000000"/>
            </w:tcBorders>
            <w:shd w:val="clear" w:color="auto" w:fill="ED7D31"/>
          </w:tcPr>
          <w:p w14:paraId="1FF471B1" w14:textId="77777777" w:rsidR="00670E07" w:rsidRPr="005E111C" w:rsidRDefault="00670E07" w:rsidP="001B69F2">
            <w:pPr>
              <w:spacing w:line="259" w:lineRule="auto"/>
              <w:ind w:right="94"/>
              <w:jc w:val="center"/>
              <w:rPr>
                <w:rFonts w:ascii="Abadi" w:hAnsi="Abadi"/>
                <w:sz w:val="21"/>
                <w:szCs w:val="21"/>
              </w:rPr>
            </w:pPr>
            <w:r w:rsidRPr="005E111C">
              <w:rPr>
                <w:rFonts w:ascii="Abadi" w:hAnsi="Abadi"/>
                <w:b/>
                <w:sz w:val="21"/>
                <w:szCs w:val="21"/>
              </w:rPr>
              <w:t xml:space="preserve">Entidad </w:t>
            </w:r>
          </w:p>
        </w:tc>
        <w:tc>
          <w:tcPr>
            <w:tcW w:w="960" w:type="dxa"/>
            <w:tcBorders>
              <w:top w:val="single" w:sz="4" w:space="0" w:color="000000"/>
              <w:left w:val="single" w:sz="4" w:space="0" w:color="000000"/>
              <w:bottom w:val="single" w:sz="4" w:space="0" w:color="000000"/>
              <w:right w:val="single" w:sz="4" w:space="0" w:color="000000"/>
            </w:tcBorders>
            <w:shd w:val="clear" w:color="auto" w:fill="ED7D31"/>
          </w:tcPr>
          <w:p w14:paraId="7FBA4C51" w14:textId="77777777" w:rsidR="00670E07" w:rsidRPr="005E111C" w:rsidRDefault="00670E07" w:rsidP="001B69F2">
            <w:pPr>
              <w:spacing w:line="259" w:lineRule="auto"/>
              <w:ind w:right="92"/>
              <w:jc w:val="center"/>
              <w:rPr>
                <w:rFonts w:ascii="Abadi" w:hAnsi="Abadi"/>
                <w:sz w:val="21"/>
                <w:szCs w:val="21"/>
              </w:rPr>
            </w:pPr>
            <w:r w:rsidRPr="005E111C">
              <w:rPr>
                <w:rFonts w:ascii="Abadi" w:hAnsi="Abadi"/>
                <w:b/>
                <w:sz w:val="21"/>
                <w:szCs w:val="21"/>
              </w:rPr>
              <w:t xml:space="preserve">Ley vigente </w:t>
            </w:r>
          </w:p>
        </w:tc>
        <w:tc>
          <w:tcPr>
            <w:tcW w:w="499" w:type="dxa"/>
            <w:tcBorders>
              <w:top w:val="single" w:sz="4" w:space="0" w:color="000000"/>
              <w:left w:val="single" w:sz="4" w:space="0" w:color="000000"/>
              <w:bottom w:val="single" w:sz="4" w:space="0" w:color="000000"/>
              <w:right w:val="single" w:sz="4" w:space="0" w:color="000000"/>
            </w:tcBorders>
            <w:shd w:val="clear" w:color="auto" w:fill="ED7D31"/>
          </w:tcPr>
          <w:p w14:paraId="290EC865" w14:textId="77777777" w:rsidR="00670E07" w:rsidRPr="005E111C" w:rsidRDefault="00670E07" w:rsidP="001B69F2">
            <w:pPr>
              <w:spacing w:line="259" w:lineRule="auto"/>
              <w:jc w:val="center"/>
              <w:rPr>
                <w:rFonts w:ascii="Abadi" w:hAnsi="Abadi"/>
                <w:sz w:val="21"/>
                <w:szCs w:val="21"/>
              </w:rPr>
            </w:pPr>
            <w:r w:rsidRPr="005E111C">
              <w:rPr>
                <w:rFonts w:ascii="Abadi" w:hAnsi="Abadi"/>
                <w:b/>
                <w:sz w:val="21"/>
                <w:szCs w:val="21"/>
              </w:rPr>
              <w:t xml:space="preserve">Fecha de última reforma publicada a la Ley de </w:t>
            </w:r>
          </w:p>
          <w:p w14:paraId="372AA608" w14:textId="77777777" w:rsidR="00670E07" w:rsidRPr="005E111C" w:rsidRDefault="00670E07" w:rsidP="001B69F2">
            <w:pPr>
              <w:spacing w:line="259" w:lineRule="auto"/>
              <w:ind w:right="93"/>
              <w:jc w:val="center"/>
              <w:rPr>
                <w:rFonts w:ascii="Abadi" w:hAnsi="Abadi"/>
                <w:sz w:val="21"/>
                <w:szCs w:val="21"/>
              </w:rPr>
            </w:pPr>
            <w:r w:rsidRPr="005E111C">
              <w:rPr>
                <w:rFonts w:ascii="Abadi" w:hAnsi="Abadi"/>
                <w:b/>
                <w:sz w:val="21"/>
                <w:szCs w:val="21"/>
              </w:rPr>
              <w:t xml:space="preserve">Movilidad y Seguridad </w:t>
            </w:r>
          </w:p>
          <w:p w14:paraId="7A30447D" w14:textId="77777777" w:rsidR="00670E07" w:rsidRPr="005E111C" w:rsidRDefault="00670E07" w:rsidP="001B69F2">
            <w:pPr>
              <w:spacing w:line="259" w:lineRule="auto"/>
              <w:jc w:val="center"/>
              <w:rPr>
                <w:rFonts w:ascii="Abadi" w:hAnsi="Abadi"/>
                <w:sz w:val="21"/>
                <w:szCs w:val="21"/>
              </w:rPr>
            </w:pPr>
            <w:r w:rsidRPr="005E111C">
              <w:rPr>
                <w:rFonts w:ascii="Abadi" w:hAnsi="Abadi"/>
                <w:b/>
                <w:sz w:val="21"/>
                <w:szCs w:val="21"/>
              </w:rPr>
              <w:t xml:space="preserve">Vial de la entidad federativa </w:t>
            </w:r>
          </w:p>
        </w:tc>
      </w:tr>
      <w:tr w:rsidR="00670E07" w:rsidRPr="005E111C" w14:paraId="303EECE5" w14:textId="77777777" w:rsidTr="000B631A">
        <w:trPr>
          <w:trHeight w:val="426"/>
        </w:trPr>
        <w:tc>
          <w:tcPr>
            <w:tcW w:w="587" w:type="dxa"/>
            <w:tcBorders>
              <w:top w:val="single" w:sz="4" w:space="0" w:color="000000"/>
              <w:left w:val="single" w:sz="4" w:space="0" w:color="000000"/>
              <w:bottom w:val="single" w:sz="4" w:space="0" w:color="000000"/>
              <w:right w:val="single" w:sz="4" w:space="0" w:color="000000"/>
            </w:tcBorders>
          </w:tcPr>
          <w:p w14:paraId="789AF66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Aguascalientes </w:t>
            </w:r>
          </w:p>
        </w:tc>
        <w:tc>
          <w:tcPr>
            <w:tcW w:w="960" w:type="dxa"/>
            <w:tcBorders>
              <w:top w:val="single" w:sz="4" w:space="0" w:color="000000"/>
              <w:left w:val="single" w:sz="4" w:space="0" w:color="000000"/>
              <w:bottom w:val="single" w:sz="4" w:space="0" w:color="000000"/>
              <w:right w:val="single" w:sz="4" w:space="0" w:color="000000"/>
            </w:tcBorders>
          </w:tcPr>
          <w:p w14:paraId="6BEB0CFA"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del Estado de Aguascalientes </w:t>
            </w:r>
          </w:p>
        </w:tc>
        <w:tc>
          <w:tcPr>
            <w:tcW w:w="499" w:type="dxa"/>
            <w:tcBorders>
              <w:top w:val="single" w:sz="4" w:space="0" w:color="000000"/>
              <w:left w:val="single" w:sz="4" w:space="0" w:color="000000"/>
              <w:bottom w:val="single" w:sz="4" w:space="0" w:color="000000"/>
              <w:right w:val="single" w:sz="4" w:space="0" w:color="000000"/>
            </w:tcBorders>
          </w:tcPr>
          <w:p w14:paraId="335DCAEE"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03 de febrero de 2023  </w:t>
            </w:r>
          </w:p>
        </w:tc>
      </w:tr>
      <w:tr w:rsidR="00670E07" w:rsidRPr="005E111C" w14:paraId="1F7B1FF3" w14:textId="77777777" w:rsidTr="000B631A">
        <w:trPr>
          <w:trHeight w:val="671"/>
        </w:trPr>
        <w:tc>
          <w:tcPr>
            <w:tcW w:w="587" w:type="dxa"/>
            <w:tcBorders>
              <w:top w:val="single" w:sz="4" w:space="0" w:color="000000"/>
              <w:left w:val="single" w:sz="4" w:space="0" w:color="000000"/>
              <w:bottom w:val="single" w:sz="4" w:space="0" w:color="000000"/>
              <w:right w:val="single" w:sz="4" w:space="0" w:color="000000"/>
            </w:tcBorders>
          </w:tcPr>
          <w:p w14:paraId="7912DE43"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Baja California  </w:t>
            </w:r>
          </w:p>
        </w:tc>
        <w:tc>
          <w:tcPr>
            <w:tcW w:w="960" w:type="dxa"/>
            <w:tcBorders>
              <w:top w:val="single" w:sz="4" w:space="0" w:color="000000"/>
              <w:left w:val="single" w:sz="4" w:space="0" w:color="000000"/>
              <w:bottom w:val="single" w:sz="4" w:space="0" w:color="000000"/>
              <w:right w:val="single" w:sz="4" w:space="0" w:color="000000"/>
            </w:tcBorders>
          </w:tcPr>
          <w:p w14:paraId="63E59EB5"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Sustentable y Transporte del Estado de </w:t>
            </w:r>
          </w:p>
          <w:p w14:paraId="7B067505"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Baja California </w:t>
            </w:r>
          </w:p>
        </w:tc>
        <w:tc>
          <w:tcPr>
            <w:tcW w:w="499" w:type="dxa"/>
            <w:tcBorders>
              <w:top w:val="single" w:sz="4" w:space="0" w:color="000000"/>
              <w:left w:val="single" w:sz="4" w:space="0" w:color="000000"/>
              <w:bottom w:val="single" w:sz="4" w:space="0" w:color="000000"/>
              <w:right w:val="single" w:sz="4" w:space="0" w:color="000000"/>
            </w:tcBorders>
          </w:tcPr>
          <w:p w14:paraId="41C436E7"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27 de marzo de 2020 </w:t>
            </w:r>
          </w:p>
        </w:tc>
      </w:tr>
      <w:tr w:rsidR="00670E07" w:rsidRPr="005E111C" w14:paraId="28448A44"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5185738F"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lastRenderedPageBreak/>
              <w:t>Baja California Sur</w:t>
            </w:r>
            <w:r w:rsidRPr="005E111C">
              <w:rPr>
                <w:rFonts w:ascii="Abadi" w:hAnsi="Abadi"/>
                <w:sz w:val="21"/>
                <w:szCs w:val="21"/>
                <w:vertAlign w:val="superscript"/>
              </w:rPr>
              <w:footnoteReference w:id="37"/>
            </w:r>
            <w:r w:rsidRPr="005E111C">
              <w:rPr>
                <w:rFonts w:ascii="Abadi" w:hAnsi="Abadi"/>
                <w:sz w:val="21"/>
                <w:szCs w:val="21"/>
              </w:rPr>
              <w:t xml:space="preserve"> </w:t>
            </w:r>
          </w:p>
        </w:tc>
        <w:tc>
          <w:tcPr>
            <w:tcW w:w="960" w:type="dxa"/>
            <w:tcBorders>
              <w:top w:val="single" w:sz="4" w:space="0" w:color="000000"/>
              <w:left w:val="single" w:sz="4" w:space="0" w:color="000000"/>
              <w:bottom w:val="single" w:sz="4" w:space="0" w:color="000000"/>
              <w:right w:val="single" w:sz="4" w:space="0" w:color="000000"/>
            </w:tcBorders>
          </w:tcPr>
          <w:p w14:paraId="07AF1D54"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Transporte para el Estado de Baja California Sur </w:t>
            </w:r>
          </w:p>
        </w:tc>
        <w:tc>
          <w:tcPr>
            <w:tcW w:w="499" w:type="dxa"/>
            <w:tcBorders>
              <w:top w:val="single" w:sz="4" w:space="0" w:color="000000"/>
              <w:left w:val="single" w:sz="4" w:space="0" w:color="000000"/>
              <w:bottom w:val="single" w:sz="4" w:space="0" w:color="000000"/>
              <w:right w:val="single" w:sz="4" w:space="0" w:color="000000"/>
            </w:tcBorders>
          </w:tcPr>
          <w:p w14:paraId="6404D3F7"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31 de octubre 2016 </w:t>
            </w:r>
          </w:p>
        </w:tc>
      </w:tr>
      <w:tr w:rsidR="00670E07" w:rsidRPr="005E111C" w14:paraId="21BDC50F" w14:textId="77777777" w:rsidTr="000B631A">
        <w:trPr>
          <w:trHeight w:val="671"/>
        </w:trPr>
        <w:tc>
          <w:tcPr>
            <w:tcW w:w="587" w:type="dxa"/>
            <w:tcBorders>
              <w:top w:val="single" w:sz="4" w:space="0" w:color="000000"/>
              <w:left w:val="single" w:sz="4" w:space="0" w:color="000000"/>
              <w:bottom w:val="single" w:sz="4" w:space="0" w:color="000000"/>
              <w:right w:val="single" w:sz="4" w:space="0" w:color="000000"/>
            </w:tcBorders>
          </w:tcPr>
          <w:p w14:paraId="68791CE1"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Campeche  </w:t>
            </w:r>
          </w:p>
        </w:tc>
        <w:tc>
          <w:tcPr>
            <w:tcW w:w="960" w:type="dxa"/>
            <w:tcBorders>
              <w:top w:val="single" w:sz="4" w:space="0" w:color="000000"/>
              <w:left w:val="single" w:sz="4" w:space="0" w:color="000000"/>
              <w:bottom w:val="single" w:sz="4" w:space="0" w:color="000000"/>
              <w:right w:val="single" w:sz="4" w:space="0" w:color="000000"/>
            </w:tcBorders>
          </w:tcPr>
          <w:p w14:paraId="0955DD33"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Vialidad, Tránsito y Control Vehicular del Estado de </w:t>
            </w:r>
          </w:p>
          <w:p w14:paraId="3E13B1DD"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Campeche  </w:t>
            </w:r>
          </w:p>
        </w:tc>
        <w:tc>
          <w:tcPr>
            <w:tcW w:w="499" w:type="dxa"/>
            <w:tcBorders>
              <w:top w:val="single" w:sz="4" w:space="0" w:color="000000"/>
              <w:left w:val="single" w:sz="4" w:space="0" w:color="000000"/>
              <w:bottom w:val="single" w:sz="4" w:space="0" w:color="000000"/>
              <w:right w:val="single" w:sz="4" w:space="0" w:color="000000"/>
            </w:tcBorders>
          </w:tcPr>
          <w:p w14:paraId="149B37F1"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30 de junio de 2022 </w:t>
            </w:r>
          </w:p>
        </w:tc>
      </w:tr>
      <w:tr w:rsidR="00670E07" w:rsidRPr="005E111C" w14:paraId="4D507418"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083DA63F"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Chiapas  </w:t>
            </w:r>
          </w:p>
        </w:tc>
        <w:tc>
          <w:tcPr>
            <w:tcW w:w="960" w:type="dxa"/>
            <w:tcBorders>
              <w:top w:val="single" w:sz="4" w:space="0" w:color="000000"/>
              <w:left w:val="single" w:sz="4" w:space="0" w:color="000000"/>
              <w:bottom w:val="single" w:sz="4" w:space="0" w:color="000000"/>
              <w:right w:val="single" w:sz="4" w:space="0" w:color="000000"/>
            </w:tcBorders>
          </w:tcPr>
          <w:p w14:paraId="401F718A"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y Transporte del Estado de Chiapas </w:t>
            </w:r>
          </w:p>
        </w:tc>
        <w:tc>
          <w:tcPr>
            <w:tcW w:w="499" w:type="dxa"/>
            <w:tcBorders>
              <w:top w:val="single" w:sz="4" w:space="0" w:color="000000"/>
              <w:left w:val="single" w:sz="4" w:space="0" w:color="000000"/>
              <w:bottom w:val="single" w:sz="4" w:space="0" w:color="000000"/>
              <w:right w:val="single" w:sz="4" w:space="0" w:color="000000"/>
            </w:tcBorders>
          </w:tcPr>
          <w:p w14:paraId="11538CE2"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28 de octubre de 2020 </w:t>
            </w:r>
          </w:p>
        </w:tc>
      </w:tr>
      <w:tr w:rsidR="00670E07" w:rsidRPr="005E111C" w14:paraId="383D81A1"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2282AD30"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Chihuahua </w:t>
            </w:r>
          </w:p>
        </w:tc>
        <w:tc>
          <w:tcPr>
            <w:tcW w:w="960" w:type="dxa"/>
            <w:tcBorders>
              <w:top w:val="single" w:sz="4" w:space="0" w:color="000000"/>
              <w:left w:val="single" w:sz="4" w:space="0" w:color="000000"/>
              <w:bottom w:val="single" w:sz="4" w:space="0" w:color="000000"/>
              <w:right w:val="single" w:sz="4" w:space="0" w:color="000000"/>
            </w:tcBorders>
          </w:tcPr>
          <w:p w14:paraId="0A3AD691"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Transporte del Estado de Chihuahua </w:t>
            </w:r>
          </w:p>
        </w:tc>
        <w:tc>
          <w:tcPr>
            <w:tcW w:w="499" w:type="dxa"/>
            <w:tcBorders>
              <w:top w:val="single" w:sz="4" w:space="0" w:color="000000"/>
              <w:left w:val="single" w:sz="4" w:space="0" w:color="000000"/>
              <w:bottom w:val="single" w:sz="4" w:space="0" w:color="000000"/>
              <w:right w:val="single" w:sz="4" w:space="0" w:color="000000"/>
            </w:tcBorders>
          </w:tcPr>
          <w:p w14:paraId="0E464123" w14:textId="77777777" w:rsidR="00670E07" w:rsidRPr="005E111C" w:rsidRDefault="00670E07" w:rsidP="001B69F2">
            <w:pPr>
              <w:spacing w:line="259" w:lineRule="auto"/>
              <w:ind w:right="95"/>
              <w:jc w:val="right"/>
              <w:rPr>
                <w:rFonts w:ascii="Abadi" w:hAnsi="Abadi"/>
                <w:sz w:val="21"/>
                <w:szCs w:val="21"/>
              </w:rPr>
            </w:pPr>
            <w:r w:rsidRPr="005E111C">
              <w:rPr>
                <w:rFonts w:ascii="Abadi" w:hAnsi="Abadi"/>
                <w:sz w:val="21"/>
                <w:szCs w:val="21"/>
              </w:rPr>
              <w:t xml:space="preserve">16 de julio de 2022 </w:t>
            </w:r>
          </w:p>
        </w:tc>
      </w:tr>
      <w:tr w:rsidR="00670E07" w:rsidRPr="005E111C" w14:paraId="361AA6EA"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2AA2D3E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Ciudad de México </w:t>
            </w:r>
          </w:p>
        </w:tc>
        <w:tc>
          <w:tcPr>
            <w:tcW w:w="960" w:type="dxa"/>
            <w:tcBorders>
              <w:top w:val="single" w:sz="4" w:space="0" w:color="000000"/>
              <w:left w:val="single" w:sz="4" w:space="0" w:color="000000"/>
              <w:bottom w:val="single" w:sz="4" w:space="0" w:color="000000"/>
              <w:right w:val="single" w:sz="4" w:space="0" w:color="000000"/>
            </w:tcBorders>
          </w:tcPr>
          <w:p w14:paraId="43A74923"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de la Ciudad de México </w:t>
            </w:r>
          </w:p>
        </w:tc>
        <w:tc>
          <w:tcPr>
            <w:tcW w:w="499" w:type="dxa"/>
            <w:tcBorders>
              <w:top w:val="single" w:sz="4" w:space="0" w:color="000000"/>
              <w:left w:val="single" w:sz="4" w:space="0" w:color="000000"/>
              <w:bottom w:val="single" w:sz="4" w:space="0" w:color="000000"/>
              <w:right w:val="single" w:sz="4" w:space="0" w:color="000000"/>
            </w:tcBorders>
          </w:tcPr>
          <w:p w14:paraId="03AD9ADC"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29 de septiembre de 2020 </w:t>
            </w:r>
          </w:p>
        </w:tc>
      </w:tr>
      <w:tr w:rsidR="00670E07" w:rsidRPr="005E111C" w14:paraId="4BA5C58D" w14:textId="77777777" w:rsidTr="000B631A">
        <w:trPr>
          <w:trHeight w:val="671"/>
        </w:trPr>
        <w:tc>
          <w:tcPr>
            <w:tcW w:w="587" w:type="dxa"/>
            <w:tcBorders>
              <w:top w:val="single" w:sz="4" w:space="0" w:color="000000"/>
              <w:left w:val="single" w:sz="4" w:space="0" w:color="000000"/>
              <w:bottom w:val="single" w:sz="4" w:space="0" w:color="000000"/>
              <w:right w:val="single" w:sz="4" w:space="0" w:color="000000"/>
            </w:tcBorders>
          </w:tcPr>
          <w:p w14:paraId="3782334E"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Coahuila </w:t>
            </w:r>
          </w:p>
        </w:tc>
        <w:tc>
          <w:tcPr>
            <w:tcW w:w="960" w:type="dxa"/>
            <w:tcBorders>
              <w:top w:val="single" w:sz="4" w:space="0" w:color="000000"/>
              <w:left w:val="single" w:sz="4" w:space="0" w:color="000000"/>
              <w:bottom w:val="single" w:sz="4" w:space="0" w:color="000000"/>
              <w:right w:val="single" w:sz="4" w:space="0" w:color="000000"/>
            </w:tcBorders>
          </w:tcPr>
          <w:p w14:paraId="18F6F814"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Transporte y Movilidad Sustentable para el Estado de </w:t>
            </w:r>
          </w:p>
          <w:p w14:paraId="5597C858"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Coahuila de Zaragoza </w:t>
            </w:r>
          </w:p>
        </w:tc>
        <w:tc>
          <w:tcPr>
            <w:tcW w:w="499" w:type="dxa"/>
            <w:tcBorders>
              <w:top w:val="single" w:sz="4" w:space="0" w:color="000000"/>
              <w:left w:val="single" w:sz="4" w:space="0" w:color="000000"/>
              <w:bottom w:val="single" w:sz="4" w:space="0" w:color="000000"/>
              <w:right w:val="single" w:sz="4" w:space="0" w:color="000000"/>
            </w:tcBorders>
          </w:tcPr>
          <w:p w14:paraId="3AEDB0D6"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14 de agosto de 2020 </w:t>
            </w:r>
          </w:p>
        </w:tc>
      </w:tr>
      <w:tr w:rsidR="00670E07" w:rsidRPr="005E111C" w14:paraId="367E2FDC"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31989AD3"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Colima </w:t>
            </w:r>
          </w:p>
        </w:tc>
        <w:tc>
          <w:tcPr>
            <w:tcW w:w="960" w:type="dxa"/>
            <w:tcBorders>
              <w:top w:val="single" w:sz="4" w:space="0" w:color="000000"/>
              <w:left w:val="single" w:sz="4" w:space="0" w:color="000000"/>
              <w:bottom w:val="single" w:sz="4" w:space="0" w:color="000000"/>
              <w:right w:val="single" w:sz="4" w:space="0" w:color="000000"/>
            </w:tcBorders>
          </w:tcPr>
          <w:p w14:paraId="46785A02"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Sustentable para el Estado de Colima  </w:t>
            </w:r>
          </w:p>
        </w:tc>
        <w:tc>
          <w:tcPr>
            <w:tcW w:w="499" w:type="dxa"/>
            <w:tcBorders>
              <w:top w:val="single" w:sz="4" w:space="0" w:color="000000"/>
              <w:left w:val="single" w:sz="4" w:space="0" w:color="000000"/>
              <w:bottom w:val="single" w:sz="4" w:space="0" w:color="000000"/>
              <w:right w:val="single" w:sz="4" w:space="0" w:color="000000"/>
            </w:tcBorders>
          </w:tcPr>
          <w:p w14:paraId="1221D1E6"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14 de enero de 2023 </w:t>
            </w:r>
          </w:p>
        </w:tc>
      </w:tr>
      <w:tr w:rsidR="00670E07" w:rsidRPr="005E111C" w14:paraId="59BCAC92" w14:textId="77777777" w:rsidTr="000B631A">
        <w:trPr>
          <w:trHeight w:val="422"/>
        </w:trPr>
        <w:tc>
          <w:tcPr>
            <w:tcW w:w="587" w:type="dxa"/>
            <w:tcBorders>
              <w:top w:val="single" w:sz="4" w:space="0" w:color="000000"/>
              <w:left w:val="single" w:sz="4" w:space="0" w:color="000000"/>
              <w:bottom w:val="single" w:sz="4" w:space="0" w:color="000000"/>
              <w:right w:val="single" w:sz="4" w:space="0" w:color="000000"/>
            </w:tcBorders>
          </w:tcPr>
          <w:p w14:paraId="21FED374"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Durango  </w:t>
            </w:r>
          </w:p>
        </w:tc>
        <w:tc>
          <w:tcPr>
            <w:tcW w:w="960" w:type="dxa"/>
            <w:tcBorders>
              <w:top w:val="single" w:sz="4" w:space="0" w:color="000000"/>
              <w:left w:val="single" w:sz="4" w:space="0" w:color="000000"/>
              <w:bottom w:val="single" w:sz="4" w:space="0" w:color="000000"/>
              <w:right w:val="single" w:sz="4" w:space="0" w:color="000000"/>
            </w:tcBorders>
          </w:tcPr>
          <w:p w14:paraId="4802DC63"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Transportes para el </w:t>
            </w:r>
            <w:r w:rsidRPr="005E111C">
              <w:rPr>
                <w:rFonts w:ascii="Abadi" w:hAnsi="Abadi"/>
                <w:sz w:val="21"/>
                <w:szCs w:val="21"/>
              </w:rPr>
              <w:t xml:space="preserve">Estado de Durango </w:t>
            </w:r>
          </w:p>
        </w:tc>
        <w:tc>
          <w:tcPr>
            <w:tcW w:w="499" w:type="dxa"/>
            <w:tcBorders>
              <w:top w:val="single" w:sz="4" w:space="0" w:color="000000"/>
              <w:left w:val="single" w:sz="4" w:space="0" w:color="000000"/>
              <w:bottom w:val="single" w:sz="4" w:space="0" w:color="000000"/>
              <w:right w:val="single" w:sz="4" w:space="0" w:color="000000"/>
            </w:tcBorders>
          </w:tcPr>
          <w:p w14:paraId="30CD943D"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31 de marzo de 2022 </w:t>
            </w:r>
          </w:p>
        </w:tc>
      </w:tr>
      <w:tr w:rsidR="00670E07" w:rsidRPr="005E111C" w14:paraId="2DCC152B" w14:textId="77777777" w:rsidTr="000B631A">
        <w:trPr>
          <w:trHeight w:val="424"/>
        </w:trPr>
        <w:tc>
          <w:tcPr>
            <w:tcW w:w="587" w:type="dxa"/>
            <w:tcBorders>
              <w:top w:val="single" w:sz="4" w:space="0" w:color="000000"/>
              <w:left w:val="single" w:sz="4" w:space="0" w:color="000000"/>
              <w:bottom w:val="single" w:sz="4" w:space="0" w:color="000000"/>
              <w:right w:val="single" w:sz="4" w:space="0" w:color="000000"/>
            </w:tcBorders>
          </w:tcPr>
          <w:p w14:paraId="363530A9"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Estado de México </w:t>
            </w:r>
          </w:p>
        </w:tc>
        <w:tc>
          <w:tcPr>
            <w:tcW w:w="960" w:type="dxa"/>
            <w:tcBorders>
              <w:top w:val="single" w:sz="4" w:space="0" w:color="000000"/>
              <w:left w:val="single" w:sz="4" w:space="0" w:color="000000"/>
              <w:bottom w:val="single" w:sz="4" w:space="0" w:color="000000"/>
              <w:right w:val="single" w:sz="4" w:space="0" w:color="000000"/>
            </w:tcBorders>
          </w:tcPr>
          <w:p w14:paraId="31989225" w14:textId="77777777" w:rsidR="00670E07" w:rsidRPr="005E111C" w:rsidRDefault="00670E07" w:rsidP="001B69F2">
            <w:pPr>
              <w:spacing w:line="259" w:lineRule="auto"/>
              <w:ind w:left="1"/>
              <w:rPr>
                <w:rFonts w:ascii="Abadi" w:hAnsi="Abadi"/>
                <w:sz w:val="21"/>
                <w:szCs w:val="21"/>
              </w:rPr>
            </w:pPr>
            <w:r w:rsidRPr="005E111C">
              <w:rPr>
                <w:rFonts w:ascii="Abadi" w:hAnsi="Abadi"/>
                <w:sz w:val="21"/>
                <w:szCs w:val="21"/>
              </w:rPr>
              <w:t xml:space="preserve">Ley de Movilidad del Estado de México </w:t>
            </w:r>
          </w:p>
        </w:tc>
        <w:tc>
          <w:tcPr>
            <w:tcW w:w="499" w:type="dxa"/>
            <w:tcBorders>
              <w:top w:val="single" w:sz="4" w:space="0" w:color="000000"/>
              <w:left w:val="single" w:sz="4" w:space="0" w:color="000000"/>
              <w:bottom w:val="single" w:sz="4" w:space="0" w:color="000000"/>
              <w:right w:val="single" w:sz="4" w:space="0" w:color="000000"/>
            </w:tcBorders>
          </w:tcPr>
          <w:p w14:paraId="452B6B9C"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07 de octubre de 2022 </w:t>
            </w:r>
          </w:p>
        </w:tc>
      </w:tr>
    </w:tbl>
    <w:p w14:paraId="0954CFC4" w14:textId="77777777" w:rsidR="00670E07" w:rsidRPr="005E111C" w:rsidRDefault="00670E07" w:rsidP="00670E07">
      <w:pPr>
        <w:rPr>
          <w:rFonts w:ascii="Abadi" w:hAnsi="Abadi"/>
          <w:sz w:val="21"/>
          <w:szCs w:val="21"/>
        </w:rPr>
      </w:pPr>
    </w:p>
    <w:tbl>
      <w:tblPr>
        <w:tblStyle w:val="TableGrid"/>
        <w:tblW w:w="2062" w:type="dxa"/>
        <w:tblInd w:w="266" w:type="dxa"/>
        <w:tblCellMar>
          <w:top w:w="47" w:type="dxa"/>
          <w:left w:w="108" w:type="dxa"/>
          <w:right w:w="17" w:type="dxa"/>
        </w:tblCellMar>
        <w:tblLook w:val="04A0" w:firstRow="1" w:lastRow="0" w:firstColumn="1" w:lastColumn="0" w:noHBand="0" w:noVBand="1"/>
      </w:tblPr>
      <w:tblGrid>
        <w:gridCol w:w="1111"/>
        <w:gridCol w:w="1531"/>
        <w:gridCol w:w="1193"/>
      </w:tblGrid>
      <w:tr w:rsidR="00670E07" w:rsidRPr="005E111C" w14:paraId="58EA9EB5" w14:textId="77777777" w:rsidTr="000B631A">
        <w:trPr>
          <w:trHeight w:val="423"/>
        </w:trPr>
        <w:tc>
          <w:tcPr>
            <w:tcW w:w="476" w:type="dxa"/>
            <w:tcBorders>
              <w:top w:val="single" w:sz="4" w:space="0" w:color="000000"/>
              <w:left w:val="single" w:sz="4" w:space="0" w:color="000000"/>
              <w:bottom w:val="single" w:sz="4" w:space="0" w:color="000000"/>
              <w:right w:val="single" w:sz="4" w:space="0" w:color="000000"/>
            </w:tcBorders>
          </w:tcPr>
          <w:p w14:paraId="15B34E13"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Guanajuato </w:t>
            </w:r>
          </w:p>
        </w:tc>
        <w:tc>
          <w:tcPr>
            <w:tcW w:w="1080" w:type="dxa"/>
            <w:tcBorders>
              <w:top w:val="single" w:sz="4" w:space="0" w:color="000000"/>
              <w:left w:val="single" w:sz="4" w:space="0" w:color="000000"/>
              <w:bottom w:val="single" w:sz="4" w:space="0" w:color="000000"/>
              <w:right w:val="single" w:sz="4" w:space="0" w:color="000000"/>
            </w:tcBorders>
          </w:tcPr>
          <w:p w14:paraId="1AC6E767"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del Estado de Guanajuato y sus Municipios  </w:t>
            </w:r>
          </w:p>
        </w:tc>
        <w:tc>
          <w:tcPr>
            <w:tcW w:w="506" w:type="dxa"/>
            <w:tcBorders>
              <w:top w:val="single" w:sz="4" w:space="0" w:color="000000"/>
              <w:left w:val="single" w:sz="4" w:space="0" w:color="000000"/>
              <w:bottom w:val="single" w:sz="4" w:space="0" w:color="000000"/>
              <w:right w:val="single" w:sz="4" w:space="0" w:color="000000"/>
            </w:tcBorders>
          </w:tcPr>
          <w:p w14:paraId="5BA80C3E"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08 de diciembre de 2022 </w:t>
            </w:r>
          </w:p>
        </w:tc>
      </w:tr>
      <w:tr w:rsidR="00670E07" w:rsidRPr="005E111C" w14:paraId="00013E12"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3BD76D15"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Guerrero </w:t>
            </w:r>
          </w:p>
        </w:tc>
        <w:tc>
          <w:tcPr>
            <w:tcW w:w="1080" w:type="dxa"/>
            <w:tcBorders>
              <w:top w:val="single" w:sz="4" w:space="0" w:color="000000"/>
              <w:left w:val="single" w:sz="4" w:space="0" w:color="000000"/>
              <w:bottom w:val="single" w:sz="4" w:space="0" w:color="000000"/>
              <w:right w:val="single" w:sz="4" w:space="0" w:color="000000"/>
            </w:tcBorders>
          </w:tcPr>
          <w:p w14:paraId="5280849C"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Transporte y Vialidad del Estado de Guerrero </w:t>
            </w:r>
          </w:p>
        </w:tc>
        <w:tc>
          <w:tcPr>
            <w:tcW w:w="506" w:type="dxa"/>
            <w:tcBorders>
              <w:top w:val="single" w:sz="4" w:space="0" w:color="000000"/>
              <w:left w:val="single" w:sz="4" w:space="0" w:color="000000"/>
              <w:bottom w:val="single" w:sz="4" w:space="0" w:color="000000"/>
              <w:right w:val="single" w:sz="4" w:space="0" w:color="000000"/>
            </w:tcBorders>
          </w:tcPr>
          <w:p w14:paraId="276C478A"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17 de agosto de 2021 </w:t>
            </w:r>
          </w:p>
        </w:tc>
      </w:tr>
      <w:tr w:rsidR="00670E07" w:rsidRPr="005E111C" w14:paraId="26344B1C"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4AB6F03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Hidalgo  </w:t>
            </w:r>
          </w:p>
        </w:tc>
        <w:tc>
          <w:tcPr>
            <w:tcW w:w="1080" w:type="dxa"/>
            <w:tcBorders>
              <w:top w:val="single" w:sz="4" w:space="0" w:color="000000"/>
              <w:left w:val="single" w:sz="4" w:space="0" w:color="000000"/>
              <w:bottom w:val="single" w:sz="4" w:space="0" w:color="000000"/>
              <w:right w:val="single" w:sz="4" w:space="0" w:color="000000"/>
            </w:tcBorders>
          </w:tcPr>
          <w:p w14:paraId="672A1FE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y Seguridad Vial para el Estado de Hidalgo  </w:t>
            </w:r>
          </w:p>
        </w:tc>
        <w:tc>
          <w:tcPr>
            <w:tcW w:w="506" w:type="dxa"/>
            <w:tcBorders>
              <w:top w:val="single" w:sz="4" w:space="0" w:color="000000"/>
              <w:left w:val="single" w:sz="4" w:space="0" w:color="000000"/>
              <w:bottom w:val="single" w:sz="4" w:space="0" w:color="000000"/>
              <w:right w:val="single" w:sz="4" w:space="0" w:color="000000"/>
            </w:tcBorders>
          </w:tcPr>
          <w:p w14:paraId="561607C1"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29 de marzo de 2023 </w:t>
            </w:r>
          </w:p>
        </w:tc>
      </w:tr>
      <w:tr w:rsidR="00670E07" w:rsidRPr="005E111C" w14:paraId="11EDB432"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3F323C6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Jalisco </w:t>
            </w:r>
          </w:p>
        </w:tc>
        <w:tc>
          <w:tcPr>
            <w:tcW w:w="1080" w:type="dxa"/>
            <w:tcBorders>
              <w:top w:val="single" w:sz="4" w:space="0" w:color="000000"/>
              <w:left w:val="single" w:sz="4" w:space="0" w:color="000000"/>
              <w:bottom w:val="single" w:sz="4" w:space="0" w:color="000000"/>
              <w:right w:val="single" w:sz="4" w:space="0" w:color="000000"/>
            </w:tcBorders>
          </w:tcPr>
          <w:p w14:paraId="0543FCFC"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Seguridad Vial y Transporte del Estado de </w:t>
            </w:r>
          </w:p>
          <w:p w14:paraId="1C4D008D"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Jalisco  </w:t>
            </w:r>
          </w:p>
        </w:tc>
        <w:tc>
          <w:tcPr>
            <w:tcW w:w="506" w:type="dxa"/>
            <w:tcBorders>
              <w:top w:val="single" w:sz="4" w:space="0" w:color="000000"/>
              <w:left w:val="single" w:sz="4" w:space="0" w:color="000000"/>
              <w:bottom w:val="single" w:sz="4" w:space="0" w:color="000000"/>
              <w:right w:val="single" w:sz="4" w:space="0" w:color="000000"/>
            </w:tcBorders>
          </w:tcPr>
          <w:p w14:paraId="511AF31E"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29 de octubre de 2022 </w:t>
            </w:r>
          </w:p>
        </w:tc>
      </w:tr>
      <w:tr w:rsidR="00670E07" w:rsidRPr="005E111C" w14:paraId="3C2AFC70"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6726A40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Michoacán de Ocampo</w:t>
            </w:r>
            <w:r w:rsidRPr="005E111C">
              <w:rPr>
                <w:rFonts w:ascii="Abadi" w:hAnsi="Abadi"/>
                <w:sz w:val="21"/>
                <w:szCs w:val="21"/>
                <w:vertAlign w:val="superscript"/>
              </w:rPr>
              <w:footnoteReference w:id="38"/>
            </w:r>
            <w:r w:rsidRPr="005E111C">
              <w:rPr>
                <w:rFonts w:ascii="Abadi" w:hAnsi="Abadi"/>
                <w:sz w:val="21"/>
                <w:szCs w:val="21"/>
              </w:rPr>
              <w:t xml:space="preserve"> </w:t>
            </w:r>
          </w:p>
        </w:tc>
        <w:tc>
          <w:tcPr>
            <w:tcW w:w="1080" w:type="dxa"/>
            <w:tcBorders>
              <w:top w:val="single" w:sz="4" w:space="0" w:color="000000"/>
              <w:left w:val="single" w:sz="4" w:space="0" w:color="000000"/>
              <w:bottom w:val="single" w:sz="4" w:space="0" w:color="000000"/>
              <w:right w:val="single" w:sz="4" w:space="0" w:color="000000"/>
            </w:tcBorders>
          </w:tcPr>
          <w:p w14:paraId="506F6D6B"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y Vialidad del Estado de Michoacán de </w:t>
            </w:r>
          </w:p>
          <w:p w14:paraId="5DC589A5"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Ocampo </w:t>
            </w:r>
          </w:p>
        </w:tc>
        <w:tc>
          <w:tcPr>
            <w:tcW w:w="506" w:type="dxa"/>
            <w:tcBorders>
              <w:top w:val="single" w:sz="4" w:space="0" w:color="000000"/>
              <w:left w:val="single" w:sz="4" w:space="0" w:color="000000"/>
              <w:bottom w:val="single" w:sz="4" w:space="0" w:color="000000"/>
              <w:right w:val="single" w:sz="4" w:space="0" w:color="000000"/>
            </w:tcBorders>
          </w:tcPr>
          <w:p w14:paraId="7E3E6EBB"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22 de enero de 2021 </w:t>
            </w:r>
          </w:p>
        </w:tc>
      </w:tr>
      <w:tr w:rsidR="00670E07" w:rsidRPr="005E111C" w14:paraId="068DE9F4"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58231BF1"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Morelos  </w:t>
            </w:r>
          </w:p>
        </w:tc>
        <w:tc>
          <w:tcPr>
            <w:tcW w:w="1080" w:type="dxa"/>
            <w:tcBorders>
              <w:top w:val="single" w:sz="4" w:space="0" w:color="000000"/>
              <w:left w:val="single" w:sz="4" w:space="0" w:color="000000"/>
              <w:bottom w:val="single" w:sz="4" w:space="0" w:color="000000"/>
              <w:right w:val="single" w:sz="4" w:space="0" w:color="000000"/>
            </w:tcBorders>
          </w:tcPr>
          <w:p w14:paraId="55F3E2C9"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Transporte del Estado de Morelos </w:t>
            </w:r>
          </w:p>
        </w:tc>
        <w:tc>
          <w:tcPr>
            <w:tcW w:w="506" w:type="dxa"/>
            <w:tcBorders>
              <w:top w:val="single" w:sz="4" w:space="0" w:color="000000"/>
              <w:left w:val="single" w:sz="4" w:space="0" w:color="000000"/>
              <w:bottom w:val="single" w:sz="4" w:space="0" w:color="000000"/>
              <w:right w:val="single" w:sz="4" w:space="0" w:color="000000"/>
            </w:tcBorders>
          </w:tcPr>
          <w:p w14:paraId="08502AFD"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09 de marzo de 2022 </w:t>
            </w:r>
          </w:p>
        </w:tc>
      </w:tr>
      <w:tr w:rsidR="00670E07" w:rsidRPr="005E111C" w14:paraId="1B7F228E"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0D54F868"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Nayarit </w:t>
            </w:r>
          </w:p>
        </w:tc>
        <w:tc>
          <w:tcPr>
            <w:tcW w:w="1080" w:type="dxa"/>
            <w:tcBorders>
              <w:top w:val="single" w:sz="4" w:space="0" w:color="000000"/>
              <w:left w:val="single" w:sz="4" w:space="0" w:color="000000"/>
              <w:bottom w:val="single" w:sz="4" w:space="0" w:color="000000"/>
              <w:right w:val="single" w:sz="4" w:space="0" w:color="000000"/>
            </w:tcBorders>
          </w:tcPr>
          <w:p w14:paraId="0FCA5B31"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del Estado de Nayarit </w:t>
            </w:r>
          </w:p>
        </w:tc>
        <w:tc>
          <w:tcPr>
            <w:tcW w:w="506" w:type="dxa"/>
            <w:tcBorders>
              <w:top w:val="single" w:sz="4" w:space="0" w:color="000000"/>
              <w:left w:val="single" w:sz="4" w:space="0" w:color="000000"/>
              <w:bottom w:val="single" w:sz="4" w:space="0" w:color="000000"/>
              <w:right w:val="single" w:sz="4" w:space="0" w:color="000000"/>
            </w:tcBorders>
          </w:tcPr>
          <w:p w14:paraId="61191D1F"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06 de agosto de 2021 </w:t>
            </w:r>
          </w:p>
        </w:tc>
      </w:tr>
      <w:tr w:rsidR="00670E07" w:rsidRPr="005E111C" w14:paraId="535B1AEC"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775D517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lastRenderedPageBreak/>
              <w:t xml:space="preserve">Nuevo León </w:t>
            </w:r>
          </w:p>
        </w:tc>
        <w:tc>
          <w:tcPr>
            <w:tcW w:w="1080" w:type="dxa"/>
            <w:tcBorders>
              <w:top w:val="single" w:sz="4" w:space="0" w:color="000000"/>
              <w:left w:val="single" w:sz="4" w:space="0" w:color="000000"/>
              <w:bottom w:val="single" w:sz="4" w:space="0" w:color="000000"/>
              <w:right w:val="single" w:sz="4" w:space="0" w:color="000000"/>
            </w:tcBorders>
          </w:tcPr>
          <w:p w14:paraId="520B1EB1" w14:textId="77777777" w:rsidR="00670E07" w:rsidRPr="005E111C" w:rsidRDefault="00670E07" w:rsidP="001B69F2">
            <w:pPr>
              <w:spacing w:line="259" w:lineRule="auto"/>
              <w:ind w:right="55"/>
              <w:rPr>
                <w:rFonts w:ascii="Abadi" w:hAnsi="Abadi"/>
                <w:sz w:val="21"/>
                <w:szCs w:val="21"/>
              </w:rPr>
            </w:pPr>
            <w:r w:rsidRPr="005E111C">
              <w:rPr>
                <w:rFonts w:ascii="Abadi" w:hAnsi="Abadi"/>
                <w:sz w:val="21"/>
                <w:szCs w:val="21"/>
              </w:rPr>
              <w:t xml:space="preserve">Ley de Movilidad Sostenible y Accesibilidad para el Estado de Nuevo León  </w:t>
            </w:r>
          </w:p>
        </w:tc>
        <w:tc>
          <w:tcPr>
            <w:tcW w:w="506" w:type="dxa"/>
            <w:tcBorders>
              <w:top w:val="single" w:sz="4" w:space="0" w:color="000000"/>
              <w:left w:val="single" w:sz="4" w:space="0" w:color="000000"/>
              <w:bottom w:val="single" w:sz="4" w:space="0" w:color="000000"/>
              <w:right w:val="single" w:sz="4" w:space="0" w:color="000000"/>
            </w:tcBorders>
          </w:tcPr>
          <w:p w14:paraId="0FA54BD6"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24 de enero de 2023 </w:t>
            </w:r>
          </w:p>
        </w:tc>
      </w:tr>
      <w:tr w:rsidR="00670E07" w:rsidRPr="005E111C" w14:paraId="07B4313A"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6924A2D4"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Oaxaca </w:t>
            </w:r>
          </w:p>
        </w:tc>
        <w:tc>
          <w:tcPr>
            <w:tcW w:w="1080" w:type="dxa"/>
            <w:tcBorders>
              <w:top w:val="single" w:sz="4" w:space="0" w:color="000000"/>
              <w:left w:val="single" w:sz="4" w:space="0" w:color="000000"/>
              <w:bottom w:val="single" w:sz="4" w:space="0" w:color="000000"/>
              <w:right w:val="single" w:sz="4" w:space="0" w:color="000000"/>
            </w:tcBorders>
          </w:tcPr>
          <w:p w14:paraId="3D8789B7"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para el Estado de Oaxaca </w:t>
            </w:r>
          </w:p>
        </w:tc>
        <w:tc>
          <w:tcPr>
            <w:tcW w:w="506" w:type="dxa"/>
            <w:tcBorders>
              <w:top w:val="single" w:sz="4" w:space="0" w:color="000000"/>
              <w:left w:val="single" w:sz="4" w:space="0" w:color="000000"/>
              <w:bottom w:val="single" w:sz="4" w:space="0" w:color="000000"/>
              <w:right w:val="single" w:sz="4" w:space="0" w:color="000000"/>
            </w:tcBorders>
          </w:tcPr>
          <w:p w14:paraId="13BAFE23"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23 de octubre de 2021 </w:t>
            </w:r>
          </w:p>
        </w:tc>
      </w:tr>
      <w:tr w:rsidR="00670E07" w:rsidRPr="005E111C" w14:paraId="3B43A863"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26D12D80"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Puebla  </w:t>
            </w:r>
          </w:p>
        </w:tc>
        <w:tc>
          <w:tcPr>
            <w:tcW w:w="1080" w:type="dxa"/>
            <w:tcBorders>
              <w:top w:val="single" w:sz="4" w:space="0" w:color="000000"/>
              <w:left w:val="single" w:sz="4" w:space="0" w:color="000000"/>
              <w:bottom w:val="single" w:sz="4" w:space="0" w:color="000000"/>
              <w:right w:val="single" w:sz="4" w:space="0" w:color="000000"/>
            </w:tcBorders>
          </w:tcPr>
          <w:p w14:paraId="41CB6084"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y Transporte del Estado de Puebla </w:t>
            </w:r>
          </w:p>
        </w:tc>
        <w:tc>
          <w:tcPr>
            <w:tcW w:w="506" w:type="dxa"/>
            <w:tcBorders>
              <w:top w:val="single" w:sz="4" w:space="0" w:color="000000"/>
              <w:left w:val="single" w:sz="4" w:space="0" w:color="000000"/>
              <w:bottom w:val="single" w:sz="4" w:space="0" w:color="000000"/>
              <w:right w:val="single" w:sz="4" w:space="0" w:color="000000"/>
            </w:tcBorders>
          </w:tcPr>
          <w:p w14:paraId="324279B3"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04 de noviembre 2021 </w:t>
            </w:r>
          </w:p>
        </w:tc>
      </w:tr>
      <w:tr w:rsidR="00670E07" w:rsidRPr="005E111C" w14:paraId="7414F80A"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2D9FA81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Querétaro  </w:t>
            </w:r>
          </w:p>
        </w:tc>
        <w:tc>
          <w:tcPr>
            <w:tcW w:w="1080" w:type="dxa"/>
            <w:tcBorders>
              <w:top w:val="single" w:sz="4" w:space="0" w:color="000000"/>
              <w:left w:val="single" w:sz="4" w:space="0" w:color="000000"/>
              <w:bottom w:val="single" w:sz="4" w:space="0" w:color="000000"/>
              <w:right w:val="single" w:sz="4" w:space="0" w:color="000000"/>
            </w:tcBorders>
          </w:tcPr>
          <w:p w14:paraId="60FF86AA"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para el Estado de Querétaro  </w:t>
            </w:r>
          </w:p>
        </w:tc>
        <w:tc>
          <w:tcPr>
            <w:tcW w:w="506" w:type="dxa"/>
            <w:tcBorders>
              <w:top w:val="single" w:sz="4" w:space="0" w:color="000000"/>
              <w:left w:val="single" w:sz="4" w:space="0" w:color="000000"/>
              <w:bottom w:val="single" w:sz="4" w:space="0" w:color="000000"/>
              <w:right w:val="single" w:sz="4" w:space="0" w:color="000000"/>
            </w:tcBorders>
          </w:tcPr>
          <w:p w14:paraId="45DE1694"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30 de septiembre de 2021 </w:t>
            </w:r>
          </w:p>
        </w:tc>
      </w:tr>
      <w:tr w:rsidR="00670E07" w:rsidRPr="005E111C" w14:paraId="222D6358"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637C9463"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Quintana Roo </w:t>
            </w:r>
          </w:p>
        </w:tc>
        <w:tc>
          <w:tcPr>
            <w:tcW w:w="1080" w:type="dxa"/>
            <w:tcBorders>
              <w:top w:val="single" w:sz="4" w:space="0" w:color="000000"/>
              <w:left w:val="single" w:sz="4" w:space="0" w:color="000000"/>
              <w:bottom w:val="single" w:sz="4" w:space="0" w:color="000000"/>
              <w:right w:val="single" w:sz="4" w:space="0" w:color="000000"/>
            </w:tcBorders>
          </w:tcPr>
          <w:p w14:paraId="3D558470"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del Estado de Quintana Roo </w:t>
            </w:r>
          </w:p>
        </w:tc>
        <w:tc>
          <w:tcPr>
            <w:tcW w:w="506" w:type="dxa"/>
            <w:tcBorders>
              <w:top w:val="single" w:sz="4" w:space="0" w:color="000000"/>
              <w:left w:val="single" w:sz="4" w:space="0" w:color="000000"/>
              <w:bottom w:val="single" w:sz="4" w:space="0" w:color="000000"/>
              <w:right w:val="single" w:sz="4" w:space="0" w:color="000000"/>
            </w:tcBorders>
          </w:tcPr>
          <w:p w14:paraId="14C69ACD"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28 de abril de 2023 </w:t>
            </w:r>
          </w:p>
        </w:tc>
      </w:tr>
      <w:tr w:rsidR="00670E07" w:rsidRPr="005E111C" w14:paraId="254759A7"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4248FBA3"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San Luis Potosí </w:t>
            </w:r>
          </w:p>
        </w:tc>
        <w:tc>
          <w:tcPr>
            <w:tcW w:w="1080" w:type="dxa"/>
            <w:tcBorders>
              <w:top w:val="single" w:sz="4" w:space="0" w:color="000000"/>
              <w:left w:val="single" w:sz="4" w:space="0" w:color="000000"/>
              <w:bottom w:val="single" w:sz="4" w:space="0" w:color="000000"/>
              <w:right w:val="single" w:sz="4" w:space="0" w:color="000000"/>
            </w:tcBorders>
          </w:tcPr>
          <w:p w14:paraId="04EA7FCC"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del Estado de San Luis Potosí </w:t>
            </w:r>
          </w:p>
        </w:tc>
        <w:tc>
          <w:tcPr>
            <w:tcW w:w="506" w:type="dxa"/>
            <w:tcBorders>
              <w:top w:val="single" w:sz="4" w:space="0" w:color="000000"/>
              <w:left w:val="single" w:sz="4" w:space="0" w:color="000000"/>
              <w:bottom w:val="single" w:sz="4" w:space="0" w:color="000000"/>
              <w:right w:val="single" w:sz="4" w:space="0" w:color="000000"/>
            </w:tcBorders>
          </w:tcPr>
          <w:p w14:paraId="333577F2"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13 de mayo de 2022 </w:t>
            </w:r>
          </w:p>
        </w:tc>
      </w:tr>
      <w:tr w:rsidR="00670E07" w:rsidRPr="005E111C" w14:paraId="247383B2"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3D47343C"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Sinaloa  </w:t>
            </w:r>
          </w:p>
        </w:tc>
        <w:tc>
          <w:tcPr>
            <w:tcW w:w="1080" w:type="dxa"/>
            <w:tcBorders>
              <w:top w:val="single" w:sz="4" w:space="0" w:color="000000"/>
              <w:left w:val="single" w:sz="4" w:space="0" w:color="000000"/>
              <w:bottom w:val="single" w:sz="4" w:space="0" w:color="000000"/>
              <w:right w:val="single" w:sz="4" w:space="0" w:color="000000"/>
            </w:tcBorders>
          </w:tcPr>
          <w:p w14:paraId="6FABB018"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Sustentable del Estado de Sinaloa </w:t>
            </w:r>
          </w:p>
        </w:tc>
        <w:tc>
          <w:tcPr>
            <w:tcW w:w="506" w:type="dxa"/>
            <w:tcBorders>
              <w:top w:val="single" w:sz="4" w:space="0" w:color="000000"/>
              <w:left w:val="single" w:sz="4" w:space="0" w:color="000000"/>
              <w:bottom w:val="single" w:sz="4" w:space="0" w:color="000000"/>
              <w:right w:val="single" w:sz="4" w:space="0" w:color="000000"/>
            </w:tcBorders>
          </w:tcPr>
          <w:p w14:paraId="288F81CE"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24 de septiembre de 2021 </w:t>
            </w:r>
          </w:p>
        </w:tc>
      </w:tr>
      <w:tr w:rsidR="00670E07" w:rsidRPr="005E111C" w14:paraId="71431352"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7E8FFE8E"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Sonora  </w:t>
            </w:r>
          </w:p>
        </w:tc>
        <w:tc>
          <w:tcPr>
            <w:tcW w:w="1080" w:type="dxa"/>
            <w:tcBorders>
              <w:top w:val="single" w:sz="4" w:space="0" w:color="000000"/>
              <w:left w:val="single" w:sz="4" w:space="0" w:color="000000"/>
              <w:bottom w:val="single" w:sz="4" w:space="0" w:color="000000"/>
              <w:right w:val="single" w:sz="4" w:space="0" w:color="000000"/>
            </w:tcBorders>
          </w:tcPr>
          <w:p w14:paraId="752584F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del Estado de Sonora </w:t>
            </w:r>
          </w:p>
        </w:tc>
        <w:tc>
          <w:tcPr>
            <w:tcW w:w="506" w:type="dxa"/>
            <w:tcBorders>
              <w:top w:val="single" w:sz="4" w:space="0" w:color="000000"/>
              <w:left w:val="single" w:sz="4" w:space="0" w:color="000000"/>
              <w:bottom w:val="single" w:sz="4" w:space="0" w:color="000000"/>
              <w:right w:val="single" w:sz="4" w:space="0" w:color="000000"/>
            </w:tcBorders>
          </w:tcPr>
          <w:p w14:paraId="3B6A1F64"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27 de diciembre de 2019 </w:t>
            </w:r>
          </w:p>
        </w:tc>
      </w:tr>
      <w:tr w:rsidR="00670E07" w:rsidRPr="005E111C" w14:paraId="551A8905"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35492262"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Tabasco  </w:t>
            </w:r>
          </w:p>
        </w:tc>
        <w:tc>
          <w:tcPr>
            <w:tcW w:w="1080" w:type="dxa"/>
            <w:tcBorders>
              <w:top w:val="single" w:sz="4" w:space="0" w:color="000000"/>
              <w:left w:val="single" w:sz="4" w:space="0" w:color="000000"/>
              <w:bottom w:val="single" w:sz="4" w:space="0" w:color="000000"/>
              <w:right w:val="single" w:sz="4" w:space="0" w:color="000000"/>
            </w:tcBorders>
          </w:tcPr>
          <w:p w14:paraId="51B8CB2A"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para el Estado de Tabasco  </w:t>
            </w:r>
          </w:p>
        </w:tc>
        <w:tc>
          <w:tcPr>
            <w:tcW w:w="506" w:type="dxa"/>
            <w:tcBorders>
              <w:top w:val="single" w:sz="4" w:space="0" w:color="000000"/>
              <w:left w:val="single" w:sz="4" w:space="0" w:color="000000"/>
              <w:bottom w:val="single" w:sz="4" w:space="0" w:color="000000"/>
              <w:right w:val="single" w:sz="4" w:space="0" w:color="000000"/>
            </w:tcBorders>
          </w:tcPr>
          <w:p w14:paraId="3956E1A0"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30 de noviembre de 2019 </w:t>
            </w:r>
          </w:p>
        </w:tc>
      </w:tr>
      <w:tr w:rsidR="00670E07" w:rsidRPr="005E111C" w14:paraId="4F21BC1B" w14:textId="77777777" w:rsidTr="000B631A">
        <w:trPr>
          <w:trHeight w:val="423"/>
        </w:trPr>
        <w:tc>
          <w:tcPr>
            <w:tcW w:w="476" w:type="dxa"/>
            <w:tcBorders>
              <w:top w:val="single" w:sz="4" w:space="0" w:color="000000"/>
              <w:left w:val="single" w:sz="4" w:space="0" w:color="000000"/>
              <w:bottom w:val="single" w:sz="4" w:space="0" w:color="000000"/>
              <w:right w:val="single" w:sz="4" w:space="0" w:color="000000"/>
            </w:tcBorders>
          </w:tcPr>
          <w:p w14:paraId="7607731C"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Tamaulipas  </w:t>
            </w:r>
          </w:p>
        </w:tc>
        <w:tc>
          <w:tcPr>
            <w:tcW w:w="1080" w:type="dxa"/>
            <w:tcBorders>
              <w:top w:val="single" w:sz="4" w:space="0" w:color="000000"/>
              <w:left w:val="single" w:sz="4" w:space="0" w:color="000000"/>
              <w:bottom w:val="single" w:sz="4" w:space="0" w:color="000000"/>
              <w:right w:val="single" w:sz="4" w:space="0" w:color="000000"/>
            </w:tcBorders>
          </w:tcPr>
          <w:p w14:paraId="16D7E16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del Estado de Tamaulipas  </w:t>
            </w:r>
          </w:p>
        </w:tc>
        <w:tc>
          <w:tcPr>
            <w:tcW w:w="506" w:type="dxa"/>
            <w:tcBorders>
              <w:top w:val="single" w:sz="4" w:space="0" w:color="000000"/>
              <w:left w:val="single" w:sz="4" w:space="0" w:color="000000"/>
              <w:bottom w:val="single" w:sz="4" w:space="0" w:color="000000"/>
              <w:right w:val="single" w:sz="4" w:space="0" w:color="000000"/>
            </w:tcBorders>
          </w:tcPr>
          <w:p w14:paraId="72EED301"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27 de abril de 2023  </w:t>
            </w:r>
          </w:p>
        </w:tc>
      </w:tr>
      <w:tr w:rsidR="00670E07" w:rsidRPr="005E111C" w14:paraId="245A89C8"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5C3A43A1"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Tlaxcala  </w:t>
            </w:r>
          </w:p>
        </w:tc>
        <w:tc>
          <w:tcPr>
            <w:tcW w:w="1080" w:type="dxa"/>
            <w:tcBorders>
              <w:top w:val="single" w:sz="4" w:space="0" w:color="000000"/>
              <w:left w:val="single" w:sz="4" w:space="0" w:color="000000"/>
              <w:bottom w:val="single" w:sz="4" w:space="0" w:color="000000"/>
              <w:right w:val="single" w:sz="4" w:space="0" w:color="000000"/>
            </w:tcBorders>
          </w:tcPr>
          <w:p w14:paraId="42415FF0"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Ley de Comunicacione</w:t>
            </w:r>
            <w:r w:rsidRPr="005E111C">
              <w:rPr>
                <w:rFonts w:ascii="Abadi" w:hAnsi="Abadi"/>
                <w:sz w:val="21"/>
                <w:szCs w:val="21"/>
              </w:rPr>
              <w:t xml:space="preserve">s y Transportes en el Estado de </w:t>
            </w:r>
          </w:p>
          <w:p w14:paraId="610A5BF8"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Tlaxcala </w:t>
            </w:r>
          </w:p>
        </w:tc>
        <w:tc>
          <w:tcPr>
            <w:tcW w:w="506" w:type="dxa"/>
            <w:tcBorders>
              <w:top w:val="single" w:sz="4" w:space="0" w:color="000000"/>
              <w:left w:val="single" w:sz="4" w:space="0" w:color="000000"/>
              <w:bottom w:val="single" w:sz="4" w:space="0" w:color="000000"/>
              <w:right w:val="single" w:sz="4" w:space="0" w:color="000000"/>
            </w:tcBorders>
          </w:tcPr>
          <w:p w14:paraId="65771481" w14:textId="77777777" w:rsidR="00670E07" w:rsidRPr="005E111C" w:rsidRDefault="00670E07" w:rsidP="001B69F2">
            <w:pPr>
              <w:spacing w:line="259" w:lineRule="auto"/>
              <w:ind w:right="91"/>
              <w:jc w:val="right"/>
              <w:rPr>
                <w:rFonts w:ascii="Abadi" w:hAnsi="Abadi"/>
                <w:sz w:val="21"/>
                <w:szCs w:val="21"/>
              </w:rPr>
            </w:pPr>
            <w:r w:rsidRPr="005E111C">
              <w:rPr>
                <w:rFonts w:ascii="Abadi" w:hAnsi="Abadi"/>
                <w:sz w:val="21"/>
                <w:szCs w:val="21"/>
              </w:rPr>
              <w:t xml:space="preserve">23 de abril de 2021 </w:t>
            </w:r>
          </w:p>
        </w:tc>
      </w:tr>
      <w:tr w:rsidR="00670E07" w:rsidRPr="005E111C" w14:paraId="3C557D4D"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40648D3B"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Veracruz  </w:t>
            </w:r>
          </w:p>
        </w:tc>
        <w:tc>
          <w:tcPr>
            <w:tcW w:w="1080" w:type="dxa"/>
            <w:tcBorders>
              <w:top w:val="single" w:sz="4" w:space="0" w:color="000000"/>
              <w:left w:val="single" w:sz="4" w:space="0" w:color="000000"/>
              <w:bottom w:val="single" w:sz="4" w:space="0" w:color="000000"/>
              <w:right w:val="single" w:sz="4" w:space="0" w:color="000000"/>
            </w:tcBorders>
          </w:tcPr>
          <w:p w14:paraId="6C8AE686"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Tránsito y Seguridad Vial para el Estado de Veracruz de Ignacio de la Llave </w:t>
            </w:r>
          </w:p>
        </w:tc>
        <w:tc>
          <w:tcPr>
            <w:tcW w:w="506" w:type="dxa"/>
            <w:tcBorders>
              <w:top w:val="single" w:sz="4" w:space="0" w:color="000000"/>
              <w:left w:val="single" w:sz="4" w:space="0" w:color="000000"/>
              <w:bottom w:val="single" w:sz="4" w:space="0" w:color="000000"/>
              <w:right w:val="single" w:sz="4" w:space="0" w:color="000000"/>
            </w:tcBorders>
          </w:tcPr>
          <w:p w14:paraId="27BA9792"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22 de marzo de 2021 </w:t>
            </w:r>
          </w:p>
        </w:tc>
      </w:tr>
      <w:tr w:rsidR="00670E07" w:rsidRPr="005E111C" w14:paraId="180D415D" w14:textId="77777777" w:rsidTr="000B631A">
        <w:trPr>
          <w:trHeight w:val="421"/>
        </w:trPr>
        <w:tc>
          <w:tcPr>
            <w:tcW w:w="476" w:type="dxa"/>
            <w:tcBorders>
              <w:top w:val="single" w:sz="4" w:space="0" w:color="000000"/>
              <w:left w:val="single" w:sz="4" w:space="0" w:color="000000"/>
              <w:bottom w:val="single" w:sz="4" w:space="0" w:color="000000"/>
              <w:right w:val="single" w:sz="4" w:space="0" w:color="000000"/>
            </w:tcBorders>
          </w:tcPr>
          <w:p w14:paraId="36B4D4D4"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Yucatán  </w:t>
            </w:r>
          </w:p>
        </w:tc>
        <w:tc>
          <w:tcPr>
            <w:tcW w:w="1080" w:type="dxa"/>
            <w:tcBorders>
              <w:top w:val="single" w:sz="4" w:space="0" w:color="000000"/>
              <w:left w:val="single" w:sz="4" w:space="0" w:color="000000"/>
              <w:bottom w:val="single" w:sz="4" w:space="0" w:color="000000"/>
              <w:right w:val="single" w:sz="4" w:space="0" w:color="000000"/>
            </w:tcBorders>
          </w:tcPr>
          <w:p w14:paraId="5255AB65"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Movilidad y Seguridad Vial del Estado de Yucatán </w:t>
            </w:r>
          </w:p>
        </w:tc>
        <w:tc>
          <w:tcPr>
            <w:tcW w:w="506" w:type="dxa"/>
            <w:tcBorders>
              <w:top w:val="single" w:sz="4" w:space="0" w:color="000000"/>
              <w:left w:val="single" w:sz="4" w:space="0" w:color="000000"/>
              <w:bottom w:val="single" w:sz="4" w:space="0" w:color="000000"/>
              <w:right w:val="single" w:sz="4" w:space="0" w:color="000000"/>
            </w:tcBorders>
          </w:tcPr>
          <w:p w14:paraId="3B9D2E7D" w14:textId="77777777" w:rsidR="00670E07" w:rsidRPr="005E111C" w:rsidRDefault="00670E07" w:rsidP="001B69F2">
            <w:pPr>
              <w:spacing w:line="259" w:lineRule="auto"/>
              <w:ind w:right="93"/>
              <w:jc w:val="right"/>
              <w:rPr>
                <w:rFonts w:ascii="Abadi" w:hAnsi="Abadi"/>
                <w:sz w:val="21"/>
                <w:szCs w:val="21"/>
              </w:rPr>
            </w:pPr>
            <w:r w:rsidRPr="005E111C">
              <w:rPr>
                <w:rFonts w:ascii="Abadi" w:hAnsi="Abadi"/>
                <w:sz w:val="21"/>
                <w:szCs w:val="21"/>
              </w:rPr>
              <w:t xml:space="preserve">12 de septiembre de 2022 </w:t>
            </w:r>
          </w:p>
        </w:tc>
      </w:tr>
      <w:tr w:rsidR="00670E07" w:rsidRPr="005E111C" w14:paraId="75B31F9A" w14:textId="77777777" w:rsidTr="000B631A">
        <w:trPr>
          <w:trHeight w:val="670"/>
        </w:trPr>
        <w:tc>
          <w:tcPr>
            <w:tcW w:w="476" w:type="dxa"/>
            <w:tcBorders>
              <w:top w:val="single" w:sz="4" w:space="0" w:color="000000"/>
              <w:left w:val="single" w:sz="4" w:space="0" w:color="000000"/>
              <w:bottom w:val="single" w:sz="4" w:space="0" w:color="000000"/>
              <w:right w:val="single" w:sz="4" w:space="0" w:color="000000"/>
            </w:tcBorders>
          </w:tcPr>
          <w:p w14:paraId="4F9138FE"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Zacatecas  </w:t>
            </w:r>
          </w:p>
        </w:tc>
        <w:tc>
          <w:tcPr>
            <w:tcW w:w="1080" w:type="dxa"/>
            <w:tcBorders>
              <w:top w:val="single" w:sz="4" w:space="0" w:color="000000"/>
              <w:left w:val="single" w:sz="4" w:space="0" w:color="000000"/>
              <w:bottom w:val="single" w:sz="4" w:space="0" w:color="000000"/>
              <w:right w:val="single" w:sz="4" w:space="0" w:color="000000"/>
            </w:tcBorders>
          </w:tcPr>
          <w:p w14:paraId="1144488F"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Ley de Transporte, Tránsito y Vialidad del Estado de </w:t>
            </w:r>
          </w:p>
          <w:p w14:paraId="03A05917" w14:textId="77777777" w:rsidR="00670E07" w:rsidRPr="005E111C" w:rsidRDefault="00670E07" w:rsidP="001B69F2">
            <w:pPr>
              <w:spacing w:line="259" w:lineRule="auto"/>
              <w:rPr>
                <w:rFonts w:ascii="Abadi" w:hAnsi="Abadi"/>
                <w:sz w:val="21"/>
                <w:szCs w:val="21"/>
              </w:rPr>
            </w:pPr>
            <w:r w:rsidRPr="005E111C">
              <w:rPr>
                <w:rFonts w:ascii="Abadi" w:hAnsi="Abadi"/>
                <w:sz w:val="21"/>
                <w:szCs w:val="21"/>
              </w:rPr>
              <w:t xml:space="preserve">Zacatecas </w:t>
            </w:r>
          </w:p>
        </w:tc>
        <w:tc>
          <w:tcPr>
            <w:tcW w:w="506" w:type="dxa"/>
            <w:tcBorders>
              <w:top w:val="single" w:sz="4" w:space="0" w:color="000000"/>
              <w:left w:val="single" w:sz="4" w:space="0" w:color="000000"/>
              <w:bottom w:val="single" w:sz="4" w:space="0" w:color="000000"/>
              <w:right w:val="single" w:sz="4" w:space="0" w:color="000000"/>
            </w:tcBorders>
          </w:tcPr>
          <w:p w14:paraId="3986713E" w14:textId="77777777" w:rsidR="00670E07" w:rsidRPr="005E111C" w:rsidRDefault="00670E07" w:rsidP="001B69F2">
            <w:pPr>
              <w:spacing w:line="259" w:lineRule="auto"/>
              <w:ind w:right="92"/>
              <w:jc w:val="right"/>
              <w:rPr>
                <w:rFonts w:ascii="Abadi" w:hAnsi="Abadi"/>
                <w:sz w:val="21"/>
                <w:szCs w:val="21"/>
              </w:rPr>
            </w:pPr>
            <w:r w:rsidRPr="005E111C">
              <w:rPr>
                <w:rFonts w:ascii="Abadi" w:hAnsi="Abadi"/>
                <w:sz w:val="21"/>
                <w:szCs w:val="21"/>
              </w:rPr>
              <w:t xml:space="preserve">23 de noviembre de 2019  </w:t>
            </w:r>
          </w:p>
        </w:tc>
      </w:tr>
    </w:tbl>
    <w:p w14:paraId="7C6AFA5A" w14:textId="77777777" w:rsidR="00136192" w:rsidRDefault="00136192" w:rsidP="00670E07">
      <w:pPr>
        <w:spacing w:after="235" w:line="262" w:lineRule="auto"/>
        <w:ind w:left="199" w:right="220"/>
        <w:jc w:val="center"/>
        <w:rPr>
          <w:rFonts w:ascii="Abadi" w:hAnsi="Abadi" w:cs="Arial"/>
          <w:b/>
          <w:i/>
          <w:sz w:val="21"/>
          <w:szCs w:val="21"/>
        </w:rPr>
      </w:pPr>
    </w:p>
    <w:p w14:paraId="73D04D1B" w14:textId="7A1E6DE6" w:rsidR="00670E07" w:rsidRPr="005E111C" w:rsidRDefault="00670E07" w:rsidP="00670E07">
      <w:pPr>
        <w:spacing w:after="235" w:line="262" w:lineRule="auto"/>
        <w:ind w:left="199" w:right="220"/>
        <w:jc w:val="center"/>
        <w:rPr>
          <w:rFonts w:ascii="Abadi" w:hAnsi="Abadi"/>
          <w:sz w:val="21"/>
          <w:szCs w:val="21"/>
        </w:rPr>
      </w:pPr>
      <w:r w:rsidRPr="005E111C">
        <w:rPr>
          <w:rFonts w:ascii="Abadi" w:hAnsi="Abadi" w:cs="Arial"/>
          <w:b/>
          <w:i/>
          <w:sz w:val="21"/>
          <w:szCs w:val="21"/>
        </w:rPr>
        <w:t>Fuente:</w:t>
      </w:r>
      <w:r w:rsidRPr="005E111C">
        <w:rPr>
          <w:rFonts w:ascii="Abadi" w:hAnsi="Abadi"/>
          <w:sz w:val="21"/>
          <w:szCs w:val="21"/>
        </w:rPr>
        <w:t xml:space="preserve"> Elaboración propia con datos recolectados de las respectivas Leyes Estatales en materia de Movilidad y Seguridad Vial.</w:t>
      </w:r>
      <w:r w:rsidRPr="005E111C">
        <w:rPr>
          <w:rFonts w:ascii="Abadi" w:hAnsi="Abadi" w:cs="Arial"/>
          <w:sz w:val="21"/>
          <w:szCs w:val="21"/>
        </w:rPr>
        <w:t xml:space="preserve"> </w:t>
      </w:r>
    </w:p>
    <w:p w14:paraId="192AEFE2" w14:textId="77777777" w:rsidR="00670E07" w:rsidRDefault="00670E07" w:rsidP="00670E07">
      <w:pPr>
        <w:ind w:left="-5" w:right="49"/>
        <w:jc w:val="both"/>
        <w:rPr>
          <w:rFonts w:ascii="Abadi" w:hAnsi="Abadi" w:cs="Arial"/>
          <w:sz w:val="21"/>
          <w:szCs w:val="21"/>
        </w:rPr>
      </w:pPr>
      <w:r w:rsidRPr="005E111C">
        <w:rPr>
          <w:rFonts w:ascii="Abadi" w:hAnsi="Abadi"/>
          <w:sz w:val="21"/>
          <w:szCs w:val="21"/>
        </w:rPr>
        <w:t xml:space="preserve">Reconociendo esta complejidad legislativa, la </w:t>
      </w:r>
      <w:r w:rsidRPr="005E111C">
        <w:rPr>
          <w:rFonts w:ascii="Abadi" w:hAnsi="Abadi" w:cs="Arial"/>
          <w:b/>
          <w:i/>
          <w:sz w:val="21"/>
          <w:szCs w:val="21"/>
        </w:rPr>
        <w:t>Coalición Movilidad Segura</w:t>
      </w:r>
      <w:r w:rsidRPr="005E111C">
        <w:rPr>
          <w:rFonts w:ascii="Abadi" w:hAnsi="Abadi"/>
          <w:sz w:val="21"/>
          <w:szCs w:val="21"/>
        </w:rPr>
        <w:t xml:space="preserve">, integrada por diversas organizaciones de la sociedad civil, personas, especialistas y profesionales de la movilidad y seguridad vial, emitió el documento titulado </w:t>
      </w:r>
      <w:r w:rsidRPr="005E111C">
        <w:rPr>
          <w:rFonts w:ascii="Abadi" w:hAnsi="Abadi" w:cs="Arial"/>
          <w:i/>
          <w:sz w:val="21"/>
          <w:szCs w:val="21"/>
        </w:rPr>
        <w:t>Código Abierto para Leyes Estatales de Movilidad y Seguridad Vial. Elementos para una elaboración colaborativa</w:t>
      </w:r>
      <w:r w:rsidRPr="005E111C">
        <w:rPr>
          <w:rFonts w:ascii="Abadi" w:hAnsi="Abadi" w:cs="Arial"/>
          <w:sz w:val="21"/>
          <w:szCs w:val="21"/>
          <w:vertAlign w:val="superscript"/>
        </w:rPr>
        <w:footnoteReference w:id="39"/>
      </w:r>
      <w:r w:rsidRPr="005E111C">
        <w:rPr>
          <w:rFonts w:ascii="Abadi" w:hAnsi="Abadi"/>
          <w:sz w:val="21"/>
          <w:szCs w:val="21"/>
        </w:rPr>
        <w:t xml:space="preserve">. </w:t>
      </w:r>
      <w:r w:rsidRPr="005E111C">
        <w:rPr>
          <w:rFonts w:ascii="Abadi" w:hAnsi="Abadi" w:cs="Arial"/>
          <w:sz w:val="21"/>
          <w:szCs w:val="21"/>
        </w:rPr>
        <w:t xml:space="preserve"> </w:t>
      </w:r>
    </w:p>
    <w:p w14:paraId="729FBA59" w14:textId="77777777" w:rsidR="00D34453" w:rsidRPr="005E111C" w:rsidRDefault="00D34453" w:rsidP="00670E07">
      <w:pPr>
        <w:ind w:left="-5" w:right="49"/>
        <w:jc w:val="both"/>
        <w:rPr>
          <w:rFonts w:ascii="Abadi" w:hAnsi="Abadi"/>
          <w:sz w:val="21"/>
          <w:szCs w:val="21"/>
        </w:rPr>
      </w:pPr>
    </w:p>
    <w:p w14:paraId="0D208DBB" w14:textId="77777777" w:rsidR="00D34453" w:rsidRDefault="00670E07" w:rsidP="00670E07">
      <w:pPr>
        <w:ind w:left="-5" w:right="49"/>
        <w:jc w:val="both"/>
        <w:rPr>
          <w:rFonts w:ascii="Abadi" w:hAnsi="Abadi"/>
          <w:sz w:val="21"/>
          <w:szCs w:val="21"/>
        </w:rPr>
      </w:pPr>
      <w:r w:rsidRPr="005E111C">
        <w:rPr>
          <w:rFonts w:ascii="Abadi" w:hAnsi="Abadi"/>
          <w:sz w:val="21"/>
          <w:szCs w:val="21"/>
        </w:rPr>
        <w:t xml:space="preserve">El documento tiene como premisa fundamental que el trabajo colaborativo es un ejercicio democrático que posibilita la construcción de mejores productos legislativos en beneficio de la ciudadanía. En este sentido, es que esta iniciativa pretende expandir el diálogo y el debate público inaugurado con el esfuerzo legislativo del Grupo Parlamentario del Partido Acción </w:t>
      </w:r>
      <w:r w:rsidRPr="005E111C">
        <w:rPr>
          <w:rFonts w:ascii="Abadi" w:hAnsi="Abadi"/>
          <w:sz w:val="21"/>
          <w:szCs w:val="21"/>
        </w:rPr>
        <w:lastRenderedPageBreak/>
        <w:t>Nacional</w:t>
      </w:r>
      <w:r w:rsidRPr="005E111C">
        <w:rPr>
          <w:rFonts w:ascii="Abadi" w:hAnsi="Abadi" w:cs="Arial"/>
          <w:sz w:val="21"/>
          <w:szCs w:val="21"/>
          <w:vertAlign w:val="superscript"/>
        </w:rPr>
        <w:footnoteReference w:id="40"/>
      </w:r>
      <w:r w:rsidRPr="005E111C">
        <w:rPr>
          <w:rFonts w:ascii="Abadi" w:hAnsi="Abadi"/>
          <w:sz w:val="21"/>
          <w:szCs w:val="21"/>
        </w:rPr>
        <w:t xml:space="preserve">, al presentar en tribuna el día 25 de mayo una iniciativa en la materia. Se trata de sumar esfuerzos, de incluir a la ciudadanía, expertos, especialistas, académicos, profesionales y operadores jurídicos de las normas involucradas. </w:t>
      </w:r>
    </w:p>
    <w:p w14:paraId="1F417A4F" w14:textId="74BCE16A" w:rsidR="00670E07" w:rsidRPr="005E111C" w:rsidRDefault="00670E07" w:rsidP="00670E07">
      <w:pPr>
        <w:ind w:left="-5" w:right="49"/>
        <w:jc w:val="both"/>
        <w:rPr>
          <w:rFonts w:ascii="Abadi" w:hAnsi="Abadi"/>
          <w:sz w:val="21"/>
          <w:szCs w:val="21"/>
        </w:rPr>
      </w:pPr>
      <w:r w:rsidRPr="005E111C">
        <w:rPr>
          <w:rFonts w:ascii="Abadi" w:hAnsi="Abadi" w:cs="Arial"/>
          <w:sz w:val="21"/>
          <w:szCs w:val="21"/>
        </w:rPr>
        <w:t xml:space="preserve"> </w:t>
      </w:r>
    </w:p>
    <w:p w14:paraId="2DFDEDEF" w14:textId="77777777" w:rsidR="00670E07" w:rsidRDefault="00670E07" w:rsidP="00670E07">
      <w:pPr>
        <w:ind w:left="-5" w:right="49"/>
        <w:jc w:val="both"/>
        <w:rPr>
          <w:rFonts w:ascii="Abadi" w:hAnsi="Abadi" w:cs="Arial"/>
          <w:sz w:val="21"/>
          <w:szCs w:val="21"/>
        </w:rPr>
      </w:pPr>
      <w:r w:rsidRPr="005E111C">
        <w:rPr>
          <w:rFonts w:ascii="Abadi" w:hAnsi="Abadi"/>
          <w:sz w:val="21"/>
          <w:szCs w:val="21"/>
        </w:rPr>
        <w:t xml:space="preserve">Las diputadas que suscribimos, integrantes de la Bancada Feminista, concebimos a la movilidad humana como un fenómeno complejo y diverso, que es un instrumento esencial para el libre desarrollo de las personas (en su dimensión individual y colectiva), el cuidado ambiental y los aspectos económicos. Los esfuerzos deben estar orientados hacia la construcción de condiciones de movilidad que no reproduzcan las desigualdades de género, clase, raza o edad. Al contrario, que la movilidad sea un factor que impulse la igualdad de oportunidades considerando la perspectiva de género como herramienta indispensable de las políticas públicas del siglo XXI. </w:t>
      </w:r>
      <w:r w:rsidRPr="005E111C">
        <w:rPr>
          <w:rFonts w:ascii="Abadi" w:hAnsi="Abadi" w:cs="Arial"/>
          <w:sz w:val="21"/>
          <w:szCs w:val="21"/>
        </w:rPr>
        <w:t xml:space="preserve"> </w:t>
      </w:r>
    </w:p>
    <w:p w14:paraId="5C469EDB" w14:textId="77777777" w:rsidR="00D34453" w:rsidRPr="005E111C" w:rsidRDefault="00D34453" w:rsidP="00670E07">
      <w:pPr>
        <w:ind w:left="-5" w:right="49"/>
        <w:jc w:val="both"/>
        <w:rPr>
          <w:rFonts w:ascii="Abadi" w:hAnsi="Abadi"/>
          <w:sz w:val="21"/>
          <w:szCs w:val="21"/>
        </w:rPr>
      </w:pPr>
    </w:p>
    <w:p w14:paraId="019DBD60" w14:textId="77777777" w:rsidR="00670E07" w:rsidRDefault="00670E07" w:rsidP="00670E07">
      <w:pPr>
        <w:ind w:left="-5" w:right="49"/>
        <w:jc w:val="both"/>
        <w:rPr>
          <w:rFonts w:ascii="Abadi" w:hAnsi="Abadi" w:cs="Arial"/>
          <w:sz w:val="21"/>
          <w:szCs w:val="21"/>
        </w:rPr>
      </w:pPr>
      <w:r w:rsidRPr="005E111C">
        <w:rPr>
          <w:rFonts w:ascii="Abadi" w:hAnsi="Abadi" w:cs="Arial"/>
          <w:b/>
          <w:sz w:val="21"/>
          <w:szCs w:val="21"/>
        </w:rPr>
        <w:t>Perspectiva de género y la movilidad.</w:t>
      </w:r>
      <w:r w:rsidRPr="005E111C">
        <w:rPr>
          <w:rFonts w:ascii="Abadi" w:hAnsi="Abadi"/>
          <w:sz w:val="21"/>
          <w:szCs w:val="21"/>
        </w:rPr>
        <w:t xml:space="preserve"> La Comisión Económica para América Latina (CEPAL) ha planteado la necesidad de que los Estados promuevan tres autonomías de género: la autonomía física, la autonomía económica y la autonomía en la toma de decisiones</w:t>
      </w:r>
      <w:r w:rsidRPr="005E111C">
        <w:rPr>
          <w:rFonts w:ascii="Abadi" w:hAnsi="Abadi" w:cs="Arial"/>
          <w:sz w:val="21"/>
          <w:szCs w:val="21"/>
          <w:vertAlign w:val="superscript"/>
        </w:rPr>
        <w:footnoteReference w:id="41"/>
      </w:r>
      <w:r w:rsidRPr="005E111C">
        <w:rPr>
          <w:rFonts w:ascii="Abadi" w:hAnsi="Abadi"/>
          <w:sz w:val="21"/>
          <w:szCs w:val="21"/>
        </w:rPr>
        <w:t xml:space="preserve">. Esas tres autonomías constituyen las condiciones concretas para que las mujeres puedan decidir libremente sobre su vocación y trayectoria de vida. </w:t>
      </w:r>
      <w:r w:rsidRPr="005E111C">
        <w:rPr>
          <w:rFonts w:ascii="Abadi" w:hAnsi="Abadi" w:cs="Arial"/>
          <w:sz w:val="21"/>
          <w:szCs w:val="21"/>
        </w:rPr>
        <w:t xml:space="preserve"> </w:t>
      </w:r>
    </w:p>
    <w:p w14:paraId="267B53EE" w14:textId="77777777" w:rsidR="00D34453" w:rsidRPr="005E111C" w:rsidRDefault="00D34453" w:rsidP="00670E07">
      <w:pPr>
        <w:ind w:left="-5" w:right="49"/>
        <w:jc w:val="both"/>
        <w:rPr>
          <w:rFonts w:ascii="Abadi" w:hAnsi="Abadi"/>
          <w:sz w:val="21"/>
          <w:szCs w:val="21"/>
        </w:rPr>
      </w:pPr>
    </w:p>
    <w:p w14:paraId="1B76AD4C" w14:textId="77777777" w:rsidR="00670E07" w:rsidRDefault="00670E07" w:rsidP="00670E07">
      <w:pPr>
        <w:ind w:left="-5" w:right="49"/>
        <w:jc w:val="both"/>
        <w:rPr>
          <w:rFonts w:ascii="Abadi" w:hAnsi="Abadi" w:cs="Arial"/>
          <w:sz w:val="21"/>
          <w:szCs w:val="21"/>
        </w:rPr>
      </w:pPr>
      <w:r w:rsidRPr="005E111C">
        <w:rPr>
          <w:rFonts w:ascii="Abadi" w:hAnsi="Abadi"/>
          <w:sz w:val="21"/>
          <w:szCs w:val="21"/>
        </w:rPr>
        <w:t xml:space="preserve">En este sentido, la movilidad analizada desde una perspectiva de género debe implicar un escrutinio sobre cómo los roles de género influyen en la forma en la que las mujeres se desplazan. También, implica analizar cómo el género y su intersección con otras características (edad, origen, nivel de ingresos, capacidades, unidad de convivencia, etc.) condiciona las opciones que se tienen para realizar desplazamientos. </w:t>
      </w:r>
      <w:r w:rsidRPr="005E111C">
        <w:rPr>
          <w:rFonts w:ascii="Abadi" w:hAnsi="Abadi" w:cs="Arial"/>
          <w:sz w:val="21"/>
          <w:szCs w:val="21"/>
        </w:rPr>
        <w:t xml:space="preserve"> </w:t>
      </w:r>
    </w:p>
    <w:p w14:paraId="0F24EAE3" w14:textId="77777777" w:rsidR="00D34453" w:rsidRPr="005E111C" w:rsidRDefault="00D34453" w:rsidP="00670E07">
      <w:pPr>
        <w:ind w:left="-5" w:right="49"/>
        <w:jc w:val="both"/>
        <w:rPr>
          <w:rFonts w:ascii="Abadi" w:hAnsi="Abadi" w:cs="Arial"/>
          <w:sz w:val="21"/>
          <w:szCs w:val="21"/>
        </w:rPr>
      </w:pPr>
    </w:p>
    <w:p w14:paraId="32E2F089" w14:textId="77777777" w:rsidR="00670E07" w:rsidRPr="005E111C" w:rsidRDefault="00670E07" w:rsidP="00670E07">
      <w:pPr>
        <w:spacing w:after="14"/>
        <w:ind w:left="-5" w:right="49"/>
        <w:jc w:val="both"/>
        <w:rPr>
          <w:rFonts w:ascii="Abadi" w:hAnsi="Abadi"/>
          <w:sz w:val="21"/>
          <w:szCs w:val="21"/>
        </w:rPr>
      </w:pPr>
      <w:r w:rsidRPr="005E111C">
        <w:rPr>
          <w:rFonts w:ascii="Abadi" w:hAnsi="Abadi"/>
          <w:sz w:val="21"/>
          <w:szCs w:val="21"/>
        </w:rPr>
        <w:t xml:space="preserve">Por lo tanto, la perspectiva de género en cuanto herramienta científica debe permitir que las políticas públicas en movilidad </w:t>
      </w:r>
      <w:r w:rsidRPr="005E111C">
        <w:rPr>
          <w:rFonts w:ascii="Abadi" w:hAnsi="Abadi"/>
          <w:sz w:val="21"/>
          <w:szCs w:val="21"/>
        </w:rPr>
        <w:t xml:space="preserve">garanticen la visión completa e integral de la movilidad cotidiana; se ensanche el concepto de seguridad en la movilidad de las mujeres evitando, atendiendo y erradicando las violencias y percepciones </w:t>
      </w:r>
    </w:p>
    <w:p w14:paraId="47329864" w14:textId="77777777" w:rsidR="00670E07" w:rsidRPr="005E111C" w:rsidRDefault="00670E07" w:rsidP="00670E07">
      <w:pPr>
        <w:spacing w:line="259" w:lineRule="auto"/>
        <w:jc w:val="both"/>
        <w:rPr>
          <w:rFonts w:ascii="Abadi" w:hAnsi="Abadi"/>
          <w:sz w:val="21"/>
          <w:szCs w:val="21"/>
        </w:rPr>
      </w:pPr>
      <w:r w:rsidRPr="005E111C">
        <w:rPr>
          <w:rFonts w:ascii="Abadi" w:eastAsia="Calibri" w:hAnsi="Abadi" w:cs="Calibri"/>
          <w:sz w:val="21"/>
          <w:szCs w:val="21"/>
        </w:rPr>
        <w:t xml:space="preserve"> </w:t>
      </w:r>
    </w:p>
    <w:p w14:paraId="7B0D03A3" w14:textId="77777777" w:rsidR="00670E07" w:rsidRPr="005E111C" w:rsidRDefault="00670E07" w:rsidP="00670E07">
      <w:pPr>
        <w:ind w:left="-5" w:right="49"/>
        <w:jc w:val="both"/>
        <w:rPr>
          <w:rFonts w:ascii="Abadi" w:hAnsi="Abadi"/>
          <w:sz w:val="21"/>
          <w:szCs w:val="21"/>
        </w:rPr>
      </w:pPr>
      <w:r w:rsidRPr="005E111C">
        <w:rPr>
          <w:rFonts w:ascii="Abadi" w:hAnsi="Abadi"/>
          <w:sz w:val="21"/>
          <w:szCs w:val="21"/>
        </w:rPr>
        <w:t>de seguridad diferenciadas; y se avance hacia la igualdad a través de la planificación, diseño y gestión de la movilidad.</w:t>
      </w:r>
      <w:r w:rsidRPr="005E111C">
        <w:rPr>
          <w:rFonts w:ascii="Abadi" w:hAnsi="Abadi" w:cs="Arial"/>
          <w:sz w:val="21"/>
          <w:szCs w:val="21"/>
        </w:rPr>
        <w:t xml:space="preserve"> </w:t>
      </w:r>
    </w:p>
    <w:p w14:paraId="70A43210" w14:textId="77777777" w:rsidR="00D34453" w:rsidRDefault="00670E07" w:rsidP="00670E07">
      <w:pPr>
        <w:ind w:left="-5" w:right="49"/>
        <w:jc w:val="both"/>
        <w:rPr>
          <w:rFonts w:ascii="Abadi" w:hAnsi="Abadi"/>
          <w:sz w:val="21"/>
          <w:szCs w:val="21"/>
        </w:rPr>
      </w:pPr>
      <w:r w:rsidRPr="005E111C">
        <w:rPr>
          <w:rFonts w:ascii="Abadi" w:hAnsi="Abadi" w:cs="Arial"/>
          <w:b/>
          <w:sz w:val="21"/>
          <w:szCs w:val="21"/>
        </w:rPr>
        <w:t>Movilidad cotidiana.</w:t>
      </w:r>
      <w:r w:rsidRPr="005E111C">
        <w:rPr>
          <w:rFonts w:ascii="Abadi" w:hAnsi="Abadi"/>
          <w:sz w:val="21"/>
          <w:szCs w:val="21"/>
        </w:rPr>
        <w:t xml:space="preserve"> La planificación de la movilidad en América Latina se ha realizado priorizando un modelo de masculinidad hegemónica y de desplazamientos lineales por motivos laborales y utilizando vehículos de automotor. </w:t>
      </w:r>
    </w:p>
    <w:p w14:paraId="3D517B80" w14:textId="372DBC79" w:rsidR="00670E07" w:rsidRPr="005E111C" w:rsidRDefault="00670E07" w:rsidP="00670E07">
      <w:pPr>
        <w:ind w:left="-5" w:right="49"/>
        <w:jc w:val="both"/>
        <w:rPr>
          <w:rFonts w:ascii="Abadi" w:hAnsi="Abadi"/>
          <w:sz w:val="21"/>
          <w:szCs w:val="21"/>
        </w:rPr>
      </w:pPr>
      <w:r w:rsidRPr="005E111C">
        <w:rPr>
          <w:rFonts w:ascii="Abadi" w:hAnsi="Abadi" w:cs="Arial"/>
          <w:sz w:val="21"/>
          <w:szCs w:val="21"/>
        </w:rPr>
        <w:t xml:space="preserve"> </w:t>
      </w:r>
    </w:p>
    <w:p w14:paraId="79FBBDEE" w14:textId="77777777" w:rsidR="00670E07" w:rsidRDefault="00670E07" w:rsidP="00670E07">
      <w:pPr>
        <w:ind w:left="-5" w:right="49"/>
        <w:jc w:val="both"/>
        <w:rPr>
          <w:rFonts w:ascii="Abadi" w:hAnsi="Abadi" w:cs="Arial"/>
          <w:sz w:val="21"/>
          <w:szCs w:val="21"/>
        </w:rPr>
      </w:pPr>
      <w:r w:rsidRPr="005E111C">
        <w:rPr>
          <w:rFonts w:ascii="Abadi" w:hAnsi="Abadi"/>
          <w:sz w:val="21"/>
          <w:szCs w:val="21"/>
        </w:rPr>
        <w:t>La perspectiva de género interseccional en la movilidad implica tener una visión diferente de los desplazamientos de las personas, pues estos no son unidireccionales ni individuales, sino que son prácticas que reflejan la complejidad de la vida cotidiana y, por lo tanto, en los ámbitos productivos, reproductivos, comunitarios, recreativos, atravesados además por componentes culturales específicos de cada lugar. Esta nueva visión implica priorizar la vida cotidiana de las personas como núcleo de las decisiones en materia de política pública de movilidad. Las mujeres se desplazan de manera diferenciada que los hombres:</w:t>
      </w:r>
      <w:r w:rsidRPr="005E111C">
        <w:rPr>
          <w:rFonts w:ascii="Abadi" w:hAnsi="Abadi" w:cs="Arial"/>
          <w:sz w:val="21"/>
          <w:szCs w:val="21"/>
        </w:rPr>
        <w:t xml:space="preserve"> </w:t>
      </w:r>
    </w:p>
    <w:p w14:paraId="28D96613" w14:textId="77777777" w:rsidR="00D34453" w:rsidRPr="005E111C" w:rsidRDefault="00D34453" w:rsidP="00670E07">
      <w:pPr>
        <w:ind w:left="-5" w:right="49"/>
        <w:jc w:val="both"/>
        <w:rPr>
          <w:rFonts w:ascii="Abadi" w:hAnsi="Abadi"/>
          <w:sz w:val="21"/>
          <w:szCs w:val="21"/>
        </w:rPr>
      </w:pPr>
    </w:p>
    <w:p w14:paraId="49B24AE5" w14:textId="77777777" w:rsidR="00670E07" w:rsidRPr="005E111C" w:rsidRDefault="00670E07" w:rsidP="00670E07">
      <w:pPr>
        <w:spacing w:after="182" w:line="256" w:lineRule="auto"/>
        <w:ind w:left="703" w:right="40"/>
        <w:jc w:val="both"/>
        <w:rPr>
          <w:rFonts w:ascii="Abadi" w:hAnsi="Abadi"/>
          <w:sz w:val="21"/>
          <w:szCs w:val="21"/>
        </w:rPr>
      </w:pPr>
      <w:r w:rsidRPr="005E111C">
        <w:rPr>
          <w:rFonts w:ascii="Abadi" w:hAnsi="Abadi"/>
          <w:sz w:val="21"/>
          <w:szCs w:val="21"/>
        </w:rPr>
        <w:t xml:space="preserve">[Las mujeres] tienen una movilidad más compleja y diversa porque hacen más desplazamientos al día que los hombres debido a su doble y triple jornada de trabajo remunerado, trabajo doméstico y de gestión del hogar y las relaciones afectivas y comunitarias. Sus desplazamientos son poligonales y se producen por mayor número de motivos, encadenando diferentes actividades y trayectos. A su vez, las mujeres recorren menos distancia en cada viaje y optimizan el tiempo de sus recorridos haciendo viajes más cortos y más próximos. Pero al final del día, </w:t>
      </w:r>
      <w:r w:rsidRPr="005E111C">
        <w:rPr>
          <w:rFonts w:ascii="Abadi" w:hAnsi="Abadi"/>
          <w:sz w:val="21"/>
          <w:szCs w:val="21"/>
        </w:rPr>
        <w:lastRenderedPageBreak/>
        <w:t>recorren más kilómetros por la cantidad de actividades que entrelazan debido a su doble y triple jornada, e invierten más tiempo en los viajes por la falta de mejores conexiones intermodales vinculadas a la movilidad activa sostenible</w:t>
      </w:r>
      <w:r w:rsidRPr="005E111C">
        <w:rPr>
          <w:rFonts w:ascii="Abadi" w:hAnsi="Abadi" w:cs="Arial"/>
          <w:sz w:val="21"/>
          <w:szCs w:val="21"/>
          <w:vertAlign w:val="superscript"/>
        </w:rPr>
        <w:footnoteReference w:id="42"/>
      </w:r>
      <w:r w:rsidRPr="005E111C">
        <w:rPr>
          <w:rFonts w:ascii="Abadi" w:hAnsi="Abadi"/>
          <w:sz w:val="21"/>
          <w:szCs w:val="21"/>
        </w:rPr>
        <w:t>.</w:t>
      </w:r>
      <w:r w:rsidRPr="005E111C">
        <w:rPr>
          <w:rFonts w:ascii="Abadi" w:hAnsi="Abadi" w:cs="Arial"/>
          <w:sz w:val="21"/>
          <w:szCs w:val="21"/>
        </w:rPr>
        <w:t xml:space="preserve"> </w:t>
      </w:r>
    </w:p>
    <w:p w14:paraId="57F021B6" w14:textId="77777777" w:rsidR="00670E07" w:rsidRPr="005E111C" w:rsidRDefault="00670E07" w:rsidP="00670E07">
      <w:pPr>
        <w:ind w:left="-5" w:right="49"/>
        <w:jc w:val="both"/>
        <w:rPr>
          <w:rFonts w:ascii="Abadi" w:hAnsi="Abadi" w:cs="Arial"/>
          <w:sz w:val="21"/>
          <w:szCs w:val="21"/>
        </w:rPr>
      </w:pPr>
      <w:r w:rsidRPr="005E111C">
        <w:rPr>
          <w:rFonts w:ascii="Abadi" w:hAnsi="Abadi"/>
          <w:sz w:val="21"/>
          <w:szCs w:val="21"/>
        </w:rPr>
        <w:t xml:space="preserve">Para América Latina existe la tendencia de que las mujeres se desplazan mayoritariamente a píe o en transporte público y en mayor proporción que los hombres; también las mujeres reducen su movilidad por las noches en contraste con </w:t>
      </w:r>
      <w:proofErr w:type="spellStart"/>
      <w:r w:rsidRPr="005E111C">
        <w:rPr>
          <w:rFonts w:ascii="Abadi" w:hAnsi="Abadi"/>
          <w:sz w:val="21"/>
          <w:szCs w:val="21"/>
        </w:rPr>
        <w:t>lo</w:t>
      </w:r>
      <w:proofErr w:type="spellEnd"/>
      <w:r w:rsidRPr="005E111C">
        <w:rPr>
          <w:rFonts w:ascii="Abadi" w:hAnsi="Abadi"/>
          <w:sz w:val="21"/>
          <w:szCs w:val="21"/>
        </w:rPr>
        <w:t xml:space="preserve"> hombres, y otro dato más: los hombres son quienes utilizan más vehículos de automotor a pesar de que tienen una carga menor de tareas reproductivas</w:t>
      </w:r>
      <w:r w:rsidRPr="005E111C">
        <w:rPr>
          <w:rFonts w:ascii="Abadi" w:hAnsi="Abadi" w:cs="Arial"/>
          <w:sz w:val="21"/>
          <w:szCs w:val="21"/>
          <w:vertAlign w:val="superscript"/>
        </w:rPr>
        <w:footnoteReference w:id="43"/>
      </w:r>
      <w:r w:rsidRPr="005E111C">
        <w:rPr>
          <w:rFonts w:ascii="Abadi" w:hAnsi="Abadi"/>
          <w:sz w:val="21"/>
          <w:szCs w:val="21"/>
        </w:rPr>
        <w:t xml:space="preserve">. Sin embargo, es imposible conocer estos datos para México o más específico para Guanajuato y sus municipios precisamente porque las políticas públicas en materia de movilidad y seguridad vial no tienen perspectiva de género. </w:t>
      </w:r>
      <w:r w:rsidRPr="005E111C">
        <w:rPr>
          <w:rFonts w:ascii="Abadi" w:hAnsi="Abadi" w:cs="Arial"/>
          <w:sz w:val="21"/>
          <w:szCs w:val="21"/>
        </w:rPr>
        <w:t xml:space="preserve"> </w:t>
      </w:r>
    </w:p>
    <w:p w14:paraId="324A19E3" w14:textId="77777777" w:rsidR="00670E07" w:rsidRPr="005E111C" w:rsidRDefault="00670E07" w:rsidP="00670E07">
      <w:pPr>
        <w:ind w:left="-5" w:right="49"/>
        <w:jc w:val="both"/>
        <w:rPr>
          <w:rFonts w:ascii="Abadi" w:hAnsi="Abadi" w:cs="Arial"/>
          <w:sz w:val="21"/>
          <w:szCs w:val="21"/>
        </w:rPr>
      </w:pPr>
    </w:p>
    <w:p w14:paraId="01DA0798" w14:textId="77777777" w:rsidR="00670E07" w:rsidRPr="005E111C" w:rsidRDefault="00670E07" w:rsidP="00670E07">
      <w:pPr>
        <w:ind w:left="-5" w:right="49"/>
        <w:jc w:val="both"/>
        <w:rPr>
          <w:rFonts w:ascii="Abadi" w:hAnsi="Abadi"/>
          <w:sz w:val="21"/>
          <w:szCs w:val="21"/>
        </w:rPr>
      </w:pPr>
      <w:r w:rsidRPr="005E111C">
        <w:rPr>
          <w:rFonts w:ascii="Abadi" w:hAnsi="Abadi" w:cs="Arial"/>
          <w:b/>
          <w:sz w:val="21"/>
          <w:szCs w:val="21"/>
        </w:rPr>
        <w:t>Concepto de seguridad de la movilidad desde la perspectiva de género</w:t>
      </w:r>
      <w:r w:rsidRPr="005E111C">
        <w:rPr>
          <w:rFonts w:ascii="Abadi" w:hAnsi="Abadi"/>
          <w:sz w:val="21"/>
          <w:szCs w:val="21"/>
        </w:rPr>
        <w:t xml:space="preserve">. En esta dimensión es necesario reconocer que las mujeres enfrentan diversos tipos y ámbitos de violencias y, además, se debe de incorporar las percepciones de seguridad de las personas, las cuales dependen de la identidad de género y orientación sexual. </w:t>
      </w:r>
      <w:r w:rsidRPr="005E111C">
        <w:rPr>
          <w:rFonts w:ascii="Abadi" w:hAnsi="Abadi" w:cs="Arial"/>
          <w:sz w:val="21"/>
          <w:szCs w:val="21"/>
        </w:rPr>
        <w:t xml:space="preserve"> </w:t>
      </w:r>
    </w:p>
    <w:p w14:paraId="2461F8A9" w14:textId="77777777" w:rsidR="00670E07" w:rsidRPr="005E111C" w:rsidRDefault="00670E07" w:rsidP="00670E07">
      <w:pPr>
        <w:spacing w:after="283"/>
        <w:ind w:left="-5" w:right="49"/>
        <w:jc w:val="both"/>
        <w:rPr>
          <w:rFonts w:ascii="Abadi" w:hAnsi="Abadi"/>
          <w:sz w:val="21"/>
          <w:szCs w:val="21"/>
        </w:rPr>
      </w:pPr>
      <w:r w:rsidRPr="005E111C">
        <w:rPr>
          <w:rFonts w:ascii="Abadi" w:hAnsi="Abadi"/>
          <w:sz w:val="21"/>
          <w:szCs w:val="21"/>
        </w:rPr>
        <w:t xml:space="preserve">Adicional a que las personas hayan vivido episodios agresiones o delitos mientras se desplazaban, las percepciones de seguridad condicionan los movimientos de las personas y su accesibilidad a sitios, lo cual limita la movilidad libre y autónoma. Esto afecta de manera diferenciada a las mujeres, puesto que existe un temor al espacio público y desplazarse solas por la noche. Estos temores son alimentados por las experiencias de </w:t>
      </w:r>
      <w:r w:rsidRPr="005E111C">
        <w:rPr>
          <w:rFonts w:ascii="Abadi" w:hAnsi="Abadi"/>
          <w:sz w:val="21"/>
          <w:szCs w:val="21"/>
        </w:rPr>
        <w:t xml:space="preserve">acoso verbal y sexual que viven en la calle las mujeres en su vida cotidiana. </w:t>
      </w:r>
      <w:r w:rsidRPr="005E111C">
        <w:rPr>
          <w:rFonts w:ascii="Abadi" w:hAnsi="Abadi" w:cs="Arial"/>
          <w:sz w:val="21"/>
          <w:szCs w:val="21"/>
        </w:rPr>
        <w:t xml:space="preserve"> </w:t>
      </w:r>
    </w:p>
    <w:p w14:paraId="5D8D25D7" w14:textId="77777777" w:rsidR="00670E07" w:rsidRPr="005E111C" w:rsidRDefault="00670E07" w:rsidP="00670E07">
      <w:pPr>
        <w:ind w:left="-5" w:right="49"/>
        <w:jc w:val="both"/>
        <w:rPr>
          <w:rFonts w:ascii="Abadi" w:hAnsi="Abadi"/>
          <w:sz w:val="21"/>
          <w:szCs w:val="21"/>
        </w:rPr>
      </w:pPr>
      <w:r w:rsidRPr="005E111C">
        <w:rPr>
          <w:rFonts w:ascii="Abadi" w:hAnsi="Abadi"/>
          <w:sz w:val="21"/>
          <w:szCs w:val="21"/>
        </w:rPr>
        <w:t>En la percepción de seguridad de las personas influyen factores sociales, políticos, económicos y culturales, pero la configuración física y social del espacio puede contribuir a mejorarla</w:t>
      </w:r>
      <w:r w:rsidRPr="005E111C">
        <w:rPr>
          <w:rFonts w:ascii="Abadi" w:hAnsi="Abadi" w:cs="Arial"/>
          <w:sz w:val="21"/>
          <w:szCs w:val="21"/>
          <w:vertAlign w:val="superscript"/>
        </w:rPr>
        <w:footnoteReference w:id="44"/>
      </w:r>
      <w:r w:rsidRPr="005E111C">
        <w:rPr>
          <w:rFonts w:ascii="Abadi" w:hAnsi="Abadi"/>
          <w:sz w:val="21"/>
          <w:szCs w:val="21"/>
        </w:rPr>
        <w:t>.</w:t>
      </w:r>
      <w:r w:rsidRPr="005E111C">
        <w:rPr>
          <w:rFonts w:ascii="Abadi" w:hAnsi="Abadi" w:cs="Arial"/>
          <w:sz w:val="21"/>
          <w:szCs w:val="21"/>
        </w:rPr>
        <w:t xml:space="preserve"> </w:t>
      </w:r>
    </w:p>
    <w:p w14:paraId="0AF18DAA" w14:textId="77777777" w:rsidR="00670E07" w:rsidRPr="005E111C" w:rsidRDefault="00670E07" w:rsidP="00670E07">
      <w:pPr>
        <w:ind w:left="-5" w:right="49"/>
        <w:jc w:val="both"/>
        <w:rPr>
          <w:rFonts w:ascii="Abadi" w:hAnsi="Abadi"/>
          <w:sz w:val="21"/>
          <w:szCs w:val="21"/>
        </w:rPr>
      </w:pPr>
      <w:r w:rsidRPr="005E111C">
        <w:rPr>
          <w:rFonts w:ascii="Abadi" w:hAnsi="Abadi"/>
          <w:sz w:val="21"/>
          <w:szCs w:val="21"/>
        </w:rPr>
        <w:t>Las violencias contra las mujeres también acontecen en el transporte público:</w:t>
      </w:r>
      <w:r w:rsidRPr="005E111C">
        <w:rPr>
          <w:rFonts w:ascii="Abadi" w:hAnsi="Abadi" w:cs="Arial"/>
          <w:sz w:val="21"/>
          <w:szCs w:val="21"/>
        </w:rPr>
        <w:t xml:space="preserve"> </w:t>
      </w:r>
    </w:p>
    <w:p w14:paraId="6FD45D17" w14:textId="77777777" w:rsidR="00670E07" w:rsidRPr="005E111C" w:rsidRDefault="00670E07" w:rsidP="00670E07">
      <w:pPr>
        <w:spacing w:after="182" w:line="256" w:lineRule="auto"/>
        <w:ind w:left="703" w:right="40"/>
        <w:jc w:val="both"/>
        <w:rPr>
          <w:rFonts w:ascii="Abadi" w:hAnsi="Abadi"/>
          <w:sz w:val="21"/>
          <w:szCs w:val="21"/>
        </w:rPr>
      </w:pPr>
      <w:r w:rsidRPr="005E111C">
        <w:rPr>
          <w:rFonts w:ascii="Abadi" w:hAnsi="Abadi"/>
          <w:sz w:val="21"/>
          <w:szCs w:val="21"/>
        </w:rPr>
        <w:t>Más del 60% de las mujeres en Quito, Guadalajara, Lima, y Bogotá han vivido algún tipo de acoso o agresión sexual en el transporte público. En Buenos Aires el 72% de las mujeres que residen en el Área Metropolitana de Buenos Aires se sienten inseguras al viajar en transporte público, en comparación al 58% de hombres</w:t>
      </w:r>
      <w:r w:rsidRPr="005E111C">
        <w:rPr>
          <w:rFonts w:ascii="Abadi" w:hAnsi="Abadi" w:cs="Arial"/>
          <w:sz w:val="21"/>
          <w:szCs w:val="21"/>
          <w:vertAlign w:val="superscript"/>
        </w:rPr>
        <w:footnoteReference w:id="45"/>
      </w:r>
      <w:r w:rsidRPr="005E111C">
        <w:rPr>
          <w:rFonts w:ascii="Abadi" w:hAnsi="Abadi"/>
          <w:sz w:val="21"/>
          <w:szCs w:val="21"/>
        </w:rPr>
        <w:t>.</w:t>
      </w:r>
      <w:r w:rsidRPr="005E111C">
        <w:rPr>
          <w:rFonts w:ascii="Abadi" w:hAnsi="Abadi" w:cs="Arial"/>
          <w:sz w:val="21"/>
          <w:szCs w:val="21"/>
        </w:rPr>
        <w:t xml:space="preserve"> </w:t>
      </w:r>
    </w:p>
    <w:p w14:paraId="41042D3F" w14:textId="77777777" w:rsidR="00670E07" w:rsidRPr="005E111C" w:rsidRDefault="00670E07" w:rsidP="00670E07">
      <w:pPr>
        <w:ind w:left="-5" w:right="49"/>
        <w:jc w:val="both"/>
        <w:rPr>
          <w:rFonts w:ascii="Abadi" w:hAnsi="Abadi"/>
          <w:sz w:val="21"/>
          <w:szCs w:val="21"/>
        </w:rPr>
      </w:pPr>
      <w:r w:rsidRPr="005E111C">
        <w:rPr>
          <w:rFonts w:ascii="Abadi" w:hAnsi="Abadi"/>
          <w:sz w:val="21"/>
          <w:szCs w:val="21"/>
        </w:rPr>
        <w:t xml:space="preserve">En Guanajuato hay algunos datos al respecto sin que haya un documento diagnóstico integral emitido por el Gobierno del Estado de Guanajuato o por alguna entidad académica. </w:t>
      </w:r>
      <w:r w:rsidRPr="005E111C">
        <w:rPr>
          <w:rFonts w:ascii="Abadi" w:hAnsi="Abadi" w:cs="Arial"/>
          <w:sz w:val="21"/>
          <w:szCs w:val="21"/>
        </w:rPr>
        <w:t xml:space="preserve"> </w:t>
      </w:r>
    </w:p>
    <w:p w14:paraId="3EB746AA" w14:textId="7C464AA7" w:rsidR="00670E07" w:rsidRDefault="00670E07" w:rsidP="00670E07">
      <w:pPr>
        <w:ind w:left="-5" w:right="49"/>
        <w:jc w:val="both"/>
        <w:rPr>
          <w:rFonts w:ascii="Abadi" w:hAnsi="Abadi" w:cs="Arial"/>
          <w:sz w:val="21"/>
          <w:szCs w:val="21"/>
        </w:rPr>
      </w:pPr>
      <w:r w:rsidRPr="005E111C">
        <w:rPr>
          <w:rFonts w:ascii="Abadi" w:hAnsi="Abadi"/>
          <w:sz w:val="21"/>
          <w:szCs w:val="21"/>
        </w:rPr>
        <w:t>El Instituto para las Mujeres Guanajuatense publicó el documento “Acoso callejero a mujeres en el estado de Guanajuato”</w:t>
      </w:r>
      <w:r w:rsidRPr="005E111C">
        <w:rPr>
          <w:rFonts w:ascii="Abadi" w:hAnsi="Abadi" w:cs="Arial"/>
          <w:sz w:val="21"/>
          <w:szCs w:val="21"/>
          <w:vertAlign w:val="superscript"/>
        </w:rPr>
        <w:footnoteReference w:id="46"/>
      </w:r>
      <w:r w:rsidRPr="005E111C">
        <w:rPr>
          <w:rFonts w:ascii="Abadi" w:hAnsi="Abadi"/>
          <w:sz w:val="21"/>
          <w:szCs w:val="21"/>
        </w:rPr>
        <w:t xml:space="preserve"> con datos de 2018 que mostraron, acorde al Banco Estatal de Datos e Información sobre Casos de Violencia contra las Mujeres, que durante ese año se presentaron setenta casos de acoso sexual y doce casos de hostigamiento sexual. Además, la Encuesta Nacional de Victimización y Percepción sobre Seguridad Pública, reveló que, respecto a la población de mujeres de 18 años y más, que el 77.7% se sienten inseguras en la calle, mientras que el 70.5% se sienten inseguras en el transporte público. Este contexto ha provocado que, según los datos mostrados en el documento del IMUG, entre las mujeres mayores de 18 años y más, en Guanajuato, el 57% han dejado o evitado salir de noche por </w:t>
      </w:r>
      <w:r w:rsidRPr="005E111C">
        <w:rPr>
          <w:rFonts w:ascii="Abadi" w:hAnsi="Abadi"/>
          <w:sz w:val="21"/>
          <w:szCs w:val="21"/>
        </w:rPr>
        <w:lastRenderedPageBreak/>
        <w:t>temor a ser víctima de algún delito; el 38.1% han dejado o evitado tomar taxi por temor a ser víctima de algún delito;</w:t>
      </w:r>
      <w:r w:rsidR="00393EC0">
        <w:rPr>
          <w:rFonts w:ascii="Abadi" w:hAnsi="Abadi"/>
          <w:sz w:val="21"/>
          <w:szCs w:val="21"/>
        </w:rPr>
        <w:t xml:space="preserve"> </w:t>
      </w:r>
      <w:r w:rsidRPr="005E111C">
        <w:rPr>
          <w:rFonts w:ascii="Abadi" w:hAnsi="Abadi"/>
          <w:sz w:val="21"/>
          <w:szCs w:val="21"/>
        </w:rPr>
        <w:t>y el 17.2% han dejado o evitado usar el transporte público por temor a ser víctima de algún delito.</w:t>
      </w:r>
      <w:r w:rsidRPr="005E111C">
        <w:rPr>
          <w:rFonts w:ascii="Abadi" w:hAnsi="Abadi" w:cs="Arial"/>
          <w:sz w:val="21"/>
          <w:szCs w:val="21"/>
        </w:rPr>
        <w:t xml:space="preserve"> </w:t>
      </w:r>
    </w:p>
    <w:p w14:paraId="1CF324EF" w14:textId="77777777" w:rsidR="000B631A" w:rsidRPr="005E111C" w:rsidRDefault="000B631A" w:rsidP="00670E07">
      <w:pPr>
        <w:ind w:left="-5" w:right="49"/>
        <w:jc w:val="both"/>
        <w:rPr>
          <w:rFonts w:ascii="Abadi" w:hAnsi="Abadi"/>
          <w:sz w:val="21"/>
          <w:szCs w:val="21"/>
        </w:rPr>
      </w:pPr>
    </w:p>
    <w:p w14:paraId="181EC80B" w14:textId="77777777" w:rsidR="00670E07" w:rsidRDefault="00670E07" w:rsidP="00670E07">
      <w:pPr>
        <w:ind w:left="-5" w:right="49"/>
        <w:jc w:val="both"/>
        <w:rPr>
          <w:rFonts w:ascii="Abadi" w:hAnsi="Abadi" w:cs="Arial"/>
          <w:sz w:val="21"/>
          <w:szCs w:val="21"/>
        </w:rPr>
      </w:pPr>
      <w:r w:rsidRPr="005E111C">
        <w:rPr>
          <w:rFonts w:ascii="Abadi" w:hAnsi="Abadi"/>
          <w:sz w:val="21"/>
          <w:szCs w:val="21"/>
        </w:rPr>
        <w:t xml:space="preserve">La percepción de inseguridad y el miedo a ser víctimas de delitos ha privado a las mujeres de ejercer su derecho a la libre movilidad y al uso de los lugares públicos y las calles. Los espacios en donde se ejercen violencias contra las mujeres son diversos, por ello es necesario la intervención en el diseño de sistemas e infraestructuras de movilidad que, adicional, reduzcan la percepción de inseguridad de las mujeres y personas no binarias. </w:t>
      </w:r>
      <w:r w:rsidRPr="005E111C">
        <w:rPr>
          <w:rFonts w:ascii="Abadi" w:hAnsi="Abadi" w:cs="Arial"/>
          <w:sz w:val="21"/>
          <w:szCs w:val="21"/>
        </w:rPr>
        <w:t xml:space="preserve"> </w:t>
      </w:r>
    </w:p>
    <w:p w14:paraId="2BF0E89C" w14:textId="77777777" w:rsidR="00FD256C" w:rsidRPr="005E111C" w:rsidRDefault="00FD256C" w:rsidP="00670E07">
      <w:pPr>
        <w:ind w:left="-5" w:right="49"/>
        <w:jc w:val="both"/>
        <w:rPr>
          <w:rFonts w:ascii="Abadi" w:hAnsi="Abadi"/>
          <w:sz w:val="21"/>
          <w:szCs w:val="21"/>
        </w:rPr>
      </w:pPr>
    </w:p>
    <w:p w14:paraId="02A2DC7F" w14:textId="77777777" w:rsidR="00313A18" w:rsidRDefault="00670E07" w:rsidP="00393EC0">
      <w:pPr>
        <w:ind w:left="-5" w:right="49"/>
        <w:jc w:val="both"/>
        <w:rPr>
          <w:rFonts w:ascii="Abadi" w:hAnsi="Abadi"/>
          <w:sz w:val="21"/>
          <w:szCs w:val="21"/>
        </w:rPr>
      </w:pPr>
      <w:r w:rsidRPr="005E111C">
        <w:rPr>
          <w:rFonts w:ascii="Abadi" w:hAnsi="Abadi" w:cs="Arial"/>
          <w:b/>
          <w:sz w:val="21"/>
          <w:szCs w:val="21"/>
        </w:rPr>
        <w:t xml:space="preserve">Planificación, diseño y gestión con perspectiva de género. </w:t>
      </w:r>
      <w:r w:rsidRPr="005E111C">
        <w:rPr>
          <w:rFonts w:ascii="Abadi" w:hAnsi="Abadi"/>
          <w:sz w:val="21"/>
          <w:szCs w:val="21"/>
        </w:rPr>
        <w:t xml:space="preserve">Es necesario que las mujeres tengan una participación sustancial al interior de la gestión del sistema de movilidad y transporte. Los órganos de participación de los consejos de movilidad, las autoridades operadoras de la normatividad, las organizaciones de la sociedad civil deben ser espacios para que las mujeres tomen decisiones. </w:t>
      </w:r>
    </w:p>
    <w:p w14:paraId="4EA98766" w14:textId="77777777" w:rsidR="00393EC0" w:rsidRDefault="00670E07" w:rsidP="00393EC0">
      <w:pPr>
        <w:ind w:left="-5" w:right="49"/>
        <w:jc w:val="both"/>
        <w:rPr>
          <w:rFonts w:ascii="Abadi" w:hAnsi="Abadi"/>
          <w:sz w:val="21"/>
          <w:szCs w:val="21"/>
        </w:rPr>
      </w:pPr>
      <w:r w:rsidRPr="005E111C">
        <w:rPr>
          <w:rFonts w:ascii="Abadi" w:hAnsi="Abadi"/>
          <w:sz w:val="21"/>
          <w:szCs w:val="21"/>
        </w:rPr>
        <w:t xml:space="preserve">En una sociedad democrática y participativa, las mujeres desde sus diferentes espacios, pueden aportar su experiencia como mujeres políticas, mujeres profesionistas, mujeres mayores, jefas de familia, cuidadoras, trabajadoras del hogar, deben de ser incluidas para participar en todo el ciclo de la política pública en materia de movilidad y seguridad vial. Pero además de la participación directa de las mujeres, se debe de incorporar permanentemente la perspectiva de género para analizar los procesos de desplazamiento, las trayectorias, los horarios, los espacios y las estrategias de movilidad de las mujeres. </w:t>
      </w:r>
    </w:p>
    <w:p w14:paraId="4FBAD9E4" w14:textId="5D48D894" w:rsidR="00393EC0" w:rsidRDefault="00670E07" w:rsidP="00393EC0">
      <w:pPr>
        <w:ind w:left="-5" w:right="49"/>
        <w:jc w:val="both"/>
        <w:rPr>
          <w:rFonts w:ascii="Abadi" w:hAnsi="Abadi" w:cs="Arial"/>
          <w:sz w:val="21"/>
          <w:szCs w:val="21"/>
        </w:rPr>
      </w:pPr>
      <w:r w:rsidRPr="005E111C">
        <w:rPr>
          <w:rFonts w:ascii="Abadi" w:hAnsi="Abadi" w:cs="Arial"/>
          <w:sz w:val="21"/>
          <w:szCs w:val="21"/>
        </w:rPr>
        <w:t xml:space="preserve"> </w:t>
      </w:r>
    </w:p>
    <w:p w14:paraId="4BCABE58" w14:textId="77777777" w:rsidR="00393EC0" w:rsidRDefault="00670E07" w:rsidP="00393EC0">
      <w:pPr>
        <w:ind w:left="-5" w:right="49"/>
        <w:jc w:val="both"/>
        <w:rPr>
          <w:rFonts w:ascii="Abadi" w:hAnsi="Abadi" w:cs="Arial"/>
          <w:sz w:val="21"/>
          <w:szCs w:val="21"/>
        </w:rPr>
      </w:pPr>
      <w:r w:rsidRPr="005E111C">
        <w:rPr>
          <w:rFonts w:ascii="Abadi" w:hAnsi="Abadi"/>
          <w:sz w:val="21"/>
          <w:szCs w:val="21"/>
        </w:rPr>
        <w:t xml:space="preserve">La participación de las mujeres no sólo debe de quedarse en esos rubros, pero es necesario primero avanzar en ellos. Solamente teniendo sólidos cimientos en la materia podremos aspirar a que en unos años próximos, las mujeres puedan incorporarse en el ámbito laboral de la movilidad. </w:t>
      </w:r>
      <w:r w:rsidRPr="005E111C">
        <w:rPr>
          <w:rFonts w:ascii="Abadi" w:hAnsi="Abadi"/>
          <w:sz w:val="21"/>
          <w:szCs w:val="21"/>
        </w:rPr>
        <w:t xml:space="preserve">Experiencias internacionales como las de </w:t>
      </w:r>
      <w:proofErr w:type="spellStart"/>
      <w:r w:rsidRPr="005E111C">
        <w:rPr>
          <w:rFonts w:ascii="Abadi" w:hAnsi="Abadi" w:cs="Arial"/>
          <w:i/>
          <w:sz w:val="21"/>
          <w:szCs w:val="21"/>
        </w:rPr>
        <w:t>Women</w:t>
      </w:r>
      <w:proofErr w:type="spellEnd"/>
      <w:r w:rsidRPr="005E111C">
        <w:rPr>
          <w:rFonts w:ascii="Abadi" w:hAnsi="Abadi" w:cs="Arial"/>
          <w:i/>
          <w:sz w:val="21"/>
          <w:szCs w:val="21"/>
        </w:rPr>
        <w:t xml:space="preserve"> in </w:t>
      </w:r>
      <w:proofErr w:type="spellStart"/>
      <w:r w:rsidRPr="005E111C">
        <w:rPr>
          <w:rFonts w:ascii="Abadi" w:hAnsi="Abadi" w:cs="Arial"/>
          <w:i/>
          <w:sz w:val="21"/>
          <w:szCs w:val="21"/>
        </w:rPr>
        <w:t>Transport</w:t>
      </w:r>
      <w:proofErr w:type="spellEnd"/>
      <w:r w:rsidRPr="005E111C">
        <w:rPr>
          <w:rFonts w:ascii="Abadi" w:hAnsi="Abadi" w:cs="Arial"/>
          <w:i/>
          <w:sz w:val="21"/>
          <w:szCs w:val="21"/>
          <w:vertAlign w:val="superscript"/>
        </w:rPr>
        <w:footnoteReference w:id="47"/>
      </w:r>
      <w:r w:rsidRPr="005E111C">
        <w:rPr>
          <w:rFonts w:ascii="Abadi" w:hAnsi="Abadi"/>
          <w:sz w:val="21"/>
          <w:szCs w:val="21"/>
        </w:rPr>
        <w:t xml:space="preserve"> impulsada por la Comisión Europea, o bien el proyecto </w:t>
      </w:r>
      <w:r w:rsidRPr="005E111C">
        <w:rPr>
          <w:rFonts w:ascii="Abadi" w:hAnsi="Abadi" w:cs="Arial"/>
          <w:i/>
          <w:sz w:val="21"/>
          <w:szCs w:val="21"/>
        </w:rPr>
        <w:t>DIAMOND</w:t>
      </w:r>
      <w:r w:rsidRPr="005E111C">
        <w:rPr>
          <w:rFonts w:ascii="Abadi" w:hAnsi="Abadi" w:cs="Arial"/>
          <w:i/>
          <w:sz w:val="21"/>
          <w:szCs w:val="21"/>
          <w:vertAlign w:val="superscript"/>
        </w:rPr>
        <w:footnoteReference w:id="48"/>
      </w:r>
      <w:r w:rsidRPr="005E111C">
        <w:rPr>
          <w:rFonts w:ascii="Abadi" w:hAnsi="Abadi"/>
          <w:sz w:val="21"/>
          <w:szCs w:val="21"/>
        </w:rPr>
        <w:t xml:space="preserve"> -</w:t>
      </w:r>
      <w:r w:rsidRPr="005E111C">
        <w:rPr>
          <w:rFonts w:ascii="Abadi" w:hAnsi="Abadi"/>
          <w:color w:val="090909"/>
          <w:sz w:val="21"/>
          <w:szCs w:val="21"/>
        </w:rPr>
        <w:t xml:space="preserve"> </w:t>
      </w:r>
      <w:r w:rsidRPr="005E111C">
        <w:rPr>
          <w:rFonts w:ascii="Abadi" w:hAnsi="Abadi"/>
          <w:sz w:val="21"/>
          <w:szCs w:val="21"/>
        </w:rPr>
        <w:t xml:space="preserve">Proyecto financiado por el programa </w:t>
      </w:r>
      <w:proofErr w:type="spellStart"/>
      <w:r w:rsidRPr="005E111C">
        <w:rPr>
          <w:rFonts w:ascii="Abadi" w:hAnsi="Abadi"/>
          <w:sz w:val="21"/>
          <w:szCs w:val="21"/>
        </w:rPr>
        <w:t>Horizon</w:t>
      </w:r>
      <w:proofErr w:type="spellEnd"/>
      <w:r w:rsidRPr="005E111C">
        <w:rPr>
          <w:rFonts w:ascii="Abadi" w:hAnsi="Abadi"/>
          <w:sz w:val="21"/>
          <w:szCs w:val="21"/>
        </w:rPr>
        <w:t xml:space="preserve"> 2020 de la Unión Europea dentro de la convocatoria MG-4-3-2018- promueven la equidad de género en el ámbito del transporte, tanto de personas pasajeras como de mercancías y en toda la cadena, desde la gestión, la operación a la construcción de infraestructuras. </w:t>
      </w:r>
      <w:r w:rsidRPr="005E111C">
        <w:rPr>
          <w:rFonts w:ascii="Abadi" w:hAnsi="Abadi" w:cs="Arial"/>
          <w:sz w:val="21"/>
          <w:szCs w:val="21"/>
        </w:rPr>
        <w:t xml:space="preserve"> </w:t>
      </w:r>
    </w:p>
    <w:p w14:paraId="445F3134" w14:textId="77777777" w:rsidR="00393EC0" w:rsidRDefault="00393EC0" w:rsidP="00393EC0">
      <w:pPr>
        <w:ind w:left="-5" w:right="49"/>
        <w:jc w:val="both"/>
        <w:rPr>
          <w:rFonts w:ascii="Abadi" w:hAnsi="Abadi" w:cs="Arial"/>
          <w:sz w:val="21"/>
          <w:szCs w:val="21"/>
        </w:rPr>
      </w:pPr>
    </w:p>
    <w:p w14:paraId="4300254A" w14:textId="52CADE9B" w:rsidR="00670E07" w:rsidRDefault="00670E07" w:rsidP="00393EC0">
      <w:pPr>
        <w:ind w:left="-5" w:right="49"/>
        <w:jc w:val="both"/>
        <w:rPr>
          <w:rFonts w:ascii="Abadi" w:hAnsi="Abadi" w:cs="Arial"/>
          <w:sz w:val="21"/>
          <w:szCs w:val="21"/>
        </w:rPr>
      </w:pPr>
      <w:r w:rsidRPr="005E111C">
        <w:rPr>
          <w:rFonts w:ascii="Abadi" w:hAnsi="Abadi"/>
          <w:sz w:val="21"/>
          <w:szCs w:val="21"/>
        </w:rPr>
        <w:t xml:space="preserve">Estas tres dimensiones deben de construirse sobre bases sólidas brindadas por la perspectiva de género como herramienta científica. Al respecto, es necesario recalcar que son pocos los instrumentos diagnósticos o estadísticos con los que se cuenta para disponer de información que sustente la política pública. Hay una ausencia de datos que debe ser primero, evidenciada y luego, comenzar con la construcción de banco de datos que permitan análisis sometidos a metodologías científicas. </w:t>
      </w:r>
      <w:r w:rsidRPr="005E111C">
        <w:rPr>
          <w:rFonts w:ascii="Abadi" w:hAnsi="Abadi" w:cs="Arial"/>
          <w:sz w:val="21"/>
          <w:szCs w:val="21"/>
        </w:rPr>
        <w:t xml:space="preserve"> </w:t>
      </w:r>
    </w:p>
    <w:p w14:paraId="27B1DEA8" w14:textId="77777777" w:rsidR="00393EC0" w:rsidRDefault="00393EC0" w:rsidP="00393EC0">
      <w:pPr>
        <w:ind w:left="-5" w:right="49"/>
        <w:jc w:val="both"/>
        <w:rPr>
          <w:rFonts w:ascii="Abadi" w:hAnsi="Abadi" w:cs="Arial"/>
          <w:sz w:val="21"/>
          <w:szCs w:val="21"/>
        </w:rPr>
      </w:pPr>
    </w:p>
    <w:p w14:paraId="4F288790" w14:textId="59905985" w:rsidR="00670E07" w:rsidRDefault="00670E07" w:rsidP="00393EC0">
      <w:pPr>
        <w:ind w:left="-5" w:right="49"/>
        <w:jc w:val="both"/>
        <w:rPr>
          <w:rFonts w:ascii="Abadi" w:hAnsi="Abadi" w:cs="Arial"/>
          <w:sz w:val="21"/>
          <w:szCs w:val="21"/>
        </w:rPr>
      </w:pPr>
      <w:r w:rsidRPr="005E111C">
        <w:rPr>
          <w:rFonts w:ascii="Abadi" w:hAnsi="Abadi"/>
          <w:sz w:val="21"/>
          <w:szCs w:val="21"/>
        </w:rPr>
        <w:t>Por citar un ejemplo, precisamente el documento emitido por el IMUG como “Acoso callejero a mujeres en el estado de Guanajuato” referido antes, ha sido un esfuerzo</w:t>
      </w:r>
      <w:r w:rsidR="00FD256C">
        <w:rPr>
          <w:rFonts w:ascii="Abadi" w:hAnsi="Abadi"/>
          <w:sz w:val="21"/>
          <w:szCs w:val="21"/>
        </w:rPr>
        <w:t xml:space="preserve"> </w:t>
      </w:r>
      <w:r w:rsidRPr="005E111C">
        <w:rPr>
          <w:rFonts w:ascii="Abadi" w:hAnsi="Abadi"/>
          <w:sz w:val="21"/>
          <w:szCs w:val="21"/>
        </w:rPr>
        <w:t xml:space="preserve">incompleto para atender el cumplimiento del segundo párrafo del artículo 50 de la Ley de Movilidad vigente de manera que surja una coordinación efectiva con autoridades estatales y municipales competentes en la materia, por lo que se propone que sean las propias autoridades quienes tomen las acciones necesarias para documentar, sistematizar, diseñar los sistemas de movilidad y las acciones diferenciadas aplicables. </w:t>
      </w:r>
      <w:r w:rsidRPr="005E111C">
        <w:rPr>
          <w:rFonts w:ascii="Abadi" w:hAnsi="Abadi" w:cs="Arial"/>
          <w:sz w:val="21"/>
          <w:szCs w:val="21"/>
        </w:rPr>
        <w:t xml:space="preserve"> </w:t>
      </w:r>
    </w:p>
    <w:p w14:paraId="3963C9C2" w14:textId="77777777" w:rsidR="00670E07" w:rsidRPr="005E111C" w:rsidRDefault="00670E07" w:rsidP="00670E07">
      <w:pPr>
        <w:ind w:left="-5" w:right="49"/>
        <w:jc w:val="both"/>
        <w:rPr>
          <w:rFonts w:ascii="Abadi" w:hAnsi="Abadi"/>
          <w:sz w:val="21"/>
          <w:szCs w:val="21"/>
        </w:rPr>
      </w:pPr>
    </w:p>
    <w:p w14:paraId="60E584FD" w14:textId="77777777" w:rsidR="00670E07" w:rsidRDefault="00670E07" w:rsidP="00670E07">
      <w:pPr>
        <w:ind w:left="-5" w:right="49"/>
        <w:jc w:val="both"/>
        <w:rPr>
          <w:rFonts w:ascii="Abadi" w:hAnsi="Abadi" w:cs="Arial"/>
          <w:sz w:val="21"/>
          <w:szCs w:val="21"/>
        </w:rPr>
      </w:pPr>
      <w:r w:rsidRPr="005E111C">
        <w:rPr>
          <w:rFonts w:ascii="Abadi" w:hAnsi="Abadi"/>
          <w:sz w:val="21"/>
          <w:szCs w:val="21"/>
        </w:rPr>
        <w:t>Para contribuir a que la reforma de armonización en materia de movilidad y seguridad vial cuente con normas específicas y agrupadas sobre perspectiva de género además de transversalidad que debe imprimirse al resto de este cuerpo normativo, se propone la inclusión del Capítulo I-A titulado La movilidad bajo la perspectiva de género, el cual incluye:</w:t>
      </w:r>
      <w:r w:rsidRPr="005E111C">
        <w:rPr>
          <w:rFonts w:ascii="Abadi" w:hAnsi="Abadi" w:cs="Arial"/>
          <w:sz w:val="21"/>
          <w:szCs w:val="21"/>
        </w:rPr>
        <w:t xml:space="preserve"> </w:t>
      </w:r>
    </w:p>
    <w:p w14:paraId="1100B1C8" w14:textId="77777777" w:rsidR="00670E07" w:rsidRPr="005E111C" w:rsidRDefault="00670E07" w:rsidP="00670E07">
      <w:pPr>
        <w:ind w:left="-5" w:right="49"/>
        <w:jc w:val="both"/>
        <w:rPr>
          <w:rFonts w:ascii="Abadi" w:hAnsi="Abadi"/>
          <w:sz w:val="21"/>
          <w:szCs w:val="21"/>
        </w:rPr>
      </w:pPr>
    </w:p>
    <w:p w14:paraId="602BCA68" w14:textId="77777777" w:rsidR="00670E07" w:rsidRPr="005E111C" w:rsidRDefault="00670E07" w:rsidP="00492797">
      <w:pPr>
        <w:spacing w:after="271"/>
        <w:ind w:left="-5" w:right="49"/>
        <w:jc w:val="both"/>
        <w:rPr>
          <w:rFonts w:ascii="Abadi" w:hAnsi="Abadi"/>
          <w:sz w:val="21"/>
          <w:szCs w:val="21"/>
        </w:rPr>
      </w:pPr>
      <w:r w:rsidRPr="005E111C">
        <w:rPr>
          <w:rFonts w:ascii="Abadi" w:hAnsi="Abadi" w:cs="Arial"/>
          <w:b/>
          <w:sz w:val="21"/>
          <w:szCs w:val="21"/>
        </w:rPr>
        <w:lastRenderedPageBreak/>
        <w:t>Planeación e información desagregada por género:</w:t>
      </w:r>
      <w:r w:rsidRPr="005E111C">
        <w:rPr>
          <w:rFonts w:ascii="Abadi" w:hAnsi="Abadi"/>
          <w:sz w:val="21"/>
          <w:szCs w:val="21"/>
        </w:rPr>
        <w:t xml:space="preserve"> la que implica que las autoridades operadoras de la ley implementen mecanismos para que haya información diagnóstica desagregada por género para que haya datos confiables que soporten el diseño y evaluación de las políticas públicas en materia de movilidad y seguridad vial.  </w:t>
      </w:r>
      <w:r w:rsidRPr="005E111C">
        <w:rPr>
          <w:rFonts w:ascii="Abadi" w:hAnsi="Abadi" w:cs="Arial"/>
          <w:sz w:val="21"/>
          <w:szCs w:val="21"/>
        </w:rPr>
        <w:t xml:space="preserve"> </w:t>
      </w:r>
    </w:p>
    <w:p w14:paraId="0B00D239" w14:textId="77777777" w:rsidR="00670E07" w:rsidRDefault="00670E07" w:rsidP="00492797">
      <w:pPr>
        <w:ind w:left="-5" w:right="49"/>
        <w:jc w:val="both"/>
        <w:rPr>
          <w:rFonts w:ascii="Abadi" w:hAnsi="Abadi" w:cs="Arial"/>
          <w:sz w:val="21"/>
          <w:szCs w:val="21"/>
        </w:rPr>
      </w:pPr>
      <w:r w:rsidRPr="005E111C">
        <w:rPr>
          <w:rFonts w:ascii="Abadi" w:hAnsi="Abadi" w:cs="Arial"/>
          <w:b/>
          <w:sz w:val="21"/>
          <w:szCs w:val="21"/>
        </w:rPr>
        <w:t>Participación de las mujeres:</w:t>
      </w:r>
      <w:r w:rsidRPr="005E111C">
        <w:rPr>
          <w:rFonts w:ascii="Abadi" w:hAnsi="Abadi"/>
          <w:sz w:val="21"/>
          <w:szCs w:val="21"/>
        </w:rPr>
        <w:t xml:space="preserve"> se propone un artículo específico que establezca que las autoridades estatales y municipales garanticen la participación de las mujeres, así como las diversas identidades de género, en la planeación y diseño de los componentes de movilidad y seguridad vial así como en la evaluación de sus impactos. </w:t>
      </w:r>
      <w:r w:rsidRPr="005E111C">
        <w:rPr>
          <w:rFonts w:ascii="Abadi" w:hAnsi="Abadi" w:cs="Arial"/>
          <w:sz w:val="21"/>
          <w:szCs w:val="21"/>
        </w:rPr>
        <w:t xml:space="preserve"> </w:t>
      </w:r>
    </w:p>
    <w:p w14:paraId="432FEC96" w14:textId="77777777" w:rsidR="00393EC0" w:rsidRPr="005E111C" w:rsidRDefault="00393EC0" w:rsidP="00492797">
      <w:pPr>
        <w:ind w:left="-5" w:right="49"/>
        <w:jc w:val="both"/>
        <w:rPr>
          <w:rFonts w:ascii="Abadi" w:hAnsi="Abadi"/>
          <w:sz w:val="21"/>
          <w:szCs w:val="21"/>
        </w:rPr>
      </w:pPr>
    </w:p>
    <w:p w14:paraId="398D9166" w14:textId="77777777" w:rsidR="00670E07" w:rsidRDefault="00670E07" w:rsidP="00492797">
      <w:pPr>
        <w:ind w:left="-5" w:right="49"/>
        <w:jc w:val="both"/>
        <w:rPr>
          <w:rFonts w:ascii="Abadi" w:hAnsi="Abadi" w:cs="Arial"/>
          <w:sz w:val="21"/>
          <w:szCs w:val="21"/>
        </w:rPr>
      </w:pPr>
      <w:r w:rsidRPr="005E111C">
        <w:rPr>
          <w:rFonts w:ascii="Abadi" w:hAnsi="Abadi" w:cs="Arial"/>
          <w:b/>
          <w:sz w:val="21"/>
          <w:szCs w:val="21"/>
        </w:rPr>
        <w:t>Movilidad con perspectiva de género:</w:t>
      </w:r>
      <w:r w:rsidRPr="005E111C">
        <w:rPr>
          <w:rFonts w:ascii="Abadi" w:hAnsi="Abadi"/>
          <w:sz w:val="21"/>
          <w:szCs w:val="21"/>
        </w:rPr>
        <w:t xml:space="preserve"> los sistemas de movilidad deberán de orientarse hacia la mejora continua en la experiencia de movilidad de las mujeres y su seguridad, considerando la movilidad de cuidados, además que se prevengan y erradiquen las violencias contra las mujeres en los sistemas de movilidad. </w:t>
      </w:r>
      <w:r w:rsidRPr="005E111C">
        <w:rPr>
          <w:rFonts w:ascii="Abadi" w:hAnsi="Abadi" w:cs="Arial"/>
          <w:sz w:val="21"/>
          <w:szCs w:val="21"/>
        </w:rPr>
        <w:t xml:space="preserve"> </w:t>
      </w:r>
    </w:p>
    <w:p w14:paraId="6CAAAE62" w14:textId="77777777" w:rsidR="00393EC0" w:rsidRPr="005E111C" w:rsidRDefault="00393EC0" w:rsidP="00492797">
      <w:pPr>
        <w:ind w:left="-5" w:right="49"/>
        <w:jc w:val="both"/>
        <w:rPr>
          <w:rFonts w:ascii="Abadi" w:hAnsi="Abadi"/>
          <w:sz w:val="21"/>
          <w:szCs w:val="21"/>
        </w:rPr>
      </w:pPr>
    </w:p>
    <w:p w14:paraId="070FD4D8" w14:textId="77777777" w:rsidR="00670E07" w:rsidRDefault="00670E07" w:rsidP="00492797">
      <w:pPr>
        <w:ind w:left="-5" w:right="49"/>
        <w:jc w:val="both"/>
        <w:rPr>
          <w:rFonts w:ascii="Abadi" w:hAnsi="Abadi" w:cs="Arial"/>
          <w:sz w:val="21"/>
          <w:szCs w:val="21"/>
        </w:rPr>
      </w:pPr>
      <w:r w:rsidRPr="005E111C">
        <w:rPr>
          <w:rFonts w:ascii="Abadi" w:hAnsi="Abadi" w:cs="Arial"/>
          <w:b/>
          <w:sz w:val="21"/>
          <w:szCs w:val="21"/>
        </w:rPr>
        <w:t>Movilidad de cuidados y acciones afirmativas:</w:t>
      </w:r>
      <w:r w:rsidRPr="005E111C">
        <w:rPr>
          <w:rFonts w:ascii="Abadi" w:hAnsi="Abadi"/>
          <w:sz w:val="21"/>
          <w:szCs w:val="21"/>
        </w:rPr>
        <w:t xml:space="preserve"> se deberá de fomentar la inclusión de las mujeres incorporando criterios que reconozcan los patrones de movilidad diferencias por géneros, y que esta inclusión está incorporada en el diseño, planeación y evaluación de los sistemas de movilidad. Adicional, las autoridades podrán fijar subsidios o subvenciones a la movilidad de cuidados, a través de excepciones a las tarifas generales. </w:t>
      </w:r>
      <w:r w:rsidRPr="005E111C">
        <w:rPr>
          <w:rFonts w:ascii="Abadi" w:hAnsi="Abadi" w:cs="Arial"/>
          <w:sz w:val="21"/>
          <w:szCs w:val="21"/>
        </w:rPr>
        <w:t xml:space="preserve"> </w:t>
      </w:r>
    </w:p>
    <w:p w14:paraId="638CA86F" w14:textId="77777777" w:rsidR="00670E07" w:rsidRPr="005E111C" w:rsidRDefault="00670E07" w:rsidP="00492797">
      <w:pPr>
        <w:ind w:left="-5" w:right="49"/>
        <w:jc w:val="both"/>
        <w:rPr>
          <w:rFonts w:ascii="Abadi" w:hAnsi="Abadi"/>
          <w:sz w:val="21"/>
          <w:szCs w:val="21"/>
        </w:rPr>
      </w:pPr>
    </w:p>
    <w:p w14:paraId="05650D55" w14:textId="77777777" w:rsidR="00670E07" w:rsidRDefault="00670E07" w:rsidP="00492797">
      <w:pPr>
        <w:ind w:left="-5" w:right="49"/>
        <w:jc w:val="both"/>
        <w:rPr>
          <w:rFonts w:ascii="Abadi" w:hAnsi="Abadi" w:cs="Arial"/>
          <w:sz w:val="21"/>
          <w:szCs w:val="21"/>
        </w:rPr>
      </w:pPr>
      <w:r w:rsidRPr="005E111C">
        <w:rPr>
          <w:rFonts w:ascii="Abadi" w:hAnsi="Abadi" w:cs="Arial"/>
          <w:b/>
          <w:sz w:val="21"/>
          <w:szCs w:val="21"/>
        </w:rPr>
        <w:t>Diseño vial con perspectiva de género:</w:t>
      </w:r>
      <w:r w:rsidRPr="005E111C">
        <w:rPr>
          <w:rFonts w:ascii="Abadi" w:hAnsi="Abadi"/>
          <w:sz w:val="21"/>
          <w:szCs w:val="21"/>
        </w:rPr>
        <w:t xml:space="preserve"> las calles deberán de estar diseñadas y equipadas adecuadamente para garantizar que cualquier persona usuaria, pero preferentemente las niñas, adolescentes, mujeres y diversas identidades de género, puedan transitar libremente el espacio público sin discriminaciones ni violencias. </w:t>
      </w:r>
      <w:r w:rsidRPr="005E111C">
        <w:rPr>
          <w:rFonts w:ascii="Abadi" w:hAnsi="Abadi" w:cs="Arial"/>
          <w:sz w:val="21"/>
          <w:szCs w:val="21"/>
        </w:rPr>
        <w:t xml:space="preserve"> </w:t>
      </w:r>
    </w:p>
    <w:p w14:paraId="62037E72" w14:textId="77777777" w:rsidR="00393EC0" w:rsidRDefault="00393EC0" w:rsidP="00492797">
      <w:pPr>
        <w:pStyle w:val="Ttulo1"/>
        <w:ind w:right="58"/>
        <w:jc w:val="both"/>
        <w:rPr>
          <w:rFonts w:ascii="Abadi" w:hAnsi="Abadi" w:cs="Arial"/>
          <w:i w:val="0"/>
          <w:iCs w:val="0"/>
          <w:sz w:val="21"/>
          <w:szCs w:val="21"/>
        </w:rPr>
      </w:pPr>
    </w:p>
    <w:p w14:paraId="10BD2576" w14:textId="403CBBCA" w:rsidR="00670E07" w:rsidRPr="00393EC0" w:rsidRDefault="00670E07" w:rsidP="00393EC0">
      <w:pPr>
        <w:ind w:left="-5" w:right="49"/>
        <w:jc w:val="center"/>
        <w:rPr>
          <w:rFonts w:ascii="Abadi" w:hAnsi="Abadi"/>
          <w:b/>
          <w:bCs/>
          <w:sz w:val="21"/>
          <w:szCs w:val="21"/>
        </w:rPr>
      </w:pPr>
      <w:r w:rsidRPr="00393EC0">
        <w:rPr>
          <w:rFonts w:ascii="Abadi" w:hAnsi="Abadi"/>
          <w:b/>
          <w:bCs/>
          <w:sz w:val="21"/>
          <w:szCs w:val="21"/>
        </w:rPr>
        <w:t>C o m p a r a t i v o   d e   a d i c i o n e s    p r o p u e s t a s</w:t>
      </w:r>
    </w:p>
    <w:p w14:paraId="4352E075" w14:textId="77777777" w:rsidR="00670E07" w:rsidRPr="00393EC0" w:rsidRDefault="00670E07" w:rsidP="00393EC0">
      <w:pPr>
        <w:ind w:left="-5" w:right="49"/>
        <w:jc w:val="center"/>
        <w:rPr>
          <w:rFonts w:ascii="Abadi" w:hAnsi="Abadi"/>
          <w:b/>
          <w:bCs/>
          <w:sz w:val="21"/>
          <w:szCs w:val="21"/>
        </w:rPr>
      </w:pPr>
    </w:p>
    <w:tbl>
      <w:tblPr>
        <w:tblStyle w:val="TableGrid"/>
        <w:tblW w:w="4276" w:type="dxa"/>
        <w:tblInd w:w="0" w:type="dxa"/>
        <w:tblCellMar>
          <w:top w:w="47" w:type="dxa"/>
          <w:left w:w="108" w:type="dxa"/>
          <w:right w:w="58" w:type="dxa"/>
        </w:tblCellMar>
        <w:tblLook w:val="04A0" w:firstRow="1" w:lastRow="0" w:firstColumn="1" w:lastColumn="0" w:noHBand="0" w:noVBand="1"/>
      </w:tblPr>
      <w:tblGrid>
        <w:gridCol w:w="2420"/>
        <w:gridCol w:w="1856"/>
      </w:tblGrid>
      <w:tr w:rsidR="00670E07" w:rsidRPr="00670E07" w14:paraId="48EE7B1E" w14:textId="77777777" w:rsidTr="00670E07">
        <w:trPr>
          <w:trHeight w:val="488"/>
        </w:trPr>
        <w:tc>
          <w:tcPr>
            <w:tcW w:w="2420" w:type="dxa"/>
            <w:tcBorders>
              <w:top w:val="single" w:sz="4" w:space="0" w:color="000000"/>
              <w:left w:val="single" w:sz="4" w:space="0" w:color="000000"/>
              <w:bottom w:val="single" w:sz="4" w:space="0" w:color="000000"/>
              <w:right w:val="single" w:sz="4" w:space="0" w:color="000000"/>
            </w:tcBorders>
          </w:tcPr>
          <w:p w14:paraId="5D79B202" w14:textId="77777777" w:rsidR="00670E07" w:rsidRPr="00670E07" w:rsidRDefault="00670E07" w:rsidP="00492797">
            <w:pPr>
              <w:spacing w:line="259" w:lineRule="auto"/>
              <w:ind w:right="56"/>
              <w:jc w:val="both"/>
              <w:rPr>
                <w:rFonts w:ascii="Abadi" w:hAnsi="Abadi"/>
                <w:sz w:val="21"/>
                <w:szCs w:val="21"/>
              </w:rPr>
            </w:pPr>
            <w:r w:rsidRPr="00670E07">
              <w:rPr>
                <w:rFonts w:ascii="Abadi" w:hAnsi="Abadi"/>
                <w:sz w:val="21"/>
                <w:szCs w:val="21"/>
              </w:rPr>
              <w:t xml:space="preserve">Ley de Movilidad para el Estado de Guanajuato y sus </w:t>
            </w:r>
          </w:p>
          <w:p w14:paraId="20AED7D6" w14:textId="77777777" w:rsidR="00670E07" w:rsidRPr="00670E07" w:rsidRDefault="00670E07" w:rsidP="00492797">
            <w:pPr>
              <w:spacing w:line="259" w:lineRule="auto"/>
              <w:ind w:right="54"/>
              <w:jc w:val="both"/>
              <w:rPr>
                <w:rFonts w:ascii="Abadi" w:hAnsi="Abadi"/>
                <w:sz w:val="21"/>
                <w:szCs w:val="21"/>
              </w:rPr>
            </w:pPr>
            <w:r w:rsidRPr="00670E07">
              <w:rPr>
                <w:rFonts w:ascii="Abadi" w:hAnsi="Abadi"/>
                <w:sz w:val="21"/>
                <w:szCs w:val="21"/>
              </w:rPr>
              <w:t xml:space="preserve">Municipios </w:t>
            </w:r>
          </w:p>
        </w:tc>
        <w:tc>
          <w:tcPr>
            <w:tcW w:w="1856" w:type="dxa"/>
            <w:tcBorders>
              <w:top w:val="single" w:sz="4" w:space="0" w:color="000000"/>
              <w:left w:val="single" w:sz="4" w:space="0" w:color="000000"/>
              <w:bottom w:val="single" w:sz="4" w:space="0" w:color="000000"/>
              <w:right w:val="single" w:sz="4" w:space="0" w:color="000000"/>
            </w:tcBorders>
          </w:tcPr>
          <w:p w14:paraId="6E9AEFCD" w14:textId="77777777" w:rsidR="00670E07" w:rsidRPr="00670E07" w:rsidRDefault="00670E07" w:rsidP="00492797">
            <w:pPr>
              <w:spacing w:line="259" w:lineRule="auto"/>
              <w:ind w:right="57"/>
              <w:jc w:val="both"/>
              <w:rPr>
                <w:rFonts w:ascii="Abadi" w:hAnsi="Abadi"/>
                <w:sz w:val="21"/>
                <w:szCs w:val="21"/>
              </w:rPr>
            </w:pPr>
            <w:r w:rsidRPr="00670E07">
              <w:rPr>
                <w:rFonts w:ascii="Abadi" w:hAnsi="Abadi"/>
                <w:sz w:val="21"/>
                <w:szCs w:val="21"/>
              </w:rPr>
              <w:t xml:space="preserve">Iniciativa Bancada Feminista </w:t>
            </w:r>
          </w:p>
        </w:tc>
      </w:tr>
      <w:tr w:rsidR="00670E07" w:rsidRPr="00670E07" w14:paraId="72DF8A0D" w14:textId="77777777" w:rsidTr="00670E07">
        <w:trPr>
          <w:trHeight w:val="4479"/>
        </w:trPr>
        <w:tc>
          <w:tcPr>
            <w:tcW w:w="2420" w:type="dxa"/>
            <w:tcBorders>
              <w:top w:val="single" w:sz="4" w:space="0" w:color="000000"/>
              <w:left w:val="single" w:sz="4" w:space="0" w:color="000000"/>
              <w:bottom w:val="single" w:sz="4" w:space="0" w:color="000000"/>
              <w:right w:val="single" w:sz="4" w:space="0" w:color="000000"/>
            </w:tcBorders>
          </w:tcPr>
          <w:p w14:paraId="7FF5FA3F" w14:textId="77777777" w:rsidR="00670E07" w:rsidRPr="00670E07" w:rsidRDefault="00670E07" w:rsidP="00492797">
            <w:pPr>
              <w:spacing w:line="259" w:lineRule="auto"/>
              <w:ind w:right="53"/>
              <w:jc w:val="both"/>
              <w:rPr>
                <w:rFonts w:ascii="Abadi" w:hAnsi="Abadi"/>
                <w:sz w:val="21"/>
                <w:szCs w:val="21"/>
              </w:rPr>
            </w:pPr>
            <w:r w:rsidRPr="00670E07">
              <w:rPr>
                <w:rFonts w:ascii="Abadi" w:hAnsi="Abadi"/>
                <w:b/>
                <w:sz w:val="21"/>
                <w:szCs w:val="21"/>
              </w:rPr>
              <w:t xml:space="preserve">Viene de: Título Segundo, Movilidad, Capítulo I </w:t>
            </w:r>
          </w:p>
          <w:p w14:paraId="1A8E469D" w14:textId="77777777" w:rsidR="00670E07" w:rsidRPr="00670E07" w:rsidRDefault="00670E07" w:rsidP="00492797">
            <w:pPr>
              <w:spacing w:line="238" w:lineRule="auto"/>
              <w:jc w:val="both"/>
              <w:rPr>
                <w:rFonts w:ascii="Abadi" w:hAnsi="Abadi"/>
                <w:sz w:val="21"/>
                <w:szCs w:val="21"/>
              </w:rPr>
            </w:pPr>
            <w:r w:rsidRPr="00670E07">
              <w:rPr>
                <w:rFonts w:ascii="Abadi" w:hAnsi="Abadi"/>
                <w:b/>
                <w:sz w:val="21"/>
                <w:szCs w:val="21"/>
              </w:rPr>
              <w:t xml:space="preserve">Derechos y Obligaciones de las personas en materia de movilidad.  </w:t>
            </w:r>
          </w:p>
          <w:p w14:paraId="5F37B519" w14:textId="77777777" w:rsidR="00670E07" w:rsidRPr="00670E07" w:rsidRDefault="00670E07" w:rsidP="00492797">
            <w:pPr>
              <w:spacing w:line="259" w:lineRule="auto"/>
              <w:ind w:right="2"/>
              <w:jc w:val="both"/>
              <w:rPr>
                <w:rFonts w:ascii="Abadi" w:hAnsi="Abadi"/>
                <w:sz w:val="21"/>
                <w:szCs w:val="21"/>
              </w:rPr>
            </w:pPr>
            <w:r w:rsidRPr="00670E07">
              <w:rPr>
                <w:rFonts w:ascii="Abadi" w:hAnsi="Abadi"/>
                <w:b/>
                <w:sz w:val="21"/>
                <w:szCs w:val="21"/>
              </w:rPr>
              <w:t xml:space="preserve"> </w:t>
            </w:r>
          </w:p>
          <w:p w14:paraId="772B6588" w14:textId="77777777" w:rsidR="00670E07" w:rsidRPr="00670E07" w:rsidRDefault="00670E07" w:rsidP="00492797">
            <w:pPr>
              <w:spacing w:line="259" w:lineRule="auto"/>
              <w:ind w:right="48"/>
              <w:jc w:val="both"/>
              <w:rPr>
                <w:rFonts w:ascii="Abadi" w:hAnsi="Abadi"/>
                <w:sz w:val="21"/>
                <w:szCs w:val="21"/>
              </w:rPr>
            </w:pPr>
            <w:r w:rsidRPr="00670E07">
              <w:rPr>
                <w:rFonts w:ascii="Abadi" w:hAnsi="Abadi"/>
                <w:b/>
                <w:i/>
                <w:sz w:val="21"/>
                <w:szCs w:val="21"/>
              </w:rPr>
              <w:t xml:space="preserve">Acciones en materia de Equidad de Género </w:t>
            </w:r>
          </w:p>
          <w:p w14:paraId="56E3105C" w14:textId="77777777" w:rsidR="00670E07" w:rsidRPr="00670E07" w:rsidRDefault="00670E07" w:rsidP="00492797">
            <w:pPr>
              <w:spacing w:line="259" w:lineRule="auto"/>
              <w:ind w:right="9"/>
              <w:jc w:val="both"/>
              <w:rPr>
                <w:rFonts w:ascii="Abadi" w:hAnsi="Abadi"/>
                <w:sz w:val="21"/>
                <w:szCs w:val="21"/>
              </w:rPr>
            </w:pPr>
            <w:r w:rsidRPr="00670E07">
              <w:rPr>
                <w:rFonts w:ascii="Abadi" w:hAnsi="Abadi"/>
                <w:sz w:val="21"/>
                <w:szCs w:val="21"/>
              </w:rPr>
              <w:t xml:space="preserve"> </w:t>
            </w:r>
          </w:p>
          <w:p w14:paraId="5FF7804C" w14:textId="77777777" w:rsidR="00670E07" w:rsidRPr="00670E07" w:rsidRDefault="00670E07" w:rsidP="00492797">
            <w:pPr>
              <w:ind w:firstLine="1630"/>
              <w:jc w:val="both"/>
              <w:rPr>
                <w:rFonts w:ascii="Abadi" w:hAnsi="Abadi"/>
                <w:sz w:val="21"/>
                <w:szCs w:val="21"/>
              </w:rPr>
            </w:pPr>
            <w:r w:rsidRPr="00670E07">
              <w:rPr>
                <w:rFonts w:ascii="Abadi" w:hAnsi="Abadi"/>
                <w:sz w:val="21"/>
                <w:szCs w:val="21"/>
              </w:rPr>
              <w:t xml:space="preserve">(F. DE E., P.O. 12 DE ABRIL DE 2016) </w:t>
            </w:r>
            <w:r w:rsidRPr="00670E07">
              <w:rPr>
                <w:rFonts w:ascii="Abadi" w:hAnsi="Abadi"/>
                <w:b/>
                <w:sz w:val="21"/>
                <w:szCs w:val="21"/>
              </w:rPr>
              <w:t xml:space="preserve">Artículo 50. </w:t>
            </w:r>
            <w:r w:rsidRPr="00670E07">
              <w:rPr>
                <w:rFonts w:ascii="Abadi" w:hAnsi="Abadi"/>
                <w:sz w:val="21"/>
                <w:szCs w:val="21"/>
              </w:rPr>
              <w:t xml:space="preserve">Las autoridades estatales y municipales en el ámbito de su competencia podrán establecer en las diferentes modalidades de transporte e infraestructura para la movilidad, los espacios, servicios, </w:t>
            </w:r>
            <w:r w:rsidRPr="00670E07">
              <w:rPr>
                <w:rFonts w:ascii="Abadi" w:hAnsi="Abadi"/>
                <w:sz w:val="21"/>
                <w:szCs w:val="21"/>
              </w:rPr>
              <w:tab/>
              <w:t xml:space="preserve">acciones, </w:t>
            </w:r>
            <w:r w:rsidRPr="00670E07">
              <w:rPr>
                <w:rFonts w:ascii="Abadi" w:hAnsi="Abadi"/>
                <w:sz w:val="21"/>
                <w:szCs w:val="21"/>
              </w:rPr>
              <w:tab/>
              <w:t xml:space="preserve">programas, </w:t>
            </w:r>
            <w:r w:rsidRPr="00670E07">
              <w:rPr>
                <w:rFonts w:ascii="Abadi" w:hAnsi="Abadi"/>
                <w:sz w:val="21"/>
                <w:szCs w:val="21"/>
              </w:rPr>
              <w:tab/>
              <w:t xml:space="preserve">y </w:t>
            </w:r>
            <w:r w:rsidRPr="00670E07">
              <w:rPr>
                <w:rFonts w:ascii="Abadi" w:hAnsi="Abadi"/>
                <w:sz w:val="21"/>
                <w:szCs w:val="21"/>
              </w:rPr>
              <w:tab/>
              <w:t xml:space="preserve">demás mecanismos de control y organización que resulten necesarios para coadyuvar en la equidad, seguridad, respeto, integridad y la libertad de desplazamiento de las mujeres, enfocado a la perspectiva de género. </w:t>
            </w:r>
          </w:p>
          <w:p w14:paraId="3501CC83" w14:textId="77777777" w:rsidR="00670E07" w:rsidRPr="00670E07" w:rsidRDefault="00670E07" w:rsidP="00492797">
            <w:pPr>
              <w:spacing w:line="259" w:lineRule="auto"/>
              <w:jc w:val="both"/>
              <w:rPr>
                <w:rFonts w:ascii="Abadi" w:hAnsi="Abadi"/>
                <w:sz w:val="21"/>
                <w:szCs w:val="21"/>
              </w:rPr>
            </w:pPr>
            <w:r w:rsidRPr="00670E07">
              <w:rPr>
                <w:rFonts w:ascii="Abadi" w:hAnsi="Abadi"/>
                <w:sz w:val="21"/>
                <w:szCs w:val="21"/>
              </w:rPr>
              <w:t xml:space="preserve"> </w:t>
            </w:r>
          </w:p>
        </w:tc>
        <w:tc>
          <w:tcPr>
            <w:tcW w:w="1856" w:type="dxa"/>
            <w:tcBorders>
              <w:top w:val="single" w:sz="4" w:space="0" w:color="000000"/>
              <w:left w:val="single" w:sz="4" w:space="0" w:color="000000"/>
              <w:bottom w:val="single" w:sz="4" w:space="0" w:color="000000"/>
              <w:right w:val="single" w:sz="4" w:space="0" w:color="000000"/>
            </w:tcBorders>
          </w:tcPr>
          <w:p w14:paraId="210F7C75" w14:textId="77777777" w:rsidR="00670E07" w:rsidRPr="00670E07" w:rsidRDefault="00670E07" w:rsidP="00492797">
            <w:pPr>
              <w:spacing w:line="259" w:lineRule="auto"/>
              <w:ind w:right="53"/>
              <w:jc w:val="both"/>
              <w:rPr>
                <w:rFonts w:ascii="Abadi" w:hAnsi="Abadi"/>
                <w:sz w:val="21"/>
                <w:szCs w:val="21"/>
              </w:rPr>
            </w:pPr>
            <w:r w:rsidRPr="00670E07">
              <w:rPr>
                <w:rFonts w:ascii="Abadi" w:hAnsi="Abadi"/>
                <w:b/>
                <w:sz w:val="21"/>
                <w:szCs w:val="21"/>
              </w:rPr>
              <w:t xml:space="preserve">Título Segundo  </w:t>
            </w:r>
          </w:p>
          <w:p w14:paraId="6A265730" w14:textId="77777777" w:rsidR="00670E07" w:rsidRPr="00670E07" w:rsidRDefault="00670E07" w:rsidP="00492797">
            <w:pPr>
              <w:spacing w:line="259" w:lineRule="auto"/>
              <w:ind w:right="53"/>
              <w:jc w:val="both"/>
              <w:rPr>
                <w:rFonts w:ascii="Abadi" w:hAnsi="Abadi"/>
                <w:sz w:val="21"/>
                <w:szCs w:val="21"/>
              </w:rPr>
            </w:pPr>
            <w:r w:rsidRPr="00670E07">
              <w:rPr>
                <w:rFonts w:ascii="Abadi" w:hAnsi="Abadi"/>
                <w:b/>
                <w:sz w:val="21"/>
                <w:szCs w:val="21"/>
              </w:rPr>
              <w:t xml:space="preserve">Movilidad  </w:t>
            </w:r>
          </w:p>
          <w:p w14:paraId="5BEBBF9A" w14:textId="77777777" w:rsidR="00670E07" w:rsidRPr="00670E07" w:rsidRDefault="00670E07" w:rsidP="00492797">
            <w:pPr>
              <w:spacing w:line="259" w:lineRule="auto"/>
              <w:ind w:right="3"/>
              <w:jc w:val="both"/>
              <w:rPr>
                <w:rFonts w:ascii="Abadi" w:hAnsi="Abadi"/>
                <w:sz w:val="21"/>
                <w:szCs w:val="21"/>
              </w:rPr>
            </w:pPr>
            <w:r w:rsidRPr="00670E07">
              <w:rPr>
                <w:rFonts w:ascii="Abadi" w:hAnsi="Abadi"/>
                <w:b/>
                <w:sz w:val="21"/>
                <w:szCs w:val="21"/>
              </w:rPr>
              <w:t xml:space="preserve"> </w:t>
            </w:r>
          </w:p>
          <w:p w14:paraId="7E2257C0" w14:textId="77777777" w:rsidR="00670E07" w:rsidRPr="00670E07" w:rsidRDefault="00670E07" w:rsidP="00492797">
            <w:pPr>
              <w:spacing w:line="259" w:lineRule="auto"/>
              <w:ind w:right="52"/>
              <w:jc w:val="both"/>
              <w:rPr>
                <w:rFonts w:ascii="Abadi" w:hAnsi="Abadi"/>
                <w:sz w:val="21"/>
                <w:szCs w:val="21"/>
              </w:rPr>
            </w:pPr>
            <w:r w:rsidRPr="00670E07">
              <w:rPr>
                <w:rFonts w:ascii="Abadi" w:hAnsi="Abadi"/>
                <w:b/>
                <w:sz w:val="21"/>
                <w:szCs w:val="21"/>
              </w:rPr>
              <w:t xml:space="preserve">Capítulo I-A </w:t>
            </w:r>
          </w:p>
          <w:p w14:paraId="068D54AB" w14:textId="77777777" w:rsidR="00670E07" w:rsidRPr="00670E07" w:rsidRDefault="00670E07" w:rsidP="00492797">
            <w:pPr>
              <w:spacing w:line="259" w:lineRule="auto"/>
              <w:ind w:right="53"/>
              <w:jc w:val="both"/>
              <w:rPr>
                <w:rFonts w:ascii="Abadi" w:hAnsi="Abadi"/>
                <w:sz w:val="21"/>
                <w:szCs w:val="21"/>
              </w:rPr>
            </w:pPr>
            <w:r w:rsidRPr="00670E07">
              <w:rPr>
                <w:rFonts w:ascii="Abadi" w:hAnsi="Abadi"/>
                <w:b/>
                <w:sz w:val="21"/>
                <w:szCs w:val="21"/>
              </w:rPr>
              <w:t xml:space="preserve">La movilidad bajo la perspectiva de género </w:t>
            </w:r>
          </w:p>
          <w:p w14:paraId="76F5D798" w14:textId="77777777" w:rsidR="00670E07" w:rsidRPr="00670E07" w:rsidRDefault="00670E07" w:rsidP="00492797">
            <w:pPr>
              <w:spacing w:line="259" w:lineRule="auto"/>
              <w:jc w:val="both"/>
              <w:rPr>
                <w:rFonts w:ascii="Abadi" w:hAnsi="Abadi"/>
                <w:sz w:val="21"/>
                <w:szCs w:val="21"/>
              </w:rPr>
            </w:pPr>
            <w:r w:rsidRPr="00670E07">
              <w:rPr>
                <w:rFonts w:ascii="Abadi" w:hAnsi="Abadi"/>
                <w:b/>
                <w:i/>
                <w:sz w:val="21"/>
                <w:szCs w:val="21"/>
              </w:rPr>
              <w:t xml:space="preserve"> </w:t>
            </w:r>
          </w:p>
          <w:p w14:paraId="505CDA41" w14:textId="77777777" w:rsidR="00670E07" w:rsidRPr="00670E07" w:rsidRDefault="00670E07" w:rsidP="00492797">
            <w:pPr>
              <w:spacing w:line="238" w:lineRule="auto"/>
              <w:ind w:right="50"/>
              <w:jc w:val="both"/>
              <w:rPr>
                <w:rFonts w:ascii="Abadi" w:hAnsi="Abadi"/>
                <w:sz w:val="21"/>
                <w:szCs w:val="21"/>
              </w:rPr>
            </w:pPr>
            <w:r w:rsidRPr="00670E07">
              <w:rPr>
                <w:rFonts w:ascii="Abadi" w:hAnsi="Abadi"/>
                <w:b/>
                <w:i/>
                <w:sz w:val="21"/>
                <w:szCs w:val="21"/>
              </w:rPr>
              <w:t xml:space="preserve">Planeación e información desagregada por género </w:t>
            </w:r>
          </w:p>
          <w:p w14:paraId="152DC928" w14:textId="77777777" w:rsidR="00670E07" w:rsidRPr="00670E07" w:rsidRDefault="00670E07" w:rsidP="00492797">
            <w:pPr>
              <w:spacing w:line="259" w:lineRule="auto"/>
              <w:jc w:val="both"/>
              <w:rPr>
                <w:rFonts w:ascii="Abadi" w:hAnsi="Abadi"/>
                <w:sz w:val="21"/>
                <w:szCs w:val="21"/>
              </w:rPr>
            </w:pPr>
            <w:r w:rsidRPr="00670E07">
              <w:rPr>
                <w:rFonts w:ascii="Abadi" w:hAnsi="Abadi"/>
                <w:b/>
                <w:i/>
                <w:sz w:val="21"/>
                <w:szCs w:val="21"/>
              </w:rPr>
              <w:t xml:space="preserve"> </w:t>
            </w:r>
          </w:p>
          <w:p w14:paraId="188AB955" w14:textId="77777777" w:rsidR="00670E07" w:rsidRPr="00670E07" w:rsidRDefault="00670E07" w:rsidP="00492797">
            <w:pPr>
              <w:spacing w:after="2" w:line="239" w:lineRule="auto"/>
              <w:ind w:right="51"/>
              <w:jc w:val="both"/>
              <w:rPr>
                <w:rFonts w:ascii="Abadi" w:hAnsi="Abadi"/>
                <w:sz w:val="21"/>
                <w:szCs w:val="21"/>
              </w:rPr>
            </w:pPr>
            <w:r w:rsidRPr="00670E07">
              <w:rPr>
                <w:rFonts w:ascii="Abadi" w:hAnsi="Abadi"/>
                <w:b/>
                <w:sz w:val="21"/>
                <w:szCs w:val="21"/>
              </w:rPr>
              <w:t xml:space="preserve">Artículo 50. </w:t>
            </w:r>
            <w:r w:rsidRPr="00670E07">
              <w:rPr>
                <w:rFonts w:ascii="Abadi" w:hAnsi="Abadi"/>
                <w:sz w:val="21"/>
                <w:szCs w:val="21"/>
              </w:rPr>
              <w:t xml:space="preserve">En la planeación de la movilidad la seguridad vial y sus componentes, las autoridades estatales y municipales competentes implementarán mecanismos para disponer de información diagnóstica desagregada por género que sustente el diseño y la evaluación de las políticas públicas y presupuestos aplicados o aplicables.  </w:t>
            </w:r>
          </w:p>
          <w:p w14:paraId="1CF4B564" w14:textId="77777777" w:rsidR="00670E07" w:rsidRPr="00670E07" w:rsidRDefault="00670E07" w:rsidP="00492797">
            <w:pPr>
              <w:spacing w:line="259" w:lineRule="auto"/>
              <w:jc w:val="both"/>
              <w:rPr>
                <w:rFonts w:ascii="Abadi" w:hAnsi="Abadi"/>
                <w:sz w:val="21"/>
                <w:szCs w:val="21"/>
              </w:rPr>
            </w:pPr>
            <w:r w:rsidRPr="00670E07">
              <w:rPr>
                <w:rFonts w:ascii="Abadi" w:hAnsi="Abadi"/>
                <w:sz w:val="21"/>
                <w:szCs w:val="21"/>
              </w:rPr>
              <w:t xml:space="preserve"> </w:t>
            </w:r>
          </w:p>
        </w:tc>
      </w:tr>
    </w:tbl>
    <w:p w14:paraId="04C014EE" w14:textId="77777777" w:rsidR="00670E07" w:rsidRPr="005E111C" w:rsidRDefault="00670E07" w:rsidP="00492797">
      <w:pPr>
        <w:ind w:left="-5" w:right="49"/>
        <w:jc w:val="both"/>
        <w:rPr>
          <w:rFonts w:ascii="Abadi" w:hAnsi="Abadi"/>
          <w:sz w:val="21"/>
          <w:szCs w:val="21"/>
        </w:rPr>
      </w:pPr>
    </w:p>
    <w:tbl>
      <w:tblPr>
        <w:tblStyle w:val="TableGrid"/>
        <w:tblW w:w="3967" w:type="dxa"/>
        <w:tblInd w:w="266" w:type="dxa"/>
        <w:tblCellMar>
          <w:top w:w="44" w:type="dxa"/>
          <w:left w:w="108" w:type="dxa"/>
          <w:right w:w="58" w:type="dxa"/>
        </w:tblCellMar>
        <w:tblLook w:val="04A0" w:firstRow="1" w:lastRow="0" w:firstColumn="1" w:lastColumn="0" w:noHBand="0" w:noVBand="1"/>
      </w:tblPr>
      <w:tblGrid>
        <w:gridCol w:w="2025"/>
        <w:gridCol w:w="1942"/>
      </w:tblGrid>
      <w:tr w:rsidR="00670E07" w:rsidRPr="005E111C" w14:paraId="371CE64C" w14:textId="77777777" w:rsidTr="00492797">
        <w:trPr>
          <w:trHeight w:val="1063"/>
        </w:trPr>
        <w:tc>
          <w:tcPr>
            <w:tcW w:w="2025" w:type="dxa"/>
            <w:tcBorders>
              <w:top w:val="single" w:sz="4" w:space="0" w:color="000000"/>
              <w:left w:val="single" w:sz="4" w:space="0" w:color="000000"/>
              <w:bottom w:val="single" w:sz="4" w:space="0" w:color="000000"/>
              <w:right w:val="single" w:sz="4" w:space="0" w:color="000000"/>
            </w:tcBorders>
          </w:tcPr>
          <w:p w14:paraId="57EF99D8" w14:textId="77777777" w:rsidR="00670E07" w:rsidRPr="005E111C" w:rsidRDefault="00670E07" w:rsidP="00492797">
            <w:pPr>
              <w:spacing w:line="259" w:lineRule="auto"/>
              <w:ind w:right="52"/>
              <w:jc w:val="both"/>
              <w:rPr>
                <w:rFonts w:ascii="Abadi" w:hAnsi="Abadi"/>
                <w:sz w:val="21"/>
                <w:szCs w:val="21"/>
              </w:rPr>
            </w:pPr>
            <w:r w:rsidRPr="005E111C">
              <w:rPr>
                <w:rFonts w:ascii="Abadi" w:hAnsi="Abadi"/>
                <w:sz w:val="21"/>
                <w:szCs w:val="21"/>
              </w:rPr>
              <w:t xml:space="preserve">(F. DE E., P.O. 12 DE ABRIL DE 2016) </w:t>
            </w:r>
          </w:p>
          <w:p w14:paraId="1DEDD3D4"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p w14:paraId="47E4361F" w14:textId="77777777" w:rsidR="00670E07" w:rsidRPr="005E111C" w:rsidRDefault="00670E07" w:rsidP="00492797">
            <w:pPr>
              <w:spacing w:line="239" w:lineRule="auto"/>
              <w:ind w:right="51"/>
              <w:jc w:val="both"/>
              <w:rPr>
                <w:rFonts w:ascii="Abadi" w:hAnsi="Abadi"/>
                <w:sz w:val="21"/>
                <w:szCs w:val="21"/>
              </w:rPr>
            </w:pPr>
            <w:r w:rsidRPr="005E111C">
              <w:rPr>
                <w:rFonts w:ascii="Abadi" w:hAnsi="Abadi"/>
                <w:sz w:val="21"/>
                <w:szCs w:val="21"/>
              </w:rPr>
              <w:t xml:space="preserve">Para tal efecto se realizarán los acuerdos y acciones de coordinación correspondientes con el Instituto para las Mujeres Guanajuatenses y las áreas de seguridad pública estatal y municipal, a efecto de canalizar todas aquellas </w:t>
            </w:r>
            <w:r w:rsidRPr="005E111C">
              <w:rPr>
                <w:rFonts w:ascii="Abadi" w:hAnsi="Abadi"/>
                <w:sz w:val="21"/>
                <w:szCs w:val="21"/>
              </w:rPr>
              <w:lastRenderedPageBreak/>
              <w:t xml:space="preserve">acciones que limiten los derechos de las mujeres y en general que impacten de forma negativa en la equidad de género. </w:t>
            </w:r>
          </w:p>
          <w:p w14:paraId="18FD0F64"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tc>
        <w:tc>
          <w:tcPr>
            <w:tcW w:w="1942" w:type="dxa"/>
            <w:tcBorders>
              <w:top w:val="single" w:sz="4" w:space="0" w:color="000000"/>
              <w:left w:val="single" w:sz="4" w:space="0" w:color="000000"/>
              <w:bottom w:val="single" w:sz="4" w:space="0" w:color="000000"/>
              <w:right w:val="single" w:sz="4" w:space="0" w:color="000000"/>
            </w:tcBorders>
          </w:tcPr>
          <w:p w14:paraId="3F4437C9" w14:textId="77777777" w:rsidR="00670E07" w:rsidRPr="005E111C" w:rsidRDefault="00670E07" w:rsidP="00492797">
            <w:pPr>
              <w:spacing w:after="160" w:line="259" w:lineRule="auto"/>
              <w:jc w:val="both"/>
              <w:rPr>
                <w:rFonts w:ascii="Abadi" w:hAnsi="Abadi"/>
                <w:sz w:val="21"/>
                <w:szCs w:val="21"/>
              </w:rPr>
            </w:pPr>
          </w:p>
        </w:tc>
      </w:tr>
      <w:tr w:rsidR="00670E07" w:rsidRPr="005E111C" w14:paraId="0F69C847" w14:textId="77777777" w:rsidTr="00492797">
        <w:trPr>
          <w:trHeight w:val="1082"/>
        </w:trPr>
        <w:tc>
          <w:tcPr>
            <w:tcW w:w="2025" w:type="dxa"/>
            <w:tcBorders>
              <w:top w:val="single" w:sz="4" w:space="0" w:color="000000"/>
              <w:left w:val="single" w:sz="4" w:space="0" w:color="000000"/>
              <w:bottom w:val="single" w:sz="4" w:space="0" w:color="000000"/>
              <w:right w:val="single" w:sz="4" w:space="0" w:color="000000"/>
            </w:tcBorders>
          </w:tcPr>
          <w:p w14:paraId="6ABBC800"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Sin correlativo </w:t>
            </w:r>
          </w:p>
        </w:tc>
        <w:tc>
          <w:tcPr>
            <w:tcW w:w="1942" w:type="dxa"/>
            <w:tcBorders>
              <w:top w:val="single" w:sz="4" w:space="0" w:color="000000"/>
              <w:left w:val="single" w:sz="4" w:space="0" w:color="000000"/>
              <w:bottom w:val="single" w:sz="4" w:space="0" w:color="000000"/>
              <w:right w:val="single" w:sz="4" w:space="0" w:color="000000"/>
            </w:tcBorders>
          </w:tcPr>
          <w:p w14:paraId="40F49266" w14:textId="77777777" w:rsidR="00670E07" w:rsidRPr="005E111C" w:rsidRDefault="00670E07" w:rsidP="00492797">
            <w:pPr>
              <w:spacing w:line="259" w:lineRule="auto"/>
              <w:ind w:right="48"/>
              <w:jc w:val="both"/>
              <w:rPr>
                <w:rFonts w:ascii="Abadi" w:hAnsi="Abadi"/>
                <w:sz w:val="21"/>
                <w:szCs w:val="21"/>
              </w:rPr>
            </w:pPr>
            <w:r w:rsidRPr="005E111C">
              <w:rPr>
                <w:rFonts w:ascii="Abadi" w:hAnsi="Abadi"/>
                <w:b/>
                <w:i/>
                <w:sz w:val="21"/>
                <w:szCs w:val="21"/>
              </w:rPr>
              <w:t xml:space="preserve">Participación de las mujeres </w:t>
            </w:r>
          </w:p>
          <w:p w14:paraId="01A12A33" w14:textId="77777777" w:rsidR="00670E07" w:rsidRPr="005E111C" w:rsidRDefault="00670E07" w:rsidP="00492797">
            <w:pPr>
              <w:spacing w:line="259" w:lineRule="auto"/>
              <w:jc w:val="both"/>
              <w:rPr>
                <w:rFonts w:ascii="Abadi" w:hAnsi="Abadi"/>
                <w:sz w:val="21"/>
                <w:szCs w:val="21"/>
              </w:rPr>
            </w:pPr>
            <w:r w:rsidRPr="005E111C">
              <w:rPr>
                <w:rFonts w:ascii="Abadi" w:hAnsi="Abadi"/>
                <w:b/>
                <w:i/>
                <w:sz w:val="21"/>
                <w:szCs w:val="21"/>
              </w:rPr>
              <w:t xml:space="preserve"> </w:t>
            </w:r>
          </w:p>
          <w:p w14:paraId="1EDCA385" w14:textId="77777777" w:rsidR="00670E07" w:rsidRPr="005E111C" w:rsidRDefault="00670E07" w:rsidP="00492797">
            <w:pPr>
              <w:spacing w:line="239" w:lineRule="auto"/>
              <w:ind w:right="49"/>
              <w:jc w:val="both"/>
              <w:rPr>
                <w:rFonts w:ascii="Abadi" w:hAnsi="Abadi"/>
                <w:sz w:val="21"/>
                <w:szCs w:val="21"/>
              </w:rPr>
            </w:pPr>
            <w:r w:rsidRPr="005E111C">
              <w:rPr>
                <w:rFonts w:ascii="Abadi" w:hAnsi="Abadi"/>
                <w:b/>
                <w:sz w:val="21"/>
                <w:szCs w:val="21"/>
              </w:rPr>
              <w:t xml:space="preserve">Artículo 50 Bis. </w:t>
            </w:r>
            <w:r w:rsidRPr="005E111C">
              <w:rPr>
                <w:rFonts w:ascii="Abadi" w:hAnsi="Abadi"/>
                <w:sz w:val="21"/>
                <w:szCs w:val="21"/>
              </w:rPr>
              <w:t xml:space="preserve">Las autoridades estatales y municipales competentes garantizarán la participación de las mujeres, así como las diversas identidades de género, en la planeación y toma de decisiones sobre el diseño de la movilidad y la seguridad vial, en los componentes de los sistemas de movilidad y en la evaluación de sus impactos. </w:t>
            </w:r>
          </w:p>
          <w:p w14:paraId="1179F99D"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tc>
      </w:tr>
      <w:tr w:rsidR="00670E07" w:rsidRPr="005E111C" w14:paraId="7CDF3889" w14:textId="77777777" w:rsidTr="00492797">
        <w:trPr>
          <w:trHeight w:val="1839"/>
        </w:trPr>
        <w:tc>
          <w:tcPr>
            <w:tcW w:w="2025" w:type="dxa"/>
            <w:tcBorders>
              <w:top w:val="single" w:sz="4" w:space="0" w:color="000000"/>
              <w:left w:val="single" w:sz="4" w:space="0" w:color="000000"/>
              <w:bottom w:val="single" w:sz="4" w:space="0" w:color="000000"/>
              <w:right w:val="single" w:sz="4" w:space="0" w:color="000000"/>
            </w:tcBorders>
          </w:tcPr>
          <w:p w14:paraId="68350B84"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Sin correlativo </w:t>
            </w:r>
          </w:p>
        </w:tc>
        <w:tc>
          <w:tcPr>
            <w:tcW w:w="1942" w:type="dxa"/>
            <w:tcBorders>
              <w:top w:val="single" w:sz="4" w:space="0" w:color="000000"/>
              <w:left w:val="single" w:sz="4" w:space="0" w:color="000000"/>
              <w:bottom w:val="single" w:sz="4" w:space="0" w:color="000000"/>
              <w:right w:val="single" w:sz="4" w:space="0" w:color="000000"/>
            </w:tcBorders>
          </w:tcPr>
          <w:p w14:paraId="5607C698" w14:textId="77777777" w:rsidR="00670E07" w:rsidRPr="005E111C" w:rsidRDefault="00670E07" w:rsidP="00492797">
            <w:pPr>
              <w:spacing w:line="259" w:lineRule="auto"/>
              <w:ind w:right="48"/>
              <w:jc w:val="both"/>
              <w:rPr>
                <w:rFonts w:ascii="Abadi" w:hAnsi="Abadi"/>
                <w:sz w:val="21"/>
                <w:szCs w:val="21"/>
              </w:rPr>
            </w:pPr>
            <w:r w:rsidRPr="005E111C">
              <w:rPr>
                <w:rFonts w:ascii="Abadi" w:hAnsi="Abadi"/>
                <w:b/>
                <w:i/>
                <w:sz w:val="21"/>
                <w:szCs w:val="21"/>
              </w:rPr>
              <w:t xml:space="preserve">Movilidad con perspectiva de género </w:t>
            </w:r>
          </w:p>
          <w:p w14:paraId="035A8C24" w14:textId="77777777" w:rsidR="00670E07" w:rsidRPr="005E111C" w:rsidRDefault="00670E07" w:rsidP="00492797">
            <w:pPr>
              <w:spacing w:line="259" w:lineRule="auto"/>
              <w:jc w:val="both"/>
              <w:rPr>
                <w:rFonts w:ascii="Abadi" w:hAnsi="Abadi"/>
                <w:sz w:val="21"/>
                <w:szCs w:val="21"/>
              </w:rPr>
            </w:pPr>
            <w:r w:rsidRPr="005E111C">
              <w:rPr>
                <w:rFonts w:ascii="Abadi" w:hAnsi="Abadi"/>
                <w:b/>
                <w:i/>
                <w:sz w:val="21"/>
                <w:szCs w:val="21"/>
              </w:rPr>
              <w:t xml:space="preserve"> </w:t>
            </w:r>
          </w:p>
          <w:p w14:paraId="43BEE92A" w14:textId="77777777" w:rsidR="00670E07" w:rsidRPr="005E111C" w:rsidRDefault="00670E07" w:rsidP="00492797">
            <w:pPr>
              <w:spacing w:after="2" w:line="238" w:lineRule="auto"/>
              <w:ind w:right="49"/>
              <w:jc w:val="both"/>
              <w:rPr>
                <w:rFonts w:ascii="Abadi" w:hAnsi="Abadi"/>
                <w:sz w:val="21"/>
                <w:szCs w:val="21"/>
              </w:rPr>
            </w:pPr>
            <w:r w:rsidRPr="005E111C">
              <w:rPr>
                <w:rFonts w:ascii="Abadi" w:hAnsi="Abadi"/>
                <w:b/>
                <w:sz w:val="21"/>
                <w:szCs w:val="21"/>
              </w:rPr>
              <w:t xml:space="preserve">Artículo 50 Ter. </w:t>
            </w:r>
            <w:r w:rsidRPr="005E111C">
              <w:rPr>
                <w:rFonts w:ascii="Abadi" w:hAnsi="Abadi"/>
                <w:sz w:val="21"/>
                <w:szCs w:val="21"/>
              </w:rPr>
              <w:t xml:space="preserve">Los sistemas de movilidad y sus componentes deberán orientarse a mejorar la experiencia de movilidad de las mujeres y su seguridad, considerando la movilidad de cuidados, por lo que las autoridades estatales y municipales </w:t>
            </w:r>
            <w:r w:rsidRPr="005E111C">
              <w:rPr>
                <w:rFonts w:ascii="Abadi" w:hAnsi="Abadi"/>
                <w:sz w:val="21"/>
                <w:szCs w:val="21"/>
              </w:rPr>
              <w:t xml:space="preserve">competentes promoverán políticas públicas y ejecutarán presupuestos con perspectiva de género para prevenir y erradicar las violencias hacia las mujeres en los sistemas de movilidad.  </w:t>
            </w:r>
          </w:p>
          <w:p w14:paraId="0E03D0EB"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p w14:paraId="437286FC" w14:textId="77777777" w:rsidR="00670E07" w:rsidRPr="005E111C" w:rsidRDefault="00670E07" w:rsidP="00492797">
            <w:pPr>
              <w:spacing w:line="238" w:lineRule="auto"/>
              <w:ind w:right="50"/>
              <w:jc w:val="both"/>
              <w:rPr>
                <w:rFonts w:ascii="Abadi" w:hAnsi="Abadi"/>
                <w:sz w:val="21"/>
                <w:szCs w:val="21"/>
              </w:rPr>
            </w:pPr>
            <w:r w:rsidRPr="005E111C">
              <w:rPr>
                <w:rFonts w:ascii="Abadi" w:hAnsi="Abadi"/>
                <w:sz w:val="21"/>
                <w:szCs w:val="21"/>
              </w:rPr>
              <w:t xml:space="preserve">La sensibilización y capacitación en materia de género tendrán carácter obligatorio para las personas responsables de diseñar, operar y evaluar los sistemas de movilidad.  </w:t>
            </w:r>
          </w:p>
          <w:p w14:paraId="1BB1538E" w14:textId="77777777" w:rsidR="00670E07" w:rsidRPr="005E111C" w:rsidRDefault="00670E07" w:rsidP="00492797">
            <w:pPr>
              <w:spacing w:line="259" w:lineRule="auto"/>
              <w:jc w:val="both"/>
              <w:rPr>
                <w:rFonts w:ascii="Abadi" w:hAnsi="Abadi"/>
                <w:sz w:val="21"/>
                <w:szCs w:val="21"/>
              </w:rPr>
            </w:pPr>
            <w:r w:rsidRPr="005E111C">
              <w:rPr>
                <w:rFonts w:ascii="Abadi" w:hAnsi="Abadi"/>
                <w:i/>
                <w:sz w:val="21"/>
                <w:szCs w:val="21"/>
              </w:rPr>
              <w:t xml:space="preserve"> </w:t>
            </w:r>
          </w:p>
        </w:tc>
      </w:tr>
      <w:tr w:rsidR="00670E07" w:rsidRPr="005E111C" w14:paraId="6A414627" w14:textId="77777777" w:rsidTr="00492797">
        <w:trPr>
          <w:trHeight w:val="975"/>
        </w:trPr>
        <w:tc>
          <w:tcPr>
            <w:tcW w:w="2025" w:type="dxa"/>
            <w:tcBorders>
              <w:top w:val="single" w:sz="4" w:space="0" w:color="000000"/>
              <w:left w:val="single" w:sz="4" w:space="0" w:color="000000"/>
              <w:bottom w:val="single" w:sz="4" w:space="0" w:color="000000"/>
              <w:right w:val="single" w:sz="4" w:space="0" w:color="000000"/>
            </w:tcBorders>
          </w:tcPr>
          <w:p w14:paraId="1A88EAB0"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Sin correlativo </w:t>
            </w:r>
          </w:p>
        </w:tc>
        <w:tc>
          <w:tcPr>
            <w:tcW w:w="1942" w:type="dxa"/>
            <w:tcBorders>
              <w:top w:val="single" w:sz="4" w:space="0" w:color="000000"/>
              <w:left w:val="single" w:sz="4" w:space="0" w:color="000000"/>
              <w:bottom w:val="single" w:sz="4" w:space="0" w:color="000000"/>
              <w:right w:val="single" w:sz="4" w:space="0" w:color="000000"/>
            </w:tcBorders>
          </w:tcPr>
          <w:p w14:paraId="11A032CA" w14:textId="77777777" w:rsidR="00670E07" w:rsidRPr="005E111C" w:rsidRDefault="00670E07" w:rsidP="00492797">
            <w:pPr>
              <w:spacing w:line="259" w:lineRule="auto"/>
              <w:ind w:right="48"/>
              <w:jc w:val="both"/>
              <w:rPr>
                <w:rFonts w:ascii="Abadi" w:hAnsi="Abadi"/>
                <w:sz w:val="21"/>
                <w:szCs w:val="21"/>
              </w:rPr>
            </w:pPr>
            <w:r w:rsidRPr="005E111C">
              <w:rPr>
                <w:rFonts w:ascii="Abadi" w:hAnsi="Abadi"/>
                <w:b/>
                <w:sz w:val="21"/>
                <w:szCs w:val="21"/>
              </w:rPr>
              <w:t xml:space="preserve"> </w:t>
            </w:r>
            <w:r w:rsidRPr="005E111C">
              <w:rPr>
                <w:rFonts w:ascii="Abadi" w:hAnsi="Abadi"/>
                <w:b/>
                <w:i/>
                <w:sz w:val="21"/>
                <w:szCs w:val="21"/>
              </w:rPr>
              <w:t xml:space="preserve">Movilidad de cuidados </w:t>
            </w:r>
          </w:p>
          <w:p w14:paraId="49C9227C" w14:textId="77777777" w:rsidR="00670E07" w:rsidRPr="005E111C" w:rsidRDefault="00670E07" w:rsidP="00492797">
            <w:pPr>
              <w:spacing w:line="259" w:lineRule="auto"/>
              <w:jc w:val="both"/>
              <w:rPr>
                <w:rFonts w:ascii="Abadi" w:hAnsi="Abadi"/>
                <w:sz w:val="21"/>
                <w:szCs w:val="21"/>
              </w:rPr>
            </w:pPr>
            <w:r w:rsidRPr="005E111C">
              <w:rPr>
                <w:rFonts w:ascii="Abadi" w:hAnsi="Abadi"/>
                <w:b/>
                <w:sz w:val="21"/>
                <w:szCs w:val="21"/>
              </w:rPr>
              <w:t xml:space="preserve"> </w:t>
            </w:r>
          </w:p>
          <w:p w14:paraId="443CC43E" w14:textId="77777777" w:rsidR="00670E07" w:rsidRPr="005E111C" w:rsidRDefault="00670E07" w:rsidP="00492797">
            <w:pPr>
              <w:spacing w:line="259" w:lineRule="auto"/>
              <w:ind w:right="51"/>
              <w:jc w:val="both"/>
              <w:rPr>
                <w:rFonts w:ascii="Abadi" w:hAnsi="Abadi"/>
                <w:sz w:val="21"/>
                <w:szCs w:val="21"/>
              </w:rPr>
            </w:pPr>
            <w:r w:rsidRPr="005E111C">
              <w:rPr>
                <w:rFonts w:ascii="Abadi" w:hAnsi="Abadi"/>
                <w:b/>
                <w:sz w:val="21"/>
                <w:szCs w:val="21"/>
              </w:rPr>
              <w:t>Artículo 50 Quáter.</w:t>
            </w:r>
            <w:r w:rsidRPr="005E111C">
              <w:rPr>
                <w:rFonts w:ascii="Abadi" w:hAnsi="Abadi"/>
                <w:sz w:val="21"/>
                <w:szCs w:val="21"/>
              </w:rPr>
              <w:t xml:space="preserve"> En el diseño, planeación y evaluación de los sistemas de movilidad, las autoridades estatales y municipales competentes deberán fomentar la inclusión de las mujeres e incorporar criterios que garanticen el reconocimiento de los diversos patrones de movilidad diferenciados por géneros.  </w:t>
            </w:r>
          </w:p>
        </w:tc>
      </w:tr>
      <w:tr w:rsidR="00670E07" w:rsidRPr="005E111C" w14:paraId="34CB537D" w14:textId="77777777" w:rsidTr="00492797">
        <w:trPr>
          <w:trHeight w:val="2489"/>
        </w:trPr>
        <w:tc>
          <w:tcPr>
            <w:tcW w:w="2025" w:type="dxa"/>
            <w:tcBorders>
              <w:top w:val="single" w:sz="4" w:space="0" w:color="000000"/>
              <w:left w:val="single" w:sz="4" w:space="0" w:color="000000"/>
              <w:bottom w:val="single" w:sz="4" w:space="0" w:color="000000"/>
              <w:right w:val="single" w:sz="4" w:space="0" w:color="000000"/>
            </w:tcBorders>
          </w:tcPr>
          <w:p w14:paraId="652D38E2" w14:textId="77777777" w:rsidR="00670E07" w:rsidRPr="005E111C" w:rsidRDefault="00670E07" w:rsidP="00492797">
            <w:pPr>
              <w:spacing w:after="160" w:line="259" w:lineRule="auto"/>
              <w:jc w:val="both"/>
              <w:rPr>
                <w:rFonts w:ascii="Abadi" w:hAnsi="Abadi"/>
                <w:sz w:val="21"/>
                <w:szCs w:val="21"/>
              </w:rPr>
            </w:pPr>
          </w:p>
        </w:tc>
        <w:tc>
          <w:tcPr>
            <w:tcW w:w="1942" w:type="dxa"/>
            <w:tcBorders>
              <w:top w:val="single" w:sz="4" w:space="0" w:color="000000"/>
              <w:left w:val="single" w:sz="4" w:space="0" w:color="000000"/>
              <w:bottom w:val="single" w:sz="4" w:space="0" w:color="000000"/>
              <w:right w:val="single" w:sz="4" w:space="0" w:color="000000"/>
            </w:tcBorders>
          </w:tcPr>
          <w:p w14:paraId="12EC1377"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p w14:paraId="05B37C26" w14:textId="77777777" w:rsidR="00670E07" w:rsidRPr="005E111C" w:rsidRDefault="00670E07" w:rsidP="00492797">
            <w:pPr>
              <w:spacing w:line="239" w:lineRule="auto"/>
              <w:ind w:right="51"/>
              <w:jc w:val="both"/>
              <w:rPr>
                <w:rFonts w:ascii="Abadi" w:hAnsi="Abadi"/>
                <w:sz w:val="21"/>
                <w:szCs w:val="21"/>
              </w:rPr>
            </w:pPr>
            <w:r w:rsidRPr="005E111C">
              <w:rPr>
                <w:rFonts w:ascii="Abadi" w:hAnsi="Abadi"/>
                <w:sz w:val="21"/>
                <w:szCs w:val="21"/>
              </w:rPr>
              <w:t xml:space="preserve">Deberán también implementar mecanismos de generación de datos que ayuden a entender la movilidad del cuidado y las necesidades diferenciadas de las mujeres y su relación con el cuidado de terceras personas, dependientes o con necesidades específicas.  </w:t>
            </w:r>
          </w:p>
          <w:p w14:paraId="51AE6EF5"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p w14:paraId="2BE38CD7"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p w14:paraId="539ED3CB" w14:textId="77777777" w:rsidR="00670E07" w:rsidRPr="005E111C" w:rsidRDefault="00670E07" w:rsidP="00492797">
            <w:pPr>
              <w:ind w:right="47"/>
              <w:jc w:val="both"/>
              <w:rPr>
                <w:rFonts w:ascii="Abadi" w:hAnsi="Abadi"/>
                <w:sz w:val="21"/>
                <w:szCs w:val="21"/>
              </w:rPr>
            </w:pPr>
            <w:r w:rsidRPr="005E111C">
              <w:rPr>
                <w:rFonts w:ascii="Abadi" w:hAnsi="Abadi"/>
                <w:b/>
                <w:i/>
                <w:sz w:val="21"/>
                <w:szCs w:val="21"/>
              </w:rPr>
              <w:t xml:space="preserve">Acciones afirmativas en la movilidad de cuidados </w:t>
            </w:r>
          </w:p>
          <w:p w14:paraId="0F2FFBB9" w14:textId="77777777" w:rsidR="00670E07" w:rsidRPr="005E111C" w:rsidRDefault="00670E07" w:rsidP="00492797">
            <w:pPr>
              <w:spacing w:line="259" w:lineRule="auto"/>
              <w:jc w:val="both"/>
              <w:rPr>
                <w:rFonts w:ascii="Abadi" w:hAnsi="Abadi"/>
                <w:sz w:val="21"/>
                <w:szCs w:val="21"/>
              </w:rPr>
            </w:pPr>
            <w:r w:rsidRPr="005E111C">
              <w:rPr>
                <w:rFonts w:ascii="Abadi" w:hAnsi="Abadi"/>
                <w:b/>
                <w:sz w:val="21"/>
                <w:szCs w:val="21"/>
              </w:rPr>
              <w:t xml:space="preserve"> </w:t>
            </w:r>
          </w:p>
          <w:p w14:paraId="3ED8AE0A" w14:textId="77777777" w:rsidR="00670E07" w:rsidRPr="005E111C" w:rsidRDefault="00670E07" w:rsidP="00492797">
            <w:pPr>
              <w:spacing w:line="239" w:lineRule="auto"/>
              <w:ind w:right="49"/>
              <w:jc w:val="both"/>
              <w:rPr>
                <w:rFonts w:ascii="Abadi" w:hAnsi="Abadi"/>
                <w:sz w:val="21"/>
                <w:szCs w:val="21"/>
              </w:rPr>
            </w:pPr>
            <w:r w:rsidRPr="005E111C">
              <w:rPr>
                <w:rFonts w:ascii="Abadi" w:hAnsi="Abadi"/>
                <w:b/>
                <w:sz w:val="21"/>
                <w:szCs w:val="21"/>
              </w:rPr>
              <w:t xml:space="preserve">Artículo 50 Quinquies. </w:t>
            </w:r>
            <w:r w:rsidRPr="005E111C">
              <w:rPr>
                <w:rFonts w:ascii="Abadi" w:hAnsi="Abadi"/>
                <w:sz w:val="21"/>
                <w:szCs w:val="21"/>
              </w:rPr>
              <w:t xml:space="preserve">Las autoridades estatales y municipales competentes podrán fijar subsidios o subvenciones a la movilidad de cuidados mediante excepciones a las tarifas generales, estableciendo modalidades preferenciales, especiales o integradas. O bien, podrán diseñar otras políticas públicas en materia de movilidad y seguridad vial con perspectiva de género para disminuir las desigualdades de las mujeres en materia de cuidados.  </w:t>
            </w:r>
          </w:p>
          <w:p w14:paraId="19999A90"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 </w:t>
            </w:r>
          </w:p>
        </w:tc>
      </w:tr>
      <w:tr w:rsidR="00670E07" w:rsidRPr="005E111C" w14:paraId="595F4206" w14:textId="77777777" w:rsidTr="00492797">
        <w:trPr>
          <w:trHeight w:val="1082"/>
        </w:trPr>
        <w:tc>
          <w:tcPr>
            <w:tcW w:w="2025" w:type="dxa"/>
            <w:tcBorders>
              <w:top w:val="single" w:sz="4" w:space="0" w:color="000000"/>
              <w:left w:val="single" w:sz="4" w:space="0" w:color="000000"/>
              <w:bottom w:val="single" w:sz="4" w:space="0" w:color="000000"/>
              <w:right w:val="single" w:sz="4" w:space="0" w:color="000000"/>
            </w:tcBorders>
          </w:tcPr>
          <w:p w14:paraId="774EBFB1" w14:textId="77777777" w:rsidR="00670E07" w:rsidRPr="005E111C" w:rsidRDefault="00670E07" w:rsidP="00492797">
            <w:pPr>
              <w:spacing w:line="259" w:lineRule="auto"/>
              <w:jc w:val="both"/>
              <w:rPr>
                <w:rFonts w:ascii="Abadi" w:hAnsi="Abadi"/>
                <w:sz w:val="21"/>
                <w:szCs w:val="21"/>
              </w:rPr>
            </w:pPr>
            <w:r w:rsidRPr="005E111C">
              <w:rPr>
                <w:rFonts w:ascii="Abadi" w:hAnsi="Abadi"/>
                <w:sz w:val="21"/>
                <w:szCs w:val="21"/>
              </w:rPr>
              <w:t xml:space="preserve">Sin correlativo </w:t>
            </w:r>
          </w:p>
        </w:tc>
        <w:tc>
          <w:tcPr>
            <w:tcW w:w="1942" w:type="dxa"/>
            <w:tcBorders>
              <w:top w:val="single" w:sz="4" w:space="0" w:color="000000"/>
              <w:left w:val="single" w:sz="4" w:space="0" w:color="000000"/>
              <w:bottom w:val="single" w:sz="4" w:space="0" w:color="000000"/>
              <w:right w:val="single" w:sz="4" w:space="0" w:color="000000"/>
            </w:tcBorders>
          </w:tcPr>
          <w:p w14:paraId="231CEEFA" w14:textId="77777777" w:rsidR="00670E07" w:rsidRPr="005E111C" w:rsidRDefault="00670E07" w:rsidP="00492797">
            <w:pPr>
              <w:spacing w:line="259" w:lineRule="auto"/>
              <w:ind w:right="48"/>
              <w:jc w:val="both"/>
              <w:rPr>
                <w:rFonts w:ascii="Abadi" w:hAnsi="Abadi"/>
                <w:sz w:val="21"/>
                <w:szCs w:val="21"/>
              </w:rPr>
            </w:pPr>
            <w:r w:rsidRPr="005E111C">
              <w:rPr>
                <w:rFonts w:ascii="Abadi" w:hAnsi="Abadi"/>
                <w:b/>
                <w:i/>
                <w:sz w:val="21"/>
                <w:szCs w:val="21"/>
              </w:rPr>
              <w:t xml:space="preserve">Diseño vial con perspectiva de género </w:t>
            </w:r>
          </w:p>
          <w:p w14:paraId="2808A219" w14:textId="77777777" w:rsidR="00670E07" w:rsidRPr="005E111C" w:rsidRDefault="00670E07" w:rsidP="00492797">
            <w:pPr>
              <w:spacing w:line="259" w:lineRule="auto"/>
              <w:jc w:val="both"/>
              <w:rPr>
                <w:rFonts w:ascii="Abadi" w:hAnsi="Abadi"/>
                <w:sz w:val="21"/>
                <w:szCs w:val="21"/>
              </w:rPr>
            </w:pPr>
            <w:r w:rsidRPr="005E111C">
              <w:rPr>
                <w:rFonts w:ascii="Abadi" w:hAnsi="Abadi"/>
                <w:b/>
                <w:sz w:val="21"/>
                <w:szCs w:val="21"/>
              </w:rPr>
              <w:t xml:space="preserve"> </w:t>
            </w:r>
          </w:p>
          <w:p w14:paraId="6E3F522D" w14:textId="77777777" w:rsidR="00670E07" w:rsidRPr="005E111C" w:rsidRDefault="00670E07" w:rsidP="00492797">
            <w:pPr>
              <w:spacing w:line="239" w:lineRule="auto"/>
              <w:ind w:right="49"/>
              <w:jc w:val="both"/>
              <w:rPr>
                <w:rFonts w:ascii="Abadi" w:hAnsi="Abadi"/>
                <w:sz w:val="21"/>
                <w:szCs w:val="21"/>
              </w:rPr>
            </w:pPr>
            <w:r w:rsidRPr="005E111C">
              <w:rPr>
                <w:rFonts w:ascii="Abadi" w:hAnsi="Abadi"/>
                <w:b/>
                <w:sz w:val="21"/>
                <w:szCs w:val="21"/>
              </w:rPr>
              <w:t>Artículo 50 Sexies.</w:t>
            </w:r>
            <w:r w:rsidRPr="005E111C">
              <w:rPr>
                <w:rFonts w:ascii="Abadi" w:hAnsi="Abadi"/>
                <w:sz w:val="21"/>
                <w:szCs w:val="21"/>
              </w:rPr>
              <w:t xml:space="preserve"> Las calles deberán contar con los elementos urbanos adecuados que garanticen que cualquier persona usuaria, preferentemente las niñas, adolescentes, mujeres, así como las diversas identidades de género, puedan acceder, usar y ocupar el espacio público en plenitud, sin discriminaciones ni violencias.  </w:t>
            </w:r>
          </w:p>
          <w:p w14:paraId="0E4071ED" w14:textId="77777777" w:rsidR="00670E07" w:rsidRPr="005E111C" w:rsidRDefault="00670E07" w:rsidP="00492797">
            <w:pPr>
              <w:spacing w:line="259" w:lineRule="auto"/>
              <w:jc w:val="both"/>
              <w:rPr>
                <w:rFonts w:ascii="Abadi" w:hAnsi="Abadi"/>
                <w:sz w:val="21"/>
                <w:szCs w:val="21"/>
              </w:rPr>
            </w:pPr>
            <w:r w:rsidRPr="005E111C">
              <w:rPr>
                <w:rFonts w:ascii="Abadi" w:hAnsi="Abadi"/>
                <w:b/>
                <w:i/>
                <w:sz w:val="21"/>
                <w:szCs w:val="21"/>
              </w:rPr>
              <w:t xml:space="preserve"> </w:t>
            </w:r>
          </w:p>
        </w:tc>
      </w:tr>
    </w:tbl>
    <w:p w14:paraId="3674D179" w14:textId="77777777" w:rsidR="00670E07" w:rsidRPr="005E111C" w:rsidRDefault="00670E07" w:rsidP="00670E07">
      <w:pPr>
        <w:ind w:left="-5" w:right="49"/>
        <w:rPr>
          <w:rFonts w:ascii="Abadi" w:hAnsi="Abadi"/>
          <w:sz w:val="21"/>
          <w:szCs w:val="21"/>
        </w:rPr>
      </w:pPr>
    </w:p>
    <w:p w14:paraId="3A94DB03" w14:textId="77777777" w:rsidR="00670E07" w:rsidRDefault="00670E07" w:rsidP="00607644">
      <w:pPr>
        <w:ind w:left="-5" w:right="49"/>
        <w:jc w:val="both"/>
        <w:rPr>
          <w:rFonts w:ascii="Abadi" w:hAnsi="Abadi" w:cs="Arial"/>
          <w:sz w:val="21"/>
          <w:szCs w:val="21"/>
        </w:rPr>
      </w:pPr>
      <w:r w:rsidRPr="005E111C">
        <w:rPr>
          <w:rFonts w:ascii="Abadi" w:hAnsi="Abadi"/>
          <w:sz w:val="21"/>
          <w:szCs w:val="21"/>
        </w:rPr>
        <w:t>De acuerdo con el artículo 209 de la Ley Orgánica del Poder Legislativo del Estado de Guanajuato, manifestamos que la presente iniciativa con proyecto de decreto contiene los siguientes impactos:</w:t>
      </w:r>
      <w:r w:rsidRPr="005E111C">
        <w:rPr>
          <w:rFonts w:ascii="Abadi" w:hAnsi="Abadi" w:cs="Arial"/>
          <w:sz w:val="21"/>
          <w:szCs w:val="21"/>
        </w:rPr>
        <w:t xml:space="preserve"> </w:t>
      </w:r>
    </w:p>
    <w:p w14:paraId="112B6F85" w14:textId="77777777" w:rsidR="00FD256C" w:rsidRPr="005E111C" w:rsidRDefault="00FD256C" w:rsidP="00607644">
      <w:pPr>
        <w:ind w:left="-5" w:right="49"/>
        <w:jc w:val="both"/>
        <w:rPr>
          <w:rFonts w:ascii="Abadi" w:hAnsi="Abadi"/>
          <w:sz w:val="21"/>
          <w:szCs w:val="21"/>
        </w:rPr>
      </w:pPr>
    </w:p>
    <w:p w14:paraId="7BA2C393" w14:textId="77777777" w:rsidR="00670E07" w:rsidRPr="00896A49" w:rsidRDefault="00670E07" w:rsidP="00607644">
      <w:pPr>
        <w:pStyle w:val="Ttulo1"/>
        <w:spacing w:after="202"/>
        <w:ind w:right="55"/>
        <w:jc w:val="both"/>
        <w:rPr>
          <w:rFonts w:ascii="Abadi" w:hAnsi="Abadi"/>
          <w:i w:val="0"/>
          <w:iCs w:val="0"/>
          <w:sz w:val="21"/>
          <w:szCs w:val="21"/>
        </w:rPr>
      </w:pPr>
      <w:r w:rsidRPr="00896A49">
        <w:rPr>
          <w:rFonts w:ascii="Abadi" w:hAnsi="Abadi"/>
          <w:i w:val="0"/>
          <w:iCs w:val="0"/>
          <w:sz w:val="21"/>
          <w:szCs w:val="21"/>
        </w:rPr>
        <w:t xml:space="preserve">I m p a c t o s  </w:t>
      </w:r>
    </w:p>
    <w:p w14:paraId="2E35D52A" w14:textId="77777777" w:rsidR="00670E07" w:rsidRPr="005E111C" w:rsidRDefault="00670E07" w:rsidP="00427BD6">
      <w:pPr>
        <w:numPr>
          <w:ilvl w:val="0"/>
          <w:numId w:val="15"/>
        </w:numPr>
        <w:spacing w:after="9" w:line="250" w:lineRule="auto"/>
        <w:ind w:right="49" w:hanging="720"/>
        <w:jc w:val="both"/>
        <w:rPr>
          <w:rFonts w:ascii="Abadi" w:hAnsi="Abadi"/>
          <w:sz w:val="21"/>
          <w:szCs w:val="21"/>
        </w:rPr>
      </w:pPr>
      <w:r w:rsidRPr="005E111C">
        <w:rPr>
          <w:rFonts w:ascii="Abadi" w:hAnsi="Abadi" w:cs="Arial"/>
          <w:b/>
          <w:sz w:val="21"/>
          <w:szCs w:val="21"/>
        </w:rPr>
        <w:t>Impacto jurídico:</w:t>
      </w:r>
      <w:r w:rsidRPr="005E111C">
        <w:rPr>
          <w:rFonts w:ascii="Abadi" w:hAnsi="Abadi"/>
          <w:sz w:val="21"/>
          <w:szCs w:val="21"/>
        </w:rPr>
        <w:t xml:space="preserve"> se reforma el artículo 50; y se adicionan los artículos 50 Bis, 50 Ter, 50 Quáter, 50 Quinquies y 50 Sexies, todos ellos de la Ley de Movilidad del Estado de Guanajuato y sus Municipios.</w:t>
      </w:r>
      <w:r w:rsidRPr="005E111C">
        <w:rPr>
          <w:rFonts w:ascii="Abadi" w:hAnsi="Abadi" w:cs="Arial"/>
          <w:sz w:val="21"/>
          <w:szCs w:val="21"/>
        </w:rPr>
        <w:t xml:space="preserve"> </w:t>
      </w:r>
    </w:p>
    <w:p w14:paraId="623F8259" w14:textId="77777777" w:rsidR="00670E07" w:rsidRPr="005E111C" w:rsidRDefault="00670E07" w:rsidP="00607644">
      <w:pPr>
        <w:spacing w:line="259" w:lineRule="auto"/>
        <w:ind w:left="1080"/>
        <w:jc w:val="both"/>
        <w:rPr>
          <w:rFonts w:ascii="Abadi" w:hAnsi="Abadi"/>
          <w:sz w:val="21"/>
          <w:szCs w:val="21"/>
        </w:rPr>
      </w:pPr>
      <w:r w:rsidRPr="005E111C">
        <w:rPr>
          <w:rFonts w:ascii="Abadi" w:hAnsi="Abadi" w:cs="Arial"/>
          <w:sz w:val="21"/>
          <w:szCs w:val="21"/>
        </w:rPr>
        <w:t xml:space="preserve"> </w:t>
      </w:r>
    </w:p>
    <w:p w14:paraId="39788539" w14:textId="77777777" w:rsidR="00670E07" w:rsidRPr="005E111C" w:rsidRDefault="00670E07" w:rsidP="00427BD6">
      <w:pPr>
        <w:numPr>
          <w:ilvl w:val="0"/>
          <w:numId w:val="15"/>
        </w:numPr>
        <w:spacing w:after="9" w:line="250" w:lineRule="auto"/>
        <w:ind w:right="49" w:hanging="720"/>
        <w:jc w:val="both"/>
        <w:rPr>
          <w:rFonts w:ascii="Abadi" w:hAnsi="Abadi"/>
          <w:sz w:val="21"/>
          <w:szCs w:val="21"/>
        </w:rPr>
      </w:pPr>
      <w:r w:rsidRPr="005E111C">
        <w:rPr>
          <w:rFonts w:ascii="Abadi" w:hAnsi="Abadi" w:cs="Arial"/>
          <w:b/>
          <w:sz w:val="21"/>
          <w:szCs w:val="21"/>
        </w:rPr>
        <w:lastRenderedPageBreak/>
        <w:t>Impacto administrativo:</w:t>
      </w:r>
      <w:r w:rsidRPr="005E111C">
        <w:rPr>
          <w:rFonts w:ascii="Abadi" w:hAnsi="Abadi"/>
          <w:sz w:val="21"/>
          <w:szCs w:val="21"/>
        </w:rPr>
        <w:t xml:space="preserve"> la presente iniciativa no tiene impacto administrativo pues no crea o modifica estructuras administrativas.</w:t>
      </w:r>
      <w:r w:rsidRPr="005E111C">
        <w:rPr>
          <w:rFonts w:ascii="Abadi" w:hAnsi="Abadi" w:cs="Arial"/>
          <w:sz w:val="21"/>
          <w:szCs w:val="21"/>
        </w:rPr>
        <w:t xml:space="preserve"> </w:t>
      </w:r>
    </w:p>
    <w:p w14:paraId="5F9B9CF8" w14:textId="77777777" w:rsidR="00670E07" w:rsidRPr="005E111C" w:rsidRDefault="00670E07" w:rsidP="00607644">
      <w:pPr>
        <w:spacing w:after="42" w:line="259" w:lineRule="auto"/>
        <w:ind w:left="720"/>
        <w:jc w:val="both"/>
        <w:rPr>
          <w:rFonts w:ascii="Abadi" w:hAnsi="Abadi"/>
          <w:sz w:val="21"/>
          <w:szCs w:val="21"/>
        </w:rPr>
      </w:pPr>
      <w:r w:rsidRPr="005E111C">
        <w:rPr>
          <w:rFonts w:ascii="Abadi" w:hAnsi="Abadi" w:cs="Arial"/>
          <w:sz w:val="21"/>
          <w:szCs w:val="21"/>
        </w:rPr>
        <w:t xml:space="preserve"> </w:t>
      </w:r>
    </w:p>
    <w:p w14:paraId="6FE1B7F3" w14:textId="77777777" w:rsidR="00670E07" w:rsidRPr="005E111C" w:rsidRDefault="00670E07" w:rsidP="00427BD6">
      <w:pPr>
        <w:numPr>
          <w:ilvl w:val="0"/>
          <w:numId w:val="15"/>
        </w:numPr>
        <w:spacing w:after="9" w:line="250" w:lineRule="auto"/>
        <w:ind w:right="49" w:hanging="720"/>
        <w:jc w:val="both"/>
        <w:rPr>
          <w:rFonts w:ascii="Abadi" w:hAnsi="Abadi"/>
          <w:sz w:val="21"/>
          <w:szCs w:val="21"/>
        </w:rPr>
      </w:pPr>
      <w:r w:rsidRPr="005E111C">
        <w:rPr>
          <w:rFonts w:ascii="Abadi" w:hAnsi="Abadi" w:cs="Arial"/>
          <w:b/>
          <w:sz w:val="21"/>
          <w:szCs w:val="21"/>
        </w:rPr>
        <w:t>Impacto presupuestario:</w:t>
      </w:r>
      <w:r w:rsidRPr="005E111C">
        <w:rPr>
          <w:rFonts w:ascii="Abadi" w:hAnsi="Abadi"/>
          <w:sz w:val="21"/>
          <w:szCs w:val="21"/>
        </w:rPr>
        <w:t xml:space="preserve"> la presente iniciativa no genera ningún impacto presupuestario directo, aunque los sujetos obligados de la ley y los operadores de la norma deberán de generar presupuestos con perspectiva de género. </w:t>
      </w:r>
      <w:r w:rsidRPr="005E111C">
        <w:rPr>
          <w:rFonts w:ascii="Abadi" w:hAnsi="Abadi" w:cs="Arial"/>
          <w:sz w:val="21"/>
          <w:szCs w:val="21"/>
        </w:rPr>
        <w:t xml:space="preserve"> </w:t>
      </w:r>
    </w:p>
    <w:p w14:paraId="415AC7A9" w14:textId="77777777" w:rsidR="00670E07" w:rsidRPr="005E111C" w:rsidRDefault="00670E07" w:rsidP="00607644">
      <w:pPr>
        <w:spacing w:after="42" w:line="259" w:lineRule="auto"/>
        <w:ind w:left="1080"/>
        <w:jc w:val="both"/>
        <w:rPr>
          <w:rFonts w:ascii="Abadi" w:hAnsi="Abadi"/>
          <w:sz w:val="21"/>
          <w:szCs w:val="21"/>
        </w:rPr>
      </w:pPr>
      <w:r w:rsidRPr="005E111C">
        <w:rPr>
          <w:rFonts w:ascii="Abadi" w:hAnsi="Abadi" w:cs="Arial"/>
          <w:sz w:val="21"/>
          <w:szCs w:val="21"/>
        </w:rPr>
        <w:t xml:space="preserve"> </w:t>
      </w:r>
    </w:p>
    <w:p w14:paraId="52AA64E7" w14:textId="77777777" w:rsidR="00670E07" w:rsidRPr="005E111C" w:rsidRDefault="00670E07" w:rsidP="00427BD6">
      <w:pPr>
        <w:numPr>
          <w:ilvl w:val="0"/>
          <w:numId w:val="15"/>
        </w:numPr>
        <w:spacing w:after="9" w:line="250" w:lineRule="auto"/>
        <w:ind w:right="49" w:hanging="720"/>
        <w:jc w:val="both"/>
        <w:rPr>
          <w:rFonts w:ascii="Abadi" w:hAnsi="Abadi"/>
          <w:sz w:val="21"/>
          <w:szCs w:val="21"/>
        </w:rPr>
      </w:pPr>
      <w:r w:rsidRPr="005E111C">
        <w:rPr>
          <w:rFonts w:ascii="Abadi" w:hAnsi="Abadi" w:cs="Arial"/>
          <w:b/>
          <w:sz w:val="21"/>
          <w:szCs w:val="21"/>
        </w:rPr>
        <w:t>Impacto social:</w:t>
      </w:r>
      <w:r w:rsidRPr="005E111C">
        <w:rPr>
          <w:rFonts w:ascii="Abadi" w:hAnsi="Abadi"/>
          <w:sz w:val="21"/>
          <w:szCs w:val="21"/>
        </w:rPr>
        <w:t xml:space="preserve"> contribuir a que las mujeres pueden acceder a la movilidad y seguridad vial en condiciones de igualdad; previniendo, atendiendo, sancionando y erradicando las violencias que se ejercen en contra de las mujeres durante sus desplazamientos en los sistemas de movilidad.</w:t>
      </w:r>
      <w:r w:rsidRPr="005E111C">
        <w:rPr>
          <w:rFonts w:ascii="Abadi" w:hAnsi="Abadi" w:cs="Arial"/>
          <w:sz w:val="21"/>
          <w:szCs w:val="21"/>
        </w:rPr>
        <w:t xml:space="preserve"> </w:t>
      </w:r>
    </w:p>
    <w:p w14:paraId="6DEDC8D5" w14:textId="77777777" w:rsidR="00670E07" w:rsidRPr="005E111C" w:rsidRDefault="00670E07" w:rsidP="00607644">
      <w:pPr>
        <w:ind w:left="-5" w:right="49"/>
        <w:jc w:val="both"/>
        <w:rPr>
          <w:rFonts w:ascii="Abadi" w:hAnsi="Abadi"/>
          <w:sz w:val="21"/>
          <w:szCs w:val="21"/>
        </w:rPr>
      </w:pPr>
    </w:p>
    <w:p w14:paraId="563E8831" w14:textId="77777777" w:rsidR="00670E07" w:rsidRPr="005E111C" w:rsidRDefault="00670E07" w:rsidP="00607644">
      <w:pPr>
        <w:pStyle w:val="Ttulo1"/>
        <w:ind w:right="97"/>
        <w:jc w:val="both"/>
        <w:rPr>
          <w:rFonts w:ascii="Abadi" w:hAnsi="Abadi"/>
          <w:sz w:val="21"/>
          <w:szCs w:val="21"/>
        </w:rPr>
      </w:pPr>
      <w:r w:rsidRPr="005E111C">
        <w:rPr>
          <w:rFonts w:ascii="Abadi" w:hAnsi="Abadi"/>
          <w:sz w:val="21"/>
          <w:szCs w:val="21"/>
        </w:rPr>
        <w:t xml:space="preserve">Alineación con los objetivos de la Agenda 2030 para el Desarrollo Sostenible  </w:t>
      </w:r>
    </w:p>
    <w:p w14:paraId="37FBA089" w14:textId="77777777" w:rsidR="00670E07" w:rsidRPr="005E111C" w:rsidRDefault="00670E07" w:rsidP="00607644">
      <w:pPr>
        <w:ind w:left="-5" w:right="49"/>
        <w:jc w:val="both"/>
        <w:rPr>
          <w:rFonts w:ascii="Abadi" w:hAnsi="Abadi"/>
          <w:sz w:val="21"/>
          <w:szCs w:val="21"/>
        </w:rPr>
      </w:pPr>
    </w:p>
    <w:p w14:paraId="4B4A6E5A" w14:textId="77777777" w:rsidR="00670E07" w:rsidRDefault="00670E07" w:rsidP="00607644">
      <w:pPr>
        <w:ind w:left="-5" w:right="49"/>
        <w:jc w:val="both"/>
        <w:rPr>
          <w:rFonts w:ascii="Abadi" w:hAnsi="Abadi" w:cs="Arial"/>
          <w:sz w:val="21"/>
          <w:szCs w:val="21"/>
        </w:rPr>
      </w:pPr>
      <w:r w:rsidRPr="005E111C">
        <w:rPr>
          <w:rFonts w:ascii="Abadi" w:hAnsi="Abadi"/>
          <w:sz w:val="21"/>
          <w:szCs w:val="21"/>
        </w:rPr>
        <w:t>La igualdad de género no solo es un derecho humano fundamental, sino que es uno de los fundamentos esenciales para construir un mundo pacífico, próspero y sostenible.</w:t>
      </w:r>
      <w:r w:rsidRPr="005E111C">
        <w:rPr>
          <w:rFonts w:ascii="Abadi" w:hAnsi="Abadi" w:cs="Arial"/>
          <w:sz w:val="21"/>
          <w:szCs w:val="21"/>
        </w:rPr>
        <w:t xml:space="preserve"> </w:t>
      </w:r>
    </w:p>
    <w:p w14:paraId="214B7B76" w14:textId="77777777" w:rsidR="00FD256C" w:rsidRPr="005E111C" w:rsidRDefault="00FD256C" w:rsidP="00607644">
      <w:pPr>
        <w:ind w:left="-5" w:right="49"/>
        <w:jc w:val="both"/>
        <w:rPr>
          <w:rFonts w:ascii="Abadi" w:hAnsi="Abadi"/>
          <w:sz w:val="21"/>
          <w:szCs w:val="21"/>
        </w:rPr>
      </w:pPr>
    </w:p>
    <w:p w14:paraId="01785096" w14:textId="77777777" w:rsidR="00670E07" w:rsidRDefault="00670E07" w:rsidP="00607644">
      <w:pPr>
        <w:ind w:left="-5" w:right="49"/>
        <w:jc w:val="both"/>
        <w:rPr>
          <w:rFonts w:ascii="Abadi" w:hAnsi="Abadi" w:cs="Arial"/>
          <w:sz w:val="21"/>
          <w:szCs w:val="21"/>
        </w:rPr>
      </w:pPr>
      <w:r w:rsidRPr="005E111C">
        <w:rPr>
          <w:rFonts w:ascii="Abadi" w:hAnsi="Abadi"/>
          <w:sz w:val="21"/>
          <w:szCs w:val="21"/>
        </w:rPr>
        <w:t xml:space="preserve">Objetivo 5: Lograr la igualdad entre los géneros y empoderar a todas las mujeres y las niñas. </w:t>
      </w:r>
      <w:r w:rsidRPr="005E111C">
        <w:rPr>
          <w:rFonts w:ascii="Abadi" w:hAnsi="Abadi" w:cs="Arial"/>
          <w:sz w:val="21"/>
          <w:szCs w:val="21"/>
        </w:rPr>
        <w:t xml:space="preserve"> </w:t>
      </w:r>
    </w:p>
    <w:p w14:paraId="3C70806B" w14:textId="77777777" w:rsidR="00607644" w:rsidRPr="005E111C" w:rsidRDefault="00607644" w:rsidP="00607644">
      <w:pPr>
        <w:ind w:left="-5" w:right="49"/>
        <w:jc w:val="both"/>
        <w:rPr>
          <w:rFonts w:ascii="Abadi" w:hAnsi="Abadi"/>
          <w:sz w:val="21"/>
          <w:szCs w:val="21"/>
        </w:rPr>
      </w:pPr>
    </w:p>
    <w:p w14:paraId="411DB0C1" w14:textId="77777777" w:rsidR="00607644" w:rsidRPr="00B801BD" w:rsidRDefault="00670E07" w:rsidP="00607644">
      <w:pPr>
        <w:ind w:left="-5" w:right="49"/>
        <w:jc w:val="both"/>
        <w:rPr>
          <w:rFonts w:ascii="Abadi" w:hAnsi="Abadi"/>
          <w:b/>
          <w:bCs/>
          <w:sz w:val="21"/>
          <w:szCs w:val="21"/>
        </w:rPr>
      </w:pPr>
      <w:r w:rsidRPr="00B801BD">
        <w:rPr>
          <w:rFonts w:ascii="Abadi" w:hAnsi="Abadi"/>
          <w:b/>
          <w:bCs/>
          <w:sz w:val="21"/>
          <w:szCs w:val="21"/>
        </w:rPr>
        <w:t>Específicamente en las siguientes metas:</w:t>
      </w:r>
    </w:p>
    <w:p w14:paraId="7FB82E74" w14:textId="42FB634F" w:rsidR="00670E07" w:rsidRPr="005E111C" w:rsidRDefault="00670E07" w:rsidP="00607644">
      <w:pPr>
        <w:ind w:left="-5" w:right="49"/>
        <w:jc w:val="both"/>
        <w:rPr>
          <w:rFonts w:ascii="Abadi" w:hAnsi="Abadi"/>
          <w:sz w:val="21"/>
          <w:szCs w:val="21"/>
        </w:rPr>
      </w:pPr>
      <w:r w:rsidRPr="005E111C">
        <w:rPr>
          <w:rFonts w:ascii="Abadi" w:hAnsi="Abadi"/>
          <w:sz w:val="21"/>
          <w:szCs w:val="21"/>
        </w:rPr>
        <w:t xml:space="preserve"> </w:t>
      </w:r>
      <w:r w:rsidRPr="005E111C">
        <w:rPr>
          <w:rFonts w:ascii="Abadi" w:hAnsi="Abadi" w:cs="Arial"/>
          <w:sz w:val="21"/>
          <w:szCs w:val="21"/>
        </w:rPr>
        <w:t xml:space="preserve"> </w:t>
      </w:r>
    </w:p>
    <w:p w14:paraId="57DB1F89" w14:textId="77777777" w:rsidR="00670E07" w:rsidRPr="005E111C" w:rsidRDefault="00670E07" w:rsidP="00607644">
      <w:pPr>
        <w:ind w:left="718" w:right="49"/>
        <w:jc w:val="both"/>
        <w:rPr>
          <w:rFonts w:ascii="Abadi" w:hAnsi="Abadi"/>
          <w:sz w:val="21"/>
          <w:szCs w:val="21"/>
        </w:rPr>
      </w:pPr>
      <w:r w:rsidRPr="005E111C">
        <w:rPr>
          <w:rFonts w:ascii="Abadi" w:hAnsi="Abadi"/>
          <w:sz w:val="21"/>
          <w:szCs w:val="21"/>
        </w:rPr>
        <w:t xml:space="preserve">5.1 Poner fin a todas las formas de discriminación contra todas las mujeres y las niñas en todo el mundo. </w:t>
      </w:r>
      <w:r w:rsidRPr="005E111C">
        <w:rPr>
          <w:rFonts w:ascii="Abadi" w:hAnsi="Abadi" w:cs="Arial"/>
          <w:sz w:val="21"/>
          <w:szCs w:val="21"/>
        </w:rPr>
        <w:t xml:space="preserve"> </w:t>
      </w:r>
    </w:p>
    <w:p w14:paraId="0C55B8D8" w14:textId="77777777" w:rsidR="00670E07" w:rsidRDefault="00670E07" w:rsidP="00607644">
      <w:pPr>
        <w:ind w:left="718" w:right="49"/>
        <w:jc w:val="both"/>
        <w:rPr>
          <w:rFonts w:ascii="Abadi" w:hAnsi="Abadi" w:cs="Arial"/>
          <w:sz w:val="21"/>
          <w:szCs w:val="21"/>
        </w:rPr>
      </w:pPr>
      <w:r w:rsidRPr="005E111C">
        <w:rPr>
          <w:rFonts w:ascii="Abadi" w:hAnsi="Abadi"/>
          <w:sz w:val="21"/>
          <w:szCs w:val="21"/>
        </w:rPr>
        <w:t xml:space="preserve">5.2 Eliminar todas las formas de violencia contra todas las mujeres y las niñas en los ámbitos público y privado. </w:t>
      </w:r>
      <w:r w:rsidRPr="005E111C">
        <w:rPr>
          <w:rFonts w:ascii="Abadi" w:hAnsi="Abadi" w:cs="Arial"/>
          <w:sz w:val="21"/>
          <w:szCs w:val="21"/>
        </w:rPr>
        <w:t xml:space="preserve"> </w:t>
      </w:r>
    </w:p>
    <w:p w14:paraId="1C601C05" w14:textId="77777777" w:rsidR="00FD256C" w:rsidRPr="005E111C" w:rsidRDefault="00FD256C" w:rsidP="00607644">
      <w:pPr>
        <w:ind w:left="718" w:right="49"/>
        <w:jc w:val="both"/>
        <w:rPr>
          <w:rFonts w:ascii="Abadi" w:hAnsi="Abadi"/>
          <w:sz w:val="21"/>
          <w:szCs w:val="21"/>
        </w:rPr>
      </w:pPr>
    </w:p>
    <w:p w14:paraId="4FA0E36D" w14:textId="77777777" w:rsidR="00670E07" w:rsidRDefault="00670E07" w:rsidP="00607644">
      <w:pPr>
        <w:ind w:left="718" w:right="49"/>
        <w:jc w:val="both"/>
        <w:rPr>
          <w:rFonts w:ascii="Abadi" w:hAnsi="Abadi" w:cs="Arial"/>
          <w:sz w:val="21"/>
          <w:szCs w:val="21"/>
        </w:rPr>
      </w:pPr>
      <w:r w:rsidRPr="005E111C">
        <w:rPr>
          <w:rFonts w:ascii="Abadi" w:hAnsi="Abadi"/>
          <w:sz w:val="21"/>
          <w:szCs w:val="21"/>
        </w:rPr>
        <w:t>5.5 Asegurar la participación plena y efectiva de las mujeres y la igualdad de oportunidades de liderazgo a todos los niveles decisorios en la vida política, económica y pública.</w:t>
      </w:r>
      <w:r w:rsidRPr="005E111C">
        <w:rPr>
          <w:rFonts w:ascii="Abadi" w:hAnsi="Abadi" w:cs="Arial"/>
          <w:sz w:val="21"/>
          <w:szCs w:val="21"/>
        </w:rPr>
        <w:t xml:space="preserve"> </w:t>
      </w:r>
    </w:p>
    <w:p w14:paraId="14BB52FC" w14:textId="77777777" w:rsidR="00607644" w:rsidRPr="005E111C" w:rsidRDefault="00607644" w:rsidP="00607644">
      <w:pPr>
        <w:ind w:left="718" w:right="49"/>
        <w:jc w:val="both"/>
        <w:rPr>
          <w:rFonts w:ascii="Abadi" w:hAnsi="Abadi"/>
          <w:sz w:val="21"/>
          <w:szCs w:val="21"/>
        </w:rPr>
      </w:pPr>
    </w:p>
    <w:p w14:paraId="6A41A5D6" w14:textId="77777777" w:rsidR="00670E07" w:rsidRPr="005E111C" w:rsidRDefault="00670E07" w:rsidP="00607644">
      <w:pPr>
        <w:pStyle w:val="Ttulo1"/>
        <w:spacing w:after="138"/>
        <w:ind w:right="78"/>
        <w:jc w:val="both"/>
        <w:rPr>
          <w:rFonts w:ascii="Abadi" w:hAnsi="Abadi"/>
          <w:sz w:val="21"/>
          <w:szCs w:val="21"/>
        </w:rPr>
      </w:pPr>
      <w:r w:rsidRPr="005E111C">
        <w:rPr>
          <w:rFonts w:ascii="Abadi" w:hAnsi="Abadi"/>
          <w:sz w:val="21"/>
          <w:szCs w:val="21"/>
        </w:rPr>
        <w:t xml:space="preserve">En virtud de lo anteriormente expuesto se somete a consideración de esta Honorable Asamblea, esta propuesta legislativa de Decreto </w:t>
      </w:r>
    </w:p>
    <w:p w14:paraId="7383E964" w14:textId="77777777" w:rsidR="00670E07" w:rsidRPr="005E111C" w:rsidRDefault="00670E07" w:rsidP="00607644">
      <w:pPr>
        <w:ind w:left="-5" w:right="49"/>
        <w:jc w:val="both"/>
        <w:rPr>
          <w:rFonts w:ascii="Abadi" w:hAnsi="Abadi"/>
          <w:sz w:val="21"/>
          <w:szCs w:val="21"/>
        </w:rPr>
      </w:pPr>
      <w:proofErr w:type="gramStart"/>
      <w:r w:rsidRPr="005E111C">
        <w:rPr>
          <w:rFonts w:ascii="Abadi" w:hAnsi="Abadi" w:cs="Arial"/>
          <w:b/>
          <w:sz w:val="21"/>
          <w:szCs w:val="21"/>
        </w:rPr>
        <w:t>Único.-</w:t>
      </w:r>
      <w:proofErr w:type="gramEnd"/>
      <w:r w:rsidRPr="005E111C">
        <w:rPr>
          <w:rFonts w:ascii="Abadi" w:hAnsi="Abadi"/>
          <w:sz w:val="21"/>
          <w:szCs w:val="21"/>
        </w:rPr>
        <w:t xml:space="preserve"> Se reforma el artículo 50 y se adicionan los artículos 50 Bis, 50 Ter, 50 Quáter, 50 Quinquies y 50 Sexies, todos ellos de la Ley de Movilidad del Estado de Guanajuato y sus Municipios, para quedar como sigue:</w:t>
      </w:r>
      <w:r w:rsidRPr="005E111C">
        <w:rPr>
          <w:rFonts w:ascii="Abadi" w:hAnsi="Abadi" w:cs="Arial"/>
          <w:sz w:val="21"/>
          <w:szCs w:val="21"/>
        </w:rPr>
        <w:t xml:space="preserve"> </w:t>
      </w:r>
    </w:p>
    <w:p w14:paraId="269D9BB0" w14:textId="77777777" w:rsidR="00670E07" w:rsidRPr="005E111C" w:rsidRDefault="00670E07" w:rsidP="00607644">
      <w:pPr>
        <w:spacing w:line="259" w:lineRule="auto"/>
        <w:jc w:val="both"/>
        <w:rPr>
          <w:rFonts w:ascii="Abadi" w:hAnsi="Abadi"/>
          <w:sz w:val="21"/>
          <w:szCs w:val="21"/>
        </w:rPr>
      </w:pPr>
      <w:r w:rsidRPr="005E111C">
        <w:rPr>
          <w:rFonts w:ascii="Abadi" w:hAnsi="Abadi" w:cs="Arial"/>
          <w:sz w:val="21"/>
          <w:szCs w:val="21"/>
        </w:rPr>
        <w:t xml:space="preserve"> </w:t>
      </w:r>
    </w:p>
    <w:p w14:paraId="076A7A3F" w14:textId="77777777" w:rsidR="00670E07" w:rsidRPr="005E111C" w:rsidRDefault="00670E07" w:rsidP="00607644">
      <w:pPr>
        <w:spacing w:line="259" w:lineRule="auto"/>
        <w:ind w:right="63"/>
        <w:jc w:val="both"/>
        <w:rPr>
          <w:rFonts w:ascii="Abadi" w:hAnsi="Abadi"/>
          <w:sz w:val="21"/>
          <w:szCs w:val="21"/>
        </w:rPr>
      </w:pPr>
      <w:r w:rsidRPr="005E111C">
        <w:rPr>
          <w:rFonts w:ascii="Abadi" w:hAnsi="Abadi" w:cs="Arial"/>
          <w:b/>
          <w:sz w:val="21"/>
          <w:szCs w:val="21"/>
        </w:rPr>
        <w:t xml:space="preserve">Título Segundo Movilidad </w:t>
      </w:r>
    </w:p>
    <w:p w14:paraId="1AE0650E" w14:textId="77777777" w:rsidR="00670E07" w:rsidRPr="005E111C" w:rsidRDefault="00670E07" w:rsidP="00607644">
      <w:pPr>
        <w:spacing w:line="259" w:lineRule="auto"/>
        <w:ind w:right="5"/>
        <w:jc w:val="both"/>
        <w:rPr>
          <w:rFonts w:ascii="Abadi" w:hAnsi="Abadi"/>
          <w:sz w:val="21"/>
          <w:szCs w:val="21"/>
        </w:rPr>
      </w:pPr>
      <w:r w:rsidRPr="005E111C">
        <w:rPr>
          <w:rFonts w:ascii="Abadi" w:hAnsi="Abadi" w:cs="Arial"/>
          <w:b/>
          <w:sz w:val="21"/>
          <w:szCs w:val="21"/>
        </w:rPr>
        <w:t xml:space="preserve"> </w:t>
      </w:r>
    </w:p>
    <w:p w14:paraId="2D919D55" w14:textId="77777777" w:rsidR="00670E07" w:rsidRPr="005E111C" w:rsidRDefault="00670E07" w:rsidP="00607644">
      <w:pPr>
        <w:pStyle w:val="Ttulo1"/>
        <w:ind w:right="59"/>
        <w:jc w:val="both"/>
        <w:rPr>
          <w:rFonts w:ascii="Abadi" w:hAnsi="Abadi"/>
          <w:sz w:val="21"/>
          <w:szCs w:val="21"/>
        </w:rPr>
      </w:pPr>
      <w:r w:rsidRPr="005E111C">
        <w:rPr>
          <w:rFonts w:ascii="Abadi" w:hAnsi="Abadi"/>
          <w:sz w:val="21"/>
          <w:szCs w:val="21"/>
        </w:rPr>
        <w:t xml:space="preserve">Capítulo I-A La movilidad bajo la perspectiva de género </w:t>
      </w:r>
    </w:p>
    <w:p w14:paraId="464D9826" w14:textId="77777777" w:rsidR="00670E07" w:rsidRPr="005E111C" w:rsidRDefault="00670E07" w:rsidP="00607644">
      <w:pPr>
        <w:spacing w:after="139" w:line="259" w:lineRule="auto"/>
        <w:ind w:left="566"/>
        <w:jc w:val="both"/>
        <w:rPr>
          <w:rFonts w:ascii="Abadi" w:hAnsi="Abadi"/>
          <w:sz w:val="21"/>
          <w:szCs w:val="21"/>
        </w:rPr>
      </w:pPr>
      <w:r w:rsidRPr="005E111C">
        <w:rPr>
          <w:rFonts w:ascii="Abadi" w:hAnsi="Abadi" w:cs="Arial"/>
          <w:sz w:val="21"/>
          <w:szCs w:val="21"/>
        </w:rPr>
        <w:t xml:space="preserve"> </w:t>
      </w:r>
    </w:p>
    <w:p w14:paraId="18320563" w14:textId="53D9068D" w:rsidR="00670E07" w:rsidRPr="005E111C" w:rsidRDefault="00670E07" w:rsidP="00FD256C">
      <w:pPr>
        <w:spacing w:after="137" w:line="259" w:lineRule="auto"/>
        <w:jc w:val="both"/>
        <w:rPr>
          <w:rFonts w:ascii="Abadi" w:hAnsi="Abadi"/>
          <w:sz w:val="21"/>
          <w:szCs w:val="21"/>
        </w:rPr>
      </w:pPr>
      <w:r w:rsidRPr="005E111C">
        <w:rPr>
          <w:rFonts w:ascii="Abadi" w:hAnsi="Abadi" w:cs="Arial"/>
          <w:b/>
          <w:i/>
          <w:sz w:val="21"/>
          <w:szCs w:val="21"/>
        </w:rPr>
        <w:t xml:space="preserve">Planeación e información desagregada por género </w:t>
      </w:r>
    </w:p>
    <w:p w14:paraId="520575B7" w14:textId="77777777" w:rsidR="00670E07" w:rsidRDefault="00670E07" w:rsidP="00543882">
      <w:pPr>
        <w:ind w:right="142"/>
        <w:jc w:val="both"/>
        <w:rPr>
          <w:rFonts w:ascii="Abadi" w:hAnsi="Abadi" w:cs="Arial"/>
          <w:sz w:val="21"/>
          <w:szCs w:val="21"/>
        </w:rPr>
      </w:pPr>
      <w:r w:rsidRPr="005E111C">
        <w:rPr>
          <w:rFonts w:ascii="Abadi" w:hAnsi="Abadi" w:cs="Arial"/>
          <w:b/>
          <w:sz w:val="21"/>
          <w:szCs w:val="21"/>
        </w:rPr>
        <w:t>Artículo 50.</w:t>
      </w:r>
      <w:r w:rsidRPr="005E111C">
        <w:rPr>
          <w:rFonts w:ascii="Abadi" w:hAnsi="Abadi"/>
          <w:sz w:val="21"/>
          <w:szCs w:val="21"/>
        </w:rPr>
        <w:t xml:space="preserve"> En la planeación de la movilidad la seguridad vial y sus componentes, las autoridades estatales y municipales competentes implementarán mecanismos para disponer de información diagnóstica desagregada por género que sustente el diseño y la evaluación de las políticas públicas y presupuestos aplicados o aplicables. </w:t>
      </w:r>
      <w:r w:rsidRPr="005E111C">
        <w:rPr>
          <w:rFonts w:ascii="Abadi" w:hAnsi="Abadi" w:cs="Arial"/>
          <w:sz w:val="21"/>
          <w:szCs w:val="21"/>
        </w:rPr>
        <w:t xml:space="preserve"> </w:t>
      </w:r>
    </w:p>
    <w:p w14:paraId="181B589E" w14:textId="77777777" w:rsidR="00607644" w:rsidRPr="005E111C" w:rsidRDefault="00607644" w:rsidP="00607644">
      <w:pPr>
        <w:ind w:left="576" w:right="633"/>
        <w:jc w:val="both"/>
        <w:rPr>
          <w:rFonts w:ascii="Abadi" w:hAnsi="Abadi"/>
          <w:sz w:val="21"/>
          <w:szCs w:val="21"/>
        </w:rPr>
      </w:pPr>
    </w:p>
    <w:p w14:paraId="3681C3A6" w14:textId="77777777" w:rsidR="00670E07" w:rsidRPr="005E111C" w:rsidRDefault="00670E07" w:rsidP="00607644">
      <w:pPr>
        <w:spacing w:after="138" w:line="259" w:lineRule="auto"/>
        <w:ind w:right="613"/>
        <w:jc w:val="both"/>
        <w:rPr>
          <w:rFonts w:ascii="Abadi" w:hAnsi="Abadi"/>
          <w:sz w:val="21"/>
          <w:szCs w:val="21"/>
        </w:rPr>
      </w:pPr>
      <w:r w:rsidRPr="005E111C">
        <w:rPr>
          <w:rFonts w:ascii="Abadi" w:hAnsi="Abadi" w:cs="Arial"/>
          <w:b/>
          <w:i/>
          <w:sz w:val="21"/>
          <w:szCs w:val="21"/>
        </w:rPr>
        <w:t xml:space="preserve">Participación de las mujeres </w:t>
      </w:r>
    </w:p>
    <w:p w14:paraId="2B3B8CCD" w14:textId="77777777" w:rsidR="00670E07" w:rsidRDefault="00670E07" w:rsidP="00543882">
      <w:pPr>
        <w:ind w:right="142"/>
        <w:jc w:val="both"/>
        <w:rPr>
          <w:rFonts w:ascii="Abadi" w:hAnsi="Abadi" w:cs="Arial"/>
          <w:sz w:val="21"/>
          <w:szCs w:val="21"/>
        </w:rPr>
      </w:pPr>
      <w:r w:rsidRPr="005E111C">
        <w:rPr>
          <w:rFonts w:ascii="Abadi" w:hAnsi="Abadi" w:cs="Arial"/>
          <w:b/>
          <w:sz w:val="21"/>
          <w:szCs w:val="21"/>
        </w:rPr>
        <w:t>Artículo 50 Bis.</w:t>
      </w:r>
      <w:r w:rsidRPr="005E111C">
        <w:rPr>
          <w:rFonts w:ascii="Abadi" w:hAnsi="Abadi"/>
          <w:sz w:val="21"/>
          <w:szCs w:val="21"/>
        </w:rPr>
        <w:t xml:space="preserve"> Las autoridades estatales y municipales competentes garantizarán la participación de las mujeres, así como las diversas identidades de género,</w:t>
      </w:r>
      <w:r w:rsidRPr="005E111C">
        <w:rPr>
          <w:rFonts w:ascii="Abadi" w:eastAsia="Calibri" w:hAnsi="Abadi" w:cs="Calibri"/>
          <w:sz w:val="21"/>
          <w:szCs w:val="21"/>
        </w:rPr>
        <w:t xml:space="preserve"> </w:t>
      </w:r>
      <w:r w:rsidRPr="005E111C">
        <w:rPr>
          <w:rFonts w:ascii="Abadi" w:hAnsi="Abadi"/>
          <w:sz w:val="21"/>
          <w:szCs w:val="21"/>
        </w:rPr>
        <w:t>en la planeación y toma de decisiones sobre el diseño de la movilidad y la seguridad vial, en los componentes de los sistemas de movilidad y en la evaluación de sus impactos.</w:t>
      </w:r>
      <w:r w:rsidRPr="005E111C">
        <w:rPr>
          <w:rFonts w:ascii="Abadi" w:hAnsi="Abadi" w:cs="Arial"/>
          <w:sz w:val="21"/>
          <w:szCs w:val="21"/>
        </w:rPr>
        <w:t xml:space="preserve"> </w:t>
      </w:r>
    </w:p>
    <w:p w14:paraId="68F8DA50" w14:textId="77777777" w:rsidR="00607644" w:rsidRPr="005E111C" w:rsidRDefault="00607644" w:rsidP="00607644">
      <w:pPr>
        <w:ind w:left="576" w:right="628"/>
        <w:jc w:val="both"/>
        <w:rPr>
          <w:rFonts w:ascii="Abadi" w:hAnsi="Abadi"/>
          <w:sz w:val="21"/>
          <w:szCs w:val="21"/>
        </w:rPr>
      </w:pPr>
    </w:p>
    <w:p w14:paraId="2695519E" w14:textId="77777777" w:rsidR="00670E07" w:rsidRPr="005E111C" w:rsidRDefault="00670E07" w:rsidP="00607644">
      <w:pPr>
        <w:spacing w:after="138" w:line="259" w:lineRule="auto"/>
        <w:ind w:right="613"/>
        <w:jc w:val="both"/>
        <w:rPr>
          <w:rFonts w:ascii="Abadi" w:hAnsi="Abadi"/>
          <w:sz w:val="21"/>
          <w:szCs w:val="21"/>
        </w:rPr>
      </w:pPr>
      <w:r w:rsidRPr="005E111C">
        <w:rPr>
          <w:rFonts w:ascii="Abadi" w:hAnsi="Abadi" w:cs="Arial"/>
          <w:b/>
          <w:i/>
          <w:sz w:val="21"/>
          <w:szCs w:val="21"/>
        </w:rPr>
        <w:t xml:space="preserve">Movilidad con perspectiva de género </w:t>
      </w:r>
    </w:p>
    <w:p w14:paraId="4968D644" w14:textId="77777777" w:rsidR="00670E07" w:rsidRPr="005E111C" w:rsidRDefault="00670E07" w:rsidP="00543882">
      <w:pPr>
        <w:jc w:val="both"/>
        <w:rPr>
          <w:rFonts w:ascii="Abadi" w:hAnsi="Abadi"/>
          <w:sz w:val="21"/>
          <w:szCs w:val="21"/>
        </w:rPr>
      </w:pPr>
      <w:r w:rsidRPr="005E111C">
        <w:rPr>
          <w:rFonts w:ascii="Abadi" w:hAnsi="Abadi" w:cs="Arial"/>
          <w:b/>
          <w:sz w:val="21"/>
          <w:szCs w:val="21"/>
        </w:rPr>
        <w:t>Artículo 50 Ter.</w:t>
      </w:r>
      <w:r w:rsidRPr="005E111C">
        <w:rPr>
          <w:rFonts w:ascii="Abadi" w:hAnsi="Abadi"/>
          <w:sz w:val="21"/>
          <w:szCs w:val="21"/>
        </w:rPr>
        <w:t xml:space="preserve"> Los sistemas de movilidad y sus componentes deberán orientarse a mejorar la experiencia de movilidad de las mujeres y su seguridad, considerando la movilidad de cuidados, por lo que las autoridades estatales y municipales competentes promoverán políticas públicas y ejecutarán presupuestos con perspectiva de género para prevenir y erradicar las violencias hacia las mujeres en los sistemas de movilidad. </w:t>
      </w:r>
      <w:r w:rsidRPr="005E111C">
        <w:rPr>
          <w:rFonts w:ascii="Abadi" w:hAnsi="Abadi" w:cs="Arial"/>
          <w:sz w:val="21"/>
          <w:szCs w:val="21"/>
        </w:rPr>
        <w:t xml:space="preserve"> </w:t>
      </w:r>
    </w:p>
    <w:p w14:paraId="23E7BF7A" w14:textId="77777777" w:rsidR="00C4062E" w:rsidRDefault="00670E07" w:rsidP="00607644">
      <w:pPr>
        <w:ind w:left="576" w:right="49"/>
        <w:jc w:val="both"/>
        <w:rPr>
          <w:rFonts w:ascii="Abadi" w:hAnsi="Abadi"/>
          <w:sz w:val="21"/>
          <w:szCs w:val="21"/>
        </w:rPr>
      </w:pPr>
      <w:r w:rsidRPr="005E111C">
        <w:rPr>
          <w:rFonts w:ascii="Abadi" w:hAnsi="Abadi"/>
          <w:sz w:val="21"/>
          <w:szCs w:val="21"/>
        </w:rPr>
        <w:lastRenderedPageBreak/>
        <w:t xml:space="preserve">La sensibilización y capacitación en materia de género tendrán carácter obligatorio para las personas responsables de diseñar, operar y evaluar los sistemas de movilidad. </w:t>
      </w:r>
    </w:p>
    <w:p w14:paraId="55F0CD90" w14:textId="15817EBC" w:rsidR="00670E07" w:rsidRPr="005E111C" w:rsidRDefault="00670E07" w:rsidP="00607644">
      <w:pPr>
        <w:ind w:left="576" w:right="49"/>
        <w:jc w:val="both"/>
        <w:rPr>
          <w:rFonts w:ascii="Abadi" w:hAnsi="Abadi"/>
          <w:sz w:val="21"/>
          <w:szCs w:val="21"/>
        </w:rPr>
      </w:pPr>
      <w:r w:rsidRPr="005E111C">
        <w:rPr>
          <w:rFonts w:ascii="Abadi" w:hAnsi="Abadi" w:cs="Arial"/>
          <w:sz w:val="21"/>
          <w:szCs w:val="21"/>
        </w:rPr>
        <w:t xml:space="preserve"> </w:t>
      </w:r>
    </w:p>
    <w:p w14:paraId="120AE582" w14:textId="77777777" w:rsidR="00670E07" w:rsidRPr="005E111C" w:rsidRDefault="00670E07" w:rsidP="00607644">
      <w:pPr>
        <w:spacing w:after="138" w:line="259" w:lineRule="auto"/>
        <w:ind w:right="613"/>
        <w:jc w:val="both"/>
        <w:rPr>
          <w:rFonts w:ascii="Abadi" w:hAnsi="Abadi"/>
          <w:sz w:val="21"/>
          <w:szCs w:val="21"/>
        </w:rPr>
      </w:pPr>
      <w:r w:rsidRPr="005E111C">
        <w:rPr>
          <w:rFonts w:ascii="Abadi" w:hAnsi="Abadi" w:cs="Arial"/>
          <w:b/>
          <w:i/>
          <w:sz w:val="21"/>
          <w:szCs w:val="21"/>
        </w:rPr>
        <w:t xml:space="preserve">Movilidad de cuidados </w:t>
      </w:r>
    </w:p>
    <w:p w14:paraId="471357AF" w14:textId="77777777" w:rsidR="00670E07" w:rsidRDefault="00670E07" w:rsidP="00607644">
      <w:pPr>
        <w:ind w:left="-5" w:right="49"/>
        <w:jc w:val="both"/>
        <w:rPr>
          <w:rFonts w:ascii="Abadi" w:hAnsi="Abadi"/>
          <w:sz w:val="21"/>
          <w:szCs w:val="21"/>
        </w:rPr>
      </w:pPr>
      <w:r w:rsidRPr="005E111C">
        <w:rPr>
          <w:rFonts w:ascii="Abadi" w:hAnsi="Abadi" w:cs="Arial"/>
          <w:b/>
          <w:sz w:val="21"/>
          <w:szCs w:val="21"/>
        </w:rPr>
        <w:t>Artículo 50 Quáter.</w:t>
      </w:r>
      <w:r w:rsidRPr="005E111C">
        <w:rPr>
          <w:rFonts w:ascii="Abadi" w:hAnsi="Abadi"/>
          <w:sz w:val="21"/>
          <w:szCs w:val="21"/>
        </w:rPr>
        <w:t xml:space="preserve"> En el diseño, planeación y evaluación de los sistemas de movilidad, las autoridades estatales y municipales competentes deberán fomentar la inclusión de las mujeres e incorporar criterios que garanticen el reconocimiento de los diversos patrones de movilidad diferenciados por géneros.</w:t>
      </w:r>
    </w:p>
    <w:p w14:paraId="616F549F" w14:textId="77777777" w:rsidR="00607644" w:rsidRPr="005E111C" w:rsidRDefault="00607644" w:rsidP="00607644">
      <w:pPr>
        <w:ind w:left="-5" w:right="49"/>
        <w:jc w:val="both"/>
        <w:rPr>
          <w:rFonts w:ascii="Abadi" w:hAnsi="Abadi"/>
          <w:sz w:val="21"/>
          <w:szCs w:val="21"/>
        </w:rPr>
      </w:pPr>
    </w:p>
    <w:p w14:paraId="4C17BBE6" w14:textId="77777777" w:rsidR="00670E07" w:rsidRPr="005E111C" w:rsidRDefault="00670E07" w:rsidP="00607644">
      <w:pPr>
        <w:ind w:left="576" w:right="634"/>
        <w:jc w:val="both"/>
        <w:rPr>
          <w:rFonts w:ascii="Abadi" w:hAnsi="Abadi"/>
          <w:sz w:val="21"/>
          <w:szCs w:val="21"/>
        </w:rPr>
      </w:pPr>
      <w:r w:rsidRPr="005E111C">
        <w:rPr>
          <w:rFonts w:ascii="Abadi" w:hAnsi="Abadi"/>
          <w:sz w:val="21"/>
          <w:szCs w:val="21"/>
        </w:rPr>
        <w:t>Deberán también implementar mecanismos de generación de datos que ayuden a entender la movilidad del cuidado y las necesidades diferenciadas de las mujeres y su relación con el cuidado de terceras personas, dependientes o con necesidades específicas.</w:t>
      </w:r>
      <w:r w:rsidRPr="005E111C">
        <w:rPr>
          <w:rFonts w:ascii="Abadi" w:hAnsi="Abadi" w:cs="Arial"/>
          <w:sz w:val="21"/>
          <w:szCs w:val="21"/>
        </w:rPr>
        <w:t xml:space="preserve"> </w:t>
      </w:r>
    </w:p>
    <w:p w14:paraId="459052E7" w14:textId="77777777" w:rsidR="00670E07" w:rsidRPr="005E111C" w:rsidRDefault="00670E07" w:rsidP="00607644">
      <w:pPr>
        <w:spacing w:line="259" w:lineRule="auto"/>
        <w:ind w:left="566"/>
        <w:jc w:val="both"/>
        <w:rPr>
          <w:rFonts w:ascii="Abadi" w:hAnsi="Abadi"/>
          <w:sz w:val="21"/>
          <w:szCs w:val="21"/>
        </w:rPr>
      </w:pPr>
      <w:r w:rsidRPr="005E111C">
        <w:rPr>
          <w:rFonts w:ascii="Abadi" w:hAnsi="Abadi" w:cs="Arial"/>
          <w:sz w:val="21"/>
          <w:szCs w:val="21"/>
        </w:rPr>
        <w:t xml:space="preserve"> </w:t>
      </w:r>
    </w:p>
    <w:p w14:paraId="4CC9346B" w14:textId="77777777" w:rsidR="00670E07" w:rsidRPr="005E111C" w:rsidRDefault="00670E07" w:rsidP="00607644">
      <w:pPr>
        <w:spacing w:after="138" w:line="259" w:lineRule="auto"/>
        <w:ind w:right="613"/>
        <w:jc w:val="both"/>
        <w:rPr>
          <w:rFonts w:ascii="Abadi" w:hAnsi="Abadi"/>
          <w:sz w:val="21"/>
          <w:szCs w:val="21"/>
        </w:rPr>
      </w:pPr>
      <w:r w:rsidRPr="005E111C">
        <w:rPr>
          <w:rFonts w:ascii="Abadi" w:hAnsi="Abadi" w:cs="Arial"/>
          <w:b/>
          <w:i/>
          <w:sz w:val="21"/>
          <w:szCs w:val="21"/>
        </w:rPr>
        <w:t xml:space="preserve">Acciones afirmativas en la movilidad de cuidados </w:t>
      </w:r>
    </w:p>
    <w:p w14:paraId="5DECD82B" w14:textId="77777777" w:rsidR="00670E07" w:rsidRPr="005E111C" w:rsidRDefault="00670E07" w:rsidP="00607644">
      <w:pPr>
        <w:jc w:val="both"/>
        <w:rPr>
          <w:rFonts w:ascii="Abadi" w:hAnsi="Abadi"/>
          <w:sz w:val="21"/>
          <w:szCs w:val="21"/>
        </w:rPr>
      </w:pPr>
      <w:r w:rsidRPr="005E111C">
        <w:rPr>
          <w:rFonts w:ascii="Abadi" w:hAnsi="Abadi" w:cs="Arial"/>
          <w:b/>
          <w:sz w:val="21"/>
          <w:szCs w:val="21"/>
        </w:rPr>
        <w:t>Artículo 50 Quinquies.</w:t>
      </w:r>
      <w:r w:rsidRPr="005E111C">
        <w:rPr>
          <w:rFonts w:ascii="Abadi" w:hAnsi="Abadi"/>
          <w:sz w:val="21"/>
          <w:szCs w:val="21"/>
        </w:rPr>
        <w:t xml:space="preserve"> Las autoridades estatales y municipales competentes podrán fijar subsidios o subvenciones a la movilidad de cuidados mediante excepciones a las tarifas generales, estableciendo modalidades preferenciales, especiales o integradas. O bien, podrán diseñar otras políticas públicas en materia de movilidad y seguridad vial con perspectiva de género para disminuir las desigualdades de las mujeres en materia de cuidados. </w:t>
      </w:r>
      <w:r w:rsidRPr="005E111C">
        <w:rPr>
          <w:rFonts w:ascii="Abadi" w:hAnsi="Abadi" w:cs="Arial"/>
          <w:sz w:val="21"/>
          <w:szCs w:val="21"/>
        </w:rPr>
        <w:t xml:space="preserve"> </w:t>
      </w:r>
    </w:p>
    <w:p w14:paraId="622DC7A8" w14:textId="77777777" w:rsidR="00670E07" w:rsidRPr="005E111C" w:rsidRDefault="00670E07" w:rsidP="00607644">
      <w:pPr>
        <w:spacing w:after="139" w:line="259" w:lineRule="auto"/>
        <w:ind w:left="566"/>
        <w:jc w:val="both"/>
        <w:rPr>
          <w:rFonts w:ascii="Abadi" w:hAnsi="Abadi"/>
          <w:sz w:val="21"/>
          <w:szCs w:val="21"/>
        </w:rPr>
      </w:pPr>
      <w:r w:rsidRPr="005E111C">
        <w:rPr>
          <w:rFonts w:ascii="Abadi" w:hAnsi="Abadi" w:cs="Arial"/>
          <w:sz w:val="21"/>
          <w:szCs w:val="21"/>
        </w:rPr>
        <w:t xml:space="preserve"> </w:t>
      </w:r>
    </w:p>
    <w:p w14:paraId="1151504D" w14:textId="77777777" w:rsidR="00670E07" w:rsidRPr="005E111C" w:rsidRDefault="00670E07" w:rsidP="00607644">
      <w:pPr>
        <w:spacing w:after="138" w:line="259" w:lineRule="auto"/>
        <w:ind w:right="613"/>
        <w:jc w:val="both"/>
        <w:rPr>
          <w:rFonts w:ascii="Abadi" w:hAnsi="Abadi"/>
          <w:sz w:val="21"/>
          <w:szCs w:val="21"/>
        </w:rPr>
      </w:pPr>
      <w:r w:rsidRPr="005E111C">
        <w:rPr>
          <w:rFonts w:ascii="Abadi" w:hAnsi="Abadi" w:cs="Arial"/>
          <w:b/>
          <w:i/>
          <w:sz w:val="21"/>
          <w:szCs w:val="21"/>
        </w:rPr>
        <w:t xml:space="preserve">Diseño vial con perspectiva de género </w:t>
      </w:r>
    </w:p>
    <w:p w14:paraId="77824C65" w14:textId="77777777" w:rsidR="00670E07" w:rsidRPr="005E111C" w:rsidRDefault="00670E07" w:rsidP="00607644">
      <w:pPr>
        <w:jc w:val="both"/>
        <w:rPr>
          <w:rFonts w:ascii="Abadi" w:hAnsi="Abadi"/>
          <w:sz w:val="21"/>
          <w:szCs w:val="21"/>
        </w:rPr>
      </w:pPr>
      <w:r w:rsidRPr="005E111C">
        <w:rPr>
          <w:rFonts w:ascii="Abadi" w:hAnsi="Abadi" w:cs="Arial"/>
          <w:b/>
          <w:sz w:val="21"/>
          <w:szCs w:val="21"/>
        </w:rPr>
        <w:t>Artículo 50 Sexies.</w:t>
      </w:r>
      <w:r w:rsidRPr="005E111C">
        <w:rPr>
          <w:rFonts w:ascii="Abadi" w:hAnsi="Abadi"/>
          <w:sz w:val="21"/>
          <w:szCs w:val="21"/>
        </w:rPr>
        <w:t xml:space="preserve"> Las calles deberán contar con los elementos urbanos adecuados que garanticen que cualquier persona usuaria, preferentemente las niñas, adolescentes, mujeres, así</w:t>
      </w:r>
      <w:r w:rsidRPr="005E111C">
        <w:rPr>
          <w:rFonts w:ascii="Abadi" w:hAnsi="Abadi" w:cs="Arial"/>
          <w:sz w:val="21"/>
          <w:szCs w:val="21"/>
        </w:rPr>
        <w:t>́</w:t>
      </w:r>
      <w:r w:rsidRPr="005E111C">
        <w:rPr>
          <w:rFonts w:ascii="Abadi" w:hAnsi="Abadi"/>
          <w:sz w:val="21"/>
          <w:szCs w:val="21"/>
        </w:rPr>
        <w:t xml:space="preserve"> como las diversas identidades de género, puedan acceder, usar y ocupar el espacio público en plenitud, sin discriminaciones ni violencias.</w:t>
      </w:r>
      <w:r w:rsidRPr="005E111C">
        <w:rPr>
          <w:rFonts w:ascii="Abadi" w:hAnsi="Abadi" w:cs="Arial"/>
          <w:sz w:val="21"/>
          <w:szCs w:val="21"/>
        </w:rPr>
        <w:t xml:space="preserve"> </w:t>
      </w:r>
    </w:p>
    <w:p w14:paraId="5CB9C842" w14:textId="77777777" w:rsidR="00670E07" w:rsidRPr="005E111C" w:rsidRDefault="00670E07" w:rsidP="00607644">
      <w:pPr>
        <w:spacing w:after="136" w:line="259" w:lineRule="auto"/>
        <w:jc w:val="both"/>
        <w:rPr>
          <w:rFonts w:ascii="Abadi" w:hAnsi="Abadi"/>
          <w:sz w:val="21"/>
          <w:szCs w:val="21"/>
        </w:rPr>
      </w:pPr>
      <w:r w:rsidRPr="005E111C">
        <w:rPr>
          <w:rFonts w:ascii="Abadi" w:hAnsi="Abadi" w:cs="Arial"/>
          <w:sz w:val="21"/>
          <w:szCs w:val="21"/>
        </w:rPr>
        <w:t xml:space="preserve"> </w:t>
      </w:r>
    </w:p>
    <w:p w14:paraId="5E4478B2" w14:textId="6461C9CD" w:rsidR="00670E07" w:rsidRPr="005E111C" w:rsidRDefault="00670E07" w:rsidP="00896A49">
      <w:pPr>
        <w:pStyle w:val="Ttulo1"/>
        <w:spacing w:after="138"/>
        <w:ind w:right="88" w:firstLine="0"/>
        <w:jc w:val="center"/>
        <w:rPr>
          <w:rFonts w:ascii="Abadi" w:hAnsi="Abadi"/>
          <w:sz w:val="21"/>
          <w:szCs w:val="21"/>
        </w:rPr>
      </w:pPr>
      <w:r w:rsidRPr="005E111C">
        <w:rPr>
          <w:rFonts w:ascii="Abadi" w:hAnsi="Abadi"/>
          <w:sz w:val="21"/>
          <w:szCs w:val="21"/>
        </w:rPr>
        <w:t>Transitorios</w:t>
      </w:r>
    </w:p>
    <w:p w14:paraId="03D73403" w14:textId="77777777" w:rsidR="00670E07" w:rsidRDefault="00670E07" w:rsidP="00543882">
      <w:pPr>
        <w:jc w:val="both"/>
        <w:rPr>
          <w:rFonts w:ascii="Abadi" w:hAnsi="Abadi" w:cs="Arial"/>
          <w:sz w:val="21"/>
          <w:szCs w:val="21"/>
        </w:rPr>
      </w:pPr>
      <w:r w:rsidRPr="005E111C">
        <w:rPr>
          <w:rFonts w:ascii="Abadi" w:hAnsi="Abadi" w:cs="Arial"/>
          <w:b/>
          <w:sz w:val="21"/>
          <w:szCs w:val="21"/>
        </w:rPr>
        <w:t>Artículo Primero.</w:t>
      </w:r>
      <w:r w:rsidRPr="005E111C">
        <w:rPr>
          <w:rFonts w:ascii="Abadi" w:hAnsi="Abadi"/>
          <w:sz w:val="21"/>
          <w:szCs w:val="21"/>
        </w:rPr>
        <w:t xml:space="preserve"> El presente Decreto entrará en vigor al día siguiente al de su publicación en el Periódico Oficial del Gobierno del Estado de Guanajuato.</w:t>
      </w:r>
      <w:r w:rsidRPr="005E111C">
        <w:rPr>
          <w:rFonts w:ascii="Abadi" w:hAnsi="Abadi" w:cs="Arial"/>
          <w:sz w:val="21"/>
          <w:szCs w:val="21"/>
        </w:rPr>
        <w:t xml:space="preserve"> </w:t>
      </w:r>
    </w:p>
    <w:p w14:paraId="09B51B22" w14:textId="77777777" w:rsidR="00607644" w:rsidRPr="005E111C" w:rsidRDefault="00607644" w:rsidP="00543882">
      <w:pPr>
        <w:jc w:val="both"/>
        <w:rPr>
          <w:rFonts w:ascii="Abadi" w:hAnsi="Abadi"/>
          <w:sz w:val="21"/>
          <w:szCs w:val="21"/>
        </w:rPr>
      </w:pPr>
    </w:p>
    <w:p w14:paraId="71F3076A" w14:textId="77777777" w:rsidR="00670E07" w:rsidRPr="005E111C" w:rsidRDefault="00670E07" w:rsidP="00543882">
      <w:pPr>
        <w:jc w:val="both"/>
        <w:rPr>
          <w:rFonts w:ascii="Abadi" w:hAnsi="Abadi"/>
          <w:sz w:val="21"/>
          <w:szCs w:val="21"/>
        </w:rPr>
      </w:pPr>
      <w:r w:rsidRPr="005E111C">
        <w:rPr>
          <w:rFonts w:ascii="Abadi" w:hAnsi="Abadi" w:cs="Arial"/>
          <w:b/>
          <w:sz w:val="21"/>
          <w:szCs w:val="21"/>
        </w:rPr>
        <w:t>Artículo Segundo.</w:t>
      </w:r>
      <w:r w:rsidRPr="005E111C">
        <w:rPr>
          <w:rFonts w:ascii="Abadi" w:hAnsi="Abadi"/>
          <w:sz w:val="21"/>
          <w:szCs w:val="21"/>
        </w:rPr>
        <w:t xml:space="preserve"> El poder Ejecutivo y los Municipios contarán con 180 días a partir de la publicación del presente decreto para hacer las adecuaciones reglamentarias correspondientes.</w:t>
      </w:r>
      <w:r w:rsidRPr="005E111C">
        <w:rPr>
          <w:rFonts w:ascii="Abadi" w:hAnsi="Abadi" w:cs="Arial"/>
          <w:sz w:val="21"/>
          <w:szCs w:val="21"/>
        </w:rPr>
        <w:t xml:space="preserve"> </w:t>
      </w:r>
    </w:p>
    <w:p w14:paraId="137073C8" w14:textId="77777777" w:rsidR="00670E07" w:rsidRPr="005E111C" w:rsidRDefault="00670E07" w:rsidP="00607644">
      <w:pPr>
        <w:spacing w:after="120" w:line="259" w:lineRule="auto"/>
        <w:jc w:val="both"/>
        <w:rPr>
          <w:rFonts w:ascii="Abadi" w:hAnsi="Abadi"/>
          <w:b/>
          <w:bCs/>
          <w:sz w:val="21"/>
          <w:szCs w:val="21"/>
        </w:rPr>
      </w:pPr>
      <w:r w:rsidRPr="005E111C">
        <w:rPr>
          <w:rFonts w:ascii="Abadi" w:hAnsi="Abadi" w:cs="Arial"/>
          <w:sz w:val="21"/>
          <w:szCs w:val="21"/>
        </w:rPr>
        <w:t xml:space="preserve"> </w:t>
      </w:r>
    </w:p>
    <w:p w14:paraId="5C168650" w14:textId="77777777" w:rsidR="00670E07" w:rsidRPr="005E111C" w:rsidRDefault="00670E07" w:rsidP="00670E07">
      <w:pPr>
        <w:spacing w:after="199" w:line="259" w:lineRule="auto"/>
        <w:ind w:right="61"/>
        <w:jc w:val="right"/>
        <w:rPr>
          <w:rFonts w:ascii="Abadi" w:hAnsi="Abadi"/>
          <w:b/>
          <w:bCs/>
          <w:sz w:val="21"/>
          <w:szCs w:val="21"/>
        </w:rPr>
      </w:pPr>
      <w:r w:rsidRPr="005E111C">
        <w:rPr>
          <w:rFonts w:ascii="Abadi" w:hAnsi="Abadi"/>
          <w:b/>
          <w:bCs/>
          <w:sz w:val="21"/>
          <w:szCs w:val="21"/>
        </w:rPr>
        <w:t>Congreso del Estado de Guanajuato, 22 de junio de 2023.</w:t>
      </w:r>
      <w:r w:rsidRPr="005E111C">
        <w:rPr>
          <w:rFonts w:ascii="Abadi" w:hAnsi="Abadi" w:cs="Arial"/>
          <w:b/>
          <w:bCs/>
          <w:sz w:val="21"/>
          <w:szCs w:val="21"/>
        </w:rPr>
        <w:t xml:space="preserve"> </w:t>
      </w:r>
    </w:p>
    <w:p w14:paraId="672B8FEA" w14:textId="77777777" w:rsidR="00670E07" w:rsidRPr="005E111C" w:rsidRDefault="00670E07" w:rsidP="00670E07">
      <w:pPr>
        <w:ind w:left="-5" w:right="49"/>
        <w:rPr>
          <w:rFonts w:ascii="Abadi" w:hAnsi="Abadi"/>
          <w:b/>
          <w:bCs/>
          <w:sz w:val="21"/>
          <w:szCs w:val="21"/>
        </w:rPr>
      </w:pPr>
      <w:r w:rsidRPr="005E111C">
        <w:rPr>
          <w:rFonts w:ascii="Abadi" w:hAnsi="Abadi"/>
          <w:b/>
          <w:bCs/>
          <w:sz w:val="21"/>
          <w:szCs w:val="21"/>
        </w:rPr>
        <w:t xml:space="preserve">Dessire Ángel Rocha </w:t>
      </w:r>
    </w:p>
    <w:p w14:paraId="0D3CF095" w14:textId="77777777" w:rsidR="00670E07" w:rsidRPr="005E111C" w:rsidRDefault="00670E07" w:rsidP="00670E07">
      <w:pPr>
        <w:ind w:left="-5" w:right="49"/>
        <w:rPr>
          <w:rFonts w:ascii="Abadi" w:hAnsi="Abadi"/>
          <w:b/>
          <w:bCs/>
          <w:sz w:val="21"/>
          <w:szCs w:val="21"/>
        </w:rPr>
      </w:pPr>
      <w:r w:rsidRPr="005E111C">
        <w:rPr>
          <w:rFonts w:ascii="Abadi" w:hAnsi="Abadi"/>
          <w:b/>
          <w:bCs/>
          <w:sz w:val="21"/>
          <w:szCs w:val="21"/>
        </w:rPr>
        <w:t>Diputada</w:t>
      </w:r>
    </w:p>
    <w:p w14:paraId="75E63F2B" w14:textId="77777777" w:rsidR="00670E07" w:rsidRPr="005E111C" w:rsidRDefault="00670E07" w:rsidP="00670E07">
      <w:pPr>
        <w:rPr>
          <w:rFonts w:ascii="Abadi" w:hAnsi="Abadi"/>
          <w:b/>
          <w:bCs/>
          <w:sz w:val="21"/>
          <w:szCs w:val="21"/>
        </w:rPr>
      </w:pPr>
      <w:r w:rsidRPr="005E111C">
        <w:rPr>
          <w:rFonts w:ascii="Abadi" w:hAnsi="Abadi"/>
          <w:b/>
          <w:bCs/>
          <w:sz w:val="21"/>
          <w:szCs w:val="21"/>
        </w:rPr>
        <w:t>Yulma Rocha Aguilar</w:t>
      </w:r>
    </w:p>
    <w:p w14:paraId="1D1259EC" w14:textId="77777777" w:rsidR="00670E07" w:rsidRPr="005E111C" w:rsidRDefault="00670E07" w:rsidP="00670E07">
      <w:pPr>
        <w:rPr>
          <w:rFonts w:ascii="Abadi" w:hAnsi="Abadi"/>
          <w:b/>
          <w:bCs/>
          <w:sz w:val="21"/>
          <w:szCs w:val="21"/>
        </w:rPr>
      </w:pPr>
      <w:r w:rsidRPr="005E111C">
        <w:rPr>
          <w:rFonts w:ascii="Abadi" w:hAnsi="Abadi"/>
          <w:b/>
          <w:bCs/>
          <w:sz w:val="21"/>
          <w:szCs w:val="21"/>
        </w:rPr>
        <w:t>Diputada</w:t>
      </w:r>
    </w:p>
    <w:p w14:paraId="64106B9A" w14:textId="77777777" w:rsidR="00670E07" w:rsidRPr="005E111C" w:rsidRDefault="00670E07" w:rsidP="00670E07">
      <w:pPr>
        <w:rPr>
          <w:rFonts w:ascii="Abadi" w:hAnsi="Abadi"/>
          <w:b/>
          <w:bCs/>
          <w:sz w:val="21"/>
          <w:szCs w:val="21"/>
        </w:rPr>
      </w:pPr>
      <w:r w:rsidRPr="005E111C">
        <w:rPr>
          <w:rFonts w:ascii="Abadi" w:hAnsi="Abadi"/>
          <w:b/>
          <w:bCs/>
          <w:sz w:val="21"/>
          <w:szCs w:val="21"/>
        </w:rPr>
        <w:t xml:space="preserve">Martha Lourdes Ortega </w:t>
      </w:r>
    </w:p>
    <w:p w14:paraId="64FCEDFA" w14:textId="77777777" w:rsidR="00670E07" w:rsidRPr="005E111C" w:rsidRDefault="00670E07" w:rsidP="00670E07">
      <w:pPr>
        <w:rPr>
          <w:rFonts w:ascii="Abadi" w:hAnsi="Abadi"/>
          <w:b/>
          <w:bCs/>
          <w:sz w:val="21"/>
          <w:szCs w:val="21"/>
        </w:rPr>
      </w:pPr>
      <w:r w:rsidRPr="005E111C">
        <w:rPr>
          <w:rFonts w:ascii="Abadi" w:hAnsi="Abadi"/>
          <w:b/>
          <w:bCs/>
          <w:sz w:val="21"/>
          <w:szCs w:val="21"/>
        </w:rPr>
        <w:t>Diputada</w:t>
      </w:r>
    </w:p>
    <w:p w14:paraId="6048101B" w14:textId="77777777" w:rsidR="00670E07" w:rsidRPr="00C0040E" w:rsidRDefault="00670E07" w:rsidP="00C0040E">
      <w:pPr>
        <w:autoSpaceDE w:val="0"/>
        <w:autoSpaceDN w:val="0"/>
        <w:adjustRightInd w:val="0"/>
        <w:contextualSpacing/>
        <w:jc w:val="both"/>
        <w:rPr>
          <w:rFonts w:ascii="Abadi" w:hAnsi="Abadi" w:cs="ArialMT"/>
          <w:b/>
          <w:bCs/>
          <w:sz w:val="21"/>
          <w:szCs w:val="21"/>
        </w:rPr>
      </w:pPr>
    </w:p>
    <w:p w14:paraId="160AC250" w14:textId="77777777" w:rsidR="005573FE" w:rsidRPr="0030088F" w:rsidRDefault="005573FE" w:rsidP="005573FE">
      <w:pPr>
        <w:ind w:firstLine="567"/>
        <w:jc w:val="both"/>
        <w:rPr>
          <w:rFonts w:ascii="Abadi" w:hAnsi="Abadi"/>
          <w:b/>
          <w:bCs/>
          <w:sz w:val="21"/>
          <w:szCs w:val="21"/>
        </w:rPr>
      </w:pPr>
      <w:r w:rsidRPr="00B760BD">
        <w:rPr>
          <w:rFonts w:ascii="Abadi" w:hAnsi="Abadi"/>
          <w:b/>
          <w:bCs/>
          <w:sz w:val="21"/>
          <w:szCs w:val="21"/>
        </w:rPr>
        <w:t xml:space="preserve">- La </w:t>
      </w:r>
      <w:proofErr w:type="gramStart"/>
      <w:r w:rsidRPr="00B760BD">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Y a continuación se pide a la diputada de Dessire </w:t>
      </w:r>
      <w:proofErr w:type="spellStart"/>
      <w:r w:rsidRPr="0030088F">
        <w:rPr>
          <w:rFonts w:ascii="Abadi" w:hAnsi="Abadi"/>
          <w:sz w:val="21"/>
          <w:szCs w:val="21"/>
        </w:rPr>
        <w:t>Angel</w:t>
      </w:r>
      <w:proofErr w:type="spellEnd"/>
      <w:r w:rsidRPr="0030088F">
        <w:rPr>
          <w:rFonts w:ascii="Abadi" w:hAnsi="Abadi"/>
          <w:sz w:val="21"/>
          <w:szCs w:val="21"/>
        </w:rPr>
        <w:t xml:space="preserve"> Rocha, dar lectura a la exposición de motivos de la iniciativa mencionada en el punto 7 del orden del día</w:t>
      </w:r>
      <w:r w:rsidRPr="0030088F">
        <w:rPr>
          <w:rFonts w:ascii="Abadi" w:hAnsi="Abadi"/>
          <w:i/>
          <w:iCs/>
          <w:sz w:val="21"/>
          <w:szCs w:val="21"/>
        </w:rPr>
        <w:t xml:space="preserve">. </w:t>
      </w:r>
      <w:r w:rsidRPr="0030088F">
        <w:rPr>
          <w:rFonts w:ascii="Abadi" w:hAnsi="Abadi"/>
          <w:b/>
          <w:bCs/>
          <w:sz w:val="21"/>
          <w:szCs w:val="21"/>
        </w:rPr>
        <w:t>(ELD 533/LXV-I)</w:t>
      </w:r>
    </w:p>
    <w:p w14:paraId="53C16888" w14:textId="77777777" w:rsidR="005573FE" w:rsidRDefault="005573FE" w:rsidP="005573FE">
      <w:pPr>
        <w:ind w:firstLine="567"/>
        <w:jc w:val="both"/>
        <w:rPr>
          <w:rFonts w:ascii="Abadi" w:hAnsi="Abadi"/>
          <w:sz w:val="21"/>
          <w:szCs w:val="21"/>
        </w:rPr>
      </w:pPr>
    </w:p>
    <w:p w14:paraId="35CD4583" w14:textId="1939A6D1" w:rsidR="005573FE" w:rsidRPr="0030088F" w:rsidRDefault="005573FE" w:rsidP="005573FE">
      <w:pPr>
        <w:ind w:firstLine="567"/>
        <w:jc w:val="both"/>
        <w:rPr>
          <w:rFonts w:ascii="Abadi" w:hAnsi="Abadi"/>
          <w:sz w:val="21"/>
          <w:szCs w:val="21"/>
        </w:rPr>
      </w:pPr>
      <w:r w:rsidRPr="0030088F">
        <w:rPr>
          <w:rFonts w:ascii="Abadi" w:hAnsi="Abadi"/>
          <w:sz w:val="21"/>
          <w:szCs w:val="21"/>
        </w:rPr>
        <w:t>- Adelante.</w:t>
      </w:r>
    </w:p>
    <w:p w14:paraId="1EF09340" w14:textId="77777777" w:rsidR="005573FE" w:rsidRPr="0030088F" w:rsidRDefault="005573FE" w:rsidP="005573FE">
      <w:pPr>
        <w:ind w:firstLine="567"/>
        <w:jc w:val="both"/>
        <w:rPr>
          <w:rFonts w:ascii="Abadi" w:hAnsi="Abadi"/>
          <w:sz w:val="21"/>
          <w:szCs w:val="21"/>
        </w:rPr>
      </w:pPr>
    </w:p>
    <w:p w14:paraId="0E4DBDDE" w14:textId="77777777" w:rsidR="005573FE" w:rsidRPr="0030088F" w:rsidRDefault="005573FE" w:rsidP="005573FE">
      <w:pPr>
        <w:jc w:val="both"/>
        <w:rPr>
          <w:rFonts w:ascii="Abadi" w:hAnsi="Abadi"/>
          <w:b/>
          <w:bCs/>
          <w:sz w:val="21"/>
          <w:szCs w:val="21"/>
        </w:rPr>
      </w:pPr>
      <w:r w:rsidRPr="0030088F">
        <w:rPr>
          <w:rFonts w:ascii="Abadi" w:hAnsi="Abadi"/>
          <w:b/>
          <w:bCs/>
          <w:sz w:val="21"/>
          <w:szCs w:val="21"/>
        </w:rPr>
        <w:t xml:space="preserve">(Sube a tribuna la diputada Dessire </w:t>
      </w:r>
      <w:proofErr w:type="spellStart"/>
      <w:r w:rsidRPr="0030088F">
        <w:rPr>
          <w:rFonts w:ascii="Abadi" w:hAnsi="Abadi"/>
          <w:b/>
          <w:bCs/>
          <w:sz w:val="21"/>
          <w:szCs w:val="21"/>
        </w:rPr>
        <w:t>Angel</w:t>
      </w:r>
      <w:proofErr w:type="spellEnd"/>
      <w:r w:rsidRPr="0030088F">
        <w:rPr>
          <w:rFonts w:ascii="Abadi" w:hAnsi="Abadi"/>
          <w:b/>
          <w:bCs/>
          <w:sz w:val="21"/>
          <w:szCs w:val="21"/>
        </w:rPr>
        <w:t xml:space="preserve"> Rocha para dar lectura a la exposición de motivos de la iniciativa en referencia)</w:t>
      </w:r>
    </w:p>
    <w:p w14:paraId="5779A94A" w14:textId="23FD98F5" w:rsidR="005573FE" w:rsidRPr="0030088F" w:rsidRDefault="005573FE" w:rsidP="005573FE">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0" behindDoc="1" locked="0" layoutInCell="1" allowOverlap="1" wp14:anchorId="68E04270" wp14:editId="6F4DD0A4">
            <wp:simplePos x="0" y="0"/>
            <wp:positionH relativeFrom="column">
              <wp:posOffset>562610</wp:posOffset>
            </wp:positionH>
            <wp:positionV relativeFrom="paragraph">
              <wp:posOffset>478790</wp:posOffset>
            </wp:positionV>
            <wp:extent cx="1532890" cy="804545"/>
            <wp:effectExtent l="247650" t="228600" r="238760" b="776605"/>
            <wp:wrapTight wrapText="bothSides">
              <wp:wrapPolygon edited="0">
                <wp:start x="-3490" y="-6137"/>
                <wp:lineTo x="-3490" y="41938"/>
                <wp:lineTo x="24696" y="41938"/>
                <wp:lineTo x="24696" y="-6137"/>
                <wp:lineTo x="-3490" y="-6137"/>
              </wp:wrapPolygon>
            </wp:wrapTight>
            <wp:docPr id="988864708" name="Imagen 988864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864708" name=""/>
                    <pic:cNvPicPr/>
                  </pic:nvPicPr>
                  <pic:blipFill rotWithShape="1">
                    <a:blip r:embed="rId26" cstate="print">
                      <a:extLst>
                        <a:ext uri="{28A0092B-C50C-407E-A947-70E740481C1C}">
                          <a14:useLocalDpi xmlns:a14="http://schemas.microsoft.com/office/drawing/2010/main" val="0"/>
                        </a:ext>
                      </a:extLst>
                    </a:blip>
                    <a:srcRect b="6701"/>
                    <a:stretch/>
                  </pic:blipFill>
                  <pic:spPr bwMode="auto">
                    <a:xfrm>
                      <a:off x="0" y="0"/>
                      <a:ext cx="1532890" cy="8045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1606C33" w14:textId="3E141886" w:rsidR="005573FE" w:rsidRPr="0030088F" w:rsidRDefault="005573FE" w:rsidP="005573FE">
      <w:pPr>
        <w:jc w:val="both"/>
        <w:rPr>
          <w:rFonts w:ascii="Abadi" w:hAnsi="Abadi"/>
          <w:b/>
          <w:bCs/>
          <w:sz w:val="21"/>
          <w:szCs w:val="21"/>
        </w:rPr>
      </w:pPr>
    </w:p>
    <w:p w14:paraId="1B23C515" w14:textId="4A09E499" w:rsidR="005573FE" w:rsidRPr="0030088F" w:rsidRDefault="005573FE" w:rsidP="005573FE">
      <w:pPr>
        <w:jc w:val="both"/>
        <w:rPr>
          <w:rFonts w:ascii="Abadi" w:hAnsi="Abadi"/>
          <w:sz w:val="21"/>
          <w:szCs w:val="21"/>
        </w:rPr>
      </w:pPr>
    </w:p>
    <w:p w14:paraId="464C877A" w14:textId="77777777" w:rsidR="005573FE" w:rsidRPr="0030088F" w:rsidRDefault="005573FE" w:rsidP="005573FE">
      <w:pPr>
        <w:jc w:val="both"/>
        <w:rPr>
          <w:rFonts w:ascii="Abadi" w:hAnsi="Abadi"/>
          <w:b/>
          <w:bCs/>
          <w:sz w:val="21"/>
          <w:szCs w:val="21"/>
        </w:rPr>
      </w:pPr>
      <w:r w:rsidRPr="0030088F">
        <w:rPr>
          <w:rFonts w:ascii="Abadi" w:hAnsi="Abadi"/>
          <w:b/>
          <w:bCs/>
          <w:sz w:val="21"/>
          <w:szCs w:val="21"/>
        </w:rPr>
        <w:t xml:space="preserve">Diputada Dessire </w:t>
      </w:r>
      <w:proofErr w:type="spellStart"/>
      <w:r w:rsidRPr="0030088F">
        <w:rPr>
          <w:rFonts w:ascii="Abadi" w:hAnsi="Abadi"/>
          <w:b/>
          <w:bCs/>
          <w:sz w:val="21"/>
          <w:szCs w:val="21"/>
        </w:rPr>
        <w:t>Angel</w:t>
      </w:r>
      <w:proofErr w:type="spellEnd"/>
      <w:r w:rsidRPr="0030088F">
        <w:rPr>
          <w:rFonts w:ascii="Abadi" w:hAnsi="Abadi"/>
          <w:b/>
          <w:bCs/>
          <w:sz w:val="21"/>
          <w:szCs w:val="21"/>
        </w:rPr>
        <w:t xml:space="preserve"> Rocha</w:t>
      </w:r>
    </w:p>
    <w:p w14:paraId="00F62CCA" w14:textId="77777777" w:rsidR="005573FE" w:rsidRPr="0030088F" w:rsidRDefault="005573FE" w:rsidP="005573FE">
      <w:pPr>
        <w:jc w:val="both"/>
        <w:rPr>
          <w:rFonts w:ascii="Abadi" w:hAnsi="Abadi"/>
          <w:sz w:val="21"/>
          <w:szCs w:val="21"/>
        </w:rPr>
      </w:pPr>
    </w:p>
    <w:p w14:paraId="7F20F036" w14:textId="77777777" w:rsidR="005573FE" w:rsidRPr="0030088F" w:rsidRDefault="005573FE" w:rsidP="005573FE">
      <w:pPr>
        <w:jc w:val="both"/>
        <w:rPr>
          <w:rFonts w:ascii="Abadi" w:hAnsi="Abadi"/>
          <w:sz w:val="21"/>
          <w:szCs w:val="21"/>
        </w:rPr>
      </w:pPr>
    </w:p>
    <w:p w14:paraId="2DAC359D" w14:textId="77777777" w:rsidR="005573FE" w:rsidRDefault="005573FE" w:rsidP="005573FE">
      <w:pPr>
        <w:jc w:val="both"/>
        <w:rPr>
          <w:rFonts w:ascii="Abadi" w:hAnsi="Abadi"/>
          <w:sz w:val="21"/>
          <w:szCs w:val="21"/>
        </w:rPr>
      </w:pPr>
      <w:r w:rsidRPr="0030088F">
        <w:rPr>
          <w:rFonts w:ascii="Abadi" w:hAnsi="Abadi"/>
          <w:sz w:val="21"/>
          <w:szCs w:val="21"/>
        </w:rPr>
        <w:t xml:space="preserve">- Muchas gracias presidenta con su permiso compañeros de la Mesa Directiva compañeras </w:t>
      </w:r>
      <w:r w:rsidRPr="0030088F">
        <w:rPr>
          <w:rFonts w:ascii="Abadi" w:hAnsi="Abadi"/>
          <w:sz w:val="21"/>
          <w:szCs w:val="21"/>
        </w:rPr>
        <w:lastRenderedPageBreak/>
        <w:t xml:space="preserve">compañeros ¡muy buenos días a todos! la movilidad es un derecho humano pero el tránsito libre a cualquier hora en cualquier lugar e distinto a nuestra apariencia física es un privilegio, poder  desarrollar en nuestras profesiones pasatiempos y realizar actividades de cuidado y conveniencia requiere que las mujeres podamos hacer uso de los espacios y transportes públicos y que las calles se sientan tan nuestras como han sido de los hombres durante muchos, muchos años debemos pensar la movilidad en su sentido más amplio y reconocer que no vivimos en igualdad de condiciones cuando nos trasladamos caminar, andar en bicicleta, usar cualquier transporte público o conducir, no solo son actividades cotidianas pueden significar un reto dependiendo de quién las realice, pueden provocarnos miedo, pueden significarnos dificultades y atrevernos a salir todos los días ya es prácticamente un acto político porque incluso con los riesgos que nos implica la inseguridad y la falta de infraestructura nosotras reivindicamos nuestro derecho a la movilidad, pero ya no deberíamos estar solas en nuestra búsqueda por el tránsito libre y seguro, nos tiene que acompañar la ley y el gobierno. </w:t>
      </w:r>
    </w:p>
    <w:p w14:paraId="6965E5D6" w14:textId="77777777" w:rsidR="005573FE" w:rsidRPr="0030088F" w:rsidRDefault="005573FE" w:rsidP="005573FE">
      <w:pPr>
        <w:jc w:val="both"/>
        <w:rPr>
          <w:rFonts w:ascii="Abadi" w:hAnsi="Abadi"/>
          <w:sz w:val="21"/>
          <w:szCs w:val="21"/>
        </w:rPr>
      </w:pPr>
    </w:p>
    <w:p w14:paraId="42919FED" w14:textId="77777777" w:rsidR="005573FE" w:rsidRDefault="005573FE" w:rsidP="005573FE">
      <w:pPr>
        <w:jc w:val="both"/>
        <w:rPr>
          <w:rFonts w:ascii="Abadi" w:hAnsi="Abadi"/>
          <w:sz w:val="21"/>
          <w:szCs w:val="21"/>
        </w:rPr>
      </w:pPr>
      <w:r w:rsidRPr="0030088F">
        <w:rPr>
          <w:rFonts w:ascii="Abadi" w:hAnsi="Abadi"/>
          <w:sz w:val="21"/>
          <w:szCs w:val="21"/>
        </w:rPr>
        <w:t xml:space="preserve">- La Comisión Económica para América Latina. plantea que los estados deben proponer 3 autonomías de género la autonomía física la autonomía económica y la autonomía en la toma de decisiones, estas tres constituyen las condiciones con las que las mujeres pueden decidir de manera libre, su vocación y trayectoria de vida, poder movilizarse y desarrollar diversas actividades con libertad, es la clave para alcanzar la autonomía de las mujeres en todos los espacios de la vida cotidiana. </w:t>
      </w:r>
    </w:p>
    <w:p w14:paraId="7F3F6591" w14:textId="77777777" w:rsidR="005573FE" w:rsidRPr="0030088F" w:rsidRDefault="005573FE" w:rsidP="005573FE">
      <w:pPr>
        <w:jc w:val="both"/>
        <w:rPr>
          <w:rFonts w:ascii="Abadi" w:hAnsi="Abadi"/>
          <w:sz w:val="21"/>
          <w:szCs w:val="21"/>
        </w:rPr>
      </w:pPr>
    </w:p>
    <w:p w14:paraId="67B12368" w14:textId="77777777" w:rsidR="005573FE" w:rsidRDefault="005573FE" w:rsidP="005573FE">
      <w:pPr>
        <w:jc w:val="both"/>
        <w:rPr>
          <w:rFonts w:ascii="Abadi" w:hAnsi="Abadi"/>
          <w:sz w:val="21"/>
          <w:szCs w:val="21"/>
        </w:rPr>
      </w:pPr>
      <w:r w:rsidRPr="0030088F">
        <w:rPr>
          <w:rFonts w:ascii="Abadi" w:hAnsi="Abadi"/>
          <w:sz w:val="21"/>
          <w:szCs w:val="21"/>
        </w:rPr>
        <w:t xml:space="preserve">- Actualmente la Ley de General de Movilidad y Seguridad Vial, coloca en el centro de la movilidad a las personas y sus necesidades, es un esfuerzo del estado mexicano de asegurar el cumplimiento de dicho derecho humano, sin embargo ha y a pesar del plazo de 180 días que fue otorgado a los estados para armonizar sus legislaturas locales solamente nueve entidades lo han hecho, Jalisco Nuevo León, Aguascalientes, Colima, Hidalgo, Michoacán, Quintana Roo, Tamaulipas y Yucatán en fecha reciente mis compañeros del Grupo de Acción Nacional, presentó por conducto de mi compañero el diputado </w:t>
      </w:r>
      <w:r w:rsidRPr="0030088F">
        <w:rPr>
          <w:rFonts w:ascii="Abadi" w:hAnsi="Abadi"/>
          <w:sz w:val="21"/>
          <w:szCs w:val="21"/>
        </w:rPr>
        <w:t xml:space="preserve">Rolando Alcántar, una iniciativa para armonizar nuestro marco local, con el marco general y esta iniciativa de la bancada feminista junto con mi compañera Yulma y mi compañera Martha, se suma a este esfuerzo para imprimir de manera clara y precisa la perspectiva de género en materia de movilidad. </w:t>
      </w:r>
    </w:p>
    <w:p w14:paraId="118F7E1C" w14:textId="77777777" w:rsidR="005573FE" w:rsidRPr="0030088F" w:rsidRDefault="005573FE" w:rsidP="005573FE">
      <w:pPr>
        <w:jc w:val="both"/>
        <w:rPr>
          <w:rFonts w:ascii="Abadi" w:hAnsi="Abadi"/>
          <w:sz w:val="21"/>
          <w:szCs w:val="21"/>
        </w:rPr>
      </w:pPr>
    </w:p>
    <w:p w14:paraId="124FF80F" w14:textId="77777777" w:rsidR="005573FE" w:rsidRDefault="005573FE" w:rsidP="005573FE">
      <w:pPr>
        <w:jc w:val="both"/>
        <w:rPr>
          <w:rFonts w:ascii="Abadi" w:hAnsi="Abadi"/>
          <w:sz w:val="21"/>
          <w:szCs w:val="21"/>
        </w:rPr>
      </w:pPr>
      <w:r w:rsidRPr="0030088F">
        <w:rPr>
          <w:rFonts w:ascii="Abadi" w:hAnsi="Abadi"/>
          <w:sz w:val="21"/>
          <w:szCs w:val="21"/>
        </w:rPr>
        <w:t>- En la bancada feminista somos conscientes de que la movilidad humana es esencial para el libre desarrollo de las personas tanto en lo individual como colectivamente y que es necesario que las condiciones de movilidad no deben reproducir desigualdades de género, clase, raza, o edad, al contrario, debe ser un factor que impulse la igualdad de oportunidades, por lo que es indispensable construir estas condiciones de con perspectiva de género e intersecciones.</w:t>
      </w:r>
    </w:p>
    <w:p w14:paraId="11A84498" w14:textId="2607BFA6" w:rsidR="005573FE" w:rsidRPr="0030088F" w:rsidRDefault="005573FE" w:rsidP="005573FE">
      <w:pPr>
        <w:jc w:val="both"/>
        <w:rPr>
          <w:rFonts w:ascii="Abadi" w:hAnsi="Abadi"/>
          <w:sz w:val="21"/>
          <w:szCs w:val="21"/>
        </w:rPr>
      </w:pPr>
      <w:r w:rsidRPr="0030088F">
        <w:rPr>
          <w:rFonts w:ascii="Abadi" w:hAnsi="Abadi"/>
          <w:sz w:val="21"/>
          <w:szCs w:val="21"/>
        </w:rPr>
        <w:t xml:space="preserve"> </w:t>
      </w:r>
    </w:p>
    <w:p w14:paraId="7F5C3FB3" w14:textId="77777777" w:rsidR="005573FE" w:rsidRDefault="005573FE" w:rsidP="005573FE">
      <w:pPr>
        <w:jc w:val="both"/>
        <w:rPr>
          <w:rFonts w:ascii="Abadi" w:hAnsi="Abadi"/>
          <w:sz w:val="21"/>
          <w:szCs w:val="21"/>
        </w:rPr>
      </w:pPr>
      <w:r w:rsidRPr="0030088F">
        <w:rPr>
          <w:rFonts w:ascii="Abadi" w:hAnsi="Abadi"/>
          <w:sz w:val="21"/>
          <w:szCs w:val="21"/>
        </w:rPr>
        <w:t>- La siguiente iniciativa, plantea que en el contexto de la armonización en materia de movilidad y seguridad vial se integren normas específicas y agrupadas sobre la perspectiva de género y para este propósito proponemos la inclusión del Capítulo I-a titulado La Movilidad Bajo la Perspectiva de Género, dicha propuesta de Capítulo en la Ley de Movilidad del Estado incluye lo siguiente:</w:t>
      </w:r>
    </w:p>
    <w:p w14:paraId="19B4000D" w14:textId="77777777" w:rsidR="005573FE" w:rsidRPr="0030088F" w:rsidRDefault="005573FE" w:rsidP="005573FE">
      <w:pPr>
        <w:jc w:val="both"/>
        <w:rPr>
          <w:rFonts w:ascii="Abadi" w:hAnsi="Abadi"/>
          <w:sz w:val="21"/>
          <w:szCs w:val="21"/>
        </w:rPr>
      </w:pPr>
    </w:p>
    <w:p w14:paraId="1104B6FB" w14:textId="77777777" w:rsidR="005573FE" w:rsidRDefault="005573FE" w:rsidP="005573FE">
      <w:pPr>
        <w:jc w:val="both"/>
        <w:rPr>
          <w:rFonts w:ascii="Abadi" w:hAnsi="Abadi"/>
          <w:sz w:val="21"/>
          <w:szCs w:val="21"/>
        </w:rPr>
      </w:pPr>
      <w:r w:rsidRPr="0030088F">
        <w:rPr>
          <w:rFonts w:ascii="Abadi" w:hAnsi="Abadi"/>
          <w:sz w:val="21"/>
          <w:szCs w:val="21"/>
        </w:rPr>
        <w:t xml:space="preserve">- Primero. Planeación e información desagregada por sexo. </w:t>
      </w:r>
    </w:p>
    <w:p w14:paraId="2D958D41" w14:textId="77777777" w:rsidR="005573FE" w:rsidRPr="0030088F" w:rsidRDefault="005573FE" w:rsidP="005573FE">
      <w:pPr>
        <w:jc w:val="both"/>
        <w:rPr>
          <w:rFonts w:ascii="Abadi" w:hAnsi="Abadi"/>
          <w:sz w:val="21"/>
          <w:szCs w:val="21"/>
        </w:rPr>
      </w:pPr>
    </w:p>
    <w:p w14:paraId="7CEC85E2" w14:textId="77777777" w:rsidR="005573FE" w:rsidRDefault="005573FE" w:rsidP="005573FE">
      <w:pPr>
        <w:jc w:val="both"/>
        <w:rPr>
          <w:rFonts w:ascii="Abadi" w:hAnsi="Abadi"/>
          <w:sz w:val="21"/>
          <w:szCs w:val="21"/>
        </w:rPr>
      </w:pPr>
      <w:r w:rsidRPr="0030088F">
        <w:rPr>
          <w:rFonts w:ascii="Abadi" w:hAnsi="Abadi"/>
          <w:sz w:val="21"/>
          <w:szCs w:val="21"/>
        </w:rPr>
        <w:t xml:space="preserve">- Segundo. Participación de las mujeres. </w:t>
      </w:r>
    </w:p>
    <w:p w14:paraId="306D6467" w14:textId="77777777" w:rsidR="005573FE" w:rsidRPr="0030088F" w:rsidRDefault="005573FE" w:rsidP="005573FE">
      <w:pPr>
        <w:jc w:val="both"/>
        <w:rPr>
          <w:rFonts w:ascii="Abadi" w:hAnsi="Abadi"/>
          <w:sz w:val="21"/>
          <w:szCs w:val="21"/>
        </w:rPr>
      </w:pPr>
    </w:p>
    <w:p w14:paraId="18D932FA" w14:textId="77777777" w:rsidR="005573FE" w:rsidRDefault="005573FE" w:rsidP="005573FE">
      <w:pPr>
        <w:jc w:val="both"/>
        <w:rPr>
          <w:rFonts w:ascii="Abadi" w:hAnsi="Abadi"/>
          <w:sz w:val="21"/>
          <w:szCs w:val="21"/>
        </w:rPr>
      </w:pPr>
      <w:r w:rsidRPr="0030088F">
        <w:rPr>
          <w:rFonts w:ascii="Abadi" w:hAnsi="Abadi"/>
          <w:sz w:val="21"/>
          <w:szCs w:val="21"/>
        </w:rPr>
        <w:t xml:space="preserve">- Tercero. Movilidad con perspectiva de género. </w:t>
      </w:r>
    </w:p>
    <w:p w14:paraId="0C40FAC6" w14:textId="77777777" w:rsidR="005573FE" w:rsidRPr="0030088F" w:rsidRDefault="005573FE" w:rsidP="005573FE">
      <w:pPr>
        <w:jc w:val="both"/>
        <w:rPr>
          <w:rFonts w:ascii="Abadi" w:hAnsi="Abadi"/>
          <w:sz w:val="21"/>
          <w:szCs w:val="21"/>
        </w:rPr>
      </w:pPr>
    </w:p>
    <w:p w14:paraId="5F856EAB" w14:textId="77777777" w:rsidR="005573FE" w:rsidRDefault="005573FE" w:rsidP="005573FE">
      <w:pPr>
        <w:jc w:val="both"/>
        <w:rPr>
          <w:rFonts w:ascii="Abadi" w:hAnsi="Abadi"/>
          <w:sz w:val="21"/>
          <w:szCs w:val="21"/>
        </w:rPr>
      </w:pPr>
      <w:r w:rsidRPr="0030088F">
        <w:rPr>
          <w:rFonts w:ascii="Abadi" w:hAnsi="Abadi"/>
          <w:sz w:val="21"/>
          <w:szCs w:val="21"/>
        </w:rPr>
        <w:t xml:space="preserve">- Cuarto. Movilidad de cuidados y acciones afirmativas; y </w:t>
      </w:r>
    </w:p>
    <w:p w14:paraId="5FD843F8" w14:textId="77777777" w:rsidR="005573FE" w:rsidRPr="0030088F" w:rsidRDefault="005573FE" w:rsidP="005573FE">
      <w:pPr>
        <w:jc w:val="both"/>
        <w:rPr>
          <w:rFonts w:ascii="Abadi" w:hAnsi="Abadi"/>
          <w:sz w:val="21"/>
          <w:szCs w:val="21"/>
        </w:rPr>
      </w:pPr>
    </w:p>
    <w:p w14:paraId="1CF38BC3" w14:textId="77777777" w:rsidR="005573FE" w:rsidRDefault="005573FE" w:rsidP="005573FE">
      <w:pPr>
        <w:jc w:val="both"/>
        <w:rPr>
          <w:rFonts w:ascii="Abadi" w:hAnsi="Abadi"/>
          <w:sz w:val="21"/>
          <w:szCs w:val="21"/>
        </w:rPr>
      </w:pPr>
      <w:r w:rsidRPr="0030088F">
        <w:rPr>
          <w:rFonts w:ascii="Abadi" w:hAnsi="Abadi"/>
          <w:sz w:val="21"/>
          <w:szCs w:val="21"/>
        </w:rPr>
        <w:t xml:space="preserve">- Quinto. Diseño vial con perspectiva de género. </w:t>
      </w:r>
    </w:p>
    <w:p w14:paraId="551EDA4C" w14:textId="77777777" w:rsidR="005573FE" w:rsidRPr="0030088F" w:rsidRDefault="005573FE" w:rsidP="005573FE">
      <w:pPr>
        <w:jc w:val="both"/>
        <w:rPr>
          <w:rFonts w:ascii="Abadi" w:hAnsi="Abadi"/>
          <w:sz w:val="21"/>
          <w:szCs w:val="21"/>
        </w:rPr>
      </w:pPr>
    </w:p>
    <w:p w14:paraId="4645720F" w14:textId="77777777" w:rsidR="005573FE" w:rsidRDefault="005573FE" w:rsidP="005573FE">
      <w:pPr>
        <w:jc w:val="both"/>
        <w:rPr>
          <w:rFonts w:ascii="Abadi" w:hAnsi="Abadi"/>
          <w:sz w:val="21"/>
          <w:szCs w:val="21"/>
        </w:rPr>
      </w:pPr>
      <w:r w:rsidRPr="0030088F">
        <w:rPr>
          <w:rFonts w:ascii="Abadi" w:hAnsi="Abadi"/>
          <w:sz w:val="21"/>
          <w:szCs w:val="21"/>
        </w:rPr>
        <w:t xml:space="preserve">- Entonces, vámonos por partes, a ver, lo primero, la planeación e información desagregada por género en Guanajuato se han presentado esfuerzos incompletos para cumplir el artículo 50 de la ley movilidad vigente, que establece que las autoridades estatales y municipales en la materia tomen acciones necesarias para documentar, sintetizar, diseñar, los sistemas de movilidad y las acciones diferenciadas aplicables, tal parece, que en el estado no hemos aprendido </w:t>
      </w:r>
      <w:r w:rsidRPr="0030088F">
        <w:rPr>
          <w:rFonts w:ascii="Abadi" w:hAnsi="Abadi"/>
          <w:sz w:val="21"/>
          <w:szCs w:val="21"/>
        </w:rPr>
        <w:lastRenderedPageBreak/>
        <w:t xml:space="preserve">que las mujeres vivimos situaciones distintas contextos distintos y que las dobles y hasta triples jornadas laborales son el día a día de muchas mujeres guanajuatense, generalizan datos pensando que así van a generalizar los problemas, pero no somos iguales, debemos atender las necesidades específicas de los diversos sectores de la población y para eso, es necesario. </w:t>
      </w:r>
    </w:p>
    <w:p w14:paraId="3A5E9E17" w14:textId="77777777" w:rsidR="005573FE" w:rsidRPr="0030088F" w:rsidRDefault="005573FE" w:rsidP="005573FE">
      <w:pPr>
        <w:jc w:val="both"/>
        <w:rPr>
          <w:rFonts w:ascii="Abadi" w:hAnsi="Abadi"/>
          <w:sz w:val="21"/>
          <w:szCs w:val="21"/>
        </w:rPr>
      </w:pPr>
    </w:p>
    <w:p w14:paraId="71358875" w14:textId="77777777" w:rsidR="005573FE" w:rsidRDefault="005573FE" w:rsidP="005573FE">
      <w:pPr>
        <w:jc w:val="both"/>
        <w:rPr>
          <w:rFonts w:ascii="Abadi" w:hAnsi="Abadi"/>
          <w:sz w:val="21"/>
          <w:szCs w:val="21"/>
        </w:rPr>
      </w:pPr>
      <w:r w:rsidRPr="0030088F">
        <w:rPr>
          <w:rFonts w:ascii="Abadi" w:hAnsi="Abadi"/>
          <w:sz w:val="21"/>
          <w:szCs w:val="21"/>
        </w:rPr>
        <w:t xml:space="preserve">- Primero, documentar, sistematizar y diseñar con metodologías basadas en datos por ello se propone que las autoridades operadoras de la ley implementen de manera efectiva mecanismos para que haya información diagnóstica desagregada por género para que haya datos confiables que soporten el diseño y la evaluación de políticas públicas en materia de movilidad y seguridad vial. </w:t>
      </w:r>
    </w:p>
    <w:p w14:paraId="2D3359C6" w14:textId="77777777" w:rsidR="005573FE" w:rsidRPr="0030088F" w:rsidRDefault="005573FE" w:rsidP="005573FE">
      <w:pPr>
        <w:jc w:val="both"/>
        <w:rPr>
          <w:rFonts w:ascii="Abadi" w:hAnsi="Abadi"/>
          <w:sz w:val="21"/>
          <w:szCs w:val="21"/>
        </w:rPr>
      </w:pPr>
    </w:p>
    <w:p w14:paraId="2DC0D6A2" w14:textId="77777777" w:rsidR="005573FE" w:rsidRDefault="005573FE" w:rsidP="005573FE">
      <w:pPr>
        <w:jc w:val="both"/>
        <w:rPr>
          <w:rFonts w:ascii="Abadi" w:hAnsi="Abadi"/>
          <w:sz w:val="21"/>
          <w:szCs w:val="21"/>
        </w:rPr>
      </w:pPr>
      <w:r w:rsidRPr="0030088F">
        <w:rPr>
          <w:rFonts w:ascii="Abadi" w:hAnsi="Abadi"/>
          <w:sz w:val="21"/>
          <w:szCs w:val="21"/>
        </w:rPr>
        <w:t xml:space="preserve">-  Segundo, la participación de las mujeres en una sociedad democrática y participativa es necesaria la integración de todas las voces, de todas las opiniones y también de todas las críticas por incómodo que pueda reconocerse y que sea el reconocimiento de las deficiencias de los cimientos sobre los que caminamos hoy y no solo háblame hablo figurativamente la planificación de la movilidad en América Latina, ha priorizado un modelo de masculinidad hegemónica y de desplazamientos lineales por motivos laborales y utilizando vehículos de automotor, mientras que existe una tendencia de que las mujeres se desplazan mayoritariamente a pie o en transporte público y en mayor proporción que los hombres, son ellos los que utilizan más vehículos de automotor a pesar de que realizan menos tareas reproductivas y menos labores de cuidado y esta aseveración se basa en datos proporcionados por la SEPAL,  es necesario que las mujeres tengan una participación sustancial al interior del sistema de movilidad y transporte, tanto los órganos de participación de los consejos de movilidad, las autoridades operadoras de la normatividad y las organizaciones de la sociedad civil, deben ser espacios para que las mujeres tomen decisiones que las impacten y les ayude, ante tales circunstancias se propone un artículo específico que establezca que las autoridades estatales y municipales garanticen la participación de las mujeres, las diversas identidades de género, en la planeación y diseño de los componentes de </w:t>
      </w:r>
      <w:r w:rsidRPr="0030088F">
        <w:rPr>
          <w:rFonts w:ascii="Abadi" w:hAnsi="Abadi"/>
          <w:sz w:val="21"/>
          <w:szCs w:val="21"/>
        </w:rPr>
        <w:t>movilidad y de seguridad vial como en la evaluación de sus impactos.</w:t>
      </w:r>
    </w:p>
    <w:p w14:paraId="51DFB583" w14:textId="77777777" w:rsidR="005573FE" w:rsidRPr="0030088F" w:rsidRDefault="005573FE" w:rsidP="005573FE">
      <w:pPr>
        <w:jc w:val="both"/>
        <w:rPr>
          <w:rFonts w:ascii="Abadi" w:hAnsi="Abadi"/>
          <w:sz w:val="21"/>
          <w:szCs w:val="21"/>
        </w:rPr>
      </w:pPr>
    </w:p>
    <w:p w14:paraId="59F6CE81" w14:textId="77777777" w:rsidR="005573FE" w:rsidRDefault="005573FE" w:rsidP="005573FE">
      <w:pPr>
        <w:jc w:val="both"/>
        <w:rPr>
          <w:rFonts w:ascii="Abadi" w:hAnsi="Abadi"/>
          <w:sz w:val="21"/>
          <w:szCs w:val="21"/>
        </w:rPr>
      </w:pPr>
      <w:r w:rsidRPr="0030088F">
        <w:rPr>
          <w:rFonts w:ascii="Abadi" w:hAnsi="Abadi"/>
          <w:sz w:val="21"/>
          <w:szCs w:val="21"/>
        </w:rPr>
        <w:t xml:space="preserve">- Tercero movilidad con perspectiva de género el instituto para las mujeres guanajuatenses publicó el documento acoso callejero a mujeres en el estado de Guanajuato con datos de 2018 que mostraron que durante ese año se presentaron 70 casos de acoso sexual y 12 casos de hostigamiento sexual, además reveló que entre las mujeres guanajuatenses de 18 años y más el 77% se siente insegura en la calle, el 70.5% se sienten inseguras en el transporte público, el 57% han dejado o han evitado salir de noche por temor a ser víctima de algún delito, el 38 1% han dejado o han evitado tomar taxi por temor de ser víctima de algún delito, y el 17.2 han dejado o han evitado usar el transporte público por temor a ser víctima de un delito, ¡chihuahua! ¿pues entones en donde nos sentimos seguras? la percepción de inseguridad y el miedo a ser víctimas de delito ha privado a las mujeres de ejercer su derecho a la libre movilidad y al uso de los lugares públicos y las calles, entonces dónde termina esto, dónde estamos seguras, cuándo dejará de existir y de verdad empezar a resistir, y de verdad nosotras planteamos para este propósito que los sistemas de movilidad deberán de orientarse hacia la mejora continua en la experiencia de la movilidad de las mujeres y seguridad, considerando la movilidad de cuidados, además de que se prevengan y se erradiquen las violencias contra las mujeres en todos los sistemas de movilidad, en cuarto lugar la movilidad de cuidados y acciones afirmativas, como les había explicado la perspectiva de género permite una visión completa e integral de la movilidad que es necesaria para la creación de políticas públicas y que se habían se avance hacia la igualdad por medio de planear diseñar y gestionar la movilidad desde todas las realidades. </w:t>
      </w:r>
    </w:p>
    <w:p w14:paraId="650F114F" w14:textId="77777777" w:rsidR="005573FE" w:rsidRPr="0030088F" w:rsidRDefault="005573FE" w:rsidP="005573FE">
      <w:pPr>
        <w:jc w:val="both"/>
        <w:rPr>
          <w:rFonts w:ascii="Abadi" w:hAnsi="Abadi"/>
          <w:sz w:val="21"/>
          <w:szCs w:val="21"/>
        </w:rPr>
      </w:pPr>
    </w:p>
    <w:p w14:paraId="6C5D19E8" w14:textId="77777777" w:rsidR="005573FE" w:rsidRDefault="005573FE" w:rsidP="005573FE">
      <w:pPr>
        <w:jc w:val="both"/>
        <w:rPr>
          <w:rFonts w:ascii="Abadi" w:hAnsi="Abadi"/>
          <w:sz w:val="21"/>
          <w:szCs w:val="21"/>
        </w:rPr>
      </w:pPr>
      <w:r w:rsidRPr="0030088F">
        <w:rPr>
          <w:rFonts w:ascii="Abadi" w:hAnsi="Abadi"/>
          <w:sz w:val="21"/>
          <w:szCs w:val="21"/>
        </w:rPr>
        <w:t xml:space="preserve">- En ese sentido analizar la movilidad desde la perspectiva de género implica estudiar con detenimiento cómo los roles de género influyen en la forma en que las mujeres se desplazan examinando de igual forma como el género y su intersección con otras características como la edad, el origen, el nivel de ingresos, capacidades etcétera pueden condicionar las opciones que tienen las personas para realizar sus desplazamos frente a esto, se deberá fomentar la inclusión de las </w:t>
      </w:r>
      <w:r w:rsidRPr="0030088F">
        <w:rPr>
          <w:rFonts w:ascii="Abadi" w:hAnsi="Abadi"/>
          <w:sz w:val="21"/>
          <w:szCs w:val="21"/>
        </w:rPr>
        <w:lastRenderedPageBreak/>
        <w:t xml:space="preserve">mujeres incorporando ciertos criterios que reconozcan los patrones de movilidad diferenciados por género y que esta inclusión esté incorporada en el diseño la planeación y evaluación de los sistemas de movilidad. </w:t>
      </w:r>
    </w:p>
    <w:p w14:paraId="464F442A" w14:textId="77777777" w:rsidR="005573FE" w:rsidRPr="0030088F" w:rsidRDefault="005573FE" w:rsidP="005573FE">
      <w:pPr>
        <w:jc w:val="both"/>
        <w:rPr>
          <w:rFonts w:ascii="Abadi" w:hAnsi="Abadi"/>
          <w:sz w:val="21"/>
          <w:szCs w:val="21"/>
        </w:rPr>
      </w:pPr>
    </w:p>
    <w:p w14:paraId="4AB7BA77" w14:textId="77777777" w:rsidR="005573FE" w:rsidRDefault="005573FE" w:rsidP="005573FE">
      <w:pPr>
        <w:jc w:val="both"/>
        <w:rPr>
          <w:rFonts w:ascii="Abadi" w:hAnsi="Abadi"/>
          <w:sz w:val="21"/>
          <w:szCs w:val="21"/>
        </w:rPr>
      </w:pPr>
      <w:r w:rsidRPr="0030088F">
        <w:rPr>
          <w:rFonts w:ascii="Abadi" w:hAnsi="Abadi"/>
          <w:sz w:val="21"/>
          <w:szCs w:val="21"/>
        </w:rPr>
        <w:t>- Adicional las y las autoridades podrán fijar subsidios o subvenciones a la movilidad de cuidados a través de excepciones a las tarifas generales y como quinto punto, el diseño vial con perspectiva de género la perspectiva de género internacional implica una visión diferente de los desplazamientos de las personas como no unidireccionales y no individuales sino que son prácticas que muestran la complejidad de la vida cotidiana en los ámbitos productivos, reproductivos, comunitarios, recreativos que además son atravesados por componentes culturales específicos de cada lugar, esta nueva visión propone como punto clave y más importante la vida cotidiana de las personas como núcleo de las decisiones en materia pública de la movilidad, las mujeres se desplazan de manera diferenciada que los hombres por cómo se mencionó, la doble y triple jornada de trabajo remunerado, trabajo doméstico y de gestión del hogar y las relaciones afectivas y comunitaria.</w:t>
      </w:r>
    </w:p>
    <w:p w14:paraId="3ED95B68" w14:textId="77777777" w:rsidR="005573FE" w:rsidRPr="0030088F" w:rsidRDefault="005573FE" w:rsidP="005573FE">
      <w:pPr>
        <w:jc w:val="both"/>
        <w:rPr>
          <w:rFonts w:ascii="Abadi" w:hAnsi="Abadi"/>
          <w:sz w:val="21"/>
          <w:szCs w:val="21"/>
        </w:rPr>
      </w:pPr>
    </w:p>
    <w:p w14:paraId="05793157" w14:textId="77777777" w:rsidR="005573FE" w:rsidRPr="0030088F" w:rsidRDefault="005573FE" w:rsidP="005573FE">
      <w:pPr>
        <w:jc w:val="both"/>
        <w:rPr>
          <w:rFonts w:ascii="Abadi" w:hAnsi="Abadi"/>
          <w:sz w:val="21"/>
          <w:szCs w:val="21"/>
        </w:rPr>
      </w:pPr>
      <w:r w:rsidRPr="0030088F">
        <w:rPr>
          <w:rFonts w:ascii="Abadi" w:hAnsi="Abadi"/>
          <w:sz w:val="21"/>
          <w:szCs w:val="21"/>
        </w:rPr>
        <w:t xml:space="preserve">- Sus desplazamientos son puro mayor número de motivos y se dirigen por diversas actividades y trayectos con lo anterior en consideración resulta imprescindible que las calles deberán de estar diseñadas y equipadas adecuadamente para garantizar que cualquier persona usuaria pero preferentemente las niñas adolescentes mujeres y diversas identidades de género puedan transitar libremente en el público sin discriminaciones y sin violencias, nuestra propuesta tiene el objetivo general de construir procesos de movilidad de manera inclusiva de crear un tránsito seguro para toda la población y de asegurar nuestro derecho humano, queremos calles para todas las personas sin distinciones, queremos calles sin violencia, sin acoso, sin hostigamiento, queremos calles que nos ayuden pero que también sean nuestras queremos calles que nos pertenezcan, queremos calles sobre las que se hablen nuestros pasos firmes y seguros sobre todo queremos calles en las que sin importar la </w:t>
      </w:r>
      <w:r w:rsidRPr="0030088F">
        <w:rPr>
          <w:rFonts w:ascii="Abadi" w:hAnsi="Abadi"/>
          <w:sz w:val="21"/>
          <w:szCs w:val="21"/>
        </w:rPr>
        <w:t>hora en lugar o nuestra apariencia no exista ni el temor ni el miedo queremos ¡movernos libres y seguras!</w:t>
      </w:r>
    </w:p>
    <w:p w14:paraId="15667C5F" w14:textId="77777777" w:rsidR="005573FE" w:rsidRDefault="005573FE" w:rsidP="005573FE">
      <w:pPr>
        <w:jc w:val="both"/>
        <w:rPr>
          <w:rFonts w:ascii="Abadi" w:hAnsi="Abadi"/>
          <w:sz w:val="21"/>
          <w:szCs w:val="21"/>
        </w:rPr>
      </w:pPr>
      <w:r w:rsidRPr="0030088F">
        <w:rPr>
          <w:rFonts w:ascii="Abadi" w:hAnsi="Abadi"/>
          <w:sz w:val="21"/>
          <w:szCs w:val="21"/>
        </w:rPr>
        <w:t>- Muchas gracias.</w:t>
      </w:r>
    </w:p>
    <w:p w14:paraId="464435AA" w14:textId="77777777" w:rsidR="005573FE" w:rsidRPr="0030088F" w:rsidRDefault="005573FE" w:rsidP="005573FE">
      <w:pPr>
        <w:jc w:val="both"/>
        <w:rPr>
          <w:rFonts w:ascii="Abadi" w:hAnsi="Abadi"/>
          <w:sz w:val="21"/>
          <w:szCs w:val="21"/>
        </w:rPr>
      </w:pPr>
    </w:p>
    <w:p w14:paraId="17BE10F8" w14:textId="77777777" w:rsidR="005573FE" w:rsidRDefault="005573FE" w:rsidP="005573FE">
      <w:pPr>
        <w:ind w:firstLine="708"/>
        <w:jc w:val="both"/>
        <w:rPr>
          <w:rFonts w:ascii="Abadi" w:hAnsi="Abadi"/>
          <w:sz w:val="21"/>
          <w:szCs w:val="21"/>
        </w:rPr>
      </w:pPr>
      <w:r w:rsidRPr="0030088F">
        <w:rPr>
          <w:rFonts w:ascii="Abadi" w:hAnsi="Abadi"/>
          <w:b/>
          <w:bCs/>
          <w:sz w:val="21"/>
          <w:szCs w:val="21"/>
        </w:rPr>
        <w:t>- La Presidencia-</w:t>
      </w:r>
      <w:r w:rsidRPr="0030088F">
        <w:rPr>
          <w:rFonts w:ascii="Abadi" w:hAnsi="Abadi"/>
          <w:sz w:val="21"/>
          <w:szCs w:val="21"/>
        </w:rPr>
        <w:t xml:space="preserve"> ¡Muchas gracias! diputada. </w:t>
      </w:r>
    </w:p>
    <w:p w14:paraId="3A94BD4E" w14:textId="77777777" w:rsidR="005573FE" w:rsidRPr="0030088F" w:rsidRDefault="005573FE" w:rsidP="005573FE">
      <w:pPr>
        <w:ind w:firstLine="708"/>
        <w:jc w:val="both"/>
        <w:rPr>
          <w:rFonts w:ascii="Abadi" w:hAnsi="Abadi"/>
          <w:sz w:val="21"/>
          <w:szCs w:val="21"/>
        </w:rPr>
      </w:pPr>
    </w:p>
    <w:p w14:paraId="719DC65E" w14:textId="77777777" w:rsidR="005573FE" w:rsidRDefault="005573FE" w:rsidP="005573FE">
      <w:pPr>
        <w:ind w:left="851" w:right="900"/>
        <w:jc w:val="both"/>
        <w:rPr>
          <w:rFonts w:ascii="Abadi" w:hAnsi="Abadi"/>
          <w:b/>
          <w:bCs/>
          <w:i/>
          <w:iCs/>
          <w:sz w:val="21"/>
          <w:szCs w:val="21"/>
          <w:u w:val="single"/>
        </w:rPr>
      </w:pPr>
      <w:r w:rsidRPr="0030088F">
        <w:rPr>
          <w:rFonts w:ascii="Abadi" w:hAnsi="Abadi"/>
          <w:b/>
          <w:bCs/>
          <w:i/>
          <w:iCs/>
          <w:sz w:val="21"/>
          <w:szCs w:val="21"/>
          <w:u w:val="single"/>
        </w:rPr>
        <w:t xml:space="preserve"> Se turna a la Comisión de Seguridad Pública y Comunicaciones con fundamento en el artículo 119 fracción tercero de nuestra Ley Orgánica para su estudio y dictamen. </w:t>
      </w:r>
    </w:p>
    <w:p w14:paraId="691013EA" w14:textId="77777777" w:rsidR="005573FE" w:rsidRPr="0030088F" w:rsidRDefault="005573FE" w:rsidP="005573FE">
      <w:pPr>
        <w:ind w:left="851" w:right="900"/>
        <w:jc w:val="both"/>
        <w:rPr>
          <w:rFonts w:ascii="Abadi" w:hAnsi="Abadi"/>
          <w:b/>
          <w:bCs/>
          <w:i/>
          <w:iCs/>
          <w:sz w:val="21"/>
          <w:szCs w:val="21"/>
          <w:u w:val="single"/>
        </w:rPr>
      </w:pPr>
    </w:p>
    <w:p w14:paraId="4CD000E7" w14:textId="51FF748B" w:rsidR="005573FE" w:rsidRDefault="005573FE" w:rsidP="005573FE">
      <w:pPr>
        <w:ind w:firstLine="708"/>
        <w:jc w:val="both"/>
        <w:rPr>
          <w:rFonts w:ascii="Abadi" w:hAnsi="Abadi"/>
          <w:sz w:val="21"/>
          <w:szCs w:val="21"/>
        </w:rPr>
      </w:pPr>
      <w:r w:rsidRPr="005573FE">
        <w:rPr>
          <w:rFonts w:ascii="Abadi" w:hAnsi="Abadi"/>
          <w:b/>
          <w:bCs/>
          <w:sz w:val="21"/>
          <w:szCs w:val="21"/>
        </w:rPr>
        <w:t xml:space="preserve">- La </w:t>
      </w:r>
      <w:proofErr w:type="gramStart"/>
      <w:r w:rsidRPr="005573FE">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 De igual forma. </w:t>
      </w:r>
    </w:p>
    <w:p w14:paraId="2358A817" w14:textId="77777777" w:rsidR="005573FE" w:rsidRPr="0030088F" w:rsidRDefault="005573FE" w:rsidP="005573FE">
      <w:pPr>
        <w:ind w:firstLine="708"/>
        <w:jc w:val="both"/>
        <w:rPr>
          <w:rFonts w:ascii="Abadi" w:hAnsi="Abadi"/>
          <w:sz w:val="21"/>
          <w:szCs w:val="21"/>
        </w:rPr>
      </w:pPr>
    </w:p>
    <w:p w14:paraId="62BF8864" w14:textId="77777777" w:rsidR="005573FE" w:rsidRPr="0030088F" w:rsidRDefault="005573FE" w:rsidP="005573FE">
      <w:pPr>
        <w:ind w:left="851" w:right="900"/>
        <w:jc w:val="both"/>
        <w:rPr>
          <w:rFonts w:ascii="Abadi" w:hAnsi="Abadi"/>
          <w:b/>
          <w:bCs/>
          <w:i/>
          <w:iCs/>
          <w:sz w:val="21"/>
          <w:szCs w:val="21"/>
          <w:u w:val="single"/>
        </w:rPr>
      </w:pPr>
      <w:r w:rsidRPr="0030088F">
        <w:rPr>
          <w:rFonts w:ascii="Abadi" w:hAnsi="Abadi"/>
          <w:b/>
          <w:bCs/>
          <w:i/>
          <w:iCs/>
          <w:sz w:val="21"/>
          <w:szCs w:val="21"/>
          <w:u w:val="single"/>
        </w:rPr>
        <w:t xml:space="preserve">Se remite para su opinión a la Comisión para la Igualdad de Género con fundamento en los artículos 59 fracción décima segundo párrafo y 116 fracción quinta de nuestra Ley Orgánica. </w:t>
      </w:r>
    </w:p>
    <w:p w14:paraId="27E81B10" w14:textId="77777777" w:rsidR="00DB39B1" w:rsidRDefault="00DB39B1" w:rsidP="00374533">
      <w:pPr>
        <w:jc w:val="both"/>
        <w:rPr>
          <w:rFonts w:ascii="Abadi" w:hAnsi="Abadi" w:cs="ArialMT"/>
          <w:b/>
          <w:bCs/>
          <w:sz w:val="21"/>
          <w:szCs w:val="21"/>
        </w:rPr>
      </w:pPr>
    </w:p>
    <w:p w14:paraId="465B9F5E" w14:textId="77777777" w:rsidR="00924283" w:rsidRPr="00006796" w:rsidRDefault="00924283" w:rsidP="00374533">
      <w:pPr>
        <w:jc w:val="both"/>
        <w:rPr>
          <w:rFonts w:ascii="Abadi" w:hAnsi="Abadi" w:cs="ArialMT"/>
          <w:b/>
          <w:bCs/>
          <w:sz w:val="21"/>
          <w:szCs w:val="21"/>
        </w:rPr>
      </w:pPr>
    </w:p>
    <w:p w14:paraId="0F0A9FBE" w14:textId="1616FF57"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INICIATIVA FORMULADA POR EL DIPUTADO ERNESTO ALEJANDRO PRIETO GALLARDO INTEGRANTE DEL GRUPO PARLAMENTARIO DEL PARTIDO MORENA POR LA QUE SE REFORMAN LOS ARTÍCULOS 154 Y 154-A Y SE ADICIONAN LA FRACCIÓN XXV AL ARTÍCULO 11 Y LA FRACCIÓN VIII AL ARTÍCULO 153 DEL CÓDIGO PENAL DEL ESTADO DE GUANAJUATO.</w:t>
      </w:r>
      <w:r w:rsidR="000A771B">
        <w:rPr>
          <w:rStyle w:val="Refdenotaalpie"/>
          <w:rFonts w:ascii="Abadi" w:hAnsi="Abadi" w:cs="ArialMT"/>
          <w:b/>
          <w:bCs/>
          <w:sz w:val="21"/>
          <w:szCs w:val="21"/>
        </w:rPr>
        <w:footnoteReference w:id="49"/>
      </w:r>
    </w:p>
    <w:p w14:paraId="1BA23CCB" w14:textId="77777777" w:rsidR="00455FEA" w:rsidRDefault="00455FEA" w:rsidP="00455FEA">
      <w:pPr>
        <w:autoSpaceDE w:val="0"/>
        <w:autoSpaceDN w:val="0"/>
        <w:adjustRightInd w:val="0"/>
        <w:contextualSpacing/>
        <w:jc w:val="both"/>
        <w:rPr>
          <w:rFonts w:ascii="Abadi" w:hAnsi="Abadi" w:cs="ArialMT"/>
          <w:b/>
          <w:bCs/>
          <w:sz w:val="21"/>
          <w:szCs w:val="21"/>
        </w:rPr>
      </w:pPr>
    </w:p>
    <w:p w14:paraId="225A51AC" w14:textId="75A237C9" w:rsidR="009B3500" w:rsidRPr="000C6FEB" w:rsidRDefault="004B128D" w:rsidP="003D6D37">
      <w:pPr>
        <w:autoSpaceDE w:val="0"/>
        <w:autoSpaceDN w:val="0"/>
        <w:adjustRightInd w:val="0"/>
        <w:contextualSpacing/>
        <w:jc w:val="both"/>
        <w:rPr>
          <w:rFonts w:ascii="Abadi" w:hAnsi="Abadi"/>
          <w:sz w:val="21"/>
          <w:szCs w:val="21"/>
        </w:rPr>
      </w:pPr>
      <w:r w:rsidRPr="000C6FEB">
        <w:rPr>
          <w:rFonts w:ascii="Abadi" w:hAnsi="Abadi"/>
          <w:b/>
          <w:sz w:val="21"/>
          <w:szCs w:val="21"/>
        </w:rPr>
        <w:t xml:space="preserve">Diputada Laura Cristina Márquez Alcalá </w:t>
      </w:r>
      <w:r w:rsidR="009B3500" w:rsidRPr="000C6FEB">
        <w:rPr>
          <w:rFonts w:ascii="Abadi" w:hAnsi="Abadi"/>
          <w:sz w:val="21"/>
          <w:szCs w:val="21"/>
        </w:rPr>
        <w:t>Presidenta de la Mesa Directiva de la LXV</w:t>
      </w:r>
      <w:r w:rsidR="009B3500">
        <w:rPr>
          <w:rFonts w:ascii="Abadi" w:hAnsi="Abadi"/>
          <w:sz w:val="21"/>
          <w:szCs w:val="21"/>
        </w:rPr>
        <w:t xml:space="preserve"> </w:t>
      </w:r>
      <w:r w:rsidR="009B3500" w:rsidRPr="000C6FEB">
        <w:rPr>
          <w:rFonts w:ascii="Abadi" w:hAnsi="Abadi"/>
          <w:sz w:val="21"/>
          <w:szCs w:val="21"/>
        </w:rPr>
        <w:t xml:space="preserve">Legislatura del Estado de Guanajuato. </w:t>
      </w:r>
    </w:p>
    <w:p w14:paraId="7DFC0694" w14:textId="77777777" w:rsidR="009B3500" w:rsidRDefault="009B3500" w:rsidP="003D6D37">
      <w:pPr>
        <w:spacing w:after="5"/>
        <w:ind w:left="10" w:right="692" w:hanging="10"/>
        <w:jc w:val="both"/>
        <w:rPr>
          <w:rFonts w:ascii="Abadi" w:hAnsi="Abadi"/>
          <w:i/>
          <w:sz w:val="21"/>
          <w:szCs w:val="21"/>
        </w:rPr>
      </w:pPr>
      <w:r w:rsidRPr="000C6FEB">
        <w:rPr>
          <w:rFonts w:ascii="Abadi" w:hAnsi="Abadi"/>
          <w:i/>
          <w:sz w:val="21"/>
          <w:szCs w:val="21"/>
        </w:rPr>
        <w:t xml:space="preserve">P r e s e n t e </w:t>
      </w:r>
    </w:p>
    <w:p w14:paraId="2EF2BB47" w14:textId="77777777" w:rsidR="001C5EDF" w:rsidRDefault="001C5EDF" w:rsidP="003D6D37">
      <w:pPr>
        <w:spacing w:after="5"/>
        <w:ind w:left="10" w:right="692" w:hanging="10"/>
        <w:jc w:val="both"/>
        <w:rPr>
          <w:rFonts w:ascii="Abadi" w:hAnsi="Abadi"/>
          <w:i/>
          <w:sz w:val="21"/>
          <w:szCs w:val="21"/>
        </w:rPr>
      </w:pPr>
    </w:p>
    <w:p w14:paraId="51ACCCD9" w14:textId="77777777" w:rsidR="001C5EDF" w:rsidRPr="000C6FEB" w:rsidRDefault="001C5EDF" w:rsidP="003D6D37">
      <w:pPr>
        <w:spacing w:after="10"/>
        <w:ind w:left="-5" w:right="142" w:hanging="10"/>
        <w:jc w:val="both"/>
        <w:rPr>
          <w:rFonts w:ascii="Abadi" w:hAnsi="Abadi"/>
          <w:sz w:val="21"/>
          <w:szCs w:val="21"/>
        </w:rPr>
      </w:pPr>
      <w:r w:rsidRPr="000C6FEB">
        <w:rPr>
          <w:rFonts w:ascii="Abadi" w:hAnsi="Abadi"/>
          <w:sz w:val="21"/>
          <w:szCs w:val="21"/>
        </w:rPr>
        <w:t xml:space="preserve">El que suscribe, </w:t>
      </w:r>
      <w:r w:rsidRPr="000C6FEB">
        <w:rPr>
          <w:rFonts w:ascii="Abadi" w:hAnsi="Abadi"/>
          <w:i/>
          <w:sz w:val="21"/>
          <w:szCs w:val="21"/>
        </w:rPr>
        <w:t>Diputado</w:t>
      </w:r>
      <w:r w:rsidRPr="000C6FEB">
        <w:rPr>
          <w:rFonts w:ascii="Abadi" w:hAnsi="Abadi"/>
          <w:sz w:val="21"/>
          <w:szCs w:val="21"/>
        </w:rPr>
        <w:t xml:space="preserve"> </w:t>
      </w:r>
      <w:r w:rsidRPr="000C6FEB">
        <w:rPr>
          <w:rFonts w:ascii="Abadi" w:hAnsi="Abadi"/>
          <w:b/>
          <w:sz w:val="21"/>
          <w:szCs w:val="21"/>
        </w:rPr>
        <w:t>ERNESTO ALEJANDRO PRIETO GALLARDO,</w:t>
      </w:r>
      <w:r w:rsidRPr="000C6FEB">
        <w:rPr>
          <w:rFonts w:ascii="Abadi" w:hAnsi="Abadi"/>
          <w:sz w:val="21"/>
          <w:szCs w:val="21"/>
        </w:rPr>
        <w:t xml:space="preserve"> del Grupo Parlamentario de </w:t>
      </w:r>
      <w:r w:rsidRPr="000C6FEB">
        <w:rPr>
          <w:rFonts w:ascii="Abadi" w:hAnsi="Abadi"/>
          <w:b/>
          <w:i/>
          <w:sz w:val="21"/>
          <w:szCs w:val="21"/>
        </w:rPr>
        <w:t>morena</w:t>
      </w:r>
      <w:r w:rsidRPr="000C6FEB">
        <w:rPr>
          <w:rFonts w:ascii="Abadi" w:hAnsi="Abadi"/>
          <w:sz w:val="21"/>
          <w:szCs w:val="21"/>
        </w:rPr>
        <w:t xml:space="preserve">, de esta Sexagésima Quinta Legislatura del Congreso del Estado de Guanajuato, con fundamento en lo dispuesto en la fracción II del artículo 56, de la </w:t>
      </w:r>
      <w:r w:rsidRPr="000C6FEB">
        <w:rPr>
          <w:rFonts w:ascii="Abadi" w:hAnsi="Abadi"/>
          <w:i/>
          <w:sz w:val="21"/>
          <w:szCs w:val="21"/>
        </w:rPr>
        <w:t xml:space="preserve">Constitución Política para el Estado </w:t>
      </w:r>
      <w:r w:rsidRPr="000C6FEB">
        <w:rPr>
          <w:rFonts w:ascii="Abadi" w:hAnsi="Abadi"/>
          <w:i/>
          <w:sz w:val="21"/>
          <w:szCs w:val="21"/>
        </w:rPr>
        <w:lastRenderedPageBreak/>
        <w:t>de Guanajuato</w:t>
      </w:r>
      <w:r w:rsidRPr="000C6FEB">
        <w:rPr>
          <w:rFonts w:ascii="Abadi" w:hAnsi="Abadi"/>
          <w:sz w:val="21"/>
          <w:szCs w:val="21"/>
        </w:rPr>
        <w:t xml:space="preserve">; y en el artículo 167, fracción II de la </w:t>
      </w:r>
      <w:r w:rsidRPr="000C6FEB">
        <w:rPr>
          <w:rFonts w:ascii="Abadi" w:hAnsi="Abadi"/>
          <w:i/>
          <w:sz w:val="21"/>
          <w:szCs w:val="21"/>
        </w:rPr>
        <w:t>Ley Orgánica del Poder Legislativo del Estado de Guanajuato</w:t>
      </w:r>
      <w:r w:rsidRPr="000C6FEB">
        <w:rPr>
          <w:rFonts w:ascii="Abadi" w:hAnsi="Abadi"/>
          <w:sz w:val="21"/>
          <w:szCs w:val="21"/>
        </w:rPr>
        <w:t xml:space="preserve">, me permito someter a la consideración de esta Asamblea para su aprobación, la presente </w:t>
      </w:r>
      <w:r w:rsidRPr="000C6FEB">
        <w:rPr>
          <w:rFonts w:ascii="Abadi" w:hAnsi="Abadi"/>
          <w:b/>
          <w:sz w:val="21"/>
          <w:szCs w:val="21"/>
        </w:rPr>
        <w:t>iniciativa por la que se adiciona una fracción XXV al artículo 11, una fracción VIII al artículo 153 del Código Penal del Estado de Guanajuato y se reforman los artículos 154 y 154-a de ese cuerpo normativo</w:t>
      </w:r>
      <w:r w:rsidRPr="000C6FEB">
        <w:rPr>
          <w:rFonts w:ascii="Abadi" w:hAnsi="Abadi"/>
          <w:b/>
          <w:i/>
          <w:sz w:val="21"/>
          <w:szCs w:val="21"/>
        </w:rPr>
        <w:t>,</w:t>
      </w:r>
      <w:r w:rsidRPr="000C6FEB">
        <w:rPr>
          <w:rFonts w:ascii="Abadi" w:hAnsi="Abadi"/>
          <w:sz w:val="21"/>
          <w:szCs w:val="21"/>
        </w:rPr>
        <w:t xml:space="preserve"> de conformidad con la siguiente: </w:t>
      </w:r>
    </w:p>
    <w:p w14:paraId="6D3B7E31" w14:textId="77777777" w:rsidR="001C5EDF" w:rsidRPr="000C6FEB" w:rsidRDefault="001C5EDF" w:rsidP="003D6D37">
      <w:pPr>
        <w:spacing w:after="22"/>
        <w:ind w:right="142"/>
        <w:rPr>
          <w:rFonts w:ascii="Abadi" w:hAnsi="Abadi"/>
          <w:sz w:val="21"/>
          <w:szCs w:val="21"/>
        </w:rPr>
      </w:pPr>
      <w:r w:rsidRPr="000C6FEB">
        <w:rPr>
          <w:rFonts w:ascii="Abadi" w:hAnsi="Abadi"/>
          <w:sz w:val="21"/>
          <w:szCs w:val="21"/>
        </w:rPr>
        <w:t xml:space="preserve"> </w:t>
      </w:r>
    </w:p>
    <w:p w14:paraId="1E650415" w14:textId="77777777" w:rsidR="001C5EDF" w:rsidRPr="000C6FEB" w:rsidRDefault="001C5EDF" w:rsidP="003D6D37">
      <w:pPr>
        <w:spacing w:after="219"/>
        <w:ind w:left="10" w:right="142" w:hanging="10"/>
        <w:jc w:val="center"/>
        <w:rPr>
          <w:rFonts w:ascii="Abadi" w:hAnsi="Abadi"/>
          <w:sz w:val="21"/>
          <w:szCs w:val="21"/>
        </w:rPr>
      </w:pPr>
      <w:r w:rsidRPr="000C6FEB">
        <w:rPr>
          <w:rFonts w:ascii="Abadi" w:hAnsi="Abadi"/>
          <w:b/>
          <w:sz w:val="21"/>
          <w:szCs w:val="21"/>
        </w:rPr>
        <w:t xml:space="preserve">EXPOSICIÓN DE MOTIVOS: </w:t>
      </w:r>
    </w:p>
    <w:p w14:paraId="245A4ADC" w14:textId="36AF7DA0" w:rsidR="001C5EDF" w:rsidRPr="000C6FEB" w:rsidRDefault="001C5EDF" w:rsidP="003D6D37">
      <w:pPr>
        <w:tabs>
          <w:tab w:val="center" w:pos="4844"/>
          <w:tab w:val="right" w:pos="10388"/>
        </w:tabs>
        <w:ind w:right="142"/>
        <w:rPr>
          <w:rFonts w:ascii="Abadi" w:hAnsi="Abadi"/>
          <w:sz w:val="21"/>
          <w:szCs w:val="21"/>
        </w:rPr>
      </w:pPr>
      <w:r w:rsidRPr="000C6FEB">
        <w:rPr>
          <w:rFonts w:ascii="Abadi" w:hAnsi="Abadi"/>
          <w:sz w:val="21"/>
          <w:szCs w:val="21"/>
        </w:rPr>
        <w:tab/>
      </w:r>
      <w:r w:rsidRPr="000C6FEB">
        <w:rPr>
          <w:rFonts w:ascii="Abadi" w:hAnsi="Abadi"/>
          <w:b/>
          <w:sz w:val="21"/>
          <w:szCs w:val="21"/>
        </w:rPr>
        <w:t xml:space="preserve"> </w:t>
      </w:r>
      <w:r w:rsidRPr="000C6FEB">
        <w:rPr>
          <w:rFonts w:ascii="Abadi" w:eastAsia="Cambria" w:hAnsi="Abadi" w:cs="Cambria"/>
          <w:sz w:val="21"/>
          <w:szCs w:val="21"/>
        </w:rPr>
        <w:t xml:space="preserve"> </w:t>
      </w:r>
    </w:p>
    <w:p w14:paraId="36F69A5C" w14:textId="77777777" w:rsidR="001C5EDF" w:rsidRPr="000C6FEB" w:rsidRDefault="001C5EDF" w:rsidP="003D6D37">
      <w:pPr>
        <w:spacing w:after="10"/>
        <w:ind w:left="-5" w:right="142" w:hanging="10"/>
        <w:jc w:val="both"/>
        <w:rPr>
          <w:rFonts w:ascii="Abadi" w:hAnsi="Abadi"/>
          <w:sz w:val="21"/>
          <w:szCs w:val="21"/>
        </w:rPr>
      </w:pPr>
      <w:r w:rsidRPr="000C6FEB">
        <w:rPr>
          <w:rFonts w:ascii="Abadi" w:hAnsi="Abadi"/>
          <w:sz w:val="21"/>
          <w:szCs w:val="21"/>
        </w:rPr>
        <w:t xml:space="preserve">Los delitos de homicidio y lesiones causados por conductores alcoholizados son un grave problema en aumento, que debe atenderse desde la implementación de políticas públicas especiales para la prevención de estos delitos, la efectiva aplicación de sanciones administrativas de carácter municipal, estatal y federal, y por medio del derecho penal, que sancione adecuadamente ese tipo de delitos, que en nuestra codificación penal estatal, tienen el carácter de culposos. </w:t>
      </w:r>
    </w:p>
    <w:p w14:paraId="2D8C9D5B" w14:textId="77777777" w:rsidR="001C5EDF" w:rsidRPr="000C6FEB" w:rsidRDefault="001C5EDF" w:rsidP="003D6D37">
      <w:pPr>
        <w:spacing w:after="22"/>
        <w:rPr>
          <w:rFonts w:ascii="Abadi" w:hAnsi="Abadi"/>
          <w:sz w:val="21"/>
          <w:szCs w:val="21"/>
        </w:rPr>
      </w:pPr>
      <w:r w:rsidRPr="000C6FEB">
        <w:rPr>
          <w:rFonts w:ascii="Abadi" w:hAnsi="Abadi"/>
          <w:sz w:val="21"/>
          <w:szCs w:val="21"/>
        </w:rPr>
        <w:t xml:space="preserve"> </w:t>
      </w:r>
    </w:p>
    <w:p w14:paraId="067D6F0C" w14:textId="77777777" w:rsidR="001C5EDF" w:rsidRPr="000C6FEB" w:rsidRDefault="001C5EDF" w:rsidP="003D6D37">
      <w:pPr>
        <w:spacing w:after="10"/>
        <w:ind w:left="-5" w:hanging="10"/>
        <w:jc w:val="both"/>
        <w:rPr>
          <w:rFonts w:ascii="Abadi" w:hAnsi="Abadi"/>
          <w:sz w:val="21"/>
          <w:szCs w:val="21"/>
        </w:rPr>
      </w:pPr>
      <w:r w:rsidRPr="000C6FEB">
        <w:rPr>
          <w:rFonts w:ascii="Abadi" w:hAnsi="Abadi"/>
          <w:sz w:val="21"/>
          <w:szCs w:val="21"/>
        </w:rPr>
        <w:t xml:space="preserve">La combinación del consumo de alcohol y la conducción representa un riesgo significativo para la seguridad vial y tiene lamentablemente en muchos casos consecuencias fatales y devastadoras para las víctimas directas e indirectas.  </w:t>
      </w:r>
    </w:p>
    <w:p w14:paraId="1519E1AD" w14:textId="77777777" w:rsidR="001C5EDF" w:rsidRPr="000C6FEB" w:rsidRDefault="001C5EDF" w:rsidP="003D6D37">
      <w:pPr>
        <w:spacing w:after="20"/>
        <w:rPr>
          <w:rFonts w:ascii="Abadi" w:hAnsi="Abadi"/>
          <w:sz w:val="21"/>
          <w:szCs w:val="21"/>
        </w:rPr>
      </w:pPr>
      <w:r w:rsidRPr="000C6FEB">
        <w:rPr>
          <w:rFonts w:ascii="Abadi" w:hAnsi="Abadi"/>
          <w:sz w:val="21"/>
          <w:szCs w:val="21"/>
        </w:rPr>
        <w:t xml:space="preserve"> </w:t>
      </w:r>
    </w:p>
    <w:p w14:paraId="1CF353CF" w14:textId="77777777" w:rsidR="001C5EDF" w:rsidRPr="000C6FEB" w:rsidRDefault="001C5EDF" w:rsidP="003D6D37">
      <w:pPr>
        <w:spacing w:after="10"/>
        <w:ind w:left="-5" w:hanging="10"/>
        <w:jc w:val="both"/>
        <w:rPr>
          <w:rFonts w:ascii="Abadi" w:hAnsi="Abadi"/>
          <w:sz w:val="21"/>
          <w:szCs w:val="21"/>
        </w:rPr>
      </w:pPr>
      <w:r w:rsidRPr="000C6FEB">
        <w:rPr>
          <w:rFonts w:ascii="Abadi" w:hAnsi="Abadi"/>
          <w:sz w:val="21"/>
          <w:szCs w:val="21"/>
        </w:rPr>
        <w:t xml:space="preserve">Es fundamental tomar medidas preventivas, promover la educación y concientización sobre los peligros de conducir bajo influjo del alcohol o de alguna droga o sustancia que altere los sentidos. </w:t>
      </w:r>
    </w:p>
    <w:p w14:paraId="3DE2FB40" w14:textId="77777777" w:rsidR="001C5EDF" w:rsidRPr="000C6FEB" w:rsidRDefault="001C5EDF" w:rsidP="003D6D37">
      <w:pPr>
        <w:spacing w:after="20"/>
        <w:rPr>
          <w:rFonts w:ascii="Abadi" w:hAnsi="Abadi"/>
          <w:sz w:val="21"/>
          <w:szCs w:val="21"/>
        </w:rPr>
      </w:pPr>
      <w:r w:rsidRPr="000C6FEB">
        <w:rPr>
          <w:rFonts w:ascii="Abadi" w:hAnsi="Abadi"/>
          <w:sz w:val="21"/>
          <w:szCs w:val="21"/>
        </w:rPr>
        <w:t xml:space="preserve"> </w:t>
      </w:r>
    </w:p>
    <w:p w14:paraId="47CD91ED" w14:textId="77777777" w:rsidR="001C5EDF" w:rsidRPr="000C6FEB" w:rsidRDefault="001C5EDF" w:rsidP="003D6D37">
      <w:pPr>
        <w:spacing w:after="10"/>
        <w:ind w:left="-5" w:hanging="10"/>
        <w:jc w:val="both"/>
        <w:rPr>
          <w:rFonts w:ascii="Abadi" w:hAnsi="Abadi"/>
          <w:sz w:val="21"/>
          <w:szCs w:val="21"/>
        </w:rPr>
      </w:pPr>
      <w:r w:rsidRPr="000C6FEB">
        <w:rPr>
          <w:rFonts w:ascii="Abadi" w:hAnsi="Abadi"/>
          <w:sz w:val="21"/>
          <w:szCs w:val="21"/>
        </w:rPr>
        <w:t xml:space="preserve">Los accidentes con mayor incidencia son los de tránsito a nivel mundial, por cuyas </w:t>
      </w:r>
      <w:r w:rsidRPr="000C6FEB">
        <w:rPr>
          <w:rFonts w:ascii="Abadi" w:hAnsi="Abadi"/>
          <w:sz w:val="21"/>
          <w:szCs w:val="21"/>
        </w:rPr>
        <w:t>consecuencias son objeto de estudio por parte de la Organización Mundial de la Salud (OMS), que calcula que anualmente entre 20 y 30 millones de personas resultan heridas o con secuelas discapacitantes.</w:t>
      </w:r>
      <w:r w:rsidRPr="000C6FEB">
        <w:rPr>
          <w:rFonts w:ascii="Abadi" w:hAnsi="Abadi"/>
          <w:sz w:val="21"/>
          <w:szCs w:val="21"/>
          <w:vertAlign w:val="superscript"/>
        </w:rPr>
        <w:footnoteReference w:id="50"/>
      </w:r>
      <w:r w:rsidRPr="000C6FEB">
        <w:rPr>
          <w:rFonts w:ascii="Abadi" w:hAnsi="Abadi"/>
          <w:sz w:val="21"/>
          <w:szCs w:val="21"/>
        </w:rPr>
        <w:t xml:space="preserve"> Este tipo de sucesos afectan además de quien los sufre directamente, al entorno familiar y laboral, especialmente cuando son necesarios tratamientos de rehabilitación. </w:t>
      </w:r>
    </w:p>
    <w:p w14:paraId="34641C79" w14:textId="77777777" w:rsidR="001C5EDF" w:rsidRPr="000C6FEB" w:rsidRDefault="001C5EDF" w:rsidP="003D6D37">
      <w:pPr>
        <w:spacing w:after="22"/>
        <w:rPr>
          <w:rFonts w:ascii="Abadi" w:hAnsi="Abadi"/>
          <w:sz w:val="21"/>
          <w:szCs w:val="21"/>
        </w:rPr>
      </w:pPr>
      <w:r w:rsidRPr="000C6FEB">
        <w:rPr>
          <w:rFonts w:ascii="Abadi" w:hAnsi="Abadi"/>
          <w:sz w:val="21"/>
          <w:szCs w:val="21"/>
        </w:rPr>
        <w:t xml:space="preserve"> </w:t>
      </w:r>
    </w:p>
    <w:p w14:paraId="7FA50C98" w14:textId="77777777" w:rsidR="001C5EDF" w:rsidRPr="000C6FEB" w:rsidRDefault="001C5EDF" w:rsidP="003D6D37">
      <w:pPr>
        <w:spacing w:after="10"/>
        <w:ind w:left="-5" w:hanging="10"/>
        <w:jc w:val="both"/>
        <w:rPr>
          <w:rFonts w:ascii="Abadi" w:hAnsi="Abadi"/>
          <w:sz w:val="21"/>
          <w:szCs w:val="21"/>
        </w:rPr>
      </w:pPr>
      <w:r w:rsidRPr="000C6FEB">
        <w:rPr>
          <w:rFonts w:ascii="Abadi" w:hAnsi="Abadi"/>
          <w:sz w:val="21"/>
          <w:szCs w:val="21"/>
        </w:rPr>
        <w:t xml:space="preserve">Asimismo representan gastos importantes para los sistemas de salud públicos y de seguridad social, porque en no pocos casos, existen secuelas discapacitantes temporales o permanentes, que pueden ser a su vez parciales o totales. </w:t>
      </w:r>
    </w:p>
    <w:p w14:paraId="79E11DB9" w14:textId="77777777" w:rsidR="001C5EDF" w:rsidRPr="000C6FEB" w:rsidRDefault="001C5EDF" w:rsidP="003D6D37">
      <w:pPr>
        <w:spacing w:after="20"/>
        <w:rPr>
          <w:rFonts w:ascii="Abadi" w:hAnsi="Abadi"/>
          <w:sz w:val="21"/>
          <w:szCs w:val="21"/>
        </w:rPr>
      </w:pPr>
      <w:r w:rsidRPr="000C6FEB">
        <w:rPr>
          <w:rFonts w:ascii="Abadi" w:hAnsi="Abadi"/>
          <w:sz w:val="21"/>
          <w:szCs w:val="21"/>
        </w:rPr>
        <w:t xml:space="preserve"> </w:t>
      </w:r>
    </w:p>
    <w:p w14:paraId="4C3E41CF" w14:textId="77777777" w:rsidR="001C5EDF" w:rsidRPr="000C6FEB" w:rsidRDefault="001C5EDF" w:rsidP="003D6D37">
      <w:pPr>
        <w:spacing w:after="10"/>
        <w:ind w:left="-5" w:hanging="10"/>
        <w:jc w:val="both"/>
        <w:rPr>
          <w:rFonts w:ascii="Abadi" w:hAnsi="Abadi"/>
          <w:sz w:val="21"/>
          <w:szCs w:val="21"/>
        </w:rPr>
      </w:pPr>
      <w:r w:rsidRPr="000C6FEB">
        <w:rPr>
          <w:rFonts w:ascii="Abadi" w:hAnsi="Abadi"/>
          <w:sz w:val="21"/>
          <w:szCs w:val="21"/>
        </w:rPr>
        <w:t>De acuerdo a estudios de la OMS, el costo económico de los incidentes de tránsito llegan a representar un 3% del Producto Interno Bruto, en la mayoría de los países.</w:t>
      </w:r>
      <w:r w:rsidRPr="000C6FEB">
        <w:rPr>
          <w:rFonts w:ascii="Abadi" w:hAnsi="Abadi"/>
          <w:sz w:val="21"/>
          <w:szCs w:val="21"/>
          <w:vertAlign w:val="superscript"/>
        </w:rPr>
        <w:footnoteReference w:id="51"/>
      </w:r>
      <w:r w:rsidRPr="000C6FEB">
        <w:rPr>
          <w:rFonts w:ascii="Abadi" w:hAnsi="Abadi"/>
          <w:sz w:val="21"/>
          <w:szCs w:val="21"/>
        </w:rPr>
        <w:t xml:space="preserve"> </w:t>
      </w:r>
    </w:p>
    <w:p w14:paraId="13F1D913" w14:textId="77777777" w:rsidR="001C5EDF" w:rsidRDefault="001C5EDF" w:rsidP="003D6D37">
      <w:pPr>
        <w:autoSpaceDE w:val="0"/>
        <w:autoSpaceDN w:val="0"/>
        <w:adjustRightInd w:val="0"/>
        <w:contextualSpacing/>
        <w:jc w:val="both"/>
        <w:rPr>
          <w:rFonts w:ascii="Abadi" w:hAnsi="Abadi" w:cs="ArialMT"/>
          <w:b/>
          <w:bCs/>
          <w:sz w:val="21"/>
          <w:szCs w:val="21"/>
        </w:rPr>
      </w:pPr>
    </w:p>
    <w:p w14:paraId="08499803" w14:textId="77777777" w:rsidR="00D8654E" w:rsidRPr="000C6FEB" w:rsidRDefault="00D8654E" w:rsidP="003D6D37">
      <w:pPr>
        <w:spacing w:after="34"/>
        <w:ind w:left="-5" w:hanging="10"/>
        <w:jc w:val="both"/>
        <w:rPr>
          <w:rFonts w:ascii="Abadi" w:hAnsi="Abadi"/>
          <w:sz w:val="21"/>
          <w:szCs w:val="21"/>
        </w:rPr>
      </w:pPr>
      <w:r w:rsidRPr="000C6FEB">
        <w:rPr>
          <w:rFonts w:ascii="Abadi" w:hAnsi="Abadi"/>
          <w:sz w:val="21"/>
          <w:szCs w:val="21"/>
        </w:rPr>
        <w:t>El último informe de la OMS, sobre este tema, rendido en diciembre del año 2018, señala que las muertes por accidentes de tránsito siguen en aumento, alcanzando la cifra de 1.35 millones de personas que fallecen por esta causa, anualmente.</w:t>
      </w:r>
      <w:r w:rsidRPr="000C6FEB">
        <w:rPr>
          <w:rFonts w:ascii="Abadi" w:hAnsi="Abadi"/>
          <w:sz w:val="21"/>
          <w:szCs w:val="21"/>
          <w:vertAlign w:val="superscript"/>
        </w:rPr>
        <w:footnoteReference w:id="52"/>
      </w:r>
      <w:r w:rsidRPr="000C6FEB">
        <w:rPr>
          <w:rFonts w:ascii="Abadi" w:hAnsi="Abadi"/>
          <w:sz w:val="21"/>
          <w:szCs w:val="21"/>
        </w:rPr>
        <w:t xml:space="preserve"> </w:t>
      </w:r>
    </w:p>
    <w:p w14:paraId="0A59508F" w14:textId="77777777" w:rsidR="00D8654E" w:rsidRPr="000C6FEB" w:rsidRDefault="00D8654E" w:rsidP="003D6D37">
      <w:pPr>
        <w:spacing w:after="22"/>
        <w:rPr>
          <w:rFonts w:ascii="Abadi" w:hAnsi="Abadi"/>
          <w:sz w:val="21"/>
          <w:szCs w:val="21"/>
        </w:rPr>
      </w:pPr>
      <w:r w:rsidRPr="000C6FEB">
        <w:rPr>
          <w:rFonts w:ascii="Abadi" w:hAnsi="Abadi"/>
          <w:sz w:val="21"/>
          <w:szCs w:val="21"/>
        </w:rPr>
        <w:t xml:space="preserve"> </w:t>
      </w:r>
    </w:p>
    <w:p w14:paraId="1F742A89" w14:textId="77777777" w:rsidR="00D8654E" w:rsidRPr="000C6FEB" w:rsidRDefault="00D8654E" w:rsidP="003D6D37">
      <w:pPr>
        <w:spacing w:after="10"/>
        <w:ind w:left="-5" w:hanging="10"/>
        <w:jc w:val="both"/>
        <w:rPr>
          <w:rFonts w:ascii="Abadi" w:hAnsi="Abadi"/>
          <w:sz w:val="21"/>
          <w:szCs w:val="21"/>
        </w:rPr>
      </w:pPr>
      <w:r w:rsidRPr="000C6FEB">
        <w:rPr>
          <w:rFonts w:ascii="Abadi" w:hAnsi="Abadi"/>
          <w:sz w:val="21"/>
          <w:szCs w:val="21"/>
        </w:rPr>
        <w:t xml:space="preserve">Ese mismo informe del año 2018 destaca que las lesiones causadas en ese tipo de accidentes, se convirtieron en la principal causa de muerte en niños </w:t>
      </w:r>
      <w:proofErr w:type="gramStart"/>
      <w:r w:rsidRPr="000C6FEB">
        <w:rPr>
          <w:rFonts w:ascii="Abadi" w:hAnsi="Abadi"/>
          <w:sz w:val="21"/>
          <w:szCs w:val="21"/>
        </w:rPr>
        <w:t>y  jóvenes</w:t>
      </w:r>
      <w:proofErr w:type="gramEnd"/>
      <w:r w:rsidRPr="000C6FEB">
        <w:rPr>
          <w:rFonts w:ascii="Abadi" w:hAnsi="Abadi"/>
          <w:sz w:val="21"/>
          <w:szCs w:val="21"/>
        </w:rPr>
        <w:t xml:space="preserve">, en edades entre 5 y 29 años. </w:t>
      </w:r>
    </w:p>
    <w:p w14:paraId="4690802B" w14:textId="77777777" w:rsidR="00D8654E" w:rsidRPr="000C6FEB" w:rsidRDefault="00D8654E" w:rsidP="003D6D37">
      <w:pPr>
        <w:spacing w:after="20"/>
        <w:rPr>
          <w:rFonts w:ascii="Abadi" w:hAnsi="Abadi"/>
          <w:sz w:val="21"/>
          <w:szCs w:val="21"/>
        </w:rPr>
      </w:pPr>
      <w:r w:rsidRPr="000C6FEB">
        <w:rPr>
          <w:rFonts w:ascii="Abadi" w:hAnsi="Abadi"/>
          <w:sz w:val="21"/>
          <w:szCs w:val="21"/>
        </w:rPr>
        <w:t xml:space="preserve"> </w:t>
      </w:r>
    </w:p>
    <w:p w14:paraId="3091C684" w14:textId="77777777" w:rsidR="00D8654E" w:rsidRPr="000C6FEB" w:rsidRDefault="00D8654E" w:rsidP="003D6D37">
      <w:pPr>
        <w:spacing w:after="5"/>
        <w:ind w:left="10" w:hanging="10"/>
        <w:jc w:val="both"/>
        <w:rPr>
          <w:rFonts w:ascii="Abadi" w:hAnsi="Abadi"/>
          <w:sz w:val="21"/>
          <w:szCs w:val="21"/>
        </w:rPr>
      </w:pPr>
      <w:r w:rsidRPr="000C6FEB">
        <w:rPr>
          <w:rFonts w:ascii="Abadi" w:hAnsi="Abadi"/>
          <w:sz w:val="21"/>
          <w:szCs w:val="21"/>
        </w:rPr>
        <w:t xml:space="preserve">Se señala que </w:t>
      </w:r>
      <w:r w:rsidRPr="000C6FEB">
        <w:rPr>
          <w:rFonts w:ascii="Abadi" w:hAnsi="Abadi"/>
          <w:i/>
          <w:sz w:val="21"/>
          <w:szCs w:val="21"/>
        </w:rPr>
        <w:t xml:space="preserve">casi la mitad de las defunciones por esta causa afectan a usuarios vulnerables de la </w:t>
      </w:r>
    </w:p>
    <w:p w14:paraId="63798813" w14:textId="77777777" w:rsidR="00D8654E" w:rsidRPr="000C6FEB" w:rsidRDefault="00D8654E" w:rsidP="003D6D37">
      <w:pPr>
        <w:spacing w:after="190"/>
        <w:ind w:left="10" w:hanging="10"/>
        <w:jc w:val="both"/>
        <w:rPr>
          <w:rFonts w:ascii="Abadi" w:hAnsi="Abadi"/>
          <w:sz w:val="21"/>
          <w:szCs w:val="21"/>
        </w:rPr>
      </w:pPr>
      <w:r w:rsidRPr="000C6FEB">
        <w:rPr>
          <w:rFonts w:ascii="Abadi" w:hAnsi="Abadi"/>
          <w:i/>
          <w:sz w:val="21"/>
          <w:szCs w:val="21"/>
        </w:rPr>
        <w:t>vía pública, es decir, a peatones, ciclistas y motociclistas.</w:t>
      </w:r>
      <w:r w:rsidRPr="000C6FEB">
        <w:rPr>
          <w:rFonts w:ascii="Abadi" w:hAnsi="Abadi"/>
          <w:sz w:val="21"/>
          <w:szCs w:val="21"/>
          <w:vertAlign w:val="superscript"/>
        </w:rPr>
        <w:footnoteReference w:id="53"/>
      </w:r>
      <w:r w:rsidRPr="000C6FEB">
        <w:rPr>
          <w:rFonts w:ascii="Abadi" w:hAnsi="Abadi"/>
          <w:b/>
          <w:sz w:val="21"/>
          <w:szCs w:val="21"/>
        </w:rPr>
        <w:t xml:space="preserve"> </w:t>
      </w:r>
    </w:p>
    <w:p w14:paraId="48661DBD" w14:textId="77777777" w:rsidR="00D8654E" w:rsidRPr="000C6FEB" w:rsidRDefault="00D8654E" w:rsidP="003D6D37">
      <w:pPr>
        <w:tabs>
          <w:tab w:val="right" w:pos="10388"/>
        </w:tabs>
        <w:rPr>
          <w:rFonts w:ascii="Abadi" w:hAnsi="Abadi"/>
          <w:sz w:val="21"/>
          <w:szCs w:val="21"/>
        </w:rPr>
      </w:pPr>
      <w:r w:rsidRPr="000C6FEB">
        <w:rPr>
          <w:rFonts w:ascii="Abadi" w:hAnsi="Abadi"/>
          <w:sz w:val="21"/>
          <w:szCs w:val="21"/>
        </w:rPr>
        <w:t xml:space="preserve"> </w:t>
      </w:r>
      <w:r w:rsidRPr="000C6FEB">
        <w:rPr>
          <w:rFonts w:ascii="Abadi" w:hAnsi="Abadi"/>
          <w:sz w:val="21"/>
          <w:szCs w:val="21"/>
        </w:rPr>
        <w:tab/>
      </w:r>
      <w:r w:rsidRPr="000C6FEB">
        <w:rPr>
          <w:rFonts w:ascii="Abadi" w:eastAsia="Cambria" w:hAnsi="Abadi" w:cs="Cambria"/>
          <w:sz w:val="21"/>
          <w:szCs w:val="21"/>
        </w:rPr>
        <w:t xml:space="preserve"> </w:t>
      </w:r>
    </w:p>
    <w:p w14:paraId="108FB787" w14:textId="77777777" w:rsidR="00D8654E" w:rsidRPr="000C6FEB" w:rsidRDefault="00D8654E" w:rsidP="003D6D37">
      <w:pPr>
        <w:spacing w:after="10"/>
        <w:ind w:left="-5" w:hanging="10"/>
        <w:jc w:val="both"/>
        <w:rPr>
          <w:rFonts w:ascii="Abadi" w:hAnsi="Abadi"/>
          <w:sz w:val="21"/>
          <w:szCs w:val="21"/>
        </w:rPr>
      </w:pPr>
      <w:r w:rsidRPr="000C6FEB">
        <w:rPr>
          <w:rFonts w:ascii="Abadi" w:hAnsi="Abadi"/>
          <w:sz w:val="21"/>
          <w:szCs w:val="21"/>
        </w:rPr>
        <w:lastRenderedPageBreak/>
        <w:t xml:space="preserve">Esto es, puede afirmarse que casi la mitad de las consecuencias fatales repercuten en personas que no viajaban en el vehículo que origina el accidente. </w:t>
      </w:r>
    </w:p>
    <w:p w14:paraId="74805DAD" w14:textId="77777777" w:rsidR="00D8654E" w:rsidRPr="000C6FEB" w:rsidRDefault="00D8654E" w:rsidP="003D6D37">
      <w:pPr>
        <w:spacing w:after="20"/>
        <w:rPr>
          <w:rFonts w:ascii="Abadi" w:hAnsi="Abadi"/>
          <w:sz w:val="21"/>
          <w:szCs w:val="21"/>
        </w:rPr>
      </w:pPr>
      <w:r w:rsidRPr="000C6FEB">
        <w:rPr>
          <w:rFonts w:ascii="Abadi" w:hAnsi="Abadi"/>
          <w:sz w:val="21"/>
          <w:szCs w:val="21"/>
        </w:rPr>
        <w:t xml:space="preserve"> </w:t>
      </w:r>
    </w:p>
    <w:p w14:paraId="7B96B96B" w14:textId="77777777" w:rsidR="00D8654E" w:rsidRPr="000C6FEB" w:rsidRDefault="00D8654E" w:rsidP="003D6D37">
      <w:pPr>
        <w:spacing w:after="35"/>
        <w:ind w:left="-5" w:hanging="10"/>
        <w:jc w:val="both"/>
        <w:rPr>
          <w:rFonts w:ascii="Abadi" w:hAnsi="Abadi"/>
          <w:sz w:val="21"/>
          <w:szCs w:val="21"/>
        </w:rPr>
      </w:pPr>
      <w:r w:rsidRPr="000C6FEB">
        <w:rPr>
          <w:rFonts w:ascii="Abadi" w:hAnsi="Abadi"/>
          <w:sz w:val="21"/>
          <w:szCs w:val="21"/>
        </w:rPr>
        <w:t>El análisis de información arroja que a pesar de que en los países de ingreso medio y bajo circula aproximadamente el 60% de los vehículos del mundo, en estos ocurre el 93% de las defunciones relacionadas con accidentes de tránsito.</w:t>
      </w:r>
      <w:r w:rsidRPr="000C6FEB">
        <w:rPr>
          <w:rFonts w:ascii="Abadi" w:hAnsi="Abadi"/>
          <w:sz w:val="21"/>
          <w:szCs w:val="21"/>
          <w:vertAlign w:val="superscript"/>
        </w:rPr>
        <w:footnoteReference w:id="54"/>
      </w:r>
      <w:r w:rsidRPr="000C6FEB">
        <w:rPr>
          <w:rFonts w:ascii="Abadi" w:hAnsi="Abadi"/>
          <w:sz w:val="21"/>
          <w:szCs w:val="21"/>
        </w:rPr>
        <w:t xml:space="preserve"> </w:t>
      </w:r>
    </w:p>
    <w:p w14:paraId="60543C93" w14:textId="77777777" w:rsidR="00D8654E" w:rsidRPr="000C6FEB" w:rsidRDefault="00D8654E" w:rsidP="003D6D37">
      <w:pPr>
        <w:spacing w:after="35"/>
        <w:rPr>
          <w:rFonts w:ascii="Abadi" w:hAnsi="Abadi"/>
          <w:sz w:val="21"/>
          <w:szCs w:val="21"/>
        </w:rPr>
      </w:pPr>
      <w:r w:rsidRPr="000C6FEB">
        <w:rPr>
          <w:rFonts w:ascii="Abadi" w:hAnsi="Abadi"/>
          <w:sz w:val="21"/>
          <w:szCs w:val="21"/>
        </w:rPr>
        <w:t xml:space="preserve"> </w:t>
      </w:r>
    </w:p>
    <w:p w14:paraId="1AA4B33D" w14:textId="77777777" w:rsidR="00D8654E" w:rsidRPr="000C6FEB" w:rsidRDefault="00D8654E" w:rsidP="003D6D37">
      <w:pPr>
        <w:spacing w:after="49"/>
        <w:ind w:left="-5" w:hanging="10"/>
        <w:jc w:val="both"/>
        <w:rPr>
          <w:rFonts w:ascii="Abadi" w:hAnsi="Abadi"/>
          <w:sz w:val="21"/>
          <w:szCs w:val="21"/>
        </w:rPr>
      </w:pPr>
      <w:r w:rsidRPr="000C6FEB">
        <w:rPr>
          <w:rFonts w:ascii="Abadi" w:hAnsi="Abadi"/>
          <w:sz w:val="21"/>
          <w:szCs w:val="21"/>
        </w:rPr>
        <w:t>La OMS ha establecido los siguientes factores de riesgo:</w:t>
      </w:r>
      <w:r w:rsidRPr="000C6FEB">
        <w:rPr>
          <w:rFonts w:ascii="Abadi" w:hAnsi="Abadi"/>
          <w:sz w:val="21"/>
          <w:szCs w:val="21"/>
          <w:vertAlign w:val="superscript"/>
        </w:rPr>
        <w:footnoteReference w:id="55"/>
      </w:r>
      <w:r w:rsidRPr="000C6FEB">
        <w:rPr>
          <w:rFonts w:ascii="Abadi" w:hAnsi="Abadi"/>
          <w:sz w:val="21"/>
          <w:szCs w:val="21"/>
        </w:rPr>
        <w:t xml:space="preserve"> </w:t>
      </w:r>
    </w:p>
    <w:p w14:paraId="3B7CEADA" w14:textId="77777777" w:rsidR="00D8654E" w:rsidRPr="000C6FEB" w:rsidRDefault="00D8654E" w:rsidP="003D6D37">
      <w:pPr>
        <w:spacing w:after="59"/>
        <w:rPr>
          <w:rFonts w:ascii="Abadi" w:hAnsi="Abadi"/>
          <w:sz w:val="21"/>
          <w:szCs w:val="21"/>
        </w:rPr>
      </w:pPr>
      <w:r w:rsidRPr="000C6FEB">
        <w:rPr>
          <w:rFonts w:ascii="Abadi" w:hAnsi="Abadi"/>
          <w:sz w:val="21"/>
          <w:szCs w:val="21"/>
        </w:rPr>
        <w:t xml:space="preserve"> </w:t>
      </w:r>
    </w:p>
    <w:p w14:paraId="424A6FCF" w14:textId="77777777" w:rsidR="00D8654E" w:rsidRPr="000C6FEB" w:rsidRDefault="00D8654E" w:rsidP="003D6D37">
      <w:pPr>
        <w:numPr>
          <w:ilvl w:val="0"/>
          <w:numId w:val="16"/>
        </w:numPr>
        <w:spacing w:after="15"/>
        <w:ind w:hanging="348"/>
        <w:rPr>
          <w:rFonts w:ascii="Abadi" w:hAnsi="Abadi"/>
          <w:sz w:val="21"/>
          <w:szCs w:val="21"/>
        </w:rPr>
      </w:pPr>
      <w:r w:rsidRPr="000C6FEB">
        <w:rPr>
          <w:rFonts w:ascii="Abadi" w:hAnsi="Abadi"/>
          <w:b/>
          <w:i/>
          <w:sz w:val="21"/>
          <w:szCs w:val="21"/>
        </w:rPr>
        <w:t xml:space="preserve">El enfoque de sistema seguro: tener en cuenta el error humano. </w:t>
      </w:r>
    </w:p>
    <w:p w14:paraId="5EDEFEF1" w14:textId="77777777" w:rsidR="00D8654E" w:rsidRDefault="00D8654E" w:rsidP="003D6D37">
      <w:pPr>
        <w:spacing w:after="5"/>
        <w:ind w:left="715" w:right="692" w:hanging="10"/>
        <w:jc w:val="both"/>
        <w:rPr>
          <w:rFonts w:ascii="Abadi" w:hAnsi="Abadi"/>
          <w:i/>
          <w:sz w:val="21"/>
          <w:szCs w:val="21"/>
        </w:rPr>
      </w:pPr>
    </w:p>
    <w:p w14:paraId="3CB01E08" w14:textId="61824D5E" w:rsidR="00D8654E" w:rsidRPr="000C6FEB" w:rsidRDefault="00D8654E" w:rsidP="003D6D37">
      <w:pPr>
        <w:spacing w:after="5"/>
        <w:ind w:left="715" w:right="692" w:hanging="10"/>
        <w:jc w:val="both"/>
        <w:rPr>
          <w:rFonts w:ascii="Abadi" w:hAnsi="Abadi"/>
          <w:sz w:val="21"/>
          <w:szCs w:val="21"/>
        </w:rPr>
      </w:pPr>
      <w:r w:rsidRPr="000C6FEB">
        <w:rPr>
          <w:rFonts w:ascii="Abadi" w:hAnsi="Abadi"/>
          <w:i/>
          <w:sz w:val="21"/>
          <w:szCs w:val="21"/>
        </w:rPr>
        <w:t xml:space="preserve">Este promueve un sistema de transporte seguro para todos los usuarios de las carreteras, teniendo en cuenta la vulnerabilidad de las personas a sufrir lesiones graves causadas por accidentes de tránsito, reconociendo que el sistema se debe concebir para tolerar el error humano. </w:t>
      </w:r>
    </w:p>
    <w:p w14:paraId="4B7CFDD6" w14:textId="77777777" w:rsidR="00D8654E" w:rsidRPr="000C6FEB" w:rsidRDefault="00D8654E" w:rsidP="003D6D37">
      <w:pPr>
        <w:spacing w:after="20"/>
        <w:ind w:left="708"/>
        <w:rPr>
          <w:rFonts w:ascii="Abadi" w:hAnsi="Abadi"/>
          <w:sz w:val="21"/>
          <w:szCs w:val="21"/>
        </w:rPr>
      </w:pPr>
      <w:r w:rsidRPr="000C6FEB">
        <w:rPr>
          <w:rFonts w:ascii="Abadi" w:hAnsi="Abadi"/>
          <w:i/>
          <w:sz w:val="21"/>
          <w:szCs w:val="21"/>
        </w:rPr>
        <w:t xml:space="preserve"> </w:t>
      </w:r>
    </w:p>
    <w:p w14:paraId="1522C7EC" w14:textId="77777777" w:rsidR="00D8654E" w:rsidRPr="000C6FEB" w:rsidRDefault="00D8654E" w:rsidP="003D6D37">
      <w:pPr>
        <w:spacing w:after="57"/>
        <w:ind w:left="708"/>
        <w:rPr>
          <w:rFonts w:ascii="Abadi" w:hAnsi="Abadi"/>
          <w:sz w:val="21"/>
          <w:szCs w:val="21"/>
        </w:rPr>
      </w:pPr>
      <w:r w:rsidRPr="000C6FEB">
        <w:rPr>
          <w:rFonts w:ascii="Abadi" w:hAnsi="Abadi"/>
          <w:sz w:val="21"/>
          <w:szCs w:val="21"/>
        </w:rPr>
        <w:t xml:space="preserve"> </w:t>
      </w:r>
    </w:p>
    <w:p w14:paraId="725C5FA7" w14:textId="77777777" w:rsidR="00D8654E" w:rsidRPr="000C6FEB" w:rsidRDefault="00D8654E" w:rsidP="003D6D37">
      <w:pPr>
        <w:numPr>
          <w:ilvl w:val="0"/>
          <w:numId w:val="16"/>
        </w:numPr>
        <w:spacing w:after="15"/>
        <w:ind w:hanging="348"/>
        <w:rPr>
          <w:rFonts w:ascii="Abadi" w:hAnsi="Abadi"/>
          <w:sz w:val="21"/>
          <w:szCs w:val="21"/>
        </w:rPr>
      </w:pPr>
      <w:r w:rsidRPr="000C6FEB">
        <w:rPr>
          <w:rFonts w:ascii="Abadi" w:hAnsi="Abadi"/>
          <w:b/>
          <w:i/>
          <w:sz w:val="21"/>
          <w:szCs w:val="21"/>
        </w:rPr>
        <w:t xml:space="preserve">La velocidad </w:t>
      </w:r>
    </w:p>
    <w:p w14:paraId="5CCE8F57" w14:textId="77777777" w:rsidR="00D8654E" w:rsidRPr="000C6FEB" w:rsidRDefault="00D8654E" w:rsidP="003D6D37">
      <w:pPr>
        <w:spacing w:after="22"/>
        <w:ind w:left="720"/>
        <w:rPr>
          <w:rFonts w:ascii="Abadi" w:hAnsi="Abadi"/>
          <w:sz w:val="21"/>
          <w:szCs w:val="21"/>
        </w:rPr>
      </w:pPr>
      <w:r w:rsidRPr="000C6FEB">
        <w:rPr>
          <w:rFonts w:ascii="Abadi" w:hAnsi="Abadi"/>
          <w:i/>
          <w:sz w:val="21"/>
          <w:szCs w:val="21"/>
        </w:rPr>
        <w:t xml:space="preserve"> </w:t>
      </w:r>
    </w:p>
    <w:p w14:paraId="7B5DD83D" w14:textId="77777777" w:rsidR="00D8654E" w:rsidRPr="000C6FEB" w:rsidRDefault="00D8654E" w:rsidP="003D6D37">
      <w:pPr>
        <w:spacing w:after="5"/>
        <w:ind w:left="715" w:right="692" w:hanging="10"/>
        <w:jc w:val="both"/>
        <w:rPr>
          <w:rFonts w:ascii="Abadi" w:hAnsi="Abadi"/>
          <w:sz w:val="21"/>
          <w:szCs w:val="21"/>
        </w:rPr>
      </w:pPr>
      <w:r w:rsidRPr="000C6FEB">
        <w:rPr>
          <w:rFonts w:ascii="Abadi" w:hAnsi="Abadi"/>
          <w:i/>
          <w:sz w:val="21"/>
          <w:szCs w:val="21"/>
        </w:rPr>
        <w:t xml:space="preserve">Se reconoce una relación proporcional entre el aumento de la velocidad media y la probabilidad de que ocurra un accidente con graves consecuencias.  </w:t>
      </w:r>
    </w:p>
    <w:p w14:paraId="5A3DA1FB" w14:textId="77777777" w:rsidR="00D8654E" w:rsidRPr="000C6FEB" w:rsidRDefault="00D8654E" w:rsidP="003D6D37">
      <w:pPr>
        <w:spacing w:after="22"/>
        <w:ind w:left="720"/>
        <w:rPr>
          <w:rFonts w:ascii="Abadi" w:hAnsi="Abadi"/>
          <w:sz w:val="21"/>
          <w:szCs w:val="21"/>
        </w:rPr>
      </w:pPr>
      <w:r w:rsidRPr="000C6FEB">
        <w:rPr>
          <w:rFonts w:ascii="Abadi" w:hAnsi="Abadi"/>
          <w:i/>
          <w:sz w:val="21"/>
          <w:szCs w:val="21"/>
        </w:rPr>
        <w:t xml:space="preserve"> </w:t>
      </w:r>
    </w:p>
    <w:p w14:paraId="097C03E9" w14:textId="77777777" w:rsidR="00D8654E" w:rsidRPr="000C6FEB" w:rsidRDefault="00D8654E" w:rsidP="003D6D37">
      <w:pPr>
        <w:spacing w:after="5"/>
        <w:ind w:left="715" w:right="692" w:hanging="10"/>
        <w:jc w:val="both"/>
        <w:rPr>
          <w:rFonts w:ascii="Abadi" w:hAnsi="Abadi"/>
          <w:sz w:val="21"/>
          <w:szCs w:val="21"/>
        </w:rPr>
      </w:pPr>
      <w:r w:rsidRPr="000C6FEB">
        <w:rPr>
          <w:rFonts w:ascii="Abadi" w:hAnsi="Abadi"/>
          <w:i/>
          <w:sz w:val="21"/>
          <w:szCs w:val="21"/>
        </w:rPr>
        <w:t xml:space="preserve">Por ejemplo, cada aumento del 1% en la velocidad media da lugar a incrementos del 4% en el riesgo de que se produzca una colisión mortal y del 3% en el riesgo de colisión grave. </w:t>
      </w:r>
    </w:p>
    <w:p w14:paraId="75AEC06E" w14:textId="77777777" w:rsidR="00D8654E" w:rsidRPr="000C6FEB" w:rsidRDefault="00D8654E" w:rsidP="003D6D37">
      <w:pPr>
        <w:spacing w:after="22"/>
        <w:ind w:left="720"/>
        <w:rPr>
          <w:rFonts w:ascii="Abadi" w:hAnsi="Abadi"/>
          <w:sz w:val="21"/>
          <w:szCs w:val="21"/>
        </w:rPr>
      </w:pPr>
      <w:r w:rsidRPr="000C6FEB">
        <w:rPr>
          <w:rFonts w:ascii="Abadi" w:hAnsi="Abadi"/>
          <w:i/>
          <w:sz w:val="21"/>
          <w:szCs w:val="21"/>
        </w:rPr>
        <w:t xml:space="preserve"> </w:t>
      </w:r>
    </w:p>
    <w:p w14:paraId="4C194468" w14:textId="77777777" w:rsidR="00D8654E" w:rsidRPr="000C6FEB" w:rsidRDefault="00D8654E" w:rsidP="003D6D37">
      <w:pPr>
        <w:spacing w:after="5"/>
        <w:ind w:left="715" w:right="692" w:hanging="10"/>
        <w:jc w:val="both"/>
        <w:rPr>
          <w:rFonts w:ascii="Abadi" w:hAnsi="Abadi"/>
          <w:sz w:val="21"/>
          <w:szCs w:val="21"/>
        </w:rPr>
      </w:pPr>
      <w:r w:rsidRPr="000C6FEB">
        <w:rPr>
          <w:rFonts w:ascii="Abadi" w:hAnsi="Abadi"/>
          <w:i/>
          <w:sz w:val="21"/>
          <w:szCs w:val="21"/>
        </w:rPr>
        <w:t xml:space="preserve">El riesgo de muerte para los peatones atropellados frontalmente por un automóvil aumenta rápidamente (por </w:t>
      </w:r>
      <w:r w:rsidRPr="000C6FEB">
        <w:rPr>
          <w:rFonts w:ascii="Abadi" w:hAnsi="Abadi"/>
          <w:i/>
          <w:sz w:val="21"/>
          <w:szCs w:val="21"/>
        </w:rPr>
        <w:t xml:space="preserve">ejemplo, si pasamos de 50 km/h a 65 km/h, se multiplica por 4,5 veces). </w:t>
      </w:r>
    </w:p>
    <w:p w14:paraId="00621AC8" w14:textId="77777777" w:rsidR="00D8654E" w:rsidRPr="000C6FEB" w:rsidRDefault="00D8654E" w:rsidP="003D6D37">
      <w:pPr>
        <w:spacing w:after="20"/>
        <w:ind w:left="720"/>
        <w:rPr>
          <w:rFonts w:ascii="Abadi" w:hAnsi="Abadi"/>
          <w:sz w:val="21"/>
          <w:szCs w:val="21"/>
        </w:rPr>
      </w:pPr>
      <w:r w:rsidRPr="000C6FEB">
        <w:rPr>
          <w:rFonts w:ascii="Abadi" w:hAnsi="Abadi"/>
          <w:i/>
          <w:sz w:val="21"/>
          <w:szCs w:val="21"/>
        </w:rPr>
        <w:t xml:space="preserve"> </w:t>
      </w:r>
    </w:p>
    <w:p w14:paraId="4EAA2BB2" w14:textId="77777777" w:rsidR="00D8654E" w:rsidRPr="000C6FEB" w:rsidRDefault="00D8654E" w:rsidP="003D6D37">
      <w:pPr>
        <w:spacing w:after="5"/>
        <w:ind w:left="715" w:right="692" w:hanging="10"/>
        <w:jc w:val="both"/>
        <w:rPr>
          <w:rFonts w:ascii="Abadi" w:hAnsi="Abadi"/>
          <w:sz w:val="21"/>
          <w:szCs w:val="21"/>
        </w:rPr>
      </w:pPr>
      <w:r w:rsidRPr="000C6FEB">
        <w:rPr>
          <w:rFonts w:ascii="Abadi" w:hAnsi="Abadi"/>
          <w:i/>
          <w:sz w:val="21"/>
          <w:szCs w:val="21"/>
        </w:rPr>
        <w:t xml:space="preserve">En los impactos laterales entre automóviles que circulan a 65 km/h, el riesgo de mortalidad para los ocupantes es del 85%. </w:t>
      </w:r>
    </w:p>
    <w:p w14:paraId="715B189D" w14:textId="77777777" w:rsidR="00D8654E" w:rsidRPr="000C6FEB" w:rsidRDefault="00D8654E" w:rsidP="003D6D37">
      <w:pPr>
        <w:spacing w:after="56"/>
        <w:ind w:left="720"/>
        <w:rPr>
          <w:rFonts w:ascii="Abadi" w:hAnsi="Abadi"/>
          <w:sz w:val="21"/>
          <w:szCs w:val="21"/>
        </w:rPr>
      </w:pPr>
      <w:r w:rsidRPr="000C6FEB">
        <w:rPr>
          <w:rFonts w:ascii="Abadi" w:hAnsi="Abadi"/>
          <w:sz w:val="21"/>
          <w:szCs w:val="21"/>
        </w:rPr>
        <w:t xml:space="preserve"> </w:t>
      </w:r>
    </w:p>
    <w:p w14:paraId="4ECC3C2A" w14:textId="77777777" w:rsidR="00D8654E" w:rsidRPr="00D17943" w:rsidRDefault="00D8654E" w:rsidP="003D6D37">
      <w:pPr>
        <w:numPr>
          <w:ilvl w:val="0"/>
          <w:numId w:val="16"/>
        </w:numPr>
        <w:spacing w:after="15"/>
        <w:ind w:hanging="348"/>
        <w:rPr>
          <w:rFonts w:ascii="Abadi" w:hAnsi="Abadi"/>
          <w:sz w:val="21"/>
          <w:szCs w:val="21"/>
        </w:rPr>
      </w:pPr>
      <w:r w:rsidRPr="000C6FEB">
        <w:rPr>
          <w:rFonts w:ascii="Abadi" w:hAnsi="Abadi"/>
          <w:b/>
          <w:i/>
          <w:sz w:val="21"/>
          <w:szCs w:val="21"/>
        </w:rPr>
        <w:t xml:space="preserve">Conducción bajo los efectos del alcohol u otras sustancias psicoactivas </w:t>
      </w:r>
    </w:p>
    <w:p w14:paraId="6772217A" w14:textId="77777777" w:rsidR="00D17943" w:rsidRDefault="00D17943" w:rsidP="003D6D37">
      <w:pPr>
        <w:spacing w:after="15"/>
        <w:rPr>
          <w:rFonts w:ascii="Abadi" w:hAnsi="Abadi"/>
          <w:sz w:val="21"/>
          <w:szCs w:val="21"/>
        </w:rPr>
      </w:pPr>
    </w:p>
    <w:p w14:paraId="44034499"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Conducir bajo los efectos del alcohol o de cualquier droga o sustancia psicoactiva aumenta el riesgo de que se produzca una colisión que cause muertes o lesiones graves. </w:t>
      </w:r>
    </w:p>
    <w:p w14:paraId="4C6B8D1B"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55111162"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En los casos de conducción bajo los efectos del alcohol, el riesgo de colisión es notorio incluso con concentraciones bajas de la sustancia en la sangre y aumenta considerablemente cuando la concentración del conductor es de 0,04 g/dl (gramos sobre decilitro) o más. </w:t>
      </w:r>
    </w:p>
    <w:p w14:paraId="0AD4CEDF"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2110F491"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Cuando el conductor ha tomado drogas, el riesgo de colisión aumenta en diversos grados en función de la sustancia psicoactiva. Por ejemplo, el riesgo de accidente mortal de una persona que haya tomado anfetaminas</w:t>
      </w:r>
      <w:r w:rsidRPr="000C6FEB">
        <w:rPr>
          <w:rFonts w:ascii="Abadi" w:hAnsi="Abadi"/>
          <w:sz w:val="21"/>
          <w:szCs w:val="21"/>
        </w:rPr>
        <w:t xml:space="preserve"> </w:t>
      </w:r>
      <w:r w:rsidRPr="000C6FEB">
        <w:rPr>
          <w:rFonts w:ascii="Abadi" w:hAnsi="Abadi"/>
          <w:i/>
          <w:sz w:val="21"/>
          <w:szCs w:val="21"/>
        </w:rPr>
        <w:t xml:space="preserve">es unas cinco veces superior al de un conductor que no las haya consumido. </w:t>
      </w:r>
    </w:p>
    <w:p w14:paraId="228310F4"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192E35E9" w14:textId="77777777" w:rsidR="00D17943" w:rsidRPr="000C6FEB" w:rsidRDefault="00D17943" w:rsidP="003D6D37">
      <w:pPr>
        <w:spacing w:after="22"/>
        <w:ind w:left="720"/>
        <w:rPr>
          <w:rFonts w:ascii="Abadi" w:hAnsi="Abadi"/>
          <w:sz w:val="21"/>
          <w:szCs w:val="21"/>
        </w:rPr>
      </w:pPr>
      <w:r w:rsidRPr="000C6FEB">
        <w:rPr>
          <w:rFonts w:ascii="Abadi" w:hAnsi="Abadi"/>
          <w:i/>
          <w:sz w:val="21"/>
          <w:szCs w:val="21"/>
        </w:rPr>
        <w:t xml:space="preserve"> </w:t>
      </w:r>
    </w:p>
    <w:p w14:paraId="1CD6FA3F" w14:textId="77777777" w:rsidR="00D17943" w:rsidRPr="000C6FEB" w:rsidRDefault="00D17943" w:rsidP="003D6D37">
      <w:pPr>
        <w:spacing w:after="15"/>
        <w:ind w:left="715" w:hanging="10"/>
        <w:rPr>
          <w:rFonts w:ascii="Abadi" w:hAnsi="Abadi"/>
          <w:sz w:val="21"/>
          <w:szCs w:val="21"/>
        </w:rPr>
      </w:pPr>
      <w:r w:rsidRPr="000C6FEB">
        <w:rPr>
          <w:rFonts w:ascii="Abadi" w:hAnsi="Abadi"/>
          <w:b/>
          <w:i/>
          <w:sz w:val="21"/>
          <w:szCs w:val="21"/>
        </w:rPr>
        <w:t xml:space="preserve">No utilización de cascos, cinturones de seguridad y sistemas de sujeción para niños. </w:t>
      </w:r>
    </w:p>
    <w:p w14:paraId="7E4B0B1D" w14:textId="77777777" w:rsidR="00D17943" w:rsidRPr="000C6FEB" w:rsidRDefault="00D17943" w:rsidP="003D6D37">
      <w:pPr>
        <w:ind w:left="720"/>
        <w:rPr>
          <w:rFonts w:ascii="Abadi" w:hAnsi="Abadi"/>
          <w:sz w:val="21"/>
          <w:szCs w:val="21"/>
        </w:rPr>
      </w:pPr>
      <w:r w:rsidRPr="000C6FEB">
        <w:rPr>
          <w:rFonts w:ascii="Abadi" w:hAnsi="Abadi"/>
          <w:b/>
          <w:i/>
          <w:sz w:val="21"/>
          <w:szCs w:val="21"/>
        </w:rPr>
        <w:t xml:space="preserve"> </w:t>
      </w:r>
    </w:p>
    <w:p w14:paraId="1FF65BA3"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El uso correcto del casco puede dar lugar a reducciones </w:t>
      </w:r>
      <w:r w:rsidRPr="000C6FEB">
        <w:rPr>
          <w:rFonts w:ascii="Abadi" w:hAnsi="Abadi"/>
          <w:i/>
          <w:sz w:val="21"/>
          <w:szCs w:val="21"/>
        </w:rPr>
        <w:lastRenderedPageBreak/>
        <w:t xml:space="preserve">del 42% en el riesgo de traumatismos mortales y del 69% en el riesgo de traumatismos craneales. </w:t>
      </w:r>
    </w:p>
    <w:p w14:paraId="492638AF" w14:textId="77777777" w:rsidR="00D17943" w:rsidRPr="000C6FEB" w:rsidRDefault="00D17943" w:rsidP="003D6D37">
      <w:pPr>
        <w:spacing w:after="22"/>
        <w:ind w:left="720"/>
        <w:rPr>
          <w:rFonts w:ascii="Abadi" w:hAnsi="Abadi"/>
          <w:sz w:val="21"/>
          <w:szCs w:val="21"/>
        </w:rPr>
      </w:pPr>
      <w:r w:rsidRPr="000C6FEB">
        <w:rPr>
          <w:rFonts w:ascii="Abadi" w:hAnsi="Abadi"/>
          <w:i/>
          <w:sz w:val="21"/>
          <w:szCs w:val="21"/>
        </w:rPr>
        <w:t xml:space="preserve"> </w:t>
      </w:r>
    </w:p>
    <w:p w14:paraId="5A595B74"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Asimismo, ponerse el cinturón de seguridad reduce entre un 45% y un 50% el riesgo de muerte entre los conductores y los ocupantes de los asientos delanteros; en el caso de los ocupantes de los asientos traseros, este descenso es de un 25%. </w:t>
      </w:r>
    </w:p>
    <w:p w14:paraId="31164EBA"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3FD70A64"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Además, los sistemas de sujeción para niños permiten reducir en un 60% el riesgo de muerte. </w:t>
      </w:r>
    </w:p>
    <w:p w14:paraId="37B6697B"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6BF974A3" w14:textId="77777777" w:rsidR="00D17943" w:rsidRPr="000C6FEB" w:rsidRDefault="00D17943" w:rsidP="003D6D37">
      <w:pPr>
        <w:spacing w:after="22"/>
        <w:ind w:left="720"/>
        <w:rPr>
          <w:rFonts w:ascii="Abadi" w:hAnsi="Abadi"/>
          <w:sz w:val="21"/>
          <w:szCs w:val="21"/>
        </w:rPr>
      </w:pPr>
      <w:r w:rsidRPr="000C6FEB">
        <w:rPr>
          <w:rFonts w:ascii="Abadi" w:hAnsi="Abadi"/>
          <w:i/>
          <w:sz w:val="21"/>
          <w:szCs w:val="21"/>
        </w:rPr>
        <w:t xml:space="preserve"> </w:t>
      </w:r>
    </w:p>
    <w:p w14:paraId="5BFC9310" w14:textId="77777777" w:rsidR="00D17943" w:rsidRDefault="00D17943" w:rsidP="003D6D37">
      <w:pPr>
        <w:spacing w:after="15"/>
        <w:ind w:left="715" w:hanging="10"/>
        <w:rPr>
          <w:rFonts w:ascii="Abadi" w:hAnsi="Abadi"/>
          <w:b/>
          <w:i/>
          <w:sz w:val="21"/>
          <w:szCs w:val="21"/>
        </w:rPr>
      </w:pPr>
      <w:r w:rsidRPr="000C6FEB">
        <w:rPr>
          <w:rFonts w:ascii="Abadi" w:hAnsi="Abadi"/>
          <w:b/>
          <w:i/>
          <w:sz w:val="21"/>
          <w:szCs w:val="21"/>
        </w:rPr>
        <w:t xml:space="preserve">Distracciones durante la conducción. </w:t>
      </w:r>
    </w:p>
    <w:p w14:paraId="49D32D35" w14:textId="77777777" w:rsidR="00346F0B" w:rsidRDefault="00346F0B" w:rsidP="003D6D37">
      <w:pPr>
        <w:spacing w:after="15"/>
        <w:ind w:left="715" w:hanging="10"/>
        <w:rPr>
          <w:rFonts w:ascii="Abadi" w:hAnsi="Abadi"/>
          <w:sz w:val="21"/>
          <w:szCs w:val="21"/>
        </w:rPr>
      </w:pPr>
    </w:p>
    <w:p w14:paraId="03A2C4C7" w14:textId="1970E5D2" w:rsidR="00D17943" w:rsidRPr="000C6FEB" w:rsidRDefault="00D17943" w:rsidP="003D6D37">
      <w:pPr>
        <w:spacing w:after="20"/>
        <w:ind w:left="720"/>
        <w:rPr>
          <w:rFonts w:ascii="Abadi" w:hAnsi="Abadi"/>
          <w:sz w:val="21"/>
          <w:szCs w:val="21"/>
        </w:rPr>
      </w:pPr>
    </w:p>
    <w:p w14:paraId="1663B25B" w14:textId="77777777" w:rsidR="00D17943" w:rsidRDefault="00D17943" w:rsidP="003D6D37">
      <w:pPr>
        <w:spacing w:after="5"/>
        <w:ind w:left="705" w:right="692"/>
        <w:jc w:val="both"/>
        <w:rPr>
          <w:rFonts w:ascii="Abadi" w:hAnsi="Abadi"/>
          <w:i/>
          <w:sz w:val="21"/>
          <w:szCs w:val="21"/>
        </w:rPr>
      </w:pPr>
      <w:r w:rsidRPr="000C6FEB">
        <w:rPr>
          <w:rFonts w:ascii="Abadi" w:hAnsi="Abadi"/>
          <w:i/>
          <w:sz w:val="21"/>
          <w:szCs w:val="21"/>
        </w:rPr>
        <w:t xml:space="preserve">Existen muchos tipos de distracciones que pueden afectar a la conducción. La distracción provocada por el uso de teléfonos celulares es un motivo de preocupación cada vez mayor en el ámbito de la seguridad vial. </w:t>
      </w:r>
    </w:p>
    <w:p w14:paraId="3A041212" w14:textId="77777777" w:rsidR="00E353E4" w:rsidRDefault="00E353E4" w:rsidP="003D6D37">
      <w:pPr>
        <w:spacing w:after="5"/>
        <w:ind w:left="705" w:right="692"/>
        <w:jc w:val="both"/>
        <w:rPr>
          <w:rFonts w:ascii="Abadi" w:hAnsi="Abadi"/>
          <w:i/>
          <w:sz w:val="21"/>
          <w:szCs w:val="21"/>
        </w:rPr>
      </w:pPr>
    </w:p>
    <w:p w14:paraId="7D265DD9" w14:textId="77777777" w:rsidR="00E353E4" w:rsidRDefault="00E353E4" w:rsidP="003D6D37">
      <w:pPr>
        <w:ind w:left="709" w:right="709"/>
        <w:jc w:val="both"/>
      </w:pPr>
      <w:r w:rsidRPr="000C6FEB">
        <w:rPr>
          <w:rFonts w:ascii="Abadi" w:hAnsi="Abadi"/>
          <w:i/>
          <w:sz w:val="21"/>
          <w:szCs w:val="21"/>
        </w:rPr>
        <w:t>Los conductores que usan el teléfono mientras conducen tienen cuatro veces más probabilidades de verse involucrados en una colisión que los que no lo hacen. Esta distracción hace que se reduzca la velocidad de reacción (sobre todo para frenar, pero también frente a las señales de tránsito) y que el vehículo tenga tendencia a no mantenerse en el carril correcto y a no guardar las debidas distancias.</w:t>
      </w:r>
    </w:p>
    <w:p w14:paraId="43EB487D" w14:textId="77777777" w:rsidR="00E353E4" w:rsidRPr="000C6FEB" w:rsidRDefault="00E353E4" w:rsidP="003D6D37">
      <w:pPr>
        <w:spacing w:after="15"/>
        <w:ind w:left="709" w:right="709" w:hanging="10"/>
        <w:rPr>
          <w:rFonts w:ascii="Abadi" w:hAnsi="Abadi"/>
          <w:sz w:val="21"/>
          <w:szCs w:val="21"/>
        </w:rPr>
      </w:pPr>
    </w:p>
    <w:p w14:paraId="37C0DE8B" w14:textId="77777777" w:rsidR="00E353E4" w:rsidRPr="000C6FEB" w:rsidRDefault="00E353E4" w:rsidP="003D6D37">
      <w:pPr>
        <w:spacing w:after="5"/>
        <w:ind w:left="705" w:right="692"/>
        <w:jc w:val="both"/>
        <w:rPr>
          <w:rFonts w:ascii="Abadi" w:hAnsi="Abadi"/>
          <w:sz w:val="21"/>
          <w:szCs w:val="21"/>
        </w:rPr>
      </w:pPr>
    </w:p>
    <w:p w14:paraId="09BDF90C" w14:textId="77777777" w:rsidR="00D17943" w:rsidRPr="000C6FEB" w:rsidRDefault="00D17943" w:rsidP="003D6D37">
      <w:pPr>
        <w:ind w:left="720"/>
        <w:rPr>
          <w:rFonts w:ascii="Abadi" w:hAnsi="Abadi"/>
          <w:sz w:val="21"/>
          <w:szCs w:val="21"/>
        </w:rPr>
      </w:pPr>
      <w:r w:rsidRPr="000C6FEB">
        <w:rPr>
          <w:rFonts w:ascii="Abadi" w:hAnsi="Abadi"/>
          <w:i/>
          <w:sz w:val="21"/>
          <w:szCs w:val="21"/>
        </w:rPr>
        <w:t xml:space="preserve"> </w:t>
      </w:r>
    </w:p>
    <w:p w14:paraId="1D75BCA6"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48D2ED31"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Utilizar el manos libres no es mucho más seguro que sujetar el teléfono en la mano, y </w:t>
      </w:r>
      <w:r w:rsidRPr="000C6FEB">
        <w:rPr>
          <w:rFonts w:ascii="Abadi" w:hAnsi="Abadi"/>
          <w:i/>
          <w:sz w:val="21"/>
          <w:szCs w:val="21"/>
        </w:rPr>
        <w:t xml:space="preserve">enviar mensajes de texto durante la conducción aumenta considerablemente el riesgo de colisión. </w:t>
      </w:r>
    </w:p>
    <w:p w14:paraId="5EE2562D" w14:textId="77777777" w:rsidR="00D17943" w:rsidRPr="000C6FEB" w:rsidRDefault="00D17943" w:rsidP="003D6D37">
      <w:pPr>
        <w:spacing w:after="20"/>
        <w:ind w:left="720"/>
        <w:rPr>
          <w:rFonts w:ascii="Abadi" w:hAnsi="Abadi"/>
          <w:sz w:val="21"/>
          <w:szCs w:val="21"/>
        </w:rPr>
      </w:pPr>
      <w:r w:rsidRPr="000C6FEB">
        <w:rPr>
          <w:rFonts w:ascii="Abadi" w:hAnsi="Abadi"/>
          <w:i/>
          <w:sz w:val="21"/>
          <w:szCs w:val="21"/>
        </w:rPr>
        <w:t xml:space="preserve"> </w:t>
      </w:r>
    </w:p>
    <w:p w14:paraId="2C10F356" w14:textId="77777777" w:rsidR="00D17943" w:rsidRPr="000C6FEB" w:rsidRDefault="00D17943" w:rsidP="003D6D37">
      <w:pPr>
        <w:spacing w:after="22"/>
        <w:ind w:left="720"/>
        <w:rPr>
          <w:rFonts w:ascii="Abadi" w:hAnsi="Abadi"/>
          <w:sz w:val="21"/>
          <w:szCs w:val="21"/>
        </w:rPr>
      </w:pPr>
      <w:r w:rsidRPr="000C6FEB">
        <w:rPr>
          <w:rFonts w:ascii="Abadi" w:hAnsi="Abadi"/>
          <w:i/>
          <w:sz w:val="21"/>
          <w:szCs w:val="21"/>
        </w:rPr>
        <w:t xml:space="preserve"> </w:t>
      </w:r>
    </w:p>
    <w:p w14:paraId="2153EECE" w14:textId="77777777" w:rsidR="00D17943" w:rsidRPr="000C6FEB" w:rsidRDefault="00D17943" w:rsidP="003D6D37">
      <w:pPr>
        <w:spacing w:after="15"/>
        <w:ind w:left="715" w:hanging="10"/>
        <w:rPr>
          <w:rFonts w:ascii="Abadi" w:hAnsi="Abadi"/>
          <w:sz w:val="21"/>
          <w:szCs w:val="21"/>
        </w:rPr>
      </w:pPr>
      <w:r w:rsidRPr="000C6FEB">
        <w:rPr>
          <w:rFonts w:ascii="Abadi" w:hAnsi="Abadi"/>
          <w:b/>
          <w:i/>
          <w:sz w:val="21"/>
          <w:szCs w:val="21"/>
        </w:rPr>
        <w:t xml:space="preserve">Falta de seguridad de la infraestructura vial. </w:t>
      </w:r>
    </w:p>
    <w:p w14:paraId="2BFD1008" w14:textId="77777777" w:rsidR="00D17943" w:rsidRPr="000C6FEB" w:rsidRDefault="00D17943" w:rsidP="003D6D37">
      <w:pPr>
        <w:spacing w:after="22"/>
        <w:ind w:left="720"/>
        <w:rPr>
          <w:rFonts w:ascii="Abadi" w:hAnsi="Abadi"/>
          <w:sz w:val="21"/>
          <w:szCs w:val="21"/>
        </w:rPr>
      </w:pPr>
      <w:r w:rsidRPr="000C6FEB">
        <w:rPr>
          <w:rFonts w:ascii="Abadi" w:hAnsi="Abadi"/>
          <w:b/>
          <w:i/>
          <w:sz w:val="21"/>
          <w:szCs w:val="21"/>
        </w:rPr>
        <w:t xml:space="preserve"> </w:t>
      </w:r>
    </w:p>
    <w:p w14:paraId="265CC96A" w14:textId="77777777" w:rsidR="00D17943" w:rsidRPr="000C6FEB" w:rsidRDefault="00D17943" w:rsidP="003D6D37">
      <w:pPr>
        <w:spacing w:after="5"/>
        <w:ind w:left="715" w:right="692" w:hanging="10"/>
        <w:jc w:val="both"/>
        <w:rPr>
          <w:rFonts w:ascii="Abadi" w:hAnsi="Abadi"/>
          <w:sz w:val="21"/>
          <w:szCs w:val="21"/>
        </w:rPr>
      </w:pPr>
      <w:r w:rsidRPr="000C6FEB">
        <w:rPr>
          <w:rFonts w:ascii="Abadi" w:hAnsi="Abadi"/>
          <w:i/>
          <w:sz w:val="21"/>
          <w:szCs w:val="21"/>
        </w:rPr>
        <w:t xml:space="preserve">El trazado vial puede afectar considerablemente a la seguridad. Teóricamente, todas las vías se deberían concebir teniendo en cuenta la seguridad de todos los usuarios. Esto supondría velar por que hubiera servicios adecuados para peatones, ciclistas y motociclistas. Las aceras, los carriles para bicicletas, los cruces seguros y otras medidas de ordenamiento del tránsito pueden ser fundamentales para reducir el riesgo de lesiones entre los usuarios. </w:t>
      </w:r>
    </w:p>
    <w:p w14:paraId="0C0557BA" w14:textId="77777777" w:rsidR="00D17943" w:rsidRDefault="00D17943" w:rsidP="003D6D37">
      <w:pPr>
        <w:spacing w:after="15"/>
        <w:rPr>
          <w:rFonts w:ascii="Abadi" w:hAnsi="Abadi"/>
          <w:sz w:val="21"/>
          <w:szCs w:val="21"/>
        </w:rPr>
      </w:pPr>
    </w:p>
    <w:p w14:paraId="7A4E6820" w14:textId="77777777" w:rsidR="00996EDE" w:rsidRPr="000C6FEB" w:rsidRDefault="00996EDE" w:rsidP="003D6D37">
      <w:pPr>
        <w:spacing w:after="15"/>
        <w:ind w:left="715" w:hanging="10"/>
        <w:rPr>
          <w:rFonts w:ascii="Abadi" w:hAnsi="Abadi"/>
          <w:sz w:val="21"/>
          <w:szCs w:val="21"/>
        </w:rPr>
      </w:pPr>
      <w:r w:rsidRPr="000C6FEB">
        <w:rPr>
          <w:rFonts w:ascii="Abadi" w:hAnsi="Abadi"/>
          <w:b/>
          <w:i/>
          <w:sz w:val="21"/>
          <w:szCs w:val="21"/>
        </w:rPr>
        <w:t xml:space="preserve">Falta de seguridad de los vehículos. </w:t>
      </w:r>
    </w:p>
    <w:p w14:paraId="2CFD807F" w14:textId="77777777" w:rsidR="00996EDE" w:rsidRPr="000C6FEB" w:rsidRDefault="00996EDE" w:rsidP="003D6D37">
      <w:pPr>
        <w:ind w:left="720"/>
        <w:rPr>
          <w:rFonts w:ascii="Abadi" w:hAnsi="Abadi"/>
          <w:sz w:val="21"/>
          <w:szCs w:val="21"/>
        </w:rPr>
      </w:pPr>
      <w:r w:rsidRPr="000C6FEB">
        <w:rPr>
          <w:rFonts w:ascii="Abadi" w:hAnsi="Abadi"/>
          <w:b/>
          <w:i/>
          <w:sz w:val="21"/>
          <w:szCs w:val="21"/>
        </w:rPr>
        <w:t xml:space="preserve"> </w:t>
      </w:r>
    </w:p>
    <w:p w14:paraId="14375F22" w14:textId="77777777" w:rsidR="00996EDE" w:rsidRPr="000C6FEB" w:rsidRDefault="00996EDE" w:rsidP="003D6D37">
      <w:pPr>
        <w:spacing w:after="5"/>
        <w:ind w:left="715" w:right="692" w:hanging="10"/>
        <w:jc w:val="both"/>
        <w:rPr>
          <w:rFonts w:ascii="Abadi" w:hAnsi="Abadi"/>
          <w:sz w:val="21"/>
          <w:szCs w:val="21"/>
        </w:rPr>
      </w:pPr>
      <w:r w:rsidRPr="000C6FEB">
        <w:rPr>
          <w:rFonts w:ascii="Abadi" w:hAnsi="Abadi"/>
          <w:i/>
          <w:sz w:val="21"/>
          <w:szCs w:val="21"/>
        </w:rPr>
        <w:t xml:space="preserve">La seguridad de los vehículos es esencial para evitar colisiones y reducir la probabilidad de que se produzcan traumatismos graves. Si las prescripciones de las Naciones Unidas en materia de seguridad de los vehículos se aplicaran a los criterios nacionales de fabricación y producción, se podrían salvar muchas vidas. Por ejemplo, tales prescripciones exigen que los fabricantes de vehículos cumplan normas relativas a los impactos frontales y laterales, incluyan el control electrónico de la estabilidad (para prevenir el sobreviraje) y equipen todos los vehículos con bolsas de aire y cinturones de seguridad. Sin esas normas básicas, el riesgo de que se produzcan colisiones y traumatismos </w:t>
      </w:r>
      <w:r w:rsidRPr="000C6FEB">
        <w:rPr>
          <w:rFonts w:ascii="Abadi" w:hAnsi="Abadi"/>
          <w:i/>
          <w:sz w:val="21"/>
          <w:szCs w:val="21"/>
        </w:rPr>
        <w:lastRenderedPageBreak/>
        <w:t xml:space="preserve">aumenta considerablemente, tanto para los ocupantes del vehículo como para quienes están fuera de él. </w:t>
      </w:r>
    </w:p>
    <w:p w14:paraId="2B494A68" w14:textId="77777777" w:rsidR="00996EDE" w:rsidRPr="000C6FEB" w:rsidRDefault="00996EDE" w:rsidP="003D6D37">
      <w:pPr>
        <w:spacing w:after="20"/>
        <w:ind w:left="720"/>
        <w:rPr>
          <w:rFonts w:ascii="Abadi" w:hAnsi="Abadi"/>
          <w:sz w:val="21"/>
          <w:szCs w:val="21"/>
        </w:rPr>
      </w:pPr>
      <w:r w:rsidRPr="000C6FEB">
        <w:rPr>
          <w:rFonts w:ascii="Abadi" w:hAnsi="Abadi"/>
          <w:i/>
          <w:sz w:val="21"/>
          <w:szCs w:val="21"/>
        </w:rPr>
        <w:t xml:space="preserve"> </w:t>
      </w:r>
    </w:p>
    <w:p w14:paraId="35B85452" w14:textId="77777777" w:rsidR="00996EDE" w:rsidRPr="000C6FEB" w:rsidRDefault="00996EDE" w:rsidP="003D6D37">
      <w:pPr>
        <w:spacing w:after="22"/>
        <w:ind w:left="720"/>
        <w:rPr>
          <w:rFonts w:ascii="Abadi" w:hAnsi="Abadi"/>
          <w:sz w:val="21"/>
          <w:szCs w:val="21"/>
        </w:rPr>
      </w:pPr>
      <w:r w:rsidRPr="000C6FEB">
        <w:rPr>
          <w:rFonts w:ascii="Abadi" w:hAnsi="Abadi"/>
          <w:i/>
          <w:sz w:val="21"/>
          <w:szCs w:val="21"/>
        </w:rPr>
        <w:t xml:space="preserve"> </w:t>
      </w:r>
    </w:p>
    <w:p w14:paraId="7B878DC6" w14:textId="77777777" w:rsidR="00996EDE" w:rsidRPr="000C6FEB" w:rsidRDefault="00996EDE" w:rsidP="003D6D37">
      <w:pPr>
        <w:spacing w:after="15"/>
        <w:ind w:left="715" w:hanging="10"/>
        <w:rPr>
          <w:rFonts w:ascii="Abadi" w:hAnsi="Abadi"/>
          <w:sz w:val="21"/>
          <w:szCs w:val="21"/>
        </w:rPr>
      </w:pPr>
      <w:r w:rsidRPr="000C6FEB">
        <w:rPr>
          <w:rFonts w:ascii="Abadi" w:hAnsi="Abadi"/>
          <w:b/>
          <w:i/>
          <w:sz w:val="21"/>
          <w:szCs w:val="21"/>
        </w:rPr>
        <w:t xml:space="preserve">Atención insuficiente tras las colisiones. </w:t>
      </w:r>
    </w:p>
    <w:p w14:paraId="1A56E9C8" w14:textId="77777777" w:rsidR="00996EDE" w:rsidRPr="000C6FEB" w:rsidRDefault="00996EDE" w:rsidP="003D6D37">
      <w:pPr>
        <w:spacing w:after="20"/>
        <w:ind w:left="720"/>
        <w:rPr>
          <w:rFonts w:ascii="Abadi" w:hAnsi="Abadi"/>
          <w:sz w:val="21"/>
          <w:szCs w:val="21"/>
        </w:rPr>
      </w:pPr>
      <w:r w:rsidRPr="000C6FEB">
        <w:rPr>
          <w:rFonts w:ascii="Abadi" w:hAnsi="Abadi"/>
          <w:b/>
          <w:i/>
          <w:sz w:val="21"/>
          <w:szCs w:val="21"/>
        </w:rPr>
        <w:t xml:space="preserve"> </w:t>
      </w:r>
    </w:p>
    <w:p w14:paraId="13535315" w14:textId="77777777" w:rsidR="00996EDE" w:rsidRPr="000C6FEB" w:rsidRDefault="00996EDE" w:rsidP="003D6D37">
      <w:pPr>
        <w:spacing w:after="5"/>
        <w:ind w:left="715" w:right="692" w:hanging="10"/>
        <w:jc w:val="both"/>
        <w:rPr>
          <w:rFonts w:ascii="Abadi" w:hAnsi="Abadi"/>
          <w:sz w:val="21"/>
          <w:szCs w:val="21"/>
        </w:rPr>
      </w:pPr>
      <w:r w:rsidRPr="000C6FEB">
        <w:rPr>
          <w:rFonts w:ascii="Abadi" w:hAnsi="Abadi"/>
          <w:i/>
          <w:sz w:val="21"/>
          <w:szCs w:val="21"/>
        </w:rPr>
        <w:t xml:space="preserve">Las demoras para ofrecer asistencia y su prestación a las víctimas de las colisiones de tránsito aumentan la gravedad de las lesiones. La atención a estos traumatismos puede tener plazos críticos: unos pocos minutos de demora pueden impedir salvar una vida. Para mejorar la atención posterior a las colisiones es necesario asegurarse de que se da acceso a tiempo a la atención prehospitalaria y mejorar la calidad de la atención pre y </w:t>
      </w:r>
      <w:proofErr w:type="gramStart"/>
      <w:r w:rsidRPr="000C6FEB">
        <w:rPr>
          <w:rFonts w:ascii="Abadi" w:hAnsi="Abadi"/>
          <w:i/>
          <w:sz w:val="21"/>
          <w:szCs w:val="21"/>
        </w:rPr>
        <w:t xml:space="preserve">hospitalaria,  </w:t>
      </w:r>
      <w:r w:rsidRPr="000C6FEB">
        <w:rPr>
          <w:rFonts w:ascii="Abadi" w:hAnsi="Abadi"/>
          <w:i/>
          <w:sz w:val="21"/>
          <w:szCs w:val="21"/>
        </w:rPr>
        <w:tab/>
      </w:r>
      <w:proofErr w:type="gramEnd"/>
      <w:r w:rsidRPr="000C6FEB">
        <w:rPr>
          <w:rFonts w:ascii="Abadi" w:hAnsi="Abadi"/>
          <w:i/>
          <w:sz w:val="21"/>
          <w:szCs w:val="21"/>
        </w:rPr>
        <w:t xml:space="preserve">por </w:t>
      </w:r>
      <w:r>
        <w:rPr>
          <w:rFonts w:ascii="Abadi" w:hAnsi="Abadi"/>
          <w:i/>
          <w:sz w:val="21"/>
          <w:szCs w:val="21"/>
        </w:rPr>
        <w:t>e</w:t>
      </w:r>
      <w:r w:rsidRPr="000C6FEB">
        <w:rPr>
          <w:rFonts w:ascii="Abadi" w:hAnsi="Abadi"/>
          <w:i/>
          <w:sz w:val="21"/>
          <w:szCs w:val="21"/>
        </w:rPr>
        <w:t xml:space="preserve">jemplo, mediante programas de formación especializada. </w:t>
      </w:r>
    </w:p>
    <w:p w14:paraId="7EA713A8" w14:textId="77777777" w:rsidR="00996EDE" w:rsidRPr="000C6FEB" w:rsidRDefault="00996EDE" w:rsidP="003D6D37">
      <w:pPr>
        <w:spacing w:after="20"/>
        <w:ind w:left="720"/>
        <w:rPr>
          <w:rFonts w:ascii="Abadi" w:hAnsi="Abadi"/>
          <w:sz w:val="21"/>
          <w:szCs w:val="21"/>
        </w:rPr>
      </w:pPr>
      <w:r w:rsidRPr="000C6FEB">
        <w:rPr>
          <w:rFonts w:ascii="Abadi" w:hAnsi="Abadi"/>
          <w:i/>
          <w:sz w:val="21"/>
          <w:szCs w:val="21"/>
        </w:rPr>
        <w:t xml:space="preserve"> </w:t>
      </w:r>
    </w:p>
    <w:p w14:paraId="6AAA1BB9" w14:textId="77777777" w:rsidR="00996EDE" w:rsidRPr="000C6FEB" w:rsidRDefault="00996EDE" w:rsidP="003D6D37">
      <w:pPr>
        <w:spacing w:after="15"/>
        <w:ind w:left="715" w:hanging="10"/>
        <w:rPr>
          <w:rFonts w:ascii="Abadi" w:hAnsi="Abadi"/>
          <w:sz w:val="21"/>
          <w:szCs w:val="21"/>
        </w:rPr>
      </w:pPr>
      <w:r w:rsidRPr="000C6FEB">
        <w:rPr>
          <w:rFonts w:ascii="Abadi" w:hAnsi="Abadi"/>
          <w:b/>
          <w:i/>
          <w:sz w:val="21"/>
          <w:szCs w:val="21"/>
        </w:rPr>
        <w:t xml:space="preserve">Cumplimiento insuficiente de las normas de tránsito. </w:t>
      </w:r>
    </w:p>
    <w:p w14:paraId="1AF6869D" w14:textId="77777777" w:rsidR="00996EDE" w:rsidRPr="000C6FEB" w:rsidRDefault="00996EDE" w:rsidP="003D6D37">
      <w:pPr>
        <w:spacing w:after="20"/>
        <w:ind w:left="720"/>
        <w:rPr>
          <w:rFonts w:ascii="Abadi" w:hAnsi="Abadi"/>
          <w:sz w:val="21"/>
          <w:szCs w:val="21"/>
        </w:rPr>
      </w:pPr>
      <w:r w:rsidRPr="000C6FEB">
        <w:rPr>
          <w:rFonts w:ascii="Abadi" w:hAnsi="Abadi"/>
          <w:b/>
          <w:i/>
          <w:sz w:val="21"/>
          <w:szCs w:val="21"/>
        </w:rPr>
        <w:t xml:space="preserve"> </w:t>
      </w:r>
    </w:p>
    <w:p w14:paraId="7E96F8EB" w14:textId="77777777" w:rsidR="00996EDE" w:rsidRPr="000C6FEB" w:rsidRDefault="00996EDE" w:rsidP="003D6D37">
      <w:pPr>
        <w:spacing w:after="5"/>
        <w:ind w:left="715" w:right="692" w:hanging="10"/>
        <w:jc w:val="both"/>
        <w:rPr>
          <w:rFonts w:ascii="Abadi" w:hAnsi="Abadi"/>
          <w:sz w:val="21"/>
          <w:szCs w:val="21"/>
        </w:rPr>
      </w:pPr>
      <w:r w:rsidRPr="000C6FEB">
        <w:rPr>
          <w:rFonts w:ascii="Abadi" w:hAnsi="Abadi"/>
          <w:i/>
          <w:sz w:val="21"/>
          <w:szCs w:val="21"/>
        </w:rPr>
        <w:t xml:space="preserve">Si no se aplican las normas de tránsito que regulan la conducción bajo los efectos del alcohol, el uso del cinturón de seguridad, los límites de velocidad, el empleo de cascos y los sistemas de sujeción para niños, no se podrá lograr la reducción prevista de defunciones y traumatismos debidos al tránsito relacionados con comportamientos específicos. Por consiguiente, si no se hacen cumplir las normas de tránsito, o si se percibe que no se hacen cumplir, es probable que no se las respete y, consiguientemente, será muy poco probable que influyan en los comportamientos. </w:t>
      </w:r>
    </w:p>
    <w:p w14:paraId="00D83EF2" w14:textId="77777777" w:rsidR="00996EDE" w:rsidRPr="000C6FEB" w:rsidRDefault="00996EDE" w:rsidP="003D6D37">
      <w:pPr>
        <w:spacing w:after="20"/>
        <w:ind w:left="720"/>
        <w:rPr>
          <w:rFonts w:ascii="Abadi" w:hAnsi="Abadi"/>
          <w:sz w:val="21"/>
          <w:szCs w:val="21"/>
        </w:rPr>
      </w:pPr>
      <w:r w:rsidRPr="000C6FEB">
        <w:rPr>
          <w:rFonts w:ascii="Abadi" w:hAnsi="Abadi"/>
          <w:i/>
          <w:sz w:val="21"/>
          <w:szCs w:val="21"/>
        </w:rPr>
        <w:t xml:space="preserve"> </w:t>
      </w:r>
    </w:p>
    <w:p w14:paraId="02F368DD" w14:textId="77777777" w:rsidR="00996EDE" w:rsidRPr="000C6FEB" w:rsidRDefault="00996EDE" w:rsidP="003D6D37">
      <w:pPr>
        <w:spacing w:after="5"/>
        <w:ind w:left="715" w:right="692" w:hanging="10"/>
        <w:jc w:val="both"/>
        <w:rPr>
          <w:rFonts w:ascii="Abadi" w:hAnsi="Abadi"/>
          <w:sz w:val="21"/>
          <w:szCs w:val="21"/>
        </w:rPr>
      </w:pPr>
      <w:r w:rsidRPr="000C6FEB">
        <w:rPr>
          <w:rFonts w:ascii="Abadi" w:hAnsi="Abadi"/>
          <w:i/>
          <w:sz w:val="21"/>
          <w:szCs w:val="21"/>
        </w:rPr>
        <w:t xml:space="preserve">Para que estas normas se apliquen es preciso establecer, actualizar regularmente y aplicar normas de prevención de los factores de riesgo mencionados en los niveles nacional, municipal y local. Ello incluye también la definición de sanciones apropiadas. </w:t>
      </w:r>
    </w:p>
    <w:p w14:paraId="4F0A9A70" w14:textId="77777777" w:rsidR="00996EDE" w:rsidRPr="000C6FEB" w:rsidRDefault="00996EDE" w:rsidP="003D6D37">
      <w:pPr>
        <w:spacing w:after="22"/>
        <w:ind w:left="720"/>
        <w:rPr>
          <w:rFonts w:ascii="Abadi" w:hAnsi="Abadi"/>
          <w:sz w:val="21"/>
          <w:szCs w:val="21"/>
        </w:rPr>
      </w:pPr>
      <w:r w:rsidRPr="000C6FEB">
        <w:rPr>
          <w:rFonts w:ascii="Abadi" w:hAnsi="Abadi"/>
          <w:i/>
          <w:sz w:val="21"/>
          <w:szCs w:val="21"/>
        </w:rPr>
        <w:t xml:space="preserve"> </w:t>
      </w:r>
    </w:p>
    <w:p w14:paraId="64D389D8"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El 31 de agosto del año 2020 la Asamblea General de las Naciones Unidas emitió la resolución 74/299 denominada </w:t>
      </w:r>
      <w:r w:rsidRPr="000C6FEB">
        <w:rPr>
          <w:rFonts w:ascii="Abadi" w:hAnsi="Abadi"/>
          <w:i/>
          <w:sz w:val="21"/>
          <w:szCs w:val="21"/>
        </w:rPr>
        <w:t xml:space="preserve">Mejoramiento de la seguridad vial en el mundo, </w:t>
      </w:r>
      <w:r w:rsidRPr="000C6FEB">
        <w:rPr>
          <w:rFonts w:ascii="Abadi" w:hAnsi="Abadi"/>
          <w:sz w:val="21"/>
          <w:szCs w:val="21"/>
        </w:rPr>
        <w:t xml:space="preserve">de la que se derivó la implementación del </w:t>
      </w:r>
      <w:r w:rsidRPr="000C6FEB">
        <w:rPr>
          <w:rFonts w:ascii="Abadi" w:hAnsi="Abadi"/>
          <w:i/>
          <w:sz w:val="21"/>
          <w:szCs w:val="21"/>
        </w:rPr>
        <w:t xml:space="preserve">Decenio de Acción para la Seguridad Vial 2021-2030, </w:t>
      </w:r>
      <w:r w:rsidRPr="000C6FEB">
        <w:rPr>
          <w:rFonts w:ascii="Abadi" w:hAnsi="Abadi"/>
          <w:sz w:val="21"/>
          <w:szCs w:val="21"/>
        </w:rPr>
        <w:t xml:space="preserve">cuyo objetivo es prevenir al menos el 50% de las defunciones y traumatismos por colisiones de tránsito, en el año 2030. </w:t>
      </w:r>
    </w:p>
    <w:p w14:paraId="225C1C2E" w14:textId="77777777" w:rsidR="00996EDE" w:rsidRPr="000C6FEB" w:rsidRDefault="00996EDE" w:rsidP="003D6D37">
      <w:pPr>
        <w:ind w:left="-5" w:hanging="10"/>
        <w:jc w:val="both"/>
        <w:rPr>
          <w:rFonts w:ascii="Abadi" w:hAnsi="Abadi"/>
          <w:sz w:val="21"/>
          <w:szCs w:val="21"/>
        </w:rPr>
      </w:pPr>
    </w:p>
    <w:p w14:paraId="42B1DC17"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Mediante el </w:t>
      </w:r>
      <w:r w:rsidRPr="000C6FEB">
        <w:rPr>
          <w:rFonts w:ascii="Abadi" w:hAnsi="Abadi"/>
          <w:i/>
          <w:sz w:val="21"/>
          <w:szCs w:val="21"/>
        </w:rPr>
        <w:t>Plan Mundial para el Decenio de Acción para la Seguridad Vial</w:t>
      </w:r>
      <w:r w:rsidRPr="000C6FEB">
        <w:rPr>
          <w:rFonts w:ascii="Abadi" w:hAnsi="Abadi"/>
          <w:sz w:val="21"/>
          <w:szCs w:val="21"/>
        </w:rPr>
        <w:t xml:space="preserve"> se propone un enfoque holístico basado en mejorar el diseño de las ciudades, las carreteras y los vehículos, acompañado de perfeccionar las leyes y su aplicación, y mejorar la prestación de atención de emergencia, en forma oportuna a los heridos. Es así que es pertinente revisar y actualizar las leyes que tipifican el homicidio y lesiones que se ocasionan al conducir vehículos de motor, bajo el influjo de bebidas alcohólicas o de alguna droga. </w:t>
      </w:r>
    </w:p>
    <w:p w14:paraId="3C552DDB" w14:textId="77777777" w:rsidR="00996EDE" w:rsidRPr="000C6FEB" w:rsidRDefault="00996EDE" w:rsidP="003D6D37">
      <w:pPr>
        <w:rPr>
          <w:rFonts w:ascii="Abadi" w:hAnsi="Abadi"/>
          <w:sz w:val="21"/>
          <w:szCs w:val="21"/>
        </w:rPr>
      </w:pPr>
      <w:r w:rsidRPr="000C6FEB">
        <w:rPr>
          <w:rFonts w:ascii="Abadi" w:hAnsi="Abadi"/>
          <w:sz w:val="21"/>
          <w:szCs w:val="21"/>
        </w:rPr>
        <w:t xml:space="preserve"> </w:t>
      </w:r>
    </w:p>
    <w:p w14:paraId="2ACCF9AF"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Actualmente al considerarse delito culposo en la codificación penal de nuestro Estado, esto sirve de fundamento para permitir que quienes cometen este acto antisocial, lleven en libertad su proceso y en no pocos casos, que la pena impuesta sea conmutable, sin que en ningún momento el imputado sufra la privación de su libertad ni como prisión preventiva ni como sanción. </w:t>
      </w:r>
    </w:p>
    <w:p w14:paraId="14938139" w14:textId="77777777" w:rsidR="00996EDE" w:rsidRPr="000C6FEB" w:rsidRDefault="00996EDE" w:rsidP="003D6D37">
      <w:pPr>
        <w:rPr>
          <w:rFonts w:ascii="Abadi" w:hAnsi="Abadi"/>
          <w:sz w:val="21"/>
          <w:szCs w:val="21"/>
        </w:rPr>
      </w:pPr>
      <w:r w:rsidRPr="000C6FEB">
        <w:rPr>
          <w:rFonts w:ascii="Abadi" w:hAnsi="Abadi"/>
          <w:sz w:val="21"/>
          <w:szCs w:val="21"/>
        </w:rPr>
        <w:t xml:space="preserve"> </w:t>
      </w:r>
    </w:p>
    <w:p w14:paraId="79D12897"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Este tipo de delito culposo en diversos Códigos Penales de otras entidades federativas, como son el de la Ciudad de México y el del Estado de Nuevo León, está calificado como grave, lo que creemos adecuado debe en el caso de Guanajuato implementarse. </w:t>
      </w:r>
    </w:p>
    <w:p w14:paraId="680F3498" w14:textId="77777777" w:rsidR="00996EDE" w:rsidRPr="000C6FEB" w:rsidRDefault="00996EDE" w:rsidP="003D6D37">
      <w:pPr>
        <w:rPr>
          <w:rFonts w:ascii="Abadi" w:hAnsi="Abadi"/>
          <w:sz w:val="21"/>
          <w:szCs w:val="21"/>
        </w:rPr>
      </w:pPr>
      <w:r w:rsidRPr="000C6FEB">
        <w:rPr>
          <w:rFonts w:ascii="Abadi" w:hAnsi="Abadi"/>
          <w:sz w:val="21"/>
          <w:szCs w:val="21"/>
        </w:rPr>
        <w:t xml:space="preserve"> </w:t>
      </w:r>
    </w:p>
    <w:p w14:paraId="2A61A248"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Por otra parte consideramos conveniente el concepto que en esas codificaciones se utiliza de </w:t>
      </w:r>
      <w:r w:rsidRPr="000C6FEB">
        <w:rPr>
          <w:rFonts w:ascii="Abadi" w:hAnsi="Abadi"/>
          <w:i/>
          <w:sz w:val="21"/>
          <w:szCs w:val="21"/>
        </w:rPr>
        <w:t>“estado de alteración voluntario”</w:t>
      </w:r>
      <w:r w:rsidRPr="000C6FEB">
        <w:rPr>
          <w:rFonts w:ascii="Abadi" w:hAnsi="Abadi"/>
          <w:sz w:val="21"/>
          <w:szCs w:val="21"/>
        </w:rPr>
        <w:t xml:space="preserve"> que se </w:t>
      </w:r>
      <w:r w:rsidRPr="000C6FEB">
        <w:rPr>
          <w:rFonts w:ascii="Abadi" w:hAnsi="Abadi"/>
          <w:sz w:val="21"/>
          <w:szCs w:val="21"/>
        </w:rPr>
        <w:lastRenderedPageBreak/>
        <w:t xml:space="preserve">relaciona directamente con el estado de ebriedad o con el consumo de algún estupefaciente, psicotrópico o sustancia que produzca algún efecto de alteración en los sentidos, que por acción propia se realiza. </w:t>
      </w:r>
    </w:p>
    <w:p w14:paraId="7E9B6FAE" w14:textId="77777777" w:rsidR="00996EDE" w:rsidRPr="000C6FEB" w:rsidRDefault="00996EDE" w:rsidP="003D6D37">
      <w:pPr>
        <w:tabs>
          <w:tab w:val="right" w:pos="10388"/>
        </w:tabs>
        <w:ind w:left="-15"/>
        <w:rPr>
          <w:rFonts w:ascii="Abadi" w:hAnsi="Abadi"/>
          <w:sz w:val="21"/>
          <w:szCs w:val="21"/>
        </w:rPr>
      </w:pPr>
      <w:r w:rsidRPr="000C6FEB">
        <w:rPr>
          <w:rFonts w:ascii="Abadi" w:hAnsi="Abadi"/>
          <w:sz w:val="21"/>
          <w:szCs w:val="21"/>
        </w:rPr>
        <w:tab/>
      </w:r>
    </w:p>
    <w:p w14:paraId="2C186A03"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Así mismo, estimamos necesario establecer la medición de ebriedad, conforme a parámetros para medición de alcohol en sangre y por otra parte presente en aliento, para cubrir ambas posibilidades de evaluación, adicionalmente de la posibilidad de su determinación por medio de diagnóstico clínico, realizado por un profesional médico, para dotar de certidumbre la evaluación de los hechos. </w:t>
      </w:r>
    </w:p>
    <w:p w14:paraId="3FA7BC0C" w14:textId="77777777" w:rsidR="00996EDE" w:rsidRPr="000C6FEB" w:rsidRDefault="00996EDE" w:rsidP="003D6D37">
      <w:pPr>
        <w:rPr>
          <w:rFonts w:ascii="Abadi" w:hAnsi="Abadi"/>
          <w:sz w:val="21"/>
          <w:szCs w:val="21"/>
        </w:rPr>
      </w:pPr>
      <w:r w:rsidRPr="000C6FEB">
        <w:rPr>
          <w:rFonts w:ascii="Abadi" w:hAnsi="Abadi"/>
          <w:sz w:val="21"/>
          <w:szCs w:val="21"/>
        </w:rPr>
        <w:t xml:space="preserve"> </w:t>
      </w:r>
    </w:p>
    <w:p w14:paraId="20E5F2BA" w14:textId="77777777" w:rsidR="00996EDE" w:rsidRPr="000C6FEB" w:rsidRDefault="00996EDE" w:rsidP="003D6D37">
      <w:pPr>
        <w:ind w:left="-5" w:hanging="10"/>
        <w:jc w:val="both"/>
        <w:rPr>
          <w:rFonts w:ascii="Abadi" w:hAnsi="Abadi"/>
          <w:sz w:val="21"/>
          <w:szCs w:val="21"/>
        </w:rPr>
      </w:pPr>
      <w:r w:rsidRPr="000C6FEB">
        <w:rPr>
          <w:rFonts w:ascii="Abadi" w:hAnsi="Abadi"/>
          <w:sz w:val="21"/>
          <w:szCs w:val="21"/>
        </w:rPr>
        <w:t xml:space="preserve">De acuerdo al </w:t>
      </w:r>
      <w:r w:rsidRPr="000C6FEB">
        <w:rPr>
          <w:rFonts w:ascii="Abadi" w:hAnsi="Abadi"/>
          <w:i/>
          <w:sz w:val="21"/>
          <w:szCs w:val="21"/>
        </w:rPr>
        <w:t>Programa Nacional de Alcoholimetría</w:t>
      </w:r>
      <w:r w:rsidRPr="000C6FEB">
        <w:rPr>
          <w:rFonts w:ascii="Abadi" w:hAnsi="Abadi"/>
          <w:sz w:val="21"/>
          <w:szCs w:val="21"/>
        </w:rPr>
        <w:t xml:space="preserve"> se ha establecido la siguiente equivalencia de concentración de alcohol para </w:t>
      </w:r>
      <w:proofErr w:type="gramStart"/>
      <w:r w:rsidRPr="000C6FEB">
        <w:rPr>
          <w:rFonts w:ascii="Abadi" w:hAnsi="Abadi"/>
          <w:sz w:val="21"/>
          <w:szCs w:val="21"/>
        </w:rPr>
        <w:t>mediciones  en</w:t>
      </w:r>
      <w:proofErr w:type="gramEnd"/>
      <w:r w:rsidRPr="000C6FEB">
        <w:rPr>
          <w:rFonts w:ascii="Abadi" w:hAnsi="Abadi"/>
          <w:sz w:val="21"/>
          <w:szCs w:val="21"/>
        </w:rPr>
        <w:t xml:space="preserve"> sangre y aliento. </w:t>
      </w:r>
    </w:p>
    <w:p w14:paraId="309D7F4C" w14:textId="77777777" w:rsidR="00996EDE" w:rsidRPr="000C6FEB" w:rsidRDefault="00996EDE" w:rsidP="003D6D37">
      <w:pPr>
        <w:spacing w:after="20"/>
        <w:rPr>
          <w:rFonts w:ascii="Abadi" w:hAnsi="Abadi"/>
          <w:sz w:val="21"/>
          <w:szCs w:val="21"/>
        </w:rPr>
      </w:pPr>
      <w:r w:rsidRPr="000C6FEB">
        <w:rPr>
          <w:rFonts w:ascii="Abadi" w:hAnsi="Abadi"/>
          <w:sz w:val="21"/>
          <w:szCs w:val="21"/>
        </w:rPr>
        <w:t xml:space="preserve"> </w:t>
      </w:r>
    </w:p>
    <w:p w14:paraId="25294327" w14:textId="77777777" w:rsidR="00996EDE" w:rsidRPr="000C6FEB" w:rsidRDefault="00996EDE" w:rsidP="003D6D37">
      <w:pPr>
        <w:spacing w:after="10"/>
        <w:ind w:left="-5" w:hanging="10"/>
        <w:jc w:val="both"/>
        <w:rPr>
          <w:rFonts w:ascii="Abadi" w:hAnsi="Abadi"/>
          <w:sz w:val="21"/>
          <w:szCs w:val="21"/>
        </w:rPr>
      </w:pPr>
      <w:r w:rsidRPr="000C6FEB">
        <w:rPr>
          <w:rFonts w:ascii="Abadi" w:hAnsi="Abadi"/>
          <w:sz w:val="21"/>
          <w:szCs w:val="21"/>
        </w:rPr>
        <w:t xml:space="preserve">En esta se observan las medidas para sangre </w:t>
      </w:r>
      <w:r w:rsidRPr="000C6FEB">
        <w:rPr>
          <w:rFonts w:ascii="Abadi" w:hAnsi="Abadi"/>
          <w:i/>
          <w:sz w:val="21"/>
          <w:szCs w:val="21"/>
        </w:rPr>
        <w:t>BAC</w:t>
      </w:r>
      <w:r w:rsidRPr="000C6FEB">
        <w:rPr>
          <w:rFonts w:ascii="Abadi" w:hAnsi="Abadi"/>
          <w:sz w:val="21"/>
          <w:szCs w:val="21"/>
        </w:rPr>
        <w:t xml:space="preserve"> por sus siglas en inglés, que sirve para medir la concentración de alcohol en la sangre (%BAC), y la medida de gramos de alcohol en un litro de sangre (g/L). </w:t>
      </w:r>
    </w:p>
    <w:p w14:paraId="3B020004" w14:textId="77777777" w:rsidR="00996EDE" w:rsidRPr="000C6FEB" w:rsidRDefault="00996EDE" w:rsidP="003D6D37">
      <w:pPr>
        <w:spacing w:after="20"/>
        <w:rPr>
          <w:rFonts w:ascii="Abadi" w:hAnsi="Abadi"/>
          <w:sz w:val="21"/>
          <w:szCs w:val="21"/>
        </w:rPr>
      </w:pPr>
      <w:r w:rsidRPr="000C6FEB">
        <w:rPr>
          <w:rFonts w:ascii="Abadi" w:hAnsi="Abadi"/>
          <w:sz w:val="21"/>
          <w:szCs w:val="21"/>
        </w:rPr>
        <w:t xml:space="preserve"> </w:t>
      </w:r>
    </w:p>
    <w:p w14:paraId="56C772EB" w14:textId="77777777" w:rsidR="00996EDE" w:rsidRPr="000C6FEB" w:rsidRDefault="00996EDE" w:rsidP="003D6D37">
      <w:pPr>
        <w:spacing w:after="10"/>
        <w:ind w:left="-5" w:right="142" w:hanging="10"/>
        <w:jc w:val="both"/>
        <w:rPr>
          <w:rFonts w:ascii="Abadi" w:hAnsi="Abadi"/>
          <w:sz w:val="21"/>
          <w:szCs w:val="21"/>
        </w:rPr>
      </w:pPr>
      <w:r w:rsidRPr="000C6FEB">
        <w:rPr>
          <w:rFonts w:ascii="Abadi" w:hAnsi="Abadi"/>
          <w:sz w:val="21"/>
          <w:szCs w:val="21"/>
        </w:rPr>
        <w:t xml:space="preserve">En lo que respecta a mediciones de alcohol en aliento, se tiene la que expresa miligramos de alcohol en un litro de aire espirado (mg/L), y </w:t>
      </w:r>
      <w:proofErr w:type="gramStart"/>
      <w:r w:rsidRPr="000C6FEB">
        <w:rPr>
          <w:rFonts w:ascii="Abadi" w:hAnsi="Abadi"/>
          <w:sz w:val="21"/>
          <w:szCs w:val="21"/>
        </w:rPr>
        <w:t>la  que</w:t>
      </w:r>
      <w:proofErr w:type="gramEnd"/>
      <w:r w:rsidRPr="000C6FEB">
        <w:rPr>
          <w:rFonts w:ascii="Abadi" w:hAnsi="Abadi"/>
          <w:sz w:val="21"/>
          <w:szCs w:val="21"/>
        </w:rPr>
        <w:t xml:space="preserve"> mide gramos de alcohol en 210 litros de aire espirado (G/210L). </w:t>
      </w:r>
    </w:p>
    <w:p w14:paraId="77B14FA0" w14:textId="77777777" w:rsidR="00E353E4" w:rsidRPr="000C6FEB" w:rsidRDefault="00E353E4" w:rsidP="003D6D37">
      <w:pPr>
        <w:spacing w:after="15"/>
        <w:rPr>
          <w:rFonts w:ascii="Abadi" w:hAnsi="Abadi"/>
          <w:sz w:val="21"/>
          <w:szCs w:val="21"/>
        </w:rPr>
      </w:pPr>
    </w:p>
    <w:p w14:paraId="5A5426E9" w14:textId="40243E9A" w:rsidR="001C5EDF" w:rsidRPr="00455FEA" w:rsidRDefault="00996EDE" w:rsidP="003D6D37">
      <w:pPr>
        <w:autoSpaceDE w:val="0"/>
        <w:autoSpaceDN w:val="0"/>
        <w:adjustRightInd w:val="0"/>
        <w:contextualSpacing/>
        <w:jc w:val="both"/>
        <w:rPr>
          <w:rFonts w:ascii="Abadi" w:hAnsi="Abadi" w:cs="ArialMT"/>
          <w:b/>
          <w:bCs/>
          <w:sz w:val="21"/>
          <w:szCs w:val="21"/>
        </w:rPr>
      </w:pPr>
      <w:r w:rsidRPr="00983277">
        <w:rPr>
          <w:rFonts w:ascii="Abadi" w:hAnsi="Abadi" w:cs="ArialMT"/>
          <w:b/>
          <w:bCs/>
          <w:noProof/>
          <w:sz w:val="21"/>
          <w:szCs w:val="21"/>
        </w:rPr>
        <w:drawing>
          <wp:inline distT="0" distB="0" distL="0" distR="0" wp14:anchorId="49827DF9" wp14:editId="28E52C99">
            <wp:extent cx="2610485" cy="1431925"/>
            <wp:effectExtent l="0" t="0" r="0" b="0"/>
            <wp:docPr id="1207392833" name="Imagen 1207392833" descr="Tabla&#10;&#10;Descripción generada automáticamente con confianza media">
              <a:extLst xmlns:a="http://schemas.openxmlformats.org/drawingml/2006/main">
                <a:ext uri="{FF2B5EF4-FFF2-40B4-BE49-F238E27FC236}">
                  <a16:creationId xmlns:a16="http://schemas.microsoft.com/office/drawing/2014/main" id="{F8A67CB2-9632-6F76-8127-D6BABE4001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392833" name="Imagen 1207392833" descr="Tabla&#10;&#10;Descripción generada automáticamente con confianza media">
                      <a:extLst>
                        <a:ext uri="{FF2B5EF4-FFF2-40B4-BE49-F238E27FC236}">
                          <a16:creationId xmlns:a16="http://schemas.microsoft.com/office/drawing/2014/main" id="{F8A67CB2-9632-6F76-8127-D6BABE400105}"/>
                        </a:ext>
                      </a:extLst>
                    </pic:cNvPr>
                    <pic:cNvPicPr>
                      <a:picLocks noChangeAspect="1"/>
                    </pic:cNvPicPr>
                  </pic:nvPicPr>
                  <pic:blipFill rotWithShape="1">
                    <a:blip r:embed="rId27"/>
                    <a:srcRect l="12500" t="18652" r="14731" b="10339"/>
                    <a:stretch/>
                  </pic:blipFill>
                  <pic:spPr>
                    <a:xfrm>
                      <a:off x="0" y="0"/>
                      <a:ext cx="2610485" cy="1431925"/>
                    </a:xfrm>
                    <a:prstGeom prst="rect">
                      <a:avLst/>
                    </a:prstGeom>
                  </pic:spPr>
                </pic:pic>
              </a:graphicData>
            </a:graphic>
          </wp:inline>
        </w:drawing>
      </w:r>
    </w:p>
    <w:p w14:paraId="259F0767" w14:textId="77777777" w:rsidR="00374533" w:rsidRDefault="00374533" w:rsidP="003D6D37">
      <w:pPr>
        <w:autoSpaceDE w:val="0"/>
        <w:autoSpaceDN w:val="0"/>
        <w:adjustRightInd w:val="0"/>
        <w:jc w:val="both"/>
        <w:rPr>
          <w:rFonts w:ascii="Abadi" w:hAnsi="Abadi" w:cs="ArialMT"/>
          <w:b/>
          <w:bCs/>
          <w:sz w:val="21"/>
          <w:szCs w:val="21"/>
        </w:rPr>
      </w:pPr>
    </w:p>
    <w:p w14:paraId="55962749" w14:textId="77777777" w:rsidR="008F0963" w:rsidRDefault="008F0963" w:rsidP="003D6D37">
      <w:pPr>
        <w:autoSpaceDE w:val="0"/>
        <w:autoSpaceDN w:val="0"/>
        <w:adjustRightInd w:val="0"/>
        <w:jc w:val="both"/>
        <w:rPr>
          <w:rFonts w:ascii="Abadi" w:hAnsi="Abadi" w:cs="ArialMT"/>
          <w:b/>
          <w:bCs/>
          <w:sz w:val="21"/>
          <w:szCs w:val="21"/>
        </w:rPr>
      </w:pPr>
    </w:p>
    <w:p w14:paraId="20764717" w14:textId="77777777" w:rsidR="008F0963" w:rsidRDefault="008F0963" w:rsidP="003D6D37">
      <w:pPr>
        <w:autoSpaceDE w:val="0"/>
        <w:autoSpaceDN w:val="0"/>
        <w:adjustRightInd w:val="0"/>
        <w:jc w:val="both"/>
        <w:rPr>
          <w:rFonts w:ascii="Abadi" w:hAnsi="Abadi" w:cs="ArialMT"/>
          <w:b/>
          <w:bCs/>
          <w:sz w:val="21"/>
          <w:szCs w:val="21"/>
        </w:rPr>
      </w:pPr>
    </w:p>
    <w:p w14:paraId="4FC3A47C" w14:textId="77777777" w:rsidR="00D60463" w:rsidRPr="000C6FEB" w:rsidRDefault="00D60463" w:rsidP="003D6D37">
      <w:pPr>
        <w:spacing w:after="10"/>
        <w:ind w:left="-5" w:hanging="10"/>
        <w:jc w:val="both"/>
        <w:rPr>
          <w:rFonts w:ascii="Abadi" w:hAnsi="Abadi"/>
          <w:sz w:val="21"/>
          <w:szCs w:val="21"/>
        </w:rPr>
      </w:pPr>
      <w:r w:rsidRPr="000C6FEB">
        <w:rPr>
          <w:rFonts w:ascii="Abadi" w:hAnsi="Abadi"/>
          <w:sz w:val="21"/>
          <w:szCs w:val="21"/>
        </w:rPr>
        <w:t xml:space="preserve">Aunque no existe aún como norma establecida y en cada codificación administrativa o penal pueden encontrarse establecidos rangos de referencia diferentes para implementar sanciones, la que más generalmente se ha aceptado es la que se ilustra sobre la tabla anterior, en base </w:t>
      </w:r>
      <w:proofErr w:type="gramStart"/>
      <w:r w:rsidRPr="000C6FEB">
        <w:rPr>
          <w:rFonts w:ascii="Abadi" w:hAnsi="Abadi"/>
          <w:sz w:val="21"/>
          <w:szCs w:val="21"/>
        </w:rPr>
        <w:t>a  considerar</w:t>
      </w:r>
      <w:proofErr w:type="gramEnd"/>
      <w:r w:rsidRPr="000C6FEB">
        <w:rPr>
          <w:rFonts w:ascii="Abadi" w:hAnsi="Abadi"/>
          <w:sz w:val="21"/>
          <w:szCs w:val="21"/>
        </w:rPr>
        <w:t xml:space="preserve"> que se presenta aliento alcohólico, se tiene una embriaguez </w:t>
      </w:r>
      <w:r w:rsidRPr="000C6FEB">
        <w:rPr>
          <w:rFonts w:ascii="Abadi" w:hAnsi="Abadi"/>
          <w:sz w:val="21"/>
          <w:szCs w:val="21"/>
        </w:rPr>
        <w:t xml:space="preserve">incompleta o completa, y en base a estos, se determina la no aptitud para conducir. </w:t>
      </w:r>
      <w:r w:rsidRPr="000C6FEB">
        <w:rPr>
          <w:rFonts w:ascii="Abadi" w:hAnsi="Abadi"/>
          <w:sz w:val="21"/>
          <w:szCs w:val="21"/>
        </w:rPr>
        <w:tab/>
      </w:r>
      <w:r w:rsidRPr="000C6FEB">
        <w:rPr>
          <w:rFonts w:ascii="Abadi" w:eastAsia="Cambria" w:hAnsi="Abadi" w:cs="Cambria"/>
          <w:sz w:val="21"/>
          <w:szCs w:val="21"/>
        </w:rPr>
        <w:t xml:space="preserve"> </w:t>
      </w:r>
    </w:p>
    <w:p w14:paraId="1F89F733" w14:textId="77777777" w:rsidR="00D60463" w:rsidRPr="000C6FEB" w:rsidRDefault="00D60463" w:rsidP="003D6D37">
      <w:pPr>
        <w:spacing w:after="20"/>
        <w:rPr>
          <w:rFonts w:ascii="Abadi" w:hAnsi="Abadi"/>
          <w:sz w:val="21"/>
          <w:szCs w:val="21"/>
        </w:rPr>
      </w:pPr>
      <w:r w:rsidRPr="000C6FEB">
        <w:rPr>
          <w:rFonts w:ascii="Abadi" w:hAnsi="Abadi"/>
          <w:sz w:val="21"/>
          <w:szCs w:val="21"/>
        </w:rPr>
        <w:t xml:space="preserve"> </w:t>
      </w:r>
    </w:p>
    <w:p w14:paraId="0ADD2451" w14:textId="77777777" w:rsidR="00D60463" w:rsidRPr="000C6FEB" w:rsidRDefault="00D60463" w:rsidP="003D6D37">
      <w:pPr>
        <w:spacing w:after="10"/>
        <w:ind w:left="-5" w:hanging="10"/>
        <w:jc w:val="both"/>
        <w:rPr>
          <w:rFonts w:ascii="Abadi" w:hAnsi="Abadi"/>
          <w:sz w:val="21"/>
          <w:szCs w:val="21"/>
        </w:rPr>
      </w:pPr>
      <w:r w:rsidRPr="000C6FEB">
        <w:rPr>
          <w:rFonts w:ascii="Abadi" w:hAnsi="Abadi"/>
          <w:sz w:val="21"/>
          <w:szCs w:val="21"/>
        </w:rPr>
        <w:t xml:space="preserve">Con base en lo expuesto se promueve la presente iniciativa. </w:t>
      </w:r>
    </w:p>
    <w:p w14:paraId="60C6E129" w14:textId="77777777" w:rsidR="00D60463" w:rsidRPr="000C6FEB" w:rsidRDefault="00D60463" w:rsidP="003D6D37">
      <w:pPr>
        <w:spacing w:after="20"/>
        <w:rPr>
          <w:rFonts w:ascii="Abadi" w:hAnsi="Abadi"/>
          <w:sz w:val="21"/>
          <w:szCs w:val="21"/>
        </w:rPr>
      </w:pPr>
      <w:r w:rsidRPr="000C6FEB">
        <w:rPr>
          <w:rFonts w:ascii="Abadi" w:hAnsi="Abadi"/>
          <w:sz w:val="21"/>
          <w:szCs w:val="21"/>
        </w:rPr>
        <w:t xml:space="preserve"> </w:t>
      </w:r>
    </w:p>
    <w:p w14:paraId="48B8C267" w14:textId="77777777" w:rsidR="00D60463" w:rsidRPr="000C6FEB" w:rsidRDefault="00D60463" w:rsidP="003D6D37">
      <w:pPr>
        <w:spacing w:after="10"/>
        <w:ind w:left="-5" w:hanging="10"/>
        <w:jc w:val="both"/>
        <w:rPr>
          <w:rFonts w:ascii="Abadi" w:hAnsi="Abadi"/>
          <w:sz w:val="21"/>
          <w:szCs w:val="21"/>
        </w:rPr>
      </w:pPr>
      <w:r w:rsidRPr="000C6FEB">
        <w:rPr>
          <w:rFonts w:ascii="Abadi" w:hAnsi="Abadi"/>
          <w:sz w:val="21"/>
          <w:szCs w:val="21"/>
        </w:rPr>
        <w:t xml:space="preserve">A efecto de satisfacer lo establecido en el artículo 209 de la Ley Orgánica del Poder Legislativo del Estrado de Guanajuato, por lo que hace a: </w:t>
      </w:r>
    </w:p>
    <w:p w14:paraId="7306C175" w14:textId="77777777" w:rsidR="00D60463" w:rsidRPr="000C6FEB" w:rsidRDefault="00D60463" w:rsidP="003D6D37">
      <w:pPr>
        <w:spacing w:after="20"/>
        <w:rPr>
          <w:rFonts w:ascii="Abadi" w:hAnsi="Abadi"/>
          <w:sz w:val="21"/>
          <w:szCs w:val="21"/>
        </w:rPr>
      </w:pPr>
      <w:r w:rsidRPr="000C6FEB">
        <w:rPr>
          <w:rFonts w:ascii="Abadi" w:hAnsi="Abadi"/>
          <w:sz w:val="21"/>
          <w:szCs w:val="21"/>
        </w:rPr>
        <w:t xml:space="preserve"> </w:t>
      </w:r>
    </w:p>
    <w:p w14:paraId="65388FC0" w14:textId="77777777" w:rsidR="00D60463" w:rsidRPr="000C6FEB" w:rsidRDefault="00D60463" w:rsidP="003D6D37">
      <w:pPr>
        <w:spacing w:after="10"/>
        <w:ind w:left="-5" w:hanging="10"/>
        <w:jc w:val="both"/>
        <w:rPr>
          <w:rFonts w:ascii="Abadi" w:hAnsi="Abadi"/>
          <w:sz w:val="21"/>
          <w:szCs w:val="21"/>
        </w:rPr>
      </w:pPr>
      <w:r w:rsidRPr="000C6FEB">
        <w:rPr>
          <w:rFonts w:ascii="Abadi" w:hAnsi="Abadi"/>
          <w:b/>
          <w:sz w:val="21"/>
          <w:szCs w:val="21"/>
        </w:rPr>
        <w:t>IMPACTO JURÍDICO:</w:t>
      </w:r>
      <w:r w:rsidRPr="000C6FEB">
        <w:rPr>
          <w:rFonts w:ascii="Abadi" w:hAnsi="Abadi"/>
          <w:sz w:val="21"/>
          <w:szCs w:val="21"/>
        </w:rPr>
        <w:t xml:space="preserve"> se adiciona una fracción XXV al artículo 11, una fracción VIII al artículo 153 del </w:t>
      </w:r>
      <w:r w:rsidRPr="000C6FEB">
        <w:rPr>
          <w:rFonts w:ascii="Abadi" w:hAnsi="Abadi"/>
          <w:i/>
          <w:sz w:val="21"/>
          <w:szCs w:val="21"/>
        </w:rPr>
        <w:t>Código Penal del Estado de Guanajuato</w:t>
      </w:r>
      <w:r w:rsidRPr="000C6FEB">
        <w:rPr>
          <w:rFonts w:ascii="Abadi" w:hAnsi="Abadi"/>
          <w:sz w:val="21"/>
          <w:szCs w:val="21"/>
        </w:rPr>
        <w:t xml:space="preserve"> y se reforman los artículos 154 y 154-a de ese cuerpo normativo. </w:t>
      </w:r>
    </w:p>
    <w:p w14:paraId="45EFA878" w14:textId="77777777" w:rsidR="00D60463" w:rsidRPr="000C6FEB" w:rsidRDefault="00D60463" w:rsidP="003D6D37">
      <w:pPr>
        <w:spacing w:after="20"/>
        <w:rPr>
          <w:rFonts w:ascii="Abadi" w:hAnsi="Abadi"/>
          <w:sz w:val="21"/>
          <w:szCs w:val="21"/>
        </w:rPr>
      </w:pPr>
      <w:r w:rsidRPr="000C6FEB">
        <w:rPr>
          <w:rFonts w:ascii="Abadi" w:hAnsi="Abadi"/>
          <w:sz w:val="21"/>
          <w:szCs w:val="21"/>
        </w:rPr>
        <w:t xml:space="preserve"> </w:t>
      </w:r>
    </w:p>
    <w:p w14:paraId="161ED6C4" w14:textId="77777777" w:rsidR="00D60463" w:rsidRPr="000C6FEB" w:rsidRDefault="00D60463" w:rsidP="003D6D37">
      <w:pPr>
        <w:spacing w:after="209"/>
        <w:ind w:left="-5" w:hanging="10"/>
        <w:jc w:val="both"/>
        <w:rPr>
          <w:rFonts w:ascii="Abadi" w:hAnsi="Abadi"/>
          <w:sz w:val="21"/>
          <w:szCs w:val="21"/>
        </w:rPr>
      </w:pPr>
      <w:r w:rsidRPr="000C6FEB">
        <w:rPr>
          <w:rFonts w:ascii="Abadi" w:hAnsi="Abadi"/>
          <w:b/>
          <w:sz w:val="21"/>
          <w:szCs w:val="21"/>
        </w:rPr>
        <w:t>IMPACTO ADMINISTRATIVO:</w:t>
      </w:r>
      <w:r w:rsidRPr="000C6FEB">
        <w:rPr>
          <w:rFonts w:ascii="Abadi" w:hAnsi="Abadi"/>
          <w:sz w:val="21"/>
          <w:szCs w:val="21"/>
        </w:rPr>
        <w:t xml:space="preserve"> dada la naturaleza de la presente iniciativa, no existe impacto administrativo alguno.  </w:t>
      </w:r>
    </w:p>
    <w:p w14:paraId="3821E882" w14:textId="77777777" w:rsidR="00D60463" w:rsidRPr="000C6FEB" w:rsidRDefault="00D60463" w:rsidP="003D6D37">
      <w:pPr>
        <w:spacing w:after="212"/>
        <w:ind w:left="-5" w:hanging="10"/>
        <w:jc w:val="both"/>
        <w:rPr>
          <w:rFonts w:ascii="Abadi" w:hAnsi="Abadi"/>
          <w:sz w:val="21"/>
          <w:szCs w:val="21"/>
        </w:rPr>
      </w:pPr>
      <w:r w:rsidRPr="000C6FEB">
        <w:rPr>
          <w:rFonts w:ascii="Abadi" w:hAnsi="Abadi"/>
          <w:b/>
          <w:sz w:val="21"/>
          <w:szCs w:val="21"/>
        </w:rPr>
        <w:t xml:space="preserve">IMPACTO PRESUPUESTARIO: </w:t>
      </w:r>
      <w:r w:rsidRPr="000C6FEB">
        <w:rPr>
          <w:rFonts w:ascii="Abadi" w:hAnsi="Abadi"/>
          <w:sz w:val="21"/>
          <w:szCs w:val="21"/>
        </w:rPr>
        <w:t xml:space="preserve">no existe impacto presupuestal con esta iniciativa. </w:t>
      </w:r>
    </w:p>
    <w:p w14:paraId="07E18BC3" w14:textId="77777777" w:rsidR="00D60463" w:rsidRPr="000C6FEB" w:rsidRDefault="00D60463" w:rsidP="003D6D37">
      <w:pPr>
        <w:spacing w:after="10"/>
        <w:ind w:left="-5" w:hanging="10"/>
        <w:jc w:val="both"/>
        <w:rPr>
          <w:rFonts w:ascii="Abadi" w:hAnsi="Abadi"/>
          <w:sz w:val="21"/>
          <w:szCs w:val="21"/>
        </w:rPr>
      </w:pPr>
      <w:r w:rsidRPr="000C6FEB">
        <w:rPr>
          <w:rFonts w:ascii="Abadi" w:hAnsi="Abadi"/>
          <w:b/>
          <w:sz w:val="21"/>
          <w:szCs w:val="21"/>
        </w:rPr>
        <w:t xml:space="preserve">IMPACTO SOCIAL: </w:t>
      </w:r>
      <w:r w:rsidRPr="000C6FEB">
        <w:rPr>
          <w:rFonts w:ascii="Abadi" w:hAnsi="Abadi"/>
          <w:sz w:val="21"/>
          <w:szCs w:val="21"/>
        </w:rPr>
        <w:t xml:space="preserve">se incorpora como delito grave y calificado el homicidio y lesiones que se cometen bajo un estado de alteración voluntaria, ocasionado por la ingesta de bebidas alcohólicas o por influjo de estupefacientes o psicotrópicos u otras sustancias químicas que tengan efectos similares al ser ingeridos. </w:t>
      </w:r>
    </w:p>
    <w:p w14:paraId="72BB64B8" w14:textId="77777777" w:rsidR="00D60463" w:rsidRPr="000C6FEB" w:rsidRDefault="00D60463" w:rsidP="003D6D37">
      <w:pPr>
        <w:spacing w:after="10"/>
        <w:ind w:left="-5" w:right="693" w:hanging="10"/>
        <w:jc w:val="both"/>
        <w:rPr>
          <w:rFonts w:ascii="Abadi" w:hAnsi="Abadi"/>
          <w:sz w:val="21"/>
          <w:szCs w:val="21"/>
        </w:rPr>
      </w:pPr>
    </w:p>
    <w:p w14:paraId="1A13DF7B" w14:textId="77777777" w:rsidR="00D60463" w:rsidRPr="000C6FEB" w:rsidRDefault="00D60463" w:rsidP="003D6D37">
      <w:pPr>
        <w:spacing w:after="209"/>
        <w:ind w:left="-5" w:hanging="10"/>
        <w:jc w:val="both"/>
        <w:rPr>
          <w:rFonts w:ascii="Abadi" w:hAnsi="Abadi"/>
          <w:sz w:val="21"/>
          <w:szCs w:val="21"/>
        </w:rPr>
      </w:pPr>
      <w:r w:rsidRPr="000C6FEB">
        <w:rPr>
          <w:rFonts w:ascii="Abadi" w:hAnsi="Abadi"/>
          <w:sz w:val="21"/>
          <w:szCs w:val="21"/>
        </w:rPr>
        <w:t xml:space="preserve">Por lo anteriormente expuesto y fundado, me permito someter a consideración de este Pleno, para su aprobación, el siguiente: </w:t>
      </w:r>
    </w:p>
    <w:p w14:paraId="0771363F" w14:textId="77777777" w:rsidR="00D60463" w:rsidRPr="000C6FEB" w:rsidRDefault="00D60463" w:rsidP="003D6D37">
      <w:pPr>
        <w:spacing w:after="219"/>
        <w:ind w:left="10" w:right="699" w:hanging="10"/>
        <w:jc w:val="center"/>
        <w:rPr>
          <w:rFonts w:ascii="Abadi" w:hAnsi="Abadi"/>
          <w:sz w:val="21"/>
          <w:szCs w:val="21"/>
        </w:rPr>
      </w:pPr>
      <w:r w:rsidRPr="000C6FEB">
        <w:rPr>
          <w:rFonts w:ascii="Abadi" w:hAnsi="Abadi"/>
          <w:b/>
          <w:sz w:val="21"/>
          <w:szCs w:val="21"/>
        </w:rPr>
        <w:t xml:space="preserve">D E C R E T O: </w:t>
      </w:r>
    </w:p>
    <w:p w14:paraId="1D3ACA15" w14:textId="77777777" w:rsidR="00D60463" w:rsidRPr="000C6FEB" w:rsidRDefault="00D60463" w:rsidP="003D6D37">
      <w:pPr>
        <w:spacing w:after="208"/>
        <w:ind w:left="-5" w:hanging="10"/>
        <w:jc w:val="both"/>
        <w:rPr>
          <w:rFonts w:ascii="Abadi" w:hAnsi="Abadi"/>
          <w:sz w:val="21"/>
          <w:szCs w:val="21"/>
        </w:rPr>
      </w:pPr>
      <w:r w:rsidRPr="000C6FEB">
        <w:rPr>
          <w:rFonts w:ascii="Abadi" w:hAnsi="Abadi"/>
          <w:b/>
          <w:sz w:val="21"/>
          <w:szCs w:val="21"/>
        </w:rPr>
        <w:t xml:space="preserve">Artículo </w:t>
      </w:r>
      <w:proofErr w:type="gramStart"/>
      <w:r w:rsidRPr="000C6FEB">
        <w:rPr>
          <w:rFonts w:ascii="Abadi" w:hAnsi="Abadi"/>
          <w:b/>
          <w:sz w:val="21"/>
          <w:szCs w:val="21"/>
        </w:rPr>
        <w:t>único.-</w:t>
      </w:r>
      <w:proofErr w:type="gramEnd"/>
      <w:r w:rsidRPr="000C6FEB">
        <w:rPr>
          <w:rFonts w:ascii="Abadi" w:hAnsi="Abadi"/>
          <w:sz w:val="21"/>
          <w:szCs w:val="21"/>
        </w:rPr>
        <w:t xml:space="preserve"> se adiciona una fracción XXV al artículo 11, una fracción VIII al artículo 153 del </w:t>
      </w:r>
      <w:r w:rsidRPr="000C6FEB">
        <w:rPr>
          <w:rFonts w:ascii="Abadi" w:hAnsi="Abadi"/>
          <w:i/>
          <w:sz w:val="21"/>
          <w:szCs w:val="21"/>
        </w:rPr>
        <w:t>Código Penal del Estado de Guanajuato</w:t>
      </w:r>
      <w:r w:rsidRPr="000C6FEB">
        <w:rPr>
          <w:rFonts w:ascii="Abadi" w:hAnsi="Abadi"/>
          <w:sz w:val="21"/>
          <w:szCs w:val="21"/>
        </w:rPr>
        <w:t xml:space="preserve"> y se reforman los artículos 154 y 154-a de ese cuerpo normativo</w:t>
      </w:r>
      <w:r w:rsidRPr="000C6FEB">
        <w:rPr>
          <w:rFonts w:ascii="Abadi" w:hAnsi="Abadi"/>
          <w:i/>
          <w:sz w:val="21"/>
          <w:szCs w:val="21"/>
        </w:rPr>
        <w:t xml:space="preserve">, </w:t>
      </w:r>
      <w:r w:rsidRPr="000C6FEB">
        <w:rPr>
          <w:rFonts w:ascii="Abadi" w:hAnsi="Abadi"/>
          <w:sz w:val="21"/>
          <w:szCs w:val="21"/>
        </w:rPr>
        <w:t xml:space="preserve">para quedar como sigue: </w:t>
      </w:r>
    </w:p>
    <w:p w14:paraId="73674E22" w14:textId="77777777" w:rsidR="00D60463" w:rsidRPr="000C6FEB" w:rsidRDefault="00D60463" w:rsidP="003D6D37">
      <w:pPr>
        <w:spacing w:after="212"/>
        <w:rPr>
          <w:rFonts w:ascii="Abadi" w:hAnsi="Abadi"/>
          <w:sz w:val="21"/>
          <w:szCs w:val="21"/>
        </w:rPr>
      </w:pPr>
      <w:r w:rsidRPr="000C6FEB">
        <w:rPr>
          <w:rFonts w:ascii="Abadi" w:hAnsi="Abadi"/>
          <w:sz w:val="21"/>
          <w:szCs w:val="21"/>
        </w:rPr>
        <w:t xml:space="preserve"> </w:t>
      </w:r>
    </w:p>
    <w:p w14:paraId="5D2D6BA1" w14:textId="77777777" w:rsidR="00D60463" w:rsidRPr="000C6FEB" w:rsidRDefault="00D60463" w:rsidP="003D6D37">
      <w:pPr>
        <w:spacing w:after="208"/>
        <w:ind w:left="703" w:right="683" w:hanging="10"/>
        <w:jc w:val="both"/>
        <w:rPr>
          <w:rFonts w:ascii="Abadi" w:hAnsi="Abadi"/>
          <w:sz w:val="21"/>
          <w:szCs w:val="21"/>
        </w:rPr>
      </w:pPr>
      <w:r w:rsidRPr="000C6FEB">
        <w:rPr>
          <w:rFonts w:ascii="Abadi" w:eastAsia="Arial" w:hAnsi="Abadi" w:cs="Arial"/>
          <w:b/>
          <w:i/>
          <w:sz w:val="21"/>
          <w:szCs w:val="21"/>
        </w:rPr>
        <w:t xml:space="preserve"> “Artículo 11.- </w:t>
      </w:r>
      <w:r w:rsidRPr="000C6FEB">
        <w:rPr>
          <w:rFonts w:ascii="Abadi" w:eastAsia="Arial" w:hAnsi="Abadi" w:cs="Arial"/>
          <w:i/>
          <w:sz w:val="21"/>
          <w:szCs w:val="21"/>
        </w:rPr>
        <w:t xml:space="preserve">Se consideran como delitos graves, para todos los efectos legales los siguientes: </w:t>
      </w:r>
    </w:p>
    <w:p w14:paraId="3286F44D" w14:textId="77777777" w:rsidR="00D60463" w:rsidRPr="000C6FEB" w:rsidRDefault="00D60463" w:rsidP="003D6D37">
      <w:pPr>
        <w:spacing w:after="208"/>
        <w:ind w:left="703" w:right="684" w:hanging="10"/>
        <w:jc w:val="both"/>
        <w:rPr>
          <w:rFonts w:ascii="Abadi" w:hAnsi="Abadi"/>
          <w:sz w:val="21"/>
          <w:szCs w:val="21"/>
        </w:rPr>
      </w:pPr>
      <w:r w:rsidRPr="000C6FEB">
        <w:rPr>
          <w:rFonts w:ascii="Abadi" w:eastAsia="Arial" w:hAnsi="Abadi" w:cs="Arial"/>
          <w:b/>
          <w:i/>
          <w:sz w:val="21"/>
          <w:szCs w:val="21"/>
        </w:rPr>
        <w:t>…</w:t>
      </w:r>
      <w:r w:rsidRPr="000C6FEB">
        <w:rPr>
          <w:rFonts w:ascii="Abadi" w:eastAsia="Arial" w:hAnsi="Abadi" w:cs="Arial"/>
          <w:i/>
          <w:sz w:val="21"/>
          <w:szCs w:val="21"/>
        </w:rPr>
        <w:t xml:space="preserve"> </w:t>
      </w:r>
    </w:p>
    <w:p w14:paraId="7E570EA0" w14:textId="77777777" w:rsidR="00D60463" w:rsidRPr="000C6FEB" w:rsidRDefault="00D60463" w:rsidP="003D6D37">
      <w:pPr>
        <w:spacing w:after="208"/>
        <w:ind w:left="703" w:right="684" w:hanging="10"/>
        <w:jc w:val="both"/>
        <w:rPr>
          <w:rFonts w:ascii="Abadi" w:hAnsi="Abadi"/>
          <w:sz w:val="21"/>
          <w:szCs w:val="21"/>
        </w:rPr>
      </w:pPr>
      <w:r w:rsidRPr="000C6FEB">
        <w:rPr>
          <w:rFonts w:ascii="Abadi" w:eastAsia="Arial" w:hAnsi="Abadi" w:cs="Arial"/>
          <w:b/>
          <w:i/>
          <w:sz w:val="21"/>
          <w:szCs w:val="21"/>
        </w:rPr>
        <w:lastRenderedPageBreak/>
        <w:t xml:space="preserve">XXV.- El homicidio y lesiones culposos previstos en los artículos 154 y 154-a. </w:t>
      </w:r>
    </w:p>
    <w:p w14:paraId="6CD91C77" w14:textId="77777777" w:rsidR="00D60463" w:rsidRPr="000C6FEB" w:rsidRDefault="00D60463" w:rsidP="003D6D37">
      <w:pPr>
        <w:spacing w:after="218"/>
        <w:ind w:left="708"/>
        <w:rPr>
          <w:rFonts w:ascii="Abadi" w:hAnsi="Abadi"/>
          <w:sz w:val="21"/>
          <w:szCs w:val="21"/>
        </w:rPr>
      </w:pPr>
      <w:r w:rsidRPr="000C6FEB">
        <w:rPr>
          <w:rFonts w:ascii="Abadi" w:eastAsia="Arial" w:hAnsi="Abadi" w:cs="Arial"/>
          <w:i/>
          <w:sz w:val="21"/>
          <w:szCs w:val="21"/>
        </w:rPr>
        <w:t xml:space="preserve"> </w:t>
      </w:r>
    </w:p>
    <w:p w14:paraId="6025E34F" w14:textId="77777777" w:rsidR="00D60463" w:rsidRPr="000C6FEB" w:rsidRDefault="00D60463" w:rsidP="003D6D37">
      <w:pPr>
        <w:spacing w:after="208"/>
        <w:ind w:left="703" w:right="683" w:hanging="10"/>
        <w:jc w:val="both"/>
        <w:rPr>
          <w:rFonts w:ascii="Abadi" w:hAnsi="Abadi"/>
          <w:sz w:val="21"/>
          <w:szCs w:val="21"/>
        </w:rPr>
      </w:pPr>
      <w:r w:rsidRPr="000C6FEB">
        <w:rPr>
          <w:rFonts w:ascii="Abadi" w:eastAsia="Arial" w:hAnsi="Abadi" w:cs="Arial"/>
          <w:b/>
          <w:i/>
          <w:sz w:val="21"/>
          <w:szCs w:val="21"/>
        </w:rPr>
        <w:t xml:space="preserve">Artículo 153.- </w:t>
      </w:r>
      <w:r w:rsidRPr="000C6FEB">
        <w:rPr>
          <w:rFonts w:ascii="Abadi" w:eastAsia="Arial" w:hAnsi="Abadi" w:cs="Arial"/>
          <w:i/>
          <w:sz w:val="21"/>
          <w:szCs w:val="21"/>
        </w:rPr>
        <w:t xml:space="preserve">Se entiende que el homicidio y las lesiones son calificados cuando: </w:t>
      </w:r>
    </w:p>
    <w:p w14:paraId="288E4510" w14:textId="77777777" w:rsidR="00D60463" w:rsidRPr="000C6FEB" w:rsidRDefault="00D60463" w:rsidP="003D6D37">
      <w:pPr>
        <w:spacing w:after="487"/>
        <w:ind w:left="703" w:right="684" w:hanging="10"/>
        <w:jc w:val="both"/>
        <w:rPr>
          <w:rFonts w:ascii="Abadi" w:hAnsi="Abadi"/>
          <w:sz w:val="21"/>
          <w:szCs w:val="21"/>
        </w:rPr>
      </w:pPr>
      <w:r w:rsidRPr="000C6FEB">
        <w:rPr>
          <w:rFonts w:ascii="Abadi" w:eastAsia="Arial" w:hAnsi="Abadi" w:cs="Arial"/>
          <w:b/>
          <w:i/>
          <w:sz w:val="21"/>
          <w:szCs w:val="21"/>
        </w:rPr>
        <w:t>…</w:t>
      </w:r>
      <w:r w:rsidRPr="000C6FEB">
        <w:rPr>
          <w:rFonts w:ascii="Abadi" w:eastAsia="Arial" w:hAnsi="Abadi" w:cs="Arial"/>
          <w:i/>
          <w:sz w:val="21"/>
          <w:szCs w:val="21"/>
        </w:rPr>
        <w:t xml:space="preserve"> </w:t>
      </w:r>
    </w:p>
    <w:p w14:paraId="74FC37D9" w14:textId="77777777" w:rsidR="00D60463" w:rsidRPr="000C6FEB" w:rsidRDefault="00D60463" w:rsidP="003D6D37">
      <w:pPr>
        <w:spacing w:after="102"/>
        <w:ind w:left="703" w:hanging="10"/>
        <w:jc w:val="both"/>
        <w:rPr>
          <w:rFonts w:ascii="Abadi" w:hAnsi="Abadi"/>
          <w:sz w:val="21"/>
          <w:szCs w:val="21"/>
        </w:rPr>
      </w:pPr>
      <w:r w:rsidRPr="000C6FEB">
        <w:rPr>
          <w:rFonts w:ascii="Abadi" w:eastAsia="Arial" w:hAnsi="Abadi" w:cs="Arial"/>
          <w:b/>
          <w:i/>
          <w:sz w:val="21"/>
          <w:szCs w:val="21"/>
        </w:rPr>
        <w:t xml:space="preserve">VIII. Se causen en un estado voluntario de intoxicación del sujeto activo, por al menos una sustancia de las siguientes, alcohol, estupefacientes, psicotrópicos o sustancia que produzca efecto similar a las anteriores. </w:t>
      </w:r>
    </w:p>
    <w:p w14:paraId="0AF77326" w14:textId="77777777" w:rsidR="00D60463" w:rsidRPr="000C6FEB" w:rsidRDefault="00D60463" w:rsidP="003D6D37">
      <w:pPr>
        <w:spacing w:after="218"/>
        <w:ind w:left="708"/>
        <w:rPr>
          <w:rFonts w:ascii="Abadi" w:hAnsi="Abadi"/>
          <w:sz w:val="21"/>
          <w:szCs w:val="21"/>
        </w:rPr>
      </w:pPr>
      <w:r w:rsidRPr="000C6FEB">
        <w:rPr>
          <w:rFonts w:ascii="Abadi" w:eastAsia="Arial" w:hAnsi="Abadi" w:cs="Arial"/>
          <w:b/>
          <w:i/>
          <w:sz w:val="21"/>
          <w:szCs w:val="21"/>
        </w:rPr>
        <w:t xml:space="preserve"> </w:t>
      </w:r>
    </w:p>
    <w:p w14:paraId="52094142" w14:textId="77777777" w:rsidR="00D60463" w:rsidRPr="000C6FEB" w:rsidRDefault="00D60463" w:rsidP="003D6D37">
      <w:pPr>
        <w:spacing w:after="208"/>
        <w:ind w:left="703" w:hanging="10"/>
        <w:jc w:val="both"/>
        <w:rPr>
          <w:rFonts w:ascii="Abadi" w:hAnsi="Abadi"/>
          <w:sz w:val="21"/>
          <w:szCs w:val="21"/>
        </w:rPr>
      </w:pPr>
      <w:r w:rsidRPr="000C6FEB">
        <w:rPr>
          <w:rFonts w:ascii="Abadi" w:eastAsia="Arial" w:hAnsi="Abadi" w:cs="Arial"/>
          <w:b/>
          <w:i/>
          <w:sz w:val="21"/>
          <w:szCs w:val="21"/>
        </w:rPr>
        <w:t xml:space="preserve">Artículo 154.- </w:t>
      </w:r>
      <w:r w:rsidRPr="000C6FEB">
        <w:rPr>
          <w:rFonts w:ascii="Abadi" w:eastAsia="Arial" w:hAnsi="Abadi" w:cs="Arial"/>
          <w:i/>
          <w:sz w:val="21"/>
          <w:szCs w:val="21"/>
        </w:rPr>
        <w:t xml:space="preserve">El homicidio culposo cometido por quien conduzca un vehículo </w:t>
      </w:r>
      <w:r w:rsidRPr="000C6FEB">
        <w:rPr>
          <w:rFonts w:ascii="Abadi" w:eastAsia="Arial" w:hAnsi="Abadi" w:cs="Arial"/>
          <w:b/>
          <w:i/>
          <w:sz w:val="21"/>
          <w:szCs w:val="21"/>
        </w:rPr>
        <w:t>en estado voluntario de intoxicación</w:t>
      </w:r>
      <w:r w:rsidRPr="000C6FEB">
        <w:rPr>
          <w:rFonts w:ascii="Abadi" w:eastAsia="Arial" w:hAnsi="Abadi" w:cs="Arial"/>
          <w:i/>
          <w:sz w:val="21"/>
          <w:szCs w:val="21"/>
        </w:rPr>
        <w:t xml:space="preserve"> </w:t>
      </w:r>
      <w:r w:rsidRPr="000C6FEB">
        <w:rPr>
          <w:rFonts w:ascii="Abadi" w:eastAsia="Arial" w:hAnsi="Abadi" w:cs="Arial"/>
          <w:b/>
          <w:i/>
          <w:sz w:val="21"/>
          <w:szCs w:val="21"/>
        </w:rPr>
        <w:t>por el consumo de al menos una de las siguientes sustancias, bebidas alcohólicas, estupefacientes, psicotrópicas o cualquier otra que produzca efecto similar a estas,</w:t>
      </w:r>
      <w:r w:rsidRPr="000C6FEB">
        <w:rPr>
          <w:rFonts w:ascii="Abadi" w:eastAsia="Arial" w:hAnsi="Abadi" w:cs="Arial"/>
          <w:i/>
          <w:sz w:val="21"/>
          <w:szCs w:val="21"/>
        </w:rPr>
        <w:t xml:space="preserve"> se sancionará con dos a </w:t>
      </w:r>
      <w:r w:rsidRPr="000C6FEB">
        <w:rPr>
          <w:rFonts w:ascii="Abadi" w:eastAsia="Arial" w:hAnsi="Abadi" w:cs="Arial"/>
          <w:b/>
          <w:i/>
          <w:sz w:val="21"/>
          <w:szCs w:val="21"/>
        </w:rPr>
        <w:t>diez años</w:t>
      </w:r>
      <w:r w:rsidRPr="000C6FEB">
        <w:rPr>
          <w:rFonts w:ascii="Abadi" w:eastAsia="Arial" w:hAnsi="Abadi" w:cs="Arial"/>
          <w:i/>
          <w:sz w:val="21"/>
          <w:szCs w:val="21"/>
        </w:rPr>
        <w:t xml:space="preserve"> de prisión, </w:t>
      </w:r>
      <w:r w:rsidRPr="000C6FEB">
        <w:rPr>
          <w:rFonts w:ascii="Abadi" w:eastAsia="Arial" w:hAnsi="Abadi" w:cs="Arial"/>
          <w:b/>
          <w:i/>
          <w:sz w:val="21"/>
          <w:szCs w:val="21"/>
        </w:rPr>
        <w:t>cien a mil</w:t>
      </w:r>
      <w:r w:rsidRPr="000C6FEB">
        <w:rPr>
          <w:rFonts w:ascii="Abadi" w:eastAsia="Arial" w:hAnsi="Abadi" w:cs="Arial"/>
          <w:i/>
          <w:sz w:val="21"/>
          <w:szCs w:val="21"/>
        </w:rPr>
        <w:t xml:space="preserve"> días multa y suspensión para conducir vehículos de motor por igual término. </w:t>
      </w:r>
      <w:r w:rsidRPr="000C6FEB">
        <w:rPr>
          <w:rFonts w:ascii="Abadi" w:eastAsia="Arial" w:hAnsi="Abadi" w:cs="Arial"/>
          <w:b/>
          <w:i/>
          <w:sz w:val="21"/>
          <w:szCs w:val="21"/>
        </w:rPr>
        <w:t xml:space="preserve"> </w:t>
      </w:r>
    </w:p>
    <w:p w14:paraId="4819739E" w14:textId="77777777" w:rsidR="00D60463" w:rsidRPr="000C6FEB" w:rsidRDefault="00D60463" w:rsidP="003D6D37">
      <w:pPr>
        <w:spacing w:after="208"/>
        <w:ind w:left="703" w:right="142" w:hanging="10"/>
        <w:jc w:val="both"/>
        <w:rPr>
          <w:rFonts w:ascii="Abadi" w:hAnsi="Abadi"/>
          <w:sz w:val="21"/>
          <w:szCs w:val="21"/>
        </w:rPr>
      </w:pPr>
      <w:r w:rsidRPr="000C6FEB">
        <w:rPr>
          <w:rFonts w:ascii="Abadi" w:eastAsia="Arial" w:hAnsi="Abadi" w:cs="Arial"/>
          <w:b/>
          <w:i/>
          <w:sz w:val="21"/>
          <w:szCs w:val="21"/>
        </w:rPr>
        <w:t xml:space="preserve">Cuando las víctimas de este tipo de homicidio culposo sean dos o más, se sancionará de tres años a catorce años de prisión. </w:t>
      </w:r>
    </w:p>
    <w:p w14:paraId="13754ACB" w14:textId="77777777" w:rsidR="00D60463" w:rsidRPr="000C6FEB" w:rsidRDefault="00D60463" w:rsidP="003D6D37">
      <w:pPr>
        <w:spacing w:after="208"/>
        <w:ind w:left="703" w:right="142" w:hanging="10"/>
        <w:jc w:val="both"/>
        <w:rPr>
          <w:rFonts w:ascii="Abadi" w:hAnsi="Abadi"/>
          <w:sz w:val="21"/>
          <w:szCs w:val="21"/>
        </w:rPr>
      </w:pPr>
      <w:r w:rsidRPr="000C6FEB">
        <w:rPr>
          <w:rFonts w:ascii="Abadi" w:eastAsia="Arial" w:hAnsi="Abadi" w:cs="Arial"/>
          <w:i/>
          <w:sz w:val="21"/>
          <w:szCs w:val="21"/>
        </w:rPr>
        <w:t xml:space="preserve">Si solamente resultaren lesiones, a la pena de prisión fijada por el juez o el tribunal conforme al artículo 14, se agregará hasta </w:t>
      </w:r>
      <w:r w:rsidRPr="000C6FEB">
        <w:rPr>
          <w:rFonts w:ascii="Abadi" w:eastAsia="Arial" w:hAnsi="Abadi" w:cs="Arial"/>
          <w:b/>
          <w:i/>
          <w:sz w:val="21"/>
          <w:szCs w:val="21"/>
        </w:rPr>
        <w:t>una tercera parte</w:t>
      </w:r>
      <w:r w:rsidRPr="000C6FEB">
        <w:rPr>
          <w:rFonts w:ascii="Abadi" w:eastAsia="Arial" w:hAnsi="Abadi" w:cs="Arial"/>
          <w:i/>
          <w:sz w:val="21"/>
          <w:szCs w:val="21"/>
        </w:rPr>
        <w:t xml:space="preserve"> y suspensión para conducir vehículos de motor por igual término. </w:t>
      </w:r>
    </w:p>
    <w:p w14:paraId="15C311C9" w14:textId="77777777" w:rsidR="00D60463" w:rsidRPr="000C6FEB" w:rsidRDefault="00D60463" w:rsidP="003D6D37">
      <w:pPr>
        <w:spacing w:after="208"/>
        <w:ind w:left="703" w:right="142" w:hanging="10"/>
        <w:jc w:val="both"/>
        <w:rPr>
          <w:rFonts w:ascii="Abadi" w:hAnsi="Abadi"/>
          <w:sz w:val="21"/>
          <w:szCs w:val="21"/>
        </w:rPr>
      </w:pPr>
      <w:r w:rsidRPr="000C6FEB">
        <w:rPr>
          <w:rFonts w:ascii="Abadi" w:eastAsia="Arial" w:hAnsi="Abadi" w:cs="Arial"/>
          <w:b/>
          <w:i/>
          <w:sz w:val="21"/>
          <w:szCs w:val="21"/>
        </w:rPr>
        <w:t xml:space="preserve">Se considera estado voluntario de intoxicación en el caso de consumo de bebidas alcohólicas, cuando se tengan más de 0.50 miligramos de alcohol en un litro de aire espirado (mg/L), o su equivalente de medición de alcohol en sangre, u otra medida que se aplique para aire espirado. </w:t>
      </w:r>
    </w:p>
    <w:p w14:paraId="778DFCCB" w14:textId="77777777" w:rsidR="00D60463" w:rsidRPr="000C6FEB" w:rsidRDefault="00D60463" w:rsidP="003D6D37">
      <w:pPr>
        <w:ind w:left="708" w:right="142"/>
        <w:rPr>
          <w:rFonts w:ascii="Abadi" w:hAnsi="Abadi"/>
          <w:sz w:val="21"/>
          <w:szCs w:val="21"/>
        </w:rPr>
      </w:pPr>
      <w:r w:rsidRPr="000C6FEB">
        <w:rPr>
          <w:rFonts w:ascii="Abadi" w:eastAsia="Arial" w:hAnsi="Abadi" w:cs="Arial"/>
          <w:i/>
          <w:sz w:val="21"/>
          <w:szCs w:val="21"/>
        </w:rPr>
        <w:t xml:space="preserve"> </w:t>
      </w:r>
    </w:p>
    <w:p w14:paraId="1D280177" w14:textId="77777777" w:rsidR="00D60463" w:rsidRPr="000C6FEB" w:rsidRDefault="00D60463" w:rsidP="003D6D37">
      <w:pPr>
        <w:spacing w:after="208"/>
        <w:ind w:left="703" w:right="142" w:hanging="10"/>
        <w:jc w:val="both"/>
        <w:rPr>
          <w:rFonts w:ascii="Abadi" w:hAnsi="Abadi"/>
          <w:sz w:val="21"/>
          <w:szCs w:val="21"/>
        </w:rPr>
      </w:pPr>
      <w:r w:rsidRPr="000C6FEB">
        <w:rPr>
          <w:rFonts w:ascii="Abadi" w:eastAsia="Arial" w:hAnsi="Abadi" w:cs="Arial"/>
          <w:b/>
          <w:i/>
          <w:sz w:val="21"/>
          <w:szCs w:val="21"/>
        </w:rPr>
        <w:t>Artículo 154-a.-</w:t>
      </w:r>
      <w:r w:rsidRPr="000C6FEB">
        <w:rPr>
          <w:rFonts w:ascii="Abadi" w:eastAsia="Arial" w:hAnsi="Abadi" w:cs="Arial"/>
          <w:i/>
          <w:sz w:val="21"/>
          <w:szCs w:val="21"/>
        </w:rPr>
        <w:t xml:space="preserve"> El homicidio y las lesiones culposos cometidos por quien esté prestando servicio público o remunerado de transporte de personas o cosas, se sancionará con la punibilidad establecida en el artículo anterior. Si el activo hubiese obrado </w:t>
      </w:r>
      <w:r w:rsidRPr="000C6FEB">
        <w:rPr>
          <w:rFonts w:ascii="Abadi" w:eastAsia="Arial" w:hAnsi="Abadi" w:cs="Arial"/>
          <w:b/>
          <w:i/>
          <w:sz w:val="21"/>
          <w:szCs w:val="21"/>
        </w:rPr>
        <w:t>en estado voluntario de intoxicación</w:t>
      </w:r>
      <w:r w:rsidRPr="000C6FEB">
        <w:rPr>
          <w:rFonts w:ascii="Abadi" w:eastAsia="Arial" w:hAnsi="Abadi" w:cs="Arial"/>
          <w:i/>
          <w:sz w:val="21"/>
          <w:szCs w:val="21"/>
        </w:rPr>
        <w:t xml:space="preserve"> </w:t>
      </w:r>
      <w:r w:rsidRPr="000C6FEB">
        <w:rPr>
          <w:rFonts w:ascii="Abadi" w:eastAsia="Arial" w:hAnsi="Abadi" w:cs="Arial"/>
          <w:b/>
          <w:i/>
          <w:sz w:val="21"/>
          <w:szCs w:val="21"/>
        </w:rPr>
        <w:t>por el consumo de al menos una de las siguientes sustancias, bebidas alcohólicas, estupefacientes, psicotrópicas o cualquier otra que produzca efecto similar a estas,</w:t>
      </w:r>
      <w:r w:rsidRPr="000C6FEB">
        <w:rPr>
          <w:rFonts w:ascii="Abadi" w:eastAsia="Arial" w:hAnsi="Abadi" w:cs="Arial"/>
          <w:i/>
          <w:sz w:val="21"/>
          <w:szCs w:val="21"/>
        </w:rPr>
        <w:t xml:space="preserve"> la punibilidad para el homicidio será de cuatro a </w:t>
      </w:r>
      <w:r w:rsidRPr="000C6FEB">
        <w:rPr>
          <w:rFonts w:ascii="Abadi" w:eastAsia="Arial" w:hAnsi="Abadi" w:cs="Arial"/>
          <w:b/>
          <w:i/>
          <w:sz w:val="21"/>
          <w:szCs w:val="21"/>
        </w:rPr>
        <w:t>catorce años</w:t>
      </w:r>
      <w:r w:rsidRPr="000C6FEB">
        <w:rPr>
          <w:rFonts w:ascii="Abadi" w:eastAsia="Arial" w:hAnsi="Abadi" w:cs="Arial"/>
          <w:i/>
          <w:sz w:val="21"/>
          <w:szCs w:val="21"/>
        </w:rPr>
        <w:t xml:space="preserve"> de prisión. Si en este caso, únicamente resultaron lesiones, se aumentará </w:t>
      </w:r>
      <w:r w:rsidRPr="000C6FEB">
        <w:rPr>
          <w:rFonts w:ascii="Abadi" w:eastAsia="Arial" w:hAnsi="Abadi" w:cs="Arial"/>
          <w:b/>
          <w:i/>
          <w:sz w:val="21"/>
          <w:szCs w:val="21"/>
        </w:rPr>
        <w:t>hasta un medio</w:t>
      </w:r>
      <w:r w:rsidRPr="000C6FEB">
        <w:rPr>
          <w:rFonts w:ascii="Abadi" w:eastAsia="Arial" w:hAnsi="Abadi" w:cs="Arial"/>
          <w:i/>
          <w:sz w:val="21"/>
          <w:szCs w:val="21"/>
        </w:rPr>
        <w:t xml:space="preserve"> de la pena de prisión prevista en el artículo 14 de este Código. </w:t>
      </w:r>
    </w:p>
    <w:p w14:paraId="22CD06AD" w14:textId="77777777" w:rsidR="00D60463" w:rsidRPr="000C6FEB" w:rsidRDefault="00D60463" w:rsidP="003D6D37">
      <w:pPr>
        <w:spacing w:after="208"/>
        <w:ind w:left="703" w:right="684" w:hanging="10"/>
        <w:jc w:val="both"/>
        <w:rPr>
          <w:rFonts w:ascii="Abadi" w:hAnsi="Abadi"/>
          <w:sz w:val="21"/>
          <w:szCs w:val="21"/>
        </w:rPr>
      </w:pPr>
      <w:r w:rsidRPr="000C6FEB">
        <w:rPr>
          <w:rFonts w:ascii="Abadi" w:eastAsia="Arial" w:hAnsi="Abadi" w:cs="Arial"/>
          <w:b/>
          <w:i/>
          <w:sz w:val="21"/>
          <w:szCs w:val="21"/>
        </w:rPr>
        <w:t xml:space="preserve">Cuando las víctimas de este tipo de homicidio culposo sean dos o más, se sancionará de seis años a dieciocho años de prisión. </w:t>
      </w:r>
    </w:p>
    <w:p w14:paraId="2E85E986" w14:textId="77777777" w:rsidR="00D60463" w:rsidRPr="000C6FEB" w:rsidRDefault="00D60463" w:rsidP="003D6D37">
      <w:pPr>
        <w:spacing w:after="208"/>
        <w:ind w:left="703" w:right="684" w:hanging="10"/>
        <w:jc w:val="both"/>
        <w:rPr>
          <w:rFonts w:ascii="Abadi" w:hAnsi="Abadi"/>
          <w:sz w:val="21"/>
          <w:szCs w:val="21"/>
        </w:rPr>
      </w:pPr>
      <w:r w:rsidRPr="000C6FEB">
        <w:rPr>
          <w:rFonts w:ascii="Abadi" w:eastAsia="Arial" w:hAnsi="Abadi" w:cs="Arial"/>
          <w:b/>
          <w:i/>
          <w:sz w:val="21"/>
          <w:szCs w:val="21"/>
        </w:rPr>
        <w:t xml:space="preserve">Se considera estado voluntario de intoxicación en el caso de consumo de bebidas alcohólicas, cuando se tengan más de 0.50 miligramos de alcohol en un litro de aire espirado (mg/L), o su equivalente de medición de alcohol en sangre, u otra medida que se aplique para aire espirado. </w:t>
      </w:r>
    </w:p>
    <w:p w14:paraId="625C88E1" w14:textId="77777777" w:rsidR="00D60463" w:rsidRPr="000C6FEB" w:rsidRDefault="00D60463" w:rsidP="003D6D37">
      <w:pPr>
        <w:spacing w:after="219"/>
        <w:ind w:left="10" w:right="699" w:hanging="10"/>
        <w:jc w:val="center"/>
        <w:rPr>
          <w:rFonts w:ascii="Abadi" w:hAnsi="Abadi"/>
          <w:sz w:val="21"/>
          <w:szCs w:val="21"/>
        </w:rPr>
      </w:pPr>
      <w:r w:rsidRPr="000C6FEB">
        <w:rPr>
          <w:rFonts w:ascii="Abadi" w:hAnsi="Abadi"/>
          <w:b/>
          <w:sz w:val="21"/>
          <w:szCs w:val="21"/>
        </w:rPr>
        <w:t xml:space="preserve">Artículo transitorio: </w:t>
      </w:r>
    </w:p>
    <w:p w14:paraId="12FBF95B" w14:textId="77777777" w:rsidR="00D60463" w:rsidRPr="000C6FEB" w:rsidRDefault="00D60463" w:rsidP="003D6D37">
      <w:pPr>
        <w:spacing w:after="208"/>
        <w:ind w:left="-5" w:hanging="10"/>
        <w:jc w:val="both"/>
        <w:rPr>
          <w:rFonts w:ascii="Abadi" w:hAnsi="Abadi"/>
          <w:sz w:val="21"/>
          <w:szCs w:val="21"/>
        </w:rPr>
      </w:pPr>
      <w:r w:rsidRPr="000C6FEB">
        <w:rPr>
          <w:rFonts w:ascii="Abadi" w:hAnsi="Abadi"/>
          <w:b/>
          <w:sz w:val="21"/>
          <w:szCs w:val="21"/>
        </w:rPr>
        <w:t xml:space="preserve">ÚNICO. </w:t>
      </w:r>
      <w:r w:rsidRPr="000C6FEB">
        <w:rPr>
          <w:rFonts w:ascii="Abadi" w:hAnsi="Abadi"/>
          <w:sz w:val="21"/>
          <w:szCs w:val="21"/>
        </w:rPr>
        <w:t xml:space="preserve">El presente Decreto entrará en vigor al día siguiente al de su publicación en el Periódico Oficial del Gobierno del Estado de Guanajuato. </w:t>
      </w:r>
    </w:p>
    <w:p w14:paraId="13868868" w14:textId="18F6D6F6" w:rsidR="00D60463" w:rsidRDefault="00D60463" w:rsidP="00D60463">
      <w:pPr>
        <w:jc w:val="center"/>
        <w:rPr>
          <w:rFonts w:ascii="Abadi" w:hAnsi="Abadi"/>
          <w:b/>
          <w:bCs/>
          <w:sz w:val="21"/>
          <w:szCs w:val="21"/>
        </w:rPr>
      </w:pPr>
      <w:r w:rsidRPr="00D60463">
        <w:rPr>
          <w:rFonts w:ascii="Abadi" w:hAnsi="Abadi"/>
          <w:b/>
          <w:bCs/>
          <w:sz w:val="21"/>
          <w:szCs w:val="21"/>
        </w:rPr>
        <w:t xml:space="preserve">En Guanajuato, </w:t>
      </w:r>
      <w:proofErr w:type="spellStart"/>
      <w:r w:rsidRPr="00D60463">
        <w:rPr>
          <w:rFonts w:ascii="Abadi" w:hAnsi="Abadi"/>
          <w:b/>
          <w:bCs/>
          <w:sz w:val="21"/>
          <w:szCs w:val="21"/>
        </w:rPr>
        <w:t>Gto</w:t>
      </w:r>
      <w:proofErr w:type="spellEnd"/>
      <w:r w:rsidRPr="00D60463">
        <w:rPr>
          <w:rFonts w:ascii="Abadi" w:hAnsi="Abadi"/>
          <w:b/>
          <w:bCs/>
          <w:sz w:val="21"/>
          <w:szCs w:val="21"/>
        </w:rPr>
        <w:t>., al día de su presentación.</w:t>
      </w:r>
    </w:p>
    <w:p w14:paraId="38DE38FB" w14:textId="77777777" w:rsidR="00D60463" w:rsidRPr="00D60463" w:rsidRDefault="00D60463" w:rsidP="00D60463">
      <w:pPr>
        <w:jc w:val="center"/>
        <w:rPr>
          <w:rFonts w:ascii="Abadi" w:eastAsia="Cambria" w:hAnsi="Abadi" w:cs="Cambria"/>
          <w:b/>
          <w:bCs/>
          <w:sz w:val="21"/>
          <w:szCs w:val="21"/>
        </w:rPr>
      </w:pPr>
    </w:p>
    <w:p w14:paraId="2E6AB5C7" w14:textId="2CBC5D79" w:rsidR="00D60463" w:rsidRPr="00D60463" w:rsidRDefault="00D60463" w:rsidP="00D60463">
      <w:pPr>
        <w:jc w:val="center"/>
        <w:rPr>
          <w:rFonts w:ascii="Abadi" w:eastAsia="Cambria" w:hAnsi="Abadi" w:cs="Cambria"/>
          <w:b/>
          <w:bCs/>
          <w:sz w:val="21"/>
          <w:szCs w:val="21"/>
        </w:rPr>
      </w:pPr>
      <w:r w:rsidRPr="00D60463">
        <w:rPr>
          <w:rFonts w:ascii="Abadi" w:eastAsia="Cambria" w:hAnsi="Abadi" w:cs="Cambria"/>
          <w:b/>
          <w:bCs/>
          <w:sz w:val="21"/>
          <w:szCs w:val="21"/>
        </w:rPr>
        <w:t>Lic. Ernesto Alejandro Prieto Gallardo</w:t>
      </w:r>
    </w:p>
    <w:p w14:paraId="1DBECB84" w14:textId="453EE57D" w:rsidR="00D60463" w:rsidRPr="00D60463" w:rsidRDefault="00D60463" w:rsidP="00D60463">
      <w:pPr>
        <w:jc w:val="center"/>
        <w:rPr>
          <w:rFonts w:ascii="Abadi" w:hAnsi="Abadi"/>
          <w:b/>
          <w:bCs/>
          <w:sz w:val="21"/>
          <w:szCs w:val="21"/>
        </w:rPr>
      </w:pPr>
      <w:r w:rsidRPr="00D60463">
        <w:rPr>
          <w:rFonts w:ascii="Abadi" w:eastAsia="Cambria" w:hAnsi="Abadi" w:cs="Cambria"/>
          <w:b/>
          <w:bCs/>
          <w:sz w:val="21"/>
          <w:szCs w:val="21"/>
        </w:rPr>
        <w:t>Diputado</w:t>
      </w:r>
    </w:p>
    <w:p w14:paraId="20F71E7F" w14:textId="77777777" w:rsidR="004A3B3C" w:rsidRDefault="004A3B3C" w:rsidP="00D60463">
      <w:pPr>
        <w:spacing w:after="200"/>
        <w:ind w:right="647"/>
        <w:jc w:val="center"/>
        <w:rPr>
          <w:rFonts w:ascii="Abadi" w:hAnsi="Abadi"/>
          <w:sz w:val="21"/>
          <w:szCs w:val="21"/>
        </w:rPr>
      </w:pPr>
    </w:p>
    <w:p w14:paraId="4359A835" w14:textId="77777777" w:rsidR="004A3B3C" w:rsidRDefault="004A3B3C" w:rsidP="004A3B3C">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Enseguida se pide el diputado Alejandro Ernesto Alejandro Prieto </w:t>
      </w:r>
      <w:r w:rsidRPr="0030088F">
        <w:rPr>
          <w:rFonts w:ascii="Abadi" w:hAnsi="Abadi"/>
          <w:sz w:val="21"/>
          <w:szCs w:val="21"/>
        </w:rPr>
        <w:lastRenderedPageBreak/>
        <w:t xml:space="preserve">Gallardo dar lectura a la exposición de motivos de su iniciativa correspondiente al punto número 8 del orden del día. </w:t>
      </w:r>
      <w:r w:rsidRPr="0030088F">
        <w:rPr>
          <w:rFonts w:ascii="Abadi" w:hAnsi="Abadi"/>
          <w:b/>
          <w:bCs/>
          <w:sz w:val="21"/>
          <w:szCs w:val="21"/>
        </w:rPr>
        <w:t>(ELD 534/LXV-I)</w:t>
      </w:r>
    </w:p>
    <w:p w14:paraId="2F72144C" w14:textId="77777777" w:rsidR="004A3B3C" w:rsidRPr="0030088F" w:rsidRDefault="004A3B3C" w:rsidP="004A3B3C">
      <w:pPr>
        <w:ind w:firstLine="708"/>
        <w:jc w:val="both"/>
        <w:rPr>
          <w:rFonts w:ascii="Abadi" w:hAnsi="Abadi"/>
          <w:b/>
          <w:bCs/>
          <w:sz w:val="21"/>
          <w:szCs w:val="21"/>
        </w:rPr>
      </w:pPr>
    </w:p>
    <w:p w14:paraId="6196CA53" w14:textId="77777777" w:rsidR="004A3B3C" w:rsidRPr="0030088F" w:rsidRDefault="004A3B3C" w:rsidP="004A3B3C">
      <w:pPr>
        <w:ind w:firstLine="708"/>
        <w:jc w:val="both"/>
        <w:rPr>
          <w:rFonts w:ascii="Abadi" w:hAnsi="Abadi"/>
          <w:sz w:val="21"/>
          <w:szCs w:val="21"/>
        </w:rPr>
      </w:pPr>
      <w:r w:rsidRPr="0030088F">
        <w:rPr>
          <w:rFonts w:ascii="Abadi" w:hAnsi="Abadi"/>
          <w:sz w:val="21"/>
          <w:szCs w:val="21"/>
        </w:rPr>
        <w:t xml:space="preserve">- Adelante diputado. </w:t>
      </w:r>
    </w:p>
    <w:p w14:paraId="70DCC085" w14:textId="77777777" w:rsidR="004A3B3C" w:rsidRPr="0030088F" w:rsidRDefault="004A3B3C" w:rsidP="004A3B3C">
      <w:pPr>
        <w:ind w:firstLine="708"/>
        <w:jc w:val="both"/>
        <w:rPr>
          <w:rFonts w:ascii="Abadi" w:hAnsi="Abadi"/>
          <w:sz w:val="21"/>
          <w:szCs w:val="21"/>
        </w:rPr>
      </w:pPr>
    </w:p>
    <w:p w14:paraId="5FD29D82" w14:textId="77777777" w:rsidR="004A3B3C" w:rsidRDefault="004A3B3C" w:rsidP="004A3B3C">
      <w:pPr>
        <w:jc w:val="both"/>
        <w:rPr>
          <w:rFonts w:ascii="Abadi" w:hAnsi="Abadi"/>
          <w:b/>
          <w:bCs/>
          <w:sz w:val="21"/>
          <w:szCs w:val="21"/>
        </w:rPr>
      </w:pPr>
      <w:r w:rsidRPr="0030088F">
        <w:rPr>
          <w:rFonts w:ascii="Abadi" w:hAnsi="Abadi"/>
          <w:b/>
          <w:bCs/>
          <w:sz w:val="21"/>
          <w:szCs w:val="21"/>
        </w:rPr>
        <w:t>(Sube a tribuna el diputado Alejandro Ernesto Alejandro Prieto Gallardo dar lectura a la exposición de motivos de su iniciativa en referencia)</w:t>
      </w:r>
    </w:p>
    <w:p w14:paraId="175A163B" w14:textId="70ABC72D" w:rsidR="004A3B3C" w:rsidRPr="0030088F" w:rsidRDefault="004A3B3C" w:rsidP="004A3B3C">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1" behindDoc="1" locked="0" layoutInCell="1" allowOverlap="1" wp14:anchorId="352161E2" wp14:editId="259ED4D9">
            <wp:simplePos x="0" y="0"/>
            <wp:positionH relativeFrom="column">
              <wp:posOffset>470853</wp:posOffset>
            </wp:positionH>
            <wp:positionV relativeFrom="paragraph">
              <wp:posOffset>513080</wp:posOffset>
            </wp:positionV>
            <wp:extent cx="1759449" cy="923307"/>
            <wp:effectExtent l="247650" t="228600" r="241300" b="810260"/>
            <wp:wrapTight wrapText="bothSides">
              <wp:wrapPolygon edited="0">
                <wp:start x="-3041" y="-5348"/>
                <wp:lineTo x="-3041" y="40110"/>
                <wp:lineTo x="24329" y="40110"/>
                <wp:lineTo x="24329" y="-5348"/>
                <wp:lineTo x="-3041" y="-5348"/>
              </wp:wrapPolygon>
            </wp:wrapTight>
            <wp:docPr id="435845221" name="Imagen 4358452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45221" name="Imagen 1" descr="Interfaz de usuario gráfica&#10;&#10;Descripción generada automáticamente"/>
                    <pic:cNvPicPr/>
                  </pic:nvPicPr>
                  <pic:blipFill rotWithShape="1">
                    <a:blip r:embed="rId28" cstate="print">
                      <a:extLst>
                        <a:ext uri="{28A0092B-C50C-407E-A947-70E740481C1C}">
                          <a14:useLocalDpi xmlns:a14="http://schemas.microsoft.com/office/drawing/2010/main" val="0"/>
                        </a:ext>
                      </a:extLst>
                    </a:blip>
                    <a:srcRect b="6701"/>
                    <a:stretch/>
                  </pic:blipFill>
                  <pic:spPr bwMode="auto">
                    <a:xfrm>
                      <a:off x="0" y="0"/>
                      <a:ext cx="1759449" cy="92330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DF17359" w14:textId="2AAE02BD" w:rsidR="004A3B3C" w:rsidRPr="0030088F" w:rsidRDefault="004A3B3C" w:rsidP="004A3B3C">
      <w:pPr>
        <w:jc w:val="both"/>
        <w:rPr>
          <w:rFonts w:ascii="Abadi" w:hAnsi="Abadi"/>
          <w:b/>
          <w:bCs/>
          <w:sz w:val="21"/>
          <w:szCs w:val="21"/>
        </w:rPr>
      </w:pPr>
    </w:p>
    <w:p w14:paraId="22E2DF1F" w14:textId="77777777" w:rsidR="004A3B3C" w:rsidRDefault="004A3B3C" w:rsidP="004A3B3C">
      <w:pPr>
        <w:jc w:val="both"/>
        <w:rPr>
          <w:rFonts w:ascii="Abadi" w:hAnsi="Abadi"/>
          <w:b/>
          <w:bCs/>
          <w:sz w:val="21"/>
          <w:szCs w:val="21"/>
        </w:rPr>
      </w:pPr>
      <w:r w:rsidRPr="0030088F">
        <w:rPr>
          <w:rFonts w:ascii="Abadi" w:hAnsi="Abadi"/>
          <w:b/>
          <w:bCs/>
          <w:sz w:val="21"/>
          <w:szCs w:val="21"/>
        </w:rPr>
        <w:t>Diputado Ernesto Alejandro Prieto Gallardo</w:t>
      </w:r>
    </w:p>
    <w:p w14:paraId="20802114" w14:textId="77777777" w:rsidR="004A3B3C" w:rsidRPr="0030088F" w:rsidRDefault="004A3B3C" w:rsidP="004A3B3C">
      <w:pPr>
        <w:jc w:val="both"/>
        <w:rPr>
          <w:rFonts w:ascii="Abadi" w:hAnsi="Abadi"/>
          <w:b/>
          <w:bCs/>
          <w:sz w:val="21"/>
          <w:szCs w:val="21"/>
        </w:rPr>
      </w:pPr>
    </w:p>
    <w:p w14:paraId="74966E2B" w14:textId="77777777" w:rsidR="004A3B3C" w:rsidRDefault="004A3B3C" w:rsidP="004A3B3C">
      <w:pPr>
        <w:jc w:val="both"/>
        <w:rPr>
          <w:rFonts w:ascii="Abadi" w:hAnsi="Abadi"/>
          <w:sz w:val="21"/>
          <w:szCs w:val="21"/>
        </w:rPr>
      </w:pPr>
      <w:r w:rsidRPr="0030088F">
        <w:rPr>
          <w:rFonts w:ascii="Abadi" w:hAnsi="Abadi"/>
          <w:sz w:val="21"/>
          <w:szCs w:val="21"/>
        </w:rPr>
        <w:t>- ¡Muy buenos días! tengan todos ustedes compañeros legisladores y legisladoras público presente personal administrativo asesores y a los periodistas reporteros que se encuentran presentes pero sobre todo a nuestras amigas y amigos que nos están sobando a través de las diferentes plataformas y medios de comunicación.</w:t>
      </w:r>
    </w:p>
    <w:p w14:paraId="42D9A5F1" w14:textId="77777777" w:rsidR="004A3B3C" w:rsidRPr="0030088F" w:rsidRDefault="004A3B3C" w:rsidP="004A3B3C">
      <w:pPr>
        <w:jc w:val="both"/>
        <w:rPr>
          <w:rFonts w:ascii="Abadi" w:hAnsi="Abadi"/>
          <w:sz w:val="21"/>
          <w:szCs w:val="21"/>
        </w:rPr>
      </w:pPr>
    </w:p>
    <w:p w14:paraId="4A0D5384" w14:textId="77777777" w:rsidR="004A3B3C" w:rsidRDefault="004A3B3C" w:rsidP="004A3B3C">
      <w:pPr>
        <w:jc w:val="both"/>
        <w:rPr>
          <w:rFonts w:ascii="Abadi" w:hAnsi="Abadi"/>
          <w:sz w:val="21"/>
          <w:szCs w:val="21"/>
        </w:rPr>
      </w:pPr>
      <w:r w:rsidRPr="0030088F">
        <w:rPr>
          <w:rFonts w:ascii="Abadi" w:hAnsi="Abadi"/>
          <w:sz w:val="21"/>
          <w:szCs w:val="21"/>
        </w:rPr>
        <w:t>- Con el permiso de mi compañera presidente de la Mesa Directiva y de su Mesa Directiva me permito poner a consideración esta iniciativa de ley muy interesante que a continuación les expondré iniciativa por la que se adiciona una fracción 25 al artículo 11 y una fracción VIII al artículo 153 del Código Penal del Estado de Guanajuato y se reforman los artículos 154 y 154-a de dicho Código Penal de conformidad con la siguiente exposición:</w:t>
      </w:r>
    </w:p>
    <w:p w14:paraId="0426D9D4" w14:textId="77777777" w:rsidR="004A3B3C" w:rsidRPr="0030088F" w:rsidRDefault="004A3B3C" w:rsidP="004A3B3C">
      <w:pPr>
        <w:jc w:val="both"/>
        <w:rPr>
          <w:rFonts w:ascii="Abadi" w:hAnsi="Abadi"/>
          <w:sz w:val="21"/>
          <w:szCs w:val="21"/>
        </w:rPr>
      </w:pPr>
    </w:p>
    <w:p w14:paraId="7C49DE5E" w14:textId="77777777" w:rsidR="004A3B3C" w:rsidRDefault="004A3B3C" w:rsidP="004A3B3C">
      <w:pPr>
        <w:jc w:val="both"/>
        <w:rPr>
          <w:rFonts w:ascii="Abadi" w:hAnsi="Abadi"/>
          <w:sz w:val="21"/>
          <w:szCs w:val="21"/>
        </w:rPr>
      </w:pPr>
      <w:r w:rsidRPr="0030088F">
        <w:rPr>
          <w:rFonts w:ascii="Abadi" w:hAnsi="Abadi"/>
          <w:sz w:val="21"/>
          <w:szCs w:val="21"/>
        </w:rPr>
        <w:t xml:space="preserve">- Los delitos de homicidio y lesiones, causados por conductores alcoholizados son un grave problema en aumento, que debe atenderse desde la implementación de políticas públicas especiales para la prevención de estos delitos, la efectiva aplicación de sanciones administrativas de carácter municipal estatal y </w:t>
      </w:r>
      <w:r w:rsidRPr="0030088F">
        <w:rPr>
          <w:rFonts w:ascii="Abadi" w:hAnsi="Abadi"/>
          <w:sz w:val="21"/>
          <w:szCs w:val="21"/>
        </w:rPr>
        <w:t xml:space="preserve">federal y por medio del derecho penal que sancione adecuadamente ese tipo de delitos que en nuestra codificación penal estatal tienen el carácter de culposos la combinación del consumo de alcohol y la conducción representa un riesgo significativo para la seguridad vial y tiene lamentablemente en muchos casos consecuencias fatales y devastadoras para las víctimas directas e indirectas, es fundamental tomar medidas preventivas promover la educación y concientización sobre los peligros de conducir bajo el influjo del alcohol o de alguna droga o sustancia que genere -que altere los sentidos- los accidentes con mayor incidencia son los de tránsito a nivel mundial por cuyas consecuencias son objeto de estudio por cuyas consecuencias, son objeto de estudio por parte de la Organización Mundial de la Salud, que calcula que anualmente entre 20 y 30 millones de personas resultan heridas o con secuelas discapacitantes. </w:t>
      </w:r>
    </w:p>
    <w:p w14:paraId="49012480" w14:textId="77777777" w:rsidR="004A3B3C" w:rsidRPr="0030088F" w:rsidRDefault="004A3B3C" w:rsidP="004A3B3C">
      <w:pPr>
        <w:jc w:val="both"/>
        <w:rPr>
          <w:rFonts w:ascii="Abadi" w:hAnsi="Abadi"/>
          <w:sz w:val="21"/>
          <w:szCs w:val="21"/>
        </w:rPr>
      </w:pPr>
    </w:p>
    <w:p w14:paraId="38E4C02C" w14:textId="77777777" w:rsidR="004A3B3C" w:rsidRDefault="004A3B3C" w:rsidP="004A3B3C">
      <w:pPr>
        <w:jc w:val="both"/>
        <w:rPr>
          <w:rFonts w:ascii="Abadi" w:hAnsi="Abadi"/>
          <w:sz w:val="21"/>
          <w:szCs w:val="21"/>
        </w:rPr>
      </w:pPr>
      <w:r w:rsidRPr="0030088F">
        <w:rPr>
          <w:rFonts w:ascii="Abadi" w:hAnsi="Abadi"/>
          <w:sz w:val="21"/>
          <w:szCs w:val="21"/>
        </w:rPr>
        <w:t xml:space="preserve">- Este tipo de sucesos, afectan además de quien lo sufre directamente, al entorno familiar y laboral especialmente cuando son necesarios tratamientos de rehabilitación asimismo representan gastos importantes para los sistemas de salud públicos y de seguridad social porque en no pocos casos existen secuelas discapacitadas temporales o permanentes que pueden ser a su vez parciales o totales de acuerdo a estudios de la organización mundial de la salud el costo económico de los incidentes de tránsito llegan a representar un 3% del producto interno bruto en la mayoría de los países el último informe de la organización mundial de la salud sobre este tema rendido en diciembre del año 2018 señala que las muertes por accidentes de tránsito siguen en aumento alcanzando la cifra de 1.35 millones de personas que fallecen por esta causa al año. </w:t>
      </w:r>
    </w:p>
    <w:p w14:paraId="2645EDD1" w14:textId="77777777" w:rsidR="004A3B3C" w:rsidRPr="0030088F" w:rsidRDefault="004A3B3C" w:rsidP="004A3B3C">
      <w:pPr>
        <w:jc w:val="both"/>
        <w:rPr>
          <w:rFonts w:ascii="Abadi" w:hAnsi="Abadi"/>
          <w:sz w:val="21"/>
          <w:szCs w:val="21"/>
        </w:rPr>
      </w:pPr>
    </w:p>
    <w:p w14:paraId="3AAD33EC" w14:textId="77777777" w:rsidR="004A3B3C" w:rsidRDefault="004A3B3C" w:rsidP="004A3B3C">
      <w:pPr>
        <w:jc w:val="both"/>
        <w:rPr>
          <w:rFonts w:ascii="Abadi" w:hAnsi="Abadi"/>
          <w:sz w:val="21"/>
          <w:szCs w:val="21"/>
        </w:rPr>
      </w:pPr>
      <w:r w:rsidRPr="0030088F">
        <w:rPr>
          <w:rFonts w:ascii="Abadi" w:hAnsi="Abadi"/>
          <w:sz w:val="21"/>
          <w:szCs w:val="21"/>
        </w:rPr>
        <w:t xml:space="preserve">- Ese mismo informe del año 2018 destaca que las lesiones causadas en ese tipo de accidentes se convirtieron en la principal causa de muerte en niños y jóvenes en edades entre 5 y 29 años, se señala que casi la mitad de las defunciones por esta causa afectan a usuarios vulnerables de la vía pública,  es decir, a peatones ciclistas y motociclistas, esto es, puede afirmarse, que casi la mitad de las consecuencias fatales repercuten en personas que no viajaban en el vehículo que origina el accidente. </w:t>
      </w:r>
    </w:p>
    <w:p w14:paraId="25042400" w14:textId="77777777" w:rsidR="004A3B3C" w:rsidRPr="0030088F" w:rsidRDefault="004A3B3C" w:rsidP="004A3B3C">
      <w:pPr>
        <w:jc w:val="both"/>
        <w:rPr>
          <w:rFonts w:ascii="Abadi" w:hAnsi="Abadi"/>
          <w:sz w:val="21"/>
          <w:szCs w:val="21"/>
        </w:rPr>
      </w:pPr>
    </w:p>
    <w:p w14:paraId="21ADB9B5" w14:textId="77777777" w:rsidR="004A3B3C" w:rsidRPr="0030088F" w:rsidRDefault="004A3B3C" w:rsidP="004A3B3C">
      <w:pPr>
        <w:jc w:val="both"/>
        <w:rPr>
          <w:rFonts w:ascii="Abadi" w:hAnsi="Abadi"/>
          <w:sz w:val="21"/>
          <w:szCs w:val="21"/>
        </w:rPr>
      </w:pPr>
      <w:r w:rsidRPr="0030088F">
        <w:rPr>
          <w:rFonts w:ascii="Abadi" w:hAnsi="Abadi"/>
          <w:sz w:val="21"/>
          <w:szCs w:val="21"/>
        </w:rPr>
        <w:t xml:space="preserve">- El análisis de información arroja que a pesar de que en los países de ingreso medio y bajo circula aproximadamente el 60% de los vehículos del mundo en estas ocurre el 93% de las defunciones relacionadas con accidentes de tránsito la OMS, ha establecido los siguientes factores de riesgo. </w:t>
      </w:r>
    </w:p>
    <w:p w14:paraId="20BA077C" w14:textId="77777777" w:rsidR="004A3B3C" w:rsidRDefault="004A3B3C" w:rsidP="004A3B3C">
      <w:pPr>
        <w:jc w:val="both"/>
        <w:rPr>
          <w:rFonts w:ascii="Abadi" w:hAnsi="Abadi"/>
          <w:sz w:val="21"/>
          <w:szCs w:val="21"/>
        </w:rPr>
      </w:pPr>
      <w:r w:rsidRPr="0030088F">
        <w:rPr>
          <w:rFonts w:ascii="Abadi" w:hAnsi="Abadi"/>
          <w:sz w:val="21"/>
          <w:szCs w:val="21"/>
        </w:rPr>
        <w:t xml:space="preserve">- Primero, el enfoque de sistema seguro tener en cuenta el error humano este promueve un sistema de transporte seguro para todos los usuarios de las carreteras, teniendo en cuenta la vulnerabilidad de las personas a sufrir lesiones graves causadas por accidentes de tránsito reconociendo que el sistema se debe concebir para tolerar el error humano. </w:t>
      </w:r>
    </w:p>
    <w:p w14:paraId="6A541D62" w14:textId="77777777" w:rsidR="004A3B3C" w:rsidRPr="0030088F" w:rsidRDefault="004A3B3C" w:rsidP="004A3B3C">
      <w:pPr>
        <w:jc w:val="both"/>
        <w:rPr>
          <w:rFonts w:ascii="Abadi" w:hAnsi="Abadi"/>
          <w:sz w:val="21"/>
          <w:szCs w:val="21"/>
        </w:rPr>
      </w:pPr>
    </w:p>
    <w:p w14:paraId="3A6EFDE9" w14:textId="77777777" w:rsidR="004A3B3C" w:rsidRDefault="004A3B3C" w:rsidP="004A3B3C">
      <w:pPr>
        <w:jc w:val="both"/>
        <w:rPr>
          <w:rFonts w:ascii="Abadi" w:hAnsi="Abadi"/>
          <w:sz w:val="21"/>
          <w:szCs w:val="21"/>
        </w:rPr>
      </w:pPr>
      <w:r w:rsidRPr="0030088F">
        <w:rPr>
          <w:rFonts w:ascii="Abadi" w:hAnsi="Abadi"/>
          <w:sz w:val="21"/>
          <w:szCs w:val="21"/>
        </w:rPr>
        <w:t>- Segundo, la velocidad, se reconoce una relación proporcional entre el aumento de la velocidad media y la probabilidad de que ocurra un accidente con graves consecuencias, por ejemplo, cada aumento del 1% en la velocidad media da lugar a incrementos del 4% en el riesgo de que se produzca una colisión mortal y del 3% en el riesgo de colisión grave, el riesgo de muerte para los peatones atropellados frontalmente por un automóvil aumenta rápidamente, por ejemplo, si pasamos de 50 km a 65 km se multiplica por 4.5 veces en los impactos laterales entre automóviles que circulan a 65 km/h el riesgo de mortalidad para los ocupantes es del 85%</w:t>
      </w:r>
    </w:p>
    <w:p w14:paraId="1BBDD267" w14:textId="4BE20F3A" w:rsidR="004A3B3C" w:rsidRPr="0030088F" w:rsidRDefault="004A3B3C" w:rsidP="004A3B3C">
      <w:pPr>
        <w:jc w:val="both"/>
        <w:rPr>
          <w:rFonts w:ascii="Abadi" w:hAnsi="Abadi"/>
          <w:sz w:val="21"/>
          <w:szCs w:val="21"/>
        </w:rPr>
      </w:pPr>
      <w:r w:rsidRPr="0030088F">
        <w:rPr>
          <w:rFonts w:ascii="Abadi" w:hAnsi="Abadi"/>
          <w:sz w:val="21"/>
          <w:szCs w:val="21"/>
        </w:rPr>
        <w:t xml:space="preserve"> </w:t>
      </w:r>
    </w:p>
    <w:p w14:paraId="5C3D6F4A" w14:textId="77777777" w:rsidR="004A3B3C" w:rsidRDefault="004A3B3C" w:rsidP="004A3B3C">
      <w:pPr>
        <w:jc w:val="both"/>
        <w:rPr>
          <w:rFonts w:ascii="Abadi" w:hAnsi="Abadi"/>
          <w:sz w:val="21"/>
          <w:szCs w:val="21"/>
        </w:rPr>
      </w:pPr>
      <w:r w:rsidRPr="0030088F">
        <w:rPr>
          <w:rFonts w:ascii="Abadi" w:hAnsi="Abadi"/>
          <w:sz w:val="21"/>
          <w:szCs w:val="21"/>
        </w:rPr>
        <w:t xml:space="preserve">- Tercero, conducción bajo los efectos del alcohol u otras sustancias psicoactivas, conducir bajo los efectos del alcohol o de cualquier droga o sustancia psicoactiva aumenta el riesgo de que se produzca una colisión que cause muerte o lesiones graves, en los casos de conducción bajo los efectos del alcohol el riesgo de colisión es notorio incluso con concentraciones bajas de la sustancia en la sangre y aumenta considerablemente cuando la concentración del conductor es de 0.04/DL que significa gramos sobre decilitro o más, cuando el conductor ha tomado drogas el riesgo de colisión aumento en diversos grados en función de las sustancias psicoactivas, por ejemplo, el riesgo de accidente mortal de una persona que haya tomado anfetaminas, es unas cinco veces superior al de un conductor que no las haya consumido. </w:t>
      </w:r>
    </w:p>
    <w:p w14:paraId="06BA58ED" w14:textId="77777777" w:rsidR="004A3B3C" w:rsidRPr="0030088F" w:rsidRDefault="004A3B3C" w:rsidP="004A3B3C">
      <w:pPr>
        <w:jc w:val="both"/>
        <w:rPr>
          <w:rFonts w:ascii="Abadi" w:hAnsi="Abadi"/>
          <w:sz w:val="21"/>
          <w:szCs w:val="21"/>
        </w:rPr>
      </w:pPr>
    </w:p>
    <w:p w14:paraId="3BE35ABA" w14:textId="77777777" w:rsidR="004A3B3C" w:rsidRDefault="004A3B3C" w:rsidP="004A3B3C">
      <w:pPr>
        <w:jc w:val="both"/>
        <w:rPr>
          <w:rFonts w:ascii="Abadi" w:hAnsi="Abadi"/>
          <w:sz w:val="21"/>
          <w:szCs w:val="21"/>
        </w:rPr>
      </w:pPr>
      <w:r w:rsidRPr="0030088F">
        <w:rPr>
          <w:rFonts w:ascii="Abadi" w:hAnsi="Abadi"/>
          <w:sz w:val="21"/>
          <w:szCs w:val="21"/>
        </w:rPr>
        <w:t xml:space="preserve">- Cuarto,  no utilización de cascos cinturones de seguridad y sistemas de sujeción para </w:t>
      </w:r>
      <w:r w:rsidRPr="0030088F">
        <w:rPr>
          <w:rFonts w:ascii="Abadi" w:hAnsi="Abadi"/>
          <w:sz w:val="21"/>
          <w:szCs w:val="21"/>
        </w:rPr>
        <w:t xml:space="preserve">niños, el uso correcto del casco puede dar lugar a reducciones del 42% en el riesgo de traumatismos mortales y del 69% en el riesgo de traumatismos craneales asimismo ponerse el cinturón de seguridad reduce entre 145 y un 50% el riesgo de muerte entre los conductores y los ocupantes de los asientos delanteros, en el caso de los ocupantes de los asientos traseros este descenso es de un 25% además los sistemas de sujeción para niños permiten reducir en un 60% el riesgo de muerte. </w:t>
      </w:r>
    </w:p>
    <w:p w14:paraId="51160BF5" w14:textId="77777777" w:rsidR="004A3B3C" w:rsidRPr="0030088F" w:rsidRDefault="004A3B3C" w:rsidP="004A3B3C">
      <w:pPr>
        <w:jc w:val="both"/>
        <w:rPr>
          <w:rFonts w:ascii="Abadi" w:hAnsi="Abadi"/>
          <w:sz w:val="21"/>
          <w:szCs w:val="21"/>
        </w:rPr>
      </w:pPr>
    </w:p>
    <w:p w14:paraId="1C1C5A2E" w14:textId="77777777" w:rsidR="004A3B3C" w:rsidRDefault="004A3B3C" w:rsidP="004A3B3C">
      <w:pPr>
        <w:jc w:val="both"/>
        <w:rPr>
          <w:rFonts w:ascii="Abadi" w:hAnsi="Abadi"/>
          <w:sz w:val="21"/>
          <w:szCs w:val="21"/>
        </w:rPr>
      </w:pPr>
      <w:r w:rsidRPr="0030088F">
        <w:rPr>
          <w:rFonts w:ascii="Abadi" w:hAnsi="Abadi"/>
          <w:sz w:val="21"/>
          <w:szCs w:val="21"/>
        </w:rPr>
        <w:t xml:space="preserve">- Quinto, distracciones durante la conducción existen muchos tipos de distracciones que pueden afectar a la conducción la distracción provocada por el uso de teléfonos celulares es un motivo de preocupación cada vez mayor en el ámbito de la seguridad vial, los conductores que usan el teléfono mientras conducen tienen cuatro veces más probabilidades de verse involucrados en una colisión que los que no lo hacen esta distracción hace que se reduzca la velocidad de reacción sobre todo para frenar pero también frente a las señales de tránsito y que el vehículo tenga tendencia a no mantenerse en el carril correcto y a no guardar las debidas distancias, utilizar el manos libres, no es mucho más seguro que sujetar el teléfono en la mano y enviar mensajes de texto durante la conducción aumenta considerablemente el riesgo de colisión. </w:t>
      </w:r>
    </w:p>
    <w:p w14:paraId="5AD3C115" w14:textId="77777777" w:rsidR="004A3B3C" w:rsidRPr="0030088F" w:rsidRDefault="004A3B3C" w:rsidP="004A3B3C">
      <w:pPr>
        <w:jc w:val="both"/>
        <w:rPr>
          <w:rFonts w:ascii="Abadi" w:hAnsi="Abadi"/>
          <w:sz w:val="21"/>
          <w:szCs w:val="21"/>
        </w:rPr>
      </w:pPr>
    </w:p>
    <w:p w14:paraId="06BC4A91" w14:textId="77777777" w:rsidR="004A3B3C" w:rsidRDefault="004A3B3C" w:rsidP="004A3B3C">
      <w:pPr>
        <w:jc w:val="both"/>
        <w:rPr>
          <w:rFonts w:ascii="Abadi" w:hAnsi="Abadi"/>
          <w:sz w:val="21"/>
          <w:szCs w:val="21"/>
        </w:rPr>
      </w:pPr>
      <w:r w:rsidRPr="0030088F">
        <w:rPr>
          <w:rFonts w:ascii="Abadi" w:hAnsi="Abadi"/>
          <w:sz w:val="21"/>
          <w:szCs w:val="21"/>
        </w:rPr>
        <w:t xml:space="preserve">- Sexto o quinto -ya no me acuerdo- falta de seguridad de la infraestructura vial, el trazado vial puede afectar considerablemente a la seguridad teóricamente todas las vías se deberían concebir teniendo en cuenta la seguridad de todos los usuarios, esto supondría velar porque hubiera servicios adecuados para peatones ciclistas y motociclistas, las aceras los carriles para bicicletas los cruces seguros y otras medidas de ordenamiento del tránsito pueden ser fundamentales para reducir el riesgo de lesiones entre los usuarios continúo. </w:t>
      </w:r>
    </w:p>
    <w:p w14:paraId="75F228F8" w14:textId="77777777" w:rsidR="004A3B3C" w:rsidRPr="0030088F" w:rsidRDefault="004A3B3C" w:rsidP="004A3B3C">
      <w:pPr>
        <w:jc w:val="both"/>
        <w:rPr>
          <w:rFonts w:ascii="Abadi" w:hAnsi="Abadi"/>
          <w:sz w:val="21"/>
          <w:szCs w:val="21"/>
        </w:rPr>
      </w:pPr>
    </w:p>
    <w:p w14:paraId="00854478" w14:textId="77777777" w:rsidR="004A3B3C" w:rsidRDefault="004A3B3C" w:rsidP="004A3B3C">
      <w:pPr>
        <w:jc w:val="both"/>
        <w:rPr>
          <w:rFonts w:ascii="Abadi" w:hAnsi="Abadi"/>
          <w:sz w:val="21"/>
          <w:szCs w:val="21"/>
        </w:rPr>
      </w:pPr>
      <w:r w:rsidRPr="0030088F">
        <w:rPr>
          <w:rFonts w:ascii="Abadi" w:hAnsi="Abadi"/>
          <w:sz w:val="21"/>
          <w:szCs w:val="21"/>
        </w:rPr>
        <w:t xml:space="preserve">- Falta de seguridad de los vehículos. </w:t>
      </w:r>
    </w:p>
    <w:p w14:paraId="26120392" w14:textId="77777777" w:rsidR="004A3B3C" w:rsidRPr="0030088F" w:rsidRDefault="004A3B3C" w:rsidP="004A3B3C">
      <w:pPr>
        <w:jc w:val="both"/>
        <w:rPr>
          <w:rFonts w:ascii="Abadi" w:hAnsi="Abadi"/>
          <w:sz w:val="21"/>
          <w:szCs w:val="21"/>
        </w:rPr>
      </w:pPr>
    </w:p>
    <w:p w14:paraId="13A04E05" w14:textId="77777777" w:rsidR="004A3B3C" w:rsidRDefault="004A3B3C" w:rsidP="004A3B3C">
      <w:pPr>
        <w:jc w:val="both"/>
        <w:rPr>
          <w:rFonts w:ascii="Abadi" w:hAnsi="Abadi"/>
          <w:sz w:val="21"/>
          <w:szCs w:val="21"/>
        </w:rPr>
      </w:pPr>
      <w:r w:rsidRPr="0030088F">
        <w:rPr>
          <w:rFonts w:ascii="Abadi" w:hAnsi="Abadi"/>
          <w:sz w:val="21"/>
          <w:szCs w:val="21"/>
        </w:rPr>
        <w:t xml:space="preserve">- La seguridad de los vehículos es esencial para evitar colisiones y reducir la probabilidad de que se produzcan traumatismos graves, si las prescripciones de las naciones unidas en materia de seguridad de los vehículos se aplicarán a los criterios nacionales de fabricación y producción se podrían salvar </w:t>
      </w:r>
      <w:r w:rsidRPr="0030088F">
        <w:rPr>
          <w:rFonts w:ascii="Abadi" w:hAnsi="Abadi"/>
          <w:sz w:val="21"/>
          <w:szCs w:val="21"/>
        </w:rPr>
        <w:lastRenderedPageBreak/>
        <w:t>muchas vidas, por ejemplo, tales prescripciones exigen que los fabricantes de vehículos cumplan normas relativas a los impactos frontales y laterales, incluyan el control electrónico de la estabilidad para prevenir el sobreviraje y equipen todos los vehículos con bolsas de aire y cinturones de seguridad sin esas normas básicas el riesgo de que se produzcan colisiones y traumatismos aumenta considerablemente, tanto para los ocupantes del vehículo como para quienes están fuera de él, continuo.</w:t>
      </w:r>
    </w:p>
    <w:p w14:paraId="19A87AB2" w14:textId="77777777" w:rsidR="004A3B3C" w:rsidRPr="0030088F" w:rsidRDefault="004A3B3C" w:rsidP="004A3B3C">
      <w:pPr>
        <w:jc w:val="both"/>
        <w:rPr>
          <w:rFonts w:ascii="Abadi" w:hAnsi="Abadi"/>
          <w:sz w:val="21"/>
          <w:szCs w:val="21"/>
        </w:rPr>
      </w:pPr>
    </w:p>
    <w:p w14:paraId="07DDBF8E" w14:textId="77777777" w:rsidR="004A3B3C" w:rsidRDefault="004A3B3C" w:rsidP="004A3B3C">
      <w:pPr>
        <w:jc w:val="both"/>
        <w:rPr>
          <w:rFonts w:ascii="Abadi" w:hAnsi="Abadi"/>
          <w:sz w:val="21"/>
          <w:szCs w:val="21"/>
        </w:rPr>
      </w:pPr>
      <w:r w:rsidRPr="0030088F">
        <w:rPr>
          <w:rFonts w:ascii="Abadi" w:hAnsi="Abadi"/>
          <w:sz w:val="21"/>
          <w:szCs w:val="21"/>
        </w:rPr>
        <w:t>- Atención insuficiente tras la tras las colisiones.</w:t>
      </w:r>
    </w:p>
    <w:p w14:paraId="00859A68" w14:textId="77777777" w:rsidR="004A3B3C" w:rsidRPr="0030088F" w:rsidRDefault="004A3B3C" w:rsidP="004A3B3C">
      <w:pPr>
        <w:jc w:val="both"/>
        <w:rPr>
          <w:rFonts w:ascii="Abadi" w:hAnsi="Abadi"/>
          <w:sz w:val="21"/>
          <w:szCs w:val="21"/>
        </w:rPr>
      </w:pPr>
    </w:p>
    <w:p w14:paraId="610A703B" w14:textId="77777777" w:rsidR="004A3B3C" w:rsidRDefault="004A3B3C" w:rsidP="004A3B3C">
      <w:pPr>
        <w:jc w:val="both"/>
        <w:rPr>
          <w:rFonts w:ascii="Abadi" w:hAnsi="Abadi"/>
          <w:sz w:val="21"/>
          <w:szCs w:val="21"/>
        </w:rPr>
      </w:pPr>
      <w:r w:rsidRPr="0030088F">
        <w:rPr>
          <w:rFonts w:ascii="Abadi" w:hAnsi="Abadi"/>
          <w:sz w:val="21"/>
          <w:szCs w:val="21"/>
        </w:rPr>
        <w:t>- Las demoras para ofrecer asistencia y su prestación a las víctimas de las colisiones de tránsito aumentan la gravedad de las lesiones, la atención a estos traumatismos puede tener plazos críticos unos pocos minutos de demora, pueden impedir salvar una vida, para mejorar la atención posterior a las coaliciones es necesario asegurarse de que se da acceso a tiempo a la atención prehospitalaria y mejorar la calidad de la atención pre y hospitalaria, por ejemplo, mediante programas de formación especializada, continuo.</w:t>
      </w:r>
    </w:p>
    <w:p w14:paraId="5E124FA6" w14:textId="77777777" w:rsidR="004A3B3C" w:rsidRPr="0030088F" w:rsidRDefault="004A3B3C" w:rsidP="004A3B3C">
      <w:pPr>
        <w:jc w:val="both"/>
        <w:rPr>
          <w:rFonts w:ascii="Abadi" w:hAnsi="Abadi"/>
          <w:sz w:val="21"/>
          <w:szCs w:val="21"/>
        </w:rPr>
      </w:pPr>
    </w:p>
    <w:p w14:paraId="68806E1F" w14:textId="77777777" w:rsidR="004A3B3C" w:rsidRDefault="004A3B3C" w:rsidP="004A3B3C">
      <w:pPr>
        <w:jc w:val="both"/>
        <w:rPr>
          <w:rFonts w:ascii="Abadi" w:hAnsi="Abadi"/>
          <w:sz w:val="21"/>
          <w:szCs w:val="21"/>
        </w:rPr>
      </w:pPr>
      <w:r w:rsidRPr="0030088F">
        <w:rPr>
          <w:rFonts w:ascii="Abadi" w:hAnsi="Abadi"/>
          <w:sz w:val="21"/>
          <w:szCs w:val="21"/>
        </w:rPr>
        <w:t>- Cumplimiento insuficiente de las normas de tránsito.</w:t>
      </w:r>
    </w:p>
    <w:p w14:paraId="6668CFD5" w14:textId="77777777" w:rsidR="004A3B3C" w:rsidRPr="0030088F" w:rsidRDefault="004A3B3C" w:rsidP="004A3B3C">
      <w:pPr>
        <w:jc w:val="both"/>
        <w:rPr>
          <w:rFonts w:ascii="Abadi" w:hAnsi="Abadi"/>
          <w:sz w:val="21"/>
          <w:szCs w:val="21"/>
        </w:rPr>
      </w:pPr>
    </w:p>
    <w:p w14:paraId="220D85F6" w14:textId="77777777" w:rsidR="004A3B3C" w:rsidRDefault="004A3B3C" w:rsidP="004A3B3C">
      <w:pPr>
        <w:jc w:val="both"/>
        <w:rPr>
          <w:rFonts w:ascii="Abadi" w:hAnsi="Abadi"/>
          <w:sz w:val="21"/>
          <w:szCs w:val="21"/>
        </w:rPr>
      </w:pPr>
      <w:r w:rsidRPr="0030088F">
        <w:rPr>
          <w:rFonts w:ascii="Abadi" w:hAnsi="Abadi"/>
          <w:sz w:val="21"/>
          <w:szCs w:val="21"/>
        </w:rPr>
        <w:t>- Si no se aplican las normas de tránsito que regulan la conducción bajo los efectos del alcohol el uso del cinturón de seguridad los límites de velocidad el empleo de cascos y los sistemas de sujeción para niños no se podrá lograr la reducción prevista de defunciones y traumatismos debidos al tránsito relacionados con comportamientos específicos, por consiguiente, si no se hacen cumplir las normas de tránsito o si se percibe que no se hacen cumplir, es posible que no se las respete y consiguientemente será muy poco probable que influyan en los comportamientos, para que estas normas se es preciso establecer, actualizar regularmente y aplicar normas de prevención de los factores de riesgo mencionados en los niveles nacional municipal y local ello incluye también la definición de sanciones apropiadas.</w:t>
      </w:r>
    </w:p>
    <w:p w14:paraId="0770C834" w14:textId="77777777" w:rsidR="004A3B3C" w:rsidRPr="0030088F" w:rsidRDefault="004A3B3C" w:rsidP="004A3B3C">
      <w:pPr>
        <w:jc w:val="both"/>
        <w:rPr>
          <w:rFonts w:ascii="Abadi" w:hAnsi="Abadi"/>
          <w:sz w:val="21"/>
          <w:szCs w:val="21"/>
        </w:rPr>
      </w:pPr>
    </w:p>
    <w:p w14:paraId="7BD8FB04" w14:textId="77777777" w:rsidR="004A3B3C" w:rsidRDefault="004A3B3C" w:rsidP="004A3B3C">
      <w:pPr>
        <w:jc w:val="both"/>
        <w:rPr>
          <w:rFonts w:ascii="Abadi" w:hAnsi="Abadi"/>
          <w:sz w:val="21"/>
          <w:szCs w:val="21"/>
        </w:rPr>
      </w:pPr>
      <w:r w:rsidRPr="0030088F">
        <w:rPr>
          <w:rFonts w:ascii="Abadi" w:hAnsi="Abadi"/>
          <w:sz w:val="21"/>
          <w:szCs w:val="21"/>
        </w:rPr>
        <w:t xml:space="preserve">- El 31 de agosto del año 2020, la Asamblea General de las Naciones Unidas, emitió la resolución 74/299 denominada mejoramiento </w:t>
      </w:r>
      <w:r w:rsidRPr="0030088F">
        <w:rPr>
          <w:rFonts w:ascii="Abadi" w:hAnsi="Abadi"/>
          <w:sz w:val="21"/>
          <w:szCs w:val="21"/>
        </w:rPr>
        <w:t xml:space="preserve">de la seguridad vial en el mundo de la que se deriva la implementación del decenio de acción para la seguridad vial 2021-2030 cuyo objetivo es prevenir al menos el 50% de las defunciones y traumatismos por colisiones de tránsito en el año 2030. </w:t>
      </w:r>
    </w:p>
    <w:p w14:paraId="51727EEE" w14:textId="77777777" w:rsidR="004A3B3C" w:rsidRPr="0030088F" w:rsidRDefault="004A3B3C" w:rsidP="004A3B3C">
      <w:pPr>
        <w:jc w:val="both"/>
        <w:rPr>
          <w:rFonts w:ascii="Abadi" w:hAnsi="Abadi"/>
          <w:sz w:val="21"/>
          <w:szCs w:val="21"/>
        </w:rPr>
      </w:pPr>
    </w:p>
    <w:p w14:paraId="4E22C1B0" w14:textId="77777777" w:rsidR="004A3B3C" w:rsidRDefault="004A3B3C" w:rsidP="004A3B3C">
      <w:pPr>
        <w:jc w:val="both"/>
        <w:rPr>
          <w:rFonts w:ascii="Abadi" w:hAnsi="Abadi"/>
          <w:sz w:val="21"/>
          <w:szCs w:val="21"/>
        </w:rPr>
      </w:pPr>
      <w:r w:rsidRPr="0030088F">
        <w:rPr>
          <w:rFonts w:ascii="Abadi" w:hAnsi="Abadi"/>
          <w:sz w:val="21"/>
          <w:szCs w:val="21"/>
        </w:rPr>
        <w:t xml:space="preserve">- Mediante el plan mundial para el decenio de acción para la seguridad vial se propone un enfoque holístico basado en mejorar el diseño de las ciudades las carreteras y los vehículos acompañado de perfeccionar las leyes y su aplicación y mejorar la prestación de atención de emergencia en forma oportuna a los heridos, es así, que es pertinente revisar, y actualizar las leyes que tipifican el homicidio y lesiones que se ocasionan al conducir vehículos de motor bajo el influjo de bebidas alcohólicas o de alguna droga. </w:t>
      </w:r>
    </w:p>
    <w:p w14:paraId="113DC479" w14:textId="77777777" w:rsidR="004A3B3C" w:rsidRPr="0030088F" w:rsidRDefault="004A3B3C" w:rsidP="004A3B3C">
      <w:pPr>
        <w:jc w:val="both"/>
        <w:rPr>
          <w:rFonts w:ascii="Abadi" w:hAnsi="Abadi"/>
          <w:sz w:val="21"/>
          <w:szCs w:val="21"/>
        </w:rPr>
      </w:pPr>
    </w:p>
    <w:p w14:paraId="266D52E2" w14:textId="77777777" w:rsidR="004A3B3C" w:rsidRDefault="004A3B3C" w:rsidP="004A3B3C">
      <w:pPr>
        <w:jc w:val="both"/>
        <w:rPr>
          <w:rFonts w:ascii="Abadi" w:hAnsi="Abadi"/>
          <w:sz w:val="21"/>
          <w:szCs w:val="21"/>
        </w:rPr>
      </w:pPr>
      <w:r w:rsidRPr="0030088F">
        <w:rPr>
          <w:rFonts w:ascii="Abadi" w:hAnsi="Abadi"/>
          <w:sz w:val="21"/>
          <w:szCs w:val="21"/>
        </w:rPr>
        <w:t>- Actualmente al considerarse delito culposo en la codificación penal de nuestro estado esto sirve de fundamento para permitir que quienes cometen este acto antisocial lleven en libertad su proceso y en no pocos casos que la pena impuesta sea conmutable sin que en ningún momento el imputado sufra la privación de su libertad ni como prisión preventiva ni como sanción.</w:t>
      </w:r>
    </w:p>
    <w:p w14:paraId="79FCBEE6" w14:textId="77777777" w:rsidR="004A3B3C" w:rsidRPr="0030088F" w:rsidRDefault="004A3B3C" w:rsidP="004A3B3C">
      <w:pPr>
        <w:jc w:val="both"/>
        <w:rPr>
          <w:rFonts w:ascii="Abadi" w:hAnsi="Abadi"/>
          <w:sz w:val="21"/>
          <w:szCs w:val="21"/>
        </w:rPr>
      </w:pPr>
    </w:p>
    <w:p w14:paraId="4B1168B0" w14:textId="77777777" w:rsidR="004A3B3C" w:rsidRDefault="004A3B3C" w:rsidP="004A3B3C">
      <w:pPr>
        <w:jc w:val="both"/>
        <w:rPr>
          <w:rFonts w:ascii="Abadi" w:hAnsi="Abadi"/>
          <w:sz w:val="21"/>
          <w:szCs w:val="21"/>
        </w:rPr>
      </w:pPr>
      <w:r w:rsidRPr="0030088F">
        <w:rPr>
          <w:rFonts w:ascii="Abadi" w:hAnsi="Abadi"/>
          <w:sz w:val="21"/>
          <w:szCs w:val="21"/>
        </w:rPr>
        <w:t xml:space="preserve">- Este tipo de delito culposo en diversos códigos penales de otras entidades federativas como son la Ciudad de México y el estado de Nuevo León está calificado como grave lo que creemos adecuado debe en el caso de Guanajuato implementarse, por otra parte consideramos conveniente el concepto de que en esas codificaciones se utiliza de estado de alteración voluntaria o voluntario que se relaciona directamente con el estado de ebriedad o con el consumo de algún estupefaciente psicotrópico o sustancia que produzca algún efecto de alteración en los sentidos que por acción propia se realiza. </w:t>
      </w:r>
    </w:p>
    <w:p w14:paraId="34F95307" w14:textId="77777777" w:rsidR="004A3B3C" w:rsidRPr="0030088F" w:rsidRDefault="004A3B3C" w:rsidP="004A3B3C">
      <w:pPr>
        <w:jc w:val="both"/>
        <w:rPr>
          <w:rFonts w:ascii="Abadi" w:hAnsi="Abadi"/>
          <w:sz w:val="21"/>
          <w:szCs w:val="21"/>
        </w:rPr>
      </w:pPr>
    </w:p>
    <w:p w14:paraId="75EA17CD" w14:textId="77777777" w:rsidR="004A3B3C" w:rsidRDefault="004A3B3C" w:rsidP="004A3B3C">
      <w:pPr>
        <w:jc w:val="both"/>
        <w:rPr>
          <w:rFonts w:ascii="Abadi" w:hAnsi="Abadi"/>
          <w:sz w:val="21"/>
          <w:szCs w:val="21"/>
        </w:rPr>
      </w:pPr>
      <w:r w:rsidRPr="0030088F">
        <w:rPr>
          <w:rFonts w:ascii="Abadi" w:hAnsi="Abadi"/>
          <w:sz w:val="21"/>
          <w:szCs w:val="21"/>
        </w:rPr>
        <w:t xml:space="preserve">- Asimismo estimamos necesario establecer la medición de ebriedad conforme a parámetros para medición de alcohol en sangre y por otra parte presenten aliento para cubrir ambas posibilidades de evaluación adicionalmente de la posibilidad de su determinación por medio de diagnóstico clínico realizado por un profesional médico para dotar de certidumbre la evaluación de los hechos, de acuerdo al programa nacional de alcoholimetría se ha establecido la siguiente equivalencia de </w:t>
      </w:r>
      <w:r w:rsidRPr="0030088F">
        <w:rPr>
          <w:rFonts w:ascii="Abadi" w:hAnsi="Abadi"/>
          <w:sz w:val="21"/>
          <w:szCs w:val="21"/>
        </w:rPr>
        <w:lastRenderedPageBreak/>
        <w:t>concentración de alcohol para mediciones en sangre y aliento en esta se observan las medidas para sangre back, por sus siglas en inglés que sirve para medir la concentración de alcohol en la sangre el porcentaje de alcohol en la sangre y la medida de gramos de alcohol en 1 L de sangre, en lo que respecta a mediciones de alcohol en aliento se tiene la que expresa miligramos de alcohol en 1 L de aire expirado y la que mide gramos de alcohol en 210 L de aire espirado.</w:t>
      </w:r>
    </w:p>
    <w:p w14:paraId="2B15DF54" w14:textId="77777777" w:rsidR="004A3B3C" w:rsidRPr="0030088F" w:rsidRDefault="004A3B3C" w:rsidP="004A3B3C">
      <w:pPr>
        <w:jc w:val="both"/>
        <w:rPr>
          <w:rFonts w:ascii="Abadi" w:hAnsi="Abadi"/>
          <w:sz w:val="21"/>
          <w:szCs w:val="21"/>
        </w:rPr>
      </w:pPr>
    </w:p>
    <w:p w14:paraId="30A01AF2" w14:textId="77777777" w:rsidR="004A3B3C" w:rsidRDefault="004A3B3C" w:rsidP="004A3B3C">
      <w:pPr>
        <w:jc w:val="both"/>
        <w:rPr>
          <w:rFonts w:ascii="Abadi" w:hAnsi="Abadi"/>
          <w:sz w:val="21"/>
          <w:szCs w:val="21"/>
        </w:rPr>
      </w:pPr>
      <w:r w:rsidRPr="0030088F">
        <w:rPr>
          <w:rFonts w:ascii="Abadi" w:hAnsi="Abadi"/>
          <w:sz w:val="21"/>
          <w:szCs w:val="21"/>
        </w:rPr>
        <w:t>- Aunque no existe aún como norma establecida y en cada codificación administrativa o penal pueden encontrarse establecidos rangos de diferencia, diferentes para implementar sanciones la que más generalmente se ha aceptado es la que si ilustra sobre la tabla que no  puedo mostrarles pero que está en la iniciativa que físicamente se presentó en base a considerar que se presenta aliento alcohólico, se tiene una embriaguez incompleta completa y en base a estos se determina la no aptitud para conducir.</w:t>
      </w:r>
    </w:p>
    <w:p w14:paraId="6721F001" w14:textId="77777777" w:rsidR="004A3B3C" w:rsidRPr="0030088F" w:rsidRDefault="004A3B3C" w:rsidP="004A3B3C">
      <w:pPr>
        <w:jc w:val="both"/>
        <w:rPr>
          <w:rFonts w:ascii="Abadi" w:hAnsi="Abadi"/>
          <w:sz w:val="21"/>
          <w:szCs w:val="21"/>
        </w:rPr>
      </w:pPr>
    </w:p>
    <w:p w14:paraId="093678FB" w14:textId="77777777" w:rsidR="004A3B3C" w:rsidRDefault="004A3B3C" w:rsidP="004A3B3C">
      <w:pPr>
        <w:jc w:val="both"/>
        <w:rPr>
          <w:rFonts w:ascii="Abadi" w:hAnsi="Abadi"/>
          <w:sz w:val="21"/>
          <w:szCs w:val="21"/>
        </w:rPr>
      </w:pPr>
      <w:r w:rsidRPr="0030088F">
        <w:rPr>
          <w:rFonts w:ascii="Abadi" w:hAnsi="Abadi"/>
          <w:sz w:val="21"/>
          <w:szCs w:val="21"/>
        </w:rPr>
        <w:t>- Con base en lo expuesto se promueve la presente iniciativa, a efecto de satisfacer lo establecido en el artículo 209 de la Ley Orgánica del Poder Legislativo del Estado de Guanajuato, por lo que hace a:</w:t>
      </w:r>
    </w:p>
    <w:p w14:paraId="4E842C24" w14:textId="77777777" w:rsidR="004A3B3C" w:rsidRPr="0030088F" w:rsidRDefault="004A3B3C" w:rsidP="004A3B3C">
      <w:pPr>
        <w:jc w:val="both"/>
        <w:rPr>
          <w:rFonts w:ascii="Abadi" w:hAnsi="Abadi"/>
          <w:sz w:val="21"/>
          <w:szCs w:val="21"/>
        </w:rPr>
      </w:pPr>
    </w:p>
    <w:p w14:paraId="09CBD81B" w14:textId="77777777" w:rsidR="004A3B3C" w:rsidRDefault="004A3B3C" w:rsidP="004A3B3C">
      <w:pPr>
        <w:jc w:val="both"/>
        <w:rPr>
          <w:rFonts w:ascii="Abadi" w:hAnsi="Abadi"/>
          <w:sz w:val="21"/>
          <w:szCs w:val="21"/>
        </w:rPr>
      </w:pPr>
      <w:r w:rsidRPr="0030088F">
        <w:rPr>
          <w:rFonts w:ascii="Abadi" w:hAnsi="Abadi"/>
          <w:sz w:val="21"/>
          <w:szCs w:val="21"/>
        </w:rPr>
        <w:t>- Impacto jurídico, se adiciona una fracción 25 al artículo 11 una fracción VIII al artículo 153 del Código Penal del Estado de Guanajuato y se reforman los artículos 154 y 154-a de ese cuerpo normativo.</w:t>
      </w:r>
    </w:p>
    <w:p w14:paraId="271FE05E" w14:textId="77777777" w:rsidR="004A3B3C" w:rsidRPr="0030088F" w:rsidRDefault="004A3B3C" w:rsidP="004A3B3C">
      <w:pPr>
        <w:jc w:val="both"/>
        <w:rPr>
          <w:rFonts w:ascii="Abadi" w:hAnsi="Abadi"/>
          <w:sz w:val="21"/>
          <w:szCs w:val="21"/>
        </w:rPr>
      </w:pPr>
    </w:p>
    <w:p w14:paraId="6C2E29A5" w14:textId="77777777" w:rsidR="004A3B3C" w:rsidRDefault="004A3B3C" w:rsidP="004A3B3C">
      <w:pPr>
        <w:jc w:val="both"/>
        <w:rPr>
          <w:rFonts w:ascii="Abadi" w:hAnsi="Abadi"/>
          <w:sz w:val="21"/>
          <w:szCs w:val="21"/>
        </w:rPr>
      </w:pPr>
      <w:r w:rsidRPr="0030088F">
        <w:rPr>
          <w:rFonts w:ascii="Abadi" w:hAnsi="Abadi"/>
          <w:sz w:val="21"/>
          <w:szCs w:val="21"/>
        </w:rPr>
        <w:t xml:space="preserve">- Impacto administrativo, impacto presupuestario no existe ninguno de los dos casos. </w:t>
      </w:r>
    </w:p>
    <w:p w14:paraId="127866C4" w14:textId="77777777" w:rsidR="004A3B3C" w:rsidRPr="0030088F" w:rsidRDefault="004A3B3C" w:rsidP="004A3B3C">
      <w:pPr>
        <w:jc w:val="both"/>
        <w:rPr>
          <w:rFonts w:ascii="Abadi" w:hAnsi="Abadi"/>
          <w:sz w:val="21"/>
          <w:szCs w:val="21"/>
        </w:rPr>
      </w:pPr>
    </w:p>
    <w:p w14:paraId="420094BB" w14:textId="77777777" w:rsidR="004A3B3C" w:rsidRDefault="004A3B3C" w:rsidP="004A3B3C">
      <w:pPr>
        <w:jc w:val="both"/>
        <w:rPr>
          <w:rFonts w:ascii="Abadi" w:hAnsi="Abadi"/>
          <w:sz w:val="21"/>
          <w:szCs w:val="21"/>
        </w:rPr>
      </w:pPr>
      <w:r w:rsidRPr="0030088F">
        <w:rPr>
          <w:rFonts w:ascii="Abadi" w:hAnsi="Abadi"/>
          <w:sz w:val="21"/>
          <w:szCs w:val="21"/>
        </w:rPr>
        <w:t>- Impacto social se incorpora como delito grave y calificado, se incorpora como delito grave y calificado el homicidio y lesiones que se cometen bajo un estado de alteración voluntaria, ocasionado por la ingesta de bebidas alcohólicas o por influjo de estupefacientes o psicotrópicos u otras sustancias químicas que tengan efectos similares al ser ingeridos.</w:t>
      </w:r>
    </w:p>
    <w:p w14:paraId="359B48C3" w14:textId="77777777" w:rsidR="004A3B3C" w:rsidRPr="0030088F" w:rsidRDefault="004A3B3C" w:rsidP="004A3B3C">
      <w:pPr>
        <w:jc w:val="both"/>
        <w:rPr>
          <w:rFonts w:ascii="Abadi" w:hAnsi="Abadi"/>
          <w:sz w:val="21"/>
          <w:szCs w:val="21"/>
        </w:rPr>
      </w:pPr>
    </w:p>
    <w:p w14:paraId="2B569217" w14:textId="77777777" w:rsidR="004A3B3C" w:rsidRPr="0030088F" w:rsidRDefault="004A3B3C" w:rsidP="004A3B3C">
      <w:pPr>
        <w:jc w:val="both"/>
        <w:rPr>
          <w:rFonts w:ascii="Abadi" w:hAnsi="Abadi"/>
          <w:sz w:val="21"/>
          <w:szCs w:val="21"/>
        </w:rPr>
      </w:pPr>
      <w:r w:rsidRPr="0030088F">
        <w:rPr>
          <w:rFonts w:ascii="Abadi" w:hAnsi="Abadi"/>
          <w:sz w:val="21"/>
          <w:szCs w:val="21"/>
        </w:rPr>
        <w:t xml:space="preserve">- Por </w:t>
      </w:r>
      <w:proofErr w:type="gramStart"/>
      <w:r w:rsidRPr="0030088F">
        <w:rPr>
          <w:rFonts w:ascii="Abadi" w:hAnsi="Abadi"/>
          <w:sz w:val="21"/>
          <w:szCs w:val="21"/>
        </w:rPr>
        <w:t>lo  anteriormente</w:t>
      </w:r>
      <w:proofErr w:type="gramEnd"/>
      <w:r w:rsidRPr="0030088F">
        <w:rPr>
          <w:rFonts w:ascii="Abadi" w:hAnsi="Abadi"/>
          <w:sz w:val="21"/>
          <w:szCs w:val="21"/>
        </w:rPr>
        <w:t xml:space="preserve"> expuesto y fundado me permito someter a consideración de este pleno para su aprobación el siguiente decreto. </w:t>
      </w:r>
    </w:p>
    <w:p w14:paraId="332F5320" w14:textId="77777777" w:rsidR="004A3B3C" w:rsidRDefault="004A3B3C" w:rsidP="004A3B3C">
      <w:pPr>
        <w:jc w:val="both"/>
        <w:rPr>
          <w:rFonts w:ascii="Abadi" w:hAnsi="Abadi"/>
          <w:sz w:val="21"/>
          <w:szCs w:val="21"/>
        </w:rPr>
      </w:pPr>
      <w:r w:rsidRPr="0030088F">
        <w:rPr>
          <w:rFonts w:ascii="Abadi" w:hAnsi="Abadi"/>
          <w:sz w:val="21"/>
          <w:szCs w:val="21"/>
        </w:rPr>
        <w:t>- Artículo único. Se adiciona una fracción 25 de artículo 11 una fracción VIII del artículo 153 ambos del Código Penal del Estado de Guanajuato y se reforman los artículos 154 y 154-a de ese cuerpo normativo para quedar como sigue:</w:t>
      </w:r>
    </w:p>
    <w:p w14:paraId="2C6568EB" w14:textId="77777777" w:rsidR="004A3B3C" w:rsidRPr="0030088F" w:rsidRDefault="004A3B3C" w:rsidP="004A3B3C">
      <w:pPr>
        <w:jc w:val="both"/>
        <w:rPr>
          <w:rFonts w:ascii="Abadi" w:hAnsi="Abadi"/>
          <w:sz w:val="21"/>
          <w:szCs w:val="21"/>
        </w:rPr>
      </w:pPr>
    </w:p>
    <w:p w14:paraId="3994B324" w14:textId="77777777" w:rsidR="004A3B3C" w:rsidRDefault="004A3B3C" w:rsidP="004A3B3C">
      <w:pPr>
        <w:jc w:val="both"/>
        <w:rPr>
          <w:rFonts w:ascii="Abadi" w:hAnsi="Abadi"/>
          <w:sz w:val="21"/>
          <w:szCs w:val="21"/>
        </w:rPr>
      </w:pPr>
      <w:r w:rsidRPr="0030088F">
        <w:rPr>
          <w:rFonts w:ascii="Abadi" w:hAnsi="Abadi"/>
          <w:sz w:val="21"/>
          <w:szCs w:val="21"/>
        </w:rPr>
        <w:t>Artículo 11, se consideran como delitos graves para todos los efectos legales, los siguientes fracción XXV, que es la que se pretende adicionar, el homicidio y lesiones culposos previstos en los artículos ciento artículo 154 y 154-a.</w:t>
      </w:r>
    </w:p>
    <w:p w14:paraId="23194A10" w14:textId="77777777" w:rsidR="004A3B3C" w:rsidRPr="0030088F" w:rsidRDefault="004A3B3C" w:rsidP="004A3B3C">
      <w:pPr>
        <w:jc w:val="both"/>
        <w:rPr>
          <w:rFonts w:ascii="Abadi" w:hAnsi="Abadi"/>
          <w:sz w:val="21"/>
          <w:szCs w:val="21"/>
        </w:rPr>
      </w:pPr>
    </w:p>
    <w:p w14:paraId="18A92E9E" w14:textId="5D4955C6" w:rsidR="004A3B3C" w:rsidRDefault="004A3B3C" w:rsidP="004A3B3C">
      <w:pPr>
        <w:jc w:val="both"/>
        <w:rPr>
          <w:rFonts w:ascii="Abadi" w:hAnsi="Abadi"/>
          <w:sz w:val="21"/>
          <w:szCs w:val="21"/>
        </w:rPr>
      </w:pPr>
      <w:r w:rsidRPr="0030088F">
        <w:rPr>
          <w:rFonts w:ascii="Abadi" w:hAnsi="Abadi"/>
          <w:sz w:val="21"/>
          <w:szCs w:val="21"/>
        </w:rPr>
        <w:t>Artículo 153, se entiende que el homicidio y las relaciones son calificadas cuando y la fracción VIII, que se pretende adicionar es la siguiente;</w:t>
      </w:r>
    </w:p>
    <w:p w14:paraId="21730D44" w14:textId="77777777" w:rsidR="004A3B3C" w:rsidRPr="0030088F" w:rsidRDefault="004A3B3C" w:rsidP="004A3B3C">
      <w:pPr>
        <w:jc w:val="both"/>
        <w:rPr>
          <w:rFonts w:ascii="Abadi" w:hAnsi="Abadi"/>
          <w:sz w:val="21"/>
          <w:szCs w:val="21"/>
        </w:rPr>
      </w:pPr>
    </w:p>
    <w:p w14:paraId="2D6E2244" w14:textId="77777777" w:rsidR="004A3B3C" w:rsidRDefault="004A3B3C" w:rsidP="004A3B3C">
      <w:pPr>
        <w:jc w:val="both"/>
        <w:rPr>
          <w:rFonts w:ascii="Abadi" w:hAnsi="Abadi"/>
          <w:sz w:val="21"/>
          <w:szCs w:val="21"/>
        </w:rPr>
      </w:pPr>
      <w:r w:rsidRPr="0030088F">
        <w:rPr>
          <w:rFonts w:ascii="Abadi" w:hAnsi="Abadi"/>
          <w:sz w:val="21"/>
          <w:szCs w:val="21"/>
        </w:rPr>
        <w:t>- Se causen en un estado voluntario de intoxicación del sujeto activo por al menos una sustancia de las siguientes, alcohol, estupefacientes, psicotrópicos o sustancia que produzca efecto similar a las anteriores.</w:t>
      </w:r>
    </w:p>
    <w:p w14:paraId="648CC5DA" w14:textId="77777777" w:rsidR="004A3B3C" w:rsidRPr="0030088F" w:rsidRDefault="004A3B3C" w:rsidP="004A3B3C">
      <w:pPr>
        <w:jc w:val="both"/>
        <w:rPr>
          <w:rFonts w:ascii="Abadi" w:hAnsi="Abadi"/>
          <w:sz w:val="21"/>
          <w:szCs w:val="21"/>
        </w:rPr>
      </w:pPr>
    </w:p>
    <w:p w14:paraId="75254D63" w14:textId="77777777" w:rsidR="004A3B3C" w:rsidRDefault="004A3B3C" w:rsidP="004A3B3C">
      <w:pPr>
        <w:jc w:val="both"/>
        <w:rPr>
          <w:rFonts w:ascii="Abadi" w:hAnsi="Abadi"/>
          <w:sz w:val="21"/>
          <w:szCs w:val="21"/>
        </w:rPr>
      </w:pPr>
      <w:r w:rsidRPr="0030088F">
        <w:rPr>
          <w:rFonts w:ascii="Abadi" w:hAnsi="Abadi"/>
          <w:sz w:val="21"/>
          <w:szCs w:val="21"/>
        </w:rPr>
        <w:t>-Artículo 154 el homicidio culposo cometido por quien conduzca un vehículo y esto es lo que se pretende agregar en estado voluntario de intoxicación por el consumo de al menos una de las siguientes sustancias, bebidas alcohólicas, estupefacientes psicotrópicas o cualquier otra que produzca efecto similar a estas, se sancionará con 2 a 10 años de prisión 100 a 1000 días multas días multa y suspensión para conducir vehículos de motor por igual término.</w:t>
      </w:r>
    </w:p>
    <w:p w14:paraId="19E24B33" w14:textId="77777777" w:rsidR="004A3B3C" w:rsidRPr="0030088F" w:rsidRDefault="004A3B3C" w:rsidP="004A3B3C">
      <w:pPr>
        <w:jc w:val="both"/>
        <w:rPr>
          <w:rFonts w:ascii="Abadi" w:hAnsi="Abadi"/>
          <w:sz w:val="21"/>
          <w:szCs w:val="21"/>
        </w:rPr>
      </w:pPr>
    </w:p>
    <w:p w14:paraId="3316C221" w14:textId="77777777" w:rsidR="004A3B3C" w:rsidRDefault="004A3B3C" w:rsidP="004A3B3C">
      <w:pPr>
        <w:jc w:val="both"/>
        <w:rPr>
          <w:rFonts w:ascii="Abadi" w:hAnsi="Abadi"/>
          <w:sz w:val="21"/>
          <w:szCs w:val="21"/>
        </w:rPr>
      </w:pPr>
      <w:r w:rsidRPr="0030088F">
        <w:rPr>
          <w:rFonts w:ascii="Abadi" w:hAnsi="Abadi"/>
          <w:sz w:val="21"/>
          <w:szCs w:val="21"/>
        </w:rPr>
        <w:t>- Cuando las víctimas de este tipo de homicidio culposo sean dos o más se sancionará de 3 años a 14 años de prisión, si solamente resultar en lesiones a la pena de prisión fijada por el juez o el tribunal conforme al artículo 14 se agregará hasta 1/3 parte y suspensión para conducir vehículos de motor por igual término.</w:t>
      </w:r>
    </w:p>
    <w:p w14:paraId="05AE246B" w14:textId="77777777" w:rsidR="004A3B3C" w:rsidRPr="0030088F" w:rsidRDefault="004A3B3C" w:rsidP="004A3B3C">
      <w:pPr>
        <w:jc w:val="both"/>
        <w:rPr>
          <w:rFonts w:ascii="Abadi" w:hAnsi="Abadi"/>
          <w:sz w:val="21"/>
          <w:szCs w:val="21"/>
        </w:rPr>
      </w:pPr>
    </w:p>
    <w:p w14:paraId="0B224CE0" w14:textId="77777777" w:rsidR="004A3B3C" w:rsidRDefault="004A3B3C" w:rsidP="004A3B3C">
      <w:pPr>
        <w:jc w:val="both"/>
        <w:rPr>
          <w:rFonts w:ascii="Abadi" w:hAnsi="Abadi"/>
          <w:sz w:val="21"/>
          <w:szCs w:val="21"/>
        </w:rPr>
      </w:pPr>
      <w:r w:rsidRPr="0030088F">
        <w:rPr>
          <w:rFonts w:ascii="Abadi" w:hAnsi="Abadi"/>
          <w:sz w:val="21"/>
          <w:szCs w:val="21"/>
        </w:rPr>
        <w:t>- Se considera estado voluntario de intoxicación en el caso de consumo de bebidas alcohólicas cuando se tengan más de punto 5 miligramos de alcohol en 1 L de aire espirado o su equivalente de medición de alcohol en sangre u otra medida que se aplique para aire espirado.</w:t>
      </w:r>
    </w:p>
    <w:p w14:paraId="31332CF1" w14:textId="77777777" w:rsidR="004A3B3C" w:rsidRPr="0030088F" w:rsidRDefault="004A3B3C" w:rsidP="004A3B3C">
      <w:pPr>
        <w:jc w:val="both"/>
        <w:rPr>
          <w:rFonts w:ascii="Abadi" w:hAnsi="Abadi"/>
          <w:sz w:val="21"/>
          <w:szCs w:val="21"/>
        </w:rPr>
      </w:pPr>
    </w:p>
    <w:p w14:paraId="6BF126E5" w14:textId="77777777" w:rsidR="004A3B3C" w:rsidRDefault="004A3B3C" w:rsidP="004A3B3C">
      <w:pPr>
        <w:jc w:val="both"/>
        <w:rPr>
          <w:rFonts w:ascii="Abadi" w:hAnsi="Abadi"/>
          <w:sz w:val="21"/>
          <w:szCs w:val="21"/>
        </w:rPr>
      </w:pPr>
      <w:r w:rsidRPr="0030088F">
        <w:rPr>
          <w:rFonts w:ascii="Abadi" w:hAnsi="Abadi"/>
          <w:sz w:val="21"/>
          <w:szCs w:val="21"/>
        </w:rPr>
        <w:t xml:space="preserve">- Artículo 154-a el homicidio y las lesiones culposos cometidos por quien esté prestando </w:t>
      </w:r>
      <w:r w:rsidRPr="0030088F">
        <w:rPr>
          <w:rFonts w:ascii="Abadi" w:hAnsi="Abadi"/>
          <w:sz w:val="21"/>
          <w:szCs w:val="21"/>
        </w:rPr>
        <w:lastRenderedPageBreak/>
        <w:t>servicio público o remunerado de transporte de personas o cosas se sancionará con la punibilidad establecida en el artículo anterior si el activo hubiere hubiese obrado en estado voluntario de intoxicación por el consumo de al menos 1 de las siguientes sustancias bebidas alcohólicas estupefacientes psicotrópicas o cualquier otra que produzca efecto similar a estas la punibilidad para el homicidio será de 4 a 14 años de prisión si en este caso únicamente resultaron lesiones se aumentará hasta un medio de la pena de prisión prevista en el artículo 14 de este Código.</w:t>
      </w:r>
    </w:p>
    <w:p w14:paraId="3DEBDB88" w14:textId="4976C1AF" w:rsidR="004A3B3C" w:rsidRPr="0030088F" w:rsidRDefault="004A3B3C" w:rsidP="004A3B3C">
      <w:pPr>
        <w:jc w:val="both"/>
        <w:rPr>
          <w:rFonts w:ascii="Abadi" w:hAnsi="Abadi"/>
          <w:sz w:val="21"/>
          <w:szCs w:val="21"/>
        </w:rPr>
      </w:pPr>
      <w:r w:rsidRPr="0030088F">
        <w:rPr>
          <w:rFonts w:ascii="Abadi" w:hAnsi="Abadi"/>
          <w:sz w:val="21"/>
          <w:szCs w:val="21"/>
        </w:rPr>
        <w:t xml:space="preserve"> </w:t>
      </w:r>
    </w:p>
    <w:p w14:paraId="1C51C60D" w14:textId="77777777" w:rsidR="004A3B3C" w:rsidRDefault="004A3B3C" w:rsidP="004A3B3C">
      <w:pPr>
        <w:jc w:val="both"/>
        <w:rPr>
          <w:rFonts w:ascii="Abadi" w:hAnsi="Abadi"/>
          <w:sz w:val="21"/>
          <w:szCs w:val="21"/>
        </w:rPr>
      </w:pPr>
      <w:r w:rsidRPr="0030088F">
        <w:rPr>
          <w:rFonts w:ascii="Abadi" w:hAnsi="Abadi"/>
          <w:sz w:val="21"/>
          <w:szCs w:val="21"/>
        </w:rPr>
        <w:t>- Cuando las víctimas de este tipo de homicidio culposo sean dos o más se sancionará de 6 años a 18 años de prisión se considera estado voluntario de intoxicación en el caso de consumo de bebidas alcohólicas cuando se tengan más de punto 5 miligramos de alcohol en 1 L de aire espirado o su equivalente de medición de alcohol en sangre u otra medida que se aplique para aire espirado.</w:t>
      </w:r>
    </w:p>
    <w:p w14:paraId="16B524FC" w14:textId="77777777" w:rsidR="004A3B3C" w:rsidRPr="0030088F" w:rsidRDefault="004A3B3C" w:rsidP="004A3B3C">
      <w:pPr>
        <w:jc w:val="both"/>
        <w:rPr>
          <w:rFonts w:ascii="Abadi" w:hAnsi="Abadi"/>
          <w:sz w:val="21"/>
          <w:szCs w:val="21"/>
        </w:rPr>
      </w:pPr>
    </w:p>
    <w:p w14:paraId="0827ABCE" w14:textId="77777777" w:rsidR="004A3B3C" w:rsidRDefault="004A3B3C" w:rsidP="004A3B3C">
      <w:pPr>
        <w:jc w:val="both"/>
        <w:rPr>
          <w:rFonts w:ascii="Abadi" w:hAnsi="Abadi"/>
          <w:sz w:val="21"/>
          <w:szCs w:val="21"/>
        </w:rPr>
      </w:pPr>
      <w:r w:rsidRPr="0030088F">
        <w:rPr>
          <w:rFonts w:ascii="Abadi" w:hAnsi="Abadi"/>
          <w:sz w:val="21"/>
          <w:szCs w:val="21"/>
        </w:rPr>
        <w:t>- Artículo transitorio.</w:t>
      </w:r>
    </w:p>
    <w:p w14:paraId="512AC069" w14:textId="77777777" w:rsidR="004A3B3C" w:rsidRPr="0030088F" w:rsidRDefault="004A3B3C" w:rsidP="004A3B3C">
      <w:pPr>
        <w:jc w:val="both"/>
        <w:rPr>
          <w:rFonts w:ascii="Abadi" w:hAnsi="Abadi"/>
          <w:sz w:val="21"/>
          <w:szCs w:val="21"/>
        </w:rPr>
      </w:pPr>
    </w:p>
    <w:p w14:paraId="74F6B175" w14:textId="77777777" w:rsidR="004A3B3C" w:rsidRPr="0030088F" w:rsidRDefault="004A3B3C" w:rsidP="004A3B3C">
      <w:pPr>
        <w:jc w:val="both"/>
        <w:rPr>
          <w:rFonts w:ascii="Abadi" w:hAnsi="Abadi"/>
          <w:sz w:val="21"/>
          <w:szCs w:val="21"/>
        </w:rPr>
      </w:pPr>
      <w:r w:rsidRPr="0030088F">
        <w:rPr>
          <w:rFonts w:ascii="Abadi" w:hAnsi="Abadi"/>
          <w:sz w:val="21"/>
          <w:szCs w:val="21"/>
        </w:rPr>
        <w:t xml:space="preserve">- Único. El presente decreto entrará en vigor al día siguiente al de su publicación en el periódico oficial del estado de guanajuato. </w:t>
      </w:r>
    </w:p>
    <w:p w14:paraId="1BBDACA0" w14:textId="77777777" w:rsidR="004A3B3C" w:rsidRDefault="004A3B3C" w:rsidP="004A3B3C">
      <w:pPr>
        <w:jc w:val="both"/>
        <w:rPr>
          <w:rFonts w:ascii="Abadi" w:hAnsi="Abadi"/>
          <w:sz w:val="21"/>
          <w:szCs w:val="21"/>
        </w:rPr>
      </w:pPr>
    </w:p>
    <w:p w14:paraId="3702DB7A" w14:textId="04B7D6F2" w:rsidR="004A3B3C" w:rsidRDefault="004A3B3C" w:rsidP="004A3B3C">
      <w:pPr>
        <w:jc w:val="both"/>
        <w:rPr>
          <w:rFonts w:ascii="Abadi" w:hAnsi="Abadi"/>
          <w:sz w:val="21"/>
          <w:szCs w:val="21"/>
        </w:rPr>
      </w:pPr>
      <w:r w:rsidRPr="0030088F">
        <w:rPr>
          <w:rFonts w:ascii="Abadi" w:hAnsi="Abadi"/>
          <w:sz w:val="21"/>
          <w:szCs w:val="21"/>
        </w:rPr>
        <w:t xml:space="preserve">- Es cuanto muchas gracias. </w:t>
      </w:r>
    </w:p>
    <w:p w14:paraId="400013D1" w14:textId="77777777" w:rsidR="004A3B3C" w:rsidRPr="0030088F" w:rsidRDefault="004A3B3C" w:rsidP="004A3B3C">
      <w:pPr>
        <w:jc w:val="both"/>
        <w:rPr>
          <w:rFonts w:ascii="Abadi" w:hAnsi="Abadi"/>
          <w:sz w:val="21"/>
          <w:szCs w:val="21"/>
        </w:rPr>
      </w:pPr>
    </w:p>
    <w:p w14:paraId="03AAA879" w14:textId="1020672F" w:rsidR="004A3B3C" w:rsidRDefault="004A3B3C" w:rsidP="004A3B3C">
      <w:pPr>
        <w:jc w:val="both"/>
        <w:rPr>
          <w:rFonts w:ascii="Abadi" w:hAnsi="Abadi"/>
          <w:sz w:val="21"/>
          <w:szCs w:val="21"/>
        </w:rPr>
      </w:pPr>
      <w:r w:rsidRPr="0030088F">
        <w:rPr>
          <w:rFonts w:ascii="Abadi" w:hAnsi="Abadi"/>
          <w:sz w:val="21"/>
          <w:szCs w:val="21"/>
        </w:rPr>
        <w:t>¡</w:t>
      </w:r>
      <w:r>
        <w:rPr>
          <w:rFonts w:ascii="Abadi" w:hAnsi="Abadi"/>
          <w:sz w:val="21"/>
          <w:szCs w:val="21"/>
        </w:rPr>
        <w:t>S</w:t>
      </w:r>
      <w:r w:rsidRPr="0030088F">
        <w:rPr>
          <w:rFonts w:ascii="Abadi" w:hAnsi="Abadi"/>
          <w:sz w:val="21"/>
          <w:szCs w:val="21"/>
        </w:rPr>
        <w:t xml:space="preserve">i toma no manejen! </w:t>
      </w:r>
    </w:p>
    <w:p w14:paraId="060F1F76" w14:textId="77777777" w:rsidR="004A3B3C" w:rsidRPr="0030088F" w:rsidRDefault="004A3B3C" w:rsidP="004A3B3C">
      <w:pPr>
        <w:jc w:val="both"/>
        <w:rPr>
          <w:rFonts w:ascii="Abadi" w:hAnsi="Abadi"/>
          <w:sz w:val="21"/>
          <w:szCs w:val="21"/>
        </w:rPr>
      </w:pPr>
    </w:p>
    <w:p w14:paraId="450DD291" w14:textId="77777777" w:rsidR="004A3B3C" w:rsidRPr="0030088F" w:rsidRDefault="004A3B3C" w:rsidP="004A3B3C">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diputado. </w:t>
      </w:r>
    </w:p>
    <w:p w14:paraId="512E332A" w14:textId="77777777" w:rsidR="004A3B3C" w:rsidRDefault="004A3B3C" w:rsidP="004A3B3C">
      <w:pPr>
        <w:ind w:left="993" w:right="616"/>
        <w:jc w:val="both"/>
        <w:rPr>
          <w:rFonts w:ascii="Abadi" w:hAnsi="Abadi"/>
          <w:b/>
          <w:bCs/>
          <w:i/>
          <w:iCs/>
          <w:sz w:val="21"/>
          <w:szCs w:val="21"/>
          <w:u w:val="single"/>
        </w:rPr>
      </w:pPr>
    </w:p>
    <w:p w14:paraId="3E53EFC0" w14:textId="46233ED4" w:rsidR="004A3B3C" w:rsidRPr="0030088F" w:rsidRDefault="004A3B3C" w:rsidP="004A3B3C">
      <w:pPr>
        <w:ind w:left="993" w:right="616"/>
        <w:jc w:val="both"/>
        <w:rPr>
          <w:rFonts w:ascii="Abadi" w:hAnsi="Abadi"/>
          <w:b/>
          <w:bCs/>
          <w:i/>
          <w:iCs/>
          <w:sz w:val="21"/>
          <w:szCs w:val="21"/>
          <w:u w:val="single"/>
        </w:rPr>
      </w:pPr>
      <w:r w:rsidRPr="0030088F">
        <w:rPr>
          <w:rFonts w:ascii="Abadi" w:hAnsi="Abadi"/>
          <w:b/>
          <w:bCs/>
          <w:i/>
          <w:iCs/>
          <w:sz w:val="21"/>
          <w:szCs w:val="21"/>
          <w:u w:val="single"/>
        </w:rPr>
        <w:t>Se turna a la Comisión de Justicia con fundamento en el artículo 113 fracción II de nuestra Ley Orgánica para su estudio y dictamen.</w:t>
      </w:r>
    </w:p>
    <w:p w14:paraId="2B2BCAE2" w14:textId="718546B9" w:rsidR="00D60463" w:rsidRPr="000C6FEB" w:rsidRDefault="00D60463" w:rsidP="00D60463">
      <w:pPr>
        <w:spacing w:after="200"/>
        <w:ind w:right="647"/>
        <w:jc w:val="center"/>
        <w:rPr>
          <w:rFonts w:ascii="Abadi" w:hAnsi="Abadi"/>
          <w:sz w:val="21"/>
          <w:szCs w:val="21"/>
        </w:rPr>
      </w:pPr>
      <w:r w:rsidRPr="000C6FEB">
        <w:rPr>
          <w:rFonts w:ascii="Abadi" w:hAnsi="Abadi"/>
          <w:sz w:val="21"/>
          <w:szCs w:val="21"/>
        </w:rPr>
        <w:t xml:space="preserve"> </w:t>
      </w:r>
    </w:p>
    <w:p w14:paraId="60EBC9EA" w14:textId="5CC83CAD" w:rsidR="00374533" w:rsidRPr="00006796"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 xml:space="preserve">PRESENTACIÓN DEL INFORME DE RESULTADOS FORMULADO POR LA AUDITORÍA SUPERIOR DEL ESTADO DE GUANAJUATO RELATIVO A LA AUDITORÍA ESPECÍFICA CON ENFOQUE DE CUMPLIMIENTO FINANCIERO PRACTICADA A LA JUNTA MUNICIPAL DE </w:t>
      </w:r>
      <w:r w:rsidRPr="00006796">
        <w:rPr>
          <w:rFonts w:ascii="Abadi" w:hAnsi="Abadi" w:cs="ArialMT"/>
          <w:b/>
          <w:bCs/>
          <w:sz w:val="21"/>
          <w:szCs w:val="21"/>
        </w:rPr>
        <w:t>AGUA POTABLE Y ALCANTARILLADO DE CELAYA, GTO., POR EL EJERCICIO FISCAL DEL AÑO 2021.</w:t>
      </w:r>
      <w:r w:rsidR="004F55D4">
        <w:rPr>
          <w:rStyle w:val="Refdenotaalpie"/>
          <w:rFonts w:ascii="Abadi" w:hAnsi="Abadi" w:cs="ArialMT"/>
          <w:b/>
          <w:bCs/>
          <w:sz w:val="21"/>
          <w:szCs w:val="21"/>
        </w:rPr>
        <w:footnoteReference w:id="56"/>
      </w:r>
    </w:p>
    <w:p w14:paraId="50AE0B7F" w14:textId="77777777" w:rsidR="00374533" w:rsidRDefault="00374533" w:rsidP="00D34453">
      <w:pPr>
        <w:autoSpaceDE w:val="0"/>
        <w:autoSpaceDN w:val="0"/>
        <w:adjustRightInd w:val="0"/>
        <w:ind w:left="426"/>
        <w:jc w:val="both"/>
        <w:rPr>
          <w:rFonts w:ascii="Abadi" w:hAnsi="Abadi" w:cs="ArialMT"/>
          <w:b/>
          <w:bCs/>
          <w:sz w:val="21"/>
          <w:szCs w:val="21"/>
        </w:rPr>
      </w:pPr>
    </w:p>
    <w:p w14:paraId="63C51063" w14:textId="73749C6A" w:rsidR="00167A45" w:rsidRPr="00DC6F16" w:rsidRDefault="00494342" w:rsidP="00D34453">
      <w:pPr>
        <w:autoSpaceDE w:val="0"/>
        <w:autoSpaceDN w:val="0"/>
        <w:adjustRightInd w:val="0"/>
        <w:ind w:left="426"/>
        <w:jc w:val="both"/>
        <w:rPr>
          <w:rFonts w:ascii="Abadi" w:hAnsi="Abadi" w:cs="ArialMT"/>
          <w:b/>
          <w:bCs/>
          <w:sz w:val="21"/>
          <w:szCs w:val="21"/>
        </w:rPr>
      </w:pPr>
      <w:r w:rsidRPr="00DC6F16">
        <w:rPr>
          <w:rFonts w:ascii="Abadi" w:hAnsi="Abadi" w:cs="ArialMT"/>
          <w:b/>
          <w:bCs/>
          <w:sz w:val="21"/>
          <w:szCs w:val="21"/>
        </w:rPr>
        <w:t>Número de Ofici</w:t>
      </w:r>
      <w:r w:rsidR="005250D6" w:rsidRPr="00DC6F16">
        <w:rPr>
          <w:rFonts w:ascii="Abadi" w:hAnsi="Abadi" w:cs="ArialMT"/>
          <w:b/>
          <w:bCs/>
          <w:sz w:val="21"/>
          <w:szCs w:val="21"/>
        </w:rPr>
        <w:t>o ASEG</w:t>
      </w:r>
      <w:r w:rsidR="001511D9" w:rsidRPr="00DC6F16">
        <w:rPr>
          <w:rFonts w:ascii="Abadi" w:hAnsi="Abadi" w:cs="ArialMT"/>
          <w:b/>
          <w:bCs/>
          <w:sz w:val="21"/>
          <w:szCs w:val="21"/>
        </w:rPr>
        <w:t>/495/2023</w:t>
      </w:r>
    </w:p>
    <w:p w14:paraId="5F1DB72D" w14:textId="66050630" w:rsidR="001511D9" w:rsidRPr="00DC6F16" w:rsidRDefault="001511D9" w:rsidP="00D34453">
      <w:pPr>
        <w:autoSpaceDE w:val="0"/>
        <w:autoSpaceDN w:val="0"/>
        <w:adjustRightInd w:val="0"/>
        <w:ind w:left="426"/>
        <w:jc w:val="both"/>
        <w:rPr>
          <w:rFonts w:ascii="Abadi" w:hAnsi="Abadi" w:cs="ArialMT"/>
          <w:b/>
          <w:bCs/>
          <w:sz w:val="21"/>
          <w:szCs w:val="21"/>
        </w:rPr>
      </w:pPr>
      <w:r w:rsidRPr="00DC6F16">
        <w:rPr>
          <w:rFonts w:ascii="Abadi" w:hAnsi="Abadi" w:cs="ArialMT"/>
          <w:b/>
          <w:bCs/>
          <w:sz w:val="21"/>
          <w:szCs w:val="21"/>
        </w:rPr>
        <w:t xml:space="preserve">Asunto: se remite </w:t>
      </w:r>
      <w:r w:rsidR="00630E43" w:rsidRPr="00DC6F16">
        <w:rPr>
          <w:rFonts w:ascii="Abadi" w:hAnsi="Abadi" w:cs="ArialMT"/>
          <w:b/>
          <w:bCs/>
          <w:sz w:val="21"/>
          <w:szCs w:val="21"/>
        </w:rPr>
        <w:t xml:space="preserve">informe de resultados </w:t>
      </w:r>
    </w:p>
    <w:p w14:paraId="3A20E840" w14:textId="5784A7A0" w:rsidR="00630E43" w:rsidRPr="00DC6F16" w:rsidRDefault="00630E43" w:rsidP="00D34453">
      <w:pPr>
        <w:autoSpaceDE w:val="0"/>
        <w:autoSpaceDN w:val="0"/>
        <w:adjustRightInd w:val="0"/>
        <w:ind w:left="426"/>
        <w:jc w:val="both"/>
        <w:rPr>
          <w:rFonts w:ascii="Abadi" w:hAnsi="Abadi" w:cs="ArialMT"/>
          <w:b/>
          <w:bCs/>
          <w:sz w:val="21"/>
          <w:szCs w:val="21"/>
        </w:rPr>
      </w:pPr>
      <w:r w:rsidRPr="00DC6F16">
        <w:rPr>
          <w:rFonts w:ascii="Abadi" w:hAnsi="Abadi" w:cs="ArialMT"/>
          <w:b/>
          <w:bCs/>
          <w:sz w:val="21"/>
          <w:szCs w:val="21"/>
        </w:rPr>
        <w:t>Guanajuato</w:t>
      </w:r>
      <w:r w:rsidR="00B46B32" w:rsidRPr="00DC6F16">
        <w:rPr>
          <w:rFonts w:ascii="Abadi" w:hAnsi="Abadi" w:cs="ArialMT"/>
          <w:b/>
          <w:bCs/>
          <w:sz w:val="21"/>
          <w:szCs w:val="21"/>
        </w:rPr>
        <w:t xml:space="preserve">, </w:t>
      </w:r>
      <w:proofErr w:type="spellStart"/>
      <w:r w:rsidR="006D44B8" w:rsidRPr="00DC6F16">
        <w:rPr>
          <w:rFonts w:ascii="Abadi" w:hAnsi="Abadi" w:cs="ArialMT"/>
          <w:b/>
          <w:bCs/>
          <w:sz w:val="21"/>
          <w:szCs w:val="21"/>
        </w:rPr>
        <w:t>Gto</w:t>
      </w:r>
      <w:proofErr w:type="spellEnd"/>
      <w:r w:rsidR="006D44B8" w:rsidRPr="00DC6F16">
        <w:rPr>
          <w:rFonts w:ascii="Abadi" w:hAnsi="Abadi" w:cs="ArialMT"/>
          <w:b/>
          <w:bCs/>
          <w:sz w:val="21"/>
          <w:szCs w:val="21"/>
        </w:rPr>
        <w:t>., 14 de junio de 2023</w:t>
      </w:r>
    </w:p>
    <w:p w14:paraId="2823B96B" w14:textId="77777777" w:rsidR="008453EE" w:rsidRPr="00DC6F16" w:rsidRDefault="008453EE" w:rsidP="00D34453">
      <w:pPr>
        <w:autoSpaceDE w:val="0"/>
        <w:autoSpaceDN w:val="0"/>
        <w:adjustRightInd w:val="0"/>
        <w:ind w:left="426"/>
        <w:jc w:val="both"/>
        <w:rPr>
          <w:rFonts w:ascii="Abadi" w:hAnsi="Abadi" w:cs="ArialMT"/>
          <w:b/>
          <w:bCs/>
          <w:sz w:val="21"/>
          <w:szCs w:val="21"/>
        </w:rPr>
      </w:pPr>
    </w:p>
    <w:p w14:paraId="2552D00C" w14:textId="77777777" w:rsidR="008453EE" w:rsidRPr="00DC6F16" w:rsidRDefault="008453EE" w:rsidP="008453EE">
      <w:pPr>
        <w:autoSpaceDE w:val="0"/>
        <w:autoSpaceDN w:val="0"/>
        <w:adjustRightInd w:val="0"/>
        <w:rPr>
          <w:rFonts w:ascii="Abadi" w:hAnsi="Abadi" w:cs="ArialMT"/>
          <w:b/>
          <w:bCs/>
          <w:sz w:val="21"/>
          <w:szCs w:val="21"/>
        </w:rPr>
      </w:pPr>
      <w:r w:rsidRPr="00DC6F16">
        <w:rPr>
          <w:rFonts w:ascii="Abadi" w:hAnsi="Abadi" w:cs="ArialMT"/>
          <w:b/>
          <w:bCs/>
          <w:sz w:val="21"/>
          <w:szCs w:val="21"/>
        </w:rPr>
        <w:t>Mtra. Laura Cristina Márquez Alcalá</w:t>
      </w:r>
    </w:p>
    <w:p w14:paraId="75042988" w14:textId="77777777" w:rsidR="008453EE" w:rsidRPr="00DC6F16" w:rsidRDefault="008453EE" w:rsidP="008453EE">
      <w:pPr>
        <w:autoSpaceDE w:val="0"/>
        <w:autoSpaceDN w:val="0"/>
        <w:adjustRightInd w:val="0"/>
        <w:rPr>
          <w:rFonts w:ascii="Abadi" w:hAnsi="Abadi" w:cs="ArialMT"/>
          <w:b/>
          <w:bCs/>
          <w:sz w:val="21"/>
          <w:szCs w:val="21"/>
        </w:rPr>
      </w:pPr>
      <w:r w:rsidRPr="00DC6F16">
        <w:rPr>
          <w:rFonts w:ascii="Abadi" w:hAnsi="Abadi" w:cs="ArialMT"/>
          <w:b/>
          <w:bCs/>
          <w:sz w:val="21"/>
          <w:szCs w:val="21"/>
        </w:rPr>
        <w:t>Diputada Presidenta del H. Congreso del Estado de Guanajuato</w:t>
      </w:r>
    </w:p>
    <w:p w14:paraId="285D9818" w14:textId="3BBA4A0E" w:rsidR="008453EE" w:rsidRPr="00DC6F16" w:rsidRDefault="008453EE" w:rsidP="008453EE">
      <w:pPr>
        <w:autoSpaceDE w:val="0"/>
        <w:autoSpaceDN w:val="0"/>
        <w:adjustRightInd w:val="0"/>
        <w:jc w:val="both"/>
        <w:rPr>
          <w:rFonts w:ascii="Abadi" w:hAnsi="Abadi" w:cs="ArialMT"/>
          <w:b/>
          <w:bCs/>
          <w:sz w:val="21"/>
          <w:szCs w:val="21"/>
        </w:rPr>
      </w:pPr>
      <w:r w:rsidRPr="00DC6F16">
        <w:rPr>
          <w:rFonts w:ascii="Abadi" w:hAnsi="Abadi" w:cs="ArialMT"/>
          <w:b/>
          <w:bCs/>
          <w:sz w:val="21"/>
          <w:szCs w:val="21"/>
        </w:rPr>
        <w:t>Presente.</w:t>
      </w:r>
    </w:p>
    <w:p w14:paraId="3E290DBD" w14:textId="77777777" w:rsidR="00996EDE" w:rsidRPr="00DC6F16" w:rsidRDefault="00996EDE" w:rsidP="00D34453">
      <w:pPr>
        <w:autoSpaceDE w:val="0"/>
        <w:autoSpaceDN w:val="0"/>
        <w:adjustRightInd w:val="0"/>
        <w:ind w:left="426"/>
        <w:jc w:val="both"/>
        <w:rPr>
          <w:rFonts w:ascii="Abadi" w:hAnsi="Abadi" w:cs="ArialMT"/>
          <w:b/>
          <w:bCs/>
          <w:sz w:val="21"/>
          <w:szCs w:val="21"/>
        </w:rPr>
      </w:pPr>
    </w:p>
    <w:p w14:paraId="62D64F2C" w14:textId="77777777" w:rsidR="00996EDE" w:rsidRPr="00DC6F16" w:rsidRDefault="00996EDE" w:rsidP="00D34453">
      <w:pPr>
        <w:autoSpaceDE w:val="0"/>
        <w:autoSpaceDN w:val="0"/>
        <w:adjustRightInd w:val="0"/>
        <w:ind w:left="426"/>
        <w:jc w:val="both"/>
        <w:rPr>
          <w:rFonts w:ascii="Abadi" w:hAnsi="Abadi" w:cs="ArialMT"/>
          <w:b/>
          <w:bCs/>
          <w:sz w:val="21"/>
          <w:szCs w:val="21"/>
        </w:rPr>
      </w:pPr>
    </w:p>
    <w:p w14:paraId="73CA7AB5" w14:textId="77777777" w:rsidR="001B2CB9" w:rsidRPr="00DC6F16" w:rsidRDefault="001B2CB9" w:rsidP="00D34453">
      <w:pPr>
        <w:autoSpaceDE w:val="0"/>
        <w:autoSpaceDN w:val="0"/>
        <w:adjustRightInd w:val="0"/>
        <w:ind w:left="426"/>
        <w:jc w:val="both"/>
        <w:rPr>
          <w:rFonts w:ascii="Abadi" w:hAnsi="Abadi" w:cs="ArialMT"/>
          <w:b/>
          <w:bCs/>
          <w:sz w:val="21"/>
          <w:szCs w:val="21"/>
        </w:rPr>
      </w:pPr>
    </w:p>
    <w:p w14:paraId="331C5340" w14:textId="712F37E4" w:rsidR="001B2CB9" w:rsidRPr="00DC6F16" w:rsidRDefault="001B2CB9" w:rsidP="00DC6F16">
      <w:pPr>
        <w:autoSpaceDE w:val="0"/>
        <w:autoSpaceDN w:val="0"/>
        <w:adjustRightInd w:val="0"/>
        <w:jc w:val="both"/>
        <w:rPr>
          <w:rFonts w:ascii="Abadi" w:hAnsi="Abadi" w:cs="Arial"/>
          <w:b/>
          <w:bCs/>
          <w:sz w:val="21"/>
          <w:szCs w:val="21"/>
          <w:lang w:val="es-MX" w:eastAsia="es-MX"/>
        </w:rPr>
      </w:pPr>
      <w:r w:rsidRPr="00DC6F16">
        <w:rPr>
          <w:rFonts w:ascii="Abadi" w:hAnsi="Abadi" w:cs="Arial"/>
          <w:sz w:val="21"/>
          <w:szCs w:val="21"/>
          <w:lang w:val="es-MX" w:eastAsia="es-MX"/>
        </w:rPr>
        <w:t>Con fundamento en lo dispuesto en los artículos 63, fracción XXVIII, párrafo último y 66, fracción</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VIII, de la Constitución Política del Estado de Guanajuato; 256 de la Ley Orgánica del Poder</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Legislativo del Estado de Guanajuato; así como artículos 35, 37, fracciones V, 82, fracción XXIV</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y 87, fracción XII, de la Ley de Fiscalización Superior del Estado de Guanajuato, en relación con</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el artículo 28 del Reglamento de la Ley de Fiscalización Superior del Estado de Guanajuato, así</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como artículo 9, fracción XIX del Reglamento Interior de la Auditoría Superior del Estado de</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 xml:space="preserve">Guanajuato; remito en archivo electrónico, </w:t>
      </w:r>
      <w:r w:rsidRPr="00DC6F16">
        <w:rPr>
          <w:rFonts w:ascii="Abadi" w:hAnsi="Abadi" w:cs="Arial"/>
          <w:b/>
          <w:bCs/>
          <w:sz w:val="21"/>
          <w:szCs w:val="21"/>
          <w:lang w:val="es-MX" w:eastAsia="es-MX"/>
        </w:rPr>
        <w:t>el Informe de Resultados con motivo de la</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Auditoría Especifica con enfoque de cumplimiento financiero, con el objetivo de obtener</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una seguridad razonable respecto de si lo reportado en la facturación por la Junta</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Municipal de Agua Potable y Alcantarillado de Celaya, es consistente con la cantidad de</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m3 de agua extraídos de pozos para la explotación, uso y aprovechamiento de las aguas</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nacionales correspondiente al ejercicio fiscal 2021, y practicada a la Junta Municipal de</w:t>
      </w:r>
      <w:r w:rsidR="00DC6F16" w:rsidRPr="00DC6F16">
        <w:rPr>
          <w:rFonts w:ascii="Abadi" w:hAnsi="Abadi" w:cs="Arial"/>
          <w:b/>
          <w:bCs/>
          <w:sz w:val="21"/>
          <w:szCs w:val="21"/>
          <w:lang w:val="es-MX" w:eastAsia="es-MX"/>
        </w:rPr>
        <w:t xml:space="preserve"> </w:t>
      </w:r>
      <w:r w:rsidRPr="00DC6F16">
        <w:rPr>
          <w:rFonts w:ascii="Abadi" w:hAnsi="Abadi" w:cs="Arial"/>
          <w:b/>
          <w:bCs/>
          <w:sz w:val="21"/>
          <w:szCs w:val="21"/>
          <w:lang w:val="es-MX" w:eastAsia="es-MX"/>
        </w:rPr>
        <w:t>Agua Potable y Alcantarillado del municipio de Celaya, Guanajuato.</w:t>
      </w:r>
    </w:p>
    <w:p w14:paraId="21867E09" w14:textId="77777777" w:rsidR="00DC6F16" w:rsidRPr="00DC6F16" w:rsidRDefault="00DC6F16" w:rsidP="00DC6F16">
      <w:pPr>
        <w:autoSpaceDE w:val="0"/>
        <w:autoSpaceDN w:val="0"/>
        <w:adjustRightInd w:val="0"/>
        <w:jc w:val="both"/>
        <w:rPr>
          <w:rFonts w:ascii="Abadi" w:hAnsi="Abadi" w:cs="Arial"/>
          <w:b/>
          <w:bCs/>
          <w:sz w:val="21"/>
          <w:szCs w:val="21"/>
          <w:lang w:val="es-MX" w:eastAsia="es-MX"/>
        </w:rPr>
      </w:pPr>
    </w:p>
    <w:p w14:paraId="0679F0C4" w14:textId="6245C1E2" w:rsidR="001B2CB9" w:rsidRPr="00DC6F16" w:rsidRDefault="001B2CB9" w:rsidP="00DC6F16">
      <w:pPr>
        <w:autoSpaceDE w:val="0"/>
        <w:autoSpaceDN w:val="0"/>
        <w:adjustRightInd w:val="0"/>
        <w:jc w:val="both"/>
        <w:rPr>
          <w:rFonts w:ascii="Abadi" w:hAnsi="Abadi" w:cs="Arial"/>
          <w:sz w:val="21"/>
          <w:szCs w:val="21"/>
          <w:lang w:val="es-MX" w:eastAsia="es-MX"/>
        </w:rPr>
      </w:pPr>
      <w:r w:rsidRPr="00DC6F16">
        <w:rPr>
          <w:rFonts w:ascii="Abadi" w:hAnsi="Abadi" w:cs="Arial"/>
          <w:sz w:val="21"/>
          <w:szCs w:val="21"/>
          <w:lang w:val="es-MX" w:eastAsia="es-MX"/>
        </w:rPr>
        <w:t xml:space="preserve">El informe de resultados de referencia fue notificado el </w:t>
      </w:r>
      <w:r w:rsidRPr="00DC6F16">
        <w:rPr>
          <w:rFonts w:ascii="Abadi" w:hAnsi="Abadi" w:cs="Arial"/>
          <w:b/>
          <w:bCs/>
          <w:sz w:val="21"/>
          <w:szCs w:val="21"/>
          <w:lang w:val="es-MX" w:eastAsia="es-MX"/>
        </w:rPr>
        <w:t xml:space="preserve">6 de junio de 2023, </w:t>
      </w:r>
      <w:r w:rsidRPr="00DC6F16">
        <w:rPr>
          <w:rFonts w:ascii="Abadi" w:hAnsi="Abadi" w:cs="Arial"/>
          <w:sz w:val="21"/>
          <w:szCs w:val="21"/>
          <w:lang w:val="es-MX" w:eastAsia="es-MX"/>
        </w:rPr>
        <w:t>al sujeto fiscalizado,</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sin que posteriormente se promoviera recurso de reconsideración en su contra. De lo anterior, se</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envían las constancias necesarias para su debida acreditación.</w:t>
      </w:r>
    </w:p>
    <w:p w14:paraId="5E1C9D34" w14:textId="77777777" w:rsidR="00DC6F16" w:rsidRPr="00DC6F16" w:rsidRDefault="00DC6F16" w:rsidP="00DC6F16">
      <w:pPr>
        <w:autoSpaceDE w:val="0"/>
        <w:autoSpaceDN w:val="0"/>
        <w:adjustRightInd w:val="0"/>
        <w:jc w:val="both"/>
        <w:rPr>
          <w:rFonts w:ascii="Abadi" w:hAnsi="Abadi" w:cs="Arial"/>
          <w:sz w:val="21"/>
          <w:szCs w:val="21"/>
          <w:lang w:val="es-MX" w:eastAsia="es-MX"/>
        </w:rPr>
      </w:pPr>
    </w:p>
    <w:p w14:paraId="599893AE" w14:textId="39A0439C" w:rsidR="001B2CB9" w:rsidRDefault="001B2CB9" w:rsidP="00DC6F16">
      <w:pPr>
        <w:autoSpaceDE w:val="0"/>
        <w:autoSpaceDN w:val="0"/>
        <w:adjustRightInd w:val="0"/>
        <w:jc w:val="both"/>
        <w:rPr>
          <w:rFonts w:ascii="Abadi" w:hAnsi="Abadi" w:cs="Arial"/>
          <w:sz w:val="21"/>
          <w:szCs w:val="21"/>
          <w:lang w:val="es-MX" w:eastAsia="es-MX"/>
        </w:rPr>
      </w:pPr>
      <w:r w:rsidRPr="00DC6F16">
        <w:rPr>
          <w:rFonts w:ascii="Abadi" w:hAnsi="Abadi" w:cs="Arial"/>
          <w:sz w:val="21"/>
          <w:szCs w:val="21"/>
          <w:lang w:val="es-MX" w:eastAsia="es-MX"/>
        </w:rPr>
        <w:lastRenderedPageBreak/>
        <w:t>Sin otro particular por el momento, me despido reiterando la seguridad de mi más alta y</w:t>
      </w:r>
      <w:r w:rsidR="00DC6F16" w:rsidRPr="00DC6F16">
        <w:rPr>
          <w:rFonts w:ascii="Abadi" w:hAnsi="Abadi" w:cs="Arial"/>
          <w:sz w:val="21"/>
          <w:szCs w:val="21"/>
          <w:lang w:val="es-MX" w:eastAsia="es-MX"/>
        </w:rPr>
        <w:t xml:space="preserve"> </w:t>
      </w:r>
      <w:r w:rsidRPr="00DC6F16">
        <w:rPr>
          <w:rFonts w:ascii="Abadi" w:hAnsi="Abadi" w:cs="Arial"/>
          <w:sz w:val="21"/>
          <w:szCs w:val="21"/>
          <w:lang w:val="es-MX" w:eastAsia="es-MX"/>
        </w:rPr>
        <w:t>distinguida consideración.</w:t>
      </w:r>
    </w:p>
    <w:p w14:paraId="697A8CE3" w14:textId="77777777" w:rsidR="0031491C" w:rsidRDefault="0031491C" w:rsidP="0031491C">
      <w:pPr>
        <w:autoSpaceDE w:val="0"/>
        <w:autoSpaceDN w:val="0"/>
        <w:adjustRightInd w:val="0"/>
        <w:rPr>
          <w:rFonts w:ascii="Arial" w:hAnsi="Arial" w:cs="Arial"/>
          <w:b/>
          <w:bCs/>
          <w:sz w:val="22"/>
          <w:szCs w:val="22"/>
          <w:lang w:val="es-MX" w:eastAsia="es-MX"/>
        </w:rPr>
      </w:pPr>
    </w:p>
    <w:p w14:paraId="4595D982" w14:textId="2F1F93EC" w:rsidR="0031491C" w:rsidRPr="000407E1" w:rsidRDefault="0031491C" w:rsidP="0031491C">
      <w:pPr>
        <w:autoSpaceDE w:val="0"/>
        <w:autoSpaceDN w:val="0"/>
        <w:adjustRightInd w:val="0"/>
        <w:rPr>
          <w:rFonts w:ascii="Abadi" w:hAnsi="Abadi" w:cs="Arial"/>
          <w:b/>
          <w:bCs/>
          <w:sz w:val="21"/>
          <w:szCs w:val="21"/>
          <w:lang w:val="es-MX" w:eastAsia="es-MX"/>
        </w:rPr>
      </w:pPr>
      <w:r w:rsidRPr="000407E1">
        <w:rPr>
          <w:rFonts w:ascii="Abadi" w:hAnsi="Abadi" w:cs="Arial"/>
          <w:b/>
          <w:bCs/>
          <w:sz w:val="21"/>
          <w:szCs w:val="21"/>
          <w:lang w:val="es-MX" w:eastAsia="es-MX"/>
        </w:rPr>
        <w:t>Atentamente</w:t>
      </w:r>
    </w:p>
    <w:p w14:paraId="410A6C44" w14:textId="20C620DA" w:rsidR="0031491C" w:rsidRPr="000407E1" w:rsidRDefault="0031491C" w:rsidP="0031491C">
      <w:pPr>
        <w:autoSpaceDE w:val="0"/>
        <w:autoSpaceDN w:val="0"/>
        <w:adjustRightInd w:val="0"/>
        <w:jc w:val="both"/>
        <w:rPr>
          <w:rFonts w:ascii="Abadi" w:hAnsi="Abadi" w:cs="Arial"/>
          <w:b/>
          <w:bCs/>
          <w:sz w:val="21"/>
          <w:szCs w:val="21"/>
          <w:lang w:val="es-MX" w:eastAsia="es-MX"/>
        </w:rPr>
      </w:pPr>
      <w:r w:rsidRPr="000407E1">
        <w:rPr>
          <w:rFonts w:ascii="Abadi" w:hAnsi="Abadi" w:cs="Arial"/>
          <w:b/>
          <w:bCs/>
          <w:sz w:val="21"/>
          <w:szCs w:val="21"/>
          <w:lang w:val="es-MX" w:eastAsia="es-MX"/>
        </w:rPr>
        <w:t>El Auditor Superior</w:t>
      </w:r>
    </w:p>
    <w:p w14:paraId="4C85E389" w14:textId="77777777" w:rsidR="0031491C" w:rsidRPr="000407E1" w:rsidRDefault="0031491C" w:rsidP="0031491C">
      <w:pPr>
        <w:autoSpaceDE w:val="0"/>
        <w:autoSpaceDN w:val="0"/>
        <w:adjustRightInd w:val="0"/>
        <w:jc w:val="both"/>
        <w:rPr>
          <w:rFonts w:ascii="Abadi" w:hAnsi="Abadi" w:cs="Arial"/>
          <w:b/>
          <w:bCs/>
          <w:sz w:val="21"/>
          <w:szCs w:val="21"/>
          <w:lang w:val="es-MX" w:eastAsia="es-MX"/>
        </w:rPr>
      </w:pPr>
    </w:p>
    <w:p w14:paraId="33F0F719" w14:textId="5AD65EA0" w:rsidR="0031491C" w:rsidRPr="000407E1" w:rsidRDefault="0031491C" w:rsidP="0031491C">
      <w:pPr>
        <w:autoSpaceDE w:val="0"/>
        <w:autoSpaceDN w:val="0"/>
        <w:adjustRightInd w:val="0"/>
        <w:jc w:val="both"/>
        <w:rPr>
          <w:rFonts w:ascii="Abadi" w:hAnsi="Abadi" w:cs="Arial"/>
          <w:b/>
          <w:bCs/>
          <w:sz w:val="21"/>
          <w:szCs w:val="21"/>
          <w:lang w:val="es-MX" w:eastAsia="es-MX"/>
        </w:rPr>
      </w:pPr>
      <w:r w:rsidRPr="000407E1">
        <w:rPr>
          <w:rFonts w:ascii="Abadi" w:hAnsi="Abadi" w:cs="Arial"/>
          <w:b/>
          <w:bCs/>
          <w:sz w:val="21"/>
          <w:szCs w:val="21"/>
          <w:lang w:val="es-MX" w:eastAsia="es-MX"/>
        </w:rPr>
        <w:t>Lic. y M.F. Javier Pérez Salazar</w:t>
      </w:r>
    </w:p>
    <w:p w14:paraId="7A488D9F" w14:textId="77777777" w:rsidR="002159DA" w:rsidRDefault="002159DA" w:rsidP="0031491C">
      <w:pPr>
        <w:autoSpaceDE w:val="0"/>
        <w:autoSpaceDN w:val="0"/>
        <w:adjustRightInd w:val="0"/>
        <w:jc w:val="both"/>
        <w:rPr>
          <w:rFonts w:ascii="Arial" w:hAnsi="Arial" w:cs="Arial"/>
          <w:b/>
          <w:bCs/>
          <w:sz w:val="22"/>
          <w:szCs w:val="22"/>
          <w:lang w:val="es-MX" w:eastAsia="es-MX"/>
        </w:rPr>
      </w:pPr>
    </w:p>
    <w:p w14:paraId="325F0F39" w14:textId="634F696B" w:rsidR="002159DA" w:rsidRPr="001B5934" w:rsidRDefault="002159DA" w:rsidP="0047614F">
      <w:pPr>
        <w:autoSpaceDE w:val="0"/>
        <w:autoSpaceDN w:val="0"/>
        <w:adjustRightInd w:val="0"/>
        <w:ind w:right="1984"/>
        <w:jc w:val="both"/>
        <w:rPr>
          <w:rFonts w:ascii="Abadi" w:hAnsi="Abadi" w:cs="Arial"/>
          <w:sz w:val="21"/>
          <w:szCs w:val="21"/>
          <w:lang w:val="es-MX" w:eastAsia="es-MX"/>
        </w:rPr>
      </w:pPr>
      <w:r w:rsidRPr="001B5934">
        <w:rPr>
          <w:rFonts w:ascii="Abadi" w:hAnsi="Abadi" w:cs="Arial"/>
          <w:sz w:val="14"/>
          <w:szCs w:val="14"/>
          <w:lang w:val="es-MX" w:eastAsia="es-MX"/>
        </w:rPr>
        <w:t>El presente documento, se firma electrónicamente con fundamento en lo dispuesto en los artículos 15, segundo párrafo de la Ley de Fiscalización Superior del Estado de Guanajuato; 17, penúltimo párrafo del Reglamento de la Ley de Fiscalización Superior del Estado de Guanajuato; 3, de la Ley Sobre el Uso de Medios Electrónicos y Firma Electrónica para el Estado de Guanajuato y sus Municipios; 2, fracción I, del Reglamento del Poder</w:t>
      </w:r>
      <w:r w:rsidR="0047614F" w:rsidRPr="001B5934">
        <w:rPr>
          <w:rFonts w:ascii="Abadi" w:hAnsi="Abadi" w:cs="Arial"/>
          <w:sz w:val="14"/>
          <w:szCs w:val="14"/>
          <w:lang w:val="es-MX" w:eastAsia="es-MX"/>
        </w:rPr>
        <w:t xml:space="preserve"> </w:t>
      </w:r>
      <w:r w:rsidRPr="001B5934">
        <w:rPr>
          <w:rFonts w:ascii="Abadi" w:hAnsi="Abadi" w:cs="Arial"/>
          <w:sz w:val="14"/>
          <w:szCs w:val="14"/>
          <w:lang w:val="es-MX" w:eastAsia="es-MX"/>
        </w:rPr>
        <w:t>Legislativo</w:t>
      </w:r>
      <w:r>
        <w:rPr>
          <w:rFonts w:ascii="Arial" w:hAnsi="Arial" w:cs="Arial"/>
          <w:sz w:val="14"/>
          <w:szCs w:val="14"/>
          <w:lang w:val="es-MX" w:eastAsia="es-MX"/>
        </w:rPr>
        <w:t xml:space="preserve"> </w:t>
      </w:r>
      <w:r w:rsidRPr="001B5934">
        <w:rPr>
          <w:rFonts w:ascii="Abadi" w:hAnsi="Abadi" w:cs="Arial"/>
          <w:sz w:val="14"/>
          <w:szCs w:val="14"/>
          <w:lang w:val="es-MX" w:eastAsia="es-MX"/>
        </w:rPr>
        <w:t>del Estado de Guanajuato para el Uso de Medios Electrónicos y</w:t>
      </w:r>
      <w:r w:rsidR="0047614F" w:rsidRPr="001B5934">
        <w:rPr>
          <w:rFonts w:ascii="Abadi" w:hAnsi="Abadi" w:cs="Arial"/>
          <w:sz w:val="14"/>
          <w:szCs w:val="14"/>
          <w:lang w:val="es-MX" w:eastAsia="es-MX"/>
        </w:rPr>
        <w:t xml:space="preserve"> </w:t>
      </w:r>
      <w:r w:rsidRPr="001B5934">
        <w:rPr>
          <w:rFonts w:ascii="Abadi" w:hAnsi="Abadi" w:cs="Arial"/>
          <w:sz w:val="14"/>
          <w:szCs w:val="14"/>
          <w:lang w:val="es-MX" w:eastAsia="es-MX"/>
        </w:rPr>
        <w:t>Firma Electrónica; 1 de los Lineamientos Sobre el Uso de Medios Remotos de Comunicación Electrónica del Poder Legislativo del Estado de Guanajuato y 2, fracción I de los Lineamientos del Sistema de Fiscalización Electrónica de la Auditoría Superior del Estado de Guanajuato.</w:t>
      </w:r>
    </w:p>
    <w:p w14:paraId="16DBF671" w14:textId="77777777" w:rsidR="00DC6F16" w:rsidRPr="001B5934" w:rsidRDefault="00DC6F16" w:rsidP="00DC6F16">
      <w:pPr>
        <w:autoSpaceDE w:val="0"/>
        <w:autoSpaceDN w:val="0"/>
        <w:adjustRightInd w:val="0"/>
        <w:jc w:val="both"/>
        <w:rPr>
          <w:rFonts w:ascii="Abadi" w:hAnsi="Abadi" w:cs="ArialMT"/>
          <w:b/>
          <w:bCs/>
          <w:sz w:val="21"/>
          <w:szCs w:val="21"/>
        </w:rPr>
      </w:pPr>
    </w:p>
    <w:p w14:paraId="2F080D43" w14:textId="77777777" w:rsidR="001B5934" w:rsidRPr="001B5934" w:rsidRDefault="001B5934" w:rsidP="001B5934">
      <w:pPr>
        <w:autoSpaceDE w:val="0"/>
        <w:autoSpaceDN w:val="0"/>
        <w:adjustRightInd w:val="0"/>
        <w:rPr>
          <w:rFonts w:ascii="Abadi" w:hAnsi="Abadi" w:cs="Arial"/>
          <w:sz w:val="14"/>
          <w:szCs w:val="14"/>
          <w:lang w:val="es-MX" w:eastAsia="es-MX"/>
        </w:rPr>
      </w:pPr>
      <w:r w:rsidRPr="001B5934">
        <w:rPr>
          <w:rFonts w:ascii="Abadi" w:hAnsi="Abadi" w:cs="Arial"/>
          <w:sz w:val="14"/>
          <w:szCs w:val="14"/>
          <w:lang w:val="es-MX" w:eastAsia="es-MX"/>
        </w:rPr>
        <w:t>Con copia para:</w:t>
      </w:r>
    </w:p>
    <w:p w14:paraId="62F17E4E" w14:textId="77777777" w:rsidR="001B5934" w:rsidRPr="001B5934" w:rsidRDefault="001B5934" w:rsidP="001B5934">
      <w:pPr>
        <w:autoSpaceDE w:val="0"/>
        <w:autoSpaceDN w:val="0"/>
        <w:adjustRightInd w:val="0"/>
        <w:rPr>
          <w:rFonts w:ascii="Abadi" w:hAnsi="Abadi" w:cs="Arial"/>
          <w:sz w:val="14"/>
          <w:szCs w:val="14"/>
          <w:lang w:val="es-MX" w:eastAsia="es-MX"/>
        </w:rPr>
      </w:pPr>
      <w:r w:rsidRPr="001B5934">
        <w:rPr>
          <w:rFonts w:ascii="Segoe UI Symbol" w:eastAsia="Wingdings-Regular" w:hAnsi="Segoe UI Symbol" w:cs="Segoe UI Symbol"/>
          <w:sz w:val="14"/>
          <w:szCs w:val="14"/>
          <w:lang w:val="es-MX" w:eastAsia="es-MX"/>
        </w:rPr>
        <w:t>✓</w:t>
      </w:r>
      <w:r w:rsidRPr="001B5934">
        <w:rPr>
          <w:rFonts w:ascii="Abadi" w:eastAsia="Wingdings-Regular" w:hAnsi="Abadi" w:cs="Wingdings-Regular"/>
          <w:sz w:val="14"/>
          <w:szCs w:val="14"/>
          <w:lang w:val="es-MX" w:eastAsia="es-MX"/>
        </w:rPr>
        <w:t xml:space="preserve"> </w:t>
      </w:r>
      <w:r w:rsidRPr="001B5934">
        <w:rPr>
          <w:rFonts w:ascii="Abadi" w:hAnsi="Abadi" w:cs="Arial"/>
          <w:sz w:val="14"/>
          <w:szCs w:val="14"/>
          <w:lang w:val="es-MX" w:eastAsia="es-MX"/>
        </w:rPr>
        <w:t>Archivo.</w:t>
      </w:r>
    </w:p>
    <w:p w14:paraId="658774AA" w14:textId="77777777" w:rsidR="001B5934" w:rsidRPr="001B5934" w:rsidRDefault="001B5934" w:rsidP="001B5934">
      <w:pPr>
        <w:autoSpaceDE w:val="0"/>
        <w:autoSpaceDN w:val="0"/>
        <w:adjustRightInd w:val="0"/>
        <w:rPr>
          <w:rFonts w:ascii="Abadi" w:hAnsi="Abadi" w:cs="Arial"/>
          <w:sz w:val="14"/>
          <w:szCs w:val="14"/>
          <w:lang w:val="es-MX" w:eastAsia="es-MX"/>
        </w:rPr>
      </w:pPr>
      <w:r w:rsidRPr="001B5934">
        <w:rPr>
          <w:rFonts w:ascii="Segoe UI Symbol" w:eastAsia="Wingdings-Regular" w:hAnsi="Segoe UI Symbol" w:cs="Segoe UI Symbol"/>
          <w:sz w:val="14"/>
          <w:szCs w:val="14"/>
          <w:lang w:val="es-MX" w:eastAsia="es-MX"/>
        </w:rPr>
        <w:t>✓</w:t>
      </w:r>
      <w:r w:rsidRPr="001B5934">
        <w:rPr>
          <w:rFonts w:ascii="Abadi" w:eastAsia="Wingdings-Regular" w:hAnsi="Abadi" w:cs="Wingdings-Regular"/>
          <w:sz w:val="14"/>
          <w:szCs w:val="14"/>
          <w:lang w:val="es-MX" w:eastAsia="es-MX"/>
        </w:rPr>
        <w:t xml:space="preserve"> </w:t>
      </w:r>
      <w:r w:rsidRPr="001B5934">
        <w:rPr>
          <w:rFonts w:ascii="Abadi" w:hAnsi="Abadi" w:cs="Arial"/>
          <w:sz w:val="14"/>
          <w:szCs w:val="14"/>
          <w:lang w:val="es-MX" w:eastAsia="es-MX"/>
        </w:rPr>
        <w:t>Expediente</w:t>
      </w:r>
    </w:p>
    <w:p w14:paraId="3EB904FF" w14:textId="1893810A" w:rsidR="001B5934" w:rsidRPr="001B5934" w:rsidRDefault="001B5934" w:rsidP="001B5934">
      <w:pPr>
        <w:autoSpaceDE w:val="0"/>
        <w:autoSpaceDN w:val="0"/>
        <w:adjustRightInd w:val="0"/>
        <w:jc w:val="both"/>
        <w:rPr>
          <w:rFonts w:ascii="Abadi" w:hAnsi="Abadi" w:cs="Arial"/>
          <w:sz w:val="14"/>
          <w:szCs w:val="14"/>
          <w:lang w:val="es-MX" w:eastAsia="es-MX"/>
        </w:rPr>
      </w:pPr>
      <w:r w:rsidRPr="001B5934">
        <w:rPr>
          <w:rFonts w:ascii="Abadi" w:hAnsi="Abadi" w:cs="Arial"/>
          <w:sz w:val="14"/>
          <w:szCs w:val="14"/>
          <w:lang w:val="es-MX" w:eastAsia="es-MX"/>
        </w:rPr>
        <w:t>GSG/GRL/CAV</w:t>
      </w:r>
    </w:p>
    <w:p w14:paraId="2EC33EA8" w14:textId="77777777" w:rsidR="001B5934" w:rsidRDefault="001B5934" w:rsidP="001B5934">
      <w:pPr>
        <w:autoSpaceDE w:val="0"/>
        <w:autoSpaceDN w:val="0"/>
        <w:adjustRightInd w:val="0"/>
        <w:jc w:val="both"/>
        <w:rPr>
          <w:rFonts w:ascii="Arial" w:hAnsi="Arial" w:cs="Arial"/>
          <w:sz w:val="14"/>
          <w:szCs w:val="14"/>
          <w:lang w:val="es-MX" w:eastAsia="es-MX"/>
        </w:rPr>
      </w:pPr>
    </w:p>
    <w:p w14:paraId="14938917" w14:textId="77777777" w:rsidR="00862E27" w:rsidRDefault="00862E27" w:rsidP="001B5934">
      <w:pPr>
        <w:autoSpaceDE w:val="0"/>
        <w:autoSpaceDN w:val="0"/>
        <w:adjustRightInd w:val="0"/>
        <w:jc w:val="both"/>
        <w:rPr>
          <w:rFonts w:ascii="Abadi" w:hAnsi="Abadi" w:cs="ArialMT"/>
          <w:b/>
          <w:bCs/>
          <w:sz w:val="21"/>
          <w:szCs w:val="21"/>
        </w:rPr>
      </w:pPr>
    </w:p>
    <w:p w14:paraId="567F526D" w14:textId="77777777" w:rsidR="00123FB1" w:rsidRDefault="00123FB1" w:rsidP="00123FB1">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Enseguida se da cuenta con el informe de resultados mencionado en el punto noveno del orden del día. </w:t>
      </w:r>
      <w:r w:rsidRPr="0030088F">
        <w:rPr>
          <w:rFonts w:ascii="Abadi" w:hAnsi="Abadi"/>
          <w:b/>
          <w:bCs/>
          <w:sz w:val="21"/>
          <w:szCs w:val="21"/>
        </w:rPr>
        <w:t>(ELD 322/LXV-IRASEG)</w:t>
      </w:r>
    </w:p>
    <w:p w14:paraId="4E6B07F9" w14:textId="77777777" w:rsidR="00123FB1" w:rsidRPr="0030088F" w:rsidRDefault="00123FB1" w:rsidP="00123FB1">
      <w:pPr>
        <w:ind w:firstLine="708"/>
        <w:jc w:val="both"/>
        <w:rPr>
          <w:rFonts w:ascii="Abadi" w:hAnsi="Abadi"/>
          <w:b/>
          <w:bCs/>
          <w:sz w:val="21"/>
          <w:szCs w:val="21"/>
        </w:rPr>
      </w:pPr>
    </w:p>
    <w:p w14:paraId="6D8A1562" w14:textId="77777777" w:rsidR="00123FB1" w:rsidRDefault="00123FB1" w:rsidP="00123FB1">
      <w:pPr>
        <w:ind w:firstLine="708"/>
        <w:jc w:val="both"/>
        <w:rPr>
          <w:rFonts w:ascii="Abadi" w:hAnsi="Abadi"/>
          <w:sz w:val="21"/>
          <w:szCs w:val="21"/>
        </w:rPr>
      </w:pPr>
      <w:r w:rsidRPr="0030088F">
        <w:rPr>
          <w:rFonts w:ascii="Abadi" w:hAnsi="Abadi"/>
          <w:sz w:val="21"/>
          <w:szCs w:val="21"/>
        </w:rPr>
        <w:t xml:space="preserve">- Y con fundamento en el artículo 112 fracción 12 de nuestra Ley Orgánica. </w:t>
      </w:r>
    </w:p>
    <w:p w14:paraId="413EEE10" w14:textId="77777777" w:rsidR="00123FB1" w:rsidRPr="0030088F" w:rsidRDefault="00123FB1" w:rsidP="00123FB1">
      <w:pPr>
        <w:ind w:firstLine="708"/>
        <w:jc w:val="both"/>
        <w:rPr>
          <w:rFonts w:ascii="Abadi" w:hAnsi="Abadi"/>
          <w:sz w:val="21"/>
          <w:szCs w:val="21"/>
        </w:rPr>
      </w:pPr>
    </w:p>
    <w:p w14:paraId="65633F1E" w14:textId="77777777" w:rsidR="00123FB1" w:rsidRPr="0030088F" w:rsidRDefault="00123FB1" w:rsidP="00123FB1">
      <w:pPr>
        <w:ind w:left="709" w:right="474"/>
        <w:jc w:val="both"/>
        <w:rPr>
          <w:rFonts w:ascii="Abadi" w:hAnsi="Abadi"/>
          <w:b/>
          <w:bCs/>
          <w:i/>
          <w:iCs/>
          <w:sz w:val="21"/>
          <w:szCs w:val="21"/>
          <w:u w:val="single"/>
        </w:rPr>
      </w:pPr>
      <w:r w:rsidRPr="0030088F">
        <w:rPr>
          <w:rFonts w:ascii="Abadi" w:hAnsi="Abadi"/>
          <w:b/>
          <w:bCs/>
          <w:i/>
          <w:iCs/>
          <w:sz w:val="21"/>
          <w:szCs w:val="21"/>
          <w:u w:val="single"/>
        </w:rPr>
        <w:t xml:space="preserve">Se turna a la Comisión de Hacienda y Fiscalización para su estudio y dictamen. </w:t>
      </w:r>
    </w:p>
    <w:p w14:paraId="20D15B90" w14:textId="77777777" w:rsidR="00862E27" w:rsidRPr="00006796" w:rsidRDefault="00862E27" w:rsidP="001B5934">
      <w:pPr>
        <w:autoSpaceDE w:val="0"/>
        <w:autoSpaceDN w:val="0"/>
        <w:adjustRightInd w:val="0"/>
        <w:jc w:val="both"/>
        <w:rPr>
          <w:rFonts w:ascii="Abadi" w:hAnsi="Abadi" w:cs="ArialMT"/>
          <w:b/>
          <w:bCs/>
          <w:sz w:val="21"/>
          <w:szCs w:val="21"/>
        </w:rPr>
      </w:pPr>
    </w:p>
    <w:p w14:paraId="3FFBD9C8" w14:textId="12F1EB8D"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 xml:space="preserve">PRESENTACIÓN DE LA PROPUESTA DE PUNTO DE ACUERDO SUSCRITA POR DIPUTADA Y DIPUTADOS INTEGRANTES DEL GRUPO PARLAMENTARIO DEL </w:t>
      </w:r>
      <w:r w:rsidRPr="00006796">
        <w:rPr>
          <w:rFonts w:ascii="Abadi" w:hAnsi="Abadi" w:cs="ArialMT"/>
          <w:b/>
          <w:bCs/>
          <w:sz w:val="21"/>
          <w:szCs w:val="21"/>
        </w:rPr>
        <w:t>PARTIDO MORENA, A EFECTO DE EXHORTAR AL GOBERNADOR DEL ESTADO.</w:t>
      </w:r>
      <w:r w:rsidR="004B37F5">
        <w:rPr>
          <w:rStyle w:val="Refdenotaalpie"/>
          <w:rFonts w:ascii="Abadi" w:hAnsi="Abadi" w:cs="ArialMT"/>
          <w:b/>
          <w:bCs/>
          <w:sz w:val="21"/>
          <w:szCs w:val="21"/>
        </w:rPr>
        <w:footnoteReference w:id="57"/>
      </w:r>
    </w:p>
    <w:p w14:paraId="1F08F4F6" w14:textId="77777777" w:rsidR="00B6782F" w:rsidRDefault="00B6782F" w:rsidP="00B6782F">
      <w:pPr>
        <w:autoSpaceDE w:val="0"/>
        <w:autoSpaceDN w:val="0"/>
        <w:adjustRightInd w:val="0"/>
        <w:contextualSpacing/>
        <w:jc w:val="both"/>
        <w:rPr>
          <w:rFonts w:ascii="Abadi" w:hAnsi="Abadi" w:cs="ArialMT"/>
          <w:b/>
          <w:bCs/>
          <w:sz w:val="21"/>
          <w:szCs w:val="21"/>
        </w:rPr>
      </w:pPr>
    </w:p>
    <w:p w14:paraId="435E9FDA" w14:textId="77777777" w:rsidR="00563C7D" w:rsidRDefault="00563C7D" w:rsidP="00B6782F">
      <w:pPr>
        <w:autoSpaceDE w:val="0"/>
        <w:autoSpaceDN w:val="0"/>
        <w:adjustRightInd w:val="0"/>
        <w:contextualSpacing/>
        <w:jc w:val="both"/>
        <w:rPr>
          <w:rFonts w:ascii="Abadi" w:hAnsi="Abadi" w:cs="ArialMT"/>
          <w:b/>
          <w:bCs/>
          <w:sz w:val="21"/>
          <w:szCs w:val="21"/>
        </w:rPr>
      </w:pPr>
    </w:p>
    <w:p w14:paraId="1C570637" w14:textId="07CD7FD7" w:rsidR="00563C7D" w:rsidRDefault="0015497E" w:rsidP="00B6782F">
      <w:pPr>
        <w:autoSpaceDE w:val="0"/>
        <w:autoSpaceDN w:val="0"/>
        <w:adjustRightInd w:val="0"/>
        <w:contextualSpacing/>
        <w:jc w:val="both"/>
        <w:rPr>
          <w:rFonts w:ascii="Abadi" w:hAnsi="Abadi" w:cs="ArialMT"/>
          <w:b/>
          <w:bCs/>
          <w:sz w:val="21"/>
          <w:szCs w:val="21"/>
        </w:rPr>
      </w:pPr>
      <w:r>
        <w:rPr>
          <w:rFonts w:ascii="Abadi" w:hAnsi="Abadi" w:cs="ArialMT"/>
          <w:b/>
          <w:bCs/>
          <w:sz w:val="21"/>
          <w:szCs w:val="21"/>
        </w:rPr>
        <w:t xml:space="preserve">Diputada Laura Cristina Márquez </w:t>
      </w:r>
      <w:r w:rsidR="004E6B9A">
        <w:rPr>
          <w:rFonts w:ascii="Abadi" w:hAnsi="Abadi" w:cs="ArialMT"/>
          <w:b/>
          <w:bCs/>
          <w:sz w:val="21"/>
          <w:szCs w:val="21"/>
        </w:rPr>
        <w:t>Alcalá</w:t>
      </w:r>
    </w:p>
    <w:p w14:paraId="152EED2C" w14:textId="0A842C48" w:rsidR="004E6B9A" w:rsidRDefault="00B00AD1" w:rsidP="00B6782F">
      <w:pPr>
        <w:autoSpaceDE w:val="0"/>
        <w:autoSpaceDN w:val="0"/>
        <w:adjustRightInd w:val="0"/>
        <w:contextualSpacing/>
        <w:jc w:val="both"/>
        <w:rPr>
          <w:rFonts w:ascii="Abadi" w:hAnsi="Abadi" w:cs="ArialMT"/>
          <w:b/>
          <w:bCs/>
          <w:sz w:val="21"/>
          <w:szCs w:val="21"/>
        </w:rPr>
      </w:pPr>
      <w:r>
        <w:rPr>
          <w:rFonts w:ascii="Abadi" w:hAnsi="Abadi" w:cs="ArialMT"/>
          <w:b/>
          <w:bCs/>
          <w:sz w:val="21"/>
          <w:szCs w:val="21"/>
        </w:rPr>
        <w:t>Presidenta de la Mesa Directiva del Congreso del Estado</w:t>
      </w:r>
      <w:r w:rsidR="00C51856">
        <w:rPr>
          <w:rFonts w:ascii="Abadi" w:hAnsi="Abadi" w:cs="ArialMT"/>
          <w:b/>
          <w:bCs/>
          <w:sz w:val="21"/>
          <w:szCs w:val="21"/>
        </w:rPr>
        <w:t xml:space="preserve"> de Guanajuato</w:t>
      </w:r>
    </w:p>
    <w:p w14:paraId="09C0065C" w14:textId="6BAD0726" w:rsidR="00F3458D" w:rsidRDefault="00F3458D" w:rsidP="00B6782F">
      <w:pPr>
        <w:autoSpaceDE w:val="0"/>
        <w:autoSpaceDN w:val="0"/>
        <w:adjustRightInd w:val="0"/>
        <w:contextualSpacing/>
        <w:jc w:val="both"/>
        <w:rPr>
          <w:rFonts w:ascii="Abadi" w:hAnsi="Abadi" w:cs="ArialMT"/>
          <w:b/>
          <w:bCs/>
          <w:sz w:val="21"/>
          <w:szCs w:val="21"/>
        </w:rPr>
      </w:pPr>
      <w:r>
        <w:rPr>
          <w:rFonts w:ascii="Abadi" w:hAnsi="Abadi" w:cs="ArialMT"/>
          <w:b/>
          <w:bCs/>
          <w:sz w:val="21"/>
          <w:szCs w:val="21"/>
        </w:rPr>
        <w:t>LXV Legislatura</w:t>
      </w:r>
    </w:p>
    <w:p w14:paraId="49A02385" w14:textId="00C8C66C" w:rsidR="0061243F" w:rsidRDefault="0061243F" w:rsidP="00B6782F">
      <w:pPr>
        <w:autoSpaceDE w:val="0"/>
        <w:autoSpaceDN w:val="0"/>
        <w:adjustRightInd w:val="0"/>
        <w:contextualSpacing/>
        <w:jc w:val="both"/>
        <w:rPr>
          <w:rFonts w:ascii="Abadi" w:hAnsi="Abadi" w:cs="ArialMT"/>
          <w:b/>
          <w:bCs/>
          <w:sz w:val="21"/>
          <w:szCs w:val="21"/>
        </w:rPr>
      </w:pPr>
      <w:r>
        <w:rPr>
          <w:rFonts w:ascii="Abadi" w:hAnsi="Abadi" w:cs="ArialMT"/>
          <w:b/>
          <w:bCs/>
          <w:sz w:val="21"/>
          <w:szCs w:val="21"/>
        </w:rPr>
        <w:t>Presente</w:t>
      </w:r>
    </w:p>
    <w:p w14:paraId="39D6A12D" w14:textId="77777777" w:rsidR="00330E3D" w:rsidRDefault="00330E3D" w:rsidP="00B6782F">
      <w:pPr>
        <w:autoSpaceDE w:val="0"/>
        <w:autoSpaceDN w:val="0"/>
        <w:adjustRightInd w:val="0"/>
        <w:contextualSpacing/>
        <w:jc w:val="both"/>
        <w:rPr>
          <w:rFonts w:ascii="Abadi" w:hAnsi="Abadi" w:cs="ArialMT"/>
          <w:b/>
          <w:bCs/>
          <w:sz w:val="21"/>
          <w:szCs w:val="21"/>
        </w:rPr>
      </w:pPr>
    </w:p>
    <w:p w14:paraId="0BB2F5B7" w14:textId="77777777" w:rsidR="00330E3D" w:rsidRPr="00330E3D" w:rsidRDefault="00330E3D" w:rsidP="00330E3D">
      <w:pPr>
        <w:pStyle w:val="Textoindependiente"/>
        <w:spacing w:before="207"/>
        <w:rPr>
          <w:rFonts w:ascii="Abadi" w:hAnsi="Abadi"/>
          <w:b w:val="0"/>
          <w:bCs w:val="0"/>
          <w:sz w:val="21"/>
          <w:szCs w:val="21"/>
        </w:rPr>
      </w:pPr>
      <w:r w:rsidRPr="00330E3D">
        <w:rPr>
          <w:rFonts w:ascii="Abadi" w:hAnsi="Abadi"/>
          <w:b w:val="0"/>
          <w:bCs w:val="0"/>
          <w:sz w:val="21"/>
          <w:szCs w:val="21"/>
        </w:rPr>
        <w:t xml:space="preserve">Las Diputadas y Diputados del Grupo Parlamentario de MORENA en la LXV </w:t>
      </w:r>
      <w:r w:rsidRPr="00330E3D">
        <w:rPr>
          <w:rFonts w:ascii="Abadi" w:hAnsi="Abadi"/>
          <w:b w:val="0"/>
          <w:bCs w:val="0"/>
          <w:spacing w:val="-6"/>
          <w:sz w:val="21"/>
          <w:szCs w:val="21"/>
        </w:rPr>
        <w:t xml:space="preserve">Legislatura del Congreso del Estado de Guanajuato, con fundamento en lo dispuesto </w:t>
      </w:r>
      <w:r w:rsidRPr="00330E3D">
        <w:rPr>
          <w:rFonts w:ascii="Abadi" w:hAnsi="Abadi"/>
          <w:b w:val="0"/>
          <w:bCs w:val="0"/>
          <w:sz w:val="21"/>
          <w:szCs w:val="21"/>
        </w:rPr>
        <w:t xml:space="preserve">por los artículos 57 primer párrafo de la Constitución Política para el Estado de Guanajuato, así como el artículo 204 fracción III de la Ley Orgánica del Poder </w:t>
      </w:r>
      <w:r w:rsidRPr="00330E3D">
        <w:rPr>
          <w:rFonts w:ascii="Abadi" w:hAnsi="Abadi"/>
          <w:b w:val="0"/>
          <w:bCs w:val="0"/>
          <w:spacing w:val="-6"/>
          <w:sz w:val="21"/>
          <w:szCs w:val="21"/>
        </w:rPr>
        <w:t>Legislativo</w:t>
      </w:r>
      <w:r w:rsidRPr="00330E3D">
        <w:rPr>
          <w:rFonts w:ascii="Abadi" w:hAnsi="Abadi"/>
          <w:b w:val="0"/>
          <w:bCs w:val="0"/>
          <w:spacing w:val="-7"/>
          <w:sz w:val="21"/>
          <w:szCs w:val="21"/>
        </w:rPr>
        <w:t xml:space="preserve"> </w:t>
      </w:r>
      <w:r w:rsidRPr="00330E3D">
        <w:rPr>
          <w:rFonts w:ascii="Abadi" w:hAnsi="Abadi"/>
          <w:b w:val="0"/>
          <w:bCs w:val="0"/>
          <w:spacing w:val="-6"/>
          <w:sz w:val="21"/>
          <w:szCs w:val="21"/>
        </w:rPr>
        <w:t>del Estado de Guanajuato, nos permitimos</w:t>
      </w:r>
      <w:r w:rsidRPr="00330E3D">
        <w:rPr>
          <w:rFonts w:ascii="Abadi" w:hAnsi="Abadi"/>
          <w:b w:val="0"/>
          <w:bCs w:val="0"/>
          <w:spacing w:val="-7"/>
          <w:sz w:val="21"/>
          <w:szCs w:val="21"/>
        </w:rPr>
        <w:t xml:space="preserve"> </w:t>
      </w:r>
      <w:r w:rsidRPr="00330E3D">
        <w:rPr>
          <w:rFonts w:ascii="Abadi" w:hAnsi="Abadi"/>
          <w:b w:val="0"/>
          <w:bCs w:val="0"/>
          <w:spacing w:val="-6"/>
          <w:sz w:val="21"/>
          <w:szCs w:val="21"/>
        </w:rPr>
        <w:t xml:space="preserve">poner a la consideración de la </w:t>
      </w:r>
      <w:r w:rsidRPr="00330E3D">
        <w:rPr>
          <w:rFonts w:ascii="Abadi" w:hAnsi="Abadi"/>
          <w:b w:val="0"/>
          <w:bCs w:val="0"/>
          <w:spacing w:val="-2"/>
          <w:sz w:val="21"/>
          <w:szCs w:val="21"/>
        </w:rPr>
        <w:t>Asamblea</w:t>
      </w:r>
      <w:r w:rsidRPr="00330E3D">
        <w:rPr>
          <w:rFonts w:ascii="Abadi" w:hAnsi="Abadi"/>
          <w:b w:val="0"/>
          <w:bCs w:val="0"/>
          <w:spacing w:val="-13"/>
          <w:sz w:val="21"/>
          <w:szCs w:val="21"/>
        </w:rPr>
        <w:t xml:space="preserve"> </w:t>
      </w:r>
      <w:r w:rsidRPr="00330E3D">
        <w:rPr>
          <w:rFonts w:ascii="Abadi" w:hAnsi="Abadi"/>
          <w:b w:val="0"/>
          <w:bCs w:val="0"/>
          <w:spacing w:val="-2"/>
          <w:sz w:val="21"/>
          <w:szCs w:val="21"/>
        </w:rPr>
        <w:t>la</w:t>
      </w:r>
      <w:r w:rsidRPr="00330E3D">
        <w:rPr>
          <w:rFonts w:ascii="Abadi" w:hAnsi="Abadi"/>
          <w:b w:val="0"/>
          <w:bCs w:val="0"/>
          <w:spacing w:val="-12"/>
          <w:sz w:val="21"/>
          <w:szCs w:val="21"/>
        </w:rPr>
        <w:t xml:space="preserve"> </w:t>
      </w:r>
      <w:r w:rsidRPr="00330E3D">
        <w:rPr>
          <w:rFonts w:ascii="Abadi" w:hAnsi="Abadi"/>
          <w:b w:val="0"/>
          <w:bCs w:val="0"/>
          <w:spacing w:val="-2"/>
          <w:sz w:val="21"/>
          <w:szCs w:val="21"/>
        </w:rPr>
        <w:t>siguiente</w:t>
      </w:r>
      <w:r w:rsidRPr="00330E3D">
        <w:rPr>
          <w:rFonts w:ascii="Abadi" w:hAnsi="Abadi"/>
          <w:b w:val="0"/>
          <w:bCs w:val="0"/>
          <w:spacing w:val="-12"/>
          <w:sz w:val="21"/>
          <w:szCs w:val="21"/>
        </w:rPr>
        <w:t xml:space="preserve"> </w:t>
      </w:r>
      <w:r w:rsidRPr="00330E3D">
        <w:rPr>
          <w:rFonts w:ascii="Abadi" w:hAnsi="Abadi"/>
          <w:b w:val="0"/>
          <w:bCs w:val="0"/>
          <w:spacing w:val="-2"/>
          <w:sz w:val="21"/>
          <w:szCs w:val="21"/>
        </w:rPr>
        <w:t>propuesta</w:t>
      </w:r>
      <w:r w:rsidRPr="00330E3D">
        <w:rPr>
          <w:rFonts w:ascii="Abadi" w:hAnsi="Abadi"/>
          <w:b w:val="0"/>
          <w:bCs w:val="0"/>
          <w:spacing w:val="-13"/>
          <w:sz w:val="21"/>
          <w:szCs w:val="21"/>
        </w:rPr>
        <w:t xml:space="preserve"> </w:t>
      </w:r>
      <w:r w:rsidRPr="00330E3D">
        <w:rPr>
          <w:rFonts w:ascii="Abadi" w:hAnsi="Abadi"/>
          <w:b w:val="0"/>
          <w:bCs w:val="0"/>
          <w:spacing w:val="-2"/>
          <w:sz w:val="21"/>
          <w:szCs w:val="21"/>
        </w:rPr>
        <w:t>de</w:t>
      </w:r>
      <w:r w:rsidRPr="00330E3D">
        <w:rPr>
          <w:rFonts w:ascii="Abadi" w:hAnsi="Abadi"/>
          <w:b w:val="0"/>
          <w:bCs w:val="0"/>
          <w:spacing w:val="-12"/>
          <w:sz w:val="21"/>
          <w:szCs w:val="21"/>
        </w:rPr>
        <w:t xml:space="preserve"> </w:t>
      </w:r>
      <w:r w:rsidRPr="00330E3D">
        <w:rPr>
          <w:rFonts w:ascii="Abadi" w:hAnsi="Abadi"/>
          <w:b w:val="0"/>
          <w:bCs w:val="0"/>
          <w:spacing w:val="-2"/>
          <w:sz w:val="21"/>
          <w:szCs w:val="21"/>
        </w:rPr>
        <w:t>Punto</w:t>
      </w:r>
      <w:r w:rsidRPr="00330E3D">
        <w:rPr>
          <w:rFonts w:ascii="Abadi" w:hAnsi="Abadi"/>
          <w:b w:val="0"/>
          <w:bCs w:val="0"/>
          <w:spacing w:val="-12"/>
          <w:sz w:val="21"/>
          <w:szCs w:val="21"/>
        </w:rPr>
        <w:t xml:space="preserve"> </w:t>
      </w:r>
      <w:r w:rsidRPr="00330E3D">
        <w:rPr>
          <w:rFonts w:ascii="Abadi" w:hAnsi="Abadi"/>
          <w:b w:val="0"/>
          <w:bCs w:val="0"/>
          <w:spacing w:val="-2"/>
          <w:sz w:val="21"/>
          <w:szCs w:val="21"/>
        </w:rPr>
        <w:t>de</w:t>
      </w:r>
      <w:r w:rsidRPr="00330E3D">
        <w:rPr>
          <w:rFonts w:ascii="Abadi" w:hAnsi="Abadi"/>
          <w:b w:val="0"/>
          <w:bCs w:val="0"/>
          <w:spacing w:val="-13"/>
          <w:sz w:val="21"/>
          <w:szCs w:val="21"/>
        </w:rPr>
        <w:t xml:space="preserve"> </w:t>
      </w:r>
      <w:r w:rsidRPr="00330E3D">
        <w:rPr>
          <w:rFonts w:ascii="Abadi" w:hAnsi="Abadi"/>
          <w:b w:val="0"/>
          <w:bCs w:val="0"/>
          <w:spacing w:val="-2"/>
          <w:sz w:val="21"/>
          <w:szCs w:val="21"/>
        </w:rPr>
        <w:t>Acuerdo,</w:t>
      </w:r>
      <w:r w:rsidRPr="00330E3D">
        <w:rPr>
          <w:rFonts w:ascii="Abadi" w:hAnsi="Abadi"/>
          <w:b w:val="0"/>
          <w:bCs w:val="0"/>
          <w:spacing w:val="-12"/>
          <w:sz w:val="21"/>
          <w:szCs w:val="21"/>
        </w:rPr>
        <w:t xml:space="preserve"> </w:t>
      </w:r>
      <w:r w:rsidRPr="00330E3D">
        <w:rPr>
          <w:rFonts w:ascii="Abadi" w:hAnsi="Abadi"/>
          <w:b w:val="0"/>
          <w:bCs w:val="0"/>
          <w:spacing w:val="-2"/>
          <w:sz w:val="21"/>
          <w:szCs w:val="21"/>
        </w:rPr>
        <w:t>según</w:t>
      </w:r>
      <w:r w:rsidRPr="00330E3D">
        <w:rPr>
          <w:rFonts w:ascii="Abadi" w:hAnsi="Abadi"/>
          <w:b w:val="0"/>
          <w:bCs w:val="0"/>
          <w:spacing w:val="-12"/>
          <w:sz w:val="21"/>
          <w:szCs w:val="21"/>
        </w:rPr>
        <w:t xml:space="preserve"> </w:t>
      </w:r>
      <w:r w:rsidRPr="00330E3D">
        <w:rPr>
          <w:rFonts w:ascii="Abadi" w:hAnsi="Abadi"/>
          <w:b w:val="0"/>
          <w:bCs w:val="0"/>
          <w:spacing w:val="-2"/>
          <w:sz w:val="21"/>
          <w:szCs w:val="21"/>
        </w:rPr>
        <w:t>la</w:t>
      </w:r>
      <w:r w:rsidRPr="00330E3D">
        <w:rPr>
          <w:rFonts w:ascii="Abadi" w:hAnsi="Abadi"/>
          <w:b w:val="0"/>
          <w:bCs w:val="0"/>
          <w:spacing w:val="-13"/>
          <w:sz w:val="21"/>
          <w:szCs w:val="21"/>
        </w:rPr>
        <w:t xml:space="preserve"> </w:t>
      </w:r>
      <w:r w:rsidRPr="00330E3D">
        <w:rPr>
          <w:rFonts w:ascii="Abadi" w:hAnsi="Abadi"/>
          <w:b w:val="0"/>
          <w:bCs w:val="0"/>
          <w:spacing w:val="-2"/>
          <w:sz w:val="21"/>
          <w:szCs w:val="21"/>
        </w:rPr>
        <w:t>siguiente:</w:t>
      </w:r>
    </w:p>
    <w:p w14:paraId="55467994" w14:textId="77777777" w:rsidR="00330E3D" w:rsidRPr="00330E3D" w:rsidRDefault="00330E3D" w:rsidP="00B6782F">
      <w:pPr>
        <w:autoSpaceDE w:val="0"/>
        <w:autoSpaceDN w:val="0"/>
        <w:adjustRightInd w:val="0"/>
        <w:contextualSpacing/>
        <w:jc w:val="both"/>
        <w:rPr>
          <w:rFonts w:ascii="Abadi" w:hAnsi="Abadi" w:cs="ArialMT"/>
          <w:sz w:val="21"/>
          <w:szCs w:val="21"/>
        </w:rPr>
      </w:pPr>
    </w:p>
    <w:p w14:paraId="5A6B087E" w14:textId="77777777" w:rsidR="002F4A44" w:rsidRDefault="002F4A44" w:rsidP="00DC73B6">
      <w:pPr>
        <w:pStyle w:val="Textoindependiente"/>
        <w:spacing w:before="232"/>
        <w:jc w:val="center"/>
        <w:rPr>
          <w:rFonts w:ascii="Abadi" w:hAnsi="Abadi"/>
          <w:spacing w:val="-2"/>
          <w:sz w:val="21"/>
          <w:szCs w:val="21"/>
        </w:rPr>
      </w:pPr>
      <w:r w:rsidRPr="000407E1">
        <w:rPr>
          <w:rFonts w:ascii="Abadi" w:hAnsi="Abadi"/>
          <w:spacing w:val="-2"/>
          <w:sz w:val="21"/>
          <w:szCs w:val="21"/>
        </w:rPr>
        <w:t>Exposición</w:t>
      </w:r>
      <w:r w:rsidRPr="000407E1">
        <w:rPr>
          <w:rFonts w:ascii="Abadi" w:hAnsi="Abadi"/>
          <w:spacing w:val="-12"/>
          <w:sz w:val="21"/>
          <w:szCs w:val="21"/>
        </w:rPr>
        <w:t xml:space="preserve"> </w:t>
      </w:r>
      <w:r w:rsidRPr="000407E1">
        <w:rPr>
          <w:rFonts w:ascii="Abadi" w:hAnsi="Abadi"/>
          <w:spacing w:val="-2"/>
          <w:sz w:val="21"/>
          <w:szCs w:val="21"/>
        </w:rPr>
        <w:t>de</w:t>
      </w:r>
      <w:r w:rsidRPr="000407E1">
        <w:rPr>
          <w:rFonts w:ascii="Abadi" w:hAnsi="Abadi"/>
          <w:spacing w:val="-9"/>
          <w:sz w:val="21"/>
          <w:szCs w:val="21"/>
        </w:rPr>
        <w:t xml:space="preserve"> </w:t>
      </w:r>
      <w:r w:rsidRPr="000407E1">
        <w:rPr>
          <w:rFonts w:ascii="Abadi" w:hAnsi="Abadi"/>
          <w:spacing w:val="-2"/>
          <w:sz w:val="21"/>
          <w:szCs w:val="21"/>
        </w:rPr>
        <w:t>motivos</w:t>
      </w:r>
    </w:p>
    <w:p w14:paraId="0557A02A" w14:textId="77777777" w:rsidR="00C37CF7" w:rsidRDefault="00C37CF7" w:rsidP="002F4A44">
      <w:pPr>
        <w:pStyle w:val="Textoindependiente"/>
        <w:spacing w:before="232"/>
        <w:rPr>
          <w:rFonts w:ascii="Abadi" w:hAnsi="Abadi"/>
          <w:spacing w:val="-2"/>
          <w:sz w:val="21"/>
          <w:szCs w:val="21"/>
        </w:rPr>
      </w:pPr>
    </w:p>
    <w:p w14:paraId="2A0AFA75" w14:textId="5481B026" w:rsidR="00C37CF7" w:rsidRPr="00DC73B6" w:rsidRDefault="00C37CF7" w:rsidP="001A6168">
      <w:pPr>
        <w:pStyle w:val="Textoindependiente"/>
        <w:rPr>
          <w:rFonts w:ascii="Abadi" w:hAnsi="Abadi"/>
          <w:b w:val="0"/>
          <w:bCs w:val="0"/>
          <w:sz w:val="21"/>
          <w:szCs w:val="21"/>
        </w:rPr>
      </w:pPr>
      <w:r w:rsidRPr="00DC73B6">
        <w:rPr>
          <w:rFonts w:ascii="Abadi" w:hAnsi="Abadi"/>
          <w:b w:val="0"/>
          <w:bCs w:val="0"/>
          <w:spacing w:val="-8"/>
          <w:sz w:val="21"/>
          <w:szCs w:val="21"/>
        </w:rPr>
        <w:t>El</w:t>
      </w:r>
      <w:r w:rsidRPr="00DC73B6">
        <w:rPr>
          <w:rFonts w:ascii="Abadi" w:hAnsi="Abadi"/>
          <w:b w:val="0"/>
          <w:bCs w:val="0"/>
          <w:spacing w:val="-2"/>
          <w:sz w:val="21"/>
          <w:szCs w:val="21"/>
        </w:rPr>
        <w:t xml:space="preserve"> </w:t>
      </w:r>
      <w:r w:rsidRPr="00DC73B6">
        <w:rPr>
          <w:rFonts w:ascii="Abadi" w:hAnsi="Abadi"/>
          <w:b w:val="0"/>
          <w:bCs w:val="0"/>
          <w:spacing w:val="-8"/>
          <w:sz w:val="21"/>
          <w:szCs w:val="21"/>
        </w:rPr>
        <w:t>11</w:t>
      </w:r>
      <w:r w:rsidRPr="00DC73B6">
        <w:rPr>
          <w:rFonts w:ascii="Abadi" w:hAnsi="Abadi"/>
          <w:b w:val="0"/>
          <w:bCs w:val="0"/>
          <w:spacing w:val="-3"/>
          <w:sz w:val="21"/>
          <w:szCs w:val="21"/>
        </w:rPr>
        <w:t xml:space="preserve"> </w:t>
      </w:r>
      <w:r w:rsidRPr="00DC73B6">
        <w:rPr>
          <w:rFonts w:ascii="Abadi" w:hAnsi="Abadi"/>
          <w:b w:val="0"/>
          <w:bCs w:val="0"/>
          <w:spacing w:val="-8"/>
          <w:sz w:val="21"/>
          <w:szCs w:val="21"/>
        </w:rPr>
        <w:t>de</w:t>
      </w:r>
      <w:r w:rsidRPr="00DC73B6">
        <w:rPr>
          <w:rFonts w:ascii="Abadi" w:hAnsi="Abadi"/>
          <w:b w:val="0"/>
          <w:bCs w:val="0"/>
          <w:spacing w:val="-3"/>
          <w:sz w:val="21"/>
          <w:szCs w:val="21"/>
        </w:rPr>
        <w:t xml:space="preserve"> </w:t>
      </w:r>
      <w:r w:rsidRPr="00DC73B6">
        <w:rPr>
          <w:rFonts w:ascii="Abadi" w:hAnsi="Abadi"/>
          <w:b w:val="0"/>
          <w:bCs w:val="0"/>
          <w:spacing w:val="-8"/>
          <w:sz w:val="21"/>
          <w:szCs w:val="21"/>
        </w:rPr>
        <w:t>febrero</w:t>
      </w:r>
      <w:r w:rsidRPr="00DC73B6">
        <w:rPr>
          <w:rFonts w:ascii="Abadi" w:hAnsi="Abadi"/>
          <w:b w:val="0"/>
          <w:bCs w:val="0"/>
          <w:spacing w:val="-3"/>
          <w:sz w:val="21"/>
          <w:szCs w:val="21"/>
        </w:rPr>
        <w:t xml:space="preserve"> </w:t>
      </w:r>
      <w:r w:rsidRPr="00DC73B6">
        <w:rPr>
          <w:rFonts w:ascii="Abadi" w:hAnsi="Abadi"/>
          <w:b w:val="0"/>
          <w:bCs w:val="0"/>
          <w:spacing w:val="-8"/>
          <w:sz w:val="21"/>
          <w:szCs w:val="21"/>
        </w:rPr>
        <w:t>de</w:t>
      </w:r>
      <w:r w:rsidRPr="00DC73B6">
        <w:rPr>
          <w:rFonts w:ascii="Abadi" w:hAnsi="Abadi"/>
          <w:b w:val="0"/>
          <w:bCs w:val="0"/>
          <w:spacing w:val="-3"/>
          <w:sz w:val="21"/>
          <w:szCs w:val="21"/>
        </w:rPr>
        <w:t xml:space="preserve"> </w:t>
      </w:r>
      <w:r w:rsidRPr="00DC73B6">
        <w:rPr>
          <w:rFonts w:ascii="Abadi" w:hAnsi="Abadi"/>
          <w:b w:val="0"/>
          <w:bCs w:val="0"/>
          <w:spacing w:val="-8"/>
          <w:sz w:val="21"/>
          <w:szCs w:val="21"/>
        </w:rPr>
        <w:t>2020,</w:t>
      </w:r>
      <w:r w:rsidRPr="00DC73B6">
        <w:rPr>
          <w:rFonts w:ascii="Abadi" w:hAnsi="Abadi"/>
          <w:b w:val="0"/>
          <w:bCs w:val="0"/>
          <w:spacing w:val="-4"/>
          <w:sz w:val="21"/>
          <w:szCs w:val="21"/>
        </w:rPr>
        <w:t xml:space="preserve"> </w:t>
      </w:r>
      <w:r w:rsidRPr="00DC73B6">
        <w:rPr>
          <w:rFonts w:ascii="Abadi" w:hAnsi="Abadi"/>
          <w:b w:val="0"/>
          <w:bCs w:val="0"/>
          <w:spacing w:val="-8"/>
          <w:sz w:val="21"/>
          <w:szCs w:val="21"/>
        </w:rPr>
        <w:t>el</w:t>
      </w:r>
      <w:r w:rsidRPr="00DC73B6">
        <w:rPr>
          <w:rFonts w:ascii="Abadi" w:hAnsi="Abadi"/>
          <w:b w:val="0"/>
          <w:bCs w:val="0"/>
          <w:spacing w:val="-1"/>
          <w:sz w:val="21"/>
          <w:szCs w:val="21"/>
        </w:rPr>
        <w:t xml:space="preserve"> </w:t>
      </w:r>
      <w:r w:rsidRPr="00DC73B6">
        <w:rPr>
          <w:rFonts w:ascii="Abadi" w:hAnsi="Abadi"/>
          <w:b w:val="0"/>
          <w:bCs w:val="0"/>
          <w:spacing w:val="-8"/>
          <w:sz w:val="21"/>
          <w:szCs w:val="21"/>
        </w:rPr>
        <w:t>Gobernador</w:t>
      </w:r>
      <w:r w:rsidRPr="00DC73B6">
        <w:rPr>
          <w:rFonts w:ascii="Abadi" w:hAnsi="Abadi"/>
          <w:b w:val="0"/>
          <w:bCs w:val="0"/>
          <w:sz w:val="21"/>
          <w:szCs w:val="21"/>
        </w:rPr>
        <w:t xml:space="preserve"> </w:t>
      </w:r>
      <w:r w:rsidRPr="00DC73B6">
        <w:rPr>
          <w:rFonts w:ascii="Abadi" w:hAnsi="Abadi"/>
          <w:b w:val="0"/>
          <w:bCs w:val="0"/>
          <w:spacing w:val="-8"/>
          <w:sz w:val="21"/>
          <w:szCs w:val="21"/>
        </w:rPr>
        <w:t>del</w:t>
      </w:r>
      <w:r w:rsidRPr="00DC73B6">
        <w:rPr>
          <w:rFonts w:ascii="Abadi" w:hAnsi="Abadi"/>
          <w:b w:val="0"/>
          <w:bCs w:val="0"/>
          <w:spacing w:val="-2"/>
          <w:sz w:val="21"/>
          <w:szCs w:val="21"/>
        </w:rPr>
        <w:t xml:space="preserve"> </w:t>
      </w:r>
      <w:r w:rsidRPr="00DC73B6">
        <w:rPr>
          <w:rFonts w:ascii="Abadi" w:hAnsi="Abadi"/>
          <w:b w:val="0"/>
          <w:bCs w:val="0"/>
          <w:spacing w:val="-8"/>
          <w:sz w:val="21"/>
          <w:szCs w:val="21"/>
        </w:rPr>
        <w:t>Estado</w:t>
      </w:r>
      <w:r w:rsidRPr="00DC73B6">
        <w:rPr>
          <w:rFonts w:ascii="Abadi" w:hAnsi="Abadi"/>
          <w:b w:val="0"/>
          <w:bCs w:val="0"/>
          <w:spacing w:val="-3"/>
          <w:sz w:val="21"/>
          <w:szCs w:val="21"/>
        </w:rPr>
        <w:t xml:space="preserve"> </w:t>
      </w:r>
      <w:r w:rsidRPr="00DC73B6">
        <w:rPr>
          <w:rFonts w:ascii="Abadi" w:hAnsi="Abadi"/>
          <w:b w:val="0"/>
          <w:bCs w:val="0"/>
          <w:spacing w:val="-8"/>
          <w:sz w:val="21"/>
          <w:szCs w:val="21"/>
        </w:rPr>
        <w:t>anunció</w:t>
      </w:r>
      <w:r w:rsidRPr="00DC73B6">
        <w:rPr>
          <w:rFonts w:ascii="Abadi" w:hAnsi="Abadi"/>
          <w:b w:val="0"/>
          <w:bCs w:val="0"/>
          <w:spacing w:val="-3"/>
          <w:sz w:val="21"/>
          <w:szCs w:val="21"/>
        </w:rPr>
        <w:t xml:space="preserve"> </w:t>
      </w:r>
      <w:r w:rsidRPr="00DC73B6">
        <w:rPr>
          <w:rFonts w:ascii="Abadi" w:hAnsi="Abadi"/>
          <w:b w:val="0"/>
          <w:bCs w:val="0"/>
          <w:spacing w:val="-8"/>
          <w:sz w:val="21"/>
          <w:szCs w:val="21"/>
        </w:rPr>
        <w:t>y</w:t>
      </w:r>
      <w:r w:rsidRPr="00DC73B6">
        <w:rPr>
          <w:rFonts w:ascii="Abadi" w:hAnsi="Abadi"/>
          <w:b w:val="0"/>
          <w:bCs w:val="0"/>
          <w:spacing w:val="-2"/>
          <w:sz w:val="21"/>
          <w:szCs w:val="21"/>
        </w:rPr>
        <w:t xml:space="preserve"> </w:t>
      </w:r>
      <w:r w:rsidRPr="00DC73B6">
        <w:rPr>
          <w:rFonts w:ascii="Abadi" w:hAnsi="Abadi"/>
          <w:b w:val="0"/>
          <w:bCs w:val="0"/>
          <w:spacing w:val="-8"/>
          <w:sz w:val="21"/>
          <w:szCs w:val="21"/>
        </w:rPr>
        <w:t>asumió</w:t>
      </w:r>
      <w:r w:rsidRPr="00DC73B6">
        <w:rPr>
          <w:rFonts w:ascii="Abadi" w:hAnsi="Abadi"/>
          <w:b w:val="0"/>
          <w:bCs w:val="0"/>
          <w:spacing w:val="-3"/>
          <w:sz w:val="21"/>
          <w:szCs w:val="21"/>
        </w:rPr>
        <w:t xml:space="preserve"> </w:t>
      </w:r>
      <w:r w:rsidRPr="00DC73B6">
        <w:rPr>
          <w:rFonts w:ascii="Abadi" w:hAnsi="Abadi"/>
          <w:b w:val="0"/>
          <w:bCs w:val="0"/>
          <w:spacing w:val="-8"/>
          <w:sz w:val="21"/>
          <w:szCs w:val="21"/>
        </w:rPr>
        <w:t>el</w:t>
      </w:r>
      <w:r w:rsidRPr="00DC73B6">
        <w:rPr>
          <w:rFonts w:ascii="Abadi" w:hAnsi="Abadi"/>
          <w:b w:val="0"/>
          <w:bCs w:val="0"/>
          <w:spacing w:val="-1"/>
          <w:sz w:val="21"/>
          <w:szCs w:val="21"/>
        </w:rPr>
        <w:t xml:space="preserve"> </w:t>
      </w:r>
      <w:r w:rsidRPr="00DC73B6">
        <w:rPr>
          <w:rFonts w:ascii="Abadi" w:hAnsi="Abadi"/>
          <w:b w:val="0"/>
          <w:bCs w:val="0"/>
          <w:spacing w:val="-8"/>
          <w:sz w:val="21"/>
          <w:szCs w:val="21"/>
        </w:rPr>
        <w:t xml:space="preserve">compromiso </w:t>
      </w:r>
      <w:r w:rsidRPr="00DC73B6">
        <w:rPr>
          <w:rFonts w:ascii="Abadi" w:hAnsi="Abadi"/>
          <w:b w:val="0"/>
          <w:bCs w:val="0"/>
          <w:sz w:val="21"/>
          <w:szCs w:val="21"/>
        </w:rPr>
        <w:t>de comenzar con un proceso de basificación del personal del Instituto de Salud Pública del Estado de Guanajuato (ISAPEG)</w:t>
      </w:r>
      <w:r w:rsidR="00832D5F">
        <w:rPr>
          <w:rStyle w:val="Refdenotaalpie"/>
          <w:rFonts w:ascii="Abadi" w:hAnsi="Abadi"/>
          <w:b w:val="0"/>
          <w:bCs w:val="0"/>
          <w:sz w:val="21"/>
          <w:szCs w:val="21"/>
        </w:rPr>
        <w:footnoteReference w:id="58"/>
      </w:r>
      <w:r w:rsidRPr="00DC73B6">
        <w:rPr>
          <w:rFonts w:ascii="Abadi" w:hAnsi="Abadi"/>
          <w:b w:val="0"/>
          <w:bCs w:val="0"/>
          <w:sz w:val="21"/>
          <w:szCs w:val="21"/>
        </w:rPr>
        <w:t>.</w:t>
      </w:r>
    </w:p>
    <w:p w14:paraId="02372B95" w14:textId="0E848DEE" w:rsidR="00C37CF7" w:rsidRPr="00DC73B6" w:rsidRDefault="00C37CF7" w:rsidP="001A6168">
      <w:pPr>
        <w:pStyle w:val="Textoindependiente"/>
        <w:spacing w:before="236"/>
        <w:rPr>
          <w:rFonts w:ascii="Abadi" w:hAnsi="Abadi"/>
          <w:b w:val="0"/>
          <w:bCs w:val="0"/>
          <w:sz w:val="21"/>
          <w:szCs w:val="21"/>
        </w:rPr>
      </w:pPr>
      <w:r w:rsidRPr="00DC73B6">
        <w:rPr>
          <w:rFonts w:ascii="Abadi" w:hAnsi="Abadi"/>
          <w:b w:val="0"/>
          <w:bCs w:val="0"/>
          <w:sz w:val="21"/>
          <w:szCs w:val="21"/>
        </w:rPr>
        <w:t xml:space="preserve">Meses después, durante la pandemia de COVID-19, con base en un discurso que resaltaba el heroísmo del personal de salud de Guanajuato, la promesa del </w:t>
      </w:r>
      <w:r w:rsidRPr="00DC73B6">
        <w:rPr>
          <w:rFonts w:ascii="Abadi" w:hAnsi="Abadi"/>
          <w:b w:val="0"/>
          <w:bCs w:val="0"/>
          <w:spacing w:val="-4"/>
          <w:sz w:val="21"/>
          <w:szCs w:val="21"/>
        </w:rPr>
        <w:t>Gobernador</w:t>
      </w:r>
      <w:r w:rsidRPr="00DC73B6">
        <w:rPr>
          <w:rFonts w:ascii="Abadi" w:hAnsi="Abadi"/>
          <w:b w:val="0"/>
          <w:bCs w:val="0"/>
          <w:spacing w:val="-11"/>
          <w:sz w:val="21"/>
          <w:szCs w:val="21"/>
        </w:rPr>
        <w:t xml:space="preserve"> </w:t>
      </w:r>
      <w:r w:rsidRPr="00DC73B6">
        <w:rPr>
          <w:rFonts w:ascii="Abadi" w:hAnsi="Abadi"/>
          <w:b w:val="0"/>
          <w:bCs w:val="0"/>
          <w:spacing w:val="-4"/>
          <w:sz w:val="21"/>
          <w:szCs w:val="21"/>
        </w:rPr>
        <w:t>escaló</w:t>
      </w:r>
      <w:r w:rsidRPr="00DC73B6">
        <w:rPr>
          <w:rFonts w:ascii="Abadi" w:hAnsi="Abadi"/>
          <w:b w:val="0"/>
          <w:bCs w:val="0"/>
          <w:spacing w:val="-10"/>
          <w:sz w:val="21"/>
          <w:szCs w:val="21"/>
        </w:rPr>
        <w:t xml:space="preserve"> </w:t>
      </w:r>
      <w:r w:rsidRPr="00DC73B6">
        <w:rPr>
          <w:rFonts w:ascii="Abadi" w:hAnsi="Abadi"/>
          <w:b w:val="0"/>
          <w:bCs w:val="0"/>
          <w:spacing w:val="-4"/>
          <w:sz w:val="21"/>
          <w:szCs w:val="21"/>
        </w:rPr>
        <w:t>hasta</w:t>
      </w:r>
      <w:r w:rsidRPr="00DC73B6">
        <w:rPr>
          <w:rFonts w:ascii="Abadi" w:hAnsi="Abadi"/>
          <w:b w:val="0"/>
          <w:bCs w:val="0"/>
          <w:spacing w:val="-10"/>
          <w:sz w:val="21"/>
          <w:szCs w:val="21"/>
        </w:rPr>
        <w:t xml:space="preserve"> </w:t>
      </w:r>
      <w:r w:rsidRPr="00DC73B6">
        <w:rPr>
          <w:rFonts w:ascii="Abadi" w:hAnsi="Abadi"/>
          <w:b w:val="0"/>
          <w:bCs w:val="0"/>
          <w:spacing w:val="-4"/>
          <w:sz w:val="21"/>
          <w:szCs w:val="21"/>
        </w:rPr>
        <w:t>la</w:t>
      </w:r>
      <w:r w:rsidRPr="00DC73B6">
        <w:rPr>
          <w:rFonts w:ascii="Abadi" w:hAnsi="Abadi"/>
          <w:b w:val="0"/>
          <w:bCs w:val="0"/>
          <w:spacing w:val="-10"/>
          <w:sz w:val="21"/>
          <w:szCs w:val="21"/>
        </w:rPr>
        <w:t xml:space="preserve"> </w:t>
      </w:r>
      <w:r w:rsidRPr="00DC73B6">
        <w:rPr>
          <w:rFonts w:ascii="Abadi" w:hAnsi="Abadi"/>
          <w:b w:val="0"/>
          <w:bCs w:val="0"/>
          <w:spacing w:val="-4"/>
          <w:sz w:val="21"/>
          <w:szCs w:val="21"/>
        </w:rPr>
        <w:t>generación</w:t>
      </w:r>
      <w:r w:rsidRPr="00DC73B6">
        <w:rPr>
          <w:rFonts w:ascii="Abadi" w:hAnsi="Abadi"/>
          <w:b w:val="0"/>
          <w:bCs w:val="0"/>
          <w:spacing w:val="-10"/>
          <w:sz w:val="21"/>
          <w:szCs w:val="21"/>
        </w:rPr>
        <w:t xml:space="preserve"> </w:t>
      </w:r>
      <w:r w:rsidRPr="00DC73B6">
        <w:rPr>
          <w:rFonts w:ascii="Abadi" w:hAnsi="Abadi"/>
          <w:b w:val="0"/>
          <w:bCs w:val="0"/>
          <w:spacing w:val="-4"/>
          <w:sz w:val="21"/>
          <w:szCs w:val="21"/>
        </w:rPr>
        <w:t>de</w:t>
      </w:r>
      <w:r w:rsidRPr="00DC73B6">
        <w:rPr>
          <w:rFonts w:ascii="Abadi" w:hAnsi="Abadi"/>
          <w:b w:val="0"/>
          <w:bCs w:val="0"/>
          <w:spacing w:val="-10"/>
          <w:sz w:val="21"/>
          <w:szCs w:val="21"/>
        </w:rPr>
        <w:t xml:space="preserve"> </w:t>
      </w:r>
      <w:r w:rsidRPr="00DC73B6">
        <w:rPr>
          <w:rFonts w:ascii="Abadi" w:hAnsi="Abadi"/>
          <w:b w:val="0"/>
          <w:bCs w:val="0"/>
          <w:spacing w:val="-4"/>
          <w:sz w:val="21"/>
          <w:szCs w:val="21"/>
        </w:rPr>
        <w:t>incentivos</w:t>
      </w:r>
      <w:r w:rsidRPr="00DC73B6">
        <w:rPr>
          <w:rFonts w:ascii="Abadi" w:hAnsi="Abadi"/>
          <w:b w:val="0"/>
          <w:bCs w:val="0"/>
          <w:spacing w:val="-11"/>
          <w:sz w:val="21"/>
          <w:szCs w:val="21"/>
        </w:rPr>
        <w:t xml:space="preserve"> </w:t>
      </w:r>
      <w:r w:rsidRPr="00DC73B6">
        <w:rPr>
          <w:rFonts w:ascii="Abadi" w:hAnsi="Abadi"/>
          <w:b w:val="0"/>
          <w:bCs w:val="0"/>
          <w:spacing w:val="-4"/>
          <w:sz w:val="21"/>
          <w:szCs w:val="21"/>
        </w:rPr>
        <w:t>económicos</w:t>
      </w:r>
      <w:r w:rsidRPr="00DC73B6">
        <w:rPr>
          <w:rFonts w:ascii="Abadi" w:hAnsi="Abadi"/>
          <w:b w:val="0"/>
          <w:bCs w:val="0"/>
          <w:spacing w:val="-8"/>
          <w:sz w:val="21"/>
          <w:szCs w:val="21"/>
        </w:rPr>
        <w:t xml:space="preserve"> </w:t>
      </w:r>
      <w:r w:rsidRPr="00DC73B6">
        <w:rPr>
          <w:rFonts w:ascii="Abadi" w:hAnsi="Abadi"/>
          <w:b w:val="0"/>
          <w:bCs w:val="0"/>
          <w:spacing w:val="-4"/>
          <w:sz w:val="21"/>
          <w:szCs w:val="21"/>
        </w:rPr>
        <w:t>de</w:t>
      </w:r>
      <w:r w:rsidRPr="00DC73B6">
        <w:rPr>
          <w:rFonts w:ascii="Abadi" w:hAnsi="Abadi"/>
          <w:b w:val="0"/>
          <w:bCs w:val="0"/>
          <w:spacing w:val="-11"/>
          <w:sz w:val="21"/>
          <w:szCs w:val="21"/>
        </w:rPr>
        <w:t xml:space="preserve"> </w:t>
      </w:r>
      <w:r w:rsidRPr="00DC73B6">
        <w:rPr>
          <w:rFonts w:ascii="Abadi" w:hAnsi="Abadi"/>
          <w:b w:val="0"/>
          <w:bCs w:val="0"/>
          <w:spacing w:val="-4"/>
          <w:sz w:val="21"/>
          <w:szCs w:val="21"/>
        </w:rPr>
        <w:t>bonos</w:t>
      </w:r>
      <w:r w:rsidRPr="00DC73B6">
        <w:rPr>
          <w:rFonts w:ascii="Abadi" w:hAnsi="Abadi"/>
          <w:b w:val="0"/>
          <w:bCs w:val="0"/>
          <w:spacing w:val="-9"/>
          <w:sz w:val="21"/>
          <w:szCs w:val="21"/>
        </w:rPr>
        <w:t xml:space="preserve"> </w:t>
      </w:r>
      <w:r w:rsidRPr="00DC73B6">
        <w:rPr>
          <w:rFonts w:ascii="Abadi" w:hAnsi="Abadi"/>
          <w:b w:val="0"/>
          <w:bCs w:val="0"/>
          <w:spacing w:val="-4"/>
          <w:sz w:val="21"/>
          <w:szCs w:val="21"/>
        </w:rPr>
        <w:t>para</w:t>
      </w:r>
      <w:r w:rsidRPr="00DC73B6">
        <w:rPr>
          <w:rFonts w:ascii="Abadi" w:hAnsi="Abadi"/>
          <w:b w:val="0"/>
          <w:bCs w:val="0"/>
          <w:spacing w:val="-11"/>
          <w:sz w:val="21"/>
          <w:szCs w:val="21"/>
        </w:rPr>
        <w:t xml:space="preserve"> </w:t>
      </w:r>
      <w:r w:rsidRPr="00DC73B6">
        <w:rPr>
          <w:rFonts w:ascii="Abadi" w:hAnsi="Abadi"/>
          <w:b w:val="0"/>
          <w:bCs w:val="0"/>
          <w:spacing w:val="-4"/>
          <w:sz w:val="21"/>
          <w:szCs w:val="21"/>
        </w:rPr>
        <w:t xml:space="preserve">los </w:t>
      </w:r>
      <w:r w:rsidRPr="00DC73B6">
        <w:rPr>
          <w:rFonts w:ascii="Abadi" w:hAnsi="Abadi"/>
          <w:b w:val="0"/>
          <w:bCs w:val="0"/>
          <w:sz w:val="21"/>
          <w:szCs w:val="21"/>
        </w:rPr>
        <w:t>más</w:t>
      </w:r>
      <w:r w:rsidRPr="00DC73B6">
        <w:rPr>
          <w:rFonts w:ascii="Abadi" w:hAnsi="Abadi"/>
          <w:b w:val="0"/>
          <w:bCs w:val="0"/>
          <w:spacing w:val="-11"/>
          <w:sz w:val="21"/>
          <w:szCs w:val="21"/>
        </w:rPr>
        <w:t xml:space="preserve"> </w:t>
      </w:r>
      <w:r w:rsidRPr="00DC73B6">
        <w:rPr>
          <w:rFonts w:ascii="Abadi" w:hAnsi="Abadi"/>
          <w:b w:val="0"/>
          <w:bCs w:val="0"/>
          <w:sz w:val="21"/>
          <w:szCs w:val="21"/>
        </w:rPr>
        <w:t>de</w:t>
      </w:r>
      <w:r w:rsidRPr="00DC73B6">
        <w:rPr>
          <w:rFonts w:ascii="Abadi" w:hAnsi="Abadi"/>
          <w:b w:val="0"/>
          <w:bCs w:val="0"/>
          <w:spacing w:val="-12"/>
          <w:sz w:val="21"/>
          <w:szCs w:val="21"/>
        </w:rPr>
        <w:t xml:space="preserve"> </w:t>
      </w:r>
      <w:r w:rsidRPr="00DC73B6">
        <w:rPr>
          <w:rFonts w:ascii="Abadi" w:hAnsi="Abadi"/>
          <w:b w:val="0"/>
          <w:bCs w:val="0"/>
          <w:sz w:val="21"/>
          <w:szCs w:val="21"/>
        </w:rPr>
        <w:t>15</w:t>
      </w:r>
      <w:r w:rsidRPr="00DC73B6">
        <w:rPr>
          <w:rFonts w:ascii="Abadi" w:hAnsi="Abadi"/>
          <w:b w:val="0"/>
          <w:bCs w:val="0"/>
          <w:spacing w:val="-12"/>
          <w:sz w:val="21"/>
          <w:szCs w:val="21"/>
        </w:rPr>
        <w:t xml:space="preserve"> </w:t>
      </w:r>
      <w:r w:rsidRPr="00DC73B6">
        <w:rPr>
          <w:rFonts w:ascii="Abadi" w:hAnsi="Abadi"/>
          <w:b w:val="0"/>
          <w:bCs w:val="0"/>
          <w:sz w:val="21"/>
          <w:szCs w:val="21"/>
        </w:rPr>
        <w:t>mil</w:t>
      </w:r>
      <w:r w:rsidRPr="00DC73B6">
        <w:rPr>
          <w:rFonts w:ascii="Abadi" w:hAnsi="Abadi"/>
          <w:b w:val="0"/>
          <w:bCs w:val="0"/>
          <w:spacing w:val="-11"/>
          <w:sz w:val="21"/>
          <w:szCs w:val="21"/>
        </w:rPr>
        <w:t xml:space="preserve"> </w:t>
      </w:r>
      <w:r w:rsidRPr="00DC73B6">
        <w:rPr>
          <w:rFonts w:ascii="Abadi" w:hAnsi="Abadi"/>
          <w:b w:val="0"/>
          <w:bCs w:val="0"/>
          <w:sz w:val="21"/>
          <w:szCs w:val="21"/>
        </w:rPr>
        <w:t>trabajadores</w:t>
      </w:r>
      <w:r w:rsidRPr="00DC73B6">
        <w:rPr>
          <w:rFonts w:ascii="Abadi" w:hAnsi="Abadi"/>
          <w:b w:val="0"/>
          <w:bCs w:val="0"/>
          <w:spacing w:val="-11"/>
          <w:sz w:val="21"/>
          <w:szCs w:val="21"/>
        </w:rPr>
        <w:t xml:space="preserve"> </w:t>
      </w:r>
      <w:r w:rsidRPr="00DC73B6">
        <w:rPr>
          <w:rFonts w:ascii="Abadi" w:hAnsi="Abadi"/>
          <w:b w:val="0"/>
          <w:bCs w:val="0"/>
          <w:sz w:val="21"/>
          <w:szCs w:val="21"/>
        </w:rPr>
        <w:t>de</w:t>
      </w:r>
      <w:r w:rsidRPr="00DC73B6">
        <w:rPr>
          <w:rFonts w:ascii="Abadi" w:hAnsi="Abadi"/>
          <w:b w:val="0"/>
          <w:bCs w:val="0"/>
          <w:spacing w:val="-12"/>
          <w:sz w:val="21"/>
          <w:szCs w:val="21"/>
        </w:rPr>
        <w:t xml:space="preserve"> </w:t>
      </w:r>
      <w:r w:rsidRPr="00DC73B6">
        <w:rPr>
          <w:rFonts w:ascii="Abadi" w:hAnsi="Abadi"/>
          <w:b w:val="0"/>
          <w:bCs w:val="0"/>
          <w:sz w:val="21"/>
          <w:szCs w:val="21"/>
        </w:rPr>
        <w:t>salud</w:t>
      </w:r>
      <w:r w:rsidR="005726E7">
        <w:rPr>
          <w:rStyle w:val="Refdenotaalpie"/>
          <w:rFonts w:ascii="Abadi" w:hAnsi="Abadi"/>
          <w:b w:val="0"/>
          <w:bCs w:val="0"/>
          <w:sz w:val="21"/>
          <w:szCs w:val="21"/>
        </w:rPr>
        <w:footnoteReference w:id="59"/>
      </w:r>
      <w:r w:rsidRPr="00DC73B6">
        <w:rPr>
          <w:rFonts w:ascii="Abadi" w:hAnsi="Abadi"/>
          <w:b w:val="0"/>
          <w:bCs w:val="0"/>
          <w:sz w:val="21"/>
          <w:szCs w:val="21"/>
        </w:rPr>
        <w:t>.</w:t>
      </w:r>
    </w:p>
    <w:p w14:paraId="2B738422" w14:textId="77777777" w:rsidR="00DC73B6" w:rsidRPr="00DC73B6" w:rsidRDefault="00C37CF7" w:rsidP="00DC73B6">
      <w:pPr>
        <w:pStyle w:val="Textoindependiente"/>
        <w:spacing w:before="174"/>
        <w:rPr>
          <w:rFonts w:ascii="Abadi" w:hAnsi="Abadi"/>
          <w:b w:val="0"/>
          <w:bCs w:val="0"/>
          <w:sz w:val="21"/>
          <w:szCs w:val="21"/>
        </w:rPr>
      </w:pPr>
      <w:r w:rsidRPr="00DC73B6">
        <w:rPr>
          <w:rFonts w:ascii="Abadi" w:hAnsi="Abadi"/>
          <w:b w:val="0"/>
          <w:bCs w:val="0"/>
          <w:spacing w:val="-4"/>
          <w:sz w:val="21"/>
          <w:szCs w:val="21"/>
        </w:rPr>
        <w:t>En</w:t>
      </w:r>
      <w:r w:rsidRPr="00DC73B6">
        <w:rPr>
          <w:rFonts w:ascii="Abadi" w:hAnsi="Abadi"/>
          <w:b w:val="0"/>
          <w:bCs w:val="0"/>
          <w:spacing w:val="-6"/>
          <w:sz w:val="21"/>
          <w:szCs w:val="21"/>
        </w:rPr>
        <w:t xml:space="preserve"> </w:t>
      </w:r>
      <w:r w:rsidRPr="00DC73B6">
        <w:rPr>
          <w:rFonts w:ascii="Abadi" w:hAnsi="Abadi"/>
          <w:b w:val="0"/>
          <w:bCs w:val="0"/>
          <w:spacing w:val="-4"/>
          <w:sz w:val="21"/>
          <w:szCs w:val="21"/>
        </w:rPr>
        <w:t>este</w:t>
      </w:r>
      <w:r w:rsidRPr="00DC73B6">
        <w:rPr>
          <w:rFonts w:ascii="Abadi" w:hAnsi="Abadi"/>
          <w:b w:val="0"/>
          <w:bCs w:val="0"/>
          <w:spacing w:val="-6"/>
          <w:sz w:val="21"/>
          <w:szCs w:val="21"/>
        </w:rPr>
        <w:t xml:space="preserve"> </w:t>
      </w:r>
      <w:r w:rsidRPr="00DC73B6">
        <w:rPr>
          <w:rFonts w:ascii="Abadi" w:hAnsi="Abadi"/>
          <w:b w:val="0"/>
          <w:bCs w:val="0"/>
          <w:spacing w:val="-4"/>
          <w:sz w:val="21"/>
          <w:szCs w:val="21"/>
        </w:rPr>
        <w:t>contexto,</w:t>
      </w:r>
      <w:r w:rsidRPr="00DC73B6">
        <w:rPr>
          <w:rFonts w:ascii="Abadi" w:hAnsi="Abadi"/>
          <w:b w:val="0"/>
          <w:bCs w:val="0"/>
          <w:spacing w:val="-7"/>
          <w:sz w:val="21"/>
          <w:szCs w:val="21"/>
        </w:rPr>
        <w:t xml:space="preserve"> </w:t>
      </w:r>
      <w:r w:rsidRPr="00DC73B6">
        <w:rPr>
          <w:rFonts w:ascii="Abadi" w:hAnsi="Abadi"/>
          <w:b w:val="0"/>
          <w:bCs w:val="0"/>
          <w:spacing w:val="-4"/>
          <w:sz w:val="21"/>
          <w:szCs w:val="21"/>
        </w:rPr>
        <w:t>en</w:t>
      </w:r>
      <w:r w:rsidRPr="00DC73B6">
        <w:rPr>
          <w:rFonts w:ascii="Abadi" w:hAnsi="Abadi"/>
          <w:b w:val="0"/>
          <w:bCs w:val="0"/>
          <w:spacing w:val="-6"/>
          <w:sz w:val="21"/>
          <w:szCs w:val="21"/>
        </w:rPr>
        <w:t xml:space="preserve"> </w:t>
      </w:r>
      <w:r w:rsidRPr="00DC73B6">
        <w:rPr>
          <w:rFonts w:ascii="Abadi" w:hAnsi="Abadi"/>
          <w:b w:val="0"/>
          <w:bCs w:val="0"/>
          <w:spacing w:val="-4"/>
          <w:sz w:val="21"/>
          <w:szCs w:val="21"/>
        </w:rPr>
        <w:t>el</w:t>
      </w:r>
      <w:r w:rsidRPr="00DC73B6">
        <w:rPr>
          <w:rFonts w:ascii="Abadi" w:hAnsi="Abadi"/>
          <w:b w:val="0"/>
          <w:bCs w:val="0"/>
          <w:spacing w:val="-5"/>
          <w:sz w:val="21"/>
          <w:szCs w:val="21"/>
        </w:rPr>
        <w:t xml:space="preserve"> </w:t>
      </w:r>
      <w:r w:rsidRPr="00DC73B6">
        <w:rPr>
          <w:rFonts w:ascii="Abadi" w:hAnsi="Abadi"/>
          <w:b w:val="0"/>
          <w:bCs w:val="0"/>
          <w:spacing w:val="-4"/>
          <w:sz w:val="21"/>
          <w:szCs w:val="21"/>
        </w:rPr>
        <w:t>que</w:t>
      </w:r>
      <w:r w:rsidRPr="00DC73B6">
        <w:rPr>
          <w:rFonts w:ascii="Abadi" w:hAnsi="Abadi"/>
          <w:b w:val="0"/>
          <w:bCs w:val="0"/>
          <w:spacing w:val="-6"/>
          <w:sz w:val="21"/>
          <w:szCs w:val="21"/>
        </w:rPr>
        <w:t xml:space="preserve"> </w:t>
      </w:r>
      <w:r w:rsidRPr="00DC73B6">
        <w:rPr>
          <w:rFonts w:ascii="Abadi" w:hAnsi="Abadi"/>
          <w:b w:val="0"/>
          <w:bCs w:val="0"/>
          <w:spacing w:val="-4"/>
          <w:sz w:val="21"/>
          <w:szCs w:val="21"/>
        </w:rPr>
        <w:t>el</w:t>
      </w:r>
      <w:r w:rsidRPr="00DC73B6">
        <w:rPr>
          <w:rFonts w:ascii="Abadi" w:hAnsi="Abadi"/>
          <w:b w:val="0"/>
          <w:bCs w:val="0"/>
          <w:spacing w:val="-6"/>
          <w:sz w:val="21"/>
          <w:szCs w:val="21"/>
        </w:rPr>
        <w:t xml:space="preserve"> </w:t>
      </w:r>
      <w:r w:rsidRPr="00DC73B6">
        <w:rPr>
          <w:rFonts w:ascii="Abadi" w:hAnsi="Abadi"/>
          <w:b w:val="0"/>
          <w:bCs w:val="0"/>
          <w:spacing w:val="-4"/>
          <w:sz w:val="21"/>
          <w:szCs w:val="21"/>
        </w:rPr>
        <w:t>gobierno</w:t>
      </w:r>
      <w:r w:rsidRPr="00DC73B6">
        <w:rPr>
          <w:rFonts w:ascii="Abadi" w:hAnsi="Abadi"/>
          <w:b w:val="0"/>
          <w:bCs w:val="0"/>
          <w:spacing w:val="-7"/>
          <w:sz w:val="21"/>
          <w:szCs w:val="21"/>
        </w:rPr>
        <w:t xml:space="preserve"> </w:t>
      </w:r>
      <w:r w:rsidRPr="00DC73B6">
        <w:rPr>
          <w:rFonts w:ascii="Abadi" w:hAnsi="Abadi"/>
          <w:b w:val="0"/>
          <w:bCs w:val="0"/>
          <w:spacing w:val="-4"/>
          <w:sz w:val="21"/>
          <w:szCs w:val="21"/>
        </w:rPr>
        <w:t>emanado</w:t>
      </w:r>
      <w:r w:rsidRPr="00DC73B6">
        <w:rPr>
          <w:rFonts w:ascii="Abadi" w:hAnsi="Abadi"/>
          <w:b w:val="0"/>
          <w:bCs w:val="0"/>
          <w:spacing w:val="-5"/>
          <w:sz w:val="21"/>
          <w:szCs w:val="21"/>
        </w:rPr>
        <w:t xml:space="preserve"> </w:t>
      </w:r>
      <w:r w:rsidRPr="00DC73B6">
        <w:rPr>
          <w:rFonts w:ascii="Abadi" w:hAnsi="Abadi"/>
          <w:b w:val="0"/>
          <w:bCs w:val="0"/>
          <w:spacing w:val="-4"/>
          <w:sz w:val="21"/>
          <w:szCs w:val="21"/>
        </w:rPr>
        <w:t>del</w:t>
      </w:r>
      <w:r w:rsidRPr="00DC73B6">
        <w:rPr>
          <w:rFonts w:ascii="Abadi" w:hAnsi="Abadi"/>
          <w:b w:val="0"/>
          <w:bCs w:val="0"/>
          <w:spacing w:val="-6"/>
          <w:sz w:val="21"/>
          <w:szCs w:val="21"/>
        </w:rPr>
        <w:t xml:space="preserve"> </w:t>
      </w:r>
      <w:r w:rsidRPr="00DC73B6">
        <w:rPr>
          <w:rFonts w:ascii="Abadi" w:hAnsi="Abadi"/>
          <w:b w:val="0"/>
          <w:bCs w:val="0"/>
          <w:spacing w:val="-4"/>
          <w:sz w:val="21"/>
          <w:szCs w:val="21"/>
        </w:rPr>
        <w:t>Partido</w:t>
      </w:r>
      <w:r w:rsidRPr="00DC73B6">
        <w:rPr>
          <w:rFonts w:ascii="Abadi" w:hAnsi="Abadi"/>
          <w:b w:val="0"/>
          <w:bCs w:val="0"/>
          <w:spacing w:val="-7"/>
          <w:sz w:val="21"/>
          <w:szCs w:val="21"/>
        </w:rPr>
        <w:t xml:space="preserve"> </w:t>
      </w:r>
      <w:r w:rsidRPr="00DC73B6">
        <w:rPr>
          <w:rFonts w:ascii="Abadi" w:hAnsi="Abadi"/>
          <w:b w:val="0"/>
          <w:bCs w:val="0"/>
          <w:spacing w:val="-4"/>
          <w:sz w:val="21"/>
          <w:szCs w:val="21"/>
        </w:rPr>
        <w:t>Acción</w:t>
      </w:r>
      <w:r w:rsidRPr="00DC73B6">
        <w:rPr>
          <w:rFonts w:ascii="Abadi" w:hAnsi="Abadi"/>
          <w:b w:val="0"/>
          <w:bCs w:val="0"/>
          <w:spacing w:val="-5"/>
          <w:sz w:val="21"/>
          <w:szCs w:val="21"/>
        </w:rPr>
        <w:t xml:space="preserve"> </w:t>
      </w:r>
      <w:r w:rsidRPr="00DC73B6">
        <w:rPr>
          <w:rFonts w:ascii="Abadi" w:hAnsi="Abadi"/>
          <w:b w:val="0"/>
          <w:bCs w:val="0"/>
          <w:spacing w:val="-4"/>
          <w:sz w:val="21"/>
          <w:szCs w:val="21"/>
        </w:rPr>
        <w:t>Nacional</w:t>
      </w:r>
      <w:r w:rsidRPr="00DC73B6">
        <w:rPr>
          <w:rFonts w:ascii="Abadi" w:hAnsi="Abadi"/>
          <w:b w:val="0"/>
          <w:bCs w:val="0"/>
          <w:spacing w:val="-5"/>
          <w:sz w:val="21"/>
          <w:szCs w:val="21"/>
        </w:rPr>
        <w:t xml:space="preserve"> </w:t>
      </w:r>
      <w:r w:rsidRPr="00DC73B6">
        <w:rPr>
          <w:rFonts w:ascii="Abadi" w:hAnsi="Abadi"/>
          <w:b w:val="0"/>
          <w:bCs w:val="0"/>
          <w:spacing w:val="-4"/>
          <w:sz w:val="21"/>
          <w:szCs w:val="21"/>
        </w:rPr>
        <w:t xml:space="preserve">buscó </w:t>
      </w:r>
      <w:r w:rsidRPr="00DC73B6">
        <w:rPr>
          <w:rFonts w:ascii="Abadi" w:hAnsi="Abadi"/>
          <w:b w:val="0"/>
          <w:bCs w:val="0"/>
          <w:spacing w:val="-6"/>
          <w:sz w:val="21"/>
          <w:szCs w:val="21"/>
        </w:rPr>
        <w:t>sacar</w:t>
      </w:r>
      <w:r w:rsidRPr="00DC73B6">
        <w:rPr>
          <w:rFonts w:ascii="Abadi" w:hAnsi="Abadi"/>
          <w:b w:val="0"/>
          <w:bCs w:val="0"/>
          <w:spacing w:val="1"/>
          <w:sz w:val="21"/>
          <w:szCs w:val="21"/>
        </w:rPr>
        <w:t xml:space="preserve"> </w:t>
      </w:r>
      <w:r w:rsidRPr="00DC73B6">
        <w:rPr>
          <w:rFonts w:ascii="Abadi" w:hAnsi="Abadi"/>
          <w:b w:val="0"/>
          <w:bCs w:val="0"/>
          <w:spacing w:val="-6"/>
          <w:sz w:val="21"/>
          <w:szCs w:val="21"/>
        </w:rPr>
        <w:t>rédito</w:t>
      </w:r>
      <w:r w:rsidRPr="00DC73B6">
        <w:rPr>
          <w:rFonts w:ascii="Abadi" w:hAnsi="Abadi"/>
          <w:b w:val="0"/>
          <w:bCs w:val="0"/>
          <w:spacing w:val="2"/>
          <w:sz w:val="21"/>
          <w:szCs w:val="21"/>
        </w:rPr>
        <w:t xml:space="preserve"> </w:t>
      </w:r>
      <w:r w:rsidRPr="00DC73B6">
        <w:rPr>
          <w:rFonts w:ascii="Abadi" w:hAnsi="Abadi"/>
          <w:b w:val="0"/>
          <w:bCs w:val="0"/>
          <w:spacing w:val="-6"/>
          <w:sz w:val="21"/>
          <w:szCs w:val="21"/>
        </w:rPr>
        <w:t>político</w:t>
      </w:r>
      <w:r w:rsidRPr="00DC73B6">
        <w:rPr>
          <w:rFonts w:ascii="Abadi" w:hAnsi="Abadi"/>
          <w:b w:val="0"/>
          <w:bCs w:val="0"/>
          <w:spacing w:val="4"/>
          <w:sz w:val="21"/>
          <w:szCs w:val="21"/>
        </w:rPr>
        <w:t xml:space="preserve"> </w:t>
      </w:r>
      <w:r w:rsidRPr="00DC73B6">
        <w:rPr>
          <w:rFonts w:ascii="Abadi" w:hAnsi="Abadi"/>
          <w:b w:val="0"/>
          <w:bCs w:val="0"/>
          <w:spacing w:val="-6"/>
          <w:sz w:val="21"/>
          <w:szCs w:val="21"/>
        </w:rPr>
        <w:t>de</w:t>
      </w:r>
      <w:r w:rsidRPr="00DC73B6">
        <w:rPr>
          <w:rFonts w:ascii="Abadi" w:hAnsi="Abadi"/>
          <w:b w:val="0"/>
          <w:bCs w:val="0"/>
          <w:spacing w:val="1"/>
          <w:sz w:val="21"/>
          <w:szCs w:val="21"/>
        </w:rPr>
        <w:t xml:space="preserve"> </w:t>
      </w:r>
      <w:r w:rsidRPr="00DC73B6">
        <w:rPr>
          <w:rFonts w:ascii="Abadi" w:hAnsi="Abadi"/>
          <w:b w:val="0"/>
          <w:bCs w:val="0"/>
          <w:spacing w:val="-6"/>
          <w:sz w:val="21"/>
          <w:szCs w:val="21"/>
        </w:rPr>
        <w:t>las</w:t>
      </w:r>
      <w:r w:rsidRPr="00DC73B6">
        <w:rPr>
          <w:rFonts w:ascii="Abadi" w:hAnsi="Abadi"/>
          <w:b w:val="0"/>
          <w:bCs w:val="0"/>
          <w:spacing w:val="1"/>
          <w:sz w:val="21"/>
          <w:szCs w:val="21"/>
        </w:rPr>
        <w:t xml:space="preserve"> </w:t>
      </w:r>
      <w:r w:rsidRPr="00DC73B6">
        <w:rPr>
          <w:rFonts w:ascii="Abadi" w:hAnsi="Abadi"/>
          <w:b w:val="0"/>
          <w:bCs w:val="0"/>
          <w:spacing w:val="-6"/>
          <w:sz w:val="21"/>
          <w:szCs w:val="21"/>
        </w:rPr>
        <w:t>precarizadas</w:t>
      </w:r>
      <w:r w:rsidRPr="00DC73B6">
        <w:rPr>
          <w:rFonts w:ascii="Abadi" w:hAnsi="Abadi"/>
          <w:b w:val="0"/>
          <w:bCs w:val="0"/>
          <w:spacing w:val="3"/>
          <w:sz w:val="21"/>
          <w:szCs w:val="21"/>
        </w:rPr>
        <w:t xml:space="preserve"> </w:t>
      </w:r>
      <w:r w:rsidRPr="00DC73B6">
        <w:rPr>
          <w:rFonts w:ascii="Abadi" w:hAnsi="Abadi"/>
          <w:b w:val="0"/>
          <w:bCs w:val="0"/>
          <w:spacing w:val="-6"/>
          <w:sz w:val="21"/>
          <w:szCs w:val="21"/>
        </w:rPr>
        <w:t>relaciones</w:t>
      </w:r>
      <w:r w:rsidRPr="00DC73B6">
        <w:rPr>
          <w:rFonts w:ascii="Abadi" w:hAnsi="Abadi"/>
          <w:b w:val="0"/>
          <w:bCs w:val="0"/>
          <w:spacing w:val="3"/>
          <w:sz w:val="21"/>
          <w:szCs w:val="21"/>
        </w:rPr>
        <w:t xml:space="preserve"> </w:t>
      </w:r>
      <w:r w:rsidRPr="00DC73B6">
        <w:rPr>
          <w:rFonts w:ascii="Abadi" w:hAnsi="Abadi"/>
          <w:b w:val="0"/>
          <w:bCs w:val="0"/>
          <w:spacing w:val="-6"/>
          <w:sz w:val="21"/>
          <w:szCs w:val="21"/>
        </w:rPr>
        <w:t>labores</w:t>
      </w:r>
      <w:r w:rsidRPr="00DC73B6">
        <w:rPr>
          <w:rFonts w:ascii="Abadi" w:hAnsi="Abadi"/>
          <w:b w:val="0"/>
          <w:bCs w:val="0"/>
          <w:spacing w:val="3"/>
          <w:sz w:val="21"/>
          <w:szCs w:val="21"/>
        </w:rPr>
        <w:t xml:space="preserve"> </w:t>
      </w:r>
      <w:r w:rsidRPr="00DC73B6">
        <w:rPr>
          <w:rFonts w:ascii="Abadi" w:hAnsi="Abadi"/>
          <w:b w:val="0"/>
          <w:bCs w:val="0"/>
          <w:spacing w:val="-6"/>
          <w:sz w:val="21"/>
          <w:szCs w:val="21"/>
        </w:rPr>
        <w:t>del</w:t>
      </w:r>
      <w:r w:rsidRPr="00DC73B6">
        <w:rPr>
          <w:rFonts w:ascii="Abadi" w:hAnsi="Abadi"/>
          <w:b w:val="0"/>
          <w:bCs w:val="0"/>
          <w:spacing w:val="2"/>
          <w:sz w:val="21"/>
          <w:szCs w:val="21"/>
        </w:rPr>
        <w:t xml:space="preserve"> </w:t>
      </w:r>
      <w:r w:rsidRPr="00DC73B6">
        <w:rPr>
          <w:rFonts w:ascii="Abadi" w:hAnsi="Abadi"/>
          <w:b w:val="0"/>
          <w:bCs w:val="0"/>
          <w:spacing w:val="-6"/>
          <w:sz w:val="21"/>
          <w:szCs w:val="21"/>
        </w:rPr>
        <w:t>personal</w:t>
      </w:r>
      <w:r w:rsidRPr="00DC73B6">
        <w:rPr>
          <w:rFonts w:ascii="Abadi" w:hAnsi="Abadi"/>
          <w:b w:val="0"/>
          <w:bCs w:val="0"/>
          <w:spacing w:val="1"/>
          <w:sz w:val="21"/>
          <w:szCs w:val="21"/>
        </w:rPr>
        <w:t xml:space="preserve"> </w:t>
      </w:r>
      <w:r w:rsidRPr="00DC73B6">
        <w:rPr>
          <w:rFonts w:ascii="Abadi" w:hAnsi="Abadi"/>
          <w:b w:val="0"/>
          <w:bCs w:val="0"/>
          <w:spacing w:val="-6"/>
          <w:sz w:val="21"/>
          <w:szCs w:val="21"/>
        </w:rPr>
        <w:t>de</w:t>
      </w:r>
      <w:r w:rsidRPr="00DC73B6">
        <w:rPr>
          <w:rFonts w:ascii="Abadi" w:hAnsi="Abadi"/>
          <w:b w:val="0"/>
          <w:bCs w:val="0"/>
          <w:spacing w:val="1"/>
          <w:sz w:val="21"/>
          <w:szCs w:val="21"/>
        </w:rPr>
        <w:t xml:space="preserve"> </w:t>
      </w:r>
      <w:r w:rsidRPr="00DC73B6">
        <w:rPr>
          <w:rFonts w:ascii="Abadi" w:hAnsi="Abadi"/>
          <w:b w:val="0"/>
          <w:bCs w:val="0"/>
          <w:spacing w:val="-6"/>
          <w:sz w:val="21"/>
          <w:szCs w:val="21"/>
        </w:rPr>
        <w:t>salud,</w:t>
      </w:r>
      <w:r w:rsidRPr="00DC73B6">
        <w:rPr>
          <w:rFonts w:ascii="Abadi" w:hAnsi="Abadi"/>
          <w:b w:val="0"/>
          <w:bCs w:val="0"/>
          <w:spacing w:val="3"/>
          <w:sz w:val="21"/>
          <w:szCs w:val="21"/>
        </w:rPr>
        <w:t xml:space="preserve"> </w:t>
      </w:r>
      <w:r w:rsidRPr="00DC73B6">
        <w:rPr>
          <w:rFonts w:ascii="Abadi" w:hAnsi="Abadi"/>
          <w:b w:val="0"/>
          <w:bCs w:val="0"/>
          <w:spacing w:val="-6"/>
          <w:sz w:val="21"/>
          <w:szCs w:val="21"/>
        </w:rPr>
        <w:t xml:space="preserve">la </w:t>
      </w:r>
      <w:r w:rsidR="00DC73B6" w:rsidRPr="00DC73B6">
        <w:rPr>
          <w:rFonts w:ascii="Abadi" w:hAnsi="Abadi"/>
          <w:b w:val="0"/>
          <w:bCs w:val="0"/>
          <w:spacing w:val="-8"/>
          <w:sz w:val="21"/>
          <w:szCs w:val="21"/>
        </w:rPr>
        <w:t>promesa</w:t>
      </w:r>
      <w:r w:rsidR="00DC73B6" w:rsidRPr="00DC73B6">
        <w:rPr>
          <w:rFonts w:ascii="Abadi" w:hAnsi="Abadi"/>
          <w:b w:val="0"/>
          <w:bCs w:val="0"/>
          <w:spacing w:val="-7"/>
          <w:sz w:val="21"/>
          <w:szCs w:val="21"/>
        </w:rPr>
        <w:t xml:space="preserve"> </w:t>
      </w:r>
      <w:r w:rsidR="00DC73B6" w:rsidRPr="00DC73B6">
        <w:rPr>
          <w:rFonts w:ascii="Abadi" w:hAnsi="Abadi"/>
          <w:b w:val="0"/>
          <w:bCs w:val="0"/>
          <w:spacing w:val="-8"/>
          <w:sz w:val="21"/>
          <w:szCs w:val="21"/>
        </w:rPr>
        <w:t>de</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basificación</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lastRenderedPageBreak/>
        <w:t>se</w:t>
      </w:r>
      <w:r w:rsidR="00DC73B6" w:rsidRPr="00DC73B6">
        <w:rPr>
          <w:rFonts w:ascii="Abadi" w:hAnsi="Abadi"/>
          <w:b w:val="0"/>
          <w:bCs w:val="0"/>
          <w:spacing w:val="-7"/>
          <w:sz w:val="21"/>
          <w:szCs w:val="21"/>
        </w:rPr>
        <w:t xml:space="preserve"> </w:t>
      </w:r>
      <w:r w:rsidR="00DC73B6" w:rsidRPr="00DC73B6">
        <w:rPr>
          <w:rFonts w:ascii="Abadi" w:hAnsi="Abadi"/>
          <w:b w:val="0"/>
          <w:bCs w:val="0"/>
          <w:spacing w:val="-8"/>
          <w:sz w:val="21"/>
          <w:szCs w:val="21"/>
        </w:rPr>
        <w:t>transformó</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en</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un</w:t>
      </w:r>
      <w:r w:rsidR="00DC73B6" w:rsidRPr="00DC73B6">
        <w:rPr>
          <w:rFonts w:ascii="Abadi" w:hAnsi="Abadi"/>
          <w:b w:val="0"/>
          <w:bCs w:val="0"/>
          <w:spacing w:val="-7"/>
          <w:sz w:val="21"/>
          <w:szCs w:val="21"/>
        </w:rPr>
        <w:t xml:space="preserve"> </w:t>
      </w:r>
      <w:r w:rsidR="00DC73B6" w:rsidRPr="00DC73B6">
        <w:rPr>
          <w:rFonts w:ascii="Abadi" w:hAnsi="Abadi"/>
          <w:b w:val="0"/>
          <w:bCs w:val="0"/>
          <w:spacing w:val="-8"/>
          <w:sz w:val="21"/>
          <w:szCs w:val="21"/>
        </w:rPr>
        <w:t>programa</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mediante</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el</w:t>
      </w:r>
      <w:r w:rsidR="00DC73B6" w:rsidRPr="00DC73B6">
        <w:rPr>
          <w:rFonts w:ascii="Abadi" w:hAnsi="Abadi"/>
          <w:b w:val="0"/>
          <w:bCs w:val="0"/>
          <w:spacing w:val="-7"/>
          <w:sz w:val="21"/>
          <w:szCs w:val="21"/>
        </w:rPr>
        <w:t xml:space="preserve"> </w:t>
      </w:r>
      <w:r w:rsidR="00DC73B6" w:rsidRPr="00DC73B6">
        <w:rPr>
          <w:rFonts w:ascii="Abadi" w:hAnsi="Abadi"/>
          <w:b w:val="0"/>
          <w:bCs w:val="0"/>
          <w:spacing w:val="-8"/>
          <w:sz w:val="21"/>
          <w:szCs w:val="21"/>
        </w:rPr>
        <w:t>cual</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se</w:t>
      </w:r>
      <w:r w:rsidR="00DC73B6" w:rsidRPr="00DC73B6">
        <w:rPr>
          <w:rFonts w:ascii="Abadi" w:hAnsi="Abadi"/>
          <w:b w:val="0"/>
          <w:bCs w:val="0"/>
          <w:spacing w:val="-6"/>
          <w:sz w:val="21"/>
          <w:szCs w:val="21"/>
        </w:rPr>
        <w:t xml:space="preserve"> </w:t>
      </w:r>
      <w:r w:rsidR="00DC73B6" w:rsidRPr="00DC73B6">
        <w:rPr>
          <w:rFonts w:ascii="Abadi" w:hAnsi="Abadi"/>
          <w:b w:val="0"/>
          <w:bCs w:val="0"/>
          <w:spacing w:val="-8"/>
          <w:sz w:val="21"/>
          <w:szCs w:val="21"/>
        </w:rPr>
        <w:t xml:space="preserve">brindaron </w:t>
      </w:r>
      <w:r w:rsidR="00DC73B6" w:rsidRPr="00DC73B6">
        <w:rPr>
          <w:rFonts w:ascii="Abadi" w:hAnsi="Abadi"/>
          <w:b w:val="0"/>
          <w:bCs w:val="0"/>
          <w:spacing w:val="-6"/>
          <w:sz w:val="21"/>
          <w:szCs w:val="21"/>
        </w:rPr>
        <w:t>algunas</w:t>
      </w:r>
      <w:r w:rsidR="00DC73B6" w:rsidRPr="00DC73B6">
        <w:rPr>
          <w:rFonts w:ascii="Abadi" w:hAnsi="Abadi"/>
          <w:b w:val="0"/>
          <w:bCs w:val="0"/>
          <w:spacing w:val="-9"/>
          <w:sz w:val="21"/>
          <w:szCs w:val="21"/>
        </w:rPr>
        <w:t xml:space="preserve"> </w:t>
      </w:r>
      <w:r w:rsidR="00DC73B6" w:rsidRPr="00DC73B6">
        <w:rPr>
          <w:rFonts w:ascii="Abadi" w:hAnsi="Abadi"/>
          <w:b w:val="0"/>
          <w:bCs w:val="0"/>
          <w:spacing w:val="-6"/>
          <w:sz w:val="21"/>
          <w:szCs w:val="21"/>
        </w:rPr>
        <w:t>de</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las</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prestaciones</w:t>
      </w:r>
      <w:r w:rsidR="00DC73B6" w:rsidRPr="00DC73B6">
        <w:rPr>
          <w:rFonts w:ascii="Abadi" w:hAnsi="Abadi"/>
          <w:b w:val="0"/>
          <w:bCs w:val="0"/>
          <w:spacing w:val="-9"/>
          <w:sz w:val="21"/>
          <w:szCs w:val="21"/>
        </w:rPr>
        <w:t xml:space="preserve"> </w:t>
      </w:r>
      <w:r w:rsidR="00DC73B6" w:rsidRPr="00DC73B6">
        <w:rPr>
          <w:rFonts w:ascii="Abadi" w:hAnsi="Abadi"/>
          <w:b w:val="0"/>
          <w:bCs w:val="0"/>
          <w:spacing w:val="-6"/>
          <w:sz w:val="21"/>
          <w:szCs w:val="21"/>
        </w:rPr>
        <w:t>laborales</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de</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forma</w:t>
      </w:r>
      <w:r w:rsidR="00DC73B6" w:rsidRPr="00DC73B6">
        <w:rPr>
          <w:rFonts w:ascii="Abadi" w:hAnsi="Abadi"/>
          <w:b w:val="0"/>
          <w:bCs w:val="0"/>
          <w:spacing w:val="-9"/>
          <w:sz w:val="21"/>
          <w:szCs w:val="21"/>
        </w:rPr>
        <w:t xml:space="preserve"> </w:t>
      </w:r>
      <w:r w:rsidR="00DC73B6" w:rsidRPr="00DC73B6">
        <w:rPr>
          <w:rFonts w:ascii="Abadi" w:hAnsi="Abadi"/>
          <w:b w:val="0"/>
          <w:bCs w:val="0"/>
          <w:spacing w:val="-6"/>
          <w:sz w:val="21"/>
          <w:szCs w:val="21"/>
        </w:rPr>
        <w:t>errática</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y</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sin</w:t>
      </w:r>
      <w:r w:rsidR="00DC73B6" w:rsidRPr="00DC73B6">
        <w:rPr>
          <w:rFonts w:ascii="Abadi" w:hAnsi="Abadi"/>
          <w:b w:val="0"/>
          <w:bCs w:val="0"/>
          <w:spacing w:val="-9"/>
          <w:sz w:val="21"/>
          <w:szCs w:val="21"/>
        </w:rPr>
        <w:t xml:space="preserve"> </w:t>
      </w:r>
      <w:r w:rsidR="00DC73B6" w:rsidRPr="00DC73B6">
        <w:rPr>
          <w:rFonts w:ascii="Abadi" w:hAnsi="Abadi"/>
          <w:b w:val="0"/>
          <w:bCs w:val="0"/>
          <w:spacing w:val="-6"/>
          <w:sz w:val="21"/>
          <w:szCs w:val="21"/>
        </w:rPr>
        <w:t>criterios</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públicos</w:t>
      </w:r>
      <w:r w:rsidR="00DC73B6" w:rsidRPr="00DC73B6">
        <w:rPr>
          <w:rFonts w:ascii="Abadi" w:hAnsi="Abadi"/>
          <w:b w:val="0"/>
          <w:bCs w:val="0"/>
          <w:spacing w:val="-8"/>
          <w:sz w:val="21"/>
          <w:szCs w:val="21"/>
        </w:rPr>
        <w:t xml:space="preserve"> </w:t>
      </w:r>
      <w:r w:rsidR="00DC73B6" w:rsidRPr="00DC73B6">
        <w:rPr>
          <w:rFonts w:ascii="Abadi" w:hAnsi="Abadi"/>
          <w:b w:val="0"/>
          <w:bCs w:val="0"/>
          <w:spacing w:val="-6"/>
          <w:sz w:val="21"/>
          <w:szCs w:val="21"/>
        </w:rPr>
        <w:t xml:space="preserve">claros </w:t>
      </w:r>
      <w:r w:rsidR="00DC73B6" w:rsidRPr="00DC73B6">
        <w:rPr>
          <w:rFonts w:ascii="Abadi" w:hAnsi="Abadi"/>
          <w:b w:val="0"/>
          <w:bCs w:val="0"/>
          <w:sz w:val="21"/>
          <w:szCs w:val="21"/>
        </w:rPr>
        <w:t>sobre</w:t>
      </w:r>
      <w:r w:rsidR="00DC73B6" w:rsidRPr="00DC73B6">
        <w:rPr>
          <w:rFonts w:ascii="Abadi" w:hAnsi="Abadi"/>
          <w:b w:val="0"/>
          <w:bCs w:val="0"/>
          <w:spacing w:val="-15"/>
          <w:sz w:val="21"/>
          <w:szCs w:val="21"/>
        </w:rPr>
        <w:t xml:space="preserve"> </w:t>
      </w:r>
      <w:r w:rsidR="00DC73B6" w:rsidRPr="00DC73B6">
        <w:rPr>
          <w:rFonts w:ascii="Abadi" w:hAnsi="Abadi"/>
          <w:b w:val="0"/>
          <w:bCs w:val="0"/>
          <w:sz w:val="21"/>
          <w:szCs w:val="21"/>
        </w:rPr>
        <w:t>las</w:t>
      </w:r>
      <w:r w:rsidR="00DC73B6" w:rsidRPr="00DC73B6">
        <w:rPr>
          <w:rFonts w:ascii="Abadi" w:hAnsi="Abadi"/>
          <w:b w:val="0"/>
          <w:bCs w:val="0"/>
          <w:spacing w:val="-14"/>
          <w:sz w:val="21"/>
          <w:szCs w:val="21"/>
        </w:rPr>
        <w:t xml:space="preserve"> </w:t>
      </w:r>
      <w:r w:rsidR="00DC73B6" w:rsidRPr="00DC73B6">
        <w:rPr>
          <w:rFonts w:ascii="Abadi" w:hAnsi="Abadi"/>
          <w:b w:val="0"/>
          <w:bCs w:val="0"/>
          <w:sz w:val="21"/>
          <w:szCs w:val="21"/>
        </w:rPr>
        <w:t>personas</w:t>
      </w:r>
      <w:r w:rsidR="00DC73B6" w:rsidRPr="00DC73B6">
        <w:rPr>
          <w:rFonts w:ascii="Abadi" w:hAnsi="Abadi"/>
          <w:b w:val="0"/>
          <w:bCs w:val="0"/>
          <w:spacing w:val="-14"/>
          <w:sz w:val="21"/>
          <w:szCs w:val="21"/>
        </w:rPr>
        <w:t xml:space="preserve"> </w:t>
      </w:r>
      <w:r w:rsidR="00DC73B6" w:rsidRPr="00DC73B6">
        <w:rPr>
          <w:rFonts w:ascii="Abadi" w:hAnsi="Abadi"/>
          <w:b w:val="0"/>
          <w:bCs w:val="0"/>
          <w:sz w:val="21"/>
          <w:szCs w:val="21"/>
        </w:rPr>
        <w:t>beneficiarias.</w:t>
      </w:r>
    </w:p>
    <w:p w14:paraId="09A0DEA0" w14:textId="6A85D728" w:rsidR="00DC73B6" w:rsidRPr="00DC73B6" w:rsidRDefault="00DC73B6" w:rsidP="00DC73B6">
      <w:pPr>
        <w:pStyle w:val="Textoindependiente"/>
        <w:spacing w:before="235"/>
        <w:rPr>
          <w:rFonts w:ascii="Abadi" w:hAnsi="Abadi"/>
          <w:b w:val="0"/>
          <w:bCs w:val="0"/>
          <w:sz w:val="21"/>
          <w:szCs w:val="21"/>
        </w:rPr>
      </w:pPr>
      <w:r w:rsidRPr="00DC73B6">
        <w:rPr>
          <w:rFonts w:ascii="Abadi" w:hAnsi="Abadi"/>
          <w:b w:val="0"/>
          <w:bCs w:val="0"/>
          <w:spacing w:val="-4"/>
          <w:sz w:val="21"/>
          <w:szCs w:val="21"/>
        </w:rPr>
        <w:t>En</w:t>
      </w:r>
      <w:r w:rsidRPr="00DC73B6">
        <w:rPr>
          <w:rFonts w:ascii="Abadi" w:hAnsi="Abadi"/>
          <w:b w:val="0"/>
          <w:bCs w:val="0"/>
          <w:spacing w:val="-8"/>
          <w:sz w:val="21"/>
          <w:szCs w:val="21"/>
        </w:rPr>
        <w:t xml:space="preserve"> </w:t>
      </w:r>
      <w:r w:rsidRPr="00DC73B6">
        <w:rPr>
          <w:rFonts w:ascii="Abadi" w:hAnsi="Abadi"/>
          <w:b w:val="0"/>
          <w:bCs w:val="0"/>
          <w:spacing w:val="-4"/>
          <w:sz w:val="21"/>
          <w:szCs w:val="21"/>
        </w:rPr>
        <w:t>cambio,</w:t>
      </w:r>
      <w:r w:rsidRPr="00DC73B6">
        <w:rPr>
          <w:rFonts w:ascii="Abadi" w:hAnsi="Abadi"/>
          <w:b w:val="0"/>
          <w:bCs w:val="0"/>
          <w:spacing w:val="-7"/>
          <w:sz w:val="21"/>
          <w:szCs w:val="21"/>
        </w:rPr>
        <w:t xml:space="preserve"> </w:t>
      </w:r>
      <w:r w:rsidRPr="00DC73B6">
        <w:rPr>
          <w:rFonts w:ascii="Abadi" w:hAnsi="Abadi"/>
          <w:b w:val="0"/>
          <w:bCs w:val="0"/>
          <w:spacing w:val="-4"/>
          <w:sz w:val="21"/>
          <w:szCs w:val="21"/>
        </w:rPr>
        <w:t>el</w:t>
      </w:r>
      <w:r w:rsidRPr="00DC73B6">
        <w:rPr>
          <w:rFonts w:ascii="Abadi" w:hAnsi="Abadi"/>
          <w:b w:val="0"/>
          <w:bCs w:val="0"/>
          <w:spacing w:val="-5"/>
          <w:sz w:val="21"/>
          <w:szCs w:val="21"/>
        </w:rPr>
        <w:t xml:space="preserve"> </w:t>
      </w:r>
      <w:r w:rsidRPr="00DC73B6">
        <w:rPr>
          <w:rFonts w:ascii="Abadi" w:hAnsi="Abadi"/>
          <w:b w:val="0"/>
          <w:bCs w:val="0"/>
          <w:spacing w:val="-4"/>
          <w:sz w:val="21"/>
          <w:szCs w:val="21"/>
        </w:rPr>
        <w:t>panorama</w:t>
      </w:r>
      <w:r w:rsidRPr="00DC73B6">
        <w:rPr>
          <w:rFonts w:ascii="Abadi" w:hAnsi="Abadi"/>
          <w:b w:val="0"/>
          <w:bCs w:val="0"/>
          <w:spacing w:val="-7"/>
          <w:sz w:val="21"/>
          <w:szCs w:val="21"/>
        </w:rPr>
        <w:t xml:space="preserve"> </w:t>
      </w:r>
      <w:r w:rsidRPr="00DC73B6">
        <w:rPr>
          <w:rFonts w:ascii="Abadi" w:hAnsi="Abadi"/>
          <w:b w:val="0"/>
          <w:bCs w:val="0"/>
          <w:spacing w:val="-4"/>
          <w:sz w:val="21"/>
          <w:szCs w:val="21"/>
        </w:rPr>
        <w:t>de</w:t>
      </w:r>
      <w:r w:rsidRPr="00DC73B6">
        <w:rPr>
          <w:rFonts w:ascii="Abadi" w:hAnsi="Abadi"/>
          <w:b w:val="0"/>
          <w:bCs w:val="0"/>
          <w:spacing w:val="-7"/>
          <w:sz w:val="21"/>
          <w:szCs w:val="21"/>
        </w:rPr>
        <w:t xml:space="preserve"> </w:t>
      </w:r>
      <w:r w:rsidRPr="00DC73B6">
        <w:rPr>
          <w:rFonts w:ascii="Abadi" w:hAnsi="Abadi"/>
          <w:b w:val="0"/>
          <w:bCs w:val="0"/>
          <w:spacing w:val="-4"/>
          <w:sz w:val="21"/>
          <w:szCs w:val="21"/>
        </w:rPr>
        <w:t>la</w:t>
      </w:r>
      <w:r w:rsidRPr="00DC73B6">
        <w:rPr>
          <w:rFonts w:ascii="Abadi" w:hAnsi="Abadi"/>
          <w:b w:val="0"/>
          <w:bCs w:val="0"/>
          <w:spacing w:val="-5"/>
          <w:sz w:val="21"/>
          <w:szCs w:val="21"/>
        </w:rPr>
        <w:t xml:space="preserve"> </w:t>
      </w:r>
      <w:r w:rsidRPr="00DC73B6">
        <w:rPr>
          <w:rFonts w:ascii="Abadi" w:hAnsi="Abadi"/>
          <w:b w:val="0"/>
          <w:bCs w:val="0"/>
          <w:spacing w:val="-4"/>
          <w:sz w:val="21"/>
          <w:szCs w:val="21"/>
        </w:rPr>
        <w:t>basificación</w:t>
      </w:r>
      <w:r w:rsidRPr="00DC73B6">
        <w:rPr>
          <w:rFonts w:ascii="Abadi" w:hAnsi="Abadi"/>
          <w:b w:val="0"/>
          <w:bCs w:val="0"/>
          <w:spacing w:val="-6"/>
          <w:sz w:val="21"/>
          <w:szCs w:val="21"/>
        </w:rPr>
        <w:t xml:space="preserve"> </w:t>
      </w:r>
      <w:r w:rsidRPr="00DC73B6">
        <w:rPr>
          <w:rFonts w:ascii="Abadi" w:hAnsi="Abadi"/>
          <w:b w:val="0"/>
          <w:bCs w:val="0"/>
          <w:spacing w:val="-4"/>
          <w:sz w:val="21"/>
          <w:szCs w:val="21"/>
        </w:rPr>
        <w:t>real</w:t>
      </w:r>
      <w:r w:rsidRPr="00DC73B6">
        <w:rPr>
          <w:rFonts w:ascii="Abadi" w:hAnsi="Abadi"/>
          <w:b w:val="0"/>
          <w:bCs w:val="0"/>
          <w:spacing w:val="-7"/>
          <w:sz w:val="21"/>
          <w:szCs w:val="21"/>
        </w:rPr>
        <w:t xml:space="preserve"> </w:t>
      </w:r>
      <w:r w:rsidRPr="00DC73B6">
        <w:rPr>
          <w:rFonts w:ascii="Abadi" w:hAnsi="Abadi"/>
          <w:b w:val="0"/>
          <w:bCs w:val="0"/>
          <w:spacing w:val="-4"/>
          <w:sz w:val="21"/>
          <w:szCs w:val="21"/>
        </w:rPr>
        <w:t>ha sido</w:t>
      </w:r>
      <w:r w:rsidRPr="00DC73B6">
        <w:rPr>
          <w:rFonts w:ascii="Abadi" w:hAnsi="Abadi"/>
          <w:b w:val="0"/>
          <w:bCs w:val="0"/>
          <w:spacing w:val="-8"/>
          <w:sz w:val="21"/>
          <w:szCs w:val="21"/>
        </w:rPr>
        <w:t xml:space="preserve"> </w:t>
      </w:r>
      <w:r w:rsidRPr="00DC73B6">
        <w:rPr>
          <w:rFonts w:ascii="Abadi" w:hAnsi="Abadi"/>
          <w:b w:val="0"/>
          <w:bCs w:val="0"/>
          <w:spacing w:val="-4"/>
          <w:sz w:val="21"/>
          <w:szCs w:val="21"/>
        </w:rPr>
        <w:t>abandonado</w:t>
      </w:r>
      <w:r w:rsidRPr="00DC73B6">
        <w:rPr>
          <w:rFonts w:ascii="Abadi" w:hAnsi="Abadi"/>
          <w:b w:val="0"/>
          <w:bCs w:val="0"/>
          <w:spacing w:val="-5"/>
          <w:sz w:val="21"/>
          <w:szCs w:val="21"/>
        </w:rPr>
        <w:t xml:space="preserve"> </w:t>
      </w:r>
      <w:r w:rsidRPr="00DC73B6">
        <w:rPr>
          <w:rFonts w:ascii="Abadi" w:hAnsi="Abadi"/>
          <w:b w:val="0"/>
          <w:bCs w:val="0"/>
          <w:spacing w:val="-4"/>
          <w:sz w:val="21"/>
          <w:szCs w:val="21"/>
        </w:rPr>
        <w:t>durante</w:t>
      </w:r>
      <w:r w:rsidRPr="00DC73B6">
        <w:rPr>
          <w:rFonts w:ascii="Abadi" w:hAnsi="Abadi"/>
          <w:b w:val="0"/>
          <w:bCs w:val="0"/>
          <w:spacing w:val="-5"/>
          <w:sz w:val="21"/>
          <w:szCs w:val="21"/>
        </w:rPr>
        <w:t xml:space="preserve"> </w:t>
      </w:r>
      <w:r w:rsidRPr="00DC73B6">
        <w:rPr>
          <w:rFonts w:ascii="Abadi" w:hAnsi="Abadi"/>
          <w:b w:val="0"/>
          <w:bCs w:val="0"/>
          <w:spacing w:val="-4"/>
          <w:sz w:val="21"/>
          <w:szCs w:val="21"/>
        </w:rPr>
        <w:t>todo</w:t>
      </w:r>
      <w:r w:rsidRPr="00DC73B6">
        <w:rPr>
          <w:rFonts w:ascii="Abadi" w:hAnsi="Abadi"/>
          <w:b w:val="0"/>
          <w:bCs w:val="0"/>
          <w:spacing w:val="-7"/>
          <w:sz w:val="21"/>
          <w:szCs w:val="21"/>
        </w:rPr>
        <w:t xml:space="preserve"> </w:t>
      </w:r>
      <w:r w:rsidRPr="00DC73B6">
        <w:rPr>
          <w:rFonts w:ascii="Abadi" w:hAnsi="Abadi"/>
          <w:b w:val="0"/>
          <w:bCs w:val="0"/>
          <w:spacing w:val="-4"/>
          <w:sz w:val="21"/>
          <w:szCs w:val="21"/>
        </w:rPr>
        <w:t xml:space="preserve">el </w:t>
      </w:r>
      <w:r w:rsidRPr="00DC73B6">
        <w:rPr>
          <w:rFonts w:ascii="Abadi" w:hAnsi="Abadi"/>
          <w:b w:val="0"/>
          <w:bCs w:val="0"/>
          <w:spacing w:val="-8"/>
          <w:sz w:val="21"/>
          <w:szCs w:val="21"/>
        </w:rPr>
        <w:t>periodo</w:t>
      </w:r>
      <w:r w:rsidRPr="00DC73B6">
        <w:rPr>
          <w:rFonts w:ascii="Abadi" w:hAnsi="Abadi"/>
          <w:b w:val="0"/>
          <w:bCs w:val="0"/>
          <w:spacing w:val="-6"/>
          <w:sz w:val="21"/>
          <w:szCs w:val="21"/>
        </w:rPr>
        <w:t xml:space="preserve"> </w:t>
      </w:r>
      <w:r w:rsidRPr="00DC73B6">
        <w:rPr>
          <w:rFonts w:ascii="Abadi" w:hAnsi="Abadi"/>
          <w:b w:val="0"/>
          <w:bCs w:val="0"/>
          <w:spacing w:val="-8"/>
          <w:sz w:val="21"/>
          <w:szCs w:val="21"/>
        </w:rPr>
        <w:t>de</w:t>
      </w:r>
      <w:r w:rsidRPr="00DC73B6">
        <w:rPr>
          <w:rFonts w:ascii="Abadi" w:hAnsi="Abadi"/>
          <w:b w:val="0"/>
          <w:bCs w:val="0"/>
          <w:spacing w:val="-6"/>
          <w:sz w:val="21"/>
          <w:szCs w:val="21"/>
        </w:rPr>
        <w:t xml:space="preserve"> </w:t>
      </w:r>
      <w:r w:rsidRPr="00DC73B6">
        <w:rPr>
          <w:rFonts w:ascii="Abadi" w:hAnsi="Abadi"/>
          <w:b w:val="0"/>
          <w:bCs w:val="0"/>
          <w:spacing w:val="-8"/>
          <w:sz w:val="21"/>
          <w:szCs w:val="21"/>
        </w:rPr>
        <w:t>gobierno</w:t>
      </w:r>
      <w:r w:rsidRPr="00DC73B6">
        <w:rPr>
          <w:rFonts w:ascii="Abadi" w:hAnsi="Abadi"/>
          <w:b w:val="0"/>
          <w:bCs w:val="0"/>
          <w:spacing w:val="-5"/>
          <w:sz w:val="21"/>
          <w:szCs w:val="21"/>
        </w:rPr>
        <w:t xml:space="preserve"> </w:t>
      </w:r>
      <w:r w:rsidRPr="00DC73B6">
        <w:rPr>
          <w:rFonts w:ascii="Abadi" w:hAnsi="Abadi"/>
          <w:b w:val="0"/>
          <w:bCs w:val="0"/>
          <w:spacing w:val="-8"/>
          <w:sz w:val="21"/>
          <w:szCs w:val="21"/>
        </w:rPr>
        <w:t>de</w:t>
      </w:r>
      <w:r w:rsidRPr="00DC73B6">
        <w:rPr>
          <w:rFonts w:ascii="Abadi" w:hAnsi="Abadi"/>
          <w:b w:val="0"/>
          <w:bCs w:val="0"/>
          <w:spacing w:val="-7"/>
          <w:sz w:val="21"/>
          <w:szCs w:val="21"/>
        </w:rPr>
        <w:t xml:space="preserve"> </w:t>
      </w:r>
      <w:r w:rsidRPr="00DC73B6">
        <w:rPr>
          <w:rFonts w:ascii="Abadi" w:hAnsi="Abadi"/>
          <w:b w:val="0"/>
          <w:bCs w:val="0"/>
          <w:spacing w:val="-8"/>
          <w:sz w:val="21"/>
          <w:szCs w:val="21"/>
        </w:rPr>
        <w:t>Diego</w:t>
      </w:r>
      <w:r w:rsidRPr="00DC73B6">
        <w:rPr>
          <w:rFonts w:ascii="Abadi" w:hAnsi="Abadi"/>
          <w:b w:val="0"/>
          <w:bCs w:val="0"/>
          <w:spacing w:val="-4"/>
          <w:sz w:val="21"/>
          <w:szCs w:val="21"/>
        </w:rPr>
        <w:t xml:space="preserve"> </w:t>
      </w:r>
      <w:r w:rsidR="00DA01B1" w:rsidRPr="00DC73B6">
        <w:rPr>
          <w:rFonts w:ascii="Abadi" w:hAnsi="Abadi"/>
          <w:b w:val="0"/>
          <w:bCs w:val="0"/>
          <w:spacing w:val="-8"/>
          <w:sz w:val="21"/>
          <w:szCs w:val="21"/>
        </w:rPr>
        <w:t>Sinhue</w:t>
      </w:r>
      <w:r w:rsidRPr="00DC73B6">
        <w:rPr>
          <w:rFonts w:ascii="Abadi" w:hAnsi="Abadi"/>
          <w:b w:val="0"/>
          <w:bCs w:val="0"/>
          <w:spacing w:val="-8"/>
          <w:sz w:val="21"/>
          <w:szCs w:val="21"/>
        </w:rPr>
        <w:t>:</w:t>
      </w:r>
      <w:r w:rsidRPr="00DC73B6">
        <w:rPr>
          <w:rFonts w:ascii="Abadi" w:hAnsi="Abadi"/>
          <w:b w:val="0"/>
          <w:bCs w:val="0"/>
          <w:spacing w:val="-7"/>
          <w:sz w:val="21"/>
          <w:szCs w:val="21"/>
        </w:rPr>
        <w:t xml:space="preserve"> </w:t>
      </w:r>
      <w:r w:rsidRPr="00DC73B6">
        <w:rPr>
          <w:rFonts w:ascii="Abadi" w:hAnsi="Abadi"/>
          <w:b w:val="0"/>
          <w:bCs w:val="0"/>
          <w:spacing w:val="-8"/>
          <w:sz w:val="21"/>
          <w:szCs w:val="21"/>
        </w:rPr>
        <w:t>las</w:t>
      </w:r>
      <w:r w:rsidRPr="00DC73B6">
        <w:rPr>
          <w:rFonts w:ascii="Abadi" w:hAnsi="Abadi"/>
          <w:b w:val="0"/>
          <w:bCs w:val="0"/>
          <w:spacing w:val="-3"/>
          <w:sz w:val="21"/>
          <w:szCs w:val="21"/>
        </w:rPr>
        <w:t xml:space="preserve"> </w:t>
      </w:r>
      <w:r w:rsidRPr="00DC73B6">
        <w:rPr>
          <w:rFonts w:ascii="Abadi" w:hAnsi="Abadi"/>
          <w:b w:val="0"/>
          <w:bCs w:val="0"/>
          <w:spacing w:val="-8"/>
          <w:sz w:val="21"/>
          <w:szCs w:val="21"/>
        </w:rPr>
        <w:t>plazas</w:t>
      </w:r>
      <w:r w:rsidRPr="00DC73B6">
        <w:rPr>
          <w:rFonts w:ascii="Abadi" w:hAnsi="Abadi"/>
          <w:b w:val="0"/>
          <w:bCs w:val="0"/>
          <w:spacing w:val="-6"/>
          <w:sz w:val="21"/>
          <w:szCs w:val="21"/>
        </w:rPr>
        <w:t xml:space="preserve"> </w:t>
      </w:r>
      <w:r w:rsidRPr="00DC73B6">
        <w:rPr>
          <w:rFonts w:ascii="Abadi" w:hAnsi="Abadi"/>
          <w:b w:val="0"/>
          <w:bCs w:val="0"/>
          <w:spacing w:val="-8"/>
          <w:sz w:val="21"/>
          <w:szCs w:val="21"/>
        </w:rPr>
        <w:t>presupuestales</w:t>
      </w:r>
      <w:r w:rsidRPr="00DC73B6">
        <w:rPr>
          <w:rFonts w:ascii="Abadi" w:hAnsi="Abadi"/>
          <w:b w:val="0"/>
          <w:bCs w:val="0"/>
          <w:spacing w:val="-3"/>
          <w:sz w:val="21"/>
          <w:szCs w:val="21"/>
        </w:rPr>
        <w:t xml:space="preserve"> </w:t>
      </w:r>
      <w:r w:rsidRPr="00DC73B6">
        <w:rPr>
          <w:rFonts w:ascii="Abadi" w:hAnsi="Abadi"/>
          <w:b w:val="0"/>
          <w:bCs w:val="0"/>
          <w:spacing w:val="-8"/>
          <w:sz w:val="21"/>
          <w:szCs w:val="21"/>
        </w:rPr>
        <w:t>del</w:t>
      </w:r>
      <w:r w:rsidRPr="00DC73B6">
        <w:rPr>
          <w:rFonts w:ascii="Abadi" w:hAnsi="Abadi"/>
          <w:b w:val="0"/>
          <w:bCs w:val="0"/>
          <w:spacing w:val="-6"/>
          <w:sz w:val="21"/>
          <w:szCs w:val="21"/>
        </w:rPr>
        <w:t xml:space="preserve"> </w:t>
      </w:r>
      <w:r w:rsidRPr="00DC73B6">
        <w:rPr>
          <w:rFonts w:ascii="Abadi" w:hAnsi="Abadi"/>
          <w:b w:val="0"/>
          <w:bCs w:val="0"/>
          <w:spacing w:val="-8"/>
          <w:sz w:val="21"/>
          <w:szCs w:val="21"/>
        </w:rPr>
        <w:t>Instituto</w:t>
      </w:r>
      <w:r w:rsidRPr="00DC73B6">
        <w:rPr>
          <w:rFonts w:ascii="Abadi" w:hAnsi="Abadi"/>
          <w:b w:val="0"/>
          <w:bCs w:val="0"/>
          <w:spacing w:val="-7"/>
          <w:sz w:val="21"/>
          <w:szCs w:val="21"/>
        </w:rPr>
        <w:t xml:space="preserve"> </w:t>
      </w:r>
      <w:r w:rsidRPr="00DC73B6">
        <w:rPr>
          <w:rFonts w:ascii="Abadi" w:hAnsi="Abadi"/>
          <w:b w:val="0"/>
          <w:bCs w:val="0"/>
          <w:spacing w:val="-8"/>
          <w:sz w:val="21"/>
          <w:szCs w:val="21"/>
        </w:rPr>
        <w:t>de</w:t>
      </w:r>
      <w:r w:rsidRPr="00DC73B6">
        <w:rPr>
          <w:rFonts w:ascii="Abadi" w:hAnsi="Abadi"/>
          <w:b w:val="0"/>
          <w:bCs w:val="0"/>
          <w:spacing w:val="-4"/>
          <w:sz w:val="21"/>
          <w:szCs w:val="21"/>
        </w:rPr>
        <w:t xml:space="preserve"> </w:t>
      </w:r>
      <w:r w:rsidRPr="00DC73B6">
        <w:rPr>
          <w:rFonts w:ascii="Abadi" w:hAnsi="Abadi"/>
          <w:b w:val="0"/>
          <w:bCs w:val="0"/>
          <w:spacing w:val="-8"/>
          <w:sz w:val="21"/>
          <w:szCs w:val="21"/>
        </w:rPr>
        <w:t xml:space="preserve">Salud </w:t>
      </w:r>
      <w:r w:rsidRPr="00DC73B6">
        <w:rPr>
          <w:rFonts w:ascii="Abadi" w:hAnsi="Abadi"/>
          <w:b w:val="0"/>
          <w:bCs w:val="0"/>
          <w:spacing w:val="-2"/>
          <w:sz w:val="21"/>
          <w:szCs w:val="21"/>
        </w:rPr>
        <w:t>Pública</w:t>
      </w:r>
      <w:r w:rsidRPr="00DC73B6">
        <w:rPr>
          <w:rFonts w:ascii="Abadi" w:hAnsi="Abadi"/>
          <w:b w:val="0"/>
          <w:bCs w:val="0"/>
          <w:spacing w:val="-13"/>
          <w:sz w:val="21"/>
          <w:szCs w:val="21"/>
        </w:rPr>
        <w:t xml:space="preserve"> </w:t>
      </w:r>
      <w:r w:rsidRPr="00DC73B6">
        <w:rPr>
          <w:rFonts w:ascii="Abadi" w:hAnsi="Abadi"/>
          <w:b w:val="0"/>
          <w:bCs w:val="0"/>
          <w:spacing w:val="-2"/>
          <w:sz w:val="21"/>
          <w:szCs w:val="21"/>
        </w:rPr>
        <w:t>del</w:t>
      </w:r>
      <w:r w:rsidRPr="00DC73B6">
        <w:rPr>
          <w:rFonts w:ascii="Abadi" w:hAnsi="Abadi"/>
          <w:b w:val="0"/>
          <w:bCs w:val="0"/>
          <w:spacing w:val="-12"/>
          <w:sz w:val="21"/>
          <w:szCs w:val="21"/>
        </w:rPr>
        <w:t xml:space="preserve"> </w:t>
      </w:r>
      <w:r w:rsidRPr="00DC73B6">
        <w:rPr>
          <w:rFonts w:ascii="Abadi" w:hAnsi="Abadi"/>
          <w:b w:val="0"/>
          <w:bCs w:val="0"/>
          <w:spacing w:val="-2"/>
          <w:sz w:val="21"/>
          <w:szCs w:val="21"/>
        </w:rPr>
        <w:t>Estado</w:t>
      </w:r>
      <w:r w:rsidRPr="00DC73B6">
        <w:rPr>
          <w:rFonts w:ascii="Abadi" w:hAnsi="Abadi"/>
          <w:b w:val="0"/>
          <w:bCs w:val="0"/>
          <w:spacing w:val="-12"/>
          <w:sz w:val="21"/>
          <w:szCs w:val="21"/>
        </w:rPr>
        <w:t xml:space="preserve"> </w:t>
      </w:r>
      <w:r w:rsidRPr="00DC73B6">
        <w:rPr>
          <w:rFonts w:ascii="Abadi" w:hAnsi="Abadi"/>
          <w:b w:val="0"/>
          <w:bCs w:val="0"/>
          <w:spacing w:val="-2"/>
          <w:sz w:val="21"/>
          <w:szCs w:val="21"/>
        </w:rPr>
        <w:t>de</w:t>
      </w:r>
      <w:r w:rsidRPr="00DC73B6">
        <w:rPr>
          <w:rFonts w:ascii="Abadi" w:hAnsi="Abadi"/>
          <w:b w:val="0"/>
          <w:bCs w:val="0"/>
          <w:spacing w:val="-13"/>
          <w:sz w:val="21"/>
          <w:szCs w:val="21"/>
        </w:rPr>
        <w:t xml:space="preserve"> </w:t>
      </w:r>
      <w:r w:rsidRPr="00DC73B6">
        <w:rPr>
          <w:rFonts w:ascii="Abadi" w:hAnsi="Abadi"/>
          <w:b w:val="0"/>
          <w:bCs w:val="0"/>
          <w:spacing w:val="-2"/>
          <w:sz w:val="21"/>
          <w:szCs w:val="21"/>
        </w:rPr>
        <w:t>Guanajuato</w:t>
      </w:r>
      <w:r w:rsidRPr="00DC73B6">
        <w:rPr>
          <w:rFonts w:ascii="Abadi" w:hAnsi="Abadi"/>
          <w:b w:val="0"/>
          <w:bCs w:val="0"/>
          <w:spacing w:val="-12"/>
          <w:sz w:val="21"/>
          <w:szCs w:val="21"/>
        </w:rPr>
        <w:t xml:space="preserve"> </w:t>
      </w:r>
      <w:r w:rsidRPr="00DC73B6">
        <w:rPr>
          <w:rFonts w:ascii="Abadi" w:hAnsi="Abadi"/>
          <w:b w:val="0"/>
          <w:bCs w:val="0"/>
          <w:spacing w:val="-2"/>
          <w:sz w:val="21"/>
          <w:szCs w:val="21"/>
        </w:rPr>
        <w:t>han</w:t>
      </w:r>
      <w:r w:rsidRPr="00DC73B6">
        <w:rPr>
          <w:rFonts w:ascii="Abadi" w:hAnsi="Abadi"/>
          <w:b w:val="0"/>
          <w:bCs w:val="0"/>
          <w:spacing w:val="-12"/>
          <w:sz w:val="21"/>
          <w:szCs w:val="21"/>
        </w:rPr>
        <w:t xml:space="preserve"> </w:t>
      </w:r>
      <w:r w:rsidRPr="00DC73B6">
        <w:rPr>
          <w:rFonts w:ascii="Abadi" w:hAnsi="Abadi"/>
          <w:b w:val="0"/>
          <w:bCs w:val="0"/>
          <w:spacing w:val="-2"/>
          <w:sz w:val="21"/>
          <w:szCs w:val="21"/>
        </w:rPr>
        <w:t>incrementado</w:t>
      </w:r>
      <w:r w:rsidRPr="00DC73B6">
        <w:rPr>
          <w:rFonts w:ascii="Abadi" w:hAnsi="Abadi"/>
          <w:b w:val="0"/>
          <w:bCs w:val="0"/>
          <w:spacing w:val="-13"/>
          <w:sz w:val="21"/>
          <w:szCs w:val="21"/>
        </w:rPr>
        <w:t xml:space="preserve"> </w:t>
      </w:r>
      <w:r w:rsidRPr="00DC73B6">
        <w:rPr>
          <w:rFonts w:ascii="Abadi" w:hAnsi="Abadi"/>
          <w:b w:val="0"/>
          <w:bCs w:val="0"/>
          <w:spacing w:val="-2"/>
          <w:sz w:val="21"/>
          <w:szCs w:val="21"/>
        </w:rPr>
        <w:t>apenas</w:t>
      </w:r>
      <w:r w:rsidRPr="00DC73B6">
        <w:rPr>
          <w:rFonts w:ascii="Abadi" w:hAnsi="Abadi"/>
          <w:b w:val="0"/>
          <w:bCs w:val="0"/>
          <w:spacing w:val="-12"/>
          <w:sz w:val="21"/>
          <w:szCs w:val="21"/>
        </w:rPr>
        <w:t xml:space="preserve"> </w:t>
      </w:r>
      <w:r w:rsidRPr="00DC73B6">
        <w:rPr>
          <w:rFonts w:ascii="Abadi" w:hAnsi="Abadi"/>
          <w:b w:val="0"/>
          <w:bCs w:val="0"/>
          <w:spacing w:val="-2"/>
          <w:sz w:val="21"/>
          <w:szCs w:val="21"/>
        </w:rPr>
        <w:t>1.13%</w:t>
      </w:r>
      <w:r w:rsidRPr="00DC73B6">
        <w:rPr>
          <w:rFonts w:ascii="Abadi" w:hAnsi="Abadi"/>
          <w:b w:val="0"/>
          <w:bCs w:val="0"/>
          <w:spacing w:val="-12"/>
          <w:sz w:val="21"/>
          <w:szCs w:val="21"/>
        </w:rPr>
        <w:t xml:space="preserve"> </w:t>
      </w:r>
      <w:r w:rsidRPr="00DC73B6">
        <w:rPr>
          <w:rFonts w:ascii="Abadi" w:hAnsi="Abadi"/>
          <w:b w:val="0"/>
          <w:bCs w:val="0"/>
          <w:spacing w:val="-2"/>
          <w:sz w:val="21"/>
          <w:szCs w:val="21"/>
        </w:rPr>
        <w:t>anual,</w:t>
      </w:r>
      <w:r w:rsidRPr="00DC73B6">
        <w:rPr>
          <w:rFonts w:ascii="Abadi" w:hAnsi="Abadi"/>
          <w:b w:val="0"/>
          <w:bCs w:val="0"/>
          <w:spacing w:val="-13"/>
          <w:sz w:val="21"/>
          <w:szCs w:val="21"/>
        </w:rPr>
        <w:t xml:space="preserve"> </w:t>
      </w:r>
      <w:r w:rsidRPr="00DC73B6">
        <w:rPr>
          <w:rFonts w:ascii="Abadi" w:hAnsi="Abadi"/>
          <w:b w:val="0"/>
          <w:bCs w:val="0"/>
          <w:spacing w:val="-2"/>
          <w:sz w:val="21"/>
          <w:szCs w:val="21"/>
        </w:rPr>
        <w:t>es</w:t>
      </w:r>
      <w:r w:rsidRPr="00DC73B6">
        <w:rPr>
          <w:rFonts w:ascii="Abadi" w:hAnsi="Abadi"/>
          <w:b w:val="0"/>
          <w:bCs w:val="0"/>
          <w:spacing w:val="-12"/>
          <w:sz w:val="21"/>
          <w:szCs w:val="21"/>
        </w:rPr>
        <w:t xml:space="preserve"> </w:t>
      </w:r>
      <w:r w:rsidRPr="00DC73B6">
        <w:rPr>
          <w:rFonts w:ascii="Abadi" w:hAnsi="Abadi"/>
          <w:b w:val="0"/>
          <w:bCs w:val="0"/>
          <w:spacing w:val="-2"/>
          <w:sz w:val="21"/>
          <w:szCs w:val="21"/>
        </w:rPr>
        <w:t>decir, un</w:t>
      </w:r>
      <w:r w:rsidRPr="00DC73B6">
        <w:rPr>
          <w:rFonts w:ascii="Abadi" w:hAnsi="Abadi"/>
          <w:b w:val="0"/>
          <w:bCs w:val="0"/>
          <w:spacing w:val="-8"/>
          <w:sz w:val="21"/>
          <w:szCs w:val="21"/>
        </w:rPr>
        <w:t xml:space="preserve"> </w:t>
      </w:r>
      <w:r w:rsidRPr="00DC73B6">
        <w:rPr>
          <w:rFonts w:ascii="Abadi" w:hAnsi="Abadi"/>
          <w:b w:val="0"/>
          <w:bCs w:val="0"/>
          <w:spacing w:val="-2"/>
          <w:sz w:val="21"/>
          <w:szCs w:val="21"/>
        </w:rPr>
        <w:t>promedio</w:t>
      </w:r>
      <w:r w:rsidRPr="00DC73B6">
        <w:rPr>
          <w:rFonts w:ascii="Abadi" w:hAnsi="Abadi"/>
          <w:b w:val="0"/>
          <w:bCs w:val="0"/>
          <w:spacing w:val="-9"/>
          <w:sz w:val="21"/>
          <w:szCs w:val="21"/>
        </w:rPr>
        <w:t xml:space="preserve"> </w:t>
      </w:r>
      <w:r w:rsidRPr="00DC73B6">
        <w:rPr>
          <w:rFonts w:ascii="Abadi" w:hAnsi="Abadi"/>
          <w:b w:val="0"/>
          <w:bCs w:val="0"/>
          <w:spacing w:val="-2"/>
          <w:sz w:val="21"/>
          <w:szCs w:val="21"/>
        </w:rPr>
        <w:t>de</w:t>
      </w:r>
      <w:r w:rsidRPr="00DC73B6">
        <w:rPr>
          <w:rFonts w:ascii="Abadi" w:hAnsi="Abadi"/>
          <w:b w:val="0"/>
          <w:bCs w:val="0"/>
          <w:spacing w:val="-8"/>
          <w:sz w:val="21"/>
          <w:szCs w:val="21"/>
        </w:rPr>
        <w:t xml:space="preserve"> </w:t>
      </w:r>
      <w:r w:rsidRPr="00DC73B6">
        <w:rPr>
          <w:rFonts w:ascii="Abadi" w:hAnsi="Abadi"/>
          <w:b w:val="0"/>
          <w:bCs w:val="0"/>
          <w:spacing w:val="-2"/>
          <w:sz w:val="21"/>
          <w:szCs w:val="21"/>
        </w:rPr>
        <w:t>159</w:t>
      </w:r>
      <w:r w:rsidRPr="00DC73B6">
        <w:rPr>
          <w:rFonts w:ascii="Abadi" w:hAnsi="Abadi"/>
          <w:b w:val="0"/>
          <w:bCs w:val="0"/>
          <w:spacing w:val="-8"/>
          <w:sz w:val="21"/>
          <w:szCs w:val="21"/>
        </w:rPr>
        <w:t xml:space="preserve"> </w:t>
      </w:r>
      <w:r w:rsidRPr="00DC73B6">
        <w:rPr>
          <w:rFonts w:ascii="Abadi" w:hAnsi="Abadi"/>
          <w:b w:val="0"/>
          <w:bCs w:val="0"/>
          <w:spacing w:val="-2"/>
          <w:sz w:val="21"/>
          <w:szCs w:val="21"/>
        </w:rPr>
        <w:t>plazas</w:t>
      </w:r>
      <w:r w:rsidRPr="00DC73B6">
        <w:rPr>
          <w:rFonts w:ascii="Abadi" w:hAnsi="Abadi"/>
          <w:b w:val="0"/>
          <w:bCs w:val="0"/>
          <w:spacing w:val="-7"/>
          <w:sz w:val="21"/>
          <w:szCs w:val="21"/>
        </w:rPr>
        <w:t xml:space="preserve"> </w:t>
      </w:r>
      <w:r w:rsidRPr="00DC73B6">
        <w:rPr>
          <w:rFonts w:ascii="Abadi" w:hAnsi="Abadi"/>
          <w:b w:val="0"/>
          <w:bCs w:val="0"/>
          <w:spacing w:val="-2"/>
          <w:sz w:val="21"/>
          <w:szCs w:val="21"/>
        </w:rPr>
        <w:t>por</w:t>
      </w:r>
      <w:r w:rsidRPr="00DC73B6">
        <w:rPr>
          <w:rFonts w:ascii="Abadi" w:hAnsi="Abadi"/>
          <w:b w:val="0"/>
          <w:bCs w:val="0"/>
          <w:spacing w:val="-8"/>
          <w:sz w:val="21"/>
          <w:szCs w:val="21"/>
        </w:rPr>
        <w:t xml:space="preserve"> </w:t>
      </w:r>
      <w:r w:rsidRPr="00DC73B6">
        <w:rPr>
          <w:rFonts w:ascii="Abadi" w:hAnsi="Abadi"/>
          <w:b w:val="0"/>
          <w:bCs w:val="0"/>
          <w:spacing w:val="-2"/>
          <w:sz w:val="21"/>
          <w:szCs w:val="21"/>
        </w:rPr>
        <w:t>año</w:t>
      </w:r>
      <w:r w:rsidRPr="00DC73B6">
        <w:rPr>
          <w:rFonts w:ascii="Abadi" w:hAnsi="Abadi"/>
          <w:b w:val="0"/>
          <w:bCs w:val="0"/>
          <w:spacing w:val="-9"/>
          <w:sz w:val="21"/>
          <w:szCs w:val="21"/>
        </w:rPr>
        <w:t xml:space="preserve"> </w:t>
      </w:r>
      <w:r w:rsidRPr="00DC73B6">
        <w:rPr>
          <w:rFonts w:ascii="Abadi" w:hAnsi="Abadi"/>
          <w:b w:val="0"/>
          <w:bCs w:val="0"/>
          <w:spacing w:val="-2"/>
          <w:sz w:val="21"/>
          <w:szCs w:val="21"/>
        </w:rPr>
        <w:t>de</w:t>
      </w:r>
      <w:r w:rsidRPr="00DC73B6">
        <w:rPr>
          <w:rFonts w:ascii="Abadi" w:hAnsi="Abadi"/>
          <w:b w:val="0"/>
          <w:bCs w:val="0"/>
          <w:spacing w:val="-8"/>
          <w:sz w:val="21"/>
          <w:szCs w:val="21"/>
        </w:rPr>
        <w:t xml:space="preserve"> </w:t>
      </w:r>
      <w:r w:rsidRPr="00DC73B6">
        <w:rPr>
          <w:rFonts w:ascii="Abadi" w:hAnsi="Abadi"/>
          <w:b w:val="0"/>
          <w:bCs w:val="0"/>
          <w:spacing w:val="-2"/>
          <w:sz w:val="21"/>
          <w:szCs w:val="21"/>
        </w:rPr>
        <w:t>acuerdo</w:t>
      </w:r>
      <w:r w:rsidRPr="00DC73B6">
        <w:rPr>
          <w:rFonts w:ascii="Abadi" w:hAnsi="Abadi"/>
          <w:b w:val="0"/>
          <w:bCs w:val="0"/>
          <w:spacing w:val="-9"/>
          <w:sz w:val="21"/>
          <w:szCs w:val="21"/>
        </w:rPr>
        <w:t xml:space="preserve"> </w:t>
      </w:r>
      <w:r w:rsidRPr="00DC73B6">
        <w:rPr>
          <w:rFonts w:ascii="Abadi" w:hAnsi="Abadi"/>
          <w:b w:val="0"/>
          <w:bCs w:val="0"/>
          <w:spacing w:val="-2"/>
          <w:sz w:val="21"/>
          <w:szCs w:val="21"/>
        </w:rPr>
        <w:t>con</w:t>
      </w:r>
      <w:r w:rsidRPr="00DC73B6">
        <w:rPr>
          <w:rFonts w:ascii="Abadi" w:hAnsi="Abadi"/>
          <w:b w:val="0"/>
          <w:bCs w:val="0"/>
          <w:spacing w:val="-8"/>
          <w:sz w:val="21"/>
          <w:szCs w:val="21"/>
        </w:rPr>
        <w:t xml:space="preserve"> </w:t>
      </w:r>
      <w:r w:rsidRPr="00DC73B6">
        <w:rPr>
          <w:rFonts w:ascii="Abadi" w:hAnsi="Abadi"/>
          <w:b w:val="0"/>
          <w:bCs w:val="0"/>
          <w:spacing w:val="-2"/>
          <w:sz w:val="21"/>
          <w:szCs w:val="21"/>
        </w:rPr>
        <w:t>lo</w:t>
      </w:r>
      <w:r w:rsidRPr="00DC73B6">
        <w:rPr>
          <w:rFonts w:ascii="Abadi" w:hAnsi="Abadi"/>
          <w:b w:val="0"/>
          <w:bCs w:val="0"/>
          <w:spacing w:val="-9"/>
          <w:sz w:val="21"/>
          <w:szCs w:val="21"/>
        </w:rPr>
        <w:t xml:space="preserve"> </w:t>
      </w:r>
      <w:r w:rsidRPr="00DC73B6">
        <w:rPr>
          <w:rFonts w:ascii="Abadi" w:hAnsi="Abadi"/>
          <w:b w:val="0"/>
          <w:bCs w:val="0"/>
          <w:spacing w:val="-2"/>
          <w:sz w:val="21"/>
          <w:szCs w:val="21"/>
        </w:rPr>
        <w:t>siguiente:</w:t>
      </w:r>
    </w:p>
    <w:p w14:paraId="06EC15BF" w14:textId="53A6A8C2" w:rsidR="00C37CF7" w:rsidRPr="00DC73B6" w:rsidRDefault="00BC2466" w:rsidP="002F4A44">
      <w:pPr>
        <w:pStyle w:val="Textoindependiente"/>
        <w:spacing w:before="232"/>
        <w:rPr>
          <w:rFonts w:ascii="Abadi" w:hAnsi="Abadi"/>
          <w:b w:val="0"/>
          <w:bCs w:val="0"/>
          <w:spacing w:val="-2"/>
          <w:sz w:val="21"/>
          <w:szCs w:val="21"/>
        </w:rPr>
      </w:pPr>
      <w:r w:rsidRPr="00BC2466">
        <w:rPr>
          <w:rFonts w:ascii="Abadi" w:hAnsi="Abadi"/>
          <w:b w:val="0"/>
          <w:bCs w:val="0"/>
          <w:noProof/>
          <w:spacing w:val="-2"/>
          <w:sz w:val="21"/>
          <w:szCs w:val="21"/>
        </w:rPr>
        <w:drawing>
          <wp:inline distT="0" distB="0" distL="0" distR="0" wp14:anchorId="3BA4F238" wp14:editId="419A99CD">
            <wp:extent cx="2610485" cy="1583055"/>
            <wp:effectExtent l="0" t="0" r="0" b="0"/>
            <wp:docPr id="1202168617" name="Imagen 1202168617" descr="Interfaz de usuario gráfica, Tabla, Word&#10;&#10;Descripción generada automáticamente">
              <a:extLst xmlns:a="http://schemas.openxmlformats.org/drawingml/2006/main">
                <a:ext uri="{FF2B5EF4-FFF2-40B4-BE49-F238E27FC236}">
                  <a16:creationId xmlns:a16="http://schemas.microsoft.com/office/drawing/2014/main" id="{902B57A2-B266-E931-7B1F-A1A59B5ECB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68617" name="Imagen 1202168617" descr="Interfaz de usuario gráfica, Tabla, Word&#10;&#10;Descripción generada automáticamente">
                      <a:extLst>
                        <a:ext uri="{FF2B5EF4-FFF2-40B4-BE49-F238E27FC236}">
                          <a16:creationId xmlns:a16="http://schemas.microsoft.com/office/drawing/2014/main" id="{902B57A2-B266-E931-7B1F-A1A59B5ECB52}"/>
                        </a:ext>
                      </a:extLst>
                    </pic:cNvPr>
                    <pic:cNvPicPr>
                      <a:picLocks noChangeAspect="1"/>
                    </pic:cNvPicPr>
                  </pic:nvPicPr>
                  <pic:blipFill rotWithShape="1">
                    <a:blip r:embed="rId29"/>
                    <a:srcRect l="33152" t="43475" r="32609" b="19599"/>
                    <a:stretch/>
                  </pic:blipFill>
                  <pic:spPr>
                    <a:xfrm>
                      <a:off x="0" y="0"/>
                      <a:ext cx="2610485" cy="1583055"/>
                    </a:xfrm>
                    <a:prstGeom prst="rect">
                      <a:avLst/>
                    </a:prstGeom>
                  </pic:spPr>
                </pic:pic>
              </a:graphicData>
            </a:graphic>
          </wp:inline>
        </w:drawing>
      </w:r>
    </w:p>
    <w:p w14:paraId="4BD4BAD7" w14:textId="77777777" w:rsidR="004432AD" w:rsidRPr="00DC73B6" w:rsidRDefault="004432AD" w:rsidP="002F4A44">
      <w:pPr>
        <w:pStyle w:val="Textoindependiente"/>
        <w:spacing w:before="232"/>
        <w:rPr>
          <w:rFonts w:ascii="Abadi" w:hAnsi="Abadi"/>
          <w:b w:val="0"/>
          <w:bCs w:val="0"/>
          <w:sz w:val="21"/>
          <w:szCs w:val="21"/>
        </w:rPr>
      </w:pPr>
    </w:p>
    <w:p w14:paraId="79616994" w14:textId="77777777" w:rsidR="002B0739" w:rsidRDefault="002B0739" w:rsidP="002B0739">
      <w:pPr>
        <w:pStyle w:val="Textoindependiente"/>
        <w:ind w:right="142"/>
        <w:rPr>
          <w:rFonts w:ascii="Abadi" w:hAnsi="Abadi"/>
          <w:spacing w:val="-2"/>
          <w:sz w:val="21"/>
          <w:szCs w:val="21"/>
        </w:rPr>
      </w:pPr>
      <w:r w:rsidRPr="002B0739">
        <w:rPr>
          <w:rFonts w:ascii="Abadi" w:hAnsi="Abadi"/>
          <w:b w:val="0"/>
          <w:bCs w:val="0"/>
          <w:spacing w:val="-6"/>
          <w:sz w:val="21"/>
          <w:szCs w:val="21"/>
        </w:rPr>
        <w:t>Como</w:t>
      </w:r>
      <w:r w:rsidRPr="002B0739">
        <w:rPr>
          <w:rFonts w:ascii="Abadi" w:hAnsi="Abadi"/>
          <w:b w:val="0"/>
          <w:bCs w:val="0"/>
          <w:spacing w:val="-9"/>
          <w:sz w:val="21"/>
          <w:szCs w:val="21"/>
        </w:rPr>
        <w:t xml:space="preserve"> </w:t>
      </w:r>
      <w:r w:rsidRPr="002B0739">
        <w:rPr>
          <w:rFonts w:ascii="Abadi" w:hAnsi="Abadi"/>
          <w:b w:val="0"/>
          <w:bCs w:val="0"/>
          <w:spacing w:val="-6"/>
          <w:sz w:val="21"/>
          <w:szCs w:val="21"/>
        </w:rPr>
        <w:t>puede</w:t>
      </w:r>
      <w:r w:rsidRPr="002B0739">
        <w:rPr>
          <w:rFonts w:ascii="Abadi" w:hAnsi="Abadi"/>
          <w:b w:val="0"/>
          <w:bCs w:val="0"/>
          <w:spacing w:val="-8"/>
          <w:sz w:val="21"/>
          <w:szCs w:val="21"/>
        </w:rPr>
        <w:t xml:space="preserve"> </w:t>
      </w:r>
      <w:r w:rsidRPr="002B0739">
        <w:rPr>
          <w:rFonts w:ascii="Abadi" w:hAnsi="Abadi"/>
          <w:b w:val="0"/>
          <w:bCs w:val="0"/>
          <w:spacing w:val="-6"/>
          <w:sz w:val="21"/>
          <w:szCs w:val="21"/>
        </w:rPr>
        <w:t>observarse,</w:t>
      </w:r>
      <w:r w:rsidRPr="002B0739">
        <w:rPr>
          <w:rFonts w:ascii="Abadi" w:hAnsi="Abadi"/>
          <w:b w:val="0"/>
          <w:bCs w:val="0"/>
          <w:spacing w:val="-8"/>
          <w:sz w:val="21"/>
          <w:szCs w:val="21"/>
        </w:rPr>
        <w:t xml:space="preserve"> </w:t>
      </w:r>
      <w:r w:rsidRPr="002B0739">
        <w:rPr>
          <w:rFonts w:ascii="Abadi" w:hAnsi="Abadi"/>
          <w:b w:val="0"/>
          <w:bCs w:val="0"/>
          <w:spacing w:val="-6"/>
          <w:sz w:val="21"/>
          <w:szCs w:val="21"/>
        </w:rPr>
        <w:t>entre</w:t>
      </w:r>
      <w:r w:rsidRPr="002B0739">
        <w:rPr>
          <w:rFonts w:ascii="Abadi" w:hAnsi="Abadi"/>
          <w:b w:val="0"/>
          <w:bCs w:val="0"/>
          <w:spacing w:val="-7"/>
          <w:sz w:val="21"/>
          <w:szCs w:val="21"/>
        </w:rPr>
        <w:t xml:space="preserve"> </w:t>
      </w:r>
      <w:r w:rsidRPr="002B0739">
        <w:rPr>
          <w:rFonts w:ascii="Abadi" w:hAnsi="Abadi"/>
          <w:b w:val="0"/>
          <w:bCs w:val="0"/>
          <w:spacing w:val="-6"/>
          <w:sz w:val="21"/>
          <w:szCs w:val="21"/>
        </w:rPr>
        <w:t>2019</w:t>
      </w:r>
      <w:r w:rsidRPr="002B0739">
        <w:rPr>
          <w:rFonts w:ascii="Abadi" w:hAnsi="Abadi"/>
          <w:b w:val="0"/>
          <w:bCs w:val="0"/>
          <w:spacing w:val="-8"/>
          <w:sz w:val="21"/>
          <w:szCs w:val="21"/>
        </w:rPr>
        <w:t xml:space="preserve"> </w:t>
      </w:r>
      <w:r w:rsidRPr="002B0739">
        <w:rPr>
          <w:rFonts w:ascii="Abadi" w:hAnsi="Abadi"/>
          <w:b w:val="0"/>
          <w:bCs w:val="0"/>
          <w:spacing w:val="-6"/>
          <w:sz w:val="21"/>
          <w:szCs w:val="21"/>
        </w:rPr>
        <w:t>y</w:t>
      </w:r>
      <w:r w:rsidRPr="002B0739">
        <w:rPr>
          <w:rFonts w:ascii="Abadi" w:hAnsi="Abadi"/>
          <w:b w:val="0"/>
          <w:bCs w:val="0"/>
          <w:spacing w:val="-8"/>
          <w:sz w:val="21"/>
          <w:szCs w:val="21"/>
        </w:rPr>
        <w:t xml:space="preserve"> </w:t>
      </w:r>
      <w:r w:rsidRPr="002B0739">
        <w:rPr>
          <w:rFonts w:ascii="Abadi" w:hAnsi="Abadi"/>
          <w:b w:val="0"/>
          <w:bCs w:val="0"/>
          <w:spacing w:val="-6"/>
          <w:sz w:val="21"/>
          <w:szCs w:val="21"/>
        </w:rPr>
        <w:t>2023</w:t>
      </w:r>
      <w:r w:rsidRPr="002B0739">
        <w:rPr>
          <w:rFonts w:ascii="Abadi" w:hAnsi="Abadi"/>
          <w:b w:val="0"/>
          <w:bCs w:val="0"/>
          <w:spacing w:val="-8"/>
          <w:sz w:val="21"/>
          <w:szCs w:val="21"/>
        </w:rPr>
        <w:t xml:space="preserve"> </w:t>
      </w:r>
      <w:r w:rsidRPr="002B0739">
        <w:rPr>
          <w:rFonts w:ascii="Abadi" w:hAnsi="Abadi"/>
          <w:b w:val="0"/>
          <w:bCs w:val="0"/>
          <w:spacing w:val="-6"/>
          <w:sz w:val="21"/>
          <w:szCs w:val="21"/>
        </w:rPr>
        <w:t>se</w:t>
      </w:r>
      <w:r w:rsidRPr="002B0739">
        <w:rPr>
          <w:rFonts w:ascii="Abadi" w:hAnsi="Abadi"/>
          <w:b w:val="0"/>
          <w:bCs w:val="0"/>
          <w:spacing w:val="-8"/>
          <w:sz w:val="21"/>
          <w:szCs w:val="21"/>
        </w:rPr>
        <w:t xml:space="preserve"> </w:t>
      </w:r>
      <w:r w:rsidRPr="002B0739">
        <w:rPr>
          <w:rFonts w:ascii="Abadi" w:hAnsi="Abadi"/>
          <w:b w:val="0"/>
          <w:bCs w:val="0"/>
          <w:spacing w:val="-6"/>
          <w:sz w:val="21"/>
          <w:szCs w:val="21"/>
        </w:rPr>
        <w:t>han</w:t>
      </w:r>
      <w:r w:rsidRPr="002B0739">
        <w:rPr>
          <w:rFonts w:ascii="Abadi" w:hAnsi="Abadi"/>
          <w:b w:val="0"/>
          <w:bCs w:val="0"/>
          <w:spacing w:val="-8"/>
          <w:sz w:val="21"/>
          <w:szCs w:val="21"/>
        </w:rPr>
        <w:t xml:space="preserve"> </w:t>
      </w:r>
      <w:r w:rsidRPr="002B0739">
        <w:rPr>
          <w:rFonts w:ascii="Abadi" w:hAnsi="Abadi"/>
          <w:b w:val="0"/>
          <w:bCs w:val="0"/>
          <w:spacing w:val="-6"/>
          <w:sz w:val="21"/>
          <w:szCs w:val="21"/>
        </w:rPr>
        <w:t>incrementado</w:t>
      </w:r>
      <w:r w:rsidRPr="002B0739">
        <w:rPr>
          <w:rFonts w:ascii="Abadi" w:hAnsi="Abadi"/>
          <w:b w:val="0"/>
          <w:bCs w:val="0"/>
          <w:spacing w:val="-9"/>
          <w:sz w:val="21"/>
          <w:szCs w:val="21"/>
        </w:rPr>
        <w:t xml:space="preserve"> </w:t>
      </w:r>
      <w:r w:rsidRPr="002B0739">
        <w:rPr>
          <w:rFonts w:ascii="Abadi" w:hAnsi="Abadi"/>
          <w:b w:val="0"/>
          <w:bCs w:val="0"/>
          <w:spacing w:val="-6"/>
          <w:sz w:val="21"/>
          <w:szCs w:val="21"/>
        </w:rPr>
        <w:t>apenas</w:t>
      </w:r>
      <w:r w:rsidRPr="002B0739">
        <w:rPr>
          <w:rFonts w:ascii="Abadi" w:hAnsi="Abadi"/>
          <w:b w:val="0"/>
          <w:bCs w:val="0"/>
          <w:spacing w:val="-8"/>
          <w:sz w:val="21"/>
          <w:szCs w:val="21"/>
        </w:rPr>
        <w:t xml:space="preserve"> </w:t>
      </w:r>
      <w:r w:rsidRPr="002B0739">
        <w:rPr>
          <w:rFonts w:ascii="Abadi" w:hAnsi="Abadi"/>
          <w:b w:val="0"/>
          <w:bCs w:val="0"/>
          <w:spacing w:val="-6"/>
          <w:sz w:val="21"/>
          <w:szCs w:val="21"/>
        </w:rPr>
        <w:t>639</w:t>
      </w:r>
      <w:r w:rsidRPr="002B0739">
        <w:rPr>
          <w:rFonts w:ascii="Abadi" w:hAnsi="Abadi"/>
          <w:b w:val="0"/>
          <w:bCs w:val="0"/>
          <w:spacing w:val="-8"/>
          <w:sz w:val="21"/>
          <w:szCs w:val="21"/>
        </w:rPr>
        <w:t xml:space="preserve"> </w:t>
      </w:r>
      <w:r w:rsidRPr="002B0739">
        <w:rPr>
          <w:rFonts w:ascii="Abadi" w:hAnsi="Abadi"/>
          <w:b w:val="0"/>
          <w:bCs w:val="0"/>
          <w:spacing w:val="-6"/>
          <w:sz w:val="21"/>
          <w:szCs w:val="21"/>
        </w:rPr>
        <w:t>plazas</w:t>
      </w:r>
      <w:r w:rsidRPr="009B7A89">
        <w:rPr>
          <w:rFonts w:ascii="Abadi" w:hAnsi="Abadi"/>
          <w:spacing w:val="-6"/>
          <w:sz w:val="21"/>
          <w:szCs w:val="21"/>
        </w:rPr>
        <w:t xml:space="preserve"> </w:t>
      </w:r>
      <w:r w:rsidRPr="009B7A89">
        <w:rPr>
          <w:rFonts w:ascii="Abadi" w:hAnsi="Abadi"/>
          <w:sz w:val="21"/>
          <w:szCs w:val="21"/>
        </w:rPr>
        <w:t>en</w:t>
      </w:r>
      <w:r w:rsidRPr="009B7A89">
        <w:rPr>
          <w:rFonts w:ascii="Abadi" w:hAnsi="Abadi"/>
          <w:spacing w:val="-10"/>
          <w:sz w:val="21"/>
          <w:szCs w:val="21"/>
        </w:rPr>
        <w:t xml:space="preserve"> </w:t>
      </w:r>
      <w:r w:rsidRPr="009B7A89">
        <w:rPr>
          <w:rFonts w:ascii="Abadi" w:hAnsi="Abadi"/>
          <w:sz w:val="21"/>
          <w:szCs w:val="21"/>
        </w:rPr>
        <w:t>total</w:t>
      </w:r>
      <w:r w:rsidRPr="009B7A89">
        <w:rPr>
          <w:rFonts w:ascii="Abadi" w:hAnsi="Abadi"/>
          <w:spacing w:val="-10"/>
          <w:sz w:val="21"/>
          <w:szCs w:val="21"/>
        </w:rPr>
        <w:t xml:space="preserve"> </w:t>
      </w:r>
      <w:r w:rsidRPr="009B7A89">
        <w:rPr>
          <w:rFonts w:ascii="Abadi" w:hAnsi="Abadi"/>
          <w:sz w:val="21"/>
          <w:szCs w:val="21"/>
        </w:rPr>
        <w:t>dentro</w:t>
      </w:r>
      <w:r w:rsidRPr="009B7A89">
        <w:rPr>
          <w:rFonts w:ascii="Abadi" w:hAnsi="Abadi"/>
          <w:spacing w:val="-10"/>
          <w:sz w:val="21"/>
          <w:szCs w:val="21"/>
        </w:rPr>
        <w:t xml:space="preserve"> </w:t>
      </w:r>
      <w:r w:rsidRPr="009B7A89">
        <w:rPr>
          <w:rFonts w:ascii="Abadi" w:hAnsi="Abadi"/>
          <w:sz w:val="21"/>
          <w:szCs w:val="21"/>
        </w:rPr>
        <w:t>del</w:t>
      </w:r>
      <w:r w:rsidRPr="009B7A89">
        <w:rPr>
          <w:rFonts w:ascii="Abadi" w:hAnsi="Abadi"/>
          <w:spacing w:val="-10"/>
          <w:sz w:val="21"/>
          <w:szCs w:val="21"/>
        </w:rPr>
        <w:t xml:space="preserve"> </w:t>
      </w:r>
      <w:r w:rsidRPr="009B7A89">
        <w:rPr>
          <w:rFonts w:ascii="Abadi" w:hAnsi="Abadi"/>
          <w:sz w:val="21"/>
          <w:szCs w:val="21"/>
        </w:rPr>
        <w:t>ISAPEG,</w:t>
      </w:r>
      <w:r w:rsidRPr="009B7A89">
        <w:rPr>
          <w:rFonts w:ascii="Abadi" w:hAnsi="Abadi"/>
          <w:spacing w:val="-11"/>
          <w:sz w:val="21"/>
          <w:szCs w:val="21"/>
        </w:rPr>
        <w:t xml:space="preserve"> </w:t>
      </w:r>
      <w:r w:rsidRPr="009B7A89">
        <w:rPr>
          <w:rFonts w:ascii="Abadi" w:hAnsi="Abadi"/>
          <w:sz w:val="21"/>
          <w:szCs w:val="21"/>
        </w:rPr>
        <w:t>existiendo</w:t>
      </w:r>
      <w:r w:rsidRPr="009B7A89">
        <w:rPr>
          <w:rFonts w:ascii="Abadi" w:hAnsi="Abadi"/>
          <w:spacing w:val="-10"/>
          <w:sz w:val="21"/>
          <w:szCs w:val="21"/>
        </w:rPr>
        <w:t xml:space="preserve"> </w:t>
      </w:r>
      <w:r w:rsidRPr="009B7A89">
        <w:rPr>
          <w:rFonts w:ascii="Abadi" w:hAnsi="Abadi"/>
          <w:sz w:val="21"/>
          <w:szCs w:val="21"/>
        </w:rPr>
        <w:t>un</w:t>
      </w:r>
      <w:r w:rsidRPr="009B7A89">
        <w:rPr>
          <w:rFonts w:ascii="Abadi" w:hAnsi="Abadi"/>
          <w:spacing w:val="-10"/>
          <w:sz w:val="21"/>
          <w:szCs w:val="21"/>
        </w:rPr>
        <w:t xml:space="preserve"> </w:t>
      </w:r>
      <w:r w:rsidRPr="009B7A89">
        <w:rPr>
          <w:rFonts w:ascii="Abadi" w:hAnsi="Abadi"/>
          <w:sz w:val="21"/>
          <w:szCs w:val="21"/>
        </w:rPr>
        <w:t>déficit</w:t>
      </w:r>
      <w:r w:rsidRPr="009B7A89">
        <w:rPr>
          <w:rFonts w:ascii="Abadi" w:hAnsi="Abadi"/>
          <w:spacing w:val="-9"/>
          <w:sz w:val="21"/>
          <w:szCs w:val="21"/>
        </w:rPr>
        <w:t xml:space="preserve"> </w:t>
      </w:r>
      <w:r w:rsidRPr="009B7A89">
        <w:rPr>
          <w:rFonts w:ascii="Abadi" w:hAnsi="Abadi"/>
          <w:sz w:val="21"/>
          <w:szCs w:val="21"/>
        </w:rPr>
        <w:t>de</w:t>
      </w:r>
      <w:r w:rsidRPr="009B7A89">
        <w:rPr>
          <w:rFonts w:ascii="Abadi" w:hAnsi="Abadi"/>
          <w:spacing w:val="-9"/>
          <w:sz w:val="21"/>
          <w:szCs w:val="21"/>
        </w:rPr>
        <w:t xml:space="preserve"> </w:t>
      </w:r>
      <w:r w:rsidRPr="009B7A89">
        <w:rPr>
          <w:rFonts w:ascii="Abadi" w:hAnsi="Abadi"/>
          <w:sz w:val="21"/>
          <w:szCs w:val="21"/>
        </w:rPr>
        <w:t>7,905</w:t>
      </w:r>
      <w:r w:rsidRPr="009B7A89">
        <w:rPr>
          <w:rFonts w:ascii="Abadi" w:hAnsi="Abadi"/>
          <w:spacing w:val="-10"/>
          <w:sz w:val="21"/>
          <w:szCs w:val="21"/>
        </w:rPr>
        <w:t xml:space="preserve"> </w:t>
      </w:r>
      <w:r w:rsidRPr="009B7A89">
        <w:rPr>
          <w:rFonts w:ascii="Abadi" w:hAnsi="Abadi"/>
          <w:sz w:val="21"/>
          <w:szCs w:val="21"/>
        </w:rPr>
        <w:t>trabajadores</w:t>
      </w:r>
      <w:r w:rsidRPr="009B7A89">
        <w:rPr>
          <w:rFonts w:ascii="Abadi" w:hAnsi="Abadi"/>
          <w:spacing w:val="-9"/>
          <w:sz w:val="21"/>
          <w:szCs w:val="21"/>
        </w:rPr>
        <w:t xml:space="preserve"> </w:t>
      </w:r>
      <w:r w:rsidRPr="009B7A89">
        <w:rPr>
          <w:rFonts w:ascii="Abadi" w:hAnsi="Abadi"/>
          <w:sz w:val="21"/>
          <w:szCs w:val="21"/>
        </w:rPr>
        <w:t>que</w:t>
      </w:r>
      <w:r w:rsidRPr="009B7A89">
        <w:rPr>
          <w:rFonts w:ascii="Abadi" w:hAnsi="Abadi"/>
          <w:spacing w:val="-10"/>
          <w:sz w:val="21"/>
          <w:szCs w:val="21"/>
        </w:rPr>
        <w:t xml:space="preserve"> </w:t>
      </w:r>
      <w:r w:rsidRPr="009B7A89">
        <w:rPr>
          <w:rFonts w:ascii="Abadi" w:hAnsi="Abadi"/>
          <w:sz w:val="21"/>
          <w:szCs w:val="21"/>
        </w:rPr>
        <w:t xml:space="preserve">hasta </w:t>
      </w:r>
      <w:r w:rsidRPr="009B7A89">
        <w:rPr>
          <w:rFonts w:ascii="Abadi" w:hAnsi="Abadi"/>
          <w:spacing w:val="-2"/>
          <w:sz w:val="21"/>
          <w:szCs w:val="21"/>
        </w:rPr>
        <w:t>ahora</w:t>
      </w:r>
      <w:r w:rsidRPr="009B7A89">
        <w:rPr>
          <w:rFonts w:ascii="Abadi" w:hAnsi="Abadi"/>
          <w:spacing w:val="-11"/>
          <w:sz w:val="21"/>
          <w:szCs w:val="21"/>
        </w:rPr>
        <w:t xml:space="preserve"> </w:t>
      </w:r>
      <w:r w:rsidRPr="009B7A89">
        <w:rPr>
          <w:rFonts w:ascii="Abadi" w:hAnsi="Abadi"/>
          <w:spacing w:val="-2"/>
          <w:sz w:val="21"/>
          <w:szCs w:val="21"/>
        </w:rPr>
        <w:t>siguen</w:t>
      </w:r>
      <w:r w:rsidRPr="009B7A89">
        <w:rPr>
          <w:rFonts w:ascii="Abadi" w:hAnsi="Abadi"/>
          <w:spacing w:val="-11"/>
          <w:sz w:val="21"/>
          <w:szCs w:val="21"/>
        </w:rPr>
        <w:t xml:space="preserve"> </w:t>
      </w:r>
      <w:r w:rsidRPr="009B7A89">
        <w:rPr>
          <w:rFonts w:ascii="Abadi" w:hAnsi="Abadi"/>
          <w:spacing w:val="-2"/>
          <w:sz w:val="21"/>
          <w:szCs w:val="21"/>
        </w:rPr>
        <w:t>trabajando</w:t>
      </w:r>
      <w:r w:rsidRPr="009B7A89">
        <w:rPr>
          <w:rFonts w:ascii="Abadi" w:hAnsi="Abadi"/>
          <w:spacing w:val="-10"/>
          <w:sz w:val="21"/>
          <w:szCs w:val="21"/>
        </w:rPr>
        <w:t xml:space="preserve"> </w:t>
      </w:r>
      <w:r w:rsidRPr="009B7A89">
        <w:rPr>
          <w:rFonts w:ascii="Abadi" w:hAnsi="Abadi"/>
          <w:spacing w:val="-2"/>
          <w:sz w:val="21"/>
          <w:szCs w:val="21"/>
        </w:rPr>
        <w:t>por</w:t>
      </w:r>
      <w:r w:rsidRPr="009B7A89">
        <w:rPr>
          <w:rFonts w:ascii="Abadi" w:hAnsi="Abadi"/>
          <w:spacing w:val="-11"/>
          <w:sz w:val="21"/>
          <w:szCs w:val="21"/>
        </w:rPr>
        <w:t xml:space="preserve"> </w:t>
      </w:r>
      <w:r w:rsidRPr="009B7A89">
        <w:rPr>
          <w:rFonts w:ascii="Abadi" w:hAnsi="Abadi"/>
          <w:spacing w:val="-2"/>
          <w:sz w:val="21"/>
          <w:szCs w:val="21"/>
        </w:rPr>
        <w:t>contrato</w:t>
      </w:r>
      <w:r w:rsidRPr="009B7A89">
        <w:rPr>
          <w:rFonts w:ascii="Abadi" w:hAnsi="Abadi"/>
          <w:spacing w:val="-12"/>
          <w:sz w:val="21"/>
          <w:szCs w:val="21"/>
        </w:rPr>
        <w:t xml:space="preserve"> </w:t>
      </w:r>
      <w:r w:rsidRPr="009B7A89">
        <w:rPr>
          <w:rFonts w:ascii="Abadi" w:hAnsi="Abadi"/>
          <w:spacing w:val="-2"/>
          <w:sz w:val="21"/>
          <w:szCs w:val="21"/>
        </w:rPr>
        <w:t>en</w:t>
      </w:r>
      <w:r w:rsidRPr="009B7A89">
        <w:rPr>
          <w:rFonts w:ascii="Abadi" w:hAnsi="Abadi"/>
          <w:spacing w:val="-11"/>
          <w:sz w:val="21"/>
          <w:szCs w:val="21"/>
        </w:rPr>
        <w:t xml:space="preserve"> </w:t>
      </w:r>
      <w:r w:rsidRPr="009B7A89">
        <w:rPr>
          <w:rFonts w:ascii="Abadi" w:hAnsi="Abadi"/>
          <w:spacing w:val="-2"/>
          <w:sz w:val="21"/>
          <w:szCs w:val="21"/>
        </w:rPr>
        <w:t>todo</w:t>
      </w:r>
      <w:r w:rsidRPr="009B7A89">
        <w:rPr>
          <w:rFonts w:ascii="Abadi" w:hAnsi="Abadi"/>
          <w:spacing w:val="-10"/>
          <w:sz w:val="21"/>
          <w:szCs w:val="21"/>
        </w:rPr>
        <w:t xml:space="preserve"> </w:t>
      </w:r>
      <w:r w:rsidRPr="009B7A89">
        <w:rPr>
          <w:rFonts w:ascii="Abadi" w:hAnsi="Abadi"/>
          <w:spacing w:val="-2"/>
          <w:sz w:val="21"/>
          <w:szCs w:val="21"/>
        </w:rPr>
        <w:t>el</w:t>
      </w:r>
      <w:r w:rsidRPr="009B7A89">
        <w:rPr>
          <w:rFonts w:ascii="Abadi" w:hAnsi="Abadi"/>
          <w:spacing w:val="-10"/>
          <w:sz w:val="21"/>
          <w:szCs w:val="21"/>
        </w:rPr>
        <w:t xml:space="preserve"> </w:t>
      </w:r>
      <w:r w:rsidRPr="009B7A89">
        <w:rPr>
          <w:rFonts w:ascii="Abadi" w:hAnsi="Abadi"/>
          <w:spacing w:val="-2"/>
          <w:sz w:val="21"/>
          <w:szCs w:val="21"/>
        </w:rPr>
        <w:t>estado.</w:t>
      </w:r>
    </w:p>
    <w:p w14:paraId="24EC926A" w14:textId="77777777" w:rsidR="002B0739" w:rsidRPr="009B7A89" w:rsidRDefault="002B0739" w:rsidP="002B0739">
      <w:pPr>
        <w:pStyle w:val="Textoindependiente"/>
        <w:ind w:right="142"/>
        <w:rPr>
          <w:rFonts w:ascii="Abadi" w:hAnsi="Abadi"/>
          <w:sz w:val="21"/>
          <w:szCs w:val="21"/>
        </w:rPr>
      </w:pPr>
    </w:p>
    <w:p w14:paraId="2B271A8A" w14:textId="1D44C993" w:rsidR="002D5ED2" w:rsidRDefault="002B0739" w:rsidP="009701DE">
      <w:pPr>
        <w:pStyle w:val="Textoindependiente"/>
        <w:rPr>
          <w:rFonts w:ascii="Abadi" w:hAnsi="Abadi"/>
          <w:b w:val="0"/>
          <w:bCs w:val="0"/>
          <w:sz w:val="21"/>
          <w:szCs w:val="21"/>
        </w:rPr>
      </w:pPr>
      <w:r w:rsidRPr="005F1F12">
        <w:rPr>
          <w:rFonts w:ascii="Abadi" w:hAnsi="Abadi"/>
          <w:b w:val="0"/>
          <w:bCs w:val="0"/>
          <w:spacing w:val="-4"/>
          <w:sz w:val="21"/>
          <w:szCs w:val="21"/>
        </w:rPr>
        <w:t>Al</w:t>
      </w:r>
      <w:r w:rsidRPr="005F1F12">
        <w:rPr>
          <w:rFonts w:ascii="Abadi" w:hAnsi="Abadi"/>
          <w:b w:val="0"/>
          <w:bCs w:val="0"/>
          <w:spacing w:val="-8"/>
          <w:sz w:val="21"/>
          <w:szCs w:val="21"/>
        </w:rPr>
        <w:t xml:space="preserve"> </w:t>
      </w:r>
      <w:r w:rsidRPr="005F1F12">
        <w:rPr>
          <w:rFonts w:ascii="Abadi" w:hAnsi="Abadi"/>
          <w:b w:val="0"/>
          <w:bCs w:val="0"/>
          <w:spacing w:val="-4"/>
          <w:sz w:val="21"/>
          <w:szCs w:val="21"/>
        </w:rPr>
        <w:t>mismo</w:t>
      </w:r>
      <w:r w:rsidRPr="005F1F12">
        <w:rPr>
          <w:rFonts w:ascii="Abadi" w:hAnsi="Abadi"/>
          <w:b w:val="0"/>
          <w:bCs w:val="0"/>
          <w:spacing w:val="-9"/>
          <w:sz w:val="21"/>
          <w:szCs w:val="21"/>
        </w:rPr>
        <w:t xml:space="preserve"> </w:t>
      </w:r>
      <w:r w:rsidRPr="005F1F12">
        <w:rPr>
          <w:rFonts w:ascii="Abadi" w:hAnsi="Abadi"/>
          <w:b w:val="0"/>
          <w:bCs w:val="0"/>
          <w:spacing w:val="-4"/>
          <w:sz w:val="21"/>
          <w:szCs w:val="21"/>
        </w:rPr>
        <w:t>tiempo,</w:t>
      </w:r>
      <w:r w:rsidRPr="005F1F12">
        <w:rPr>
          <w:rFonts w:ascii="Abadi" w:hAnsi="Abadi"/>
          <w:b w:val="0"/>
          <w:bCs w:val="0"/>
          <w:spacing w:val="-9"/>
          <w:sz w:val="21"/>
          <w:szCs w:val="21"/>
        </w:rPr>
        <w:t xml:space="preserve"> </w:t>
      </w:r>
      <w:r w:rsidRPr="005F1F12">
        <w:rPr>
          <w:rFonts w:ascii="Abadi" w:hAnsi="Abadi"/>
          <w:b w:val="0"/>
          <w:bCs w:val="0"/>
          <w:spacing w:val="-4"/>
          <w:sz w:val="21"/>
          <w:szCs w:val="21"/>
        </w:rPr>
        <w:t>se</w:t>
      </w:r>
      <w:r w:rsidRPr="005F1F12">
        <w:rPr>
          <w:rFonts w:ascii="Abadi" w:hAnsi="Abadi"/>
          <w:b w:val="0"/>
          <w:bCs w:val="0"/>
          <w:spacing w:val="-7"/>
          <w:sz w:val="21"/>
          <w:szCs w:val="21"/>
        </w:rPr>
        <w:t xml:space="preserve"> </w:t>
      </w:r>
      <w:r w:rsidRPr="005F1F12">
        <w:rPr>
          <w:rFonts w:ascii="Abadi" w:hAnsi="Abadi"/>
          <w:b w:val="0"/>
          <w:bCs w:val="0"/>
          <w:spacing w:val="-4"/>
          <w:sz w:val="21"/>
          <w:szCs w:val="21"/>
        </w:rPr>
        <w:t>han</w:t>
      </w:r>
      <w:r w:rsidRPr="005F1F12">
        <w:rPr>
          <w:rFonts w:ascii="Abadi" w:hAnsi="Abadi"/>
          <w:b w:val="0"/>
          <w:bCs w:val="0"/>
          <w:spacing w:val="-8"/>
          <w:sz w:val="21"/>
          <w:szCs w:val="21"/>
        </w:rPr>
        <w:t xml:space="preserve"> </w:t>
      </w:r>
      <w:r w:rsidRPr="005F1F12">
        <w:rPr>
          <w:rFonts w:ascii="Abadi" w:hAnsi="Abadi"/>
          <w:b w:val="0"/>
          <w:bCs w:val="0"/>
          <w:spacing w:val="-4"/>
          <w:sz w:val="21"/>
          <w:szCs w:val="21"/>
        </w:rPr>
        <w:t>dado</w:t>
      </w:r>
      <w:r w:rsidRPr="005F1F12">
        <w:rPr>
          <w:rFonts w:ascii="Abadi" w:hAnsi="Abadi"/>
          <w:b w:val="0"/>
          <w:bCs w:val="0"/>
          <w:spacing w:val="-9"/>
          <w:sz w:val="21"/>
          <w:szCs w:val="21"/>
        </w:rPr>
        <w:t xml:space="preserve"> </w:t>
      </w:r>
      <w:r w:rsidRPr="005F1F12">
        <w:rPr>
          <w:rFonts w:ascii="Abadi" w:hAnsi="Abadi"/>
          <w:b w:val="0"/>
          <w:bCs w:val="0"/>
          <w:spacing w:val="-4"/>
          <w:sz w:val="21"/>
          <w:szCs w:val="21"/>
        </w:rPr>
        <w:t>abusos</w:t>
      </w:r>
      <w:r w:rsidRPr="005F1F12">
        <w:rPr>
          <w:rFonts w:ascii="Abadi" w:hAnsi="Abadi"/>
          <w:b w:val="0"/>
          <w:bCs w:val="0"/>
          <w:spacing w:val="-5"/>
          <w:sz w:val="21"/>
          <w:szCs w:val="21"/>
        </w:rPr>
        <w:t xml:space="preserve"> </w:t>
      </w:r>
      <w:r w:rsidRPr="005F1F12">
        <w:rPr>
          <w:rFonts w:ascii="Abadi" w:hAnsi="Abadi"/>
          <w:b w:val="0"/>
          <w:bCs w:val="0"/>
          <w:spacing w:val="-4"/>
          <w:sz w:val="21"/>
          <w:szCs w:val="21"/>
        </w:rPr>
        <w:t>facilitados</w:t>
      </w:r>
      <w:r w:rsidRPr="005F1F12">
        <w:rPr>
          <w:rFonts w:ascii="Abadi" w:hAnsi="Abadi"/>
          <w:b w:val="0"/>
          <w:bCs w:val="0"/>
          <w:spacing w:val="-8"/>
          <w:sz w:val="21"/>
          <w:szCs w:val="21"/>
        </w:rPr>
        <w:t xml:space="preserve"> </w:t>
      </w:r>
      <w:r w:rsidRPr="005F1F12">
        <w:rPr>
          <w:rFonts w:ascii="Abadi" w:hAnsi="Abadi"/>
          <w:b w:val="0"/>
          <w:bCs w:val="0"/>
          <w:spacing w:val="-4"/>
          <w:sz w:val="21"/>
          <w:szCs w:val="21"/>
        </w:rPr>
        <w:t>por</w:t>
      </w:r>
      <w:r w:rsidRPr="005F1F12">
        <w:rPr>
          <w:rFonts w:ascii="Abadi" w:hAnsi="Abadi"/>
          <w:b w:val="0"/>
          <w:bCs w:val="0"/>
          <w:spacing w:val="-8"/>
          <w:sz w:val="21"/>
          <w:szCs w:val="21"/>
        </w:rPr>
        <w:t xml:space="preserve"> </w:t>
      </w:r>
      <w:r w:rsidRPr="005F1F12">
        <w:rPr>
          <w:rFonts w:ascii="Abadi" w:hAnsi="Abadi"/>
          <w:b w:val="0"/>
          <w:bCs w:val="0"/>
          <w:spacing w:val="-4"/>
          <w:sz w:val="21"/>
          <w:szCs w:val="21"/>
        </w:rPr>
        <w:t>la</w:t>
      </w:r>
      <w:r w:rsidRPr="005F1F12">
        <w:rPr>
          <w:rFonts w:ascii="Abadi" w:hAnsi="Abadi"/>
          <w:b w:val="0"/>
          <w:bCs w:val="0"/>
          <w:spacing w:val="-7"/>
          <w:sz w:val="21"/>
          <w:szCs w:val="21"/>
        </w:rPr>
        <w:t xml:space="preserve"> </w:t>
      </w:r>
      <w:r w:rsidRPr="005F1F12">
        <w:rPr>
          <w:rFonts w:ascii="Abadi" w:hAnsi="Abadi"/>
          <w:b w:val="0"/>
          <w:bCs w:val="0"/>
          <w:spacing w:val="-4"/>
          <w:sz w:val="21"/>
          <w:szCs w:val="21"/>
        </w:rPr>
        <w:t>falta</w:t>
      </w:r>
      <w:r w:rsidRPr="005F1F12">
        <w:rPr>
          <w:rFonts w:ascii="Abadi" w:hAnsi="Abadi"/>
          <w:b w:val="0"/>
          <w:bCs w:val="0"/>
          <w:spacing w:val="-8"/>
          <w:sz w:val="21"/>
          <w:szCs w:val="21"/>
        </w:rPr>
        <w:t xml:space="preserve"> </w:t>
      </w:r>
      <w:r w:rsidRPr="005F1F12">
        <w:rPr>
          <w:rFonts w:ascii="Abadi" w:hAnsi="Abadi"/>
          <w:b w:val="0"/>
          <w:bCs w:val="0"/>
          <w:spacing w:val="-4"/>
          <w:sz w:val="21"/>
          <w:szCs w:val="21"/>
        </w:rPr>
        <w:t>de</w:t>
      </w:r>
      <w:r w:rsidRPr="005F1F12">
        <w:rPr>
          <w:rFonts w:ascii="Abadi" w:hAnsi="Abadi"/>
          <w:b w:val="0"/>
          <w:bCs w:val="0"/>
          <w:spacing w:val="-8"/>
          <w:sz w:val="21"/>
          <w:szCs w:val="21"/>
        </w:rPr>
        <w:t xml:space="preserve"> </w:t>
      </w:r>
      <w:r w:rsidRPr="005F1F12">
        <w:rPr>
          <w:rFonts w:ascii="Abadi" w:hAnsi="Abadi"/>
          <w:b w:val="0"/>
          <w:bCs w:val="0"/>
          <w:spacing w:val="-4"/>
          <w:sz w:val="21"/>
          <w:szCs w:val="21"/>
        </w:rPr>
        <w:t>certeza</w:t>
      </w:r>
      <w:r w:rsidRPr="005F1F12">
        <w:rPr>
          <w:rFonts w:ascii="Abadi" w:hAnsi="Abadi"/>
          <w:b w:val="0"/>
          <w:bCs w:val="0"/>
          <w:spacing w:val="-7"/>
          <w:sz w:val="21"/>
          <w:szCs w:val="21"/>
        </w:rPr>
        <w:t xml:space="preserve"> </w:t>
      </w:r>
      <w:r w:rsidRPr="005F1F12">
        <w:rPr>
          <w:rFonts w:ascii="Abadi" w:hAnsi="Abadi"/>
          <w:b w:val="0"/>
          <w:bCs w:val="0"/>
          <w:spacing w:val="-4"/>
          <w:sz w:val="21"/>
          <w:szCs w:val="21"/>
        </w:rPr>
        <w:t>jurídica</w:t>
      </w:r>
      <w:r w:rsidRPr="005F1F12">
        <w:rPr>
          <w:rFonts w:ascii="Abadi" w:hAnsi="Abadi"/>
          <w:b w:val="0"/>
          <w:bCs w:val="0"/>
          <w:spacing w:val="-8"/>
          <w:sz w:val="21"/>
          <w:szCs w:val="21"/>
        </w:rPr>
        <w:t xml:space="preserve"> </w:t>
      </w:r>
      <w:r w:rsidRPr="005F1F12">
        <w:rPr>
          <w:rFonts w:ascii="Abadi" w:hAnsi="Abadi"/>
          <w:b w:val="0"/>
          <w:bCs w:val="0"/>
          <w:spacing w:val="-4"/>
          <w:sz w:val="21"/>
          <w:szCs w:val="21"/>
        </w:rPr>
        <w:t xml:space="preserve">que </w:t>
      </w:r>
      <w:r w:rsidRPr="005F1F12">
        <w:rPr>
          <w:rFonts w:ascii="Abadi" w:hAnsi="Abadi"/>
          <w:b w:val="0"/>
          <w:bCs w:val="0"/>
          <w:spacing w:val="-6"/>
          <w:sz w:val="21"/>
          <w:szCs w:val="21"/>
        </w:rPr>
        <w:t>tienen las personas trabajadoras de la salud en el ISAPEG</w:t>
      </w:r>
      <w:r w:rsidRPr="005F1F12">
        <w:rPr>
          <w:rFonts w:ascii="Abadi" w:hAnsi="Abadi"/>
          <w:b w:val="0"/>
          <w:bCs w:val="0"/>
          <w:spacing w:val="-7"/>
          <w:sz w:val="21"/>
          <w:szCs w:val="21"/>
        </w:rPr>
        <w:t xml:space="preserve"> </w:t>
      </w:r>
      <w:r w:rsidRPr="005F1F12">
        <w:rPr>
          <w:rFonts w:ascii="Abadi" w:hAnsi="Abadi"/>
          <w:b w:val="0"/>
          <w:bCs w:val="0"/>
          <w:spacing w:val="-6"/>
          <w:sz w:val="21"/>
          <w:szCs w:val="21"/>
        </w:rPr>
        <w:t xml:space="preserve">que están contratadas por </w:t>
      </w:r>
      <w:r w:rsidRPr="005F1F12">
        <w:rPr>
          <w:rFonts w:ascii="Abadi" w:hAnsi="Abadi"/>
          <w:b w:val="0"/>
          <w:bCs w:val="0"/>
          <w:sz w:val="21"/>
          <w:szCs w:val="21"/>
        </w:rPr>
        <w:t>honorarios.</w:t>
      </w:r>
      <w:r w:rsidRPr="005F1F12">
        <w:rPr>
          <w:rFonts w:ascii="Abadi" w:hAnsi="Abadi"/>
          <w:b w:val="0"/>
          <w:bCs w:val="0"/>
          <w:spacing w:val="-10"/>
          <w:sz w:val="21"/>
          <w:szCs w:val="21"/>
        </w:rPr>
        <w:t xml:space="preserve"> </w:t>
      </w:r>
      <w:r w:rsidRPr="005F1F12">
        <w:rPr>
          <w:rFonts w:ascii="Abadi" w:hAnsi="Abadi"/>
          <w:b w:val="0"/>
          <w:bCs w:val="0"/>
          <w:sz w:val="21"/>
          <w:szCs w:val="21"/>
        </w:rPr>
        <w:t>Ejemplo</w:t>
      </w:r>
      <w:r w:rsidRPr="005F1F12">
        <w:rPr>
          <w:rFonts w:ascii="Abadi" w:hAnsi="Abadi"/>
          <w:b w:val="0"/>
          <w:bCs w:val="0"/>
          <w:spacing w:val="-10"/>
          <w:sz w:val="21"/>
          <w:szCs w:val="21"/>
        </w:rPr>
        <w:t xml:space="preserve"> </w:t>
      </w:r>
      <w:r w:rsidRPr="005F1F12">
        <w:rPr>
          <w:rFonts w:ascii="Abadi" w:hAnsi="Abadi"/>
          <w:b w:val="0"/>
          <w:bCs w:val="0"/>
          <w:sz w:val="21"/>
          <w:szCs w:val="21"/>
        </w:rPr>
        <w:t>de</w:t>
      </w:r>
      <w:r w:rsidRPr="005F1F12">
        <w:rPr>
          <w:rFonts w:ascii="Abadi" w:hAnsi="Abadi"/>
          <w:b w:val="0"/>
          <w:bCs w:val="0"/>
          <w:spacing w:val="-10"/>
          <w:sz w:val="21"/>
          <w:szCs w:val="21"/>
        </w:rPr>
        <w:t xml:space="preserve"> </w:t>
      </w:r>
      <w:r w:rsidRPr="005F1F12">
        <w:rPr>
          <w:rFonts w:ascii="Abadi" w:hAnsi="Abadi"/>
          <w:b w:val="0"/>
          <w:bCs w:val="0"/>
          <w:sz w:val="21"/>
          <w:szCs w:val="21"/>
        </w:rPr>
        <w:t>ello</w:t>
      </w:r>
      <w:r w:rsidRPr="005F1F12">
        <w:rPr>
          <w:rFonts w:ascii="Abadi" w:hAnsi="Abadi"/>
          <w:b w:val="0"/>
          <w:bCs w:val="0"/>
          <w:spacing w:val="-10"/>
          <w:sz w:val="21"/>
          <w:szCs w:val="21"/>
        </w:rPr>
        <w:t xml:space="preserve"> </w:t>
      </w:r>
      <w:r w:rsidRPr="005F1F12">
        <w:rPr>
          <w:rFonts w:ascii="Abadi" w:hAnsi="Abadi"/>
          <w:b w:val="0"/>
          <w:bCs w:val="0"/>
          <w:sz w:val="21"/>
          <w:szCs w:val="21"/>
        </w:rPr>
        <w:t>fueron</w:t>
      </w:r>
      <w:r w:rsidRPr="005F1F12">
        <w:rPr>
          <w:rFonts w:ascii="Abadi" w:hAnsi="Abadi"/>
          <w:b w:val="0"/>
          <w:bCs w:val="0"/>
          <w:spacing w:val="-10"/>
          <w:sz w:val="21"/>
          <w:szCs w:val="21"/>
        </w:rPr>
        <w:t xml:space="preserve"> </w:t>
      </w:r>
      <w:r w:rsidRPr="005F1F12">
        <w:rPr>
          <w:rFonts w:ascii="Abadi" w:hAnsi="Abadi"/>
          <w:b w:val="0"/>
          <w:bCs w:val="0"/>
          <w:sz w:val="21"/>
          <w:szCs w:val="21"/>
        </w:rPr>
        <w:t>Erick</w:t>
      </w:r>
      <w:r w:rsidRPr="005F1F12">
        <w:rPr>
          <w:rFonts w:ascii="Abadi" w:hAnsi="Abadi"/>
          <w:b w:val="0"/>
          <w:bCs w:val="0"/>
          <w:spacing w:val="-9"/>
          <w:sz w:val="21"/>
          <w:szCs w:val="21"/>
        </w:rPr>
        <w:t xml:space="preserve"> </w:t>
      </w:r>
      <w:r w:rsidRPr="005F1F12">
        <w:rPr>
          <w:rFonts w:ascii="Abadi" w:hAnsi="Abadi"/>
          <w:b w:val="0"/>
          <w:bCs w:val="0"/>
          <w:sz w:val="21"/>
          <w:szCs w:val="21"/>
        </w:rPr>
        <w:t>Moreno</w:t>
      </w:r>
      <w:r w:rsidRPr="005F1F12">
        <w:rPr>
          <w:rFonts w:ascii="Abadi" w:hAnsi="Abadi"/>
          <w:b w:val="0"/>
          <w:bCs w:val="0"/>
          <w:spacing w:val="-10"/>
          <w:sz w:val="21"/>
          <w:szCs w:val="21"/>
        </w:rPr>
        <w:t xml:space="preserve"> </w:t>
      </w:r>
      <w:r w:rsidRPr="005F1F12">
        <w:rPr>
          <w:rFonts w:ascii="Abadi" w:hAnsi="Abadi"/>
          <w:b w:val="0"/>
          <w:bCs w:val="0"/>
          <w:sz w:val="21"/>
          <w:szCs w:val="21"/>
        </w:rPr>
        <w:t>y</w:t>
      </w:r>
      <w:r w:rsidRPr="005F1F12">
        <w:rPr>
          <w:rFonts w:ascii="Abadi" w:hAnsi="Abadi"/>
          <w:b w:val="0"/>
          <w:bCs w:val="0"/>
          <w:spacing w:val="-10"/>
          <w:sz w:val="21"/>
          <w:szCs w:val="21"/>
        </w:rPr>
        <w:t xml:space="preserve"> </w:t>
      </w:r>
      <w:r w:rsidRPr="005F1F12">
        <w:rPr>
          <w:rFonts w:ascii="Abadi" w:hAnsi="Abadi"/>
          <w:b w:val="0"/>
          <w:bCs w:val="0"/>
          <w:sz w:val="21"/>
          <w:szCs w:val="21"/>
        </w:rPr>
        <w:t>Beatriz</w:t>
      </w:r>
      <w:r w:rsidRPr="005F1F12">
        <w:rPr>
          <w:rFonts w:ascii="Abadi" w:hAnsi="Abadi"/>
          <w:b w:val="0"/>
          <w:bCs w:val="0"/>
          <w:spacing w:val="-9"/>
          <w:sz w:val="21"/>
          <w:szCs w:val="21"/>
        </w:rPr>
        <w:t xml:space="preserve"> </w:t>
      </w:r>
      <w:r w:rsidRPr="005F1F12">
        <w:rPr>
          <w:rFonts w:ascii="Abadi" w:hAnsi="Abadi"/>
          <w:b w:val="0"/>
          <w:bCs w:val="0"/>
          <w:sz w:val="21"/>
          <w:szCs w:val="21"/>
        </w:rPr>
        <w:t>Pérez,</w:t>
      </w:r>
      <w:r w:rsidRPr="005F1F12">
        <w:rPr>
          <w:rFonts w:ascii="Abadi" w:hAnsi="Abadi"/>
          <w:b w:val="0"/>
          <w:bCs w:val="0"/>
          <w:spacing w:val="-9"/>
          <w:sz w:val="21"/>
          <w:szCs w:val="21"/>
        </w:rPr>
        <w:t xml:space="preserve"> </w:t>
      </w:r>
      <w:r w:rsidRPr="005F1F12">
        <w:rPr>
          <w:rFonts w:ascii="Abadi" w:hAnsi="Abadi"/>
          <w:b w:val="0"/>
          <w:bCs w:val="0"/>
          <w:sz w:val="21"/>
          <w:szCs w:val="21"/>
        </w:rPr>
        <w:t>despedidos</w:t>
      </w:r>
      <w:r w:rsidRPr="005F1F12">
        <w:rPr>
          <w:rFonts w:ascii="Abadi" w:hAnsi="Abadi"/>
          <w:b w:val="0"/>
          <w:bCs w:val="0"/>
          <w:spacing w:val="-10"/>
          <w:sz w:val="21"/>
          <w:szCs w:val="21"/>
        </w:rPr>
        <w:t xml:space="preserve"> </w:t>
      </w:r>
      <w:r w:rsidRPr="005F1F12">
        <w:rPr>
          <w:rFonts w:ascii="Abadi" w:hAnsi="Abadi"/>
          <w:b w:val="0"/>
          <w:bCs w:val="0"/>
          <w:sz w:val="21"/>
          <w:szCs w:val="21"/>
        </w:rPr>
        <w:t xml:space="preserve">sin </w:t>
      </w:r>
      <w:r w:rsidRPr="005F1F12">
        <w:rPr>
          <w:rFonts w:ascii="Abadi" w:hAnsi="Abadi"/>
          <w:b w:val="0"/>
          <w:bCs w:val="0"/>
          <w:spacing w:val="-4"/>
          <w:sz w:val="21"/>
          <w:szCs w:val="21"/>
        </w:rPr>
        <w:t>finiquito</w:t>
      </w:r>
      <w:r w:rsidRPr="005F1F12">
        <w:rPr>
          <w:rFonts w:ascii="Abadi" w:hAnsi="Abadi"/>
          <w:b w:val="0"/>
          <w:bCs w:val="0"/>
          <w:spacing w:val="14"/>
          <w:sz w:val="21"/>
          <w:szCs w:val="21"/>
        </w:rPr>
        <w:t xml:space="preserve"> </w:t>
      </w:r>
      <w:r w:rsidRPr="005F1F12">
        <w:rPr>
          <w:rFonts w:ascii="Abadi" w:hAnsi="Abadi"/>
          <w:b w:val="0"/>
          <w:bCs w:val="0"/>
          <w:spacing w:val="-4"/>
          <w:sz w:val="21"/>
          <w:szCs w:val="21"/>
        </w:rPr>
        <w:t>ni</w:t>
      </w:r>
      <w:r w:rsidRPr="005F1F12">
        <w:rPr>
          <w:rFonts w:ascii="Abadi" w:hAnsi="Abadi"/>
          <w:b w:val="0"/>
          <w:bCs w:val="0"/>
          <w:spacing w:val="13"/>
          <w:sz w:val="21"/>
          <w:szCs w:val="21"/>
        </w:rPr>
        <w:t xml:space="preserve"> </w:t>
      </w:r>
      <w:r w:rsidRPr="005F1F12">
        <w:rPr>
          <w:rFonts w:ascii="Abadi" w:hAnsi="Abadi"/>
          <w:b w:val="0"/>
          <w:bCs w:val="0"/>
          <w:spacing w:val="-4"/>
          <w:sz w:val="21"/>
          <w:szCs w:val="21"/>
        </w:rPr>
        <w:t>liquidación</w:t>
      </w:r>
      <w:r w:rsidRPr="005F1F12">
        <w:rPr>
          <w:rFonts w:ascii="Abadi" w:hAnsi="Abadi"/>
          <w:b w:val="0"/>
          <w:bCs w:val="0"/>
          <w:spacing w:val="15"/>
          <w:sz w:val="21"/>
          <w:szCs w:val="21"/>
        </w:rPr>
        <w:t xml:space="preserve"> </w:t>
      </w:r>
      <w:r w:rsidRPr="005F1F12">
        <w:rPr>
          <w:rFonts w:ascii="Abadi" w:hAnsi="Abadi"/>
          <w:b w:val="0"/>
          <w:bCs w:val="0"/>
          <w:spacing w:val="-4"/>
          <w:sz w:val="21"/>
          <w:szCs w:val="21"/>
        </w:rPr>
        <w:t>del</w:t>
      </w:r>
      <w:r w:rsidRPr="005F1F12">
        <w:rPr>
          <w:rFonts w:ascii="Abadi" w:hAnsi="Abadi"/>
          <w:b w:val="0"/>
          <w:bCs w:val="0"/>
          <w:spacing w:val="13"/>
          <w:sz w:val="21"/>
          <w:szCs w:val="21"/>
        </w:rPr>
        <w:t xml:space="preserve"> </w:t>
      </w:r>
      <w:r w:rsidRPr="005F1F12">
        <w:rPr>
          <w:rFonts w:ascii="Abadi" w:hAnsi="Abadi"/>
          <w:b w:val="0"/>
          <w:bCs w:val="0"/>
          <w:spacing w:val="-4"/>
          <w:sz w:val="21"/>
          <w:szCs w:val="21"/>
        </w:rPr>
        <w:t>Hospital</w:t>
      </w:r>
      <w:r w:rsidRPr="005F1F12">
        <w:rPr>
          <w:rFonts w:ascii="Abadi" w:hAnsi="Abadi"/>
          <w:b w:val="0"/>
          <w:bCs w:val="0"/>
          <w:spacing w:val="14"/>
          <w:sz w:val="21"/>
          <w:szCs w:val="21"/>
        </w:rPr>
        <w:t xml:space="preserve"> </w:t>
      </w:r>
      <w:r w:rsidRPr="005F1F12">
        <w:rPr>
          <w:rFonts w:ascii="Abadi" w:hAnsi="Abadi"/>
          <w:b w:val="0"/>
          <w:bCs w:val="0"/>
          <w:spacing w:val="-4"/>
          <w:sz w:val="21"/>
          <w:szCs w:val="21"/>
        </w:rPr>
        <w:t>Pediátrico</w:t>
      </w:r>
      <w:r w:rsidRPr="005F1F12">
        <w:rPr>
          <w:rFonts w:ascii="Abadi" w:hAnsi="Abadi"/>
          <w:b w:val="0"/>
          <w:bCs w:val="0"/>
          <w:spacing w:val="13"/>
          <w:sz w:val="21"/>
          <w:szCs w:val="21"/>
        </w:rPr>
        <w:t xml:space="preserve"> </w:t>
      </w:r>
      <w:r w:rsidRPr="005F1F12">
        <w:rPr>
          <w:rFonts w:ascii="Abadi" w:hAnsi="Abadi"/>
          <w:b w:val="0"/>
          <w:bCs w:val="0"/>
          <w:spacing w:val="-4"/>
          <w:sz w:val="21"/>
          <w:szCs w:val="21"/>
        </w:rPr>
        <w:t>de</w:t>
      </w:r>
      <w:r w:rsidRPr="005F1F12">
        <w:rPr>
          <w:rFonts w:ascii="Abadi" w:hAnsi="Abadi"/>
          <w:b w:val="0"/>
          <w:bCs w:val="0"/>
          <w:spacing w:val="14"/>
          <w:sz w:val="21"/>
          <w:szCs w:val="21"/>
        </w:rPr>
        <w:t xml:space="preserve"> </w:t>
      </w:r>
      <w:r w:rsidRPr="005F1F12">
        <w:rPr>
          <w:rFonts w:ascii="Abadi" w:hAnsi="Abadi"/>
          <w:b w:val="0"/>
          <w:bCs w:val="0"/>
          <w:spacing w:val="-4"/>
          <w:sz w:val="21"/>
          <w:szCs w:val="21"/>
        </w:rPr>
        <w:t>León</w:t>
      </w:r>
      <w:r w:rsidRPr="005F1F12">
        <w:rPr>
          <w:rFonts w:ascii="Abadi" w:hAnsi="Abadi"/>
          <w:b w:val="0"/>
          <w:bCs w:val="0"/>
          <w:spacing w:val="14"/>
          <w:sz w:val="21"/>
          <w:szCs w:val="21"/>
        </w:rPr>
        <w:t xml:space="preserve"> </w:t>
      </w:r>
      <w:r w:rsidRPr="005F1F12">
        <w:rPr>
          <w:rFonts w:ascii="Abadi" w:hAnsi="Abadi"/>
          <w:b w:val="0"/>
          <w:bCs w:val="0"/>
          <w:spacing w:val="-4"/>
          <w:sz w:val="21"/>
          <w:szCs w:val="21"/>
        </w:rPr>
        <w:t>el</w:t>
      </w:r>
      <w:r w:rsidRPr="005F1F12">
        <w:rPr>
          <w:rFonts w:ascii="Abadi" w:hAnsi="Abadi"/>
          <w:b w:val="0"/>
          <w:bCs w:val="0"/>
          <w:spacing w:val="14"/>
          <w:sz w:val="21"/>
          <w:szCs w:val="21"/>
        </w:rPr>
        <w:t xml:space="preserve"> </w:t>
      </w:r>
      <w:r w:rsidRPr="005F1F12">
        <w:rPr>
          <w:rFonts w:ascii="Abadi" w:hAnsi="Abadi"/>
          <w:b w:val="0"/>
          <w:bCs w:val="0"/>
          <w:spacing w:val="-4"/>
          <w:sz w:val="21"/>
          <w:szCs w:val="21"/>
        </w:rPr>
        <w:t>pasado</w:t>
      </w:r>
      <w:r w:rsidRPr="005F1F12">
        <w:rPr>
          <w:rFonts w:ascii="Abadi" w:hAnsi="Abadi"/>
          <w:b w:val="0"/>
          <w:bCs w:val="0"/>
          <w:spacing w:val="14"/>
          <w:sz w:val="21"/>
          <w:szCs w:val="21"/>
        </w:rPr>
        <w:t xml:space="preserve"> </w:t>
      </w:r>
      <w:r w:rsidRPr="005F1F12">
        <w:rPr>
          <w:rFonts w:ascii="Abadi" w:hAnsi="Abadi"/>
          <w:b w:val="0"/>
          <w:bCs w:val="0"/>
          <w:spacing w:val="-4"/>
          <w:sz w:val="21"/>
          <w:szCs w:val="21"/>
        </w:rPr>
        <w:t>21</w:t>
      </w:r>
      <w:r w:rsidRPr="005F1F12">
        <w:rPr>
          <w:rFonts w:ascii="Abadi" w:hAnsi="Abadi"/>
          <w:b w:val="0"/>
          <w:bCs w:val="0"/>
          <w:spacing w:val="13"/>
          <w:sz w:val="21"/>
          <w:szCs w:val="21"/>
        </w:rPr>
        <w:t xml:space="preserve"> </w:t>
      </w:r>
      <w:r w:rsidRPr="005F1F12">
        <w:rPr>
          <w:rFonts w:ascii="Abadi" w:hAnsi="Abadi"/>
          <w:b w:val="0"/>
          <w:bCs w:val="0"/>
          <w:spacing w:val="-4"/>
          <w:sz w:val="21"/>
          <w:szCs w:val="21"/>
        </w:rPr>
        <w:t>de</w:t>
      </w:r>
      <w:r w:rsidRPr="005F1F12">
        <w:rPr>
          <w:rFonts w:ascii="Abadi" w:hAnsi="Abadi"/>
          <w:b w:val="0"/>
          <w:bCs w:val="0"/>
          <w:spacing w:val="13"/>
          <w:sz w:val="21"/>
          <w:szCs w:val="21"/>
        </w:rPr>
        <w:t xml:space="preserve"> </w:t>
      </w:r>
      <w:r w:rsidRPr="005F1F12">
        <w:rPr>
          <w:rFonts w:ascii="Abadi" w:hAnsi="Abadi"/>
          <w:b w:val="0"/>
          <w:bCs w:val="0"/>
          <w:spacing w:val="-4"/>
          <w:sz w:val="21"/>
          <w:szCs w:val="21"/>
        </w:rPr>
        <w:t>abril,</w:t>
      </w:r>
      <w:r w:rsidRPr="005F1F12">
        <w:rPr>
          <w:rFonts w:ascii="Abadi" w:hAnsi="Abadi"/>
          <w:b w:val="0"/>
          <w:bCs w:val="0"/>
          <w:spacing w:val="12"/>
          <w:sz w:val="21"/>
          <w:szCs w:val="21"/>
        </w:rPr>
        <w:t xml:space="preserve"> </w:t>
      </w:r>
      <w:r w:rsidRPr="005F1F12">
        <w:rPr>
          <w:rFonts w:ascii="Abadi" w:hAnsi="Abadi"/>
          <w:b w:val="0"/>
          <w:bCs w:val="0"/>
          <w:spacing w:val="-5"/>
          <w:sz w:val="21"/>
          <w:szCs w:val="21"/>
        </w:rPr>
        <w:t>por</w:t>
      </w:r>
      <w:r w:rsidR="002D5ED2" w:rsidRPr="005F1F12">
        <w:rPr>
          <w:rFonts w:ascii="Abadi" w:hAnsi="Abadi"/>
          <w:b w:val="0"/>
          <w:bCs w:val="0"/>
          <w:spacing w:val="-5"/>
          <w:sz w:val="21"/>
          <w:szCs w:val="21"/>
        </w:rPr>
        <w:t xml:space="preserve"> </w:t>
      </w:r>
      <w:r w:rsidR="002D5ED2" w:rsidRPr="005F1F12">
        <w:rPr>
          <w:rFonts w:ascii="Abadi" w:hAnsi="Abadi"/>
          <w:b w:val="0"/>
          <w:bCs w:val="0"/>
          <w:sz w:val="21"/>
          <w:szCs w:val="21"/>
        </w:rPr>
        <w:t>convocar a un paro de protesta para exigir que se cumpliera la promesa de basificación</w:t>
      </w:r>
      <w:r w:rsidR="002D5ED2" w:rsidRPr="005F1F12">
        <w:rPr>
          <w:rFonts w:ascii="Abadi" w:hAnsi="Abadi"/>
          <w:b w:val="0"/>
          <w:bCs w:val="0"/>
          <w:spacing w:val="-15"/>
          <w:sz w:val="21"/>
          <w:szCs w:val="21"/>
        </w:rPr>
        <w:t xml:space="preserve"> </w:t>
      </w:r>
      <w:r w:rsidR="002D5ED2" w:rsidRPr="005F1F12">
        <w:rPr>
          <w:rFonts w:ascii="Abadi" w:hAnsi="Abadi"/>
          <w:b w:val="0"/>
          <w:bCs w:val="0"/>
          <w:sz w:val="21"/>
          <w:szCs w:val="21"/>
        </w:rPr>
        <w:t>del</w:t>
      </w:r>
      <w:r w:rsidR="002D5ED2" w:rsidRPr="005F1F12">
        <w:rPr>
          <w:rFonts w:ascii="Abadi" w:hAnsi="Abadi"/>
          <w:b w:val="0"/>
          <w:bCs w:val="0"/>
          <w:spacing w:val="-14"/>
          <w:sz w:val="21"/>
          <w:szCs w:val="21"/>
        </w:rPr>
        <w:t xml:space="preserve"> </w:t>
      </w:r>
      <w:r w:rsidR="002D5ED2" w:rsidRPr="005F1F12">
        <w:rPr>
          <w:rFonts w:ascii="Abadi" w:hAnsi="Abadi"/>
          <w:b w:val="0"/>
          <w:bCs w:val="0"/>
          <w:sz w:val="21"/>
          <w:szCs w:val="21"/>
        </w:rPr>
        <w:t>personal</w:t>
      </w:r>
      <w:r w:rsidR="002D5ED2" w:rsidRPr="005F1F12">
        <w:rPr>
          <w:rFonts w:ascii="Abadi" w:hAnsi="Abadi"/>
          <w:b w:val="0"/>
          <w:bCs w:val="0"/>
          <w:spacing w:val="-14"/>
          <w:sz w:val="21"/>
          <w:szCs w:val="21"/>
        </w:rPr>
        <w:t xml:space="preserve"> </w:t>
      </w:r>
      <w:r w:rsidR="002D5ED2" w:rsidRPr="005F1F12">
        <w:rPr>
          <w:rFonts w:ascii="Abadi" w:hAnsi="Abadi"/>
          <w:b w:val="0"/>
          <w:bCs w:val="0"/>
          <w:sz w:val="21"/>
          <w:szCs w:val="21"/>
        </w:rPr>
        <w:t>sanitario</w:t>
      </w:r>
      <w:r w:rsidR="00211B17">
        <w:rPr>
          <w:rStyle w:val="Refdenotaalpie"/>
          <w:rFonts w:ascii="Abadi" w:hAnsi="Abadi"/>
          <w:b w:val="0"/>
          <w:bCs w:val="0"/>
          <w:sz w:val="21"/>
          <w:szCs w:val="21"/>
        </w:rPr>
        <w:footnoteReference w:id="60"/>
      </w:r>
      <w:r w:rsidR="002D5ED2" w:rsidRPr="005F1F12">
        <w:rPr>
          <w:rFonts w:ascii="Abadi" w:hAnsi="Abadi"/>
          <w:b w:val="0"/>
          <w:bCs w:val="0"/>
          <w:sz w:val="21"/>
          <w:szCs w:val="21"/>
        </w:rPr>
        <w:t>.</w:t>
      </w:r>
    </w:p>
    <w:p w14:paraId="2232F2D5" w14:textId="77777777" w:rsidR="009701DE" w:rsidRPr="005F1F12" w:rsidRDefault="009701DE" w:rsidP="009701DE">
      <w:pPr>
        <w:pStyle w:val="Textoindependiente"/>
        <w:rPr>
          <w:rFonts w:ascii="Abadi" w:hAnsi="Abadi"/>
          <w:b w:val="0"/>
          <w:bCs w:val="0"/>
          <w:sz w:val="21"/>
          <w:szCs w:val="21"/>
        </w:rPr>
      </w:pPr>
    </w:p>
    <w:p w14:paraId="1631E7FE" w14:textId="77777777" w:rsidR="002D5ED2" w:rsidRDefault="002D5ED2" w:rsidP="009701DE">
      <w:pPr>
        <w:pStyle w:val="Textoindependiente"/>
        <w:rPr>
          <w:rFonts w:ascii="Abadi" w:hAnsi="Abadi"/>
          <w:b w:val="0"/>
          <w:bCs w:val="0"/>
          <w:sz w:val="21"/>
          <w:szCs w:val="21"/>
        </w:rPr>
      </w:pPr>
      <w:r w:rsidRPr="005F1F12">
        <w:rPr>
          <w:rFonts w:ascii="Abadi" w:hAnsi="Abadi"/>
          <w:b w:val="0"/>
          <w:bCs w:val="0"/>
          <w:spacing w:val="-4"/>
          <w:sz w:val="21"/>
          <w:szCs w:val="21"/>
        </w:rPr>
        <w:t>Dicho</w:t>
      </w:r>
      <w:r w:rsidRPr="005F1F12">
        <w:rPr>
          <w:rFonts w:ascii="Abadi" w:hAnsi="Abadi"/>
          <w:b w:val="0"/>
          <w:bCs w:val="0"/>
          <w:spacing w:val="-8"/>
          <w:sz w:val="21"/>
          <w:szCs w:val="21"/>
        </w:rPr>
        <w:t xml:space="preserve"> </w:t>
      </w:r>
      <w:r w:rsidRPr="005F1F12">
        <w:rPr>
          <w:rFonts w:ascii="Abadi" w:hAnsi="Abadi"/>
          <w:b w:val="0"/>
          <w:bCs w:val="0"/>
          <w:spacing w:val="-4"/>
          <w:sz w:val="21"/>
          <w:szCs w:val="21"/>
        </w:rPr>
        <w:t>despido</w:t>
      </w:r>
      <w:r w:rsidRPr="005F1F12">
        <w:rPr>
          <w:rFonts w:ascii="Abadi" w:hAnsi="Abadi"/>
          <w:b w:val="0"/>
          <w:bCs w:val="0"/>
          <w:spacing w:val="-8"/>
          <w:sz w:val="21"/>
          <w:szCs w:val="21"/>
        </w:rPr>
        <w:t xml:space="preserve"> </w:t>
      </w:r>
      <w:r w:rsidRPr="005F1F12">
        <w:rPr>
          <w:rFonts w:ascii="Abadi" w:hAnsi="Abadi"/>
          <w:b w:val="0"/>
          <w:bCs w:val="0"/>
          <w:spacing w:val="-4"/>
          <w:sz w:val="21"/>
          <w:szCs w:val="21"/>
        </w:rPr>
        <w:t>no</w:t>
      </w:r>
      <w:r w:rsidRPr="005F1F12">
        <w:rPr>
          <w:rFonts w:ascii="Abadi" w:hAnsi="Abadi"/>
          <w:b w:val="0"/>
          <w:bCs w:val="0"/>
          <w:spacing w:val="-8"/>
          <w:sz w:val="21"/>
          <w:szCs w:val="21"/>
        </w:rPr>
        <w:t xml:space="preserve"> </w:t>
      </w:r>
      <w:r w:rsidRPr="005F1F12">
        <w:rPr>
          <w:rFonts w:ascii="Abadi" w:hAnsi="Abadi"/>
          <w:b w:val="0"/>
          <w:bCs w:val="0"/>
          <w:spacing w:val="-4"/>
          <w:sz w:val="21"/>
          <w:szCs w:val="21"/>
        </w:rPr>
        <w:t>significó</w:t>
      </w:r>
      <w:r w:rsidRPr="005F1F12">
        <w:rPr>
          <w:rFonts w:ascii="Abadi" w:hAnsi="Abadi"/>
          <w:b w:val="0"/>
          <w:bCs w:val="0"/>
          <w:spacing w:val="-6"/>
          <w:sz w:val="21"/>
          <w:szCs w:val="21"/>
        </w:rPr>
        <w:t xml:space="preserve"> </w:t>
      </w:r>
      <w:r w:rsidRPr="005F1F12">
        <w:rPr>
          <w:rFonts w:ascii="Abadi" w:hAnsi="Abadi"/>
          <w:b w:val="0"/>
          <w:bCs w:val="0"/>
          <w:spacing w:val="-4"/>
          <w:sz w:val="21"/>
          <w:szCs w:val="21"/>
        </w:rPr>
        <w:t>sólo</w:t>
      </w:r>
      <w:r w:rsidRPr="005F1F12">
        <w:rPr>
          <w:rFonts w:ascii="Abadi" w:hAnsi="Abadi"/>
          <w:b w:val="0"/>
          <w:bCs w:val="0"/>
          <w:spacing w:val="-8"/>
          <w:sz w:val="21"/>
          <w:szCs w:val="21"/>
        </w:rPr>
        <w:t xml:space="preserve"> </w:t>
      </w:r>
      <w:r w:rsidRPr="005F1F12">
        <w:rPr>
          <w:rFonts w:ascii="Abadi" w:hAnsi="Abadi"/>
          <w:b w:val="0"/>
          <w:bCs w:val="0"/>
          <w:spacing w:val="-4"/>
          <w:sz w:val="21"/>
          <w:szCs w:val="21"/>
        </w:rPr>
        <w:t>la</w:t>
      </w:r>
      <w:r w:rsidRPr="005F1F12">
        <w:rPr>
          <w:rFonts w:ascii="Abadi" w:hAnsi="Abadi"/>
          <w:b w:val="0"/>
          <w:bCs w:val="0"/>
          <w:spacing w:val="-7"/>
          <w:sz w:val="21"/>
          <w:szCs w:val="21"/>
        </w:rPr>
        <w:t xml:space="preserve"> </w:t>
      </w:r>
      <w:r w:rsidRPr="005F1F12">
        <w:rPr>
          <w:rFonts w:ascii="Abadi" w:hAnsi="Abadi"/>
          <w:b w:val="0"/>
          <w:bCs w:val="0"/>
          <w:spacing w:val="-4"/>
          <w:sz w:val="21"/>
          <w:szCs w:val="21"/>
        </w:rPr>
        <w:t>negativa</w:t>
      </w:r>
      <w:r w:rsidRPr="005F1F12">
        <w:rPr>
          <w:rFonts w:ascii="Abadi" w:hAnsi="Abadi"/>
          <w:b w:val="0"/>
          <w:bCs w:val="0"/>
          <w:spacing w:val="-7"/>
          <w:sz w:val="21"/>
          <w:szCs w:val="21"/>
        </w:rPr>
        <w:t xml:space="preserve"> </w:t>
      </w:r>
      <w:r w:rsidRPr="005F1F12">
        <w:rPr>
          <w:rFonts w:ascii="Abadi" w:hAnsi="Abadi"/>
          <w:b w:val="0"/>
          <w:bCs w:val="0"/>
          <w:spacing w:val="-4"/>
          <w:sz w:val="21"/>
          <w:szCs w:val="21"/>
        </w:rPr>
        <w:t>de</w:t>
      </w:r>
      <w:r w:rsidRPr="005F1F12">
        <w:rPr>
          <w:rFonts w:ascii="Abadi" w:hAnsi="Abadi"/>
          <w:b w:val="0"/>
          <w:bCs w:val="0"/>
          <w:spacing w:val="-5"/>
          <w:sz w:val="21"/>
          <w:szCs w:val="21"/>
        </w:rPr>
        <w:t xml:space="preserve"> </w:t>
      </w:r>
      <w:r w:rsidRPr="005F1F12">
        <w:rPr>
          <w:rFonts w:ascii="Abadi" w:hAnsi="Abadi"/>
          <w:b w:val="0"/>
          <w:bCs w:val="0"/>
          <w:spacing w:val="-4"/>
          <w:sz w:val="21"/>
          <w:szCs w:val="21"/>
        </w:rPr>
        <w:t>reconocer</w:t>
      </w:r>
      <w:r w:rsidRPr="005F1F12">
        <w:rPr>
          <w:rFonts w:ascii="Abadi" w:hAnsi="Abadi"/>
          <w:b w:val="0"/>
          <w:bCs w:val="0"/>
          <w:spacing w:val="-8"/>
          <w:sz w:val="21"/>
          <w:szCs w:val="21"/>
        </w:rPr>
        <w:t xml:space="preserve"> </w:t>
      </w:r>
      <w:r w:rsidRPr="005F1F12">
        <w:rPr>
          <w:rFonts w:ascii="Abadi" w:hAnsi="Abadi"/>
          <w:b w:val="0"/>
          <w:bCs w:val="0"/>
          <w:spacing w:val="-4"/>
          <w:sz w:val="21"/>
          <w:szCs w:val="21"/>
        </w:rPr>
        <w:t>un</w:t>
      </w:r>
      <w:r w:rsidRPr="005F1F12">
        <w:rPr>
          <w:rFonts w:ascii="Abadi" w:hAnsi="Abadi"/>
          <w:b w:val="0"/>
          <w:bCs w:val="0"/>
          <w:spacing w:val="-6"/>
          <w:sz w:val="21"/>
          <w:szCs w:val="21"/>
        </w:rPr>
        <w:t xml:space="preserve"> </w:t>
      </w:r>
      <w:r w:rsidRPr="005F1F12">
        <w:rPr>
          <w:rFonts w:ascii="Abadi" w:hAnsi="Abadi"/>
          <w:b w:val="0"/>
          <w:bCs w:val="0"/>
          <w:spacing w:val="-4"/>
          <w:sz w:val="21"/>
          <w:szCs w:val="21"/>
        </w:rPr>
        <w:t>derecho</w:t>
      </w:r>
      <w:r w:rsidRPr="005F1F12">
        <w:rPr>
          <w:rFonts w:ascii="Abadi" w:hAnsi="Abadi"/>
          <w:b w:val="0"/>
          <w:bCs w:val="0"/>
          <w:spacing w:val="-7"/>
          <w:sz w:val="21"/>
          <w:szCs w:val="21"/>
        </w:rPr>
        <w:t xml:space="preserve"> </w:t>
      </w:r>
      <w:r w:rsidRPr="005F1F12">
        <w:rPr>
          <w:rFonts w:ascii="Abadi" w:hAnsi="Abadi"/>
          <w:b w:val="0"/>
          <w:bCs w:val="0"/>
          <w:spacing w:val="-4"/>
          <w:sz w:val="21"/>
          <w:szCs w:val="21"/>
        </w:rPr>
        <w:t>laboral</w:t>
      </w:r>
      <w:r w:rsidRPr="005F1F12">
        <w:rPr>
          <w:rFonts w:ascii="Abadi" w:hAnsi="Abadi"/>
          <w:b w:val="0"/>
          <w:bCs w:val="0"/>
          <w:spacing w:val="-7"/>
          <w:sz w:val="21"/>
          <w:szCs w:val="21"/>
        </w:rPr>
        <w:t xml:space="preserve"> </w:t>
      </w:r>
      <w:r w:rsidRPr="005F1F12">
        <w:rPr>
          <w:rFonts w:ascii="Abadi" w:hAnsi="Abadi"/>
          <w:b w:val="0"/>
          <w:bCs w:val="0"/>
          <w:spacing w:val="-4"/>
          <w:sz w:val="21"/>
          <w:szCs w:val="21"/>
        </w:rPr>
        <w:t>básico; sino</w:t>
      </w:r>
      <w:r w:rsidRPr="005F1F12">
        <w:rPr>
          <w:rFonts w:ascii="Abadi" w:hAnsi="Abadi"/>
          <w:b w:val="0"/>
          <w:bCs w:val="0"/>
          <w:spacing w:val="-11"/>
          <w:sz w:val="21"/>
          <w:szCs w:val="21"/>
        </w:rPr>
        <w:t xml:space="preserve"> </w:t>
      </w:r>
      <w:r w:rsidRPr="005F1F12">
        <w:rPr>
          <w:rFonts w:ascii="Abadi" w:hAnsi="Abadi"/>
          <w:b w:val="0"/>
          <w:bCs w:val="0"/>
          <w:spacing w:val="-4"/>
          <w:sz w:val="21"/>
          <w:szCs w:val="21"/>
        </w:rPr>
        <w:t>un</w:t>
      </w:r>
      <w:r w:rsidRPr="005F1F12">
        <w:rPr>
          <w:rFonts w:ascii="Abadi" w:hAnsi="Abadi"/>
          <w:b w:val="0"/>
          <w:bCs w:val="0"/>
          <w:spacing w:val="-10"/>
          <w:sz w:val="21"/>
          <w:szCs w:val="21"/>
        </w:rPr>
        <w:t xml:space="preserve"> </w:t>
      </w:r>
      <w:r w:rsidRPr="005F1F12">
        <w:rPr>
          <w:rFonts w:ascii="Abadi" w:hAnsi="Abadi"/>
          <w:b w:val="0"/>
          <w:bCs w:val="0"/>
          <w:spacing w:val="-4"/>
          <w:sz w:val="21"/>
          <w:szCs w:val="21"/>
        </w:rPr>
        <w:t>acto</w:t>
      </w:r>
      <w:r w:rsidRPr="005F1F12">
        <w:rPr>
          <w:rFonts w:ascii="Abadi" w:hAnsi="Abadi"/>
          <w:b w:val="0"/>
          <w:bCs w:val="0"/>
          <w:spacing w:val="-10"/>
          <w:sz w:val="21"/>
          <w:szCs w:val="21"/>
        </w:rPr>
        <w:t xml:space="preserve"> </w:t>
      </w:r>
      <w:r w:rsidRPr="005F1F12">
        <w:rPr>
          <w:rFonts w:ascii="Abadi" w:hAnsi="Abadi"/>
          <w:b w:val="0"/>
          <w:bCs w:val="0"/>
          <w:spacing w:val="-4"/>
          <w:sz w:val="21"/>
          <w:szCs w:val="21"/>
        </w:rPr>
        <w:t>de</w:t>
      </w:r>
      <w:r w:rsidRPr="005F1F12">
        <w:rPr>
          <w:rFonts w:ascii="Abadi" w:hAnsi="Abadi"/>
          <w:b w:val="0"/>
          <w:bCs w:val="0"/>
          <w:spacing w:val="-11"/>
          <w:sz w:val="21"/>
          <w:szCs w:val="21"/>
        </w:rPr>
        <w:t xml:space="preserve"> </w:t>
      </w:r>
      <w:r w:rsidRPr="005F1F12">
        <w:rPr>
          <w:rFonts w:ascii="Abadi" w:hAnsi="Abadi"/>
          <w:b w:val="0"/>
          <w:bCs w:val="0"/>
          <w:spacing w:val="-4"/>
          <w:sz w:val="21"/>
          <w:szCs w:val="21"/>
        </w:rPr>
        <w:t>censura</w:t>
      </w:r>
      <w:r w:rsidRPr="005F1F12">
        <w:rPr>
          <w:rFonts w:ascii="Abadi" w:hAnsi="Abadi"/>
          <w:b w:val="0"/>
          <w:bCs w:val="0"/>
          <w:spacing w:val="-10"/>
          <w:sz w:val="21"/>
          <w:szCs w:val="21"/>
        </w:rPr>
        <w:t xml:space="preserve"> </w:t>
      </w:r>
      <w:r w:rsidRPr="005F1F12">
        <w:rPr>
          <w:rFonts w:ascii="Abadi" w:hAnsi="Abadi"/>
          <w:b w:val="0"/>
          <w:bCs w:val="0"/>
          <w:spacing w:val="-4"/>
          <w:sz w:val="21"/>
          <w:szCs w:val="21"/>
        </w:rPr>
        <w:t>que</w:t>
      </w:r>
      <w:r w:rsidRPr="005F1F12">
        <w:rPr>
          <w:rFonts w:ascii="Abadi" w:hAnsi="Abadi"/>
          <w:b w:val="0"/>
          <w:bCs w:val="0"/>
          <w:spacing w:val="-10"/>
          <w:sz w:val="21"/>
          <w:szCs w:val="21"/>
        </w:rPr>
        <w:t xml:space="preserve"> </w:t>
      </w:r>
      <w:r w:rsidRPr="005F1F12">
        <w:rPr>
          <w:rFonts w:ascii="Abadi" w:hAnsi="Abadi"/>
          <w:b w:val="0"/>
          <w:bCs w:val="0"/>
          <w:spacing w:val="-4"/>
          <w:sz w:val="21"/>
          <w:szCs w:val="21"/>
        </w:rPr>
        <w:t>pretende</w:t>
      </w:r>
      <w:r w:rsidRPr="005F1F12">
        <w:rPr>
          <w:rFonts w:ascii="Abadi" w:hAnsi="Abadi"/>
          <w:b w:val="0"/>
          <w:bCs w:val="0"/>
          <w:spacing w:val="-11"/>
          <w:sz w:val="21"/>
          <w:szCs w:val="21"/>
        </w:rPr>
        <w:t xml:space="preserve"> </w:t>
      </w:r>
      <w:r w:rsidRPr="005F1F12">
        <w:rPr>
          <w:rFonts w:ascii="Abadi" w:hAnsi="Abadi"/>
          <w:b w:val="0"/>
          <w:bCs w:val="0"/>
          <w:spacing w:val="-4"/>
          <w:sz w:val="21"/>
          <w:szCs w:val="21"/>
        </w:rPr>
        <w:t>disuadir</w:t>
      </w:r>
      <w:r w:rsidRPr="005F1F12">
        <w:rPr>
          <w:rFonts w:ascii="Abadi" w:hAnsi="Abadi"/>
          <w:b w:val="0"/>
          <w:bCs w:val="0"/>
          <w:spacing w:val="-10"/>
          <w:sz w:val="21"/>
          <w:szCs w:val="21"/>
        </w:rPr>
        <w:t xml:space="preserve"> </w:t>
      </w:r>
      <w:r w:rsidRPr="005F1F12">
        <w:rPr>
          <w:rFonts w:ascii="Abadi" w:hAnsi="Abadi"/>
          <w:b w:val="0"/>
          <w:bCs w:val="0"/>
          <w:spacing w:val="-4"/>
          <w:sz w:val="21"/>
          <w:szCs w:val="21"/>
        </w:rPr>
        <w:t>las</w:t>
      </w:r>
      <w:r w:rsidRPr="005F1F12">
        <w:rPr>
          <w:rFonts w:ascii="Abadi" w:hAnsi="Abadi"/>
          <w:b w:val="0"/>
          <w:bCs w:val="0"/>
          <w:spacing w:val="-10"/>
          <w:sz w:val="21"/>
          <w:szCs w:val="21"/>
        </w:rPr>
        <w:t xml:space="preserve"> </w:t>
      </w:r>
      <w:r w:rsidRPr="005F1F12">
        <w:rPr>
          <w:rFonts w:ascii="Abadi" w:hAnsi="Abadi"/>
          <w:b w:val="0"/>
          <w:bCs w:val="0"/>
          <w:spacing w:val="-4"/>
          <w:sz w:val="21"/>
          <w:szCs w:val="21"/>
        </w:rPr>
        <w:t>legítimas</w:t>
      </w:r>
      <w:r w:rsidRPr="005F1F12">
        <w:rPr>
          <w:rFonts w:ascii="Abadi" w:hAnsi="Abadi"/>
          <w:b w:val="0"/>
          <w:bCs w:val="0"/>
          <w:spacing w:val="-11"/>
          <w:sz w:val="21"/>
          <w:szCs w:val="21"/>
        </w:rPr>
        <w:t xml:space="preserve"> </w:t>
      </w:r>
      <w:r w:rsidRPr="005F1F12">
        <w:rPr>
          <w:rFonts w:ascii="Abadi" w:hAnsi="Abadi"/>
          <w:b w:val="0"/>
          <w:bCs w:val="0"/>
          <w:spacing w:val="-4"/>
          <w:sz w:val="21"/>
          <w:szCs w:val="21"/>
        </w:rPr>
        <w:t>exigencias</w:t>
      </w:r>
      <w:r w:rsidRPr="005F1F12">
        <w:rPr>
          <w:rFonts w:ascii="Abadi" w:hAnsi="Abadi"/>
          <w:b w:val="0"/>
          <w:bCs w:val="0"/>
          <w:spacing w:val="-10"/>
          <w:sz w:val="21"/>
          <w:szCs w:val="21"/>
        </w:rPr>
        <w:t xml:space="preserve"> </w:t>
      </w:r>
      <w:r w:rsidRPr="005F1F12">
        <w:rPr>
          <w:rFonts w:ascii="Abadi" w:hAnsi="Abadi"/>
          <w:b w:val="0"/>
          <w:bCs w:val="0"/>
          <w:spacing w:val="-4"/>
          <w:sz w:val="21"/>
          <w:szCs w:val="21"/>
        </w:rPr>
        <w:t>colectivas</w:t>
      </w:r>
      <w:r w:rsidRPr="005F1F12">
        <w:rPr>
          <w:rFonts w:ascii="Abadi" w:hAnsi="Abadi"/>
          <w:b w:val="0"/>
          <w:bCs w:val="0"/>
          <w:spacing w:val="-10"/>
          <w:sz w:val="21"/>
          <w:szCs w:val="21"/>
        </w:rPr>
        <w:t xml:space="preserve"> </w:t>
      </w:r>
      <w:r w:rsidRPr="005F1F12">
        <w:rPr>
          <w:rFonts w:ascii="Abadi" w:hAnsi="Abadi"/>
          <w:b w:val="0"/>
          <w:bCs w:val="0"/>
          <w:spacing w:val="-4"/>
          <w:sz w:val="21"/>
          <w:szCs w:val="21"/>
        </w:rPr>
        <w:t xml:space="preserve">de </w:t>
      </w:r>
      <w:r w:rsidRPr="005F1F12">
        <w:rPr>
          <w:rFonts w:ascii="Abadi" w:hAnsi="Abadi"/>
          <w:b w:val="0"/>
          <w:bCs w:val="0"/>
          <w:sz w:val="21"/>
          <w:szCs w:val="21"/>
        </w:rPr>
        <w:t>las y los trabajadores del ISAPEG.</w:t>
      </w:r>
    </w:p>
    <w:p w14:paraId="2009552F" w14:textId="77777777" w:rsidR="009701DE" w:rsidRPr="005F1F12" w:rsidRDefault="009701DE" w:rsidP="009701DE">
      <w:pPr>
        <w:pStyle w:val="Textoindependiente"/>
        <w:rPr>
          <w:rFonts w:ascii="Abadi" w:hAnsi="Abadi"/>
          <w:b w:val="0"/>
          <w:bCs w:val="0"/>
          <w:sz w:val="21"/>
          <w:szCs w:val="21"/>
        </w:rPr>
      </w:pPr>
    </w:p>
    <w:p w14:paraId="139DB62C" w14:textId="25EADB14" w:rsidR="002D5ED2" w:rsidRDefault="002D5ED2" w:rsidP="009701DE">
      <w:pPr>
        <w:pStyle w:val="Textoindependiente"/>
        <w:rPr>
          <w:rFonts w:ascii="Abadi" w:hAnsi="Abadi"/>
          <w:b w:val="0"/>
          <w:bCs w:val="0"/>
          <w:sz w:val="21"/>
          <w:szCs w:val="21"/>
        </w:rPr>
      </w:pPr>
      <w:r w:rsidRPr="005F1F12">
        <w:rPr>
          <w:rFonts w:ascii="Abadi" w:hAnsi="Abadi"/>
          <w:b w:val="0"/>
          <w:bCs w:val="0"/>
          <w:sz w:val="21"/>
          <w:szCs w:val="21"/>
        </w:rPr>
        <w:t>Más</w:t>
      </w:r>
      <w:r w:rsidRPr="005F1F12">
        <w:rPr>
          <w:rFonts w:ascii="Abadi" w:hAnsi="Abadi"/>
          <w:b w:val="0"/>
          <w:bCs w:val="0"/>
          <w:spacing w:val="-9"/>
          <w:sz w:val="21"/>
          <w:szCs w:val="21"/>
        </w:rPr>
        <w:t xml:space="preserve"> </w:t>
      </w:r>
      <w:r w:rsidRPr="005F1F12">
        <w:rPr>
          <w:rFonts w:ascii="Abadi" w:hAnsi="Abadi"/>
          <w:b w:val="0"/>
          <w:bCs w:val="0"/>
          <w:sz w:val="21"/>
          <w:szCs w:val="21"/>
        </w:rPr>
        <w:t>allá</w:t>
      </w:r>
      <w:r w:rsidRPr="005F1F12">
        <w:rPr>
          <w:rFonts w:ascii="Abadi" w:hAnsi="Abadi"/>
          <w:b w:val="0"/>
          <w:bCs w:val="0"/>
          <w:spacing w:val="-9"/>
          <w:sz w:val="21"/>
          <w:szCs w:val="21"/>
        </w:rPr>
        <w:t xml:space="preserve"> </w:t>
      </w:r>
      <w:r w:rsidRPr="005F1F12">
        <w:rPr>
          <w:rFonts w:ascii="Abadi" w:hAnsi="Abadi"/>
          <w:b w:val="0"/>
          <w:bCs w:val="0"/>
          <w:sz w:val="21"/>
          <w:szCs w:val="21"/>
        </w:rPr>
        <w:t>de</w:t>
      </w:r>
      <w:r w:rsidRPr="005F1F12">
        <w:rPr>
          <w:rFonts w:ascii="Abadi" w:hAnsi="Abadi"/>
          <w:b w:val="0"/>
          <w:bCs w:val="0"/>
          <w:spacing w:val="-9"/>
          <w:sz w:val="21"/>
          <w:szCs w:val="21"/>
        </w:rPr>
        <w:t xml:space="preserve"> </w:t>
      </w:r>
      <w:r w:rsidRPr="005F1F12">
        <w:rPr>
          <w:rFonts w:ascii="Abadi" w:hAnsi="Abadi"/>
          <w:b w:val="0"/>
          <w:bCs w:val="0"/>
          <w:sz w:val="21"/>
          <w:szCs w:val="21"/>
        </w:rPr>
        <w:t>que</w:t>
      </w:r>
      <w:r w:rsidRPr="005F1F12">
        <w:rPr>
          <w:rFonts w:ascii="Abadi" w:hAnsi="Abadi"/>
          <w:b w:val="0"/>
          <w:bCs w:val="0"/>
          <w:spacing w:val="-9"/>
          <w:sz w:val="21"/>
          <w:szCs w:val="21"/>
        </w:rPr>
        <w:t xml:space="preserve"> </w:t>
      </w:r>
      <w:r w:rsidRPr="005F1F12">
        <w:rPr>
          <w:rFonts w:ascii="Abadi" w:hAnsi="Abadi"/>
          <w:b w:val="0"/>
          <w:bCs w:val="0"/>
          <w:sz w:val="21"/>
          <w:szCs w:val="21"/>
        </w:rPr>
        <w:t>estén</w:t>
      </w:r>
      <w:r w:rsidRPr="005F1F12">
        <w:rPr>
          <w:rFonts w:ascii="Abadi" w:hAnsi="Abadi"/>
          <w:b w:val="0"/>
          <w:bCs w:val="0"/>
          <w:spacing w:val="-8"/>
          <w:sz w:val="21"/>
          <w:szCs w:val="21"/>
        </w:rPr>
        <w:t xml:space="preserve"> </w:t>
      </w:r>
      <w:r w:rsidRPr="005F1F12">
        <w:rPr>
          <w:rFonts w:ascii="Abadi" w:hAnsi="Abadi"/>
          <w:b w:val="0"/>
          <w:bCs w:val="0"/>
          <w:sz w:val="21"/>
          <w:szCs w:val="21"/>
        </w:rPr>
        <w:t>brindando</w:t>
      </w:r>
      <w:r w:rsidRPr="005F1F12">
        <w:rPr>
          <w:rFonts w:ascii="Abadi" w:hAnsi="Abadi"/>
          <w:b w:val="0"/>
          <w:bCs w:val="0"/>
          <w:spacing w:val="-10"/>
          <w:sz w:val="21"/>
          <w:szCs w:val="21"/>
        </w:rPr>
        <w:t xml:space="preserve"> </w:t>
      </w:r>
      <w:r w:rsidRPr="005F1F12">
        <w:rPr>
          <w:rFonts w:ascii="Abadi" w:hAnsi="Abadi"/>
          <w:b w:val="0"/>
          <w:bCs w:val="0"/>
          <w:sz w:val="21"/>
          <w:szCs w:val="21"/>
        </w:rPr>
        <w:t>algunas</w:t>
      </w:r>
      <w:r w:rsidRPr="005F1F12">
        <w:rPr>
          <w:rFonts w:ascii="Abadi" w:hAnsi="Abadi"/>
          <w:b w:val="0"/>
          <w:bCs w:val="0"/>
          <w:spacing w:val="-8"/>
          <w:sz w:val="21"/>
          <w:szCs w:val="21"/>
        </w:rPr>
        <w:t xml:space="preserve"> </w:t>
      </w:r>
      <w:r w:rsidRPr="005F1F12">
        <w:rPr>
          <w:rFonts w:ascii="Abadi" w:hAnsi="Abadi"/>
          <w:b w:val="0"/>
          <w:bCs w:val="0"/>
          <w:sz w:val="21"/>
          <w:szCs w:val="21"/>
        </w:rPr>
        <w:t>de</w:t>
      </w:r>
      <w:r w:rsidRPr="005F1F12">
        <w:rPr>
          <w:rFonts w:ascii="Abadi" w:hAnsi="Abadi"/>
          <w:b w:val="0"/>
          <w:bCs w:val="0"/>
          <w:spacing w:val="-8"/>
          <w:sz w:val="21"/>
          <w:szCs w:val="21"/>
        </w:rPr>
        <w:t xml:space="preserve"> </w:t>
      </w:r>
      <w:r w:rsidRPr="005F1F12">
        <w:rPr>
          <w:rFonts w:ascii="Abadi" w:hAnsi="Abadi"/>
          <w:b w:val="0"/>
          <w:bCs w:val="0"/>
          <w:sz w:val="21"/>
          <w:szCs w:val="21"/>
        </w:rPr>
        <w:t>las</w:t>
      </w:r>
      <w:r w:rsidRPr="005F1F12">
        <w:rPr>
          <w:rFonts w:ascii="Abadi" w:hAnsi="Abadi"/>
          <w:b w:val="0"/>
          <w:bCs w:val="0"/>
          <w:spacing w:val="-9"/>
          <w:sz w:val="21"/>
          <w:szCs w:val="21"/>
        </w:rPr>
        <w:t xml:space="preserve"> </w:t>
      </w:r>
      <w:r w:rsidRPr="005F1F12">
        <w:rPr>
          <w:rFonts w:ascii="Abadi" w:hAnsi="Abadi"/>
          <w:b w:val="0"/>
          <w:bCs w:val="0"/>
          <w:sz w:val="21"/>
          <w:szCs w:val="21"/>
        </w:rPr>
        <w:t>prestaciones</w:t>
      </w:r>
      <w:r w:rsidRPr="005F1F12">
        <w:rPr>
          <w:rFonts w:ascii="Abadi" w:hAnsi="Abadi"/>
          <w:b w:val="0"/>
          <w:bCs w:val="0"/>
          <w:spacing w:val="-9"/>
          <w:sz w:val="21"/>
          <w:szCs w:val="21"/>
        </w:rPr>
        <w:t xml:space="preserve"> </w:t>
      </w:r>
      <w:r w:rsidRPr="005F1F12">
        <w:rPr>
          <w:rFonts w:ascii="Abadi" w:hAnsi="Abadi"/>
          <w:b w:val="0"/>
          <w:bCs w:val="0"/>
          <w:sz w:val="21"/>
          <w:szCs w:val="21"/>
        </w:rPr>
        <w:t>laborales</w:t>
      </w:r>
      <w:r w:rsidRPr="005F1F12">
        <w:rPr>
          <w:rFonts w:ascii="Abadi" w:hAnsi="Abadi"/>
          <w:b w:val="0"/>
          <w:bCs w:val="0"/>
          <w:spacing w:val="-9"/>
          <w:sz w:val="21"/>
          <w:szCs w:val="21"/>
        </w:rPr>
        <w:t xml:space="preserve"> </w:t>
      </w:r>
      <w:r w:rsidRPr="005F1F12">
        <w:rPr>
          <w:rFonts w:ascii="Abadi" w:hAnsi="Abadi"/>
          <w:b w:val="0"/>
          <w:bCs w:val="0"/>
          <w:sz w:val="21"/>
          <w:szCs w:val="21"/>
        </w:rPr>
        <w:t>para</w:t>
      </w:r>
      <w:r w:rsidRPr="005F1F12">
        <w:rPr>
          <w:rFonts w:ascii="Abadi" w:hAnsi="Abadi"/>
          <w:b w:val="0"/>
          <w:bCs w:val="0"/>
          <w:spacing w:val="-9"/>
          <w:sz w:val="21"/>
          <w:szCs w:val="21"/>
        </w:rPr>
        <w:t xml:space="preserve"> </w:t>
      </w:r>
      <w:r w:rsidRPr="005F1F12">
        <w:rPr>
          <w:rFonts w:ascii="Abadi" w:hAnsi="Abadi"/>
          <w:b w:val="0"/>
          <w:bCs w:val="0"/>
          <w:sz w:val="21"/>
          <w:szCs w:val="21"/>
        </w:rPr>
        <w:t xml:space="preserve">unos cuantos trabajadores del ISAPEG, lo cierto es que esto no da certeza jurídica a </w:t>
      </w:r>
      <w:r w:rsidRPr="005F1F12">
        <w:rPr>
          <w:rFonts w:ascii="Abadi" w:hAnsi="Abadi"/>
          <w:b w:val="0"/>
          <w:bCs w:val="0"/>
          <w:spacing w:val="-4"/>
          <w:sz w:val="21"/>
          <w:szCs w:val="21"/>
        </w:rPr>
        <w:t>quienes</w:t>
      </w:r>
      <w:r w:rsidRPr="005F1F12">
        <w:rPr>
          <w:rFonts w:ascii="Abadi" w:hAnsi="Abadi"/>
          <w:b w:val="0"/>
          <w:bCs w:val="0"/>
          <w:spacing w:val="-11"/>
          <w:sz w:val="21"/>
          <w:szCs w:val="21"/>
        </w:rPr>
        <w:t xml:space="preserve"> </w:t>
      </w:r>
      <w:r w:rsidRPr="005F1F12">
        <w:rPr>
          <w:rFonts w:ascii="Abadi" w:hAnsi="Abadi"/>
          <w:b w:val="0"/>
          <w:bCs w:val="0"/>
          <w:spacing w:val="-4"/>
          <w:sz w:val="21"/>
          <w:szCs w:val="21"/>
        </w:rPr>
        <w:t>están</w:t>
      </w:r>
      <w:r w:rsidRPr="005F1F12">
        <w:rPr>
          <w:rFonts w:ascii="Abadi" w:hAnsi="Abadi"/>
          <w:b w:val="0"/>
          <w:bCs w:val="0"/>
          <w:spacing w:val="-10"/>
          <w:sz w:val="21"/>
          <w:szCs w:val="21"/>
        </w:rPr>
        <w:t xml:space="preserve"> </w:t>
      </w:r>
      <w:r w:rsidRPr="005F1F12">
        <w:rPr>
          <w:rFonts w:ascii="Abadi" w:hAnsi="Abadi"/>
          <w:b w:val="0"/>
          <w:bCs w:val="0"/>
          <w:spacing w:val="-4"/>
          <w:sz w:val="21"/>
          <w:szCs w:val="21"/>
        </w:rPr>
        <w:t>contratados</w:t>
      </w:r>
      <w:r w:rsidRPr="005F1F12">
        <w:rPr>
          <w:rFonts w:ascii="Abadi" w:hAnsi="Abadi"/>
          <w:b w:val="0"/>
          <w:bCs w:val="0"/>
          <w:spacing w:val="-10"/>
          <w:sz w:val="21"/>
          <w:szCs w:val="21"/>
        </w:rPr>
        <w:t xml:space="preserve"> </w:t>
      </w:r>
      <w:r w:rsidRPr="005F1F12">
        <w:rPr>
          <w:rFonts w:ascii="Abadi" w:hAnsi="Abadi"/>
          <w:b w:val="0"/>
          <w:bCs w:val="0"/>
          <w:spacing w:val="-4"/>
          <w:sz w:val="21"/>
          <w:szCs w:val="21"/>
        </w:rPr>
        <w:t>por</w:t>
      </w:r>
      <w:r w:rsidRPr="005F1F12">
        <w:rPr>
          <w:rFonts w:ascii="Abadi" w:hAnsi="Abadi"/>
          <w:b w:val="0"/>
          <w:bCs w:val="0"/>
          <w:spacing w:val="-11"/>
          <w:sz w:val="21"/>
          <w:szCs w:val="21"/>
        </w:rPr>
        <w:t xml:space="preserve"> </w:t>
      </w:r>
      <w:r w:rsidRPr="005F1F12">
        <w:rPr>
          <w:rFonts w:ascii="Abadi" w:hAnsi="Abadi"/>
          <w:b w:val="0"/>
          <w:bCs w:val="0"/>
          <w:spacing w:val="-4"/>
          <w:sz w:val="21"/>
          <w:szCs w:val="21"/>
        </w:rPr>
        <w:t>honorarios</w:t>
      </w:r>
      <w:r w:rsidRPr="005F1F12">
        <w:rPr>
          <w:rFonts w:ascii="Abadi" w:hAnsi="Abadi"/>
          <w:b w:val="0"/>
          <w:bCs w:val="0"/>
          <w:spacing w:val="-10"/>
          <w:sz w:val="21"/>
          <w:szCs w:val="21"/>
        </w:rPr>
        <w:t xml:space="preserve"> </w:t>
      </w:r>
      <w:r w:rsidRPr="005F1F12">
        <w:rPr>
          <w:rFonts w:ascii="Abadi" w:hAnsi="Abadi"/>
          <w:b w:val="0"/>
          <w:bCs w:val="0"/>
          <w:spacing w:val="-4"/>
          <w:sz w:val="21"/>
          <w:szCs w:val="21"/>
        </w:rPr>
        <w:t>mediante</w:t>
      </w:r>
      <w:r w:rsidRPr="005F1F12">
        <w:rPr>
          <w:rFonts w:ascii="Abadi" w:hAnsi="Abadi"/>
          <w:b w:val="0"/>
          <w:bCs w:val="0"/>
          <w:spacing w:val="-10"/>
          <w:sz w:val="21"/>
          <w:szCs w:val="21"/>
        </w:rPr>
        <w:t xml:space="preserve"> </w:t>
      </w:r>
      <w:r w:rsidRPr="005F1F12">
        <w:rPr>
          <w:rFonts w:ascii="Abadi" w:hAnsi="Abadi"/>
          <w:b w:val="0"/>
          <w:bCs w:val="0"/>
          <w:spacing w:val="-4"/>
          <w:sz w:val="21"/>
          <w:szCs w:val="21"/>
        </w:rPr>
        <w:t>contratos</w:t>
      </w:r>
      <w:r w:rsidRPr="005F1F12">
        <w:rPr>
          <w:rFonts w:ascii="Abadi" w:hAnsi="Abadi"/>
          <w:b w:val="0"/>
          <w:bCs w:val="0"/>
          <w:spacing w:val="-11"/>
          <w:sz w:val="21"/>
          <w:szCs w:val="21"/>
        </w:rPr>
        <w:t xml:space="preserve"> </w:t>
      </w:r>
      <w:r w:rsidRPr="005F1F12">
        <w:rPr>
          <w:rFonts w:ascii="Abadi" w:hAnsi="Abadi"/>
          <w:b w:val="0"/>
          <w:bCs w:val="0"/>
          <w:spacing w:val="-4"/>
          <w:sz w:val="21"/>
          <w:szCs w:val="21"/>
        </w:rPr>
        <w:t>en</w:t>
      </w:r>
      <w:r w:rsidRPr="005F1F12">
        <w:rPr>
          <w:rFonts w:ascii="Abadi" w:hAnsi="Abadi"/>
          <w:b w:val="0"/>
          <w:bCs w:val="0"/>
          <w:spacing w:val="-10"/>
          <w:sz w:val="21"/>
          <w:szCs w:val="21"/>
        </w:rPr>
        <w:t xml:space="preserve"> </w:t>
      </w:r>
      <w:r w:rsidRPr="005F1F12">
        <w:rPr>
          <w:rFonts w:ascii="Abadi" w:hAnsi="Abadi"/>
          <w:b w:val="0"/>
          <w:bCs w:val="0"/>
          <w:spacing w:val="-4"/>
          <w:sz w:val="21"/>
          <w:szCs w:val="21"/>
        </w:rPr>
        <w:t>los</w:t>
      </w:r>
      <w:r w:rsidRPr="005F1F12">
        <w:rPr>
          <w:rFonts w:ascii="Abadi" w:hAnsi="Abadi"/>
          <w:b w:val="0"/>
          <w:bCs w:val="0"/>
          <w:spacing w:val="-10"/>
          <w:sz w:val="21"/>
          <w:szCs w:val="21"/>
        </w:rPr>
        <w:t xml:space="preserve"> </w:t>
      </w:r>
      <w:r w:rsidRPr="005F1F12">
        <w:rPr>
          <w:rFonts w:ascii="Abadi" w:hAnsi="Abadi"/>
          <w:b w:val="0"/>
          <w:bCs w:val="0"/>
          <w:spacing w:val="-4"/>
          <w:sz w:val="21"/>
          <w:szCs w:val="21"/>
        </w:rPr>
        <w:t>que</w:t>
      </w:r>
      <w:r w:rsidRPr="005F1F12">
        <w:rPr>
          <w:rFonts w:ascii="Abadi" w:hAnsi="Abadi"/>
          <w:b w:val="0"/>
          <w:bCs w:val="0"/>
          <w:spacing w:val="-11"/>
          <w:sz w:val="21"/>
          <w:szCs w:val="21"/>
        </w:rPr>
        <w:t xml:space="preserve"> </w:t>
      </w:r>
      <w:r w:rsidRPr="005F1F12">
        <w:rPr>
          <w:rFonts w:ascii="Abadi" w:hAnsi="Abadi"/>
          <w:b w:val="0"/>
          <w:bCs w:val="0"/>
          <w:spacing w:val="-4"/>
          <w:sz w:val="21"/>
          <w:szCs w:val="21"/>
        </w:rPr>
        <w:t>el</w:t>
      </w:r>
      <w:r w:rsidRPr="005F1F12">
        <w:rPr>
          <w:rFonts w:ascii="Abadi" w:hAnsi="Abadi"/>
          <w:b w:val="0"/>
          <w:bCs w:val="0"/>
          <w:spacing w:val="-9"/>
          <w:sz w:val="21"/>
          <w:szCs w:val="21"/>
        </w:rPr>
        <w:t xml:space="preserve"> </w:t>
      </w:r>
      <w:r w:rsidRPr="005F1F12">
        <w:rPr>
          <w:rFonts w:ascii="Abadi" w:hAnsi="Abadi"/>
          <w:b w:val="0"/>
          <w:bCs w:val="0"/>
          <w:spacing w:val="-4"/>
          <w:sz w:val="21"/>
          <w:szCs w:val="21"/>
        </w:rPr>
        <w:t xml:space="preserve">ISAPEG </w:t>
      </w:r>
      <w:r w:rsidRPr="005F1F12">
        <w:rPr>
          <w:rFonts w:ascii="Abadi" w:hAnsi="Abadi"/>
          <w:b w:val="0"/>
          <w:bCs w:val="0"/>
          <w:sz w:val="21"/>
          <w:szCs w:val="21"/>
        </w:rPr>
        <w:t>se</w:t>
      </w:r>
      <w:r w:rsidRPr="005F1F12">
        <w:rPr>
          <w:rFonts w:ascii="Abadi" w:hAnsi="Abadi"/>
          <w:b w:val="0"/>
          <w:bCs w:val="0"/>
          <w:spacing w:val="-11"/>
          <w:sz w:val="21"/>
          <w:szCs w:val="21"/>
        </w:rPr>
        <w:t xml:space="preserve"> </w:t>
      </w:r>
      <w:r w:rsidRPr="005F1F12">
        <w:rPr>
          <w:rFonts w:ascii="Abadi" w:hAnsi="Abadi"/>
          <w:b w:val="0"/>
          <w:bCs w:val="0"/>
          <w:sz w:val="21"/>
          <w:szCs w:val="21"/>
        </w:rPr>
        <w:t>reserva</w:t>
      </w:r>
      <w:r w:rsidRPr="005F1F12">
        <w:rPr>
          <w:rFonts w:ascii="Abadi" w:hAnsi="Abadi"/>
          <w:b w:val="0"/>
          <w:bCs w:val="0"/>
          <w:spacing w:val="-11"/>
          <w:sz w:val="21"/>
          <w:szCs w:val="21"/>
        </w:rPr>
        <w:t xml:space="preserve"> </w:t>
      </w:r>
      <w:r w:rsidRPr="005F1F12">
        <w:rPr>
          <w:rFonts w:ascii="Abadi" w:hAnsi="Abadi"/>
          <w:b w:val="0"/>
          <w:bCs w:val="0"/>
          <w:sz w:val="21"/>
          <w:szCs w:val="21"/>
        </w:rPr>
        <w:t>el</w:t>
      </w:r>
      <w:r w:rsidRPr="005F1F12">
        <w:rPr>
          <w:rFonts w:ascii="Abadi" w:hAnsi="Abadi"/>
          <w:b w:val="0"/>
          <w:bCs w:val="0"/>
          <w:spacing w:val="-11"/>
          <w:sz w:val="21"/>
          <w:szCs w:val="21"/>
        </w:rPr>
        <w:t xml:space="preserve"> </w:t>
      </w:r>
      <w:r w:rsidRPr="005F1F12">
        <w:rPr>
          <w:rFonts w:ascii="Abadi" w:hAnsi="Abadi"/>
          <w:b w:val="0"/>
          <w:bCs w:val="0"/>
          <w:sz w:val="21"/>
          <w:szCs w:val="21"/>
        </w:rPr>
        <w:t>derecho</w:t>
      </w:r>
      <w:r w:rsidRPr="005F1F12">
        <w:rPr>
          <w:rFonts w:ascii="Abadi" w:hAnsi="Abadi"/>
          <w:b w:val="0"/>
          <w:bCs w:val="0"/>
          <w:spacing w:val="-11"/>
          <w:sz w:val="21"/>
          <w:szCs w:val="21"/>
        </w:rPr>
        <w:t xml:space="preserve"> </w:t>
      </w:r>
      <w:r w:rsidRPr="005F1F12">
        <w:rPr>
          <w:rFonts w:ascii="Abadi" w:hAnsi="Abadi"/>
          <w:b w:val="0"/>
          <w:bCs w:val="0"/>
          <w:sz w:val="21"/>
          <w:szCs w:val="21"/>
        </w:rPr>
        <w:t>a</w:t>
      </w:r>
      <w:r w:rsidRPr="005F1F12">
        <w:rPr>
          <w:rFonts w:ascii="Abadi" w:hAnsi="Abadi"/>
          <w:b w:val="0"/>
          <w:bCs w:val="0"/>
          <w:spacing w:val="-11"/>
          <w:sz w:val="21"/>
          <w:szCs w:val="21"/>
        </w:rPr>
        <w:t xml:space="preserve"> </w:t>
      </w:r>
      <w:r w:rsidRPr="005F1F12">
        <w:rPr>
          <w:rFonts w:ascii="Abadi" w:hAnsi="Abadi"/>
          <w:b w:val="0"/>
          <w:bCs w:val="0"/>
          <w:sz w:val="21"/>
          <w:szCs w:val="21"/>
        </w:rPr>
        <w:t>dar</w:t>
      </w:r>
      <w:r w:rsidRPr="005F1F12">
        <w:rPr>
          <w:rFonts w:ascii="Abadi" w:hAnsi="Abadi"/>
          <w:b w:val="0"/>
          <w:bCs w:val="0"/>
          <w:spacing w:val="-12"/>
          <w:sz w:val="21"/>
          <w:szCs w:val="21"/>
        </w:rPr>
        <w:t xml:space="preserve"> </w:t>
      </w:r>
      <w:r w:rsidRPr="005F1F12">
        <w:rPr>
          <w:rFonts w:ascii="Abadi" w:hAnsi="Abadi"/>
          <w:b w:val="0"/>
          <w:bCs w:val="0"/>
          <w:sz w:val="21"/>
          <w:szCs w:val="21"/>
        </w:rPr>
        <w:t>por</w:t>
      </w:r>
      <w:r w:rsidRPr="005F1F12">
        <w:rPr>
          <w:rFonts w:ascii="Abadi" w:hAnsi="Abadi"/>
          <w:b w:val="0"/>
          <w:bCs w:val="0"/>
          <w:spacing w:val="-10"/>
          <w:sz w:val="21"/>
          <w:szCs w:val="21"/>
        </w:rPr>
        <w:t xml:space="preserve"> </w:t>
      </w:r>
      <w:r w:rsidRPr="005F1F12">
        <w:rPr>
          <w:rFonts w:ascii="Abadi" w:hAnsi="Abadi"/>
          <w:b w:val="0"/>
          <w:bCs w:val="0"/>
          <w:sz w:val="21"/>
          <w:szCs w:val="21"/>
        </w:rPr>
        <w:t>terminada</w:t>
      </w:r>
      <w:r w:rsidRPr="005F1F12">
        <w:rPr>
          <w:rFonts w:ascii="Abadi" w:hAnsi="Abadi"/>
          <w:b w:val="0"/>
          <w:bCs w:val="0"/>
          <w:spacing w:val="-12"/>
          <w:sz w:val="21"/>
          <w:szCs w:val="21"/>
        </w:rPr>
        <w:t xml:space="preserve"> </w:t>
      </w:r>
      <w:r w:rsidRPr="005F1F12">
        <w:rPr>
          <w:rFonts w:ascii="Abadi" w:hAnsi="Abadi"/>
          <w:b w:val="0"/>
          <w:bCs w:val="0"/>
          <w:sz w:val="21"/>
          <w:szCs w:val="21"/>
        </w:rPr>
        <w:t>la</w:t>
      </w:r>
      <w:r w:rsidRPr="005F1F12">
        <w:rPr>
          <w:rFonts w:ascii="Abadi" w:hAnsi="Abadi"/>
          <w:b w:val="0"/>
          <w:bCs w:val="0"/>
          <w:spacing w:val="-10"/>
          <w:sz w:val="21"/>
          <w:szCs w:val="21"/>
        </w:rPr>
        <w:t xml:space="preserve"> </w:t>
      </w:r>
      <w:r w:rsidRPr="005F1F12">
        <w:rPr>
          <w:rFonts w:ascii="Abadi" w:hAnsi="Abadi"/>
          <w:b w:val="0"/>
          <w:bCs w:val="0"/>
          <w:sz w:val="21"/>
          <w:szCs w:val="21"/>
        </w:rPr>
        <w:t>relación</w:t>
      </w:r>
      <w:r w:rsidRPr="005F1F12">
        <w:rPr>
          <w:rFonts w:ascii="Abadi" w:hAnsi="Abadi"/>
          <w:b w:val="0"/>
          <w:bCs w:val="0"/>
          <w:spacing w:val="-12"/>
          <w:sz w:val="21"/>
          <w:szCs w:val="21"/>
        </w:rPr>
        <w:t xml:space="preserve"> </w:t>
      </w:r>
      <w:r w:rsidRPr="005F1F12">
        <w:rPr>
          <w:rFonts w:ascii="Abadi" w:hAnsi="Abadi"/>
          <w:b w:val="0"/>
          <w:bCs w:val="0"/>
          <w:sz w:val="21"/>
          <w:szCs w:val="21"/>
        </w:rPr>
        <w:t>laboral</w:t>
      </w:r>
      <w:r w:rsidRPr="005F1F12">
        <w:rPr>
          <w:rFonts w:ascii="Abadi" w:hAnsi="Abadi"/>
          <w:b w:val="0"/>
          <w:bCs w:val="0"/>
          <w:spacing w:val="-11"/>
          <w:sz w:val="21"/>
          <w:szCs w:val="21"/>
        </w:rPr>
        <w:t xml:space="preserve"> </w:t>
      </w:r>
      <w:r w:rsidRPr="005F1F12">
        <w:rPr>
          <w:rFonts w:ascii="Abadi" w:hAnsi="Abadi"/>
          <w:b w:val="0"/>
          <w:bCs w:val="0"/>
          <w:sz w:val="21"/>
          <w:szCs w:val="21"/>
        </w:rPr>
        <w:t>si</w:t>
      </w:r>
      <w:r w:rsidRPr="005F1F12">
        <w:rPr>
          <w:rFonts w:ascii="Abadi" w:hAnsi="Abadi"/>
          <w:b w:val="0"/>
          <w:bCs w:val="0"/>
          <w:spacing w:val="-11"/>
          <w:sz w:val="21"/>
          <w:szCs w:val="21"/>
        </w:rPr>
        <w:t xml:space="preserve"> </w:t>
      </w:r>
      <w:r w:rsidRPr="005F1F12">
        <w:rPr>
          <w:rFonts w:ascii="Abadi" w:hAnsi="Abadi"/>
          <w:b w:val="0"/>
          <w:bCs w:val="0"/>
          <w:sz w:val="21"/>
          <w:szCs w:val="21"/>
        </w:rPr>
        <w:t>no</w:t>
      </w:r>
      <w:r w:rsidRPr="005F1F12">
        <w:rPr>
          <w:rFonts w:ascii="Abadi" w:hAnsi="Abadi"/>
          <w:b w:val="0"/>
          <w:bCs w:val="0"/>
          <w:spacing w:val="-11"/>
          <w:sz w:val="21"/>
          <w:szCs w:val="21"/>
        </w:rPr>
        <w:t xml:space="preserve"> </w:t>
      </w:r>
      <w:r w:rsidRPr="005F1F12">
        <w:rPr>
          <w:rFonts w:ascii="Abadi" w:hAnsi="Abadi"/>
          <w:b w:val="0"/>
          <w:bCs w:val="0"/>
          <w:sz w:val="21"/>
          <w:szCs w:val="21"/>
        </w:rPr>
        <w:t>puede</w:t>
      </w:r>
      <w:r w:rsidRPr="005F1F12">
        <w:rPr>
          <w:rFonts w:ascii="Abadi" w:hAnsi="Abadi"/>
          <w:b w:val="0"/>
          <w:bCs w:val="0"/>
          <w:spacing w:val="-12"/>
          <w:sz w:val="21"/>
          <w:szCs w:val="21"/>
        </w:rPr>
        <w:t xml:space="preserve"> </w:t>
      </w:r>
      <w:r w:rsidRPr="005F1F12">
        <w:rPr>
          <w:rFonts w:ascii="Abadi" w:hAnsi="Abadi"/>
          <w:b w:val="0"/>
          <w:bCs w:val="0"/>
          <w:sz w:val="21"/>
          <w:szCs w:val="21"/>
        </w:rPr>
        <w:t>pagar</w:t>
      </w:r>
      <w:r w:rsidRPr="005F1F12">
        <w:rPr>
          <w:rFonts w:ascii="Abadi" w:hAnsi="Abadi"/>
          <w:b w:val="0"/>
          <w:bCs w:val="0"/>
          <w:spacing w:val="-11"/>
          <w:sz w:val="21"/>
          <w:szCs w:val="21"/>
        </w:rPr>
        <w:t xml:space="preserve"> </w:t>
      </w:r>
      <w:r w:rsidRPr="005F1F12">
        <w:rPr>
          <w:rFonts w:ascii="Abadi" w:hAnsi="Abadi"/>
          <w:b w:val="0"/>
          <w:bCs w:val="0"/>
          <w:sz w:val="21"/>
          <w:szCs w:val="21"/>
        </w:rPr>
        <w:t>el sueldo</w:t>
      </w:r>
      <w:r w:rsidRPr="005F1F12">
        <w:rPr>
          <w:rFonts w:ascii="Abadi" w:hAnsi="Abadi"/>
          <w:b w:val="0"/>
          <w:bCs w:val="0"/>
          <w:spacing w:val="-15"/>
          <w:sz w:val="21"/>
          <w:szCs w:val="21"/>
        </w:rPr>
        <w:t xml:space="preserve"> </w:t>
      </w:r>
      <w:r w:rsidRPr="005F1F12">
        <w:rPr>
          <w:rFonts w:ascii="Abadi" w:hAnsi="Abadi"/>
          <w:b w:val="0"/>
          <w:bCs w:val="0"/>
          <w:sz w:val="21"/>
          <w:szCs w:val="21"/>
        </w:rPr>
        <w:t>o</w:t>
      </w:r>
      <w:r w:rsidRPr="005F1F12">
        <w:rPr>
          <w:rFonts w:ascii="Abadi" w:hAnsi="Abadi"/>
          <w:b w:val="0"/>
          <w:bCs w:val="0"/>
          <w:spacing w:val="-14"/>
          <w:sz w:val="21"/>
          <w:szCs w:val="21"/>
        </w:rPr>
        <w:t xml:space="preserve"> </w:t>
      </w:r>
      <w:r w:rsidRPr="005F1F12">
        <w:rPr>
          <w:rFonts w:ascii="Abadi" w:hAnsi="Abadi"/>
          <w:b w:val="0"/>
          <w:bCs w:val="0"/>
          <w:sz w:val="21"/>
          <w:szCs w:val="21"/>
        </w:rPr>
        <w:t>si</w:t>
      </w:r>
      <w:r w:rsidRPr="005F1F12">
        <w:rPr>
          <w:rFonts w:ascii="Abadi" w:hAnsi="Abadi"/>
          <w:b w:val="0"/>
          <w:bCs w:val="0"/>
          <w:spacing w:val="-14"/>
          <w:sz w:val="21"/>
          <w:szCs w:val="21"/>
        </w:rPr>
        <w:t xml:space="preserve"> </w:t>
      </w:r>
      <w:r w:rsidRPr="005F1F12">
        <w:rPr>
          <w:rFonts w:ascii="Abadi" w:hAnsi="Abadi"/>
          <w:b w:val="0"/>
          <w:bCs w:val="0"/>
          <w:sz w:val="21"/>
          <w:szCs w:val="21"/>
        </w:rPr>
        <w:t>se</w:t>
      </w:r>
      <w:r w:rsidRPr="005F1F12">
        <w:rPr>
          <w:rFonts w:ascii="Abadi" w:hAnsi="Abadi"/>
          <w:b w:val="0"/>
          <w:bCs w:val="0"/>
          <w:spacing w:val="-15"/>
          <w:sz w:val="21"/>
          <w:szCs w:val="21"/>
        </w:rPr>
        <w:t xml:space="preserve"> </w:t>
      </w:r>
      <w:r w:rsidRPr="005F1F12">
        <w:rPr>
          <w:rFonts w:ascii="Abadi" w:hAnsi="Abadi"/>
          <w:b w:val="0"/>
          <w:bCs w:val="0"/>
          <w:sz w:val="21"/>
          <w:szCs w:val="21"/>
        </w:rPr>
        <w:t>cumplen</w:t>
      </w:r>
      <w:r w:rsidRPr="005F1F12">
        <w:rPr>
          <w:rFonts w:ascii="Abadi" w:hAnsi="Abadi"/>
          <w:b w:val="0"/>
          <w:bCs w:val="0"/>
          <w:spacing w:val="-13"/>
          <w:sz w:val="21"/>
          <w:szCs w:val="21"/>
        </w:rPr>
        <w:t xml:space="preserve"> </w:t>
      </w:r>
      <w:r w:rsidRPr="005F1F12">
        <w:rPr>
          <w:rFonts w:ascii="Abadi" w:hAnsi="Abadi"/>
          <w:b w:val="0"/>
          <w:bCs w:val="0"/>
          <w:sz w:val="21"/>
          <w:szCs w:val="21"/>
        </w:rPr>
        <w:t>las</w:t>
      </w:r>
      <w:r w:rsidRPr="005F1F12">
        <w:rPr>
          <w:rFonts w:ascii="Abadi" w:hAnsi="Abadi"/>
          <w:b w:val="0"/>
          <w:bCs w:val="0"/>
          <w:spacing w:val="-15"/>
          <w:sz w:val="21"/>
          <w:szCs w:val="21"/>
        </w:rPr>
        <w:t xml:space="preserve"> </w:t>
      </w:r>
      <w:r w:rsidRPr="005F1F12">
        <w:rPr>
          <w:rFonts w:ascii="Abadi" w:hAnsi="Abadi"/>
          <w:b w:val="0"/>
          <w:bCs w:val="0"/>
          <w:sz w:val="21"/>
          <w:szCs w:val="21"/>
        </w:rPr>
        <w:t>metas</w:t>
      </w:r>
      <w:r w:rsidRPr="005F1F12">
        <w:rPr>
          <w:rFonts w:ascii="Abadi" w:hAnsi="Abadi"/>
          <w:b w:val="0"/>
          <w:bCs w:val="0"/>
          <w:spacing w:val="-14"/>
          <w:sz w:val="21"/>
          <w:szCs w:val="21"/>
        </w:rPr>
        <w:t xml:space="preserve"> </w:t>
      </w:r>
      <w:r w:rsidRPr="005F1F12">
        <w:rPr>
          <w:rFonts w:ascii="Abadi" w:hAnsi="Abadi"/>
          <w:b w:val="0"/>
          <w:bCs w:val="0"/>
          <w:sz w:val="21"/>
          <w:szCs w:val="21"/>
        </w:rPr>
        <w:t>de</w:t>
      </w:r>
      <w:r w:rsidRPr="005F1F12">
        <w:rPr>
          <w:rFonts w:ascii="Abadi" w:hAnsi="Abadi"/>
          <w:b w:val="0"/>
          <w:bCs w:val="0"/>
          <w:spacing w:val="-14"/>
          <w:sz w:val="21"/>
          <w:szCs w:val="21"/>
        </w:rPr>
        <w:t xml:space="preserve"> </w:t>
      </w:r>
      <w:r w:rsidRPr="005F1F12">
        <w:rPr>
          <w:rFonts w:ascii="Abadi" w:hAnsi="Abadi"/>
          <w:b w:val="0"/>
          <w:bCs w:val="0"/>
          <w:sz w:val="21"/>
          <w:szCs w:val="21"/>
        </w:rPr>
        <w:t>cada</w:t>
      </w:r>
      <w:r w:rsidRPr="005F1F12">
        <w:rPr>
          <w:rFonts w:ascii="Abadi" w:hAnsi="Abadi"/>
          <w:b w:val="0"/>
          <w:bCs w:val="0"/>
          <w:spacing w:val="-15"/>
          <w:sz w:val="21"/>
          <w:szCs w:val="21"/>
        </w:rPr>
        <w:t xml:space="preserve"> </w:t>
      </w:r>
      <w:r w:rsidRPr="005F1F12">
        <w:rPr>
          <w:rFonts w:ascii="Abadi" w:hAnsi="Abadi"/>
          <w:b w:val="0"/>
          <w:bCs w:val="0"/>
          <w:sz w:val="21"/>
          <w:szCs w:val="21"/>
        </w:rPr>
        <w:t>proyecto</w:t>
      </w:r>
      <w:r w:rsidRPr="005F1F12">
        <w:rPr>
          <w:rFonts w:ascii="Abadi" w:hAnsi="Abadi"/>
          <w:b w:val="0"/>
          <w:bCs w:val="0"/>
          <w:spacing w:val="-14"/>
          <w:sz w:val="21"/>
          <w:szCs w:val="21"/>
        </w:rPr>
        <w:t xml:space="preserve"> </w:t>
      </w:r>
      <w:r w:rsidRPr="005F1F12">
        <w:rPr>
          <w:rFonts w:ascii="Abadi" w:hAnsi="Abadi"/>
          <w:b w:val="0"/>
          <w:bCs w:val="0"/>
          <w:sz w:val="21"/>
          <w:szCs w:val="21"/>
        </w:rPr>
        <w:t>antes</w:t>
      </w:r>
      <w:r w:rsidRPr="005F1F12">
        <w:rPr>
          <w:rFonts w:ascii="Abadi" w:hAnsi="Abadi"/>
          <w:b w:val="0"/>
          <w:bCs w:val="0"/>
          <w:spacing w:val="-14"/>
          <w:sz w:val="21"/>
          <w:szCs w:val="21"/>
        </w:rPr>
        <w:t xml:space="preserve"> </w:t>
      </w:r>
      <w:r w:rsidRPr="005F1F12">
        <w:rPr>
          <w:rFonts w:ascii="Abadi" w:hAnsi="Abadi"/>
          <w:b w:val="0"/>
          <w:bCs w:val="0"/>
          <w:sz w:val="21"/>
          <w:szCs w:val="21"/>
        </w:rPr>
        <w:t>del</w:t>
      </w:r>
      <w:r w:rsidRPr="005F1F12">
        <w:rPr>
          <w:rFonts w:ascii="Abadi" w:hAnsi="Abadi"/>
          <w:b w:val="0"/>
          <w:bCs w:val="0"/>
          <w:spacing w:val="-14"/>
          <w:sz w:val="21"/>
          <w:szCs w:val="21"/>
        </w:rPr>
        <w:t xml:space="preserve"> </w:t>
      </w:r>
      <w:r w:rsidRPr="005F1F12">
        <w:rPr>
          <w:rFonts w:ascii="Abadi" w:hAnsi="Abadi"/>
          <w:b w:val="0"/>
          <w:bCs w:val="0"/>
          <w:sz w:val="21"/>
          <w:szCs w:val="21"/>
        </w:rPr>
        <w:t>periodo</w:t>
      </w:r>
      <w:r w:rsidRPr="005F1F12">
        <w:rPr>
          <w:rFonts w:ascii="Abadi" w:hAnsi="Abadi"/>
          <w:b w:val="0"/>
          <w:bCs w:val="0"/>
          <w:spacing w:val="-15"/>
          <w:sz w:val="21"/>
          <w:szCs w:val="21"/>
        </w:rPr>
        <w:t xml:space="preserve"> </w:t>
      </w:r>
      <w:r w:rsidRPr="005F1F12">
        <w:rPr>
          <w:rFonts w:ascii="Abadi" w:hAnsi="Abadi"/>
          <w:b w:val="0"/>
          <w:bCs w:val="0"/>
          <w:sz w:val="21"/>
          <w:szCs w:val="21"/>
        </w:rPr>
        <w:t>establecido</w:t>
      </w:r>
      <w:r w:rsidR="00BB484E">
        <w:rPr>
          <w:rStyle w:val="Refdenotaalpie"/>
          <w:rFonts w:ascii="Abadi" w:hAnsi="Abadi"/>
          <w:b w:val="0"/>
          <w:bCs w:val="0"/>
          <w:sz w:val="21"/>
          <w:szCs w:val="21"/>
        </w:rPr>
        <w:footnoteReference w:id="61"/>
      </w:r>
      <w:r w:rsidRPr="005F1F12">
        <w:rPr>
          <w:rFonts w:ascii="Abadi" w:hAnsi="Abadi"/>
          <w:b w:val="0"/>
          <w:bCs w:val="0"/>
          <w:sz w:val="21"/>
          <w:szCs w:val="21"/>
        </w:rPr>
        <w:t>.</w:t>
      </w:r>
    </w:p>
    <w:p w14:paraId="58541656" w14:textId="77777777" w:rsidR="009701DE" w:rsidRPr="005F1F12" w:rsidRDefault="009701DE" w:rsidP="009701DE">
      <w:pPr>
        <w:pStyle w:val="Textoindependiente"/>
        <w:rPr>
          <w:rFonts w:ascii="Abadi" w:hAnsi="Abadi"/>
          <w:b w:val="0"/>
          <w:bCs w:val="0"/>
          <w:sz w:val="21"/>
          <w:szCs w:val="21"/>
        </w:rPr>
      </w:pPr>
    </w:p>
    <w:p w14:paraId="2462609F" w14:textId="62954693" w:rsidR="002D5ED2" w:rsidRDefault="002D5ED2" w:rsidP="009701DE">
      <w:pPr>
        <w:pStyle w:val="Textoindependiente"/>
        <w:rPr>
          <w:rFonts w:ascii="Abadi" w:hAnsi="Abadi"/>
          <w:b w:val="0"/>
          <w:bCs w:val="0"/>
          <w:spacing w:val="-2"/>
          <w:sz w:val="21"/>
          <w:szCs w:val="21"/>
        </w:rPr>
      </w:pPr>
      <w:r w:rsidRPr="005F1F12">
        <w:rPr>
          <w:rFonts w:ascii="Abadi" w:hAnsi="Abadi"/>
          <w:b w:val="0"/>
          <w:bCs w:val="0"/>
          <w:sz w:val="21"/>
          <w:szCs w:val="21"/>
        </w:rPr>
        <w:t>Ante los reclamos y manifestaciones del personal de salud por la represión y la promesa</w:t>
      </w:r>
      <w:r w:rsidRPr="005F1F12">
        <w:rPr>
          <w:rFonts w:ascii="Abadi" w:hAnsi="Abadi"/>
          <w:b w:val="0"/>
          <w:bCs w:val="0"/>
          <w:spacing w:val="-7"/>
          <w:sz w:val="21"/>
          <w:szCs w:val="21"/>
        </w:rPr>
        <w:t xml:space="preserve"> </w:t>
      </w:r>
      <w:r w:rsidRPr="005F1F12">
        <w:rPr>
          <w:rFonts w:ascii="Abadi" w:hAnsi="Abadi"/>
          <w:b w:val="0"/>
          <w:bCs w:val="0"/>
          <w:sz w:val="21"/>
          <w:szCs w:val="21"/>
        </w:rPr>
        <w:t>de</w:t>
      </w:r>
      <w:r w:rsidRPr="005F1F12">
        <w:rPr>
          <w:rFonts w:ascii="Abadi" w:hAnsi="Abadi"/>
          <w:b w:val="0"/>
          <w:bCs w:val="0"/>
          <w:spacing w:val="-7"/>
          <w:sz w:val="21"/>
          <w:szCs w:val="21"/>
        </w:rPr>
        <w:t xml:space="preserve"> </w:t>
      </w:r>
      <w:r w:rsidRPr="005F1F12">
        <w:rPr>
          <w:rFonts w:ascii="Abadi" w:hAnsi="Abadi"/>
          <w:b w:val="0"/>
          <w:bCs w:val="0"/>
          <w:sz w:val="21"/>
          <w:szCs w:val="21"/>
        </w:rPr>
        <w:t>basificación</w:t>
      </w:r>
      <w:r w:rsidRPr="005F1F12">
        <w:rPr>
          <w:rFonts w:ascii="Abadi" w:hAnsi="Abadi"/>
          <w:b w:val="0"/>
          <w:bCs w:val="0"/>
          <w:spacing w:val="-7"/>
          <w:sz w:val="21"/>
          <w:szCs w:val="21"/>
        </w:rPr>
        <w:t xml:space="preserve"> </w:t>
      </w:r>
      <w:r w:rsidRPr="005F1F12">
        <w:rPr>
          <w:rFonts w:ascii="Abadi" w:hAnsi="Abadi"/>
          <w:b w:val="0"/>
          <w:bCs w:val="0"/>
          <w:sz w:val="21"/>
          <w:szCs w:val="21"/>
        </w:rPr>
        <w:t>incumplida,</w:t>
      </w:r>
      <w:r w:rsidRPr="005F1F12">
        <w:rPr>
          <w:rFonts w:ascii="Abadi" w:hAnsi="Abadi"/>
          <w:b w:val="0"/>
          <w:bCs w:val="0"/>
          <w:spacing w:val="-6"/>
          <w:sz w:val="21"/>
          <w:szCs w:val="21"/>
        </w:rPr>
        <w:t xml:space="preserve"> </w:t>
      </w:r>
      <w:r w:rsidRPr="005F1F12">
        <w:rPr>
          <w:rFonts w:ascii="Abadi" w:hAnsi="Abadi"/>
          <w:b w:val="0"/>
          <w:bCs w:val="0"/>
          <w:sz w:val="21"/>
          <w:szCs w:val="21"/>
        </w:rPr>
        <w:t>el</w:t>
      </w:r>
      <w:r w:rsidRPr="005F1F12">
        <w:rPr>
          <w:rFonts w:ascii="Abadi" w:hAnsi="Abadi"/>
          <w:b w:val="0"/>
          <w:bCs w:val="0"/>
          <w:spacing w:val="-7"/>
          <w:sz w:val="21"/>
          <w:szCs w:val="21"/>
        </w:rPr>
        <w:t xml:space="preserve"> </w:t>
      </w:r>
      <w:r w:rsidRPr="005F1F12">
        <w:rPr>
          <w:rFonts w:ascii="Abadi" w:hAnsi="Abadi"/>
          <w:b w:val="0"/>
          <w:bCs w:val="0"/>
          <w:sz w:val="21"/>
          <w:szCs w:val="21"/>
        </w:rPr>
        <w:t>Gobierno</w:t>
      </w:r>
      <w:r w:rsidRPr="005F1F12">
        <w:rPr>
          <w:rFonts w:ascii="Abadi" w:hAnsi="Abadi"/>
          <w:b w:val="0"/>
          <w:bCs w:val="0"/>
          <w:spacing w:val="-8"/>
          <w:sz w:val="21"/>
          <w:szCs w:val="21"/>
        </w:rPr>
        <w:t xml:space="preserve"> </w:t>
      </w:r>
      <w:r w:rsidRPr="005F1F12">
        <w:rPr>
          <w:rFonts w:ascii="Abadi" w:hAnsi="Abadi"/>
          <w:b w:val="0"/>
          <w:bCs w:val="0"/>
          <w:sz w:val="21"/>
          <w:szCs w:val="21"/>
        </w:rPr>
        <w:t>del</w:t>
      </w:r>
      <w:r w:rsidRPr="005F1F12">
        <w:rPr>
          <w:rFonts w:ascii="Abadi" w:hAnsi="Abadi"/>
          <w:b w:val="0"/>
          <w:bCs w:val="0"/>
          <w:spacing w:val="-7"/>
          <w:sz w:val="21"/>
          <w:szCs w:val="21"/>
        </w:rPr>
        <w:t xml:space="preserve"> </w:t>
      </w:r>
      <w:r w:rsidRPr="005F1F12">
        <w:rPr>
          <w:rFonts w:ascii="Abadi" w:hAnsi="Abadi"/>
          <w:b w:val="0"/>
          <w:bCs w:val="0"/>
          <w:sz w:val="21"/>
          <w:szCs w:val="21"/>
        </w:rPr>
        <w:t>Estado</w:t>
      </w:r>
      <w:r w:rsidRPr="005F1F12">
        <w:rPr>
          <w:rFonts w:ascii="Abadi" w:hAnsi="Abadi"/>
          <w:b w:val="0"/>
          <w:bCs w:val="0"/>
          <w:spacing w:val="-8"/>
          <w:sz w:val="21"/>
          <w:szCs w:val="21"/>
        </w:rPr>
        <w:t xml:space="preserve"> </w:t>
      </w:r>
      <w:r w:rsidRPr="005F1F12">
        <w:rPr>
          <w:rFonts w:ascii="Abadi" w:hAnsi="Abadi"/>
          <w:b w:val="0"/>
          <w:bCs w:val="0"/>
          <w:sz w:val="21"/>
          <w:szCs w:val="21"/>
        </w:rPr>
        <w:t>emitió</w:t>
      </w:r>
      <w:r w:rsidRPr="005F1F12">
        <w:rPr>
          <w:rFonts w:ascii="Abadi" w:hAnsi="Abadi"/>
          <w:b w:val="0"/>
          <w:bCs w:val="0"/>
          <w:spacing w:val="-7"/>
          <w:sz w:val="21"/>
          <w:szCs w:val="21"/>
        </w:rPr>
        <w:t xml:space="preserve"> </w:t>
      </w:r>
      <w:r w:rsidRPr="005F1F12">
        <w:rPr>
          <w:rFonts w:ascii="Abadi" w:hAnsi="Abadi"/>
          <w:b w:val="0"/>
          <w:bCs w:val="0"/>
          <w:sz w:val="21"/>
          <w:szCs w:val="21"/>
        </w:rPr>
        <w:t>un</w:t>
      </w:r>
      <w:r w:rsidRPr="005F1F12">
        <w:rPr>
          <w:rFonts w:ascii="Abadi" w:hAnsi="Abadi"/>
          <w:b w:val="0"/>
          <w:bCs w:val="0"/>
          <w:spacing w:val="-7"/>
          <w:sz w:val="21"/>
          <w:szCs w:val="21"/>
        </w:rPr>
        <w:t xml:space="preserve"> </w:t>
      </w:r>
      <w:r w:rsidRPr="005F1F12">
        <w:rPr>
          <w:rFonts w:ascii="Abadi" w:hAnsi="Abadi"/>
          <w:b w:val="0"/>
          <w:bCs w:val="0"/>
          <w:sz w:val="21"/>
          <w:szCs w:val="21"/>
        </w:rPr>
        <w:t>boletín</w:t>
      </w:r>
      <w:r w:rsidRPr="005F1F12">
        <w:rPr>
          <w:rFonts w:ascii="Abadi" w:hAnsi="Abadi"/>
          <w:b w:val="0"/>
          <w:bCs w:val="0"/>
          <w:spacing w:val="-7"/>
          <w:sz w:val="21"/>
          <w:szCs w:val="21"/>
        </w:rPr>
        <w:t xml:space="preserve"> </w:t>
      </w:r>
      <w:r w:rsidRPr="005F1F12">
        <w:rPr>
          <w:rFonts w:ascii="Abadi" w:hAnsi="Abadi"/>
          <w:b w:val="0"/>
          <w:bCs w:val="0"/>
          <w:sz w:val="21"/>
          <w:szCs w:val="21"/>
        </w:rPr>
        <w:t xml:space="preserve">de </w:t>
      </w:r>
      <w:r w:rsidRPr="005F1F12">
        <w:rPr>
          <w:rFonts w:ascii="Abadi" w:hAnsi="Abadi"/>
          <w:b w:val="0"/>
          <w:bCs w:val="0"/>
          <w:spacing w:val="-10"/>
          <w:sz w:val="21"/>
          <w:szCs w:val="21"/>
        </w:rPr>
        <w:t>prensa</w:t>
      </w:r>
      <w:r w:rsidRPr="005F1F12">
        <w:rPr>
          <w:rFonts w:ascii="Abadi" w:hAnsi="Abadi"/>
          <w:b w:val="0"/>
          <w:bCs w:val="0"/>
          <w:sz w:val="21"/>
          <w:szCs w:val="21"/>
        </w:rPr>
        <w:t xml:space="preserve"> </w:t>
      </w:r>
      <w:r w:rsidRPr="005F1F12">
        <w:rPr>
          <w:rFonts w:ascii="Abadi" w:hAnsi="Abadi"/>
          <w:b w:val="0"/>
          <w:bCs w:val="0"/>
          <w:spacing w:val="-10"/>
          <w:sz w:val="21"/>
          <w:szCs w:val="21"/>
        </w:rPr>
        <w:t>en</w:t>
      </w:r>
      <w:r w:rsidRPr="005F1F12">
        <w:rPr>
          <w:rFonts w:ascii="Abadi" w:hAnsi="Abadi"/>
          <w:b w:val="0"/>
          <w:bCs w:val="0"/>
          <w:sz w:val="21"/>
          <w:szCs w:val="21"/>
        </w:rPr>
        <w:t xml:space="preserve"> </w:t>
      </w:r>
      <w:r w:rsidRPr="005F1F12">
        <w:rPr>
          <w:rFonts w:ascii="Abadi" w:hAnsi="Abadi"/>
          <w:b w:val="0"/>
          <w:bCs w:val="0"/>
          <w:spacing w:val="-10"/>
          <w:sz w:val="21"/>
          <w:szCs w:val="21"/>
        </w:rPr>
        <w:t>el</w:t>
      </w:r>
      <w:r w:rsidRPr="005F1F12">
        <w:rPr>
          <w:rFonts w:ascii="Abadi" w:hAnsi="Abadi"/>
          <w:b w:val="0"/>
          <w:bCs w:val="0"/>
          <w:sz w:val="21"/>
          <w:szCs w:val="21"/>
        </w:rPr>
        <w:t xml:space="preserve"> </w:t>
      </w:r>
      <w:r w:rsidRPr="005F1F12">
        <w:rPr>
          <w:rFonts w:ascii="Abadi" w:hAnsi="Abadi"/>
          <w:b w:val="0"/>
          <w:bCs w:val="0"/>
          <w:spacing w:val="-10"/>
          <w:sz w:val="21"/>
          <w:szCs w:val="21"/>
        </w:rPr>
        <w:t>que</w:t>
      </w:r>
      <w:r w:rsidRPr="005F1F12">
        <w:rPr>
          <w:rFonts w:ascii="Abadi" w:hAnsi="Abadi"/>
          <w:b w:val="0"/>
          <w:bCs w:val="0"/>
          <w:sz w:val="21"/>
          <w:szCs w:val="21"/>
        </w:rPr>
        <w:t xml:space="preserve"> </w:t>
      </w:r>
      <w:r w:rsidRPr="005F1F12">
        <w:rPr>
          <w:rFonts w:ascii="Abadi" w:hAnsi="Abadi"/>
          <w:b w:val="0"/>
          <w:bCs w:val="0"/>
          <w:spacing w:val="-10"/>
          <w:sz w:val="21"/>
          <w:szCs w:val="21"/>
        </w:rPr>
        <w:t>se</w:t>
      </w:r>
      <w:r w:rsidRPr="005F1F12">
        <w:rPr>
          <w:rFonts w:ascii="Abadi" w:hAnsi="Abadi"/>
          <w:b w:val="0"/>
          <w:bCs w:val="0"/>
          <w:sz w:val="21"/>
          <w:szCs w:val="21"/>
        </w:rPr>
        <w:t xml:space="preserve"> </w:t>
      </w:r>
      <w:r w:rsidRPr="005F1F12">
        <w:rPr>
          <w:rFonts w:ascii="Abadi" w:hAnsi="Abadi"/>
          <w:b w:val="0"/>
          <w:bCs w:val="0"/>
          <w:spacing w:val="-10"/>
          <w:sz w:val="21"/>
          <w:szCs w:val="21"/>
        </w:rPr>
        <w:t>señala</w:t>
      </w:r>
      <w:r w:rsidRPr="005F1F12">
        <w:rPr>
          <w:rFonts w:ascii="Abadi" w:hAnsi="Abadi"/>
          <w:b w:val="0"/>
          <w:bCs w:val="0"/>
          <w:sz w:val="21"/>
          <w:szCs w:val="21"/>
        </w:rPr>
        <w:t xml:space="preserve"> </w:t>
      </w:r>
      <w:r w:rsidRPr="005F1F12">
        <w:rPr>
          <w:rFonts w:ascii="Abadi" w:hAnsi="Abadi"/>
          <w:b w:val="0"/>
          <w:bCs w:val="0"/>
          <w:spacing w:val="-10"/>
          <w:sz w:val="21"/>
          <w:szCs w:val="21"/>
        </w:rPr>
        <w:t>que</w:t>
      </w:r>
      <w:r w:rsidRPr="005F1F12">
        <w:rPr>
          <w:rFonts w:ascii="Abadi" w:hAnsi="Abadi"/>
          <w:b w:val="0"/>
          <w:bCs w:val="0"/>
          <w:sz w:val="21"/>
          <w:szCs w:val="21"/>
        </w:rPr>
        <w:t xml:space="preserve"> </w:t>
      </w:r>
      <w:r w:rsidRPr="005F1F12">
        <w:rPr>
          <w:rFonts w:ascii="Abadi" w:hAnsi="Abadi"/>
          <w:b w:val="0"/>
          <w:bCs w:val="0"/>
          <w:spacing w:val="-10"/>
          <w:sz w:val="21"/>
          <w:szCs w:val="21"/>
        </w:rPr>
        <w:t>el</w:t>
      </w:r>
      <w:r w:rsidRPr="005F1F12">
        <w:rPr>
          <w:rFonts w:ascii="Abadi" w:hAnsi="Abadi"/>
          <w:b w:val="0"/>
          <w:bCs w:val="0"/>
          <w:sz w:val="21"/>
          <w:szCs w:val="21"/>
        </w:rPr>
        <w:t xml:space="preserve"> </w:t>
      </w:r>
      <w:r w:rsidRPr="005F1F12">
        <w:rPr>
          <w:rFonts w:ascii="Abadi" w:hAnsi="Abadi"/>
          <w:b w:val="0"/>
          <w:bCs w:val="0"/>
          <w:spacing w:val="-10"/>
          <w:sz w:val="21"/>
          <w:szCs w:val="21"/>
        </w:rPr>
        <w:t>proceso</w:t>
      </w:r>
      <w:r w:rsidRPr="005F1F12">
        <w:rPr>
          <w:rFonts w:ascii="Abadi" w:hAnsi="Abadi"/>
          <w:b w:val="0"/>
          <w:bCs w:val="0"/>
          <w:spacing w:val="-1"/>
          <w:sz w:val="21"/>
          <w:szCs w:val="21"/>
        </w:rPr>
        <w:t xml:space="preserve"> </w:t>
      </w:r>
      <w:r w:rsidRPr="005F1F12">
        <w:rPr>
          <w:rFonts w:ascii="Abadi" w:hAnsi="Abadi"/>
          <w:b w:val="0"/>
          <w:bCs w:val="0"/>
          <w:spacing w:val="-10"/>
          <w:sz w:val="21"/>
          <w:szCs w:val="21"/>
        </w:rPr>
        <w:t>para</w:t>
      </w:r>
      <w:r w:rsidRPr="005F1F12">
        <w:rPr>
          <w:rFonts w:ascii="Abadi" w:hAnsi="Abadi"/>
          <w:b w:val="0"/>
          <w:bCs w:val="0"/>
          <w:spacing w:val="-2"/>
          <w:sz w:val="21"/>
          <w:szCs w:val="21"/>
        </w:rPr>
        <w:t xml:space="preserve"> </w:t>
      </w:r>
      <w:r w:rsidRPr="005F1F12">
        <w:rPr>
          <w:rFonts w:ascii="Abadi" w:hAnsi="Abadi"/>
          <w:b w:val="0"/>
          <w:bCs w:val="0"/>
          <w:spacing w:val="-10"/>
          <w:sz w:val="21"/>
          <w:szCs w:val="21"/>
        </w:rPr>
        <w:t>la</w:t>
      </w:r>
      <w:r w:rsidRPr="005F1F12">
        <w:rPr>
          <w:rFonts w:ascii="Abadi" w:hAnsi="Abadi"/>
          <w:b w:val="0"/>
          <w:bCs w:val="0"/>
          <w:sz w:val="21"/>
          <w:szCs w:val="21"/>
        </w:rPr>
        <w:t xml:space="preserve"> </w:t>
      </w:r>
      <w:r w:rsidRPr="005F1F12">
        <w:rPr>
          <w:rFonts w:ascii="Abadi" w:hAnsi="Abadi"/>
          <w:b w:val="0"/>
          <w:bCs w:val="0"/>
          <w:spacing w:val="-10"/>
          <w:sz w:val="21"/>
          <w:szCs w:val="21"/>
        </w:rPr>
        <w:t>entrega</w:t>
      </w:r>
      <w:r w:rsidRPr="005F1F12">
        <w:rPr>
          <w:rFonts w:ascii="Abadi" w:hAnsi="Abadi"/>
          <w:b w:val="0"/>
          <w:bCs w:val="0"/>
          <w:sz w:val="21"/>
          <w:szCs w:val="21"/>
        </w:rPr>
        <w:t xml:space="preserve"> </w:t>
      </w:r>
      <w:r w:rsidRPr="005F1F12">
        <w:rPr>
          <w:rFonts w:ascii="Abadi" w:hAnsi="Abadi"/>
          <w:b w:val="0"/>
          <w:bCs w:val="0"/>
          <w:spacing w:val="-10"/>
          <w:sz w:val="21"/>
          <w:szCs w:val="21"/>
        </w:rPr>
        <w:t>de</w:t>
      </w:r>
      <w:r w:rsidRPr="005F1F12">
        <w:rPr>
          <w:rFonts w:ascii="Abadi" w:hAnsi="Abadi"/>
          <w:b w:val="0"/>
          <w:bCs w:val="0"/>
          <w:sz w:val="21"/>
          <w:szCs w:val="21"/>
        </w:rPr>
        <w:t xml:space="preserve"> </w:t>
      </w:r>
      <w:r w:rsidRPr="005F1F12">
        <w:rPr>
          <w:rFonts w:ascii="Abadi" w:hAnsi="Abadi"/>
          <w:b w:val="0"/>
          <w:bCs w:val="0"/>
          <w:spacing w:val="-10"/>
          <w:sz w:val="21"/>
          <w:szCs w:val="21"/>
        </w:rPr>
        <w:t>plazas</w:t>
      </w:r>
      <w:r w:rsidRPr="005F1F12">
        <w:rPr>
          <w:rFonts w:ascii="Abadi" w:hAnsi="Abadi"/>
          <w:b w:val="0"/>
          <w:bCs w:val="0"/>
          <w:spacing w:val="-2"/>
          <w:sz w:val="21"/>
          <w:szCs w:val="21"/>
        </w:rPr>
        <w:t xml:space="preserve"> </w:t>
      </w:r>
      <w:r w:rsidRPr="005F1F12">
        <w:rPr>
          <w:rFonts w:ascii="Abadi" w:hAnsi="Abadi"/>
          <w:b w:val="0"/>
          <w:bCs w:val="0"/>
          <w:spacing w:val="-10"/>
          <w:sz w:val="21"/>
          <w:szCs w:val="21"/>
        </w:rPr>
        <w:t>iniciará</w:t>
      </w:r>
      <w:r w:rsidRPr="005F1F12">
        <w:rPr>
          <w:rFonts w:ascii="Abadi" w:hAnsi="Abadi"/>
          <w:b w:val="0"/>
          <w:bCs w:val="0"/>
          <w:sz w:val="21"/>
          <w:szCs w:val="21"/>
        </w:rPr>
        <w:t xml:space="preserve"> </w:t>
      </w:r>
      <w:r w:rsidRPr="005F1F12">
        <w:rPr>
          <w:rFonts w:ascii="Abadi" w:hAnsi="Abadi"/>
          <w:b w:val="0"/>
          <w:bCs w:val="0"/>
          <w:spacing w:val="-10"/>
          <w:sz w:val="21"/>
          <w:szCs w:val="21"/>
        </w:rPr>
        <w:t>el</w:t>
      </w:r>
      <w:r w:rsidRPr="005F1F12">
        <w:rPr>
          <w:rFonts w:ascii="Abadi" w:hAnsi="Abadi"/>
          <w:b w:val="0"/>
          <w:bCs w:val="0"/>
          <w:sz w:val="21"/>
          <w:szCs w:val="21"/>
        </w:rPr>
        <w:t xml:space="preserve"> </w:t>
      </w:r>
      <w:r w:rsidRPr="005F1F12">
        <w:rPr>
          <w:rFonts w:ascii="Abadi" w:hAnsi="Abadi"/>
          <w:b w:val="0"/>
          <w:bCs w:val="0"/>
          <w:spacing w:val="-10"/>
          <w:sz w:val="21"/>
          <w:szCs w:val="21"/>
        </w:rPr>
        <w:t xml:space="preserve">próximo </w:t>
      </w:r>
      <w:r w:rsidRPr="005F1F12">
        <w:rPr>
          <w:rFonts w:ascii="Abadi" w:hAnsi="Abadi"/>
          <w:b w:val="0"/>
          <w:bCs w:val="0"/>
          <w:w w:val="90"/>
          <w:sz w:val="21"/>
          <w:szCs w:val="21"/>
        </w:rPr>
        <w:t xml:space="preserve">1 de junio para todos los perfiles médicos; sin embargo, no se publicitaron los criterios </w:t>
      </w:r>
      <w:r w:rsidRPr="005F1F12">
        <w:rPr>
          <w:rFonts w:ascii="Abadi" w:hAnsi="Abadi"/>
          <w:b w:val="0"/>
          <w:bCs w:val="0"/>
          <w:spacing w:val="-2"/>
          <w:sz w:val="21"/>
          <w:szCs w:val="21"/>
        </w:rPr>
        <w:t>sobre</w:t>
      </w:r>
      <w:r w:rsidRPr="005F1F12">
        <w:rPr>
          <w:rFonts w:ascii="Abadi" w:hAnsi="Abadi"/>
          <w:b w:val="0"/>
          <w:bCs w:val="0"/>
          <w:spacing w:val="-9"/>
          <w:sz w:val="21"/>
          <w:szCs w:val="21"/>
        </w:rPr>
        <w:t xml:space="preserve"> </w:t>
      </w:r>
      <w:r w:rsidRPr="005F1F12">
        <w:rPr>
          <w:rFonts w:ascii="Abadi" w:hAnsi="Abadi"/>
          <w:b w:val="0"/>
          <w:bCs w:val="0"/>
          <w:spacing w:val="-2"/>
          <w:sz w:val="21"/>
          <w:szCs w:val="21"/>
        </w:rPr>
        <w:t>los</w:t>
      </w:r>
      <w:r w:rsidRPr="005F1F12">
        <w:rPr>
          <w:rFonts w:ascii="Abadi" w:hAnsi="Abadi"/>
          <w:b w:val="0"/>
          <w:bCs w:val="0"/>
          <w:spacing w:val="-9"/>
          <w:sz w:val="21"/>
          <w:szCs w:val="21"/>
        </w:rPr>
        <w:t xml:space="preserve"> </w:t>
      </w:r>
      <w:r w:rsidRPr="005F1F12">
        <w:rPr>
          <w:rFonts w:ascii="Abadi" w:hAnsi="Abadi"/>
          <w:b w:val="0"/>
          <w:bCs w:val="0"/>
          <w:spacing w:val="-2"/>
          <w:sz w:val="21"/>
          <w:szCs w:val="21"/>
        </w:rPr>
        <w:t>cuales</w:t>
      </w:r>
      <w:r w:rsidRPr="005F1F12">
        <w:rPr>
          <w:rFonts w:ascii="Abadi" w:hAnsi="Abadi"/>
          <w:b w:val="0"/>
          <w:bCs w:val="0"/>
          <w:spacing w:val="-8"/>
          <w:sz w:val="21"/>
          <w:szCs w:val="21"/>
        </w:rPr>
        <w:t xml:space="preserve"> </w:t>
      </w:r>
      <w:r w:rsidRPr="005F1F12">
        <w:rPr>
          <w:rFonts w:ascii="Abadi" w:hAnsi="Abadi"/>
          <w:b w:val="0"/>
          <w:bCs w:val="0"/>
          <w:spacing w:val="-2"/>
          <w:sz w:val="21"/>
          <w:szCs w:val="21"/>
        </w:rPr>
        <w:t>funcionará</w:t>
      </w:r>
      <w:r w:rsidRPr="005F1F12">
        <w:rPr>
          <w:rFonts w:ascii="Abadi" w:hAnsi="Abadi"/>
          <w:b w:val="0"/>
          <w:bCs w:val="0"/>
          <w:spacing w:val="-9"/>
          <w:sz w:val="21"/>
          <w:szCs w:val="21"/>
        </w:rPr>
        <w:t xml:space="preserve"> </w:t>
      </w:r>
      <w:r w:rsidRPr="005F1F12">
        <w:rPr>
          <w:rFonts w:ascii="Abadi" w:hAnsi="Abadi"/>
          <w:b w:val="0"/>
          <w:bCs w:val="0"/>
          <w:spacing w:val="-2"/>
          <w:sz w:val="21"/>
          <w:szCs w:val="21"/>
        </w:rPr>
        <w:t>ese</w:t>
      </w:r>
      <w:r w:rsidRPr="005F1F12">
        <w:rPr>
          <w:rFonts w:ascii="Abadi" w:hAnsi="Abadi"/>
          <w:b w:val="0"/>
          <w:bCs w:val="0"/>
          <w:spacing w:val="-8"/>
          <w:sz w:val="21"/>
          <w:szCs w:val="21"/>
        </w:rPr>
        <w:t xml:space="preserve"> </w:t>
      </w:r>
      <w:r w:rsidRPr="005F1F12">
        <w:rPr>
          <w:rFonts w:ascii="Abadi" w:hAnsi="Abadi"/>
          <w:b w:val="0"/>
          <w:bCs w:val="0"/>
          <w:spacing w:val="-2"/>
          <w:sz w:val="21"/>
          <w:szCs w:val="21"/>
        </w:rPr>
        <w:t>supuesto</w:t>
      </w:r>
      <w:r w:rsidRPr="005F1F12">
        <w:rPr>
          <w:rFonts w:ascii="Abadi" w:hAnsi="Abadi"/>
          <w:b w:val="0"/>
          <w:bCs w:val="0"/>
          <w:spacing w:val="-8"/>
          <w:sz w:val="21"/>
          <w:szCs w:val="21"/>
        </w:rPr>
        <w:t xml:space="preserve"> </w:t>
      </w:r>
      <w:r w:rsidRPr="005F1F12">
        <w:rPr>
          <w:rFonts w:ascii="Abadi" w:hAnsi="Abadi"/>
          <w:b w:val="0"/>
          <w:bCs w:val="0"/>
          <w:spacing w:val="-2"/>
          <w:sz w:val="21"/>
          <w:szCs w:val="21"/>
        </w:rPr>
        <w:t>proceso</w:t>
      </w:r>
      <w:r w:rsidRPr="005F1F12">
        <w:rPr>
          <w:rFonts w:ascii="Abadi" w:hAnsi="Abadi"/>
          <w:b w:val="0"/>
          <w:bCs w:val="0"/>
          <w:spacing w:val="-10"/>
          <w:sz w:val="21"/>
          <w:szCs w:val="21"/>
        </w:rPr>
        <w:t xml:space="preserve"> </w:t>
      </w:r>
      <w:r w:rsidRPr="005F1F12">
        <w:rPr>
          <w:rFonts w:ascii="Abadi" w:hAnsi="Abadi"/>
          <w:b w:val="0"/>
          <w:bCs w:val="0"/>
          <w:spacing w:val="-2"/>
          <w:sz w:val="21"/>
          <w:szCs w:val="21"/>
        </w:rPr>
        <w:t>de</w:t>
      </w:r>
      <w:r w:rsidRPr="005F1F12">
        <w:rPr>
          <w:rFonts w:ascii="Abadi" w:hAnsi="Abadi"/>
          <w:b w:val="0"/>
          <w:bCs w:val="0"/>
          <w:spacing w:val="-9"/>
          <w:sz w:val="21"/>
          <w:szCs w:val="21"/>
        </w:rPr>
        <w:t xml:space="preserve"> </w:t>
      </w:r>
      <w:r w:rsidRPr="005F1F12">
        <w:rPr>
          <w:rFonts w:ascii="Abadi" w:hAnsi="Abadi"/>
          <w:b w:val="0"/>
          <w:bCs w:val="0"/>
          <w:spacing w:val="-2"/>
          <w:sz w:val="21"/>
          <w:szCs w:val="21"/>
        </w:rPr>
        <w:t>basificación</w:t>
      </w:r>
      <w:r w:rsidR="00B67727">
        <w:rPr>
          <w:rFonts w:ascii="Abadi" w:hAnsi="Abadi"/>
          <w:b w:val="0"/>
          <w:bCs w:val="0"/>
          <w:spacing w:val="-2"/>
          <w:sz w:val="21"/>
          <w:szCs w:val="21"/>
        </w:rPr>
        <w:t xml:space="preserve"> </w:t>
      </w:r>
      <w:r w:rsidR="00B67727">
        <w:rPr>
          <w:rStyle w:val="Refdenotaalpie"/>
          <w:rFonts w:ascii="Abadi" w:hAnsi="Abadi"/>
          <w:b w:val="0"/>
          <w:bCs w:val="0"/>
          <w:spacing w:val="-2"/>
          <w:sz w:val="21"/>
          <w:szCs w:val="21"/>
        </w:rPr>
        <w:footnoteReference w:id="62"/>
      </w:r>
      <w:r w:rsidRPr="005F1F12">
        <w:rPr>
          <w:rFonts w:ascii="Abadi" w:hAnsi="Abadi"/>
          <w:b w:val="0"/>
          <w:bCs w:val="0"/>
          <w:spacing w:val="-2"/>
          <w:sz w:val="21"/>
          <w:szCs w:val="21"/>
        </w:rPr>
        <w:t>.</w:t>
      </w:r>
    </w:p>
    <w:p w14:paraId="38B01026" w14:textId="77777777" w:rsidR="009701DE" w:rsidRPr="005F1F12" w:rsidRDefault="009701DE" w:rsidP="009701DE">
      <w:pPr>
        <w:pStyle w:val="Textoindependiente"/>
        <w:rPr>
          <w:rFonts w:ascii="Abadi" w:hAnsi="Abadi"/>
          <w:b w:val="0"/>
          <w:bCs w:val="0"/>
          <w:sz w:val="21"/>
          <w:szCs w:val="21"/>
        </w:rPr>
      </w:pPr>
    </w:p>
    <w:p w14:paraId="3577464C" w14:textId="4FA021B6" w:rsidR="00923F42" w:rsidRPr="00923F42" w:rsidRDefault="002D5ED2" w:rsidP="00923F42">
      <w:pPr>
        <w:pStyle w:val="Textoindependiente"/>
        <w:spacing w:before="174"/>
        <w:ind w:right="142"/>
        <w:rPr>
          <w:rFonts w:ascii="Abadi" w:hAnsi="Abadi"/>
          <w:b w:val="0"/>
          <w:bCs w:val="0"/>
          <w:sz w:val="21"/>
          <w:szCs w:val="21"/>
        </w:rPr>
      </w:pPr>
      <w:r w:rsidRPr="005F1F12">
        <w:rPr>
          <w:rFonts w:ascii="Abadi" w:hAnsi="Abadi"/>
          <w:b w:val="0"/>
          <w:bCs w:val="0"/>
          <w:spacing w:val="-4"/>
          <w:sz w:val="21"/>
          <w:szCs w:val="21"/>
        </w:rPr>
        <w:t>En</w:t>
      </w:r>
      <w:r w:rsidRPr="005F1F12">
        <w:rPr>
          <w:rFonts w:ascii="Abadi" w:hAnsi="Abadi"/>
          <w:b w:val="0"/>
          <w:bCs w:val="0"/>
          <w:spacing w:val="-11"/>
          <w:sz w:val="21"/>
          <w:szCs w:val="21"/>
        </w:rPr>
        <w:t xml:space="preserve"> </w:t>
      </w:r>
      <w:r w:rsidRPr="005F1F12">
        <w:rPr>
          <w:rFonts w:ascii="Abadi" w:hAnsi="Abadi"/>
          <w:b w:val="0"/>
          <w:bCs w:val="0"/>
          <w:spacing w:val="-4"/>
          <w:sz w:val="21"/>
          <w:szCs w:val="21"/>
        </w:rPr>
        <w:t>este</w:t>
      </w:r>
      <w:r w:rsidRPr="005F1F12">
        <w:rPr>
          <w:rFonts w:ascii="Abadi" w:hAnsi="Abadi"/>
          <w:b w:val="0"/>
          <w:bCs w:val="0"/>
          <w:spacing w:val="-10"/>
          <w:sz w:val="21"/>
          <w:szCs w:val="21"/>
        </w:rPr>
        <w:t xml:space="preserve"> </w:t>
      </w:r>
      <w:r w:rsidRPr="005F1F12">
        <w:rPr>
          <w:rFonts w:ascii="Abadi" w:hAnsi="Abadi"/>
          <w:b w:val="0"/>
          <w:bCs w:val="0"/>
          <w:spacing w:val="-4"/>
          <w:sz w:val="21"/>
          <w:szCs w:val="21"/>
        </w:rPr>
        <w:t>anuncio,</w:t>
      </w:r>
      <w:r w:rsidRPr="005F1F12">
        <w:rPr>
          <w:rFonts w:ascii="Abadi" w:hAnsi="Abadi"/>
          <w:b w:val="0"/>
          <w:bCs w:val="0"/>
          <w:spacing w:val="-10"/>
          <w:sz w:val="21"/>
          <w:szCs w:val="21"/>
        </w:rPr>
        <w:t xml:space="preserve"> </w:t>
      </w:r>
      <w:r w:rsidRPr="005F1F12">
        <w:rPr>
          <w:rFonts w:ascii="Abadi" w:hAnsi="Abadi"/>
          <w:b w:val="0"/>
          <w:bCs w:val="0"/>
          <w:spacing w:val="-4"/>
          <w:sz w:val="21"/>
          <w:szCs w:val="21"/>
        </w:rPr>
        <w:t>las</w:t>
      </w:r>
      <w:r w:rsidRPr="005F1F12">
        <w:rPr>
          <w:rFonts w:ascii="Abadi" w:hAnsi="Abadi"/>
          <w:b w:val="0"/>
          <w:bCs w:val="0"/>
          <w:spacing w:val="-11"/>
          <w:sz w:val="21"/>
          <w:szCs w:val="21"/>
        </w:rPr>
        <w:t xml:space="preserve"> </w:t>
      </w:r>
      <w:r w:rsidRPr="005F1F12">
        <w:rPr>
          <w:rFonts w:ascii="Abadi" w:hAnsi="Abadi"/>
          <w:b w:val="0"/>
          <w:bCs w:val="0"/>
          <w:spacing w:val="-4"/>
          <w:sz w:val="21"/>
          <w:szCs w:val="21"/>
        </w:rPr>
        <w:t>autoridades</w:t>
      </w:r>
      <w:r w:rsidRPr="005F1F12">
        <w:rPr>
          <w:rFonts w:ascii="Abadi" w:hAnsi="Abadi"/>
          <w:b w:val="0"/>
          <w:bCs w:val="0"/>
          <w:spacing w:val="-10"/>
          <w:sz w:val="21"/>
          <w:szCs w:val="21"/>
        </w:rPr>
        <w:t xml:space="preserve"> </w:t>
      </w:r>
      <w:r w:rsidRPr="005F1F12">
        <w:rPr>
          <w:rFonts w:ascii="Abadi" w:hAnsi="Abadi"/>
          <w:b w:val="0"/>
          <w:bCs w:val="0"/>
          <w:spacing w:val="-4"/>
          <w:sz w:val="21"/>
          <w:szCs w:val="21"/>
        </w:rPr>
        <w:t>estatales</w:t>
      </w:r>
      <w:r w:rsidRPr="005F1F12">
        <w:rPr>
          <w:rFonts w:ascii="Abadi" w:hAnsi="Abadi"/>
          <w:b w:val="0"/>
          <w:bCs w:val="0"/>
          <w:spacing w:val="-10"/>
          <w:sz w:val="21"/>
          <w:szCs w:val="21"/>
        </w:rPr>
        <w:t xml:space="preserve"> </w:t>
      </w:r>
      <w:r w:rsidRPr="005F1F12">
        <w:rPr>
          <w:rFonts w:ascii="Abadi" w:hAnsi="Abadi"/>
          <w:b w:val="0"/>
          <w:bCs w:val="0"/>
          <w:spacing w:val="-4"/>
          <w:sz w:val="21"/>
          <w:szCs w:val="21"/>
        </w:rPr>
        <w:t>prometieron</w:t>
      </w:r>
      <w:r w:rsidRPr="005F1F12">
        <w:rPr>
          <w:rFonts w:ascii="Abadi" w:hAnsi="Abadi"/>
          <w:b w:val="0"/>
          <w:bCs w:val="0"/>
          <w:spacing w:val="-11"/>
          <w:sz w:val="21"/>
          <w:szCs w:val="21"/>
        </w:rPr>
        <w:t xml:space="preserve"> </w:t>
      </w:r>
      <w:r w:rsidRPr="005F1F12">
        <w:rPr>
          <w:rFonts w:ascii="Abadi" w:hAnsi="Abadi"/>
          <w:b w:val="0"/>
          <w:bCs w:val="0"/>
          <w:spacing w:val="-4"/>
          <w:sz w:val="21"/>
          <w:szCs w:val="21"/>
        </w:rPr>
        <w:t>2</w:t>
      </w:r>
      <w:r w:rsidRPr="005F1F12">
        <w:rPr>
          <w:rFonts w:ascii="Abadi" w:hAnsi="Abadi"/>
          <w:b w:val="0"/>
          <w:bCs w:val="0"/>
          <w:spacing w:val="-10"/>
          <w:sz w:val="21"/>
          <w:szCs w:val="21"/>
        </w:rPr>
        <w:t xml:space="preserve"> </w:t>
      </w:r>
      <w:r w:rsidRPr="005F1F12">
        <w:rPr>
          <w:rFonts w:ascii="Abadi" w:hAnsi="Abadi"/>
          <w:b w:val="0"/>
          <w:bCs w:val="0"/>
          <w:spacing w:val="-4"/>
          <w:sz w:val="21"/>
          <w:szCs w:val="21"/>
        </w:rPr>
        <w:t>mil</w:t>
      </w:r>
      <w:r w:rsidRPr="005F1F12">
        <w:rPr>
          <w:rFonts w:ascii="Abadi" w:hAnsi="Abadi"/>
          <w:b w:val="0"/>
          <w:bCs w:val="0"/>
          <w:spacing w:val="-10"/>
          <w:sz w:val="21"/>
          <w:szCs w:val="21"/>
        </w:rPr>
        <w:t xml:space="preserve"> </w:t>
      </w:r>
      <w:r w:rsidRPr="005F1F12">
        <w:rPr>
          <w:rFonts w:ascii="Abadi" w:hAnsi="Abadi"/>
          <w:b w:val="0"/>
          <w:bCs w:val="0"/>
          <w:spacing w:val="-4"/>
          <w:sz w:val="21"/>
          <w:szCs w:val="21"/>
        </w:rPr>
        <w:t>855</w:t>
      </w:r>
      <w:r w:rsidRPr="005F1F12">
        <w:rPr>
          <w:rFonts w:ascii="Abadi" w:hAnsi="Abadi"/>
          <w:b w:val="0"/>
          <w:bCs w:val="0"/>
          <w:spacing w:val="-11"/>
          <w:sz w:val="21"/>
          <w:szCs w:val="21"/>
        </w:rPr>
        <w:t xml:space="preserve"> </w:t>
      </w:r>
      <w:r w:rsidRPr="005F1F12">
        <w:rPr>
          <w:rFonts w:ascii="Abadi" w:hAnsi="Abadi"/>
          <w:b w:val="0"/>
          <w:bCs w:val="0"/>
          <w:spacing w:val="-4"/>
          <w:sz w:val="21"/>
          <w:szCs w:val="21"/>
        </w:rPr>
        <w:t>nuevas</w:t>
      </w:r>
      <w:r w:rsidRPr="005F1F12">
        <w:rPr>
          <w:rFonts w:ascii="Abadi" w:hAnsi="Abadi"/>
          <w:b w:val="0"/>
          <w:bCs w:val="0"/>
          <w:spacing w:val="-10"/>
          <w:sz w:val="21"/>
          <w:szCs w:val="21"/>
        </w:rPr>
        <w:t xml:space="preserve"> </w:t>
      </w:r>
      <w:r w:rsidRPr="005F1F12">
        <w:rPr>
          <w:rFonts w:ascii="Abadi" w:hAnsi="Abadi"/>
          <w:b w:val="0"/>
          <w:bCs w:val="0"/>
          <w:spacing w:val="-4"/>
          <w:sz w:val="21"/>
          <w:szCs w:val="21"/>
        </w:rPr>
        <w:t>plazas;</w:t>
      </w:r>
      <w:r w:rsidRPr="005F1F12">
        <w:rPr>
          <w:rFonts w:ascii="Abadi" w:hAnsi="Abadi"/>
          <w:b w:val="0"/>
          <w:bCs w:val="0"/>
          <w:spacing w:val="-10"/>
          <w:sz w:val="21"/>
          <w:szCs w:val="21"/>
        </w:rPr>
        <w:t xml:space="preserve"> </w:t>
      </w:r>
      <w:r w:rsidRPr="005F1F12">
        <w:rPr>
          <w:rFonts w:ascii="Abadi" w:hAnsi="Abadi"/>
          <w:b w:val="0"/>
          <w:bCs w:val="0"/>
          <w:spacing w:val="-4"/>
          <w:sz w:val="21"/>
          <w:szCs w:val="21"/>
        </w:rPr>
        <w:t xml:space="preserve">sin </w:t>
      </w:r>
      <w:r w:rsidRPr="005F1F12">
        <w:rPr>
          <w:rFonts w:ascii="Abadi" w:hAnsi="Abadi"/>
          <w:b w:val="0"/>
          <w:bCs w:val="0"/>
          <w:sz w:val="21"/>
          <w:szCs w:val="21"/>
        </w:rPr>
        <w:t xml:space="preserve">embargo, esta promesa ha resultado insuficiente para el personal de salud del </w:t>
      </w:r>
      <w:r w:rsidRPr="005F1F12">
        <w:rPr>
          <w:rFonts w:ascii="Abadi" w:hAnsi="Abadi"/>
          <w:b w:val="0"/>
          <w:bCs w:val="0"/>
          <w:spacing w:val="-6"/>
          <w:sz w:val="21"/>
          <w:szCs w:val="21"/>
        </w:rPr>
        <w:t>ISAPEG,</w:t>
      </w:r>
      <w:r w:rsidRPr="005F1F12">
        <w:rPr>
          <w:rFonts w:ascii="Abadi" w:hAnsi="Abadi"/>
          <w:b w:val="0"/>
          <w:bCs w:val="0"/>
          <w:spacing w:val="-9"/>
          <w:sz w:val="21"/>
          <w:szCs w:val="21"/>
        </w:rPr>
        <w:t xml:space="preserve"> </w:t>
      </w:r>
      <w:r w:rsidRPr="005F1F12">
        <w:rPr>
          <w:rFonts w:ascii="Abadi" w:hAnsi="Abadi"/>
          <w:b w:val="0"/>
          <w:bCs w:val="0"/>
          <w:spacing w:val="-6"/>
          <w:sz w:val="21"/>
          <w:szCs w:val="21"/>
        </w:rPr>
        <w:t>quienes</w:t>
      </w:r>
      <w:r w:rsidRPr="005F1F12">
        <w:rPr>
          <w:rFonts w:ascii="Abadi" w:hAnsi="Abadi"/>
          <w:b w:val="0"/>
          <w:bCs w:val="0"/>
          <w:spacing w:val="-8"/>
          <w:sz w:val="21"/>
          <w:szCs w:val="21"/>
        </w:rPr>
        <w:t xml:space="preserve"> </w:t>
      </w:r>
      <w:r w:rsidRPr="005F1F12">
        <w:rPr>
          <w:rFonts w:ascii="Abadi" w:hAnsi="Abadi"/>
          <w:b w:val="0"/>
          <w:bCs w:val="0"/>
          <w:spacing w:val="-6"/>
          <w:sz w:val="21"/>
          <w:szCs w:val="21"/>
        </w:rPr>
        <w:t>el</w:t>
      </w:r>
      <w:r w:rsidRPr="005F1F12">
        <w:rPr>
          <w:rFonts w:ascii="Abadi" w:hAnsi="Abadi"/>
          <w:b w:val="0"/>
          <w:bCs w:val="0"/>
          <w:spacing w:val="-8"/>
          <w:sz w:val="21"/>
          <w:szCs w:val="21"/>
        </w:rPr>
        <w:t xml:space="preserve"> </w:t>
      </w:r>
      <w:r w:rsidRPr="005F1F12">
        <w:rPr>
          <w:rFonts w:ascii="Abadi" w:hAnsi="Abadi"/>
          <w:b w:val="0"/>
          <w:bCs w:val="0"/>
          <w:spacing w:val="-6"/>
          <w:sz w:val="21"/>
          <w:szCs w:val="21"/>
        </w:rPr>
        <w:t>primero</w:t>
      </w:r>
      <w:r w:rsidRPr="005F1F12">
        <w:rPr>
          <w:rFonts w:ascii="Abadi" w:hAnsi="Abadi"/>
          <w:b w:val="0"/>
          <w:bCs w:val="0"/>
          <w:spacing w:val="-9"/>
          <w:sz w:val="21"/>
          <w:szCs w:val="21"/>
        </w:rPr>
        <w:t xml:space="preserve"> </w:t>
      </w:r>
      <w:r w:rsidRPr="005F1F12">
        <w:rPr>
          <w:rFonts w:ascii="Abadi" w:hAnsi="Abadi"/>
          <w:b w:val="0"/>
          <w:bCs w:val="0"/>
          <w:spacing w:val="-6"/>
          <w:sz w:val="21"/>
          <w:szCs w:val="21"/>
        </w:rPr>
        <w:t>de</w:t>
      </w:r>
      <w:r w:rsidRPr="005F1F12">
        <w:rPr>
          <w:rFonts w:ascii="Abadi" w:hAnsi="Abadi"/>
          <w:b w:val="0"/>
          <w:bCs w:val="0"/>
          <w:spacing w:val="-8"/>
          <w:sz w:val="21"/>
          <w:szCs w:val="21"/>
        </w:rPr>
        <w:t xml:space="preserve"> </w:t>
      </w:r>
      <w:r w:rsidRPr="005F1F12">
        <w:rPr>
          <w:rFonts w:ascii="Abadi" w:hAnsi="Abadi"/>
          <w:b w:val="0"/>
          <w:bCs w:val="0"/>
          <w:spacing w:val="-6"/>
          <w:sz w:val="21"/>
          <w:szCs w:val="21"/>
        </w:rPr>
        <w:t>mayo</w:t>
      </w:r>
      <w:r w:rsidRPr="005F1F12">
        <w:rPr>
          <w:rFonts w:ascii="Abadi" w:hAnsi="Abadi"/>
          <w:b w:val="0"/>
          <w:bCs w:val="0"/>
          <w:spacing w:val="-8"/>
          <w:sz w:val="21"/>
          <w:szCs w:val="21"/>
        </w:rPr>
        <w:t xml:space="preserve"> </w:t>
      </w:r>
      <w:r w:rsidRPr="005F1F12">
        <w:rPr>
          <w:rFonts w:ascii="Abadi" w:hAnsi="Abadi"/>
          <w:b w:val="0"/>
          <w:bCs w:val="0"/>
          <w:spacing w:val="-6"/>
          <w:sz w:val="21"/>
          <w:szCs w:val="21"/>
        </w:rPr>
        <w:t>-en</w:t>
      </w:r>
      <w:r w:rsidRPr="005F1F12">
        <w:rPr>
          <w:rFonts w:ascii="Abadi" w:hAnsi="Abadi"/>
          <w:b w:val="0"/>
          <w:bCs w:val="0"/>
          <w:spacing w:val="-9"/>
          <w:sz w:val="21"/>
          <w:szCs w:val="21"/>
        </w:rPr>
        <w:t xml:space="preserve"> </w:t>
      </w:r>
      <w:r w:rsidRPr="005F1F12">
        <w:rPr>
          <w:rFonts w:ascii="Abadi" w:hAnsi="Abadi"/>
          <w:b w:val="0"/>
          <w:bCs w:val="0"/>
          <w:spacing w:val="-6"/>
          <w:sz w:val="21"/>
          <w:szCs w:val="21"/>
        </w:rPr>
        <w:t>el</w:t>
      </w:r>
      <w:r w:rsidRPr="005F1F12">
        <w:rPr>
          <w:rFonts w:ascii="Abadi" w:hAnsi="Abadi"/>
          <w:b w:val="0"/>
          <w:bCs w:val="0"/>
          <w:spacing w:val="-8"/>
          <w:sz w:val="21"/>
          <w:szCs w:val="21"/>
        </w:rPr>
        <w:t xml:space="preserve"> </w:t>
      </w:r>
      <w:r w:rsidRPr="005F1F12">
        <w:rPr>
          <w:rFonts w:ascii="Abadi" w:hAnsi="Abadi"/>
          <w:b w:val="0"/>
          <w:bCs w:val="0"/>
          <w:spacing w:val="-6"/>
          <w:sz w:val="21"/>
          <w:szCs w:val="21"/>
        </w:rPr>
        <w:t>marco</w:t>
      </w:r>
      <w:r w:rsidRPr="005F1F12">
        <w:rPr>
          <w:rFonts w:ascii="Abadi" w:hAnsi="Abadi"/>
          <w:b w:val="0"/>
          <w:bCs w:val="0"/>
          <w:spacing w:val="-8"/>
          <w:sz w:val="21"/>
          <w:szCs w:val="21"/>
        </w:rPr>
        <w:t xml:space="preserve"> </w:t>
      </w:r>
      <w:r w:rsidRPr="005F1F12">
        <w:rPr>
          <w:rFonts w:ascii="Abadi" w:hAnsi="Abadi"/>
          <w:b w:val="0"/>
          <w:bCs w:val="0"/>
          <w:spacing w:val="-6"/>
          <w:sz w:val="21"/>
          <w:szCs w:val="21"/>
        </w:rPr>
        <w:t>del</w:t>
      </w:r>
      <w:r w:rsidRPr="005F1F12">
        <w:rPr>
          <w:rFonts w:ascii="Abadi" w:hAnsi="Abadi"/>
          <w:b w:val="0"/>
          <w:bCs w:val="0"/>
          <w:spacing w:val="-9"/>
          <w:sz w:val="21"/>
          <w:szCs w:val="21"/>
        </w:rPr>
        <w:t xml:space="preserve"> </w:t>
      </w:r>
      <w:r w:rsidRPr="005F1F12">
        <w:rPr>
          <w:rFonts w:ascii="Abadi" w:hAnsi="Abadi"/>
          <w:b w:val="0"/>
          <w:bCs w:val="0"/>
          <w:spacing w:val="-6"/>
          <w:sz w:val="21"/>
          <w:szCs w:val="21"/>
        </w:rPr>
        <w:t>día</w:t>
      </w:r>
      <w:r w:rsidRPr="005F1F12">
        <w:rPr>
          <w:rFonts w:ascii="Abadi" w:hAnsi="Abadi"/>
          <w:b w:val="0"/>
          <w:bCs w:val="0"/>
          <w:spacing w:val="-8"/>
          <w:sz w:val="21"/>
          <w:szCs w:val="21"/>
        </w:rPr>
        <w:t xml:space="preserve"> </w:t>
      </w:r>
      <w:r w:rsidRPr="005F1F12">
        <w:rPr>
          <w:rFonts w:ascii="Abadi" w:hAnsi="Abadi"/>
          <w:b w:val="0"/>
          <w:bCs w:val="0"/>
          <w:spacing w:val="-6"/>
          <w:sz w:val="21"/>
          <w:szCs w:val="21"/>
        </w:rPr>
        <w:t>del</w:t>
      </w:r>
      <w:r w:rsidRPr="005F1F12">
        <w:rPr>
          <w:rFonts w:ascii="Abadi" w:hAnsi="Abadi"/>
          <w:b w:val="0"/>
          <w:bCs w:val="0"/>
          <w:spacing w:val="-8"/>
          <w:sz w:val="21"/>
          <w:szCs w:val="21"/>
        </w:rPr>
        <w:t xml:space="preserve"> </w:t>
      </w:r>
      <w:r w:rsidRPr="005F1F12">
        <w:rPr>
          <w:rFonts w:ascii="Abadi" w:hAnsi="Abadi"/>
          <w:b w:val="0"/>
          <w:bCs w:val="0"/>
          <w:spacing w:val="-6"/>
          <w:sz w:val="21"/>
          <w:szCs w:val="21"/>
        </w:rPr>
        <w:t>trabajo-</w:t>
      </w:r>
      <w:r w:rsidRPr="005F1F12">
        <w:rPr>
          <w:rFonts w:ascii="Abadi" w:hAnsi="Abadi"/>
          <w:b w:val="0"/>
          <w:bCs w:val="0"/>
          <w:spacing w:val="-9"/>
          <w:sz w:val="21"/>
          <w:szCs w:val="21"/>
        </w:rPr>
        <w:t xml:space="preserve"> </w:t>
      </w:r>
      <w:r w:rsidRPr="005F1F12">
        <w:rPr>
          <w:rFonts w:ascii="Abadi" w:hAnsi="Abadi"/>
          <w:b w:val="0"/>
          <w:bCs w:val="0"/>
          <w:spacing w:val="-6"/>
          <w:sz w:val="21"/>
          <w:szCs w:val="21"/>
        </w:rPr>
        <w:t>llevaron</w:t>
      </w:r>
      <w:r w:rsidRPr="005F1F12">
        <w:rPr>
          <w:rFonts w:ascii="Abadi" w:hAnsi="Abadi"/>
          <w:b w:val="0"/>
          <w:bCs w:val="0"/>
          <w:spacing w:val="-8"/>
          <w:sz w:val="21"/>
          <w:szCs w:val="21"/>
        </w:rPr>
        <w:t xml:space="preserve"> </w:t>
      </w:r>
      <w:r w:rsidRPr="005F1F12">
        <w:rPr>
          <w:rFonts w:ascii="Abadi" w:hAnsi="Abadi"/>
          <w:b w:val="0"/>
          <w:bCs w:val="0"/>
          <w:spacing w:val="-6"/>
          <w:sz w:val="21"/>
          <w:szCs w:val="21"/>
        </w:rPr>
        <w:t>a</w:t>
      </w:r>
      <w:r w:rsidRPr="005F1F12">
        <w:rPr>
          <w:rFonts w:ascii="Abadi" w:hAnsi="Abadi"/>
          <w:b w:val="0"/>
          <w:bCs w:val="0"/>
          <w:spacing w:val="-8"/>
          <w:sz w:val="21"/>
          <w:szCs w:val="21"/>
        </w:rPr>
        <w:t xml:space="preserve"> </w:t>
      </w:r>
      <w:r w:rsidRPr="005F1F12">
        <w:rPr>
          <w:rFonts w:ascii="Abadi" w:hAnsi="Abadi"/>
          <w:b w:val="0"/>
          <w:bCs w:val="0"/>
          <w:spacing w:val="-6"/>
          <w:sz w:val="21"/>
          <w:szCs w:val="21"/>
        </w:rPr>
        <w:t xml:space="preserve">cabo </w:t>
      </w:r>
      <w:r w:rsidRPr="005F1F12">
        <w:rPr>
          <w:rFonts w:ascii="Abadi" w:hAnsi="Abadi"/>
          <w:b w:val="0"/>
          <w:bCs w:val="0"/>
          <w:spacing w:val="-4"/>
          <w:sz w:val="21"/>
          <w:szCs w:val="21"/>
        </w:rPr>
        <w:t>una</w:t>
      </w:r>
      <w:r w:rsidRPr="005F1F12">
        <w:rPr>
          <w:rFonts w:ascii="Abadi" w:hAnsi="Abadi"/>
          <w:b w:val="0"/>
          <w:bCs w:val="0"/>
          <w:spacing w:val="-8"/>
          <w:sz w:val="21"/>
          <w:szCs w:val="21"/>
        </w:rPr>
        <w:t xml:space="preserve"> </w:t>
      </w:r>
      <w:r w:rsidRPr="005F1F12">
        <w:rPr>
          <w:rFonts w:ascii="Abadi" w:hAnsi="Abadi"/>
          <w:b w:val="0"/>
          <w:bCs w:val="0"/>
          <w:spacing w:val="-4"/>
          <w:sz w:val="21"/>
          <w:szCs w:val="21"/>
        </w:rPr>
        <w:t>histórica</w:t>
      </w:r>
      <w:r w:rsidRPr="005F1F12">
        <w:rPr>
          <w:rFonts w:ascii="Abadi" w:hAnsi="Abadi"/>
          <w:b w:val="0"/>
          <w:bCs w:val="0"/>
          <w:spacing w:val="-7"/>
          <w:sz w:val="21"/>
          <w:szCs w:val="21"/>
        </w:rPr>
        <w:t xml:space="preserve"> </w:t>
      </w:r>
      <w:r w:rsidRPr="005F1F12">
        <w:rPr>
          <w:rFonts w:ascii="Abadi" w:hAnsi="Abadi"/>
          <w:b w:val="0"/>
          <w:bCs w:val="0"/>
          <w:spacing w:val="-4"/>
          <w:sz w:val="21"/>
          <w:szCs w:val="21"/>
        </w:rPr>
        <w:t>protesta</w:t>
      </w:r>
      <w:r w:rsidRPr="005F1F12">
        <w:rPr>
          <w:rFonts w:ascii="Abadi" w:hAnsi="Abadi"/>
          <w:b w:val="0"/>
          <w:bCs w:val="0"/>
          <w:spacing w:val="-5"/>
          <w:sz w:val="21"/>
          <w:szCs w:val="21"/>
        </w:rPr>
        <w:t xml:space="preserve"> </w:t>
      </w:r>
      <w:r w:rsidRPr="005F1F12">
        <w:rPr>
          <w:rFonts w:ascii="Abadi" w:hAnsi="Abadi"/>
          <w:b w:val="0"/>
          <w:bCs w:val="0"/>
          <w:spacing w:val="-4"/>
          <w:sz w:val="21"/>
          <w:szCs w:val="21"/>
        </w:rPr>
        <w:t>en</w:t>
      </w:r>
      <w:r w:rsidRPr="005F1F12">
        <w:rPr>
          <w:rFonts w:ascii="Abadi" w:hAnsi="Abadi"/>
          <w:b w:val="0"/>
          <w:bCs w:val="0"/>
          <w:spacing w:val="-8"/>
          <w:sz w:val="21"/>
          <w:szCs w:val="21"/>
        </w:rPr>
        <w:t xml:space="preserve"> </w:t>
      </w:r>
      <w:r w:rsidRPr="005F1F12">
        <w:rPr>
          <w:rFonts w:ascii="Abadi" w:hAnsi="Abadi"/>
          <w:b w:val="0"/>
          <w:bCs w:val="0"/>
          <w:spacing w:val="-4"/>
          <w:sz w:val="21"/>
          <w:szCs w:val="21"/>
        </w:rPr>
        <w:t>León</w:t>
      </w:r>
      <w:r w:rsidRPr="005F1F12">
        <w:rPr>
          <w:rFonts w:ascii="Abadi" w:hAnsi="Abadi"/>
          <w:b w:val="0"/>
          <w:bCs w:val="0"/>
          <w:spacing w:val="-9"/>
          <w:sz w:val="21"/>
          <w:szCs w:val="21"/>
        </w:rPr>
        <w:t xml:space="preserve"> </w:t>
      </w:r>
      <w:r w:rsidRPr="005F1F12">
        <w:rPr>
          <w:rFonts w:ascii="Abadi" w:hAnsi="Abadi"/>
          <w:b w:val="0"/>
          <w:bCs w:val="0"/>
          <w:spacing w:val="-4"/>
          <w:sz w:val="21"/>
          <w:szCs w:val="21"/>
        </w:rPr>
        <w:t>que</w:t>
      </w:r>
      <w:r w:rsidRPr="005F1F12">
        <w:rPr>
          <w:rFonts w:ascii="Abadi" w:hAnsi="Abadi"/>
          <w:b w:val="0"/>
          <w:bCs w:val="0"/>
          <w:spacing w:val="-8"/>
          <w:sz w:val="21"/>
          <w:szCs w:val="21"/>
        </w:rPr>
        <w:t xml:space="preserve"> </w:t>
      </w:r>
      <w:r w:rsidRPr="005F1F12">
        <w:rPr>
          <w:rFonts w:ascii="Abadi" w:hAnsi="Abadi"/>
          <w:b w:val="0"/>
          <w:bCs w:val="0"/>
          <w:spacing w:val="-4"/>
          <w:sz w:val="21"/>
          <w:szCs w:val="21"/>
        </w:rPr>
        <w:t>reunió</w:t>
      </w:r>
      <w:r w:rsidRPr="005F1F12">
        <w:rPr>
          <w:rFonts w:ascii="Abadi" w:hAnsi="Abadi"/>
          <w:b w:val="0"/>
          <w:bCs w:val="0"/>
          <w:spacing w:val="-9"/>
          <w:sz w:val="21"/>
          <w:szCs w:val="21"/>
        </w:rPr>
        <w:t xml:space="preserve"> </w:t>
      </w:r>
      <w:r w:rsidRPr="005F1F12">
        <w:rPr>
          <w:rFonts w:ascii="Abadi" w:hAnsi="Abadi"/>
          <w:b w:val="0"/>
          <w:bCs w:val="0"/>
          <w:spacing w:val="-4"/>
          <w:sz w:val="21"/>
          <w:szCs w:val="21"/>
        </w:rPr>
        <w:t>a</w:t>
      </w:r>
      <w:r w:rsidRPr="005F1F12">
        <w:rPr>
          <w:rFonts w:ascii="Abadi" w:hAnsi="Abadi"/>
          <w:b w:val="0"/>
          <w:bCs w:val="0"/>
          <w:spacing w:val="-7"/>
          <w:sz w:val="21"/>
          <w:szCs w:val="21"/>
        </w:rPr>
        <w:t xml:space="preserve"> </w:t>
      </w:r>
      <w:r w:rsidRPr="005F1F12">
        <w:rPr>
          <w:rFonts w:ascii="Abadi" w:hAnsi="Abadi"/>
          <w:b w:val="0"/>
          <w:bCs w:val="0"/>
          <w:spacing w:val="-4"/>
          <w:sz w:val="21"/>
          <w:szCs w:val="21"/>
        </w:rPr>
        <w:t>más</w:t>
      </w:r>
      <w:r w:rsidRPr="005F1F12">
        <w:rPr>
          <w:rFonts w:ascii="Abadi" w:hAnsi="Abadi"/>
          <w:b w:val="0"/>
          <w:bCs w:val="0"/>
          <w:spacing w:val="-8"/>
          <w:sz w:val="21"/>
          <w:szCs w:val="21"/>
        </w:rPr>
        <w:t xml:space="preserve"> </w:t>
      </w:r>
      <w:r w:rsidRPr="005F1F12">
        <w:rPr>
          <w:rFonts w:ascii="Abadi" w:hAnsi="Abadi"/>
          <w:b w:val="0"/>
          <w:bCs w:val="0"/>
          <w:spacing w:val="-4"/>
          <w:sz w:val="21"/>
          <w:szCs w:val="21"/>
        </w:rPr>
        <w:t>de</w:t>
      </w:r>
      <w:r w:rsidRPr="005F1F12">
        <w:rPr>
          <w:rFonts w:ascii="Abadi" w:hAnsi="Abadi"/>
          <w:b w:val="0"/>
          <w:bCs w:val="0"/>
          <w:spacing w:val="-9"/>
          <w:sz w:val="21"/>
          <w:szCs w:val="21"/>
        </w:rPr>
        <w:t xml:space="preserve"> </w:t>
      </w:r>
      <w:r w:rsidRPr="005F1F12">
        <w:rPr>
          <w:rFonts w:ascii="Abadi" w:hAnsi="Abadi"/>
          <w:b w:val="0"/>
          <w:bCs w:val="0"/>
          <w:spacing w:val="-4"/>
          <w:sz w:val="21"/>
          <w:szCs w:val="21"/>
        </w:rPr>
        <w:t>200</w:t>
      </w:r>
      <w:r w:rsidRPr="005F1F12">
        <w:rPr>
          <w:rFonts w:ascii="Abadi" w:hAnsi="Abadi"/>
          <w:b w:val="0"/>
          <w:bCs w:val="0"/>
          <w:spacing w:val="-9"/>
          <w:sz w:val="21"/>
          <w:szCs w:val="21"/>
        </w:rPr>
        <w:t xml:space="preserve"> </w:t>
      </w:r>
      <w:r w:rsidRPr="005F1F12">
        <w:rPr>
          <w:rFonts w:ascii="Abadi" w:hAnsi="Abadi"/>
          <w:b w:val="0"/>
          <w:bCs w:val="0"/>
          <w:spacing w:val="-4"/>
          <w:sz w:val="21"/>
          <w:szCs w:val="21"/>
        </w:rPr>
        <w:t>trabajadores</w:t>
      </w:r>
      <w:r w:rsidRPr="005F1F12">
        <w:rPr>
          <w:rFonts w:ascii="Abadi" w:hAnsi="Abadi"/>
          <w:b w:val="0"/>
          <w:bCs w:val="0"/>
          <w:spacing w:val="-8"/>
          <w:sz w:val="21"/>
          <w:szCs w:val="21"/>
        </w:rPr>
        <w:t xml:space="preserve"> </w:t>
      </w:r>
      <w:r w:rsidRPr="005F1F12">
        <w:rPr>
          <w:rFonts w:ascii="Abadi" w:hAnsi="Abadi"/>
          <w:b w:val="0"/>
          <w:bCs w:val="0"/>
          <w:spacing w:val="-4"/>
          <w:sz w:val="21"/>
          <w:szCs w:val="21"/>
        </w:rPr>
        <w:t>de</w:t>
      </w:r>
      <w:r w:rsidRPr="005F1F12">
        <w:rPr>
          <w:rFonts w:ascii="Abadi" w:hAnsi="Abadi"/>
          <w:b w:val="0"/>
          <w:bCs w:val="0"/>
          <w:spacing w:val="-9"/>
          <w:sz w:val="21"/>
          <w:szCs w:val="21"/>
        </w:rPr>
        <w:t xml:space="preserve"> </w:t>
      </w:r>
      <w:r w:rsidRPr="005F1F12">
        <w:rPr>
          <w:rFonts w:ascii="Abadi" w:hAnsi="Abadi"/>
          <w:b w:val="0"/>
          <w:bCs w:val="0"/>
          <w:spacing w:val="-4"/>
          <w:sz w:val="21"/>
          <w:szCs w:val="21"/>
        </w:rPr>
        <w:t>la</w:t>
      </w:r>
      <w:r w:rsidRPr="005F1F12">
        <w:rPr>
          <w:rFonts w:ascii="Abadi" w:hAnsi="Abadi"/>
          <w:b w:val="0"/>
          <w:bCs w:val="0"/>
          <w:spacing w:val="-8"/>
          <w:sz w:val="21"/>
          <w:szCs w:val="21"/>
        </w:rPr>
        <w:t xml:space="preserve"> </w:t>
      </w:r>
      <w:r w:rsidRPr="005F1F12">
        <w:rPr>
          <w:rFonts w:ascii="Abadi" w:hAnsi="Abadi"/>
          <w:b w:val="0"/>
          <w:bCs w:val="0"/>
          <w:spacing w:val="-4"/>
          <w:sz w:val="21"/>
          <w:szCs w:val="21"/>
        </w:rPr>
        <w:t>salud</w:t>
      </w:r>
      <w:r w:rsidRPr="005F1F12">
        <w:rPr>
          <w:rFonts w:ascii="Abadi" w:hAnsi="Abadi"/>
          <w:b w:val="0"/>
          <w:bCs w:val="0"/>
          <w:spacing w:val="-10"/>
          <w:sz w:val="21"/>
          <w:szCs w:val="21"/>
        </w:rPr>
        <w:t xml:space="preserve"> </w:t>
      </w:r>
      <w:r w:rsidRPr="005F1F12">
        <w:rPr>
          <w:rFonts w:ascii="Abadi" w:hAnsi="Abadi"/>
          <w:b w:val="0"/>
          <w:bCs w:val="0"/>
          <w:spacing w:val="-4"/>
          <w:sz w:val="21"/>
          <w:szCs w:val="21"/>
        </w:rPr>
        <w:t xml:space="preserve">de </w:t>
      </w:r>
      <w:r w:rsidRPr="005F1F12">
        <w:rPr>
          <w:rFonts w:ascii="Abadi" w:hAnsi="Abadi"/>
          <w:b w:val="0"/>
          <w:bCs w:val="0"/>
          <w:sz w:val="21"/>
          <w:szCs w:val="21"/>
        </w:rPr>
        <w:t xml:space="preserve">varios municipios de nuestro estado que respaldaron dos exigencias: 1) La </w:t>
      </w:r>
      <w:r w:rsidRPr="005F1F12">
        <w:rPr>
          <w:rFonts w:ascii="Abadi" w:hAnsi="Abadi"/>
          <w:b w:val="0"/>
          <w:bCs w:val="0"/>
          <w:spacing w:val="-2"/>
          <w:sz w:val="21"/>
          <w:szCs w:val="21"/>
        </w:rPr>
        <w:t>basificación</w:t>
      </w:r>
      <w:r w:rsidRPr="005F1F12">
        <w:rPr>
          <w:rFonts w:ascii="Abadi" w:hAnsi="Abadi"/>
          <w:b w:val="0"/>
          <w:bCs w:val="0"/>
          <w:spacing w:val="-5"/>
          <w:sz w:val="21"/>
          <w:szCs w:val="21"/>
        </w:rPr>
        <w:t xml:space="preserve"> </w:t>
      </w:r>
      <w:r w:rsidRPr="005F1F12">
        <w:rPr>
          <w:rFonts w:ascii="Abadi" w:hAnsi="Abadi"/>
          <w:b w:val="0"/>
          <w:bCs w:val="0"/>
          <w:spacing w:val="-2"/>
          <w:sz w:val="21"/>
          <w:szCs w:val="21"/>
        </w:rPr>
        <w:t>de</w:t>
      </w:r>
      <w:r w:rsidRPr="005F1F12">
        <w:rPr>
          <w:rFonts w:ascii="Abadi" w:hAnsi="Abadi"/>
          <w:b w:val="0"/>
          <w:bCs w:val="0"/>
          <w:spacing w:val="-7"/>
          <w:sz w:val="21"/>
          <w:szCs w:val="21"/>
        </w:rPr>
        <w:t xml:space="preserve"> </w:t>
      </w:r>
      <w:r w:rsidRPr="005F1F12">
        <w:rPr>
          <w:rFonts w:ascii="Abadi" w:hAnsi="Abadi"/>
          <w:b w:val="0"/>
          <w:bCs w:val="0"/>
          <w:spacing w:val="-2"/>
          <w:sz w:val="21"/>
          <w:szCs w:val="21"/>
        </w:rPr>
        <w:t>todo</w:t>
      </w:r>
      <w:r w:rsidRPr="005F1F12">
        <w:rPr>
          <w:rFonts w:ascii="Abadi" w:hAnsi="Abadi"/>
          <w:b w:val="0"/>
          <w:bCs w:val="0"/>
          <w:spacing w:val="-7"/>
          <w:sz w:val="21"/>
          <w:szCs w:val="21"/>
        </w:rPr>
        <w:t xml:space="preserve"> </w:t>
      </w:r>
      <w:r w:rsidRPr="005F1F12">
        <w:rPr>
          <w:rFonts w:ascii="Abadi" w:hAnsi="Abadi"/>
          <w:b w:val="0"/>
          <w:bCs w:val="0"/>
          <w:spacing w:val="-2"/>
          <w:sz w:val="21"/>
          <w:szCs w:val="21"/>
        </w:rPr>
        <w:t>el</w:t>
      </w:r>
      <w:r w:rsidRPr="005F1F12">
        <w:rPr>
          <w:rFonts w:ascii="Abadi" w:hAnsi="Abadi"/>
          <w:b w:val="0"/>
          <w:bCs w:val="0"/>
          <w:spacing w:val="-4"/>
          <w:sz w:val="21"/>
          <w:szCs w:val="21"/>
        </w:rPr>
        <w:t xml:space="preserve"> </w:t>
      </w:r>
      <w:r w:rsidRPr="005F1F12">
        <w:rPr>
          <w:rFonts w:ascii="Abadi" w:hAnsi="Abadi"/>
          <w:b w:val="0"/>
          <w:bCs w:val="0"/>
          <w:spacing w:val="-2"/>
          <w:sz w:val="21"/>
          <w:szCs w:val="21"/>
        </w:rPr>
        <w:t>personal</w:t>
      </w:r>
      <w:r w:rsidRPr="005F1F12">
        <w:rPr>
          <w:rFonts w:ascii="Abadi" w:hAnsi="Abadi"/>
          <w:b w:val="0"/>
          <w:bCs w:val="0"/>
          <w:spacing w:val="-4"/>
          <w:sz w:val="21"/>
          <w:szCs w:val="21"/>
        </w:rPr>
        <w:t xml:space="preserve"> </w:t>
      </w:r>
      <w:r w:rsidRPr="005F1F12">
        <w:rPr>
          <w:rFonts w:ascii="Abadi" w:hAnsi="Abadi"/>
          <w:b w:val="0"/>
          <w:bCs w:val="0"/>
          <w:spacing w:val="-2"/>
          <w:sz w:val="21"/>
          <w:szCs w:val="21"/>
        </w:rPr>
        <w:t>del</w:t>
      </w:r>
      <w:r w:rsidRPr="005F1F12">
        <w:rPr>
          <w:rFonts w:ascii="Abadi" w:hAnsi="Abadi"/>
          <w:b w:val="0"/>
          <w:bCs w:val="0"/>
          <w:spacing w:val="-6"/>
          <w:sz w:val="21"/>
          <w:szCs w:val="21"/>
        </w:rPr>
        <w:t xml:space="preserve"> </w:t>
      </w:r>
      <w:r w:rsidRPr="005F1F12">
        <w:rPr>
          <w:rFonts w:ascii="Abadi" w:hAnsi="Abadi"/>
          <w:b w:val="0"/>
          <w:bCs w:val="0"/>
          <w:spacing w:val="-2"/>
          <w:sz w:val="21"/>
          <w:szCs w:val="21"/>
        </w:rPr>
        <w:t>ISAPEG;</w:t>
      </w:r>
      <w:r w:rsidRPr="005F1F12">
        <w:rPr>
          <w:rFonts w:ascii="Abadi" w:hAnsi="Abadi"/>
          <w:b w:val="0"/>
          <w:bCs w:val="0"/>
          <w:spacing w:val="-3"/>
          <w:sz w:val="21"/>
          <w:szCs w:val="21"/>
        </w:rPr>
        <w:t xml:space="preserve"> </w:t>
      </w:r>
      <w:r w:rsidRPr="005F1F12">
        <w:rPr>
          <w:rFonts w:ascii="Abadi" w:hAnsi="Abadi"/>
          <w:b w:val="0"/>
          <w:bCs w:val="0"/>
          <w:spacing w:val="-2"/>
          <w:sz w:val="21"/>
          <w:szCs w:val="21"/>
        </w:rPr>
        <w:t>2)</w:t>
      </w:r>
      <w:r w:rsidRPr="005F1F12">
        <w:rPr>
          <w:rFonts w:ascii="Abadi" w:hAnsi="Abadi"/>
          <w:b w:val="0"/>
          <w:bCs w:val="0"/>
          <w:spacing w:val="-5"/>
          <w:sz w:val="21"/>
          <w:szCs w:val="21"/>
        </w:rPr>
        <w:t xml:space="preserve"> </w:t>
      </w:r>
      <w:r w:rsidRPr="005F1F12">
        <w:rPr>
          <w:rFonts w:ascii="Abadi" w:hAnsi="Abadi"/>
          <w:b w:val="0"/>
          <w:bCs w:val="0"/>
          <w:spacing w:val="-2"/>
          <w:sz w:val="21"/>
          <w:szCs w:val="21"/>
        </w:rPr>
        <w:t>la</w:t>
      </w:r>
      <w:r w:rsidRPr="005F1F12">
        <w:rPr>
          <w:rFonts w:ascii="Abadi" w:hAnsi="Abadi"/>
          <w:b w:val="0"/>
          <w:bCs w:val="0"/>
          <w:spacing w:val="-7"/>
          <w:sz w:val="21"/>
          <w:szCs w:val="21"/>
        </w:rPr>
        <w:t xml:space="preserve"> </w:t>
      </w:r>
      <w:r w:rsidRPr="005F1F12">
        <w:rPr>
          <w:rFonts w:ascii="Abadi" w:hAnsi="Abadi"/>
          <w:b w:val="0"/>
          <w:bCs w:val="0"/>
          <w:spacing w:val="-2"/>
          <w:sz w:val="21"/>
          <w:szCs w:val="21"/>
        </w:rPr>
        <w:t>reinstalación</w:t>
      </w:r>
      <w:r w:rsidRPr="005F1F12">
        <w:rPr>
          <w:rFonts w:ascii="Abadi" w:hAnsi="Abadi"/>
          <w:b w:val="0"/>
          <w:bCs w:val="0"/>
          <w:spacing w:val="-5"/>
          <w:sz w:val="21"/>
          <w:szCs w:val="21"/>
        </w:rPr>
        <w:t xml:space="preserve"> </w:t>
      </w:r>
      <w:r w:rsidRPr="005F1F12">
        <w:rPr>
          <w:rFonts w:ascii="Abadi" w:hAnsi="Abadi"/>
          <w:b w:val="0"/>
          <w:bCs w:val="0"/>
          <w:spacing w:val="-2"/>
          <w:sz w:val="21"/>
          <w:szCs w:val="21"/>
        </w:rPr>
        <w:t>de</w:t>
      </w:r>
      <w:r w:rsidRPr="005F1F12">
        <w:rPr>
          <w:rFonts w:ascii="Abadi" w:hAnsi="Abadi"/>
          <w:b w:val="0"/>
          <w:bCs w:val="0"/>
          <w:spacing w:val="-4"/>
          <w:sz w:val="21"/>
          <w:szCs w:val="21"/>
        </w:rPr>
        <w:t xml:space="preserve"> </w:t>
      </w:r>
      <w:r w:rsidRPr="005F1F12">
        <w:rPr>
          <w:rFonts w:ascii="Abadi" w:hAnsi="Abadi"/>
          <w:b w:val="0"/>
          <w:bCs w:val="0"/>
          <w:spacing w:val="-2"/>
          <w:sz w:val="21"/>
          <w:szCs w:val="21"/>
        </w:rPr>
        <w:t>Erick</w:t>
      </w:r>
      <w:r w:rsidRPr="005F1F12">
        <w:rPr>
          <w:rFonts w:ascii="Abadi" w:hAnsi="Abadi"/>
          <w:b w:val="0"/>
          <w:bCs w:val="0"/>
          <w:spacing w:val="-5"/>
          <w:sz w:val="21"/>
          <w:szCs w:val="21"/>
        </w:rPr>
        <w:t xml:space="preserve"> </w:t>
      </w:r>
      <w:r w:rsidRPr="005F1F12">
        <w:rPr>
          <w:rFonts w:ascii="Abadi" w:hAnsi="Abadi"/>
          <w:b w:val="0"/>
          <w:bCs w:val="0"/>
          <w:spacing w:val="-2"/>
          <w:sz w:val="21"/>
          <w:szCs w:val="21"/>
        </w:rPr>
        <w:t>Moreno</w:t>
      </w:r>
      <w:r w:rsidRPr="005F1F12">
        <w:rPr>
          <w:rFonts w:ascii="Abadi" w:hAnsi="Abadi"/>
          <w:b w:val="0"/>
          <w:bCs w:val="0"/>
          <w:spacing w:val="-7"/>
          <w:sz w:val="21"/>
          <w:szCs w:val="21"/>
        </w:rPr>
        <w:t xml:space="preserve"> </w:t>
      </w:r>
      <w:r w:rsidRPr="00923F42">
        <w:rPr>
          <w:rFonts w:ascii="Abadi" w:hAnsi="Abadi"/>
          <w:b w:val="0"/>
          <w:bCs w:val="0"/>
          <w:spacing w:val="-10"/>
          <w:sz w:val="21"/>
          <w:szCs w:val="21"/>
        </w:rPr>
        <w:t>y</w:t>
      </w:r>
      <w:r w:rsidR="00923F42" w:rsidRPr="00923F42">
        <w:rPr>
          <w:rFonts w:ascii="Abadi" w:hAnsi="Abadi"/>
          <w:b w:val="0"/>
          <w:bCs w:val="0"/>
          <w:spacing w:val="-10"/>
          <w:sz w:val="21"/>
          <w:szCs w:val="21"/>
        </w:rPr>
        <w:t xml:space="preserve"> </w:t>
      </w:r>
      <w:r w:rsidR="00923F42" w:rsidRPr="00923F42">
        <w:rPr>
          <w:rFonts w:ascii="Abadi" w:hAnsi="Abadi"/>
          <w:b w:val="0"/>
          <w:bCs w:val="0"/>
          <w:sz w:val="21"/>
          <w:szCs w:val="21"/>
        </w:rPr>
        <w:t>Beatriz Pérez en el área de enfermería del Pediátrico de León de donde fueron despedidos</w:t>
      </w:r>
      <w:r w:rsidR="00923F42" w:rsidRPr="00923F42">
        <w:rPr>
          <w:rFonts w:ascii="Abadi" w:hAnsi="Abadi"/>
          <w:b w:val="0"/>
          <w:bCs w:val="0"/>
          <w:spacing w:val="-15"/>
          <w:sz w:val="21"/>
          <w:szCs w:val="21"/>
        </w:rPr>
        <w:t xml:space="preserve"> </w:t>
      </w:r>
      <w:r w:rsidR="00923F42" w:rsidRPr="00923F42">
        <w:rPr>
          <w:rFonts w:ascii="Abadi" w:hAnsi="Abadi"/>
          <w:b w:val="0"/>
          <w:bCs w:val="0"/>
          <w:sz w:val="21"/>
          <w:szCs w:val="21"/>
        </w:rPr>
        <w:t>injustamente</w:t>
      </w:r>
      <w:r w:rsidR="00371ECD">
        <w:rPr>
          <w:rStyle w:val="Refdenotaalpie"/>
          <w:rFonts w:ascii="Abadi" w:hAnsi="Abadi"/>
          <w:b w:val="0"/>
          <w:bCs w:val="0"/>
          <w:sz w:val="21"/>
          <w:szCs w:val="21"/>
        </w:rPr>
        <w:footnoteReference w:id="63"/>
      </w:r>
      <w:r w:rsidR="00923F42" w:rsidRPr="00923F42">
        <w:rPr>
          <w:rFonts w:ascii="Abadi" w:hAnsi="Abadi"/>
          <w:b w:val="0"/>
          <w:bCs w:val="0"/>
          <w:sz w:val="21"/>
          <w:szCs w:val="21"/>
        </w:rPr>
        <w:t>.</w:t>
      </w:r>
    </w:p>
    <w:p w14:paraId="3BD09B7D" w14:textId="03C283E7" w:rsidR="00923F42" w:rsidRPr="00923F42" w:rsidRDefault="00923F42" w:rsidP="00923F42">
      <w:pPr>
        <w:pStyle w:val="Textoindependiente"/>
        <w:spacing w:before="237"/>
        <w:rPr>
          <w:rFonts w:ascii="Abadi" w:hAnsi="Abadi"/>
          <w:b w:val="0"/>
          <w:bCs w:val="0"/>
          <w:sz w:val="21"/>
          <w:szCs w:val="21"/>
        </w:rPr>
      </w:pPr>
      <w:r w:rsidRPr="00923F42">
        <w:rPr>
          <w:rFonts w:ascii="Abadi" w:hAnsi="Abadi"/>
          <w:b w:val="0"/>
          <w:bCs w:val="0"/>
          <w:sz w:val="21"/>
          <w:szCs w:val="21"/>
        </w:rPr>
        <w:t xml:space="preserve">Ante esta exigencia, el Secretario de Salud de Guanajuato, Daniel Díaz Martínez, únicamente ha señalado que el primero de junio se darán 1,875 bases para </w:t>
      </w:r>
      <w:r w:rsidRPr="00923F42">
        <w:rPr>
          <w:rFonts w:ascii="Abadi" w:hAnsi="Abadi"/>
          <w:b w:val="0"/>
          <w:bCs w:val="0"/>
          <w:spacing w:val="-6"/>
          <w:sz w:val="21"/>
          <w:szCs w:val="21"/>
        </w:rPr>
        <w:t>trabajadores</w:t>
      </w:r>
      <w:r w:rsidRPr="00923F42">
        <w:rPr>
          <w:rFonts w:ascii="Abadi" w:hAnsi="Abadi"/>
          <w:b w:val="0"/>
          <w:bCs w:val="0"/>
          <w:spacing w:val="-9"/>
          <w:sz w:val="21"/>
          <w:szCs w:val="21"/>
        </w:rPr>
        <w:t xml:space="preserve"> </w:t>
      </w:r>
      <w:r w:rsidRPr="00923F42">
        <w:rPr>
          <w:rFonts w:ascii="Abadi" w:hAnsi="Abadi"/>
          <w:b w:val="0"/>
          <w:bCs w:val="0"/>
          <w:spacing w:val="-6"/>
          <w:sz w:val="21"/>
          <w:szCs w:val="21"/>
        </w:rPr>
        <w:t>del</w:t>
      </w:r>
      <w:r w:rsidRPr="00923F42">
        <w:rPr>
          <w:rFonts w:ascii="Abadi" w:hAnsi="Abadi"/>
          <w:b w:val="0"/>
          <w:bCs w:val="0"/>
          <w:spacing w:val="-8"/>
          <w:sz w:val="21"/>
          <w:szCs w:val="21"/>
        </w:rPr>
        <w:t xml:space="preserve"> </w:t>
      </w:r>
      <w:r w:rsidRPr="00923F42">
        <w:rPr>
          <w:rFonts w:ascii="Abadi" w:hAnsi="Abadi"/>
          <w:b w:val="0"/>
          <w:bCs w:val="0"/>
          <w:spacing w:val="-6"/>
          <w:sz w:val="21"/>
          <w:szCs w:val="21"/>
        </w:rPr>
        <w:t>ISAPEG</w:t>
      </w:r>
      <w:r w:rsidRPr="00923F42">
        <w:rPr>
          <w:rFonts w:ascii="Abadi" w:hAnsi="Abadi"/>
          <w:b w:val="0"/>
          <w:bCs w:val="0"/>
          <w:spacing w:val="-8"/>
          <w:sz w:val="21"/>
          <w:szCs w:val="21"/>
        </w:rPr>
        <w:t xml:space="preserve"> </w:t>
      </w:r>
      <w:r w:rsidRPr="00923F42">
        <w:rPr>
          <w:rFonts w:ascii="Abadi" w:hAnsi="Abadi"/>
          <w:b w:val="0"/>
          <w:bCs w:val="0"/>
          <w:spacing w:val="-6"/>
          <w:sz w:val="21"/>
          <w:szCs w:val="21"/>
        </w:rPr>
        <w:t>que</w:t>
      </w:r>
      <w:r w:rsidRPr="00923F42">
        <w:rPr>
          <w:rFonts w:ascii="Abadi" w:hAnsi="Abadi"/>
          <w:b w:val="0"/>
          <w:bCs w:val="0"/>
          <w:spacing w:val="-9"/>
          <w:sz w:val="21"/>
          <w:szCs w:val="21"/>
        </w:rPr>
        <w:t xml:space="preserve"> </w:t>
      </w:r>
      <w:r w:rsidRPr="00923F42">
        <w:rPr>
          <w:rFonts w:ascii="Abadi" w:hAnsi="Abadi"/>
          <w:b w:val="0"/>
          <w:bCs w:val="0"/>
          <w:spacing w:val="-6"/>
          <w:sz w:val="21"/>
          <w:szCs w:val="21"/>
        </w:rPr>
        <w:t>tienen</w:t>
      </w:r>
      <w:r w:rsidRPr="00923F42">
        <w:rPr>
          <w:rFonts w:ascii="Abadi" w:hAnsi="Abadi"/>
          <w:b w:val="0"/>
          <w:bCs w:val="0"/>
          <w:spacing w:val="-8"/>
          <w:sz w:val="21"/>
          <w:szCs w:val="21"/>
        </w:rPr>
        <w:t xml:space="preserve"> </w:t>
      </w:r>
      <w:r w:rsidRPr="00923F42">
        <w:rPr>
          <w:rFonts w:ascii="Abadi" w:hAnsi="Abadi"/>
          <w:b w:val="0"/>
          <w:bCs w:val="0"/>
          <w:spacing w:val="-6"/>
          <w:sz w:val="21"/>
          <w:szCs w:val="21"/>
        </w:rPr>
        <w:t>más</w:t>
      </w:r>
      <w:r w:rsidRPr="00923F42">
        <w:rPr>
          <w:rFonts w:ascii="Abadi" w:hAnsi="Abadi"/>
          <w:b w:val="0"/>
          <w:bCs w:val="0"/>
          <w:spacing w:val="-8"/>
          <w:sz w:val="21"/>
          <w:szCs w:val="21"/>
        </w:rPr>
        <w:t xml:space="preserve"> </w:t>
      </w:r>
      <w:r w:rsidRPr="00923F42">
        <w:rPr>
          <w:rFonts w:ascii="Abadi" w:hAnsi="Abadi"/>
          <w:b w:val="0"/>
          <w:bCs w:val="0"/>
          <w:spacing w:val="-6"/>
          <w:sz w:val="21"/>
          <w:szCs w:val="21"/>
        </w:rPr>
        <w:t>de</w:t>
      </w:r>
      <w:r w:rsidRPr="00923F42">
        <w:rPr>
          <w:rFonts w:ascii="Abadi" w:hAnsi="Abadi"/>
          <w:b w:val="0"/>
          <w:bCs w:val="0"/>
          <w:spacing w:val="-9"/>
          <w:sz w:val="21"/>
          <w:szCs w:val="21"/>
        </w:rPr>
        <w:t xml:space="preserve"> </w:t>
      </w:r>
      <w:r w:rsidRPr="00923F42">
        <w:rPr>
          <w:rFonts w:ascii="Abadi" w:hAnsi="Abadi"/>
          <w:b w:val="0"/>
          <w:bCs w:val="0"/>
          <w:spacing w:val="-6"/>
          <w:sz w:val="21"/>
          <w:szCs w:val="21"/>
        </w:rPr>
        <w:t>8</w:t>
      </w:r>
      <w:r w:rsidRPr="00923F42">
        <w:rPr>
          <w:rFonts w:ascii="Abadi" w:hAnsi="Abadi"/>
          <w:b w:val="0"/>
          <w:bCs w:val="0"/>
          <w:spacing w:val="-8"/>
          <w:sz w:val="21"/>
          <w:szCs w:val="21"/>
        </w:rPr>
        <w:t xml:space="preserve"> </w:t>
      </w:r>
      <w:r w:rsidRPr="00923F42">
        <w:rPr>
          <w:rFonts w:ascii="Abadi" w:hAnsi="Abadi"/>
          <w:b w:val="0"/>
          <w:bCs w:val="0"/>
          <w:spacing w:val="-6"/>
          <w:sz w:val="21"/>
          <w:szCs w:val="21"/>
        </w:rPr>
        <w:t>años</w:t>
      </w:r>
      <w:r w:rsidRPr="00923F42">
        <w:rPr>
          <w:rFonts w:ascii="Abadi" w:hAnsi="Abadi"/>
          <w:b w:val="0"/>
          <w:bCs w:val="0"/>
          <w:spacing w:val="-8"/>
          <w:sz w:val="21"/>
          <w:szCs w:val="21"/>
        </w:rPr>
        <w:t xml:space="preserve"> </w:t>
      </w:r>
      <w:r w:rsidRPr="00923F42">
        <w:rPr>
          <w:rFonts w:ascii="Abadi" w:hAnsi="Abadi"/>
          <w:b w:val="0"/>
          <w:bCs w:val="0"/>
          <w:spacing w:val="-6"/>
          <w:sz w:val="21"/>
          <w:szCs w:val="21"/>
        </w:rPr>
        <w:t>laborando</w:t>
      </w:r>
      <w:r w:rsidRPr="00923F42">
        <w:rPr>
          <w:rFonts w:ascii="Abadi" w:hAnsi="Abadi"/>
          <w:b w:val="0"/>
          <w:bCs w:val="0"/>
          <w:spacing w:val="-9"/>
          <w:sz w:val="21"/>
          <w:szCs w:val="21"/>
        </w:rPr>
        <w:t xml:space="preserve"> </w:t>
      </w:r>
      <w:r w:rsidRPr="00923F42">
        <w:rPr>
          <w:rFonts w:ascii="Abadi" w:hAnsi="Abadi"/>
          <w:b w:val="0"/>
          <w:bCs w:val="0"/>
          <w:spacing w:val="-6"/>
          <w:sz w:val="21"/>
          <w:szCs w:val="21"/>
        </w:rPr>
        <w:t>sin</w:t>
      </w:r>
      <w:r w:rsidRPr="00923F42">
        <w:rPr>
          <w:rFonts w:ascii="Abadi" w:hAnsi="Abadi"/>
          <w:b w:val="0"/>
          <w:bCs w:val="0"/>
          <w:spacing w:val="-8"/>
          <w:sz w:val="21"/>
          <w:szCs w:val="21"/>
        </w:rPr>
        <w:t xml:space="preserve"> </w:t>
      </w:r>
      <w:r w:rsidRPr="00923F42">
        <w:rPr>
          <w:rFonts w:ascii="Abadi" w:hAnsi="Abadi"/>
          <w:b w:val="0"/>
          <w:bCs w:val="0"/>
          <w:spacing w:val="-6"/>
          <w:sz w:val="21"/>
          <w:szCs w:val="21"/>
        </w:rPr>
        <w:t>plaza</w:t>
      </w:r>
      <w:r w:rsidRPr="00923F42">
        <w:rPr>
          <w:rFonts w:ascii="Abadi" w:hAnsi="Abadi"/>
          <w:b w:val="0"/>
          <w:bCs w:val="0"/>
          <w:spacing w:val="-8"/>
          <w:sz w:val="21"/>
          <w:szCs w:val="21"/>
        </w:rPr>
        <w:t xml:space="preserve"> </w:t>
      </w:r>
      <w:r w:rsidRPr="00923F42">
        <w:rPr>
          <w:rFonts w:ascii="Abadi" w:hAnsi="Abadi"/>
          <w:b w:val="0"/>
          <w:bCs w:val="0"/>
          <w:spacing w:val="-6"/>
          <w:sz w:val="21"/>
          <w:szCs w:val="21"/>
        </w:rPr>
        <w:lastRenderedPageBreak/>
        <w:t xml:space="preserve">presupuestal, </w:t>
      </w:r>
      <w:r w:rsidRPr="00923F42">
        <w:rPr>
          <w:rFonts w:ascii="Abadi" w:hAnsi="Abadi"/>
          <w:b w:val="0"/>
          <w:bCs w:val="0"/>
          <w:sz w:val="21"/>
          <w:szCs w:val="21"/>
        </w:rPr>
        <w:t>que</w:t>
      </w:r>
      <w:r w:rsidRPr="00923F42">
        <w:rPr>
          <w:rFonts w:ascii="Abadi" w:hAnsi="Abadi"/>
          <w:b w:val="0"/>
          <w:bCs w:val="0"/>
          <w:spacing w:val="-14"/>
          <w:sz w:val="21"/>
          <w:szCs w:val="21"/>
        </w:rPr>
        <w:t xml:space="preserve"> </w:t>
      </w:r>
      <w:r w:rsidRPr="00923F42">
        <w:rPr>
          <w:rFonts w:ascii="Abadi" w:hAnsi="Abadi"/>
          <w:b w:val="0"/>
          <w:bCs w:val="0"/>
          <w:sz w:val="21"/>
          <w:szCs w:val="21"/>
        </w:rPr>
        <w:t>es</w:t>
      </w:r>
      <w:r w:rsidRPr="00923F42">
        <w:rPr>
          <w:rFonts w:ascii="Abadi" w:hAnsi="Abadi"/>
          <w:b w:val="0"/>
          <w:bCs w:val="0"/>
          <w:spacing w:val="-14"/>
          <w:sz w:val="21"/>
          <w:szCs w:val="21"/>
        </w:rPr>
        <w:t xml:space="preserve"> </w:t>
      </w:r>
      <w:r w:rsidRPr="00923F42">
        <w:rPr>
          <w:rFonts w:ascii="Abadi" w:hAnsi="Abadi"/>
          <w:b w:val="0"/>
          <w:bCs w:val="0"/>
          <w:sz w:val="21"/>
          <w:szCs w:val="21"/>
        </w:rPr>
        <w:t>lo</w:t>
      </w:r>
      <w:r w:rsidRPr="00923F42">
        <w:rPr>
          <w:rFonts w:ascii="Abadi" w:hAnsi="Abadi"/>
          <w:b w:val="0"/>
          <w:bCs w:val="0"/>
          <w:spacing w:val="-14"/>
          <w:sz w:val="21"/>
          <w:szCs w:val="21"/>
        </w:rPr>
        <w:t xml:space="preserve"> </w:t>
      </w:r>
      <w:r w:rsidRPr="00923F42">
        <w:rPr>
          <w:rFonts w:ascii="Abadi" w:hAnsi="Abadi"/>
          <w:b w:val="0"/>
          <w:bCs w:val="0"/>
          <w:sz w:val="21"/>
          <w:szCs w:val="21"/>
        </w:rPr>
        <w:t>que</w:t>
      </w:r>
      <w:r w:rsidRPr="00923F42">
        <w:rPr>
          <w:rFonts w:ascii="Abadi" w:hAnsi="Abadi"/>
          <w:b w:val="0"/>
          <w:bCs w:val="0"/>
          <w:spacing w:val="-12"/>
          <w:sz w:val="21"/>
          <w:szCs w:val="21"/>
        </w:rPr>
        <w:t xml:space="preserve"> </w:t>
      </w:r>
      <w:r w:rsidRPr="00923F42">
        <w:rPr>
          <w:rFonts w:ascii="Abadi" w:hAnsi="Abadi"/>
          <w:b w:val="0"/>
          <w:bCs w:val="0"/>
          <w:sz w:val="21"/>
          <w:szCs w:val="21"/>
        </w:rPr>
        <w:t>permite</w:t>
      </w:r>
      <w:r w:rsidRPr="00923F42">
        <w:rPr>
          <w:rFonts w:ascii="Abadi" w:hAnsi="Abadi"/>
          <w:b w:val="0"/>
          <w:bCs w:val="0"/>
          <w:spacing w:val="-14"/>
          <w:sz w:val="21"/>
          <w:szCs w:val="21"/>
        </w:rPr>
        <w:t xml:space="preserve"> </w:t>
      </w:r>
      <w:r w:rsidRPr="00923F42">
        <w:rPr>
          <w:rFonts w:ascii="Abadi" w:hAnsi="Abadi"/>
          <w:b w:val="0"/>
          <w:bCs w:val="0"/>
          <w:sz w:val="21"/>
          <w:szCs w:val="21"/>
        </w:rPr>
        <w:t>la</w:t>
      </w:r>
      <w:r w:rsidRPr="00923F42">
        <w:rPr>
          <w:rFonts w:ascii="Abadi" w:hAnsi="Abadi"/>
          <w:b w:val="0"/>
          <w:bCs w:val="0"/>
          <w:spacing w:val="-14"/>
          <w:sz w:val="21"/>
          <w:szCs w:val="21"/>
        </w:rPr>
        <w:t xml:space="preserve"> </w:t>
      </w:r>
      <w:r w:rsidRPr="00923F42">
        <w:rPr>
          <w:rFonts w:ascii="Abadi" w:hAnsi="Abadi"/>
          <w:b w:val="0"/>
          <w:bCs w:val="0"/>
          <w:sz w:val="21"/>
          <w:szCs w:val="21"/>
        </w:rPr>
        <w:t>Ley</w:t>
      </w:r>
      <w:r w:rsidRPr="00923F42">
        <w:rPr>
          <w:rFonts w:ascii="Abadi" w:hAnsi="Abadi"/>
          <w:b w:val="0"/>
          <w:bCs w:val="0"/>
          <w:spacing w:val="-13"/>
          <w:sz w:val="21"/>
          <w:szCs w:val="21"/>
        </w:rPr>
        <w:t xml:space="preserve"> </w:t>
      </w:r>
      <w:r w:rsidRPr="00923F42">
        <w:rPr>
          <w:rFonts w:ascii="Abadi" w:hAnsi="Abadi"/>
          <w:b w:val="0"/>
          <w:bCs w:val="0"/>
          <w:sz w:val="21"/>
          <w:szCs w:val="21"/>
        </w:rPr>
        <w:t>de</w:t>
      </w:r>
      <w:r w:rsidRPr="00923F42">
        <w:rPr>
          <w:rFonts w:ascii="Abadi" w:hAnsi="Abadi"/>
          <w:b w:val="0"/>
          <w:bCs w:val="0"/>
          <w:spacing w:val="-14"/>
          <w:sz w:val="21"/>
          <w:szCs w:val="21"/>
        </w:rPr>
        <w:t xml:space="preserve"> </w:t>
      </w:r>
      <w:r w:rsidRPr="00923F42">
        <w:rPr>
          <w:rFonts w:ascii="Abadi" w:hAnsi="Abadi"/>
          <w:b w:val="0"/>
          <w:bCs w:val="0"/>
          <w:sz w:val="21"/>
          <w:szCs w:val="21"/>
        </w:rPr>
        <w:t>Disciplina</w:t>
      </w:r>
      <w:r w:rsidRPr="00923F42">
        <w:rPr>
          <w:rFonts w:ascii="Abadi" w:hAnsi="Abadi"/>
          <w:b w:val="0"/>
          <w:bCs w:val="0"/>
          <w:spacing w:val="-14"/>
          <w:sz w:val="21"/>
          <w:szCs w:val="21"/>
        </w:rPr>
        <w:t xml:space="preserve"> </w:t>
      </w:r>
      <w:r w:rsidRPr="00923F42">
        <w:rPr>
          <w:rFonts w:ascii="Abadi" w:hAnsi="Abadi"/>
          <w:b w:val="0"/>
          <w:bCs w:val="0"/>
          <w:sz w:val="21"/>
          <w:szCs w:val="21"/>
        </w:rPr>
        <w:t>Financiera</w:t>
      </w:r>
      <w:r w:rsidRPr="00923F42">
        <w:rPr>
          <w:rFonts w:ascii="Abadi" w:hAnsi="Abadi"/>
          <w:b w:val="0"/>
          <w:bCs w:val="0"/>
          <w:spacing w:val="-14"/>
          <w:sz w:val="21"/>
          <w:szCs w:val="21"/>
        </w:rPr>
        <w:t xml:space="preserve"> </w:t>
      </w:r>
      <w:r w:rsidRPr="00923F42">
        <w:rPr>
          <w:rFonts w:ascii="Abadi" w:hAnsi="Abadi"/>
          <w:b w:val="0"/>
          <w:bCs w:val="0"/>
          <w:sz w:val="21"/>
          <w:szCs w:val="21"/>
        </w:rPr>
        <w:t>según</w:t>
      </w:r>
      <w:r w:rsidRPr="00923F42">
        <w:rPr>
          <w:rFonts w:ascii="Abadi" w:hAnsi="Abadi"/>
          <w:b w:val="0"/>
          <w:bCs w:val="0"/>
          <w:spacing w:val="-14"/>
          <w:sz w:val="21"/>
          <w:szCs w:val="21"/>
        </w:rPr>
        <w:t xml:space="preserve"> </w:t>
      </w:r>
      <w:r w:rsidRPr="00923F42">
        <w:rPr>
          <w:rFonts w:ascii="Abadi" w:hAnsi="Abadi"/>
          <w:b w:val="0"/>
          <w:bCs w:val="0"/>
          <w:sz w:val="21"/>
          <w:szCs w:val="21"/>
        </w:rPr>
        <w:t>señaló</w:t>
      </w:r>
      <w:r w:rsidR="0033692A">
        <w:rPr>
          <w:rStyle w:val="Refdenotaalpie"/>
          <w:rFonts w:ascii="Abadi" w:hAnsi="Abadi"/>
          <w:b w:val="0"/>
          <w:bCs w:val="0"/>
          <w:sz w:val="21"/>
          <w:szCs w:val="21"/>
        </w:rPr>
        <w:footnoteReference w:id="64"/>
      </w:r>
      <w:r w:rsidRPr="00923F42">
        <w:rPr>
          <w:rFonts w:ascii="Abadi" w:hAnsi="Abadi"/>
          <w:b w:val="0"/>
          <w:bCs w:val="0"/>
          <w:sz w:val="21"/>
          <w:szCs w:val="21"/>
        </w:rPr>
        <w:t>.</w:t>
      </w:r>
    </w:p>
    <w:p w14:paraId="4CE9E7FF" w14:textId="77777777" w:rsidR="00923F42" w:rsidRPr="00923F42" w:rsidRDefault="00923F42" w:rsidP="00923F42">
      <w:pPr>
        <w:pStyle w:val="Textoindependiente"/>
        <w:spacing w:before="234"/>
        <w:rPr>
          <w:rFonts w:ascii="Abadi" w:hAnsi="Abadi"/>
          <w:b w:val="0"/>
          <w:bCs w:val="0"/>
          <w:sz w:val="21"/>
          <w:szCs w:val="21"/>
        </w:rPr>
      </w:pPr>
      <w:r w:rsidRPr="00923F42">
        <w:rPr>
          <w:rFonts w:ascii="Abadi" w:hAnsi="Abadi"/>
          <w:b w:val="0"/>
          <w:bCs w:val="0"/>
          <w:spacing w:val="-2"/>
          <w:sz w:val="21"/>
          <w:szCs w:val="21"/>
        </w:rPr>
        <w:t>La</w:t>
      </w:r>
      <w:r w:rsidRPr="00923F42">
        <w:rPr>
          <w:rFonts w:ascii="Abadi" w:hAnsi="Abadi"/>
          <w:b w:val="0"/>
          <w:bCs w:val="0"/>
          <w:spacing w:val="-13"/>
          <w:sz w:val="21"/>
          <w:szCs w:val="21"/>
        </w:rPr>
        <w:t xml:space="preserve"> </w:t>
      </w:r>
      <w:r w:rsidRPr="00923F42">
        <w:rPr>
          <w:rFonts w:ascii="Abadi" w:hAnsi="Abadi"/>
          <w:b w:val="0"/>
          <w:bCs w:val="0"/>
          <w:spacing w:val="-2"/>
          <w:sz w:val="21"/>
          <w:szCs w:val="21"/>
        </w:rPr>
        <w:t>intuición</w:t>
      </w:r>
      <w:r w:rsidRPr="00923F42">
        <w:rPr>
          <w:rFonts w:ascii="Abadi" w:hAnsi="Abadi"/>
          <w:b w:val="0"/>
          <w:bCs w:val="0"/>
          <w:spacing w:val="-12"/>
          <w:sz w:val="21"/>
          <w:szCs w:val="21"/>
        </w:rPr>
        <w:t xml:space="preserve"> </w:t>
      </w:r>
      <w:r w:rsidRPr="00923F42">
        <w:rPr>
          <w:rFonts w:ascii="Abadi" w:hAnsi="Abadi"/>
          <w:b w:val="0"/>
          <w:bCs w:val="0"/>
          <w:spacing w:val="-2"/>
          <w:sz w:val="21"/>
          <w:szCs w:val="21"/>
        </w:rPr>
        <w:t>de</w:t>
      </w:r>
      <w:r w:rsidRPr="00923F42">
        <w:rPr>
          <w:rFonts w:ascii="Abadi" w:hAnsi="Abadi"/>
          <w:b w:val="0"/>
          <w:bCs w:val="0"/>
          <w:spacing w:val="-12"/>
          <w:sz w:val="21"/>
          <w:szCs w:val="21"/>
        </w:rPr>
        <w:t xml:space="preserve"> </w:t>
      </w:r>
      <w:r w:rsidRPr="00923F42">
        <w:rPr>
          <w:rFonts w:ascii="Abadi" w:hAnsi="Abadi"/>
          <w:b w:val="0"/>
          <w:bCs w:val="0"/>
          <w:spacing w:val="-2"/>
          <w:sz w:val="21"/>
          <w:szCs w:val="21"/>
        </w:rPr>
        <w:t>las</w:t>
      </w:r>
      <w:r w:rsidRPr="00923F42">
        <w:rPr>
          <w:rFonts w:ascii="Abadi" w:hAnsi="Abadi"/>
          <w:b w:val="0"/>
          <w:bCs w:val="0"/>
          <w:spacing w:val="-13"/>
          <w:sz w:val="21"/>
          <w:szCs w:val="21"/>
        </w:rPr>
        <w:t xml:space="preserve"> </w:t>
      </w:r>
      <w:r w:rsidRPr="00923F42">
        <w:rPr>
          <w:rFonts w:ascii="Abadi" w:hAnsi="Abadi"/>
          <w:b w:val="0"/>
          <w:bCs w:val="0"/>
          <w:spacing w:val="-2"/>
          <w:sz w:val="21"/>
          <w:szCs w:val="21"/>
        </w:rPr>
        <w:t>trabajadoras</w:t>
      </w:r>
      <w:r w:rsidRPr="00923F42">
        <w:rPr>
          <w:rFonts w:ascii="Abadi" w:hAnsi="Abadi"/>
          <w:b w:val="0"/>
          <w:bCs w:val="0"/>
          <w:spacing w:val="-12"/>
          <w:sz w:val="21"/>
          <w:szCs w:val="21"/>
        </w:rPr>
        <w:t xml:space="preserve"> </w:t>
      </w:r>
      <w:r w:rsidRPr="00923F42">
        <w:rPr>
          <w:rFonts w:ascii="Abadi" w:hAnsi="Abadi"/>
          <w:b w:val="0"/>
          <w:bCs w:val="0"/>
          <w:spacing w:val="-2"/>
          <w:sz w:val="21"/>
          <w:szCs w:val="21"/>
        </w:rPr>
        <w:t>y</w:t>
      </w:r>
      <w:r w:rsidRPr="00923F42">
        <w:rPr>
          <w:rFonts w:ascii="Abadi" w:hAnsi="Abadi"/>
          <w:b w:val="0"/>
          <w:bCs w:val="0"/>
          <w:spacing w:val="-12"/>
          <w:sz w:val="21"/>
          <w:szCs w:val="21"/>
        </w:rPr>
        <w:t xml:space="preserve"> </w:t>
      </w:r>
      <w:r w:rsidRPr="00923F42">
        <w:rPr>
          <w:rFonts w:ascii="Abadi" w:hAnsi="Abadi"/>
          <w:b w:val="0"/>
          <w:bCs w:val="0"/>
          <w:spacing w:val="-2"/>
          <w:sz w:val="21"/>
          <w:szCs w:val="21"/>
        </w:rPr>
        <w:t>trabajadores</w:t>
      </w:r>
      <w:r w:rsidRPr="00923F42">
        <w:rPr>
          <w:rFonts w:ascii="Abadi" w:hAnsi="Abadi"/>
          <w:b w:val="0"/>
          <w:bCs w:val="0"/>
          <w:spacing w:val="-13"/>
          <w:sz w:val="21"/>
          <w:szCs w:val="21"/>
        </w:rPr>
        <w:t xml:space="preserve"> </w:t>
      </w:r>
      <w:r w:rsidRPr="00923F42">
        <w:rPr>
          <w:rFonts w:ascii="Abadi" w:hAnsi="Abadi"/>
          <w:b w:val="0"/>
          <w:bCs w:val="0"/>
          <w:spacing w:val="-2"/>
          <w:sz w:val="21"/>
          <w:szCs w:val="21"/>
        </w:rPr>
        <w:t>del</w:t>
      </w:r>
      <w:r w:rsidRPr="00923F42">
        <w:rPr>
          <w:rFonts w:ascii="Abadi" w:hAnsi="Abadi"/>
          <w:b w:val="0"/>
          <w:bCs w:val="0"/>
          <w:spacing w:val="-12"/>
          <w:sz w:val="21"/>
          <w:szCs w:val="21"/>
        </w:rPr>
        <w:t xml:space="preserve"> </w:t>
      </w:r>
      <w:r w:rsidRPr="00923F42">
        <w:rPr>
          <w:rFonts w:ascii="Abadi" w:hAnsi="Abadi"/>
          <w:b w:val="0"/>
          <w:bCs w:val="0"/>
          <w:spacing w:val="-2"/>
          <w:sz w:val="21"/>
          <w:szCs w:val="21"/>
        </w:rPr>
        <w:t>ISAPEG,</w:t>
      </w:r>
      <w:r w:rsidRPr="00923F42">
        <w:rPr>
          <w:rFonts w:ascii="Abadi" w:hAnsi="Abadi"/>
          <w:b w:val="0"/>
          <w:bCs w:val="0"/>
          <w:spacing w:val="-12"/>
          <w:sz w:val="21"/>
          <w:szCs w:val="21"/>
        </w:rPr>
        <w:t xml:space="preserve"> </w:t>
      </w:r>
      <w:r w:rsidRPr="00923F42">
        <w:rPr>
          <w:rFonts w:ascii="Abadi" w:hAnsi="Abadi"/>
          <w:b w:val="0"/>
          <w:bCs w:val="0"/>
          <w:spacing w:val="-2"/>
          <w:sz w:val="21"/>
          <w:szCs w:val="21"/>
        </w:rPr>
        <w:t>quienes</w:t>
      </w:r>
      <w:r w:rsidRPr="00923F42">
        <w:rPr>
          <w:rFonts w:ascii="Abadi" w:hAnsi="Abadi"/>
          <w:b w:val="0"/>
          <w:bCs w:val="0"/>
          <w:spacing w:val="-13"/>
          <w:sz w:val="21"/>
          <w:szCs w:val="21"/>
        </w:rPr>
        <w:t xml:space="preserve"> </w:t>
      </w:r>
      <w:r w:rsidRPr="00923F42">
        <w:rPr>
          <w:rFonts w:ascii="Abadi" w:hAnsi="Abadi"/>
          <w:b w:val="0"/>
          <w:bCs w:val="0"/>
          <w:spacing w:val="-2"/>
          <w:sz w:val="21"/>
          <w:szCs w:val="21"/>
        </w:rPr>
        <w:t>no</w:t>
      </w:r>
      <w:r w:rsidRPr="00923F42">
        <w:rPr>
          <w:rFonts w:ascii="Abadi" w:hAnsi="Abadi"/>
          <w:b w:val="0"/>
          <w:bCs w:val="0"/>
          <w:spacing w:val="-12"/>
          <w:sz w:val="21"/>
          <w:szCs w:val="21"/>
        </w:rPr>
        <w:t xml:space="preserve"> </w:t>
      </w:r>
      <w:r w:rsidRPr="00923F42">
        <w:rPr>
          <w:rFonts w:ascii="Abadi" w:hAnsi="Abadi"/>
          <w:b w:val="0"/>
          <w:bCs w:val="0"/>
          <w:spacing w:val="-2"/>
          <w:sz w:val="21"/>
          <w:szCs w:val="21"/>
        </w:rPr>
        <w:t>creen</w:t>
      </w:r>
      <w:r w:rsidRPr="00923F42">
        <w:rPr>
          <w:rFonts w:ascii="Abadi" w:hAnsi="Abadi"/>
          <w:b w:val="0"/>
          <w:bCs w:val="0"/>
          <w:spacing w:val="-12"/>
          <w:sz w:val="21"/>
          <w:szCs w:val="21"/>
        </w:rPr>
        <w:t xml:space="preserve"> </w:t>
      </w:r>
      <w:r w:rsidRPr="00923F42">
        <w:rPr>
          <w:rFonts w:ascii="Abadi" w:hAnsi="Abadi"/>
          <w:b w:val="0"/>
          <w:bCs w:val="0"/>
          <w:spacing w:val="-2"/>
          <w:sz w:val="21"/>
          <w:szCs w:val="21"/>
        </w:rPr>
        <w:t>en</w:t>
      </w:r>
      <w:r w:rsidRPr="00923F42">
        <w:rPr>
          <w:rFonts w:ascii="Abadi" w:hAnsi="Abadi"/>
          <w:b w:val="0"/>
          <w:bCs w:val="0"/>
          <w:spacing w:val="-13"/>
          <w:sz w:val="21"/>
          <w:szCs w:val="21"/>
        </w:rPr>
        <w:t xml:space="preserve"> </w:t>
      </w:r>
      <w:r w:rsidRPr="00923F42">
        <w:rPr>
          <w:rFonts w:ascii="Abadi" w:hAnsi="Abadi"/>
          <w:b w:val="0"/>
          <w:bCs w:val="0"/>
          <w:spacing w:val="-2"/>
          <w:sz w:val="21"/>
          <w:szCs w:val="21"/>
        </w:rPr>
        <w:t xml:space="preserve">las </w:t>
      </w:r>
      <w:r w:rsidRPr="00923F42">
        <w:rPr>
          <w:rFonts w:ascii="Abadi" w:hAnsi="Abadi"/>
          <w:b w:val="0"/>
          <w:bCs w:val="0"/>
          <w:spacing w:val="-4"/>
          <w:sz w:val="21"/>
          <w:szCs w:val="21"/>
        </w:rPr>
        <w:t>promesas de basificación por parte del Gobierno</w:t>
      </w:r>
      <w:r w:rsidRPr="00923F42">
        <w:rPr>
          <w:rFonts w:ascii="Abadi" w:hAnsi="Abadi"/>
          <w:b w:val="0"/>
          <w:bCs w:val="0"/>
          <w:spacing w:val="-5"/>
          <w:sz w:val="21"/>
          <w:szCs w:val="21"/>
        </w:rPr>
        <w:t xml:space="preserve"> </w:t>
      </w:r>
      <w:r w:rsidRPr="00923F42">
        <w:rPr>
          <w:rFonts w:ascii="Abadi" w:hAnsi="Abadi"/>
          <w:b w:val="0"/>
          <w:bCs w:val="0"/>
          <w:spacing w:val="-4"/>
          <w:sz w:val="21"/>
          <w:szCs w:val="21"/>
        </w:rPr>
        <w:t xml:space="preserve">del Estado, no están equivocadas. </w:t>
      </w:r>
      <w:r w:rsidRPr="00923F42">
        <w:rPr>
          <w:rFonts w:ascii="Abadi" w:hAnsi="Abadi"/>
          <w:b w:val="0"/>
          <w:bCs w:val="0"/>
          <w:w w:val="90"/>
          <w:sz w:val="21"/>
          <w:szCs w:val="21"/>
        </w:rPr>
        <w:t>Todo lo contrario, parece que una vez más, las</w:t>
      </w:r>
      <w:r w:rsidRPr="00923F42">
        <w:rPr>
          <w:rFonts w:ascii="Abadi" w:hAnsi="Abadi"/>
          <w:b w:val="0"/>
          <w:bCs w:val="0"/>
          <w:sz w:val="21"/>
          <w:szCs w:val="21"/>
        </w:rPr>
        <w:t xml:space="preserve"> </w:t>
      </w:r>
      <w:r w:rsidRPr="00923F42">
        <w:rPr>
          <w:rFonts w:ascii="Abadi" w:hAnsi="Abadi"/>
          <w:b w:val="0"/>
          <w:bCs w:val="0"/>
          <w:w w:val="90"/>
          <w:sz w:val="21"/>
          <w:szCs w:val="21"/>
        </w:rPr>
        <w:t>autoridades estatales buscan maquillar</w:t>
      </w:r>
      <w:r w:rsidRPr="00923F42">
        <w:rPr>
          <w:rFonts w:ascii="Abadi" w:hAnsi="Abadi"/>
          <w:b w:val="0"/>
          <w:bCs w:val="0"/>
          <w:spacing w:val="80"/>
          <w:sz w:val="21"/>
          <w:szCs w:val="21"/>
        </w:rPr>
        <w:t xml:space="preserve"> </w:t>
      </w:r>
      <w:r w:rsidRPr="00923F42">
        <w:rPr>
          <w:rFonts w:ascii="Abadi" w:hAnsi="Abadi"/>
          <w:b w:val="0"/>
          <w:bCs w:val="0"/>
          <w:spacing w:val="-2"/>
          <w:sz w:val="21"/>
          <w:szCs w:val="21"/>
        </w:rPr>
        <w:t>el</w:t>
      </w:r>
      <w:r w:rsidRPr="00923F42">
        <w:rPr>
          <w:rFonts w:ascii="Abadi" w:hAnsi="Abadi"/>
          <w:b w:val="0"/>
          <w:bCs w:val="0"/>
          <w:spacing w:val="-13"/>
          <w:sz w:val="21"/>
          <w:szCs w:val="21"/>
        </w:rPr>
        <w:t xml:space="preserve"> </w:t>
      </w:r>
      <w:r w:rsidRPr="00923F42">
        <w:rPr>
          <w:rFonts w:ascii="Abadi" w:hAnsi="Abadi"/>
          <w:b w:val="0"/>
          <w:bCs w:val="0"/>
          <w:spacing w:val="-2"/>
          <w:sz w:val="21"/>
          <w:szCs w:val="21"/>
        </w:rPr>
        <w:t>proceso</w:t>
      </w:r>
      <w:r w:rsidRPr="00923F42">
        <w:rPr>
          <w:rFonts w:ascii="Abadi" w:hAnsi="Abadi"/>
          <w:b w:val="0"/>
          <w:bCs w:val="0"/>
          <w:spacing w:val="-12"/>
          <w:sz w:val="21"/>
          <w:szCs w:val="21"/>
        </w:rPr>
        <w:t xml:space="preserve"> </w:t>
      </w:r>
      <w:r w:rsidRPr="00923F42">
        <w:rPr>
          <w:rFonts w:ascii="Abadi" w:hAnsi="Abadi"/>
          <w:b w:val="0"/>
          <w:bCs w:val="0"/>
          <w:spacing w:val="-2"/>
          <w:sz w:val="21"/>
          <w:szCs w:val="21"/>
        </w:rPr>
        <w:t>de</w:t>
      </w:r>
      <w:r w:rsidRPr="00923F42">
        <w:rPr>
          <w:rFonts w:ascii="Abadi" w:hAnsi="Abadi"/>
          <w:b w:val="0"/>
          <w:bCs w:val="0"/>
          <w:spacing w:val="-12"/>
          <w:sz w:val="21"/>
          <w:szCs w:val="21"/>
        </w:rPr>
        <w:t xml:space="preserve"> </w:t>
      </w:r>
      <w:r w:rsidRPr="00923F42">
        <w:rPr>
          <w:rFonts w:ascii="Abadi" w:hAnsi="Abadi"/>
          <w:b w:val="0"/>
          <w:bCs w:val="0"/>
          <w:spacing w:val="-2"/>
          <w:sz w:val="21"/>
          <w:szCs w:val="21"/>
        </w:rPr>
        <w:t>basificación</w:t>
      </w:r>
      <w:r w:rsidRPr="00923F42">
        <w:rPr>
          <w:rFonts w:ascii="Abadi" w:hAnsi="Abadi"/>
          <w:b w:val="0"/>
          <w:bCs w:val="0"/>
          <w:spacing w:val="-12"/>
          <w:sz w:val="21"/>
          <w:szCs w:val="21"/>
        </w:rPr>
        <w:t xml:space="preserve"> </w:t>
      </w:r>
      <w:r w:rsidRPr="00923F42">
        <w:rPr>
          <w:rFonts w:ascii="Abadi" w:hAnsi="Abadi"/>
          <w:b w:val="0"/>
          <w:bCs w:val="0"/>
          <w:spacing w:val="-2"/>
          <w:sz w:val="21"/>
          <w:szCs w:val="21"/>
        </w:rPr>
        <w:t>que</w:t>
      </w:r>
      <w:r w:rsidRPr="00923F42">
        <w:rPr>
          <w:rFonts w:ascii="Abadi" w:hAnsi="Abadi"/>
          <w:b w:val="0"/>
          <w:bCs w:val="0"/>
          <w:spacing w:val="-12"/>
          <w:sz w:val="21"/>
          <w:szCs w:val="21"/>
        </w:rPr>
        <w:t xml:space="preserve"> </w:t>
      </w:r>
      <w:r w:rsidRPr="00923F42">
        <w:rPr>
          <w:rFonts w:ascii="Abadi" w:hAnsi="Abadi"/>
          <w:b w:val="0"/>
          <w:bCs w:val="0"/>
          <w:spacing w:val="-2"/>
          <w:sz w:val="21"/>
          <w:szCs w:val="21"/>
        </w:rPr>
        <w:t>seguirán</w:t>
      </w:r>
      <w:r w:rsidRPr="00923F42">
        <w:rPr>
          <w:rFonts w:ascii="Abadi" w:hAnsi="Abadi"/>
          <w:b w:val="0"/>
          <w:bCs w:val="0"/>
          <w:spacing w:val="-10"/>
          <w:sz w:val="21"/>
          <w:szCs w:val="21"/>
        </w:rPr>
        <w:t xml:space="preserve"> </w:t>
      </w:r>
      <w:r w:rsidRPr="00923F42">
        <w:rPr>
          <w:rFonts w:ascii="Abadi" w:hAnsi="Abadi"/>
          <w:b w:val="0"/>
          <w:bCs w:val="0"/>
          <w:spacing w:val="-2"/>
          <w:sz w:val="21"/>
          <w:szCs w:val="21"/>
        </w:rPr>
        <w:t>posponiendo</w:t>
      </w:r>
      <w:r w:rsidRPr="00923F42">
        <w:rPr>
          <w:rFonts w:ascii="Abadi" w:hAnsi="Abadi"/>
          <w:b w:val="0"/>
          <w:bCs w:val="0"/>
          <w:spacing w:val="-12"/>
          <w:sz w:val="21"/>
          <w:szCs w:val="21"/>
        </w:rPr>
        <w:t xml:space="preserve"> </w:t>
      </w:r>
      <w:r w:rsidRPr="00923F42">
        <w:rPr>
          <w:rFonts w:ascii="Abadi" w:hAnsi="Abadi"/>
          <w:b w:val="0"/>
          <w:bCs w:val="0"/>
          <w:spacing w:val="-2"/>
          <w:sz w:val="21"/>
          <w:szCs w:val="21"/>
        </w:rPr>
        <w:t>de</w:t>
      </w:r>
      <w:r w:rsidRPr="00923F42">
        <w:rPr>
          <w:rFonts w:ascii="Abadi" w:hAnsi="Abadi"/>
          <w:b w:val="0"/>
          <w:bCs w:val="0"/>
          <w:spacing w:val="-12"/>
          <w:sz w:val="21"/>
          <w:szCs w:val="21"/>
        </w:rPr>
        <w:t xml:space="preserve"> </w:t>
      </w:r>
      <w:r w:rsidRPr="00923F42">
        <w:rPr>
          <w:rFonts w:ascii="Abadi" w:hAnsi="Abadi"/>
          <w:b w:val="0"/>
          <w:bCs w:val="0"/>
          <w:spacing w:val="-2"/>
          <w:sz w:val="21"/>
          <w:szCs w:val="21"/>
        </w:rPr>
        <w:t>acuerdo</w:t>
      </w:r>
      <w:r w:rsidRPr="00923F42">
        <w:rPr>
          <w:rFonts w:ascii="Abadi" w:hAnsi="Abadi"/>
          <w:b w:val="0"/>
          <w:bCs w:val="0"/>
          <w:spacing w:val="-13"/>
          <w:sz w:val="21"/>
          <w:szCs w:val="21"/>
        </w:rPr>
        <w:t xml:space="preserve"> </w:t>
      </w:r>
      <w:r w:rsidRPr="00923F42">
        <w:rPr>
          <w:rFonts w:ascii="Abadi" w:hAnsi="Abadi"/>
          <w:b w:val="0"/>
          <w:bCs w:val="0"/>
          <w:spacing w:val="-2"/>
          <w:sz w:val="21"/>
          <w:szCs w:val="21"/>
        </w:rPr>
        <w:t>con</w:t>
      </w:r>
      <w:r w:rsidRPr="00923F42">
        <w:rPr>
          <w:rFonts w:ascii="Abadi" w:hAnsi="Abadi"/>
          <w:b w:val="0"/>
          <w:bCs w:val="0"/>
          <w:spacing w:val="-10"/>
          <w:sz w:val="21"/>
          <w:szCs w:val="21"/>
        </w:rPr>
        <w:t xml:space="preserve"> </w:t>
      </w:r>
      <w:r w:rsidRPr="00923F42">
        <w:rPr>
          <w:rFonts w:ascii="Abadi" w:hAnsi="Abadi"/>
          <w:b w:val="0"/>
          <w:bCs w:val="0"/>
          <w:spacing w:val="-2"/>
          <w:sz w:val="21"/>
          <w:szCs w:val="21"/>
        </w:rPr>
        <w:t>lo</w:t>
      </w:r>
      <w:r w:rsidRPr="00923F42">
        <w:rPr>
          <w:rFonts w:ascii="Abadi" w:hAnsi="Abadi"/>
          <w:b w:val="0"/>
          <w:bCs w:val="0"/>
          <w:spacing w:val="-12"/>
          <w:sz w:val="21"/>
          <w:szCs w:val="21"/>
        </w:rPr>
        <w:t xml:space="preserve"> </w:t>
      </w:r>
      <w:r w:rsidRPr="00923F42">
        <w:rPr>
          <w:rFonts w:ascii="Abadi" w:hAnsi="Abadi"/>
          <w:b w:val="0"/>
          <w:bCs w:val="0"/>
          <w:spacing w:val="-2"/>
          <w:sz w:val="21"/>
          <w:szCs w:val="21"/>
        </w:rPr>
        <w:t>siguiente:</w:t>
      </w:r>
    </w:p>
    <w:p w14:paraId="4475F675" w14:textId="77777777" w:rsidR="00923F42" w:rsidRDefault="00923F42" w:rsidP="00427BD6">
      <w:pPr>
        <w:pStyle w:val="Prrafodelista"/>
        <w:widowControl w:val="0"/>
        <w:numPr>
          <w:ilvl w:val="0"/>
          <w:numId w:val="18"/>
        </w:numPr>
        <w:autoSpaceDE w:val="0"/>
        <w:autoSpaceDN w:val="0"/>
        <w:spacing w:before="235"/>
        <w:jc w:val="both"/>
        <w:rPr>
          <w:rFonts w:ascii="Abadi" w:hAnsi="Abadi"/>
          <w:sz w:val="21"/>
          <w:szCs w:val="21"/>
        </w:rPr>
      </w:pPr>
      <w:r w:rsidRPr="009B7A89">
        <w:rPr>
          <w:rFonts w:ascii="Abadi" w:hAnsi="Abadi"/>
          <w:spacing w:val="-6"/>
          <w:sz w:val="21"/>
          <w:szCs w:val="21"/>
        </w:rPr>
        <w:t>Según</w:t>
      </w:r>
      <w:r w:rsidRPr="009B7A89">
        <w:rPr>
          <w:rFonts w:ascii="Abadi" w:hAnsi="Abadi"/>
          <w:spacing w:val="-8"/>
          <w:sz w:val="21"/>
          <w:szCs w:val="21"/>
        </w:rPr>
        <w:t xml:space="preserve"> </w:t>
      </w:r>
      <w:r w:rsidRPr="009B7A89">
        <w:rPr>
          <w:rFonts w:ascii="Abadi" w:hAnsi="Abadi"/>
          <w:spacing w:val="-6"/>
          <w:sz w:val="21"/>
          <w:szCs w:val="21"/>
        </w:rPr>
        <w:t>el presupuesto</w:t>
      </w:r>
      <w:r w:rsidRPr="009B7A89">
        <w:rPr>
          <w:rFonts w:ascii="Abadi" w:hAnsi="Abadi"/>
          <w:spacing w:val="-8"/>
          <w:sz w:val="21"/>
          <w:szCs w:val="21"/>
        </w:rPr>
        <w:t xml:space="preserve"> </w:t>
      </w:r>
      <w:r w:rsidRPr="009B7A89">
        <w:rPr>
          <w:rFonts w:ascii="Abadi" w:hAnsi="Abadi"/>
          <w:spacing w:val="-6"/>
          <w:sz w:val="21"/>
          <w:szCs w:val="21"/>
        </w:rPr>
        <w:t>de</w:t>
      </w:r>
      <w:r w:rsidRPr="009B7A89">
        <w:rPr>
          <w:rFonts w:ascii="Abadi" w:hAnsi="Abadi"/>
          <w:spacing w:val="-7"/>
          <w:sz w:val="21"/>
          <w:szCs w:val="21"/>
        </w:rPr>
        <w:t xml:space="preserve"> </w:t>
      </w:r>
      <w:r w:rsidRPr="009B7A89">
        <w:rPr>
          <w:rFonts w:ascii="Abadi" w:hAnsi="Abadi"/>
          <w:spacing w:val="-6"/>
          <w:sz w:val="21"/>
          <w:szCs w:val="21"/>
        </w:rPr>
        <w:t>egresos</w:t>
      </w:r>
      <w:r w:rsidRPr="009B7A89">
        <w:rPr>
          <w:rFonts w:ascii="Abadi" w:hAnsi="Abadi"/>
          <w:spacing w:val="-8"/>
          <w:sz w:val="21"/>
          <w:szCs w:val="21"/>
        </w:rPr>
        <w:t xml:space="preserve"> </w:t>
      </w:r>
      <w:r w:rsidRPr="009B7A89">
        <w:rPr>
          <w:rFonts w:ascii="Abadi" w:hAnsi="Abadi"/>
          <w:spacing w:val="-6"/>
          <w:sz w:val="21"/>
          <w:szCs w:val="21"/>
        </w:rPr>
        <w:t>de</w:t>
      </w:r>
      <w:r w:rsidRPr="009B7A89">
        <w:rPr>
          <w:rFonts w:ascii="Abadi" w:hAnsi="Abadi"/>
          <w:spacing w:val="-8"/>
          <w:sz w:val="21"/>
          <w:szCs w:val="21"/>
        </w:rPr>
        <w:t xml:space="preserve"> </w:t>
      </w:r>
      <w:r w:rsidRPr="009B7A89">
        <w:rPr>
          <w:rFonts w:ascii="Abadi" w:hAnsi="Abadi"/>
          <w:spacing w:val="-6"/>
          <w:sz w:val="21"/>
          <w:szCs w:val="21"/>
        </w:rPr>
        <w:t>este</w:t>
      </w:r>
      <w:r w:rsidRPr="009B7A89">
        <w:rPr>
          <w:rFonts w:ascii="Abadi" w:hAnsi="Abadi"/>
          <w:spacing w:val="-7"/>
          <w:sz w:val="21"/>
          <w:szCs w:val="21"/>
        </w:rPr>
        <w:t xml:space="preserve"> </w:t>
      </w:r>
      <w:r w:rsidRPr="009B7A89">
        <w:rPr>
          <w:rFonts w:ascii="Abadi" w:hAnsi="Abadi"/>
          <w:spacing w:val="-6"/>
          <w:sz w:val="21"/>
          <w:szCs w:val="21"/>
        </w:rPr>
        <w:t>año,</w:t>
      </w:r>
      <w:r w:rsidRPr="009B7A89">
        <w:rPr>
          <w:rFonts w:ascii="Abadi" w:hAnsi="Abadi"/>
          <w:spacing w:val="-7"/>
          <w:sz w:val="21"/>
          <w:szCs w:val="21"/>
        </w:rPr>
        <w:t xml:space="preserve"> </w:t>
      </w:r>
      <w:r w:rsidRPr="009B7A89">
        <w:rPr>
          <w:rFonts w:ascii="Abadi" w:hAnsi="Abadi"/>
          <w:spacing w:val="-6"/>
          <w:sz w:val="21"/>
          <w:szCs w:val="21"/>
        </w:rPr>
        <w:t>hay</w:t>
      </w:r>
      <w:r w:rsidRPr="009B7A89">
        <w:rPr>
          <w:rFonts w:ascii="Abadi" w:hAnsi="Abadi"/>
          <w:spacing w:val="-7"/>
          <w:sz w:val="21"/>
          <w:szCs w:val="21"/>
        </w:rPr>
        <w:t xml:space="preserve"> </w:t>
      </w:r>
      <w:r w:rsidRPr="009B7A89">
        <w:rPr>
          <w:rFonts w:ascii="Abadi" w:hAnsi="Abadi"/>
          <w:spacing w:val="-6"/>
          <w:sz w:val="21"/>
          <w:szCs w:val="21"/>
        </w:rPr>
        <w:t>14,630 plazas</w:t>
      </w:r>
      <w:r w:rsidRPr="009B7A89">
        <w:rPr>
          <w:rFonts w:ascii="Abadi" w:hAnsi="Abadi"/>
          <w:spacing w:val="-7"/>
          <w:sz w:val="21"/>
          <w:szCs w:val="21"/>
        </w:rPr>
        <w:t xml:space="preserve"> </w:t>
      </w:r>
      <w:r w:rsidRPr="009B7A89">
        <w:rPr>
          <w:rFonts w:ascii="Abadi" w:hAnsi="Abadi"/>
          <w:spacing w:val="-6"/>
          <w:sz w:val="21"/>
          <w:szCs w:val="21"/>
        </w:rPr>
        <w:t>en</w:t>
      </w:r>
      <w:r w:rsidRPr="009B7A89">
        <w:rPr>
          <w:rFonts w:ascii="Abadi" w:hAnsi="Abadi"/>
          <w:spacing w:val="-8"/>
          <w:sz w:val="21"/>
          <w:szCs w:val="21"/>
        </w:rPr>
        <w:t xml:space="preserve"> </w:t>
      </w:r>
      <w:r w:rsidRPr="009B7A89">
        <w:rPr>
          <w:rFonts w:ascii="Abadi" w:hAnsi="Abadi"/>
          <w:spacing w:val="-6"/>
          <w:sz w:val="21"/>
          <w:szCs w:val="21"/>
        </w:rPr>
        <w:t xml:space="preserve">el ISAPEG, </w:t>
      </w:r>
      <w:r w:rsidRPr="009B7A89">
        <w:rPr>
          <w:rFonts w:ascii="Abadi" w:hAnsi="Abadi"/>
          <w:spacing w:val="-4"/>
          <w:sz w:val="21"/>
          <w:szCs w:val="21"/>
        </w:rPr>
        <w:t>de</w:t>
      </w:r>
      <w:r w:rsidRPr="009B7A89">
        <w:rPr>
          <w:rFonts w:ascii="Abadi" w:hAnsi="Abadi"/>
          <w:spacing w:val="-11"/>
          <w:sz w:val="21"/>
          <w:szCs w:val="21"/>
        </w:rPr>
        <w:t xml:space="preserve"> </w:t>
      </w:r>
      <w:r w:rsidRPr="009B7A89">
        <w:rPr>
          <w:rFonts w:ascii="Abadi" w:hAnsi="Abadi"/>
          <w:spacing w:val="-4"/>
          <w:sz w:val="21"/>
          <w:szCs w:val="21"/>
        </w:rPr>
        <w:t>las</w:t>
      </w:r>
      <w:r w:rsidRPr="009B7A89">
        <w:rPr>
          <w:rFonts w:ascii="Abadi" w:hAnsi="Abadi"/>
          <w:spacing w:val="-10"/>
          <w:sz w:val="21"/>
          <w:szCs w:val="21"/>
        </w:rPr>
        <w:t xml:space="preserve"> </w:t>
      </w:r>
      <w:r w:rsidRPr="009B7A89">
        <w:rPr>
          <w:rFonts w:ascii="Abadi" w:hAnsi="Abadi"/>
          <w:spacing w:val="-4"/>
          <w:sz w:val="21"/>
          <w:szCs w:val="21"/>
        </w:rPr>
        <w:t>cuales</w:t>
      </w:r>
      <w:r w:rsidRPr="009B7A89">
        <w:rPr>
          <w:rFonts w:ascii="Abadi" w:hAnsi="Abadi"/>
          <w:spacing w:val="-10"/>
          <w:sz w:val="21"/>
          <w:szCs w:val="21"/>
        </w:rPr>
        <w:t xml:space="preserve"> </w:t>
      </w:r>
      <w:r w:rsidRPr="009B7A89">
        <w:rPr>
          <w:rFonts w:ascii="Abadi" w:hAnsi="Abadi"/>
          <w:spacing w:val="-4"/>
          <w:sz w:val="21"/>
          <w:szCs w:val="21"/>
        </w:rPr>
        <w:t>13,830</w:t>
      </w:r>
      <w:r w:rsidRPr="009B7A89">
        <w:rPr>
          <w:rFonts w:ascii="Abadi" w:hAnsi="Abadi"/>
          <w:spacing w:val="-11"/>
          <w:sz w:val="21"/>
          <w:szCs w:val="21"/>
        </w:rPr>
        <w:t xml:space="preserve"> </w:t>
      </w:r>
      <w:r w:rsidRPr="009B7A89">
        <w:rPr>
          <w:rFonts w:ascii="Abadi" w:hAnsi="Abadi"/>
          <w:spacing w:val="-4"/>
          <w:sz w:val="21"/>
          <w:szCs w:val="21"/>
        </w:rPr>
        <w:t>ya</w:t>
      </w:r>
      <w:r w:rsidRPr="009B7A89">
        <w:rPr>
          <w:rFonts w:ascii="Abadi" w:hAnsi="Abadi"/>
          <w:spacing w:val="-8"/>
          <w:sz w:val="21"/>
          <w:szCs w:val="21"/>
        </w:rPr>
        <w:t xml:space="preserve"> </w:t>
      </w:r>
      <w:r w:rsidRPr="009B7A89">
        <w:rPr>
          <w:rFonts w:ascii="Abadi" w:hAnsi="Abadi"/>
          <w:spacing w:val="-4"/>
          <w:sz w:val="21"/>
          <w:szCs w:val="21"/>
        </w:rPr>
        <w:t>estaban</w:t>
      </w:r>
      <w:r w:rsidRPr="009B7A89">
        <w:rPr>
          <w:rFonts w:ascii="Abadi" w:hAnsi="Abadi"/>
          <w:spacing w:val="-10"/>
          <w:sz w:val="21"/>
          <w:szCs w:val="21"/>
        </w:rPr>
        <w:t xml:space="preserve"> </w:t>
      </w:r>
      <w:r w:rsidRPr="009B7A89">
        <w:rPr>
          <w:rFonts w:ascii="Abadi" w:hAnsi="Abadi"/>
          <w:spacing w:val="-4"/>
          <w:sz w:val="21"/>
          <w:szCs w:val="21"/>
        </w:rPr>
        <w:t>asignadas</w:t>
      </w:r>
      <w:r w:rsidRPr="009B7A89">
        <w:rPr>
          <w:rFonts w:ascii="Abadi" w:hAnsi="Abadi"/>
          <w:spacing w:val="-10"/>
          <w:sz w:val="21"/>
          <w:szCs w:val="21"/>
        </w:rPr>
        <w:t xml:space="preserve"> </w:t>
      </w:r>
      <w:r w:rsidRPr="009B7A89">
        <w:rPr>
          <w:rFonts w:ascii="Abadi" w:hAnsi="Abadi"/>
          <w:spacing w:val="-4"/>
          <w:sz w:val="21"/>
          <w:szCs w:val="21"/>
        </w:rPr>
        <w:t>al</w:t>
      </w:r>
      <w:r w:rsidRPr="009B7A89">
        <w:rPr>
          <w:rFonts w:ascii="Abadi" w:hAnsi="Abadi"/>
          <w:spacing w:val="-10"/>
          <w:sz w:val="21"/>
          <w:szCs w:val="21"/>
        </w:rPr>
        <w:t xml:space="preserve"> </w:t>
      </w:r>
      <w:r w:rsidRPr="009B7A89">
        <w:rPr>
          <w:rFonts w:ascii="Abadi" w:hAnsi="Abadi"/>
          <w:spacing w:val="-4"/>
          <w:sz w:val="21"/>
          <w:szCs w:val="21"/>
        </w:rPr>
        <w:t>iniciar</w:t>
      </w:r>
      <w:r w:rsidRPr="009B7A89">
        <w:rPr>
          <w:rFonts w:ascii="Abadi" w:hAnsi="Abadi"/>
          <w:spacing w:val="-11"/>
          <w:sz w:val="21"/>
          <w:szCs w:val="21"/>
        </w:rPr>
        <w:t xml:space="preserve"> </w:t>
      </w:r>
      <w:r w:rsidRPr="009B7A89">
        <w:rPr>
          <w:rFonts w:ascii="Abadi" w:hAnsi="Abadi"/>
          <w:spacing w:val="-4"/>
          <w:sz w:val="21"/>
          <w:szCs w:val="21"/>
        </w:rPr>
        <w:t>el</w:t>
      </w:r>
      <w:r w:rsidRPr="009B7A89">
        <w:rPr>
          <w:rFonts w:ascii="Abadi" w:hAnsi="Abadi"/>
          <w:spacing w:val="-10"/>
          <w:sz w:val="21"/>
          <w:szCs w:val="21"/>
        </w:rPr>
        <w:t xml:space="preserve"> </w:t>
      </w:r>
      <w:r w:rsidRPr="009B7A89">
        <w:rPr>
          <w:rFonts w:ascii="Abadi" w:hAnsi="Abadi"/>
          <w:spacing w:val="-4"/>
          <w:sz w:val="21"/>
          <w:szCs w:val="21"/>
        </w:rPr>
        <w:t>año</w:t>
      </w:r>
      <w:r w:rsidRPr="009B7A89">
        <w:rPr>
          <w:rFonts w:ascii="Abadi" w:hAnsi="Abadi"/>
          <w:spacing w:val="-10"/>
          <w:sz w:val="21"/>
          <w:szCs w:val="21"/>
        </w:rPr>
        <w:t xml:space="preserve"> </w:t>
      </w:r>
      <w:r w:rsidRPr="009B7A89">
        <w:rPr>
          <w:rFonts w:ascii="Abadi" w:hAnsi="Abadi"/>
          <w:spacing w:val="-4"/>
          <w:sz w:val="21"/>
          <w:szCs w:val="21"/>
        </w:rPr>
        <w:t>y</w:t>
      </w:r>
      <w:r w:rsidRPr="009B7A89">
        <w:rPr>
          <w:rFonts w:ascii="Abadi" w:hAnsi="Abadi"/>
          <w:spacing w:val="-10"/>
          <w:sz w:val="21"/>
          <w:szCs w:val="21"/>
        </w:rPr>
        <w:t xml:space="preserve"> </w:t>
      </w:r>
      <w:r w:rsidRPr="009B7A89">
        <w:rPr>
          <w:rFonts w:ascii="Abadi" w:hAnsi="Abadi"/>
          <w:spacing w:val="-4"/>
          <w:sz w:val="21"/>
          <w:szCs w:val="21"/>
        </w:rPr>
        <w:t>800</w:t>
      </w:r>
      <w:r w:rsidRPr="009B7A89">
        <w:rPr>
          <w:rFonts w:ascii="Abadi" w:hAnsi="Abadi"/>
          <w:spacing w:val="-11"/>
          <w:sz w:val="21"/>
          <w:szCs w:val="21"/>
        </w:rPr>
        <w:t xml:space="preserve"> </w:t>
      </w:r>
      <w:r w:rsidRPr="009B7A89">
        <w:rPr>
          <w:rFonts w:ascii="Abadi" w:hAnsi="Abadi"/>
          <w:spacing w:val="-4"/>
          <w:sz w:val="21"/>
          <w:szCs w:val="21"/>
        </w:rPr>
        <w:t>más</w:t>
      </w:r>
      <w:r w:rsidRPr="009B7A89">
        <w:rPr>
          <w:rFonts w:ascii="Abadi" w:hAnsi="Abadi"/>
          <w:spacing w:val="-10"/>
          <w:sz w:val="21"/>
          <w:szCs w:val="21"/>
        </w:rPr>
        <w:t xml:space="preserve"> </w:t>
      </w:r>
      <w:r w:rsidRPr="009B7A89">
        <w:rPr>
          <w:rFonts w:ascii="Abadi" w:hAnsi="Abadi"/>
          <w:spacing w:val="-4"/>
          <w:sz w:val="21"/>
          <w:szCs w:val="21"/>
        </w:rPr>
        <w:t xml:space="preserve">estaban </w:t>
      </w:r>
      <w:r w:rsidRPr="009B7A89">
        <w:rPr>
          <w:rFonts w:ascii="Abadi" w:hAnsi="Abadi"/>
          <w:sz w:val="21"/>
          <w:szCs w:val="21"/>
        </w:rPr>
        <w:t>pendientes de asignación.</w:t>
      </w:r>
    </w:p>
    <w:p w14:paraId="13320097" w14:textId="77777777" w:rsidR="00B53899" w:rsidRPr="009B7A89" w:rsidRDefault="00B53899" w:rsidP="00B178F5">
      <w:pPr>
        <w:pStyle w:val="Prrafodelista"/>
        <w:widowControl w:val="0"/>
        <w:autoSpaceDE w:val="0"/>
        <w:autoSpaceDN w:val="0"/>
        <w:spacing w:before="235"/>
        <w:ind w:left="426"/>
        <w:jc w:val="both"/>
        <w:rPr>
          <w:rFonts w:ascii="Abadi" w:hAnsi="Abadi"/>
          <w:sz w:val="21"/>
          <w:szCs w:val="21"/>
        </w:rPr>
      </w:pPr>
    </w:p>
    <w:p w14:paraId="7C7CB1A7" w14:textId="32F0977B" w:rsidR="00923F42" w:rsidRDefault="00923F42" w:rsidP="00427BD6">
      <w:pPr>
        <w:pStyle w:val="Prrafodelista"/>
        <w:widowControl w:val="0"/>
        <w:numPr>
          <w:ilvl w:val="0"/>
          <w:numId w:val="18"/>
        </w:numPr>
        <w:autoSpaceDE w:val="0"/>
        <w:autoSpaceDN w:val="0"/>
        <w:jc w:val="both"/>
        <w:rPr>
          <w:rFonts w:ascii="Abadi" w:hAnsi="Abadi"/>
          <w:sz w:val="21"/>
          <w:szCs w:val="21"/>
        </w:rPr>
      </w:pPr>
      <w:r w:rsidRPr="009B7A89">
        <w:rPr>
          <w:rFonts w:ascii="Abadi" w:hAnsi="Abadi"/>
          <w:sz w:val="21"/>
          <w:szCs w:val="21"/>
        </w:rPr>
        <w:t>El 8 de mayo, el ISAPEG manifestó</w:t>
      </w:r>
      <w:r w:rsidR="006C2674">
        <w:rPr>
          <w:rStyle w:val="Refdenotaalpie"/>
          <w:rFonts w:ascii="Abadi" w:hAnsi="Abadi"/>
          <w:sz w:val="21"/>
          <w:szCs w:val="21"/>
        </w:rPr>
        <w:footnoteReference w:id="65"/>
      </w:r>
      <w:r w:rsidRPr="009B7A89">
        <w:rPr>
          <w:rFonts w:ascii="Abadi" w:hAnsi="Abadi"/>
          <w:spacing w:val="40"/>
          <w:position w:val="9"/>
          <w:sz w:val="21"/>
          <w:szCs w:val="21"/>
        </w:rPr>
        <w:t xml:space="preserve"> </w:t>
      </w:r>
      <w:r w:rsidRPr="009B7A89">
        <w:rPr>
          <w:rFonts w:ascii="Abadi" w:hAnsi="Abadi"/>
          <w:sz w:val="21"/>
          <w:szCs w:val="21"/>
        </w:rPr>
        <w:t xml:space="preserve">que cuenta con un total de 12,824 </w:t>
      </w:r>
      <w:r w:rsidRPr="009B7A89">
        <w:rPr>
          <w:rFonts w:ascii="Abadi" w:hAnsi="Abadi"/>
          <w:w w:val="90"/>
          <w:sz w:val="21"/>
          <w:szCs w:val="21"/>
        </w:rPr>
        <w:t xml:space="preserve">servidores públicos laborando en una plaza presupuestal, esto es, 1,006 plazas </w:t>
      </w:r>
      <w:r w:rsidRPr="009B7A89">
        <w:rPr>
          <w:rFonts w:ascii="Abadi" w:hAnsi="Abadi"/>
          <w:spacing w:val="-8"/>
          <w:sz w:val="21"/>
          <w:szCs w:val="21"/>
        </w:rPr>
        <w:t>menos</w:t>
      </w:r>
      <w:r w:rsidRPr="009B7A89">
        <w:rPr>
          <w:rFonts w:ascii="Abadi" w:hAnsi="Abadi"/>
          <w:spacing w:val="-7"/>
          <w:sz w:val="21"/>
          <w:szCs w:val="21"/>
        </w:rPr>
        <w:t xml:space="preserve"> </w:t>
      </w:r>
      <w:r w:rsidRPr="009B7A89">
        <w:rPr>
          <w:rFonts w:ascii="Abadi" w:hAnsi="Abadi"/>
          <w:spacing w:val="-8"/>
          <w:sz w:val="21"/>
          <w:szCs w:val="21"/>
        </w:rPr>
        <w:t>que</w:t>
      </w:r>
      <w:r w:rsidRPr="009B7A89">
        <w:rPr>
          <w:rFonts w:ascii="Abadi" w:hAnsi="Abadi"/>
          <w:spacing w:val="-6"/>
          <w:sz w:val="21"/>
          <w:szCs w:val="21"/>
        </w:rPr>
        <w:t xml:space="preserve"> </w:t>
      </w:r>
      <w:r w:rsidRPr="009B7A89">
        <w:rPr>
          <w:rFonts w:ascii="Abadi" w:hAnsi="Abadi"/>
          <w:spacing w:val="-8"/>
          <w:sz w:val="21"/>
          <w:szCs w:val="21"/>
        </w:rPr>
        <w:t>las</w:t>
      </w:r>
      <w:r w:rsidRPr="009B7A89">
        <w:rPr>
          <w:rFonts w:ascii="Abadi" w:hAnsi="Abadi"/>
          <w:spacing w:val="-6"/>
          <w:sz w:val="21"/>
          <w:szCs w:val="21"/>
        </w:rPr>
        <w:t xml:space="preserve"> </w:t>
      </w:r>
      <w:r w:rsidRPr="009B7A89">
        <w:rPr>
          <w:rFonts w:ascii="Abadi" w:hAnsi="Abadi"/>
          <w:spacing w:val="-8"/>
          <w:sz w:val="21"/>
          <w:szCs w:val="21"/>
        </w:rPr>
        <w:t>que</w:t>
      </w:r>
      <w:r w:rsidRPr="009B7A89">
        <w:rPr>
          <w:rFonts w:ascii="Abadi" w:hAnsi="Abadi"/>
          <w:spacing w:val="-7"/>
          <w:sz w:val="21"/>
          <w:szCs w:val="21"/>
        </w:rPr>
        <w:t xml:space="preserve"> </w:t>
      </w:r>
      <w:r w:rsidRPr="009B7A89">
        <w:rPr>
          <w:rFonts w:ascii="Abadi" w:hAnsi="Abadi"/>
          <w:spacing w:val="-8"/>
          <w:sz w:val="21"/>
          <w:szCs w:val="21"/>
        </w:rPr>
        <w:t>aparecieron</w:t>
      </w:r>
      <w:r w:rsidRPr="009B7A89">
        <w:rPr>
          <w:rFonts w:ascii="Abadi" w:hAnsi="Abadi"/>
          <w:spacing w:val="-6"/>
          <w:sz w:val="21"/>
          <w:szCs w:val="21"/>
        </w:rPr>
        <w:t xml:space="preserve"> </w:t>
      </w:r>
      <w:r w:rsidRPr="009B7A89">
        <w:rPr>
          <w:rFonts w:ascii="Abadi" w:hAnsi="Abadi"/>
          <w:spacing w:val="-8"/>
          <w:sz w:val="21"/>
          <w:szCs w:val="21"/>
        </w:rPr>
        <w:t>asignadas</w:t>
      </w:r>
      <w:r w:rsidRPr="009B7A89">
        <w:rPr>
          <w:rFonts w:ascii="Abadi" w:hAnsi="Abadi"/>
          <w:spacing w:val="-6"/>
          <w:sz w:val="21"/>
          <w:szCs w:val="21"/>
        </w:rPr>
        <w:t xml:space="preserve"> </w:t>
      </w:r>
      <w:r w:rsidRPr="009B7A89">
        <w:rPr>
          <w:rFonts w:ascii="Abadi" w:hAnsi="Abadi"/>
          <w:spacing w:val="-8"/>
          <w:sz w:val="21"/>
          <w:szCs w:val="21"/>
        </w:rPr>
        <w:t>en</w:t>
      </w:r>
      <w:r w:rsidRPr="009B7A89">
        <w:rPr>
          <w:rFonts w:ascii="Abadi" w:hAnsi="Abadi"/>
          <w:spacing w:val="-7"/>
          <w:sz w:val="21"/>
          <w:szCs w:val="21"/>
        </w:rPr>
        <w:t xml:space="preserve"> </w:t>
      </w:r>
      <w:r w:rsidRPr="009B7A89">
        <w:rPr>
          <w:rFonts w:ascii="Abadi" w:hAnsi="Abadi"/>
          <w:spacing w:val="-8"/>
          <w:sz w:val="21"/>
          <w:szCs w:val="21"/>
        </w:rPr>
        <w:t>el</w:t>
      </w:r>
      <w:r w:rsidRPr="009B7A89">
        <w:rPr>
          <w:rFonts w:ascii="Abadi" w:hAnsi="Abadi"/>
          <w:spacing w:val="-6"/>
          <w:sz w:val="21"/>
          <w:szCs w:val="21"/>
        </w:rPr>
        <w:t xml:space="preserve"> </w:t>
      </w:r>
      <w:r w:rsidRPr="009B7A89">
        <w:rPr>
          <w:rFonts w:ascii="Abadi" w:hAnsi="Abadi"/>
          <w:spacing w:val="-8"/>
          <w:sz w:val="21"/>
          <w:szCs w:val="21"/>
        </w:rPr>
        <w:t>presupuesto</w:t>
      </w:r>
      <w:r w:rsidRPr="009B7A89">
        <w:rPr>
          <w:rFonts w:ascii="Abadi" w:hAnsi="Abadi"/>
          <w:spacing w:val="-6"/>
          <w:sz w:val="21"/>
          <w:szCs w:val="21"/>
        </w:rPr>
        <w:t xml:space="preserve"> </w:t>
      </w:r>
      <w:r w:rsidRPr="009B7A89">
        <w:rPr>
          <w:rFonts w:ascii="Abadi" w:hAnsi="Abadi"/>
          <w:spacing w:val="-8"/>
          <w:sz w:val="21"/>
          <w:szCs w:val="21"/>
        </w:rPr>
        <w:t>de</w:t>
      </w:r>
      <w:r w:rsidRPr="009B7A89">
        <w:rPr>
          <w:rFonts w:ascii="Abadi" w:hAnsi="Abadi"/>
          <w:spacing w:val="-7"/>
          <w:sz w:val="21"/>
          <w:szCs w:val="21"/>
        </w:rPr>
        <w:t xml:space="preserve"> </w:t>
      </w:r>
      <w:r w:rsidRPr="009B7A89">
        <w:rPr>
          <w:rFonts w:ascii="Abadi" w:hAnsi="Abadi"/>
          <w:spacing w:val="-8"/>
          <w:sz w:val="21"/>
          <w:szCs w:val="21"/>
        </w:rPr>
        <w:t>egresos</w:t>
      </w:r>
      <w:r w:rsidRPr="009B7A89">
        <w:rPr>
          <w:rFonts w:ascii="Abadi" w:hAnsi="Abadi"/>
          <w:spacing w:val="-6"/>
          <w:sz w:val="21"/>
          <w:szCs w:val="21"/>
        </w:rPr>
        <w:t xml:space="preserve"> </w:t>
      </w:r>
      <w:r w:rsidRPr="009B7A89">
        <w:rPr>
          <w:rFonts w:ascii="Abadi" w:hAnsi="Abadi"/>
          <w:spacing w:val="-8"/>
          <w:sz w:val="21"/>
          <w:szCs w:val="21"/>
        </w:rPr>
        <w:t>de</w:t>
      </w:r>
      <w:r w:rsidRPr="009B7A89">
        <w:rPr>
          <w:rFonts w:ascii="Abadi" w:hAnsi="Abadi"/>
          <w:spacing w:val="-6"/>
          <w:sz w:val="21"/>
          <w:szCs w:val="21"/>
        </w:rPr>
        <w:t xml:space="preserve"> </w:t>
      </w:r>
      <w:r w:rsidRPr="009B7A89">
        <w:rPr>
          <w:rFonts w:ascii="Abadi" w:hAnsi="Abadi"/>
          <w:spacing w:val="-8"/>
          <w:sz w:val="21"/>
          <w:szCs w:val="21"/>
        </w:rPr>
        <w:t xml:space="preserve">este </w:t>
      </w:r>
      <w:r w:rsidRPr="009B7A89">
        <w:rPr>
          <w:rFonts w:ascii="Abadi" w:hAnsi="Abadi"/>
          <w:sz w:val="21"/>
          <w:szCs w:val="21"/>
        </w:rPr>
        <w:t>año</w:t>
      </w:r>
      <w:r w:rsidRPr="009B7A89">
        <w:rPr>
          <w:rFonts w:ascii="Abadi" w:hAnsi="Abadi"/>
          <w:spacing w:val="-4"/>
          <w:sz w:val="21"/>
          <w:szCs w:val="21"/>
        </w:rPr>
        <w:t xml:space="preserve"> </w:t>
      </w:r>
      <w:r w:rsidRPr="009B7A89">
        <w:rPr>
          <w:rFonts w:ascii="Abadi" w:hAnsi="Abadi"/>
          <w:sz w:val="21"/>
          <w:szCs w:val="21"/>
        </w:rPr>
        <w:t>publicado</w:t>
      </w:r>
      <w:r w:rsidRPr="009B7A89">
        <w:rPr>
          <w:rFonts w:ascii="Abadi" w:hAnsi="Abadi"/>
          <w:spacing w:val="-4"/>
          <w:sz w:val="21"/>
          <w:szCs w:val="21"/>
        </w:rPr>
        <w:t xml:space="preserve"> </w:t>
      </w:r>
      <w:r w:rsidRPr="009B7A89">
        <w:rPr>
          <w:rFonts w:ascii="Abadi" w:hAnsi="Abadi"/>
          <w:sz w:val="21"/>
          <w:szCs w:val="21"/>
        </w:rPr>
        <w:t>al</w:t>
      </w:r>
      <w:r w:rsidRPr="009B7A89">
        <w:rPr>
          <w:rFonts w:ascii="Abadi" w:hAnsi="Abadi"/>
          <w:spacing w:val="-3"/>
          <w:sz w:val="21"/>
          <w:szCs w:val="21"/>
        </w:rPr>
        <w:t xml:space="preserve"> </w:t>
      </w:r>
      <w:r w:rsidRPr="009B7A89">
        <w:rPr>
          <w:rFonts w:ascii="Abadi" w:hAnsi="Abadi"/>
          <w:sz w:val="21"/>
          <w:szCs w:val="21"/>
        </w:rPr>
        <w:t>cierre</w:t>
      </w:r>
      <w:r w:rsidRPr="009B7A89">
        <w:rPr>
          <w:rFonts w:ascii="Abadi" w:hAnsi="Abadi"/>
          <w:spacing w:val="-4"/>
          <w:sz w:val="21"/>
          <w:szCs w:val="21"/>
        </w:rPr>
        <w:t xml:space="preserve"> </w:t>
      </w:r>
      <w:r w:rsidRPr="009B7A89">
        <w:rPr>
          <w:rFonts w:ascii="Abadi" w:hAnsi="Abadi"/>
          <w:sz w:val="21"/>
          <w:szCs w:val="21"/>
        </w:rPr>
        <w:t>de</w:t>
      </w:r>
      <w:r w:rsidRPr="009B7A89">
        <w:rPr>
          <w:rFonts w:ascii="Abadi" w:hAnsi="Abadi"/>
          <w:spacing w:val="-4"/>
          <w:sz w:val="21"/>
          <w:szCs w:val="21"/>
        </w:rPr>
        <w:t xml:space="preserve"> </w:t>
      </w:r>
      <w:r w:rsidRPr="009B7A89">
        <w:rPr>
          <w:rFonts w:ascii="Abadi" w:hAnsi="Abadi"/>
          <w:sz w:val="21"/>
          <w:szCs w:val="21"/>
        </w:rPr>
        <w:t>2022.</w:t>
      </w:r>
    </w:p>
    <w:p w14:paraId="3DE6F034" w14:textId="77777777" w:rsidR="00B178F5" w:rsidRPr="00B178F5" w:rsidRDefault="00B178F5" w:rsidP="00B178F5">
      <w:pPr>
        <w:pStyle w:val="Prrafodelista"/>
        <w:rPr>
          <w:rFonts w:ascii="Abadi" w:hAnsi="Abadi"/>
          <w:sz w:val="21"/>
          <w:szCs w:val="21"/>
        </w:rPr>
      </w:pPr>
    </w:p>
    <w:p w14:paraId="4D5C82C6" w14:textId="77777777" w:rsidR="00B178F5" w:rsidRPr="009B7A89" w:rsidRDefault="00B178F5" w:rsidP="00B178F5">
      <w:pPr>
        <w:pStyle w:val="Prrafodelista"/>
        <w:widowControl w:val="0"/>
        <w:autoSpaceDE w:val="0"/>
        <w:autoSpaceDN w:val="0"/>
        <w:ind w:left="720"/>
        <w:jc w:val="both"/>
        <w:rPr>
          <w:rFonts w:ascii="Abadi" w:hAnsi="Abadi"/>
          <w:sz w:val="21"/>
          <w:szCs w:val="21"/>
        </w:rPr>
      </w:pPr>
    </w:p>
    <w:p w14:paraId="56B85AFD" w14:textId="73EE3B7A" w:rsidR="00923F42" w:rsidRPr="009B7A89" w:rsidRDefault="00923F42" w:rsidP="00427BD6">
      <w:pPr>
        <w:pStyle w:val="Prrafodelista"/>
        <w:widowControl w:val="0"/>
        <w:numPr>
          <w:ilvl w:val="0"/>
          <w:numId w:val="18"/>
        </w:numPr>
        <w:autoSpaceDE w:val="0"/>
        <w:autoSpaceDN w:val="0"/>
        <w:jc w:val="both"/>
        <w:rPr>
          <w:rFonts w:ascii="Abadi" w:hAnsi="Abadi"/>
          <w:sz w:val="21"/>
          <w:szCs w:val="21"/>
        </w:rPr>
      </w:pPr>
      <w:r w:rsidRPr="009B7A89">
        <w:rPr>
          <w:rFonts w:ascii="Abadi" w:hAnsi="Abadi"/>
          <w:spacing w:val="-6"/>
          <w:sz w:val="21"/>
          <w:szCs w:val="21"/>
        </w:rPr>
        <w:t xml:space="preserve">La Ley de Disciplina Financiera de las Entidades Federativas y los Municipios </w:t>
      </w:r>
      <w:r w:rsidRPr="009B7A89">
        <w:rPr>
          <w:rFonts w:ascii="Abadi" w:hAnsi="Abadi"/>
          <w:sz w:val="21"/>
          <w:szCs w:val="21"/>
        </w:rPr>
        <w:t xml:space="preserve">señala que la asignación global de servicios personales aprobada </w:t>
      </w:r>
      <w:r w:rsidRPr="009B7A89">
        <w:rPr>
          <w:rFonts w:ascii="Abadi" w:hAnsi="Abadi"/>
          <w:spacing w:val="-6"/>
          <w:sz w:val="21"/>
          <w:szCs w:val="21"/>
        </w:rPr>
        <w:t>originalmente</w:t>
      </w:r>
      <w:r w:rsidRPr="009B7A89">
        <w:rPr>
          <w:rFonts w:ascii="Abadi" w:hAnsi="Abadi"/>
          <w:spacing w:val="-7"/>
          <w:sz w:val="21"/>
          <w:szCs w:val="21"/>
        </w:rPr>
        <w:t xml:space="preserve"> </w:t>
      </w:r>
      <w:r w:rsidRPr="009B7A89">
        <w:rPr>
          <w:rFonts w:ascii="Abadi" w:hAnsi="Abadi"/>
          <w:spacing w:val="-6"/>
          <w:sz w:val="21"/>
          <w:szCs w:val="21"/>
        </w:rPr>
        <w:t>en</w:t>
      </w:r>
      <w:r w:rsidRPr="009B7A89">
        <w:rPr>
          <w:rFonts w:ascii="Abadi" w:hAnsi="Abadi"/>
          <w:spacing w:val="-7"/>
          <w:sz w:val="21"/>
          <w:szCs w:val="21"/>
        </w:rPr>
        <w:t xml:space="preserve"> </w:t>
      </w:r>
      <w:r w:rsidRPr="009B7A89">
        <w:rPr>
          <w:rFonts w:ascii="Abadi" w:hAnsi="Abadi"/>
          <w:spacing w:val="-6"/>
          <w:sz w:val="21"/>
          <w:szCs w:val="21"/>
        </w:rPr>
        <w:t>el</w:t>
      </w:r>
      <w:r w:rsidRPr="009B7A89">
        <w:rPr>
          <w:rFonts w:ascii="Abadi" w:hAnsi="Abadi"/>
          <w:spacing w:val="-7"/>
          <w:sz w:val="21"/>
          <w:szCs w:val="21"/>
        </w:rPr>
        <w:t xml:space="preserve"> </w:t>
      </w:r>
      <w:r w:rsidRPr="009B7A89">
        <w:rPr>
          <w:rFonts w:ascii="Abadi" w:hAnsi="Abadi"/>
          <w:spacing w:val="-6"/>
          <w:sz w:val="21"/>
          <w:szCs w:val="21"/>
        </w:rPr>
        <w:t>Presupuesto</w:t>
      </w:r>
      <w:r w:rsidRPr="009B7A89">
        <w:rPr>
          <w:rFonts w:ascii="Abadi" w:hAnsi="Abadi"/>
          <w:spacing w:val="-8"/>
          <w:sz w:val="21"/>
          <w:szCs w:val="21"/>
        </w:rPr>
        <w:t xml:space="preserve"> </w:t>
      </w:r>
      <w:r w:rsidRPr="009B7A89">
        <w:rPr>
          <w:rFonts w:ascii="Abadi" w:hAnsi="Abadi"/>
          <w:spacing w:val="-6"/>
          <w:sz w:val="21"/>
          <w:szCs w:val="21"/>
        </w:rPr>
        <w:t>de</w:t>
      </w:r>
      <w:r w:rsidRPr="009B7A89">
        <w:rPr>
          <w:rFonts w:ascii="Abadi" w:hAnsi="Abadi"/>
          <w:spacing w:val="-8"/>
          <w:sz w:val="21"/>
          <w:szCs w:val="21"/>
        </w:rPr>
        <w:t xml:space="preserve"> </w:t>
      </w:r>
      <w:r w:rsidRPr="009B7A89">
        <w:rPr>
          <w:rFonts w:ascii="Abadi" w:hAnsi="Abadi"/>
          <w:spacing w:val="-6"/>
          <w:sz w:val="21"/>
          <w:szCs w:val="21"/>
        </w:rPr>
        <w:t>Egresos no</w:t>
      </w:r>
      <w:r w:rsidRPr="009B7A89">
        <w:rPr>
          <w:rFonts w:ascii="Abadi" w:hAnsi="Abadi"/>
          <w:spacing w:val="-8"/>
          <w:sz w:val="21"/>
          <w:szCs w:val="21"/>
        </w:rPr>
        <w:t xml:space="preserve"> </w:t>
      </w:r>
      <w:r w:rsidRPr="009B7A89">
        <w:rPr>
          <w:rFonts w:ascii="Abadi" w:hAnsi="Abadi"/>
          <w:spacing w:val="-6"/>
          <w:sz w:val="21"/>
          <w:szCs w:val="21"/>
        </w:rPr>
        <w:t>podrá</w:t>
      </w:r>
      <w:r w:rsidRPr="009B7A89">
        <w:rPr>
          <w:rFonts w:ascii="Abadi" w:hAnsi="Abadi"/>
          <w:spacing w:val="-7"/>
          <w:sz w:val="21"/>
          <w:szCs w:val="21"/>
        </w:rPr>
        <w:t xml:space="preserve"> </w:t>
      </w:r>
      <w:r w:rsidRPr="009B7A89">
        <w:rPr>
          <w:rFonts w:ascii="Abadi" w:hAnsi="Abadi"/>
          <w:spacing w:val="-6"/>
          <w:sz w:val="21"/>
          <w:szCs w:val="21"/>
        </w:rPr>
        <w:t>incrementarse</w:t>
      </w:r>
      <w:r w:rsidRPr="009B7A89">
        <w:rPr>
          <w:rFonts w:ascii="Abadi" w:hAnsi="Abadi"/>
          <w:spacing w:val="-7"/>
          <w:sz w:val="21"/>
          <w:szCs w:val="21"/>
        </w:rPr>
        <w:t xml:space="preserve"> </w:t>
      </w:r>
      <w:r w:rsidRPr="009B7A89">
        <w:rPr>
          <w:rFonts w:ascii="Abadi" w:hAnsi="Abadi"/>
          <w:spacing w:val="-6"/>
          <w:sz w:val="21"/>
          <w:szCs w:val="21"/>
        </w:rPr>
        <w:t xml:space="preserve">durante </w:t>
      </w:r>
      <w:r w:rsidRPr="009B7A89">
        <w:rPr>
          <w:rFonts w:ascii="Abadi" w:hAnsi="Abadi"/>
          <w:sz w:val="21"/>
          <w:szCs w:val="21"/>
        </w:rPr>
        <w:t>el ejercicio fiscal</w:t>
      </w:r>
      <w:r w:rsidR="00B233EA">
        <w:rPr>
          <w:rStyle w:val="Refdenotaalpie"/>
          <w:rFonts w:ascii="Abadi" w:hAnsi="Abadi"/>
          <w:sz w:val="21"/>
          <w:szCs w:val="21"/>
        </w:rPr>
        <w:footnoteReference w:id="66"/>
      </w:r>
      <w:r w:rsidRPr="009B7A89">
        <w:rPr>
          <w:rFonts w:ascii="Abadi" w:hAnsi="Abadi"/>
          <w:sz w:val="21"/>
          <w:szCs w:val="21"/>
        </w:rPr>
        <w:t>.</w:t>
      </w:r>
    </w:p>
    <w:p w14:paraId="6D2174CC" w14:textId="7987778B" w:rsidR="002D5ED2" w:rsidRPr="005F1F12" w:rsidRDefault="002D5ED2" w:rsidP="009701DE">
      <w:pPr>
        <w:pStyle w:val="Textoindependiente"/>
        <w:rPr>
          <w:rFonts w:ascii="Abadi" w:hAnsi="Abadi"/>
          <w:b w:val="0"/>
          <w:bCs w:val="0"/>
          <w:sz w:val="21"/>
          <w:szCs w:val="21"/>
        </w:rPr>
      </w:pPr>
    </w:p>
    <w:p w14:paraId="5E917DFF" w14:textId="77777777" w:rsidR="00C36526" w:rsidRPr="00674E73" w:rsidRDefault="00C36526" w:rsidP="00427BD6">
      <w:pPr>
        <w:pStyle w:val="Prrafodelista"/>
        <w:widowControl w:val="0"/>
        <w:numPr>
          <w:ilvl w:val="0"/>
          <w:numId w:val="18"/>
        </w:numPr>
        <w:autoSpaceDE w:val="0"/>
        <w:autoSpaceDN w:val="0"/>
        <w:jc w:val="both"/>
        <w:rPr>
          <w:rFonts w:ascii="Abadi" w:hAnsi="Abadi"/>
          <w:sz w:val="21"/>
          <w:szCs w:val="21"/>
        </w:rPr>
      </w:pPr>
      <w:r w:rsidRPr="009B7A89">
        <w:rPr>
          <w:rFonts w:ascii="Abadi" w:hAnsi="Abadi"/>
          <w:sz w:val="21"/>
          <w:szCs w:val="21"/>
        </w:rPr>
        <w:t xml:space="preserve">Partiendo del número de servidores públicos laborando en una plaza </w:t>
      </w:r>
      <w:r w:rsidRPr="009B7A89">
        <w:rPr>
          <w:rFonts w:ascii="Abadi" w:hAnsi="Abadi"/>
          <w:spacing w:val="-2"/>
          <w:sz w:val="21"/>
          <w:szCs w:val="21"/>
        </w:rPr>
        <w:t>presupuestal</w:t>
      </w:r>
      <w:r w:rsidRPr="009B7A89">
        <w:rPr>
          <w:rFonts w:ascii="Abadi" w:hAnsi="Abadi"/>
          <w:spacing w:val="-8"/>
          <w:sz w:val="21"/>
          <w:szCs w:val="21"/>
        </w:rPr>
        <w:t xml:space="preserve"> </w:t>
      </w:r>
      <w:r w:rsidRPr="009B7A89">
        <w:rPr>
          <w:rFonts w:ascii="Abadi" w:hAnsi="Abadi"/>
          <w:spacing w:val="-2"/>
          <w:sz w:val="21"/>
          <w:szCs w:val="21"/>
        </w:rPr>
        <w:t>(12,824),</w:t>
      </w:r>
      <w:r w:rsidRPr="009B7A89">
        <w:rPr>
          <w:rFonts w:ascii="Abadi" w:hAnsi="Abadi"/>
          <w:spacing w:val="-7"/>
          <w:sz w:val="21"/>
          <w:szCs w:val="21"/>
        </w:rPr>
        <w:t xml:space="preserve"> </w:t>
      </w:r>
      <w:r w:rsidRPr="009B7A89">
        <w:rPr>
          <w:rFonts w:ascii="Abadi" w:hAnsi="Abadi"/>
          <w:spacing w:val="-2"/>
          <w:sz w:val="21"/>
          <w:szCs w:val="21"/>
        </w:rPr>
        <w:t>existe</w:t>
      </w:r>
      <w:r w:rsidRPr="009B7A89">
        <w:rPr>
          <w:rFonts w:ascii="Abadi" w:hAnsi="Abadi"/>
          <w:spacing w:val="-8"/>
          <w:sz w:val="21"/>
          <w:szCs w:val="21"/>
        </w:rPr>
        <w:t xml:space="preserve"> </w:t>
      </w:r>
      <w:r w:rsidRPr="009B7A89">
        <w:rPr>
          <w:rFonts w:ascii="Abadi" w:hAnsi="Abadi"/>
          <w:spacing w:val="-2"/>
          <w:sz w:val="21"/>
          <w:szCs w:val="21"/>
        </w:rPr>
        <w:t>un</w:t>
      </w:r>
      <w:r w:rsidRPr="009B7A89">
        <w:rPr>
          <w:rFonts w:ascii="Abadi" w:hAnsi="Abadi"/>
          <w:spacing w:val="-9"/>
          <w:sz w:val="21"/>
          <w:szCs w:val="21"/>
        </w:rPr>
        <w:t xml:space="preserve"> </w:t>
      </w:r>
      <w:r w:rsidRPr="009B7A89">
        <w:rPr>
          <w:rFonts w:ascii="Abadi" w:hAnsi="Abadi"/>
          <w:spacing w:val="-2"/>
          <w:sz w:val="21"/>
          <w:szCs w:val="21"/>
        </w:rPr>
        <w:t>margen</w:t>
      </w:r>
      <w:r w:rsidRPr="009B7A89">
        <w:rPr>
          <w:rFonts w:ascii="Abadi" w:hAnsi="Abadi"/>
          <w:spacing w:val="-8"/>
          <w:sz w:val="21"/>
          <w:szCs w:val="21"/>
        </w:rPr>
        <w:t xml:space="preserve"> </w:t>
      </w:r>
      <w:r w:rsidRPr="009B7A89">
        <w:rPr>
          <w:rFonts w:ascii="Abadi" w:hAnsi="Abadi"/>
          <w:spacing w:val="-2"/>
          <w:sz w:val="21"/>
          <w:szCs w:val="21"/>
        </w:rPr>
        <w:t>de</w:t>
      </w:r>
      <w:r w:rsidRPr="009B7A89">
        <w:rPr>
          <w:rFonts w:ascii="Abadi" w:hAnsi="Abadi"/>
          <w:spacing w:val="-8"/>
          <w:sz w:val="21"/>
          <w:szCs w:val="21"/>
        </w:rPr>
        <w:t xml:space="preserve"> </w:t>
      </w:r>
      <w:r w:rsidRPr="009B7A89">
        <w:rPr>
          <w:rFonts w:ascii="Abadi" w:hAnsi="Abadi"/>
          <w:spacing w:val="-2"/>
          <w:sz w:val="21"/>
          <w:szCs w:val="21"/>
        </w:rPr>
        <w:t>1,806</w:t>
      </w:r>
      <w:r w:rsidRPr="009B7A89">
        <w:rPr>
          <w:rFonts w:ascii="Abadi" w:hAnsi="Abadi"/>
          <w:spacing w:val="-7"/>
          <w:sz w:val="21"/>
          <w:szCs w:val="21"/>
        </w:rPr>
        <w:t xml:space="preserve"> </w:t>
      </w:r>
      <w:r w:rsidRPr="009B7A89">
        <w:rPr>
          <w:rFonts w:ascii="Abadi" w:hAnsi="Abadi"/>
          <w:spacing w:val="-2"/>
          <w:sz w:val="21"/>
          <w:szCs w:val="21"/>
        </w:rPr>
        <w:t>plazas</w:t>
      </w:r>
      <w:r w:rsidRPr="009B7A89">
        <w:rPr>
          <w:rFonts w:ascii="Abadi" w:hAnsi="Abadi"/>
          <w:spacing w:val="-8"/>
          <w:sz w:val="21"/>
          <w:szCs w:val="21"/>
        </w:rPr>
        <w:t xml:space="preserve"> </w:t>
      </w:r>
      <w:r w:rsidRPr="009B7A89">
        <w:rPr>
          <w:rFonts w:ascii="Abadi" w:hAnsi="Abadi"/>
          <w:spacing w:val="-2"/>
          <w:sz w:val="21"/>
          <w:szCs w:val="21"/>
        </w:rPr>
        <w:t>con</w:t>
      </w:r>
      <w:r w:rsidRPr="009B7A89">
        <w:rPr>
          <w:rFonts w:ascii="Abadi" w:hAnsi="Abadi"/>
          <w:spacing w:val="-8"/>
          <w:sz w:val="21"/>
          <w:szCs w:val="21"/>
        </w:rPr>
        <w:t xml:space="preserve"> </w:t>
      </w:r>
      <w:r w:rsidRPr="009B7A89">
        <w:rPr>
          <w:rFonts w:ascii="Abadi" w:hAnsi="Abadi"/>
          <w:spacing w:val="-2"/>
          <w:sz w:val="21"/>
          <w:szCs w:val="21"/>
        </w:rPr>
        <w:t>respecto</w:t>
      </w:r>
      <w:r w:rsidRPr="009B7A89">
        <w:rPr>
          <w:rFonts w:ascii="Abadi" w:hAnsi="Abadi"/>
          <w:spacing w:val="-9"/>
          <w:sz w:val="21"/>
          <w:szCs w:val="21"/>
        </w:rPr>
        <w:t xml:space="preserve"> </w:t>
      </w:r>
      <w:r w:rsidRPr="009B7A89">
        <w:rPr>
          <w:rFonts w:ascii="Abadi" w:hAnsi="Abadi"/>
          <w:spacing w:val="-2"/>
          <w:sz w:val="21"/>
          <w:szCs w:val="21"/>
        </w:rPr>
        <w:t>a</w:t>
      </w:r>
      <w:r w:rsidRPr="009B7A89">
        <w:rPr>
          <w:rFonts w:ascii="Abadi" w:hAnsi="Abadi"/>
          <w:spacing w:val="-8"/>
          <w:sz w:val="21"/>
          <w:szCs w:val="21"/>
        </w:rPr>
        <w:t xml:space="preserve"> </w:t>
      </w:r>
      <w:r w:rsidRPr="009B7A89">
        <w:rPr>
          <w:rFonts w:ascii="Abadi" w:hAnsi="Abadi"/>
          <w:spacing w:val="-2"/>
          <w:sz w:val="21"/>
          <w:szCs w:val="21"/>
        </w:rPr>
        <w:t>las aprobadas</w:t>
      </w:r>
      <w:r w:rsidRPr="009B7A89">
        <w:rPr>
          <w:rFonts w:ascii="Abadi" w:hAnsi="Abadi"/>
          <w:spacing w:val="-9"/>
          <w:sz w:val="21"/>
          <w:szCs w:val="21"/>
        </w:rPr>
        <w:t xml:space="preserve"> </w:t>
      </w:r>
      <w:r w:rsidRPr="009B7A89">
        <w:rPr>
          <w:rFonts w:ascii="Abadi" w:hAnsi="Abadi"/>
          <w:spacing w:val="-2"/>
          <w:sz w:val="21"/>
          <w:szCs w:val="21"/>
        </w:rPr>
        <w:t>en</w:t>
      </w:r>
      <w:r w:rsidRPr="009B7A89">
        <w:rPr>
          <w:rFonts w:ascii="Abadi" w:hAnsi="Abadi"/>
          <w:spacing w:val="-10"/>
          <w:sz w:val="21"/>
          <w:szCs w:val="21"/>
        </w:rPr>
        <w:t xml:space="preserve"> </w:t>
      </w:r>
      <w:r w:rsidRPr="009B7A89">
        <w:rPr>
          <w:rFonts w:ascii="Abadi" w:hAnsi="Abadi"/>
          <w:spacing w:val="-2"/>
          <w:sz w:val="21"/>
          <w:szCs w:val="21"/>
        </w:rPr>
        <w:t>el</w:t>
      </w:r>
      <w:r w:rsidRPr="009B7A89">
        <w:rPr>
          <w:rFonts w:ascii="Abadi" w:hAnsi="Abadi"/>
          <w:spacing w:val="-8"/>
          <w:sz w:val="21"/>
          <w:szCs w:val="21"/>
        </w:rPr>
        <w:t xml:space="preserve"> </w:t>
      </w:r>
      <w:r w:rsidRPr="009B7A89">
        <w:rPr>
          <w:rFonts w:ascii="Abadi" w:hAnsi="Abadi"/>
          <w:spacing w:val="-2"/>
          <w:sz w:val="21"/>
          <w:szCs w:val="21"/>
        </w:rPr>
        <w:t>presupuesto</w:t>
      </w:r>
      <w:r w:rsidRPr="009B7A89">
        <w:rPr>
          <w:rFonts w:ascii="Abadi" w:hAnsi="Abadi"/>
          <w:spacing w:val="-9"/>
          <w:sz w:val="21"/>
          <w:szCs w:val="21"/>
        </w:rPr>
        <w:t xml:space="preserve"> </w:t>
      </w:r>
      <w:r w:rsidRPr="009B7A89">
        <w:rPr>
          <w:rFonts w:ascii="Abadi" w:hAnsi="Abadi"/>
          <w:spacing w:val="-2"/>
          <w:sz w:val="21"/>
          <w:szCs w:val="21"/>
        </w:rPr>
        <w:t>de</w:t>
      </w:r>
      <w:r w:rsidRPr="009B7A89">
        <w:rPr>
          <w:rFonts w:ascii="Abadi" w:hAnsi="Abadi"/>
          <w:spacing w:val="-10"/>
          <w:sz w:val="21"/>
          <w:szCs w:val="21"/>
        </w:rPr>
        <w:t xml:space="preserve"> </w:t>
      </w:r>
      <w:r w:rsidRPr="009B7A89">
        <w:rPr>
          <w:rFonts w:ascii="Abadi" w:hAnsi="Abadi"/>
          <w:spacing w:val="-2"/>
          <w:sz w:val="21"/>
          <w:szCs w:val="21"/>
        </w:rPr>
        <w:t>egresos</w:t>
      </w:r>
      <w:r w:rsidRPr="009B7A89">
        <w:rPr>
          <w:rFonts w:ascii="Abadi" w:hAnsi="Abadi"/>
          <w:spacing w:val="-10"/>
          <w:sz w:val="21"/>
          <w:szCs w:val="21"/>
        </w:rPr>
        <w:t xml:space="preserve"> </w:t>
      </w:r>
      <w:r w:rsidRPr="009B7A89">
        <w:rPr>
          <w:rFonts w:ascii="Abadi" w:hAnsi="Abadi"/>
          <w:spacing w:val="-2"/>
          <w:sz w:val="21"/>
          <w:szCs w:val="21"/>
        </w:rPr>
        <w:t>de</w:t>
      </w:r>
      <w:r w:rsidRPr="009B7A89">
        <w:rPr>
          <w:rFonts w:ascii="Abadi" w:hAnsi="Abadi"/>
          <w:spacing w:val="-9"/>
          <w:sz w:val="21"/>
          <w:szCs w:val="21"/>
        </w:rPr>
        <w:t xml:space="preserve"> </w:t>
      </w:r>
      <w:r w:rsidRPr="009B7A89">
        <w:rPr>
          <w:rFonts w:ascii="Abadi" w:hAnsi="Abadi"/>
          <w:spacing w:val="-2"/>
          <w:sz w:val="21"/>
          <w:szCs w:val="21"/>
        </w:rPr>
        <w:t>este</w:t>
      </w:r>
      <w:r w:rsidRPr="009B7A89">
        <w:rPr>
          <w:rFonts w:ascii="Abadi" w:hAnsi="Abadi"/>
          <w:spacing w:val="-10"/>
          <w:sz w:val="21"/>
          <w:szCs w:val="21"/>
        </w:rPr>
        <w:t xml:space="preserve"> </w:t>
      </w:r>
      <w:r w:rsidRPr="009B7A89">
        <w:rPr>
          <w:rFonts w:ascii="Abadi" w:hAnsi="Abadi"/>
          <w:spacing w:val="-2"/>
          <w:sz w:val="21"/>
          <w:szCs w:val="21"/>
        </w:rPr>
        <w:t>2023</w:t>
      </w:r>
      <w:r w:rsidRPr="009B7A89">
        <w:rPr>
          <w:rFonts w:ascii="Abadi" w:hAnsi="Abadi"/>
          <w:spacing w:val="-9"/>
          <w:sz w:val="21"/>
          <w:szCs w:val="21"/>
        </w:rPr>
        <w:t xml:space="preserve"> </w:t>
      </w:r>
      <w:r w:rsidRPr="009B7A89">
        <w:rPr>
          <w:rFonts w:ascii="Abadi" w:hAnsi="Abadi"/>
          <w:spacing w:val="-2"/>
          <w:sz w:val="21"/>
          <w:szCs w:val="21"/>
        </w:rPr>
        <w:t>(14,630).</w:t>
      </w:r>
      <w:r w:rsidRPr="009B7A89">
        <w:rPr>
          <w:rFonts w:ascii="Abadi" w:hAnsi="Abadi"/>
          <w:spacing w:val="-9"/>
          <w:sz w:val="21"/>
          <w:szCs w:val="21"/>
        </w:rPr>
        <w:t xml:space="preserve"> </w:t>
      </w:r>
      <w:r w:rsidRPr="009B7A89">
        <w:rPr>
          <w:rFonts w:ascii="Abadi" w:hAnsi="Abadi"/>
          <w:spacing w:val="-2"/>
          <w:sz w:val="21"/>
          <w:szCs w:val="21"/>
        </w:rPr>
        <w:t>Un</w:t>
      </w:r>
      <w:r w:rsidRPr="009B7A89">
        <w:rPr>
          <w:rFonts w:ascii="Abadi" w:hAnsi="Abadi"/>
          <w:spacing w:val="-9"/>
          <w:sz w:val="21"/>
          <w:szCs w:val="21"/>
        </w:rPr>
        <w:t xml:space="preserve"> </w:t>
      </w:r>
      <w:r w:rsidRPr="009B7A89">
        <w:rPr>
          <w:rFonts w:ascii="Abadi" w:hAnsi="Abadi"/>
          <w:spacing w:val="-2"/>
          <w:sz w:val="21"/>
          <w:szCs w:val="21"/>
        </w:rPr>
        <w:t>número cercano</w:t>
      </w:r>
      <w:r w:rsidRPr="009B7A89">
        <w:rPr>
          <w:rFonts w:ascii="Abadi" w:hAnsi="Abadi"/>
          <w:spacing w:val="-13"/>
          <w:sz w:val="21"/>
          <w:szCs w:val="21"/>
        </w:rPr>
        <w:t xml:space="preserve"> </w:t>
      </w:r>
      <w:r w:rsidRPr="009B7A89">
        <w:rPr>
          <w:rFonts w:ascii="Abadi" w:hAnsi="Abadi"/>
          <w:spacing w:val="-2"/>
          <w:sz w:val="21"/>
          <w:szCs w:val="21"/>
        </w:rPr>
        <w:t>a</w:t>
      </w:r>
      <w:r w:rsidRPr="009B7A89">
        <w:rPr>
          <w:rFonts w:ascii="Abadi" w:hAnsi="Abadi"/>
          <w:spacing w:val="-12"/>
          <w:sz w:val="21"/>
          <w:szCs w:val="21"/>
        </w:rPr>
        <w:t xml:space="preserve"> </w:t>
      </w:r>
      <w:r w:rsidRPr="009B7A89">
        <w:rPr>
          <w:rFonts w:ascii="Abadi" w:hAnsi="Abadi"/>
          <w:spacing w:val="-2"/>
          <w:sz w:val="21"/>
          <w:szCs w:val="21"/>
        </w:rPr>
        <w:t>la</w:t>
      </w:r>
      <w:r w:rsidRPr="009B7A89">
        <w:rPr>
          <w:rFonts w:ascii="Abadi" w:hAnsi="Abadi"/>
          <w:spacing w:val="-12"/>
          <w:sz w:val="21"/>
          <w:szCs w:val="21"/>
        </w:rPr>
        <w:t xml:space="preserve"> </w:t>
      </w:r>
      <w:r w:rsidRPr="009B7A89">
        <w:rPr>
          <w:rFonts w:ascii="Abadi" w:hAnsi="Abadi"/>
          <w:spacing w:val="-2"/>
          <w:sz w:val="21"/>
          <w:szCs w:val="21"/>
        </w:rPr>
        <w:t>supuesta</w:t>
      </w:r>
      <w:r w:rsidRPr="009B7A89">
        <w:rPr>
          <w:rFonts w:ascii="Abadi" w:hAnsi="Abadi"/>
          <w:spacing w:val="-13"/>
          <w:sz w:val="21"/>
          <w:szCs w:val="21"/>
        </w:rPr>
        <w:t xml:space="preserve"> </w:t>
      </w:r>
      <w:r w:rsidRPr="009B7A89">
        <w:rPr>
          <w:rFonts w:ascii="Abadi" w:hAnsi="Abadi"/>
          <w:spacing w:val="-2"/>
          <w:sz w:val="21"/>
          <w:szCs w:val="21"/>
        </w:rPr>
        <w:t>primera</w:t>
      </w:r>
      <w:r w:rsidRPr="009B7A89">
        <w:rPr>
          <w:rFonts w:ascii="Abadi" w:hAnsi="Abadi"/>
          <w:spacing w:val="-12"/>
          <w:sz w:val="21"/>
          <w:szCs w:val="21"/>
        </w:rPr>
        <w:t xml:space="preserve"> </w:t>
      </w:r>
      <w:r w:rsidRPr="009B7A89">
        <w:rPr>
          <w:rFonts w:ascii="Abadi" w:hAnsi="Abadi"/>
          <w:spacing w:val="-2"/>
          <w:sz w:val="21"/>
          <w:szCs w:val="21"/>
        </w:rPr>
        <w:t>fase</w:t>
      </w:r>
      <w:r w:rsidRPr="009B7A89">
        <w:rPr>
          <w:rFonts w:ascii="Abadi" w:hAnsi="Abadi"/>
          <w:spacing w:val="-12"/>
          <w:sz w:val="21"/>
          <w:szCs w:val="21"/>
        </w:rPr>
        <w:t xml:space="preserve"> </w:t>
      </w:r>
      <w:r w:rsidRPr="009B7A89">
        <w:rPr>
          <w:rFonts w:ascii="Abadi" w:hAnsi="Abadi"/>
          <w:spacing w:val="-2"/>
          <w:sz w:val="21"/>
          <w:szCs w:val="21"/>
        </w:rPr>
        <w:t>de</w:t>
      </w:r>
      <w:r w:rsidRPr="009B7A89">
        <w:rPr>
          <w:rFonts w:ascii="Abadi" w:hAnsi="Abadi"/>
          <w:spacing w:val="-13"/>
          <w:sz w:val="21"/>
          <w:szCs w:val="21"/>
        </w:rPr>
        <w:t xml:space="preserve"> </w:t>
      </w:r>
      <w:r w:rsidRPr="009B7A89">
        <w:rPr>
          <w:rFonts w:ascii="Abadi" w:hAnsi="Abadi"/>
          <w:spacing w:val="-2"/>
          <w:sz w:val="21"/>
          <w:szCs w:val="21"/>
        </w:rPr>
        <w:t>basificación</w:t>
      </w:r>
      <w:r w:rsidRPr="009B7A89">
        <w:rPr>
          <w:rFonts w:ascii="Abadi" w:hAnsi="Abadi"/>
          <w:spacing w:val="-12"/>
          <w:sz w:val="21"/>
          <w:szCs w:val="21"/>
        </w:rPr>
        <w:t xml:space="preserve"> </w:t>
      </w:r>
      <w:r w:rsidRPr="009B7A89">
        <w:rPr>
          <w:rFonts w:ascii="Abadi" w:hAnsi="Abadi"/>
          <w:spacing w:val="-2"/>
          <w:sz w:val="21"/>
          <w:szCs w:val="21"/>
        </w:rPr>
        <w:t>anunciada</w:t>
      </w:r>
      <w:r w:rsidRPr="009B7A89">
        <w:rPr>
          <w:rFonts w:ascii="Abadi" w:hAnsi="Abadi"/>
          <w:spacing w:val="-12"/>
          <w:sz w:val="21"/>
          <w:szCs w:val="21"/>
        </w:rPr>
        <w:t xml:space="preserve"> </w:t>
      </w:r>
      <w:r w:rsidRPr="009B7A89">
        <w:rPr>
          <w:rFonts w:ascii="Abadi" w:hAnsi="Abadi"/>
          <w:spacing w:val="-2"/>
          <w:sz w:val="21"/>
          <w:szCs w:val="21"/>
        </w:rPr>
        <w:t>(1,875).</w:t>
      </w:r>
    </w:p>
    <w:p w14:paraId="77FBBB58" w14:textId="77777777" w:rsidR="00674E73" w:rsidRPr="009B7A89" w:rsidRDefault="00674E73" w:rsidP="00B178F5">
      <w:pPr>
        <w:pStyle w:val="Prrafodelista"/>
        <w:widowControl w:val="0"/>
        <w:autoSpaceDE w:val="0"/>
        <w:autoSpaceDN w:val="0"/>
        <w:ind w:left="567"/>
        <w:jc w:val="both"/>
        <w:rPr>
          <w:rFonts w:ascii="Abadi" w:hAnsi="Abadi"/>
          <w:sz w:val="21"/>
          <w:szCs w:val="21"/>
        </w:rPr>
      </w:pPr>
    </w:p>
    <w:p w14:paraId="0E9B834B" w14:textId="274C36FF" w:rsidR="00C36526" w:rsidRPr="009B7A89" w:rsidRDefault="00C36526" w:rsidP="00427BD6">
      <w:pPr>
        <w:pStyle w:val="Prrafodelista"/>
        <w:widowControl w:val="0"/>
        <w:numPr>
          <w:ilvl w:val="0"/>
          <w:numId w:val="18"/>
        </w:numPr>
        <w:autoSpaceDE w:val="0"/>
        <w:autoSpaceDN w:val="0"/>
        <w:jc w:val="both"/>
        <w:rPr>
          <w:rFonts w:ascii="Abadi" w:hAnsi="Abadi"/>
          <w:sz w:val="21"/>
          <w:szCs w:val="21"/>
        </w:rPr>
      </w:pPr>
      <w:r w:rsidRPr="009B7A89">
        <w:rPr>
          <w:rFonts w:ascii="Abadi" w:hAnsi="Abadi"/>
          <w:sz w:val="21"/>
          <w:szCs w:val="21"/>
        </w:rPr>
        <w:t xml:space="preserve">Al 8 de mayo no se contaba con una estimación presupuestal para dar cobertura total al personal de salud en la estrategia de basificación del </w:t>
      </w:r>
      <w:r w:rsidRPr="009B7A89">
        <w:rPr>
          <w:rFonts w:ascii="Abadi" w:hAnsi="Abadi"/>
          <w:spacing w:val="-4"/>
          <w:sz w:val="21"/>
          <w:szCs w:val="21"/>
        </w:rPr>
        <w:t>personal,</w:t>
      </w:r>
      <w:r w:rsidRPr="009B7A89">
        <w:rPr>
          <w:rFonts w:ascii="Abadi" w:hAnsi="Abadi"/>
          <w:spacing w:val="-9"/>
          <w:sz w:val="21"/>
          <w:szCs w:val="21"/>
        </w:rPr>
        <w:t xml:space="preserve"> </w:t>
      </w:r>
      <w:r w:rsidRPr="009B7A89">
        <w:rPr>
          <w:rFonts w:ascii="Abadi" w:hAnsi="Abadi"/>
          <w:spacing w:val="-4"/>
          <w:sz w:val="21"/>
          <w:szCs w:val="21"/>
        </w:rPr>
        <w:t>ni</w:t>
      </w:r>
      <w:r w:rsidRPr="009B7A89">
        <w:rPr>
          <w:rFonts w:ascii="Abadi" w:hAnsi="Abadi"/>
          <w:spacing w:val="-7"/>
          <w:sz w:val="21"/>
          <w:szCs w:val="21"/>
        </w:rPr>
        <w:t xml:space="preserve"> </w:t>
      </w:r>
      <w:r w:rsidRPr="009B7A89">
        <w:rPr>
          <w:rFonts w:ascii="Abadi" w:hAnsi="Abadi"/>
          <w:spacing w:val="-4"/>
          <w:sz w:val="21"/>
          <w:szCs w:val="21"/>
        </w:rPr>
        <w:t>tampoco</w:t>
      </w:r>
      <w:r w:rsidRPr="009B7A89">
        <w:rPr>
          <w:rFonts w:ascii="Abadi" w:hAnsi="Abadi"/>
          <w:spacing w:val="-7"/>
          <w:sz w:val="21"/>
          <w:szCs w:val="21"/>
        </w:rPr>
        <w:t xml:space="preserve"> </w:t>
      </w:r>
      <w:r w:rsidRPr="009B7A89">
        <w:rPr>
          <w:rFonts w:ascii="Abadi" w:hAnsi="Abadi"/>
          <w:spacing w:val="-4"/>
          <w:sz w:val="21"/>
          <w:szCs w:val="21"/>
        </w:rPr>
        <w:t>se</w:t>
      </w:r>
      <w:r w:rsidRPr="009B7A89">
        <w:rPr>
          <w:rFonts w:ascii="Abadi" w:hAnsi="Abadi"/>
          <w:spacing w:val="-7"/>
          <w:sz w:val="21"/>
          <w:szCs w:val="21"/>
        </w:rPr>
        <w:t xml:space="preserve"> </w:t>
      </w:r>
      <w:r w:rsidRPr="009B7A89">
        <w:rPr>
          <w:rFonts w:ascii="Abadi" w:hAnsi="Abadi"/>
          <w:spacing w:val="-4"/>
          <w:sz w:val="21"/>
          <w:szCs w:val="21"/>
        </w:rPr>
        <w:t>cuenta</w:t>
      </w:r>
      <w:r w:rsidRPr="009B7A89">
        <w:rPr>
          <w:rFonts w:ascii="Abadi" w:hAnsi="Abadi"/>
          <w:spacing w:val="-7"/>
          <w:sz w:val="21"/>
          <w:szCs w:val="21"/>
        </w:rPr>
        <w:t xml:space="preserve"> </w:t>
      </w:r>
      <w:r w:rsidRPr="009B7A89">
        <w:rPr>
          <w:rFonts w:ascii="Abadi" w:hAnsi="Abadi"/>
          <w:spacing w:val="-4"/>
          <w:sz w:val="21"/>
          <w:szCs w:val="21"/>
        </w:rPr>
        <w:t>con</w:t>
      </w:r>
      <w:r w:rsidRPr="009B7A89">
        <w:rPr>
          <w:rFonts w:ascii="Abadi" w:hAnsi="Abadi"/>
          <w:spacing w:val="-7"/>
          <w:sz w:val="21"/>
          <w:szCs w:val="21"/>
        </w:rPr>
        <w:t xml:space="preserve"> </w:t>
      </w:r>
      <w:r w:rsidRPr="009B7A89">
        <w:rPr>
          <w:rFonts w:ascii="Abadi" w:hAnsi="Abadi"/>
          <w:spacing w:val="-4"/>
          <w:sz w:val="21"/>
          <w:szCs w:val="21"/>
        </w:rPr>
        <w:t>un</w:t>
      </w:r>
      <w:r w:rsidRPr="009B7A89">
        <w:rPr>
          <w:rFonts w:ascii="Abadi" w:hAnsi="Abadi"/>
          <w:spacing w:val="-7"/>
          <w:sz w:val="21"/>
          <w:szCs w:val="21"/>
        </w:rPr>
        <w:t xml:space="preserve"> </w:t>
      </w:r>
      <w:proofErr w:type="spellStart"/>
      <w:r w:rsidRPr="009B7A89">
        <w:rPr>
          <w:rFonts w:ascii="Abadi" w:hAnsi="Abadi"/>
          <w:spacing w:val="-4"/>
          <w:sz w:val="21"/>
          <w:szCs w:val="21"/>
        </w:rPr>
        <w:t>prespuesto</w:t>
      </w:r>
      <w:proofErr w:type="spellEnd"/>
      <w:r w:rsidRPr="009B7A89">
        <w:rPr>
          <w:rFonts w:ascii="Abadi" w:hAnsi="Abadi"/>
          <w:spacing w:val="-9"/>
          <w:sz w:val="21"/>
          <w:szCs w:val="21"/>
        </w:rPr>
        <w:t xml:space="preserve"> </w:t>
      </w:r>
      <w:r w:rsidRPr="009B7A89">
        <w:rPr>
          <w:rFonts w:ascii="Abadi" w:hAnsi="Abadi"/>
          <w:spacing w:val="-4"/>
          <w:sz w:val="21"/>
          <w:szCs w:val="21"/>
        </w:rPr>
        <w:t>específico</w:t>
      </w:r>
      <w:r w:rsidRPr="009B7A89">
        <w:rPr>
          <w:rFonts w:ascii="Abadi" w:hAnsi="Abadi"/>
          <w:spacing w:val="-7"/>
          <w:sz w:val="21"/>
          <w:szCs w:val="21"/>
        </w:rPr>
        <w:t xml:space="preserve"> </w:t>
      </w:r>
      <w:r w:rsidRPr="009B7A89">
        <w:rPr>
          <w:rFonts w:ascii="Abadi" w:hAnsi="Abadi"/>
          <w:spacing w:val="-4"/>
          <w:sz w:val="21"/>
          <w:szCs w:val="21"/>
        </w:rPr>
        <w:t>destinado</w:t>
      </w:r>
      <w:r w:rsidRPr="009B7A89">
        <w:rPr>
          <w:rFonts w:ascii="Abadi" w:hAnsi="Abadi"/>
          <w:spacing w:val="-7"/>
          <w:sz w:val="21"/>
          <w:szCs w:val="21"/>
        </w:rPr>
        <w:t xml:space="preserve"> </w:t>
      </w:r>
      <w:r w:rsidRPr="009B7A89">
        <w:rPr>
          <w:rFonts w:ascii="Abadi" w:hAnsi="Abadi"/>
          <w:spacing w:val="-4"/>
          <w:sz w:val="21"/>
          <w:szCs w:val="21"/>
        </w:rPr>
        <w:t xml:space="preserve">para </w:t>
      </w:r>
      <w:r w:rsidRPr="009B7A89">
        <w:rPr>
          <w:rFonts w:ascii="Abadi" w:hAnsi="Abadi"/>
          <w:sz w:val="21"/>
          <w:szCs w:val="21"/>
        </w:rPr>
        <w:t>este rubro</w:t>
      </w:r>
      <w:r w:rsidR="008B2885">
        <w:rPr>
          <w:rStyle w:val="Refdenotaalpie"/>
          <w:rFonts w:ascii="Abadi" w:hAnsi="Abadi"/>
          <w:sz w:val="21"/>
          <w:szCs w:val="21"/>
        </w:rPr>
        <w:footnoteReference w:id="67"/>
      </w:r>
      <w:r w:rsidRPr="009B7A89">
        <w:rPr>
          <w:rFonts w:ascii="Abadi" w:hAnsi="Abadi"/>
          <w:sz w:val="21"/>
          <w:szCs w:val="21"/>
        </w:rPr>
        <w:t>.</w:t>
      </w:r>
    </w:p>
    <w:p w14:paraId="7F089E0C" w14:textId="77777777" w:rsidR="00C36526" w:rsidRPr="009B7A89" w:rsidRDefault="00C36526" w:rsidP="00C36526">
      <w:pPr>
        <w:pStyle w:val="Textoindependiente"/>
        <w:spacing w:before="229"/>
        <w:ind w:left="1182"/>
        <w:rPr>
          <w:rFonts w:ascii="Abadi" w:hAnsi="Abadi"/>
          <w:sz w:val="21"/>
          <w:szCs w:val="21"/>
        </w:rPr>
      </w:pPr>
      <w:r w:rsidRPr="009B7A89">
        <w:rPr>
          <w:rFonts w:ascii="Abadi" w:hAnsi="Abadi"/>
          <w:spacing w:val="-8"/>
          <w:sz w:val="21"/>
          <w:szCs w:val="21"/>
        </w:rPr>
        <w:t>De</w:t>
      </w:r>
      <w:r w:rsidRPr="009B7A89">
        <w:rPr>
          <w:rFonts w:ascii="Abadi" w:hAnsi="Abadi"/>
          <w:sz w:val="21"/>
          <w:szCs w:val="21"/>
        </w:rPr>
        <w:t xml:space="preserve"> </w:t>
      </w:r>
      <w:r w:rsidRPr="009B7A89">
        <w:rPr>
          <w:rFonts w:ascii="Abadi" w:hAnsi="Abadi"/>
          <w:spacing w:val="-8"/>
          <w:sz w:val="21"/>
          <w:szCs w:val="21"/>
        </w:rPr>
        <w:t>lo</w:t>
      </w:r>
      <w:r w:rsidRPr="009B7A89">
        <w:rPr>
          <w:rFonts w:ascii="Abadi" w:hAnsi="Abadi"/>
          <w:sz w:val="21"/>
          <w:szCs w:val="21"/>
        </w:rPr>
        <w:t xml:space="preserve"> </w:t>
      </w:r>
      <w:r w:rsidRPr="009B7A89">
        <w:rPr>
          <w:rFonts w:ascii="Abadi" w:hAnsi="Abadi"/>
          <w:spacing w:val="-8"/>
          <w:sz w:val="21"/>
          <w:szCs w:val="21"/>
        </w:rPr>
        <w:t>anterior</w:t>
      </w:r>
      <w:r w:rsidRPr="009B7A89">
        <w:rPr>
          <w:rFonts w:ascii="Abadi" w:hAnsi="Abadi"/>
          <w:sz w:val="21"/>
          <w:szCs w:val="21"/>
        </w:rPr>
        <w:t xml:space="preserve"> </w:t>
      </w:r>
      <w:r w:rsidRPr="009B7A89">
        <w:rPr>
          <w:rFonts w:ascii="Abadi" w:hAnsi="Abadi"/>
          <w:spacing w:val="-8"/>
          <w:sz w:val="21"/>
          <w:szCs w:val="21"/>
        </w:rPr>
        <w:t>se</w:t>
      </w:r>
      <w:r w:rsidRPr="009B7A89">
        <w:rPr>
          <w:rFonts w:ascii="Abadi" w:hAnsi="Abadi"/>
          <w:spacing w:val="4"/>
          <w:sz w:val="21"/>
          <w:szCs w:val="21"/>
        </w:rPr>
        <w:t xml:space="preserve"> </w:t>
      </w:r>
      <w:r w:rsidRPr="009B7A89">
        <w:rPr>
          <w:rFonts w:ascii="Abadi" w:hAnsi="Abadi"/>
          <w:spacing w:val="-8"/>
          <w:sz w:val="21"/>
          <w:szCs w:val="21"/>
        </w:rPr>
        <w:t>desprenden</w:t>
      </w:r>
      <w:r w:rsidRPr="009B7A89">
        <w:rPr>
          <w:rFonts w:ascii="Abadi" w:hAnsi="Abadi"/>
          <w:sz w:val="21"/>
          <w:szCs w:val="21"/>
        </w:rPr>
        <w:t xml:space="preserve"> </w:t>
      </w:r>
      <w:r w:rsidRPr="009B7A89">
        <w:rPr>
          <w:rFonts w:ascii="Abadi" w:hAnsi="Abadi"/>
          <w:spacing w:val="-8"/>
          <w:sz w:val="21"/>
          <w:szCs w:val="21"/>
        </w:rPr>
        <w:t>las</w:t>
      </w:r>
      <w:r w:rsidRPr="009B7A89">
        <w:rPr>
          <w:rFonts w:ascii="Abadi" w:hAnsi="Abadi"/>
          <w:spacing w:val="1"/>
          <w:sz w:val="21"/>
          <w:szCs w:val="21"/>
        </w:rPr>
        <w:t xml:space="preserve"> </w:t>
      </w:r>
      <w:r w:rsidRPr="009B7A89">
        <w:rPr>
          <w:rFonts w:ascii="Abadi" w:hAnsi="Abadi"/>
          <w:spacing w:val="-8"/>
          <w:sz w:val="21"/>
          <w:szCs w:val="21"/>
        </w:rPr>
        <w:t>siguientes</w:t>
      </w:r>
      <w:r w:rsidRPr="009B7A89">
        <w:rPr>
          <w:rFonts w:ascii="Abadi" w:hAnsi="Abadi"/>
          <w:spacing w:val="2"/>
          <w:sz w:val="21"/>
          <w:szCs w:val="21"/>
        </w:rPr>
        <w:t xml:space="preserve"> </w:t>
      </w:r>
      <w:r w:rsidRPr="009B7A89">
        <w:rPr>
          <w:rFonts w:ascii="Abadi" w:hAnsi="Abadi"/>
          <w:spacing w:val="-8"/>
          <w:sz w:val="21"/>
          <w:szCs w:val="21"/>
        </w:rPr>
        <w:t>preguntas:</w:t>
      </w:r>
    </w:p>
    <w:p w14:paraId="08A42F58" w14:textId="77777777" w:rsidR="00C36526" w:rsidRPr="009B7A89" w:rsidRDefault="00C36526" w:rsidP="00C36526">
      <w:pPr>
        <w:pStyle w:val="Textoindependiente"/>
        <w:spacing w:before="2"/>
        <w:rPr>
          <w:rFonts w:ascii="Abadi" w:hAnsi="Abadi"/>
          <w:sz w:val="21"/>
          <w:szCs w:val="21"/>
        </w:rPr>
      </w:pPr>
    </w:p>
    <w:p w14:paraId="1DB8F58C" w14:textId="77777777" w:rsidR="00C36526" w:rsidRPr="009B7A89" w:rsidRDefault="00C36526" w:rsidP="00427BD6">
      <w:pPr>
        <w:pStyle w:val="Prrafodelista"/>
        <w:widowControl w:val="0"/>
        <w:numPr>
          <w:ilvl w:val="1"/>
          <w:numId w:val="17"/>
        </w:numPr>
        <w:autoSpaceDE w:val="0"/>
        <w:autoSpaceDN w:val="0"/>
        <w:ind w:left="993" w:right="142"/>
        <w:jc w:val="both"/>
        <w:rPr>
          <w:rFonts w:ascii="Abadi" w:hAnsi="Abadi"/>
          <w:sz w:val="21"/>
          <w:szCs w:val="21"/>
        </w:rPr>
      </w:pPr>
      <w:r w:rsidRPr="009B7A89">
        <w:rPr>
          <w:rFonts w:ascii="Abadi" w:hAnsi="Abadi"/>
          <w:sz w:val="21"/>
          <w:szCs w:val="21"/>
        </w:rPr>
        <w:t>¿Por</w:t>
      </w:r>
      <w:r w:rsidRPr="009B7A89">
        <w:rPr>
          <w:rFonts w:ascii="Abadi" w:hAnsi="Abadi"/>
          <w:spacing w:val="-11"/>
          <w:sz w:val="21"/>
          <w:szCs w:val="21"/>
        </w:rPr>
        <w:t xml:space="preserve"> </w:t>
      </w:r>
      <w:r w:rsidRPr="009B7A89">
        <w:rPr>
          <w:rFonts w:ascii="Abadi" w:hAnsi="Abadi"/>
          <w:sz w:val="21"/>
          <w:szCs w:val="21"/>
        </w:rPr>
        <w:t>qué</w:t>
      </w:r>
      <w:r w:rsidRPr="009B7A89">
        <w:rPr>
          <w:rFonts w:ascii="Abadi" w:hAnsi="Abadi"/>
          <w:spacing w:val="-11"/>
          <w:sz w:val="21"/>
          <w:szCs w:val="21"/>
        </w:rPr>
        <w:t xml:space="preserve"> </w:t>
      </w:r>
      <w:r w:rsidRPr="009B7A89">
        <w:rPr>
          <w:rFonts w:ascii="Abadi" w:hAnsi="Abadi"/>
          <w:sz w:val="21"/>
          <w:szCs w:val="21"/>
        </w:rPr>
        <w:t>hay</w:t>
      </w:r>
      <w:r w:rsidRPr="009B7A89">
        <w:rPr>
          <w:rFonts w:ascii="Abadi" w:hAnsi="Abadi"/>
          <w:spacing w:val="-12"/>
          <w:sz w:val="21"/>
          <w:szCs w:val="21"/>
        </w:rPr>
        <w:t xml:space="preserve"> </w:t>
      </w:r>
      <w:r w:rsidRPr="009B7A89">
        <w:rPr>
          <w:rFonts w:ascii="Abadi" w:hAnsi="Abadi"/>
          <w:sz w:val="21"/>
          <w:szCs w:val="21"/>
        </w:rPr>
        <w:t>más</w:t>
      </w:r>
      <w:r w:rsidRPr="009B7A89">
        <w:rPr>
          <w:rFonts w:ascii="Abadi" w:hAnsi="Abadi"/>
          <w:spacing w:val="-11"/>
          <w:sz w:val="21"/>
          <w:szCs w:val="21"/>
        </w:rPr>
        <w:t xml:space="preserve"> </w:t>
      </w:r>
      <w:r w:rsidRPr="009B7A89">
        <w:rPr>
          <w:rFonts w:ascii="Abadi" w:hAnsi="Abadi"/>
          <w:sz w:val="21"/>
          <w:szCs w:val="21"/>
        </w:rPr>
        <w:t>de</w:t>
      </w:r>
      <w:r w:rsidRPr="009B7A89">
        <w:rPr>
          <w:rFonts w:ascii="Abadi" w:hAnsi="Abadi"/>
          <w:spacing w:val="-11"/>
          <w:sz w:val="21"/>
          <w:szCs w:val="21"/>
        </w:rPr>
        <w:t xml:space="preserve"> </w:t>
      </w:r>
      <w:r w:rsidRPr="009B7A89">
        <w:rPr>
          <w:rFonts w:ascii="Abadi" w:hAnsi="Abadi"/>
          <w:sz w:val="21"/>
          <w:szCs w:val="21"/>
        </w:rPr>
        <w:t>mil</w:t>
      </w:r>
      <w:r w:rsidRPr="009B7A89">
        <w:rPr>
          <w:rFonts w:ascii="Abadi" w:hAnsi="Abadi"/>
          <w:spacing w:val="-11"/>
          <w:sz w:val="21"/>
          <w:szCs w:val="21"/>
        </w:rPr>
        <w:t xml:space="preserve"> </w:t>
      </w:r>
      <w:r w:rsidRPr="009B7A89">
        <w:rPr>
          <w:rFonts w:ascii="Abadi" w:hAnsi="Abadi"/>
          <w:sz w:val="21"/>
          <w:szCs w:val="21"/>
        </w:rPr>
        <w:t>plazas</w:t>
      </w:r>
      <w:r w:rsidRPr="009B7A89">
        <w:rPr>
          <w:rFonts w:ascii="Abadi" w:hAnsi="Abadi"/>
          <w:spacing w:val="-11"/>
          <w:sz w:val="21"/>
          <w:szCs w:val="21"/>
        </w:rPr>
        <w:t xml:space="preserve"> </w:t>
      </w:r>
      <w:r w:rsidRPr="009B7A89">
        <w:rPr>
          <w:rFonts w:ascii="Abadi" w:hAnsi="Abadi"/>
          <w:sz w:val="21"/>
          <w:szCs w:val="21"/>
        </w:rPr>
        <w:t>asignadas</w:t>
      </w:r>
      <w:r w:rsidRPr="009B7A89">
        <w:rPr>
          <w:rFonts w:ascii="Abadi" w:hAnsi="Abadi"/>
          <w:spacing w:val="-12"/>
          <w:sz w:val="21"/>
          <w:szCs w:val="21"/>
        </w:rPr>
        <w:t xml:space="preserve"> </w:t>
      </w:r>
      <w:r w:rsidRPr="009B7A89">
        <w:rPr>
          <w:rFonts w:ascii="Abadi" w:hAnsi="Abadi"/>
          <w:sz w:val="21"/>
          <w:szCs w:val="21"/>
        </w:rPr>
        <w:t>menos</w:t>
      </w:r>
      <w:r w:rsidRPr="009B7A89">
        <w:rPr>
          <w:rFonts w:ascii="Abadi" w:hAnsi="Abadi"/>
          <w:spacing w:val="-11"/>
          <w:sz w:val="21"/>
          <w:szCs w:val="21"/>
        </w:rPr>
        <w:t xml:space="preserve"> </w:t>
      </w:r>
      <w:r w:rsidRPr="009B7A89">
        <w:rPr>
          <w:rFonts w:ascii="Abadi" w:hAnsi="Abadi"/>
          <w:sz w:val="21"/>
          <w:szCs w:val="21"/>
        </w:rPr>
        <w:t>que</w:t>
      </w:r>
      <w:r w:rsidRPr="009B7A89">
        <w:rPr>
          <w:rFonts w:ascii="Abadi" w:hAnsi="Abadi"/>
          <w:spacing w:val="-11"/>
          <w:sz w:val="21"/>
          <w:szCs w:val="21"/>
        </w:rPr>
        <w:t xml:space="preserve"> </w:t>
      </w:r>
      <w:r w:rsidRPr="009B7A89">
        <w:rPr>
          <w:rFonts w:ascii="Abadi" w:hAnsi="Abadi"/>
          <w:sz w:val="21"/>
          <w:szCs w:val="21"/>
        </w:rPr>
        <w:t>al</w:t>
      </w:r>
      <w:r w:rsidRPr="009B7A89">
        <w:rPr>
          <w:rFonts w:ascii="Abadi" w:hAnsi="Abadi"/>
          <w:spacing w:val="-12"/>
          <w:sz w:val="21"/>
          <w:szCs w:val="21"/>
        </w:rPr>
        <w:t xml:space="preserve"> </w:t>
      </w:r>
      <w:r w:rsidRPr="009B7A89">
        <w:rPr>
          <w:rFonts w:ascii="Abadi" w:hAnsi="Abadi"/>
          <w:sz w:val="21"/>
          <w:szCs w:val="21"/>
        </w:rPr>
        <w:t>inicio</w:t>
      </w:r>
      <w:r w:rsidRPr="009B7A89">
        <w:rPr>
          <w:rFonts w:ascii="Abadi" w:hAnsi="Abadi"/>
          <w:spacing w:val="-11"/>
          <w:sz w:val="21"/>
          <w:szCs w:val="21"/>
        </w:rPr>
        <w:t xml:space="preserve"> </w:t>
      </w:r>
      <w:r w:rsidRPr="009B7A89">
        <w:rPr>
          <w:rFonts w:ascii="Abadi" w:hAnsi="Abadi"/>
          <w:sz w:val="21"/>
          <w:szCs w:val="21"/>
        </w:rPr>
        <w:t>del</w:t>
      </w:r>
      <w:r w:rsidRPr="009B7A89">
        <w:rPr>
          <w:rFonts w:ascii="Abadi" w:hAnsi="Abadi"/>
          <w:spacing w:val="-11"/>
          <w:sz w:val="21"/>
          <w:szCs w:val="21"/>
        </w:rPr>
        <w:t xml:space="preserve"> </w:t>
      </w:r>
      <w:r w:rsidRPr="009B7A89">
        <w:rPr>
          <w:rFonts w:ascii="Abadi" w:hAnsi="Abadi"/>
          <w:sz w:val="21"/>
          <w:szCs w:val="21"/>
        </w:rPr>
        <w:t>año</w:t>
      </w:r>
      <w:r w:rsidRPr="009B7A89">
        <w:rPr>
          <w:rFonts w:ascii="Abadi" w:hAnsi="Abadi"/>
          <w:spacing w:val="-5"/>
          <w:sz w:val="21"/>
          <w:szCs w:val="21"/>
        </w:rPr>
        <w:t xml:space="preserve"> </w:t>
      </w:r>
      <w:r w:rsidRPr="009B7A89">
        <w:rPr>
          <w:rFonts w:ascii="Abadi" w:hAnsi="Abadi"/>
          <w:sz w:val="21"/>
          <w:szCs w:val="21"/>
        </w:rPr>
        <w:t>en</w:t>
      </w:r>
      <w:r w:rsidRPr="009B7A89">
        <w:rPr>
          <w:rFonts w:ascii="Abadi" w:hAnsi="Abadi"/>
          <w:spacing w:val="-12"/>
          <w:sz w:val="21"/>
          <w:szCs w:val="21"/>
        </w:rPr>
        <w:t xml:space="preserve"> </w:t>
      </w:r>
      <w:r w:rsidRPr="009B7A89">
        <w:rPr>
          <w:rFonts w:ascii="Abadi" w:hAnsi="Abadi"/>
          <w:sz w:val="21"/>
          <w:szCs w:val="21"/>
        </w:rPr>
        <w:t xml:space="preserve">el </w:t>
      </w:r>
      <w:r w:rsidRPr="009B7A89">
        <w:rPr>
          <w:rFonts w:ascii="Abadi" w:hAnsi="Abadi"/>
          <w:spacing w:val="-2"/>
          <w:sz w:val="21"/>
          <w:szCs w:val="21"/>
        </w:rPr>
        <w:t>ISAPEG?</w:t>
      </w:r>
    </w:p>
    <w:p w14:paraId="5BB0C6A3" w14:textId="77777777" w:rsidR="00C36526" w:rsidRPr="009B7A89" w:rsidRDefault="00C36526" w:rsidP="00427BD6">
      <w:pPr>
        <w:pStyle w:val="Prrafodelista"/>
        <w:widowControl w:val="0"/>
        <w:numPr>
          <w:ilvl w:val="1"/>
          <w:numId w:val="17"/>
        </w:numPr>
        <w:autoSpaceDE w:val="0"/>
        <w:autoSpaceDN w:val="0"/>
        <w:spacing w:before="6"/>
        <w:ind w:left="993" w:right="142"/>
        <w:jc w:val="both"/>
        <w:rPr>
          <w:rFonts w:ascii="Abadi" w:hAnsi="Abadi"/>
          <w:sz w:val="21"/>
          <w:szCs w:val="21"/>
        </w:rPr>
      </w:pPr>
      <w:r w:rsidRPr="009B7A89">
        <w:rPr>
          <w:rFonts w:ascii="Abadi" w:hAnsi="Abadi"/>
          <w:spacing w:val="-6"/>
          <w:sz w:val="21"/>
          <w:szCs w:val="21"/>
        </w:rPr>
        <w:t xml:space="preserve">¿Qué mecanismo se utiliza para generar las plazas presupuestales necesarias </w:t>
      </w:r>
      <w:r w:rsidRPr="009B7A89">
        <w:rPr>
          <w:rFonts w:ascii="Abadi" w:hAnsi="Abadi"/>
          <w:sz w:val="21"/>
          <w:szCs w:val="21"/>
        </w:rPr>
        <w:t>para</w:t>
      </w:r>
      <w:r w:rsidRPr="009B7A89">
        <w:rPr>
          <w:rFonts w:ascii="Abadi" w:hAnsi="Abadi"/>
          <w:spacing w:val="-3"/>
          <w:sz w:val="21"/>
          <w:szCs w:val="21"/>
        </w:rPr>
        <w:t xml:space="preserve"> </w:t>
      </w:r>
      <w:r w:rsidRPr="009B7A89">
        <w:rPr>
          <w:rFonts w:ascii="Abadi" w:hAnsi="Abadi"/>
          <w:sz w:val="21"/>
          <w:szCs w:val="21"/>
        </w:rPr>
        <w:t>la</w:t>
      </w:r>
      <w:r w:rsidRPr="009B7A89">
        <w:rPr>
          <w:rFonts w:ascii="Abadi" w:hAnsi="Abadi"/>
          <w:spacing w:val="-3"/>
          <w:sz w:val="21"/>
          <w:szCs w:val="21"/>
        </w:rPr>
        <w:t xml:space="preserve"> </w:t>
      </w:r>
      <w:r w:rsidRPr="009B7A89">
        <w:rPr>
          <w:rFonts w:ascii="Abadi" w:hAnsi="Abadi"/>
          <w:sz w:val="21"/>
          <w:szCs w:val="21"/>
        </w:rPr>
        <w:t>promesa de</w:t>
      </w:r>
      <w:r w:rsidRPr="009B7A89">
        <w:rPr>
          <w:rFonts w:ascii="Abadi" w:hAnsi="Abadi"/>
          <w:spacing w:val="-3"/>
          <w:sz w:val="21"/>
          <w:szCs w:val="21"/>
        </w:rPr>
        <w:t xml:space="preserve"> </w:t>
      </w:r>
      <w:r w:rsidRPr="009B7A89">
        <w:rPr>
          <w:rFonts w:ascii="Abadi" w:hAnsi="Abadi"/>
          <w:sz w:val="21"/>
          <w:szCs w:val="21"/>
        </w:rPr>
        <w:t>basificación?</w:t>
      </w:r>
    </w:p>
    <w:p w14:paraId="27C13FB2" w14:textId="77777777" w:rsidR="00C36526" w:rsidRPr="009B7A89" w:rsidRDefault="00C36526" w:rsidP="00427BD6">
      <w:pPr>
        <w:pStyle w:val="Prrafodelista"/>
        <w:widowControl w:val="0"/>
        <w:numPr>
          <w:ilvl w:val="1"/>
          <w:numId w:val="17"/>
        </w:numPr>
        <w:autoSpaceDE w:val="0"/>
        <w:autoSpaceDN w:val="0"/>
        <w:spacing w:before="6"/>
        <w:ind w:left="993" w:right="142" w:hanging="359"/>
        <w:jc w:val="both"/>
        <w:rPr>
          <w:rFonts w:ascii="Abadi" w:hAnsi="Abadi"/>
          <w:sz w:val="21"/>
          <w:szCs w:val="21"/>
        </w:rPr>
      </w:pPr>
      <w:r w:rsidRPr="009B7A89">
        <w:rPr>
          <w:rFonts w:ascii="Abadi" w:hAnsi="Abadi"/>
          <w:spacing w:val="-6"/>
          <w:sz w:val="21"/>
          <w:szCs w:val="21"/>
        </w:rPr>
        <w:t>¿Qué</w:t>
      </w:r>
      <w:r w:rsidRPr="009B7A89">
        <w:rPr>
          <w:rFonts w:ascii="Abadi" w:hAnsi="Abadi"/>
          <w:spacing w:val="-7"/>
          <w:sz w:val="21"/>
          <w:szCs w:val="21"/>
        </w:rPr>
        <w:t xml:space="preserve"> </w:t>
      </w:r>
      <w:r w:rsidRPr="009B7A89">
        <w:rPr>
          <w:rFonts w:ascii="Abadi" w:hAnsi="Abadi"/>
          <w:spacing w:val="-6"/>
          <w:sz w:val="21"/>
          <w:szCs w:val="21"/>
        </w:rPr>
        <w:t>criterios</w:t>
      </w:r>
      <w:r w:rsidRPr="009B7A89">
        <w:rPr>
          <w:rFonts w:ascii="Abadi" w:hAnsi="Abadi"/>
          <w:spacing w:val="-3"/>
          <w:sz w:val="21"/>
          <w:szCs w:val="21"/>
        </w:rPr>
        <w:t xml:space="preserve"> </w:t>
      </w:r>
      <w:r w:rsidRPr="009B7A89">
        <w:rPr>
          <w:rFonts w:ascii="Abadi" w:hAnsi="Abadi"/>
          <w:spacing w:val="-6"/>
          <w:sz w:val="21"/>
          <w:szCs w:val="21"/>
        </w:rPr>
        <w:t>son utilizados</w:t>
      </w:r>
      <w:r w:rsidRPr="009B7A89">
        <w:rPr>
          <w:rFonts w:ascii="Abadi" w:hAnsi="Abadi"/>
          <w:spacing w:val="-7"/>
          <w:sz w:val="21"/>
          <w:szCs w:val="21"/>
        </w:rPr>
        <w:t xml:space="preserve"> </w:t>
      </w:r>
      <w:r w:rsidRPr="009B7A89">
        <w:rPr>
          <w:rFonts w:ascii="Abadi" w:hAnsi="Abadi"/>
          <w:spacing w:val="-6"/>
          <w:sz w:val="21"/>
          <w:szCs w:val="21"/>
        </w:rPr>
        <w:t>para</w:t>
      </w:r>
      <w:r w:rsidRPr="009B7A89">
        <w:rPr>
          <w:rFonts w:ascii="Abadi" w:hAnsi="Abadi"/>
          <w:spacing w:val="-3"/>
          <w:sz w:val="21"/>
          <w:szCs w:val="21"/>
        </w:rPr>
        <w:t xml:space="preserve"> </w:t>
      </w:r>
      <w:r w:rsidRPr="009B7A89">
        <w:rPr>
          <w:rFonts w:ascii="Abadi" w:hAnsi="Abadi"/>
          <w:spacing w:val="-6"/>
          <w:sz w:val="21"/>
          <w:szCs w:val="21"/>
        </w:rPr>
        <w:t>la asignación?</w:t>
      </w:r>
    </w:p>
    <w:p w14:paraId="3BB55965" w14:textId="77777777" w:rsidR="00C36526" w:rsidRPr="009B7A89" w:rsidRDefault="00C36526" w:rsidP="00427BD6">
      <w:pPr>
        <w:pStyle w:val="Prrafodelista"/>
        <w:widowControl w:val="0"/>
        <w:numPr>
          <w:ilvl w:val="1"/>
          <w:numId w:val="17"/>
        </w:numPr>
        <w:autoSpaceDE w:val="0"/>
        <w:autoSpaceDN w:val="0"/>
        <w:spacing w:before="162"/>
        <w:ind w:left="993" w:right="142"/>
        <w:jc w:val="both"/>
        <w:rPr>
          <w:rFonts w:ascii="Abadi" w:hAnsi="Abadi"/>
          <w:sz w:val="21"/>
          <w:szCs w:val="21"/>
        </w:rPr>
      </w:pPr>
      <w:r w:rsidRPr="009B7A89">
        <w:rPr>
          <w:rFonts w:ascii="Abadi" w:hAnsi="Abadi"/>
          <w:spacing w:val="-2"/>
          <w:sz w:val="21"/>
          <w:szCs w:val="21"/>
        </w:rPr>
        <w:t>¿De</w:t>
      </w:r>
      <w:r w:rsidRPr="009B7A89">
        <w:rPr>
          <w:rFonts w:ascii="Abadi" w:hAnsi="Abadi"/>
          <w:spacing w:val="16"/>
          <w:sz w:val="21"/>
          <w:szCs w:val="21"/>
        </w:rPr>
        <w:t xml:space="preserve"> </w:t>
      </w:r>
      <w:r w:rsidRPr="009B7A89">
        <w:rPr>
          <w:rFonts w:ascii="Abadi" w:hAnsi="Abadi"/>
          <w:spacing w:val="-2"/>
          <w:sz w:val="21"/>
          <w:szCs w:val="21"/>
        </w:rPr>
        <w:t>dónde</w:t>
      </w:r>
      <w:r w:rsidRPr="009B7A89">
        <w:rPr>
          <w:rFonts w:ascii="Abadi" w:hAnsi="Abadi"/>
          <w:spacing w:val="14"/>
          <w:sz w:val="21"/>
          <w:szCs w:val="21"/>
        </w:rPr>
        <w:t xml:space="preserve"> </w:t>
      </w:r>
      <w:r w:rsidRPr="009B7A89">
        <w:rPr>
          <w:rFonts w:ascii="Abadi" w:hAnsi="Abadi"/>
          <w:spacing w:val="-2"/>
          <w:sz w:val="21"/>
          <w:szCs w:val="21"/>
        </w:rPr>
        <w:t>se</w:t>
      </w:r>
      <w:r w:rsidRPr="009B7A89">
        <w:rPr>
          <w:rFonts w:ascii="Abadi" w:hAnsi="Abadi"/>
          <w:spacing w:val="16"/>
          <w:sz w:val="21"/>
          <w:szCs w:val="21"/>
        </w:rPr>
        <w:t xml:space="preserve"> </w:t>
      </w:r>
      <w:r w:rsidRPr="009B7A89">
        <w:rPr>
          <w:rFonts w:ascii="Abadi" w:hAnsi="Abadi"/>
          <w:spacing w:val="-2"/>
          <w:sz w:val="21"/>
          <w:szCs w:val="21"/>
        </w:rPr>
        <w:t>fondeará</w:t>
      </w:r>
      <w:r w:rsidRPr="009B7A89">
        <w:rPr>
          <w:rFonts w:ascii="Abadi" w:hAnsi="Abadi"/>
          <w:spacing w:val="14"/>
          <w:sz w:val="21"/>
          <w:szCs w:val="21"/>
        </w:rPr>
        <w:t xml:space="preserve"> </w:t>
      </w:r>
      <w:r w:rsidRPr="009B7A89">
        <w:rPr>
          <w:rFonts w:ascii="Abadi" w:hAnsi="Abadi"/>
          <w:spacing w:val="-2"/>
          <w:sz w:val="21"/>
          <w:szCs w:val="21"/>
        </w:rPr>
        <w:t>la</w:t>
      </w:r>
      <w:r w:rsidRPr="009B7A89">
        <w:rPr>
          <w:rFonts w:ascii="Abadi" w:hAnsi="Abadi"/>
          <w:spacing w:val="14"/>
          <w:sz w:val="21"/>
          <w:szCs w:val="21"/>
        </w:rPr>
        <w:t xml:space="preserve"> </w:t>
      </w:r>
      <w:r w:rsidRPr="009B7A89">
        <w:rPr>
          <w:rFonts w:ascii="Abadi" w:hAnsi="Abadi"/>
          <w:spacing w:val="-2"/>
          <w:sz w:val="21"/>
          <w:szCs w:val="21"/>
        </w:rPr>
        <w:t>suficiencia</w:t>
      </w:r>
      <w:r w:rsidRPr="009B7A89">
        <w:rPr>
          <w:rFonts w:ascii="Abadi" w:hAnsi="Abadi"/>
          <w:spacing w:val="14"/>
          <w:sz w:val="21"/>
          <w:szCs w:val="21"/>
        </w:rPr>
        <w:t xml:space="preserve"> </w:t>
      </w:r>
      <w:r w:rsidRPr="009B7A89">
        <w:rPr>
          <w:rFonts w:ascii="Abadi" w:hAnsi="Abadi"/>
          <w:spacing w:val="-2"/>
          <w:sz w:val="21"/>
          <w:szCs w:val="21"/>
        </w:rPr>
        <w:t>presupuestal</w:t>
      </w:r>
      <w:r w:rsidRPr="009B7A89">
        <w:rPr>
          <w:rFonts w:ascii="Abadi" w:hAnsi="Abadi"/>
          <w:spacing w:val="16"/>
          <w:sz w:val="21"/>
          <w:szCs w:val="21"/>
        </w:rPr>
        <w:t xml:space="preserve"> </w:t>
      </w:r>
      <w:r w:rsidRPr="009B7A89">
        <w:rPr>
          <w:rFonts w:ascii="Abadi" w:hAnsi="Abadi"/>
          <w:spacing w:val="-2"/>
          <w:sz w:val="21"/>
          <w:szCs w:val="21"/>
        </w:rPr>
        <w:t>para</w:t>
      </w:r>
      <w:r w:rsidRPr="009B7A89">
        <w:rPr>
          <w:rFonts w:ascii="Abadi" w:hAnsi="Abadi"/>
          <w:spacing w:val="14"/>
          <w:sz w:val="21"/>
          <w:szCs w:val="21"/>
        </w:rPr>
        <w:t xml:space="preserve"> </w:t>
      </w:r>
      <w:r w:rsidRPr="009B7A89">
        <w:rPr>
          <w:rFonts w:ascii="Abadi" w:hAnsi="Abadi"/>
          <w:spacing w:val="-2"/>
          <w:sz w:val="21"/>
          <w:szCs w:val="21"/>
        </w:rPr>
        <w:t>llevar</w:t>
      </w:r>
      <w:r w:rsidRPr="009B7A89">
        <w:rPr>
          <w:rFonts w:ascii="Abadi" w:hAnsi="Abadi"/>
          <w:spacing w:val="13"/>
          <w:sz w:val="21"/>
          <w:szCs w:val="21"/>
        </w:rPr>
        <w:t xml:space="preserve"> </w:t>
      </w:r>
      <w:r w:rsidRPr="009B7A89">
        <w:rPr>
          <w:rFonts w:ascii="Abadi" w:hAnsi="Abadi"/>
          <w:spacing w:val="-2"/>
          <w:sz w:val="21"/>
          <w:szCs w:val="21"/>
        </w:rPr>
        <w:t>a</w:t>
      </w:r>
      <w:r w:rsidRPr="009B7A89">
        <w:rPr>
          <w:rFonts w:ascii="Abadi" w:hAnsi="Abadi"/>
          <w:spacing w:val="14"/>
          <w:sz w:val="21"/>
          <w:szCs w:val="21"/>
        </w:rPr>
        <w:t xml:space="preserve"> </w:t>
      </w:r>
      <w:r w:rsidRPr="009B7A89">
        <w:rPr>
          <w:rFonts w:ascii="Abadi" w:hAnsi="Abadi"/>
          <w:spacing w:val="-2"/>
          <w:sz w:val="21"/>
          <w:szCs w:val="21"/>
        </w:rPr>
        <w:t>cabo</w:t>
      </w:r>
      <w:r w:rsidRPr="009B7A89">
        <w:rPr>
          <w:rFonts w:ascii="Abadi" w:hAnsi="Abadi"/>
          <w:spacing w:val="13"/>
          <w:sz w:val="21"/>
          <w:szCs w:val="21"/>
        </w:rPr>
        <w:t xml:space="preserve"> </w:t>
      </w:r>
      <w:r w:rsidRPr="009B7A89">
        <w:rPr>
          <w:rFonts w:ascii="Abadi" w:hAnsi="Abadi"/>
          <w:spacing w:val="-2"/>
          <w:sz w:val="21"/>
          <w:szCs w:val="21"/>
        </w:rPr>
        <w:t>esta basificación?</w:t>
      </w:r>
    </w:p>
    <w:p w14:paraId="37334757" w14:textId="77777777" w:rsidR="00C36526" w:rsidRPr="0077142E" w:rsidRDefault="00C36526" w:rsidP="004C6070">
      <w:pPr>
        <w:pStyle w:val="Textoindependiente"/>
        <w:spacing w:before="248"/>
        <w:ind w:right="142"/>
        <w:rPr>
          <w:rFonts w:ascii="Abadi" w:hAnsi="Abadi"/>
          <w:b w:val="0"/>
          <w:bCs w:val="0"/>
          <w:sz w:val="21"/>
          <w:szCs w:val="21"/>
        </w:rPr>
      </w:pPr>
      <w:r w:rsidRPr="0077142E">
        <w:rPr>
          <w:rFonts w:ascii="Abadi" w:hAnsi="Abadi"/>
          <w:b w:val="0"/>
          <w:bCs w:val="0"/>
          <w:spacing w:val="-4"/>
          <w:sz w:val="21"/>
          <w:szCs w:val="21"/>
        </w:rPr>
        <w:t>Mientras</w:t>
      </w:r>
      <w:r w:rsidRPr="0077142E">
        <w:rPr>
          <w:rFonts w:ascii="Abadi" w:hAnsi="Abadi"/>
          <w:b w:val="0"/>
          <w:bCs w:val="0"/>
          <w:spacing w:val="-8"/>
          <w:sz w:val="21"/>
          <w:szCs w:val="21"/>
        </w:rPr>
        <w:t xml:space="preserve"> </w:t>
      </w:r>
      <w:r w:rsidRPr="0077142E">
        <w:rPr>
          <w:rFonts w:ascii="Abadi" w:hAnsi="Abadi"/>
          <w:b w:val="0"/>
          <w:bCs w:val="0"/>
          <w:spacing w:val="-4"/>
          <w:sz w:val="21"/>
          <w:szCs w:val="21"/>
        </w:rPr>
        <w:t>dichas</w:t>
      </w:r>
      <w:r w:rsidRPr="0077142E">
        <w:rPr>
          <w:rFonts w:ascii="Abadi" w:hAnsi="Abadi"/>
          <w:b w:val="0"/>
          <w:bCs w:val="0"/>
          <w:spacing w:val="-7"/>
          <w:sz w:val="21"/>
          <w:szCs w:val="21"/>
        </w:rPr>
        <w:t xml:space="preserve"> </w:t>
      </w:r>
      <w:r w:rsidRPr="0077142E">
        <w:rPr>
          <w:rFonts w:ascii="Abadi" w:hAnsi="Abadi"/>
          <w:b w:val="0"/>
          <w:bCs w:val="0"/>
          <w:spacing w:val="-4"/>
          <w:sz w:val="21"/>
          <w:szCs w:val="21"/>
        </w:rPr>
        <w:t>preguntas</w:t>
      </w:r>
      <w:r w:rsidRPr="0077142E">
        <w:rPr>
          <w:rFonts w:ascii="Abadi" w:hAnsi="Abadi"/>
          <w:b w:val="0"/>
          <w:bCs w:val="0"/>
          <w:spacing w:val="-8"/>
          <w:sz w:val="21"/>
          <w:szCs w:val="21"/>
        </w:rPr>
        <w:t xml:space="preserve"> </w:t>
      </w:r>
      <w:r w:rsidRPr="0077142E">
        <w:rPr>
          <w:rFonts w:ascii="Abadi" w:hAnsi="Abadi"/>
          <w:b w:val="0"/>
          <w:bCs w:val="0"/>
          <w:spacing w:val="-4"/>
          <w:sz w:val="21"/>
          <w:szCs w:val="21"/>
        </w:rPr>
        <w:t>no</w:t>
      </w:r>
      <w:r w:rsidRPr="0077142E">
        <w:rPr>
          <w:rFonts w:ascii="Abadi" w:hAnsi="Abadi"/>
          <w:b w:val="0"/>
          <w:bCs w:val="0"/>
          <w:spacing w:val="-8"/>
          <w:sz w:val="21"/>
          <w:szCs w:val="21"/>
        </w:rPr>
        <w:t xml:space="preserve"> </w:t>
      </w:r>
      <w:r w:rsidRPr="0077142E">
        <w:rPr>
          <w:rFonts w:ascii="Abadi" w:hAnsi="Abadi"/>
          <w:b w:val="0"/>
          <w:bCs w:val="0"/>
          <w:spacing w:val="-4"/>
          <w:sz w:val="21"/>
          <w:szCs w:val="21"/>
        </w:rPr>
        <w:t>tengan</w:t>
      </w:r>
      <w:r w:rsidRPr="0077142E">
        <w:rPr>
          <w:rFonts w:ascii="Abadi" w:hAnsi="Abadi"/>
          <w:b w:val="0"/>
          <w:bCs w:val="0"/>
          <w:spacing w:val="-8"/>
          <w:sz w:val="21"/>
          <w:szCs w:val="21"/>
        </w:rPr>
        <w:t xml:space="preserve"> </w:t>
      </w:r>
      <w:r w:rsidRPr="0077142E">
        <w:rPr>
          <w:rFonts w:ascii="Abadi" w:hAnsi="Abadi"/>
          <w:b w:val="0"/>
          <w:bCs w:val="0"/>
          <w:spacing w:val="-4"/>
          <w:sz w:val="21"/>
          <w:szCs w:val="21"/>
        </w:rPr>
        <w:t>respuesta,</w:t>
      </w:r>
      <w:r w:rsidRPr="0077142E">
        <w:rPr>
          <w:rFonts w:ascii="Abadi" w:hAnsi="Abadi"/>
          <w:b w:val="0"/>
          <w:bCs w:val="0"/>
          <w:spacing w:val="-7"/>
          <w:sz w:val="21"/>
          <w:szCs w:val="21"/>
        </w:rPr>
        <w:t xml:space="preserve"> </w:t>
      </w:r>
      <w:r w:rsidRPr="0077142E">
        <w:rPr>
          <w:rFonts w:ascii="Abadi" w:hAnsi="Abadi"/>
          <w:b w:val="0"/>
          <w:bCs w:val="0"/>
          <w:spacing w:val="-4"/>
          <w:sz w:val="21"/>
          <w:szCs w:val="21"/>
        </w:rPr>
        <w:t>la</w:t>
      </w:r>
      <w:r w:rsidRPr="0077142E">
        <w:rPr>
          <w:rFonts w:ascii="Abadi" w:hAnsi="Abadi"/>
          <w:b w:val="0"/>
          <w:bCs w:val="0"/>
          <w:spacing w:val="-8"/>
          <w:sz w:val="21"/>
          <w:szCs w:val="21"/>
        </w:rPr>
        <w:t xml:space="preserve"> </w:t>
      </w:r>
      <w:r w:rsidRPr="0077142E">
        <w:rPr>
          <w:rFonts w:ascii="Abadi" w:hAnsi="Abadi"/>
          <w:b w:val="0"/>
          <w:bCs w:val="0"/>
          <w:spacing w:val="-4"/>
          <w:sz w:val="21"/>
          <w:szCs w:val="21"/>
        </w:rPr>
        <w:t>promesa</w:t>
      </w:r>
      <w:r w:rsidRPr="0077142E">
        <w:rPr>
          <w:rFonts w:ascii="Abadi" w:hAnsi="Abadi"/>
          <w:b w:val="0"/>
          <w:bCs w:val="0"/>
          <w:spacing w:val="-9"/>
          <w:sz w:val="21"/>
          <w:szCs w:val="21"/>
        </w:rPr>
        <w:t xml:space="preserve"> </w:t>
      </w:r>
      <w:r w:rsidRPr="0077142E">
        <w:rPr>
          <w:rFonts w:ascii="Abadi" w:hAnsi="Abadi"/>
          <w:b w:val="0"/>
          <w:bCs w:val="0"/>
          <w:spacing w:val="-4"/>
          <w:sz w:val="21"/>
          <w:szCs w:val="21"/>
        </w:rPr>
        <w:t>de</w:t>
      </w:r>
      <w:r w:rsidRPr="0077142E">
        <w:rPr>
          <w:rFonts w:ascii="Abadi" w:hAnsi="Abadi"/>
          <w:b w:val="0"/>
          <w:bCs w:val="0"/>
          <w:spacing w:val="-8"/>
          <w:sz w:val="21"/>
          <w:szCs w:val="21"/>
        </w:rPr>
        <w:t xml:space="preserve"> </w:t>
      </w:r>
      <w:r w:rsidRPr="0077142E">
        <w:rPr>
          <w:rFonts w:ascii="Abadi" w:hAnsi="Abadi"/>
          <w:b w:val="0"/>
          <w:bCs w:val="0"/>
          <w:spacing w:val="-4"/>
          <w:sz w:val="21"/>
          <w:szCs w:val="21"/>
        </w:rPr>
        <w:t>basificación</w:t>
      </w:r>
      <w:r w:rsidRPr="0077142E">
        <w:rPr>
          <w:rFonts w:ascii="Abadi" w:hAnsi="Abadi"/>
          <w:b w:val="0"/>
          <w:bCs w:val="0"/>
          <w:spacing w:val="-10"/>
          <w:sz w:val="21"/>
          <w:szCs w:val="21"/>
        </w:rPr>
        <w:t xml:space="preserve"> </w:t>
      </w:r>
      <w:r w:rsidRPr="0077142E">
        <w:rPr>
          <w:rFonts w:ascii="Abadi" w:hAnsi="Abadi"/>
          <w:b w:val="0"/>
          <w:bCs w:val="0"/>
          <w:spacing w:val="-4"/>
          <w:sz w:val="21"/>
          <w:szCs w:val="21"/>
        </w:rPr>
        <w:t xml:space="preserve">seguirá </w:t>
      </w:r>
      <w:r w:rsidRPr="0077142E">
        <w:rPr>
          <w:rFonts w:ascii="Abadi" w:hAnsi="Abadi"/>
          <w:b w:val="0"/>
          <w:bCs w:val="0"/>
          <w:sz w:val="21"/>
          <w:szCs w:val="21"/>
        </w:rPr>
        <w:t>siendo</w:t>
      </w:r>
      <w:r w:rsidRPr="0077142E">
        <w:rPr>
          <w:rFonts w:ascii="Abadi" w:hAnsi="Abadi"/>
          <w:b w:val="0"/>
          <w:bCs w:val="0"/>
          <w:spacing w:val="-15"/>
          <w:sz w:val="21"/>
          <w:szCs w:val="21"/>
        </w:rPr>
        <w:t xml:space="preserve"> </w:t>
      </w:r>
      <w:r w:rsidRPr="0077142E">
        <w:rPr>
          <w:rFonts w:ascii="Abadi" w:hAnsi="Abadi"/>
          <w:b w:val="0"/>
          <w:bCs w:val="0"/>
          <w:sz w:val="21"/>
          <w:szCs w:val="21"/>
        </w:rPr>
        <w:t>única</w:t>
      </w:r>
      <w:r w:rsidRPr="0077142E">
        <w:rPr>
          <w:rFonts w:ascii="Abadi" w:hAnsi="Abadi"/>
          <w:b w:val="0"/>
          <w:bCs w:val="0"/>
          <w:spacing w:val="-14"/>
          <w:sz w:val="21"/>
          <w:szCs w:val="21"/>
        </w:rPr>
        <w:t xml:space="preserve"> </w:t>
      </w:r>
      <w:r w:rsidRPr="0077142E">
        <w:rPr>
          <w:rFonts w:ascii="Abadi" w:hAnsi="Abadi"/>
          <w:b w:val="0"/>
          <w:bCs w:val="0"/>
          <w:sz w:val="21"/>
          <w:szCs w:val="21"/>
        </w:rPr>
        <w:t>y</w:t>
      </w:r>
      <w:r w:rsidRPr="0077142E">
        <w:rPr>
          <w:rFonts w:ascii="Abadi" w:hAnsi="Abadi"/>
          <w:b w:val="0"/>
          <w:bCs w:val="0"/>
          <w:spacing w:val="-14"/>
          <w:sz w:val="21"/>
          <w:szCs w:val="21"/>
        </w:rPr>
        <w:t xml:space="preserve"> </w:t>
      </w:r>
      <w:r w:rsidRPr="0077142E">
        <w:rPr>
          <w:rFonts w:ascii="Abadi" w:hAnsi="Abadi"/>
          <w:b w:val="0"/>
          <w:bCs w:val="0"/>
          <w:sz w:val="21"/>
          <w:szCs w:val="21"/>
        </w:rPr>
        <w:t>exclusivamente</w:t>
      </w:r>
      <w:r w:rsidRPr="0077142E">
        <w:rPr>
          <w:rFonts w:ascii="Abadi" w:hAnsi="Abadi"/>
          <w:b w:val="0"/>
          <w:bCs w:val="0"/>
          <w:spacing w:val="-15"/>
          <w:sz w:val="21"/>
          <w:szCs w:val="21"/>
        </w:rPr>
        <w:t xml:space="preserve"> </w:t>
      </w:r>
      <w:r w:rsidRPr="0077142E">
        <w:rPr>
          <w:rFonts w:ascii="Abadi" w:hAnsi="Abadi"/>
          <w:b w:val="0"/>
          <w:bCs w:val="0"/>
          <w:sz w:val="21"/>
          <w:szCs w:val="21"/>
        </w:rPr>
        <w:t>eso:</w:t>
      </w:r>
      <w:r w:rsidRPr="0077142E">
        <w:rPr>
          <w:rFonts w:ascii="Abadi" w:hAnsi="Abadi"/>
          <w:b w:val="0"/>
          <w:bCs w:val="0"/>
          <w:spacing w:val="-14"/>
          <w:sz w:val="21"/>
          <w:szCs w:val="21"/>
        </w:rPr>
        <w:t xml:space="preserve"> </w:t>
      </w:r>
      <w:r w:rsidRPr="0077142E">
        <w:rPr>
          <w:rFonts w:ascii="Abadi" w:hAnsi="Abadi"/>
          <w:b w:val="0"/>
          <w:bCs w:val="0"/>
          <w:sz w:val="21"/>
          <w:szCs w:val="21"/>
        </w:rPr>
        <w:t>una</w:t>
      </w:r>
      <w:r w:rsidRPr="0077142E">
        <w:rPr>
          <w:rFonts w:ascii="Abadi" w:hAnsi="Abadi"/>
          <w:b w:val="0"/>
          <w:bCs w:val="0"/>
          <w:spacing w:val="-14"/>
          <w:sz w:val="21"/>
          <w:szCs w:val="21"/>
        </w:rPr>
        <w:t xml:space="preserve"> </w:t>
      </w:r>
      <w:r w:rsidRPr="0077142E">
        <w:rPr>
          <w:rFonts w:ascii="Abadi" w:hAnsi="Abadi"/>
          <w:b w:val="0"/>
          <w:bCs w:val="0"/>
          <w:sz w:val="21"/>
          <w:szCs w:val="21"/>
        </w:rPr>
        <w:t>promesa.</w:t>
      </w:r>
    </w:p>
    <w:p w14:paraId="1669EFE8" w14:textId="50ADF23F" w:rsidR="00816F14" w:rsidRPr="0077142E" w:rsidRDefault="00C36526" w:rsidP="00816F14">
      <w:pPr>
        <w:pStyle w:val="Textoindependiente"/>
        <w:spacing w:before="174"/>
        <w:ind w:right="142"/>
        <w:rPr>
          <w:rFonts w:ascii="Abadi" w:hAnsi="Abadi"/>
          <w:b w:val="0"/>
          <w:bCs w:val="0"/>
          <w:sz w:val="21"/>
          <w:szCs w:val="21"/>
        </w:rPr>
      </w:pPr>
      <w:r w:rsidRPr="0077142E">
        <w:rPr>
          <w:rFonts w:ascii="Abadi" w:hAnsi="Abadi"/>
          <w:b w:val="0"/>
          <w:bCs w:val="0"/>
          <w:sz w:val="21"/>
          <w:szCs w:val="21"/>
        </w:rPr>
        <w:t xml:space="preserve">Por otro lado, dadas las restricciones del marco legal, lo cierto es que todo </w:t>
      </w:r>
      <w:r w:rsidRPr="0077142E">
        <w:rPr>
          <w:rFonts w:ascii="Abadi" w:hAnsi="Abadi"/>
          <w:b w:val="0"/>
          <w:bCs w:val="0"/>
          <w:spacing w:val="-6"/>
          <w:sz w:val="21"/>
          <w:szCs w:val="21"/>
        </w:rPr>
        <w:t>incremento</w:t>
      </w:r>
      <w:r w:rsidRPr="0077142E">
        <w:rPr>
          <w:rFonts w:ascii="Abadi" w:hAnsi="Abadi"/>
          <w:b w:val="0"/>
          <w:bCs w:val="0"/>
          <w:spacing w:val="-8"/>
          <w:sz w:val="21"/>
          <w:szCs w:val="21"/>
        </w:rPr>
        <w:t xml:space="preserve"> </w:t>
      </w:r>
      <w:r w:rsidRPr="0077142E">
        <w:rPr>
          <w:rFonts w:ascii="Abadi" w:hAnsi="Abadi"/>
          <w:b w:val="0"/>
          <w:bCs w:val="0"/>
          <w:spacing w:val="-6"/>
          <w:sz w:val="21"/>
          <w:szCs w:val="21"/>
        </w:rPr>
        <w:t>que</w:t>
      </w:r>
      <w:r w:rsidRPr="0077142E">
        <w:rPr>
          <w:rFonts w:ascii="Abadi" w:hAnsi="Abadi"/>
          <w:b w:val="0"/>
          <w:bCs w:val="0"/>
          <w:spacing w:val="-8"/>
          <w:sz w:val="21"/>
          <w:szCs w:val="21"/>
        </w:rPr>
        <w:t xml:space="preserve"> </w:t>
      </w:r>
      <w:r w:rsidRPr="0077142E">
        <w:rPr>
          <w:rFonts w:ascii="Abadi" w:hAnsi="Abadi"/>
          <w:b w:val="0"/>
          <w:bCs w:val="0"/>
          <w:spacing w:val="-6"/>
          <w:sz w:val="21"/>
          <w:szCs w:val="21"/>
        </w:rPr>
        <w:t>se dé este</w:t>
      </w:r>
      <w:r w:rsidRPr="0077142E">
        <w:rPr>
          <w:rFonts w:ascii="Abadi" w:hAnsi="Abadi"/>
          <w:b w:val="0"/>
          <w:bCs w:val="0"/>
          <w:spacing w:val="-8"/>
          <w:sz w:val="21"/>
          <w:szCs w:val="21"/>
        </w:rPr>
        <w:t xml:space="preserve"> </w:t>
      </w:r>
      <w:r w:rsidRPr="0077142E">
        <w:rPr>
          <w:rFonts w:ascii="Abadi" w:hAnsi="Abadi"/>
          <w:b w:val="0"/>
          <w:bCs w:val="0"/>
          <w:spacing w:val="-6"/>
          <w:sz w:val="21"/>
          <w:szCs w:val="21"/>
        </w:rPr>
        <w:t>año</w:t>
      </w:r>
      <w:r w:rsidRPr="0077142E">
        <w:rPr>
          <w:rFonts w:ascii="Abadi" w:hAnsi="Abadi"/>
          <w:b w:val="0"/>
          <w:bCs w:val="0"/>
          <w:spacing w:val="-7"/>
          <w:sz w:val="21"/>
          <w:szCs w:val="21"/>
        </w:rPr>
        <w:t xml:space="preserve"> </w:t>
      </w:r>
      <w:r w:rsidRPr="0077142E">
        <w:rPr>
          <w:rFonts w:ascii="Abadi" w:hAnsi="Abadi"/>
          <w:b w:val="0"/>
          <w:bCs w:val="0"/>
          <w:spacing w:val="-6"/>
          <w:sz w:val="21"/>
          <w:szCs w:val="21"/>
        </w:rPr>
        <w:t>en</w:t>
      </w:r>
      <w:r w:rsidRPr="0077142E">
        <w:rPr>
          <w:rFonts w:ascii="Abadi" w:hAnsi="Abadi"/>
          <w:b w:val="0"/>
          <w:bCs w:val="0"/>
          <w:spacing w:val="-8"/>
          <w:sz w:val="21"/>
          <w:szCs w:val="21"/>
        </w:rPr>
        <w:t xml:space="preserve"> </w:t>
      </w:r>
      <w:r w:rsidRPr="0077142E">
        <w:rPr>
          <w:rFonts w:ascii="Abadi" w:hAnsi="Abadi"/>
          <w:b w:val="0"/>
          <w:bCs w:val="0"/>
          <w:spacing w:val="-6"/>
          <w:sz w:val="21"/>
          <w:szCs w:val="21"/>
        </w:rPr>
        <w:t>las plazas presupuestales</w:t>
      </w:r>
      <w:r w:rsidRPr="0077142E">
        <w:rPr>
          <w:rFonts w:ascii="Abadi" w:hAnsi="Abadi"/>
          <w:b w:val="0"/>
          <w:bCs w:val="0"/>
          <w:spacing w:val="-7"/>
          <w:sz w:val="21"/>
          <w:szCs w:val="21"/>
        </w:rPr>
        <w:t xml:space="preserve"> </w:t>
      </w:r>
      <w:r w:rsidRPr="0077142E">
        <w:rPr>
          <w:rFonts w:ascii="Abadi" w:hAnsi="Abadi"/>
          <w:b w:val="0"/>
          <w:bCs w:val="0"/>
          <w:spacing w:val="-6"/>
          <w:sz w:val="21"/>
          <w:szCs w:val="21"/>
        </w:rPr>
        <w:t>en</w:t>
      </w:r>
      <w:r w:rsidRPr="0077142E">
        <w:rPr>
          <w:rFonts w:ascii="Abadi" w:hAnsi="Abadi"/>
          <w:b w:val="0"/>
          <w:bCs w:val="0"/>
          <w:spacing w:val="-8"/>
          <w:sz w:val="21"/>
          <w:szCs w:val="21"/>
        </w:rPr>
        <w:t xml:space="preserve"> </w:t>
      </w:r>
      <w:r w:rsidRPr="0077142E">
        <w:rPr>
          <w:rFonts w:ascii="Abadi" w:hAnsi="Abadi"/>
          <w:b w:val="0"/>
          <w:bCs w:val="0"/>
          <w:spacing w:val="-6"/>
          <w:sz w:val="21"/>
          <w:szCs w:val="21"/>
        </w:rPr>
        <w:t>algún</w:t>
      </w:r>
      <w:r w:rsidRPr="0077142E">
        <w:rPr>
          <w:rFonts w:ascii="Abadi" w:hAnsi="Abadi"/>
          <w:b w:val="0"/>
          <w:bCs w:val="0"/>
          <w:spacing w:val="-8"/>
          <w:sz w:val="21"/>
          <w:szCs w:val="21"/>
        </w:rPr>
        <w:t xml:space="preserve"> </w:t>
      </w:r>
      <w:r w:rsidRPr="0077142E">
        <w:rPr>
          <w:rFonts w:ascii="Abadi" w:hAnsi="Abadi"/>
          <w:b w:val="0"/>
          <w:bCs w:val="0"/>
          <w:spacing w:val="-6"/>
          <w:sz w:val="21"/>
          <w:szCs w:val="21"/>
        </w:rPr>
        <w:t>área</w:t>
      </w:r>
      <w:r w:rsidRPr="0077142E">
        <w:rPr>
          <w:rFonts w:ascii="Abadi" w:hAnsi="Abadi"/>
          <w:b w:val="0"/>
          <w:bCs w:val="0"/>
          <w:spacing w:val="-7"/>
          <w:sz w:val="21"/>
          <w:szCs w:val="21"/>
        </w:rPr>
        <w:t xml:space="preserve"> </w:t>
      </w:r>
      <w:r w:rsidRPr="0077142E">
        <w:rPr>
          <w:rFonts w:ascii="Abadi" w:hAnsi="Abadi"/>
          <w:b w:val="0"/>
          <w:bCs w:val="0"/>
          <w:spacing w:val="-6"/>
          <w:sz w:val="21"/>
          <w:szCs w:val="21"/>
        </w:rPr>
        <w:t xml:space="preserve">significará </w:t>
      </w:r>
      <w:r w:rsidRPr="0077142E">
        <w:rPr>
          <w:rFonts w:ascii="Abadi" w:hAnsi="Abadi"/>
          <w:b w:val="0"/>
          <w:bCs w:val="0"/>
          <w:spacing w:val="-2"/>
          <w:sz w:val="21"/>
          <w:szCs w:val="21"/>
        </w:rPr>
        <w:t>una</w:t>
      </w:r>
      <w:r w:rsidRPr="0077142E">
        <w:rPr>
          <w:rFonts w:ascii="Abadi" w:hAnsi="Abadi"/>
          <w:b w:val="0"/>
          <w:bCs w:val="0"/>
          <w:spacing w:val="-13"/>
          <w:sz w:val="21"/>
          <w:szCs w:val="21"/>
        </w:rPr>
        <w:t xml:space="preserve"> </w:t>
      </w:r>
      <w:r w:rsidRPr="0077142E">
        <w:rPr>
          <w:rFonts w:ascii="Abadi" w:hAnsi="Abadi"/>
          <w:b w:val="0"/>
          <w:bCs w:val="0"/>
          <w:spacing w:val="-2"/>
          <w:sz w:val="21"/>
          <w:szCs w:val="21"/>
        </w:rPr>
        <w:t>reducción</w:t>
      </w:r>
      <w:r w:rsidRPr="0077142E">
        <w:rPr>
          <w:rFonts w:ascii="Abadi" w:hAnsi="Abadi"/>
          <w:b w:val="0"/>
          <w:bCs w:val="0"/>
          <w:spacing w:val="-12"/>
          <w:sz w:val="21"/>
          <w:szCs w:val="21"/>
        </w:rPr>
        <w:t xml:space="preserve"> </w:t>
      </w:r>
      <w:r w:rsidRPr="0077142E">
        <w:rPr>
          <w:rFonts w:ascii="Abadi" w:hAnsi="Abadi"/>
          <w:b w:val="0"/>
          <w:bCs w:val="0"/>
          <w:spacing w:val="-2"/>
          <w:sz w:val="21"/>
          <w:szCs w:val="21"/>
        </w:rPr>
        <w:t>equivalente</w:t>
      </w:r>
      <w:r w:rsidRPr="0077142E">
        <w:rPr>
          <w:rFonts w:ascii="Abadi" w:hAnsi="Abadi"/>
          <w:b w:val="0"/>
          <w:bCs w:val="0"/>
          <w:spacing w:val="-12"/>
          <w:sz w:val="21"/>
          <w:szCs w:val="21"/>
        </w:rPr>
        <w:t xml:space="preserve"> </w:t>
      </w:r>
      <w:r w:rsidRPr="0077142E">
        <w:rPr>
          <w:rFonts w:ascii="Abadi" w:hAnsi="Abadi"/>
          <w:b w:val="0"/>
          <w:bCs w:val="0"/>
          <w:spacing w:val="-2"/>
          <w:sz w:val="21"/>
          <w:szCs w:val="21"/>
        </w:rPr>
        <w:t>en</w:t>
      </w:r>
      <w:r w:rsidRPr="0077142E">
        <w:rPr>
          <w:rFonts w:ascii="Abadi" w:hAnsi="Abadi"/>
          <w:b w:val="0"/>
          <w:bCs w:val="0"/>
          <w:spacing w:val="-13"/>
          <w:sz w:val="21"/>
          <w:szCs w:val="21"/>
        </w:rPr>
        <w:t xml:space="preserve"> </w:t>
      </w:r>
      <w:r w:rsidRPr="0077142E">
        <w:rPr>
          <w:rFonts w:ascii="Abadi" w:hAnsi="Abadi"/>
          <w:b w:val="0"/>
          <w:bCs w:val="0"/>
          <w:spacing w:val="-2"/>
          <w:sz w:val="21"/>
          <w:szCs w:val="21"/>
        </w:rPr>
        <w:t>otra.</w:t>
      </w:r>
      <w:r w:rsidRPr="0077142E">
        <w:rPr>
          <w:rFonts w:ascii="Abadi" w:hAnsi="Abadi"/>
          <w:b w:val="0"/>
          <w:bCs w:val="0"/>
          <w:spacing w:val="-12"/>
          <w:sz w:val="21"/>
          <w:szCs w:val="21"/>
        </w:rPr>
        <w:t xml:space="preserve"> </w:t>
      </w:r>
      <w:r w:rsidRPr="0077142E">
        <w:rPr>
          <w:rFonts w:ascii="Abadi" w:hAnsi="Abadi"/>
          <w:b w:val="0"/>
          <w:bCs w:val="0"/>
          <w:spacing w:val="-2"/>
          <w:sz w:val="21"/>
          <w:szCs w:val="21"/>
        </w:rPr>
        <w:t>No</w:t>
      </w:r>
      <w:r w:rsidRPr="0077142E">
        <w:rPr>
          <w:rFonts w:ascii="Abadi" w:hAnsi="Abadi"/>
          <w:b w:val="0"/>
          <w:bCs w:val="0"/>
          <w:spacing w:val="-12"/>
          <w:sz w:val="21"/>
          <w:szCs w:val="21"/>
        </w:rPr>
        <w:t xml:space="preserve"> </w:t>
      </w:r>
      <w:r w:rsidRPr="0077142E">
        <w:rPr>
          <w:rFonts w:ascii="Abadi" w:hAnsi="Abadi"/>
          <w:b w:val="0"/>
          <w:bCs w:val="0"/>
          <w:spacing w:val="-2"/>
          <w:sz w:val="21"/>
          <w:szCs w:val="21"/>
        </w:rPr>
        <w:t>podría</w:t>
      </w:r>
      <w:r w:rsidRPr="0077142E">
        <w:rPr>
          <w:rFonts w:ascii="Abadi" w:hAnsi="Abadi"/>
          <w:b w:val="0"/>
          <w:bCs w:val="0"/>
          <w:spacing w:val="-13"/>
          <w:sz w:val="21"/>
          <w:szCs w:val="21"/>
        </w:rPr>
        <w:t xml:space="preserve"> </w:t>
      </w:r>
      <w:r w:rsidRPr="0077142E">
        <w:rPr>
          <w:rFonts w:ascii="Abadi" w:hAnsi="Abadi"/>
          <w:b w:val="0"/>
          <w:bCs w:val="0"/>
          <w:spacing w:val="-2"/>
          <w:sz w:val="21"/>
          <w:szCs w:val="21"/>
        </w:rPr>
        <w:t>haber</w:t>
      </w:r>
      <w:r w:rsidRPr="0077142E">
        <w:rPr>
          <w:rFonts w:ascii="Abadi" w:hAnsi="Abadi"/>
          <w:b w:val="0"/>
          <w:bCs w:val="0"/>
          <w:spacing w:val="-12"/>
          <w:sz w:val="21"/>
          <w:szCs w:val="21"/>
        </w:rPr>
        <w:t xml:space="preserve"> </w:t>
      </w:r>
      <w:r w:rsidRPr="0077142E">
        <w:rPr>
          <w:rFonts w:ascii="Abadi" w:hAnsi="Abadi"/>
          <w:b w:val="0"/>
          <w:bCs w:val="0"/>
          <w:spacing w:val="-2"/>
          <w:sz w:val="21"/>
          <w:szCs w:val="21"/>
        </w:rPr>
        <w:t>nuevas</w:t>
      </w:r>
      <w:r w:rsidRPr="0077142E">
        <w:rPr>
          <w:rFonts w:ascii="Abadi" w:hAnsi="Abadi"/>
          <w:b w:val="0"/>
          <w:bCs w:val="0"/>
          <w:spacing w:val="-12"/>
          <w:sz w:val="21"/>
          <w:szCs w:val="21"/>
        </w:rPr>
        <w:t xml:space="preserve"> </w:t>
      </w:r>
      <w:r w:rsidRPr="0077142E">
        <w:rPr>
          <w:rFonts w:ascii="Abadi" w:hAnsi="Abadi"/>
          <w:b w:val="0"/>
          <w:bCs w:val="0"/>
          <w:spacing w:val="-2"/>
          <w:sz w:val="21"/>
          <w:szCs w:val="21"/>
        </w:rPr>
        <w:t>plazas,</w:t>
      </w:r>
      <w:r w:rsidRPr="0077142E">
        <w:rPr>
          <w:rFonts w:ascii="Abadi" w:hAnsi="Abadi"/>
          <w:b w:val="0"/>
          <w:bCs w:val="0"/>
          <w:spacing w:val="-13"/>
          <w:sz w:val="21"/>
          <w:szCs w:val="21"/>
        </w:rPr>
        <w:t xml:space="preserve"> </w:t>
      </w:r>
      <w:r w:rsidRPr="0077142E">
        <w:rPr>
          <w:rFonts w:ascii="Abadi" w:hAnsi="Abadi"/>
          <w:b w:val="0"/>
          <w:bCs w:val="0"/>
          <w:spacing w:val="-2"/>
          <w:sz w:val="21"/>
          <w:szCs w:val="21"/>
        </w:rPr>
        <w:t>sino</w:t>
      </w:r>
      <w:r w:rsidRPr="0077142E">
        <w:rPr>
          <w:rFonts w:ascii="Abadi" w:hAnsi="Abadi"/>
          <w:b w:val="0"/>
          <w:bCs w:val="0"/>
          <w:spacing w:val="-12"/>
          <w:sz w:val="21"/>
          <w:szCs w:val="21"/>
        </w:rPr>
        <w:t xml:space="preserve"> </w:t>
      </w:r>
      <w:r w:rsidRPr="0077142E">
        <w:rPr>
          <w:rFonts w:ascii="Abadi" w:hAnsi="Abadi"/>
          <w:b w:val="0"/>
          <w:bCs w:val="0"/>
          <w:spacing w:val="-2"/>
          <w:sz w:val="21"/>
          <w:szCs w:val="21"/>
        </w:rPr>
        <w:t>una</w:t>
      </w:r>
      <w:r w:rsidRPr="0077142E">
        <w:rPr>
          <w:rFonts w:ascii="Abadi" w:hAnsi="Abadi"/>
          <w:b w:val="0"/>
          <w:bCs w:val="0"/>
          <w:spacing w:val="-12"/>
          <w:sz w:val="21"/>
          <w:szCs w:val="21"/>
        </w:rPr>
        <w:t xml:space="preserve"> </w:t>
      </w:r>
      <w:r w:rsidRPr="0077142E">
        <w:rPr>
          <w:rFonts w:ascii="Abadi" w:hAnsi="Abadi"/>
          <w:b w:val="0"/>
          <w:bCs w:val="0"/>
          <w:spacing w:val="-2"/>
          <w:sz w:val="21"/>
          <w:szCs w:val="21"/>
        </w:rPr>
        <w:t>nueva distribución</w:t>
      </w:r>
      <w:r w:rsidRPr="0077142E">
        <w:rPr>
          <w:rFonts w:ascii="Abadi" w:hAnsi="Abadi"/>
          <w:b w:val="0"/>
          <w:bCs w:val="0"/>
          <w:spacing w:val="-10"/>
          <w:sz w:val="21"/>
          <w:szCs w:val="21"/>
        </w:rPr>
        <w:t xml:space="preserve"> </w:t>
      </w:r>
      <w:r w:rsidRPr="0077142E">
        <w:rPr>
          <w:rFonts w:ascii="Abadi" w:hAnsi="Abadi"/>
          <w:b w:val="0"/>
          <w:bCs w:val="0"/>
          <w:spacing w:val="-2"/>
          <w:sz w:val="21"/>
          <w:szCs w:val="21"/>
        </w:rPr>
        <w:t>de</w:t>
      </w:r>
      <w:r w:rsidRPr="0077142E">
        <w:rPr>
          <w:rFonts w:ascii="Abadi" w:hAnsi="Abadi"/>
          <w:b w:val="0"/>
          <w:bCs w:val="0"/>
          <w:spacing w:val="-9"/>
          <w:sz w:val="21"/>
          <w:szCs w:val="21"/>
        </w:rPr>
        <w:t xml:space="preserve"> </w:t>
      </w:r>
      <w:r w:rsidRPr="0077142E">
        <w:rPr>
          <w:rFonts w:ascii="Abadi" w:hAnsi="Abadi"/>
          <w:b w:val="0"/>
          <w:bCs w:val="0"/>
          <w:spacing w:val="-2"/>
          <w:sz w:val="21"/>
          <w:szCs w:val="21"/>
        </w:rPr>
        <w:t>las</w:t>
      </w:r>
      <w:r w:rsidRPr="0077142E">
        <w:rPr>
          <w:rFonts w:ascii="Abadi" w:hAnsi="Abadi"/>
          <w:b w:val="0"/>
          <w:bCs w:val="0"/>
          <w:spacing w:val="-9"/>
          <w:sz w:val="21"/>
          <w:szCs w:val="21"/>
        </w:rPr>
        <w:t xml:space="preserve"> </w:t>
      </w:r>
      <w:r w:rsidRPr="0077142E">
        <w:rPr>
          <w:rFonts w:ascii="Abadi" w:hAnsi="Abadi"/>
          <w:b w:val="0"/>
          <w:bCs w:val="0"/>
          <w:spacing w:val="-2"/>
          <w:sz w:val="21"/>
          <w:szCs w:val="21"/>
        </w:rPr>
        <w:t>existentes</w:t>
      </w:r>
      <w:r w:rsidRPr="0077142E">
        <w:rPr>
          <w:rFonts w:ascii="Abadi" w:hAnsi="Abadi"/>
          <w:b w:val="0"/>
          <w:bCs w:val="0"/>
          <w:spacing w:val="-9"/>
          <w:sz w:val="21"/>
          <w:szCs w:val="21"/>
        </w:rPr>
        <w:t xml:space="preserve"> </w:t>
      </w:r>
      <w:r w:rsidRPr="0077142E">
        <w:rPr>
          <w:rFonts w:ascii="Abadi" w:hAnsi="Abadi"/>
          <w:b w:val="0"/>
          <w:bCs w:val="0"/>
          <w:spacing w:val="-2"/>
          <w:sz w:val="21"/>
          <w:szCs w:val="21"/>
        </w:rPr>
        <w:t>y,</w:t>
      </w:r>
      <w:r w:rsidRPr="0077142E">
        <w:rPr>
          <w:rFonts w:ascii="Abadi" w:hAnsi="Abadi"/>
          <w:b w:val="0"/>
          <w:bCs w:val="0"/>
          <w:spacing w:val="-10"/>
          <w:sz w:val="21"/>
          <w:szCs w:val="21"/>
        </w:rPr>
        <w:t xml:space="preserve"> </w:t>
      </w:r>
      <w:r w:rsidRPr="0077142E">
        <w:rPr>
          <w:rFonts w:ascii="Abadi" w:hAnsi="Abadi"/>
          <w:b w:val="0"/>
          <w:bCs w:val="0"/>
          <w:spacing w:val="-2"/>
          <w:sz w:val="21"/>
          <w:szCs w:val="21"/>
        </w:rPr>
        <w:t>en</w:t>
      </w:r>
      <w:r w:rsidRPr="0077142E">
        <w:rPr>
          <w:rFonts w:ascii="Abadi" w:hAnsi="Abadi"/>
          <w:b w:val="0"/>
          <w:bCs w:val="0"/>
          <w:spacing w:val="-9"/>
          <w:sz w:val="21"/>
          <w:szCs w:val="21"/>
        </w:rPr>
        <w:t xml:space="preserve"> </w:t>
      </w:r>
      <w:r w:rsidRPr="0077142E">
        <w:rPr>
          <w:rFonts w:ascii="Abadi" w:hAnsi="Abadi"/>
          <w:b w:val="0"/>
          <w:bCs w:val="0"/>
          <w:spacing w:val="-2"/>
          <w:sz w:val="21"/>
          <w:szCs w:val="21"/>
        </w:rPr>
        <w:t>todo</w:t>
      </w:r>
      <w:r w:rsidRPr="0077142E">
        <w:rPr>
          <w:rFonts w:ascii="Abadi" w:hAnsi="Abadi"/>
          <w:b w:val="0"/>
          <w:bCs w:val="0"/>
          <w:spacing w:val="-9"/>
          <w:sz w:val="21"/>
          <w:szCs w:val="21"/>
        </w:rPr>
        <w:t xml:space="preserve"> </w:t>
      </w:r>
      <w:r w:rsidRPr="0077142E">
        <w:rPr>
          <w:rFonts w:ascii="Abadi" w:hAnsi="Abadi"/>
          <w:b w:val="0"/>
          <w:bCs w:val="0"/>
          <w:spacing w:val="-2"/>
          <w:sz w:val="21"/>
          <w:szCs w:val="21"/>
        </w:rPr>
        <w:t>caso,</w:t>
      </w:r>
      <w:r w:rsidRPr="0077142E">
        <w:rPr>
          <w:rFonts w:ascii="Abadi" w:hAnsi="Abadi"/>
          <w:b w:val="0"/>
          <w:bCs w:val="0"/>
          <w:spacing w:val="-6"/>
          <w:sz w:val="21"/>
          <w:szCs w:val="21"/>
        </w:rPr>
        <w:t xml:space="preserve"> </w:t>
      </w:r>
      <w:r w:rsidRPr="0077142E">
        <w:rPr>
          <w:rFonts w:ascii="Abadi" w:hAnsi="Abadi"/>
          <w:b w:val="0"/>
          <w:bCs w:val="0"/>
          <w:spacing w:val="-2"/>
          <w:sz w:val="21"/>
          <w:szCs w:val="21"/>
        </w:rPr>
        <w:t>el</w:t>
      </w:r>
      <w:r w:rsidRPr="0077142E">
        <w:rPr>
          <w:rFonts w:ascii="Abadi" w:hAnsi="Abadi"/>
          <w:b w:val="0"/>
          <w:bCs w:val="0"/>
          <w:spacing w:val="-9"/>
          <w:sz w:val="21"/>
          <w:szCs w:val="21"/>
        </w:rPr>
        <w:t xml:space="preserve"> </w:t>
      </w:r>
      <w:r w:rsidRPr="0077142E">
        <w:rPr>
          <w:rFonts w:ascii="Abadi" w:hAnsi="Abadi"/>
          <w:b w:val="0"/>
          <w:bCs w:val="0"/>
          <w:spacing w:val="-2"/>
          <w:sz w:val="21"/>
          <w:szCs w:val="21"/>
        </w:rPr>
        <w:t>ISAPEG</w:t>
      </w:r>
      <w:r w:rsidRPr="0077142E">
        <w:rPr>
          <w:rFonts w:ascii="Abadi" w:hAnsi="Abadi"/>
          <w:b w:val="0"/>
          <w:bCs w:val="0"/>
          <w:spacing w:val="-9"/>
          <w:sz w:val="21"/>
          <w:szCs w:val="21"/>
        </w:rPr>
        <w:t xml:space="preserve"> </w:t>
      </w:r>
      <w:r w:rsidRPr="0077142E">
        <w:rPr>
          <w:rFonts w:ascii="Abadi" w:hAnsi="Abadi"/>
          <w:b w:val="0"/>
          <w:bCs w:val="0"/>
          <w:spacing w:val="-2"/>
          <w:sz w:val="21"/>
          <w:szCs w:val="21"/>
        </w:rPr>
        <w:t>permanece</w:t>
      </w:r>
      <w:r w:rsidRPr="0077142E">
        <w:rPr>
          <w:rFonts w:ascii="Abadi" w:hAnsi="Abadi"/>
          <w:b w:val="0"/>
          <w:bCs w:val="0"/>
          <w:spacing w:val="-8"/>
          <w:sz w:val="21"/>
          <w:szCs w:val="21"/>
        </w:rPr>
        <w:t xml:space="preserve"> </w:t>
      </w:r>
      <w:r w:rsidRPr="0077142E">
        <w:rPr>
          <w:rFonts w:ascii="Abadi" w:hAnsi="Abadi"/>
          <w:b w:val="0"/>
          <w:bCs w:val="0"/>
          <w:spacing w:val="-2"/>
          <w:sz w:val="21"/>
          <w:szCs w:val="21"/>
        </w:rPr>
        <w:t>con</w:t>
      </w:r>
      <w:r w:rsidRPr="0077142E">
        <w:rPr>
          <w:rFonts w:ascii="Abadi" w:hAnsi="Abadi"/>
          <w:b w:val="0"/>
          <w:bCs w:val="0"/>
          <w:spacing w:val="-10"/>
          <w:sz w:val="21"/>
          <w:szCs w:val="21"/>
        </w:rPr>
        <w:t xml:space="preserve"> </w:t>
      </w:r>
      <w:r w:rsidRPr="0077142E">
        <w:rPr>
          <w:rFonts w:ascii="Abadi" w:hAnsi="Abadi"/>
          <w:b w:val="0"/>
          <w:bCs w:val="0"/>
          <w:spacing w:val="-2"/>
          <w:sz w:val="21"/>
          <w:szCs w:val="21"/>
        </w:rPr>
        <w:t>el</w:t>
      </w:r>
      <w:r w:rsidRPr="0077142E">
        <w:rPr>
          <w:rFonts w:ascii="Abadi" w:hAnsi="Abadi"/>
          <w:b w:val="0"/>
          <w:bCs w:val="0"/>
          <w:spacing w:val="-9"/>
          <w:sz w:val="21"/>
          <w:szCs w:val="21"/>
        </w:rPr>
        <w:t xml:space="preserve"> </w:t>
      </w:r>
      <w:r w:rsidRPr="0077142E">
        <w:rPr>
          <w:rFonts w:ascii="Abadi" w:hAnsi="Abadi"/>
          <w:b w:val="0"/>
          <w:bCs w:val="0"/>
          <w:spacing w:val="-2"/>
          <w:sz w:val="21"/>
          <w:szCs w:val="21"/>
        </w:rPr>
        <w:t xml:space="preserve">número </w:t>
      </w:r>
      <w:r w:rsidRPr="0077142E">
        <w:rPr>
          <w:rFonts w:ascii="Abadi" w:hAnsi="Abadi"/>
          <w:b w:val="0"/>
          <w:bCs w:val="0"/>
          <w:spacing w:val="-4"/>
          <w:sz w:val="21"/>
          <w:szCs w:val="21"/>
        </w:rPr>
        <w:t>de plazas que se le asignaron en el presupuesto</w:t>
      </w:r>
      <w:r w:rsidRPr="0077142E">
        <w:rPr>
          <w:rFonts w:ascii="Abadi" w:hAnsi="Abadi"/>
          <w:b w:val="0"/>
          <w:bCs w:val="0"/>
          <w:spacing w:val="-5"/>
          <w:sz w:val="21"/>
          <w:szCs w:val="21"/>
        </w:rPr>
        <w:t xml:space="preserve"> </w:t>
      </w:r>
      <w:r w:rsidRPr="0077142E">
        <w:rPr>
          <w:rFonts w:ascii="Abadi" w:hAnsi="Abadi"/>
          <w:b w:val="0"/>
          <w:bCs w:val="0"/>
          <w:spacing w:val="-4"/>
          <w:sz w:val="21"/>
          <w:szCs w:val="21"/>
        </w:rPr>
        <w:t>de egresos correspondiente</w:t>
      </w:r>
      <w:r w:rsidR="00816F14" w:rsidRPr="0077142E">
        <w:rPr>
          <w:rFonts w:ascii="Abadi" w:hAnsi="Abadi"/>
          <w:b w:val="0"/>
          <w:bCs w:val="0"/>
          <w:spacing w:val="-4"/>
          <w:sz w:val="21"/>
          <w:szCs w:val="21"/>
        </w:rPr>
        <w:t xml:space="preserve"> </w:t>
      </w:r>
      <w:r w:rsidR="00816F14" w:rsidRPr="0077142E">
        <w:rPr>
          <w:rFonts w:ascii="Abadi" w:hAnsi="Abadi"/>
          <w:b w:val="0"/>
          <w:bCs w:val="0"/>
          <w:spacing w:val="-2"/>
          <w:sz w:val="21"/>
          <w:szCs w:val="21"/>
        </w:rPr>
        <w:t>Por</w:t>
      </w:r>
      <w:r w:rsidR="00816F14" w:rsidRPr="0077142E">
        <w:rPr>
          <w:rFonts w:ascii="Abadi" w:hAnsi="Abadi"/>
          <w:b w:val="0"/>
          <w:bCs w:val="0"/>
          <w:spacing w:val="-13"/>
          <w:sz w:val="21"/>
          <w:szCs w:val="21"/>
        </w:rPr>
        <w:t xml:space="preserve"> </w:t>
      </w:r>
      <w:r w:rsidR="00816F14" w:rsidRPr="0077142E">
        <w:rPr>
          <w:rFonts w:ascii="Abadi" w:hAnsi="Abadi"/>
          <w:b w:val="0"/>
          <w:bCs w:val="0"/>
          <w:spacing w:val="-2"/>
          <w:sz w:val="21"/>
          <w:szCs w:val="21"/>
        </w:rPr>
        <w:t>su</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parte,</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el</w:t>
      </w:r>
      <w:r w:rsidR="00816F14" w:rsidRPr="0077142E">
        <w:rPr>
          <w:rFonts w:ascii="Abadi" w:hAnsi="Abadi"/>
          <w:b w:val="0"/>
          <w:bCs w:val="0"/>
          <w:spacing w:val="-13"/>
          <w:sz w:val="21"/>
          <w:szCs w:val="21"/>
        </w:rPr>
        <w:t xml:space="preserve"> </w:t>
      </w:r>
      <w:r w:rsidR="00816F14" w:rsidRPr="0077142E">
        <w:rPr>
          <w:rFonts w:ascii="Abadi" w:hAnsi="Abadi"/>
          <w:b w:val="0"/>
          <w:bCs w:val="0"/>
          <w:spacing w:val="-2"/>
          <w:sz w:val="21"/>
          <w:szCs w:val="21"/>
        </w:rPr>
        <w:t>pasado</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2</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de</w:t>
      </w:r>
      <w:r w:rsidR="00816F14" w:rsidRPr="0077142E">
        <w:rPr>
          <w:rFonts w:ascii="Abadi" w:hAnsi="Abadi"/>
          <w:b w:val="0"/>
          <w:bCs w:val="0"/>
          <w:spacing w:val="-13"/>
          <w:sz w:val="21"/>
          <w:szCs w:val="21"/>
        </w:rPr>
        <w:t xml:space="preserve"> </w:t>
      </w:r>
      <w:r w:rsidR="00816F14" w:rsidRPr="0077142E">
        <w:rPr>
          <w:rFonts w:ascii="Abadi" w:hAnsi="Abadi"/>
          <w:b w:val="0"/>
          <w:bCs w:val="0"/>
          <w:spacing w:val="-2"/>
          <w:sz w:val="21"/>
          <w:szCs w:val="21"/>
        </w:rPr>
        <w:t>junio,</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la</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Secretaría</w:t>
      </w:r>
      <w:r w:rsidR="00816F14" w:rsidRPr="0077142E">
        <w:rPr>
          <w:rFonts w:ascii="Abadi" w:hAnsi="Abadi"/>
          <w:b w:val="0"/>
          <w:bCs w:val="0"/>
          <w:spacing w:val="-13"/>
          <w:sz w:val="21"/>
          <w:szCs w:val="21"/>
        </w:rPr>
        <w:t xml:space="preserve"> </w:t>
      </w:r>
      <w:r w:rsidR="00816F14" w:rsidRPr="0077142E">
        <w:rPr>
          <w:rFonts w:ascii="Abadi" w:hAnsi="Abadi"/>
          <w:b w:val="0"/>
          <w:bCs w:val="0"/>
          <w:spacing w:val="-2"/>
          <w:sz w:val="21"/>
          <w:szCs w:val="21"/>
        </w:rPr>
        <w:t>de</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Salud</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de</w:t>
      </w:r>
      <w:r w:rsidR="00816F14" w:rsidRPr="0077142E">
        <w:rPr>
          <w:rFonts w:ascii="Abadi" w:hAnsi="Abadi"/>
          <w:b w:val="0"/>
          <w:bCs w:val="0"/>
          <w:spacing w:val="-13"/>
          <w:sz w:val="21"/>
          <w:szCs w:val="21"/>
        </w:rPr>
        <w:t xml:space="preserve"> </w:t>
      </w:r>
      <w:r w:rsidR="00816F14" w:rsidRPr="0077142E">
        <w:rPr>
          <w:rFonts w:ascii="Abadi" w:hAnsi="Abadi"/>
          <w:b w:val="0"/>
          <w:bCs w:val="0"/>
          <w:spacing w:val="-2"/>
          <w:sz w:val="21"/>
          <w:szCs w:val="21"/>
        </w:rPr>
        <w:t>Guanajuato</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anunció</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vía redes</w:t>
      </w:r>
      <w:r w:rsidR="00816F14" w:rsidRPr="0077142E">
        <w:rPr>
          <w:rFonts w:ascii="Abadi" w:hAnsi="Abadi"/>
          <w:b w:val="0"/>
          <w:bCs w:val="0"/>
          <w:spacing w:val="-11"/>
          <w:sz w:val="21"/>
          <w:szCs w:val="21"/>
        </w:rPr>
        <w:t xml:space="preserve"> </w:t>
      </w:r>
      <w:r w:rsidR="00816F14" w:rsidRPr="0077142E">
        <w:rPr>
          <w:rFonts w:ascii="Abadi" w:hAnsi="Abadi"/>
          <w:b w:val="0"/>
          <w:bCs w:val="0"/>
          <w:spacing w:val="-2"/>
          <w:sz w:val="21"/>
          <w:szCs w:val="21"/>
        </w:rPr>
        <w:t>sociales</w:t>
      </w:r>
      <w:r w:rsidR="0075047F">
        <w:rPr>
          <w:rStyle w:val="Refdenotaalpie"/>
          <w:rFonts w:ascii="Abadi" w:hAnsi="Abadi"/>
          <w:b w:val="0"/>
          <w:bCs w:val="0"/>
          <w:spacing w:val="-2"/>
          <w:sz w:val="21"/>
          <w:szCs w:val="21"/>
        </w:rPr>
        <w:footnoteReference w:id="68"/>
      </w:r>
      <w:r w:rsidR="00816F14" w:rsidRPr="0077142E">
        <w:rPr>
          <w:rFonts w:ascii="Abadi" w:hAnsi="Abadi"/>
          <w:b w:val="0"/>
          <w:bCs w:val="0"/>
          <w:spacing w:val="11"/>
          <w:position w:val="9"/>
          <w:sz w:val="21"/>
          <w:szCs w:val="21"/>
        </w:rPr>
        <w:t xml:space="preserve"> </w:t>
      </w:r>
      <w:r w:rsidR="00816F14" w:rsidRPr="0077142E">
        <w:rPr>
          <w:rFonts w:ascii="Abadi" w:hAnsi="Abadi"/>
          <w:b w:val="0"/>
          <w:bCs w:val="0"/>
          <w:spacing w:val="-2"/>
          <w:sz w:val="21"/>
          <w:szCs w:val="21"/>
        </w:rPr>
        <w:t>que</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a</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partir</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de</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lastRenderedPageBreak/>
        <w:t>dicha</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fecha</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3</w:t>
      </w:r>
      <w:r w:rsidR="00816F14" w:rsidRPr="0077142E">
        <w:rPr>
          <w:rFonts w:ascii="Abadi" w:hAnsi="Abadi"/>
          <w:b w:val="0"/>
          <w:bCs w:val="0"/>
          <w:spacing w:val="-11"/>
          <w:sz w:val="21"/>
          <w:szCs w:val="21"/>
        </w:rPr>
        <w:t xml:space="preserve"> </w:t>
      </w:r>
      <w:r w:rsidR="00816F14" w:rsidRPr="0077142E">
        <w:rPr>
          <w:rFonts w:ascii="Abadi" w:hAnsi="Abadi"/>
          <w:b w:val="0"/>
          <w:bCs w:val="0"/>
          <w:spacing w:val="-2"/>
          <w:sz w:val="21"/>
          <w:szCs w:val="21"/>
        </w:rPr>
        <w:t>mil</w:t>
      </w:r>
      <w:r w:rsidR="00816F14" w:rsidRPr="0077142E">
        <w:rPr>
          <w:rFonts w:ascii="Abadi" w:hAnsi="Abadi"/>
          <w:b w:val="0"/>
          <w:bCs w:val="0"/>
          <w:spacing w:val="-11"/>
          <w:sz w:val="21"/>
          <w:szCs w:val="21"/>
        </w:rPr>
        <w:t xml:space="preserve"> </w:t>
      </w:r>
      <w:r w:rsidR="00816F14" w:rsidRPr="0077142E">
        <w:rPr>
          <w:rFonts w:ascii="Abadi" w:hAnsi="Abadi"/>
          <w:b w:val="0"/>
          <w:bCs w:val="0"/>
          <w:spacing w:val="-2"/>
          <w:sz w:val="21"/>
          <w:szCs w:val="21"/>
        </w:rPr>
        <w:t>600</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trabajadores</w:t>
      </w:r>
      <w:r w:rsidR="00816F14" w:rsidRPr="0077142E">
        <w:rPr>
          <w:rFonts w:ascii="Abadi" w:hAnsi="Abadi"/>
          <w:b w:val="0"/>
          <w:bCs w:val="0"/>
          <w:spacing w:val="-11"/>
          <w:sz w:val="21"/>
          <w:szCs w:val="21"/>
        </w:rPr>
        <w:t xml:space="preserve"> </w:t>
      </w:r>
      <w:r w:rsidR="00816F14" w:rsidRPr="0077142E">
        <w:rPr>
          <w:rFonts w:ascii="Abadi" w:hAnsi="Abadi"/>
          <w:b w:val="0"/>
          <w:bCs w:val="0"/>
          <w:spacing w:val="-2"/>
          <w:sz w:val="21"/>
          <w:szCs w:val="21"/>
        </w:rPr>
        <w:t>del</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sector</w:t>
      </w:r>
      <w:r w:rsidR="00816F14" w:rsidRPr="0077142E">
        <w:rPr>
          <w:rFonts w:ascii="Abadi" w:hAnsi="Abadi"/>
          <w:b w:val="0"/>
          <w:bCs w:val="0"/>
          <w:spacing w:val="-12"/>
          <w:sz w:val="21"/>
          <w:szCs w:val="21"/>
        </w:rPr>
        <w:t xml:space="preserve"> </w:t>
      </w:r>
      <w:r w:rsidR="00816F14" w:rsidRPr="0077142E">
        <w:rPr>
          <w:rFonts w:ascii="Abadi" w:hAnsi="Abadi"/>
          <w:b w:val="0"/>
          <w:bCs w:val="0"/>
          <w:spacing w:val="-2"/>
          <w:sz w:val="21"/>
          <w:szCs w:val="21"/>
        </w:rPr>
        <w:t xml:space="preserve">salud </w:t>
      </w:r>
      <w:r w:rsidR="00816F14" w:rsidRPr="0077142E">
        <w:rPr>
          <w:rFonts w:ascii="Abadi" w:hAnsi="Abadi"/>
          <w:b w:val="0"/>
          <w:bCs w:val="0"/>
          <w:spacing w:val="-4"/>
          <w:sz w:val="21"/>
          <w:szCs w:val="21"/>
        </w:rPr>
        <w:t>podrían</w:t>
      </w:r>
      <w:r w:rsidR="00816F14" w:rsidRPr="0077142E">
        <w:rPr>
          <w:rFonts w:ascii="Abadi" w:hAnsi="Abadi"/>
          <w:b w:val="0"/>
          <w:bCs w:val="0"/>
          <w:spacing w:val="-11"/>
          <w:sz w:val="21"/>
          <w:szCs w:val="21"/>
        </w:rPr>
        <w:t xml:space="preserve"> </w:t>
      </w:r>
      <w:r w:rsidR="00816F14" w:rsidRPr="0077142E">
        <w:rPr>
          <w:rFonts w:ascii="Abadi" w:hAnsi="Abadi"/>
          <w:b w:val="0"/>
          <w:bCs w:val="0"/>
          <w:spacing w:val="-4"/>
          <w:sz w:val="21"/>
          <w:szCs w:val="21"/>
        </w:rPr>
        <w:t>pasar</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a</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firmar</w:t>
      </w:r>
      <w:r w:rsidR="00816F14" w:rsidRPr="0077142E">
        <w:rPr>
          <w:rFonts w:ascii="Abadi" w:hAnsi="Abadi"/>
          <w:b w:val="0"/>
          <w:bCs w:val="0"/>
          <w:spacing w:val="-11"/>
          <w:sz w:val="21"/>
          <w:szCs w:val="21"/>
        </w:rPr>
        <w:t xml:space="preserve"> </w:t>
      </w:r>
      <w:r w:rsidR="00816F14" w:rsidRPr="0077142E">
        <w:rPr>
          <w:rFonts w:ascii="Abadi" w:hAnsi="Abadi"/>
          <w:b w:val="0"/>
          <w:bCs w:val="0"/>
          <w:spacing w:val="-4"/>
          <w:sz w:val="21"/>
          <w:szCs w:val="21"/>
        </w:rPr>
        <w:t>su</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contrato</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de</w:t>
      </w:r>
      <w:r w:rsidR="00816F14" w:rsidRPr="0077142E">
        <w:rPr>
          <w:rFonts w:ascii="Abadi" w:hAnsi="Abadi"/>
          <w:b w:val="0"/>
          <w:bCs w:val="0"/>
          <w:spacing w:val="-11"/>
          <w:sz w:val="21"/>
          <w:szCs w:val="21"/>
        </w:rPr>
        <w:t xml:space="preserve"> </w:t>
      </w:r>
      <w:r w:rsidR="00816F14" w:rsidRPr="0077142E">
        <w:rPr>
          <w:rFonts w:ascii="Abadi" w:hAnsi="Abadi"/>
          <w:b w:val="0"/>
          <w:bCs w:val="0"/>
          <w:spacing w:val="-4"/>
          <w:sz w:val="21"/>
          <w:szCs w:val="21"/>
        </w:rPr>
        <w:t>basificación.</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Este</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anuncio</w:t>
      </w:r>
      <w:r w:rsidR="00816F14" w:rsidRPr="0077142E">
        <w:rPr>
          <w:rFonts w:ascii="Abadi" w:hAnsi="Abadi"/>
          <w:b w:val="0"/>
          <w:bCs w:val="0"/>
          <w:spacing w:val="-11"/>
          <w:sz w:val="21"/>
          <w:szCs w:val="21"/>
        </w:rPr>
        <w:t xml:space="preserve"> </w:t>
      </w:r>
      <w:r w:rsidR="00816F14" w:rsidRPr="0077142E">
        <w:rPr>
          <w:rFonts w:ascii="Abadi" w:hAnsi="Abadi"/>
          <w:b w:val="0"/>
          <w:bCs w:val="0"/>
          <w:spacing w:val="-4"/>
          <w:sz w:val="21"/>
          <w:szCs w:val="21"/>
        </w:rPr>
        <w:t>se</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acompañó</w:t>
      </w:r>
      <w:r w:rsidR="00816F14" w:rsidRPr="0077142E">
        <w:rPr>
          <w:rFonts w:ascii="Abadi" w:hAnsi="Abadi"/>
          <w:b w:val="0"/>
          <w:bCs w:val="0"/>
          <w:spacing w:val="-10"/>
          <w:sz w:val="21"/>
          <w:szCs w:val="21"/>
        </w:rPr>
        <w:t xml:space="preserve"> </w:t>
      </w:r>
      <w:r w:rsidR="00816F14" w:rsidRPr="0077142E">
        <w:rPr>
          <w:rFonts w:ascii="Abadi" w:hAnsi="Abadi"/>
          <w:b w:val="0"/>
          <w:bCs w:val="0"/>
          <w:spacing w:val="-4"/>
          <w:sz w:val="21"/>
          <w:szCs w:val="21"/>
        </w:rPr>
        <w:t>de</w:t>
      </w:r>
      <w:r w:rsidR="00816F14" w:rsidRPr="0077142E">
        <w:rPr>
          <w:rFonts w:ascii="Abadi" w:hAnsi="Abadi"/>
          <w:b w:val="0"/>
          <w:bCs w:val="0"/>
          <w:spacing w:val="-11"/>
          <w:sz w:val="21"/>
          <w:szCs w:val="21"/>
        </w:rPr>
        <w:t xml:space="preserve"> </w:t>
      </w:r>
      <w:r w:rsidR="00816F14" w:rsidRPr="0077142E">
        <w:rPr>
          <w:rFonts w:ascii="Abadi" w:hAnsi="Abadi"/>
          <w:b w:val="0"/>
          <w:bCs w:val="0"/>
          <w:spacing w:val="-4"/>
          <w:sz w:val="21"/>
          <w:szCs w:val="21"/>
        </w:rPr>
        <w:t xml:space="preserve">un </w:t>
      </w:r>
      <w:r w:rsidR="00816F14" w:rsidRPr="0077142E">
        <w:rPr>
          <w:rFonts w:ascii="Abadi" w:hAnsi="Abadi"/>
          <w:b w:val="0"/>
          <w:bCs w:val="0"/>
          <w:sz w:val="21"/>
          <w:szCs w:val="21"/>
        </w:rPr>
        <w:t>boletín</w:t>
      </w:r>
      <w:r w:rsidR="00816F14" w:rsidRPr="0077142E">
        <w:rPr>
          <w:rFonts w:ascii="Abadi" w:hAnsi="Abadi"/>
          <w:b w:val="0"/>
          <w:bCs w:val="0"/>
          <w:spacing w:val="-15"/>
          <w:sz w:val="21"/>
          <w:szCs w:val="21"/>
        </w:rPr>
        <w:t xml:space="preserve"> </w:t>
      </w:r>
      <w:r w:rsidR="00816F14" w:rsidRPr="0077142E">
        <w:rPr>
          <w:rFonts w:ascii="Abadi" w:hAnsi="Abadi"/>
          <w:b w:val="0"/>
          <w:bCs w:val="0"/>
          <w:sz w:val="21"/>
          <w:szCs w:val="21"/>
        </w:rPr>
        <w:t>oficial</w:t>
      </w:r>
      <w:r w:rsidR="00816F14" w:rsidRPr="0077142E">
        <w:rPr>
          <w:rFonts w:ascii="Abadi" w:hAnsi="Abadi"/>
          <w:b w:val="0"/>
          <w:bCs w:val="0"/>
          <w:spacing w:val="-14"/>
          <w:sz w:val="21"/>
          <w:szCs w:val="21"/>
        </w:rPr>
        <w:t xml:space="preserve"> </w:t>
      </w:r>
      <w:r w:rsidR="00816F14" w:rsidRPr="0077142E">
        <w:rPr>
          <w:rFonts w:ascii="Abadi" w:hAnsi="Abadi"/>
          <w:b w:val="0"/>
          <w:bCs w:val="0"/>
          <w:sz w:val="21"/>
          <w:szCs w:val="21"/>
        </w:rPr>
        <w:t>de</w:t>
      </w:r>
      <w:r w:rsidR="00816F14" w:rsidRPr="0077142E">
        <w:rPr>
          <w:rFonts w:ascii="Abadi" w:hAnsi="Abadi"/>
          <w:b w:val="0"/>
          <w:bCs w:val="0"/>
          <w:spacing w:val="-14"/>
          <w:sz w:val="21"/>
          <w:szCs w:val="21"/>
        </w:rPr>
        <w:t xml:space="preserve"> </w:t>
      </w:r>
      <w:r w:rsidR="00816F14" w:rsidRPr="0077142E">
        <w:rPr>
          <w:rFonts w:ascii="Abadi" w:hAnsi="Abadi"/>
          <w:b w:val="0"/>
          <w:bCs w:val="0"/>
          <w:sz w:val="21"/>
          <w:szCs w:val="21"/>
        </w:rPr>
        <w:t>Gobierno</w:t>
      </w:r>
      <w:r w:rsidR="00816F14" w:rsidRPr="0077142E">
        <w:rPr>
          <w:rFonts w:ascii="Abadi" w:hAnsi="Abadi"/>
          <w:b w:val="0"/>
          <w:bCs w:val="0"/>
          <w:spacing w:val="-15"/>
          <w:sz w:val="21"/>
          <w:szCs w:val="21"/>
        </w:rPr>
        <w:t xml:space="preserve"> </w:t>
      </w:r>
      <w:r w:rsidR="00816F14" w:rsidRPr="0077142E">
        <w:rPr>
          <w:rFonts w:ascii="Abadi" w:hAnsi="Abadi"/>
          <w:b w:val="0"/>
          <w:bCs w:val="0"/>
          <w:sz w:val="21"/>
          <w:szCs w:val="21"/>
        </w:rPr>
        <w:t>del</w:t>
      </w:r>
      <w:r w:rsidR="00816F14" w:rsidRPr="0077142E">
        <w:rPr>
          <w:rFonts w:ascii="Abadi" w:hAnsi="Abadi"/>
          <w:b w:val="0"/>
          <w:bCs w:val="0"/>
          <w:spacing w:val="-13"/>
          <w:sz w:val="21"/>
          <w:szCs w:val="21"/>
        </w:rPr>
        <w:t xml:space="preserve"> </w:t>
      </w:r>
      <w:r w:rsidR="00816F14" w:rsidRPr="0077142E">
        <w:rPr>
          <w:rFonts w:ascii="Abadi" w:hAnsi="Abadi"/>
          <w:b w:val="0"/>
          <w:bCs w:val="0"/>
          <w:sz w:val="21"/>
          <w:szCs w:val="21"/>
        </w:rPr>
        <w:t>Estado</w:t>
      </w:r>
      <w:r w:rsidR="00816F14" w:rsidRPr="0077142E">
        <w:rPr>
          <w:rFonts w:ascii="Abadi" w:hAnsi="Abadi"/>
          <w:b w:val="0"/>
          <w:bCs w:val="0"/>
          <w:spacing w:val="-15"/>
          <w:sz w:val="21"/>
          <w:szCs w:val="21"/>
        </w:rPr>
        <w:t xml:space="preserve"> </w:t>
      </w:r>
      <w:r w:rsidR="00816F14" w:rsidRPr="0077142E">
        <w:rPr>
          <w:rFonts w:ascii="Abadi" w:hAnsi="Abadi"/>
          <w:b w:val="0"/>
          <w:bCs w:val="0"/>
          <w:sz w:val="21"/>
          <w:szCs w:val="21"/>
        </w:rPr>
        <w:t>en</w:t>
      </w:r>
      <w:r w:rsidR="00816F14" w:rsidRPr="0077142E">
        <w:rPr>
          <w:rFonts w:ascii="Abadi" w:hAnsi="Abadi"/>
          <w:b w:val="0"/>
          <w:bCs w:val="0"/>
          <w:spacing w:val="-13"/>
          <w:sz w:val="21"/>
          <w:szCs w:val="21"/>
        </w:rPr>
        <w:t xml:space="preserve"> </w:t>
      </w:r>
      <w:r w:rsidR="00816F14" w:rsidRPr="0077142E">
        <w:rPr>
          <w:rFonts w:ascii="Abadi" w:hAnsi="Abadi"/>
          <w:b w:val="0"/>
          <w:bCs w:val="0"/>
          <w:sz w:val="21"/>
          <w:szCs w:val="21"/>
        </w:rPr>
        <w:t>el</w:t>
      </w:r>
      <w:r w:rsidR="00816F14" w:rsidRPr="0077142E">
        <w:rPr>
          <w:rFonts w:ascii="Abadi" w:hAnsi="Abadi"/>
          <w:b w:val="0"/>
          <w:bCs w:val="0"/>
          <w:spacing w:val="-14"/>
          <w:sz w:val="21"/>
          <w:szCs w:val="21"/>
        </w:rPr>
        <w:t xml:space="preserve"> </w:t>
      </w:r>
      <w:r w:rsidR="00816F14" w:rsidRPr="0077142E">
        <w:rPr>
          <w:rFonts w:ascii="Abadi" w:hAnsi="Abadi"/>
          <w:b w:val="0"/>
          <w:bCs w:val="0"/>
          <w:sz w:val="21"/>
          <w:szCs w:val="21"/>
        </w:rPr>
        <w:t>que</w:t>
      </w:r>
      <w:r w:rsidR="00816F14" w:rsidRPr="0077142E">
        <w:rPr>
          <w:rFonts w:ascii="Abadi" w:hAnsi="Abadi"/>
          <w:b w:val="0"/>
          <w:bCs w:val="0"/>
          <w:spacing w:val="-15"/>
          <w:sz w:val="21"/>
          <w:szCs w:val="21"/>
        </w:rPr>
        <w:t xml:space="preserve"> </w:t>
      </w:r>
      <w:r w:rsidR="00816F14" w:rsidRPr="0077142E">
        <w:rPr>
          <w:rFonts w:ascii="Abadi" w:hAnsi="Abadi"/>
          <w:b w:val="0"/>
          <w:bCs w:val="0"/>
          <w:sz w:val="21"/>
          <w:szCs w:val="21"/>
        </w:rPr>
        <w:t>se</w:t>
      </w:r>
      <w:r w:rsidR="00816F14" w:rsidRPr="0077142E">
        <w:rPr>
          <w:rFonts w:ascii="Abadi" w:hAnsi="Abadi"/>
          <w:b w:val="0"/>
          <w:bCs w:val="0"/>
          <w:spacing w:val="-14"/>
          <w:sz w:val="21"/>
          <w:szCs w:val="21"/>
        </w:rPr>
        <w:t xml:space="preserve"> </w:t>
      </w:r>
      <w:r w:rsidR="00816F14" w:rsidRPr="0077142E">
        <w:rPr>
          <w:rFonts w:ascii="Abadi" w:hAnsi="Abadi"/>
          <w:b w:val="0"/>
          <w:bCs w:val="0"/>
          <w:sz w:val="21"/>
          <w:szCs w:val="21"/>
        </w:rPr>
        <w:t>señala</w:t>
      </w:r>
      <w:r w:rsidR="00816F14" w:rsidRPr="0077142E">
        <w:rPr>
          <w:rFonts w:ascii="Abadi" w:hAnsi="Abadi"/>
          <w:b w:val="0"/>
          <w:bCs w:val="0"/>
          <w:spacing w:val="-12"/>
          <w:sz w:val="21"/>
          <w:szCs w:val="21"/>
        </w:rPr>
        <w:t xml:space="preserve"> </w:t>
      </w:r>
      <w:r w:rsidR="00816F14" w:rsidRPr="0077142E">
        <w:rPr>
          <w:rFonts w:ascii="Abadi" w:hAnsi="Abadi"/>
          <w:b w:val="0"/>
          <w:bCs w:val="0"/>
          <w:sz w:val="21"/>
          <w:szCs w:val="21"/>
        </w:rPr>
        <w:t>lo</w:t>
      </w:r>
      <w:r w:rsidR="00816F14" w:rsidRPr="0077142E">
        <w:rPr>
          <w:rFonts w:ascii="Abadi" w:hAnsi="Abadi"/>
          <w:b w:val="0"/>
          <w:bCs w:val="0"/>
          <w:spacing w:val="-14"/>
          <w:sz w:val="21"/>
          <w:szCs w:val="21"/>
        </w:rPr>
        <w:t xml:space="preserve"> </w:t>
      </w:r>
      <w:r w:rsidR="00816F14" w:rsidRPr="0077142E">
        <w:rPr>
          <w:rFonts w:ascii="Abadi" w:hAnsi="Abadi"/>
          <w:b w:val="0"/>
          <w:bCs w:val="0"/>
          <w:sz w:val="21"/>
          <w:szCs w:val="21"/>
        </w:rPr>
        <w:t>siguiente:</w:t>
      </w:r>
    </w:p>
    <w:p w14:paraId="792541FD" w14:textId="0494EB4C" w:rsidR="00816F14" w:rsidRPr="0077142E" w:rsidRDefault="00816F14" w:rsidP="00816F14">
      <w:pPr>
        <w:spacing w:before="234"/>
        <w:ind w:right="142"/>
        <w:jc w:val="both"/>
        <w:rPr>
          <w:rFonts w:ascii="Abadi" w:hAnsi="Abadi"/>
          <w:sz w:val="21"/>
          <w:szCs w:val="21"/>
        </w:rPr>
      </w:pPr>
      <w:r w:rsidRPr="0077142E">
        <w:rPr>
          <w:rFonts w:ascii="Abadi" w:hAnsi="Abadi"/>
          <w:sz w:val="21"/>
          <w:szCs w:val="21"/>
        </w:rPr>
        <w:t>El</w:t>
      </w:r>
      <w:r w:rsidRPr="0077142E">
        <w:rPr>
          <w:rFonts w:ascii="Abadi" w:hAnsi="Abadi"/>
          <w:spacing w:val="-14"/>
          <w:sz w:val="21"/>
          <w:szCs w:val="21"/>
        </w:rPr>
        <w:t xml:space="preserve"> </w:t>
      </w:r>
      <w:r w:rsidRPr="0077142E">
        <w:rPr>
          <w:rFonts w:ascii="Abadi" w:hAnsi="Abadi"/>
          <w:sz w:val="21"/>
          <w:szCs w:val="21"/>
        </w:rPr>
        <w:t>Instituto</w:t>
      </w:r>
      <w:r w:rsidRPr="0077142E">
        <w:rPr>
          <w:rFonts w:ascii="Abadi" w:hAnsi="Abadi"/>
          <w:spacing w:val="-13"/>
          <w:sz w:val="21"/>
          <w:szCs w:val="21"/>
        </w:rPr>
        <w:t xml:space="preserve"> </w:t>
      </w:r>
      <w:r w:rsidRPr="0077142E">
        <w:rPr>
          <w:rFonts w:ascii="Abadi" w:hAnsi="Abadi"/>
          <w:sz w:val="21"/>
          <w:szCs w:val="21"/>
        </w:rPr>
        <w:t>de</w:t>
      </w:r>
      <w:r w:rsidRPr="0077142E">
        <w:rPr>
          <w:rFonts w:ascii="Abadi" w:hAnsi="Abadi"/>
          <w:spacing w:val="-13"/>
          <w:sz w:val="21"/>
          <w:szCs w:val="21"/>
        </w:rPr>
        <w:t xml:space="preserve"> </w:t>
      </w:r>
      <w:r w:rsidRPr="0077142E">
        <w:rPr>
          <w:rFonts w:ascii="Abadi" w:hAnsi="Abadi"/>
          <w:sz w:val="21"/>
          <w:szCs w:val="21"/>
        </w:rPr>
        <w:t>Salud</w:t>
      </w:r>
      <w:r w:rsidRPr="0077142E">
        <w:rPr>
          <w:rFonts w:ascii="Abadi" w:hAnsi="Abadi"/>
          <w:spacing w:val="-13"/>
          <w:sz w:val="21"/>
          <w:szCs w:val="21"/>
        </w:rPr>
        <w:t xml:space="preserve"> </w:t>
      </w:r>
      <w:r w:rsidRPr="0077142E">
        <w:rPr>
          <w:rFonts w:ascii="Abadi" w:hAnsi="Abadi"/>
          <w:sz w:val="21"/>
          <w:szCs w:val="21"/>
        </w:rPr>
        <w:t>Pública</w:t>
      </w:r>
      <w:r w:rsidRPr="0077142E">
        <w:rPr>
          <w:rFonts w:ascii="Abadi" w:hAnsi="Abadi"/>
          <w:spacing w:val="-14"/>
          <w:sz w:val="21"/>
          <w:szCs w:val="21"/>
        </w:rPr>
        <w:t xml:space="preserve"> </w:t>
      </w:r>
      <w:r w:rsidRPr="0077142E">
        <w:rPr>
          <w:rFonts w:ascii="Abadi" w:hAnsi="Abadi"/>
          <w:sz w:val="21"/>
          <w:szCs w:val="21"/>
        </w:rPr>
        <w:t>del</w:t>
      </w:r>
      <w:r w:rsidRPr="0077142E">
        <w:rPr>
          <w:rFonts w:ascii="Abadi" w:hAnsi="Abadi"/>
          <w:spacing w:val="-13"/>
          <w:sz w:val="21"/>
          <w:szCs w:val="21"/>
        </w:rPr>
        <w:t xml:space="preserve"> </w:t>
      </w:r>
      <w:r w:rsidRPr="0077142E">
        <w:rPr>
          <w:rFonts w:ascii="Abadi" w:hAnsi="Abadi"/>
          <w:sz w:val="21"/>
          <w:szCs w:val="21"/>
        </w:rPr>
        <w:t>Estado</w:t>
      </w:r>
      <w:r w:rsidRPr="0077142E">
        <w:rPr>
          <w:rFonts w:ascii="Abadi" w:hAnsi="Abadi"/>
          <w:spacing w:val="-13"/>
          <w:sz w:val="21"/>
          <w:szCs w:val="21"/>
        </w:rPr>
        <w:t xml:space="preserve"> </w:t>
      </w:r>
      <w:r w:rsidRPr="0077142E">
        <w:rPr>
          <w:rFonts w:ascii="Abadi" w:hAnsi="Abadi"/>
          <w:sz w:val="21"/>
          <w:szCs w:val="21"/>
        </w:rPr>
        <w:t>de</w:t>
      </w:r>
      <w:r w:rsidRPr="0077142E">
        <w:rPr>
          <w:rFonts w:ascii="Abadi" w:hAnsi="Abadi"/>
          <w:spacing w:val="-13"/>
          <w:sz w:val="21"/>
          <w:szCs w:val="21"/>
        </w:rPr>
        <w:t xml:space="preserve"> </w:t>
      </w:r>
      <w:r w:rsidRPr="0077142E">
        <w:rPr>
          <w:rFonts w:ascii="Abadi" w:hAnsi="Abadi"/>
          <w:sz w:val="21"/>
          <w:szCs w:val="21"/>
        </w:rPr>
        <w:t>Guanajuato</w:t>
      </w:r>
      <w:r w:rsidRPr="0077142E">
        <w:rPr>
          <w:rFonts w:ascii="Abadi" w:hAnsi="Abadi"/>
          <w:spacing w:val="-13"/>
          <w:sz w:val="21"/>
          <w:szCs w:val="21"/>
        </w:rPr>
        <w:t xml:space="preserve"> </w:t>
      </w:r>
      <w:r w:rsidRPr="0077142E">
        <w:rPr>
          <w:rFonts w:ascii="Abadi" w:hAnsi="Abadi"/>
          <w:sz w:val="21"/>
          <w:szCs w:val="21"/>
        </w:rPr>
        <w:t>(ISAPEG)</w:t>
      </w:r>
      <w:r w:rsidRPr="0077142E">
        <w:rPr>
          <w:rFonts w:ascii="Abadi" w:hAnsi="Abadi"/>
          <w:spacing w:val="-14"/>
          <w:sz w:val="21"/>
          <w:szCs w:val="21"/>
        </w:rPr>
        <w:t xml:space="preserve"> </w:t>
      </w:r>
      <w:r w:rsidRPr="0077142E">
        <w:rPr>
          <w:rFonts w:ascii="Abadi" w:hAnsi="Abadi"/>
          <w:sz w:val="21"/>
          <w:szCs w:val="21"/>
        </w:rPr>
        <w:t>otorgó</w:t>
      </w:r>
      <w:r w:rsidRPr="0077142E">
        <w:rPr>
          <w:rFonts w:ascii="Abadi" w:hAnsi="Abadi"/>
          <w:spacing w:val="-13"/>
          <w:sz w:val="21"/>
          <w:szCs w:val="21"/>
        </w:rPr>
        <w:t xml:space="preserve"> </w:t>
      </w:r>
      <w:r w:rsidRPr="0077142E">
        <w:rPr>
          <w:rFonts w:ascii="Abadi" w:hAnsi="Abadi"/>
          <w:sz w:val="21"/>
          <w:szCs w:val="21"/>
        </w:rPr>
        <w:t>3</w:t>
      </w:r>
      <w:r w:rsidRPr="0077142E">
        <w:rPr>
          <w:rFonts w:ascii="Abadi" w:hAnsi="Abadi"/>
          <w:spacing w:val="-13"/>
          <w:sz w:val="21"/>
          <w:szCs w:val="21"/>
        </w:rPr>
        <w:t xml:space="preserve"> </w:t>
      </w:r>
      <w:r w:rsidRPr="0077142E">
        <w:rPr>
          <w:rFonts w:ascii="Abadi" w:hAnsi="Abadi"/>
          <w:sz w:val="21"/>
          <w:szCs w:val="21"/>
        </w:rPr>
        <w:t>mil</w:t>
      </w:r>
      <w:r w:rsidRPr="0077142E">
        <w:rPr>
          <w:rFonts w:ascii="Abadi" w:hAnsi="Abadi"/>
          <w:spacing w:val="-13"/>
          <w:sz w:val="21"/>
          <w:szCs w:val="21"/>
        </w:rPr>
        <w:t xml:space="preserve"> </w:t>
      </w:r>
      <w:r w:rsidRPr="0077142E">
        <w:rPr>
          <w:rFonts w:ascii="Abadi" w:hAnsi="Abadi"/>
          <w:sz w:val="21"/>
          <w:szCs w:val="21"/>
        </w:rPr>
        <w:t xml:space="preserve">600 </w:t>
      </w:r>
      <w:r w:rsidRPr="0077142E">
        <w:rPr>
          <w:rFonts w:ascii="Abadi" w:hAnsi="Abadi"/>
          <w:spacing w:val="-2"/>
          <w:sz w:val="21"/>
          <w:szCs w:val="21"/>
        </w:rPr>
        <w:t>bases</w:t>
      </w:r>
      <w:r w:rsidRPr="0077142E">
        <w:rPr>
          <w:rFonts w:ascii="Abadi" w:hAnsi="Abadi"/>
          <w:spacing w:val="-12"/>
          <w:sz w:val="21"/>
          <w:szCs w:val="21"/>
        </w:rPr>
        <w:t xml:space="preserve"> </w:t>
      </w:r>
      <w:r w:rsidRPr="0077142E">
        <w:rPr>
          <w:rFonts w:ascii="Abadi" w:hAnsi="Abadi"/>
          <w:spacing w:val="-2"/>
          <w:sz w:val="21"/>
          <w:szCs w:val="21"/>
        </w:rPr>
        <w:t>laborales,</w:t>
      </w:r>
      <w:r w:rsidRPr="0077142E">
        <w:rPr>
          <w:rFonts w:ascii="Abadi" w:hAnsi="Abadi"/>
          <w:spacing w:val="-11"/>
          <w:sz w:val="21"/>
          <w:szCs w:val="21"/>
        </w:rPr>
        <w:t xml:space="preserve"> </w:t>
      </w:r>
      <w:r w:rsidRPr="0077142E">
        <w:rPr>
          <w:rFonts w:ascii="Abadi" w:hAnsi="Abadi"/>
          <w:spacing w:val="-2"/>
          <w:sz w:val="21"/>
          <w:szCs w:val="21"/>
        </w:rPr>
        <w:t>800</w:t>
      </w:r>
      <w:r w:rsidRPr="0077142E">
        <w:rPr>
          <w:rFonts w:ascii="Abadi" w:hAnsi="Abadi"/>
          <w:spacing w:val="-11"/>
          <w:sz w:val="21"/>
          <w:szCs w:val="21"/>
        </w:rPr>
        <w:t xml:space="preserve"> </w:t>
      </w:r>
      <w:r w:rsidRPr="0077142E">
        <w:rPr>
          <w:rFonts w:ascii="Abadi" w:hAnsi="Abadi"/>
          <w:spacing w:val="-2"/>
          <w:sz w:val="21"/>
          <w:szCs w:val="21"/>
        </w:rPr>
        <w:t>espacios</w:t>
      </w:r>
      <w:r w:rsidRPr="0077142E">
        <w:rPr>
          <w:rFonts w:ascii="Abadi" w:hAnsi="Abadi"/>
          <w:spacing w:val="-11"/>
          <w:sz w:val="21"/>
          <w:szCs w:val="21"/>
        </w:rPr>
        <w:t xml:space="preserve"> </w:t>
      </w:r>
      <w:r w:rsidRPr="0077142E">
        <w:rPr>
          <w:rFonts w:ascii="Abadi" w:hAnsi="Abadi"/>
          <w:spacing w:val="-2"/>
          <w:sz w:val="21"/>
          <w:szCs w:val="21"/>
        </w:rPr>
        <w:t>más</w:t>
      </w:r>
      <w:r w:rsidRPr="0077142E">
        <w:rPr>
          <w:rFonts w:ascii="Abadi" w:hAnsi="Abadi"/>
          <w:spacing w:val="-12"/>
          <w:sz w:val="21"/>
          <w:szCs w:val="21"/>
        </w:rPr>
        <w:t xml:space="preserve"> </w:t>
      </w:r>
      <w:r w:rsidRPr="0077142E">
        <w:rPr>
          <w:rFonts w:ascii="Abadi" w:hAnsi="Abadi"/>
          <w:spacing w:val="-2"/>
          <w:sz w:val="21"/>
          <w:szCs w:val="21"/>
        </w:rPr>
        <w:t>que</w:t>
      </w:r>
      <w:r w:rsidRPr="0077142E">
        <w:rPr>
          <w:rFonts w:ascii="Abadi" w:hAnsi="Abadi"/>
          <w:spacing w:val="-11"/>
          <w:sz w:val="21"/>
          <w:szCs w:val="21"/>
        </w:rPr>
        <w:t xml:space="preserve"> </w:t>
      </w:r>
      <w:r w:rsidRPr="0077142E">
        <w:rPr>
          <w:rFonts w:ascii="Abadi" w:hAnsi="Abadi"/>
          <w:spacing w:val="-2"/>
          <w:sz w:val="21"/>
          <w:szCs w:val="21"/>
        </w:rPr>
        <w:t>las</w:t>
      </w:r>
      <w:r w:rsidRPr="0077142E">
        <w:rPr>
          <w:rFonts w:ascii="Abadi" w:hAnsi="Abadi"/>
          <w:spacing w:val="-11"/>
          <w:sz w:val="21"/>
          <w:szCs w:val="21"/>
        </w:rPr>
        <w:t xml:space="preserve"> </w:t>
      </w:r>
      <w:r w:rsidRPr="0077142E">
        <w:rPr>
          <w:rFonts w:ascii="Abadi" w:hAnsi="Abadi"/>
          <w:spacing w:val="-2"/>
          <w:sz w:val="21"/>
          <w:szCs w:val="21"/>
        </w:rPr>
        <w:t>anunciadas</w:t>
      </w:r>
      <w:r w:rsidRPr="0077142E">
        <w:rPr>
          <w:rFonts w:ascii="Abadi" w:hAnsi="Abadi"/>
          <w:spacing w:val="-11"/>
          <w:sz w:val="21"/>
          <w:szCs w:val="21"/>
        </w:rPr>
        <w:t xml:space="preserve"> </w:t>
      </w:r>
      <w:r w:rsidRPr="0077142E">
        <w:rPr>
          <w:rFonts w:ascii="Abadi" w:hAnsi="Abadi"/>
          <w:spacing w:val="-2"/>
          <w:sz w:val="21"/>
          <w:szCs w:val="21"/>
        </w:rPr>
        <w:t>con</w:t>
      </w:r>
      <w:r w:rsidRPr="0077142E">
        <w:rPr>
          <w:rFonts w:ascii="Abadi" w:hAnsi="Abadi"/>
          <w:spacing w:val="-11"/>
          <w:sz w:val="21"/>
          <w:szCs w:val="21"/>
        </w:rPr>
        <w:t xml:space="preserve"> </w:t>
      </w:r>
      <w:r w:rsidRPr="0077142E">
        <w:rPr>
          <w:rFonts w:ascii="Abadi" w:hAnsi="Abadi"/>
          <w:spacing w:val="-2"/>
          <w:sz w:val="21"/>
          <w:szCs w:val="21"/>
        </w:rPr>
        <w:t>anterioridad,</w:t>
      </w:r>
      <w:r w:rsidRPr="0077142E">
        <w:rPr>
          <w:rFonts w:ascii="Abadi" w:hAnsi="Abadi"/>
          <w:spacing w:val="-12"/>
          <w:sz w:val="21"/>
          <w:szCs w:val="21"/>
        </w:rPr>
        <w:t xml:space="preserve"> </w:t>
      </w:r>
      <w:r w:rsidRPr="0077142E">
        <w:rPr>
          <w:rFonts w:ascii="Abadi" w:hAnsi="Abadi"/>
          <w:spacing w:val="-2"/>
          <w:sz w:val="21"/>
          <w:szCs w:val="21"/>
        </w:rPr>
        <w:t>informó</w:t>
      </w:r>
      <w:r w:rsidRPr="0077142E">
        <w:rPr>
          <w:rFonts w:ascii="Abadi" w:hAnsi="Abadi"/>
          <w:spacing w:val="-11"/>
          <w:sz w:val="21"/>
          <w:szCs w:val="21"/>
        </w:rPr>
        <w:t xml:space="preserve"> </w:t>
      </w:r>
      <w:r w:rsidRPr="0077142E">
        <w:rPr>
          <w:rFonts w:ascii="Abadi" w:hAnsi="Abadi"/>
          <w:spacing w:val="-2"/>
          <w:sz w:val="21"/>
          <w:szCs w:val="21"/>
        </w:rPr>
        <w:t xml:space="preserve">el </w:t>
      </w:r>
      <w:r w:rsidRPr="0077142E">
        <w:rPr>
          <w:rFonts w:ascii="Abadi" w:hAnsi="Abadi"/>
          <w:sz w:val="21"/>
          <w:szCs w:val="21"/>
        </w:rPr>
        <w:t xml:space="preserve">Secretario de Salud, Daniel Alberto Díaz Martínez […] Informó que tomando en </w:t>
      </w:r>
      <w:r w:rsidRPr="0077142E">
        <w:rPr>
          <w:rFonts w:ascii="Abadi" w:hAnsi="Abadi"/>
          <w:spacing w:val="-2"/>
          <w:sz w:val="21"/>
          <w:szCs w:val="21"/>
        </w:rPr>
        <w:t>cuenta</w:t>
      </w:r>
      <w:r w:rsidRPr="0077142E">
        <w:rPr>
          <w:rFonts w:ascii="Abadi" w:hAnsi="Abadi"/>
          <w:spacing w:val="-12"/>
          <w:sz w:val="21"/>
          <w:szCs w:val="21"/>
        </w:rPr>
        <w:t xml:space="preserve"> </w:t>
      </w:r>
      <w:r w:rsidRPr="0077142E">
        <w:rPr>
          <w:rFonts w:ascii="Abadi" w:hAnsi="Abadi"/>
          <w:spacing w:val="-2"/>
          <w:sz w:val="21"/>
          <w:szCs w:val="21"/>
        </w:rPr>
        <w:t>las</w:t>
      </w:r>
      <w:r w:rsidRPr="0077142E">
        <w:rPr>
          <w:rFonts w:ascii="Abadi" w:hAnsi="Abadi"/>
          <w:spacing w:val="-11"/>
          <w:sz w:val="21"/>
          <w:szCs w:val="21"/>
        </w:rPr>
        <w:t xml:space="preserve"> </w:t>
      </w:r>
      <w:r w:rsidRPr="0077142E">
        <w:rPr>
          <w:rFonts w:ascii="Abadi" w:hAnsi="Abadi"/>
          <w:spacing w:val="-2"/>
          <w:sz w:val="21"/>
          <w:szCs w:val="21"/>
        </w:rPr>
        <w:t>1938</w:t>
      </w:r>
      <w:r w:rsidRPr="0077142E">
        <w:rPr>
          <w:rFonts w:ascii="Abadi" w:hAnsi="Abadi"/>
          <w:spacing w:val="-11"/>
          <w:sz w:val="21"/>
          <w:szCs w:val="21"/>
        </w:rPr>
        <w:t xml:space="preserve"> </w:t>
      </w:r>
      <w:r w:rsidRPr="0077142E">
        <w:rPr>
          <w:rFonts w:ascii="Abadi" w:hAnsi="Abadi"/>
          <w:spacing w:val="-2"/>
          <w:sz w:val="21"/>
          <w:szCs w:val="21"/>
        </w:rPr>
        <w:t>bases</w:t>
      </w:r>
      <w:r w:rsidRPr="0077142E">
        <w:rPr>
          <w:rFonts w:ascii="Abadi" w:hAnsi="Abadi"/>
          <w:spacing w:val="-11"/>
          <w:sz w:val="21"/>
          <w:szCs w:val="21"/>
        </w:rPr>
        <w:t xml:space="preserve"> </w:t>
      </w:r>
      <w:r w:rsidRPr="0077142E">
        <w:rPr>
          <w:rFonts w:ascii="Abadi" w:hAnsi="Abadi"/>
          <w:spacing w:val="-2"/>
          <w:sz w:val="21"/>
          <w:szCs w:val="21"/>
        </w:rPr>
        <w:t>que</w:t>
      </w:r>
      <w:r w:rsidRPr="0077142E">
        <w:rPr>
          <w:rFonts w:ascii="Abadi" w:hAnsi="Abadi"/>
          <w:spacing w:val="-12"/>
          <w:sz w:val="21"/>
          <w:szCs w:val="21"/>
        </w:rPr>
        <w:t xml:space="preserve"> </w:t>
      </w:r>
      <w:r w:rsidRPr="0077142E">
        <w:rPr>
          <w:rFonts w:ascii="Abadi" w:hAnsi="Abadi"/>
          <w:spacing w:val="-2"/>
          <w:sz w:val="21"/>
          <w:szCs w:val="21"/>
        </w:rPr>
        <w:t>el</w:t>
      </w:r>
      <w:r w:rsidRPr="0077142E">
        <w:rPr>
          <w:rFonts w:ascii="Abadi" w:hAnsi="Abadi"/>
          <w:spacing w:val="-11"/>
          <w:sz w:val="21"/>
          <w:szCs w:val="21"/>
        </w:rPr>
        <w:t xml:space="preserve"> </w:t>
      </w:r>
      <w:r w:rsidRPr="0077142E">
        <w:rPr>
          <w:rFonts w:ascii="Abadi" w:hAnsi="Abadi"/>
          <w:spacing w:val="-2"/>
          <w:sz w:val="21"/>
          <w:szCs w:val="21"/>
        </w:rPr>
        <w:t>gobernador,</w:t>
      </w:r>
      <w:r w:rsidRPr="0077142E">
        <w:rPr>
          <w:rFonts w:ascii="Abadi" w:hAnsi="Abadi"/>
          <w:spacing w:val="-11"/>
          <w:sz w:val="21"/>
          <w:szCs w:val="21"/>
        </w:rPr>
        <w:t xml:space="preserve"> </w:t>
      </w:r>
      <w:r w:rsidRPr="0077142E">
        <w:rPr>
          <w:rFonts w:ascii="Abadi" w:hAnsi="Abadi"/>
          <w:spacing w:val="-2"/>
          <w:sz w:val="21"/>
          <w:szCs w:val="21"/>
        </w:rPr>
        <w:t>Diego</w:t>
      </w:r>
      <w:r w:rsidRPr="0077142E">
        <w:rPr>
          <w:rFonts w:ascii="Abadi" w:hAnsi="Abadi"/>
          <w:spacing w:val="-11"/>
          <w:sz w:val="21"/>
          <w:szCs w:val="21"/>
        </w:rPr>
        <w:t xml:space="preserve"> </w:t>
      </w:r>
      <w:proofErr w:type="spellStart"/>
      <w:r w:rsidRPr="0077142E">
        <w:rPr>
          <w:rFonts w:ascii="Abadi" w:hAnsi="Abadi"/>
          <w:spacing w:val="-2"/>
          <w:sz w:val="21"/>
          <w:szCs w:val="21"/>
        </w:rPr>
        <w:t>Sinhué</w:t>
      </w:r>
      <w:proofErr w:type="spellEnd"/>
      <w:r w:rsidRPr="0077142E">
        <w:rPr>
          <w:rFonts w:ascii="Abadi" w:hAnsi="Abadi"/>
          <w:spacing w:val="-11"/>
          <w:sz w:val="21"/>
          <w:szCs w:val="21"/>
        </w:rPr>
        <w:t xml:space="preserve"> </w:t>
      </w:r>
      <w:r w:rsidRPr="0077142E">
        <w:rPr>
          <w:rFonts w:ascii="Abadi" w:hAnsi="Abadi"/>
          <w:spacing w:val="-2"/>
          <w:sz w:val="21"/>
          <w:szCs w:val="21"/>
        </w:rPr>
        <w:t>Rodríguez</w:t>
      </w:r>
      <w:r w:rsidRPr="0077142E">
        <w:rPr>
          <w:rFonts w:ascii="Abadi" w:hAnsi="Abadi"/>
          <w:spacing w:val="-12"/>
          <w:sz w:val="21"/>
          <w:szCs w:val="21"/>
        </w:rPr>
        <w:t xml:space="preserve"> </w:t>
      </w:r>
      <w:r w:rsidRPr="0077142E">
        <w:rPr>
          <w:rFonts w:ascii="Abadi" w:hAnsi="Abadi"/>
          <w:spacing w:val="-2"/>
          <w:sz w:val="21"/>
          <w:szCs w:val="21"/>
        </w:rPr>
        <w:t>Vallejo</w:t>
      </w:r>
      <w:r w:rsidRPr="0077142E">
        <w:rPr>
          <w:rFonts w:ascii="Abadi" w:hAnsi="Abadi"/>
          <w:spacing w:val="-11"/>
          <w:sz w:val="21"/>
          <w:szCs w:val="21"/>
        </w:rPr>
        <w:t xml:space="preserve"> </w:t>
      </w:r>
      <w:r w:rsidRPr="0077142E">
        <w:rPr>
          <w:rFonts w:ascii="Abadi" w:hAnsi="Abadi"/>
          <w:spacing w:val="-2"/>
          <w:sz w:val="21"/>
          <w:szCs w:val="21"/>
        </w:rPr>
        <w:t>ya</w:t>
      </w:r>
      <w:r w:rsidRPr="0077142E">
        <w:rPr>
          <w:rFonts w:ascii="Abadi" w:hAnsi="Abadi"/>
          <w:spacing w:val="-11"/>
          <w:sz w:val="21"/>
          <w:szCs w:val="21"/>
        </w:rPr>
        <w:t xml:space="preserve"> </w:t>
      </w:r>
      <w:r w:rsidRPr="0077142E">
        <w:rPr>
          <w:rFonts w:ascii="Abadi" w:hAnsi="Abadi"/>
          <w:spacing w:val="-2"/>
          <w:sz w:val="21"/>
          <w:szCs w:val="21"/>
        </w:rPr>
        <w:t xml:space="preserve">había </w:t>
      </w:r>
      <w:r w:rsidRPr="0077142E">
        <w:rPr>
          <w:rFonts w:ascii="Abadi" w:hAnsi="Abadi"/>
          <w:spacing w:val="-4"/>
          <w:sz w:val="21"/>
          <w:szCs w:val="21"/>
        </w:rPr>
        <w:t>entregado, en total Guanajuato suman 5 mil 538 regularizaciones</w:t>
      </w:r>
      <w:r w:rsidR="00D41819">
        <w:rPr>
          <w:rStyle w:val="Refdenotaalpie"/>
          <w:rFonts w:ascii="Abadi" w:hAnsi="Abadi"/>
          <w:spacing w:val="-4"/>
          <w:sz w:val="21"/>
          <w:szCs w:val="21"/>
        </w:rPr>
        <w:footnoteReference w:id="69"/>
      </w:r>
      <w:r w:rsidRPr="0077142E">
        <w:rPr>
          <w:rFonts w:ascii="Abadi" w:hAnsi="Abadi"/>
          <w:spacing w:val="-4"/>
          <w:sz w:val="21"/>
          <w:szCs w:val="21"/>
        </w:rPr>
        <w:t>.</w:t>
      </w:r>
    </w:p>
    <w:p w14:paraId="25617548" w14:textId="0F0447E2" w:rsidR="00816F14" w:rsidRDefault="00816F14" w:rsidP="00816F14">
      <w:pPr>
        <w:pStyle w:val="Textoindependiente"/>
        <w:spacing w:before="234"/>
        <w:ind w:right="142"/>
        <w:rPr>
          <w:rFonts w:ascii="Abadi" w:hAnsi="Abadi"/>
          <w:b w:val="0"/>
          <w:bCs w:val="0"/>
          <w:sz w:val="21"/>
          <w:szCs w:val="21"/>
        </w:rPr>
      </w:pPr>
      <w:r w:rsidRPr="0077142E">
        <w:rPr>
          <w:rFonts w:ascii="Abadi" w:hAnsi="Abadi"/>
          <w:b w:val="0"/>
          <w:bCs w:val="0"/>
          <w:spacing w:val="-4"/>
          <w:sz w:val="21"/>
          <w:szCs w:val="21"/>
        </w:rPr>
        <w:t>Este</w:t>
      </w:r>
      <w:r w:rsidRPr="0077142E">
        <w:rPr>
          <w:rFonts w:ascii="Abadi" w:hAnsi="Abadi"/>
          <w:b w:val="0"/>
          <w:bCs w:val="0"/>
          <w:spacing w:val="-11"/>
          <w:sz w:val="21"/>
          <w:szCs w:val="21"/>
        </w:rPr>
        <w:t xml:space="preserve"> </w:t>
      </w:r>
      <w:r w:rsidRPr="0077142E">
        <w:rPr>
          <w:rFonts w:ascii="Abadi" w:hAnsi="Abadi"/>
          <w:b w:val="0"/>
          <w:bCs w:val="0"/>
          <w:spacing w:val="-4"/>
          <w:sz w:val="21"/>
          <w:szCs w:val="21"/>
        </w:rPr>
        <w:t>nuevo</w:t>
      </w:r>
      <w:r w:rsidRPr="0077142E">
        <w:rPr>
          <w:rFonts w:ascii="Abadi" w:hAnsi="Abadi"/>
          <w:b w:val="0"/>
          <w:bCs w:val="0"/>
          <w:spacing w:val="-10"/>
          <w:sz w:val="21"/>
          <w:szCs w:val="21"/>
        </w:rPr>
        <w:t xml:space="preserve"> </w:t>
      </w:r>
      <w:r w:rsidRPr="0077142E">
        <w:rPr>
          <w:rFonts w:ascii="Abadi" w:hAnsi="Abadi"/>
          <w:b w:val="0"/>
          <w:bCs w:val="0"/>
          <w:spacing w:val="-4"/>
          <w:sz w:val="21"/>
          <w:szCs w:val="21"/>
        </w:rPr>
        <w:t>anuncio</w:t>
      </w:r>
      <w:r w:rsidRPr="0077142E">
        <w:rPr>
          <w:rFonts w:ascii="Abadi" w:hAnsi="Abadi"/>
          <w:b w:val="0"/>
          <w:bCs w:val="0"/>
          <w:spacing w:val="-10"/>
          <w:sz w:val="21"/>
          <w:szCs w:val="21"/>
        </w:rPr>
        <w:t xml:space="preserve"> </w:t>
      </w:r>
      <w:r w:rsidRPr="0077142E">
        <w:rPr>
          <w:rFonts w:ascii="Abadi" w:hAnsi="Abadi"/>
          <w:b w:val="0"/>
          <w:bCs w:val="0"/>
          <w:spacing w:val="-4"/>
          <w:sz w:val="21"/>
          <w:szCs w:val="21"/>
        </w:rPr>
        <w:t>únicamente</w:t>
      </w:r>
      <w:r w:rsidRPr="0077142E">
        <w:rPr>
          <w:rFonts w:ascii="Abadi" w:hAnsi="Abadi"/>
          <w:b w:val="0"/>
          <w:bCs w:val="0"/>
          <w:spacing w:val="-11"/>
          <w:sz w:val="21"/>
          <w:szCs w:val="21"/>
        </w:rPr>
        <w:t xml:space="preserve"> </w:t>
      </w:r>
      <w:r w:rsidRPr="0077142E">
        <w:rPr>
          <w:rFonts w:ascii="Abadi" w:hAnsi="Abadi"/>
          <w:b w:val="0"/>
          <w:bCs w:val="0"/>
          <w:spacing w:val="-4"/>
          <w:sz w:val="21"/>
          <w:szCs w:val="21"/>
        </w:rPr>
        <w:t>sirvió</w:t>
      </w:r>
      <w:r w:rsidRPr="0077142E">
        <w:rPr>
          <w:rFonts w:ascii="Abadi" w:hAnsi="Abadi"/>
          <w:b w:val="0"/>
          <w:bCs w:val="0"/>
          <w:spacing w:val="-10"/>
          <w:sz w:val="21"/>
          <w:szCs w:val="21"/>
        </w:rPr>
        <w:t xml:space="preserve"> </w:t>
      </w:r>
      <w:r w:rsidRPr="0077142E">
        <w:rPr>
          <w:rFonts w:ascii="Abadi" w:hAnsi="Abadi"/>
          <w:b w:val="0"/>
          <w:bCs w:val="0"/>
          <w:spacing w:val="-4"/>
          <w:sz w:val="21"/>
          <w:szCs w:val="21"/>
        </w:rPr>
        <w:t>para</w:t>
      </w:r>
      <w:r w:rsidRPr="0077142E">
        <w:rPr>
          <w:rFonts w:ascii="Abadi" w:hAnsi="Abadi"/>
          <w:b w:val="0"/>
          <w:bCs w:val="0"/>
          <w:spacing w:val="-10"/>
          <w:sz w:val="21"/>
          <w:szCs w:val="21"/>
        </w:rPr>
        <w:t xml:space="preserve"> </w:t>
      </w:r>
      <w:r w:rsidRPr="0077142E">
        <w:rPr>
          <w:rFonts w:ascii="Abadi" w:hAnsi="Abadi"/>
          <w:b w:val="0"/>
          <w:bCs w:val="0"/>
          <w:spacing w:val="-4"/>
          <w:sz w:val="21"/>
          <w:szCs w:val="21"/>
        </w:rPr>
        <w:t>que</w:t>
      </w:r>
      <w:r w:rsidRPr="0077142E">
        <w:rPr>
          <w:rFonts w:ascii="Abadi" w:hAnsi="Abadi"/>
          <w:b w:val="0"/>
          <w:bCs w:val="0"/>
          <w:spacing w:val="-11"/>
          <w:sz w:val="21"/>
          <w:szCs w:val="21"/>
        </w:rPr>
        <w:t xml:space="preserve"> </w:t>
      </w:r>
      <w:r w:rsidRPr="0077142E">
        <w:rPr>
          <w:rFonts w:ascii="Abadi" w:hAnsi="Abadi"/>
          <w:b w:val="0"/>
          <w:bCs w:val="0"/>
          <w:spacing w:val="-4"/>
          <w:sz w:val="21"/>
          <w:szCs w:val="21"/>
        </w:rPr>
        <w:t>el</w:t>
      </w:r>
      <w:r w:rsidRPr="0077142E">
        <w:rPr>
          <w:rFonts w:ascii="Abadi" w:hAnsi="Abadi"/>
          <w:b w:val="0"/>
          <w:bCs w:val="0"/>
          <w:spacing w:val="-10"/>
          <w:sz w:val="21"/>
          <w:szCs w:val="21"/>
        </w:rPr>
        <w:t xml:space="preserve"> </w:t>
      </w:r>
      <w:r w:rsidRPr="0077142E">
        <w:rPr>
          <w:rFonts w:ascii="Abadi" w:hAnsi="Abadi"/>
          <w:b w:val="0"/>
          <w:bCs w:val="0"/>
          <w:spacing w:val="-4"/>
          <w:sz w:val="21"/>
          <w:szCs w:val="21"/>
        </w:rPr>
        <w:t>personal</w:t>
      </w:r>
      <w:r w:rsidRPr="0077142E">
        <w:rPr>
          <w:rFonts w:ascii="Abadi" w:hAnsi="Abadi"/>
          <w:b w:val="0"/>
          <w:bCs w:val="0"/>
          <w:spacing w:val="-10"/>
          <w:sz w:val="21"/>
          <w:szCs w:val="21"/>
        </w:rPr>
        <w:t xml:space="preserve"> </w:t>
      </w:r>
      <w:r w:rsidRPr="0077142E">
        <w:rPr>
          <w:rFonts w:ascii="Abadi" w:hAnsi="Abadi"/>
          <w:b w:val="0"/>
          <w:bCs w:val="0"/>
          <w:spacing w:val="-4"/>
          <w:sz w:val="21"/>
          <w:szCs w:val="21"/>
        </w:rPr>
        <w:t>de</w:t>
      </w:r>
      <w:r w:rsidRPr="0077142E">
        <w:rPr>
          <w:rFonts w:ascii="Abadi" w:hAnsi="Abadi"/>
          <w:b w:val="0"/>
          <w:bCs w:val="0"/>
          <w:spacing w:val="-11"/>
          <w:sz w:val="21"/>
          <w:szCs w:val="21"/>
        </w:rPr>
        <w:t xml:space="preserve"> </w:t>
      </w:r>
      <w:r w:rsidRPr="0077142E">
        <w:rPr>
          <w:rFonts w:ascii="Abadi" w:hAnsi="Abadi"/>
          <w:b w:val="0"/>
          <w:bCs w:val="0"/>
          <w:spacing w:val="-4"/>
          <w:sz w:val="21"/>
          <w:szCs w:val="21"/>
        </w:rPr>
        <w:t>salud</w:t>
      </w:r>
      <w:r w:rsidRPr="0077142E">
        <w:rPr>
          <w:rFonts w:ascii="Abadi" w:hAnsi="Abadi"/>
          <w:b w:val="0"/>
          <w:bCs w:val="0"/>
          <w:spacing w:val="-10"/>
          <w:sz w:val="21"/>
          <w:szCs w:val="21"/>
        </w:rPr>
        <w:t xml:space="preserve"> </w:t>
      </w:r>
      <w:r w:rsidRPr="0077142E">
        <w:rPr>
          <w:rFonts w:ascii="Abadi" w:hAnsi="Abadi"/>
          <w:b w:val="0"/>
          <w:bCs w:val="0"/>
          <w:spacing w:val="-4"/>
          <w:sz w:val="21"/>
          <w:szCs w:val="21"/>
        </w:rPr>
        <w:t>manifestara</w:t>
      </w:r>
      <w:r w:rsidRPr="0077142E">
        <w:rPr>
          <w:rFonts w:ascii="Abadi" w:hAnsi="Abadi"/>
          <w:b w:val="0"/>
          <w:bCs w:val="0"/>
          <w:spacing w:val="-10"/>
          <w:sz w:val="21"/>
          <w:szCs w:val="21"/>
        </w:rPr>
        <w:t xml:space="preserve"> </w:t>
      </w:r>
      <w:r w:rsidRPr="0077142E">
        <w:rPr>
          <w:rFonts w:ascii="Abadi" w:hAnsi="Abadi"/>
          <w:b w:val="0"/>
          <w:bCs w:val="0"/>
          <w:spacing w:val="-4"/>
          <w:sz w:val="21"/>
          <w:szCs w:val="21"/>
        </w:rPr>
        <w:t>su inconformidad</w:t>
      </w:r>
      <w:r w:rsidRPr="0077142E">
        <w:rPr>
          <w:rFonts w:ascii="Abadi" w:hAnsi="Abadi"/>
          <w:b w:val="0"/>
          <w:bCs w:val="0"/>
          <w:spacing w:val="-11"/>
          <w:sz w:val="21"/>
          <w:szCs w:val="21"/>
        </w:rPr>
        <w:t xml:space="preserve"> </w:t>
      </w:r>
      <w:r w:rsidRPr="0077142E">
        <w:rPr>
          <w:rFonts w:ascii="Abadi" w:hAnsi="Abadi"/>
          <w:b w:val="0"/>
          <w:bCs w:val="0"/>
          <w:spacing w:val="-4"/>
          <w:sz w:val="21"/>
          <w:szCs w:val="21"/>
        </w:rPr>
        <w:t>en</w:t>
      </w:r>
      <w:r w:rsidRPr="0077142E">
        <w:rPr>
          <w:rFonts w:ascii="Abadi" w:hAnsi="Abadi"/>
          <w:b w:val="0"/>
          <w:bCs w:val="0"/>
          <w:spacing w:val="-10"/>
          <w:sz w:val="21"/>
          <w:szCs w:val="21"/>
        </w:rPr>
        <w:t xml:space="preserve"> </w:t>
      </w:r>
      <w:r w:rsidRPr="0077142E">
        <w:rPr>
          <w:rFonts w:ascii="Abadi" w:hAnsi="Abadi"/>
          <w:b w:val="0"/>
          <w:bCs w:val="0"/>
          <w:spacing w:val="-4"/>
          <w:sz w:val="21"/>
          <w:szCs w:val="21"/>
        </w:rPr>
        <w:t>redes</w:t>
      </w:r>
      <w:r w:rsidRPr="0077142E">
        <w:rPr>
          <w:rFonts w:ascii="Abadi" w:hAnsi="Abadi"/>
          <w:b w:val="0"/>
          <w:bCs w:val="0"/>
          <w:spacing w:val="-10"/>
          <w:sz w:val="21"/>
          <w:szCs w:val="21"/>
        </w:rPr>
        <w:t xml:space="preserve"> </w:t>
      </w:r>
      <w:r w:rsidRPr="0077142E">
        <w:rPr>
          <w:rFonts w:ascii="Abadi" w:hAnsi="Abadi"/>
          <w:b w:val="0"/>
          <w:bCs w:val="0"/>
          <w:spacing w:val="-4"/>
          <w:sz w:val="21"/>
          <w:szCs w:val="21"/>
        </w:rPr>
        <w:t>sociales</w:t>
      </w:r>
      <w:r w:rsidRPr="0077142E">
        <w:rPr>
          <w:rFonts w:ascii="Abadi" w:hAnsi="Abadi"/>
          <w:b w:val="0"/>
          <w:bCs w:val="0"/>
          <w:spacing w:val="-11"/>
          <w:sz w:val="21"/>
          <w:szCs w:val="21"/>
        </w:rPr>
        <w:t xml:space="preserve"> </w:t>
      </w:r>
      <w:r w:rsidRPr="0077142E">
        <w:rPr>
          <w:rFonts w:ascii="Abadi" w:hAnsi="Abadi"/>
          <w:b w:val="0"/>
          <w:bCs w:val="0"/>
          <w:spacing w:val="-4"/>
          <w:sz w:val="21"/>
          <w:szCs w:val="21"/>
        </w:rPr>
        <w:t>y</w:t>
      </w:r>
      <w:r w:rsidRPr="0077142E">
        <w:rPr>
          <w:rFonts w:ascii="Abadi" w:hAnsi="Abadi"/>
          <w:b w:val="0"/>
          <w:bCs w:val="0"/>
          <w:spacing w:val="-10"/>
          <w:sz w:val="21"/>
          <w:szCs w:val="21"/>
        </w:rPr>
        <w:t xml:space="preserve"> </w:t>
      </w:r>
      <w:r w:rsidRPr="0077142E">
        <w:rPr>
          <w:rFonts w:ascii="Abadi" w:hAnsi="Abadi"/>
          <w:b w:val="0"/>
          <w:bCs w:val="0"/>
          <w:spacing w:val="-4"/>
          <w:sz w:val="21"/>
          <w:szCs w:val="21"/>
        </w:rPr>
        <w:t>su</w:t>
      </w:r>
      <w:r w:rsidRPr="0077142E">
        <w:rPr>
          <w:rFonts w:ascii="Abadi" w:hAnsi="Abadi"/>
          <w:b w:val="0"/>
          <w:bCs w:val="0"/>
          <w:spacing w:val="-10"/>
          <w:sz w:val="21"/>
          <w:szCs w:val="21"/>
        </w:rPr>
        <w:t xml:space="preserve"> </w:t>
      </w:r>
      <w:r w:rsidRPr="0077142E">
        <w:rPr>
          <w:rFonts w:ascii="Abadi" w:hAnsi="Abadi"/>
          <w:b w:val="0"/>
          <w:bCs w:val="0"/>
          <w:spacing w:val="-4"/>
          <w:sz w:val="21"/>
          <w:szCs w:val="21"/>
        </w:rPr>
        <w:t>exigencia</w:t>
      </w:r>
      <w:r w:rsidRPr="0077142E">
        <w:rPr>
          <w:rFonts w:ascii="Abadi" w:hAnsi="Abadi"/>
          <w:b w:val="0"/>
          <w:bCs w:val="0"/>
          <w:spacing w:val="-11"/>
          <w:sz w:val="21"/>
          <w:szCs w:val="21"/>
        </w:rPr>
        <w:t xml:space="preserve"> </w:t>
      </w:r>
      <w:r w:rsidRPr="0077142E">
        <w:rPr>
          <w:rFonts w:ascii="Abadi" w:hAnsi="Abadi"/>
          <w:b w:val="0"/>
          <w:bCs w:val="0"/>
          <w:spacing w:val="-4"/>
          <w:sz w:val="21"/>
          <w:szCs w:val="21"/>
        </w:rPr>
        <w:t>de</w:t>
      </w:r>
      <w:r w:rsidRPr="0077142E">
        <w:rPr>
          <w:rFonts w:ascii="Abadi" w:hAnsi="Abadi"/>
          <w:b w:val="0"/>
          <w:bCs w:val="0"/>
          <w:spacing w:val="-10"/>
          <w:sz w:val="21"/>
          <w:szCs w:val="21"/>
        </w:rPr>
        <w:t xml:space="preserve"> </w:t>
      </w:r>
      <w:r w:rsidRPr="0077142E">
        <w:rPr>
          <w:rFonts w:ascii="Abadi" w:hAnsi="Abadi"/>
          <w:b w:val="0"/>
          <w:bCs w:val="0"/>
          <w:spacing w:val="-4"/>
          <w:sz w:val="21"/>
          <w:szCs w:val="21"/>
        </w:rPr>
        <w:t>que</w:t>
      </w:r>
      <w:r w:rsidRPr="0077142E">
        <w:rPr>
          <w:rFonts w:ascii="Abadi" w:hAnsi="Abadi"/>
          <w:b w:val="0"/>
          <w:bCs w:val="0"/>
          <w:spacing w:val="-10"/>
          <w:sz w:val="21"/>
          <w:szCs w:val="21"/>
        </w:rPr>
        <w:t xml:space="preserve"> </w:t>
      </w:r>
      <w:r w:rsidRPr="0077142E">
        <w:rPr>
          <w:rFonts w:ascii="Abadi" w:hAnsi="Abadi"/>
          <w:b w:val="0"/>
          <w:bCs w:val="0"/>
          <w:spacing w:val="-4"/>
          <w:sz w:val="21"/>
          <w:szCs w:val="21"/>
        </w:rPr>
        <w:t>se</w:t>
      </w:r>
      <w:r w:rsidRPr="0077142E">
        <w:rPr>
          <w:rFonts w:ascii="Abadi" w:hAnsi="Abadi"/>
          <w:b w:val="0"/>
          <w:bCs w:val="0"/>
          <w:spacing w:val="-11"/>
          <w:sz w:val="21"/>
          <w:szCs w:val="21"/>
        </w:rPr>
        <w:t xml:space="preserve"> </w:t>
      </w:r>
      <w:r w:rsidRPr="0077142E">
        <w:rPr>
          <w:rFonts w:ascii="Abadi" w:hAnsi="Abadi"/>
          <w:b w:val="0"/>
          <w:bCs w:val="0"/>
          <w:spacing w:val="-4"/>
          <w:sz w:val="21"/>
          <w:szCs w:val="21"/>
        </w:rPr>
        <w:t>publicite</w:t>
      </w:r>
      <w:r w:rsidRPr="0077142E">
        <w:rPr>
          <w:rFonts w:ascii="Abadi" w:hAnsi="Abadi"/>
          <w:b w:val="0"/>
          <w:bCs w:val="0"/>
          <w:spacing w:val="-10"/>
          <w:sz w:val="21"/>
          <w:szCs w:val="21"/>
        </w:rPr>
        <w:t xml:space="preserve"> </w:t>
      </w:r>
      <w:r w:rsidRPr="0077142E">
        <w:rPr>
          <w:rFonts w:ascii="Abadi" w:hAnsi="Abadi"/>
          <w:b w:val="0"/>
          <w:bCs w:val="0"/>
          <w:spacing w:val="-4"/>
          <w:sz w:val="21"/>
          <w:szCs w:val="21"/>
        </w:rPr>
        <w:t>a</w:t>
      </w:r>
      <w:r w:rsidRPr="0077142E">
        <w:rPr>
          <w:rFonts w:ascii="Abadi" w:hAnsi="Abadi"/>
          <w:b w:val="0"/>
          <w:bCs w:val="0"/>
          <w:spacing w:val="-10"/>
          <w:sz w:val="21"/>
          <w:szCs w:val="21"/>
        </w:rPr>
        <w:t xml:space="preserve"> </w:t>
      </w:r>
      <w:r w:rsidRPr="0077142E">
        <w:rPr>
          <w:rFonts w:ascii="Abadi" w:hAnsi="Abadi"/>
          <w:b w:val="0"/>
          <w:bCs w:val="0"/>
          <w:spacing w:val="-4"/>
          <w:sz w:val="21"/>
          <w:szCs w:val="21"/>
        </w:rPr>
        <w:t>qué</w:t>
      </w:r>
      <w:r w:rsidRPr="0077142E">
        <w:rPr>
          <w:rFonts w:ascii="Abadi" w:hAnsi="Abadi"/>
          <w:b w:val="0"/>
          <w:bCs w:val="0"/>
          <w:spacing w:val="-11"/>
          <w:sz w:val="21"/>
          <w:szCs w:val="21"/>
        </w:rPr>
        <w:t xml:space="preserve"> </w:t>
      </w:r>
      <w:r w:rsidRPr="0077142E">
        <w:rPr>
          <w:rFonts w:ascii="Abadi" w:hAnsi="Abadi"/>
          <w:b w:val="0"/>
          <w:bCs w:val="0"/>
          <w:spacing w:val="-4"/>
          <w:sz w:val="21"/>
          <w:szCs w:val="21"/>
        </w:rPr>
        <w:t>personal</w:t>
      </w:r>
      <w:r w:rsidRPr="0077142E">
        <w:rPr>
          <w:rFonts w:ascii="Abadi" w:hAnsi="Abadi"/>
          <w:b w:val="0"/>
          <w:bCs w:val="0"/>
          <w:spacing w:val="-10"/>
          <w:sz w:val="21"/>
          <w:szCs w:val="21"/>
        </w:rPr>
        <w:t xml:space="preserve"> </w:t>
      </w:r>
      <w:r w:rsidRPr="0077142E">
        <w:rPr>
          <w:rFonts w:ascii="Abadi" w:hAnsi="Abadi"/>
          <w:b w:val="0"/>
          <w:bCs w:val="0"/>
          <w:spacing w:val="-4"/>
          <w:sz w:val="21"/>
          <w:szCs w:val="21"/>
        </w:rPr>
        <w:t xml:space="preserve">le </w:t>
      </w:r>
      <w:r w:rsidRPr="0077142E">
        <w:rPr>
          <w:rFonts w:ascii="Abadi" w:hAnsi="Abadi"/>
          <w:b w:val="0"/>
          <w:bCs w:val="0"/>
          <w:spacing w:val="-2"/>
          <w:sz w:val="21"/>
          <w:szCs w:val="21"/>
        </w:rPr>
        <w:t>asignaron</w:t>
      </w:r>
      <w:r w:rsidRPr="0077142E">
        <w:rPr>
          <w:rFonts w:ascii="Abadi" w:hAnsi="Abadi"/>
          <w:b w:val="0"/>
          <w:bCs w:val="0"/>
          <w:spacing w:val="-13"/>
          <w:sz w:val="21"/>
          <w:szCs w:val="21"/>
        </w:rPr>
        <w:t xml:space="preserve"> </w:t>
      </w:r>
      <w:r w:rsidRPr="0077142E">
        <w:rPr>
          <w:rFonts w:ascii="Abadi" w:hAnsi="Abadi"/>
          <w:b w:val="0"/>
          <w:bCs w:val="0"/>
          <w:spacing w:val="-2"/>
          <w:sz w:val="21"/>
          <w:szCs w:val="21"/>
        </w:rPr>
        <w:t>las</w:t>
      </w:r>
      <w:r w:rsidRPr="0077142E">
        <w:rPr>
          <w:rFonts w:ascii="Abadi" w:hAnsi="Abadi"/>
          <w:b w:val="0"/>
          <w:bCs w:val="0"/>
          <w:spacing w:val="-12"/>
          <w:sz w:val="21"/>
          <w:szCs w:val="21"/>
        </w:rPr>
        <w:t xml:space="preserve"> </w:t>
      </w:r>
      <w:r w:rsidRPr="0077142E">
        <w:rPr>
          <w:rFonts w:ascii="Abadi" w:hAnsi="Abadi"/>
          <w:b w:val="0"/>
          <w:bCs w:val="0"/>
          <w:spacing w:val="-2"/>
          <w:sz w:val="21"/>
          <w:szCs w:val="21"/>
        </w:rPr>
        <w:t>bases</w:t>
      </w:r>
      <w:r w:rsidRPr="0077142E">
        <w:rPr>
          <w:rFonts w:ascii="Abadi" w:hAnsi="Abadi"/>
          <w:b w:val="0"/>
          <w:bCs w:val="0"/>
          <w:spacing w:val="-12"/>
          <w:sz w:val="21"/>
          <w:szCs w:val="21"/>
        </w:rPr>
        <w:t xml:space="preserve"> </w:t>
      </w:r>
      <w:r w:rsidRPr="0077142E">
        <w:rPr>
          <w:rFonts w:ascii="Abadi" w:hAnsi="Abadi"/>
          <w:b w:val="0"/>
          <w:bCs w:val="0"/>
          <w:spacing w:val="-2"/>
          <w:sz w:val="21"/>
          <w:szCs w:val="21"/>
        </w:rPr>
        <w:t>toda</w:t>
      </w:r>
      <w:r w:rsidRPr="0077142E">
        <w:rPr>
          <w:rFonts w:ascii="Abadi" w:hAnsi="Abadi"/>
          <w:b w:val="0"/>
          <w:bCs w:val="0"/>
          <w:spacing w:val="-13"/>
          <w:sz w:val="21"/>
          <w:szCs w:val="21"/>
        </w:rPr>
        <w:t xml:space="preserve"> </w:t>
      </w:r>
      <w:r w:rsidRPr="0077142E">
        <w:rPr>
          <w:rFonts w:ascii="Abadi" w:hAnsi="Abadi"/>
          <w:b w:val="0"/>
          <w:bCs w:val="0"/>
          <w:spacing w:val="-2"/>
          <w:sz w:val="21"/>
          <w:szCs w:val="21"/>
        </w:rPr>
        <w:t>vez</w:t>
      </w:r>
      <w:r w:rsidRPr="0077142E">
        <w:rPr>
          <w:rFonts w:ascii="Abadi" w:hAnsi="Abadi"/>
          <w:b w:val="0"/>
          <w:bCs w:val="0"/>
          <w:spacing w:val="-12"/>
          <w:sz w:val="21"/>
          <w:szCs w:val="21"/>
        </w:rPr>
        <w:t xml:space="preserve"> </w:t>
      </w:r>
      <w:r w:rsidRPr="0077142E">
        <w:rPr>
          <w:rFonts w:ascii="Abadi" w:hAnsi="Abadi"/>
          <w:b w:val="0"/>
          <w:bCs w:val="0"/>
          <w:spacing w:val="-2"/>
          <w:sz w:val="21"/>
          <w:szCs w:val="21"/>
        </w:rPr>
        <w:t>que</w:t>
      </w:r>
      <w:r w:rsidRPr="0077142E">
        <w:rPr>
          <w:rFonts w:ascii="Abadi" w:hAnsi="Abadi"/>
          <w:b w:val="0"/>
          <w:bCs w:val="0"/>
          <w:spacing w:val="-12"/>
          <w:sz w:val="21"/>
          <w:szCs w:val="21"/>
        </w:rPr>
        <w:t xml:space="preserve"> </w:t>
      </w:r>
      <w:r w:rsidRPr="0077142E">
        <w:rPr>
          <w:rFonts w:ascii="Abadi" w:hAnsi="Abadi"/>
          <w:b w:val="0"/>
          <w:bCs w:val="0"/>
          <w:spacing w:val="-2"/>
          <w:sz w:val="21"/>
          <w:szCs w:val="21"/>
        </w:rPr>
        <w:t>no</w:t>
      </w:r>
      <w:r w:rsidRPr="0077142E">
        <w:rPr>
          <w:rFonts w:ascii="Abadi" w:hAnsi="Abadi"/>
          <w:b w:val="0"/>
          <w:bCs w:val="0"/>
          <w:spacing w:val="-13"/>
          <w:sz w:val="21"/>
          <w:szCs w:val="21"/>
        </w:rPr>
        <w:t xml:space="preserve"> </w:t>
      </w:r>
      <w:r w:rsidRPr="0077142E">
        <w:rPr>
          <w:rFonts w:ascii="Abadi" w:hAnsi="Abadi"/>
          <w:b w:val="0"/>
          <w:bCs w:val="0"/>
          <w:spacing w:val="-2"/>
          <w:sz w:val="21"/>
          <w:szCs w:val="21"/>
        </w:rPr>
        <w:t>hay</w:t>
      </w:r>
      <w:r w:rsidRPr="0077142E">
        <w:rPr>
          <w:rFonts w:ascii="Abadi" w:hAnsi="Abadi"/>
          <w:b w:val="0"/>
          <w:bCs w:val="0"/>
          <w:spacing w:val="-12"/>
          <w:sz w:val="21"/>
          <w:szCs w:val="21"/>
        </w:rPr>
        <w:t xml:space="preserve"> </w:t>
      </w:r>
      <w:r w:rsidRPr="0077142E">
        <w:rPr>
          <w:rFonts w:ascii="Abadi" w:hAnsi="Abadi"/>
          <w:b w:val="0"/>
          <w:bCs w:val="0"/>
          <w:spacing w:val="-2"/>
          <w:sz w:val="21"/>
          <w:szCs w:val="21"/>
        </w:rPr>
        <w:t>información</w:t>
      </w:r>
      <w:r w:rsidRPr="0077142E">
        <w:rPr>
          <w:rFonts w:ascii="Abadi" w:hAnsi="Abadi"/>
          <w:b w:val="0"/>
          <w:bCs w:val="0"/>
          <w:spacing w:val="-12"/>
          <w:sz w:val="21"/>
          <w:szCs w:val="21"/>
        </w:rPr>
        <w:t xml:space="preserve"> </w:t>
      </w:r>
      <w:r w:rsidRPr="0077142E">
        <w:rPr>
          <w:rFonts w:ascii="Abadi" w:hAnsi="Abadi"/>
          <w:b w:val="0"/>
          <w:bCs w:val="0"/>
          <w:spacing w:val="-2"/>
          <w:sz w:val="21"/>
          <w:szCs w:val="21"/>
        </w:rPr>
        <w:t>clara</w:t>
      </w:r>
      <w:r w:rsidRPr="0077142E">
        <w:rPr>
          <w:rFonts w:ascii="Abadi" w:hAnsi="Abadi"/>
          <w:b w:val="0"/>
          <w:bCs w:val="0"/>
          <w:spacing w:val="-13"/>
          <w:sz w:val="21"/>
          <w:szCs w:val="21"/>
        </w:rPr>
        <w:t xml:space="preserve"> </w:t>
      </w:r>
      <w:r w:rsidRPr="0077142E">
        <w:rPr>
          <w:rFonts w:ascii="Abadi" w:hAnsi="Abadi"/>
          <w:b w:val="0"/>
          <w:bCs w:val="0"/>
          <w:spacing w:val="-2"/>
          <w:sz w:val="21"/>
          <w:szCs w:val="21"/>
        </w:rPr>
        <w:t>y</w:t>
      </w:r>
      <w:r w:rsidRPr="0077142E">
        <w:rPr>
          <w:rFonts w:ascii="Abadi" w:hAnsi="Abadi"/>
          <w:b w:val="0"/>
          <w:bCs w:val="0"/>
          <w:spacing w:val="-12"/>
          <w:sz w:val="21"/>
          <w:szCs w:val="21"/>
        </w:rPr>
        <w:t xml:space="preserve"> </w:t>
      </w:r>
      <w:r w:rsidRPr="0077142E">
        <w:rPr>
          <w:rFonts w:ascii="Abadi" w:hAnsi="Abadi"/>
          <w:b w:val="0"/>
          <w:bCs w:val="0"/>
          <w:spacing w:val="-2"/>
          <w:sz w:val="21"/>
          <w:szCs w:val="21"/>
        </w:rPr>
        <w:t>precisa</w:t>
      </w:r>
      <w:r w:rsidRPr="0077142E">
        <w:rPr>
          <w:rFonts w:ascii="Abadi" w:hAnsi="Abadi"/>
          <w:b w:val="0"/>
          <w:bCs w:val="0"/>
          <w:spacing w:val="-12"/>
          <w:sz w:val="21"/>
          <w:szCs w:val="21"/>
        </w:rPr>
        <w:t xml:space="preserve"> </w:t>
      </w:r>
      <w:r w:rsidRPr="0077142E">
        <w:rPr>
          <w:rFonts w:ascii="Abadi" w:hAnsi="Abadi"/>
          <w:b w:val="0"/>
          <w:bCs w:val="0"/>
          <w:spacing w:val="-2"/>
          <w:sz w:val="21"/>
          <w:szCs w:val="21"/>
        </w:rPr>
        <w:t>al</w:t>
      </w:r>
      <w:r w:rsidRPr="0077142E">
        <w:rPr>
          <w:rFonts w:ascii="Abadi" w:hAnsi="Abadi"/>
          <w:b w:val="0"/>
          <w:bCs w:val="0"/>
          <w:spacing w:val="-13"/>
          <w:sz w:val="21"/>
          <w:szCs w:val="21"/>
        </w:rPr>
        <w:t xml:space="preserve"> </w:t>
      </w:r>
      <w:r w:rsidRPr="0077142E">
        <w:rPr>
          <w:rFonts w:ascii="Abadi" w:hAnsi="Abadi"/>
          <w:b w:val="0"/>
          <w:bCs w:val="0"/>
          <w:spacing w:val="-2"/>
          <w:sz w:val="21"/>
          <w:szCs w:val="21"/>
        </w:rPr>
        <w:t>respecto,</w:t>
      </w:r>
      <w:r w:rsidRPr="0077142E">
        <w:rPr>
          <w:rFonts w:ascii="Abadi" w:hAnsi="Abadi"/>
          <w:b w:val="0"/>
          <w:bCs w:val="0"/>
          <w:spacing w:val="-12"/>
          <w:sz w:val="21"/>
          <w:szCs w:val="21"/>
        </w:rPr>
        <w:t xml:space="preserve"> </w:t>
      </w:r>
      <w:r w:rsidRPr="0077142E">
        <w:rPr>
          <w:rFonts w:ascii="Abadi" w:hAnsi="Abadi"/>
          <w:b w:val="0"/>
          <w:bCs w:val="0"/>
          <w:spacing w:val="-2"/>
          <w:sz w:val="21"/>
          <w:szCs w:val="21"/>
        </w:rPr>
        <w:t xml:space="preserve">tal </w:t>
      </w:r>
      <w:r w:rsidRPr="0077142E">
        <w:rPr>
          <w:rFonts w:ascii="Abadi" w:hAnsi="Abadi"/>
          <w:b w:val="0"/>
          <w:bCs w:val="0"/>
          <w:sz w:val="21"/>
          <w:szCs w:val="21"/>
        </w:rPr>
        <w:t>como</w:t>
      </w:r>
      <w:r w:rsidRPr="0077142E">
        <w:rPr>
          <w:rFonts w:ascii="Abadi" w:hAnsi="Abadi"/>
          <w:b w:val="0"/>
          <w:bCs w:val="0"/>
          <w:spacing w:val="-2"/>
          <w:sz w:val="21"/>
          <w:szCs w:val="21"/>
        </w:rPr>
        <w:t xml:space="preserve"> </w:t>
      </w:r>
      <w:r w:rsidRPr="0077142E">
        <w:rPr>
          <w:rFonts w:ascii="Abadi" w:hAnsi="Abadi"/>
          <w:b w:val="0"/>
          <w:bCs w:val="0"/>
          <w:sz w:val="21"/>
          <w:szCs w:val="21"/>
        </w:rPr>
        <w:t>se documentó</w:t>
      </w:r>
      <w:r w:rsidRPr="0077142E">
        <w:rPr>
          <w:rFonts w:ascii="Abadi" w:hAnsi="Abadi"/>
          <w:b w:val="0"/>
          <w:bCs w:val="0"/>
          <w:spacing w:val="-2"/>
          <w:sz w:val="21"/>
          <w:szCs w:val="21"/>
        </w:rPr>
        <w:t xml:space="preserve"> </w:t>
      </w:r>
      <w:r w:rsidRPr="0077142E">
        <w:rPr>
          <w:rFonts w:ascii="Abadi" w:hAnsi="Abadi"/>
          <w:b w:val="0"/>
          <w:bCs w:val="0"/>
          <w:sz w:val="21"/>
          <w:szCs w:val="21"/>
        </w:rPr>
        <w:t>en</w:t>
      </w:r>
      <w:r w:rsidRPr="0077142E">
        <w:rPr>
          <w:rFonts w:ascii="Abadi" w:hAnsi="Abadi"/>
          <w:b w:val="0"/>
          <w:bCs w:val="0"/>
          <w:spacing w:val="-1"/>
          <w:sz w:val="21"/>
          <w:szCs w:val="21"/>
        </w:rPr>
        <w:t xml:space="preserve"> </w:t>
      </w:r>
      <w:r w:rsidRPr="0077142E">
        <w:rPr>
          <w:rFonts w:ascii="Abadi" w:hAnsi="Abadi"/>
          <w:b w:val="0"/>
          <w:bCs w:val="0"/>
          <w:sz w:val="21"/>
          <w:szCs w:val="21"/>
        </w:rPr>
        <w:t>medios</w:t>
      </w:r>
      <w:r w:rsidRPr="0077142E">
        <w:rPr>
          <w:rFonts w:ascii="Abadi" w:hAnsi="Abadi"/>
          <w:b w:val="0"/>
          <w:bCs w:val="0"/>
          <w:spacing w:val="-1"/>
          <w:sz w:val="21"/>
          <w:szCs w:val="21"/>
        </w:rPr>
        <w:t xml:space="preserve"> </w:t>
      </w:r>
      <w:r w:rsidRPr="0077142E">
        <w:rPr>
          <w:rFonts w:ascii="Abadi" w:hAnsi="Abadi"/>
          <w:b w:val="0"/>
          <w:bCs w:val="0"/>
          <w:sz w:val="21"/>
          <w:szCs w:val="21"/>
        </w:rPr>
        <w:t>de</w:t>
      </w:r>
      <w:r w:rsidRPr="0077142E">
        <w:rPr>
          <w:rFonts w:ascii="Abadi" w:hAnsi="Abadi"/>
          <w:b w:val="0"/>
          <w:bCs w:val="0"/>
          <w:spacing w:val="-1"/>
          <w:sz w:val="21"/>
          <w:szCs w:val="21"/>
        </w:rPr>
        <w:t xml:space="preserve"> </w:t>
      </w:r>
      <w:r w:rsidRPr="0077142E">
        <w:rPr>
          <w:rFonts w:ascii="Abadi" w:hAnsi="Abadi"/>
          <w:b w:val="0"/>
          <w:bCs w:val="0"/>
          <w:sz w:val="21"/>
          <w:szCs w:val="21"/>
        </w:rPr>
        <w:t>comunicación</w:t>
      </w:r>
      <w:r w:rsidR="00C03311">
        <w:rPr>
          <w:rStyle w:val="Refdenotaalpie"/>
          <w:rFonts w:ascii="Abadi" w:hAnsi="Abadi"/>
          <w:b w:val="0"/>
          <w:bCs w:val="0"/>
          <w:sz w:val="21"/>
          <w:szCs w:val="21"/>
        </w:rPr>
        <w:footnoteReference w:id="70"/>
      </w:r>
      <w:r w:rsidRPr="0077142E">
        <w:rPr>
          <w:rFonts w:ascii="Abadi" w:hAnsi="Abadi"/>
          <w:b w:val="0"/>
          <w:bCs w:val="0"/>
          <w:sz w:val="21"/>
          <w:szCs w:val="21"/>
        </w:rPr>
        <w:t>.</w:t>
      </w:r>
    </w:p>
    <w:p w14:paraId="76DFCD0B" w14:textId="77777777" w:rsidR="004E0542" w:rsidRDefault="004E0542" w:rsidP="00816F14">
      <w:pPr>
        <w:pStyle w:val="Textoindependiente"/>
        <w:spacing w:before="234"/>
        <w:ind w:right="142"/>
        <w:rPr>
          <w:rFonts w:ascii="Abadi" w:hAnsi="Abadi"/>
          <w:b w:val="0"/>
          <w:bCs w:val="0"/>
          <w:sz w:val="21"/>
          <w:szCs w:val="21"/>
        </w:rPr>
      </w:pPr>
    </w:p>
    <w:p w14:paraId="26DD1410" w14:textId="77777777" w:rsidR="00816F14" w:rsidRPr="0077142E" w:rsidRDefault="00816F14" w:rsidP="0077142E">
      <w:pPr>
        <w:pStyle w:val="Textoindependiente"/>
        <w:spacing w:before="234"/>
        <w:ind w:right="142"/>
        <w:rPr>
          <w:rFonts w:ascii="Abadi" w:hAnsi="Abadi"/>
          <w:b w:val="0"/>
          <w:bCs w:val="0"/>
          <w:sz w:val="21"/>
          <w:szCs w:val="21"/>
        </w:rPr>
      </w:pPr>
      <w:r w:rsidRPr="0077142E">
        <w:rPr>
          <w:rFonts w:ascii="Abadi" w:hAnsi="Abadi"/>
          <w:b w:val="0"/>
          <w:bCs w:val="0"/>
          <w:spacing w:val="-6"/>
          <w:sz w:val="21"/>
          <w:szCs w:val="21"/>
        </w:rPr>
        <w:t xml:space="preserve">Por todo lo anterior, las y los iniciantes consideramos necesario que el Gobierno del </w:t>
      </w:r>
      <w:r w:rsidRPr="0077142E">
        <w:rPr>
          <w:rFonts w:ascii="Abadi" w:hAnsi="Abadi"/>
          <w:b w:val="0"/>
          <w:bCs w:val="0"/>
          <w:sz w:val="21"/>
          <w:szCs w:val="21"/>
        </w:rPr>
        <w:t xml:space="preserve">Estado y la Secretaría de Salud del Estado de Guanajuato hagan públicos los </w:t>
      </w:r>
      <w:r w:rsidRPr="0077142E">
        <w:rPr>
          <w:rFonts w:ascii="Abadi" w:hAnsi="Abadi"/>
          <w:b w:val="0"/>
          <w:bCs w:val="0"/>
          <w:spacing w:val="-6"/>
          <w:sz w:val="21"/>
          <w:szCs w:val="21"/>
        </w:rPr>
        <w:t>movimientos de plazas presupuestarias dadas durante este ejercicio</w:t>
      </w:r>
      <w:r w:rsidRPr="0077142E">
        <w:rPr>
          <w:rFonts w:ascii="Abadi" w:hAnsi="Abadi"/>
          <w:b w:val="0"/>
          <w:bCs w:val="0"/>
          <w:spacing w:val="-7"/>
          <w:sz w:val="21"/>
          <w:szCs w:val="21"/>
        </w:rPr>
        <w:t xml:space="preserve"> </w:t>
      </w:r>
      <w:r w:rsidRPr="0077142E">
        <w:rPr>
          <w:rFonts w:ascii="Abadi" w:hAnsi="Abadi"/>
          <w:b w:val="0"/>
          <w:bCs w:val="0"/>
          <w:spacing w:val="-6"/>
          <w:sz w:val="21"/>
          <w:szCs w:val="21"/>
        </w:rPr>
        <w:t xml:space="preserve">2023, así como </w:t>
      </w:r>
      <w:r w:rsidRPr="0077142E">
        <w:rPr>
          <w:rFonts w:ascii="Abadi" w:hAnsi="Abadi"/>
          <w:b w:val="0"/>
          <w:bCs w:val="0"/>
          <w:sz w:val="21"/>
          <w:szCs w:val="21"/>
        </w:rPr>
        <w:t>el</w:t>
      </w:r>
      <w:r w:rsidRPr="0077142E">
        <w:rPr>
          <w:rFonts w:ascii="Abadi" w:hAnsi="Abadi"/>
          <w:b w:val="0"/>
          <w:bCs w:val="0"/>
          <w:spacing w:val="-5"/>
          <w:sz w:val="21"/>
          <w:szCs w:val="21"/>
        </w:rPr>
        <w:t xml:space="preserve"> </w:t>
      </w:r>
      <w:r w:rsidRPr="0077142E">
        <w:rPr>
          <w:rFonts w:ascii="Abadi" w:hAnsi="Abadi"/>
          <w:b w:val="0"/>
          <w:bCs w:val="0"/>
          <w:sz w:val="21"/>
          <w:szCs w:val="21"/>
        </w:rPr>
        <w:t>plan</w:t>
      </w:r>
      <w:r w:rsidRPr="0077142E">
        <w:rPr>
          <w:rFonts w:ascii="Abadi" w:hAnsi="Abadi"/>
          <w:b w:val="0"/>
          <w:bCs w:val="0"/>
          <w:spacing w:val="-4"/>
          <w:sz w:val="21"/>
          <w:szCs w:val="21"/>
        </w:rPr>
        <w:t xml:space="preserve"> </w:t>
      </w:r>
      <w:r w:rsidRPr="0077142E">
        <w:rPr>
          <w:rFonts w:ascii="Abadi" w:hAnsi="Abadi"/>
          <w:b w:val="0"/>
          <w:bCs w:val="0"/>
          <w:sz w:val="21"/>
          <w:szCs w:val="21"/>
        </w:rPr>
        <w:t>de</w:t>
      </w:r>
      <w:r w:rsidRPr="0077142E">
        <w:rPr>
          <w:rFonts w:ascii="Abadi" w:hAnsi="Abadi"/>
          <w:b w:val="0"/>
          <w:bCs w:val="0"/>
          <w:spacing w:val="-7"/>
          <w:sz w:val="21"/>
          <w:szCs w:val="21"/>
        </w:rPr>
        <w:t xml:space="preserve"> </w:t>
      </w:r>
      <w:r w:rsidRPr="0077142E">
        <w:rPr>
          <w:rFonts w:ascii="Abadi" w:hAnsi="Abadi"/>
          <w:b w:val="0"/>
          <w:bCs w:val="0"/>
          <w:sz w:val="21"/>
          <w:szCs w:val="21"/>
        </w:rPr>
        <w:t>basificación</w:t>
      </w:r>
      <w:r w:rsidRPr="0077142E">
        <w:rPr>
          <w:rFonts w:ascii="Abadi" w:hAnsi="Abadi"/>
          <w:b w:val="0"/>
          <w:bCs w:val="0"/>
          <w:spacing w:val="-6"/>
          <w:sz w:val="21"/>
          <w:szCs w:val="21"/>
        </w:rPr>
        <w:t xml:space="preserve"> </w:t>
      </w:r>
      <w:r w:rsidRPr="0077142E">
        <w:rPr>
          <w:rFonts w:ascii="Abadi" w:hAnsi="Abadi"/>
          <w:b w:val="0"/>
          <w:bCs w:val="0"/>
          <w:sz w:val="21"/>
          <w:szCs w:val="21"/>
        </w:rPr>
        <w:t>anunciado</w:t>
      </w:r>
      <w:r w:rsidRPr="0077142E">
        <w:rPr>
          <w:rFonts w:ascii="Abadi" w:hAnsi="Abadi"/>
          <w:b w:val="0"/>
          <w:bCs w:val="0"/>
          <w:spacing w:val="-6"/>
          <w:sz w:val="21"/>
          <w:szCs w:val="21"/>
        </w:rPr>
        <w:t xml:space="preserve"> </w:t>
      </w:r>
      <w:r w:rsidRPr="0077142E">
        <w:rPr>
          <w:rFonts w:ascii="Abadi" w:hAnsi="Abadi"/>
          <w:b w:val="0"/>
          <w:bCs w:val="0"/>
          <w:sz w:val="21"/>
          <w:szCs w:val="21"/>
        </w:rPr>
        <w:t>especificando</w:t>
      </w:r>
      <w:r w:rsidRPr="0077142E">
        <w:rPr>
          <w:rFonts w:ascii="Abadi" w:hAnsi="Abadi"/>
          <w:b w:val="0"/>
          <w:bCs w:val="0"/>
          <w:spacing w:val="-7"/>
          <w:sz w:val="21"/>
          <w:szCs w:val="21"/>
        </w:rPr>
        <w:t xml:space="preserve"> </w:t>
      </w:r>
      <w:r w:rsidRPr="0077142E">
        <w:rPr>
          <w:rFonts w:ascii="Abadi" w:hAnsi="Abadi"/>
          <w:b w:val="0"/>
          <w:bCs w:val="0"/>
          <w:sz w:val="21"/>
          <w:szCs w:val="21"/>
        </w:rPr>
        <w:t>recursos,</w:t>
      </w:r>
      <w:r w:rsidRPr="0077142E">
        <w:rPr>
          <w:rFonts w:ascii="Abadi" w:hAnsi="Abadi"/>
          <w:b w:val="0"/>
          <w:bCs w:val="0"/>
          <w:spacing w:val="-6"/>
          <w:sz w:val="21"/>
          <w:szCs w:val="21"/>
        </w:rPr>
        <w:t xml:space="preserve"> </w:t>
      </w:r>
      <w:r w:rsidRPr="0077142E">
        <w:rPr>
          <w:rFonts w:ascii="Abadi" w:hAnsi="Abadi"/>
          <w:b w:val="0"/>
          <w:bCs w:val="0"/>
          <w:sz w:val="21"/>
          <w:szCs w:val="21"/>
        </w:rPr>
        <w:t>mecanismos,</w:t>
      </w:r>
      <w:r w:rsidRPr="0077142E">
        <w:rPr>
          <w:rFonts w:ascii="Abadi" w:hAnsi="Abadi"/>
          <w:b w:val="0"/>
          <w:bCs w:val="0"/>
          <w:spacing w:val="-6"/>
          <w:sz w:val="21"/>
          <w:szCs w:val="21"/>
        </w:rPr>
        <w:t xml:space="preserve"> </w:t>
      </w:r>
      <w:r w:rsidRPr="0077142E">
        <w:rPr>
          <w:rFonts w:ascii="Abadi" w:hAnsi="Abadi"/>
          <w:b w:val="0"/>
          <w:bCs w:val="0"/>
          <w:sz w:val="21"/>
          <w:szCs w:val="21"/>
        </w:rPr>
        <w:t>criterios, procesos</w:t>
      </w:r>
      <w:r w:rsidRPr="0077142E">
        <w:rPr>
          <w:rFonts w:ascii="Abadi" w:hAnsi="Abadi"/>
          <w:b w:val="0"/>
          <w:bCs w:val="0"/>
          <w:spacing w:val="-12"/>
          <w:sz w:val="21"/>
          <w:szCs w:val="21"/>
        </w:rPr>
        <w:t xml:space="preserve"> </w:t>
      </w:r>
      <w:r w:rsidRPr="0077142E">
        <w:rPr>
          <w:rFonts w:ascii="Abadi" w:hAnsi="Abadi"/>
          <w:b w:val="0"/>
          <w:bCs w:val="0"/>
          <w:sz w:val="21"/>
          <w:szCs w:val="21"/>
        </w:rPr>
        <w:t>y</w:t>
      </w:r>
      <w:r w:rsidRPr="0077142E">
        <w:rPr>
          <w:rFonts w:ascii="Abadi" w:hAnsi="Abadi"/>
          <w:b w:val="0"/>
          <w:bCs w:val="0"/>
          <w:spacing w:val="-11"/>
          <w:sz w:val="21"/>
          <w:szCs w:val="21"/>
        </w:rPr>
        <w:t xml:space="preserve"> </w:t>
      </w:r>
      <w:r w:rsidRPr="0077142E">
        <w:rPr>
          <w:rFonts w:ascii="Abadi" w:hAnsi="Abadi"/>
          <w:b w:val="0"/>
          <w:bCs w:val="0"/>
          <w:sz w:val="21"/>
          <w:szCs w:val="21"/>
        </w:rPr>
        <w:t>fechas</w:t>
      </w:r>
      <w:r w:rsidRPr="0077142E">
        <w:rPr>
          <w:rFonts w:ascii="Abadi" w:hAnsi="Abadi"/>
          <w:b w:val="0"/>
          <w:bCs w:val="0"/>
          <w:spacing w:val="-10"/>
          <w:sz w:val="21"/>
          <w:szCs w:val="21"/>
        </w:rPr>
        <w:t xml:space="preserve"> </w:t>
      </w:r>
      <w:r w:rsidRPr="0077142E">
        <w:rPr>
          <w:rFonts w:ascii="Abadi" w:hAnsi="Abadi"/>
          <w:b w:val="0"/>
          <w:bCs w:val="0"/>
          <w:sz w:val="21"/>
          <w:szCs w:val="21"/>
        </w:rPr>
        <w:t>mediante</w:t>
      </w:r>
      <w:r w:rsidRPr="0077142E">
        <w:rPr>
          <w:rFonts w:ascii="Abadi" w:hAnsi="Abadi"/>
          <w:b w:val="0"/>
          <w:bCs w:val="0"/>
          <w:spacing w:val="-12"/>
          <w:sz w:val="21"/>
          <w:szCs w:val="21"/>
        </w:rPr>
        <w:t xml:space="preserve"> </w:t>
      </w:r>
      <w:r w:rsidRPr="0077142E">
        <w:rPr>
          <w:rFonts w:ascii="Abadi" w:hAnsi="Abadi"/>
          <w:b w:val="0"/>
          <w:bCs w:val="0"/>
          <w:sz w:val="21"/>
          <w:szCs w:val="21"/>
        </w:rPr>
        <w:t>los</w:t>
      </w:r>
      <w:r w:rsidRPr="0077142E">
        <w:rPr>
          <w:rFonts w:ascii="Abadi" w:hAnsi="Abadi"/>
          <w:b w:val="0"/>
          <w:bCs w:val="0"/>
          <w:spacing w:val="-12"/>
          <w:sz w:val="21"/>
          <w:szCs w:val="21"/>
        </w:rPr>
        <w:t xml:space="preserve"> </w:t>
      </w:r>
      <w:r w:rsidRPr="0077142E">
        <w:rPr>
          <w:rFonts w:ascii="Abadi" w:hAnsi="Abadi"/>
          <w:b w:val="0"/>
          <w:bCs w:val="0"/>
          <w:sz w:val="21"/>
          <w:szCs w:val="21"/>
        </w:rPr>
        <w:t>cuales</w:t>
      </w:r>
      <w:r w:rsidRPr="0077142E">
        <w:rPr>
          <w:rFonts w:ascii="Abadi" w:hAnsi="Abadi"/>
          <w:b w:val="0"/>
          <w:bCs w:val="0"/>
          <w:spacing w:val="-10"/>
          <w:sz w:val="21"/>
          <w:szCs w:val="21"/>
        </w:rPr>
        <w:t xml:space="preserve"> </w:t>
      </w:r>
      <w:r w:rsidRPr="0077142E">
        <w:rPr>
          <w:rFonts w:ascii="Abadi" w:hAnsi="Abadi"/>
          <w:b w:val="0"/>
          <w:bCs w:val="0"/>
          <w:sz w:val="21"/>
          <w:szCs w:val="21"/>
        </w:rPr>
        <w:t>se</w:t>
      </w:r>
      <w:r w:rsidRPr="0077142E">
        <w:rPr>
          <w:rFonts w:ascii="Abadi" w:hAnsi="Abadi"/>
          <w:b w:val="0"/>
          <w:bCs w:val="0"/>
          <w:spacing w:val="-9"/>
          <w:sz w:val="21"/>
          <w:szCs w:val="21"/>
        </w:rPr>
        <w:t xml:space="preserve"> </w:t>
      </w:r>
      <w:r w:rsidRPr="0077142E">
        <w:rPr>
          <w:rFonts w:ascii="Abadi" w:hAnsi="Abadi"/>
          <w:b w:val="0"/>
          <w:bCs w:val="0"/>
          <w:sz w:val="21"/>
          <w:szCs w:val="21"/>
        </w:rPr>
        <w:t>llevará</w:t>
      </w:r>
      <w:r w:rsidRPr="0077142E">
        <w:rPr>
          <w:rFonts w:ascii="Abadi" w:hAnsi="Abadi"/>
          <w:b w:val="0"/>
          <w:bCs w:val="0"/>
          <w:spacing w:val="-12"/>
          <w:sz w:val="21"/>
          <w:szCs w:val="21"/>
        </w:rPr>
        <w:t xml:space="preserve"> </w:t>
      </w:r>
      <w:r w:rsidRPr="0077142E">
        <w:rPr>
          <w:rFonts w:ascii="Abadi" w:hAnsi="Abadi"/>
          <w:b w:val="0"/>
          <w:bCs w:val="0"/>
          <w:sz w:val="21"/>
          <w:szCs w:val="21"/>
        </w:rPr>
        <w:t>a</w:t>
      </w:r>
      <w:r w:rsidRPr="0077142E">
        <w:rPr>
          <w:rFonts w:ascii="Abadi" w:hAnsi="Abadi"/>
          <w:b w:val="0"/>
          <w:bCs w:val="0"/>
          <w:spacing w:val="-11"/>
          <w:sz w:val="21"/>
          <w:szCs w:val="21"/>
        </w:rPr>
        <w:t xml:space="preserve"> </w:t>
      </w:r>
      <w:r w:rsidRPr="0077142E">
        <w:rPr>
          <w:rFonts w:ascii="Abadi" w:hAnsi="Abadi"/>
          <w:b w:val="0"/>
          <w:bCs w:val="0"/>
          <w:sz w:val="21"/>
          <w:szCs w:val="21"/>
        </w:rPr>
        <w:t>cabo</w:t>
      </w:r>
      <w:r w:rsidRPr="0077142E">
        <w:rPr>
          <w:rFonts w:ascii="Abadi" w:hAnsi="Abadi"/>
          <w:b w:val="0"/>
          <w:bCs w:val="0"/>
          <w:spacing w:val="-13"/>
          <w:sz w:val="21"/>
          <w:szCs w:val="21"/>
        </w:rPr>
        <w:t xml:space="preserve"> </w:t>
      </w:r>
      <w:r w:rsidRPr="0077142E">
        <w:rPr>
          <w:rFonts w:ascii="Abadi" w:hAnsi="Abadi"/>
          <w:b w:val="0"/>
          <w:bCs w:val="0"/>
          <w:sz w:val="21"/>
          <w:szCs w:val="21"/>
        </w:rPr>
        <w:t>el</w:t>
      </w:r>
      <w:r w:rsidRPr="0077142E">
        <w:rPr>
          <w:rFonts w:ascii="Abadi" w:hAnsi="Abadi"/>
          <w:b w:val="0"/>
          <w:bCs w:val="0"/>
          <w:spacing w:val="-10"/>
          <w:sz w:val="21"/>
          <w:szCs w:val="21"/>
        </w:rPr>
        <w:t xml:space="preserve"> </w:t>
      </w:r>
      <w:r w:rsidRPr="0077142E">
        <w:rPr>
          <w:rFonts w:ascii="Abadi" w:hAnsi="Abadi"/>
          <w:b w:val="0"/>
          <w:bCs w:val="0"/>
          <w:sz w:val="21"/>
          <w:szCs w:val="21"/>
        </w:rPr>
        <w:t>proceso</w:t>
      </w:r>
      <w:r w:rsidRPr="0077142E">
        <w:rPr>
          <w:rFonts w:ascii="Abadi" w:hAnsi="Abadi"/>
          <w:b w:val="0"/>
          <w:bCs w:val="0"/>
          <w:spacing w:val="-13"/>
          <w:sz w:val="21"/>
          <w:szCs w:val="21"/>
        </w:rPr>
        <w:t xml:space="preserve"> </w:t>
      </w:r>
      <w:r w:rsidRPr="0077142E">
        <w:rPr>
          <w:rFonts w:ascii="Abadi" w:hAnsi="Abadi"/>
          <w:b w:val="0"/>
          <w:bCs w:val="0"/>
          <w:sz w:val="21"/>
          <w:szCs w:val="21"/>
        </w:rPr>
        <w:t>de</w:t>
      </w:r>
      <w:r w:rsidRPr="0077142E">
        <w:rPr>
          <w:rFonts w:ascii="Abadi" w:hAnsi="Abadi"/>
          <w:b w:val="0"/>
          <w:bCs w:val="0"/>
          <w:spacing w:val="-12"/>
          <w:sz w:val="21"/>
          <w:szCs w:val="21"/>
        </w:rPr>
        <w:t xml:space="preserve"> </w:t>
      </w:r>
      <w:r w:rsidRPr="0077142E">
        <w:rPr>
          <w:rFonts w:ascii="Abadi" w:hAnsi="Abadi"/>
          <w:b w:val="0"/>
          <w:bCs w:val="0"/>
          <w:sz w:val="21"/>
          <w:szCs w:val="21"/>
        </w:rPr>
        <w:t>basificación del personal del ISAPEG.</w:t>
      </w:r>
    </w:p>
    <w:p w14:paraId="3BDEB4E8" w14:textId="0A57798A" w:rsidR="00374533" w:rsidRDefault="00374533" w:rsidP="00C36526">
      <w:pPr>
        <w:autoSpaceDE w:val="0"/>
        <w:autoSpaceDN w:val="0"/>
        <w:adjustRightInd w:val="0"/>
        <w:jc w:val="both"/>
        <w:rPr>
          <w:rFonts w:ascii="Abadi" w:hAnsi="Abadi"/>
          <w:spacing w:val="-5"/>
          <w:sz w:val="21"/>
          <w:szCs w:val="21"/>
        </w:rPr>
      </w:pPr>
    </w:p>
    <w:p w14:paraId="00028876" w14:textId="77777777" w:rsidR="004E0542" w:rsidRPr="009B7A89" w:rsidRDefault="004E0542" w:rsidP="00750FD2">
      <w:pPr>
        <w:pStyle w:val="Textoindependiente"/>
        <w:spacing w:before="174"/>
        <w:ind w:right="142"/>
        <w:rPr>
          <w:rFonts w:ascii="Abadi" w:hAnsi="Abadi"/>
          <w:sz w:val="21"/>
          <w:szCs w:val="21"/>
        </w:rPr>
      </w:pPr>
      <w:r w:rsidRPr="009B7A89">
        <w:rPr>
          <w:rFonts w:ascii="Abadi" w:hAnsi="Abadi"/>
          <w:spacing w:val="-6"/>
          <w:sz w:val="21"/>
          <w:szCs w:val="21"/>
        </w:rPr>
        <w:t>Asimismo,</w:t>
      </w:r>
      <w:r w:rsidRPr="009B7A89">
        <w:rPr>
          <w:rFonts w:ascii="Abadi" w:hAnsi="Abadi"/>
          <w:spacing w:val="-9"/>
          <w:sz w:val="21"/>
          <w:szCs w:val="21"/>
        </w:rPr>
        <w:t xml:space="preserve"> </w:t>
      </w:r>
      <w:r w:rsidRPr="009B7A89">
        <w:rPr>
          <w:rFonts w:ascii="Abadi" w:hAnsi="Abadi"/>
          <w:spacing w:val="-6"/>
          <w:sz w:val="21"/>
          <w:szCs w:val="21"/>
        </w:rPr>
        <w:t xml:space="preserve">solicitamos </w:t>
      </w:r>
      <w:r w:rsidRPr="00F31911">
        <w:rPr>
          <w:rFonts w:ascii="Abadi" w:hAnsi="Abadi"/>
          <w:b w:val="0"/>
          <w:bCs w:val="0"/>
          <w:spacing w:val="-6"/>
          <w:sz w:val="21"/>
          <w:szCs w:val="21"/>
        </w:rPr>
        <w:t>la</w:t>
      </w:r>
      <w:r w:rsidRPr="00F31911">
        <w:rPr>
          <w:rFonts w:ascii="Abadi" w:hAnsi="Abadi"/>
          <w:b w:val="0"/>
          <w:bCs w:val="0"/>
          <w:spacing w:val="-7"/>
          <w:sz w:val="21"/>
          <w:szCs w:val="21"/>
        </w:rPr>
        <w:t xml:space="preserve"> </w:t>
      </w:r>
      <w:r w:rsidRPr="00F31911">
        <w:rPr>
          <w:rFonts w:ascii="Abadi" w:hAnsi="Abadi"/>
          <w:b w:val="0"/>
          <w:bCs w:val="0"/>
          <w:spacing w:val="-6"/>
          <w:sz w:val="21"/>
          <w:szCs w:val="21"/>
        </w:rPr>
        <w:t>reinstalación de</w:t>
      </w:r>
      <w:r w:rsidRPr="00F31911">
        <w:rPr>
          <w:rFonts w:ascii="Abadi" w:hAnsi="Abadi"/>
          <w:b w:val="0"/>
          <w:bCs w:val="0"/>
          <w:spacing w:val="-8"/>
          <w:sz w:val="21"/>
          <w:szCs w:val="21"/>
        </w:rPr>
        <w:t xml:space="preserve"> </w:t>
      </w:r>
      <w:r w:rsidRPr="00F31911">
        <w:rPr>
          <w:rFonts w:ascii="Abadi" w:hAnsi="Abadi"/>
          <w:b w:val="0"/>
          <w:bCs w:val="0"/>
          <w:spacing w:val="-6"/>
          <w:sz w:val="21"/>
          <w:szCs w:val="21"/>
        </w:rPr>
        <w:t>Erick Moreno</w:t>
      </w:r>
      <w:r w:rsidRPr="00F31911">
        <w:rPr>
          <w:rFonts w:ascii="Abadi" w:hAnsi="Abadi"/>
          <w:b w:val="0"/>
          <w:bCs w:val="0"/>
          <w:spacing w:val="-9"/>
          <w:sz w:val="21"/>
          <w:szCs w:val="21"/>
        </w:rPr>
        <w:t xml:space="preserve"> </w:t>
      </w:r>
      <w:r w:rsidRPr="00F31911">
        <w:rPr>
          <w:rFonts w:ascii="Abadi" w:hAnsi="Abadi"/>
          <w:b w:val="0"/>
          <w:bCs w:val="0"/>
          <w:spacing w:val="-6"/>
          <w:sz w:val="21"/>
          <w:szCs w:val="21"/>
        </w:rPr>
        <w:t>y Beatriz</w:t>
      </w:r>
      <w:r w:rsidRPr="00F31911">
        <w:rPr>
          <w:rFonts w:ascii="Abadi" w:hAnsi="Abadi"/>
          <w:b w:val="0"/>
          <w:bCs w:val="0"/>
          <w:spacing w:val="-7"/>
          <w:sz w:val="21"/>
          <w:szCs w:val="21"/>
        </w:rPr>
        <w:t xml:space="preserve"> </w:t>
      </w:r>
      <w:r w:rsidRPr="00F31911">
        <w:rPr>
          <w:rFonts w:ascii="Abadi" w:hAnsi="Abadi"/>
          <w:b w:val="0"/>
          <w:bCs w:val="0"/>
          <w:spacing w:val="-6"/>
          <w:sz w:val="21"/>
          <w:szCs w:val="21"/>
        </w:rPr>
        <w:t>Pérez</w:t>
      </w:r>
      <w:r w:rsidRPr="00F31911">
        <w:rPr>
          <w:rFonts w:ascii="Abadi" w:hAnsi="Abadi"/>
          <w:b w:val="0"/>
          <w:bCs w:val="0"/>
          <w:spacing w:val="-7"/>
          <w:sz w:val="21"/>
          <w:szCs w:val="21"/>
        </w:rPr>
        <w:t xml:space="preserve"> </w:t>
      </w:r>
      <w:r w:rsidRPr="00F31911">
        <w:rPr>
          <w:rFonts w:ascii="Abadi" w:hAnsi="Abadi"/>
          <w:b w:val="0"/>
          <w:bCs w:val="0"/>
          <w:spacing w:val="-6"/>
          <w:sz w:val="21"/>
          <w:szCs w:val="21"/>
        </w:rPr>
        <w:t>en</w:t>
      </w:r>
      <w:r w:rsidRPr="00F31911">
        <w:rPr>
          <w:rFonts w:ascii="Abadi" w:hAnsi="Abadi"/>
          <w:b w:val="0"/>
          <w:bCs w:val="0"/>
          <w:spacing w:val="-8"/>
          <w:sz w:val="21"/>
          <w:szCs w:val="21"/>
        </w:rPr>
        <w:t xml:space="preserve"> </w:t>
      </w:r>
      <w:r w:rsidRPr="00F31911">
        <w:rPr>
          <w:rFonts w:ascii="Abadi" w:hAnsi="Abadi"/>
          <w:b w:val="0"/>
          <w:bCs w:val="0"/>
          <w:spacing w:val="-6"/>
          <w:sz w:val="21"/>
          <w:szCs w:val="21"/>
        </w:rPr>
        <w:t>el</w:t>
      </w:r>
      <w:r w:rsidRPr="00F31911">
        <w:rPr>
          <w:rFonts w:ascii="Abadi" w:hAnsi="Abadi"/>
          <w:b w:val="0"/>
          <w:bCs w:val="0"/>
          <w:spacing w:val="-7"/>
          <w:sz w:val="21"/>
          <w:szCs w:val="21"/>
        </w:rPr>
        <w:t xml:space="preserve"> </w:t>
      </w:r>
      <w:r w:rsidRPr="00F31911">
        <w:rPr>
          <w:rFonts w:ascii="Abadi" w:hAnsi="Abadi"/>
          <w:b w:val="0"/>
          <w:bCs w:val="0"/>
          <w:spacing w:val="-6"/>
          <w:sz w:val="21"/>
          <w:szCs w:val="21"/>
        </w:rPr>
        <w:t>área</w:t>
      </w:r>
      <w:r w:rsidRPr="00F31911">
        <w:rPr>
          <w:rFonts w:ascii="Abadi" w:hAnsi="Abadi"/>
          <w:b w:val="0"/>
          <w:bCs w:val="0"/>
          <w:spacing w:val="-4"/>
          <w:sz w:val="21"/>
          <w:szCs w:val="21"/>
        </w:rPr>
        <w:t xml:space="preserve"> </w:t>
      </w:r>
      <w:r w:rsidRPr="00F31911">
        <w:rPr>
          <w:rFonts w:ascii="Abadi" w:hAnsi="Abadi"/>
          <w:b w:val="0"/>
          <w:bCs w:val="0"/>
          <w:spacing w:val="-6"/>
          <w:sz w:val="21"/>
          <w:szCs w:val="21"/>
        </w:rPr>
        <w:t xml:space="preserve">de </w:t>
      </w:r>
      <w:r w:rsidRPr="00F31911">
        <w:rPr>
          <w:rFonts w:ascii="Abadi" w:hAnsi="Abadi"/>
          <w:b w:val="0"/>
          <w:bCs w:val="0"/>
          <w:sz w:val="21"/>
          <w:szCs w:val="21"/>
        </w:rPr>
        <w:t>enfermería</w:t>
      </w:r>
      <w:r w:rsidRPr="00F31911">
        <w:rPr>
          <w:rFonts w:ascii="Abadi" w:hAnsi="Abadi"/>
          <w:b w:val="0"/>
          <w:bCs w:val="0"/>
          <w:spacing w:val="-2"/>
          <w:sz w:val="21"/>
          <w:szCs w:val="21"/>
        </w:rPr>
        <w:t xml:space="preserve"> </w:t>
      </w:r>
      <w:r w:rsidRPr="00F31911">
        <w:rPr>
          <w:rFonts w:ascii="Abadi" w:hAnsi="Abadi"/>
          <w:b w:val="0"/>
          <w:bCs w:val="0"/>
          <w:sz w:val="21"/>
          <w:szCs w:val="21"/>
        </w:rPr>
        <w:t>del</w:t>
      </w:r>
      <w:r w:rsidRPr="00F31911">
        <w:rPr>
          <w:rFonts w:ascii="Abadi" w:hAnsi="Abadi"/>
          <w:b w:val="0"/>
          <w:bCs w:val="0"/>
          <w:spacing w:val="-3"/>
          <w:sz w:val="21"/>
          <w:szCs w:val="21"/>
        </w:rPr>
        <w:t xml:space="preserve"> </w:t>
      </w:r>
      <w:r w:rsidRPr="00F31911">
        <w:rPr>
          <w:rFonts w:ascii="Abadi" w:hAnsi="Abadi"/>
          <w:b w:val="0"/>
          <w:bCs w:val="0"/>
          <w:sz w:val="21"/>
          <w:szCs w:val="21"/>
        </w:rPr>
        <w:t>Pediátrico</w:t>
      </w:r>
      <w:r w:rsidRPr="00F31911">
        <w:rPr>
          <w:rFonts w:ascii="Abadi" w:hAnsi="Abadi"/>
          <w:b w:val="0"/>
          <w:bCs w:val="0"/>
          <w:spacing w:val="-4"/>
          <w:sz w:val="21"/>
          <w:szCs w:val="21"/>
        </w:rPr>
        <w:t xml:space="preserve"> </w:t>
      </w:r>
      <w:r w:rsidRPr="00F31911">
        <w:rPr>
          <w:rFonts w:ascii="Abadi" w:hAnsi="Abadi"/>
          <w:b w:val="0"/>
          <w:bCs w:val="0"/>
          <w:sz w:val="21"/>
          <w:szCs w:val="21"/>
        </w:rPr>
        <w:t>de</w:t>
      </w:r>
      <w:r w:rsidRPr="00F31911">
        <w:rPr>
          <w:rFonts w:ascii="Abadi" w:hAnsi="Abadi"/>
          <w:b w:val="0"/>
          <w:bCs w:val="0"/>
          <w:spacing w:val="-4"/>
          <w:sz w:val="21"/>
          <w:szCs w:val="21"/>
        </w:rPr>
        <w:t xml:space="preserve"> </w:t>
      </w:r>
      <w:r w:rsidRPr="00F31911">
        <w:rPr>
          <w:rFonts w:ascii="Abadi" w:hAnsi="Abadi"/>
          <w:b w:val="0"/>
          <w:bCs w:val="0"/>
          <w:sz w:val="21"/>
          <w:szCs w:val="21"/>
        </w:rPr>
        <w:t>León</w:t>
      </w:r>
      <w:r w:rsidRPr="00F31911">
        <w:rPr>
          <w:rFonts w:ascii="Abadi" w:hAnsi="Abadi"/>
          <w:b w:val="0"/>
          <w:bCs w:val="0"/>
          <w:spacing w:val="-4"/>
          <w:sz w:val="21"/>
          <w:szCs w:val="21"/>
        </w:rPr>
        <w:t xml:space="preserve"> </w:t>
      </w:r>
      <w:r w:rsidRPr="00F31911">
        <w:rPr>
          <w:rFonts w:ascii="Abadi" w:hAnsi="Abadi"/>
          <w:b w:val="0"/>
          <w:bCs w:val="0"/>
          <w:sz w:val="21"/>
          <w:szCs w:val="21"/>
        </w:rPr>
        <w:t>de</w:t>
      </w:r>
      <w:r w:rsidRPr="00F31911">
        <w:rPr>
          <w:rFonts w:ascii="Abadi" w:hAnsi="Abadi"/>
          <w:b w:val="0"/>
          <w:bCs w:val="0"/>
          <w:spacing w:val="-2"/>
          <w:sz w:val="21"/>
          <w:szCs w:val="21"/>
        </w:rPr>
        <w:t xml:space="preserve"> </w:t>
      </w:r>
      <w:r w:rsidRPr="00F31911">
        <w:rPr>
          <w:rFonts w:ascii="Abadi" w:hAnsi="Abadi"/>
          <w:b w:val="0"/>
          <w:bCs w:val="0"/>
          <w:sz w:val="21"/>
          <w:szCs w:val="21"/>
        </w:rPr>
        <w:t>donde</w:t>
      </w:r>
      <w:r w:rsidRPr="00F31911">
        <w:rPr>
          <w:rFonts w:ascii="Abadi" w:hAnsi="Abadi"/>
          <w:b w:val="0"/>
          <w:bCs w:val="0"/>
          <w:spacing w:val="-3"/>
          <w:sz w:val="21"/>
          <w:szCs w:val="21"/>
        </w:rPr>
        <w:t xml:space="preserve"> </w:t>
      </w:r>
      <w:r w:rsidRPr="00F31911">
        <w:rPr>
          <w:rFonts w:ascii="Abadi" w:hAnsi="Abadi"/>
          <w:b w:val="0"/>
          <w:bCs w:val="0"/>
          <w:sz w:val="21"/>
          <w:szCs w:val="21"/>
        </w:rPr>
        <w:t>fueron</w:t>
      </w:r>
      <w:r w:rsidRPr="00F31911">
        <w:rPr>
          <w:rFonts w:ascii="Abadi" w:hAnsi="Abadi"/>
          <w:b w:val="0"/>
          <w:bCs w:val="0"/>
          <w:spacing w:val="-2"/>
          <w:sz w:val="21"/>
          <w:szCs w:val="21"/>
        </w:rPr>
        <w:t xml:space="preserve"> </w:t>
      </w:r>
      <w:r w:rsidRPr="00F31911">
        <w:rPr>
          <w:rFonts w:ascii="Abadi" w:hAnsi="Abadi"/>
          <w:b w:val="0"/>
          <w:bCs w:val="0"/>
          <w:sz w:val="21"/>
          <w:szCs w:val="21"/>
        </w:rPr>
        <w:t>despedidos como</w:t>
      </w:r>
      <w:r w:rsidRPr="00F31911">
        <w:rPr>
          <w:rFonts w:ascii="Abadi" w:hAnsi="Abadi"/>
          <w:b w:val="0"/>
          <w:bCs w:val="0"/>
          <w:spacing w:val="-4"/>
          <w:sz w:val="21"/>
          <w:szCs w:val="21"/>
        </w:rPr>
        <w:t xml:space="preserve"> </w:t>
      </w:r>
      <w:r w:rsidRPr="00F31911">
        <w:rPr>
          <w:rFonts w:ascii="Abadi" w:hAnsi="Abadi"/>
          <w:b w:val="0"/>
          <w:bCs w:val="0"/>
          <w:sz w:val="21"/>
          <w:szCs w:val="21"/>
        </w:rPr>
        <w:t>un</w:t>
      </w:r>
      <w:r w:rsidRPr="00F31911">
        <w:rPr>
          <w:rFonts w:ascii="Abadi" w:hAnsi="Abadi"/>
          <w:b w:val="0"/>
          <w:bCs w:val="0"/>
          <w:spacing w:val="-4"/>
          <w:sz w:val="21"/>
          <w:szCs w:val="21"/>
        </w:rPr>
        <w:t xml:space="preserve"> </w:t>
      </w:r>
      <w:r w:rsidRPr="00F31911">
        <w:rPr>
          <w:rFonts w:ascii="Abadi" w:hAnsi="Abadi"/>
          <w:b w:val="0"/>
          <w:bCs w:val="0"/>
          <w:sz w:val="21"/>
          <w:szCs w:val="21"/>
        </w:rPr>
        <w:t>acto</w:t>
      </w:r>
      <w:r w:rsidRPr="00F31911">
        <w:rPr>
          <w:rFonts w:ascii="Abadi" w:hAnsi="Abadi"/>
          <w:b w:val="0"/>
          <w:bCs w:val="0"/>
          <w:spacing w:val="-4"/>
          <w:sz w:val="21"/>
          <w:szCs w:val="21"/>
        </w:rPr>
        <w:t xml:space="preserve"> </w:t>
      </w:r>
      <w:r w:rsidRPr="00F31911">
        <w:rPr>
          <w:rFonts w:ascii="Abadi" w:hAnsi="Abadi"/>
          <w:b w:val="0"/>
          <w:bCs w:val="0"/>
          <w:sz w:val="21"/>
          <w:szCs w:val="21"/>
        </w:rPr>
        <w:t>de censura y represión.</w:t>
      </w:r>
    </w:p>
    <w:p w14:paraId="42EF96CA" w14:textId="342BA554" w:rsidR="004E0542" w:rsidRPr="00750FD2" w:rsidRDefault="004E0542" w:rsidP="00750FD2">
      <w:pPr>
        <w:pStyle w:val="Textoindependiente"/>
        <w:spacing w:before="235"/>
        <w:ind w:right="142"/>
        <w:rPr>
          <w:rFonts w:ascii="Abadi" w:hAnsi="Abadi"/>
          <w:b w:val="0"/>
          <w:bCs w:val="0"/>
          <w:spacing w:val="-4"/>
          <w:sz w:val="21"/>
          <w:szCs w:val="21"/>
        </w:rPr>
      </w:pPr>
      <w:r w:rsidRPr="00750FD2">
        <w:rPr>
          <w:rFonts w:ascii="Abadi" w:hAnsi="Abadi"/>
          <w:b w:val="0"/>
          <w:bCs w:val="0"/>
          <w:sz w:val="21"/>
          <w:szCs w:val="21"/>
        </w:rPr>
        <w:t xml:space="preserve">En mérito de lo anteriormente expuesto, fundado y motivado, nos permitimos </w:t>
      </w:r>
      <w:r w:rsidRPr="00750FD2">
        <w:rPr>
          <w:rFonts w:ascii="Abadi" w:hAnsi="Abadi"/>
          <w:b w:val="0"/>
          <w:bCs w:val="0"/>
          <w:spacing w:val="-4"/>
          <w:sz w:val="21"/>
          <w:szCs w:val="21"/>
        </w:rPr>
        <w:t>someter</w:t>
      </w:r>
      <w:r w:rsidRPr="00750FD2">
        <w:rPr>
          <w:rFonts w:ascii="Abadi" w:hAnsi="Abadi"/>
          <w:b w:val="0"/>
          <w:bCs w:val="0"/>
          <w:spacing w:val="-7"/>
          <w:sz w:val="21"/>
          <w:szCs w:val="21"/>
        </w:rPr>
        <w:t xml:space="preserve"> </w:t>
      </w:r>
      <w:r w:rsidRPr="00750FD2">
        <w:rPr>
          <w:rFonts w:ascii="Abadi" w:hAnsi="Abadi"/>
          <w:b w:val="0"/>
          <w:bCs w:val="0"/>
          <w:spacing w:val="-4"/>
          <w:sz w:val="21"/>
          <w:szCs w:val="21"/>
        </w:rPr>
        <w:t>a</w:t>
      </w:r>
      <w:r w:rsidRPr="00750FD2">
        <w:rPr>
          <w:rFonts w:ascii="Abadi" w:hAnsi="Abadi"/>
          <w:b w:val="0"/>
          <w:bCs w:val="0"/>
          <w:spacing w:val="-6"/>
          <w:sz w:val="21"/>
          <w:szCs w:val="21"/>
        </w:rPr>
        <w:t xml:space="preserve"> </w:t>
      </w:r>
      <w:r w:rsidRPr="00750FD2">
        <w:rPr>
          <w:rFonts w:ascii="Abadi" w:hAnsi="Abadi"/>
          <w:b w:val="0"/>
          <w:bCs w:val="0"/>
          <w:spacing w:val="-4"/>
          <w:sz w:val="21"/>
          <w:szCs w:val="21"/>
        </w:rPr>
        <w:t>la</w:t>
      </w:r>
      <w:r w:rsidRPr="00750FD2">
        <w:rPr>
          <w:rFonts w:ascii="Abadi" w:hAnsi="Abadi"/>
          <w:b w:val="0"/>
          <w:bCs w:val="0"/>
          <w:spacing w:val="-6"/>
          <w:sz w:val="21"/>
          <w:szCs w:val="21"/>
        </w:rPr>
        <w:t xml:space="preserve"> </w:t>
      </w:r>
      <w:r w:rsidRPr="00750FD2">
        <w:rPr>
          <w:rFonts w:ascii="Abadi" w:hAnsi="Abadi"/>
          <w:b w:val="0"/>
          <w:bCs w:val="0"/>
          <w:spacing w:val="-4"/>
          <w:sz w:val="21"/>
          <w:szCs w:val="21"/>
        </w:rPr>
        <w:t>consideración</w:t>
      </w:r>
      <w:r w:rsidRPr="00750FD2">
        <w:rPr>
          <w:rFonts w:ascii="Abadi" w:hAnsi="Abadi"/>
          <w:b w:val="0"/>
          <w:bCs w:val="0"/>
          <w:spacing w:val="-7"/>
          <w:sz w:val="21"/>
          <w:szCs w:val="21"/>
        </w:rPr>
        <w:t xml:space="preserve"> </w:t>
      </w:r>
      <w:r w:rsidRPr="00750FD2">
        <w:rPr>
          <w:rFonts w:ascii="Abadi" w:hAnsi="Abadi"/>
          <w:b w:val="0"/>
          <w:bCs w:val="0"/>
          <w:spacing w:val="-4"/>
          <w:sz w:val="21"/>
          <w:szCs w:val="21"/>
        </w:rPr>
        <w:t>de</w:t>
      </w:r>
      <w:r w:rsidRPr="00750FD2">
        <w:rPr>
          <w:rFonts w:ascii="Abadi" w:hAnsi="Abadi"/>
          <w:b w:val="0"/>
          <w:bCs w:val="0"/>
          <w:spacing w:val="-7"/>
          <w:sz w:val="21"/>
          <w:szCs w:val="21"/>
        </w:rPr>
        <w:t xml:space="preserve"> </w:t>
      </w:r>
      <w:r w:rsidRPr="00750FD2">
        <w:rPr>
          <w:rFonts w:ascii="Abadi" w:hAnsi="Abadi"/>
          <w:b w:val="0"/>
          <w:bCs w:val="0"/>
          <w:spacing w:val="-4"/>
          <w:sz w:val="21"/>
          <w:szCs w:val="21"/>
        </w:rPr>
        <w:t>esta</w:t>
      </w:r>
      <w:r w:rsidRPr="00750FD2">
        <w:rPr>
          <w:rFonts w:ascii="Abadi" w:hAnsi="Abadi"/>
          <w:b w:val="0"/>
          <w:bCs w:val="0"/>
          <w:spacing w:val="-7"/>
          <w:sz w:val="21"/>
          <w:szCs w:val="21"/>
        </w:rPr>
        <w:t xml:space="preserve"> </w:t>
      </w:r>
      <w:r w:rsidRPr="00750FD2">
        <w:rPr>
          <w:rFonts w:ascii="Abadi" w:hAnsi="Abadi"/>
          <w:b w:val="0"/>
          <w:bCs w:val="0"/>
          <w:spacing w:val="-4"/>
          <w:sz w:val="21"/>
          <w:szCs w:val="21"/>
        </w:rPr>
        <w:t>Honorable</w:t>
      </w:r>
      <w:r w:rsidRPr="00750FD2">
        <w:rPr>
          <w:rFonts w:ascii="Abadi" w:hAnsi="Abadi"/>
          <w:b w:val="0"/>
          <w:bCs w:val="0"/>
          <w:spacing w:val="-7"/>
          <w:sz w:val="21"/>
          <w:szCs w:val="21"/>
        </w:rPr>
        <w:t xml:space="preserve"> </w:t>
      </w:r>
      <w:r w:rsidRPr="00750FD2">
        <w:rPr>
          <w:rFonts w:ascii="Abadi" w:hAnsi="Abadi"/>
          <w:b w:val="0"/>
          <w:bCs w:val="0"/>
          <w:spacing w:val="-4"/>
          <w:sz w:val="21"/>
          <w:szCs w:val="21"/>
        </w:rPr>
        <w:t>Asamblea, la</w:t>
      </w:r>
      <w:r w:rsidRPr="00750FD2">
        <w:rPr>
          <w:rFonts w:ascii="Abadi" w:hAnsi="Abadi"/>
          <w:b w:val="0"/>
          <w:bCs w:val="0"/>
          <w:spacing w:val="-6"/>
          <w:sz w:val="21"/>
          <w:szCs w:val="21"/>
        </w:rPr>
        <w:t xml:space="preserve"> </w:t>
      </w:r>
      <w:r w:rsidRPr="00750FD2">
        <w:rPr>
          <w:rFonts w:ascii="Abadi" w:hAnsi="Abadi"/>
          <w:b w:val="0"/>
          <w:bCs w:val="0"/>
          <w:spacing w:val="-4"/>
          <w:sz w:val="21"/>
          <w:szCs w:val="21"/>
        </w:rPr>
        <w:t>siguiente</w:t>
      </w:r>
      <w:r w:rsidRPr="00750FD2">
        <w:rPr>
          <w:rFonts w:ascii="Abadi" w:hAnsi="Abadi"/>
          <w:b w:val="0"/>
          <w:bCs w:val="0"/>
          <w:spacing w:val="-7"/>
          <w:sz w:val="21"/>
          <w:szCs w:val="21"/>
        </w:rPr>
        <w:t xml:space="preserve"> </w:t>
      </w:r>
      <w:r w:rsidRPr="00750FD2">
        <w:rPr>
          <w:rFonts w:ascii="Abadi" w:hAnsi="Abadi"/>
          <w:b w:val="0"/>
          <w:bCs w:val="0"/>
          <w:spacing w:val="-4"/>
          <w:sz w:val="21"/>
          <w:szCs w:val="21"/>
        </w:rPr>
        <w:t>propuesta</w:t>
      </w:r>
      <w:r w:rsidRPr="00750FD2">
        <w:rPr>
          <w:rFonts w:ascii="Abadi" w:hAnsi="Abadi"/>
          <w:b w:val="0"/>
          <w:bCs w:val="0"/>
          <w:spacing w:val="-7"/>
          <w:sz w:val="21"/>
          <w:szCs w:val="21"/>
        </w:rPr>
        <w:t xml:space="preserve"> </w:t>
      </w:r>
      <w:r w:rsidRPr="00750FD2">
        <w:rPr>
          <w:rFonts w:ascii="Abadi" w:hAnsi="Abadi"/>
          <w:b w:val="0"/>
          <w:bCs w:val="0"/>
          <w:spacing w:val="-4"/>
          <w:sz w:val="21"/>
          <w:szCs w:val="21"/>
        </w:rPr>
        <w:t xml:space="preserve">de: </w:t>
      </w:r>
    </w:p>
    <w:p w14:paraId="4CBEAA0D" w14:textId="40F99C57" w:rsidR="004E0542" w:rsidRPr="00750FD2" w:rsidRDefault="004E0542" w:rsidP="00750FD2">
      <w:pPr>
        <w:pStyle w:val="Textoindependiente"/>
        <w:spacing w:before="235"/>
        <w:ind w:right="142"/>
        <w:jc w:val="center"/>
        <w:rPr>
          <w:rFonts w:ascii="Abadi" w:hAnsi="Abadi"/>
          <w:sz w:val="21"/>
          <w:szCs w:val="21"/>
        </w:rPr>
      </w:pPr>
      <w:r w:rsidRPr="00750FD2">
        <w:rPr>
          <w:rFonts w:ascii="Abadi" w:hAnsi="Abadi"/>
          <w:spacing w:val="-2"/>
          <w:w w:val="105"/>
          <w:sz w:val="21"/>
          <w:szCs w:val="21"/>
        </w:rPr>
        <w:t>ACUERDO</w:t>
      </w:r>
    </w:p>
    <w:p w14:paraId="498E984D" w14:textId="77777777" w:rsidR="004E0542" w:rsidRPr="00750FD2" w:rsidRDefault="004E0542" w:rsidP="00750FD2">
      <w:pPr>
        <w:pStyle w:val="Textoindependiente"/>
        <w:spacing w:before="5"/>
        <w:ind w:right="142"/>
        <w:rPr>
          <w:rFonts w:ascii="Abadi" w:hAnsi="Abadi"/>
          <w:b w:val="0"/>
          <w:bCs w:val="0"/>
          <w:sz w:val="21"/>
          <w:szCs w:val="21"/>
        </w:rPr>
      </w:pPr>
    </w:p>
    <w:p w14:paraId="7E75AB2B" w14:textId="77777777" w:rsidR="004E0542" w:rsidRPr="00750FD2" w:rsidRDefault="004E0542" w:rsidP="00750FD2">
      <w:pPr>
        <w:pStyle w:val="Textoindependiente"/>
        <w:spacing w:before="1"/>
        <w:ind w:right="142"/>
        <w:rPr>
          <w:rFonts w:ascii="Abadi" w:hAnsi="Abadi"/>
          <w:b w:val="0"/>
          <w:bCs w:val="0"/>
          <w:sz w:val="21"/>
          <w:szCs w:val="21"/>
        </w:rPr>
      </w:pPr>
      <w:r w:rsidRPr="00750FD2">
        <w:rPr>
          <w:rFonts w:ascii="Abadi" w:hAnsi="Abadi"/>
          <w:b w:val="0"/>
          <w:bCs w:val="0"/>
          <w:sz w:val="21"/>
          <w:szCs w:val="21"/>
        </w:rPr>
        <w:t>Primero.</w:t>
      </w:r>
      <w:r w:rsidRPr="00750FD2">
        <w:rPr>
          <w:rFonts w:ascii="Abadi" w:hAnsi="Abadi"/>
          <w:b w:val="0"/>
          <w:bCs w:val="0"/>
          <w:spacing w:val="-5"/>
          <w:sz w:val="21"/>
          <w:szCs w:val="21"/>
        </w:rPr>
        <w:t xml:space="preserve"> </w:t>
      </w:r>
      <w:r w:rsidRPr="00750FD2">
        <w:rPr>
          <w:rFonts w:ascii="Abadi" w:hAnsi="Abadi"/>
          <w:b w:val="0"/>
          <w:bCs w:val="0"/>
          <w:sz w:val="21"/>
          <w:szCs w:val="21"/>
        </w:rPr>
        <w:t>La</w:t>
      </w:r>
      <w:r w:rsidRPr="00750FD2">
        <w:rPr>
          <w:rFonts w:ascii="Abadi" w:hAnsi="Abadi"/>
          <w:b w:val="0"/>
          <w:bCs w:val="0"/>
          <w:spacing w:val="-5"/>
          <w:sz w:val="21"/>
          <w:szCs w:val="21"/>
        </w:rPr>
        <w:t xml:space="preserve"> </w:t>
      </w:r>
      <w:r w:rsidRPr="00750FD2">
        <w:rPr>
          <w:rFonts w:ascii="Abadi" w:hAnsi="Abadi"/>
          <w:b w:val="0"/>
          <w:bCs w:val="0"/>
          <w:sz w:val="21"/>
          <w:szCs w:val="21"/>
        </w:rPr>
        <w:t>LXV</w:t>
      </w:r>
      <w:r w:rsidRPr="00750FD2">
        <w:rPr>
          <w:rFonts w:ascii="Abadi" w:hAnsi="Abadi"/>
          <w:b w:val="0"/>
          <w:bCs w:val="0"/>
          <w:spacing w:val="-5"/>
          <w:sz w:val="21"/>
          <w:szCs w:val="21"/>
        </w:rPr>
        <w:t xml:space="preserve"> </w:t>
      </w:r>
      <w:r w:rsidRPr="00750FD2">
        <w:rPr>
          <w:rFonts w:ascii="Abadi" w:hAnsi="Abadi"/>
          <w:b w:val="0"/>
          <w:bCs w:val="0"/>
          <w:sz w:val="21"/>
          <w:szCs w:val="21"/>
        </w:rPr>
        <w:t>Legislatura</w:t>
      </w:r>
      <w:r w:rsidRPr="00750FD2">
        <w:rPr>
          <w:rFonts w:ascii="Abadi" w:hAnsi="Abadi"/>
          <w:b w:val="0"/>
          <w:bCs w:val="0"/>
          <w:spacing w:val="-5"/>
          <w:sz w:val="21"/>
          <w:szCs w:val="21"/>
        </w:rPr>
        <w:t xml:space="preserve"> </w:t>
      </w:r>
      <w:r w:rsidRPr="00750FD2">
        <w:rPr>
          <w:rFonts w:ascii="Abadi" w:hAnsi="Abadi"/>
          <w:b w:val="0"/>
          <w:bCs w:val="0"/>
          <w:sz w:val="21"/>
          <w:szCs w:val="21"/>
        </w:rPr>
        <w:t>del</w:t>
      </w:r>
      <w:r w:rsidRPr="00750FD2">
        <w:rPr>
          <w:rFonts w:ascii="Abadi" w:hAnsi="Abadi"/>
          <w:b w:val="0"/>
          <w:bCs w:val="0"/>
          <w:spacing w:val="-5"/>
          <w:sz w:val="21"/>
          <w:szCs w:val="21"/>
        </w:rPr>
        <w:t xml:space="preserve"> </w:t>
      </w:r>
      <w:r w:rsidRPr="00750FD2">
        <w:rPr>
          <w:rFonts w:ascii="Abadi" w:hAnsi="Abadi"/>
          <w:b w:val="0"/>
          <w:bCs w:val="0"/>
          <w:sz w:val="21"/>
          <w:szCs w:val="21"/>
        </w:rPr>
        <w:t>Estado</w:t>
      </w:r>
      <w:r w:rsidRPr="00750FD2">
        <w:rPr>
          <w:rFonts w:ascii="Abadi" w:hAnsi="Abadi"/>
          <w:b w:val="0"/>
          <w:bCs w:val="0"/>
          <w:spacing w:val="-6"/>
          <w:sz w:val="21"/>
          <w:szCs w:val="21"/>
        </w:rPr>
        <w:t xml:space="preserve"> </w:t>
      </w:r>
      <w:r w:rsidRPr="00750FD2">
        <w:rPr>
          <w:rFonts w:ascii="Abadi" w:hAnsi="Abadi"/>
          <w:b w:val="0"/>
          <w:bCs w:val="0"/>
          <w:sz w:val="21"/>
          <w:szCs w:val="21"/>
        </w:rPr>
        <w:t>Libre</w:t>
      </w:r>
      <w:r w:rsidRPr="00750FD2">
        <w:rPr>
          <w:rFonts w:ascii="Abadi" w:hAnsi="Abadi"/>
          <w:b w:val="0"/>
          <w:bCs w:val="0"/>
          <w:spacing w:val="-5"/>
          <w:sz w:val="21"/>
          <w:szCs w:val="21"/>
        </w:rPr>
        <w:t xml:space="preserve"> </w:t>
      </w:r>
      <w:r w:rsidRPr="00750FD2">
        <w:rPr>
          <w:rFonts w:ascii="Abadi" w:hAnsi="Abadi"/>
          <w:b w:val="0"/>
          <w:bCs w:val="0"/>
          <w:sz w:val="21"/>
          <w:szCs w:val="21"/>
        </w:rPr>
        <w:t>y</w:t>
      </w:r>
      <w:r w:rsidRPr="00750FD2">
        <w:rPr>
          <w:rFonts w:ascii="Abadi" w:hAnsi="Abadi"/>
          <w:b w:val="0"/>
          <w:bCs w:val="0"/>
          <w:spacing w:val="-5"/>
          <w:sz w:val="21"/>
          <w:szCs w:val="21"/>
        </w:rPr>
        <w:t xml:space="preserve"> </w:t>
      </w:r>
      <w:r w:rsidRPr="00750FD2">
        <w:rPr>
          <w:rFonts w:ascii="Abadi" w:hAnsi="Abadi"/>
          <w:b w:val="0"/>
          <w:bCs w:val="0"/>
          <w:sz w:val="21"/>
          <w:szCs w:val="21"/>
        </w:rPr>
        <w:t>Soberano</w:t>
      </w:r>
      <w:r w:rsidRPr="00750FD2">
        <w:rPr>
          <w:rFonts w:ascii="Abadi" w:hAnsi="Abadi"/>
          <w:b w:val="0"/>
          <w:bCs w:val="0"/>
          <w:spacing w:val="-6"/>
          <w:sz w:val="21"/>
          <w:szCs w:val="21"/>
        </w:rPr>
        <w:t xml:space="preserve"> </w:t>
      </w:r>
      <w:r w:rsidRPr="00750FD2">
        <w:rPr>
          <w:rFonts w:ascii="Abadi" w:hAnsi="Abadi"/>
          <w:b w:val="0"/>
          <w:bCs w:val="0"/>
          <w:sz w:val="21"/>
          <w:szCs w:val="21"/>
        </w:rPr>
        <w:t>de</w:t>
      </w:r>
      <w:r w:rsidRPr="00750FD2">
        <w:rPr>
          <w:rFonts w:ascii="Abadi" w:hAnsi="Abadi"/>
          <w:b w:val="0"/>
          <w:bCs w:val="0"/>
          <w:spacing w:val="-5"/>
          <w:sz w:val="21"/>
          <w:szCs w:val="21"/>
        </w:rPr>
        <w:t xml:space="preserve"> </w:t>
      </w:r>
      <w:r w:rsidRPr="00750FD2">
        <w:rPr>
          <w:rFonts w:ascii="Abadi" w:hAnsi="Abadi"/>
          <w:b w:val="0"/>
          <w:bCs w:val="0"/>
          <w:sz w:val="21"/>
          <w:szCs w:val="21"/>
        </w:rPr>
        <w:t>Guanajuato</w:t>
      </w:r>
      <w:r w:rsidRPr="00750FD2">
        <w:rPr>
          <w:rFonts w:ascii="Abadi" w:hAnsi="Abadi"/>
          <w:b w:val="0"/>
          <w:bCs w:val="0"/>
          <w:spacing w:val="-6"/>
          <w:sz w:val="21"/>
          <w:szCs w:val="21"/>
        </w:rPr>
        <w:t xml:space="preserve"> </w:t>
      </w:r>
      <w:r w:rsidRPr="00750FD2">
        <w:rPr>
          <w:rFonts w:ascii="Abadi" w:hAnsi="Abadi"/>
          <w:b w:val="0"/>
          <w:bCs w:val="0"/>
          <w:sz w:val="21"/>
          <w:szCs w:val="21"/>
        </w:rPr>
        <w:t xml:space="preserve">acuerda </w:t>
      </w:r>
      <w:r w:rsidRPr="00750FD2">
        <w:rPr>
          <w:rFonts w:ascii="Abadi" w:hAnsi="Abadi"/>
          <w:b w:val="0"/>
          <w:bCs w:val="0"/>
          <w:spacing w:val="-4"/>
          <w:sz w:val="21"/>
          <w:szCs w:val="21"/>
        </w:rPr>
        <w:t>emitir</w:t>
      </w:r>
      <w:r w:rsidRPr="00750FD2">
        <w:rPr>
          <w:rFonts w:ascii="Abadi" w:hAnsi="Abadi"/>
          <w:b w:val="0"/>
          <w:bCs w:val="0"/>
          <w:spacing w:val="-11"/>
          <w:sz w:val="21"/>
          <w:szCs w:val="21"/>
        </w:rPr>
        <w:t xml:space="preserve"> </w:t>
      </w:r>
      <w:r w:rsidRPr="00750FD2">
        <w:rPr>
          <w:rFonts w:ascii="Abadi" w:hAnsi="Abadi"/>
          <w:b w:val="0"/>
          <w:bCs w:val="0"/>
          <w:spacing w:val="-4"/>
          <w:sz w:val="21"/>
          <w:szCs w:val="21"/>
        </w:rPr>
        <w:t>un</w:t>
      </w:r>
      <w:r w:rsidRPr="00750FD2">
        <w:rPr>
          <w:rFonts w:ascii="Abadi" w:hAnsi="Abadi"/>
          <w:b w:val="0"/>
          <w:bCs w:val="0"/>
          <w:spacing w:val="-10"/>
          <w:sz w:val="21"/>
          <w:szCs w:val="21"/>
        </w:rPr>
        <w:t xml:space="preserve"> </w:t>
      </w:r>
      <w:r w:rsidRPr="00750FD2">
        <w:rPr>
          <w:rFonts w:ascii="Abadi" w:hAnsi="Abadi"/>
          <w:b w:val="0"/>
          <w:bCs w:val="0"/>
          <w:spacing w:val="-4"/>
          <w:sz w:val="21"/>
          <w:szCs w:val="21"/>
        </w:rPr>
        <w:t>atento</w:t>
      </w:r>
      <w:r w:rsidRPr="00750FD2">
        <w:rPr>
          <w:rFonts w:ascii="Abadi" w:hAnsi="Abadi"/>
          <w:b w:val="0"/>
          <w:bCs w:val="0"/>
          <w:spacing w:val="-10"/>
          <w:sz w:val="21"/>
          <w:szCs w:val="21"/>
        </w:rPr>
        <w:t xml:space="preserve"> </w:t>
      </w:r>
      <w:r w:rsidRPr="00750FD2">
        <w:rPr>
          <w:rFonts w:ascii="Abadi" w:hAnsi="Abadi"/>
          <w:b w:val="0"/>
          <w:bCs w:val="0"/>
          <w:spacing w:val="-4"/>
          <w:sz w:val="21"/>
          <w:szCs w:val="21"/>
        </w:rPr>
        <w:t>exhorto</w:t>
      </w:r>
      <w:r w:rsidRPr="00750FD2">
        <w:rPr>
          <w:rFonts w:ascii="Abadi" w:hAnsi="Abadi"/>
          <w:b w:val="0"/>
          <w:bCs w:val="0"/>
          <w:spacing w:val="-11"/>
          <w:sz w:val="21"/>
          <w:szCs w:val="21"/>
        </w:rPr>
        <w:t xml:space="preserve"> </w:t>
      </w:r>
      <w:r w:rsidRPr="00750FD2">
        <w:rPr>
          <w:rFonts w:ascii="Abadi" w:hAnsi="Abadi"/>
          <w:b w:val="0"/>
          <w:bCs w:val="0"/>
          <w:spacing w:val="-4"/>
          <w:sz w:val="21"/>
          <w:szCs w:val="21"/>
        </w:rPr>
        <w:t>al</w:t>
      </w:r>
      <w:r w:rsidRPr="00750FD2">
        <w:rPr>
          <w:rFonts w:ascii="Abadi" w:hAnsi="Abadi"/>
          <w:b w:val="0"/>
          <w:bCs w:val="0"/>
          <w:spacing w:val="-10"/>
          <w:sz w:val="21"/>
          <w:szCs w:val="21"/>
        </w:rPr>
        <w:t xml:space="preserve"> </w:t>
      </w:r>
      <w:r w:rsidRPr="00750FD2">
        <w:rPr>
          <w:rFonts w:ascii="Abadi" w:hAnsi="Abadi"/>
          <w:b w:val="0"/>
          <w:bCs w:val="0"/>
          <w:spacing w:val="-4"/>
          <w:sz w:val="21"/>
          <w:szCs w:val="21"/>
        </w:rPr>
        <w:t>Gobernador</w:t>
      </w:r>
      <w:r w:rsidRPr="00750FD2">
        <w:rPr>
          <w:rFonts w:ascii="Abadi" w:hAnsi="Abadi"/>
          <w:b w:val="0"/>
          <w:bCs w:val="0"/>
          <w:spacing w:val="-10"/>
          <w:sz w:val="21"/>
          <w:szCs w:val="21"/>
        </w:rPr>
        <w:t xml:space="preserve"> </w:t>
      </w:r>
      <w:r w:rsidRPr="00750FD2">
        <w:rPr>
          <w:rFonts w:ascii="Abadi" w:hAnsi="Abadi"/>
          <w:b w:val="0"/>
          <w:bCs w:val="0"/>
          <w:spacing w:val="-4"/>
          <w:sz w:val="21"/>
          <w:szCs w:val="21"/>
        </w:rPr>
        <w:t>del</w:t>
      </w:r>
      <w:r w:rsidRPr="00750FD2">
        <w:rPr>
          <w:rFonts w:ascii="Abadi" w:hAnsi="Abadi"/>
          <w:b w:val="0"/>
          <w:bCs w:val="0"/>
          <w:spacing w:val="-11"/>
          <w:sz w:val="21"/>
          <w:szCs w:val="21"/>
        </w:rPr>
        <w:t xml:space="preserve"> </w:t>
      </w:r>
      <w:r w:rsidRPr="00750FD2">
        <w:rPr>
          <w:rFonts w:ascii="Abadi" w:hAnsi="Abadi"/>
          <w:b w:val="0"/>
          <w:bCs w:val="0"/>
          <w:spacing w:val="-4"/>
          <w:sz w:val="21"/>
          <w:szCs w:val="21"/>
        </w:rPr>
        <w:t>Estado,</w:t>
      </w:r>
      <w:r w:rsidRPr="00750FD2">
        <w:rPr>
          <w:rFonts w:ascii="Abadi" w:hAnsi="Abadi"/>
          <w:b w:val="0"/>
          <w:bCs w:val="0"/>
          <w:spacing w:val="-10"/>
          <w:sz w:val="21"/>
          <w:szCs w:val="21"/>
        </w:rPr>
        <w:t xml:space="preserve"> </w:t>
      </w:r>
      <w:r w:rsidRPr="00750FD2">
        <w:rPr>
          <w:rFonts w:ascii="Abadi" w:hAnsi="Abadi"/>
          <w:b w:val="0"/>
          <w:bCs w:val="0"/>
          <w:spacing w:val="-4"/>
          <w:sz w:val="21"/>
          <w:szCs w:val="21"/>
        </w:rPr>
        <w:t>Diego</w:t>
      </w:r>
      <w:r w:rsidRPr="00750FD2">
        <w:rPr>
          <w:rFonts w:ascii="Abadi" w:hAnsi="Abadi"/>
          <w:b w:val="0"/>
          <w:bCs w:val="0"/>
          <w:spacing w:val="-10"/>
          <w:sz w:val="21"/>
          <w:szCs w:val="21"/>
        </w:rPr>
        <w:t xml:space="preserve"> </w:t>
      </w:r>
      <w:proofErr w:type="spellStart"/>
      <w:r w:rsidRPr="00750FD2">
        <w:rPr>
          <w:rFonts w:ascii="Abadi" w:hAnsi="Abadi"/>
          <w:b w:val="0"/>
          <w:bCs w:val="0"/>
          <w:spacing w:val="-4"/>
          <w:sz w:val="21"/>
          <w:szCs w:val="21"/>
        </w:rPr>
        <w:t>Sinhué</w:t>
      </w:r>
      <w:proofErr w:type="spellEnd"/>
      <w:r w:rsidRPr="00750FD2">
        <w:rPr>
          <w:rFonts w:ascii="Abadi" w:hAnsi="Abadi"/>
          <w:b w:val="0"/>
          <w:bCs w:val="0"/>
          <w:spacing w:val="-11"/>
          <w:sz w:val="21"/>
          <w:szCs w:val="21"/>
        </w:rPr>
        <w:t xml:space="preserve"> </w:t>
      </w:r>
      <w:r w:rsidRPr="00750FD2">
        <w:rPr>
          <w:rFonts w:ascii="Abadi" w:hAnsi="Abadi"/>
          <w:b w:val="0"/>
          <w:bCs w:val="0"/>
          <w:spacing w:val="-4"/>
          <w:sz w:val="21"/>
          <w:szCs w:val="21"/>
        </w:rPr>
        <w:t>Rodríguez</w:t>
      </w:r>
      <w:r w:rsidRPr="00750FD2">
        <w:rPr>
          <w:rFonts w:ascii="Abadi" w:hAnsi="Abadi"/>
          <w:b w:val="0"/>
          <w:bCs w:val="0"/>
          <w:spacing w:val="-10"/>
          <w:sz w:val="21"/>
          <w:szCs w:val="21"/>
        </w:rPr>
        <w:t xml:space="preserve"> </w:t>
      </w:r>
      <w:r w:rsidRPr="00750FD2">
        <w:rPr>
          <w:rFonts w:ascii="Abadi" w:hAnsi="Abadi"/>
          <w:b w:val="0"/>
          <w:bCs w:val="0"/>
          <w:spacing w:val="-4"/>
          <w:sz w:val="21"/>
          <w:szCs w:val="21"/>
        </w:rPr>
        <w:t xml:space="preserve">Vallejo, </w:t>
      </w:r>
      <w:r w:rsidRPr="00750FD2">
        <w:rPr>
          <w:rFonts w:ascii="Abadi" w:hAnsi="Abadi"/>
          <w:b w:val="0"/>
          <w:bCs w:val="0"/>
          <w:sz w:val="21"/>
          <w:szCs w:val="21"/>
        </w:rPr>
        <w:t>para que lleve a cabo las acciones necesarias con la finalidad de publicitar los movimientos</w:t>
      </w:r>
      <w:r w:rsidRPr="00750FD2">
        <w:rPr>
          <w:rFonts w:ascii="Abadi" w:hAnsi="Abadi"/>
          <w:b w:val="0"/>
          <w:bCs w:val="0"/>
          <w:spacing w:val="-15"/>
          <w:sz w:val="21"/>
          <w:szCs w:val="21"/>
        </w:rPr>
        <w:t xml:space="preserve"> </w:t>
      </w:r>
      <w:r w:rsidRPr="00750FD2">
        <w:rPr>
          <w:rFonts w:ascii="Abadi" w:hAnsi="Abadi"/>
          <w:b w:val="0"/>
          <w:bCs w:val="0"/>
          <w:sz w:val="21"/>
          <w:szCs w:val="21"/>
        </w:rPr>
        <w:t>de</w:t>
      </w:r>
      <w:r w:rsidRPr="00750FD2">
        <w:rPr>
          <w:rFonts w:ascii="Abadi" w:hAnsi="Abadi"/>
          <w:b w:val="0"/>
          <w:bCs w:val="0"/>
          <w:spacing w:val="-14"/>
          <w:sz w:val="21"/>
          <w:szCs w:val="21"/>
        </w:rPr>
        <w:t xml:space="preserve"> </w:t>
      </w:r>
      <w:r w:rsidRPr="00750FD2">
        <w:rPr>
          <w:rFonts w:ascii="Abadi" w:hAnsi="Abadi"/>
          <w:b w:val="0"/>
          <w:bCs w:val="0"/>
          <w:sz w:val="21"/>
          <w:szCs w:val="21"/>
        </w:rPr>
        <w:t>plazas</w:t>
      </w:r>
      <w:r w:rsidRPr="00750FD2">
        <w:rPr>
          <w:rFonts w:ascii="Abadi" w:hAnsi="Abadi"/>
          <w:b w:val="0"/>
          <w:bCs w:val="0"/>
          <w:spacing w:val="-14"/>
          <w:sz w:val="21"/>
          <w:szCs w:val="21"/>
        </w:rPr>
        <w:t xml:space="preserve"> </w:t>
      </w:r>
      <w:r w:rsidRPr="00750FD2">
        <w:rPr>
          <w:rFonts w:ascii="Abadi" w:hAnsi="Abadi"/>
          <w:b w:val="0"/>
          <w:bCs w:val="0"/>
          <w:sz w:val="21"/>
          <w:szCs w:val="21"/>
        </w:rPr>
        <w:t>presupuestarias</w:t>
      </w:r>
      <w:r w:rsidRPr="00750FD2">
        <w:rPr>
          <w:rFonts w:ascii="Abadi" w:hAnsi="Abadi"/>
          <w:b w:val="0"/>
          <w:bCs w:val="0"/>
          <w:spacing w:val="-15"/>
          <w:sz w:val="21"/>
          <w:szCs w:val="21"/>
        </w:rPr>
        <w:t xml:space="preserve"> </w:t>
      </w:r>
      <w:r w:rsidRPr="00750FD2">
        <w:rPr>
          <w:rFonts w:ascii="Abadi" w:hAnsi="Abadi"/>
          <w:b w:val="0"/>
          <w:bCs w:val="0"/>
          <w:sz w:val="21"/>
          <w:szCs w:val="21"/>
        </w:rPr>
        <w:t>ejecutados</w:t>
      </w:r>
      <w:r w:rsidRPr="00750FD2">
        <w:rPr>
          <w:rFonts w:ascii="Abadi" w:hAnsi="Abadi"/>
          <w:b w:val="0"/>
          <w:bCs w:val="0"/>
          <w:spacing w:val="-14"/>
          <w:sz w:val="21"/>
          <w:szCs w:val="21"/>
        </w:rPr>
        <w:t xml:space="preserve"> </w:t>
      </w:r>
      <w:r w:rsidRPr="00750FD2">
        <w:rPr>
          <w:rFonts w:ascii="Abadi" w:hAnsi="Abadi"/>
          <w:b w:val="0"/>
          <w:bCs w:val="0"/>
          <w:sz w:val="21"/>
          <w:szCs w:val="21"/>
        </w:rPr>
        <w:t>durante</w:t>
      </w:r>
      <w:r w:rsidRPr="00750FD2">
        <w:rPr>
          <w:rFonts w:ascii="Abadi" w:hAnsi="Abadi"/>
          <w:b w:val="0"/>
          <w:bCs w:val="0"/>
          <w:spacing w:val="-14"/>
          <w:sz w:val="21"/>
          <w:szCs w:val="21"/>
        </w:rPr>
        <w:t xml:space="preserve"> </w:t>
      </w:r>
      <w:r w:rsidRPr="00750FD2">
        <w:rPr>
          <w:rFonts w:ascii="Abadi" w:hAnsi="Abadi"/>
          <w:b w:val="0"/>
          <w:bCs w:val="0"/>
          <w:sz w:val="21"/>
          <w:szCs w:val="21"/>
        </w:rPr>
        <w:t>los</w:t>
      </w:r>
      <w:r w:rsidRPr="00750FD2">
        <w:rPr>
          <w:rFonts w:ascii="Abadi" w:hAnsi="Abadi"/>
          <w:b w:val="0"/>
          <w:bCs w:val="0"/>
          <w:spacing w:val="-15"/>
          <w:sz w:val="21"/>
          <w:szCs w:val="21"/>
        </w:rPr>
        <w:t xml:space="preserve"> </w:t>
      </w:r>
      <w:r w:rsidRPr="00750FD2">
        <w:rPr>
          <w:rFonts w:ascii="Abadi" w:hAnsi="Abadi"/>
          <w:b w:val="0"/>
          <w:bCs w:val="0"/>
          <w:sz w:val="21"/>
          <w:szCs w:val="21"/>
        </w:rPr>
        <w:t>ejercicios</w:t>
      </w:r>
      <w:r w:rsidRPr="00750FD2">
        <w:rPr>
          <w:rFonts w:ascii="Abadi" w:hAnsi="Abadi"/>
          <w:b w:val="0"/>
          <w:bCs w:val="0"/>
          <w:spacing w:val="-14"/>
          <w:sz w:val="21"/>
          <w:szCs w:val="21"/>
        </w:rPr>
        <w:t xml:space="preserve"> </w:t>
      </w:r>
      <w:r w:rsidRPr="00750FD2">
        <w:rPr>
          <w:rFonts w:ascii="Abadi" w:hAnsi="Abadi"/>
          <w:b w:val="0"/>
          <w:bCs w:val="0"/>
          <w:sz w:val="21"/>
          <w:szCs w:val="21"/>
        </w:rPr>
        <w:t xml:space="preserve">fiscales 2022 y 2023, así como el plan de basificación del personal de salud del estado, </w:t>
      </w:r>
      <w:r w:rsidRPr="00750FD2">
        <w:rPr>
          <w:rFonts w:ascii="Abadi" w:hAnsi="Abadi"/>
          <w:b w:val="0"/>
          <w:bCs w:val="0"/>
          <w:spacing w:val="-4"/>
          <w:sz w:val="21"/>
          <w:szCs w:val="21"/>
        </w:rPr>
        <w:t>especificando</w:t>
      </w:r>
      <w:r w:rsidRPr="00750FD2">
        <w:rPr>
          <w:rFonts w:ascii="Abadi" w:hAnsi="Abadi"/>
          <w:b w:val="0"/>
          <w:bCs w:val="0"/>
          <w:spacing w:val="-11"/>
          <w:sz w:val="21"/>
          <w:szCs w:val="21"/>
        </w:rPr>
        <w:t xml:space="preserve"> </w:t>
      </w:r>
      <w:r w:rsidRPr="00750FD2">
        <w:rPr>
          <w:rFonts w:ascii="Abadi" w:hAnsi="Abadi"/>
          <w:b w:val="0"/>
          <w:bCs w:val="0"/>
          <w:spacing w:val="-4"/>
          <w:sz w:val="21"/>
          <w:szCs w:val="21"/>
        </w:rPr>
        <w:t>origen</w:t>
      </w:r>
      <w:r w:rsidRPr="00750FD2">
        <w:rPr>
          <w:rFonts w:ascii="Abadi" w:hAnsi="Abadi"/>
          <w:b w:val="0"/>
          <w:bCs w:val="0"/>
          <w:spacing w:val="-10"/>
          <w:sz w:val="21"/>
          <w:szCs w:val="21"/>
        </w:rPr>
        <w:t xml:space="preserve"> </w:t>
      </w:r>
      <w:r w:rsidRPr="00750FD2">
        <w:rPr>
          <w:rFonts w:ascii="Abadi" w:hAnsi="Abadi"/>
          <w:b w:val="0"/>
          <w:bCs w:val="0"/>
          <w:spacing w:val="-4"/>
          <w:sz w:val="21"/>
          <w:szCs w:val="21"/>
        </w:rPr>
        <w:t>de</w:t>
      </w:r>
      <w:r w:rsidRPr="00750FD2">
        <w:rPr>
          <w:rFonts w:ascii="Abadi" w:hAnsi="Abadi"/>
          <w:b w:val="0"/>
          <w:bCs w:val="0"/>
          <w:spacing w:val="-10"/>
          <w:sz w:val="21"/>
          <w:szCs w:val="21"/>
        </w:rPr>
        <w:t xml:space="preserve"> </w:t>
      </w:r>
      <w:r w:rsidRPr="00750FD2">
        <w:rPr>
          <w:rFonts w:ascii="Abadi" w:hAnsi="Abadi"/>
          <w:b w:val="0"/>
          <w:bCs w:val="0"/>
          <w:spacing w:val="-4"/>
          <w:sz w:val="21"/>
          <w:szCs w:val="21"/>
        </w:rPr>
        <w:t>los</w:t>
      </w:r>
      <w:r w:rsidRPr="00750FD2">
        <w:rPr>
          <w:rFonts w:ascii="Abadi" w:hAnsi="Abadi"/>
          <w:b w:val="0"/>
          <w:bCs w:val="0"/>
          <w:spacing w:val="-11"/>
          <w:sz w:val="21"/>
          <w:szCs w:val="21"/>
        </w:rPr>
        <w:t xml:space="preserve"> </w:t>
      </w:r>
      <w:r w:rsidRPr="00750FD2">
        <w:rPr>
          <w:rFonts w:ascii="Abadi" w:hAnsi="Abadi"/>
          <w:b w:val="0"/>
          <w:bCs w:val="0"/>
          <w:spacing w:val="-4"/>
          <w:sz w:val="21"/>
          <w:szCs w:val="21"/>
        </w:rPr>
        <w:t>recursos,</w:t>
      </w:r>
      <w:r w:rsidRPr="00750FD2">
        <w:rPr>
          <w:rFonts w:ascii="Abadi" w:hAnsi="Abadi"/>
          <w:b w:val="0"/>
          <w:bCs w:val="0"/>
          <w:spacing w:val="-10"/>
          <w:sz w:val="21"/>
          <w:szCs w:val="21"/>
        </w:rPr>
        <w:t xml:space="preserve"> </w:t>
      </w:r>
      <w:r w:rsidRPr="00750FD2">
        <w:rPr>
          <w:rFonts w:ascii="Abadi" w:hAnsi="Abadi"/>
          <w:b w:val="0"/>
          <w:bCs w:val="0"/>
          <w:spacing w:val="-4"/>
          <w:sz w:val="21"/>
          <w:szCs w:val="21"/>
        </w:rPr>
        <w:t>mecanismos</w:t>
      </w:r>
      <w:r w:rsidRPr="00750FD2">
        <w:rPr>
          <w:rFonts w:ascii="Abadi" w:hAnsi="Abadi"/>
          <w:b w:val="0"/>
          <w:bCs w:val="0"/>
          <w:spacing w:val="-10"/>
          <w:sz w:val="21"/>
          <w:szCs w:val="21"/>
        </w:rPr>
        <w:t xml:space="preserve"> </w:t>
      </w:r>
      <w:r w:rsidRPr="00750FD2">
        <w:rPr>
          <w:rFonts w:ascii="Abadi" w:hAnsi="Abadi"/>
          <w:b w:val="0"/>
          <w:bCs w:val="0"/>
          <w:spacing w:val="-4"/>
          <w:sz w:val="21"/>
          <w:szCs w:val="21"/>
        </w:rPr>
        <w:t>de</w:t>
      </w:r>
      <w:r w:rsidRPr="00750FD2">
        <w:rPr>
          <w:rFonts w:ascii="Abadi" w:hAnsi="Abadi"/>
          <w:b w:val="0"/>
          <w:bCs w:val="0"/>
          <w:spacing w:val="-11"/>
          <w:sz w:val="21"/>
          <w:szCs w:val="21"/>
        </w:rPr>
        <w:t xml:space="preserve"> </w:t>
      </w:r>
      <w:r w:rsidRPr="00750FD2">
        <w:rPr>
          <w:rFonts w:ascii="Abadi" w:hAnsi="Abadi"/>
          <w:b w:val="0"/>
          <w:bCs w:val="0"/>
          <w:spacing w:val="-4"/>
          <w:sz w:val="21"/>
          <w:szCs w:val="21"/>
        </w:rPr>
        <w:t>creación</w:t>
      </w:r>
      <w:r w:rsidRPr="00750FD2">
        <w:rPr>
          <w:rFonts w:ascii="Abadi" w:hAnsi="Abadi"/>
          <w:b w:val="0"/>
          <w:bCs w:val="0"/>
          <w:spacing w:val="-10"/>
          <w:sz w:val="21"/>
          <w:szCs w:val="21"/>
        </w:rPr>
        <w:t xml:space="preserve"> </w:t>
      </w:r>
      <w:r w:rsidRPr="00750FD2">
        <w:rPr>
          <w:rFonts w:ascii="Abadi" w:hAnsi="Abadi"/>
          <w:b w:val="0"/>
          <w:bCs w:val="0"/>
          <w:spacing w:val="-4"/>
          <w:sz w:val="21"/>
          <w:szCs w:val="21"/>
        </w:rPr>
        <w:t>de</w:t>
      </w:r>
      <w:r w:rsidRPr="00750FD2">
        <w:rPr>
          <w:rFonts w:ascii="Abadi" w:hAnsi="Abadi"/>
          <w:b w:val="0"/>
          <w:bCs w:val="0"/>
          <w:spacing w:val="-10"/>
          <w:sz w:val="21"/>
          <w:szCs w:val="21"/>
        </w:rPr>
        <w:t xml:space="preserve"> </w:t>
      </w:r>
      <w:r w:rsidRPr="00750FD2">
        <w:rPr>
          <w:rFonts w:ascii="Abadi" w:hAnsi="Abadi"/>
          <w:b w:val="0"/>
          <w:bCs w:val="0"/>
          <w:spacing w:val="-4"/>
          <w:sz w:val="21"/>
          <w:szCs w:val="21"/>
        </w:rPr>
        <w:t>bases,</w:t>
      </w:r>
      <w:r w:rsidRPr="00750FD2">
        <w:rPr>
          <w:rFonts w:ascii="Abadi" w:hAnsi="Abadi"/>
          <w:b w:val="0"/>
          <w:bCs w:val="0"/>
          <w:spacing w:val="-11"/>
          <w:sz w:val="21"/>
          <w:szCs w:val="21"/>
        </w:rPr>
        <w:t xml:space="preserve"> </w:t>
      </w:r>
      <w:r w:rsidRPr="00750FD2">
        <w:rPr>
          <w:rFonts w:ascii="Abadi" w:hAnsi="Abadi"/>
          <w:b w:val="0"/>
          <w:bCs w:val="0"/>
          <w:spacing w:val="-4"/>
          <w:sz w:val="21"/>
          <w:szCs w:val="21"/>
        </w:rPr>
        <w:t>criterios</w:t>
      </w:r>
      <w:r w:rsidRPr="00750FD2">
        <w:rPr>
          <w:rFonts w:ascii="Abadi" w:hAnsi="Abadi"/>
          <w:b w:val="0"/>
          <w:bCs w:val="0"/>
          <w:spacing w:val="-10"/>
          <w:sz w:val="21"/>
          <w:szCs w:val="21"/>
        </w:rPr>
        <w:t xml:space="preserve"> </w:t>
      </w:r>
      <w:r w:rsidRPr="00750FD2">
        <w:rPr>
          <w:rFonts w:ascii="Abadi" w:hAnsi="Abadi"/>
          <w:b w:val="0"/>
          <w:bCs w:val="0"/>
          <w:spacing w:val="-4"/>
          <w:sz w:val="21"/>
          <w:szCs w:val="21"/>
        </w:rPr>
        <w:t xml:space="preserve">de </w:t>
      </w:r>
      <w:r w:rsidRPr="00750FD2">
        <w:rPr>
          <w:rFonts w:ascii="Abadi" w:hAnsi="Abadi"/>
          <w:b w:val="0"/>
          <w:bCs w:val="0"/>
          <w:spacing w:val="-2"/>
          <w:sz w:val="21"/>
          <w:szCs w:val="21"/>
        </w:rPr>
        <w:t>asignación,</w:t>
      </w:r>
      <w:r w:rsidRPr="00750FD2">
        <w:rPr>
          <w:rFonts w:ascii="Abadi" w:hAnsi="Abadi"/>
          <w:b w:val="0"/>
          <w:bCs w:val="0"/>
          <w:spacing w:val="-8"/>
          <w:sz w:val="21"/>
          <w:szCs w:val="21"/>
        </w:rPr>
        <w:t xml:space="preserve"> </w:t>
      </w:r>
      <w:r w:rsidRPr="00750FD2">
        <w:rPr>
          <w:rFonts w:ascii="Abadi" w:hAnsi="Abadi"/>
          <w:b w:val="0"/>
          <w:bCs w:val="0"/>
          <w:spacing w:val="-2"/>
          <w:sz w:val="21"/>
          <w:szCs w:val="21"/>
        </w:rPr>
        <w:t>procesos</w:t>
      </w:r>
      <w:r w:rsidRPr="00750FD2">
        <w:rPr>
          <w:rFonts w:ascii="Abadi" w:hAnsi="Abadi"/>
          <w:b w:val="0"/>
          <w:bCs w:val="0"/>
          <w:spacing w:val="-6"/>
          <w:sz w:val="21"/>
          <w:szCs w:val="21"/>
        </w:rPr>
        <w:t xml:space="preserve"> </w:t>
      </w:r>
      <w:r w:rsidRPr="00750FD2">
        <w:rPr>
          <w:rFonts w:ascii="Abadi" w:hAnsi="Abadi"/>
          <w:b w:val="0"/>
          <w:bCs w:val="0"/>
          <w:spacing w:val="-2"/>
          <w:sz w:val="21"/>
          <w:szCs w:val="21"/>
        </w:rPr>
        <w:t>a</w:t>
      </w:r>
      <w:r w:rsidRPr="00750FD2">
        <w:rPr>
          <w:rFonts w:ascii="Abadi" w:hAnsi="Abadi"/>
          <w:b w:val="0"/>
          <w:bCs w:val="0"/>
          <w:spacing w:val="-7"/>
          <w:sz w:val="21"/>
          <w:szCs w:val="21"/>
        </w:rPr>
        <w:t xml:space="preserve"> </w:t>
      </w:r>
      <w:r w:rsidRPr="00750FD2">
        <w:rPr>
          <w:rFonts w:ascii="Abadi" w:hAnsi="Abadi"/>
          <w:b w:val="0"/>
          <w:bCs w:val="0"/>
          <w:spacing w:val="-2"/>
          <w:sz w:val="21"/>
          <w:szCs w:val="21"/>
        </w:rPr>
        <w:t>llevar</w:t>
      </w:r>
      <w:r w:rsidRPr="00750FD2">
        <w:rPr>
          <w:rFonts w:ascii="Abadi" w:hAnsi="Abadi"/>
          <w:b w:val="0"/>
          <w:bCs w:val="0"/>
          <w:spacing w:val="-7"/>
          <w:sz w:val="21"/>
          <w:szCs w:val="21"/>
        </w:rPr>
        <w:t xml:space="preserve"> </w:t>
      </w:r>
      <w:r w:rsidRPr="00750FD2">
        <w:rPr>
          <w:rFonts w:ascii="Abadi" w:hAnsi="Abadi"/>
          <w:b w:val="0"/>
          <w:bCs w:val="0"/>
          <w:spacing w:val="-2"/>
          <w:sz w:val="21"/>
          <w:szCs w:val="21"/>
        </w:rPr>
        <w:t>a</w:t>
      </w:r>
      <w:r w:rsidRPr="00750FD2">
        <w:rPr>
          <w:rFonts w:ascii="Abadi" w:hAnsi="Abadi"/>
          <w:b w:val="0"/>
          <w:bCs w:val="0"/>
          <w:spacing w:val="-7"/>
          <w:sz w:val="21"/>
          <w:szCs w:val="21"/>
        </w:rPr>
        <w:t xml:space="preserve"> </w:t>
      </w:r>
      <w:r w:rsidRPr="00750FD2">
        <w:rPr>
          <w:rFonts w:ascii="Abadi" w:hAnsi="Abadi"/>
          <w:b w:val="0"/>
          <w:bCs w:val="0"/>
          <w:spacing w:val="-2"/>
          <w:sz w:val="21"/>
          <w:szCs w:val="21"/>
        </w:rPr>
        <w:t>cabo</w:t>
      </w:r>
      <w:r w:rsidRPr="00750FD2">
        <w:rPr>
          <w:rFonts w:ascii="Abadi" w:hAnsi="Abadi"/>
          <w:b w:val="0"/>
          <w:bCs w:val="0"/>
          <w:spacing w:val="-6"/>
          <w:sz w:val="21"/>
          <w:szCs w:val="21"/>
        </w:rPr>
        <w:t xml:space="preserve"> </w:t>
      </w:r>
      <w:r w:rsidRPr="00750FD2">
        <w:rPr>
          <w:rFonts w:ascii="Abadi" w:hAnsi="Abadi"/>
          <w:b w:val="0"/>
          <w:bCs w:val="0"/>
          <w:spacing w:val="-2"/>
          <w:sz w:val="21"/>
          <w:szCs w:val="21"/>
        </w:rPr>
        <w:t>para</w:t>
      </w:r>
      <w:r w:rsidRPr="00750FD2">
        <w:rPr>
          <w:rFonts w:ascii="Abadi" w:hAnsi="Abadi"/>
          <w:b w:val="0"/>
          <w:bCs w:val="0"/>
          <w:spacing w:val="-7"/>
          <w:sz w:val="21"/>
          <w:szCs w:val="21"/>
        </w:rPr>
        <w:t xml:space="preserve"> </w:t>
      </w:r>
      <w:r w:rsidRPr="00750FD2">
        <w:rPr>
          <w:rFonts w:ascii="Abadi" w:hAnsi="Abadi"/>
          <w:b w:val="0"/>
          <w:bCs w:val="0"/>
          <w:spacing w:val="-2"/>
          <w:sz w:val="21"/>
          <w:szCs w:val="21"/>
        </w:rPr>
        <w:t>conseguirlo</w:t>
      </w:r>
      <w:r w:rsidRPr="00750FD2">
        <w:rPr>
          <w:rFonts w:ascii="Abadi" w:hAnsi="Abadi"/>
          <w:b w:val="0"/>
          <w:bCs w:val="0"/>
          <w:spacing w:val="-6"/>
          <w:sz w:val="21"/>
          <w:szCs w:val="21"/>
        </w:rPr>
        <w:t xml:space="preserve"> </w:t>
      </w:r>
      <w:r w:rsidRPr="00750FD2">
        <w:rPr>
          <w:rFonts w:ascii="Abadi" w:hAnsi="Abadi"/>
          <w:b w:val="0"/>
          <w:bCs w:val="0"/>
          <w:spacing w:val="-2"/>
          <w:sz w:val="21"/>
          <w:szCs w:val="21"/>
        </w:rPr>
        <w:t>y</w:t>
      </w:r>
      <w:r w:rsidRPr="00750FD2">
        <w:rPr>
          <w:rFonts w:ascii="Abadi" w:hAnsi="Abadi"/>
          <w:b w:val="0"/>
          <w:bCs w:val="0"/>
          <w:spacing w:val="-7"/>
          <w:sz w:val="21"/>
          <w:szCs w:val="21"/>
        </w:rPr>
        <w:t xml:space="preserve"> </w:t>
      </w:r>
      <w:r w:rsidRPr="00750FD2">
        <w:rPr>
          <w:rFonts w:ascii="Abadi" w:hAnsi="Abadi"/>
          <w:b w:val="0"/>
          <w:bCs w:val="0"/>
          <w:spacing w:val="-2"/>
          <w:sz w:val="21"/>
          <w:szCs w:val="21"/>
        </w:rPr>
        <w:t>fechas</w:t>
      </w:r>
      <w:r w:rsidRPr="00750FD2">
        <w:rPr>
          <w:rFonts w:ascii="Abadi" w:hAnsi="Abadi"/>
          <w:b w:val="0"/>
          <w:bCs w:val="0"/>
          <w:spacing w:val="-7"/>
          <w:sz w:val="21"/>
          <w:szCs w:val="21"/>
        </w:rPr>
        <w:t xml:space="preserve"> </w:t>
      </w:r>
      <w:r w:rsidRPr="00750FD2">
        <w:rPr>
          <w:rFonts w:ascii="Abadi" w:hAnsi="Abadi"/>
          <w:b w:val="0"/>
          <w:bCs w:val="0"/>
          <w:spacing w:val="-2"/>
          <w:sz w:val="21"/>
          <w:szCs w:val="21"/>
        </w:rPr>
        <w:t>mediante</w:t>
      </w:r>
      <w:r w:rsidRPr="00750FD2">
        <w:rPr>
          <w:rFonts w:ascii="Abadi" w:hAnsi="Abadi"/>
          <w:b w:val="0"/>
          <w:bCs w:val="0"/>
          <w:spacing w:val="-7"/>
          <w:sz w:val="21"/>
          <w:szCs w:val="21"/>
        </w:rPr>
        <w:t xml:space="preserve"> </w:t>
      </w:r>
      <w:r w:rsidRPr="00750FD2">
        <w:rPr>
          <w:rFonts w:ascii="Abadi" w:hAnsi="Abadi"/>
          <w:b w:val="0"/>
          <w:bCs w:val="0"/>
          <w:spacing w:val="-2"/>
          <w:sz w:val="21"/>
          <w:szCs w:val="21"/>
        </w:rPr>
        <w:t>los</w:t>
      </w:r>
      <w:r w:rsidRPr="00750FD2">
        <w:rPr>
          <w:rFonts w:ascii="Abadi" w:hAnsi="Abadi"/>
          <w:b w:val="0"/>
          <w:bCs w:val="0"/>
          <w:spacing w:val="-7"/>
          <w:sz w:val="21"/>
          <w:szCs w:val="21"/>
        </w:rPr>
        <w:t xml:space="preserve"> </w:t>
      </w:r>
      <w:r w:rsidRPr="00750FD2">
        <w:rPr>
          <w:rFonts w:ascii="Abadi" w:hAnsi="Abadi"/>
          <w:b w:val="0"/>
          <w:bCs w:val="0"/>
          <w:spacing w:val="-2"/>
          <w:sz w:val="21"/>
          <w:szCs w:val="21"/>
        </w:rPr>
        <w:t xml:space="preserve">cuales </w:t>
      </w:r>
      <w:r w:rsidRPr="00750FD2">
        <w:rPr>
          <w:rFonts w:ascii="Abadi" w:hAnsi="Abadi"/>
          <w:b w:val="0"/>
          <w:bCs w:val="0"/>
          <w:sz w:val="21"/>
          <w:szCs w:val="21"/>
        </w:rPr>
        <w:t>se</w:t>
      </w:r>
      <w:r w:rsidRPr="00750FD2">
        <w:rPr>
          <w:rFonts w:ascii="Abadi" w:hAnsi="Abadi"/>
          <w:b w:val="0"/>
          <w:bCs w:val="0"/>
          <w:spacing w:val="-6"/>
          <w:sz w:val="21"/>
          <w:szCs w:val="21"/>
        </w:rPr>
        <w:t xml:space="preserve"> </w:t>
      </w:r>
      <w:r w:rsidRPr="00750FD2">
        <w:rPr>
          <w:rFonts w:ascii="Abadi" w:hAnsi="Abadi"/>
          <w:b w:val="0"/>
          <w:bCs w:val="0"/>
          <w:sz w:val="21"/>
          <w:szCs w:val="21"/>
        </w:rPr>
        <w:t>llevará</w:t>
      </w:r>
      <w:r w:rsidRPr="00750FD2">
        <w:rPr>
          <w:rFonts w:ascii="Abadi" w:hAnsi="Abadi"/>
          <w:b w:val="0"/>
          <w:bCs w:val="0"/>
          <w:spacing w:val="-7"/>
          <w:sz w:val="21"/>
          <w:szCs w:val="21"/>
        </w:rPr>
        <w:t xml:space="preserve"> </w:t>
      </w:r>
      <w:r w:rsidRPr="00750FD2">
        <w:rPr>
          <w:rFonts w:ascii="Abadi" w:hAnsi="Abadi"/>
          <w:b w:val="0"/>
          <w:bCs w:val="0"/>
          <w:sz w:val="21"/>
          <w:szCs w:val="21"/>
        </w:rPr>
        <w:t>a</w:t>
      </w:r>
      <w:r w:rsidRPr="00750FD2">
        <w:rPr>
          <w:rFonts w:ascii="Abadi" w:hAnsi="Abadi"/>
          <w:b w:val="0"/>
          <w:bCs w:val="0"/>
          <w:spacing w:val="-6"/>
          <w:sz w:val="21"/>
          <w:szCs w:val="21"/>
        </w:rPr>
        <w:t xml:space="preserve"> </w:t>
      </w:r>
      <w:r w:rsidRPr="00750FD2">
        <w:rPr>
          <w:rFonts w:ascii="Abadi" w:hAnsi="Abadi"/>
          <w:b w:val="0"/>
          <w:bCs w:val="0"/>
          <w:sz w:val="21"/>
          <w:szCs w:val="21"/>
        </w:rPr>
        <w:t>cabo</w:t>
      </w:r>
      <w:r w:rsidRPr="00750FD2">
        <w:rPr>
          <w:rFonts w:ascii="Abadi" w:hAnsi="Abadi"/>
          <w:b w:val="0"/>
          <w:bCs w:val="0"/>
          <w:spacing w:val="-8"/>
          <w:sz w:val="21"/>
          <w:szCs w:val="21"/>
        </w:rPr>
        <w:t xml:space="preserve"> </w:t>
      </w:r>
      <w:r w:rsidRPr="00750FD2">
        <w:rPr>
          <w:rFonts w:ascii="Abadi" w:hAnsi="Abadi"/>
          <w:b w:val="0"/>
          <w:bCs w:val="0"/>
          <w:sz w:val="21"/>
          <w:szCs w:val="21"/>
        </w:rPr>
        <w:t>el</w:t>
      </w:r>
      <w:r w:rsidRPr="00750FD2">
        <w:rPr>
          <w:rFonts w:ascii="Abadi" w:hAnsi="Abadi"/>
          <w:b w:val="0"/>
          <w:bCs w:val="0"/>
          <w:spacing w:val="-6"/>
          <w:sz w:val="21"/>
          <w:szCs w:val="21"/>
        </w:rPr>
        <w:t xml:space="preserve"> </w:t>
      </w:r>
      <w:r w:rsidRPr="00750FD2">
        <w:rPr>
          <w:rFonts w:ascii="Abadi" w:hAnsi="Abadi"/>
          <w:b w:val="0"/>
          <w:bCs w:val="0"/>
          <w:sz w:val="21"/>
          <w:szCs w:val="21"/>
        </w:rPr>
        <w:t>proceso</w:t>
      </w:r>
      <w:r w:rsidRPr="00750FD2">
        <w:rPr>
          <w:rFonts w:ascii="Abadi" w:hAnsi="Abadi"/>
          <w:b w:val="0"/>
          <w:bCs w:val="0"/>
          <w:spacing w:val="-8"/>
          <w:sz w:val="21"/>
          <w:szCs w:val="21"/>
        </w:rPr>
        <w:t xml:space="preserve"> </w:t>
      </w:r>
      <w:r w:rsidRPr="00750FD2">
        <w:rPr>
          <w:rFonts w:ascii="Abadi" w:hAnsi="Abadi"/>
          <w:b w:val="0"/>
          <w:bCs w:val="0"/>
          <w:sz w:val="21"/>
          <w:szCs w:val="21"/>
        </w:rPr>
        <w:t>de</w:t>
      </w:r>
      <w:r w:rsidRPr="00750FD2">
        <w:rPr>
          <w:rFonts w:ascii="Abadi" w:hAnsi="Abadi"/>
          <w:b w:val="0"/>
          <w:bCs w:val="0"/>
          <w:spacing w:val="-7"/>
          <w:sz w:val="21"/>
          <w:szCs w:val="21"/>
        </w:rPr>
        <w:t xml:space="preserve"> </w:t>
      </w:r>
      <w:r w:rsidRPr="00750FD2">
        <w:rPr>
          <w:rFonts w:ascii="Abadi" w:hAnsi="Abadi"/>
          <w:b w:val="0"/>
          <w:bCs w:val="0"/>
          <w:sz w:val="21"/>
          <w:szCs w:val="21"/>
        </w:rPr>
        <w:t>basificación</w:t>
      </w:r>
      <w:r w:rsidRPr="00750FD2">
        <w:rPr>
          <w:rFonts w:ascii="Abadi" w:hAnsi="Abadi"/>
          <w:b w:val="0"/>
          <w:bCs w:val="0"/>
          <w:spacing w:val="-5"/>
          <w:sz w:val="21"/>
          <w:szCs w:val="21"/>
        </w:rPr>
        <w:t xml:space="preserve"> </w:t>
      </w:r>
      <w:r w:rsidRPr="00750FD2">
        <w:rPr>
          <w:rFonts w:ascii="Abadi" w:hAnsi="Abadi"/>
          <w:b w:val="0"/>
          <w:bCs w:val="0"/>
          <w:sz w:val="21"/>
          <w:szCs w:val="21"/>
        </w:rPr>
        <w:t>del</w:t>
      </w:r>
      <w:r w:rsidRPr="00750FD2">
        <w:rPr>
          <w:rFonts w:ascii="Abadi" w:hAnsi="Abadi"/>
          <w:b w:val="0"/>
          <w:bCs w:val="0"/>
          <w:spacing w:val="-7"/>
          <w:sz w:val="21"/>
          <w:szCs w:val="21"/>
        </w:rPr>
        <w:t xml:space="preserve"> </w:t>
      </w:r>
      <w:r w:rsidRPr="00750FD2">
        <w:rPr>
          <w:rFonts w:ascii="Abadi" w:hAnsi="Abadi"/>
          <w:b w:val="0"/>
          <w:bCs w:val="0"/>
          <w:sz w:val="21"/>
          <w:szCs w:val="21"/>
        </w:rPr>
        <w:t>personal</w:t>
      </w:r>
      <w:r w:rsidRPr="00750FD2">
        <w:rPr>
          <w:rFonts w:ascii="Abadi" w:hAnsi="Abadi"/>
          <w:b w:val="0"/>
          <w:bCs w:val="0"/>
          <w:spacing w:val="-5"/>
          <w:sz w:val="21"/>
          <w:szCs w:val="21"/>
        </w:rPr>
        <w:t xml:space="preserve"> </w:t>
      </w:r>
      <w:r w:rsidRPr="00750FD2">
        <w:rPr>
          <w:rFonts w:ascii="Abadi" w:hAnsi="Abadi"/>
          <w:b w:val="0"/>
          <w:bCs w:val="0"/>
          <w:sz w:val="21"/>
          <w:szCs w:val="21"/>
        </w:rPr>
        <w:t>del</w:t>
      </w:r>
      <w:r w:rsidRPr="00750FD2">
        <w:rPr>
          <w:rFonts w:ascii="Abadi" w:hAnsi="Abadi"/>
          <w:b w:val="0"/>
          <w:bCs w:val="0"/>
          <w:spacing w:val="-7"/>
          <w:sz w:val="21"/>
          <w:szCs w:val="21"/>
        </w:rPr>
        <w:t xml:space="preserve"> </w:t>
      </w:r>
      <w:r w:rsidRPr="00750FD2">
        <w:rPr>
          <w:rFonts w:ascii="Abadi" w:hAnsi="Abadi"/>
          <w:b w:val="0"/>
          <w:bCs w:val="0"/>
          <w:sz w:val="21"/>
          <w:szCs w:val="21"/>
        </w:rPr>
        <w:t>ISAPEG.</w:t>
      </w:r>
    </w:p>
    <w:p w14:paraId="28176FD1" w14:textId="2874A16F" w:rsidR="004E0542" w:rsidRPr="00750FD2" w:rsidRDefault="004E0542" w:rsidP="00750FD2">
      <w:pPr>
        <w:pStyle w:val="Textoindependiente"/>
        <w:spacing w:before="229"/>
        <w:ind w:right="142"/>
        <w:rPr>
          <w:rFonts w:ascii="Abadi" w:hAnsi="Abadi"/>
          <w:b w:val="0"/>
          <w:bCs w:val="0"/>
          <w:spacing w:val="-2"/>
          <w:sz w:val="21"/>
          <w:szCs w:val="21"/>
        </w:rPr>
      </w:pPr>
      <w:r w:rsidRPr="00285ED2">
        <w:rPr>
          <w:rFonts w:ascii="Abadi" w:hAnsi="Abadi"/>
          <w:b w:val="0"/>
          <w:bCs w:val="0"/>
          <w:sz w:val="21"/>
          <w:szCs w:val="21"/>
        </w:rPr>
        <w:t>Segundo.</w:t>
      </w:r>
      <w:r w:rsidRPr="009B7A89">
        <w:rPr>
          <w:rFonts w:ascii="Abadi" w:hAnsi="Abadi"/>
          <w:spacing w:val="-7"/>
          <w:sz w:val="21"/>
          <w:szCs w:val="21"/>
        </w:rPr>
        <w:t xml:space="preserve"> </w:t>
      </w:r>
      <w:r w:rsidRPr="009B7A89">
        <w:rPr>
          <w:rFonts w:ascii="Abadi" w:hAnsi="Abadi"/>
          <w:sz w:val="21"/>
          <w:szCs w:val="21"/>
        </w:rPr>
        <w:t>La</w:t>
      </w:r>
      <w:r w:rsidRPr="009B7A89">
        <w:rPr>
          <w:rFonts w:ascii="Abadi" w:hAnsi="Abadi"/>
          <w:spacing w:val="-9"/>
          <w:sz w:val="21"/>
          <w:szCs w:val="21"/>
        </w:rPr>
        <w:t xml:space="preserve"> </w:t>
      </w:r>
      <w:r w:rsidRPr="009B7A89">
        <w:rPr>
          <w:rFonts w:ascii="Abadi" w:hAnsi="Abadi"/>
          <w:sz w:val="21"/>
          <w:szCs w:val="21"/>
        </w:rPr>
        <w:t>LXV</w:t>
      </w:r>
      <w:r w:rsidRPr="009B7A89">
        <w:rPr>
          <w:rFonts w:ascii="Abadi" w:hAnsi="Abadi"/>
          <w:spacing w:val="-9"/>
          <w:sz w:val="21"/>
          <w:szCs w:val="21"/>
        </w:rPr>
        <w:t xml:space="preserve"> </w:t>
      </w:r>
      <w:r w:rsidRPr="009B7A89">
        <w:rPr>
          <w:rFonts w:ascii="Abadi" w:hAnsi="Abadi"/>
          <w:sz w:val="21"/>
          <w:szCs w:val="21"/>
        </w:rPr>
        <w:t>Legislatura</w:t>
      </w:r>
      <w:r w:rsidRPr="009B7A89">
        <w:rPr>
          <w:rFonts w:ascii="Abadi" w:hAnsi="Abadi"/>
          <w:spacing w:val="-9"/>
          <w:sz w:val="21"/>
          <w:szCs w:val="21"/>
        </w:rPr>
        <w:t xml:space="preserve"> </w:t>
      </w:r>
      <w:r w:rsidRPr="009B7A89">
        <w:rPr>
          <w:rFonts w:ascii="Abadi" w:hAnsi="Abadi"/>
          <w:sz w:val="21"/>
          <w:szCs w:val="21"/>
        </w:rPr>
        <w:t>del</w:t>
      </w:r>
      <w:r w:rsidRPr="009B7A89">
        <w:rPr>
          <w:rFonts w:ascii="Abadi" w:hAnsi="Abadi"/>
          <w:spacing w:val="-9"/>
          <w:sz w:val="21"/>
          <w:szCs w:val="21"/>
        </w:rPr>
        <w:t xml:space="preserve"> </w:t>
      </w:r>
      <w:r w:rsidRPr="009B7A89">
        <w:rPr>
          <w:rFonts w:ascii="Abadi" w:hAnsi="Abadi"/>
          <w:sz w:val="21"/>
          <w:szCs w:val="21"/>
        </w:rPr>
        <w:t>Estado</w:t>
      </w:r>
      <w:r w:rsidRPr="009B7A89">
        <w:rPr>
          <w:rFonts w:ascii="Abadi" w:hAnsi="Abadi"/>
          <w:spacing w:val="-10"/>
          <w:sz w:val="21"/>
          <w:szCs w:val="21"/>
        </w:rPr>
        <w:t xml:space="preserve"> </w:t>
      </w:r>
      <w:r w:rsidRPr="009B7A89">
        <w:rPr>
          <w:rFonts w:ascii="Abadi" w:hAnsi="Abadi"/>
          <w:sz w:val="21"/>
          <w:szCs w:val="21"/>
        </w:rPr>
        <w:t>Libre</w:t>
      </w:r>
      <w:r w:rsidRPr="009B7A89">
        <w:rPr>
          <w:rFonts w:ascii="Abadi" w:hAnsi="Abadi"/>
          <w:spacing w:val="-9"/>
          <w:sz w:val="21"/>
          <w:szCs w:val="21"/>
        </w:rPr>
        <w:t xml:space="preserve"> </w:t>
      </w:r>
      <w:r w:rsidRPr="009B7A89">
        <w:rPr>
          <w:rFonts w:ascii="Abadi" w:hAnsi="Abadi"/>
          <w:sz w:val="21"/>
          <w:szCs w:val="21"/>
        </w:rPr>
        <w:t>y</w:t>
      </w:r>
      <w:r w:rsidRPr="009B7A89">
        <w:rPr>
          <w:rFonts w:ascii="Abadi" w:hAnsi="Abadi"/>
          <w:spacing w:val="-9"/>
          <w:sz w:val="21"/>
          <w:szCs w:val="21"/>
        </w:rPr>
        <w:t xml:space="preserve"> </w:t>
      </w:r>
      <w:r w:rsidRPr="009B7A89">
        <w:rPr>
          <w:rFonts w:ascii="Abadi" w:hAnsi="Abadi"/>
          <w:sz w:val="21"/>
          <w:szCs w:val="21"/>
        </w:rPr>
        <w:t>Soberano</w:t>
      </w:r>
      <w:r w:rsidRPr="009B7A89">
        <w:rPr>
          <w:rFonts w:ascii="Abadi" w:hAnsi="Abadi"/>
          <w:spacing w:val="-10"/>
          <w:sz w:val="21"/>
          <w:szCs w:val="21"/>
        </w:rPr>
        <w:t xml:space="preserve"> </w:t>
      </w:r>
      <w:r w:rsidRPr="009B7A89">
        <w:rPr>
          <w:rFonts w:ascii="Abadi" w:hAnsi="Abadi"/>
          <w:sz w:val="21"/>
          <w:szCs w:val="21"/>
        </w:rPr>
        <w:t>de</w:t>
      </w:r>
      <w:r w:rsidRPr="009B7A89">
        <w:rPr>
          <w:rFonts w:ascii="Abadi" w:hAnsi="Abadi"/>
          <w:spacing w:val="-8"/>
          <w:sz w:val="21"/>
          <w:szCs w:val="21"/>
        </w:rPr>
        <w:t xml:space="preserve"> </w:t>
      </w:r>
      <w:r w:rsidRPr="009B7A89">
        <w:rPr>
          <w:rFonts w:ascii="Abadi" w:hAnsi="Abadi"/>
          <w:sz w:val="21"/>
          <w:szCs w:val="21"/>
        </w:rPr>
        <w:t>Guanajuato</w:t>
      </w:r>
      <w:r w:rsidRPr="009B7A89">
        <w:rPr>
          <w:rFonts w:ascii="Abadi" w:hAnsi="Abadi"/>
          <w:spacing w:val="-10"/>
          <w:sz w:val="21"/>
          <w:szCs w:val="21"/>
        </w:rPr>
        <w:t xml:space="preserve"> </w:t>
      </w:r>
      <w:r w:rsidRPr="009B7A89">
        <w:rPr>
          <w:rFonts w:ascii="Abadi" w:hAnsi="Abadi"/>
          <w:sz w:val="21"/>
          <w:szCs w:val="21"/>
        </w:rPr>
        <w:t xml:space="preserve">acuerda </w:t>
      </w:r>
      <w:r w:rsidRPr="00750FD2">
        <w:rPr>
          <w:rFonts w:ascii="Abadi" w:hAnsi="Abadi"/>
          <w:b w:val="0"/>
          <w:bCs w:val="0"/>
          <w:spacing w:val="-4"/>
          <w:sz w:val="21"/>
          <w:szCs w:val="21"/>
        </w:rPr>
        <w:t>emitir</w:t>
      </w:r>
      <w:r w:rsidRPr="00750FD2">
        <w:rPr>
          <w:rFonts w:ascii="Abadi" w:hAnsi="Abadi"/>
          <w:b w:val="0"/>
          <w:bCs w:val="0"/>
          <w:spacing w:val="-11"/>
          <w:sz w:val="21"/>
          <w:szCs w:val="21"/>
        </w:rPr>
        <w:t xml:space="preserve"> </w:t>
      </w:r>
      <w:r w:rsidRPr="00750FD2">
        <w:rPr>
          <w:rFonts w:ascii="Abadi" w:hAnsi="Abadi"/>
          <w:b w:val="0"/>
          <w:bCs w:val="0"/>
          <w:spacing w:val="-4"/>
          <w:sz w:val="21"/>
          <w:szCs w:val="21"/>
        </w:rPr>
        <w:t>un</w:t>
      </w:r>
      <w:r w:rsidRPr="00750FD2">
        <w:rPr>
          <w:rFonts w:ascii="Abadi" w:hAnsi="Abadi"/>
          <w:b w:val="0"/>
          <w:bCs w:val="0"/>
          <w:spacing w:val="-10"/>
          <w:sz w:val="21"/>
          <w:szCs w:val="21"/>
        </w:rPr>
        <w:t xml:space="preserve"> </w:t>
      </w:r>
      <w:r w:rsidRPr="00750FD2">
        <w:rPr>
          <w:rFonts w:ascii="Abadi" w:hAnsi="Abadi"/>
          <w:b w:val="0"/>
          <w:bCs w:val="0"/>
          <w:spacing w:val="-4"/>
          <w:sz w:val="21"/>
          <w:szCs w:val="21"/>
        </w:rPr>
        <w:t>atento</w:t>
      </w:r>
      <w:r w:rsidRPr="00750FD2">
        <w:rPr>
          <w:rFonts w:ascii="Abadi" w:hAnsi="Abadi"/>
          <w:b w:val="0"/>
          <w:bCs w:val="0"/>
          <w:spacing w:val="-10"/>
          <w:sz w:val="21"/>
          <w:szCs w:val="21"/>
        </w:rPr>
        <w:t xml:space="preserve"> </w:t>
      </w:r>
      <w:r w:rsidRPr="00750FD2">
        <w:rPr>
          <w:rFonts w:ascii="Abadi" w:hAnsi="Abadi"/>
          <w:b w:val="0"/>
          <w:bCs w:val="0"/>
          <w:spacing w:val="-4"/>
          <w:sz w:val="21"/>
          <w:szCs w:val="21"/>
        </w:rPr>
        <w:t>exhorto</w:t>
      </w:r>
      <w:r w:rsidRPr="00750FD2">
        <w:rPr>
          <w:rFonts w:ascii="Abadi" w:hAnsi="Abadi"/>
          <w:b w:val="0"/>
          <w:bCs w:val="0"/>
          <w:spacing w:val="-11"/>
          <w:sz w:val="21"/>
          <w:szCs w:val="21"/>
        </w:rPr>
        <w:t xml:space="preserve"> </w:t>
      </w:r>
      <w:r w:rsidRPr="00750FD2">
        <w:rPr>
          <w:rFonts w:ascii="Abadi" w:hAnsi="Abadi"/>
          <w:b w:val="0"/>
          <w:bCs w:val="0"/>
          <w:spacing w:val="-4"/>
          <w:sz w:val="21"/>
          <w:szCs w:val="21"/>
        </w:rPr>
        <w:t>al</w:t>
      </w:r>
      <w:r w:rsidRPr="00750FD2">
        <w:rPr>
          <w:rFonts w:ascii="Abadi" w:hAnsi="Abadi"/>
          <w:b w:val="0"/>
          <w:bCs w:val="0"/>
          <w:spacing w:val="-10"/>
          <w:sz w:val="21"/>
          <w:szCs w:val="21"/>
        </w:rPr>
        <w:t xml:space="preserve"> </w:t>
      </w:r>
      <w:r w:rsidRPr="00750FD2">
        <w:rPr>
          <w:rFonts w:ascii="Abadi" w:hAnsi="Abadi"/>
          <w:b w:val="0"/>
          <w:bCs w:val="0"/>
          <w:spacing w:val="-4"/>
          <w:sz w:val="21"/>
          <w:szCs w:val="21"/>
        </w:rPr>
        <w:t>Gobernador</w:t>
      </w:r>
      <w:r w:rsidRPr="00750FD2">
        <w:rPr>
          <w:rFonts w:ascii="Abadi" w:hAnsi="Abadi"/>
          <w:b w:val="0"/>
          <w:bCs w:val="0"/>
          <w:spacing w:val="-10"/>
          <w:sz w:val="21"/>
          <w:szCs w:val="21"/>
        </w:rPr>
        <w:t xml:space="preserve"> </w:t>
      </w:r>
      <w:r w:rsidRPr="00750FD2">
        <w:rPr>
          <w:rFonts w:ascii="Abadi" w:hAnsi="Abadi"/>
          <w:b w:val="0"/>
          <w:bCs w:val="0"/>
          <w:spacing w:val="-4"/>
          <w:sz w:val="21"/>
          <w:szCs w:val="21"/>
        </w:rPr>
        <w:t>del</w:t>
      </w:r>
      <w:r w:rsidRPr="00750FD2">
        <w:rPr>
          <w:rFonts w:ascii="Abadi" w:hAnsi="Abadi"/>
          <w:b w:val="0"/>
          <w:bCs w:val="0"/>
          <w:spacing w:val="-11"/>
          <w:sz w:val="21"/>
          <w:szCs w:val="21"/>
        </w:rPr>
        <w:t xml:space="preserve"> </w:t>
      </w:r>
      <w:r w:rsidRPr="00750FD2">
        <w:rPr>
          <w:rFonts w:ascii="Abadi" w:hAnsi="Abadi"/>
          <w:b w:val="0"/>
          <w:bCs w:val="0"/>
          <w:spacing w:val="-4"/>
          <w:sz w:val="21"/>
          <w:szCs w:val="21"/>
        </w:rPr>
        <w:t>Estado,</w:t>
      </w:r>
      <w:r w:rsidRPr="00750FD2">
        <w:rPr>
          <w:rFonts w:ascii="Abadi" w:hAnsi="Abadi"/>
          <w:b w:val="0"/>
          <w:bCs w:val="0"/>
          <w:spacing w:val="-10"/>
          <w:sz w:val="21"/>
          <w:szCs w:val="21"/>
        </w:rPr>
        <w:t xml:space="preserve"> </w:t>
      </w:r>
      <w:r w:rsidRPr="00750FD2">
        <w:rPr>
          <w:rFonts w:ascii="Abadi" w:hAnsi="Abadi"/>
          <w:b w:val="0"/>
          <w:bCs w:val="0"/>
          <w:spacing w:val="-4"/>
          <w:sz w:val="21"/>
          <w:szCs w:val="21"/>
        </w:rPr>
        <w:t>Diego</w:t>
      </w:r>
      <w:r w:rsidRPr="00750FD2">
        <w:rPr>
          <w:rFonts w:ascii="Abadi" w:hAnsi="Abadi"/>
          <w:b w:val="0"/>
          <w:bCs w:val="0"/>
          <w:spacing w:val="-10"/>
          <w:sz w:val="21"/>
          <w:szCs w:val="21"/>
        </w:rPr>
        <w:t xml:space="preserve"> </w:t>
      </w:r>
      <w:r w:rsidR="00F855E0" w:rsidRPr="00750FD2">
        <w:rPr>
          <w:rFonts w:ascii="Abadi" w:hAnsi="Abadi"/>
          <w:b w:val="0"/>
          <w:bCs w:val="0"/>
          <w:spacing w:val="-4"/>
          <w:sz w:val="21"/>
          <w:szCs w:val="21"/>
        </w:rPr>
        <w:t>Sinhue</w:t>
      </w:r>
      <w:r w:rsidRPr="00750FD2">
        <w:rPr>
          <w:rFonts w:ascii="Abadi" w:hAnsi="Abadi"/>
          <w:b w:val="0"/>
          <w:bCs w:val="0"/>
          <w:spacing w:val="-11"/>
          <w:sz w:val="21"/>
          <w:szCs w:val="21"/>
        </w:rPr>
        <w:t xml:space="preserve"> </w:t>
      </w:r>
      <w:r w:rsidRPr="00750FD2">
        <w:rPr>
          <w:rFonts w:ascii="Abadi" w:hAnsi="Abadi"/>
          <w:b w:val="0"/>
          <w:bCs w:val="0"/>
          <w:spacing w:val="-4"/>
          <w:sz w:val="21"/>
          <w:szCs w:val="21"/>
        </w:rPr>
        <w:t>Rodríguez</w:t>
      </w:r>
      <w:r w:rsidRPr="00750FD2">
        <w:rPr>
          <w:rFonts w:ascii="Abadi" w:hAnsi="Abadi"/>
          <w:b w:val="0"/>
          <w:bCs w:val="0"/>
          <w:spacing w:val="-10"/>
          <w:sz w:val="21"/>
          <w:szCs w:val="21"/>
        </w:rPr>
        <w:t xml:space="preserve"> </w:t>
      </w:r>
      <w:r w:rsidRPr="00750FD2">
        <w:rPr>
          <w:rFonts w:ascii="Abadi" w:hAnsi="Abadi"/>
          <w:b w:val="0"/>
          <w:bCs w:val="0"/>
          <w:spacing w:val="-4"/>
          <w:sz w:val="21"/>
          <w:szCs w:val="21"/>
        </w:rPr>
        <w:t xml:space="preserve">Vallejo, </w:t>
      </w:r>
      <w:r w:rsidRPr="00750FD2">
        <w:rPr>
          <w:rFonts w:ascii="Abadi" w:hAnsi="Abadi"/>
          <w:b w:val="0"/>
          <w:bCs w:val="0"/>
          <w:spacing w:val="-2"/>
          <w:sz w:val="21"/>
          <w:szCs w:val="21"/>
        </w:rPr>
        <w:t>para</w:t>
      </w:r>
      <w:r w:rsidRPr="00750FD2">
        <w:rPr>
          <w:rFonts w:ascii="Abadi" w:hAnsi="Abadi"/>
          <w:b w:val="0"/>
          <w:bCs w:val="0"/>
          <w:spacing w:val="-12"/>
          <w:sz w:val="21"/>
          <w:szCs w:val="21"/>
        </w:rPr>
        <w:t xml:space="preserve"> </w:t>
      </w:r>
      <w:r w:rsidRPr="00750FD2">
        <w:rPr>
          <w:rFonts w:ascii="Abadi" w:hAnsi="Abadi"/>
          <w:b w:val="0"/>
          <w:bCs w:val="0"/>
          <w:spacing w:val="-2"/>
          <w:sz w:val="21"/>
          <w:szCs w:val="21"/>
        </w:rPr>
        <w:t>que</w:t>
      </w:r>
      <w:r w:rsidRPr="00750FD2">
        <w:rPr>
          <w:rFonts w:ascii="Abadi" w:hAnsi="Abadi"/>
          <w:b w:val="0"/>
          <w:bCs w:val="0"/>
          <w:spacing w:val="-12"/>
          <w:sz w:val="21"/>
          <w:szCs w:val="21"/>
        </w:rPr>
        <w:t xml:space="preserve"> </w:t>
      </w:r>
      <w:r w:rsidRPr="00750FD2">
        <w:rPr>
          <w:rFonts w:ascii="Abadi" w:hAnsi="Abadi"/>
          <w:b w:val="0"/>
          <w:bCs w:val="0"/>
          <w:spacing w:val="-2"/>
          <w:sz w:val="21"/>
          <w:szCs w:val="21"/>
        </w:rPr>
        <w:t>a</w:t>
      </w:r>
      <w:r w:rsidRPr="00750FD2">
        <w:rPr>
          <w:rFonts w:ascii="Abadi" w:hAnsi="Abadi"/>
          <w:b w:val="0"/>
          <w:bCs w:val="0"/>
          <w:spacing w:val="-12"/>
          <w:sz w:val="21"/>
          <w:szCs w:val="21"/>
        </w:rPr>
        <w:t xml:space="preserve"> </w:t>
      </w:r>
      <w:r w:rsidRPr="00750FD2">
        <w:rPr>
          <w:rFonts w:ascii="Abadi" w:hAnsi="Abadi"/>
          <w:b w:val="0"/>
          <w:bCs w:val="0"/>
          <w:spacing w:val="-2"/>
          <w:sz w:val="21"/>
          <w:szCs w:val="21"/>
        </w:rPr>
        <w:t>la</w:t>
      </w:r>
      <w:r w:rsidRPr="00750FD2">
        <w:rPr>
          <w:rFonts w:ascii="Abadi" w:hAnsi="Abadi"/>
          <w:b w:val="0"/>
          <w:bCs w:val="0"/>
          <w:spacing w:val="-11"/>
          <w:sz w:val="21"/>
          <w:szCs w:val="21"/>
        </w:rPr>
        <w:t xml:space="preserve"> </w:t>
      </w:r>
      <w:r w:rsidRPr="00750FD2">
        <w:rPr>
          <w:rFonts w:ascii="Abadi" w:hAnsi="Abadi"/>
          <w:b w:val="0"/>
          <w:bCs w:val="0"/>
          <w:spacing w:val="-2"/>
          <w:sz w:val="21"/>
          <w:szCs w:val="21"/>
        </w:rPr>
        <w:t>brevedad</w:t>
      </w:r>
      <w:r w:rsidRPr="00750FD2">
        <w:rPr>
          <w:rFonts w:ascii="Abadi" w:hAnsi="Abadi"/>
          <w:b w:val="0"/>
          <w:bCs w:val="0"/>
          <w:spacing w:val="-12"/>
          <w:sz w:val="21"/>
          <w:szCs w:val="21"/>
        </w:rPr>
        <w:t xml:space="preserve"> </w:t>
      </w:r>
      <w:r w:rsidRPr="00750FD2">
        <w:rPr>
          <w:rFonts w:ascii="Abadi" w:hAnsi="Abadi"/>
          <w:b w:val="0"/>
          <w:bCs w:val="0"/>
          <w:spacing w:val="-2"/>
          <w:sz w:val="21"/>
          <w:szCs w:val="21"/>
        </w:rPr>
        <w:t>acuerde</w:t>
      </w:r>
      <w:r w:rsidRPr="00750FD2">
        <w:rPr>
          <w:rFonts w:ascii="Abadi" w:hAnsi="Abadi"/>
          <w:b w:val="0"/>
          <w:bCs w:val="0"/>
          <w:spacing w:val="-11"/>
          <w:sz w:val="21"/>
          <w:szCs w:val="21"/>
        </w:rPr>
        <w:t xml:space="preserve"> </w:t>
      </w:r>
      <w:r w:rsidRPr="00750FD2">
        <w:rPr>
          <w:rFonts w:ascii="Abadi" w:hAnsi="Abadi"/>
          <w:b w:val="0"/>
          <w:bCs w:val="0"/>
          <w:spacing w:val="-2"/>
          <w:sz w:val="21"/>
          <w:szCs w:val="21"/>
        </w:rPr>
        <w:t>la</w:t>
      </w:r>
      <w:r w:rsidRPr="00750FD2">
        <w:rPr>
          <w:rFonts w:ascii="Abadi" w:hAnsi="Abadi"/>
          <w:b w:val="0"/>
          <w:bCs w:val="0"/>
          <w:spacing w:val="-11"/>
          <w:sz w:val="21"/>
          <w:szCs w:val="21"/>
        </w:rPr>
        <w:t xml:space="preserve"> </w:t>
      </w:r>
      <w:r w:rsidRPr="00750FD2">
        <w:rPr>
          <w:rFonts w:ascii="Abadi" w:hAnsi="Abadi"/>
          <w:b w:val="0"/>
          <w:bCs w:val="0"/>
          <w:spacing w:val="-2"/>
          <w:sz w:val="21"/>
          <w:szCs w:val="21"/>
        </w:rPr>
        <w:t>reinstalación</w:t>
      </w:r>
      <w:r w:rsidRPr="00750FD2">
        <w:rPr>
          <w:rFonts w:ascii="Abadi" w:hAnsi="Abadi"/>
          <w:b w:val="0"/>
          <w:bCs w:val="0"/>
          <w:spacing w:val="-12"/>
          <w:sz w:val="21"/>
          <w:szCs w:val="21"/>
        </w:rPr>
        <w:t xml:space="preserve"> </w:t>
      </w:r>
      <w:r w:rsidRPr="00750FD2">
        <w:rPr>
          <w:rFonts w:ascii="Abadi" w:hAnsi="Abadi"/>
          <w:b w:val="0"/>
          <w:bCs w:val="0"/>
          <w:spacing w:val="-2"/>
          <w:sz w:val="21"/>
          <w:szCs w:val="21"/>
        </w:rPr>
        <w:t>de</w:t>
      </w:r>
      <w:r w:rsidRPr="00750FD2">
        <w:rPr>
          <w:rFonts w:ascii="Abadi" w:hAnsi="Abadi"/>
          <w:b w:val="0"/>
          <w:bCs w:val="0"/>
          <w:spacing w:val="-12"/>
          <w:sz w:val="21"/>
          <w:szCs w:val="21"/>
        </w:rPr>
        <w:t xml:space="preserve"> </w:t>
      </w:r>
      <w:r w:rsidRPr="00750FD2">
        <w:rPr>
          <w:rFonts w:ascii="Abadi" w:hAnsi="Abadi"/>
          <w:b w:val="0"/>
          <w:bCs w:val="0"/>
          <w:spacing w:val="-2"/>
          <w:sz w:val="21"/>
          <w:szCs w:val="21"/>
        </w:rPr>
        <w:t>Erick</w:t>
      </w:r>
      <w:r w:rsidRPr="00750FD2">
        <w:rPr>
          <w:rFonts w:ascii="Abadi" w:hAnsi="Abadi"/>
          <w:b w:val="0"/>
          <w:bCs w:val="0"/>
          <w:spacing w:val="-12"/>
          <w:sz w:val="21"/>
          <w:szCs w:val="21"/>
        </w:rPr>
        <w:t xml:space="preserve"> </w:t>
      </w:r>
      <w:r w:rsidRPr="00750FD2">
        <w:rPr>
          <w:rFonts w:ascii="Abadi" w:hAnsi="Abadi"/>
          <w:b w:val="0"/>
          <w:bCs w:val="0"/>
          <w:spacing w:val="-2"/>
          <w:sz w:val="21"/>
          <w:szCs w:val="21"/>
        </w:rPr>
        <w:t>Moreno</w:t>
      </w:r>
      <w:r w:rsidRPr="00750FD2">
        <w:rPr>
          <w:rFonts w:ascii="Abadi" w:hAnsi="Abadi"/>
          <w:b w:val="0"/>
          <w:bCs w:val="0"/>
          <w:spacing w:val="-10"/>
          <w:sz w:val="21"/>
          <w:szCs w:val="21"/>
        </w:rPr>
        <w:t xml:space="preserve"> </w:t>
      </w:r>
      <w:r w:rsidRPr="00750FD2">
        <w:rPr>
          <w:rFonts w:ascii="Abadi" w:hAnsi="Abadi"/>
          <w:b w:val="0"/>
          <w:bCs w:val="0"/>
          <w:spacing w:val="-2"/>
          <w:sz w:val="21"/>
          <w:szCs w:val="21"/>
        </w:rPr>
        <w:t>Zamora</w:t>
      </w:r>
      <w:r w:rsidRPr="00750FD2">
        <w:rPr>
          <w:rFonts w:ascii="Abadi" w:hAnsi="Abadi"/>
          <w:b w:val="0"/>
          <w:bCs w:val="0"/>
          <w:spacing w:val="-11"/>
          <w:sz w:val="21"/>
          <w:szCs w:val="21"/>
        </w:rPr>
        <w:t xml:space="preserve"> </w:t>
      </w:r>
      <w:r w:rsidRPr="00750FD2">
        <w:rPr>
          <w:rFonts w:ascii="Abadi" w:hAnsi="Abadi"/>
          <w:b w:val="0"/>
          <w:bCs w:val="0"/>
          <w:spacing w:val="-2"/>
          <w:sz w:val="21"/>
          <w:szCs w:val="21"/>
        </w:rPr>
        <w:t>y</w:t>
      </w:r>
      <w:r w:rsidRPr="00750FD2">
        <w:rPr>
          <w:rFonts w:ascii="Abadi" w:hAnsi="Abadi"/>
          <w:b w:val="0"/>
          <w:bCs w:val="0"/>
          <w:spacing w:val="-12"/>
          <w:sz w:val="21"/>
          <w:szCs w:val="21"/>
        </w:rPr>
        <w:t xml:space="preserve"> </w:t>
      </w:r>
      <w:r w:rsidRPr="00750FD2">
        <w:rPr>
          <w:rFonts w:ascii="Abadi" w:hAnsi="Abadi"/>
          <w:b w:val="0"/>
          <w:bCs w:val="0"/>
          <w:spacing w:val="-2"/>
          <w:sz w:val="21"/>
          <w:szCs w:val="21"/>
        </w:rPr>
        <w:t>Beatriz Pérez</w:t>
      </w:r>
      <w:r w:rsidRPr="00750FD2">
        <w:rPr>
          <w:rFonts w:ascii="Abadi" w:hAnsi="Abadi"/>
          <w:b w:val="0"/>
          <w:bCs w:val="0"/>
          <w:spacing w:val="-13"/>
          <w:sz w:val="21"/>
          <w:szCs w:val="21"/>
        </w:rPr>
        <w:t xml:space="preserve"> </w:t>
      </w:r>
      <w:r w:rsidRPr="00750FD2">
        <w:rPr>
          <w:rFonts w:ascii="Abadi" w:hAnsi="Abadi"/>
          <w:b w:val="0"/>
          <w:bCs w:val="0"/>
          <w:spacing w:val="-2"/>
          <w:sz w:val="21"/>
          <w:szCs w:val="21"/>
        </w:rPr>
        <w:t>en</w:t>
      </w:r>
      <w:r w:rsidRPr="00750FD2">
        <w:rPr>
          <w:rFonts w:ascii="Abadi" w:hAnsi="Abadi"/>
          <w:b w:val="0"/>
          <w:bCs w:val="0"/>
          <w:spacing w:val="-12"/>
          <w:sz w:val="21"/>
          <w:szCs w:val="21"/>
        </w:rPr>
        <w:t xml:space="preserve"> </w:t>
      </w:r>
      <w:r w:rsidRPr="00750FD2">
        <w:rPr>
          <w:rFonts w:ascii="Abadi" w:hAnsi="Abadi"/>
          <w:b w:val="0"/>
          <w:bCs w:val="0"/>
          <w:spacing w:val="-2"/>
          <w:sz w:val="21"/>
          <w:szCs w:val="21"/>
        </w:rPr>
        <w:t>el</w:t>
      </w:r>
      <w:r w:rsidRPr="00750FD2">
        <w:rPr>
          <w:rFonts w:ascii="Abadi" w:hAnsi="Abadi"/>
          <w:b w:val="0"/>
          <w:bCs w:val="0"/>
          <w:spacing w:val="-12"/>
          <w:sz w:val="21"/>
          <w:szCs w:val="21"/>
        </w:rPr>
        <w:t xml:space="preserve"> </w:t>
      </w:r>
      <w:r w:rsidRPr="00750FD2">
        <w:rPr>
          <w:rFonts w:ascii="Abadi" w:hAnsi="Abadi"/>
          <w:b w:val="0"/>
          <w:bCs w:val="0"/>
          <w:spacing w:val="-2"/>
          <w:sz w:val="21"/>
          <w:szCs w:val="21"/>
        </w:rPr>
        <w:t>área</w:t>
      </w:r>
      <w:r w:rsidRPr="00750FD2">
        <w:rPr>
          <w:rFonts w:ascii="Abadi" w:hAnsi="Abadi"/>
          <w:b w:val="0"/>
          <w:bCs w:val="0"/>
          <w:spacing w:val="-13"/>
          <w:sz w:val="21"/>
          <w:szCs w:val="21"/>
        </w:rPr>
        <w:t xml:space="preserve"> </w:t>
      </w:r>
      <w:r w:rsidRPr="00750FD2">
        <w:rPr>
          <w:rFonts w:ascii="Abadi" w:hAnsi="Abadi"/>
          <w:b w:val="0"/>
          <w:bCs w:val="0"/>
          <w:spacing w:val="-2"/>
          <w:sz w:val="21"/>
          <w:szCs w:val="21"/>
        </w:rPr>
        <w:t>de</w:t>
      </w:r>
      <w:r w:rsidRPr="00750FD2">
        <w:rPr>
          <w:rFonts w:ascii="Abadi" w:hAnsi="Abadi"/>
          <w:b w:val="0"/>
          <w:bCs w:val="0"/>
          <w:spacing w:val="-12"/>
          <w:sz w:val="21"/>
          <w:szCs w:val="21"/>
        </w:rPr>
        <w:t xml:space="preserve"> </w:t>
      </w:r>
      <w:r w:rsidRPr="00750FD2">
        <w:rPr>
          <w:rFonts w:ascii="Abadi" w:hAnsi="Abadi"/>
          <w:b w:val="0"/>
          <w:bCs w:val="0"/>
          <w:spacing w:val="-2"/>
          <w:sz w:val="21"/>
          <w:szCs w:val="21"/>
        </w:rPr>
        <w:t>enfermería</w:t>
      </w:r>
      <w:r w:rsidRPr="00750FD2">
        <w:rPr>
          <w:rFonts w:ascii="Abadi" w:hAnsi="Abadi"/>
          <w:b w:val="0"/>
          <w:bCs w:val="0"/>
          <w:spacing w:val="-12"/>
          <w:sz w:val="21"/>
          <w:szCs w:val="21"/>
        </w:rPr>
        <w:t xml:space="preserve"> </w:t>
      </w:r>
      <w:r w:rsidRPr="00750FD2">
        <w:rPr>
          <w:rFonts w:ascii="Abadi" w:hAnsi="Abadi"/>
          <w:b w:val="0"/>
          <w:bCs w:val="0"/>
          <w:spacing w:val="-2"/>
          <w:sz w:val="21"/>
          <w:szCs w:val="21"/>
        </w:rPr>
        <w:t>del</w:t>
      </w:r>
      <w:r w:rsidRPr="00750FD2">
        <w:rPr>
          <w:rFonts w:ascii="Abadi" w:hAnsi="Abadi"/>
          <w:b w:val="0"/>
          <w:bCs w:val="0"/>
          <w:spacing w:val="-13"/>
          <w:sz w:val="21"/>
          <w:szCs w:val="21"/>
        </w:rPr>
        <w:t xml:space="preserve"> </w:t>
      </w:r>
      <w:r w:rsidRPr="00750FD2">
        <w:rPr>
          <w:rFonts w:ascii="Abadi" w:hAnsi="Abadi"/>
          <w:b w:val="0"/>
          <w:bCs w:val="0"/>
          <w:spacing w:val="-2"/>
          <w:sz w:val="21"/>
          <w:szCs w:val="21"/>
        </w:rPr>
        <w:t>Pediátrico</w:t>
      </w:r>
      <w:r w:rsidRPr="00750FD2">
        <w:rPr>
          <w:rFonts w:ascii="Abadi" w:hAnsi="Abadi"/>
          <w:b w:val="0"/>
          <w:bCs w:val="0"/>
          <w:spacing w:val="-12"/>
          <w:sz w:val="21"/>
          <w:szCs w:val="21"/>
        </w:rPr>
        <w:t xml:space="preserve"> </w:t>
      </w:r>
      <w:r w:rsidRPr="00750FD2">
        <w:rPr>
          <w:rFonts w:ascii="Abadi" w:hAnsi="Abadi"/>
          <w:b w:val="0"/>
          <w:bCs w:val="0"/>
          <w:spacing w:val="-2"/>
          <w:sz w:val="21"/>
          <w:szCs w:val="21"/>
        </w:rPr>
        <w:t>de</w:t>
      </w:r>
      <w:r w:rsidRPr="00750FD2">
        <w:rPr>
          <w:rFonts w:ascii="Abadi" w:hAnsi="Abadi"/>
          <w:b w:val="0"/>
          <w:bCs w:val="0"/>
          <w:spacing w:val="-12"/>
          <w:sz w:val="21"/>
          <w:szCs w:val="21"/>
        </w:rPr>
        <w:t xml:space="preserve"> </w:t>
      </w:r>
      <w:r w:rsidRPr="00750FD2">
        <w:rPr>
          <w:rFonts w:ascii="Abadi" w:hAnsi="Abadi"/>
          <w:b w:val="0"/>
          <w:bCs w:val="0"/>
          <w:spacing w:val="-2"/>
          <w:sz w:val="21"/>
          <w:szCs w:val="21"/>
        </w:rPr>
        <w:t>León</w:t>
      </w:r>
      <w:r w:rsidRPr="00750FD2">
        <w:rPr>
          <w:rFonts w:ascii="Abadi" w:hAnsi="Abadi"/>
          <w:b w:val="0"/>
          <w:bCs w:val="0"/>
          <w:spacing w:val="-13"/>
          <w:sz w:val="21"/>
          <w:szCs w:val="21"/>
        </w:rPr>
        <w:t xml:space="preserve"> </w:t>
      </w:r>
      <w:r w:rsidRPr="00750FD2">
        <w:rPr>
          <w:rFonts w:ascii="Abadi" w:hAnsi="Abadi"/>
          <w:b w:val="0"/>
          <w:bCs w:val="0"/>
          <w:spacing w:val="-2"/>
          <w:sz w:val="21"/>
          <w:szCs w:val="21"/>
        </w:rPr>
        <w:t>de</w:t>
      </w:r>
      <w:r w:rsidRPr="00750FD2">
        <w:rPr>
          <w:rFonts w:ascii="Abadi" w:hAnsi="Abadi"/>
          <w:b w:val="0"/>
          <w:bCs w:val="0"/>
          <w:spacing w:val="-12"/>
          <w:sz w:val="21"/>
          <w:szCs w:val="21"/>
        </w:rPr>
        <w:t xml:space="preserve"> </w:t>
      </w:r>
      <w:r w:rsidRPr="00750FD2">
        <w:rPr>
          <w:rFonts w:ascii="Abadi" w:hAnsi="Abadi"/>
          <w:b w:val="0"/>
          <w:bCs w:val="0"/>
          <w:spacing w:val="-2"/>
          <w:sz w:val="21"/>
          <w:szCs w:val="21"/>
        </w:rPr>
        <w:t>donde</w:t>
      </w:r>
      <w:r w:rsidRPr="00750FD2">
        <w:rPr>
          <w:rFonts w:ascii="Abadi" w:hAnsi="Abadi"/>
          <w:b w:val="0"/>
          <w:bCs w:val="0"/>
          <w:spacing w:val="-12"/>
          <w:sz w:val="21"/>
          <w:szCs w:val="21"/>
        </w:rPr>
        <w:t xml:space="preserve"> </w:t>
      </w:r>
      <w:r w:rsidRPr="00750FD2">
        <w:rPr>
          <w:rFonts w:ascii="Abadi" w:hAnsi="Abadi"/>
          <w:b w:val="0"/>
          <w:bCs w:val="0"/>
          <w:spacing w:val="-2"/>
          <w:sz w:val="21"/>
          <w:szCs w:val="21"/>
        </w:rPr>
        <w:t>fueron</w:t>
      </w:r>
      <w:r w:rsidRPr="00750FD2">
        <w:rPr>
          <w:rFonts w:ascii="Abadi" w:hAnsi="Abadi"/>
          <w:b w:val="0"/>
          <w:bCs w:val="0"/>
          <w:spacing w:val="-13"/>
          <w:sz w:val="21"/>
          <w:szCs w:val="21"/>
        </w:rPr>
        <w:t xml:space="preserve"> </w:t>
      </w:r>
      <w:r w:rsidRPr="00750FD2">
        <w:rPr>
          <w:rFonts w:ascii="Abadi" w:hAnsi="Abadi"/>
          <w:b w:val="0"/>
          <w:bCs w:val="0"/>
          <w:spacing w:val="-2"/>
          <w:sz w:val="21"/>
          <w:szCs w:val="21"/>
        </w:rPr>
        <w:t xml:space="preserve">despedidos injustamente. </w:t>
      </w:r>
    </w:p>
    <w:p w14:paraId="06AC50E4" w14:textId="14CFA1FA" w:rsidR="004E0542" w:rsidRPr="00750FD2" w:rsidRDefault="004E0542" w:rsidP="00750FD2">
      <w:pPr>
        <w:pStyle w:val="Textoindependiente"/>
        <w:spacing w:before="229"/>
        <w:ind w:left="142" w:right="142"/>
        <w:rPr>
          <w:rFonts w:ascii="Abadi" w:hAnsi="Abadi"/>
          <w:sz w:val="21"/>
          <w:szCs w:val="21"/>
        </w:rPr>
      </w:pPr>
      <w:r w:rsidRPr="00750FD2">
        <w:rPr>
          <w:rFonts w:ascii="Abadi" w:hAnsi="Abadi"/>
          <w:spacing w:val="-2"/>
          <w:sz w:val="21"/>
          <w:szCs w:val="21"/>
        </w:rPr>
        <w:t>Grupo</w:t>
      </w:r>
      <w:r w:rsidRPr="00750FD2">
        <w:rPr>
          <w:rFonts w:ascii="Abadi" w:hAnsi="Abadi"/>
          <w:spacing w:val="-13"/>
          <w:sz w:val="21"/>
          <w:szCs w:val="21"/>
        </w:rPr>
        <w:t xml:space="preserve"> </w:t>
      </w:r>
      <w:r w:rsidRPr="00750FD2">
        <w:rPr>
          <w:rFonts w:ascii="Abadi" w:hAnsi="Abadi"/>
          <w:spacing w:val="-2"/>
          <w:sz w:val="21"/>
          <w:szCs w:val="21"/>
        </w:rPr>
        <w:t>Parlamentario</w:t>
      </w:r>
      <w:r w:rsidRPr="00750FD2">
        <w:rPr>
          <w:rFonts w:ascii="Abadi" w:hAnsi="Abadi"/>
          <w:spacing w:val="-12"/>
          <w:sz w:val="21"/>
          <w:szCs w:val="21"/>
        </w:rPr>
        <w:t xml:space="preserve"> </w:t>
      </w:r>
      <w:r w:rsidRPr="00750FD2">
        <w:rPr>
          <w:rFonts w:ascii="Abadi" w:hAnsi="Abadi"/>
          <w:spacing w:val="-2"/>
          <w:sz w:val="21"/>
          <w:szCs w:val="21"/>
        </w:rPr>
        <w:t>de</w:t>
      </w:r>
      <w:r w:rsidRPr="00750FD2">
        <w:rPr>
          <w:rFonts w:ascii="Abadi" w:hAnsi="Abadi"/>
          <w:spacing w:val="-12"/>
          <w:sz w:val="21"/>
          <w:szCs w:val="21"/>
        </w:rPr>
        <w:t xml:space="preserve"> </w:t>
      </w:r>
      <w:r w:rsidRPr="00750FD2">
        <w:rPr>
          <w:rFonts w:ascii="Abadi" w:hAnsi="Abadi"/>
          <w:spacing w:val="-2"/>
          <w:sz w:val="21"/>
          <w:szCs w:val="21"/>
        </w:rPr>
        <w:t xml:space="preserve">MORENA </w:t>
      </w:r>
      <w:r w:rsidRPr="00750FD2">
        <w:rPr>
          <w:rFonts w:ascii="Abadi" w:hAnsi="Abadi"/>
          <w:sz w:val="21"/>
          <w:szCs w:val="21"/>
        </w:rPr>
        <w:t>Guanajuato,</w:t>
      </w:r>
      <w:r w:rsidRPr="00750FD2">
        <w:rPr>
          <w:rFonts w:ascii="Abadi" w:hAnsi="Abadi"/>
          <w:spacing w:val="-15"/>
          <w:sz w:val="21"/>
          <w:szCs w:val="21"/>
        </w:rPr>
        <w:t xml:space="preserve"> </w:t>
      </w:r>
      <w:proofErr w:type="spellStart"/>
      <w:r w:rsidRPr="00750FD2">
        <w:rPr>
          <w:rFonts w:ascii="Abadi" w:hAnsi="Abadi"/>
          <w:sz w:val="21"/>
          <w:szCs w:val="21"/>
        </w:rPr>
        <w:t>Gto</w:t>
      </w:r>
      <w:proofErr w:type="spellEnd"/>
      <w:r w:rsidRPr="00750FD2">
        <w:rPr>
          <w:rFonts w:ascii="Abadi" w:hAnsi="Abadi"/>
          <w:sz w:val="21"/>
          <w:szCs w:val="21"/>
        </w:rPr>
        <w:t>.</w:t>
      </w:r>
      <w:r w:rsidRPr="00750FD2">
        <w:rPr>
          <w:rFonts w:ascii="Abadi" w:hAnsi="Abadi"/>
          <w:spacing w:val="-14"/>
          <w:sz w:val="21"/>
          <w:szCs w:val="21"/>
        </w:rPr>
        <w:t xml:space="preserve"> </w:t>
      </w:r>
      <w:r w:rsidRPr="00750FD2">
        <w:rPr>
          <w:rFonts w:ascii="Abadi" w:hAnsi="Abadi"/>
          <w:sz w:val="21"/>
          <w:szCs w:val="21"/>
        </w:rPr>
        <w:t>a</w:t>
      </w:r>
      <w:r w:rsidRPr="00750FD2">
        <w:rPr>
          <w:rFonts w:ascii="Abadi" w:hAnsi="Abadi"/>
          <w:spacing w:val="-14"/>
          <w:sz w:val="21"/>
          <w:szCs w:val="21"/>
        </w:rPr>
        <w:t xml:space="preserve"> j</w:t>
      </w:r>
      <w:r w:rsidRPr="00750FD2">
        <w:rPr>
          <w:rFonts w:ascii="Abadi" w:hAnsi="Abadi"/>
          <w:sz w:val="21"/>
          <w:szCs w:val="21"/>
        </w:rPr>
        <w:t>unio</w:t>
      </w:r>
      <w:r w:rsidRPr="00750FD2">
        <w:rPr>
          <w:rFonts w:ascii="Abadi" w:hAnsi="Abadi"/>
          <w:spacing w:val="-14"/>
          <w:sz w:val="21"/>
          <w:szCs w:val="21"/>
        </w:rPr>
        <w:t xml:space="preserve"> </w:t>
      </w:r>
      <w:r w:rsidRPr="00750FD2">
        <w:rPr>
          <w:rFonts w:ascii="Abadi" w:hAnsi="Abadi"/>
          <w:sz w:val="21"/>
          <w:szCs w:val="21"/>
        </w:rPr>
        <w:t>de</w:t>
      </w:r>
      <w:r w:rsidRPr="00750FD2">
        <w:rPr>
          <w:rFonts w:ascii="Abadi" w:hAnsi="Abadi"/>
          <w:spacing w:val="-15"/>
          <w:sz w:val="21"/>
          <w:szCs w:val="21"/>
        </w:rPr>
        <w:t xml:space="preserve"> </w:t>
      </w:r>
      <w:r w:rsidRPr="00750FD2">
        <w:rPr>
          <w:rFonts w:ascii="Abadi" w:hAnsi="Abadi"/>
          <w:sz w:val="21"/>
          <w:szCs w:val="21"/>
        </w:rPr>
        <w:t>2023.</w:t>
      </w:r>
    </w:p>
    <w:p w14:paraId="16EF93B7" w14:textId="77777777" w:rsidR="004E0542" w:rsidRPr="0077142E" w:rsidRDefault="004E0542" w:rsidP="00C36526">
      <w:pPr>
        <w:autoSpaceDE w:val="0"/>
        <w:autoSpaceDN w:val="0"/>
        <w:adjustRightInd w:val="0"/>
        <w:jc w:val="both"/>
        <w:rPr>
          <w:rFonts w:ascii="Abadi" w:hAnsi="Abadi"/>
          <w:spacing w:val="-5"/>
          <w:sz w:val="21"/>
          <w:szCs w:val="21"/>
        </w:rPr>
      </w:pPr>
    </w:p>
    <w:p w14:paraId="63536512" w14:textId="77777777" w:rsidR="009976B8" w:rsidRDefault="009976B8" w:rsidP="002B0739">
      <w:pPr>
        <w:autoSpaceDE w:val="0"/>
        <w:autoSpaceDN w:val="0"/>
        <w:adjustRightInd w:val="0"/>
        <w:jc w:val="both"/>
        <w:rPr>
          <w:rFonts w:ascii="Abadi" w:hAnsi="Abadi" w:cs="ArialMT"/>
          <w:b/>
          <w:bCs/>
          <w:sz w:val="21"/>
          <w:szCs w:val="21"/>
        </w:rPr>
      </w:pPr>
    </w:p>
    <w:p w14:paraId="5A7E98A6" w14:textId="77777777" w:rsidR="00213878" w:rsidRDefault="00213878" w:rsidP="00213878">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A continuación, se pide al diputado Ernesto Millán Soberanes dar lectura a la propuesta de punto de acuerdo que corresponde el punto décimo del orden del día. </w:t>
      </w:r>
      <w:r w:rsidRPr="0030088F">
        <w:rPr>
          <w:rFonts w:ascii="Abadi" w:hAnsi="Abadi"/>
          <w:b/>
          <w:bCs/>
          <w:sz w:val="21"/>
          <w:szCs w:val="21"/>
        </w:rPr>
        <w:t>(299/LXV-PPA)</w:t>
      </w:r>
    </w:p>
    <w:p w14:paraId="4266B684" w14:textId="77777777" w:rsidR="00F85D84" w:rsidRPr="0030088F" w:rsidRDefault="00F85D84" w:rsidP="00213878">
      <w:pPr>
        <w:ind w:firstLine="708"/>
        <w:jc w:val="both"/>
        <w:rPr>
          <w:rFonts w:ascii="Abadi" w:hAnsi="Abadi"/>
          <w:b/>
          <w:bCs/>
          <w:sz w:val="21"/>
          <w:szCs w:val="21"/>
        </w:rPr>
      </w:pPr>
    </w:p>
    <w:p w14:paraId="45B2F1C5" w14:textId="77777777" w:rsidR="00213878" w:rsidRPr="0030088F" w:rsidRDefault="00213878" w:rsidP="00213878">
      <w:pPr>
        <w:ind w:firstLine="708"/>
        <w:jc w:val="both"/>
        <w:rPr>
          <w:rFonts w:ascii="Abadi" w:hAnsi="Abadi"/>
          <w:sz w:val="21"/>
          <w:szCs w:val="21"/>
        </w:rPr>
      </w:pPr>
      <w:r w:rsidRPr="0030088F">
        <w:rPr>
          <w:rFonts w:ascii="Abadi" w:hAnsi="Abadi"/>
          <w:sz w:val="21"/>
          <w:szCs w:val="21"/>
        </w:rPr>
        <w:t>- Adelante.</w:t>
      </w:r>
    </w:p>
    <w:p w14:paraId="7CF1E7C2" w14:textId="77777777" w:rsidR="00213878" w:rsidRPr="0030088F" w:rsidRDefault="00213878" w:rsidP="00213878">
      <w:pPr>
        <w:jc w:val="both"/>
        <w:rPr>
          <w:rFonts w:ascii="Abadi" w:hAnsi="Abadi"/>
          <w:sz w:val="21"/>
          <w:szCs w:val="21"/>
        </w:rPr>
      </w:pPr>
    </w:p>
    <w:p w14:paraId="6754EB78" w14:textId="77777777" w:rsidR="00213878" w:rsidRPr="0030088F" w:rsidRDefault="00213878" w:rsidP="00213878">
      <w:pPr>
        <w:jc w:val="both"/>
        <w:rPr>
          <w:rFonts w:ascii="Abadi" w:hAnsi="Abadi"/>
          <w:b/>
          <w:bCs/>
          <w:sz w:val="21"/>
          <w:szCs w:val="21"/>
        </w:rPr>
      </w:pPr>
      <w:r w:rsidRPr="0030088F">
        <w:rPr>
          <w:rFonts w:ascii="Abadi" w:hAnsi="Abadi"/>
          <w:b/>
          <w:bCs/>
          <w:sz w:val="21"/>
          <w:szCs w:val="21"/>
        </w:rPr>
        <w:t>(Sube a tribuna el diputado Ernesto Millán Soberanes dar lectura a la propuesta de punto de acuerdo en referencia)</w:t>
      </w:r>
    </w:p>
    <w:p w14:paraId="3FDA4D4F" w14:textId="77777777" w:rsidR="00213878" w:rsidRPr="0030088F" w:rsidRDefault="00213878" w:rsidP="00213878">
      <w:pPr>
        <w:jc w:val="both"/>
        <w:rPr>
          <w:rFonts w:ascii="Abadi" w:hAnsi="Abadi"/>
          <w:b/>
          <w:bCs/>
          <w:sz w:val="21"/>
          <w:szCs w:val="21"/>
        </w:rPr>
      </w:pPr>
    </w:p>
    <w:p w14:paraId="34D4AD10" w14:textId="4902C5DC" w:rsidR="00213878" w:rsidRPr="0030088F" w:rsidRDefault="00213878" w:rsidP="00213878">
      <w:pPr>
        <w:jc w:val="both"/>
        <w:rPr>
          <w:rFonts w:ascii="Abadi" w:hAnsi="Abadi"/>
          <w:b/>
          <w:bCs/>
          <w:sz w:val="21"/>
          <w:szCs w:val="21"/>
        </w:rPr>
      </w:pPr>
    </w:p>
    <w:p w14:paraId="5DFFFEBA" w14:textId="77777777" w:rsidR="00213878" w:rsidRDefault="00213878" w:rsidP="00213878">
      <w:pPr>
        <w:jc w:val="both"/>
        <w:rPr>
          <w:rFonts w:ascii="Abadi" w:hAnsi="Abadi"/>
          <w:b/>
          <w:bCs/>
          <w:sz w:val="21"/>
          <w:szCs w:val="21"/>
        </w:rPr>
      </w:pPr>
    </w:p>
    <w:p w14:paraId="79952D17" w14:textId="77777777" w:rsidR="00213878" w:rsidRDefault="00213878" w:rsidP="00213878">
      <w:pPr>
        <w:jc w:val="both"/>
        <w:rPr>
          <w:rFonts w:ascii="Abadi" w:hAnsi="Abadi"/>
          <w:b/>
          <w:bCs/>
          <w:sz w:val="21"/>
          <w:szCs w:val="21"/>
        </w:rPr>
      </w:pPr>
    </w:p>
    <w:p w14:paraId="0BDCC4A6" w14:textId="77777777" w:rsidR="00213878" w:rsidRDefault="00213878" w:rsidP="00213878">
      <w:pPr>
        <w:jc w:val="both"/>
        <w:rPr>
          <w:rFonts w:ascii="Abadi" w:hAnsi="Abadi"/>
          <w:b/>
          <w:bCs/>
          <w:sz w:val="21"/>
          <w:szCs w:val="21"/>
        </w:rPr>
      </w:pPr>
    </w:p>
    <w:p w14:paraId="71E90FC9" w14:textId="6233D798" w:rsidR="00213878" w:rsidRDefault="00213878" w:rsidP="00213878">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2" behindDoc="1" locked="0" layoutInCell="1" allowOverlap="1" wp14:anchorId="5C1446F1" wp14:editId="5BC7A74C">
            <wp:simplePos x="0" y="0"/>
            <wp:positionH relativeFrom="column">
              <wp:posOffset>494030</wp:posOffset>
            </wp:positionH>
            <wp:positionV relativeFrom="paragraph">
              <wp:posOffset>387350</wp:posOffset>
            </wp:positionV>
            <wp:extent cx="1642110" cy="870585"/>
            <wp:effectExtent l="247650" t="228600" r="243840" b="824865"/>
            <wp:wrapTight wrapText="bothSides">
              <wp:wrapPolygon edited="0">
                <wp:start x="-3258" y="-5672"/>
                <wp:lineTo x="-3258" y="41593"/>
                <wp:lineTo x="24557" y="41593"/>
                <wp:lineTo x="24557" y="-5672"/>
                <wp:lineTo x="-3258" y="-5672"/>
              </wp:wrapPolygon>
            </wp:wrapTight>
            <wp:docPr id="1942210309" name="Imagen 1942210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210309" name=""/>
                    <pic:cNvPicPr/>
                  </pic:nvPicPr>
                  <pic:blipFill rotWithShape="1">
                    <a:blip r:embed="rId30" cstate="print">
                      <a:extLst>
                        <a:ext uri="{28A0092B-C50C-407E-A947-70E740481C1C}">
                          <a14:useLocalDpi xmlns:a14="http://schemas.microsoft.com/office/drawing/2010/main" val="0"/>
                        </a:ext>
                      </a:extLst>
                    </a:blip>
                    <a:srcRect b="5728"/>
                    <a:stretch/>
                  </pic:blipFill>
                  <pic:spPr bwMode="auto">
                    <a:xfrm>
                      <a:off x="0" y="0"/>
                      <a:ext cx="1642110" cy="8705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C079523" w14:textId="77777777" w:rsidR="00213878" w:rsidRDefault="00213878" w:rsidP="00213878">
      <w:pPr>
        <w:jc w:val="both"/>
        <w:rPr>
          <w:rFonts w:ascii="Abadi" w:hAnsi="Abadi"/>
          <w:b/>
          <w:bCs/>
          <w:sz w:val="21"/>
          <w:szCs w:val="21"/>
        </w:rPr>
      </w:pPr>
    </w:p>
    <w:p w14:paraId="40DBFD16" w14:textId="298EB148" w:rsidR="00213878" w:rsidRDefault="00213878" w:rsidP="00213878">
      <w:pPr>
        <w:jc w:val="center"/>
        <w:rPr>
          <w:rFonts w:ascii="Abadi" w:hAnsi="Abadi"/>
          <w:b/>
          <w:bCs/>
          <w:sz w:val="21"/>
          <w:szCs w:val="21"/>
        </w:rPr>
      </w:pPr>
      <w:r w:rsidRPr="0030088F">
        <w:rPr>
          <w:rFonts w:ascii="Abadi" w:hAnsi="Abadi"/>
          <w:b/>
          <w:bCs/>
          <w:sz w:val="21"/>
          <w:szCs w:val="21"/>
        </w:rPr>
        <w:t>Diputado Ernesto Millán Soberanes</w:t>
      </w:r>
    </w:p>
    <w:p w14:paraId="3A38422B" w14:textId="03C1FB8C" w:rsidR="00213878" w:rsidRDefault="00213878" w:rsidP="00213878">
      <w:pPr>
        <w:jc w:val="center"/>
        <w:rPr>
          <w:rFonts w:ascii="Abadi" w:hAnsi="Abadi"/>
          <w:b/>
          <w:bCs/>
          <w:sz w:val="21"/>
          <w:szCs w:val="21"/>
        </w:rPr>
      </w:pPr>
    </w:p>
    <w:p w14:paraId="528914D3" w14:textId="77777777" w:rsidR="00213878" w:rsidRPr="0030088F" w:rsidRDefault="00213878" w:rsidP="00213878">
      <w:pPr>
        <w:jc w:val="both"/>
        <w:rPr>
          <w:rFonts w:ascii="Abadi" w:hAnsi="Abadi"/>
          <w:sz w:val="21"/>
          <w:szCs w:val="21"/>
        </w:rPr>
      </w:pPr>
      <w:r w:rsidRPr="0030088F">
        <w:rPr>
          <w:rFonts w:ascii="Abadi" w:hAnsi="Abadi"/>
          <w:sz w:val="21"/>
          <w:szCs w:val="21"/>
        </w:rPr>
        <w:t xml:space="preserve">- Muy buenos días, a todos y a todos que gusto saludarlas y saludarlos como cada jueves saludamos a los medios que nos acompañan de igual manera todos los jueves a los visitantes que están llegando en estos momentos bienvenidos, a este Congreso, su congreso, muy buenos días a todas y a todos. </w:t>
      </w:r>
    </w:p>
    <w:p w14:paraId="6FF0C8B4" w14:textId="77777777" w:rsidR="00213878" w:rsidRDefault="00213878" w:rsidP="00213878">
      <w:pPr>
        <w:jc w:val="both"/>
        <w:rPr>
          <w:rFonts w:ascii="Abadi" w:hAnsi="Abadi"/>
          <w:sz w:val="21"/>
          <w:szCs w:val="21"/>
        </w:rPr>
      </w:pPr>
      <w:r w:rsidRPr="0030088F">
        <w:rPr>
          <w:rFonts w:ascii="Abadi" w:hAnsi="Abadi"/>
          <w:sz w:val="21"/>
          <w:szCs w:val="21"/>
        </w:rPr>
        <w:t xml:space="preserve">- Con el permiso de la Mesa el 11/02/2020 el gobernador del estado anunció y asumió el compromiso de comenzar con un proceso de basificación de personal del Instituto de Salud Pública del Estado de Guanajuato, meses después durante la pandemia de COVID 19 con base en un discurso que resaltaba el heroísmo del personal de salud de Guanajuato la promesa del gobernador escaló hasta la generación de incentivos económicos de bonos para los más de 15 mil  trabajadores de salud, en este contexto en el que el gobierno emanado del partido de Acción Nacional, buscó sacar rédito político de las precarizadas relaciones laborales del personal de salud la promesa de basificación se transformó en un programa mediante el cual se brindaron algunas de las prestaciones laborales de forma errática y sin criterios públicos claros sobre las personas beneficiarias, en cambio el panorama de la versificación real ha sido abandonado durante todo el periodo del gobierno de Diego Silva siempre las plazas presupuestales del instituto de salud pública del estado de Guanajuato han incrementado apenas en el 1.13% anual, entre 2019 y 2023 se ha incrementado apenas 639 plazas en total dentro del ISAPEG, existiendo aún un déficit de 7905 trabajadores que hasta ahora siguen trabajando por contrato en todo el estado, al </w:t>
      </w:r>
      <w:r w:rsidRPr="0030088F">
        <w:rPr>
          <w:rFonts w:ascii="Abadi" w:hAnsi="Abadi"/>
          <w:sz w:val="21"/>
          <w:szCs w:val="21"/>
        </w:rPr>
        <w:t xml:space="preserve">mismo tiempo se han dado abusos facilitados por la falta de certeza jurídica que tienen las personas trabajadoras de la salud en el ISAPEG, que están contratadas por honorarios. ejemplo de ello, fueron Erik Moreno, y Beatriz Pérez, despedido sin finiquito, ni liquidación, del hospital pediátrico de León el pasado 21 de abril por convocar a un paro de protesta para exigir que se cumpliera la promesa de basificación del personal sanitario, un dejo de represión, por parte de la Secretaría de Salud. </w:t>
      </w:r>
    </w:p>
    <w:p w14:paraId="70351B06" w14:textId="77777777" w:rsidR="00454E4A" w:rsidRPr="0030088F" w:rsidRDefault="00454E4A" w:rsidP="00213878">
      <w:pPr>
        <w:jc w:val="both"/>
        <w:rPr>
          <w:rFonts w:ascii="Abadi" w:hAnsi="Abadi"/>
          <w:sz w:val="21"/>
          <w:szCs w:val="21"/>
        </w:rPr>
      </w:pPr>
    </w:p>
    <w:p w14:paraId="03508A5F" w14:textId="77777777" w:rsidR="00213878" w:rsidRDefault="00213878" w:rsidP="00213878">
      <w:pPr>
        <w:jc w:val="both"/>
        <w:rPr>
          <w:rFonts w:ascii="Abadi" w:hAnsi="Abadi"/>
          <w:sz w:val="21"/>
          <w:szCs w:val="21"/>
        </w:rPr>
      </w:pPr>
      <w:r w:rsidRPr="0030088F">
        <w:rPr>
          <w:rFonts w:ascii="Abadi" w:hAnsi="Abadi"/>
          <w:sz w:val="21"/>
          <w:szCs w:val="21"/>
        </w:rPr>
        <w:t xml:space="preserve">- Dicho despido, significó la negativa de a  reconocer un derecho laboral básico y un acto de censura que pretende disuadir las legítimas exigencias colectivas de las y los trabajadores del ISAPEG, más allá de que estén brindando algunas de las prestaciones laborales para unos cuantos tratan trabajadores del ISAPEG, lo cierto es que esto no da certeza jurídica a quienes están contratados por honorarios mediante contratos en los que el ISAPEG, se reserva el derecho a dar por terminada la relación laboral, sino puede pagar el sueldo o  si se cumplen las metas de cada proyecto antes del periodo establecido, o sea si están contratados por 10 meses y el proyecto termina laos 6 meses, a </w:t>
      </w:r>
      <w:proofErr w:type="spellStart"/>
      <w:r w:rsidRPr="0030088F">
        <w:rPr>
          <w:rFonts w:ascii="Abadi" w:hAnsi="Abadi"/>
          <w:sz w:val="21"/>
          <w:szCs w:val="21"/>
        </w:rPr>
        <w:t>pa</w:t>
      </w:r>
      <w:proofErr w:type="spellEnd"/>
      <w:r w:rsidRPr="0030088F">
        <w:rPr>
          <w:rFonts w:ascii="Abadi" w:hAnsi="Abadi"/>
          <w:sz w:val="21"/>
          <w:szCs w:val="21"/>
        </w:rPr>
        <w:t xml:space="preserve">´ fuera simplemente por estar en ese régimen. </w:t>
      </w:r>
    </w:p>
    <w:p w14:paraId="237E85EB" w14:textId="77777777" w:rsidR="00454E4A" w:rsidRPr="0030088F" w:rsidRDefault="00454E4A" w:rsidP="00213878">
      <w:pPr>
        <w:jc w:val="both"/>
        <w:rPr>
          <w:rFonts w:ascii="Abadi" w:hAnsi="Abadi"/>
          <w:sz w:val="21"/>
          <w:szCs w:val="21"/>
        </w:rPr>
      </w:pPr>
    </w:p>
    <w:p w14:paraId="43D8FE0E" w14:textId="62E91299" w:rsidR="00213878" w:rsidRDefault="00213878" w:rsidP="00213878">
      <w:pPr>
        <w:jc w:val="both"/>
        <w:rPr>
          <w:rFonts w:ascii="Abadi" w:hAnsi="Abadi"/>
          <w:sz w:val="21"/>
          <w:szCs w:val="21"/>
        </w:rPr>
      </w:pPr>
      <w:r w:rsidRPr="0030088F">
        <w:rPr>
          <w:rFonts w:ascii="Abadi" w:hAnsi="Abadi"/>
          <w:sz w:val="21"/>
          <w:szCs w:val="21"/>
        </w:rPr>
        <w:t xml:space="preserve">- Ante los reclamos y manifestaciones del personal de salud por la represión de la promesa de basificación incumplida, el gobierno,  del estado emitió un boletín de prensa en el que señala que el proceso para la entrega de plazas inició el primero de junio, para todos los perfiles médicos, apenas hace unos días, sin embargo no publicaron los criterios sobre los cuales funcionaría ese supuesto proceso de basificación y al día de hoy, aún quedan muchas dudas, de cómo se están realizando los procesos de selección de personal que obtendrá sus derechos laborales, ya que se desconocen los procesos y los créditos para otorgar esos derechos laborales, en este anuncio las autoridades estatales prometieron 2,855 nuevas plazas sin embargo esta promesa ha resultado insuficiente para el personal de salud del ISAPEG quienes el primero de mayo en el marco del día del trabajo llevaron a cabo una histórica protesta en León que reunió a más de 200 trabajadores de la salud de varios municipios de nuestro estado, que respaldaron dos exigencias la basificación de </w:t>
      </w:r>
      <w:r w:rsidRPr="0030088F">
        <w:rPr>
          <w:rFonts w:ascii="Abadi" w:hAnsi="Abadi"/>
          <w:sz w:val="21"/>
          <w:szCs w:val="21"/>
        </w:rPr>
        <w:lastRenderedPageBreak/>
        <w:t>todo el personal de ISAPEG y segundo la reinstalación de Erik Moreno y Beatriz Pérez, en el área de enfermería del pediátrico de León de donde fueron despedidos injustamente.</w:t>
      </w:r>
    </w:p>
    <w:p w14:paraId="27A5C8AC" w14:textId="77777777" w:rsidR="00454E4A" w:rsidRPr="0030088F" w:rsidRDefault="00454E4A" w:rsidP="00213878">
      <w:pPr>
        <w:jc w:val="both"/>
        <w:rPr>
          <w:rFonts w:ascii="Abadi" w:hAnsi="Abadi"/>
          <w:sz w:val="21"/>
          <w:szCs w:val="21"/>
        </w:rPr>
      </w:pPr>
    </w:p>
    <w:p w14:paraId="76974AFB" w14:textId="405A9995" w:rsidR="00213878" w:rsidRDefault="00213878" w:rsidP="00213878">
      <w:pPr>
        <w:jc w:val="both"/>
        <w:rPr>
          <w:rFonts w:ascii="Abadi" w:hAnsi="Abadi"/>
          <w:sz w:val="21"/>
          <w:szCs w:val="21"/>
        </w:rPr>
      </w:pPr>
      <w:r w:rsidRPr="0030088F">
        <w:rPr>
          <w:rFonts w:ascii="Abadi" w:hAnsi="Abadi"/>
          <w:sz w:val="21"/>
          <w:szCs w:val="21"/>
        </w:rPr>
        <w:t xml:space="preserve">- Ante esta exigencia el Secretario de Salud de Guanajuato Daniel Díaz Martínez, únicamente ha señalado que el primero de junio se darán 1875 bases para trabajadores del ISAPEG, que tienen más 8 años laborando sin plaza presupuestal, ¿qué es lo que permite la Ley de Disciplina Financiera? según señalo,  pero lo cual es totalmente ¡falso! siempre porque de este proceso de los primeras basificaciones está personal que tiene menos de 8 años y que ya están siendo basificados,  es una parte de lo que estamos pidiendo que la Secretaría de Salud del Estado nos pueda aclarar ¿cuáles son las bases y los criterios? </w:t>
      </w:r>
    </w:p>
    <w:p w14:paraId="4308DB62" w14:textId="77777777" w:rsidR="00454E4A" w:rsidRPr="0030088F" w:rsidRDefault="00454E4A" w:rsidP="00213878">
      <w:pPr>
        <w:jc w:val="both"/>
        <w:rPr>
          <w:rFonts w:ascii="Abadi" w:hAnsi="Abadi"/>
          <w:sz w:val="21"/>
          <w:szCs w:val="21"/>
        </w:rPr>
      </w:pPr>
    </w:p>
    <w:p w14:paraId="2524859B" w14:textId="77777777" w:rsidR="00213878" w:rsidRDefault="00213878" w:rsidP="00213878">
      <w:pPr>
        <w:jc w:val="both"/>
        <w:rPr>
          <w:rFonts w:ascii="Abadi" w:hAnsi="Abadi"/>
          <w:sz w:val="21"/>
          <w:szCs w:val="21"/>
        </w:rPr>
      </w:pPr>
      <w:r w:rsidRPr="0030088F">
        <w:rPr>
          <w:rFonts w:ascii="Abadi" w:hAnsi="Abadi"/>
          <w:sz w:val="21"/>
          <w:szCs w:val="21"/>
        </w:rPr>
        <w:t>- La institución de los, de la intuición ¡perdón! de las trabajadoras y trabajadores del ISAPEG quienes no creen en las promesas de masificación por parte del gobierno del estado no está equivocadas, todo lo contrario, parece que una vez más las autoridades estatales buscan, una vez más, buscan maquillar el proceso de basificación que seguirán posponiendo.</w:t>
      </w:r>
    </w:p>
    <w:p w14:paraId="1B8A738D" w14:textId="77777777" w:rsidR="00454E4A" w:rsidRPr="0030088F" w:rsidRDefault="00454E4A" w:rsidP="00213878">
      <w:pPr>
        <w:jc w:val="both"/>
        <w:rPr>
          <w:rFonts w:ascii="Abadi" w:hAnsi="Abadi"/>
          <w:sz w:val="21"/>
          <w:szCs w:val="21"/>
        </w:rPr>
      </w:pPr>
    </w:p>
    <w:p w14:paraId="0526600E" w14:textId="1F5F05E1" w:rsidR="00213878" w:rsidRDefault="00213878" w:rsidP="00213878">
      <w:pPr>
        <w:jc w:val="both"/>
        <w:rPr>
          <w:rFonts w:ascii="Abadi" w:hAnsi="Abadi"/>
          <w:sz w:val="21"/>
          <w:szCs w:val="21"/>
        </w:rPr>
      </w:pPr>
      <w:r w:rsidRPr="0030088F">
        <w:rPr>
          <w:rFonts w:ascii="Abadi" w:hAnsi="Abadi"/>
          <w:sz w:val="21"/>
          <w:szCs w:val="21"/>
        </w:rPr>
        <w:t xml:space="preserve">- Según el Presupuesto de Egresos de este año hay 14 mil 630 plazas en ISAPEG, de las cuales 13 mil 830 ya están asignadas al iniciar el año y 800 más estaban, estaban pendientes de asignación, el 8 de mayo el ISAPEG, manifestó que cuenta con un total de 12 mil 824 plazas con servidores públicos laborando en una plaza presupuestal, esto es mil seis plazas, de las 13 mil 830 que nos dicen que tienen, de las cuales aparecieron asignadas en el Presupuesto de Egresos de este año publicado al cierre de 2022 el 8 de mayo no se contaba con una estimación presupuestal para dar cobertura total al personal de salud en estrategia de basificación del personal, ni tampoco se cuenta con un presupuesto específico destinado para este rubro, entonces hacemos una serie de preguntas de cuestionamientos a la secretaría, al gobierno del estado ¿por qué hay más de 1000 plazas no asignadas? ¿qué mecanismo se utilizará para generar las plazas presupuestales necesarias para la promesa de basificación? ¿qué criterios serán utilizados para tal asignación? ¿de dónde se fondeará la </w:t>
      </w:r>
      <w:r w:rsidRPr="0030088F">
        <w:rPr>
          <w:rFonts w:ascii="Abadi" w:hAnsi="Abadi"/>
          <w:sz w:val="21"/>
          <w:szCs w:val="21"/>
        </w:rPr>
        <w:t>suficiencia presupuestal para llevar a cabo esa basificación? aunque me viene a la memoria compañeras compañeros los que de pronto el presupuesto sale de la nada, luego hay créditos que de pronto salen por ahí, de quién sabe dónde, de la manga, mientras dicha preguntas no tengan respuesta a la promesa de basificación seguirá siendo única y exclusivamente, eso, ¡una promesa!</w:t>
      </w:r>
    </w:p>
    <w:p w14:paraId="72A14EDE" w14:textId="77777777" w:rsidR="00454E4A" w:rsidRPr="0030088F" w:rsidRDefault="00454E4A" w:rsidP="00213878">
      <w:pPr>
        <w:jc w:val="both"/>
        <w:rPr>
          <w:rFonts w:ascii="Abadi" w:hAnsi="Abadi"/>
          <w:sz w:val="21"/>
          <w:szCs w:val="21"/>
        </w:rPr>
      </w:pPr>
    </w:p>
    <w:p w14:paraId="2C3FBD46" w14:textId="1F11044D" w:rsidR="00213878" w:rsidRDefault="00213878" w:rsidP="00213878">
      <w:pPr>
        <w:jc w:val="both"/>
        <w:rPr>
          <w:rFonts w:ascii="Abadi" w:hAnsi="Abadi"/>
          <w:sz w:val="21"/>
          <w:szCs w:val="21"/>
        </w:rPr>
      </w:pPr>
      <w:r w:rsidRPr="0030088F">
        <w:rPr>
          <w:rFonts w:ascii="Abadi" w:hAnsi="Abadi"/>
          <w:sz w:val="21"/>
          <w:szCs w:val="21"/>
        </w:rPr>
        <w:t>- Por otro lado dadas las restricciones del marco legal lo cierto es que todo incremento que se dé este año en las plazas presupuestales en algún área significará una reducción equivalente en otra, porque tienen que sacar presupuesto de un espacio, para ponerle en otro, toda vez que en esta presupuestado, no podría haber nuevas plazas sino una nueva distribución de las ya existentes y en todo caso el ISAPEG,  permanece con el número de plazas que se le asignaron en el Presupuesto de Egresos correspondiente.</w:t>
      </w:r>
    </w:p>
    <w:p w14:paraId="1DC16373" w14:textId="77777777" w:rsidR="00454E4A" w:rsidRPr="0030088F" w:rsidRDefault="00454E4A" w:rsidP="00213878">
      <w:pPr>
        <w:jc w:val="both"/>
        <w:rPr>
          <w:rFonts w:ascii="Abadi" w:hAnsi="Abadi"/>
          <w:sz w:val="21"/>
          <w:szCs w:val="21"/>
        </w:rPr>
      </w:pPr>
    </w:p>
    <w:p w14:paraId="244CE526" w14:textId="4F055C51" w:rsidR="00213878" w:rsidRDefault="00213878" w:rsidP="00213878">
      <w:pPr>
        <w:jc w:val="both"/>
        <w:rPr>
          <w:rFonts w:ascii="Abadi" w:hAnsi="Abadi"/>
          <w:sz w:val="21"/>
          <w:szCs w:val="21"/>
        </w:rPr>
      </w:pPr>
      <w:r w:rsidRPr="0030088F">
        <w:rPr>
          <w:rFonts w:ascii="Abadi" w:hAnsi="Abadi"/>
          <w:sz w:val="21"/>
          <w:szCs w:val="21"/>
        </w:rPr>
        <w:t xml:space="preserve">- Por todo lo anterior las y los iniciantes el Grupo Parlamentario de Morena, consideramos necesario que la Secretaría de Salud del Estado de Guanajuato, publicite los movimientos de plazas presupuestarias dadas durante este ejercicio 2022, así como el plan de basificación anunciado especificando recursos, mecanismos, criterios, procesos, y fechas, mediante las cuales se dará a cabo el proceso de basificación del personal del ISAPEG, así mismo solicitamos, exigimos, la instalación de Erik Moreno y Beatriz Pérez en el área de enfermería del pediátrico de León de donde fueron despedidos como un acto de censura y de represión. </w:t>
      </w:r>
    </w:p>
    <w:p w14:paraId="2C5B8B8D" w14:textId="77777777" w:rsidR="00454E4A" w:rsidRPr="0030088F" w:rsidRDefault="00454E4A" w:rsidP="00213878">
      <w:pPr>
        <w:jc w:val="both"/>
        <w:rPr>
          <w:rFonts w:ascii="Abadi" w:hAnsi="Abadi"/>
          <w:sz w:val="21"/>
          <w:szCs w:val="21"/>
        </w:rPr>
      </w:pPr>
    </w:p>
    <w:p w14:paraId="34FF978E" w14:textId="1BB35CD4" w:rsidR="00213878" w:rsidRDefault="00213878" w:rsidP="00213878">
      <w:pPr>
        <w:jc w:val="both"/>
        <w:rPr>
          <w:rFonts w:ascii="Abadi" w:hAnsi="Abadi"/>
          <w:sz w:val="21"/>
          <w:szCs w:val="21"/>
        </w:rPr>
      </w:pPr>
      <w:r w:rsidRPr="0030088F">
        <w:rPr>
          <w:rFonts w:ascii="Abadi" w:hAnsi="Abadi"/>
          <w:sz w:val="21"/>
          <w:szCs w:val="21"/>
        </w:rPr>
        <w:t xml:space="preserve">- Si Gobierno del Estado dice que “el sector salud es grandeza” ¿que nosotros seguimos insistiendo en que no lo es? que se lo demuestre a los trabajadores del ISAPEG, respetando sus derechos laborales y que ya se los haga efectivo ya los </w:t>
      </w:r>
      <w:proofErr w:type="spellStart"/>
      <w:r w:rsidRPr="0030088F">
        <w:rPr>
          <w:rFonts w:ascii="Abadi" w:hAnsi="Abadi"/>
          <w:sz w:val="21"/>
          <w:szCs w:val="21"/>
        </w:rPr>
        <w:t>basifique</w:t>
      </w:r>
      <w:proofErr w:type="spellEnd"/>
      <w:r w:rsidRPr="0030088F">
        <w:rPr>
          <w:rFonts w:ascii="Abadi" w:hAnsi="Abadi"/>
          <w:sz w:val="21"/>
          <w:szCs w:val="21"/>
        </w:rPr>
        <w:t xml:space="preserve">. </w:t>
      </w:r>
    </w:p>
    <w:p w14:paraId="667CBD6A" w14:textId="77777777" w:rsidR="00454E4A" w:rsidRPr="0030088F" w:rsidRDefault="00454E4A" w:rsidP="00213878">
      <w:pPr>
        <w:jc w:val="both"/>
        <w:rPr>
          <w:rFonts w:ascii="Abadi" w:hAnsi="Abadi"/>
          <w:sz w:val="21"/>
          <w:szCs w:val="21"/>
        </w:rPr>
      </w:pPr>
    </w:p>
    <w:p w14:paraId="4C65F7A1" w14:textId="77777777" w:rsidR="00213878" w:rsidRDefault="00213878" w:rsidP="00213878">
      <w:pPr>
        <w:jc w:val="both"/>
        <w:rPr>
          <w:rFonts w:ascii="Abadi" w:hAnsi="Abadi"/>
          <w:sz w:val="21"/>
          <w:szCs w:val="21"/>
        </w:rPr>
      </w:pPr>
      <w:r w:rsidRPr="0030088F">
        <w:rPr>
          <w:rFonts w:ascii="Abadi" w:hAnsi="Abadi"/>
          <w:sz w:val="21"/>
          <w:szCs w:val="21"/>
        </w:rPr>
        <w:t>- Es cuánto.</w:t>
      </w:r>
    </w:p>
    <w:p w14:paraId="36BEF63F" w14:textId="77777777" w:rsidR="00454E4A" w:rsidRPr="0030088F" w:rsidRDefault="00454E4A" w:rsidP="00213878">
      <w:pPr>
        <w:jc w:val="both"/>
        <w:rPr>
          <w:rFonts w:ascii="Abadi" w:hAnsi="Abadi"/>
          <w:sz w:val="21"/>
          <w:szCs w:val="21"/>
        </w:rPr>
      </w:pPr>
    </w:p>
    <w:p w14:paraId="7ED9BB8B" w14:textId="77777777" w:rsidR="00213878" w:rsidRDefault="00213878" w:rsidP="00213878">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Muchas gracias diputado.</w:t>
      </w:r>
    </w:p>
    <w:p w14:paraId="4B5BF3F6" w14:textId="77777777" w:rsidR="00454E4A" w:rsidRPr="0030088F" w:rsidRDefault="00454E4A" w:rsidP="00213878">
      <w:pPr>
        <w:ind w:firstLine="708"/>
        <w:jc w:val="both"/>
        <w:rPr>
          <w:rFonts w:ascii="Abadi" w:hAnsi="Abadi"/>
          <w:sz w:val="21"/>
          <w:szCs w:val="21"/>
        </w:rPr>
      </w:pPr>
    </w:p>
    <w:p w14:paraId="01FCBE75" w14:textId="77777777" w:rsidR="00213878" w:rsidRDefault="00213878" w:rsidP="00213878">
      <w:pPr>
        <w:ind w:left="709" w:right="1325"/>
        <w:jc w:val="both"/>
        <w:rPr>
          <w:rFonts w:ascii="Abadi" w:hAnsi="Abadi"/>
          <w:b/>
          <w:bCs/>
          <w:i/>
          <w:iCs/>
          <w:sz w:val="21"/>
          <w:szCs w:val="21"/>
          <w:u w:val="single"/>
        </w:rPr>
      </w:pPr>
      <w:r w:rsidRPr="0030088F">
        <w:rPr>
          <w:rFonts w:ascii="Abadi" w:hAnsi="Abadi"/>
          <w:b/>
          <w:bCs/>
          <w:i/>
          <w:iCs/>
          <w:sz w:val="21"/>
          <w:szCs w:val="21"/>
          <w:u w:val="single"/>
        </w:rPr>
        <w:t xml:space="preserve">Se turna a la Comisión de Salud Pública con fundamento en el artículo 118 fracción IV </w:t>
      </w:r>
      <w:r w:rsidRPr="0030088F">
        <w:rPr>
          <w:rFonts w:ascii="Abadi" w:hAnsi="Abadi"/>
          <w:b/>
          <w:bCs/>
          <w:i/>
          <w:iCs/>
          <w:sz w:val="21"/>
          <w:szCs w:val="21"/>
          <w:u w:val="single"/>
        </w:rPr>
        <w:lastRenderedPageBreak/>
        <w:t>en nuestra Ley Orgánica para su Estudio y Dictamen.</w:t>
      </w:r>
    </w:p>
    <w:p w14:paraId="7FE23110" w14:textId="77777777" w:rsidR="00454E4A" w:rsidRPr="0030088F" w:rsidRDefault="00454E4A" w:rsidP="00213878">
      <w:pPr>
        <w:ind w:left="709" w:right="1325"/>
        <w:jc w:val="both"/>
        <w:rPr>
          <w:rFonts w:ascii="Abadi" w:hAnsi="Abadi"/>
          <w:b/>
          <w:bCs/>
          <w:i/>
          <w:iCs/>
          <w:sz w:val="21"/>
          <w:szCs w:val="21"/>
          <w:u w:val="single"/>
        </w:rPr>
      </w:pPr>
    </w:p>
    <w:p w14:paraId="582344D3" w14:textId="77777777" w:rsidR="00213878" w:rsidRPr="0030088F" w:rsidRDefault="00213878" w:rsidP="00213878">
      <w:pPr>
        <w:ind w:firstLine="708"/>
        <w:jc w:val="both"/>
        <w:rPr>
          <w:rFonts w:ascii="Abadi" w:hAnsi="Abadi"/>
          <w:sz w:val="21"/>
          <w:szCs w:val="21"/>
        </w:rPr>
      </w:pPr>
      <w:r w:rsidRPr="0030088F">
        <w:rPr>
          <w:rFonts w:ascii="Abadi" w:hAnsi="Abadi"/>
          <w:sz w:val="21"/>
          <w:szCs w:val="21"/>
        </w:rPr>
        <w:t xml:space="preserve">- Esta presidencia da la más cordial bienvenida a los miembros del Centro de </w:t>
      </w:r>
      <w:r w:rsidRPr="0030088F">
        <w:rPr>
          <w:rFonts w:ascii="Abadi" w:hAnsi="Abadi"/>
          <w:sz w:val="21"/>
          <w:szCs w:val="21"/>
        </w:rPr>
        <w:br/>
        <w:t xml:space="preserve">Educación Especial para Sordos y Lenguaje de Señas Mexicanas A.C. al instructor de Lenguas de Señas Mexicanas de IECA, de Irapuato, a la Asociación de Sordos del Municipio de Guanajuato A.C. </w:t>
      </w:r>
      <w:r>
        <w:rPr>
          <w:rFonts w:ascii="Abadi" w:hAnsi="Abadi"/>
          <w:sz w:val="21"/>
          <w:szCs w:val="21"/>
        </w:rPr>
        <w:t xml:space="preserve">a </w:t>
      </w:r>
      <w:r w:rsidRPr="0030088F">
        <w:rPr>
          <w:rFonts w:ascii="Abadi" w:hAnsi="Abadi"/>
          <w:sz w:val="21"/>
          <w:szCs w:val="21"/>
        </w:rPr>
        <w:t xml:space="preserve">la Academia de Lengua de Señas Mexicana y ECA, Asociación de Sordos del municipio de Guanajuato, Asociación de Sordos Impulsores de Salamanca, todos ellos invitados por la diputada Katya Cristina Soto Escamilla, sean bienvenidos. </w:t>
      </w:r>
    </w:p>
    <w:p w14:paraId="29B98B36" w14:textId="77777777" w:rsidR="009976B8" w:rsidRPr="00006796" w:rsidRDefault="009976B8" w:rsidP="002B0739">
      <w:pPr>
        <w:autoSpaceDE w:val="0"/>
        <w:autoSpaceDN w:val="0"/>
        <w:adjustRightInd w:val="0"/>
        <w:jc w:val="both"/>
        <w:rPr>
          <w:rFonts w:ascii="Abadi" w:hAnsi="Abadi" w:cs="ArialMT"/>
          <w:b/>
          <w:bCs/>
          <w:sz w:val="21"/>
          <w:szCs w:val="21"/>
        </w:rPr>
      </w:pPr>
    </w:p>
    <w:p w14:paraId="69CF0DA8" w14:textId="4E62199C" w:rsidR="00374533" w:rsidRPr="00654CA4" w:rsidRDefault="00374533" w:rsidP="00427BD6">
      <w:pPr>
        <w:pStyle w:val="Prrafodelista"/>
        <w:numPr>
          <w:ilvl w:val="0"/>
          <w:numId w:val="8"/>
        </w:numPr>
        <w:autoSpaceDE w:val="0"/>
        <w:autoSpaceDN w:val="0"/>
        <w:adjustRightInd w:val="0"/>
        <w:ind w:left="426"/>
        <w:contextualSpacing/>
        <w:jc w:val="both"/>
        <w:rPr>
          <w:rFonts w:ascii="Abadi" w:hAnsi="Abadi" w:cs="ArialMT"/>
          <w:b/>
          <w:bCs/>
          <w:color w:val="000000" w:themeColor="text1"/>
          <w:sz w:val="21"/>
          <w:szCs w:val="21"/>
        </w:rPr>
      </w:pPr>
      <w:r w:rsidRPr="00654CA4">
        <w:rPr>
          <w:rFonts w:ascii="Abadi" w:hAnsi="Abadi" w:cs="ArialMT"/>
          <w:b/>
          <w:bCs/>
          <w:color w:val="000000" w:themeColor="text1"/>
          <w:sz w:val="21"/>
          <w:szCs w:val="21"/>
        </w:rPr>
        <w:t>PRESENTACIÓN DE LA PROPUESTA DE PUNTO DE ACUERDO FORMULADA POR DIPUTADAS Y DIPUTADOS INTEGRANTES DEL GRUPO PARLAMENTARIO DEL PARTIDO ACCIÓN NACIONAL, PARA EXHORTAR A PROTECCIÓN CIVIL, BOMBEROS Y CUERPOS DE SEGURIDAD CIUDADANA DE LOS 46 MUNICIPIOS.</w:t>
      </w:r>
      <w:r w:rsidR="00AB7664">
        <w:rPr>
          <w:rStyle w:val="Refdenotaalpie"/>
          <w:rFonts w:ascii="Abadi" w:hAnsi="Abadi" w:cs="ArialMT"/>
          <w:b/>
          <w:bCs/>
          <w:color w:val="000000" w:themeColor="text1"/>
          <w:sz w:val="21"/>
          <w:szCs w:val="21"/>
        </w:rPr>
        <w:footnoteReference w:id="71"/>
      </w:r>
    </w:p>
    <w:p w14:paraId="2DA07C64" w14:textId="77777777" w:rsidR="00EA30B6" w:rsidRPr="00654CA4" w:rsidRDefault="00EA30B6" w:rsidP="00EA30B6">
      <w:pPr>
        <w:autoSpaceDE w:val="0"/>
        <w:autoSpaceDN w:val="0"/>
        <w:adjustRightInd w:val="0"/>
        <w:contextualSpacing/>
        <w:jc w:val="both"/>
        <w:rPr>
          <w:rFonts w:ascii="Abadi" w:hAnsi="Abadi" w:cs="ArialMT"/>
          <w:b/>
          <w:bCs/>
          <w:color w:val="000000" w:themeColor="text1"/>
          <w:sz w:val="21"/>
          <w:szCs w:val="21"/>
        </w:rPr>
      </w:pPr>
    </w:p>
    <w:p w14:paraId="5AAC4011" w14:textId="00611E02" w:rsidR="00EA30B6" w:rsidRPr="00E06E12" w:rsidRDefault="00213D05" w:rsidP="00EA30B6">
      <w:pPr>
        <w:autoSpaceDE w:val="0"/>
        <w:autoSpaceDN w:val="0"/>
        <w:adjustRightInd w:val="0"/>
        <w:contextualSpacing/>
        <w:jc w:val="both"/>
        <w:rPr>
          <w:rFonts w:ascii="Abadi" w:hAnsi="Abadi"/>
          <w:b/>
          <w:bCs/>
          <w:sz w:val="21"/>
          <w:szCs w:val="21"/>
        </w:rPr>
      </w:pPr>
      <w:r w:rsidRPr="00E06E12">
        <w:rPr>
          <w:rFonts w:ascii="Abadi" w:hAnsi="Abadi"/>
          <w:b/>
          <w:bCs/>
          <w:sz w:val="21"/>
          <w:szCs w:val="21"/>
        </w:rPr>
        <w:t>DIPUTADA</w:t>
      </w:r>
      <w:r w:rsidRPr="00E06E12">
        <w:rPr>
          <w:rFonts w:ascii="Abadi" w:hAnsi="Abadi"/>
          <w:b/>
          <w:bCs/>
          <w:spacing w:val="-17"/>
          <w:sz w:val="21"/>
          <w:szCs w:val="21"/>
        </w:rPr>
        <w:t xml:space="preserve"> </w:t>
      </w:r>
      <w:r w:rsidRPr="00E06E12">
        <w:rPr>
          <w:rFonts w:ascii="Abadi" w:hAnsi="Abadi"/>
          <w:b/>
          <w:bCs/>
          <w:sz w:val="21"/>
          <w:szCs w:val="21"/>
        </w:rPr>
        <w:t>LAURA</w:t>
      </w:r>
      <w:r w:rsidRPr="00E06E12">
        <w:rPr>
          <w:rFonts w:ascii="Abadi" w:hAnsi="Abadi"/>
          <w:b/>
          <w:bCs/>
          <w:spacing w:val="-17"/>
          <w:sz w:val="21"/>
          <w:szCs w:val="21"/>
        </w:rPr>
        <w:t xml:space="preserve"> </w:t>
      </w:r>
      <w:r w:rsidRPr="00E06E12">
        <w:rPr>
          <w:rFonts w:ascii="Abadi" w:hAnsi="Abadi"/>
          <w:b/>
          <w:bCs/>
          <w:sz w:val="21"/>
          <w:szCs w:val="21"/>
        </w:rPr>
        <w:t>CRISTINA</w:t>
      </w:r>
      <w:r w:rsidRPr="00E06E12">
        <w:rPr>
          <w:rFonts w:ascii="Abadi" w:hAnsi="Abadi"/>
          <w:b/>
          <w:bCs/>
          <w:spacing w:val="-16"/>
          <w:sz w:val="21"/>
          <w:szCs w:val="21"/>
        </w:rPr>
        <w:t xml:space="preserve"> </w:t>
      </w:r>
      <w:r w:rsidRPr="00E06E12">
        <w:rPr>
          <w:rFonts w:ascii="Abadi" w:hAnsi="Abadi"/>
          <w:b/>
          <w:bCs/>
          <w:sz w:val="21"/>
          <w:szCs w:val="21"/>
        </w:rPr>
        <w:t>MÁRQUEZ</w:t>
      </w:r>
      <w:r w:rsidRPr="00E06E12">
        <w:rPr>
          <w:rFonts w:ascii="Abadi" w:hAnsi="Abadi"/>
          <w:b/>
          <w:bCs/>
          <w:spacing w:val="-17"/>
          <w:sz w:val="21"/>
          <w:szCs w:val="21"/>
        </w:rPr>
        <w:t xml:space="preserve"> </w:t>
      </w:r>
      <w:r w:rsidRPr="00E06E12">
        <w:rPr>
          <w:rFonts w:ascii="Abadi" w:hAnsi="Abadi"/>
          <w:b/>
          <w:bCs/>
          <w:sz w:val="21"/>
          <w:szCs w:val="21"/>
        </w:rPr>
        <w:t>ALCALÁ PRESIDENTA</w:t>
      </w:r>
    </w:p>
    <w:p w14:paraId="3C735DAA" w14:textId="572C436C" w:rsidR="0068008E" w:rsidRPr="00E06E12" w:rsidRDefault="00E06E12" w:rsidP="00EA30B6">
      <w:pPr>
        <w:autoSpaceDE w:val="0"/>
        <w:autoSpaceDN w:val="0"/>
        <w:adjustRightInd w:val="0"/>
        <w:contextualSpacing/>
        <w:jc w:val="both"/>
        <w:rPr>
          <w:rFonts w:ascii="Abadi" w:hAnsi="Abadi"/>
          <w:b/>
          <w:bCs/>
          <w:sz w:val="21"/>
          <w:szCs w:val="21"/>
        </w:rPr>
      </w:pPr>
      <w:r w:rsidRPr="00E06E12">
        <w:rPr>
          <w:rFonts w:ascii="Abadi" w:hAnsi="Abadi"/>
          <w:b/>
          <w:bCs/>
          <w:sz w:val="21"/>
          <w:szCs w:val="21"/>
        </w:rPr>
        <w:t>DEL CONGRESO DEL ESTADO LIBRE Y SOBERANO DE GUANAJUATO SEXAGÉSIMA QUINTA LEGISLATURA</w:t>
      </w:r>
    </w:p>
    <w:p w14:paraId="257E9F8A" w14:textId="13DA5901" w:rsidR="00E06E12" w:rsidRDefault="00E06E12" w:rsidP="00EA30B6">
      <w:pPr>
        <w:autoSpaceDE w:val="0"/>
        <w:autoSpaceDN w:val="0"/>
        <w:adjustRightInd w:val="0"/>
        <w:contextualSpacing/>
        <w:jc w:val="both"/>
        <w:rPr>
          <w:rFonts w:ascii="Abadi" w:hAnsi="Abadi"/>
          <w:b/>
          <w:bCs/>
          <w:sz w:val="21"/>
          <w:szCs w:val="21"/>
        </w:rPr>
      </w:pPr>
      <w:r w:rsidRPr="00E06E12">
        <w:rPr>
          <w:rFonts w:ascii="Abadi" w:hAnsi="Abadi"/>
          <w:b/>
          <w:bCs/>
          <w:sz w:val="21"/>
          <w:szCs w:val="21"/>
        </w:rPr>
        <w:t>PRESENTE</w:t>
      </w:r>
    </w:p>
    <w:p w14:paraId="08177102" w14:textId="77777777" w:rsidR="00E06E12" w:rsidRDefault="00E06E12" w:rsidP="00EA30B6">
      <w:pPr>
        <w:autoSpaceDE w:val="0"/>
        <w:autoSpaceDN w:val="0"/>
        <w:adjustRightInd w:val="0"/>
        <w:contextualSpacing/>
        <w:jc w:val="both"/>
        <w:rPr>
          <w:rFonts w:ascii="Abadi" w:hAnsi="Abadi"/>
          <w:b/>
          <w:bCs/>
          <w:sz w:val="21"/>
          <w:szCs w:val="21"/>
        </w:rPr>
      </w:pPr>
    </w:p>
    <w:p w14:paraId="22DDDCB6" w14:textId="77777777" w:rsidR="007F4F3A" w:rsidRDefault="007F4F3A" w:rsidP="007F4F3A">
      <w:pPr>
        <w:jc w:val="both"/>
        <w:rPr>
          <w:rFonts w:ascii="Abadi" w:hAnsi="Abadi"/>
          <w:sz w:val="21"/>
          <w:szCs w:val="21"/>
        </w:rPr>
      </w:pPr>
      <w:r w:rsidRPr="00206A67">
        <w:rPr>
          <w:rFonts w:ascii="Abadi" w:hAnsi="Abadi"/>
          <w:sz w:val="21"/>
          <w:szCs w:val="21"/>
        </w:rPr>
        <w:t>Quienes</w:t>
      </w:r>
      <w:r w:rsidRPr="00206A67">
        <w:rPr>
          <w:rFonts w:ascii="Abadi" w:hAnsi="Abadi"/>
          <w:spacing w:val="-8"/>
          <w:sz w:val="21"/>
          <w:szCs w:val="21"/>
        </w:rPr>
        <w:t xml:space="preserve"> </w:t>
      </w:r>
      <w:r w:rsidRPr="00206A67">
        <w:rPr>
          <w:rFonts w:ascii="Abadi" w:hAnsi="Abadi"/>
          <w:sz w:val="21"/>
          <w:szCs w:val="21"/>
        </w:rPr>
        <w:t>integramos</w:t>
      </w:r>
      <w:r w:rsidRPr="00206A67">
        <w:rPr>
          <w:rFonts w:ascii="Abadi" w:hAnsi="Abadi"/>
          <w:spacing w:val="-8"/>
          <w:sz w:val="21"/>
          <w:szCs w:val="21"/>
        </w:rPr>
        <w:t xml:space="preserve"> </w:t>
      </w:r>
      <w:r w:rsidRPr="00206A67">
        <w:rPr>
          <w:rFonts w:ascii="Abadi" w:hAnsi="Abadi"/>
          <w:sz w:val="21"/>
          <w:szCs w:val="21"/>
        </w:rPr>
        <w:t>el</w:t>
      </w:r>
      <w:r w:rsidRPr="00206A67">
        <w:rPr>
          <w:rFonts w:ascii="Abadi" w:hAnsi="Abadi"/>
          <w:spacing w:val="-6"/>
          <w:sz w:val="21"/>
          <w:szCs w:val="21"/>
        </w:rPr>
        <w:t xml:space="preserve"> </w:t>
      </w:r>
      <w:r w:rsidRPr="00206A67">
        <w:rPr>
          <w:rFonts w:ascii="Abadi" w:hAnsi="Abadi"/>
          <w:b/>
          <w:sz w:val="21"/>
          <w:szCs w:val="21"/>
        </w:rPr>
        <w:t>Grupo</w:t>
      </w:r>
      <w:r w:rsidRPr="00206A67">
        <w:rPr>
          <w:rFonts w:ascii="Abadi" w:hAnsi="Abadi"/>
          <w:b/>
          <w:spacing w:val="-8"/>
          <w:sz w:val="21"/>
          <w:szCs w:val="21"/>
        </w:rPr>
        <w:t xml:space="preserve"> </w:t>
      </w:r>
      <w:r w:rsidRPr="00206A67">
        <w:rPr>
          <w:rFonts w:ascii="Abadi" w:hAnsi="Abadi"/>
          <w:b/>
          <w:sz w:val="21"/>
          <w:szCs w:val="21"/>
        </w:rPr>
        <w:t>Parlamentario</w:t>
      </w:r>
      <w:r w:rsidRPr="00206A67">
        <w:rPr>
          <w:rFonts w:ascii="Abadi" w:hAnsi="Abadi"/>
          <w:b/>
          <w:spacing w:val="-10"/>
          <w:sz w:val="21"/>
          <w:szCs w:val="21"/>
        </w:rPr>
        <w:t xml:space="preserve"> </w:t>
      </w:r>
      <w:r w:rsidRPr="00206A67">
        <w:rPr>
          <w:rFonts w:ascii="Abadi" w:hAnsi="Abadi"/>
          <w:b/>
          <w:sz w:val="21"/>
          <w:szCs w:val="21"/>
        </w:rPr>
        <w:t>del</w:t>
      </w:r>
      <w:r w:rsidRPr="00206A67">
        <w:rPr>
          <w:rFonts w:ascii="Abadi" w:hAnsi="Abadi"/>
          <w:b/>
          <w:spacing w:val="-7"/>
          <w:sz w:val="21"/>
          <w:szCs w:val="21"/>
        </w:rPr>
        <w:t xml:space="preserve"> </w:t>
      </w:r>
      <w:r w:rsidRPr="00206A67">
        <w:rPr>
          <w:rFonts w:ascii="Abadi" w:hAnsi="Abadi"/>
          <w:b/>
          <w:sz w:val="21"/>
          <w:szCs w:val="21"/>
        </w:rPr>
        <w:t>Partido</w:t>
      </w:r>
      <w:r w:rsidRPr="00206A67">
        <w:rPr>
          <w:rFonts w:ascii="Abadi" w:hAnsi="Abadi"/>
          <w:b/>
          <w:spacing w:val="-15"/>
          <w:sz w:val="21"/>
          <w:szCs w:val="21"/>
        </w:rPr>
        <w:t xml:space="preserve"> </w:t>
      </w:r>
      <w:r w:rsidRPr="00206A67">
        <w:rPr>
          <w:rFonts w:ascii="Abadi" w:hAnsi="Abadi"/>
          <w:b/>
          <w:sz w:val="21"/>
          <w:szCs w:val="21"/>
        </w:rPr>
        <w:t>Acción</w:t>
      </w:r>
      <w:r w:rsidRPr="00206A67">
        <w:rPr>
          <w:rFonts w:ascii="Abadi" w:hAnsi="Abadi"/>
          <w:b/>
          <w:spacing w:val="-8"/>
          <w:sz w:val="21"/>
          <w:szCs w:val="21"/>
        </w:rPr>
        <w:t xml:space="preserve"> </w:t>
      </w:r>
      <w:r w:rsidRPr="00206A67">
        <w:rPr>
          <w:rFonts w:ascii="Abadi" w:hAnsi="Abadi"/>
          <w:b/>
          <w:sz w:val="21"/>
          <w:szCs w:val="21"/>
        </w:rPr>
        <w:t>Nacional</w:t>
      </w:r>
      <w:r w:rsidRPr="00206A67">
        <w:rPr>
          <w:rFonts w:ascii="Abadi" w:hAnsi="Abadi"/>
          <w:b/>
          <w:spacing w:val="-6"/>
          <w:sz w:val="21"/>
          <w:szCs w:val="21"/>
        </w:rPr>
        <w:t xml:space="preserve"> </w:t>
      </w:r>
      <w:r w:rsidRPr="00206A67">
        <w:rPr>
          <w:rFonts w:ascii="Abadi" w:hAnsi="Abadi"/>
          <w:sz w:val="21"/>
          <w:szCs w:val="21"/>
        </w:rPr>
        <w:t>ante</w:t>
      </w:r>
      <w:r w:rsidRPr="00206A67">
        <w:rPr>
          <w:rFonts w:ascii="Abadi" w:hAnsi="Abadi"/>
          <w:spacing w:val="-7"/>
          <w:sz w:val="21"/>
          <w:szCs w:val="21"/>
        </w:rPr>
        <w:t xml:space="preserve"> </w:t>
      </w:r>
      <w:r w:rsidRPr="00206A67">
        <w:rPr>
          <w:rFonts w:ascii="Abadi" w:hAnsi="Abadi"/>
          <w:sz w:val="21"/>
          <w:szCs w:val="21"/>
        </w:rPr>
        <w:t>la Sexagésima Quinta Legislatura del Congreso del Estado Libre y Soberano de Guanajuato, con fundamento en lo dispuesto por los artículos 57 primer párrafo de la Constitución Política para el Estado de Guanajuato y 204 fracción III de la Ley Orgánica</w:t>
      </w:r>
      <w:r w:rsidRPr="00206A67">
        <w:rPr>
          <w:rFonts w:ascii="Abadi" w:hAnsi="Abadi"/>
          <w:spacing w:val="-17"/>
          <w:sz w:val="21"/>
          <w:szCs w:val="21"/>
        </w:rPr>
        <w:t xml:space="preserve"> </w:t>
      </w:r>
      <w:r w:rsidRPr="00206A67">
        <w:rPr>
          <w:rFonts w:ascii="Abadi" w:hAnsi="Abadi"/>
          <w:sz w:val="21"/>
          <w:szCs w:val="21"/>
        </w:rPr>
        <w:t>del</w:t>
      </w:r>
      <w:r w:rsidRPr="00206A67">
        <w:rPr>
          <w:rFonts w:ascii="Abadi" w:hAnsi="Abadi"/>
          <w:spacing w:val="-15"/>
          <w:sz w:val="21"/>
          <w:szCs w:val="21"/>
        </w:rPr>
        <w:t xml:space="preserve"> </w:t>
      </w:r>
      <w:r w:rsidRPr="00206A67">
        <w:rPr>
          <w:rFonts w:ascii="Abadi" w:hAnsi="Abadi"/>
          <w:sz w:val="21"/>
          <w:szCs w:val="21"/>
        </w:rPr>
        <w:t>Poder</w:t>
      </w:r>
      <w:r w:rsidRPr="00206A67">
        <w:rPr>
          <w:rFonts w:ascii="Abadi" w:hAnsi="Abadi"/>
          <w:spacing w:val="-16"/>
          <w:sz w:val="21"/>
          <w:szCs w:val="21"/>
        </w:rPr>
        <w:t xml:space="preserve"> </w:t>
      </w:r>
      <w:r w:rsidRPr="00206A67">
        <w:rPr>
          <w:rFonts w:ascii="Abadi" w:hAnsi="Abadi"/>
          <w:sz w:val="21"/>
          <w:szCs w:val="21"/>
        </w:rPr>
        <w:t>Legislativo</w:t>
      </w:r>
      <w:r w:rsidRPr="00206A67">
        <w:rPr>
          <w:rFonts w:ascii="Abadi" w:hAnsi="Abadi"/>
          <w:spacing w:val="-14"/>
          <w:sz w:val="21"/>
          <w:szCs w:val="21"/>
        </w:rPr>
        <w:t xml:space="preserve"> </w:t>
      </w:r>
      <w:r w:rsidRPr="00206A67">
        <w:rPr>
          <w:rFonts w:ascii="Abadi" w:hAnsi="Abadi"/>
          <w:sz w:val="21"/>
          <w:szCs w:val="21"/>
        </w:rPr>
        <w:t>del</w:t>
      </w:r>
      <w:r w:rsidRPr="00206A67">
        <w:rPr>
          <w:rFonts w:ascii="Abadi" w:hAnsi="Abadi"/>
          <w:spacing w:val="-15"/>
          <w:sz w:val="21"/>
          <w:szCs w:val="21"/>
        </w:rPr>
        <w:t xml:space="preserve"> </w:t>
      </w:r>
      <w:r w:rsidRPr="00206A67">
        <w:rPr>
          <w:rFonts w:ascii="Abadi" w:hAnsi="Abadi"/>
          <w:sz w:val="21"/>
          <w:szCs w:val="21"/>
        </w:rPr>
        <w:t>Estado</w:t>
      </w:r>
      <w:r w:rsidRPr="00206A67">
        <w:rPr>
          <w:rFonts w:ascii="Abadi" w:hAnsi="Abadi"/>
          <w:spacing w:val="-14"/>
          <w:sz w:val="21"/>
          <w:szCs w:val="21"/>
        </w:rPr>
        <w:t xml:space="preserve"> </w:t>
      </w:r>
      <w:r w:rsidRPr="00206A67">
        <w:rPr>
          <w:rFonts w:ascii="Abadi" w:hAnsi="Abadi"/>
          <w:sz w:val="21"/>
          <w:szCs w:val="21"/>
        </w:rPr>
        <w:t>de</w:t>
      </w:r>
      <w:r w:rsidRPr="00206A67">
        <w:rPr>
          <w:rFonts w:ascii="Abadi" w:hAnsi="Abadi"/>
          <w:spacing w:val="-14"/>
          <w:sz w:val="21"/>
          <w:szCs w:val="21"/>
        </w:rPr>
        <w:t xml:space="preserve"> </w:t>
      </w:r>
      <w:r w:rsidRPr="00206A67">
        <w:rPr>
          <w:rFonts w:ascii="Abadi" w:hAnsi="Abadi"/>
          <w:sz w:val="21"/>
          <w:szCs w:val="21"/>
        </w:rPr>
        <w:t>Guanajuato,</w:t>
      </w:r>
      <w:r w:rsidRPr="00206A67">
        <w:rPr>
          <w:rFonts w:ascii="Abadi" w:hAnsi="Abadi"/>
          <w:spacing w:val="-14"/>
          <w:sz w:val="21"/>
          <w:szCs w:val="21"/>
        </w:rPr>
        <w:t xml:space="preserve"> </w:t>
      </w:r>
      <w:r w:rsidRPr="00206A67">
        <w:rPr>
          <w:rFonts w:ascii="Abadi" w:hAnsi="Abadi"/>
          <w:sz w:val="21"/>
          <w:szCs w:val="21"/>
        </w:rPr>
        <w:t>nos</w:t>
      </w:r>
      <w:r w:rsidRPr="00206A67">
        <w:rPr>
          <w:rFonts w:ascii="Abadi" w:hAnsi="Abadi"/>
          <w:spacing w:val="-15"/>
          <w:sz w:val="21"/>
          <w:szCs w:val="21"/>
        </w:rPr>
        <w:t xml:space="preserve"> </w:t>
      </w:r>
      <w:r w:rsidRPr="00206A67">
        <w:rPr>
          <w:rFonts w:ascii="Abadi" w:hAnsi="Abadi"/>
          <w:sz w:val="21"/>
          <w:szCs w:val="21"/>
        </w:rPr>
        <w:t>permitimos</w:t>
      </w:r>
      <w:r w:rsidRPr="00206A67">
        <w:rPr>
          <w:rFonts w:ascii="Abadi" w:hAnsi="Abadi"/>
          <w:spacing w:val="-15"/>
          <w:sz w:val="21"/>
          <w:szCs w:val="21"/>
        </w:rPr>
        <w:t xml:space="preserve"> </w:t>
      </w:r>
      <w:r w:rsidRPr="00206A67">
        <w:rPr>
          <w:rFonts w:ascii="Abadi" w:hAnsi="Abadi"/>
          <w:sz w:val="21"/>
          <w:szCs w:val="21"/>
        </w:rPr>
        <w:t>presentar y someter a la consideración de esta Honorable</w:t>
      </w:r>
      <w:r w:rsidRPr="00206A67">
        <w:rPr>
          <w:rFonts w:ascii="Abadi" w:hAnsi="Abadi"/>
          <w:spacing w:val="-2"/>
          <w:sz w:val="21"/>
          <w:szCs w:val="21"/>
        </w:rPr>
        <w:t xml:space="preserve"> </w:t>
      </w:r>
      <w:r w:rsidRPr="00206A67">
        <w:rPr>
          <w:rFonts w:ascii="Abadi" w:hAnsi="Abadi"/>
          <w:sz w:val="21"/>
          <w:szCs w:val="21"/>
        </w:rPr>
        <w:t xml:space="preserve">Asamblea, la presente propuesta de </w:t>
      </w:r>
      <w:r w:rsidRPr="00206A67">
        <w:rPr>
          <w:rFonts w:ascii="Abadi" w:hAnsi="Abadi"/>
          <w:b/>
          <w:sz w:val="21"/>
          <w:szCs w:val="21"/>
        </w:rPr>
        <w:t>punto de acuerdo, mediante el cual, el Congreso del Estado Libre y Soberano</w:t>
      </w:r>
      <w:r w:rsidRPr="00206A67">
        <w:rPr>
          <w:rFonts w:ascii="Abadi" w:hAnsi="Abadi"/>
          <w:b/>
          <w:spacing w:val="-14"/>
          <w:sz w:val="21"/>
          <w:szCs w:val="21"/>
        </w:rPr>
        <w:t xml:space="preserve"> </w:t>
      </w:r>
      <w:r w:rsidRPr="00206A67">
        <w:rPr>
          <w:rFonts w:ascii="Abadi" w:hAnsi="Abadi"/>
          <w:b/>
          <w:sz w:val="21"/>
          <w:szCs w:val="21"/>
        </w:rPr>
        <w:t>de</w:t>
      </w:r>
      <w:r w:rsidRPr="00206A67">
        <w:rPr>
          <w:rFonts w:ascii="Abadi" w:hAnsi="Abadi"/>
          <w:b/>
          <w:spacing w:val="-15"/>
          <w:sz w:val="21"/>
          <w:szCs w:val="21"/>
        </w:rPr>
        <w:t xml:space="preserve"> </w:t>
      </w:r>
      <w:r w:rsidRPr="00206A67">
        <w:rPr>
          <w:rFonts w:ascii="Abadi" w:hAnsi="Abadi"/>
          <w:b/>
          <w:sz w:val="21"/>
          <w:szCs w:val="21"/>
        </w:rPr>
        <w:t>Guanajuato,</w:t>
      </w:r>
      <w:r w:rsidRPr="00206A67">
        <w:rPr>
          <w:rFonts w:ascii="Abadi" w:hAnsi="Abadi"/>
          <w:b/>
          <w:spacing w:val="-11"/>
          <w:sz w:val="21"/>
          <w:szCs w:val="21"/>
        </w:rPr>
        <w:t xml:space="preserve"> </w:t>
      </w:r>
      <w:r w:rsidRPr="00206A67">
        <w:rPr>
          <w:rFonts w:ascii="Abadi" w:hAnsi="Abadi"/>
          <w:b/>
          <w:sz w:val="21"/>
          <w:szCs w:val="21"/>
        </w:rPr>
        <w:t>exhorta</w:t>
      </w:r>
      <w:r w:rsidRPr="00206A67">
        <w:rPr>
          <w:rFonts w:ascii="Abadi" w:hAnsi="Abadi"/>
          <w:b/>
          <w:spacing w:val="-15"/>
          <w:sz w:val="21"/>
          <w:szCs w:val="21"/>
        </w:rPr>
        <w:t xml:space="preserve"> </w:t>
      </w:r>
      <w:r w:rsidRPr="00206A67">
        <w:rPr>
          <w:rFonts w:ascii="Abadi" w:hAnsi="Abadi"/>
          <w:b/>
          <w:sz w:val="21"/>
          <w:szCs w:val="21"/>
        </w:rPr>
        <w:t>a</w:t>
      </w:r>
      <w:r w:rsidRPr="00206A67">
        <w:rPr>
          <w:rFonts w:ascii="Abadi" w:hAnsi="Abadi"/>
          <w:b/>
          <w:spacing w:val="-13"/>
          <w:sz w:val="21"/>
          <w:szCs w:val="21"/>
        </w:rPr>
        <w:t xml:space="preserve"> </w:t>
      </w:r>
      <w:r w:rsidRPr="00206A67">
        <w:rPr>
          <w:rFonts w:ascii="Abadi" w:hAnsi="Abadi"/>
          <w:b/>
          <w:sz w:val="21"/>
          <w:szCs w:val="21"/>
        </w:rPr>
        <w:t>Protección</w:t>
      </w:r>
      <w:r w:rsidRPr="00206A67">
        <w:rPr>
          <w:rFonts w:ascii="Abadi" w:hAnsi="Abadi"/>
          <w:b/>
          <w:spacing w:val="-14"/>
          <w:sz w:val="21"/>
          <w:szCs w:val="21"/>
        </w:rPr>
        <w:t xml:space="preserve"> </w:t>
      </w:r>
      <w:r w:rsidRPr="00206A67">
        <w:rPr>
          <w:rFonts w:ascii="Abadi" w:hAnsi="Abadi"/>
          <w:b/>
          <w:sz w:val="21"/>
          <w:szCs w:val="21"/>
        </w:rPr>
        <w:t>Civil,</w:t>
      </w:r>
      <w:r w:rsidRPr="00206A67">
        <w:rPr>
          <w:rFonts w:ascii="Abadi" w:hAnsi="Abadi"/>
          <w:b/>
          <w:spacing w:val="-13"/>
          <w:sz w:val="21"/>
          <w:szCs w:val="21"/>
        </w:rPr>
        <w:t xml:space="preserve"> </w:t>
      </w:r>
      <w:r w:rsidRPr="00206A67">
        <w:rPr>
          <w:rFonts w:ascii="Abadi" w:hAnsi="Abadi"/>
          <w:b/>
          <w:sz w:val="21"/>
          <w:szCs w:val="21"/>
        </w:rPr>
        <w:t>H.</w:t>
      </w:r>
      <w:r w:rsidRPr="00206A67">
        <w:rPr>
          <w:rFonts w:ascii="Abadi" w:hAnsi="Abadi"/>
          <w:b/>
          <w:spacing w:val="-16"/>
          <w:sz w:val="21"/>
          <w:szCs w:val="21"/>
        </w:rPr>
        <w:t xml:space="preserve"> </w:t>
      </w:r>
      <w:r w:rsidRPr="00206A67">
        <w:rPr>
          <w:rFonts w:ascii="Abadi" w:hAnsi="Abadi"/>
          <w:b/>
          <w:sz w:val="21"/>
          <w:szCs w:val="21"/>
        </w:rPr>
        <w:t>Cuerpos</w:t>
      </w:r>
      <w:r w:rsidRPr="00206A67">
        <w:rPr>
          <w:rFonts w:ascii="Abadi" w:hAnsi="Abadi"/>
          <w:b/>
          <w:spacing w:val="-13"/>
          <w:sz w:val="21"/>
          <w:szCs w:val="21"/>
        </w:rPr>
        <w:t xml:space="preserve"> </w:t>
      </w:r>
      <w:r w:rsidRPr="00206A67">
        <w:rPr>
          <w:rFonts w:ascii="Abadi" w:hAnsi="Abadi"/>
          <w:b/>
          <w:sz w:val="21"/>
          <w:szCs w:val="21"/>
        </w:rPr>
        <w:t>de</w:t>
      </w:r>
      <w:r w:rsidRPr="00206A67">
        <w:rPr>
          <w:rFonts w:ascii="Abadi" w:hAnsi="Abadi"/>
          <w:b/>
          <w:spacing w:val="-12"/>
          <w:sz w:val="21"/>
          <w:szCs w:val="21"/>
        </w:rPr>
        <w:t xml:space="preserve"> </w:t>
      </w:r>
      <w:r w:rsidRPr="00206A67">
        <w:rPr>
          <w:rFonts w:ascii="Abadi" w:hAnsi="Abadi"/>
          <w:b/>
          <w:sz w:val="21"/>
          <w:szCs w:val="21"/>
        </w:rPr>
        <w:t>Bomberos y</w:t>
      </w:r>
      <w:r w:rsidRPr="00206A67">
        <w:rPr>
          <w:rFonts w:ascii="Abadi" w:hAnsi="Abadi"/>
          <w:b/>
          <w:spacing w:val="-5"/>
          <w:sz w:val="21"/>
          <w:szCs w:val="21"/>
        </w:rPr>
        <w:t xml:space="preserve"> </w:t>
      </w:r>
      <w:r w:rsidRPr="00206A67">
        <w:rPr>
          <w:rFonts w:ascii="Abadi" w:hAnsi="Abadi"/>
          <w:b/>
          <w:sz w:val="21"/>
          <w:szCs w:val="21"/>
        </w:rPr>
        <w:t>cuerpos</w:t>
      </w:r>
      <w:r w:rsidRPr="00206A67">
        <w:rPr>
          <w:rFonts w:ascii="Abadi" w:hAnsi="Abadi"/>
          <w:b/>
          <w:spacing w:val="-7"/>
          <w:sz w:val="21"/>
          <w:szCs w:val="21"/>
        </w:rPr>
        <w:t xml:space="preserve"> </w:t>
      </w:r>
      <w:r w:rsidRPr="00206A67">
        <w:rPr>
          <w:rFonts w:ascii="Abadi" w:hAnsi="Abadi"/>
          <w:b/>
          <w:sz w:val="21"/>
          <w:szCs w:val="21"/>
        </w:rPr>
        <w:t>de</w:t>
      </w:r>
      <w:r w:rsidRPr="00206A67">
        <w:rPr>
          <w:rFonts w:ascii="Abadi" w:hAnsi="Abadi"/>
          <w:b/>
          <w:spacing w:val="-7"/>
          <w:sz w:val="21"/>
          <w:szCs w:val="21"/>
        </w:rPr>
        <w:t xml:space="preserve"> </w:t>
      </w:r>
      <w:r w:rsidRPr="00206A67">
        <w:rPr>
          <w:rFonts w:ascii="Abadi" w:hAnsi="Abadi"/>
          <w:b/>
          <w:sz w:val="21"/>
          <w:szCs w:val="21"/>
        </w:rPr>
        <w:t>Seguridad</w:t>
      </w:r>
      <w:r w:rsidRPr="00206A67">
        <w:rPr>
          <w:rFonts w:ascii="Abadi" w:hAnsi="Abadi"/>
          <w:b/>
          <w:spacing w:val="-6"/>
          <w:sz w:val="21"/>
          <w:szCs w:val="21"/>
        </w:rPr>
        <w:t xml:space="preserve"> </w:t>
      </w:r>
      <w:r w:rsidRPr="00206A67">
        <w:rPr>
          <w:rFonts w:ascii="Abadi" w:hAnsi="Abadi"/>
          <w:b/>
          <w:sz w:val="21"/>
          <w:szCs w:val="21"/>
        </w:rPr>
        <w:t>Ciudadana</w:t>
      </w:r>
      <w:r w:rsidRPr="00206A67">
        <w:rPr>
          <w:rFonts w:ascii="Abadi" w:hAnsi="Abadi"/>
          <w:b/>
          <w:spacing w:val="-5"/>
          <w:sz w:val="21"/>
          <w:szCs w:val="21"/>
        </w:rPr>
        <w:t xml:space="preserve"> </w:t>
      </w:r>
      <w:r w:rsidRPr="00206A67">
        <w:rPr>
          <w:rFonts w:ascii="Abadi" w:hAnsi="Abadi"/>
          <w:b/>
          <w:sz w:val="21"/>
          <w:szCs w:val="21"/>
        </w:rPr>
        <w:t>de</w:t>
      </w:r>
      <w:r w:rsidRPr="00206A67">
        <w:rPr>
          <w:rFonts w:ascii="Abadi" w:hAnsi="Abadi"/>
          <w:b/>
          <w:spacing w:val="-5"/>
          <w:sz w:val="21"/>
          <w:szCs w:val="21"/>
        </w:rPr>
        <w:t xml:space="preserve"> </w:t>
      </w:r>
      <w:r w:rsidRPr="00206A67">
        <w:rPr>
          <w:rFonts w:ascii="Abadi" w:hAnsi="Abadi"/>
          <w:b/>
          <w:sz w:val="21"/>
          <w:szCs w:val="21"/>
        </w:rPr>
        <w:t>los</w:t>
      </w:r>
      <w:r w:rsidRPr="00206A67">
        <w:rPr>
          <w:rFonts w:ascii="Abadi" w:hAnsi="Abadi"/>
          <w:b/>
          <w:spacing w:val="-9"/>
          <w:sz w:val="21"/>
          <w:szCs w:val="21"/>
        </w:rPr>
        <w:t xml:space="preserve"> </w:t>
      </w:r>
      <w:r w:rsidRPr="00206A67">
        <w:rPr>
          <w:rFonts w:ascii="Abadi" w:hAnsi="Abadi"/>
          <w:b/>
          <w:sz w:val="21"/>
          <w:szCs w:val="21"/>
        </w:rPr>
        <w:t>46</w:t>
      </w:r>
      <w:r w:rsidRPr="00206A67">
        <w:rPr>
          <w:rFonts w:ascii="Abadi" w:hAnsi="Abadi"/>
          <w:b/>
          <w:spacing w:val="-5"/>
          <w:sz w:val="21"/>
          <w:szCs w:val="21"/>
        </w:rPr>
        <w:t xml:space="preserve"> </w:t>
      </w:r>
      <w:r w:rsidRPr="00206A67">
        <w:rPr>
          <w:rFonts w:ascii="Abadi" w:hAnsi="Abadi"/>
          <w:b/>
          <w:sz w:val="21"/>
          <w:szCs w:val="21"/>
        </w:rPr>
        <w:t>Municipios,</w:t>
      </w:r>
      <w:r w:rsidRPr="00206A67">
        <w:rPr>
          <w:rFonts w:ascii="Abadi" w:hAnsi="Abadi"/>
          <w:b/>
          <w:spacing w:val="-6"/>
          <w:sz w:val="21"/>
          <w:szCs w:val="21"/>
        </w:rPr>
        <w:t xml:space="preserve"> </w:t>
      </w:r>
      <w:r w:rsidRPr="00206A67">
        <w:rPr>
          <w:rFonts w:ascii="Abadi" w:hAnsi="Abadi"/>
          <w:sz w:val="21"/>
          <w:szCs w:val="21"/>
        </w:rPr>
        <w:t>para</w:t>
      </w:r>
      <w:r w:rsidRPr="00206A67">
        <w:rPr>
          <w:rFonts w:ascii="Abadi" w:hAnsi="Abadi"/>
          <w:spacing w:val="-8"/>
          <w:sz w:val="21"/>
          <w:szCs w:val="21"/>
        </w:rPr>
        <w:t xml:space="preserve"> </w:t>
      </w:r>
      <w:r w:rsidRPr="00206A67">
        <w:rPr>
          <w:rFonts w:ascii="Abadi" w:hAnsi="Abadi"/>
          <w:sz w:val="21"/>
          <w:szCs w:val="21"/>
        </w:rPr>
        <w:t>que</w:t>
      </w:r>
      <w:r w:rsidRPr="00206A67">
        <w:rPr>
          <w:rFonts w:ascii="Abadi" w:hAnsi="Abadi"/>
          <w:spacing w:val="-6"/>
          <w:sz w:val="21"/>
          <w:szCs w:val="21"/>
        </w:rPr>
        <w:t xml:space="preserve"> </w:t>
      </w:r>
      <w:r w:rsidRPr="00206A67">
        <w:rPr>
          <w:rFonts w:ascii="Abadi" w:hAnsi="Abadi"/>
          <w:sz w:val="21"/>
          <w:szCs w:val="21"/>
        </w:rPr>
        <w:t>en</w:t>
      </w:r>
      <w:r w:rsidRPr="00206A67">
        <w:rPr>
          <w:rFonts w:ascii="Abadi" w:hAnsi="Abadi"/>
          <w:spacing w:val="-7"/>
          <w:sz w:val="21"/>
          <w:szCs w:val="21"/>
        </w:rPr>
        <w:t xml:space="preserve"> </w:t>
      </w:r>
      <w:r w:rsidRPr="00206A67">
        <w:rPr>
          <w:rFonts w:ascii="Abadi" w:hAnsi="Abadi"/>
          <w:sz w:val="21"/>
          <w:szCs w:val="21"/>
        </w:rPr>
        <w:t>el</w:t>
      </w:r>
      <w:r w:rsidRPr="00206A67">
        <w:rPr>
          <w:rFonts w:ascii="Abadi" w:hAnsi="Abadi"/>
          <w:spacing w:val="-7"/>
          <w:sz w:val="21"/>
          <w:szCs w:val="21"/>
        </w:rPr>
        <w:t xml:space="preserve"> </w:t>
      </w:r>
      <w:r w:rsidRPr="00206A67">
        <w:rPr>
          <w:rFonts w:ascii="Abadi" w:hAnsi="Abadi"/>
          <w:sz w:val="21"/>
          <w:szCs w:val="21"/>
        </w:rPr>
        <w:t xml:space="preserve">ámbito de su </w:t>
      </w:r>
      <w:r w:rsidRPr="00206A67">
        <w:rPr>
          <w:rFonts w:ascii="Abadi" w:hAnsi="Abadi"/>
          <w:sz w:val="21"/>
          <w:szCs w:val="21"/>
        </w:rPr>
        <w:t>competencia, incluyan dentro de sus planes y programas, la capacitación constante para el aprendizaje de lenguaje de señas en la modalidad viso-gestual, como herramienta de interacción con la finalidad de garantizar el derecho de inclusión de las personas con discapacidad para responder con una fluida comunicación en caso de algún siniestro, desastre o emergencia; lo anterior de conformidad a las siguientes:</w:t>
      </w:r>
    </w:p>
    <w:p w14:paraId="5751C46F" w14:textId="77777777" w:rsidR="005F77BB" w:rsidRDefault="005F77BB" w:rsidP="007F4F3A">
      <w:pPr>
        <w:jc w:val="both"/>
        <w:rPr>
          <w:rFonts w:ascii="Abadi" w:hAnsi="Abadi"/>
          <w:sz w:val="21"/>
          <w:szCs w:val="21"/>
        </w:rPr>
      </w:pPr>
    </w:p>
    <w:p w14:paraId="58037991" w14:textId="77777777" w:rsidR="005F77BB" w:rsidRPr="005F77BB" w:rsidRDefault="005F77BB" w:rsidP="005F77BB">
      <w:pPr>
        <w:pStyle w:val="Ttulo1"/>
        <w:jc w:val="center"/>
        <w:rPr>
          <w:rFonts w:ascii="Abadi" w:hAnsi="Abadi" w:cs="Arial"/>
          <w:bCs/>
          <w:i w:val="0"/>
          <w:iCs w:val="0"/>
          <w:spacing w:val="-2"/>
          <w:sz w:val="21"/>
          <w:szCs w:val="21"/>
        </w:rPr>
      </w:pPr>
      <w:r w:rsidRPr="005F77BB">
        <w:rPr>
          <w:rFonts w:ascii="Abadi" w:hAnsi="Abadi" w:cs="Arial"/>
          <w:bCs/>
          <w:i w:val="0"/>
          <w:iCs w:val="0"/>
          <w:spacing w:val="-2"/>
          <w:sz w:val="21"/>
          <w:szCs w:val="21"/>
        </w:rPr>
        <w:t>C O N S I D E R A C I O N E S</w:t>
      </w:r>
    </w:p>
    <w:p w14:paraId="7F937BDB" w14:textId="77777777" w:rsidR="005F77BB" w:rsidRPr="00206A67" w:rsidRDefault="005F77BB" w:rsidP="007F4F3A">
      <w:pPr>
        <w:jc w:val="both"/>
        <w:rPr>
          <w:rFonts w:ascii="Abadi" w:hAnsi="Abadi"/>
          <w:sz w:val="21"/>
          <w:szCs w:val="21"/>
        </w:rPr>
      </w:pPr>
    </w:p>
    <w:p w14:paraId="7E5FBD33" w14:textId="77777777" w:rsidR="009D0D70" w:rsidRPr="00206A67" w:rsidRDefault="003E4C6B" w:rsidP="009D0D70">
      <w:pPr>
        <w:ind w:right="142"/>
        <w:jc w:val="both"/>
        <w:rPr>
          <w:rFonts w:ascii="Abadi" w:hAnsi="Abadi"/>
          <w:sz w:val="21"/>
          <w:szCs w:val="21"/>
        </w:rPr>
      </w:pPr>
      <w:r w:rsidRPr="00206A67">
        <w:rPr>
          <w:rFonts w:ascii="Abadi" w:hAnsi="Abadi"/>
          <w:sz w:val="21"/>
          <w:szCs w:val="21"/>
        </w:rPr>
        <w:t>El artículo Primero de la Constitución Política de los Estados Unidos Mexicanos establece que todas las personas gozarán de los derechos humanos reconocidos</w:t>
      </w:r>
      <w:r w:rsidR="009D0D70">
        <w:rPr>
          <w:rFonts w:ascii="Abadi" w:hAnsi="Abadi"/>
          <w:sz w:val="21"/>
          <w:szCs w:val="21"/>
        </w:rPr>
        <w:t xml:space="preserve"> </w:t>
      </w:r>
      <w:r w:rsidR="009D0D70" w:rsidRPr="00206A67">
        <w:rPr>
          <w:rFonts w:ascii="Abadi" w:hAnsi="Abadi"/>
          <w:sz w:val="21"/>
          <w:szCs w:val="21"/>
        </w:rPr>
        <w:t>en dicho instrumento y en los tratados internacionales de los que el Estado Mexicano</w:t>
      </w:r>
      <w:r w:rsidR="009D0D70" w:rsidRPr="00206A67">
        <w:rPr>
          <w:rFonts w:ascii="Abadi" w:hAnsi="Abadi"/>
          <w:spacing w:val="-17"/>
          <w:sz w:val="21"/>
          <w:szCs w:val="21"/>
        </w:rPr>
        <w:t xml:space="preserve"> </w:t>
      </w:r>
      <w:r w:rsidR="009D0D70" w:rsidRPr="00206A67">
        <w:rPr>
          <w:rFonts w:ascii="Abadi" w:hAnsi="Abadi"/>
          <w:sz w:val="21"/>
          <w:szCs w:val="21"/>
        </w:rPr>
        <w:t>sea</w:t>
      </w:r>
      <w:r w:rsidR="009D0D70" w:rsidRPr="00206A67">
        <w:rPr>
          <w:rFonts w:ascii="Abadi" w:hAnsi="Abadi"/>
          <w:spacing w:val="-17"/>
          <w:sz w:val="21"/>
          <w:szCs w:val="21"/>
        </w:rPr>
        <w:t xml:space="preserve"> </w:t>
      </w:r>
      <w:r w:rsidR="009D0D70" w:rsidRPr="00206A67">
        <w:rPr>
          <w:rFonts w:ascii="Abadi" w:hAnsi="Abadi"/>
          <w:sz w:val="21"/>
          <w:szCs w:val="21"/>
        </w:rPr>
        <w:t>parte;</w:t>
      </w:r>
      <w:r w:rsidR="009D0D70" w:rsidRPr="00206A67">
        <w:rPr>
          <w:rFonts w:ascii="Abadi" w:hAnsi="Abadi"/>
          <w:spacing w:val="-16"/>
          <w:sz w:val="21"/>
          <w:szCs w:val="21"/>
        </w:rPr>
        <w:t xml:space="preserve"> </w:t>
      </w:r>
      <w:r w:rsidR="009D0D70" w:rsidRPr="00206A67">
        <w:rPr>
          <w:rFonts w:ascii="Abadi" w:hAnsi="Abadi"/>
          <w:sz w:val="21"/>
          <w:szCs w:val="21"/>
        </w:rPr>
        <w:t>de</w:t>
      </w:r>
      <w:r w:rsidR="009D0D70" w:rsidRPr="00206A67">
        <w:rPr>
          <w:rFonts w:ascii="Abadi" w:hAnsi="Abadi"/>
          <w:spacing w:val="-17"/>
          <w:sz w:val="21"/>
          <w:szCs w:val="21"/>
        </w:rPr>
        <w:t xml:space="preserve"> </w:t>
      </w:r>
      <w:r w:rsidR="009D0D70" w:rsidRPr="00206A67">
        <w:rPr>
          <w:rFonts w:ascii="Abadi" w:hAnsi="Abadi"/>
          <w:sz w:val="21"/>
          <w:szCs w:val="21"/>
        </w:rPr>
        <w:t>igual</w:t>
      </w:r>
      <w:r w:rsidR="009D0D70" w:rsidRPr="00206A67">
        <w:rPr>
          <w:rFonts w:ascii="Abadi" w:hAnsi="Abadi"/>
          <w:spacing w:val="-17"/>
          <w:sz w:val="21"/>
          <w:szCs w:val="21"/>
        </w:rPr>
        <w:t xml:space="preserve"> </w:t>
      </w:r>
      <w:r w:rsidR="009D0D70" w:rsidRPr="00206A67">
        <w:rPr>
          <w:rFonts w:ascii="Abadi" w:hAnsi="Abadi"/>
          <w:sz w:val="21"/>
          <w:szCs w:val="21"/>
        </w:rPr>
        <w:t>manera,</w:t>
      </w:r>
      <w:r w:rsidR="009D0D70" w:rsidRPr="00206A67">
        <w:rPr>
          <w:rFonts w:ascii="Abadi" w:hAnsi="Abadi"/>
          <w:spacing w:val="-17"/>
          <w:sz w:val="21"/>
          <w:szCs w:val="21"/>
        </w:rPr>
        <w:t xml:space="preserve"> </w:t>
      </w:r>
      <w:r w:rsidR="009D0D70" w:rsidRPr="00206A67">
        <w:rPr>
          <w:rFonts w:ascii="Abadi" w:hAnsi="Abadi"/>
          <w:sz w:val="21"/>
          <w:szCs w:val="21"/>
        </w:rPr>
        <w:t>queda</w:t>
      </w:r>
      <w:r w:rsidR="009D0D70" w:rsidRPr="00206A67">
        <w:rPr>
          <w:rFonts w:ascii="Abadi" w:hAnsi="Abadi"/>
          <w:spacing w:val="-16"/>
          <w:sz w:val="21"/>
          <w:szCs w:val="21"/>
        </w:rPr>
        <w:t xml:space="preserve"> </w:t>
      </w:r>
      <w:r w:rsidR="009D0D70" w:rsidRPr="00206A67">
        <w:rPr>
          <w:rFonts w:ascii="Abadi" w:hAnsi="Abadi"/>
          <w:sz w:val="21"/>
          <w:szCs w:val="21"/>
        </w:rPr>
        <w:t>prohibida</w:t>
      </w:r>
      <w:r w:rsidR="009D0D70" w:rsidRPr="00206A67">
        <w:rPr>
          <w:rFonts w:ascii="Abadi" w:hAnsi="Abadi"/>
          <w:spacing w:val="-16"/>
          <w:sz w:val="21"/>
          <w:szCs w:val="21"/>
        </w:rPr>
        <w:t xml:space="preserve"> </w:t>
      </w:r>
      <w:r w:rsidR="009D0D70" w:rsidRPr="00206A67">
        <w:rPr>
          <w:rFonts w:ascii="Abadi" w:hAnsi="Abadi"/>
          <w:sz w:val="21"/>
          <w:szCs w:val="21"/>
        </w:rPr>
        <w:t>toda</w:t>
      </w:r>
      <w:r w:rsidR="009D0D70" w:rsidRPr="00206A67">
        <w:rPr>
          <w:rFonts w:ascii="Abadi" w:hAnsi="Abadi"/>
          <w:spacing w:val="-16"/>
          <w:sz w:val="21"/>
          <w:szCs w:val="21"/>
        </w:rPr>
        <w:t xml:space="preserve"> </w:t>
      </w:r>
      <w:r w:rsidR="009D0D70" w:rsidRPr="00206A67">
        <w:rPr>
          <w:rFonts w:ascii="Abadi" w:hAnsi="Abadi"/>
          <w:sz w:val="21"/>
          <w:szCs w:val="21"/>
        </w:rPr>
        <w:t>discriminación</w:t>
      </w:r>
      <w:r w:rsidR="009D0D70" w:rsidRPr="00206A67">
        <w:rPr>
          <w:rFonts w:ascii="Abadi" w:hAnsi="Abadi"/>
          <w:spacing w:val="-17"/>
          <w:sz w:val="21"/>
          <w:szCs w:val="21"/>
        </w:rPr>
        <w:t xml:space="preserve"> </w:t>
      </w:r>
      <w:r w:rsidR="009D0D70" w:rsidRPr="00206A67">
        <w:rPr>
          <w:rFonts w:ascii="Abadi" w:hAnsi="Abadi"/>
          <w:sz w:val="21"/>
          <w:szCs w:val="21"/>
        </w:rPr>
        <w:t>motivada por origen étnico o nacional, el género, la edad, las discapacidades, la condición social,</w:t>
      </w:r>
      <w:r w:rsidR="009D0D70" w:rsidRPr="00206A67">
        <w:rPr>
          <w:rFonts w:ascii="Abadi" w:hAnsi="Abadi"/>
          <w:spacing w:val="-16"/>
          <w:sz w:val="21"/>
          <w:szCs w:val="21"/>
        </w:rPr>
        <w:t xml:space="preserve"> </w:t>
      </w:r>
      <w:r w:rsidR="009D0D70" w:rsidRPr="00206A67">
        <w:rPr>
          <w:rFonts w:ascii="Abadi" w:hAnsi="Abadi"/>
          <w:sz w:val="21"/>
          <w:szCs w:val="21"/>
        </w:rPr>
        <w:t>las</w:t>
      </w:r>
      <w:r w:rsidR="009D0D70" w:rsidRPr="00206A67">
        <w:rPr>
          <w:rFonts w:ascii="Abadi" w:hAnsi="Abadi"/>
          <w:spacing w:val="-15"/>
          <w:sz w:val="21"/>
          <w:szCs w:val="21"/>
        </w:rPr>
        <w:t xml:space="preserve"> </w:t>
      </w:r>
      <w:r w:rsidR="009D0D70" w:rsidRPr="00206A67">
        <w:rPr>
          <w:rFonts w:ascii="Abadi" w:hAnsi="Abadi"/>
          <w:sz w:val="21"/>
          <w:szCs w:val="21"/>
        </w:rPr>
        <w:t>condiciones</w:t>
      </w:r>
      <w:r w:rsidR="009D0D70" w:rsidRPr="00206A67">
        <w:rPr>
          <w:rFonts w:ascii="Abadi" w:hAnsi="Abadi"/>
          <w:spacing w:val="-17"/>
          <w:sz w:val="21"/>
          <w:szCs w:val="21"/>
        </w:rPr>
        <w:t xml:space="preserve"> </w:t>
      </w:r>
      <w:r w:rsidR="009D0D70" w:rsidRPr="00206A67">
        <w:rPr>
          <w:rFonts w:ascii="Abadi" w:hAnsi="Abadi"/>
          <w:sz w:val="21"/>
          <w:szCs w:val="21"/>
        </w:rPr>
        <w:t>de</w:t>
      </w:r>
      <w:r w:rsidR="009D0D70" w:rsidRPr="00206A67">
        <w:rPr>
          <w:rFonts w:ascii="Abadi" w:hAnsi="Abadi"/>
          <w:spacing w:val="-15"/>
          <w:sz w:val="21"/>
          <w:szCs w:val="21"/>
        </w:rPr>
        <w:t xml:space="preserve"> </w:t>
      </w:r>
      <w:r w:rsidR="009D0D70" w:rsidRPr="00206A67">
        <w:rPr>
          <w:rFonts w:ascii="Abadi" w:hAnsi="Abadi"/>
          <w:sz w:val="21"/>
          <w:szCs w:val="21"/>
        </w:rPr>
        <w:t>salud,</w:t>
      </w:r>
      <w:r w:rsidR="009D0D70" w:rsidRPr="00206A67">
        <w:rPr>
          <w:rFonts w:ascii="Abadi" w:hAnsi="Abadi"/>
          <w:spacing w:val="-15"/>
          <w:sz w:val="21"/>
          <w:szCs w:val="21"/>
        </w:rPr>
        <w:t xml:space="preserve"> </w:t>
      </w:r>
      <w:r w:rsidR="009D0D70" w:rsidRPr="00206A67">
        <w:rPr>
          <w:rFonts w:ascii="Abadi" w:hAnsi="Abadi"/>
          <w:sz w:val="21"/>
          <w:szCs w:val="21"/>
        </w:rPr>
        <w:t>la</w:t>
      </w:r>
      <w:r w:rsidR="009D0D70" w:rsidRPr="00206A67">
        <w:rPr>
          <w:rFonts w:ascii="Abadi" w:hAnsi="Abadi"/>
          <w:spacing w:val="-16"/>
          <w:sz w:val="21"/>
          <w:szCs w:val="21"/>
        </w:rPr>
        <w:t xml:space="preserve"> </w:t>
      </w:r>
      <w:r w:rsidR="009D0D70" w:rsidRPr="00206A67">
        <w:rPr>
          <w:rFonts w:ascii="Abadi" w:hAnsi="Abadi"/>
          <w:sz w:val="21"/>
          <w:szCs w:val="21"/>
        </w:rPr>
        <w:t>religión,</w:t>
      </w:r>
      <w:r w:rsidR="009D0D70" w:rsidRPr="00206A67">
        <w:rPr>
          <w:rFonts w:ascii="Abadi" w:hAnsi="Abadi"/>
          <w:spacing w:val="-15"/>
          <w:sz w:val="21"/>
          <w:szCs w:val="21"/>
        </w:rPr>
        <w:t xml:space="preserve"> </w:t>
      </w:r>
      <w:r w:rsidR="009D0D70" w:rsidRPr="00206A67">
        <w:rPr>
          <w:rFonts w:ascii="Abadi" w:hAnsi="Abadi"/>
          <w:sz w:val="21"/>
          <w:szCs w:val="21"/>
        </w:rPr>
        <w:t>las</w:t>
      </w:r>
      <w:r w:rsidR="009D0D70" w:rsidRPr="00206A67">
        <w:rPr>
          <w:rFonts w:ascii="Abadi" w:hAnsi="Abadi"/>
          <w:spacing w:val="-16"/>
          <w:sz w:val="21"/>
          <w:szCs w:val="21"/>
        </w:rPr>
        <w:t xml:space="preserve"> </w:t>
      </w:r>
      <w:r w:rsidR="009D0D70" w:rsidRPr="00206A67">
        <w:rPr>
          <w:rFonts w:ascii="Abadi" w:hAnsi="Abadi"/>
          <w:sz w:val="21"/>
          <w:szCs w:val="21"/>
        </w:rPr>
        <w:t>opiniones,</w:t>
      </w:r>
      <w:r w:rsidR="009D0D70" w:rsidRPr="00206A67">
        <w:rPr>
          <w:rFonts w:ascii="Abadi" w:hAnsi="Abadi"/>
          <w:spacing w:val="-15"/>
          <w:sz w:val="21"/>
          <w:szCs w:val="21"/>
        </w:rPr>
        <w:t xml:space="preserve"> </w:t>
      </w:r>
      <w:r w:rsidR="009D0D70" w:rsidRPr="00206A67">
        <w:rPr>
          <w:rFonts w:ascii="Abadi" w:hAnsi="Abadi"/>
          <w:sz w:val="21"/>
          <w:szCs w:val="21"/>
        </w:rPr>
        <w:t>las</w:t>
      </w:r>
      <w:r w:rsidR="009D0D70" w:rsidRPr="00206A67">
        <w:rPr>
          <w:rFonts w:ascii="Abadi" w:hAnsi="Abadi"/>
          <w:spacing w:val="-17"/>
          <w:sz w:val="21"/>
          <w:szCs w:val="21"/>
        </w:rPr>
        <w:t xml:space="preserve"> </w:t>
      </w:r>
      <w:r w:rsidR="009D0D70" w:rsidRPr="00206A67">
        <w:rPr>
          <w:rFonts w:ascii="Abadi" w:hAnsi="Abadi"/>
          <w:sz w:val="21"/>
          <w:szCs w:val="21"/>
        </w:rPr>
        <w:t>preferencias</w:t>
      </w:r>
      <w:r w:rsidR="009D0D70" w:rsidRPr="00206A67">
        <w:rPr>
          <w:rFonts w:ascii="Abadi" w:hAnsi="Abadi"/>
          <w:spacing w:val="-15"/>
          <w:sz w:val="21"/>
          <w:szCs w:val="21"/>
        </w:rPr>
        <w:t xml:space="preserve"> </w:t>
      </w:r>
      <w:r w:rsidR="009D0D70" w:rsidRPr="00206A67">
        <w:rPr>
          <w:rFonts w:ascii="Abadi" w:hAnsi="Abadi"/>
          <w:sz w:val="21"/>
          <w:szCs w:val="21"/>
        </w:rPr>
        <w:t>sexuales, el estado civil o cualquier otra que atente contra la dignidad humana y tenga por objeto anular o menoscabar los derechos y libertades de las personas.</w:t>
      </w:r>
    </w:p>
    <w:p w14:paraId="39EA4749" w14:textId="77777777" w:rsidR="009D0D70" w:rsidRPr="00206A67" w:rsidRDefault="009D0D70" w:rsidP="009D0D70">
      <w:pPr>
        <w:pStyle w:val="Textoindependiente"/>
        <w:rPr>
          <w:rFonts w:ascii="Abadi" w:hAnsi="Abadi"/>
          <w:sz w:val="21"/>
          <w:szCs w:val="21"/>
        </w:rPr>
      </w:pPr>
    </w:p>
    <w:p w14:paraId="6BBD9BCD" w14:textId="1AACA608" w:rsidR="009D0D70" w:rsidRPr="00206A67" w:rsidRDefault="009D0D70" w:rsidP="009D0D70">
      <w:pPr>
        <w:ind w:right="142"/>
        <w:jc w:val="both"/>
        <w:rPr>
          <w:rFonts w:ascii="Abadi" w:hAnsi="Abadi"/>
          <w:sz w:val="21"/>
          <w:szCs w:val="21"/>
        </w:rPr>
      </w:pPr>
      <w:r w:rsidRPr="00206A67">
        <w:rPr>
          <w:rFonts w:ascii="Abadi" w:hAnsi="Abadi"/>
          <w:sz w:val="21"/>
          <w:szCs w:val="21"/>
        </w:rPr>
        <w:t>Por su parte, la Ley General para la Inclusión de las Personas con Discapacidad</w:t>
      </w:r>
      <w:r w:rsidR="00DB25D7">
        <w:rPr>
          <w:rStyle w:val="Refdenotaalpie"/>
          <w:rFonts w:ascii="Abadi" w:hAnsi="Abadi"/>
          <w:sz w:val="21"/>
          <w:szCs w:val="21"/>
        </w:rPr>
        <w:footnoteReference w:id="72"/>
      </w:r>
      <w:r w:rsidRPr="00206A67">
        <w:rPr>
          <w:rFonts w:ascii="Abadi" w:hAnsi="Abadi"/>
          <w:sz w:val="21"/>
          <w:szCs w:val="21"/>
        </w:rPr>
        <w:t>, reconoce a las personas con discapacidad sus derechos humanos y mandata el establecimiento de las políticas públicas necesarias para su ejercicio; además, asegura su plena inclusión a la sociedad en un marco de respeto, igualdad de oportunidades, a través del establecimiento de medidas contra la discriminación y acciones afirmativas positivas que permitan la integración social de las personas con discapacidad.</w:t>
      </w:r>
    </w:p>
    <w:p w14:paraId="640EF0F8" w14:textId="77777777" w:rsidR="009D0D70" w:rsidRPr="00206A67" w:rsidRDefault="009D0D70" w:rsidP="009D0D70">
      <w:pPr>
        <w:pStyle w:val="Textoindependiente"/>
        <w:rPr>
          <w:rFonts w:ascii="Abadi" w:hAnsi="Abadi"/>
          <w:sz w:val="21"/>
          <w:szCs w:val="21"/>
        </w:rPr>
      </w:pPr>
    </w:p>
    <w:p w14:paraId="395E00BA" w14:textId="77777777" w:rsidR="009232CC" w:rsidRPr="00206A67" w:rsidRDefault="009D0D70" w:rsidP="009232CC">
      <w:pPr>
        <w:ind w:right="142"/>
        <w:jc w:val="both"/>
        <w:rPr>
          <w:rFonts w:ascii="Abadi" w:hAnsi="Abadi"/>
          <w:sz w:val="21"/>
          <w:szCs w:val="21"/>
        </w:rPr>
      </w:pPr>
      <w:r w:rsidRPr="00206A67">
        <w:rPr>
          <w:rFonts w:ascii="Abadi" w:hAnsi="Abadi"/>
          <w:sz w:val="21"/>
          <w:szCs w:val="21"/>
        </w:rPr>
        <w:t>Aunado a lo anterior, la Convención sobre los Derechos de las Personas con Discapacidad</w:t>
      </w:r>
      <w:r w:rsidR="00F855E0">
        <w:rPr>
          <w:rStyle w:val="Refdenotaalpie"/>
          <w:rFonts w:ascii="Abadi" w:hAnsi="Abadi"/>
          <w:sz w:val="21"/>
          <w:szCs w:val="21"/>
        </w:rPr>
        <w:footnoteReference w:id="73"/>
      </w:r>
      <w:r w:rsidRPr="00206A67">
        <w:rPr>
          <w:rFonts w:ascii="Abadi" w:hAnsi="Abadi"/>
          <w:sz w:val="21"/>
          <w:szCs w:val="21"/>
        </w:rPr>
        <w:t>,</w:t>
      </w:r>
      <w:r w:rsidRPr="00206A67">
        <w:rPr>
          <w:rFonts w:ascii="Abadi" w:hAnsi="Abadi"/>
          <w:spacing w:val="-6"/>
          <w:sz w:val="21"/>
          <w:szCs w:val="21"/>
        </w:rPr>
        <w:t xml:space="preserve"> </w:t>
      </w:r>
      <w:r w:rsidRPr="00206A67">
        <w:rPr>
          <w:rFonts w:ascii="Abadi" w:hAnsi="Abadi"/>
          <w:sz w:val="21"/>
          <w:szCs w:val="21"/>
        </w:rPr>
        <w:t>tiene</w:t>
      </w:r>
      <w:r w:rsidRPr="00206A67">
        <w:rPr>
          <w:rFonts w:ascii="Abadi" w:hAnsi="Abadi"/>
          <w:spacing w:val="-8"/>
          <w:sz w:val="21"/>
          <w:szCs w:val="21"/>
        </w:rPr>
        <w:t xml:space="preserve"> </w:t>
      </w:r>
      <w:r w:rsidRPr="00206A67">
        <w:rPr>
          <w:rFonts w:ascii="Abadi" w:hAnsi="Abadi"/>
          <w:sz w:val="21"/>
          <w:szCs w:val="21"/>
        </w:rPr>
        <w:t>como</w:t>
      </w:r>
      <w:r w:rsidRPr="00206A67">
        <w:rPr>
          <w:rFonts w:ascii="Abadi" w:hAnsi="Abadi"/>
          <w:spacing w:val="-4"/>
          <w:sz w:val="21"/>
          <w:szCs w:val="21"/>
        </w:rPr>
        <w:t xml:space="preserve"> </w:t>
      </w:r>
      <w:r w:rsidRPr="00206A67">
        <w:rPr>
          <w:rFonts w:ascii="Abadi" w:hAnsi="Abadi"/>
          <w:sz w:val="21"/>
          <w:szCs w:val="21"/>
        </w:rPr>
        <w:t>propósito</w:t>
      </w:r>
      <w:r w:rsidRPr="00206A67">
        <w:rPr>
          <w:rFonts w:ascii="Abadi" w:hAnsi="Abadi"/>
          <w:spacing w:val="-7"/>
          <w:sz w:val="21"/>
          <w:szCs w:val="21"/>
        </w:rPr>
        <w:t xml:space="preserve"> </w:t>
      </w:r>
      <w:r w:rsidRPr="00206A67">
        <w:rPr>
          <w:rFonts w:ascii="Abadi" w:hAnsi="Abadi"/>
          <w:sz w:val="21"/>
          <w:szCs w:val="21"/>
        </w:rPr>
        <w:t>promover,</w:t>
      </w:r>
      <w:r w:rsidRPr="00206A67">
        <w:rPr>
          <w:rFonts w:ascii="Abadi" w:hAnsi="Abadi"/>
          <w:spacing w:val="-6"/>
          <w:sz w:val="21"/>
          <w:szCs w:val="21"/>
        </w:rPr>
        <w:t xml:space="preserve"> </w:t>
      </w:r>
      <w:r w:rsidRPr="00206A67">
        <w:rPr>
          <w:rFonts w:ascii="Abadi" w:hAnsi="Abadi"/>
          <w:sz w:val="21"/>
          <w:szCs w:val="21"/>
        </w:rPr>
        <w:t>proteger</w:t>
      </w:r>
      <w:r w:rsidRPr="00206A67">
        <w:rPr>
          <w:rFonts w:ascii="Abadi" w:hAnsi="Abadi"/>
          <w:spacing w:val="-7"/>
          <w:sz w:val="21"/>
          <w:szCs w:val="21"/>
        </w:rPr>
        <w:t xml:space="preserve"> </w:t>
      </w:r>
      <w:r w:rsidRPr="00206A67">
        <w:rPr>
          <w:rFonts w:ascii="Abadi" w:hAnsi="Abadi"/>
          <w:sz w:val="21"/>
          <w:szCs w:val="21"/>
        </w:rPr>
        <w:t>y</w:t>
      </w:r>
      <w:r w:rsidRPr="00206A67">
        <w:rPr>
          <w:rFonts w:ascii="Abadi" w:hAnsi="Abadi"/>
          <w:spacing w:val="-9"/>
          <w:sz w:val="21"/>
          <w:szCs w:val="21"/>
        </w:rPr>
        <w:t xml:space="preserve"> </w:t>
      </w:r>
      <w:r w:rsidRPr="00206A67">
        <w:rPr>
          <w:rFonts w:ascii="Abadi" w:hAnsi="Abadi"/>
          <w:sz w:val="21"/>
          <w:szCs w:val="21"/>
        </w:rPr>
        <w:t>asegurar</w:t>
      </w:r>
      <w:r w:rsidRPr="00206A67">
        <w:rPr>
          <w:rFonts w:ascii="Abadi" w:hAnsi="Abadi"/>
          <w:spacing w:val="-9"/>
          <w:sz w:val="21"/>
          <w:szCs w:val="21"/>
        </w:rPr>
        <w:t xml:space="preserve"> </w:t>
      </w:r>
      <w:r w:rsidRPr="00206A67">
        <w:rPr>
          <w:rFonts w:ascii="Abadi" w:hAnsi="Abadi"/>
          <w:sz w:val="21"/>
          <w:szCs w:val="21"/>
        </w:rPr>
        <w:t>el</w:t>
      </w:r>
      <w:r w:rsidRPr="00206A67">
        <w:rPr>
          <w:rFonts w:ascii="Abadi" w:hAnsi="Abadi"/>
          <w:spacing w:val="-7"/>
          <w:sz w:val="21"/>
          <w:szCs w:val="21"/>
        </w:rPr>
        <w:t xml:space="preserve"> </w:t>
      </w:r>
      <w:r w:rsidRPr="00206A67">
        <w:rPr>
          <w:rFonts w:ascii="Abadi" w:hAnsi="Abadi"/>
          <w:sz w:val="21"/>
          <w:szCs w:val="21"/>
        </w:rPr>
        <w:t>goce</w:t>
      </w:r>
      <w:r w:rsidRPr="00206A67">
        <w:rPr>
          <w:rFonts w:ascii="Abadi" w:hAnsi="Abadi"/>
          <w:spacing w:val="-8"/>
          <w:sz w:val="21"/>
          <w:szCs w:val="21"/>
        </w:rPr>
        <w:t xml:space="preserve"> </w:t>
      </w:r>
      <w:r w:rsidRPr="00206A67">
        <w:rPr>
          <w:rFonts w:ascii="Abadi" w:hAnsi="Abadi"/>
          <w:sz w:val="21"/>
          <w:szCs w:val="21"/>
        </w:rPr>
        <w:t>pleno</w:t>
      </w:r>
      <w:r w:rsidRPr="00206A67">
        <w:rPr>
          <w:rFonts w:ascii="Abadi" w:hAnsi="Abadi"/>
          <w:spacing w:val="-8"/>
          <w:sz w:val="21"/>
          <w:szCs w:val="21"/>
        </w:rPr>
        <w:t xml:space="preserve"> </w:t>
      </w:r>
      <w:r w:rsidRPr="00206A67">
        <w:rPr>
          <w:rFonts w:ascii="Abadi" w:hAnsi="Abadi"/>
          <w:sz w:val="21"/>
          <w:szCs w:val="21"/>
        </w:rPr>
        <w:t xml:space="preserve">y en condiciones de igualdad de los derechos humanos y libertades </w:t>
      </w:r>
      <w:r w:rsidRPr="00206A67">
        <w:rPr>
          <w:rFonts w:ascii="Abadi" w:hAnsi="Abadi"/>
          <w:sz w:val="21"/>
          <w:szCs w:val="21"/>
        </w:rPr>
        <w:lastRenderedPageBreak/>
        <w:t>fundamentales de todas las personas con discapacidad, así como, promover el respeto de su dignidad inherente. Además, tiene como fin que la “comunicación” incluya los lenguajes, la visualización de textos, el Braille, la comunicación táctil, los macro tipos, los dispositivos multimedia de fácil acceso, así como el lenguaje escrito, los sistemas auditivos, el lenguaje sencillo, los medios de voz digitalizada y otros modos,</w:t>
      </w:r>
      <w:r w:rsidRPr="00206A67">
        <w:rPr>
          <w:rFonts w:ascii="Abadi" w:hAnsi="Abadi"/>
          <w:spacing w:val="-7"/>
          <w:sz w:val="21"/>
          <w:szCs w:val="21"/>
        </w:rPr>
        <w:t xml:space="preserve"> </w:t>
      </w:r>
      <w:r w:rsidRPr="00206A67">
        <w:rPr>
          <w:rFonts w:ascii="Abadi" w:hAnsi="Abadi"/>
          <w:sz w:val="21"/>
          <w:szCs w:val="21"/>
        </w:rPr>
        <w:t>medios</w:t>
      </w:r>
      <w:r w:rsidRPr="00206A67">
        <w:rPr>
          <w:rFonts w:ascii="Abadi" w:hAnsi="Abadi"/>
          <w:spacing w:val="-7"/>
          <w:sz w:val="21"/>
          <w:szCs w:val="21"/>
        </w:rPr>
        <w:t xml:space="preserve"> </w:t>
      </w:r>
      <w:r w:rsidRPr="00206A67">
        <w:rPr>
          <w:rFonts w:ascii="Abadi" w:hAnsi="Abadi"/>
          <w:sz w:val="21"/>
          <w:szCs w:val="21"/>
        </w:rPr>
        <w:t>y</w:t>
      </w:r>
      <w:r w:rsidRPr="00206A67">
        <w:rPr>
          <w:rFonts w:ascii="Abadi" w:hAnsi="Abadi"/>
          <w:spacing w:val="-8"/>
          <w:sz w:val="21"/>
          <w:szCs w:val="21"/>
        </w:rPr>
        <w:t xml:space="preserve"> </w:t>
      </w:r>
      <w:r w:rsidRPr="00206A67">
        <w:rPr>
          <w:rFonts w:ascii="Abadi" w:hAnsi="Abadi"/>
          <w:sz w:val="21"/>
          <w:szCs w:val="21"/>
        </w:rPr>
        <w:t>formatos</w:t>
      </w:r>
      <w:r w:rsidRPr="00206A67">
        <w:rPr>
          <w:rFonts w:ascii="Abadi" w:hAnsi="Abadi"/>
          <w:spacing w:val="-8"/>
          <w:sz w:val="21"/>
          <w:szCs w:val="21"/>
        </w:rPr>
        <w:t xml:space="preserve"> </w:t>
      </w:r>
      <w:r w:rsidRPr="00206A67">
        <w:rPr>
          <w:rFonts w:ascii="Abadi" w:hAnsi="Abadi"/>
          <w:sz w:val="21"/>
          <w:szCs w:val="21"/>
        </w:rPr>
        <w:t>aumentativos</w:t>
      </w:r>
      <w:r w:rsidRPr="00206A67">
        <w:rPr>
          <w:rFonts w:ascii="Abadi" w:hAnsi="Abadi"/>
          <w:spacing w:val="-8"/>
          <w:sz w:val="21"/>
          <w:szCs w:val="21"/>
        </w:rPr>
        <w:t xml:space="preserve"> </w:t>
      </w:r>
      <w:r w:rsidRPr="00206A67">
        <w:rPr>
          <w:rFonts w:ascii="Abadi" w:hAnsi="Abadi"/>
          <w:sz w:val="21"/>
          <w:szCs w:val="21"/>
        </w:rPr>
        <w:t>o</w:t>
      </w:r>
      <w:r w:rsidRPr="00206A67">
        <w:rPr>
          <w:rFonts w:ascii="Abadi" w:hAnsi="Abadi"/>
          <w:spacing w:val="-7"/>
          <w:sz w:val="21"/>
          <w:szCs w:val="21"/>
        </w:rPr>
        <w:t xml:space="preserve"> </w:t>
      </w:r>
      <w:r w:rsidRPr="00206A67">
        <w:rPr>
          <w:rFonts w:ascii="Abadi" w:hAnsi="Abadi"/>
          <w:sz w:val="21"/>
          <w:szCs w:val="21"/>
        </w:rPr>
        <w:t>alternativos</w:t>
      </w:r>
      <w:r w:rsidRPr="00206A67">
        <w:rPr>
          <w:rFonts w:ascii="Abadi" w:hAnsi="Abadi"/>
          <w:spacing w:val="-8"/>
          <w:sz w:val="21"/>
          <w:szCs w:val="21"/>
        </w:rPr>
        <w:t xml:space="preserve"> </w:t>
      </w:r>
      <w:r w:rsidRPr="00206A67">
        <w:rPr>
          <w:rFonts w:ascii="Abadi" w:hAnsi="Abadi"/>
          <w:sz w:val="21"/>
          <w:szCs w:val="21"/>
        </w:rPr>
        <w:t>de</w:t>
      </w:r>
      <w:r w:rsidRPr="00206A67">
        <w:rPr>
          <w:rFonts w:ascii="Abadi" w:hAnsi="Abadi"/>
          <w:spacing w:val="-5"/>
          <w:sz w:val="21"/>
          <w:szCs w:val="21"/>
        </w:rPr>
        <w:t xml:space="preserve"> </w:t>
      </w:r>
      <w:r w:rsidRPr="00206A67">
        <w:rPr>
          <w:rFonts w:ascii="Abadi" w:hAnsi="Abadi"/>
          <w:sz w:val="21"/>
          <w:szCs w:val="21"/>
        </w:rPr>
        <w:t>comunicación,</w:t>
      </w:r>
      <w:r w:rsidRPr="00206A67">
        <w:rPr>
          <w:rFonts w:ascii="Abadi" w:hAnsi="Abadi"/>
          <w:spacing w:val="-7"/>
          <w:sz w:val="21"/>
          <w:szCs w:val="21"/>
        </w:rPr>
        <w:t xml:space="preserve"> </w:t>
      </w:r>
      <w:r w:rsidRPr="00206A67">
        <w:rPr>
          <w:rFonts w:ascii="Abadi" w:hAnsi="Abadi"/>
          <w:sz w:val="21"/>
          <w:szCs w:val="21"/>
        </w:rPr>
        <w:t>incluida</w:t>
      </w:r>
      <w:r w:rsidRPr="00206A67">
        <w:rPr>
          <w:rFonts w:ascii="Abadi" w:hAnsi="Abadi"/>
          <w:spacing w:val="-5"/>
          <w:sz w:val="21"/>
          <w:szCs w:val="21"/>
        </w:rPr>
        <w:t xml:space="preserve"> </w:t>
      </w:r>
      <w:r w:rsidRPr="00206A67">
        <w:rPr>
          <w:rFonts w:ascii="Abadi" w:hAnsi="Abadi"/>
          <w:sz w:val="21"/>
          <w:szCs w:val="21"/>
        </w:rPr>
        <w:t>la tecnología de la información y las comunicaciones de fácil acceso; por lo que compromete</w:t>
      </w:r>
      <w:r w:rsidRPr="00206A67">
        <w:rPr>
          <w:rFonts w:ascii="Abadi" w:hAnsi="Abadi"/>
          <w:spacing w:val="40"/>
          <w:sz w:val="21"/>
          <w:szCs w:val="21"/>
        </w:rPr>
        <w:t xml:space="preserve"> </w:t>
      </w:r>
      <w:r w:rsidRPr="00206A67">
        <w:rPr>
          <w:rFonts w:ascii="Abadi" w:hAnsi="Abadi"/>
          <w:sz w:val="21"/>
          <w:szCs w:val="21"/>
        </w:rPr>
        <w:t>a</w:t>
      </w:r>
      <w:r w:rsidRPr="00206A67">
        <w:rPr>
          <w:rFonts w:ascii="Abadi" w:hAnsi="Abadi"/>
          <w:spacing w:val="40"/>
          <w:sz w:val="21"/>
          <w:szCs w:val="21"/>
        </w:rPr>
        <w:t xml:space="preserve"> </w:t>
      </w:r>
      <w:r w:rsidRPr="00206A67">
        <w:rPr>
          <w:rFonts w:ascii="Abadi" w:hAnsi="Abadi"/>
          <w:sz w:val="21"/>
          <w:szCs w:val="21"/>
        </w:rPr>
        <w:t>los</w:t>
      </w:r>
      <w:r w:rsidRPr="00206A67">
        <w:rPr>
          <w:rFonts w:ascii="Abadi" w:hAnsi="Abadi"/>
          <w:spacing w:val="40"/>
          <w:sz w:val="21"/>
          <w:szCs w:val="21"/>
        </w:rPr>
        <w:t xml:space="preserve"> </w:t>
      </w:r>
      <w:r w:rsidRPr="00206A67">
        <w:rPr>
          <w:rFonts w:ascii="Abadi" w:hAnsi="Abadi"/>
          <w:sz w:val="21"/>
          <w:szCs w:val="21"/>
        </w:rPr>
        <w:t>Estados</w:t>
      </w:r>
      <w:r w:rsidRPr="00206A67">
        <w:rPr>
          <w:rFonts w:ascii="Abadi" w:hAnsi="Abadi"/>
          <w:spacing w:val="40"/>
          <w:sz w:val="21"/>
          <w:szCs w:val="21"/>
        </w:rPr>
        <w:t xml:space="preserve"> </w:t>
      </w:r>
      <w:r w:rsidRPr="00206A67">
        <w:rPr>
          <w:rFonts w:ascii="Abadi" w:hAnsi="Abadi"/>
          <w:sz w:val="21"/>
          <w:szCs w:val="21"/>
        </w:rPr>
        <w:t>a</w:t>
      </w:r>
      <w:r w:rsidRPr="00206A67">
        <w:rPr>
          <w:rFonts w:ascii="Abadi" w:hAnsi="Abadi"/>
          <w:spacing w:val="60"/>
          <w:sz w:val="21"/>
          <w:szCs w:val="21"/>
        </w:rPr>
        <w:t xml:space="preserve"> </w:t>
      </w:r>
      <w:r w:rsidRPr="00206A67">
        <w:rPr>
          <w:rFonts w:ascii="Abadi" w:hAnsi="Abadi"/>
          <w:sz w:val="21"/>
          <w:szCs w:val="21"/>
        </w:rPr>
        <w:t>promover</w:t>
      </w:r>
      <w:r w:rsidRPr="00206A67">
        <w:rPr>
          <w:rFonts w:ascii="Abadi" w:hAnsi="Abadi"/>
          <w:spacing w:val="40"/>
          <w:sz w:val="21"/>
          <w:szCs w:val="21"/>
        </w:rPr>
        <w:t xml:space="preserve"> </w:t>
      </w:r>
      <w:r w:rsidRPr="00206A67">
        <w:rPr>
          <w:rFonts w:ascii="Abadi" w:hAnsi="Abadi"/>
          <w:sz w:val="21"/>
          <w:szCs w:val="21"/>
        </w:rPr>
        <w:t>la</w:t>
      </w:r>
      <w:r w:rsidRPr="00206A67">
        <w:rPr>
          <w:rFonts w:ascii="Abadi" w:hAnsi="Abadi"/>
          <w:spacing w:val="40"/>
          <w:sz w:val="21"/>
          <w:szCs w:val="21"/>
        </w:rPr>
        <w:t xml:space="preserve"> </w:t>
      </w:r>
      <w:r w:rsidRPr="00206A67">
        <w:rPr>
          <w:rFonts w:ascii="Abadi" w:hAnsi="Abadi"/>
          <w:sz w:val="21"/>
          <w:szCs w:val="21"/>
        </w:rPr>
        <w:t>formación</w:t>
      </w:r>
      <w:r w:rsidRPr="00206A67">
        <w:rPr>
          <w:rFonts w:ascii="Abadi" w:hAnsi="Abadi"/>
          <w:spacing w:val="40"/>
          <w:sz w:val="21"/>
          <w:szCs w:val="21"/>
        </w:rPr>
        <w:t xml:space="preserve"> </w:t>
      </w:r>
      <w:r w:rsidRPr="00206A67">
        <w:rPr>
          <w:rFonts w:ascii="Abadi" w:hAnsi="Abadi"/>
          <w:sz w:val="21"/>
          <w:szCs w:val="21"/>
        </w:rPr>
        <w:t>de</w:t>
      </w:r>
      <w:r w:rsidRPr="00206A67">
        <w:rPr>
          <w:rFonts w:ascii="Abadi" w:hAnsi="Abadi"/>
          <w:spacing w:val="40"/>
          <w:sz w:val="21"/>
          <w:szCs w:val="21"/>
        </w:rPr>
        <w:t xml:space="preserve"> </w:t>
      </w:r>
      <w:r w:rsidRPr="00206A67">
        <w:rPr>
          <w:rFonts w:ascii="Abadi" w:hAnsi="Abadi"/>
          <w:sz w:val="21"/>
          <w:szCs w:val="21"/>
        </w:rPr>
        <w:t>los</w:t>
      </w:r>
      <w:r w:rsidRPr="00206A67">
        <w:rPr>
          <w:rFonts w:ascii="Abadi" w:hAnsi="Abadi"/>
          <w:spacing w:val="40"/>
          <w:sz w:val="21"/>
          <w:szCs w:val="21"/>
        </w:rPr>
        <w:t xml:space="preserve"> </w:t>
      </w:r>
      <w:r w:rsidRPr="00206A67">
        <w:rPr>
          <w:rFonts w:ascii="Abadi" w:hAnsi="Abadi"/>
          <w:sz w:val="21"/>
          <w:szCs w:val="21"/>
        </w:rPr>
        <w:t>profesionales</w:t>
      </w:r>
      <w:r w:rsidRPr="00206A67">
        <w:rPr>
          <w:rFonts w:ascii="Abadi" w:hAnsi="Abadi"/>
          <w:spacing w:val="40"/>
          <w:sz w:val="21"/>
          <w:szCs w:val="21"/>
        </w:rPr>
        <w:t xml:space="preserve"> </w:t>
      </w:r>
      <w:r w:rsidRPr="00206A67">
        <w:rPr>
          <w:rFonts w:ascii="Abadi" w:hAnsi="Abadi"/>
          <w:sz w:val="21"/>
          <w:szCs w:val="21"/>
        </w:rPr>
        <w:t>y</w:t>
      </w:r>
      <w:r w:rsidRPr="00206A67">
        <w:rPr>
          <w:rFonts w:ascii="Abadi" w:hAnsi="Abadi"/>
          <w:spacing w:val="40"/>
          <w:sz w:val="21"/>
          <w:szCs w:val="21"/>
        </w:rPr>
        <w:t xml:space="preserve"> </w:t>
      </w:r>
      <w:r w:rsidRPr="00206A67">
        <w:rPr>
          <w:rFonts w:ascii="Abadi" w:hAnsi="Abadi"/>
          <w:sz w:val="21"/>
          <w:szCs w:val="21"/>
        </w:rPr>
        <w:t>el</w:t>
      </w:r>
      <w:r w:rsidR="009232CC">
        <w:rPr>
          <w:rFonts w:ascii="Abadi" w:hAnsi="Abadi"/>
          <w:sz w:val="21"/>
          <w:szCs w:val="21"/>
        </w:rPr>
        <w:t xml:space="preserve"> </w:t>
      </w:r>
      <w:r w:rsidR="009232CC" w:rsidRPr="00206A67">
        <w:rPr>
          <w:rFonts w:ascii="Abadi" w:hAnsi="Abadi"/>
          <w:sz w:val="21"/>
          <w:szCs w:val="21"/>
        </w:rPr>
        <w:t xml:space="preserve">personal que trabaja con personas con discapacidad, a fin de prestar mejor la asistencia y los servicios garantizados por esos derechos reconocidos en la </w:t>
      </w:r>
      <w:r w:rsidR="009232CC" w:rsidRPr="00206A67">
        <w:rPr>
          <w:rFonts w:ascii="Abadi" w:hAnsi="Abadi"/>
          <w:spacing w:val="-2"/>
          <w:sz w:val="21"/>
          <w:szCs w:val="21"/>
        </w:rPr>
        <w:t>Convención.</w:t>
      </w:r>
    </w:p>
    <w:p w14:paraId="664EB510" w14:textId="77777777" w:rsidR="009232CC" w:rsidRPr="00206A67" w:rsidRDefault="009232CC" w:rsidP="009232CC">
      <w:pPr>
        <w:pStyle w:val="Textoindependiente"/>
        <w:rPr>
          <w:rFonts w:ascii="Abadi" w:hAnsi="Abadi"/>
          <w:sz w:val="21"/>
          <w:szCs w:val="21"/>
        </w:rPr>
      </w:pPr>
    </w:p>
    <w:p w14:paraId="74850A50" w14:textId="31D82E7B" w:rsidR="009232CC" w:rsidRPr="00206A67" w:rsidRDefault="009232CC" w:rsidP="006D3132">
      <w:pPr>
        <w:ind w:right="142"/>
        <w:jc w:val="both"/>
        <w:rPr>
          <w:rFonts w:ascii="Abadi" w:hAnsi="Abadi"/>
          <w:sz w:val="21"/>
          <w:szCs w:val="21"/>
        </w:rPr>
      </w:pPr>
      <w:r w:rsidRPr="00206A67">
        <w:rPr>
          <w:rFonts w:ascii="Abadi" w:hAnsi="Abadi"/>
          <w:sz w:val="21"/>
          <w:szCs w:val="21"/>
        </w:rPr>
        <w:t>Asimismo,</w:t>
      </w:r>
      <w:r w:rsidRPr="00206A67">
        <w:rPr>
          <w:rFonts w:ascii="Abadi" w:hAnsi="Abadi"/>
          <w:spacing w:val="-4"/>
          <w:sz w:val="21"/>
          <w:szCs w:val="21"/>
        </w:rPr>
        <w:t xml:space="preserve"> </w:t>
      </w:r>
      <w:r w:rsidRPr="00206A67">
        <w:rPr>
          <w:rFonts w:ascii="Abadi" w:hAnsi="Abadi"/>
          <w:sz w:val="21"/>
          <w:szCs w:val="21"/>
        </w:rPr>
        <w:t>los</w:t>
      </w:r>
      <w:r w:rsidRPr="00206A67">
        <w:rPr>
          <w:rFonts w:ascii="Abadi" w:hAnsi="Abadi"/>
          <w:spacing w:val="-4"/>
          <w:sz w:val="21"/>
          <w:szCs w:val="21"/>
        </w:rPr>
        <w:t xml:space="preserve"> </w:t>
      </w:r>
      <w:r w:rsidRPr="00206A67">
        <w:rPr>
          <w:rFonts w:ascii="Abadi" w:hAnsi="Abadi"/>
          <w:sz w:val="21"/>
          <w:szCs w:val="21"/>
        </w:rPr>
        <w:t>artículos</w:t>
      </w:r>
      <w:r w:rsidRPr="00206A67">
        <w:rPr>
          <w:rFonts w:ascii="Abadi" w:hAnsi="Abadi"/>
          <w:spacing w:val="-5"/>
          <w:sz w:val="21"/>
          <w:szCs w:val="21"/>
        </w:rPr>
        <w:t xml:space="preserve"> </w:t>
      </w:r>
      <w:r w:rsidRPr="00206A67">
        <w:rPr>
          <w:rFonts w:ascii="Abadi" w:hAnsi="Abadi"/>
          <w:sz w:val="21"/>
          <w:szCs w:val="21"/>
        </w:rPr>
        <w:t>15</w:t>
      </w:r>
      <w:r w:rsidRPr="00206A67">
        <w:rPr>
          <w:rFonts w:ascii="Abadi" w:hAnsi="Abadi"/>
          <w:spacing w:val="-6"/>
          <w:sz w:val="21"/>
          <w:szCs w:val="21"/>
        </w:rPr>
        <w:t xml:space="preserve"> </w:t>
      </w:r>
      <w:r w:rsidRPr="00206A67">
        <w:rPr>
          <w:rFonts w:ascii="Abadi" w:hAnsi="Abadi"/>
          <w:sz w:val="21"/>
          <w:szCs w:val="21"/>
        </w:rPr>
        <w:t>Ter,</w:t>
      </w:r>
      <w:r w:rsidRPr="00206A67">
        <w:rPr>
          <w:rFonts w:ascii="Abadi" w:hAnsi="Abadi"/>
          <w:spacing w:val="-5"/>
          <w:sz w:val="21"/>
          <w:szCs w:val="21"/>
        </w:rPr>
        <w:t xml:space="preserve"> </w:t>
      </w:r>
      <w:proofErr w:type="spellStart"/>
      <w:r w:rsidRPr="00206A67">
        <w:rPr>
          <w:rFonts w:ascii="Abadi" w:hAnsi="Abadi"/>
          <w:sz w:val="21"/>
          <w:szCs w:val="21"/>
        </w:rPr>
        <w:t>Quintus</w:t>
      </w:r>
      <w:proofErr w:type="spellEnd"/>
      <w:r w:rsidRPr="00206A67">
        <w:rPr>
          <w:rFonts w:ascii="Abadi" w:hAnsi="Abadi"/>
          <w:spacing w:val="-4"/>
          <w:sz w:val="21"/>
          <w:szCs w:val="21"/>
        </w:rPr>
        <w:t xml:space="preserve"> </w:t>
      </w:r>
      <w:r w:rsidRPr="00206A67">
        <w:rPr>
          <w:rFonts w:ascii="Abadi" w:hAnsi="Abadi"/>
          <w:sz w:val="21"/>
          <w:szCs w:val="21"/>
        </w:rPr>
        <w:t>y</w:t>
      </w:r>
      <w:r w:rsidRPr="00206A67">
        <w:rPr>
          <w:rFonts w:ascii="Abadi" w:hAnsi="Abadi"/>
          <w:spacing w:val="-6"/>
          <w:sz w:val="21"/>
          <w:szCs w:val="21"/>
        </w:rPr>
        <w:t xml:space="preserve"> </w:t>
      </w:r>
      <w:proofErr w:type="spellStart"/>
      <w:r w:rsidRPr="00206A67">
        <w:rPr>
          <w:rFonts w:ascii="Abadi" w:hAnsi="Abadi"/>
          <w:sz w:val="21"/>
          <w:szCs w:val="21"/>
        </w:rPr>
        <w:t>Séptimus</w:t>
      </w:r>
      <w:proofErr w:type="spellEnd"/>
      <w:r w:rsidRPr="00206A67">
        <w:rPr>
          <w:rFonts w:ascii="Abadi" w:hAnsi="Abadi"/>
          <w:spacing w:val="-4"/>
          <w:sz w:val="21"/>
          <w:szCs w:val="21"/>
        </w:rPr>
        <w:t xml:space="preserve"> </w:t>
      </w:r>
      <w:r w:rsidRPr="00206A67">
        <w:rPr>
          <w:rFonts w:ascii="Abadi" w:hAnsi="Abadi"/>
          <w:sz w:val="21"/>
          <w:szCs w:val="21"/>
        </w:rPr>
        <w:t>de</w:t>
      </w:r>
      <w:r w:rsidRPr="00206A67">
        <w:rPr>
          <w:rFonts w:ascii="Abadi" w:hAnsi="Abadi"/>
          <w:spacing w:val="-4"/>
          <w:sz w:val="21"/>
          <w:szCs w:val="21"/>
        </w:rPr>
        <w:t xml:space="preserve"> </w:t>
      </w:r>
      <w:r w:rsidRPr="00206A67">
        <w:rPr>
          <w:rFonts w:ascii="Abadi" w:hAnsi="Abadi"/>
          <w:sz w:val="21"/>
          <w:szCs w:val="21"/>
        </w:rPr>
        <w:t>la</w:t>
      </w:r>
      <w:r w:rsidRPr="00206A67">
        <w:rPr>
          <w:rFonts w:ascii="Abadi" w:hAnsi="Abadi"/>
          <w:spacing w:val="-5"/>
          <w:sz w:val="21"/>
          <w:szCs w:val="21"/>
        </w:rPr>
        <w:t xml:space="preserve"> </w:t>
      </w:r>
      <w:r w:rsidRPr="00206A67">
        <w:rPr>
          <w:rFonts w:ascii="Abadi" w:hAnsi="Abadi"/>
          <w:sz w:val="21"/>
          <w:szCs w:val="21"/>
        </w:rPr>
        <w:t>Ley</w:t>
      </w:r>
      <w:r w:rsidRPr="00206A67">
        <w:rPr>
          <w:rFonts w:ascii="Abadi" w:hAnsi="Abadi"/>
          <w:spacing w:val="-6"/>
          <w:sz w:val="21"/>
          <w:szCs w:val="21"/>
        </w:rPr>
        <w:t xml:space="preserve"> </w:t>
      </w:r>
      <w:r w:rsidRPr="00206A67">
        <w:rPr>
          <w:rFonts w:ascii="Abadi" w:hAnsi="Abadi"/>
          <w:sz w:val="21"/>
          <w:szCs w:val="21"/>
        </w:rPr>
        <w:t>Federal</w:t>
      </w:r>
      <w:r w:rsidRPr="00206A67">
        <w:rPr>
          <w:rFonts w:ascii="Abadi" w:hAnsi="Abadi"/>
          <w:spacing w:val="-5"/>
          <w:sz w:val="21"/>
          <w:szCs w:val="21"/>
        </w:rPr>
        <w:t xml:space="preserve"> </w:t>
      </w:r>
      <w:r w:rsidRPr="00206A67">
        <w:rPr>
          <w:rFonts w:ascii="Abadi" w:hAnsi="Abadi"/>
          <w:sz w:val="21"/>
          <w:szCs w:val="21"/>
        </w:rPr>
        <w:t>para</w:t>
      </w:r>
      <w:r w:rsidRPr="00206A67">
        <w:rPr>
          <w:rFonts w:ascii="Abadi" w:hAnsi="Abadi"/>
          <w:spacing w:val="-6"/>
          <w:sz w:val="21"/>
          <w:szCs w:val="21"/>
        </w:rPr>
        <w:t xml:space="preserve"> </w:t>
      </w:r>
      <w:r w:rsidRPr="00206A67">
        <w:rPr>
          <w:rFonts w:ascii="Abadi" w:hAnsi="Abadi"/>
          <w:sz w:val="21"/>
          <w:szCs w:val="21"/>
        </w:rPr>
        <w:t>Prevenir y</w:t>
      </w:r>
      <w:r w:rsidRPr="00206A67">
        <w:rPr>
          <w:rFonts w:ascii="Abadi" w:hAnsi="Abadi"/>
          <w:spacing w:val="-5"/>
          <w:sz w:val="21"/>
          <w:szCs w:val="21"/>
        </w:rPr>
        <w:t xml:space="preserve"> </w:t>
      </w:r>
      <w:r w:rsidRPr="00206A67">
        <w:rPr>
          <w:rFonts w:ascii="Abadi" w:hAnsi="Abadi"/>
          <w:sz w:val="21"/>
          <w:szCs w:val="21"/>
        </w:rPr>
        <w:t>Eliminar</w:t>
      </w:r>
      <w:r w:rsidRPr="00206A67">
        <w:rPr>
          <w:rFonts w:ascii="Abadi" w:hAnsi="Abadi"/>
          <w:spacing w:val="-6"/>
          <w:sz w:val="21"/>
          <w:szCs w:val="21"/>
        </w:rPr>
        <w:t xml:space="preserve"> </w:t>
      </w:r>
      <w:r w:rsidRPr="00206A67">
        <w:rPr>
          <w:rFonts w:ascii="Abadi" w:hAnsi="Abadi"/>
          <w:sz w:val="21"/>
          <w:szCs w:val="21"/>
        </w:rPr>
        <w:t>la</w:t>
      </w:r>
      <w:r w:rsidRPr="00206A67">
        <w:rPr>
          <w:rFonts w:ascii="Abadi" w:hAnsi="Abadi"/>
          <w:spacing w:val="-5"/>
          <w:sz w:val="21"/>
          <w:szCs w:val="21"/>
        </w:rPr>
        <w:t xml:space="preserve"> </w:t>
      </w:r>
      <w:r w:rsidRPr="00206A67">
        <w:rPr>
          <w:rFonts w:ascii="Abadi" w:hAnsi="Abadi"/>
          <w:sz w:val="21"/>
          <w:szCs w:val="21"/>
        </w:rPr>
        <w:t>Discriminación</w:t>
      </w:r>
      <w:r w:rsidR="0025046D">
        <w:rPr>
          <w:rStyle w:val="Refdenotaalpie"/>
          <w:rFonts w:ascii="Abadi" w:hAnsi="Abadi"/>
          <w:sz w:val="21"/>
          <w:szCs w:val="21"/>
        </w:rPr>
        <w:footnoteReference w:id="74"/>
      </w:r>
      <w:r w:rsidRPr="00206A67">
        <w:rPr>
          <w:rFonts w:ascii="Abadi" w:hAnsi="Abadi"/>
          <w:sz w:val="21"/>
          <w:szCs w:val="21"/>
        </w:rPr>
        <w:t>,</w:t>
      </w:r>
      <w:r w:rsidRPr="00206A67">
        <w:rPr>
          <w:rFonts w:ascii="Abadi" w:hAnsi="Abadi"/>
          <w:spacing w:val="-5"/>
          <w:sz w:val="21"/>
          <w:szCs w:val="21"/>
        </w:rPr>
        <w:t xml:space="preserve"> </w:t>
      </w:r>
      <w:r w:rsidRPr="00206A67">
        <w:rPr>
          <w:rFonts w:ascii="Abadi" w:hAnsi="Abadi"/>
          <w:sz w:val="21"/>
          <w:szCs w:val="21"/>
        </w:rPr>
        <w:t>establecen</w:t>
      </w:r>
      <w:r w:rsidRPr="00206A67">
        <w:rPr>
          <w:rFonts w:ascii="Abadi" w:hAnsi="Abadi"/>
          <w:spacing w:val="-4"/>
          <w:sz w:val="21"/>
          <w:szCs w:val="21"/>
        </w:rPr>
        <w:t xml:space="preserve"> </w:t>
      </w:r>
      <w:r w:rsidRPr="00206A67">
        <w:rPr>
          <w:rFonts w:ascii="Abadi" w:hAnsi="Abadi"/>
          <w:sz w:val="21"/>
          <w:szCs w:val="21"/>
        </w:rPr>
        <w:t>la</w:t>
      </w:r>
      <w:r w:rsidRPr="00206A67">
        <w:rPr>
          <w:rFonts w:ascii="Abadi" w:hAnsi="Abadi"/>
          <w:spacing w:val="-5"/>
          <w:sz w:val="21"/>
          <w:szCs w:val="21"/>
        </w:rPr>
        <w:t xml:space="preserve"> </w:t>
      </w:r>
      <w:r w:rsidRPr="00206A67">
        <w:rPr>
          <w:rFonts w:ascii="Abadi" w:hAnsi="Abadi"/>
          <w:sz w:val="21"/>
          <w:szCs w:val="21"/>
        </w:rPr>
        <w:t>obligación</w:t>
      </w:r>
      <w:r w:rsidRPr="00206A67">
        <w:rPr>
          <w:rFonts w:ascii="Abadi" w:hAnsi="Abadi"/>
          <w:spacing w:val="-5"/>
          <w:sz w:val="21"/>
          <w:szCs w:val="21"/>
        </w:rPr>
        <w:t xml:space="preserve"> </w:t>
      </w:r>
      <w:r w:rsidRPr="00206A67">
        <w:rPr>
          <w:rFonts w:ascii="Abadi" w:hAnsi="Abadi"/>
          <w:sz w:val="21"/>
          <w:szCs w:val="21"/>
        </w:rPr>
        <w:t>de</w:t>
      </w:r>
      <w:r w:rsidRPr="00206A67">
        <w:rPr>
          <w:rFonts w:ascii="Abadi" w:hAnsi="Abadi"/>
          <w:spacing w:val="-5"/>
          <w:sz w:val="21"/>
          <w:szCs w:val="21"/>
        </w:rPr>
        <w:t xml:space="preserve"> </w:t>
      </w:r>
      <w:r w:rsidRPr="00206A67">
        <w:rPr>
          <w:rFonts w:ascii="Abadi" w:hAnsi="Abadi"/>
          <w:sz w:val="21"/>
          <w:szCs w:val="21"/>
        </w:rPr>
        <w:t>garantizar</w:t>
      </w:r>
      <w:r w:rsidRPr="00206A67">
        <w:rPr>
          <w:rFonts w:ascii="Abadi" w:hAnsi="Abadi"/>
          <w:spacing w:val="-6"/>
          <w:sz w:val="21"/>
          <w:szCs w:val="21"/>
        </w:rPr>
        <w:t xml:space="preserve"> </w:t>
      </w:r>
      <w:r w:rsidRPr="00206A67">
        <w:rPr>
          <w:rFonts w:ascii="Abadi" w:hAnsi="Abadi"/>
          <w:sz w:val="21"/>
          <w:szCs w:val="21"/>
        </w:rPr>
        <w:t>a</w:t>
      </w:r>
      <w:r w:rsidRPr="00206A67">
        <w:rPr>
          <w:rFonts w:ascii="Abadi" w:hAnsi="Abadi"/>
          <w:spacing w:val="-5"/>
          <w:sz w:val="21"/>
          <w:szCs w:val="21"/>
        </w:rPr>
        <w:t xml:space="preserve"> </w:t>
      </w:r>
      <w:r w:rsidRPr="00206A67">
        <w:rPr>
          <w:rFonts w:ascii="Abadi" w:hAnsi="Abadi"/>
          <w:sz w:val="21"/>
          <w:szCs w:val="21"/>
        </w:rPr>
        <w:t>toda</w:t>
      </w:r>
      <w:r w:rsidRPr="00206A67">
        <w:rPr>
          <w:rFonts w:ascii="Abadi" w:hAnsi="Abadi"/>
          <w:spacing w:val="-5"/>
          <w:sz w:val="21"/>
          <w:szCs w:val="21"/>
        </w:rPr>
        <w:t xml:space="preserve"> </w:t>
      </w:r>
      <w:r w:rsidRPr="00206A67">
        <w:rPr>
          <w:rFonts w:ascii="Abadi" w:hAnsi="Abadi"/>
          <w:sz w:val="21"/>
          <w:szCs w:val="21"/>
        </w:rPr>
        <w:t>persona con discapacidad, la igualdad material de oportunidades y el derecho a la no discriminación, a través de la adopción de las siguientes medidas o acciones:</w:t>
      </w:r>
    </w:p>
    <w:p w14:paraId="2EE9A7A8" w14:textId="77777777" w:rsidR="009232CC" w:rsidRPr="00206A67" w:rsidRDefault="009232CC" w:rsidP="009232CC">
      <w:pPr>
        <w:pStyle w:val="Textoindependiente"/>
        <w:rPr>
          <w:rFonts w:ascii="Abadi" w:hAnsi="Abadi"/>
          <w:sz w:val="21"/>
          <w:szCs w:val="21"/>
        </w:rPr>
      </w:pPr>
    </w:p>
    <w:p w14:paraId="54D1B6F7" w14:textId="77777777" w:rsidR="009232CC" w:rsidRPr="00206A67" w:rsidRDefault="009232CC" w:rsidP="00427BD6">
      <w:pPr>
        <w:pStyle w:val="Prrafodelista"/>
        <w:widowControl w:val="0"/>
        <w:numPr>
          <w:ilvl w:val="0"/>
          <w:numId w:val="19"/>
        </w:numPr>
        <w:autoSpaceDE w:val="0"/>
        <w:autoSpaceDN w:val="0"/>
        <w:ind w:left="426"/>
        <w:jc w:val="both"/>
        <w:rPr>
          <w:rFonts w:ascii="Abadi" w:hAnsi="Abadi"/>
          <w:sz w:val="21"/>
          <w:szCs w:val="21"/>
        </w:rPr>
      </w:pPr>
      <w:r w:rsidRPr="00206A67">
        <w:rPr>
          <w:rFonts w:ascii="Abadi" w:hAnsi="Abadi"/>
          <w:sz w:val="21"/>
          <w:szCs w:val="21"/>
        </w:rPr>
        <w:t>Medidas</w:t>
      </w:r>
      <w:r w:rsidRPr="00206A67">
        <w:rPr>
          <w:rFonts w:ascii="Abadi" w:hAnsi="Abadi"/>
          <w:spacing w:val="-1"/>
          <w:sz w:val="21"/>
          <w:szCs w:val="21"/>
        </w:rPr>
        <w:t xml:space="preserve"> </w:t>
      </w:r>
      <w:r w:rsidRPr="00206A67">
        <w:rPr>
          <w:rFonts w:ascii="Abadi" w:hAnsi="Abadi"/>
          <w:sz w:val="21"/>
          <w:szCs w:val="21"/>
        </w:rPr>
        <w:t>de nivelación son aquellas</w:t>
      </w:r>
      <w:r w:rsidRPr="00206A67">
        <w:rPr>
          <w:rFonts w:ascii="Abadi" w:hAnsi="Abadi"/>
          <w:spacing w:val="-1"/>
          <w:sz w:val="21"/>
          <w:szCs w:val="21"/>
        </w:rPr>
        <w:t xml:space="preserve"> </w:t>
      </w:r>
      <w:r w:rsidRPr="00206A67">
        <w:rPr>
          <w:rFonts w:ascii="Abadi" w:hAnsi="Abadi"/>
          <w:sz w:val="21"/>
          <w:szCs w:val="21"/>
        </w:rPr>
        <w:t>que buscan hacer</w:t>
      </w:r>
      <w:r w:rsidRPr="00206A67">
        <w:rPr>
          <w:rFonts w:ascii="Abadi" w:hAnsi="Abadi"/>
          <w:spacing w:val="-2"/>
          <w:sz w:val="21"/>
          <w:szCs w:val="21"/>
        </w:rPr>
        <w:t xml:space="preserve"> </w:t>
      </w:r>
      <w:r w:rsidRPr="00206A67">
        <w:rPr>
          <w:rFonts w:ascii="Abadi" w:hAnsi="Abadi"/>
          <w:sz w:val="21"/>
          <w:szCs w:val="21"/>
        </w:rPr>
        <w:t>efectivo el acceso de todas las personas a la igualdad real de oportunidades eliminando las barreras físicas, comunicacionales, normativas o de otro tipo, que obstaculizan el ejercicio de derechos y libertades prioritariamente a las mujeres y a los grupos en situación de discriminación o vulnerabilidad;</w:t>
      </w:r>
    </w:p>
    <w:p w14:paraId="0C6500E5" w14:textId="77777777" w:rsidR="009232CC" w:rsidRPr="00206A67" w:rsidRDefault="009232CC" w:rsidP="006D3132">
      <w:pPr>
        <w:pStyle w:val="Textoindependiente"/>
        <w:rPr>
          <w:rFonts w:ascii="Abadi" w:hAnsi="Abadi"/>
          <w:sz w:val="21"/>
          <w:szCs w:val="21"/>
        </w:rPr>
      </w:pPr>
    </w:p>
    <w:p w14:paraId="19DFF888" w14:textId="77777777" w:rsidR="009232CC" w:rsidRPr="00206A67" w:rsidRDefault="009232CC" w:rsidP="00427BD6">
      <w:pPr>
        <w:pStyle w:val="Prrafodelista"/>
        <w:widowControl w:val="0"/>
        <w:numPr>
          <w:ilvl w:val="0"/>
          <w:numId w:val="19"/>
        </w:numPr>
        <w:autoSpaceDE w:val="0"/>
        <w:autoSpaceDN w:val="0"/>
        <w:ind w:left="426"/>
        <w:jc w:val="both"/>
        <w:rPr>
          <w:rFonts w:ascii="Abadi" w:hAnsi="Abadi"/>
          <w:sz w:val="21"/>
          <w:szCs w:val="21"/>
        </w:rPr>
      </w:pPr>
      <w:r w:rsidRPr="00206A67">
        <w:rPr>
          <w:rFonts w:ascii="Abadi" w:hAnsi="Abadi"/>
          <w:sz w:val="21"/>
          <w:szCs w:val="21"/>
        </w:rPr>
        <w:t>Medidas de inclusión son aquellas disposiciones, de carácter preventivo o correctivo, cuyo objeto es eliminar mecanismos de exclusión o diferenciaciones</w:t>
      </w:r>
      <w:r w:rsidRPr="00206A67">
        <w:rPr>
          <w:rFonts w:ascii="Abadi" w:hAnsi="Abadi"/>
          <w:spacing w:val="-14"/>
          <w:sz w:val="21"/>
          <w:szCs w:val="21"/>
        </w:rPr>
        <w:t xml:space="preserve"> </w:t>
      </w:r>
      <w:r w:rsidRPr="00206A67">
        <w:rPr>
          <w:rFonts w:ascii="Abadi" w:hAnsi="Abadi"/>
          <w:sz w:val="21"/>
          <w:szCs w:val="21"/>
        </w:rPr>
        <w:t>desventajosas</w:t>
      </w:r>
      <w:r w:rsidRPr="00206A67">
        <w:rPr>
          <w:rFonts w:ascii="Abadi" w:hAnsi="Abadi"/>
          <w:spacing w:val="-14"/>
          <w:sz w:val="21"/>
          <w:szCs w:val="21"/>
        </w:rPr>
        <w:t xml:space="preserve"> </w:t>
      </w:r>
      <w:r w:rsidRPr="00206A67">
        <w:rPr>
          <w:rFonts w:ascii="Abadi" w:hAnsi="Abadi"/>
          <w:sz w:val="21"/>
          <w:szCs w:val="21"/>
        </w:rPr>
        <w:t>para</w:t>
      </w:r>
      <w:r w:rsidRPr="00206A67">
        <w:rPr>
          <w:rFonts w:ascii="Abadi" w:hAnsi="Abadi"/>
          <w:spacing w:val="-13"/>
          <w:sz w:val="21"/>
          <w:szCs w:val="21"/>
        </w:rPr>
        <w:t xml:space="preserve"> </w:t>
      </w:r>
      <w:r w:rsidRPr="00206A67">
        <w:rPr>
          <w:rFonts w:ascii="Abadi" w:hAnsi="Abadi"/>
          <w:sz w:val="21"/>
          <w:szCs w:val="21"/>
        </w:rPr>
        <w:t>que</w:t>
      </w:r>
      <w:r w:rsidRPr="00206A67">
        <w:rPr>
          <w:rFonts w:ascii="Abadi" w:hAnsi="Abadi"/>
          <w:spacing w:val="-13"/>
          <w:sz w:val="21"/>
          <w:szCs w:val="21"/>
        </w:rPr>
        <w:t xml:space="preserve"> </w:t>
      </w:r>
      <w:r w:rsidRPr="00206A67">
        <w:rPr>
          <w:rFonts w:ascii="Abadi" w:hAnsi="Abadi"/>
          <w:sz w:val="21"/>
          <w:szCs w:val="21"/>
        </w:rPr>
        <w:t>todas</w:t>
      </w:r>
      <w:r w:rsidRPr="00206A67">
        <w:rPr>
          <w:rFonts w:ascii="Abadi" w:hAnsi="Abadi"/>
          <w:spacing w:val="-11"/>
          <w:sz w:val="21"/>
          <w:szCs w:val="21"/>
        </w:rPr>
        <w:t xml:space="preserve"> </w:t>
      </w:r>
      <w:r w:rsidRPr="00206A67">
        <w:rPr>
          <w:rFonts w:ascii="Abadi" w:hAnsi="Abadi"/>
          <w:sz w:val="21"/>
          <w:szCs w:val="21"/>
        </w:rPr>
        <w:t>las</w:t>
      </w:r>
      <w:r w:rsidRPr="00206A67">
        <w:rPr>
          <w:rFonts w:ascii="Abadi" w:hAnsi="Abadi"/>
          <w:spacing w:val="-13"/>
          <w:sz w:val="21"/>
          <w:szCs w:val="21"/>
        </w:rPr>
        <w:t xml:space="preserve"> </w:t>
      </w:r>
      <w:r w:rsidRPr="00206A67">
        <w:rPr>
          <w:rFonts w:ascii="Abadi" w:hAnsi="Abadi"/>
          <w:sz w:val="21"/>
          <w:szCs w:val="21"/>
        </w:rPr>
        <w:t>personas</w:t>
      </w:r>
      <w:r w:rsidRPr="00206A67">
        <w:rPr>
          <w:rFonts w:ascii="Abadi" w:hAnsi="Abadi"/>
          <w:spacing w:val="-14"/>
          <w:sz w:val="21"/>
          <w:szCs w:val="21"/>
        </w:rPr>
        <w:t xml:space="preserve"> </w:t>
      </w:r>
      <w:r w:rsidRPr="00206A67">
        <w:rPr>
          <w:rFonts w:ascii="Abadi" w:hAnsi="Abadi"/>
          <w:sz w:val="21"/>
          <w:szCs w:val="21"/>
        </w:rPr>
        <w:t>gocen</w:t>
      </w:r>
      <w:r w:rsidRPr="00206A67">
        <w:rPr>
          <w:rFonts w:ascii="Abadi" w:hAnsi="Abadi"/>
          <w:spacing w:val="-13"/>
          <w:sz w:val="21"/>
          <w:szCs w:val="21"/>
        </w:rPr>
        <w:t xml:space="preserve"> </w:t>
      </w:r>
      <w:r w:rsidRPr="00206A67">
        <w:rPr>
          <w:rFonts w:ascii="Abadi" w:hAnsi="Abadi"/>
          <w:sz w:val="21"/>
          <w:szCs w:val="21"/>
        </w:rPr>
        <w:t>y</w:t>
      </w:r>
      <w:r w:rsidRPr="00206A67">
        <w:rPr>
          <w:rFonts w:ascii="Abadi" w:hAnsi="Abadi"/>
          <w:spacing w:val="-14"/>
          <w:sz w:val="21"/>
          <w:szCs w:val="21"/>
        </w:rPr>
        <w:t xml:space="preserve"> </w:t>
      </w:r>
      <w:r w:rsidRPr="00206A67">
        <w:rPr>
          <w:rFonts w:ascii="Abadi" w:hAnsi="Abadi"/>
          <w:sz w:val="21"/>
          <w:szCs w:val="21"/>
        </w:rPr>
        <w:t>ejerzan sus derechos en igualdad de trato;</w:t>
      </w:r>
    </w:p>
    <w:p w14:paraId="404E3ABE" w14:textId="77777777" w:rsidR="009232CC" w:rsidRPr="00206A67" w:rsidRDefault="009232CC" w:rsidP="006D3132">
      <w:pPr>
        <w:pStyle w:val="Textoindependiente"/>
        <w:rPr>
          <w:rFonts w:ascii="Abadi" w:hAnsi="Abadi"/>
          <w:sz w:val="21"/>
          <w:szCs w:val="21"/>
        </w:rPr>
      </w:pPr>
    </w:p>
    <w:p w14:paraId="143073DA" w14:textId="77777777" w:rsidR="009232CC" w:rsidRPr="005A4789" w:rsidRDefault="009232CC" w:rsidP="00427BD6">
      <w:pPr>
        <w:pStyle w:val="Prrafodelista"/>
        <w:widowControl w:val="0"/>
        <w:numPr>
          <w:ilvl w:val="0"/>
          <w:numId w:val="19"/>
        </w:numPr>
        <w:autoSpaceDE w:val="0"/>
        <w:autoSpaceDN w:val="0"/>
        <w:ind w:left="426"/>
        <w:jc w:val="both"/>
        <w:rPr>
          <w:rFonts w:ascii="Abadi" w:hAnsi="Abadi"/>
          <w:sz w:val="21"/>
          <w:szCs w:val="21"/>
        </w:rPr>
      </w:pPr>
      <w:r w:rsidRPr="00206A67">
        <w:rPr>
          <w:rFonts w:ascii="Abadi" w:hAnsi="Abadi"/>
          <w:sz w:val="21"/>
          <w:szCs w:val="21"/>
        </w:rPr>
        <w:t>Acciones afirmativas son las medidas especiales, específicas y de carácter temporal,</w:t>
      </w:r>
      <w:r w:rsidRPr="00206A67">
        <w:rPr>
          <w:rFonts w:ascii="Abadi" w:hAnsi="Abadi"/>
          <w:spacing w:val="-3"/>
          <w:sz w:val="21"/>
          <w:szCs w:val="21"/>
        </w:rPr>
        <w:t xml:space="preserve"> </w:t>
      </w:r>
      <w:r w:rsidRPr="00206A67">
        <w:rPr>
          <w:rFonts w:ascii="Abadi" w:hAnsi="Abadi"/>
          <w:sz w:val="21"/>
          <w:szCs w:val="21"/>
        </w:rPr>
        <w:t>a</w:t>
      </w:r>
      <w:r w:rsidRPr="00206A67">
        <w:rPr>
          <w:rFonts w:ascii="Abadi" w:hAnsi="Abadi"/>
          <w:spacing w:val="-3"/>
          <w:sz w:val="21"/>
          <w:szCs w:val="21"/>
        </w:rPr>
        <w:t xml:space="preserve"> </w:t>
      </w:r>
      <w:r w:rsidRPr="00206A67">
        <w:rPr>
          <w:rFonts w:ascii="Abadi" w:hAnsi="Abadi"/>
          <w:sz w:val="21"/>
          <w:szCs w:val="21"/>
        </w:rPr>
        <w:t>favor</w:t>
      </w:r>
      <w:r w:rsidRPr="00206A67">
        <w:rPr>
          <w:rFonts w:ascii="Abadi" w:hAnsi="Abadi"/>
          <w:spacing w:val="-4"/>
          <w:sz w:val="21"/>
          <w:szCs w:val="21"/>
        </w:rPr>
        <w:t xml:space="preserve"> </w:t>
      </w:r>
      <w:r w:rsidRPr="00206A67">
        <w:rPr>
          <w:rFonts w:ascii="Abadi" w:hAnsi="Abadi"/>
          <w:sz w:val="21"/>
          <w:szCs w:val="21"/>
        </w:rPr>
        <w:t>de</w:t>
      </w:r>
      <w:r w:rsidRPr="00206A67">
        <w:rPr>
          <w:rFonts w:ascii="Abadi" w:hAnsi="Abadi"/>
          <w:spacing w:val="-2"/>
          <w:sz w:val="21"/>
          <w:szCs w:val="21"/>
        </w:rPr>
        <w:t xml:space="preserve"> </w:t>
      </w:r>
      <w:r w:rsidRPr="00206A67">
        <w:rPr>
          <w:rFonts w:ascii="Abadi" w:hAnsi="Abadi"/>
          <w:sz w:val="21"/>
          <w:szCs w:val="21"/>
        </w:rPr>
        <w:t>personas</w:t>
      </w:r>
      <w:r w:rsidRPr="00206A67">
        <w:rPr>
          <w:rFonts w:ascii="Abadi" w:hAnsi="Abadi"/>
          <w:spacing w:val="-3"/>
          <w:sz w:val="21"/>
          <w:szCs w:val="21"/>
        </w:rPr>
        <w:t xml:space="preserve"> </w:t>
      </w:r>
      <w:r w:rsidRPr="00206A67">
        <w:rPr>
          <w:rFonts w:ascii="Abadi" w:hAnsi="Abadi"/>
          <w:sz w:val="21"/>
          <w:szCs w:val="21"/>
        </w:rPr>
        <w:t>o</w:t>
      </w:r>
      <w:r w:rsidRPr="00206A67">
        <w:rPr>
          <w:rFonts w:ascii="Abadi" w:hAnsi="Abadi"/>
          <w:spacing w:val="-3"/>
          <w:sz w:val="21"/>
          <w:szCs w:val="21"/>
        </w:rPr>
        <w:t xml:space="preserve"> </w:t>
      </w:r>
      <w:r w:rsidRPr="00206A67">
        <w:rPr>
          <w:rFonts w:ascii="Abadi" w:hAnsi="Abadi"/>
          <w:sz w:val="21"/>
          <w:szCs w:val="21"/>
        </w:rPr>
        <w:t>grupos</w:t>
      </w:r>
      <w:r w:rsidRPr="00206A67">
        <w:rPr>
          <w:rFonts w:ascii="Abadi" w:hAnsi="Abadi"/>
          <w:spacing w:val="-3"/>
          <w:sz w:val="21"/>
          <w:szCs w:val="21"/>
        </w:rPr>
        <w:t xml:space="preserve"> </w:t>
      </w:r>
      <w:r w:rsidRPr="00206A67">
        <w:rPr>
          <w:rFonts w:ascii="Abadi" w:hAnsi="Abadi"/>
          <w:sz w:val="21"/>
          <w:szCs w:val="21"/>
        </w:rPr>
        <w:t>en situación de</w:t>
      </w:r>
      <w:r w:rsidRPr="00206A67">
        <w:rPr>
          <w:rFonts w:ascii="Abadi" w:hAnsi="Abadi"/>
          <w:spacing w:val="-3"/>
          <w:sz w:val="21"/>
          <w:szCs w:val="21"/>
        </w:rPr>
        <w:t xml:space="preserve"> </w:t>
      </w:r>
      <w:r w:rsidRPr="00206A67">
        <w:rPr>
          <w:rFonts w:ascii="Abadi" w:hAnsi="Abadi"/>
          <w:sz w:val="21"/>
          <w:szCs w:val="21"/>
        </w:rPr>
        <w:t xml:space="preserve">discriminación, cuyo objetivo es corregir situaciones patentes de desigualdad en el disfrute o ejercicio </w:t>
      </w:r>
      <w:r w:rsidRPr="00206A67">
        <w:rPr>
          <w:rFonts w:ascii="Abadi" w:hAnsi="Abadi"/>
          <w:sz w:val="21"/>
          <w:szCs w:val="21"/>
        </w:rPr>
        <w:t xml:space="preserve">de derechos y libertades, aplicables mientras subsistan dichas </w:t>
      </w:r>
      <w:r w:rsidRPr="00206A67">
        <w:rPr>
          <w:rFonts w:ascii="Abadi" w:hAnsi="Abadi"/>
          <w:spacing w:val="-2"/>
          <w:sz w:val="21"/>
          <w:szCs w:val="21"/>
        </w:rPr>
        <w:t>situaciones.</w:t>
      </w:r>
    </w:p>
    <w:p w14:paraId="4B13EE66" w14:textId="77777777" w:rsidR="005A4789" w:rsidRPr="005A4789" w:rsidRDefault="005A4789" w:rsidP="005A4789">
      <w:pPr>
        <w:pStyle w:val="Prrafodelista"/>
        <w:rPr>
          <w:rFonts w:ascii="Abadi" w:hAnsi="Abadi"/>
          <w:sz w:val="21"/>
          <w:szCs w:val="21"/>
        </w:rPr>
      </w:pPr>
    </w:p>
    <w:p w14:paraId="2A813BD2" w14:textId="77777777" w:rsidR="005A4789" w:rsidRPr="00206A67" w:rsidRDefault="005A4789" w:rsidP="005A4789">
      <w:pPr>
        <w:ind w:right="142"/>
        <w:jc w:val="both"/>
        <w:rPr>
          <w:rFonts w:ascii="Abadi" w:hAnsi="Abadi"/>
          <w:sz w:val="21"/>
          <w:szCs w:val="21"/>
        </w:rPr>
      </w:pPr>
      <w:r w:rsidRPr="00206A67">
        <w:rPr>
          <w:rFonts w:ascii="Abadi" w:hAnsi="Abadi"/>
          <w:sz w:val="21"/>
          <w:szCs w:val="21"/>
        </w:rPr>
        <w:t>Por su parte, a nivel local, en la Ley de Inclusión para las Personas con Discapacidad</w:t>
      </w:r>
      <w:r w:rsidRPr="00206A67">
        <w:rPr>
          <w:rFonts w:ascii="Abadi" w:hAnsi="Abadi"/>
          <w:spacing w:val="-13"/>
          <w:sz w:val="21"/>
          <w:szCs w:val="21"/>
        </w:rPr>
        <w:t xml:space="preserve"> </w:t>
      </w:r>
      <w:r w:rsidRPr="00206A67">
        <w:rPr>
          <w:rFonts w:ascii="Abadi" w:hAnsi="Abadi"/>
          <w:sz w:val="21"/>
          <w:szCs w:val="21"/>
        </w:rPr>
        <w:t>en</w:t>
      </w:r>
      <w:r w:rsidRPr="00206A67">
        <w:rPr>
          <w:rFonts w:ascii="Abadi" w:hAnsi="Abadi"/>
          <w:spacing w:val="-16"/>
          <w:sz w:val="21"/>
          <w:szCs w:val="21"/>
        </w:rPr>
        <w:t xml:space="preserve"> </w:t>
      </w:r>
      <w:r w:rsidRPr="00206A67">
        <w:rPr>
          <w:rFonts w:ascii="Abadi" w:hAnsi="Abadi"/>
          <w:sz w:val="21"/>
          <w:szCs w:val="21"/>
        </w:rPr>
        <w:t>el</w:t>
      </w:r>
      <w:r w:rsidRPr="00206A67">
        <w:rPr>
          <w:rFonts w:ascii="Abadi" w:hAnsi="Abadi"/>
          <w:spacing w:val="-15"/>
          <w:sz w:val="21"/>
          <w:szCs w:val="21"/>
        </w:rPr>
        <w:t xml:space="preserve"> </w:t>
      </w:r>
      <w:r w:rsidRPr="00206A67">
        <w:rPr>
          <w:rFonts w:ascii="Abadi" w:hAnsi="Abadi"/>
          <w:sz w:val="21"/>
          <w:szCs w:val="21"/>
        </w:rPr>
        <w:t>Estado</w:t>
      </w:r>
      <w:r w:rsidRPr="00206A67">
        <w:rPr>
          <w:rFonts w:ascii="Abadi" w:hAnsi="Abadi"/>
          <w:spacing w:val="-15"/>
          <w:sz w:val="21"/>
          <w:szCs w:val="21"/>
        </w:rPr>
        <w:t xml:space="preserve"> </w:t>
      </w:r>
      <w:r w:rsidRPr="00206A67">
        <w:rPr>
          <w:rFonts w:ascii="Abadi" w:hAnsi="Abadi"/>
          <w:sz w:val="21"/>
          <w:szCs w:val="21"/>
        </w:rPr>
        <w:t>de</w:t>
      </w:r>
      <w:r w:rsidRPr="00206A67">
        <w:rPr>
          <w:rFonts w:ascii="Abadi" w:hAnsi="Abadi"/>
          <w:spacing w:val="-14"/>
          <w:sz w:val="21"/>
          <w:szCs w:val="21"/>
        </w:rPr>
        <w:t xml:space="preserve"> </w:t>
      </w:r>
      <w:r w:rsidRPr="00206A67">
        <w:rPr>
          <w:rFonts w:ascii="Abadi" w:hAnsi="Abadi"/>
          <w:sz w:val="21"/>
          <w:szCs w:val="21"/>
        </w:rPr>
        <w:t>Guanajuato,</w:t>
      </w:r>
      <w:r w:rsidRPr="00206A67">
        <w:rPr>
          <w:rFonts w:ascii="Abadi" w:hAnsi="Abadi"/>
          <w:spacing w:val="-14"/>
          <w:sz w:val="21"/>
          <w:szCs w:val="21"/>
        </w:rPr>
        <w:t xml:space="preserve"> </w:t>
      </w:r>
      <w:r w:rsidRPr="00206A67">
        <w:rPr>
          <w:rFonts w:ascii="Abadi" w:hAnsi="Abadi"/>
          <w:sz w:val="21"/>
          <w:szCs w:val="21"/>
        </w:rPr>
        <w:t>se</w:t>
      </w:r>
      <w:r w:rsidRPr="00206A67">
        <w:rPr>
          <w:rFonts w:ascii="Abadi" w:hAnsi="Abadi"/>
          <w:spacing w:val="-16"/>
          <w:sz w:val="21"/>
          <w:szCs w:val="21"/>
        </w:rPr>
        <w:t xml:space="preserve"> </w:t>
      </w:r>
      <w:r w:rsidRPr="00206A67">
        <w:rPr>
          <w:rFonts w:ascii="Abadi" w:hAnsi="Abadi"/>
          <w:sz w:val="21"/>
          <w:szCs w:val="21"/>
        </w:rPr>
        <w:t>establecen</w:t>
      </w:r>
      <w:r w:rsidRPr="00206A67">
        <w:rPr>
          <w:rFonts w:ascii="Abadi" w:hAnsi="Abadi"/>
          <w:spacing w:val="-14"/>
          <w:sz w:val="21"/>
          <w:szCs w:val="21"/>
        </w:rPr>
        <w:t xml:space="preserve"> </w:t>
      </w:r>
      <w:r w:rsidRPr="00206A67">
        <w:rPr>
          <w:rFonts w:ascii="Abadi" w:hAnsi="Abadi"/>
          <w:sz w:val="21"/>
          <w:szCs w:val="21"/>
        </w:rPr>
        <w:t>las</w:t>
      </w:r>
      <w:r w:rsidRPr="00206A67">
        <w:rPr>
          <w:rFonts w:ascii="Abadi" w:hAnsi="Abadi"/>
          <w:spacing w:val="-15"/>
          <w:sz w:val="21"/>
          <w:szCs w:val="21"/>
        </w:rPr>
        <w:t xml:space="preserve"> </w:t>
      </w:r>
      <w:r w:rsidRPr="00206A67">
        <w:rPr>
          <w:rFonts w:ascii="Abadi" w:hAnsi="Abadi"/>
          <w:sz w:val="21"/>
          <w:szCs w:val="21"/>
        </w:rPr>
        <w:t>bases</w:t>
      </w:r>
      <w:r w:rsidRPr="00206A67">
        <w:rPr>
          <w:rFonts w:ascii="Abadi" w:hAnsi="Abadi"/>
          <w:spacing w:val="-15"/>
          <w:sz w:val="21"/>
          <w:szCs w:val="21"/>
        </w:rPr>
        <w:t xml:space="preserve"> </w:t>
      </w:r>
      <w:r w:rsidRPr="00206A67">
        <w:rPr>
          <w:rFonts w:ascii="Abadi" w:hAnsi="Abadi"/>
          <w:sz w:val="21"/>
          <w:szCs w:val="21"/>
        </w:rPr>
        <w:t>para</w:t>
      </w:r>
      <w:r w:rsidRPr="00206A67">
        <w:rPr>
          <w:rFonts w:ascii="Abadi" w:hAnsi="Abadi"/>
          <w:spacing w:val="-15"/>
          <w:sz w:val="21"/>
          <w:szCs w:val="21"/>
        </w:rPr>
        <w:t xml:space="preserve"> </w:t>
      </w:r>
      <w:r w:rsidRPr="00206A67">
        <w:rPr>
          <w:rFonts w:ascii="Abadi" w:hAnsi="Abadi"/>
          <w:sz w:val="21"/>
          <w:szCs w:val="21"/>
        </w:rPr>
        <w:t>la</w:t>
      </w:r>
      <w:r w:rsidRPr="00206A67">
        <w:rPr>
          <w:rFonts w:ascii="Abadi" w:hAnsi="Abadi"/>
          <w:spacing w:val="-15"/>
          <w:sz w:val="21"/>
          <w:szCs w:val="21"/>
        </w:rPr>
        <w:t xml:space="preserve"> </w:t>
      </w:r>
      <w:r w:rsidRPr="00206A67">
        <w:rPr>
          <w:rFonts w:ascii="Abadi" w:hAnsi="Abadi"/>
          <w:sz w:val="21"/>
          <w:szCs w:val="21"/>
        </w:rPr>
        <w:t>inclusión de las personas con discapacidad en un marco de igualdad, desarrollo social y de equiparación de oportunidades en todos los ámbitos de la vida; así mismo, las dependencias y entidades de la administración pública estatal y municipal en el ejercicio</w:t>
      </w:r>
      <w:r w:rsidRPr="00206A67">
        <w:rPr>
          <w:rFonts w:ascii="Abadi" w:hAnsi="Abadi"/>
          <w:spacing w:val="-8"/>
          <w:sz w:val="21"/>
          <w:szCs w:val="21"/>
        </w:rPr>
        <w:t xml:space="preserve"> </w:t>
      </w:r>
      <w:r w:rsidRPr="00206A67">
        <w:rPr>
          <w:rFonts w:ascii="Abadi" w:hAnsi="Abadi"/>
          <w:sz w:val="21"/>
          <w:szCs w:val="21"/>
        </w:rPr>
        <w:t>de</w:t>
      </w:r>
      <w:r w:rsidRPr="00206A67">
        <w:rPr>
          <w:rFonts w:ascii="Abadi" w:hAnsi="Abadi"/>
          <w:spacing w:val="-10"/>
          <w:sz w:val="21"/>
          <w:szCs w:val="21"/>
        </w:rPr>
        <w:t xml:space="preserve"> </w:t>
      </w:r>
      <w:r w:rsidRPr="00206A67">
        <w:rPr>
          <w:rFonts w:ascii="Abadi" w:hAnsi="Abadi"/>
          <w:sz w:val="21"/>
          <w:szCs w:val="21"/>
        </w:rPr>
        <w:t>sus</w:t>
      </w:r>
      <w:r w:rsidRPr="00206A67">
        <w:rPr>
          <w:rFonts w:ascii="Abadi" w:hAnsi="Abadi"/>
          <w:spacing w:val="-11"/>
          <w:sz w:val="21"/>
          <w:szCs w:val="21"/>
        </w:rPr>
        <w:t xml:space="preserve"> </w:t>
      </w:r>
      <w:r w:rsidRPr="00206A67">
        <w:rPr>
          <w:rFonts w:ascii="Abadi" w:hAnsi="Abadi"/>
          <w:sz w:val="21"/>
          <w:szCs w:val="21"/>
        </w:rPr>
        <w:t>atribuciones,</w:t>
      </w:r>
      <w:r w:rsidRPr="00206A67">
        <w:rPr>
          <w:rFonts w:ascii="Abadi" w:hAnsi="Abadi"/>
          <w:spacing w:val="-8"/>
          <w:sz w:val="21"/>
          <w:szCs w:val="21"/>
        </w:rPr>
        <w:t xml:space="preserve"> </w:t>
      </w:r>
      <w:r w:rsidRPr="00206A67">
        <w:rPr>
          <w:rFonts w:ascii="Abadi" w:hAnsi="Abadi"/>
          <w:sz w:val="21"/>
          <w:szCs w:val="21"/>
        </w:rPr>
        <w:t>deben</w:t>
      </w:r>
      <w:r w:rsidRPr="00206A67">
        <w:rPr>
          <w:rFonts w:ascii="Abadi" w:hAnsi="Abadi"/>
          <w:spacing w:val="-10"/>
          <w:sz w:val="21"/>
          <w:szCs w:val="21"/>
        </w:rPr>
        <w:t xml:space="preserve"> </w:t>
      </w:r>
      <w:r w:rsidRPr="00206A67">
        <w:rPr>
          <w:rFonts w:ascii="Abadi" w:hAnsi="Abadi"/>
          <w:sz w:val="21"/>
          <w:szCs w:val="21"/>
        </w:rPr>
        <w:t>aplicar</w:t>
      </w:r>
      <w:r w:rsidRPr="00206A67">
        <w:rPr>
          <w:rFonts w:ascii="Abadi" w:hAnsi="Abadi"/>
          <w:spacing w:val="-9"/>
          <w:sz w:val="21"/>
          <w:szCs w:val="21"/>
        </w:rPr>
        <w:t xml:space="preserve"> </w:t>
      </w:r>
      <w:r w:rsidRPr="00206A67">
        <w:rPr>
          <w:rFonts w:ascii="Abadi" w:hAnsi="Abadi"/>
          <w:sz w:val="21"/>
          <w:szCs w:val="21"/>
        </w:rPr>
        <w:t>la</w:t>
      </w:r>
      <w:r w:rsidRPr="00206A67">
        <w:rPr>
          <w:rFonts w:ascii="Abadi" w:hAnsi="Abadi"/>
          <w:spacing w:val="-10"/>
          <w:sz w:val="21"/>
          <w:szCs w:val="21"/>
        </w:rPr>
        <w:t xml:space="preserve"> </w:t>
      </w:r>
      <w:r w:rsidRPr="00206A67">
        <w:rPr>
          <w:rFonts w:ascii="Abadi" w:hAnsi="Abadi"/>
          <w:sz w:val="21"/>
          <w:szCs w:val="21"/>
        </w:rPr>
        <w:t>perspectiva</w:t>
      </w:r>
      <w:r w:rsidRPr="00206A67">
        <w:rPr>
          <w:rFonts w:ascii="Abadi" w:hAnsi="Abadi"/>
          <w:spacing w:val="-8"/>
          <w:sz w:val="21"/>
          <w:szCs w:val="21"/>
        </w:rPr>
        <w:t xml:space="preserve"> </w:t>
      </w:r>
      <w:r w:rsidRPr="00206A67">
        <w:rPr>
          <w:rFonts w:ascii="Abadi" w:hAnsi="Abadi"/>
          <w:sz w:val="21"/>
          <w:szCs w:val="21"/>
        </w:rPr>
        <w:t>de</w:t>
      </w:r>
      <w:r w:rsidRPr="00206A67">
        <w:rPr>
          <w:rFonts w:ascii="Abadi" w:hAnsi="Abadi"/>
          <w:spacing w:val="-8"/>
          <w:sz w:val="21"/>
          <w:szCs w:val="21"/>
        </w:rPr>
        <w:t xml:space="preserve"> </w:t>
      </w:r>
      <w:r w:rsidRPr="00206A67">
        <w:rPr>
          <w:rFonts w:ascii="Abadi" w:hAnsi="Abadi"/>
          <w:sz w:val="21"/>
          <w:szCs w:val="21"/>
        </w:rPr>
        <w:t>inclusión</w:t>
      </w:r>
      <w:r w:rsidRPr="00206A67">
        <w:rPr>
          <w:rFonts w:ascii="Abadi" w:hAnsi="Abadi"/>
          <w:spacing w:val="-6"/>
          <w:sz w:val="21"/>
          <w:szCs w:val="21"/>
        </w:rPr>
        <w:t xml:space="preserve"> </w:t>
      </w:r>
      <w:r w:rsidRPr="00206A67">
        <w:rPr>
          <w:rFonts w:ascii="Abadi" w:hAnsi="Abadi"/>
          <w:sz w:val="21"/>
          <w:szCs w:val="21"/>
        </w:rPr>
        <w:t>e</w:t>
      </w:r>
      <w:r w:rsidRPr="00206A67">
        <w:rPr>
          <w:rFonts w:ascii="Abadi" w:hAnsi="Abadi"/>
          <w:spacing w:val="-7"/>
          <w:sz w:val="21"/>
          <w:szCs w:val="21"/>
        </w:rPr>
        <w:t xml:space="preserve"> </w:t>
      </w:r>
      <w:r w:rsidRPr="00206A67">
        <w:rPr>
          <w:rFonts w:ascii="Abadi" w:hAnsi="Abadi"/>
          <w:sz w:val="21"/>
          <w:szCs w:val="21"/>
        </w:rPr>
        <w:t>impulsar</w:t>
      </w:r>
      <w:r w:rsidRPr="00206A67">
        <w:rPr>
          <w:rFonts w:ascii="Abadi" w:hAnsi="Abadi"/>
          <w:spacing w:val="-9"/>
          <w:sz w:val="21"/>
          <w:szCs w:val="21"/>
        </w:rPr>
        <w:t xml:space="preserve"> </w:t>
      </w:r>
      <w:r w:rsidRPr="00206A67">
        <w:rPr>
          <w:rFonts w:ascii="Abadi" w:hAnsi="Abadi"/>
          <w:sz w:val="21"/>
          <w:szCs w:val="21"/>
        </w:rPr>
        <w:t>el desarrollo integral de las personas con discapacidad y una cultura de inclusión.</w:t>
      </w:r>
    </w:p>
    <w:p w14:paraId="3AE0BA03" w14:textId="77777777" w:rsidR="005A4789" w:rsidRPr="00206A67" w:rsidRDefault="005A4789" w:rsidP="005A4789">
      <w:pPr>
        <w:pStyle w:val="Textoindependiente"/>
        <w:rPr>
          <w:rFonts w:ascii="Abadi" w:hAnsi="Abadi"/>
          <w:sz w:val="21"/>
          <w:szCs w:val="21"/>
        </w:rPr>
      </w:pPr>
    </w:p>
    <w:p w14:paraId="5A4CCCF2" w14:textId="77777777" w:rsidR="005A4789" w:rsidRPr="00206A67" w:rsidRDefault="005A4789" w:rsidP="005A4789">
      <w:pPr>
        <w:ind w:right="142"/>
        <w:jc w:val="both"/>
        <w:rPr>
          <w:rFonts w:ascii="Abadi" w:hAnsi="Abadi"/>
          <w:sz w:val="21"/>
          <w:szCs w:val="21"/>
        </w:rPr>
      </w:pPr>
      <w:r w:rsidRPr="00206A67">
        <w:rPr>
          <w:rFonts w:ascii="Abadi" w:hAnsi="Abadi"/>
          <w:sz w:val="21"/>
          <w:szCs w:val="21"/>
        </w:rPr>
        <w:t>Cabe señalar que, alrededor del mundo, desde hace ya varios años, inició un gran movimiento que centra la atención al respeto e inclusión del sector</w:t>
      </w:r>
      <w:r w:rsidRPr="00206A67">
        <w:rPr>
          <w:rFonts w:ascii="Abadi" w:hAnsi="Abadi"/>
          <w:spacing w:val="-2"/>
          <w:sz w:val="21"/>
          <w:szCs w:val="21"/>
        </w:rPr>
        <w:t xml:space="preserve"> </w:t>
      </w:r>
      <w:r w:rsidRPr="00206A67">
        <w:rPr>
          <w:rFonts w:ascii="Abadi" w:hAnsi="Abadi"/>
          <w:sz w:val="21"/>
          <w:szCs w:val="21"/>
        </w:rPr>
        <w:t>de la población con algún tipo de discapacidad, entendida ésta como las deficiencias que afectan una</w:t>
      </w:r>
      <w:r w:rsidRPr="00206A67">
        <w:rPr>
          <w:rFonts w:ascii="Abadi" w:hAnsi="Abadi"/>
          <w:spacing w:val="-15"/>
          <w:sz w:val="21"/>
          <w:szCs w:val="21"/>
        </w:rPr>
        <w:t xml:space="preserve"> </w:t>
      </w:r>
      <w:r w:rsidRPr="00206A67">
        <w:rPr>
          <w:rFonts w:ascii="Abadi" w:hAnsi="Abadi"/>
          <w:sz w:val="21"/>
          <w:szCs w:val="21"/>
        </w:rPr>
        <w:t>función</w:t>
      </w:r>
      <w:r w:rsidRPr="00206A67">
        <w:rPr>
          <w:rFonts w:ascii="Abadi" w:hAnsi="Abadi"/>
          <w:spacing w:val="-15"/>
          <w:sz w:val="21"/>
          <w:szCs w:val="21"/>
        </w:rPr>
        <w:t xml:space="preserve"> </w:t>
      </w:r>
      <w:r w:rsidRPr="00206A67">
        <w:rPr>
          <w:rFonts w:ascii="Abadi" w:hAnsi="Abadi"/>
          <w:sz w:val="21"/>
          <w:szCs w:val="21"/>
        </w:rPr>
        <w:t>corporal,</w:t>
      </w:r>
      <w:r w:rsidRPr="00206A67">
        <w:rPr>
          <w:rFonts w:ascii="Abadi" w:hAnsi="Abadi"/>
          <w:spacing w:val="-16"/>
          <w:sz w:val="21"/>
          <w:szCs w:val="21"/>
        </w:rPr>
        <w:t xml:space="preserve"> </w:t>
      </w:r>
      <w:r w:rsidRPr="00206A67">
        <w:rPr>
          <w:rFonts w:ascii="Abadi" w:hAnsi="Abadi"/>
          <w:sz w:val="21"/>
          <w:szCs w:val="21"/>
        </w:rPr>
        <w:t>las</w:t>
      </w:r>
      <w:r w:rsidRPr="00206A67">
        <w:rPr>
          <w:rFonts w:ascii="Abadi" w:hAnsi="Abadi"/>
          <w:spacing w:val="-15"/>
          <w:sz w:val="21"/>
          <w:szCs w:val="21"/>
        </w:rPr>
        <w:t xml:space="preserve"> </w:t>
      </w:r>
      <w:r w:rsidRPr="00206A67">
        <w:rPr>
          <w:rFonts w:ascii="Abadi" w:hAnsi="Abadi"/>
          <w:sz w:val="21"/>
          <w:szCs w:val="21"/>
        </w:rPr>
        <w:t>limitaciones</w:t>
      </w:r>
      <w:r w:rsidRPr="00206A67">
        <w:rPr>
          <w:rFonts w:ascii="Abadi" w:hAnsi="Abadi"/>
          <w:spacing w:val="-16"/>
          <w:sz w:val="21"/>
          <w:szCs w:val="21"/>
        </w:rPr>
        <w:t xml:space="preserve"> </w:t>
      </w:r>
      <w:r w:rsidRPr="00206A67">
        <w:rPr>
          <w:rFonts w:ascii="Abadi" w:hAnsi="Abadi"/>
          <w:sz w:val="21"/>
          <w:szCs w:val="21"/>
        </w:rPr>
        <w:t>para</w:t>
      </w:r>
      <w:r w:rsidRPr="00206A67">
        <w:rPr>
          <w:rFonts w:ascii="Abadi" w:hAnsi="Abadi"/>
          <w:spacing w:val="-16"/>
          <w:sz w:val="21"/>
          <w:szCs w:val="21"/>
        </w:rPr>
        <w:t xml:space="preserve"> </w:t>
      </w:r>
      <w:r w:rsidRPr="00206A67">
        <w:rPr>
          <w:rFonts w:ascii="Abadi" w:hAnsi="Abadi"/>
          <w:sz w:val="21"/>
          <w:szCs w:val="21"/>
        </w:rPr>
        <w:t>ejecutar</w:t>
      </w:r>
      <w:r w:rsidRPr="00206A67">
        <w:rPr>
          <w:rFonts w:ascii="Abadi" w:hAnsi="Abadi"/>
          <w:spacing w:val="-17"/>
          <w:sz w:val="21"/>
          <w:szCs w:val="21"/>
        </w:rPr>
        <w:t xml:space="preserve"> </w:t>
      </w:r>
      <w:r w:rsidRPr="00206A67">
        <w:rPr>
          <w:rFonts w:ascii="Abadi" w:hAnsi="Abadi"/>
          <w:sz w:val="21"/>
          <w:szCs w:val="21"/>
        </w:rPr>
        <w:t>tareas</w:t>
      </w:r>
      <w:r w:rsidRPr="00206A67">
        <w:rPr>
          <w:rFonts w:ascii="Abadi" w:hAnsi="Abadi"/>
          <w:spacing w:val="-15"/>
          <w:sz w:val="21"/>
          <w:szCs w:val="21"/>
        </w:rPr>
        <w:t xml:space="preserve"> </w:t>
      </w:r>
      <w:r w:rsidRPr="00206A67">
        <w:rPr>
          <w:rFonts w:ascii="Abadi" w:hAnsi="Abadi"/>
          <w:sz w:val="21"/>
          <w:szCs w:val="21"/>
        </w:rPr>
        <w:t>diarias,</w:t>
      </w:r>
      <w:r w:rsidRPr="00206A67">
        <w:rPr>
          <w:rFonts w:ascii="Abadi" w:hAnsi="Abadi"/>
          <w:spacing w:val="-15"/>
          <w:sz w:val="21"/>
          <w:szCs w:val="21"/>
        </w:rPr>
        <w:t xml:space="preserve"> </w:t>
      </w:r>
      <w:r w:rsidRPr="00206A67">
        <w:rPr>
          <w:rFonts w:ascii="Abadi" w:hAnsi="Abadi"/>
          <w:sz w:val="21"/>
          <w:szCs w:val="21"/>
        </w:rPr>
        <w:t>o</w:t>
      </w:r>
      <w:r w:rsidRPr="00206A67">
        <w:rPr>
          <w:rFonts w:ascii="Abadi" w:hAnsi="Abadi"/>
          <w:spacing w:val="-17"/>
          <w:sz w:val="21"/>
          <w:szCs w:val="21"/>
        </w:rPr>
        <w:t xml:space="preserve"> </w:t>
      </w:r>
      <w:r w:rsidRPr="00206A67">
        <w:rPr>
          <w:rFonts w:ascii="Abadi" w:hAnsi="Abadi"/>
          <w:sz w:val="21"/>
          <w:szCs w:val="21"/>
        </w:rPr>
        <w:t>las</w:t>
      </w:r>
      <w:r w:rsidRPr="00206A67">
        <w:rPr>
          <w:rFonts w:ascii="Abadi" w:hAnsi="Abadi"/>
          <w:spacing w:val="-14"/>
          <w:sz w:val="21"/>
          <w:szCs w:val="21"/>
        </w:rPr>
        <w:t xml:space="preserve"> </w:t>
      </w:r>
      <w:r w:rsidRPr="00206A67">
        <w:rPr>
          <w:rFonts w:ascii="Abadi" w:hAnsi="Abadi"/>
          <w:sz w:val="21"/>
          <w:szCs w:val="21"/>
        </w:rPr>
        <w:t>restricciones en</w:t>
      </w:r>
      <w:r w:rsidRPr="00206A67">
        <w:rPr>
          <w:rFonts w:ascii="Abadi" w:hAnsi="Abadi"/>
          <w:spacing w:val="-3"/>
          <w:sz w:val="21"/>
          <w:szCs w:val="21"/>
        </w:rPr>
        <w:t xml:space="preserve"> </w:t>
      </w:r>
      <w:r w:rsidRPr="00206A67">
        <w:rPr>
          <w:rFonts w:ascii="Abadi" w:hAnsi="Abadi"/>
          <w:sz w:val="21"/>
          <w:szCs w:val="21"/>
        </w:rPr>
        <w:t>la</w:t>
      </w:r>
      <w:r w:rsidRPr="00206A67">
        <w:rPr>
          <w:rFonts w:ascii="Abadi" w:hAnsi="Abadi"/>
          <w:spacing w:val="-5"/>
          <w:sz w:val="21"/>
          <w:szCs w:val="21"/>
        </w:rPr>
        <w:t xml:space="preserve"> </w:t>
      </w:r>
      <w:r w:rsidRPr="00206A67">
        <w:rPr>
          <w:rFonts w:ascii="Abadi" w:hAnsi="Abadi"/>
          <w:sz w:val="21"/>
          <w:szCs w:val="21"/>
        </w:rPr>
        <w:t>participación</w:t>
      </w:r>
      <w:r w:rsidRPr="00206A67">
        <w:rPr>
          <w:rFonts w:ascii="Abadi" w:hAnsi="Abadi"/>
          <w:spacing w:val="-4"/>
          <w:sz w:val="21"/>
          <w:szCs w:val="21"/>
        </w:rPr>
        <w:t xml:space="preserve"> </w:t>
      </w:r>
      <w:r w:rsidRPr="00206A67">
        <w:rPr>
          <w:rFonts w:ascii="Abadi" w:hAnsi="Abadi"/>
          <w:sz w:val="21"/>
          <w:szCs w:val="21"/>
        </w:rPr>
        <w:t>de</w:t>
      </w:r>
      <w:r w:rsidRPr="00206A67">
        <w:rPr>
          <w:rFonts w:ascii="Abadi" w:hAnsi="Abadi"/>
          <w:spacing w:val="-3"/>
          <w:sz w:val="21"/>
          <w:szCs w:val="21"/>
        </w:rPr>
        <w:t xml:space="preserve"> </w:t>
      </w:r>
      <w:r w:rsidRPr="00206A67">
        <w:rPr>
          <w:rFonts w:ascii="Abadi" w:hAnsi="Abadi"/>
          <w:sz w:val="21"/>
          <w:szCs w:val="21"/>
        </w:rPr>
        <w:t>la</w:t>
      </w:r>
      <w:r w:rsidRPr="00206A67">
        <w:rPr>
          <w:rFonts w:ascii="Abadi" w:hAnsi="Abadi"/>
          <w:spacing w:val="-3"/>
          <w:sz w:val="21"/>
          <w:szCs w:val="21"/>
        </w:rPr>
        <w:t xml:space="preserve"> </w:t>
      </w:r>
      <w:r w:rsidRPr="00206A67">
        <w:rPr>
          <w:rFonts w:ascii="Abadi" w:hAnsi="Abadi"/>
          <w:sz w:val="21"/>
          <w:szCs w:val="21"/>
        </w:rPr>
        <w:t>vida</w:t>
      </w:r>
      <w:r w:rsidRPr="00206A67">
        <w:rPr>
          <w:rFonts w:ascii="Abadi" w:hAnsi="Abadi"/>
          <w:spacing w:val="-5"/>
          <w:sz w:val="21"/>
          <w:szCs w:val="21"/>
        </w:rPr>
        <w:t xml:space="preserve"> </w:t>
      </w:r>
      <w:r w:rsidRPr="00206A67">
        <w:rPr>
          <w:rFonts w:ascii="Abadi" w:hAnsi="Abadi"/>
          <w:sz w:val="21"/>
          <w:szCs w:val="21"/>
        </w:rPr>
        <w:t>en</w:t>
      </w:r>
      <w:r w:rsidRPr="00206A67">
        <w:rPr>
          <w:rFonts w:ascii="Abadi" w:hAnsi="Abadi"/>
          <w:spacing w:val="-3"/>
          <w:sz w:val="21"/>
          <w:szCs w:val="21"/>
        </w:rPr>
        <w:t xml:space="preserve"> </w:t>
      </w:r>
      <w:r w:rsidRPr="00206A67">
        <w:rPr>
          <w:rFonts w:ascii="Abadi" w:hAnsi="Abadi"/>
          <w:sz w:val="21"/>
          <w:szCs w:val="21"/>
        </w:rPr>
        <w:t>sociedad.</w:t>
      </w:r>
      <w:r w:rsidRPr="00206A67">
        <w:rPr>
          <w:rFonts w:ascii="Abadi" w:hAnsi="Abadi"/>
          <w:spacing w:val="-5"/>
          <w:sz w:val="21"/>
          <w:szCs w:val="21"/>
        </w:rPr>
        <w:t xml:space="preserve"> </w:t>
      </w:r>
      <w:r w:rsidRPr="00206A67">
        <w:rPr>
          <w:rFonts w:ascii="Abadi" w:hAnsi="Abadi"/>
          <w:sz w:val="21"/>
          <w:szCs w:val="21"/>
        </w:rPr>
        <w:t>Estas</w:t>
      </w:r>
      <w:r w:rsidRPr="00206A67">
        <w:rPr>
          <w:rFonts w:ascii="Abadi" w:hAnsi="Abadi"/>
          <w:spacing w:val="-3"/>
          <w:sz w:val="21"/>
          <w:szCs w:val="21"/>
        </w:rPr>
        <w:t xml:space="preserve"> </w:t>
      </w:r>
      <w:r w:rsidRPr="00206A67">
        <w:rPr>
          <w:rFonts w:ascii="Abadi" w:hAnsi="Abadi"/>
          <w:sz w:val="21"/>
          <w:szCs w:val="21"/>
        </w:rPr>
        <w:t>restricciones,</w:t>
      </w:r>
      <w:r w:rsidRPr="00206A67">
        <w:rPr>
          <w:rFonts w:ascii="Abadi" w:hAnsi="Abadi"/>
          <w:spacing w:val="-5"/>
          <w:sz w:val="21"/>
          <w:szCs w:val="21"/>
        </w:rPr>
        <w:t xml:space="preserve"> </w:t>
      </w:r>
      <w:r w:rsidRPr="00206A67">
        <w:rPr>
          <w:rFonts w:ascii="Abadi" w:hAnsi="Abadi"/>
          <w:sz w:val="21"/>
          <w:szCs w:val="21"/>
        </w:rPr>
        <w:t>o</w:t>
      </w:r>
      <w:r w:rsidRPr="00206A67">
        <w:rPr>
          <w:rFonts w:ascii="Abadi" w:hAnsi="Abadi"/>
          <w:spacing w:val="-5"/>
          <w:sz w:val="21"/>
          <w:szCs w:val="21"/>
        </w:rPr>
        <w:t xml:space="preserve"> </w:t>
      </w:r>
      <w:r w:rsidRPr="00206A67">
        <w:rPr>
          <w:rFonts w:ascii="Abadi" w:hAnsi="Abadi"/>
          <w:sz w:val="21"/>
          <w:szCs w:val="21"/>
        </w:rPr>
        <w:t>discapacidades</w:t>
      </w:r>
      <w:r w:rsidRPr="00206A67">
        <w:rPr>
          <w:rFonts w:ascii="Abadi" w:hAnsi="Abadi"/>
          <w:spacing w:val="-6"/>
          <w:sz w:val="21"/>
          <w:szCs w:val="21"/>
        </w:rPr>
        <w:t xml:space="preserve"> </w:t>
      </w:r>
      <w:r w:rsidRPr="00206A67">
        <w:rPr>
          <w:rFonts w:ascii="Abadi" w:hAnsi="Abadi"/>
          <w:sz w:val="21"/>
          <w:szCs w:val="21"/>
        </w:rPr>
        <w:t>se han clasificado, principalmente, en cuatro: motriz, cognitivo-emocional, psicosocial y sensorial.</w:t>
      </w:r>
    </w:p>
    <w:p w14:paraId="4F5F412C" w14:textId="77777777" w:rsidR="005A4789" w:rsidRPr="00206A67" w:rsidRDefault="005A4789" w:rsidP="005A4789">
      <w:pPr>
        <w:pStyle w:val="Textoindependiente"/>
        <w:rPr>
          <w:rFonts w:ascii="Abadi" w:hAnsi="Abadi"/>
          <w:sz w:val="21"/>
          <w:szCs w:val="21"/>
        </w:rPr>
      </w:pPr>
    </w:p>
    <w:p w14:paraId="145405FC" w14:textId="77777777" w:rsidR="005A4789" w:rsidRPr="00206A67" w:rsidRDefault="005A4789" w:rsidP="005A4789">
      <w:pPr>
        <w:jc w:val="both"/>
        <w:rPr>
          <w:rFonts w:ascii="Abadi" w:hAnsi="Abadi"/>
          <w:sz w:val="21"/>
          <w:szCs w:val="21"/>
        </w:rPr>
      </w:pPr>
      <w:r w:rsidRPr="00206A67">
        <w:rPr>
          <w:rFonts w:ascii="Abadi" w:hAnsi="Abadi"/>
          <w:sz w:val="21"/>
          <w:szCs w:val="21"/>
        </w:rPr>
        <w:t>Por lo que respecta a la discapacidad sensorial, está responde a cualquier tipo de deficiencia, por disminución grave o pérdida total,</w:t>
      </w:r>
      <w:r w:rsidRPr="00206A67">
        <w:rPr>
          <w:rFonts w:ascii="Abadi" w:hAnsi="Abadi"/>
          <w:spacing w:val="-1"/>
          <w:sz w:val="21"/>
          <w:szCs w:val="21"/>
        </w:rPr>
        <w:t xml:space="preserve"> </w:t>
      </w:r>
      <w:r w:rsidRPr="00206A67">
        <w:rPr>
          <w:rFonts w:ascii="Abadi" w:hAnsi="Abadi"/>
          <w:sz w:val="21"/>
          <w:szCs w:val="21"/>
        </w:rPr>
        <w:t>en alguno de los sentidos, como lo</w:t>
      </w:r>
      <w:r w:rsidRPr="00206A67">
        <w:rPr>
          <w:rFonts w:ascii="Abadi" w:hAnsi="Abadi"/>
          <w:spacing w:val="-4"/>
          <w:sz w:val="21"/>
          <w:szCs w:val="21"/>
        </w:rPr>
        <w:t xml:space="preserve"> </w:t>
      </w:r>
      <w:r w:rsidRPr="00206A67">
        <w:rPr>
          <w:rFonts w:ascii="Abadi" w:hAnsi="Abadi"/>
          <w:sz w:val="21"/>
          <w:szCs w:val="21"/>
        </w:rPr>
        <w:t>es</w:t>
      </w:r>
      <w:r w:rsidRPr="00206A67">
        <w:rPr>
          <w:rFonts w:ascii="Abadi" w:hAnsi="Abadi"/>
          <w:spacing w:val="-4"/>
          <w:sz w:val="21"/>
          <w:szCs w:val="21"/>
        </w:rPr>
        <w:t xml:space="preserve"> </w:t>
      </w:r>
      <w:r w:rsidRPr="00206A67">
        <w:rPr>
          <w:rFonts w:ascii="Abadi" w:hAnsi="Abadi"/>
          <w:sz w:val="21"/>
          <w:szCs w:val="21"/>
        </w:rPr>
        <w:t>el</w:t>
      </w:r>
      <w:r w:rsidRPr="00206A67">
        <w:rPr>
          <w:rFonts w:ascii="Abadi" w:hAnsi="Abadi"/>
          <w:spacing w:val="-5"/>
          <w:sz w:val="21"/>
          <w:szCs w:val="21"/>
        </w:rPr>
        <w:t xml:space="preserve"> </w:t>
      </w:r>
      <w:r w:rsidRPr="00206A67">
        <w:rPr>
          <w:rFonts w:ascii="Abadi" w:hAnsi="Abadi"/>
          <w:sz w:val="21"/>
          <w:szCs w:val="21"/>
        </w:rPr>
        <w:t>auditivo,</w:t>
      </w:r>
      <w:r w:rsidRPr="00206A67">
        <w:rPr>
          <w:rFonts w:ascii="Abadi" w:hAnsi="Abadi"/>
          <w:spacing w:val="-4"/>
          <w:sz w:val="21"/>
          <w:szCs w:val="21"/>
        </w:rPr>
        <w:t xml:space="preserve"> </w:t>
      </w:r>
      <w:r w:rsidRPr="00206A67">
        <w:rPr>
          <w:rFonts w:ascii="Abadi" w:hAnsi="Abadi"/>
          <w:sz w:val="21"/>
          <w:szCs w:val="21"/>
        </w:rPr>
        <w:t>lo</w:t>
      </w:r>
      <w:r w:rsidRPr="00206A67">
        <w:rPr>
          <w:rFonts w:ascii="Abadi" w:hAnsi="Abadi"/>
          <w:spacing w:val="-4"/>
          <w:sz w:val="21"/>
          <w:szCs w:val="21"/>
        </w:rPr>
        <w:t xml:space="preserve"> </w:t>
      </w:r>
      <w:r w:rsidRPr="00206A67">
        <w:rPr>
          <w:rFonts w:ascii="Abadi" w:hAnsi="Abadi"/>
          <w:sz w:val="21"/>
          <w:szCs w:val="21"/>
        </w:rPr>
        <w:t>cual</w:t>
      </w:r>
      <w:r w:rsidRPr="00206A67">
        <w:rPr>
          <w:rFonts w:ascii="Abadi" w:hAnsi="Abadi"/>
          <w:spacing w:val="-5"/>
          <w:sz w:val="21"/>
          <w:szCs w:val="21"/>
        </w:rPr>
        <w:t xml:space="preserve"> </w:t>
      </w:r>
      <w:r w:rsidRPr="00206A67">
        <w:rPr>
          <w:rFonts w:ascii="Abadi" w:hAnsi="Abadi"/>
          <w:sz w:val="21"/>
          <w:szCs w:val="21"/>
        </w:rPr>
        <w:t>ocasiona</w:t>
      </w:r>
      <w:r w:rsidRPr="00206A67">
        <w:rPr>
          <w:rFonts w:ascii="Abadi" w:hAnsi="Abadi"/>
          <w:spacing w:val="-6"/>
          <w:sz w:val="21"/>
          <w:szCs w:val="21"/>
        </w:rPr>
        <w:t xml:space="preserve"> </w:t>
      </w:r>
      <w:r w:rsidRPr="00206A67">
        <w:rPr>
          <w:rFonts w:ascii="Abadi" w:hAnsi="Abadi"/>
          <w:sz w:val="21"/>
          <w:szCs w:val="21"/>
        </w:rPr>
        <w:t>problemas</w:t>
      </w:r>
      <w:r w:rsidRPr="00206A67">
        <w:rPr>
          <w:rFonts w:ascii="Abadi" w:hAnsi="Abadi"/>
          <w:spacing w:val="-6"/>
          <w:sz w:val="21"/>
          <w:szCs w:val="21"/>
        </w:rPr>
        <w:t xml:space="preserve"> </w:t>
      </w:r>
      <w:r w:rsidRPr="00206A67">
        <w:rPr>
          <w:rFonts w:ascii="Abadi" w:hAnsi="Abadi"/>
          <w:sz w:val="21"/>
          <w:szCs w:val="21"/>
        </w:rPr>
        <w:t>dentro</w:t>
      </w:r>
      <w:r w:rsidRPr="00206A67">
        <w:rPr>
          <w:rFonts w:ascii="Abadi" w:hAnsi="Abadi"/>
          <w:spacing w:val="-6"/>
          <w:sz w:val="21"/>
          <w:szCs w:val="21"/>
        </w:rPr>
        <w:t xml:space="preserve"> </w:t>
      </w:r>
      <w:r w:rsidRPr="00206A67">
        <w:rPr>
          <w:rFonts w:ascii="Abadi" w:hAnsi="Abadi"/>
          <w:sz w:val="21"/>
          <w:szCs w:val="21"/>
        </w:rPr>
        <w:t>del</w:t>
      </w:r>
      <w:r w:rsidRPr="00206A67">
        <w:rPr>
          <w:rFonts w:ascii="Abadi" w:hAnsi="Abadi"/>
          <w:spacing w:val="-5"/>
          <w:sz w:val="21"/>
          <w:szCs w:val="21"/>
        </w:rPr>
        <w:t xml:space="preserve"> </w:t>
      </w:r>
      <w:r w:rsidRPr="00206A67">
        <w:rPr>
          <w:rFonts w:ascii="Abadi" w:hAnsi="Abadi"/>
          <w:sz w:val="21"/>
          <w:szCs w:val="21"/>
        </w:rPr>
        <w:t>ciclo</w:t>
      </w:r>
      <w:r w:rsidRPr="00206A67">
        <w:rPr>
          <w:rFonts w:ascii="Abadi" w:hAnsi="Abadi"/>
          <w:spacing w:val="-4"/>
          <w:sz w:val="21"/>
          <w:szCs w:val="21"/>
        </w:rPr>
        <w:t xml:space="preserve"> </w:t>
      </w:r>
      <w:r w:rsidRPr="00206A67">
        <w:rPr>
          <w:rFonts w:ascii="Abadi" w:hAnsi="Abadi"/>
          <w:sz w:val="21"/>
          <w:szCs w:val="21"/>
        </w:rPr>
        <w:t>de</w:t>
      </w:r>
      <w:r w:rsidRPr="00206A67">
        <w:rPr>
          <w:rFonts w:ascii="Abadi" w:hAnsi="Abadi"/>
          <w:spacing w:val="-4"/>
          <w:sz w:val="21"/>
          <w:szCs w:val="21"/>
        </w:rPr>
        <w:t xml:space="preserve"> </w:t>
      </w:r>
      <w:r w:rsidRPr="00206A67">
        <w:rPr>
          <w:rFonts w:ascii="Abadi" w:hAnsi="Abadi"/>
          <w:sz w:val="21"/>
          <w:szCs w:val="21"/>
        </w:rPr>
        <w:t>comunicación</w:t>
      </w:r>
      <w:r w:rsidRPr="00206A67">
        <w:rPr>
          <w:rFonts w:ascii="Abadi" w:hAnsi="Abadi"/>
          <w:spacing w:val="-4"/>
          <w:sz w:val="21"/>
          <w:szCs w:val="21"/>
        </w:rPr>
        <w:t xml:space="preserve"> </w:t>
      </w:r>
      <w:r w:rsidRPr="00206A67">
        <w:rPr>
          <w:rFonts w:ascii="Abadi" w:hAnsi="Abadi"/>
          <w:sz w:val="21"/>
          <w:szCs w:val="21"/>
        </w:rPr>
        <w:t>entre la persona con dicha discapacidad y la sociedad en general.</w:t>
      </w:r>
    </w:p>
    <w:p w14:paraId="76765595" w14:textId="77777777" w:rsidR="005A4789" w:rsidRPr="00206A67" w:rsidRDefault="005A4789" w:rsidP="005A4789">
      <w:pPr>
        <w:pStyle w:val="Textoindependiente"/>
        <w:rPr>
          <w:rFonts w:ascii="Abadi" w:hAnsi="Abadi"/>
          <w:sz w:val="21"/>
          <w:szCs w:val="21"/>
        </w:rPr>
      </w:pPr>
    </w:p>
    <w:p w14:paraId="2C260ED6" w14:textId="34BE2872" w:rsidR="005A4789" w:rsidRDefault="005A4789" w:rsidP="005A4789">
      <w:pPr>
        <w:widowControl w:val="0"/>
        <w:autoSpaceDE w:val="0"/>
        <w:autoSpaceDN w:val="0"/>
        <w:jc w:val="both"/>
        <w:rPr>
          <w:rFonts w:ascii="Abadi" w:hAnsi="Abadi"/>
          <w:sz w:val="21"/>
          <w:szCs w:val="21"/>
        </w:rPr>
      </w:pPr>
      <w:r w:rsidRPr="00206A67">
        <w:rPr>
          <w:rFonts w:ascii="Abadi" w:hAnsi="Abadi"/>
          <w:sz w:val="21"/>
          <w:szCs w:val="21"/>
        </w:rPr>
        <w:t>De</w:t>
      </w:r>
      <w:r w:rsidRPr="00206A67">
        <w:rPr>
          <w:rFonts w:ascii="Abadi" w:hAnsi="Abadi"/>
          <w:spacing w:val="-2"/>
          <w:sz w:val="21"/>
          <w:szCs w:val="21"/>
        </w:rPr>
        <w:t xml:space="preserve"> </w:t>
      </w:r>
      <w:r w:rsidRPr="00206A67">
        <w:rPr>
          <w:rFonts w:ascii="Abadi" w:hAnsi="Abadi"/>
          <w:sz w:val="21"/>
          <w:szCs w:val="21"/>
        </w:rPr>
        <w:t>acuerdo</w:t>
      </w:r>
      <w:r w:rsidRPr="00206A67">
        <w:rPr>
          <w:rFonts w:ascii="Abadi" w:hAnsi="Abadi"/>
          <w:spacing w:val="-2"/>
          <w:sz w:val="21"/>
          <w:szCs w:val="21"/>
        </w:rPr>
        <w:t xml:space="preserve"> </w:t>
      </w:r>
      <w:r w:rsidRPr="00206A67">
        <w:rPr>
          <w:rFonts w:ascii="Abadi" w:hAnsi="Abadi"/>
          <w:sz w:val="21"/>
          <w:szCs w:val="21"/>
        </w:rPr>
        <w:t>con</w:t>
      </w:r>
      <w:r w:rsidRPr="00206A67">
        <w:rPr>
          <w:rFonts w:ascii="Abadi" w:hAnsi="Abadi"/>
          <w:spacing w:val="-2"/>
          <w:sz w:val="21"/>
          <w:szCs w:val="21"/>
        </w:rPr>
        <w:t xml:space="preserve"> </w:t>
      </w:r>
      <w:r w:rsidRPr="00206A67">
        <w:rPr>
          <w:rFonts w:ascii="Abadi" w:hAnsi="Abadi"/>
          <w:sz w:val="21"/>
          <w:szCs w:val="21"/>
        </w:rPr>
        <w:t>la fracción</w:t>
      </w:r>
      <w:r w:rsidRPr="00206A67">
        <w:rPr>
          <w:rFonts w:ascii="Abadi" w:hAnsi="Abadi"/>
          <w:spacing w:val="-1"/>
          <w:sz w:val="21"/>
          <w:szCs w:val="21"/>
        </w:rPr>
        <w:t xml:space="preserve"> </w:t>
      </w:r>
      <w:r w:rsidRPr="00206A67">
        <w:rPr>
          <w:rFonts w:ascii="Abadi" w:hAnsi="Abadi"/>
          <w:sz w:val="21"/>
          <w:szCs w:val="21"/>
        </w:rPr>
        <w:t>XIII</w:t>
      </w:r>
      <w:r w:rsidRPr="00206A67">
        <w:rPr>
          <w:rFonts w:ascii="Abadi" w:hAnsi="Abadi"/>
          <w:spacing w:val="-2"/>
          <w:sz w:val="21"/>
          <w:szCs w:val="21"/>
        </w:rPr>
        <w:t xml:space="preserve"> </w:t>
      </w:r>
      <w:r w:rsidRPr="00206A67">
        <w:rPr>
          <w:rFonts w:ascii="Abadi" w:hAnsi="Abadi"/>
          <w:sz w:val="21"/>
          <w:szCs w:val="21"/>
        </w:rPr>
        <w:t>del</w:t>
      </w:r>
      <w:r w:rsidRPr="00206A67">
        <w:rPr>
          <w:rFonts w:ascii="Abadi" w:hAnsi="Abadi"/>
          <w:spacing w:val="-5"/>
          <w:sz w:val="21"/>
          <w:szCs w:val="21"/>
        </w:rPr>
        <w:t xml:space="preserve"> </w:t>
      </w:r>
      <w:r w:rsidRPr="00206A67">
        <w:rPr>
          <w:rFonts w:ascii="Abadi" w:hAnsi="Abadi"/>
          <w:sz w:val="21"/>
          <w:szCs w:val="21"/>
        </w:rPr>
        <w:t>artículo</w:t>
      </w:r>
      <w:r w:rsidRPr="00206A67">
        <w:rPr>
          <w:rFonts w:ascii="Abadi" w:hAnsi="Abadi"/>
          <w:spacing w:val="-4"/>
          <w:sz w:val="21"/>
          <w:szCs w:val="21"/>
        </w:rPr>
        <w:t xml:space="preserve"> </w:t>
      </w:r>
      <w:r w:rsidRPr="00206A67">
        <w:rPr>
          <w:rFonts w:ascii="Abadi" w:hAnsi="Abadi"/>
          <w:sz w:val="21"/>
          <w:szCs w:val="21"/>
        </w:rPr>
        <w:t>2</w:t>
      </w:r>
      <w:r w:rsidRPr="00206A67">
        <w:rPr>
          <w:rFonts w:ascii="Abadi" w:hAnsi="Abadi"/>
          <w:spacing w:val="-4"/>
          <w:sz w:val="21"/>
          <w:szCs w:val="21"/>
        </w:rPr>
        <w:t xml:space="preserve"> </w:t>
      </w:r>
      <w:r w:rsidRPr="00206A67">
        <w:rPr>
          <w:rFonts w:ascii="Abadi" w:hAnsi="Abadi"/>
          <w:sz w:val="21"/>
          <w:szCs w:val="21"/>
        </w:rPr>
        <w:t>de</w:t>
      </w:r>
      <w:r w:rsidRPr="00206A67">
        <w:rPr>
          <w:rFonts w:ascii="Abadi" w:hAnsi="Abadi"/>
          <w:spacing w:val="-2"/>
          <w:sz w:val="21"/>
          <w:szCs w:val="21"/>
        </w:rPr>
        <w:t xml:space="preserve"> </w:t>
      </w:r>
      <w:r w:rsidRPr="00206A67">
        <w:rPr>
          <w:rFonts w:ascii="Abadi" w:hAnsi="Abadi"/>
          <w:sz w:val="21"/>
          <w:szCs w:val="21"/>
        </w:rPr>
        <w:t>la Ley</w:t>
      </w:r>
      <w:r w:rsidRPr="00206A67">
        <w:rPr>
          <w:rFonts w:ascii="Abadi" w:hAnsi="Abadi"/>
          <w:spacing w:val="-2"/>
          <w:sz w:val="21"/>
          <w:szCs w:val="21"/>
        </w:rPr>
        <w:t xml:space="preserve"> </w:t>
      </w:r>
      <w:r w:rsidRPr="00206A67">
        <w:rPr>
          <w:rFonts w:ascii="Abadi" w:hAnsi="Abadi"/>
          <w:sz w:val="21"/>
          <w:szCs w:val="21"/>
        </w:rPr>
        <w:t>General</w:t>
      </w:r>
      <w:r w:rsidRPr="00206A67">
        <w:rPr>
          <w:rFonts w:ascii="Abadi" w:hAnsi="Abadi"/>
          <w:spacing w:val="-2"/>
          <w:sz w:val="21"/>
          <w:szCs w:val="21"/>
        </w:rPr>
        <w:t xml:space="preserve"> </w:t>
      </w:r>
      <w:r w:rsidRPr="00206A67">
        <w:rPr>
          <w:rFonts w:ascii="Abadi" w:hAnsi="Abadi"/>
          <w:sz w:val="21"/>
          <w:szCs w:val="21"/>
        </w:rPr>
        <w:t>para</w:t>
      </w:r>
      <w:r w:rsidRPr="00206A67">
        <w:rPr>
          <w:rFonts w:ascii="Abadi" w:hAnsi="Abadi"/>
          <w:spacing w:val="-5"/>
          <w:sz w:val="21"/>
          <w:szCs w:val="21"/>
        </w:rPr>
        <w:t xml:space="preserve"> </w:t>
      </w:r>
      <w:r w:rsidRPr="00206A67">
        <w:rPr>
          <w:rFonts w:ascii="Abadi" w:hAnsi="Abadi"/>
          <w:sz w:val="21"/>
          <w:szCs w:val="21"/>
        </w:rPr>
        <w:t>la</w:t>
      </w:r>
      <w:r w:rsidRPr="00206A67">
        <w:rPr>
          <w:rFonts w:ascii="Abadi" w:hAnsi="Abadi"/>
          <w:spacing w:val="-2"/>
          <w:sz w:val="21"/>
          <w:szCs w:val="21"/>
        </w:rPr>
        <w:t xml:space="preserve"> </w:t>
      </w:r>
      <w:r w:rsidRPr="00206A67">
        <w:rPr>
          <w:rFonts w:ascii="Abadi" w:hAnsi="Abadi"/>
          <w:sz w:val="21"/>
          <w:szCs w:val="21"/>
        </w:rPr>
        <w:t>Inclusión</w:t>
      </w:r>
      <w:r w:rsidRPr="00206A67">
        <w:rPr>
          <w:rFonts w:ascii="Abadi" w:hAnsi="Abadi"/>
          <w:spacing w:val="-2"/>
          <w:sz w:val="21"/>
          <w:szCs w:val="21"/>
        </w:rPr>
        <w:t xml:space="preserve"> </w:t>
      </w:r>
      <w:r w:rsidRPr="00206A67">
        <w:rPr>
          <w:rFonts w:ascii="Abadi" w:hAnsi="Abadi"/>
          <w:sz w:val="21"/>
          <w:szCs w:val="21"/>
        </w:rPr>
        <w:t>de las Personas con Discapacidad, se conceptualiza la “Discapacidad Sensorial”, en los términos siguientes: Es la deficiencia estructural o funcional de los órganos de la visión, audición, tacto, olfato y gusto, así como de las estructuras y funciones asociadas a cada uno de ellos, y que al interactuar con las barreras que le impone el entorno social, pueda impedir su inclusión plena y efectiva en la sociedad, en igualdad de condiciones con los demás.</w:t>
      </w:r>
    </w:p>
    <w:p w14:paraId="0AE0C650" w14:textId="77777777" w:rsidR="00EA0AF5" w:rsidRDefault="00EA0AF5" w:rsidP="005A4789">
      <w:pPr>
        <w:widowControl w:val="0"/>
        <w:autoSpaceDE w:val="0"/>
        <w:autoSpaceDN w:val="0"/>
        <w:jc w:val="both"/>
        <w:rPr>
          <w:rFonts w:ascii="Abadi" w:hAnsi="Abadi"/>
          <w:sz w:val="21"/>
          <w:szCs w:val="21"/>
        </w:rPr>
      </w:pPr>
    </w:p>
    <w:p w14:paraId="26BF4D44" w14:textId="77777777" w:rsidR="00EA0AF5" w:rsidRPr="00206A67" w:rsidRDefault="00EA0AF5" w:rsidP="00EA0AF5">
      <w:pPr>
        <w:ind w:right="142"/>
        <w:jc w:val="both"/>
        <w:rPr>
          <w:rFonts w:ascii="Abadi" w:hAnsi="Abadi"/>
          <w:sz w:val="21"/>
          <w:szCs w:val="21"/>
        </w:rPr>
      </w:pPr>
      <w:r w:rsidRPr="00206A67">
        <w:rPr>
          <w:rFonts w:ascii="Abadi" w:hAnsi="Abadi"/>
          <w:sz w:val="21"/>
          <w:szCs w:val="21"/>
        </w:rPr>
        <w:lastRenderedPageBreak/>
        <w:t>Desde el punto de vista médico-fisiológico, la pérdida auditiva consiste en la disminución de la capacidad de oír; la persona afectada no sólo escucha menos, sino que percibe el sonido de forma irregular y distorsionada, lo que limita sus posibilidades para procesar debidamente la información de acuerdo con el tipo y grado de pérdida auditiva. Por lo que la persona que no puede escuchar enfrenta problemas para desenvolverse debido a las dificultades para detectar la fuente sonora, identificar cualquier sonido del</w:t>
      </w:r>
      <w:r w:rsidRPr="00206A67">
        <w:rPr>
          <w:rFonts w:ascii="Abadi" w:hAnsi="Abadi"/>
          <w:spacing w:val="-1"/>
          <w:sz w:val="21"/>
          <w:szCs w:val="21"/>
        </w:rPr>
        <w:t xml:space="preserve"> </w:t>
      </w:r>
      <w:r w:rsidRPr="00206A67">
        <w:rPr>
          <w:rFonts w:ascii="Abadi" w:hAnsi="Abadi"/>
          <w:sz w:val="21"/>
          <w:szCs w:val="21"/>
        </w:rPr>
        <w:t>habla o ambiental,</w:t>
      </w:r>
      <w:r w:rsidRPr="00206A67">
        <w:rPr>
          <w:rFonts w:ascii="Abadi" w:hAnsi="Abadi"/>
          <w:spacing w:val="-1"/>
          <w:sz w:val="21"/>
          <w:szCs w:val="21"/>
        </w:rPr>
        <w:t xml:space="preserve"> </w:t>
      </w:r>
      <w:r w:rsidRPr="00206A67">
        <w:rPr>
          <w:rFonts w:ascii="Abadi" w:hAnsi="Abadi"/>
          <w:sz w:val="21"/>
          <w:szCs w:val="21"/>
        </w:rPr>
        <w:t>seguir una conversación y sobre todo comprender el lenguaje oral. De tal manera que, repercute en el desarrollo de las habilidades del pensamiento, del habla y del lenguaje; y en consecuencia en la conducta, el desarrollo social y emocional, y el desempeño escolar y laboral.</w:t>
      </w:r>
    </w:p>
    <w:p w14:paraId="1403E1E7" w14:textId="77777777" w:rsidR="00EA0AF5" w:rsidRPr="00206A67" w:rsidRDefault="00EA0AF5" w:rsidP="00EA0AF5">
      <w:pPr>
        <w:pStyle w:val="Textoindependiente"/>
        <w:rPr>
          <w:rFonts w:ascii="Abadi" w:hAnsi="Abadi"/>
          <w:sz w:val="21"/>
          <w:szCs w:val="21"/>
        </w:rPr>
      </w:pPr>
    </w:p>
    <w:p w14:paraId="73FE173B" w14:textId="77777777" w:rsidR="00EA0AF5" w:rsidRPr="00206A67" w:rsidRDefault="00EA0AF5" w:rsidP="00EA0AF5">
      <w:pPr>
        <w:ind w:right="142"/>
        <w:jc w:val="both"/>
        <w:rPr>
          <w:rFonts w:ascii="Abadi" w:hAnsi="Abadi"/>
          <w:sz w:val="21"/>
          <w:szCs w:val="21"/>
        </w:rPr>
      </w:pPr>
      <w:r w:rsidRPr="00206A67">
        <w:rPr>
          <w:rFonts w:ascii="Abadi" w:hAnsi="Abadi"/>
          <w:sz w:val="21"/>
          <w:szCs w:val="21"/>
        </w:rPr>
        <w:t>Bajo este contexto, es importante señalar que el lenguaje de las personas con discapacidad</w:t>
      </w:r>
      <w:r w:rsidRPr="00206A67">
        <w:rPr>
          <w:rFonts w:ascii="Abadi" w:hAnsi="Abadi"/>
          <w:spacing w:val="-9"/>
          <w:sz w:val="21"/>
          <w:szCs w:val="21"/>
        </w:rPr>
        <w:t xml:space="preserve"> </w:t>
      </w:r>
      <w:r w:rsidRPr="00206A67">
        <w:rPr>
          <w:rFonts w:ascii="Abadi" w:hAnsi="Abadi"/>
          <w:sz w:val="21"/>
          <w:szCs w:val="21"/>
        </w:rPr>
        <w:t>auditiva</w:t>
      </w:r>
      <w:r w:rsidRPr="00206A67">
        <w:rPr>
          <w:rFonts w:ascii="Abadi" w:hAnsi="Abadi"/>
          <w:spacing w:val="-10"/>
          <w:sz w:val="21"/>
          <w:szCs w:val="21"/>
        </w:rPr>
        <w:t xml:space="preserve"> </w:t>
      </w:r>
      <w:r w:rsidRPr="00206A67">
        <w:rPr>
          <w:rFonts w:ascii="Abadi" w:hAnsi="Abadi"/>
          <w:sz w:val="21"/>
          <w:szCs w:val="21"/>
        </w:rPr>
        <w:t>en</w:t>
      </w:r>
      <w:r w:rsidRPr="00206A67">
        <w:rPr>
          <w:rFonts w:ascii="Abadi" w:hAnsi="Abadi"/>
          <w:spacing w:val="-7"/>
          <w:sz w:val="21"/>
          <w:szCs w:val="21"/>
        </w:rPr>
        <w:t xml:space="preserve"> </w:t>
      </w:r>
      <w:r w:rsidRPr="00206A67">
        <w:rPr>
          <w:rFonts w:ascii="Abadi" w:hAnsi="Abadi"/>
          <w:sz w:val="21"/>
          <w:szCs w:val="21"/>
        </w:rPr>
        <w:t>nuestro</w:t>
      </w:r>
      <w:r w:rsidRPr="00206A67">
        <w:rPr>
          <w:rFonts w:ascii="Abadi" w:hAnsi="Abadi"/>
          <w:spacing w:val="-9"/>
          <w:sz w:val="21"/>
          <w:szCs w:val="21"/>
        </w:rPr>
        <w:t xml:space="preserve"> </w:t>
      </w:r>
      <w:r w:rsidRPr="00206A67">
        <w:rPr>
          <w:rFonts w:ascii="Abadi" w:hAnsi="Abadi"/>
          <w:sz w:val="21"/>
          <w:szCs w:val="21"/>
        </w:rPr>
        <w:t>país</w:t>
      </w:r>
      <w:r w:rsidRPr="00206A67">
        <w:rPr>
          <w:rFonts w:ascii="Abadi" w:hAnsi="Abadi"/>
          <w:spacing w:val="-7"/>
          <w:sz w:val="21"/>
          <w:szCs w:val="21"/>
        </w:rPr>
        <w:t xml:space="preserve"> </w:t>
      </w:r>
      <w:r w:rsidRPr="00206A67">
        <w:rPr>
          <w:rFonts w:ascii="Abadi" w:hAnsi="Abadi"/>
          <w:sz w:val="21"/>
          <w:szCs w:val="21"/>
        </w:rPr>
        <w:t>es,</w:t>
      </w:r>
      <w:r w:rsidRPr="00206A67">
        <w:rPr>
          <w:rFonts w:ascii="Abadi" w:hAnsi="Abadi"/>
          <w:spacing w:val="-7"/>
          <w:sz w:val="21"/>
          <w:szCs w:val="21"/>
        </w:rPr>
        <w:t xml:space="preserve"> </w:t>
      </w:r>
      <w:r w:rsidRPr="00206A67">
        <w:rPr>
          <w:rFonts w:ascii="Abadi" w:hAnsi="Abadi"/>
          <w:sz w:val="21"/>
          <w:szCs w:val="21"/>
        </w:rPr>
        <w:t>la</w:t>
      </w:r>
      <w:r w:rsidRPr="00206A67">
        <w:rPr>
          <w:rFonts w:ascii="Abadi" w:hAnsi="Abadi"/>
          <w:spacing w:val="-9"/>
          <w:sz w:val="21"/>
          <w:szCs w:val="21"/>
        </w:rPr>
        <w:t xml:space="preserve"> </w:t>
      </w:r>
      <w:r w:rsidRPr="00206A67">
        <w:rPr>
          <w:rFonts w:ascii="Abadi" w:hAnsi="Abadi"/>
          <w:sz w:val="21"/>
          <w:szCs w:val="21"/>
        </w:rPr>
        <w:t>Lengua</w:t>
      </w:r>
      <w:r w:rsidRPr="00206A67">
        <w:rPr>
          <w:rFonts w:ascii="Abadi" w:hAnsi="Abadi"/>
          <w:spacing w:val="-9"/>
          <w:sz w:val="21"/>
          <w:szCs w:val="21"/>
        </w:rPr>
        <w:t xml:space="preserve"> </w:t>
      </w:r>
      <w:r w:rsidRPr="00206A67">
        <w:rPr>
          <w:rFonts w:ascii="Abadi" w:hAnsi="Abadi"/>
          <w:sz w:val="21"/>
          <w:szCs w:val="21"/>
        </w:rPr>
        <w:t>de</w:t>
      </w:r>
      <w:r w:rsidRPr="00206A67">
        <w:rPr>
          <w:rFonts w:ascii="Abadi" w:hAnsi="Abadi"/>
          <w:spacing w:val="-9"/>
          <w:sz w:val="21"/>
          <w:szCs w:val="21"/>
        </w:rPr>
        <w:t xml:space="preserve"> </w:t>
      </w:r>
      <w:r w:rsidRPr="00206A67">
        <w:rPr>
          <w:rFonts w:ascii="Abadi" w:hAnsi="Abadi"/>
          <w:sz w:val="21"/>
          <w:szCs w:val="21"/>
        </w:rPr>
        <w:t>Señas</w:t>
      </w:r>
      <w:r w:rsidRPr="00206A67">
        <w:rPr>
          <w:rFonts w:ascii="Abadi" w:hAnsi="Abadi"/>
          <w:spacing w:val="-8"/>
          <w:sz w:val="21"/>
          <w:szCs w:val="21"/>
        </w:rPr>
        <w:t xml:space="preserve"> </w:t>
      </w:r>
      <w:r w:rsidRPr="00206A67">
        <w:rPr>
          <w:rFonts w:ascii="Abadi" w:hAnsi="Abadi"/>
          <w:sz w:val="21"/>
          <w:szCs w:val="21"/>
        </w:rPr>
        <w:t>Mexicana,</w:t>
      </w:r>
      <w:r w:rsidRPr="00206A67">
        <w:rPr>
          <w:rFonts w:ascii="Abadi" w:hAnsi="Abadi"/>
          <w:spacing w:val="-5"/>
          <w:sz w:val="21"/>
          <w:szCs w:val="21"/>
        </w:rPr>
        <w:t xml:space="preserve"> </w:t>
      </w:r>
      <w:r w:rsidRPr="00206A67">
        <w:rPr>
          <w:rFonts w:ascii="Abadi" w:hAnsi="Abadi"/>
          <w:sz w:val="21"/>
          <w:szCs w:val="21"/>
        </w:rPr>
        <w:t>por</w:t>
      </w:r>
      <w:r w:rsidRPr="00206A67">
        <w:rPr>
          <w:rFonts w:ascii="Abadi" w:hAnsi="Abadi"/>
          <w:spacing w:val="-8"/>
          <w:sz w:val="21"/>
          <w:szCs w:val="21"/>
        </w:rPr>
        <w:t xml:space="preserve"> </w:t>
      </w:r>
      <w:r w:rsidRPr="00206A67">
        <w:rPr>
          <w:rFonts w:ascii="Abadi" w:hAnsi="Abadi"/>
          <w:sz w:val="21"/>
          <w:szCs w:val="21"/>
        </w:rPr>
        <w:t>lo</w:t>
      </w:r>
      <w:r w:rsidRPr="00206A67">
        <w:rPr>
          <w:rFonts w:ascii="Abadi" w:hAnsi="Abadi"/>
          <w:spacing w:val="-10"/>
          <w:sz w:val="21"/>
          <w:szCs w:val="21"/>
        </w:rPr>
        <w:t xml:space="preserve"> </w:t>
      </w:r>
      <w:r w:rsidRPr="00206A67">
        <w:rPr>
          <w:rFonts w:ascii="Abadi" w:hAnsi="Abadi"/>
          <w:sz w:val="21"/>
          <w:szCs w:val="21"/>
        </w:rPr>
        <w:t>que las autoridades deben garantizar el derecho de las personas con alguna discapacidad sensorial, estableciendo medidas como son la promoción de la utilización del Lenguaje de Señas, entre otros. Donde la Lengua de Señas Mexicana, es reconocida oficialmente como una lengua nacional y forma parte del patrimonio lingüístico con que cuenta la nación mexicana. Serán reconocidos el Sistema Braille, los modos, medios y formatos de comunicación accesibles que elijan las personas con discapacidad.</w:t>
      </w:r>
    </w:p>
    <w:p w14:paraId="75CE3B1A" w14:textId="77777777" w:rsidR="00EA0AF5" w:rsidRPr="00206A67" w:rsidRDefault="00EA0AF5" w:rsidP="00EA0AF5">
      <w:pPr>
        <w:pStyle w:val="Textoindependiente"/>
        <w:rPr>
          <w:rFonts w:ascii="Abadi" w:hAnsi="Abadi"/>
          <w:sz w:val="21"/>
          <w:szCs w:val="21"/>
        </w:rPr>
      </w:pPr>
    </w:p>
    <w:p w14:paraId="328D7C76" w14:textId="77777777" w:rsidR="009E3077" w:rsidRPr="00206A67" w:rsidRDefault="00EA0AF5" w:rsidP="009E3077">
      <w:pPr>
        <w:jc w:val="both"/>
        <w:rPr>
          <w:rFonts w:ascii="Abadi" w:hAnsi="Abadi"/>
          <w:sz w:val="21"/>
          <w:szCs w:val="21"/>
        </w:rPr>
      </w:pPr>
      <w:r w:rsidRPr="00206A67">
        <w:rPr>
          <w:rFonts w:ascii="Abadi" w:hAnsi="Abadi"/>
          <w:sz w:val="21"/>
          <w:szCs w:val="21"/>
        </w:rPr>
        <w:t>De acuerdo con el Censo de Población y Vivienda de 2020</w:t>
      </w:r>
      <w:r>
        <w:rPr>
          <w:rStyle w:val="Refdenotaalpie"/>
          <w:rFonts w:ascii="Abadi" w:hAnsi="Abadi"/>
          <w:sz w:val="21"/>
          <w:szCs w:val="21"/>
        </w:rPr>
        <w:footnoteReference w:id="75"/>
      </w:r>
      <w:r w:rsidRPr="00206A67">
        <w:rPr>
          <w:rFonts w:ascii="Abadi" w:hAnsi="Abadi"/>
          <w:sz w:val="21"/>
          <w:szCs w:val="21"/>
        </w:rPr>
        <w:t xml:space="preserve">, de la población total en México existen diversos grupos de discapacidad, pero en el caso concreto se </w:t>
      </w:r>
      <w:proofErr w:type="gramStart"/>
      <w:r w:rsidRPr="00206A67">
        <w:rPr>
          <w:rFonts w:ascii="Abadi" w:hAnsi="Abadi"/>
          <w:sz w:val="21"/>
          <w:szCs w:val="21"/>
        </w:rPr>
        <w:t>documentó</w:t>
      </w:r>
      <w:r w:rsidRPr="00206A67">
        <w:rPr>
          <w:rFonts w:ascii="Abadi" w:hAnsi="Abadi"/>
          <w:spacing w:val="40"/>
          <w:sz w:val="21"/>
          <w:szCs w:val="21"/>
        </w:rPr>
        <w:t xml:space="preserve">  </w:t>
      </w:r>
      <w:r w:rsidRPr="00206A67">
        <w:rPr>
          <w:rFonts w:ascii="Abadi" w:hAnsi="Abadi"/>
          <w:sz w:val="21"/>
          <w:szCs w:val="21"/>
        </w:rPr>
        <w:t>que</w:t>
      </w:r>
      <w:proofErr w:type="gramEnd"/>
      <w:r w:rsidRPr="00206A67">
        <w:rPr>
          <w:rFonts w:ascii="Abadi" w:hAnsi="Abadi"/>
          <w:spacing w:val="40"/>
          <w:sz w:val="21"/>
          <w:szCs w:val="21"/>
        </w:rPr>
        <w:t xml:space="preserve">  </w:t>
      </w:r>
      <w:r w:rsidRPr="00206A67">
        <w:rPr>
          <w:rFonts w:ascii="Abadi" w:hAnsi="Abadi"/>
          <w:sz w:val="21"/>
          <w:szCs w:val="21"/>
        </w:rPr>
        <w:t>existen</w:t>
      </w:r>
      <w:r w:rsidRPr="00206A67">
        <w:rPr>
          <w:rFonts w:ascii="Abadi" w:hAnsi="Abadi"/>
          <w:spacing w:val="-2"/>
          <w:sz w:val="21"/>
          <w:szCs w:val="21"/>
        </w:rPr>
        <w:t xml:space="preserve"> </w:t>
      </w:r>
      <w:r w:rsidRPr="00206A67">
        <w:rPr>
          <w:rFonts w:ascii="Abadi" w:hAnsi="Abadi"/>
          <w:sz w:val="21"/>
          <w:szCs w:val="21"/>
        </w:rPr>
        <w:t>6</w:t>
      </w:r>
      <w:r w:rsidRPr="00206A67">
        <w:rPr>
          <w:rFonts w:ascii="Abadi" w:hAnsi="Abadi"/>
          <w:spacing w:val="40"/>
          <w:sz w:val="21"/>
          <w:szCs w:val="21"/>
        </w:rPr>
        <w:t xml:space="preserve">  </w:t>
      </w:r>
      <w:r w:rsidRPr="00206A67">
        <w:rPr>
          <w:rFonts w:ascii="Abadi" w:hAnsi="Abadi"/>
          <w:sz w:val="21"/>
          <w:szCs w:val="21"/>
        </w:rPr>
        <w:t>millones</w:t>
      </w:r>
      <w:r w:rsidRPr="00206A67">
        <w:rPr>
          <w:rFonts w:ascii="Abadi" w:hAnsi="Abadi"/>
          <w:spacing w:val="40"/>
          <w:sz w:val="21"/>
          <w:szCs w:val="21"/>
        </w:rPr>
        <w:t xml:space="preserve">  </w:t>
      </w:r>
      <w:r w:rsidRPr="00206A67">
        <w:rPr>
          <w:rFonts w:ascii="Abadi" w:hAnsi="Abadi"/>
          <w:sz w:val="21"/>
          <w:szCs w:val="21"/>
        </w:rPr>
        <w:t>179</w:t>
      </w:r>
      <w:r w:rsidRPr="00206A67">
        <w:rPr>
          <w:rFonts w:ascii="Abadi" w:hAnsi="Abadi"/>
          <w:spacing w:val="40"/>
          <w:sz w:val="21"/>
          <w:szCs w:val="21"/>
        </w:rPr>
        <w:t xml:space="preserve">  </w:t>
      </w:r>
      <w:r w:rsidRPr="00206A67">
        <w:rPr>
          <w:rFonts w:ascii="Abadi" w:hAnsi="Abadi"/>
          <w:sz w:val="21"/>
          <w:szCs w:val="21"/>
        </w:rPr>
        <w:t>mil</w:t>
      </w:r>
      <w:r w:rsidRPr="00206A67">
        <w:rPr>
          <w:rFonts w:ascii="Abadi" w:hAnsi="Abadi"/>
          <w:spacing w:val="40"/>
          <w:sz w:val="21"/>
          <w:szCs w:val="21"/>
        </w:rPr>
        <w:t xml:space="preserve">  </w:t>
      </w:r>
      <w:r w:rsidRPr="00206A67">
        <w:rPr>
          <w:rFonts w:ascii="Abadi" w:hAnsi="Abadi"/>
          <w:sz w:val="21"/>
          <w:szCs w:val="21"/>
        </w:rPr>
        <w:t>890 personas</w:t>
      </w:r>
      <w:r w:rsidRPr="00206A67">
        <w:rPr>
          <w:rFonts w:ascii="Abadi" w:hAnsi="Abadi"/>
          <w:spacing w:val="40"/>
          <w:sz w:val="21"/>
          <w:szCs w:val="21"/>
        </w:rPr>
        <w:t xml:space="preserve">  </w:t>
      </w:r>
      <w:r w:rsidRPr="00206A67">
        <w:rPr>
          <w:rFonts w:ascii="Abadi" w:hAnsi="Abadi"/>
          <w:sz w:val="21"/>
          <w:szCs w:val="21"/>
        </w:rPr>
        <w:t>con algún</w:t>
      </w:r>
      <w:r w:rsidRPr="00206A67">
        <w:rPr>
          <w:rFonts w:ascii="Abadi" w:hAnsi="Abadi"/>
          <w:spacing w:val="40"/>
          <w:sz w:val="21"/>
          <w:szCs w:val="21"/>
        </w:rPr>
        <w:t xml:space="preserve">  </w:t>
      </w:r>
      <w:r w:rsidRPr="00206A67">
        <w:rPr>
          <w:rFonts w:ascii="Abadi" w:hAnsi="Abadi"/>
          <w:sz w:val="21"/>
          <w:szCs w:val="21"/>
        </w:rPr>
        <w:t>tipo de</w:t>
      </w:r>
      <w:r w:rsidRPr="00206A67">
        <w:rPr>
          <w:rFonts w:ascii="Abadi" w:hAnsi="Abadi"/>
          <w:spacing w:val="-1"/>
          <w:sz w:val="21"/>
          <w:szCs w:val="21"/>
        </w:rPr>
        <w:t xml:space="preserve"> </w:t>
      </w:r>
      <w:r w:rsidRPr="00206A67">
        <w:rPr>
          <w:rFonts w:ascii="Abadi" w:hAnsi="Abadi"/>
          <w:sz w:val="21"/>
          <w:szCs w:val="21"/>
        </w:rPr>
        <w:t>discapacidad,</w:t>
      </w:r>
      <w:r w:rsidRPr="00206A67">
        <w:rPr>
          <w:rFonts w:ascii="Abadi" w:hAnsi="Abadi"/>
          <w:spacing w:val="34"/>
          <w:sz w:val="21"/>
          <w:szCs w:val="21"/>
        </w:rPr>
        <w:t xml:space="preserve"> </w:t>
      </w:r>
      <w:r w:rsidRPr="00206A67">
        <w:rPr>
          <w:rFonts w:ascii="Abadi" w:hAnsi="Abadi"/>
          <w:sz w:val="21"/>
          <w:szCs w:val="21"/>
        </w:rPr>
        <w:t>lo</w:t>
      </w:r>
      <w:r w:rsidRPr="00206A67">
        <w:rPr>
          <w:rFonts w:ascii="Abadi" w:hAnsi="Abadi"/>
          <w:spacing w:val="33"/>
          <w:sz w:val="21"/>
          <w:szCs w:val="21"/>
        </w:rPr>
        <w:t xml:space="preserve"> </w:t>
      </w:r>
      <w:r w:rsidRPr="00206A67">
        <w:rPr>
          <w:rFonts w:ascii="Abadi" w:hAnsi="Abadi"/>
          <w:sz w:val="21"/>
          <w:szCs w:val="21"/>
        </w:rPr>
        <w:t>que</w:t>
      </w:r>
      <w:r w:rsidRPr="00206A67">
        <w:rPr>
          <w:rFonts w:ascii="Abadi" w:hAnsi="Abadi"/>
          <w:spacing w:val="1"/>
          <w:sz w:val="21"/>
          <w:szCs w:val="21"/>
        </w:rPr>
        <w:t xml:space="preserve"> </w:t>
      </w:r>
      <w:r w:rsidRPr="00206A67">
        <w:rPr>
          <w:rFonts w:ascii="Abadi" w:hAnsi="Abadi"/>
          <w:sz w:val="21"/>
          <w:szCs w:val="21"/>
        </w:rPr>
        <w:t>representa</w:t>
      </w:r>
      <w:r w:rsidRPr="00206A67">
        <w:rPr>
          <w:rFonts w:ascii="Abadi" w:hAnsi="Abadi"/>
          <w:spacing w:val="34"/>
          <w:sz w:val="21"/>
          <w:szCs w:val="21"/>
        </w:rPr>
        <w:t xml:space="preserve"> </w:t>
      </w:r>
      <w:r w:rsidRPr="00206A67">
        <w:rPr>
          <w:rFonts w:ascii="Abadi" w:hAnsi="Abadi"/>
          <w:sz w:val="21"/>
          <w:szCs w:val="21"/>
        </w:rPr>
        <w:t>4.9</w:t>
      </w:r>
      <w:r w:rsidRPr="00206A67">
        <w:rPr>
          <w:rFonts w:ascii="Abadi" w:hAnsi="Abadi"/>
          <w:spacing w:val="34"/>
          <w:sz w:val="21"/>
          <w:szCs w:val="21"/>
        </w:rPr>
        <w:t xml:space="preserve"> </w:t>
      </w:r>
      <w:r w:rsidRPr="00206A67">
        <w:rPr>
          <w:rFonts w:ascii="Abadi" w:hAnsi="Abadi"/>
          <w:sz w:val="21"/>
          <w:szCs w:val="21"/>
        </w:rPr>
        <w:t>%</w:t>
      </w:r>
      <w:r w:rsidRPr="00206A67">
        <w:rPr>
          <w:rFonts w:ascii="Abadi" w:hAnsi="Abadi"/>
          <w:spacing w:val="33"/>
          <w:sz w:val="21"/>
          <w:szCs w:val="21"/>
        </w:rPr>
        <w:t xml:space="preserve"> </w:t>
      </w:r>
      <w:r w:rsidRPr="00206A67">
        <w:rPr>
          <w:rFonts w:ascii="Abadi" w:hAnsi="Abadi"/>
          <w:sz w:val="21"/>
          <w:szCs w:val="21"/>
        </w:rPr>
        <w:t>de</w:t>
      </w:r>
      <w:r w:rsidRPr="00206A67">
        <w:rPr>
          <w:rFonts w:ascii="Abadi" w:hAnsi="Abadi"/>
          <w:spacing w:val="36"/>
          <w:sz w:val="21"/>
          <w:szCs w:val="21"/>
        </w:rPr>
        <w:t xml:space="preserve"> </w:t>
      </w:r>
      <w:r w:rsidRPr="00206A67">
        <w:rPr>
          <w:rFonts w:ascii="Abadi" w:hAnsi="Abadi"/>
          <w:sz w:val="21"/>
          <w:szCs w:val="21"/>
        </w:rPr>
        <w:t>la</w:t>
      </w:r>
      <w:r w:rsidRPr="00206A67">
        <w:rPr>
          <w:rFonts w:ascii="Abadi" w:hAnsi="Abadi"/>
          <w:spacing w:val="33"/>
          <w:sz w:val="21"/>
          <w:szCs w:val="21"/>
        </w:rPr>
        <w:t xml:space="preserve"> </w:t>
      </w:r>
      <w:r w:rsidRPr="00206A67">
        <w:rPr>
          <w:rFonts w:ascii="Abadi" w:hAnsi="Abadi"/>
          <w:sz w:val="21"/>
          <w:szCs w:val="21"/>
        </w:rPr>
        <w:t>población</w:t>
      </w:r>
      <w:r w:rsidRPr="00206A67">
        <w:rPr>
          <w:rFonts w:ascii="Abadi" w:hAnsi="Abadi"/>
          <w:spacing w:val="34"/>
          <w:sz w:val="21"/>
          <w:szCs w:val="21"/>
        </w:rPr>
        <w:t xml:space="preserve"> </w:t>
      </w:r>
      <w:r w:rsidRPr="00206A67">
        <w:rPr>
          <w:rFonts w:ascii="Abadi" w:hAnsi="Abadi"/>
          <w:sz w:val="21"/>
          <w:szCs w:val="21"/>
        </w:rPr>
        <w:t>total</w:t>
      </w:r>
      <w:r w:rsidRPr="00206A67">
        <w:rPr>
          <w:rFonts w:ascii="Abadi" w:hAnsi="Abadi"/>
          <w:spacing w:val="33"/>
          <w:sz w:val="21"/>
          <w:szCs w:val="21"/>
        </w:rPr>
        <w:t xml:space="preserve"> </w:t>
      </w:r>
      <w:r w:rsidRPr="00206A67">
        <w:rPr>
          <w:rFonts w:ascii="Abadi" w:hAnsi="Abadi"/>
          <w:sz w:val="21"/>
          <w:szCs w:val="21"/>
        </w:rPr>
        <w:t>del</w:t>
      </w:r>
      <w:r w:rsidRPr="00206A67">
        <w:rPr>
          <w:rFonts w:ascii="Abadi" w:hAnsi="Abadi"/>
          <w:spacing w:val="34"/>
          <w:sz w:val="21"/>
          <w:szCs w:val="21"/>
        </w:rPr>
        <w:t xml:space="preserve"> </w:t>
      </w:r>
      <w:r w:rsidRPr="00206A67">
        <w:rPr>
          <w:rFonts w:ascii="Abadi" w:hAnsi="Abadi"/>
          <w:sz w:val="21"/>
          <w:szCs w:val="21"/>
        </w:rPr>
        <w:t>país.</w:t>
      </w:r>
      <w:r w:rsidRPr="00206A67">
        <w:rPr>
          <w:rFonts w:ascii="Abadi" w:hAnsi="Abadi"/>
          <w:spacing w:val="7"/>
          <w:sz w:val="21"/>
          <w:szCs w:val="21"/>
        </w:rPr>
        <w:t xml:space="preserve"> </w:t>
      </w:r>
      <w:r w:rsidRPr="00206A67">
        <w:rPr>
          <w:rFonts w:ascii="Abadi" w:hAnsi="Abadi"/>
          <w:sz w:val="21"/>
          <w:szCs w:val="21"/>
        </w:rPr>
        <w:t>De</w:t>
      </w:r>
      <w:r w:rsidRPr="00206A67">
        <w:rPr>
          <w:rFonts w:ascii="Abadi" w:hAnsi="Abadi"/>
          <w:spacing w:val="34"/>
          <w:sz w:val="21"/>
          <w:szCs w:val="21"/>
        </w:rPr>
        <w:t xml:space="preserve"> </w:t>
      </w:r>
      <w:r w:rsidRPr="00206A67">
        <w:rPr>
          <w:rFonts w:ascii="Abadi" w:hAnsi="Abadi"/>
          <w:spacing w:val="-5"/>
          <w:sz w:val="21"/>
          <w:szCs w:val="21"/>
        </w:rPr>
        <w:t>ese</w:t>
      </w:r>
      <w:r w:rsidR="009E3077">
        <w:rPr>
          <w:rFonts w:ascii="Abadi" w:hAnsi="Abadi"/>
          <w:spacing w:val="-5"/>
          <w:sz w:val="21"/>
          <w:szCs w:val="21"/>
        </w:rPr>
        <w:t xml:space="preserve"> </w:t>
      </w:r>
      <w:r w:rsidR="009E3077" w:rsidRPr="00206A67">
        <w:rPr>
          <w:rFonts w:ascii="Abadi" w:hAnsi="Abadi"/>
          <w:sz w:val="21"/>
          <w:szCs w:val="21"/>
        </w:rPr>
        <w:t>universo,.945</w:t>
      </w:r>
      <w:r w:rsidR="009E3077" w:rsidRPr="00206A67">
        <w:rPr>
          <w:rFonts w:ascii="Abadi" w:hAnsi="Abadi"/>
          <w:spacing w:val="-7"/>
          <w:sz w:val="21"/>
          <w:szCs w:val="21"/>
        </w:rPr>
        <w:t xml:space="preserve"> </w:t>
      </w:r>
      <w:r w:rsidR="009E3077" w:rsidRPr="00206A67">
        <w:rPr>
          <w:rFonts w:ascii="Abadi" w:hAnsi="Abadi"/>
          <w:sz w:val="21"/>
          <w:szCs w:val="21"/>
        </w:rPr>
        <w:t>mil</w:t>
      </w:r>
      <w:r w:rsidR="009E3077" w:rsidRPr="00206A67">
        <w:rPr>
          <w:rFonts w:ascii="Abadi" w:hAnsi="Abadi"/>
          <w:spacing w:val="-9"/>
          <w:sz w:val="21"/>
          <w:szCs w:val="21"/>
        </w:rPr>
        <w:t xml:space="preserve"> </w:t>
      </w:r>
      <w:r w:rsidR="009E3077" w:rsidRPr="00206A67">
        <w:rPr>
          <w:rFonts w:ascii="Abadi" w:hAnsi="Abadi"/>
          <w:sz w:val="21"/>
          <w:szCs w:val="21"/>
        </w:rPr>
        <w:t>162</w:t>
      </w:r>
      <w:r w:rsidR="009E3077" w:rsidRPr="00206A67">
        <w:rPr>
          <w:rFonts w:ascii="Abadi" w:hAnsi="Abadi"/>
          <w:spacing w:val="-12"/>
          <w:sz w:val="21"/>
          <w:szCs w:val="21"/>
        </w:rPr>
        <w:t xml:space="preserve"> </w:t>
      </w:r>
      <w:r w:rsidR="009E3077" w:rsidRPr="00206A67">
        <w:rPr>
          <w:rFonts w:ascii="Abadi" w:hAnsi="Abadi"/>
          <w:sz w:val="21"/>
          <w:szCs w:val="21"/>
        </w:rPr>
        <w:t>personas</w:t>
      </w:r>
      <w:r w:rsidR="009E3077" w:rsidRPr="00206A67">
        <w:rPr>
          <w:rFonts w:ascii="Abadi" w:hAnsi="Abadi"/>
          <w:spacing w:val="-7"/>
          <w:sz w:val="21"/>
          <w:szCs w:val="21"/>
        </w:rPr>
        <w:t xml:space="preserve"> </w:t>
      </w:r>
      <w:r w:rsidR="009E3077" w:rsidRPr="00206A67">
        <w:rPr>
          <w:rFonts w:ascii="Abadi" w:hAnsi="Abadi"/>
          <w:sz w:val="21"/>
          <w:szCs w:val="21"/>
        </w:rPr>
        <w:t>tienen</w:t>
      </w:r>
      <w:r w:rsidR="009E3077" w:rsidRPr="00206A67">
        <w:rPr>
          <w:rFonts w:ascii="Abadi" w:hAnsi="Abadi"/>
          <w:spacing w:val="-9"/>
          <w:sz w:val="21"/>
          <w:szCs w:val="21"/>
        </w:rPr>
        <w:t xml:space="preserve"> </w:t>
      </w:r>
      <w:r w:rsidR="009E3077" w:rsidRPr="00206A67">
        <w:rPr>
          <w:rFonts w:ascii="Abadi" w:hAnsi="Abadi"/>
          <w:sz w:val="21"/>
          <w:szCs w:val="21"/>
        </w:rPr>
        <w:t>discapacidad</w:t>
      </w:r>
      <w:r w:rsidR="009E3077" w:rsidRPr="00206A67">
        <w:rPr>
          <w:rFonts w:ascii="Abadi" w:hAnsi="Abadi"/>
          <w:spacing w:val="-7"/>
          <w:sz w:val="21"/>
          <w:szCs w:val="21"/>
        </w:rPr>
        <w:t xml:space="preserve"> </w:t>
      </w:r>
      <w:r w:rsidR="009E3077" w:rsidRPr="00206A67">
        <w:rPr>
          <w:rFonts w:ascii="Abadi" w:hAnsi="Abadi"/>
          <w:sz w:val="21"/>
          <w:szCs w:val="21"/>
        </w:rPr>
        <w:t>para</w:t>
      </w:r>
      <w:r w:rsidR="009E3077" w:rsidRPr="00206A67">
        <w:rPr>
          <w:rFonts w:ascii="Abadi" w:hAnsi="Abadi"/>
          <w:spacing w:val="-6"/>
          <w:sz w:val="21"/>
          <w:szCs w:val="21"/>
        </w:rPr>
        <w:t xml:space="preserve"> </w:t>
      </w:r>
      <w:r w:rsidR="009E3077" w:rsidRPr="00206A67">
        <w:rPr>
          <w:rFonts w:ascii="Abadi" w:hAnsi="Abadi"/>
          <w:sz w:val="21"/>
          <w:szCs w:val="21"/>
        </w:rPr>
        <w:t>hablar</w:t>
      </w:r>
      <w:r w:rsidR="009E3077" w:rsidRPr="00206A67">
        <w:rPr>
          <w:rFonts w:ascii="Abadi" w:hAnsi="Abadi"/>
          <w:spacing w:val="-8"/>
          <w:sz w:val="21"/>
          <w:szCs w:val="21"/>
        </w:rPr>
        <w:t xml:space="preserve"> </w:t>
      </w:r>
      <w:r w:rsidR="009E3077" w:rsidRPr="00206A67">
        <w:rPr>
          <w:rFonts w:ascii="Abadi" w:hAnsi="Abadi"/>
          <w:sz w:val="21"/>
          <w:szCs w:val="21"/>
        </w:rPr>
        <w:t>o</w:t>
      </w:r>
      <w:r w:rsidR="009E3077" w:rsidRPr="00206A67">
        <w:rPr>
          <w:rFonts w:ascii="Abadi" w:hAnsi="Abadi"/>
          <w:spacing w:val="-12"/>
          <w:sz w:val="21"/>
          <w:szCs w:val="21"/>
        </w:rPr>
        <w:t xml:space="preserve"> </w:t>
      </w:r>
      <w:r w:rsidR="009E3077" w:rsidRPr="00206A67">
        <w:rPr>
          <w:rFonts w:ascii="Abadi" w:hAnsi="Abadi"/>
          <w:sz w:val="21"/>
          <w:szCs w:val="21"/>
        </w:rPr>
        <w:t>comunicarse,</w:t>
      </w:r>
      <w:r w:rsidR="009E3077" w:rsidRPr="00206A67">
        <w:rPr>
          <w:rFonts w:ascii="Abadi" w:hAnsi="Abadi"/>
          <w:spacing w:val="-10"/>
          <w:sz w:val="21"/>
          <w:szCs w:val="21"/>
        </w:rPr>
        <w:t xml:space="preserve"> </w:t>
      </w:r>
      <w:r w:rsidR="009E3077" w:rsidRPr="00206A67">
        <w:rPr>
          <w:rFonts w:ascii="Abadi" w:hAnsi="Abadi"/>
          <w:sz w:val="21"/>
          <w:szCs w:val="21"/>
        </w:rPr>
        <w:t xml:space="preserve">así como, 864 mil 662 personas tienen limitaciones para hablar o comunicarse. Por lo que respecta al estado de Guanajuato, hay 43 mil 896 personas con discapacidad para hablar o comunicarse, así como, 41 mil 007 </w:t>
      </w:r>
      <w:r w:rsidR="009E3077" w:rsidRPr="00206A67">
        <w:rPr>
          <w:rFonts w:ascii="Abadi" w:hAnsi="Abadi"/>
          <w:sz w:val="21"/>
          <w:szCs w:val="21"/>
        </w:rPr>
        <w:t>personas con dificultad para comunicarse o hablar.</w:t>
      </w:r>
    </w:p>
    <w:p w14:paraId="78EC857E" w14:textId="77777777" w:rsidR="009E3077" w:rsidRPr="00206A67" w:rsidRDefault="009E3077" w:rsidP="009E3077">
      <w:pPr>
        <w:pStyle w:val="Textoindependiente"/>
        <w:rPr>
          <w:rFonts w:ascii="Abadi" w:hAnsi="Abadi"/>
          <w:sz w:val="21"/>
          <w:szCs w:val="21"/>
        </w:rPr>
      </w:pPr>
    </w:p>
    <w:p w14:paraId="24CA2FAE" w14:textId="77777777" w:rsidR="009E3077" w:rsidRPr="00206A67" w:rsidRDefault="009E3077" w:rsidP="009E3077">
      <w:pPr>
        <w:jc w:val="both"/>
        <w:rPr>
          <w:rFonts w:ascii="Abadi" w:hAnsi="Abadi"/>
          <w:sz w:val="21"/>
          <w:szCs w:val="21"/>
        </w:rPr>
      </w:pPr>
      <w:r w:rsidRPr="00206A67">
        <w:rPr>
          <w:rFonts w:ascii="Abadi" w:hAnsi="Abadi"/>
          <w:sz w:val="21"/>
          <w:szCs w:val="21"/>
        </w:rPr>
        <w:t>De ahí la importancia de ir generando cada vez más mecanismos o instrumentos que permitan un adecuado ejercicio de los derechos de las personas con discapacidad,</w:t>
      </w:r>
      <w:r w:rsidRPr="00206A67">
        <w:rPr>
          <w:rFonts w:ascii="Abadi" w:hAnsi="Abadi"/>
          <w:spacing w:val="-10"/>
          <w:sz w:val="21"/>
          <w:szCs w:val="21"/>
        </w:rPr>
        <w:t xml:space="preserve"> </w:t>
      </w:r>
      <w:r w:rsidRPr="00206A67">
        <w:rPr>
          <w:rFonts w:ascii="Abadi" w:hAnsi="Abadi"/>
          <w:sz w:val="21"/>
          <w:szCs w:val="21"/>
        </w:rPr>
        <w:t>por</w:t>
      </w:r>
      <w:r w:rsidRPr="00206A67">
        <w:rPr>
          <w:rFonts w:ascii="Abadi" w:hAnsi="Abadi"/>
          <w:spacing w:val="-8"/>
          <w:sz w:val="21"/>
          <w:szCs w:val="21"/>
        </w:rPr>
        <w:t xml:space="preserve"> </w:t>
      </w:r>
      <w:r w:rsidRPr="00206A67">
        <w:rPr>
          <w:rFonts w:ascii="Abadi" w:hAnsi="Abadi"/>
          <w:sz w:val="21"/>
          <w:szCs w:val="21"/>
        </w:rPr>
        <w:t>ello,</w:t>
      </w:r>
      <w:r w:rsidRPr="00206A67">
        <w:rPr>
          <w:rFonts w:ascii="Abadi" w:hAnsi="Abadi"/>
          <w:spacing w:val="-8"/>
          <w:sz w:val="21"/>
          <w:szCs w:val="21"/>
        </w:rPr>
        <w:t xml:space="preserve"> </w:t>
      </w:r>
      <w:r w:rsidRPr="00206A67">
        <w:rPr>
          <w:rFonts w:ascii="Abadi" w:hAnsi="Abadi"/>
          <w:sz w:val="21"/>
          <w:szCs w:val="21"/>
        </w:rPr>
        <w:t>se</w:t>
      </w:r>
      <w:r w:rsidRPr="00206A67">
        <w:rPr>
          <w:rFonts w:ascii="Abadi" w:hAnsi="Abadi"/>
          <w:spacing w:val="-7"/>
          <w:sz w:val="21"/>
          <w:szCs w:val="21"/>
        </w:rPr>
        <w:t xml:space="preserve"> </w:t>
      </w:r>
      <w:r w:rsidRPr="00206A67">
        <w:rPr>
          <w:rFonts w:ascii="Abadi" w:hAnsi="Abadi"/>
          <w:sz w:val="21"/>
          <w:szCs w:val="21"/>
        </w:rPr>
        <w:t>busca</w:t>
      </w:r>
      <w:r w:rsidRPr="00206A67">
        <w:rPr>
          <w:rFonts w:ascii="Abadi" w:hAnsi="Abadi"/>
          <w:spacing w:val="-6"/>
          <w:sz w:val="21"/>
          <w:szCs w:val="21"/>
        </w:rPr>
        <w:t xml:space="preserve"> </w:t>
      </w:r>
      <w:r w:rsidRPr="00206A67">
        <w:rPr>
          <w:rFonts w:ascii="Abadi" w:hAnsi="Abadi"/>
          <w:sz w:val="21"/>
          <w:szCs w:val="21"/>
        </w:rPr>
        <w:t>impulsar</w:t>
      </w:r>
      <w:r w:rsidRPr="00206A67">
        <w:rPr>
          <w:rFonts w:ascii="Abadi" w:hAnsi="Abadi"/>
          <w:spacing w:val="-8"/>
          <w:sz w:val="21"/>
          <w:szCs w:val="21"/>
        </w:rPr>
        <w:t xml:space="preserve"> </w:t>
      </w:r>
      <w:r w:rsidRPr="00206A67">
        <w:rPr>
          <w:rFonts w:ascii="Abadi" w:hAnsi="Abadi"/>
          <w:sz w:val="21"/>
          <w:szCs w:val="21"/>
        </w:rPr>
        <w:t>y</w:t>
      </w:r>
      <w:r w:rsidRPr="00206A67">
        <w:rPr>
          <w:rFonts w:ascii="Abadi" w:hAnsi="Abadi"/>
          <w:spacing w:val="-8"/>
          <w:sz w:val="21"/>
          <w:szCs w:val="21"/>
        </w:rPr>
        <w:t xml:space="preserve"> </w:t>
      </w:r>
      <w:r w:rsidRPr="00206A67">
        <w:rPr>
          <w:rFonts w:ascii="Abadi" w:hAnsi="Abadi"/>
          <w:sz w:val="21"/>
          <w:szCs w:val="21"/>
        </w:rPr>
        <w:t>generar</w:t>
      </w:r>
      <w:r w:rsidRPr="00206A67">
        <w:rPr>
          <w:rFonts w:ascii="Abadi" w:hAnsi="Abadi"/>
          <w:spacing w:val="-8"/>
          <w:sz w:val="21"/>
          <w:szCs w:val="21"/>
        </w:rPr>
        <w:t xml:space="preserve"> </w:t>
      </w:r>
      <w:r w:rsidRPr="00206A67">
        <w:rPr>
          <w:rFonts w:ascii="Abadi" w:hAnsi="Abadi"/>
          <w:sz w:val="21"/>
          <w:szCs w:val="21"/>
        </w:rPr>
        <w:t>conciencia</w:t>
      </w:r>
      <w:r w:rsidRPr="00206A67">
        <w:rPr>
          <w:rFonts w:ascii="Abadi" w:hAnsi="Abadi"/>
          <w:spacing w:val="-7"/>
          <w:sz w:val="21"/>
          <w:szCs w:val="21"/>
        </w:rPr>
        <w:t xml:space="preserve"> </w:t>
      </w:r>
      <w:r w:rsidRPr="00206A67">
        <w:rPr>
          <w:rFonts w:ascii="Abadi" w:hAnsi="Abadi"/>
          <w:sz w:val="21"/>
          <w:szCs w:val="21"/>
        </w:rPr>
        <w:t>para</w:t>
      </w:r>
      <w:r w:rsidRPr="00206A67">
        <w:rPr>
          <w:rFonts w:ascii="Abadi" w:hAnsi="Abadi"/>
          <w:spacing w:val="-10"/>
          <w:sz w:val="21"/>
          <w:szCs w:val="21"/>
        </w:rPr>
        <w:t xml:space="preserve"> </w:t>
      </w:r>
      <w:r w:rsidRPr="00206A67">
        <w:rPr>
          <w:rFonts w:ascii="Abadi" w:hAnsi="Abadi"/>
          <w:sz w:val="21"/>
          <w:szCs w:val="21"/>
        </w:rPr>
        <w:t>que</w:t>
      </w:r>
      <w:r w:rsidRPr="00206A67">
        <w:rPr>
          <w:rFonts w:ascii="Abadi" w:hAnsi="Abadi"/>
          <w:spacing w:val="-4"/>
          <w:sz w:val="21"/>
          <w:szCs w:val="21"/>
        </w:rPr>
        <w:t xml:space="preserve"> </w:t>
      </w:r>
      <w:r w:rsidRPr="00206A67">
        <w:rPr>
          <w:rFonts w:ascii="Abadi" w:hAnsi="Abadi"/>
          <w:sz w:val="21"/>
          <w:szCs w:val="21"/>
        </w:rPr>
        <w:t>Protección Civil, Bomberos y los cuerpos de seguridad pública de loa municipios cuenten con elementos necesarios para la debida y correcta comunicación entre ellos y las personas con discapacidad auditiva, especialmente en aquellos casos en que se presente un conflicto, siniestro o emergencia.</w:t>
      </w:r>
    </w:p>
    <w:p w14:paraId="7B93F841" w14:textId="77777777" w:rsidR="009E3077" w:rsidRPr="00206A67" w:rsidRDefault="009E3077" w:rsidP="009E3077">
      <w:pPr>
        <w:pStyle w:val="Textoindependiente"/>
        <w:rPr>
          <w:rFonts w:ascii="Abadi" w:hAnsi="Abadi"/>
          <w:sz w:val="21"/>
          <w:szCs w:val="21"/>
        </w:rPr>
      </w:pPr>
    </w:p>
    <w:p w14:paraId="76A7D1D7" w14:textId="77777777" w:rsidR="009E3077" w:rsidRPr="00206A67" w:rsidRDefault="009E3077" w:rsidP="009E3077">
      <w:pPr>
        <w:jc w:val="both"/>
        <w:rPr>
          <w:rFonts w:ascii="Abadi" w:hAnsi="Abadi"/>
          <w:sz w:val="21"/>
          <w:szCs w:val="21"/>
        </w:rPr>
      </w:pPr>
      <w:r w:rsidRPr="00206A67">
        <w:rPr>
          <w:rFonts w:ascii="Abadi" w:hAnsi="Abadi"/>
          <w:sz w:val="21"/>
          <w:szCs w:val="21"/>
        </w:rPr>
        <w:t>Por</w:t>
      </w:r>
      <w:r w:rsidRPr="00206A67">
        <w:rPr>
          <w:rFonts w:ascii="Abadi" w:hAnsi="Abadi"/>
          <w:spacing w:val="-11"/>
          <w:sz w:val="21"/>
          <w:szCs w:val="21"/>
        </w:rPr>
        <w:t xml:space="preserve"> </w:t>
      </w:r>
      <w:r w:rsidRPr="00206A67">
        <w:rPr>
          <w:rFonts w:ascii="Abadi" w:hAnsi="Abadi"/>
          <w:sz w:val="21"/>
          <w:szCs w:val="21"/>
        </w:rPr>
        <w:t>otra</w:t>
      </w:r>
      <w:r w:rsidRPr="00206A67">
        <w:rPr>
          <w:rFonts w:ascii="Abadi" w:hAnsi="Abadi"/>
          <w:spacing w:val="-10"/>
          <w:sz w:val="21"/>
          <w:szCs w:val="21"/>
        </w:rPr>
        <w:t xml:space="preserve"> </w:t>
      </w:r>
      <w:r w:rsidRPr="00206A67">
        <w:rPr>
          <w:rFonts w:ascii="Abadi" w:hAnsi="Abadi"/>
          <w:sz w:val="21"/>
          <w:szCs w:val="21"/>
        </w:rPr>
        <w:t>parte,</w:t>
      </w:r>
      <w:r w:rsidRPr="00206A67">
        <w:rPr>
          <w:rFonts w:ascii="Abadi" w:hAnsi="Abadi"/>
          <w:spacing w:val="-10"/>
          <w:sz w:val="21"/>
          <w:szCs w:val="21"/>
        </w:rPr>
        <w:t xml:space="preserve"> </w:t>
      </w:r>
      <w:r w:rsidRPr="00206A67">
        <w:rPr>
          <w:rFonts w:ascii="Abadi" w:hAnsi="Abadi"/>
          <w:sz w:val="21"/>
          <w:szCs w:val="21"/>
        </w:rPr>
        <w:t>uno</w:t>
      </w:r>
      <w:r w:rsidRPr="00206A67">
        <w:rPr>
          <w:rFonts w:ascii="Abadi" w:hAnsi="Abadi"/>
          <w:spacing w:val="-12"/>
          <w:sz w:val="21"/>
          <w:szCs w:val="21"/>
        </w:rPr>
        <w:t xml:space="preserve"> </w:t>
      </w:r>
      <w:r w:rsidRPr="00206A67">
        <w:rPr>
          <w:rFonts w:ascii="Abadi" w:hAnsi="Abadi"/>
          <w:sz w:val="21"/>
          <w:szCs w:val="21"/>
        </w:rPr>
        <w:t>de</w:t>
      </w:r>
      <w:r w:rsidRPr="00206A67">
        <w:rPr>
          <w:rFonts w:ascii="Abadi" w:hAnsi="Abadi"/>
          <w:spacing w:val="-9"/>
          <w:sz w:val="21"/>
          <w:szCs w:val="21"/>
        </w:rPr>
        <w:t xml:space="preserve"> </w:t>
      </w:r>
      <w:r w:rsidRPr="00206A67">
        <w:rPr>
          <w:rFonts w:ascii="Abadi" w:hAnsi="Abadi"/>
          <w:sz w:val="21"/>
          <w:szCs w:val="21"/>
        </w:rPr>
        <w:t>los</w:t>
      </w:r>
      <w:r w:rsidRPr="00206A67">
        <w:rPr>
          <w:rFonts w:ascii="Abadi" w:hAnsi="Abadi"/>
          <w:spacing w:val="-10"/>
          <w:sz w:val="21"/>
          <w:szCs w:val="21"/>
        </w:rPr>
        <w:t xml:space="preserve"> </w:t>
      </w:r>
      <w:r w:rsidRPr="00206A67">
        <w:rPr>
          <w:rFonts w:ascii="Abadi" w:hAnsi="Abadi"/>
          <w:sz w:val="21"/>
          <w:szCs w:val="21"/>
        </w:rPr>
        <w:t>objetivos</w:t>
      </w:r>
      <w:r w:rsidRPr="00206A67">
        <w:rPr>
          <w:rFonts w:ascii="Abadi" w:hAnsi="Abadi"/>
          <w:spacing w:val="-10"/>
          <w:sz w:val="21"/>
          <w:szCs w:val="21"/>
        </w:rPr>
        <w:t xml:space="preserve"> </w:t>
      </w:r>
      <w:r w:rsidRPr="00206A67">
        <w:rPr>
          <w:rFonts w:ascii="Abadi" w:hAnsi="Abadi"/>
          <w:sz w:val="21"/>
          <w:szCs w:val="21"/>
        </w:rPr>
        <w:t>de</w:t>
      </w:r>
      <w:r w:rsidRPr="00206A67">
        <w:rPr>
          <w:rFonts w:ascii="Abadi" w:hAnsi="Abadi"/>
          <w:spacing w:val="-12"/>
          <w:sz w:val="21"/>
          <w:szCs w:val="21"/>
        </w:rPr>
        <w:t xml:space="preserve"> </w:t>
      </w:r>
      <w:r w:rsidRPr="00206A67">
        <w:rPr>
          <w:rFonts w:ascii="Abadi" w:hAnsi="Abadi"/>
          <w:sz w:val="21"/>
          <w:szCs w:val="21"/>
        </w:rPr>
        <w:t>Protección</w:t>
      </w:r>
      <w:r w:rsidRPr="00206A67">
        <w:rPr>
          <w:rFonts w:ascii="Abadi" w:hAnsi="Abadi"/>
          <w:spacing w:val="-9"/>
          <w:sz w:val="21"/>
          <w:szCs w:val="21"/>
        </w:rPr>
        <w:t xml:space="preserve"> </w:t>
      </w:r>
      <w:r w:rsidRPr="00206A67">
        <w:rPr>
          <w:rFonts w:ascii="Abadi" w:hAnsi="Abadi"/>
          <w:sz w:val="21"/>
          <w:szCs w:val="21"/>
        </w:rPr>
        <w:t>Civil</w:t>
      </w:r>
      <w:r w:rsidRPr="00206A67">
        <w:rPr>
          <w:rFonts w:ascii="Abadi" w:hAnsi="Abadi"/>
          <w:spacing w:val="-11"/>
          <w:sz w:val="21"/>
          <w:szCs w:val="21"/>
        </w:rPr>
        <w:t xml:space="preserve"> </w:t>
      </w:r>
      <w:r w:rsidRPr="00206A67">
        <w:rPr>
          <w:rFonts w:ascii="Abadi" w:hAnsi="Abadi"/>
          <w:sz w:val="21"/>
          <w:szCs w:val="21"/>
        </w:rPr>
        <w:t>es</w:t>
      </w:r>
      <w:r w:rsidRPr="00206A67">
        <w:rPr>
          <w:rFonts w:ascii="Abadi" w:hAnsi="Abadi"/>
          <w:spacing w:val="-5"/>
          <w:sz w:val="21"/>
          <w:szCs w:val="21"/>
        </w:rPr>
        <w:t xml:space="preserve"> </w:t>
      </w:r>
      <w:r w:rsidRPr="00206A67">
        <w:rPr>
          <w:rFonts w:ascii="Abadi" w:hAnsi="Abadi"/>
          <w:sz w:val="21"/>
          <w:szCs w:val="21"/>
        </w:rPr>
        <w:t>salvaguardar</w:t>
      </w:r>
      <w:r w:rsidRPr="00206A67">
        <w:rPr>
          <w:rFonts w:ascii="Abadi" w:hAnsi="Abadi"/>
          <w:spacing w:val="-11"/>
          <w:sz w:val="21"/>
          <w:szCs w:val="21"/>
        </w:rPr>
        <w:t xml:space="preserve"> </w:t>
      </w:r>
      <w:r w:rsidRPr="00206A67">
        <w:rPr>
          <w:rFonts w:ascii="Abadi" w:hAnsi="Abadi"/>
          <w:sz w:val="21"/>
          <w:szCs w:val="21"/>
        </w:rPr>
        <w:t>la</w:t>
      </w:r>
      <w:r w:rsidRPr="00206A67">
        <w:rPr>
          <w:rFonts w:ascii="Abadi" w:hAnsi="Abadi"/>
          <w:spacing w:val="-10"/>
          <w:sz w:val="21"/>
          <w:szCs w:val="21"/>
        </w:rPr>
        <w:t xml:space="preserve"> </w:t>
      </w:r>
      <w:r w:rsidRPr="00206A67">
        <w:rPr>
          <w:rFonts w:ascii="Abadi" w:hAnsi="Abadi"/>
          <w:sz w:val="21"/>
          <w:szCs w:val="21"/>
        </w:rPr>
        <w:t>integridad física de las personas ante la eventualidad de un desastre provocado por agentes naturales o humanos, con sus acciones se reducen o elimina la pérdida de vidas humanas, la destrucción de bienes materiales y el daño a la naturaleza.</w:t>
      </w:r>
    </w:p>
    <w:p w14:paraId="1F2A2B9B" w14:textId="77777777" w:rsidR="009E3077" w:rsidRPr="00206A67" w:rsidRDefault="009E3077" w:rsidP="009E3077">
      <w:pPr>
        <w:pStyle w:val="Textoindependiente"/>
        <w:rPr>
          <w:rFonts w:ascii="Abadi" w:hAnsi="Abadi"/>
          <w:sz w:val="21"/>
          <w:szCs w:val="21"/>
        </w:rPr>
      </w:pPr>
    </w:p>
    <w:p w14:paraId="2FD78E95" w14:textId="77777777" w:rsidR="009E3077" w:rsidRPr="00206A67" w:rsidRDefault="009E3077" w:rsidP="009E3077">
      <w:pPr>
        <w:jc w:val="both"/>
        <w:rPr>
          <w:rFonts w:ascii="Abadi" w:hAnsi="Abadi"/>
          <w:sz w:val="21"/>
          <w:szCs w:val="21"/>
        </w:rPr>
      </w:pPr>
      <w:r w:rsidRPr="00206A67">
        <w:rPr>
          <w:rFonts w:ascii="Abadi" w:hAnsi="Abadi"/>
          <w:sz w:val="21"/>
          <w:szCs w:val="21"/>
        </w:rPr>
        <w:t xml:space="preserve">En lo que se refiere al H. Cuerpo de Bomberos, su función aparte de </w:t>
      </w:r>
      <w:r w:rsidRPr="00206A67">
        <w:rPr>
          <w:rFonts w:ascii="Abadi" w:hAnsi="Abadi"/>
          <w:color w:val="1F2023"/>
          <w:sz w:val="21"/>
          <w:szCs w:val="21"/>
        </w:rPr>
        <w:t>e</w:t>
      </w:r>
      <w:r w:rsidRPr="00206A67">
        <w:rPr>
          <w:rFonts w:ascii="Abadi" w:hAnsi="Abadi"/>
          <w:sz w:val="21"/>
          <w:szCs w:val="21"/>
        </w:rPr>
        <w:t>xtinguir incendios, también, consiste en atender cualquier siniestro o situación de emergencia, con la</w:t>
      </w:r>
      <w:r w:rsidRPr="00206A67">
        <w:rPr>
          <w:rFonts w:ascii="Abadi" w:hAnsi="Abadi"/>
          <w:spacing w:val="-3"/>
          <w:sz w:val="21"/>
          <w:szCs w:val="21"/>
        </w:rPr>
        <w:t xml:space="preserve"> </w:t>
      </w:r>
      <w:r w:rsidRPr="00206A67">
        <w:rPr>
          <w:rFonts w:ascii="Abadi" w:hAnsi="Abadi"/>
          <w:sz w:val="21"/>
          <w:szCs w:val="21"/>
        </w:rPr>
        <w:t>finalidad</w:t>
      </w:r>
      <w:r w:rsidRPr="00206A67">
        <w:rPr>
          <w:rFonts w:ascii="Abadi" w:hAnsi="Abadi"/>
          <w:spacing w:val="-2"/>
          <w:sz w:val="21"/>
          <w:szCs w:val="21"/>
        </w:rPr>
        <w:t xml:space="preserve"> </w:t>
      </w:r>
      <w:r w:rsidRPr="00206A67">
        <w:rPr>
          <w:rFonts w:ascii="Abadi" w:hAnsi="Abadi"/>
          <w:sz w:val="21"/>
          <w:szCs w:val="21"/>
        </w:rPr>
        <w:t xml:space="preserve">de minimizar los daños, tanto personales como </w:t>
      </w:r>
      <w:r w:rsidRPr="00206A67">
        <w:rPr>
          <w:rFonts w:ascii="Abadi" w:hAnsi="Abadi"/>
          <w:spacing w:val="-2"/>
          <w:sz w:val="21"/>
          <w:szCs w:val="21"/>
        </w:rPr>
        <w:t>materiales.</w:t>
      </w:r>
    </w:p>
    <w:p w14:paraId="7B85C996" w14:textId="77777777" w:rsidR="009E3077" w:rsidRPr="00206A67" w:rsidRDefault="009E3077" w:rsidP="009E3077">
      <w:pPr>
        <w:pStyle w:val="Textoindependiente"/>
        <w:rPr>
          <w:rFonts w:ascii="Abadi" w:hAnsi="Abadi"/>
          <w:sz w:val="21"/>
          <w:szCs w:val="21"/>
        </w:rPr>
      </w:pPr>
    </w:p>
    <w:p w14:paraId="56936911" w14:textId="77777777" w:rsidR="009E3077" w:rsidRPr="00206A67" w:rsidRDefault="009E3077" w:rsidP="009E3077">
      <w:pPr>
        <w:jc w:val="both"/>
        <w:rPr>
          <w:rFonts w:ascii="Abadi" w:hAnsi="Abadi"/>
          <w:sz w:val="21"/>
          <w:szCs w:val="21"/>
        </w:rPr>
      </w:pPr>
      <w:r w:rsidRPr="00206A67">
        <w:rPr>
          <w:rFonts w:ascii="Abadi" w:hAnsi="Abadi"/>
          <w:sz w:val="21"/>
          <w:szCs w:val="21"/>
        </w:rPr>
        <w:t>En lo que respecta, a los cuerpos de seguridad ciudadana, buscan garantizar y preservar</w:t>
      </w:r>
      <w:r w:rsidRPr="00206A67">
        <w:rPr>
          <w:rFonts w:ascii="Abadi" w:hAnsi="Abadi"/>
          <w:spacing w:val="-1"/>
          <w:sz w:val="21"/>
          <w:szCs w:val="21"/>
        </w:rPr>
        <w:t xml:space="preserve"> </w:t>
      </w:r>
      <w:r w:rsidRPr="00206A67">
        <w:rPr>
          <w:rFonts w:ascii="Abadi" w:hAnsi="Abadi"/>
          <w:sz w:val="21"/>
          <w:szCs w:val="21"/>
        </w:rPr>
        <w:t>la</w:t>
      </w:r>
      <w:r w:rsidRPr="00206A67">
        <w:rPr>
          <w:rFonts w:ascii="Abadi" w:hAnsi="Abadi"/>
          <w:spacing w:val="-3"/>
          <w:sz w:val="21"/>
          <w:szCs w:val="21"/>
        </w:rPr>
        <w:t xml:space="preserve"> </w:t>
      </w:r>
      <w:r w:rsidRPr="00206A67">
        <w:rPr>
          <w:rFonts w:ascii="Abadi" w:hAnsi="Abadi"/>
          <w:sz w:val="21"/>
          <w:szCs w:val="21"/>
        </w:rPr>
        <w:t>paz, salvaguardando la</w:t>
      </w:r>
      <w:r w:rsidRPr="00206A67">
        <w:rPr>
          <w:rFonts w:ascii="Abadi" w:hAnsi="Abadi"/>
          <w:spacing w:val="-3"/>
          <w:sz w:val="21"/>
          <w:szCs w:val="21"/>
        </w:rPr>
        <w:t xml:space="preserve"> </w:t>
      </w:r>
      <w:r w:rsidRPr="00206A67">
        <w:rPr>
          <w:rFonts w:ascii="Abadi" w:hAnsi="Abadi"/>
          <w:sz w:val="21"/>
          <w:szCs w:val="21"/>
        </w:rPr>
        <w:t>integridad física</w:t>
      </w:r>
      <w:r w:rsidRPr="00206A67">
        <w:rPr>
          <w:rFonts w:ascii="Abadi" w:hAnsi="Abadi"/>
          <w:spacing w:val="-3"/>
          <w:sz w:val="21"/>
          <w:szCs w:val="21"/>
        </w:rPr>
        <w:t xml:space="preserve"> </w:t>
      </w:r>
      <w:r w:rsidRPr="00206A67">
        <w:rPr>
          <w:rFonts w:ascii="Abadi" w:hAnsi="Abadi"/>
          <w:sz w:val="21"/>
          <w:szCs w:val="21"/>
        </w:rPr>
        <w:t>y</w:t>
      </w:r>
      <w:r w:rsidRPr="00206A67">
        <w:rPr>
          <w:rFonts w:ascii="Abadi" w:hAnsi="Abadi"/>
          <w:spacing w:val="-3"/>
          <w:sz w:val="21"/>
          <w:szCs w:val="21"/>
        </w:rPr>
        <w:t xml:space="preserve"> </w:t>
      </w:r>
      <w:r w:rsidRPr="00206A67">
        <w:rPr>
          <w:rFonts w:ascii="Abadi" w:hAnsi="Abadi"/>
          <w:sz w:val="21"/>
          <w:szCs w:val="21"/>
        </w:rPr>
        <w:t>patrimonial</w:t>
      </w:r>
      <w:r w:rsidRPr="00206A67">
        <w:rPr>
          <w:rFonts w:ascii="Abadi" w:hAnsi="Abadi"/>
          <w:spacing w:val="-3"/>
          <w:sz w:val="21"/>
          <w:szCs w:val="21"/>
        </w:rPr>
        <w:t xml:space="preserve"> </w:t>
      </w:r>
      <w:r w:rsidRPr="00206A67">
        <w:rPr>
          <w:rFonts w:ascii="Abadi" w:hAnsi="Abadi"/>
          <w:sz w:val="21"/>
          <w:szCs w:val="21"/>
        </w:rPr>
        <w:t>de las</w:t>
      </w:r>
      <w:r w:rsidRPr="00206A67">
        <w:rPr>
          <w:rFonts w:ascii="Abadi" w:hAnsi="Abadi"/>
          <w:spacing w:val="-3"/>
          <w:sz w:val="21"/>
          <w:szCs w:val="21"/>
        </w:rPr>
        <w:t xml:space="preserve"> </w:t>
      </w:r>
      <w:r w:rsidRPr="00206A67">
        <w:rPr>
          <w:rFonts w:ascii="Abadi" w:hAnsi="Abadi"/>
          <w:sz w:val="21"/>
          <w:szCs w:val="21"/>
        </w:rPr>
        <w:t>personas, bajo la prevención de la comisión de delitos.</w:t>
      </w:r>
    </w:p>
    <w:p w14:paraId="558692EC" w14:textId="70328877" w:rsidR="00EA0AF5" w:rsidRPr="005A4789" w:rsidRDefault="00EA0AF5" w:rsidP="00EA0AF5">
      <w:pPr>
        <w:widowControl w:val="0"/>
        <w:autoSpaceDE w:val="0"/>
        <w:autoSpaceDN w:val="0"/>
        <w:jc w:val="both"/>
        <w:rPr>
          <w:rFonts w:ascii="Abadi" w:hAnsi="Abadi"/>
          <w:sz w:val="21"/>
          <w:szCs w:val="21"/>
        </w:rPr>
      </w:pPr>
    </w:p>
    <w:p w14:paraId="6ECD7D33" w14:textId="21D92A18" w:rsidR="003E4C6B" w:rsidRPr="00206A67" w:rsidRDefault="003E4C6B" w:rsidP="009D0D70">
      <w:pPr>
        <w:ind w:right="142"/>
        <w:jc w:val="both"/>
        <w:rPr>
          <w:rFonts w:ascii="Abadi" w:hAnsi="Abadi"/>
          <w:sz w:val="21"/>
          <w:szCs w:val="21"/>
        </w:rPr>
      </w:pPr>
    </w:p>
    <w:p w14:paraId="2B9715D0" w14:textId="77777777" w:rsidR="005D1038" w:rsidRPr="00206A67" w:rsidRDefault="005D1038" w:rsidP="005D1038">
      <w:pPr>
        <w:jc w:val="both"/>
        <w:rPr>
          <w:rFonts w:ascii="Abadi" w:hAnsi="Abadi"/>
          <w:sz w:val="21"/>
          <w:szCs w:val="21"/>
        </w:rPr>
      </w:pPr>
      <w:r w:rsidRPr="00206A67">
        <w:rPr>
          <w:rFonts w:ascii="Abadi" w:hAnsi="Abadi"/>
          <w:sz w:val="21"/>
          <w:szCs w:val="21"/>
        </w:rPr>
        <w:t>Dado que estas tres dependencias tiene una proximidad y una relación constante con las y los guanajuatenses al ser los primeros respondientes ante una emergencia, es importante de manera corresponsable se ofrezcan oportunidades para que quienes brindan servicios a la ciudadanía con la finalidad de que desarrollen</w:t>
      </w:r>
      <w:r w:rsidRPr="00206A67">
        <w:rPr>
          <w:rFonts w:ascii="Abadi" w:hAnsi="Abadi"/>
          <w:spacing w:val="-14"/>
          <w:sz w:val="21"/>
          <w:szCs w:val="21"/>
        </w:rPr>
        <w:t xml:space="preserve"> </w:t>
      </w:r>
      <w:r w:rsidRPr="00206A67">
        <w:rPr>
          <w:rFonts w:ascii="Abadi" w:hAnsi="Abadi"/>
          <w:sz w:val="21"/>
          <w:szCs w:val="21"/>
        </w:rPr>
        <w:t>habilidades</w:t>
      </w:r>
      <w:r w:rsidRPr="00206A67">
        <w:rPr>
          <w:rFonts w:ascii="Abadi" w:hAnsi="Abadi"/>
          <w:spacing w:val="-13"/>
          <w:sz w:val="21"/>
          <w:szCs w:val="21"/>
        </w:rPr>
        <w:t xml:space="preserve"> </w:t>
      </w:r>
      <w:r w:rsidRPr="00206A67">
        <w:rPr>
          <w:rFonts w:ascii="Abadi" w:hAnsi="Abadi"/>
          <w:sz w:val="21"/>
          <w:szCs w:val="21"/>
        </w:rPr>
        <w:t>y</w:t>
      </w:r>
      <w:r w:rsidRPr="00206A67">
        <w:rPr>
          <w:rFonts w:ascii="Abadi" w:hAnsi="Abadi"/>
          <w:spacing w:val="-13"/>
          <w:sz w:val="21"/>
          <w:szCs w:val="21"/>
        </w:rPr>
        <w:t xml:space="preserve"> </w:t>
      </w:r>
      <w:r w:rsidRPr="00206A67">
        <w:rPr>
          <w:rFonts w:ascii="Abadi" w:hAnsi="Abadi"/>
          <w:sz w:val="21"/>
          <w:szCs w:val="21"/>
        </w:rPr>
        <w:t>competencias</w:t>
      </w:r>
      <w:r w:rsidRPr="00206A67">
        <w:rPr>
          <w:rFonts w:ascii="Abadi" w:hAnsi="Abadi"/>
          <w:spacing w:val="-12"/>
          <w:sz w:val="21"/>
          <w:szCs w:val="21"/>
        </w:rPr>
        <w:t xml:space="preserve"> </w:t>
      </w:r>
      <w:r w:rsidRPr="00206A67">
        <w:rPr>
          <w:rFonts w:ascii="Abadi" w:hAnsi="Abadi"/>
          <w:sz w:val="21"/>
          <w:szCs w:val="21"/>
        </w:rPr>
        <w:t>que</w:t>
      </w:r>
      <w:r w:rsidRPr="00206A67">
        <w:rPr>
          <w:rFonts w:ascii="Abadi" w:hAnsi="Abadi"/>
          <w:spacing w:val="-12"/>
          <w:sz w:val="21"/>
          <w:szCs w:val="21"/>
        </w:rPr>
        <w:t xml:space="preserve"> </w:t>
      </w:r>
      <w:r w:rsidRPr="00206A67">
        <w:rPr>
          <w:rFonts w:ascii="Abadi" w:hAnsi="Abadi"/>
          <w:sz w:val="21"/>
          <w:szCs w:val="21"/>
        </w:rPr>
        <w:t>les</w:t>
      </w:r>
      <w:r w:rsidRPr="00206A67">
        <w:rPr>
          <w:rFonts w:ascii="Abadi" w:hAnsi="Abadi"/>
          <w:spacing w:val="-13"/>
          <w:sz w:val="21"/>
          <w:szCs w:val="21"/>
        </w:rPr>
        <w:t xml:space="preserve"> </w:t>
      </w:r>
      <w:r w:rsidRPr="00206A67">
        <w:rPr>
          <w:rFonts w:ascii="Abadi" w:hAnsi="Abadi"/>
          <w:sz w:val="21"/>
          <w:szCs w:val="21"/>
        </w:rPr>
        <w:t>permita</w:t>
      </w:r>
      <w:r w:rsidRPr="00206A67">
        <w:rPr>
          <w:rFonts w:ascii="Abadi" w:hAnsi="Abadi"/>
          <w:spacing w:val="-8"/>
          <w:sz w:val="21"/>
          <w:szCs w:val="21"/>
        </w:rPr>
        <w:t xml:space="preserve"> </w:t>
      </w:r>
      <w:r w:rsidRPr="00206A67">
        <w:rPr>
          <w:rFonts w:ascii="Abadi" w:hAnsi="Abadi"/>
          <w:sz w:val="21"/>
          <w:szCs w:val="21"/>
        </w:rPr>
        <w:t>cumplir</w:t>
      </w:r>
      <w:r w:rsidRPr="00206A67">
        <w:rPr>
          <w:rFonts w:ascii="Abadi" w:hAnsi="Abadi"/>
          <w:spacing w:val="-13"/>
          <w:sz w:val="21"/>
          <w:szCs w:val="21"/>
        </w:rPr>
        <w:t xml:space="preserve"> </w:t>
      </w:r>
      <w:r w:rsidRPr="00206A67">
        <w:rPr>
          <w:rFonts w:ascii="Abadi" w:hAnsi="Abadi"/>
          <w:sz w:val="21"/>
          <w:szCs w:val="21"/>
        </w:rPr>
        <w:t>con</w:t>
      </w:r>
      <w:r w:rsidRPr="00206A67">
        <w:rPr>
          <w:rFonts w:ascii="Abadi" w:hAnsi="Abadi"/>
          <w:spacing w:val="-14"/>
          <w:sz w:val="21"/>
          <w:szCs w:val="21"/>
        </w:rPr>
        <w:t xml:space="preserve"> </w:t>
      </w:r>
      <w:r w:rsidRPr="00206A67">
        <w:rPr>
          <w:rFonts w:ascii="Abadi" w:hAnsi="Abadi"/>
          <w:sz w:val="21"/>
          <w:szCs w:val="21"/>
        </w:rPr>
        <w:t>la</w:t>
      </w:r>
      <w:r w:rsidRPr="00206A67">
        <w:rPr>
          <w:rFonts w:ascii="Abadi" w:hAnsi="Abadi"/>
          <w:spacing w:val="-12"/>
          <w:sz w:val="21"/>
          <w:szCs w:val="21"/>
        </w:rPr>
        <w:t xml:space="preserve"> </w:t>
      </w:r>
      <w:r w:rsidRPr="00206A67">
        <w:rPr>
          <w:rFonts w:ascii="Abadi" w:hAnsi="Abadi"/>
          <w:sz w:val="21"/>
          <w:szCs w:val="21"/>
        </w:rPr>
        <w:t>obligación</w:t>
      </w:r>
      <w:r w:rsidRPr="00206A67">
        <w:rPr>
          <w:rFonts w:ascii="Abadi" w:hAnsi="Abadi"/>
          <w:spacing w:val="-12"/>
          <w:sz w:val="21"/>
          <w:szCs w:val="21"/>
        </w:rPr>
        <w:t xml:space="preserve"> </w:t>
      </w:r>
      <w:r w:rsidRPr="00206A67">
        <w:rPr>
          <w:rFonts w:ascii="Abadi" w:hAnsi="Abadi"/>
          <w:sz w:val="21"/>
          <w:szCs w:val="21"/>
        </w:rPr>
        <w:t xml:space="preserve">de garantizar la comunicación con las personas con discapacidad auditiva, que además de generar una inclusión traerá como beneficio la capacidad de atender a las </w:t>
      </w:r>
      <w:r w:rsidRPr="00206A67">
        <w:rPr>
          <w:rFonts w:ascii="Abadi" w:hAnsi="Abadi"/>
          <w:sz w:val="21"/>
          <w:szCs w:val="21"/>
        </w:rPr>
        <w:lastRenderedPageBreak/>
        <w:t>personas con discapacidad, en caso de un hecho, emergencia, desastre o siniestro, máxime que día con día existe la posibilidad de enfrentarse ante estos hechos. Además, la autoridad está obligada a promover la capacitación y sensibilización del personal de emergencia, brigadistas y voluntarios para el trato digno de las personas con discapacidad.</w:t>
      </w:r>
    </w:p>
    <w:p w14:paraId="5E2C9877" w14:textId="77777777" w:rsidR="005D1038" w:rsidRPr="00206A67" w:rsidRDefault="005D1038" w:rsidP="005D1038">
      <w:pPr>
        <w:pStyle w:val="Textoindependiente"/>
        <w:rPr>
          <w:rFonts w:ascii="Abadi" w:hAnsi="Abadi"/>
          <w:sz w:val="21"/>
          <w:szCs w:val="21"/>
        </w:rPr>
      </w:pPr>
    </w:p>
    <w:p w14:paraId="6FE1E724" w14:textId="77777777" w:rsidR="005D1038" w:rsidRPr="00206A67" w:rsidRDefault="005D1038" w:rsidP="005D1038">
      <w:pPr>
        <w:jc w:val="both"/>
        <w:rPr>
          <w:rFonts w:ascii="Abadi" w:hAnsi="Abadi"/>
          <w:sz w:val="21"/>
          <w:szCs w:val="21"/>
        </w:rPr>
      </w:pPr>
      <w:r w:rsidRPr="00206A67">
        <w:rPr>
          <w:rFonts w:ascii="Abadi" w:hAnsi="Abadi"/>
          <w:sz w:val="21"/>
          <w:szCs w:val="21"/>
        </w:rPr>
        <w:t>Esto sin duda, serán acciones que buscan prevenir y generar condiciones de seguridad</w:t>
      </w:r>
      <w:r w:rsidRPr="00206A67">
        <w:rPr>
          <w:rFonts w:ascii="Abadi" w:hAnsi="Abadi"/>
          <w:spacing w:val="-15"/>
          <w:sz w:val="21"/>
          <w:szCs w:val="21"/>
        </w:rPr>
        <w:t xml:space="preserve"> </w:t>
      </w:r>
      <w:r w:rsidRPr="00206A67">
        <w:rPr>
          <w:rFonts w:ascii="Abadi" w:hAnsi="Abadi"/>
          <w:sz w:val="21"/>
          <w:szCs w:val="21"/>
        </w:rPr>
        <w:t>en</w:t>
      </w:r>
      <w:r w:rsidRPr="00206A67">
        <w:rPr>
          <w:rFonts w:ascii="Abadi" w:hAnsi="Abadi"/>
          <w:spacing w:val="-15"/>
          <w:sz w:val="21"/>
          <w:szCs w:val="21"/>
        </w:rPr>
        <w:t xml:space="preserve"> </w:t>
      </w:r>
      <w:r w:rsidRPr="00206A67">
        <w:rPr>
          <w:rFonts w:ascii="Abadi" w:hAnsi="Abadi"/>
          <w:sz w:val="21"/>
          <w:szCs w:val="21"/>
        </w:rPr>
        <w:t>materia</w:t>
      </w:r>
      <w:r w:rsidRPr="00206A67">
        <w:rPr>
          <w:rFonts w:ascii="Abadi" w:hAnsi="Abadi"/>
          <w:spacing w:val="-17"/>
          <w:sz w:val="21"/>
          <w:szCs w:val="21"/>
        </w:rPr>
        <w:t xml:space="preserve"> </w:t>
      </w:r>
      <w:r w:rsidRPr="00206A67">
        <w:rPr>
          <w:rFonts w:ascii="Abadi" w:hAnsi="Abadi"/>
          <w:sz w:val="21"/>
          <w:szCs w:val="21"/>
        </w:rPr>
        <w:t>de</w:t>
      </w:r>
      <w:r w:rsidRPr="00206A67">
        <w:rPr>
          <w:rFonts w:ascii="Abadi" w:hAnsi="Abadi"/>
          <w:spacing w:val="-14"/>
          <w:sz w:val="21"/>
          <w:szCs w:val="21"/>
        </w:rPr>
        <w:t xml:space="preserve"> </w:t>
      </w:r>
      <w:r w:rsidRPr="00206A67">
        <w:rPr>
          <w:rFonts w:ascii="Abadi" w:hAnsi="Abadi"/>
          <w:sz w:val="21"/>
          <w:szCs w:val="21"/>
        </w:rPr>
        <w:t>protección</w:t>
      </w:r>
      <w:r w:rsidRPr="00206A67">
        <w:rPr>
          <w:rFonts w:ascii="Abadi" w:hAnsi="Abadi"/>
          <w:spacing w:val="-15"/>
          <w:sz w:val="21"/>
          <w:szCs w:val="21"/>
        </w:rPr>
        <w:t xml:space="preserve"> </w:t>
      </w:r>
      <w:r w:rsidRPr="00206A67">
        <w:rPr>
          <w:rFonts w:ascii="Abadi" w:hAnsi="Abadi"/>
          <w:sz w:val="21"/>
          <w:szCs w:val="21"/>
        </w:rPr>
        <w:t>civil</w:t>
      </w:r>
      <w:r w:rsidRPr="00206A67">
        <w:rPr>
          <w:rFonts w:ascii="Abadi" w:hAnsi="Abadi"/>
          <w:spacing w:val="-16"/>
          <w:sz w:val="21"/>
          <w:szCs w:val="21"/>
        </w:rPr>
        <w:t xml:space="preserve"> </w:t>
      </w:r>
      <w:r w:rsidRPr="00206A67">
        <w:rPr>
          <w:rFonts w:ascii="Abadi" w:hAnsi="Abadi"/>
          <w:sz w:val="21"/>
          <w:szCs w:val="21"/>
        </w:rPr>
        <w:t>para</w:t>
      </w:r>
      <w:r w:rsidRPr="00206A67">
        <w:rPr>
          <w:rFonts w:ascii="Abadi" w:hAnsi="Abadi"/>
          <w:spacing w:val="-16"/>
          <w:sz w:val="21"/>
          <w:szCs w:val="21"/>
        </w:rPr>
        <w:t xml:space="preserve"> </w:t>
      </w:r>
      <w:r w:rsidRPr="00206A67">
        <w:rPr>
          <w:rFonts w:ascii="Abadi" w:hAnsi="Abadi"/>
          <w:sz w:val="21"/>
          <w:szCs w:val="21"/>
        </w:rPr>
        <w:t>lograr</w:t>
      </w:r>
      <w:r w:rsidRPr="00206A67">
        <w:rPr>
          <w:rFonts w:ascii="Abadi" w:hAnsi="Abadi"/>
          <w:spacing w:val="-13"/>
          <w:sz w:val="21"/>
          <w:szCs w:val="21"/>
        </w:rPr>
        <w:t xml:space="preserve"> </w:t>
      </w:r>
      <w:r w:rsidRPr="00206A67">
        <w:rPr>
          <w:rFonts w:ascii="Abadi" w:hAnsi="Abadi"/>
          <w:sz w:val="21"/>
          <w:szCs w:val="21"/>
        </w:rPr>
        <w:t>la</w:t>
      </w:r>
      <w:r w:rsidRPr="00206A67">
        <w:rPr>
          <w:rFonts w:ascii="Abadi" w:hAnsi="Abadi"/>
          <w:spacing w:val="-15"/>
          <w:sz w:val="21"/>
          <w:szCs w:val="21"/>
        </w:rPr>
        <w:t xml:space="preserve"> </w:t>
      </w:r>
      <w:r w:rsidRPr="00206A67">
        <w:rPr>
          <w:rFonts w:ascii="Abadi" w:hAnsi="Abadi"/>
          <w:sz w:val="21"/>
          <w:szCs w:val="21"/>
        </w:rPr>
        <w:t>atención</w:t>
      </w:r>
      <w:r w:rsidRPr="00206A67">
        <w:rPr>
          <w:rFonts w:ascii="Abadi" w:hAnsi="Abadi"/>
          <w:spacing w:val="-14"/>
          <w:sz w:val="21"/>
          <w:szCs w:val="21"/>
        </w:rPr>
        <w:t xml:space="preserve"> </w:t>
      </w:r>
      <w:r w:rsidRPr="00206A67">
        <w:rPr>
          <w:rFonts w:ascii="Abadi" w:hAnsi="Abadi"/>
          <w:sz w:val="21"/>
          <w:szCs w:val="21"/>
        </w:rPr>
        <w:t>y</w:t>
      </w:r>
      <w:r w:rsidRPr="00206A67">
        <w:rPr>
          <w:rFonts w:ascii="Abadi" w:hAnsi="Abadi"/>
          <w:spacing w:val="-17"/>
          <w:sz w:val="21"/>
          <w:szCs w:val="21"/>
        </w:rPr>
        <w:t xml:space="preserve"> </w:t>
      </w:r>
      <w:r w:rsidRPr="00206A67">
        <w:rPr>
          <w:rFonts w:ascii="Abadi" w:hAnsi="Abadi"/>
          <w:sz w:val="21"/>
          <w:szCs w:val="21"/>
        </w:rPr>
        <w:t>el</w:t>
      </w:r>
      <w:r w:rsidRPr="00206A67">
        <w:rPr>
          <w:rFonts w:ascii="Abadi" w:hAnsi="Abadi"/>
          <w:spacing w:val="-15"/>
          <w:sz w:val="21"/>
          <w:szCs w:val="21"/>
        </w:rPr>
        <w:t xml:space="preserve"> </w:t>
      </w:r>
      <w:r w:rsidRPr="00206A67">
        <w:rPr>
          <w:rFonts w:ascii="Abadi" w:hAnsi="Abadi"/>
          <w:sz w:val="21"/>
          <w:szCs w:val="21"/>
        </w:rPr>
        <w:t>auxilio</w:t>
      </w:r>
      <w:r w:rsidRPr="00206A67">
        <w:rPr>
          <w:rFonts w:ascii="Abadi" w:hAnsi="Abadi"/>
          <w:spacing w:val="-16"/>
          <w:sz w:val="21"/>
          <w:szCs w:val="21"/>
        </w:rPr>
        <w:t xml:space="preserve"> </w:t>
      </w:r>
      <w:r w:rsidRPr="00206A67">
        <w:rPr>
          <w:rFonts w:ascii="Abadi" w:hAnsi="Abadi"/>
          <w:sz w:val="21"/>
          <w:szCs w:val="21"/>
        </w:rPr>
        <w:t>adecuado de las personas con discapacidad ante una situación de emergencia o desastre.</w:t>
      </w:r>
    </w:p>
    <w:p w14:paraId="486D4F15" w14:textId="77777777" w:rsidR="005D1038" w:rsidRPr="00206A67" w:rsidRDefault="005D1038" w:rsidP="005D1038">
      <w:pPr>
        <w:pStyle w:val="Textoindependiente"/>
        <w:rPr>
          <w:rFonts w:ascii="Abadi" w:hAnsi="Abadi"/>
          <w:sz w:val="21"/>
          <w:szCs w:val="21"/>
        </w:rPr>
      </w:pPr>
    </w:p>
    <w:p w14:paraId="247FADF9" w14:textId="690B424C" w:rsidR="005D1038" w:rsidRPr="00206A67" w:rsidRDefault="005D1038" w:rsidP="005D1038">
      <w:pPr>
        <w:jc w:val="both"/>
        <w:rPr>
          <w:rFonts w:ascii="Abadi" w:hAnsi="Abadi"/>
          <w:sz w:val="21"/>
          <w:szCs w:val="21"/>
        </w:rPr>
      </w:pPr>
      <w:r w:rsidRPr="00206A67">
        <w:rPr>
          <w:rFonts w:ascii="Abadi" w:hAnsi="Abadi"/>
          <w:i/>
          <w:sz w:val="21"/>
          <w:szCs w:val="21"/>
        </w:rPr>
        <w:t>Concebir</w:t>
      </w:r>
      <w:r w:rsidRPr="00206A67">
        <w:rPr>
          <w:rFonts w:ascii="Abadi" w:hAnsi="Abadi"/>
          <w:i/>
          <w:spacing w:val="-1"/>
          <w:sz w:val="21"/>
          <w:szCs w:val="21"/>
        </w:rPr>
        <w:t xml:space="preserve"> </w:t>
      </w:r>
      <w:r w:rsidRPr="00206A67">
        <w:rPr>
          <w:rFonts w:ascii="Abadi" w:hAnsi="Abadi"/>
          <w:i/>
          <w:sz w:val="21"/>
          <w:szCs w:val="21"/>
        </w:rPr>
        <w:t>que</w:t>
      </w:r>
      <w:r w:rsidRPr="00206A67">
        <w:rPr>
          <w:rFonts w:ascii="Abadi" w:hAnsi="Abadi"/>
          <w:i/>
          <w:spacing w:val="-4"/>
          <w:sz w:val="21"/>
          <w:szCs w:val="21"/>
        </w:rPr>
        <w:t xml:space="preserve"> </w:t>
      </w:r>
      <w:r w:rsidRPr="00206A67">
        <w:rPr>
          <w:rFonts w:ascii="Abadi" w:hAnsi="Abadi"/>
          <w:i/>
          <w:sz w:val="21"/>
          <w:szCs w:val="21"/>
        </w:rPr>
        <w:t>la</w:t>
      </w:r>
      <w:r w:rsidRPr="00206A67">
        <w:rPr>
          <w:rFonts w:ascii="Abadi" w:hAnsi="Abadi"/>
          <w:i/>
          <w:spacing w:val="-4"/>
          <w:sz w:val="21"/>
          <w:szCs w:val="21"/>
        </w:rPr>
        <w:t xml:space="preserve"> </w:t>
      </w:r>
      <w:r w:rsidRPr="00206A67">
        <w:rPr>
          <w:rFonts w:ascii="Abadi" w:hAnsi="Abadi"/>
          <w:i/>
          <w:sz w:val="21"/>
          <w:szCs w:val="21"/>
        </w:rPr>
        <w:t>inclusión</w:t>
      </w:r>
      <w:r w:rsidRPr="00206A67">
        <w:rPr>
          <w:rFonts w:ascii="Abadi" w:hAnsi="Abadi"/>
          <w:i/>
          <w:spacing w:val="-2"/>
          <w:sz w:val="21"/>
          <w:szCs w:val="21"/>
        </w:rPr>
        <w:t xml:space="preserve"> </w:t>
      </w:r>
      <w:r w:rsidRPr="00206A67">
        <w:rPr>
          <w:rFonts w:ascii="Abadi" w:hAnsi="Abadi"/>
          <w:i/>
          <w:sz w:val="21"/>
          <w:szCs w:val="21"/>
        </w:rPr>
        <w:t>no</w:t>
      </w:r>
      <w:r w:rsidRPr="00206A67">
        <w:rPr>
          <w:rFonts w:ascii="Abadi" w:hAnsi="Abadi"/>
          <w:i/>
          <w:spacing w:val="-4"/>
          <w:sz w:val="21"/>
          <w:szCs w:val="21"/>
        </w:rPr>
        <w:t xml:space="preserve"> </w:t>
      </w:r>
      <w:r w:rsidRPr="00206A67">
        <w:rPr>
          <w:rFonts w:ascii="Abadi" w:hAnsi="Abadi"/>
          <w:i/>
          <w:sz w:val="21"/>
          <w:szCs w:val="21"/>
        </w:rPr>
        <w:t>es</w:t>
      </w:r>
      <w:r w:rsidRPr="00206A67">
        <w:rPr>
          <w:rFonts w:ascii="Abadi" w:hAnsi="Abadi"/>
          <w:i/>
          <w:spacing w:val="-4"/>
          <w:sz w:val="21"/>
          <w:szCs w:val="21"/>
        </w:rPr>
        <w:t xml:space="preserve"> </w:t>
      </w:r>
      <w:r w:rsidRPr="00206A67">
        <w:rPr>
          <w:rFonts w:ascii="Abadi" w:hAnsi="Abadi"/>
          <w:i/>
          <w:sz w:val="21"/>
          <w:szCs w:val="21"/>
        </w:rPr>
        <w:t>solamente</w:t>
      </w:r>
      <w:r w:rsidRPr="00206A67">
        <w:rPr>
          <w:rFonts w:ascii="Abadi" w:hAnsi="Abadi"/>
          <w:i/>
          <w:spacing w:val="-4"/>
          <w:sz w:val="21"/>
          <w:szCs w:val="21"/>
        </w:rPr>
        <w:t xml:space="preserve"> </w:t>
      </w:r>
      <w:r w:rsidRPr="00206A67">
        <w:rPr>
          <w:rFonts w:ascii="Abadi" w:hAnsi="Abadi"/>
          <w:i/>
          <w:sz w:val="21"/>
          <w:szCs w:val="21"/>
        </w:rPr>
        <w:t>un</w:t>
      </w:r>
      <w:r w:rsidRPr="00206A67">
        <w:rPr>
          <w:rFonts w:ascii="Abadi" w:hAnsi="Abadi"/>
          <w:i/>
          <w:spacing w:val="-4"/>
          <w:sz w:val="21"/>
          <w:szCs w:val="21"/>
        </w:rPr>
        <w:t xml:space="preserve"> </w:t>
      </w:r>
      <w:r w:rsidRPr="00206A67">
        <w:rPr>
          <w:rFonts w:ascii="Abadi" w:hAnsi="Abadi"/>
          <w:i/>
          <w:sz w:val="21"/>
          <w:szCs w:val="21"/>
        </w:rPr>
        <w:t>lugar</w:t>
      </w:r>
      <w:r w:rsidRPr="00206A67">
        <w:rPr>
          <w:rFonts w:ascii="Abadi" w:hAnsi="Abadi"/>
          <w:i/>
          <w:spacing w:val="-3"/>
          <w:sz w:val="21"/>
          <w:szCs w:val="21"/>
        </w:rPr>
        <w:t xml:space="preserve"> </w:t>
      </w:r>
      <w:r w:rsidRPr="00206A67">
        <w:rPr>
          <w:rFonts w:ascii="Abadi" w:hAnsi="Abadi"/>
          <w:i/>
          <w:sz w:val="21"/>
          <w:szCs w:val="21"/>
        </w:rPr>
        <w:t>sino,</w:t>
      </w:r>
      <w:r w:rsidRPr="00206A67">
        <w:rPr>
          <w:rFonts w:ascii="Abadi" w:hAnsi="Abadi"/>
          <w:i/>
          <w:spacing w:val="-3"/>
          <w:sz w:val="21"/>
          <w:szCs w:val="21"/>
        </w:rPr>
        <w:t xml:space="preserve"> </w:t>
      </w:r>
      <w:r w:rsidRPr="00206A67">
        <w:rPr>
          <w:rFonts w:ascii="Abadi" w:hAnsi="Abadi"/>
          <w:i/>
          <w:sz w:val="21"/>
          <w:szCs w:val="21"/>
        </w:rPr>
        <w:t>en</w:t>
      </w:r>
      <w:r w:rsidRPr="00206A67">
        <w:rPr>
          <w:rFonts w:ascii="Abadi" w:hAnsi="Abadi"/>
          <w:i/>
          <w:spacing w:val="-4"/>
          <w:sz w:val="21"/>
          <w:szCs w:val="21"/>
        </w:rPr>
        <w:t xml:space="preserve"> </w:t>
      </w:r>
      <w:r w:rsidRPr="00206A67">
        <w:rPr>
          <w:rFonts w:ascii="Abadi" w:hAnsi="Abadi"/>
          <w:i/>
          <w:sz w:val="21"/>
          <w:szCs w:val="21"/>
        </w:rPr>
        <w:t>esencia,</w:t>
      </w:r>
      <w:r w:rsidRPr="00206A67">
        <w:rPr>
          <w:rFonts w:ascii="Abadi" w:hAnsi="Abadi"/>
          <w:i/>
          <w:spacing w:val="-3"/>
          <w:sz w:val="21"/>
          <w:szCs w:val="21"/>
        </w:rPr>
        <w:t xml:space="preserve"> </w:t>
      </w:r>
      <w:r w:rsidRPr="00206A67">
        <w:rPr>
          <w:rFonts w:ascii="Abadi" w:hAnsi="Abadi"/>
          <w:i/>
          <w:sz w:val="21"/>
          <w:szCs w:val="21"/>
        </w:rPr>
        <w:t>una</w:t>
      </w:r>
      <w:r w:rsidRPr="00206A67">
        <w:rPr>
          <w:rFonts w:ascii="Abadi" w:hAnsi="Abadi"/>
          <w:i/>
          <w:spacing w:val="-4"/>
          <w:sz w:val="21"/>
          <w:szCs w:val="21"/>
        </w:rPr>
        <w:t xml:space="preserve"> </w:t>
      </w:r>
      <w:r w:rsidRPr="00206A67">
        <w:rPr>
          <w:rFonts w:ascii="Abadi" w:hAnsi="Abadi"/>
          <w:i/>
          <w:sz w:val="21"/>
          <w:szCs w:val="21"/>
        </w:rPr>
        <w:t>actitud</w:t>
      </w:r>
      <w:r w:rsidRPr="00206A67">
        <w:rPr>
          <w:rFonts w:ascii="Abadi" w:hAnsi="Abadi"/>
          <w:i/>
          <w:spacing w:val="-4"/>
          <w:sz w:val="21"/>
          <w:szCs w:val="21"/>
        </w:rPr>
        <w:t xml:space="preserve"> </w:t>
      </w:r>
      <w:r w:rsidRPr="00206A67">
        <w:rPr>
          <w:rFonts w:ascii="Abadi" w:hAnsi="Abadi"/>
          <w:i/>
          <w:sz w:val="21"/>
          <w:szCs w:val="21"/>
        </w:rPr>
        <w:t>y</w:t>
      </w:r>
      <w:r w:rsidRPr="00206A67">
        <w:rPr>
          <w:rFonts w:ascii="Abadi" w:hAnsi="Abadi"/>
          <w:i/>
          <w:spacing w:val="-4"/>
          <w:sz w:val="21"/>
          <w:szCs w:val="21"/>
        </w:rPr>
        <w:t xml:space="preserve"> </w:t>
      </w:r>
      <w:r w:rsidRPr="00206A67">
        <w:rPr>
          <w:rFonts w:ascii="Abadi" w:hAnsi="Abadi"/>
          <w:i/>
          <w:sz w:val="21"/>
          <w:szCs w:val="21"/>
        </w:rPr>
        <w:t>un</w:t>
      </w:r>
      <w:r w:rsidRPr="00206A67">
        <w:rPr>
          <w:rFonts w:ascii="Abadi" w:hAnsi="Abadi"/>
          <w:i/>
          <w:spacing w:val="-4"/>
          <w:sz w:val="21"/>
          <w:szCs w:val="21"/>
        </w:rPr>
        <w:t xml:space="preserve"> </w:t>
      </w:r>
      <w:r w:rsidRPr="00206A67">
        <w:rPr>
          <w:rFonts w:ascii="Abadi" w:hAnsi="Abadi"/>
          <w:i/>
          <w:sz w:val="21"/>
          <w:szCs w:val="21"/>
        </w:rPr>
        <w:t>valor de profundo</w:t>
      </w:r>
      <w:r w:rsidRPr="00206A67">
        <w:rPr>
          <w:rFonts w:ascii="Abadi" w:hAnsi="Abadi"/>
          <w:i/>
          <w:spacing w:val="-1"/>
          <w:sz w:val="21"/>
          <w:szCs w:val="21"/>
        </w:rPr>
        <w:t xml:space="preserve"> </w:t>
      </w:r>
      <w:r w:rsidRPr="00206A67">
        <w:rPr>
          <w:rFonts w:ascii="Abadi" w:hAnsi="Abadi"/>
          <w:i/>
          <w:sz w:val="21"/>
          <w:szCs w:val="21"/>
        </w:rPr>
        <w:t>respeto por</w:t>
      </w:r>
      <w:r w:rsidRPr="00206A67">
        <w:rPr>
          <w:rFonts w:ascii="Abadi" w:hAnsi="Abadi"/>
          <w:i/>
          <w:spacing w:val="-2"/>
          <w:sz w:val="21"/>
          <w:szCs w:val="21"/>
        </w:rPr>
        <w:t xml:space="preserve"> </w:t>
      </w:r>
      <w:r w:rsidRPr="00206A67">
        <w:rPr>
          <w:rFonts w:ascii="Abadi" w:hAnsi="Abadi"/>
          <w:i/>
          <w:sz w:val="21"/>
          <w:szCs w:val="21"/>
        </w:rPr>
        <w:t>las diferencias</w:t>
      </w:r>
      <w:r w:rsidRPr="00206A67">
        <w:rPr>
          <w:rFonts w:ascii="Abadi" w:hAnsi="Abadi"/>
          <w:i/>
          <w:spacing w:val="-1"/>
          <w:sz w:val="21"/>
          <w:szCs w:val="21"/>
        </w:rPr>
        <w:t xml:space="preserve"> </w:t>
      </w:r>
      <w:r w:rsidRPr="00206A67">
        <w:rPr>
          <w:rFonts w:ascii="Abadi" w:hAnsi="Abadi"/>
          <w:i/>
          <w:sz w:val="21"/>
          <w:szCs w:val="21"/>
        </w:rPr>
        <w:t>y</w:t>
      </w:r>
      <w:r w:rsidRPr="00206A67">
        <w:rPr>
          <w:rFonts w:ascii="Abadi" w:hAnsi="Abadi"/>
          <w:i/>
          <w:spacing w:val="-1"/>
          <w:sz w:val="21"/>
          <w:szCs w:val="21"/>
        </w:rPr>
        <w:t xml:space="preserve"> </w:t>
      </w:r>
      <w:r w:rsidRPr="00206A67">
        <w:rPr>
          <w:rFonts w:ascii="Abadi" w:hAnsi="Abadi"/>
          <w:i/>
          <w:sz w:val="21"/>
          <w:szCs w:val="21"/>
        </w:rPr>
        <w:t>de</w:t>
      </w:r>
      <w:r w:rsidRPr="00206A67">
        <w:rPr>
          <w:rFonts w:ascii="Abadi" w:hAnsi="Abadi"/>
          <w:i/>
          <w:spacing w:val="-1"/>
          <w:sz w:val="21"/>
          <w:szCs w:val="21"/>
        </w:rPr>
        <w:t xml:space="preserve"> </w:t>
      </w:r>
      <w:r w:rsidRPr="00206A67">
        <w:rPr>
          <w:rFonts w:ascii="Abadi" w:hAnsi="Abadi"/>
          <w:i/>
          <w:sz w:val="21"/>
          <w:szCs w:val="21"/>
        </w:rPr>
        <w:t>compromiso</w:t>
      </w:r>
      <w:r w:rsidRPr="00206A67">
        <w:rPr>
          <w:rFonts w:ascii="Abadi" w:hAnsi="Abadi"/>
          <w:i/>
          <w:spacing w:val="-1"/>
          <w:sz w:val="21"/>
          <w:szCs w:val="21"/>
        </w:rPr>
        <w:t xml:space="preserve"> </w:t>
      </w:r>
      <w:r w:rsidRPr="00206A67">
        <w:rPr>
          <w:rFonts w:ascii="Abadi" w:hAnsi="Abadi"/>
          <w:i/>
          <w:sz w:val="21"/>
          <w:szCs w:val="21"/>
        </w:rPr>
        <w:t>con la</w:t>
      </w:r>
      <w:r w:rsidRPr="00206A67">
        <w:rPr>
          <w:rFonts w:ascii="Abadi" w:hAnsi="Abadi"/>
          <w:i/>
          <w:spacing w:val="-1"/>
          <w:sz w:val="21"/>
          <w:szCs w:val="21"/>
        </w:rPr>
        <w:t xml:space="preserve"> </w:t>
      </w:r>
      <w:r w:rsidRPr="00206A67">
        <w:rPr>
          <w:rFonts w:ascii="Abadi" w:hAnsi="Abadi"/>
          <w:i/>
          <w:sz w:val="21"/>
          <w:szCs w:val="21"/>
        </w:rPr>
        <w:t>tarea</w:t>
      </w:r>
      <w:r w:rsidRPr="00206A67">
        <w:rPr>
          <w:rFonts w:ascii="Abadi" w:hAnsi="Abadi"/>
          <w:i/>
          <w:spacing w:val="-1"/>
          <w:sz w:val="21"/>
          <w:szCs w:val="21"/>
        </w:rPr>
        <w:t xml:space="preserve"> </w:t>
      </w:r>
      <w:r w:rsidRPr="00206A67">
        <w:rPr>
          <w:rFonts w:ascii="Abadi" w:hAnsi="Abadi"/>
          <w:i/>
          <w:sz w:val="21"/>
          <w:szCs w:val="21"/>
        </w:rPr>
        <w:t>de</w:t>
      </w:r>
      <w:r w:rsidRPr="00206A67">
        <w:rPr>
          <w:rFonts w:ascii="Abadi" w:hAnsi="Abadi"/>
          <w:i/>
          <w:spacing w:val="-1"/>
          <w:sz w:val="21"/>
          <w:szCs w:val="21"/>
        </w:rPr>
        <w:t xml:space="preserve"> </w:t>
      </w:r>
      <w:r w:rsidRPr="00206A67">
        <w:rPr>
          <w:rFonts w:ascii="Abadi" w:hAnsi="Abadi"/>
          <w:i/>
          <w:sz w:val="21"/>
          <w:szCs w:val="21"/>
        </w:rPr>
        <w:t>no hacer de</w:t>
      </w:r>
      <w:r w:rsidRPr="00206A67">
        <w:rPr>
          <w:rFonts w:ascii="Abadi" w:hAnsi="Abadi"/>
          <w:i/>
          <w:spacing w:val="-1"/>
          <w:sz w:val="21"/>
          <w:szCs w:val="21"/>
        </w:rPr>
        <w:t xml:space="preserve"> </w:t>
      </w:r>
      <w:r w:rsidRPr="00206A67">
        <w:rPr>
          <w:rFonts w:ascii="Abadi" w:hAnsi="Abadi"/>
          <w:i/>
          <w:sz w:val="21"/>
          <w:szCs w:val="21"/>
        </w:rPr>
        <w:t>ellas obstáculos sino oportunidades</w:t>
      </w:r>
      <w:r w:rsidRPr="00206A67">
        <w:rPr>
          <w:rFonts w:ascii="Abadi" w:hAnsi="Abadi"/>
          <w:sz w:val="21"/>
          <w:szCs w:val="21"/>
        </w:rPr>
        <w:t>.</w:t>
      </w:r>
      <w:r w:rsidR="005E1658">
        <w:rPr>
          <w:rStyle w:val="Refdenotaalpie"/>
          <w:rFonts w:ascii="Abadi" w:hAnsi="Abadi"/>
          <w:sz w:val="21"/>
          <w:szCs w:val="21"/>
        </w:rPr>
        <w:footnoteReference w:id="76"/>
      </w:r>
    </w:p>
    <w:p w14:paraId="5141FF06" w14:textId="77777777" w:rsidR="005D1038" w:rsidRPr="00206A67" w:rsidRDefault="005D1038" w:rsidP="005D1038">
      <w:pPr>
        <w:pStyle w:val="Textoindependiente"/>
        <w:rPr>
          <w:rFonts w:ascii="Abadi" w:hAnsi="Abadi"/>
          <w:sz w:val="21"/>
          <w:szCs w:val="21"/>
        </w:rPr>
      </w:pPr>
    </w:p>
    <w:p w14:paraId="6BE173A7" w14:textId="77777777" w:rsidR="005D1038" w:rsidRPr="00206A67" w:rsidRDefault="005D1038" w:rsidP="005D1038">
      <w:pPr>
        <w:pStyle w:val="Textoindependiente"/>
        <w:rPr>
          <w:rFonts w:ascii="Abadi" w:hAnsi="Abadi"/>
          <w:sz w:val="21"/>
          <w:szCs w:val="21"/>
        </w:rPr>
      </w:pPr>
    </w:p>
    <w:p w14:paraId="431EABC7" w14:textId="77777777" w:rsidR="005D1038" w:rsidRDefault="005D1038" w:rsidP="005D1038">
      <w:pPr>
        <w:jc w:val="both"/>
        <w:rPr>
          <w:rFonts w:ascii="Abadi" w:hAnsi="Abadi"/>
          <w:sz w:val="21"/>
          <w:szCs w:val="21"/>
        </w:rPr>
      </w:pPr>
      <w:r w:rsidRPr="00206A67">
        <w:rPr>
          <w:rFonts w:ascii="Abadi" w:hAnsi="Abadi"/>
          <w:sz w:val="21"/>
          <w:szCs w:val="21"/>
        </w:rPr>
        <w:t>Por lo anteriormente expuesto, fundado y motivado, solicitamos a esta Honorable Asamblea la aprobación del siguiente:</w:t>
      </w:r>
    </w:p>
    <w:p w14:paraId="78353A54" w14:textId="77777777" w:rsidR="00AC4B50" w:rsidRDefault="00AC4B50" w:rsidP="005D1038">
      <w:pPr>
        <w:jc w:val="both"/>
        <w:rPr>
          <w:rFonts w:ascii="Abadi" w:hAnsi="Abadi"/>
          <w:sz w:val="21"/>
          <w:szCs w:val="21"/>
        </w:rPr>
      </w:pPr>
    </w:p>
    <w:p w14:paraId="35939A5D" w14:textId="77777777" w:rsidR="00AC4B50" w:rsidRPr="00AC4B50" w:rsidRDefault="00AC4B50" w:rsidP="00AC4B50">
      <w:pPr>
        <w:pStyle w:val="Ttulo1"/>
        <w:tabs>
          <w:tab w:val="left" w:pos="1371"/>
          <w:tab w:val="left" w:pos="2026"/>
        </w:tabs>
        <w:jc w:val="center"/>
        <w:rPr>
          <w:rFonts w:ascii="Abadi" w:hAnsi="Abadi"/>
          <w:i w:val="0"/>
          <w:iCs w:val="0"/>
          <w:sz w:val="21"/>
          <w:szCs w:val="21"/>
        </w:rPr>
      </w:pPr>
      <w:r w:rsidRPr="00AC4B50">
        <w:rPr>
          <w:rFonts w:ascii="Abadi" w:hAnsi="Abadi"/>
          <w:i w:val="0"/>
          <w:iCs w:val="0"/>
          <w:sz w:val="21"/>
          <w:szCs w:val="21"/>
        </w:rPr>
        <w:t>P</w:t>
      </w:r>
      <w:r w:rsidRPr="00AC4B50">
        <w:rPr>
          <w:rFonts w:ascii="Abadi" w:hAnsi="Abadi"/>
          <w:i w:val="0"/>
          <w:iCs w:val="0"/>
          <w:spacing w:val="-5"/>
          <w:sz w:val="21"/>
          <w:szCs w:val="21"/>
        </w:rPr>
        <w:t xml:space="preserve"> </w:t>
      </w:r>
      <w:r w:rsidRPr="00AC4B50">
        <w:rPr>
          <w:rFonts w:ascii="Abadi" w:hAnsi="Abadi"/>
          <w:i w:val="0"/>
          <w:iCs w:val="0"/>
          <w:sz w:val="21"/>
          <w:szCs w:val="21"/>
        </w:rPr>
        <w:t xml:space="preserve">U N T </w:t>
      </w:r>
      <w:r w:rsidRPr="00AC4B50">
        <w:rPr>
          <w:rFonts w:ascii="Abadi" w:hAnsi="Abadi"/>
          <w:i w:val="0"/>
          <w:iCs w:val="0"/>
          <w:spacing w:val="-10"/>
          <w:sz w:val="21"/>
          <w:szCs w:val="21"/>
        </w:rPr>
        <w:t>O</w:t>
      </w:r>
      <w:r w:rsidRPr="00AC4B50">
        <w:rPr>
          <w:rFonts w:ascii="Abadi" w:hAnsi="Abadi"/>
          <w:i w:val="0"/>
          <w:iCs w:val="0"/>
          <w:sz w:val="21"/>
          <w:szCs w:val="21"/>
        </w:rPr>
        <w:tab/>
        <w:t>D</w:t>
      </w:r>
      <w:r w:rsidRPr="00AC4B50">
        <w:rPr>
          <w:rFonts w:ascii="Abadi" w:hAnsi="Abadi"/>
          <w:i w:val="0"/>
          <w:iCs w:val="0"/>
          <w:spacing w:val="-2"/>
          <w:sz w:val="21"/>
          <w:szCs w:val="21"/>
        </w:rPr>
        <w:t xml:space="preserve"> </w:t>
      </w:r>
      <w:r w:rsidRPr="00AC4B50">
        <w:rPr>
          <w:rFonts w:ascii="Abadi" w:hAnsi="Abadi"/>
          <w:i w:val="0"/>
          <w:iCs w:val="0"/>
          <w:spacing w:val="-10"/>
          <w:sz w:val="21"/>
          <w:szCs w:val="21"/>
        </w:rPr>
        <w:t>E</w:t>
      </w:r>
      <w:r w:rsidRPr="00AC4B50">
        <w:rPr>
          <w:rFonts w:ascii="Abadi" w:hAnsi="Abadi"/>
          <w:i w:val="0"/>
          <w:iCs w:val="0"/>
          <w:sz w:val="21"/>
          <w:szCs w:val="21"/>
        </w:rPr>
        <w:tab/>
        <w:t>A</w:t>
      </w:r>
      <w:r w:rsidRPr="00AC4B50">
        <w:rPr>
          <w:rFonts w:ascii="Abadi" w:hAnsi="Abadi"/>
          <w:i w:val="0"/>
          <w:iCs w:val="0"/>
          <w:spacing w:val="-8"/>
          <w:sz w:val="21"/>
          <w:szCs w:val="21"/>
        </w:rPr>
        <w:t xml:space="preserve"> </w:t>
      </w:r>
      <w:r w:rsidRPr="00AC4B50">
        <w:rPr>
          <w:rFonts w:ascii="Abadi" w:hAnsi="Abadi"/>
          <w:i w:val="0"/>
          <w:iCs w:val="0"/>
          <w:sz w:val="21"/>
          <w:szCs w:val="21"/>
        </w:rPr>
        <w:t>C</w:t>
      </w:r>
      <w:r w:rsidRPr="00AC4B50">
        <w:rPr>
          <w:rFonts w:ascii="Abadi" w:hAnsi="Abadi"/>
          <w:i w:val="0"/>
          <w:iCs w:val="0"/>
          <w:spacing w:val="-3"/>
          <w:sz w:val="21"/>
          <w:szCs w:val="21"/>
        </w:rPr>
        <w:t xml:space="preserve"> </w:t>
      </w:r>
      <w:r w:rsidRPr="00AC4B50">
        <w:rPr>
          <w:rFonts w:ascii="Abadi" w:hAnsi="Abadi"/>
          <w:i w:val="0"/>
          <w:iCs w:val="0"/>
          <w:sz w:val="21"/>
          <w:szCs w:val="21"/>
        </w:rPr>
        <w:t>U E</w:t>
      </w:r>
      <w:r w:rsidRPr="00AC4B50">
        <w:rPr>
          <w:rFonts w:ascii="Abadi" w:hAnsi="Abadi"/>
          <w:i w:val="0"/>
          <w:iCs w:val="0"/>
          <w:spacing w:val="1"/>
          <w:sz w:val="21"/>
          <w:szCs w:val="21"/>
        </w:rPr>
        <w:t xml:space="preserve"> </w:t>
      </w:r>
      <w:r w:rsidRPr="00AC4B50">
        <w:rPr>
          <w:rFonts w:ascii="Abadi" w:hAnsi="Abadi"/>
          <w:i w:val="0"/>
          <w:iCs w:val="0"/>
          <w:sz w:val="21"/>
          <w:szCs w:val="21"/>
        </w:rPr>
        <w:t xml:space="preserve">R D </w:t>
      </w:r>
      <w:r w:rsidRPr="00AC4B50">
        <w:rPr>
          <w:rFonts w:ascii="Abadi" w:hAnsi="Abadi"/>
          <w:i w:val="0"/>
          <w:iCs w:val="0"/>
          <w:spacing w:val="-10"/>
          <w:sz w:val="21"/>
          <w:szCs w:val="21"/>
        </w:rPr>
        <w:t>O</w:t>
      </w:r>
    </w:p>
    <w:p w14:paraId="30BF4A56" w14:textId="77777777" w:rsidR="00AC4B50" w:rsidRPr="00206A67" w:rsidRDefault="00AC4B50" w:rsidP="005D1038">
      <w:pPr>
        <w:jc w:val="both"/>
        <w:rPr>
          <w:rFonts w:ascii="Abadi" w:hAnsi="Abadi"/>
          <w:sz w:val="21"/>
          <w:szCs w:val="21"/>
        </w:rPr>
      </w:pPr>
    </w:p>
    <w:p w14:paraId="579093CF" w14:textId="77777777" w:rsidR="00E06E12" w:rsidRDefault="00E06E12" w:rsidP="00EA30B6">
      <w:pPr>
        <w:autoSpaceDE w:val="0"/>
        <w:autoSpaceDN w:val="0"/>
        <w:adjustRightInd w:val="0"/>
        <w:contextualSpacing/>
        <w:jc w:val="both"/>
        <w:rPr>
          <w:rFonts w:ascii="Abadi" w:hAnsi="Abadi" w:cs="ArialMT"/>
          <w:b/>
          <w:bCs/>
          <w:sz w:val="21"/>
          <w:szCs w:val="21"/>
        </w:rPr>
      </w:pPr>
    </w:p>
    <w:p w14:paraId="5680601D" w14:textId="77777777" w:rsidR="004D7CE2" w:rsidRDefault="004D7CE2" w:rsidP="004D7CE2">
      <w:pPr>
        <w:jc w:val="both"/>
        <w:rPr>
          <w:rFonts w:ascii="Abadi" w:hAnsi="Abadi"/>
          <w:sz w:val="21"/>
          <w:szCs w:val="21"/>
        </w:rPr>
      </w:pPr>
      <w:r w:rsidRPr="00206A67">
        <w:rPr>
          <w:rFonts w:ascii="Abadi" w:hAnsi="Abadi"/>
          <w:b/>
          <w:sz w:val="21"/>
          <w:szCs w:val="21"/>
        </w:rPr>
        <w:t xml:space="preserve">ÚNICO. - </w:t>
      </w:r>
      <w:r w:rsidRPr="00206A67">
        <w:rPr>
          <w:rFonts w:ascii="Abadi" w:hAnsi="Abadi"/>
          <w:sz w:val="21"/>
          <w:szCs w:val="21"/>
        </w:rPr>
        <w:t>La Sexagésima Quinta Legislatura del Congreso del Estado Libre y Soberano de Guanajuato efectúa un respetuoso exhorto a Protección Civil, Bomberos</w:t>
      </w:r>
      <w:r w:rsidRPr="00206A67">
        <w:rPr>
          <w:rFonts w:ascii="Abadi" w:hAnsi="Abadi"/>
          <w:spacing w:val="-3"/>
          <w:sz w:val="21"/>
          <w:szCs w:val="21"/>
        </w:rPr>
        <w:t xml:space="preserve"> </w:t>
      </w:r>
      <w:r w:rsidRPr="00206A67">
        <w:rPr>
          <w:rFonts w:ascii="Abadi" w:hAnsi="Abadi"/>
          <w:sz w:val="21"/>
          <w:szCs w:val="21"/>
        </w:rPr>
        <w:t>y</w:t>
      </w:r>
      <w:r w:rsidRPr="00206A67">
        <w:rPr>
          <w:rFonts w:ascii="Abadi" w:hAnsi="Abadi"/>
          <w:spacing w:val="-2"/>
          <w:sz w:val="21"/>
          <w:szCs w:val="21"/>
        </w:rPr>
        <w:t xml:space="preserve"> </w:t>
      </w:r>
      <w:r w:rsidRPr="00206A67">
        <w:rPr>
          <w:rFonts w:ascii="Abadi" w:hAnsi="Abadi"/>
          <w:sz w:val="21"/>
          <w:szCs w:val="21"/>
        </w:rPr>
        <w:t>cuerpos</w:t>
      </w:r>
      <w:r w:rsidRPr="00206A67">
        <w:rPr>
          <w:rFonts w:ascii="Abadi" w:hAnsi="Abadi"/>
          <w:spacing w:val="-6"/>
          <w:sz w:val="21"/>
          <w:szCs w:val="21"/>
        </w:rPr>
        <w:t xml:space="preserve"> </w:t>
      </w:r>
      <w:r w:rsidRPr="00206A67">
        <w:rPr>
          <w:rFonts w:ascii="Abadi" w:hAnsi="Abadi"/>
          <w:sz w:val="21"/>
          <w:szCs w:val="21"/>
        </w:rPr>
        <w:t>de</w:t>
      </w:r>
      <w:r w:rsidRPr="00206A67">
        <w:rPr>
          <w:rFonts w:ascii="Abadi" w:hAnsi="Abadi"/>
          <w:spacing w:val="-3"/>
          <w:sz w:val="21"/>
          <w:szCs w:val="21"/>
        </w:rPr>
        <w:t xml:space="preserve"> </w:t>
      </w:r>
      <w:r w:rsidRPr="00206A67">
        <w:rPr>
          <w:rFonts w:ascii="Abadi" w:hAnsi="Abadi"/>
          <w:sz w:val="21"/>
          <w:szCs w:val="21"/>
        </w:rPr>
        <w:t>Seguridad</w:t>
      </w:r>
      <w:r w:rsidRPr="00206A67">
        <w:rPr>
          <w:rFonts w:ascii="Abadi" w:hAnsi="Abadi"/>
          <w:spacing w:val="-5"/>
          <w:sz w:val="21"/>
          <w:szCs w:val="21"/>
        </w:rPr>
        <w:t xml:space="preserve"> </w:t>
      </w:r>
      <w:r w:rsidRPr="00206A67">
        <w:rPr>
          <w:rFonts w:ascii="Abadi" w:hAnsi="Abadi"/>
          <w:sz w:val="21"/>
          <w:szCs w:val="21"/>
        </w:rPr>
        <w:t>Ciudadana</w:t>
      </w:r>
      <w:r w:rsidRPr="00206A67">
        <w:rPr>
          <w:rFonts w:ascii="Abadi" w:hAnsi="Abadi"/>
          <w:spacing w:val="-3"/>
          <w:sz w:val="21"/>
          <w:szCs w:val="21"/>
        </w:rPr>
        <w:t xml:space="preserve"> </w:t>
      </w:r>
      <w:r w:rsidRPr="00206A67">
        <w:rPr>
          <w:rFonts w:ascii="Abadi" w:hAnsi="Abadi"/>
          <w:sz w:val="21"/>
          <w:szCs w:val="21"/>
        </w:rPr>
        <w:t>de los</w:t>
      </w:r>
      <w:r w:rsidRPr="00206A67">
        <w:rPr>
          <w:rFonts w:ascii="Abadi" w:hAnsi="Abadi"/>
          <w:spacing w:val="-5"/>
          <w:sz w:val="21"/>
          <w:szCs w:val="21"/>
        </w:rPr>
        <w:t xml:space="preserve"> </w:t>
      </w:r>
      <w:r w:rsidRPr="00206A67">
        <w:rPr>
          <w:rFonts w:ascii="Abadi" w:hAnsi="Abadi"/>
          <w:sz w:val="21"/>
          <w:szCs w:val="21"/>
        </w:rPr>
        <w:t>46</w:t>
      </w:r>
      <w:r w:rsidRPr="00206A67">
        <w:rPr>
          <w:rFonts w:ascii="Abadi" w:hAnsi="Abadi"/>
          <w:spacing w:val="-2"/>
          <w:sz w:val="21"/>
          <w:szCs w:val="21"/>
        </w:rPr>
        <w:t xml:space="preserve"> </w:t>
      </w:r>
      <w:r w:rsidRPr="00206A67">
        <w:rPr>
          <w:rFonts w:ascii="Abadi" w:hAnsi="Abadi"/>
          <w:sz w:val="21"/>
          <w:szCs w:val="21"/>
        </w:rPr>
        <w:t>Municipios,</w:t>
      </w:r>
      <w:r w:rsidRPr="00206A67">
        <w:rPr>
          <w:rFonts w:ascii="Abadi" w:hAnsi="Abadi"/>
          <w:spacing w:val="-4"/>
          <w:sz w:val="21"/>
          <w:szCs w:val="21"/>
        </w:rPr>
        <w:t xml:space="preserve"> </w:t>
      </w:r>
      <w:r w:rsidRPr="00206A67">
        <w:rPr>
          <w:rFonts w:ascii="Abadi" w:hAnsi="Abadi"/>
          <w:sz w:val="21"/>
          <w:szCs w:val="21"/>
        </w:rPr>
        <w:t>para</w:t>
      </w:r>
      <w:r w:rsidRPr="00206A67">
        <w:rPr>
          <w:rFonts w:ascii="Abadi" w:hAnsi="Abadi"/>
          <w:spacing w:val="-3"/>
          <w:sz w:val="21"/>
          <w:szCs w:val="21"/>
        </w:rPr>
        <w:t xml:space="preserve"> </w:t>
      </w:r>
      <w:r w:rsidRPr="00206A67">
        <w:rPr>
          <w:rFonts w:ascii="Abadi" w:hAnsi="Abadi"/>
          <w:sz w:val="21"/>
          <w:szCs w:val="21"/>
        </w:rPr>
        <w:t>que</w:t>
      </w:r>
      <w:r w:rsidRPr="00206A67">
        <w:rPr>
          <w:rFonts w:ascii="Abadi" w:hAnsi="Abadi"/>
          <w:spacing w:val="-1"/>
          <w:sz w:val="21"/>
          <w:szCs w:val="21"/>
        </w:rPr>
        <w:t xml:space="preserve"> </w:t>
      </w:r>
      <w:r w:rsidRPr="00206A67">
        <w:rPr>
          <w:rFonts w:ascii="Abadi" w:hAnsi="Abadi"/>
          <w:sz w:val="21"/>
          <w:szCs w:val="21"/>
        </w:rPr>
        <w:t>en</w:t>
      </w:r>
      <w:r w:rsidRPr="00206A67">
        <w:rPr>
          <w:rFonts w:ascii="Abadi" w:hAnsi="Abadi"/>
          <w:spacing w:val="-3"/>
          <w:sz w:val="21"/>
          <w:szCs w:val="21"/>
        </w:rPr>
        <w:t xml:space="preserve"> </w:t>
      </w:r>
      <w:r w:rsidRPr="00206A67">
        <w:rPr>
          <w:rFonts w:ascii="Abadi" w:hAnsi="Abadi"/>
          <w:sz w:val="21"/>
          <w:szCs w:val="21"/>
        </w:rPr>
        <w:t>el ámbito de su competencia, incluyan dentro de sus planes y programas, la capacitación constante para el aprendizaje de lenguaje de señas en la modalidad viso-gestual, como herramienta de interacción con la finalidad de garantizar el derecho de inclusión de las personas con discapacidad para responder con una fluida comunicación en caso de algún siniestro, desastre o emergencia.</w:t>
      </w:r>
    </w:p>
    <w:p w14:paraId="3BB30E80" w14:textId="77777777" w:rsidR="00051488" w:rsidRDefault="00051488" w:rsidP="004D7CE2">
      <w:pPr>
        <w:jc w:val="both"/>
        <w:rPr>
          <w:rFonts w:ascii="Abadi" w:hAnsi="Abadi"/>
          <w:sz w:val="21"/>
          <w:szCs w:val="21"/>
        </w:rPr>
      </w:pPr>
    </w:p>
    <w:p w14:paraId="04590F06" w14:textId="77777777" w:rsidR="00051488" w:rsidRPr="00206A67" w:rsidRDefault="00051488" w:rsidP="00051488">
      <w:pPr>
        <w:ind w:left="1"/>
        <w:jc w:val="center"/>
        <w:rPr>
          <w:rFonts w:ascii="Abadi" w:hAnsi="Abadi"/>
          <w:sz w:val="21"/>
          <w:szCs w:val="21"/>
        </w:rPr>
      </w:pPr>
      <w:r w:rsidRPr="00206A67">
        <w:rPr>
          <w:rFonts w:ascii="Abadi" w:hAnsi="Abadi"/>
          <w:sz w:val="21"/>
          <w:szCs w:val="21"/>
        </w:rPr>
        <w:t>Guanajuato,</w:t>
      </w:r>
      <w:r w:rsidRPr="00206A67">
        <w:rPr>
          <w:rFonts w:ascii="Abadi" w:hAnsi="Abadi"/>
          <w:spacing w:val="-4"/>
          <w:sz w:val="21"/>
          <w:szCs w:val="21"/>
        </w:rPr>
        <w:t xml:space="preserve"> </w:t>
      </w:r>
      <w:proofErr w:type="spellStart"/>
      <w:r w:rsidRPr="00206A67">
        <w:rPr>
          <w:rFonts w:ascii="Abadi" w:hAnsi="Abadi"/>
          <w:sz w:val="21"/>
          <w:szCs w:val="21"/>
        </w:rPr>
        <w:t>Gto</w:t>
      </w:r>
      <w:proofErr w:type="spellEnd"/>
      <w:r w:rsidRPr="00206A67">
        <w:rPr>
          <w:rFonts w:ascii="Abadi" w:hAnsi="Abadi"/>
          <w:sz w:val="21"/>
          <w:szCs w:val="21"/>
        </w:rPr>
        <w:t>.,</w:t>
      </w:r>
      <w:r w:rsidRPr="00206A67">
        <w:rPr>
          <w:rFonts w:ascii="Abadi" w:hAnsi="Abadi"/>
          <w:spacing w:val="-2"/>
          <w:sz w:val="21"/>
          <w:szCs w:val="21"/>
        </w:rPr>
        <w:t xml:space="preserve"> </w:t>
      </w:r>
      <w:r w:rsidRPr="00206A67">
        <w:rPr>
          <w:rFonts w:ascii="Abadi" w:hAnsi="Abadi"/>
          <w:sz w:val="21"/>
          <w:szCs w:val="21"/>
        </w:rPr>
        <w:t>a</w:t>
      </w:r>
      <w:r w:rsidRPr="00206A67">
        <w:rPr>
          <w:rFonts w:ascii="Abadi" w:hAnsi="Abadi"/>
          <w:spacing w:val="-1"/>
          <w:sz w:val="21"/>
          <w:szCs w:val="21"/>
        </w:rPr>
        <w:t xml:space="preserve"> </w:t>
      </w:r>
      <w:r w:rsidRPr="00206A67">
        <w:rPr>
          <w:rFonts w:ascii="Abadi" w:hAnsi="Abadi"/>
          <w:sz w:val="21"/>
          <w:szCs w:val="21"/>
        </w:rPr>
        <w:t>21</w:t>
      </w:r>
      <w:r w:rsidRPr="00206A67">
        <w:rPr>
          <w:rFonts w:ascii="Abadi" w:hAnsi="Abadi"/>
          <w:spacing w:val="-3"/>
          <w:sz w:val="21"/>
          <w:szCs w:val="21"/>
        </w:rPr>
        <w:t xml:space="preserve"> </w:t>
      </w:r>
      <w:r w:rsidRPr="00206A67">
        <w:rPr>
          <w:rFonts w:ascii="Abadi" w:hAnsi="Abadi"/>
          <w:sz w:val="21"/>
          <w:szCs w:val="21"/>
        </w:rPr>
        <w:t>de</w:t>
      </w:r>
      <w:r w:rsidRPr="00206A67">
        <w:rPr>
          <w:rFonts w:ascii="Abadi" w:hAnsi="Abadi"/>
          <w:spacing w:val="-1"/>
          <w:sz w:val="21"/>
          <w:szCs w:val="21"/>
        </w:rPr>
        <w:t xml:space="preserve"> </w:t>
      </w:r>
      <w:r w:rsidRPr="00206A67">
        <w:rPr>
          <w:rFonts w:ascii="Abadi" w:hAnsi="Abadi"/>
          <w:sz w:val="21"/>
          <w:szCs w:val="21"/>
        </w:rPr>
        <w:t>junio</w:t>
      </w:r>
      <w:r w:rsidRPr="00206A67">
        <w:rPr>
          <w:rFonts w:ascii="Abadi" w:hAnsi="Abadi"/>
          <w:spacing w:val="-1"/>
          <w:sz w:val="21"/>
          <w:szCs w:val="21"/>
        </w:rPr>
        <w:t xml:space="preserve"> </w:t>
      </w:r>
      <w:r w:rsidRPr="00206A67">
        <w:rPr>
          <w:rFonts w:ascii="Abadi" w:hAnsi="Abadi"/>
          <w:sz w:val="21"/>
          <w:szCs w:val="21"/>
        </w:rPr>
        <w:t>de</w:t>
      </w:r>
      <w:r w:rsidRPr="00206A67">
        <w:rPr>
          <w:rFonts w:ascii="Abadi" w:hAnsi="Abadi"/>
          <w:spacing w:val="-1"/>
          <w:sz w:val="21"/>
          <w:szCs w:val="21"/>
        </w:rPr>
        <w:t xml:space="preserve"> </w:t>
      </w:r>
      <w:r w:rsidRPr="00206A67">
        <w:rPr>
          <w:rFonts w:ascii="Abadi" w:hAnsi="Abadi"/>
          <w:spacing w:val="-4"/>
          <w:sz w:val="21"/>
          <w:szCs w:val="21"/>
        </w:rPr>
        <w:t>2023</w:t>
      </w:r>
    </w:p>
    <w:p w14:paraId="67A21CC3" w14:textId="77777777" w:rsidR="00051488" w:rsidRPr="00206A67" w:rsidRDefault="00051488" w:rsidP="00051488">
      <w:pPr>
        <w:pStyle w:val="Textoindependiente"/>
        <w:rPr>
          <w:rFonts w:ascii="Abadi" w:hAnsi="Abadi"/>
          <w:sz w:val="21"/>
          <w:szCs w:val="21"/>
        </w:rPr>
      </w:pPr>
    </w:p>
    <w:p w14:paraId="51365EE6" w14:textId="77777777" w:rsidR="00051488" w:rsidRPr="00206A67" w:rsidRDefault="00051488" w:rsidP="00051488">
      <w:pPr>
        <w:pStyle w:val="Ttulo1"/>
        <w:ind w:right="142"/>
        <w:jc w:val="left"/>
        <w:rPr>
          <w:rFonts w:ascii="Abadi" w:hAnsi="Abadi"/>
          <w:sz w:val="21"/>
          <w:szCs w:val="21"/>
        </w:rPr>
      </w:pPr>
      <w:r w:rsidRPr="00206A67">
        <w:rPr>
          <w:rFonts w:ascii="Abadi" w:hAnsi="Abadi"/>
          <w:sz w:val="21"/>
          <w:szCs w:val="21"/>
        </w:rPr>
        <w:t>Diputadas y Diputados integrantes del Grupo</w:t>
      </w:r>
      <w:r w:rsidRPr="00206A67">
        <w:rPr>
          <w:rFonts w:ascii="Abadi" w:hAnsi="Abadi"/>
          <w:spacing w:val="-8"/>
          <w:sz w:val="21"/>
          <w:szCs w:val="21"/>
        </w:rPr>
        <w:t xml:space="preserve"> </w:t>
      </w:r>
      <w:r w:rsidRPr="00206A67">
        <w:rPr>
          <w:rFonts w:ascii="Abadi" w:hAnsi="Abadi"/>
          <w:sz w:val="21"/>
          <w:szCs w:val="21"/>
        </w:rPr>
        <w:t>Parlamentario</w:t>
      </w:r>
      <w:r w:rsidRPr="00206A67">
        <w:rPr>
          <w:rFonts w:ascii="Abadi" w:hAnsi="Abadi"/>
          <w:spacing w:val="-9"/>
          <w:sz w:val="21"/>
          <w:szCs w:val="21"/>
        </w:rPr>
        <w:t xml:space="preserve"> </w:t>
      </w:r>
      <w:r w:rsidRPr="00206A67">
        <w:rPr>
          <w:rFonts w:ascii="Abadi" w:hAnsi="Abadi"/>
          <w:sz w:val="21"/>
          <w:szCs w:val="21"/>
        </w:rPr>
        <w:t>del</w:t>
      </w:r>
      <w:r w:rsidRPr="00206A67">
        <w:rPr>
          <w:rFonts w:ascii="Abadi" w:hAnsi="Abadi"/>
          <w:spacing w:val="-8"/>
          <w:sz w:val="21"/>
          <w:szCs w:val="21"/>
        </w:rPr>
        <w:t xml:space="preserve"> </w:t>
      </w:r>
      <w:r w:rsidRPr="00206A67">
        <w:rPr>
          <w:rFonts w:ascii="Abadi" w:hAnsi="Abadi"/>
          <w:sz w:val="21"/>
          <w:szCs w:val="21"/>
        </w:rPr>
        <w:t>Partido</w:t>
      </w:r>
      <w:r w:rsidRPr="00206A67">
        <w:rPr>
          <w:rFonts w:ascii="Abadi" w:hAnsi="Abadi"/>
          <w:spacing w:val="-17"/>
          <w:sz w:val="21"/>
          <w:szCs w:val="21"/>
        </w:rPr>
        <w:t xml:space="preserve"> </w:t>
      </w:r>
      <w:r w:rsidRPr="00206A67">
        <w:rPr>
          <w:rFonts w:ascii="Abadi" w:hAnsi="Abadi"/>
          <w:sz w:val="21"/>
          <w:szCs w:val="21"/>
        </w:rPr>
        <w:t>Acción</w:t>
      </w:r>
      <w:r w:rsidRPr="00206A67">
        <w:rPr>
          <w:rFonts w:ascii="Abadi" w:hAnsi="Abadi"/>
          <w:spacing w:val="-7"/>
          <w:sz w:val="21"/>
          <w:szCs w:val="21"/>
        </w:rPr>
        <w:t xml:space="preserve"> </w:t>
      </w:r>
      <w:r w:rsidRPr="00206A67">
        <w:rPr>
          <w:rFonts w:ascii="Abadi" w:hAnsi="Abadi"/>
          <w:sz w:val="21"/>
          <w:szCs w:val="21"/>
        </w:rPr>
        <w:t>Nacional</w:t>
      </w:r>
    </w:p>
    <w:p w14:paraId="2DE37346" w14:textId="77777777" w:rsidR="00051488" w:rsidRPr="00206A67" w:rsidRDefault="00051488" w:rsidP="00051488">
      <w:pPr>
        <w:pStyle w:val="Textoindependiente"/>
        <w:rPr>
          <w:rFonts w:ascii="Abadi" w:hAnsi="Abadi"/>
          <w:b w:val="0"/>
          <w:sz w:val="21"/>
          <w:szCs w:val="21"/>
        </w:rPr>
      </w:pPr>
    </w:p>
    <w:p w14:paraId="09CA167B" w14:textId="77777777" w:rsidR="00051488" w:rsidRPr="00206A67" w:rsidRDefault="00051488" w:rsidP="00051488">
      <w:pPr>
        <w:pStyle w:val="Textoindependiente"/>
        <w:rPr>
          <w:rFonts w:ascii="Abadi" w:hAnsi="Abadi"/>
          <w:b w:val="0"/>
          <w:sz w:val="21"/>
          <w:szCs w:val="21"/>
        </w:rPr>
      </w:pPr>
    </w:p>
    <w:p w14:paraId="28CD1C31" w14:textId="77777777" w:rsidR="00051488" w:rsidRPr="00206A67" w:rsidRDefault="00051488" w:rsidP="00051488">
      <w:pPr>
        <w:ind w:left="2"/>
        <w:jc w:val="center"/>
        <w:rPr>
          <w:rFonts w:ascii="Abadi" w:hAnsi="Abadi"/>
          <w:b/>
          <w:i/>
          <w:sz w:val="21"/>
          <w:szCs w:val="21"/>
        </w:rPr>
      </w:pPr>
      <w:r w:rsidRPr="00206A67">
        <w:rPr>
          <w:rFonts w:ascii="Abadi" w:hAnsi="Abadi"/>
          <w:b/>
          <w:i/>
          <w:sz w:val="21"/>
          <w:szCs w:val="21"/>
        </w:rPr>
        <w:t>Firma</w:t>
      </w:r>
      <w:r w:rsidRPr="00206A67">
        <w:rPr>
          <w:rFonts w:ascii="Abadi" w:hAnsi="Abadi"/>
          <w:b/>
          <w:i/>
          <w:spacing w:val="-3"/>
          <w:sz w:val="21"/>
          <w:szCs w:val="21"/>
        </w:rPr>
        <w:t xml:space="preserve"> </w:t>
      </w:r>
      <w:r w:rsidRPr="00206A67">
        <w:rPr>
          <w:rFonts w:ascii="Abadi" w:hAnsi="Abadi"/>
          <w:b/>
          <w:i/>
          <w:spacing w:val="-2"/>
          <w:sz w:val="21"/>
          <w:szCs w:val="21"/>
        </w:rPr>
        <w:t>electrónica</w:t>
      </w:r>
    </w:p>
    <w:p w14:paraId="5FBF3D6B" w14:textId="77777777" w:rsidR="00051488" w:rsidRPr="00206A67" w:rsidRDefault="00051488" w:rsidP="00051488">
      <w:pPr>
        <w:pStyle w:val="Textoindependiente"/>
        <w:rPr>
          <w:rFonts w:ascii="Abadi" w:hAnsi="Abadi"/>
          <w:b w:val="0"/>
          <w:i/>
          <w:sz w:val="21"/>
          <w:szCs w:val="21"/>
        </w:rPr>
      </w:pPr>
    </w:p>
    <w:p w14:paraId="224D49A8" w14:textId="77777777" w:rsidR="00051488" w:rsidRPr="00206A67" w:rsidRDefault="00051488" w:rsidP="00051488">
      <w:pPr>
        <w:pStyle w:val="Textoindependiente"/>
        <w:rPr>
          <w:rFonts w:ascii="Abadi" w:hAnsi="Abadi"/>
          <w:b w:val="0"/>
          <w:i/>
          <w:sz w:val="21"/>
          <w:szCs w:val="21"/>
        </w:rPr>
      </w:pPr>
    </w:p>
    <w:p w14:paraId="438F348B" w14:textId="77777777" w:rsidR="00315FB2" w:rsidRPr="00206A67" w:rsidRDefault="00051488" w:rsidP="00315FB2">
      <w:pPr>
        <w:jc w:val="both"/>
        <w:rPr>
          <w:rFonts w:ascii="Abadi" w:hAnsi="Abadi"/>
          <w:sz w:val="21"/>
          <w:szCs w:val="21"/>
        </w:rPr>
      </w:pPr>
      <w:proofErr w:type="spellStart"/>
      <w:r w:rsidRPr="00206A67">
        <w:rPr>
          <w:rFonts w:ascii="Abadi" w:hAnsi="Abadi"/>
          <w:sz w:val="21"/>
          <w:szCs w:val="21"/>
        </w:rPr>
        <w:t>Dip</w:t>
      </w:r>
      <w:proofErr w:type="spellEnd"/>
      <w:r w:rsidRPr="00206A67">
        <w:rPr>
          <w:rFonts w:ascii="Abadi" w:hAnsi="Abadi"/>
          <w:sz w:val="21"/>
          <w:szCs w:val="21"/>
        </w:rPr>
        <w:t>. Luis Ernesto</w:t>
      </w:r>
      <w:r w:rsidRPr="00206A67">
        <w:rPr>
          <w:rFonts w:ascii="Abadi" w:hAnsi="Abadi"/>
          <w:spacing w:val="-6"/>
          <w:sz w:val="21"/>
          <w:szCs w:val="21"/>
        </w:rPr>
        <w:t xml:space="preserve"> </w:t>
      </w:r>
      <w:r w:rsidRPr="00206A67">
        <w:rPr>
          <w:rFonts w:ascii="Abadi" w:hAnsi="Abadi"/>
          <w:sz w:val="21"/>
          <w:szCs w:val="21"/>
        </w:rPr>
        <w:t xml:space="preserve">Ayala Torres, Coordinador, </w:t>
      </w:r>
      <w:proofErr w:type="spellStart"/>
      <w:r w:rsidRPr="00206A67">
        <w:rPr>
          <w:rFonts w:ascii="Abadi" w:hAnsi="Abadi"/>
          <w:sz w:val="21"/>
          <w:szCs w:val="21"/>
        </w:rPr>
        <w:t>Dip</w:t>
      </w:r>
      <w:proofErr w:type="spellEnd"/>
      <w:r w:rsidRPr="00206A67">
        <w:rPr>
          <w:rFonts w:ascii="Abadi" w:hAnsi="Abadi"/>
          <w:sz w:val="21"/>
          <w:szCs w:val="21"/>
        </w:rPr>
        <w:t>. Rolando Fortino</w:t>
      </w:r>
      <w:r w:rsidRPr="00206A67">
        <w:rPr>
          <w:rFonts w:ascii="Abadi" w:hAnsi="Abadi"/>
          <w:spacing w:val="-9"/>
          <w:sz w:val="21"/>
          <w:szCs w:val="21"/>
        </w:rPr>
        <w:t xml:space="preserve"> </w:t>
      </w:r>
      <w:r w:rsidRPr="00206A67">
        <w:rPr>
          <w:rFonts w:ascii="Abadi" w:hAnsi="Abadi"/>
          <w:sz w:val="21"/>
          <w:szCs w:val="21"/>
        </w:rPr>
        <w:t xml:space="preserve">Alcántar Rojas,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3"/>
          <w:sz w:val="21"/>
          <w:szCs w:val="21"/>
        </w:rPr>
        <w:t xml:space="preserve"> </w:t>
      </w:r>
      <w:r w:rsidRPr="00206A67">
        <w:rPr>
          <w:rFonts w:ascii="Abadi" w:hAnsi="Abadi"/>
          <w:sz w:val="21"/>
          <w:szCs w:val="21"/>
        </w:rPr>
        <w:t>Bricio</w:t>
      </w:r>
      <w:r w:rsidRPr="00206A67">
        <w:rPr>
          <w:rFonts w:ascii="Abadi" w:hAnsi="Abadi"/>
          <w:spacing w:val="-3"/>
          <w:sz w:val="21"/>
          <w:szCs w:val="21"/>
        </w:rPr>
        <w:t xml:space="preserve"> </w:t>
      </w:r>
      <w:r w:rsidRPr="00206A67">
        <w:rPr>
          <w:rFonts w:ascii="Abadi" w:hAnsi="Abadi"/>
          <w:sz w:val="21"/>
          <w:szCs w:val="21"/>
        </w:rPr>
        <w:t>Balderas</w:t>
      </w:r>
      <w:r w:rsidRPr="00206A67">
        <w:rPr>
          <w:rFonts w:ascii="Abadi" w:hAnsi="Abadi"/>
          <w:spacing w:val="-3"/>
          <w:sz w:val="21"/>
          <w:szCs w:val="21"/>
        </w:rPr>
        <w:t xml:space="preserve"> </w:t>
      </w:r>
      <w:r w:rsidRPr="00206A67">
        <w:rPr>
          <w:rFonts w:ascii="Abadi" w:hAnsi="Abadi"/>
          <w:sz w:val="21"/>
          <w:szCs w:val="21"/>
        </w:rPr>
        <w:t>Álvarez,</w:t>
      </w:r>
      <w:r w:rsidRPr="00206A67">
        <w:rPr>
          <w:rFonts w:ascii="Abadi" w:hAnsi="Abadi"/>
          <w:spacing w:val="-3"/>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3"/>
          <w:sz w:val="21"/>
          <w:szCs w:val="21"/>
        </w:rPr>
        <w:t xml:space="preserve"> </w:t>
      </w:r>
      <w:r w:rsidRPr="00206A67">
        <w:rPr>
          <w:rFonts w:ascii="Abadi" w:hAnsi="Abadi"/>
          <w:sz w:val="21"/>
          <w:szCs w:val="21"/>
        </w:rPr>
        <w:t>Susana</w:t>
      </w:r>
      <w:r w:rsidRPr="00206A67">
        <w:rPr>
          <w:rFonts w:ascii="Abadi" w:hAnsi="Abadi"/>
          <w:spacing w:val="-3"/>
          <w:sz w:val="21"/>
          <w:szCs w:val="21"/>
        </w:rPr>
        <w:t xml:space="preserve"> </w:t>
      </w:r>
      <w:r w:rsidRPr="00206A67">
        <w:rPr>
          <w:rFonts w:ascii="Abadi" w:hAnsi="Abadi"/>
          <w:sz w:val="21"/>
          <w:szCs w:val="21"/>
        </w:rPr>
        <w:t>Bermúdez</w:t>
      </w:r>
      <w:r w:rsidRPr="00206A67">
        <w:rPr>
          <w:rFonts w:ascii="Abadi" w:hAnsi="Abadi"/>
          <w:spacing w:val="-3"/>
          <w:sz w:val="21"/>
          <w:szCs w:val="21"/>
        </w:rPr>
        <w:t xml:space="preserve"> </w:t>
      </w:r>
      <w:r w:rsidRPr="00206A67">
        <w:rPr>
          <w:rFonts w:ascii="Abadi" w:hAnsi="Abadi"/>
          <w:sz w:val="21"/>
          <w:szCs w:val="21"/>
        </w:rPr>
        <w:t>Cano,</w:t>
      </w:r>
      <w:r w:rsidRPr="00206A67">
        <w:rPr>
          <w:rFonts w:ascii="Abadi" w:hAnsi="Abadi"/>
          <w:spacing w:val="-3"/>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3"/>
          <w:sz w:val="21"/>
          <w:szCs w:val="21"/>
        </w:rPr>
        <w:t xml:space="preserve"> </w:t>
      </w:r>
      <w:r w:rsidRPr="00206A67">
        <w:rPr>
          <w:rFonts w:ascii="Abadi" w:hAnsi="Abadi"/>
          <w:sz w:val="21"/>
          <w:szCs w:val="21"/>
        </w:rPr>
        <w:t>José</w:t>
      </w:r>
      <w:r w:rsidRPr="00206A67">
        <w:rPr>
          <w:rFonts w:ascii="Abadi" w:hAnsi="Abadi"/>
          <w:spacing w:val="-17"/>
          <w:sz w:val="21"/>
          <w:szCs w:val="21"/>
        </w:rPr>
        <w:t xml:space="preserve"> </w:t>
      </w:r>
      <w:r w:rsidRPr="00206A67">
        <w:rPr>
          <w:rFonts w:ascii="Abadi" w:hAnsi="Abadi"/>
          <w:sz w:val="21"/>
          <w:szCs w:val="21"/>
        </w:rPr>
        <w:t>Alfonso</w:t>
      </w:r>
      <w:r w:rsidRPr="00206A67">
        <w:rPr>
          <w:rFonts w:ascii="Abadi" w:hAnsi="Abadi"/>
          <w:spacing w:val="-5"/>
          <w:sz w:val="21"/>
          <w:szCs w:val="21"/>
        </w:rPr>
        <w:t xml:space="preserve"> </w:t>
      </w:r>
      <w:r w:rsidRPr="00206A67">
        <w:rPr>
          <w:rFonts w:ascii="Abadi" w:hAnsi="Abadi"/>
          <w:sz w:val="21"/>
          <w:szCs w:val="21"/>
        </w:rPr>
        <w:t xml:space="preserve">Borja Pimentel, </w:t>
      </w:r>
      <w:proofErr w:type="spellStart"/>
      <w:r w:rsidRPr="00206A67">
        <w:rPr>
          <w:rFonts w:ascii="Abadi" w:hAnsi="Abadi"/>
          <w:sz w:val="21"/>
          <w:szCs w:val="21"/>
        </w:rPr>
        <w:t>Dip</w:t>
      </w:r>
      <w:proofErr w:type="spellEnd"/>
      <w:r w:rsidRPr="00206A67">
        <w:rPr>
          <w:rFonts w:ascii="Abadi" w:hAnsi="Abadi"/>
          <w:sz w:val="21"/>
          <w:szCs w:val="21"/>
        </w:rPr>
        <w:t xml:space="preserve">. Angélica Casillas Martínez, </w:t>
      </w:r>
      <w:proofErr w:type="spellStart"/>
      <w:r w:rsidRPr="00206A67">
        <w:rPr>
          <w:rFonts w:ascii="Abadi" w:hAnsi="Abadi"/>
          <w:sz w:val="21"/>
          <w:szCs w:val="21"/>
        </w:rPr>
        <w:t>Dip</w:t>
      </w:r>
      <w:proofErr w:type="spellEnd"/>
      <w:r w:rsidRPr="00206A67">
        <w:rPr>
          <w:rFonts w:ascii="Abadi" w:hAnsi="Abadi"/>
          <w:sz w:val="21"/>
          <w:szCs w:val="21"/>
        </w:rPr>
        <w:t xml:space="preserve">. Martha Guadalupe Hernández Camarena, </w:t>
      </w:r>
      <w:proofErr w:type="spellStart"/>
      <w:r w:rsidRPr="00206A67">
        <w:rPr>
          <w:rFonts w:ascii="Abadi" w:hAnsi="Abadi"/>
          <w:sz w:val="21"/>
          <w:szCs w:val="21"/>
        </w:rPr>
        <w:t>Dip</w:t>
      </w:r>
      <w:proofErr w:type="spellEnd"/>
      <w:r w:rsidRPr="00206A67">
        <w:rPr>
          <w:rFonts w:ascii="Abadi" w:hAnsi="Abadi"/>
          <w:sz w:val="21"/>
          <w:szCs w:val="21"/>
        </w:rPr>
        <w:t xml:space="preserve">. María de la Luz Hernández Martínez, </w:t>
      </w:r>
      <w:proofErr w:type="spellStart"/>
      <w:r w:rsidRPr="00206A67">
        <w:rPr>
          <w:rFonts w:ascii="Abadi" w:hAnsi="Abadi"/>
          <w:sz w:val="21"/>
          <w:szCs w:val="21"/>
        </w:rPr>
        <w:t>Dip</w:t>
      </w:r>
      <w:proofErr w:type="spellEnd"/>
      <w:r w:rsidRPr="00206A67">
        <w:rPr>
          <w:rFonts w:ascii="Abadi" w:hAnsi="Abadi"/>
          <w:sz w:val="21"/>
          <w:szCs w:val="21"/>
        </w:rPr>
        <w:t xml:space="preserve">. César Larrondo Díaz,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9"/>
          <w:sz w:val="21"/>
          <w:szCs w:val="21"/>
        </w:rPr>
        <w:t xml:space="preserve"> </w:t>
      </w:r>
      <w:r w:rsidRPr="00206A67">
        <w:rPr>
          <w:rFonts w:ascii="Abadi" w:hAnsi="Abadi"/>
          <w:sz w:val="21"/>
          <w:szCs w:val="21"/>
        </w:rPr>
        <w:t>Martín</w:t>
      </w:r>
      <w:r w:rsidRPr="00206A67">
        <w:rPr>
          <w:rFonts w:ascii="Abadi" w:hAnsi="Abadi"/>
          <w:spacing w:val="-5"/>
          <w:sz w:val="21"/>
          <w:szCs w:val="21"/>
        </w:rPr>
        <w:t xml:space="preserve"> </w:t>
      </w:r>
      <w:r w:rsidRPr="00206A67">
        <w:rPr>
          <w:rFonts w:ascii="Abadi" w:hAnsi="Abadi"/>
          <w:sz w:val="21"/>
          <w:szCs w:val="21"/>
        </w:rPr>
        <w:t>López</w:t>
      </w:r>
      <w:r w:rsidRPr="00206A67">
        <w:rPr>
          <w:rFonts w:ascii="Abadi" w:hAnsi="Abadi"/>
          <w:spacing w:val="-6"/>
          <w:sz w:val="21"/>
          <w:szCs w:val="21"/>
        </w:rPr>
        <w:t xml:space="preserve"> </w:t>
      </w:r>
      <w:r w:rsidRPr="00206A67">
        <w:rPr>
          <w:rFonts w:ascii="Abadi" w:hAnsi="Abadi"/>
          <w:sz w:val="21"/>
          <w:szCs w:val="21"/>
        </w:rPr>
        <w:t>Camacho,</w:t>
      </w:r>
      <w:r w:rsidRPr="00206A67">
        <w:rPr>
          <w:rFonts w:ascii="Abadi" w:hAnsi="Abadi"/>
          <w:spacing w:val="-6"/>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8"/>
          <w:sz w:val="21"/>
          <w:szCs w:val="21"/>
        </w:rPr>
        <w:t xml:space="preserve"> </w:t>
      </w:r>
      <w:r w:rsidRPr="00206A67">
        <w:rPr>
          <w:rFonts w:ascii="Abadi" w:hAnsi="Abadi"/>
          <w:sz w:val="21"/>
          <w:szCs w:val="21"/>
        </w:rPr>
        <w:t>Briseida</w:t>
      </w:r>
      <w:r w:rsidRPr="00206A67">
        <w:rPr>
          <w:rFonts w:ascii="Abadi" w:hAnsi="Abadi"/>
          <w:spacing w:val="-17"/>
          <w:sz w:val="21"/>
          <w:szCs w:val="21"/>
        </w:rPr>
        <w:t xml:space="preserve"> </w:t>
      </w:r>
      <w:r w:rsidRPr="00206A67">
        <w:rPr>
          <w:rFonts w:ascii="Abadi" w:hAnsi="Abadi"/>
          <w:sz w:val="21"/>
          <w:szCs w:val="21"/>
        </w:rPr>
        <w:t>Anabel</w:t>
      </w:r>
      <w:r w:rsidRPr="00206A67">
        <w:rPr>
          <w:rFonts w:ascii="Abadi" w:hAnsi="Abadi"/>
          <w:spacing w:val="-7"/>
          <w:sz w:val="21"/>
          <w:szCs w:val="21"/>
        </w:rPr>
        <w:t xml:space="preserve"> </w:t>
      </w:r>
      <w:r w:rsidRPr="00206A67">
        <w:rPr>
          <w:rFonts w:ascii="Abadi" w:hAnsi="Abadi"/>
          <w:sz w:val="21"/>
          <w:szCs w:val="21"/>
        </w:rPr>
        <w:t>Magdaleno</w:t>
      </w:r>
      <w:r w:rsidRPr="00206A67">
        <w:rPr>
          <w:rFonts w:ascii="Abadi" w:hAnsi="Abadi"/>
          <w:spacing w:val="-6"/>
          <w:sz w:val="21"/>
          <w:szCs w:val="21"/>
        </w:rPr>
        <w:t xml:space="preserve"> </w:t>
      </w:r>
      <w:r w:rsidRPr="00206A67">
        <w:rPr>
          <w:rFonts w:ascii="Abadi" w:hAnsi="Abadi"/>
          <w:sz w:val="21"/>
          <w:szCs w:val="21"/>
        </w:rPr>
        <w:t>González,</w:t>
      </w:r>
      <w:r w:rsidRPr="00206A67">
        <w:rPr>
          <w:rFonts w:ascii="Abadi" w:hAnsi="Abadi"/>
          <w:spacing w:val="-6"/>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6"/>
          <w:sz w:val="21"/>
          <w:szCs w:val="21"/>
        </w:rPr>
        <w:t xml:space="preserve"> </w:t>
      </w:r>
      <w:r w:rsidRPr="00206A67">
        <w:rPr>
          <w:rFonts w:ascii="Abadi" w:hAnsi="Abadi"/>
          <w:sz w:val="21"/>
          <w:szCs w:val="21"/>
        </w:rPr>
        <w:t>Laura Cristina Márquez</w:t>
      </w:r>
      <w:r w:rsidRPr="00206A67">
        <w:rPr>
          <w:rFonts w:ascii="Abadi" w:hAnsi="Abadi"/>
          <w:spacing w:val="-3"/>
          <w:sz w:val="21"/>
          <w:szCs w:val="21"/>
        </w:rPr>
        <w:t xml:space="preserve"> </w:t>
      </w:r>
      <w:r w:rsidRPr="00206A67">
        <w:rPr>
          <w:rFonts w:ascii="Abadi" w:hAnsi="Abadi"/>
          <w:sz w:val="21"/>
          <w:szCs w:val="21"/>
        </w:rPr>
        <w:t xml:space="preserve">Alcalá, </w:t>
      </w:r>
      <w:proofErr w:type="spellStart"/>
      <w:r w:rsidRPr="00206A67">
        <w:rPr>
          <w:rFonts w:ascii="Abadi" w:hAnsi="Abadi"/>
          <w:sz w:val="21"/>
          <w:szCs w:val="21"/>
        </w:rPr>
        <w:t>Dip</w:t>
      </w:r>
      <w:proofErr w:type="spellEnd"/>
      <w:r w:rsidRPr="00206A67">
        <w:rPr>
          <w:rFonts w:ascii="Abadi" w:hAnsi="Abadi"/>
          <w:sz w:val="21"/>
          <w:szCs w:val="21"/>
        </w:rPr>
        <w:t>. Javier</w:t>
      </w:r>
      <w:r w:rsidRPr="00206A67">
        <w:rPr>
          <w:rFonts w:ascii="Abadi" w:hAnsi="Abadi"/>
          <w:spacing w:val="-3"/>
          <w:sz w:val="21"/>
          <w:szCs w:val="21"/>
        </w:rPr>
        <w:t xml:space="preserve"> </w:t>
      </w:r>
      <w:r w:rsidRPr="00206A67">
        <w:rPr>
          <w:rFonts w:ascii="Abadi" w:hAnsi="Abadi"/>
          <w:sz w:val="21"/>
          <w:szCs w:val="21"/>
        </w:rPr>
        <w:t xml:space="preserve">Alfonso Torres </w:t>
      </w:r>
      <w:proofErr w:type="spellStart"/>
      <w:r w:rsidRPr="00206A67">
        <w:rPr>
          <w:rFonts w:ascii="Abadi" w:hAnsi="Abadi"/>
          <w:sz w:val="21"/>
          <w:szCs w:val="21"/>
        </w:rPr>
        <w:t>Mereles</w:t>
      </w:r>
      <w:proofErr w:type="spellEnd"/>
      <w:r w:rsidRPr="00206A67">
        <w:rPr>
          <w:rFonts w:ascii="Abadi" w:hAnsi="Abadi"/>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 xml:space="preserve">. Noemí Márquez </w:t>
      </w:r>
      <w:proofErr w:type="spellStart"/>
      <w:r w:rsidRPr="00206A67">
        <w:rPr>
          <w:rFonts w:ascii="Abadi" w:hAnsi="Abadi"/>
          <w:sz w:val="21"/>
          <w:szCs w:val="21"/>
        </w:rPr>
        <w:t>Márquez</w:t>
      </w:r>
      <w:proofErr w:type="spellEnd"/>
      <w:r w:rsidRPr="00206A67">
        <w:rPr>
          <w:rFonts w:ascii="Abadi" w:hAnsi="Abadi"/>
          <w:sz w:val="21"/>
          <w:szCs w:val="21"/>
        </w:rPr>
        <w:t>,</w:t>
      </w:r>
      <w:r w:rsidRPr="00206A67">
        <w:rPr>
          <w:rFonts w:ascii="Abadi" w:hAnsi="Abadi"/>
          <w:spacing w:val="-14"/>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8"/>
          <w:sz w:val="21"/>
          <w:szCs w:val="21"/>
        </w:rPr>
        <w:t xml:space="preserve"> </w:t>
      </w:r>
      <w:r w:rsidRPr="00206A67">
        <w:rPr>
          <w:rFonts w:ascii="Abadi" w:hAnsi="Abadi"/>
          <w:sz w:val="21"/>
          <w:szCs w:val="21"/>
        </w:rPr>
        <w:t>Janet</w:t>
      </w:r>
      <w:r w:rsidRPr="00206A67">
        <w:rPr>
          <w:rFonts w:ascii="Abadi" w:hAnsi="Abadi"/>
          <w:spacing w:val="-8"/>
          <w:sz w:val="21"/>
          <w:szCs w:val="21"/>
        </w:rPr>
        <w:t xml:space="preserve"> </w:t>
      </w:r>
      <w:r w:rsidRPr="00206A67">
        <w:rPr>
          <w:rFonts w:ascii="Abadi" w:hAnsi="Abadi"/>
          <w:sz w:val="21"/>
          <w:szCs w:val="21"/>
        </w:rPr>
        <w:t>Melanie</w:t>
      </w:r>
      <w:r w:rsidRPr="00206A67">
        <w:rPr>
          <w:rFonts w:ascii="Abadi" w:hAnsi="Abadi"/>
          <w:spacing w:val="-11"/>
          <w:sz w:val="21"/>
          <w:szCs w:val="21"/>
        </w:rPr>
        <w:t xml:space="preserve"> </w:t>
      </w:r>
      <w:r w:rsidRPr="00206A67">
        <w:rPr>
          <w:rFonts w:ascii="Abadi" w:hAnsi="Abadi"/>
          <w:sz w:val="21"/>
          <w:szCs w:val="21"/>
        </w:rPr>
        <w:t>Murillo</w:t>
      </w:r>
      <w:r w:rsidRPr="00206A67">
        <w:rPr>
          <w:rFonts w:ascii="Abadi" w:hAnsi="Abadi"/>
          <w:spacing w:val="-8"/>
          <w:sz w:val="21"/>
          <w:szCs w:val="21"/>
        </w:rPr>
        <w:t xml:space="preserve"> </w:t>
      </w:r>
      <w:r w:rsidRPr="00206A67">
        <w:rPr>
          <w:rFonts w:ascii="Abadi" w:hAnsi="Abadi"/>
          <w:sz w:val="21"/>
          <w:szCs w:val="21"/>
        </w:rPr>
        <w:t>Chávez,</w:t>
      </w:r>
      <w:r w:rsidRPr="00206A67">
        <w:rPr>
          <w:rFonts w:ascii="Abadi" w:hAnsi="Abadi"/>
          <w:spacing w:val="-11"/>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8"/>
          <w:sz w:val="21"/>
          <w:szCs w:val="21"/>
        </w:rPr>
        <w:t xml:space="preserve"> </w:t>
      </w:r>
      <w:r w:rsidRPr="00206A67">
        <w:rPr>
          <w:rFonts w:ascii="Abadi" w:hAnsi="Abadi"/>
          <w:sz w:val="21"/>
          <w:szCs w:val="21"/>
        </w:rPr>
        <w:t>Jorge</w:t>
      </w:r>
      <w:r w:rsidRPr="00206A67">
        <w:rPr>
          <w:rFonts w:ascii="Abadi" w:hAnsi="Abadi"/>
          <w:spacing w:val="-10"/>
          <w:sz w:val="21"/>
          <w:szCs w:val="21"/>
        </w:rPr>
        <w:t xml:space="preserve"> </w:t>
      </w:r>
      <w:r w:rsidRPr="00206A67">
        <w:rPr>
          <w:rFonts w:ascii="Abadi" w:hAnsi="Abadi"/>
          <w:sz w:val="21"/>
          <w:szCs w:val="21"/>
        </w:rPr>
        <w:t>Ortiz</w:t>
      </w:r>
      <w:r w:rsidRPr="00206A67">
        <w:rPr>
          <w:rFonts w:ascii="Abadi" w:hAnsi="Abadi"/>
          <w:spacing w:val="-11"/>
          <w:sz w:val="21"/>
          <w:szCs w:val="21"/>
        </w:rPr>
        <w:t xml:space="preserve"> </w:t>
      </w:r>
      <w:r w:rsidRPr="00206A67">
        <w:rPr>
          <w:rFonts w:ascii="Abadi" w:hAnsi="Abadi"/>
          <w:sz w:val="21"/>
          <w:szCs w:val="21"/>
        </w:rPr>
        <w:t>Ortega,</w:t>
      </w:r>
      <w:r w:rsidRPr="00206A67">
        <w:rPr>
          <w:rFonts w:ascii="Abadi" w:hAnsi="Abadi"/>
          <w:spacing w:val="-8"/>
          <w:sz w:val="21"/>
          <w:szCs w:val="21"/>
        </w:rPr>
        <w:t xml:space="preserve"> </w:t>
      </w:r>
      <w:proofErr w:type="spellStart"/>
      <w:r w:rsidRPr="00206A67">
        <w:rPr>
          <w:rFonts w:ascii="Abadi" w:hAnsi="Abadi"/>
          <w:sz w:val="21"/>
          <w:szCs w:val="21"/>
        </w:rPr>
        <w:t>Dip</w:t>
      </w:r>
      <w:proofErr w:type="spellEnd"/>
      <w:r w:rsidRPr="00206A67">
        <w:rPr>
          <w:rFonts w:ascii="Abadi" w:hAnsi="Abadi"/>
          <w:sz w:val="21"/>
          <w:szCs w:val="21"/>
        </w:rPr>
        <w:t>.</w:t>
      </w:r>
      <w:r w:rsidRPr="00206A67">
        <w:rPr>
          <w:rFonts w:ascii="Abadi" w:hAnsi="Abadi"/>
          <w:spacing w:val="-19"/>
          <w:sz w:val="21"/>
          <w:szCs w:val="21"/>
        </w:rPr>
        <w:t xml:space="preserve"> </w:t>
      </w:r>
      <w:proofErr w:type="gramStart"/>
      <w:r w:rsidRPr="00206A67">
        <w:rPr>
          <w:rFonts w:ascii="Abadi" w:hAnsi="Abadi"/>
          <w:sz w:val="21"/>
          <w:szCs w:val="21"/>
        </w:rPr>
        <w:t>Armando</w:t>
      </w:r>
      <w:r w:rsidR="007142AA">
        <w:rPr>
          <w:rFonts w:ascii="Abadi" w:hAnsi="Abadi"/>
          <w:sz w:val="21"/>
          <w:szCs w:val="21"/>
        </w:rPr>
        <w:t xml:space="preserve"> </w:t>
      </w:r>
      <w:r w:rsidR="00315FB2">
        <w:rPr>
          <w:rFonts w:ascii="Abadi" w:hAnsi="Abadi"/>
          <w:sz w:val="21"/>
          <w:szCs w:val="21"/>
        </w:rPr>
        <w:t xml:space="preserve"> </w:t>
      </w:r>
      <w:r w:rsidR="00315FB2" w:rsidRPr="00206A67">
        <w:rPr>
          <w:rFonts w:ascii="Abadi" w:hAnsi="Abadi"/>
          <w:sz w:val="21"/>
          <w:szCs w:val="21"/>
        </w:rPr>
        <w:t>Rangel</w:t>
      </w:r>
      <w:proofErr w:type="gramEnd"/>
      <w:r w:rsidR="00315FB2" w:rsidRPr="00206A67">
        <w:rPr>
          <w:rFonts w:ascii="Abadi" w:hAnsi="Abadi"/>
          <w:spacing w:val="-4"/>
          <w:sz w:val="21"/>
          <w:szCs w:val="21"/>
        </w:rPr>
        <w:t xml:space="preserve"> </w:t>
      </w:r>
      <w:r w:rsidR="00315FB2" w:rsidRPr="00206A67">
        <w:rPr>
          <w:rFonts w:ascii="Abadi" w:hAnsi="Abadi"/>
          <w:sz w:val="21"/>
          <w:szCs w:val="21"/>
        </w:rPr>
        <w:t>Hernández,</w:t>
      </w:r>
      <w:r w:rsidR="00315FB2" w:rsidRPr="00206A67">
        <w:rPr>
          <w:rFonts w:ascii="Abadi" w:hAnsi="Abadi"/>
          <w:spacing w:val="-4"/>
          <w:sz w:val="21"/>
          <w:szCs w:val="21"/>
        </w:rPr>
        <w:t xml:space="preserve"> </w:t>
      </w:r>
      <w:proofErr w:type="spellStart"/>
      <w:r w:rsidR="00315FB2" w:rsidRPr="00206A67">
        <w:rPr>
          <w:rFonts w:ascii="Abadi" w:hAnsi="Abadi"/>
          <w:sz w:val="21"/>
          <w:szCs w:val="21"/>
        </w:rPr>
        <w:t>Dip</w:t>
      </w:r>
      <w:proofErr w:type="spellEnd"/>
      <w:r w:rsidR="00315FB2" w:rsidRPr="00206A67">
        <w:rPr>
          <w:rFonts w:ascii="Abadi" w:hAnsi="Abadi"/>
          <w:sz w:val="21"/>
          <w:szCs w:val="21"/>
        </w:rPr>
        <w:t>.</w:t>
      </w:r>
      <w:r w:rsidR="00315FB2" w:rsidRPr="00206A67">
        <w:rPr>
          <w:rFonts w:ascii="Abadi" w:hAnsi="Abadi"/>
          <w:spacing w:val="-4"/>
          <w:sz w:val="21"/>
          <w:szCs w:val="21"/>
        </w:rPr>
        <w:t xml:space="preserve"> </w:t>
      </w:r>
      <w:r w:rsidR="00315FB2" w:rsidRPr="00206A67">
        <w:rPr>
          <w:rFonts w:ascii="Abadi" w:hAnsi="Abadi"/>
          <w:sz w:val="21"/>
          <w:szCs w:val="21"/>
        </w:rPr>
        <w:t>Lilia</w:t>
      </w:r>
      <w:r w:rsidR="00315FB2" w:rsidRPr="00206A67">
        <w:rPr>
          <w:rFonts w:ascii="Abadi" w:hAnsi="Abadi"/>
          <w:spacing w:val="-4"/>
          <w:sz w:val="21"/>
          <w:szCs w:val="21"/>
        </w:rPr>
        <w:t xml:space="preserve"> </w:t>
      </w:r>
      <w:r w:rsidR="00315FB2" w:rsidRPr="00206A67">
        <w:rPr>
          <w:rFonts w:ascii="Abadi" w:hAnsi="Abadi"/>
          <w:sz w:val="21"/>
          <w:szCs w:val="21"/>
        </w:rPr>
        <w:t>Margarita</w:t>
      </w:r>
      <w:r w:rsidR="00315FB2" w:rsidRPr="00206A67">
        <w:rPr>
          <w:rFonts w:ascii="Abadi" w:hAnsi="Abadi"/>
          <w:spacing w:val="-3"/>
          <w:sz w:val="21"/>
          <w:szCs w:val="21"/>
        </w:rPr>
        <w:t xml:space="preserve"> </w:t>
      </w:r>
      <w:r w:rsidR="00315FB2" w:rsidRPr="00206A67">
        <w:rPr>
          <w:rFonts w:ascii="Abadi" w:hAnsi="Abadi"/>
          <w:sz w:val="21"/>
          <w:szCs w:val="21"/>
        </w:rPr>
        <w:t>Rionda</w:t>
      </w:r>
      <w:r w:rsidR="00315FB2" w:rsidRPr="00206A67">
        <w:rPr>
          <w:rFonts w:ascii="Abadi" w:hAnsi="Abadi"/>
          <w:spacing w:val="-4"/>
          <w:sz w:val="21"/>
          <w:szCs w:val="21"/>
        </w:rPr>
        <w:t xml:space="preserve"> </w:t>
      </w:r>
      <w:r w:rsidR="00315FB2" w:rsidRPr="00206A67">
        <w:rPr>
          <w:rFonts w:ascii="Abadi" w:hAnsi="Abadi"/>
          <w:sz w:val="21"/>
          <w:szCs w:val="21"/>
        </w:rPr>
        <w:t>Salas,</w:t>
      </w:r>
      <w:r w:rsidR="00315FB2" w:rsidRPr="00206A67">
        <w:rPr>
          <w:rFonts w:ascii="Abadi" w:hAnsi="Abadi"/>
          <w:spacing w:val="-4"/>
          <w:sz w:val="21"/>
          <w:szCs w:val="21"/>
        </w:rPr>
        <w:t xml:space="preserve"> </w:t>
      </w:r>
      <w:proofErr w:type="spellStart"/>
      <w:r w:rsidR="00315FB2" w:rsidRPr="00206A67">
        <w:rPr>
          <w:rFonts w:ascii="Abadi" w:hAnsi="Abadi"/>
          <w:sz w:val="21"/>
          <w:szCs w:val="21"/>
        </w:rPr>
        <w:t>Dip</w:t>
      </w:r>
      <w:proofErr w:type="spellEnd"/>
      <w:r w:rsidR="00315FB2" w:rsidRPr="00206A67">
        <w:rPr>
          <w:rFonts w:ascii="Abadi" w:hAnsi="Abadi"/>
          <w:sz w:val="21"/>
          <w:szCs w:val="21"/>
        </w:rPr>
        <w:t>.</w:t>
      </w:r>
      <w:r w:rsidR="00315FB2" w:rsidRPr="00206A67">
        <w:rPr>
          <w:rFonts w:ascii="Abadi" w:hAnsi="Abadi"/>
          <w:spacing w:val="-4"/>
          <w:sz w:val="21"/>
          <w:szCs w:val="21"/>
        </w:rPr>
        <w:t xml:space="preserve"> </w:t>
      </w:r>
      <w:r w:rsidR="00315FB2" w:rsidRPr="00206A67">
        <w:rPr>
          <w:rFonts w:ascii="Abadi" w:hAnsi="Abadi"/>
          <w:sz w:val="21"/>
          <w:szCs w:val="21"/>
        </w:rPr>
        <w:t>Miguel</w:t>
      </w:r>
      <w:r w:rsidR="00315FB2" w:rsidRPr="00206A67">
        <w:rPr>
          <w:rFonts w:ascii="Abadi" w:hAnsi="Abadi"/>
          <w:spacing w:val="-6"/>
          <w:sz w:val="21"/>
          <w:szCs w:val="21"/>
        </w:rPr>
        <w:t xml:space="preserve"> </w:t>
      </w:r>
      <w:r w:rsidR="00315FB2" w:rsidRPr="00206A67">
        <w:rPr>
          <w:rFonts w:ascii="Abadi" w:hAnsi="Abadi"/>
          <w:sz w:val="21"/>
          <w:szCs w:val="21"/>
        </w:rPr>
        <w:t>Ángel</w:t>
      </w:r>
      <w:r w:rsidR="00315FB2" w:rsidRPr="00206A67">
        <w:rPr>
          <w:rFonts w:ascii="Abadi" w:hAnsi="Abadi"/>
          <w:spacing w:val="-4"/>
          <w:sz w:val="21"/>
          <w:szCs w:val="21"/>
        </w:rPr>
        <w:t xml:space="preserve"> </w:t>
      </w:r>
      <w:r w:rsidR="00315FB2" w:rsidRPr="00206A67">
        <w:rPr>
          <w:rFonts w:ascii="Abadi" w:hAnsi="Abadi"/>
          <w:sz w:val="21"/>
          <w:szCs w:val="21"/>
        </w:rPr>
        <w:t>Salim</w:t>
      </w:r>
      <w:r w:rsidR="00315FB2" w:rsidRPr="00206A67">
        <w:rPr>
          <w:rFonts w:ascii="Abadi" w:hAnsi="Abadi"/>
          <w:spacing w:val="-17"/>
          <w:sz w:val="21"/>
          <w:szCs w:val="21"/>
        </w:rPr>
        <w:t xml:space="preserve"> </w:t>
      </w:r>
      <w:proofErr w:type="spellStart"/>
      <w:r w:rsidR="00315FB2" w:rsidRPr="00206A67">
        <w:rPr>
          <w:rFonts w:ascii="Abadi" w:hAnsi="Abadi"/>
          <w:sz w:val="21"/>
          <w:szCs w:val="21"/>
        </w:rPr>
        <w:t>Alle</w:t>
      </w:r>
      <w:proofErr w:type="spellEnd"/>
      <w:r w:rsidR="00315FB2" w:rsidRPr="00206A67">
        <w:rPr>
          <w:rFonts w:ascii="Abadi" w:hAnsi="Abadi"/>
          <w:sz w:val="21"/>
          <w:szCs w:val="21"/>
        </w:rPr>
        <w:t xml:space="preserve">, </w:t>
      </w:r>
      <w:proofErr w:type="spellStart"/>
      <w:r w:rsidR="00315FB2" w:rsidRPr="00206A67">
        <w:rPr>
          <w:rFonts w:ascii="Abadi" w:hAnsi="Abadi"/>
          <w:sz w:val="21"/>
          <w:szCs w:val="21"/>
        </w:rPr>
        <w:t>Dip</w:t>
      </w:r>
      <w:proofErr w:type="spellEnd"/>
      <w:r w:rsidR="00315FB2" w:rsidRPr="00206A67">
        <w:rPr>
          <w:rFonts w:ascii="Abadi" w:hAnsi="Abadi"/>
          <w:sz w:val="21"/>
          <w:szCs w:val="21"/>
        </w:rPr>
        <w:t xml:space="preserve">. Katya Cristina Soto Escamilla </w:t>
      </w:r>
      <w:proofErr w:type="spellStart"/>
      <w:r w:rsidR="00315FB2" w:rsidRPr="00206A67">
        <w:rPr>
          <w:rFonts w:ascii="Abadi" w:hAnsi="Abadi"/>
          <w:sz w:val="21"/>
          <w:szCs w:val="21"/>
        </w:rPr>
        <w:t>Dip</w:t>
      </w:r>
      <w:proofErr w:type="spellEnd"/>
      <w:r w:rsidR="00315FB2" w:rsidRPr="00206A67">
        <w:rPr>
          <w:rFonts w:ascii="Abadi" w:hAnsi="Abadi"/>
          <w:sz w:val="21"/>
          <w:szCs w:val="21"/>
        </w:rPr>
        <w:t>. Víctor Manuel Zanella Huerta.</w:t>
      </w:r>
    </w:p>
    <w:p w14:paraId="385A897B" w14:textId="67DF9AF3" w:rsidR="00051488" w:rsidRDefault="007142AA" w:rsidP="00315FB2">
      <w:pPr>
        <w:jc w:val="both"/>
        <w:rPr>
          <w:rFonts w:ascii="Abadi" w:hAnsi="Abadi"/>
          <w:sz w:val="21"/>
          <w:szCs w:val="21"/>
        </w:rPr>
      </w:pPr>
      <w:r>
        <w:rPr>
          <w:rFonts w:ascii="Abadi" w:hAnsi="Abadi"/>
          <w:sz w:val="21"/>
          <w:szCs w:val="21"/>
        </w:rPr>
        <w:t xml:space="preserve"> </w:t>
      </w:r>
    </w:p>
    <w:p w14:paraId="42864500" w14:textId="77777777" w:rsidR="00123FB1" w:rsidRDefault="00123FB1" w:rsidP="00315FB2">
      <w:pPr>
        <w:jc w:val="both"/>
        <w:rPr>
          <w:rFonts w:ascii="Abadi" w:hAnsi="Abadi"/>
          <w:sz w:val="21"/>
          <w:szCs w:val="21"/>
        </w:rPr>
      </w:pPr>
    </w:p>
    <w:p w14:paraId="276AAD7C" w14:textId="77777777" w:rsidR="00642EA4" w:rsidRDefault="00642EA4" w:rsidP="00642EA4">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Enseguida se solicita la diputada Katya Cristina Soto Escamilla dar lectura a la propuesta de punto de acuerdo referida en el punto 11 del orden del día. </w:t>
      </w:r>
      <w:r w:rsidRPr="0030088F">
        <w:rPr>
          <w:rFonts w:ascii="Abadi" w:hAnsi="Abadi"/>
          <w:b/>
          <w:bCs/>
          <w:sz w:val="21"/>
          <w:szCs w:val="21"/>
        </w:rPr>
        <w:t>(300/LXV-PPA)</w:t>
      </w:r>
    </w:p>
    <w:p w14:paraId="67473D7F" w14:textId="77777777" w:rsidR="00642EA4" w:rsidRPr="0030088F" w:rsidRDefault="00642EA4" w:rsidP="00642EA4">
      <w:pPr>
        <w:ind w:firstLine="708"/>
        <w:jc w:val="both"/>
        <w:rPr>
          <w:rFonts w:ascii="Abadi" w:hAnsi="Abadi"/>
          <w:b/>
          <w:bCs/>
          <w:sz w:val="21"/>
          <w:szCs w:val="21"/>
        </w:rPr>
      </w:pPr>
    </w:p>
    <w:p w14:paraId="428E47E3" w14:textId="77777777" w:rsidR="00642EA4" w:rsidRDefault="00642EA4" w:rsidP="00642EA4">
      <w:pPr>
        <w:ind w:firstLine="708"/>
        <w:jc w:val="both"/>
        <w:rPr>
          <w:rFonts w:ascii="Abadi" w:hAnsi="Abadi"/>
          <w:sz w:val="21"/>
          <w:szCs w:val="21"/>
        </w:rPr>
      </w:pPr>
      <w:r w:rsidRPr="0030088F">
        <w:rPr>
          <w:rFonts w:ascii="Abadi" w:hAnsi="Abadi"/>
          <w:sz w:val="21"/>
          <w:szCs w:val="21"/>
        </w:rPr>
        <w:t>- Adelante.</w:t>
      </w:r>
    </w:p>
    <w:p w14:paraId="30FECDEA" w14:textId="77777777" w:rsidR="000E22C7" w:rsidRPr="0030088F" w:rsidRDefault="000E22C7" w:rsidP="00642EA4">
      <w:pPr>
        <w:ind w:firstLine="708"/>
        <w:jc w:val="both"/>
        <w:rPr>
          <w:rFonts w:ascii="Abadi" w:hAnsi="Abadi"/>
          <w:sz w:val="21"/>
          <w:szCs w:val="21"/>
        </w:rPr>
      </w:pPr>
    </w:p>
    <w:p w14:paraId="6768A122" w14:textId="77777777" w:rsidR="00642EA4" w:rsidRPr="0030088F" w:rsidRDefault="00642EA4" w:rsidP="00642EA4">
      <w:pPr>
        <w:jc w:val="both"/>
        <w:rPr>
          <w:rFonts w:ascii="Abadi" w:hAnsi="Abadi"/>
          <w:b/>
          <w:bCs/>
          <w:sz w:val="21"/>
          <w:szCs w:val="21"/>
        </w:rPr>
      </w:pPr>
      <w:r w:rsidRPr="0030088F">
        <w:rPr>
          <w:rFonts w:ascii="Abadi" w:hAnsi="Abadi"/>
          <w:b/>
          <w:bCs/>
          <w:sz w:val="21"/>
          <w:szCs w:val="21"/>
        </w:rPr>
        <w:t>(Sube a tribuna la diputada Katya Cristina Soto Escamilla para dar lectura a la propuesta de punto de acuerdo en referencia)</w:t>
      </w:r>
    </w:p>
    <w:p w14:paraId="33FA951B" w14:textId="77777777" w:rsidR="00642EA4" w:rsidRPr="0030088F" w:rsidRDefault="00642EA4" w:rsidP="00642EA4">
      <w:pPr>
        <w:jc w:val="both"/>
        <w:rPr>
          <w:rFonts w:ascii="Abadi" w:hAnsi="Abadi"/>
          <w:b/>
          <w:bCs/>
          <w:sz w:val="21"/>
          <w:szCs w:val="21"/>
        </w:rPr>
      </w:pPr>
    </w:p>
    <w:p w14:paraId="2F36FB09" w14:textId="77777777" w:rsidR="00642EA4" w:rsidRPr="0030088F" w:rsidRDefault="00642EA4" w:rsidP="00642EA4">
      <w:pPr>
        <w:jc w:val="both"/>
        <w:rPr>
          <w:rFonts w:ascii="Abadi" w:hAnsi="Abadi"/>
          <w:b/>
          <w:bCs/>
          <w:sz w:val="21"/>
          <w:szCs w:val="21"/>
        </w:rPr>
      </w:pPr>
      <w:r w:rsidRPr="0030088F">
        <w:rPr>
          <w:rFonts w:ascii="Abadi" w:hAnsi="Abadi"/>
          <w:noProof/>
          <w:sz w:val="21"/>
          <w:szCs w:val="21"/>
        </w:rPr>
        <w:drawing>
          <wp:inline distT="0" distB="0" distL="0" distR="0" wp14:anchorId="7A95FCDC" wp14:editId="67127284">
            <wp:extent cx="1375570" cy="728084"/>
            <wp:effectExtent l="247650" t="228600" r="243840" b="739140"/>
            <wp:docPr id="261531833" name="Imagen 2615318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531833" name="Imagen 1" descr="Interfaz de usuario gráfica, Texto, Aplicación&#10;&#10;Descripción generada automáticamente"/>
                    <pic:cNvPicPr/>
                  </pic:nvPicPr>
                  <pic:blipFill rotWithShape="1">
                    <a:blip r:embed="rId31"/>
                    <a:srcRect b="5896"/>
                    <a:stretch/>
                  </pic:blipFill>
                  <pic:spPr bwMode="auto">
                    <a:xfrm>
                      <a:off x="0" y="0"/>
                      <a:ext cx="1387736" cy="73452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6B495405" w14:textId="77777777" w:rsidR="00642EA4" w:rsidRDefault="00642EA4" w:rsidP="00642EA4">
      <w:pPr>
        <w:jc w:val="both"/>
        <w:rPr>
          <w:rFonts w:ascii="Abadi" w:hAnsi="Abadi"/>
          <w:b/>
          <w:bCs/>
          <w:sz w:val="21"/>
          <w:szCs w:val="21"/>
        </w:rPr>
      </w:pPr>
      <w:r w:rsidRPr="0030088F">
        <w:rPr>
          <w:rFonts w:ascii="Abadi" w:hAnsi="Abadi"/>
          <w:b/>
          <w:bCs/>
          <w:sz w:val="21"/>
          <w:szCs w:val="21"/>
        </w:rPr>
        <w:t>Diputada Katya Cristina Soto Escamilla</w:t>
      </w:r>
    </w:p>
    <w:p w14:paraId="1308356D" w14:textId="77777777" w:rsidR="000E22C7" w:rsidRPr="0030088F" w:rsidRDefault="000E22C7" w:rsidP="00642EA4">
      <w:pPr>
        <w:jc w:val="both"/>
        <w:rPr>
          <w:rFonts w:ascii="Abadi" w:hAnsi="Abadi"/>
          <w:b/>
          <w:bCs/>
          <w:sz w:val="21"/>
          <w:szCs w:val="21"/>
        </w:rPr>
      </w:pPr>
    </w:p>
    <w:p w14:paraId="77293627" w14:textId="77777777" w:rsidR="00642EA4" w:rsidRDefault="00642EA4" w:rsidP="00642EA4">
      <w:pPr>
        <w:jc w:val="both"/>
        <w:rPr>
          <w:rFonts w:ascii="Abadi" w:hAnsi="Abadi"/>
          <w:sz w:val="21"/>
          <w:szCs w:val="21"/>
        </w:rPr>
      </w:pPr>
      <w:r w:rsidRPr="0030088F">
        <w:rPr>
          <w:rFonts w:ascii="Abadi" w:hAnsi="Abadi"/>
          <w:sz w:val="21"/>
          <w:szCs w:val="21"/>
        </w:rPr>
        <w:t xml:space="preserve">- ¿Ya está por ahí el traductor? ok, ¡muchas gracias! bienvenidas y bienvenidos, hoy es un día especialmente importante para mí y por supuesto doy la cordial bienvenida a todas estas asociaciones de personas sordas que hoy nos acompañan por supuesto decirles </w:t>
      </w:r>
      <w:r w:rsidRPr="0030088F">
        <w:rPr>
          <w:rFonts w:ascii="Abadi" w:hAnsi="Abadi"/>
          <w:sz w:val="21"/>
          <w:szCs w:val="21"/>
        </w:rPr>
        <w:lastRenderedPageBreak/>
        <w:t>que, que es muy importante este tema, porque creo que hoy hemos vivido tan solo en unos momentos antes de presentar este punto de acuerdo lo difícil que ha sido poder llevar a cabo el que se interprete lo que estábamos necesitando para que ellos estuvieran aquí nuevamente bienvenidos.</w:t>
      </w:r>
    </w:p>
    <w:p w14:paraId="1EF321F1" w14:textId="77777777" w:rsidR="000E22C7" w:rsidRPr="0030088F" w:rsidRDefault="000E22C7" w:rsidP="00642EA4">
      <w:pPr>
        <w:jc w:val="both"/>
        <w:rPr>
          <w:rFonts w:ascii="Abadi" w:hAnsi="Abadi"/>
          <w:sz w:val="21"/>
          <w:szCs w:val="21"/>
        </w:rPr>
      </w:pPr>
    </w:p>
    <w:p w14:paraId="030F7D91" w14:textId="77777777" w:rsidR="00642EA4" w:rsidRDefault="00642EA4" w:rsidP="00642EA4">
      <w:pPr>
        <w:jc w:val="both"/>
        <w:rPr>
          <w:rFonts w:ascii="Abadi" w:hAnsi="Abadi"/>
          <w:sz w:val="21"/>
          <w:szCs w:val="21"/>
        </w:rPr>
      </w:pPr>
      <w:r w:rsidRPr="0030088F">
        <w:rPr>
          <w:rFonts w:ascii="Abadi" w:hAnsi="Abadi"/>
          <w:sz w:val="21"/>
          <w:szCs w:val="21"/>
        </w:rPr>
        <w:t>- Quiero, saludar a Jimena Díaz y a Pablo Sánchez, traductores de señas de aquí del Congreso ¡muchas gracias! por el trabajo que realizan y decirles, algunas personas oyentes, temen a la lengua de signos, como si fuera algo contagioso, con el tiempo te das cuenta que ¡lo único contagioso por supuesto pues son los prejuicios! con el permiso de los y las integrantes de la Mesa Directiva de las y los compañeros diputados, medios de comunicación que nos acompañan y a los ciudadanos que nos siguen a través de los diferentes medios.</w:t>
      </w:r>
    </w:p>
    <w:p w14:paraId="25D836CE" w14:textId="77777777" w:rsidR="000E22C7" w:rsidRPr="0030088F" w:rsidRDefault="000E22C7" w:rsidP="00642EA4">
      <w:pPr>
        <w:jc w:val="both"/>
        <w:rPr>
          <w:rFonts w:ascii="Abadi" w:hAnsi="Abadi"/>
          <w:sz w:val="21"/>
          <w:szCs w:val="21"/>
        </w:rPr>
      </w:pPr>
    </w:p>
    <w:p w14:paraId="0450DFD9" w14:textId="77777777" w:rsidR="00642EA4" w:rsidRDefault="00642EA4" w:rsidP="00642EA4">
      <w:pPr>
        <w:jc w:val="both"/>
        <w:rPr>
          <w:rFonts w:ascii="Abadi" w:hAnsi="Abadi"/>
          <w:sz w:val="21"/>
          <w:szCs w:val="21"/>
        </w:rPr>
      </w:pPr>
      <w:r w:rsidRPr="0030088F">
        <w:rPr>
          <w:rFonts w:ascii="Abadi" w:hAnsi="Abadi"/>
          <w:sz w:val="21"/>
          <w:szCs w:val="21"/>
        </w:rPr>
        <w:t xml:space="preserve">- El día de hoy, quiero dedicar este punto de acuerdo a todas las personas que por distintas circunstancias sufren de la pérdida de audición o del habla, de quienes no tienen la manera de expresar lo que sienten, lo que viven, lo que ven, o lo que a veces necesitan, para ellos es este punto de acuerdo, también lo dedico a quienes a través de sus manos, de sus miradas, de sus gestos nos hablan y nos expresan y nos comunican sus inquietudes, pero sobre todo, aquellos que con su corazón nos brindan esa calidez humana, que es el motor para trabajar a favor de ellos, la sociedad ha evolucionado, cada día es más tolerante con su entorno, con las personas que le rodean, incluyendo las que viven con alguna discapacidad sensorial, esto es un tema complejo y del cual no se habla de manera constante, aún se percibe cierta discriminación en distintos sectores por lo que no se ha erradicado por completo seguiremos insistiendo y avanzando para mejorar es en este tipo de aspectos desde este Congreso del Estado, la Constitución, las leyes generales, las leyes federales, y las locales, reconocen a las personas con discapacidad en todos sus derechos humanos, además contemplan que se establezcan políticas públicas necesarias para su ejercicio medidas de nivelación de inclusión y de acciones afirmativas, positivas, que permitan la integración social de las personas con discapacidad, con independencia de los instrumentos normativos y de los diversos programas de </w:t>
      </w:r>
      <w:r w:rsidRPr="0030088F">
        <w:rPr>
          <w:rFonts w:ascii="Abadi" w:hAnsi="Abadi"/>
          <w:sz w:val="21"/>
          <w:szCs w:val="21"/>
        </w:rPr>
        <w:t xml:space="preserve">integración e inclusión efectivos, todas y todos debemos de entender y tratar a las personas con discapacidad, como lo que son, solamente personas, debemos de seguir trabajando para generar la conciencia social, con la finalidad de ser realmente incluyentes, entre aquellos que viven con una discapacidad auditiva o sordera, desde el punto de vista médico fisiológico la pérdida auditiva consiste en la disminución de la capacidad de oír, la persona afectada no solo escucha menos, sino que percibe el sonido a veces de forma irregular y distorsionada lo que limita sus posibilidades para procesar debidamente la información de acuerdo con el tipo y grado de pérdida auditiva, por lo que no puede escuchar, por lo que la persona que no puede escuchar, enfrenta problemas para desenvolverse debido a las dificultades para detectar la fuente sonora, identificar cualquier sonido del habla o ambiental, seguir una conversación, y sobre todo comprender el lenguaje oral. </w:t>
      </w:r>
    </w:p>
    <w:p w14:paraId="15DDE0BD" w14:textId="77777777" w:rsidR="000E22C7" w:rsidRPr="0030088F" w:rsidRDefault="000E22C7" w:rsidP="00642EA4">
      <w:pPr>
        <w:jc w:val="both"/>
        <w:rPr>
          <w:rFonts w:ascii="Abadi" w:hAnsi="Abadi"/>
          <w:sz w:val="21"/>
          <w:szCs w:val="21"/>
        </w:rPr>
      </w:pPr>
    </w:p>
    <w:p w14:paraId="2DA835D7" w14:textId="77777777" w:rsidR="00642EA4" w:rsidRPr="0030088F" w:rsidRDefault="00642EA4" w:rsidP="00642EA4">
      <w:pPr>
        <w:jc w:val="both"/>
        <w:rPr>
          <w:rFonts w:ascii="Abadi" w:hAnsi="Abadi"/>
          <w:sz w:val="21"/>
          <w:szCs w:val="21"/>
        </w:rPr>
      </w:pPr>
      <w:r w:rsidRPr="0030088F">
        <w:rPr>
          <w:rFonts w:ascii="Abadi" w:hAnsi="Abadi"/>
          <w:sz w:val="21"/>
          <w:szCs w:val="21"/>
        </w:rPr>
        <w:t xml:space="preserve">- De tal manera, que repercute en el desarrollo de sus habilidades del pensamiento del habla y del lenguaje y en consecuencia en la conducta el desarrollo social y el emocional e incluso en el desempeño laboral y escolar. </w:t>
      </w:r>
    </w:p>
    <w:p w14:paraId="292657CF" w14:textId="77777777" w:rsidR="00642EA4" w:rsidRDefault="00642EA4" w:rsidP="00642EA4">
      <w:pPr>
        <w:jc w:val="both"/>
        <w:rPr>
          <w:rFonts w:ascii="Abadi" w:hAnsi="Abadi"/>
          <w:sz w:val="21"/>
          <w:szCs w:val="21"/>
        </w:rPr>
      </w:pPr>
      <w:r w:rsidRPr="0030088F">
        <w:rPr>
          <w:rFonts w:ascii="Abadi" w:hAnsi="Abadi"/>
          <w:sz w:val="21"/>
          <w:szCs w:val="21"/>
        </w:rPr>
        <w:t>- Por otra parte, es importante señalar que el lenguaje de señas de las personas con discapacidad auditiva o sordera en nuestro país es la lengua de señas mexicanas por lo que las autoridades deben garantizar el derecho de las personas con alguna discapacidad sensorial estableciendo medidas como son la utilización del lenguaje de señas entre otros.</w:t>
      </w:r>
    </w:p>
    <w:p w14:paraId="2C68FC3F" w14:textId="77777777" w:rsidR="000E22C7" w:rsidRPr="0030088F" w:rsidRDefault="000E22C7" w:rsidP="00642EA4">
      <w:pPr>
        <w:jc w:val="both"/>
        <w:rPr>
          <w:rFonts w:ascii="Abadi" w:hAnsi="Abadi"/>
          <w:sz w:val="21"/>
          <w:szCs w:val="21"/>
        </w:rPr>
      </w:pPr>
    </w:p>
    <w:p w14:paraId="3F035B35" w14:textId="77777777" w:rsidR="00642EA4" w:rsidRDefault="00642EA4" w:rsidP="00642EA4">
      <w:pPr>
        <w:jc w:val="both"/>
        <w:rPr>
          <w:rFonts w:ascii="Abadi" w:hAnsi="Abadi"/>
          <w:sz w:val="21"/>
          <w:szCs w:val="21"/>
        </w:rPr>
      </w:pPr>
      <w:r w:rsidRPr="0030088F">
        <w:rPr>
          <w:rFonts w:ascii="Abadi" w:hAnsi="Abadi"/>
          <w:sz w:val="21"/>
          <w:szCs w:val="21"/>
        </w:rPr>
        <w:t xml:space="preserve">- La lengua de señas mexicanas, es reconocida oficialmente como la lengua nacional y forma parte del patrimonio lingüístico con que cuenta la nación mexica; si bien, existen escuelas, e instituciones, o asociaciones civiles, que enseñan la lengua de señas, nos encontramos que, en espacios laborales y dependencias públicas, no tienen personas capacitadas para poder entablar una comunicación con lenguaje de señas. </w:t>
      </w:r>
    </w:p>
    <w:p w14:paraId="2A5AD71D" w14:textId="77777777" w:rsidR="000E22C7" w:rsidRPr="0030088F" w:rsidRDefault="000E22C7" w:rsidP="00642EA4">
      <w:pPr>
        <w:jc w:val="both"/>
        <w:rPr>
          <w:rFonts w:ascii="Abadi" w:hAnsi="Abadi"/>
          <w:sz w:val="21"/>
          <w:szCs w:val="21"/>
        </w:rPr>
      </w:pPr>
    </w:p>
    <w:p w14:paraId="7ECEC885" w14:textId="77777777" w:rsidR="00642EA4" w:rsidRDefault="00642EA4" w:rsidP="00642EA4">
      <w:pPr>
        <w:jc w:val="both"/>
        <w:rPr>
          <w:rFonts w:ascii="Abadi" w:hAnsi="Abadi"/>
          <w:sz w:val="21"/>
          <w:szCs w:val="21"/>
        </w:rPr>
      </w:pPr>
      <w:r w:rsidRPr="0030088F">
        <w:rPr>
          <w:rFonts w:ascii="Abadi" w:hAnsi="Abadi"/>
          <w:sz w:val="21"/>
          <w:szCs w:val="21"/>
        </w:rPr>
        <w:t xml:space="preserve">- De acuerdo con el censo de población y vivienda del 2020, la población total del país que existen diversos tipos de discapacidad que representan un 4.9% de ese universo 1 millon 809 mil personas tienen discapacidad o dificultad para hablar o comunicarse, en cuanto al Estado de Guanajuato existen </w:t>
      </w:r>
      <w:r w:rsidRPr="0030088F">
        <w:rPr>
          <w:rFonts w:ascii="Abadi" w:hAnsi="Abadi"/>
          <w:sz w:val="21"/>
          <w:szCs w:val="21"/>
        </w:rPr>
        <w:lastRenderedPageBreak/>
        <w:t xml:space="preserve">aproximadamente 84 mil 903 personas con discapacidad o dificultad para hablar o comunicarse. </w:t>
      </w:r>
    </w:p>
    <w:p w14:paraId="50FFFB81" w14:textId="77777777" w:rsidR="000E22C7" w:rsidRPr="0030088F" w:rsidRDefault="000E22C7" w:rsidP="00642EA4">
      <w:pPr>
        <w:jc w:val="both"/>
        <w:rPr>
          <w:rFonts w:ascii="Abadi" w:hAnsi="Abadi"/>
          <w:sz w:val="21"/>
          <w:szCs w:val="21"/>
        </w:rPr>
      </w:pPr>
    </w:p>
    <w:p w14:paraId="5DEF8AC1" w14:textId="77777777" w:rsidR="00642EA4" w:rsidRDefault="00642EA4" w:rsidP="00642EA4">
      <w:pPr>
        <w:jc w:val="both"/>
        <w:rPr>
          <w:rFonts w:ascii="Abadi" w:hAnsi="Abadi"/>
          <w:sz w:val="21"/>
          <w:szCs w:val="21"/>
        </w:rPr>
      </w:pPr>
      <w:r w:rsidRPr="0030088F">
        <w:rPr>
          <w:rFonts w:ascii="Abadi" w:hAnsi="Abadi"/>
          <w:sz w:val="21"/>
          <w:szCs w:val="21"/>
        </w:rPr>
        <w:t xml:space="preserve">- Por eso, resulta indispensable la necesidad de aprender el lenguaje de señas que ayudará y permitirá a comunicarnos sin restricción alguna, imaginemos por cierto, cuando se presenta de hecho un hecho de tránsito donde resulta lesionada alguna persona con discapacidad auditiva o sordera - me preguntó- ¿cuántos oficiales de cuerpos de seguridad bomberos o protección civil tendrán la habilidad de comunicarse con estas personas? ¿cómo intentará calmar a la persona ante un evento o comportamiento de desesperación o de emergencia? ¿cómo podrá darle las indicaciones en caso de que necesite brindarle pues tan solo los primeros auxilios? debemos de impulsar más mecanismos e instrumentos que permitan un adecuado ejercicio de los derechos de las personas con discapacidad, por ello, se busca, seguir generando conciencia, en y sobre todo hoy, en este punto de acuerdo, buscamos generar conciencia en los cuerpos de protección civil, bomberos y de seguridad pública de los municipios de nuestro estado, para que cuenten con elementos necesarios para la debida y correcta comunicación entre ellas y ellos si algo tienen en común estas tres dependencias es que buscan salvaguardar la integridad física de las personas ante una eventualidad de un problema o de un siniestro ante una emergencia, ya que el tener una proximidad y una relación constante con las y los guanajuatenses al ser comúnmente los primeros respondientes es importante, que de qué, manera corresponsable desarrollen habilidades y cumplan la obligación de garantizar esa comunicación con las personas con discapacidad y en este caso discapacidad auditiva. </w:t>
      </w:r>
    </w:p>
    <w:p w14:paraId="239B078F" w14:textId="77777777" w:rsidR="000E22C7" w:rsidRPr="0030088F" w:rsidRDefault="000E22C7" w:rsidP="00642EA4">
      <w:pPr>
        <w:jc w:val="both"/>
        <w:rPr>
          <w:rFonts w:ascii="Abadi" w:hAnsi="Abadi"/>
          <w:sz w:val="21"/>
          <w:szCs w:val="21"/>
        </w:rPr>
      </w:pPr>
    </w:p>
    <w:p w14:paraId="49AAF271" w14:textId="383334CA" w:rsidR="00642EA4" w:rsidRDefault="00642EA4" w:rsidP="00642EA4">
      <w:pPr>
        <w:jc w:val="both"/>
        <w:rPr>
          <w:rFonts w:ascii="Abadi" w:hAnsi="Abadi"/>
          <w:sz w:val="21"/>
          <w:szCs w:val="21"/>
        </w:rPr>
      </w:pPr>
      <w:r w:rsidRPr="0030088F">
        <w:rPr>
          <w:rFonts w:ascii="Abadi" w:hAnsi="Abadi"/>
          <w:sz w:val="21"/>
          <w:szCs w:val="21"/>
        </w:rPr>
        <w:t xml:space="preserve">- Lo que finalmente abonará en la generación de una cultura de inclusión, al tener la capacidad de atender a las personas con discapacidad en caso de una emergencia desastre o siniestro, máximo que un día existe la latente posibilidad de enfrentarse sin duda alguno de estos siniestros, no perdamos de vista que también existen personas que viven con otro tipo de espectros, síntomas o afectaciones como son el autismo, síndrome de </w:t>
      </w:r>
      <w:r w:rsidR="000E22C7" w:rsidRPr="0030088F">
        <w:rPr>
          <w:rFonts w:ascii="Abadi" w:hAnsi="Abadi"/>
          <w:sz w:val="21"/>
          <w:szCs w:val="21"/>
        </w:rPr>
        <w:t>Down</w:t>
      </w:r>
      <w:r w:rsidRPr="0030088F">
        <w:rPr>
          <w:rFonts w:ascii="Abadi" w:hAnsi="Abadi"/>
          <w:sz w:val="21"/>
          <w:szCs w:val="21"/>
        </w:rPr>
        <w:t xml:space="preserve">, por citar algunos, y que son personas que en algunos casos también por </w:t>
      </w:r>
      <w:r w:rsidRPr="0030088F">
        <w:rPr>
          <w:rFonts w:ascii="Abadi" w:hAnsi="Abadi"/>
          <w:sz w:val="21"/>
          <w:szCs w:val="21"/>
        </w:rPr>
        <w:t xml:space="preserve">supuesto que no pueden comunicarse, sin duda estas acciones buscan prevenir y generar condiciones de seguridad en materia de protección civil para lograr una atención y un auxilio adecuado de las personas con discapacidad incluyendo a quienes tienen una discapacidad auditiva o del habla. </w:t>
      </w:r>
    </w:p>
    <w:p w14:paraId="19FCF2DD" w14:textId="77777777" w:rsidR="000E22C7" w:rsidRPr="0030088F" w:rsidRDefault="000E22C7" w:rsidP="00642EA4">
      <w:pPr>
        <w:jc w:val="both"/>
        <w:rPr>
          <w:rFonts w:ascii="Abadi" w:hAnsi="Abadi"/>
          <w:sz w:val="21"/>
          <w:szCs w:val="21"/>
        </w:rPr>
      </w:pPr>
    </w:p>
    <w:p w14:paraId="3E23BB35" w14:textId="77777777" w:rsidR="00642EA4" w:rsidRDefault="00642EA4" w:rsidP="00642EA4">
      <w:pPr>
        <w:jc w:val="both"/>
        <w:rPr>
          <w:rFonts w:ascii="Abadi" w:hAnsi="Abadi"/>
          <w:sz w:val="21"/>
          <w:szCs w:val="21"/>
        </w:rPr>
      </w:pPr>
      <w:r w:rsidRPr="0030088F">
        <w:rPr>
          <w:rFonts w:ascii="Abadi" w:hAnsi="Abadi"/>
          <w:sz w:val="21"/>
          <w:szCs w:val="21"/>
        </w:rPr>
        <w:t>- Por último, les digo a todos ustedes que hoy nos acompañan a todas y a todos los que viven con alguna discapacidad que el Grupo Parlamentario de Acción Nacional, es un aliado en la e inclusión y en la solidaridad que en los planes y programas de protección civil, cuerpos de bomberos y cuerpos de seguridad pública de los 46 municipios, para que incluyan el aprendizaje del lenguaje de señas, sí incluyente, quiere ser, aprende el lenguaje de signos, es una de las decisiones más inteligentes que podemos tomar y eso y eso es lo que necesitamos un Guanajuato más incluyente.</w:t>
      </w:r>
    </w:p>
    <w:p w14:paraId="09478BEF" w14:textId="77777777" w:rsidR="000E22C7" w:rsidRPr="0030088F" w:rsidRDefault="000E22C7" w:rsidP="00642EA4">
      <w:pPr>
        <w:jc w:val="both"/>
        <w:rPr>
          <w:rFonts w:ascii="Abadi" w:hAnsi="Abadi"/>
          <w:sz w:val="21"/>
          <w:szCs w:val="21"/>
        </w:rPr>
      </w:pPr>
    </w:p>
    <w:p w14:paraId="7BD1B824" w14:textId="77777777" w:rsidR="00642EA4" w:rsidRDefault="00642EA4" w:rsidP="00642EA4">
      <w:pPr>
        <w:jc w:val="both"/>
        <w:rPr>
          <w:rFonts w:ascii="Abadi" w:hAnsi="Abadi"/>
          <w:sz w:val="21"/>
          <w:szCs w:val="21"/>
        </w:rPr>
      </w:pPr>
      <w:r w:rsidRPr="0030088F">
        <w:rPr>
          <w:rFonts w:ascii="Abadi" w:hAnsi="Abadi"/>
          <w:sz w:val="21"/>
          <w:szCs w:val="21"/>
        </w:rPr>
        <w:t xml:space="preserve">- Muchas gracias. </w:t>
      </w:r>
    </w:p>
    <w:p w14:paraId="00A820CD" w14:textId="77777777" w:rsidR="000E22C7" w:rsidRPr="0030088F" w:rsidRDefault="000E22C7" w:rsidP="00642EA4">
      <w:pPr>
        <w:jc w:val="both"/>
        <w:rPr>
          <w:rFonts w:ascii="Abadi" w:hAnsi="Abadi"/>
          <w:sz w:val="21"/>
          <w:szCs w:val="21"/>
        </w:rPr>
      </w:pPr>
    </w:p>
    <w:p w14:paraId="37923FC1" w14:textId="77777777" w:rsidR="00642EA4" w:rsidRDefault="00642EA4" w:rsidP="00642EA4">
      <w:pPr>
        <w:jc w:val="both"/>
        <w:rPr>
          <w:rFonts w:ascii="Abadi" w:hAnsi="Abadi"/>
          <w:sz w:val="21"/>
          <w:szCs w:val="21"/>
        </w:rPr>
      </w:pPr>
      <w:r w:rsidRPr="0030088F">
        <w:rPr>
          <w:rFonts w:ascii="Abadi" w:hAnsi="Abadi"/>
          <w:sz w:val="21"/>
          <w:szCs w:val="21"/>
        </w:rPr>
        <w:t xml:space="preserve">- Muchas gracias diputada. </w:t>
      </w:r>
    </w:p>
    <w:p w14:paraId="706BB016" w14:textId="77777777" w:rsidR="000E22C7" w:rsidRPr="0030088F" w:rsidRDefault="000E22C7" w:rsidP="00642EA4">
      <w:pPr>
        <w:jc w:val="both"/>
        <w:rPr>
          <w:rFonts w:ascii="Abadi" w:hAnsi="Abadi"/>
          <w:sz w:val="21"/>
          <w:szCs w:val="21"/>
        </w:rPr>
      </w:pPr>
    </w:p>
    <w:p w14:paraId="00A4A091" w14:textId="77777777" w:rsidR="00642EA4" w:rsidRDefault="00642EA4" w:rsidP="00642EA4">
      <w:pPr>
        <w:ind w:left="567" w:right="758"/>
        <w:jc w:val="both"/>
        <w:rPr>
          <w:rFonts w:ascii="Abadi" w:hAnsi="Abadi"/>
          <w:b/>
          <w:bCs/>
          <w:i/>
          <w:iCs/>
          <w:sz w:val="21"/>
          <w:szCs w:val="21"/>
          <w:u w:val="single"/>
        </w:rPr>
      </w:pPr>
      <w:r w:rsidRPr="0030088F">
        <w:rPr>
          <w:rFonts w:ascii="Abadi" w:hAnsi="Abadi"/>
          <w:b/>
          <w:bCs/>
          <w:i/>
          <w:iCs/>
          <w:sz w:val="21"/>
          <w:szCs w:val="21"/>
          <w:u w:val="single"/>
        </w:rPr>
        <w:t xml:space="preserve">Se turna a la Comisión de Seguridad Pública y Comunicaciones con fundamento en el artículo 119 fracción VI de nuestra Ley Orgánica para su estudio y dictamen. </w:t>
      </w:r>
    </w:p>
    <w:p w14:paraId="6C896CBD" w14:textId="77777777" w:rsidR="000E22C7" w:rsidRPr="0030088F" w:rsidRDefault="000E22C7" w:rsidP="00642EA4">
      <w:pPr>
        <w:ind w:left="567" w:right="758"/>
        <w:jc w:val="both"/>
        <w:rPr>
          <w:rFonts w:ascii="Abadi" w:hAnsi="Abadi"/>
          <w:b/>
          <w:bCs/>
          <w:i/>
          <w:iCs/>
          <w:sz w:val="21"/>
          <w:szCs w:val="21"/>
          <w:u w:val="single"/>
        </w:rPr>
      </w:pPr>
    </w:p>
    <w:p w14:paraId="46B078CC" w14:textId="77777777" w:rsidR="00642EA4" w:rsidRDefault="00642EA4" w:rsidP="00642EA4">
      <w:pPr>
        <w:ind w:firstLine="567"/>
        <w:jc w:val="both"/>
        <w:rPr>
          <w:rFonts w:ascii="Abadi" w:hAnsi="Abadi"/>
          <w:sz w:val="21"/>
          <w:szCs w:val="21"/>
        </w:rPr>
      </w:pPr>
      <w:r w:rsidRPr="0030088F">
        <w:rPr>
          <w:rFonts w:ascii="Abadi" w:hAnsi="Abadi"/>
          <w:sz w:val="21"/>
          <w:szCs w:val="21"/>
        </w:rPr>
        <w:t xml:space="preserve">- Esta presidencia da la más cordial bienvenida a los alumnos y docentes de la Universidad de León Plantel Salamanca invitados por este Congreso bienvenidos. </w:t>
      </w:r>
    </w:p>
    <w:p w14:paraId="5B240FDC" w14:textId="77777777" w:rsidR="000E22C7" w:rsidRPr="0030088F" w:rsidRDefault="000E22C7" w:rsidP="00642EA4">
      <w:pPr>
        <w:ind w:firstLine="567"/>
        <w:jc w:val="both"/>
        <w:rPr>
          <w:rFonts w:ascii="Abadi" w:hAnsi="Abadi"/>
          <w:sz w:val="21"/>
          <w:szCs w:val="21"/>
        </w:rPr>
      </w:pPr>
    </w:p>
    <w:p w14:paraId="7B1704B2" w14:textId="77777777" w:rsidR="00642EA4" w:rsidRPr="0030088F" w:rsidRDefault="00642EA4" w:rsidP="00642EA4">
      <w:pPr>
        <w:ind w:firstLine="567"/>
        <w:jc w:val="both"/>
        <w:rPr>
          <w:rFonts w:ascii="Abadi" w:hAnsi="Abadi"/>
          <w:sz w:val="21"/>
          <w:szCs w:val="21"/>
        </w:rPr>
      </w:pPr>
      <w:r w:rsidRPr="0030088F">
        <w:rPr>
          <w:rFonts w:ascii="Abadi" w:hAnsi="Abadi"/>
          <w:sz w:val="21"/>
          <w:szCs w:val="21"/>
        </w:rPr>
        <w:t>- También damos la más cordial bienvenida a los integrantes de la Red Diplomacia Guanajuato del Instituto para el Desarrollo y Atención de las Juventudes del Estado de Guanajuato invitados por este Congreso, sean bienvenidas bienvenidos.</w:t>
      </w:r>
    </w:p>
    <w:p w14:paraId="3D1C1D1F" w14:textId="77777777" w:rsidR="00642EA4" w:rsidRDefault="00642EA4" w:rsidP="00642EA4">
      <w:pPr>
        <w:ind w:firstLine="567"/>
        <w:jc w:val="both"/>
        <w:rPr>
          <w:rFonts w:ascii="Abadi" w:hAnsi="Abadi"/>
          <w:sz w:val="21"/>
          <w:szCs w:val="21"/>
        </w:rPr>
      </w:pPr>
      <w:r w:rsidRPr="0030088F">
        <w:rPr>
          <w:rFonts w:ascii="Abadi" w:hAnsi="Abadi"/>
          <w:sz w:val="21"/>
          <w:szCs w:val="21"/>
        </w:rPr>
        <w:t>- Además esta presidencia da la más cordial bienvenida al Grupo de Niños Padres de Familia y Docentes del Décimo Segundo Parlamento de las Niñas y los Niños de México, invitados por esta presidencia bienvenidos.</w:t>
      </w:r>
    </w:p>
    <w:p w14:paraId="209E169D" w14:textId="77777777" w:rsidR="00117B1A" w:rsidRPr="0030088F" w:rsidRDefault="00117B1A" w:rsidP="00642EA4">
      <w:pPr>
        <w:ind w:firstLine="567"/>
        <w:jc w:val="both"/>
        <w:rPr>
          <w:rFonts w:ascii="Abadi" w:hAnsi="Abadi"/>
          <w:sz w:val="21"/>
          <w:szCs w:val="21"/>
        </w:rPr>
      </w:pPr>
    </w:p>
    <w:p w14:paraId="446ACD60" w14:textId="2D79BD81"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 xml:space="preserve">PRESENTACIÓN DE LA PROPUESTA DE PUNTO DE ACUERDO SIGNADA POR EL DIPUTADO CUAUHTÉMOC BECERRA </w:t>
      </w:r>
      <w:r w:rsidRPr="00006796">
        <w:rPr>
          <w:rFonts w:ascii="Abadi" w:hAnsi="Abadi" w:cs="ArialMT"/>
          <w:b/>
          <w:bCs/>
          <w:sz w:val="21"/>
          <w:szCs w:val="21"/>
        </w:rPr>
        <w:lastRenderedPageBreak/>
        <w:t>GONZÁLEZ, INTEGRANTE DEL GRUPO PARLAMENTARIO DEL PARTIDO MORENA A EFECTO DE EXHORTAR A LA UNIVERSIDAD DE GUANAJUATO.</w:t>
      </w:r>
      <w:r w:rsidR="003E720F">
        <w:rPr>
          <w:rStyle w:val="Refdenotaalpie"/>
          <w:rFonts w:ascii="Abadi" w:hAnsi="Abadi" w:cs="ArialMT"/>
          <w:b/>
          <w:bCs/>
          <w:sz w:val="21"/>
          <w:szCs w:val="21"/>
        </w:rPr>
        <w:footnoteReference w:id="77"/>
      </w:r>
    </w:p>
    <w:p w14:paraId="5D1A3148" w14:textId="77777777" w:rsidR="007159C2" w:rsidRPr="007159C2" w:rsidRDefault="007159C2" w:rsidP="007159C2">
      <w:pPr>
        <w:autoSpaceDE w:val="0"/>
        <w:autoSpaceDN w:val="0"/>
        <w:adjustRightInd w:val="0"/>
        <w:contextualSpacing/>
        <w:jc w:val="both"/>
        <w:rPr>
          <w:rFonts w:ascii="Abadi" w:hAnsi="Abadi" w:cs="ArialMT"/>
          <w:b/>
          <w:bCs/>
          <w:sz w:val="21"/>
          <w:szCs w:val="21"/>
        </w:rPr>
      </w:pPr>
    </w:p>
    <w:p w14:paraId="17BD49AA" w14:textId="77777777" w:rsidR="00121781" w:rsidRDefault="00121781" w:rsidP="00DC6F16">
      <w:pPr>
        <w:autoSpaceDE w:val="0"/>
        <w:autoSpaceDN w:val="0"/>
        <w:adjustRightInd w:val="0"/>
        <w:ind w:left="426"/>
        <w:jc w:val="both"/>
        <w:rPr>
          <w:rFonts w:ascii="Abadi" w:hAnsi="Abadi" w:cs="ArialMT"/>
          <w:b/>
          <w:bCs/>
          <w:sz w:val="21"/>
          <w:szCs w:val="21"/>
        </w:rPr>
      </w:pPr>
    </w:p>
    <w:p w14:paraId="446CEABB" w14:textId="54D0AB2A" w:rsidR="00654CA4" w:rsidRPr="00833E76" w:rsidRDefault="00445A83" w:rsidP="00DC6F16">
      <w:pPr>
        <w:autoSpaceDE w:val="0"/>
        <w:autoSpaceDN w:val="0"/>
        <w:adjustRightInd w:val="0"/>
        <w:ind w:left="426"/>
        <w:jc w:val="both"/>
        <w:rPr>
          <w:rFonts w:ascii="Abadi" w:hAnsi="Abadi"/>
          <w:b/>
          <w:bCs/>
          <w:sz w:val="21"/>
          <w:szCs w:val="21"/>
        </w:rPr>
      </w:pPr>
      <w:r w:rsidRPr="00833E76">
        <w:rPr>
          <w:rFonts w:ascii="Abadi" w:hAnsi="Abadi"/>
          <w:b/>
          <w:bCs/>
          <w:sz w:val="21"/>
          <w:szCs w:val="21"/>
        </w:rPr>
        <w:t>DIPUTADA</w:t>
      </w:r>
      <w:r w:rsidRPr="00833E76">
        <w:rPr>
          <w:rFonts w:ascii="Abadi" w:hAnsi="Abadi"/>
          <w:b/>
          <w:bCs/>
          <w:spacing w:val="-10"/>
          <w:sz w:val="21"/>
          <w:szCs w:val="21"/>
        </w:rPr>
        <w:t xml:space="preserve"> </w:t>
      </w:r>
      <w:r w:rsidRPr="00833E76">
        <w:rPr>
          <w:rFonts w:ascii="Abadi" w:hAnsi="Abadi"/>
          <w:b/>
          <w:bCs/>
          <w:sz w:val="21"/>
          <w:szCs w:val="21"/>
        </w:rPr>
        <w:t>LAURA</w:t>
      </w:r>
      <w:r w:rsidRPr="00833E76">
        <w:rPr>
          <w:rFonts w:ascii="Abadi" w:hAnsi="Abadi"/>
          <w:b/>
          <w:bCs/>
          <w:spacing w:val="-10"/>
          <w:sz w:val="21"/>
          <w:szCs w:val="21"/>
        </w:rPr>
        <w:t xml:space="preserve"> </w:t>
      </w:r>
      <w:r w:rsidRPr="00833E76">
        <w:rPr>
          <w:rFonts w:ascii="Abadi" w:hAnsi="Abadi"/>
          <w:b/>
          <w:bCs/>
          <w:sz w:val="21"/>
          <w:szCs w:val="21"/>
        </w:rPr>
        <w:t>CRISTINA</w:t>
      </w:r>
      <w:r w:rsidRPr="00833E76">
        <w:rPr>
          <w:rFonts w:ascii="Abadi" w:hAnsi="Abadi"/>
          <w:b/>
          <w:bCs/>
          <w:spacing w:val="-10"/>
          <w:sz w:val="21"/>
          <w:szCs w:val="21"/>
        </w:rPr>
        <w:t xml:space="preserve"> </w:t>
      </w:r>
      <w:r w:rsidRPr="00833E76">
        <w:rPr>
          <w:rFonts w:ascii="Abadi" w:hAnsi="Abadi"/>
          <w:b/>
          <w:bCs/>
          <w:sz w:val="21"/>
          <w:szCs w:val="21"/>
        </w:rPr>
        <w:t>MÁRQUEZ</w:t>
      </w:r>
      <w:r w:rsidRPr="00833E76">
        <w:rPr>
          <w:rFonts w:ascii="Abadi" w:hAnsi="Abadi"/>
          <w:b/>
          <w:bCs/>
          <w:spacing w:val="-13"/>
          <w:sz w:val="21"/>
          <w:szCs w:val="21"/>
        </w:rPr>
        <w:t xml:space="preserve"> </w:t>
      </w:r>
      <w:r w:rsidRPr="00833E76">
        <w:rPr>
          <w:rFonts w:ascii="Abadi" w:hAnsi="Abadi"/>
          <w:b/>
          <w:bCs/>
          <w:sz w:val="21"/>
          <w:szCs w:val="21"/>
        </w:rPr>
        <w:t>ALCALÁ PRESIDENTA</w:t>
      </w:r>
    </w:p>
    <w:p w14:paraId="33656998" w14:textId="07C9336A" w:rsidR="00F23B5C" w:rsidRPr="00833E76" w:rsidRDefault="00A637EB" w:rsidP="00DC6F16">
      <w:pPr>
        <w:autoSpaceDE w:val="0"/>
        <w:autoSpaceDN w:val="0"/>
        <w:adjustRightInd w:val="0"/>
        <w:ind w:left="426"/>
        <w:jc w:val="both"/>
        <w:rPr>
          <w:rFonts w:ascii="Abadi" w:hAnsi="Abadi"/>
          <w:b/>
          <w:bCs/>
          <w:sz w:val="21"/>
          <w:szCs w:val="21"/>
        </w:rPr>
      </w:pPr>
      <w:r w:rsidRPr="00833E76">
        <w:rPr>
          <w:rFonts w:ascii="Abadi" w:hAnsi="Abadi"/>
          <w:b/>
          <w:bCs/>
          <w:sz w:val="21"/>
          <w:szCs w:val="21"/>
        </w:rPr>
        <w:t>DE LA MESA DIRECTIVA CONGRESO DEL ESTADO DE</w:t>
      </w:r>
      <w:r w:rsidR="008D51AE" w:rsidRPr="00833E76">
        <w:rPr>
          <w:rFonts w:ascii="Abadi" w:hAnsi="Abadi"/>
          <w:b/>
          <w:bCs/>
          <w:sz w:val="21"/>
          <w:szCs w:val="21"/>
        </w:rPr>
        <w:t xml:space="preserve"> GUANAJUATO</w:t>
      </w:r>
      <w:r w:rsidR="008D51AE" w:rsidRPr="00833E76">
        <w:rPr>
          <w:rFonts w:ascii="Abadi" w:hAnsi="Abadi"/>
          <w:b/>
          <w:bCs/>
          <w:spacing w:val="40"/>
          <w:sz w:val="21"/>
          <w:szCs w:val="21"/>
        </w:rPr>
        <w:t xml:space="preserve"> </w:t>
      </w:r>
      <w:r w:rsidR="008D51AE" w:rsidRPr="00833E76">
        <w:rPr>
          <w:rFonts w:ascii="Abadi" w:hAnsi="Abadi"/>
          <w:b/>
          <w:bCs/>
          <w:sz w:val="21"/>
          <w:szCs w:val="21"/>
        </w:rPr>
        <w:t>LXV LEGISLATURA</w:t>
      </w:r>
    </w:p>
    <w:p w14:paraId="65CF7AAE" w14:textId="77777777" w:rsidR="00EC5E1B" w:rsidRPr="005359BB" w:rsidRDefault="00EC5E1B" w:rsidP="00833E76">
      <w:pPr>
        <w:ind w:firstLine="426"/>
        <w:rPr>
          <w:rFonts w:ascii="Abadi" w:hAnsi="Abadi"/>
          <w:b/>
          <w:sz w:val="21"/>
          <w:szCs w:val="21"/>
        </w:rPr>
      </w:pPr>
      <w:r w:rsidRPr="005359BB">
        <w:rPr>
          <w:rFonts w:ascii="Abadi" w:hAnsi="Abadi"/>
          <w:b/>
          <w:spacing w:val="14"/>
          <w:sz w:val="21"/>
          <w:szCs w:val="21"/>
        </w:rPr>
        <w:t>PRESENTE.</w:t>
      </w:r>
    </w:p>
    <w:p w14:paraId="03B58582" w14:textId="77777777" w:rsidR="00EC5E1B" w:rsidRDefault="00EC5E1B" w:rsidP="00DC6F16">
      <w:pPr>
        <w:autoSpaceDE w:val="0"/>
        <w:autoSpaceDN w:val="0"/>
        <w:adjustRightInd w:val="0"/>
        <w:ind w:left="426"/>
        <w:jc w:val="both"/>
        <w:rPr>
          <w:rFonts w:ascii="Abadi" w:hAnsi="Abadi" w:cs="ArialMT"/>
          <w:b/>
          <w:bCs/>
          <w:sz w:val="21"/>
          <w:szCs w:val="21"/>
        </w:rPr>
      </w:pPr>
    </w:p>
    <w:p w14:paraId="44822217" w14:textId="77777777" w:rsidR="00BD5117" w:rsidRPr="00BD5117" w:rsidRDefault="00BD5117" w:rsidP="00BD5117">
      <w:pPr>
        <w:pStyle w:val="Textoindependiente"/>
        <w:rPr>
          <w:rFonts w:ascii="Abadi" w:hAnsi="Abadi"/>
          <w:b w:val="0"/>
          <w:bCs w:val="0"/>
          <w:sz w:val="21"/>
          <w:szCs w:val="21"/>
        </w:rPr>
      </w:pPr>
      <w:r w:rsidRPr="00BD5117">
        <w:rPr>
          <w:rFonts w:ascii="Abadi" w:hAnsi="Abadi"/>
          <w:b w:val="0"/>
          <w:bCs w:val="0"/>
          <w:sz w:val="21"/>
          <w:szCs w:val="21"/>
        </w:rPr>
        <w:t>El que suscribe, diputado Cuauhtémoc Becerra González, integrante del</w:t>
      </w:r>
      <w:r w:rsidRPr="00BD5117">
        <w:rPr>
          <w:rFonts w:ascii="Abadi" w:hAnsi="Abadi"/>
          <w:b w:val="0"/>
          <w:bCs w:val="0"/>
          <w:spacing w:val="40"/>
          <w:sz w:val="21"/>
          <w:szCs w:val="21"/>
        </w:rPr>
        <w:t xml:space="preserve"> </w:t>
      </w:r>
      <w:r w:rsidRPr="00BD5117">
        <w:rPr>
          <w:rFonts w:ascii="Abadi" w:hAnsi="Abadi"/>
          <w:b w:val="0"/>
          <w:bCs w:val="0"/>
          <w:sz w:val="21"/>
          <w:szCs w:val="21"/>
        </w:rPr>
        <w:t>grupo parlamentario de morena de la Sexagésima Quinta Legislatura del Congreso del Estado Libre y Soberano de Guanajuato, con fundamento en lo dispuesto en los artículos</w:t>
      </w:r>
      <w:r w:rsidRPr="00BD5117">
        <w:rPr>
          <w:rFonts w:ascii="Abadi" w:hAnsi="Abadi"/>
          <w:b w:val="0"/>
          <w:bCs w:val="0"/>
          <w:spacing w:val="-9"/>
          <w:sz w:val="21"/>
          <w:szCs w:val="21"/>
        </w:rPr>
        <w:t xml:space="preserve"> </w:t>
      </w:r>
      <w:r w:rsidRPr="00BD5117">
        <w:rPr>
          <w:rFonts w:ascii="Abadi" w:hAnsi="Abadi"/>
          <w:b w:val="0"/>
          <w:bCs w:val="0"/>
          <w:sz w:val="21"/>
          <w:szCs w:val="21"/>
        </w:rPr>
        <w:t>57</w:t>
      </w:r>
      <w:r w:rsidRPr="00BD5117">
        <w:rPr>
          <w:rFonts w:ascii="Abadi" w:hAnsi="Abadi"/>
          <w:b w:val="0"/>
          <w:bCs w:val="0"/>
          <w:spacing w:val="-8"/>
          <w:sz w:val="21"/>
          <w:szCs w:val="21"/>
        </w:rPr>
        <w:t xml:space="preserve"> </w:t>
      </w:r>
      <w:r w:rsidRPr="00BD5117">
        <w:rPr>
          <w:rFonts w:ascii="Abadi" w:hAnsi="Abadi"/>
          <w:b w:val="0"/>
          <w:bCs w:val="0"/>
          <w:sz w:val="21"/>
          <w:szCs w:val="21"/>
        </w:rPr>
        <w:t>primer</w:t>
      </w:r>
      <w:r w:rsidRPr="00BD5117">
        <w:rPr>
          <w:rFonts w:ascii="Abadi" w:hAnsi="Abadi"/>
          <w:b w:val="0"/>
          <w:bCs w:val="0"/>
          <w:spacing w:val="-10"/>
          <w:sz w:val="21"/>
          <w:szCs w:val="21"/>
        </w:rPr>
        <w:t xml:space="preserve"> </w:t>
      </w:r>
      <w:r w:rsidRPr="00BD5117">
        <w:rPr>
          <w:rFonts w:ascii="Abadi" w:hAnsi="Abadi"/>
          <w:b w:val="0"/>
          <w:bCs w:val="0"/>
          <w:sz w:val="21"/>
          <w:szCs w:val="21"/>
        </w:rPr>
        <w:t>párrafo</w:t>
      </w:r>
      <w:r w:rsidRPr="00BD5117">
        <w:rPr>
          <w:rFonts w:ascii="Abadi" w:hAnsi="Abadi"/>
          <w:b w:val="0"/>
          <w:bCs w:val="0"/>
          <w:spacing w:val="-5"/>
          <w:sz w:val="21"/>
          <w:szCs w:val="21"/>
        </w:rPr>
        <w:t xml:space="preserve"> </w:t>
      </w:r>
      <w:r w:rsidRPr="00BD5117">
        <w:rPr>
          <w:rFonts w:ascii="Abadi" w:hAnsi="Abadi"/>
          <w:b w:val="0"/>
          <w:bCs w:val="0"/>
          <w:sz w:val="21"/>
          <w:szCs w:val="21"/>
        </w:rPr>
        <w:t>de</w:t>
      </w:r>
      <w:r w:rsidRPr="00BD5117">
        <w:rPr>
          <w:rFonts w:ascii="Abadi" w:hAnsi="Abadi"/>
          <w:b w:val="0"/>
          <w:bCs w:val="0"/>
          <w:spacing w:val="-6"/>
          <w:sz w:val="21"/>
          <w:szCs w:val="21"/>
        </w:rPr>
        <w:t xml:space="preserve"> </w:t>
      </w:r>
      <w:r w:rsidRPr="00BD5117">
        <w:rPr>
          <w:rFonts w:ascii="Abadi" w:hAnsi="Abadi"/>
          <w:b w:val="0"/>
          <w:bCs w:val="0"/>
          <w:sz w:val="21"/>
          <w:szCs w:val="21"/>
        </w:rPr>
        <w:t>la</w:t>
      </w:r>
      <w:r w:rsidRPr="00BD5117">
        <w:rPr>
          <w:rFonts w:ascii="Abadi" w:hAnsi="Abadi"/>
          <w:b w:val="0"/>
          <w:bCs w:val="0"/>
          <w:spacing w:val="-9"/>
          <w:sz w:val="21"/>
          <w:szCs w:val="21"/>
        </w:rPr>
        <w:t xml:space="preserve"> </w:t>
      </w:r>
      <w:r w:rsidRPr="00BD5117">
        <w:rPr>
          <w:rFonts w:ascii="Abadi" w:hAnsi="Abadi"/>
          <w:b w:val="0"/>
          <w:bCs w:val="0"/>
          <w:sz w:val="21"/>
          <w:szCs w:val="21"/>
        </w:rPr>
        <w:t>Constitución</w:t>
      </w:r>
      <w:r w:rsidRPr="00BD5117">
        <w:rPr>
          <w:rFonts w:ascii="Abadi" w:hAnsi="Abadi"/>
          <w:b w:val="0"/>
          <w:bCs w:val="0"/>
          <w:spacing w:val="-10"/>
          <w:sz w:val="21"/>
          <w:szCs w:val="21"/>
        </w:rPr>
        <w:t xml:space="preserve"> </w:t>
      </w:r>
      <w:r w:rsidRPr="00BD5117">
        <w:rPr>
          <w:rFonts w:ascii="Abadi" w:hAnsi="Abadi"/>
          <w:b w:val="0"/>
          <w:bCs w:val="0"/>
          <w:sz w:val="21"/>
          <w:szCs w:val="21"/>
        </w:rPr>
        <w:t>Política</w:t>
      </w:r>
      <w:r w:rsidRPr="00BD5117">
        <w:rPr>
          <w:rFonts w:ascii="Abadi" w:hAnsi="Abadi"/>
          <w:b w:val="0"/>
          <w:bCs w:val="0"/>
          <w:spacing w:val="-8"/>
          <w:sz w:val="21"/>
          <w:szCs w:val="21"/>
        </w:rPr>
        <w:t xml:space="preserve"> </w:t>
      </w:r>
      <w:r w:rsidRPr="00BD5117">
        <w:rPr>
          <w:rFonts w:ascii="Abadi" w:hAnsi="Abadi"/>
          <w:b w:val="0"/>
          <w:bCs w:val="0"/>
          <w:sz w:val="21"/>
          <w:szCs w:val="21"/>
        </w:rPr>
        <w:t>para</w:t>
      </w:r>
      <w:r w:rsidRPr="00BD5117">
        <w:rPr>
          <w:rFonts w:ascii="Abadi" w:hAnsi="Abadi"/>
          <w:b w:val="0"/>
          <w:bCs w:val="0"/>
          <w:spacing w:val="-9"/>
          <w:sz w:val="21"/>
          <w:szCs w:val="21"/>
        </w:rPr>
        <w:t xml:space="preserve"> </w:t>
      </w:r>
      <w:r w:rsidRPr="00BD5117">
        <w:rPr>
          <w:rFonts w:ascii="Abadi" w:hAnsi="Abadi"/>
          <w:b w:val="0"/>
          <w:bCs w:val="0"/>
          <w:sz w:val="21"/>
          <w:szCs w:val="21"/>
        </w:rPr>
        <w:t>el</w:t>
      </w:r>
      <w:r w:rsidRPr="00BD5117">
        <w:rPr>
          <w:rFonts w:ascii="Abadi" w:hAnsi="Abadi"/>
          <w:b w:val="0"/>
          <w:bCs w:val="0"/>
          <w:spacing w:val="-7"/>
          <w:sz w:val="21"/>
          <w:szCs w:val="21"/>
        </w:rPr>
        <w:t xml:space="preserve"> </w:t>
      </w:r>
      <w:r w:rsidRPr="00BD5117">
        <w:rPr>
          <w:rFonts w:ascii="Abadi" w:hAnsi="Abadi"/>
          <w:b w:val="0"/>
          <w:bCs w:val="0"/>
          <w:sz w:val="21"/>
          <w:szCs w:val="21"/>
        </w:rPr>
        <w:t>Estado</w:t>
      </w:r>
      <w:r w:rsidRPr="00BD5117">
        <w:rPr>
          <w:rFonts w:ascii="Abadi" w:hAnsi="Abadi"/>
          <w:b w:val="0"/>
          <w:bCs w:val="0"/>
          <w:spacing w:val="-8"/>
          <w:sz w:val="21"/>
          <w:szCs w:val="21"/>
        </w:rPr>
        <w:t xml:space="preserve"> </w:t>
      </w:r>
      <w:r w:rsidRPr="00BD5117">
        <w:rPr>
          <w:rFonts w:ascii="Abadi" w:hAnsi="Abadi"/>
          <w:b w:val="0"/>
          <w:bCs w:val="0"/>
          <w:sz w:val="21"/>
          <w:szCs w:val="21"/>
        </w:rPr>
        <w:t>de</w:t>
      </w:r>
      <w:r w:rsidRPr="00BD5117">
        <w:rPr>
          <w:rFonts w:ascii="Abadi" w:hAnsi="Abadi"/>
          <w:b w:val="0"/>
          <w:bCs w:val="0"/>
          <w:spacing w:val="-6"/>
          <w:sz w:val="21"/>
          <w:szCs w:val="21"/>
        </w:rPr>
        <w:t xml:space="preserve"> </w:t>
      </w:r>
      <w:r w:rsidRPr="00BD5117">
        <w:rPr>
          <w:rFonts w:ascii="Abadi" w:hAnsi="Abadi"/>
          <w:b w:val="0"/>
          <w:bCs w:val="0"/>
          <w:sz w:val="21"/>
          <w:szCs w:val="21"/>
        </w:rPr>
        <w:t>Guanajuato y</w:t>
      </w:r>
      <w:r w:rsidRPr="00BD5117">
        <w:rPr>
          <w:rFonts w:ascii="Abadi" w:hAnsi="Abadi"/>
          <w:b w:val="0"/>
          <w:bCs w:val="0"/>
          <w:spacing w:val="-17"/>
          <w:sz w:val="21"/>
          <w:szCs w:val="21"/>
        </w:rPr>
        <w:t xml:space="preserve"> </w:t>
      </w:r>
      <w:r w:rsidRPr="00BD5117">
        <w:rPr>
          <w:rFonts w:ascii="Abadi" w:hAnsi="Abadi"/>
          <w:b w:val="0"/>
          <w:bCs w:val="0"/>
          <w:sz w:val="21"/>
          <w:szCs w:val="21"/>
        </w:rPr>
        <w:t>204</w:t>
      </w:r>
      <w:r w:rsidRPr="00BD5117">
        <w:rPr>
          <w:rFonts w:ascii="Abadi" w:hAnsi="Abadi"/>
          <w:b w:val="0"/>
          <w:bCs w:val="0"/>
          <w:spacing w:val="-17"/>
          <w:sz w:val="21"/>
          <w:szCs w:val="21"/>
        </w:rPr>
        <w:t xml:space="preserve"> </w:t>
      </w:r>
      <w:r w:rsidRPr="00BD5117">
        <w:rPr>
          <w:rFonts w:ascii="Abadi" w:hAnsi="Abadi"/>
          <w:b w:val="0"/>
          <w:bCs w:val="0"/>
          <w:sz w:val="21"/>
          <w:szCs w:val="21"/>
        </w:rPr>
        <w:t>fracción</w:t>
      </w:r>
      <w:r w:rsidRPr="00BD5117">
        <w:rPr>
          <w:rFonts w:ascii="Abadi" w:hAnsi="Abadi"/>
          <w:b w:val="0"/>
          <w:bCs w:val="0"/>
          <w:spacing w:val="-16"/>
          <w:sz w:val="21"/>
          <w:szCs w:val="21"/>
        </w:rPr>
        <w:t xml:space="preserve"> </w:t>
      </w:r>
      <w:r w:rsidRPr="00BD5117">
        <w:rPr>
          <w:rFonts w:ascii="Abadi" w:hAnsi="Abadi"/>
          <w:b w:val="0"/>
          <w:bCs w:val="0"/>
          <w:sz w:val="21"/>
          <w:szCs w:val="21"/>
        </w:rPr>
        <w:t>III</w:t>
      </w:r>
      <w:r w:rsidRPr="00BD5117">
        <w:rPr>
          <w:rFonts w:ascii="Abadi" w:hAnsi="Abadi"/>
          <w:b w:val="0"/>
          <w:bCs w:val="0"/>
          <w:spacing w:val="-17"/>
          <w:sz w:val="21"/>
          <w:szCs w:val="21"/>
        </w:rPr>
        <w:t xml:space="preserve"> </w:t>
      </w:r>
      <w:r w:rsidRPr="00BD5117">
        <w:rPr>
          <w:rFonts w:ascii="Abadi" w:hAnsi="Abadi"/>
          <w:b w:val="0"/>
          <w:bCs w:val="0"/>
          <w:sz w:val="21"/>
          <w:szCs w:val="21"/>
        </w:rPr>
        <w:t>de</w:t>
      </w:r>
      <w:r w:rsidRPr="00BD5117">
        <w:rPr>
          <w:rFonts w:ascii="Abadi" w:hAnsi="Abadi"/>
          <w:b w:val="0"/>
          <w:bCs w:val="0"/>
          <w:spacing w:val="-17"/>
          <w:sz w:val="21"/>
          <w:szCs w:val="21"/>
        </w:rPr>
        <w:t xml:space="preserve"> </w:t>
      </w:r>
      <w:r w:rsidRPr="00BD5117">
        <w:rPr>
          <w:rFonts w:ascii="Abadi" w:hAnsi="Abadi"/>
          <w:b w:val="0"/>
          <w:bCs w:val="0"/>
          <w:sz w:val="21"/>
          <w:szCs w:val="21"/>
        </w:rPr>
        <w:t>la</w:t>
      </w:r>
      <w:r w:rsidRPr="00BD5117">
        <w:rPr>
          <w:rFonts w:ascii="Abadi" w:hAnsi="Abadi"/>
          <w:b w:val="0"/>
          <w:bCs w:val="0"/>
          <w:spacing w:val="-17"/>
          <w:sz w:val="21"/>
          <w:szCs w:val="21"/>
        </w:rPr>
        <w:t xml:space="preserve"> </w:t>
      </w:r>
      <w:r w:rsidRPr="00BD5117">
        <w:rPr>
          <w:rFonts w:ascii="Abadi" w:hAnsi="Abadi"/>
          <w:b w:val="0"/>
          <w:bCs w:val="0"/>
          <w:sz w:val="21"/>
          <w:szCs w:val="21"/>
        </w:rPr>
        <w:t>Ley</w:t>
      </w:r>
      <w:r w:rsidRPr="00BD5117">
        <w:rPr>
          <w:rFonts w:ascii="Abadi" w:hAnsi="Abadi"/>
          <w:b w:val="0"/>
          <w:bCs w:val="0"/>
          <w:spacing w:val="-16"/>
          <w:sz w:val="21"/>
          <w:szCs w:val="21"/>
        </w:rPr>
        <w:t xml:space="preserve"> </w:t>
      </w:r>
      <w:r w:rsidRPr="00BD5117">
        <w:rPr>
          <w:rFonts w:ascii="Abadi" w:hAnsi="Abadi"/>
          <w:b w:val="0"/>
          <w:bCs w:val="0"/>
          <w:sz w:val="21"/>
          <w:szCs w:val="21"/>
        </w:rPr>
        <w:t>Orgánica</w:t>
      </w:r>
      <w:r w:rsidRPr="005359BB">
        <w:rPr>
          <w:rFonts w:ascii="Abadi" w:hAnsi="Abadi"/>
          <w:spacing w:val="-17"/>
          <w:sz w:val="21"/>
          <w:szCs w:val="21"/>
        </w:rPr>
        <w:t xml:space="preserve"> </w:t>
      </w:r>
      <w:r w:rsidRPr="00BD5117">
        <w:rPr>
          <w:rFonts w:ascii="Abadi" w:hAnsi="Abadi"/>
          <w:b w:val="0"/>
          <w:bCs w:val="0"/>
          <w:sz w:val="21"/>
          <w:szCs w:val="21"/>
        </w:rPr>
        <w:t>del</w:t>
      </w:r>
      <w:r w:rsidRPr="00BD5117">
        <w:rPr>
          <w:rFonts w:ascii="Abadi" w:hAnsi="Abadi"/>
          <w:b w:val="0"/>
          <w:bCs w:val="0"/>
          <w:spacing w:val="-17"/>
          <w:sz w:val="21"/>
          <w:szCs w:val="21"/>
        </w:rPr>
        <w:t xml:space="preserve"> </w:t>
      </w:r>
      <w:r w:rsidRPr="00BD5117">
        <w:rPr>
          <w:rFonts w:ascii="Abadi" w:hAnsi="Abadi"/>
          <w:b w:val="0"/>
          <w:bCs w:val="0"/>
          <w:sz w:val="21"/>
          <w:szCs w:val="21"/>
        </w:rPr>
        <w:t>Poder</w:t>
      </w:r>
      <w:r w:rsidRPr="00BD5117">
        <w:rPr>
          <w:rFonts w:ascii="Abadi" w:hAnsi="Abadi"/>
          <w:b w:val="0"/>
          <w:bCs w:val="0"/>
          <w:spacing w:val="-16"/>
          <w:sz w:val="21"/>
          <w:szCs w:val="21"/>
        </w:rPr>
        <w:t xml:space="preserve"> </w:t>
      </w:r>
      <w:r w:rsidRPr="00BD5117">
        <w:rPr>
          <w:rFonts w:ascii="Abadi" w:hAnsi="Abadi"/>
          <w:b w:val="0"/>
          <w:bCs w:val="0"/>
          <w:sz w:val="21"/>
          <w:szCs w:val="21"/>
        </w:rPr>
        <w:t>Legislativo</w:t>
      </w:r>
      <w:r w:rsidRPr="00BD5117">
        <w:rPr>
          <w:rFonts w:ascii="Abadi" w:hAnsi="Abadi"/>
          <w:b w:val="0"/>
          <w:bCs w:val="0"/>
          <w:spacing w:val="-17"/>
          <w:sz w:val="21"/>
          <w:szCs w:val="21"/>
        </w:rPr>
        <w:t xml:space="preserve"> </w:t>
      </w:r>
      <w:r w:rsidRPr="00BD5117">
        <w:rPr>
          <w:rFonts w:ascii="Abadi" w:hAnsi="Abadi"/>
          <w:b w:val="0"/>
          <w:bCs w:val="0"/>
          <w:sz w:val="21"/>
          <w:szCs w:val="21"/>
        </w:rPr>
        <w:t>del</w:t>
      </w:r>
      <w:r w:rsidRPr="00BD5117">
        <w:rPr>
          <w:rFonts w:ascii="Abadi" w:hAnsi="Abadi"/>
          <w:b w:val="0"/>
          <w:bCs w:val="0"/>
          <w:spacing w:val="-17"/>
          <w:sz w:val="21"/>
          <w:szCs w:val="21"/>
        </w:rPr>
        <w:t xml:space="preserve"> </w:t>
      </w:r>
      <w:r w:rsidRPr="00BD5117">
        <w:rPr>
          <w:rFonts w:ascii="Abadi" w:hAnsi="Abadi"/>
          <w:b w:val="0"/>
          <w:bCs w:val="0"/>
          <w:sz w:val="21"/>
          <w:szCs w:val="21"/>
        </w:rPr>
        <w:t>Estado</w:t>
      </w:r>
      <w:r w:rsidRPr="00BD5117">
        <w:rPr>
          <w:rFonts w:ascii="Abadi" w:hAnsi="Abadi"/>
          <w:b w:val="0"/>
          <w:bCs w:val="0"/>
          <w:spacing w:val="-16"/>
          <w:sz w:val="21"/>
          <w:szCs w:val="21"/>
        </w:rPr>
        <w:t xml:space="preserve"> </w:t>
      </w:r>
      <w:r w:rsidRPr="00BD5117">
        <w:rPr>
          <w:rFonts w:ascii="Abadi" w:hAnsi="Abadi"/>
          <w:b w:val="0"/>
          <w:bCs w:val="0"/>
          <w:sz w:val="21"/>
          <w:szCs w:val="21"/>
        </w:rPr>
        <w:t>de</w:t>
      </w:r>
      <w:r w:rsidRPr="00BD5117">
        <w:rPr>
          <w:rFonts w:ascii="Abadi" w:hAnsi="Abadi"/>
          <w:b w:val="0"/>
          <w:bCs w:val="0"/>
          <w:spacing w:val="-17"/>
          <w:sz w:val="21"/>
          <w:szCs w:val="21"/>
        </w:rPr>
        <w:t xml:space="preserve"> </w:t>
      </w:r>
      <w:r w:rsidRPr="00BD5117">
        <w:rPr>
          <w:rFonts w:ascii="Abadi" w:hAnsi="Abadi"/>
          <w:b w:val="0"/>
          <w:bCs w:val="0"/>
          <w:sz w:val="21"/>
          <w:szCs w:val="21"/>
        </w:rPr>
        <w:t>Guanajuato, me</w:t>
      </w:r>
      <w:r w:rsidRPr="00BD5117">
        <w:rPr>
          <w:rFonts w:ascii="Abadi" w:hAnsi="Abadi"/>
          <w:b w:val="0"/>
          <w:bCs w:val="0"/>
          <w:spacing w:val="-14"/>
          <w:sz w:val="21"/>
          <w:szCs w:val="21"/>
        </w:rPr>
        <w:t xml:space="preserve"> </w:t>
      </w:r>
      <w:r w:rsidRPr="00BD5117">
        <w:rPr>
          <w:rFonts w:ascii="Abadi" w:hAnsi="Abadi"/>
          <w:b w:val="0"/>
          <w:bCs w:val="0"/>
          <w:sz w:val="21"/>
          <w:szCs w:val="21"/>
        </w:rPr>
        <w:t>permito</w:t>
      </w:r>
      <w:r w:rsidRPr="00BD5117">
        <w:rPr>
          <w:rFonts w:ascii="Abadi" w:hAnsi="Abadi"/>
          <w:b w:val="0"/>
          <w:bCs w:val="0"/>
          <w:spacing w:val="-13"/>
          <w:sz w:val="21"/>
          <w:szCs w:val="21"/>
        </w:rPr>
        <w:t xml:space="preserve"> </w:t>
      </w:r>
      <w:r w:rsidRPr="00BD5117">
        <w:rPr>
          <w:rFonts w:ascii="Abadi" w:hAnsi="Abadi"/>
          <w:b w:val="0"/>
          <w:bCs w:val="0"/>
          <w:sz w:val="21"/>
          <w:szCs w:val="21"/>
        </w:rPr>
        <w:t>poner</w:t>
      </w:r>
      <w:r w:rsidRPr="00BD5117">
        <w:rPr>
          <w:rFonts w:ascii="Abadi" w:hAnsi="Abadi"/>
          <w:b w:val="0"/>
          <w:bCs w:val="0"/>
          <w:spacing w:val="-16"/>
          <w:sz w:val="21"/>
          <w:szCs w:val="21"/>
        </w:rPr>
        <w:t xml:space="preserve"> </w:t>
      </w:r>
      <w:r w:rsidRPr="00BD5117">
        <w:rPr>
          <w:rFonts w:ascii="Abadi" w:hAnsi="Abadi"/>
          <w:b w:val="0"/>
          <w:bCs w:val="0"/>
          <w:sz w:val="21"/>
          <w:szCs w:val="21"/>
        </w:rPr>
        <w:t>a</w:t>
      </w:r>
      <w:r w:rsidRPr="00BD5117">
        <w:rPr>
          <w:rFonts w:ascii="Abadi" w:hAnsi="Abadi"/>
          <w:b w:val="0"/>
          <w:bCs w:val="0"/>
          <w:spacing w:val="-14"/>
          <w:sz w:val="21"/>
          <w:szCs w:val="21"/>
        </w:rPr>
        <w:t xml:space="preserve"> </w:t>
      </w:r>
      <w:r w:rsidRPr="00BD5117">
        <w:rPr>
          <w:rFonts w:ascii="Abadi" w:hAnsi="Abadi"/>
          <w:b w:val="0"/>
          <w:bCs w:val="0"/>
          <w:sz w:val="21"/>
          <w:szCs w:val="21"/>
        </w:rPr>
        <w:t>disposición</w:t>
      </w:r>
      <w:r w:rsidRPr="00BD5117">
        <w:rPr>
          <w:rFonts w:ascii="Abadi" w:hAnsi="Abadi"/>
          <w:b w:val="0"/>
          <w:bCs w:val="0"/>
          <w:spacing w:val="-14"/>
          <w:sz w:val="21"/>
          <w:szCs w:val="21"/>
        </w:rPr>
        <w:t xml:space="preserve"> </w:t>
      </w:r>
      <w:r w:rsidRPr="00BD5117">
        <w:rPr>
          <w:rFonts w:ascii="Abadi" w:hAnsi="Abadi"/>
          <w:b w:val="0"/>
          <w:bCs w:val="0"/>
          <w:sz w:val="21"/>
          <w:szCs w:val="21"/>
        </w:rPr>
        <w:t>de</w:t>
      </w:r>
      <w:r w:rsidRPr="00BD5117">
        <w:rPr>
          <w:rFonts w:ascii="Abadi" w:hAnsi="Abadi"/>
          <w:b w:val="0"/>
          <w:bCs w:val="0"/>
          <w:spacing w:val="-14"/>
          <w:sz w:val="21"/>
          <w:szCs w:val="21"/>
        </w:rPr>
        <w:t xml:space="preserve"> </w:t>
      </w:r>
      <w:r w:rsidRPr="00BD5117">
        <w:rPr>
          <w:rFonts w:ascii="Abadi" w:hAnsi="Abadi"/>
          <w:b w:val="0"/>
          <w:bCs w:val="0"/>
          <w:sz w:val="21"/>
          <w:szCs w:val="21"/>
        </w:rPr>
        <w:t>esta</w:t>
      </w:r>
      <w:r w:rsidRPr="00BD5117">
        <w:rPr>
          <w:rFonts w:ascii="Abadi" w:hAnsi="Abadi"/>
          <w:b w:val="0"/>
          <w:bCs w:val="0"/>
          <w:spacing w:val="-12"/>
          <w:sz w:val="21"/>
          <w:szCs w:val="21"/>
        </w:rPr>
        <w:t xml:space="preserve"> </w:t>
      </w:r>
      <w:r w:rsidRPr="00BD5117">
        <w:rPr>
          <w:rFonts w:ascii="Abadi" w:hAnsi="Abadi"/>
          <w:b w:val="0"/>
          <w:bCs w:val="0"/>
          <w:sz w:val="21"/>
          <w:szCs w:val="21"/>
        </w:rPr>
        <w:t>Honorable</w:t>
      </w:r>
      <w:r w:rsidRPr="00BD5117">
        <w:rPr>
          <w:rFonts w:ascii="Abadi" w:hAnsi="Abadi"/>
          <w:b w:val="0"/>
          <w:bCs w:val="0"/>
          <w:spacing w:val="-15"/>
          <w:sz w:val="21"/>
          <w:szCs w:val="21"/>
        </w:rPr>
        <w:t xml:space="preserve"> </w:t>
      </w:r>
      <w:r w:rsidRPr="00BD5117">
        <w:rPr>
          <w:rFonts w:ascii="Abadi" w:hAnsi="Abadi"/>
          <w:b w:val="0"/>
          <w:bCs w:val="0"/>
          <w:sz w:val="21"/>
          <w:szCs w:val="21"/>
        </w:rPr>
        <w:t>Asamblea,</w:t>
      </w:r>
      <w:r w:rsidRPr="00BD5117">
        <w:rPr>
          <w:rFonts w:ascii="Abadi" w:hAnsi="Abadi"/>
          <w:b w:val="0"/>
          <w:bCs w:val="0"/>
          <w:spacing w:val="-12"/>
          <w:sz w:val="21"/>
          <w:szCs w:val="21"/>
        </w:rPr>
        <w:t xml:space="preserve"> </w:t>
      </w:r>
      <w:r w:rsidRPr="00BD5117">
        <w:rPr>
          <w:rFonts w:ascii="Abadi" w:hAnsi="Abadi"/>
          <w:b w:val="0"/>
          <w:bCs w:val="0"/>
          <w:sz w:val="21"/>
          <w:szCs w:val="21"/>
        </w:rPr>
        <w:t>la</w:t>
      </w:r>
      <w:r w:rsidRPr="00BD5117">
        <w:rPr>
          <w:rFonts w:ascii="Abadi" w:hAnsi="Abadi"/>
          <w:b w:val="0"/>
          <w:bCs w:val="0"/>
          <w:spacing w:val="-14"/>
          <w:sz w:val="21"/>
          <w:szCs w:val="21"/>
        </w:rPr>
        <w:t xml:space="preserve"> </w:t>
      </w:r>
      <w:r w:rsidRPr="00BD5117">
        <w:rPr>
          <w:rFonts w:ascii="Abadi" w:hAnsi="Abadi"/>
          <w:b w:val="0"/>
          <w:bCs w:val="0"/>
          <w:sz w:val="21"/>
          <w:szCs w:val="21"/>
        </w:rPr>
        <w:t>presente</w:t>
      </w:r>
      <w:r w:rsidRPr="00BD5117">
        <w:rPr>
          <w:rFonts w:ascii="Abadi" w:hAnsi="Abadi"/>
          <w:b w:val="0"/>
          <w:bCs w:val="0"/>
          <w:spacing w:val="-14"/>
          <w:sz w:val="21"/>
          <w:szCs w:val="21"/>
        </w:rPr>
        <w:t xml:space="preserve"> </w:t>
      </w:r>
      <w:r w:rsidRPr="00BD5117">
        <w:rPr>
          <w:rFonts w:ascii="Abadi" w:hAnsi="Abadi"/>
          <w:b w:val="0"/>
          <w:bCs w:val="0"/>
          <w:sz w:val="21"/>
          <w:szCs w:val="21"/>
        </w:rPr>
        <w:t>propuesta de Punto de Acuerdo en atención a las siguientes:</w:t>
      </w:r>
    </w:p>
    <w:p w14:paraId="4F62B554" w14:textId="77777777" w:rsidR="00BD5117" w:rsidRPr="00BD5117" w:rsidRDefault="00BD5117" w:rsidP="00BD5117">
      <w:pPr>
        <w:pStyle w:val="Textoindependiente"/>
        <w:rPr>
          <w:rFonts w:ascii="Abadi" w:hAnsi="Abadi"/>
          <w:b w:val="0"/>
          <w:bCs w:val="0"/>
          <w:sz w:val="21"/>
          <w:szCs w:val="21"/>
        </w:rPr>
      </w:pPr>
    </w:p>
    <w:p w14:paraId="03E0BD9F" w14:textId="77777777" w:rsidR="007D6E16" w:rsidRPr="005359BB" w:rsidRDefault="007D6E16" w:rsidP="007D6E16">
      <w:pPr>
        <w:pStyle w:val="Ttulo1"/>
        <w:ind w:firstLine="0"/>
        <w:jc w:val="center"/>
        <w:rPr>
          <w:rFonts w:ascii="Abadi" w:hAnsi="Abadi"/>
          <w:sz w:val="21"/>
          <w:szCs w:val="21"/>
        </w:rPr>
      </w:pPr>
      <w:r w:rsidRPr="005359BB">
        <w:rPr>
          <w:rFonts w:ascii="Abadi" w:hAnsi="Abadi"/>
          <w:sz w:val="21"/>
          <w:szCs w:val="21"/>
        </w:rPr>
        <w:t>C</w:t>
      </w:r>
      <w:r w:rsidRPr="005359BB">
        <w:rPr>
          <w:rFonts w:ascii="Abadi" w:hAnsi="Abadi"/>
          <w:spacing w:val="-37"/>
          <w:sz w:val="21"/>
          <w:szCs w:val="21"/>
        </w:rPr>
        <w:t xml:space="preserve"> </w:t>
      </w:r>
      <w:r w:rsidRPr="005359BB">
        <w:rPr>
          <w:rFonts w:ascii="Abadi" w:hAnsi="Abadi"/>
          <w:sz w:val="21"/>
          <w:szCs w:val="21"/>
        </w:rPr>
        <w:t>O</w:t>
      </w:r>
      <w:r w:rsidRPr="005359BB">
        <w:rPr>
          <w:rFonts w:ascii="Abadi" w:hAnsi="Abadi"/>
          <w:spacing w:val="-36"/>
          <w:sz w:val="21"/>
          <w:szCs w:val="21"/>
        </w:rPr>
        <w:t xml:space="preserve"> </w:t>
      </w:r>
      <w:r w:rsidRPr="005359BB">
        <w:rPr>
          <w:rFonts w:ascii="Abadi" w:hAnsi="Abadi"/>
          <w:spacing w:val="15"/>
          <w:sz w:val="21"/>
          <w:szCs w:val="21"/>
        </w:rPr>
        <w:t>NSI</w:t>
      </w:r>
      <w:r w:rsidRPr="005359BB">
        <w:rPr>
          <w:rFonts w:ascii="Abadi" w:hAnsi="Abadi"/>
          <w:spacing w:val="-35"/>
          <w:sz w:val="21"/>
          <w:szCs w:val="21"/>
        </w:rPr>
        <w:t xml:space="preserve"> </w:t>
      </w:r>
      <w:r w:rsidRPr="005359BB">
        <w:rPr>
          <w:rFonts w:ascii="Abadi" w:hAnsi="Abadi"/>
          <w:spacing w:val="14"/>
          <w:sz w:val="21"/>
          <w:szCs w:val="21"/>
        </w:rPr>
        <w:t>DE</w:t>
      </w:r>
      <w:r w:rsidRPr="005359BB">
        <w:rPr>
          <w:rFonts w:ascii="Abadi" w:hAnsi="Abadi"/>
          <w:spacing w:val="-35"/>
          <w:sz w:val="21"/>
          <w:szCs w:val="21"/>
        </w:rPr>
        <w:t xml:space="preserve"> </w:t>
      </w:r>
      <w:r w:rsidRPr="005359BB">
        <w:rPr>
          <w:rFonts w:ascii="Abadi" w:hAnsi="Abadi"/>
          <w:sz w:val="21"/>
          <w:szCs w:val="21"/>
        </w:rPr>
        <w:t>R</w:t>
      </w:r>
      <w:r w:rsidRPr="005359BB">
        <w:rPr>
          <w:rFonts w:ascii="Abadi" w:hAnsi="Abadi"/>
          <w:spacing w:val="-37"/>
          <w:sz w:val="21"/>
          <w:szCs w:val="21"/>
        </w:rPr>
        <w:t xml:space="preserve"> </w:t>
      </w:r>
      <w:r w:rsidRPr="005359BB">
        <w:rPr>
          <w:rFonts w:ascii="Abadi" w:hAnsi="Abadi"/>
          <w:spacing w:val="14"/>
          <w:sz w:val="21"/>
          <w:szCs w:val="21"/>
        </w:rPr>
        <w:t>AC</w:t>
      </w:r>
      <w:r w:rsidRPr="005359BB">
        <w:rPr>
          <w:rFonts w:ascii="Abadi" w:hAnsi="Abadi"/>
          <w:spacing w:val="-36"/>
          <w:sz w:val="21"/>
          <w:szCs w:val="21"/>
        </w:rPr>
        <w:t xml:space="preserve"> </w:t>
      </w:r>
      <w:r w:rsidRPr="005359BB">
        <w:rPr>
          <w:rFonts w:ascii="Abadi" w:hAnsi="Abadi"/>
          <w:spacing w:val="14"/>
          <w:sz w:val="21"/>
          <w:szCs w:val="21"/>
        </w:rPr>
        <w:t>IO</w:t>
      </w:r>
      <w:r w:rsidRPr="005359BB">
        <w:rPr>
          <w:rFonts w:ascii="Abadi" w:hAnsi="Abadi"/>
          <w:spacing w:val="-36"/>
          <w:sz w:val="21"/>
          <w:szCs w:val="21"/>
        </w:rPr>
        <w:t xml:space="preserve"> </w:t>
      </w:r>
      <w:r w:rsidRPr="005359BB">
        <w:rPr>
          <w:rFonts w:ascii="Abadi" w:hAnsi="Abadi"/>
          <w:spacing w:val="9"/>
          <w:sz w:val="21"/>
          <w:szCs w:val="21"/>
        </w:rPr>
        <w:t>NES</w:t>
      </w:r>
    </w:p>
    <w:p w14:paraId="2C1D8E03" w14:textId="77777777" w:rsidR="008D363B" w:rsidRPr="005359BB" w:rsidRDefault="008D363B" w:rsidP="008D363B">
      <w:pPr>
        <w:pStyle w:val="Textoindependiente"/>
        <w:spacing w:before="1"/>
        <w:rPr>
          <w:rFonts w:ascii="Abadi" w:hAnsi="Abadi"/>
          <w:b w:val="0"/>
          <w:sz w:val="21"/>
          <w:szCs w:val="21"/>
        </w:rPr>
      </w:pPr>
    </w:p>
    <w:p w14:paraId="2C351E53" w14:textId="77777777" w:rsidR="00483135" w:rsidRPr="007D7EFC" w:rsidRDefault="008D363B" w:rsidP="007D7EFC">
      <w:pPr>
        <w:pStyle w:val="Textoindependiente"/>
        <w:spacing w:before="14"/>
        <w:ind w:right="142"/>
        <w:rPr>
          <w:rFonts w:ascii="Abadi" w:hAnsi="Abadi"/>
          <w:b w:val="0"/>
          <w:bCs w:val="0"/>
          <w:sz w:val="21"/>
          <w:szCs w:val="21"/>
        </w:rPr>
      </w:pPr>
      <w:r w:rsidRPr="00D611E2">
        <w:rPr>
          <w:rFonts w:ascii="Abadi" w:hAnsi="Abadi"/>
          <w:b w:val="0"/>
          <w:bCs w:val="0"/>
          <w:sz w:val="21"/>
          <w:szCs w:val="21"/>
        </w:rPr>
        <w:t>La</w:t>
      </w:r>
      <w:r w:rsidRPr="00D611E2">
        <w:rPr>
          <w:rFonts w:ascii="Abadi" w:hAnsi="Abadi"/>
          <w:b w:val="0"/>
          <w:bCs w:val="0"/>
          <w:spacing w:val="-5"/>
          <w:sz w:val="21"/>
          <w:szCs w:val="21"/>
        </w:rPr>
        <w:t xml:space="preserve"> </w:t>
      </w:r>
      <w:r w:rsidRPr="00D611E2">
        <w:rPr>
          <w:rFonts w:ascii="Abadi" w:hAnsi="Abadi"/>
          <w:b w:val="0"/>
          <w:bCs w:val="0"/>
          <w:sz w:val="21"/>
          <w:szCs w:val="21"/>
        </w:rPr>
        <w:t>violencia</w:t>
      </w:r>
      <w:r w:rsidRPr="00D611E2">
        <w:rPr>
          <w:rFonts w:ascii="Abadi" w:hAnsi="Abadi"/>
          <w:b w:val="0"/>
          <w:bCs w:val="0"/>
          <w:spacing w:val="-5"/>
          <w:sz w:val="21"/>
          <w:szCs w:val="21"/>
        </w:rPr>
        <w:t xml:space="preserve"> </w:t>
      </w:r>
      <w:r w:rsidRPr="00D611E2">
        <w:rPr>
          <w:rFonts w:ascii="Abadi" w:hAnsi="Abadi"/>
          <w:b w:val="0"/>
          <w:bCs w:val="0"/>
          <w:sz w:val="21"/>
          <w:szCs w:val="21"/>
        </w:rPr>
        <w:t>sexual,</w:t>
      </w:r>
      <w:r w:rsidRPr="00D611E2">
        <w:rPr>
          <w:rFonts w:ascii="Abadi" w:hAnsi="Abadi"/>
          <w:b w:val="0"/>
          <w:bCs w:val="0"/>
          <w:spacing w:val="-5"/>
          <w:sz w:val="21"/>
          <w:szCs w:val="21"/>
        </w:rPr>
        <w:t xml:space="preserve"> </w:t>
      </w:r>
      <w:r w:rsidRPr="00D611E2">
        <w:rPr>
          <w:rFonts w:ascii="Abadi" w:hAnsi="Abadi"/>
          <w:b w:val="0"/>
          <w:bCs w:val="0"/>
          <w:sz w:val="21"/>
          <w:szCs w:val="21"/>
        </w:rPr>
        <w:t>incluido</w:t>
      </w:r>
      <w:r w:rsidRPr="00D611E2">
        <w:rPr>
          <w:rFonts w:ascii="Abadi" w:hAnsi="Abadi"/>
          <w:b w:val="0"/>
          <w:bCs w:val="0"/>
          <w:spacing w:val="-5"/>
          <w:sz w:val="21"/>
          <w:szCs w:val="21"/>
        </w:rPr>
        <w:t xml:space="preserve"> </w:t>
      </w:r>
      <w:r w:rsidRPr="00D611E2">
        <w:rPr>
          <w:rFonts w:ascii="Abadi" w:hAnsi="Abadi"/>
          <w:b w:val="0"/>
          <w:bCs w:val="0"/>
          <w:sz w:val="21"/>
          <w:szCs w:val="21"/>
        </w:rPr>
        <w:t>el</w:t>
      </w:r>
      <w:r w:rsidRPr="00D611E2">
        <w:rPr>
          <w:rFonts w:ascii="Abadi" w:hAnsi="Abadi"/>
          <w:b w:val="0"/>
          <w:bCs w:val="0"/>
          <w:spacing w:val="-6"/>
          <w:sz w:val="21"/>
          <w:szCs w:val="21"/>
        </w:rPr>
        <w:t xml:space="preserve"> </w:t>
      </w:r>
      <w:r w:rsidRPr="00D611E2">
        <w:rPr>
          <w:rFonts w:ascii="Abadi" w:hAnsi="Abadi"/>
          <w:b w:val="0"/>
          <w:bCs w:val="0"/>
          <w:sz w:val="21"/>
          <w:szCs w:val="21"/>
        </w:rPr>
        <w:t>acoso</w:t>
      </w:r>
      <w:r w:rsidRPr="00D611E2">
        <w:rPr>
          <w:rFonts w:ascii="Abadi" w:hAnsi="Abadi"/>
          <w:b w:val="0"/>
          <w:bCs w:val="0"/>
          <w:spacing w:val="-5"/>
          <w:sz w:val="21"/>
          <w:szCs w:val="21"/>
        </w:rPr>
        <w:t xml:space="preserve"> </w:t>
      </w:r>
      <w:r w:rsidRPr="00D611E2">
        <w:rPr>
          <w:rFonts w:ascii="Abadi" w:hAnsi="Abadi"/>
          <w:b w:val="0"/>
          <w:bCs w:val="0"/>
          <w:sz w:val="21"/>
          <w:szCs w:val="21"/>
        </w:rPr>
        <w:t>sexual,</w:t>
      </w:r>
      <w:r w:rsidRPr="00D611E2">
        <w:rPr>
          <w:rFonts w:ascii="Abadi" w:hAnsi="Abadi"/>
          <w:b w:val="0"/>
          <w:bCs w:val="0"/>
          <w:spacing w:val="-8"/>
          <w:sz w:val="21"/>
          <w:szCs w:val="21"/>
        </w:rPr>
        <w:t xml:space="preserve"> </w:t>
      </w:r>
      <w:r w:rsidRPr="00D611E2">
        <w:rPr>
          <w:rFonts w:ascii="Abadi" w:hAnsi="Abadi"/>
          <w:b w:val="0"/>
          <w:bCs w:val="0"/>
          <w:sz w:val="21"/>
          <w:szCs w:val="21"/>
        </w:rPr>
        <w:t>ocurre</w:t>
      </w:r>
      <w:r w:rsidRPr="00D611E2">
        <w:rPr>
          <w:rFonts w:ascii="Abadi" w:hAnsi="Abadi"/>
          <w:b w:val="0"/>
          <w:bCs w:val="0"/>
          <w:spacing w:val="-5"/>
          <w:sz w:val="21"/>
          <w:szCs w:val="21"/>
        </w:rPr>
        <w:t xml:space="preserve"> </w:t>
      </w:r>
      <w:r w:rsidRPr="00D611E2">
        <w:rPr>
          <w:rFonts w:ascii="Abadi" w:hAnsi="Abadi"/>
          <w:b w:val="0"/>
          <w:bCs w:val="0"/>
          <w:sz w:val="21"/>
          <w:szCs w:val="21"/>
        </w:rPr>
        <w:t>con</w:t>
      </w:r>
      <w:r w:rsidRPr="00D611E2">
        <w:rPr>
          <w:rFonts w:ascii="Abadi" w:hAnsi="Abadi"/>
          <w:b w:val="0"/>
          <w:bCs w:val="0"/>
          <w:spacing w:val="-5"/>
          <w:sz w:val="21"/>
          <w:szCs w:val="21"/>
        </w:rPr>
        <w:t xml:space="preserve"> </w:t>
      </w:r>
      <w:r w:rsidRPr="00D611E2">
        <w:rPr>
          <w:rFonts w:ascii="Abadi" w:hAnsi="Abadi"/>
          <w:b w:val="0"/>
          <w:bCs w:val="0"/>
          <w:sz w:val="21"/>
          <w:szCs w:val="21"/>
        </w:rPr>
        <w:t>frecuencia</w:t>
      </w:r>
      <w:r w:rsidRPr="00D611E2">
        <w:rPr>
          <w:rFonts w:ascii="Abadi" w:hAnsi="Abadi"/>
          <w:b w:val="0"/>
          <w:bCs w:val="0"/>
          <w:spacing w:val="-7"/>
          <w:sz w:val="21"/>
          <w:szCs w:val="21"/>
        </w:rPr>
        <w:t xml:space="preserve"> </w:t>
      </w:r>
      <w:r w:rsidRPr="00D611E2">
        <w:rPr>
          <w:rFonts w:ascii="Abadi" w:hAnsi="Abadi"/>
          <w:b w:val="0"/>
          <w:bCs w:val="0"/>
          <w:sz w:val="21"/>
          <w:szCs w:val="21"/>
        </w:rPr>
        <w:t>en</w:t>
      </w:r>
      <w:r w:rsidRPr="00D611E2">
        <w:rPr>
          <w:rFonts w:ascii="Abadi" w:hAnsi="Abadi"/>
          <w:b w:val="0"/>
          <w:bCs w:val="0"/>
          <w:spacing w:val="-5"/>
          <w:sz w:val="21"/>
          <w:szCs w:val="21"/>
        </w:rPr>
        <w:t xml:space="preserve"> </w:t>
      </w:r>
      <w:r w:rsidRPr="00D611E2">
        <w:rPr>
          <w:rFonts w:ascii="Abadi" w:hAnsi="Abadi"/>
          <w:b w:val="0"/>
          <w:bCs w:val="0"/>
          <w:sz w:val="21"/>
          <w:szCs w:val="21"/>
        </w:rPr>
        <w:t>instituciones supuestamente “seguras”, como las escuelas, donde algunos de los agresores incluyen</w:t>
      </w:r>
      <w:r w:rsidRPr="00D611E2">
        <w:rPr>
          <w:rFonts w:ascii="Abadi" w:hAnsi="Abadi"/>
          <w:b w:val="0"/>
          <w:bCs w:val="0"/>
          <w:spacing w:val="22"/>
          <w:sz w:val="21"/>
          <w:szCs w:val="21"/>
        </w:rPr>
        <w:t xml:space="preserve"> </w:t>
      </w:r>
      <w:r w:rsidRPr="00D611E2">
        <w:rPr>
          <w:rFonts w:ascii="Abadi" w:hAnsi="Abadi"/>
          <w:b w:val="0"/>
          <w:bCs w:val="0"/>
          <w:sz w:val="21"/>
          <w:szCs w:val="21"/>
        </w:rPr>
        <w:t>compañeros</w:t>
      </w:r>
      <w:r w:rsidRPr="00D611E2">
        <w:rPr>
          <w:rFonts w:ascii="Abadi" w:hAnsi="Abadi"/>
          <w:b w:val="0"/>
          <w:bCs w:val="0"/>
          <w:spacing w:val="22"/>
          <w:sz w:val="21"/>
          <w:szCs w:val="21"/>
        </w:rPr>
        <w:t xml:space="preserve"> </w:t>
      </w:r>
      <w:r w:rsidRPr="00D611E2">
        <w:rPr>
          <w:rFonts w:ascii="Abadi" w:hAnsi="Abadi"/>
          <w:b w:val="0"/>
          <w:bCs w:val="0"/>
          <w:sz w:val="21"/>
          <w:szCs w:val="21"/>
        </w:rPr>
        <w:t>o</w:t>
      </w:r>
      <w:r w:rsidRPr="00D611E2">
        <w:rPr>
          <w:rFonts w:ascii="Abadi" w:hAnsi="Abadi"/>
          <w:b w:val="0"/>
          <w:bCs w:val="0"/>
          <w:spacing w:val="25"/>
          <w:sz w:val="21"/>
          <w:szCs w:val="21"/>
        </w:rPr>
        <w:t xml:space="preserve"> </w:t>
      </w:r>
      <w:r w:rsidRPr="00D611E2">
        <w:rPr>
          <w:rFonts w:ascii="Abadi" w:hAnsi="Abadi"/>
          <w:b w:val="0"/>
          <w:bCs w:val="0"/>
          <w:sz w:val="21"/>
          <w:szCs w:val="21"/>
        </w:rPr>
        <w:t>profesores.</w:t>
      </w:r>
      <w:r w:rsidRPr="00D611E2">
        <w:rPr>
          <w:rFonts w:ascii="Abadi" w:hAnsi="Abadi"/>
          <w:b w:val="0"/>
          <w:bCs w:val="0"/>
          <w:spacing w:val="22"/>
          <w:sz w:val="21"/>
          <w:szCs w:val="21"/>
        </w:rPr>
        <w:t xml:space="preserve"> </w:t>
      </w:r>
      <w:r w:rsidRPr="00D611E2">
        <w:rPr>
          <w:rFonts w:ascii="Abadi" w:hAnsi="Abadi"/>
          <w:b w:val="0"/>
          <w:bCs w:val="0"/>
          <w:sz w:val="21"/>
          <w:szCs w:val="21"/>
        </w:rPr>
        <w:t>De</w:t>
      </w:r>
      <w:r w:rsidRPr="00D611E2">
        <w:rPr>
          <w:rFonts w:ascii="Abadi" w:hAnsi="Abadi"/>
          <w:b w:val="0"/>
          <w:bCs w:val="0"/>
          <w:spacing w:val="22"/>
          <w:sz w:val="21"/>
          <w:szCs w:val="21"/>
        </w:rPr>
        <w:t xml:space="preserve"> </w:t>
      </w:r>
      <w:r w:rsidRPr="00D611E2">
        <w:rPr>
          <w:rFonts w:ascii="Abadi" w:hAnsi="Abadi"/>
          <w:b w:val="0"/>
          <w:bCs w:val="0"/>
          <w:sz w:val="21"/>
          <w:szCs w:val="21"/>
        </w:rPr>
        <w:t>acuerdo</w:t>
      </w:r>
      <w:r w:rsidRPr="00D611E2">
        <w:rPr>
          <w:rFonts w:ascii="Abadi" w:hAnsi="Abadi"/>
          <w:b w:val="0"/>
          <w:bCs w:val="0"/>
          <w:spacing w:val="25"/>
          <w:sz w:val="21"/>
          <w:szCs w:val="21"/>
        </w:rPr>
        <w:t xml:space="preserve"> </w:t>
      </w:r>
      <w:r w:rsidRPr="00D611E2">
        <w:rPr>
          <w:rFonts w:ascii="Abadi" w:hAnsi="Abadi"/>
          <w:b w:val="0"/>
          <w:bCs w:val="0"/>
          <w:sz w:val="21"/>
          <w:szCs w:val="21"/>
        </w:rPr>
        <w:t>con</w:t>
      </w:r>
      <w:r w:rsidRPr="00D611E2">
        <w:rPr>
          <w:rFonts w:ascii="Abadi" w:hAnsi="Abadi"/>
          <w:b w:val="0"/>
          <w:bCs w:val="0"/>
          <w:spacing w:val="25"/>
          <w:sz w:val="21"/>
          <w:szCs w:val="21"/>
        </w:rPr>
        <w:t xml:space="preserve"> </w:t>
      </w:r>
      <w:r w:rsidRPr="00D611E2">
        <w:rPr>
          <w:rFonts w:ascii="Abadi" w:hAnsi="Abadi"/>
          <w:b w:val="0"/>
          <w:bCs w:val="0"/>
          <w:sz w:val="21"/>
          <w:szCs w:val="21"/>
        </w:rPr>
        <w:t>datos</w:t>
      </w:r>
      <w:r w:rsidRPr="00D611E2">
        <w:rPr>
          <w:rFonts w:ascii="Abadi" w:hAnsi="Abadi"/>
          <w:b w:val="0"/>
          <w:bCs w:val="0"/>
          <w:spacing w:val="21"/>
          <w:sz w:val="21"/>
          <w:szCs w:val="21"/>
        </w:rPr>
        <w:t xml:space="preserve"> </w:t>
      </w:r>
      <w:r w:rsidRPr="00D611E2">
        <w:rPr>
          <w:rFonts w:ascii="Abadi" w:hAnsi="Abadi"/>
          <w:b w:val="0"/>
          <w:bCs w:val="0"/>
          <w:sz w:val="21"/>
          <w:szCs w:val="21"/>
        </w:rPr>
        <w:t>del</w:t>
      </w:r>
      <w:r w:rsidRPr="00D611E2">
        <w:rPr>
          <w:rFonts w:ascii="Abadi" w:hAnsi="Abadi"/>
          <w:b w:val="0"/>
          <w:bCs w:val="0"/>
          <w:spacing w:val="21"/>
          <w:sz w:val="21"/>
          <w:szCs w:val="21"/>
        </w:rPr>
        <w:t xml:space="preserve"> </w:t>
      </w:r>
      <w:r w:rsidRPr="00D611E2">
        <w:rPr>
          <w:rFonts w:ascii="Abadi" w:hAnsi="Abadi"/>
          <w:b w:val="0"/>
          <w:bCs w:val="0"/>
          <w:sz w:val="21"/>
          <w:szCs w:val="21"/>
        </w:rPr>
        <w:t>INEGI,</w:t>
      </w:r>
      <w:r w:rsidRPr="00D611E2">
        <w:rPr>
          <w:rFonts w:ascii="Abadi" w:hAnsi="Abadi"/>
          <w:b w:val="0"/>
          <w:bCs w:val="0"/>
          <w:spacing w:val="25"/>
          <w:sz w:val="21"/>
          <w:szCs w:val="21"/>
        </w:rPr>
        <w:t xml:space="preserve"> </w:t>
      </w:r>
      <w:r w:rsidRPr="00D611E2">
        <w:rPr>
          <w:rFonts w:ascii="Abadi" w:hAnsi="Abadi"/>
          <w:b w:val="0"/>
          <w:bCs w:val="0"/>
          <w:sz w:val="21"/>
          <w:szCs w:val="21"/>
        </w:rPr>
        <w:t>en</w:t>
      </w:r>
      <w:r w:rsidRPr="00D611E2">
        <w:rPr>
          <w:rFonts w:ascii="Abadi" w:hAnsi="Abadi"/>
          <w:b w:val="0"/>
          <w:bCs w:val="0"/>
          <w:spacing w:val="25"/>
          <w:sz w:val="21"/>
          <w:szCs w:val="21"/>
        </w:rPr>
        <w:t xml:space="preserve"> </w:t>
      </w:r>
      <w:r w:rsidRPr="00D611E2">
        <w:rPr>
          <w:rFonts w:ascii="Abadi" w:hAnsi="Abadi"/>
          <w:b w:val="0"/>
          <w:bCs w:val="0"/>
          <w:spacing w:val="-2"/>
          <w:sz w:val="21"/>
          <w:szCs w:val="21"/>
        </w:rPr>
        <w:t xml:space="preserve">México, </w:t>
      </w:r>
      <w:r w:rsidRPr="00D611E2">
        <w:rPr>
          <w:rFonts w:ascii="Abadi" w:hAnsi="Abadi"/>
          <w:b w:val="0"/>
          <w:bCs w:val="0"/>
          <w:sz w:val="21"/>
          <w:szCs w:val="21"/>
        </w:rPr>
        <w:t>70.1</w:t>
      </w:r>
      <w:r w:rsidRPr="00D611E2">
        <w:rPr>
          <w:rFonts w:ascii="Abadi" w:hAnsi="Abadi"/>
          <w:b w:val="0"/>
          <w:bCs w:val="0"/>
          <w:spacing w:val="-13"/>
          <w:sz w:val="21"/>
          <w:szCs w:val="21"/>
        </w:rPr>
        <w:t xml:space="preserve"> </w:t>
      </w:r>
      <w:r w:rsidRPr="00D611E2">
        <w:rPr>
          <w:rFonts w:ascii="Abadi" w:hAnsi="Abadi"/>
          <w:b w:val="0"/>
          <w:bCs w:val="0"/>
          <w:sz w:val="21"/>
          <w:szCs w:val="21"/>
        </w:rPr>
        <w:t>%</w:t>
      </w:r>
      <w:r w:rsidRPr="00D611E2">
        <w:rPr>
          <w:rFonts w:ascii="Abadi" w:hAnsi="Abadi"/>
          <w:b w:val="0"/>
          <w:bCs w:val="0"/>
          <w:spacing w:val="-11"/>
          <w:sz w:val="21"/>
          <w:szCs w:val="21"/>
        </w:rPr>
        <w:t xml:space="preserve"> </w:t>
      </w:r>
      <w:r w:rsidRPr="00D611E2">
        <w:rPr>
          <w:rFonts w:ascii="Abadi" w:hAnsi="Abadi"/>
          <w:b w:val="0"/>
          <w:bCs w:val="0"/>
          <w:sz w:val="21"/>
          <w:szCs w:val="21"/>
        </w:rPr>
        <w:t>de</w:t>
      </w:r>
      <w:r w:rsidRPr="00D611E2">
        <w:rPr>
          <w:rFonts w:ascii="Abadi" w:hAnsi="Abadi"/>
          <w:b w:val="0"/>
          <w:bCs w:val="0"/>
          <w:spacing w:val="-13"/>
          <w:sz w:val="21"/>
          <w:szCs w:val="21"/>
        </w:rPr>
        <w:t xml:space="preserve"> </w:t>
      </w:r>
      <w:r w:rsidRPr="00D611E2">
        <w:rPr>
          <w:rFonts w:ascii="Abadi" w:hAnsi="Abadi"/>
          <w:b w:val="0"/>
          <w:bCs w:val="0"/>
          <w:sz w:val="21"/>
          <w:szCs w:val="21"/>
        </w:rPr>
        <w:t>las</w:t>
      </w:r>
      <w:r w:rsidRPr="00D611E2">
        <w:rPr>
          <w:rFonts w:ascii="Abadi" w:hAnsi="Abadi"/>
          <w:b w:val="0"/>
          <w:bCs w:val="0"/>
          <w:spacing w:val="-13"/>
          <w:sz w:val="21"/>
          <w:szCs w:val="21"/>
        </w:rPr>
        <w:t xml:space="preserve"> </w:t>
      </w:r>
      <w:r w:rsidRPr="00D611E2">
        <w:rPr>
          <w:rFonts w:ascii="Abadi" w:hAnsi="Abadi"/>
          <w:b w:val="0"/>
          <w:bCs w:val="0"/>
          <w:sz w:val="21"/>
          <w:szCs w:val="21"/>
        </w:rPr>
        <w:t>mujeres</w:t>
      </w:r>
      <w:r w:rsidRPr="00D611E2">
        <w:rPr>
          <w:rFonts w:ascii="Abadi" w:hAnsi="Abadi"/>
          <w:b w:val="0"/>
          <w:bCs w:val="0"/>
          <w:spacing w:val="-14"/>
          <w:sz w:val="21"/>
          <w:szCs w:val="21"/>
        </w:rPr>
        <w:t xml:space="preserve"> </w:t>
      </w:r>
      <w:r w:rsidRPr="00D611E2">
        <w:rPr>
          <w:rFonts w:ascii="Abadi" w:hAnsi="Abadi"/>
          <w:b w:val="0"/>
          <w:bCs w:val="0"/>
          <w:sz w:val="21"/>
          <w:szCs w:val="21"/>
        </w:rPr>
        <w:t>de</w:t>
      </w:r>
      <w:r w:rsidRPr="00D611E2">
        <w:rPr>
          <w:rFonts w:ascii="Abadi" w:hAnsi="Abadi"/>
          <w:b w:val="0"/>
          <w:bCs w:val="0"/>
          <w:spacing w:val="-11"/>
          <w:sz w:val="21"/>
          <w:szCs w:val="21"/>
        </w:rPr>
        <w:t xml:space="preserve"> </w:t>
      </w:r>
      <w:r w:rsidRPr="00D611E2">
        <w:rPr>
          <w:rFonts w:ascii="Abadi" w:hAnsi="Abadi"/>
          <w:b w:val="0"/>
          <w:bCs w:val="0"/>
          <w:sz w:val="21"/>
          <w:szCs w:val="21"/>
        </w:rPr>
        <w:t>15</w:t>
      </w:r>
      <w:r w:rsidRPr="00D611E2">
        <w:rPr>
          <w:rFonts w:ascii="Abadi" w:hAnsi="Abadi"/>
          <w:b w:val="0"/>
          <w:bCs w:val="0"/>
          <w:spacing w:val="-11"/>
          <w:sz w:val="21"/>
          <w:szCs w:val="21"/>
        </w:rPr>
        <w:t xml:space="preserve"> </w:t>
      </w:r>
      <w:r w:rsidRPr="00D611E2">
        <w:rPr>
          <w:rFonts w:ascii="Abadi" w:hAnsi="Abadi"/>
          <w:b w:val="0"/>
          <w:bCs w:val="0"/>
          <w:sz w:val="21"/>
          <w:szCs w:val="21"/>
        </w:rPr>
        <w:t>años</w:t>
      </w:r>
      <w:r w:rsidRPr="00D611E2">
        <w:rPr>
          <w:rFonts w:ascii="Abadi" w:hAnsi="Abadi"/>
          <w:b w:val="0"/>
          <w:bCs w:val="0"/>
          <w:spacing w:val="-12"/>
          <w:sz w:val="21"/>
          <w:szCs w:val="21"/>
        </w:rPr>
        <w:t xml:space="preserve"> </w:t>
      </w:r>
      <w:r w:rsidRPr="00D611E2">
        <w:rPr>
          <w:rFonts w:ascii="Abadi" w:hAnsi="Abadi"/>
          <w:b w:val="0"/>
          <w:bCs w:val="0"/>
          <w:sz w:val="21"/>
          <w:szCs w:val="21"/>
        </w:rPr>
        <w:t>y</w:t>
      </w:r>
      <w:r w:rsidRPr="00D611E2">
        <w:rPr>
          <w:rFonts w:ascii="Abadi" w:hAnsi="Abadi"/>
          <w:b w:val="0"/>
          <w:bCs w:val="0"/>
          <w:spacing w:val="-14"/>
          <w:sz w:val="21"/>
          <w:szCs w:val="21"/>
        </w:rPr>
        <w:t xml:space="preserve"> </w:t>
      </w:r>
      <w:r w:rsidRPr="00D611E2">
        <w:rPr>
          <w:rFonts w:ascii="Abadi" w:hAnsi="Abadi"/>
          <w:b w:val="0"/>
          <w:bCs w:val="0"/>
          <w:sz w:val="21"/>
          <w:szCs w:val="21"/>
        </w:rPr>
        <w:t>más</w:t>
      </w:r>
      <w:r w:rsidRPr="00D611E2">
        <w:rPr>
          <w:rFonts w:ascii="Abadi" w:hAnsi="Abadi"/>
          <w:b w:val="0"/>
          <w:bCs w:val="0"/>
          <w:spacing w:val="-14"/>
          <w:sz w:val="21"/>
          <w:szCs w:val="21"/>
        </w:rPr>
        <w:t xml:space="preserve"> </w:t>
      </w:r>
      <w:r w:rsidRPr="00D611E2">
        <w:rPr>
          <w:rFonts w:ascii="Abadi" w:hAnsi="Abadi"/>
          <w:b w:val="0"/>
          <w:bCs w:val="0"/>
          <w:sz w:val="21"/>
          <w:szCs w:val="21"/>
        </w:rPr>
        <w:t>ha</w:t>
      </w:r>
      <w:r w:rsidRPr="00D611E2">
        <w:rPr>
          <w:rFonts w:ascii="Abadi" w:hAnsi="Abadi"/>
          <w:b w:val="0"/>
          <w:bCs w:val="0"/>
          <w:spacing w:val="-13"/>
          <w:sz w:val="21"/>
          <w:szCs w:val="21"/>
        </w:rPr>
        <w:t xml:space="preserve"> </w:t>
      </w:r>
      <w:r w:rsidRPr="00D611E2">
        <w:rPr>
          <w:rFonts w:ascii="Abadi" w:hAnsi="Abadi"/>
          <w:b w:val="0"/>
          <w:bCs w:val="0"/>
          <w:sz w:val="21"/>
          <w:szCs w:val="21"/>
        </w:rPr>
        <w:t>experimentado,</w:t>
      </w:r>
      <w:r w:rsidRPr="00D611E2">
        <w:rPr>
          <w:rFonts w:ascii="Abadi" w:hAnsi="Abadi"/>
          <w:b w:val="0"/>
          <w:bCs w:val="0"/>
          <w:spacing w:val="-13"/>
          <w:sz w:val="21"/>
          <w:szCs w:val="21"/>
        </w:rPr>
        <w:t xml:space="preserve"> </w:t>
      </w:r>
      <w:r w:rsidRPr="00D611E2">
        <w:rPr>
          <w:rFonts w:ascii="Abadi" w:hAnsi="Abadi"/>
          <w:b w:val="0"/>
          <w:bCs w:val="0"/>
          <w:sz w:val="21"/>
          <w:szCs w:val="21"/>
        </w:rPr>
        <w:t>al</w:t>
      </w:r>
      <w:r w:rsidRPr="00D611E2">
        <w:rPr>
          <w:rFonts w:ascii="Abadi" w:hAnsi="Abadi"/>
          <w:b w:val="0"/>
          <w:bCs w:val="0"/>
          <w:spacing w:val="-12"/>
          <w:sz w:val="21"/>
          <w:szCs w:val="21"/>
        </w:rPr>
        <w:t xml:space="preserve"> </w:t>
      </w:r>
      <w:r w:rsidRPr="00D611E2">
        <w:rPr>
          <w:rFonts w:ascii="Abadi" w:hAnsi="Abadi"/>
          <w:b w:val="0"/>
          <w:bCs w:val="0"/>
          <w:sz w:val="21"/>
          <w:szCs w:val="21"/>
        </w:rPr>
        <w:t>menos,</w:t>
      </w:r>
      <w:r w:rsidRPr="00D611E2">
        <w:rPr>
          <w:rFonts w:ascii="Abadi" w:hAnsi="Abadi"/>
          <w:b w:val="0"/>
          <w:bCs w:val="0"/>
          <w:spacing w:val="-11"/>
          <w:sz w:val="21"/>
          <w:szCs w:val="21"/>
        </w:rPr>
        <w:t xml:space="preserve"> </w:t>
      </w:r>
      <w:r w:rsidRPr="00D611E2">
        <w:rPr>
          <w:rFonts w:ascii="Abadi" w:hAnsi="Abadi"/>
          <w:b w:val="0"/>
          <w:bCs w:val="0"/>
          <w:sz w:val="21"/>
          <w:szCs w:val="21"/>
        </w:rPr>
        <w:t>una</w:t>
      </w:r>
      <w:r w:rsidRPr="00D611E2">
        <w:rPr>
          <w:rFonts w:ascii="Abadi" w:hAnsi="Abadi"/>
          <w:b w:val="0"/>
          <w:bCs w:val="0"/>
          <w:spacing w:val="-13"/>
          <w:sz w:val="21"/>
          <w:szCs w:val="21"/>
        </w:rPr>
        <w:t xml:space="preserve"> </w:t>
      </w:r>
      <w:r w:rsidRPr="00D611E2">
        <w:rPr>
          <w:rFonts w:ascii="Abadi" w:hAnsi="Abadi"/>
          <w:b w:val="0"/>
          <w:bCs w:val="0"/>
          <w:sz w:val="21"/>
          <w:szCs w:val="21"/>
        </w:rPr>
        <w:t>situación de violencia a lo largo de la vida, siendo la violencia sexual de las de mayor prevalencia con el 49.7%</w:t>
      </w:r>
      <w:r w:rsidR="00A90EF6">
        <w:rPr>
          <w:rStyle w:val="Refdenotaalpie"/>
          <w:rFonts w:ascii="Abadi" w:hAnsi="Abadi"/>
          <w:b w:val="0"/>
          <w:bCs w:val="0"/>
          <w:sz w:val="21"/>
          <w:szCs w:val="21"/>
        </w:rPr>
        <w:footnoteReference w:id="78"/>
      </w:r>
      <w:r w:rsidRPr="00D611E2">
        <w:rPr>
          <w:rFonts w:ascii="Abadi" w:hAnsi="Abadi"/>
          <w:b w:val="0"/>
          <w:bCs w:val="0"/>
          <w:sz w:val="21"/>
          <w:szCs w:val="21"/>
        </w:rPr>
        <w:t xml:space="preserve">. Mientras que en el ámbito escolar </w:t>
      </w:r>
      <w:r w:rsidRPr="00D611E2">
        <w:rPr>
          <w:b w:val="0"/>
          <w:bCs w:val="0"/>
          <w:sz w:val="21"/>
          <w:szCs w:val="21"/>
        </w:rPr>
        <w:t>─</w:t>
      </w:r>
      <w:r w:rsidRPr="00D611E2">
        <w:rPr>
          <w:rFonts w:ascii="Abadi" w:hAnsi="Abadi"/>
          <w:b w:val="0"/>
          <w:bCs w:val="0"/>
          <w:sz w:val="21"/>
          <w:szCs w:val="21"/>
        </w:rPr>
        <w:t>este espacio en donde se deber</w:t>
      </w:r>
      <w:r w:rsidRPr="00D611E2">
        <w:rPr>
          <w:rFonts w:ascii="Abadi" w:hAnsi="Abadi" w:cs="Abadi"/>
          <w:b w:val="0"/>
          <w:bCs w:val="0"/>
          <w:sz w:val="21"/>
          <w:szCs w:val="21"/>
        </w:rPr>
        <w:t>í</w:t>
      </w:r>
      <w:r w:rsidRPr="00D611E2">
        <w:rPr>
          <w:rFonts w:ascii="Abadi" w:hAnsi="Abadi"/>
          <w:b w:val="0"/>
          <w:bCs w:val="0"/>
          <w:sz w:val="21"/>
          <w:szCs w:val="21"/>
        </w:rPr>
        <w:t>a garantizar los derechos universales como la educación, el derecho</w:t>
      </w:r>
      <w:r w:rsidRPr="00D611E2">
        <w:rPr>
          <w:rFonts w:ascii="Abadi" w:hAnsi="Abadi"/>
          <w:b w:val="0"/>
          <w:bCs w:val="0"/>
          <w:spacing w:val="-9"/>
          <w:sz w:val="21"/>
          <w:szCs w:val="21"/>
        </w:rPr>
        <w:t xml:space="preserve"> </w:t>
      </w:r>
      <w:r w:rsidRPr="00D611E2">
        <w:rPr>
          <w:rFonts w:ascii="Abadi" w:hAnsi="Abadi"/>
          <w:b w:val="0"/>
          <w:bCs w:val="0"/>
          <w:sz w:val="21"/>
          <w:szCs w:val="21"/>
        </w:rPr>
        <w:t>a</w:t>
      </w:r>
      <w:r w:rsidRPr="00D611E2">
        <w:rPr>
          <w:rFonts w:ascii="Abadi" w:hAnsi="Abadi"/>
          <w:b w:val="0"/>
          <w:bCs w:val="0"/>
          <w:spacing w:val="-7"/>
          <w:sz w:val="21"/>
          <w:szCs w:val="21"/>
        </w:rPr>
        <w:t xml:space="preserve"> </w:t>
      </w:r>
      <w:r w:rsidRPr="00D611E2">
        <w:rPr>
          <w:rFonts w:ascii="Abadi" w:hAnsi="Abadi"/>
          <w:b w:val="0"/>
          <w:bCs w:val="0"/>
          <w:sz w:val="21"/>
          <w:szCs w:val="21"/>
        </w:rPr>
        <w:t>vivir</w:t>
      </w:r>
      <w:r w:rsidRPr="00D611E2">
        <w:rPr>
          <w:rFonts w:ascii="Abadi" w:hAnsi="Abadi"/>
          <w:b w:val="0"/>
          <w:bCs w:val="0"/>
          <w:spacing w:val="-11"/>
          <w:sz w:val="21"/>
          <w:szCs w:val="21"/>
        </w:rPr>
        <w:t xml:space="preserve"> </w:t>
      </w:r>
      <w:r w:rsidRPr="00D611E2">
        <w:rPr>
          <w:rFonts w:ascii="Abadi" w:hAnsi="Abadi"/>
          <w:b w:val="0"/>
          <w:bCs w:val="0"/>
          <w:sz w:val="21"/>
          <w:szCs w:val="21"/>
        </w:rPr>
        <w:t>en</w:t>
      </w:r>
      <w:r w:rsidRPr="00D611E2">
        <w:rPr>
          <w:rFonts w:ascii="Abadi" w:hAnsi="Abadi"/>
          <w:b w:val="0"/>
          <w:bCs w:val="0"/>
          <w:spacing w:val="-9"/>
          <w:sz w:val="21"/>
          <w:szCs w:val="21"/>
        </w:rPr>
        <w:t xml:space="preserve"> </w:t>
      </w:r>
      <w:r w:rsidRPr="00D611E2">
        <w:rPr>
          <w:rFonts w:ascii="Abadi" w:hAnsi="Abadi"/>
          <w:b w:val="0"/>
          <w:bCs w:val="0"/>
          <w:sz w:val="21"/>
          <w:szCs w:val="21"/>
        </w:rPr>
        <w:t>condiciones</w:t>
      </w:r>
      <w:r w:rsidRPr="00D611E2">
        <w:rPr>
          <w:rFonts w:ascii="Abadi" w:hAnsi="Abadi"/>
          <w:b w:val="0"/>
          <w:bCs w:val="0"/>
          <w:spacing w:val="-10"/>
          <w:sz w:val="21"/>
          <w:szCs w:val="21"/>
        </w:rPr>
        <w:t xml:space="preserve"> </w:t>
      </w:r>
      <w:r w:rsidRPr="00D611E2">
        <w:rPr>
          <w:rFonts w:ascii="Abadi" w:hAnsi="Abadi"/>
          <w:b w:val="0"/>
          <w:bCs w:val="0"/>
          <w:sz w:val="21"/>
          <w:szCs w:val="21"/>
        </w:rPr>
        <w:t>de</w:t>
      </w:r>
      <w:r w:rsidRPr="00D611E2">
        <w:rPr>
          <w:rFonts w:ascii="Abadi" w:hAnsi="Abadi"/>
          <w:b w:val="0"/>
          <w:bCs w:val="0"/>
          <w:spacing w:val="-9"/>
          <w:sz w:val="21"/>
          <w:szCs w:val="21"/>
        </w:rPr>
        <w:t xml:space="preserve"> </w:t>
      </w:r>
      <w:r w:rsidRPr="00D611E2">
        <w:rPr>
          <w:rFonts w:ascii="Abadi" w:hAnsi="Abadi"/>
          <w:b w:val="0"/>
          <w:bCs w:val="0"/>
          <w:sz w:val="21"/>
          <w:szCs w:val="21"/>
        </w:rPr>
        <w:t>bienestar</w:t>
      </w:r>
      <w:r w:rsidRPr="00D611E2">
        <w:rPr>
          <w:rFonts w:ascii="Abadi" w:hAnsi="Abadi"/>
          <w:b w:val="0"/>
          <w:bCs w:val="0"/>
          <w:spacing w:val="-11"/>
          <w:sz w:val="21"/>
          <w:szCs w:val="21"/>
        </w:rPr>
        <w:t xml:space="preserve"> </w:t>
      </w:r>
      <w:r w:rsidRPr="00D611E2">
        <w:rPr>
          <w:rFonts w:ascii="Abadi" w:hAnsi="Abadi"/>
          <w:b w:val="0"/>
          <w:bCs w:val="0"/>
          <w:sz w:val="21"/>
          <w:szCs w:val="21"/>
        </w:rPr>
        <w:t>y</w:t>
      </w:r>
      <w:r w:rsidRPr="00D611E2">
        <w:rPr>
          <w:rFonts w:ascii="Abadi" w:hAnsi="Abadi"/>
          <w:b w:val="0"/>
          <w:bCs w:val="0"/>
          <w:spacing w:val="-10"/>
          <w:sz w:val="21"/>
          <w:szCs w:val="21"/>
        </w:rPr>
        <w:t xml:space="preserve"> </w:t>
      </w:r>
      <w:r w:rsidRPr="00D611E2">
        <w:rPr>
          <w:rFonts w:ascii="Abadi" w:hAnsi="Abadi"/>
          <w:b w:val="0"/>
          <w:bCs w:val="0"/>
          <w:sz w:val="21"/>
          <w:szCs w:val="21"/>
        </w:rPr>
        <w:t>el</w:t>
      </w:r>
      <w:r w:rsidRPr="00D611E2">
        <w:rPr>
          <w:rFonts w:ascii="Abadi" w:hAnsi="Abadi"/>
          <w:b w:val="0"/>
          <w:bCs w:val="0"/>
          <w:spacing w:val="-11"/>
          <w:sz w:val="21"/>
          <w:szCs w:val="21"/>
        </w:rPr>
        <w:t xml:space="preserve"> </w:t>
      </w:r>
      <w:r w:rsidRPr="00D611E2">
        <w:rPr>
          <w:rFonts w:ascii="Abadi" w:hAnsi="Abadi"/>
          <w:b w:val="0"/>
          <w:bCs w:val="0"/>
          <w:sz w:val="21"/>
          <w:szCs w:val="21"/>
        </w:rPr>
        <w:t>derecho</w:t>
      </w:r>
      <w:r w:rsidRPr="00D611E2">
        <w:rPr>
          <w:rFonts w:ascii="Abadi" w:hAnsi="Abadi"/>
          <w:b w:val="0"/>
          <w:bCs w:val="0"/>
          <w:spacing w:val="-9"/>
          <w:sz w:val="21"/>
          <w:szCs w:val="21"/>
        </w:rPr>
        <w:t xml:space="preserve"> </w:t>
      </w:r>
      <w:r w:rsidRPr="00D611E2">
        <w:rPr>
          <w:rFonts w:ascii="Abadi" w:hAnsi="Abadi"/>
          <w:b w:val="0"/>
          <w:bCs w:val="0"/>
          <w:sz w:val="21"/>
          <w:szCs w:val="21"/>
        </w:rPr>
        <w:t>a</w:t>
      </w:r>
      <w:r w:rsidRPr="00D611E2">
        <w:rPr>
          <w:rFonts w:ascii="Abadi" w:hAnsi="Abadi"/>
          <w:b w:val="0"/>
          <w:bCs w:val="0"/>
          <w:spacing w:val="-9"/>
          <w:sz w:val="21"/>
          <w:szCs w:val="21"/>
        </w:rPr>
        <w:t xml:space="preserve"> </w:t>
      </w:r>
      <w:r w:rsidRPr="00D611E2">
        <w:rPr>
          <w:rFonts w:ascii="Abadi" w:hAnsi="Abadi"/>
          <w:b w:val="0"/>
          <w:bCs w:val="0"/>
          <w:sz w:val="21"/>
          <w:szCs w:val="21"/>
        </w:rPr>
        <w:t>un</w:t>
      </w:r>
      <w:r w:rsidRPr="00D611E2">
        <w:rPr>
          <w:rFonts w:ascii="Abadi" w:hAnsi="Abadi"/>
          <w:b w:val="0"/>
          <w:bCs w:val="0"/>
          <w:spacing w:val="-9"/>
          <w:sz w:val="21"/>
          <w:szCs w:val="21"/>
        </w:rPr>
        <w:t xml:space="preserve"> </w:t>
      </w:r>
      <w:r w:rsidRPr="00D611E2">
        <w:rPr>
          <w:rFonts w:ascii="Abadi" w:hAnsi="Abadi"/>
          <w:b w:val="0"/>
          <w:bCs w:val="0"/>
          <w:sz w:val="21"/>
          <w:szCs w:val="21"/>
        </w:rPr>
        <w:t>desarrollo</w:t>
      </w:r>
      <w:r w:rsidRPr="00D611E2">
        <w:rPr>
          <w:rFonts w:ascii="Abadi" w:hAnsi="Abadi"/>
          <w:b w:val="0"/>
          <w:bCs w:val="0"/>
          <w:spacing w:val="-7"/>
          <w:sz w:val="21"/>
          <w:szCs w:val="21"/>
        </w:rPr>
        <w:t xml:space="preserve"> </w:t>
      </w:r>
      <w:r w:rsidRPr="00D611E2">
        <w:rPr>
          <w:rFonts w:ascii="Abadi" w:hAnsi="Abadi"/>
          <w:b w:val="0"/>
          <w:bCs w:val="0"/>
          <w:sz w:val="21"/>
          <w:szCs w:val="21"/>
        </w:rPr>
        <w:t>integral</w:t>
      </w:r>
      <w:r w:rsidRPr="00D611E2">
        <w:rPr>
          <w:b w:val="0"/>
          <w:bCs w:val="0"/>
          <w:sz w:val="21"/>
          <w:szCs w:val="21"/>
        </w:rPr>
        <w:t>─</w:t>
      </w:r>
      <w:r w:rsidRPr="00D611E2">
        <w:rPr>
          <w:rFonts w:ascii="Abadi" w:hAnsi="Abadi"/>
          <w:b w:val="0"/>
          <w:bCs w:val="0"/>
          <w:spacing w:val="-10"/>
          <w:sz w:val="21"/>
          <w:szCs w:val="21"/>
        </w:rPr>
        <w:t xml:space="preserve"> </w:t>
      </w:r>
      <w:r w:rsidRPr="00D611E2">
        <w:rPr>
          <w:rFonts w:ascii="Abadi" w:hAnsi="Abadi"/>
          <w:b w:val="0"/>
          <w:bCs w:val="0"/>
          <w:sz w:val="21"/>
          <w:szCs w:val="21"/>
        </w:rPr>
        <w:t>el</w:t>
      </w:r>
      <w:r w:rsidR="00483135">
        <w:rPr>
          <w:rFonts w:ascii="Abadi" w:hAnsi="Abadi"/>
          <w:b w:val="0"/>
          <w:bCs w:val="0"/>
          <w:sz w:val="21"/>
          <w:szCs w:val="21"/>
        </w:rPr>
        <w:t xml:space="preserve"> </w:t>
      </w:r>
      <w:r w:rsidR="00483135" w:rsidRPr="007D7EFC">
        <w:rPr>
          <w:rFonts w:ascii="Abadi" w:hAnsi="Abadi"/>
          <w:b w:val="0"/>
          <w:bCs w:val="0"/>
          <w:sz w:val="21"/>
          <w:szCs w:val="21"/>
        </w:rPr>
        <w:t>32.3% de las mujeres experimentó algún tipo de violencia, principalmente de violencia sexual a lo largo de su vida como estudiante.</w:t>
      </w:r>
    </w:p>
    <w:p w14:paraId="0CD9286D" w14:textId="77777777" w:rsidR="00483135" w:rsidRPr="007D7EFC" w:rsidRDefault="00483135" w:rsidP="007D7EFC">
      <w:pPr>
        <w:pStyle w:val="Textoindependiente"/>
        <w:spacing w:before="161"/>
        <w:rPr>
          <w:rFonts w:ascii="Abadi" w:hAnsi="Abadi"/>
          <w:b w:val="0"/>
          <w:bCs w:val="0"/>
          <w:sz w:val="21"/>
          <w:szCs w:val="21"/>
        </w:rPr>
      </w:pPr>
      <w:r w:rsidRPr="007D7EFC">
        <w:rPr>
          <w:rFonts w:ascii="Abadi" w:hAnsi="Abadi"/>
          <w:b w:val="0"/>
          <w:bCs w:val="0"/>
          <w:sz w:val="21"/>
          <w:szCs w:val="21"/>
        </w:rPr>
        <w:t>A pesar de ser un problema frecuente y de</w:t>
      </w:r>
      <w:r w:rsidRPr="007D7EFC">
        <w:rPr>
          <w:rFonts w:ascii="Abadi" w:hAnsi="Abadi"/>
          <w:b w:val="0"/>
          <w:bCs w:val="0"/>
          <w:spacing w:val="-1"/>
          <w:sz w:val="21"/>
          <w:szCs w:val="21"/>
        </w:rPr>
        <w:t xml:space="preserve"> </w:t>
      </w:r>
      <w:r w:rsidRPr="007D7EFC">
        <w:rPr>
          <w:rFonts w:ascii="Abadi" w:hAnsi="Abadi"/>
          <w:b w:val="0"/>
          <w:bCs w:val="0"/>
          <w:sz w:val="21"/>
          <w:szCs w:val="21"/>
        </w:rPr>
        <w:t xml:space="preserve">graves implicaciones, en la mayoría de las </w:t>
      </w:r>
      <w:r w:rsidRPr="007D7EFC">
        <w:rPr>
          <w:rFonts w:ascii="Abadi" w:hAnsi="Abadi"/>
          <w:b w:val="0"/>
          <w:bCs w:val="0"/>
          <w:sz w:val="21"/>
          <w:szCs w:val="21"/>
        </w:rPr>
        <w:t>escuelas no se ha trabajado en la confección normativa específica orientada a la prevención, atención y sanción de este tipo de conductas, o bien, las medidas y protocolos</w:t>
      </w:r>
      <w:r w:rsidRPr="007D7EFC">
        <w:rPr>
          <w:rFonts w:ascii="Abadi" w:hAnsi="Abadi"/>
          <w:b w:val="0"/>
          <w:bCs w:val="0"/>
          <w:spacing w:val="-9"/>
          <w:sz w:val="21"/>
          <w:szCs w:val="21"/>
        </w:rPr>
        <w:t xml:space="preserve"> </w:t>
      </w:r>
      <w:r w:rsidRPr="007D7EFC">
        <w:rPr>
          <w:rFonts w:ascii="Abadi" w:hAnsi="Abadi"/>
          <w:b w:val="0"/>
          <w:bCs w:val="0"/>
          <w:sz w:val="21"/>
          <w:szCs w:val="21"/>
        </w:rPr>
        <w:t>implementados</w:t>
      </w:r>
      <w:r w:rsidRPr="007D7EFC">
        <w:rPr>
          <w:rFonts w:ascii="Abadi" w:hAnsi="Abadi"/>
          <w:b w:val="0"/>
          <w:bCs w:val="0"/>
          <w:spacing w:val="-8"/>
          <w:sz w:val="21"/>
          <w:szCs w:val="21"/>
        </w:rPr>
        <w:t xml:space="preserve"> </w:t>
      </w:r>
      <w:r w:rsidRPr="007D7EFC">
        <w:rPr>
          <w:rFonts w:ascii="Abadi" w:hAnsi="Abadi"/>
          <w:b w:val="0"/>
          <w:bCs w:val="0"/>
          <w:sz w:val="21"/>
          <w:szCs w:val="21"/>
        </w:rPr>
        <w:t>no</w:t>
      </w:r>
      <w:r w:rsidRPr="007D7EFC">
        <w:rPr>
          <w:rFonts w:ascii="Abadi" w:hAnsi="Abadi"/>
          <w:b w:val="0"/>
          <w:bCs w:val="0"/>
          <w:spacing w:val="-9"/>
          <w:sz w:val="21"/>
          <w:szCs w:val="21"/>
        </w:rPr>
        <w:t xml:space="preserve"> </w:t>
      </w:r>
      <w:r w:rsidRPr="007D7EFC">
        <w:rPr>
          <w:rFonts w:ascii="Abadi" w:hAnsi="Abadi"/>
          <w:b w:val="0"/>
          <w:bCs w:val="0"/>
          <w:sz w:val="21"/>
          <w:szCs w:val="21"/>
        </w:rPr>
        <w:t>han</w:t>
      </w:r>
      <w:r w:rsidRPr="007D7EFC">
        <w:rPr>
          <w:rFonts w:ascii="Abadi" w:hAnsi="Abadi"/>
          <w:b w:val="0"/>
          <w:bCs w:val="0"/>
          <w:spacing w:val="-12"/>
          <w:sz w:val="21"/>
          <w:szCs w:val="21"/>
        </w:rPr>
        <w:t xml:space="preserve"> </w:t>
      </w:r>
      <w:r w:rsidRPr="007D7EFC">
        <w:rPr>
          <w:rFonts w:ascii="Abadi" w:hAnsi="Abadi"/>
          <w:b w:val="0"/>
          <w:bCs w:val="0"/>
          <w:sz w:val="21"/>
          <w:szCs w:val="21"/>
        </w:rPr>
        <w:t>tenido</w:t>
      </w:r>
      <w:r w:rsidRPr="007D7EFC">
        <w:rPr>
          <w:rFonts w:ascii="Abadi" w:hAnsi="Abadi"/>
          <w:b w:val="0"/>
          <w:bCs w:val="0"/>
          <w:spacing w:val="-8"/>
          <w:sz w:val="21"/>
          <w:szCs w:val="21"/>
        </w:rPr>
        <w:t xml:space="preserve"> </w:t>
      </w:r>
      <w:r w:rsidRPr="007D7EFC">
        <w:rPr>
          <w:rFonts w:ascii="Abadi" w:hAnsi="Abadi"/>
          <w:b w:val="0"/>
          <w:bCs w:val="0"/>
          <w:sz w:val="21"/>
          <w:szCs w:val="21"/>
        </w:rPr>
        <w:t>los</w:t>
      </w:r>
      <w:r w:rsidRPr="007D7EFC">
        <w:rPr>
          <w:rFonts w:ascii="Abadi" w:hAnsi="Abadi"/>
          <w:b w:val="0"/>
          <w:bCs w:val="0"/>
          <w:spacing w:val="-12"/>
          <w:sz w:val="21"/>
          <w:szCs w:val="21"/>
        </w:rPr>
        <w:t xml:space="preserve"> </w:t>
      </w:r>
      <w:r w:rsidRPr="007D7EFC">
        <w:rPr>
          <w:rFonts w:ascii="Abadi" w:hAnsi="Abadi"/>
          <w:b w:val="0"/>
          <w:bCs w:val="0"/>
          <w:sz w:val="21"/>
          <w:szCs w:val="21"/>
        </w:rPr>
        <w:t>resultados</w:t>
      </w:r>
      <w:r w:rsidRPr="007D7EFC">
        <w:rPr>
          <w:rFonts w:ascii="Abadi" w:hAnsi="Abadi"/>
          <w:b w:val="0"/>
          <w:bCs w:val="0"/>
          <w:spacing w:val="-13"/>
          <w:sz w:val="21"/>
          <w:szCs w:val="21"/>
        </w:rPr>
        <w:t xml:space="preserve"> </w:t>
      </w:r>
      <w:r w:rsidRPr="007D7EFC">
        <w:rPr>
          <w:rFonts w:ascii="Abadi" w:hAnsi="Abadi"/>
          <w:b w:val="0"/>
          <w:bCs w:val="0"/>
          <w:sz w:val="21"/>
          <w:szCs w:val="21"/>
        </w:rPr>
        <w:t>esperados,</w:t>
      </w:r>
      <w:r w:rsidRPr="007D7EFC">
        <w:rPr>
          <w:rFonts w:ascii="Abadi" w:hAnsi="Abadi"/>
          <w:b w:val="0"/>
          <w:bCs w:val="0"/>
          <w:spacing w:val="-12"/>
          <w:sz w:val="21"/>
          <w:szCs w:val="21"/>
        </w:rPr>
        <w:t xml:space="preserve"> </w:t>
      </w:r>
      <w:r w:rsidRPr="007D7EFC">
        <w:rPr>
          <w:rFonts w:ascii="Abadi" w:hAnsi="Abadi"/>
          <w:b w:val="0"/>
          <w:bCs w:val="0"/>
          <w:sz w:val="21"/>
          <w:szCs w:val="21"/>
        </w:rPr>
        <w:t>tal</w:t>
      </w:r>
      <w:r w:rsidRPr="007D7EFC">
        <w:rPr>
          <w:rFonts w:ascii="Abadi" w:hAnsi="Abadi"/>
          <w:b w:val="0"/>
          <w:bCs w:val="0"/>
          <w:spacing w:val="-11"/>
          <w:sz w:val="21"/>
          <w:szCs w:val="21"/>
        </w:rPr>
        <w:t xml:space="preserve"> </w:t>
      </w:r>
      <w:r w:rsidRPr="007D7EFC">
        <w:rPr>
          <w:rFonts w:ascii="Abadi" w:hAnsi="Abadi"/>
          <w:b w:val="0"/>
          <w:bCs w:val="0"/>
          <w:sz w:val="21"/>
          <w:szCs w:val="21"/>
        </w:rPr>
        <w:t>es</w:t>
      </w:r>
      <w:r w:rsidRPr="007D7EFC">
        <w:rPr>
          <w:rFonts w:ascii="Abadi" w:hAnsi="Abadi"/>
          <w:b w:val="0"/>
          <w:bCs w:val="0"/>
          <w:spacing w:val="-10"/>
          <w:sz w:val="21"/>
          <w:szCs w:val="21"/>
        </w:rPr>
        <w:t xml:space="preserve"> </w:t>
      </w:r>
      <w:r w:rsidRPr="007D7EFC">
        <w:rPr>
          <w:rFonts w:ascii="Abadi" w:hAnsi="Abadi"/>
          <w:b w:val="0"/>
          <w:bCs w:val="0"/>
          <w:sz w:val="21"/>
          <w:szCs w:val="21"/>
        </w:rPr>
        <w:t>el</w:t>
      </w:r>
      <w:r w:rsidRPr="007D7EFC">
        <w:rPr>
          <w:rFonts w:ascii="Abadi" w:hAnsi="Abadi"/>
          <w:b w:val="0"/>
          <w:bCs w:val="0"/>
          <w:spacing w:val="-11"/>
          <w:sz w:val="21"/>
          <w:szCs w:val="21"/>
        </w:rPr>
        <w:t xml:space="preserve"> </w:t>
      </w:r>
      <w:r w:rsidRPr="007D7EFC">
        <w:rPr>
          <w:rFonts w:ascii="Abadi" w:hAnsi="Abadi"/>
          <w:b w:val="0"/>
          <w:bCs w:val="0"/>
          <w:sz w:val="21"/>
          <w:szCs w:val="21"/>
        </w:rPr>
        <w:t>caso</w:t>
      </w:r>
      <w:r w:rsidRPr="007D7EFC">
        <w:rPr>
          <w:rFonts w:ascii="Abadi" w:hAnsi="Abadi"/>
          <w:b w:val="0"/>
          <w:bCs w:val="0"/>
          <w:spacing w:val="-12"/>
          <w:sz w:val="21"/>
          <w:szCs w:val="21"/>
        </w:rPr>
        <w:t xml:space="preserve"> </w:t>
      </w:r>
      <w:r w:rsidRPr="007D7EFC">
        <w:rPr>
          <w:rFonts w:ascii="Abadi" w:hAnsi="Abadi"/>
          <w:b w:val="0"/>
          <w:bCs w:val="0"/>
          <w:sz w:val="21"/>
          <w:szCs w:val="21"/>
        </w:rPr>
        <w:t>de la Universidad de Guanajuato que desde el año 2019 cuenta con el Protocolo de Atención a Casos de Violencia de Género, con el objetivo de promover la incorporación</w:t>
      </w:r>
      <w:r w:rsidRPr="007D7EFC">
        <w:rPr>
          <w:rFonts w:ascii="Abadi" w:hAnsi="Abadi"/>
          <w:b w:val="0"/>
          <w:bCs w:val="0"/>
          <w:spacing w:val="-11"/>
          <w:sz w:val="21"/>
          <w:szCs w:val="21"/>
        </w:rPr>
        <w:t xml:space="preserve"> </w:t>
      </w:r>
      <w:r w:rsidRPr="007D7EFC">
        <w:rPr>
          <w:rFonts w:ascii="Abadi" w:hAnsi="Abadi"/>
          <w:b w:val="0"/>
          <w:bCs w:val="0"/>
          <w:sz w:val="21"/>
          <w:szCs w:val="21"/>
        </w:rPr>
        <w:t>de</w:t>
      </w:r>
      <w:r w:rsidRPr="007D7EFC">
        <w:rPr>
          <w:rFonts w:ascii="Abadi" w:hAnsi="Abadi"/>
          <w:b w:val="0"/>
          <w:bCs w:val="0"/>
          <w:spacing w:val="-11"/>
          <w:sz w:val="21"/>
          <w:szCs w:val="21"/>
        </w:rPr>
        <w:t xml:space="preserve"> </w:t>
      </w:r>
      <w:r w:rsidRPr="007D7EFC">
        <w:rPr>
          <w:rFonts w:ascii="Abadi" w:hAnsi="Abadi"/>
          <w:b w:val="0"/>
          <w:bCs w:val="0"/>
          <w:sz w:val="21"/>
          <w:szCs w:val="21"/>
        </w:rPr>
        <w:t>la</w:t>
      </w:r>
      <w:r w:rsidRPr="007D7EFC">
        <w:rPr>
          <w:rFonts w:ascii="Abadi" w:hAnsi="Abadi"/>
          <w:b w:val="0"/>
          <w:bCs w:val="0"/>
          <w:spacing w:val="-11"/>
          <w:sz w:val="21"/>
          <w:szCs w:val="21"/>
        </w:rPr>
        <w:t xml:space="preserve"> </w:t>
      </w:r>
      <w:r w:rsidRPr="007D7EFC">
        <w:rPr>
          <w:rFonts w:ascii="Abadi" w:hAnsi="Abadi"/>
          <w:b w:val="0"/>
          <w:bCs w:val="0"/>
          <w:sz w:val="21"/>
          <w:szCs w:val="21"/>
        </w:rPr>
        <w:t>perspectiva</w:t>
      </w:r>
      <w:r w:rsidRPr="007D7EFC">
        <w:rPr>
          <w:rFonts w:ascii="Abadi" w:hAnsi="Abadi"/>
          <w:b w:val="0"/>
          <w:bCs w:val="0"/>
          <w:spacing w:val="-11"/>
          <w:sz w:val="21"/>
          <w:szCs w:val="21"/>
        </w:rPr>
        <w:t xml:space="preserve"> </w:t>
      </w:r>
      <w:r w:rsidRPr="007D7EFC">
        <w:rPr>
          <w:rFonts w:ascii="Abadi" w:hAnsi="Abadi"/>
          <w:b w:val="0"/>
          <w:bCs w:val="0"/>
          <w:sz w:val="21"/>
          <w:szCs w:val="21"/>
        </w:rPr>
        <w:t>de</w:t>
      </w:r>
      <w:r w:rsidRPr="007D7EFC">
        <w:rPr>
          <w:rFonts w:ascii="Abadi" w:hAnsi="Abadi"/>
          <w:b w:val="0"/>
          <w:bCs w:val="0"/>
          <w:spacing w:val="-11"/>
          <w:sz w:val="21"/>
          <w:szCs w:val="21"/>
        </w:rPr>
        <w:t xml:space="preserve"> </w:t>
      </w:r>
      <w:r w:rsidRPr="007D7EFC">
        <w:rPr>
          <w:rFonts w:ascii="Abadi" w:hAnsi="Abadi"/>
          <w:b w:val="0"/>
          <w:bCs w:val="0"/>
          <w:sz w:val="21"/>
          <w:szCs w:val="21"/>
        </w:rPr>
        <w:t>género</w:t>
      </w:r>
      <w:r w:rsidRPr="007D7EFC">
        <w:rPr>
          <w:rFonts w:ascii="Abadi" w:hAnsi="Abadi"/>
          <w:b w:val="0"/>
          <w:bCs w:val="0"/>
          <w:spacing w:val="-11"/>
          <w:sz w:val="21"/>
          <w:szCs w:val="21"/>
        </w:rPr>
        <w:t xml:space="preserve"> </w:t>
      </w:r>
      <w:r w:rsidRPr="007D7EFC">
        <w:rPr>
          <w:rFonts w:ascii="Abadi" w:hAnsi="Abadi"/>
          <w:b w:val="0"/>
          <w:bCs w:val="0"/>
          <w:sz w:val="21"/>
          <w:szCs w:val="21"/>
        </w:rPr>
        <w:t>y</w:t>
      </w:r>
      <w:r w:rsidRPr="007D7EFC">
        <w:rPr>
          <w:rFonts w:ascii="Abadi" w:hAnsi="Abadi"/>
          <w:b w:val="0"/>
          <w:bCs w:val="0"/>
          <w:spacing w:val="-12"/>
          <w:sz w:val="21"/>
          <w:szCs w:val="21"/>
        </w:rPr>
        <w:t xml:space="preserve"> </w:t>
      </w:r>
      <w:r w:rsidRPr="007D7EFC">
        <w:rPr>
          <w:rFonts w:ascii="Abadi" w:hAnsi="Abadi"/>
          <w:b w:val="0"/>
          <w:bCs w:val="0"/>
          <w:sz w:val="21"/>
          <w:szCs w:val="21"/>
        </w:rPr>
        <w:t>el</w:t>
      </w:r>
      <w:r w:rsidRPr="007D7EFC">
        <w:rPr>
          <w:rFonts w:ascii="Abadi" w:hAnsi="Abadi"/>
          <w:b w:val="0"/>
          <w:bCs w:val="0"/>
          <w:spacing w:val="-14"/>
          <w:sz w:val="21"/>
          <w:szCs w:val="21"/>
        </w:rPr>
        <w:t xml:space="preserve"> </w:t>
      </w:r>
      <w:r w:rsidRPr="007D7EFC">
        <w:rPr>
          <w:rFonts w:ascii="Abadi" w:hAnsi="Abadi"/>
          <w:b w:val="0"/>
          <w:bCs w:val="0"/>
          <w:sz w:val="21"/>
          <w:szCs w:val="21"/>
        </w:rPr>
        <w:t>enfoque</w:t>
      </w:r>
      <w:r w:rsidRPr="007D7EFC">
        <w:rPr>
          <w:rFonts w:ascii="Abadi" w:hAnsi="Abadi"/>
          <w:b w:val="0"/>
          <w:bCs w:val="0"/>
          <w:spacing w:val="-11"/>
          <w:sz w:val="21"/>
          <w:szCs w:val="21"/>
        </w:rPr>
        <w:t xml:space="preserve"> </w:t>
      </w:r>
      <w:r w:rsidRPr="007D7EFC">
        <w:rPr>
          <w:rFonts w:ascii="Abadi" w:hAnsi="Abadi"/>
          <w:b w:val="0"/>
          <w:bCs w:val="0"/>
          <w:sz w:val="21"/>
          <w:szCs w:val="21"/>
        </w:rPr>
        <w:t>de</w:t>
      </w:r>
      <w:r w:rsidRPr="007D7EFC">
        <w:rPr>
          <w:rFonts w:ascii="Abadi" w:hAnsi="Abadi"/>
          <w:b w:val="0"/>
          <w:bCs w:val="0"/>
          <w:spacing w:val="-11"/>
          <w:sz w:val="21"/>
          <w:szCs w:val="21"/>
        </w:rPr>
        <w:t xml:space="preserve"> </w:t>
      </w:r>
      <w:r w:rsidRPr="007D7EFC">
        <w:rPr>
          <w:rFonts w:ascii="Abadi" w:hAnsi="Abadi"/>
          <w:b w:val="0"/>
          <w:bCs w:val="0"/>
          <w:sz w:val="21"/>
          <w:szCs w:val="21"/>
        </w:rPr>
        <w:t>derechos</w:t>
      </w:r>
      <w:r w:rsidRPr="007D7EFC">
        <w:rPr>
          <w:rFonts w:ascii="Abadi" w:hAnsi="Abadi"/>
          <w:b w:val="0"/>
          <w:bCs w:val="0"/>
          <w:spacing w:val="-14"/>
          <w:sz w:val="21"/>
          <w:szCs w:val="21"/>
        </w:rPr>
        <w:t xml:space="preserve"> </w:t>
      </w:r>
      <w:r w:rsidRPr="007D7EFC">
        <w:rPr>
          <w:rFonts w:ascii="Abadi" w:hAnsi="Abadi"/>
          <w:b w:val="0"/>
          <w:bCs w:val="0"/>
          <w:sz w:val="21"/>
          <w:szCs w:val="21"/>
        </w:rPr>
        <w:t>humanos</w:t>
      </w:r>
      <w:r w:rsidRPr="007D7EFC">
        <w:rPr>
          <w:rFonts w:ascii="Abadi" w:hAnsi="Abadi"/>
          <w:b w:val="0"/>
          <w:bCs w:val="0"/>
          <w:spacing w:val="-12"/>
          <w:sz w:val="21"/>
          <w:szCs w:val="21"/>
        </w:rPr>
        <w:t xml:space="preserve"> </w:t>
      </w:r>
      <w:r w:rsidRPr="007D7EFC">
        <w:rPr>
          <w:rFonts w:ascii="Abadi" w:hAnsi="Abadi"/>
          <w:b w:val="0"/>
          <w:bCs w:val="0"/>
          <w:sz w:val="21"/>
          <w:szCs w:val="21"/>
        </w:rPr>
        <w:t>como ejes</w:t>
      </w:r>
      <w:r w:rsidRPr="007D7EFC">
        <w:rPr>
          <w:rFonts w:ascii="Abadi" w:hAnsi="Abadi"/>
          <w:b w:val="0"/>
          <w:bCs w:val="0"/>
          <w:spacing w:val="-13"/>
          <w:sz w:val="21"/>
          <w:szCs w:val="21"/>
        </w:rPr>
        <w:t xml:space="preserve"> </w:t>
      </w:r>
      <w:r w:rsidRPr="007D7EFC">
        <w:rPr>
          <w:rFonts w:ascii="Abadi" w:hAnsi="Abadi"/>
          <w:b w:val="0"/>
          <w:bCs w:val="0"/>
          <w:sz w:val="21"/>
          <w:szCs w:val="21"/>
        </w:rPr>
        <w:t>rectores</w:t>
      </w:r>
      <w:r w:rsidRPr="007D7EFC">
        <w:rPr>
          <w:rFonts w:ascii="Abadi" w:hAnsi="Abadi"/>
          <w:b w:val="0"/>
          <w:bCs w:val="0"/>
          <w:spacing w:val="-13"/>
          <w:sz w:val="21"/>
          <w:szCs w:val="21"/>
        </w:rPr>
        <w:t xml:space="preserve"> </w:t>
      </w:r>
      <w:r w:rsidRPr="007D7EFC">
        <w:rPr>
          <w:rFonts w:ascii="Abadi" w:hAnsi="Abadi"/>
          <w:b w:val="0"/>
          <w:bCs w:val="0"/>
          <w:sz w:val="21"/>
          <w:szCs w:val="21"/>
        </w:rPr>
        <w:t>en</w:t>
      </w:r>
      <w:r w:rsidRPr="007D7EFC">
        <w:rPr>
          <w:rFonts w:ascii="Abadi" w:hAnsi="Abadi"/>
          <w:b w:val="0"/>
          <w:bCs w:val="0"/>
          <w:spacing w:val="-13"/>
          <w:sz w:val="21"/>
          <w:szCs w:val="21"/>
        </w:rPr>
        <w:t xml:space="preserve"> </w:t>
      </w:r>
      <w:r w:rsidRPr="007D7EFC">
        <w:rPr>
          <w:rFonts w:ascii="Abadi" w:hAnsi="Abadi"/>
          <w:b w:val="0"/>
          <w:bCs w:val="0"/>
          <w:sz w:val="21"/>
          <w:szCs w:val="21"/>
        </w:rPr>
        <w:t>las</w:t>
      </w:r>
      <w:r w:rsidRPr="007D7EFC">
        <w:rPr>
          <w:rFonts w:ascii="Abadi" w:hAnsi="Abadi"/>
          <w:b w:val="0"/>
          <w:bCs w:val="0"/>
          <w:spacing w:val="-15"/>
          <w:sz w:val="21"/>
          <w:szCs w:val="21"/>
        </w:rPr>
        <w:t xml:space="preserve"> </w:t>
      </w:r>
      <w:r w:rsidRPr="007D7EFC">
        <w:rPr>
          <w:rFonts w:ascii="Abadi" w:hAnsi="Abadi"/>
          <w:b w:val="0"/>
          <w:bCs w:val="0"/>
          <w:sz w:val="21"/>
          <w:szCs w:val="21"/>
        </w:rPr>
        <w:t>diferentes</w:t>
      </w:r>
      <w:r w:rsidRPr="007D7EFC">
        <w:rPr>
          <w:rFonts w:ascii="Abadi" w:hAnsi="Abadi"/>
          <w:b w:val="0"/>
          <w:bCs w:val="0"/>
          <w:spacing w:val="-16"/>
          <w:sz w:val="21"/>
          <w:szCs w:val="21"/>
        </w:rPr>
        <w:t xml:space="preserve"> </w:t>
      </w:r>
      <w:r w:rsidRPr="007D7EFC">
        <w:rPr>
          <w:rFonts w:ascii="Abadi" w:hAnsi="Abadi"/>
          <w:b w:val="0"/>
          <w:bCs w:val="0"/>
          <w:sz w:val="21"/>
          <w:szCs w:val="21"/>
        </w:rPr>
        <w:t>instancias,</w:t>
      </w:r>
      <w:r w:rsidRPr="007D7EFC">
        <w:rPr>
          <w:rFonts w:ascii="Abadi" w:hAnsi="Abadi"/>
          <w:b w:val="0"/>
          <w:bCs w:val="0"/>
          <w:spacing w:val="-15"/>
          <w:sz w:val="21"/>
          <w:szCs w:val="21"/>
        </w:rPr>
        <w:t xml:space="preserve"> </w:t>
      </w:r>
      <w:r w:rsidRPr="007D7EFC">
        <w:rPr>
          <w:rFonts w:ascii="Abadi" w:hAnsi="Abadi"/>
          <w:b w:val="0"/>
          <w:bCs w:val="0"/>
          <w:sz w:val="21"/>
          <w:szCs w:val="21"/>
        </w:rPr>
        <w:t>dimensiones</w:t>
      </w:r>
      <w:r w:rsidRPr="007D7EFC">
        <w:rPr>
          <w:rFonts w:ascii="Abadi" w:hAnsi="Abadi"/>
          <w:b w:val="0"/>
          <w:bCs w:val="0"/>
          <w:spacing w:val="-14"/>
          <w:sz w:val="21"/>
          <w:szCs w:val="21"/>
        </w:rPr>
        <w:t xml:space="preserve"> </w:t>
      </w:r>
      <w:r w:rsidRPr="007D7EFC">
        <w:rPr>
          <w:rFonts w:ascii="Abadi" w:hAnsi="Abadi"/>
          <w:b w:val="0"/>
          <w:bCs w:val="0"/>
          <w:sz w:val="21"/>
          <w:szCs w:val="21"/>
        </w:rPr>
        <w:t>y</w:t>
      </w:r>
      <w:r w:rsidRPr="007D7EFC">
        <w:rPr>
          <w:rFonts w:ascii="Abadi" w:hAnsi="Abadi"/>
          <w:b w:val="0"/>
          <w:bCs w:val="0"/>
          <w:spacing w:val="-16"/>
          <w:sz w:val="21"/>
          <w:szCs w:val="21"/>
        </w:rPr>
        <w:t xml:space="preserve"> </w:t>
      </w:r>
      <w:r w:rsidRPr="007D7EFC">
        <w:rPr>
          <w:rFonts w:ascii="Abadi" w:hAnsi="Abadi"/>
          <w:b w:val="0"/>
          <w:bCs w:val="0"/>
          <w:sz w:val="21"/>
          <w:szCs w:val="21"/>
        </w:rPr>
        <w:t>prácticas</w:t>
      </w:r>
      <w:r w:rsidRPr="007D7EFC">
        <w:rPr>
          <w:rFonts w:ascii="Abadi" w:hAnsi="Abadi"/>
          <w:b w:val="0"/>
          <w:bCs w:val="0"/>
          <w:spacing w:val="-15"/>
          <w:sz w:val="21"/>
          <w:szCs w:val="21"/>
        </w:rPr>
        <w:t xml:space="preserve"> </w:t>
      </w:r>
      <w:r w:rsidRPr="007D7EFC">
        <w:rPr>
          <w:rFonts w:ascii="Abadi" w:hAnsi="Abadi"/>
          <w:b w:val="0"/>
          <w:bCs w:val="0"/>
          <w:sz w:val="21"/>
          <w:szCs w:val="21"/>
        </w:rPr>
        <w:t>institucionales</w:t>
      </w:r>
      <w:r w:rsidRPr="007D7EFC">
        <w:rPr>
          <w:rFonts w:ascii="Abadi" w:hAnsi="Abadi"/>
          <w:b w:val="0"/>
          <w:bCs w:val="0"/>
          <w:spacing w:val="-13"/>
          <w:sz w:val="21"/>
          <w:szCs w:val="21"/>
        </w:rPr>
        <w:t xml:space="preserve"> </w:t>
      </w:r>
      <w:r w:rsidRPr="007D7EFC">
        <w:rPr>
          <w:rFonts w:ascii="Abadi" w:hAnsi="Abadi"/>
          <w:b w:val="0"/>
          <w:bCs w:val="0"/>
          <w:sz w:val="21"/>
          <w:szCs w:val="21"/>
        </w:rPr>
        <w:t>de la</w:t>
      </w:r>
      <w:r w:rsidRPr="007D7EFC">
        <w:rPr>
          <w:rFonts w:ascii="Abadi" w:hAnsi="Abadi"/>
          <w:b w:val="0"/>
          <w:bCs w:val="0"/>
          <w:spacing w:val="-10"/>
          <w:sz w:val="21"/>
          <w:szCs w:val="21"/>
        </w:rPr>
        <w:t xml:space="preserve"> </w:t>
      </w:r>
      <w:r w:rsidRPr="007D7EFC">
        <w:rPr>
          <w:rFonts w:ascii="Abadi" w:hAnsi="Abadi"/>
          <w:b w:val="0"/>
          <w:bCs w:val="0"/>
          <w:sz w:val="21"/>
          <w:szCs w:val="21"/>
        </w:rPr>
        <w:t>Universidad</w:t>
      </w:r>
      <w:r w:rsidRPr="007D7EFC">
        <w:rPr>
          <w:rFonts w:ascii="Abadi" w:hAnsi="Abadi"/>
          <w:b w:val="0"/>
          <w:bCs w:val="0"/>
          <w:spacing w:val="-9"/>
          <w:sz w:val="21"/>
          <w:szCs w:val="21"/>
        </w:rPr>
        <w:t xml:space="preserve"> </w:t>
      </w:r>
      <w:r w:rsidRPr="007D7EFC">
        <w:rPr>
          <w:rFonts w:ascii="Abadi" w:hAnsi="Abadi"/>
          <w:b w:val="0"/>
          <w:bCs w:val="0"/>
          <w:sz w:val="21"/>
          <w:szCs w:val="21"/>
        </w:rPr>
        <w:t>de</w:t>
      </w:r>
      <w:r w:rsidRPr="007D7EFC">
        <w:rPr>
          <w:rFonts w:ascii="Abadi" w:hAnsi="Abadi"/>
          <w:b w:val="0"/>
          <w:bCs w:val="0"/>
          <w:spacing w:val="-9"/>
          <w:sz w:val="21"/>
          <w:szCs w:val="21"/>
        </w:rPr>
        <w:t xml:space="preserve"> </w:t>
      </w:r>
      <w:r w:rsidRPr="007D7EFC">
        <w:rPr>
          <w:rFonts w:ascii="Abadi" w:hAnsi="Abadi"/>
          <w:b w:val="0"/>
          <w:bCs w:val="0"/>
          <w:sz w:val="21"/>
          <w:szCs w:val="21"/>
        </w:rPr>
        <w:t>Guanajuato,</w:t>
      </w:r>
      <w:r w:rsidRPr="007D7EFC">
        <w:rPr>
          <w:rFonts w:ascii="Abadi" w:hAnsi="Abadi"/>
          <w:b w:val="0"/>
          <w:bCs w:val="0"/>
          <w:spacing w:val="-10"/>
          <w:sz w:val="21"/>
          <w:szCs w:val="21"/>
        </w:rPr>
        <w:t xml:space="preserve"> </w:t>
      </w:r>
      <w:r w:rsidRPr="007D7EFC">
        <w:rPr>
          <w:rFonts w:ascii="Abadi" w:hAnsi="Abadi"/>
          <w:b w:val="0"/>
          <w:bCs w:val="0"/>
          <w:sz w:val="21"/>
          <w:szCs w:val="21"/>
        </w:rPr>
        <w:t>pero</w:t>
      </w:r>
      <w:r w:rsidRPr="007D7EFC">
        <w:rPr>
          <w:rFonts w:ascii="Abadi" w:hAnsi="Abadi"/>
          <w:b w:val="0"/>
          <w:bCs w:val="0"/>
          <w:spacing w:val="-10"/>
          <w:sz w:val="21"/>
          <w:szCs w:val="21"/>
        </w:rPr>
        <w:t xml:space="preserve"> </w:t>
      </w:r>
      <w:r w:rsidRPr="007D7EFC">
        <w:rPr>
          <w:rFonts w:ascii="Abadi" w:hAnsi="Abadi"/>
          <w:b w:val="0"/>
          <w:bCs w:val="0"/>
          <w:sz w:val="21"/>
          <w:szCs w:val="21"/>
        </w:rPr>
        <w:t>que</w:t>
      </w:r>
      <w:r w:rsidRPr="007D7EFC">
        <w:rPr>
          <w:rFonts w:ascii="Abadi" w:hAnsi="Abadi"/>
          <w:b w:val="0"/>
          <w:bCs w:val="0"/>
          <w:spacing w:val="-9"/>
          <w:sz w:val="21"/>
          <w:szCs w:val="21"/>
        </w:rPr>
        <w:t xml:space="preserve"> </w:t>
      </w:r>
      <w:r w:rsidRPr="007D7EFC">
        <w:rPr>
          <w:rFonts w:ascii="Abadi" w:hAnsi="Abadi"/>
          <w:b w:val="0"/>
          <w:bCs w:val="0"/>
          <w:sz w:val="21"/>
          <w:szCs w:val="21"/>
        </w:rPr>
        <w:t>no</w:t>
      </w:r>
      <w:r w:rsidRPr="007D7EFC">
        <w:rPr>
          <w:rFonts w:ascii="Abadi" w:hAnsi="Abadi"/>
          <w:b w:val="0"/>
          <w:bCs w:val="0"/>
          <w:spacing w:val="-9"/>
          <w:sz w:val="21"/>
          <w:szCs w:val="21"/>
        </w:rPr>
        <w:t xml:space="preserve"> </w:t>
      </w:r>
      <w:r w:rsidRPr="007D7EFC">
        <w:rPr>
          <w:rFonts w:ascii="Abadi" w:hAnsi="Abadi"/>
          <w:b w:val="0"/>
          <w:bCs w:val="0"/>
          <w:sz w:val="21"/>
          <w:szCs w:val="21"/>
        </w:rPr>
        <w:t>ha</w:t>
      </w:r>
      <w:r w:rsidRPr="007D7EFC">
        <w:rPr>
          <w:rFonts w:ascii="Abadi" w:hAnsi="Abadi"/>
          <w:b w:val="0"/>
          <w:bCs w:val="0"/>
          <w:spacing w:val="-9"/>
          <w:sz w:val="21"/>
          <w:szCs w:val="21"/>
        </w:rPr>
        <w:t xml:space="preserve"> </w:t>
      </w:r>
      <w:r w:rsidRPr="007D7EFC">
        <w:rPr>
          <w:rFonts w:ascii="Abadi" w:hAnsi="Abadi"/>
          <w:b w:val="0"/>
          <w:bCs w:val="0"/>
          <w:sz w:val="21"/>
          <w:szCs w:val="21"/>
        </w:rPr>
        <w:t>mostrado</w:t>
      </w:r>
      <w:r w:rsidRPr="007D7EFC">
        <w:rPr>
          <w:rFonts w:ascii="Abadi" w:hAnsi="Abadi"/>
          <w:b w:val="0"/>
          <w:bCs w:val="0"/>
          <w:spacing w:val="-9"/>
          <w:sz w:val="21"/>
          <w:szCs w:val="21"/>
        </w:rPr>
        <w:t xml:space="preserve"> </w:t>
      </w:r>
      <w:r w:rsidRPr="007D7EFC">
        <w:rPr>
          <w:rFonts w:ascii="Abadi" w:hAnsi="Abadi"/>
          <w:b w:val="0"/>
          <w:bCs w:val="0"/>
          <w:sz w:val="21"/>
          <w:szCs w:val="21"/>
        </w:rPr>
        <w:t>resultados</w:t>
      </w:r>
      <w:r w:rsidRPr="007D7EFC">
        <w:rPr>
          <w:rFonts w:ascii="Abadi" w:hAnsi="Abadi"/>
          <w:b w:val="0"/>
          <w:bCs w:val="0"/>
          <w:spacing w:val="-10"/>
          <w:sz w:val="21"/>
          <w:szCs w:val="21"/>
        </w:rPr>
        <w:t xml:space="preserve"> </w:t>
      </w:r>
      <w:r w:rsidRPr="007D7EFC">
        <w:rPr>
          <w:rFonts w:ascii="Abadi" w:hAnsi="Abadi"/>
          <w:b w:val="0"/>
          <w:bCs w:val="0"/>
          <w:sz w:val="21"/>
          <w:szCs w:val="21"/>
        </w:rPr>
        <w:t>favorables</w:t>
      </w:r>
      <w:r w:rsidRPr="007D7EFC">
        <w:rPr>
          <w:rFonts w:ascii="Abadi" w:hAnsi="Abadi"/>
          <w:b w:val="0"/>
          <w:bCs w:val="0"/>
          <w:spacing w:val="-6"/>
          <w:sz w:val="21"/>
          <w:szCs w:val="21"/>
        </w:rPr>
        <w:t xml:space="preserve"> </w:t>
      </w:r>
      <w:r w:rsidRPr="007D7EFC">
        <w:rPr>
          <w:rFonts w:ascii="Abadi" w:hAnsi="Abadi"/>
          <w:b w:val="0"/>
          <w:bCs w:val="0"/>
          <w:sz w:val="21"/>
          <w:szCs w:val="21"/>
        </w:rPr>
        <w:t>en</w:t>
      </w:r>
      <w:r w:rsidRPr="007D7EFC">
        <w:rPr>
          <w:rFonts w:ascii="Abadi" w:hAnsi="Abadi"/>
          <w:b w:val="0"/>
          <w:bCs w:val="0"/>
          <w:spacing w:val="-12"/>
          <w:sz w:val="21"/>
          <w:szCs w:val="21"/>
        </w:rPr>
        <w:t xml:space="preserve"> </w:t>
      </w:r>
      <w:r w:rsidRPr="007D7EFC">
        <w:rPr>
          <w:rFonts w:ascii="Abadi" w:hAnsi="Abadi"/>
          <w:b w:val="0"/>
          <w:bCs w:val="0"/>
          <w:sz w:val="21"/>
          <w:szCs w:val="21"/>
        </w:rPr>
        <w:t>la reducción y atención de casos de violencia sexual hasta el momento.</w:t>
      </w:r>
    </w:p>
    <w:p w14:paraId="01F0A203" w14:textId="77777777" w:rsidR="00483135" w:rsidRPr="007D7EFC" w:rsidRDefault="00483135" w:rsidP="00F12839">
      <w:pPr>
        <w:pStyle w:val="Textoindependiente"/>
        <w:spacing w:before="162"/>
        <w:rPr>
          <w:rFonts w:ascii="Abadi" w:hAnsi="Abadi"/>
          <w:b w:val="0"/>
          <w:bCs w:val="0"/>
          <w:sz w:val="21"/>
          <w:szCs w:val="21"/>
        </w:rPr>
      </w:pPr>
      <w:r w:rsidRPr="007D7EFC">
        <w:rPr>
          <w:rFonts w:ascii="Abadi" w:hAnsi="Abadi"/>
          <w:b w:val="0"/>
          <w:bCs w:val="0"/>
          <w:sz w:val="21"/>
          <w:szCs w:val="21"/>
        </w:rPr>
        <w:t xml:space="preserve">Recordemos que tras el escándalo conocido como ‘Caso </w:t>
      </w:r>
      <w:proofErr w:type="spellStart"/>
      <w:r w:rsidRPr="007D7EFC">
        <w:rPr>
          <w:rFonts w:ascii="Abadi" w:hAnsi="Abadi"/>
          <w:b w:val="0"/>
          <w:bCs w:val="0"/>
          <w:sz w:val="21"/>
          <w:szCs w:val="21"/>
        </w:rPr>
        <w:t>Kala</w:t>
      </w:r>
      <w:proofErr w:type="spellEnd"/>
      <w:r w:rsidRPr="007D7EFC">
        <w:rPr>
          <w:rFonts w:ascii="Abadi" w:hAnsi="Abadi"/>
          <w:b w:val="0"/>
          <w:bCs w:val="0"/>
          <w:sz w:val="21"/>
          <w:szCs w:val="21"/>
        </w:rPr>
        <w:t>’, aquel que hace referencia</w:t>
      </w:r>
      <w:r w:rsidRPr="007D7EFC">
        <w:rPr>
          <w:rFonts w:ascii="Abadi" w:hAnsi="Abadi"/>
          <w:b w:val="0"/>
          <w:bCs w:val="0"/>
          <w:spacing w:val="-3"/>
          <w:sz w:val="21"/>
          <w:szCs w:val="21"/>
        </w:rPr>
        <w:t xml:space="preserve"> </w:t>
      </w:r>
      <w:r w:rsidRPr="007D7EFC">
        <w:rPr>
          <w:rFonts w:ascii="Abadi" w:hAnsi="Abadi"/>
          <w:b w:val="0"/>
          <w:bCs w:val="0"/>
          <w:sz w:val="21"/>
          <w:szCs w:val="21"/>
        </w:rPr>
        <w:t>al</w:t>
      </w:r>
      <w:r w:rsidRPr="007D7EFC">
        <w:rPr>
          <w:rFonts w:ascii="Abadi" w:hAnsi="Abadi"/>
          <w:b w:val="0"/>
          <w:bCs w:val="0"/>
          <w:spacing w:val="-2"/>
          <w:sz w:val="21"/>
          <w:szCs w:val="21"/>
        </w:rPr>
        <w:t xml:space="preserve"> </w:t>
      </w:r>
      <w:r w:rsidRPr="007D7EFC">
        <w:rPr>
          <w:rFonts w:ascii="Abadi" w:hAnsi="Abadi"/>
          <w:b w:val="0"/>
          <w:bCs w:val="0"/>
          <w:sz w:val="21"/>
          <w:szCs w:val="21"/>
        </w:rPr>
        <w:t>profesor</w:t>
      </w:r>
      <w:r w:rsidRPr="007D7EFC">
        <w:rPr>
          <w:rFonts w:ascii="Abadi" w:hAnsi="Abadi"/>
          <w:b w:val="0"/>
          <w:bCs w:val="0"/>
          <w:spacing w:val="-3"/>
          <w:sz w:val="21"/>
          <w:szCs w:val="21"/>
        </w:rPr>
        <w:t xml:space="preserve"> </w:t>
      </w:r>
      <w:r w:rsidRPr="007D7EFC">
        <w:rPr>
          <w:rFonts w:ascii="Abadi" w:hAnsi="Abadi"/>
          <w:b w:val="0"/>
          <w:bCs w:val="0"/>
          <w:sz w:val="21"/>
          <w:szCs w:val="21"/>
        </w:rPr>
        <w:t>de la</w:t>
      </w:r>
      <w:r w:rsidRPr="007D7EFC">
        <w:rPr>
          <w:rFonts w:ascii="Abadi" w:hAnsi="Abadi"/>
          <w:b w:val="0"/>
          <w:bCs w:val="0"/>
          <w:spacing w:val="-3"/>
          <w:sz w:val="21"/>
          <w:szCs w:val="21"/>
        </w:rPr>
        <w:t xml:space="preserve"> </w:t>
      </w:r>
      <w:r w:rsidRPr="007D7EFC">
        <w:rPr>
          <w:rFonts w:ascii="Abadi" w:hAnsi="Abadi"/>
          <w:b w:val="0"/>
          <w:bCs w:val="0"/>
          <w:sz w:val="21"/>
          <w:szCs w:val="21"/>
        </w:rPr>
        <w:t>UG con</w:t>
      </w:r>
      <w:r w:rsidRPr="007D7EFC">
        <w:rPr>
          <w:rFonts w:ascii="Abadi" w:hAnsi="Abadi"/>
          <w:b w:val="0"/>
          <w:bCs w:val="0"/>
          <w:spacing w:val="-2"/>
          <w:sz w:val="21"/>
          <w:szCs w:val="21"/>
        </w:rPr>
        <w:t xml:space="preserve"> </w:t>
      </w:r>
      <w:r w:rsidRPr="007D7EFC">
        <w:rPr>
          <w:rFonts w:ascii="Abadi" w:hAnsi="Abadi"/>
          <w:b w:val="0"/>
          <w:bCs w:val="0"/>
          <w:sz w:val="21"/>
          <w:szCs w:val="21"/>
        </w:rPr>
        <w:t>señalamientos</w:t>
      </w:r>
      <w:r w:rsidRPr="007D7EFC">
        <w:rPr>
          <w:rFonts w:ascii="Abadi" w:hAnsi="Abadi"/>
          <w:b w:val="0"/>
          <w:bCs w:val="0"/>
          <w:spacing w:val="-3"/>
          <w:sz w:val="21"/>
          <w:szCs w:val="21"/>
        </w:rPr>
        <w:t xml:space="preserve"> </w:t>
      </w:r>
      <w:r w:rsidRPr="007D7EFC">
        <w:rPr>
          <w:rFonts w:ascii="Abadi" w:hAnsi="Abadi"/>
          <w:b w:val="0"/>
          <w:bCs w:val="0"/>
          <w:sz w:val="21"/>
          <w:szCs w:val="21"/>
        </w:rPr>
        <w:t>por</w:t>
      </w:r>
      <w:r w:rsidRPr="007D7EFC">
        <w:rPr>
          <w:rFonts w:ascii="Abadi" w:hAnsi="Abadi"/>
          <w:b w:val="0"/>
          <w:bCs w:val="0"/>
          <w:spacing w:val="-2"/>
          <w:sz w:val="21"/>
          <w:szCs w:val="21"/>
        </w:rPr>
        <w:t xml:space="preserve"> </w:t>
      </w:r>
      <w:r w:rsidRPr="007D7EFC">
        <w:rPr>
          <w:rFonts w:ascii="Abadi" w:hAnsi="Abadi"/>
          <w:b w:val="0"/>
          <w:bCs w:val="0"/>
          <w:sz w:val="21"/>
          <w:szCs w:val="21"/>
        </w:rPr>
        <w:t>agresión</w:t>
      </w:r>
      <w:r w:rsidRPr="007D7EFC">
        <w:rPr>
          <w:rFonts w:ascii="Abadi" w:hAnsi="Abadi"/>
          <w:b w:val="0"/>
          <w:bCs w:val="0"/>
          <w:spacing w:val="-2"/>
          <w:sz w:val="21"/>
          <w:szCs w:val="21"/>
        </w:rPr>
        <w:t xml:space="preserve"> </w:t>
      </w:r>
      <w:r w:rsidRPr="007D7EFC">
        <w:rPr>
          <w:rFonts w:ascii="Abadi" w:hAnsi="Abadi"/>
          <w:b w:val="0"/>
          <w:bCs w:val="0"/>
          <w:sz w:val="21"/>
          <w:szCs w:val="21"/>
        </w:rPr>
        <w:t>sexual,</w:t>
      </w:r>
      <w:r w:rsidRPr="007D7EFC">
        <w:rPr>
          <w:rFonts w:ascii="Abadi" w:hAnsi="Abadi"/>
          <w:b w:val="0"/>
          <w:bCs w:val="0"/>
          <w:spacing w:val="-2"/>
          <w:sz w:val="21"/>
          <w:szCs w:val="21"/>
        </w:rPr>
        <w:t xml:space="preserve"> </w:t>
      </w:r>
      <w:r w:rsidRPr="007D7EFC">
        <w:rPr>
          <w:rFonts w:ascii="Abadi" w:hAnsi="Abadi"/>
          <w:b w:val="0"/>
          <w:bCs w:val="0"/>
          <w:sz w:val="21"/>
          <w:szCs w:val="21"/>
        </w:rPr>
        <w:t>mismo</w:t>
      </w:r>
      <w:r w:rsidRPr="007D7EFC">
        <w:rPr>
          <w:rFonts w:ascii="Abadi" w:hAnsi="Abadi"/>
          <w:b w:val="0"/>
          <w:bCs w:val="0"/>
          <w:spacing w:val="-3"/>
          <w:sz w:val="21"/>
          <w:szCs w:val="21"/>
        </w:rPr>
        <w:t xml:space="preserve"> </w:t>
      </w:r>
      <w:r w:rsidRPr="007D7EFC">
        <w:rPr>
          <w:rFonts w:ascii="Abadi" w:hAnsi="Abadi"/>
          <w:b w:val="0"/>
          <w:bCs w:val="0"/>
          <w:sz w:val="21"/>
          <w:szCs w:val="21"/>
        </w:rPr>
        <w:t>que tardó</w:t>
      </w:r>
      <w:r w:rsidRPr="007D7EFC">
        <w:rPr>
          <w:rFonts w:ascii="Abadi" w:hAnsi="Abadi"/>
          <w:b w:val="0"/>
          <w:bCs w:val="0"/>
          <w:spacing w:val="-11"/>
          <w:sz w:val="21"/>
          <w:szCs w:val="21"/>
        </w:rPr>
        <w:t xml:space="preserve"> </w:t>
      </w:r>
      <w:r w:rsidRPr="007D7EFC">
        <w:rPr>
          <w:rFonts w:ascii="Abadi" w:hAnsi="Abadi"/>
          <w:b w:val="0"/>
          <w:bCs w:val="0"/>
          <w:sz w:val="21"/>
          <w:szCs w:val="21"/>
        </w:rPr>
        <w:t>dos</w:t>
      </w:r>
      <w:r w:rsidRPr="007D7EFC">
        <w:rPr>
          <w:rFonts w:ascii="Abadi" w:hAnsi="Abadi"/>
          <w:b w:val="0"/>
          <w:bCs w:val="0"/>
          <w:spacing w:val="-13"/>
          <w:sz w:val="21"/>
          <w:szCs w:val="21"/>
        </w:rPr>
        <w:t xml:space="preserve"> </w:t>
      </w:r>
      <w:r w:rsidRPr="007D7EFC">
        <w:rPr>
          <w:rFonts w:ascii="Abadi" w:hAnsi="Abadi"/>
          <w:b w:val="0"/>
          <w:bCs w:val="0"/>
          <w:sz w:val="21"/>
          <w:szCs w:val="21"/>
        </w:rPr>
        <w:t>años</w:t>
      </w:r>
      <w:r w:rsidRPr="007D7EFC">
        <w:rPr>
          <w:rFonts w:ascii="Abadi" w:hAnsi="Abadi"/>
          <w:b w:val="0"/>
          <w:bCs w:val="0"/>
          <w:spacing w:val="-13"/>
          <w:sz w:val="21"/>
          <w:szCs w:val="21"/>
        </w:rPr>
        <w:t xml:space="preserve"> </w:t>
      </w:r>
      <w:r w:rsidRPr="007D7EFC">
        <w:rPr>
          <w:rFonts w:ascii="Abadi" w:hAnsi="Abadi"/>
          <w:b w:val="0"/>
          <w:bCs w:val="0"/>
          <w:sz w:val="21"/>
          <w:szCs w:val="21"/>
        </w:rPr>
        <w:t>en</w:t>
      </w:r>
      <w:r w:rsidRPr="007D7EFC">
        <w:rPr>
          <w:rFonts w:ascii="Abadi" w:hAnsi="Abadi"/>
          <w:b w:val="0"/>
          <w:bCs w:val="0"/>
          <w:spacing w:val="-9"/>
          <w:sz w:val="21"/>
          <w:szCs w:val="21"/>
        </w:rPr>
        <w:t xml:space="preserve"> </w:t>
      </w:r>
      <w:r w:rsidRPr="007D7EFC">
        <w:rPr>
          <w:rFonts w:ascii="Abadi" w:hAnsi="Abadi"/>
          <w:b w:val="0"/>
          <w:bCs w:val="0"/>
          <w:sz w:val="21"/>
          <w:szCs w:val="21"/>
        </w:rPr>
        <w:t>resolverse,</w:t>
      </w:r>
      <w:r w:rsidRPr="007D7EFC">
        <w:rPr>
          <w:rFonts w:ascii="Abadi" w:hAnsi="Abadi"/>
          <w:b w:val="0"/>
          <w:bCs w:val="0"/>
          <w:spacing w:val="-10"/>
          <w:sz w:val="21"/>
          <w:szCs w:val="21"/>
        </w:rPr>
        <w:t xml:space="preserve"> </w:t>
      </w:r>
      <w:r w:rsidRPr="007D7EFC">
        <w:rPr>
          <w:rFonts w:ascii="Abadi" w:hAnsi="Abadi"/>
          <w:b w:val="0"/>
          <w:bCs w:val="0"/>
          <w:sz w:val="21"/>
          <w:szCs w:val="21"/>
        </w:rPr>
        <w:t>la</w:t>
      </w:r>
      <w:r w:rsidRPr="007D7EFC">
        <w:rPr>
          <w:rFonts w:ascii="Abadi" w:hAnsi="Abadi"/>
          <w:b w:val="0"/>
          <w:bCs w:val="0"/>
          <w:spacing w:val="-12"/>
          <w:sz w:val="21"/>
          <w:szCs w:val="21"/>
        </w:rPr>
        <w:t xml:space="preserve"> </w:t>
      </w:r>
      <w:r w:rsidRPr="007D7EFC">
        <w:rPr>
          <w:rFonts w:ascii="Abadi" w:hAnsi="Abadi"/>
          <w:b w:val="0"/>
          <w:bCs w:val="0"/>
          <w:sz w:val="21"/>
          <w:szCs w:val="21"/>
        </w:rPr>
        <w:t>Universidad</w:t>
      </w:r>
      <w:r w:rsidRPr="007D7EFC">
        <w:rPr>
          <w:rFonts w:ascii="Abadi" w:hAnsi="Abadi"/>
          <w:b w:val="0"/>
          <w:bCs w:val="0"/>
          <w:spacing w:val="-11"/>
          <w:sz w:val="21"/>
          <w:szCs w:val="21"/>
        </w:rPr>
        <w:t xml:space="preserve"> </w:t>
      </w:r>
      <w:r w:rsidRPr="007D7EFC">
        <w:rPr>
          <w:rFonts w:ascii="Abadi" w:hAnsi="Abadi"/>
          <w:b w:val="0"/>
          <w:bCs w:val="0"/>
          <w:sz w:val="21"/>
          <w:szCs w:val="21"/>
        </w:rPr>
        <w:t>activó</w:t>
      </w:r>
      <w:r w:rsidRPr="007D7EFC">
        <w:rPr>
          <w:rFonts w:ascii="Abadi" w:hAnsi="Abadi"/>
          <w:b w:val="0"/>
          <w:bCs w:val="0"/>
          <w:spacing w:val="-12"/>
          <w:sz w:val="21"/>
          <w:szCs w:val="21"/>
        </w:rPr>
        <w:t xml:space="preserve"> </w:t>
      </w:r>
      <w:r w:rsidRPr="007D7EFC">
        <w:rPr>
          <w:rFonts w:ascii="Abadi" w:hAnsi="Abadi"/>
          <w:b w:val="0"/>
          <w:bCs w:val="0"/>
          <w:sz w:val="21"/>
          <w:szCs w:val="21"/>
        </w:rPr>
        <w:t>protocolos</w:t>
      </w:r>
      <w:r w:rsidRPr="007D7EFC">
        <w:rPr>
          <w:rFonts w:ascii="Abadi" w:hAnsi="Abadi"/>
          <w:b w:val="0"/>
          <w:bCs w:val="0"/>
          <w:spacing w:val="-12"/>
          <w:sz w:val="21"/>
          <w:szCs w:val="21"/>
        </w:rPr>
        <w:t xml:space="preserve"> </w:t>
      </w:r>
      <w:r w:rsidRPr="007D7EFC">
        <w:rPr>
          <w:rFonts w:ascii="Abadi" w:hAnsi="Abadi"/>
          <w:b w:val="0"/>
          <w:bCs w:val="0"/>
          <w:sz w:val="21"/>
          <w:szCs w:val="21"/>
        </w:rPr>
        <w:t>contra</w:t>
      </w:r>
      <w:r w:rsidRPr="007D7EFC">
        <w:rPr>
          <w:rFonts w:ascii="Abadi" w:hAnsi="Abadi"/>
          <w:b w:val="0"/>
          <w:bCs w:val="0"/>
          <w:spacing w:val="-10"/>
          <w:sz w:val="21"/>
          <w:szCs w:val="21"/>
        </w:rPr>
        <w:t xml:space="preserve"> </w:t>
      </w:r>
      <w:r w:rsidRPr="007D7EFC">
        <w:rPr>
          <w:rFonts w:ascii="Abadi" w:hAnsi="Abadi"/>
          <w:b w:val="0"/>
          <w:bCs w:val="0"/>
          <w:sz w:val="21"/>
          <w:szCs w:val="21"/>
        </w:rPr>
        <w:t>la</w:t>
      </w:r>
      <w:r w:rsidRPr="007D7EFC">
        <w:rPr>
          <w:rFonts w:ascii="Abadi" w:hAnsi="Abadi"/>
          <w:b w:val="0"/>
          <w:bCs w:val="0"/>
          <w:spacing w:val="-12"/>
          <w:sz w:val="21"/>
          <w:szCs w:val="21"/>
        </w:rPr>
        <w:t xml:space="preserve"> </w:t>
      </w:r>
      <w:r w:rsidRPr="007D7EFC">
        <w:rPr>
          <w:rFonts w:ascii="Abadi" w:hAnsi="Abadi"/>
          <w:b w:val="0"/>
          <w:bCs w:val="0"/>
          <w:sz w:val="21"/>
          <w:szCs w:val="21"/>
        </w:rPr>
        <w:t>violencia</w:t>
      </w:r>
      <w:r w:rsidRPr="007D7EFC">
        <w:rPr>
          <w:rFonts w:ascii="Abadi" w:hAnsi="Abadi"/>
          <w:b w:val="0"/>
          <w:bCs w:val="0"/>
          <w:spacing w:val="-12"/>
          <w:sz w:val="21"/>
          <w:szCs w:val="21"/>
        </w:rPr>
        <w:t xml:space="preserve"> </w:t>
      </w:r>
      <w:r w:rsidRPr="007D7EFC">
        <w:rPr>
          <w:rFonts w:ascii="Abadi" w:hAnsi="Abadi"/>
          <w:b w:val="0"/>
          <w:bCs w:val="0"/>
          <w:sz w:val="21"/>
          <w:szCs w:val="21"/>
        </w:rPr>
        <w:t xml:space="preserve">de género, creando así la ventanilla </w:t>
      </w:r>
      <w:proofErr w:type="spellStart"/>
      <w:r w:rsidRPr="007D7EFC">
        <w:rPr>
          <w:rFonts w:ascii="Abadi" w:hAnsi="Abadi"/>
          <w:b w:val="0"/>
          <w:bCs w:val="0"/>
          <w:sz w:val="21"/>
          <w:szCs w:val="21"/>
        </w:rPr>
        <w:t>UGénero</w:t>
      </w:r>
      <w:proofErr w:type="spellEnd"/>
      <w:r w:rsidRPr="007D7EFC">
        <w:rPr>
          <w:rFonts w:ascii="Abadi" w:hAnsi="Abadi"/>
          <w:b w:val="0"/>
          <w:bCs w:val="0"/>
          <w:sz w:val="21"/>
          <w:szCs w:val="21"/>
        </w:rPr>
        <w:t>.</w:t>
      </w:r>
    </w:p>
    <w:p w14:paraId="0783FA5A" w14:textId="77777777" w:rsidR="00483135" w:rsidRPr="00F12839" w:rsidRDefault="00483135" w:rsidP="00F12839">
      <w:pPr>
        <w:pStyle w:val="Textoindependiente"/>
        <w:spacing w:before="159"/>
        <w:rPr>
          <w:rFonts w:ascii="Abadi" w:hAnsi="Abadi"/>
          <w:b w:val="0"/>
          <w:bCs w:val="0"/>
          <w:sz w:val="21"/>
          <w:szCs w:val="21"/>
        </w:rPr>
      </w:pPr>
      <w:r w:rsidRPr="00F12839">
        <w:rPr>
          <w:rFonts w:ascii="Abadi" w:hAnsi="Abadi"/>
          <w:b w:val="0"/>
          <w:bCs w:val="0"/>
          <w:sz w:val="21"/>
          <w:szCs w:val="21"/>
        </w:rPr>
        <w:t>Sin embargo, los casos de violencia de género no han parado, al contrario, la impunidad y omisión que se vive por parte de las autoridades han provocado un incremento en los casos de violencia de género dentro de la institución, por ejemplo:</w:t>
      </w:r>
    </w:p>
    <w:p w14:paraId="6D27F715" w14:textId="77777777" w:rsidR="00483135" w:rsidRPr="00F12839" w:rsidRDefault="00483135" w:rsidP="00F12839">
      <w:pPr>
        <w:pStyle w:val="Textoindependiente"/>
        <w:spacing w:before="160"/>
        <w:ind w:firstLine="707"/>
        <w:rPr>
          <w:rFonts w:ascii="Abadi" w:hAnsi="Abadi"/>
          <w:b w:val="0"/>
          <w:bCs w:val="0"/>
          <w:sz w:val="21"/>
          <w:szCs w:val="21"/>
        </w:rPr>
      </w:pPr>
      <w:r w:rsidRPr="00F12839">
        <w:rPr>
          <w:rFonts w:ascii="Abadi" w:hAnsi="Abadi"/>
          <w:b w:val="0"/>
          <w:bCs w:val="0"/>
          <w:sz w:val="21"/>
          <w:szCs w:val="21"/>
        </w:rPr>
        <w:t>En marzo de este año, alumnas de la Escuela de Nivel Medio Superior de León (ENMS) denunciaron que las autoridades escolares ignoraron los casos de acoso sexual de estudiantes varones hacía estudiantes mujeres.</w:t>
      </w:r>
    </w:p>
    <w:p w14:paraId="313ECDCB" w14:textId="77777777" w:rsidR="00483135" w:rsidRPr="00F12839" w:rsidRDefault="00483135" w:rsidP="00F12839">
      <w:pPr>
        <w:pStyle w:val="Textoindependiente"/>
        <w:spacing w:before="162"/>
        <w:ind w:firstLine="707"/>
        <w:rPr>
          <w:rFonts w:ascii="Abadi" w:hAnsi="Abadi"/>
          <w:b w:val="0"/>
          <w:bCs w:val="0"/>
          <w:sz w:val="21"/>
          <w:szCs w:val="21"/>
        </w:rPr>
      </w:pPr>
      <w:r w:rsidRPr="00F12839">
        <w:rPr>
          <w:rFonts w:ascii="Abadi" w:hAnsi="Abadi"/>
          <w:b w:val="0"/>
          <w:bCs w:val="0"/>
          <w:sz w:val="21"/>
          <w:szCs w:val="21"/>
        </w:rPr>
        <w:t>En mayo, 15 alumnas de la Escuela de Enfermería de la Universidad de Guanajuato denunciaron casos de acoso y amenazas.</w:t>
      </w:r>
    </w:p>
    <w:p w14:paraId="5169A1F6" w14:textId="77777777" w:rsidR="00483135" w:rsidRPr="00F12839" w:rsidRDefault="00483135" w:rsidP="00F12839">
      <w:pPr>
        <w:pStyle w:val="Textoindependiente"/>
        <w:spacing w:before="159"/>
        <w:ind w:firstLine="707"/>
        <w:rPr>
          <w:rFonts w:ascii="Abadi" w:hAnsi="Abadi"/>
          <w:b w:val="0"/>
          <w:bCs w:val="0"/>
          <w:sz w:val="21"/>
          <w:szCs w:val="21"/>
        </w:rPr>
      </w:pPr>
      <w:r w:rsidRPr="00F12839">
        <w:rPr>
          <w:rFonts w:ascii="Abadi" w:hAnsi="Abadi"/>
          <w:b w:val="0"/>
          <w:bCs w:val="0"/>
          <w:sz w:val="21"/>
          <w:szCs w:val="21"/>
        </w:rPr>
        <w:t>Y en este mes de junio un grupo de estudiantes de Licenciatura de Artes Escénicas denunciaron violencia psicológica y física cometida por un maestro.</w:t>
      </w:r>
    </w:p>
    <w:p w14:paraId="04DDD7D8" w14:textId="5C774391" w:rsidR="008D363B" w:rsidRPr="00D611E2" w:rsidRDefault="008D363B" w:rsidP="00005EB9">
      <w:pPr>
        <w:pStyle w:val="Textoindependiente"/>
        <w:rPr>
          <w:rFonts w:ascii="Abadi" w:hAnsi="Abadi"/>
          <w:b w:val="0"/>
          <w:bCs w:val="0"/>
          <w:sz w:val="21"/>
          <w:szCs w:val="21"/>
        </w:rPr>
      </w:pPr>
    </w:p>
    <w:p w14:paraId="0734F32F" w14:textId="77777777" w:rsidR="00936E78" w:rsidRPr="00BA15D8" w:rsidRDefault="00936E78" w:rsidP="00BA15D8">
      <w:pPr>
        <w:pStyle w:val="Textoindependiente"/>
        <w:spacing w:before="92"/>
        <w:ind w:right="142"/>
        <w:rPr>
          <w:rFonts w:ascii="Abadi" w:hAnsi="Abadi"/>
          <w:b w:val="0"/>
          <w:bCs w:val="0"/>
          <w:sz w:val="21"/>
          <w:szCs w:val="21"/>
        </w:rPr>
      </w:pPr>
      <w:r w:rsidRPr="00BA15D8">
        <w:rPr>
          <w:rFonts w:ascii="Abadi" w:hAnsi="Abadi"/>
          <w:b w:val="0"/>
          <w:bCs w:val="0"/>
          <w:sz w:val="21"/>
          <w:szCs w:val="21"/>
        </w:rPr>
        <w:t>La</w:t>
      </w:r>
      <w:r w:rsidRPr="00BA15D8">
        <w:rPr>
          <w:rFonts w:ascii="Abadi" w:hAnsi="Abadi"/>
          <w:b w:val="0"/>
          <w:bCs w:val="0"/>
          <w:spacing w:val="-4"/>
          <w:sz w:val="21"/>
          <w:szCs w:val="21"/>
        </w:rPr>
        <w:t xml:space="preserve"> </w:t>
      </w:r>
      <w:r w:rsidRPr="00BA15D8">
        <w:rPr>
          <w:rFonts w:ascii="Abadi" w:hAnsi="Abadi"/>
          <w:b w:val="0"/>
          <w:bCs w:val="0"/>
          <w:sz w:val="21"/>
          <w:szCs w:val="21"/>
        </w:rPr>
        <w:t>lista</w:t>
      </w:r>
      <w:r w:rsidRPr="00BA15D8">
        <w:rPr>
          <w:rFonts w:ascii="Abadi" w:hAnsi="Abadi"/>
          <w:b w:val="0"/>
          <w:bCs w:val="0"/>
          <w:spacing w:val="-3"/>
          <w:sz w:val="21"/>
          <w:szCs w:val="21"/>
        </w:rPr>
        <w:t xml:space="preserve"> </w:t>
      </w:r>
      <w:r w:rsidRPr="00BA15D8">
        <w:rPr>
          <w:rFonts w:ascii="Abadi" w:hAnsi="Abadi"/>
          <w:b w:val="0"/>
          <w:bCs w:val="0"/>
          <w:sz w:val="21"/>
          <w:szCs w:val="21"/>
        </w:rPr>
        <w:t>de</w:t>
      </w:r>
      <w:r w:rsidRPr="00BA15D8">
        <w:rPr>
          <w:rFonts w:ascii="Abadi" w:hAnsi="Abadi"/>
          <w:b w:val="0"/>
          <w:bCs w:val="0"/>
          <w:spacing w:val="-4"/>
          <w:sz w:val="21"/>
          <w:szCs w:val="21"/>
        </w:rPr>
        <w:t xml:space="preserve"> </w:t>
      </w:r>
      <w:r w:rsidRPr="00BA15D8">
        <w:rPr>
          <w:rFonts w:ascii="Abadi" w:hAnsi="Abadi"/>
          <w:b w:val="0"/>
          <w:bCs w:val="0"/>
          <w:sz w:val="21"/>
          <w:szCs w:val="21"/>
        </w:rPr>
        <w:t>casos</w:t>
      </w:r>
      <w:r w:rsidRPr="00BA15D8">
        <w:rPr>
          <w:rFonts w:ascii="Abadi" w:hAnsi="Abadi"/>
          <w:b w:val="0"/>
          <w:bCs w:val="0"/>
          <w:spacing w:val="-4"/>
          <w:sz w:val="21"/>
          <w:szCs w:val="21"/>
        </w:rPr>
        <w:t xml:space="preserve"> </w:t>
      </w:r>
      <w:r w:rsidRPr="00BA15D8">
        <w:rPr>
          <w:rFonts w:ascii="Abadi" w:hAnsi="Abadi"/>
          <w:b w:val="0"/>
          <w:bCs w:val="0"/>
          <w:sz w:val="21"/>
          <w:szCs w:val="21"/>
        </w:rPr>
        <w:t>de</w:t>
      </w:r>
      <w:r w:rsidRPr="00BA15D8">
        <w:rPr>
          <w:rFonts w:ascii="Abadi" w:hAnsi="Abadi"/>
          <w:b w:val="0"/>
          <w:bCs w:val="0"/>
          <w:spacing w:val="-4"/>
          <w:sz w:val="21"/>
          <w:szCs w:val="21"/>
        </w:rPr>
        <w:t xml:space="preserve"> </w:t>
      </w:r>
      <w:r w:rsidRPr="00BA15D8">
        <w:rPr>
          <w:rFonts w:ascii="Abadi" w:hAnsi="Abadi"/>
          <w:b w:val="0"/>
          <w:bCs w:val="0"/>
          <w:sz w:val="21"/>
          <w:szCs w:val="21"/>
        </w:rPr>
        <w:t>violencia</w:t>
      </w:r>
      <w:r w:rsidRPr="00BA15D8">
        <w:rPr>
          <w:rFonts w:ascii="Abadi" w:hAnsi="Abadi"/>
          <w:b w:val="0"/>
          <w:bCs w:val="0"/>
          <w:spacing w:val="-4"/>
          <w:sz w:val="21"/>
          <w:szCs w:val="21"/>
        </w:rPr>
        <w:t xml:space="preserve"> </w:t>
      </w:r>
      <w:r w:rsidRPr="00BA15D8">
        <w:rPr>
          <w:rFonts w:ascii="Abadi" w:hAnsi="Abadi"/>
          <w:b w:val="0"/>
          <w:bCs w:val="0"/>
          <w:sz w:val="21"/>
          <w:szCs w:val="21"/>
        </w:rPr>
        <w:t>de</w:t>
      </w:r>
      <w:r w:rsidRPr="00BA15D8">
        <w:rPr>
          <w:rFonts w:ascii="Abadi" w:hAnsi="Abadi"/>
          <w:b w:val="0"/>
          <w:bCs w:val="0"/>
          <w:spacing w:val="-4"/>
          <w:sz w:val="21"/>
          <w:szCs w:val="21"/>
        </w:rPr>
        <w:t xml:space="preserve"> </w:t>
      </w:r>
      <w:r w:rsidRPr="00BA15D8">
        <w:rPr>
          <w:rFonts w:ascii="Abadi" w:hAnsi="Abadi"/>
          <w:b w:val="0"/>
          <w:bCs w:val="0"/>
          <w:sz w:val="21"/>
          <w:szCs w:val="21"/>
        </w:rPr>
        <w:t>género</w:t>
      </w:r>
      <w:r w:rsidRPr="00BA15D8">
        <w:rPr>
          <w:rFonts w:ascii="Abadi" w:hAnsi="Abadi"/>
          <w:b w:val="0"/>
          <w:bCs w:val="0"/>
          <w:spacing w:val="-3"/>
          <w:sz w:val="21"/>
          <w:szCs w:val="21"/>
        </w:rPr>
        <w:t xml:space="preserve"> </w:t>
      </w:r>
      <w:r w:rsidRPr="00BA15D8">
        <w:rPr>
          <w:rFonts w:ascii="Abadi" w:hAnsi="Abadi"/>
          <w:b w:val="0"/>
          <w:bCs w:val="0"/>
          <w:sz w:val="21"/>
          <w:szCs w:val="21"/>
        </w:rPr>
        <w:t>es</w:t>
      </w:r>
      <w:r w:rsidRPr="00BA15D8">
        <w:rPr>
          <w:rFonts w:ascii="Abadi" w:hAnsi="Abadi"/>
          <w:b w:val="0"/>
          <w:bCs w:val="0"/>
          <w:spacing w:val="-4"/>
          <w:sz w:val="21"/>
          <w:szCs w:val="21"/>
        </w:rPr>
        <w:t xml:space="preserve"> </w:t>
      </w:r>
      <w:r w:rsidRPr="00BA15D8">
        <w:rPr>
          <w:rFonts w:ascii="Abadi" w:hAnsi="Abadi"/>
          <w:b w:val="0"/>
          <w:bCs w:val="0"/>
          <w:sz w:val="21"/>
          <w:szCs w:val="21"/>
        </w:rPr>
        <w:t>larga,</w:t>
      </w:r>
      <w:r w:rsidRPr="00BA15D8">
        <w:rPr>
          <w:rFonts w:ascii="Abadi" w:hAnsi="Abadi"/>
          <w:b w:val="0"/>
          <w:bCs w:val="0"/>
          <w:spacing w:val="-4"/>
          <w:sz w:val="21"/>
          <w:szCs w:val="21"/>
        </w:rPr>
        <w:t xml:space="preserve"> </w:t>
      </w:r>
      <w:r w:rsidRPr="00BA15D8">
        <w:rPr>
          <w:rFonts w:ascii="Abadi" w:hAnsi="Abadi"/>
          <w:b w:val="0"/>
          <w:bCs w:val="0"/>
          <w:sz w:val="21"/>
          <w:szCs w:val="21"/>
        </w:rPr>
        <w:t>y</w:t>
      </w:r>
      <w:r w:rsidRPr="00BA15D8">
        <w:rPr>
          <w:rFonts w:ascii="Abadi" w:hAnsi="Abadi"/>
          <w:b w:val="0"/>
          <w:bCs w:val="0"/>
          <w:spacing w:val="-4"/>
          <w:sz w:val="21"/>
          <w:szCs w:val="21"/>
        </w:rPr>
        <w:t xml:space="preserve"> </w:t>
      </w:r>
      <w:r w:rsidRPr="00BA15D8">
        <w:rPr>
          <w:rFonts w:ascii="Abadi" w:hAnsi="Abadi"/>
          <w:b w:val="0"/>
          <w:bCs w:val="0"/>
          <w:sz w:val="21"/>
          <w:szCs w:val="21"/>
        </w:rPr>
        <w:t>esto</w:t>
      </w:r>
      <w:r w:rsidRPr="00BA15D8">
        <w:rPr>
          <w:rFonts w:ascii="Abadi" w:hAnsi="Abadi"/>
          <w:b w:val="0"/>
          <w:bCs w:val="0"/>
          <w:spacing w:val="-4"/>
          <w:sz w:val="21"/>
          <w:szCs w:val="21"/>
        </w:rPr>
        <w:t xml:space="preserve"> </w:t>
      </w:r>
      <w:r w:rsidRPr="00BA15D8">
        <w:rPr>
          <w:rFonts w:ascii="Abadi" w:hAnsi="Abadi"/>
          <w:b w:val="0"/>
          <w:bCs w:val="0"/>
          <w:sz w:val="21"/>
          <w:szCs w:val="21"/>
        </w:rPr>
        <w:t>es</w:t>
      </w:r>
      <w:r w:rsidRPr="00BA15D8">
        <w:rPr>
          <w:rFonts w:ascii="Abadi" w:hAnsi="Abadi"/>
          <w:b w:val="0"/>
          <w:bCs w:val="0"/>
          <w:spacing w:val="-4"/>
          <w:sz w:val="21"/>
          <w:szCs w:val="21"/>
        </w:rPr>
        <w:t xml:space="preserve"> </w:t>
      </w:r>
      <w:r w:rsidRPr="00BA15D8">
        <w:rPr>
          <w:rFonts w:ascii="Abadi" w:hAnsi="Abadi"/>
          <w:b w:val="0"/>
          <w:bCs w:val="0"/>
          <w:sz w:val="21"/>
          <w:szCs w:val="21"/>
        </w:rPr>
        <w:t>solamente</w:t>
      </w:r>
      <w:r w:rsidRPr="00BA15D8">
        <w:rPr>
          <w:rFonts w:ascii="Abadi" w:hAnsi="Abadi"/>
          <w:b w:val="0"/>
          <w:bCs w:val="0"/>
          <w:spacing w:val="-3"/>
          <w:sz w:val="21"/>
          <w:szCs w:val="21"/>
        </w:rPr>
        <w:t xml:space="preserve"> </w:t>
      </w:r>
      <w:r w:rsidRPr="00BA15D8">
        <w:rPr>
          <w:rFonts w:ascii="Abadi" w:hAnsi="Abadi"/>
          <w:b w:val="0"/>
          <w:bCs w:val="0"/>
          <w:sz w:val="21"/>
          <w:szCs w:val="21"/>
        </w:rPr>
        <w:t>de</w:t>
      </w:r>
      <w:r w:rsidRPr="00BA15D8">
        <w:rPr>
          <w:rFonts w:ascii="Abadi" w:hAnsi="Abadi"/>
          <w:b w:val="0"/>
          <w:bCs w:val="0"/>
          <w:spacing w:val="-4"/>
          <w:sz w:val="21"/>
          <w:szCs w:val="21"/>
        </w:rPr>
        <w:t xml:space="preserve"> </w:t>
      </w:r>
      <w:r w:rsidRPr="00BA15D8">
        <w:rPr>
          <w:rFonts w:ascii="Abadi" w:hAnsi="Abadi"/>
          <w:b w:val="0"/>
          <w:bCs w:val="0"/>
          <w:sz w:val="21"/>
          <w:szCs w:val="21"/>
        </w:rPr>
        <w:t>los</w:t>
      </w:r>
      <w:r w:rsidRPr="00BA15D8">
        <w:rPr>
          <w:rFonts w:ascii="Abadi" w:hAnsi="Abadi"/>
          <w:b w:val="0"/>
          <w:bCs w:val="0"/>
          <w:spacing w:val="-4"/>
          <w:sz w:val="21"/>
          <w:szCs w:val="21"/>
        </w:rPr>
        <w:t xml:space="preserve"> </w:t>
      </w:r>
      <w:r w:rsidRPr="00BA15D8">
        <w:rPr>
          <w:rFonts w:ascii="Abadi" w:hAnsi="Abadi"/>
          <w:b w:val="0"/>
          <w:bCs w:val="0"/>
          <w:sz w:val="21"/>
          <w:szCs w:val="21"/>
        </w:rPr>
        <w:t xml:space="preserve">casos que </w:t>
      </w:r>
      <w:r w:rsidRPr="00BA15D8">
        <w:rPr>
          <w:rFonts w:ascii="Abadi" w:hAnsi="Abadi"/>
          <w:b w:val="0"/>
          <w:bCs w:val="0"/>
          <w:sz w:val="21"/>
          <w:szCs w:val="21"/>
        </w:rPr>
        <w:lastRenderedPageBreak/>
        <w:t>han sido públicos, a esto habría que agregar los casos no denunciados aún.</w:t>
      </w:r>
    </w:p>
    <w:p w14:paraId="1561F4EB" w14:textId="77777777" w:rsidR="00936E78" w:rsidRPr="00BA15D8" w:rsidRDefault="00936E78" w:rsidP="00BA15D8">
      <w:pPr>
        <w:pStyle w:val="Textoindependiente"/>
        <w:spacing w:before="158"/>
        <w:ind w:right="142"/>
        <w:rPr>
          <w:rFonts w:ascii="Abadi" w:hAnsi="Abadi"/>
          <w:b w:val="0"/>
          <w:bCs w:val="0"/>
          <w:sz w:val="21"/>
          <w:szCs w:val="21"/>
        </w:rPr>
      </w:pPr>
      <w:r w:rsidRPr="00BA15D8">
        <w:rPr>
          <w:rFonts w:ascii="Abadi" w:hAnsi="Abadi"/>
          <w:b w:val="0"/>
          <w:bCs w:val="0"/>
          <w:sz w:val="21"/>
          <w:szCs w:val="21"/>
        </w:rPr>
        <w:t>Hasta el momento, el protocolo y la respuesta para atender la violencia de género en la Universidad de Guanajuato han sido insuficientes y con serios problemas de fondo,</w:t>
      </w:r>
      <w:r w:rsidRPr="00BA15D8">
        <w:rPr>
          <w:rFonts w:ascii="Abadi" w:hAnsi="Abadi"/>
          <w:b w:val="0"/>
          <w:bCs w:val="0"/>
          <w:spacing w:val="-14"/>
          <w:sz w:val="21"/>
          <w:szCs w:val="21"/>
        </w:rPr>
        <w:t xml:space="preserve"> </w:t>
      </w:r>
      <w:r w:rsidRPr="00BA15D8">
        <w:rPr>
          <w:rFonts w:ascii="Abadi" w:hAnsi="Abadi"/>
          <w:b w:val="0"/>
          <w:bCs w:val="0"/>
          <w:sz w:val="21"/>
          <w:szCs w:val="21"/>
        </w:rPr>
        <w:t>pues</w:t>
      </w:r>
      <w:r w:rsidRPr="00BA15D8">
        <w:rPr>
          <w:rFonts w:ascii="Abadi" w:hAnsi="Abadi"/>
          <w:b w:val="0"/>
          <w:bCs w:val="0"/>
          <w:spacing w:val="-17"/>
          <w:sz w:val="21"/>
          <w:szCs w:val="21"/>
        </w:rPr>
        <w:t xml:space="preserve"> </w:t>
      </w:r>
      <w:r w:rsidRPr="00BA15D8">
        <w:rPr>
          <w:rFonts w:ascii="Abadi" w:hAnsi="Abadi"/>
          <w:b w:val="0"/>
          <w:bCs w:val="0"/>
          <w:sz w:val="21"/>
          <w:szCs w:val="21"/>
        </w:rPr>
        <w:t>no</w:t>
      </w:r>
      <w:r w:rsidRPr="00BA15D8">
        <w:rPr>
          <w:rFonts w:ascii="Abadi" w:hAnsi="Abadi"/>
          <w:b w:val="0"/>
          <w:bCs w:val="0"/>
          <w:spacing w:val="-14"/>
          <w:sz w:val="21"/>
          <w:szCs w:val="21"/>
        </w:rPr>
        <w:t xml:space="preserve"> </w:t>
      </w:r>
      <w:r w:rsidRPr="00BA15D8">
        <w:rPr>
          <w:rFonts w:ascii="Abadi" w:hAnsi="Abadi"/>
          <w:b w:val="0"/>
          <w:bCs w:val="0"/>
          <w:sz w:val="21"/>
          <w:szCs w:val="21"/>
        </w:rPr>
        <w:t>cuenta</w:t>
      </w:r>
      <w:r w:rsidRPr="00BA15D8">
        <w:rPr>
          <w:rFonts w:ascii="Abadi" w:hAnsi="Abadi"/>
          <w:b w:val="0"/>
          <w:bCs w:val="0"/>
          <w:spacing w:val="-16"/>
          <w:sz w:val="21"/>
          <w:szCs w:val="21"/>
        </w:rPr>
        <w:t xml:space="preserve"> </w:t>
      </w:r>
      <w:r w:rsidRPr="00BA15D8">
        <w:rPr>
          <w:rFonts w:ascii="Abadi" w:hAnsi="Abadi"/>
          <w:b w:val="0"/>
          <w:bCs w:val="0"/>
          <w:sz w:val="21"/>
          <w:szCs w:val="21"/>
        </w:rPr>
        <w:t>con</w:t>
      </w:r>
      <w:r w:rsidRPr="00BA15D8">
        <w:rPr>
          <w:rFonts w:ascii="Abadi" w:hAnsi="Abadi"/>
          <w:b w:val="0"/>
          <w:bCs w:val="0"/>
          <w:spacing w:val="-14"/>
          <w:sz w:val="21"/>
          <w:szCs w:val="21"/>
        </w:rPr>
        <w:t xml:space="preserve"> </w:t>
      </w:r>
      <w:r w:rsidRPr="00BA15D8">
        <w:rPr>
          <w:rFonts w:ascii="Abadi" w:hAnsi="Abadi"/>
          <w:b w:val="0"/>
          <w:bCs w:val="0"/>
          <w:sz w:val="21"/>
          <w:szCs w:val="21"/>
        </w:rPr>
        <w:t>ejes</w:t>
      </w:r>
      <w:r w:rsidRPr="00BA15D8">
        <w:rPr>
          <w:rFonts w:ascii="Abadi" w:hAnsi="Abadi"/>
          <w:b w:val="0"/>
          <w:bCs w:val="0"/>
          <w:spacing w:val="-17"/>
          <w:sz w:val="21"/>
          <w:szCs w:val="21"/>
        </w:rPr>
        <w:t xml:space="preserve"> </w:t>
      </w:r>
      <w:r w:rsidRPr="00BA15D8">
        <w:rPr>
          <w:rFonts w:ascii="Abadi" w:hAnsi="Abadi"/>
          <w:b w:val="0"/>
          <w:bCs w:val="0"/>
          <w:sz w:val="21"/>
          <w:szCs w:val="21"/>
        </w:rPr>
        <w:t>claros</w:t>
      </w:r>
      <w:r w:rsidRPr="00BA15D8">
        <w:rPr>
          <w:rFonts w:ascii="Abadi" w:hAnsi="Abadi"/>
          <w:b w:val="0"/>
          <w:bCs w:val="0"/>
          <w:spacing w:val="-15"/>
          <w:sz w:val="21"/>
          <w:szCs w:val="21"/>
        </w:rPr>
        <w:t xml:space="preserve"> </w:t>
      </w:r>
      <w:r w:rsidRPr="00BA15D8">
        <w:rPr>
          <w:rFonts w:ascii="Abadi" w:hAnsi="Abadi"/>
          <w:b w:val="0"/>
          <w:bCs w:val="0"/>
          <w:sz w:val="21"/>
          <w:szCs w:val="21"/>
        </w:rPr>
        <w:t>que</w:t>
      </w:r>
      <w:r w:rsidRPr="00BA15D8">
        <w:rPr>
          <w:rFonts w:ascii="Abadi" w:hAnsi="Abadi"/>
          <w:b w:val="0"/>
          <w:bCs w:val="0"/>
          <w:spacing w:val="-17"/>
          <w:sz w:val="21"/>
          <w:szCs w:val="21"/>
        </w:rPr>
        <w:t xml:space="preserve"> </w:t>
      </w:r>
      <w:r w:rsidRPr="00BA15D8">
        <w:rPr>
          <w:rFonts w:ascii="Abadi" w:hAnsi="Abadi"/>
          <w:b w:val="0"/>
          <w:bCs w:val="0"/>
          <w:sz w:val="21"/>
          <w:szCs w:val="21"/>
        </w:rPr>
        <w:t>permitan</w:t>
      </w:r>
      <w:r w:rsidRPr="00BA15D8">
        <w:rPr>
          <w:rFonts w:ascii="Abadi" w:hAnsi="Abadi"/>
          <w:b w:val="0"/>
          <w:bCs w:val="0"/>
          <w:spacing w:val="-16"/>
          <w:sz w:val="21"/>
          <w:szCs w:val="21"/>
        </w:rPr>
        <w:t xml:space="preserve"> </w:t>
      </w:r>
      <w:r w:rsidRPr="00BA15D8">
        <w:rPr>
          <w:rFonts w:ascii="Abadi" w:hAnsi="Abadi"/>
          <w:b w:val="0"/>
          <w:bCs w:val="0"/>
          <w:sz w:val="21"/>
          <w:szCs w:val="21"/>
        </w:rPr>
        <w:t>prevenir</w:t>
      </w:r>
      <w:r w:rsidRPr="00BA15D8">
        <w:rPr>
          <w:rFonts w:ascii="Abadi" w:hAnsi="Abadi"/>
          <w:b w:val="0"/>
          <w:bCs w:val="0"/>
          <w:spacing w:val="-15"/>
          <w:sz w:val="21"/>
          <w:szCs w:val="21"/>
        </w:rPr>
        <w:t xml:space="preserve"> </w:t>
      </w:r>
      <w:r w:rsidRPr="00BA15D8">
        <w:rPr>
          <w:rFonts w:ascii="Abadi" w:hAnsi="Abadi"/>
          <w:b w:val="0"/>
          <w:bCs w:val="0"/>
          <w:sz w:val="21"/>
          <w:szCs w:val="21"/>
        </w:rPr>
        <w:t>de</w:t>
      </w:r>
      <w:r w:rsidRPr="00BA15D8">
        <w:rPr>
          <w:rFonts w:ascii="Abadi" w:hAnsi="Abadi"/>
          <w:b w:val="0"/>
          <w:bCs w:val="0"/>
          <w:spacing w:val="-17"/>
          <w:sz w:val="21"/>
          <w:szCs w:val="21"/>
        </w:rPr>
        <w:t xml:space="preserve"> </w:t>
      </w:r>
      <w:r w:rsidRPr="00BA15D8">
        <w:rPr>
          <w:rFonts w:ascii="Abadi" w:hAnsi="Abadi"/>
          <w:b w:val="0"/>
          <w:bCs w:val="0"/>
          <w:sz w:val="21"/>
          <w:szCs w:val="21"/>
        </w:rPr>
        <w:t>forma</w:t>
      </w:r>
      <w:r w:rsidRPr="00BA15D8">
        <w:rPr>
          <w:rFonts w:ascii="Abadi" w:hAnsi="Abadi"/>
          <w:b w:val="0"/>
          <w:bCs w:val="0"/>
          <w:spacing w:val="-14"/>
          <w:sz w:val="21"/>
          <w:szCs w:val="21"/>
        </w:rPr>
        <w:t xml:space="preserve"> </w:t>
      </w:r>
      <w:r w:rsidRPr="00BA15D8">
        <w:rPr>
          <w:rFonts w:ascii="Abadi" w:hAnsi="Abadi"/>
          <w:b w:val="0"/>
          <w:bCs w:val="0"/>
          <w:sz w:val="21"/>
          <w:szCs w:val="21"/>
        </w:rPr>
        <w:t>efectiva</w:t>
      </w:r>
      <w:r w:rsidRPr="00BA15D8">
        <w:rPr>
          <w:rFonts w:ascii="Abadi" w:hAnsi="Abadi"/>
          <w:b w:val="0"/>
          <w:bCs w:val="0"/>
          <w:spacing w:val="-12"/>
          <w:sz w:val="21"/>
          <w:szCs w:val="21"/>
        </w:rPr>
        <w:t xml:space="preserve"> </w:t>
      </w:r>
      <w:r w:rsidRPr="00BA15D8">
        <w:rPr>
          <w:rFonts w:ascii="Abadi" w:hAnsi="Abadi"/>
          <w:b w:val="0"/>
          <w:bCs w:val="0"/>
          <w:sz w:val="21"/>
          <w:szCs w:val="21"/>
        </w:rPr>
        <w:t>dicha problemática, ni tampoco cuenta con los criterios para sancionar a la persona agresora y atender eficazmente a las víctimas.</w:t>
      </w:r>
    </w:p>
    <w:p w14:paraId="69FDA09A" w14:textId="77777777" w:rsidR="00936E78" w:rsidRPr="00BA15D8" w:rsidRDefault="00936E78" w:rsidP="00BA15D8">
      <w:pPr>
        <w:pStyle w:val="Textoindependiente"/>
        <w:spacing w:before="161"/>
        <w:rPr>
          <w:rFonts w:ascii="Abadi" w:hAnsi="Abadi"/>
          <w:b w:val="0"/>
          <w:bCs w:val="0"/>
          <w:sz w:val="21"/>
          <w:szCs w:val="21"/>
        </w:rPr>
      </w:pPr>
      <w:r w:rsidRPr="00BA15D8">
        <w:rPr>
          <w:rFonts w:ascii="Abadi" w:hAnsi="Abadi"/>
          <w:b w:val="0"/>
          <w:bCs w:val="0"/>
          <w:sz w:val="21"/>
          <w:szCs w:val="21"/>
        </w:rPr>
        <w:t>Desde el Grupo</w:t>
      </w:r>
      <w:r w:rsidRPr="005359BB">
        <w:rPr>
          <w:rFonts w:ascii="Abadi" w:hAnsi="Abadi"/>
          <w:sz w:val="21"/>
          <w:szCs w:val="21"/>
        </w:rPr>
        <w:t xml:space="preserve"> </w:t>
      </w:r>
      <w:r w:rsidRPr="00BA15D8">
        <w:rPr>
          <w:rFonts w:ascii="Abadi" w:hAnsi="Abadi"/>
          <w:b w:val="0"/>
          <w:bCs w:val="0"/>
          <w:sz w:val="21"/>
          <w:szCs w:val="21"/>
        </w:rPr>
        <w:t>Parlamentario de morena estamos convencidos que deben de prevalecer los principios fundamentales de igualdad, equidad y del desarrollo integral, siendo estos las directrices para que los gobiernos y autoridades competentes desarrollen programas para prevenir y erradicar el flagelo de la violencia y el acoso</w:t>
      </w:r>
      <w:r w:rsidRPr="005359BB">
        <w:rPr>
          <w:rFonts w:ascii="Abadi" w:hAnsi="Abadi"/>
          <w:sz w:val="21"/>
          <w:szCs w:val="21"/>
        </w:rPr>
        <w:t xml:space="preserve"> </w:t>
      </w:r>
      <w:r w:rsidRPr="00BA15D8">
        <w:rPr>
          <w:rFonts w:ascii="Abadi" w:hAnsi="Abadi"/>
          <w:b w:val="0"/>
          <w:bCs w:val="0"/>
          <w:sz w:val="21"/>
          <w:szCs w:val="21"/>
        </w:rPr>
        <w:t>de las escuelas, y en general de la sociedad. Pues finalmente todas y todos tenemos el derecho de aprender en un entorno seguro.</w:t>
      </w:r>
    </w:p>
    <w:p w14:paraId="75712F2D" w14:textId="77777777" w:rsidR="00CE7556" w:rsidRPr="005359BB" w:rsidRDefault="00CE7556" w:rsidP="00936E78">
      <w:pPr>
        <w:pStyle w:val="Textoindependiente"/>
        <w:spacing w:before="161"/>
        <w:ind w:left="1182" w:right="1173"/>
        <w:rPr>
          <w:rFonts w:ascii="Abadi" w:hAnsi="Abadi"/>
          <w:sz w:val="21"/>
          <w:szCs w:val="21"/>
        </w:rPr>
      </w:pPr>
    </w:p>
    <w:p w14:paraId="03CEB5B5" w14:textId="42072DDB" w:rsidR="008D363B" w:rsidRDefault="00936E78" w:rsidP="00BA15D8">
      <w:pPr>
        <w:autoSpaceDE w:val="0"/>
        <w:autoSpaceDN w:val="0"/>
        <w:adjustRightInd w:val="0"/>
        <w:jc w:val="both"/>
        <w:rPr>
          <w:rFonts w:ascii="Abadi" w:hAnsi="Abadi"/>
          <w:spacing w:val="-2"/>
          <w:sz w:val="21"/>
          <w:szCs w:val="21"/>
        </w:rPr>
      </w:pPr>
      <w:r w:rsidRPr="005359BB">
        <w:rPr>
          <w:rFonts w:ascii="Abadi" w:hAnsi="Abadi"/>
          <w:sz w:val="21"/>
          <w:szCs w:val="21"/>
        </w:rPr>
        <w:t>Por</w:t>
      </w:r>
      <w:r w:rsidRPr="005359BB">
        <w:rPr>
          <w:rFonts w:ascii="Abadi" w:hAnsi="Abadi"/>
          <w:spacing w:val="-6"/>
          <w:sz w:val="21"/>
          <w:szCs w:val="21"/>
        </w:rPr>
        <w:t xml:space="preserve"> </w:t>
      </w:r>
      <w:r w:rsidRPr="005359BB">
        <w:rPr>
          <w:rFonts w:ascii="Abadi" w:hAnsi="Abadi"/>
          <w:sz w:val="21"/>
          <w:szCs w:val="21"/>
        </w:rPr>
        <w:t>tal</w:t>
      </w:r>
      <w:r w:rsidRPr="005359BB">
        <w:rPr>
          <w:rFonts w:ascii="Abadi" w:hAnsi="Abadi"/>
          <w:spacing w:val="-3"/>
          <w:sz w:val="21"/>
          <w:szCs w:val="21"/>
        </w:rPr>
        <w:t xml:space="preserve"> </w:t>
      </w:r>
      <w:r w:rsidRPr="005359BB">
        <w:rPr>
          <w:rFonts w:ascii="Abadi" w:hAnsi="Abadi"/>
          <w:sz w:val="21"/>
          <w:szCs w:val="21"/>
        </w:rPr>
        <w:t>razón,</w:t>
      </w:r>
      <w:r w:rsidRPr="005359BB">
        <w:rPr>
          <w:rFonts w:ascii="Abadi" w:hAnsi="Abadi"/>
          <w:spacing w:val="-1"/>
          <w:sz w:val="21"/>
          <w:szCs w:val="21"/>
        </w:rPr>
        <w:t xml:space="preserve"> </w:t>
      </w:r>
      <w:r w:rsidRPr="005359BB">
        <w:rPr>
          <w:rFonts w:ascii="Abadi" w:hAnsi="Abadi"/>
          <w:sz w:val="21"/>
          <w:szCs w:val="21"/>
        </w:rPr>
        <w:t>solicitamos</w:t>
      </w:r>
      <w:r w:rsidRPr="005359BB">
        <w:rPr>
          <w:rFonts w:ascii="Abadi" w:hAnsi="Abadi"/>
          <w:spacing w:val="-3"/>
          <w:sz w:val="21"/>
          <w:szCs w:val="21"/>
        </w:rPr>
        <w:t xml:space="preserve"> </w:t>
      </w:r>
      <w:r w:rsidRPr="005359BB">
        <w:rPr>
          <w:rFonts w:ascii="Abadi" w:hAnsi="Abadi"/>
          <w:sz w:val="21"/>
          <w:szCs w:val="21"/>
        </w:rPr>
        <w:t>a</w:t>
      </w:r>
      <w:r w:rsidRPr="005359BB">
        <w:rPr>
          <w:rFonts w:ascii="Abadi" w:hAnsi="Abadi"/>
          <w:spacing w:val="-4"/>
          <w:sz w:val="21"/>
          <w:szCs w:val="21"/>
        </w:rPr>
        <w:t xml:space="preserve"> </w:t>
      </w:r>
      <w:r w:rsidRPr="005359BB">
        <w:rPr>
          <w:rFonts w:ascii="Abadi" w:hAnsi="Abadi"/>
          <w:sz w:val="21"/>
          <w:szCs w:val="21"/>
        </w:rPr>
        <w:t>esta</w:t>
      </w:r>
      <w:r w:rsidRPr="005359BB">
        <w:rPr>
          <w:rFonts w:ascii="Abadi" w:hAnsi="Abadi"/>
          <w:spacing w:val="-3"/>
          <w:sz w:val="21"/>
          <w:szCs w:val="21"/>
        </w:rPr>
        <w:t xml:space="preserve"> </w:t>
      </w:r>
      <w:r w:rsidRPr="005359BB">
        <w:rPr>
          <w:rFonts w:ascii="Abadi" w:hAnsi="Abadi"/>
          <w:sz w:val="21"/>
          <w:szCs w:val="21"/>
        </w:rPr>
        <w:t>Honorable</w:t>
      </w:r>
      <w:r w:rsidRPr="005359BB">
        <w:rPr>
          <w:rFonts w:ascii="Abadi" w:hAnsi="Abadi"/>
          <w:spacing w:val="-3"/>
          <w:sz w:val="21"/>
          <w:szCs w:val="21"/>
        </w:rPr>
        <w:t xml:space="preserve"> </w:t>
      </w:r>
      <w:r w:rsidRPr="005359BB">
        <w:rPr>
          <w:rFonts w:ascii="Abadi" w:hAnsi="Abadi"/>
          <w:sz w:val="21"/>
          <w:szCs w:val="21"/>
        </w:rPr>
        <w:t>Asamblea</w:t>
      </w:r>
      <w:r w:rsidRPr="005359BB">
        <w:rPr>
          <w:rFonts w:ascii="Abadi" w:hAnsi="Abadi"/>
          <w:spacing w:val="-3"/>
          <w:sz w:val="21"/>
          <w:szCs w:val="21"/>
        </w:rPr>
        <w:t xml:space="preserve"> </w:t>
      </w:r>
      <w:r w:rsidRPr="005359BB">
        <w:rPr>
          <w:rFonts w:ascii="Abadi" w:hAnsi="Abadi"/>
          <w:sz w:val="21"/>
          <w:szCs w:val="21"/>
        </w:rPr>
        <w:t>la</w:t>
      </w:r>
      <w:r w:rsidRPr="005359BB">
        <w:rPr>
          <w:rFonts w:ascii="Abadi" w:hAnsi="Abadi"/>
          <w:spacing w:val="-5"/>
          <w:sz w:val="21"/>
          <w:szCs w:val="21"/>
        </w:rPr>
        <w:t xml:space="preserve"> </w:t>
      </w:r>
      <w:r w:rsidRPr="005359BB">
        <w:rPr>
          <w:rFonts w:ascii="Abadi" w:hAnsi="Abadi"/>
          <w:sz w:val="21"/>
          <w:szCs w:val="21"/>
        </w:rPr>
        <w:t>aprobación</w:t>
      </w:r>
      <w:r w:rsidRPr="005359BB">
        <w:rPr>
          <w:rFonts w:ascii="Abadi" w:hAnsi="Abadi"/>
          <w:spacing w:val="-5"/>
          <w:sz w:val="21"/>
          <w:szCs w:val="21"/>
        </w:rPr>
        <w:t xml:space="preserve"> </w:t>
      </w:r>
      <w:r w:rsidRPr="005359BB">
        <w:rPr>
          <w:rFonts w:ascii="Abadi" w:hAnsi="Abadi"/>
          <w:sz w:val="21"/>
          <w:szCs w:val="21"/>
        </w:rPr>
        <w:t>del</w:t>
      </w:r>
      <w:r w:rsidRPr="005359BB">
        <w:rPr>
          <w:rFonts w:ascii="Abadi" w:hAnsi="Abadi"/>
          <w:spacing w:val="-3"/>
          <w:sz w:val="21"/>
          <w:szCs w:val="21"/>
        </w:rPr>
        <w:t xml:space="preserve"> </w:t>
      </w:r>
      <w:r w:rsidRPr="005359BB">
        <w:rPr>
          <w:rFonts w:ascii="Abadi" w:hAnsi="Abadi"/>
          <w:spacing w:val="-2"/>
          <w:sz w:val="21"/>
          <w:szCs w:val="21"/>
        </w:rPr>
        <w:t>siguiente:</w:t>
      </w:r>
    </w:p>
    <w:p w14:paraId="1419F37E" w14:textId="77777777" w:rsidR="00CE7556" w:rsidRDefault="00CE7556" w:rsidP="00936E78">
      <w:pPr>
        <w:autoSpaceDE w:val="0"/>
        <w:autoSpaceDN w:val="0"/>
        <w:adjustRightInd w:val="0"/>
        <w:ind w:left="426"/>
        <w:jc w:val="both"/>
        <w:rPr>
          <w:rFonts w:ascii="Abadi" w:hAnsi="Abadi"/>
          <w:spacing w:val="-2"/>
          <w:sz w:val="21"/>
          <w:szCs w:val="21"/>
        </w:rPr>
      </w:pPr>
    </w:p>
    <w:p w14:paraId="0E5A14AE" w14:textId="77777777" w:rsidR="00CE7556" w:rsidRDefault="00CE7556" w:rsidP="00CE7556">
      <w:pPr>
        <w:pStyle w:val="Ttulo1"/>
        <w:jc w:val="center"/>
        <w:rPr>
          <w:rFonts w:ascii="Abadi" w:hAnsi="Abadi"/>
          <w:spacing w:val="-2"/>
          <w:sz w:val="21"/>
          <w:szCs w:val="21"/>
        </w:rPr>
      </w:pPr>
      <w:r w:rsidRPr="005359BB">
        <w:rPr>
          <w:rFonts w:ascii="Abadi" w:hAnsi="Abadi"/>
          <w:spacing w:val="-2"/>
          <w:sz w:val="21"/>
          <w:szCs w:val="21"/>
        </w:rPr>
        <w:t>ACUERDO</w:t>
      </w:r>
    </w:p>
    <w:p w14:paraId="74117471" w14:textId="77777777" w:rsidR="00032588" w:rsidRDefault="00032588" w:rsidP="00032588"/>
    <w:p w14:paraId="111C3BAE" w14:textId="09221F65" w:rsidR="00032588" w:rsidRPr="00032588" w:rsidRDefault="00032588" w:rsidP="00032588">
      <w:pPr>
        <w:pStyle w:val="Textoindependiente"/>
        <w:ind w:firstLine="707"/>
        <w:rPr>
          <w:rFonts w:ascii="Abadi" w:hAnsi="Abadi"/>
          <w:b w:val="0"/>
          <w:bCs w:val="0"/>
          <w:sz w:val="21"/>
          <w:szCs w:val="21"/>
        </w:rPr>
      </w:pPr>
      <w:r w:rsidRPr="005359BB">
        <w:rPr>
          <w:rFonts w:ascii="Abadi" w:hAnsi="Abadi"/>
          <w:sz w:val="21"/>
          <w:szCs w:val="21"/>
        </w:rPr>
        <w:t>Primero.-</w:t>
      </w:r>
      <w:r w:rsidRPr="005359BB">
        <w:rPr>
          <w:rFonts w:ascii="Abadi" w:hAnsi="Abadi"/>
          <w:spacing w:val="40"/>
          <w:sz w:val="21"/>
          <w:szCs w:val="21"/>
        </w:rPr>
        <w:t xml:space="preserve"> </w:t>
      </w:r>
      <w:r w:rsidRPr="00032588">
        <w:rPr>
          <w:rFonts w:ascii="Abadi" w:hAnsi="Abadi"/>
          <w:b w:val="0"/>
          <w:bCs w:val="0"/>
          <w:sz w:val="21"/>
          <w:szCs w:val="21"/>
        </w:rPr>
        <w:t>La LXV Legislatura del Estado Libre y Soberano de Guanajuato acuerda girar un atento y respetuoso exhorto a la Universidad de Guanajuato para que, en ejercicio de sus atribuciones, busque incorporar expresamente en los contratos de trabajo y de prestación de servicios, convenios académicos y de investigación y cualquier otro instrumento celebrado por la institución, la</w:t>
      </w:r>
      <w:r w:rsidRPr="005359BB">
        <w:rPr>
          <w:rFonts w:ascii="Abadi" w:hAnsi="Abadi"/>
          <w:spacing w:val="-1"/>
          <w:sz w:val="21"/>
          <w:szCs w:val="21"/>
        </w:rPr>
        <w:t xml:space="preserve"> </w:t>
      </w:r>
      <w:r w:rsidRPr="00032588">
        <w:rPr>
          <w:rFonts w:ascii="Abadi" w:hAnsi="Abadi"/>
          <w:b w:val="0"/>
          <w:bCs w:val="0"/>
          <w:sz w:val="21"/>
          <w:szCs w:val="21"/>
        </w:rPr>
        <w:t>normativa interna en materia de acoso sexual, violencia y discriminación de género en el ámbito académico, como una medida preventiva para atender la problemática de violencia sexual en dicho ámbito.</w:t>
      </w:r>
    </w:p>
    <w:p w14:paraId="776C4EE9" w14:textId="77777777" w:rsidR="00032588" w:rsidRPr="00032588" w:rsidRDefault="00032588" w:rsidP="00032588"/>
    <w:p w14:paraId="4AB6E280" w14:textId="77777777" w:rsidR="00C061DA" w:rsidRPr="002338C6" w:rsidRDefault="000918DE" w:rsidP="002338C6">
      <w:pPr>
        <w:pStyle w:val="Textoindependiente"/>
        <w:spacing w:before="92"/>
        <w:ind w:firstLine="707"/>
        <w:rPr>
          <w:rFonts w:ascii="Abadi" w:hAnsi="Abadi"/>
          <w:b w:val="0"/>
          <w:bCs w:val="0"/>
          <w:sz w:val="21"/>
          <w:szCs w:val="21"/>
        </w:rPr>
      </w:pPr>
      <w:proofErr w:type="gramStart"/>
      <w:r w:rsidRPr="005359BB">
        <w:rPr>
          <w:rFonts w:ascii="Abadi" w:hAnsi="Abadi"/>
          <w:sz w:val="21"/>
          <w:szCs w:val="21"/>
        </w:rPr>
        <w:t>Segundo.-</w:t>
      </w:r>
      <w:proofErr w:type="gramEnd"/>
      <w:r w:rsidRPr="005359BB">
        <w:rPr>
          <w:rFonts w:ascii="Abadi" w:hAnsi="Abadi"/>
          <w:sz w:val="21"/>
          <w:szCs w:val="21"/>
        </w:rPr>
        <w:t xml:space="preserve"> </w:t>
      </w:r>
      <w:r w:rsidRPr="002338C6">
        <w:rPr>
          <w:rFonts w:ascii="Abadi" w:hAnsi="Abadi"/>
          <w:b w:val="0"/>
          <w:bCs w:val="0"/>
          <w:sz w:val="21"/>
          <w:szCs w:val="21"/>
        </w:rPr>
        <w:t>La LXV Legislatura del Estado Libre y Soberano de Guanajuato acuerda girar un atento y respetuoso exhorto a la Universidad de Guanajuato para que,</w:t>
      </w:r>
      <w:r w:rsidRPr="002338C6">
        <w:rPr>
          <w:rFonts w:ascii="Abadi" w:hAnsi="Abadi"/>
          <w:b w:val="0"/>
          <w:bCs w:val="0"/>
          <w:spacing w:val="-17"/>
          <w:sz w:val="21"/>
          <w:szCs w:val="21"/>
        </w:rPr>
        <w:t xml:space="preserve"> </w:t>
      </w:r>
      <w:r w:rsidRPr="002338C6">
        <w:rPr>
          <w:rFonts w:ascii="Abadi" w:hAnsi="Abadi"/>
          <w:b w:val="0"/>
          <w:bCs w:val="0"/>
          <w:sz w:val="21"/>
          <w:szCs w:val="21"/>
        </w:rPr>
        <w:t>en</w:t>
      </w:r>
      <w:r w:rsidRPr="002338C6">
        <w:rPr>
          <w:rFonts w:ascii="Abadi" w:hAnsi="Abadi"/>
          <w:b w:val="0"/>
          <w:bCs w:val="0"/>
          <w:spacing w:val="-17"/>
          <w:sz w:val="21"/>
          <w:szCs w:val="21"/>
        </w:rPr>
        <w:t xml:space="preserve"> </w:t>
      </w:r>
      <w:r w:rsidRPr="002338C6">
        <w:rPr>
          <w:rFonts w:ascii="Abadi" w:hAnsi="Abadi"/>
          <w:b w:val="0"/>
          <w:bCs w:val="0"/>
          <w:sz w:val="21"/>
          <w:szCs w:val="21"/>
        </w:rPr>
        <w:t>ejercicio</w:t>
      </w:r>
      <w:r w:rsidRPr="002338C6">
        <w:rPr>
          <w:rFonts w:ascii="Abadi" w:hAnsi="Abadi"/>
          <w:b w:val="0"/>
          <w:bCs w:val="0"/>
          <w:spacing w:val="-16"/>
          <w:sz w:val="21"/>
          <w:szCs w:val="21"/>
        </w:rPr>
        <w:t xml:space="preserve"> </w:t>
      </w:r>
      <w:r w:rsidRPr="002338C6">
        <w:rPr>
          <w:rFonts w:ascii="Abadi" w:hAnsi="Abadi"/>
          <w:b w:val="0"/>
          <w:bCs w:val="0"/>
          <w:sz w:val="21"/>
          <w:szCs w:val="21"/>
        </w:rPr>
        <w:t>de</w:t>
      </w:r>
      <w:r w:rsidRPr="002338C6">
        <w:rPr>
          <w:rFonts w:ascii="Abadi" w:hAnsi="Abadi"/>
          <w:b w:val="0"/>
          <w:bCs w:val="0"/>
          <w:spacing w:val="-17"/>
          <w:sz w:val="21"/>
          <w:szCs w:val="21"/>
        </w:rPr>
        <w:t xml:space="preserve"> </w:t>
      </w:r>
      <w:r w:rsidRPr="002338C6">
        <w:rPr>
          <w:rFonts w:ascii="Abadi" w:hAnsi="Abadi"/>
          <w:b w:val="0"/>
          <w:bCs w:val="0"/>
          <w:sz w:val="21"/>
          <w:szCs w:val="21"/>
        </w:rPr>
        <w:t>sus</w:t>
      </w:r>
      <w:r w:rsidRPr="002338C6">
        <w:rPr>
          <w:rFonts w:ascii="Abadi" w:hAnsi="Abadi"/>
          <w:b w:val="0"/>
          <w:bCs w:val="0"/>
          <w:spacing w:val="-17"/>
          <w:sz w:val="21"/>
          <w:szCs w:val="21"/>
        </w:rPr>
        <w:t xml:space="preserve"> </w:t>
      </w:r>
      <w:r w:rsidRPr="002338C6">
        <w:rPr>
          <w:rFonts w:ascii="Abadi" w:hAnsi="Abadi"/>
          <w:b w:val="0"/>
          <w:bCs w:val="0"/>
          <w:sz w:val="21"/>
          <w:szCs w:val="21"/>
        </w:rPr>
        <w:t>atribuciones,</w:t>
      </w:r>
      <w:r w:rsidRPr="002338C6">
        <w:rPr>
          <w:rFonts w:ascii="Abadi" w:hAnsi="Abadi"/>
          <w:b w:val="0"/>
          <w:bCs w:val="0"/>
          <w:spacing w:val="-17"/>
          <w:sz w:val="21"/>
          <w:szCs w:val="21"/>
        </w:rPr>
        <w:t xml:space="preserve"> </w:t>
      </w:r>
      <w:r w:rsidRPr="002338C6">
        <w:rPr>
          <w:rFonts w:ascii="Abadi" w:hAnsi="Abadi"/>
          <w:b w:val="0"/>
          <w:bCs w:val="0"/>
          <w:sz w:val="21"/>
          <w:szCs w:val="21"/>
        </w:rPr>
        <w:t>mejore</w:t>
      </w:r>
      <w:r w:rsidRPr="002338C6">
        <w:rPr>
          <w:rFonts w:ascii="Abadi" w:hAnsi="Abadi"/>
          <w:b w:val="0"/>
          <w:bCs w:val="0"/>
          <w:spacing w:val="-16"/>
          <w:sz w:val="21"/>
          <w:szCs w:val="21"/>
        </w:rPr>
        <w:t xml:space="preserve"> </w:t>
      </w:r>
      <w:r w:rsidRPr="002338C6">
        <w:rPr>
          <w:rFonts w:ascii="Abadi" w:hAnsi="Abadi"/>
          <w:b w:val="0"/>
          <w:bCs w:val="0"/>
          <w:sz w:val="21"/>
          <w:szCs w:val="21"/>
        </w:rPr>
        <w:t>los</w:t>
      </w:r>
      <w:r w:rsidRPr="002338C6">
        <w:rPr>
          <w:rFonts w:ascii="Abadi" w:hAnsi="Abadi"/>
          <w:b w:val="0"/>
          <w:bCs w:val="0"/>
          <w:spacing w:val="-17"/>
          <w:sz w:val="21"/>
          <w:szCs w:val="21"/>
        </w:rPr>
        <w:t xml:space="preserve"> </w:t>
      </w:r>
      <w:r w:rsidRPr="002338C6">
        <w:rPr>
          <w:rFonts w:ascii="Abadi" w:hAnsi="Abadi"/>
          <w:b w:val="0"/>
          <w:bCs w:val="0"/>
          <w:sz w:val="21"/>
          <w:szCs w:val="21"/>
        </w:rPr>
        <w:t>programas</w:t>
      </w:r>
      <w:r w:rsidRPr="002338C6">
        <w:rPr>
          <w:rFonts w:ascii="Abadi" w:hAnsi="Abadi"/>
          <w:b w:val="0"/>
          <w:bCs w:val="0"/>
          <w:spacing w:val="-17"/>
          <w:sz w:val="21"/>
          <w:szCs w:val="21"/>
        </w:rPr>
        <w:t xml:space="preserve"> </w:t>
      </w:r>
      <w:r w:rsidRPr="002338C6">
        <w:rPr>
          <w:rFonts w:ascii="Abadi" w:hAnsi="Abadi"/>
          <w:b w:val="0"/>
          <w:bCs w:val="0"/>
          <w:sz w:val="21"/>
          <w:szCs w:val="21"/>
        </w:rPr>
        <w:t>preventivos,</w:t>
      </w:r>
      <w:r w:rsidRPr="002338C6">
        <w:rPr>
          <w:rFonts w:ascii="Abadi" w:hAnsi="Abadi"/>
          <w:b w:val="0"/>
          <w:bCs w:val="0"/>
          <w:spacing w:val="-16"/>
          <w:sz w:val="21"/>
          <w:szCs w:val="21"/>
        </w:rPr>
        <w:t xml:space="preserve"> </w:t>
      </w:r>
      <w:r w:rsidRPr="002338C6">
        <w:rPr>
          <w:rFonts w:ascii="Abadi" w:hAnsi="Abadi"/>
          <w:b w:val="0"/>
          <w:bCs w:val="0"/>
          <w:sz w:val="21"/>
          <w:szCs w:val="21"/>
        </w:rPr>
        <w:t>de</w:t>
      </w:r>
      <w:r w:rsidRPr="002338C6">
        <w:rPr>
          <w:rFonts w:ascii="Abadi" w:hAnsi="Abadi"/>
          <w:b w:val="0"/>
          <w:bCs w:val="0"/>
          <w:spacing w:val="-17"/>
          <w:sz w:val="21"/>
          <w:szCs w:val="21"/>
        </w:rPr>
        <w:t xml:space="preserve"> </w:t>
      </w:r>
      <w:r w:rsidRPr="002338C6">
        <w:rPr>
          <w:rFonts w:ascii="Abadi" w:hAnsi="Abadi"/>
          <w:b w:val="0"/>
          <w:bCs w:val="0"/>
          <w:sz w:val="21"/>
          <w:szCs w:val="21"/>
        </w:rPr>
        <w:t>atención y sanción, a los casos relacionados a la violencia de género.</w:t>
      </w:r>
    </w:p>
    <w:p w14:paraId="67A55ED3" w14:textId="77777777" w:rsidR="00C061DA" w:rsidRDefault="00C061DA" w:rsidP="00C061DA">
      <w:pPr>
        <w:pStyle w:val="Textoindependiente"/>
        <w:spacing w:before="92"/>
        <w:ind w:left="1182" w:right="1173" w:firstLine="707"/>
        <w:rPr>
          <w:rFonts w:ascii="Abadi" w:hAnsi="Abadi"/>
          <w:sz w:val="21"/>
          <w:szCs w:val="21"/>
        </w:rPr>
      </w:pPr>
    </w:p>
    <w:p w14:paraId="328DACB5" w14:textId="77777777" w:rsidR="002338C6" w:rsidRDefault="002338C6" w:rsidP="002338C6">
      <w:pPr>
        <w:pStyle w:val="Ttulo1"/>
        <w:spacing w:before="1"/>
        <w:ind w:firstLine="0"/>
        <w:rPr>
          <w:rFonts w:ascii="Abadi" w:hAnsi="Abadi"/>
          <w:sz w:val="21"/>
          <w:szCs w:val="21"/>
        </w:rPr>
      </w:pPr>
      <w:r w:rsidRPr="005359BB">
        <w:rPr>
          <w:rFonts w:ascii="Abadi" w:hAnsi="Abadi"/>
          <w:sz w:val="21"/>
          <w:szCs w:val="21"/>
        </w:rPr>
        <w:t>Guanajuato,</w:t>
      </w:r>
      <w:r w:rsidRPr="005359BB">
        <w:rPr>
          <w:rFonts w:ascii="Abadi" w:hAnsi="Abadi"/>
          <w:spacing w:val="-6"/>
          <w:sz w:val="21"/>
          <w:szCs w:val="21"/>
        </w:rPr>
        <w:t xml:space="preserve"> </w:t>
      </w:r>
      <w:r w:rsidRPr="005359BB">
        <w:rPr>
          <w:rFonts w:ascii="Abadi" w:hAnsi="Abadi"/>
          <w:sz w:val="21"/>
          <w:szCs w:val="21"/>
        </w:rPr>
        <w:t>GTO.,</w:t>
      </w:r>
      <w:r w:rsidRPr="005359BB">
        <w:rPr>
          <w:rFonts w:ascii="Abadi" w:hAnsi="Abadi"/>
          <w:spacing w:val="-6"/>
          <w:sz w:val="21"/>
          <w:szCs w:val="21"/>
        </w:rPr>
        <w:t xml:space="preserve"> </w:t>
      </w:r>
      <w:r w:rsidRPr="005359BB">
        <w:rPr>
          <w:rFonts w:ascii="Abadi" w:hAnsi="Abadi"/>
          <w:sz w:val="21"/>
          <w:szCs w:val="21"/>
        </w:rPr>
        <w:t>a</w:t>
      </w:r>
      <w:r w:rsidRPr="005359BB">
        <w:rPr>
          <w:rFonts w:ascii="Abadi" w:hAnsi="Abadi"/>
          <w:spacing w:val="-5"/>
          <w:sz w:val="21"/>
          <w:szCs w:val="21"/>
        </w:rPr>
        <w:t xml:space="preserve"> </w:t>
      </w:r>
      <w:r w:rsidRPr="005359BB">
        <w:rPr>
          <w:rFonts w:ascii="Abadi" w:hAnsi="Abadi"/>
          <w:sz w:val="21"/>
          <w:szCs w:val="21"/>
        </w:rPr>
        <w:t>20</w:t>
      </w:r>
      <w:r w:rsidRPr="005359BB">
        <w:rPr>
          <w:rFonts w:ascii="Abadi" w:hAnsi="Abadi"/>
          <w:spacing w:val="-4"/>
          <w:sz w:val="21"/>
          <w:szCs w:val="21"/>
        </w:rPr>
        <w:t xml:space="preserve"> </w:t>
      </w:r>
      <w:r w:rsidRPr="005359BB">
        <w:rPr>
          <w:rFonts w:ascii="Abadi" w:hAnsi="Abadi"/>
          <w:sz w:val="21"/>
          <w:szCs w:val="21"/>
        </w:rPr>
        <w:t>de</w:t>
      </w:r>
      <w:r w:rsidRPr="005359BB">
        <w:rPr>
          <w:rFonts w:ascii="Abadi" w:hAnsi="Abadi"/>
          <w:spacing w:val="-5"/>
          <w:sz w:val="21"/>
          <w:szCs w:val="21"/>
        </w:rPr>
        <w:t xml:space="preserve"> </w:t>
      </w:r>
      <w:r w:rsidRPr="005359BB">
        <w:rPr>
          <w:rFonts w:ascii="Abadi" w:hAnsi="Abadi"/>
          <w:sz w:val="21"/>
          <w:szCs w:val="21"/>
        </w:rPr>
        <w:t>junio</w:t>
      </w:r>
      <w:r w:rsidRPr="005359BB">
        <w:rPr>
          <w:rFonts w:ascii="Abadi" w:hAnsi="Abadi"/>
          <w:spacing w:val="-4"/>
          <w:sz w:val="21"/>
          <w:szCs w:val="21"/>
        </w:rPr>
        <w:t xml:space="preserve"> </w:t>
      </w:r>
      <w:r w:rsidRPr="005359BB">
        <w:rPr>
          <w:rFonts w:ascii="Abadi" w:hAnsi="Abadi"/>
          <w:sz w:val="21"/>
          <w:szCs w:val="21"/>
        </w:rPr>
        <w:t>del</w:t>
      </w:r>
      <w:r w:rsidRPr="005359BB">
        <w:rPr>
          <w:rFonts w:ascii="Abadi" w:hAnsi="Abadi"/>
          <w:spacing w:val="-6"/>
          <w:sz w:val="21"/>
          <w:szCs w:val="21"/>
        </w:rPr>
        <w:t xml:space="preserve"> </w:t>
      </w:r>
      <w:r w:rsidRPr="005359BB">
        <w:rPr>
          <w:rFonts w:ascii="Abadi" w:hAnsi="Abadi"/>
          <w:sz w:val="21"/>
          <w:szCs w:val="21"/>
        </w:rPr>
        <w:t xml:space="preserve">2023 </w:t>
      </w:r>
    </w:p>
    <w:p w14:paraId="05C2CF4A" w14:textId="77777777" w:rsidR="002338C6" w:rsidRDefault="002338C6" w:rsidP="002338C6">
      <w:pPr>
        <w:pStyle w:val="Ttulo1"/>
        <w:spacing w:before="1"/>
        <w:ind w:firstLine="0"/>
        <w:rPr>
          <w:rFonts w:ascii="Abadi" w:hAnsi="Abadi"/>
          <w:sz w:val="21"/>
          <w:szCs w:val="21"/>
        </w:rPr>
      </w:pPr>
    </w:p>
    <w:p w14:paraId="31906C1E" w14:textId="00277BBE" w:rsidR="002338C6" w:rsidRPr="005359BB" w:rsidRDefault="002338C6" w:rsidP="002338C6">
      <w:pPr>
        <w:pStyle w:val="Ttulo1"/>
        <w:spacing w:before="1"/>
        <w:ind w:firstLine="0"/>
        <w:jc w:val="center"/>
        <w:rPr>
          <w:rFonts w:ascii="Abadi" w:hAnsi="Abadi"/>
          <w:sz w:val="21"/>
          <w:szCs w:val="21"/>
        </w:rPr>
      </w:pPr>
      <w:r w:rsidRPr="005359BB">
        <w:rPr>
          <w:rFonts w:ascii="Abadi" w:hAnsi="Abadi"/>
          <w:sz w:val="21"/>
          <w:szCs w:val="21"/>
        </w:rPr>
        <w:t>A T E N T A M E N T E</w:t>
      </w:r>
    </w:p>
    <w:p w14:paraId="053DDE93" w14:textId="77777777" w:rsidR="002338C6" w:rsidRDefault="002338C6" w:rsidP="00C061DA">
      <w:pPr>
        <w:pStyle w:val="Textoindependiente"/>
        <w:spacing w:before="92"/>
        <w:ind w:left="1182" w:right="1173" w:firstLine="707"/>
        <w:rPr>
          <w:rFonts w:ascii="Abadi" w:hAnsi="Abadi"/>
          <w:sz w:val="21"/>
          <w:szCs w:val="21"/>
        </w:rPr>
      </w:pPr>
    </w:p>
    <w:p w14:paraId="2322337C" w14:textId="28AE887D" w:rsidR="00C061DA" w:rsidRPr="005359BB" w:rsidRDefault="00C061DA" w:rsidP="00C061DA">
      <w:pPr>
        <w:pStyle w:val="Textoindependiente"/>
        <w:spacing w:before="92"/>
        <w:ind w:right="142"/>
        <w:rPr>
          <w:rFonts w:ascii="Abadi" w:hAnsi="Abadi"/>
          <w:b w:val="0"/>
          <w:sz w:val="21"/>
          <w:szCs w:val="21"/>
        </w:rPr>
      </w:pPr>
      <w:r w:rsidRPr="005359BB">
        <w:rPr>
          <w:rFonts w:ascii="Abadi" w:hAnsi="Abadi"/>
          <w:sz w:val="21"/>
          <w:szCs w:val="21"/>
        </w:rPr>
        <w:t>DIPUTADO</w:t>
      </w:r>
      <w:r w:rsidRPr="005359BB">
        <w:rPr>
          <w:rFonts w:ascii="Abadi" w:hAnsi="Abadi"/>
          <w:spacing w:val="-11"/>
          <w:sz w:val="21"/>
          <w:szCs w:val="21"/>
        </w:rPr>
        <w:t xml:space="preserve"> </w:t>
      </w:r>
      <w:r w:rsidRPr="005359BB">
        <w:rPr>
          <w:rFonts w:ascii="Abadi" w:hAnsi="Abadi"/>
          <w:sz w:val="21"/>
          <w:szCs w:val="21"/>
        </w:rPr>
        <w:t>CUAUHTÉMOC</w:t>
      </w:r>
      <w:r w:rsidRPr="005359BB">
        <w:rPr>
          <w:rFonts w:ascii="Abadi" w:hAnsi="Abadi"/>
          <w:spacing w:val="-13"/>
          <w:sz w:val="21"/>
          <w:szCs w:val="21"/>
        </w:rPr>
        <w:t xml:space="preserve"> </w:t>
      </w:r>
      <w:r w:rsidRPr="005359BB">
        <w:rPr>
          <w:rFonts w:ascii="Abadi" w:hAnsi="Abadi"/>
          <w:sz w:val="21"/>
          <w:szCs w:val="21"/>
        </w:rPr>
        <w:t>BECERRA</w:t>
      </w:r>
      <w:r w:rsidRPr="005359BB">
        <w:rPr>
          <w:rFonts w:ascii="Abadi" w:hAnsi="Abadi"/>
          <w:spacing w:val="-13"/>
          <w:sz w:val="21"/>
          <w:szCs w:val="21"/>
        </w:rPr>
        <w:t xml:space="preserve"> </w:t>
      </w:r>
      <w:r w:rsidRPr="005359BB">
        <w:rPr>
          <w:rFonts w:ascii="Abadi" w:hAnsi="Abadi"/>
          <w:spacing w:val="-2"/>
          <w:sz w:val="21"/>
          <w:szCs w:val="21"/>
        </w:rPr>
        <w:t>GONZÁLEZ</w:t>
      </w:r>
    </w:p>
    <w:p w14:paraId="4D42FF72" w14:textId="77777777" w:rsidR="00EF6092" w:rsidRPr="00EF6092" w:rsidRDefault="00EF6092" w:rsidP="00EF6092">
      <w:pPr>
        <w:rPr>
          <w:rFonts w:ascii="Abadi" w:hAnsi="Abadi"/>
          <w:b/>
          <w:bCs/>
          <w:sz w:val="21"/>
          <w:szCs w:val="21"/>
        </w:rPr>
      </w:pPr>
      <w:r w:rsidRPr="00EF6092">
        <w:rPr>
          <w:rFonts w:ascii="Abadi" w:hAnsi="Abadi"/>
          <w:b/>
          <w:bCs/>
          <w:sz w:val="21"/>
          <w:szCs w:val="21"/>
        </w:rPr>
        <w:t>P</w:t>
      </w:r>
      <w:r w:rsidRPr="00EF6092">
        <w:rPr>
          <w:rFonts w:ascii="Abadi" w:hAnsi="Abadi"/>
          <w:b/>
          <w:bCs/>
          <w:spacing w:val="-1"/>
          <w:sz w:val="21"/>
          <w:szCs w:val="21"/>
        </w:rPr>
        <w:t xml:space="preserve"> </w:t>
      </w:r>
      <w:r w:rsidRPr="00EF6092">
        <w:rPr>
          <w:rFonts w:ascii="Abadi" w:hAnsi="Abadi"/>
          <w:b/>
          <w:bCs/>
          <w:sz w:val="21"/>
          <w:szCs w:val="21"/>
        </w:rPr>
        <w:t>R</w:t>
      </w:r>
      <w:r w:rsidRPr="00EF6092">
        <w:rPr>
          <w:rFonts w:ascii="Abadi" w:hAnsi="Abadi"/>
          <w:b/>
          <w:bCs/>
          <w:spacing w:val="-6"/>
          <w:sz w:val="21"/>
          <w:szCs w:val="21"/>
        </w:rPr>
        <w:t xml:space="preserve"> </w:t>
      </w:r>
      <w:r w:rsidRPr="00EF6092">
        <w:rPr>
          <w:rFonts w:ascii="Abadi" w:hAnsi="Abadi"/>
          <w:b/>
          <w:bCs/>
          <w:sz w:val="21"/>
          <w:szCs w:val="21"/>
        </w:rPr>
        <w:t>E</w:t>
      </w:r>
      <w:r w:rsidRPr="00EF6092">
        <w:rPr>
          <w:rFonts w:ascii="Abadi" w:hAnsi="Abadi"/>
          <w:b/>
          <w:bCs/>
          <w:spacing w:val="-5"/>
          <w:sz w:val="21"/>
          <w:szCs w:val="21"/>
        </w:rPr>
        <w:t xml:space="preserve"> </w:t>
      </w:r>
      <w:r w:rsidRPr="00EF6092">
        <w:rPr>
          <w:rFonts w:ascii="Abadi" w:hAnsi="Abadi"/>
          <w:b/>
          <w:bCs/>
          <w:sz w:val="21"/>
          <w:szCs w:val="21"/>
        </w:rPr>
        <w:t>S</w:t>
      </w:r>
      <w:r w:rsidRPr="00EF6092">
        <w:rPr>
          <w:rFonts w:ascii="Abadi" w:hAnsi="Abadi"/>
          <w:b/>
          <w:bCs/>
          <w:spacing w:val="-4"/>
          <w:sz w:val="21"/>
          <w:szCs w:val="21"/>
        </w:rPr>
        <w:t xml:space="preserve"> </w:t>
      </w:r>
      <w:r w:rsidRPr="00EF6092">
        <w:rPr>
          <w:rFonts w:ascii="Abadi" w:hAnsi="Abadi"/>
          <w:b/>
          <w:bCs/>
          <w:sz w:val="21"/>
          <w:szCs w:val="21"/>
        </w:rPr>
        <w:t>E</w:t>
      </w:r>
      <w:r w:rsidRPr="00EF6092">
        <w:rPr>
          <w:rFonts w:ascii="Abadi" w:hAnsi="Abadi"/>
          <w:b/>
          <w:bCs/>
          <w:spacing w:val="-5"/>
          <w:sz w:val="21"/>
          <w:szCs w:val="21"/>
        </w:rPr>
        <w:t xml:space="preserve"> </w:t>
      </w:r>
      <w:r w:rsidRPr="00EF6092">
        <w:rPr>
          <w:rFonts w:ascii="Abadi" w:hAnsi="Abadi"/>
          <w:b/>
          <w:bCs/>
          <w:sz w:val="21"/>
          <w:szCs w:val="21"/>
        </w:rPr>
        <w:t>N</w:t>
      </w:r>
      <w:r w:rsidRPr="00EF6092">
        <w:rPr>
          <w:rFonts w:ascii="Abadi" w:hAnsi="Abadi"/>
          <w:b/>
          <w:bCs/>
          <w:spacing w:val="-7"/>
          <w:sz w:val="21"/>
          <w:szCs w:val="21"/>
        </w:rPr>
        <w:t xml:space="preserve"> </w:t>
      </w:r>
      <w:r w:rsidRPr="00EF6092">
        <w:rPr>
          <w:rFonts w:ascii="Abadi" w:hAnsi="Abadi"/>
          <w:b/>
          <w:bCs/>
          <w:sz w:val="21"/>
          <w:szCs w:val="21"/>
        </w:rPr>
        <w:t>T</w:t>
      </w:r>
      <w:r w:rsidRPr="00EF6092">
        <w:rPr>
          <w:rFonts w:ascii="Abadi" w:hAnsi="Abadi"/>
          <w:b/>
          <w:bCs/>
          <w:spacing w:val="-4"/>
          <w:sz w:val="21"/>
          <w:szCs w:val="21"/>
        </w:rPr>
        <w:t xml:space="preserve"> </w:t>
      </w:r>
      <w:r w:rsidRPr="00EF6092">
        <w:rPr>
          <w:rFonts w:ascii="Abadi" w:hAnsi="Abadi"/>
          <w:b/>
          <w:bCs/>
          <w:spacing w:val="-10"/>
          <w:sz w:val="21"/>
          <w:szCs w:val="21"/>
        </w:rPr>
        <w:t>E</w:t>
      </w:r>
    </w:p>
    <w:p w14:paraId="658DDCBC" w14:textId="77777777" w:rsidR="00CE7556" w:rsidRPr="00D611E2" w:rsidRDefault="00CE7556" w:rsidP="00936E78">
      <w:pPr>
        <w:autoSpaceDE w:val="0"/>
        <w:autoSpaceDN w:val="0"/>
        <w:adjustRightInd w:val="0"/>
        <w:ind w:left="426"/>
        <w:jc w:val="both"/>
        <w:rPr>
          <w:rFonts w:ascii="Abadi" w:hAnsi="Abadi" w:cs="ArialMT"/>
          <w:sz w:val="21"/>
          <w:szCs w:val="21"/>
        </w:rPr>
      </w:pPr>
    </w:p>
    <w:p w14:paraId="4B06D9B2" w14:textId="77777777" w:rsidR="00833E76" w:rsidRDefault="00833E76" w:rsidP="00DC6F16">
      <w:pPr>
        <w:autoSpaceDE w:val="0"/>
        <w:autoSpaceDN w:val="0"/>
        <w:adjustRightInd w:val="0"/>
        <w:ind w:left="426"/>
        <w:jc w:val="both"/>
        <w:rPr>
          <w:rFonts w:ascii="Abadi" w:hAnsi="Abadi" w:cs="ArialMT"/>
          <w:b/>
          <w:bCs/>
          <w:sz w:val="21"/>
          <w:szCs w:val="21"/>
        </w:rPr>
      </w:pPr>
    </w:p>
    <w:p w14:paraId="32C7377A" w14:textId="77777777" w:rsidR="00B94546" w:rsidRDefault="00B94546" w:rsidP="00B94546">
      <w:pPr>
        <w:ind w:firstLine="567"/>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A continuación, se solicita al diputado Cuauhtémoc González dar lectura a la propuesta de punto de acuerdo referida en el punto 12 del orden del día.</w:t>
      </w:r>
      <w:r w:rsidRPr="00733118">
        <w:rPr>
          <w:rFonts w:ascii="Helvetica Neue" w:hAnsi="Helvetica Neue"/>
          <w:color w:val="333333"/>
          <w:sz w:val="21"/>
          <w:szCs w:val="21"/>
          <w:shd w:val="clear" w:color="auto" w:fill="FFFFFF"/>
        </w:rPr>
        <w:t xml:space="preserve"> </w:t>
      </w:r>
      <w:r w:rsidRPr="00733118">
        <w:rPr>
          <w:rFonts w:ascii="Abadi" w:hAnsi="Abadi"/>
          <w:b/>
          <w:bCs/>
          <w:sz w:val="21"/>
          <w:szCs w:val="21"/>
        </w:rPr>
        <w:t>(ELD 301/LXV-PPA)</w:t>
      </w:r>
    </w:p>
    <w:p w14:paraId="25B14FA9" w14:textId="77777777" w:rsidR="00B94546" w:rsidRPr="00733118" w:rsidRDefault="00B94546" w:rsidP="00B94546">
      <w:pPr>
        <w:ind w:firstLine="567"/>
        <w:jc w:val="both"/>
        <w:rPr>
          <w:rFonts w:ascii="Abadi" w:hAnsi="Abadi"/>
          <w:b/>
          <w:bCs/>
          <w:sz w:val="21"/>
          <w:szCs w:val="21"/>
        </w:rPr>
      </w:pPr>
    </w:p>
    <w:p w14:paraId="1FA80F9A" w14:textId="77777777" w:rsidR="00B94546" w:rsidRDefault="00B94546" w:rsidP="00B94546">
      <w:pPr>
        <w:ind w:firstLine="567"/>
        <w:jc w:val="both"/>
        <w:rPr>
          <w:rFonts w:ascii="Abadi" w:hAnsi="Abadi"/>
          <w:sz w:val="21"/>
          <w:szCs w:val="21"/>
        </w:rPr>
      </w:pPr>
      <w:r w:rsidRPr="0030088F">
        <w:rPr>
          <w:rFonts w:ascii="Abadi" w:hAnsi="Abadi"/>
          <w:sz w:val="21"/>
          <w:szCs w:val="21"/>
        </w:rPr>
        <w:t>- Adelante.</w:t>
      </w:r>
    </w:p>
    <w:p w14:paraId="7C2A7CBF" w14:textId="77777777" w:rsidR="00B94546" w:rsidRPr="0030088F" w:rsidRDefault="00B94546" w:rsidP="00B94546">
      <w:pPr>
        <w:ind w:firstLine="567"/>
        <w:jc w:val="both"/>
        <w:rPr>
          <w:rFonts w:ascii="Abadi" w:hAnsi="Abadi"/>
          <w:sz w:val="21"/>
          <w:szCs w:val="21"/>
        </w:rPr>
      </w:pPr>
    </w:p>
    <w:p w14:paraId="0D6B36FA" w14:textId="77777777" w:rsidR="00B94546" w:rsidRPr="0030088F" w:rsidRDefault="00B94546" w:rsidP="00B94546">
      <w:pPr>
        <w:jc w:val="both"/>
        <w:rPr>
          <w:rFonts w:ascii="Abadi" w:hAnsi="Abadi"/>
          <w:b/>
          <w:bCs/>
          <w:sz w:val="21"/>
          <w:szCs w:val="21"/>
        </w:rPr>
      </w:pPr>
      <w:r w:rsidRPr="0030088F">
        <w:rPr>
          <w:rFonts w:ascii="Abadi" w:hAnsi="Abadi"/>
          <w:b/>
          <w:bCs/>
          <w:sz w:val="21"/>
          <w:szCs w:val="21"/>
        </w:rPr>
        <w:t xml:space="preserve">(Sube a tribuna el diputado Cuauhtémoc Becerra González, para dar lectura a la propuesta de punto de acuerdo en referencia) </w:t>
      </w:r>
    </w:p>
    <w:p w14:paraId="6528D8DA" w14:textId="77777777" w:rsidR="00B94546" w:rsidRPr="0030088F" w:rsidRDefault="00B94546" w:rsidP="00B94546">
      <w:pPr>
        <w:jc w:val="both"/>
        <w:rPr>
          <w:rFonts w:ascii="Abadi" w:hAnsi="Abadi"/>
          <w:b/>
          <w:bCs/>
          <w:sz w:val="21"/>
          <w:szCs w:val="21"/>
        </w:rPr>
      </w:pPr>
    </w:p>
    <w:p w14:paraId="6B1420B3" w14:textId="4CA23F5B" w:rsidR="00B94546" w:rsidRPr="0030088F" w:rsidRDefault="00B94546" w:rsidP="00B94546">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3" behindDoc="1" locked="0" layoutInCell="1" allowOverlap="1" wp14:anchorId="57D646CA" wp14:editId="1257A103">
            <wp:simplePos x="0" y="0"/>
            <wp:positionH relativeFrom="column">
              <wp:posOffset>715010</wp:posOffset>
            </wp:positionH>
            <wp:positionV relativeFrom="paragraph">
              <wp:posOffset>337185</wp:posOffset>
            </wp:positionV>
            <wp:extent cx="1259840" cy="664210"/>
            <wp:effectExtent l="247650" t="228600" r="245110" b="726440"/>
            <wp:wrapTight wrapText="bothSides">
              <wp:wrapPolygon edited="0">
                <wp:start x="-4246" y="-7434"/>
                <wp:lineTo x="-4246" y="44604"/>
                <wp:lineTo x="25476" y="44604"/>
                <wp:lineTo x="25476" y="-7434"/>
                <wp:lineTo x="-4246" y="-7434"/>
              </wp:wrapPolygon>
            </wp:wrapTight>
            <wp:docPr id="1108090137" name="Imagen 110809013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090137" name="Imagen 1" descr="Interfaz de usuario gráfica&#10;&#10;Descripción generada automáticamente"/>
                    <pic:cNvPicPr/>
                  </pic:nvPicPr>
                  <pic:blipFill rotWithShape="1">
                    <a:blip r:embed="rId32" cstate="print">
                      <a:extLst>
                        <a:ext uri="{28A0092B-C50C-407E-A947-70E740481C1C}">
                          <a14:useLocalDpi xmlns:a14="http://schemas.microsoft.com/office/drawing/2010/main" val="0"/>
                        </a:ext>
                      </a:extLst>
                    </a:blip>
                    <a:srcRect b="6230"/>
                    <a:stretch/>
                  </pic:blipFill>
                  <pic:spPr bwMode="auto">
                    <a:xfrm>
                      <a:off x="0" y="0"/>
                      <a:ext cx="1259840" cy="6642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E375661" w14:textId="48DC75DB" w:rsidR="00B94546" w:rsidRDefault="00B94546" w:rsidP="00B94546">
      <w:pPr>
        <w:jc w:val="both"/>
        <w:rPr>
          <w:rFonts w:ascii="Abadi" w:hAnsi="Abadi"/>
          <w:b/>
          <w:bCs/>
          <w:sz w:val="21"/>
          <w:szCs w:val="21"/>
        </w:rPr>
      </w:pPr>
      <w:r w:rsidRPr="0030088F">
        <w:rPr>
          <w:rFonts w:ascii="Abadi" w:hAnsi="Abadi"/>
          <w:b/>
          <w:bCs/>
          <w:sz w:val="21"/>
          <w:szCs w:val="21"/>
        </w:rPr>
        <w:t>Diputado Cuauhtémoc Becerra González</w:t>
      </w:r>
    </w:p>
    <w:p w14:paraId="18A27596" w14:textId="77777777" w:rsidR="00B94546" w:rsidRPr="0030088F" w:rsidRDefault="00B94546" w:rsidP="00B94546">
      <w:pPr>
        <w:jc w:val="both"/>
        <w:rPr>
          <w:rFonts w:ascii="Abadi" w:hAnsi="Abadi"/>
          <w:b/>
          <w:bCs/>
          <w:sz w:val="21"/>
          <w:szCs w:val="21"/>
        </w:rPr>
      </w:pPr>
    </w:p>
    <w:p w14:paraId="2BF9C20C" w14:textId="77777777" w:rsidR="00B94546" w:rsidRDefault="00B94546" w:rsidP="00B94546">
      <w:pPr>
        <w:jc w:val="both"/>
        <w:rPr>
          <w:rFonts w:ascii="Abadi" w:hAnsi="Abadi"/>
          <w:sz w:val="21"/>
          <w:szCs w:val="21"/>
        </w:rPr>
      </w:pPr>
      <w:r w:rsidRPr="0030088F">
        <w:rPr>
          <w:rFonts w:ascii="Abadi" w:hAnsi="Abadi"/>
          <w:sz w:val="21"/>
          <w:szCs w:val="21"/>
        </w:rPr>
        <w:t xml:space="preserve">- Con el permiso de la presidenta y de su Mesa Directiva ¡muy buenas tardes¡ a todos mis compañeros y compañeras diputado los saludo con gusto y con aprecio, saludo a los asesores, al cuerpo técnico a quien nos acompañan en el pleno y a los medios de comunicación que nos siguen y hacen favor de que lleguemos a sus hogares desde luego a quienes a distancia nos siguen, bien, quién suscribe el de la voz Cuauhtémoc Becerra González integrante del Grupo Parlamentario de Morena de la Sexagésima Quinta Legislatura de este congreso, me permito poner a disposición de esta Honorable Asamblea el siguiente punto de acuerdo, con las siguientes consideraciones la violencia sexual incluido el acoso sexual ocurre con frecuencia en instituciones supuestamente seguras, como lo son las escuelas, donde </w:t>
      </w:r>
      <w:r w:rsidRPr="0030088F">
        <w:rPr>
          <w:rFonts w:ascii="Abadi" w:hAnsi="Abadi"/>
          <w:sz w:val="21"/>
          <w:szCs w:val="21"/>
        </w:rPr>
        <w:lastRenderedPageBreak/>
        <w:t>alguno de los agresores incluyen compañeros o peor tantito a los profesores, de acuerdo con datos del INEGI, en México el 70.1% de las mujeres de 15 años y más, ha experimentado al menos 1 situación de violencia a lo largo de la vida, siendo la violencia sexual de las de mayor prevalencia con el 49.7%, mientras que en el ámbito escolar este espacio en donde se deberían garantizar los derechos universales como la educación el derecho a vivir en condiciones de bienestar y el derecho a un desarrollo integral el 32.3% de las mujeres experimentó algún tipo de violencia principalmente de violencia sexual a lo largo de su vida como estudiante.</w:t>
      </w:r>
    </w:p>
    <w:p w14:paraId="5A75046F" w14:textId="77777777" w:rsidR="00B94546" w:rsidRPr="0030088F" w:rsidRDefault="00B94546" w:rsidP="00B94546">
      <w:pPr>
        <w:jc w:val="both"/>
        <w:rPr>
          <w:rFonts w:ascii="Abadi" w:hAnsi="Abadi"/>
          <w:sz w:val="21"/>
          <w:szCs w:val="21"/>
        </w:rPr>
      </w:pPr>
    </w:p>
    <w:p w14:paraId="2796151C" w14:textId="77777777" w:rsidR="00B94546" w:rsidRDefault="00B94546" w:rsidP="00B94546">
      <w:pPr>
        <w:jc w:val="both"/>
        <w:rPr>
          <w:rFonts w:ascii="Abadi" w:hAnsi="Abadi"/>
          <w:sz w:val="21"/>
          <w:szCs w:val="21"/>
        </w:rPr>
      </w:pPr>
      <w:r w:rsidRPr="0030088F">
        <w:rPr>
          <w:rFonts w:ascii="Abadi" w:hAnsi="Abadi"/>
          <w:sz w:val="21"/>
          <w:szCs w:val="21"/>
        </w:rPr>
        <w:t xml:space="preserve">- A pesar de ser un problema frecuente y de graves implicaciones en la mayoría de las escuelas no se ha trabajado en la confección normativa específica orientada a la prevención, atención y sanción de este tipo de conductas o bien las medidas y protocolos implementados no han tenido los resultados esperados, tal es el caso de la Universidad de Guanajuato, que desde el año 2019, cuenta con el protocolo de atención a casos de violencia de género con el objetivo de promover la incorporación de la perspectiva de género y el enfoque de derechos humanos como ejes rectores en las diferentes instancias dimensiones y prácticas institucionales de dicha universidad pero no obstante eso, no ha mostrado resultados favorables en la reducción y atención de casos de violencia sexual, hasta el momento. </w:t>
      </w:r>
    </w:p>
    <w:p w14:paraId="435C88D8" w14:textId="77777777" w:rsidR="00B94546" w:rsidRPr="0030088F" w:rsidRDefault="00B94546" w:rsidP="00B94546">
      <w:pPr>
        <w:jc w:val="both"/>
        <w:rPr>
          <w:rFonts w:ascii="Abadi" w:hAnsi="Abadi"/>
          <w:sz w:val="21"/>
          <w:szCs w:val="21"/>
        </w:rPr>
      </w:pPr>
    </w:p>
    <w:p w14:paraId="43B4A957" w14:textId="77777777" w:rsidR="00B94546" w:rsidRDefault="00B94546" w:rsidP="00B94546">
      <w:pPr>
        <w:jc w:val="both"/>
        <w:rPr>
          <w:rFonts w:ascii="Abadi" w:hAnsi="Abadi"/>
          <w:sz w:val="21"/>
          <w:szCs w:val="21"/>
        </w:rPr>
      </w:pPr>
      <w:r w:rsidRPr="0030088F">
        <w:rPr>
          <w:rFonts w:ascii="Abadi" w:hAnsi="Abadi"/>
          <w:sz w:val="21"/>
          <w:szCs w:val="21"/>
        </w:rPr>
        <w:t>- Recordemos que tras el escándalo conocido como caso “</w:t>
      </w:r>
      <w:proofErr w:type="spellStart"/>
      <w:r w:rsidRPr="0030088F">
        <w:rPr>
          <w:rFonts w:ascii="Abadi" w:hAnsi="Abadi"/>
          <w:sz w:val="21"/>
          <w:szCs w:val="21"/>
        </w:rPr>
        <w:t>Kala</w:t>
      </w:r>
      <w:proofErr w:type="spellEnd"/>
      <w:r w:rsidRPr="0030088F">
        <w:rPr>
          <w:rFonts w:ascii="Abadi" w:hAnsi="Abadi"/>
          <w:sz w:val="21"/>
          <w:szCs w:val="21"/>
        </w:rPr>
        <w:t xml:space="preserve">” aquel que hace referencia al profesor de la Universidad de Guanajuato con señalamientos por agresión sexual mismo que tardó 2 años en resolverse, la universidad activó protocolos contra la violencia de género creando así la ventanilla “U género” sin embargo, los casos de violencia de género no han cesado, al contrario la impunidad y la omisión que se vive por parte de las autoridades de esta casa de estudios han provocado un incremento en los casos de violencia de género dentro de la institución, como ejemplo tenemos por ahí que en marzo de este año alumnas de la escuela de nivel medio superior de León denunciaron que las autoridades escolares ignoraron los casos de acoso sexual de estudiantes varones, hacia estudiantes mujeres, en mayo de este mismo año, 15 alumnas de la escuela de enfermería </w:t>
      </w:r>
      <w:r w:rsidRPr="0030088F">
        <w:rPr>
          <w:rFonts w:ascii="Abadi" w:hAnsi="Abadi"/>
          <w:sz w:val="21"/>
          <w:szCs w:val="21"/>
        </w:rPr>
        <w:t>denunciaron casos de acoso y amenaza y nada más muy reciente en este mes de junio un grupo de estudiantes de licenciatura de artes escénicas denunciaron violencia psicológica y física cometidas por un maestro.</w:t>
      </w:r>
    </w:p>
    <w:p w14:paraId="3CBD1925" w14:textId="77777777" w:rsidR="00B94546" w:rsidRPr="0030088F" w:rsidRDefault="00B94546" w:rsidP="00B94546">
      <w:pPr>
        <w:jc w:val="both"/>
        <w:rPr>
          <w:rFonts w:ascii="Abadi" w:hAnsi="Abadi"/>
          <w:sz w:val="21"/>
          <w:szCs w:val="21"/>
        </w:rPr>
      </w:pPr>
    </w:p>
    <w:p w14:paraId="04D1441A" w14:textId="77777777" w:rsidR="00B94546" w:rsidRDefault="00B94546" w:rsidP="00B94546">
      <w:pPr>
        <w:jc w:val="both"/>
        <w:rPr>
          <w:rFonts w:ascii="Abadi" w:hAnsi="Abadi"/>
          <w:sz w:val="21"/>
          <w:szCs w:val="21"/>
        </w:rPr>
      </w:pPr>
      <w:r w:rsidRPr="0030088F">
        <w:rPr>
          <w:rFonts w:ascii="Abadi" w:hAnsi="Abadi"/>
          <w:sz w:val="21"/>
          <w:szCs w:val="21"/>
        </w:rPr>
        <w:t>- La lista de casos de violencia de género es larga y esto es solamente de los casos que se han permitido hacerse público a esto habría que agregar todos esos casos que por pudor, por omisión o por alguna otra situación, no han sido denunciados a un, recordemos que entrando a este ámbito son terrenos tanto escabrosos y algunas veces las víctimas o presuntas víctimas prefieren el silencio o el anonimato para evitar seguir por ahí tallando la herida, hasta el momento, el protocolo y la respuesta para atender la violencia de género en la Universidad de Guanajuato, han sido insuficiente y con serios problemas de fondo pues no cuenta con ejes claros, que permitan prevenir de forma efectiva dicha problemática, ni tampoco cuenta con los criterios para sancionar a la persona agresora y atender eficazmente a las víctimas.</w:t>
      </w:r>
    </w:p>
    <w:p w14:paraId="5B02303C" w14:textId="77777777" w:rsidR="00B94546" w:rsidRPr="0030088F" w:rsidRDefault="00B94546" w:rsidP="00B94546">
      <w:pPr>
        <w:jc w:val="both"/>
        <w:rPr>
          <w:rFonts w:ascii="Abadi" w:hAnsi="Abadi"/>
          <w:sz w:val="21"/>
          <w:szCs w:val="21"/>
        </w:rPr>
      </w:pPr>
    </w:p>
    <w:p w14:paraId="6B2E5696" w14:textId="77777777" w:rsidR="00B94546" w:rsidRDefault="00B94546" w:rsidP="00B94546">
      <w:pPr>
        <w:jc w:val="both"/>
        <w:rPr>
          <w:rFonts w:ascii="Abadi" w:hAnsi="Abadi"/>
          <w:sz w:val="21"/>
          <w:szCs w:val="21"/>
        </w:rPr>
      </w:pPr>
      <w:r w:rsidRPr="0030088F">
        <w:rPr>
          <w:rFonts w:ascii="Abadi" w:hAnsi="Abadi"/>
          <w:sz w:val="21"/>
          <w:szCs w:val="21"/>
        </w:rPr>
        <w:t>- Desde el Grupo Parlamentario de Morena, estamos convencidos que deben prevalecer los principios fundamentales de igualdad, equidad y del desarrollo integral, siendo estos las directrices para que los gobiernos y autoridades competentes desarrollen programas para prevenir y erradicar el flagelo de la violencia y el acoso de las escuelas y en general desde luego de nuestra sociedad, pues finalmente todas y todos tenemos el derecho de aprender y de formarnos en un entorno seguro.</w:t>
      </w:r>
    </w:p>
    <w:p w14:paraId="6EF02A9D" w14:textId="77777777" w:rsidR="00B94546" w:rsidRPr="0030088F" w:rsidRDefault="00B94546" w:rsidP="00B94546">
      <w:pPr>
        <w:jc w:val="both"/>
        <w:rPr>
          <w:rFonts w:ascii="Abadi" w:hAnsi="Abadi"/>
          <w:sz w:val="21"/>
          <w:szCs w:val="21"/>
        </w:rPr>
      </w:pPr>
    </w:p>
    <w:p w14:paraId="6BBC9AB9" w14:textId="77777777" w:rsidR="00B94546" w:rsidRPr="0030088F" w:rsidRDefault="00B94546" w:rsidP="00B94546">
      <w:pPr>
        <w:jc w:val="both"/>
        <w:rPr>
          <w:rFonts w:ascii="Abadi" w:hAnsi="Abadi"/>
          <w:sz w:val="21"/>
          <w:szCs w:val="21"/>
        </w:rPr>
      </w:pPr>
      <w:r w:rsidRPr="0030088F">
        <w:rPr>
          <w:rFonts w:ascii="Abadi" w:hAnsi="Abadi"/>
          <w:sz w:val="21"/>
          <w:szCs w:val="21"/>
        </w:rPr>
        <w:t xml:space="preserve">- Por tal razón solicitamos a esta Honorable Asamblea la aprobación del siguiente acuerdo, primero la Sexagésima Quinta Legislatura del Estado Libre y Soberano de Guanajuato, acuerda girar un atento y respetuoso exhorto a la Universidad de Guanajuato, para qué en ejercicio, de sus atribuciones busque incorporar expresamente en los contratos de trabajo y de prestaciones de servicios, convenios académicos y de investigación y cualquier otro instrumento celebrado por la institución, la normativa interna en materia de acoso sexual violencia y discriminación de género en el ámbito académico como una medida preventiva para atender la problemática de violencia sexual en dicho ámbito y segundo la Sexagésima Quinta </w:t>
      </w:r>
      <w:r w:rsidRPr="0030088F">
        <w:rPr>
          <w:rFonts w:ascii="Abadi" w:hAnsi="Abadi"/>
          <w:sz w:val="21"/>
          <w:szCs w:val="21"/>
        </w:rPr>
        <w:lastRenderedPageBreak/>
        <w:t xml:space="preserve">Legislatura del Estado Libre y Soberano de Guanajuato acuerda girar un atento y respetuoso exhorto a la Universidad de Guanajuato, para qué, en ejercicio de sus atribuciones mejore los programas preventivos de atención y sanción a los casos relacionados con la violencia de género. </w:t>
      </w:r>
    </w:p>
    <w:p w14:paraId="6F2E2092" w14:textId="77777777" w:rsidR="00B94546" w:rsidRDefault="00B94546" w:rsidP="00B94546">
      <w:pPr>
        <w:jc w:val="both"/>
        <w:rPr>
          <w:rFonts w:ascii="Abadi" w:hAnsi="Abadi"/>
          <w:sz w:val="21"/>
          <w:szCs w:val="21"/>
        </w:rPr>
      </w:pPr>
    </w:p>
    <w:p w14:paraId="3D888A24" w14:textId="0600FE72" w:rsidR="00B94546" w:rsidRDefault="00B94546" w:rsidP="00B94546">
      <w:pPr>
        <w:jc w:val="both"/>
        <w:rPr>
          <w:rFonts w:ascii="Abadi" w:hAnsi="Abadi"/>
          <w:sz w:val="21"/>
          <w:szCs w:val="21"/>
        </w:rPr>
      </w:pPr>
      <w:r w:rsidRPr="0030088F">
        <w:rPr>
          <w:rFonts w:ascii="Abadi" w:hAnsi="Abadi"/>
          <w:sz w:val="21"/>
          <w:szCs w:val="21"/>
        </w:rPr>
        <w:t>- Es cuánto.</w:t>
      </w:r>
    </w:p>
    <w:p w14:paraId="1C1FAB72" w14:textId="77777777" w:rsidR="00B94546" w:rsidRPr="0030088F" w:rsidRDefault="00B94546" w:rsidP="00B94546">
      <w:pPr>
        <w:jc w:val="both"/>
        <w:rPr>
          <w:rFonts w:ascii="Abadi" w:hAnsi="Abadi"/>
          <w:sz w:val="21"/>
          <w:szCs w:val="21"/>
        </w:rPr>
      </w:pPr>
    </w:p>
    <w:p w14:paraId="3A286650" w14:textId="77777777" w:rsidR="00B94546" w:rsidRDefault="00B94546" w:rsidP="00B9454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diputado.</w:t>
      </w:r>
    </w:p>
    <w:p w14:paraId="143F91B5" w14:textId="77777777" w:rsidR="00B94546" w:rsidRPr="0030088F" w:rsidRDefault="00B94546" w:rsidP="00B94546">
      <w:pPr>
        <w:ind w:firstLine="708"/>
        <w:jc w:val="both"/>
        <w:rPr>
          <w:rFonts w:ascii="Abadi" w:hAnsi="Abadi"/>
          <w:sz w:val="21"/>
          <w:szCs w:val="21"/>
        </w:rPr>
      </w:pPr>
    </w:p>
    <w:p w14:paraId="3AE9DFBB" w14:textId="77777777" w:rsidR="00B94546" w:rsidRDefault="00B94546" w:rsidP="00B94546">
      <w:pPr>
        <w:ind w:left="851" w:right="1183"/>
        <w:jc w:val="both"/>
        <w:rPr>
          <w:rFonts w:ascii="Abadi" w:hAnsi="Abadi"/>
          <w:b/>
          <w:bCs/>
          <w:i/>
          <w:iCs/>
          <w:sz w:val="21"/>
          <w:szCs w:val="21"/>
          <w:u w:val="single"/>
        </w:rPr>
      </w:pPr>
      <w:r w:rsidRPr="0030088F">
        <w:rPr>
          <w:rFonts w:ascii="Abadi" w:hAnsi="Abadi"/>
          <w:b/>
          <w:bCs/>
          <w:i/>
          <w:iCs/>
          <w:sz w:val="21"/>
          <w:szCs w:val="21"/>
          <w:u w:val="single"/>
        </w:rPr>
        <w:t>Se turna a la Comisión para la Igualdad de Género con fundamento en el artículo 116 fracción III, nuestra Ley Orgánica para su estudio y dictamen.</w:t>
      </w:r>
    </w:p>
    <w:p w14:paraId="64456F92" w14:textId="77777777" w:rsidR="00B94546" w:rsidRPr="0030088F" w:rsidRDefault="00B94546" w:rsidP="00B94546">
      <w:pPr>
        <w:ind w:left="851" w:right="1183"/>
        <w:jc w:val="both"/>
        <w:rPr>
          <w:rFonts w:ascii="Abadi" w:hAnsi="Abadi"/>
          <w:b/>
          <w:bCs/>
          <w:i/>
          <w:iCs/>
          <w:sz w:val="21"/>
          <w:szCs w:val="21"/>
          <w:u w:val="single"/>
        </w:rPr>
      </w:pPr>
    </w:p>
    <w:p w14:paraId="3938EC84" w14:textId="77777777" w:rsidR="00B94546" w:rsidRPr="0030088F" w:rsidRDefault="00B94546" w:rsidP="00B94546">
      <w:pPr>
        <w:ind w:firstLine="708"/>
        <w:jc w:val="both"/>
        <w:rPr>
          <w:rFonts w:ascii="Abadi" w:hAnsi="Abadi"/>
          <w:sz w:val="21"/>
          <w:szCs w:val="21"/>
        </w:rPr>
      </w:pPr>
      <w:r w:rsidRPr="0030088F">
        <w:rPr>
          <w:rFonts w:ascii="Abadi" w:hAnsi="Abadi"/>
          <w:sz w:val="21"/>
          <w:szCs w:val="21"/>
        </w:rPr>
        <w:t>- Esta presidencia da la más cordial bienvenida al Grupo de Alumnos del Instituto Nacional de Estudios Sindicales y de Administración Pública y al Grupo de Alumnos de la Universidad de la Salle Bajío, invitados por este Congreso, bienvenidos.</w:t>
      </w:r>
    </w:p>
    <w:p w14:paraId="40E7CBAC" w14:textId="77777777" w:rsidR="00654CA4" w:rsidRPr="00006796" w:rsidRDefault="00654CA4" w:rsidP="00DC6F16">
      <w:pPr>
        <w:autoSpaceDE w:val="0"/>
        <w:autoSpaceDN w:val="0"/>
        <w:adjustRightInd w:val="0"/>
        <w:ind w:left="426"/>
        <w:jc w:val="both"/>
        <w:rPr>
          <w:rFonts w:ascii="Abadi" w:hAnsi="Abadi" w:cs="ArialMT"/>
          <w:b/>
          <w:bCs/>
          <w:sz w:val="21"/>
          <w:szCs w:val="21"/>
        </w:rPr>
      </w:pPr>
    </w:p>
    <w:p w14:paraId="045111D6" w14:textId="27A3CC29"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FORMULADA POR LA DIPUTADA Y EL DIPUTADO INTEGRANTES DEL GRUPO PARLAMENTARIO DEL PARTIDO VERDE ECOLOGISTA DE MÉXICO PARA GIRAR UN EXHORTO AL PODER EJECUTIVO Y A LOS 46 AYUNTAMIENTOS DEL ESTADO DE GUANAJUATO.</w:t>
      </w:r>
      <w:r w:rsidR="001138FD">
        <w:rPr>
          <w:rStyle w:val="Refdenotaalpie"/>
          <w:rFonts w:ascii="Abadi" w:hAnsi="Abadi" w:cs="ArialMT"/>
          <w:b/>
          <w:bCs/>
          <w:sz w:val="21"/>
          <w:szCs w:val="21"/>
        </w:rPr>
        <w:footnoteReference w:id="79"/>
      </w:r>
    </w:p>
    <w:p w14:paraId="313918B1" w14:textId="77777777" w:rsidR="003A08EB" w:rsidRDefault="003A08EB" w:rsidP="003A08EB">
      <w:pPr>
        <w:autoSpaceDE w:val="0"/>
        <w:autoSpaceDN w:val="0"/>
        <w:adjustRightInd w:val="0"/>
        <w:contextualSpacing/>
        <w:jc w:val="both"/>
        <w:rPr>
          <w:rFonts w:ascii="Abadi" w:hAnsi="Abadi" w:cs="ArialMT"/>
          <w:b/>
          <w:bCs/>
          <w:sz w:val="21"/>
          <w:szCs w:val="21"/>
        </w:rPr>
      </w:pPr>
    </w:p>
    <w:p w14:paraId="56E2AA2B" w14:textId="77777777" w:rsidR="00AD4077" w:rsidRDefault="00AD4077" w:rsidP="00AD4077">
      <w:pPr>
        <w:rPr>
          <w:rFonts w:ascii="Abadi" w:hAnsi="Abadi"/>
          <w:spacing w:val="-2"/>
          <w:sz w:val="21"/>
          <w:szCs w:val="21"/>
        </w:rPr>
      </w:pPr>
      <w:r w:rsidRPr="00650831">
        <w:rPr>
          <w:rFonts w:ascii="Abadi" w:hAnsi="Abadi"/>
          <w:spacing w:val="-2"/>
          <w:sz w:val="21"/>
          <w:szCs w:val="21"/>
        </w:rPr>
        <w:t>DIPUTADA</w:t>
      </w:r>
      <w:r w:rsidRPr="00650831">
        <w:rPr>
          <w:rFonts w:ascii="Abadi" w:hAnsi="Abadi"/>
          <w:spacing w:val="-7"/>
          <w:sz w:val="21"/>
          <w:szCs w:val="21"/>
        </w:rPr>
        <w:t xml:space="preserve"> </w:t>
      </w:r>
      <w:r w:rsidRPr="00650831">
        <w:rPr>
          <w:rFonts w:ascii="Abadi" w:hAnsi="Abadi"/>
          <w:spacing w:val="-2"/>
          <w:sz w:val="21"/>
          <w:szCs w:val="21"/>
        </w:rPr>
        <w:t>LAURA CRISTINA</w:t>
      </w:r>
      <w:r w:rsidRPr="00650831">
        <w:rPr>
          <w:rFonts w:ascii="Abadi" w:hAnsi="Abadi"/>
          <w:spacing w:val="-6"/>
          <w:sz w:val="21"/>
          <w:szCs w:val="21"/>
        </w:rPr>
        <w:t xml:space="preserve"> </w:t>
      </w:r>
      <w:r w:rsidRPr="00650831">
        <w:rPr>
          <w:rFonts w:ascii="Abadi" w:hAnsi="Abadi"/>
          <w:spacing w:val="-2"/>
          <w:sz w:val="21"/>
          <w:szCs w:val="21"/>
        </w:rPr>
        <w:t>MARQUEZ</w:t>
      </w:r>
      <w:r w:rsidRPr="00650831">
        <w:rPr>
          <w:rFonts w:ascii="Abadi" w:hAnsi="Abadi"/>
          <w:spacing w:val="-3"/>
          <w:sz w:val="21"/>
          <w:szCs w:val="21"/>
        </w:rPr>
        <w:t xml:space="preserve"> </w:t>
      </w:r>
      <w:r w:rsidRPr="00650831">
        <w:rPr>
          <w:rFonts w:ascii="Abadi" w:hAnsi="Abadi"/>
          <w:spacing w:val="-2"/>
          <w:sz w:val="21"/>
          <w:szCs w:val="21"/>
        </w:rPr>
        <w:t>ALCALA</w:t>
      </w:r>
    </w:p>
    <w:p w14:paraId="2274EBC8" w14:textId="77777777" w:rsidR="00BE0566" w:rsidRPr="00650831" w:rsidRDefault="00BE0566" w:rsidP="00BE0566">
      <w:pPr>
        <w:rPr>
          <w:rFonts w:ascii="Abadi" w:hAnsi="Abadi"/>
          <w:sz w:val="21"/>
          <w:szCs w:val="21"/>
        </w:rPr>
      </w:pPr>
      <w:r w:rsidRPr="00650831">
        <w:rPr>
          <w:rFonts w:ascii="Abadi" w:hAnsi="Abadi"/>
          <w:sz w:val="21"/>
          <w:szCs w:val="21"/>
        </w:rPr>
        <w:t>PRESIDENTA</w:t>
      </w:r>
      <w:r w:rsidRPr="00650831">
        <w:rPr>
          <w:rFonts w:ascii="Abadi" w:hAnsi="Abadi"/>
          <w:spacing w:val="-16"/>
          <w:sz w:val="21"/>
          <w:szCs w:val="21"/>
        </w:rPr>
        <w:t xml:space="preserve"> </w:t>
      </w:r>
      <w:r w:rsidRPr="00650831">
        <w:rPr>
          <w:rFonts w:ascii="Abadi" w:hAnsi="Abadi"/>
          <w:sz w:val="21"/>
          <w:szCs w:val="21"/>
        </w:rPr>
        <w:t>DEL</w:t>
      </w:r>
      <w:r w:rsidRPr="00650831">
        <w:rPr>
          <w:rFonts w:ascii="Abadi" w:hAnsi="Abadi"/>
          <w:spacing w:val="-16"/>
          <w:sz w:val="21"/>
          <w:szCs w:val="21"/>
        </w:rPr>
        <w:t xml:space="preserve"> </w:t>
      </w:r>
      <w:r w:rsidRPr="00650831">
        <w:rPr>
          <w:rFonts w:ascii="Abadi" w:hAnsi="Abadi"/>
          <w:sz w:val="21"/>
          <w:szCs w:val="21"/>
        </w:rPr>
        <w:t>H.</w:t>
      </w:r>
      <w:r w:rsidRPr="00650831">
        <w:rPr>
          <w:rFonts w:ascii="Abadi" w:hAnsi="Abadi"/>
          <w:spacing w:val="-16"/>
          <w:sz w:val="21"/>
          <w:szCs w:val="21"/>
        </w:rPr>
        <w:t xml:space="preserve"> </w:t>
      </w:r>
      <w:r w:rsidRPr="00650831">
        <w:rPr>
          <w:rFonts w:ascii="Abadi" w:hAnsi="Abadi"/>
          <w:sz w:val="21"/>
          <w:szCs w:val="21"/>
        </w:rPr>
        <w:t>CONGRESO</w:t>
      </w:r>
      <w:r w:rsidRPr="00650831">
        <w:rPr>
          <w:rFonts w:ascii="Abadi" w:hAnsi="Abadi"/>
          <w:spacing w:val="-16"/>
          <w:sz w:val="21"/>
          <w:szCs w:val="21"/>
        </w:rPr>
        <w:t xml:space="preserve"> </w:t>
      </w:r>
      <w:r w:rsidRPr="00650831">
        <w:rPr>
          <w:rFonts w:ascii="Abadi" w:hAnsi="Abadi"/>
          <w:sz w:val="21"/>
          <w:szCs w:val="21"/>
        </w:rPr>
        <w:t>DEL</w:t>
      </w:r>
      <w:r w:rsidRPr="00650831">
        <w:rPr>
          <w:rFonts w:ascii="Abadi" w:hAnsi="Abadi"/>
          <w:spacing w:val="-16"/>
          <w:sz w:val="21"/>
          <w:szCs w:val="21"/>
        </w:rPr>
        <w:t xml:space="preserve"> </w:t>
      </w:r>
      <w:r w:rsidRPr="00650831">
        <w:rPr>
          <w:rFonts w:ascii="Abadi" w:hAnsi="Abadi"/>
          <w:sz w:val="21"/>
          <w:szCs w:val="21"/>
        </w:rPr>
        <w:t>ESTADO</w:t>
      </w:r>
      <w:r w:rsidRPr="00650831">
        <w:rPr>
          <w:rFonts w:ascii="Abadi" w:hAnsi="Abadi"/>
          <w:spacing w:val="-15"/>
          <w:sz w:val="21"/>
          <w:szCs w:val="21"/>
        </w:rPr>
        <w:t xml:space="preserve"> </w:t>
      </w:r>
      <w:r w:rsidRPr="00650831">
        <w:rPr>
          <w:rFonts w:ascii="Abadi" w:hAnsi="Abadi"/>
          <w:sz w:val="21"/>
          <w:szCs w:val="21"/>
        </w:rPr>
        <w:t>DE</w:t>
      </w:r>
      <w:r w:rsidRPr="00650831">
        <w:rPr>
          <w:rFonts w:ascii="Abadi" w:hAnsi="Abadi"/>
          <w:spacing w:val="-16"/>
          <w:sz w:val="21"/>
          <w:szCs w:val="21"/>
        </w:rPr>
        <w:t xml:space="preserve"> </w:t>
      </w:r>
      <w:r w:rsidRPr="00650831">
        <w:rPr>
          <w:rFonts w:ascii="Abadi" w:hAnsi="Abadi"/>
          <w:sz w:val="21"/>
          <w:szCs w:val="21"/>
        </w:rPr>
        <w:t>GUANAJUATO</w:t>
      </w:r>
      <w:r w:rsidRPr="00650831">
        <w:rPr>
          <w:rFonts w:ascii="Abadi" w:hAnsi="Abadi"/>
          <w:spacing w:val="-16"/>
          <w:sz w:val="21"/>
          <w:szCs w:val="21"/>
        </w:rPr>
        <w:t xml:space="preserve"> </w:t>
      </w:r>
      <w:r w:rsidRPr="00650831">
        <w:rPr>
          <w:rFonts w:ascii="Abadi" w:hAnsi="Abadi"/>
          <w:sz w:val="21"/>
          <w:szCs w:val="21"/>
        </w:rPr>
        <w:t>SEXAGÉSIMA QUINTA LEGISLATURA</w:t>
      </w:r>
    </w:p>
    <w:p w14:paraId="511D904A" w14:textId="77777777" w:rsidR="00B512A4" w:rsidRPr="00650831" w:rsidRDefault="00B512A4" w:rsidP="00B512A4">
      <w:pPr>
        <w:rPr>
          <w:rFonts w:ascii="Abadi" w:hAnsi="Abadi"/>
          <w:sz w:val="21"/>
          <w:szCs w:val="21"/>
        </w:rPr>
      </w:pPr>
      <w:r w:rsidRPr="00650831">
        <w:rPr>
          <w:rFonts w:ascii="Abadi" w:hAnsi="Abadi"/>
          <w:sz w:val="21"/>
          <w:szCs w:val="21"/>
        </w:rPr>
        <w:t>P</w:t>
      </w:r>
      <w:r w:rsidRPr="00650831">
        <w:rPr>
          <w:rFonts w:ascii="Abadi" w:hAnsi="Abadi"/>
          <w:spacing w:val="-1"/>
          <w:sz w:val="21"/>
          <w:szCs w:val="21"/>
        </w:rPr>
        <w:t xml:space="preserve"> </w:t>
      </w:r>
      <w:r w:rsidRPr="00650831">
        <w:rPr>
          <w:rFonts w:ascii="Abadi" w:hAnsi="Abadi"/>
          <w:sz w:val="21"/>
          <w:szCs w:val="21"/>
        </w:rPr>
        <w:t>R</w:t>
      </w:r>
      <w:r w:rsidRPr="00650831">
        <w:rPr>
          <w:rFonts w:ascii="Abadi" w:hAnsi="Abadi"/>
          <w:spacing w:val="-6"/>
          <w:sz w:val="21"/>
          <w:szCs w:val="21"/>
        </w:rPr>
        <w:t xml:space="preserve"> </w:t>
      </w:r>
      <w:r w:rsidRPr="00650831">
        <w:rPr>
          <w:rFonts w:ascii="Abadi" w:hAnsi="Abadi"/>
          <w:sz w:val="21"/>
          <w:szCs w:val="21"/>
        </w:rPr>
        <w:t>E</w:t>
      </w:r>
      <w:r w:rsidRPr="00650831">
        <w:rPr>
          <w:rFonts w:ascii="Abadi" w:hAnsi="Abadi"/>
          <w:spacing w:val="-5"/>
          <w:sz w:val="21"/>
          <w:szCs w:val="21"/>
        </w:rPr>
        <w:t xml:space="preserve"> </w:t>
      </w:r>
      <w:r w:rsidRPr="00650831">
        <w:rPr>
          <w:rFonts w:ascii="Abadi" w:hAnsi="Abadi"/>
          <w:sz w:val="21"/>
          <w:szCs w:val="21"/>
        </w:rPr>
        <w:t>S</w:t>
      </w:r>
      <w:r w:rsidRPr="00650831">
        <w:rPr>
          <w:rFonts w:ascii="Abadi" w:hAnsi="Abadi"/>
          <w:spacing w:val="-4"/>
          <w:sz w:val="21"/>
          <w:szCs w:val="21"/>
        </w:rPr>
        <w:t xml:space="preserve"> </w:t>
      </w:r>
      <w:r w:rsidRPr="00650831">
        <w:rPr>
          <w:rFonts w:ascii="Abadi" w:hAnsi="Abadi"/>
          <w:sz w:val="21"/>
          <w:szCs w:val="21"/>
        </w:rPr>
        <w:t>E</w:t>
      </w:r>
      <w:r w:rsidRPr="00650831">
        <w:rPr>
          <w:rFonts w:ascii="Abadi" w:hAnsi="Abadi"/>
          <w:spacing w:val="-5"/>
          <w:sz w:val="21"/>
          <w:szCs w:val="21"/>
        </w:rPr>
        <w:t xml:space="preserve"> </w:t>
      </w:r>
      <w:r w:rsidRPr="00650831">
        <w:rPr>
          <w:rFonts w:ascii="Abadi" w:hAnsi="Abadi"/>
          <w:sz w:val="21"/>
          <w:szCs w:val="21"/>
        </w:rPr>
        <w:t>N</w:t>
      </w:r>
      <w:r w:rsidRPr="00650831">
        <w:rPr>
          <w:rFonts w:ascii="Abadi" w:hAnsi="Abadi"/>
          <w:spacing w:val="-7"/>
          <w:sz w:val="21"/>
          <w:szCs w:val="21"/>
        </w:rPr>
        <w:t xml:space="preserve"> </w:t>
      </w:r>
      <w:r w:rsidRPr="00650831">
        <w:rPr>
          <w:rFonts w:ascii="Abadi" w:hAnsi="Abadi"/>
          <w:sz w:val="21"/>
          <w:szCs w:val="21"/>
        </w:rPr>
        <w:t>T</w:t>
      </w:r>
      <w:r w:rsidRPr="00650831">
        <w:rPr>
          <w:rFonts w:ascii="Abadi" w:hAnsi="Abadi"/>
          <w:spacing w:val="-4"/>
          <w:sz w:val="21"/>
          <w:szCs w:val="21"/>
        </w:rPr>
        <w:t xml:space="preserve"> </w:t>
      </w:r>
      <w:r w:rsidRPr="00650831">
        <w:rPr>
          <w:rFonts w:ascii="Abadi" w:hAnsi="Abadi"/>
          <w:spacing w:val="-10"/>
          <w:sz w:val="21"/>
          <w:szCs w:val="21"/>
        </w:rPr>
        <w:t>E</w:t>
      </w:r>
    </w:p>
    <w:p w14:paraId="20C0E098" w14:textId="77777777" w:rsidR="00BE0566" w:rsidRDefault="00BE0566" w:rsidP="00AD4077">
      <w:pPr>
        <w:rPr>
          <w:rFonts w:ascii="Abadi" w:hAnsi="Abadi"/>
          <w:sz w:val="21"/>
          <w:szCs w:val="21"/>
        </w:rPr>
      </w:pPr>
    </w:p>
    <w:p w14:paraId="52F23870" w14:textId="77777777" w:rsidR="0090793D" w:rsidRDefault="00761932" w:rsidP="0090793D">
      <w:pPr>
        <w:pStyle w:val="Textoindependiente"/>
        <w:ind w:firstLine="706"/>
        <w:rPr>
          <w:rFonts w:ascii="Abadi" w:hAnsi="Abadi"/>
          <w:b w:val="0"/>
          <w:sz w:val="21"/>
          <w:szCs w:val="21"/>
        </w:rPr>
      </w:pPr>
      <w:r w:rsidRPr="00650831">
        <w:rPr>
          <w:rFonts w:ascii="Abadi" w:hAnsi="Abadi"/>
          <w:b w:val="0"/>
          <w:sz w:val="21"/>
          <w:szCs w:val="21"/>
        </w:rPr>
        <w:t>Quienes suscribimos, el Diputado y la Diputada integrantes del Grupo Parlamentario</w:t>
      </w:r>
      <w:r w:rsidRPr="00650831">
        <w:rPr>
          <w:rFonts w:ascii="Abadi" w:hAnsi="Abadi"/>
          <w:b w:val="0"/>
          <w:spacing w:val="-13"/>
          <w:sz w:val="21"/>
          <w:szCs w:val="21"/>
        </w:rPr>
        <w:t xml:space="preserve"> </w:t>
      </w:r>
      <w:r w:rsidRPr="00650831">
        <w:rPr>
          <w:rFonts w:ascii="Abadi" w:hAnsi="Abadi"/>
          <w:b w:val="0"/>
          <w:sz w:val="21"/>
          <w:szCs w:val="21"/>
        </w:rPr>
        <w:t>del</w:t>
      </w:r>
      <w:r w:rsidRPr="00650831">
        <w:rPr>
          <w:rFonts w:ascii="Abadi" w:hAnsi="Abadi"/>
          <w:b w:val="0"/>
          <w:spacing w:val="-15"/>
          <w:sz w:val="21"/>
          <w:szCs w:val="21"/>
        </w:rPr>
        <w:t xml:space="preserve"> </w:t>
      </w:r>
      <w:r w:rsidRPr="00650831">
        <w:rPr>
          <w:rFonts w:ascii="Abadi" w:hAnsi="Abadi"/>
          <w:b w:val="0"/>
          <w:sz w:val="21"/>
          <w:szCs w:val="21"/>
        </w:rPr>
        <w:t>Partido</w:t>
      </w:r>
      <w:r w:rsidRPr="00650831">
        <w:rPr>
          <w:rFonts w:ascii="Abadi" w:hAnsi="Abadi"/>
          <w:b w:val="0"/>
          <w:spacing w:val="-16"/>
          <w:sz w:val="21"/>
          <w:szCs w:val="21"/>
        </w:rPr>
        <w:t xml:space="preserve"> </w:t>
      </w:r>
      <w:r w:rsidRPr="00650831">
        <w:rPr>
          <w:rFonts w:ascii="Abadi" w:hAnsi="Abadi"/>
          <w:b w:val="0"/>
          <w:sz w:val="21"/>
          <w:szCs w:val="21"/>
        </w:rPr>
        <w:t>Verde</w:t>
      </w:r>
      <w:r w:rsidRPr="00650831">
        <w:rPr>
          <w:rFonts w:ascii="Abadi" w:hAnsi="Abadi"/>
          <w:b w:val="0"/>
          <w:spacing w:val="-11"/>
          <w:sz w:val="21"/>
          <w:szCs w:val="21"/>
        </w:rPr>
        <w:t xml:space="preserve"> </w:t>
      </w:r>
      <w:r w:rsidRPr="00650831">
        <w:rPr>
          <w:rFonts w:ascii="Abadi" w:hAnsi="Abadi"/>
          <w:b w:val="0"/>
          <w:sz w:val="21"/>
          <w:szCs w:val="21"/>
        </w:rPr>
        <w:t>Ecologista</w:t>
      </w:r>
      <w:r w:rsidRPr="00650831">
        <w:rPr>
          <w:rFonts w:ascii="Abadi" w:hAnsi="Abadi"/>
          <w:b w:val="0"/>
          <w:spacing w:val="-9"/>
          <w:sz w:val="21"/>
          <w:szCs w:val="21"/>
        </w:rPr>
        <w:t xml:space="preserve"> </w:t>
      </w:r>
      <w:r w:rsidRPr="00650831">
        <w:rPr>
          <w:rFonts w:ascii="Abadi" w:hAnsi="Abadi"/>
          <w:b w:val="0"/>
          <w:sz w:val="21"/>
          <w:szCs w:val="21"/>
        </w:rPr>
        <w:t>de</w:t>
      </w:r>
      <w:r w:rsidRPr="00650831">
        <w:rPr>
          <w:rFonts w:ascii="Abadi" w:hAnsi="Abadi"/>
          <w:b w:val="0"/>
          <w:spacing w:val="-15"/>
          <w:sz w:val="21"/>
          <w:szCs w:val="21"/>
        </w:rPr>
        <w:t xml:space="preserve"> </w:t>
      </w:r>
      <w:r w:rsidRPr="00650831">
        <w:rPr>
          <w:rFonts w:ascii="Abadi" w:hAnsi="Abadi"/>
          <w:b w:val="0"/>
          <w:sz w:val="21"/>
          <w:szCs w:val="21"/>
        </w:rPr>
        <w:t>México,</w:t>
      </w:r>
      <w:r w:rsidRPr="00650831">
        <w:rPr>
          <w:rFonts w:ascii="Abadi" w:hAnsi="Abadi"/>
          <w:b w:val="0"/>
          <w:spacing w:val="-12"/>
          <w:sz w:val="21"/>
          <w:szCs w:val="21"/>
        </w:rPr>
        <w:t xml:space="preserve"> </w:t>
      </w:r>
      <w:r w:rsidRPr="00650831">
        <w:rPr>
          <w:rFonts w:ascii="Abadi" w:hAnsi="Abadi"/>
          <w:b w:val="0"/>
          <w:sz w:val="21"/>
          <w:szCs w:val="21"/>
        </w:rPr>
        <w:t>en</w:t>
      </w:r>
      <w:r w:rsidRPr="00650831">
        <w:rPr>
          <w:rFonts w:ascii="Abadi" w:hAnsi="Abadi"/>
          <w:b w:val="0"/>
          <w:spacing w:val="-12"/>
          <w:sz w:val="21"/>
          <w:szCs w:val="21"/>
        </w:rPr>
        <w:t xml:space="preserve"> </w:t>
      </w:r>
      <w:r w:rsidRPr="00650831">
        <w:rPr>
          <w:rFonts w:ascii="Abadi" w:hAnsi="Abadi"/>
          <w:b w:val="0"/>
          <w:sz w:val="21"/>
          <w:szCs w:val="21"/>
        </w:rPr>
        <w:t>la</w:t>
      </w:r>
      <w:r w:rsidRPr="00650831">
        <w:rPr>
          <w:rFonts w:ascii="Abadi" w:hAnsi="Abadi"/>
          <w:b w:val="0"/>
          <w:spacing w:val="-12"/>
          <w:sz w:val="21"/>
          <w:szCs w:val="21"/>
        </w:rPr>
        <w:t xml:space="preserve"> </w:t>
      </w:r>
      <w:r w:rsidRPr="00650831">
        <w:rPr>
          <w:rFonts w:ascii="Abadi" w:hAnsi="Abadi"/>
          <w:b w:val="0"/>
          <w:sz w:val="21"/>
          <w:szCs w:val="21"/>
        </w:rPr>
        <w:t>Sexagésima</w:t>
      </w:r>
      <w:r w:rsidRPr="00650831">
        <w:rPr>
          <w:rFonts w:ascii="Abadi" w:hAnsi="Abadi"/>
          <w:b w:val="0"/>
          <w:spacing w:val="-16"/>
          <w:sz w:val="21"/>
          <w:szCs w:val="21"/>
        </w:rPr>
        <w:t xml:space="preserve"> </w:t>
      </w:r>
      <w:r w:rsidRPr="00650831">
        <w:rPr>
          <w:rFonts w:ascii="Abadi" w:hAnsi="Abadi"/>
          <w:b w:val="0"/>
          <w:sz w:val="21"/>
          <w:szCs w:val="21"/>
        </w:rPr>
        <w:t xml:space="preserve">Quinta Legislatura del Congreso del Estado de Guanajuato, con fundamento en </w:t>
      </w:r>
      <w:r w:rsidRPr="00650831">
        <w:rPr>
          <w:rFonts w:ascii="Abadi" w:hAnsi="Abadi"/>
          <w:b w:val="0"/>
          <w:sz w:val="21"/>
          <w:szCs w:val="21"/>
        </w:rPr>
        <w:t>lo dispuesto</w:t>
      </w:r>
      <w:r w:rsidRPr="00650831">
        <w:rPr>
          <w:rFonts w:ascii="Abadi" w:hAnsi="Abadi"/>
          <w:b w:val="0"/>
          <w:spacing w:val="-3"/>
          <w:sz w:val="21"/>
          <w:szCs w:val="21"/>
        </w:rPr>
        <w:t xml:space="preserve"> </w:t>
      </w:r>
      <w:r w:rsidRPr="00650831">
        <w:rPr>
          <w:rFonts w:ascii="Abadi" w:hAnsi="Abadi"/>
          <w:b w:val="0"/>
          <w:sz w:val="21"/>
          <w:szCs w:val="21"/>
        </w:rPr>
        <w:t>en</w:t>
      </w:r>
      <w:r w:rsidRPr="00650831">
        <w:rPr>
          <w:rFonts w:ascii="Abadi" w:hAnsi="Abadi"/>
          <w:b w:val="0"/>
          <w:spacing w:val="-7"/>
          <w:sz w:val="21"/>
          <w:szCs w:val="21"/>
        </w:rPr>
        <w:t xml:space="preserve"> </w:t>
      </w:r>
      <w:r w:rsidRPr="00650831">
        <w:rPr>
          <w:rFonts w:ascii="Abadi" w:hAnsi="Abadi"/>
          <w:b w:val="0"/>
          <w:sz w:val="21"/>
          <w:szCs w:val="21"/>
        </w:rPr>
        <w:t>el</w:t>
      </w:r>
      <w:r w:rsidRPr="00650831">
        <w:rPr>
          <w:rFonts w:ascii="Abadi" w:hAnsi="Abadi"/>
          <w:b w:val="0"/>
          <w:spacing w:val="-5"/>
          <w:sz w:val="21"/>
          <w:szCs w:val="21"/>
        </w:rPr>
        <w:t xml:space="preserve"> </w:t>
      </w:r>
      <w:r w:rsidRPr="00650831">
        <w:rPr>
          <w:rFonts w:ascii="Abadi" w:hAnsi="Abadi"/>
          <w:b w:val="0"/>
          <w:sz w:val="21"/>
          <w:szCs w:val="21"/>
        </w:rPr>
        <w:t>artículo</w:t>
      </w:r>
      <w:r w:rsidRPr="00650831">
        <w:rPr>
          <w:rFonts w:ascii="Abadi" w:hAnsi="Abadi"/>
          <w:b w:val="0"/>
          <w:spacing w:val="-3"/>
          <w:sz w:val="21"/>
          <w:szCs w:val="21"/>
        </w:rPr>
        <w:t xml:space="preserve"> </w:t>
      </w:r>
      <w:r w:rsidRPr="00650831">
        <w:rPr>
          <w:rFonts w:ascii="Abadi" w:hAnsi="Abadi"/>
          <w:b w:val="0"/>
          <w:sz w:val="21"/>
          <w:szCs w:val="21"/>
        </w:rPr>
        <w:t>204</w:t>
      </w:r>
      <w:r w:rsidRPr="00650831">
        <w:rPr>
          <w:rFonts w:ascii="Abadi" w:hAnsi="Abadi"/>
          <w:b w:val="0"/>
          <w:spacing w:val="-4"/>
          <w:sz w:val="21"/>
          <w:szCs w:val="21"/>
        </w:rPr>
        <w:t xml:space="preserve"> </w:t>
      </w:r>
      <w:r w:rsidRPr="00650831">
        <w:rPr>
          <w:rFonts w:ascii="Abadi" w:hAnsi="Abadi"/>
          <w:b w:val="0"/>
          <w:sz w:val="21"/>
          <w:szCs w:val="21"/>
        </w:rPr>
        <w:t>fracción III</w:t>
      </w:r>
      <w:r w:rsidRPr="00650831">
        <w:rPr>
          <w:rFonts w:ascii="Abadi" w:hAnsi="Abadi"/>
          <w:b w:val="0"/>
          <w:spacing w:val="-3"/>
          <w:sz w:val="21"/>
          <w:szCs w:val="21"/>
        </w:rPr>
        <w:t xml:space="preserve"> </w:t>
      </w:r>
      <w:r w:rsidRPr="00650831">
        <w:rPr>
          <w:rFonts w:ascii="Abadi" w:hAnsi="Abadi"/>
          <w:b w:val="0"/>
          <w:sz w:val="21"/>
          <w:szCs w:val="21"/>
        </w:rPr>
        <w:t>de</w:t>
      </w:r>
      <w:r w:rsidRPr="00650831">
        <w:rPr>
          <w:rFonts w:ascii="Abadi" w:hAnsi="Abadi"/>
          <w:b w:val="0"/>
          <w:spacing w:val="-5"/>
          <w:sz w:val="21"/>
          <w:szCs w:val="21"/>
        </w:rPr>
        <w:t xml:space="preserve"> </w:t>
      </w:r>
      <w:r w:rsidRPr="00650831">
        <w:rPr>
          <w:rFonts w:ascii="Abadi" w:hAnsi="Abadi"/>
          <w:b w:val="0"/>
          <w:sz w:val="21"/>
          <w:szCs w:val="21"/>
        </w:rPr>
        <w:t>la</w:t>
      </w:r>
      <w:r w:rsidRPr="00650831">
        <w:rPr>
          <w:rFonts w:ascii="Abadi" w:hAnsi="Abadi"/>
          <w:b w:val="0"/>
          <w:spacing w:val="-7"/>
          <w:sz w:val="21"/>
          <w:szCs w:val="21"/>
        </w:rPr>
        <w:t xml:space="preserve"> </w:t>
      </w:r>
      <w:r w:rsidRPr="00650831">
        <w:rPr>
          <w:rFonts w:ascii="Abadi" w:hAnsi="Abadi"/>
          <w:b w:val="0"/>
          <w:sz w:val="21"/>
          <w:szCs w:val="21"/>
        </w:rPr>
        <w:t>Ley</w:t>
      </w:r>
      <w:r w:rsidRPr="00650831">
        <w:rPr>
          <w:rFonts w:ascii="Abadi" w:hAnsi="Abadi"/>
          <w:b w:val="0"/>
          <w:spacing w:val="-4"/>
          <w:sz w:val="21"/>
          <w:szCs w:val="21"/>
        </w:rPr>
        <w:t xml:space="preserve"> </w:t>
      </w:r>
      <w:r w:rsidRPr="00650831">
        <w:rPr>
          <w:rFonts w:ascii="Abadi" w:hAnsi="Abadi"/>
          <w:b w:val="0"/>
          <w:sz w:val="21"/>
          <w:szCs w:val="21"/>
        </w:rPr>
        <w:t>Orgánica</w:t>
      </w:r>
      <w:r w:rsidRPr="00650831">
        <w:rPr>
          <w:rFonts w:ascii="Abadi" w:hAnsi="Abadi"/>
          <w:b w:val="0"/>
          <w:spacing w:val="-3"/>
          <w:sz w:val="21"/>
          <w:szCs w:val="21"/>
        </w:rPr>
        <w:t xml:space="preserve"> </w:t>
      </w:r>
      <w:r w:rsidRPr="00650831">
        <w:rPr>
          <w:rFonts w:ascii="Abadi" w:hAnsi="Abadi"/>
          <w:b w:val="0"/>
          <w:sz w:val="21"/>
          <w:szCs w:val="21"/>
        </w:rPr>
        <w:t>del</w:t>
      </w:r>
      <w:r w:rsidRPr="00650831">
        <w:rPr>
          <w:rFonts w:ascii="Abadi" w:hAnsi="Abadi"/>
          <w:b w:val="0"/>
          <w:spacing w:val="-2"/>
          <w:sz w:val="21"/>
          <w:szCs w:val="21"/>
        </w:rPr>
        <w:t xml:space="preserve"> </w:t>
      </w:r>
      <w:r w:rsidRPr="00650831">
        <w:rPr>
          <w:rFonts w:ascii="Abadi" w:hAnsi="Abadi"/>
          <w:b w:val="0"/>
          <w:sz w:val="21"/>
          <w:szCs w:val="21"/>
        </w:rPr>
        <w:t>Poder</w:t>
      </w:r>
      <w:r w:rsidRPr="00650831">
        <w:rPr>
          <w:rFonts w:ascii="Abadi" w:hAnsi="Abadi"/>
          <w:b w:val="0"/>
          <w:spacing w:val="-2"/>
          <w:sz w:val="21"/>
          <w:szCs w:val="21"/>
        </w:rPr>
        <w:t xml:space="preserve"> </w:t>
      </w:r>
      <w:r w:rsidRPr="00650831">
        <w:rPr>
          <w:rFonts w:ascii="Abadi" w:hAnsi="Abadi"/>
          <w:b w:val="0"/>
          <w:sz w:val="21"/>
          <w:szCs w:val="21"/>
        </w:rPr>
        <w:t>Legislativo del Estado de Guanajuato, nos permitimos someter a la consideración de esta Asamblea, la presente propuesta de Punto de Acuerdo, bajo las siguientes:</w:t>
      </w:r>
      <w:r w:rsidR="0090793D">
        <w:rPr>
          <w:rFonts w:ascii="Abadi" w:hAnsi="Abadi"/>
          <w:b w:val="0"/>
          <w:sz w:val="21"/>
          <w:szCs w:val="21"/>
        </w:rPr>
        <w:t xml:space="preserve"> </w:t>
      </w:r>
    </w:p>
    <w:p w14:paraId="17F80D63" w14:textId="77777777" w:rsidR="0090793D" w:rsidRDefault="0090793D" w:rsidP="0090793D">
      <w:pPr>
        <w:pStyle w:val="Textoindependiente"/>
        <w:ind w:firstLine="706"/>
        <w:rPr>
          <w:rFonts w:ascii="Abadi" w:hAnsi="Abadi"/>
          <w:b w:val="0"/>
          <w:sz w:val="21"/>
          <w:szCs w:val="21"/>
        </w:rPr>
      </w:pPr>
    </w:p>
    <w:p w14:paraId="1E83B828" w14:textId="316C0491" w:rsidR="0090793D" w:rsidRDefault="0090793D" w:rsidP="008222B3">
      <w:pPr>
        <w:pStyle w:val="Textoindependiente"/>
        <w:jc w:val="center"/>
        <w:rPr>
          <w:rFonts w:ascii="Abadi" w:hAnsi="Abadi"/>
          <w:b w:val="0"/>
          <w:spacing w:val="-2"/>
          <w:sz w:val="21"/>
          <w:szCs w:val="21"/>
        </w:rPr>
      </w:pPr>
      <w:r w:rsidRPr="00650831">
        <w:rPr>
          <w:rFonts w:ascii="Abadi" w:hAnsi="Abadi"/>
          <w:b w:val="0"/>
          <w:spacing w:val="-2"/>
          <w:sz w:val="21"/>
          <w:szCs w:val="21"/>
        </w:rPr>
        <w:t>CONSIDERACIONES</w:t>
      </w:r>
    </w:p>
    <w:p w14:paraId="5D00C34C" w14:textId="77777777" w:rsidR="008222B3" w:rsidRDefault="008222B3" w:rsidP="0090793D">
      <w:pPr>
        <w:pStyle w:val="Textoindependiente"/>
        <w:ind w:firstLine="706"/>
        <w:rPr>
          <w:rFonts w:ascii="Abadi" w:hAnsi="Abadi"/>
          <w:b w:val="0"/>
          <w:spacing w:val="-2"/>
          <w:sz w:val="21"/>
          <w:szCs w:val="21"/>
        </w:rPr>
      </w:pPr>
    </w:p>
    <w:p w14:paraId="6C844227" w14:textId="77777777" w:rsidR="008222B3" w:rsidRDefault="008222B3" w:rsidP="008222B3">
      <w:pPr>
        <w:pStyle w:val="Textoindependiente"/>
        <w:ind w:firstLine="710"/>
        <w:rPr>
          <w:rFonts w:ascii="Abadi" w:hAnsi="Abadi"/>
          <w:sz w:val="21"/>
          <w:szCs w:val="21"/>
        </w:rPr>
      </w:pPr>
      <w:r w:rsidRPr="00650831">
        <w:rPr>
          <w:rFonts w:ascii="Abadi" w:hAnsi="Abadi"/>
          <w:b w:val="0"/>
          <w:sz w:val="21"/>
          <w:szCs w:val="21"/>
        </w:rPr>
        <w:t>El tabaquismo es la causa de más de 8 millones de muertes anuales, 7 millones son el resultado del consumo directo, mientras que alrededor de 1.2 millones</w:t>
      </w:r>
      <w:r w:rsidRPr="00650831">
        <w:rPr>
          <w:rFonts w:ascii="Abadi" w:hAnsi="Abadi"/>
          <w:b w:val="0"/>
          <w:spacing w:val="-1"/>
          <w:sz w:val="21"/>
          <w:szCs w:val="21"/>
        </w:rPr>
        <w:t xml:space="preserve"> </w:t>
      </w:r>
      <w:r w:rsidRPr="00650831">
        <w:rPr>
          <w:rFonts w:ascii="Abadi" w:hAnsi="Abadi"/>
          <w:b w:val="0"/>
          <w:sz w:val="21"/>
          <w:szCs w:val="21"/>
        </w:rPr>
        <w:t>se registran en personas</w:t>
      </w:r>
      <w:r w:rsidRPr="00650831">
        <w:rPr>
          <w:rFonts w:ascii="Abadi" w:hAnsi="Abadi"/>
          <w:b w:val="0"/>
          <w:spacing w:val="-1"/>
          <w:sz w:val="21"/>
          <w:szCs w:val="21"/>
        </w:rPr>
        <w:t xml:space="preserve"> </w:t>
      </w:r>
      <w:r w:rsidRPr="00650831">
        <w:rPr>
          <w:rFonts w:ascii="Abadi" w:hAnsi="Abadi"/>
          <w:b w:val="0"/>
          <w:sz w:val="21"/>
          <w:szCs w:val="21"/>
        </w:rPr>
        <w:t>que no</w:t>
      </w:r>
      <w:r w:rsidRPr="00650831">
        <w:rPr>
          <w:rFonts w:ascii="Abadi" w:hAnsi="Abadi"/>
          <w:b w:val="0"/>
          <w:spacing w:val="-1"/>
          <w:sz w:val="21"/>
          <w:szCs w:val="21"/>
        </w:rPr>
        <w:t xml:space="preserve"> </w:t>
      </w:r>
      <w:r w:rsidRPr="00650831">
        <w:rPr>
          <w:rFonts w:ascii="Abadi" w:hAnsi="Abadi"/>
          <w:b w:val="0"/>
          <w:sz w:val="21"/>
          <w:szCs w:val="21"/>
        </w:rPr>
        <w:t>son fumadoras,</w:t>
      </w:r>
      <w:r w:rsidRPr="00650831">
        <w:rPr>
          <w:rFonts w:ascii="Abadi" w:hAnsi="Abadi"/>
          <w:b w:val="0"/>
          <w:spacing w:val="-4"/>
          <w:sz w:val="21"/>
          <w:szCs w:val="21"/>
        </w:rPr>
        <w:t xml:space="preserve"> </w:t>
      </w:r>
      <w:r w:rsidRPr="00650831">
        <w:rPr>
          <w:rFonts w:ascii="Abadi" w:hAnsi="Abadi"/>
          <w:b w:val="0"/>
          <w:sz w:val="21"/>
          <w:szCs w:val="21"/>
        </w:rPr>
        <w:t>pero</w:t>
      </w:r>
      <w:r w:rsidRPr="00650831">
        <w:rPr>
          <w:rFonts w:ascii="Abadi" w:hAnsi="Abadi"/>
          <w:b w:val="0"/>
          <w:spacing w:val="-4"/>
          <w:sz w:val="21"/>
          <w:szCs w:val="21"/>
        </w:rPr>
        <w:t xml:space="preserve"> </w:t>
      </w:r>
      <w:r w:rsidRPr="00650831">
        <w:rPr>
          <w:rFonts w:ascii="Abadi" w:hAnsi="Abadi"/>
          <w:b w:val="0"/>
          <w:sz w:val="21"/>
          <w:szCs w:val="21"/>
        </w:rPr>
        <w:t>que</w:t>
      </w:r>
      <w:r w:rsidRPr="00650831">
        <w:rPr>
          <w:rFonts w:ascii="Abadi" w:hAnsi="Abadi"/>
          <w:b w:val="0"/>
          <w:spacing w:val="-3"/>
          <w:sz w:val="21"/>
          <w:szCs w:val="21"/>
        </w:rPr>
        <w:t xml:space="preserve"> </w:t>
      </w:r>
      <w:r w:rsidRPr="00650831">
        <w:rPr>
          <w:rFonts w:ascii="Abadi" w:hAnsi="Abadi"/>
          <w:b w:val="0"/>
          <w:sz w:val="21"/>
          <w:szCs w:val="21"/>
        </w:rPr>
        <w:t xml:space="preserve">han estado expuestas al humo del tabaco. En México, cada año mueren más de 63 mil personas por enfermedades relacionadas al tabaquismo. Hay más de 14 </w:t>
      </w:r>
      <w:r w:rsidRPr="00650831">
        <w:rPr>
          <w:rFonts w:ascii="Abadi" w:hAnsi="Abadi"/>
          <w:b w:val="0"/>
          <w:spacing w:val="-2"/>
          <w:sz w:val="21"/>
          <w:szCs w:val="21"/>
        </w:rPr>
        <w:t>millones</w:t>
      </w:r>
      <w:r w:rsidRPr="00650831">
        <w:rPr>
          <w:rFonts w:ascii="Abadi" w:hAnsi="Abadi"/>
          <w:b w:val="0"/>
          <w:spacing w:val="-13"/>
          <w:sz w:val="21"/>
          <w:szCs w:val="21"/>
        </w:rPr>
        <w:t xml:space="preserve"> </w:t>
      </w:r>
      <w:r w:rsidRPr="00650831">
        <w:rPr>
          <w:rFonts w:ascii="Abadi" w:hAnsi="Abadi"/>
          <w:b w:val="0"/>
          <w:spacing w:val="-2"/>
          <w:sz w:val="21"/>
          <w:szCs w:val="21"/>
        </w:rPr>
        <w:t>de</w:t>
      </w:r>
      <w:r w:rsidRPr="00650831">
        <w:rPr>
          <w:rFonts w:ascii="Abadi" w:hAnsi="Abadi"/>
          <w:b w:val="0"/>
          <w:spacing w:val="-4"/>
          <w:sz w:val="21"/>
          <w:szCs w:val="21"/>
        </w:rPr>
        <w:t xml:space="preserve"> </w:t>
      </w:r>
      <w:r w:rsidRPr="00650831">
        <w:rPr>
          <w:rFonts w:ascii="Abadi" w:hAnsi="Abadi"/>
          <w:b w:val="0"/>
          <w:spacing w:val="-2"/>
          <w:sz w:val="21"/>
          <w:szCs w:val="21"/>
        </w:rPr>
        <w:t>fumadores,</w:t>
      </w:r>
      <w:r w:rsidRPr="00650831">
        <w:rPr>
          <w:rFonts w:ascii="Abadi" w:hAnsi="Abadi"/>
          <w:b w:val="0"/>
          <w:spacing w:val="-12"/>
          <w:sz w:val="21"/>
          <w:szCs w:val="21"/>
        </w:rPr>
        <w:t xml:space="preserve"> </w:t>
      </w:r>
      <w:r w:rsidRPr="00650831">
        <w:rPr>
          <w:rFonts w:ascii="Abadi" w:hAnsi="Abadi"/>
          <w:b w:val="0"/>
          <w:spacing w:val="-2"/>
          <w:sz w:val="21"/>
          <w:szCs w:val="21"/>
        </w:rPr>
        <w:t>y</w:t>
      </w:r>
      <w:r w:rsidRPr="00650831">
        <w:rPr>
          <w:rFonts w:ascii="Abadi" w:hAnsi="Abadi"/>
          <w:b w:val="0"/>
          <w:spacing w:val="-8"/>
          <w:sz w:val="21"/>
          <w:szCs w:val="21"/>
        </w:rPr>
        <w:t xml:space="preserve"> </w:t>
      </w:r>
      <w:r w:rsidRPr="00650831">
        <w:rPr>
          <w:rFonts w:ascii="Abadi" w:hAnsi="Abadi"/>
          <w:b w:val="0"/>
          <w:spacing w:val="-2"/>
          <w:sz w:val="21"/>
          <w:szCs w:val="21"/>
        </w:rPr>
        <w:t>lo</w:t>
      </w:r>
      <w:r w:rsidRPr="00650831">
        <w:rPr>
          <w:rFonts w:ascii="Abadi" w:hAnsi="Abadi"/>
          <w:b w:val="0"/>
          <w:spacing w:val="-12"/>
          <w:sz w:val="21"/>
          <w:szCs w:val="21"/>
        </w:rPr>
        <w:t xml:space="preserve"> </w:t>
      </w:r>
      <w:r w:rsidRPr="00650831">
        <w:rPr>
          <w:rFonts w:ascii="Abadi" w:hAnsi="Abadi"/>
          <w:b w:val="0"/>
          <w:spacing w:val="-2"/>
          <w:sz w:val="21"/>
          <w:szCs w:val="21"/>
        </w:rPr>
        <w:t>más</w:t>
      </w:r>
      <w:r w:rsidRPr="00650831">
        <w:rPr>
          <w:rFonts w:ascii="Abadi" w:hAnsi="Abadi"/>
          <w:b w:val="0"/>
          <w:spacing w:val="-13"/>
          <w:sz w:val="21"/>
          <w:szCs w:val="21"/>
        </w:rPr>
        <w:t xml:space="preserve"> </w:t>
      </w:r>
      <w:r w:rsidRPr="00650831">
        <w:rPr>
          <w:rFonts w:ascii="Abadi" w:hAnsi="Abadi"/>
          <w:b w:val="0"/>
          <w:spacing w:val="-2"/>
          <w:sz w:val="21"/>
          <w:szCs w:val="21"/>
        </w:rPr>
        <w:t>lamentable</w:t>
      </w:r>
      <w:r w:rsidRPr="00650831">
        <w:rPr>
          <w:rFonts w:ascii="Abadi" w:hAnsi="Abadi"/>
          <w:b w:val="0"/>
          <w:spacing w:val="-9"/>
          <w:sz w:val="21"/>
          <w:szCs w:val="21"/>
        </w:rPr>
        <w:t xml:space="preserve"> </w:t>
      </w:r>
      <w:r w:rsidRPr="00650831">
        <w:rPr>
          <w:rFonts w:ascii="Abadi" w:hAnsi="Abadi"/>
          <w:b w:val="0"/>
          <w:spacing w:val="-2"/>
          <w:sz w:val="21"/>
          <w:szCs w:val="21"/>
        </w:rPr>
        <w:t>es</w:t>
      </w:r>
      <w:r w:rsidRPr="00650831">
        <w:rPr>
          <w:rFonts w:ascii="Abadi" w:hAnsi="Abadi"/>
          <w:b w:val="0"/>
          <w:spacing w:val="-13"/>
          <w:sz w:val="21"/>
          <w:szCs w:val="21"/>
        </w:rPr>
        <w:t xml:space="preserve"> </w:t>
      </w:r>
      <w:r w:rsidRPr="00650831">
        <w:rPr>
          <w:rFonts w:ascii="Abadi" w:hAnsi="Abadi"/>
          <w:b w:val="0"/>
          <w:spacing w:val="-2"/>
          <w:sz w:val="21"/>
          <w:szCs w:val="21"/>
        </w:rPr>
        <w:t>que</w:t>
      </w:r>
      <w:r w:rsidRPr="00650831">
        <w:rPr>
          <w:rFonts w:ascii="Abadi" w:hAnsi="Abadi"/>
          <w:b w:val="0"/>
          <w:spacing w:val="-9"/>
          <w:sz w:val="21"/>
          <w:szCs w:val="21"/>
        </w:rPr>
        <w:t xml:space="preserve"> </w:t>
      </w:r>
      <w:r w:rsidRPr="00650831">
        <w:rPr>
          <w:rFonts w:ascii="Abadi" w:hAnsi="Abadi"/>
          <w:b w:val="0"/>
          <w:spacing w:val="-2"/>
          <w:sz w:val="21"/>
          <w:szCs w:val="21"/>
        </w:rPr>
        <w:t>el</w:t>
      </w:r>
      <w:r w:rsidRPr="00650831">
        <w:rPr>
          <w:rFonts w:ascii="Abadi" w:hAnsi="Abadi"/>
          <w:b w:val="0"/>
          <w:spacing w:val="-9"/>
          <w:sz w:val="21"/>
          <w:szCs w:val="21"/>
        </w:rPr>
        <w:t xml:space="preserve"> </w:t>
      </w:r>
      <w:r w:rsidRPr="00650831">
        <w:rPr>
          <w:rFonts w:ascii="Abadi" w:hAnsi="Abadi"/>
          <w:b w:val="0"/>
          <w:spacing w:val="-2"/>
          <w:sz w:val="21"/>
          <w:szCs w:val="21"/>
        </w:rPr>
        <w:t>6%</w:t>
      </w:r>
      <w:r w:rsidRPr="00650831">
        <w:rPr>
          <w:rFonts w:ascii="Abadi" w:hAnsi="Abadi"/>
          <w:b w:val="0"/>
          <w:spacing w:val="-10"/>
          <w:sz w:val="21"/>
          <w:szCs w:val="21"/>
        </w:rPr>
        <w:t xml:space="preserve"> </w:t>
      </w:r>
      <w:r w:rsidRPr="00650831">
        <w:rPr>
          <w:rFonts w:ascii="Abadi" w:hAnsi="Abadi"/>
          <w:b w:val="0"/>
          <w:spacing w:val="-2"/>
          <w:sz w:val="21"/>
          <w:szCs w:val="21"/>
        </w:rPr>
        <w:t>de</w:t>
      </w:r>
      <w:r w:rsidRPr="00650831">
        <w:rPr>
          <w:rFonts w:ascii="Abadi" w:hAnsi="Abadi"/>
          <w:b w:val="0"/>
          <w:spacing w:val="-9"/>
          <w:sz w:val="21"/>
          <w:szCs w:val="21"/>
        </w:rPr>
        <w:t xml:space="preserve"> </w:t>
      </w:r>
      <w:r w:rsidRPr="00650831">
        <w:rPr>
          <w:rFonts w:ascii="Abadi" w:hAnsi="Abadi"/>
          <w:b w:val="0"/>
          <w:spacing w:val="-2"/>
          <w:sz w:val="21"/>
          <w:szCs w:val="21"/>
        </w:rPr>
        <w:t>esos</w:t>
      </w:r>
      <w:r w:rsidRPr="00650831">
        <w:rPr>
          <w:rFonts w:ascii="Abadi" w:hAnsi="Abadi"/>
          <w:b w:val="0"/>
          <w:spacing w:val="-13"/>
          <w:sz w:val="21"/>
          <w:szCs w:val="21"/>
        </w:rPr>
        <w:t xml:space="preserve"> </w:t>
      </w:r>
      <w:r w:rsidRPr="00650831">
        <w:rPr>
          <w:rFonts w:ascii="Abadi" w:hAnsi="Abadi"/>
          <w:b w:val="0"/>
          <w:spacing w:val="-2"/>
          <w:sz w:val="21"/>
          <w:szCs w:val="21"/>
        </w:rPr>
        <w:t xml:space="preserve">consumidores, </w:t>
      </w:r>
      <w:r w:rsidRPr="00650831">
        <w:rPr>
          <w:rFonts w:ascii="Abadi" w:hAnsi="Abadi"/>
          <w:b w:val="0"/>
          <w:sz w:val="21"/>
          <w:szCs w:val="21"/>
        </w:rPr>
        <w:t>casi 1 millón, son adolescentes.</w:t>
      </w:r>
    </w:p>
    <w:p w14:paraId="28EAC080" w14:textId="77777777" w:rsidR="008222B3" w:rsidRPr="00650831" w:rsidRDefault="008222B3" w:rsidP="008222B3">
      <w:pPr>
        <w:pStyle w:val="Textoindependiente"/>
        <w:ind w:left="1179" w:right="1186" w:firstLine="710"/>
        <w:rPr>
          <w:rFonts w:ascii="Abadi" w:hAnsi="Abadi"/>
          <w:sz w:val="21"/>
          <w:szCs w:val="21"/>
        </w:rPr>
      </w:pPr>
    </w:p>
    <w:p w14:paraId="50E7C724" w14:textId="77777777" w:rsidR="008222B3" w:rsidRDefault="008222B3" w:rsidP="008222B3">
      <w:pPr>
        <w:pStyle w:val="Textoindependiente"/>
        <w:ind w:firstLine="710"/>
        <w:rPr>
          <w:rFonts w:ascii="Abadi" w:hAnsi="Abadi"/>
          <w:sz w:val="21"/>
          <w:szCs w:val="21"/>
        </w:rPr>
      </w:pPr>
      <w:r w:rsidRPr="00650831">
        <w:rPr>
          <w:rFonts w:ascii="Abadi" w:hAnsi="Abadi"/>
          <w:b w:val="0"/>
          <w:sz w:val="21"/>
          <w:szCs w:val="21"/>
        </w:rPr>
        <w:t>Desde</w:t>
      </w:r>
      <w:r w:rsidRPr="00650831">
        <w:rPr>
          <w:rFonts w:ascii="Abadi" w:hAnsi="Abadi"/>
          <w:b w:val="0"/>
          <w:spacing w:val="-7"/>
          <w:sz w:val="21"/>
          <w:szCs w:val="21"/>
        </w:rPr>
        <w:t xml:space="preserve"> </w:t>
      </w:r>
      <w:r w:rsidRPr="00650831">
        <w:rPr>
          <w:rFonts w:ascii="Abadi" w:hAnsi="Abadi"/>
          <w:b w:val="0"/>
          <w:sz w:val="21"/>
          <w:szCs w:val="21"/>
        </w:rPr>
        <w:t>hace</w:t>
      </w:r>
      <w:r w:rsidRPr="00650831">
        <w:rPr>
          <w:rFonts w:ascii="Abadi" w:hAnsi="Abadi"/>
          <w:b w:val="0"/>
          <w:spacing w:val="-7"/>
          <w:sz w:val="21"/>
          <w:szCs w:val="21"/>
        </w:rPr>
        <w:t xml:space="preserve"> </w:t>
      </w:r>
      <w:r w:rsidRPr="00650831">
        <w:rPr>
          <w:rFonts w:ascii="Abadi" w:hAnsi="Abadi"/>
          <w:b w:val="0"/>
          <w:sz w:val="21"/>
          <w:szCs w:val="21"/>
        </w:rPr>
        <w:t>algunos</w:t>
      </w:r>
      <w:r w:rsidRPr="00650831">
        <w:rPr>
          <w:rFonts w:ascii="Abadi" w:hAnsi="Abadi"/>
          <w:b w:val="0"/>
          <w:spacing w:val="-10"/>
          <w:sz w:val="21"/>
          <w:szCs w:val="21"/>
        </w:rPr>
        <w:t xml:space="preserve"> </w:t>
      </w:r>
      <w:r w:rsidRPr="00650831">
        <w:rPr>
          <w:rFonts w:ascii="Abadi" w:hAnsi="Abadi"/>
          <w:b w:val="0"/>
          <w:sz w:val="21"/>
          <w:szCs w:val="21"/>
        </w:rPr>
        <w:t>años,</w:t>
      </w:r>
      <w:r w:rsidRPr="00650831">
        <w:rPr>
          <w:rFonts w:ascii="Abadi" w:hAnsi="Abadi"/>
          <w:b w:val="0"/>
          <w:spacing w:val="-9"/>
          <w:sz w:val="21"/>
          <w:szCs w:val="21"/>
        </w:rPr>
        <w:t xml:space="preserve"> </w:t>
      </w:r>
      <w:r w:rsidRPr="00650831">
        <w:rPr>
          <w:rFonts w:ascii="Abadi" w:hAnsi="Abadi"/>
          <w:b w:val="0"/>
          <w:sz w:val="21"/>
          <w:szCs w:val="21"/>
        </w:rPr>
        <w:t>se</w:t>
      </w:r>
      <w:r w:rsidRPr="00650831">
        <w:rPr>
          <w:rFonts w:ascii="Abadi" w:hAnsi="Abadi"/>
          <w:b w:val="0"/>
          <w:spacing w:val="-11"/>
          <w:sz w:val="21"/>
          <w:szCs w:val="21"/>
        </w:rPr>
        <w:t xml:space="preserve"> </w:t>
      </w:r>
      <w:r w:rsidRPr="00650831">
        <w:rPr>
          <w:rFonts w:ascii="Abadi" w:hAnsi="Abadi"/>
          <w:b w:val="0"/>
          <w:sz w:val="21"/>
          <w:szCs w:val="21"/>
        </w:rPr>
        <w:t>ha</w:t>
      </w:r>
      <w:r w:rsidRPr="00650831">
        <w:rPr>
          <w:rFonts w:ascii="Abadi" w:hAnsi="Abadi"/>
          <w:b w:val="0"/>
          <w:spacing w:val="-9"/>
          <w:sz w:val="21"/>
          <w:szCs w:val="21"/>
        </w:rPr>
        <w:t xml:space="preserve"> </w:t>
      </w:r>
      <w:r w:rsidRPr="00650831">
        <w:rPr>
          <w:rFonts w:ascii="Abadi" w:hAnsi="Abadi"/>
          <w:b w:val="0"/>
          <w:sz w:val="21"/>
          <w:szCs w:val="21"/>
        </w:rPr>
        <w:t>observado</w:t>
      </w:r>
      <w:r w:rsidRPr="00650831">
        <w:rPr>
          <w:rFonts w:ascii="Abadi" w:hAnsi="Abadi"/>
          <w:b w:val="0"/>
          <w:spacing w:val="-9"/>
          <w:sz w:val="21"/>
          <w:szCs w:val="21"/>
        </w:rPr>
        <w:t xml:space="preserve"> </w:t>
      </w:r>
      <w:r w:rsidRPr="00650831">
        <w:rPr>
          <w:rFonts w:ascii="Abadi" w:hAnsi="Abadi"/>
          <w:b w:val="0"/>
          <w:sz w:val="21"/>
          <w:szCs w:val="21"/>
        </w:rPr>
        <w:t>un</w:t>
      </w:r>
      <w:r w:rsidRPr="00650831">
        <w:rPr>
          <w:rFonts w:ascii="Abadi" w:hAnsi="Abadi"/>
          <w:b w:val="0"/>
          <w:spacing w:val="-13"/>
          <w:sz w:val="21"/>
          <w:szCs w:val="21"/>
        </w:rPr>
        <w:t xml:space="preserve"> </w:t>
      </w:r>
      <w:r w:rsidRPr="00650831">
        <w:rPr>
          <w:rFonts w:ascii="Abadi" w:hAnsi="Abadi"/>
          <w:b w:val="0"/>
          <w:sz w:val="21"/>
          <w:szCs w:val="21"/>
        </w:rPr>
        <w:t>crecimiento</w:t>
      </w:r>
      <w:r w:rsidRPr="00650831">
        <w:rPr>
          <w:rFonts w:ascii="Abadi" w:hAnsi="Abadi"/>
          <w:b w:val="0"/>
          <w:spacing w:val="-10"/>
          <w:sz w:val="21"/>
          <w:szCs w:val="21"/>
        </w:rPr>
        <w:t xml:space="preserve"> </w:t>
      </w:r>
      <w:r w:rsidRPr="00650831">
        <w:rPr>
          <w:rFonts w:ascii="Abadi" w:hAnsi="Abadi"/>
          <w:b w:val="0"/>
          <w:sz w:val="21"/>
          <w:szCs w:val="21"/>
        </w:rPr>
        <w:t>en</w:t>
      </w:r>
      <w:r w:rsidRPr="00650831">
        <w:rPr>
          <w:rFonts w:ascii="Abadi" w:hAnsi="Abadi"/>
          <w:b w:val="0"/>
          <w:spacing w:val="-13"/>
          <w:sz w:val="21"/>
          <w:szCs w:val="21"/>
        </w:rPr>
        <w:t xml:space="preserve"> </w:t>
      </w:r>
      <w:r w:rsidRPr="00650831">
        <w:rPr>
          <w:rFonts w:ascii="Abadi" w:hAnsi="Abadi"/>
          <w:b w:val="0"/>
          <w:sz w:val="21"/>
          <w:szCs w:val="21"/>
        </w:rPr>
        <w:t>la</w:t>
      </w:r>
      <w:r w:rsidRPr="00650831">
        <w:rPr>
          <w:rFonts w:ascii="Abadi" w:hAnsi="Abadi"/>
          <w:b w:val="0"/>
          <w:spacing w:val="-13"/>
          <w:sz w:val="21"/>
          <w:szCs w:val="21"/>
        </w:rPr>
        <w:t xml:space="preserve"> </w:t>
      </w:r>
      <w:r w:rsidRPr="00650831">
        <w:rPr>
          <w:rFonts w:ascii="Abadi" w:hAnsi="Abadi"/>
          <w:b w:val="0"/>
          <w:sz w:val="21"/>
          <w:szCs w:val="21"/>
        </w:rPr>
        <w:t>venta</w:t>
      </w:r>
      <w:r w:rsidRPr="00650831">
        <w:rPr>
          <w:rFonts w:ascii="Abadi" w:hAnsi="Abadi"/>
          <w:b w:val="0"/>
          <w:spacing w:val="-10"/>
          <w:sz w:val="21"/>
          <w:szCs w:val="21"/>
        </w:rPr>
        <w:t xml:space="preserve"> </w:t>
      </w:r>
      <w:r w:rsidRPr="00650831">
        <w:rPr>
          <w:rFonts w:ascii="Abadi" w:hAnsi="Abadi"/>
          <w:b w:val="0"/>
          <w:sz w:val="21"/>
          <w:szCs w:val="21"/>
        </w:rPr>
        <w:t>de productos novedosos, tales como Sistemas Electrónicos de Administración de Nicotina,</w:t>
      </w:r>
      <w:r w:rsidRPr="00650831">
        <w:rPr>
          <w:rFonts w:ascii="Abadi" w:hAnsi="Abadi"/>
          <w:b w:val="0"/>
          <w:spacing w:val="-8"/>
          <w:sz w:val="21"/>
          <w:szCs w:val="21"/>
        </w:rPr>
        <w:t xml:space="preserve"> </w:t>
      </w:r>
      <w:r w:rsidRPr="00650831">
        <w:rPr>
          <w:rFonts w:ascii="Abadi" w:hAnsi="Abadi"/>
          <w:b w:val="0"/>
          <w:sz w:val="21"/>
          <w:szCs w:val="21"/>
        </w:rPr>
        <w:t>Sistemas</w:t>
      </w:r>
      <w:r w:rsidRPr="00650831">
        <w:rPr>
          <w:rFonts w:ascii="Abadi" w:hAnsi="Abadi"/>
          <w:b w:val="0"/>
          <w:spacing w:val="-9"/>
          <w:sz w:val="21"/>
          <w:szCs w:val="21"/>
        </w:rPr>
        <w:t xml:space="preserve"> </w:t>
      </w:r>
      <w:r w:rsidRPr="00650831">
        <w:rPr>
          <w:rFonts w:ascii="Abadi" w:hAnsi="Abadi"/>
          <w:b w:val="0"/>
          <w:sz w:val="21"/>
          <w:szCs w:val="21"/>
        </w:rPr>
        <w:t>Similares</w:t>
      </w:r>
      <w:r w:rsidRPr="00650831">
        <w:rPr>
          <w:rFonts w:ascii="Abadi" w:hAnsi="Abadi"/>
          <w:b w:val="0"/>
          <w:spacing w:val="-10"/>
          <w:sz w:val="21"/>
          <w:szCs w:val="21"/>
        </w:rPr>
        <w:t xml:space="preserve"> </w:t>
      </w:r>
      <w:r w:rsidRPr="00650831">
        <w:rPr>
          <w:rFonts w:ascii="Abadi" w:hAnsi="Abadi"/>
          <w:b w:val="0"/>
          <w:sz w:val="21"/>
          <w:szCs w:val="21"/>
        </w:rPr>
        <w:t>sin</w:t>
      </w:r>
      <w:r w:rsidRPr="00650831">
        <w:rPr>
          <w:rFonts w:ascii="Abadi" w:hAnsi="Abadi"/>
          <w:b w:val="0"/>
          <w:spacing w:val="-8"/>
          <w:sz w:val="21"/>
          <w:szCs w:val="21"/>
        </w:rPr>
        <w:t xml:space="preserve"> </w:t>
      </w:r>
      <w:r w:rsidRPr="00650831">
        <w:rPr>
          <w:rFonts w:ascii="Abadi" w:hAnsi="Abadi"/>
          <w:b w:val="0"/>
          <w:sz w:val="21"/>
          <w:szCs w:val="21"/>
        </w:rPr>
        <w:t>Nicotina,</w:t>
      </w:r>
      <w:r w:rsidRPr="00650831">
        <w:rPr>
          <w:rFonts w:ascii="Abadi" w:hAnsi="Abadi"/>
          <w:b w:val="0"/>
          <w:spacing w:val="-9"/>
          <w:sz w:val="21"/>
          <w:szCs w:val="21"/>
        </w:rPr>
        <w:t xml:space="preserve"> </w:t>
      </w:r>
      <w:r w:rsidRPr="00650831">
        <w:rPr>
          <w:rFonts w:ascii="Abadi" w:hAnsi="Abadi"/>
          <w:b w:val="0"/>
          <w:sz w:val="21"/>
          <w:szCs w:val="21"/>
        </w:rPr>
        <w:t>Sistemas</w:t>
      </w:r>
      <w:r w:rsidRPr="00650831">
        <w:rPr>
          <w:rFonts w:ascii="Abadi" w:hAnsi="Abadi"/>
          <w:b w:val="0"/>
          <w:spacing w:val="-9"/>
          <w:sz w:val="21"/>
          <w:szCs w:val="21"/>
        </w:rPr>
        <w:t xml:space="preserve"> </w:t>
      </w:r>
      <w:r w:rsidRPr="00650831">
        <w:rPr>
          <w:rFonts w:ascii="Abadi" w:hAnsi="Abadi"/>
          <w:b w:val="0"/>
          <w:sz w:val="21"/>
          <w:szCs w:val="21"/>
        </w:rPr>
        <w:t>Alternativos</w:t>
      </w:r>
      <w:r w:rsidRPr="00650831">
        <w:rPr>
          <w:rFonts w:ascii="Abadi" w:hAnsi="Abadi"/>
          <w:b w:val="0"/>
          <w:spacing w:val="-10"/>
          <w:sz w:val="21"/>
          <w:szCs w:val="21"/>
        </w:rPr>
        <w:t xml:space="preserve"> </w:t>
      </w:r>
      <w:r w:rsidRPr="00650831">
        <w:rPr>
          <w:rFonts w:ascii="Abadi" w:hAnsi="Abadi"/>
          <w:b w:val="0"/>
          <w:sz w:val="21"/>
          <w:szCs w:val="21"/>
        </w:rPr>
        <w:t>de</w:t>
      </w:r>
      <w:r w:rsidRPr="00650831">
        <w:rPr>
          <w:rFonts w:ascii="Abadi" w:hAnsi="Abadi"/>
          <w:b w:val="0"/>
          <w:spacing w:val="-11"/>
          <w:sz w:val="21"/>
          <w:szCs w:val="21"/>
        </w:rPr>
        <w:t xml:space="preserve"> </w:t>
      </w:r>
      <w:r w:rsidRPr="00650831">
        <w:rPr>
          <w:rFonts w:ascii="Abadi" w:hAnsi="Abadi"/>
          <w:b w:val="0"/>
          <w:sz w:val="21"/>
          <w:szCs w:val="21"/>
        </w:rPr>
        <w:t>Consumo</w:t>
      </w:r>
      <w:r w:rsidRPr="00650831">
        <w:rPr>
          <w:rFonts w:ascii="Abadi" w:hAnsi="Abadi"/>
          <w:b w:val="0"/>
          <w:spacing w:val="-8"/>
          <w:sz w:val="21"/>
          <w:szCs w:val="21"/>
        </w:rPr>
        <w:t xml:space="preserve"> </w:t>
      </w:r>
      <w:r w:rsidRPr="00650831">
        <w:rPr>
          <w:rFonts w:ascii="Abadi" w:hAnsi="Abadi"/>
          <w:b w:val="0"/>
          <w:sz w:val="21"/>
          <w:szCs w:val="21"/>
        </w:rPr>
        <w:t>de Nicotina, conocidos como cigarrillos electrónicos y dispositivos vaporizadores con usos similares o productos de tabaco calentado.</w:t>
      </w:r>
    </w:p>
    <w:p w14:paraId="66CF8558" w14:textId="77777777" w:rsidR="008222B3" w:rsidRPr="00650831" w:rsidRDefault="008222B3" w:rsidP="008222B3">
      <w:pPr>
        <w:pStyle w:val="Textoindependiente"/>
        <w:ind w:left="1179" w:right="1192" w:firstLine="710"/>
        <w:rPr>
          <w:rFonts w:ascii="Abadi" w:hAnsi="Abadi"/>
          <w:sz w:val="21"/>
          <w:szCs w:val="21"/>
        </w:rPr>
      </w:pPr>
    </w:p>
    <w:p w14:paraId="423B75EF" w14:textId="6B6D93E3" w:rsidR="008222B3" w:rsidRDefault="008222B3" w:rsidP="008222B3">
      <w:pPr>
        <w:pStyle w:val="Textoindependiente"/>
        <w:ind w:firstLine="710"/>
        <w:rPr>
          <w:rFonts w:ascii="Abadi" w:hAnsi="Abadi"/>
          <w:sz w:val="21"/>
          <w:szCs w:val="21"/>
          <w:vertAlign w:val="superscript"/>
        </w:rPr>
      </w:pPr>
      <w:r w:rsidRPr="00650831">
        <w:rPr>
          <w:rFonts w:ascii="Abadi" w:hAnsi="Abadi"/>
          <w:b w:val="0"/>
          <w:sz w:val="21"/>
          <w:szCs w:val="21"/>
        </w:rPr>
        <w:t>El</w:t>
      </w:r>
      <w:r w:rsidRPr="00650831">
        <w:rPr>
          <w:rFonts w:ascii="Abadi" w:hAnsi="Abadi"/>
          <w:b w:val="0"/>
          <w:spacing w:val="-16"/>
          <w:sz w:val="21"/>
          <w:szCs w:val="21"/>
        </w:rPr>
        <w:t xml:space="preserve"> </w:t>
      </w:r>
      <w:r w:rsidRPr="00650831">
        <w:rPr>
          <w:rFonts w:ascii="Abadi" w:hAnsi="Abadi"/>
          <w:b w:val="0"/>
          <w:sz w:val="21"/>
          <w:szCs w:val="21"/>
        </w:rPr>
        <w:t>impacto</w:t>
      </w:r>
      <w:r w:rsidRPr="00650831">
        <w:rPr>
          <w:rFonts w:ascii="Abadi" w:hAnsi="Abadi"/>
          <w:b w:val="0"/>
          <w:spacing w:val="-16"/>
          <w:sz w:val="21"/>
          <w:szCs w:val="21"/>
        </w:rPr>
        <w:t xml:space="preserve"> </w:t>
      </w:r>
      <w:r w:rsidRPr="00650831">
        <w:rPr>
          <w:rFonts w:ascii="Abadi" w:hAnsi="Abadi"/>
          <w:b w:val="0"/>
          <w:sz w:val="21"/>
          <w:szCs w:val="21"/>
        </w:rPr>
        <w:t>en</w:t>
      </w:r>
      <w:r w:rsidRPr="00650831">
        <w:rPr>
          <w:rFonts w:ascii="Abadi" w:hAnsi="Abadi"/>
          <w:b w:val="0"/>
          <w:spacing w:val="-16"/>
          <w:sz w:val="21"/>
          <w:szCs w:val="21"/>
        </w:rPr>
        <w:t xml:space="preserve"> </w:t>
      </w:r>
      <w:r w:rsidRPr="00650831">
        <w:rPr>
          <w:rFonts w:ascii="Abadi" w:hAnsi="Abadi"/>
          <w:b w:val="0"/>
          <w:sz w:val="21"/>
          <w:szCs w:val="21"/>
        </w:rPr>
        <w:t>la</w:t>
      </w:r>
      <w:r w:rsidRPr="00650831">
        <w:rPr>
          <w:rFonts w:ascii="Abadi" w:hAnsi="Abadi"/>
          <w:b w:val="0"/>
          <w:spacing w:val="-16"/>
          <w:sz w:val="21"/>
          <w:szCs w:val="21"/>
        </w:rPr>
        <w:t xml:space="preserve"> </w:t>
      </w:r>
      <w:r w:rsidRPr="00650831">
        <w:rPr>
          <w:rFonts w:ascii="Abadi" w:hAnsi="Abadi"/>
          <w:b w:val="0"/>
          <w:sz w:val="21"/>
          <w:szCs w:val="21"/>
        </w:rPr>
        <w:t>salud</w:t>
      </w:r>
      <w:r w:rsidRPr="00650831">
        <w:rPr>
          <w:rFonts w:ascii="Abadi" w:hAnsi="Abadi"/>
          <w:b w:val="0"/>
          <w:spacing w:val="-16"/>
          <w:sz w:val="21"/>
          <w:szCs w:val="21"/>
        </w:rPr>
        <w:t xml:space="preserve"> </w:t>
      </w:r>
      <w:r w:rsidRPr="00650831">
        <w:rPr>
          <w:rFonts w:ascii="Abadi" w:hAnsi="Abadi"/>
          <w:b w:val="0"/>
          <w:sz w:val="21"/>
          <w:szCs w:val="21"/>
        </w:rPr>
        <w:t>de</w:t>
      </w:r>
      <w:r w:rsidRPr="00650831">
        <w:rPr>
          <w:rFonts w:ascii="Abadi" w:hAnsi="Abadi"/>
          <w:b w:val="0"/>
          <w:spacing w:val="-15"/>
          <w:sz w:val="21"/>
          <w:szCs w:val="21"/>
        </w:rPr>
        <w:t xml:space="preserve"> </w:t>
      </w:r>
      <w:r w:rsidRPr="00650831">
        <w:rPr>
          <w:rFonts w:ascii="Abadi" w:hAnsi="Abadi"/>
          <w:b w:val="0"/>
          <w:sz w:val="21"/>
          <w:szCs w:val="21"/>
        </w:rPr>
        <w:t>los</w:t>
      </w:r>
      <w:r w:rsidRPr="00650831">
        <w:rPr>
          <w:rFonts w:ascii="Abadi" w:hAnsi="Abadi"/>
          <w:b w:val="0"/>
          <w:spacing w:val="-16"/>
          <w:sz w:val="21"/>
          <w:szCs w:val="21"/>
        </w:rPr>
        <w:t xml:space="preserve"> </w:t>
      </w:r>
      <w:r w:rsidRPr="00650831">
        <w:rPr>
          <w:rFonts w:ascii="Abadi" w:hAnsi="Abadi"/>
          <w:b w:val="0"/>
          <w:sz w:val="21"/>
          <w:szCs w:val="21"/>
        </w:rPr>
        <w:t>usuarios</w:t>
      </w:r>
      <w:r w:rsidRPr="00650831">
        <w:rPr>
          <w:rFonts w:ascii="Abadi" w:hAnsi="Abadi"/>
          <w:b w:val="0"/>
          <w:spacing w:val="-14"/>
          <w:sz w:val="21"/>
          <w:szCs w:val="21"/>
        </w:rPr>
        <w:t xml:space="preserve"> </w:t>
      </w:r>
      <w:r w:rsidRPr="00650831">
        <w:rPr>
          <w:rFonts w:ascii="Abadi" w:hAnsi="Abadi"/>
          <w:b w:val="0"/>
          <w:sz w:val="21"/>
          <w:szCs w:val="21"/>
        </w:rPr>
        <w:t>por</w:t>
      </w:r>
      <w:r w:rsidRPr="00650831">
        <w:rPr>
          <w:rFonts w:ascii="Abadi" w:hAnsi="Abadi"/>
          <w:b w:val="0"/>
          <w:spacing w:val="-16"/>
          <w:sz w:val="21"/>
          <w:szCs w:val="21"/>
        </w:rPr>
        <w:t xml:space="preserve"> </w:t>
      </w:r>
      <w:r w:rsidRPr="00650831">
        <w:rPr>
          <w:rFonts w:ascii="Abadi" w:hAnsi="Abadi"/>
          <w:b w:val="0"/>
          <w:sz w:val="21"/>
          <w:szCs w:val="21"/>
        </w:rPr>
        <w:t>el</w:t>
      </w:r>
      <w:r w:rsidRPr="00650831">
        <w:rPr>
          <w:rFonts w:ascii="Abadi" w:hAnsi="Abadi"/>
          <w:b w:val="0"/>
          <w:spacing w:val="-12"/>
          <w:sz w:val="21"/>
          <w:szCs w:val="21"/>
        </w:rPr>
        <w:t xml:space="preserve"> </w:t>
      </w:r>
      <w:r w:rsidRPr="00650831">
        <w:rPr>
          <w:rFonts w:ascii="Abadi" w:hAnsi="Abadi"/>
          <w:b w:val="0"/>
          <w:sz w:val="21"/>
          <w:szCs w:val="21"/>
        </w:rPr>
        <w:t>uso</w:t>
      </w:r>
      <w:r w:rsidRPr="00650831">
        <w:rPr>
          <w:rFonts w:ascii="Abadi" w:hAnsi="Abadi"/>
          <w:b w:val="0"/>
          <w:spacing w:val="-8"/>
          <w:sz w:val="21"/>
          <w:szCs w:val="21"/>
        </w:rPr>
        <w:t xml:space="preserve"> </w:t>
      </w:r>
      <w:r w:rsidRPr="00650831">
        <w:rPr>
          <w:rFonts w:ascii="Abadi" w:hAnsi="Abadi"/>
          <w:b w:val="0"/>
          <w:sz w:val="21"/>
          <w:szCs w:val="21"/>
        </w:rPr>
        <w:t>de</w:t>
      </w:r>
      <w:r w:rsidRPr="00650831">
        <w:rPr>
          <w:rFonts w:ascii="Abadi" w:hAnsi="Abadi"/>
          <w:b w:val="0"/>
          <w:spacing w:val="-15"/>
          <w:sz w:val="21"/>
          <w:szCs w:val="21"/>
        </w:rPr>
        <w:t xml:space="preserve"> </w:t>
      </w:r>
      <w:r w:rsidRPr="00650831">
        <w:rPr>
          <w:rFonts w:ascii="Abadi" w:hAnsi="Abadi"/>
          <w:b w:val="0"/>
          <w:sz w:val="21"/>
          <w:szCs w:val="21"/>
        </w:rPr>
        <w:t>cigarrillos</w:t>
      </w:r>
      <w:r w:rsidRPr="00650831">
        <w:rPr>
          <w:rFonts w:ascii="Abadi" w:hAnsi="Abadi"/>
          <w:b w:val="0"/>
          <w:spacing w:val="-16"/>
          <w:sz w:val="21"/>
          <w:szCs w:val="21"/>
        </w:rPr>
        <w:t xml:space="preserve"> </w:t>
      </w:r>
      <w:r w:rsidRPr="00650831">
        <w:rPr>
          <w:rFonts w:ascii="Abadi" w:hAnsi="Abadi"/>
          <w:b w:val="0"/>
          <w:sz w:val="21"/>
          <w:szCs w:val="21"/>
        </w:rPr>
        <w:t>electrónicos y productos de tabaco calentado sigue en estudio. Sin embargo, se ha observado en diversos estudios que la exposición a estos dispositivos altera la</w:t>
      </w:r>
      <w:r>
        <w:rPr>
          <w:rFonts w:ascii="Abadi" w:hAnsi="Abadi"/>
          <w:sz w:val="21"/>
          <w:szCs w:val="21"/>
        </w:rPr>
        <w:t xml:space="preserve"> </w:t>
      </w:r>
      <w:r w:rsidRPr="005E2F67">
        <w:rPr>
          <w:rFonts w:ascii="Abadi" w:hAnsi="Abadi"/>
          <w:b w:val="0"/>
          <w:bCs w:val="0"/>
          <w:sz w:val="21"/>
          <w:szCs w:val="21"/>
        </w:rPr>
        <w:t>fu</w:t>
      </w:r>
      <w:r w:rsidRPr="00650831">
        <w:rPr>
          <w:rFonts w:ascii="Abadi" w:hAnsi="Abadi"/>
          <w:b w:val="0"/>
          <w:sz w:val="21"/>
          <w:szCs w:val="21"/>
        </w:rPr>
        <w:t>nción de la mitocondria, lo que puede contribuir más a la inflamación de las vías respiratorias y el cáncer de pulmón</w:t>
      </w:r>
      <w:r w:rsidR="00862A1B">
        <w:rPr>
          <w:rStyle w:val="Refdenotaalpie"/>
          <w:rFonts w:ascii="Abadi" w:hAnsi="Abadi"/>
          <w:b w:val="0"/>
          <w:sz w:val="21"/>
          <w:szCs w:val="21"/>
        </w:rPr>
        <w:footnoteReference w:id="80"/>
      </w:r>
    </w:p>
    <w:p w14:paraId="7E281A0D" w14:textId="77777777" w:rsidR="008222B3" w:rsidRPr="00650831" w:rsidRDefault="008222B3" w:rsidP="008222B3">
      <w:pPr>
        <w:pStyle w:val="Textoindependiente"/>
        <w:ind w:left="1179" w:right="1186" w:firstLine="710"/>
        <w:rPr>
          <w:rFonts w:ascii="Abadi" w:hAnsi="Abadi"/>
          <w:sz w:val="21"/>
          <w:szCs w:val="21"/>
        </w:rPr>
      </w:pPr>
    </w:p>
    <w:p w14:paraId="637C68D2" w14:textId="77777777" w:rsidR="008222B3" w:rsidRDefault="008222B3" w:rsidP="005E2F67">
      <w:pPr>
        <w:pStyle w:val="Textoindependiente"/>
        <w:ind w:firstLine="710"/>
        <w:rPr>
          <w:rFonts w:ascii="Abadi" w:hAnsi="Abadi"/>
          <w:sz w:val="21"/>
          <w:szCs w:val="21"/>
        </w:rPr>
      </w:pPr>
      <w:r w:rsidRPr="00650831">
        <w:rPr>
          <w:rFonts w:ascii="Abadi" w:hAnsi="Abadi"/>
          <w:b w:val="0"/>
          <w:sz w:val="21"/>
          <w:szCs w:val="21"/>
        </w:rPr>
        <w:t>En un estudio realizado por Lee et al. (2019) se encontró que el uso de productos</w:t>
      </w:r>
      <w:r w:rsidRPr="00650831">
        <w:rPr>
          <w:rFonts w:ascii="Abadi" w:hAnsi="Abadi"/>
          <w:b w:val="0"/>
          <w:spacing w:val="-11"/>
          <w:sz w:val="21"/>
          <w:szCs w:val="21"/>
        </w:rPr>
        <w:t xml:space="preserve"> </w:t>
      </w:r>
      <w:r w:rsidRPr="00650831">
        <w:rPr>
          <w:rFonts w:ascii="Abadi" w:hAnsi="Abadi"/>
          <w:b w:val="0"/>
          <w:sz w:val="21"/>
          <w:szCs w:val="21"/>
        </w:rPr>
        <w:t>de</w:t>
      </w:r>
      <w:r w:rsidRPr="00650831">
        <w:rPr>
          <w:rFonts w:ascii="Abadi" w:hAnsi="Abadi"/>
          <w:b w:val="0"/>
          <w:spacing w:val="-9"/>
          <w:sz w:val="21"/>
          <w:szCs w:val="21"/>
        </w:rPr>
        <w:t xml:space="preserve"> </w:t>
      </w:r>
      <w:r w:rsidRPr="00650831">
        <w:rPr>
          <w:rFonts w:ascii="Abadi" w:hAnsi="Abadi"/>
          <w:b w:val="0"/>
          <w:sz w:val="21"/>
          <w:szCs w:val="21"/>
        </w:rPr>
        <w:t>tabaco</w:t>
      </w:r>
      <w:r w:rsidRPr="00650831">
        <w:rPr>
          <w:rFonts w:ascii="Abadi" w:hAnsi="Abadi"/>
          <w:b w:val="0"/>
          <w:spacing w:val="-10"/>
          <w:sz w:val="21"/>
          <w:szCs w:val="21"/>
        </w:rPr>
        <w:t xml:space="preserve"> </w:t>
      </w:r>
      <w:r w:rsidRPr="00650831">
        <w:rPr>
          <w:rFonts w:ascii="Abadi" w:hAnsi="Abadi"/>
          <w:b w:val="0"/>
          <w:sz w:val="21"/>
          <w:szCs w:val="21"/>
        </w:rPr>
        <w:t>calentados</w:t>
      </w:r>
      <w:r w:rsidRPr="00650831">
        <w:rPr>
          <w:rFonts w:ascii="Abadi" w:hAnsi="Abadi"/>
          <w:b w:val="0"/>
          <w:spacing w:val="-11"/>
          <w:sz w:val="21"/>
          <w:szCs w:val="21"/>
        </w:rPr>
        <w:t xml:space="preserve"> </w:t>
      </w:r>
      <w:r w:rsidRPr="00650831">
        <w:rPr>
          <w:rFonts w:ascii="Abadi" w:hAnsi="Abadi"/>
          <w:b w:val="0"/>
          <w:sz w:val="21"/>
          <w:szCs w:val="21"/>
        </w:rPr>
        <w:t>se</w:t>
      </w:r>
      <w:r w:rsidRPr="00650831">
        <w:rPr>
          <w:rFonts w:ascii="Abadi" w:hAnsi="Abadi"/>
          <w:b w:val="0"/>
          <w:spacing w:val="-9"/>
          <w:sz w:val="21"/>
          <w:szCs w:val="21"/>
        </w:rPr>
        <w:t xml:space="preserve"> </w:t>
      </w:r>
      <w:r w:rsidRPr="00650831">
        <w:rPr>
          <w:rFonts w:ascii="Abadi" w:hAnsi="Abadi"/>
          <w:b w:val="0"/>
          <w:sz w:val="21"/>
          <w:szCs w:val="21"/>
        </w:rPr>
        <w:t>asocia</w:t>
      </w:r>
      <w:r w:rsidRPr="00650831">
        <w:rPr>
          <w:rFonts w:ascii="Abadi" w:hAnsi="Abadi"/>
          <w:b w:val="0"/>
          <w:spacing w:val="-10"/>
          <w:sz w:val="21"/>
          <w:szCs w:val="21"/>
        </w:rPr>
        <w:t xml:space="preserve"> </w:t>
      </w:r>
      <w:r w:rsidRPr="00650831">
        <w:rPr>
          <w:rFonts w:ascii="Abadi" w:hAnsi="Abadi"/>
          <w:b w:val="0"/>
          <w:sz w:val="21"/>
          <w:szCs w:val="21"/>
        </w:rPr>
        <w:t>con</w:t>
      </w:r>
      <w:r w:rsidRPr="00650831">
        <w:rPr>
          <w:rFonts w:ascii="Abadi" w:hAnsi="Abadi"/>
          <w:b w:val="0"/>
          <w:spacing w:val="-10"/>
          <w:sz w:val="21"/>
          <w:szCs w:val="21"/>
        </w:rPr>
        <w:t xml:space="preserve"> </w:t>
      </w:r>
      <w:r w:rsidRPr="00650831">
        <w:rPr>
          <w:rFonts w:ascii="Abadi" w:hAnsi="Abadi"/>
          <w:b w:val="0"/>
          <w:sz w:val="21"/>
          <w:szCs w:val="21"/>
        </w:rPr>
        <w:t>asma,</w:t>
      </w:r>
      <w:r w:rsidRPr="00650831">
        <w:rPr>
          <w:rFonts w:ascii="Abadi" w:hAnsi="Abadi"/>
          <w:b w:val="0"/>
          <w:spacing w:val="-10"/>
          <w:sz w:val="21"/>
          <w:szCs w:val="21"/>
        </w:rPr>
        <w:t xml:space="preserve"> </w:t>
      </w:r>
      <w:r w:rsidRPr="00650831">
        <w:rPr>
          <w:rFonts w:ascii="Abadi" w:hAnsi="Abadi"/>
          <w:b w:val="0"/>
          <w:sz w:val="21"/>
          <w:szCs w:val="21"/>
        </w:rPr>
        <w:t>rinitis</w:t>
      </w:r>
      <w:r w:rsidRPr="00650831">
        <w:rPr>
          <w:rFonts w:ascii="Abadi" w:hAnsi="Abadi"/>
          <w:b w:val="0"/>
          <w:spacing w:val="-8"/>
          <w:sz w:val="21"/>
          <w:szCs w:val="21"/>
        </w:rPr>
        <w:t xml:space="preserve"> </w:t>
      </w:r>
      <w:r w:rsidRPr="00650831">
        <w:rPr>
          <w:rFonts w:ascii="Abadi" w:hAnsi="Abadi"/>
          <w:b w:val="0"/>
          <w:sz w:val="21"/>
          <w:szCs w:val="21"/>
        </w:rPr>
        <w:t>alérgica</w:t>
      </w:r>
      <w:r w:rsidRPr="00650831">
        <w:rPr>
          <w:rFonts w:ascii="Abadi" w:hAnsi="Abadi"/>
          <w:b w:val="0"/>
          <w:spacing w:val="-10"/>
          <w:sz w:val="21"/>
          <w:szCs w:val="21"/>
        </w:rPr>
        <w:t xml:space="preserve"> </w:t>
      </w:r>
      <w:r w:rsidRPr="00650831">
        <w:rPr>
          <w:rFonts w:ascii="Abadi" w:hAnsi="Abadi"/>
          <w:b w:val="0"/>
          <w:sz w:val="21"/>
          <w:szCs w:val="21"/>
        </w:rPr>
        <w:t>y</w:t>
      </w:r>
      <w:r w:rsidRPr="00650831">
        <w:rPr>
          <w:rFonts w:ascii="Abadi" w:hAnsi="Abadi"/>
          <w:b w:val="0"/>
          <w:spacing w:val="-9"/>
          <w:sz w:val="21"/>
          <w:szCs w:val="21"/>
        </w:rPr>
        <w:t xml:space="preserve"> </w:t>
      </w:r>
      <w:r w:rsidRPr="00650831">
        <w:rPr>
          <w:rFonts w:ascii="Abadi" w:hAnsi="Abadi"/>
          <w:b w:val="0"/>
          <w:sz w:val="21"/>
          <w:szCs w:val="21"/>
        </w:rPr>
        <w:t>dermatitis atópica en adolescentes. El diagnóstico inicial de dermatitis atópica puede dar lugar</w:t>
      </w:r>
      <w:r w:rsidRPr="00650831">
        <w:rPr>
          <w:rFonts w:ascii="Abadi" w:hAnsi="Abadi"/>
          <w:b w:val="0"/>
          <w:spacing w:val="-16"/>
          <w:sz w:val="21"/>
          <w:szCs w:val="21"/>
        </w:rPr>
        <w:t xml:space="preserve"> </w:t>
      </w:r>
      <w:r w:rsidRPr="00650831">
        <w:rPr>
          <w:rFonts w:ascii="Abadi" w:hAnsi="Abadi"/>
          <w:b w:val="0"/>
          <w:sz w:val="21"/>
          <w:szCs w:val="21"/>
        </w:rPr>
        <w:t>a</w:t>
      </w:r>
      <w:r w:rsidRPr="00650831">
        <w:rPr>
          <w:rFonts w:ascii="Abadi" w:hAnsi="Abadi"/>
          <w:b w:val="0"/>
          <w:spacing w:val="-16"/>
          <w:sz w:val="21"/>
          <w:szCs w:val="21"/>
        </w:rPr>
        <w:t xml:space="preserve"> </w:t>
      </w:r>
      <w:r w:rsidRPr="00650831">
        <w:rPr>
          <w:rFonts w:ascii="Abadi" w:hAnsi="Abadi"/>
          <w:b w:val="0"/>
          <w:sz w:val="21"/>
          <w:szCs w:val="21"/>
        </w:rPr>
        <w:t>una</w:t>
      </w:r>
      <w:r w:rsidRPr="00650831">
        <w:rPr>
          <w:rFonts w:ascii="Abadi" w:hAnsi="Abadi"/>
          <w:b w:val="0"/>
          <w:spacing w:val="-16"/>
          <w:sz w:val="21"/>
          <w:szCs w:val="21"/>
        </w:rPr>
        <w:t xml:space="preserve"> </w:t>
      </w:r>
      <w:r w:rsidRPr="00650831">
        <w:rPr>
          <w:rFonts w:ascii="Abadi" w:hAnsi="Abadi"/>
          <w:b w:val="0"/>
          <w:sz w:val="21"/>
          <w:szCs w:val="21"/>
        </w:rPr>
        <w:t>respuesta</w:t>
      </w:r>
      <w:r w:rsidRPr="00650831">
        <w:rPr>
          <w:rFonts w:ascii="Abadi" w:hAnsi="Abadi"/>
          <w:b w:val="0"/>
          <w:spacing w:val="-16"/>
          <w:sz w:val="21"/>
          <w:szCs w:val="21"/>
        </w:rPr>
        <w:t xml:space="preserve"> </w:t>
      </w:r>
      <w:r w:rsidRPr="00650831">
        <w:rPr>
          <w:rFonts w:ascii="Abadi" w:hAnsi="Abadi"/>
          <w:b w:val="0"/>
          <w:sz w:val="21"/>
          <w:szCs w:val="21"/>
        </w:rPr>
        <w:t>inmunitaria</w:t>
      </w:r>
      <w:r w:rsidRPr="00650831">
        <w:rPr>
          <w:rFonts w:ascii="Abadi" w:hAnsi="Abadi"/>
          <w:b w:val="0"/>
          <w:spacing w:val="-16"/>
          <w:sz w:val="21"/>
          <w:szCs w:val="21"/>
        </w:rPr>
        <w:t xml:space="preserve"> </w:t>
      </w:r>
      <w:r w:rsidRPr="00650831">
        <w:rPr>
          <w:rFonts w:ascii="Abadi" w:hAnsi="Abadi"/>
          <w:b w:val="0"/>
          <w:sz w:val="21"/>
          <w:szCs w:val="21"/>
        </w:rPr>
        <w:t>sistémica</w:t>
      </w:r>
      <w:r w:rsidRPr="00650831">
        <w:rPr>
          <w:rFonts w:ascii="Abadi" w:hAnsi="Abadi"/>
          <w:b w:val="0"/>
          <w:spacing w:val="-15"/>
          <w:sz w:val="21"/>
          <w:szCs w:val="21"/>
        </w:rPr>
        <w:t xml:space="preserve"> </w:t>
      </w:r>
      <w:r w:rsidRPr="00650831">
        <w:rPr>
          <w:rFonts w:ascii="Abadi" w:hAnsi="Abadi"/>
          <w:b w:val="0"/>
          <w:sz w:val="21"/>
          <w:szCs w:val="21"/>
        </w:rPr>
        <w:t>posterior.</w:t>
      </w:r>
      <w:r w:rsidRPr="00650831">
        <w:rPr>
          <w:rFonts w:ascii="Abadi" w:hAnsi="Abadi"/>
          <w:b w:val="0"/>
          <w:spacing w:val="-16"/>
          <w:sz w:val="21"/>
          <w:szCs w:val="21"/>
        </w:rPr>
        <w:t xml:space="preserve"> </w:t>
      </w:r>
      <w:r w:rsidRPr="00650831">
        <w:rPr>
          <w:rFonts w:ascii="Abadi" w:hAnsi="Abadi"/>
          <w:b w:val="0"/>
          <w:sz w:val="21"/>
          <w:szCs w:val="21"/>
        </w:rPr>
        <w:t>Este</w:t>
      </w:r>
      <w:r w:rsidRPr="00650831">
        <w:rPr>
          <w:rFonts w:ascii="Abadi" w:hAnsi="Abadi"/>
          <w:b w:val="0"/>
          <w:spacing w:val="-16"/>
          <w:sz w:val="21"/>
          <w:szCs w:val="21"/>
        </w:rPr>
        <w:t xml:space="preserve"> </w:t>
      </w:r>
      <w:r w:rsidRPr="00650831">
        <w:rPr>
          <w:rFonts w:ascii="Abadi" w:hAnsi="Abadi"/>
          <w:b w:val="0"/>
          <w:sz w:val="21"/>
          <w:szCs w:val="21"/>
        </w:rPr>
        <w:t>estudio</w:t>
      </w:r>
      <w:r w:rsidRPr="00650831">
        <w:rPr>
          <w:rFonts w:ascii="Abadi" w:hAnsi="Abadi"/>
          <w:b w:val="0"/>
          <w:spacing w:val="-16"/>
          <w:sz w:val="21"/>
          <w:szCs w:val="21"/>
        </w:rPr>
        <w:t xml:space="preserve"> </w:t>
      </w:r>
      <w:r w:rsidRPr="00650831">
        <w:rPr>
          <w:rFonts w:ascii="Abadi" w:hAnsi="Abadi"/>
          <w:b w:val="0"/>
          <w:sz w:val="21"/>
          <w:szCs w:val="21"/>
        </w:rPr>
        <w:t>muestra</w:t>
      </w:r>
      <w:r w:rsidRPr="00650831">
        <w:rPr>
          <w:rFonts w:ascii="Abadi" w:hAnsi="Abadi"/>
          <w:b w:val="0"/>
          <w:spacing w:val="-16"/>
          <w:sz w:val="21"/>
          <w:szCs w:val="21"/>
        </w:rPr>
        <w:t xml:space="preserve"> </w:t>
      </w:r>
      <w:r w:rsidRPr="00650831">
        <w:rPr>
          <w:rFonts w:ascii="Abadi" w:hAnsi="Abadi"/>
          <w:b w:val="0"/>
          <w:sz w:val="21"/>
          <w:szCs w:val="21"/>
        </w:rPr>
        <w:t>que es</w:t>
      </w:r>
      <w:r w:rsidRPr="00650831">
        <w:rPr>
          <w:rFonts w:ascii="Abadi" w:hAnsi="Abadi"/>
          <w:b w:val="0"/>
          <w:spacing w:val="-2"/>
          <w:sz w:val="21"/>
          <w:szCs w:val="21"/>
        </w:rPr>
        <w:t xml:space="preserve"> </w:t>
      </w:r>
      <w:r w:rsidRPr="00650831">
        <w:rPr>
          <w:rFonts w:ascii="Abadi" w:hAnsi="Abadi"/>
          <w:b w:val="0"/>
          <w:sz w:val="21"/>
          <w:szCs w:val="21"/>
        </w:rPr>
        <w:t xml:space="preserve">importante que los </w:t>
      </w:r>
      <w:r w:rsidRPr="00650831">
        <w:rPr>
          <w:rFonts w:ascii="Abadi" w:hAnsi="Abadi"/>
          <w:b w:val="0"/>
          <w:sz w:val="21"/>
          <w:szCs w:val="21"/>
        </w:rPr>
        <w:lastRenderedPageBreak/>
        <w:t>adolescentes presten</w:t>
      </w:r>
      <w:r w:rsidRPr="00650831">
        <w:rPr>
          <w:rFonts w:ascii="Abadi" w:hAnsi="Abadi"/>
          <w:b w:val="0"/>
          <w:spacing w:val="-1"/>
          <w:sz w:val="21"/>
          <w:szCs w:val="21"/>
        </w:rPr>
        <w:t xml:space="preserve"> </w:t>
      </w:r>
      <w:r w:rsidRPr="00650831">
        <w:rPr>
          <w:rFonts w:ascii="Abadi" w:hAnsi="Abadi"/>
          <w:b w:val="0"/>
          <w:sz w:val="21"/>
          <w:szCs w:val="21"/>
        </w:rPr>
        <w:t>especial atención al tabaquismo y su relación con las epidemias de alergia.</w:t>
      </w:r>
    </w:p>
    <w:p w14:paraId="36CE231F" w14:textId="77777777" w:rsidR="008222B3" w:rsidRPr="00650831" w:rsidRDefault="008222B3" w:rsidP="008222B3">
      <w:pPr>
        <w:pStyle w:val="Textoindependiente"/>
        <w:ind w:left="1179" w:right="1181" w:firstLine="710"/>
        <w:rPr>
          <w:rFonts w:ascii="Abadi" w:hAnsi="Abadi"/>
          <w:sz w:val="21"/>
          <w:szCs w:val="21"/>
        </w:rPr>
      </w:pPr>
    </w:p>
    <w:p w14:paraId="1D262625" w14:textId="77777777" w:rsidR="008222B3" w:rsidRDefault="008222B3" w:rsidP="008614D1">
      <w:pPr>
        <w:pStyle w:val="Textoindependiente"/>
        <w:ind w:firstLine="710"/>
        <w:rPr>
          <w:rFonts w:ascii="Abadi" w:hAnsi="Abadi"/>
          <w:spacing w:val="-2"/>
          <w:sz w:val="21"/>
          <w:szCs w:val="21"/>
        </w:rPr>
      </w:pPr>
      <w:r w:rsidRPr="00650831">
        <w:rPr>
          <w:rFonts w:ascii="Abadi" w:hAnsi="Abadi"/>
          <w:b w:val="0"/>
          <w:sz w:val="21"/>
          <w:szCs w:val="21"/>
        </w:rPr>
        <w:t>La</w:t>
      </w:r>
      <w:r w:rsidRPr="00650831">
        <w:rPr>
          <w:rFonts w:ascii="Abadi" w:hAnsi="Abadi"/>
          <w:b w:val="0"/>
          <w:spacing w:val="-13"/>
          <w:sz w:val="21"/>
          <w:szCs w:val="21"/>
        </w:rPr>
        <w:t xml:space="preserve"> </w:t>
      </w:r>
      <w:r w:rsidRPr="00650831">
        <w:rPr>
          <w:rFonts w:ascii="Abadi" w:hAnsi="Abadi"/>
          <w:b w:val="0"/>
          <w:sz w:val="21"/>
          <w:szCs w:val="21"/>
        </w:rPr>
        <w:t>licenciada</w:t>
      </w:r>
      <w:r w:rsidRPr="00650831">
        <w:rPr>
          <w:rFonts w:ascii="Abadi" w:hAnsi="Abadi"/>
          <w:b w:val="0"/>
          <w:spacing w:val="-9"/>
          <w:sz w:val="21"/>
          <w:szCs w:val="21"/>
        </w:rPr>
        <w:t xml:space="preserve"> </w:t>
      </w:r>
      <w:r w:rsidRPr="00650831">
        <w:rPr>
          <w:rFonts w:ascii="Abadi" w:hAnsi="Abadi"/>
          <w:b w:val="0"/>
          <w:sz w:val="21"/>
          <w:szCs w:val="21"/>
        </w:rPr>
        <w:t>en</w:t>
      </w:r>
      <w:r w:rsidRPr="00650831">
        <w:rPr>
          <w:rFonts w:ascii="Abadi" w:hAnsi="Abadi"/>
          <w:b w:val="0"/>
          <w:spacing w:val="-8"/>
          <w:sz w:val="21"/>
          <w:szCs w:val="21"/>
        </w:rPr>
        <w:t xml:space="preserve"> </w:t>
      </w:r>
      <w:r w:rsidRPr="00650831">
        <w:rPr>
          <w:rFonts w:ascii="Abadi" w:hAnsi="Abadi"/>
          <w:b w:val="0"/>
          <w:sz w:val="21"/>
          <w:szCs w:val="21"/>
        </w:rPr>
        <w:t>Psicología</w:t>
      </w:r>
      <w:r w:rsidRPr="00650831">
        <w:rPr>
          <w:rFonts w:ascii="Abadi" w:hAnsi="Abadi"/>
          <w:b w:val="0"/>
          <w:spacing w:val="-4"/>
          <w:sz w:val="21"/>
          <w:szCs w:val="21"/>
        </w:rPr>
        <w:t xml:space="preserve"> </w:t>
      </w:r>
      <w:r w:rsidRPr="00650831">
        <w:rPr>
          <w:rFonts w:ascii="Abadi" w:hAnsi="Abadi"/>
          <w:b w:val="0"/>
          <w:sz w:val="21"/>
          <w:szCs w:val="21"/>
        </w:rPr>
        <w:t>Luz</w:t>
      </w:r>
      <w:r w:rsidRPr="00650831">
        <w:rPr>
          <w:rFonts w:ascii="Abadi" w:hAnsi="Abadi"/>
          <w:b w:val="0"/>
          <w:spacing w:val="-7"/>
          <w:sz w:val="21"/>
          <w:szCs w:val="21"/>
        </w:rPr>
        <w:t xml:space="preserve"> </w:t>
      </w:r>
      <w:r w:rsidRPr="00650831">
        <w:rPr>
          <w:rFonts w:ascii="Abadi" w:hAnsi="Abadi"/>
          <w:b w:val="0"/>
          <w:sz w:val="21"/>
          <w:szCs w:val="21"/>
        </w:rPr>
        <w:t>María</w:t>
      </w:r>
      <w:r w:rsidRPr="00650831">
        <w:rPr>
          <w:rFonts w:ascii="Abadi" w:hAnsi="Abadi"/>
          <w:b w:val="0"/>
          <w:spacing w:val="-8"/>
          <w:sz w:val="21"/>
          <w:szCs w:val="21"/>
        </w:rPr>
        <w:t xml:space="preserve"> </w:t>
      </w:r>
      <w:r w:rsidRPr="00650831">
        <w:rPr>
          <w:rFonts w:ascii="Abadi" w:hAnsi="Abadi"/>
          <w:b w:val="0"/>
          <w:sz w:val="21"/>
          <w:szCs w:val="21"/>
        </w:rPr>
        <w:t>De</w:t>
      </w:r>
      <w:r w:rsidRPr="00650831">
        <w:rPr>
          <w:rFonts w:ascii="Abadi" w:hAnsi="Abadi"/>
          <w:b w:val="0"/>
          <w:spacing w:val="-7"/>
          <w:sz w:val="21"/>
          <w:szCs w:val="21"/>
        </w:rPr>
        <w:t xml:space="preserve"> </w:t>
      </w:r>
      <w:r w:rsidRPr="00650831">
        <w:rPr>
          <w:rFonts w:ascii="Abadi" w:hAnsi="Abadi"/>
          <w:b w:val="0"/>
          <w:sz w:val="21"/>
          <w:szCs w:val="21"/>
        </w:rPr>
        <w:t>Mendoza</w:t>
      </w:r>
      <w:r w:rsidRPr="00650831">
        <w:rPr>
          <w:rFonts w:ascii="Abadi" w:hAnsi="Abadi"/>
          <w:b w:val="0"/>
          <w:spacing w:val="-9"/>
          <w:sz w:val="21"/>
          <w:szCs w:val="21"/>
        </w:rPr>
        <w:t xml:space="preserve"> </w:t>
      </w:r>
      <w:r w:rsidRPr="00650831">
        <w:rPr>
          <w:rFonts w:ascii="Abadi" w:hAnsi="Abadi"/>
          <w:b w:val="0"/>
          <w:sz w:val="21"/>
          <w:szCs w:val="21"/>
        </w:rPr>
        <w:t>Vázquez</w:t>
      </w:r>
      <w:r w:rsidRPr="00650831">
        <w:rPr>
          <w:rFonts w:ascii="Abadi" w:hAnsi="Abadi"/>
          <w:b w:val="0"/>
          <w:spacing w:val="-7"/>
          <w:sz w:val="21"/>
          <w:szCs w:val="21"/>
        </w:rPr>
        <w:t xml:space="preserve"> </w:t>
      </w:r>
      <w:r w:rsidRPr="00650831">
        <w:rPr>
          <w:rFonts w:ascii="Abadi" w:hAnsi="Abadi"/>
          <w:b w:val="0"/>
          <w:sz w:val="21"/>
          <w:szCs w:val="21"/>
        </w:rPr>
        <w:t>del</w:t>
      </w:r>
      <w:r w:rsidRPr="00650831">
        <w:rPr>
          <w:rFonts w:ascii="Abadi" w:hAnsi="Abadi"/>
          <w:b w:val="0"/>
          <w:spacing w:val="-7"/>
          <w:sz w:val="21"/>
          <w:szCs w:val="21"/>
        </w:rPr>
        <w:t xml:space="preserve"> </w:t>
      </w:r>
      <w:r w:rsidRPr="00650831">
        <w:rPr>
          <w:rFonts w:ascii="Abadi" w:hAnsi="Abadi"/>
          <w:b w:val="0"/>
          <w:sz w:val="21"/>
          <w:szCs w:val="21"/>
        </w:rPr>
        <w:t xml:space="preserve">Programa Planet </w:t>
      </w:r>
      <w:proofErr w:type="spellStart"/>
      <w:r w:rsidRPr="00650831">
        <w:rPr>
          <w:rFonts w:ascii="Abadi" w:hAnsi="Abadi"/>
          <w:b w:val="0"/>
          <w:sz w:val="21"/>
          <w:szCs w:val="21"/>
        </w:rPr>
        <w:t>Youth</w:t>
      </w:r>
      <w:proofErr w:type="spellEnd"/>
      <w:r w:rsidRPr="00650831">
        <w:rPr>
          <w:rFonts w:ascii="Abadi" w:hAnsi="Abadi"/>
          <w:b w:val="0"/>
          <w:sz w:val="21"/>
          <w:szCs w:val="21"/>
        </w:rPr>
        <w:t xml:space="preserve"> de la Secretaría de Salud del Estado de Guanajuato, ha señalado que</w:t>
      </w:r>
      <w:r w:rsidRPr="00650831">
        <w:rPr>
          <w:rFonts w:ascii="Abadi" w:hAnsi="Abadi"/>
          <w:b w:val="0"/>
          <w:spacing w:val="-10"/>
          <w:sz w:val="21"/>
          <w:szCs w:val="21"/>
        </w:rPr>
        <w:t xml:space="preserve"> </w:t>
      </w:r>
      <w:r w:rsidRPr="00650831">
        <w:rPr>
          <w:rFonts w:ascii="Abadi" w:hAnsi="Abadi"/>
          <w:b w:val="0"/>
          <w:sz w:val="21"/>
          <w:szCs w:val="21"/>
        </w:rPr>
        <w:t>los</w:t>
      </w:r>
      <w:r w:rsidRPr="00650831">
        <w:rPr>
          <w:rFonts w:ascii="Abadi" w:hAnsi="Abadi"/>
          <w:b w:val="0"/>
          <w:spacing w:val="-14"/>
          <w:sz w:val="21"/>
          <w:szCs w:val="21"/>
        </w:rPr>
        <w:t xml:space="preserve"> </w:t>
      </w:r>
      <w:r w:rsidRPr="00650831">
        <w:rPr>
          <w:rFonts w:ascii="Abadi" w:hAnsi="Abadi"/>
          <w:b w:val="0"/>
          <w:sz w:val="21"/>
          <w:szCs w:val="21"/>
        </w:rPr>
        <w:t>riesgos</w:t>
      </w:r>
      <w:r w:rsidRPr="00650831">
        <w:rPr>
          <w:rFonts w:ascii="Abadi" w:hAnsi="Abadi"/>
          <w:b w:val="0"/>
          <w:spacing w:val="-13"/>
          <w:sz w:val="21"/>
          <w:szCs w:val="21"/>
        </w:rPr>
        <w:t xml:space="preserve"> </w:t>
      </w:r>
      <w:r w:rsidRPr="00650831">
        <w:rPr>
          <w:rFonts w:ascii="Abadi" w:hAnsi="Abadi"/>
          <w:b w:val="0"/>
          <w:sz w:val="21"/>
          <w:szCs w:val="21"/>
        </w:rPr>
        <w:t>directos</w:t>
      </w:r>
      <w:r w:rsidRPr="00650831">
        <w:rPr>
          <w:rFonts w:ascii="Abadi" w:hAnsi="Abadi"/>
          <w:b w:val="0"/>
          <w:spacing w:val="-13"/>
          <w:sz w:val="21"/>
          <w:szCs w:val="21"/>
        </w:rPr>
        <w:t xml:space="preserve"> </w:t>
      </w:r>
      <w:r w:rsidRPr="00650831">
        <w:rPr>
          <w:rFonts w:ascii="Abadi" w:hAnsi="Abadi"/>
          <w:b w:val="0"/>
          <w:sz w:val="21"/>
          <w:szCs w:val="21"/>
        </w:rPr>
        <w:t>por</w:t>
      </w:r>
      <w:r w:rsidRPr="00650831">
        <w:rPr>
          <w:rFonts w:ascii="Abadi" w:hAnsi="Abadi"/>
          <w:b w:val="0"/>
          <w:spacing w:val="-12"/>
          <w:sz w:val="21"/>
          <w:szCs w:val="21"/>
        </w:rPr>
        <w:t xml:space="preserve"> </w:t>
      </w:r>
      <w:r w:rsidRPr="00650831">
        <w:rPr>
          <w:rFonts w:ascii="Abadi" w:hAnsi="Abadi"/>
          <w:b w:val="0"/>
          <w:sz w:val="21"/>
          <w:szCs w:val="21"/>
        </w:rPr>
        <w:t>el</w:t>
      </w:r>
      <w:r w:rsidRPr="00650831">
        <w:rPr>
          <w:rFonts w:ascii="Abadi" w:hAnsi="Abadi"/>
          <w:b w:val="0"/>
          <w:spacing w:val="-12"/>
          <w:sz w:val="21"/>
          <w:szCs w:val="21"/>
        </w:rPr>
        <w:t xml:space="preserve"> </w:t>
      </w:r>
      <w:r w:rsidRPr="00650831">
        <w:rPr>
          <w:rFonts w:ascii="Abadi" w:hAnsi="Abadi"/>
          <w:b w:val="0"/>
          <w:sz w:val="21"/>
          <w:szCs w:val="21"/>
        </w:rPr>
        <w:t>consumo</w:t>
      </w:r>
      <w:r w:rsidRPr="00650831">
        <w:rPr>
          <w:rFonts w:ascii="Abadi" w:hAnsi="Abadi"/>
          <w:b w:val="0"/>
          <w:spacing w:val="-9"/>
          <w:sz w:val="21"/>
          <w:szCs w:val="21"/>
        </w:rPr>
        <w:t xml:space="preserve"> </w:t>
      </w:r>
      <w:r w:rsidRPr="00650831">
        <w:rPr>
          <w:rFonts w:ascii="Abadi" w:hAnsi="Abadi"/>
          <w:b w:val="0"/>
          <w:sz w:val="21"/>
          <w:szCs w:val="21"/>
        </w:rPr>
        <w:t>de</w:t>
      </w:r>
      <w:r w:rsidRPr="00650831">
        <w:rPr>
          <w:rFonts w:ascii="Abadi" w:hAnsi="Abadi"/>
          <w:b w:val="0"/>
          <w:spacing w:val="-11"/>
          <w:sz w:val="21"/>
          <w:szCs w:val="21"/>
        </w:rPr>
        <w:t xml:space="preserve"> </w:t>
      </w:r>
      <w:r w:rsidRPr="00650831">
        <w:rPr>
          <w:rFonts w:ascii="Abadi" w:hAnsi="Abadi"/>
          <w:b w:val="0"/>
          <w:sz w:val="21"/>
          <w:szCs w:val="21"/>
        </w:rPr>
        <w:t>estos</w:t>
      </w:r>
      <w:r w:rsidRPr="00650831">
        <w:rPr>
          <w:rFonts w:ascii="Abadi" w:hAnsi="Abadi"/>
          <w:b w:val="0"/>
          <w:spacing w:val="-14"/>
          <w:sz w:val="21"/>
          <w:szCs w:val="21"/>
        </w:rPr>
        <w:t xml:space="preserve"> </w:t>
      </w:r>
      <w:r w:rsidRPr="00650831">
        <w:rPr>
          <w:rFonts w:ascii="Abadi" w:hAnsi="Abadi"/>
          <w:b w:val="0"/>
          <w:sz w:val="21"/>
          <w:szCs w:val="21"/>
        </w:rPr>
        <w:t>dispositivos,</w:t>
      </w:r>
      <w:r w:rsidRPr="00650831">
        <w:rPr>
          <w:rFonts w:ascii="Abadi" w:hAnsi="Abadi"/>
          <w:b w:val="0"/>
          <w:spacing w:val="-13"/>
          <w:sz w:val="21"/>
          <w:szCs w:val="21"/>
        </w:rPr>
        <w:t xml:space="preserve"> </w:t>
      </w:r>
      <w:r w:rsidRPr="00650831">
        <w:rPr>
          <w:rFonts w:ascii="Abadi" w:hAnsi="Abadi"/>
          <w:b w:val="0"/>
          <w:sz w:val="21"/>
          <w:szCs w:val="21"/>
        </w:rPr>
        <w:t>al</w:t>
      </w:r>
      <w:r w:rsidRPr="00650831">
        <w:rPr>
          <w:rFonts w:ascii="Abadi" w:hAnsi="Abadi"/>
          <w:b w:val="0"/>
          <w:spacing w:val="-12"/>
          <w:sz w:val="21"/>
          <w:szCs w:val="21"/>
        </w:rPr>
        <w:t xml:space="preserve"> </w:t>
      </w:r>
      <w:r w:rsidRPr="00650831">
        <w:rPr>
          <w:rFonts w:ascii="Abadi" w:hAnsi="Abadi"/>
          <w:b w:val="0"/>
          <w:sz w:val="21"/>
          <w:szCs w:val="21"/>
        </w:rPr>
        <w:t>igual</w:t>
      </w:r>
      <w:r w:rsidRPr="00650831">
        <w:rPr>
          <w:rFonts w:ascii="Abadi" w:hAnsi="Abadi"/>
          <w:b w:val="0"/>
          <w:spacing w:val="-12"/>
          <w:sz w:val="21"/>
          <w:szCs w:val="21"/>
        </w:rPr>
        <w:t xml:space="preserve"> </w:t>
      </w:r>
      <w:r w:rsidRPr="00650831">
        <w:rPr>
          <w:rFonts w:ascii="Abadi" w:hAnsi="Abadi"/>
          <w:b w:val="0"/>
          <w:sz w:val="21"/>
          <w:szCs w:val="21"/>
        </w:rPr>
        <w:t>que</w:t>
      </w:r>
      <w:r w:rsidRPr="00650831">
        <w:rPr>
          <w:rFonts w:ascii="Abadi" w:hAnsi="Abadi"/>
          <w:b w:val="0"/>
          <w:spacing w:val="-4"/>
          <w:sz w:val="21"/>
          <w:szCs w:val="21"/>
        </w:rPr>
        <w:t xml:space="preserve"> </w:t>
      </w:r>
      <w:r w:rsidRPr="00650831">
        <w:rPr>
          <w:rFonts w:ascii="Abadi" w:hAnsi="Abadi"/>
          <w:b w:val="0"/>
          <w:sz w:val="21"/>
          <w:szCs w:val="21"/>
        </w:rPr>
        <w:t>de</w:t>
      </w:r>
      <w:r w:rsidRPr="00650831">
        <w:rPr>
          <w:rFonts w:ascii="Abadi" w:hAnsi="Abadi"/>
          <w:b w:val="0"/>
          <w:spacing w:val="-12"/>
          <w:sz w:val="21"/>
          <w:szCs w:val="21"/>
        </w:rPr>
        <w:t xml:space="preserve"> </w:t>
      </w:r>
      <w:r w:rsidRPr="00650831">
        <w:rPr>
          <w:rFonts w:ascii="Abadi" w:hAnsi="Abadi"/>
          <w:b w:val="0"/>
          <w:sz w:val="21"/>
          <w:szCs w:val="21"/>
        </w:rPr>
        <w:t>los cigarros</w:t>
      </w:r>
      <w:r w:rsidRPr="00650831">
        <w:rPr>
          <w:rFonts w:ascii="Abadi" w:hAnsi="Abadi"/>
          <w:b w:val="0"/>
          <w:spacing w:val="-3"/>
          <w:sz w:val="21"/>
          <w:szCs w:val="21"/>
        </w:rPr>
        <w:t xml:space="preserve"> </w:t>
      </w:r>
      <w:r w:rsidRPr="00650831">
        <w:rPr>
          <w:rFonts w:ascii="Abadi" w:hAnsi="Abadi"/>
          <w:b w:val="0"/>
          <w:sz w:val="21"/>
          <w:szCs w:val="21"/>
        </w:rPr>
        <w:t>electrónicos,</w:t>
      </w:r>
      <w:r w:rsidRPr="00650831">
        <w:rPr>
          <w:rFonts w:ascii="Abadi" w:hAnsi="Abadi"/>
          <w:b w:val="0"/>
          <w:spacing w:val="-2"/>
          <w:sz w:val="21"/>
          <w:szCs w:val="21"/>
        </w:rPr>
        <w:t xml:space="preserve"> </w:t>
      </w:r>
      <w:r w:rsidRPr="00650831">
        <w:rPr>
          <w:rFonts w:ascii="Abadi" w:hAnsi="Abadi"/>
          <w:b w:val="0"/>
          <w:sz w:val="21"/>
          <w:szCs w:val="21"/>
        </w:rPr>
        <w:t>son</w:t>
      </w:r>
      <w:r w:rsidRPr="00650831">
        <w:rPr>
          <w:rFonts w:ascii="Abadi" w:hAnsi="Abadi"/>
          <w:b w:val="0"/>
          <w:spacing w:val="-6"/>
          <w:sz w:val="21"/>
          <w:szCs w:val="21"/>
        </w:rPr>
        <w:t xml:space="preserve"> </w:t>
      </w:r>
      <w:r w:rsidRPr="00650831">
        <w:rPr>
          <w:rFonts w:ascii="Abadi" w:hAnsi="Abadi"/>
          <w:b w:val="0"/>
          <w:sz w:val="21"/>
          <w:szCs w:val="21"/>
        </w:rPr>
        <w:t>falta</w:t>
      </w:r>
      <w:r w:rsidRPr="00650831">
        <w:rPr>
          <w:rFonts w:ascii="Abadi" w:hAnsi="Abadi"/>
          <w:b w:val="0"/>
          <w:spacing w:val="-8"/>
          <w:sz w:val="21"/>
          <w:szCs w:val="21"/>
        </w:rPr>
        <w:t xml:space="preserve"> </w:t>
      </w:r>
      <w:r w:rsidRPr="00650831">
        <w:rPr>
          <w:rFonts w:ascii="Abadi" w:hAnsi="Abadi"/>
          <w:b w:val="0"/>
          <w:sz w:val="21"/>
          <w:szCs w:val="21"/>
        </w:rPr>
        <w:t>de</w:t>
      </w:r>
      <w:r w:rsidRPr="00650831">
        <w:rPr>
          <w:rFonts w:ascii="Abadi" w:hAnsi="Abadi"/>
          <w:b w:val="0"/>
          <w:spacing w:val="-1"/>
          <w:sz w:val="21"/>
          <w:szCs w:val="21"/>
        </w:rPr>
        <w:t xml:space="preserve"> </w:t>
      </w:r>
      <w:r w:rsidRPr="00650831">
        <w:rPr>
          <w:rFonts w:ascii="Abadi" w:hAnsi="Abadi"/>
          <w:b w:val="0"/>
          <w:sz w:val="21"/>
          <w:szCs w:val="21"/>
        </w:rPr>
        <w:t>aliento,</w:t>
      </w:r>
      <w:r w:rsidRPr="00650831">
        <w:rPr>
          <w:rFonts w:ascii="Abadi" w:hAnsi="Abadi"/>
          <w:b w:val="0"/>
          <w:spacing w:val="-2"/>
          <w:sz w:val="21"/>
          <w:szCs w:val="21"/>
        </w:rPr>
        <w:t xml:space="preserve"> </w:t>
      </w:r>
      <w:r w:rsidRPr="00650831">
        <w:rPr>
          <w:rFonts w:ascii="Abadi" w:hAnsi="Abadi"/>
          <w:b w:val="0"/>
          <w:sz w:val="21"/>
          <w:szCs w:val="21"/>
        </w:rPr>
        <w:t>náuseas,</w:t>
      </w:r>
      <w:r w:rsidRPr="00650831">
        <w:rPr>
          <w:rFonts w:ascii="Abadi" w:hAnsi="Abadi"/>
          <w:b w:val="0"/>
          <w:spacing w:val="-2"/>
          <w:sz w:val="21"/>
          <w:szCs w:val="21"/>
        </w:rPr>
        <w:t xml:space="preserve"> </w:t>
      </w:r>
      <w:r w:rsidRPr="00650831">
        <w:rPr>
          <w:rFonts w:ascii="Abadi" w:hAnsi="Abadi"/>
          <w:b w:val="0"/>
          <w:sz w:val="21"/>
          <w:szCs w:val="21"/>
        </w:rPr>
        <w:t>vómito,</w:t>
      </w:r>
      <w:r w:rsidRPr="00650831">
        <w:rPr>
          <w:rFonts w:ascii="Abadi" w:hAnsi="Abadi"/>
          <w:b w:val="0"/>
          <w:spacing w:val="-2"/>
          <w:sz w:val="21"/>
          <w:szCs w:val="21"/>
        </w:rPr>
        <w:t xml:space="preserve"> </w:t>
      </w:r>
      <w:r w:rsidRPr="00650831">
        <w:rPr>
          <w:rFonts w:ascii="Abadi" w:hAnsi="Abadi"/>
          <w:b w:val="0"/>
          <w:sz w:val="21"/>
          <w:szCs w:val="21"/>
        </w:rPr>
        <w:t>dolor</w:t>
      </w:r>
      <w:r w:rsidRPr="00650831">
        <w:rPr>
          <w:rFonts w:ascii="Abadi" w:hAnsi="Abadi"/>
          <w:b w:val="0"/>
          <w:spacing w:val="-6"/>
          <w:sz w:val="21"/>
          <w:szCs w:val="21"/>
        </w:rPr>
        <w:t xml:space="preserve"> </w:t>
      </w:r>
      <w:r w:rsidRPr="00650831">
        <w:rPr>
          <w:rFonts w:ascii="Abadi" w:hAnsi="Abadi"/>
          <w:b w:val="0"/>
          <w:sz w:val="21"/>
          <w:szCs w:val="21"/>
        </w:rPr>
        <w:t>de</w:t>
      </w:r>
      <w:r w:rsidRPr="00650831">
        <w:rPr>
          <w:rFonts w:ascii="Abadi" w:hAnsi="Abadi"/>
          <w:b w:val="0"/>
          <w:spacing w:val="-5"/>
          <w:sz w:val="21"/>
          <w:szCs w:val="21"/>
        </w:rPr>
        <w:t xml:space="preserve"> </w:t>
      </w:r>
      <w:r w:rsidRPr="00650831">
        <w:rPr>
          <w:rFonts w:ascii="Abadi" w:hAnsi="Abadi"/>
          <w:b w:val="0"/>
          <w:sz w:val="21"/>
          <w:szCs w:val="21"/>
        </w:rPr>
        <w:t>pecho</w:t>
      </w:r>
      <w:r w:rsidRPr="00650831">
        <w:rPr>
          <w:rFonts w:ascii="Abadi" w:hAnsi="Abadi"/>
          <w:b w:val="0"/>
          <w:spacing w:val="-7"/>
          <w:sz w:val="21"/>
          <w:szCs w:val="21"/>
        </w:rPr>
        <w:t xml:space="preserve"> </w:t>
      </w:r>
      <w:r w:rsidRPr="00650831">
        <w:rPr>
          <w:rFonts w:ascii="Abadi" w:hAnsi="Abadi"/>
          <w:b w:val="0"/>
          <w:sz w:val="21"/>
          <w:szCs w:val="21"/>
        </w:rPr>
        <w:t>y/o abdomen,</w:t>
      </w:r>
      <w:r w:rsidRPr="00650831">
        <w:rPr>
          <w:rFonts w:ascii="Abadi" w:hAnsi="Abadi"/>
          <w:b w:val="0"/>
          <w:spacing w:val="-13"/>
          <w:sz w:val="21"/>
          <w:szCs w:val="21"/>
        </w:rPr>
        <w:t xml:space="preserve"> </w:t>
      </w:r>
      <w:r w:rsidRPr="00650831">
        <w:rPr>
          <w:rFonts w:ascii="Abadi" w:hAnsi="Abadi"/>
          <w:b w:val="0"/>
          <w:sz w:val="21"/>
          <w:szCs w:val="21"/>
        </w:rPr>
        <w:t>latidos</w:t>
      </w:r>
      <w:r w:rsidRPr="00650831">
        <w:rPr>
          <w:rFonts w:ascii="Abadi" w:hAnsi="Abadi"/>
          <w:b w:val="0"/>
          <w:spacing w:val="-13"/>
          <w:sz w:val="21"/>
          <w:szCs w:val="21"/>
        </w:rPr>
        <w:t xml:space="preserve"> </w:t>
      </w:r>
      <w:r w:rsidRPr="00650831">
        <w:rPr>
          <w:rFonts w:ascii="Abadi" w:hAnsi="Abadi"/>
          <w:b w:val="0"/>
          <w:sz w:val="21"/>
          <w:szCs w:val="21"/>
        </w:rPr>
        <w:t>cardíacos</w:t>
      </w:r>
      <w:r w:rsidRPr="00650831">
        <w:rPr>
          <w:rFonts w:ascii="Abadi" w:hAnsi="Abadi"/>
          <w:b w:val="0"/>
          <w:spacing w:val="-13"/>
          <w:sz w:val="21"/>
          <w:szCs w:val="21"/>
        </w:rPr>
        <w:t xml:space="preserve"> </w:t>
      </w:r>
      <w:r w:rsidRPr="00650831">
        <w:rPr>
          <w:rFonts w:ascii="Abadi" w:hAnsi="Abadi"/>
          <w:b w:val="0"/>
          <w:sz w:val="21"/>
          <w:szCs w:val="21"/>
        </w:rPr>
        <w:t>rápidos</w:t>
      </w:r>
      <w:r w:rsidRPr="00650831">
        <w:rPr>
          <w:rFonts w:ascii="Abadi" w:hAnsi="Abadi"/>
          <w:b w:val="0"/>
          <w:spacing w:val="-8"/>
          <w:sz w:val="21"/>
          <w:szCs w:val="21"/>
        </w:rPr>
        <w:t xml:space="preserve"> </w:t>
      </w:r>
      <w:r w:rsidRPr="00650831">
        <w:rPr>
          <w:rFonts w:ascii="Abadi" w:hAnsi="Abadi"/>
          <w:b w:val="0"/>
          <w:sz w:val="21"/>
          <w:szCs w:val="21"/>
        </w:rPr>
        <w:t>y</w:t>
      </w:r>
      <w:r w:rsidRPr="00650831">
        <w:rPr>
          <w:rFonts w:ascii="Abadi" w:hAnsi="Abadi"/>
          <w:b w:val="0"/>
          <w:spacing w:val="-9"/>
          <w:sz w:val="21"/>
          <w:szCs w:val="21"/>
        </w:rPr>
        <w:t xml:space="preserve"> </w:t>
      </w:r>
      <w:r w:rsidRPr="00650831">
        <w:rPr>
          <w:rFonts w:ascii="Abadi" w:hAnsi="Abadi"/>
          <w:b w:val="0"/>
          <w:sz w:val="21"/>
          <w:szCs w:val="21"/>
        </w:rPr>
        <w:t>diarrea.</w:t>
      </w:r>
      <w:r w:rsidRPr="00650831">
        <w:rPr>
          <w:rFonts w:ascii="Abadi" w:hAnsi="Abadi"/>
          <w:b w:val="0"/>
          <w:spacing w:val="-12"/>
          <w:sz w:val="21"/>
          <w:szCs w:val="21"/>
        </w:rPr>
        <w:t xml:space="preserve"> </w:t>
      </w:r>
      <w:r w:rsidRPr="00650831">
        <w:rPr>
          <w:rFonts w:ascii="Abadi" w:hAnsi="Abadi"/>
          <w:b w:val="0"/>
          <w:sz w:val="21"/>
          <w:szCs w:val="21"/>
        </w:rPr>
        <w:t>Además,</w:t>
      </w:r>
      <w:r w:rsidRPr="00650831">
        <w:rPr>
          <w:rFonts w:ascii="Abadi" w:hAnsi="Abadi"/>
          <w:b w:val="0"/>
          <w:spacing w:val="-7"/>
          <w:sz w:val="21"/>
          <w:szCs w:val="21"/>
        </w:rPr>
        <w:t xml:space="preserve"> </w:t>
      </w:r>
      <w:r w:rsidRPr="00650831">
        <w:rPr>
          <w:rFonts w:ascii="Abadi" w:hAnsi="Abadi"/>
          <w:b w:val="0"/>
          <w:sz w:val="21"/>
          <w:szCs w:val="21"/>
        </w:rPr>
        <w:t>el</w:t>
      </w:r>
      <w:r w:rsidRPr="00650831">
        <w:rPr>
          <w:rFonts w:ascii="Abadi" w:hAnsi="Abadi"/>
          <w:b w:val="0"/>
          <w:spacing w:val="-11"/>
          <w:sz w:val="21"/>
          <w:szCs w:val="21"/>
        </w:rPr>
        <w:t xml:space="preserve"> </w:t>
      </w:r>
      <w:r w:rsidRPr="00650831">
        <w:rPr>
          <w:rFonts w:ascii="Abadi" w:hAnsi="Abadi"/>
          <w:b w:val="0"/>
          <w:sz w:val="21"/>
          <w:szCs w:val="21"/>
        </w:rPr>
        <w:t>uso</w:t>
      </w:r>
      <w:r w:rsidRPr="00650831">
        <w:rPr>
          <w:rFonts w:ascii="Abadi" w:hAnsi="Abadi"/>
          <w:b w:val="0"/>
          <w:spacing w:val="-12"/>
          <w:sz w:val="21"/>
          <w:szCs w:val="21"/>
        </w:rPr>
        <w:t xml:space="preserve"> </w:t>
      </w:r>
      <w:r w:rsidRPr="00650831">
        <w:rPr>
          <w:rFonts w:ascii="Abadi" w:hAnsi="Abadi"/>
          <w:b w:val="0"/>
          <w:sz w:val="21"/>
          <w:szCs w:val="21"/>
        </w:rPr>
        <w:t>de</w:t>
      </w:r>
      <w:r w:rsidRPr="00650831">
        <w:rPr>
          <w:rFonts w:ascii="Abadi" w:hAnsi="Abadi"/>
          <w:b w:val="0"/>
          <w:spacing w:val="-11"/>
          <w:sz w:val="21"/>
          <w:szCs w:val="21"/>
        </w:rPr>
        <w:t xml:space="preserve"> </w:t>
      </w:r>
      <w:r w:rsidRPr="00650831">
        <w:rPr>
          <w:rFonts w:ascii="Abadi" w:hAnsi="Abadi"/>
          <w:b w:val="0"/>
          <w:sz w:val="21"/>
          <w:szCs w:val="21"/>
        </w:rPr>
        <w:t>vapeadores</w:t>
      </w:r>
      <w:r w:rsidRPr="00650831">
        <w:rPr>
          <w:rFonts w:ascii="Abadi" w:hAnsi="Abadi"/>
          <w:b w:val="0"/>
          <w:spacing w:val="-13"/>
          <w:sz w:val="21"/>
          <w:szCs w:val="21"/>
        </w:rPr>
        <w:t xml:space="preserve"> </w:t>
      </w:r>
      <w:r w:rsidRPr="00650831">
        <w:rPr>
          <w:rFonts w:ascii="Abadi" w:hAnsi="Abadi"/>
          <w:b w:val="0"/>
          <w:sz w:val="21"/>
          <w:szCs w:val="21"/>
        </w:rPr>
        <w:t xml:space="preserve">en jóvenes que no han fumado tabaco, aumenta la probabilidad de adicción al </w:t>
      </w:r>
      <w:r w:rsidRPr="00650831">
        <w:rPr>
          <w:rFonts w:ascii="Abadi" w:hAnsi="Abadi"/>
          <w:b w:val="0"/>
          <w:spacing w:val="-2"/>
          <w:sz w:val="21"/>
          <w:szCs w:val="21"/>
        </w:rPr>
        <w:t>mismo.</w:t>
      </w:r>
    </w:p>
    <w:p w14:paraId="5B9210AA" w14:textId="77777777" w:rsidR="008222B3" w:rsidRPr="00650831" w:rsidRDefault="008222B3" w:rsidP="008222B3">
      <w:pPr>
        <w:pStyle w:val="Textoindependiente"/>
        <w:ind w:left="1179" w:right="1178" w:firstLine="710"/>
        <w:rPr>
          <w:rFonts w:ascii="Abadi" w:hAnsi="Abadi"/>
          <w:sz w:val="21"/>
          <w:szCs w:val="21"/>
        </w:rPr>
      </w:pPr>
    </w:p>
    <w:p w14:paraId="0189F1C4" w14:textId="77777777" w:rsidR="00D23386" w:rsidRDefault="008222B3" w:rsidP="00D23386">
      <w:pPr>
        <w:pStyle w:val="Textoindependiente"/>
        <w:rPr>
          <w:rFonts w:ascii="Abadi" w:hAnsi="Abadi"/>
          <w:b w:val="0"/>
          <w:sz w:val="21"/>
          <w:szCs w:val="21"/>
        </w:rPr>
      </w:pPr>
      <w:r w:rsidRPr="00650831">
        <w:rPr>
          <w:rFonts w:ascii="Abadi" w:hAnsi="Abadi"/>
          <w:b w:val="0"/>
          <w:sz w:val="21"/>
          <w:szCs w:val="21"/>
        </w:rPr>
        <w:t>Ante esta situación, el 31 de mayo del año próximo pasado, el gobierno federal expidió el DECRETO por el que se prohíbe la circulación y comercialización en el interior de la República, cualquiera que sea su procedencia, de los Sistemas Electrónicos de Administración de Nicotina, Sistemas</w:t>
      </w:r>
      <w:r w:rsidRPr="00650831">
        <w:rPr>
          <w:rFonts w:ascii="Abadi" w:hAnsi="Abadi"/>
          <w:b w:val="0"/>
          <w:spacing w:val="-11"/>
          <w:sz w:val="21"/>
          <w:szCs w:val="21"/>
        </w:rPr>
        <w:t xml:space="preserve"> </w:t>
      </w:r>
      <w:r w:rsidRPr="00650831">
        <w:rPr>
          <w:rFonts w:ascii="Abadi" w:hAnsi="Abadi"/>
          <w:b w:val="0"/>
          <w:sz w:val="21"/>
          <w:szCs w:val="21"/>
        </w:rPr>
        <w:t>Similares</w:t>
      </w:r>
      <w:r w:rsidRPr="00650831">
        <w:rPr>
          <w:rFonts w:ascii="Abadi" w:hAnsi="Abadi"/>
          <w:b w:val="0"/>
          <w:spacing w:val="-7"/>
          <w:sz w:val="21"/>
          <w:szCs w:val="21"/>
        </w:rPr>
        <w:t xml:space="preserve"> </w:t>
      </w:r>
      <w:r w:rsidRPr="00650831">
        <w:rPr>
          <w:rFonts w:ascii="Abadi" w:hAnsi="Abadi"/>
          <w:b w:val="0"/>
          <w:sz w:val="21"/>
          <w:szCs w:val="21"/>
        </w:rPr>
        <w:t>sin</w:t>
      </w:r>
      <w:r w:rsidRPr="00650831">
        <w:rPr>
          <w:rFonts w:ascii="Abadi" w:hAnsi="Abadi"/>
          <w:b w:val="0"/>
          <w:spacing w:val="-6"/>
          <w:sz w:val="21"/>
          <w:szCs w:val="21"/>
        </w:rPr>
        <w:t xml:space="preserve"> </w:t>
      </w:r>
      <w:r w:rsidRPr="00650831">
        <w:rPr>
          <w:rFonts w:ascii="Abadi" w:hAnsi="Abadi"/>
          <w:b w:val="0"/>
          <w:sz w:val="21"/>
          <w:szCs w:val="21"/>
        </w:rPr>
        <w:t>Nicotina,</w:t>
      </w:r>
      <w:r w:rsidRPr="00650831">
        <w:rPr>
          <w:rFonts w:ascii="Abadi" w:hAnsi="Abadi"/>
          <w:b w:val="0"/>
          <w:spacing w:val="-7"/>
          <w:sz w:val="21"/>
          <w:szCs w:val="21"/>
        </w:rPr>
        <w:t xml:space="preserve"> </w:t>
      </w:r>
      <w:r w:rsidRPr="00650831">
        <w:rPr>
          <w:rFonts w:ascii="Abadi" w:hAnsi="Abadi"/>
          <w:b w:val="0"/>
          <w:sz w:val="21"/>
          <w:szCs w:val="21"/>
        </w:rPr>
        <w:t>Sistemas</w:t>
      </w:r>
      <w:r w:rsidRPr="00650831">
        <w:rPr>
          <w:rFonts w:ascii="Abadi" w:hAnsi="Abadi"/>
          <w:b w:val="0"/>
          <w:spacing w:val="-11"/>
          <w:sz w:val="21"/>
          <w:szCs w:val="21"/>
        </w:rPr>
        <w:t xml:space="preserve"> </w:t>
      </w:r>
      <w:r w:rsidRPr="00650831">
        <w:rPr>
          <w:rFonts w:ascii="Abadi" w:hAnsi="Abadi"/>
          <w:b w:val="0"/>
          <w:sz w:val="21"/>
          <w:szCs w:val="21"/>
        </w:rPr>
        <w:t>Alternativos</w:t>
      </w:r>
      <w:r w:rsidRPr="00650831">
        <w:rPr>
          <w:rFonts w:ascii="Abadi" w:hAnsi="Abadi"/>
          <w:b w:val="0"/>
          <w:spacing w:val="-7"/>
          <w:sz w:val="21"/>
          <w:szCs w:val="21"/>
        </w:rPr>
        <w:t xml:space="preserve"> </w:t>
      </w:r>
      <w:r w:rsidRPr="00650831">
        <w:rPr>
          <w:rFonts w:ascii="Abadi" w:hAnsi="Abadi"/>
          <w:b w:val="0"/>
          <w:sz w:val="21"/>
          <w:szCs w:val="21"/>
        </w:rPr>
        <w:t>de</w:t>
      </w:r>
      <w:r w:rsidRPr="00650831">
        <w:rPr>
          <w:rFonts w:ascii="Abadi" w:hAnsi="Abadi"/>
          <w:b w:val="0"/>
          <w:spacing w:val="-9"/>
          <w:sz w:val="21"/>
          <w:szCs w:val="21"/>
        </w:rPr>
        <w:t xml:space="preserve"> </w:t>
      </w:r>
      <w:r w:rsidRPr="00650831">
        <w:rPr>
          <w:rFonts w:ascii="Abadi" w:hAnsi="Abadi"/>
          <w:b w:val="0"/>
          <w:sz w:val="21"/>
          <w:szCs w:val="21"/>
        </w:rPr>
        <w:t>Consumo</w:t>
      </w:r>
      <w:r w:rsidRPr="00650831">
        <w:rPr>
          <w:rFonts w:ascii="Abadi" w:hAnsi="Abadi"/>
          <w:b w:val="0"/>
          <w:spacing w:val="-10"/>
          <w:sz w:val="21"/>
          <w:szCs w:val="21"/>
        </w:rPr>
        <w:t xml:space="preserve"> </w:t>
      </w:r>
      <w:r w:rsidRPr="00650831">
        <w:rPr>
          <w:rFonts w:ascii="Abadi" w:hAnsi="Abadi"/>
          <w:b w:val="0"/>
          <w:sz w:val="21"/>
          <w:szCs w:val="21"/>
        </w:rPr>
        <w:t>de</w:t>
      </w:r>
      <w:r w:rsidRPr="00650831">
        <w:rPr>
          <w:rFonts w:ascii="Abadi" w:hAnsi="Abadi"/>
          <w:b w:val="0"/>
          <w:spacing w:val="-5"/>
          <w:sz w:val="21"/>
          <w:szCs w:val="21"/>
        </w:rPr>
        <w:t xml:space="preserve"> </w:t>
      </w:r>
      <w:r w:rsidRPr="00650831">
        <w:rPr>
          <w:rFonts w:ascii="Abadi" w:hAnsi="Abadi"/>
          <w:b w:val="0"/>
          <w:sz w:val="21"/>
          <w:szCs w:val="21"/>
        </w:rPr>
        <w:t>Nicotina, cigarrillos</w:t>
      </w:r>
      <w:r w:rsidRPr="00650831">
        <w:rPr>
          <w:rFonts w:ascii="Abadi" w:hAnsi="Abadi"/>
          <w:b w:val="0"/>
          <w:spacing w:val="-16"/>
          <w:sz w:val="21"/>
          <w:szCs w:val="21"/>
        </w:rPr>
        <w:t xml:space="preserve"> </w:t>
      </w:r>
      <w:r w:rsidRPr="00650831">
        <w:rPr>
          <w:rFonts w:ascii="Abadi" w:hAnsi="Abadi"/>
          <w:b w:val="0"/>
          <w:sz w:val="21"/>
          <w:szCs w:val="21"/>
        </w:rPr>
        <w:t>electrónicos</w:t>
      </w:r>
      <w:r w:rsidRPr="00650831">
        <w:rPr>
          <w:rFonts w:ascii="Abadi" w:hAnsi="Abadi"/>
          <w:b w:val="0"/>
          <w:spacing w:val="-16"/>
          <w:sz w:val="21"/>
          <w:szCs w:val="21"/>
        </w:rPr>
        <w:t xml:space="preserve"> </w:t>
      </w:r>
      <w:r w:rsidRPr="00650831">
        <w:rPr>
          <w:rFonts w:ascii="Abadi" w:hAnsi="Abadi"/>
          <w:b w:val="0"/>
          <w:sz w:val="21"/>
          <w:szCs w:val="21"/>
        </w:rPr>
        <w:t>y</w:t>
      </w:r>
      <w:r w:rsidRPr="00650831">
        <w:rPr>
          <w:rFonts w:ascii="Abadi" w:hAnsi="Abadi"/>
          <w:b w:val="0"/>
          <w:spacing w:val="-16"/>
          <w:sz w:val="21"/>
          <w:szCs w:val="21"/>
        </w:rPr>
        <w:t xml:space="preserve"> </w:t>
      </w:r>
      <w:r w:rsidRPr="00650831">
        <w:rPr>
          <w:rFonts w:ascii="Abadi" w:hAnsi="Abadi"/>
          <w:b w:val="0"/>
          <w:sz w:val="21"/>
          <w:szCs w:val="21"/>
        </w:rPr>
        <w:t>dispositivos</w:t>
      </w:r>
      <w:r w:rsidRPr="00650831">
        <w:rPr>
          <w:rFonts w:ascii="Abadi" w:hAnsi="Abadi"/>
          <w:b w:val="0"/>
          <w:spacing w:val="-16"/>
          <w:sz w:val="21"/>
          <w:szCs w:val="21"/>
        </w:rPr>
        <w:t xml:space="preserve"> </w:t>
      </w:r>
      <w:r w:rsidRPr="00650831">
        <w:rPr>
          <w:rFonts w:ascii="Abadi" w:hAnsi="Abadi"/>
          <w:b w:val="0"/>
          <w:sz w:val="21"/>
          <w:szCs w:val="21"/>
        </w:rPr>
        <w:t>vaporizadores</w:t>
      </w:r>
      <w:r w:rsidRPr="00650831">
        <w:rPr>
          <w:rFonts w:ascii="Abadi" w:hAnsi="Abadi"/>
          <w:b w:val="0"/>
          <w:spacing w:val="-16"/>
          <w:sz w:val="21"/>
          <w:szCs w:val="21"/>
        </w:rPr>
        <w:t xml:space="preserve"> </w:t>
      </w:r>
      <w:r w:rsidRPr="00650831">
        <w:rPr>
          <w:rFonts w:ascii="Abadi" w:hAnsi="Abadi"/>
          <w:b w:val="0"/>
          <w:sz w:val="21"/>
          <w:szCs w:val="21"/>
        </w:rPr>
        <w:t>con</w:t>
      </w:r>
      <w:r w:rsidRPr="00650831">
        <w:rPr>
          <w:rFonts w:ascii="Abadi" w:hAnsi="Abadi"/>
          <w:b w:val="0"/>
          <w:spacing w:val="-15"/>
          <w:sz w:val="21"/>
          <w:szCs w:val="21"/>
        </w:rPr>
        <w:t xml:space="preserve"> </w:t>
      </w:r>
      <w:r w:rsidRPr="00650831">
        <w:rPr>
          <w:rFonts w:ascii="Abadi" w:hAnsi="Abadi"/>
          <w:b w:val="0"/>
          <w:sz w:val="21"/>
          <w:szCs w:val="21"/>
        </w:rPr>
        <w:t>usos</w:t>
      </w:r>
      <w:r w:rsidRPr="00650831">
        <w:rPr>
          <w:rFonts w:ascii="Abadi" w:hAnsi="Abadi"/>
          <w:b w:val="0"/>
          <w:spacing w:val="-16"/>
          <w:sz w:val="21"/>
          <w:szCs w:val="21"/>
        </w:rPr>
        <w:t xml:space="preserve"> </w:t>
      </w:r>
      <w:r w:rsidRPr="00650831">
        <w:rPr>
          <w:rFonts w:ascii="Abadi" w:hAnsi="Abadi"/>
          <w:b w:val="0"/>
          <w:sz w:val="21"/>
          <w:szCs w:val="21"/>
        </w:rPr>
        <w:t>similares,</w:t>
      </w:r>
      <w:r w:rsidRPr="00650831">
        <w:rPr>
          <w:rFonts w:ascii="Abadi" w:hAnsi="Abadi"/>
          <w:b w:val="0"/>
          <w:spacing w:val="-16"/>
          <w:sz w:val="21"/>
          <w:szCs w:val="21"/>
        </w:rPr>
        <w:t xml:space="preserve"> </w:t>
      </w:r>
      <w:r w:rsidRPr="00650831">
        <w:rPr>
          <w:rFonts w:ascii="Abadi" w:hAnsi="Abadi"/>
          <w:b w:val="0"/>
          <w:sz w:val="21"/>
          <w:szCs w:val="21"/>
        </w:rPr>
        <w:t>así</w:t>
      </w:r>
      <w:r w:rsidRPr="00650831">
        <w:rPr>
          <w:rFonts w:ascii="Abadi" w:hAnsi="Abadi"/>
          <w:b w:val="0"/>
          <w:spacing w:val="-16"/>
          <w:sz w:val="21"/>
          <w:szCs w:val="21"/>
        </w:rPr>
        <w:t xml:space="preserve"> </w:t>
      </w:r>
      <w:r w:rsidRPr="00650831">
        <w:rPr>
          <w:rFonts w:ascii="Abadi" w:hAnsi="Abadi"/>
          <w:b w:val="0"/>
          <w:sz w:val="21"/>
          <w:szCs w:val="21"/>
        </w:rPr>
        <w:t>como las soluciones y mezclas utilizadas en dichos sistemas.</w:t>
      </w:r>
      <w:r w:rsidR="008614D1">
        <w:rPr>
          <w:rFonts w:ascii="Abadi" w:hAnsi="Abadi"/>
          <w:b w:val="0"/>
          <w:sz w:val="21"/>
          <w:szCs w:val="21"/>
        </w:rPr>
        <w:t xml:space="preserve"> </w:t>
      </w:r>
      <w:r w:rsidRPr="00650831">
        <w:rPr>
          <w:rFonts w:ascii="Abadi" w:hAnsi="Abadi"/>
          <w:b w:val="0"/>
          <w:sz w:val="21"/>
          <w:szCs w:val="21"/>
        </w:rPr>
        <w:t>Estas acciones del Ejecutivo tienen su fundamento en los artículos constitucionales 1 y 4 que otorgan a todas las personas los derechos humanos reconocidos en la propia Constitución y que reconoce el derecho de toda persona a la protección de la salud y a un medio ambiente sano para su desarrollo y bienestar. Así como el Pacto</w:t>
      </w:r>
      <w:r w:rsidRPr="00650831">
        <w:rPr>
          <w:rFonts w:ascii="Abadi" w:hAnsi="Abadi"/>
          <w:b w:val="0"/>
          <w:spacing w:val="80"/>
          <w:sz w:val="21"/>
          <w:szCs w:val="21"/>
        </w:rPr>
        <w:t xml:space="preserve"> </w:t>
      </w:r>
      <w:r w:rsidRPr="00650831">
        <w:rPr>
          <w:rFonts w:ascii="Abadi" w:hAnsi="Abadi"/>
          <w:b w:val="0"/>
          <w:sz w:val="21"/>
          <w:szCs w:val="21"/>
        </w:rPr>
        <w:t>Internacional</w:t>
      </w:r>
      <w:r w:rsidRPr="00650831">
        <w:rPr>
          <w:rFonts w:ascii="Abadi" w:hAnsi="Abadi"/>
          <w:b w:val="0"/>
          <w:spacing w:val="80"/>
          <w:sz w:val="21"/>
          <w:szCs w:val="21"/>
        </w:rPr>
        <w:t xml:space="preserve"> </w:t>
      </w:r>
      <w:r w:rsidRPr="00650831">
        <w:rPr>
          <w:rFonts w:ascii="Abadi" w:hAnsi="Abadi"/>
          <w:b w:val="0"/>
          <w:sz w:val="21"/>
          <w:szCs w:val="21"/>
        </w:rPr>
        <w:t>de</w:t>
      </w:r>
      <w:r w:rsidRPr="00650831">
        <w:rPr>
          <w:rFonts w:ascii="Abadi" w:hAnsi="Abadi"/>
          <w:b w:val="0"/>
          <w:spacing w:val="80"/>
          <w:sz w:val="21"/>
          <w:szCs w:val="21"/>
        </w:rPr>
        <w:t xml:space="preserve"> </w:t>
      </w:r>
      <w:r w:rsidRPr="00650831">
        <w:rPr>
          <w:rFonts w:ascii="Abadi" w:hAnsi="Abadi"/>
          <w:b w:val="0"/>
          <w:sz w:val="21"/>
          <w:szCs w:val="21"/>
        </w:rPr>
        <w:t>Derechos</w:t>
      </w:r>
      <w:r w:rsidRPr="00650831">
        <w:rPr>
          <w:rFonts w:ascii="Abadi" w:hAnsi="Abadi"/>
          <w:b w:val="0"/>
          <w:spacing w:val="80"/>
          <w:sz w:val="21"/>
          <w:szCs w:val="21"/>
        </w:rPr>
        <w:t xml:space="preserve"> </w:t>
      </w:r>
      <w:r w:rsidRPr="00650831">
        <w:rPr>
          <w:rFonts w:ascii="Abadi" w:hAnsi="Abadi"/>
          <w:b w:val="0"/>
          <w:sz w:val="21"/>
          <w:szCs w:val="21"/>
        </w:rPr>
        <w:t>Económicos,</w:t>
      </w:r>
      <w:r w:rsidRPr="00650831">
        <w:rPr>
          <w:rFonts w:ascii="Abadi" w:hAnsi="Abadi"/>
          <w:b w:val="0"/>
          <w:spacing w:val="80"/>
          <w:sz w:val="21"/>
          <w:szCs w:val="21"/>
        </w:rPr>
        <w:t xml:space="preserve"> </w:t>
      </w:r>
      <w:r w:rsidRPr="00650831">
        <w:rPr>
          <w:rFonts w:ascii="Abadi" w:hAnsi="Abadi"/>
          <w:b w:val="0"/>
          <w:sz w:val="21"/>
          <w:szCs w:val="21"/>
        </w:rPr>
        <w:t>Sociales</w:t>
      </w:r>
      <w:r w:rsidRPr="00650831">
        <w:rPr>
          <w:rFonts w:ascii="Abadi" w:hAnsi="Abadi"/>
          <w:b w:val="0"/>
          <w:spacing w:val="80"/>
          <w:sz w:val="21"/>
          <w:szCs w:val="21"/>
        </w:rPr>
        <w:t xml:space="preserve"> </w:t>
      </w:r>
      <w:r w:rsidRPr="00650831">
        <w:rPr>
          <w:rFonts w:ascii="Abadi" w:hAnsi="Abadi"/>
          <w:b w:val="0"/>
          <w:sz w:val="21"/>
          <w:szCs w:val="21"/>
        </w:rPr>
        <w:t>y</w:t>
      </w:r>
      <w:r w:rsidRPr="00650831">
        <w:rPr>
          <w:rFonts w:ascii="Abadi" w:hAnsi="Abadi"/>
          <w:b w:val="0"/>
          <w:spacing w:val="80"/>
          <w:sz w:val="21"/>
          <w:szCs w:val="21"/>
        </w:rPr>
        <w:t xml:space="preserve"> </w:t>
      </w:r>
      <w:r w:rsidRPr="00650831">
        <w:rPr>
          <w:rFonts w:ascii="Abadi" w:hAnsi="Abadi"/>
          <w:b w:val="0"/>
          <w:sz w:val="21"/>
          <w:szCs w:val="21"/>
        </w:rPr>
        <w:t>Culturales,</w:t>
      </w:r>
      <w:r w:rsidRPr="00650831">
        <w:rPr>
          <w:rFonts w:ascii="Abadi" w:hAnsi="Abadi"/>
          <w:b w:val="0"/>
          <w:spacing w:val="80"/>
          <w:sz w:val="21"/>
          <w:szCs w:val="21"/>
        </w:rPr>
        <w:t xml:space="preserve"> </w:t>
      </w:r>
      <w:r w:rsidRPr="00650831">
        <w:rPr>
          <w:rFonts w:ascii="Abadi" w:hAnsi="Abadi"/>
          <w:b w:val="0"/>
          <w:sz w:val="21"/>
          <w:szCs w:val="21"/>
        </w:rPr>
        <w:t>que</w:t>
      </w:r>
      <w:r w:rsidR="00D23386">
        <w:rPr>
          <w:rFonts w:ascii="Abadi" w:hAnsi="Abadi"/>
          <w:b w:val="0"/>
          <w:sz w:val="21"/>
          <w:szCs w:val="21"/>
        </w:rPr>
        <w:t xml:space="preserve"> </w:t>
      </w:r>
      <w:r w:rsidR="00D23386" w:rsidRPr="00650831">
        <w:rPr>
          <w:rFonts w:ascii="Abadi" w:hAnsi="Abadi"/>
          <w:b w:val="0"/>
          <w:sz w:val="21"/>
          <w:szCs w:val="21"/>
        </w:rPr>
        <w:t>establece</w:t>
      </w:r>
      <w:r w:rsidR="00D23386" w:rsidRPr="00650831">
        <w:rPr>
          <w:rFonts w:ascii="Abadi" w:hAnsi="Abadi"/>
          <w:b w:val="0"/>
          <w:spacing w:val="-16"/>
          <w:sz w:val="21"/>
          <w:szCs w:val="21"/>
        </w:rPr>
        <w:t xml:space="preserve"> </w:t>
      </w:r>
      <w:r w:rsidR="00D23386" w:rsidRPr="00650831">
        <w:rPr>
          <w:rFonts w:ascii="Abadi" w:hAnsi="Abadi"/>
          <w:b w:val="0"/>
          <w:sz w:val="21"/>
          <w:szCs w:val="21"/>
        </w:rPr>
        <w:t>en</w:t>
      </w:r>
      <w:r w:rsidR="00D23386" w:rsidRPr="00650831">
        <w:rPr>
          <w:rFonts w:ascii="Abadi" w:hAnsi="Abadi"/>
          <w:b w:val="0"/>
          <w:spacing w:val="-16"/>
          <w:sz w:val="21"/>
          <w:szCs w:val="21"/>
        </w:rPr>
        <w:t xml:space="preserve"> </w:t>
      </w:r>
      <w:r w:rsidR="00D23386" w:rsidRPr="00650831">
        <w:rPr>
          <w:rFonts w:ascii="Abadi" w:hAnsi="Abadi"/>
          <w:b w:val="0"/>
          <w:sz w:val="21"/>
          <w:szCs w:val="21"/>
        </w:rPr>
        <w:t>su</w:t>
      </w:r>
      <w:r w:rsidR="00D23386" w:rsidRPr="00650831">
        <w:rPr>
          <w:rFonts w:ascii="Abadi" w:hAnsi="Abadi"/>
          <w:b w:val="0"/>
          <w:spacing w:val="-16"/>
          <w:sz w:val="21"/>
          <w:szCs w:val="21"/>
        </w:rPr>
        <w:t xml:space="preserve"> </w:t>
      </w:r>
      <w:r w:rsidR="00D23386" w:rsidRPr="00650831">
        <w:rPr>
          <w:rFonts w:ascii="Abadi" w:hAnsi="Abadi"/>
          <w:b w:val="0"/>
          <w:sz w:val="21"/>
          <w:szCs w:val="21"/>
        </w:rPr>
        <w:t>artículo</w:t>
      </w:r>
      <w:r w:rsidR="00D23386" w:rsidRPr="00650831">
        <w:rPr>
          <w:rFonts w:ascii="Abadi" w:hAnsi="Abadi"/>
          <w:b w:val="0"/>
          <w:spacing w:val="-16"/>
          <w:sz w:val="21"/>
          <w:szCs w:val="21"/>
        </w:rPr>
        <w:t xml:space="preserve"> </w:t>
      </w:r>
      <w:r w:rsidR="00D23386" w:rsidRPr="00650831">
        <w:rPr>
          <w:rFonts w:ascii="Abadi" w:hAnsi="Abadi"/>
          <w:b w:val="0"/>
          <w:sz w:val="21"/>
          <w:szCs w:val="21"/>
        </w:rPr>
        <w:t>12</w:t>
      </w:r>
      <w:r w:rsidR="00D23386" w:rsidRPr="00650831">
        <w:rPr>
          <w:rFonts w:ascii="Abadi" w:hAnsi="Abadi"/>
          <w:b w:val="0"/>
          <w:spacing w:val="-16"/>
          <w:sz w:val="21"/>
          <w:szCs w:val="21"/>
        </w:rPr>
        <w:t xml:space="preserve"> </w:t>
      </w:r>
      <w:r w:rsidR="00D23386" w:rsidRPr="00650831">
        <w:rPr>
          <w:rFonts w:ascii="Abadi" w:hAnsi="Abadi"/>
          <w:b w:val="0"/>
          <w:sz w:val="21"/>
          <w:szCs w:val="21"/>
        </w:rPr>
        <w:t>que</w:t>
      </w:r>
      <w:r w:rsidR="00D23386" w:rsidRPr="00650831">
        <w:rPr>
          <w:rFonts w:ascii="Abadi" w:hAnsi="Abadi"/>
          <w:b w:val="0"/>
          <w:spacing w:val="-15"/>
          <w:sz w:val="21"/>
          <w:szCs w:val="21"/>
        </w:rPr>
        <w:t xml:space="preserve"> </w:t>
      </w:r>
      <w:r w:rsidR="00D23386" w:rsidRPr="00650831">
        <w:rPr>
          <w:rFonts w:ascii="Abadi" w:hAnsi="Abadi"/>
          <w:b w:val="0"/>
          <w:sz w:val="21"/>
          <w:szCs w:val="21"/>
        </w:rPr>
        <w:t>los</w:t>
      </w:r>
      <w:r w:rsidR="00D23386" w:rsidRPr="00650831">
        <w:rPr>
          <w:rFonts w:ascii="Abadi" w:hAnsi="Abadi"/>
          <w:b w:val="0"/>
          <w:spacing w:val="-16"/>
          <w:sz w:val="21"/>
          <w:szCs w:val="21"/>
        </w:rPr>
        <w:t xml:space="preserve"> </w:t>
      </w:r>
      <w:r w:rsidR="00D23386" w:rsidRPr="00650831">
        <w:rPr>
          <w:rFonts w:ascii="Abadi" w:hAnsi="Abadi"/>
          <w:b w:val="0"/>
          <w:sz w:val="21"/>
          <w:szCs w:val="21"/>
        </w:rPr>
        <w:t>Estados</w:t>
      </w:r>
      <w:r w:rsidR="00D23386" w:rsidRPr="00650831">
        <w:rPr>
          <w:rFonts w:ascii="Abadi" w:hAnsi="Abadi"/>
          <w:b w:val="0"/>
          <w:spacing w:val="-16"/>
          <w:sz w:val="21"/>
          <w:szCs w:val="21"/>
        </w:rPr>
        <w:t xml:space="preserve"> </w:t>
      </w:r>
      <w:r w:rsidR="00D23386" w:rsidRPr="00650831">
        <w:rPr>
          <w:rFonts w:ascii="Abadi" w:hAnsi="Abadi"/>
          <w:b w:val="0"/>
          <w:sz w:val="21"/>
          <w:szCs w:val="21"/>
        </w:rPr>
        <w:t>parte</w:t>
      </w:r>
      <w:r w:rsidR="00D23386" w:rsidRPr="00650831">
        <w:rPr>
          <w:rFonts w:ascii="Abadi" w:hAnsi="Abadi"/>
          <w:b w:val="0"/>
          <w:spacing w:val="-16"/>
          <w:sz w:val="21"/>
          <w:szCs w:val="21"/>
        </w:rPr>
        <w:t xml:space="preserve"> </w:t>
      </w:r>
      <w:r w:rsidR="00D23386" w:rsidRPr="00650831">
        <w:rPr>
          <w:rFonts w:ascii="Abadi" w:hAnsi="Abadi"/>
          <w:b w:val="0"/>
          <w:sz w:val="21"/>
          <w:szCs w:val="21"/>
        </w:rPr>
        <w:t>“reconocen</w:t>
      </w:r>
      <w:r w:rsidR="00D23386" w:rsidRPr="00650831">
        <w:rPr>
          <w:rFonts w:ascii="Abadi" w:hAnsi="Abadi"/>
          <w:b w:val="0"/>
          <w:spacing w:val="-16"/>
          <w:sz w:val="21"/>
          <w:szCs w:val="21"/>
        </w:rPr>
        <w:t xml:space="preserve"> </w:t>
      </w:r>
      <w:r w:rsidR="00D23386" w:rsidRPr="00650831">
        <w:rPr>
          <w:rFonts w:ascii="Abadi" w:hAnsi="Abadi"/>
          <w:b w:val="0"/>
          <w:sz w:val="21"/>
          <w:szCs w:val="21"/>
        </w:rPr>
        <w:t>el</w:t>
      </w:r>
      <w:r w:rsidR="00D23386" w:rsidRPr="00650831">
        <w:rPr>
          <w:rFonts w:ascii="Abadi" w:hAnsi="Abadi"/>
          <w:b w:val="0"/>
          <w:spacing w:val="-16"/>
          <w:sz w:val="21"/>
          <w:szCs w:val="21"/>
        </w:rPr>
        <w:t xml:space="preserve"> </w:t>
      </w:r>
      <w:r w:rsidR="00D23386" w:rsidRPr="00650831">
        <w:rPr>
          <w:rFonts w:ascii="Abadi" w:hAnsi="Abadi"/>
          <w:b w:val="0"/>
          <w:sz w:val="21"/>
          <w:szCs w:val="21"/>
        </w:rPr>
        <w:t>derecho</w:t>
      </w:r>
      <w:r w:rsidR="00D23386" w:rsidRPr="00650831">
        <w:rPr>
          <w:rFonts w:ascii="Abadi" w:hAnsi="Abadi"/>
          <w:b w:val="0"/>
          <w:spacing w:val="-15"/>
          <w:sz w:val="21"/>
          <w:szCs w:val="21"/>
        </w:rPr>
        <w:t xml:space="preserve"> </w:t>
      </w:r>
      <w:r w:rsidR="00D23386" w:rsidRPr="00650831">
        <w:rPr>
          <w:rFonts w:ascii="Abadi" w:hAnsi="Abadi"/>
          <w:b w:val="0"/>
          <w:sz w:val="21"/>
          <w:szCs w:val="21"/>
        </w:rPr>
        <w:t>de</w:t>
      </w:r>
      <w:r w:rsidR="00D23386" w:rsidRPr="00650831">
        <w:rPr>
          <w:rFonts w:ascii="Abadi" w:hAnsi="Abadi"/>
          <w:b w:val="0"/>
          <w:spacing w:val="-16"/>
          <w:sz w:val="21"/>
          <w:szCs w:val="21"/>
        </w:rPr>
        <w:t xml:space="preserve"> </w:t>
      </w:r>
      <w:r w:rsidR="00D23386" w:rsidRPr="00650831">
        <w:rPr>
          <w:rFonts w:ascii="Abadi" w:hAnsi="Abadi"/>
          <w:b w:val="0"/>
          <w:sz w:val="21"/>
          <w:szCs w:val="21"/>
        </w:rPr>
        <w:t>toda persona al disfrute del más alto nivel posible de salud física y mental”,</w:t>
      </w:r>
      <w:r w:rsidR="00D23386">
        <w:rPr>
          <w:rFonts w:ascii="Abadi" w:hAnsi="Abadi"/>
          <w:b w:val="0"/>
          <w:sz w:val="21"/>
          <w:szCs w:val="21"/>
        </w:rPr>
        <w:t xml:space="preserve"> </w:t>
      </w:r>
    </w:p>
    <w:p w14:paraId="5C326E31" w14:textId="590074B4" w:rsidR="00D23386" w:rsidRDefault="00D23386" w:rsidP="00D23386">
      <w:pPr>
        <w:pStyle w:val="Textoindependiente"/>
        <w:rPr>
          <w:rFonts w:ascii="Abadi" w:hAnsi="Abadi"/>
          <w:b w:val="0"/>
          <w:sz w:val="21"/>
          <w:szCs w:val="21"/>
        </w:rPr>
      </w:pPr>
      <w:r w:rsidRPr="00650831">
        <w:rPr>
          <w:rFonts w:ascii="Abadi" w:hAnsi="Abadi"/>
          <w:b w:val="0"/>
          <w:sz w:val="21"/>
          <w:szCs w:val="21"/>
        </w:rPr>
        <w:t>Las medidas</w:t>
      </w:r>
      <w:r w:rsidRPr="00650831">
        <w:rPr>
          <w:rFonts w:ascii="Abadi" w:hAnsi="Abadi"/>
          <w:b w:val="0"/>
          <w:spacing w:val="-1"/>
          <w:sz w:val="21"/>
          <w:szCs w:val="21"/>
        </w:rPr>
        <w:t xml:space="preserve"> </w:t>
      </w:r>
      <w:r w:rsidRPr="00650831">
        <w:rPr>
          <w:rFonts w:ascii="Abadi" w:hAnsi="Abadi"/>
          <w:b w:val="0"/>
          <w:sz w:val="21"/>
          <w:szCs w:val="21"/>
        </w:rPr>
        <w:t>contenidas en este decreto ponen en relieve tres derechos constitucionales que el Estado se encuentra obligado a proteger:</w:t>
      </w:r>
    </w:p>
    <w:p w14:paraId="109F072F" w14:textId="77777777" w:rsidR="00D23386" w:rsidRPr="00650831" w:rsidRDefault="00D23386" w:rsidP="00D23386">
      <w:pPr>
        <w:pStyle w:val="Textoindependiente"/>
        <w:rPr>
          <w:rFonts w:ascii="Abadi" w:hAnsi="Abadi"/>
          <w:sz w:val="21"/>
          <w:szCs w:val="21"/>
        </w:rPr>
      </w:pPr>
    </w:p>
    <w:p w14:paraId="15BA39C6" w14:textId="62BF9851" w:rsidR="00D23386" w:rsidRPr="00650831" w:rsidRDefault="00D23386" w:rsidP="00427BD6">
      <w:pPr>
        <w:pStyle w:val="Prrafodelista"/>
        <w:widowControl w:val="0"/>
        <w:numPr>
          <w:ilvl w:val="0"/>
          <w:numId w:val="20"/>
        </w:numPr>
        <w:autoSpaceDE w:val="0"/>
        <w:autoSpaceDN w:val="0"/>
        <w:ind w:left="426"/>
        <w:rPr>
          <w:rFonts w:ascii="Abadi" w:hAnsi="Abadi"/>
          <w:sz w:val="21"/>
          <w:szCs w:val="21"/>
        </w:rPr>
      </w:pPr>
      <w:r w:rsidRPr="00650831">
        <w:rPr>
          <w:rFonts w:ascii="Abadi" w:hAnsi="Abadi"/>
          <w:sz w:val="21"/>
          <w:szCs w:val="21"/>
        </w:rPr>
        <w:t>El</w:t>
      </w:r>
      <w:r w:rsidRPr="00650831">
        <w:rPr>
          <w:rFonts w:ascii="Abadi" w:hAnsi="Abadi"/>
          <w:spacing w:val="-7"/>
          <w:sz w:val="21"/>
          <w:szCs w:val="21"/>
        </w:rPr>
        <w:t xml:space="preserve"> </w:t>
      </w:r>
      <w:r w:rsidRPr="00650831">
        <w:rPr>
          <w:rFonts w:ascii="Abadi" w:hAnsi="Abadi"/>
          <w:sz w:val="21"/>
          <w:szCs w:val="21"/>
        </w:rPr>
        <w:t>derecho</w:t>
      </w:r>
      <w:r w:rsidRPr="00650831">
        <w:rPr>
          <w:rFonts w:ascii="Abadi" w:hAnsi="Abadi"/>
          <w:spacing w:val="-6"/>
          <w:sz w:val="21"/>
          <w:szCs w:val="21"/>
        </w:rPr>
        <w:t xml:space="preserve"> </w:t>
      </w:r>
      <w:r w:rsidRPr="00650831">
        <w:rPr>
          <w:rFonts w:ascii="Abadi" w:hAnsi="Abadi"/>
          <w:sz w:val="21"/>
          <w:szCs w:val="21"/>
        </w:rPr>
        <w:t>a</w:t>
      </w:r>
      <w:r w:rsidRPr="00650831">
        <w:rPr>
          <w:rFonts w:ascii="Abadi" w:hAnsi="Abadi"/>
          <w:spacing w:val="-9"/>
          <w:sz w:val="21"/>
          <w:szCs w:val="21"/>
        </w:rPr>
        <w:t xml:space="preserve"> </w:t>
      </w:r>
      <w:r w:rsidRPr="00650831">
        <w:rPr>
          <w:rFonts w:ascii="Abadi" w:hAnsi="Abadi"/>
          <w:sz w:val="21"/>
          <w:szCs w:val="21"/>
        </w:rPr>
        <w:t>la</w:t>
      </w:r>
      <w:r w:rsidRPr="00650831">
        <w:rPr>
          <w:rFonts w:ascii="Abadi" w:hAnsi="Abadi"/>
          <w:spacing w:val="-4"/>
          <w:sz w:val="21"/>
          <w:szCs w:val="21"/>
        </w:rPr>
        <w:t xml:space="preserve"> </w:t>
      </w:r>
      <w:r w:rsidRPr="00650831">
        <w:rPr>
          <w:rFonts w:ascii="Abadi" w:hAnsi="Abadi"/>
          <w:sz w:val="21"/>
          <w:szCs w:val="21"/>
        </w:rPr>
        <w:t>salud,</w:t>
      </w:r>
      <w:r w:rsidRPr="00650831">
        <w:rPr>
          <w:rFonts w:ascii="Abadi" w:hAnsi="Abadi"/>
          <w:spacing w:val="-4"/>
          <w:sz w:val="21"/>
          <w:szCs w:val="21"/>
        </w:rPr>
        <w:t xml:space="preserve"> </w:t>
      </w:r>
      <w:r w:rsidRPr="00650831">
        <w:rPr>
          <w:rFonts w:ascii="Abadi" w:hAnsi="Abadi"/>
          <w:sz w:val="21"/>
          <w:szCs w:val="21"/>
        </w:rPr>
        <w:t>en</w:t>
      </w:r>
      <w:r w:rsidRPr="00650831">
        <w:rPr>
          <w:rFonts w:ascii="Abadi" w:hAnsi="Abadi"/>
          <w:spacing w:val="-8"/>
          <w:sz w:val="21"/>
          <w:szCs w:val="21"/>
        </w:rPr>
        <w:t xml:space="preserve"> </w:t>
      </w:r>
      <w:r w:rsidRPr="00650831">
        <w:rPr>
          <w:rFonts w:ascii="Abadi" w:hAnsi="Abadi"/>
          <w:sz w:val="21"/>
          <w:szCs w:val="21"/>
        </w:rPr>
        <w:t>su</w:t>
      </w:r>
      <w:r w:rsidRPr="00650831">
        <w:rPr>
          <w:rFonts w:ascii="Abadi" w:hAnsi="Abadi"/>
          <w:spacing w:val="-9"/>
          <w:sz w:val="21"/>
          <w:szCs w:val="21"/>
        </w:rPr>
        <w:t xml:space="preserve"> </w:t>
      </w:r>
      <w:r w:rsidRPr="00650831">
        <w:rPr>
          <w:rFonts w:ascii="Abadi" w:hAnsi="Abadi"/>
          <w:sz w:val="21"/>
          <w:szCs w:val="21"/>
        </w:rPr>
        <w:t>doble</w:t>
      </w:r>
      <w:r>
        <w:rPr>
          <w:rFonts w:ascii="Abadi" w:hAnsi="Abadi"/>
          <w:sz w:val="21"/>
          <w:szCs w:val="21"/>
        </w:rPr>
        <w:t xml:space="preserve"> </w:t>
      </w:r>
      <w:r w:rsidRPr="00650831">
        <w:rPr>
          <w:rFonts w:ascii="Abadi" w:hAnsi="Abadi"/>
          <w:sz w:val="21"/>
          <w:szCs w:val="21"/>
        </w:rPr>
        <w:t>perspectiva,</w:t>
      </w:r>
      <w:r w:rsidRPr="00650831">
        <w:rPr>
          <w:rFonts w:ascii="Abadi" w:hAnsi="Abadi"/>
          <w:spacing w:val="-8"/>
          <w:sz w:val="21"/>
          <w:szCs w:val="21"/>
        </w:rPr>
        <w:t xml:space="preserve"> </w:t>
      </w:r>
      <w:r w:rsidRPr="00650831">
        <w:rPr>
          <w:rFonts w:ascii="Abadi" w:hAnsi="Abadi"/>
          <w:sz w:val="21"/>
          <w:szCs w:val="21"/>
        </w:rPr>
        <w:t>individual</w:t>
      </w:r>
      <w:r w:rsidRPr="00650831">
        <w:rPr>
          <w:rFonts w:ascii="Abadi" w:hAnsi="Abadi"/>
          <w:spacing w:val="-7"/>
          <w:sz w:val="21"/>
          <w:szCs w:val="21"/>
        </w:rPr>
        <w:t xml:space="preserve"> </w:t>
      </w:r>
      <w:r w:rsidRPr="00650831">
        <w:rPr>
          <w:rFonts w:ascii="Abadi" w:hAnsi="Abadi"/>
          <w:sz w:val="21"/>
          <w:szCs w:val="21"/>
        </w:rPr>
        <w:t>y</w:t>
      </w:r>
      <w:r w:rsidRPr="00650831">
        <w:rPr>
          <w:rFonts w:ascii="Abadi" w:hAnsi="Abadi"/>
          <w:spacing w:val="-7"/>
          <w:sz w:val="21"/>
          <w:szCs w:val="21"/>
        </w:rPr>
        <w:t xml:space="preserve"> </w:t>
      </w:r>
      <w:r w:rsidRPr="00650831">
        <w:rPr>
          <w:rFonts w:ascii="Abadi" w:hAnsi="Abadi"/>
          <w:spacing w:val="-2"/>
          <w:sz w:val="21"/>
          <w:szCs w:val="21"/>
        </w:rPr>
        <w:t>social;</w:t>
      </w:r>
    </w:p>
    <w:p w14:paraId="244730F5" w14:textId="77777777" w:rsidR="00D23386" w:rsidRPr="00650831" w:rsidRDefault="00D23386" w:rsidP="003E1DAF">
      <w:pPr>
        <w:pStyle w:val="Textoindependiente"/>
        <w:ind w:left="426"/>
        <w:rPr>
          <w:rFonts w:ascii="Abadi" w:hAnsi="Abadi"/>
          <w:sz w:val="21"/>
          <w:szCs w:val="21"/>
        </w:rPr>
      </w:pPr>
    </w:p>
    <w:p w14:paraId="5A2DDA2E" w14:textId="77777777" w:rsidR="00D23386" w:rsidRPr="00650831" w:rsidRDefault="00D23386" w:rsidP="00427BD6">
      <w:pPr>
        <w:pStyle w:val="Prrafodelista"/>
        <w:widowControl w:val="0"/>
        <w:numPr>
          <w:ilvl w:val="0"/>
          <w:numId w:val="20"/>
        </w:numPr>
        <w:autoSpaceDE w:val="0"/>
        <w:autoSpaceDN w:val="0"/>
        <w:ind w:left="426"/>
        <w:rPr>
          <w:rFonts w:ascii="Abadi" w:hAnsi="Abadi"/>
          <w:sz w:val="21"/>
          <w:szCs w:val="21"/>
        </w:rPr>
      </w:pPr>
      <w:r w:rsidRPr="00650831">
        <w:rPr>
          <w:rFonts w:ascii="Abadi" w:hAnsi="Abadi"/>
          <w:sz w:val="21"/>
          <w:szCs w:val="21"/>
        </w:rPr>
        <w:t>Derecho</w:t>
      </w:r>
      <w:r w:rsidRPr="00650831">
        <w:rPr>
          <w:rFonts w:ascii="Abadi" w:hAnsi="Abadi"/>
          <w:spacing w:val="-12"/>
          <w:sz w:val="21"/>
          <w:szCs w:val="21"/>
        </w:rPr>
        <w:t xml:space="preserve"> </w:t>
      </w:r>
      <w:r w:rsidRPr="00650831">
        <w:rPr>
          <w:rFonts w:ascii="Abadi" w:hAnsi="Abadi"/>
          <w:sz w:val="21"/>
          <w:szCs w:val="21"/>
        </w:rPr>
        <w:t>a</w:t>
      </w:r>
      <w:r w:rsidRPr="00650831">
        <w:rPr>
          <w:rFonts w:ascii="Abadi" w:hAnsi="Abadi"/>
          <w:spacing w:val="-7"/>
          <w:sz w:val="21"/>
          <w:szCs w:val="21"/>
        </w:rPr>
        <w:t xml:space="preserve"> </w:t>
      </w:r>
      <w:r w:rsidRPr="00650831">
        <w:rPr>
          <w:rFonts w:ascii="Abadi" w:hAnsi="Abadi"/>
          <w:sz w:val="21"/>
          <w:szCs w:val="21"/>
        </w:rPr>
        <w:t>un</w:t>
      </w:r>
      <w:r w:rsidRPr="00650831">
        <w:rPr>
          <w:rFonts w:ascii="Abadi" w:hAnsi="Abadi"/>
          <w:spacing w:val="-6"/>
          <w:sz w:val="21"/>
          <w:szCs w:val="21"/>
        </w:rPr>
        <w:t xml:space="preserve"> </w:t>
      </w:r>
      <w:r w:rsidRPr="00650831">
        <w:rPr>
          <w:rFonts w:ascii="Abadi" w:hAnsi="Abadi"/>
          <w:sz w:val="21"/>
          <w:szCs w:val="21"/>
        </w:rPr>
        <w:t>medio</w:t>
      </w:r>
      <w:r w:rsidRPr="00650831">
        <w:rPr>
          <w:rFonts w:ascii="Abadi" w:hAnsi="Abadi"/>
          <w:spacing w:val="-7"/>
          <w:sz w:val="21"/>
          <w:szCs w:val="21"/>
        </w:rPr>
        <w:t xml:space="preserve"> </w:t>
      </w:r>
      <w:r w:rsidRPr="00650831">
        <w:rPr>
          <w:rFonts w:ascii="Abadi" w:hAnsi="Abadi"/>
          <w:sz w:val="21"/>
          <w:szCs w:val="21"/>
        </w:rPr>
        <w:t>ambiente</w:t>
      </w:r>
      <w:r w:rsidRPr="00650831">
        <w:rPr>
          <w:rFonts w:ascii="Abadi" w:hAnsi="Abadi"/>
          <w:spacing w:val="-6"/>
          <w:sz w:val="21"/>
          <w:szCs w:val="21"/>
        </w:rPr>
        <w:t xml:space="preserve"> </w:t>
      </w:r>
      <w:r w:rsidRPr="00650831">
        <w:rPr>
          <w:rFonts w:ascii="Abadi" w:hAnsi="Abadi"/>
          <w:sz w:val="21"/>
          <w:szCs w:val="21"/>
        </w:rPr>
        <w:t>sano;</w:t>
      </w:r>
      <w:r w:rsidRPr="00650831">
        <w:rPr>
          <w:rFonts w:ascii="Abadi" w:hAnsi="Abadi"/>
          <w:spacing w:val="-11"/>
          <w:sz w:val="21"/>
          <w:szCs w:val="21"/>
        </w:rPr>
        <w:t xml:space="preserve"> </w:t>
      </w:r>
      <w:r w:rsidRPr="00650831">
        <w:rPr>
          <w:rFonts w:ascii="Abadi" w:hAnsi="Abadi"/>
          <w:spacing w:val="-10"/>
          <w:sz w:val="21"/>
          <w:szCs w:val="21"/>
        </w:rPr>
        <w:t>y</w:t>
      </w:r>
    </w:p>
    <w:p w14:paraId="2C17F2E0" w14:textId="77777777" w:rsidR="00D23386" w:rsidRPr="00650831" w:rsidRDefault="00D23386" w:rsidP="003E1DAF">
      <w:pPr>
        <w:pStyle w:val="Textoindependiente"/>
        <w:ind w:left="426"/>
        <w:rPr>
          <w:rFonts w:ascii="Abadi" w:hAnsi="Abadi"/>
          <w:sz w:val="21"/>
          <w:szCs w:val="21"/>
        </w:rPr>
      </w:pPr>
    </w:p>
    <w:p w14:paraId="2DCD3EE3" w14:textId="77777777" w:rsidR="00D23386" w:rsidRPr="00650831" w:rsidRDefault="00D23386" w:rsidP="00427BD6">
      <w:pPr>
        <w:pStyle w:val="Prrafodelista"/>
        <w:widowControl w:val="0"/>
        <w:numPr>
          <w:ilvl w:val="0"/>
          <w:numId w:val="20"/>
        </w:numPr>
        <w:autoSpaceDE w:val="0"/>
        <w:autoSpaceDN w:val="0"/>
        <w:ind w:left="426"/>
        <w:rPr>
          <w:rFonts w:ascii="Abadi" w:hAnsi="Abadi"/>
          <w:sz w:val="21"/>
          <w:szCs w:val="21"/>
        </w:rPr>
      </w:pPr>
      <w:r w:rsidRPr="00650831">
        <w:rPr>
          <w:rFonts w:ascii="Abadi" w:hAnsi="Abadi"/>
          <w:sz w:val="21"/>
          <w:szCs w:val="21"/>
        </w:rPr>
        <w:t>Derecho</w:t>
      </w:r>
      <w:r w:rsidRPr="00650831">
        <w:rPr>
          <w:rFonts w:ascii="Abadi" w:hAnsi="Abadi"/>
          <w:spacing w:val="-12"/>
          <w:sz w:val="21"/>
          <w:szCs w:val="21"/>
        </w:rPr>
        <w:t xml:space="preserve"> </w:t>
      </w:r>
      <w:r w:rsidRPr="00650831">
        <w:rPr>
          <w:rFonts w:ascii="Abadi" w:hAnsi="Abadi"/>
          <w:sz w:val="21"/>
          <w:szCs w:val="21"/>
        </w:rPr>
        <w:t>de</w:t>
      </w:r>
      <w:r w:rsidRPr="00650831">
        <w:rPr>
          <w:rFonts w:ascii="Abadi" w:hAnsi="Abadi"/>
          <w:spacing w:val="-6"/>
          <w:sz w:val="21"/>
          <w:szCs w:val="21"/>
        </w:rPr>
        <w:t xml:space="preserve"> </w:t>
      </w:r>
      <w:r w:rsidRPr="00650831">
        <w:rPr>
          <w:rFonts w:ascii="Abadi" w:hAnsi="Abadi"/>
          <w:spacing w:val="-2"/>
          <w:sz w:val="21"/>
          <w:szCs w:val="21"/>
        </w:rPr>
        <w:t>seguridad.</w:t>
      </w:r>
    </w:p>
    <w:p w14:paraId="35F25731" w14:textId="77777777" w:rsidR="00D23386" w:rsidRPr="00650831" w:rsidRDefault="00D23386" w:rsidP="00D23386">
      <w:pPr>
        <w:pStyle w:val="Textoindependiente"/>
        <w:ind w:left="284"/>
        <w:rPr>
          <w:rFonts w:ascii="Abadi" w:hAnsi="Abadi"/>
          <w:sz w:val="21"/>
          <w:szCs w:val="21"/>
        </w:rPr>
      </w:pPr>
    </w:p>
    <w:p w14:paraId="2D07CCA4" w14:textId="77777777" w:rsidR="00D23386" w:rsidRPr="00650831" w:rsidRDefault="00D23386" w:rsidP="00D1398C">
      <w:pPr>
        <w:pStyle w:val="Textoindependiente"/>
        <w:ind w:firstLine="360"/>
        <w:rPr>
          <w:rFonts w:ascii="Abadi" w:hAnsi="Abadi"/>
          <w:sz w:val="21"/>
          <w:szCs w:val="21"/>
        </w:rPr>
      </w:pPr>
      <w:r w:rsidRPr="00650831">
        <w:rPr>
          <w:rFonts w:ascii="Abadi" w:hAnsi="Abadi"/>
          <w:b w:val="0"/>
          <w:sz w:val="21"/>
          <w:szCs w:val="21"/>
        </w:rPr>
        <w:t>Lo anterior, para resguardar a la población de una amenaza a la salud existente</w:t>
      </w:r>
      <w:r w:rsidRPr="00650831">
        <w:rPr>
          <w:rFonts w:ascii="Abadi" w:hAnsi="Abadi"/>
          <w:b w:val="0"/>
          <w:spacing w:val="-9"/>
          <w:sz w:val="21"/>
          <w:szCs w:val="21"/>
        </w:rPr>
        <w:t xml:space="preserve"> </w:t>
      </w:r>
      <w:r w:rsidRPr="00650831">
        <w:rPr>
          <w:rFonts w:ascii="Abadi" w:hAnsi="Abadi"/>
          <w:b w:val="0"/>
          <w:sz w:val="21"/>
          <w:szCs w:val="21"/>
        </w:rPr>
        <w:t>en</w:t>
      </w:r>
      <w:r w:rsidRPr="00650831">
        <w:rPr>
          <w:rFonts w:ascii="Abadi" w:hAnsi="Abadi"/>
          <w:b w:val="0"/>
          <w:spacing w:val="-11"/>
          <w:sz w:val="21"/>
          <w:szCs w:val="21"/>
        </w:rPr>
        <w:t xml:space="preserve"> </w:t>
      </w:r>
      <w:r w:rsidRPr="00650831">
        <w:rPr>
          <w:rFonts w:ascii="Abadi" w:hAnsi="Abadi"/>
          <w:b w:val="0"/>
          <w:sz w:val="21"/>
          <w:szCs w:val="21"/>
        </w:rPr>
        <w:t>el</w:t>
      </w:r>
      <w:r w:rsidRPr="00650831">
        <w:rPr>
          <w:rFonts w:ascii="Abadi" w:hAnsi="Abadi"/>
          <w:b w:val="0"/>
          <w:spacing w:val="-6"/>
          <w:sz w:val="21"/>
          <w:szCs w:val="21"/>
        </w:rPr>
        <w:t xml:space="preserve"> </w:t>
      </w:r>
      <w:r w:rsidRPr="00650831">
        <w:rPr>
          <w:rFonts w:ascii="Abadi" w:hAnsi="Abadi"/>
          <w:b w:val="0"/>
          <w:sz w:val="21"/>
          <w:szCs w:val="21"/>
        </w:rPr>
        <w:t>territorio</w:t>
      </w:r>
      <w:r w:rsidRPr="00650831">
        <w:rPr>
          <w:rFonts w:ascii="Abadi" w:hAnsi="Abadi"/>
          <w:b w:val="0"/>
          <w:spacing w:val="-7"/>
          <w:sz w:val="21"/>
          <w:szCs w:val="21"/>
        </w:rPr>
        <w:t xml:space="preserve"> </w:t>
      </w:r>
      <w:r w:rsidRPr="00650831">
        <w:rPr>
          <w:rFonts w:ascii="Abadi" w:hAnsi="Abadi"/>
          <w:b w:val="0"/>
          <w:sz w:val="21"/>
          <w:szCs w:val="21"/>
        </w:rPr>
        <w:t>nacional</w:t>
      </w:r>
      <w:r w:rsidRPr="00650831">
        <w:rPr>
          <w:rFonts w:ascii="Abadi" w:hAnsi="Abadi"/>
          <w:b w:val="0"/>
          <w:spacing w:val="-9"/>
          <w:sz w:val="21"/>
          <w:szCs w:val="21"/>
        </w:rPr>
        <w:t xml:space="preserve"> </w:t>
      </w:r>
      <w:r w:rsidRPr="00650831">
        <w:rPr>
          <w:rFonts w:ascii="Abadi" w:hAnsi="Abadi"/>
          <w:b w:val="0"/>
          <w:sz w:val="21"/>
          <w:szCs w:val="21"/>
        </w:rPr>
        <w:t>lo</w:t>
      </w:r>
      <w:r w:rsidRPr="00650831">
        <w:rPr>
          <w:rFonts w:ascii="Abadi" w:hAnsi="Abadi"/>
          <w:b w:val="0"/>
          <w:spacing w:val="-11"/>
          <w:sz w:val="21"/>
          <w:szCs w:val="21"/>
        </w:rPr>
        <w:t xml:space="preserve"> </w:t>
      </w:r>
      <w:r w:rsidRPr="00650831">
        <w:rPr>
          <w:rFonts w:ascii="Abadi" w:hAnsi="Abadi"/>
          <w:b w:val="0"/>
          <w:sz w:val="21"/>
          <w:szCs w:val="21"/>
        </w:rPr>
        <w:t>que</w:t>
      </w:r>
      <w:r w:rsidRPr="00650831">
        <w:rPr>
          <w:rFonts w:ascii="Abadi" w:hAnsi="Abadi"/>
          <w:b w:val="0"/>
          <w:spacing w:val="-9"/>
          <w:sz w:val="21"/>
          <w:szCs w:val="21"/>
        </w:rPr>
        <w:t xml:space="preserve"> </w:t>
      </w:r>
      <w:r w:rsidRPr="00650831">
        <w:rPr>
          <w:rFonts w:ascii="Abadi" w:hAnsi="Abadi"/>
          <w:b w:val="0"/>
          <w:sz w:val="21"/>
          <w:szCs w:val="21"/>
        </w:rPr>
        <w:t>garantiza</w:t>
      </w:r>
      <w:r w:rsidRPr="00650831">
        <w:rPr>
          <w:rFonts w:ascii="Abadi" w:hAnsi="Abadi"/>
          <w:b w:val="0"/>
          <w:spacing w:val="-8"/>
          <w:sz w:val="21"/>
          <w:szCs w:val="21"/>
        </w:rPr>
        <w:t xml:space="preserve"> </w:t>
      </w:r>
      <w:r w:rsidRPr="00650831">
        <w:rPr>
          <w:rFonts w:ascii="Abadi" w:hAnsi="Abadi"/>
          <w:b w:val="0"/>
          <w:sz w:val="21"/>
          <w:szCs w:val="21"/>
        </w:rPr>
        <w:t>plenamente</w:t>
      </w:r>
      <w:r w:rsidRPr="00650831">
        <w:rPr>
          <w:rFonts w:ascii="Abadi" w:hAnsi="Abadi"/>
          <w:b w:val="0"/>
          <w:spacing w:val="-6"/>
          <w:sz w:val="21"/>
          <w:szCs w:val="21"/>
        </w:rPr>
        <w:t xml:space="preserve"> </w:t>
      </w:r>
      <w:r w:rsidRPr="00650831">
        <w:rPr>
          <w:rFonts w:ascii="Abadi" w:hAnsi="Abadi"/>
          <w:b w:val="0"/>
          <w:sz w:val="21"/>
          <w:szCs w:val="21"/>
        </w:rPr>
        <w:t>su</w:t>
      </w:r>
      <w:r w:rsidRPr="00650831">
        <w:rPr>
          <w:rFonts w:ascii="Abadi" w:hAnsi="Abadi"/>
          <w:b w:val="0"/>
          <w:spacing w:val="-7"/>
          <w:sz w:val="21"/>
          <w:szCs w:val="21"/>
        </w:rPr>
        <w:t xml:space="preserve"> </w:t>
      </w:r>
      <w:r w:rsidRPr="00650831">
        <w:rPr>
          <w:rFonts w:ascii="Abadi" w:hAnsi="Abadi"/>
          <w:b w:val="0"/>
          <w:sz w:val="21"/>
          <w:szCs w:val="21"/>
        </w:rPr>
        <w:t>derecho</w:t>
      </w:r>
      <w:r w:rsidRPr="00650831">
        <w:rPr>
          <w:rFonts w:ascii="Abadi" w:hAnsi="Abadi"/>
          <w:b w:val="0"/>
          <w:spacing w:val="-9"/>
          <w:sz w:val="21"/>
          <w:szCs w:val="21"/>
        </w:rPr>
        <w:t xml:space="preserve"> </w:t>
      </w:r>
      <w:r w:rsidRPr="00650831">
        <w:rPr>
          <w:rFonts w:ascii="Abadi" w:hAnsi="Abadi"/>
          <w:b w:val="0"/>
          <w:sz w:val="21"/>
          <w:szCs w:val="21"/>
        </w:rPr>
        <w:t>a</w:t>
      </w:r>
      <w:r w:rsidRPr="00650831">
        <w:rPr>
          <w:rFonts w:ascii="Abadi" w:hAnsi="Abadi"/>
          <w:b w:val="0"/>
          <w:spacing w:val="-11"/>
          <w:sz w:val="21"/>
          <w:szCs w:val="21"/>
        </w:rPr>
        <w:t xml:space="preserve"> </w:t>
      </w:r>
      <w:r w:rsidRPr="00650831">
        <w:rPr>
          <w:rFonts w:ascii="Abadi" w:hAnsi="Abadi"/>
          <w:b w:val="0"/>
          <w:sz w:val="21"/>
          <w:szCs w:val="21"/>
        </w:rPr>
        <w:t>las necesidades de salud, así como el principio general de que el Estado en todas sus decisiones y actuaciones vele y cumpla con proteger el interés superior de la niñez.</w:t>
      </w:r>
    </w:p>
    <w:p w14:paraId="1F428141" w14:textId="77777777" w:rsidR="00D23386" w:rsidRPr="00650831" w:rsidRDefault="00D23386" w:rsidP="00D1398C">
      <w:pPr>
        <w:pStyle w:val="Textoindependiente"/>
        <w:rPr>
          <w:rFonts w:ascii="Abadi" w:hAnsi="Abadi"/>
          <w:sz w:val="21"/>
          <w:szCs w:val="21"/>
        </w:rPr>
      </w:pPr>
    </w:p>
    <w:p w14:paraId="55654DA3" w14:textId="77777777" w:rsidR="00D23386" w:rsidRDefault="00D23386" w:rsidP="00D1398C">
      <w:pPr>
        <w:pStyle w:val="Textoindependiente"/>
        <w:ind w:firstLine="360"/>
        <w:rPr>
          <w:rFonts w:ascii="Abadi" w:hAnsi="Abadi"/>
          <w:sz w:val="21"/>
          <w:szCs w:val="21"/>
        </w:rPr>
      </w:pPr>
      <w:r w:rsidRPr="00650831">
        <w:rPr>
          <w:rFonts w:ascii="Abadi" w:hAnsi="Abadi"/>
          <w:b w:val="0"/>
          <w:sz w:val="21"/>
          <w:szCs w:val="21"/>
        </w:rPr>
        <w:t>Los</w:t>
      </w:r>
      <w:r w:rsidRPr="00650831">
        <w:rPr>
          <w:rFonts w:ascii="Abadi" w:hAnsi="Abadi"/>
          <w:b w:val="0"/>
          <w:spacing w:val="-1"/>
          <w:sz w:val="21"/>
          <w:szCs w:val="21"/>
        </w:rPr>
        <w:t xml:space="preserve"> </w:t>
      </w:r>
      <w:r w:rsidRPr="00650831">
        <w:rPr>
          <w:rFonts w:ascii="Abadi" w:hAnsi="Abadi"/>
          <w:b w:val="0"/>
          <w:sz w:val="21"/>
          <w:szCs w:val="21"/>
        </w:rPr>
        <w:t>dispositivos a</w:t>
      </w:r>
      <w:r w:rsidRPr="00650831">
        <w:rPr>
          <w:rFonts w:ascii="Abadi" w:hAnsi="Abadi"/>
          <w:b w:val="0"/>
          <w:spacing w:val="-4"/>
          <w:sz w:val="21"/>
          <w:szCs w:val="21"/>
        </w:rPr>
        <w:t xml:space="preserve"> </w:t>
      </w:r>
      <w:r w:rsidRPr="00650831">
        <w:rPr>
          <w:rFonts w:ascii="Abadi" w:hAnsi="Abadi"/>
          <w:b w:val="0"/>
          <w:sz w:val="21"/>
          <w:szCs w:val="21"/>
        </w:rPr>
        <w:t>que</w:t>
      </w:r>
      <w:r w:rsidRPr="00650831">
        <w:rPr>
          <w:rFonts w:ascii="Abadi" w:hAnsi="Abadi"/>
          <w:b w:val="0"/>
          <w:spacing w:val="-2"/>
          <w:sz w:val="21"/>
          <w:szCs w:val="21"/>
        </w:rPr>
        <w:t xml:space="preserve"> </w:t>
      </w:r>
      <w:r w:rsidRPr="00650831">
        <w:rPr>
          <w:rFonts w:ascii="Abadi" w:hAnsi="Abadi"/>
          <w:b w:val="0"/>
          <w:sz w:val="21"/>
          <w:szCs w:val="21"/>
        </w:rPr>
        <w:t>se</w:t>
      </w:r>
      <w:r w:rsidRPr="00650831">
        <w:rPr>
          <w:rFonts w:ascii="Abadi" w:hAnsi="Abadi"/>
          <w:b w:val="0"/>
          <w:spacing w:val="-2"/>
          <w:sz w:val="21"/>
          <w:szCs w:val="21"/>
        </w:rPr>
        <w:t xml:space="preserve"> </w:t>
      </w:r>
      <w:r w:rsidRPr="00650831">
        <w:rPr>
          <w:rFonts w:ascii="Abadi" w:hAnsi="Abadi"/>
          <w:b w:val="0"/>
          <w:sz w:val="21"/>
          <w:szCs w:val="21"/>
        </w:rPr>
        <w:t>refiere</w:t>
      </w:r>
      <w:r w:rsidRPr="00650831">
        <w:rPr>
          <w:rFonts w:ascii="Abadi" w:hAnsi="Abadi"/>
          <w:b w:val="0"/>
          <w:spacing w:val="-2"/>
          <w:sz w:val="21"/>
          <w:szCs w:val="21"/>
        </w:rPr>
        <w:t xml:space="preserve"> </w:t>
      </w:r>
      <w:r w:rsidRPr="00650831">
        <w:rPr>
          <w:rFonts w:ascii="Abadi" w:hAnsi="Abadi"/>
          <w:b w:val="0"/>
          <w:sz w:val="21"/>
          <w:szCs w:val="21"/>
        </w:rPr>
        <w:t>el</w:t>
      </w:r>
      <w:r w:rsidRPr="00650831">
        <w:rPr>
          <w:rFonts w:ascii="Abadi" w:hAnsi="Abadi"/>
          <w:b w:val="0"/>
          <w:spacing w:val="-2"/>
          <w:sz w:val="21"/>
          <w:szCs w:val="21"/>
        </w:rPr>
        <w:t xml:space="preserve"> </w:t>
      </w:r>
      <w:r w:rsidRPr="00650831">
        <w:rPr>
          <w:rFonts w:ascii="Abadi" w:hAnsi="Abadi"/>
          <w:b w:val="0"/>
          <w:sz w:val="21"/>
          <w:szCs w:val="21"/>
        </w:rPr>
        <w:t>decreto se</w:t>
      </w:r>
      <w:r w:rsidRPr="00650831">
        <w:rPr>
          <w:rFonts w:ascii="Abadi" w:hAnsi="Abadi"/>
          <w:b w:val="0"/>
          <w:spacing w:val="-2"/>
          <w:sz w:val="21"/>
          <w:szCs w:val="21"/>
        </w:rPr>
        <w:t xml:space="preserve"> </w:t>
      </w:r>
      <w:r w:rsidRPr="00650831">
        <w:rPr>
          <w:rFonts w:ascii="Abadi" w:hAnsi="Abadi"/>
          <w:b w:val="0"/>
          <w:sz w:val="21"/>
          <w:szCs w:val="21"/>
        </w:rPr>
        <w:t>han</w:t>
      </w:r>
      <w:r w:rsidRPr="00650831">
        <w:rPr>
          <w:rFonts w:ascii="Abadi" w:hAnsi="Abadi"/>
          <w:b w:val="0"/>
          <w:spacing w:val="-3"/>
          <w:sz w:val="21"/>
          <w:szCs w:val="21"/>
        </w:rPr>
        <w:t xml:space="preserve"> </w:t>
      </w:r>
      <w:r w:rsidRPr="00650831">
        <w:rPr>
          <w:rFonts w:ascii="Abadi" w:hAnsi="Abadi"/>
          <w:b w:val="0"/>
          <w:sz w:val="21"/>
          <w:szCs w:val="21"/>
        </w:rPr>
        <w:t>promocionado</w:t>
      </w:r>
      <w:r w:rsidRPr="00650831">
        <w:rPr>
          <w:rFonts w:ascii="Abadi" w:hAnsi="Abadi"/>
          <w:b w:val="0"/>
          <w:spacing w:val="-4"/>
          <w:sz w:val="21"/>
          <w:szCs w:val="21"/>
        </w:rPr>
        <w:t xml:space="preserve"> </w:t>
      </w:r>
      <w:r w:rsidRPr="00650831">
        <w:rPr>
          <w:rFonts w:ascii="Abadi" w:hAnsi="Abadi"/>
          <w:b w:val="0"/>
          <w:sz w:val="21"/>
          <w:szCs w:val="21"/>
        </w:rPr>
        <w:t>como una alternativa más segura al tabaquismo convencional. Sin embargo, estudios realizados por la Secretaría de Salud, el Comité de Derechos Económicos, Sociales y Culturales del Consejo Económico y Social de la Organización de las Naciones Unidas, la Suprema Corte de Justicia de la Nación, la Organización Mundial de la Salud (OMS), la Comisión Federal para la Protección contra Riesgos Sanitarios (Cofepris) y la Comisión Nacional contra las Adicciones (</w:t>
      </w:r>
      <w:proofErr w:type="spellStart"/>
      <w:r w:rsidRPr="00650831">
        <w:rPr>
          <w:rFonts w:ascii="Abadi" w:hAnsi="Abadi"/>
          <w:b w:val="0"/>
          <w:sz w:val="21"/>
          <w:szCs w:val="21"/>
        </w:rPr>
        <w:t>Conadic</w:t>
      </w:r>
      <w:proofErr w:type="spellEnd"/>
      <w:r w:rsidRPr="00650831">
        <w:rPr>
          <w:rFonts w:ascii="Abadi" w:hAnsi="Abadi"/>
          <w:b w:val="0"/>
          <w:sz w:val="21"/>
          <w:szCs w:val="21"/>
        </w:rPr>
        <w:t>),</w:t>
      </w:r>
      <w:r w:rsidRPr="00650831">
        <w:rPr>
          <w:rFonts w:ascii="Abadi" w:hAnsi="Abadi"/>
          <w:b w:val="0"/>
          <w:spacing w:val="-9"/>
          <w:sz w:val="21"/>
          <w:szCs w:val="21"/>
        </w:rPr>
        <w:t xml:space="preserve"> </w:t>
      </w:r>
      <w:r w:rsidRPr="00650831">
        <w:rPr>
          <w:rFonts w:ascii="Abadi" w:hAnsi="Abadi"/>
          <w:b w:val="0"/>
          <w:sz w:val="21"/>
          <w:szCs w:val="21"/>
        </w:rPr>
        <w:t>destacan</w:t>
      </w:r>
      <w:r w:rsidRPr="00650831">
        <w:rPr>
          <w:rFonts w:ascii="Abadi" w:hAnsi="Abadi"/>
          <w:b w:val="0"/>
          <w:spacing w:val="-14"/>
          <w:sz w:val="21"/>
          <w:szCs w:val="21"/>
        </w:rPr>
        <w:t xml:space="preserve"> </w:t>
      </w:r>
      <w:r w:rsidRPr="00650831">
        <w:rPr>
          <w:rFonts w:ascii="Abadi" w:hAnsi="Abadi"/>
          <w:b w:val="0"/>
          <w:sz w:val="21"/>
          <w:szCs w:val="21"/>
        </w:rPr>
        <w:t>que</w:t>
      </w:r>
      <w:r w:rsidRPr="00650831">
        <w:rPr>
          <w:rFonts w:ascii="Abadi" w:hAnsi="Abadi"/>
          <w:b w:val="0"/>
          <w:spacing w:val="-12"/>
          <w:sz w:val="21"/>
          <w:szCs w:val="21"/>
        </w:rPr>
        <w:t xml:space="preserve"> </w:t>
      </w:r>
      <w:r w:rsidRPr="00650831">
        <w:rPr>
          <w:rFonts w:ascii="Abadi" w:hAnsi="Abadi"/>
          <w:b w:val="0"/>
          <w:sz w:val="21"/>
          <w:szCs w:val="21"/>
        </w:rPr>
        <w:t>el</w:t>
      </w:r>
      <w:r w:rsidRPr="00650831">
        <w:rPr>
          <w:rFonts w:ascii="Abadi" w:hAnsi="Abadi"/>
          <w:b w:val="0"/>
          <w:spacing w:val="-13"/>
          <w:sz w:val="21"/>
          <w:szCs w:val="21"/>
        </w:rPr>
        <w:t xml:space="preserve"> </w:t>
      </w:r>
      <w:r w:rsidRPr="00650831">
        <w:rPr>
          <w:rFonts w:ascii="Abadi" w:hAnsi="Abadi"/>
          <w:b w:val="0"/>
          <w:sz w:val="21"/>
          <w:szCs w:val="21"/>
        </w:rPr>
        <w:t>consumo</w:t>
      </w:r>
      <w:r w:rsidRPr="00650831">
        <w:rPr>
          <w:rFonts w:ascii="Abadi" w:hAnsi="Abadi"/>
          <w:b w:val="0"/>
          <w:spacing w:val="-14"/>
          <w:sz w:val="21"/>
          <w:szCs w:val="21"/>
        </w:rPr>
        <w:t xml:space="preserve"> </w:t>
      </w:r>
      <w:r w:rsidRPr="00650831">
        <w:rPr>
          <w:rFonts w:ascii="Abadi" w:hAnsi="Abadi"/>
          <w:b w:val="0"/>
          <w:sz w:val="21"/>
          <w:szCs w:val="21"/>
        </w:rPr>
        <w:t>de</w:t>
      </w:r>
      <w:r w:rsidRPr="00650831">
        <w:rPr>
          <w:rFonts w:ascii="Abadi" w:hAnsi="Abadi"/>
          <w:b w:val="0"/>
          <w:spacing w:val="-13"/>
          <w:sz w:val="21"/>
          <w:szCs w:val="21"/>
        </w:rPr>
        <w:t xml:space="preserve"> </w:t>
      </w:r>
      <w:r w:rsidRPr="00650831">
        <w:rPr>
          <w:rFonts w:ascii="Abadi" w:hAnsi="Abadi"/>
          <w:b w:val="0"/>
          <w:sz w:val="21"/>
          <w:szCs w:val="21"/>
        </w:rPr>
        <w:t>vapeadores</w:t>
      </w:r>
      <w:r w:rsidRPr="00650831">
        <w:rPr>
          <w:rFonts w:ascii="Abadi" w:hAnsi="Abadi"/>
          <w:b w:val="0"/>
          <w:spacing w:val="-15"/>
          <w:sz w:val="21"/>
          <w:szCs w:val="21"/>
        </w:rPr>
        <w:t xml:space="preserve"> </w:t>
      </w:r>
      <w:r w:rsidRPr="00650831">
        <w:rPr>
          <w:rFonts w:ascii="Abadi" w:hAnsi="Abadi"/>
          <w:b w:val="0"/>
          <w:sz w:val="21"/>
          <w:szCs w:val="21"/>
        </w:rPr>
        <w:t>generan</w:t>
      </w:r>
      <w:r w:rsidRPr="00650831">
        <w:rPr>
          <w:rFonts w:ascii="Abadi" w:hAnsi="Abadi"/>
          <w:b w:val="0"/>
          <w:spacing w:val="-14"/>
          <w:sz w:val="21"/>
          <w:szCs w:val="21"/>
        </w:rPr>
        <w:t xml:space="preserve"> </w:t>
      </w:r>
      <w:r w:rsidRPr="00650831">
        <w:rPr>
          <w:rFonts w:ascii="Abadi" w:hAnsi="Abadi"/>
          <w:b w:val="0"/>
          <w:sz w:val="21"/>
          <w:szCs w:val="21"/>
        </w:rPr>
        <w:t>daño</w:t>
      </w:r>
      <w:r w:rsidRPr="00650831">
        <w:rPr>
          <w:rFonts w:ascii="Abadi" w:hAnsi="Abadi"/>
          <w:b w:val="0"/>
          <w:spacing w:val="-15"/>
          <w:sz w:val="21"/>
          <w:szCs w:val="21"/>
        </w:rPr>
        <w:t xml:space="preserve"> </w:t>
      </w:r>
      <w:r w:rsidRPr="00650831">
        <w:rPr>
          <w:rFonts w:ascii="Abadi" w:hAnsi="Abadi"/>
          <w:b w:val="0"/>
          <w:sz w:val="21"/>
          <w:szCs w:val="21"/>
        </w:rPr>
        <w:t>a</w:t>
      </w:r>
      <w:r w:rsidRPr="00650831">
        <w:rPr>
          <w:rFonts w:ascii="Abadi" w:hAnsi="Abadi"/>
          <w:b w:val="0"/>
          <w:spacing w:val="-10"/>
          <w:sz w:val="21"/>
          <w:szCs w:val="21"/>
        </w:rPr>
        <w:t xml:space="preserve"> </w:t>
      </w:r>
      <w:r w:rsidRPr="00650831">
        <w:rPr>
          <w:rFonts w:ascii="Abadi" w:hAnsi="Abadi"/>
          <w:b w:val="0"/>
          <w:sz w:val="21"/>
          <w:szCs w:val="21"/>
        </w:rPr>
        <w:t>la</w:t>
      </w:r>
      <w:r w:rsidRPr="00650831">
        <w:rPr>
          <w:rFonts w:ascii="Abadi" w:hAnsi="Abadi"/>
          <w:b w:val="0"/>
          <w:spacing w:val="-9"/>
          <w:sz w:val="21"/>
          <w:szCs w:val="21"/>
        </w:rPr>
        <w:t xml:space="preserve"> </w:t>
      </w:r>
      <w:r w:rsidRPr="00650831">
        <w:rPr>
          <w:rFonts w:ascii="Abadi" w:hAnsi="Abadi"/>
          <w:b w:val="0"/>
          <w:sz w:val="21"/>
          <w:szCs w:val="21"/>
        </w:rPr>
        <w:t>salud</w:t>
      </w:r>
      <w:r w:rsidRPr="00650831">
        <w:rPr>
          <w:rFonts w:ascii="Abadi" w:hAnsi="Abadi"/>
          <w:b w:val="0"/>
          <w:spacing w:val="-15"/>
          <w:sz w:val="21"/>
          <w:szCs w:val="21"/>
        </w:rPr>
        <w:t xml:space="preserve"> </w:t>
      </w:r>
      <w:r w:rsidRPr="00650831">
        <w:rPr>
          <w:rFonts w:ascii="Abadi" w:hAnsi="Abadi"/>
          <w:b w:val="0"/>
          <w:sz w:val="21"/>
          <w:szCs w:val="21"/>
        </w:rPr>
        <w:t>y</w:t>
      </w:r>
      <w:r w:rsidRPr="00650831">
        <w:rPr>
          <w:rFonts w:ascii="Abadi" w:hAnsi="Abadi"/>
          <w:b w:val="0"/>
          <w:spacing w:val="-11"/>
          <w:sz w:val="21"/>
          <w:szCs w:val="21"/>
        </w:rPr>
        <w:t xml:space="preserve"> </w:t>
      </w:r>
      <w:r w:rsidRPr="00650831">
        <w:rPr>
          <w:rFonts w:ascii="Abadi" w:hAnsi="Abadi"/>
          <w:b w:val="0"/>
          <w:sz w:val="21"/>
          <w:szCs w:val="21"/>
        </w:rPr>
        <w:t>el desarrollo de la ciudadanía; ya estos contienen sustancias químicas nocivas, incluyendo nicotina, que pueden generar adicción y afectar el desarrollo cerebral en los adolescentes. Además, se han reportado numerosos casos de lesiones</w:t>
      </w:r>
      <w:r w:rsidRPr="00650831">
        <w:rPr>
          <w:rFonts w:ascii="Abadi" w:hAnsi="Abadi"/>
          <w:b w:val="0"/>
          <w:spacing w:val="-14"/>
          <w:sz w:val="21"/>
          <w:szCs w:val="21"/>
        </w:rPr>
        <w:t xml:space="preserve"> </w:t>
      </w:r>
      <w:r w:rsidRPr="00650831">
        <w:rPr>
          <w:rFonts w:ascii="Abadi" w:hAnsi="Abadi"/>
          <w:b w:val="0"/>
          <w:sz w:val="21"/>
          <w:szCs w:val="21"/>
        </w:rPr>
        <w:t>pulmonares</w:t>
      </w:r>
      <w:r w:rsidRPr="00650831">
        <w:rPr>
          <w:rFonts w:ascii="Abadi" w:hAnsi="Abadi"/>
          <w:b w:val="0"/>
          <w:spacing w:val="-14"/>
          <w:sz w:val="21"/>
          <w:szCs w:val="21"/>
        </w:rPr>
        <w:t xml:space="preserve"> </w:t>
      </w:r>
      <w:r w:rsidRPr="00650831">
        <w:rPr>
          <w:rFonts w:ascii="Abadi" w:hAnsi="Abadi"/>
          <w:b w:val="0"/>
          <w:sz w:val="21"/>
          <w:szCs w:val="21"/>
        </w:rPr>
        <w:t>graves</w:t>
      </w:r>
      <w:r w:rsidRPr="00650831">
        <w:rPr>
          <w:rFonts w:ascii="Abadi" w:hAnsi="Abadi"/>
          <w:b w:val="0"/>
          <w:spacing w:val="-14"/>
          <w:sz w:val="21"/>
          <w:szCs w:val="21"/>
        </w:rPr>
        <w:t xml:space="preserve"> </w:t>
      </w:r>
      <w:r w:rsidRPr="00650831">
        <w:rPr>
          <w:rFonts w:ascii="Abadi" w:hAnsi="Abadi"/>
          <w:b w:val="0"/>
          <w:sz w:val="21"/>
          <w:szCs w:val="21"/>
        </w:rPr>
        <w:t>relacionadas</w:t>
      </w:r>
      <w:r w:rsidRPr="00650831">
        <w:rPr>
          <w:rFonts w:ascii="Abadi" w:hAnsi="Abadi"/>
          <w:b w:val="0"/>
          <w:spacing w:val="-9"/>
          <w:sz w:val="21"/>
          <w:szCs w:val="21"/>
        </w:rPr>
        <w:t xml:space="preserve"> </w:t>
      </w:r>
      <w:r w:rsidRPr="00650831">
        <w:rPr>
          <w:rFonts w:ascii="Abadi" w:hAnsi="Abadi"/>
          <w:b w:val="0"/>
          <w:sz w:val="21"/>
          <w:szCs w:val="21"/>
        </w:rPr>
        <w:t>con</w:t>
      </w:r>
      <w:r w:rsidRPr="00650831">
        <w:rPr>
          <w:rFonts w:ascii="Abadi" w:hAnsi="Abadi"/>
          <w:b w:val="0"/>
          <w:spacing w:val="-13"/>
          <w:sz w:val="21"/>
          <w:szCs w:val="21"/>
        </w:rPr>
        <w:t xml:space="preserve"> </w:t>
      </w:r>
      <w:r w:rsidRPr="00650831">
        <w:rPr>
          <w:rFonts w:ascii="Abadi" w:hAnsi="Abadi"/>
          <w:b w:val="0"/>
          <w:sz w:val="21"/>
          <w:szCs w:val="21"/>
        </w:rPr>
        <w:t>el</w:t>
      </w:r>
      <w:r w:rsidRPr="00650831">
        <w:rPr>
          <w:rFonts w:ascii="Abadi" w:hAnsi="Abadi"/>
          <w:b w:val="0"/>
          <w:spacing w:val="-12"/>
          <w:sz w:val="21"/>
          <w:szCs w:val="21"/>
        </w:rPr>
        <w:t xml:space="preserve"> </w:t>
      </w:r>
      <w:r w:rsidRPr="00650831">
        <w:rPr>
          <w:rFonts w:ascii="Abadi" w:hAnsi="Abadi"/>
          <w:b w:val="0"/>
          <w:sz w:val="21"/>
          <w:szCs w:val="21"/>
        </w:rPr>
        <w:t>vapeo,</w:t>
      </w:r>
      <w:r w:rsidRPr="00650831">
        <w:rPr>
          <w:rFonts w:ascii="Abadi" w:hAnsi="Abadi"/>
          <w:b w:val="0"/>
          <w:spacing w:val="-13"/>
          <w:sz w:val="21"/>
          <w:szCs w:val="21"/>
        </w:rPr>
        <w:t xml:space="preserve"> </w:t>
      </w:r>
      <w:r w:rsidRPr="00650831">
        <w:rPr>
          <w:rFonts w:ascii="Abadi" w:hAnsi="Abadi"/>
          <w:b w:val="0"/>
          <w:sz w:val="21"/>
          <w:szCs w:val="21"/>
        </w:rPr>
        <w:t>lo</w:t>
      </w:r>
      <w:r w:rsidRPr="00650831">
        <w:rPr>
          <w:rFonts w:ascii="Abadi" w:hAnsi="Abadi"/>
          <w:b w:val="0"/>
          <w:spacing w:val="-13"/>
          <w:sz w:val="21"/>
          <w:szCs w:val="21"/>
        </w:rPr>
        <w:t xml:space="preserve"> </w:t>
      </w:r>
      <w:r w:rsidRPr="00650831">
        <w:rPr>
          <w:rFonts w:ascii="Abadi" w:hAnsi="Abadi"/>
          <w:b w:val="0"/>
          <w:sz w:val="21"/>
          <w:szCs w:val="21"/>
        </w:rPr>
        <w:t>que</w:t>
      </w:r>
      <w:r w:rsidRPr="00650831">
        <w:rPr>
          <w:rFonts w:ascii="Abadi" w:hAnsi="Abadi"/>
          <w:b w:val="0"/>
          <w:spacing w:val="-12"/>
          <w:sz w:val="21"/>
          <w:szCs w:val="21"/>
        </w:rPr>
        <w:t xml:space="preserve"> </w:t>
      </w:r>
      <w:r w:rsidRPr="00650831">
        <w:rPr>
          <w:rFonts w:ascii="Abadi" w:hAnsi="Abadi"/>
          <w:b w:val="0"/>
          <w:sz w:val="21"/>
          <w:szCs w:val="21"/>
        </w:rPr>
        <w:t>indica</w:t>
      </w:r>
      <w:r w:rsidRPr="00650831">
        <w:rPr>
          <w:rFonts w:ascii="Abadi" w:hAnsi="Abadi"/>
          <w:b w:val="0"/>
          <w:spacing w:val="-13"/>
          <w:sz w:val="21"/>
          <w:szCs w:val="21"/>
        </w:rPr>
        <w:t xml:space="preserve"> </w:t>
      </w:r>
      <w:r w:rsidRPr="00650831">
        <w:rPr>
          <w:rFonts w:ascii="Abadi" w:hAnsi="Abadi"/>
          <w:b w:val="0"/>
          <w:sz w:val="21"/>
          <w:szCs w:val="21"/>
        </w:rPr>
        <w:t>que</w:t>
      </w:r>
      <w:r w:rsidRPr="00650831">
        <w:rPr>
          <w:rFonts w:ascii="Abadi" w:hAnsi="Abadi"/>
          <w:b w:val="0"/>
          <w:spacing w:val="-11"/>
          <w:sz w:val="21"/>
          <w:szCs w:val="21"/>
        </w:rPr>
        <w:t xml:space="preserve"> </w:t>
      </w:r>
      <w:r w:rsidRPr="00650831">
        <w:rPr>
          <w:rFonts w:ascii="Abadi" w:hAnsi="Abadi"/>
          <w:b w:val="0"/>
          <w:sz w:val="21"/>
          <w:szCs w:val="21"/>
        </w:rPr>
        <w:t>no</w:t>
      </w:r>
      <w:r w:rsidRPr="00650831">
        <w:rPr>
          <w:rFonts w:ascii="Abadi" w:hAnsi="Abadi"/>
          <w:b w:val="0"/>
          <w:spacing w:val="-13"/>
          <w:sz w:val="21"/>
          <w:szCs w:val="21"/>
        </w:rPr>
        <w:t xml:space="preserve"> </w:t>
      </w:r>
      <w:r w:rsidRPr="00650831">
        <w:rPr>
          <w:rFonts w:ascii="Abadi" w:hAnsi="Abadi"/>
          <w:b w:val="0"/>
          <w:sz w:val="21"/>
          <w:szCs w:val="21"/>
        </w:rPr>
        <w:t>son tan inofensivos como se ha afirmado anteriormente.</w:t>
      </w:r>
    </w:p>
    <w:p w14:paraId="2A605ACE" w14:textId="77777777" w:rsidR="00D23386" w:rsidRPr="00650831" w:rsidRDefault="00D23386" w:rsidP="00D23386">
      <w:pPr>
        <w:pStyle w:val="Textoindependiente"/>
        <w:ind w:left="1179" w:right="1180" w:firstLine="360"/>
        <w:rPr>
          <w:rFonts w:ascii="Abadi" w:hAnsi="Abadi"/>
          <w:sz w:val="21"/>
          <w:szCs w:val="21"/>
        </w:rPr>
      </w:pPr>
    </w:p>
    <w:p w14:paraId="2FEDA2C9" w14:textId="2B6C1A4B" w:rsidR="00D1398C" w:rsidRDefault="00D23386" w:rsidP="00D1398C">
      <w:pPr>
        <w:pStyle w:val="Textoindependiente"/>
        <w:rPr>
          <w:rFonts w:ascii="Abadi" w:hAnsi="Abadi"/>
          <w:sz w:val="21"/>
          <w:szCs w:val="21"/>
        </w:rPr>
      </w:pPr>
      <w:r w:rsidRPr="00650831">
        <w:rPr>
          <w:rFonts w:ascii="Abadi" w:hAnsi="Abadi"/>
          <w:b w:val="0"/>
          <w:sz w:val="21"/>
          <w:szCs w:val="21"/>
        </w:rPr>
        <w:t xml:space="preserve">El problema en Guanajuato es </w:t>
      </w:r>
      <w:proofErr w:type="spellStart"/>
      <w:r w:rsidRPr="00650831">
        <w:rPr>
          <w:rFonts w:ascii="Abadi" w:hAnsi="Abadi"/>
          <w:b w:val="0"/>
          <w:sz w:val="21"/>
          <w:szCs w:val="21"/>
        </w:rPr>
        <w:t>aun</w:t>
      </w:r>
      <w:proofErr w:type="spellEnd"/>
      <w:r w:rsidRPr="00650831">
        <w:rPr>
          <w:rFonts w:ascii="Abadi" w:hAnsi="Abadi"/>
          <w:b w:val="0"/>
          <w:sz w:val="21"/>
          <w:szCs w:val="21"/>
        </w:rPr>
        <w:t xml:space="preserve"> </w:t>
      </w:r>
      <w:proofErr w:type="spellStart"/>
      <w:r w:rsidRPr="00650831">
        <w:rPr>
          <w:rFonts w:ascii="Abadi" w:hAnsi="Abadi"/>
          <w:b w:val="0"/>
          <w:sz w:val="21"/>
          <w:szCs w:val="21"/>
        </w:rPr>
        <w:t>mas</w:t>
      </w:r>
      <w:proofErr w:type="spellEnd"/>
      <w:r w:rsidRPr="00650831">
        <w:rPr>
          <w:rFonts w:ascii="Abadi" w:hAnsi="Abadi"/>
          <w:b w:val="0"/>
          <w:sz w:val="21"/>
          <w:szCs w:val="21"/>
        </w:rPr>
        <w:t xml:space="preserve"> grave, derivado de que según la encuesta</w:t>
      </w:r>
      <w:r w:rsidRPr="00650831">
        <w:rPr>
          <w:rFonts w:ascii="Abadi" w:hAnsi="Abadi"/>
          <w:b w:val="0"/>
          <w:spacing w:val="56"/>
          <w:sz w:val="21"/>
          <w:szCs w:val="21"/>
        </w:rPr>
        <w:t xml:space="preserve"> </w:t>
      </w:r>
      <w:r w:rsidRPr="00650831">
        <w:rPr>
          <w:rFonts w:ascii="Abadi" w:hAnsi="Abadi"/>
          <w:b w:val="0"/>
          <w:sz w:val="21"/>
          <w:szCs w:val="21"/>
        </w:rPr>
        <w:t>“</w:t>
      </w:r>
      <w:r w:rsidRPr="00650831">
        <w:rPr>
          <w:rFonts w:ascii="Abadi" w:hAnsi="Abadi"/>
          <w:b w:val="0"/>
          <w:i/>
          <w:sz w:val="21"/>
          <w:szCs w:val="21"/>
        </w:rPr>
        <w:t>Juventud</w:t>
      </w:r>
      <w:r w:rsidRPr="00650831">
        <w:rPr>
          <w:rFonts w:ascii="Abadi" w:hAnsi="Abadi"/>
          <w:b w:val="0"/>
          <w:i/>
          <w:spacing w:val="59"/>
          <w:sz w:val="21"/>
          <w:szCs w:val="21"/>
        </w:rPr>
        <w:t xml:space="preserve"> </w:t>
      </w:r>
      <w:r w:rsidRPr="00650831">
        <w:rPr>
          <w:rFonts w:ascii="Abadi" w:hAnsi="Abadi"/>
          <w:b w:val="0"/>
          <w:i/>
          <w:sz w:val="21"/>
          <w:szCs w:val="21"/>
        </w:rPr>
        <w:t>y</w:t>
      </w:r>
      <w:r w:rsidRPr="00650831">
        <w:rPr>
          <w:rFonts w:ascii="Abadi" w:hAnsi="Abadi"/>
          <w:b w:val="0"/>
          <w:i/>
          <w:spacing w:val="60"/>
          <w:sz w:val="21"/>
          <w:szCs w:val="21"/>
        </w:rPr>
        <w:t xml:space="preserve"> </w:t>
      </w:r>
      <w:r w:rsidRPr="00650831">
        <w:rPr>
          <w:rFonts w:ascii="Abadi" w:hAnsi="Abadi"/>
          <w:b w:val="0"/>
          <w:i/>
          <w:sz w:val="21"/>
          <w:szCs w:val="21"/>
        </w:rPr>
        <w:t>Bienestar</w:t>
      </w:r>
      <w:r w:rsidRPr="00650831">
        <w:rPr>
          <w:rFonts w:ascii="Abadi" w:hAnsi="Abadi"/>
          <w:b w:val="0"/>
          <w:i/>
          <w:spacing w:val="66"/>
          <w:sz w:val="21"/>
          <w:szCs w:val="21"/>
        </w:rPr>
        <w:t xml:space="preserve"> </w:t>
      </w:r>
      <w:r w:rsidRPr="00650831">
        <w:rPr>
          <w:rFonts w:ascii="Abadi" w:hAnsi="Abadi"/>
          <w:b w:val="0"/>
          <w:i/>
          <w:sz w:val="21"/>
          <w:szCs w:val="21"/>
        </w:rPr>
        <w:t>2022”</w:t>
      </w:r>
      <w:r w:rsidRPr="00650831">
        <w:rPr>
          <w:rFonts w:ascii="Abadi" w:hAnsi="Abadi"/>
          <w:b w:val="0"/>
          <w:i/>
          <w:spacing w:val="62"/>
          <w:sz w:val="21"/>
          <w:szCs w:val="21"/>
        </w:rPr>
        <w:t xml:space="preserve"> </w:t>
      </w:r>
      <w:r w:rsidRPr="00650831">
        <w:rPr>
          <w:rFonts w:ascii="Abadi" w:hAnsi="Abadi"/>
          <w:b w:val="0"/>
          <w:sz w:val="21"/>
          <w:szCs w:val="21"/>
        </w:rPr>
        <w:t>practicada</w:t>
      </w:r>
      <w:r w:rsidRPr="00650831">
        <w:rPr>
          <w:rFonts w:ascii="Abadi" w:hAnsi="Abadi"/>
          <w:b w:val="0"/>
          <w:spacing w:val="59"/>
          <w:sz w:val="21"/>
          <w:szCs w:val="21"/>
        </w:rPr>
        <w:t xml:space="preserve"> </w:t>
      </w:r>
      <w:r w:rsidRPr="00650831">
        <w:rPr>
          <w:rFonts w:ascii="Abadi" w:hAnsi="Abadi"/>
          <w:b w:val="0"/>
          <w:sz w:val="21"/>
          <w:szCs w:val="21"/>
        </w:rPr>
        <w:t>en</w:t>
      </w:r>
      <w:r w:rsidRPr="00650831">
        <w:rPr>
          <w:rFonts w:ascii="Abadi" w:hAnsi="Abadi"/>
          <w:b w:val="0"/>
          <w:spacing w:val="60"/>
          <w:sz w:val="21"/>
          <w:szCs w:val="21"/>
        </w:rPr>
        <w:t xml:space="preserve"> </w:t>
      </w:r>
      <w:r w:rsidRPr="00650831">
        <w:rPr>
          <w:rFonts w:ascii="Abadi" w:hAnsi="Abadi"/>
          <w:b w:val="0"/>
          <w:sz w:val="21"/>
          <w:szCs w:val="21"/>
        </w:rPr>
        <w:t>26</w:t>
      </w:r>
      <w:r w:rsidRPr="00650831">
        <w:rPr>
          <w:rFonts w:ascii="Abadi" w:hAnsi="Abadi"/>
          <w:b w:val="0"/>
          <w:spacing w:val="58"/>
          <w:sz w:val="21"/>
          <w:szCs w:val="21"/>
        </w:rPr>
        <w:t xml:space="preserve"> </w:t>
      </w:r>
      <w:r w:rsidRPr="00650831">
        <w:rPr>
          <w:rFonts w:ascii="Abadi" w:hAnsi="Abadi"/>
          <w:b w:val="0"/>
          <w:sz w:val="21"/>
          <w:szCs w:val="21"/>
        </w:rPr>
        <w:t>municipios</w:t>
      </w:r>
      <w:r w:rsidRPr="00650831">
        <w:rPr>
          <w:rFonts w:ascii="Abadi" w:hAnsi="Abadi"/>
          <w:b w:val="0"/>
          <w:spacing w:val="59"/>
          <w:sz w:val="21"/>
          <w:szCs w:val="21"/>
        </w:rPr>
        <w:t xml:space="preserve"> </w:t>
      </w:r>
      <w:r w:rsidRPr="00650831">
        <w:rPr>
          <w:rFonts w:ascii="Abadi" w:hAnsi="Abadi"/>
          <w:b w:val="0"/>
          <w:sz w:val="21"/>
          <w:szCs w:val="21"/>
        </w:rPr>
        <w:t>por</w:t>
      </w:r>
      <w:r w:rsidRPr="00650831">
        <w:rPr>
          <w:rFonts w:ascii="Abadi" w:hAnsi="Abadi"/>
          <w:b w:val="0"/>
          <w:spacing w:val="61"/>
          <w:sz w:val="21"/>
          <w:szCs w:val="21"/>
        </w:rPr>
        <w:t xml:space="preserve"> </w:t>
      </w:r>
      <w:r w:rsidRPr="00650831">
        <w:rPr>
          <w:rFonts w:ascii="Abadi" w:hAnsi="Abadi"/>
          <w:b w:val="0"/>
          <w:spacing w:val="-5"/>
          <w:sz w:val="21"/>
          <w:szCs w:val="21"/>
        </w:rPr>
        <w:t>el</w:t>
      </w:r>
      <w:r w:rsidR="00D1398C">
        <w:rPr>
          <w:rFonts w:ascii="Abadi" w:hAnsi="Abadi"/>
          <w:b w:val="0"/>
          <w:spacing w:val="-5"/>
          <w:sz w:val="21"/>
          <w:szCs w:val="21"/>
        </w:rPr>
        <w:t xml:space="preserve"> </w:t>
      </w:r>
      <w:r w:rsidR="00D1398C" w:rsidRPr="00650831">
        <w:rPr>
          <w:rFonts w:ascii="Abadi" w:hAnsi="Abadi"/>
          <w:b w:val="0"/>
          <w:sz w:val="21"/>
          <w:szCs w:val="21"/>
        </w:rPr>
        <w:t>Programa</w:t>
      </w:r>
      <w:r w:rsidR="00D1398C" w:rsidRPr="00650831">
        <w:rPr>
          <w:rFonts w:ascii="Abadi" w:hAnsi="Abadi"/>
          <w:b w:val="0"/>
          <w:spacing w:val="-9"/>
          <w:sz w:val="21"/>
          <w:szCs w:val="21"/>
        </w:rPr>
        <w:t xml:space="preserve"> </w:t>
      </w:r>
      <w:proofErr w:type="spellStart"/>
      <w:r w:rsidR="00D1398C" w:rsidRPr="00650831">
        <w:rPr>
          <w:rFonts w:ascii="Abadi" w:hAnsi="Abadi"/>
          <w:b w:val="0"/>
          <w:sz w:val="21"/>
          <w:szCs w:val="21"/>
        </w:rPr>
        <w:t>Planeth</w:t>
      </w:r>
      <w:proofErr w:type="spellEnd"/>
      <w:r w:rsidR="00D1398C" w:rsidRPr="00650831">
        <w:rPr>
          <w:rFonts w:ascii="Abadi" w:hAnsi="Abadi"/>
          <w:b w:val="0"/>
          <w:spacing w:val="-8"/>
          <w:sz w:val="21"/>
          <w:szCs w:val="21"/>
        </w:rPr>
        <w:t xml:space="preserve"> </w:t>
      </w:r>
      <w:proofErr w:type="spellStart"/>
      <w:r w:rsidR="00D1398C" w:rsidRPr="00650831">
        <w:rPr>
          <w:rFonts w:ascii="Abadi" w:hAnsi="Abadi"/>
          <w:b w:val="0"/>
          <w:sz w:val="21"/>
          <w:szCs w:val="21"/>
        </w:rPr>
        <w:t>Youth</w:t>
      </w:r>
      <w:proofErr w:type="spellEnd"/>
      <w:r w:rsidR="00D1398C" w:rsidRPr="00650831">
        <w:rPr>
          <w:rFonts w:ascii="Abadi" w:hAnsi="Abadi"/>
          <w:b w:val="0"/>
          <w:spacing w:val="-6"/>
          <w:sz w:val="21"/>
          <w:szCs w:val="21"/>
        </w:rPr>
        <w:t xml:space="preserve"> </w:t>
      </w:r>
      <w:r w:rsidR="00D1398C" w:rsidRPr="00650831">
        <w:rPr>
          <w:rFonts w:ascii="Abadi" w:hAnsi="Abadi"/>
          <w:b w:val="0"/>
          <w:sz w:val="21"/>
          <w:szCs w:val="21"/>
        </w:rPr>
        <w:t>de</w:t>
      </w:r>
      <w:r w:rsidR="00D1398C" w:rsidRPr="00650831">
        <w:rPr>
          <w:rFonts w:ascii="Abadi" w:hAnsi="Abadi"/>
          <w:b w:val="0"/>
          <w:spacing w:val="-10"/>
          <w:sz w:val="21"/>
          <w:szCs w:val="21"/>
        </w:rPr>
        <w:t xml:space="preserve"> </w:t>
      </w:r>
      <w:r w:rsidR="00D1398C" w:rsidRPr="00650831">
        <w:rPr>
          <w:rFonts w:ascii="Abadi" w:hAnsi="Abadi"/>
          <w:b w:val="0"/>
          <w:sz w:val="21"/>
          <w:szCs w:val="21"/>
        </w:rPr>
        <w:t>la</w:t>
      </w:r>
      <w:r w:rsidR="00D1398C" w:rsidRPr="00650831">
        <w:rPr>
          <w:rFonts w:ascii="Abadi" w:hAnsi="Abadi"/>
          <w:b w:val="0"/>
          <w:spacing w:val="-9"/>
          <w:sz w:val="21"/>
          <w:szCs w:val="21"/>
        </w:rPr>
        <w:t xml:space="preserve"> </w:t>
      </w:r>
      <w:r w:rsidR="00D1398C" w:rsidRPr="00650831">
        <w:rPr>
          <w:rFonts w:ascii="Abadi" w:hAnsi="Abadi"/>
          <w:b w:val="0"/>
          <w:sz w:val="21"/>
          <w:szCs w:val="21"/>
        </w:rPr>
        <w:t>Secretaría</w:t>
      </w:r>
      <w:r w:rsidR="00D1398C" w:rsidRPr="00650831">
        <w:rPr>
          <w:rFonts w:ascii="Abadi" w:hAnsi="Abadi"/>
          <w:b w:val="0"/>
          <w:spacing w:val="-9"/>
          <w:sz w:val="21"/>
          <w:szCs w:val="21"/>
        </w:rPr>
        <w:t xml:space="preserve"> </w:t>
      </w:r>
      <w:r w:rsidR="00D1398C" w:rsidRPr="00650831">
        <w:rPr>
          <w:rFonts w:ascii="Abadi" w:hAnsi="Abadi"/>
          <w:b w:val="0"/>
          <w:sz w:val="21"/>
          <w:szCs w:val="21"/>
        </w:rPr>
        <w:t>de</w:t>
      </w:r>
      <w:r w:rsidR="00D1398C" w:rsidRPr="00650831">
        <w:rPr>
          <w:rFonts w:ascii="Abadi" w:hAnsi="Abadi"/>
          <w:b w:val="0"/>
          <w:spacing w:val="-7"/>
          <w:sz w:val="21"/>
          <w:szCs w:val="21"/>
        </w:rPr>
        <w:t xml:space="preserve"> </w:t>
      </w:r>
      <w:r w:rsidR="00D1398C" w:rsidRPr="00650831">
        <w:rPr>
          <w:rFonts w:ascii="Abadi" w:hAnsi="Abadi"/>
          <w:b w:val="0"/>
          <w:sz w:val="21"/>
          <w:szCs w:val="21"/>
        </w:rPr>
        <w:t>Salud</w:t>
      </w:r>
      <w:r w:rsidR="00D1398C" w:rsidRPr="00650831">
        <w:rPr>
          <w:rFonts w:ascii="Abadi" w:hAnsi="Abadi"/>
          <w:b w:val="0"/>
          <w:spacing w:val="-9"/>
          <w:sz w:val="21"/>
          <w:szCs w:val="21"/>
        </w:rPr>
        <w:t xml:space="preserve"> </w:t>
      </w:r>
      <w:r w:rsidR="00D1398C" w:rsidRPr="00650831">
        <w:rPr>
          <w:rFonts w:ascii="Abadi" w:hAnsi="Abadi"/>
          <w:b w:val="0"/>
          <w:sz w:val="21"/>
          <w:szCs w:val="21"/>
        </w:rPr>
        <w:t>del</w:t>
      </w:r>
      <w:r w:rsidR="00D1398C" w:rsidRPr="00650831">
        <w:rPr>
          <w:rFonts w:ascii="Abadi" w:hAnsi="Abadi"/>
          <w:b w:val="0"/>
          <w:spacing w:val="-10"/>
          <w:sz w:val="21"/>
          <w:szCs w:val="21"/>
        </w:rPr>
        <w:t xml:space="preserve"> </w:t>
      </w:r>
      <w:r w:rsidR="00D1398C" w:rsidRPr="00650831">
        <w:rPr>
          <w:rFonts w:ascii="Abadi" w:hAnsi="Abadi"/>
          <w:b w:val="0"/>
          <w:sz w:val="21"/>
          <w:szCs w:val="21"/>
        </w:rPr>
        <w:t>Estado</w:t>
      </w:r>
      <w:r w:rsidR="00D1398C" w:rsidRPr="00650831">
        <w:rPr>
          <w:rFonts w:ascii="Abadi" w:hAnsi="Abadi"/>
          <w:b w:val="0"/>
          <w:spacing w:val="-12"/>
          <w:sz w:val="21"/>
          <w:szCs w:val="21"/>
        </w:rPr>
        <w:t xml:space="preserve"> </w:t>
      </w:r>
      <w:r w:rsidR="00D1398C" w:rsidRPr="00650831">
        <w:rPr>
          <w:rFonts w:ascii="Abadi" w:hAnsi="Abadi"/>
          <w:b w:val="0"/>
          <w:sz w:val="21"/>
          <w:szCs w:val="21"/>
        </w:rPr>
        <w:t>de</w:t>
      </w:r>
      <w:r w:rsidR="00D1398C" w:rsidRPr="00650831">
        <w:rPr>
          <w:rFonts w:ascii="Abadi" w:hAnsi="Abadi"/>
          <w:b w:val="0"/>
          <w:spacing w:val="-7"/>
          <w:sz w:val="21"/>
          <w:szCs w:val="21"/>
        </w:rPr>
        <w:t xml:space="preserve"> </w:t>
      </w:r>
      <w:r w:rsidR="00D1398C" w:rsidRPr="00650831">
        <w:rPr>
          <w:rFonts w:ascii="Abadi" w:hAnsi="Abadi"/>
          <w:b w:val="0"/>
          <w:sz w:val="21"/>
          <w:szCs w:val="21"/>
        </w:rPr>
        <w:t>Guanajuato,</w:t>
      </w:r>
      <w:r w:rsidR="00D1398C" w:rsidRPr="00650831">
        <w:rPr>
          <w:rFonts w:ascii="Abadi" w:hAnsi="Abadi"/>
          <w:b w:val="0"/>
          <w:spacing w:val="-8"/>
          <w:sz w:val="21"/>
          <w:szCs w:val="21"/>
        </w:rPr>
        <w:t xml:space="preserve"> </w:t>
      </w:r>
      <w:r w:rsidR="00D1398C" w:rsidRPr="00650831">
        <w:rPr>
          <w:rFonts w:ascii="Abadi" w:hAnsi="Abadi"/>
          <w:b w:val="0"/>
          <w:sz w:val="21"/>
          <w:szCs w:val="21"/>
        </w:rPr>
        <w:t>se tiene identificado que, en nuestro estado más de 31 mil 604 adolescentes de tercero de secundaria consumen estos productos</w:t>
      </w:r>
      <w:r w:rsidR="003B16BA">
        <w:rPr>
          <w:rStyle w:val="Refdenotaalpie"/>
          <w:rFonts w:ascii="Abadi" w:hAnsi="Abadi"/>
          <w:b w:val="0"/>
          <w:sz w:val="21"/>
          <w:szCs w:val="21"/>
        </w:rPr>
        <w:footnoteReference w:id="81"/>
      </w:r>
      <w:r w:rsidR="00D1398C" w:rsidRPr="00650831">
        <w:rPr>
          <w:rFonts w:ascii="Abadi" w:hAnsi="Abadi"/>
          <w:b w:val="0"/>
          <w:sz w:val="21"/>
          <w:szCs w:val="21"/>
        </w:rPr>
        <w:t>.</w:t>
      </w:r>
    </w:p>
    <w:p w14:paraId="4A8ACEBD" w14:textId="77777777" w:rsidR="00D1398C" w:rsidRPr="00650831" w:rsidRDefault="00D1398C" w:rsidP="00D1398C">
      <w:pPr>
        <w:pStyle w:val="Textoindependiente"/>
        <w:ind w:left="1179" w:right="1184"/>
        <w:rPr>
          <w:rFonts w:ascii="Abadi" w:hAnsi="Abadi"/>
          <w:sz w:val="21"/>
          <w:szCs w:val="21"/>
        </w:rPr>
      </w:pPr>
    </w:p>
    <w:p w14:paraId="4A29FAB5" w14:textId="6A8BFA89" w:rsidR="00D1398C" w:rsidRDefault="00D1398C" w:rsidP="00D1398C">
      <w:pPr>
        <w:pStyle w:val="Textoindependiente"/>
        <w:ind w:firstLine="360"/>
        <w:rPr>
          <w:rFonts w:ascii="Abadi" w:hAnsi="Abadi"/>
          <w:sz w:val="21"/>
          <w:szCs w:val="21"/>
        </w:rPr>
      </w:pPr>
      <w:r w:rsidRPr="00650831">
        <w:rPr>
          <w:rFonts w:ascii="Abadi" w:hAnsi="Abadi"/>
          <w:b w:val="0"/>
          <w:sz w:val="21"/>
          <w:szCs w:val="21"/>
        </w:rPr>
        <w:t>Mientas</w:t>
      </w:r>
      <w:r w:rsidRPr="00650831">
        <w:rPr>
          <w:rFonts w:ascii="Abadi" w:hAnsi="Abadi"/>
          <w:b w:val="0"/>
          <w:spacing w:val="-11"/>
          <w:sz w:val="21"/>
          <w:szCs w:val="21"/>
        </w:rPr>
        <w:t xml:space="preserve"> </w:t>
      </w:r>
      <w:r w:rsidRPr="00650831">
        <w:rPr>
          <w:rFonts w:ascii="Abadi" w:hAnsi="Abadi"/>
          <w:b w:val="0"/>
          <w:sz w:val="21"/>
          <w:szCs w:val="21"/>
        </w:rPr>
        <w:t>que,</w:t>
      </w:r>
      <w:r w:rsidRPr="00650831">
        <w:rPr>
          <w:rFonts w:ascii="Abadi" w:hAnsi="Abadi"/>
          <w:b w:val="0"/>
          <w:spacing w:val="-8"/>
          <w:sz w:val="21"/>
          <w:szCs w:val="21"/>
        </w:rPr>
        <w:t xml:space="preserve"> </w:t>
      </w:r>
      <w:r w:rsidRPr="00650831">
        <w:rPr>
          <w:rFonts w:ascii="Abadi" w:hAnsi="Abadi"/>
          <w:b w:val="0"/>
          <w:sz w:val="21"/>
          <w:szCs w:val="21"/>
        </w:rPr>
        <w:t>el</w:t>
      </w:r>
      <w:r w:rsidRPr="00650831">
        <w:rPr>
          <w:rFonts w:ascii="Abadi" w:hAnsi="Abadi"/>
          <w:b w:val="0"/>
          <w:spacing w:val="-8"/>
          <w:sz w:val="21"/>
          <w:szCs w:val="21"/>
        </w:rPr>
        <w:t xml:space="preserve"> </w:t>
      </w:r>
      <w:r w:rsidRPr="00650831">
        <w:rPr>
          <w:rFonts w:ascii="Abadi" w:hAnsi="Abadi"/>
          <w:b w:val="0"/>
          <w:sz w:val="21"/>
          <w:szCs w:val="21"/>
        </w:rPr>
        <w:t>Maestro</w:t>
      </w:r>
      <w:r w:rsidRPr="00650831">
        <w:rPr>
          <w:rFonts w:ascii="Abadi" w:hAnsi="Abadi"/>
          <w:b w:val="0"/>
          <w:spacing w:val="-10"/>
          <w:sz w:val="21"/>
          <w:szCs w:val="21"/>
        </w:rPr>
        <w:t xml:space="preserve"> </w:t>
      </w:r>
      <w:r w:rsidRPr="00650831">
        <w:rPr>
          <w:rFonts w:ascii="Abadi" w:hAnsi="Abadi"/>
          <w:b w:val="0"/>
          <w:sz w:val="21"/>
          <w:szCs w:val="21"/>
        </w:rPr>
        <w:t>Manuel</w:t>
      </w:r>
      <w:r w:rsidRPr="00650831">
        <w:rPr>
          <w:rFonts w:ascii="Abadi" w:hAnsi="Abadi"/>
          <w:b w:val="0"/>
          <w:spacing w:val="-8"/>
          <w:sz w:val="21"/>
          <w:szCs w:val="21"/>
        </w:rPr>
        <w:t xml:space="preserve"> </w:t>
      </w:r>
      <w:r w:rsidRPr="00650831">
        <w:rPr>
          <w:rFonts w:ascii="Abadi" w:hAnsi="Abadi"/>
          <w:b w:val="0"/>
          <w:sz w:val="21"/>
          <w:szCs w:val="21"/>
        </w:rPr>
        <w:t>Aguilar</w:t>
      </w:r>
      <w:r w:rsidRPr="00650831">
        <w:rPr>
          <w:rFonts w:ascii="Abadi" w:hAnsi="Abadi"/>
          <w:b w:val="0"/>
          <w:spacing w:val="-9"/>
          <w:sz w:val="21"/>
          <w:szCs w:val="21"/>
        </w:rPr>
        <w:t xml:space="preserve"> </w:t>
      </w:r>
      <w:r w:rsidRPr="00650831">
        <w:rPr>
          <w:rFonts w:ascii="Abadi" w:hAnsi="Abadi"/>
          <w:b w:val="0"/>
          <w:sz w:val="21"/>
          <w:szCs w:val="21"/>
        </w:rPr>
        <w:t>Romo,</w:t>
      </w:r>
      <w:r w:rsidRPr="00650831">
        <w:rPr>
          <w:rFonts w:ascii="Abadi" w:hAnsi="Abadi"/>
          <w:b w:val="0"/>
          <w:spacing w:val="-10"/>
          <w:sz w:val="21"/>
          <w:szCs w:val="21"/>
        </w:rPr>
        <w:t xml:space="preserve"> </w:t>
      </w:r>
      <w:r w:rsidRPr="00650831">
        <w:rPr>
          <w:rFonts w:ascii="Abadi" w:hAnsi="Abadi"/>
          <w:b w:val="0"/>
          <w:sz w:val="21"/>
          <w:szCs w:val="21"/>
        </w:rPr>
        <w:t>Director</w:t>
      </w:r>
      <w:r w:rsidRPr="00650831">
        <w:rPr>
          <w:rFonts w:ascii="Abadi" w:hAnsi="Abadi"/>
          <w:b w:val="0"/>
          <w:spacing w:val="-9"/>
          <w:sz w:val="21"/>
          <w:szCs w:val="21"/>
        </w:rPr>
        <w:t xml:space="preserve"> </w:t>
      </w:r>
      <w:r w:rsidRPr="00650831">
        <w:rPr>
          <w:rFonts w:ascii="Abadi" w:hAnsi="Abadi"/>
          <w:b w:val="0"/>
          <w:sz w:val="21"/>
          <w:szCs w:val="21"/>
        </w:rPr>
        <w:t>de</w:t>
      </w:r>
      <w:r w:rsidRPr="00650831">
        <w:rPr>
          <w:rFonts w:ascii="Abadi" w:hAnsi="Abadi"/>
          <w:b w:val="0"/>
          <w:spacing w:val="-8"/>
          <w:sz w:val="21"/>
          <w:szCs w:val="21"/>
        </w:rPr>
        <w:t xml:space="preserve"> </w:t>
      </w:r>
      <w:r w:rsidRPr="00650831">
        <w:rPr>
          <w:rFonts w:ascii="Abadi" w:hAnsi="Abadi"/>
          <w:b w:val="0"/>
          <w:sz w:val="21"/>
          <w:szCs w:val="21"/>
        </w:rPr>
        <w:t>Salud</w:t>
      </w:r>
      <w:r w:rsidRPr="00650831">
        <w:rPr>
          <w:rFonts w:ascii="Abadi" w:hAnsi="Abadi"/>
          <w:b w:val="0"/>
          <w:spacing w:val="-10"/>
          <w:sz w:val="21"/>
          <w:szCs w:val="21"/>
        </w:rPr>
        <w:t xml:space="preserve"> </w:t>
      </w:r>
      <w:r w:rsidRPr="00650831">
        <w:rPr>
          <w:rFonts w:ascii="Abadi" w:hAnsi="Abadi"/>
          <w:b w:val="0"/>
          <w:sz w:val="21"/>
          <w:szCs w:val="21"/>
        </w:rPr>
        <w:t>Mental</w:t>
      </w:r>
      <w:r w:rsidRPr="00650831">
        <w:rPr>
          <w:rFonts w:ascii="Abadi" w:hAnsi="Abadi"/>
          <w:b w:val="0"/>
          <w:spacing w:val="-8"/>
          <w:sz w:val="21"/>
          <w:szCs w:val="21"/>
        </w:rPr>
        <w:t xml:space="preserve"> </w:t>
      </w:r>
      <w:r w:rsidRPr="00650831">
        <w:rPr>
          <w:rFonts w:ascii="Abadi" w:hAnsi="Abadi"/>
          <w:b w:val="0"/>
          <w:sz w:val="21"/>
          <w:szCs w:val="21"/>
        </w:rPr>
        <w:t xml:space="preserve">de la Secretaría de Salud informó en el marco del Día Mundial Sin Tabaco que, se han detectado casos en Guanajuato en los que incluso niños menores de 10 años usan cigarros electrónicos, derivado del fácil acceso a </w:t>
      </w:r>
      <w:r w:rsidRPr="00650831">
        <w:rPr>
          <w:rFonts w:ascii="Abadi" w:hAnsi="Abadi"/>
          <w:b w:val="0"/>
          <w:sz w:val="21"/>
          <w:szCs w:val="21"/>
        </w:rPr>
        <w:lastRenderedPageBreak/>
        <w:t>máquinas dispensadoras</w:t>
      </w:r>
      <w:r w:rsidR="00A32B1A">
        <w:rPr>
          <w:rStyle w:val="Refdenotaalpie"/>
          <w:rFonts w:ascii="Abadi" w:hAnsi="Abadi"/>
          <w:b w:val="0"/>
          <w:sz w:val="21"/>
          <w:szCs w:val="21"/>
        </w:rPr>
        <w:footnoteReference w:id="82"/>
      </w:r>
      <w:r w:rsidRPr="00650831">
        <w:rPr>
          <w:rFonts w:ascii="Abadi" w:hAnsi="Abadi"/>
          <w:b w:val="0"/>
          <w:sz w:val="21"/>
          <w:szCs w:val="21"/>
        </w:rPr>
        <w:t xml:space="preserve"> y establecimientos comerciales.</w:t>
      </w:r>
    </w:p>
    <w:p w14:paraId="4783C79F" w14:textId="77777777" w:rsidR="00D1398C" w:rsidRPr="00650831" w:rsidRDefault="00D1398C" w:rsidP="00D1398C">
      <w:pPr>
        <w:pStyle w:val="Textoindependiente"/>
        <w:ind w:left="1179" w:right="1177" w:firstLine="360"/>
        <w:rPr>
          <w:rFonts w:ascii="Abadi" w:hAnsi="Abadi"/>
          <w:sz w:val="21"/>
          <w:szCs w:val="21"/>
        </w:rPr>
      </w:pPr>
    </w:p>
    <w:p w14:paraId="258DFEBF" w14:textId="77777777" w:rsidR="00D1398C" w:rsidRDefault="00D1398C" w:rsidP="00D1398C">
      <w:pPr>
        <w:pStyle w:val="Textoindependiente"/>
        <w:ind w:firstLine="710"/>
        <w:rPr>
          <w:rFonts w:ascii="Abadi" w:hAnsi="Abadi"/>
          <w:sz w:val="21"/>
          <w:szCs w:val="21"/>
        </w:rPr>
      </w:pPr>
      <w:r w:rsidRPr="00650831">
        <w:rPr>
          <w:rFonts w:ascii="Abadi" w:hAnsi="Abadi"/>
          <w:b w:val="0"/>
          <w:sz w:val="21"/>
          <w:szCs w:val="21"/>
        </w:rPr>
        <w:t>De acuerdo con una solicitud de acceso a la información con el folio 111100500129423 realizada por este grupo parlamentario, la Secretaría de Salud</w:t>
      </w:r>
      <w:r w:rsidRPr="00650831">
        <w:rPr>
          <w:rFonts w:ascii="Abadi" w:hAnsi="Abadi"/>
          <w:b w:val="0"/>
          <w:spacing w:val="-5"/>
          <w:sz w:val="21"/>
          <w:szCs w:val="21"/>
        </w:rPr>
        <w:t xml:space="preserve"> </w:t>
      </w:r>
      <w:r w:rsidRPr="00650831">
        <w:rPr>
          <w:rFonts w:ascii="Abadi" w:hAnsi="Abadi"/>
          <w:b w:val="0"/>
          <w:sz w:val="21"/>
          <w:szCs w:val="21"/>
        </w:rPr>
        <w:t>de</w:t>
      </w:r>
      <w:r w:rsidRPr="00650831">
        <w:rPr>
          <w:rFonts w:ascii="Abadi" w:hAnsi="Abadi"/>
          <w:b w:val="0"/>
          <w:spacing w:val="-2"/>
          <w:sz w:val="21"/>
          <w:szCs w:val="21"/>
        </w:rPr>
        <w:t xml:space="preserve"> </w:t>
      </w:r>
      <w:r w:rsidRPr="00650831">
        <w:rPr>
          <w:rFonts w:ascii="Abadi" w:hAnsi="Abadi"/>
          <w:b w:val="0"/>
          <w:sz w:val="21"/>
          <w:szCs w:val="21"/>
        </w:rPr>
        <w:t>Guanajuato</w:t>
      </w:r>
      <w:r w:rsidRPr="00650831">
        <w:rPr>
          <w:rFonts w:ascii="Abadi" w:hAnsi="Abadi"/>
          <w:b w:val="0"/>
          <w:spacing w:val="-5"/>
          <w:sz w:val="21"/>
          <w:szCs w:val="21"/>
        </w:rPr>
        <w:t xml:space="preserve"> </w:t>
      </w:r>
      <w:r w:rsidRPr="00650831">
        <w:rPr>
          <w:rFonts w:ascii="Abadi" w:hAnsi="Abadi"/>
          <w:b w:val="0"/>
          <w:sz w:val="21"/>
          <w:szCs w:val="21"/>
        </w:rPr>
        <w:t>informa que</w:t>
      </w:r>
      <w:r w:rsidRPr="00650831">
        <w:rPr>
          <w:rFonts w:ascii="Abadi" w:hAnsi="Abadi"/>
          <w:b w:val="0"/>
          <w:spacing w:val="-2"/>
          <w:sz w:val="21"/>
          <w:szCs w:val="21"/>
        </w:rPr>
        <w:t xml:space="preserve"> </w:t>
      </w:r>
      <w:r w:rsidRPr="00650831">
        <w:rPr>
          <w:rFonts w:ascii="Abadi" w:hAnsi="Abadi"/>
          <w:b w:val="0"/>
          <w:sz w:val="21"/>
          <w:szCs w:val="21"/>
        </w:rPr>
        <w:t>durante el</w:t>
      </w:r>
      <w:r w:rsidRPr="00650831">
        <w:rPr>
          <w:rFonts w:ascii="Abadi" w:hAnsi="Abadi"/>
          <w:b w:val="0"/>
          <w:spacing w:val="-7"/>
          <w:sz w:val="21"/>
          <w:szCs w:val="21"/>
        </w:rPr>
        <w:t xml:space="preserve"> </w:t>
      </w:r>
      <w:r w:rsidRPr="00650831">
        <w:rPr>
          <w:rFonts w:ascii="Abadi" w:hAnsi="Abadi"/>
          <w:b w:val="0"/>
          <w:sz w:val="21"/>
          <w:szCs w:val="21"/>
        </w:rPr>
        <w:t>año</w:t>
      </w:r>
      <w:r w:rsidRPr="00650831">
        <w:rPr>
          <w:rFonts w:ascii="Abadi" w:hAnsi="Abadi"/>
          <w:b w:val="0"/>
          <w:spacing w:val="-1"/>
          <w:sz w:val="21"/>
          <w:szCs w:val="21"/>
        </w:rPr>
        <w:t xml:space="preserve"> </w:t>
      </w:r>
      <w:r w:rsidRPr="00650831">
        <w:rPr>
          <w:rFonts w:ascii="Abadi" w:hAnsi="Abadi"/>
          <w:b w:val="0"/>
          <w:sz w:val="21"/>
          <w:szCs w:val="21"/>
        </w:rPr>
        <w:t>2022</w:t>
      </w:r>
      <w:r w:rsidRPr="00650831">
        <w:rPr>
          <w:rFonts w:ascii="Abadi" w:hAnsi="Abadi"/>
          <w:b w:val="0"/>
          <w:spacing w:val="-5"/>
          <w:sz w:val="21"/>
          <w:szCs w:val="21"/>
        </w:rPr>
        <w:t xml:space="preserve"> </w:t>
      </w:r>
      <w:r w:rsidRPr="00650831">
        <w:rPr>
          <w:rFonts w:ascii="Abadi" w:hAnsi="Abadi"/>
          <w:b w:val="0"/>
          <w:sz w:val="21"/>
          <w:szCs w:val="21"/>
        </w:rPr>
        <w:t>y</w:t>
      </w:r>
      <w:r w:rsidRPr="00650831">
        <w:rPr>
          <w:rFonts w:ascii="Abadi" w:hAnsi="Abadi"/>
          <w:b w:val="0"/>
          <w:spacing w:val="-3"/>
          <w:sz w:val="21"/>
          <w:szCs w:val="21"/>
        </w:rPr>
        <w:t xml:space="preserve"> </w:t>
      </w:r>
      <w:r w:rsidRPr="00650831">
        <w:rPr>
          <w:rFonts w:ascii="Abadi" w:hAnsi="Abadi"/>
          <w:b w:val="0"/>
          <w:sz w:val="21"/>
          <w:szCs w:val="21"/>
        </w:rPr>
        <w:t>hasta</w:t>
      </w:r>
      <w:r w:rsidRPr="00650831">
        <w:rPr>
          <w:rFonts w:ascii="Abadi" w:hAnsi="Abadi"/>
          <w:b w:val="0"/>
          <w:spacing w:val="-9"/>
          <w:sz w:val="21"/>
          <w:szCs w:val="21"/>
        </w:rPr>
        <w:t xml:space="preserve"> </w:t>
      </w:r>
      <w:r w:rsidRPr="00650831">
        <w:rPr>
          <w:rFonts w:ascii="Abadi" w:hAnsi="Abadi"/>
          <w:b w:val="0"/>
          <w:sz w:val="21"/>
          <w:szCs w:val="21"/>
        </w:rPr>
        <w:t>el</w:t>
      </w:r>
      <w:r w:rsidRPr="00650831">
        <w:rPr>
          <w:rFonts w:ascii="Abadi" w:hAnsi="Abadi"/>
          <w:b w:val="0"/>
          <w:spacing w:val="-3"/>
          <w:sz w:val="21"/>
          <w:szCs w:val="21"/>
        </w:rPr>
        <w:t xml:space="preserve"> </w:t>
      </w:r>
      <w:r w:rsidRPr="00650831">
        <w:rPr>
          <w:rFonts w:ascii="Abadi" w:hAnsi="Abadi"/>
          <w:b w:val="0"/>
          <w:sz w:val="21"/>
          <w:szCs w:val="21"/>
        </w:rPr>
        <w:t>21</w:t>
      </w:r>
      <w:r w:rsidRPr="00650831">
        <w:rPr>
          <w:rFonts w:ascii="Abadi" w:hAnsi="Abadi"/>
          <w:b w:val="0"/>
          <w:spacing w:val="-6"/>
          <w:sz w:val="21"/>
          <w:szCs w:val="21"/>
        </w:rPr>
        <w:t xml:space="preserve"> </w:t>
      </w:r>
      <w:r w:rsidRPr="00650831">
        <w:rPr>
          <w:rFonts w:ascii="Abadi" w:hAnsi="Abadi"/>
          <w:b w:val="0"/>
          <w:sz w:val="21"/>
          <w:szCs w:val="21"/>
        </w:rPr>
        <w:t>de</w:t>
      </w:r>
      <w:r w:rsidRPr="00650831">
        <w:rPr>
          <w:rFonts w:ascii="Abadi" w:hAnsi="Abadi"/>
          <w:b w:val="0"/>
          <w:spacing w:val="-3"/>
          <w:sz w:val="21"/>
          <w:szCs w:val="21"/>
        </w:rPr>
        <w:t xml:space="preserve"> </w:t>
      </w:r>
      <w:r w:rsidRPr="00650831">
        <w:rPr>
          <w:rFonts w:ascii="Abadi" w:hAnsi="Abadi"/>
          <w:b w:val="0"/>
          <w:sz w:val="21"/>
          <w:szCs w:val="21"/>
        </w:rPr>
        <w:t>abril</w:t>
      </w:r>
      <w:r w:rsidRPr="00650831">
        <w:rPr>
          <w:rFonts w:ascii="Abadi" w:hAnsi="Abadi"/>
          <w:b w:val="0"/>
          <w:spacing w:val="-3"/>
          <w:sz w:val="21"/>
          <w:szCs w:val="21"/>
        </w:rPr>
        <w:t xml:space="preserve"> </w:t>
      </w:r>
      <w:r w:rsidRPr="00650831">
        <w:rPr>
          <w:rFonts w:ascii="Abadi" w:hAnsi="Abadi"/>
          <w:b w:val="0"/>
          <w:sz w:val="21"/>
          <w:szCs w:val="21"/>
        </w:rPr>
        <w:t>de 2023</w:t>
      </w:r>
      <w:r w:rsidRPr="00650831">
        <w:rPr>
          <w:rFonts w:ascii="Abadi" w:hAnsi="Abadi"/>
          <w:b w:val="0"/>
          <w:spacing w:val="-16"/>
          <w:sz w:val="21"/>
          <w:szCs w:val="21"/>
        </w:rPr>
        <w:t xml:space="preserve"> </w:t>
      </w:r>
      <w:r w:rsidRPr="00650831">
        <w:rPr>
          <w:rFonts w:ascii="Abadi" w:hAnsi="Abadi"/>
          <w:b w:val="0"/>
          <w:sz w:val="21"/>
          <w:szCs w:val="21"/>
        </w:rPr>
        <w:t>se</w:t>
      </w:r>
      <w:r w:rsidRPr="00650831">
        <w:rPr>
          <w:rFonts w:ascii="Abadi" w:hAnsi="Abadi"/>
          <w:b w:val="0"/>
          <w:spacing w:val="-16"/>
          <w:sz w:val="21"/>
          <w:szCs w:val="21"/>
        </w:rPr>
        <w:t xml:space="preserve"> </w:t>
      </w:r>
      <w:r w:rsidRPr="00650831">
        <w:rPr>
          <w:rFonts w:ascii="Abadi" w:hAnsi="Abadi"/>
          <w:b w:val="0"/>
          <w:sz w:val="21"/>
          <w:szCs w:val="21"/>
        </w:rPr>
        <w:t>habían</w:t>
      </w:r>
      <w:r w:rsidRPr="00650831">
        <w:rPr>
          <w:rFonts w:ascii="Abadi" w:hAnsi="Abadi"/>
          <w:b w:val="0"/>
          <w:spacing w:val="-15"/>
          <w:sz w:val="21"/>
          <w:szCs w:val="21"/>
        </w:rPr>
        <w:t xml:space="preserve"> </w:t>
      </w:r>
      <w:r w:rsidRPr="00650831">
        <w:rPr>
          <w:rFonts w:ascii="Abadi" w:hAnsi="Abadi"/>
          <w:b w:val="0"/>
          <w:sz w:val="21"/>
          <w:szCs w:val="21"/>
        </w:rPr>
        <w:t>realizado</w:t>
      </w:r>
      <w:r w:rsidRPr="00650831">
        <w:rPr>
          <w:rFonts w:ascii="Abadi" w:hAnsi="Abadi"/>
          <w:b w:val="0"/>
          <w:spacing w:val="-14"/>
          <w:sz w:val="21"/>
          <w:szCs w:val="21"/>
        </w:rPr>
        <w:t xml:space="preserve"> </w:t>
      </w:r>
      <w:r w:rsidRPr="00650831">
        <w:rPr>
          <w:rFonts w:ascii="Abadi" w:hAnsi="Abadi"/>
          <w:b w:val="0"/>
          <w:sz w:val="21"/>
          <w:szCs w:val="21"/>
        </w:rPr>
        <w:t>59</w:t>
      </w:r>
      <w:r w:rsidRPr="00650831">
        <w:rPr>
          <w:rFonts w:ascii="Abadi" w:hAnsi="Abadi"/>
          <w:b w:val="0"/>
          <w:spacing w:val="-15"/>
          <w:sz w:val="21"/>
          <w:szCs w:val="21"/>
        </w:rPr>
        <w:t xml:space="preserve"> </w:t>
      </w:r>
      <w:r w:rsidRPr="00650831">
        <w:rPr>
          <w:rFonts w:ascii="Abadi" w:hAnsi="Abadi"/>
          <w:b w:val="0"/>
          <w:sz w:val="21"/>
          <w:szCs w:val="21"/>
        </w:rPr>
        <w:t>visitas</w:t>
      </w:r>
      <w:r w:rsidRPr="00650831">
        <w:rPr>
          <w:rFonts w:ascii="Abadi" w:hAnsi="Abadi"/>
          <w:b w:val="0"/>
          <w:spacing w:val="-15"/>
          <w:sz w:val="21"/>
          <w:szCs w:val="21"/>
        </w:rPr>
        <w:t xml:space="preserve"> </w:t>
      </w:r>
      <w:r w:rsidRPr="00650831">
        <w:rPr>
          <w:rFonts w:ascii="Abadi" w:hAnsi="Abadi"/>
          <w:b w:val="0"/>
          <w:sz w:val="21"/>
          <w:szCs w:val="21"/>
        </w:rPr>
        <w:t>de</w:t>
      </w:r>
      <w:r w:rsidRPr="00650831">
        <w:rPr>
          <w:rFonts w:ascii="Abadi" w:hAnsi="Abadi"/>
          <w:b w:val="0"/>
          <w:spacing w:val="-16"/>
          <w:sz w:val="21"/>
          <w:szCs w:val="21"/>
        </w:rPr>
        <w:t xml:space="preserve"> </w:t>
      </w:r>
      <w:r w:rsidRPr="00650831">
        <w:rPr>
          <w:rFonts w:ascii="Abadi" w:hAnsi="Abadi"/>
          <w:b w:val="0"/>
          <w:sz w:val="21"/>
          <w:szCs w:val="21"/>
        </w:rPr>
        <w:t>verificación</w:t>
      </w:r>
      <w:r w:rsidRPr="00650831">
        <w:rPr>
          <w:rFonts w:ascii="Abadi" w:hAnsi="Abadi"/>
          <w:b w:val="0"/>
          <w:spacing w:val="-14"/>
          <w:sz w:val="21"/>
          <w:szCs w:val="21"/>
        </w:rPr>
        <w:t xml:space="preserve"> </w:t>
      </w:r>
      <w:r w:rsidRPr="00650831">
        <w:rPr>
          <w:rFonts w:ascii="Abadi" w:hAnsi="Abadi"/>
          <w:b w:val="0"/>
          <w:sz w:val="21"/>
          <w:szCs w:val="21"/>
        </w:rPr>
        <w:t>a</w:t>
      </w:r>
      <w:r w:rsidRPr="00650831">
        <w:rPr>
          <w:rFonts w:ascii="Abadi" w:hAnsi="Abadi"/>
          <w:b w:val="0"/>
          <w:spacing w:val="-16"/>
          <w:sz w:val="21"/>
          <w:szCs w:val="21"/>
        </w:rPr>
        <w:t xml:space="preserve"> </w:t>
      </w:r>
      <w:r w:rsidRPr="00650831">
        <w:rPr>
          <w:rFonts w:ascii="Abadi" w:hAnsi="Abadi"/>
          <w:b w:val="0"/>
          <w:sz w:val="21"/>
          <w:szCs w:val="21"/>
        </w:rPr>
        <w:t>establecimientos</w:t>
      </w:r>
      <w:r w:rsidRPr="00650831">
        <w:rPr>
          <w:rFonts w:ascii="Abadi" w:hAnsi="Abadi"/>
          <w:b w:val="0"/>
          <w:spacing w:val="-15"/>
          <w:sz w:val="21"/>
          <w:szCs w:val="21"/>
        </w:rPr>
        <w:t xml:space="preserve"> </w:t>
      </w:r>
      <w:r w:rsidRPr="00650831">
        <w:rPr>
          <w:rFonts w:ascii="Abadi" w:hAnsi="Abadi"/>
          <w:b w:val="0"/>
          <w:sz w:val="21"/>
          <w:szCs w:val="21"/>
        </w:rPr>
        <w:t>solo</w:t>
      </w:r>
      <w:r w:rsidRPr="00650831">
        <w:rPr>
          <w:rFonts w:ascii="Abadi" w:hAnsi="Abadi"/>
          <w:b w:val="0"/>
          <w:spacing w:val="-16"/>
          <w:sz w:val="21"/>
          <w:szCs w:val="21"/>
        </w:rPr>
        <w:t xml:space="preserve"> </w:t>
      </w:r>
      <w:r w:rsidRPr="00650831">
        <w:rPr>
          <w:rFonts w:ascii="Abadi" w:hAnsi="Abadi"/>
          <w:b w:val="0"/>
          <w:sz w:val="21"/>
          <w:szCs w:val="21"/>
        </w:rPr>
        <w:t>en</w:t>
      </w:r>
      <w:r w:rsidRPr="00650831">
        <w:rPr>
          <w:rFonts w:ascii="Abadi" w:hAnsi="Abadi"/>
          <w:b w:val="0"/>
          <w:spacing w:val="-14"/>
          <w:sz w:val="21"/>
          <w:szCs w:val="21"/>
        </w:rPr>
        <w:t xml:space="preserve"> </w:t>
      </w:r>
      <w:r w:rsidRPr="00650831">
        <w:rPr>
          <w:rFonts w:ascii="Abadi" w:hAnsi="Abadi"/>
          <w:b w:val="0"/>
          <w:sz w:val="21"/>
          <w:szCs w:val="21"/>
        </w:rPr>
        <w:t>15 municipios del estado, los</w:t>
      </w:r>
      <w:r w:rsidRPr="00650831">
        <w:rPr>
          <w:rFonts w:ascii="Abadi" w:hAnsi="Abadi"/>
          <w:b w:val="0"/>
          <w:spacing w:val="-1"/>
          <w:sz w:val="21"/>
          <w:szCs w:val="21"/>
        </w:rPr>
        <w:t xml:space="preserve"> </w:t>
      </w:r>
      <w:r w:rsidRPr="00650831">
        <w:rPr>
          <w:rFonts w:ascii="Abadi" w:hAnsi="Abadi"/>
          <w:b w:val="0"/>
          <w:sz w:val="21"/>
          <w:szCs w:val="21"/>
        </w:rPr>
        <w:t xml:space="preserve">cuales son: Guanajuato, San Miguel de Allende, San José Iturbide, Celaya, </w:t>
      </w:r>
      <w:proofErr w:type="spellStart"/>
      <w:r w:rsidRPr="00650831">
        <w:rPr>
          <w:rFonts w:ascii="Abadi" w:hAnsi="Abadi"/>
          <w:b w:val="0"/>
          <w:sz w:val="21"/>
          <w:szCs w:val="21"/>
        </w:rPr>
        <w:t>Cortazar</w:t>
      </w:r>
      <w:proofErr w:type="spellEnd"/>
      <w:r w:rsidRPr="00650831">
        <w:rPr>
          <w:rFonts w:ascii="Abadi" w:hAnsi="Abadi"/>
          <w:b w:val="0"/>
          <w:sz w:val="21"/>
          <w:szCs w:val="21"/>
        </w:rPr>
        <w:t>, Acámbaro, Uriangato, Salamanca, Valle de Santiago, Moroleón, Irapuato, Pénjamo, León, San Luis de la Paz y Valle de Santiago.</w:t>
      </w:r>
      <w:r w:rsidRPr="00650831">
        <w:rPr>
          <w:rFonts w:ascii="Abadi" w:hAnsi="Abadi"/>
          <w:b w:val="0"/>
          <w:spacing w:val="-5"/>
          <w:sz w:val="21"/>
          <w:szCs w:val="21"/>
        </w:rPr>
        <w:t xml:space="preserve"> </w:t>
      </w:r>
      <w:r w:rsidRPr="00650831">
        <w:rPr>
          <w:rFonts w:ascii="Abadi" w:hAnsi="Abadi"/>
          <w:b w:val="0"/>
          <w:sz w:val="21"/>
          <w:szCs w:val="21"/>
        </w:rPr>
        <w:t>De</w:t>
      </w:r>
      <w:r w:rsidRPr="00650831">
        <w:rPr>
          <w:rFonts w:ascii="Abadi" w:hAnsi="Abadi"/>
          <w:b w:val="0"/>
          <w:spacing w:val="-8"/>
          <w:sz w:val="21"/>
          <w:szCs w:val="21"/>
        </w:rPr>
        <w:t xml:space="preserve"> </w:t>
      </w:r>
      <w:r w:rsidRPr="00650831">
        <w:rPr>
          <w:rFonts w:ascii="Abadi" w:hAnsi="Abadi"/>
          <w:b w:val="0"/>
          <w:sz w:val="21"/>
          <w:szCs w:val="21"/>
        </w:rPr>
        <w:t>estas</w:t>
      </w:r>
      <w:r w:rsidRPr="00650831">
        <w:rPr>
          <w:rFonts w:ascii="Abadi" w:hAnsi="Abadi"/>
          <w:b w:val="0"/>
          <w:spacing w:val="-10"/>
          <w:sz w:val="21"/>
          <w:szCs w:val="21"/>
        </w:rPr>
        <w:t xml:space="preserve"> </w:t>
      </w:r>
      <w:r w:rsidRPr="00650831">
        <w:rPr>
          <w:rFonts w:ascii="Abadi" w:hAnsi="Abadi"/>
          <w:b w:val="0"/>
          <w:sz w:val="21"/>
          <w:szCs w:val="21"/>
        </w:rPr>
        <w:t>visitas</w:t>
      </w:r>
      <w:r w:rsidRPr="00650831">
        <w:rPr>
          <w:rFonts w:ascii="Abadi" w:hAnsi="Abadi"/>
          <w:b w:val="0"/>
          <w:spacing w:val="-10"/>
          <w:sz w:val="21"/>
          <w:szCs w:val="21"/>
        </w:rPr>
        <w:t xml:space="preserve"> </w:t>
      </w:r>
      <w:r w:rsidRPr="00650831">
        <w:rPr>
          <w:rFonts w:ascii="Abadi" w:hAnsi="Abadi"/>
          <w:b w:val="0"/>
          <w:sz w:val="21"/>
          <w:szCs w:val="21"/>
        </w:rPr>
        <w:t>de</w:t>
      </w:r>
      <w:r w:rsidRPr="00650831">
        <w:rPr>
          <w:rFonts w:ascii="Abadi" w:hAnsi="Abadi"/>
          <w:b w:val="0"/>
          <w:spacing w:val="-8"/>
          <w:sz w:val="21"/>
          <w:szCs w:val="21"/>
        </w:rPr>
        <w:t xml:space="preserve"> </w:t>
      </w:r>
      <w:r w:rsidRPr="00650831">
        <w:rPr>
          <w:rFonts w:ascii="Abadi" w:hAnsi="Abadi"/>
          <w:b w:val="0"/>
          <w:sz w:val="21"/>
          <w:szCs w:val="21"/>
        </w:rPr>
        <w:t>verificación,</w:t>
      </w:r>
      <w:r w:rsidRPr="00650831">
        <w:rPr>
          <w:rFonts w:ascii="Abadi" w:hAnsi="Abadi"/>
          <w:b w:val="0"/>
          <w:spacing w:val="-6"/>
          <w:sz w:val="21"/>
          <w:szCs w:val="21"/>
        </w:rPr>
        <w:t xml:space="preserve"> </w:t>
      </w:r>
      <w:r w:rsidRPr="00650831">
        <w:rPr>
          <w:rFonts w:ascii="Abadi" w:hAnsi="Abadi"/>
          <w:b w:val="0"/>
          <w:sz w:val="21"/>
          <w:szCs w:val="21"/>
        </w:rPr>
        <w:t>se</w:t>
      </w:r>
      <w:r w:rsidRPr="00650831">
        <w:rPr>
          <w:rFonts w:ascii="Abadi" w:hAnsi="Abadi"/>
          <w:b w:val="0"/>
          <w:spacing w:val="-3"/>
          <w:sz w:val="21"/>
          <w:szCs w:val="21"/>
        </w:rPr>
        <w:t xml:space="preserve"> </w:t>
      </w:r>
      <w:r w:rsidRPr="00650831">
        <w:rPr>
          <w:rFonts w:ascii="Abadi" w:hAnsi="Abadi"/>
          <w:b w:val="0"/>
          <w:sz w:val="21"/>
          <w:szCs w:val="21"/>
        </w:rPr>
        <w:t>dieron</w:t>
      </w:r>
      <w:r w:rsidRPr="00650831">
        <w:rPr>
          <w:rFonts w:ascii="Abadi" w:hAnsi="Abadi"/>
          <w:b w:val="0"/>
          <w:spacing w:val="-10"/>
          <w:sz w:val="21"/>
          <w:szCs w:val="21"/>
        </w:rPr>
        <w:t xml:space="preserve"> </w:t>
      </w:r>
      <w:r w:rsidRPr="00650831">
        <w:rPr>
          <w:rFonts w:ascii="Abadi" w:hAnsi="Abadi"/>
          <w:b w:val="0"/>
          <w:sz w:val="21"/>
          <w:szCs w:val="21"/>
        </w:rPr>
        <w:t>un</w:t>
      </w:r>
      <w:r w:rsidRPr="00650831">
        <w:rPr>
          <w:rFonts w:ascii="Abadi" w:hAnsi="Abadi"/>
          <w:b w:val="0"/>
          <w:spacing w:val="-5"/>
          <w:sz w:val="21"/>
          <w:szCs w:val="21"/>
        </w:rPr>
        <w:t xml:space="preserve"> </w:t>
      </w:r>
      <w:r w:rsidRPr="00650831">
        <w:rPr>
          <w:rFonts w:ascii="Abadi" w:hAnsi="Abadi"/>
          <w:b w:val="0"/>
          <w:sz w:val="21"/>
          <w:szCs w:val="21"/>
        </w:rPr>
        <w:t>total</w:t>
      </w:r>
      <w:r w:rsidRPr="00650831">
        <w:rPr>
          <w:rFonts w:ascii="Abadi" w:hAnsi="Abadi"/>
          <w:b w:val="0"/>
          <w:spacing w:val="-8"/>
          <w:sz w:val="21"/>
          <w:szCs w:val="21"/>
        </w:rPr>
        <w:t xml:space="preserve"> </w:t>
      </w:r>
      <w:r w:rsidRPr="00650831">
        <w:rPr>
          <w:rFonts w:ascii="Abadi" w:hAnsi="Abadi"/>
          <w:b w:val="0"/>
          <w:sz w:val="21"/>
          <w:szCs w:val="21"/>
        </w:rPr>
        <w:t>de</w:t>
      </w:r>
      <w:r w:rsidRPr="00650831">
        <w:rPr>
          <w:rFonts w:ascii="Abadi" w:hAnsi="Abadi"/>
          <w:b w:val="0"/>
          <w:spacing w:val="-4"/>
          <w:sz w:val="21"/>
          <w:szCs w:val="21"/>
        </w:rPr>
        <w:t xml:space="preserve"> </w:t>
      </w:r>
      <w:r w:rsidRPr="00650831">
        <w:rPr>
          <w:rFonts w:ascii="Abadi" w:hAnsi="Abadi"/>
          <w:b w:val="0"/>
          <w:sz w:val="21"/>
          <w:szCs w:val="21"/>
        </w:rPr>
        <w:t>34</w:t>
      </w:r>
      <w:r w:rsidRPr="00650831">
        <w:rPr>
          <w:rFonts w:ascii="Abadi" w:hAnsi="Abadi"/>
          <w:b w:val="0"/>
          <w:spacing w:val="-6"/>
          <w:sz w:val="21"/>
          <w:szCs w:val="21"/>
        </w:rPr>
        <w:t xml:space="preserve"> </w:t>
      </w:r>
      <w:r w:rsidRPr="00650831">
        <w:rPr>
          <w:rFonts w:ascii="Abadi" w:hAnsi="Abadi"/>
          <w:b w:val="0"/>
          <w:sz w:val="21"/>
          <w:szCs w:val="21"/>
        </w:rPr>
        <w:t>suspensiones a establecimientos.</w:t>
      </w:r>
    </w:p>
    <w:p w14:paraId="5372B303" w14:textId="77777777" w:rsidR="00D1398C" w:rsidRPr="00650831" w:rsidRDefault="00D1398C" w:rsidP="00D1398C">
      <w:pPr>
        <w:pStyle w:val="Textoindependiente"/>
        <w:ind w:left="1179" w:right="1186" w:firstLine="710"/>
        <w:rPr>
          <w:rFonts w:ascii="Abadi" w:hAnsi="Abadi"/>
          <w:sz w:val="21"/>
          <w:szCs w:val="21"/>
        </w:rPr>
      </w:pPr>
    </w:p>
    <w:p w14:paraId="724A5AD2" w14:textId="77777777" w:rsidR="00D1398C" w:rsidRDefault="00D1398C" w:rsidP="00D1398C">
      <w:pPr>
        <w:pStyle w:val="Textoindependiente"/>
        <w:ind w:firstLine="710"/>
        <w:rPr>
          <w:rFonts w:ascii="Abadi" w:hAnsi="Abadi"/>
          <w:spacing w:val="-2"/>
          <w:sz w:val="21"/>
          <w:szCs w:val="21"/>
        </w:rPr>
      </w:pPr>
      <w:r w:rsidRPr="00650831">
        <w:rPr>
          <w:rFonts w:ascii="Abadi" w:hAnsi="Abadi"/>
          <w:b w:val="0"/>
          <w:sz w:val="21"/>
          <w:szCs w:val="21"/>
        </w:rPr>
        <w:t>A</w:t>
      </w:r>
      <w:r w:rsidRPr="00650831">
        <w:rPr>
          <w:rFonts w:ascii="Abadi" w:hAnsi="Abadi"/>
          <w:b w:val="0"/>
          <w:spacing w:val="-3"/>
          <w:sz w:val="21"/>
          <w:szCs w:val="21"/>
        </w:rPr>
        <w:t xml:space="preserve"> </w:t>
      </w:r>
      <w:r w:rsidRPr="00650831">
        <w:rPr>
          <w:rFonts w:ascii="Abadi" w:hAnsi="Abadi"/>
          <w:b w:val="0"/>
          <w:sz w:val="21"/>
          <w:szCs w:val="21"/>
        </w:rPr>
        <w:t>su</w:t>
      </w:r>
      <w:r w:rsidRPr="00650831">
        <w:rPr>
          <w:rFonts w:ascii="Abadi" w:hAnsi="Abadi"/>
          <w:b w:val="0"/>
          <w:spacing w:val="-4"/>
          <w:sz w:val="21"/>
          <w:szCs w:val="21"/>
        </w:rPr>
        <w:t xml:space="preserve"> </w:t>
      </w:r>
      <w:r w:rsidRPr="00650831">
        <w:rPr>
          <w:rFonts w:ascii="Abadi" w:hAnsi="Abadi"/>
          <w:b w:val="0"/>
          <w:sz w:val="21"/>
          <w:szCs w:val="21"/>
        </w:rPr>
        <w:t>vez,</w:t>
      </w:r>
      <w:r w:rsidRPr="00650831">
        <w:rPr>
          <w:rFonts w:ascii="Abadi" w:hAnsi="Abadi"/>
          <w:b w:val="0"/>
          <w:spacing w:val="-4"/>
          <w:sz w:val="21"/>
          <w:szCs w:val="21"/>
        </w:rPr>
        <w:t xml:space="preserve"> </w:t>
      </w:r>
      <w:r w:rsidRPr="00650831">
        <w:rPr>
          <w:rFonts w:ascii="Abadi" w:hAnsi="Abadi"/>
          <w:b w:val="0"/>
          <w:sz w:val="21"/>
          <w:szCs w:val="21"/>
        </w:rPr>
        <w:t>la</w:t>
      </w:r>
      <w:r w:rsidRPr="00650831">
        <w:rPr>
          <w:rFonts w:ascii="Abadi" w:hAnsi="Abadi"/>
          <w:b w:val="0"/>
          <w:spacing w:val="-5"/>
          <w:sz w:val="21"/>
          <w:szCs w:val="21"/>
        </w:rPr>
        <w:t xml:space="preserve"> </w:t>
      </w:r>
      <w:r w:rsidRPr="00650831">
        <w:rPr>
          <w:rFonts w:ascii="Abadi" w:hAnsi="Abadi"/>
          <w:b w:val="0"/>
          <w:sz w:val="21"/>
          <w:szCs w:val="21"/>
        </w:rPr>
        <w:t>Secretaría</w:t>
      </w:r>
      <w:r w:rsidRPr="00650831">
        <w:rPr>
          <w:rFonts w:ascii="Abadi" w:hAnsi="Abadi"/>
          <w:b w:val="0"/>
          <w:spacing w:val="-5"/>
          <w:sz w:val="21"/>
          <w:szCs w:val="21"/>
        </w:rPr>
        <w:t xml:space="preserve"> </w:t>
      </w:r>
      <w:r w:rsidRPr="00650831">
        <w:rPr>
          <w:rFonts w:ascii="Abadi" w:hAnsi="Abadi"/>
          <w:b w:val="0"/>
          <w:sz w:val="21"/>
          <w:szCs w:val="21"/>
        </w:rPr>
        <w:t>de</w:t>
      </w:r>
      <w:r w:rsidRPr="00650831">
        <w:rPr>
          <w:rFonts w:ascii="Abadi" w:hAnsi="Abadi"/>
          <w:b w:val="0"/>
          <w:spacing w:val="-3"/>
          <w:sz w:val="21"/>
          <w:szCs w:val="21"/>
        </w:rPr>
        <w:t xml:space="preserve"> </w:t>
      </w:r>
      <w:r w:rsidRPr="00650831">
        <w:rPr>
          <w:rFonts w:ascii="Abadi" w:hAnsi="Abadi"/>
          <w:b w:val="0"/>
          <w:sz w:val="21"/>
          <w:szCs w:val="21"/>
        </w:rPr>
        <w:t>Salud</w:t>
      </w:r>
      <w:r w:rsidRPr="00650831">
        <w:rPr>
          <w:rFonts w:ascii="Abadi" w:hAnsi="Abadi"/>
          <w:b w:val="0"/>
          <w:spacing w:val="-6"/>
          <w:sz w:val="21"/>
          <w:szCs w:val="21"/>
        </w:rPr>
        <w:t xml:space="preserve"> </w:t>
      </w:r>
      <w:r w:rsidRPr="00650831">
        <w:rPr>
          <w:rFonts w:ascii="Abadi" w:hAnsi="Abadi"/>
          <w:b w:val="0"/>
          <w:sz w:val="21"/>
          <w:szCs w:val="21"/>
        </w:rPr>
        <w:t>reporta</w:t>
      </w:r>
      <w:r w:rsidRPr="00650831">
        <w:rPr>
          <w:rFonts w:ascii="Abadi" w:hAnsi="Abadi"/>
          <w:b w:val="0"/>
          <w:spacing w:val="-6"/>
          <w:sz w:val="21"/>
          <w:szCs w:val="21"/>
        </w:rPr>
        <w:t xml:space="preserve"> </w:t>
      </w:r>
      <w:r w:rsidRPr="00650831">
        <w:rPr>
          <w:rFonts w:ascii="Abadi" w:hAnsi="Abadi"/>
          <w:b w:val="0"/>
          <w:sz w:val="21"/>
          <w:szCs w:val="21"/>
        </w:rPr>
        <w:t>que se</w:t>
      </w:r>
      <w:r w:rsidRPr="00650831">
        <w:rPr>
          <w:rFonts w:ascii="Abadi" w:hAnsi="Abadi"/>
          <w:b w:val="0"/>
          <w:spacing w:val="-3"/>
          <w:sz w:val="21"/>
          <w:szCs w:val="21"/>
        </w:rPr>
        <w:t xml:space="preserve"> </w:t>
      </w:r>
      <w:r w:rsidRPr="00650831">
        <w:rPr>
          <w:rFonts w:ascii="Abadi" w:hAnsi="Abadi"/>
          <w:b w:val="0"/>
          <w:sz w:val="21"/>
          <w:szCs w:val="21"/>
        </w:rPr>
        <w:t>han</w:t>
      </w:r>
      <w:r w:rsidRPr="00650831">
        <w:rPr>
          <w:rFonts w:ascii="Abadi" w:hAnsi="Abadi"/>
          <w:b w:val="0"/>
          <w:spacing w:val="-4"/>
          <w:sz w:val="21"/>
          <w:szCs w:val="21"/>
        </w:rPr>
        <w:t xml:space="preserve"> </w:t>
      </w:r>
      <w:r w:rsidRPr="00650831">
        <w:rPr>
          <w:rFonts w:ascii="Abadi" w:hAnsi="Abadi"/>
          <w:b w:val="0"/>
          <w:sz w:val="21"/>
          <w:szCs w:val="21"/>
        </w:rPr>
        <w:t>realizado acciones</w:t>
      </w:r>
      <w:r w:rsidRPr="00650831">
        <w:rPr>
          <w:rFonts w:ascii="Abadi" w:hAnsi="Abadi"/>
          <w:b w:val="0"/>
          <w:spacing w:val="-6"/>
          <w:sz w:val="21"/>
          <w:szCs w:val="21"/>
        </w:rPr>
        <w:t xml:space="preserve"> </w:t>
      </w:r>
      <w:r w:rsidRPr="00650831">
        <w:rPr>
          <w:rFonts w:ascii="Abadi" w:hAnsi="Abadi"/>
          <w:b w:val="0"/>
          <w:sz w:val="21"/>
          <w:szCs w:val="21"/>
        </w:rPr>
        <w:t>de diagnóstico, campañas informativas</w:t>
      </w:r>
      <w:r w:rsidRPr="00650831">
        <w:rPr>
          <w:rFonts w:ascii="Abadi" w:hAnsi="Abadi"/>
          <w:b w:val="0"/>
          <w:spacing w:val="-4"/>
          <w:sz w:val="21"/>
          <w:szCs w:val="21"/>
        </w:rPr>
        <w:t xml:space="preserve"> </w:t>
      </w:r>
      <w:r w:rsidRPr="00650831">
        <w:rPr>
          <w:rFonts w:ascii="Abadi" w:hAnsi="Abadi"/>
          <w:b w:val="0"/>
          <w:sz w:val="21"/>
          <w:szCs w:val="21"/>
        </w:rPr>
        <w:t>y de</w:t>
      </w:r>
      <w:r w:rsidRPr="00650831">
        <w:rPr>
          <w:rFonts w:ascii="Abadi" w:hAnsi="Abadi"/>
          <w:b w:val="0"/>
          <w:spacing w:val="-2"/>
          <w:sz w:val="21"/>
          <w:szCs w:val="21"/>
        </w:rPr>
        <w:t xml:space="preserve"> </w:t>
      </w:r>
      <w:r w:rsidRPr="00650831">
        <w:rPr>
          <w:rFonts w:ascii="Abadi" w:hAnsi="Abadi"/>
          <w:b w:val="0"/>
          <w:sz w:val="21"/>
          <w:szCs w:val="21"/>
        </w:rPr>
        <w:t>sensibilización,</w:t>
      </w:r>
      <w:r w:rsidRPr="00650831">
        <w:rPr>
          <w:rFonts w:ascii="Abadi" w:hAnsi="Abadi"/>
          <w:b w:val="0"/>
          <w:spacing w:val="-4"/>
          <w:sz w:val="21"/>
          <w:szCs w:val="21"/>
        </w:rPr>
        <w:t xml:space="preserve"> </w:t>
      </w:r>
      <w:r w:rsidRPr="00650831">
        <w:rPr>
          <w:rFonts w:ascii="Abadi" w:hAnsi="Abadi"/>
          <w:b w:val="0"/>
          <w:sz w:val="21"/>
          <w:szCs w:val="21"/>
        </w:rPr>
        <w:t>talleres, emisiones de alertas</w:t>
      </w:r>
      <w:r w:rsidRPr="00650831">
        <w:rPr>
          <w:rFonts w:ascii="Abadi" w:hAnsi="Abadi"/>
          <w:b w:val="0"/>
          <w:spacing w:val="-7"/>
          <w:sz w:val="21"/>
          <w:szCs w:val="21"/>
        </w:rPr>
        <w:t xml:space="preserve"> </w:t>
      </w:r>
      <w:r w:rsidRPr="00650831">
        <w:rPr>
          <w:rFonts w:ascii="Abadi" w:hAnsi="Abadi"/>
          <w:b w:val="0"/>
          <w:sz w:val="21"/>
          <w:szCs w:val="21"/>
        </w:rPr>
        <w:t>sanitarias,</w:t>
      </w:r>
      <w:r w:rsidRPr="00650831">
        <w:rPr>
          <w:rFonts w:ascii="Abadi" w:hAnsi="Abadi"/>
          <w:b w:val="0"/>
          <w:spacing w:val="-6"/>
          <w:sz w:val="21"/>
          <w:szCs w:val="21"/>
        </w:rPr>
        <w:t xml:space="preserve"> </w:t>
      </w:r>
      <w:r w:rsidRPr="00650831">
        <w:rPr>
          <w:rFonts w:ascii="Abadi" w:hAnsi="Abadi"/>
          <w:b w:val="0"/>
          <w:sz w:val="21"/>
          <w:szCs w:val="21"/>
        </w:rPr>
        <w:t>y</w:t>
      </w:r>
      <w:r w:rsidRPr="00650831">
        <w:rPr>
          <w:rFonts w:ascii="Abadi" w:hAnsi="Abadi"/>
          <w:b w:val="0"/>
          <w:spacing w:val="-3"/>
          <w:sz w:val="21"/>
          <w:szCs w:val="21"/>
        </w:rPr>
        <w:t xml:space="preserve"> </w:t>
      </w:r>
      <w:r w:rsidRPr="00650831">
        <w:rPr>
          <w:rFonts w:ascii="Abadi" w:hAnsi="Abadi"/>
          <w:b w:val="0"/>
          <w:sz w:val="21"/>
          <w:szCs w:val="21"/>
        </w:rPr>
        <w:t>la</w:t>
      </w:r>
      <w:r w:rsidRPr="00650831">
        <w:rPr>
          <w:rFonts w:ascii="Abadi" w:hAnsi="Abadi"/>
          <w:b w:val="0"/>
          <w:spacing w:val="-6"/>
          <w:sz w:val="21"/>
          <w:szCs w:val="21"/>
        </w:rPr>
        <w:t xml:space="preserve"> </w:t>
      </w:r>
      <w:r w:rsidRPr="00650831">
        <w:rPr>
          <w:rFonts w:ascii="Abadi" w:hAnsi="Abadi"/>
          <w:b w:val="0"/>
          <w:sz w:val="21"/>
          <w:szCs w:val="21"/>
        </w:rPr>
        <w:t>persecución</w:t>
      </w:r>
      <w:r w:rsidRPr="00650831">
        <w:rPr>
          <w:rFonts w:ascii="Abadi" w:hAnsi="Abadi"/>
          <w:b w:val="0"/>
          <w:spacing w:val="-5"/>
          <w:sz w:val="21"/>
          <w:szCs w:val="21"/>
        </w:rPr>
        <w:t xml:space="preserve"> </w:t>
      </w:r>
      <w:r w:rsidRPr="00650831">
        <w:rPr>
          <w:rFonts w:ascii="Abadi" w:hAnsi="Abadi"/>
          <w:b w:val="0"/>
          <w:sz w:val="21"/>
          <w:szCs w:val="21"/>
        </w:rPr>
        <w:t>de</w:t>
      </w:r>
      <w:r w:rsidRPr="00650831">
        <w:rPr>
          <w:rFonts w:ascii="Abadi" w:hAnsi="Abadi"/>
          <w:b w:val="0"/>
          <w:spacing w:val="-4"/>
          <w:sz w:val="21"/>
          <w:szCs w:val="21"/>
        </w:rPr>
        <w:t xml:space="preserve"> </w:t>
      </w:r>
      <w:r w:rsidRPr="00650831">
        <w:rPr>
          <w:rFonts w:ascii="Abadi" w:hAnsi="Abadi"/>
          <w:b w:val="0"/>
          <w:sz w:val="21"/>
          <w:szCs w:val="21"/>
        </w:rPr>
        <w:t>la</w:t>
      </w:r>
      <w:r w:rsidRPr="00650831">
        <w:rPr>
          <w:rFonts w:ascii="Abadi" w:hAnsi="Abadi"/>
          <w:b w:val="0"/>
          <w:spacing w:val="-1"/>
          <w:sz w:val="21"/>
          <w:szCs w:val="21"/>
        </w:rPr>
        <w:t xml:space="preserve"> </w:t>
      </w:r>
      <w:r w:rsidRPr="00650831">
        <w:rPr>
          <w:rFonts w:ascii="Abadi" w:hAnsi="Abadi"/>
          <w:b w:val="0"/>
          <w:sz w:val="21"/>
          <w:szCs w:val="21"/>
        </w:rPr>
        <w:t>Ley</w:t>
      </w:r>
      <w:r w:rsidRPr="00650831">
        <w:rPr>
          <w:rFonts w:ascii="Abadi" w:hAnsi="Abadi"/>
          <w:b w:val="0"/>
          <w:spacing w:val="-3"/>
          <w:sz w:val="21"/>
          <w:szCs w:val="21"/>
        </w:rPr>
        <w:t xml:space="preserve"> </w:t>
      </w:r>
      <w:r w:rsidRPr="00650831">
        <w:rPr>
          <w:rFonts w:ascii="Abadi" w:hAnsi="Abadi"/>
          <w:b w:val="0"/>
          <w:sz w:val="21"/>
          <w:szCs w:val="21"/>
        </w:rPr>
        <w:t>General</w:t>
      </w:r>
      <w:r w:rsidRPr="00650831">
        <w:rPr>
          <w:rFonts w:ascii="Abadi" w:hAnsi="Abadi"/>
          <w:b w:val="0"/>
          <w:spacing w:val="-4"/>
          <w:sz w:val="21"/>
          <w:szCs w:val="21"/>
        </w:rPr>
        <w:t xml:space="preserve"> </w:t>
      </w:r>
      <w:r w:rsidRPr="00650831">
        <w:rPr>
          <w:rFonts w:ascii="Abadi" w:hAnsi="Abadi"/>
          <w:b w:val="0"/>
          <w:sz w:val="21"/>
          <w:szCs w:val="21"/>
        </w:rPr>
        <w:t>para</w:t>
      </w:r>
      <w:r w:rsidRPr="00650831">
        <w:rPr>
          <w:rFonts w:ascii="Abadi" w:hAnsi="Abadi"/>
          <w:b w:val="0"/>
          <w:spacing w:val="-6"/>
          <w:sz w:val="21"/>
          <w:szCs w:val="21"/>
        </w:rPr>
        <w:t xml:space="preserve"> </w:t>
      </w:r>
      <w:r w:rsidRPr="00650831">
        <w:rPr>
          <w:rFonts w:ascii="Abadi" w:hAnsi="Abadi"/>
          <w:b w:val="0"/>
          <w:sz w:val="21"/>
          <w:szCs w:val="21"/>
        </w:rPr>
        <w:t>el</w:t>
      </w:r>
      <w:r w:rsidRPr="00650831">
        <w:rPr>
          <w:rFonts w:ascii="Abadi" w:hAnsi="Abadi"/>
          <w:b w:val="0"/>
          <w:spacing w:val="-4"/>
          <w:sz w:val="21"/>
          <w:szCs w:val="21"/>
        </w:rPr>
        <w:t xml:space="preserve"> </w:t>
      </w:r>
      <w:r w:rsidRPr="00650831">
        <w:rPr>
          <w:rFonts w:ascii="Abadi" w:hAnsi="Abadi"/>
          <w:b w:val="0"/>
          <w:sz w:val="21"/>
          <w:szCs w:val="21"/>
        </w:rPr>
        <w:t>Control</w:t>
      </w:r>
      <w:r w:rsidRPr="00650831">
        <w:rPr>
          <w:rFonts w:ascii="Abadi" w:hAnsi="Abadi"/>
          <w:b w:val="0"/>
          <w:spacing w:val="-4"/>
          <w:sz w:val="21"/>
          <w:szCs w:val="21"/>
        </w:rPr>
        <w:t xml:space="preserve"> </w:t>
      </w:r>
      <w:r w:rsidRPr="00650831">
        <w:rPr>
          <w:rFonts w:ascii="Abadi" w:hAnsi="Abadi"/>
          <w:b w:val="0"/>
          <w:sz w:val="21"/>
          <w:szCs w:val="21"/>
        </w:rPr>
        <w:t>del</w:t>
      </w:r>
      <w:r w:rsidRPr="00650831">
        <w:rPr>
          <w:rFonts w:ascii="Abadi" w:hAnsi="Abadi"/>
          <w:b w:val="0"/>
          <w:spacing w:val="-4"/>
          <w:sz w:val="21"/>
          <w:szCs w:val="21"/>
        </w:rPr>
        <w:t xml:space="preserve"> </w:t>
      </w:r>
      <w:r w:rsidRPr="00650831">
        <w:rPr>
          <w:rFonts w:ascii="Abadi" w:hAnsi="Abadi"/>
          <w:b w:val="0"/>
          <w:sz w:val="21"/>
          <w:szCs w:val="21"/>
        </w:rPr>
        <w:t xml:space="preserve">Tabaco para el reconocimiento obligado de “Espacios 100% Libres de Tabaco y </w:t>
      </w:r>
      <w:r w:rsidRPr="00650831">
        <w:rPr>
          <w:rFonts w:ascii="Abadi" w:hAnsi="Abadi"/>
          <w:b w:val="0"/>
          <w:spacing w:val="-2"/>
          <w:sz w:val="21"/>
          <w:szCs w:val="21"/>
        </w:rPr>
        <w:t>Emisiones”.</w:t>
      </w:r>
    </w:p>
    <w:p w14:paraId="298B173D" w14:textId="77777777" w:rsidR="00D1398C" w:rsidRPr="00650831" w:rsidRDefault="00D1398C" w:rsidP="00D1398C">
      <w:pPr>
        <w:pStyle w:val="Textoindependiente"/>
        <w:ind w:left="1179" w:right="1186" w:firstLine="710"/>
        <w:rPr>
          <w:rFonts w:ascii="Abadi" w:hAnsi="Abadi"/>
          <w:sz w:val="21"/>
          <w:szCs w:val="21"/>
        </w:rPr>
      </w:pPr>
    </w:p>
    <w:p w14:paraId="10B1659A" w14:textId="77777777" w:rsidR="00B60E59" w:rsidRDefault="00D1398C" w:rsidP="006D1C2E">
      <w:pPr>
        <w:pStyle w:val="Textoindependiente"/>
        <w:rPr>
          <w:rFonts w:ascii="Abadi" w:hAnsi="Abadi"/>
          <w:sz w:val="21"/>
          <w:szCs w:val="21"/>
        </w:rPr>
      </w:pPr>
      <w:r w:rsidRPr="00650831">
        <w:rPr>
          <w:rFonts w:ascii="Abadi" w:hAnsi="Abadi"/>
          <w:b w:val="0"/>
          <w:sz w:val="21"/>
          <w:szCs w:val="21"/>
        </w:rPr>
        <w:t>Si bien, en algunos municipios, la dirección de fiscalización ha realizado acciones para el decomiso de máquinas expendedoras e inspecciones a comercios de venta de vapeadores, en su mayoría no se han implementado acciones</w:t>
      </w:r>
      <w:r w:rsidRPr="00650831">
        <w:rPr>
          <w:rFonts w:ascii="Abadi" w:hAnsi="Abadi"/>
          <w:b w:val="0"/>
          <w:spacing w:val="39"/>
          <w:sz w:val="21"/>
          <w:szCs w:val="21"/>
        </w:rPr>
        <w:t xml:space="preserve"> </w:t>
      </w:r>
      <w:r w:rsidRPr="00650831">
        <w:rPr>
          <w:rFonts w:ascii="Abadi" w:hAnsi="Abadi"/>
          <w:b w:val="0"/>
          <w:sz w:val="21"/>
          <w:szCs w:val="21"/>
        </w:rPr>
        <w:t>eficientes</w:t>
      </w:r>
      <w:r w:rsidRPr="00650831">
        <w:rPr>
          <w:rFonts w:ascii="Abadi" w:hAnsi="Abadi"/>
          <w:b w:val="0"/>
          <w:spacing w:val="39"/>
          <w:sz w:val="21"/>
          <w:szCs w:val="21"/>
        </w:rPr>
        <w:t xml:space="preserve"> </w:t>
      </w:r>
      <w:r w:rsidRPr="00650831">
        <w:rPr>
          <w:rFonts w:ascii="Abadi" w:hAnsi="Abadi"/>
          <w:b w:val="0"/>
          <w:sz w:val="21"/>
          <w:szCs w:val="21"/>
        </w:rPr>
        <w:t>para</w:t>
      </w:r>
      <w:r w:rsidRPr="00650831">
        <w:rPr>
          <w:rFonts w:ascii="Abadi" w:hAnsi="Abadi"/>
          <w:b w:val="0"/>
          <w:spacing w:val="40"/>
          <w:sz w:val="21"/>
          <w:szCs w:val="21"/>
        </w:rPr>
        <w:t xml:space="preserve"> </w:t>
      </w:r>
      <w:r w:rsidRPr="00650831">
        <w:rPr>
          <w:rFonts w:ascii="Abadi" w:hAnsi="Abadi"/>
          <w:b w:val="0"/>
          <w:sz w:val="21"/>
          <w:szCs w:val="21"/>
        </w:rPr>
        <w:t>erradicar</w:t>
      </w:r>
      <w:r w:rsidRPr="00650831">
        <w:rPr>
          <w:rFonts w:ascii="Abadi" w:hAnsi="Abadi"/>
          <w:b w:val="0"/>
          <w:spacing w:val="41"/>
          <w:sz w:val="21"/>
          <w:szCs w:val="21"/>
        </w:rPr>
        <w:t xml:space="preserve"> </w:t>
      </w:r>
      <w:r w:rsidRPr="00650831">
        <w:rPr>
          <w:rFonts w:ascii="Abadi" w:hAnsi="Abadi"/>
          <w:b w:val="0"/>
          <w:sz w:val="21"/>
          <w:szCs w:val="21"/>
        </w:rPr>
        <w:t>la</w:t>
      </w:r>
      <w:r w:rsidRPr="00650831">
        <w:rPr>
          <w:rFonts w:ascii="Abadi" w:hAnsi="Abadi"/>
          <w:b w:val="0"/>
          <w:spacing w:val="40"/>
          <w:sz w:val="21"/>
          <w:szCs w:val="21"/>
        </w:rPr>
        <w:t xml:space="preserve"> </w:t>
      </w:r>
      <w:r w:rsidRPr="00650831">
        <w:rPr>
          <w:rFonts w:ascii="Abadi" w:hAnsi="Abadi"/>
          <w:b w:val="0"/>
          <w:sz w:val="21"/>
          <w:szCs w:val="21"/>
        </w:rPr>
        <w:t>venta</w:t>
      </w:r>
      <w:r w:rsidRPr="00650831">
        <w:rPr>
          <w:rFonts w:ascii="Abadi" w:hAnsi="Abadi"/>
          <w:b w:val="0"/>
          <w:spacing w:val="39"/>
          <w:sz w:val="21"/>
          <w:szCs w:val="21"/>
        </w:rPr>
        <w:t xml:space="preserve"> </w:t>
      </w:r>
      <w:r w:rsidRPr="00650831">
        <w:rPr>
          <w:rFonts w:ascii="Abadi" w:hAnsi="Abadi"/>
          <w:b w:val="0"/>
          <w:sz w:val="21"/>
          <w:szCs w:val="21"/>
        </w:rPr>
        <w:t>y</w:t>
      </w:r>
      <w:r w:rsidRPr="00650831">
        <w:rPr>
          <w:rFonts w:ascii="Abadi" w:hAnsi="Abadi"/>
          <w:b w:val="0"/>
          <w:spacing w:val="42"/>
          <w:sz w:val="21"/>
          <w:szCs w:val="21"/>
        </w:rPr>
        <w:t xml:space="preserve"> </w:t>
      </w:r>
      <w:r w:rsidRPr="00650831">
        <w:rPr>
          <w:rFonts w:ascii="Abadi" w:hAnsi="Abadi"/>
          <w:b w:val="0"/>
          <w:sz w:val="21"/>
          <w:szCs w:val="21"/>
        </w:rPr>
        <w:t>consumo,</w:t>
      </w:r>
      <w:r w:rsidRPr="00650831">
        <w:rPr>
          <w:rFonts w:ascii="Abadi" w:hAnsi="Abadi"/>
          <w:b w:val="0"/>
          <w:spacing w:val="41"/>
          <w:sz w:val="21"/>
          <w:szCs w:val="21"/>
        </w:rPr>
        <w:t xml:space="preserve"> </w:t>
      </w:r>
      <w:r w:rsidRPr="00650831">
        <w:rPr>
          <w:rFonts w:ascii="Abadi" w:hAnsi="Abadi"/>
          <w:b w:val="0"/>
          <w:sz w:val="21"/>
          <w:szCs w:val="21"/>
        </w:rPr>
        <w:t>ya</w:t>
      </w:r>
      <w:r w:rsidRPr="00650831">
        <w:rPr>
          <w:rFonts w:ascii="Abadi" w:hAnsi="Abadi"/>
          <w:b w:val="0"/>
          <w:spacing w:val="40"/>
          <w:sz w:val="21"/>
          <w:szCs w:val="21"/>
        </w:rPr>
        <w:t xml:space="preserve"> </w:t>
      </w:r>
      <w:r w:rsidRPr="00650831">
        <w:rPr>
          <w:rFonts w:ascii="Abadi" w:hAnsi="Abadi"/>
          <w:b w:val="0"/>
          <w:sz w:val="21"/>
          <w:szCs w:val="21"/>
        </w:rPr>
        <w:t>que</w:t>
      </w:r>
      <w:r w:rsidRPr="00650831">
        <w:rPr>
          <w:rFonts w:ascii="Abadi" w:hAnsi="Abadi"/>
          <w:b w:val="0"/>
          <w:spacing w:val="41"/>
          <w:sz w:val="21"/>
          <w:szCs w:val="21"/>
        </w:rPr>
        <w:t xml:space="preserve"> </w:t>
      </w:r>
      <w:r w:rsidRPr="00650831">
        <w:rPr>
          <w:rFonts w:ascii="Abadi" w:hAnsi="Abadi"/>
          <w:b w:val="0"/>
          <w:sz w:val="21"/>
          <w:szCs w:val="21"/>
        </w:rPr>
        <w:t>estos</w:t>
      </w:r>
      <w:r w:rsidRPr="00650831">
        <w:rPr>
          <w:rFonts w:ascii="Abadi" w:hAnsi="Abadi"/>
          <w:b w:val="0"/>
          <w:spacing w:val="39"/>
          <w:sz w:val="21"/>
          <w:szCs w:val="21"/>
        </w:rPr>
        <w:t xml:space="preserve"> </w:t>
      </w:r>
      <w:r w:rsidRPr="00650831">
        <w:rPr>
          <w:rFonts w:ascii="Abadi" w:hAnsi="Abadi"/>
          <w:b w:val="0"/>
          <w:spacing w:val="-2"/>
          <w:sz w:val="21"/>
          <w:szCs w:val="21"/>
        </w:rPr>
        <w:t>siguen</w:t>
      </w:r>
      <w:r w:rsidR="00B60E59">
        <w:rPr>
          <w:rFonts w:ascii="Abadi" w:hAnsi="Abadi"/>
          <w:b w:val="0"/>
          <w:spacing w:val="-2"/>
          <w:sz w:val="21"/>
          <w:szCs w:val="21"/>
        </w:rPr>
        <w:t xml:space="preserve"> </w:t>
      </w:r>
      <w:r w:rsidR="00B60E59" w:rsidRPr="00650831">
        <w:rPr>
          <w:rFonts w:ascii="Abadi" w:hAnsi="Abadi"/>
          <w:b w:val="0"/>
          <w:sz w:val="21"/>
          <w:szCs w:val="21"/>
        </w:rPr>
        <w:t>comercializándose en distintos lugares como antros, plazas comerciales, restaurantes,</w:t>
      </w:r>
      <w:r w:rsidR="00B60E59" w:rsidRPr="00650831">
        <w:rPr>
          <w:rFonts w:ascii="Abadi" w:hAnsi="Abadi"/>
          <w:b w:val="0"/>
          <w:spacing w:val="-2"/>
          <w:sz w:val="21"/>
          <w:szCs w:val="21"/>
        </w:rPr>
        <w:t xml:space="preserve"> </w:t>
      </w:r>
      <w:r w:rsidR="00B60E59" w:rsidRPr="00650831">
        <w:rPr>
          <w:rFonts w:ascii="Abadi" w:hAnsi="Abadi"/>
          <w:b w:val="0"/>
          <w:sz w:val="21"/>
          <w:szCs w:val="21"/>
        </w:rPr>
        <w:t>abarroteras</w:t>
      </w:r>
      <w:r w:rsidR="00B60E59" w:rsidRPr="00650831">
        <w:rPr>
          <w:rFonts w:ascii="Abadi" w:hAnsi="Abadi"/>
          <w:b w:val="0"/>
          <w:spacing w:val="-3"/>
          <w:sz w:val="21"/>
          <w:szCs w:val="21"/>
        </w:rPr>
        <w:t xml:space="preserve"> </w:t>
      </w:r>
      <w:r w:rsidR="00B60E59" w:rsidRPr="00650831">
        <w:rPr>
          <w:rFonts w:ascii="Abadi" w:hAnsi="Abadi"/>
          <w:b w:val="0"/>
          <w:sz w:val="21"/>
          <w:szCs w:val="21"/>
        </w:rPr>
        <w:t>y</w:t>
      </w:r>
      <w:r w:rsidR="00B60E59" w:rsidRPr="00650831">
        <w:rPr>
          <w:rFonts w:ascii="Abadi" w:hAnsi="Abadi"/>
          <w:b w:val="0"/>
          <w:spacing w:val="-4"/>
          <w:sz w:val="21"/>
          <w:szCs w:val="21"/>
        </w:rPr>
        <w:t xml:space="preserve"> </w:t>
      </w:r>
      <w:r w:rsidR="00B60E59" w:rsidRPr="00650831">
        <w:rPr>
          <w:rFonts w:ascii="Abadi" w:hAnsi="Abadi"/>
          <w:b w:val="0"/>
          <w:sz w:val="21"/>
          <w:szCs w:val="21"/>
        </w:rPr>
        <w:t>hasta</w:t>
      </w:r>
      <w:r w:rsidR="00B60E59" w:rsidRPr="00650831">
        <w:rPr>
          <w:rFonts w:ascii="Abadi" w:hAnsi="Abadi"/>
          <w:b w:val="0"/>
          <w:spacing w:val="-8"/>
          <w:sz w:val="21"/>
          <w:szCs w:val="21"/>
        </w:rPr>
        <w:t xml:space="preserve"> </w:t>
      </w:r>
      <w:r w:rsidR="00B60E59" w:rsidRPr="00650831">
        <w:rPr>
          <w:rFonts w:ascii="Abadi" w:hAnsi="Abadi"/>
          <w:b w:val="0"/>
          <w:sz w:val="21"/>
          <w:szCs w:val="21"/>
        </w:rPr>
        <w:t>en</w:t>
      </w:r>
      <w:r w:rsidR="00B60E59" w:rsidRPr="00650831">
        <w:rPr>
          <w:rFonts w:ascii="Abadi" w:hAnsi="Abadi"/>
          <w:b w:val="0"/>
          <w:spacing w:val="-6"/>
          <w:sz w:val="21"/>
          <w:szCs w:val="21"/>
        </w:rPr>
        <w:t xml:space="preserve"> </w:t>
      </w:r>
      <w:r w:rsidR="00B60E59" w:rsidRPr="00650831">
        <w:rPr>
          <w:rFonts w:ascii="Abadi" w:hAnsi="Abadi"/>
          <w:b w:val="0"/>
          <w:sz w:val="21"/>
          <w:szCs w:val="21"/>
        </w:rPr>
        <w:t>la</w:t>
      </w:r>
      <w:r w:rsidR="00B60E59" w:rsidRPr="00650831">
        <w:rPr>
          <w:rFonts w:ascii="Abadi" w:hAnsi="Abadi"/>
          <w:b w:val="0"/>
          <w:spacing w:val="-7"/>
          <w:sz w:val="21"/>
          <w:szCs w:val="21"/>
        </w:rPr>
        <w:t xml:space="preserve"> </w:t>
      </w:r>
      <w:r w:rsidR="00B60E59" w:rsidRPr="00650831">
        <w:rPr>
          <w:rFonts w:ascii="Abadi" w:hAnsi="Abadi"/>
          <w:b w:val="0"/>
          <w:sz w:val="21"/>
          <w:szCs w:val="21"/>
        </w:rPr>
        <w:t>vía</w:t>
      </w:r>
      <w:r w:rsidR="00B60E59" w:rsidRPr="00650831">
        <w:rPr>
          <w:rFonts w:ascii="Abadi" w:hAnsi="Abadi"/>
          <w:b w:val="0"/>
          <w:spacing w:val="-7"/>
          <w:sz w:val="21"/>
          <w:szCs w:val="21"/>
        </w:rPr>
        <w:t xml:space="preserve"> </w:t>
      </w:r>
      <w:r w:rsidR="00B60E59" w:rsidRPr="00650831">
        <w:rPr>
          <w:rFonts w:ascii="Abadi" w:hAnsi="Abadi"/>
          <w:b w:val="0"/>
          <w:sz w:val="21"/>
          <w:szCs w:val="21"/>
        </w:rPr>
        <w:t>pública, por</w:t>
      </w:r>
      <w:r w:rsidR="00B60E59" w:rsidRPr="00650831">
        <w:rPr>
          <w:rFonts w:ascii="Abadi" w:hAnsi="Abadi"/>
          <w:b w:val="0"/>
          <w:spacing w:val="-6"/>
          <w:sz w:val="21"/>
          <w:szCs w:val="21"/>
        </w:rPr>
        <w:t xml:space="preserve"> </w:t>
      </w:r>
      <w:r w:rsidR="00B60E59" w:rsidRPr="00650831">
        <w:rPr>
          <w:rFonts w:ascii="Abadi" w:hAnsi="Abadi"/>
          <w:b w:val="0"/>
          <w:sz w:val="21"/>
          <w:szCs w:val="21"/>
        </w:rPr>
        <w:t>lo</w:t>
      </w:r>
      <w:r w:rsidR="00B60E59" w:rsidRPr="00650831">
        <w:rPr>
          <w:rFonts w:ascii="Abadi" w:hAnsi="Abadi"/>
          <w:b w:val="0"/>
          <w:spacing w:val="-3"/>
          <w:sz w:val="21"/>
          <w:szCs w:val="21"/>
        </w:rPr>
        <w:t xml:space="preserve"> </w:t>
      </w:r>
      <w:r w:rsidR="00B60E59" w:rsidRPr="00650831">
        <w:rPr>
          <w:rFonts w:ascii="Abadi" w:hAnsi="Abadi"/>
          <w:b w:val="0"/>
          <w:sz w:val="21"/>
          <w:szCs w:val="21"/>
        </w:rPr>
        <w:t>que</w:t>
      </w:r>
      <w:r w:rsidR="00B60E59" w:rsidRPr="00650831">
        <w:rPr>
          <w:rFonts w:ascii="Abadi" w:hAnsi="Abadi"/>
          <w:b w:val="0"/>
          <w:spacing w:val="-1"/>
          <w:sz w:val="21"/>
          <w:szCs w:val="21"/>
        </w:rPr>
        <w:t xml:space="preserve"> </w:t>
      </w:r>
      <w:r w:rsidR="00B60E59" w:rsidRPr="00650831">
        <w:rPr>
          <w:rFonts w:ascii="Abadi" w:hAnsi="Abadi"/>
          <w:b w:val="0"/>
          <w:sz w:val="21"/>
          <w:szCs w:val="21"/>
        </w:rPr>
        <w:t>siguen al</w:t>
      </w:r>
      <w:r w:rsidR="00B60E59" w:rsidRPr="00650831">
        <w:rPr>
          <w:rFonts w:ascii="Abadi" w:hAnsi="Abadi"/>
          <w:b w:val="0"/>
          <w:spacing w:val="-5"/>
          <w:sz w:val="21"/>
          <w:szCs w:val="21"/>
        </w:rPr>
        <w:t xml:space="preserve"> </w:t>
      </w:r>
      <w:r w:rsidR="00B60E59" w:rsidRPr="00650831">
        <w:rPr>
          <w:rFonts w:ascii="Abadi" w:hAnsi="Abadi"/>
          <w:b w:val="0"/>
          <w:sz w:val="21"/>
          <w:szCs w:val="21"/>
        </w:rPr>
        <w:t>alcance de niñas, niños y jóvenes que, sin la mínima supervisión, siguen poniendo en riesgo su salud.</w:t>
      </w:r>
    </w:p>
    <w:p w14:paraId="00938A8F" w14:textId="77777777" w:rsidR="00B60E59" w:rsidRPr="00650831" w:rsidRDefault="00B60E59" w:rsidP="00B60E59">
      <w:pPr>
        <w:pStyle w:val="Textoindependiente"/>
        <w:ind w:left="1179" w:right="1185"/>
        <w:rPr>
          <w:rFonts w:ascii="Abadi" w:hAnsi="Abadi"/>
          <w:sz w:val="21"/>
          <w:szCs w:val="21"/>
        </w:rPr>
      </w:pPr>
    </w:p>
    <w:p w14:paraId="3737399C" w14:textId="77777777" w:rsidR="00B60E59" w:rsidRDefault="00B60E59" w:rsidP="006D1C2E">
      <w:pPr>
        <w:pStyle w:val="Textoindependiente"/>
        <w:ind w:firstLine="710"/>
        <w:rPr>
          <w:rFonts w:ascii="Abadi" w:hAnsi="Abadi"/>
          <w:sz w:val="21"/>
          <w:szCs w:val="21"/>
        </w:rPr>
      </w:pPr>
      <w:r w:rsidRPr="00650831">
        <w:rPr>
          <w:rFonts w:ascii="Abadi" w:hAnsi="Abadi"/>
          <w:b w:val="0"/>
          <w:sz w:val="21"/>
          <w:szCs w:val="21"/>
        </w:rPr>
        <w:t>Es imperativo tomar medidas inmediatas para proteger a las y los guanajuatenses, especialmente a las personas más jóvenes, de los riesgos asociados con el uso de vapeadores. La prohibición de su venta y uso no solo preservaría</w:t>
      </w:r>
      <w:r w:rsidRPr="00650831">
        <w:rPr>
          <w:rFonts w:ascii="Abadi" w:hAnsi="Abadi"/>
          <w:b w:val="0"/>
          <w:spacing w:val="-16"/>
          <w:sz w:val="21"/>
          <w:szCs w:val="21"/>
        </w:rPr>
        <w:t xml:space="preserve"> </w:t>
      </w:r>
      <w:r w:rsidRPr="00650831">
        <w:rPr>
          <w:rFonts w:ascii="Abadi" w:hAnsi="Abadi"/>
          <w:b w:val="0"/>
          <w:sz w:val="21"/>
          <w:szCs w:val="21"/>
        </w:rPr>
        <w:t>la</w:t>
      </w:r>
      <w:r w:rsidRPr="00650831">
        <w:rPr>
          <w:rFonts w:ascii="Abadi" w:hAnsi="Abadi"/>
          <w:b w:val="0"/>
          <w:spacing w:val="-16"/>
          <w:sz w:val="21"/>
          <w:szCs w:val="21"/>
        </w:rPr>
        <w:t xml:space="preserve"> </w:t>
      </w:r>
      <w:r w:rsidRPr="00650831">
        <w:rPr>
          <w:rFonts w:ascii="Abadi" w:hAnsi="Abadi"/>
          <w:b w:val="0"/>
          <w:sz w:val="21"/>
          <w:szCs w:val="21"/>
        </w:rPr>
        <w:t>salud</w:t>
      </w:r>
      <w:r w:rsidRPr="00650831">
        <w:rPr>
          <w:rFonts w:ascii="Abadi" w:hAnsi="Abadi"/>
          <w:b w:val="0"/>
          <w:spacing w:val="-12"/>
          <w:sz w:val="21"/>
          <w:szCs w:val="21"/>
        </w:rPr>
        <w:t xml:space="preserve"> </w:t>
      </w:r>
      <w:r w:rsidRPr="00650831">
        <w:rPr>
          <w:rFonts w:ascii="Abadi" w:hAnsi="Abadi"/>
          <w:b w:val="0"/>
          <w:sz w:val="21"/>
          <w:szCs w:val="21"/>
        </w:rPr>
        <w:t>de</w:t>
      </w:r>
      <w:r w:rsidRPr="00650831">
        <w:rPr>
          <w:rFonts w:ascii="Abadi" w:hAnsi="Abadi"/>
          <w:b w:val="0"/>
          <w:spacing w:val="-14"/>
          <w:sz w:val="21"/>
          <w:szCs w:val="21"/>
        </w:rPr>
        <w:t xml:space="preserve"> </w:t>
      </w:r>
      <w:r w:rsidRPr="00650831">
        <w:rPr>
          <w:rFonts w:ascii="Abadi" w:hAnsi="Abadi"/>
          <w:b w:val="0"/>
          <w:sz w:val="21"/>
          <w:szCs w:val="21"/>
        </w:rPr>
        <w:t>la</w:t>
      </w:r>
      <w:r w:rsidRPr="00650831">
        <w:rPr>
          <w:rFonts w:ascii="Abadi" w:hAnsi="Abadi"/>
          <w:b w:val="0"/>
          <w:spacing w:val="-16"/>
          <w:sz w:val="21"/>
          <w:szCs w:val="21"/>
        </w:rPr>
        <w:t xml:space="preserve"> </w:t>
      </w:r>
      <w:r w:rsidRPr="00650831">
        <w:rPr>
          <w:rFonts w:ascii="Abadi" w:hAnsi="Abadi"/>
          <w:b w:val="0"/>
          <w:sz w:val="21"/>
          <w:szCs w:val="21"/>
        </w:rPr>
        <w:t>población,</w:t>
      </w:r>
      <w:r w:rsidRPr="00650831">
        <w:rPr>
          <w:rFonts w:ascii="Abadi" w:hAnsi="Abadi"/>
          <w:b w:val="0"/>
          <w:spacing w:val="-12"/>
          <w:sz w:val="21"/>
          <w:szCs w:val="21"/>
        </w:rPr>
        <w:t xml:space="preserve"> </w:t>
      </w:r>
      <w:r w:rsidRPr="00650831">
        <w:rPr>
          <w:rFonts w:ascii="Abadi" w:hAnsi="Abadi"/>
          <w:b w:val="0"/>
          <w:sz w:val="21"/>
          <w:szCs w:val="21"/>
        </w:rPr>
        <w:t>sino</w:t>
      </w:r>
      <w:r w:rsidRPr="00650831">
        <w:rPr>
          <w:rFonts w:ascii="Abadi" w:hAnsi="Abadi"/>
          <w:b w:val="0"/>
          <w:spacing w:val="-13"/>
          <w:sz w:val="21"/>
          <w:szCs w:val="21"/>
        </w:rPr>
        <w:t xml:space="preserve"> </w:t>
      </w:r>
      <w:r w:rsidRPr="00650831">
        <w:rPr>
          <w:rFonts w:ascii="Abadi" w:hAnsi="Abadi"/>
          <w:b w:val="0"/>
          <w:sz w:val="21"/>
          <w:szCs w:val="21"/>
        </w:rPr>
        <w:t>que</w:t>
      </w:r>
      <w:r w:rsidRPr="00650831">
        <w:rPr>
          <w:rFonts w:ascii="Abadi" w:hAnsi="Abadi"/>
          <w:b w:val="0"/>
          <w:spacing w:val="-14"/>
          <w:sz w:val="21"/>
          <w:szCs w:val="21"/>
        </w:rPr>
        <w:t xml:space="preserve"> </w:t>
      </w:r>
      <w:r w:rsidRPr="00650831">
        <w:rPr>
          <w:rFonts w:ascii="Abadi" w:hAnsi="Abadi"/>
          <w:b w:val="0"/>
          <w:sz w:val="21"/>
          <w:szCs w:val="21"/>
        </w:rPr>
        <w:t>también</w:t>
      </w:r>
      <w:r w:rsidRPr="00650831">
        <w:rPr>
          <w:rFonts w:ascii="Abadi" w:hAnsi="Abadi"/>
          <w:b w:val="0"/>
          <w:spacing w:val="-16"/>
          <w:sz w:val="21"/>
          <w:szCs w:val="21"/>
        </w:rPr>
        <w:t xml:space="preserve"> </w:t>
      </w:r>
      <w:r w:rsidRPr="00650831">
        <w:rPr>
          <w:rFonts w:ascii="Abadi" w:hAnsi="Abadi"/>
          <w:b w:val="0"/>
          <w:sz w:val="21"/>
          <w:szCs w:val="21"/>
        </w:rPr>
        <w:t>enviaría</w:t>
      </w:r>
      <w:r w:rsidRPr="00650831">
        <w:rPr>
          <w:rFonts w:ascii="Abadi" w:hAnsi="Abadi"/>
          <w:b w:val="0"/>
          <w:spacing w:val="-16"/>
          <w:sz w:val="21"/>
          <w:szCs w:val="21"/>
        </w:rPr>
        <w:t xml:space="preserve"> </w:t>
      </w:r>
      <w:r w:rsidRPr="00650831">
        <w:rPr>
          <w:rFonts w:ascii="Abadi" w:hAnsi="Abadi"/>
          <w:b w:val="0"/>
          <w:sz w:val="21"/>
          <w:szCs w:val="21"/>
        </w:rPr>
        <w:t>un</w:t>
      </w:r>
      <w:r w:rsidRPr="00650831">
        <w:rPr>
          <w:rFonts w:ascii="Abadi" w:hAnsi="Abadi"/>
          <w:b w:val="0"/>
          <w:spacing w:val="-16"/>
          <w:sz w:val="21"/>
          <w:szCs w:val="21"/>
        </w:rPr>
        <w:t xml:space="preserve"> </w:t>
      </w:r>
      <w:r w:rsidRPr="00650831">
        <w:rPr>
          <w:rFonts w:ascii="Abadi" w:hAnsi="Abadi"/>
          <w:b w:val="0"/>
          <w:sz w:val="21"/>
          <w:szCs w:val="21"/>
        </w:rPr>
        <w:t>mensaje</w:t>
      </w:r>
      <w:r w:rsidRPr="00650831">
        <w:rPr>
          <w:rFonts w:ascii="Abadi" w:hAnsi="Abadi"/>
          <w:b w:val="0"/>
          <w:spacing w:val="-14"/>
          <w:sz w:val="21"/>
          <w:szCs w:val="21"/>
        </w:rPr>
        <w:t xml:space="preserve"> </w:t>
      </w:r>
      <w:r w:rsidRPr="00650831">
        <w:rPr>
          <w:rFonts w:ascii="Abadi" w:hAnsi="Abadi"/>
          <w:b w:val="0"/>
          <w:sz w:val="21"/>
          <w:szCs w:val="21"/>
        </w:rPr>
        <w:t xml:space="preserve">claro sobre la importancia de prevenir el consumo de sustancias perjudiciales. Esto, en el entendido de la responsabilidad que </w:t>
      </w:r>
      <w:r w:rsidRPr="00650831">
        <w:rPr>
          <w:rFonts w:ascii="Abadi" w:hAnsi="Abadi"/>
          <w:b w:val="0"/>
          <w:sz w:val="21"/>
          <w:szCs w:val="21"/>
        </w:rPr>
        <w:t>tenemos como poder legislativo de velar por el bienestar y la seguridad de los ciudadanos.</w:t>
      </w:r>
    </w:p>
    <w:p w14:paraId="5CA9EF36" w14:textId="77777777" w:rsidR="00B60E59" w:rsidRPr="00650831" w:rsidRDefault="00B60E59" w:rsidP="00B60E59">
      <w:pPr>
        <w:pStyle w:val="Textoindependiente"/>
        <w:ind w:left="1179" w:right="1178" w:firstLine="710"/>
        <w:rPr>
          <w:rFonts w:ascii="Abadi" w:hAnsi="Abadi"/>
          <w:sz w:val="21"/>
          <w:szCs w:val="21"/>
        </w:rPr>
      </w:pPr>
    </w:p>
    <w:p w14:paraId="6A329007" w14:textId="77777777" w:rsidR="0066785A" w:rsidRDefault="00B60E59" w:rsidP="0066785A">
      <w:pPr>
        <w:pStyle w:val="Textoindependiente"/>
        <w:ind w:firstLine="710"/>
        <w:rPr>
          <w:rFonts w:ascii="Abadi" w:hAnsi="Abadi"/>
          <w:b w:val="0"/>
          <w:sz w:val="21"/>
          <w:szCs w:val="21"/>
        </w:rPr>
      </w:pPr>
      <w:r w:rsidRPr="00650831">
        <w:rPr>
          <w:rFonts w:ascii="Abadi" w:hAnsi="Abadi"/>
          <w:b w:val="0"/>
          <w:sz w:val="21"/>
          <w:szCs w:val="21"/>
        </w:rPr>
        <w:t>Derivado</w:t>
      </w:r>
      <w:r w:rsidRPr="00650831">
        <w:rPr>
          <w:rFonts w:ascii="Abadi" w:hAnsi="Abadi"/>
          <w:b w:val="0"/>
          <w:spacing w:val="-11"/>
          <w:sz w:val="21"/>
          <w:szCs w:val="21"/>
        </w:rPr>
        <w:t xml:space="preserve"> </w:t>
      </w:r>
      <w:r w:rsidRPr="00650831">
        <w:rPr>
          <w:rFonts w:ascii="Abadi" w:hAnsi="Abadi"/>
          <w:b w:val="0"/>
          <w:sz w:val="21"/>
          <w:szCs w:val="21"/>
        </w:rPr>
        <w:t>de</w:t>
      </w:r>
      <w:r w:rsidRPr="00650831">
        <w:rPr>
          <w:rFonts w:ascii="Abadi" w:hAnsi="Abadi"/>
          <w:b w:val="0"/>
          <w:spacing w:val="-13"/>
          <w:sz w:val="21"/>
          <w:szCs w:val="21"/>
        </w:rPr>
        <w:t xml:space="preserve"> </w:t>
      </w:r>
      <w:r w:rsidRPr="00650831">
        <w:rPr>
          <w:rFonts w:ascii="Abadi" w:hAnsi="Abadi"/>
          <w:b w:val="0"/>
          <w:sz w:val="21"/>
          <w:szCs w:val="21"/>
        </w:rPr>
        <w:t>lo</w:t>
      </w:r>
      <w:r w:rsidRPr="00650831">
        <w:rPr>
          <w:rFonts w:ascii="Abadi" w:hAnsi="Abadi"/>
          <w:b w:val="0"/>
          <w:spacing w:val="-10"/>
          <w:sz w:val="21"/>
          <w:szCs w:val="21"/>
        </w:rPr>
        <w:t xml:space="preserve"> </w:t>
      </w:r>
      <w:r w:rsidRPr="00650831">
        <w:rPr>
          <w:rFonts w:ascii="Abadi" w:hAnsi="Abadi"/>
          <w:b w:val="0"/>
          <w:sz w:val="21"/>
          <w:szCs w:val="21"/>
        </w:rPr>
        <w:t>anterior</w:t>
      </w:r>
      <w:r w:rsidRPr="00650831">
        <w:rPr>
          <w:rFonts w:ascii="Abadi" w:hAnsi="Abadi"/>
          <w:b w:val="0"/>
          <w:spacing w:val="-13"/>
          <w:sz w:val="21"/>
          <w:szCs w:val="21"/>
        </w:rPr>
        <w:t xml:space="preserve"> </w:t>
      </w:r>
      <w:r w:rsidRPr="00650831">
        <w:rPr>
          <w:rFonts w:ascii="Abadi" w:hAnsi="Abadi"/>
          <w:b w:val="0"/>
          <w:sz w:val="21"/>
          <w:szCs w:val="21"/>
        </w:rPr>
        <w:t>y</w:t>
      </w:r>
      <w:r w:rsidRPr="00650831">
        <w:rPr>
          <w:rFonts w:ascii="Abadi" w:hAnsi="Abadi"/>
          <w:b w:val="0"/>
          <w:spacing w:val="-7"/>
          <w:sz w:val="21"/>
          <w:szCs w:val="21"/>
        </w:rPr>
        <w:t xml:space="preserve"> </w:t>
      </w:r>
      <w:r w:rsidRPr="00650831">
        <w:rPr>
          <w:rFonts w:ascii="Abadi" w:hAnsi="Abadi"/>
          <w:b w:val="0"/>
          <w:sz w:val="21"/>
          <w:szCs w:val="21"/>
        </w:rPr>
        <w:t>en</w:t>
      </w:r>
      <w:r w:rsidRPr="00650831">
        <w:rPr>
          <w:rFonts w:ascii="Abadi" w:hAnsi="Abadi"/>
          <w:b w:val="0"/>
          <w:spacing w:val="-10"/>
          <w:sz w:val="21"/>
          <w:szCs w:val="21"/>
        </w:rPr>
        <w:t xml:space="preserve"> </w:t>
      </w:r>
      <w:r w:rsidRPr="00650831">
        <w:rPr>
          <w:rFonts w:ascii="Abadi" w:hAnsi="Abadi"/>
          <w:b w:val="0"/>
          <w:sz w:val="21"/>
          <w:szCs w:val="21"/>
        </w:rPr>
        <w:t>vista</w:t>
      </w:r>
      <w:r w:rsidRPr="00650831">
        <w:rPr>
          <w:rFonts w:ascii="Abadi" w:hAnsi="Abadi"/>
          <w:b w:val="0"/>
          <w:spacing w:val="-10"/>
          <w:sz w:val="21"/>
          <w:szCs w:val="21"/>
        </w:rPr>
        <w:t xml:space="preserve"> </w:t>
      </w:r>
      <w:r w:rsidRPr="00650831">
        <w:rPr>
          <w:rFonts w:ascii="Abadi" w:hAnsi="Abadi"/>
          <w:b w:val="0"/>
          <w:sz w:val="21"/>
          <w:szCs w:val="21"/>
        </w:rPr>
        <w:t>del</w:t>
      </w:r>
      <w:r w:rsidRPr="00650831">
        <w:rPr>
          <w:rFonts w:ascii="Abadi" w:hAnsi="Abadi"/>
          <w:b w:val="0"/>
          <w:spacing w:val="-8"/>
          <w:sz w:val="21"/>
          <w:szCs w:val="21"/>
        </w:rPr>
        <w:t xml:space="preserve"> </w:t>
      </w:r>
      <w:r w:rsidRPr="00650831">
        <w:rPr>
          <w:rFonts w:ascii="Abadi" w:hAnsi="Abadi"/>
          <w:b w:val="0"/>
          <w:sz w:val="21"/>
          <w:szCs w:val="21"/>
        </w:rPr>
        <w:t>acelerado</w:t>
      </w:r>
      <w:r w:rsidRPr="00650831">
        <w:rPr>
          <w:rFonts w:ascii="Abadi" w:hAnsi="Abadi"/>
          <w:b w:val="0"/>
          <w:spacing w:val="-9"/>
          <w:sz w:val="21"/>
          <w:szCs w:val="21"/>
        </w:rPr>
        <w:t xml:space="preserve"> </w:t>
      </w:r>
      <w:r w:rsidRPr="00650831">
        <w:rPr>
          <w:rFonts w:ascii="Abadi" w:hAnsi="Abadi"/>
          <w:b w:val="0"/>
          <w:sz w:val="21"/>
          <w:szCs w:val="21"/>
        </w:rPr>
        <w:t>uso</w:t>
      </w:r>
      <w:r w:rsidRPr="00650831">
        <w:rPr>
          <w:rFonts w:ascii="Abadi" w:hAnsi="Abadi"/>
          <w:b w:val="0"/>
          <w:spacing w:val="-9"/>
          <w:sz w:val="21"/>
          <w:szCs w:val="21"/>
        </w:rPr>
        <w:t xml:space="preserve"> </w:t>
      </w:r>
      <w:r w:rsidRPr="00650831">
        <w:rPr>
          <w:rFonts w:ascii="Abadi" w:hAnsi="Abadi"/>
          <w:b w:val="0"/>
          <w:sz w:val="21"/>
          <w:szCs w:val="21"/>
        </w:rPr>
        <w:t>de</w:t>
      </w:r>
      <w:r w:rsidRPr="00650831">
        <w:rPr>
          <w:rFonts w:ascii="Abadi" w:hAnsi="Abadi"/>
          <w:b w:val="0"/>
          <w:spacing w:val="-11"/>
          <w:sz w:val="21"/>
          <w:szCs w:val="21"/>
        </w:rPr>
        <w:t xml:space="preserve"> </w:t>
      </w:r>
      <w:r w:rsidRPr="00650831">
        <w:rPr>
          <w:rFonts w:ascii="Abadi" w:hAnsi="Abadi"/>
          <w:b w:val="0"/>
          <w:sz w:val="21"/>
          <w:szCs w:val="21"/>
        </w:rPr>
        <w:t>estos</w:t>
      </w:r>
      <w:r w:rsidRPr="00650831">
        <w:rPr>
          <w:rFonts w:ascii="Abadi" w:hAnsi="Abadi"/>
          <w:b w:val="0"/>
          <w:spacing w:val="-11"/>
          <w:sz w:val="21"/>
          <w:szCs w:val="21"/>
        </w:rPr>
        <w:t xml:space="preserve"> </w:t>
      </w:r>
      <w:r w:rsidRPr="00650831">
        <w:rPr>
          <w:rFonts w:ascii="Abadi" w:hAnsi="Abadi"/>
          <w:b w:val="0"/>
          <w:sz w:val="21"/>
          <w:szCs w:val="21"/>
        </w:rPr>
        <w:t>dispositivos, especialmente</w:t>
      </w:r>
      <w:r w:rsidRPr="00650831">
        <w:rPr>
          <w:rFonts w:ascii="Abadi" w:hAnsi="Abadi"/>
          <w:b w:val="0"/>
          <w:spacing w:val="-10"/>
          <w:sz w:val="21"/>
          <w:szCs w:val="21"/>
        </w:rPr>
        <w:t xml:space="preserve"> </w:t>
      </w:r>
      <w:r w:rsidRPr="00650831">
        <w:rPr>
          <w:rFonts w:ascii="Abadi" w:hAnsi="Abadi"/>
          <w:b w:val="0"/>
          <w:sz w:val="21"/>
          <w:szCs w:val="21"/>
        </w:rPr>
        <w:t>entre</w:t>
      </w:r>
      <w:r w:rsidRPr="00650831">
        <w:rPr>
          <w:rFonts w:ascii="Abadi" w:hAnsi="Abadi"/>
          <w:b w:val="0"/>
          <w:spacing w:val="-10"/>
          <w:sz w:val="21"/>
          <w:szCs w:val="21"/>
        </w:rPr>
        <w:t xml:space="preserve"> </w:t>
      </w:r>
      <w:r w:rsidRPr="00650831">
        <w:rPr>
          <w:rFonts w:ascii="Abadi" w:hAnsi="Abadi"/>
          <w:b w:val="0"/>
          <w:sz w:val="21"/>
          <w:szCs w:val="21"/>
        </w:rPr>
        <w:t>los</w:t>
      </w:r>
      <w:r w:rsidRPr="00650831">
        <w:rPr>
          <w:rFonts w:ascii="Abadi" w:hAnsi="Abadi"/>
          <w:b w:val="0"/>
          <w:spacing w:val="-12"/>
          <w:sz w:val="21"/>
          <w:szCs w:val="21"/>
        </w:rPr>
        <w:t xml:space="preserve"> </w:t>
      </w:r>
      <w:r w:rsidRPr="00650831">
        <w:rPr>
          <w:rFonts w:ascii="Abadi" w:hAnsi="Abadi"/>
          <w:b w:val="0"/>
          <w:sz w:val="21"/>
          <w:szCs w:val="21"/>
        </w:rPr>
        <w:t>jóvenes,</w:t>
      </w:r>
      <w:r w:rsidRPr="00650831">
        <w:rPr>
          <w:rFonts w:ascii="Abadi" w:hAnsi="Abadi"/>
          <w:b w:val="0"/>
          <w:spacing w:val="-12"/>
          <w:sz w:val="21"/>
          <w:szCs w:val="21"/>
        </w:rPr>
        <w:t xml:space="preserve"> </w:t>
      </w:r>
      <w:r w:rsidRPr="00650831">
        <w:rPr>
          <w:rFonts w:ascii="Abadi" w:hAnsi="Abadi"/>
          <w:b w:val="0"/>
          <w:sz w:val="21"/>
          <w:szCs w:val="21"/>
        </w:rPr>
        <w:t>y</w:t>
      </w:r>
      <w:r w:rsidRPr="00650831">
        <w:rPr>
          <w:rFonts w:ascii="Abadi" w:hAnsi="Abadi"/>
          <w:b w:val="0"/>
          <w:spacing w:val="-10"/>
          <w:sz w:val="21"/>
          <w:szCs w:val="21"/>
        </w:rPr>
        <w:t xml:space="preserve"> </w:t>
      </w:r>
      <w:r w:rsidRPr="00650831">
        <w:rPr>
          <w:rFonts w:ascii="Abadi" w:hAnsi="Abadi"/>
          <w:b w:val="0"/>
          <w:sz w:val="21"/>
          <w:szCs w:val="21"/>
        </w:rPr>
        <w:t>la</w:t>
      </w:r>
      <w:r w:rsidRPr="00650831">
        <w:rPr>
          <w:rFonts w:ascii="Abadi" w:hAnsi="Abadi"/>
          <w:b w:val="0"/>
          <w:spacing w:val="-12"/>
          <w:sz w:val="21"/>
          <w:szCs w:val="21"/>
        </w:rPr>
        <w:t xml:space="preserve"> </w:t>
      </w:r>
      <w:r w:rsidRPr="00650831">
        <w:rPr>
          <w:rFonts w:ascii="Abadi" w:hAnsi="Abadi"/>
          <w:b w:val="0"/>
          <w:sz w:val="21"/>
          <w:szCs w:val="21"/>
        </w:rPr>
        <w:t>falta</w:t>
      </w:r>
      <w:r w:rsidRPr="00650831">
        <w:rPr>
          <w:rFonts w:ascii="Abadi" w:hAnsi="Abadi"/>
          <w:b w:val="0"/>
          <w:spacing w:val="-12"/>
          <w:sz w:val="21"/>
          <w:szCs w:val="21"/>
        </w:rPr>
        <w:t xml:space="preserve"> </w:t>
      </w:r>
      <w:r w:rsidRPr="00650831">
        <w:rPr>
          <w:rFonts w:ascii="Abadi" w:hAnsi="Abadi"/>
          <w:b w:val="0"/>
          <w:sz w:val="21"/>
          <w:szCs w:val="21"/>
        </w:rPr>
        <w:t>de</w:t>
      </w:r>
      <w:r w:rsidRPr="00650831">
        <w:rPr>
          <w:rFonts w:ascii="Abadi" w:hAnsi="Abadi"/>
          <w:b w:val="0"/>
          <w:spacing w:val="-10"/>
          <w:sz w:val="21"/>
          <w:szCs w:val="21"/>
        </w:rPr>
        <w:t xml:space="preserve"> </w:t>
      </w:r>
      <w:r w:rsidRPr="00650831">
        <w:rPr>
          <w:rFonts w:ascii="Abadi" w:hAnsi="Abadi"/>
          <w:b w:val="0"/>
          <w:sz w:val="21"/>
          <w:szCs w:val="21"/>
        </w:rPr>
        <w:t>evidencia</w:t>
      </w:r>
      <w:r w:rsidRPr="00650831">
        <w:rPr>
          <w:rFonts w:ascii="Abadi" w:hAnsi="Abadi"/>
          <w:b w:val="0"/>
          <w:spacing w:val="-12"/>
          <w:sz w:val="21"/>
          <w:szCs w:val="21"/>
        </w:rPr>
        <w:t xml:space="preserve"> </w:t>
      </w:r>
      <w:r w:rsidRPr="00650831">
        <w:rPr>
          <w:rFonts w:ascii="Abadi" w:hAnsi="Abadi"/>
          <w:b w:val="0"/>
          <w:sz w:val="21"/>
          <w:szCs w:val="21"/>
        </w:rPr>
        <w:t>científica</w:t>
      </w:r>
      <w:r w:rsidRPr="00650831">
        <w:rPr>
          <w:rFonts w:ascii="Abadi" w:hAnsi="Abadi"/>
          <w:b w:val="0"/>
          <w:spacing w:val="-12"/>
          <w:sz w:val="21"/>
          <w:szCs w:val="21"/>
        </w:rPr>
        <w:t xml:space="preserve"> </w:t>
      </w:r>
      <w:r w:rsidRPr="00650831">
        <w:rPr>
          <w:rFonts w:ascii="Abadi" w:hAnsi="Abadi"/>
          <w:b w:val="0"/>
          <w:sz w:val="21"/>
          <w:szCs w:val="21"/>
        </w:rPr>
        <w:t>suficiente que respalde</w:t>
      </w:r>
      <w:r w:rsidRPr="00650831">
        <w:rPr>
          <w:rFonts w:ascii="Abadi" w:hAnsi="Abadi"/>
          <w:b w:val="0"/>
          <w:spacing w:val="-16"/>
          <w:sz w:val="21"/>
          <w:szCs w:val="21"/>
        </w:rPr>
        <w:t xml:space="preserve"> </w:t>
      </w:r>
      <w:r w:rsidRPr="00650831">
        <w:rPr>
          <w:rFonts w:ascii="Abadi" w:hAnsi="Abadi"/>
          <w:b w:val="0"/>
          <w:sz w:val="21"/>
          <w:szCs w:val="21"/>
        </w:rPr>
        <w:t>su</w:t>
      </w:r>
      <w:r w:rsidRPr="00650831">
        <w:rPr>
          <w:rFonts w:ascii="Abadi" w:hAnsi="Abadi"/>
          <w:b w:val="0"/>
          <w:spacing w:val="-14"/>
          <w:sz w:val="21"/>
          <w:szCs w:val="21"/>
        </w:rPr>
        <w:t xml:space="preserve"> </w:t>
      </w:r>
      <w:r w:rsidRPr="00650831">
        <w:rPr>
          <w:rFonts w:ascii="Abadi" w:hAnsi="Abadi"/>
          <w:b w:val="0"/>
          <w:sz w:val="21"/>
          <w:szCs w:val="21"/>
        </w:rPr>
        <w:t>seguridad</w:t>
      </w:r>
      <w:r w:rsidRPr="00650831">
        <w:rPr>
          <w:rFonts w:ascii="Abadi" w:hAnsi="Abadi"/>
          <w:b w:val="0"/>
          <w:spacing w:val="-14"/>
          <w:sz w:val="21"/>
          <w:szCs w:val="21"/>
        </w:rPr>
        <w:t xml:space="preserve"> </w:t>
      </w:r>
      <w:r w:rsidRPr="00650831">
        <w:rPr>
          <w:rFonts w:ascii="Abadi" w:hAnsi="Abadi"/>
          <w:b w:val="0"/>
          <w:sz w:val="21"/>
          <w:szCs w:val="21"/>
        </w:rPr>
        <w:t>a</w:t>
      </w:r>
      <w:r w:rsidRPr="00650831">
        <w:rPr>
          <w:rFonts w:ascii="Abadi" w:hAnsi="Abadi"/>
          <w:b w:val="0"/>
          <w:spacing w:val="-15"/>
          <w:sz w:val="21"/>
          <w:szCs w:val="21"/>
        </w:rPr>
        <w:t xml:space="preserve"> </w:t>
      </w:r>
      <w:r w:rsidRPr="00650831">
        <w:rPr>
          <w:rFonts w:ascii="Abadi" w:hAnsi="Abadi"/>
          <w:b w:val="0"/>
          <w:sz w:val="21"/>
          <w:szCs w:val="21"/>
        </w:rPr>
        <w:t>largo</w:t>
      </w:r>
      <w:r w:rsidRPr="00650831">
        <w:rPr>
          <w:rFonts w:ascii="Abadi" w:hAnsi="Abadi"/>
          <w:b w:val="0"/>
          <w:spacing w:val="-15"/>
          <w:sz w:val="21"/>
          <w:szCs w:val="21"/>
        </w:rPr>
        <w:t xml:space="preserve"> </w:t>
      </w:r>
      <w:r w:rsidRPr="00650831">
        <w:rPr>
          <w:rFonts w:ascii="Abadi" w:hAnsi="Abadi"/>
          <w:b w:val="0"/>
          <w:sz w:val="21"/>
          <w:szCs w:val="21"/>
        </w:rPr>
        <w:t>plazo,</w:t>
      </w:r>
      <w:r w:rsidRPr="00650831">
        <w:rPr>
          <w:rFonts w:ascii="Abadi" w:hAnsi="Abadi"/>
          <w:b w:val="0"/>
          <w:spacing w:val="-11"/>
          <w:sz w:val="21"/>
          <w:szCs w:val="21"/>
        </w:rPr>
        <w:t xml:space="preserve"> </w:t>
      </w:r>
      <w:r w:rsidRPr="00650831">
        <w:rPr>
          <w:rFonts w:ascii="Abadi" w:hAnsi="Abadi"/>
          <w:b w:val="0"/>
          <w:sz w:val="21"/>
          <w:szCs w:val="21"/>
        </w:rPr>
        <w:t>la</w:t>
      </w:r>
      <w:r w:rsidRPr="00650831">
        <w:rPr>
          <w:rFonts w:ascii="Abadi" w:hAnsi="Abadi"/>
          <w:b w:val="0"/>
          <w:spacing w:val="-15"/>
          <w:sz w:val="21"/>
          <w:szCs w:val="21"/>
        </w:rPr>
        <w:t xml:space="preserve"> </w:t>
      </w:r>
      <w:r w:rsidRPr="00650831">
        <w:rPr>
          <w:rFonts w:ascii="Abadi" w:hAnsi="Abadi"/>
          <w:b w:val="0"/>
          <w:sz w:val="21"/>
          <w:szCs w:val="21"/>
        </w:rPr>
        <w:t>diputada</w:t>
      </w:r>
      <w:r w:rsidRPr="00650831">
        <w:rPr>
          <w:rFonts w:ascii="Abadi" w:hAnsi="Abadi"/>
          <w:b w:val="0"/>
          <w:spacing w:val="-16"/>
          <w:sz w:val="21"/>
          <w:szCs w:val="21"/>
        </w:rPr>
        <w:t xml:space="preserve"> </w:t>
      </w:r>
      <w:r w:rsidRPr="00650831">
        <w:rPr>
          <w:rFonts w:ascii="Abadi" w:hAnsi="Abadi"/>
          <w:b w:val="0"/>
          <w:sz w:val="21"/>
          <w:szCs w:val="21"/>
        </w:rPr>
        <w:t>y</w:t>
      </w:r>
      <w:r w:rsidRPr="00650831">
        <w:rPr>
          <w:rFonts w:ascii="Abadi" w:hAnsi="Abadi"/>
          <w:b w:val="0"/>
          <w:spacing w:val="-16"/>
          <w:sz w:val="21"/>
          <w:szCs w:val="21"/>
        </w:rPr>
        <w:t xml:space="preserve"> </w:t>
      </w:r>
      <w:r w:rsidRPr="00650831">
        <w:rPr>
          <w:rFonts w:ascii="Abadi" w:hAnsi="Abadi"/>
          <w:b w:val="0"/>
          <w:sz w:val="21"/>
          <w:szCs w:val="21"/>
        </w:rPr>
        <w:t>el</w:t>
      </w:r>
      <w:r w:rsidRPr="00650831">
        <w:rPr>
          <w:rFonts w:ascii="Abadi" w:hAnsi="Abadi"/>
          <w:b w:val="0"/>
          <w:spacing w:val="-13"/>
          <w:sz w:val="21"/>
          <w:szCs w:val="21"/>
        </w:rPr>
        <w:t xml:space="preserve"> </w:t>
      </w:r>
      <w:r w:rsidRPr="00650831">
        <w:rPr>
          <w:rFonts w:ascii="Abadi" w:hAnsi="Abadi"/>
          <w:b w:val="0"/>
          <w:sz w:val="21"/>
          <w:szCs w:val="21"/>
        </w:rPr>
        <w:t>diputado</w:t>
      </w:r>
      <w:r w:rsidRPr="00650831">
        <w:rPr>
          <w:rFonts w:ascii="Abadi" w:hAnsi="Abadi"/>
          <w:b w:val="0"/>
          <w:spacing w:val="-16"/>
          <w:sz w:val="21"/>
          <w:szCs w:val="21"/>
        </w:rPr>
        <w:t xml:space="preserve"> </w:t>
      </w:r>
      <w:r w:rsidRPr="00650831">
        <w:rPr>
          <w:rFonts w:ascii="Abadi" w:hAnsi="Abadi"/>
          <w:b w:val="0"/>
          <w:sz w:val="21"/>
          <w:szCs w:val="21"/>
        </w:rPr>
        <w:t>que</w:t>
      </w:r>
      <w:r w:rsidRPr="00650831">
        <w:rPr>
          <w:rFonts w:ascii="Abadi" w:hAnsi="Abadi"/>
          <w:b w:val="0"/>
          <w:spacing w:val="-16"/>
          <w:sz w:val="21"/>
          <w:szCs w:val="21"/>
        </w:rPr>
        <w:t xml:space="preserve"> </w:t>
      </w:r>
      <w:r w:rsidRPr="00650831">
        <w:rPr>
          <w:rFonts w:ascii="Abadi" w:hAnsi="Abadi"/>
          <w:b w:val="0"/>
          <w:sz w:val="21"/>
          <w:szCs w:val="21"/>
        </w:rPr>
        <w:t xml:space="preserve">conformamos </w:t>
      </w:r>
      <w:r w:rsidRPr="00650831">
        <w:rPr>
          <w:rFonts w:ascii="Abadi" w:hAnsi="Abadi"/>
          <w:b w:val="0"/>
          <w:spacing w:val="-2"/>
          <w:sz w:val="21"/>
          <w:szCs w:val="21"/>
        </w:rPr>
        <w:t>el</w:t>
      </w:r>
      <w:r w:rsidRPr="00650831">
        <w:rPr>
          <w:rFonts w:ascii="Abadi" w:hAnsi="Abadi"/>
          <w:b w:val="0"/>
          <w:spacing w:val="-11"/>
          <w:sz w:val="21"/>
          <w:szCs w:val="21"/>
        </w:rPr>
        <w:t xml:space="preserve"> </w:t>
      </w:r>
      <w:r w:rsidRPr="00650831">
        <w:rPr>
          <w:rFonts w:ascii="Abadi" w:hAnsi="Abadi"/>
          <w:b w:val="0"/>
          <w:spacing w:val="-2"/>
          <w:sz w:val="21"/>
          <w:szCs w:val="21"/>
        </w:rPr>
        <w:t>Grupo</w:t>
      </w:r>
      <w:r w:rsidRPr="00650831">
        <w:rPr>
          <w:rFonts w:ascii="Abadi" w:hAnsi="Abadi"/>
          <w:b w:val="0"/>
          <w:spacing w:val="-9"/>
          <w:sz w:val="21"/>
          <w:szCs w:val="21"/>
        </w:rPr>
        <w:t xml:space="preserve"> </w:t>
      </w:r>
      <w:r w:rsidRPr="00650831">
        <w:rPr>
          <w:rFonts w:ascii="Abadi" w:hAnsi="Abadi"/>
          <w:b w:val="0"/>
          <w:spacing w:val="-2"/>
          <w:sz w:val="21"/>
          <w:szCs w:val="21"/>
        </w:rPr>
        <w:t>Parlamentario</w:t>
      </w:r>
      <w:r w:rsidRPr="00650831">
        <w:rPr>
          <w:rFonts w:ascii="Abadi" w:hAnsi="Abadi"/>
          <w:b w:val="0"/>
          <w:spacing w:val="-13"/>
          <w:sz w:val="21"/>
          <w:szCs w:val="21"/>
        </w:rPr>
        <w:t xml:space="preserve"> </w:t>
      </w:r>
      <w:r w:rsidRPr="00650831">
        <w:rPr>
          <w:rFonts w:ascii="Abadi" w:hAnsi="Abadi"/>
          <w:b w:val="0"/>
          <w:spacing w:val="-2"/>
          <w:sz w:val="21"/>
          <w:szCs w:val="21"/>
        </w:rPr>
        <w:t>del</w:t>
      </w:r>
      <w:r w:rsidRPr="00650831">
        <w:rPr>
          <w:rFonts w:ascii="Abadi" w:hAnsi="Abadi"/>
          <w:b w:val="0"/>
          <w:spacing w:val="-11"/>
          <w:sz w:val="21"/>
          <w:szCs w:val="21"/>
        </w:rPr>
        <w:t xml:space="preserve"> </w:t>
      </w:r>
      <w:r w:rsidRPr="00650831">
        <w:rPr>
          <w:rFonts w:ascii="Abadi" w:hAnsi="Abadi"/>
          <w:b w:val="0"/>
          <w:spacing w:val="-2"/>
          <w:sz w:val="21"/>
          <w:szCs w:val="21"/>
        </w:rPr>
        <w:t>Partido</w:t>
      </w:r>
      <w:r w:rsidRPr="00650831">
        <w:rPr>
          <w:rFonts w:ascii="Abadi" w:hAnsi="Abadi"/>
          <w:b w:val="0"/>
          <w:spacing w:val="-9"/>
          <w:sz w:val="21"/>
          <w:szCs w:val="21"/>
        </w:rPr>
        <w:t xml:space="preserve"> </w:t>
      </w:r>
      <w:r w:rsidRPr="00650831">
        <w:rPr>
          <w:rFonts w:ascii="Abadi" w:hAnsi="Abadi"/>
          <w:b w:val="0"/>
          <w:spacing w:val="-2"/>
          <w:sz w:val="21"/>
          <w:szCs w:val="21"/>
        </w:rPr>
        <w:t>Verde</w:t>
      </w:r>
      <w:r w:rsidRPr="00650831">
        <w:rPr>
          <w:rFonts w:ascii="Abadi" w:hAnsi="Abadi"/>
          <w:b w:val="0"/>
          <w:spacing w:val="-5"/>
          <w:sz w:val="21"/>
          <w:szCs w:val="21"/>
        </w:rPr>
        <w:t xml:space="preserve"> </w:t>
      </w:r>
      <w:r w:rsidRPr="00650831">
        <w:rPr>
          <w:rFonts w:ascii="Abadi" w:hAnsi="Abadi"/>
          <w:b w:val="0"/>
          <w:spacing w:val="-2"/>
          <w:sz w:val="21"/>
          <w:szCs w:val="21"/>
        </w:rPr>
        <w:t>nos</w:t>
      </w:r>
      <w:r w:rsidRPr="00650831">
        <w:rPr>
          <w:rFonts w:ascii="Abadi" w:hAnsi="Abadi"/>
          <w:b w:val="0"/>
          <w:spacing w:val="-13"/>
          <w:sz w:val="21"/>
          <w:szCs w:val="21"/>
        </w:rPr>
        <w:t xml:space="preserve"> </w:t>
      </w:r>
      <w:r w:rsidRPr="00650831">
        <w:rPr>
          <w:rFonts w:ascii="Abadi" w:hAnsi="Abadi"/>
          <w:b w:val="0"/>
          <w:spacing w:val="-2"/>
          <w:sz w:val="21"/>
          <w:szCs w:val="21"/>
        </w:rPr>
        <w:t>permitimos</w:t>
      </w:r>
      <w:r w:rsidRPr="00650831">
        <w:rPr>
          <w:rFonts w:ascii="Abadi" w:hAnsi="Abadi"/>
          <w:b w:val="0"/>
          <w:spacing w:val="-14"/>
          <w:sz w:val="21"/>
          <w:szCs w:val="21"/>
        </w:rPr>
        <w:t xml:space="preserve"> </w:t>
      </w:r>
      <w:r w:rsidRPr="00650831">
        <w:rPr>
          <w:rFonts w:ascii="Abadi" w:hAnsi="Abadi"/>
          <w:b w:val="0"/>
          <w:spacing w:val="-2"/>
          <w:sz w:val="21"/>
          <w:szCs w:val="21"/>
        </w:rPr>
        <w:t>poner</w:t>
      </w:r>
      <w:r w:rsidRPr="00650831">
        <w:rPr>
          <w:rFonts w:ascii="Abadi" w:hAnsi="Abadi"/>
          <w:b w:val="0"/>
          <w:spacing w:val="-12"/>
          <w:sz w:val="21"/>
          <w:szCs w:val="21"/>
        </w:rPr>
        <w:t xml:space="preserve"> </w:t>
      </w:r>
      <w:r w:rsidRPr="00650831">
        <w:rPr>
          <w:rFonts w:ascii="Abadi" w:hAnsi="Abadi"/>
          <w:b w:val="0"/>
          <w:spacing w:val="-2"/>
          <w:sz w:val="21"/>
          <w:szCs w:val="21"/>
        </w:rPr>
        <w:t>a</w:t>
      </w:r>
      <w:r w:rsidRPr="00650831">
        <w:rPr>
          <w:rFonts w:ascii="Abadi" w:hAnsi="Abadi"/>
          <w:b w:val="0"/>
          <w:spacing w:val="-13"/>
          <w:sz w:val="21"/>
          <w:szCs w:val="21"/>
        </w:rPr>
        <w:t xml:space="preserve"> </w:t>
      </w:r>
      <w:r w:rsidRPr="00650831">
        <w:rPr>
          <w:rFonts w:ascii="Abadi" w:hAnsi="Abadi"/>
          <w:b w:val="0"/>
          <w:spacing w:val="-2"/>
          <w:sz w:val="21"/>
          <w:szCs w:val="21"/>
        </w:rPr>
        <w:t xml:space="preserve">consideración </w:t>
      </w:r>
      <w:r w:rsidRPr="00650831">
        <w:rPr>
          <w:rFonts w:ascii="Abadi" w:hAnsi="Abadi"/>
          <w:b w:val="0"/>
          <w:sz w:val="21"/>
          <w:szCs w:val="21"/>
        </w:rPr>
        <w:t>de esta honorable asamblea el presente:</w:t>
      </w:r>
    </w:p>
    <w:p w14:paraId="2A9BE23C" w14:textId="77777777" w:rsidR="0066785A" w:rsidRDefault="0066785A" w:rsidP="0066785A">
      <w:pPr>
        <w:pStyle w:val="Textoindependiente"/>
        <w:ind w:firstLine="710"/>
        <w:rPr>
          <w:rFonts w:ascii="Abadi" w:hAnsi="Abadi"/>
          <w:b w:val="0"/>
          <w:sz w:val="21"/>
          <w:szCs w:val="21"/>
        </w:rPr>
      </w:pPr>
    </w:p>
    <w:p w14:paraId="507A49C5" w14:textId="30CC59C0" w:rsidR="00B60E59" w:rsidRPr="0066785A" w:rsidRDefault="00B60E59" w:rsidP="0066785A">
      <w:pPr>
        <w:pStyle w:val="Textoindependiente"/>
        <w:ind w:firstLine="710"/>
        <w:rPr>
          <w:rFonts w:ascii="Abadi" w:hAnsi="Abadi"/>
          <w:bCs w:val="0"/>
          <w:sz w:val="21"/>
          <w:szCs w:val="21"/>
        </w:rPr>
      </w:pPr>
      <w:r w:rsidRPr="0066785A">
        <w:rPr>
          <w:rFonts w:ascii="Abadi" w:hAnsi="Abadi"/>
          <w:bCs w:val="0"/>
          <w:spacing w:val="-2"/>
          <w:sz w:val="21"/>
          <w:szCs w:val="21"/>
        </w:rPr>
        <w:t>PUNTO</w:t>
      </w:r>
      <w:r w:rsidRPr="0066785A">
        <w:rPr>
          <w:rFonts w:ascii="Abadi" w:hAnsi="Abadi"/>
          <w:bCs w:val="0"/>
          <w:spacing w:val="-14"/>
          <w:sz w:val="21"/>
          <w:szCs w:val="21"/>
        </w:rPr>
        <w:t xml:space="preserve"> </w:t>
      </w:r>
      <w:r w:rsidRPr="0066785A">
        <w:rPr>
          <w:rFonts w:ascii="Abadi" w:hAnsi="Abadi"/>
          <w:bCs w:val="0"/>
          <w:spacing w:val="-2"/>
          <w:sz w:val="21"/>
          <w:szCs w:val="21"/>
        </w:rPr>
        <w:t>DE</w:t>
      </w:r>
      <w:r w:rsidRPr="0066785A">
        <w:rPr>
          <w:rFonts w:ascii="Abadi" w:hAnsi="Abadi"/>
          <w:bCs w:val="0"/>
          <w:spacing w:val="-12"/>
          <w:sz w:val="21"/>
          <w:szCs w:val="21"/>
        </w:rPr>
        <w:t xml:space="preserve"> </w:t>
      </w:r>
      <w:r w:rsidRPr="0066785A">
        <w:rPr>
          <w:rFonts w:ascii="Abadi" w:hAnsi="Abadi"/>
          <w:bCs w:val="0"/>
          <w:spacing w:val="-2"/>
          <w:sz w:val="21"/>
          <w:szCs w:val="21"/>
        </w:rPr>
        <w:t>ACUERDO</w:t>
      </w:r>
    </w:p>
    <w:p w14:paraId="5420BB38" w14:textId="77777777" w:rsidR="0066785A" w:rsidRDefault="0066785A" w:rsidP="00B60E59">
      <w:pPr>
        <w:ind w:left="1463" w:right="1655"/>
        <w:jc w:val="both"/>
        <w:rPr>
          <w:rFonts w:ascii="Abadi" w:hAnsi="Abadi"/>
          <w:sz w:val="21"/>
          <w:szCs w:val="21"/>
        </w:rPr>
      </w:pPr>
    </w:p>
    <w:p w14:paraId="5781A192" w14:textId="77777777" w:rsidR="0066785A" w:rsidRDefault="0066785A" w:rsidP="00B60E59">
      <w:pPr>
        <w:ind w:left="1463" w:right="1655"/>
        <w:jc w:val="both"/>
        <w:rPr>
          <w:rFonts w:ascii="Abadi" w:hAnsi="Abadi"/>
          <w:sz w:val="21"/>
          <w:szCs w:val="21"/>
        </w:rPr>
      </w:pPr>
    </w:p>
    <w:p w14:paraId="7E6CDEEF" w14:textId="06BB38E0" w:rsidR="00B60E59" w:rsidRDefault="00B60E59" w:rsidP="0066785A">
      <w:pPr>
        <w:ind w:right="142"/>
        <w:jc w:val="both"/>
        <w:rPr>
          <w:rFonts w:ascii="Abadi" w:hAnsi="Abadi"/>
          <w:i/>
          <w:sz w:val="21"/>
          <w:szCs w:val="21"/>
        </w:rPr>
      </w:pPr>
      <w:r w:rsidRPr="0066785A">
        <w:rPr>
          <w:rFonts w:ascii="Abadi" w:hAnsi="Abadi"/>
          <w:b/>
          <w:bCs/>
          <w:sz w:val="21"/>
          <w:szCs w:val="21"/>
        </w:rPr>
        <w:t>PRIMERO.</w:t>
      </w:r>
      <w:r w:rsidRPr="00650831">
        <w:rPr>
          <w:rFonts w:ascii="Abadi" w:hAnsi="Abadi"/>
          <w:sz w:val="21"/>
          <w:szCs w:val="21"/>
        </w:rPr>
        <w:t xml:space="preserve"> Esta LXV Legislatura del Estado de Guanajuato acuerda girar atento</w:t>
      </w:r>
      <w:r w:rsidRPr="00650831">
        <w:rPr>
          <w:rFonts w:ascii="Abadi" w:hAnsi="Abadi"/>
          <w:spacing w:val="-15"/>
          <w:sz w:val="21"/>
          <w:szCs w:val="21"/>
        </w:rPr>
        <w:t xml:space="preserve"> </w:t>
      </w:r>
      <w:r w:rsidRPr="00650831">
        <w:rPr>
          <w:rFonts w:ascii="Abadi" w:hAnsi="Abadi"/>
          <w:sz w:val="21"/>
          <w:szCs w:val="21"/>
        </w:rPr>
        <w:t>exhorto</w:t>
      </w:r>
      <w:r w:rsidRPr="00650831">
        <w:rPr>
          <w:rFonts w:ascii="Abadi" w:hAnsi="Abadi"/>
          <w:spacing w:val="-15"/>
          <w:sz w:val="21"/>
          <w:szCs w:val="21"/>
        </w:rPr>
        <w:t xml:space="preserve"> </w:t>
      </w:r>
      <w:r w:rsidRPr="00650831">
        <w:rPr>
          <w:rFonts w:ascii="Abadi" w:hAnsi="Abadi"/>
          <w:sz w:val="21"/>
          <w:szCs w:val="21"/>
        </w:rPr>
        <w:t>al</w:t>
      </w:r>
      <w:r w:rsidRPr="00650831">
        <w:rPr>
          <w:rFonts w:ascii="Abadi" w:hAnsi="Abadi"/>
          <w:spacing w:val="-14"/>
          <w:sz w:val="21"/>
          <w:szCs w:val="21"/>
        </w:rPr>
        <w:t xml:space="preserve"> </w:t>
      </w:r>
      <w:r w:rsidRPr="00650831">
        <w:rPr>
          <w:rFonts w:ascii="Abadi" w:hAnsi="Abadi"/>
          <w:sz w:val="21"/>
          <w:szCs w:val="21"/>
        </w:rPr>
        <w:t>Poder</w:t>
      </w:r>
      <w:r w:rsidRPr="00650831">
        <w:rPr>
          <w:rFonts w:ascii="Abadi" w:hAnsi="Abadi"/>
          <w:spacing w:val="-14"/>
          <w:sz w:val="21"/>
          <w:szCs w:val="21"/>
        </w:rPr>
        <w:t xml:space="preserve"> </w:t>
      </w:r>
      <w:r w:rsidRPr="00650831">
        <w:rPr>
          <w:rFonts w:ascii="Abadi" w:hAnsi="Abadi"/>
          <w:sz w:val="21"/>
          <w:szCs w:val="21"/>
        </w:rPr>
        <w:t>Ejecutivo</w:t>
      </w:r>
      <w:r w:rsidRPr="00650831">
        <w:rPr>
          <w:rFonts w:ascii="Abadi" w:hAnsi="Abadi"/>
          <w:spacing w:val="-15"/>
          <w:sz w:val="21"/>
          <w:szCs w:val="21"/>
        </w:rPr>
        <w:t xml:space="preserve"> </w:t>
      </w:r>
      <w:r w:rsidRPr="00650831">
        <w:rPr>
          <w:rFonts w:ascii="Abadi" w:hAnsi="Abadi"/>
          <w:sz w:val="21"/>
          <w:szCs w:val="21"/>
        </w:rPr>
        <w:t>del</w:t>
      </w:r>
      <w:r w:rsidRPr="00650831">
        <w:rPr>
          <w:rFonts w:ascii="Abadi" w:hAnsi="Abadi"/>
          <w:spacing w:val="-14"/>
          <w:sz w:val="21"/>
          <w:szCs w:val="21"/>
        </w:rPr>
        <w:t xml:space="preserve"> </w:t>
      </w:r>
      <w:r w:rsidRPr="00650831">
        <w:rPr>
          <w:rFonts w:ascii="Abadi" w:hAnsi="Abadi"/>
          <w:sz w:val="21"/>
          <w:szCs w:val="21"/>
        </w:rPr>
        <w:t>Estado</w:t>
      </w:r>
      <w:r w:rsidRPr="00650831">
        <w:rPr>
          <w:rFonts w:ascii="Abadi" w:hAnsi="Abadi"/>
          <w:spacing w:val="-15"/>
          <w:sz w:val="21"/>
          <w:szCs w:val="21"/>
        </w:rPr>
        <w:t xml:space="preserve"> </w:t>
      </w:r>
      <w:r w:rsidRPr="00650831">
        <w:rPr>
          <w:rFonts w:ascii="Abadi" w:hAnsi="Abadi"/>
          <w:sz w:val="21"/>
          <w:szCs w:val="21"/>
        </w:rPr>
        <w:t>de</w:t>
      </w:r>
      <w:r w:rsidRPr="00650831">
        <w:rPr>
          <w:rFonts w:ascii="Abadi" w:hAnsi="Abadi"/>
          <w:spacing w:val="-14"/>
          <w:sz w:val="21"/>
          <w:szCs w:val="21"/>
        </w:rPr>
        <w:t xml:space="preserve"> </w:t>
      </w:r>
      <w:r w:rsidRPr="00650831">
        <w:rPr>
          <w:rFonts w:ascii="Abadi" w:hAnsi="Abadi"/>
          <w:sz w:val="21"/>
          <w:szCs w:val="21"/>
        </w:rPr>
        <w:t>Guanajuato</w:t>
      </w:r>
      <w:r w:rsidRPr="00650831">
        <w:rPr>
          <w:rFonts w:ascii="Abadi" w:hAnsi="Abadi"/>
          <w:spacing w:val="-16"/>
          <w:sz w:val="21"/>
          <w:szCs w:val="21"/>
        </w:rPr>
        <w:t xml:space="preserve"> </w:t>
      </w:r>
      <w:r w:rsidRPr="00650831">
        <w:rPr>
          <w:rFonts w:ascii="Abadi" w:hAnsi="Abadi"/>
          <w:sz w:val="21"/>
          <w:szCs w:val="21"/>
        </w:rPr>
        <w:t>para</w:t>
      </w:r>
      <w:r w:rsidRPr="00650831">
        <w:rPr>
          <w:rFonts w:ascii="Abadi" w:hAnsi="Abadi"/>
          <w:spacing w:val="-16"/>
          <w:sz w:val="21"/>
          <w:szCs w:val="21"/>
        </w:rPr>
        <w:t xml:space="preserve"> </w:t>
      </w:r>
      <w:r w:rsidRPr="00650831">
        <w:rPr>
          <w:rFonts w:ascii="Abadi" w:hAnsi="Abadi"/>
          <w:sz w:val="21"/>
          <w:szCs w:val="21"/>
        </w:rPr>
        <w:t>que,</w:t>
      </w:r>
      <w:r w:rsidRPr="00650831">
        <w:rPr>
          <w:rFonts w:ascii="Abadi" w:hAnsi="Abadi"/>
          <w:spacing w:val="-15"/>
          <w:sz w:val="21"/>
          <w:szCs w:val="21"/>
        </w:rPr>
        <w:t xml:space="preserve"> </w:t>
      </w:r>
      <w:r w:rsidRPr="00650831">
        <w:rPr>
          <w:rFonts w:ascii="Abadi" w:hAnsi="Abadi"/>
          <w:sz w:val="21"/>
          <w:szCs w:val="21"/>
        </w:rPr>
        <w:t>en el ejercicio de sus funciones establezcan mecanismos de supervisión y control más</w:t>
      </w:r>
      <w:r w:rsidRPr="00650831">
        <w:rPr>
          <w:rFonts w:ascii="Abadi" w:hAnsi="Abadi"/>
          <w:spacing w:val="-1"/>
          <w:sz w:val="21"/>
          <w:szCs w:val="21"/>
        </w:rPr>
        <w:t xml:space="preserve"> </w:t>
      </w:r>
      <w:r w:rsidRPr="00650831">
        <w:rPr>
          <w:rFonts w:ascii="Abadi" w:hAnsi="Abadi"/>
          <w:sz w:val="21"/>
          <w:szCs w:val="21"/>
        </w:rPr>
        <w:t>rigurosos y saquen del mercado aquellos</w:t>
      </w:r>
      <w:r w:rsidRPr="00650831">
        <w:rPr>
          <w:rFonts w:ascii="Abadi" w:hAnsi="Abadi"/>
          <w:spacing w:val="-1"/>
          <w:sz w:val="21"/>
          <w:szCs w:val="21"/>
        </w:rPr>
        <w:t xml:space="preserve"> </w:t>
      </w:r>
      <w:r w:rsidRPr="00650831">
        <w:rPr>
          <w:rFonts w:ascii="Abadi" w:hAnsi="Abadi"/>
          <w:sz w:val="21"/>
          <w:szCs w:val="21"/>
        </w:rPr>
        <w:t>que se vendan de manera ilegal en establecimientos y en la vía pública, asegurando el cumplimiento</w:t>
      </w:r>
      <w:r w:rsidRPr="00650831">
        <w:rPr>
          <w:rFonts w:ascii="Abadi" w:hAnsi="Abadi"/>
          <w:spacing w:val="-16"/>
          <w:sz w:val="21"/>
          <w:szCs w:val="21"/>
        </w:rPr>
        <w:t xml:space="preserve"> </w:t>
      </w:r>
      <w:r w:rsidRPr="00650831">
        <w:rPr>
          <w:rFonts w:ascii="Abadi" w:hAnsi="Abadi"/>
          <w:sz w:val="21"/>
          <w:szCs w:val="21"/>
        </w:rPr>
        <w:t>efectivo</w:t>
      </w:r>
      <w:r w:rsidRPr="00650831">
        <w:rPr>
          <w:rFonts w:ascii="Abadi" w:hAnsi="Abadi"/>
          <w:spacing w:val="-14"/>
          <w:sz w:val="21"/>
          <w:szCs w:val="21"/>
        </w:rPr>
        <w:t xml:space="preserve"> </w:t>
      </w:r>
      <w:r w:rsidRPr="00650831">
        <w:rPr>
          <w:rFonts w:ascii="Abadi" w:hAnsi="Abadi"/>
          <w:sz w:val="21"/>
          <w:szCs w:val="21"/>
        </w:rPr>
        <w:t>del</w:t>
      </w:r>
      <w:r w:rsidRPr="00650831">
        <w:rPr>
          <w:rFonts w:ascii="Abadi" w:hAnsi="Abadi"/>
          <w:spacing w:val="-9"/>
          <w:sz w:val="21"/>
          <w:szCs w:val="21"/>
        </w:rPr>
        <w:t xml:space="preserve"> </w:t>
      </w:r>
      <w:r w:rsidRPr="00650831">
        <w:rPr>
          <w:rFonts w:ascii="Abadi" w:hAnsi="Abadi"/>
          <w:i/>
          <w:sz w:val="21"/>
          <w:szCs w:val="21"/>
        </w:rPr>
        <w:t>DECRETO</w:t>
      </w:r>
      <w:r w:rsidRPr="00650831">
        <w:rPr>
          <w:rFonts w:ascii="Abadi" w:hAnsi="Abadi"/>
          <w:i/>
          <w:spacing w:val="-12"/>
          <w:sz w:val="21"/>
          <w:szCs w:val="21"/>
        </w:rPr>
        <w:t xml:space="preserve"> </w:t>
      </w:r>
      <w:r w:rsidRPr="00650831">
        <w:rPr>
          <w:rFonts w:ascii="Abadi" w:hAnsi="Abadi"/>
          <w:i/>
          <w:sz w:val="21"/>
          <w:szCs w:val="21"/>
        </w:rPr>
        <w:t>por</w:t>
      </w:r>
      <w:r w:rsidRPr="00650831">
        <w:rPr>
          <w:rFonts w:ascii="Abadi" w:hAnsi="Abadi"/>
          <w:i/>
          <w:spacing w:val="-12"/>
          <w:sz w:val="21"/>
          <w:szCs w:val="21"/>
        </w:rPr>
        <w:t xml:space="preserve"> </w:t>
      </w:r>
      <w:r w:rsidRPr="00650831">
        <w:rPr>
          <w:rFonts w:ascii="Abadi" w:hAnsi="Abadi"/>
          <w:i/>
          <w:sz w:val="21"/>
          <w:szCs w:val="21"/>
        </w:rPr>
        <w:t>el</w:t>
      </w:r>
      <w:r w:rsidRPr="00650831">
        <w:rPr>
          <w:rFonts w:ascii="Abadi" w:hAnsi="Abadi"/>
          <w:i/>
          <w:spacing w:val="-9"/>
          <w:sz w:val="21"/>
          <w:szCs w:val="21"/>
        </w:rPr>
        <w:t xml:space="preserve"> </w:t>
      </w:r>
      <w:r w:rsidRPr="00650831">
        <w:rPr>
          <w:rFonts w:ascii="Abadi" w:hAnsi="Abadi"/>
          <w:i/>
          <w:sz w:val="21"/>
          <w:szCs w:val="21"/>
        </w:rPr>
        <w:t>que</w:t>
      </w:r>
      <w:r w:rsidRPr="00650831">
        <w:rPr>
          <w:rFonts w:ascii="Abadi" w:hAnsi="Abadi"/>
          <w:i/>
          <w:spacing w:val="-10"/>
          <w:sz w:val="21"/>
          <w:szCs w:val="21"/>
        </w:rPr>
        <w:t xml:space="preserve"> </w:t>
      </w:r>
      <w:r w:rsidRPr="00650831">
        <w:rPr>
          <w:rFonts w:ascii="Abadi" w:hAnsi="Abadi"/>
          <w:i/>
          <w:sz w:val="21"/>
          <w:szCs w:val="21"/>
        </w:rPr>
        <w:t>se</w:t>
      </w:r>
      <w:r w:rsidRPr="00650831">
        <w:rPr>
          <w:rFonts w:ascii="Abadi" w:hAnsi="Abadi"/>
          <w:i/>
          <w:spacing w:val="-10"/>
          <w:sz w:val="21"/>
          <w:szCs w:val="21"/>
        </w:rPr>
        <w:t xml:space="preserve"> </w:t>
      </w:r>
      <w:r w:rsidRPr="00650831">
        <w:rPr>
          <w:rFonts w:ascii="Abadi" w:hAnsi="Abadi"/>
          <w:i/>
          <w:sz w:val="21"/>
          <w:szCs w:val="21"/>
        </w:rPr>
        <w:t>prohíbe</w:t>
      </w:r>
      <w:r w:rsidRPr="00650831">
        <w:rPr>
          <w:rFonts w:ascii="Abadi" w:hAnsi="Abadi"/>
          <w:i/>
          <w:spacing w:val="-11"/>
          <w:sz w:val="21"/>
          <w:szCs w:val="21"/>
        </w:rPr>
        <w:t xml:space="preserve"> </w:t>
      </w:r>
      <w:r w:rsidRPr="00650831">
        <w:rPr>
          <w:rFonts w:ascii="Abadi" w:hAnsi="Abadi"/>
          <w:i/>
          <w:sz w:val="21"/>
          <w:szCs w:val="21"/>
        </w:rPr>
        <w:t>la</w:t>
      </w:r>
      <w:r w:rsidRPr="00650831">
        <w:rPr>
          <w:rFonts w:ascii="Abadi" w:hAnsi="Abadi"/>
          <w:i/>
          <w:spacing w:val="-11"/>
          <w:sz w:val="21"/>
          <w:szCs w:val="21"/>
        </w:rPr>
        <w:t xml:space="preserve"> </w:t>
      </w:r>
      <w:r w:rsidRPr="00650831">
        <w:rPr>
          <w:rFonts w:ascii="Abadi" w:hAnsi="Abadi"/>
          <w:i/>
          <w:sz w:val="21"/>
          <w:szCs w:val="21"/>
        </w:rPr>
        <w:t>circulación</w:t>
      </w:r>
      <w:r w:rsidRPr="00650831">
        <w:rPr>
          <w:rFonts w:ascii="Abadi" w:hAnsi="Abadi"/>
          <w:i/>
          <w:spacing w:val="-16"/>
          <w:sz w:val="21"/>
          <w:szCs w:val="21"/>
        </w:rPr>
        <w:t xml:space="preserve"> </w:t>
      </w:r>
      <w:r w:rsidRPr="00650831">
        <w:rPr>
          <w:rFonts w:ascii="Abadi" w:hAnsi="Abadi"/>
          <w:i/>
          <w:sz w:val="21"/>
          <w:szCs w:val="21"/>
        </w:rPr>
        <w:t>y comercialización en el interior de la República, cualquiera que sea su procedencia,</w:t>
      </w:r>
      <w:r w:rsidRPr="00650831">
        <w:rPr>
          <w:rFonts w:ascii="Abadi" w:hAnsi="Abadi"/>
          <w:i/>
          <w:spacing w:val="-6"/>
          <w:sz w:val="21"/>
          <w:szCs w:val="21"/>
        </w:rPr>
        <w:t xml:space="preserve"> </w:t>
      </w:r>
      <w:r w:rsidRPr="00650831">
        <w:rPr>
          <w:rFonts w:ascii="Abadi" w:hAnsi="Abadi"/>
          <w:i/>
          <w:sz w:val="21"/>
          <w:szCs w:val="21"/>
        </w:rPr>
        <w:t>de</w:t>
      </w:r>
      <w:r w:rsidRPr="00650831">
        <w:rPr>
          <w:rFonts w:ascii="Abadi" w:hAnsi="Abadi"/>
          <w:i/>
          <w:spacing w:val="-10"/>
          <w:sz w:val="21"/>
          <w:szCs w:val="21"/>
        </w:rPr>
        <w:t xml:space="preserve"> </w:t>
      </w:r>
      <w:r w:rsidRPr="00650831">
        <w:rPr>
          <w:rFonts w:ascii="Abadi" w:hAnsi="Abadi"/>
          <w:i/>
          <w:sz w:val="21"/>
          <w:szCs w:val="21"/>
        </w:rPr>
        <w:t>los</w:t>
      </w:r>
      <w:r w:rsidRPr="00650831">
        <w:rPr>
          <w:rFonts w:ascii="Abadi" w:hAnsi="Abadi"/>
          <w:i/>
          <w:spacing w:val="-5"/>
          <w:sz w:val="21"/>
          <w:szCs w:val="21"/>
        </w:rPr>
        <w:t xml:space="preserve"> </w:t>
      </w:r>
      <w:r w:rsidRPr="00650831">
        <w:rPr>
          <w:rFonts w:ascii="Abadi" w:hAnsi="Abadi"/>
          <w:i/>
          <w:sz w:val="21"/>
          <w:szCs w:val="21"/>
        </w:rPr>
        <w:t>Sistemas</w:t>
      </w:r>
      <w:r w:rsidRPr="00650831">
        <w:rPr>
          <w:rFonts w:ascii="Abadi" w:hAnsi="Abadi"/>
          <w:i/>
          <w:spacing w:val="-7"/>
          <w:sz w:val="21"/>
          <w:szCs w:val="21"/>
        </w:rPr>
        <w:t xml:space="preserve"> </w:t>
      </w:r>
      <w:r w:rsidRPr="00650831">
        <w:rPr>
          <w:rFonts w:ascii="Abadi" w:hAnsi="Abadi"/>
          <w:i/>
          <w:sz w:val="21"/>
          <w:szCs w:val="21"/>
        </w:rPr>
        <w:t>Electrónicos</w:t>
      </w:r>
      <w:r w:rsidRPr="00650831">
        <w:rPr>
          <w:rFonts w:ascii="Abadi" w:hAnsi="Abadi"/>
          <w:i/>
          <w:spacing w:val="-6"/>
          <w:sz w:val="21"/>
          <w:szCs w:val="21"/>
        </w:rPr>
        <w:t xml:space="preserve"> </w:t>
      </w:r>
      <w:r w:rsidRPr="00650831">
        <w:rPr>
          <w:rFonts w:ascii="Abadi" w:hAnsi="Abadi"/>
          <w:i/>
          <w:sz w:val="21"/>
          <w:szCs w:val="21"/>
        </w:rPr>
        <w:t>de</w:t>
      </w:r>
      <w:r w:rsidRPr="00650831">
        <w:rPr>
          <w:rFonts w:ascii="Abadi" w:hAnsi="Abadi"/>
          <w:i/>
          <w:spacing w:val="-10"/>
          <w:sz w:val="21"/>
          <w:szCs w:val="21"/>
        </w:rPr>
        <w:t xml:space="preserve"> </w:t>
      </w:r>
      <w:r w:rsidRPr="00650831">
        <w:rPr>
          <w:rFonts w:ascii="Abadi" w:hAnsi="Abadi"/>
          <w:i/>
          <w:sz w:val="21"/>
          <w:szCs w:val="21"/>
        </w:rPr>
        <w:t>Administración</w:t>
      </w:r>
      <w:r w:rsidRPr="00650831">
        <w:rPr>
          <w:rFonts w:ascii="Abadi" w:hAnsi="Abadi"/>
          <w:i/>
          <w:spacing w:val="-7"/>
          <w:sz w:val="21"/>
          <w:szCs w:val="21"/>
        </w:rPr>
        <w:t xml:space="preserve"> </w:t>
      </w:r>
      <w:r w:rsidRPr="00650831">
        <w:rPr>
          <w:rFonts w:ascii="Abadi" w:hAnsi="Abadi"/>
          <w:i/>
          <w:sz w:val="21"/>
          <w:szCs w:val="21"/>
        </w:rPr>
        <w:t>de</w:t>
      </w:r>
      <w:r w:rsidRPr="00650831">
        <w:rPr>
          <w:rFonts w:ascii="Abadi" w:hAnsi="Abadi"/>
          <w:i/>
          <w:spacing w:val="-6"/>
          <w:sz w:val="21"/>
          <w:szCs w:val="21"/>
        </w:rPr>
        <w:t xml:space="preserve"> </w:t>
      </w:r>
      <w:r w:rsidRPr="00650831">
        <w:rPr>
          <w:rFonts w:ascii="Abadi" w:hAnsi="Abadi"/>
          <w:i/>
          <w:sz w:val="21"/>
          <w:szCs w:val="21"/>
        </w:rPr>
        <w:t>Nicotina, Sistemas Similares sin Nicotina, Sistemas Alternativos de Consumo de Nicotina, cigarrillos electrónicos y dispositivos vaporizadores con usos similares,</w:t>
      </w:r>
      <w:r w:rsidRPr="00650831">
        <w:rPr>
          <w:rFonts w:ascii="Abadi" w:hAnsi="Abadi"/>
          <w:i/>
          <w:spacing w:val="-6"/>
          <w:sz w:val="21"/>
          <w:szCs w:val="21"/>
        </w:rPr>
        <w:t xml:space="preserve"> </w:t>
      </w:r>
      <w:r w:rsidRPr="00650831">
        <w:rPr>
          <w:rFonts w:ascii="Abadi" w:hAnsi="Abadi"/>
          <w:i/>
          <w:sz w:val="21"/>
          <w:szCs w:val="21"/>
        </w:rPr>
        <w:t>así</w:t>
      </w:r>
      <w:r w:rsidRPr="00650831">
        <w:rPr>
          <w:rFonts w:ascii="Abadi" w:hAnsi="Abadi"/>
          <w:i/>
          <w:spacing w:val="-8"/>
          <w:sz w:val="21"/>
          <w:szCs w:val="21"/>
        </w:rPr>
        <w:t xml:space="preserve"> </w:t>
      </w:r>
      <w:r w:rsidRPr="00650831">
        <w:rPr>
          <w:rFonts w:ascii="Abadi" w:hAnsi="Abadi"/>
          <w:i/>
          <w:sz w:val="21"/>
          <w:szCs w:val="21"/>
        </w:rPr>
        <w:t>como</w:t>
      </w:r>
      <w:r w:rsidRPr="00650831">
        <w:rPr>
          <w:rFonts w:ascii="Abadi" w:hAnsi="Abadi"/>
          <w:i/>
          <w:spacing w:val="-10"/>
          <w:sz w:val="21"/>
          <w:szCs w:val="21"/>
        </w:rPr>
        <w:t xml:space="preserve"> </w:t>
      </w:r>
      <w:r w:rsidRPr="00650831">
        <w:rPr>
          <w:rFonts w:ascii="Abadi" w:hAnsi="Abadi"/>
          <w:i/>
          <w:sz w:val="21"/>
          <w:szCs w:val="21"/>
        </w:rPr>
        <w:t>las</w:t>
      </w:r>
      <w:r w:rsidRPr="00650831">
        <w:rPr>
          <w:rFonts w:ascii="Abadi" w:hAnsi="Abadi"/>
          <w:i/>
          <w:spacing w:val="-7"/>
          <w:sz w:val="21"/>
          <w:szCs w:val="21"/>
        </w:rPr>
        <w:t xml:space="preserve"> </w:t>
      </w:r>
      <w:r w:rsidRPr="00650831">
        <w:rPr>
          <w:rFonts w:ascii="Abadi" w:hAnsi="Abadi"/>
          <w:i/>
          <w:sz w:val="21"/>
          <w:szCs w:val="21"/>
        </w:rPr>
        <w:t>soluciones</w:t>
      </w:r>
      <w:r w:rsidRPr="00650831">
        <w:rPr>
          <w:rFonts w:ascii="Abadi" w:hAnsi="Abadi"/>
          <w:i/>
          <w:spacing w:val="-10"/>
          <w:sz w:val="21"/>
          <w:szCs w:val="21"/>
        </w:rPr>
        <w:t xml:space="preserve"> </w:t>
      </w:r>
      <w:r w:rsidRPr="00650831">
        <w:rPr>
          <w:rFonts w:ascii="Abadi" w:hAnsi="Abadi"/>
          <w:i/>
          <w:sz w:val="21"/>
          <w:szCs w:val="21"/>
        </w:rPr>
        <w:t>y</w:t>
      </w:r>
      <w:r w:rsidRPr="00650831">
        <w:rPr>
          <w:rFonts w:ascii="Abadi" w:hAnsi="Abadi"/>
          <w:i/>
          <w:spacing w:val="-7"/>
          <w:sz w:val="21"/>
          <w:szCs w:val="21"/>
        </w:rPr>
        <w:t xml:space="preserve"> </w:t>
      </w:r>
      <w:r w:rsidRPr="00650831">
        <w:rPr>
          <w:rFonts w:ascii="Abadi" w:hAnsi="Abadi"/>
          <w:i/>
          <w:sz w:val="21"/>
          <w:szCs w:val="21"/>
        </w:rPr>
        <w:t>mezclas</w:t>
      </w:r>
      <w:r w:rsidRPr="00650831">
        <w:rPr>
          <w:rFonts w:ascii="Abadi" w:hAnsi="Abadi"/>
          <w:i/>
          <w:spacing w:val="-10"/>
          <w:sz w:val="21"/>
          <w:szCs w:val="21"/>
        </w:rPr>
        <w:t xml:space="preserve"> </w:t>
      </w:r>
      <w:r w:rsidRPr="00650831">
        <w:rPr>
          <w:rFonts w:ascii="Abadi" w:hAnsi="Abadi"/>
          <w:i/>
          <w:sz w:val="21"/>
          <w:szCs w:val="21"/>
        </w:rPr>
        <w:t>utilizadas</w:t>
      </w:r>
      <w:r w:rsidRPr="00650831">
        <w:rPr>
          <w:rFonts w:ascii="Abadi" w:hAnsi="Abadi"/>
          <w:i/>
          <w:spacing w:val="-10"/>
          <w:sz w:val="21"/>
          <w:szCs w:val="21"/>
        </w:rPr>
        <w:t xml:space="preserve"> </w:t>
      </w:r>
      <w:r w:rsidRPr="00650831">
        <w:rPr>
          <w:rFonts w:ascii="Abadi" w:hAnsi="Abadi"/>
          <w:i/>
          <w:sz w:val="21"/>
          <w:szCs w:val="21"/>
        </w:rPr>
        <w:t>en</w:t>
      </w:r>
      <w:r w:rsidRPr="00650831">
        <w:rPr>
          <w:rFonts w:ascii="Abadi" w:hAnsi="Abadi"/>
          <w:i/>
          <w:spacing w:val="-10"/>
          <w:sz w:val="21"/>
          <w:szCs w:val="21"/>
        </w:rPr>
        <w:t xml:space="preserve"> </w:t>
      </w:r>
      <w:r w:rsidRPr="00650831">
        <w:rPr>
          <w:rFonts w:ascii="Abadi" w:hAnsi="Abadi"/>
          <w:i/>
          <w:sz w:val="21"/>
          <w:szCs w:val="21"/>
        </w:rPr>
        <w:t>dichos</w:t>
      </w:r>
      <w:r w:rsidRPr="00650831">
        <w:rPr>
          <w:rFonts w:ascii="Abadi" w:hAnsi="Abadi"/>
          <w:i/>
          <w:spacing w:val="-10"/>
          <w:sz w:val="21"/>
          <w:szCs w:val="21"/>
        </w:rPr>
        <w:t xml:space="preserve"> </w:t>
      </w:r>
      <w:r w:rsidRPr="00650831">
        <w:rPr>
          <w:rFonts w:ascii="Abadi" w:hAnsi="Abadi"/>
          <w:i/>
          <w:sz w:val="21"/>
          <w:szCs w:val="21"/>
        </w:rPr>
        <w:t>sistemas (DOF 31/05/2022).</w:t>
      </w:r>
    </w:p>
    <w:p w14:paraId="04E79E7E" w14:textId="77777777" w:rsidR="0020483B" w:rsidRDefault="0020483B" w:rsidP="0066785A">
      <w:pPr>
        <w:ind w:right="142"/>
        <w:jc w:val="both"/>
        <w:rPr>
          <w:rFonts w:ascii="Abadi" w:hAnsi="Abadi"/>
          <w:i/>
          <w:sz w:val="21"/>
          <w:szCs w:val="21"/>
        </w:rPr>
      </w:pPr>
    </w:p>
    <w:p w14:paraId="044A7ACB" w14:textId="77777777" w:rsidR="0020483B" w:rsidRDefault="0020483B" w:rsidP="0020483B">
      <w:pPr>
        <w:pStyle w:val="Textoindependiente"/>
        <w:ind w:right="142"/>
        <w:rPr>
          <w:rFonts w:ascii="Abadi" w:hAnsi="Abadi"/>
          <w:sz w:val="21"/>
          <w:szCs w:val="21"/>
        </w:rPr>
      </w:pPr>
      <w:r w:rsidRPr="0020483B">
        <w:rPr>
          <w:rFonts w:ascii="Abadi" w:hAnsi="Abadi"/>
          <w:bCs w:val="0"/>
          <w:sz w:val="21"/>
          <w:szCs w:val="21"/>
        </w:rPr>
        <w:t>SEGUNDO.</w:t>
      </w:r>
      <w:r w:rsidRPr="00650831">
        <w:rPr>
          <w:rFonts w:ascii="Abadi" w:hAnsi="Abadi"/>
          <w:b w:val="0"/>
          <w:sz w:val="21"/>
          <w:szCs w:val="21"/>
        </w:rPr>
        <w:t xml:space="preserve"> Esta LXV Legislatura del Estado de Guanajuato acuerda girar atento exhorto al Poder Ejecutivo del Estado de Guanajuato, para que, por medio de la Secretaría de Salud, contemple y diseñe programas específicos de apoyo y tratamiento para aquellos que deseen dejar de usar vapeadores y productos de vapeo, con el objetivo de brindarles alternativas y ayuda necesaria.</w:t>
      </w:r>
    </w:p>
    <w:p w14:paraId="3855768B" w14:textId="77777777" w:rsidR="0020483B" w:rsidRPr="00650831" w:rsidRDefault="0020483B" w:rsidP="0020483B">
      <w:pPr>
        <w:pStyle w:val="Textoindependiente"/>
        <w:ind w:left="1463" w:right="1657"/>
        <w:rPr>
          <w:rFonts w:ascii="Abadi" w:hAnsi="Abadi"/>
          <w:sz w:val="21"/>
          <w:szCs w:val="21"/>
        </w:rPr>
      </w:pPr>
    </w:p>
    <w:p w14:paraId="63FD3797" w14:textId="41B18032" w:rsidR="0020483B" w:rsidRPr="00650831" w:rsidRDefault="0020483B" w:rsidP="0020483B">
      <w:pPr>
        <w:ind w:right="142"/>
        <w:jc w:val="both"/>
        <w:rPr>
          <w:rFonts w:ascii="Abadi" w:hAnsi="Abadi"/>
          <w:i/>
          <w:sz w:val="21"/>
          <w:szCs w:val="21"/>
        </w:rPr>
      </w:pPr>
      <w:r w:rsidRPr="0020483B">
        <w:rPr>
          <w:rFonts w:ascii="Abadi" w:hAnsi="Abadi"/>
          <w:b/>
          <w:bCs/>
          <w:sz w:val="21"/>
          <w:szCs w:val="21"/>
        </w:rPr>
        <w:t>TERCERO.</w:t>
      </w:r>
      <w:r w:rsidRPr="00650831">
        <w:rPr>
          <w:rFonts w:ascii="Abadi" w:hAnsi="Abadi"/>
          <w:sz w:val="21"/>
          <w:szCs w:val="21"/>
        </w:rPr>
        <w:t xml:space="preserve"> Esta LXV Legislatura del Estado de Guanajuato acuerda girar atento exhorto a los 46 ayuntamientos del Estado de Guanajuato para que en ejercicio de sus </w:t>
      </w:r>
      <w:r w:rsidRPr="00650831">
        <w:rPr>
          <w:rFonts w:ascii="Abadi" w:hAnsi="Abadi"/>
          <w:sz w:val="21"/>
          <w:szCs w:val="21"/>
        </w:rPr>
        <w:lastRenderedPageBreak/>
        <w:t>funciones continúen con la promoción de campañas de concientización y educación sobre los riesgos del uso de vapeadores y productos de vapeo, con el fin de fomentar hábitos saludables y prevenir su consumo</w:t>
      </w:r>
    </w:p>
    <w:p w14:paraId="4D885C97" w14:textId="31B164E5" w:rsidR="00D23386" w:rsidRPr="00650831" w:rsidRDefault="00D23386" w:rsidP="00D1398C">
      <w:pPr>
        <w:pStyle w:val="Textoindependiente"/>
        <w:ind w:left="142" w:firstLine="360"/>
        <w:rPr>
          <w:rFonts w:ascii="Abadi" w:hAnsi="Abadi"/>
          <w:sz w:val="21"/>
          <w:szCs w:val="21"/>
        </w:rPr>
      </w:pPr>
    </w:p>
    <w:p w14:paraId="489EFF0E" w14:textId="77777777" w:rsidR="00BE721D" w:rsidRDefault="00BE721D" w:rsidP="00493770">
      <w:pPr>
        <w:pStyle w:val="Textoindependiente"/>
        <w:jc w:val="center"/>
        <w:rPr>
          <w:rFonts w:ascii="Abadi" w:hAnsi="Abadi"/>
          <w:b w:val="0"/>
          <w:spacing w:val="-4"/>
          <w:sz w:val="21"/>
          <w:szCs w:val="21"/>
        </w:rPr>
      </w:pPr>
      <w:r w:rsidRPr="00650831">
        <w:rPr>
          <w:rFonts w:ascii="Abadi" w:hAnsi="Abadi"/>
          <w:b w:val="0"/>
          <w:sz w:val="21"/>
          <w:szCs w:val="21"/>
        </w:rPr>
        <w:t>Guanajuato,</w:t>
      </w:r>
      <w:r w:rsidRPr="00650831">
        <w:rPr>
          <w:rFonts w:ascii="Abadi" w:hAnsi="Abadi"/>
          <w:b w:val="0"/>
          <w:spacing w:val="-5"/>
          <w:sz w:val="21"/>
          <w:szCs w:val="21"/>
        </w:rPr>
        <w:t xml:space="preserve"> </w:t>
      </w:r>
      <w:proofErr w:type="spellStart"/>
      <w:r w:rsidRPr="00650831">
        <w:rPr>
          <w:rFonts w:ascii="Abadi" w:hAnsi="Abadi"/>
          <w:b w:val="0"/>
          <w:sz w:val="21"/>
          <w:szCs w:val="21"/>
        </w:rPr>
        <w:t>Gto</w:t>
      </w:r>
      <w:proofErr w:type="spellEnd"/>
      <w:r w:rsidRPr="00650831">
        <w:rPr>
          <w:rFonts w:ascii="Abadi" w:hAnsi="Abadi"/>
          <w:b w:val="0"/>
          <w:sz w:val="21"/>
          <w:szCs w:val="21"/>
        </w:rPr>
        <w:t>.,</w:t>
      </w:r>
      <w:r w:rsidRPr="00650831">
        <w:rPr>
          <w:rFonts w:ascii="Abadi" w:hAnsi="Abadi"/>
          <w:b w:val="0"/>
          <w:spacing w:val="-3"/>
          <w:sz w:val="21"/>
          <w:szCs w:val="21"/>
        </w:rPr>
        <w:t xml:space="preserve"> </w:t>
      </w:r>
      <w:r w:rsidRPr="00650831">
        <w:rPr>
          <w:rFonts w:ascii="Abadi" w:hAnsi="Abadi"/>
          <w:b w:val="0"/>
          <w:sz w:val="21"/>
          <w:szCs w:val="21"/>
        </w:rPr>
        <w:t>22</w:t>
      </w:r>
      <w:r w:rsidRPr="00650831">
        <w:rPr>
          <w:rFonts w:ascii="Abadi" w:hAnsi="Abadi"/>
          <w:b w:val="0"/>
          <w:spacing w:val="-4"/>
          <w:sz w:val="21"/>
          <w:szCs w:val="21"/>
        </w:rPr>
        <w:t xml:space="preserve"> </w:t>
      </w:r>
      <w:r w:rsidRPr="00650831">
        <w:rPr>
          <w:rFonts w:ascii="Abadi" w:hAnsi="Abadi"/>
          <w:b w:val="0"/>
          <w:sz w:val="21"/>
          <w:szCs w:val="21"/>
        </w:rPr>
        <w:t>de</w:t>
      </w:r>
      <w:r w:rsidRPr="00650831">
        <w:rPr>
          <w:rFonts w:ascii="Abadi" w:hAnsi="Abadi"/>
          <w:b w:val="0"/>
          <w:spacing w:val="-7"/>
          <w:sz w:val="21"/>
          <w:szCs w:val="21"/>
        </w:rPr>
        <w:t xml:space="preserve"> </w:t>
      </w:r>
      <w:r w:rsidRPr="00650831">
        <w:rPr>
          <w:rFonts w:ascii="Abadi" w:hAnsi="Abadi"/>
          <w:b w:val="0"/>
          <w:sz w:val="21"/>
          <w:szCs w:val="21"/>
        </w:rPr>
        <w:t>junio</w:t>
      </w:r>
      <w:r w:rsidRPr="00650831">
        <w:rPr>
          <w:rFonts w:ascii="Abadi" w:hAnsi="Abadi"/>
          <w:b w:val="0"/>
          <w:spacing w:val="-5"/>
          <w:sz w:val="21"/>
          <w:szCs w:val="21"/>
        </w:rPr>
        <w:t xml:space="preserve"> </w:t>
      </w:r>
      <w:r w:rsidRPr="00650831">
        <w:rPr>
          <w:rFonts w:ascii="Abadi" w:hAnsi="Abadi"/>
          <w:b w:val="0"/>
          <w:sz w:val="21"/>
          <w:szCs w:val="21"/>
        </w:rPr>
        <w:t>del</w:t>
      </w:r>
      <w:r w:rsidRPr="00650831">
        <w:rPr>
          <w:rFonts w:ascii="Abadi" w:hAnsi="Abadi"/>
          <w:b w:val="0"/>
          <w:spacing w:val="-7"/>
          <w:sz w:val="21"/>
          <w:szCs w:val="21"/>
        </w:rPr>
        <w:t xml:space="preserve"> </w:t>
      </w:r>
      <w:r w:rsidRPr="00650831">
        <w:rPr>
          <w:rFonts w:ascii="Abadi" w:hAnsi="Abadi"/>
          <w:b w:val="0"/>
          <w:spacing w:val="-4"/>
          <w:sz w:val="21"/>
          <w:szCs w:val="21"/>
        </w:rPr>
        <w:t>2023.</w:t>
      </w:r>
    </w:p>
    <w:p w14:paraId="6C6EB68C" w14:textId="7D819893" w:rsidR="000C30DB" w:rsidRPr="00650831" w:rsidRDefault="000C30DB" w:rsidP="00493770">
      <w:pPr>
        <w:pStyle w:val="Textoindependiente"/>
        <w:jc w:val="center"/>
        <w:rPr>
          <w:rFonts w:ascii="Abadi" w:hAnsi="Abadi"/>
          <w:sz w:val="21"/>
          <w:szCs w:val="21"/>
        </w:rPr>
      </w:pPr>
      <w:r>
        <w:rPr>
          <w:rFonts w:ascii="Abadi" w:hAnsi="Abadi"/>
          <w:b w:val="0"/>
          <w:spacing w:val="-4"/>
          <w:sz w:val="21"/>
          <w:szCs w:val="21"/>
        </w:rPr>
        <w:t>El Diputado y la Diputada integrantes del Grupo Parlament</w:t>
      </w:r>
      <w:r w:rsidR="00493770">
        <w:rPr>
          <w:rFonts w:ascii="Abadi" w:hAnsi="Abadi"/>
          <w:b w:val="0"/>
          <w:spacing w:val="-4"/>
          <w:sz w:val="21"/>
          <w:szCs w:val="21"/>
        </w:rPr>
        <w:t>ario del Verde Ecologista de México</w:t>
      </w:r>
    </w:p>
    <w:p w14:paraId="16AB9DB8" w14:textId="77777777" w:rsidR="00BE721D" w:rsidRPr="00650831" w:rsidRDefault="00BE721D" w:rsidP="00493770">
      <w:pPr>
        <w:pStyle w:val="Textoindependiente"/>
        <w:jc w:val="center"/>
        <w:rPr>
          <w:rFonts w:ascii="Abadi" w:hAnsi="Abadi"/>
          <w:sz w:val="21"/>
          <w:szCs w:val="21"/>
        </w:rPr>
      </w:pPr>
    </w:p>
    <w:p w14:paraId="19AB4196" w14:textId="77777777" w:rsidR="00BE721D" w:rsidRPr="00650831" w:rsidRDefault="00BE721D" w:rsidP="00493770">
      <w:pPr>
        <w:pStyle w:val="Textoindependiente"/>
        <w:jc w:val="center"/>
        <w:rPr>
          <w:rFonts w:ascii="Abadi" w:hAnsi="Abadi"/>
          <w:sz w:val="21"/>
          <w:szCs w:val="21"/>
        </w:rPr>
      </w:pPr>
    </w:p>
    <w:p w14:paraId="59FFE651" w14:textId="77777777" w:rsidR="00BE721D" w:rsidRPr="00650831" w:rsidRDefault="00BE721D" w:rsidP="00493770">
      <w:pPr>
        <w:pStyle w:val="Textoindependiente"/>
        <w:jc w:val="center"/>
        <w:rPr>
          <w:rFonts w:ascii="Abadi" w:hAnsi="Abadi"/>
          <w:sz w:val="21"/>
          <w:szCs w:val="21"/>
        </w:rPr>
      </w:pPr>
    </w:p>
    <w:p w14:paraId="49338E90" w14:textId="77777777" w:rsidR="00BE721D" w:rsidRPr="00650831" w:rsidRDefault="00BE721D" w:rsidP="00493770">
      <w:pPr>
        <w:pStyle w:val="Textoindependiente"/>
        <w:tabs>
          <w:tab w:val="left" w:pos="5810"/>
        </w:tabs>
        <w:jc w:val="center"/>
        <w:rPr>
          <w:rFonts w:ascii="Abadi" w:hAnsi="Abadi"/>
          <w:sz w:val="21"/>
          <w:szCs w:val="21"/>
        </w:rPr>
      </w:pPr>
      <w:proofErr w:type="spellStart"/>
      <w:r w:rsidRPr="00650831">
        <w:rPr>
          <w:rFonts w:ascii="Abadi" w:hAnsi="Abadi"/>
          <w:b w:val="0"/>
          <w:spacing w:val="-2"/>
          <w:sz w:val="21"/>
          <w:szCs w:val="21"/>
        </w:rPr>
        <w:t>Dip</w:t>
      </w:r>
      <w:proofErr w:type="spellEnd"/>
      <w:r w:rsidRPr="00650831">
        <w:rPr>
          <w:rFonts w:ascii="Abadi" w:hAnsi="Abadi"/>
          <w:b w:val="0"/>
          <w:spacing w:val="-2"/>
          <w:sz w:val="21"/>
          <w:szCs w:val="21"/>
        </w:rPr>
        <w:t>.</w:t>
      </w:r>
      <w:r w:rsidRPr="00650831">
        <w:rPr>
          <w:rFonts w:ascii="Abadi" w:hAnsi="Abadi"/>
          <w:b w:val="0"/>
          <w:spacing w:val="-9"/>
          <w:sz w:val="21"/>
          <w:szCs w:val="21"/>
        </w:rPr>
        <w:t xml:space="preserve"> </w:t>
      </w:r>
      <w:r w:rsidRPr="00650831">
        <w:rPr>
          <w:rFonts w:ascii="Abadi" w:hAnsi="Abadi"/>
          <w:b w:val="0"/>
          <w:spacing w:val="-2"/>
          <w:sz w:val="21"/>
          <w:szCs w:val="21"/>
        </w:rPr>
        <w:t>Gerardo</w:t>
      </w:r>
      <w:r w:rsidRPr="00650831">
        <w:rPr>
          <w:rFonts w:ascii="Abadi" w:hAnsi="Abadi"/>
          <w:b w:val="0"/>
          <w:spacing w:val="-10"/>
          <w:sz w:val="21"/>
          <w:szCs w:val="21"/>
        </w:rPr>
        <w:t xml:space="preserve"> </w:t>
      </w:r>
      <w:r w:rsidRPr="00650831">
        <w:rPr>
          <w:rFonts w:ascii="Abadi" w:hAnsi="Abadi"/>
          <w:b w:val="0"/>
          <w:spacing w:val="-2"/>
          <w:sz w:val="21"/>
          <w:szCs w:val="21"/>
        </w:rPr>
        <w:t>Fernández</w:t>
      </w:r>
      <w:r w:rsidRPr="00650831">
        <w:rPr>
          <w:rFonts w:ascii="Abadi" w:hAnsi="Abadi"/>
          <w:b w:val="0"/>
          <w:spacing w:val="-11"/>
          <w:sz w:val="21"/>
          <w:szCs w:val="21"/>
        </w:rPr>
        <w:t xml:space="preserve"> </w:t>
      </w:r>
      <w:r w:rsidRPr="00650831">
        <w:rPr>
          <w:rFonts w:ascii="Abadi" w:hAnsi="Abadi"/>
          <w:b w:val="0"/>
          <w:spacing w:val="-2"/>
          <w:sz w:val="21"/>
          <w:szCs w:val="21"/>
        </w:rPr>
        <w:t>González</w:t>
      </w:r>
      <w:r w:rsidRPr="00650831">
        <w:rPr>
          <w:rFonts w:ascii="Abadi" w:hAnsi="Abadi"/>
          <w:b w:val="0"/>
          <w:sz w:val="21"/>
          <w:szCs w:val="21"/>
        </w:rPr>
        <w:tab/>
      </w:r>
      <w:proofErr w:type="spellStart"/>
      <w:r w:rsidRPr="00650831">
        <w:rPr>
          <w:rFonts w:ascii="Abadi" w:hAnsi="Abadi"/>
          <w:b w:val="0"/>
          <w:spacing w:val="-2"/>
          <w:sz w:val="21"/>
          <w:szCs w:val="21"/>
        </w:rPr>
        <w:t>Dip</w:t>
      </w:r>
      <w:proofErr w:type="spellEnd"/>
      <w:r w:rsidRPr="00650831">
        <w:rPr>
          <w:rFonts w:ascii="Abadi" w:hAnsi="Abadi"/>
          <w:b w:val="0"/>
          <w:spacing w:val="-2"/>
          <w:sz w:val="21"/>
          <w:szCs w:val="21"/>
        </w:rPr>
        <w:t>.</w:t>
      </w:r>
      <w:r w:rsidRPr="00650831">
        <w:rPr>
          <w:rFonts w:ascii="Abadi" w:hAnsi="Abadi"/>
          <w:b w:val="0"/>
          <w:spacing w:val="-9"/>
          <w:sz w:val="21"/>
          <w:szCs w:val="21"/>
        </w:rPr>
        <w:t xml:space="preserve"> </w:t>
      </w:r>
      <w:r w:rsidRPr="00650831">
        <w:rPr>
          <w:rFonts w:ascii="Abadi" w:hAnsi="Abadi"/>
          <w:b w:val="0"/>
          <w:spacing w:val="-2"/>
          <w:sz w:val="21"/>
          <w:szCs w:val="21"/>
        </w:rPr>
        <w:t>Martha</w:t>
      </w:r>
      <w:r w:rsidRPr="00650831">
        <w:rPr>
          <w:rFonts w:ascii="Abadi" w:hAnsi="Abadi"/>
          <w:b w:val="0"/>
          <w:spacing w:val="-9"/>
          <w:sz w:val="21"/>
          <w:szCs w:val="21"/>
        </w:rPr>
        <w:t xml:space="preserve"> </w:t>
      </w:r>
      <w:r w:rsidRPr="00650831">
        <w:rPr>
          <w:rFonts w:ascii="Abadi" w:hAnsi="Abadi"/>
          <w:b w:val="0"/>
          <w:spacing w:val="-2"/>
          <w:sz w:val="21"/>
          <w:szCs w:val="21"/>
        </w:rPr>
        <w:t>Lourdes</w:t>
      </w:r>
      <w:r w:rsidRPr="00650831">
        <w:rPr>
          <w:rFonts w:ascii="Abadi" w:hAnsi="Abadi"/>
          <w:b w:val="0"/>
          <w:spacing w:val="-10"/>
          <w:sz w:val="21"/>
          <w:szCs w:val="21"/>
        </w:rPr>
        <w:t xml:space="preserve"> </w:t>
      </w:r>
      <w:r w:rsidRPr="00650831">
        <w:rPr>
          <w:rFonts w:ascii="Abadi" w:hAnsi="Abadi"/>
          <w:b w:val="0"/>
          <w:spacing w:val="-2"/>
          <w:sz w:val="21"/>
          <w:szCs w:val="21"/>
        </w:rPr>
        <w:t>Ortega</w:t>
      </w:r>
      <w:r w:rsidRPr="00650831">
        <w:rPr>
          <w:rFonts w:ascii="Abadi" w:hAnsi="Abadi"/>
          <w:b w:val="0"/>
          <w:spacing w:val="-9"/>
          <w:sz w:val="21"/>
          <w:szCs w:val="21"/>
        </w:rPr>
        <w:t xml:space="preserve"> </w:t>
      </w:r>
      <w:r w:rsidRPr="00650831">
        <w:rPr>
          <w:rFonts w:ascii="Abadi" w:hAnsi="Abadi"/>
          <w:b w:val="0"/>
          <w:spacing w:val="-2"/>
          <w:sz w:val="21"/>
          <w:szCs w:val="21"/>
        </w:rPr>
        <w:t>Roque</w:t>
      </w:r>
    </w:p>
    <w:p w14:paraId="0D961E94" w14:textId="0354D8D6" w:rsidR="008222B3" w:rsidRDefault="008222B3" w:rsidP="00493770">
      <w:pPr>
        <w:pStyle w:val="Textoindependiente"/>
        <w:ind w:firstLine="710"/>
        <w:jc w:val="center"/>
        <w:rPr>
          <w:rFonts w:ascii="Abadi" w:hAnsi="Abadi"/>
          <w:sz w:val="21"/>
          <w:szCs w:val="21"/>
        </w:rPr>
      </w:pPr>
    </w:p>
    <w:p w14:paraId="78CBE1DA" w14:textId="77777777" w:rsidR="008B6D9A" w:rsidRPr="0030088F" w:rsidRDefault="008B6D9A" w:rsidP="008B6D9A">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A continuación se pide el diputado Gerardo Fernández González dar lectura a la propuesta de punto de acuerdo correspondiente al punto 13 del orden del día.</w:t>
      </w:r>
      <w:r w:rsidRPr="0030088F">
        <w:rPr>
          <w:rFonts w:ascii="Abadi" w:hAnsi="Abadi"/>
          <w:color w:val="333333"/>
          <w:sz w:val="21"/>
          <w:szCs w:val="21"/>
          <w:shd w:val="clear" w:color="auto" w:fill="FFFFFF"/>
        </w:rPr>
        <w:t xml:space="preserve"> </w:t>
      </w:r>
      <w:r w:rsidRPr="0030088F">
        <w:rPr>
          <w:rFonts w:ascii="Abadi" w:hAnsi="Abadi"/>
          <w:b/>
          <w:bCs/>
          <w:color w:val="333333"/>
          <w:sz w:val="21"/>
          <w:szCs w:val="21"/>
          <w:shd w:val="clear" w:color="auto" w:fill="FFFFFF"/>
        </w:rPr>
        <w:t>(</w:t>
      </w:r>
      <w:r w:rsidRPr="0030088F">
        <w:rPr>
          <w:rFonts w:ascii="Abadi" w:hAnsi="Abadi"/>
          <w:b/>
          <w:bCs/>
          <w:sz w:val="21"/>
          <w:szCs w:val="21"/>
        </w:rPr>
        <w:t>302/LXV-PPA)</w:t>
      </w:r>
    </w:p>
    <w:p w14:paraId="56C08470" w14:textId="77777777" w:rsidR="008B6D9A" w:rsidRDefault="008B6D9A" w:rsidP="008B6D9A">
      <w:pPr>
        <w:ind w:firstLine="708"/>
        <w:jc w:val="both"/>
        <w:rPr>
          <w:rFonts w:ascii="Abadi" w:hAnsi="Abadi"/>
          <w:sz w:val="21"/>
          <w:szCs w:val="21"/>
        </w:rPr>
      </w:pPr>
    </w:p>
    <w:p w14:paraId="40A469D2" w14:textId="4FA70D92" w:rsidR="008B6D9A" w:rsidRPr="0030088F" w:rsidRDefault="008B6D9A" w:rsidP="008B6D9A">
      <w:pPr>
        <w:ind w:firstLine="708"/>
        <w:jc w:val="both"/>
        <w:rPr>
          <w:rFonts w:ascii="Abadi" w:hAnsi="Abadi"/>
          <w:sz w:val="21"/>
          <w:szCs w:val="21"/>
        </w:rPr>
      </w:pPr>
      <w:r w:rsidRPr="0030088F">
        <w:rPr>
          <w:rFonts w:ascii="Abadi" w:hAnsi="Abadi"/>
          <w:sz w:val="21"/>
          <w:szCs w:val="21"/>
        </w:rPr>
        <w:t xml:space="preserve">- Adelante. </w:t>
      </w:r>
    </w:p>
    <w:p w14:paraId="7E7C806A" w14:textId="77777777" w:rsidR="008B6D9A" w:rsidRPr="0030088F" w:rsidRDefault="008B6D9A" w:rsidP="008B6D9A">
      <w:pPr>
        <w:jc w:val="both"/>
        <w:rPr>
          <w:rFonts w:ascii="Abadi" w:hAnsi="Abadi"/>
          <w:sz w:val="21"/>
          <w:szCs w:val="21"/>
        </w:rPr>
      </w:pPr>
    </w:p>
    <w:p w14:paraId="09576EA1" w14:textId="77777777" w:rsidR="008B6D9A" w:rsidRPr="0030088F" w:rsidRDefault="008B6D9A" w:rsidP="008B6D9A">
      <w:pPr>
        <w:jc w:val="both"/>
        <w:rPr>
          <w:rFonts w:ascii="Abadi" w:hAnsi="Abadi"/>
          <w:b/>
          <w:bCs/>
          <w:sz w:val="21"/>
          <w:szCs w:val="21"/>
        </w:rPr>
      </w:pPr>
      <w:r w:rsidRPr="0030088F">
        <w:rPr>
          <w:rFonts w:ascii="Abadi" w:hAnsi="Abadi"/>
          <w:b/>
          <w:bCs/>
          <w:sz w:val="21"/>
          <w:szCs w:val="21"/>
        </w:rPr>
        <w:t>(Sube a tribuna el diputado Gerardo Fernández González, para dar lectura al punto de acuerdo en referencia)</w:t>
      </w:r>
    </w:p>
    <w:p w14:paraId="7A3BBD5F" w14:textId="3287CE76" w:rsidR="008B6D9A" w:rsidRPr="0030088F" w:rsidRDefault="008B6D9A" w:rsidP="008B6D9A">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4" behindDoc="1" locked="0" layoutInCell="1" allowOverlap="1" wp14:anchorId="4F8A00A2" wp14:editId="11B85DD5">
            <wp:simplePos x="0" y="0"/>
            <wp:positionH relativeFrom="column">
              <wp:posOffset>718503</wp:posOffset>
            </wp:positionH>
            <wp:positionV relativeFrom="paragraph">
              <wp:posOffset>514350</wp:posOffset>
            </wp:positionV>
            <wp:extent cx="1264017" cy="666658"/>
            <wp:effectExtent l="247650" t="228600" r="241300" b="724535"/>
            <wp:wrapTight wrapText="bothSides">
              <wp:wrapPolygon edited="0">
                <wp:start x="-4233" y="-7413"/>
                <wp:lineTo x="-4233" y="44477"/>
                <wp:lineTo x="25399" y="44477"/>
                <wp:lineTo x="25399" y="-7413"/>
                <wp:lineTo x="-4233" y="-7413"/>
              </wp:wrapPolygon>
            </wp:wrapTight>
            <wp:docPr id="832855132" name="Imagen 83285513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2855132" name="Imagen 1" descr="Interfaz de usuario gráfica&#10;&#10;Descripción generada automáticamente"/>
                    <pic:cNvPicPr/>
                  </pic:nvPicPr>
                  <pic:blipFill rotWithShape="1">
                    <a:blip r:embed="rId33" cstate="print">
                      <a:extLst>
                        <a:ext uri="{28A0092B-C50C-407E-A947-70E740481C1C}">
                          <a14:useLocalDpi xmlns:a14="http://schemas.microsoft.com/office/drawing/2010/main" val="0"/>
                        </a:ext>
                      </a:extLst>
                    </a:blip>
                    <a:srcRect b="6230"/>
                    <a:stretch/>
                  </pic:blipFill>
                  <pic:spPr bwMode="auto">
                    <a:xfrm>
                      <a:off x="0" y="0"/>
                      <a:ext cx="1264017" cy="66665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0DCF021" w14:textId="15E5F8D5" w:rsidR="008B6D9A" w:rsidRDefault="008B6D9A" w:rsidP="008B6D9A">
      <w:pPr>
        <w:jc w:val="both"/>
        <w:rPr>
          <w:rFonts w:ascii="Abadi" w:hAnsi="Abadi"/>
          <w:b/>
          <w:bCs/>
          <w:sz w:val="21"/>
          <w:szCs w:val="21"/>
        </w:rPr>
      </w:pPr>
      <w:r w:rsidRPr="0030088F">
        <w:rPr>
          <w:rFonts w:ascii="Abadi" w:hAnsi="Abadi"/>
          <w:b/>
          <w:bCs/>
          <w:sz w:val="21"/>
          <w:szCs w:val="21"/>
        </w:rPr>
        <w:t>Diputado Gerardo Fernández González</w:t>
      </w:r>
    </w:p>
    <w:p w14:paraId="03244F87" w14:textId="77777777" w:rsidR="008B6D9A" w:rsidRPr="0030088F" w:rsidRDefault="008B6D9A" w:rsidP="008B6D9A">
      <w:pPr>
        <w:jc w:val="both"/>
        <w:rPr>
          <w:rFonts w:ascii="Abadi" w:hAnsi="Abadi"/>
          <w:b/>
          <w:bCs/>
          <w:sz w:val="21"/>
          <w:szCs w:val="21"/>
        </w:rPr>
      </w:pPr>
    </w:p>
    <w:p w14:paraId="16F4FD54" w14:textId="77777777" w:rsidR="008B6D9A" w:rsidRDefault="008B6D9A" w:rsidP="008B6D9A">
      <w:pPr>
        <w:jc w:val="both"/>
        <w:rPr>
          <w:rFonts w:ascii="Abadi" w:hAnsi="Abadi"/>
          <w:sz w:val="21"/>
          <w:szCs w:val="21"/>
        </w:rPr>
      </w:pPr>
      <w:r w:rsidRPr="0030088F">
        <w:rPr>
          <w:rFonts w:ascii="Abadi" w:hAnsi="Abadi"/>
          <w:sz w:val="21"/>
          <w:szCs w:val="21"/>
        </w:rPr>
        <w:t xml:space="preserve">- Con el permiso de la presidencia un saludo a la Mesa Directiva, diputado Bricio, compañeras compañeros a todos los que nos acompañan el día de hoy, bienvenidos y por supuesto a los medios de comunicación y a los que nos siguen por vías remotas, quienes suscribimos el diputado y diputada integrante del Grupo Parlamentario del Partido Verde en esta Sexagésima Quinta Legislatura, nos permitimos someter a la consideración de esta </w:t>
      </w:r>
      <w:r>
        <w:rPr>
          <w:rFonts w:ascii="Abadi" w:hAnsi="Abadi"/>
          <w:sz w:val="21"/>
          <w:szCs w:val="21"/>
        </w:rPr>
        <w:t>A</w:t>
      </w:r>
      <w:r w:rsidRPr="0030088F">
        <w:rPr>
          <w:rFonts w:ascii="Abadi" w:hAnsi="Abadi"/>
          <w:sz w:val="21"/>
          <w:szCs w:val="21"/>
        </w:rPr>
        <w:t xml:space="preserve">samblea la propuesta de punto de acuerdo, referida en el en este punto del orden del día, con las siguientes consideraciones el </w:t>
      </w:r>
      <w:r w:rsidRPr="0030088F">
        <w:rPr>
          <w:rFonts w:ascii="Abadi" w:hAnsi="Abadi"/>
          <w:sz w:val="21"/>
          <w:szCs w:val="21"/>
        </w:rPr>
        <w:t>tabaquismo es la causa de más de 8 millones de muertes anuales 7 millones, son el resultado de consumo directo mientras que alrededor de 1.2 millones se registran en personas no fumadoras en México, cada año mueren, más de 63000 mil personas por enfermedades relacionadas al tabaquismo, hay más de 14 millones de fumadores y lo más lamentable es que de estos cerca del 6%, 1 millon de ellos, son jóvenes y adolescentes, desde hace algunos años se han observado un crecimiento de la venta de productos novedosos, como alternativa para dejar de fumar, llamados cigarros electrónicos dispositivos vaporizadores y un sinfín de productos de tabaco, calentado si bien es cierto, que el impacto en la salud de los usuarios que consumen estos productos sigue en análisis y debate se ha observado en directos, en diversos estudios, que la exposición a estos dispositivos puede generar inflamación en las vías respiratorias y cáncer de pulmón.</w:t>
      </w:r>
    </w:p>
    <w:p w14:paraId="1AE99615" w14:textId="77777777" w:rsidR="008B6D9A" w:rsidRPr="0030088F" w:rsidRDefault="008B6D9A" w:rsidP="008B6D9A">
      <w:pPr>
        <w:jc w:val="both"/>
        <w:rPr>
          <w:rFonts w:ascii="Abadi" w:hAnsi="Abadi"/>
          <w:sz w:val="21"/>
          <w:szCs w:val="21"/>
        </w:rPr>
      </w:pPr>
    </w:p>
    <w:p w14:paraId="4FA7431A" w14:textId="77777777" w:rsidR="008B6D9A" w:rsidRDefault="008B6D9A" w:rsidP="008B6D9A">
      <w:pPr>
        <w:jc w:val="both"/>
        <w:rPr>
          <w:rFonts w:ascii="Abadi" w:hAnsi="Abadi"/>
          <w:sz w:val="21"/>
          <w:szCs w:val="21"/>
        </w:rPr>
      </w:pPr>
      <w:r w:rsidRPr="0030088F">
        <w:rPr>
          <w:rFonts w:ascii="Abadi" w:hAnsi="Abadi"/>
          <w:sz w:val="21"/>
          <w:szCs w:val="21"/>
        </w:rPr>
        <w:t xml:space="preserve">- De igual manera un estudio realizado en 2019, se encontró que el uso de productos de tabaco calentado se asocia con asma, rinitis alérgica, y dermatitis atópica en adolescentes, este estudio muestra que es importante que los adolescentes presten especial atención al tabaquismo y su relación con las epidemias de alergia, según datos de la licenciada luz María de Mendoza Vázquez del programa Planet </w:t>
      </w:r>
      <w:proofErr w:type="spellStart"/>
      <w:r w:rsidRPr="0030088F">
        <w:rPr>
          <w:rFonts w:ascii="Abadi" w:hAnsi="Abadi"/>
          <w:sz w:val="21"/>
          <w:szCs w:val="21"/>
        </w:rPr>
        <w:t>Youth</w:t>
      </w:r>
      <w:proofErr w:type="spellEnd"/>
      <w:r w:rsidRPr="0030088F">
        <w:rPr>
          <w:rFonts w:ascii="Abadi" w:hAnsi="Abadi"/>
          <w:sz w:val="21"/>
          <w:szCs w:val="21"/>
        </w:rPr>
        <w:t xml:space="preserve"> de la Secretaría de Salud del Estado de Guanajuato, se sabe que, los riesgos directos por el consumo de estos dispositivos al igual que de los cigarros electrónicos son falta de aliento, náuseas, vómito, dolor de pecho, y/o abdomen latidos cardíacos rápidos y diarrea además el uso de bateadores en jóvenes que no han fumado tabaco aumenta la probabilidad de adicción al mismo.</w:t>
      </w:r>
    </w:p>
    <w:p w14:paraId="388F26D1" w14:textId="77777777" w:rsidR="008B6D9A" w:rsidRPr="0030088F" w:rsidRDefault="008B6D9A" w:rsidP="008B6D9A">
      <w:pPr>
        <w:jc w:val="both"/>
        <w:rPr>
          <w:rFonts w:ascii="Abadi" w:hAnsi="Abadi"/>
          <w:sz w:val="21"/>
          <w:szCs w:val="21"/>
        </w:rPr>
      </w:pPr>
    </w:p>
    <w:p w14:paraId="5EC61023" w14:textId="77777777" w:rsidR="008B6D9A" w:rsidRDefault="008B6D9A" w:rsidP="008B6D9A">
      <w:pPr>
        <w:jc w:val="both"/>
        <w:rPr>
          <w:rFonts w:ascii="Abadi" w:hAnsi="Abadi"/>
          <w:sz w:val="21"/>
          <w:szCs w:val="21"/>
        </w:rPr>
      </w:pPr>
      <w:r w:rsidRPr="0030088F">
        <w:rPr>
          <w:rFonts w:ascii="Abadi" w:hAnsi="Abadi"/>
          <w:sz w:val="21"/>
          <w:szCs w:val="21"/>
        </w:rPr>
        <w:t>- Ante esta situación, el 31 de mayo del año pasado el gobierno federal expidió un decreto por el que prohíbe la circulación y comercialización en el interior de la república cualquiera sea su procedencia de los sistemas electrónicos de administración de nicotina, sistemas similares sin nicotina, sistemas alternativos de consumo de nicotina, cigarros electrónicos y dispositivos vaporizadores con usos similares.</w:t>
      </w:r>
    </w:p>
    <w:p w14:paraId="777E233B" w14:textId="77777777" w:rsidR="008B6D9A" w:rsidRPr="0030088F" w:rsidRDefault="008B6D9A" w:rsidP="008B6D9A">
      <w:pPr>
        <w:jc w:val="both"/>
        <w:rPr>
          <w:rFonts w:ascii="Abadi" w:hAnsi="Abadi"/>
          <w:sz w:val="21"/>
          <w:szCs w:val="21"/>
        </w:rPr>
      </w:pPr>
    </w:p>
    <w:p w14:paraId="6F660ACB" w14:textId="77777777" w:rsidR="008B6D9A" w:rsidRDefault="008B6D9A" w:rsidP="008B6D9A">
      <w:pPr>
        <w:jc w:val="both"/>
        <w:rPr>
          <w:rFonts w:ascii="Abadi" w:hAnsi="Abadi"/>
          <w:sz w:val="21"/>
          <w:szCs w:val="21"/>
        </w:rPr>
      </w:pPr>
      <w:r w:rsidRPr="0030088F">
        <w:rPr>
          <w:rFonts w:ascii="Abadi" w:hAnsi="Abadi"/>
          <w:sz w:val="21"/>
          <w:szCs w:val="21"/>
        </w:rPr>
        <w:t xml:space="preserve">- Esta acción del Ejecutivo se fundamenta en los artículos constitucionales primero y cuarto </w:t>
      </w:r>
      <w:r w:rsidRPr="0030088F">
        <w:rPr>
          <w:rFonts w:ascii="Abadi" w:hAnsi="Abadi"/>
          <w:sz w:val="21"/>
          <w:szCs w:val="21"/>
        </w:rPr>
        <w:lastRenderedPageBreak/>
        <w:t xml:space="preserve">que reconoce el derecho de toda persona a la protección de la salud y a un medio ambiente sano. para su desarrollo y bienestar así como al pacto internacional de derechos económicos sociales y culturales que establece en su artículo 12 que los </w:t>
      </w:r>
      <w:proofErr w:type="gramStart"/>
      <w:r w:rsidRPr="0030088F">
        <w:rPr>
          <w:rFonts w:ascii="Abadi" w:hAnsi="Abadi"/>
          <w:sz w:val="21"/>
          <w:szCs w:val="21"/>
        </w:rPr>
        <w:t>estados partes</w:t>
      </w:r>
      <w:proofErr w:type="gramEnd"/>
      <w:r w:rsidRPr="0030088F">
        <w:rPr>
          <w:rFonts w:ascii="Abadi" w:hAnsi="Abadi"/>
          <w:sz w:val="21"/>
          <w:szCs w:val="21"/>
        </w:rPr>
        <w:t xml:space="preserve"> reconocen el derecho de toda persona al disfrute de más. del más alto nivel posible de salud física y mental.</w:t>
      </w:r>
    </w:p>
    <w:p w14:paraId="63701939" w14:textId="77777777" w:rsidR="008B6D9A" w:rsidRPr="0030088F" w:rsidRDefault="008B6D9A" w:rsidP="008B6D9A">
      <w:pPr>
        <w:jc w:val="both"/>
        <w:rPr>
          <w:rFonts w:ascii="Abadi" w:hAnsi="Abadi"/>
          <w:sz w:val="21"/>
          <w:szCs w:val="21"/>
        </w:rPr>
      </w:pPr>
    </w:p>
    <w:p w14:paraId="38B90628" w14:textId="77777777" w:rsidR="008B6D9A" w:rsidRDefault="008B6D9A" w:rsidP="008B6D9A">
      <w:pPr>
        <w:jc w:val="both"/>
        <w:rPr>
          <w:rFonts w:ascii="Abadi" w:hAnsi="Abadi"/>
          <w:sz w:val="21"/>
          <w:szCs w:val="21"/>
        </w:rPr>
      </w:pPr>
      <w:r w:rsidRPr="0030088F">
        <w:rPr>
          <w:rFonts w:ascii="Abadi" w:hAnsi="Abadi"/>
          <w:sz w:val="21"/>
          <w:szCs w:val="21"/>
        </w:rPr>
        <w:t xml:space="preserve">- Lo anterior, también se decidió para resguardar la población de una amenaza a la salud mayor para nuestros jóvenes quienes son consumidores más habituales de estos productos y por quienes se debe sobreponer un interés superior el de la niñez sobre cualquier interés económico. </w:t>
      </w:r>
    </w:p>
    <w:p w14:paraId="1BD01AAE" w14:textId="77777777" w:rsidR="008B6D9A" w:rsidRPr="0030088F" w:rsidRDefault="008B6D9A" w:rsidP="008B6D9A">
      <w:pPr>
        <w:jc w:val="both"/>
        <w:rPr>
          <w:rFonts w:ascii="Abadi" w:hAnsi="Abadi"/>
          <w:sz w:val="21"/>
          <w:szCs w:val="21"/>
        </w:rPr>
      </w:pPr>
    </w:p>
    <w:p w14:paraId="2D2E027A" w14:textId="77777777" w:rsidR="008B6D9A" w:rsidRDefault="008B6D9A" w:rsidP="008B6D9A">
      <w:pPr>
        <w:jc w:val="both"/>
        <w:rPr>
          <w:rFonts w:ascii="Abadi" w:hAnsi="Abadi"/>
          <w:sz w:val="21"/>
          <w:szCs w:val="21"/>
        </w:rPr>
      </w:pPr>
      <w:r w:rsidRPr="0030088F">
        <w:rPr>
          <w:rFonts w:ascii="Abadi" w:hAnsi="Abadi"/>
          <w:sz w:val="21"/>
          <w:szCs w:val="21"/>
        </w:rPr>
        <w:t xml:space="preserve">- Lo anterior se reafirma cuando vemos la situación actual de nuestro estado ya que según la encuesta juventud y bienestar 2022 practicada 26 municipios por el programa Planet </w:t>
      </w:r>
      <w:proofErr w:type="spellStart"/>
      <w:r w:rsidRPr="0030088F">
        <w:rPr>
          <w:rFonts w:ascii="Abadi" w:hAnsi="Abadi"/>
          <w:sz w:val="21"/>
          <w:szCs w:val="21"/>
        </w:rPr>
        <w:t>Youth</w:t>
      </w:r>
      <w:proofErr w:type="spellEnd"/>
      <w:r w:rsidRPr="0030088F">
        <w:rPr>
          <w:rFonts w:ascii="Abadi" w:hAnsi="Abadi"/>
          <w:sz w:val="21"/>
          <w:szCs w:val="21"/>
        </w:rPr>
        <w:t xml:space="preserve"> de la Secretaría de Salud del Estado de Guanajuato se tiene identificado que nuestro estado más de 31 mil adolescentes de tercero secundaria ya consumen estos productos, mientras que el maestro Manuel Aguilar Romo, Director de Salud Mental de la Secretaría de Salud, informó que en el marco del día mundial sin tabaco se han detectado casos en Guanajuato que, incluso niños menores de 10 años, usan cigarros electrónicos, derivado esto del fácil acceso que tienen a máquinas dispensadoras y a establecimientos comerciales, pero, si el decreto entró en vigor el 31 de mayo del año pasado estos productos y dispensadores ya deberían de estar fuera de circulación.</w:t>
      </w:r>
    </w:p>
    <w:p w14:paraId="4D9725A8" w14:textId="77777777" w:rsidR="008B6D9A" w:rsidRPr="0030088F" w:rsidRDefault="008B6D9A" w:rsidP="008B6D9A">
      <w:pPr>
        <w:jc w:val="both"/>
        <w:rPr>
          <w:rFonts w:ascii="Abadi" w:hAnsi="Abadi"/>
          <w:sz w:val="21"/>
          <w:szCs w:val="21"/>
        </w:rPr>
      </w:pPr>
    </w:p>
    <w:p w14:paraId="5921C2E8" w14:textId="77777777" w:rsidR="008B6D9A" w:rsidRDefault="008B6D9A" w:rsidP="008B6D9A">
      <w:pPr>
        <w:jc w:val="both"/>
        <w:rPr>
          <w:rFonts w:ascii="Abadi" w:hAnsi="Abadi"/>
          <w:sz w:val="21"/>
          <w:szCs w:val="21"/>
        </w:rPr>
      </w:pPr>
      <w:r w:rsidRPr="0030088F">
        <w:rPr>
          <w:rFonts w:ascii="Abadi" w:hAnsi="Abadi"/>
          <w:sz w:val="21"/>
          <w:szCs w:val="21"/>
        </w:rPr>
        <w:t xml:space="preserve">- Sin embargo, para resolver este problema realizamos una solicitud de acceso a la información dirigida a la Secretaría de Salud del Estado para conocer las acciones que se han realizado durante el 2022 y hasta el 21/04/2023 dicha solicitud pudimos conocer que se han realizado más de 59 visitas de verificación a establecimientos en solamente 15 municipios del estado y por lo que respecta a visitas de verificación a comercios se dieron un total de 34 suspensiones a comercios y establecimientos, a su vez la Secretaría de Salud reporta que por su parte, se han realizado acciones de diagnóstico, campañas informativas de sensibilización talleres y emisiones de alerta sanitarias, si bien, reconocemos que este trabajo se está </w:t>
      </w:r>
      <w:r w:rsidRPr="0030088F">
        <w:rPr>
          <w:rFonts w:ascii="Abadi" w:hAnsi="Abadi"/>
          <w:sz w:val="21"/>
          <w:szCs w:val="21"/>
        </w:rPr>
        <w:t>haciendo en algunos municipios la Dirección de Fiscalización o su homóloga han realizado acciones y decomisos de varias máquinas expendedoras e inspecciones a comercios de ventas de bateadores en su mayoría, mayoría de los municipios no se han implementado acciones eficientes para erradicar su venta y consumo, lo anterior ya que a simple vista estos productos continúan siendo comercializados en distintos lugares, como antros, plazas comerciales, restaurantes, abarroteras, e incluso en la vía pública, a través de máquinas expendedoras, por lo que se mantienen al alcance de niñas niños y jóvenes sin la más mínima supervisión poniendo así en riesgo su salud.</w:t>
      </w:r>
    </w:p>
    <w:p w14:paraId="6929091F" w14:textId="77777777" w:rsidR="008B6D9A" w:rsidRPr="0030088F" w:rsidRDefault="008B6D9A" w:rsidP="008B6D9A">
      <w:pPr>
        <w:jc w:val="both"/>
        <w:rPr>
          <w:rFonts w:ascii="Abadi" w:hAnsi="Abadi"/>
          <w:sz w:val="21"/>
          <w:szCs w:val="21"/>
        </w:rPr>
      </w:pPr>
    </w:p>
    <w:p w14:paraId="7F3F2E25" w14:textId="77777777" w:rsidR="008B6D9A" w:rsidRDefault="008B6D9A" w:rsidP="008B6D9A">
      <w:pPr>
        <w:jc w:val="both"/>
        <w:rPr>
          <w:rFonts w:ascii="Abadi" w:hAnsi="Abadi"/>
          <w:sz w:val="21"/>
          <w:szCs w:val="21"/>
        </w:rPr>
      </w:pPr>
      <w:r w:rsidRPr="0030088F">
        <w:rPr>
          <w:rFonts w:ascii="Abadi" w:hAnsi="Abadi"/>
          <w:sz w:val="21"/>
          <w:szCs w:val="21"/>
        </w:rPr>
        <w:t>- Es de suma urgencia que se tomen medidas inmediatas para proteger a las y los guanajuatenses especialmente a las personas más jóvenes sobre los riesgos asociados a los bateadores garantizar la prohibición de su venta uso y distribución no sólo preservaría la salud de la población sino también enviaría un mensaje claro sobre la importancia de prevenir el consumo de sustancias perjudiciales, esto en el entendido de la responsabilidad que tenemos como poder legislativo de velar por el bienestar y la seguridad de los ciudadanos derivado de lo anterior en vista del acelerado uso de estos dispositivos y la falta de evidencia científica suficiente que respalde su seguridad a largo plazo, la diputada y el diputado que conformamos el Grupo Parlamentario del Partido Verde,  nos permitimos poner a consideración de esta Honorable Asamblea la propuesta que tiene tres objetivos concretos.</w:t>
      </w:r>
    </w:p>
    <w:p w14:paraId="23332549" w14:textId="77777777" w:rsidR="008B6D9A" w:rsidRPr="0030088F" w:rsidRDefault="008B6D9A" w:rsidP="008B6D9A">
      <w:pPr>
        <w:jc w:val="both"/>
        <w:rPr>
          <w:rFonts w:ascii="Abadi" w:hAnsi="Abadi"/>
          <w:sz w:val="21"/>
          <w:szCs w:val="21"/>
        </w:rPr>
      </w:pPr>
    </w:p>
    <w:p w14:paraId="35DA48EA" w14:textId="77777777" w:rsidR="008B6D9A" w:rsidRDefault="008B6D9A" w:rsidP="008B6D9A">
      <w:pPr>
        <w:jc w:val="both"/>
        <w:rPr>
          <w:rFonts w:ascii="Abadi" w:hAnsi="Abadi"/>
          <w:sz w:val="21"/>
          <w:szCs w:val="21"/>
        </w:rPr>
      </w:pPr>
      <w:r w:rsidRPr="0030088F">
        <w:rPr>
          <w:rFonts w:ascii="Abadi" w:hAnsi="Abadi"/>
          <w:sz w:val="21"/>
          <w:szCs w:val="21"/>
        </w:rPr>
        <w:t xml:space="preserve">- Primero por medio del Ejecutivo del Estado en el ejercicio de sus funciones y facultades se establezcan mecanismos de supervisión el control más rigurosos, mecanismos y saquen del mercado aquellos que se vendan de manera ilegal en establecimientos y sobre todo en la vía pública. </w:t>
      </w:r>
    </w:p>
    <w:p w14:paraId="75578D99" w14:textId="77777777" w:rsidR="008B6D9A" w:rsidRPr="0030088F" w:rsidRDefault="008B6D9A" w:rsidP="008B6D9A">
      <w:pPr>
        <w:jc w:val="both"/>
        <w:rPr>
          <w:rFonts w:ascii="Abadi" w:hAnsi="Abadi"/>
          <w:sz w:val="21"/>
          <w:szCs w:val="21"/>
        </w:rPr>
      </w:pPr>
    </w:p>
    <w:p w14:paraId="122BFC12" w14:textId="77777777" w:rsidR="008B6D9A" w:rsidRDefault="008B6D9A" w:rsidP="008B6D9A">
      <w:pPr>
        <w:jc w:val="both"/>
        <w:rPr>
          <w:rFonts w:ascii="Abadi" w:hAnsi="Abadi"/>
          <w:sz w:val="21"/>
          <w:szCs w:val="21"/>
        </w:rPr>
      </w:pPr>
      <w:r w:rsidRPr="0030088F">
        <w:rPr>
          <w:rFonts w:ascii="Abadi" w:hAnsi="Abadi"/>
          <w:sz w:val="21"/>
          <w:szCs w:val="21"/>
        </w:rPr>
        <w:t>- Segundo que la Secretaría de Salud, contemple y diseño de programas específicos de apoyo y tratamiento para aquellos que desean dejar de usar cigarros electrónicos y productos de vapeo.</w:t>
      </w:r>
    </w:p>
    <w:p w14:paraId="4498BAA1" w14:textId="77777777" w:rsidR="008B6D9A" w:rsidRPr="0030088F" w:rsidRDefault="008B6D9A" w:rsidP="008B6D9A">
      <w:pPr>
        <w:jc w:val="both"/>
        <w:rPr>
          <w:rFonts w:ascii="Abadi" w:hAnsi="Abadi"/>
          <w:sz w:val="21"/>
          <w:szCs w:val="21"/>
        </w:rPr>
      </w:pPr>
    </w:p>
    <w:p w14:paraId="3C7207D2" w14:textId="77777777" w:rsidR="008B6D9A" w:rsidRPr="0030088F" w:rsidRDefault="008B6D9A" w:rsidP="008B6D9A">
      <w:pPr>
        <w:jc w:val="both"/>
        <w:rPr>
          <w:rFonts w:ascii="Abadi" w:hAnsi="Abadi"/>
          <w:sz w:val="21"/>
          <w:szCs w:val="21"/>
        </w:rPr>
      </w:pPr>
      <w:r w:rsidRPr="0030088F">
        <w:rPr>
          <w:rFonts w:ascii="Abadi" w:hAnsi="Abadi"/>
          <w:sz w:val="21"/>
          <w:szCs w:val="21"/>
        </w:rPr>
        <w:t xml:space="preserve">- Tercero. Exhortar a los 46 ayuntamientos del estado para que en ejercicio de sus funciones continúen con la promoción de campañas de </w:t>
      </w:r>
      <w:r w:rsidRPr="0030088F">
        <w:rPr>
          <w:rFonts w:ascii="Abadi" w:hAnsi="Abadi"/>
          <w:sz w:val="21"/>
          <w:szCs w:val="21"/>
        </w:rPr>
        <w:lastRenderedPageBreak/>
        <w:t>concientización y educación sobre los riesgos de uso de vapeadores cigarros electrónicos y productos de vapeo con el fin de fomentar hábitos saludables y prevenir su consumo.</w:t>
      </w:r>
    </w:p>
    <w:p w14:paraId="35569F7A" w14:textId="77777777" w:rsidR="008B6D9A" w:rsidRDefault="008B6D9A" w:rsidP="008B6D9A">
      <w:pPr>
        <w:ind w:firstLine="708"/>
        <w:jc w:val="both"/>
        <w:rPr>
          <w:rFonts w:ascii="Abadi" w:hAnsi="Abadi"/>
          <w:sz w:val="21"/>
          <w:szCs w:val="21"/>
        </w:rPr>
      </w:pPr>
    </w:p>
    <w:p w14:paraId="7DA2CF7D" w14:textId="65DC1884" w:rsidR="008B6D9A" w:rsidRPr="0030088F" w:rsidRDefault="008B6D9A" w:rsidP="008B6D9A">
      <w:pPr>
        <w:ind w:firstLine="708"/>
        <w:jc w:val="both"/>
        <w:rPr>
          <w:rFonts w:ascii="Abadi" w:hAnsi="Abadi"/>
          <w:sz w:val="21"/>
          <w:szCs w:val="21"/>
        </w:rPr>
      </w:pPr>
      <w:r w:rsidRPr="0030088F">
        <w:rPr>
          <w:rFonts w:ascii="Abadi" w:hAnsi="Abadi"/>
          <w:sz w:val="21"/>
          <w:szCs w:val="21"/>
        </w:rPr>
        <w:t xml:space="preserve">- Es </w:t>
      </w:r>
      <w:proofErr w:type="spellStart"/>
      <w:r w:rsidRPr="0030088F">
        <w:rPr>
          <w:rFonts w:ascii="Abadi" w:hAnsi="Abadi"/>
          <w:sz w:val="21"/>
          <w:szCs w:val="21"/>
        </w:rPr>
        <w:t>cuanto</w:t>
      </w:r>
      <w:proofErr w:type="spellEnd"/>
      <w:r w:rsidR="0097295C">
        <w:rPr>
          <w:rFonts w:ascii="Abadi" w:hAnsi="Abadi"/>
          <w:sz w:val="21"/>
          <w:szCs w:val="21"/>
        </w:rPr>
        <w:t>.</w:t>
      </w:r>
    </w:p>
    <w:p w14:paraId="3B441E8D" w14:textId="77777777" w:rsidR="008B6D9A" w:rsidRDefault="008B6D9A" w:rsidP="008B6D9A">
      <w:pPr>
        <w:jc w:val="both"/>
        <w:rPr>
          <w:rFonts w:ascii="Abadi" w:hAnsi="Abadi"/>
          <w:sz w:val="21"/>
          <w:szCs w:val="21"/>
        </w:rPr>
      </w:pPr>
    </w:p>
    <w:p w14:paraId="69FEE432" w14:textId="150827F8" w:rsidR="008B6D9A" w:rsidRDefault="0097295C" w:rsidP="008B6D9A">
      <w:pPr>
        <w:jc w:val="both"/>
        <w:rPr>
          <w:rFonts w:ascii="Abadi" w:hAnsi="Abadi"/>
          <w:sz w:val="21"/>
          <w:szCs w:val="21"/>
        </w:rPr>
      </w:pPr>
      <w:r>
        <w:rPr>
          <w:rFonts w:ascii="Abadi" w:hAnsi="Abadi"/>
          <w:sz w:val="21"/>
          <w:szCs w:val="21"/>
        </w:rPr>
        <w:tab/>
      </w:r>
      <w:r w:rsidR="008B6D9A" w:rsidRPr="0097295C">
        <w:rPr>
          <w:rFonts w:ascii="Abadi" w:hAnsi="Abadi"/>
          <w:b/>
          <w:bCs/>
          <w:sz w:val="21"/>
          <w:szCs w:val="21"/>
        </w:rPr>
        <w:t xml:space="preserve">- </w:t>
      </w:r>
      <w:r w:rsidRPr="0097295C">
        <w:rPr>
          <w:rFonts w:ascii="Abadi" w:hAnsi="Abadi"/>
          <w:b/>
          <w:bCs/>
          <w:sz w:val="21"/>
          <w:szCs w:val="21"/>
        </w:rPr>
        <w:t xml:space="preserve">La </w:t>
      </w:r>
      <w:proofErr w:type="gramStart"/>
      <w:r w:rsidRPr="0097295C">
        <w:rPr>
          <w:rFonts w:ascii="Abadi" w:hAnsi="Abadi"/>
          <w:b/>
          <w:bCs/>
          <w:sz w:val="21"/>
          <w:szCs w:val="21"/>
        </w:rPr>
        <w:t>Presidencia.-</w:t>
      </w:r>
      <w:proofErr w:type="gramEnd"/>
      <w:r>
        <w:rPr>
          <w:rFonts w:ascii="Abadi" w:hAnsi="Abadi"/>
          <w:sz w:val="21"/>
          <w:szCs w:val="21"/>
        </w:rPr>
        <w:t xml:space="preserve"> </w:t>
      </w:r>
      <w:r w:rsidR="008B6D9A" w:rsidRPr="0030088F">
        <w:rPr>
          <w:rFonts w:ascii="Abadi" w:hAnsi="Abadi"/>
          <w:sz w:val="21"/>
          <w:szCs w:val="21"/>
        </w:rPr>
        <w:t>Gracias diputado.</w:t>
      </w:r>
    </w:p>
    <w:p w14:paraId="0A837FAE" w14:textId="77777777" w:rsidR="008B6D9A" w:rsidRPr="0030088F" w:rsidRDefault="008B6D9A" w:rsidP="008B6D9A">
      <w:pPr>
        <w:jc w:val="both"/>
        <w:rPr>
          <w:rFonts w:ascii="Abadi" w:hAnsi="Abadi"/>
          <w:sz w:val="21"/>
          <w:szCs w:val="21"/>
        </w:rPr>
      </w:pPr>
    </w:p>
    <w:p w14:paraId="728540AE" w14:textId="77777777" w:rsidR="008B6D9A" w:rsidRDefault="008B6D9A" w:rsidP="008B6D9A">
      <w:pPr>
        <w:ind w:left="709" w:right="1041"/>
        <w:jc w:val="both"/>
        <w:rPr>
          <w:rFonts w:ascii="Abadi" w:hAnsi="Abadi"/>
          <w:b/>
          <w:bCs/>
          <w:i/>
          <w:iCs/>
          <w:sz w:val="21"/>
          <w:szCs w:val="21"/>
          <w:u w:val="single"/>
        </w:rPr>
      </w:pPr>
      <w:r w:rsidRPr="0030088F">
        <w:rPr>
          <w:rFonts w:ascii="Abadi" w:hAnsi="Abadi"/>
          <w:b/>
          <w:bCs/>
          <w:i/>
          <w:iCs/>
          <w:sz w:val="21"/>
          <w:szCs w:val="21"/>
          <w:u w:val="single"/>
        </w:rPr>
        <w:t>Se turna la Comisión de Salud Pública con fundamento en el artículo 118 fracción IV de nuestra Ley Orgánica para su estudio y dictamen.</w:t>
      </w:r>
    </w:p>
    <w:p w14:paraId="5323D9C5" w14:textId="77777777" w:rsidR="008B6D9A" w:rsidRPr="0030088F" w:rsidRDefault="008B6D9A" w:rsidP="008B6D9A">
      <w:pPr>
        <w:ind w:left="709" w:right="1041"/>
        <w:jc w:val="both"/>
        <w:rPr>
          <w:rFonts w:ascii="Abadi" w:hAnsi="Abadi"/>
          <w:b/>
          <w:bCs/>
          <w:i/>
          <w:iCs/>
          <w:sz w:val="21"/>
          <w:szCs w:val="21"/>
          <w:u w:val="single"/>
        </w:rPr>
      </w:pPr>
    </w:p>
    <w:p w14:paraId="7D0F5056" w14:textId="77777777" w:rsidR="008B6D9A" w:rsidRPr="0030088F" w:rsidRDefault="008B6D9A" w:rsidP="008B6D9A">
      <w:pPr>
        <w:ind w:firstLine="708"/>
        <w:jc w:val="both"/>
        <w:rPr>
          <w:rFonts w:ascii="Abadi" w:hAnsi="Abadi"/>
          <w:sz w:val="21"/>
          <w:szCs w:val="21"/>
        </w:rPr>
      </w:pPr>
      <w:r w:rsidRPr="0030088F">
        <w:rPr>
          <w:rFonts w:ascii="Abadi" w:hAnsi="Abadi"/>
          <w:sz w:val="21"/>
          <w:szCs w:val="21"/>
        </w:rPr>
        <w:t>- Esta presidencia da la más cordial bienvenida al Grupo de Jóvenes Líderes de la Ciudad de Celaya invitados por la diputada María de la Luz Hernández Martínez, bienvenidos.</w:t>
      </w:r>
    </w:p>
    <w:p w14:paraId="0E3A9752" w14:textId="77777777" w:rsidR="008B6D9A" w:rsidRPr="00650831" w:rsidRDefault="008B6D9A" w:rsidP="00493770">
      <w:pPr>
        <w:pStyle w:val="Textoindependiente"/>
        <w:ind w:firstLine="710"/>
        <w:jc w:val="center"/>
        <w:rPr>
          <w:rFonts w:ascii="Abadi" w:hAnsi="Abadi"/>
          <w:sz w:val="21"/>
          <w:szCs w:val="21"/>
        </w:rPr>
      </w:pPr>
    </w:p>
    <w:p w14:paraId="0B5A0510" w14:textId="689DBB01"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06796">
        <w:rPr>
          <w:rFonts w:ascii="Abadi" w:hAnsi="Abadi" w:cs="ArialMT"/>
          <w:b/>
          <w:bCs/>
          <w:sz w:val="21"/>
          <w:szCs w:val="21"/>
        </w:rPr>
        <w:t>PRESENTACIÓN DE LA PROPUESTA DE PUNTO DE ACUERDO SIGNADA POR LA DIPUTADA ALMA EDWVIGES ALCARAZ HERNÁNDEZ INTEGRANTE DEL GRUPO PARLAMENTARIO DEL PARTIDO MORENA A EFECTO DE GIRAR ATENTO EXHORTO A LOS 46 AYUNTAMIENTOS Y AL TITULAR DE LA COMISIÓN ESTATAL DE BÚSQUEDA DE PERSONAS.</w:t>
      </w:r>
      <w:r w:rsidR="003B2DBA">
        <w:rPr>
          <w:rStyle w:val="Refdenotaalpie"/>
          <w:rFonts w:ascii="Abadi" w:hAnsi="Abadi" w:cs="ArialMT"/>
          <w:b/>
          <w:bCs/>
          <w:sz w:val="21"/>
          <w:szCs w:val="21"/>
        </w:rPr>
        <w:footnoteReference w:id="83"/>
      </w:r>
    </w:p>
    <w:p w14:paraId="6BF2B147" w14:textId="77777777" w:rsidR="005A4734" w:rsidRDefault="005A4734" w:rsidP="005A4734">
      <w:pPr>
        <w:autoSpaceDE w:val="0"/>
        <w:autoSpaceDN w:val="0"/>
        <w:adjustRightInd w:val="0"/>
        <w:contextualSpacing/>
        <w:jc w:val="both"/>
        <w:rPr>
          <w:rFonts w:ascii="Abadi" w:hAnsi="Abadi" w:cs="ArialMT"/>
          <w:b/>
          <w:bCs/>
          <w:sz w:val="21"/>
          <w:szCs w:val="21"/>
        </w:rPr>
      </w:pPr>
    </w:p>
    <w:p w14:paraId="434F5569" w14:textId="77777777" w:rsidR="005A4734" w:rsidRDefault="005A4734" w:rsidP="005A4734">
      <w:pPr>
        <w:autoSpaceDE w:val="0"/>
        <w:autoSpaceDN w:val="0"/>
        <w:adjustRightInd w:val="0"/>
        <w:contextualSpacing/>
        <w:jc w:val="both"/>
        <w:rPr>
          <w:rFonts w:ascii="Abadi" w:hAnsi="Abadi" w:cs="ArialMT"/>
          <w:b/>
          <w:bCs/>
          <w:sz w:val="21"/>
          <w:szCs w:val="21"/>
        </w:rPr>
      </w:pPr>
    </w:p>
    <w:p w14:paraId="672A661E" w14:textId="77777777" w:rsidR="006D7C58" w:rsidRPr="00EA53EE" w:rsidRDefault="006D7C58" w:rsidP="006D7C58">
      <w:pPr>
        <w:ind w:left="-5" w:right="57"/>
        <w:rPr>
          <w:rFonts w:ascii="Abadi" w:hAnsi="Abadi"/>
          <w:b/>
          <w:bCs/>
          <w:sz w:val="21"/>
          <w:szCs w:val="21"/>
        </w:rPr>
      </w:pPr>
      <w:r w:rsidRPr="00EA53EE">
        <w:rPr>
          <w:rFonts w:ascii="Abadi" w:hAnsi="Abadi"/>
          <w:b/>
          <w:bCs/>
          <w:sz w:val="21"/>
          <w:szCs w:val="21"/>
        </w:rPr>
        <w:t xml:space="preserve">Diputada Laura Cristina Márquez Alcalá </w:t>
      </w:r>
    </w:p>
    <w:p w14:paraId="0A973DCC" w14:textId="609C70C7" w:rsidR="006D7C58" w:rsidRDefault="006D7C58" w:rsidP="006D7C58">
      <w:pPr>
        <w:autoSpaceDE w:val="0"/>
        <w:autoSpaceDN w:val="0"/>
        <w:adjustRightInd w:val="0"/>
        <w:contextualSpacing/>
        <w:jc w:val="both"/>
        <w:rPr>
          <w:rFonts w:ascii="Abadi" w:hAnsi="Abadi"/>
          <w:sz w:val="21"/>
          <w:szCs w:val="21"/>
        </w:rPr>
      </w:pPr>
      <w:r w:rsidRPr="001228F2">
        <w:rPr>
          <w:rFonts w:ascii="Abadi" w:hAnsi="Abadi"/>
          <w:sz w:val="21"/>
          <w:szCs w:val="21"/>
        </w:rPr>
        <w:t>Presidenta de la Mesa Directiva de la LXV Legislatura del Estado de Guanajuato Presente</w:t>
      </w:r>
    </w:p>
    <w:p w14:paraId="158B2785" w14:textId="77777777" w:rsidR="00F45CDA" w:rsidRDefault="00F45CDA" w:rsidP="006D7C58">
      <w:pPr>
        <w:autoSpaceDE w:val="0"/>
        <w:autoSpaceDN w:val="0"/>
        <w:adjustRightInd w:val="0"/>
        <w:contextualSpacing/>
        <w:jc w:val="both"/>
        <w:rPr>
          <w:rFonts w:ascii="Abadi" w:hAnsi="Abadi"/>
          <w:sz w:val="21"/>
          <w:szCs w:val="21"/>
        </w:rPr>
      </w:pPr>
    </w:p>
    <w:p w14:paraId="091209E0" w14:textId="77777777" w:rsidR="00F45CDA" w:rsidRDefault="00F45CDA" w:rsidP="00F45CDA">
      <w:pPr>
        <w:ind w:left="-5" w:right="57"/>
        <w:jc w:val="both"/>
        <w:rPr>
          <w:rFonts w:ascii="Abadi" w:hAnsi="Abadi"/>
          <w:sz w:val="21"/>
          <w:szCs w:val="21"/>
        </w:rPr>
      </w:pPr>
      <w:r w:rsidRPr="00EA53EE">
        <w:rPr>
          <w:rFonts w:ascii="Abadi" w:hAnsi="Abadi"/>
          <w:b/>
          <w:bCs/>
          <w:sz w:val="21"/>
          <w:szCs w:val="21"/>
        </w:rPr>
        <w:t>Diputada Alma Edwviges Alcaraz Hernández,</w:t>
      </w:r>
      <w:r w:rsidRPr="001228F2">
        <w:rPr>
          <w:rFonts w:ascii="Abadi" w:hAnsi="Abadi"/>
          <w:sz w:val="21"/>
          <w:szCs w:val="21"/>
        </w:rPr>
        <w:t xml:space="preserve"> integrante del Grupo Parlamentario de Morena en la LXV Legislatura del Congreso del Estado de Guanajuato, con fundamento en lo dispuesto por los artículos 57 primer párrafo de la Constitución Política para el Estado de Guanajuato, así como el artículo 204 fracción III de la Ley Orgánica del Poder Legislativo del Estado de Guanajuato, me permito poner a la consideración de la Asamblea la siguiente propuesta de Punto de Acuerdo, según las siguientes: </w:t>
      </w:r>
    </w:p>
    <w:p w14:paraId="17908369" w14:textId="70BE9EB4" w:rsidR="000D516B" w:rsidRDefault="00B40D75" w:rsidP="00E74E2F">
      <w:pPr>
        <w:ind w:left="-5" w:right="57"/>
        <w:jc w:val="both"/>
        <w:rPr>
          <w:rFonts w:ascii="Abadi" w:hAnsi="Abadi"/>
          <w:sz w:val="21"/>
          <w:szCs w:val="21"/>
        </w:rPr>
      </w:pPr>
      <w:r>
        <w:rPr>
          <w:rFonts w:ascii="Abadi" w:hAnsi="Abadi"/>
          <w:sz w:val="21"/>
          <w:szCs w:val="21"/>
        </w:rPr>
        <w:t xml:space="preserve"> </w:t>
      </w:r>
    </w:p>
    <w:p w14:paraId="1DA4B678" w14:textId="71C7EACA" w:rsidR="000D516B" w:rsidRDefault="000D516B" w:rsidP="00E74E2F">
      <w:pPr>
        <w:ind w:left="-5" w:right="57"/>
        <w:jc w:val="center"/>
        <w:rPr>
          <w:rFonts w:ascii="Abadi" w:hAnsi="Abadi"/>
          <w:sz w:val="21"/>
          <w:szCs w:val="21"/>
        </w:rPr>
      </w:pPr>
      <w:r>
        <w:rPr>
          <w:rFonts w:ascii="Abadi" w:hAnsi="Abadi"/>
          <w:sz w:val="21"/>
          <w:szCs w:val="21"/>
        </w:rPr>
        <w:t>C</w:t>
      </w:r>
      <w:r w:rsidR="00F233B9">
        <w:rPr>
          <w:rFonts w:ascii="Abadi" w:hAnsi="Abadi"/>
          <w:sz w:val="21"/>
          <w:szCs w:val="21"/>
        </w:rPr>
        <w:t xml:space="preserve"> </w:t>
      </w:r>
      <w:r>
        <w:rPr>
          <w:rFonts w:ascii="Abadi" w:hAnsi="Abadi"/>
          <w:sz w:val="21"/>
          <w:szCs w:val="21"/>
        </w:rPr>
        <w:t>O</w:t>
      </w:r>
      <w:r w:rsidR="00B40D75">
        <w:rPr>
          <w:rFonts w:ascii="Abadi" w:hAnsi="Abadi"/>
          <w:sz w:val="21"/>
          <w:szCs w:val="21"/>
        </w:rPr>
        <w:t xml:space="preserve"> </w:t>
      </w:r>
      <w:r>
        <w:rPr>
          <w:rFonts w:ascii="Abadi" w:hAnsi="Abadi"/>
          <w:sz w:val="21"/>
          <w:szCs w:val="21"/>
        </w:rPr>
        <w:t>N</w:t>
      </w:r>
      <w:r w:rsidR="00B40D75">
        <w:rPr>
          <w:rFonts w:ascii="Abadi" w:hAnsi="Abadi"/>
          <w:sz w:val="21"/>
          <w:szCs w:val="21"/>
        </w:rPr>
        <w:t xml:space="preserve"> </w:t>
      </w:r>
      <w:r>
        <w:rPr>
          <w:rFonts w:ascii="Abadi" w:hAnsi="Abadi"/>
          <w:sz w:val="21"/>
          <w:szCs w:val="21"/>
        </w:rPr>
        <w:t>S</w:t>
      </w:r>
      <w:r w:rsidR="00B40D75">
        <w:rPr>
          <w:rFonts w:ascii="Abadi" w:hAnsi="Abadi"/>
          <w:sz w:val="21"/>
          <w:szCs w:val="21"/>
        </w:rPr>
        <w:t xml:space="preserve"> </w:t>
      </w:r>
      <w:r>
        <w:rPr>
          <w:rFonts w:ascii="Abadi" w:hAnsi="Abadi"/>
          <w:sz w:val="21"/>
          <w:szCs w:val="21"/>
        </w:rPr>
        <w:t>I</w:t>
      </w:r>
      <w:r w:rsidR="00B40D75">
        <w:rPr>
          <w:rFonts w:ascii="Abadi" w:hAnsi="Abadi"/>
          <w:sz w:val="21"/>
          <w:szCs w:val="21"/>
        </w:rPr>
        <w:t xml:space="preserve"> </w:t>
      </w:r>
      <w:r>
        <w:rPr>
          <w:rFonts w:ascii="Abadi" w:hAnsi="Abadi"/>
          <w:sz w:val="21"/>
          <w:szCs w:val="21"/>
        </w:rPr>
        <w:t>D</w:t>
      </w:r>
      <w:r w:rsidR="00B40D75">
        <w:rPr>
          <w:rFonts w:ascii="Abadi" w:hAnsi="Abadi"/>
          <w:sz w:val="21"/>
          <w:szCs w:val="21"/>
        </w:rPr>
        <w:t xml:space="preserve"> </w:t>
      </w:r>
      <w:r>
        <w:rPr>
          <w:rFonts w:ascii="Abadi" w:hAnsi="Abadi"/>
          <w:sz w:val="21"/>
          <w:szCs w:val="21"/>
        </w:rPr>
        <w:t>E</w:t>
      </w:r>
      <w:r w:rsidR="00B40D75">
        <w:rPr>
          <w:rFonts w:ascii="Abadi" w:hAnsi="Abadi"/>
          <w:sz w:val="21"/>
          <w:szCs w:val="21"/>
        </w:rPr>
        <w:t xml:space="preserve"> </w:t>
      </w:r>
      <w:r>
        <w:rPr>
          <w:rFonts w:ascii="Abadi" w:hAnsi="Abadi"/>
          <w:sz w:val="21"/>
          <w:szCs w:val="21"/>
        </w:rPr>
        <w:t>R</w:t>
      </w:r>
      <w:r w:rsidR="00B40D75">
        <w:rPr>
          <w:rFonts w:ascii="Abadi" w:hAnsi="Abadi"/>
          <w:sz w:val="21"/>
          <w:szCs w:val="21"/>
        </w:rPr>
        <w:t xml:space="preserve"> </w:t>
      </w:r>
      <w:r>
        <w:rPr>
          <w:rFonts w:ascii="Abadi" w:hAnsi="Abadi"/>
          <w:sz w:val="21"/>
          <w:szCs w:val="21"/>
        </w:rPr>
        <w:t>A</w:t>
      </w:r>
      <w:r w:rsidR="00B40D75">
        <w:rPr>
          <w:rFonts w:ascii="Abadi" w:hAnsi="Abadi"/>
          <w:sz w:val="21"/>
          <w:szCs w:val="21"/>
        </w:rPr>
        <w:t xml:space="preserve"> </w:t>
      </w:r>
      <w:r>
        <w:rPr>
          <w:rFonts w:ascii="Abadi" w:hAnsi="Abadi"/>
          <w:sz w:val="21"/>
          <w:szCs w:val="21"/>
        </w:rPr>
        <w:t>C</w:t>
      </w:r>
      <w:r w:rsidR="00B40D75">
        <w:rPr>
          <w:rFonts w:ascii="Abadi" w:hAnsi="Abadi"/>
          <w:sz w:val="21"/>
          <w:szCs w:val="21"/>
        </w:rPr>
        <w:t xml:space="preserve"> </w:t>
      </w:r>
      <w:r>
        <w:rPr>
          <w:rFonts w:ascii="Abadi" w:hAnsi="Abadi"/>
          <w:sz w:val="21"/>
          <w:szCs w:val="21"/>
        </w:rPr>
        <w:t>I</w:t>
      </w:r>
      <w:r w:rsidR="00B40D75">
        <w:rPr>
          <w:rFonts w:ascii="Abadi" w:hAnsi="Abadi"/>
          <w:sz w:val="21"/>
          <w:szCs w:val="21"/>
        </w:rPr>
        <w:t xml:space="preserve"> </w:t>
      </w:r>
      <w:r>
        <w:rPr>
          <w:rFonts w:ascii="Abadi" w:hAnsi="Abadi"/>
          <w:sz w:val="21"/>
          <w:szCs w:val="21"/>
        </w:rPr>
        <w:t>O</w:t>
      </w:r>
      <w:r w:rsidR="00B40D75">
        <w:rPr>
          <w:rFonts w:ascii="Abadi" w:hAnsi="Abadi"/>
          <w:sz w:val="21"/>
          <w:szCs w:val="21"/>
        </w:rPr>
        <w:t xml:space="preserve"> </w:t>
      </w:r>
      <w:r>
        <w:rPr>
          <w:rFonts w:ascii="Abadi" w:hAnsi="Abadi"/>
          <w:sz w:val="21"/>
          <w:szCs w:val="21"/>
        </w:rPr>
        <w:t>N</w:t>
      </w:r>
      <w:r w:rsidR="00B40D75">
        <w:rPr>
          <w:rFonts w:ascii="Abadi" w:hAnsi="Abadi"/>
          <w:sz w:val="21"/>
          <w:szCs w:val="21"/>
        </w:rPr>
        <w:t xml:space="preserve"> </w:t>
      </w:r>
      <w:r>
        <w:rPr>
          <w:rFonts w:ascii="Abadi" w:hAnsi="Abadi"/>
          <w:sz w:val="21"/>
          <w:szCs w:val="21"/>
        </w:rPr>
        <w:t>E</w:t>
      </w:r>
      <w:r w:rsidR="00B40D75">
        <w:rPr>
          <w:rFonts w:ascii="Abadi" w:hAnsi="Abadi"/>
          <w:sz w:val="21"/>
          <w:szCs w:val="21"/>
        </w:rPr>
        <w:t xml:space="preserve"> </w:t>
      </w:r>
      <w:r>
        <w:rPr>
          <w:rFonts w:ascii="Abadi" w:hAnsi="Abadi"/>
          <w:sz w:val="21"/>
          <w:szCs w:val="21"/>
        </w:rPr>
        <w:t>S</w:t>
      </w:r>
    </w:p>
    <w:p w14:paraId="3A306448" w14:textId="77777777" w:rsidR="00E74E2F" w:rsidRPr="001228F2" w:rsidRDefault="00E74E2F" w:rsidP="00E74E2F">
      <w:pPr>
        <w:ind w:left="-5" w:right="57"/>
        <w:jc w:val="both"/>
        <w:rPr>
          <w:rFonts w:ascii="Abadi" w:hAnsi="Abadi"/>
          <w:sz w:val="21"/>
          <w:szCs w:val="21"/>
        </w:rPr>
      </w:pPr>
    </w:p>
    <w:p w14:paraId="14B8A70E" w14:textId="77777777" w:rsidR="0002131B" w:rsidRPr="001228F2" w:rsidRDefault="0002131B" w:rsidP="00E74E2F">
      <w:pPr>
        <w:ind w:left="-5" w:right="57"/>
        <w:jc w:val="both"/>
        <w:rPr>
          <w:rFonts w:ascii="Abadi" w:hAnsi="Abadi"/>
          <w:sz w:val="21"/>
          <w:szCs w:val="21"/>
        </w:rPr>
      </w:pPr>
      <w:r w:rsidRPr="001228F2">
        <w:rPr>
          <w:rFonts w:ascii="Abadi" w:hAnsi="Abadi"/>
          <w:sz w:val="21"/>
          <w:szCs w:val="21"/>
        </w:rPr>
        <w:t xml:space="preserve">De manera general se entiende por personas desaparecidas aquellas de quienes se desconoce su paradero y de quienes sus familiares no tienen información o de aquellas cuya desaparición ha sido señalada con base en información verificable. </w:t>
      </w:r>
    </w:p>
    <w:p w14:paraId="0AED838E" w14:textId="77777777" w:rsidR="0002131B" w:rsidRPr="001228F2" w:rsidRDefault="0002131B" w:rsidP="00E74E2F">
      <w:pPr>
        <w:ind w:left="-5" w:right="57"/>
        <w:jc w:val="both"/>
        <w:rPr>
          <w:rFonts w:ascii="Abadi" w:hAnsi="Abadi"/>
          <w:sz w:val="21"/>
          <w:szCs w:val="21"/>
        </w:rPr>
      </w:pPr>
    </w:p>
    <w:p w14:paraId="54DC8C4B" w14:textId="77777777" w:rsidR="0002131B" w:rsidRPr="001228F2" w:rsidRDefault="0002131B" w:rsidP="00E74E2F">
      <w:pPr>
        <w:ind w:left="-5" w:right="57"/>
        <w:jc w:val="both"/>
        <w:rPr>
          <w:rFonts w:ascii="Abadi" w:hAnsi="Abadi"/>
          <w:sz w:val="21"/>
          <w:szCs w:val="21"/>
        </w:rPr>
      </w:pPr>
      <w:r w:rsidRPr="001228F2">
        <w:rPr>
          <w:rFonts w:ascii="Abadi" w:hAnsi="Abadi"/>
          <w:sz w:val="21"/>
          <w:szCs w:val="21"/>
        </w:rPr>
        <w:t xml:space="preserve">La Ley para la Búsqueda de Personas Desaparecidas en el Estado de Guanajuato publicada en el Periódico Oficial del Estado el 3 de junio de 2020, define a la persona desaparecida como la persona cuya ubicación y paradero se desconoce, independientemente de que su ausencia se relacione o no con la comisión de un delito. De acuerdo con la Comisión Nacional de Derechos Humanos, la desaparición de personas, incluida la desaparición forzada, representa una violación pluriofensiva a los derechos humanos de las víctimas y sus familias; ello en razón de que por un lado los daños psicológicos y/o físicos provocados a las víctimas son irreparables y  por el otro sus familias sufren menoscabos psicológicos económicos y de salud física; todo ello al constante desgaste emocional que conlleva el sufrimiento y la angustia de desconocer el paradero de su ser querido. </w:t>
      </w:r>
    </w:p>
    <w:p w14:paraId="2BFEEB72" w14:textId="77777777" w:rsidR="0002131B" w:rsidRPr="001228F2" w:rsidRDefault="0002131B" w:rsidP="00E74E2F">
      <w:pPr>
        <w:ind w:left="-5" w:right="57"/>
        <w:jc w:val="both"/>
        <w:rPr>
          <w:rFonts w:ascii="Abadi" w:hAnsi="Abadi"/>
          <w:sz w:val="21"/>
          <w:szCs w:val="21"/>
        </w:rPr>
      </w:pPr>
    </w:p>
    <w:p w14:paraId="6D9B31DA" w14:textId="77777777" w:rsidR="0002131B" w:rsidRPr="001228F2" w:rsidRDefault="0002131B" w:rsidP="00E74E2F">
      <w:pPr>
        <w:ind w:left="-5" w:right="57"/>
        <w:jc w:val="both"/>
        <w:rPr>
          <w:rFonts w:ascii="Abadi" w:hAnsi="Abadi"/>
          <w:sz w:val="21"/>
          <w:szCs w:val="21"/>
        </w:rPr>
      </w:pPr>
      <w:r w:rsidRPr="001228F2">
        <w:rPr>
          <w:rFonts w:ascii="Abadi" w:hAnsi="Abadi"/>
          <w:sz w:val="21"/>
          <w:szCs w:val="21"/>
        </w:rPr>
        <w:t xml:space="preserve">Es innegable que Guanajuato se ha convertido en uno de los estado más inseguros y violentos del país el número de homicidios que a diario se cometen son una clara muestra del problema que enfrentamos; a pesar de ello durante muchos años las autoridades se negaron a reconocer los hechos y hoy en día continúan tratando de ocultar la magnitud del problema que enfrentamos; emiten discursos y comunicados enfocados en normalizar y minimizar el problema en lugar de enfrentarlo, por desgracia para las y los guanajuatenses cada día de inacción y omisión de las autoridades estatales ha propiciado que más familias sufran por la pérdida de un ser querido. </w:t>
      </w:r>
    </w:p>
    <w:p w14:paraId="75D4764C" w14:textId="77777777" w:rsidR="0002131B" w:rsidRPr="001228F2" w:rsidRDefault="0002131B" w:rsidP="00E74E2F">
      <w:pPr>
        <w:ind w:left="-5" w:right="57"/>
        <w:jc w:val="both"/>
        <w:rPr>
          <w:rFonts w:ascii="Abadi" w:hAnsi="Abadi"/>
          <w:sz w:val="21"/>
          <w:szCs w:val="21"/>
        </w:rPr>
      </w:pPr>
    </w:p>
    <w:p w14:paraId="72CB366B" w14:textId="77777777" w:rsidR="0002131B" w:rsidRPr="001228F2" w:rsidRDefault="0002131B" w:rsidP="00E74E2F">
      <w:pPr>
        <w:ind w:left="-5" w:right="57"/>
        <w:jc w:val="both"/>
        <w:rPr>
          <w:rFonts w:ascii="Abadi" w:hAnsi="Abadi"/>
          <w:sz w:val="21"/>
          <w:szCs w:val="21"/>
        </w:rPr>
      </w:pPr>
      <w:r w:rsidRPr="001228F2">
        <w:rPr>
          <w:rFonts w:ascii="Abadi" w:hAnsi="Abadi"/>
          <w:sz w:val="21"/>
          <w:szCs w:val="21"/>
        </w:rPr>
        <w:t xml:space="preserve">De acuerdo con el Registro Nacional de Personas Desaparecidas y No Localizadas (RNPDNO), del 1 de enero de 2022 al 20 de junio de 2023 se tiene un total de 789 personas desaparecidas o no localizadas, de ellas 344 continúan desaparecidas y 445 han sido localizadas, de ese total 57 fueron </w:t>
      </w:r>
      <w:r w:rsidRPr="001228F2">
        <w:rPr>
          <w:rFonts w:ascii="Abadi" w:hAnsi="Abadi"/>
          <w:sz w:val="21"/>
          <w:szCs w:val="21"/>
        </w:rPr>
        <w:lastRenderedPageBreak/>
        <w:t xml:space="preserve">localizadas sin vida. Tan solo en lo que va de este año se tienen un registro de 274 personas desaparecidas en Guanajuato, de las cuales 78 siguen desaparecidas o no localizadas, 173 han sido localizadas con vida y 23 sin vida; siendo los municipios de León, Irapuato, Celaya y Guanajuato los de mayor incidencia de personas desaparecidas. Sin embargo, de acuerdo con el informe trimestral de actividades enero </w:t>
      </w:r>
      <w:r w:rsidRPr="001228F2">
        <w:rPr>
          <w:rFonts w:ascii="Abadi" w:hAnsi="Abadi" w:cs="Amasis MT Pro"/>
          <w:sz w:val="21"/>
          <w:szCs w:val="21"/>
        </w:rPr>
        <w:t>–</w:t>
      </w:r>
      <w:r w:rsidRPr="001228F2">
        <w:rPr>
          <w:rFonts w:ascii="Abadi" w:hAnsi="Abadi"/>
          <w:sz w:val="21"/>
          <w:szCs w:val="21"/>
        </w:rPr>
        <w:t xml:space="preserve"> marzo de 2023 de la Comisión Estatal de Búsqueda de Personas, en el periodo mencionado se </w:t>
      </w:r>
      <w:proofErr w:type="gramStart"/>
      <w:r w:rsidRPr="001228F2">
        <w:rPr>
          <w:rFonts w:ascii="Abadi" w:hAnsi="Abadi"/>
          <w:sz w:val="21"/>
          <w:szCs w:val="21"/>
        </w:rPr>
        <w:t>recibieron  directamente</w:t>
      </w:r>
      <w:proofErr w:type="gramEnd"/>
      <w:r w:rsidRPr="001228F2">
        <w:rPr>
          <w:rFonts w:ascii="Abadi" w:hAnsi="Abadi"/>
          <w:sz w:val="21"/>
          <w:szCs w:val="21"/>
        </w:rPr>
        <w:t xml:space="preserve"> por la comisión 610 reportes de personas desaparecidas; cifra que resulta sumamente mayor a lo reportado en el Registro Nacional. </w:t>
      </w:r>
    </w:p>
    <w:p w14:paraId="78F3ADF7" w14:textId="77777777" w:rsidR="0002131B" w:rsidRPr="001228F2" w:rsidRDefault="0002131B" w:rsidP="00E74E2F">
      <w:pPr>
        <w:ind w:left="-5" w:right="57"/>
        <w:jc w:val="both"/>
        <w:rPr>
          <w:rFonts w:ascii="Abadi" w:hAnsi="Abadi"/>
          <w:sz w:val="21"/>
          <w:szCs w:val="21"/>
        </w:rPr>
      </w:pPr>
      <w:r w:rsidRPr="001228F2">
        <w:rPr>
          <w:rFonts w:ascii="Abadi" w:hAnsi="Abadi"/>
          <w:sz w:val="21"/>
          <w:szCs w:val="21"/>
        </w:rPr>
        <w:t xml:space="preserve"> </w:t>
      </w:r>
    </w:p>
    <w:p w14:paraId="35D64425" w14:textId="77777777" w:rsidR="00001679" w:rsidRPr="003D6D37" w:rsidRDefault="0002131B" w:rsidP="00E74E2F">
      <w:pPr>
        <w:ind w:left="-5" w:right="57"/>
        <w:jc w:val="both"/>
        <w:rPr>
          <w:rFonts w:ascii="Abadi" w:hAnsi="Abadi"/>
          <w:sz w:val="21"/>
          <w:szCs w:val="21"/>
        </w:rPr>
      </w:pPr>
      <w:r w:rsidRPr="001228F2">
        <w:rPr>
          <w:rFonts w:ascii="Abadi" w:hAnsi="Abadi"/>
          <w:sz w:val="21"/>
          <w:szCs w:val="21"/>
        </w:rPr>
        <w:t>En el informe denominado Mujeres desaparecidas en el estado de Guanajuato: Historias de olvido y estigmatización sin acceso a la justicia, emitido por el Instituto Mexicano de Derechos Humanos y Democracia, se establece que a partir del año 2017 hubo un incremento sustancial en las desapariciones, debido a que más del 80% de las carpetas de investigació</w:t>
      </w:r>
      <w:r w:rsidRPr="003D6D37">
        <w:rPr>
          <w:rFonts w:ascii="Abadi" w:hAnsi="Abadi"/>
          <w:sz w:val="21"/>
          <w:szCs w:val="21"/>
        </w:rPr>
        <w:t>n iniciadas por la comisión de este delito se iniciaron entre el 2018 y el 2022. Este informe señala que entre</w:t>
      </w:r>
      <w:r w:rsidR="00001679" w:rsidRPr="003D6D37">
        <w:rPr>
          <w:rFonts w:ascii="Abadi" w:hAnsi="Abadi"/>
          <w:sz w:val="21"/>
          <w:szCs w:val="21"/>
        </w:rPr>
        <w:t xml:space="preserve"> enero del año 2000 y enero de 2022 los municipios en donde más personas desaparecieron</w:t>
      </w:r>
      <w:r w:rsidR="00001679" w:rsidRPr="003D6D37">
        <w:rPr>
          <w:rFonts w:ascii="Abadi" w:hAnsi="Abadi"/>
          <w:sz w:val="21"/>
          <w:szCs w:val="21"/>
          <w:vertAlign w:val="superscript"/>
        </w:rPr>
        <w:footnoteReference w:id="84"/>
      </w:r>
      <w:r w:rsidR="00001679" w:rsidRPr="003D6D37">
        <w:rPr>
          <w:rFonts w:ascii="Abadi" w:hAnsi="Abadi"/>
          <w:sz w:val="21"/>
          <w:szCs w:val="21"/>
        </w:rPr>
        <w:t xml:space="preserve"> fueron Apaseo el Grande, Celaya, Salamanca e Irapuato y que en este 2023 el municipio con más desapariciones por cada cien mil habitantes es Celaya con 405 personas desaparecidas, Irapuato con 373 y Guanajuato con 348 (dichas cifras incluyen personas desaparecidas localizadas y no localizadas). </w:t>
      </w:r>
      <w:r w:rsidR="00001679" w:rsidRPr="003D6D37">
        <w:rPr>
          <w:rFonts w:ascii="Abadi" w:hAnsi="Abadi" w:cs="Amasis MT Pro"/>
          <w:sz w:val="21"/>
          <w:szCs w:val="21"/>
        </w:rPr>
        <w:t>“</w:t>
      </w:r>
      <w:r w:rsidR="00001679" w:rsidRPr="003D6D37">
        <w:rPr>
          <w:rFonts w:ascii="Abadi" w:hAnsi="Abadi"/>
          <w:sz w:val="21"/>
          <w:szCs w:val="21"/>
        </w:rPr>
        <w:t>Con base en la información del RNPDNO del 1 de enero de 2000 al 08 de febrero de 2023, en Guanajuato el registro de hombres y mujeres desaparecidas, no localizadas y localizadas es de 15,399. La mayoría de ellas son mujeres (51%), mientras que el 49% corresponde a hombres</w:t>
      </w:r>
      <w:r w:rsidR="00001679" w:rsidRPr="003D6D37">
        <w:rPr>
          <w:rFonts w:ascii="Abadi" w:hAnsi="Abadi" w:cs="Amasis MT Pro"/>
          <w:sz w:val="21"/>
          <w:szCs w:val="21"/>
        </w:rPr>
        <w:t>”</w:t>
      </w:r>
      <w:r w:rsidR="00001679" w:rsidRPr="003D6D37">
        <w:rPr>
          <w:rFonts w:ascii="Abadi" w:hAnsi="Abadi"/>
          <w:sz w:val="21"/>
          <w:szCs w:val="21"/>
          <w:vertAlign w:val="superscript"/>
        </w:rPr>
        <w:t>2</w:t>
      </w:r>
      <w:r w:rsidR="00001679" w:rsidRPr="003D6D37">
        <w:rPr>
          <w:rFonts w:ascii="Abadi" w:hAnsi="Abadi"/>
          <w:sz w:val="21"/>
          <w:szCs w:val="21"/>
        </w:rPr>
        <w:t xml:space="preserve">. </w:t>
      </w:r>
    </w:p>
    <w:p w14:paraId="7801062C" w14:textId="77777777" w:rsidR="00001679" w:rsidRPr="003D6D37" w:rsidRDefault="00001679" w:rsidP="00E74E2F">
      <w:pPr>
        <w:ind w:left="-5" w:right="57"/>
        <w:jc w:val="both"/>
        <w:rPr>
          <w:rFonts w:ascii="Abadi" w:hAnsi="Abadi"/>
          <w:sz w:val="21"/>
          <w:szCs w:val="21"/>
        </w:rPr>
      </w:pPr>
    </w:p>
    <w:p w14:paraId="5A56B1CE" w14:textId="77777777" w:rsidR="00001679" w:rsidRPr="003D6D37" w:rsidRDefault="00001679" w:rsidP="00E74E2F">
      <w:pPr>
        <w:ind w:left="-5" w:right="57"/>
        <w:jc w:val="both"/>
        <w:rPr>
          <w:rFonts w:ascii="Abadi" w:hAnsi="Abadi"/>
          <w:sz w:val="21"/>
          <w:szCs w:val="21"/>
        </w:rPr>
      </w:pPr>
      <w:r w:rsidRPr="003D6D37">
        <w:rPr>
          <w:rFonts w:ascii="Abadi" w:hAnsi="Abadi" w:cs="Amasis MT Pro"/>
          <w:sz w:val="21"/>
          <w:szCs w:val="21"/>
        </w:rPr>
        <w:t>Es importante mencionar que el citado informe resalta que “</w:t>
      </w:r>
      <w:r w:rsidRPr="003D6D37">
        <w:rPr>
          <w:rFonts w:ascii="Abadi" w:hAnsi="Abadi"/>
          <w:sz w:val="21"/>
          <w:szCs w:val="21"/>
        </w:rPr>
        <w:t xml:space="preserve">Pareciera que a partir del año 2017 existió un cambio en el registro de datos que se envían al RNPDNO por parte de la entidad, pues la modificación de la </w:t>
      </w:r>
      <w:r w:rsidRPr="003D6D37">
        <w:rPr>
          <w:rFonts w:ascii="Abadi" w:hAnsi="Abadi"/>
          <w:sz w:val="21"/>
          <w:szCs w:val="21"/>
        </w:rPr>
        <w:t xml:space="preserve">tendencia en el registro de personas desaparecidas y no localizadas para los años 2021 y 2022 requieren de </w:t>
      </w:r>
      <w:r w:rsidRPr="003D6D37">
        <w:rPr>
          <w:rFonts w:ascii="Abadi" w:hAnsi="Abadi" w:cs="Amasis MT Pro"/>
          <w:sz w:val="21"/>
          <w:szCs w:val="21"/>
        </w:rPr>
        <w:t xml:space="preserve">un análisis más detallado y con otras fuentes, … ya que no se entiende cómo el </w:t>
      </w:r>
      <w:r w:rsidRPr="003D6D37">
        <w:rPr>
          <w:rFonts w:ascii="Abadi" w:hAnsi="Abadi"/>
          <w:sz w:val="21"/>
          <w:szCs w:val="21"/>
        </w:rPr>
        <w:t xml:space="preserve">año 2020 presenta el pico más alto tanto de hombres como de mujeres desaparecidas con 671 casos, pero para 2021 la cifra cae a únicamente 60 personas. Además, con base en información proporcionada por la FGJ vía respuestas a solicitudes de acceso a la información, del 1 de enero de 2012 al 22 de abril de 2022 hay 23,536 carpetas de investigación iniciadas por el delito de desaparición de personas, de las cuales el 88.14 % han sido localizadas, entre éstas el 96.14% se localizaron con vida y el 3.86 % fueron encontradas sin vida. </w:t>
      </w:r>
      <w:r w:rsidRPr="003D6D37">
        <w:rPr>
          <w:rFonts w:ascii="Abadi" w:hAnsi="Abadi" w:cs="Amasis MT Pro"/>
          <w:sz w:val="21"/>
          <w:szCs w:val="21"/>
        </w:rPr>
        <w:t xml:space="preserve">Sin embargo, …, </w:t>
      </w:r>
      <w:r w:rsidRPr="003D6D37">
        <w:rPr>
          <w:rFonts w:ascii="Abadi" w:hAnsi="Abadi"/>
          <w:sz w:val="21"/>
          <w:szCs w:val="21"/>
        </w:rPr>
        <w:t>la información presentada en el RNPDNO, considerando el mismo periodo para Guanajuato, tiene una variación sustancial, ya que se reconocen únicamente 10,057 personas registradas como desaparecidas, localizadas y no localizadas, de las cuales el 76.17% han sido localizadas</w:t>
      </w:r>
      <w:r w:rsidRPr="003D6D37">
        <w:rPr>
          <w:rFonts w:ascii="Abadi" w:hAnsi="Abadi" w:cs="Amasis MT Pro"/>
          <w:sz w:val="21"/>
          <w:szCs w:val="21"/>
        </w:rPr>
        <w:t>”</w:t>
      </w:r>
      <w:r w:rsidRPr="003D6D37">
        <w:rPr>
          <w:rFonts w:ascii="Abadi" w:hAnsi="Abadi"/>
          <w:sz w:val="21"/>
          <w:szCs w:val="21"/>
          <w:vertAlign w:val="superscript"/>
        </w:rPr>
        <w:t>3</w:t>
      </w:r>
      <w:r w:rsidRPr="003D6D37">
        <w:rPr>
          <w:rFonts w:ascii="Abadi" w:hAnsi="Abadi"/>
          <w:sz w:val="21"/>
          <w:szCs w:val="21"/>
        </w:rPr>
        <w:t xml:space="preserve">. </w:t>
      </w:r>
    </w:p>
    <w:p w14:paraId="4AF0145C" w14:textId="77777777" w:rsidR="00001679" w:rsidRPr="003D6D37" w:rsidRDefault="00001679" w:rsidP="00E74E2F">
      <w:pPr>
        <w:ind w:left="-5" w:right="57"/>
        <w:jc w:val="both"/>
        <w:rPr>
          <w:rFonts w:ascii="Abadi" w:hAnsi="Abadi"/>
          <w:sz w:val="21"/>
          <w:szCs w:val="21"/>
        </w:rPr>
      </w:pPr>
    </w:p>
    <w:p w14:paraId="7749F62B" w14:textId="77777777" w:rsidR="00001679" w:rsidRPr="003D6D37" w:rsidRDefault="00001679" w:rsidP="00E74E2F">
      <w:pPr>
        <w:ind w:left="-5" w:right="57"/>
        <w:jc w:val="both"/>
        <w:rPr>
          <w:rFonts w:ascii="Abadi" w:hAnsi="Abadi"/>
          <w:sz w:val="21"/>
          <w:szCs w:val="21"/>
        </w:rPr>
      </w:pPr>
      <w:r w:rsidRPr="003D6D37">
        <w:rPr>
          <w:rFonts w:ascii="Abadi" w:hAnsi="Abadi"/>
          <w:sz w:val="21"/>
          <w:szCs w:val="21"/>
        </w:rPr>
        <w:t xml:space="preserve">Asimismo, es necesario resaltar que este informe señala que los datos dados a conocer por la Fiscalía del Estado, en 10 años (1 de enero de 2012 a 20 de abril de 2022) se registraron 11,342 niñas y mujeres desaparecidas, de las cuales un 0.87% fue localizado sin vida; ello significa que, en promedio, cada día desaparecieron 3 niñas, adolescentes o mujeres en Guanajuato. </w:t>
      </w:r>
    </w:p>
    <w:p w14:paraId="6B75CD46" w14:textId="77777777" w:rsidR="00001679" w:rsidRPr="003D6D37" w:rsidRDefault="00001679" w:rsidP="00E74E2F">
      <w:pPr>
        <w:ind w:left="-5" w:right="57"/>
        <w:jc w:val="both"/>
        <w:rPr>
          <w:rFonts w:ascii="Abadi" w:hAnsi="Abadi"/>
          <w:sz w:val="21"/>
          <w:szCs w:val="21"/>
        </w:rPr>
      </w:pPr>
    </w:p>
    <w:p w14:paraId="2150E7CC" w14:textId="77777777" w:rsidR="00001679" w:rsidRPr="003D6D37" w:rsidRDefault="00001679" w:rsidP="00E74E2F">
      <w:pPr>
        <w:ind w:left="-5" w:right="57"/>
        <w:jc w:val="both"/>
        <w:rPr>
          <w:rFonts w:ascii="Abadi" w:hAnsi="Abadi"/>
          <w:sz w:val="21"/>
          <w:szCs w:val="21"/>
        </w:rPr>
      </w:pPr>
      <w:r w:rsidRPr="003D6D37">
        <w:rPr>
          <w:rFonts w:ascii="Abadi" w:hAnsi="Abadi"/>
          <w:sz w:val="21"/>
          <w:szCs w:val="21"/>
        </w:rPr>
        <w:t xml:space="preserve">De acuerdo con el reportaje denominado Cifras y crisis, discursos y vacíos: los laberintos de la desaparición en Guanajuato; en el periodo comprendido del 1 de enero de 2012 al 15 de mayo de 2022, la Fiscalía General del Estado abrió un total de 23,751 indagatorias o investigaciones por desaparición de personas; de las cuales según la propia institución el 88.2% fue localizado. Sin embargo, la información que públicamente da a conocer la Fiscalía no </w:t>
      </w:r>
      <w:r w:rsidRPr="003D6D37">
        <w:rPr>
          <w:rFonts w:ascii="Abadi" w:hAnsi="Abadi"/>
          <w:sz w:val="21"/>
          <w:szCs w:val="21"/>
        </w:rPr>
        <w:lastRenderedPageBreak/>
        <w:t>permite conocer las circunstancias en las que dichas personas fueron localizadas.</w:t>
      </w:r>
      <w:r w:rsidRPr="003D6D37">
        <w:rPr>
          <w:rFonts w:ascii="Abadi" w:hAnsi="Abadi"/>
          <w:sz w:val="21"/>
          <w:szCs w:val="21"/>
          <w:vertAlign w:val="superscript"/>
        </w:rPr>
        <w:footnoteReference w:id="85"/>
      </w:r>
      <w:r w:rsidRPr="003D6D37">
        <w:rPr>
          <w:rFonts w:ascii="Abadi" w:hAnsi="Abadi"/>
          <w:sz w:val="21"/>
          <w:szCs w:val="21"/>
        </w:rPr>
        <w:t xml:space="preserve"> </w:t>
      </w:r>
    </w:p>
    <w:p w14:paraId="37D95035" w14:textId="77777777" w:rsidR="00001679" w:rsidRPr="003D6D37" w:rsidRDefault="00001679" w:rsidP="00E74E2F">
      <w:pPr>
        <w:ind w:left="-5" w:right="57"/>
        <w:jc w:val="both"/>
        <w:rPr>
          <w:rFonts w:ascii="Abadi" w:hAnsi="Abadi"/>
          <w:sz w:val="21"/>
          <w:szCs w:val="21"/>
        </w:rPr>
      </w:pPr>
    </w:p>
    <w:p w14:paraId="26E6C597" w14:textId="77777777" w:rsidR="00001679" w:rsidRPr="003D6D37" w:rsidRDefault="00001679" w:rsidP="00E74E2F">
      <w:pPr>
        <w:ind w:left="-5" w:right="57"/>
        <w:jc w:val="both"/>
        <w:rPr>
          <w:rFonts w:ascii="Abadi" w:hAnsi="Abadi"/>
          <w:sz w:val="21"/>
          <w:szCs w:val="21"/>
        </w:rPr>
      </w:pPr>
      <w:r w:rsidRPr="003D6D37">
        <w:rPr>
          <w:rFonts w:ascii="Abadi" w:hAnsi="Abadi"/>
          <w:sz w:val="21"/>
          <w:szCs w:val="21"/>
        </w:rPr>
        <w:t>Tan sólo en la página web denominada Te Estamos Buscando del Gobierno del Estado</w:t>
      </w:r>
      <w:r w:rsidRPr="003D6D37">
        <w:rPr>
          <w:rFonts w:ascii="Abadi" w:hAnsi="Abadi"/>
          <w:sz w:val="21"/>
          <w:szCs w:val="21"/>
          <w:vertAlign w:val="superscript"/>
        </w:rPr>
        <w:footnoteReference w:id="86"/>
      </w:r>
      <w:r w:rsidRPr="003D6D37">
        <w:rPr>
          <w:rFonts w:ascii="Abadi" w:hAnsi="Abadi"/>
          <w:sz w:val="21"/>
          <w:szCs w:val="21"/>
        </w:rPr>
        <w:t xml:space="preserve">, aparecen casi 450 fichas de búsqueda de personas desaparecidas; incluidas las de la alerta </w:t>
      </w:r>
      <w:proofErr w:type="spellStart"/>
      <w:r w:rsidRPr="003D6D37">
        <w:rPr>
          <w:rFonts w:ascii="Abadi" w:hAnsi="Abadi"/>
          <w:sz w:val="21"/>
          <w:szCs w:val="21"/>
        </w:rPr>
        <w:t>amber</w:t>
      </w:r>
      <w:proofErr w:type="spellEnd"/>
      <w:r w:rsidRPr="003D6D37">
        <w:rPr>
          <w:rFonts w:ascii="Abadi" w:hAnsi="Abadi"/>
          <w:sz w:val="21"/>
          <w:szCs w:val="21"/>
        </w:rPr>
        <w:t xml:space="preserve"> que es empleada para localizar niños desaparecidos a través de la participación de autoridades, organizaciones de </w:t>
      </w:r>
      <w:proofErr w:type="spellStart"/>
      <w:r w:rsidRPr="003D6D37">
        <w:rPr>
          <w:rFonts w:ascii="Abadi" w:hAnsi="Abadi"/>
          <w:sz w:val="21"/>
          <w:szCs w:val="21"/>
        </w:rPr>
        <w:t>a</w:t>
      </w:r>
      <w:proofErr w:type="spellEnd"/>
      <w:r w:rsidRPr="003D6D37">
        <w:rPr>
          <w:rFonts w:ascii="Abadi" w:hAnsi="Abadi"/>
          <w:sz w:val="21"/>
          <w:szCs w:val="21"/>
        </w:rPr>
        <w:t xml:space="preserve"> sociedad civil, ciudadanos y medios masivos de comunicación y protocolo alba que permite una reacción inmediata para la búsqueda y localización de niñas, adolescentes y mujeres desaparecidas.  </w:t>
      </w:r>
    </w:p>
    <w:p w14:paraId="7E36FE81" w14:textId="77777777" w:rsidR="00001679" w:rsidRPr="003D6D37" w:rsidRDefault="00001679" w:rsidP="00E74E2F">
      <w:pPr>
        <w:ind w:left="-5" w:right="57"/>
        <w:jc w:val="both"/>
        <w:rPr>
          <w:rFonts w:ascii="Abadi" w:hAnsi="Abadi"/>
          <w:sz w:val="21"/>
          <w:szCs w:val="21"/>
        </w:rPr>
      </w:pPr>
    </w:p>
    <w:p w14:paraId="7FAD2234" w14:textId="77777777" w:rsidR="000978B4" w:rsidRPr="003D6D37" w:rsidRDefault="00001679" w:rsidP="00E74E2F">
      <w:pPr>
        <w:ind w:left="-5"/>
        <w:jc w:val="both"/>
        <w:rPr>
          <w:rFonts w:ascii="Abadi" w:hAnsi="Abadi"/>
          <w:sz w:val="21"/>
          <w:szCs w:val="21"/>
        </w:rPr>
      </w:pPr>
      <w:r w:rsidRPr="003D6D37">
        <w:rPr>
          <w:rFonts w:ascii="Abadi" w:hAnsi="Abadi"/>
          <w:sz w:val="21"/>
          <w:szCs w:val="21"/>
        </w:rPr>
        <w:t>Resulta evidente que existen discordancias en las cifras dadas a conocer por la Fiscalía General del Estado, las reportadas al RNPDNO y las informadas como consecuencia de las solicitudes</w:t>
      </w:r>
      <w:r w:rsidR="000978B4" w:rsidRPr="003D6D37">
        <w:rPr>
          <w:rFonts w:ascii="Abadi" w:hAnsi="Abadi"/>
          <w:sz w:val="21"/>
          <w:szCs w:val="21"/>
        </w:rPr>
        <w:t xml:space="preserve"> información presentadas por organizaciones de la sociedad civil y particulares; motivo por el cual resulta necesario que se homologuen los criterios para la determinación del número de personas desaparecidas, que se implementen medidas que permitan actualizar periódicamente las bases de datos de los distintos registros disponibles y que la información sobre las Personas desaparecidas sea proporcionada en tiempo real, </w:t>
      </w:r>
    </w:p>
    <w:p w14:paraId="300617D5" w14:textId="77777777" w:rsidR="000978B4" w:rsidRPr="003D6D37" w:rsidRDefault="000978B4" w:rsidP="000978B4">
      <w:pPr>
        <w:rPr>
          <w:rFonts w:ascii="Abadi" w:hAnsi="Abadi"/>
          <w:sz w:val="21"/>
          <w:szCs w:val="21"/>
        </w:rPr>
      </w:pPr>
      <w:r w:rsidRPr="003D6D37">
        <w:rPr>
          <w:rFonts w:ascii="Abadi" w:eastAsia="Calibri" w:hAnsi="Abadi" w:cs="Calibri"/>
          <w:color w:val="000000"/>
          <w:sz w:val="21"/>
          <w:szCs w:val="21"/>
        </w:rPr>
        <w:t xml:space="preserve"> </w:t>
      </w:r>
    </w:p>
    <w:p w14:paraId="74CD126E" w14:textId="77777777" w:rsidR="000978B4" w:rsidRPr="003D6D37" w:rsidRDefault="000978B4" w:rsidP="00E74E2F">
      <w:pPr>
        <w:ind w:left="-5" w:right="57"/>
        <w:jc w:val="both"/>
        <w:rPr>
          <w:rFonts w:ascii="Abadi" w:hAnsi="Abadi"/>
          <w:sz w:val="21"/>
          <w:szCs w:val="21"/>
        </w:rPr>
      </w:pPr>
      <w:r w:rsidRPr="003D6D37">
        <w:rPr>
          <w:rFonts w:ascii="Abadi" w:hAnsi="Abadi"/>
          <w:sz w:val="21"/>
          <w:szCs w:val="21"/>
        </w:rPr>
        <w:t xml:space="preserve">evitándose con ello los posibles entorpecimientos para iniciar su búsqueda y localización. </w:t>
      </w:r>
    </w:p>
    <w:p w14:paraId="7A48EDCF" w14:textId="77777777" w:rsidR="000978B4" w:rsidRPr="003D6D37" w:rsidRDefault="000978B4" w:rsidP="00E74E2F">
      <w:pPr>
        <w:ind w:left="-5" w:right="57"/>
        <w:jc w:val="both"/>
        <w:rPr>
          <w:rFonts w:ascii="Abadi" w:hAnsi="Abadi"/>
          <w:sz w:val="21"/>
          <w:szCs w:val="21"/>
        </w:rPr>
      </w:pPr>
      <w:r w:rsidRPr="003D6D37">
        <w:rPr>
          <w:rFonts w:ascii="Abadi" w:hAnsi="Abadi"/>
          <w:sz w:val="21"/>
          <w:szCs w:val="21"/>
        </w:rPr>
        <w:t>A pesar de que la Comisión Estatal de Búsqueda de Personas lleva a cabo diferentes acciones de acompañamiento, búsqueda en campo y rastreo, hasta el momento el número de personas desaparecidas en Guanajuato continúa al alza, motivo por el cual en el municipio de León fue presentada por ediles de la fracción de Morena y aprobada, en mayo de 2022, una iniciativa de reformas al Reglamento de Movilidad para el Municipio de León, Guanajuato</w:t>
      </w:r>
      <w:r w:rsidRPr="003D6D37">
        <w:rPr>
          <w:rFonts w:ascii="Abadi" w:hAnsi="Abadi"/>
          <w:sz w:val="21"/>
          <w:szCs w:val="21"/>
          <w:vertAlign w:val="superscript"/>
        </w:rPr>
        <w:footnoteReference w:id="87"/>
      </w:r>
      <w:r w:rsidRPr="003D6D37">
        <w:rPr>
          <w:rFonts w:ascii="Abadi" w:hAnsi="Abadi"/>
          <w:sz w:val="21"/>
          <w:szCs w:val="21"/>
        </w:rPr>
        <w:t xml:space="preserve">, cuya finalidad es que se haga uso de los espacios de difusión </w:t>
      </w:r>
      <w:r w:rsidRPr="003D6D37">
        <w:rPr>
          <w:rFonts w:ascii="Abadi" w:hAnsi="Abadi"/>
          <w:sz w:val="21"/>
          <w:szCs w:val="21"/>
        </w:rPr>
        <w:t xml:space="preserve">reservados en favor del Municipio en el interior de los autobuses y en las terminales de transferencia, estaciones intermedias y los demás elementos del Sistema Integrado de Transporte, destinados a la Prestación del Servicio Público de Transporte, para la difusión de información que contribuya a la localización de personas desaparecidas; asimismo, que los concesionarios y permisionarios deban colaborar en la difusión de aquella información que contribuya a la localización de personas desaparecidas. </w:t>
      </w:r>
    </w:p>
    <w:p w14:paraId="5AD8151C" w14:textId="77777777" w:rsidR="000978B4" w:rsidRPr="003D6D37" w:rsidRDefault="000978B4" w:rsidP="00E74E2F">
      <w:pPr>
        <w:ind w:left="-5" w:right="57"/>
        <w:jc w:val="both"/>
        <w:rPr>
          <w:rFonts w:ascii="Abadi" w:hAnsi="Abadi"/>
          <w:sz w:val="21"/>
          <w:szCs w:val="21"/>
        </w:rPr>
      </w:pPr>
    </w:p>
    <w:p w14:paraId="2EAEB734" w14:textId="77777777" w:rsidR="000978B4" w:rsidRPr="003D6D37" w:rsidRDefault="000978B4" w:rsidP="00E74E2F">
      <w:pPr>
        <w:ind w:left="-5" w:right="57"/>
        <w:jc w:val="both"/>
        <w:rPr>
          <w:rFonts w:ascii="Abadi" w:hAnsi="Abadi"/>
          <w:sz w:val="21"/>
          <w:szCs w:val="21"/>
        </w:rPr>
      </w:pPr>
      <w:r w:rsidRPr="003D6D37">
        <w:rPr>
          <w:rFonts w:ascii="Abadi" w:hAnsi="Abadi"/>
          <w:sz w:val="21"/>
          <w:szCs w:val="21"/>
        </w:rPr>
        <w:t xml:space="preserve">Dicha medida resulta relevante en virtud de que la difusión de las fichas de búsqueda es uno de los mecanismos que permite que la sociedad en general participe de la localización de una persona desaparecida, de acuerdo con el </w:t>
      </w:r>
      <w:r w:rsidRPr="003D6D37">
        <w:rPr>
          <w:rFonts w:ascii="Abadi" w:hAnsi="Abadi" w:cs="Amasis MT Pro"/>
          <w:sz w:val="21"/>
          <w:szCs w:val="21"/>
        </w:rPr>
        <w:t>Colectivo Luz de Esperanza, “u</w:t>
      </w:r>
      <w:r w:rsidRPr="003D6D37">
        <w:rPr>
          <w:rFonts w:ascii="Abadi" w:hAnsi="Abadi"/>
          <w:sz w:val="21"/>
          <w:szCs w:val="21"/>
        </w:rPr>
        <w:t>na ficha de búsqueda es un dispositivo de esperanza, pues permite a las familias hacer visible a su ser querido desaparecido y, con ello, extender su búsqueda hacia otras personas que, quizá, pudieron haberlo visto</w:t>
      </w:r>
      <w:r w:rsidRPr="003D6D37">
        <w:rPr>
          <w:rFonts w:ascii="Abadi" w:hAnsi="Abadi" w:cs="Amasis MT Pro"/>
          <w:sz w:val="21"/>
          <w:szCs w:val="21"/>
        </w:rPr>
        <w:t>”.</w:t>
      </w:r>
      <w:r w:rsidRPr="003D6D37">
        <w:rPr>
          <w:rFonts w:ascii="Abadi" w:hAnsi="Abadi"/>
          <w:sz w:val="21"/>
          <w:szCs w:val="21"/>
        </w:rPr>
        <w:t xml:space="preserve">  </w:t>
      </w:r>
    </w:p>
    <w:p w14:paraId="7FB70C2B" w14:textId="77777777" w:rsidR="000978B4" w:rsidRPr="003D6D37" w:rsidRDefault="000978B4" w:rsidP="00E74E2F">
      <w:pPr>
        <w:ind w:left="-5" w:right="57"/>
        <w:jc w:val="both"/>
        <w:rPr>
          <w:rFonts w:ascii="Abadi" w:hAnsi="Abadi"/>
          <w:sz w:val="21"/>
          <w:szCs w:val="21"/>
        </w:rPr>
      </w:pPr>
    </w:p>
    <w:p w14:paraId="2C5ADC5C" w14:textId="77777777" w:rsidR="000978B4" w:rsidRPr="003D6D37" w:rsidRDefault="000978B4" w:rsidP="00E74E2F">
      <w:pPr>
        <w:ind w:left="-5" w:right="57"/>
        <w:jc w:val="both"/>
        <w:rPr>
          <w:rFonts w:ascii="Abadi" w:hAnsi="Abadi"/>
          <w:sz w:val="21"/>
          <w:szCs w:val="21"/>
        </w:rPr>
      </w:pPr>
      <w:r w:rsidRPr="003D6D37">
        <w:rPr>
          <w:rFonts w:ascii="Abadi" w:hAnsi="Abadi"/>
          <w:sz w:val="21"/>
          <w:szCs w:val="21"/>
        </w:rPr>
        <w:t xml:space="preserve">No podemos olvidar que el derecho más importante de una persona desaparecida es a que se le busque y se esclarezca la verdad sobre su paradero o en su caso a que su cuerpo sea recuperado y entregado a sus familiares; para lograr dicho objetivo la información sobre sus señas particulares, su fotografía o la forma en que se encontraban vestidos la última ocasión que fueron vistos debe difundirse por todos los medios posibles a fin de visibilizar su desaparición y coadyuvar a su localización. </w:t>
      </w:r>
    </w:p>
    <w:p w14:paraId="34C49050" w14:textId="77777777" w:rsidR="000978B4" w:rsidRPr="003D6D37" w:rsidRDefault="000978B4" w:rsidP="00BC1A65">
      <w:pPr>
        <w:ind w:left="-5" w:right="57"/>
        <w:jc w:val="both"/>
        <w:rPr>
          <w:rFonts w:ascii="Abadi" w:hAnsi="Abadi"/>
          <w:sz w:val="21"/>
          <w:szCs w:val="21"/>
        </w:rPr>
      </w:pPr>
    </w:p>
    <w:p w14:paraId="73E10D33" w14:textId="77777777" w:rsidR="000978B4" w:rsidRPr="003D6D37" w:rsidRDefault="000978B4" w:rsidP="00BC1A65">
      <w:pPr>
        <w:ind w:left="-5" w:right="57"/>
        <w:jc w:val="both"/>
        <w:rPr>
          <w:rFonts w:ascii="Abadi" w:hAnsi="Abadi"/>
          <w:sz w:val="21"/>
          <w:szCs w:val="21"/>
        </w:rPr>
      </w:pPr>
      <w:r w:rsidRPr="003D6D37">
        <w:rPr>
          <w:rFonts w:ascii="Abadi" w:hAnsi="Abadi"/>
          <w:sz w:val="21"/>
          <w:szCs w:val="21"/>
        </w:rPr>
        <w:t xml:space="preserve">Por lo anteriormente expuesto, someto a consideración de esta asamblea el siguiente punto de:  </w:t>
      </w:r>
    </w:p>
    <w:p w14:paraId="71ED27CE" w14:textId="77777777" w:rsidR="003F019A" w:rsidRPr="003D6D37" w:rsidRDefault="003F019A" w:rsidP="00BC1A65">
      <w:pPr>
        <w:ind w:left="-5" w:right="57"/>
        <w:jc w:val="both"/>
        <w:rPr>
          <w:rFonts w:ascii="Abadi" w:hAnsi="Abadi"/>
          <w:sz w:val="21"/>
          <w:szCs w:val="21"/>
        </w:rPr>
      </w:pPr>
    </w:p>
    <w:p w14:paraId="1BC449F3" w14:textId="321D1115" w:rsidR="000978B4" w:rsidRPr="003D6D37" w:rsidRDefault="000978B4" w:rsidP="003F019A">
      <w:pPr>
        <w:pStyle w:val="Ttulo1"/>
        <w:ind w:left="10" w:right="69" w:firstLine="0"/>
        <w:jc w:val="center"/>
        <w:rPr>
          <w:rFonts w:ascii="Abadi" w:hAnsi="Abadi"/>
          <w:sz w:val="21"/>
          <w:szCs w:val="21"/>
        </w:rPr>
      </w:pPr>
      <w:r w:rsidRPr="003D6D37">
        <w:rPr>
          <w:rFonts w:ascii="Abadi" w:hAnsi="Abadi"/>
          <w:sz w:val="21"/>
          <w:szCs w:val="21"/>
        </w:rPr>
        <w:t>A C U E R D O</w:t>
      </w:r>
    </w:p>
    <w:p w14:paraId="5455C2D2" w14:textId="77777777" w:rsidR="000978B4" w:rsidRPr="003D6D37" w:rsidRDefault="000978B4" w:rsidP="00BC1A65">
      <w:pPr>
        <w:jc w:val="both"/>
        <w:rPr>
          <w:rFonts w:ascii="Abadi" w:hAnsi="Abadi"/>
          <w:sz w:val="21"/>
          <w:szCs w:val="21"/>
          <w:lang w:val="es-US" w:eastAsia="es-MX"/>
        </w:rPr>
      </w:pPr>
    </w:p>
    <w:p w14:paraId="791FE06E" w14:textId="618AC834" w:rsidR="000978B4" w:rsidRPr="003D6D37" w:rsidRDefault="000978B4" w:rsidP="00BC1A65">
      <w:pPr>
        <w:ind w:left="-5" w:right="57"/>
        <w:jc w:val="both"/>
        <w:rPr>
          <w:rFonts w:ascii="Abadi" w:hAnsi="Abadi"/>
          <w:sz w:val="21"/>
          <w:szCs w:val="21"/>
        </w:rPr>
      </w:pPr>
      <w:r w:rsidRPr="003D6D37">
        <w:rPr>
          <w:rFonts w:ascii="Abadi" w:hAnsi="Abadi"/>
          <w:b/>
          <w:bCs/>
          <w:sz w:val="21"/>
          <w:szCs w:val="21"/>
        </w:rPr>
        <w:t>PRIMERO.-</w:t>
      </w:r>
      <w:r w:rsidRPr="003D6D37">
        <w:rPr>
          <w:rFonts w:ascii="Abadi" w:hAnsi="Abadi"/>
          <w:sz w:val="21"/>
          <w:szCs w:val="21"/>
        </w:rPr>
        <w:t xml:space="preserve"> Esta LXV Legislatura del Estado de Guanajuato acuerda girar atento exhorto a los Ayuntamientos de los 46 Municipios del </w:t>
      </w:r>
      <w:r w:rsidRPr="003D6D37">
        <w:rPr>
          <w:rFonts w:ascii="Abadi" w:hAnsi="Abadi"/>
          <w:sz w:val="21"/>
          <w:szCs w:val="21"/>
        </w:rPr>
        <w:lastRenderedPageBreak/>
        <w:t xml:space="preserve">Estado y a Héctor Alonso Díaz Ezquerra, Titular de la Comisión Estatal de Búsqueda de Personas, para que en el ámbito de sus respectivas atribuciones y competencias celebren convenios de colaboración para fomentar y permitir el uso de los espacios de comunicación que tengan los municipios a su alcance para la difusión de cualquier tipo de información que contribuya a la localización de personas desaparecidas. </w:t>
      </w:r>
    </w:p>
    <w:p w14:paraId="56F1DC9D" w14:textId="77777777" w:rsidR="000978B4" w:rsidRPr="003D6D37" w:rsidRDefault="000978B4" w:rsidP="00BC1A65">
      <w:pPr>
        <w:ind w:left="-5" w:right="57"/>
        <w:jc w:val="both"/>
        <w:rPr>
          <w:rFonts w:ascii="Abadi" w:hAnsi="Abadi"/>
          <w:sz w:val="21"/>
          <w:szCs w:val="21"/>
        </w:rPr>
      </w:pPr>
    </w:p>
    <w:p w14:paraId="0D51756A" w14:textId="17A9483B" w:rsidR="00F45CDA" w:rsidRPr="003D6D37" w:rsidRDefault="000978B4" w:rsidP="00BC1A65">
      <w:pPr>
        <w:autoSpaceDE w:val="0"/>
        <w:autoSpaceDN w:val="0"/>
        <w:adjustRightInd w:val="0"/>
        <w:contextualSpacing/>
        <w:jc w:val="both"/>
        <w:rPr>
          <w:rFonts w:ascii="Abadi" w:hAnsi="Abadi"/>
          <w:sz w:val="21"/>
          <w:szCs w:val="21"/>
        </w:rPr>
      </w:pPr>
      <w:r w:rsidRPr="003D6D37">
        <w:rPr>
          <w:rFonts w:ascii="Abadi" w:hAnsi="Abadi"/>
          <w:b/>
          <w:bCs/>
          <w:sz w:val="21"/>
          <w:szCs w:val="21"/>
        </w:rPr>
        <w:t>SEGUNDO.-</w:t>
      </w:r>
      <w:r w:rsidRPr="003D6D37">
        <w:rPr>
          <w:rFonts w:ascii="Abadi" w:hAnsi="Abadi"/>
          <w:sz w:val="21"/>
          <w:szCs w:val="21"/>
        </w:rPr>
        <w:t xml:space="preserve"> Esta LXV Legislatura del Estado de Guanajuato acuerda girar atento exhorto a Héctor Alonso Díaz Ezquerra, Titular de la Comisión Estatal de Búsqueda de Personas, para que en el ámbito de sus atribuciones y competencias realice las acciones pertinentes a fin de que en el interior de los autobuses y en las terminales de transferencia, estaciones intermedias y los demás elementos destinados a la Prestación del Servicio Público de Transporte, sea dispuesta un área para la difusión de cualquier tipo de información que contribuya a la localización de personas desaparecidas.</w:t>
      </w:r>
    </w:p>
    <w:p w14:paraId="134758C6" w14:textId="77777777" w:rsidR="005650E6" w:rsidRPr="003D6D37" w:rsidRDefault="005650E6" w:rsidP="00BC1A65">
      <w:pPr>
        <w:autoSpaceDE w:val="0"/>
        <w:autoSpaceDN w:val="0"/>
        <w:adjustRightInd w:val="0"/>
        <w:contextualSpacing/>
        <w:jc w:val="both"/>
        <w:rPr>
          <w:rFonts w:ascii="Abadi" w:hAnsi="Abadi"/>
          <w:sz w:val="21"/>
          <w:szCs w:val="21"/>
        </w:rPr>
      </w:pPr>
    </w:p>
    <w:p w14:paraId="227C8A6B" w14:textId="77777777" w:rsidR="005650E6" w:rsidRPr="003D6D37" w:rsidRDefault="005650E6" w:rsidP="00BC1A65">
      <w:pPr>
        <w:ind w:left="-5" w:right="57"/>
        <w:jc w:val="both"/>
        <w:rPr>
          <w:rFonts w:ascii="Abadi" w:hAnsi="Abadi"/>
          <w:sz w:val="21"/>
          <w:szCs w:val="21"/>
        </w:rPr>
      </w:pPr>
      <w:proofErr w:type="gramStart"/>
      <w:r w:rsidRPr="003D6D37">
        <w:rPr>
          <w:rFonts w:ascii="Abadi" w:hAnsi="Abadi"/>
          <w:b/>
          <w:bCs/>
          <w:sz w:val="21"/>
          <w:szCs w:val="21"/>
        </w:rPr>
        <w:t>TERCERO.-</w:t>
      </w:r>
      <w:proofErr w:type="gramEnd"/>
      <w:r w:rsidRPr="003D6D37">
        <w:rPr>
          <w:rFonts w:ascii="Abadi" w:hAnsi="Abadi"/>
          <w:sz w:val="21"/>
          <w:szCs w:val="21"/>
        </w:rPr>
        <w:t xml:space="preserve"> Esta LXV Legislatura del Estado de Guanajuato acuerda girar atento exhorto a Héctor Alonso Díaz Ezquerra, Titular de la Comisión Estatal de Búsqueda de Personas, para que, en el ámbito de sus competencias y de conformidad con los artículos 78 y 79 de la Ley para la Búsqueda de Personas Desaparecidas, mantenga actualizado en tiempo real el Registro Estatal de Personas Desaparecidas y a su vez migre la información actualizada al Registro Nacional de manera periódica. </w:t>
      </w:r>
    </w:p>
    <w:p w14:paraId="3D5FE261" w14:textId="77777777" w:rsidR="005650E6" w:rsidRPr="003D6D37" w:rsidRDefault="005650E6" w:rsidP="00BC1A65">
      <w:pPr>
        <w:autoSpaceDE w:val="0"/>
        <w:autoSpaceDN w:val="0"/>
        <w:adjustRightInd w:val="0"/>
        <w:contextualSpacing/>
        <w:jc w:val="both"/>
        <w:rPr>
          <w:rFonts w:ascii="Abadi" w:hAnsi="Abadi" w:cs="ArialMT"/>
          <w:b/>
          <w:bCs/>
          <w:sz w:val="21"/>
          <w:szCs w:val="21"/>
        </w:rPr>
      </w:pPr>
    </w:p>
    <w:p w14:paraId="3A1F0998" w14:textId="77777777" w:rsidR="00764488" w:rsidRPr="003D6D37" w:rsidRDefault="00764488" w:rsidP="00BC1A65">
      <w:pPr>
        <w:autoSpaceDE w:val="0"/>
        <w:autoSpaceDN w:val="0"/>
        <w:adjustRightInd w:val="0"/>
        <w:contextualSpacing/>
        <w:jc w:val="both"/>
        <w:rPr>
          <w:rFonts w:ascii="Abadi" w:hAnsi="Abadi" w:cs="ArialMT"/>
          <w:b/>
          <w:bCs/>
          <w:sz w:val="21"/>
          <w:szCs w:val="21"/>
        </w:rPr>
      </w:pPr>
    </w:p>
    <w:p w14:paraId="585AC530" w14:textId="335F2666" w:rsidR="00764488" w:rsidRPr="003D6D37" w:rsidRDefault="00764488" w:rsidP="00BC1A65">
      <w:pPr>
        <w:ind w:right="67"/>
        <w:jc w:val="both"/>
        <w:rPr>
          <w:rFonts w:ascii="Abadi" w:hAnsi="Abadi"/>
          <w:b/>
          <w:bCs/>
          <w:sz w:val="21"/>
          <w:szCs w:val="21"/>
        </w:rPr>
      </w:pPr>
      <w:r w:rsidRPr="003D6D37">
        <w:rPr>
          <w:rFonts w:ascii="Abadi" w:hAnsi="Abadi"/>
          <w:b/>
          <w:bCs/>
          <w:sz w:val="21"/>
          <w:szCs w:val="21"/>
        </w:rPr>
        <w:t>Guanajuato, Guanajuato a 21 de junio de 2023.</w:t>
      </w:r>
    </w:p>
    <w:p w14:paraId="46251F6F" w14:textId="77777777" w:rsidR="003F019A" w:rsidRPr="003D6D37" w:rsidRDefault="003F019A" w:rsidP="00BC1A65">
      <w:pPr>
        <w:ind w:right="67"/>
        <w:jc w:val="both"/>
        <w:rPr>
          <w:rFonts w:ascii="Abadi" w:hAnsi="Abadi"/>
          <w:b/>
          <w:bCs/>
          <w:sz w:val="21"/>
          <w:szCs w:val="21"/>
        </w:rPr>
      </w:pPr>
    </w:p>
    <w:p w14:paraId="071A1A16" w14:textId="6450D9E4" w:rsidR="00430B59" w:rsidRPr="003D6D37" w:rsidRDefault="00430B59" w:rsidP="00BC1A65">
      <w:pPr>
        <w:ind w:left="142" w:right="142"/>
        <w:jc w:val="both"/>
        <w:rPr>
          <w:rFonts w:ascii="Abadi" w:hAnsi="Abadi"/>
          <w:b/>
          <w:bCs/>
          <w:sz w:val="21"/>
          <w:szCs w:val="21"/>
        </w:rPr>
      </w:pPr>
      <w:proofErr w:type="spellStart"/>
      <w:r w:rsidRPr="003D6D37">
        <w:rPr>
          <w:rFonts w:ascii="Abadi" w:hAnsi="Abadi"/>
          <w:b/>
          <w:bCs/>
          <w:color w:val="000000"/>
          <w:sz w:val="21"/>
          <w:szCs w:val="21"/>
        </w:rPr>
        <w:t>Dip</w:t>
      </w:r>
      <w:proofErr w:type="spellEnd"/>
      <w:r w:rsidRPr="003D6D37">
        <w:rPr>
          <w:rFonts w:ascii="Abadi" w:hAnsi="Abadi"/>
          <w:b/>
          <w:bCs/>
          <w:color w:val="000000"/>
          <w:sz w:val="21"/>
          <w:szCs w:val="21"/>
        </w:rPr>
        <w:t>. Alma Edwviges Alcaraz Hernández Grupo Parlamentario de Morena</w:t>
      </w:r>
    </w:p>
    <w:p w14:paraId="01B3589A" w14:textId="77777777" w:rsidR="00764488" w:rsidRPr="003D6D37" w:rsidRDefault="00764488" w:rsidP="00BC1A65">
      <w:pPr>
        <w:autoSpaceDE w:val="0"/>
        <w:autoSpaceDN w:val="0"/>
        <w:adjustRightInd w:val="0"/>
        <w:contextualSpacing/>
        <w:jc w:val="both"/>
        <w:rPr>
          <w:rFonts w:ascii="Abadi" w:hAnsi="Abadi" w:cs="ArialMT"/>
          <w:b/>
          <w:bCs/>
          <w:sz w:val="21"/>
          <w:szCs w:val="21"/>
        </w:rPr>
      </w:pPr>
    </w:p>
    <w:p w14:paraId="6B044EFE" w14:textId="77777777" w:rsidR="0080403D" w:rsidRPr="003D6D37" w:rsidRDefault="0080403D" w:rsidP="00BC1A65">
      <w:pPr>
        <w:autoSpaceDE w:val="0"/>
        <w:autoSpaceDN w:val="0"/>
        <w:adjustRightInd w:val="0"/>
        <w:contextualSpacing/>
        <w:jc w:val="both"/>
        <w:rPr>
          <w:rFonts w:ascii="Abadi" w:hAnsi="Abadi" w:cs="ArialMT"/>
          <w:b/>
          <w:bCs/>
          <w:sz w:val="21"/>
          <w:szCs w:val="21"/>
        </w:rPr>
      </w:pPr>
    </w:p>
    <w:p w14:paraId="60FE31BC" w14:textId="77777777" w:rsidR="00C43C91" w:rsidRDefault="00C43C91" w:rsidP="00C43C91">
      <w:pPr>
        <w:ind w:firstLine="708"/>
        <w:jc w:val="both"/>
        <w:rPr>
          <w:rFonts w:ascii="Abadi" w:hAnsi="Abadi"/>
          <w:b/>
          <w:bCs/>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Se solicita enseguida la diputada Edwviges Alcaraz Hernández, dar lectura a la propuesta de punto de acuerdo referida en el punto 14 del orden del día.</w:t>
      </w:r>
      <w:r w:rsidRPr="0030088F">
        <w:rPr>
          <w:rFonts w:ascii="Abadi" w:hAnsi="Abadi"/>
          <w:color w:val="333333"/>
          <w:sz w:val="21"/>
          <w:szCs w:val="21"/>
          <w:shd w:val="clear" w:color="auto" w:fill="FFFFFF"/>
        </w:rPr>
        <w:t xml:space="preserve">  </w:t>
      </w:r>
      <w:r w:rsidRPr="0030088F">
        <w:rPr>
          <w:rFonts w:ascii="Abadi" w:hAnsi="Abadi"/>
          <w:b/>
          <w:bCs/>
          <w:sz w:val="21"/>
          <w:szCs w:val="21"/>
        </w:rPr>
        <w:t>(ELD 303/LXV-PPA)</w:t>
      </w:r>
    </w:p>
    <w:p w14:paraId="59798350" w14:textId="77777777" w:rsidR="00C43C91" w:rsidRPr="0030088F" w:rsidRDefault="00C43C91" w:rsidP="00C43C91">
      <w:pPr>
        <w:ind w:firstLine="708"/>
        <w:jc w:val="both"/>
        <w:rPr>
          <w:rFonts w:ascii="Abadi" w:hAnsi="Abadi"/>
          <w:sz w:val="21"/>
          <w:szCs w:val="21"/>
        </w:rPr>
      </w:pPr>
    </w:p>
    <w:p w14:paraId="12C6E13A" w14:textId="77777777" w:rsidR="00C43C91" w:rsidRDefault="00C43C91" w:rsidP="00C43C91">
      <w:pPr>
        <w:ind w:firstLine="708"/>
        <w:jc w:val="both"/>
        <w:rPr>
          <w:rFonts w:ascii="Abadi" w:hAnsi="Abadi"/>
          <w:sz w:val="21"/>
          <w:szCs w:val="21"/>
        </w:rPr>
      </w:pPr>
      <w:r w:rsidRPr="0030088F">
        <w:rPr>
          <w:rFonts w:ascii="Abadi" w:hAnsi="Abadi"/>
          <w:sz w:val="21"/>
          <w:szCs w:val="21"/>
        </w:rPr>
        <w:t xml:space="preserve">- Adelante. </w:t>
      </w:r>
    </w:p>
    <w:p w14:paraId="5579EFB4" w14:textId="77777777" w:rsidR="00C43C91" w:rsidRPr="0030088F" w:rsidRDefault="00C43C91" w:rsidP="00C43C91">
      <w:pPr>
        <w:ind w:firstLine="708"/>
        <w:jc w:val="both"/>
        <w:rPr>
          <w:rFonts w:ascii="Abadi" w:hAnsi="Abadi"/>
          <w:sz w:val="21"/>
          <w:szCs w:val="21"/>
        </w:rPr>
      </w:pPr>
    </w:p>
    <w:p w14:paraId="72BB1F12" w14:textId="77777777" w:rsidR="00C43C91" w:rsidRPr="0030088F" w:rsidRDefault="00C43C91" w:rsidP="00C43C91">
      <w:pPr>
        <w:jc w:val="both"/>
        <w:rPr>
          <w:rFonts w:ascii="Abadi" w:hAnsi="Abadi"/>
          <w:b/>
          <w:bCs/>
          <w:sz w:val="21"/>
          <w:szCs w:val="21"/>
        </w:rPr>
      </w:pPr>
      <w:r w:rsidRPr="0030088F">
        <w:rPr>
          <w:rFonts w:ascii="Abadi" w:hAnsi="Abadi"/>
          <w:b/>
          <w:bCs/>
          <w:sz w:val="21"/>
          <w:szCs w:val="21"/>
        </w:rPr>
        <w:t>(Sube a tribuna la diputada Alma Edwviges Alcaraz Hernández, para dar lectura a la propuesta de punto de acuerdo en referencia)</w:t>
      </w:r>
    </w:p>
    <w:p w14:paraId="0FA3EDCD" w14:textId="77777777" w:rsidR="00C43C91" w:rsidRPr="0030088F" w:rsidRDefault="00C43C91" w:rsidP="00C43C91">
      <w:pPr>
        <w:jc w:val="both"/>
        <w:rPr>
          <w:rFonts w:ascii="Abadi" w:hAnsi="Abadi"/>
          <w:b/>
          <w:bCs/>
          <w:sz w:val="21"/>
          <w:szCs w:val="21"/>
        </w:rPr>
      </w:pPr>
    </w:p>
    <w:p w14:paraId="1EE6997B" w14:textId="6E253557" w:rsidR="00C43C91" w:rsidRPr="0030088F" w:rsidRDefault="00C43C91" w:rsidP="00C43C91">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5" behindDoc="1" locked="0" layoutInCell="1" allowOverlap="1" wp14:anchorId="02D7BC2A" wp14:editId="205F0E54">
            <wp:simplePos x="0" y="0"/>
            <wp:positionH relativeFrom="column">
              <wp:posOffset>594504</wp:posOffset>
            </wp:positionH>
            <wp:positionV relativeFrom="paragraph">
              <wp:posOffset>356552</wp:posOffset>
            </wp:positionV>
            <wp:extent cx="1433155" cy="754514"/>
            <wp:effectExtent l="247650" t="228600" r="243840" b="769620"/>
            <wp:wrapTight wrapText="bothSides">
              <wp:wrapPolygon edited="0">
                <wp:start x="-3734" y="-6545"/>
                <wp:lineTo x="-3734" y="43091"/>
                <wp:lineTo x="24989" y="43091"/>
                <wp:lineTo x="24989" y="30545"/>
                <wp:lineTo x="21255" y="28364"/>
                <wp:lineTo x="20968" y="28364"/>
                <wp:lineTo x="24989" y="26182"/>
                <wp:lineTo x="24989" y="-6545"/>
                <wp:lineTo x="-3734" y="-6545"/>
              </wp:wrapPolygon>
            </wp:wrapTight>
            <wp:docPr id="2060749949" name="Imagen 2060749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49949" name=""/>
                    <pic:cNvPicPr/>
                  </pic:nvPicPr>
                  <pic:blipFill rotWithShape="1">
                    <a:blip r:embed="rId34" cstate="print">
                      <a:extLst>
                        <a:ext uri="{28A0092B-C50C-407E-A947-70E740481C1C}">
                          <a14:useLocalDpi xmlns:a14="http://schemas.microsoft.com/office/drawing/2010/main" val="0"/>
                        </a:ext>
                      </a:extLst>
                    </a:blip>
                    <a:srcRect b="6398"/>
                    <a:stretch/>
                  </pic:blipFill>
                  <pic:spPr bwMode="auto">
                    <a:xfrm>
                      <a:off x="0" y="0"/>
                      <a:ext cx="1433155" cy="75451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F9ACC84" w14:textId="1FF0A636" w:rsidR="00C43C91" w:rsidRPr="0030088F" w:rsidRDefault="00C43C91" w:rsidP="00C43C91">
      <w:pPr>
        <w:jc w:val="both"/>
        <w:rPr>
          <w:rFonts w:ascii="Abadi" w:hAnsi="Abadi"/>
          <w:b/>
          <w:bCs/>
          <w:sz w:val="21"/>
          <w:szCs w:val="21"/>
        </w:rPr>
      </w:pPr>
      <w:r w:rsidRPr="0030088F">
        <w:rPr>
          <w:rFonts w:ascii="Abadi" w:hAnsi="Abadi"/>
          <w:b/>
          <w:bCs/>
          <w:sz w:val="21"/>
          <w:szCs w:val="21"/>
        </w:rPr>
        <w:t>Diputada Alma Edwviges Alcaraz Hernández</w:t>
      </w:r>
    </w:p>
    <w:p w14:paraId="40A4ACB5" w14:textId="77777777" w:rsidR="00C43C91" w:rsidRPr="0030088F" w:rsidRDefault="00C43C91" w:rsidP="00C43C91">
      <w:pPr>
        <w:jc w:val="both"/>
        <w:rPr>
          <w:rFonts w:ascii="Abadi" w:hAnsi="Abadi"/>
          <w:b/>
          <w:bCs/>
          <w:sz w:val="21"/>
          <w:szCs w:val="21"/>
        </w:rPr>
      </w:pPr>
    </w:p>
    <w:p w14:paraId="088283E8" w14:textId="77777777" w:rsidR="00C43C91" w:rsidRDefault="00C43C91" w:rsidP="00C43C91">
      <w:pPr>
        <w:jc w:val="both"/>
        <w:rPr>
          <w:rFonts w:ascii="Abadi" w:hAnsi="Abadi"/>
          <w:sz w:val="21"/>
          <w:szCs w:val="21"/>
        </w:rPr>
      </w:pPr>
      <w:r w:rsidRPr="0030088F">
        <w:rPr>
          <w:rFonts w:ascii="Abadi" w:hAnsi="Abadi"/>
          <w:b/>
          <w:bCs/>
          <w:sz w:val="21"/>
          <w:szCs w:val="21"/>
        </w:rPr>
        <w:t xml:space="preserve">- </w:t>
      </w:r>
      <w:r w:rsidRPr="0030088F">
        <w:rPr>
          <w:rFonts w:ascii="Abadi" w:hAnsi="Abadi"/>
          <w:sz w:val="21"/>
          <w:szCs w:val="21"/>
        </w:rPr>
        <w:t xml:space="preserve">Muy buen día tengan público que nos acompaña medios de comunicación compañeras compañeros diputados y quienes nos siguen a través de las diferentes plataformas que existen, eh, con su venia diputada presidenta de manera general se entiende por personas desaparecidas aquellas a de quienes se desconoce su paradero, de quienes sus familiares no tienen información o de aquellas cuya desaparición ha sido señalada con base en información verificable, aquí en nuestro estado la Ley para la Búsqueda de Personas Desaparecidas publicada en el Periódico Oficial del Estado el 03/06/2020 define a la persona desaparecida como la persona cuya ubicación y paradero se desconoce, independientemente de que su ausencia se relacione o no con la comisión de un delito, al respecto a la Comisión Nacional de Derechos Humanos, derechos humanos, señala que la desaparición de personas incluida la desaparición forzada representa una violación pluri ofensiva a los derechos humanos de las víctimas y sus familias, ello en razón de que por un lado los daños psicológicos y económicos y además de salud física para los familiares es un desgaste constante emocional que conlleva el sufrimiento y la angustia de desconocer el paradero de su ser querido es innegable que Guanajuato por desgracia se ha convertido en uno de los estados más inseguros y más violentos del país, el número de homicidios que a diario se cometen son una clara muestra del problema que existe en el estado, a pesar de ello pues muchas autoridades e insisten en negar estos hechos y el día de hoy pues se </w:t>
      </w:r>
      <w:r w:rsidRPr="0030088F">
        <w:rPr>
          <w:rFonts w:ascii="Abadi" w:hAnsi="Abadi"/>
          <w:sz w:val="21"/>
          <w:szCs w:val="21"/>
        </w:rPr>
        <w:lastRenderedPageBreak/>
        <w:t xml:space="preserve">continúa tratando de ocultar el problema que existe de una magnitud, muy fuerte, de acuerdo con el registro nacional de personas desaparecidas y no localizadas el 01/01/2022 al 20/06/2023 se tiene un total de 789 personas reza parecidas o no localizadas de ellas 344 continúan desaparecidas y 445 han sido localizadas desafortunadamente 57 de ellas fueron localizadas sin vida, tan solo en lo que va de este año, se tiene un registro de 274 personas desaparecidas en el estado de Guanajuato, de las cuales 78 siguen siendo desaparecidas o no localizadas y 173 han sido localizadas y con vida y 23 han sido localizadas ya sin vida, siendo los municipios de León Irapuato Celaya y Guanajuato los de mayor incidencia de personas desaparecidas, sin embargo de acuerdo con el informe trimestral de actividades correspondiente al periodo de enero a marzo del 2023 de la Comisión Estatal de Búsqueda de Personas en ese periodo se recibieron directamente por la Comisión 610 reportes de personas desaparecidas cifra que resulta sumamente mayor a lo que se reportó en el registro nacional. </w:t>
      </w:r>
    </w:p>
    <w:p w14:paraId="3E9DA008" w14:textId="77777777" w:rsidR="00C43C91" w:rsidRPr="0030088F" w:rsidRDefault="00C43C91" w:rsidP="00C43C91">
      <w:pPr>
        <w:jc w:val="both"/>
        <w:rPr>
          <w:rFonts w:ascii="Abadi" w:hAnsi="Abadi"/>
          <w:sz w:val="21"/>
          <w:szCs w:val="21"/>
        </w:rPr>
      </w:pPr>
    </w:p>
    <w:p w14:paraId="120B2131" w14:textId="77777777" w:rsidR="00C43C91" w:rsidRDefault="00C43C91" w:rsidP="00C43C91">
      <w:pPr>
        <w:jc w:val="both"/>
        <w:rPr>
          <w:rFonts w:ascii="Abadi" w:hAnsi="Abadi"/>
          <w:sz w:val="21"/>
          <w:szCs w:val="21"/>
        </w:rPr>
      </w:pPr>
      <w:r w:rsidRPr="0030088F">
        <w:rPr>
          <w:rFonts w:ascii="Abadi" w:hAnsi="Abadi"/>
          <w:sz w:val="21"/>
          <w:szCs w:val="21"/>
        </w:rPr>
        <w:t>- Además en el informe denominado mujeres desaparecidas en el estado historias de olvido y estigmatización sin acceso a la justicia, emitido por el Instituto Mexicano de Derechos Humanos y Democracia, se establece que a partir del 2017 hubo un incremento sustancial en las desapariciones y más del 80% de las carpetas de investigación por desaparición se iniciaron entre el 2018 y el 2022, este informe Celaya, este informe señala, que entre el año 2000 y enero del 2022 los municipios donde más personas desaparecieron fueron en Apaseo el Grande en Celaya en Salamanca y en Irapuato y en lo que va de este 2023 el municipio con más desapariciones por cada 100 mil habitantes,  es el municipio de Celaya, 405 personas desaparecidas.</w:t>
      </w:r>
    </w:p>
    <w:p w14:paraId="6D647344" w14:textId="77777777" w:rsidR="00C43C91" w:rsidRPr="0030088F" w:rsidRDefault="00C43C91" w:rsidP="00C43C91">
      <w:pPr>
        <w:jc w:val="both"/>
        <w:rPr>
          <w:rFonts w:ascii="Abadi" w:hAnsi="Abadi"/>
          <w:sz w:val="21"/>
          <w:szCs w:val="21"/>
        </w:rPr>
      </w:pPr>
    </w:p>
    <w:p w14:paraId="50051A55" w14:textId="77777777" w:rsidR="00C43C91" w:rsidRDefault="00C43C91" w:rsidP="00C43C91">
      <w:pPr>
        <w:jc w:val="both"/>
        <w:rPr>
          <w:rFonts w:ascii="Abadi" w:hAnsi="Abadi"/>
          <w:sz w:val="21"/>
          <w:szCs w:val="21"/>
        </w:rPr>
      </w:pPr>
      <w:r w:rsidRPr="0030088F">
        <w:rPr>
          <w:rFonts w:ascii="Abadi" w:hAnsi="Abadi"/>
          <w:sz w:val="21"/>
          <w:szCs w:val="21"/>
        </w:rPr>
        <w:t xml:space="preserve">- Le siguen Irapuato, con 373 y Guanajuato con 348, asimismo el informe menciona que con base en la información del Registro Nacional de Personas Desaparecidas y no localizadas del primero de enero del año 2000 al 8 de febrero del año 2023 años en Guanajuato se contabilizan 15 mil 399 personas, desaparecidas o no localizadas siendo el 51% mujeres y el 49% hombres, la mujer sigue en estado de muchísima </w:t>
      </w:r>
      <w:r w:rsidRPr="0030088F">
        <w:rPr>
          <w:rFonts w:ascii="Abadi" w:hAnsi="Abadi"/>
          <w:sz w:val="21"/>
          <w:szCs w:val="21"/>
        </w:rPr>
        <w:t>vulnerabilidad de manera textual este informe señala lo siguiente:</w:t>
      </w:r>
    </w:p>
    <w:p w14:paraId="389649AC" w14:textId="77777777" w:rsidR="00C43C91" w:rsidRPr="0030088F" w:rsidRDefault="00C43C91" w:rsidP="00C43C91">
      <w:pPr>
        <w:jc w:val="both"/>
        <w:rPr>
          <w:rFonts w:ascii="Abadi" w:hAnsi="Abadi"/>
          <w:sz w:val="21"/>
          <w:szCs w:val="21"/>
        </w:rPr>
      </w:pPr>
    </w:p>
    <w:p w14:paraId="6ED01E4B" w14:textId="77777777" w:rsidR="00C43C91" w:rsidRDefault="00C43C91" w:rsidP="00C43C91">
      <w:pPr>
        <w:jc w:val="both"/>
        <w:rPr>
          <w:rFonts w:ascii="Abadi" w:hAnsi="Abadi"/>
          <w:sz w:val="21"/>
          <w:szCs w:val="21"/>
        </w:rPr>
      </w:pPr>
      <w:r w:rsidRPr="0030088F">
        <w:rPr>
          <w:rFonts w:ascii="Abadi" w:hAnsi="Abadi"/>
          <w:sz w:val="21"/>
          <w:szCs w:val="21"/>
        </w:rPr>
        <w:t>- Pareciera que a partir del año 2017 existió un cambio en el registro de datos que se envían al registro nacional de personas desaparecidas y no localizadas por parte del estado, pues la modificación en la tendencia en el registro de personas desaparecidas y no localizadas para los años 2021 y 2022 requieren de un análisis más detallado y con otras fuentes, ya que no se entiende no se entiende, cómo en el año 2020 presenta un pico más alto, tanto de hombres como mujeres desaparecidos con 671 casos, pero para el 2021 la cifra cayó a 60 personas desaparecidas, es decir 1 año son 670 y al siguiente año solamente son 60 personas desaparecidas hay una incongruencia en los datos que se están proporcionando a la población.</w:t>
      </w:r>
    </w:p>
    <w:p w14:paraId="525B1501" w14:textId="77777777" w:rsidR="00C43C91" w:rsidRPr="0030088F" w:rsidRDefault="00C43C91" w:rsidP="00C43C91">
      <w:pPr>
        <w:jc w:val="both"/>
        <w:rPr>
          <w:rFonts w:ascii="Abadi" w:hAnsi="Abadi"/>
          <w:sz w:val="21"/>
          <w:szCs w:val="21"/>
        </w:rPr>
      </w:pPr>
    </w:p>
    <w:p w14:paraId="41272745" w14:textId="77777777" w:rsidR="00C43C91" w:rsidRDefault="00C43C91" w:rsidP="00C43C91">
      <w:pPr>
        <w:jc w:val="both"/>
        <w:rPr>
          <w:rFonts w:ascii="Abadi" w:hAnsi="Abadi"/>
          <w:sz w:val="21"/>
          <w:szCs w:val="21"/>
        </w:rPr>
      </w:pPr>
      <w:r w:rsidRPr="0030088F">
        <w:rPr>
          <w:rFonts w:ascii="Abadi" w:hAnsi="Abadi"/>
          <w:sz w:val="21"/>
          <w:szCs w:val="21"/>
        </w:rPr>
        <w:t xml:space="preserve">- Además con base en información proporcionada por la Fiscalía General de Justicia vía respuestas a solicitudes de acceso de información del 01/04/2012 al 22/04/2022 hay 23 mil 536 carpetas de investigación iniciadas por el delito de desaparición de personas de las cuales el 88% han sido localizadas entre estas el 96% se localizaron sin vida y el 3.86% fueran fueron encontrados con vida. </w:t>
      </w:r>
    </w:p>
    <w:p w14:paraId="23827182" w14:textId="77777777" w:rsidR="00C43C91" w:rsidRPr="0030088F" w:rsidRDefault="00C43C91" w:rsidP="00C43C91">
      <w:pPr>
        <w:jc w:val="both"/>
        <w:rPr>
          <w:rFonts w:ascii="Abadi" w:hAnsi="Abadi"/>
          <w:sz w:val="21"/>
          <w:szCs w:val="21"/>
        </w:rPr>
      </w:pPr>
    </w:p>
    <w:p w14:paraId="161A5E02" w14:textId="77777777" w:rsidR="00C43C91" w:rsidRDefault="00C43C91" w:rsidP="00C43C91">
      <w:pPr>
        <w:jc w:val="both"/>
        <w:rPr>
          <w:rFonts w:ascii="Abadi" w:hAnsi="Abadi"/>
          <w:sz w:val="21"/>
          <w:szCs w:val="21"/>
        </w:rPr>
      </w:pPr>
      <w:r w:rsidRPr="0030088F">
        <w:rPr>
          <w:rFonts w:ascii="Abadi" w:hAnsi="Abadi"/>
          <w:sz w:val="21"/>
          <w:szCs w:val="21"/>
        </w:rPr>
        <w:t>- Sin embargo, la información presentada en el Registro Nacional considerando el mismo periodo para Guanajuato tiene una variación sustancial ya que se reconocen únicamente 10 mil 57 personas registradas como desaparecidas localizadas y no localizadas de las cuales el 76% han sido localizada, es así pues que, por desgracia no es posible que ni siquiera podamos tener las cifras exactas de cuantas personas desaparecidas hay en Guanajuato, no tenemos esa cifra con claridad, hay muchas cifras diferentes y otras que, que voy a omitir por los tiempos.</w:t>
      </w:r>
    </w:p>
    <w:p w14:paraId="5A78FA0B" w14:textId="77777777" w:rsidR="00C43C91" w:rsidRPr="0030088F" w:rsidRDefault="00C43C91" w:rsidP="00C43C91">
      <w:pPr>
        <w:jc w:val="both"/>
        <w:rPr>
          <w:rFonts w:ascii="Abadi" w:hAnsi="Abadi"/>
          <w:sz w:val="21"/>
          <w:szCs w:val="21"/>
        </w:rPr>
      </w:pPr>
    </w:p>
    <w:p w14:paraId="0C952156" w14:textId="77777777" w:rsidR="00C43C91" w:rsidRDefault="00C43C91" w:rsidP="00C43C91">
      <w:pPr>
        <w:jc w:val="both"/>
        <w:rPr>
          <w:rFonts w:ascii="Abadi" w:hAnsi="Abadi"/>
          <w:sz w:val="21"/>
          <w:szCs w:val="21"/>
        </w:rPr>
      </w:pPr>
      <w:r w:rsidRPr="0030088F">
        <w:rPr>
          <w:rFonts w:ascii="Abadi" w:hAnsi="Abadi"/>
          <w:sz w:val="21"/>
          <w:szCs w:val="21"/>
        </w:rPr>
        <w:t xml:space="preserve">- Por eso resulta necesario en primer lugar que se homologuen los criterios para determinar el número de personas desaparecidas que se implementen medidas que permitan actualizar periódicamente la base de datos de los distintos registros que hay disponibles por los que se disponen y que la información sobre las personas desaparecidas se ha proporcionado en tiempo real, evitándose con </w:t>
      </w:r>
      <w:r w:rsidRPr="0030088F">
        <w:rPr>
          <w:rFonts w:ascii="Abadi" w:hAnsi="Abadi"/>
          <w:sz w:val="21"/>
          <w:szCs w:val="21"/>
        </w:rPr>
        <w:lastRenderedPageBreak/>
        <w:t>ello los posibles entorpecimientos para iniciar la búsqueda y la localización de las personas, ahora bien, a pesar de que la Comisión Estatal de Personas de Búsqueda de personas lleva a cabo diferentes acciones de acompañamiento búsqueda en campo y rastreo hasta el momento el número de personas desaparecidas en Guanajuato, es una realidad que continúa a la alza, sin embargo hay quienes buscan soluciones para ayudar a encontrar a las personas desaparecidas.</w:t>
      </w:r>
    </w:p>
    <w:p w14:paraId="0E0A8437" w14:textId="77777777" w:rsidR="00C43C91" w:rsidRPr="0030088F" w:rsidRDefault="00C43C91" w:rsidP="00C43C91">
      <w:pPr>
        <w:jc w:val="both"/>
        <w:rPr>
          <w:rFonts w:ascii="Abadi" w:hAnsi="Abadi"/>
          <w:sz w:val="21"/>
          <w:szCs w:val="21"/>
        </w:rPr>
      </w:pPr>
    </w:p>
    <w:p w14:paraId="502C92F8" w14:textId="77777777" w:rsidR="00C43C91" w:rsidRDefault="00C43C91" w:rsidP="00C43C91">
      <w:pPr>
        <w:jc w:val="both"/>
        <w:rPr>
          <w:rFonts w:ascii="Abadi" w:hAnsi="Abadi"/>
          <w:sz w:val="21"/>
          <w:szCs w:val="21"/>
        </w:rPr>
      </w:pPr>
      <w:r w:rsidRPr="0030088F">
        <w:rPr>
          <w:rFonts w:ascii="Abadi" w:hAnsi="Abadi"/>
          <w:sz w:val="21"/>
          <w:szCs w:val="21"/>
        </w:rPr>
        <w:t>- Por ello, en el municipio de León fue presentada por ediles de la fracción de Morena y aprobada en mayo del 2022 una iniciativa a las reformas del Reglamento de Movilidad para el municipio de León, de León Guanajuato, cuya finalidad es que se haga uso de los espacios de difusión, reservados en favor del municipio en el interior de los autobuses y de las terminales de transferencia estaciones intermedias y los demás elementos del sistema integrado de transporte destinados al servicio público de transporte para la difusión de información que contribuya a la localización de personas desaparecidas asimismo que los concesionarios y permisionarios deban colaborar con la difusión de aquella información que contribuya a localizar a personas desaparecidas.</w:t>
      </w:r>
    </w:p>
    <w:p w14:paraId="70B24F79" w14:textId="77777777" w:rsidR="00C43C91" w:rsidRPr="0030088F" w:rsidRDefault="00C43C91" w:rsidP="00C43C91">
      <w:pPr>
        <w:jc w:val="both"/>
        <w:rPr>
          <w:rFonts w:ascii="Abadi" w:hAnsi="Abadi"/>
          <w:sz w:val="21"/>
          <w:szCs w:val="21"/>
        </w:rPr>
      </w:pPr>
    </w:p>
    <w:p w14:paraId="590F0CCF" w14:textId="77777777" w:rsidR="00C43C91" w:rsidRDefault="00C43C91" w:rsidP="00C43C91">
      <w:pPr>
        <w:jc w:val="both"/>
        <w:rPr>
          <w:rFonts w:ascii="Abadi" w:hAnsi="Abadi"/>
          <w:sz w:val="21"/>
          <w:szCs w:val="21"/>
        </w:rPr>
      </w:pPr>
      <w:r w:rsidRPr="0030088F">
        <w:rPr>
          <w:rFonts w:ascii="Abadi" w:hAnsi="Abadi"/>
          <w:sz w:val="21"/>
          <w:szCs w:val="21"/>
        </w:rPr>
        <w:t>- Por todo lo anterior expuesto, someto a consideración de esta Asamblea el siguiente punto de acuerdo:</w:t>
      </w:r>
    </w:p>
    <w:p w14:paraId="06AF6A27" w14:textId="77777777" w:rsidR="0097295C" w:rsidRPr="0030088F" w:rsidRDefault="0097295C" w:rsidP="00C43C91">
      <w:pPr>
        <w:jc w:val="both"/>
        <w:rPr>
          <w:rFonts w:ascii="Abadi" w:hAnsi="Abadi"/>
          <w:sz w:val="21"/>
          <w:szCs w:val="21"/>
        </w:rPr>
      </w:pPr>
    </w:p>
    <w:p w14:paraId="316B3D70" w14:textId="77777777" w:rsidR="00C43C91" w:rsidRDefault="00C43C91" w:rsidP="00C43C91">
      <w:pPr>
        <w:jc w:val="both"/>
        <w:rPr>
          <w:rFonts w:ascii="Abadi" w:hAnsi="Abadi"/>
          <w:sz w:val="21"/>
          <w:szCs w:val="21"/>
        </w:rPr>
      </w:pPr>
      <w:r w:rsidRPr="0030088F">
        <w:rPr>
          <w:rFonts w:ascii="Abadi" w:hAnsi="Abadi"/>
          <w:sz w:val="21"/>
          <w:szCs w:val="21"/>
        </w:rPr>
        <w:t>- Que esta Legislatura del Estado de Guanajuato acuerda de girar atento exhorto para que los 46 ayuntamientos de los municipios  del estado y a Héctor Alonso Díaz Ezquerra, Titular de la Comisión Estatal de Búsqueda de personas para que en el ámbito de sus atribuciones y competencias celebren convenios de colaboración para fomentar y permitir el uso de espacios de comunicación que tengan los municipios a su alcance para la difusión de cualquier tipo de información que contribuya a la localización de personas desaparecidas.</w:t>
      </w:r>
    </w:p>
    <w:p w14:paraId="3E472EBD" w14:textId="77777777" w:rsidR="00C43C91" w:rsidRPr="0030088F" w:rsidRDefault="00C43C91" w:rsidP="00C43C91">
      <w:pPr>
        <w:jc w:val="both"/>
        <w:rPr>
          <w:rFonts w:ascii="Abadi" w:hAnsi="Abadi"/>
          <w:sz w:val="21"/>
          <w:szCs w:val="21"/>
        </w:rPr>
      </w:pPr>
    </w:p>
    <w:p w14:paraId="7A20BC2A" w14:textId="77777777" w:rsidR="00C43C91" w:rsidRDefault="00C43C91" w:rsidP="00C43C91">
      <w:pPr>
        <w:jc w:val="both"/>
        <w:rPr>
          <w:rFonts w:ascii="Abadi" w:hAnsi="Abadi"/>
          <w:sz w:val="21"/>
          <w:szCs w:val="21"/>
        </w:rPr>
      </w:pPr>
      <w:r w:rsidRPr="0030088F">
        <w:rPr>
          <w:rFonts w:ascii="Abadi" w:hAnsi="Abadi"/>
          <w:sz w:val="21"/>
          <w:szCs w:val="21"/>
        </w:rPr>
        <w:t xml:space="preserve">- Segundo que esta Legislatura del Estado de Guanajuato a cuerda girará atento exhorto a Héctor Alonso Díaz Ezquerra titular de la Comisión Estatal de Búsqueda de Personas para que en el ámbito de sus atribuciones y competencias realiza las acciones pertinentes </w:t>
      </w:r>
      <w:r w:rsidRPr="0030088F">
        <w:rPr>
          <w:rFonts w:ascii="Abadi" w:hAnsi="Abadi"/>
          <w:sz w:val="21"/>
          <w:szCs w:val="21"/>
        </w:rPr>
        <w:t>a fin de que en el interior de los autobuses y de las terminales de transferencia, transferencia las estaciones intermedias y los demás elementos destinados a la prestación del servicio público de transporte se ha dispuesta a un área para la difusión de cualquier tipo de información que contribuya a la localización de personas desaparecidas, que esta legislatura del estado de Guanajuato acuerde girar atento exhorto a Héctor Alonso Díaz Ezquerra titular de la Comisión Estatal de Búsqueda de Personas para que en el ámbito de su competencia y de conformidad con los artículos 78 y 79 de la Ley para la Búsqueda de Personas Desaparecidas, mantenga actualizado en tiempo real, el registro de personas desaparecidas a nivel estatal y a su vez, pase, la información actualizada al registro nacional de manera directa y evitar estos problemas de números en un tema tan delicado como son las personas desaparecidas.</w:t>
      </w:r>
    </w:p>
    <w:p w14:paraId="7529F84D" w14:textId="77777777" w:rsidR="00C43C91" w:rsidRPr="0030088F" w:rsidRDefault="00C43C91" w:rsidP="00C43C91">
      <w:pPr>
        <w:jc w:val="both"/>
        <w:rPr>
          <w:rFonts w:ascii="Abadi" w:hAnsi="Abadi"/>
          <w:sz w:val="21"/>
          <w:szCs w:val="21"/>
        </w:rPr>
      </w:pPr>
    </w:p>
    <w:p w14:paraId="54DF863A" w14:textId="77777777" w:rsidR="00C43C91" w:rsidRDefault="00C43C91" w:rsidP="00C43C91">
      <w:pPr>
        <w:jc w:val="both"/>
        <w:rPr>
          <w:rFonts w:ascii="Abadi" w:hAnsi="Abadi"/>
          <w:sz w:val="21"/>
          <w:szCs w:val="21"/>
        </w:rPr>
      </w:pPr>
      <w:r w:rsidRPr="0030088F">
        <w:rPr>
          <w:rFonts w:ascii="Abadi" w:hAnsi="Abadi"/>
          <w:sz w:val="21"/>
          <w:szCs w:val="21"/>
        </w:rPr>
        <w:t xml:space="preserve">- Es cuánto diputada presidenta muchas gracias. </w:t>
      </w:r>
    </w:p>
    <w:p w14:paraId="16E4C85C" w14:textId="77777777" w:rsidR="00C43C91" w:rsidRPr="0030088F" w:rsidRDefault="00C43C91" w:rsidP="00C43C91">
      <w:pPr>
        <w:jc w:val="both"/>
        <w:rPr>
          <w:rFonts w:ascii="Abadi" w:hAnsi="Abadi"/>
          <w:sz w:val="21"/>
          <w:szCs w:val="21"/>
        </w:rPr>
      </w:pPr>
    </w:p>
    <w:p w14:paraId="1E2D395C" w14:textId="77777777" w:rsidR="00C43C91" w:rsidRDefault="00C43C91" w:rsidP="00C43C9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 xml:space="preserve">Gracias diputada. </w:t>
      </w:r>
    </w:p>
    <w:p w14:paraId="7D42A8EB" w14:textId="77777777" w:rsidR="00C43C91" w:rsidRPr="0030088F" w:rsidRDefault="00C43C91" w:rsidP="00C43C91">
      <w:pPr>
        <w:ind w:firstLine="708"/>
        <w:jc w:val="both"/>
        <w:rPr>
          <w:rFonts w:ascii="Abadi" w:hAnsi="Abadi"/>
          <w:sz w:val="21"/>
          <w:szCs w:val="21"/>
        </w:rPr>
      </w:pPr>
    </w:p>
    <w:p w14:paraId="47FE538A" w14:textId="77777777" w:rsidR="00C43C91" w:rsidRPr="0030088F" w:rsidRDefault="00C43C91" w:rsidP="00C43C91">
      <w:pPr>
        <w:ind w:left="709" w:right="1041"/>
        <w:jc w:val="both"/>
        <w:rPr>
          <w:rFonts w:ascii="Abadi" w:hAnsi="Abadi"/>
          <w:b/>
          <w:bCs/>
          <w:i/>
          <w:iCs/>
          <w:sz w:val="21"/>
          <w:szCs w:val="21"/>
          <w:u w:val="single"/>
        </w:rPr>
      </w:pPr>
      <w:r w:rsidRPr="0030088F">
        <w:rPr>
          <w:rFonts w:ascii="Abadi" w:hAnsi="Abadi"/>
          <w:b/>
          <w:bCs/>
          <w:i/>
          <w:iCs/>
          <w:sz w:val="21"/>
          <w:szCs w:val="21"/>
          <w:u w:val="single"/>
        </w:rPr>
        <w:t>Se turna a la Comisión de Gobernación y Puntos Constitucionales con fundamento en el artículo 111 fracción XIX de nuestra Ley Orgánica para su estudio y dictamen.</w:t>
      </w:r>
    </w:p>
    <w:p w14:paraId="71FE41CC" w14:textId="77777777" w:rsidR="0080403D" w:rsidRPr="003D6D37" w:rsidRDefault="0080403D" w:rsidP="00BC1A65">
      <w:pPr>
        <w:autoSpaceDE w:val="0"/>
        <w:autoSpaceDN w:val="0"/>
        <w:adjustRightInd w:val="0"/>
        <w:contextualSpacing/>
        <w:jc w:val="both"/>
        <w:rPr>
          <w:rFonts w:ascii="Abadi" w:hAnsi="Abadi" w:cs="ArialMT"/>
          <w:b/>
          <w:bCs/>
          <w:sz w:val="21"/>
          <w:szCs w:val="21"/>
        </w:rPr>
      </w:pPr>
    </w:p>
    <w:p w14:paraId="0641AC1A" w14:textId="77777777" w:rsidR="00457D59" w:rsidRPr="0030088F" w:rsidRDefault="00457D59" w:rsidP="00457D59">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Corresponde tomar votación en los siguientes puntos del orden del día por lo que esta Mesa Directiva procede a cerciorarse de la presencia de las diputadas y los diputados asistentes a la presente sesión. Asimismo, se les pide abstenerse de abandonar este salón durante las votaciones.</w:t>
      </w:r>
    </w:p>
    <w:p w14:paraId="1780F11C" w14:textId="77777777" w:rsidR="00374533" w:rsidRPr="003D6D37" w:rsidRDefault="00374533" w:rsidP="00BC1A65">
      <w:pPr>
        <w:autoSpaceDE w:val="0"/>
        <w:autoSpaceDN w:val="0"/>
        <w:adjustRightInd w:val="0"/>
        <w:jc w:val="both"/>
        <w:rPr>
          <w:rFonts w:ascii="Abadi" w:hAnsi="Abadi" w:cs="ArialMT"/>
          <w:b/>
          <w:bCs/>
          <w:sz w:val="21"/>
          <w:szCs w:val="21"/>
        </w:rPr>
      </w:pPr>
    </w:p>
    <w:p w14:paraId="48AE7EC9" w14:textId="28CF9594" w:rsidR="00374533" w:rsidRPr="003D6D37"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3D6D37">
        <w:rPr>
          <w:rFonts w:ascii="Abadi" w:hAnsi="Abadi" w:cs="ArialMT"/>
          <w:b/>
          <w:bCs/>
          <w:sz w:val="21"/>
          <w:szCs w:val="21"/>
        </w:rPr>
        <w:t xml:space="preserve">PRESENTACIÓN DE LA PROPUESTA DE PUNTO DE ACUERDO DE OBVIA RESOLUCIÓN SUSCRITA POR EL DIPUTADO DAVID MARTÍNEZ MENDIZÁBAL, INTEGRANTE DEL GRUPO PARLAMENTARIO DEL PARTIDO MORENA A FIN DE EXHORTAR A LA SECRETARÍA DE GOBIERNO DEL ESTADO DE GUANAJUATO Y A LA SECRETARÍA DE GOBERNACIÓN, ASÍ COMO A LA PROCURADURÍA GENERAL DE JUSTICIA Y </w:t>
      </w:r>
      <w:r w:rsidRPr="003D6D37">
        <w:rPr>
          <w:rFonts w:ascii="Abadi" w:hAnsi="Abadi" w:cs="ArialMT"/>
          <w:b/>
          <w:bCs/>
          <w:sz w:val="21"/>
          <w:szCs w:val="21"/>
        </w:rPr>
        <w:lastRenderedPageBreak/>
        <w:t>AL PODER JUDICIAL DEL ESTADO DE TLAXCALA Y, EN SU CASO, APROBACIÓN DE LA MISMA.</w:t>
      </w:r>
      <w:r w:rsidR="00582303" w:rsidRPr="003D6D37">
        <w:rPr>
          <w:rStyle w:val="Refdenotaalpie"/>
          <w:rFonts w:ascii="Abadi" w:hAnsi="Abadi" w:cs="ArialMT"/>
          <w:b/>
          <w:bCs/>
          <w:sz w:val="21"/>
          <w:szCs w:val="21"/>
        </w:rPr>
        <w:footnoteReference w:id="88"/>
      </w:r>
    </w:p>
    <w:p w14:paraId="7ADBCCA2" w14:textId="77777777" w:rsidR="0040011F" w:rsidRPr="003D6D37" w:rsidRDefault="0040011F" w:rsidP="0040011F">
      <w:pPr>
        <w:autoSpaceDE w:val="0"/>
        <w:autoSpaceDN w:val="0"/>
        <w:adjustRightInd w:val="0"/>
        <w:contextualSpacing/>
        <w:jc w:val="both"/>
        <w:rPr>
          <w:rFonts w:ascii="Abadi" w:hAnsi="Abadi" w:cs="ArialMT"/>
          <w:b/>
          <w:bCs/>
          <w:sz w:val="21"/>
          <w:szCs w:val="21"/>
        </w:rPr>
      </w:pPr>
    </w:p>
    <w:p w14:paraId="4FCEDA43" w14:textId="77777777" w:rsidR="0080403D" w:rsidRPr="003D6D37" w:rsidRDefault="0080403D" w:rsidP="0080403D">
      <w:pPr>
        <w:rPr>
          <w:rFonts w:ascii="Abadi" w:hAnsi="Abadi"/>
          <w:sz w:val="21"/>
          <w:szCs w:val="21"/>
        </w:rPr>
      </w:pPr>
    </w:p>
    <w:p w14:paraId="4D9821DE" w14:textId="77777777" w:rsidR="0080403D" w:rsidRPr="003D6D37" w:rsidRDefault="0080403D" w:rsidP="0080403D">
      <w:pPr>
        <w:ind w:left="-5"/>
        <w:jc w:val="both"/>
        <w:rPr>
          <w:rFonts w:ascii="Abadi" w:hAnsi="Abadi"/>
          <w:sz w:val="21"/>
          <w:szCs w:val="21"/>
        </w:rPr>
      </w:pPr>
      <w:r w:rsidRPr="003D6D37">
        <w:rPr>
          <w:rFonts w:ascii="Abadi" w:hAnsi="Abadi"/>
          <w:sz w:val="21"/>
          <w:szCs w:val="21"/>
        </w:rPr>
        <w:t xml:space="preserve">Diputada Laura Cristina Márquez Alcalá </w:t>
      </w:r>
    </w:p>
    <w:p w14:paraId="5D768166" w14:textId="77777777" w:rsidR="0080403D" w:rsidRPr="003D6D37" w:rsidRDefault="0080403D" w:rsidP="0080403D">
      <w:pPr>
        <w:ind w:left="-5"/>
        <w:jc w:val="both"/>
        <w:rPr>
          <w:rFonts w:ascii="Abadi" w:hAnsi="Abadi"/>
          <w:sz w:val="21"/>
          <w:szCs w:val="21"/>
        </w:rPr>
      </w:pPr>
      <w:r w:rsidRPr="003D6D37">
        <w:rPr>
          <w:rFonts w:ascii="Abadi" w:hAnsi="Abadi"/>
          <w:sz w:val="21"/>
          <w:szCs w:val="21"/>
        </w:rPr>
        <w:t>Presidenta de la Mesa Directiva del Congreso del Estado de Guanajuato</w:t>
      </w:r>
    </w:p>
    <w:p w14:paraId="2FD873F0" w14:textId="64A307FE" w:rsidR="0080403D" w:rsidRPr="003D6D37" w:rsidRDefault="0080403D" w:rsidP="0080403D">
      <w:pPr>
        <w:ind w:left="-5"/>
        <w:jc w:val="both"/>
        <w:rPr>
          <w:rFonts w:ascii="Abadi" w:hAnsi="Abadi"/>
          <w:sz w:val="21"/>
          <w:szCs w:val="21"/>
        </w:rPr>
      </w:pPr>
      <w:r w:rsidRPr="003D6D37">
        <w:rPr>
          <w:rFonts w:ascii="Abadi" w:hAnsi="Abadi"/>
          <w:sz w:val="21"/>
          <w:szCs w:val="21"/>
        </w:rPr>
        <w:t xml:space="preserve">LXV Legislatura Presente. </w:t>
      </w:r>
    </w:p>
    <w:p w14:paraId="1DE47A22" w14:textId="77777777" w:rsidR="0080403D" w:rsidRPr="003D6D37" w:rsidRDefault="0080403D" w:rsidP="0080403D">
      <w:pPr>
        <w:jc w:val="both"/>
        <w:rPr>
          <w:rFonts w:ascii="Abadi" w:hAnsi="Abadi"/>
          <w:sz w:val="21"/>
          <w:szCs w:val="21"/>
        </w:rPr>
      </w:pPr>
      <w:r w:rsidRPr="003D6D37">
        <w:rPr>
          <w:rFonts w:ascii="Abadi" w:hAnsi="Abadi"/>
          <w:sz w:val="21"/>
          <w:szCs w:val="21"/>
        </w:rPr>
        <w:t xml:space="preserve"> </w:t>
      </w:r>
    </w:p>
    <w:p w14:paraId="612E29D0" w14:textId="77777777" w:rsidR="0080403D" w:rsidRPr="003D6D37" w:rsidRDefault="0080403D" w:rsidP="0080403D">
      <w:pPr>
        <w:ind w:left="-5"/>
        <w:jc w:val="both"/>
        <w:rPr>
          <w:rFonts w:ascii="Abadi" w:hAnsi="Abadi"/>
          <w:sz w:val="21"/>
          <w:szCs w:val="21"/>
        </w:rPr>
      </w:pPr>
      <w:r w:rsidRPr="003D6D37">
        <w:rPr>
          <w:rFonts w:ascii="Abadi" w:hAnsi="Abadi"/>
          <w:sz w:val="21"/>
          <w:szCs w:val="21"/>
        </w:rPr>
        <w:t xml:space="preserve">Diputado David Martínez Mendizábal integrante del Grupo Parlamentario de Morena en la LXV Legislatura del Congreso del Estado de Guanajuato, con fundamento en lo dispuesto por los artículos 57 primer párrafo de la Constitución Política para el Estado de Guanajuato, 177 y 204 fracción III de la Ley Orgánica del Poder Legislativo del Estado de Guanajuato, me permito poner a la consideración de la Asamblea la siguiente propuesta de Punto de Acuerdo de Obvia Resolución, según la siguiente: </w:t>
      </w:r>
    </w:p>
    <w:p w14:paraId="273F8180" w14:textId="77777777" w:rsidR="0080403D" w:rsidRPr="003D6D37" w:rsidRDefault="0080403D" w:rsidP="0080403D">
      <w:pPr>
        <w:ind w:left="-5"/>
        <w:jc w:val="both"/>
        <w:rPr>
          <w:rFonts w:ascii="Abadi" w:hAnsi="Abadi"/>
          <w:sz w:val="21"/>
          <w:szCs w:val="21"/>
        </w:rPr>
      </w:pPr>
    </w:p>
    <w:p w14:paraId="43070AFF" w14:textId="77777777" w:rsidR="0080403D" w:rsidRPr="003D6D37" w:rsidRDefault="0080403D" w:rsidP="0080403D">
      <w:pPr>
        <w:spacing w:after="132"/>
        <w:ind w:left="716" w:right="712"/>
        <w:jc w:val="both"/>
        <w:rPr>
          <w:rFonts w:ascii="Abadi" w:hAnsi="Abadi"/>
          <w:b/>
          <w:bCs/>
          <w:sz w:val="21"/>
          <w:szCs w:val="21"/>
        </w:rPr>
      </w:pPr>
      <w:r w:rsidRPr="003D6D37">
        <w:rPr>
          <w:rFonts w:ascii="Abadi" w:hAnsi="Abadi"/>
          <w:b/>
          <w:bCs/>
          <w:sz w:val="21"/>
          <w:szCs w:val="21"/>
        </w:rPr>
        <w:t xml:space="preserve">Exposición de motivos </w:t>
      </w:r>
    </w:p>
    <w:p w14:paraId="23716C8E" w14:textId="77777777" w:rsidR="0080403D" w:rsidRPr="003D6D37" w:rsidRDefault="0080403D" w:rsidP="0080403D">
      <w:pPr>
        <w:spacing w:after="132"/>
        <w:ind w:left="716" w:right="712"/>
        <w:jc w:val="both"/>
        <w:rPr>
          <w:rFonts w:ascii="Abadi" w:hAnsi="Abadi"/>
          <w:sz w:val="21"/>
          <w:szCs w:val="21"/>
        </w:rPr>
      </w:pPr>
    </w:p>
    <w:p w14:paraId="003DAAD6" w14:textId="77777777" w:rsidR="0080403D" w:rsidRPr="003D6D37" w:rsidRDefault="0080403D" w:rsidP="0080403D">
      <w:pPr>
        <w:spacing w:after="161"/>
        <w:ind w:left="-5"/>
        <w:jc w:val="both"/>
        <w:rPr>
          <w:rFonts w:ascii="Abadi" w:hAnsi="Abadi"/>
          <w:sz w:val="21"/>
          <w:szCs w:val="21"/>
        </w:rPr>
      </w:pPr>
      <w:r w:rsidRPr="003D6D37">
        <w:rPr>
          <w:rFonts w:ascii="Abadi" w:hAnsi="Abadi"/>
          <w:sz w:val="21"/>
          <w:szCs w:val="21"/>
        </w:rPr>
        <w:t xml:space="preserve">El 22 de noviembre del 2022 ante la insistencia de varios partidos políticos, entre ellos morena, para atender el caso del joven Pedro Francisco Rodríguez Vázquez, originario de San Felipe, Guanajuato, el Partido Acción Nacional presentó un acuerdo de obvia resolución que fue aprobado por unanimidad por esta LXV Legislatura. </w:t>
      </w:r>
    </w:p>
    <w:p w14:paraId="58CF912F" w14:textId="77777777" w:rsidR="0080403D" w:rsidRPr="003D6D37" w:rsidRDefault="0080403D" w:rsidP="0080403D">
      <w:pPr>
        <w:spacing w:after="274"/>
        <w:ind w:left="-5"/>
        <w:jc w:val="both"/>
        <w:rPr>
          <w:rFonts w:ascii="Abadi" w:hAnsi="Abadi"/>
          <w:sz w:val="21"/>
          <w:szCs w:val="21"/>
        </w:rPr>
      </w:pPr>
      <w:r w:rsidRPr="003D6D37">
        <w:rPr>
          <w:rFonts w:ascii="Abadi" w:hAnsi="Abadi"/>
          <w:sz w:val="21"/>
          <w:szCs w:val="21"/>
        </w:rPr>
        <w:t xml:space="preserve">En su exhorto, el Partido Acción Nacional, sostenía: </w:t>
      </w:r>
    </w:p>
    <w:p w14:paraId="2E018FD1" w14:textId="77777777" w:rsidR="0080403D" w:rsidRPr="003D6D37" w:rsidRDefault="0080403D" w:rsidP="0097295C">
      <w:pPr>
        <w:spacing w:after="180"/>
        <w:jc w:val="both"/>
        <w:rPr>
          <w:rFonts w:ascii="Abadi" w:hAnsi="Abadi"/>
          <w:sz w:val="21"/>
          <w:szCs w:val="21"/>
        </w:rPr>
      </w:pPr>
      <w:r w:rsidRPr="003D6D37">
        <w:rPr>
          <w:rFonts w:ascii="Abadi" w:hAnsi="Abadi"/>
          <w:sz w:val="21"/>
          <w:szCs w:val="21"/>
        </w:rPr>
        <w:t>Dejando en claro que las y los guanajuatenses exigimos la prevalencia de los principios de seguridad jurídica, presunción de inocencia, debido proceso, defensa adecuada y respecto a los derechos humanos de todos nuestros conciudadanos en cualquier parte del Estado Mexicano y el extranjero</w:t>
      </w:r>
      <w:r w:rsidRPr="003D6D37">
        <w:rPr>
          <w:rFonts w:ascii="Abadi" w:hAnsi="Abadi" w:cs="Amasis MT Pro"/>
          <w:sz w:val="21"/>
          <w:szCs w:val="21"/>
        </w:rPr>
        <w:t xml:space="preserve">…esta </w:t>
      </w:r>
      <w:r w:rsidRPr="003D6D37">
        <w:rPr>
          <w:rFonts w:ascii="Abadi" w:hAnsi="Abadi"/>
          <w:sz w:val="21"/>
          <w:szCs w:val="21"/>
        </w:rPr>
        <w:t xml:space="preserve">Sexagésima Quinta Legislatura del Honorable Congreso del Estado Libre y Soberano de Guanajuato efectúa un respetuoso exhorto a la Procuraduría General de Justicia del Estado de Tlaxcala y al Poder Judicial del Estado de Tlaxcala para que el procedimiento penal instaurado contra el joven guanajuatense Pedro Francisco Rodríguez Vázquez, </w:t>
      </w:r>
      <w:r w:rsidRPr="003D6D37">
        <w:rPr>
          <w:rFonts w:ascii="Abadi" w:hAnsi="Abadi"/>
          <w:sz w:val="21"/>
          <w:szCs w:val="21"/>
        </w:rPr>
        <w:t xml:space="preserve">originario del Municipio de San Felipe, Guanajuato, se realice atendiendo a los principios constitucionales y legales que rigen el sistema penal mexicano, dando prevalencia al principio de presunción de inocencia y debido proceso, haciendo efectivo con ello el Estado de Derecho, en el que impera la justicia, la seguridad jurídica y la paz social. </w:t>
      </w:r>
    </w:p>
    <w:p w14:paraId="0CF721B1" w14:textId="77777777" w:rsidR="0080403D" w:rsidRPr="003D6D37" w:rsidRDefault="0080403D" w:rsidP="0080403D">
      <w:pPr>
        <w:spacing w:after="142"/>
        <w:ind w:left="-5"/>
        <w:jc w:val="both"/>
        <w:rPr>
          <w:rFonts w:ascii="Abadi" w:hAnsi="Abadi"/>
          <w:sz w:val="21"/>
          <w:szCs w:val="21"/>
        </w:rPr>
      </w:pPr>
      <w:r w:rsidRPr="003D6D37">
        <w:rPr>
          <w:rFonts w:ascii="Abadi" w:hAnsi="Abadi"/>
          <w:sz w:val="21"/>
          <w:szCs w:val="21"/>
        </w:rPr>
        <w:t xml:space="preserve">El miércoles 14 de junio recibí un comunicado de la familia de Pedro Francisco el cual leo parcialmente: </w:t>
      </w:r>
    </w:p>
    <w:p w14:paraId="7FD431D4" w14:textId="77777777" w:rsidR="0080403D" w:rsidRPr="003D6D37" w:rsidRDefault="0080403D" w:rsidP="0080403D">
      <w:pPr>
        <w:spacing w:after="178"/>
        <w:ind w:left="708" w:right="1"/>
        <w:jc w:val="both"/>
        <w:rPr>
          <w:rFonts w:ascii="Abadi" w:hAnsi="Abadi"/>
          <w:sz w:val="21"/>
          <w:szCs w:val="21"/>
        </w:rPr>
      </w:pPr>
      <w:r w:rsidRPr="003D6D37">
        <w:rPr>
          <w:rFonts w:ascii="Abadi" w:hAnsi="Abadi" w:cs="Amasis MT Pro"/>
          <w:sz w:val="21"/>
          <w:szCs w:val="21"/>
        </w:rPr>
        <w:t>Diputado buenas tardes disculpe que lo moleste han pasado más de 9 meses desde que detuvieron injustamente a mi sobrino Pedro y muy pocas autoridades han ayudado…quisiera solicitarle de su apoyo pues la juez Nancy Moreno Vázquez sigue desestimando las pruebas desechando a los Testigos la única prueba que tienen es una copia de un señalamiento de una declaración, pero no existe la persona de esa declaración. Así como tampoco existe el documento original. Cómo puede pesar más eso que todas las pruebas que al 100% prueban la inocencia de Pedro; diputado le pido por favor que nos sigan ayudando necesitamos que Pedro regrese con su gente hace 15 días me dirigí a la Ciudad de México sola con una pancarta pidiendo justicia para Pedro gracias a Dios salió personal de palacio y también nos encaminaron a la Suprema Corte de Justicia de la Nación en donde también ya se encuentra la petición de Pedro estos son los pasos de avance que se ha logrado pero aún necesitamos ser escuchados necesitamos que nos ayuden a hacer justicia nuevamente Solicito de su apoyo mis más sinceros saludos esperando seguir contando con ustedes Y no se si aún se pudiese girar un exhorto nuevamente.</w:t>
      </w:r>
      <w:r w:rsidRPr="003D6D37">
        <w:rPr>
          <w:rFonts w:ascii="Abadi" w:hAnsi="Abadi"/>
          <w:sz w:val="21"/>
          <w:szCs w:val="21"/>
        </w:rPr>
        <w:t xml:space="preserve"> </w:t>
      </w:r>
    </w:p>
    <w:p w14:paraId="0A888A81" w14:textId="77777777" w:rsidR="0080403D" w:rsidRPr="003D6D37" w:rsidRDefault="0080403D" w:rsidP="0080403D">
      <w:pPr>
        <w:ind w:left="-5"/>
        <w:jc w:val="both"/>
        <w:rPr>
          <w:rFonts w:ascii="Abadi" w:hAnsi="Abadi"/>
          <w:sz w:val="21"/>
          <w:szCs w:val="21"/>
        </w:rPr>
      </w:pPr>
      <w:r w:rsidRPr="003D6D37">
        <w:rPr>
          <w:rFonts w:ascii="Abadi" w:hAnsi="Abadi"/>
          <w:sz w:val="21"/>
          <w:szCs w:val="21"/>
        </w:rPr>
        <w:t xml:space="preserve">En atención a lo solicitado por la Sra. Cristina Vázquez y con aval de la Sra. Lourdes Vázquez sobre la necesidad de seguir atendiendo el caso de Pedro Francisco por todos los medios legales que estén a nuestro alcance, es que </w:t>
      </w:r>
      <w:r w:rsidRPr="003D6D37">
        <w:rPr>
          <w:rFonts w:ascii="Abadi" w:hAnsi="Abadi"/>
          <w:sz w:val="21"/>
          <w:szCs w:val="21"/>
        </w:rPr>
        <w:lastRenderedPageBreak/>
        <w:t xml:space="preserve">este Congreso está obligado a insistir para no dejar sueltas tanto la atención al proceso como los apoyos necesarios y la comunicación con la familia.  </w:t>
      </w:r>
    </w:p>
    <w:p w14:paraId="33362D56" w14:textId="77777777" w:rsidR="0080403D" w:rsidRPr="003D6D37" w:rsidRDefault="0080403D" w:rsidP="0080403D">
      <w:pPr>
        <w:jc w:val="both"/>
        <w:rPr>
          <w:rFonts w:ascii="Abadi" w:hAnsi="Abadi"/>
          <w:sz w:val="21"/>
          <w:szCs w:val="21"/>
        </w:rPr>
      </w:pPr>
      <w:r w:rsidRPr="003D6D37">
        <w:rPr>
          <w:rFonts w:ascii="Abadi" w:hAnsi="Abadi"/>
          <w:sz w:val="21"/>
          <w:szCs w:val="21"/>
        </w:rPr>
        <w:t xml:space="preserve"> </w:t>
      </w:r>
    </w:p>
    <w:p w14:paraId="4076181B" w14:textId="77777777" w:rsidR="0080403D" w:rsidRPr="003D6D37" w:rsidRDefault="0080403D" w:rsidP="0080403D">
      <w:pPr>
        <w:spacing w:after="293"/>
        <w:jc w:val="both"/>
        <w:rPr>
          <w:rFonts w:ascii="Abadi" w:hAnsi="Abadi"/>
          <w:sz w:val="21"/>
          <w:szCs w:val="21"/>
        </w:rPr>
      </w:pPr>
      <w:r w:rsidRPr="003D6D37">
        <w:rPr>
          <w:rFonts w:ascii="Abadi" w:hAnsi="Abadi"/>
          <w:sz w:val="21"/>
          <w:szCs w:val="21"/>
        </w:rPr>
        <w:t xml:space="preserve"> Los exhortos que se presentan ante esta Soberanía y aún más los que se aprueban de manera urgente por unanimidad bajo estatus de obvia resolución requieren de un seguimiento específico, puntual y oportuno pues de otro modo quedan como asuntos de intención oportunista que no salvaguardan los derechos, el dolor y la desesperación de la ciudadanía. </w:t>
      </w:r>
    </w:p>
    <w:p w14:paraId="0D8791D0" w14:textId="77777777" w:rsidR="0080403D" w:rsidRPr="003D6D37" w:rsidRDefault="0080403D" w:rsidP="0080403D">
      <w:pPr>
        <w:spacing w:after="158"/>
        <w:ind w:left="-5"/>
        <w:jc w:val="both"/>
        <w:rPr>
          <w:rFonts w:ascii="Abadi" w:hAnsi="Abadi"/>
          <w:sz w:val="21"/>
          <w:szCs w:val="21"/>
        </w:rPr>
      </w:pPr>
      <w:r w:rsidRPr="003D6D37">
        <w:rPr>
          <w:rFonts w:ascii="Abadi" w:hAnsi="Abadi"/>
          <w:sz w:val="21"/>
          <w:szCs w:val="21"/>
        </w:rPr>
        <w:t xml:space="preserve">Es por ello por lo que presento este exhorto de modo que esta familia guanajuatense se vea respaldada por sus representantes, siempre con respeto al debido proceso emanado del Estado de Derecho, la justicia, la seguridad jurídica y la paz social, como bien dice el exhorto propuesto por el PAN y votado positivamente por esta Soberanía. </w:t>
      </w:r>
    </w:p>
    <w:p w14:paraId="24F18F69" w14:textId="77777777" w:rsidR="0080403D" w:rsidRPr="003D6D37" w:rsidRDefault="0080403D" w:rsidP="0080403D">
      <w:pPr>
        <w:spacing w:after="161"/>
        <w:ind w:left="-5"/>
        <w:jc w:val="both"/>
        <w:rPr>
          <w:rFonts w:ascii="Abadi" w:hAnsi="Abadi"/>
          <w:sz w:val="21"/>
          <w:szCs w:val="21"/>
        </w:rPr>
      </w:pPr>
      <w:r w:rsidRPr="003D6D37">
        <w:rPr>
          <w:rFonts w:ascii="Abadi" w:hAnsi="Abadi"/>
          <w:sz w:val="21"/>
          <w:szCs w:val="21"/>
        </w:rPr>
        <w:t xml:space="preserve">En ese sentido, además de exhortar a las autoridades que conocen de esta causa penal en el estado de Tlaxcala, consideramos necesario que tanto la Secretaría de Gobierno del estado de Guanajuato como la Secretaría de Gobernación, se involucren en el marco de sus facultades en la causa penal que se sigue en contra de Pedro Francisco Rodríguez Vázquez, para garantizar sean efectivas las reglas y principios constitucionales que rigen en la materia.  Se que no son directamente responsables del proceso penal pero tienen facultades para vigilar que el proceso se lleve de manera estrictamente legal. </w:t>
      </w:r>
    </w:p>
    <w:p w14:paraId="6217877C" w14:textId="77777777" w:rsidR="0080403D" w:rsidRPr="003D6D37" w:rsidRDefault="0080403D" w:rsidP="0080403D">
      <w:pPr>
        <w:ind w:left="-5"/>
        <w:jc w:val="both"/>
        <w:rPr>
          <w:rFonts w:ascii="Abadi" w:hAnsi="Abadi"/>
          <w:sz w:val="21"/>
          <w:szCs w:val="21"/>
        </w:rPr>
      </w:pPr>
      <w:r w:rsidRPr="003D6D37">
        <w:rPr>
          <w:rFonts w:ascii="Abadi" w:hAnsi="Abadi"/>
          <w:sz w:val="21"/>
          <w:szCs w:val="21"/>
        </w:rPr>
        <w:t xml:space="preserve">En mérito de todo lo anteriormente expuesto, fundado y motivado, nos permitimos someter a la consideración de esta Honorable Asamblea, la siguiente propuesta de: </w:t>
      </w:r>
    </w:p>
    <w:p w14:paraId="352AA470" w14:textId="77777777" w:rsidR="0097295C" w:rsidRDefault="0097295C" w:rsidP="0080403D">
      <w:pPr>
        <w:spacing w:after="372"/>
        <w:ind w:left="142" w:right="713"/>
        <w:jc w:val="center"/>
        <w:rPr>
          <w:rFonts w:ascii="Abadi" w:hAnsi="Abadi"/>
          <w:b/>
          <w:bCs/>
          <w:sz w:val="21"/>
          <w:szCs w:val="21"/>
        </w:rPr>
      </w:pPr>
    </w:p>
    <w:p w14:paraId="3BB57FCE" w14:textId="4156ACA9" w:rsidR="0080403D" w:rsidRPr="003D6D37" w:rsidRDefault="0080403D" w:rsidP="0080403D">
      <w:pPr>
        <w:spacing w:after="372"/>
        <w:ind w:left="142" w:right="713"/>
        <w:jc w:val="center"/>
        <w:rPr>
          <w:rFonts w:ascii="Abadi" w:hAnsi="Abadi"/>
          <w:b/>
          <w:bCs/>
          <w:sz w:val="21"/>
          <w:szCs w:val="21"/>
        </w:rPr>
      </w:pPr>
      <w:r w:rsidRPr="003D6D37">
        <w:rPr>
          <w:rFonts w:ascii="Abadi" w:hAnsi="Abadi"/>
          <w:b/>
          <w:bCs/>
          <w:sz w:val="21"/>
          <w:szCs w:val="21"/>
        </w:rPr>
        <w:t>ACUERDO</w:t>
      </w:r>
    </w:p>
    <w:p w14:paraId="3CF4E0EC" w14:textId="77777777" w:rsidR="0080403D" w:rsidRDefault="0080403D" w:rsidP="0080403D">
      <w:pPr>
        <w:ind w:left="-5"/>
        <w:jc w:val="both"/>
        <w:rPr>
          <w:rFonts w:ascii="Abadi" w:hAnsi="Abadi"/>
          <w:sz w:val="21"/>
          <w:szCs w:val="21"/>
        </w:rPr>
      </w:pPr>
      <w:r w:rsidRPr="003D6D37">
        <w:rPr>
          <w:rFonts w:ascii="Abadi" w:hAnsi="Abadi"/>
          <w:sz w:val="21"/>
          <w:szCs w:val="21"/>
        </w:rPr>
        <w:t xml:space="preserve">Primero. La LXV Legislatura del Congreso del Estado Libre y Soberano de Guanajuato acuerda emitir un atento exhorto a la Secretaría de Gobierno del estado de Guanajuato para que en el ámbito de sus atribuciones y por supuesto sin violentar el debido proceso, tome contacto con la Procuraduría General de Justicia del Estado de </w:t>
      </w:r>
      <w:r w:rsidRPr="003D6D37">
        <w:rPr>
          <w:rFonts w:ascii="Abadi" w:hAnsi="Abadi"/>
          <w:sz w:val="21"/>
          <w:szCs w:val="21"/>
        </w:rPr>
        <w:t xml:space="preserve">Tlaxcala y con Poder Judicial del Estado de Tlaxcala para que se informe a la familia del imputado y a esta Soberanía, sobre el estado que guarda el procedimiento penal instaurado contra el joven guanajuatense Pedro Francisco Rodríguez Vázquez, originario del Municipio de San Felipe, Guanajuato. </w:t>
      </w:r>
    </w:p>
    <w:p w14:paraId="43A0116D" w14:textId="77777777" w:rsidR="0097295C" w:rsidRPr="003D6D37" w:rsidRDefault="0097295C" w:rsidP="0080403D">
      <w:pPr>
        <w:ind w:left="-5"/>
        <w:jc w:val="both"/>
        <w:rPr>
          <w:rFonts w:ascii="Abadi" w:hAnsi="Abadi"/>
          <w:sz w:val="21"/>
          <w:szCs w:val="21"/>
        </w:rPr>
      </w:pPr>
    </w:p>
    <w:p w14:paraId="19658478" w14:textId="77777777" w:rsidR="0080403D" w:rsidRDefault="0080403D" w:rsidP="0080403D">
      <w:pPr>
        <w:ind w:left="-5"/>
        <w:jc w:val="both"/>
        <w:rPr>
          <w:rFonts w:ascii="Abadi" w:hAnsi="Abadi"/>
          <w:sz w:val="21"/>
          <w:szCs w:val="21"/>
        </w:rPr>
      </w:pPr>
      <w:r w:rsidRPr="003D6D37">
        <w:rPr>
          <w:rFonts w:ascii="Abadi" w:hAnsi="Abadi"/>
          <w:sz w:val="21"/>
          <w:szCs w:val="21"/>
        </w:rPr>
        <w:t xml:space="preserve">Segundo. La LXV Legislatura del Congreso del Estado Libre y Soberano de Guanajuato acuerda emitir atento exhorto a la Secretaría de Gobernación, para que vigile que en la causa penal que se sigue contra el joven guanajuatense Pedro Francisco Rodríguez Vázquez, originario del Municipio de San Felipe, Guanajuato, la Procuraduría General de Justicia del Estado de Tlaxcala y el Poder Judicial del Estado de Tlaxcala, cumplan con los preceptos constitucionales en la materia, en especial el debido proceso y el principio de presunción de inocencia. </w:t>
      </w:r>
    </w:p>
    <w:p w14:paraId="682573D4" w14:textId="77777777" w:rsidR="0097295C" w:rsidRPr="003D6D37" w:rsidRDefault="0097295C" w:rsidP="0080403D">
      <w:pPr>
        <w:ind w:left="-5"/>
        <w:jc w:val="both"/>
        <w:rPr>
          <w:rFonts w:ascii="Abadi" w:hAnsi="Abadi"/>
          <w:sz w:val="21"/>
          <w:szCs w:val="21"/>
        </w:rPr>
      </w:pPr>
    </w:p>
    <w:p w14:paraId="6697B50D" w14:textId="77777777" w:rsidR="0080403D" w:rsidRPr="003D6D37" w:rsidRDefault="0080403D" w:rsidP="0080403D">
      <w:pPr>
        <w:ind w:left="-5"/>
        <w:jc w:val="both"/>
        <w:rPr>
          <w:rFonts w:ascii="Abadi" w:hAnsi="Abadi"/>
          <w:sz w:val="21"/>
          <w:szCs w:val="21"/>
        </w:rPr>
      </w:pPr>
      <w:r w:rsidRPr="003D6D37">
        <w:rPr>
          <w:rFonts w:ascii="Abadi" w:hAnsi="Abadi"/>
          <w:sz w:val="21"/>
          <w:szCs w:val="21"/>
        </w:rPr>
        <w:t xml:space="preserve">Tercero. La LXV Legislatura del Congreso del Estado Libre y Soberano de Guanajuato, acuerda girar atento exhorto a la Procuraduría General de Justicia del Estado de Tlaxcala y al Poder Judicial del Estado de Tlaxcala para que garanticen el cumplimiento de los preceptos constitucionales en la materia, en especial el debido proceso y la presunción de inocencia, en la causa penal que se sigue contra el joven guanajuatense Pedro Francisco Rodríguez Vázquez. </w:t>
      </w:r>
    </w:p>
    <w:p w14:paraId="3CB925C4" w14:textId="610E7715" w:rsidR="0080403D" w:rsidRPr="003D6D37" w:rsidRDefault="0080403D" w:rsidP="0080403D">
      <w:pPr>
        <w:spacing w:after="372"/>
        <w:jc w:val="both"/>
        <w:rPr>
          <w:rFonts w:ascii="Abadi" w:hAnsi="Abadi"/>
          <w:sz w:val="21"/>
          <w:szCs w:val="21"/>
        </w:rPr>
      </w:pPr>
      <w:r w:rsidRPr="003D6D37">
        <w:rPr>
          <w:rFonts w:ascii="Abadi" w:hAnsi="Abadi"/>
          <w:sz w:val="21"/>
          <w:szCs w:val="21"/>
        </w:rPr>
        <w:t xml:space="preserve"> </w:t>
      </w:r>
    </w:p>
    <w:p w14:paraId="25EAAB9E" w14:textId="1A45362D" w:rsidR="0080403D" w:rsidRPr="003D6D37" w:rsidRDefault="0080403D" w:rsidP="0080403D">
      <w:pPr>
        <w:ind w:right="6"/>
        <w:jc w:val="center"/>
        <w:rPr>
          <w:rFonts w:ascii="Abadi" w:hAnsi="Abadi"/>
          <w:b/>
          <w:bCs/>
          <w:sz w:val="21"/>
          <w:szCs w:val="21"/>
        </w:rPr>
      </w:pPr>
      <w:r w:rsidRPr="003D6D37">
        <w:rPr>
          <w:rFonts w:ascii="Abadi" w:hAnsi="Abadi"/>
          <w:b/>
          <w:bCs/>
          <w:sz w:val="21"/>
          <w:szCs w:val="21"/>
        </w:rPr>
        <w:t xml:space="preserve">Guanajuato, </w:t>
      </w:r>
      <w:proofErr w:type="spellStart"/>
      <w:r w:rsidRPr="003D6D37">
        <w:rPr>
          <w:rFonts w:ascii="Abadi" w:hAnsi="Abadi"/>
          <w:b/>
          <w:bCs/>
          <w:sz w:val="21"/>
          <w:szCs w:val="21"/>
        </w:rPr>
        <w:t>Gto</w:t>
      </w:r>
      <w:proofErr w:type="spellEnd"/>
      <w:r w:rsidRPr="003D6D37">
        <w:rPr>
          <w:rFonts w:ascii="Abadi" w:hAnsi="Abadi"/>
          <w:b/>
          <w:bCs/>
          <w:sz w:val="21"/>
          <w:szCs w:val="21"/>
        </w:rPr>
        <w:t>. a 22 de junio de 2023.</w:t>
      </w:r>
    </w:p>
    <w:p w14:paraId="36C696F4" w14:textId="6C3C1597" w:rsidR="0080403D" w:rsidRPr="003D6D37" w:rsidRDefault="0080403D" w:rsidP="0080403D">
      <w:pPr>
        <w:jc w:val="center"/>
        <w:rPr>
          <w:rFonts w:ascii="Abadi" w:hAnsi="Abadi"/>
          <w:b/>
          <w:bCs/>
          <w:sz w:val="21"/>
          <w:szCs w:val="21"/>
        </w:rPr>
      </w:pPr>
    </w:p>
    <w:p w14:paraId="58EEBA12" w14:textId="5815395D" w:rsidR="0080403D" w:rsidRPr="003D6D37" w:rsidRDefault="0080403D" w:rsidP="0080403D">
      <w:pPr>
        <w:jc w:val="center"/>
        <w:rPr>
          <w:rFonts w:ascii="Abadi" w:hAnsi="Abadi"/>
          <w:b/>
          <w:bCs/>
          <w:sz w:val="21"/>
          <w:szCs w:val="21"/>
        </w:rPr>
      </w:pPr>
    </w:p>
    <w:p w14:paraId="59653980" w14:textId="41469A33" w:rsidR="0080403D" w:rsidRPr="003D6D37" w:rsidRDefault="0080403D" w:rsidP="0080403D">
      <w:pPr>
        <w:spacing w:after="132"/>
        <w:jc w:val="center"/>
        <w:rPr>
          <w:rFonts w:ascii="Abadi" w:hAnsi="Abadi"/>
          <w:b/>
          <w:bCs/>
          <w:sz w:val="21"/>
          <w:szCs w:val="21"/>
        </w:rPr>
      </w:pPr>
      <w:r w:rsidRPr="003D6D37">
        <w:rPr>
          <w:rFonts w:ascii="Abadi" w:hAnsi="Abadi"/>
          <w:b/>
          <w:bCs/>
          <w:sz w:val="21"/>
          <w:szCs w:val="21"/>
        </w:rPr>
        <w:t>Diputado David Martínez Mendizábal</w:t>
      </w:r>
    </w:p>
    <w:p w14:paraId="1B5BD219" w14:textId="4C966234" w:rsidR="0080403D" w:rsidRPr="003D6D37" w:rsidRDefault="0080403D" w:rsidP="0080403D">
      <w:pPr>
        <w:spacing w:after="132"/>
        <w:ind w:right="6"/>
        <w:jc w:val="center"/>
        <w:rPr>
          <w:rFonts w:ascii="Abadi" w:hAnsi="Abadi"/>
          <w:b/>
          <w:bCs/>
          <w:sz w:val="21"/>
          <w:szCs w:val="21"/>
        </w:rPr>
      </w:pPr>
      <w:r w:rsidRPr="003D6D37">
        <w:rPr>
          <w:rFonts w:ascii="Abadi" w:hAnsi="Abadi"/>
          <w:b/>
          <w:bCs/>
          <w:sz w:val="21"/>
          <w:szCs w:val="21"/>
        </w:rPr>
        <w:t>Grupo Parlamentario de MORENA</w:t>
      </w:r>
    </w:p>
    <w:p w14:paraId="2AEF85B3" w14:textId="77777777" w:rsidR="003C5533" w:rsidRDefault="003C5533" w:rsidP="003C5533">
      <w:pPr>
        <w:pStyle w:val="Prrafodelista"/>
        <w:autoSpaceDE w:val="0"/>
        <w:autoSpaceDN w:val="0"/>
        <w:adjustRightInd w:val="0"/>
        <w:ind w:left="426"/>
        <w:contextualSpacing/>
        <w:jc w:val="both"/>
        <w:rPr>
          <w:rFonts w:ascii="Abadi" w:hAnsi="Abadi" w:cs="ArialMT"/>
          <w:b/>
          <w:bCs/>
          <w:sz w:val="21"/>
          <w:szCs w:val="21"/>
        </w:rPr>
      </w:pPr>
    </w:p>
    <w:p w14:paraId="58CB99B9" w14:textId="77777777" w:rsidR="0097295C" w:rsidRDefault="0097295C" w:rsidP="003C5533">
      <w:pPr>
        <w:pStyle w:val="Prrafodelista"/>
        <w:autoSpaceDE w:val="0"/>
        <w:autoSpaceDN w:val="0"/>
        <w:adjustRightInd w:val="0"/>
        <w:ind w:left="426"/>
        <w:contextualSpacing/>
        <w:jc w:val="both"/>
        <w:rPr>
          <w:rFonts w:ascii="Abadi" w:hAnsi="Abadi" w:cs="ArialMT"/>
          <w:b/>
          <w:bCs/>
          <w:sz w:val="21"/>
          <w:szCs w:val="21"/>
        </w:rPr>
      </w:pPr>
    </w:p>
    <w:p w14:paraId="011D5649" w14:textId="77777777" w:rsidR="00A74F7C" w:rsidRDefault="00281CD1" w:rsidP="00281CD1">
      <w:pPr>
        <w:ind w:firstLine="708"/>
        <w:jc w:val="both"/>
        <w:rPr>
          <w:rFonts w:ascii="Abadi" w:hAnsi="Abadi"/>
          <w:b/>
          <w:bCs/>
          <w:sz w:val="21"/>
          <w:szCs w:val="21"/>
        </w:rPr>
      </w:pPr>
      <w:r w:rsidRPr="00C10DA8">
        <w:rPr>
          <w:rFonts w:ascii="Abadi" w:hAnsi="Abadi"/>
          <w:b/>
          <w:bCs/>
          <w:sz w:val="21"/>
          <w:szCs w:val="21"/>
        </w:rPr>
        <w:t xml:space="preserve">- La </w:t>
      </w:r>
      <w:proofErr w:type="gramStart"/>
      <w:r w:rsidRPr="00C10DA8">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Se pide </w:t>
      </w:r>
      <w:r>
        <w:rPr>
          <w:rFonts w:ascii="Abadi" w:hAnsi="Abadi"/>
          <w:sz w:val="21"/>
          <w:szCs w:val="21"/>
        </w:rPr>
        <w:t xml:space="preserve">enseguida </w:t>
      </w:r>
      <w:r w:rsidRPr="0030088F">
        <w:rPr>
          <w:rFonts w:ascii="Abadi" w:hAnsi="Abadi"/>
          <w:sz w:val="21"/>
          <w:szCs w:val="21"/>
        </w:rPr>
        <w:t>al diputado David Martínez Mendizábal, dar lectura a la propuesta de punto de acuerdo de obvia resolución correspondiente al punto 15 del orden del día.</w:t>
      </w:r>
      <w:r w:rsidRPr="0030088F">
        <w:rPr>
          <w:rFonts w:ascii="Abadi" w:hAnsi="Abadi"/>
          <w:color w:val="333333"/>
          <w:sz w:val="21"/>
          <w:szCs w:val="21"/>
          <w:shd w:val="clear" w:color="auto" w:fill="F9F9F9"/>
        </w:rPr>
        <w:t xml:space="preserve"> </w:t>
      </w:r>
      <w:r w:rsidRPr="0030088F">
        <w:rPr>
          <w:rFonts w:ascii="Abadi" w:hAnsi="Abadi"/>
          <w:b/>
          <w:bCs/>
          <w:sz w:val="21"/>
          <w:szCs w:val="21"/>
        </w:rPr>
        <w:t>(ELD 304/LXV-PPA)</w:t>
      </w:r>
    </w:p>
    <w:p w14:paraId="24938711" w14:textId="77777777" w:rsidR="00A74F7C" w:rsidRDefault="00A74F7C" w:rsidP="00281CD1">
      <w:pPr>
        <w:ind w:firstLine="708"/>
        <w:jc w:val="both"/>
        <w:rPr>
          <w:rFonts w:ascii="Abadi" w:hAnsi="Abadi"/>
          <w:b/>
          <w:bCs/>
          <w:sz w:val="21"/>
          <w:szCs w:val="21"/>
        </w:rPr>
      </w:pPr>
    </w:p>
    <w:p w14:paraId="3A392ED8" w14:textId="1066E4E0" w:rsidR="00281CD1" w:rsidRDefault="00A74F7C" w:rsidP="00281CD1">
      <w:pPr>
        <w:ind w:firstLine="708"/>
        <w:jc w:val="both"/>
        <w:rPr>
          <w:rFonts w:ascii="Abadi" w:hAnsi="Abadi"/>
          <w:sz w:val="21"/>
          <w:szCs w:val="21"/>
        </w:rPr>
      </w:pPr>
      <w:r>
        <w:rPr>
          <w:rFonts w:ascii="Abadi" w:hAnsi="Abadi"/>
          <w:b/>
          <w:bCs/>
          <w:sz w:val="21"/>
          <w:szCs w:val="21"/>
        </w:rPr>
        <w:t xml:space="preserve">- </w:t>
      </w:r>
      <w:r w:rsidR="00281CD1" w:rsidRPr="0030088F">
        <w:rPr>
          <w:rFonts w:ascii="Abadi" w:hAnsi="Abadi"/>
          <w:sz w:val="21"/>
          <w:szCs w:val="21"/>
        </w:rPr>
        <w:t>Adelante.</w:t>
      </w:r>
    </w:p>
    <w:p w14:paraId="5D8F3B1E" w14:textId="77777777" w:rsidR="00081C8B" w:rsidRDefault="00081C8B" w:rsidP="00281CD1">
      <w:pPr>
        <w:ind w:firstLine="708"/>
        <w:jc w:val="both"/>
        <w:rPr>
          <w:rFonts w:ascii="Abadi" w:hAnsi="Abadi"/>
          <w:sz w:val="21"/>
          <w:szCs w:val="21"/>
        </w:rPr>
      </w:pPr>
    </w:p>
    <w:p w14:paraId="414778C2" w14:textId="77777777" w:rsidR="00081C8B" w:rsidRDefault="00081C8B" w:rsidP="00281CD1">
      <w:pPr>
        <w:ind w:firstLine="708"/>
        <w:jc w:val="both"/>
        <w:rPr>
          <w:rFonts w:ascii="Abadi" w:hAnsi="Abadi"/>
          <w:sz w:val="21"/>
          <w:szCs w:val="21"/>
        </w:rPr>
      </w:pPr>
    </w:p>
    <w:p w14:paraId="3D16FFDC" w14:textId="77777777" w:rsidR="00081C8B" w:rsidRDefault="00081C8B" w:rsidP="00281CD1">
      <w:pPr>
        <w:ind w:firstLine="708"/>
        <w:jc w:val="both"/>
        <w:rPr>
          <w:rFonts w:ascii="Abadi" w:hAnsi="Abadi"/>
          <w:sz w:val="21"/>
          <w:szCs w:val="21"/>
        </w:rPr>
      </w:pPr>
    </w:p>
    <w:p w14:paraId="7990B53C" w14:textId="77777777" w:rsidR="00081C8B" w:rsidRPr="0030088F" w:rsidRDefault="00081C8B" w:rsidP="00281CD1">
      <w:pPr>
        <w:ind w:firstLine="708"/>
        <w:jc w:val="both"/>
        <w:rPr>
          <w:rFonts w:ascii="Abadi" w:hAnsi="Abadi"/>
          <w:b/>
          <w:bCs/>
          <w:sz w:val="21"/>
          <w:szCs w:val="21"/>
        </w:rPr>
      </w:pPr>
    </w:p>
    <w:p w14:paraId="3EC6D834" w14:textId="77777777" w:rsidR="00281CD1" w:rsidRPr="0030088F" w:rsidRDefault="00281CD1" w:rsidP="00281CD1">
      <w:pPr>
        <w:jc w:val="both"/>
        <w:rPr>
          <w:rFonts w:ascii="Abadi" w:hAnsi="Abadi"/>
          <w:b/>
          <w:bCs/>
          <w:sz w:val="21"/>
          <w:szCs w:val="21"/>
        </w:rPr>
      </w:pPr>
      <w:r w:rsidRPr="0030088F">
        <w:rPr>
          <w:rFonts w:ascii="Abadi" w:hAnsi="Abadi"/>
          <w:b/>
          <w:bCs/>
          <w:sz w:val="21"/>
          <w:szCs w:val="21"/>
        </w:rPr>
        <w:lastRenderedPageBreak/>
        <w:t>(Sube a tribuna el diputado David Martínez Mendizábal, para dar lectura a la propuesta de punto de acuerdo de obvia resolución en referencia)</w:t>
      </w:r>
    </w:p>
    <w:p w14:paraId="6D612485" w14:textId="77777777" w:rsidR="00281CD1" w:rsidRPr="0030088F" w:rsidRDefault="00281CD1" w:rsidP="00281CD1">
      <w:pPr>
        <w:jc w:val="both"/>
        <w:rPr>
          <w:rFonts w:ascii="Abadi" w:hAnsi="Abadi"/>
          <w:b/>
          <w:bCs/>
          <w:sz w:val="21"/>
          <w:szCs w:val="21"/>
        </w:rPr>
      </w:pPr>
    </w:p>
    <w:p w14:paraId="42C2F628" w14:textId="037D3D6C" w:rsidR="00281CD1" w:rsidRPr="0030088F" w:rsidRDefault="00A74F7C" w:rsidP="00281CD1">
      <w:pPr>
        <w:jc w:val="both"/>
        <w:rPr>
          <w:rFonts w:ascii="Abadi" w:hAnsi="Abadi"/>
          <w:b/>
          <w:bCs/>
          <w:sz w:val="21"/>
          <w:szCs w:val="21"/>
        </w:rPr>
      </w:pPr>
      <w:r w:rsidRPr="0030088F">
        <w:rPr>
          <w:rFonts w:ascii="Abadi" w:hAnsi="Abadi"/>
          <w:noProof/>
          <w:sz w:val="21"/>
          <w:szCs w:val="21"/>
        </w:rPr>
        <w:drawing>
          <wp:anchor distT="0" distB="0" distL="114300" distR="114300" simplePos="0" relativeHeight="251658256" behindDoc="1" locked="0" layoutInCell="1" allowOverlap="1" wp14:anchorId="3356404F" wp14:editId="276D1678">
            <wp:simplePos x="0" y="0"/>
            <wp:positionH relativeFrom="column">
              <wp:posOffset>642302</wp:posOffset>
            </wp:positionH>
            <wp:positionV relativeFrom="paragraph">
              <wp:posOffset>265430</wp:posOffset>
            </wp:positionV>
            <wp:extent cx="1359157" cy="711716"/>
            <wp:effectExtent l="247650" t="228600" r="241300" b="736600"/>
            <wp:wrapTight wrapText="bothSides">
              <wp:wrapPolygon edited="0">
                <wp:start x="-3936" y="-6943"/>
                <wp:lineTo x="-3936" y="43393"/>
                <wp:lineTo x="25133" y="43393"/>
                <wp:lineTo x="25133" y="-6943"/>
                <wp:lineTo x="-3936" y="-6943"/>
              </wp:wrapPolygon>
            </wp:wrapTight>
            <wp:docPr id="60791355" name="Imagen 60791355" descr="Imagen que contiene hombre, frente, fot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91355" name="Imagen 1" descr="Imagen que contiene hombre, frente, foto, sostener&#10;&#10;Descripción generada automáticamente"/>
                    <pic:cNvPicPr/>
                  </pic:nvPicPr>
                  <pic:blipFill rotWithShape="1">
                    <a:blip r:embed="rId35" cstate="print">
                      <a:extLst>
                        <a:ext uri="{28A0092B-C50C-407E-A947-70E740481C1C}">
                          <a14:useLocalDpi xmlns:a14="http://schemas.microsoft.com/office/drawing/2010/main" val="0"/>
                        </a:ext>
                      </a:extLst>
                    </a:blip>
                    <a:srcRect b="6901"/>
                    <a:stretch/>
                  </pic:blipFill>
                  <pic:spPr bwMode="auto">
                    <a:xfrm>
                      <a:off x="0" y="0"/>
                      <a:ext cx="1359157" cy="71171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C6A2F7A" w14:textId="52EA59A0" w:rsidR="00281CD1" w:rsidRPr="0030088F" w:rsidRDefault="00281CD1" w:rsidP="00281CD1">
      <w:pPr>
        <w:jc w:val="both"/>
        <w:rPr>
          <w:rFonts w:ascii="Abadi" w:hAnsi="Abadi"/>
          <w:b/>
          <w:bCs/>
          <w:sz w:val="21"/>
          <w:szCs w:val="21"/>
        </w:rPr>
      </w:pPr>
      <w:r w:rsidRPr="0030088F">
        <w:rPr>
          <w:rFonts w:ascii="Abadi" w:hAnsi="Abadi"/>
          <w:b/>
          <w:bCs/>
          <w:sz w:val="21"/>
          <w:szCs w:val="21"/>
        </w:rPr>
        <w:t>Diputado David Martínez Mendizábal</w:t>
      </w:r>
    </w:p>
    <w:p w14:paraId="20AC3815" w14:textId="77777777" w:rsidR="00281CD1" w:rsidRPr="0030088F" w:rsidRDefault="00281CD1" w:rsidP="00281CD1">
      <w:pPr>
        <w:jc w:val="both"/>
        <w:rPr>
          <w:rFonts w:ascii="Abadi" w:hAnsi="Abadi"/>
          <w:sz w:val="21"/>
          <w:szCs w:val="21"/>
        </w:rPr>
      </w:pPr>
    </w:p>
    <w:p w14:paraId="09F05287" w14:textId="77777777" w:rsidR="00281CD1" w:rsidRDefault="00281CD1" w:rsidP="00281CD1">
      <w:pPr>
        <w:jc w:val="both"/>
        <w:rPr>
          <w:rFonts w:ascii="Abadi" w:hAnsi="Abadi"/>
          <w:sz w:val="21"/>
          <w:szCs w:val="21"/>
        </w:rPr>
      </w:pPr>
      <w:r w:rsidRPr="0030088F">
        <w:rPr>
          <w:rFonts w:ascii="Abadi" w:hAnsi="Abadi"/>
          <w:sz w:val="21"/>
          <w:szCs w:val="21"/>
        </w:rPr>
        <w:t xml:space="preserve">- Gracias Presidente, buenas tardes, jóvenes que se retiran también buenas tardes, voy a resumir en 1 minuto este exhorto es sobre un ciudadano de San Felipe, que se llama igual que un acusado en Tlaxcala, de matar a una persona y solamente porque se llama igual el guanajuatense está preso en Tlaxcala, porque se llama igual que el imputado de asesinato, la familia se ha cansado de mostrar las pruebas que él estaba aquí, que no conoce Tlaxcala que estaba trabajando y sin embargo sigue preso tiene 8 meses preso en Tlaxcala y lo que nos pide la familia a este Congreso, es que no descuidemos el tema que no descuidemos el tema eso es lo que vengo a decir el 22/11/2022 ante la insistencia de varios partidos políticos entre otros el partido Morena, se pidió atender el caso del joven Pedro Francisco Rodríguez Vázquez, así se llama el originario de San Felipe -antes torres mochas- San Felipe, Guanajuato el partido Acción Nacional presentó un acuerdo de obvia resolución que fue aprobado por unanimidad por esta Sexagésima Quinta Legislatura, leo parte de lo que dijo el Partido Acción Nacional, dejando en claro, que las y los guanajuatenses exigimos la prevalencia de los principios de seguridad jurídica presunción de inocencia debido proceso de defensa adecuada y respeto respecto a los derechos humanos de todos nuestros conciudadanos en cualquier parte del estado mexicano y extranjero, esta Sexagésima Quinta Legislatura, efectuó un respetuoso exhorto la Procuraduría de Justicia del Estado de Tlaxcala y el Poder Judicial del Estado de Tlaxcala, para que el procedimiento penal instaurado contra </w:t>
      </w:r>
      <w:r w:rsidRPr="0030088F">
        <w:rPr>
          <w:rFonts w:ascii="Abadi" w:hAnsi="Abadi"/>
          <w:sz w:val="21"/>
          <w:szCs w:val="21"/>
        </w:rPr>
        <w:t>el joven guanajuatense Pedro Francisco Rodríguez Vázquez, originario del municipio de San Felipe, se realice atendiendo a los principios constitucionales y legales que rigen el sistema penal mexicano, dando prevalencia al principio de presunción de inocencia, eso es lo que dijo el Partido Acción Nacional y todo mundo aquí, lo aprobamos y fue de obvia resolución, ¿Por qué? pues porque, atendiendo a lo que dice la familia y a las pruebas exhibidas pues se está cometiendo una injusticia tremenda contra el joven Juan Francisco Rodríguez Vázquez, simplemente por llamarse igual, que otra persona que asesinó a una a otra ser humano en Tlaxcala, se llaman igual y entonces, vino la policía de Tlaxcala, lo agarraron de aquí y se lo llevaron para allá y está preso.</w:t>
      </w:r>
    </w:p>
    <w:p w14:paraId="01A507CC" w14:textId="77777777" w:rsidR="00A74F7C" w:rsidRPr="0030088F" w:rsidRDefault="00A74F7C" w:rsidP="00281CD1">
      <w:pPr>
        <w:jc w:val="both"/>
        <w:rPr>
          <w:rFonts w:ascii="Abadi" w:hAnsi="Abadi"/>
          <w:sz w:val="21"/>
          <w:szCs w:val="21"/>
        </w:rPr>
      </w:pPr>
    </w:p>
    <w:p w14:paraId="639AB0CD" w14:textId="77777777" w:rsidR="00281CD1" w:rsidRDefault="00281CD1" w:rsidP="00281CD1">
      <w:pPr>
        <w:jc w:val="both"/>
        <w:rPr>
          <w:rFonts w:ascii="Abadi" w:hAnsi="Abadi"/>
          <w:sz w:val="21"/>
          <w:szCs w:val="21"/>
        </w:rPr>
      </w:pPr>
      <w:r w:rsidRPr="0030088F">
        <w:rPr>
          <w:rFonts w:ascii="Abadi" w:hAnsi="Abadi"/>
          <w:sz w:val="21"/>
          <w:szCs w:val="21"/>
        </w:rPr>
        <w:t>- La familia ha estado pendiente de él y el 14 de junio recibí una carta de la familia de Pedro Francisco, la cual leo parcialmente, diputado buenas tardes, disculpe que lo moleste, han pasado más de 9 meses desde que detuvieron injustamente a mi sobrino Pedro y muy pocas autoridades han ayudado, -sí están ayudando- dice -muy poco están ayudando- por la magnitud del problema, entiendo también que el cuerpo legislativo tenemos pocas probabilidades de intervenir en un proceso penal ¿no? pero sin embargo debemos hacer todo lo posible por que este caso sea resuelto lo más rápido posible conforme a derecho y sigue diciendo la carta de la familiar.</w:t>
      </w:r>
    </w:p>
    <w:p w14:paraId="2F152B37" w14:textId="77777777" w:rsidR="00A74F7C" w:rsidRPr="0030088F" w:rsidRDefault="00A74F7C" w:rsidP="00281CD1">
      <w:pPr>
        <w:jc w:val="both"/>
        <w:rPr>
          <w:rFonts w:ascii="Abadi" w:hAnsi="Abadi"/>
          <w:sz w:val="21"/>
          <w:szCs w:val="21"/>
        </w:rPr>
      </w:pPr>
    </w:p>
    <w:p w14:paraId="407D854F" w14:textId="77777777" w:rsidR="00281CD1" w:rsidRDefault="00281CD1" w:rsidP="00281CD1">
      <w:pPr>
        <w:jc w:val="both"/>
        <w:rPr>
          <w:rFonts w:ascii="Abadi" w:hAnsi="Abadi"/>
          <w:sz w:val="21"/>
          <w:szCs w:val="21"/>
        </w:rPr>
      </w:pPr>
      <w:r w:rsidRPr="0030088F">
        <w:rPr>
          <w:rFonts w:ascii="Abadi" w:hAnsi="Abadi"/>
          <w:sz w:val="21"/>
          <w:szCs w:val="21"/>
        </w:rPr>
        <w:t xml:space="preserve">- Quisiera solicitarle de su apoyo pues la juez Nancy Moreno, sigue desestimando las pruebas desechando los testigos la única prueba que tiene es una copia de un señalamiento de una declaración que el tipo no se ha presentado a confirmarla, esa es la única prueba que existe, así como tampoco aparece el documento original ¿cómo puede pasar pesar más eso que todas las pruebas que el 100% prueba la inocencia de Pedro? -sigo leyendo la carta de la familia- diputado le pido por favor que nos sigan ayudando necesitamos que Pedro regrese con su gente hace 15 días me dirigí a la Ciudad de México sola con una pancarta pidiendo justicia para Pedro gracias a Dios salió personal de palacio y también nos encaminaron a la Suprema Corte de Justicia de la Nación en donde también ya se encuentra la petición de Pedro estos son los pasos de avance que se han logrado pero aún necesitamos ser </w:t>
      </w:r>
      <w:r w:rsidRPr="0030088F">
        <w:rPr>
          <w:rFonts w:ascii="Abadi" w:hAnsi="Abadi"/>
          <w:sz w:val="21"/>
          <w:szCs w:val="21"/>
        </w:rPr>
        <w:lastRenderedPageBreak/>
        <w:t>escuchados, necesitamos que nos ayuden a hacer justicia nuevamente solicito de su apoyo y más sincero saludo esperando seguir contando con ustedes.</w:t>
      </w:r>
    </w:p>
    <w:p w14:paraId="6C8ECC23" w14:textId="77777777" w:rsidR="00A74F7C" w:rsidRPr="0030088F" w:rsidRDefault="00A74F7C" w:rsidP="00281CD1">
      <w:pPr>
        <w:jc w:val="both"/>
        <w:rPr>
          <w:rFonts w:ascii="Abadi" w:hAnsi="Abadi"/>
          <w:sz w:val="21"/>
          <w:szCs w:val="21"/>
        </w:rPr>
      </w:pPr>
    </w:p>
    <w:p w14:paraId="2A700390" w14:textId="77777777" w:rsidR="00281CD1" w:rsidRDefault="00281CD1" w:rsidP="00281CD1">
      <w:pPr>
        <w:jc w:val="both"/>
        <w:rPr>
          <w:rFonts w:ascii="Abadi" w:hAnsi="Abadi"/>
          <w:sz w:val="21"/>
          <w:szCs w:val="21"/>
        </w:rPr>
      </w:pPr>
      <w:r w:rsidRPr="0030088F">
        <w:rPr>
          <w:rFonts w:ascii="Abadi" w:hAnsi="Abadi"/>
          <w:sz w:val="21"/>
          <w:szCs w:val="21"/>
        </w:rPr>
        <w:t>- Ustedes quiere, no, no es a mí o al Grupo Parlamentario de Morena, ustedes es el Congreso, nos está viendo además, la señora, la tía, la señora Cris, está viendo por vía remota, la cual le mandamos nuestra solidaridad, en la atención a los a los solicitados por la señora Cristina Vázquez y con el aval de la señora Lourdes Vázquez, mamá de Pedro, sobre la necesidad de seguir atendiendo el caso de Pedro Francisco por todos los medios legales que estén a nuestro alcance, es que este congreso está obligado a insistir para no dejar sueltas tanto la atención al proceso como los apoyos necesarios y la comunicación con la familia.</w:t>
      </w:r>
    </w:p>
    <w:p w14:paraId="3E195036" w14:textId="77777777" w:rsidR="00A74F7C" w:rsidRPr="0030088F" w:rsidRDefault="00A74F7C" w:rsidP="00281CD1">
      <w:pPr>
        <w:jc w:val="both"/>
        <w:rPr>
          <w:rFonts w:ascii="Abadi" w:hAnsi="Abadi"/>
          <w:sz w:val="21"/>
          <w:szCs w:val="21"/>
        </w:rPr>
      </w:pPr>
    </w:p>
    <w:p w14:paraId="26457951" w14:textId="77777777" w:rsidR="00281CD1" w:rsidRDefault="00281CD1" w:rsidP="00281CD1">
      <w:pPr>
        <w:jc w:val="both"/>
        <w:rPr>
          <w:rFonts w:ascii="Abadi" w:hAnsi="Abadi"/>
          <w:sz w:val="21"/>
          <w:szCs w:val="21"/>
        </w:rPr>
      </w:pPr>
      <w:r w:rsidRPr="0030088F">
        <w:rPr>
          <w:rFonts w:ascii="Abadi" w:hAnsi="Abadi"/>
          <w:sz w:val="21"/>
          <w:szCs w:val="21"/>
        </w:rPr>
        <w:t>- Los exhortos que se presentan ante esta soberanía hoy, aún más los que se aprueban de manera urgente por unanimidad bajo estatus de obvia resolución, requieren de un seguimiento específico -qué es lo que estoy haciendo- simplemente estoy siguiendo el exhorto que ustedes presentaron, siempre con respeto al debido proceso emanado del estado de derecho la justicia y la seguridad jurídica y la paz social, tal como la lo manifestó el exhorto presentado por el Partido Acción Nacional y que hicimos propio toda, todo el Congreso.</w:t>
      </w:r>
    </w:p>
    <w:p w14:paraId="3C7B978E" w14:textId="77777777" w:rsidR="00A74F7C" w:rsidRPr="0030088F" w:rsidRDefault="00A74F7C" w:rsidP="00281CD1">
      <w:pPr>
        <w:jc w:val="both"/>
        <w:rPr>
          <w:rFonts w:ascii="Abadi" w:hAnsi="Abadi"/>
          <w:sz w:val="21"/>
          <w:szCs w:val="21"/>
        </w:rPr>
      </w:pPr>
    </w:p>
    <w:p w14:paraId="524BCF46" w14:textId="77777777" w:rsidR="00281CD1" w:rsidRDefault="00281CD1" w:rsidP="00281CD1">
      <w:pPr>
        <w:jc w:val="both"/>
        <w:rPr>
          <w:rFonts w:ascii="Abadi" w:hAnsi="Abadi"/>
          <w:sz w:val="21"/>
          <w:szCs w:val="21"/>
        </w:rPr>
      </w:pPr>
      <w:r w:rsidRPr="0030088F">
        <w:rPr>
          <w:rFonts w:ascii="Abadi" w:hAnsi="Abadi"/>
          <w:sz w:val="21"/>
          <w:szCs w:val="21"/>
        </w:rPr>
        <w:t>- En ese sentido, además de exhortar a las autoridades que conocen de esta causa penal en el estado de Tlaxcala consideramos necesario que tanto la Secretaría de Gobierno del Estado de Guanajuato, como la Secretaría de Gobernación del Gobierno Federal, por supuesto, se involucren en el marco de sus facultades en la causa penal que se sigue en contra de Pedro Francisco Rodríguez Vázquez para garantizar sean efectivas las reglas y principios constitucionales que rigen la materia.</w:t>
      </w:r>
    </w:p>
    <w:p w14:paraId="692A9315" w14:textId="77777777" w:rsidR="00A74F7C" w:rsidRPr="0030088F" w:rsidRDefault="00A74F7C" w:rsidP="00281CD1">
      <w:pPr>
        <w:jc w:val="both"/>
        <w:rPr>
          <w:rFonts w:ascii="Abadi" w:hAnsi="Abadi"/>
          <w:sz w:val="21"/>
          <w:szCs w:val="21"/>
        </w:rPr>
      </w:pPr>
    </w:p>
    <w:p w14:paraId="415B88C5" w14:textId="77777777" w:rsidR="00281CD1" w:rsidRDefault="00281CD1" w:rsidP="00281CD1">
      <w:pPr>
        <w:jc w:val="both"/>
        <w:rPr>
          <w:rFonts w:ascii="Abadi" w:hAnsi="Abadi"/>
          <w:sz w:val="21"/>
          <w:szCs w:val="21"/>
        </w:rPr>
      </w:pPr>
      <w:r w:rsidRPr="0030088F">
        <w:rPr>
          <w:rFonts w:ascii="Abadi" w:hAnsi="Abadi"/>
          <w:sz w:val="21"/>
          <w:szCs w:val="21"/>
        </w:rPr>
        <w:t>-Sé que no son directamente responsables del proceso penal, eso es evidente, pero también se tienen facultades para vigilar que el proceso se lleve de manera estrictamente legal sobre todo con asesoría a la familia y al mismo Pedro Francisco Rodríguez Vázquez.</w:t>
      </w:r>
    </w:p>
    <w:p w14:paraId="001E3FDA" w14:textId="77777777" w:rsidR="00A74F7C" w:rsidRPr="0030088F" w:rsidRDefault="00A74F7C" w:rsidP="00281CD1">
      <w:pPr>
        <w:jc w:val="both"/>
        <w:rPr>
          <w:rFonts w:ascii="Abadi" w:hAnsi="Abadi"/>
          <w:sz w:val="21"/>
          <w:szCs w:val="21"/>
        </w:rPr>
      </w:pPr>
    </w:p>
    <w:p w14:paraId="6F9ACD52" w14:textId="77777777" w:rsidR="00281CD1" w:rsidRPr="0030088F" w:rsidRDefault="00281CD1" w:rsidP="00281CD1">
      <w:pPr>
        <w:jc w:val="both"/>
        <w:rPr>
          <w:rFonts w:ascii="Abadi" w:hAnsi="Abadi"/>
          <w:sz w:val="21"/>
          <w:szCs w:val="21"/>
        </w:rPr>
      </w:pPr>
      <w:r w:rsidRPr="0030088F">
        <w:rPr>
          <w:rFonts w:ascii="Abadi" w:hAnsi="Abadi"/>
          <w:sz w:val="21"/>
          <w:szCs w:val="21"/>
        </w:rPr>
        <w:t>- En mérito de lo anteriormente expuesto y fundado y motivado nos permitimos someter a consideración de esta Honorable Asamblea la siguiente propuesta de punto de acuerdo.</w:t>
      </w:r>
    </w:p>
    <w:p w14:paraId="20C3C83D" w14:textId="77777777" w:rsidR="00281CD1" w:rsidRDefault="00281CD1" w:rsidP="00281CD1">
      <w:pPr>
        <w:jc w:val="both"/>
        <w:rPr>
          <w:rFonts w:ascii="Abadi" w:hAnsi="Abadi"/>
          <w:sz w:val="21"/>
          <w:szCs w:val="21"/>
        </w:rPr>
      </w:pPr>
      <w:r w:rsidRPr="0030088F">
        <w:rPr>
          <w:rFonts w:ascii="Abadi" w:hAnsi="Abadi"/>
          <w:sz w:val="21"/>
          <w:szCs w:val="21"/>
        </w:rPr>
        <w:t>- Emitimos, eh, proponemos emitir un exhorto a la Secretaría de Gobierno del Estado de Guanajuato para que el ámbito de sus facultades, invadir otras funciones tome contacto con la Procuraduría de Justicia del Estado de Tlaxcala y el Poder Judicial para que se informe la familia del imputado de Pedro a veces se sienten como que no les dan la información y creo que si le metemos acelerador a este asunto, acelerador político creo que la familia se va a sentir mucho más acompañada y más informada.</w:t>
      </w:r>
    </w:p>
    <w:p w14:paraId="251466EF" w14:textId="77777777" w:rsidR="00A74F7C" w:rsidRPr="0030088F" w:rsidRDefault="00A74F7C" w:rsidP="00281CD1">
      <w:pPr>
        <w:jc w:val="both"/>
        <w:rPr>
          <w:rFonts w:ascii="Abadi" w:hAnsi="Abadi"/>
          <w:sz w:val="21"/>
          <w:szCs w:val="21"/>
        </w:rPr>
      </w:pPr>
    </w:p>
    <w:p w14:paraId="11E592F8" w14:textId="77777777" w:rsidR="00281CD1" w:rsidRDefault="00281CD1" w:rsidP="00281CD1">
      <w:pPr>
        <w:jc w:val="both"/>
        <w:rPr>
          <w:rFonts w:ascii="Abadi" w:hAnsi="Abadi"/>
          <w:sz w:val="21"/>
          <w:szCs w:val="21"/>
        </w:rPr>
      </w:pPr>
      <w:r w:rsidRPr="0030088F">
        <w:rPr>
          <w:rFonts w:ascii="Abadi" w:hAnsi="Abadi"/>
          <w:sz w:val="21"/>
          <w:szCs w:val="21"/>
        </w:rPr>
        <w:t>- Entonces el, el primera parte del acuerdo de exhorto es a la Secretaría de Gobierno, la segunda es a esta legislatura para emitir un exhorto a la Secretaría de Gobernación para que vigile que la causa penal que se sigue contra el joven guanajuatense también sea ajustada a derecho, puede intervenir, no en el proceso, se puede intervenir en algunas de las facultades, de las facultades que tiene, para supervisar que se lleve conforme a la ley y el tercero esta legislatura acuerda girar exhorto a la Procuraduría General del Estado de Tlaxcala y el Poder Judicial del Estado de Tlaxcala que es el exhorto que se hizo hace tiempo, para que se garantice el cumplimiento de los preceptos constitucionales en la materia, en especial el debido proceso y la presunción de inocencia en la causa penal que se sigue contra el joven guanajuatense Pedro Francisco Rodríguez Vázquez y terminó presidenta, diciendo a Cris y a la Señora Lourdes, que yo espero que este Congreso la acompañe de mejor manera, aprobando este exhorto, porque lo que se está cometiendo según las pruebas que ha exhibido la familia, es una gran injusticia, en contra de Pedro Francisco Rodríguez Vázquez.</w:t>
      </w:r>
    </w:p>
    <w:p w14:paraId="011352C7" w14:textId="77777777" w:rsidR="00A74F7C" w:rsidRPr="0030088F" w:rsidRDefault="00A74F7C" w:rsidP="00281CD1">
      <w:pPr>
        <w:jc w:val="both"/>
        <w:rPr>
          <w:rFonts w:ascii="Abadi" w:hAnsi="Abadi"/>
          <w:sz w:val="21"/>
          <w:szCs w:val="21"/>
        </w:rPr>
      </w:pPr>
    </w:p>
    <w:p w14:paraId="2F440086" w14:textId="77777777" w:rsidR="00281CD1" w:rsidRDefault="00281CD1" w:rsidP="00281CD1">
      <w:pPr>
        <w:jc w:val="both"/>
        <w:rPr>
          <w:rFonts w:ascii="Abadi" w:hAnsi="Abadi"/>
          <w:sz w:val="21"/>
          <w:szCs w:val="21"/>
        </w:rPr>
      </w:pPr>
      <w:r w:rsidRPr="0030088F">
        <w:rPr>
          <w:rFonts w:ascii="Abadi" w:hAnsi="Abadi"/>
          <w:sz w:val="21"/>
          <w:szCs w:val="21"/>
        </w:rPr>
        <w:t xml:space="preserve">- Es todo, gracias. </w:t>
      </w:r>
    </w:p>
    <w:p w14:paraId="5B3823F8" w14:textId="77777777" w:rsidR="00A74F7C" w:rsidRPr="0030088F" w:rsidRDefault="00A74F7C" w:rsidP="00281CD1">
      <w:pPr>
        <w:jc w:val="both"/>
        <w:rPr>
          <w:rFonts w:ascii="Abadi" w:hAnsi="Abadi"/>
          <w:sz w:val="21"/>
          <w:szCs w:val="21"/>
        </w:rPr>
      </w:pPr>
    </w:p>
    <w:p w14:paraId="5ED4D2A5"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y diputado. </w:t>
      </w:r>
    </w:p>
    <w:p w14:paraId="586F29C0" w14:textId="77777777" w:rsidR="00A74F7C" w:rsidRPr="0030088F" w:rsidRDefault="00A74F7C" w:rsidP="00281CD1">
      <w:pPr>
        <w:ind w:firstLine="708"/>
        <w:jc w:val="both"/>
        <w:rPr>
          <w:rFonts w:ascii="Abadi" w:hAnsi="Abadi"/>
          <w:sz w:val="21"/>
          <w:szCs w:val="21"/>
        </w:rPr>
      </w:pPr>
    </w:p>
    <w:p w14:paraId="25A1E619" w14:textId="54F1B65C" w:rsidR="00281CD1" w:rsidRDefault="00281CD1" w:rsidP="00281CD1">
      <w:pPr>
        <w:ind w:firstLine="708"/>
        <w:jc w:val="both"/>
        <w:rPr>
          <w:rFonts w:ascii="Abadi" w:hAnsi="Abadi"/>
          <w:sz w:val="21"/>
          <w:szCs w:val="21"/>
        </w:rPr>
      </w:pPr>
      <w:r w:rsidRPr="0030088F">
        <w:rPr>
          <w:rFonts w:ascii="Abadi" w:hAnsi="Abadi"/>
          <w:sz w:val="21"/>
          <w:szCs w:val="21"/>
        </w:rPr>
        <w:t xml:space="preserve">- En los términos solicitados por el proponente se somete a la Asamblea se declare de obviar resolución en la propuesta de punto de acuerdo con fundamento en lo dispuesto por el artículo 177 de nuestra Ley Orgánica se informa a la Asamblea que efecto de que la propuesta a punto de acuerdo se </w:t>
      </w:r>
      <w:r w:rsidRPr="0030088F">
        <w:rPr>
          <w:rFonts w:ascii="Abadi" w:hAnsi="Abadi"/>
          <w:sz w:val="21"/>
          <w:szCs w:val="21"/>
        </w:rPr>
        <w:lastRenderedPageBreak/>
        <w:t xml:space="preserve">declare de </w:t>
      </w:r>
      <w:r>
        <w:rPr>
          <w:rFonts w:ascii="Abadi" w:hAnsi="Abadi"/>
          <w:sz w:val="21"/>
          <w:szCs w:val="21"/>
        </w:rPr>
        <w:t xml:space="preserve">obvia </w:t>
      </w:r>
      <w:r w:rsidRPr="0030088F">
        <w:rPr>
          <w:rFonts w:ascii="Abadi" w:hAnsi="Abadi"/>
          <w:sz w:val="21"/>
          <w:szCs w:val="21"/>
        </w:rPr>
        <w:t xml:space="preserve">resolución debe ser con las dos terceras partes de los integrantes del </w:t>
      </w:r>
      <w:r>
        <w:rPr>
          <w:rFonts w:ascii="Abadi" w:hAnsi="Abadi"/>
          <w:sz w:val="21"/>
          <w:szCs w:val="21"/>
        </w:rPr>
        <w:t>P</w:t>
      </w:r>
      <w:r w:rsidRPr="0030088F">
        <w:rPr>
          <w:rFonts w:ascii="Abadi" w:hAnsi="Abadi"/>
          <w:sz w:val="21"/>
          <w:szCs w:val="21"/>
        </w:rPr>
        <w:t>leno</w:t>
      </w:r>
      <w:r>
        <w:rPr>
          <w:rFonts w:ascii="Abadi" w:hAnsi="Abadi"/>
          <w:sz w:val="21"/>
          <w:szCs w:val="21"/>
        </w:rPr>
        <w:t>. S</w:t>
      </w:r>
      <w:r w:rsidRPr="0030088F">
        <w:rPr>
          <w:rFonts w:ascii="Abadi" w:hAnsi="Abadi"/>
          <w:sz w:val="21"/>
          <w:szCs w:val="21"/>
        </w:rPr>
        <w:t xml:space="preserve">i alguien desea hacer uso de la palabra respecto de la obvia resolución manifiestan lo indicando el sentido de su participación. Al no haber intervenciones, se pide a la Secretaría que en votación económica a través del sistema electrónico, pregúntale a Asamblea si se aprueba la obvia resolución sometida a consideración. </w:t>
      </w:r>
    </w:p>
    <w:p w14:paraId="431BF7F4" w14:textId="77777777" w:rsidR="00A74F7C" w:rsidRPr="0030088F" w:rsidRDefault="00A74F7C" w:rsidP="00281CD1">
      <w:pPr>
        <w:ind w:firstLine="708"/>
        <w:jc w:val="both"/>
        <w:rPr>
          <w:rFonts w:ascii="Abadi" w:hAnsi="Abadi"/>
          <w:sz w:val="21"/>
          <w:szCs w:val="21"/>
        </w:rPr>
      </w:pPr>
    </w:p>
    <w:p w14:paraId="4F0524F9" w14:textId="77777777" w:rsidR="00281CD1" w:rsidRDefault="00281CD1" w:rsidP="00281CD1">
      <w:pPr>
        <w:jc w:val="both"/>
        <w:rPr>
          <w:rFonts w:ascii="Abadi" w:hAnsi="Abadi"/>
          <w:b/>
          <w:bCs/>
          <w:sz w:val="21"/>
          <w:szCs w:val="21"/>
        </w:rPr>
      </w:pPr>
      <w:r w:rsidRPr="0030088F">
        <w:rPr>
          <w:rFonts w:ascii="Abadi" w:hAnsi="Abadi"/>
          <w:b/>
          <w:bCs/>
          <w:sz w:val="21"/>
          <w:szCs w:val="21"/>
        </w:rPr>
        <w:t>(se abre el sistema electrónico)</w:t>
      </w:r>
    </w:p>
    <w:p w14:paraId="78C7416E" w14:textId="77777777" w:rsidR="00A74F7C" w:rsidRPr="0030088F" w:rsidRDefault="00A74F7C" w:rsidP="00281CD1">
      <w:pPr>
        <w:jc w:val="both"/>
        <w:rPr>
          <w:rFonts w:ascii="Abadi" w:hAnsi="Abadi"/>
          <w:b/>
          <w:bCs/>
          <w:sz w:val="21"/>
          <w:szCs w:val="21"/>
        </w:rPr>
      </w:pPr>
    </w:p>
    <w:p w14:paraId="136840C6" w14:textId="77777777" w:rsidR="00281CD1" w:rsidRDefault="00281CD1" w:rsidP="00281CD1">
      <w:pPr>
        <w:jc w:val="both"/>
        <w:rPr>
          <w:rFonts w:ascii="Abadi" w:hAnsi="Abadi"/>
          <w:sz w:val="21"/>
          <w:szCs w:val="21"/>
        </w:rPr>
      </w:pPr>
      <w:r>
        <w:rPr>
          <w:rFonts w:ascii="Abadi" w:hAnsi="Abadi"/>
          <w:sz w:val="21"/>
          <w:szCs w:val="21"/>
        </w:rPr>
        <w:tab/>
      </w:r>
      <w:r w:rsidRPr="009D18A0">
        <w:rPr>
          <w:rFonts w:ascii="Abadi" w:hAnsi="Abadi"/>
          <w:b/>
          <w:bCs/>
          <w:sz w:val="21"/>
          <w:szCs w:val="21"/>
        </w:rPr>
        <w:t xml:space="preserve">- La </w:t>
      </w:r>
      <w:proofErr w:type="gramStart"/>
      <w:r w:rsidRPr="009D18A0">
        <w:rPr>
          <w:rFonts w:ascii="Abadi" w:hAnsi="Abadi"/>
          <w:b/>
          <w:bCs/>
          <w:sz w:val="21"/>
          <w:szCs w:val="21"/>
        </w:rPr>
        <w:t>Secretaría.-</w:t>
      </w:r>
      <w:proofErr w:type="gramEnd"/>
      <w:r w:rsidRPr="009D18A0">
        <w:rPr>
          <w:rFonts w:ascii="Abadi" w:hAnsi="Abadi"/>
          <w:b/>
          <w:bCs/>
          <w:sz w:val="21"/>
          <w:szCs w:val="21"/>
        </w:rPr>
        <w:t xml:space="preserve"> </w:t>
      </w:r>
      <w:r w:rsidRPr="0030088F">
        <w:rPr>
          <w:rFonts w:ascii="Abadi" w:hAnsi="Abadi"/>
          <w:sz w:val="21"/>
          <w:szCs w:val="21"/>
        </w:rPr>
        <w:t xml:space="preserve">Por instrucciones de la presidencia en votación económica y mediante el sistema electrónico, se les pregunta si se aprueba la obvia resolución. </w:t>
      </w:r>
    </w:p>
    <w:p w14:paraId="71C289FB" w14:textId="77777777" w:rsidR="00A74F7C" w:rsidRPr="0030088F" w:rsidRDefault="00A74F7C" w:rsidP="00281CD1">
      <w:pPr>
        <w:jc w:val="both"/>
        <w:rPr>
          <w:rFonts w:ascii="Abadi" w:hAnsi="Abadi"/>
          <w:sz w:val="21"/>
          <w:szCs w:val="21"/>
        </w:rPr>
      </w:pPr>
    </w:p>
    <w:p w14:paraId="21899704" w14:textId="77777777" w:rsidR="00281CD1" w:rsidRDefault="00281CD1" w:rsidP="00281CD1">
      <w:pPr>
        <w:jc w:val="both"/>
        <w:rPr>
          <w:rFonts w:ascii="Abadi" w:hAnsi="Abadi"/>
          <w:sz w:val="21"/>
          <w:szCs w:val="21"/>
        </w:rPr>
      </w:pPr>
      <w:r w:rsidRPr="0030088F">
        <w:rPr>
          <w:rFonts w:ascii="Abadi" w:hAnsi="Abadi"/>
          <w:sz w:val="21"/>
          <w:szCs w:val="21"/>
        </w:rPr>
        <w:t>¿falta alguna diputada o diputado por emitir su voto?</w:t>
      </w:r>
    </w:p>
    <w:p w14:paraId="26E8EAB6" w14:textId="77777777" w:rsidR="00A74F7C" w:rsidRPr="0030088F" w:rsidRDefault="00A74F7C" w:rsidP="00281CD1">
      <w:pPr>
        <w:jc w:val="both"/>
        <w:rPr>
          <w:rFonts w:ascii="Abadi" w:hAnsi="Abadi"/>
          <w:sz w:val="21"/>
          <w:szCs w:val="21"/>
        </w:rPr>
      </w:pPr>
    </w:p>
    <w:p w14:paraId="367338F0" w14:textId="77777777" w:rsidR="00281CD1" w:rsidRPr="0030088F" w:rsidRDefault="00281CD1" w:rsidP="00281CD1">
      <w:pPr>
        <w:jc w:val="both"/>
        <w:rPr>
          <w:rFonts w:ascii="Abadi" w:hAnsi="Abadi"/>
          <w:b/>
          <w:bCs/>
          <w:sz w:val="21"/>
          <w:szCs w:val="21"/>
        </w:rPr>
      </w:pPr>
      <w:r w:rsidRPr="0030088F">
        <w:rPr>
          <w:rFonts w:ascii="Abadi" w:hAnsi="Abadi"/>
          <w:b/>
          <w:bCs/>
          <w:sz w:val="21"/>
          <w:szCs w:val="21"/>
        </w:rPr>
        <w:t xml:space="preserve"> (se cierra el sistema electrónico)</w:t>
      </w:r>
    </w:p>
    <w:p w14:paraId="7D5C29C6" w14:textId="77777777" w:rsidR="00281CD1" w:rsidRPr="0030088F" w:rsidRDefault="00281CD1" w:rsidP="00281CD1">
      <w:pPr>
        <w:jc w:val="both"/>
        <w:rPr>
          <w:rFonts w:ascii="Abadi" w:hAnsi="Abadi"/>
          <w:sz w:val="21"/>
          <w:szCs w:val="21"/>
        </w:rPr>
      </w:pPr>
    </w:p>
    <w:p w14:paraId="53BB81EC" w14:textId="77777777" w:rsidR="00281CD1" w:rsidRPr="0030088F" w:rsidRDefault="00281CD1" w:rsidP="00281CD1">
      <w:pPr>
        <w:jc w:val="both"/>
        <w:rPr>
          <w:rFonts w:ascii="Abadi" w:hAnsi="Abadi"/>
          <w:sz w:val="21"/>
          <w:szCs w:val="21"/>
        </w:rPr>
      </w:pPr>
      <w:r w:rsidRPr="0030088F">
        <w:rPr>
          <w:rFonts w:ascii="Abadi" w:hAnsi="Abadi"/>
          <w:noProof/>
          <w:sz w:val="21"/>
          <w:szCs w:val="21"/>
        </w:rPr>
        <w:drawing>
          <wp:inline distT="0" distB="0" distL="0" distR="0" wp14:anchorId="5A56E29D" wp14:editId="204CAB56">
            <wp:extent cx="1549994" cy="790575"/>
            <wp:effectExtent l="247650" t="247650" r="241300" b="238125"/>
            <wp:docPr id="1660834891" name="Imagen 1660834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834891" name=""/>
                    <pic:cNvPicPr/>
                  </pic:nvPicPr>
                  <pic:blipFill rotWithShape="1">
                    <a:blip r:embed="rId36"/>
                    <a:srcRect b="9281"/>
                    <a:stretch/>
                  </pic:blipFill>
                  <pic:spPr bwMode="auto">
                    <a:xfrm>
                      <a:off x="0" y="0"/>
                      <a:ext cx="1561093" cy="796236"/>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r w:rsidRPr="0030088F">
        <w:rPr>
          <w:rFonts w:ascii="Abadi" w:hAnsi="Abadi"/>
          <w:sz w:val="21"/>
          <w:szCs w:val="21"/>
        </w:rPr>
        <w:t xml:space="preserve"> </w:t>
      </w:r>
    </w:p>
    <w:p w14:paraId="5B741146" w14:textId="77777777" w:rsidR="00281CD1" w:rsidRPr="0030088F" w:rsidRDefault="00281CD1" w:rsidP="00281CD1">
      <w:pPr>
        <w:jc w:val="both"/>
        <w:rPr>
          <w:rFonts w:ascii="Abadi" w:hAnsi="Abadi"/>
          <w:sz w:val="21"/>
          <w:szCs w:val="21"/>
        </w:rPr>
      </w:pPr>
    </w:p>
    <w:p w14:paraId="0EC7A2C5"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Presidenta le informó que se han registrado 34 votos a favor 0 votos en contra. </w:t>
      </w:r>
    </w:p>
    <w:p w14:paraId="4D84CA5B" w14:textId="77777777" w:rsidR="00A74F7C" w:rsidRPr="0030088F" w:rsidRDefault="00A74F7C" w:rsidP="00281CD1">
      <w:pPr>
        <w:ind w:firstLine="708"/>
        <w:jc w:val="both"/>
        <w:rPr>
          <w:rFonts w:ascii="Abadi" w:hAnsi="Abadi"/>
          <w:sz w:val="21"/>
          <w:szCs w:val="21"/>
        </w:rPr>
      </w:pPr>
    </w:p>
    <w:p w14:paraId="1BBC081B"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La obvia resolución ha sido aprobada por unanimidad de votos.</w:t>
      </w:r>
    </w:p>
    <w:p w14:paraId="187B8032" w14:textId="77777777" w:rsidR="00A74F7C" w:rsidRPr="0030088F" w:rsidRDefault="00A74F7C" w:rsidP="00281CD1">
      <w:pPr>
        <w:ind w:firstLine="708"/>
        <w:jc w:val="both"/>
        <w:rPr>
          <w:rFonts w:ascii="Abadi" w:hAnsi="Abadi"/>
          <w:sz w:val="21"/>
          <w:szCs w:val="21"/>
        </w:rPr>
      </w:pPr>
    </w:p>
    <w:p w14:paraId="178FB18D" w14:textId="77777777" w:rsidR="00281CD1" w:rsidRDefault="00281CD1" w:rsidP="00281CD1">
      <w:pPr>
        <w:ind w:firstLine="708"/>
        <w:jc w:val="both"/>
        <w:rPr>
          <w:rFonts w:ascii="Abadi" w:hAnsi="Abadi"/>
          <w:sz w:val="21"/>
          <w:szCs w:val="21"/>
        </w:rPr>
      </w:pPr>
      <w:r w:rsidRPr="0030088F">
        <w:rPr>
          <w:rFonts w:ascii="Abadi" w:hAnsi="Abadi"/>
          <w:sz w:val="21"/>
          <w:szCs w:val="21"/>
        </w:rPr>
        <w:t xml:space="preserve">- En consecuencia se somete a discusión en lo general el punto de acuerdo si desean hacer uso de la palabra a favor en contra sírvanse manifestarlo pasando el sentido de su participación. No habiendo participaciones se instruye a la secretaría para </w:t>
      </w:r>
      <w:r w:rsidRPr="0030088F">
        <w:rPr>
          <w:rFonts w:ascii="Abadi" w:hAnsi="Abadi"/>
          <w:sz w:val="21"/>
          <w:szCs w:val="21"/>
        </w:rPr>
        <w:t>que en votación nominal a través del sistema electrónico pregunta a la Asamblea si es de aprobarse o no el punto de acuerdo en lo general.</w:t>
      </w:r>
    </w:p>
    <w:p w14:paraId="1520F272" w14:textId="77777777" w:rsidR="00A74F7C" w:rsidRPr="0030088F" w:rsidRDefault="00A74F7C" w:rsidP="00281CD1">
      <w:pPr>
        <w:ind w:firstLine="708"/>
        <w:jc w:val="both"/>
        <w:rPr>
          <w:rFonts w:ascii="Abadi" w:hAnsi="Abadi"/>
          <w:sz w:val="21"/>
          <w:szCs w:val="21"/>
        </w:rPr>
      </w:pPr>
    </w:p>
    <w:p w14:paraId="7E9B3B78" w14:textId="77777777" w:rsidR="00281CD1" w:rsidRDefault="00281CD1" w:rsidP="00281CD1">
      <w:pPr>
        <w:ind w:firstLine="708"/>
        <w:jc w:val="both"/>
        <w:rPr>
          <w:rFonts w:ascii="Abadi" w:hAnsi="Abadi"/>
          <w:b/>
          <w:bCs/>
          <w:sz w:val="21"/>
          <w:szCs w:val="21"/>
        </w:rPr>
      </w:pPr>
      <w:r w:rsidRPr="0030088F">
        <w:rPr>
          <w:rFonts w:ascii="Abadi" w:hAnsi="Abadi"/>
          <w:b/>
          <w:bCs/>
          <w:sz w:val="21"/>
          <w:szCs w:val="21"/>
        </w:rPr>
        <w:t>(se abre el sistema electrónico)</w:t>
      </w:r>
    </w:p>
    <w:p w14:paraId="403451D6" w14:textId="77777777" w:rsidR="00A74F7C" w:rsidRPr="0030088F" w:rsidRDefault="00A74F7C" w:rsidP="00281CD1">
      <w:pPr>
        <w:ind w:firstLine="708"/>
        <w:jc w:val="both"/>
        <w:rPr>
          <w:rFonts w:ascii="Abadi" w:hAnsi="Abadi"/>
          <w:b/>
          <w:bCs/>
          <w:sz w:val="21"/>
          <w:szCs w:val="21"/>
        </w:rPr>
      </w:pPr>
    </w:p>
    <w:p w14:paraId="24457537"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b/>
          <w:bCs/>
          <w:sz w:val="21"/>
          <w:szCs w:val="21"/>
        </w:rPr>
        <w:t xml:space="preserve"> </w:t>
      </w:r>
      <w:r w:rsidRPr="0030088F">
        <w:rPr>
          <w:rFonts w:ascii="Abadi" w:hAnsi="Abadi"/>
          <w:sz w:val="21"/>
          <w:szCs w:val="21"/>
        </w:rPr>
        <w:t xml:space="preserve">En votación nominal y por el sistema electrónico se les pregunta si se aprueba en lo general el punto de acuerdo que se pone a su consideración. </w:t>
      </w:r>
    </w:p>
    <w:p w14:paraId="1C11EAFF" w14:textId="77777777" w:rsidR="00A74F7C" w:rsidRPr="0030088F" w:rsidRDefault="00A74F7C" w:rsidP="00281CD1">
      <w:pPr>
        <w:ind w:firstLine="708"/>
        <w:jc w:val="both"/>
        <w:rPr>
          <w:rFonts w:ascii="Abadi" w:hAnsi="Abadi"/>
          <w:sz w:val="21"/>
          <w:szCs w:val="21"/>
        </w:rPr>
      </w:pPr>
    </w:p>
    <w:p w14:paraId="17AE73F5" w14:textId="77777777" w:rsidR="00281CD1" w:rsidRDefault="00281CD1" w:rsidP="00281CD1">
      <w:pPr>
        <w:ind w:firstLine="708"/>
        <w:jc w:val="both"/>
        <w:rPr>
          <w:rFonts w:ascii="Abadi" w:hAnsi="Abadi"/>
          <w:sz w:val="21"/>
          <w:szCs w:val="21"/>
        </w:rPr>
      </w:pPr>
      <w:r w:rsidRPr="0030088F">
        <w:rPr>
          <w:rFonts w:ascii="Abadi" w:hAnsi="Abadi"/>
          <w:sz w:val="21"/>
          <w:szCs w:val="21"/>
        </w:rPr>
        <w:t>¿falta alguna diputada o diputado por emitir su voto?</w:t>
      </w:r>
    </w:p>
    <w:p w14:paraId="64CE69D4" w14:textId="041B14BB" w:rsidR="00A74F7C" w:rsidRPr="0030088F" w:rsidRDefault="00A74F7C" w:rsidP="00281CD1">
      <w:pPr>
        <w:ind w:firstLine="708"/>
        <w:jc w:val="both"/>
        <w:rPr>
          <w:rFonts w:ascii="Abadi" w:hAnsi="Abadi"/>
          <w:sz w:val="21"/>
          <w:szCs w:val="21"/>
        </w:rPr>
      </w:pPr>
    </w:p>
    <w:p w14:paraId="1AA34198" w14:textId="3DDEE934" w:rsidR="00281CD1" w:rsidRPr="0030088F" w:rsidRDefault="00281CD1" w:rsidP="00281CD1">
      <w:pPr>
        <w:ind w:firstLine="708"/>
        <w:jc w:val="both"/>
        <w:rPr>
          <w:rFonts w:ascii="Abadi" w:hAnsi="Abadi"/>
          <w:sz w:val="21"/>
          <w:szCs w:val="21"/>
        </w:rPr>
      </w:pPr>
      <w:r w:rsidRPr="0030088F">
        <w:rPr>
          <w:rFonts w:ascii="Abadi" w:hAnsi="Abadi"/>
          <w:b/>
          <w:bCs/>
          <w:sz w:val="21"/>
          <w:szCs w:val="21"/>
        </w:rPr>
        <w:t>(se cierra el sistema electrónico)</w:t>
      </w:r>
      <w:r w:rsidRPr="0030088F">
        <w:rPr>
          <w:rFonts w:ascii="Abadi" w:hAnsi="Abadi"/>
          <w:sz w:val="21"/>
          <w:szCs w:val="21"/>
        </w:rPr>
        <w:t xml:space="preserve"> </w:t>
      </w:r>
    </w:p>
    <w:p w14:paraId="0418118E" w14:textId="2BA5551F" w:rsidR="00281CD1" w:rsidRPr="0030088F" w:rsidRDefault="00A74F7C" w:rsidP="00281CD1">
      <w:pPr>
        <w:ind w:firstLine="708"/>
        <w:jc w:val="both"/>
        <w:rPr>
          <w:rFonts w:ascii="Abadi" w:hAnsi="Abadi"/>
          <w:sz w:val="21"/>
          <w:szCs w:val="21"/>
        </w:rPr>
      </w:pPr>
      <w:r w:rsidRPr="0030088F">
        <w:rPr>
          <w:rFonts w:ascii="Abadi" w:hAnsi="Abadi"/>
          <w:noProof/>
          <w:sz w:val="21"/>
          <w:szCs w:val="21"/>
        </w:rPr>
        <w:drawing>
          <wp:anchor distT="0" distB="0" distL="114300" distR="114300" simplePos="0" relativeHeight="251658257" behindDoc="1" locked="0" layoutInCell="1" allowOverlap="1" wp14:anchorId="0EE4B2FB" wp14:editId="22A0B772">
            <wp:simplePos x="0" y="0"/>
            <wp:positionH relativeFrom="margin">
              <wp:posOffset>537845</wp:posOffset>
            </wp:positionH>
            <wp:positionV relativeFrom="paragraph">
              <wp:posOffset>448310</wp:posOffset>
            </wp:positionV>
            <wp:extent cx="1695450" cy="861695"/>
            <wp:effectExtent l="247650" t="247650" r="247650" b="243205"/>
            <wp:wrapTight wrapText="bothSides">
              <wp:wrapPolygon edited="0">
                <wp:start x="-1942" y="-6208"/>
                <wp:lineTo x="-3155" y="-5253"/>
                <wp:lineTo x="-2912" y="25309"/>
                <wp:lineTo x="-1942" y="27219"/>
                <wp:lineTo x="23299" y="27219"/>
                <wp:lineTo x="24270" y="25309"/>
                <wp:lineTo x="24512" y="2388"/>
                <wp:lineTo x="23299" y="-4775"/>
                <wp:lineTo x="23299" y="-6208"/>
                <wp:lineTo x="-1942" y="-6208"/>
              </wp:wrapPolygon>
            </wp:wrapTight>
            <wp:docPr id="1925061927" name="Imagen 1925061927"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61927" name="Imagen 1" descr="Interfaz de usuario gráfica, Texto&#10;&#10;Descripción generada automáticamente"/>
                    <pic:cNvPicPr/>
                  </pic:nvPicPr>
                  <pic:blipFill rotWithShape="1">
                    <a:blip r:embed="rId37" cstate="print">
                      <a:extLst>
                        <a:ext uri="{28A0092B-C50C-407E-A947-70E740481C1C}">
                          <a14:useLocalDpi xmlns:a14="http://schemas.microsoft.com/office/drawing/2010/main" val="0"/>
                        </a:ext>
                      </a:extLst>
                    </a:blip>
                    <a:srcRect b="9533"/>
                    <a:stretch/>
                  </pic:blipFill>
                  <pic:spPr bwMode="auto">
                    <a:xfrm>
                      <a:off x="0" y="0"/>
                      <a:ext cx="1695450" cy="86169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6623F1" w14:textId="77777777" w:rsidR="00281CD1" w:rsidRPr="0030088F" w:rsidRDefault="00281CD1" w:rsidP="00281CD1">
      <w:pPr>
        <w:ind w:firstLine="708"/>
        <w:jc w:val="both"/>
        <w:rPr>
          <w:rFonts w:ascii="Abadi" w:hAnsi="Abadi"/>
          <w:sz w:val="21"/>
          <w:szCs w:val="21"/>
        </w:rPr>
      </w:pPr>
    </w:p>
    <w:p w14:paraId="2B7DA699"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w:t>
      </w:r>
      <w:r>
        <w:rPr>
          <w:rFonts w:ascii="Abadi" w:hAnsi="Abadi"/>
          <w:sz w:val="21"/>
          <w:szCs w:val="21"/>
        </w:rPr>
        <w:t>D</w:t>
      </w:r>
      <w:r w:rsidRPr="0030088F">
        <w:rPr>
          <w:rFonts w:ascii="Abadi" w:hAnsi="Abadi"/>
          <w:sz w:val="21"/>
          <w:szCs w:val="21"/>
        </w:rPr>
        <w:t xml:space="preserve">iputado Miguel Ángel Salim </w:t>
      </w:r>
      <w:proofErr w:type="spellStart"/>
      <w:r w:rsidRPr="0030088F">
        <w:rPr>
          <w:rFonts w:ascii="Abadi" w:hAnsi="Abadi"/>
          <w:sz w:val="21"/>
          <w:szCs w:val="21"/>
        </w:rPr>
        <w:t>Alle</w:t>
      </w:r>
      <w:proofErr w:type="spellEnd"/>
      <w:r w:rsidRPr="0030088F">
        <w:rPr>
          <w:rFonts w:ascii="Abadi" w:hAnsi="Abadi"/>
          <w:sz w:val="21"/>
          <w:szCs w:val="21"/>
        </w:rPr>
        <w:t xml:space="preserve">? ¿para qué me efeto? </w:t>
      </w:r>
      <w:r w:rsidRPr="00437915">
        <w:rPr>
          <w:rFonts w:ascii="Abadi" w:hAnsi="Abadi"/>
          <w:b/>
          <w:bCs/>
          <w:sz w:val="21"/>
          <w:szCs w:val="21"/>
        </w:rPr>
        <w:t xml:space="preserve">(Voz) diputado Miguel Ángel Salim </w:t>
      </w:r>
      <w:proofErr w:type="spellStart"/>
      <w:r w:rsidRPr="00437915">
        <w:rPr>
          <w:rFonts w:ascii="Abadi" w:hAnsi="Abadi"/>
          <w:b/>
          <w:bCs/>
          <w:sz w:val="21"/>
          <w:szCs w:val="21"/>
        </w:rPr>
        <w:t>Alle</w:t>
      </w:r>
      <w:proofErr w:type="spellEnd"/>
      <w:r w:rsidRPr="00437915">
        <w:rPr>
          <w:rFonts w:ascii="Abadi" w:hAnsi="Abadi"/>
          <w:b/>
          <w:bCs/>
          <w:sz w:val="21"/>
          <w:szCs w:val="21"/>
        </w:rPr>
        <w:t>,</w:t>
      </w:r>
      <w:r w:rsidRPr="0030088F">
        <w:rPr>
          <w:rFonts w:ascii="Abadi" w:hAnsi="Abadi"/>
          <w:sz w:val="21"/>
          <w:szCs w:val="21"/>
        </w:rPr>
        <w:t xml:space="preserve"> si presidenta, para razonar mi voto. </w:t>
      </w:r>
    </w:p>
    <w:p w14:paraId="096D8C43" w14:textId="77777777" w:rsidR="00A74F7C" w:rsidRPr="0030088F" w:rsidRDefault="00A74F7C" w:rsidP="00281CD1">
      <w:pPr>
        <w:ind w:firstLine="708"/>
        <w:jc w:val="both"/>
        <w:rPr>
          <w:rFonts w:ascii="Abadi" w:hAnsi="Abadi"/>
          <w:sz w:val="21"/>
          <w:szCs w:val="21"/>
        </w:rPr>
      </w:pPr>
    </w:p>
    <w:p w14:paraId="0E6D1174" w14:textId="77777777" w:rsidR="00281CD1" w:rsidRPr="0030088F" w:rsidRDefault="00281CD1" w:rsidP="00281CD1">
      <w:pPr>
        <w:pStyle w:val="Prrafodelista"/>
        <w:numPr>
          <w:ilvl w:val="0"/>
          <w:numId w:val="126"/>
        </w:numPr>
        <w:spacing w:after="160" w:line="259" w:lineRule="auto"/>
        <w:contextualSpacing/>
        <w:jc w:val="both"/>
        <w:rPr>
          <w:rFonts w:ascii="Abadi" w:hAnsi="Abadi"/>
          <w:sz w:val="21"/>
          <w:szCs w:val="21"/>
        </w:rPr>
      </w:pPr>
      <w:r w:rsidRPr="0030088F">
        <w:rPr>
          <w:rFonts w:ascii="Abadi" w:hAnsi="Abadi"/>
          <w:sz w:val="21"/>
          <w:szCs w:val="21"/>
        </w:rPr>
        <w:t xml:space="preserve">Adelante diputado tiene hasta 3 minutos. </w:t>
      </w:r>
    </w:p>
    <w:p w14:paraId="094348C4" w14:textId="77777777" w:rsidR="00281CD1" w:rsidRDefault="00281CD1" w:rsidP="00281CD1">
      <w:pPr>
        <w:jc w:val="both"/>
        <w:rPr>
          <w:rFonts w:ascii="Abadi" w:hAnsi="Abadi"/>
          <w:b/>
          <w:bCs/>
          <w:sz w:val="21"/>
          <w:szCs w:val="21"/>
        </w:rPr>
      </w:pPr>
      <w:r w:rsidRPr="0030088F">
        <w:rPr>
          <w:rFonts w:ascii="Abadi" w:hAnsi="Abadi"/>
          <w:b/>
          <w:bCs/>
          <w:sz w:val="21"/>
          <w:szCs w:val="21"/>
        </w:rPr>
        <w:t xml:space="preserve">(Hace uso de la voz el diputado Miguel Ángel Salim </w:t>
      </w:r>
      <w:proofErr w:type="spellStart"/>
      <w:r w:rsidRPr="0030088F">
        <w:rPr>
          <w:rFonts w:ascii="Abadi" w:hAnsi="Abadi"/>
          <w:b/>
          <w:bCs/>
          <w:sz w:val="21"/>
          <w:szCs w:val="21"/>
        </w:rPr>
        <w:t>Alle</w:t>
      </w:r>
      <w:proofErr w:type="spellEnd"/>
      <w:r w:rsidRPr="0030088F">
        <w:rPr>
          <w:rFonts w:ascii="Abadi" w:hAnsi="Abadi"/>
          <w:b/>
          <w:bCs/>
          <w:sz w:val="21"/>
          <w:szCs w:val="21"/>
        </w:rPr>
        <w:t>, para razonar su voto)</w:t>
      </w:r>
    </w:p>
    <w:p w14:paraId="0B8013C2" w14:textId="77777777" w:rsidR="00A74F7C" w:rsidRPr="0030088F" w:rsidRDefault="00A74F7C" w:rsidP="00281CD1">
      <w:pPr>
        <w:jc w:val="both"/>
        <w:rPr>
          <w:rFonts w:ascii="Abadi" w:hAnsi="Abadi"/>
          <w:b/>
          <w:bCs/>
          <w:sz w:val="21"/>
          <w:szCs w:val="21"/>
        </w:rPr>
      </w:pPr>
    </w:p>
    <w:p w14:paraId="754B2E76" w14:textId="77777777" w:rsidR="00281CD1" w:rsidRDefault="00281CD1" w:rsidP="00281CD1">
      <w:pPr>
        <w:jc w:val="both"/>
        <w:rPr>
          <w:rFonts w:ascii="Abadi" w:hAnsi="Abadi"/>
          <w:sz w:val="21"/>
          <w:szCs w:val="21"/>
        </w:rPr>
      </w:pPr>
      <w:r w:rsidRPr="0030088F">
        <w:rPr>
          <w:rFonts w:ascii="Abadi" w:hAnsi="Abadi"/>
          <w:sz w:val="21"/>
          <w:szCs w:val="21"/>
        </w:rPr>
        <w:t xml:space="preserve">- Gracias el Grupo de Acción Nacional, está totalmente a favor de este  punto de acuerdo, de la propuesta del diputado David, creemos que la justicia en este país </w:t>
      </w:r>
      <w:r>
        <w:rPr>
          <w:rFonts w:ascii="Abadi" w:hAnsi="Abadi"/>
          <w:sz w:val="21"/>
          <w:szCs w:val="21"/>
        </w:rPr>
        <w:t xml:space="preserve">siempre </w:t>
      </w:r>
      <w:r w:rsidRPr="0030088F">
        <w:rPr>
          <w:rFonts w:ascii="Abadi" w:hAnsi="Abadi"/>
          <w:sz w:val="21"/>
          <w:szCs w:val="21"/>
        </w:rPr>
        <w:t>tiene que ser la parte más importante, de las familias, por eso el  Grupo Parlamentario de Acción Nacional está de acuerdo</w:t>
      </w:r>
      <w:r>
        <w:rPr>
          <w:rFonts w:ascii="Abadi" w:hAnsi="Abadi"/>
          <w:sz w:val="21"/>
          <w:szCs w:val="21"/>
        </w:rPr>
        <w:t>,</w:t>
      </w:r>
      <w:r w:rsidRPr="0030088F">
        <w:rPr>
          <w:rFonts w:ascii="Abadi" w:hAnsi="Abadi"/>
          <w:sz w:val="21"/>
          <w:szCs w:val="21"/>
        </w:rPr>
        <w:t xml:space="preserve"> con esta punto de acuerdo y le decimos también a diputado David igualmente de parte de Acción Nacional estamos con la familia y evidentemente con Pedro Francisco, eh, nuestro apoyo y solidaridad creemos que debemos estar y seguir luchando por este punto. </w:t>
      </w:r>
    </w:p>
    <w:p w14:paraId="5C50DA97" w14:textId="77777777" w:rsidR="00A74F7C" w:rsidRPr="0030088F" w:rsidRDefault="00A74F7C" w:rsidP="00281CD1">
      <w:pPr>
        <w:jc w:val="both"/>
        <w:rPr>
          <w:rFonts w:ascii="Abadi" w:hAnsi="Abadi"/>
          <w:sz w:val="21"/>
          <w:szCs w:val="21"/>
        </w:rPr>
      </w:pPr>
    </w:p>
    <w:p w14:paraId="60426BF6" w14:textId="77777777" w:rsidR="00281CD1" w:rsidRDefault="00281CD1" w:rsidP="00281CD1">
      <w:pPr>
        <w:ind w:firstLine="708"/>
        <w:jc w:val="both"/>
        <w:rPr>
          <w:rFonts w:ascii="Abadi" w:hAnsi="Abadi"/>
          <w:sz w:val="21"/>
          <w:szCs w:val="21"/>
        </w:rPr>
      </w:pPr>
      <w:r w:rsidRPr="0030088F">
        <w:rPr>
          <w:rFonts w:ascii="Abadi" w:hAnsi="Abadi"/>
          <w:sz w:val="21"/>
          <w:szCs w:val="21"/>
        </w:rPr>
        <w:t>- Muchas gracias president</w:t>
      </w:r>
      <w:r>
        <w:rPr>
          <w:rFonts w:ascii="Abadi" w:hAnsi="Abadi"/>
          <w:sz w:val="21"/>
          <w:szCs w:val="21"/>
        </w:rPr>
        <w:t>a</w:t>
      </w:r>
      <w:r w:rsidRPr="0030088F">
        <w:rPr>
          <w:rFonts w:ascii="Abadi" w:hAnsi="Abadi"/>
          <w:sz w:val="21"/>
          <w:szCs w:val="21"/>
        </w:rPr>
        <w:t xml:space="preserve">. </w:t>
      </w:r>
    </w:p>
    <w:p w14:paraId="0CCDA343" w14:textId="77777777" w:rsidR="00A74F7C" w:rsidRPr="0030088F" w:rsidRDefault="00A74F7C" w:rsidP="00281CD1">
      <w:pPr>
        <w:ind w:firstLine="708"/>
        <w:jc w:val="both"/>
        <w:rPr>
          <w:rFonts w:ascii="Abadi" w:hAnsi="Abadi"/>
          <w:sz w:val="21"/>
          <w:szCs w:val="21"/>
        </w:rPr>
      </w:pPr>
    </w:p>
    <w:p w14:paraId="6F34A963" w14:textId="47FD042D"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diputado se asientan al acta de conformidad al artículo 202 en nuestra Ley orgánica</w:t>
      </w:r>
      <w:r w:rsidR="00A74F7C">
        <w:rPr>
          <w:rFonts w:ascii="Abadi" w:hAnsi="Abadi"/>
          <w:sz w:val="21"/>
          <w:szCs w:val="21"/>
        </w:rPr>
        <w:t>.</w:t>
      </w:r>
    </w:p>
    <w:p w14:paraId="2780DD8F" w14:textId="77777777" w:rsidR="00A74F7C" w:rsidRPr="0030088F" w:rsidRDefault="00A74F7C" w:rsidP="00281CD1">
      <w:pPr>
        <w:ind w:firstLine="708"/>
        <w:jc w:val="both"/>
        <w:rPr>
          <w:rFonts w:ascii="Abadi" w:hAnsi="Abadi"/>
          <w:sz w:val="21"/>
          <w:szCs w:val="21"/>
        </w:rPr>
      </w:pPr>
    </w:p>
    <w:p w14:paraId="52531FD1" w14:textId="77777777" w:rsidR="00281CD1" w:rsidRPr="0030088F" w:rsidRDefault="00281CD1" w:rsidP="00281CD1">
      <w:pPr>
        <w:pStyle w:val="Prrafodelista"/>
        <w:numPr>
          <w:ilvl w:val="0"/>
          <w:numId w:val="125"/>
        </w:numPr>
        <w:spacing w:after="160" w:line="259" w:lineRule="auto"/>
        <w:ind w:left="426"/>
        <w:contextualSpacing/>
        <w:jc w:val="both"/>
        <w:rPr>
          <w:rFonts w:ascii="Abadi" w:hAnsi="Abadi"/>
          <w:sz w:val="21"/>
          <w:szCs w:val="21"/>
        </w:rPr>
      </w:pPr>
      <w:r>
        <w:rPr>
          <w:rFonts w:ascii="Abadi" w:hAnsi="Abadi"/>
          <w:b/>
          <w:bCs/>
          <w:sz w:val="21"/>
          <w:szCs w:val="21"/>
        </w:rPr>
        <w:tab/>
      </w:r>
      <w:r w:rsidRPr="0030088F">
        <w:rPr>
          <w:rFonts w:ascii="Abadi" w:hAnsi="Abadi"/>
          <w:b/>
          <w:bCs/>
          <w:sz w:val="21"/>
          <w:szCs w:val="21"/>
        </w:rPr>
        <w:t xml:space="preserve">La </w:t>
      </w:r>
      <w:proofErr w:type="gramStart"/>
      <w:r w:rsidRPr="0030088F">
        <w:rPr>
          <w:rFonts w:ascii="Abadi" w:hAnsi="Abadi"/>
          <w:b/>
          <w:bCs/>
          <w:sz w:val="21"/>
          <w:szCs w:val="21"/>
        </w:rPr>
        <w:t>Secretaría.-</w:t>
      </w:r>
      <w:proofErr w:type="gramEnd"/>
      <w:r w:rsidRPr="0030088F">
        <w:rPr>
          <w:rFonts w:ascii="Abadi" w:hAnsi="Abadi"/>
          <w:sz w:val="21"/>
          <w:szCs w:val="21"/>
        </w:rPr>
        <w:t xml:space="preserve"> Presidenta le informó que se han registrado 34 votos a favor 0 votos en contra. </w:t>
      </w:r>
    </w:p>
    <w:p w14:paraId="59F881A5" w14:textId="77777777" w:rsidR="00281CD1" w:rsidRDefault="00281CD1" w:rsidP="00281CD1">
      <w:pPr>
        <w:jc w:val="both"/>
        <w:rPr>
          <w:rFonts w:ascii="Abadi" w:hAnsi="Abadi"/>
          <w:sz w:val="21"/>
          <w:szCs w:val="21"/>
        </w:rPr>
      </w:pPr>
      <w:r w:rsidRPr="0030088F">
        <w:rPr>
          <w:rFonts w:ascii="Abadi" w:hAnsi="Abadi"/>
          <w:sz w:val="21"/>
          <w:szCs w:val="21"/>
        </w:rPr>
        <w:t xml:space="preserve"> </w:t>
      </w:r>
      <w:r w:rsidRPr="0030088F">
        <w:rPr>
          <w:rFonts w:ascii="Abadi" w:hAnsi="Abadi"/>
          <w:sz w:val="21"/>
          <w:szCs w:val="21"/>
        </w:rPr>
        <w:tab/>
      </w:r>
      <w:r w:rsidRPr="0030088F">
        <w:rPr>
          <w:rFonts w:ascii="Abadi" w:hAnsi="Abadi"/>
          <w:b/>
          <w:bCs/>
          <w:sz w:val="21"/>
          <w:szCs w:val="21"/>
        </w:rPr>
        <w:t xml:space="preserve"> - La </w:t>
      </w:r>
      <w:proofErr w:type="gramStart"/>
      <w:r w:rsidRPr="0030088F">
        <w:rPr>
          <w:rFonts w:ascii="Abadi" w:hAnsi="Abadi"/>
          <w:b/>
          <w:bCs/>
          <w:sz w:val="21"/>
          <w:szCs w:val="21"/>
        </w:rPr>
        <w:t>Presidencia.-</w:t>
      </w:r>
      <w:proofErr w:type="gramEnd"/>
      <w:r w:rsidRPr="0030088F">
        <w:rPr>
          <w:rFonts w:ascii="Abadi" w:hAnsi="Abadi"/>
          <w:sz w:val="21"/>
          <w:szCs w:val="21"/>
        </w:rPr>
        <w:t xml:space="preserve"> El punto de acuerdo ha sido aprobado en lo general por unanimidad de votos. </w:t>
      </w:r>
    </w:p>
    <w:p w14:paraId="15C4BAF9" w14:textId="77777777" w:rsidR="00A74F7C" w:rsidRPr="0030088F" w:rsidRDefault="00A74F7C" w:rsidP="00281CD1">
      <w:pPr>
        <w:jc w:val="both"/>
        <w:rPr>
          <w:rFonts w:ascii="Abadi" w:hAnsi="Abadi"/>
          <w:sz w:val="21"/>
          <w:szCs w:val="21"/>
        </w:rPr>
      </w:pPr>
    </w:p>
    <w:p w14:paraId="2D928649" w14:textId="77777777" w:rsidR="00281CD1" w:rsidRDefault="00281CD1" w:rsidP="00281CD1">
      <w:pPr>
        <w:ind w:firstLine="708"/>
        <w:jc w:val="both"/>
        <w:rPr>
          <w:rFonts w:ascii="Abadi" w:hAnsi="Abadi"/>
          <w:sz w:val="21"/>
          <w:szCs w:val="21"/>
        </w:rPr>
      </w:pPr>
      <w:r w:rsidRPr="0030088F">
        <w:rPr>
          <w:rFonts w:ascii="Abadi" w:hAnsi="Abadi"/>
          <w:sz w:val="21"/>
          <w:szCs w:val="21"/>
        </w:rPr>
        <w:t xml:space="preserve">- Corresponde a someter a discusión el punto de acuerdo en lo particular. Si desean reservar cualquiera de los puntos que contiene sírvanse apartarlo en la inteligencia de que los puntos no reservados se tendrán por aprobados. </w:t>
      </w:r>
    </w:p>
    <w:p w14:paraId="455E5F14" w14:textId="77777777" w:rsidR="00A74F7C" w:rsidRPr="0030088F" w:rsidRDefault="00A74F7C" w:rsidP="00281CD1">
      <w:pPr>
        <w:ind w:firstLine="708"/>
        <w:jc w:val="both"/>
        <w:rPr>
          <w:rFonts w:ascii="Abadi" w:hAnsi="Abadi"/>
          <w:sz w:val="21"/>
          <w:szCs w:val="21"/>
        </w:rPr>
      </w:pPr>
    </w:p>
    <w:p w14:paraId="69367536" w14:textId="77777777" w:rsidR="00281CD1" w:rsidRDefault="00281CD1" w:rsidP="00281CD1">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Esta presidencia declara tener por aprobados los puntos contenidos en el punto de acuerdo</w:t>
      </w:r>
      <w:r>
        <w:rPr>
          <w:rFonts w:ascii="Abadi" w:hAnsi="Abadi"/>
          <w:sz w:val="21"/>
          <w:szCs w:val="21"/>
        </w:rPr>
        <w:t>.</w:t>
      </w:r>
    </w:p>
    <w:p w14:paraId="4F4FA8EB" w14:textId="77777777" w:rsidR="00A74F7C" w:rsidRDefault="00A74F7C" w:rsidP="00281CD1">
      <w:pPr>
        <w:ind w:firstLine="708"/>
        <w:jc w:val="both"/>
        <w:rPr>
          <w:rFonts w:ascii="Abadi" w:hAnsi="Abadi"/>
          <w:sz w:val="21"/>
          <w:szCs w:val="21"/>
        </w:rPr>
      </w:pPr>
    </w:p>
    <w:p w14:paraId="693B7886" w14:textId="77777777" w:rsidR="00281CD1" w:rsidRDefault="00281CD1" w:rsidP="00281CD1">
      <w:pPr>
        <w:ind w:left="851" w:right="1608"/>
        <w:jc w:val="both"/>
        <w:rPr>
          <w:rFonts w:ascii="Abadi" w:hAnsi="Abadi"/>
          <w:b/>
          <w:bCs/>
          <w:i/>
          <w:iCs/>
          <w:sz w:val="21"/>
          <w:szCs w:val="21"/>
          <w:u w:val="single"/>
        </w:rPr>
      </w:pPr>
      <w:r w:rsidRPr="005C1F8F">
        <w:rPr>
          <w:rFonts w:ascii="Abadi" w:hAnsi="Abadi"/>
          <w:b/>
          <w:bCs/>
          <w:i/>
          <w:iCs/>
          <w:sz w:val="21"/>
          <w:szCs w:val="21"/>
          <w:u w:val="single"/>
        </w:rPr>
        <w:t xml:space="preserve">En consecuencia remítase el acuerdo aprobado con sus consideraciones a la Secretaría de Gobierno del Estado de Guanajuato y a la Secretaría de Gobernación, así como la Procuraduría General de la de Justicia y el Poder Judicial del Estado de Tlaxcala para los efectos conducentes. </w:t>
      </w:r>
    </w:p>
    <w:p w14:paraId="7256BA19" w14:textId="77777777" w:rsidR="00A74F7C" w:rsidRPr="005C1F8F" w:rsidRDefault="00A74F7C" w:rsidP="00281CD1">
      <w:pPr>
        <w:ind w:left="851" w:right="1608"/>
        <w:jc w:val="both"/>
        <w:rPr>
          <w:rFonts w:ascii="Abadi" w:hAnsi="Abadi"/>
          <w:b/>
          <w:bCs/>
          <w:i/>
          <w:iCs/>
          <w:sz w:val="21"/>
          <w:szCs w:val="21"/>
          <w:u w:val="single"/>
        </w:rPr>
      </w:pPr>
    </w:p>
    <w:p w14:paraId="298B99B4" w14:textId="77777777" w:rsidR="00281CD1" w:rsidRDefault="00281CD1" w:rsidP="00281CD1">
      <w:pPr>
        <w:ind w:firstLine="708"/>
        <w:jc w:val="both"/>
        <w:rPr>
          <w:rFonts w:ascii="Abadi" w:hAnsi="Abadi"/>
          <w:sz w:val="21"/>
          <w:szCs w:val="21"/>
        </w:rPr>
      </w:pPr>
      <w:r w:rsidRPr="0030088F">
        <w:rPr>
          <w:rFonts w:ascii="Abadi" w:hAnsi="Abadi"/>
          <w:sz w:val="21"/>
          <w:szCs w:val="21"/>
        </w:rPr>
        <w:t>- Esta presidencia, da la más cordial bienvenida a alumnos de la Universidad de Guanajuato, Universidad Tecnológica del Norte de Guanajuato, Universidad Pedagógica Nacional Subsede Dolores Hidalgo, Universidad Autónoma de Chihuahua, Universidad SABES</w:t>
      </w:r>
      <w:r>
        <w:rPr>
          <w:rFonts w:ascii="Abadi" w:hAnsi="Abadi"/>
          <w:sz w:val="21"/>
          <w:szCs w:val="21"/>
        </w:rPr>
        <w:t>,</w:t>
      </w:r>
      <w:r w:rsidRPr="0030088F">
        <w:rPr>
          <w:rFonts w:ascii="Abadi" w:hAnsi="Abadi"/>
          <w:sz w:val="21"/>
          <w:szCs w:val="21"/>
        </w:rPr>
        <w:t xml:space="preserve"> Campus San Felipe invitados por la diputada Angélica Casillas Martínez, sean bienvenidos. </w:t>
      </w:r>
    </w:p>
    <w:p w14:paraId="7F6CF536" w14:textId="77777777" w:rsidR="00A74F7C" w:rsidRPr="0030088F" w:rsidRDefault="00A74F7C" w:rsidP="00281CD1">
      <w:pPr>
        <w:ind w:firstLine="708"/>
        <w:jc w:val="both"/>
        <w:rPr>
          <w:rFonts w:ascii="Abadi" w:hAnsi="Abadi"/>
          <w:sz w:val="21"/>
          <w:szCs w:val="21"/>
        </w:rPr>
      </w:pPr>
    </w:p>
    <w:p w14:paraId="6B944CE1" w14:textId="77777777" w:rsidR="00281CD1" w:rsidRPr="0030088F" w:rsidRDefault="00281CD1" w:rsidP="00281CD1">
      <w:pPr>
        <w:ind w:firstLine="708"/>
        <w:jc w:val="both"/>
        <w:rPr>
          <w:rFonts w:ascii="Abadi" w:hAnsi="Abadi"/>
          <w:sz w:val="21"/>
          <w:szCs w:val="21"/>
        </w:rPr>
      </w:pPr>
      <w:r w:rsidRPr="0030088F">
        <w:rPr>
          <w:rFonts w:ascii="Abadi" w:hAnsi="Abadi"/>
          <w:sz w:val="21"/>
          <w:szCs w:val="21"/>
        </w:rPr>
        <w:t>- Asimismo esta presidencia da la más cordial bienvenida a integrantes de la Empresa la Huertita del municipio de Salamanca invitados por el diputado Rolando Fortino Alcántara Rojas bienvenidos</w:t>
      </w:r>
      <w:r>
        <w:rPr>
          <w:rFonts w:ascii="Abadi" w:hAnsi="Abadi"/>
          <w:sz w:val="21"/>
          <w:szCs w:val="21"/>
        </w:rPr>
        <w:t>.</w:t>
      </w:r>
    </w:p>
    <w:p w14:paraId="638FF866" w14:textId="77777777" w:rsidR="003C5533" w:rsidRDefault="003C5533" w:rsidP="003C5533">
      <w:pPr>
        <w:pStyle w:val="Prrafodelista"/>
        <w:autoSpaceDE w:val="0"/>
        <w:autoSpaceDN w:val="0"/>
        <w:adjustRightInd w:val="0"/>
        <w:ind w:left="426"/>
        <w:contextualSpacing/>
        <w:jc w:val="both"/>
        <w:rPr>
          <w:rFonts w:ascii="Abadi" w:hAnsi="Abadi" w:cs="ArialMT"/>
          <w:b/>
          <w:bCs/>
          <w:sz w:val="21"/>
          <w:szCs w:val="21"/>
        </w:rPr>
      </w:pPr>
    </w:p>
    <w:p w14:paraId="41DA217F" w14:textId="7DB48D64" w:rsidR="00374533" w:rsidRPr="00A23DA0"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0A516A">
        <w:rPr>
          <w:rFonts w:ascii="Abadi" w:hAnsi="Abadi" w:cs="ArialMT"/>
          <w:b/>
          <w:bCs/>
          <w:sz w:val="21"/>
          <w:szCs w:val="21"/>
        </w:rPr>
        <w:t xml:space="preserve">PRESENTACIÓN DE LA PROPUESTA DE PUNTO DE ACUERDO DE OBVIA RESOLUCIÓN FORMULADA POR LA </w:t>
      </w:r>
      <w:r w:rsidRPr="000A516A">
        <w:rPr>
          <w:rFonts w:ascii="Abadi" w:hAnsi="Abadi" w:cs="ArialMT"/>
          <w:b/>
          <w:bCs/>
          <w:sz w:val="21"/>
          <w:szCs w:val="21"/>
        </w:rPr>
        <w:t>DIPUTADA HADES BERENICE AGUILAR</w:t>
      </w:r>
      <w:r w:rsidRPr="00A23DA0">
        <w:rPr>
          <w:rFonts w:ascii="Abadi" w:hAnsi="Abadi" w:cs="ArialMT"/>
          <w:b/>
          <w:bCs/>
          <w:sz w:val="21"/>
          <w:szCs w:val="21"/>
        </w:rPr>
        <w:t xml:space="preserve"> CASTILLO INTEGRANTE DEL GRUPO PARLAMENTARIO DEL PARTIDO MORENA A FIN DE INSTRUIR AL AUDITOR SUPERIOR DEL ESTADO DE GUANAJUATO PARA QUE ADICIONE AL PROGRAMA GENERAL DE FISCALIZACIÓN 2023 UNA AUDITORÍA FINANCIERA Y DE CUMPLIMIENTO AL PODER EJECUTIVO DEL ESTADO DE GUANAJUATO, A TRAVÉS DEL FIDESSEG Y, EN SU CASO, APROBACIÓN DE LA MISMA.</w:t>
      </w:r>
      <w:r w:rsidR="007D233F">
        <w:rPr>
          <w:rStyle w:val="Refdenotaalpie"/>
          <w:rFonts w:ascii="Abadi" w:hAnsi="Abadi" w:cs="ArialMT"/>
          <w:b/>
          <w:bCs/>
          <w:sz w:val="21"/>
          <w:szCs w:val="21"/>
        </w:rPr>
        <w:footnoteReference w:id="89"/>
      </w:r>
    </w:p>
    <w:p w14:paraId="6843E9B0" w14:textId="77777777" w:rsidR="00374533" w:rsidRDefault="00374533" w:rsidP="00BC1A65">
      <w:pPr>
        <w:autoSpaceDE w:val="0"/>
        <w:autoSpaceDN w:val="0"/>
        <w:adjustRightInd w:val="0"/>
        <w:jc w:val="both"/>
        <w:rPr>
          <w:rFonts w:ascii="Abadi" w:hAnsi="Abadi" w:cs="ArialMT"/>
          <w:b/>
          <w:bCs/>
          <w:sz w:val="21"/>
          <w:szCs w:val="21"/>
        </w:rPr>
      </w:pPr>
    </w:p>
    <w:p w14:paraId="6E82D496" w14:textId="77777777" w:rsidR="00AE3A84" w:rsidRDefault="00AE3A84" w:rsidP="00BC1A65">
      <w:pPr>
        <w:autoSpaceDE w:val="0"/>
        <w:autoSpaceDN w:val="0"/>
        <w:adjustRightInd w:val="0"/>
        <w:jc w:val="both"/>
        <w:rPr>
          <w:rFonts w:ascii="Abadi" w:hAnsi="Abadi" w:cs="ArialMT"/>
          <w:b/>
          <w:bCs/>
          <w:sz w:val="21"/>
          <w:szCs w:val="21"/>
        </w:rPr>
      </w:pPr>
    </w:p>
    <w:p w14:paraId="5CBC452F" w14:textId="77777777" w:rsidR="002231ED" w:rsidRPr="007E2700" w:rsidRDefault="002231ED" w:rsidP="009F6824">
      <w:pPr>
        <w:ind w:left="-5"/>
        <w:jc w:val="both"/>
        <w:rPr>
          <w:rFonts w:ascii="Abadi" w:hAnsi="Abadi"/>
          <w:sz w:val="21"/>
          <w:szCs w:val="21"/>
        </w:rPr>
      </w:pPr>
      <w:r w:rsidRPr="007E2700">
        <w:rPr>
          <w:rFonts w:ascii="Abadi" w:hAnsi="Abadi"/>
          <w:sz w:val="21"/>
          <w:szCs w:val="21"/>
        </w:rPr>
        <w:t xml:space="preserve">Diputada Laura Cristina Márquez Alcalá </w:t>
      </w:r>
    </w:p>
    <w:p w14:paraId="328FAEA7" w14:textId="77777777" w:rsidR="009F6824" w:rsidRDefault="002231ED" w:rsidP="009F6824">
      <w:pPr>
        <w:ind w:left="-5"/>
        <w:jc w:val="both"/>
        <w:rPr>
          <w:rFonts w:ascii="Abadi" w:hAnsi="Abadi"/>
          <w:sz w:val="21"/>
          <w:szCs w:val="21"/>
        </w:rPr>
      </w:pPr>
      <w:r w:rsidRPr="007E2700">
        <w:rPr>
          <w:rFonts w:ascii="Abadi" w:hAnsi="Abadi"/>
          <w:sz w:val="21"/>
          <w:szCs w:val="21"/>
        </w:rPr>
        <w:t>Presidenta del Congreso del Estado</w:t>
      </w:r>
    </w:p>
    <w:p w14:paraId="2E80A9A1" w14:textId="0BBED21F" w:rsidR="002231ED" w:rsidRDefault="002231ED" w:rsidP="009F6824">
      <w:pPr>
        <w:ind w:left="-5"/>
        <w:jc w:val="both"/>
        <w:rPr>
          <w:rFonts w:ascii="Abadi" w:hAnsi="Abadi"/>
          <w:sz w:val="21"/>
          <w:szCs w:val="21"/>
        </w:rPr>
      </w:pPr>
      <w:r w:rsidRPr="007E2700">
        <w:rPr>
          <w:rFonts w:ascii="Abadi" w:hAnsi="Abadi"/>
          <w:sz w:val="21"/>
          <w:szCs w:val="21"/>
        </w:rPr>
        <w:t xml:space="preserve">Libre y Soberano de Guanajuato LXV Legislatura Presente.  </w:t>
      </w:r>
    </w:p>
    <w:p w14:paraId="52A98E48" w14:textId="77777777" w:rsidR="0097295C" w:rsidRPr="007E2700" w:rsidRDefault="0097295C" w:rsidP="009F6824">
      <w:pPr>
        <w:ind w:left="-5"/>
        <w:jc w:val="both"/>
        <w:rPr>
          <w:rFonts w:ascii="Abadi" w:hAnsi="Abadi"/>
          <w:sz w:val="21"/>
          <w:szCs w:val="21"/>
        </w:rPr>
      </w:pPr>
    </w:p>
    <w:p w14:paraId="0B066FD9" w14:textId="3BFF3C6A" w:rsidR="002231ED" w:rsidRDefault="002231ED" w:rsidP="00650FAF">
      <w:pPr>
        <w:spacing w:after="293"/>
        <w:jc w:val="both"/>
        <w:rPr>
          <w:rFonts w:ascii="Abadi" w:hAnsi="Abadi"/>
          <w:sz w:val="21"/>
          <w:szCs w:val="21"/>
        </w:rPr>
      </w:pPr>
      <w:r w:rsidRPr="007E2700">
        <w:rPr>
          <w:rFonts w:ascii="Abadi" w:hAnsi="Abadi"/>
          <w:sz w:val="21"/>
          <w:szCs w:val="21"/>
        </w:rPr>
        <w:t xml:space="preserve"> Diputadas y diputados integrantes del Grupo Parlamentario de MORENA en la LXV Legislatura del Congreso del Estado Libre y Soberano de Guanajuato, con fundamento en lo dispuesto por el artículo 57 primer párrafo de la Constitución Política para el Estado de Guanajuato, así como el artículo 204 fracción III y 177 de la Ley Orgánica del Poder Legislativo del Estado de Guanajuato, nos permitimos poner a consideración de la Asamblea la siguiente propuesta de Punto de Acuerdo de urgente y obvia resolución, según las siguientes  </w:t>
      </w:r>
    </w:p>
    <w:p w14:paraId="2D7FA0E3" w14:textId="77777777" w:rsidR="009F6824" w:rsidRPr="007E2700" w:rsidRDefault="009F6824" w:rsidP="009F6824">
      <w:pPr>
        <w:ind w:left="-5"/>
        <w:jc w:val="both"/>
        <w:rPr>
          <w:rFonts w:ascii="Abadi" w:hAnsi="Abadi"/>
          <w:sz w:val="21"/>
          <w:szCs w:val="21"/>
        </w:rPr>
      </w:pPr>
    </w:p>
    <w:p w14:paraId="10FD85C4" w14:textId="77777777" w:rsidR="002231ED" w:rsidRDefault="002231ED" w:rsidP="009F6824">
      <w:pPr>
        <w:pStyle w:val="Ttulo1"/>
        <w:ind w:right="3"/>
        <w:jc w:val="both"/>
        <w:rPr>
          <w:rFonts w:ascii="Abadi" w:hAnsi="Abadi"/>
          <w:sz w:val="21"/>
          <w:szCs w:val="21"/>
        </w:rPr>
      </w:pPr>
      <w:r w:rsidRPr="007E2700">
        <w:rPr>
          <w:rFonts w:ascii="Abadi" w:hAnsi="Abadi"/>
          <w:sz w:val="21"/>
          <w:szCs w:val="21"/>
        </w:rPr>
        <w:t xml:space="preserve">CONSIDERACIONES </w:t>
      </w:r>
    </w:p>
    <w:p w14:paraId="6A27D542" w14:textId="77777777" w:rsidR="009F6824" w:rsidRPr="009F6824" w:rsidRDefault="009F6824" w:rsidP="009F6824"/>
    <w:p w14:paraId="690170F0" w14:textId="77777777" w:rsidR="002231ED" w:rsidRPr="007E2700" w:rsidRDefault="002231ED" w:rsidP="009F6824">
      <w:pPr>
        <w:spacing w:after="293"/>
        <w:ind w:left="-5"/>
        <w:jc w:val="both"/>
        <w:rPr>
          <w:rFonts w:ascii="Abadi" w:hAnsi="Abadi"/>
          <w:sz w:val="21"/>
          <w:szCs w:val="21"/>
        </w:rPr>
      </w:pPr>
      <w:r w:rsidRPr="007E2700">
        <w:rPr>
          <w:rFonts w:ascii="Abadi" w:hAnsi="Abadi"/>
          <w:sz w:val="21"/>
          <w:szCs w:val="21"/>
        </w:rPr>
        <w:t xml:space="preserve">1. FIDESSEG </w:t>
      </w:r>
    </w:p>
    <w:p w14:paraId="7756A4FD" w14:textId="77777777" w:rsidR="002231ED" w:rsidRPr="007E2700" w:rsidRDefault="002231ED" w:rsidP="009F6824">
      <w:pPr>
        <w:spacing w:after="405"/>
        <w:ind w:left="-5"/>
        <w:jc w:val="both"/>
        <w:rPr>
          <w:rFonts w:ascii="Abadi" w:hAnsi="Abadi"/>
          <w:sz w:val="21"/>
          <w:szCs w:val="21"/>
        </w:rPr>
      </w:pPr>
      <w:r w:rsidRPr="007E2700">
        <w:rPr>
          <w:rFonts w:ascii="Abadi" w:hAnsi="Abadi"/>
          <w:sz w:val="21"/>
          <w:szCs w:val="21"/>
        </w:rPr>
        <w:t>El Fideicomiso de Administración e Inversión para financiar obras, infraestructura, proyectos y acciones prioritarias en materia de Desarrollo Social y Seguridad Pública para el Estado de Guanajuato (FIDESSEG) fue autorizado en abril de 2019</w:t>
      </w:r>
      <w:r w:rsidRPr="007E2700">
        <w:rPr>
          <w:rFonts w:ascii="Abadi" w:hAnsi="Abadi"/>
          <w:sz w:val="21"/>
          <w:szCs w:val="21"/>
          <w:vertAlign w:val="superscript"/>
        </w:rPr>
        <w:footnoteReference w:id="90"/>
      </w:r>
      <w:r w:rsidRPr="007E2700">
        <w:rPr>
          <w:rFonts w:ascii="Abadi" w:hAnsi="Abadi"/>
          <w:sz w:val="21"/>
          <w:szCs w:val="21"/>
        </w:rPr>
        <w:t xml:space="preserve"> a partir de un acuerdo entre Gobierno del Estado y el Consejo Coordinador Empresarial, mediante el cual se aprobó aplicar un incremento de 0.3 puntos porcentuales al Impuesto Sobre la Nómina -pasando del 2 al 2.3 por ciento- con </w:t>
      </w:r>
      <w:r w:rsidRPr="007E2700">
        <w:rPr>
          <w:rFonts w:ascii="Abadi" w:hAnsi="Abadi"/>
          <w:sz w:val="21"/>
          <w:szCs w:val="21"/>
        </w:rPr>
        <w:lastRenderedPageBreak/>
        <w:t>la condición de que dichos recursos adicionales se destinaran a un fideicomiso (FIDESSEG)</w:t>
      </w:r>
      <w:r w:rsidRPr="007E2700">
        <w:rPr>
          <w:rFonts w:ascii="Abadi" w:hAnsi="Abadi"/>
          <w:sz w:val="21"/>
          <w:szCs w:val="21"/>
          <w:vertAlign w:val="superscript"/>
        </w:rPr>
        <w:footnoteReference w:id="91"/>
      </w:r>
      <w:r w:rsidRPr="007E2700">
        <w:rPr>
          <w:rFonts w:ascii="Abadi" w:hAnsi="Abadi"/>
          <w:sz w:val="21"/>
          <w:szCs w:val="21"/>
        </w:rPr>
        <w:t xml:space="preserve">. Dicha autorización establecía un límite no mayor a 90 días para la instalación del Comité Técnico del FIDESSEG, encargado del gobierno y administración del mismo.  </w:t>
      </w:r>
    </w:p>
    <w:p w14:paraId="1141920B" w14:textId="77777777" w:rsidR="002231ED" w:rsidRPr="007E2700" w:rsidRDefault="002231ED" w:rsidP="009F6824">
      <w:pPr>
        <w:spacing w:after="189"/>
        <w:ind w:left="-5"/>
        <w:jc w:val="both"/>
        <w:rPr>
          <w:rFonts w:ascii="Abadi" w:hAnsi="Abadi"/>
          <w:sz w:val="21"/>
          <w:szCs w:val="21"/>
        </w:rPr>
      </w:pPr>
      <w:r w:rsidRPr="007E2700">
        <w:rPr>
          <w:rFonts w:ascii="Abadi" w:hAnsi="Abadi"/>
          <w:sz w:val="21"/>
          <w:szCs w:val="21"/>
        </w:rPr>
        <w:t>El Comité Técnico está integrado por 12 personas, de las cuales 10 tienen derecho a voz y voto. Está presidido por la persona titular de la Secretaría de Finanzas, Inversión y Administración, mientras que sus demás integrantes son las titulares de la Secretaría de Gobierno, de la Secretaría de Desarrollo Social y Humano, de la Secretaría de Seguridad Pública, del DIF estatal, así como 5 miembros del Consejo Coordinador Empresarial. Adicionalmente, en el Comité Técnico se encuentra la persona titular de la Secretaría de Transparencia y Rendición de Cuentas y la persona representante de la fiduciaria</w:t>
      </w:r>
      <w:r w:rsidRPr="007E2700">
        <w:rPr>
          <w:rFonts w:ascii="Abadi" w:hAnsi="Abadi"/>
          <w:sz w:val="21"/>
          <w:szCs w:val="21"/>
          <w:vertAlign w:val="superscript"/>
        </w:rPr>
        <w:footnoteReference w:id="92"/>
      </w:r>
      <w:r w:rsidRPr="007E2700">
        <w:rPr>
          <w:rFonts w:ascii="Abadi" w:hAnsi="Abadi"/>
          <w:sz w:val="21"/>
          <w:szCs w:val="21"/>
        </w:rPr>
        <w:t xml:space="preserve">.  </w:t>
      </w:r>
    </w:p>
    <w:p w14:paraId="1B8C59CF" w14:textId="5E89AE53" w:rsidR="002231ED" w:rsidRPr="007E2700" w:rsidRDefault="002231ED" w:rsidP="009F6824">
      <w:pPr>
        <w:spacing w:after="274"/>
        <w:ind w:left="-5"/>
        <w:jc w:val="both"/>
        <w:rPr>
          <w:rFonts w:ascii="Abadi" w:hAnsi="Abadi"/>
          <w:sz w:val="21"/>
          <w:szCs w:val="21"/>
        </w:rPr>
      </w:pPr>
      <w:r w:rsidRPr="007E2700">
        <w:rPr>
          <w:rFonts w:ascii="Abadi" w:hAnsi="Abadi"/>
          <w:sz w:val="21"/>
          <w:szCs w:val="21"/>
        </w:rPr>
        <w:t xml:space="preserve">Entre las facultades de este Comité se encuentra:  </w:t>
      </w:r>
    </w:p>
    <w:p w14:paraId="725E1B4F" w14:textId="77777777" w:rsidR="002231ED" w:rsidRPr="007E2700" w:rsidRDefault="002231ED" w:rsidP="009F6824">
      <w:pPr>
        <w:spacing w:after="208"/>
        <w:ind w:left="708"/>
        <w:jc w:val="both"/>
        <w:rPr>
          <w:rFonts w:ascii="Abadi" w:hAnsi="Abadi"/>
          <w:sz w:val="21"/>
          <w:szCs w:val="21"/>
        </w:rPr>
      </w:pPr>
      <w:r w:rsidRPr="007E2700">
        <w:rPr>
          <w:rFonts w:ascii="Abadi" w:hAnsi="Abadi"/>
          <w:sz w:val="21"/>
          <w:szCs w:val="21"/>
        </w:rPr>
        <w:t>Aprobar la liberación de recursos para financiar obras, infraestructura, proyectos y acciones prioritarias que cumplan con el objeto y fines del FIDESSEG</w:t>
      </w:r>
      <w:r w:rsidRPr="007E2700">
        <w:rPr>
          <w:rFonts w:ascii="Abadi" w:hAnsi="Abadi"/>
          <w:sz w:val="21"/>
          <w:szCs w:val="21"/>
          <w:vertAlign w:val="superscript"/>
        </w:rPr>
        <w:footnoteReference w:id="93"/>
      </w:r>
      <w:r w:rsidRPr="007E2700">
        <w:rPr>
          <w:rFonts w:ascii="Abadi" w:hAnsi="Abadi"/>
          <w:sz w:val="21"/>
          <w:szCs w:val="21"/>
        </w:rPr>
        <w:t xml:space="preserve">. </w:t>
      </w:r>
    </w:p>
    <w:p w14:paraId="1F4A9FFC" w14:textId="77777777" w:rsidR="002231ED" w:rsidRPr="007E2700" w:rsidRDefault="002231ED" w:rsidP="009F6824">
      <w:pPr>
        <w:spacing w:after="186"/>
        <w:ind w:left="-5"/>
        <w:jc w:val="both"/>
        <w:rPr>
          <w:rFonts w:ascii="Abadi" w:hAnsi="Abadi"/>
          <w:sz w:val="21"/>
          <w:szCs w:val="21"/>
        </w:rPr>
      </w:pPr>
      <w:r w:rsidRPr="007E2700">
        <w:rPr>
          <w:rFonts w:ascii="Abadi" w:hAnsi="Abadi"/>
          <w:sz w:val="21"/>
          <w:szCs w:val="21"/>
        </w:rPr>
        <w:t>La distribución de recursos únicamente puede hacerse por vía de aportaciones a asociaciones civiles para financiar proyectos de las mismas</w:t>
      </w:r>
      <w:r w:rsidRPr="007E2700">
        <w:rPr>
          <w:rFonts w:ascii="Abadi" w:hAnsi="Abadi"/>
          <w:sz w:val="21"/>
          <w:szCs w:val="21"/>
          <w:vertAlign w:val="superscript"/>
        </w:rPr>
        <w:footnoteReference w:id="94"/>
      </w:r>
      <w:r w:rsidRPr="007E2700">
        <w:rPr>
          <w:rFonts w:ascii="Abadi" w:hAnsi="Abadi"/>
          <w:sz w:val="21"/>
          <w:szCs w:val="21"/>
        </w:rPr>
        <w:t xml:space="preserve">.  </w:t>
      </w:r>
    </w:p>
    <w:p w14:paraId="0CE84ACF" w14:textId="77777777" w:rsidR="002231ED" w:rsidRDefault="002231ED" w:rsidP="009F6824">
      <w:pPr>
        <w:ind w:left="-5"/>
        <w:jc w:val="both"/>
        <w:rPr>
          <w:rFonts w:ascii="Abadi" w:hAnsi="Abadi"/>
          <w:sz w:val="21"/>
          <w:szCs w:val="21"/>
        </w:rPr>
      </w:pPr>
      <w:r w:rsidRPr="007E2700">
        <w:rPr>
          <w:rFonts w:ascii="Abadi" w:hAnsi="Abadi"/>
          <w:sz w:val="21"/>
          <w:szCs w:val="21"/>
        </w:rPr>
        <w:t>Pese a haberse creado en 2019, el FIDESSEG no distribuyó recurso alguno a proyectos de asociaciones civiles hasta 2021</w:t>
      </w:r>
      <w:r w:rsidRPr="007E2700">
        <w:rPr>
          <w:rFonts w:ascii="Abadi" w:hAnsi="Abadi"/>
          <w:sz w:val="21"/>
          <w:szCs w:val="21"/>
          <w:vertAlign w:val="superscript"/>
        </w:rPr>
        <w:footnoteReference w:id="95"/>
      </w:r>
      <w:r w:rsidRPr="007E2700">
        <w:rPr>
          <w:rFonts w:ascii="Abadi" w:hAnsi="Abadi"/>
          <w:sz w:val="21"/>
          <w:szCs w:val="21"/>
        </w:rPr>
        <w:t>. Entre dicho año y 2022 se aprobaron 491.8 millones de pesos para 132 proyectos</w:t>
      </w:r>
      <w:r w:rsidRPr="007E2700">
        <w:rPr>
          <w:rFonts w:ascii="Abadi" w:hAnsi="Abadi"/>
          <w:sz w:val="21"/>
          <w:szCs w:val="21"/>
          <w:vertAlign w:val="superscript"/>
        </w:rPr>
        <w:t>7</w:t>
      </w:r>
      <w:r w:rsidRPr="007E2700">
        <w:rPr>
          <w:rFonts w:ascii="Abadi" w:hAnsi="Abadi"/>
          <w:sz w:val="21"/>
          <w:szCs w:val="21"/>
        </w:rPr>
        <w:t xml:space="preserve">.  </w:t>
      </w:r>
    </w:p>
    <w:p w14:paraId="279B7745" w14:textId="77777777" w:rsidR="0093245B" w:rsidRPr="007E2700" w:rsidRDefault="0093245B" w:rsidP="009F6824">
      <w:pPr>
        <w:ind w:left="-5"/>
        <w:jc w:val="both"/>
        <w:rPr>
          <w:rFonts w:ascii="Abadi" w:hAnsi="Abadi"/>
          <w:sz w:val="21"/>
          <w:szCs w:val="21"/>
        </w:rPr>
      </w:pPr>
    </w:p>
    <w:p w14:paraId="468AACE2" w14:textId="77777777" w:rsidR="002231ED" w:rsidRPr="007E2700" w:rsidRDefault="002231ED" w:rsidP="00427BD6">
      <w:pPr>
        <w:numPr>
          <w:ilvl w:val="0"/>
          <w:numId w:val="21"/>
        </w:numPr>
        <w:spacing w:after="290"/>
        <w:ind w:hanging="360"/>
        <w:jc w:val="both"/>
        <w:rPr>
          <w:rFonts w:ascii="Abadi" w:hAnsi="Abadi"/>
          <w:sz w:val="21"/>
          <w:szCs w:val="21"/>
        </w:rPr>
      </w:pPr>
      <w:r w:rsidRPr="007E2700">
        <w:rPr>
          <w:rFonts w:ascii="Abadi" w:hAnsi="Abadi"/>
          <w:sz w:val="21"/>
          <w:szCs w:val="21"/>
        </w:rPr>
        <w:t xml:space="preserve">Dudas razonables sobre el correcto ejercicio de recursos públicos  </w:t>
      </w:r>
    </w:p>
    <w:p w14:paraId="51173118" w14:textId="77777777" w:rsidR="002231ED" w:rsidRPr="007E2700" w:rsidRDefault="002231ED" w:rsidP="009F6824">
      <w:pPr>
        <w:spacing w:after="277"/>
        <w:ind w:left="-5"/>
        <w:jc w:val="both"/>
        <w:rPr>
          <w:rFonts w:ascii="Abadi" w:hAnsi="Abadi"/>
          <w:sz w:val="21"/>
          <w:szCs w:val="21"/>
        </w:rPr>
      </w:pPr>
      <w:r w:rsidRPr="007E2700">
        <w:rPr>
          <w:rFonts w:ascii="Abadi" w:hAnsi="Abadi"/>
          <w:sz w:val="21"/>
          <w:szCs w:val="21"/>
        </w:rPr>
        <w:t xml:space="preserve">Desde el Grupo Parlamentario de MORENA hemos señalado en múltiples ocasiones las diferentes irregularidades que nos producen dudas razonables acerca del correcto ejercicio </w:t>
      </w:r>
      <w:r w:rsidRPr="007E2700">
        <w:rPr>
          <w:rFonts w:ascii="Abadi" w:hAnsi="Abadi"/>
          <w:sz w:val="21"/>
          <w:szCs w:val="21"/>
        </w:rPr>
        <w:t xml:space="preserve">de recursos públicos del FIDESSEG. Entre éstas, resaltan las siguientes:  </w:t>
      </w:r>
    </w:p>
    <w:p w14:paraId="39C08A41" w14:textId="35812911" w:rsidR="002231ED" w:rsidRPr="0093245B" w:rsidRDefault="002231ED" w:rsidP="00427BD6">
      <w:pPr>
        <w:numPr>
          <w:ilvl w:val="1"/>
          <w:numId w:val="23"/>
        </w:numPr>
        <w:spacing w:after="324"/>
        <w:jc w:val="both"/>
        <w:rPr>
          <w:rFonts w:ascii="Abadi" w:hAnsi="Abadi"/>
          <w:sz w:val="21"/>
          <w:szCs w:val="21"/>
        </w:rPr>
      </w:pPr>
      <w:r w:rsidRPr="0093245B">
        <w:rPr>
          <w:rFonts w:ascii="Abadi" w:hAnsi="Abadi"/>
          <w:sz w:val="21"/>
          <w:szCs w:val="21"/>
        </w:rPr>
        <w:t xml:space="preserve">La constitución del fideicomiso sin estudio previo que lo justificara; </w:t>
      </w:r>
      <w:r w:rsidRPr="0093245B">
        <w:rPr>
          <w:rFonts w:ascii="Abadi" w:eastAsia="Calibri" w:hAnsi="Abadi" w:cs="Calibri"/>
          <w:sz w:val="21"/>
          <w:szCs w:val="21"/>
        </w:rPr>
        <w:t xml:space="preserve"> </w:t>
      </w:r>
    </w:p>
    <w:p w14:paraId="2A849F9B" w14:textId="77777777" w:rsidR="002231ED" w:rsidRPr="007E2700" w:rsidRDefault="002231ED" w:rsidP="00427BD6">
      <w:pPr>
        <w:numPr>
          <w:ilvl w:val="1"/>
          <w:numId w:val="23"/>
        </w:numPr>
        <w:spacing w:after="160"/>
        <w:jc w:val="both"/>
        <w:rPr>
          <w:rFonts w:ascii="Abadi" w:hAnsi="Abadi"/>
          <w:sz w:val="21"/>
          <w:szCs w:val="21"/>
        </w:rPr>
      </w:pPr>
      <w:r w:rsidRPr="007E2700">
        <w:rPr>
          <w:rFonts w:ascii="Abadi" w:hAnsi="Abadi"/>
          <w:sz w:val="21"/>
          <w:szCs w:val="21"/>
        </w:rPr>
        <w:t xml:space="preserve">La falta de aclaración respecto al destino de 164.9 millones de pesos;  </w:t>
      </w:r>
    </w:p>
    <w:p w14:paraId="3CEBCC6F" w14:textId="77777777" w:rsidR="002231ED" w:rsidRPr="007E2700" w:rsidRDefault="002231ED" w:rsidP="00427BD6">
      <w:pPr>
        <w:numPr>
          <w:ilvl w:val="1"/>
          <w:numId w:val="23"/>
        </w:numPr>
        <w:spacing w:after="160"/>
        <w:jc w:val="both"/>
        <w:rPr>
          <w:rFonts w:ascii="Abadi" w:hAnsi="Abadi"/>
          <w:sz w:val="21"/>
          <w:szCs w:val="21"/>
        </w:rPr>
      </w:pPr>
      <w:r w:rsidRPr="007E2700">
        <w:rPr>
          <w:rFonts w:ascii="Abadi" w:hAnsi="Abadi"/>
          <w:sz w:val="21"/>
          <w:szCs w:val="21"/>
        </w:rPr>
        <w:t xml:space="preserve">La falta de planes anuales de trabajo;  </w:t>
      </w:r>
    </w:p>
    <w:p w14:paraId="3D0E90F8" w14:textId="77777777" w:rsidR="002231ED" w:rsidRPr="007E2700" w:rsidRDefault="002231ED" w:rsidP="00427BD6">
      <w:pPr>
        <w:numPr>
          <w:ilvl w:val="1"/>
          <w:numId w:val="23"/>
        </w:numPr>
        <w:spacing w:after="37"/>
        <w:jc w:val="both"/>
        <w:rPr>
          <w:rFonts w:ascii="Abadi" w:hAnsi="Abadi"/>
          <w:sz w:val="21"/>
          <w:szCs w:val="21"/>
        </w:rPr>
      </w:pPr>
      <w:r w:rsidRPr="007E2700">
        <w:rPr>
          <w:rFonts w:ascii="Abadi" w:hAnsi="Abadi"/>
          <w:sz w:val="21"/>
          <w:szCs w:val="21"/>
        </w:rPr>
        <w:t xml:space="preserve">La aprobación de 43.9 millones de pesos a una asociación en cuyo consejo directivo está el hermano de uno de los miembros del Comité Técnico;  </w:t>
      </w:r>
    </w:p>
    <w:p w14:paraId="72DC6158" w14:textId="77777777" w:rsidR="002231ED" w:rsidRPr="007E2700" w:rsidRDefault="002231ED" w:rsidP="00427BD6">
      <w:pPr>
        <w:numPr>
          <w:ilvl w:val="1"/>
          <w:numId w:val="23"/>
        </w:numPr>
        <w:spacing w:after="37"/>
        <w:jc w:val="both"/>
        <w:rPr>
          <w:rFonts w:ascii="Abadi" w:hAnsi="Abadi"/>
          <w:sz w:val="21"/>
          <w:szCs w:val="21"/>
        </w:rPr>
      </w:pPr>
      <w:r w:rsidRPr="007E2700">
        <w:rPr>
          <w:rFonts w:ascii="Abadi" w:hAnsi="Abadi"/>
          <w:sz w:val="21"/>
          <w:szCs w:val="21"/>
        </w:rPr>
        <w:t xml:space="preserve">La aprobación de 15.5 millones de pesos para la Fundación Vamos México dirigida por Marta Sahagún y Vicente Fox sin que exista certeza del adecuado uso de los recursos públicos; y </w:t>
      </w:r>
    </w:p>
    <w:p w14:paraId="0B8F525A" w14:textId="77777777" w:rsidR="002231ED" w:rsidRPr="007E2700" w:rsidRDefault="002231ED" w:rsidP="00427BD6">
      <w:pPr>
        <w:numPr>
          <w:ilvl w:val="1"/>
          <w:numId w:val="23"/>
        </w:numPr>
        <w:spacing w:after="240"/>
        <w:jc w:val="both"/>
        <w:rPr>
          <w:rFonts w:ascii="Abadi" w:hAnsi="Abadi"/>
          <w:sz w:val="21"/>
          <w:szCs w:val="21"/>
        </w:rPr>
      </w:pPr>
      <w:r w:rsidRPr="007E2700">
        <w:rPr>
          <w:rFonts w:ascii="Abadi" w:hAnsi="Abadi"/>
          <w:sz w:val="21"/>
          <w:szCs w:val="21"/>
        </w:rPr>
        <w:t xml:space="preserve">La aprobación de 1.8 millones de pesos para una asociación dirigida por quien formó parte del primer Comité Técnico del FIDESSEG.  </w:t>
      </w:r>
    </w:p>
    <w:p w14:paraId="1456F108" w14:textId="77777777" w:rsidR="002231ED" w:rsidRPr="007E2700" w:rsidRDefault="002231ED" w:rsidP="009F6824">
      <w:pPr>
        <w:spacing w:after="240"/>
        <w:ind w:left="-5"/>
        <w:jc w:val="both"/>
        <w:rPr>
          <w:rFonts w:ascii="Abadi" w:hAnsi="Abadi"/>
          <w:sz w:val="21"/>
          <w:szCs w:val="21"/>
        </w:rPr>
      </w:pPr>
      <w:r w:rsidRPr="007E2700">
        <w:rPr>
          <w:rFonts w:ascii="Abadi" w:hAnsi="Abadi"/>
          <w:sz w:val="21"/>
          <w:szCs w:val="21"/>
        </w:rPr>
        <w:t xml:space="preserve">Adicionalmente, existen distintos vínculos gubernamentales o partidistas con otras cinco organizaciones beneficiarias de recursos del FIDESSEG que ameritan la verificación del correcto ejercicio de recursos públicos.  </w:t>
      </w:r>
    </w:p>
    <w:p w14:paraId="7A16FEC2" w14:textId="5E857A9D" w:rsidR="002231ED" w:rsidRDefault="002231ED" w:rsidP="009F6824">
      <w:pPr>
        <w:ind w:left="-5"/>
        <w:jc w:val="both"/>
        <w:rPr>
          <w:rFonts w:ascii="Abadi" w:hAnsi="Abadi"/>
          <w:sz w:val="21"/>
          <w:szCs w:val="21"/>
        </w:rPr>
      </w:pPr>
      <w:r w:rsidRPr="007E2700">
        <w:rPr>
          <w:rFonts w:ascii="Abadi" w:hAnsi="Abadi"/>
          <w:sz w:val="21"/>
          <w:szCs w:val="21"/>
        </w:rPr>
        <w:t xml:space="preserve">Todo lo anterior se potencia por el ocultamiento de la información sobre el mismo, solicitado por la Secretaría de Desarrollo Social y Humano -encabezada por Libia Denisse García Muñoz Ledo- y concedido por el Comité de Transparencia. Ante las diferentes solicitudes de información por parte del Grupo Parlamentario de MORENA, en las que se pedían los comprobantes fiscales del uso de recursos públicos del FIDESSEG, la evidencia del gasto, las actas de las sesiones del Comité Técnico, e incluso las personas que han integrado dicho Comité, la respuesta del </w:t>
      </w:r>
      <w:r w:rsidRPr="007E2700">
        <w:rPr>
          <w:rFonts w:ascii="Abadi" w:hAnsi="Abadi"/>
          <w:sz w:val="21"/>
          <w:szCs w:val="21"/>
        </w:rPr>
        <w:lastRenderedPageBreak/>
        <w:t xml:space="preserve">Poder Ejecutivo fue el resolutivo número RCT_1149_2023, mediante el cual se clasificó la información como reservada durante 3 años.  </w:t>
      </w:r>
    </w:p>
    <w:p w14:paraId="433ED19E" w14:textId="77777777" w:rsidR="00792209" w:rsidRPr="007E2700" w:rsidRDefault="00792209" w:rsidP="009F6824">
      <w:pPr>
        <w:ind w:left="-5"/>
        <w:jc w:val="both"/>
        <w:rPr>
          <w:rFonts w:ascii="Abadi" w:hAnsi="Abadi"/>
          <w:sz w:val="21"/>
          <w:szCs w:val="21"/>
        </w:rPr>
      </w:pPr>
    </w:p>
    <w:p w14:paraId="5F3845B8" w14:textId="77777777" w:rsidR="002231ED" w:rsidRPr="007E2700" w:rsidRDefault="002231ED" w:rsidP="00427BD6">
      <w:pPr>
        <w:numPr>
          <w:ilvl w:val="0"/>
          <w:numId w:val="21"/>
        </w:numPr>
        <w:spacing w:after="293"/>
        <w:ind w:hanging="360"/>
        <w:jc w:val="both"/>
        <w:rPr>
          <w:rFonts w:ascii="Abadi" w:hAnsi="Abadi"/>
          <w:sz w:val="21"/>
          <w:szCs w:val="21"/>
        </w:rPr>
      </w:pPr>
      <w:r w:rsidRPr="007E2700">
        <w:rPr>
          <w:rFonts w:ascii="Abadi" w:hAnsi="Abadi"/>
          <w:sz w:val="21"/>
          <w:szCs w:val="21"/>
        </w:rPr>
        <w:t xml:space="preserve">Propuestas previas de revisión  </w:t>
      </w:r>
    </w:p>
    <w:p w14:paraId="0CD79DC1" w14:textId="77777777" w:rsidR="002231ED" w:rsidRPr="007E2700" w:rsidRDefault="002231ED" w:rsidP="009F6824">
      <w:pPr>
        <w:ind w:left="-5"/>
        <w:jc w:val="both"/>
        <w:rPr>
          <w:rFonts w:ascii="Abadi" w:hAnsi="Abadi"/>
          <w:sz w:val="21"/>
          <w:szCs w:val="21"/>
        </w:rPr>
      </w:pPr>
      <w:r w:rsidRPr="007E2700">
        <w:rPr>
          <w:rFonts w:ascii="Abadi" w:hAnsi="Abadi"/>
          <w:sz w:val="21"/>
          <w:szCs w:val="21"/>
        </w:rPr>
        <w:t xml:space="preserve">La necesidad de fiscalización de este fideicomiso ha venido reiterándose por parte de este Grupo Parlamentario desde marzo de 2022, cuando solicitamos una auditoría integral por un periodo de 3 ejercicios fiscales, misma que terminó siendo rechazada en sus términos por parte de la mayoría de este Congreso.  </w:t>
      </w:r>
    </w:p>
    <w:p w14:paraId="46CBBCE5" w14:textId="77777777" w:rsidR="002231ED" w:rsidRDefault="002231ED" w:rsidP="009F6824">
      <w:pPr>
        <w:ind w:left="-5"/>
        <w:jc w:val="both"/>
        <w:rPr>
          <w:rFonts w:ascii="Abadi" w:hAnsi="Abadi"/>
          <w:sz w:val="21"/>
          <w:szCs w:val="21"/>
        </w:rPr>
      </w:pPr>
      <w:r w:rsidRPr="007E2700">
        <w:rPr>
          <w:rFonts w:ascii="Abadi" w:hAnsi="Abadi"/>
          <w:sz w:val="21"/>
          <w:szCs w:val="21"/>
        </w:rPr>
        <w:t xml:space="preserve">Posteriormente, el pasado 15 de junio de este 2023, desde el Grupo Parlamentario del Partido Acción Nacional se promovió una auditoría del FIDESSEG para el ejercicio fiscal de 2022. Sin embargo, dicha propuesta no fue aceptada por las dos terceras partes del Congreso y terminó siendo rechazada.  </w:t>
      </w:r>
    </w:p>
    <w:p w14:paraId="452C2355" w14:textId="77777777" w:rsidR="00792209" w:rsidRPr="007E2700" w:rsidRDefault="00792209" w:rsidP="009F6824">
      <w:pPr>
        <w:ind w:left="-5"/>
        <w:jc w:val="both"/>
        <w:rPr>
          <w:rFonts w:ascii="Abadi" w:hAnsi="Abadi"/>
          <w:sz w:val="21"/>
          <w:szCs w:val="21"/>
        </w:rPr>
      </w:pPr>
    </w:p>
    <w:p w14:paraId="111A777C" w14:textId="77777777" w:rsidR="002231ED" w:rsidRPr="007E2700" w:rsidRDefault="002231ED" w:rsidP="00427BD6">
      <w:pPr>
        <w:numPr>
          <w:ilvl w:val="0"/>
          <w:numId w:val="21"/>
        </w:numPr>
        <w:spacing w:after="293"/>
        <w:ind w:hanging="360"/>
        <w:jc w:val="both"/>
        <w:rPr>
          <w:rFonts w:ascii="Abadi" w:hAnsi="Abadi"/>
          <w:sz w:val="21"/>
          <w:szCs w:val="21"/>
        </w:rPr>
      </w:pPr>
      <w:r w:rsidRPr="007E2700">
        <w:rPr>
          <w:rFonts w:ascii="Abadi" w:hAnsi="Abadi"/>
          <w:sz w:val="21"/>
          <w:szCs w:val="21"/>
        </w:rPr>
        <w:t xml:space="preserve">Necesidades concretas de fiscalización </w:t>
      </w:r>
    </w:p>
    <w:p w14:paraId="3F667ECD" w14:textId="77777777" w:rsidR="002231ED" w:rsidRPr="007E2700" w:rsidRDefault="002231ED" w:rsidP="009F6824">
      <w:pPr>
        <w:ind w:left="-5"/>
        <w:jc w:val="both"/>
        <w:rPr>
          <w:rFonts w:ascii="Abadi" w:hAnsi="Abadi"/>
          <w:sz w:val="21"/>
          <w:szCs w:val="21"/>
        </w:rPr>
      </w:pPr>
      <w:r w:rsidRPr="007E2700">
        <w:rPr>
          <w:rFonts w:ascii="Abadi" w:hAnsi="Abadi"/>
          <w:sz w:val="21"/>
          <w:szCs w:val="21"/>
        </w:rPr>
        <w:t xml:space="preserve">Desde el Grupo Parlamentario de MORENA se rechazó la propuesta de auditoría del Grupo Parlamentario PAN principalmente por 2 razones.  </w:t>
      </w:r>
    </w:p>
    <w:p w14:paraId="5A1B657F" w14:textId="77777777" w:rsidR="002231ED" w:rsidRDefault="002231ED" w:rsidP="009F6824">
      <w:pPr>
        <w:ind w:left="-5"/>
        <w:jc w:val="both"/>
        <w:rPr>
          <w:rFonts w:ascii="Abadi" w:hAnsi="Abadi"/>
          <w:sz w:val="21"/>
          <w:szCs w:val="21"/>
        </w:rPr>
      </w:pPr>
      <w:r w:rsidRPr="007E2700">
        <w:rPr>
          <w:rFonts w:ascii="Abadi" w:hAnsi="Abadi"/>
          <w:sz w:val="21"/>
          <w:szCs w:val="21"/>
        </w:rPr>
        <w:t>Primera. El FIDESSEG únicamente ha sido auditado durante 2020 y 2021, pero nunca de forma autónoma, sino como parte de otros procesos de auditoría</w:t>
      </w:r>
      <w:r w:rsidRPr="007E2700">
        <w:rPr>
          <w:rFonts w:ascii="Abadi" w:hAnsi="Abadi"/>
          <w:sz w:val="21"/>
          <w:szCs w:val="21"/>
          <w:vertAlign w:val="superscript"/>
        </w:rPr>
        <w:footnoteReference w:id="96"/>
      </w:r>
      <w:r w:rsidRPr="007E2700">
        <w:rPr>
          <w:rFonts w:ascii="Abadi" w:hAnsi="Abadi"/>
          <w:sz w:val="21"/>
          <w:szCs w:val="21"/>
        </w:rPr>
        <w:t xml:space="preserve">, lo cual provoca una limitación en alcances y en publicidad de los procedimientos específicos realizados.  </w:t>
      </w:r>
    </w:p>
    <w:p w14:paraId="7F9F52D8" w14:textId="77777777" w:rsidR="00792209" w:rsidRPr="007E2700" w:rsidRDefault="00792209" w:rsidP="009F6824">
      <w:pPr>
        <w:ind w:left="-5"/>
        <w:jc w:val="both"/>
        <w:rPr>
          <w:rFonts w:ascii="Abadi" w:hAnsi="Abadi"/>
          <w:sz w:val="21"/>
          <w:szCs w:val="21"/>
        </w:rPr>
      </w:pPr>
    </w:p>
    <w:p w14:paraId="6811AFF9" w14:textId="77777777" w:rsidR="002231ED" w:rsidRPr="007E2700" w:rsidRDefault="002231ED" w:rsidP="009F6824">
      <w:pPr>
        <w:spacing w:after="185"/>
        <w:ind w:left="-5"/>
        <w:jc w:val="both"/>
        <w:rPr>
          <w:rFonts w:ascii="Abadi" w:hAnsi="Abadi"/>
          <w:sz w:val="21"/>
          <w:szCs w:val="21"/>
        </w:rPr>
      </w:pPr>
      <w:r w:rsidRPr="007E2700">
        <w:rPr>
          <w:rFonts w:ascii="Abadi" w:hAnsi="Abadi"/>
          <w:sz w:val="21"/>
          <w:szCs w:val="21"/>
        </w:rPr>
        <w:t>Ejemplo de esto fue que, cuando rechazaron la propuesta de MORENA para auditar al FIDESSEG de forma integral en 2022, la alternativa tomada fue incorporarlo a la revisión de Cuenta Pública 2021. El resultado fue claro: la revisión no tuvo un alcance relevante, toda vez que los proyectos del FIDESSEG se aprueban y ejecutan a lo largo de más de un solo ejercicio fiscal. Adicionalmente, dicha auditoría únicamente revisó 3 cuentas de FIDESSEG, una de las cuales apenas llegó a un alcance al 33% de los recursos, sin que nunca especificaran qué procedimientos de auditoría hicieron</w:t>
      </w:r>
      <w:r w:rsidRPr="007E2700">
        <w:rPr>
          <w:rFonts w:ascii="Abadi" w:hAnsi="Abadi"/>
          <w:sz w:val="21"/>
          <w:szCs w:val="21"/>
          <w:vertAlign w:val="superscript"/>
        </w:rPr>
        <w:footnoteReference w:id="97"/>
      </w:r>
      <w:r w:rsidRPr="007E2700">
        <w:rPr>
          <w:rFonts w:ascii="Abadi" w:hAnsi="Abadi"/>
          <w:sz w:val="21"/>
          <w:szCs w:val="21"/>
        </w:rPr>
        <w:t xml:space="preserve">. </w:t>
      </w:r>
    </w:p>
    <w:p w14:paraId="0998C072" w14:textId="77777777" w:rsidR="002231ED" w:rsidRPr="007E2700" w:rsidRDefault="002231ED" w:rsidP="009F6824">
      <w:pPr>
        <w:ind w:left="-5"/>
        <w:jc w:val="both"/>
        <w:rPr>
          <w:rFonts w:ascii="Abadi" w:hAnsi="Abadi"/>
          <w:sz w:val="21"/>
          <w:szCs w:val="21"/>
        </w:rPr>
      </w:pPr>
      <w:r w:rsidRPr="007E2700">
        <w:rPr>
          <w:rFonts w:ascii="Abadi" w:hAnsi="Abadi"/>
          <w:sz w:val="21"/>
          <w:szCs w:val="21"/>
        </w:rPr>
        <w:t xml:space="preserve">La segunda razón fue que el acuerdo propuesto por Acción Nacional no contenía ningún tipo de riesgo identificado que sirviera de base para construir los procedimientos de auditoría específicos a realizarse por parte de la Auditoría Superior del Estado de Guanajuato. Esto se potencia con el hecho de que aquel punto de acuerdo se limitaba a mandatar una revisión del “100% de las operaciones”, lo </w:t>
      </w:r>
    </w:p>
    <w:p w14:paraId="441B98D9" w14:textId="3F49CABF" w:rsidR="002231ED" w:rsidRPr="007E2700" w:rsidRDefault="002231ED" w:rsidP="009F6824">
      <w:pPr>
        <w:jc w:val="both"/>
        <w:rPr>
          <w:rFonts w:ascii="Abadi" w:hAnsi="Abadi"/>
          <w:sz w:val="21"/>
          <w:szCs w:val="21"/>
        </w:rPr>
      </w:pPr>
      <w:r w:rsidRPr="007E2700">
        <w:rPr>
          <w:rFonts w:ascii="Abadi" w:eastAsia="Calibri" w:hAnsi="Abadi" w:cs="Calibri"/>
          <w:sz w:val="21"/>
          <w:szCs w:val="21"/>
        </w:rPr>
        <w:t xml:space="preserve"> </w:t>
      </w:r>
    </w:p>
    <w:p w14:paraId="71C3A8F3" w14:textId="77777777" w:rsidR="002231ED" w:rsidRDefault="002231ED" w:rsidP="009F6824">
      <w:pPr>
        <w:ind w:left="-5"/>
        <w:jc w:val="both"/>
        <w:rPr>
          <w:rFonts w:ascii="Abadi" w:hAnsi="Abadi"/>
          <w:sz w:val="21"/>
          <w:szCs w:val="21"/>
        </w:rPr>
      </w:pPr>
      <w:r w:rsidRPr="007E2700">
        <w:rPr>
          <w:rFonts w:ascii="Abadi" w:hAnsi="Abadi"/>
          <w:sz w:val="21"/>
          <w:szCs w:val="21"/>
        </w:rPr>
        <w:t xml:space="preserve">cual se traduce en un margen muy amplio de discrecionalidad en la actividad fiscalizadora (análisis de riesgos, procedimientos aplicados, contenido del informe, etc.).  </w:t>
      </w:r>
    </w:p>
    <w:p w14:paraId="0FD7FB1B" w14:textId="77777777" w:rsidR="00792209" w:rsidRPr="007E2700" w:rsidRDefault="00792209" w:rsidP="009F6824">
      <w:pPr>
        <w:ind w:left="-5"/>
        <w:jc w:val="both"/>
        <w:rPr>
          <w:rFonts w:ascii="Abadi" w:hAnsi="Abadi"/>
          <w:sz w:val="21"/>
          <w:szCs w:val="21"/>
        </w:rPr>
      </w:pPr>
    </w:p>
    <w:p w14:paraId="7A357699" w14:textId="77777777" w:rsidR="002231ED" w:rsidRDefault="002231ED" w:rsidP="009F6824">
      <w:pPr>
        <w:ind w:left="-5"/>
        <w:jc w:val="both"/>
        <w:rPr>
          <w:rFonts w:ascii="Abadi" w:hAnsi="Abadi"/>
          <w:sz w:val="21"/>
          <w:szCs w:val="21"/>
        </w:rPr>
      </w:pPr>
      <w:r w:rsidRPr="007E2700">
        <w:rPr>
          <w:rFonts w:ascii="Abadi" w:hAnsi="Abadi"/>
          <w:sz w:val="21"/>
          <w:szCs w:val="21"/>
        </w:rPr>
        <w:t xml:space="preserve">Estas dos razones comprometían la fiabilidad de los resultados de dicha auditoría, por lo cual consideramos pertinente hacer una propuesta de modificación para que el mandato de auditoría fuera más robusto, sin embargo, sin ningún tipo de argumento el Partido Acción Nacional votó en contra de dicha propuesta.  </w:t>
      </w:r>
    </w:p>
    <w:p w14:paraId="14AF8C1C" w14:textId="77777777" w:rsidR="00792209" w:rsidRPr="007E2700" w:rsidRDefault="00792209" w:rsidP="009F6824">
      <w:pPr>
        <w:ind w:left="-5"/>
        <w:jc w:val="both"/>
        <w:rPr>
          <w:rFonts w:ascii="Abadi" w:hAnsi="Abadi"/>
          <w:sz w:val="21"/>
          <w:szCs w:val="21"/>
        </w:rPr>
      </w:pPr>
    </w:p>
    <w:p w14:paraId="7013C364" w14:textId="77777777" w:rsidR="002231ED" w:rsidRPr="007E2700" w:rsidRDefault="002231ED" w:rsidP="009F6824">
      <w:pPr>
        <w:ind w:left="-5"/>
        <w:jc w:val="both"/>
        <w:rPr>
          <w:rFonts w:ascii="Abadi" w:hAnsi="Abadi"/>
          <w:sz w:val="21"/>
          <w:szCs w:val="21"/>
        </w:rPr>
      </w:pPr>
      <w:r w:rsidRPr="007E2700">
        <w:rPr>
          <w:rFonts w:ascii="Abadi" w:hAnsi="Abadi"/>
          <w:sz w:val="21"/>
          <w:szCs w:val="21"/>
        </w:rPr>
        <w:t xml:space="preserve">Ahora bien, con lo anterior, desde el Grupo Parlamentario de MORENA consideramos necesario no sólo mandatar una auditoría específica, sino que este mandato abarque el periodo de 2019 -fecha de constitución del fideicomiso- a 2022 -último ejercicio fiscal.  </w:t>
      </w:r>
    </w:p>
    <w:p w14:paraId="413BBE40" w14:textId="77777777" w:rsidR="002231ED" w:rsidRDefault="002231ED" w:rsidP="009F6824">
      <w:pPr>
        <w:ind w:left="-5"/>
        <w:jc w:val="both"/>
        <w:rPr>
          <w:rFonts w:ascii="Abadi" w:hAnsi="Abadi"/>
          <w:sz w:val="21"/>
          <w:szCs w:val="21"/>
        </w:rPr>
      </w:pPr>
      <w:r w:rsidRPr="007E2700">
        <w:rPr>
          <w:rFonts w:ascii="Abadi" w:hAnsi="Abadi"/>
          <w:sz w:val="21"/>
          <w:szCs w:val="21"/>
        </w:rPr>
        <w:t xml:space="preserve">Asimismo, proponemos un piso mínimo de procedimientos de auditoría reconocidos orientados a los riesgos que hemos denunciado desde hace semanas: inspección física, documental o confirmación externa de los bienes y servicios contratados para cada uno de los proyectos financiados, el cumplimiento de los procesos administrativos de las reglas de operación del fideicomiso y la existencia de posibles conflictos de interés entre miembros del Comité Técnico, Asociaciones Civiles ejecutoras y/o proveedores de bienes y servicios contratados.  </w:t>
      </w:r>
    </w:p>
    <w:p w14:paraId="1DBEE451" w14:textId="77777777" w:rsidR="00792209" w:rsidRPr="007E2700" w:rsidRDefault="00792209" w:rsidP="009F6824">
      <w:pPr>
        <w:ind w:left="-5"/>
        <w:jc w:val="both"/>
        <w:rPr>
          <w:rFonts w:ascii="Abadi" w:hAnsi="Abadi"/>
          <w:sz w:val="21"/>
          <w:szCs w:val="21"/>
        </w:rPr>
      </w:pPr>
    </w:p>
    <w:p w14:paraId="2BFE7EE2" w14:textId="77777777" w:rsidR="002231ED" w:rsidRDefault="002231ED" w:rsidP="009F6824">
      <w:pPr>
        <w:ind w:left="-5"/>
        <w:jc w:val="both"/>
        <w:rPr>
          <w:rFonts w:ascii="Abadi" w:hAnsi="Abadi"/>
          <w:sz w:val="21"/>
          <w:szCs w:val="21"/>
        </w:rPr>
      </w:pPr>
      <w:r w:rsidRPr="007E2700">
        <w:rPr>
          <w:rFonts w:ascii="Abadi" w:hAnsi="Abadi"/>
          <w:sz w:val="21"/>
          <w:szCs w:val="21"/>
        </w:rPr>
        <w:t xml:space="preserve">Por último, consideramos pertinente señalar algunos requerimientos mínimos adicionales que debe contener el informe de resultados, con la finalidad de fortalecer la máxima publicidad en el ejercicio de rendición de cuentas.  </w:t>
      </w:r>
    </w:p>
    <w:p w14:paraId="394B13D1" w14:textId="77777777" w:rsidR="00792209" w:rsidRPr="007E2700" w:rsidRDefault="00792209" w:rsidP="009F6824">
      <w:pPr>
        <w:ind w:left="-5"/>
        <w:jc w:val="both"/>
        <w:rPr>
          <w:rFonts w:ascii="Abadi" w:hAnsi="Abadi"/>
          <w:sz w:val="21"/>
          <w:szCs w:val="21"/>
        </w:rPr>
      </w:pPr>
    </w:p>
    <w:p w14:paraId="5D567193" w14:textId="77777777" w:rsidR="002231ED" w:rsidRPr="007E2700" w:rsidRDefault="002231ED" w:rsidP="009F6824">
      <w:pPr>
        <w:spacing w:after="290"/>
        <w:ind w:left="-5"/>
        <w:jc w:val="both"/>
        <w:rPr>
          <w:rFonts w:ascii="Abadi" w:hAnsi="Abadi"/>
          <w:sz w:val="21"/>
          <w:szCs w:val="21"/>
        </w:rPr>
      </w:pPr>
      <w:r w:rsidRPr="007E2700">
        <w:rPr>
          <w:rFonts w:ascii="Abadi" w:hAnsi="Abadi"/>
          <w:sz w:val="21"/>
          <w:szCs w:val="21"/>
        </w:rPr>
        <w:t xml:space="preserve">5. Urgencia de la fiscalización </w:t>
      </w:r>
    </w:p>
    <w:p w14:paraId="12251C24" w14:textId="4A38304A" w:rsidR="002231ED" w:rsidRPr="007E2700" w:rsidRDefault="002231ED" w:rsidP="009F6824">
      <w:pPr>
        <w:ind w:left="-5"/>
        <w:jc w:val="both"/>
        <w:rPr>
          <w:rFonts w:ascii="Abadi" w:hAnsi="Abadi"/>
          <w:sz w:val="21"/>
          <w:szCs w:val="21"/>
        </w:rPr>
      </w:pPr>
      <w:r w:rsidRPr="007E2700">
        <w:rPr>
          <w:rFonts w:ascii="Abadi" w:hAnsi="Abadi"/>
          <w:sz w:val="21"/>
          <w:szCs w:val="21"/>
        </w:rPr>
        <w:t xml:space="preserve">Ha pasado más de un mes desde el bloqueo de la información con la clasificación de la información como reservada. A este periodo se le seguirá sumando más tiempo sin actividades integrales de revisión, fiscalización y análisis del gasto público del FIDESSEG. Esto supone una ventana de oportunidad importante para que, en caso de que fuera necesario, el mal ejercicio de recursos públicos pueda maquillarse y así posponer o evitar la adecuada rendición de cuentas y responsabilidades.  </w:t>
      </w:r>
    </w:p>
    <w:p w14:paraId="7DF66A5A" w14:textId="77777777" w:rsidR="006C5CDD" w:rsidRDefault="006C5CDD" w:rsidP="006C5CDD">
      <w:pPr>
        <w:spacing w:after="293"/>
        <w:jc w:val="both"/>
        <w:rPr>
          <w:rFonts w:ascii="Abadi" w:hAnsi="Abadi"/>
          <w:sz w:val="21"/>
          <w:szCs w:val="21"/>
        </w:rPr>
      </w:pPr>
    </w:p>
    <w:p w14:paraId="29924792" w14:textId="31B8147A" w:rsidR="002231ED" w:rsidRPr="007E2700" w:rsidRDefault="002231ED" w:rsidP="006C5CDD">
      <w:pPr>
        <w:spacing w:after="293"/>
        <w:jc w:val="both"/>
        <w:rPr>
          <w:rFonts w:ascii="Abadi" w:hAnsi="Abadi"/>
          <w:sz w:val="21"/>
          <w:szCs w:val="21"/>
        </w:rPr>
      </w:pPr>
      <w:r w:rsidRPr="007E2700">
        <w:rPr>
          <w:rFonts w:ascii="Abadi" w:hAnsi="Abadi"/>
          <w:sz w:val="21"/>
          <w:szCs w:val="21"/>
        </w:rPr>
        <w:t xml:space="preserve">Por todo lo anterior, ponemos a consideración de la Asamblea el presente: </w:t>
      </w:r>
    </w:p>
    <w:p w14:paraId="6BD0698E" w14:textId="401CA878" w:rsidR="002231ED" w:rsidRDefault="002231ED" w:rsidP="00792209">
      <w:pPr>
        <w:pStyle w:val="Ttulo1"/>
        <w:ind w:right="5" w:firstLine="0"/>
        <w:jc w:val="center"/>
        <w:rPr>
          <w:rFonts w:ascii="Abadi" w:hAnsi="Abadi"/>
          <w:sz w:val="21"/>
          <w:szCs w:val="21"/>
        </w:rPr>
      </w:pPr>
      <w:r w:rsidRPr="007E2700">
        <w:rPr>
          <w:rFonts w:ascii="Abadi" w:hAnsi="Abadi"/>
          <w:sz w:val="21"/>
          <w:szCs w:val="21"/>
        </w:rPr>
        <w:t>Acuerdo</w:t>
      </w:r>
    </w:p>
    <w:p w14:paraId="4185ABCD" w14:textId="77777777" w:rsidR="00792209" w:rsidRPr="00792209" w:rsidRDefault="00792209" w:rsidP="00792209"/>
    <w:p w14:paraId="356E4B4C" w14:textId="77777777" w:rsidR="002231ED" w:rsidRPr="007E2700" w:rsidRDefault="002231ED" w:rsidP="009F6824">
      <w:pPr>
        <w:ind w:left="-5" w:right="-13"/>
        <w:jc w:val="both"/>
        <w:rPr>
          <w:rFonts w:ascii="Abadi" w:hAnsi="Abadi"/>
          <w:sz w:val="21"/>
          <w:szCs w:val="21"/>
        </w:rPr>
      </w:pPr>
      <w:r w:rsidRPr="007E2700">
        <w:rPr>
          <w:rFonts w:ascii="Abadi" w:hAnsi="Abadi"/>
          <w:sz w:val="21"/>
          <w:szCs w:val="21"/>
        </w:rPr>
        <w:t xml:space="preserve">Único. Con fundamento en lo dispuesto en los artículos 63 fracción XVIII y 66 fracción IV de la Constitución Política del Estado Libre y Soberano de Guanajuato, y por el artículo 17 de la Ley de Fiscalización Superior del Estado de Guanajuato, la LXV Legislatura del Estado de Guanajuato, instruye al Auditor Superior del Estado para que realice una adición al Programa General de Fiscalización 2023 a fin de que se incluya una auditoría financiera y de cumplimiento al Poder Ejecutivo del Estado de Guanajuato, a través del Fideicomiso de Administración e Inversión para financiar obras, infraestructura, proyectos y acciones prioritarias en materia de Desarrollo Social y Seguridad Pública (FIDESSEG).  </w:t>
      </w:r>
    </w:p>
    <w:p w14:paraId="2112B91F" w14:textId="77777777" w:rsidR="00BD25EC" w:rsidRPr="007E2700" w:rsidRDefault="00BD25EC" w:rsidP="009F6824">
      <w:pPr>
        <w:ind w:left="-5" w:right="-13"/>
        <w:jc w:val="both"/>
        <w:rPr>
          <w:rFonts w:ascii="Abadi" w:hAnsi="Abadi"/>
          <w:sz w:val="21"/>
          <w:szCs w:val="21"/>
        </w:rPr>
      </w:pPr>
    </w:p>
    <w:p w14:paraId="634B6CDD" w14:textId="77777777" w:rsidR="002231ED" w:rsidRDefault="002231ED" w:rsidP="009F6824">
      <w:pPr>
        <w:ind w:left="-5" w:right="-13"/>
        <w:jc w:val="both"/>
        <w:rPr>
          <w:rFonts w:ascii="Abadi" w:hAnsi="Abadi"/>
          <w:sz w:val="21"/>
          <w:szCs w:val="21"/>
        </w:rPr>
      </w:pPr>
      <w:r w:rsidRPr="007E2700">
        <w:rPr>
          <w:rFonts w:ascii="Abadi" w:hAnsi="Abadi"/>
          <w:sz w:val="21"/>
          <w:szCs w:val="21"/>
        </w:rPr>
        <w:t xml:space="preserve">Deberá iniciarse dentro de los quince días hábiles siguientes a la aprobación por el Pleno del Congreso del Estado y deberá cubrir los ejercicios fiscales 2019, 2020, 2021 y 2022 de acuerdo con lo siguiente:  </w:t>
      </w:r>
    </w:p>
    <w:p w14:paraId="6C477C52" w14:textId="77777777" w:rsidR="00792209" w:rsidRPr="007E2700" w:rsidRDefault="00792209" w:rsidP="009F6824">
      <w:pPr>
        <w:ind w:left="-5" w:right="-13"/>
        <w:jc w:val="both"/>
        <w:rPr>
          <w:rFonts w:ascii="Abadi" w:hAnsi="Abadi"/>
          <w:sz w:val="21"/>
          <w:szCs w:val="21"/>
        </w:rPr>
      </w:pPr>
    </w:p>
    <w:p w14:paraId="5F9C3459" w14:textId="77777777" w:rsidR="002231ED" w:rsidRPr="007E2700" w:rsidRDefault="002231ED" w:rsidP="00427BD6">
      <w:pPr>
        <w:numPr>
          <w:ilvl w:val="0"/>
          <w:numId w:val="22"/>
        </w:numPr>
        <w:spacing w:after="160"/>
        <w:ind w:left="284" w:right="-13" w:hanging="360"/>
        <w:jc w:val="both"/>
        <w:rPr>
          <w:rFonts w:ascii="Abadi" w:hAnsi="Abadi"/>
          <w:sz w:val="21"/>
          <w:szCs w:val="21"/>
        </w:rPr>
      </w:pPr>
      <w:r w:rsidRPr="007E2700">
        <w:rPr>
          <w:rFonts w:ascii="Abadi" w:hAnsi="Abadi"/>
          <w:sz w:val="21"/>
          <w:szCs w:val="21"/>
        </w:rPr>
        <w:t xml:space="preserve">Deberá abarcar el 100% de las operaciones no revisadas en procesos de fiscalización superior anteriores;  </w:t>
      </w:r>
    </w:p>
    <w:p w14:paraId="069120EA" w14:textId="77777777" w:rsidR="002231ED" w:rsidRPr="007E2700" w:rsidRDefault="002231ED" w:rsidP="00427BD6">
      <w:pPr>
        <w:numPr>
          <w:ilvl w:val="0"/>
          <w:numId w:val="22"/>
        </w:numPr>
        <w:spacing w:after="160"/>
        <w:ind w:left="284" w:right="-13" w:hanging="360"/>
        <w:jc w:val="both"/>
        <w:rPr>
          <w:rFonts w:ascii="Abadi" w:hAnsi="Abadi"/>
          <w:sz w:val="21"/>
          <w:szCs w:val="21"/>
        </w:rPr>
      </w:pPr>
      <w:r w:rsidRPr="007E2700">
        <w:rPr>
          <w:rFonts w:ascii="Abadi" w:hAnsi="Abadi"/>
          <w:sz w:val="21"/>
          <w:szCs w:val="21"/>
        </w:rPr>
        <w:t xml:space="preserve">Deberá incluir, por lo menos, procedimientos de inspección física, documental o, en su caso, confirmación externa, de:  </w:t>
      </w:r>
    </w:p>
    <w:p w14:paraId="08A857AD" w14:textId="77777777" w:rsidR="002231ED" w:rsidRPr="007E2700" w:rsidRDefault="002231ED" w:rsidP="00427BD6">
      <w:pPr>
        <w:numPr>
          <w:ilvl w:val="1"/>
          <w:numId w:val="22"/>
        </w:numPr>
        <w:spacing w:after="160"/>
        <w:ind w:left="709" w:right="-13"/>
        <w:jc w:val="both"/>
        <w:rPr>
          <w:rFonts w:ascii="Abadi" w:hAnsi="Abadi"/>
          <w:sz w:val="21"/>
          <w:szCs w:val="21"/>
        </w:rPr>
      </w:pPr>
      <w:r w:rsidRPr="007E2700">
        <w:rPr>
          <w:rFonts w:ascii="Abadi" w:hAnsi="Abadi"/>
          <w:sz w:val="21"/>
          <w:szCs w:val="21"/>
        </w:rPr>
        <w:t xml:space="preserve">Bienes y servicios contratados con recursos públicos del FIDESSEG para cada uno de los proyectos financiados;  </w:t>
      </w:r>
    </w:p>
    <w:p w14:paraId="3D3830D5" w14:textId="77777777" w:rsidR="002231ED" w:rsidRPr="007E2700" w:rsidRDefault="002231ED" w:rsidP="00427BD6">
      <w:pPr>
        <w:numPr>
          <w:ilvl w:val="1"/>
          <w:numId w:val="22"/>
        </w:numPr>
        <w:spacing w:after="160"/>
        <w:ind w:left="709" w:right="-13"/>
        <w:jc w:val="both"/>
        <w:rPr>
          <w:rFonts w:ascii="Abadi" w:hAnsi="Abadi"/>
          <w:sz w:val="21"/>
          <w:szCs w:val="21"/>
        </w:rPr>
      </w:pPr>
      <w:r w:rsidRPr="007E2700">
        <w:rPr>
          <w:rFonts w:ascii="Abadi" w:hAnsi="Abadi"/>
          <w:sz w:val="21"/>
          <w:szCs w:val="21"/>
        </w:rPr>
        <w:t xml:space="preserve">Cumplimiento de los procesos administrativos para la constitución del fideicomiso, así como aquellos normados por las reglas de operación para la aprobación de financiamiento a los proyectos; y </w:t>
      </w:r>
    </w:p>
    <w:p w14:paraId="2FB642EE" w14:textId="77777777" w:rsidR="002231ED" w:rsidRPr="007E2700" w:rsidRDefault="002231ED" w:rsidP="00427BD6">
      <w:pPr>
        <w:numPr>
          <w:ilvl w:val="1"/>
          <w:numId w:val="22"/>
        </w:numPr>
        <w:spacing w:after="160"/>
        <w:ind w:left="709" w:right="-13"/>
        <w:jc w:val="both"/>
        <w:rPr>
          <w:rFonts w:ascii="Abadi" w:hAnsi="Abadi"/>
          <w:sz w:val="21"/>
          <w:szCs w:val="21"/>
        </w:rPr>
      </w:pPr>
      <w:r w:rsidRPr="007E2700">
        <w:rPr>
          <w:rFonts w:ascii="Abadi" w:hAnsi="Abadi"/>
          <w:sz w:val="21"/>
          <w:szCs w:val="21"/>
        </w:rPr>
        <w:t xml:space="preserve">Existencia de conflictos de interés entre miembros del Comité Técnico, Asociaciones Civiles ejecutoras y/o proveedores de bienes y servicios contratados con recursos públicos del FIDESSEG.  </w:t>
      </w:r>
    </w:p>
    <w:p w14:paraId="7E327F58" w14:textId="77777777" w:rsidR="002231ED" w:rsidRPr="007E2700" w:rsidRDefault="002231ED" w:rsidP="009F6824">
      <w:pPr>
        <w:ind w:left="-5" w:right="-13"/>
        <w:jc w:val="both"/>
        <w:rPr>
          <w:rFonts w:ascii="Abadi" w:hAnsi="Abadi"/>
          <w:sz w:val="21"/>
          <w:szCs w:val="21"/>
        </w:rPr>
      </w:pPr>
      <w:r w:rsidRPr="007E2700">
        <w:rPr>
          <w:rFonts w:ascii="Abadi" w:hAnsi="Abadi"/>
          <w:sz w:val="21"/>
          <w:szCs w:val="21"/>
        </w:rPr>
        <w:t xml:space="preserve">El informe de auditoría deberá contener, por lo menos, el listado de movimientos revisados, los procedimientos de auditoría realizados para cada uno de los movimientos, la evidencia de cada procedimiento realizado, así como la valoración general sobre el ejercicio de recursos públicos.  </w:t>
      </w:r>
    </w:p>
    <w:p w14:paraId="47C005D2" w14:textId="77777777" w:rsidR="006C5CDD" w:rsidRDefault="002231ED" w:rsidP="006C5CDD">
      <w:pPr>
        <w:spacing w:after="287"/>
        <w:ind w:left="1416"/>
        <w:jc w:val="both"/>
        <w:rPr>
          <w:rFonts w:ascii="Abadi" w:hAnsi="Abadi"/>
          <w:sz w:val="21"/>
          <w:szCs w:val="21"/>
        </w:rPr>
      </w:pPr>
      <w:r w:rsidRPr="007E2700">
        <w:rPr>
          <w:rFonts w:ascii="Abadi" w:hAnsi="Abadi"/>
          <w:sz w:val="21"/>
          <w:szCs w:val="21"/>
        </w:rPr>
        <w:t xml:space="preserve"> </w:t>
      </w:r>
    </w:p>
    <w:p w14:paraId="77055ACC" w14:textId="61063F87" w:rsidR="002231ED" w:rsidRPr="007E2700" w:rsidRDefault="002231ED" w:rsidP="006C5CDD">
      <w:pPr>
        <w:spacing w:after="287"/>
        <w:ind w:left="142"/>
        <w:jc w:val="both"/>
        <w:rPr>
          <w:rFonts w:ascii="Abadi" w:hAnsi="Abadi"/>
          <w:sz w:val="21"/>
          <w:szCs w:val="21"/>
        </w:rPr>
      </w:pPr>
      <w:r w:rsidRPr="007E2700">
        <w:rPr>
          <w:rFonts w:ascii="Abadi" w:hAnsi="Abadi"/>
          <w:sz w:val="21"/>
          <w:szCs w:val="21"/>
        </w:rPr>
        <w:t xml:space="preserve">Guanajuato, </w:t>
      </w:r>
      <w:proofErr w:type="spellStart"/>
      <w:r w:rsidRPr="007E2700">
        <w:rPr>
          <w:rFonts w:ascii="Abadi" w:hAnsi="Abadi"/>
          <w:sz w:val="21"/>
          <w:szCs w:val="21"/>
        </w:rPr>
        <w:t>Gto</w:t>
      </w:r>
      <w:proofErr w:type="spellEnd"/>
      <w:r w:rsidRPr="007E2700">
        <w:rPr>
          <w:rFonts w:ascii="Abadi" w:hAnsi="Abadi"/>
          <w:sz w:val="21"/>
          <w:szCs w:val="21"/>
        </w:rPr>
        <w:t>. a 20 de junio de 2023</w:t>
      </w:r>
    </w:p>
    <w:p w14:paraId="7D4D0DAB" w14:textId="1628C3EC" w:rsidR="002231ED" w:rsidRDefault="002231ED" w:rsidP="00792209">
      <w:pPr>
        <w:spacing w:after="282"/>
        <w:ind w:left="764"/>
        <w:jc w:val="center"/>
        <w:rPr>
          <w:rFonts w:ascii="Abadi" w:hAnsi="Abadi"/>
          <w:sz w:val="21"/>
          <w:szCs w:val="21"/>
        </w:rPr>
      </w:pPr>
      <w:r w:rsidRPr="007E2700">
        <w:rPr>
          <w:rFonts w:ascii="Abadi" w:hAnsi="Abadi"/>
          <w:sz w:val="21"/>
          <w:szCs w:val="21"/>
        </w:rPr>
        <w:t>Grupo Parlamentario de MORENA</w:t>
      </w:r>
    </w:p>
    <w:p w14:paraId="219F4FCC" w14:textId="77777777" w:rsidR="00005456" w:rsidRDefault="00005456" w:rsidP="00005456">
      <w:pPr>
        <w:ind w:firstLine="708"/>
        <w:jc w:val="both"/>
        <w:rPr>
          <w:rFonts w:ascii="Abadi" w:hAnsi="Abadi"/>
          <w:b/>
          <w:sz w:val="21"/>
          <w:szCs w:val="21"/>
        </w:rPr>
      </w:pPr>
      <w:r w:rsidRPr="005A1FAB">
        <w:rPr>
          <w:rFonts w:ascii="Abadi" w:hAnsi="Abadi"/>
          <w:b/>
          <w:bCs/>
          <w:sz w:val="21"/>
          <w:szCs w:val="21"/>
        </w:rPr>
        <w:t xml:space="preserve">- La </w:t>
      </w:r>
      <w:proofErr w:type="gramStart"/>
      <w:r w:rsidRPr="005A1FAB">
        <w:rPr>
          <w:rFonts w:ascii="Abadi" w:hAnsi="Abadi"/>
          <w:b/>
          <w:bCs/>
          <w:sz w:val="21"/>
          <w:szCs w:val="21"/>
        </w:rPr>
        <w:t>Presidencia.-</w:t>
      </w:r>
      <w:proofErr w:type="gramEnd"/>
      <w:r w:rsidRPr="005A1FAB">
        <w:rPr>
          <w:rFonts w:ascii="Abadi" w:hAnsi="Abadi"/>
          <w:sz w:val="21"/>
          <w:szCs w:val="21"/>
        </w:rPr>
        <w:t xml:space="preserve">  A continuación se pide a la diputada Hades Berenice Aguilar Castillo, dar lectura a la propuesta de punto de acuerdo de obvia resolución correspondiente al punto 16 del orden del día. </w:t>
      </w:r>
      <w:r w:rsidRPr="005A1FAB">
        <w:rPr>
          <w:rFonts w:ascii="Abadi" w:hAnsi="Abadi"/>
          <w:color w:val="333333"/>
          <w:sz w:val="21"/>
          <w:szCs w:val="21"/>
          <w:shd w:val="clear" w:color="auto" w:fill="FFFFFF"/>
        </w:rPr>
        <w:t> </w:t>
      </w:r>
      <w:r w:rsidRPr="005A1FAB">
        <w:rPr>
          <w:rFonts w:ascii="Abadi" w:hAnsi="Abadi"/>
          <w:b/>
          <w:bCs/>
          <w:sz w:val="21"/>
          <w:szCs w:val="21"/>
        </w:rPr>
        <w:t>(ELD 305/LXV-PPA)</w:t>
      </w:r>
    </w:p>
    <w:p w14:paraId="5695AAFB" w14:textId="77777777" w:rsidR="00C701DC" w:rsidRPr="0030088F" w:rsidRDefault="00C701DC" w:rsidP="00005456">
      <w:pPr>
        <w:ind w:firstLine="708"/>
        <w:jc w:val="both"/>
        <w:rPr>
          <w:rFonts w:ascii="Abadi" w:hAnsi="Abadi"/>
          <w:sz w:val="21"/>
          <w:szCs w:val="21"/>
        </w:rPr>
      </w:pPr>
    </w:p>
    <w:p w14:paraId="77C4F7AF" w14:textId="77777777" w:rsidR="00005456" w:rsidRPr="0030088F" w:rsidRDefault="00005456" w:rsidP="00005456">
      <w:pPr>
        <w:jc w:val="both"/>
        <w:rPr>
          <w:rFonts w:ascii="Abadi" w:hAnsi="Abadi"/>
          <w:sz w:val="21"/>
          <w:szCs w:val="21"/>
        </w:rPr>
      </w:pPr>
      <w:r>
        <w:rPr>
          <w:rFonts w:ascii="Abadi" w:hAnsi="Abadi"/>
          <w:sz w:val="21"/>
          <w:szCs w:val="21"/>
        </w:rPr>
        <w:tab/>
      </w:r>
      <w:r w:rsidRPr="0030088F">
        <w:rPr>
          <w:rFonts w:ascii="Abadi" w:hAnsi="Abadi"/>
          <w:sz w:val="21"/>
          <w:szCs w:val="21"/>
        </w:rPr>
        <w:t>- Adelante.</w:t>
      </w:r>
    </w:p>
    <w:p w14:paraId="4B0E6178" w14:textId="77777777" w:rsidR="00C701DC" w:rsidRPr="0030088F" w:rsidRDefault="00C701DC" w:rsidP="00005456">
      <w:pPr>
        <w:jc w:val="both"/>
        <w:rPr>
          <w:rFonts w:ascii="Abadi" w:hAnsi="Abadi"/>
          <w:sz w:val="21"/>
          <w:szCs w:val="21"/>
        </w:rPr>
      </w:pPr>
    </w:p>
    <w:p w14:paraId="5A5EE5B7" w14:textId="77777777" w:rsidR="00005456" w:rsidRPr="0030088F" w:rsidRDefault="00005456" w:rsidP="00005456">
      <w:pPr>
        <w:jc w:val="both"/>
        <w:rPr>
          <w:rFonts w:ascii="Abadi" w:hAnsi="Abadi"/>
          <w:b/>
          <w:bCs/>
          <w:sz w:val="21"/>
          <w:szCs w:val="21"/>
        </w:rPr>
      </w:pPr>
      <w:r w:rsidRPr="0030088F">
        <w:rPr>
          <w:rFonts w:ascii="Abadi" w:hAnsi="Abadi"/>
          <w:b/>
          <w:bCs/>
          <w:sz w:val="21"/>
          <w:szCs w:val="21"/>
        </w:rPr>
        <w:t>(Sube a tribuna la diputada Hades Berenice Aguilar Castillo, para dar lectura al punto de acuerdo de obvia resolución en referencia)</w:t>
      </w:r>
    </w:p>
    <w:p w14:paraId="059F821D" w14:textId="77777777" w:rsidR="00005456" w:rsidRPr="0030088F" w:rsidRDefault="00005456" w:rsidP="00005456">
      <w:pPr>
        <w:jc w:val="both"/>
        <w:rPr>
          <w:rFonts w:ascii="Abadi" w:hAnsi="Abadi"/>
          <w:b/>
          <w:bCs/>
          <w:sz w:val="21"/>
          <w:szCs w:val="21"/>
        </w:rPr>
      </w:pPr>
    </w:p>
    <w:p w14:paraId="534F43D6" w14:textId="61133DBD" w:rsidR="00005456" w:rsidRPr="0030088F" w:rsidRDefault="00005456" w:rsidP="00005456">
      <w:pPr>
        <w:jc w:val="both"/>
        <w:rPr>
          <w:rFonts w:ascii="Abadi" w:hAnsi="Abadi"/>
          <w:b/>
          <w:bCs/>
          <w:sz w:val="21"/>
          <w:szCs w:val="21"/>
        </w:rPr>
      </w:pPr>
    </w:p>
    <w:p w14:paraId="22EA5684" w14:textId="77777777" w:rsidR="00005456" w:rsidRPr="0030088F" w:rsidRDefault="00005456" w:rsidP="00005456">
      <w:pPr>
        <w:jc w:val="both"/>
        <w:rPr>
          <w:rFonts w:ascii="Abadi" w:hAnsi="Abadi"/>
          <w:b/>
          <w:bCs/>
          <w:sz w:val="21"/>
          <w:szCs w:val="21"/>
        </w:rPr>
      </w:pPr>
      <w:r w:rsidRPr="0030088F">
        <w:rPr>
          <w:rFonts w:ascii="Abadi" w:hAnsi="Abadi"/>
          <w:b/>
          <w:bCs/>
          <w:sz w:val="21"/>
          <w:szCs w:val="21"/>
        </w:rPr>
        <w:t>Diputada Hades Berenice Aguilar Castillo</w:t>
      </w:r>
    </w:p>
    <w:p w14:paraId="3EBCD957" w14:textId="77777777" w:rsidR="00BD25EC" w:rsidRDefault="00BD25EC" w:rsidP="00005456">
      <w:pPr>
        <w:jc w:val="both"/>
        <w:rPr>
          <w:rFonts w:ascii="Abadi" w:hAnsi="Abadi"/>
          <w:sz w:val="21"/>
          <w:szCs w:val="21"/>
        </w:rPr>
      </w:pPr>
    </w:p>
    <w:p w14:paraId="61C0F2ED" w14:textId="77777777" w:rsidR="00BD25EC" w:rsidRDefault="00BD25EC" w:rsidP="00005456">
      <w:pPr>
        <w:jc w:val="both"/>
        <w:rPr>
          <w:rFonts w:ascii="Abadi" w:hAnsi="Abadi"/>
          <w:sz w:val="21"/>
          <w:szCs w:val="21"/>
        </w:rPr>
      </w:pPr>
    </w:p>
    <w:p w14:paraId="6FD758E2" w14:textId="564D0487" w:rsidR="00BD25EC" w:rsidRDefault="00BD25EC" w:rsidP="00005456">
      <w:pPr>
        <w:jc w:val="both"/>
        <w:rPr>
          <w:rFonts w:ascii="Abadi" w:hAnsi="Abadi"/>
          <w:sz w:val="21"/>
          <w:szCs w:val="21"/>
        </w:rPr>
      </w:pPr>
      <w:r w:rsidRPr="0030088F">
        <w:rPr>
          <w:rFonts w:ascii="Abadi" w:hAnsi="Abadi"/>
          <w:noProof/>
          <w:sz w:val="21"/>
          <w:szCs w:val="21"/>
        </w:rPr>
        <w:lastRenderedPageBreak/>
        <w:drawing>
          <wp:anchor distT="0" distB="0" distL="114300" distR="114300" simplePos="0" relativeHeight="251658258" behindDoc="1" locked="0" layoutInCell="1" allowOverlap="1" wp14:anchorId="1663DBBE" wp14:editId="75F730A9">
            <wp:simplePos x="0" y="0"/>
            <wp:positionH relativeFrom="column">
              <wp:posOffset>780098</wp:posOffset>
            </wp:positionH>
            <wp:positionV relativeFrom="paragraph">
              <wp:posOffset>82868</wp:posOffset>
            </wp:positionV>
            <wp:extent cx="1242695" cy="654050"/>
            <wp:effectExtent l="247650" t="228600" r="243205" b="717550"/>
            <wp:wrapTight wrapText="bothSides">
              <wp:wrapPolygon edited="0">
                <wp:start x="-4305" y="-7550"/>
                <wp:lineTo x="-4305" y="44668"/>
                <wp:lineTo x="25496" y="44668"/>
                <wp:lineTo x="25496" y="-7550"/>
                <wp:lineTo x="-4305" y="-7550"/>
              </wp:wrapPolygon>
            </wp:wrapTight>
            <wp:docPr id="1057953098" name="Imagen 105795309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7953098" name="Imagen 1" descr="Interfaz de usuario gráfica, Texto&#10;&#10;Descripción generada automáticamente"/>
                    <pic:cNvPicPr/>
                  </pic:nvPicPr>
                  <pic:blipFill rotWithShape="1">
                    <a:blip r:embed="rId38" cstate="print">
                      <a:extLst>
                        <a:ext uri="{28A0092B-C50C-407E-A947-70E740481C1C}">
                          <a14:useLocalDpi xmlns:a14="http://schemas.microsoft.com/office/drawing/2010/main" val="0"/>
                        </a:ext>
                      </a:extLst>
                    </a:blip>
                    <a:srcRect b="6398"/>
                    <a:stretch/>
                  </pic:blipFill>
                  <pic:spPr bwMode="auto">
                    <a:xfrm>
                      <a:off x="0" y="0"/>
                      <a:ext cx="1242695" cy="6540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424FFD2" w14:textId="6C1CAFB1" w:rsidR="00BD25EC" w:rsidRDefault="00BD25EC" w:rsidP="00005456">
      <w:pPr>
        <w:jc w:val="both"/>
        <w:rPr>
          <w:rFonts w:ascii="Abadi" w:hAnsi="Abadi"/>
          <w:sz w:val="21"/>
          <w:szCs w:val="21"/>
        </w:rPr>
      </w:pPr>
    </w:p>
    <w:p w14:paraId="4624656B" w14:textId="0730AFFA" w:rsidR="00BD25EC" w:rsidRDefault="00BD25EC" w:rsidP="00005456">
      <w:pPr>
        <w:jc w:val="both"/>
        <w:rPr>
          <w:rFonts w:ascii="Abadi" w:hAnsi="Abadi"/>
          <w:sz w:val="21"/>
          <w:szCs w:val="21"/>
        </w:rPr>
      </w:pPr>
    </w:p>
    <w:p w14:paraId="0CFCE046" w14:textId="77777777" w:rsidR="00BD25EC" w:rsidRDefault="00BD25EC" w:rsidP="00005456">
      <w:pPr>
        <w:jc w:val="both"/>
        <w:rPr>
          <w:rFonts w:ascii="Abadi" w:hAnsi="Abadi"/>
          <w:sz w:val="21"/>
          <w:szCs w:val="21"/>
        </w:rPr>
      </w:pPr>
    </w:p>
    <w:p w14:paraId="6596FDBF" w14:textId="154BD4E9" w:rsidR="00BD25EC" w:rsidRDefault="00BD25EC" w:rsidP="00005456">
      <w:pPr>
        <w:jc w:val="both"/>
        <w:rPr>
          <w:rFonts w:ascii="Abadi" w:hAnsi="Abadi"/>
          <w:sz w:val="21"/>
          <w:szCs w:val="21"/>
        </w:rPr>
      </w:pPr>
    </w:p>
    <w:p w14:paraId="24C7AAD3" w14:textId="14754027" w:rsidR="00BD25EC" w:rsidRDefault="00BD25EC" w:rsidP="00005456">
      <w:pPr>
        <w:jc w:val="both"/>
        <w:rPr>
          <w:rFonts w:ascii="Abadi" w:hAnsi="Abadi"/>
          <w:sz w:val="21"/>
          <w:szCs w:val="21"/>
        </w:rPr>
      </w:pPr>
    </w:p>
    <w:p w14:paraId="7CF570F9" w14:textId="77777777" w:rsidR="00BD25EC" w:rsidRDefault="00BD25EC" w:rsidP="00005456">
      <w:pPr>
        <w:jc w:val="both"/>
        <w:rPr>
          <w:rFonts w:ascii="Abadi" w:hAnsi="Abadi"/>
          <w:sz w:val="21"/>
          <w:szCs w:val="21"/>
        </w:rPr>
      </w:pPr>
    </w:p>
    <w:p w14:paraId="2AE0EEBF" w14:textId="77777777" w:rsidR="00BD25EC" w:rsidRDefault="00BD25EC" w:rsidP="00005456">
      <w:pPr>
        <w:jc w:val="both"/>
        <w:rPr>
          <w:rFonts w:ascii="Abadi" w:hAnsi="Abadi"/>
          <w:sz w:val="21"/>
          <w:szCs w:val="21"/>
        </w:rPr>
      </w:pPr>
    </w:p>
    <w:p w14:paraId="6DE8F02E" w14:textId="77777777" w:rsidR="00BD25EC" w:rsidRDefault="00BD25EC" w:rsidP="00005456">
      <w:pPr>
        <w:jc w:val="both"/>
        <w:rPr>
          <w:rFonts w:ascii="Abadi" w:hAnsi="Abadi"/>
          <w:sz w:val="21"/>
          <w:szCs w:val="21"/>
        </w:rPr>
      </w:pPr>
    </w:p>
    <w:p w14:paraId="36B5B074" w14:textId="77777777" w:rsidR="00BD25EC" w:rsidRDefault="00BD25EC" w:rsidP="00005456">
      <w:pPr>
        <w:jc w:val="both"/>
        <w:rPr>
          <w:rFonts w:ascii="Abadi" w:hAnsi="Abadi"/>
          <w:sz w:val="21"/>
          <w:szCs w:val="21"/>
        </w:rPr>
      </w:pPr>
    </w:p>
    <w:p w14:paraId="57B842AD" w14:textId="77777777" w:rsidR="00BD25EC" w:rsidRDefault="00BD25EC" w:rsidP="00005456">
      <w:pPr>
        <w:jc w:val="both"/>
        <w:rPr>
          <w:rFonts w:ascii="Abadi" w:hAnsi="Abadi"/>
          <w:sz w:val="21"/>
          <w:szCs w:val="21"/>
        </w:rPr>
      </w:pPr>
    </w:p>
    <w:p w14:paraId="1305BD67" w14:textId="5BF4B83E" w:rsidR="00005456" w:rsidRPr="0030088F" w:rsidRDefault="00005456" w:rsidP="00005456">
      <w:pPr>
        <w:jc w:val="both"/>
        <w:rPr>
          <w:rFonts w:ascii="Abadi" w:hAnsi="Abadi"/>
          <w:sz w:val="21"/>
          <w:szCs w:val="21"/>
        </w:rPr>
      </w:pPr>
      <w:r w:rsidRPr="0030088F">
        <w:rPr>
          <w:rFonts w:ascii="Abadi" w:hAnsi="Abadi"/>
          <w:sz w:val="21"/>
          <w:szCs w:val="21"/>
        </w:rPr>
        <w:t xml:space="preserve">- Muy buenas tardes, diputadas diputados al público que nos acompaña les doy la más cordial bienvenida y me da muchísimo gusto estar con ustedes, diputada presidenta, con su venia. </w:t>
      </w:r>
    </w:p>
    <w:p w14:paraId="76E99A8F" w14:textId="77777777" w:rsidR="00C701DC" w:rsidRPr="0030088F" w:rsidRDefault="00C701DC" w:rsidP="00005456">
      <w:pPr>
        <w:jc w:val="both"/>
        <w:rPr>
          <w:rFonts w:ascii="Abadi" w:hAnsi="Abadi"/>
          <w:sz w:val="21"/>
          <w:szCs w:val="21"/>
        </w:rPr>
      </w:pPr>
    </w:p>
    <w:p w14:paraId="5E3FDBC7"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El FIDESSEG, es un fideicomiso que recoge una parte del impuesto sobre la nómina, en teoría este dinero serviría para dárselo a organizaciones de la sociedad civil, para apoyar a proyectos que ayuden a combatir la pobreza y la inseguridad, pese a que se creó desde el 2019, empezó a financiar proyectos hasta el 2021, y entre ese año y el 2022 se aprobaron casi 492 millones de pesos, para 132 proyecto el problema del FIDESSEG, es muy simple, que tiene muchísimas irregularidades que se tienen que aclarar y aquí les voy a mencionar algunas, el fideicomiso se hizo sin el estudio previo que marca la ley, no hay estudio previo, y lo marca la ley, aprobaron 43.9 millones de pesos para “Fe Guanajuato” donde está el hermano de uno de los miembros del comité técnico, aprobaron 15.5 millones de pesos para la fundación “Vamos México de Vicente Fox” el ex presidente de México y Martha Sahagún, que ahora dicen que ellos no tienen por qué rendir cuentas sobre este dinero y así lo dijo que es una pendejada lo que decían los de Morena y él es un ¡traidor a la patria! un traidor, que era una pendejada, lo que decían los de Morena ahora que lo entrevistaron, sabes por qué, ¿sí, tiene que dar información de ese recurso? porque él dijo, y yo por qué, -porque se le dio dinero del pueblo- y si se le dio dinero del pueblo usted tiene que dar información de dónde está ese recurso y referente a lo de las grosería que bueno que ya no están los niños aquí, nada más decirle que es un traidor a la patria, que ya vivió por muchos años del erario público, que ya vivió de muchos años a costillas del pueblo y ahora vive también a costillas del pueblo de </w:t>
      </w:r>
      <w:r w:rsidRPr="0030088F">
        <w:rPr>
          <w:rFonts w:ascii="Abadi" w:hAnsi="Abadi"/>
          <w:sz w:val="21"/>
          <w:szCs w:val="21"/>
        </w:rPr>
        <w:t xml:space="preserve">Guanajuato, es muy sencillo, tiene que dar la información y usted no está exento de Esto. </w:t>
      </w:r>
    </w:p>
    <w:p w14:paraId="4A753E54" w14:textId="77777777" w:rsidR="00C701DC" w:rsidRPr="0030088F" w:rsidRDefault="00C701DC" w:rsidP="00005456">
      <w:pPr>
        <w:jc w:val="both"/>
        <w:rPr>
          <w:rFonts w:ascii="Abadi" w:hAnsi="Abadi"/>
          <w:sz w:val="21"/>
          <w:szCs w:val="21"/>
        </w:rPr>
      </w:pPr>
    </w:p>
    <w:p w14:paraId="52DF4672" w14:textId="77777777" w:rsidR="00005456" w:rsidRPr="0030088F" w:rsidRDefault="00005456" w:rsidP="00005456">
      <w:pPr>
        <w:jc w:val="both"/>
        <w:rPr>
          <w:rFonts w:ascii="Abadi" w:hAnsi="Abadi"/>
          <w:sz w:val="21"/>
          <w:szCs w:val="21"/>
        </w:rPr>
      </w:pPr>
      <w:r w:rsidRPr="0030088F">
        <w:rPr>
          <w:rFonts w:ascii="Abadi" w:hAnsi="Abadi"/>
          <w:sz w:val="21"/>
          <w:szCs w:val="21"/>
        </w:rPr>
        <w:t>- No tienen planes anuales de trabajo todo parece que lo hacen a la hay se va, aprobaron 1.8 millones de pesos al “observatorio ciudadano unidos por salamanca” que está presidido por alguien que fue miembro del primer comité técnico del FIDESSEG esto se ha vuelto cada vez más grave uno para que no traten de engañar a la ciudadanía, Libia Denisse solicitó que la información fuera clasificada por 3 años fuera, reservada por 3 años, y ahora dice ahora, ahora que esto ya se denunció dice que va a pedir que solo se oculte hasta que se acabe la supuesta auditoría, no hay mucha coherencia o nos hacemos para allá y nos hacemos para acá ¿no? primero dice que se reserve la información por 3 años y ahora está diciendo que va a pedir que solo se oculte hasta que se acabe la supuesta auditoría.</w:t>
      </w:r>
    </w:p>
    <w:p w14:paraId="71AD9CED" w14:textId="77777777" w:rsidR="00C701DC" w:rsidRPr="0030088F" w:rsidRDefault="00C701DC" w:rsidP="00005456">
      <w:pPr>
        <w:jc w:val="both"/>
        <w:rPr>
          <w:rFonts w:ascii="Abadi" w:hAnsi="Abadi"/>
          <w:sz w:val="21"/>
          <w:szCs w:val="21"/>
        </w:rPr>
      </w:pPr>
    </w:p>
    <w:p w14:paraId="5A9E657E"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Aunque aparentemente todo, aquí el Congreso que me queda claro que no, eh, está a favor de la transparencia, proponemos que la Auditoría del Estado haga una Auditoría Específica del FIDESSEG pero no así nada más por cumplir, como lo estaban proponiendo el jueves pasado, sino que sea una Auditoría de verdad y profunda, no nada más para tapar el ojo al macho como se los dije el jueves, que sea algo real, queremos que se revise el 100% de las operaciones del fideicomiso desde el 2019, cuando se creó el FIDESSEG, hasta el 2022 que se hagan inspecciones de los bienes y servicios contratados con recursos del FIDESSEG, que revisen el cumplimiento de los procesos administrativos tanto de la creación del fideicomiso como de la aplicación de las reglas de operación, que revisen si hay conflictos de intereses entre el comité técnico las asociaciones civiles apoyadas e incluso los proveedores contratados, es muy simple, lo que queremos que salga con esta auditoría y no nada más andar de tapaderas, ¿qué es lo que les está tapando a estas personas? ¿a quienes estamos protegiendo? me queda claro que uno de ellos es Fox, pero quién ¿por qué lo estamos haciendo? si el recurso que recibimos en nuestros salarios viene del pueblo porque estamos traicionando el pueblo de esta manera, que revisen si hay conflictos de intereses entre el comité técnico, las asociaciones civiles apoyadas o incluso los </w:t>
      </w:r>
      <w:r w:rsidRPr="0030088F">
        <w:rPr>
          <w:rFonts w:ascii="Abadi" w:hAnsi="Abadi"/>
          <w:sz w:val="21"/>
          <w:szCs w:val="21"/>
        </w:rPr>
        <w:lastRenderedPageBreak/>
        <w:t>proveedores contratados, que en el informe que nos manden incluyan los movimientos que revisaron, los procedimientos que realizaron para cada movimiento y la evidencia, ahorita es cuando, diputadas, diputados, diputados del Grupo Parlamentario del PRI, del PAN, que por lo que escuchaba el jueves pasado pues estamos a favor de la transparencia, pero a favor de la transparencia poquito nada más por encimita, o lo que no nos afecte, ahorita es cuando compañeras y compañeros diputados, demuestren de qué lado están, de la transparencia y de los intereses del pueblo o de la opacidad para facilitar que unos cuantos sigan saqueando los recursos del pueblo.</w:t>
      </w:r>
    </w:p>
    <w:p w14:paraId="02360271" w14:textId="77777777" w:rsidR="00C701DC" w:rsidRPr="0030088F" w:rsidRDefault="00C701DC" w:rsidP="00005456">
      <w:pPr>
        <w:jc w:val="both"/>
        <w:rPr>
          <w:rFonts w:ascii="Abadi" w:hAnsi="Abadi"/>
          <w:sz w:val="21"/>
          <w:szCs w:val="21"/>
        </w:rPr>
      </w:pPr>
    </w:p>
    <w:p w14:paraId="09A88A10" w14:textId="77777777" w:rsidR="00005456" w:rsidRPr="0030088F" w:rsidRDefault="00005456" w:rsidP="00005456">
      <w:pPr>
        <w:jc w:val="both"/>
        <w:rPr>
          <w:rFonts w:ascii="Abadi" w:hAnsi="Abadi"/>
          <w:sz w:val="21"/>
          <w:szCs w:val="21"/>
        </w:rPr>
      </w:pPr>
      <w:r w:rsidRPr="0030088F">
        <w:rPr>
          <w:rFonts w:ascii="Abadi" w:hAnsi="Abadi"/>
          <w:sz w:val="21"/>
          <w:szCs w:val="21"/>
        </w:rPr>
        <w:t>- Es cuanto diputada presidenta.</w:t>
      </w:r>
    </w:p>
    <w:p w14:paraId="7EE321B4" w14:textId="77777777" w:rsidR="00C701DC" w:rsidRPr="0030088F" w:rsidRDefault="00C701DC" w:rsidP="00005456">
      <w:pPr>
        <w:jc w:val="both"/>
        <w:rPr>
          <w:rFonts w:ascii="Abadi" w:hAnsi="Abadi"/>
          <w:sz w:val="21"/>
          <w:szCs w:val="21"/>
        </w:rPr>
      </w:pPr>
    </w:p>
    <w:p w14:paraId="21C541E2"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Muchísimas gracias a todas.</w:t>
      </w:r>
    </w:p>
    <w:p w14:paraId="530C7C86" w14:textId="77777777" w:rsidR="00C701DC" w:rsidRPr="0030088F" w:rsidRDefault="00C701DC" w:rsidP="00005456">
      <w:pPr>
        <w:ind w:firstLine="708"/>
        <w:jc w:val="both"/>
        <w:rPr>
          <w:rFonts w:ascii="Abadi" w:hAnsi="Abadi"/>
          <w:sz w:val="21"/>
          <w:szCs w:val="21"/>
        </w:rPr>
      </w:pPr>
    </w:p>
    <w:p w14:paraId="277D4C2D"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diputada. </w:t>
      </w:r>
    </w:p>
    <w:p w14:paraId="4B31A190" w14:textId="77777777" w:rsidR="00C701DC" w:rsidRPr="0030088F" w:rsidRDefault="00C701DC" w:rsidP="00005456">
      <w:pPr>
        <w:ind w:firstLine="708"/>
        <w:jc w:val="both"/>
        <w:rPr>
          <w:rFonts w:ascii="Abadi" w:hAnsi="Abadi"/>
          <w:sz w:val="21"/>
          <w:szCs w:val="21"/>
        </w:rPr>
      </w:pPr>
    </w:p>
    <w:p w14:paraId="0CE0225B"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En los términos solicitados por la proponente se somete a la Asamblea se declare de obvia resolución la propuesta de punto de acuerdo con fundamento en lo dispuesto por el artículo 177 de la Ley Orgánica del Poder Legislativo del Estado. </w:t>
      </w:r>
    </w:p>
    <w:p w14:paraId="251BBF41" w14:textId="77777777" w:rsidR="00C701DC" w:rsidRPr="0030088F" w:rsidRDefault="00C701DC" w:rsidP="00005456">
      <w:pPr>
        <w:ind w:firstLine="708"/>
        <w:jc w:val="both"/>
        <w:rPr>
          <w:rFonts w:ascii="Abadi" w:hAnsi="Abadi"/>
          <w:sz w:val="21"/>
          <w:szCs w:val="21"/>
        </w:rPr>
      </w:pPr>
    </w:p>
    <w:p w14:paraId="0D92C5E4"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Se informan </w:t>
      </w:r>
      <w:r>
        <w:rPr>
          <w:rFonts w:ascii="Abadi" w:hAnsi="Abadi"/>
          <w:sz w:val="21"/>
          <w:szCs w:val="21"/>
        </w:rPr>
        <w:t xml:space="preserve">a </w:t>
      </w:r>
      <w:r w:rsidRPr="0030088F">
        <w:rPr>
          <w:rFonts w:ascii="Abadi" w:hAnsi="Abadi"/>
          <w:sz w:val="21"/>
          <w:szCs w:val="21"/>
        </w:rPr>
        <w:t xml:space="preserve">la Asamblea que a efecto de que la propuesta de resolución se declare, así debe ser aprobada por las dos terceras partes de los integrantes del Pleno, si alguien desea hacer uso de la palabra en relación a la obvia resolución, sírvanse manifestarlo indicando el sentido de su participación. En virtud de que no se han registrado participaciones se ruega a la secretaría que en votación económica a través del sistema electrónico pregunta a la asamblea si se aprueba la obvia resolución sometida a su consideración. </w:t>
      </w:r>
    </w:p>
    <w:p w14:paraId="61B9D1F3" w14:textId="77777777" w:rsidR="00C701DC" w:rsidRPr="0030088F" w:rsidRDefault="00C701DC" w:rsidP="00005456">
      <w:pPr>
        <w:ind w:firstLine="708"/>
        <w:jc w:val="both"/>
        <w:rPr>
          <w:rFonts w:ascii="Abadi" w:hAnsi="Abadi"/>
          <w:sz w:val="21"/>
          <w:szCs w:val="21"/>
        </w:rPr>
      </w:pPr>
    </w:p>
    <w:p w14:paraId="52BE8495" w14:textId="77777777" w:rsidR="00005456" w:rsidRPr="0030088F" w:rsidRDefault="00005456" w:rsidP="00005456">
      <w:pPr>
        <w:ind w:firstLine="708"/>
        <w:jc w:val="both"/>
        <w:rPr>
          <w:rFonts w:ascii="Abadi" w:hAnsi="Abadi"/>
          <w:b/>
          <w:bCs/>
          <w:sz w:val="21"/>
          <w:szCs w:val="21"/>
        </w:rPr>
      </w:pPr>
      <w:r w:rsidRPr="0030088F">
        <w:rPr>
          <w:rFonts w:ascii="Abadi" w:hAnsi="Abadi"/>
          <w:b/>
          <w:bCs/>
          <w:sz w:val="21"/>
          <w:szCs w:val="21"/>
        </w:rPr>
        <w:t>(Se abre el sistema electrónico)</w:t>
      </w:r>
    </w:p>
    <w:p w14:paraId="68FF8E8C" w14:textId="77777777" w:rsidR="00C701DC" w:rsidRPr="0030088F" w:rsidRDefault="00C701DC" w:rsidP="00005456">
      <w:pPr>
        <w:ind w:firstLine="708"/>
        <w:jc w:val="both"/>
        <w:rPr>
          <w:rFonts w:ascii="Abadi" w:hAnsi="Abadi"/>
          <w:b/>
          <w:bCs/>
          <w:sz w:val="21"/>
          <w:szCs w:val="21"/>
        </w:rPr>
      </w:pPr>
    </w:p>
    <w:p w14:paraId="71F13047"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Por instrucciones de la presidencia y mediante el sistema electrónico se les pregunta si se aprueba la obvia resolución. ¿diputado Cesar? ¿diputado Alejandro? ¿diputado Jorge? ¿diputado Jorge? ¿diputado Gerardo? </w:t>
      </w:r>
    </w:p>
    <w:p w14:paraId="0F260FFF" w14:textId="77777777" w:rsidR="00C701DC" w:rsidRPr="0030088F" w:rsidRDefault="00C701DC" w:rsidP="00005456">
      <w:pPr>
        <w:ind w:firstLine="708"/>
        <w:jc w:val="both"/>
        <w:rPr>
          <w:rFonts w:ascii="Abadi" w:hAnsi="Abadi"/>
          <w:sz w:val="21"/>
          <w:szCs w:val="21"/>
        </w:rPr>
      </w:pPr>
    </w:p>
    <w:p w14:paraId="4CD60010"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¿falta alguna diputada o diputado por emitir su voto?</w:t>
      </w:r>
    </w:p>
    <w:p w14:paraId="3D68AEDE" w14:textId="77777777" w:rsidR="00C701DC" w:rsidRPr="0030088F" w:rsidRDefault="00C701DC" w:rsidP="00005456">
      <w:pPr>
        <w:ind w:firstLine="708"/>
        <w:jc w:val="both"/>
        <w:rPr>
          <w:rFonts w:ascii="Abadi" w:hAnsi="Abadi"/>
          <w:sz w:val="21"/>
          <w:szCs w:val="21"/>
        </w:rPr>
      </w:pPr>
    </w:p>
    <w:p w14:paraId="48CD51C9" w14:textId="0E7EC6A2" w:rsidR="00005456" w:rsidRPr="0030088F" w:rsidRDefault="00C701DC" w:rsidP="00005456">
      <w:pPr>
        <w:ind w:firstLine="708"/>
        <w:jc w:val="both"/>
        <w:rPr>
          <w:rFonts w:ascii="Abadi" w:hAnsi="Abadi"/>
          <w:b/>
          <w:bCs/>
          <w:sz w:val="21"/>
          <w:szCs w:val="21"/>
        </w:rPr>
      </w:pPr>
      <w:r w:rsidRPr="0030088F">
        <w:rPr>
          <w:rFonts w:ascii="Abadi" w:hAnsi="Abadi"/>
          <w:noProof/>
          <w:sz w:val="21"/>
          <w:szCs w:val="21"/>
        </w:rPr>
        <w:drawing>
          <wp:anchor distT="0" distB="0" distL="114300" distR="114300" simplePos="0" relativeHeight="251658259" behindDoc="1" locked="0" layoutInCell="1" allowOverlap="1" wp14:anchorId="483A0918" wp14:editId="7B1F4038">
            <wp:simplePos x="0" y="0"/>
            <wp:positionH relativeFrom="column">
              <wp:posOffset>462597</wp:posOffset>
            </wp:positionH>
            <wp:positionV relativeFrom="paragraph">
              <wp:posOffset>429895</wp:posOffset>
            </wp:positionV>
            <wp:extent cx="1547495" cy="784860"/>
            <wp:effectExtent l="247650" t="247650" r="243205" b="243840"/>
            <wp:wrapTight wrapText="bothSides">
              <wp:wrapPolygon edited="0">
                <wp:start x="-2127" y="-6816"/>
                <wp:lineTo x="-3457" y="-5767"/>
                <wp:lineTo x="-3457" y="20447"/>
                <wp:lineTo x="-2127" y="27786"/>
                <wp:lineTo x="23399" y="27786"/>
                <wp:lineTo x="24729" y="19922"/>
                <wp:lineTo x="24729" y="2621"/>
                <wp:lineTo x="23399" y="-5243"/>
                <wp:lineTo x="23399" y="-6816"/>
                <wp:lineTo x="-2127" y="-6816"/>
              </wp:wrapPolygon>
            </wp:wrapTight>
            <wp:docPr id="1667293578" name="Imagen 166729357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293578" name="Imagen 1" descr="Interfaz de usuario gráfica, Sitio web&#10;&#10;Descripción generada automáticamente"/>
                    <pic:cNvPicPr/>
                  </pic:nvPicPr>
                  <pic:blipFill rotWithShape="1">
                    <a:blip r:embed="rId39" cstate="print">
                      <a:extLst>
                        <a:ext uri="{28A0092B-C50C-407E-A947-70E740481C1C}">
                          <a14:useLocalDpi xmlns:a14="http://schemas.microsoft.com/office/drawing/2010/main" val="0"/>
                        </a:ext>
                      </a:extLst>
                    </a:blip>
                    <a:srcRect b="9780"/>
                    <a:stretch/>
                  </pic:blipFill>
                  <pic:spPr bwMode="auto">
                    <a:xfrm>
                      <a:off x="0" y="0"/>
                      <a:ext cx="1547495" cy="78486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05456" w:rsidRPr="0030088F">
        <w:rPr>
          <w:rFonts w:ascii="Abadi" w:hAnsi="Abadi"/>
          <w:b/>
          <w:bCs/>
          <w:sz w:val="21"/>
          <w:szCs w:val="21"/>
        </w:rPr>
        <w:t>(se cierra el sistema electrónico)</w:t>
      </w:r>
    </w:p>
    <w:p w14:paraId="04B2C2EF" w14:textId="77777777" w:rsidR="00005456" w:rsidRPr="0030088F" w:rsidRDefault="00005456" w:rsidP="00005456">
      <w:pPr>
        <w:ind w:firstLine="708"/>
        <w:jc w:val="both"/>
        <w:rPr>
          <w:rFonts w:ascii="Abadi" w:hAnsi="Abadi"/>
          <w:sz w:val="21"/>
          <w:szCs w:val="21"/>
        </w:rPr>
      </w:pPr>
    </w:p>
    <w:p w14:paraId="58ED0E55"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Presidenta le informó que se han registrado 32 votos a favor 0 votos en contra.</w:t>
      </w:r>
    </w:p>
    <w:p w14:paraId="20B8D526" w14:textId="77777777" w:rsidR="00C701DC" w:rsidRPr="0030088F" w:rsidRDefault="00C701DC" w:rsidP="00005456">
      <w:pPr>
        <w:ind w:firstLine="708"/>
        <w:jc w:val="both"/>
        <w:rPr>
          <w:rFonts w:ascii="Abadi" w:hAnsi="Abadi"/>
          <w:sz w:val="21"/>
          <w:szCs w:val="21"/>
        </w:rPr>
      </w:pPr>
    </w:p>
    <w:p w14:paraId="194BC5F9"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En consecuencia se somete a discusión el punto de acuerdo.</w:t>
      </w:r>
    </w:p>
    <w:p w14:paraId="3FDF0A67" w14:textId="77777777" w:rsidR="00C701DC" w:rsidRPr="0030088F" w:rsidRDefault="00C701DC" w:rsidP="00005456">
      <w:pPr>
        <w:ind w:firstLine="708"/>
        <w:jc w:val="both"/>
        <w:rPr>
          <w:rFonts w:ascii="Abadi" w:hAnsi="Abadi"/>
          <w:sz w:val="21"/>
          <w:szCs w:val="21"/>
        </w:rPr>
      </w:pPr>
    </w:p>
    <w:p w14:paraId="0AF694F0"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Si desean hacer uso de la palabra a favor o en contra sírvanse manifestarlo indicando el sentido de su participación. No habiendo participaciones se instruye a la secretaría para que en votación nominal a través del sistema electrónico pregunta a la asamblea si es de aprobarse o no el punto de acuerdo. Se informa a la Asamblea que de conformidad con lo dispuesto por el artículo 63 fracción 28 de nuestra Constitución Política Local se requiere para acordar la práctica de auditorías el voto de las dos terceras partes del total de los integrantes del Congreso. </w:t>
      </w:r>
    </w:p>
    <w:p w14:paraId="6D0D5C26" w14:textId="77777777" w:rsidR="00C701DC" w:rsidRPr="0030088F" w:rsidRDefault="00C701DC" w:rsidP="00005456">
      <w:pPr>
        <w:ind w:firstLine="708"/>
        <w:jc w:val="both"/>
        <w:rPr>
          <w:rFonts w:ascii="Abadi" w:hAnsi="Abadi"/>
          <w:sz w:val="21"/>
          <w:szCs w:val="21"/>
        </w:rPr>
      </w:pPr>
    </w:p>
    <w:p w14:paraId="30BC667F" w14:textId="77777777" w:rsidR="00005456" w:rsidRPr="0030088F" w:rsidRDefault="00005456" w:rsidP="00005456">
      <w:pPr>
        <w:ind w:firstLine="708"/>
        <w:jc w:val="both"/>
        <w:rPr>
          <w:rFonts w:ascii="Abadi" w:hAnsi="Abadi"/>
          <w:b/>
          <w:bCs/>
          <w:sz w:val="21"/>
          <w:szCs w:val="21"/>
        </w:rPr>
      </w:pPr>
      <w:r w:rsidRPr="0030088F">
        <w:rPr>
          <w:rFonts w:ascii="Abadi" w:hAnsi="Abadi"/>
          <w:b/>
          <w:bCs/>
          <w:sz w:val="21"/>
          <w:szCs w:val="21"/>
        </w:rPr>
        <w:t xml:space="preserve">(Se abre el sistema electronico) </w:t>
      </w:r>
    </w:p>
    <w:p w14:paraId="532F3834" w14:textId="77777777" w:rsidR="00C701DC" w:rsidRPr="0030088F" w:rsidRDefault="00C701DC" w:rsidP="00005456">
      <w:pPr>
        <w:ind w:firstLine="708"/>
        <w:jc w:val="both"/>
        <w:rPr>
          <w:rFonts w:ascii="Abadi" w:hAnsi="Abadi"/>
          <w:b/>
          <w:bCs/>
          <w:sz w:val="21"/>
          <w:szCs w:val="21"/>
        </w:rPr>
      </w:pPr>
    </w:p>
    <w:p w14:paraId="46B4EF87"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Un segundo, ¿diputada Alma Edwviges? ¿para qué afecto? Estamos, ya estamos para la votación diputada creo que se pasó el momento, procesal, sí, no me aparecía en pantalla cuando lo puse a consideración, ya estamos votando, y no podemos interrumpir ahora la votación. </w:t>
      </w:r>
    </w:p>
    <w:p w14:paraId="77377A6C" w14:textId="77777777" w:rsidR="00C701DC" w:rsidRPr="0030088F" w:rsidRDefault="00C701DC" w:rsidP="00005456">
      <w:pPr>
        <w:ind w:firstLine="708"/>
        <w:jc w:val="both"/>
        <w:rPr>
          <w:rFonts w:ascii="Abadi" w:hAnsi="Abadi"/>
          <w:sz w:val="21"/>
          <w:szCs w:val="21"/>
        </w:rPr>
      </w:pPr>
    </w:p>
    <w:p w14:paraId="2655DC45"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Secretaría.-</w:t>
      </w:r>
      <w:proofErr w:type="gramEnd"/>
      <w:r w:rsidRPr="0030088F">
        <w:rPr>
          <w:rFonts w:ascii="Abadi" w:hAnsi="Abadi"/>
          <w:sz w:val="21"/>
          <w:szCs w:val="21"/>
        </w:rPr>
        <w:t xml:space="preserve"> ¿Diputado Alejandro? ¿Diputado Cesar? ¿Cuauhtémoc? </w:t>
      </w:r>
    </w:p>
    <w:p w14:paraId="5BA681A6" w14:textId="77777777" w:rsidR="00C701DC" w:rsidRPr="0030088F" w:rsidRDefault="00C701DC" w:rsidP="00005456">
      <w:pPr>
        <w:ind w:firstLine="708"/>
        <w:jc w:val="both"/>
        <w:rPr>
          <w:rFonts w:ascii="Abadi" w:hAnsi="Abadi"/>
          <w:sz w:val="21"/>
          <w:szCs w:val="21"/>
        </w:rPr>
      </w:pPr>
    </w:p>
    <w:p w14:paraId="46F00ED2"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¿falta alguna diputada o diputado por emitir su voto?</w:t>
      </w:r>
    </w:p>
    <w:p w14:paraId="3404D07C" w14:textId="77777777" w:rsidR="00C701DC" w:rsidRPr="0030088F" w:rsidRDefault="00C701DC" w:rsidP="00005456">
      <w:pPr>
        <w:ind w:firstLine="708"/>
        <w:jc w:val="both"/>
        <w:rPr>
          <w:rFonts w:ascii="Abadi" w:hAnsi="Abadi"/>
          <w:sz w:val="21"/>
          <w:szCs w:val="21"/>
        </w:rPr>
      </w:pPr>
    </w:p>
    <w:p w14:paraId="02755A45" w14:textId="77777777" w:rsidR="00005456" w:rsidRPr="0030088F" w:rsidRDefault="00005456" w:rsidP="00005456">
      <w:pPr>
        <w:ind w:firstLine="708"/>
        <w:jc w:val="both"/>
        <w:rPr>
          <w:rFonts w:ascii="Abadi" w:hAnsi="Abadi"/>
          <w:b/>
          <w:bCs/>
          <w:sz w:val="21"/>
          <w:szCs w:val="21"/>
        </w:rPr>
      </w:pPr>
      <w:r w:rsidRPr="0030088F">
        <w:rPr>
          <w:rFonts w:ascii="Abadi" w:hAnsi="Abadi"/>
          <w:b/>
          <w:bCs/>
          <w:sz w:val="21"/>
          <w:szCs w:val="21"/>
        </w:rPr>
        <w:t>(se cierra el sistema electrónico)</w:t>
      </w:r>
    </w:p>
    <w:p w14:paraId="6B14C395" w14:textId="77777777" w:rsidR="00005456" w:rsidRPr="0030088F" w:rsidRDefault="00005456" w:rsidP="00005456">
      <w:pPr>
        <w:ind w:firstLine="708"/>
        <w:jc w:val="both"/>
        <w:rPr>
          <w:rFonts w:ascii="Abadi" w:hAnsi="Abadi"/>
          <w:b/>
          <w:bCs/>
          <w:sz w:val="21"/>
          <w:szCs w:val="21"/>
        </w:rPr>
      </w:pPr>
      <w:r w:rsidRPr="0030088F">
        <w:rPr>
          <w:rFonts w:ascii="Abadi" w:hAnsi="Abadi"/>
          <w:noProof/>
          <w:sz w:val="21"/>
          <w:szCs w:val="21"/>
        </w:rPr>
        <w:lastRenderedPageBreak/>
        <w:drawing>
          <wp:inline distT="0" distB="0" distL="0" distR="0" wp14:anchorId="25E49EA2" wp14:editId="309C597F">
            <wp:extent cx="1528762" cy="777147"/>
            <wp:effectExtent l="247650" t="247650" r="243205" b="252095"/>
            <wp:docPr id="1441234523" name="Imagen 14412345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234523" name="Imagen 1" descr="Interfaz de usuario gráfica, Sitio web&#10;&#10;Descripción generada automáticamente"/>
                    <pic:cNvPicPr/>
                  </pic:nvPicPr>
                  <pic:blipFill rotWithShape="1">
                    <a:blip r:embed="rId40"/>
                    <a:srcRect b="9584"/>
                    <a:stretch/>
                  </pic:blipFill>
                  <pic:spPr bwMode="auto">
                    <a:xfrm>
                      <a:off x="0" y="0"/>
                      <a:ext cx="1553305" cy="789624"/>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6A02604"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¿Diputada sí, diputada Ruth Noemí Tiscareño? ¿para qué afecto? </w:t>
      </w:r>
      <w:r w:rsidRPr="0030088F">
        <w:rPr>
          <w:rFonts w:ascii="Abadi" w:hAnsi="Abadi"/>
          <w:b/>
          <w:bCs/>
          <w:sz w:val="21"/>
          <w:szCs w:val="21"/>
        </w:rPr>
        <w:t>(Voz) diputada Ruth Noemí Tiscareño,</w:t>
      </w:r>
      <w:r w:rsidRPr="0030088F">
        <w:rPr>
          <w:rFonts w:ascii="Abadi" w:hAnsi="Abadi"/>
          <w:sz w:val="21"/>
          <w:szCs w:val="21"/>
        </w:rPr>
        <w:t xml:space="preserve"> para razonar mi voto, </w:t>
      </w:r>
      <w:r w:rsidRPr="0030088F">
        <w:rPr>
          <w:rFonts w:ascii="Abadi" w:hAnsi="Abadi"/>
          <w:b/>
          <w:bCs/>
          <w:sz w:val="21"/>
          <w:szCs w:val="21"/>
        </w:rPr>
        <w:t>(Voz) diputada Presidenta,</w:t>
      </w:r>
      <w:r w:rsidRPr="0030088F">
        <w:rPr>
          <w:rFonts w:ascii="Abadi" w:hAnsi="Abadi"/>
          <w:sz w:val="21"/>
          <w:szCs w:val="21"/>
        </w:rPr>
        <w:t xml:space="preserve"> ¿diputada Alma? ¿para qué efecto? </w:t>
      </w:r>
      <w:r w:rsidRPr="0030088F">
        <w:rPr>
          <w:rFonts w:ascii="Abadi" w:hAnsi="Abadi"/>
          <w:b/>
          <w:bCs/>
          <w:sz w:val="21"/>
          <w:szCs w:val="21"/>
        </w:rPr>
        <w:t>(Voz) diputada Alma,</w:t>
      </w:r>
      <w:r w:rsidRPr="0030088F">
        <w:rPr>
          <w:rFonts w:ascii="Abadi" w:hAnsi="Abadi"/>
          <w:sz w:val="21"/>
          <w:szCs w:val="21"/>
        </w:rPr>
        <w:t xml:space="preserve"> para razonar mi voto, </w:t>
      </w:r>
      <w:r w:rsidRPr="0030088F">
        <w:rPr>
          <w:rFonts w:ascii="Abadi" w:hAnsi="Abadi"/>
          <w:b/>
          <w:bCs/>
          <w:sz w:val="21"/>
          <w:szCs w:val="21"/>
        </w:rPr>
        <w:t>(Voz) diputada Presidenta,</w:t>
      </w:r>
      <w:r w:rsidRPr="0030088F">
        <w:rPr>
          <w:rFonts w:ascii="Abadi" w:hAnsi="Abadi"/>
          <w:sz w:val="21"/>
          <w:szCs w:val="21"/>
        </w:rPr>
        <w:t xml:space="preserve"> ¿diputado David? </w:t>
      </w:r>
      <w:r w:rsidRPr="0030088F">
        <w:rPr>
          <w:rFonts w:ascii="Abadi" w:hAnsi="Abadi"/>
          <w:b/>
          <w:bCs/>
          <w:sz w:val="21"/>
          <w:szCs w:val="21"/>
        </w:rPr>
        <w:t>(Voz) diputado David,</w:t>
      </w:r>
      <w:r w:rsidRPr="0030088F">
        <w:rPr>
          <w:rFonts w:ascii="Abadi" w:hAnsi="Abadi"/>
          <w:sz w:val="21"/>
          <w:szCs w:val="21"/>
        </w:rPr>
        <w:t xml:space="preserve"> para razonar mi voto </w:t>
      </w:r>
      <w:r w:rsidRPr="0030088F">
        <w:rPr>
          <w:rFonts w:ascii="Abadi" w:hAnsi="Abadi"/>
          <w:b/>
          <w:bCs/>
          <w:sz w:val="21"/>
          <w:szCs w:val="21"/>
        </w:rPr>
        <w:t>(Voz) diputada Presidenta,</w:t>
      </w:r>
      <w:r w:rsidRPr="0030088F">
        <w:rPr>
          <w:rFonts w:ascii="Abadi" w:hAnsi="Abadi"/>
          <w:sz w:val="21"/>
          <w:szCs w:val="21"/>
        </w:rPr>
        <w:t xml:space="preserve"> ¿diputado Ernesto Prieto? </w:t>
      </w:r>
      <w:r w:rsidRPr="0030088F">
        <w:rPr>
          <w:rFonts w:ascii="Abadi" w:hAnsi="Abadi"/>
          <w:b/>
          <w:bCs/>
          <w:sz w:val="21"/>
          <w:szCs w:val="21"/>
        </w:rPr>
        <w:t xml:space="preserve">(Voz) diputado Ernesto </w:t>
      </w:r>
      <w:proofErr w:type="gramStart"/>
      <w:r w:rsidRPr="0030088F">
        <w:rPr>
          <w:rFonts w:ascii="Abadi" w:hAnsi="Abadi"/>
          <w:b/>
          <w:bCs/>
          <w:sz w:val="21"/>
          <w:szCs w:val="21"/>
        </w:rPr>
        <w:t>Prieto,</w:t>
      </w:r>
      <w:r w:rsidRPr="0030088F">
        <w:rPr>
          <w:rFonts w:ascii="Abadi" w:hAnsi="Abadi"/>
          <w:sz w:val="21"/>
          <w:szCs w:val="21"/>
        </w:rPr>
        <w:t xml:space="preserve">  igual</w:t>
      </w:r>
      <w:proofErr w:type="gramEnd"/>
      <w:r w:rsidRPr="0030088F">
        <w:rPr>
          <w:rFonts w:ascii="Abadi" w:hAnsi="Abadi"/>
          <w:sz w:val="21"/>
          <w:szCs w:val="21"/>
        </w:rPr>
        <w:t xml:space="preserve"> por favor </w:t>
      </w:r>
      <w:r w:rsidRPr="0030088F">
        <w:rPr>
          <w:rFonts w:ascii="Abadi" w:hAnsi="Abadi"/>
          <w:b/>
          <w:bCs/>
          <w:sz w:val="21"/>
          <w:szCs w:val="21"/>
        </w:rPr>
        <w:t>(Voz)  diputada Presidenta,</w:t>
      </w:r>
      <w:r w:rsidRPr="0030088F">
        <w:rPr>
          <w:rFonts w:ascii="Abadi" w:hAnsi="Abadi"/>
          <w:sz w:val="21"/>
          <w:szCs w:val="21"/>
        </w:rPr>
        <w:t xml:space="preserve"> ¿diputado Víctor Zanella? </w:t>
      </w:r>
      <w:r w:rsidRPr="0030088F">
        <w:rPr>
          <w:rFonts w:ascii="Abadi" w:hAnsi="Abadi"/>
          <w:b/>
          <w:bCs/>
          <w:sz w:val="21"/>
          <w:szCs w:val="21"/>
        </w:rPr>
        <w:t xml:space="preserve">(Voz) diputado Victor Zanella, </w:t>
      </w:r>
      <w:r w:rsidRPr="0030088F">
        <w:rPr>
          <w:rFonts w:ascii="Abadi" w:hAnsi="Abadi"/>
          <w:sz w:val="21"/>
          <w:szCs w:val="21"/>
        </w:rPr>
        <w:t xml:space="preserve">para razonar mi voto, </w:t>
      </w:r>
      <w:r w:rsidRPr="0030088F">
        <w:rPr>
          <w:rFonts w:ascii="Abadi" w:hAnsi="Abadi"/>
          <w:b/>
          <w:bCs/>
          <w:sz w:val="21"/>
          <w:szCs w:val="21"/>
        </w:rPr>
        <w:t>(</w:t>
      </w:r>
      <w:proofErr w:type="gramStart"/>
      <w:r w:rsidRPr="0030088F">
        <w:rPr>
          <w:rFonts w:ascii="Abadi" w:hAnsi="Abadi"/>
          <w:b/>
          <w:bCs/>
          <w:sz w:val="21"/>
          <w:szCs w:val="21"/>
        </w:rPr>
        <w:t>Voz)  diputada</w:t>
      </w:r>
      <w:proofErr w:type="gramEnd"/>
      <w:r w:rsidRPr="0030088F">
        <w:rPr>
          <w:rFonts w:ascii="Abadi" w:hAnsi="Abadi"/>
          <w:b/>
          <w:bCs/>
          <w:sz w:val="21"/>
          <w:szCs w:val="21"/>
        </w:rPr>
        <w:t xml:space="preserve"> Presidenta,</w:t>
      </w:r>
      <w:r w:rsidRPr="0030088F">
        <w:rPr>
          <w:rFonts w:ascii="Abadi" w:hAnsi="Abadi"/>
          <w:sz w:val="21"/>
          <w:szCs w:val="21"/>
        </w:rPr>
        <w:t xml:space="preserve">  gracias diputados bien eh tendrán el uso de la voz hasta por 3 minutos para efecto de razonar su voto de conformidad al artículo 202 de nuestra Ley Orgánica en el orden en que fueron registrándose.</w:t>
      </w:r>
    </w:p>
    <w:p w14:paraId="2E1483FB" w14:textId="77777777" w:rsidR="00C701DC" w:rsidRPr="0030088F" w:rsidRDefault="00C701DC" w:rsidP="00005456">
      <w:pPr>
        <w:ind w:firstLine="708"/>
        <w:jc w:val="both"/>
        <w:rPr>
          <w:rFonts w:ascii="Abadi" w:hAnsi="Abadi"/>
          <w:sz w:val="21"/>
          <w:szCs w:val="21"/>
        </w:rPr>
      </w:pPr>
    </w:p>
    <w:p w14:paraId="18DF2DD0"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Tiene el uso de la voz la diputada Ruth Noemí Tiscareño Agoitia.</w:t>
      </w:r>
    </w:p>
    <w:p w14:paraId="3BFD45D3" w14:textId="77777777" w:rsidR="00C701DC" w:rsidRPr="0030088F" w:rsidRDefault="00C701DC" w:rsidP="00005456">
      <w:pPr>
        <w:ind w:firstLine="708"/>
        <w:jc w:val="both"/>
        <w:rPr>
          <w:rFonts w:ascii="Abadi" w:hAnsi="Abadi"/>
          <w:sz w:val="21"/>
          <w:szCs w:val="21"/>
        </w:rPr>
      </w:pPr>
    </w:p>
    <w:p w14:paraId="44ED4D8B" w14:textId="77777777" w:rsidR="00005456" w:rsidRPr="0030088F" w:rsidRDefault="00005456" w:rsidP="00005456">
      <w:pPr>
        <w:jc w:val="both"/>
        <w:rPr>
          <w:rFonts w:ascii="Abadi" w:hAnsi="Abadi"/>
          <w:b/>
          <w:bCs/>
          <w:sz w:val="21"/>
          <w:szCs w:val="21"/>
        </w:rPr>
      </w:pPr>
      <w:r w:rsidRPr="0030088F">
        <w:rPr>
          <w:rFonts w:ascii="Abadi" w:hAnsi="Abadi"/>
          <w:b/>
          <w:bCs/>
          <w:sz w:val="21"/>
          <w:szCs w:val="21"/>
        </w:rPr>
        <w:t>(Hace uso de la voz la diputada Ruth Noemí Tiscareño Agoitia, para razonar su voto)</w:t>
      </w:r>
    </w:p>
    <w:p w14:paraId="706CF3AC" w14:textId="77777777" w:rsidR="00C701DC" w:rsidRPr="0030088F" w:rsidRDefault="00C701DC" w:rsidP="00005456">
      <w:pPr>
        <w:jc w:val="both"/>
        <w:rPr>
          <w:rFonts w:ascii="Abadi" w:hAnsi="Abadi"/>
          <w:b/>
          <w:bCs/>
          <w:sz w:val="21"/>
          <w:szCs w:val="21"/>
        </w:rPr>
      </w:pPr>
    </w:p>
    <w:p w14:paraId="5EC4A430"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Gracias en el Grupo Parlamentario del PRI, siempre nos hemos decantado a favor de la transparencia y la rendición de cuentas pues este es un principio elemental de nuestro sistema democrático, nuestros representados tienen el derecho a conocer cómo y en qué se gastan los recursos públicos, no pasa desapercibido que el tema que se ha venido desarrollando en el transcurso de las últimas sesiones es un tema de suma importancia, tan es así que en esta tribuna se han abordado con diferentes ópticas a favor o en contra. </w:t>
      </w:r>
    </w:p>
    <w:p w14:paraId="0C8BEB48" w14:textId="77777777" w:rsidR="00C701DC" w:rsidRPr="0030088F" w:rsidRDefault="00C701DC" w:rsidP="00005456">
      <w:pPr>
        <w:ind w:firstLine="708"/>
        <w:jc w:val="both"/>
        <w:rPr>
          <w:rFonts w:ascii="Abadi" w:hAnsi="Abadi"/>
          <w:sz w:val="21"/>
          <w:szCs w:val="21"/>
        </w:rPr>
      </w:pPr>
    </w:p>
    <w:p w14:paraId="38DBA559"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Sin embargo, tal parece que se ha caído en una serie de dimes y diretes que se amparan en la transparencia y la rendición de cuentas sin que esto sea el fin último o mayor por quienes presentan sus posiciones políticas en este recinto de esta manera y conforme a lo expuesto en la sesión pasada no se acompaña el voto a favor de este punto de </w:t>
      </w:r>
      <w:r w:rsidRPr="0030088F">
        <w:rPr>
          <w:rFonts w:ascii="Abadi" w:hAnsi="Abadi"/>
          <w:sz w:val="21"/>
          <w:szCs w:val="21"/>
        </w:rPr>
        <w:t xml:space="preserve">acuerdo e insisto no por estar en contra de la transparencia y la rendición de cuentas, sino porque la Auditoría Superior del Estado año con año diseña y estructura un programa general de fiscalización, el cual se determina con base a una planeación orientada y guiada, por criterios establecidos en los lineamientos manuales y guías que tienen carácter complementario para el desarrollo de sus funciones y esta planeación de recursos no tiene otro cometido que garantizar que en la práctica de esos ejercicios de fiscalización los principios de objetividad, confiabilidad, certeza, imparcialidad y profesionalismo, que conforme a la ley deben orientar su trabajo y si bien este Poder Legislativo tiene la facultad de ordenar se realice de forma extraordinaria una auditoría en caso de verdadera y urgente excepcionalidad dado que entre tantos dimes y diretes se ha perdido realmente el espíritu de rendir cuentas y por tanto se ha politizado el tema a tal grado que en la sesión pasada textualmente se dijo por parte de un compañero, no podemos acceder a auditorías falsas simuladas de mentiras por encimita nada más para taparle el ojo al macho para salir en la portada y decir que se está pidiendo una auditoría. </w:t>
      </w:r>
    </w:p>
    <w:p w14:paraId="5D630DFD" w14:textId="77777777" w:rsidR="00005456" w:rsidRPr="0030088F" w:rsidRDefault="00005456" w:rsidP="00005456">
      <w:pPr>
        <w:ind w:firstLine="708"/>
        <w:jc w:val="both"/>
        <w:rPr>
          <w:rFonts w:ascii="Abadi" w:hAnsi="Abadi"/>
          <w:sz w:val="21"/>
          <w:szCs w:val="21"/>
        </w:rPr>
      </w:pPr>
    </w:p>
    <w:p w14:paraId="2D91306A"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Es por lo anterior que el voto en contra que hoy se vierte sigue una línea de congruencia con las votaciones pasadas que sobre los mismos temas se ha se ha advertido el Grupo Parlamentario del PRI, es cuanto presidenta. </w:t>
      </w:r>
    </w:p>
    <w:p w14:paraId="2749AB93" w14:textId="77777777" w:rsidR="00C701DC" w:rsidRPr="0030088F" w:rsidRDefault="00C701DC" w:rsidP="00005456">
      <w:pPr>
        <w:ind w:firstLine="708"/>
        <w:jc w:val="both"/>
        <w:rPr>
          <w:rFonts w:ascii="Abadi" w:hAnsi="Abadi"/>
          <w:sz w:val="21"/>
          <w:szCs w:val="21"/>
        </w:rPr>
      </w:pPr>
    </w:p>
    <w:p w14:paraId="35FB0D8D"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diputada. </w:t>
      </w:r>
    </w:p>
    <w:p w14:paraId="72077778" w14:textId="77777777" w:rsidR="006457C2" w:rsidRDefault="006457C2" w:rsidP="00005456">
      <w:pPr>
        <w:ind w:firstLine="708"/>
        <w:jc w:val="both"/>
        <w:rPr>
          <w:rFonts w:ascii="Abadi" w:hAnsi="Abadi"/>
          <w:sz w:val="21"/>
          <w:szCs w:val="21"/>
        </w:rPr>
      </w:pPr>
    </w:p>
    <w:p w14:paraId="7B43B927" w14:textId="69DA2D44"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Enseguida tiene el uso de la voz la diputada Alma Edwviges Alcaraz. </w:t>
      </w:r>
    </w:p>
    <w:p w14:paraId="6BA96C59" w14:textId="77777777" w:rsidR="00C701DC" w:rsidRPr="0030088F" w:rsidRDefault="00C701DC" w:rsidP="00005456">
      <w:pPr>
        <w:ind w:firstLine="708"/>
        <w:jc w:val="both"/>
        <w:rPr>
          <w:rFonts w:ascii="Abadi" w:hAnsi="Abadi"/>
          <w:sz w:val="21"/>
          <w:szCs w:val="21"/>
        </w:rPr>
      </w:pPr>
    </w:p>
    <w:p w14:paraId="702312B0"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xml:space="preserve">- Adelante. </w:t>
      </w:r>
    </w:p>
    <w:p w14:paraId="24F7978B" w14:textId="77777777" w:rsidR="00C701DC" w:rsidRPr="0030088F" w:rsidRDefault="00C701DC" w:rsidP="00005456">
      <w:pPr>
        <w:ind w:firstLine="708"/>
        <w:jc w:val="both"/>
        <w:rPr>
          <w:rFonts w:ascii="Abadi" w:hAnsi="Abadi"/>
          <w:sz w:val="21"/>
          <w:szCs w:val="21"/>
        </w:rPr>
      </w:pPr>
    </w:p>
    <w:p w14:paraId="0C90DE28" w14:textId="77777777" w:rsidR="00005456" w:rsidRPr="0030088F" w:rsidRDefault="00005456" w:rsidP="00005456">
      <w:pPr>
        <w:jc w:val="both"/>
        <w:rPr>
          <w:rFonts w:ascii="Abadi" w:hAnsi="Abadi"/>
          <w:b/>
          <w:bCs/>
          <w:sz w:val="21"/>
          <w:szCs w:val="21"/>
        </w:rPr>
      </w:pPr>
      <w:r w:rsidRPr="0030088F">
        <w:rPr>
          <w:rFonts w:ascii="Abadi" w:hAnsi="Abadi"/>
          <w:b/>
          <w:bCs/>
          <w:sz w:val="21"/>
          <w:szCs w:val="21"/>
        </w:rPr>
        <w:t>(Hace uso de la voz la diputada Alma Edwviges Alcaraz Hernández, para razonar su voto)</w:t>
      </w:r>
    </w:p>
    <w:p w14:paraId="685FBE00" w14:textId="77777777" w:rsidR="00C701DC" w:rsidRPr="0030088F" w:rsidRDefault="00C701DC" w:rsidP="00005456">
      <w:pPr>
        <w:jc w:val="both"/>
        <w:rPr>
          <w:rFonts w:ascii="Abadi" w:hAnsi="Abadi"/>
          <w:b/>
          <w:bCs/>
          <w:sz w:val="21"/>
          <w:szCs w:val="21"/>
        </w:rPr>
      </w:pPr>
    </w:p>
    <w:p w14:paraId="2CA74D85"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Como no, se nos permitió ¿verdad? Este, hablar a favor, si quisiera que quedara muy claro, qué es lo que estamos pidiendo, la vez pasada se pedía la auditoría solamente por el año 2022, así la pidió el Partido Acción Nacional, Grupo Parlamentario del Partido Acción Nacional, nosotros lo estamos pidiendo del 2019 donde se recibieron 308 millones de pesos, del 2020 donde se </w:t>
      </w:r>
      <w:r w:rsidRPr="0030088F">
        <w:rPr>
          <w:rFonts w:ascii="Abadi" w:hAnsi="Abadi"/>
          <w:sz w:val="21"/>
          <w:szCs w:val="21"/>
        </w:rPr>
        <w:lastRenderedPageBreak/>
        <w:t xml:space="preserve">recibieron 443 millones de pesos, del 2021 donde se recibieron 444 millones de pesos, del 2022 donde se recibieron 627 millones de pesos, que se audite la totalidad, la totalidad cuánto es, 1824 millones de pesos, queremos que esto sea lo que se audite la totalidad y fíjense bien, hay una disponibilidad al 2022 según las notas de los estados financieros de ese año del 2022 de 1167 millones de pesos, por lo tanto se ejerció un recurso de 656 millones de pesos, esta es la resta de esto, menos esto, no, para que me entiendan, los del PAN, menos 657 millones de pesos es de  recurso ejercido y resulta que es ejercieron en 132 proyectos 491 millones de pesos, sí, ahí estamos me van siguiendo, de tal manera, de tal manera, que esto de aquí, los 491 800 millones de pesos como ya hemos dicho en más de una ocasión, se invirtieron en 8 proyectos y se invirtieron ¡perdón¡ en 21 este, instituciones de 8 proyectos pero todas con filiales la mayoría de estas 21 con filiales partidistas o gubernamentales y resulta que aquí es donde nosotros queremos que se investigue bien además si nosotros hacemos esta resta nos dicen que hay 164 millones de pesos, por lógica elemental, que no aparecen, que no existen, una diferencia que no se sabe dónde quedó, porque solamente esta parte está comprobada, no está comprobada, esta otra parte y tampoco se nos ha dado información, se nos ha negado la información de manera constante, permanente, cuando no es un tema que tiene que ver, con que están haciendo una auditoría que son mentiras el tema de la auditoría, porque revisamos la página de la transparencia, la página de transparencia y rendición de cuentas resulta que no había nada, no había ninguna auditoría programada, y resulta que este tipo de cosas pues se queda en la nada y después, bueno, que la reservan tres años y luego que no, que, que siempre no, el caso es, que nosotros queremos una auditoría como la que se le aplicó al municipio de Salamanca, donde se, donde el municipio de Salamanca, por ser panista obviamente está en el punto 32 del orden del día, sí, por ser de Morena, claro, 32 del orden del día, qué dice discusión y en su caso aprobación del dictamen formulado por la Comisión de Hacienda y Fiscalización relativo al Informe de Resultados de la Auditoría Integral de la Auditoría Superior del Estado de Guanajuato a la Administración Pública Municipal de Salamanca, al universo que integran las </w:t>
      </w:r>
      <w:r w:rsidRPr="0030088F">
        <w:rPr>
          <w:rFonts w:ascii="Abadi" w:hAnsi="Abadi"/>
          <w:sz w:val="21"/>
          <w:szCs w:val="21"/>
        </w:rPr>
        <w:t xml:space="preserve">partidas no revisadas en anteriores actos de fiscalización por los meses de octubre noviembre diciembre del ejercicio fiscal del año 2018 de los ejercicios fiscales 2019 y 2020 así como el periodo comprendido por los meses de enero a octubre del ejercicio fiscal 2021 </w:t>
      </w:r>
      <w:r w:rsidRPr="0030088F">
        <w:rPr>
          <w:rFonts w:ascii="Abadi" w:hAnsi="Abadi"/>
          <w:b/>
          <w:bCs/>
          <w:sz w:val="21"/>
          <w:szCs w:val="21"/>
        </w:rPr>
        <w:t>(Voz) diputada Presidenta,</w:t>
      </w:r>
      <w:r w:rsidRPr="0030088F">
        <w:rPr>
          <w:rFonts w:ascii="Abadi" w:hAnsi="Abadi"/>
          <w:sz w:val="21"/>
          <w:szCs w:val="21"/>
        </w:rPr>
        <w:t xml:space="preserve"> diputada Alma nada más comentarle que se ha agotado su tiempo ¡por favor¡ a Morena si se le hacen, se les esculca 2018, 2019, 2020 y nosotros queremos que se le haga una auditoría a ¡todo esto que se recibió! a la totalidad y pues resulta que no, que no pasa, que no se aprueba.</w:t>
      </w:r>
    </w:p>
    <w:p w14:paraId="5D95204A" w14:textId="77777777" w:rsidR="00C701DC" w:rsidRPr="0030088F" w:rsidRDefault="00C701DC" w:rsidP="00005456">
      <w:pPr>
        <w:jc w:val="both"/>
        <w:rPr>
          <w:rFonts w:ascii="Abadi" w:hAnsi="Abadi"/>
          <w:sz w:val="21"/>
          <w:szCs w:val="21"/>
        </w:rPr>
      </w:pPr>
    </w:p>
    <w:p w14:paraId="2955A881" w14:textId="77777777" w:rsidR="00005456" w:rsidRPr="0030088F" w:rsidRDefault="00005456" w:rsidP="00005456">
      <w:pPr>
        <w:jc w:val="both"/>
        <w:rPr>
          <w:rFonts w:ascii="Abadi" w:hAnsi="Abadi"/>
          <w:sz w:val="21"/>
          <w:szCs w:val="21"/>
        </w:rPr>
      </w:pPr>
      <w:r w:rsidRPr="0030088F">
        <w:rPr>
          <w:rFonts w:ascii="Abadi" w:hAnsi="Abadi"/>
          <w:sz w:val="21"/>
          <w:szCs w:val="21"/>
        </w:rPr>
        <w:t>- Es cuanto diputada presidenta.</w:t>
      </w:r>
    </w:p>
    <w:p w14:paraId="562E37C0" w14:textId="77777777" w:rsidR="00005456" w:rsidRPr="0030088F" w:rsidRDefault="00005456" w:rsidP="00005456">
      <w:pPr>
        <w:jc w:val="both"/>
        <w:rPr>
          <w:rFonts w:ascii="Abadi" w:hAnsi="Abadi"/>
          <w:sz w:val="21"/>
          <w:szCs w:val="21"/>
        </w:rPr>
      </w:pPr>
    </w:p>
    <w:p w14:paraId="461DA740"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diputada.</w:t>
      </w:r>
    </w:p>
    <w:p w14:paraId="7389F6DE" w14:textId="77777777" w:rsidR="00C701DC" w:rsidRPr="0030088F" w:rsidRDefault="00C701DC" w:rsidP="00005456">
      <w:pPr>
        <w:ind w:firstLine="708"/>
        <w:jc w:val="both"/>
        <w:rPr>
          <w:rFonts w:ascii="Abadi" w:hAnsi="Abadi"/>
          <w:sz w:val="21"/>
          <w:szCs w:val="21"/>
        </w:rPr>
      </w:pPr>
    </w:p>
    <w:p w14:paraId="7AA62EAB" w14:textId="77777777" w:rsidR="00005456" w:rsidRPr="0030088F" w:rsidRDefault="00005456" w:rsidP="00005456">
      <w:pPr>
        <w:ind w:firstLine="708"/>
        <w:jc w:val="both"/>
        <w:rPr>
          <w:rFonts w:ascii="Abadi" w:hAnsi="Abadi"/>
          <w:sz w:val="21"/>
          <w:szCs w:val="21"/>
        </w:rPr>
      </w:pPr>
      <w:r w:rsidRPr="0030088F">
        <w:rPr>
          <w:rFonts w:ascii="Abadi" w:hAnsi="Abadi"/>
          <w:sz w:val="21"/>
          <w:szCs w:val="21"/>
        </w:rPr>
        <w:t>- Tiene el uso de la voz el diputado David Martínez adelante.</w:t>
      </w:r>
    </w:p>
    <w:p w14:paraId="730D4D7F" w14:textId="77777777" w:rsidR="00C701DC" w:rsidRPr="0030088F" w:rsidRDefault="00C701DC" w:rsidP="00005456">
      <w:pPr>
        <w:ind w:firstLine="708"/>
        <w:jc w:val="both"/>
        <w:rPr>
          <w:rFonts w:ascii="Abadi" w:hAnsi="Abadi"/>
          <w:sz w:val="21"/>
          <w:szCs w:val="21"/>
        </w:rPr>
      </w:pPr>
    </w:p>
    <w:p w14:paraId="54594FF4" w14:textId="77777777" w:rsidR="00005456" w:rsidRDefault="00005456" w:rsidP="00005456">
      <w:pPr>
        <w:jc w:val="both"/>
        <w:rPr>
          <w:rFonts w:ascii="Abadi" w:hAnsi="Abadi"/>
          <w:b/>
          <w:bCs/>
          <w:sz w:val="21"/>
          <w:szCs w:val="21"/>
        </w:rPr>
      </w:pPr>
      <w:r w:rsidRPr="0030088F">
        <w:rPr>
          <w:rFonts w:ascii="Abadi" w:hAnsi="Abadi"/>
          <w:b/>
          <w:bCs/>
          <w:sz w:val="21"/>
          <w:szCs w:val="21"/>
        </w:rPr>
        <w:t>(Hace uso de la voz el diputado David Martinez Mendizabal, para razonar su voto)</w:t>
      </w:r>
    </w:p>
    <w:p w14:paraId="0A32FFA9" w14:textId="77777777" w:rsidR="00ED6E60" w:rsidRPr="0030088F" w:rsidRDefault="00ED6E60" w:rsidP="00005456">
      <w:pPr>
        <w:jc w:val="both"/>
        <w:rPr>
          <w:rFonts w:ascii="Abadi" w:hAnsi="Abadi"/>
          <w:b/>
          <w:bCs/>
          <w:sz w:val="21"/>
          <w:szCs w:val="21"/>
        </w:rPr>
      </w:pPr>
    </w:p>
    <w:p w14:paraId="015D2AF9"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Gracias presidenta, una facultades, por qué vote a favor pues, una de las facultades y lograr que el ejecutivo dé a conocer a dónde se va el dinero de  la ciudadanía, ese es el punto en cuestión, no hay aunque se diga posteriormente ningún elemento legal que lo impida ya lo dije ahorita la compañera Alma, se va a aprobar, se supone en el punto 32 esta auditoría de salamanca de diciembre mandatada por este Congreso en diciembre de 2021 y que hoy se vota, es el punto 32, fíjense bien, estamos solicitando exactamente lo mismo y no es una solicitud de Morena, es una solicitud de la ciudadanía, yo he tenido oportunidad de participar en debates en los medios de comunicación con algunos representantes empresariales y estamos de acuerdo en eso, porque se trata de decir, es que Morena quiere golpear políticamente quiere tener como botín político el FIDESSEG, etcétera, no, hay que hay que escuchar a la ciudadanía a toda la ciudadanía incluyendo aquellos que fundaron, que fundaron este fideicomiso, que están pidiendo, el gobierno transparente todas las cuentas falso que sea un asunto que tenga un interés más allá de la transparencia fortalecidos por parte de los organismos de la sociedad civil con los que yo he hablado, que también tengo relación con ellos y otra parte de los grupos empresariales que constituyeron el fideicomiso en eso </w:t>
      </w:r>
      <w:r w:rsidRPr="0030088F">
        <w:rPr>
          <w:rFonts w:ascii="Abadi" w:hAnsi="Abadi"/>
          <w:sz w:val="21"/>
          <w:szCs w:val="21"/>
        </w:rPr>
        <w:lastRenderedPageBreak/>
        <w:t>estamos de acuerdo y simplemente estamos siendo voz de lo que nos solicita esta parte de la ciudadanía, no es un asunto de Morena, es un asunto de la ciudadanía y no vamos a renunciar a nuestro deber porque por eso votaron por nosotros de ser un contrapeso del Poder Ejecutivo cuando no se hacen bien las cosas, que los organismos de la sociedad civil no se espanten porque también están tratándolos de espantar con el petate del muerto, no, el mecanismo de financiamiento de organismos de la sociedad civil puede ser a través del fideicomiso, es un mecanismo, pero yo no sé si se acuerdan que hace 10 años se financiaba con programas específicos de la Secretaría de Desarrollo Social y Humano, entonces yo formaba parte de uno de esos comités, hay otras maneras hay otras maneras de otorgar financiamiento a los organismos de la sociedad civil que no son el fideicomiso, no nos quieran espantar con el petate del muerto.</w:t>
      </w:r>
    </w:p>
    <w:p w14:paraId="34EBE7FB" w14:textId="77777777" w:rsidR="00C701DC" w:rsidRPr="0030088F" w:rsidRDefault="00C701DC" w:rsidP="00005456">
      <w:pPr>
        <w:jc w:val="both"/>
        <w:rPr>
          <w:rFonts w:ascii="Abadi" w:hAnsi="Abadi"/>
          <w:sz w:val="21"/>
          <w:szCs w:val="21"/>
        </w:rPr>
      </w:pPr>
    </w:p>
    <w:p w14:paraId="6E463213" w14:textId="77777777" w:rsidR="00005456" w:rsidRPr="0030088F" w:rsidRDefault="00005456" w:rsidP="00005456">
      <w:pPr>
        <w:ind w:firstLine="708"/>
        <w:jc w:val="both"/>
        <w:rPr>
          <w:rFonts w:ascii="Abadi" w:hAnsi="Abadi"/>
          <w:sz w:val="21"/>
          <w:szCs w:val="21"/>
        </w:rPr>
      </w:pPr>
      <w:r w:rsidRPr="0030088F">
        <w:rPr>
          <w:rFonts w:ascii="Abadi" w:hAnsi="Abadi"/>
          <w:b/>
          <w:bCs/>
          <w:sz w:val="21"/>
          <w:szCs w:val="21"/>
        </w:rPr>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¿Diputado? Gracias se concede el uso de la voz hasta por tres minutos al diputado Ernesto Prieto, </w:t>
      </w:r>
      <w:r w:rsidRPr="0030088F">
        <w:rPr>
          <w:rFonts w:ascii="Abadi" w:hAnsi="Abadi"/>
          <w:b/>
          <w:bCs/>
          <w:sz w:val="21"/>
          <w:szCs w:val="21"/>
        </w:rPr>
        <w:t>(Voz) diputado Ernesto Prieto,</w:t>
      </w:r>
      <w:r w:rsidRPr="0030088F">
        <w:rPr>
          <w:rFonts w:ascii="Abadi" w:hAnsi="Abadi"/>
          <w:sz w:val="21"/>
          <w:szCs w:val="21"/>
        </w:rPr>
        <w:t xml:space="preserve"> retiro mi intervención, gracias </w:t>
      </w:r>
      <w:r w:rsidRPr="0030088F">
        <w:rPr>
          <w:rFonts w:ascii="Abadi" w:hAnsi="Abadi"/>
          <w:b/>
          <w:bCs/>
          <w:sz w:val="21"/>
          <w:szCs w:val="21"/>
        </w:rPr>
        <w:t>(Voz) diputada Presidenta,</w:t>
      </w:r>
      <w:r w:rsidRPr="0030088F">
        <w:rPr>
          <w:rFonts w:ascii="Abadi" w:hAnsi="Abadi"/>
          <w:sz w:val="21"/>
          <w:szCs w:val="21"/>
        </w:rPr>
        <w:t xml:space="preserve"> gracias diputado se concede el uso de la voz hasta por 3 minutos al diputado Víctor Zanella.</w:t>
      </w:r>
    </w:p>
    <w:p w14:paraId="62625FEE" w14:textId="77777777" w:rsidR="00C701DC" w:rsidRPr="0030088F" w:rsidRDefault="00C701DC" w:rsidP="00005456">
      <w:pPr>
        <w:ind w:firstLine="708"/>
        <w:jc w:val="both"/>
        <w:rPr>
          <w:rFonts w:ascii="Abadi" w:hAnsi="Abadi"/>
          <w:sz w:val="21"/>
          <w:szCs w:val="21"/>
        </w:rPr>
      </w:pPr>
    </w:p>
    <w:p w14:paraId="15FBF5C6" w14:textId="77777777" w:rsidR="00005456" w:rsidRPr="0030088F" w:rsidRDefault="00005456" w:rsidP="00005456">
      <w:pPr>
        <w:jc w:val="both"/>
        <w:rPr>
          <w:rFonts w:ascii="Abadi" w:hAnsi="Abadi"/>
          <w:sz w:val="21"/>
          <w:szCs w:val="21"/>
        </w:rPr>
      </w:pPr>
      <w:r>
        <w:rPr>
          <w:rFonts w:ascii="Abadi" w:hAnsi="Abadi"/>
          <w:sz w:val="21"/>
          <w:szCs w:val="21"/>
        </w:rPr>
        <w:tab/>
      </w:r>
      <w:r w:rsidRPr="0030088F">
        <w:rPr>
          <w:rFonts w:ascii="Abadi" w:hAnsi="Abadi"/>
          <w:sz w:val="21"/>
          <w:szCs w:val="21"/>
        </w:rPr>
        <w:t>- Adelante.</w:t>
      </w:r>
    </w:p>
    <w:p w14:paraId="735BDC5A" w14:textId="77777777" w:rsidR="00C701DC" w:rsidRPr="0030088F" w:rsidRDefault="00C701DC" w:rsidP="00005456">
      <w:pPr>
        <w:jc w:val="both"/>
        <w:rPr>
          <w:rFonts w:ascii="Abadi" w:hAnsi="Abadi"/>
          <w:sz w:val="21"/>
          <w:szCs w:val="21"/>
        </w:rPr>
      </w:pPr>
    </w:p>
    <w:p w14:paraId="7E10571C" w14:textId="00416572" w:rsidR="00005456" w:rsidRPr="0030088F" w:rsidRDefault="00005456" w:rsidP="00005456">
      <w:pPr>
        <w:jc w:val="both"/>
        <w:rPr>
          <w:rFonts w:ascii="Abadi" w:hAnsi="Abadi"/>
          <w:b/>
          <w:bCs/>
          <w:sz w:val="21"/>
          <w:szCs w:val="21"/>
        </w:rPr>
      </w:pPr>
      <w:r w:rsidRPr="0030088F">
        <w:rPr>
          <w:rFonts w:ascii="Abadi" w:hAnsi="Abadi"/>
          <w:b/>
          <w:bCs/>
          <w:sz w:val="21"/>
          <w:szCs w:val="21"/>
        </w:rPr>
        <w:t>(</w:t>
      </w:r>
      <w:r w:rsidR="0024217C">
        <w:rPr>
          <w:rFonts w:ascii="Abadi" w:hAnsi="Abadi"/>
          <w:b/>
          <w:bCs/>
          <w:sz w:val="21"/>
          <w:szCs w:val="21"/>
        </w:rPr>
        <w:t xml:space="preserve">Hace uso de la voz </w:t>
      </w:r>
      <w:r w:rsidRPr="0030088F">
        <w:rPr>
          <w:rFonts w:ascii="Abadi" w:hAnsi="Abadi"/>
          <w:b/>
          <w:bCs/>
          <w:sz w:val="21"/>
          <w:szCs w:val="21"/>
        </w:rPr>
        <w:t>el diputado Víctor Manuel Zanella Huerta, para razonar su voto)</w:t>
      </w:r>
    </w:p>
    <w:p w14:paraId="73C273C9" w14:textId="77777777" w:rsidR="00C701DC" w:rsidRPr="0030088F" w:rsidRDefault="00C701DC" w:rsidP="00005456">
      <w:pPr>
        <w:jc w:val="both"/>
        <w:rPr>
          <w:rFonts w:ascii="Abadi" w:hAnsi="Abadi"/>
          <w:b/>
          <w:bCs/>
          <w:sz w:val="21"/>
          <w:szCs w:val="21"/>
        </w:rPr>
      </w:pPr>
    </w:p>
    <w:p w14:paraId="53EAD77D"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Buenas tardes, Guanajuato y a toda la gente que sigue esta transmisión se ha caracterizado por su gente trabajadora, honesta, comprometida con la nación y con su liderazgo, aquí nació México,  sabemos trabajar en equipo, nos esforzamos día a día, para seguir impulsando el crecimiento de nuestras familias y de nuestro estado, incentivamos el cambio de ideas y aportamos lo mejor para priorizar en el bien común, pero también somos un pueblo que señala, exige con compromiso y determinación por parte de sus representantes, es por ello, que evidenciamos y repudiamos la politiquería barata con la que hoy Morena suben a esta tribuna y lo hemos visto en las intervenciones anteriores. </w:t>
      </w:r>
    </w:p>
    <w:p w14:paraId="64650D97" w14:textId="77777777" w:rsidR="00C701DC" w:rsidRPr="0030088F" w:rsidRDefault="00C701DC" w:rsidP="00005456">
      <w:pPr>
        <w:jc w:val="both"/>
        <w:rPr>
          <w:rFonts w:ascii="Abadi" w:hAnsi="Abadi"/>
          <w:sz w:val="21"/>
          <w:szCs w:val="21"/>
        </w:rPr>
      </w:pPr>
    </w:p>
    <w:p w14:paraId="7359BC3C"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Desde el PAN, fueron escuchados los reclamos las dudas, las opiniones, respecto al </w:t>
      </w:r>
      <w:r w:rsidRPr="0030088F">
        <w:rPr>
          <w:rFonts w:ascii="Abadi" w:hAnsi="Abadi"/>
          <w:sz w:val="21"/>
          <w:szCs w:val="21"/>
        </w:rPr>
        <w:t>funcionamiento de este importante programa gubernamental, se tomó en cuenta pues, y se puso a consideración una auditoría del 100% para aclarar dudas y en caso necesario señalar responsables y conflictos de interés, con la mano en la cintura atendiendo sus propios intereses de sacar raja política y sí, como un botín y no de rendirle cuenta a la ciudadanía, sino de obtener su propio y mezquino beneficio votaron en contra de la auditoría.</w:t>
      </w:r>
    </w:p>
    <w:p w14:paraId="6A76023B" w14:textId="77777777" w:rsidR="00C701DC" w:rsidRPr="0030088F" w:rsidRDefault="00C701DC" w:rsidP="00005456">
      <w:pPr>
        <w:jc w:val="both"/>
        <w:rPr>
          <w:rFonts w:ascii="Abadi" w:hAnsi="Abadi"/>
          <w:sz w:val="21"/>
          <w:szCs w:val="21"/>
        </w:rPr>
      </w:pPr>
    </w:p>
    <w:p w14:paraId="5497443B"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Esa actitud y poco profesionalismo, dista mucho del compromiso de las guanajuatenses que nos exigen a los representantes y aquellas autoridades que cobramos un sueldo voy a compartir algunos razonamientos. </w:t>
      </w:r>
    </w:p>
    <w:p w14:paraId="4FFDE686" w14:textId="77777777" w:rsidR="00C701DC" w:rsidRPr="0030088F" w:rsidRDefault="00C701DC" w:rsidP="00005456">
      <w:pPr>
        <w:jc w:val="both"/>
        <w:rPr>
          <w:rFonts w:ascii="Abadi" w:hAnsi="Abadi"/>
          <w:sz w:val="21"/>
          <w:szCs w:val="21"/>
        </w:rPr>
      </w:pPr>
    </w:p>
    <w:p w14:paraId="4A215DC8"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Uno, los contables presupuestales los entes públicos se reflejan en la cuenta pública lo cual ha sido auditado 19, 20, 21, es más en 21 ahí están ya colgados, los resultados que se han obtenido, las observaciones y los señalamientos. </w:t>
      </w:r>
    </w:p>
    <w:p w14:paraId="07D9487D" w14:textId="77777777" w:rsidR="00C701DC" w:rsidRPr="0030088F" w:rsidRDefault="00C701DC" w:rsidP="00005456">
      <w:pPr>
        <w:jc w:val="both"/>
        <w:rPr>
          <w:rFonts w:ascii="Abadi" w:hAnsi="Abadi"/>
          <w:sz w:val="21"/>
          <w:szCs w:val="21"/>
        </w:rPr>
      </w:pPr>
    </w:p>
    <w:p w14:paraId="7D178D08"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Y también para tranquilidad del pueblo de Guanajuato no de un grupo de ciudadanos o de personas aquí es que hay dos auditorias ya en curso, una que inicio el 28 de abril y tres por parte de la Secretaría de Transparencia y Rendición de Cuentas, dentro de su plan anual de trabajo y una segunda que el Congreso del Estado través de la Auditoria Superior de Estado, esta justamente revidando, en la cuenta pública del año 2022. </w:t>
      </w:r>
    </w:p>
    <w:p w14:paraId="69F8DA5A" w14:textId="77777777" w:rsidR="00C701DC" w:rsidRPr="0030088F" w:rsidRDefault="00C701DC" w:rsidP="00005456">
      <w:pPr>
        <w:jc w:val="both"/>
        <w:rPr>
          <w:rFonts w:ascii="Abadi" w:hAnsi="Abadi"/>
          <w:sz w:val="21"/>
          <w:szCs w:val="21"/>
        </w:rPr>
      </w:pPr>
    </w:p>
    <w:p w14:paraId="0B8A61C6" w14:textId="77777777" w:rsidR="00005456" w:rsidRPr="0030088F" w:rsidRDefault="00005456" w:rsidP="00005456">
      <w:pPr>
        <w:jc w:val="both"/>
        <w:rPr>
          <w:rFonts w:ascii="Abadi" w:hAnsi="Abadi"/>
          <w:sz w:val="21"/>
          <w:szCs w:val="21"/>
        </w:rPr>
      </w:pPr>
      <w:r w:rsidRPr="0030088F">
        <w:rPr>
          <w:rFonts w:ascii="Abadi" w:hAnsi="Abadi"/>
          <w:sz w:val="21"/>
          <w:szCs w:val="21"/>
        </w:rPr>
        <w:t>- Entonces aun, cuando Morena se opuso a esa Auditoria Especifica, nuestro compromiso de la transparencia y la Rendición de Cuentas, está plenamente acreditado.</w:t>
      </w:r>
    </w:p>
    <w:p w14:paraId="20518601" w14:textId="77777777" w:rsidR="00C701DC" w:rsidRPr="0030088F" w:rsidRDefault="00C701DC" w:rsidP="00005456">
      <w:pPr>
        <w:jc w:val="both"/>
        <w:rPr>
          <w:rFonts w:ascii="Abadi" w:hAnsi="Abadi"/>
          <w:sz w:val="21"/>
          <w:szCs w:val="21"/>
        </w:rPr>
      </w:pPr>
    </w:p>
    <w:p w14:paraId="56D591C4" w14:textId="77777777" w:rsidR="00005456" w:rsidRPr="0030088F" w:rsidRDefault="00005456" w:rsidP="00005456">
      <w:pPr>
        <w:jc w:val="both"/>
        <w:rPr>
          <w:rFonts w:ascii="Abadi" w:hAnsi="Abadi"/>
          <w:sz w:val="21"/>
          <w:szCs w:val="21"/>
        </w:rPr>
      </w:pPr>
      <w:r w:rsidRPr="0030088F">
        <w:rPr>
          <w:rFonts w:ascii="Abadi" w:hAnsi="Abadi"/>
          <w:sz w:val="21"/>
          <w:szCs w:val="21"/>
        </w:rPr>
        <w:t xml:space="preserve">- También es importante señalar que </w:t>
      </w:r>
      <w:r w:rsidRPr="0030088F">
        <w:rPr>
          <w:rFonts w:ascii="Abadi" w:hAnsi="Abadi"/>
          <w:b/>
          <w:bCs/>
          <w:sz w:val="21"/>
          <w:szCs w:val="21"/>
        </w:rPr>
        <w:t>(Voz) diputada Presidenta,</w:t>
      </w:r>
      <w:r w:rsidRPr="0030088F">
        <w:rPr>
          <w:rFonts w:ascii="Abadi" w:hAnsi="Abadi"/>
          <w:sz w:val="21"/>
          <w:szCs w:val="21"/>
        </w:rPr>
        <w:t xml:space="preserve"> ¿diputado Zanella? madamas comentarle que termino su tiempo, </w:t>
      </w:r>
      <w:r w:rsidRPr="0030088F">
        <w:rPr>
          <w:rFonts w:ascii="Abadi" w:hAnsi="Abadi"/>
          <w:b/>
          <w:bCs/>
          <w:sz w:val="21"/>
          <w:szCs w:val="21"/>
        </w:rPr>
        <w:t xml:space="preserve">(Voz) diputado Víctor Manuel Zanella, </w:t>
      </w:r>
      <w:r w:rsidRPr="0030088F">
        <w:rPr>
          <w:rFonts w:ascii="Abadi" w:hAnsi="Abadi"/>
          <w:sz w:val="21"/>
          <w:szCs w:val="21"/>
        </w:rPr>
        <w:t xml:space="preserve">concluyo, la Secretaria Libia García, ha enviado, ha enviado a la Unidad de Transparencia del Ejecutivo, solicitar que esta información que fue clasificada no por un partido, sino porque el artículo 73 de la Ley de Transparencia y Acceso a la información de Guanajuato lo señala, pueda ser liberada una vez que se acaben las auditorias en curso y se han respondido más de 41 solicitudes de Acceso a la Información de esta materia, gracias. </w:t>
      </w:r>
    </w:p>
    <w:p w14:paraId="0A3EABC9" w14:textId="77777777" w:rsidR="00C701DC" w:rsidRPr="0030088F" w:rsidRDefault="00C701DC" w:rsidP="00005456">
      <w:pPr>
        <w:jc w:val="both"/>
        <w:rPr>
          <w:rFonts w:ascii="Abadi" w:hAnsi="Abadi"/>
          <w:sz w:val="21"/>
          <w:szCs w:val="21"/>
        </w:rPr>
      </w:pPr>
    </w:p>
    <w:p w14:paraId="5A45E5D1" w14:textId="77777777" w:rsidR="00005456" w:rsidRDefault="00005456" w:rsidP="00005456">
      <w:pPr>
        <w:pStyle w:val="Prrafodelista"/>
        <w:numPr>
          <w:ilvl w:val="0"/>
          <w:numId w:val="125"/>
        </w:numPr>
        <w:spacing w:after="160" w:line="259" w:lineRule="auto"/>
        <w:ind w:left="426"/>
        <w:contextualSpacing/>
        <w:jc w:val="both"/>
        <w:rPr>
          <w:rFonts w:ascii="Abadi" w:hAnsi="Abadi"/>
          <w:sz w:val="21"/>
          <w:szCs w:val="21"/>
        </w:rPr>
      </w:pPr>
      <w:r w:rsidRPr="0030088F">
        <w:rPr>
          <w:rFonts w:ascii="Abadi" w:hAnsi="Abadi"/>
          <w:b/>
          <w:bCs/>
          <w:sz w:val="21"/>
          <w:szCs w:val="21"/>
        </w:rPr>
        <w:lastRenderedPageBreak/>
        <w:t xml:space="preserve">La </w:t>
      </w:r>
      <w:proofErr w:type="gramStart"/>
      <w:r w:rsidRPr="0030088F">
        <w:rPr>
          <w:rFonts w:ascii="Abadi" w:hAnsi="Abadi"/>
          <w:b/>
          <w:bCs/>
          <w:sz w:val="21"/>
          <w:szCs w:val="21"/>
        </w:rPr>
        <w:t>Presidencia.-</w:t>
      </w:r>
      <w:proofErr w:type="gramEnd"/>
      <w:r w:rsidRPr="0030088F">
        <w:rPr>
          <w:rFonts w:ascii="Abadi" w:hAnsi="Abadi"/>
          <w:sz w:val="21"/>
          <w:szCs w:val="21"/>
        </w:rPr>
        <w:t xml:space="preserve"> Gracias diputada. </w:t>
      </w:r>
    </w:p>
    <w:p w14:paraId="54722364" w14:textId="77777777" w:rsidR="006C5CDD" w:rsidRPr="0030088F" w:rsidRDefault="006C5CDD" w:rsidP="006C5CDD">
      <w:pPr>
        <w:pStyle w:val="Prrafodelista"/>
        <w:spacing w:after="160" w:line="259" w:lineRule="auto"/>
        <w:ind w:left="426"/>
        <w:contextualSpacing/>
        <w:jc w:val="both"/>
        <w:rPr>
          <w:rFonts w:ascii="Abadi" w:hAnsi="Abadi"/>
          <w:sz w:val="21"/>
          <w:szCs w:val="21"/>
        </w:rPr>
      </w:pPr>
    </w:p>
    <w:p w14:paraId="5FEE0CD6" w14:textId="77777777" w:rsidR="00005456" w:rsidRPr="0030088F" w:rsidRDefault="00005456" w:rsidP="00005456">
      <w:pPr>
        <w:pStyle w:val="Prrafodelista"/>
        <w:numPr>
          <w:ilvl w:val="0"/>
          <w:numId w:val="125"/>
        </w:numPr>
        <w:spacing w:after="160" w:line="259" w:lineRule="auto"/>
        <w:ind w:left="426"/>
        <w:contextualSpacing/>
        <w:jc w:val="both"/>
        <w:rPr>
          <w:rFonts w:ascii="Abadi" w:hAnsi="Abadi"/>
          <w:sz w:val="21"/>
          <w:szCs w:val="21"/>
        </w:rPr>
      </w:pPr>
      <w:r w:rsidRPr="0030088F">
        <w:rPr>
          <w:rFonts w:ascii="Abadi" w:hAnsi="Abadi"/>
          <w:b/>
          <w:bCs/>
          <w:sz w:val="21"/>
          <w:szCs w:val="21"/>
        </w:rPr>
        <w:t>(Voz) diputada Alma Edwviges Alcaraz,</w:t>
      </w:r>
      <w:r w:rsidRPr="0030088F">
        <w:rPr>
          <w:rFonts w:ascii="Abadi" w:hAnsi="Abadi"/>
          <w:sz w:val="21"/>
          <w:szCs w:val="21"/>
        </w:rPr>
        <w:t xml:space="preserve"> las auditorias han sido absolutamente escasas, diputado Zanella.</w:t>
      </w:r>
    </w:p>
    <w:p w14:paraId="4A6F6135" w14:textId="77777777" w:rsidR="00005456" w:rsidRPr="0030088F" w:rsidRDefault="00005456" w:rsidP="00005456">
      <w:pPr>
        <w:pStyle w:val="Prrafodelista"/>
        <w:jc w:val="both"/>
        <w:rPr>
          <w:rFonts w:ascii="Abadi" w:hAnsi="Abadi"/>
          <w:sz w:val="21"/>
          <w:szCs w:val="21"/>
        </w:rPr>
      </w:pPr>
    </w:p>
    <w:p w14:paraId="2DF10493" w14:textId="77777777" w:rsidR="00005456" w:rsidRPr="0030088F" w:rsidRDefault="00005456" w:rsidP="00C701DC">
      <w:pPr>
        <w:pStyle w:val="Prrafodelista"/>
        <w:numPr>
          <w:ilvl w:val="0"/>
          <w:numId w:val="125"/>
        </w:numPr>
        <w:spacing w:after="160" w:line="259" w:lineRule="auto"/>
        <w:ind w:left="426"/>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Presidencia.-</w:t>
      </w:r>
      <w:proofErr w:type="gramEnd"/>
      <w:r w:rsidRPr="0030088F">
        <w:rPr>
          <w:rFonts w:ascii="Abadi" w:hAnsi="Abadi"/>
          <w:sz w:val="21"/>
          <w:szCs w:val="21"/>
        </w:rPr>
        <w:t xml:space="preserve"> ¿Diputada? no puede hacer uso de la voz en este momento. </w:t>
      </w:r>
    </w:p>
    <w:p w14:paraId="12493879" w14:textId="77777777" w:rsidR="00005456" w:rsidRPr="0030088F" w:rsidRDefault="00005456" w:rsidP="00005456">
      <w:pPr>
        <w:pStyle w:val="Prrafodelista"/>
        <w:jc w:val="both"/>
        <w:rPr>
          <w:rFonts w:ascii="Abadi" w:hAnsi="Abadi"/>
          <w:sz w:val="21"/>
          <w:szCs w:val="21"/>
        </w:rPr>
      </w:pPr>
    </w:p>
    <w:p w14:paraId="1E082EDC" w14:textId="77777777" w:rsidR="00005456" w:rsidRPr="0030088F" w:rsidRDefault="00005456" w:rsidP="00C701DC">
      <w:pPr>
        <w:pStyle w:val="Prrafodelista"/>
        <w:numPr>
          <w:ilvl w:val="0"/>
          <w:numId w:val="125"/>
        </w:numPr>
        <w:spacing w:after="160" w:line="259" w:lineRule="auto"/>
        <w:ind w:left="426"/>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Presidencia.-</w:t>
      </w:r>
      <w:proofErr w:type="gramEnd"/>
      <w:r w:rsidRPr="0030088F">
        <w:rPr>
          <w:rFonts w:ascii="Abadi" w:hAnsi="Abadi"/>
          <w:sz w:val="21"/>
          <w:szCs w:val="21"/>
        </w:rPr>
        <w:t xml:space="preserve"> ¿Diputado Secretario? el resultado.</w:t>
      </w:r>
    </w:p>
    <w:p w14:paraId="3AFA6A8A" w14:textId="77777777" w:rsidR="00005456" w:rsidRPr="0030088F" w:rsidRDefault="00005456" w:rsidP="00005456">
      <w:pPr>
        <w:pStyle w:val="Prrafodelista"/>
        <w:jc w:val="both"/>
        <w:rPr>
          <w:rFonts w:ascii="Abadi" w:hAnsi="Abadi"/>
          <w:sz w:val="21"/>
          <w:szCs w:val="21"/>
        </w:rPr>
      </w:pPr>
    </w:p>
    <w:p w14:paraId="33D607F3" w14:textId="77777777" w:rsidR="00005456" w:rsidRPr="0030088F" w:rsidRDefault="00005456" w:rsidP="00005456">
      <w:pPr>
        <w:pStyle w:val="Prrafodelista"/>
        <w:ind w:left="0"/>
        <w:jc w:val="both"/>
        <w:rPr>
          <w:rFonts w:ascii="Abadi" w:hAnsi="Abadi"/>
          <w:sz w:val="21"/>
          <w:szCs w:val="21"/>
        </w:rPr>
      </w:pPr>
      <w:r w:rsidRPr="0030088F">
        <w:rPr>
          <w:rFonts w:ascii="Abadi" w:hAnsi="Abadi"/>
          <w:b/>
          <w:bCs/>
          <w:sz w:val="21"/>
          <w:szCs w:val="21"/>
        </w:rPr>
        <w:t>(Voz) diputada Hades Berenice,</w:t>
      </w:r>
      <w:r w:rsidRPr="0030088F">
        <w:rPr>
          <w:rFonts w:ascii="Abadi" w:hAnsi="Abadi"/>
          <w:sz w:val="21"/>
          <w:szCs w:val="21"/>
        </w:rPr>
        <w:t xml:space="preserve"> yo le aplaste, pero </w:t>
      </w:r>
      <w:r w:rsidRPr="0030088F">
        <w:rPr>
          <w:rFonts w:ascii="Abadi" w:hAnsi="Abadi"/>
          <w:b/>
          <w:bCs/>
          <w:sz w:val="21"/>
          <w:szCs w:val="21"/>
        </w:rPr>
        <w:t>(Voz) diputada Presidenta,</w:t>
      </w:r>
      <w:r w:rsidRPr="0030088F">
        <w:rPr>
          <w:rFonts w:ascii="Abadi" w:hAnsi="Abadi"/>
          <w:sz w:val="21"/>
          <w:szCs w:val="21"/>
        </w:rPr>
        <w:t xml:space="preserve"> ¡perdón! diputada ¿para </w:t>
      </w:r>
      <w:proofErr w:type="spellStart"/>
      <w:r w:rsidRPr="0030088F">
        <w:rPr>
          <w:rFonts w:ascii="Abadi" w:hAnsi="Abadi"/>
          <w:sz w:val="21"/>
          <w:szCs w:val="21"/>
        </w:rPr>
        <w:t>que</w:t>
      </w:r>
      <w:proofErr w:type="spellEnd"/>
      <w:r w:rsidRPr="0030088F">
        <w:rPr>
          <w:rFonts w:ascii="Abadi" w:hAnsi="Abadi"/>
          <w:sz w:val="21"/>
          <w:szCs w:val="21"/>
        </w:rPr>
        <w:t xml:space="preserve"> efecto? </w:t>
      </w:r>
      <w:r w:rsidRPr="0030088F">
        <w:rPr>
          <w:rFonts w:ascii="Abadi" w:hAnsi="Abadi"/>
          <w:b/>
          <w:bCs/>
          <w:sz w:val="21"/>
          <w:szCs w:val="21"/>
        </w:rPr>
        <w:t xml:space="preserve">(Voz) diputada Hades, </w:t>
      </w:r>
      <w:r w:rsidRPr="0030088F">
        <w:rPr>
          <w:rFonts w:ascii="Abadi" w:hAnsi="Abadi"/>
          <w:sz w:val="21"/>
          <w:szCs w:val="21"/>
        </w:rPr>
        <w:t xml:space="preserve">ahorita le aplaste, nada más para decirle que no sea ¡mentiroso! diputado, de una vez se lo digo que miente con toda su boca </w:t>
      </w:r>
      <w:r w:rsidRPr="0030088F">
        <w:rPr>
          <w:rFonts w:ascii="Abadi" w:hAnsi="Abadi"/>
          <w:b/>
          <w:bCs/>
          <w:sz w:val="21"/>
          <w:szCs w:val="21"/>
        </w:rPr>
        <w:t>(Voz) diputada Presidenta</w:t>
      </w:r>
      <w:r w:rsidRPr="0030088F">
        <w:rPr>
          <w:rFonts w:ascii="Abadi" w:hAnsi="Abadi"/>
          <w:sz w:val="21"/>
          <w:szCs w:val="21"/>
        </w:rPr>
        <w:t>, haber diputada, no es momento para ¿diputado? No es momento para hacer debate, diputada Hades, le pido también guardar el orden, estamos en el razonamiento del voto, vamos a contar el resultado, para darle continuidad para darle tramite a esta sesión. Muchas gracias por su compresión.</w:t>
      </w:r>
    </w:p>
    <w:p w14:paraId="34FBCA9F" w14:textId="77777777" w:rsidR="00005456" w:rsidRPr="0030088F" w:rsidRDefault="00005456" w:rsidP="00005456">
      <w:pPr>
        <w:pStyle w:val="Prrafodelista"/>
        <w:ind w:left="0"/>
        <w:jc w:val="both"/>
        <w:rPr>
          <w:rFonts w:ascii="Abadi" w:hAnsi="Abadi"/>
          <w:sz w:val="21"/>
          <w:szCs w:val="21"/>
        </w:rPr>
      </w:pPr>
    </w:p>
    <w:p w14:paraId="70BEEB04" w14:textId="48A18724" w:rsidR="00005456" w:rsidRPr="0030088F" w:rsidRDefault="00C701DC" w:rsidP="006C5CDD">
      <w:pPr>
        <w:pStyle w:val="Prrafodelista"/>
        <w:ind w:left="0"/>
        <w:jc w:val="both"/>
        <w:rPr>
          <w:rFonts w:ascii="Abadi" w:hAnsi="Abadi"/>
          <w:sz w:val="21"/>
          <w:szCs w:val="21"/>
        </w:rPr>
      </w:pPr>
      <w:r w:rsidRPr="0030088F">
        <w:rPr>
          <w:rFonts w:ascii="Abadi" w:hAnsi="Abadi"/>
          <w:noProof/>
          <w:sz w:val="21"/>
          <w:szCs w:val="21"/>
        </w:rPr>
        <w:drawing>
          <wp:anchor distT="0" distB="0" distL="114300" distR="114300" simplePos="0" relativeHeight="251658260" behindDoc="1" locked="0" layoutInCell="1" allowOverlap="1" wp14:anchorId="61A1B2FA" wp14:editId="78F03C43">
            <wp:simplePos x="0" y="0"/>
            <wp:positionH relativeFrom="margin">
              <wp:posOffset>510540</wp:posOffset>
            </wp:positionH>
            <wp:positionV relativeFrom="paragraph">
              <wp:posOffset>307975</wp:posOffset>
            </wp:positionV>
            <wp:extent cx="1590675" cy="806450"/>
            <wp:effectExtent l="247650" t="247650" r="257175" b="241300"/>
            <wp:wrapTight wrapText="bothSides">
              <wp:wrapPolygon edited="0">
                <wp:start x="-2069" y="-6633"/>
                <wp:lineTo x="-3363" y="-5613"/>
                <wp:lineTo x="-3363" y="20409"/>
                <wp:lineTo x="-2069" y="27553"/>
                <wp:lineTo x="23540" y="27553"/>
                <wp:lineTo x="24834" y="19389"/>
                <wp:lineTo x="24834" y="2551"/>
                <wp:lineTo x="23540" y="-5102"/>
                <wp:lineTo x="23540" y="-6633"/>
                <wp:lineTo x="-2069" y="-6633"/>
              </wp:wrapPolygon>
            </wp:wrapTight>
            <wp:docPr id="1518274323" name="Imagen 1518274323"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274323" name="Imagen 1" descr="Interfaz de usuario gráfica, Aplicación, Sitio web&#10;&#10;Descripción generada automáticamente"/>
                    <pic:cNvPicPr/>
                  </pic:nvPicPr>
                  <pic:blipFill rotWithShape="1">
                    <a:blip r:embed="rId41" cstate="print">
                      <a:extLst>
                        <a:ext uri="{28A0092B-C50C-407E-A947-70E740481C1C}">
                          <a14:useLocalDpi xmlns:a14="http://schemas.microsoft.com/office/drawing/2010/main" val="0"/>
                        </a:ext>
                      </a:extLst>
                    </a:blip>
                    <a:srcRect b="9785"/>
                    <a:stretch/>
                  </pic:blipFill>
                  <pic:spPr bwMode="auto">
                    <a:xfrm>
                      <a:off x="0" y="0"/>
                      <a:ext cx="1590675" cy="80645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5CDD">
        <w:rPr>
          <w:rFonts w:ascii="Abadi" w:hAnsi="Abadi"/>
          <w:b/>
          <w:bCs/>
          <w:sz w:val="21"/>
          <w:szCs w:val="21"/>
        </w:rPr>
        <w:tab/>
        <w:t xml:space="preserve">- </w:t>
      </w:r>
      <w:r w:rsidR="00005456" w:rsidRPr="0030088F">
        <w:rPr>
          <w:rFonts w:ascii="Abadi" w:hAnsi="Abadi"/>
          <w:b/>
          <w:bCs/>
          <w:sz w:val="21"/>
          <w:szCs w:val="21"/>
        </w:rPr>
        <w:t xml:space="preserve">La </w:t>
      </w:r>
      <w:proofErr w:type="gramStart"/>
      <w:r w:rsidR="00005456" w:rsidRPr="0030088F">
        <w:rPr>
          <w:rFonts w:ascii="Abadi" w:hAnsi="Abadi"/>
          <w:b/>
          <w:bCs/>
          <w:sz w:val="21"/>
          <w:szCs w:val="21"/>
        </w:rPr>
        <w:t>Secretaría.-</w:t>
      </w:r>
      <w:proofErr w:type="gramEnd"/>
      <w:r w:rsidR="00005456" w:rsidRPr="0030088F">
        <w:rPr>
          <w:rFonts w:ascii="Abadi" w:hAnsi="Abadi"/>
          <w:sz w:val="21"/>
          <w:szCs w:val="21"/>
        </w:rPr>
        <w:t xml:space="preserve"> Le informo presidenta que se han emitido 9 votos a favor, 24 votos en contra. </w:t>
      </w:r>
    </w:p>
    <w:p w14:paraId="674AFE0C" w14:textId="77777777" w:rsidR="00005456" w:rsidRPr="0030088F" w:rsidRDefault="00005456" w:rsidP="00005456">
      <w:pPr>
        <w:pStyle w:val="Prrafodelista"/>
        <w:ind w:left="0"/>
        <w:jc w:val="both"/>
        <w:rPr>
          <w:rFonts w:ascii="Abadi" w:hAnsi="Abadi"/>
          <w:b/>
          <w:bCs/>
          <w:sz w:val="21"/>
          <w:szCs w:val="21"/>
        </w:rPr>
      </w:pPr>
    </w:p>
    <w:p w14:paraId="43010D77" w14:textId="77777777" w:rsidR="00005456" w:rsidRPr="0030088F" w:rsidRDefault="00005456" w:rsidP="00005456">
      <w:pPr>
        <w:pStyle w:val="Prrafodelista"/>
        <w:numPr>
          <w:ilvl w:val="0"/>
          <w:numId w:val="125"/>
        </w:numPr>
        <w:spacing w:after="160" w:line="259" w:lineRule="auto"/>
        <w:ind w:left="426"/>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 xml:space="preserve">Gracias diputado. </w:t>
      </w:r>
    </w:p>
    <w:p w14:paraId="1A6E78C8" w14:textId="77777777" w:rsidR="00005456" w:rsidRPr="0030088F" w:rsidRDefault="00005456" w:rsidP="00005456">
      <w:pPr>
        <w:pStyle w:val="Prrafodelista"/>
        <w:jc w:val="both"/>
        <w:rPr>
          <w:rFonts w:ascii="Abadi" w:hAnsi="Abadi"/>
          <w:sz w:val="21"/>
          <w:szCs w:val="21"/>
        </w:rPr>
      </w:pPr>
    </w:p>
    <w:p w14:paraId="1B1C4F60" w14:textId="77777777" w:rsidR="00005456" w:rsidRPr="0030088F" w:rsidRDefault="00005456" w:rsidP="006C5CDD">
      <w:pPr>
        <w:ind w:left="993" w:right="992"/>
        <w:jc w:val="both"/>
        <w:rPr>
          <w:rFonts w:ascii="Abadi" w:hAnsi="Abadi"/>
          <w:b/>
          <w:bCs/>
          <w:i/>
          <w:iCs/>
          <w:sz w:val="21"/>
          <w:szCs w:val="21"/>
          <w:u w:val="single"/>
        </w:rPr>
      </w:pPr>
      <w:r w:rsidRPr="0030088F">
        <w:rPr>
          <w:rFonts w:ascii="Abadi" w:hAnsi="Abadi"/>
          <w:b/>
          <w:bCs/>
          <w:i/>
          <w:iCs/>
          <w:sz w:val="21"/>
          <w:szCs w:val="21"/>
          <w:u w:val="single"/>
        </w:rPr>
        <w:t xml:space="preserve">En virtud de no aprobarse el punto de acuerdo se procede a su archivo definitivo instruyéndose a la Secretaría General. </w:t>
      </w:r>
    </w:p>
    <w:p w14:paraId="39F38A44" w14:textId="77777777" w:rsidR="00C701DC" w:rsidRPr="0030088F" w:rsidRDefault="00C701DC" w:rsidP="00005456">
      <w:pPr>
        <w:ind w:left="993" w:right="1467"/>
        <w:jc w:val="both"/>
        <w:rPr>
          <w:rFonts w:ascii="Abadi" w:hAnsi="Abadi"/>
          <w:b/>
          <w:bCs/>
          <w:i/>
          <w:iCs/>
          <w:sz w:val="21"/>
          <w:szCs w:val="21"/>
          <w:u w:val="single"/>
        </w:rPr>
      </w:pPr>
    </w:p>
    <w:p w14:paraId="281DCAA0" w14:textId="77777777" w:rsidR="00005456" w:rsidRPr="0030088F" w:rsidRDefault="00005456" w:rsidP="00C701DC">
      <w:pPr>
        <w:pStyle w:val="Prrafodelista"/>
        <w:numPr>
          <w:ilvl w:val="0"/>
          <w:numId w:val="125"/>
        </w:numPr>
        <w:spacing w:after="160" w:line="259" w:lineRule="auto"/>
        <w:ind w:left="284" w:hanging="284"/>
        <w:contextualSpacing/>
        <w:jc w:val="both"/>
        <w:rPr>
          <w:rFonts w:ascii="Abadi" w:hAnsi="Abadi"/>
          <w:sz w:val="21"/>
          <w:szCs w:val="21"/>
        </w:rPr>
      </w:pPr>
      <w:r w:rsidRPr="0030088F">
        <w:rPr>
          <w:rFonts w:ascii="Abadi" w:hAnsi="Abadi"/>
          <w:sz w:val="21"/>
          <w:szCs w:val="21"/>
        </w:rPr>
        <w:t xml:space="preserve">Esta Presidencia da la más cordial bienvenida al Grupo de Niños y Padres de familia y docentes de la Escuela Primaria, Leona Vicario, </w:t>
      </w:r>
      <w:r>
        <w:rPr>
          <w:rFonts w:ascii="Abadi" w:hAnsi="Abadi"/>
          <w:sz w:val="21"/>
          <w:szCs w:val="21"/>
        </w:rPr>
        <w:t xml:space="preserve">del municipio de San Luis de </w:t>
      </w:r>
      <w:r>
        <w:rPr>
          <w:rFonts w:ascii="Abadi" w:hAnsi="Abadi"/>
          <w:sz w:val="21"/>
          <w:szCs w:val="21"/>
        </w:rPr>
        <w:t>la Paz, i</w:t>
      </w:r>
      <w:r w:rsidRPr="0030088F">
        <w:rPr>
          <w:rFonts w:ascii="Abadi" w:hAnsi="Abadi"/>
          <w:sz w:val="21"/>
          <w:szCs w:val="21"/>
        </w:rPr>
        <w:t xml:space="preserve">nvitados por el diputado Armando Rangel Hernández. </w:t>
      </w:r>
    </w:p>
    <w:p w14:paraId="19F3312C" w14:textId="77777777" w:rsidR="00005456" w:rsidRPr="0030088F" w:rsidRDefault="00005456" w:rsidP="00005456">
      <w:pPr>
        <w:ind w:left="-76" w:firstLine="76"/>
        <w:jc w:val="both"/>
        <w:rPr>
          <w:rFonts w:ascii="Abadi" w:hAnsi="Abadi"/>
          <w:sz w:val="21"/>
          <w:szCs w:val="21"/>
        </w:rPr>
      </w:pPr>
      <w:r w:rsidRPr="0030088F">
        <w:rPr>
          <w:rFonts w:ascii="Abadi" w:hAnsi="Abadi"/>
          <w:b/>
          <w:bCs/>
          <w:sz w:val="21"/>
          <w:szCs w:val="21"/>
        </w:rPr>
        <w:tab/>
        <w:t xml:space="preserve">- La </w:t>
      </w:r>
      <w:proofErr w:type="gramStart"/>
      <w:r w:rsidRPr="0030088F">
        <w:rPr>
          <w:rFonts w:ascii="Abadi" w:hAnsi="Abadi"/>
          <w:b/>
          <w:bCs/>
          <w:sz w:val="21"/>
          <w:szCs w:val="21"/>
        </w:rPr>
        <w:t>Presidencia.-</w:t>
      </w:r>
      <w:proofErr w:type="gramEnd"/>
      <w:r w:rsidRPr="0030088F">
        <w:rPr>
          <w:rFonts w:ascii="Abadi" w:hAnsi="Abadi"/>
          <w:sz w:val="21"/>
          <w:szCs w:val="21"/>
        </w:rPr>
        <w:t xml:space="preserve"> Con el objeto de agilizar el </w:t>
      </w:r>
      <w:proofErr w:type="spellStart"/>
      <w:r w:rsidRPr="0030088F">
        <w:rPr>
          <w:rFonts w:ascii="Abadi" w:hAnsi="Abadi"/>
          <w:sz w:val="21"/>
          <w:szCs w:val="21"/>
        </w:rPr>
        <w:t>tramite</w:t>
      </w:r>
      <w:proofErr w:type="spellEnd"/>
      <w:r w:rsidRPr="0030088F">
        <w:rPr>
          <w:rFonts w:ascii="Abadi" w:hAnsi="Abadi"/>
          <w:sz w:val="21"/>
          <w:szCs w:val="21"/>
        </w:rPr>
        <w:t xml:space="preserve"> parlamentario, en los puntos agendados de los puntos del 17 al 51 del orden del día y en virtud de haberse proporcionado con anticipación así como de encontrarse en la Gaceta Parlamentaria esta Presidencia prop</w:t>
      </w:r>
      <w:r>
        <w:rPr>
          <w:rFonts w:ascii="Abadi" w:hAnsi="Abadi"/>
          <w:sz w:val="21"/>
          <w:szCs w:val="21"/>
        </w:rPr>
        <w:t>o</w:t>
      </w:r>
      <w:r w:rsidRPr="0030088F">
        <w:rPr>
          <w:rFonts w:ascii="Abadi" w:hAnsi="Abadi"/>
          <w:sz w:val="21"/>
          <w:szCs w:val="21"/>
        </w:rPr>
        <w:t xml:space="preserve">ne se dispense la lectura de los mismos. De igual forma se propone que los informes formulados por la Comisión de Administración agendados en los puntos del 17 al 19 y los dictámenes emitidos por la Comisión de Hacienda y Fiscalización agendados en los puntos del 32 al 51 del orden del día sean sometidos a votación y posterior votación en dos actos. La propuesta está a consideración de la Asamblea si desean hacer uso de la palabra les pido lo indiquen a esta Presidencia. No habiendo intervenciones se pide a la Secretaría que a través del sistema electronico, pregunte a la Asamblea si se aprueba, la propuesta. </w:t>
      </w:r>
    </w:p>
    <w:p w14:paraId="7864C671" w14:textId="77777777" w:rsidR="00C701DC" w:rsidRPr="0030088F" w:rsidRDefault="00C701DC" w:rsidP="00005456">
      <w:pPr>
        <w:ind w:left="-76" w:firstLine="76"/>
        <w:jc w:val="both"/>
        <w:rPr>
          <w:rFonts w:ascii="Abadi" w:hAnsi="Abadi"/>
          <w:sz w:val="21"/>
          <w:szCs w:val="21"/>
        </w:rPr>
      </w:pPr>
    </w:p>
    <w:p w14:paraId="21B21EAE" w14:textId="77777777" w:rsidR="00005456" w:rsidRPr="0030088F" w:rsidRDefault="00005456" w:rsidP="00005456">
      <w:pPr>
        <w:ind w:left="-76" w:firstLine="76"/>
        <w:jc w:val="both"/>
        <w:rPr>
          <w:rFonts w:ascii="Abadi" w:hAnsi="Abadi"/>
          <w:b/>
          <w:bCs/>
          <w:sz w:val="21"/>
          <w:szCs w:val="21"/>
        </w:rPr>
      </w:pPr>
      <w:r w:rsidRPr="0030088F">
        <w:rPr>
          <w:rFonts w:ascii="Abadi" w:hAnsi="Abadi"/>
          <w:b/>
          <w:bCs/>
          <w:sz w:val="21"/>
          <w:szCs w:val="21"/>
        </w:rPr>
        <w:t>(Se abre el sistema electronico)</w:t>
      </w:r>
    </w:p>
    <w:p w14:paraId="49FACED4" w14:textId="77777777" w:rsidR="00C701DC" w:rsidRPr="0030088F" w:rsidRDefault="00C701DC" w:rsidP="00005456">
      <w:pPr>
        <w:ind w:left="-76" w:firstLine="76"/>
        <w:jc w:val="both"/>
        <w:rPr>
          <w:rFonts w:ascii="Abadi" w:hAnsi="Abadi"/>
          <w:b/>
          <w:bCs/>
          <w:sz w:val="21"/>
          <w:szCs w:val="21"/>
        </w:rPr>
      </w:pPr>
    </w:p>
    <w:p w14:paraId="494FCDCE" w14:textId="77777777" w:rsidR="00005456" w:rsidRPr="0030088F" w:rsidRDefault="00005456" w:rsidP="00BB1239">
      <w:pPr>
        <w:pStyle w:val="Prrafodelista"/>
        <w:numPr>
          <w:ilvl w:val="0"/>
          <w:numId w:val="125"/>
        </w:numPr>
        <w:spacing w:after="160" w:line="259" w:lineRule="auto"/>
        <w:ind w:left="0" w:firstLine="0"/>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Secretaría.-</w:t>
      </w:r>
      <w:proofErr w:type="gramEnd"/>
      <w:r w:rsidRPr="0030088F">
        <w:rPr>
          <w:rFonts w:ascii="Abadi" w:hAnsi="Abadi"/>
          <w:b/>
          <w:bCs/>
          <w:sz w:val="21"/>
          <w:szCs w:val="21"/>
        </w:rPr>
        <w:t xml:space="preserve"> </w:t>
      </w:r>
      <w:r w:rsidRPr="0030088F">
        <w:rPr>
          <w:rFonts w:ascii="Abadi" w:hAnsi="Abadi"/>
          <w:sz w:val="21"/>
          <w:szCs w:val="21"/>
        </w:rPr>
        <w:t xml:space="preserve">Por instrucciones de la Presidencia, en votación económica, se les pregunta si se aprueba la propuesta que nos ocupa, esto mediante el sistema electronico. </w:t>
      </w:r>
    </w:p>
    <w:p w14:paraId="15973473" w14:textId="77777777" w:rsidR="00005456" w:rsidRPr="0030088F" w:rsidRDefault="00005456" w:rsidP="00005456">
      <w:pPr>
        <w:ind w:left="66"/>
        <w:jc w:val="both"/>
        <w:rPr>
          <w:rFonts w:ascii="Abadi" w:hAnsi="Abadi"/>
          <w:sz w:val="21"/>
          <w:szCs w:val="21"/>
        </w:rPr>
      </w:pPr>
      <w:r w:rsidRPr="0030088F">
        <w:rPr>
          <w:rFonts w:ascii="Abadi" w:hAnsi="Abadi"/>
          <w:sz w:val="21"/>
          <w:szCs w:val="21"/>
        </w:rPr>
        <w:t>¿falta alguna diputada, algún diputado de emitir su voto?</w:t>
      </w:r>
    </w:p>
    <w:p w14:paraId="4B290176" w14:textId="77777777" w:rsidR="00C701DC" w:rsidRPr="0030088F" w:rsidRDefault="00C701DC" w:rsidP="00005456">
      <w:pPr>
        <w:ind w:left="66"/>
        <w:jc w:val="both"/>
        <w:rPr>
          <w:rFonts w:ascii="Abadi" w:hAnsi="Abadi"/>
          <w:sz w:val="21"/>
          <w:szCs w:val="21"/>
        </w:rPr>
      </w:pPr>
    </w:p>
    <w:p w14:paraId="64C3E6BC" w14:textId="77777777" w:rsidR="00005456" w:rsidRPr="0030088F" w:rsidRDefault="00005456" w:rsidP="00005456">
      <w:pPr>
        <w:ind w:left="66"/>
        <w:jc w:val="both"/>
        <w:rPr>
          <w:rFonts w:ascii="Abadi" w:hAnsi="Abadi"/>
          <w:b/>
          <w:bCs/>
          <w:sz w:val="21"/>
          <w:szCs w:val="21"/>
        </w:rPr>
      </w:pPr>
      <w:r w:rsidRPr="0030088F">
        <w:rPr>
          <w:rFonts w:ascii="Abadi" w:hAnsi="Abadi"/>
          <w:b/>
          <w:bCs/>
          <w:sz w:val="21"/>
          <w:szCs w:val="21"/>
        </w:rPr>
        <w:t>(se cierra el sistema electronico)</w:t>
      </w:r>
    </w:p>
    <w:p w14:paraId="4A7794A9" w14:textId="77777777" w:rsidR="00005456" w:rsidRPr="0030088F" w:rsidRDefault="00005456" w:rsidP="00005456">
      <w:pPr>
        <w:jc w:val="both"/>
        <w:rPr>
          <w:rFonts w:ascii="Abadi" w:hAnsi="Abadi"/>
          <w:sz w:val="21"/>
          <w:szCs w:val="21"/>
        </w:rPr>
      </w:pPr>
    </w:p>
    <w:p w14:paraId="688EF37B" w14:textId="77777777" w:rsidR="00005456" w:rsidRPr="0030088F" w:rsidRDefault="00C701DC" w:rsidP="00005456">
      <w:pPr>
        <w:jc w:val="both"/>
        <w:rPr>
          <w:rFonts w:ascii="Abadi" w:hAnsi="Abadi"/>
          <w:sz w:val="21"/>
          <w:szCs w:val="21"/>
        </w:rPr>
      </w:pPr>
      <w:r w:rsidRPr="0030088F">
        <w:rPr>
          <w:rFonts w:ascii="Abadi" w:hAnsi="Abadi"/>
          <w:noProof/>
          <w:sz w:val="21"/>
          <w:szCs w:val="21"/>
        </w:rPr>
        <w:drawing>
          <wp:anchor distT="0" distB="0" distL="114300" distR="114300" simplePos="0" relativeHeight="251658261" behindDoc="1" locked="0" layoutInCell="1" allowOverlap="1" wp14:anchorId="4CCE1E7E" wp14:editId="4164BD13">
            <wp:simplePos x="0" y="0"/>
            <wp:positionH relativeFrom="column">
              <wp:posOffset>632460</wp:posOffset>
            </wp:positionH>
            <wp:positionV relativeFrom="paragraph">
              <wp:posOffset>169545</wp:posOffset>
            </wp:positionV>
            <wp:extent cx="1421765" cy="718820"/>
            <wp:effectExtent l="209550" t="209550" r="216535" b="214630"/>
            <wp:wrapTight wrapText="bothSides">
              <wp:wrapPolygon edited="0">
                <wp:start x="-2605" y="-6297"/>
                <wp:lineTo x="-3184" y="-5152"/>
                <wp:lineTo x="-3184" y="22898"/>
                <wp:lineTo x="-2605" y="27477"/>
                <wp:lineTo x="24021" y="27477"/>
                <wp:lineTo x="24600" y="22325"/>
                <wp:lineTo x="24600" y="4007"/>
                <wp:lineTo x="24021" y="-4580"/>
                <wp:lineTo x="24021" y="-6297"/>
                <wp:lineTo x="-2605" y="-6297"/>
              </wp:wrapPolygon>
            </wp:wrapTight>
            <wp:docPr id="150798222" name="Imagen 15079822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98222" name="Imagen 1" descr="Interfaz de usuario gráfica, Sitio web&#10;&#10;Descripción generada automáticamente"/>
                    <pic:cNvPicPr/>
                  </pic:nvPicPr>
                  <pic:blipFill rotWithShape="1">
                    <a:blip r:embed="rId42" cstate="print">
                      <a:extLst>
                        <a:ext uri="{28A0092B-C50C-407E-A947-70E740481C1C}">
                          <a14:useLocalDpi xmlns:a14="http://schemas.microsoft.com/office/drawing/2010/main" val="0"/>
                        </a:ext>
                      </a:extLst>
                    </a:blip>
                    <a:srcRect b="10037"/>
                    <a:stretch/>
                  </pic:blipFill>
                  <pic:spPr bwMode="auto">
                    <a:xfrm>
                      <a:off x="0" y="0"/>
                      <a:ext cx="1421765" cy="718820"/>
                    </a:xfrm>
                    <a:prstGeom prst="rect">
                      <a:avLst/>
                    </a:prstGeom>
                    <a:ln w="88900" cap="sq" cmpd="thickThin">
                      <a:solidFill>
                        <a:srgbClr val="000000"/>
                      </a:solidFill>
                      <a:prstDash val="solid"/>
                      <a:miter lim="800000"/>
                    </a:ln>
                    <a:effectLst>
                      <a:glow rad="1016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F1F9897" w14:textId="77777777" w:rsidR="00005456" w:rsidRPr="0030088F" w:rsidRDefault="00005456" w:rsidP="00005456">
      <w:pPr>
        <w:pStyle w:val="Prrafodelista"/>
        <w:numPr>
          <w:ilvl w:val="0"/>
          <w:numId w:val="125"/>
        </w:numPr>
        <w:spacing w:after="160" w:line="259" w:lineRule="auto"/>
        <w:ind w:left="0" w:firstLine="0"/>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Secretaría.-</w:t>
      </w:r>
      <w:proofErr w:type="gramEnd"/>
      <w:r w:rsidRPr="0030088F">
        <w:rPr>
          <w:rFonts w:ascii="Abadi" w:hAnsi="Abadi"/>
          <w:sz w:val="21"/>
          <w:szCs w:val="21"/>
        </w:rPr>
        <w:t xml:space="preserve"> Presidenta le informo presidenta que se han emitido 34 votos a favor, 0 votos en contra. </w:t>
      </w:r>
    </w:p>
    <w:p w14:paraId="0A2DA9B5" w14:textId="77777777" w:rsidR="00005456" w:rsidRPr="0030088F" w:rsidRDefault="00005456" w:rsidP="00005456">
      <w:pPr>
        <w:pStyle w:val="Prrafodelista"/>
        <w:ind w:left="0"/>
        <w:jc w:val="both"/>
        <w:rPr>
          <w:rFonts w:ascii="Abadi" w:hAnsi="Abadi"/>
          <w:b/>
          <w:bCs/>
          <w:sz w:val="21"/>
          <w:szCs w:val="21"/>
        </w:rPr>
      </w:pPr>
    </w:p>
    <w:p w14:paraId="14D437DC" w14:textId="77777777" w:rsidR="00005456" w:rsidRPr="0030088F" w:rsidRDefault="00005456" w:rsidP="00C701DC">
      <w:pPr>
        <w:pStyle w:val="Prrafodelista"/>
        <w:numPr>
          <w:ilvl w:val="0"/>
          <w:numId w:val="125"/>
        </w:numPr>
        <w:spacing w:after="160" w:line="259" w:lineRule="auto"/>
        <w:ind w:left="0" w:firstLine="0"/>
        <w:contextualSpacing/>
        <w:jc w:val="both"/>
        <w:rPr>
          <w:rFonts w:ascii="Abadi" w:hAnsi="Abadi"/>
          <w:sz w:val="21"/>
          <w:szCs w:val="21"/>
        </w:rPr>
      </w:pPr>
      <w:r w:rsidRPr="0030088F">
        <w:rPr>
          <w:rFonts w:ascii="Abadi" w:hAnsi="Abadi"/>
          <w:b/>
          <w:bCs/>
          <w:sz w:val="21"/>
          <w:szCs w:val="21"/>
        </w:rPr>
        <w:t xml:space="preserve">La </w:t>
      </w:r>
      <w:proofErr w:type="gramStart"/>
      <w:r w:rsidRPr="0030088F">
        <w:rPr>
          <w:rFonts w:ascii="Abadi" w:hAnsi="Abadi"/>
          <w:b/>
          <w:bCs/>
          <w:sz w:val="21"/>
          <w:szCs w:val="21"/>
        </w:rPr>
        <w:t>Presidencia.-</w:t>
      </w:r>
      <w:proofErr w:type="gramEnd"/>
      <w:r w:rsidRPr="0030088F">
        <w:rPr>
          <w:rFonts w:ascii="Abadi" w:hAnsi="Abadi"/>
          <w:b/>
          <w:bCs/>
          <w:sz w:val="21"/>
          <w:szCs w:val="21"/>
        </w:rPr>
        <w:t xml:space="preserve"> </w:t>
      </w:r>
      <w:r w:rsidRPr="0030088F">
        <w:rPr>
          <w:rFonts w:ascii="Abadi" w:hAnsi="Abadi"/>
          <w:sz w:val="21"/>
          <w:szCs w:val="21"/>
        </w:rPr>
        <w:t xml:space="preserve">La Propuesta ha sido aprobada por mayoría de votos. </w:t>
      </w:r>
    </w:p>
    <w:p w14:paraId="2C6FA1C1" w14:textId="77777777" w:rsidR="00005456" w:rsidRPr="0030088F" w:rsidRDefault="00005456" w:rsidP="00005456">
      <w:pPr>
        <w:pStyle w:val="Prrafodelista"/>
        <w:jc w:val="both"/>
        <w:rPr>
          <w:rFonts w:ascii="Abadi" w:hAnsi="Abadi"/>
          <w:sz w:val="21"/>
          <w:szCs w:val="21"/>
        </w:rPr>
      </w:pPr>
    </w:p>
    <w:p w14:paraId="519D30BE" w14:textId="77777777" w:rsidR="00005456" w:rsidRPr="0030088F" w:rsidRDefault="00005456" w:rsidP="00005456">
      <w:pPr>
        <w:pStyle w:val="Prrafodelista"/>
        <w:numPr>
          <w:ilvl w:val="0"/>
          <w:numId w:val="125"/>
        </w:numPr>
        <w:spacing w:after="160" w:line="259" w:lineRule="auto"/>
        <w:ind w:left="426"/>
        <w:contextualSpacing/>
        <w:jc w:val="both"/>
        <w:rPr>
          <w:rFonts w:ascii="Abadi" w:hAnsi="Abadi"/>
          <w:sz w:val="21"/>
          <w:szCs w:val="21"/>
        </w:rPr>
      </w:pPr>
      <w:r>
        <w:rPr>
          <w:rFonts w:ascii="Abadi" w:hAnsi="Abadi"/>
          <w:sz w:val="21"/>
          <w:szCs w:val="21"/>
        </w:rPr>
        <w:t>En</w:t>
      </w:r>
      <w:r w:rsidRPr="0030088F">
        <w:rPr>
          <w:rFonts w:ascii="Abadi" w:hAnsi="Abadi"/>
          <w:sz w:val="21"/>
          <w:szCs w:val="21"/>
        </w:rPr>
        <w:t xml:space="preserve"> estos mismos términos continuaremos con el desahogo del orden del día.  </w:t>
      </w:r>
    </w:p>
    <w:p w14:paraId="22C45729" w14:textId="77777777" w:rsidR="00B13F01" w:rsidRDefault="00B13F01" w:rsidP="00C701DC">
      <w:pPr>
        <w:pStyle w:val="Prrafodelista"/>
        <w:autoSpaceDE w:val="0"/>
        <w:autoSpaceDN w:val="0"/>
        <w:adjustRightInd w:val="0"/>
        <w:ind w:left="426"/>
        <w:contextualSpacing/>
        <w:jc w:val="both"/>
        <w:rPr>
          <w:rFonts w:ascii="Abadi" w:hAnsi="Abadi" w:cs="ArialMT"/>
          <w:b/>
          <w:sz w:val="21"/>
          <w:szCs w:val="21"/>
        </w:rPr>
      </w:pPr>
    </w:p>
    <w:p w14:paraId="1068FC00" w14:textId="6E1A86FF"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A23DA0">
        <w:rPr>
          <w:rFonts w:ascii="Abadi" w:hAnsi="Abadi" w:cs="ArialMT"/>
          <w:b/>
          <w:bCs/>
          <w:sz w:val="21"/>
          <w:szCs w:val="21"/>
        </w:rPr>
        <w:lastRenderedPageBreak/>
        <w:t>PRESENTACIÓN DEL INFORME DE LOS CONCEPTOS GENERALES DE LOS ESTADOS FINANCIEROS DE LOS RECURSOS PRESUPUESTALES Y LAS TRANSFERENCIAS Y AJUSTES PRESUPUESTALES DEL PODER LEGISLATIVO DEL ESTADO, CORRESPONDIENTE AL PERIODO COMPRENDIDO DEL 1 AL 31 DE MARZO DEL AÑO EN CURSO, FORMULADO POR LA COMISIÓN DE ADMINISTRACIÓN Y, EN SU CASO, APROBACIÓN DEL MISMO.</w:t>
      </w:r>
      <w:r w:rsidR="00E72DDD">
        <w:rPr>
          <w:rStyle w:val="Refdenotaalpie"/>
          <w:rFonts w:ascii="Abadi" w:hAnsi="Abadi" w:cs="ArialMT"/>
          <w:b/>
          <w:bCs/>
          <w:sz w:val="21"/>
          <w:szCs w:val="21"/>
        </w:rPr>
        <w:footnoteReference w:id="98"/>
      </w:r>
    </w:p>
    <w:p w14:paraId="6430CAD3" w14:textId="77777777" w:rsidR="000450B6" w:rsidRDefault="000450B6" w:rsidP="000450B6">
      <w:pPr>
        <w:autoSpaceDE w:val="0"/>
        <w:autoSpaceDN w:val="0"/>
        <w:adjustRightInd w:val="0"/>
        <w:contextualSpacing/>
        <w:jc w:val="both"/>
        <w:rPr>
          <w:rFonts w:ascii="Abadi" w:hAnsi="Abadi" w:cs="ArialMT"/>
          <w:b/>
          <w:bCs/>
          <w:sz w:val="21"/>
          <w:szCs w:val="21"/>
        </w:rPr>
      </w:pPr>
    </w:p>
    <w:p w14:paraId="26560B5E" w14:textId="3AF72DF4" w:rsidR="000450B6" w:rsidRDefault="00940266" w:rsidP="000450B6">
      <w:pPr>
        <w:autoSpaceDE w:val="0"/>
        <w:autoSpaceDN w:val="0"/>
        <w:adjustRightInd w:val="0"/>
        <w:contextualSpacing/>
        <w:jc w:val="both"/>
        <w:rPr>
          <w:rFonts w:ascii="Abadi" w:hAnsi="Abadi" w:cs="ArialMT"/>
          <w:b/>
          <w:bCs/>
          <w:sz w:val="21"/>
          <w:szCs w:val="21"/>
        </w:rPr>
      </w:pPr>
      <w:r>
        <w:rPr>
          <w:rFonts w:ascii="Abadi" w:hAnsi="Abadi" w:cs="ArialMT"/>
          <w:b/>
          <w:bCs/>
          <w:sz w:val="21"/>
          <w:szCs w:val="21"/>
        </w:rPr>
        <w:t>OFICIO:</w:t>
      </w:r>
      <w:r w:rsidR="00955DC0">
        <w:rPr>
          <w:rFonts w:ascii="Abadi" w:hAnsi="Abadi" w:cs="ArialMT"/>
          <w:b/>
          <w:bCs/>
          <w:sz w:val="21"/>
          <w:szCs w:val="21"/>
        </w:rPr>
        <w:t xml:space="preserve"> LXV/CA21/285/2023</w:t>
      </w:r>
    </w:p>
    <w:p w14:paraId="0672E346" w14:textId="77777777" w:rsidR="00CC195D" w:rsidRDefault="00CC195D" w:rsidP="000450B6">
      <w:pPr>
        <w:autoSpaceDE w:val="0"/>
        <w:autoSpaceDN w:val="0"/>
        <w:adjustRightInd w:val="0"/>
        <w:contextualSpacing/>
        <w:jc w:val="both"/>
        <w:rPr>
          <w:rFonts w:ascii="Abadi" w:hAnsi="Abadi" w:cs="ArialMT"/>
          <w:b/>
          <w:bCs/>
          <w:sz w:val="21"/>
          <w:szCs w:val="21"/>
        </w:rPr>
      </w:pPr>
    </w:p>
    <w:p w14:paraId="2E9E25E6" w14:textId="671C1E62" w:rsidR="00955DC0" w:rsidRPr="000450B6" w:rsidRDefault="00955DC0" w:rsidP="000450B6">
      <w:pPr>
        <w:autoSpaceDE w:val="0"/>
        <w:autoSpaceDN w:val="0"/>
        <w:adjustRightInd w:val="0"/>
        <w:contextualSpacing/>
        <w:jc w:val="both"/>
        <w:rPr>
          <w:rFonts w:ascii="Abadi" w:hAnsi="Abadi" w:cs="ArialMT"/>
          <w:b/>
          <w:bCs/>
          <w:sz w:val="21"/>
          <w:szCs w:val="21"/>
        </w:rPr>
      </w:pPr>
      <w:r>
        <w:rPr>
          <w:rFonts w:ascii="Abadi" w:hAnsi="Abadi" w:cs="ArialMT"/>
          <w:b/>
          <w:bCs/>
          <w:sz w:val="21"/>
          <w:szCs w:val="21"/>
        </w:rPr>
        <w:t>Guanajuato</w:t>
      </w:r>
      <w:r w:rsidR="00CC195D">
        <w:rPr>
          <w:rFonts w:ascii="Abadi" w:hAnsi="Abadi" w:cs="ArialMT"/>
          <w:b/>
          <w:bCs/>
          <w:sz w:val="21"/>
          <w:szCs w:val="21"/>
        </w:rPr>
        <w:t xml:space="preserve">, </w:t>
      </w:r>
      <w:proofErr w:type="spellStart"/>
      <w:r w:rsidR="00CC195D">
        <w:rPr>
          <w:rFonts w:ascii="Abadi" w:hAnsi="Abadi" w:cs="ArialMT"/>
          <w:b/>
          <w:bCs/>
          <w:sz w:val="21"/>
          <w:szCs w:val="21"/>
        </w:rPr>
        <w:t>Gto</w:t>
      </w:r>
      <w:proofErr w:type="spellEnd"/>
      <w:r w:rsidR="00CC195D">
        <w:rPr>
          <w:rFonts w:ascii="Abadi" w:hAnsi="Abadi" w:cs="ArialMT"/>
          <w:b/>
          <w:bCs/>
          <w:sz w:val="21"/>
          <w:szCs w:val="21"/>
        </w:rPr>
        <w:t>., A 13 de junio de 2023</w:t>
      </w:r>
    </w:p>
    <w:p w14:paraId="289EDAD2" w14:textId="77777777" w:rsidR="00CC195D" w:rsidRDefault="00D317C7" w:rsidP="00CC195D">
      <w:pPr>
        <w:rPr>
          <w:rFonts w:ascii="Abadi" w:hAnsi="Abadi"/>
          <w:b/>
          <w:spacing w:val="80"/>
          <w:sz w:val="21"/>
          <w:szCs w:val="21"/>
        </w:rPr>
      </w:pPr>
      <w:r w:rsidRPr="00B05D0B">
        <w:rPr>
          <w:rFonts w:ascii="Abadi" w:hAnsi="Abadi"/>
          <w:b/>
          <w:spacing w:val="-2"/>
          <w:sz w:val="21"/>
          <w:szCs w:val="21"/>
        </w:rPr>
        <w:t>Diputada</w:t>
      </w:r>
      <w:r>
        <w:rPr>
          <w:rFonts w:ascii="Abadi" w:hAnsi="Abadi"/>
          <w:b/>
          <w:spacing w:val="-2"/>
          <w:sz w:val="21"/>
          <w:szCs w:val="21"/>
        </w:rPr>
        <w:t xml:space="preserve"> </w:t>
      </w:r>
      <w:r w:rsidRPr="00B05D0B">
        <w:rPr>
          <w:rFonts w:ascii="Abadi" w:hAnsi="Abadi"/>
          <w:b/>
          <w:sz w:val="21"/>
          <w:szCs w:val="21"/>
        </w:rPr>
        <w:t>Laura Cristina Márquez Alcalá Presidenta</w:t>
      </w:r>
      <w:r w:rsidRPr="00B05D0B">
        <w:rPr>
          <w:rFonts w:ascii="Abadi" w:hAnsi="Abadi"/>
          <w:b/>
          <w:spacing w:val="-14"/>
          <w:sz w:val="21"/>
          <w:szCs w:val="21"/>
        </w:rPr>
        <w:t xml:space="preserve"> </w:t>
      </w:r>
      <w:r w:rsidRPr="00B05D0B">
        <w:rPr>
          <w:rFonts w:ascii="Abadi" w:hAnsi="Abadi"/>
          <w:b/>
          <w:sz w:val="21"/>
          <w:szCs w:val="21"/>
        </w:rPr>
        <w:t>del</w:t>
      </w:r>
      <w:r w:rsidRPr="00B05D0B">
        <w:rPr>
          <w:rFonts w:ascii="Abadi" w:hAnsi="Abadi"/>
          <w:b/>
          <w:spacing w:val="-14"/>
          <w:sz w:val="21"/>
          <w:szCs w:val="21"/>
        </w:rPr>
        <w:t xml:space="preserve"> </w:t>
      </w:r>
      <w:r w:rsidRPr="00B05D0B">
        <w:rPr>
          <w:rFonts w:ascii="Abadi" w:hAnsi="Abadi"/>
          <w:b/>
          <w:sz w:val="21"/>
          <w:szCs w:val="21"/>
        </w:rPr>
        <w:t>Honorable</w:t>
      </w:r>
      <w:r w:rsidRPr="00B05D0B">
        <w:rPr>
          <w:rFonts w:ascii="Abadi" w:hAnsi="Abadi"/>
          <w:b/>
          <w:spacing w:val="-14"/>
          <w:sz w:val="21"/>
          <w:szCs w:val="21"/>
        </w:rPr>
        <w:t xml:space="preserve"> </w:t>
      </w:r>
      <w:r w:rsidRPr="00B05D0B">
        <w:rPr>
          <w:rFonts w:ascii="Abadi" w:hAnsi="Abadi"/>
          <w:b/>
          <w:sz w:val="21"/>
          <w:szCs w:val="21"/>
        </w:rPr>
        <w:t>Congreso del Estado de Guanajuato</w:t>
      </w:r>
      <w:r w:rsidRPr="00B05D0B">
        <w:rPr>
          <w:rFonts w:ascii="Abadi" w:hAnsi="Abadi"/>
          <w:b/>
          <w:spacing w:val="80"/>
          <w:sz w:val="21"/>
          <w:szCs w:val="21"/>
        </w:rPr>
        <w:t xml:space="preserve"> </w:t>
      </w:r>
    </w:p>
    <w:p w14:paraId="78E98E32" w14:textId="3CC69069" w:rsidR="00D317C7" w:rsidRDefault="00D317C7" w:rsidP="00CC195D">
      <w:pPr>
        <w:rPr>
          <w:rFonts w:ascii="Abadi" w:hAnsi="Abadi"/>
          <w:b/>
          <w:spacing w:val="-2"/>
          <w:sz w:val="21"/>
          <w:szCs w:val="21"/>
        </w:rPr>
      </w:pPr>
      <w:r w:rsidRPr="00B05D0B">
        <w:rPr>
          <w:rFonts w:ascii="Abadi" w:hAnsi="Abadi"/>
          <w:b/>
          <w:spacing w:val="-2"/>
          <w:sz w:val="21"/>
          <w:szCs w:val="21"/>
        </w:rPr>
        <w:t>Presente.</w:t>
      </w:r>
    </w:p>
    <w:p w14:paraId="2153AECB" w14:textId="77777777" w:rsidR="00CC195D" w:rsidRDefault="00CC195D" w:rsidP="00CC195D">
      <w:pPr>
        <w:rPr>
          <w:rFonts w:ascii="Abadi" w:hAnsi="Abadi"/>
          <w:b/>
          <w:spacing w:val="-2"/>
          <w:sz w:val="21"/>
          <w:szCs w:val="21"/>
        </w:rPr>
      </w:pPr>
    </w:p>
    <w:p w14:paraId="1C06F8EB" w14:textId="77777777" w:rsidR="007E6ADB" w:rsidRDefault="007E6ADB" w:rsidP="007E6ADB">
      <w:pPr>
        <w:spacing w:before="92"/>
        <w:jc w:val="both"/>
        <w:rPr>
          <w:rFonts w:ascii="Abadi" w:hAnsi="Abadi"/>
          <w:spacing w:val="-4"/>
          <w:sz w:val="21"/>
          <w:szCs w:val="21"/>
        </w:rPr>
      </w:pPr>
      <w:r w:rsidRPr="00B05D0B">
        <w:rPr>
          <w:rFonts w:ascii="Abadi" w:hAnsi="Abadi"/>
          <w:sz w:val="21"/>
          <w:szCs w:val="21"/>
        </w:rPr>
        <w:t>En</w:t>
      </w:r>
      <w:r w:rsidRPr="00B05D0B">
        <w:rPr>
          <w:rFonts w:ascii="Abadi" w:hAnsi="Abadi"/>
          <w:spacing w:val="-4"/>
          <w:sz w:val="21"/>
          <w:szCs w:val="21"/>
        </w:rPr>
        <w:t xml:space="preserve"> </w:t>
      </w:r>
      <w:r w:rsidRPr="00B05D0B">
        <w:rPr>
          <w:rFonts w:ascii="Abadi" w:hAnsi="Abadi"/>
          <w:sz w:val="21"/>
          <w:szCs w:val="21"/>
        </w:rPr>
        <w:t>cumplimiento</w:t>
      </w:r>
      <w:r w:rsidRPr="00B05D0B">
        <w:rPr>
          <w:rFonts w:ascii="Abadi" w:hAnsi="Abadi"/>
          <w:spacing w:val="-4"/>
          <w:sz w:val="21"/>
          <w:szCs w:val="21"/>
        </w:rPr>
        <w:t xml:space="preserve"> </w:t>
      </w:r>
      <w:r w:rsidRPr="00B05D0B">
        <w:rPr>
          <w:rFonts w:ascii="Abadi" w:hAnsi="Abadi"/>
          <w:sz w:val="21"/>
          <w:szCs w:val="21"/>
        </w:rPr>
        <w:t>a</w:t>
      </w:r>
      <w:r w:rsidRPr="00B05D0B">
        <w:rPr>
          <w:rFonts w:ascii="Abadi" w:hAnsi="Abadi"/>
          <w:spacing w:val="-4"/>
          <w:sz w:val="21"/>
          <w:szCs w:val="21"/>
        </w:rPr>
        <w:t xml:space="preserve"> </w:t>
      </w:r>
      <w:r w:rsidRPr="00B05D0B">
        <w:rPr>
          <w:rFonts w:ascii="Abadi" w:hAnsi="Abadi"/>
          <w:sz w:val="21"/>
          <w:szCs w:val="21"/>
        </w:rPr>
        <w:t>lo</w:t>
      </w:r>
      <w:r w:rsidRPr="00B05D0B">
        <w:rPr>
          <w:rFonts w:ascii="Abadi" w:hAnsi="Abadi"/>
          <w:spacing w:val="-4"/>
          <w:sz w:val="21"/>
          <w:szCs w:val="21"/>
        </w:rPr>
        <w:t xml:space="preserve"> </w:t>
      </w:r>
      <w:r w:rsidRPr="00B05D0B">
        <w:rPr>
          <w:rFonts w:ascii="Abadi" w:hAnsi="Abadi"/>
          <w:sz w:val="21"/>
          <w:szCs w:val="21"/>
        </w:rPr>
        <w:t>dispuesto</w:t>
      </w:r>
      <w:r w:rsidRPr="00B05D0B">
        <w:rPr>
          <w:rFonts w:ascii="Abadi" w:hAnsi="Abadi"/>
          <w:spacing w:val="-4"/>
          <w:sz w:val="21"/>
          <w:szCs w:val="21"/>
        </w:rPr>
        <w:t xml:space="preserve"> </w:t>
      </w:r>
      <w:r w:rsidRPr="00B05D0B">
        <w:rPr>
          <w:rFonts w:ascii="Abadi" w:hAnsi="Abadi"/>
          <w:sz w:val="21"/>
          <w:szCs w:val="21"/>
        </w:rPr>
        <w:t>en</w:t>
      </w:r>
      <w:r w:rsidRPr="00B05D0B">
        <w:rPr>
          <w:rFonts w:ascii="Abadi" w:hAnsi="Abadi"/>
          <w:spacing w:val="-7"/>
          <w:sz w:val="21"/>
          <w:szCs w:val="21"/>
        </w:rPr>
        <w:t xml:space="preserve"> </w:t>
      </w:r>
      <w:r w:rsidRPr="00B05D0B">
        <w:rPr>
          <w:rFonts w:ascii="Abadi" w:hAnsi="Abadi"/>
          <w:sz w:val="21"/>
          <w:szCs w:val="21"/>
        </w:rPr>
        <w:t>el</w:t>
      </w:r>
      <w:r w:rsidRPr="00B05D0B">
        <w:rPr>
          <w:rFonts w:ascii="Abadi" w:hAnsi="Abadi"/>
          <w:spacing w:val="-6"/>
          <w:sz w:val="21"/>
          <w:szCs w:val="21"/>
        </w:rPr>
        <w:t xml:space="preserve"> </w:t>
      </w:r>
      <w:r w:rsidRPr="00B05D0B">
        <w:rPr>
          <w:rFonts w:ascii="Abadi" w:hAnsi="Abadi"/>
          <w:sz w:val="21"/>
          <w:szCs w:val="21"/>
        </w:rPr>
        <w:t>artículo</w:t>
      </w:r>
      <w:r w:rsidRPr="00B05D0B">
        <w:rPr>
          <w:rFonts w:ascii="Abadi" w:hAnsi="Abadi"/>
          <w:spacing w:val="-7"/>
          <w:sz w:val="21"/>
          <w:szCs w:val="21"/>
        </w:rPr>
        <w:t xml:space="preserve"> </w:t>
      </w:r>
      <w:r w:rsidRPr="00B05D0B">
        <w:rPr>
          <w:rFonts w:ascii="Abadi" w:hAnsi="Abadi"/>
          <w:sz w:val="21"/>
          <w:szCs w:val="21"/>
        </w:rPr>
        <w:t>102,</w:t>
      </w:r>
      <w:r w:rsidRPr="00B05D0B">
        <w:rPr>
          <w:rFonts w:ascii="Abadi" w:hAnsi="Abadi"/>
          <w:spacing w:val="-7"/>
          <w:sz w:val="21"/>
          <w:szCs w:val="21"/>
        </w:rPr>
        <w:t xml:space="preserve"> </w:t>
      </w:r>
      <w:r w:rsidRPr="00B05D0B">
        <w:rPr>
          <w:rFonts w:ascii="Abadi" w:hAnsi="Abadi"/>
          <w:sz w:val="21"/>
          <w:szCs w:val="21"/>
        </w:rPr>
        <w:t>fracción</w:t>
      </w:r>
      <w:r w:rsidRPr="00B05D0B">
        <w:rPr>
          <w:rFonts w:ascii="Abadi" w:hAnsi="Abadi"/>
          <w:spacing w:val="-7"/>
          <w:sz w:val="21"/>
          <w:szCs w:val="21"/>
        </w:rPr>
        <w:t xml:space="preserve"> </w:t>
      </w:r>
      <w:r w:rsidRPr="00B05D0B">
        <w:rPr>
          <w:rFonts w:ascii="Abadi" w:hAnsi="Abadi"/>
          <w:sz w:val="21"/>
          <w:szCs w:val="21"/>
        </w:rPr>
        <w:t>II</w:t>
      </w:r>
      <w:r w:rsidRPr="00B05D0B">
        <w:rPr>
          <w:rFonts w:ascii="Abadi" w:hAnsi="Abadi"/>
          <w:spacing w:val="-5"/>
          <w:sz w:val="21"/>
          <w:szCs w:val="21"/>
        </w:rPr>
        <w:t xml:space="preserve"> </w:t>
      </w:r>
      <w:r w:rsidRPr="00B05D0B">
        <w:rPr>
          <w:rFonts w:ascii="Abadi" w:hAnsi="Abadi"/>
          <w:sz w:val="21"/>
          <w:szCs w:val="21"/>
        </w:rPr>
        <w:t>de</w:t>
      </w:r>
      <w:r w:rsidRPr="00B05D0B">
        <w:rPr>
          <w:rFonts w:ascii="Abadi" w:hAnsi="Abadi"/>
          <w:spacing w:val="-4"/>
          <w:sz w:val="21"/>
          <w:szCs w:val="21"/>
        </w:rPr>
        <w:t xml:space="preserve"> </w:t>
      </w:r>
      <w:r w:rsidRPr="00B05D0B">
        <w:rPr>
          <w:rFonts w:ascii="Abadi" w:hAnsi="Abadi"/>
          <w:sz w:val="21"/>
          <w:szCs w:val="21"/>
        </w:rPr>
        <w:t>la</w:t>
      </w:r>
      <w:r w:rsidRPr="00B05D0B">
        <w:rPr>
          <w:rFonts w:ascii="Abadi" w:hAnsi="Abadi"/>
          <w:spacing w:val="-7"/>
          <w:sz w:val="21"/>
          <w:szCs w:val="21"/>
        </w:rPr>
        <w:t xml:space="preserve"> </w:t>
      </w:r>
      <w:r w:rsidRPr="00B05D0B">
        <w:rPr>
          <w:rFonts w:ascii="Abadi" w:hAnsi="Abadi"/>
          <w:sz w:val="21"/>
          <w:szCs w:val="21"/>
        </w:rPr>
        <w:t>Ley</w:t>
      </w:r>
      <w:r w:rsidRPr="00B05D0B">
        <w:rPr>
          <w:rFonts w:ascii="Abadi" w:hAnsi="Abadi"/>
          <w:spacing w:val="-5"/>
          <w:sz w:val="21"/>
          <w:szCs w:val="21"/>
        </w:rPr>
        <w:t xml:space="preserve"> </w:t>
      </w:r>
      <w:r w:rsidRPr="00B05D0B">
        <w:rPr>
          <w:rFonts w:ascii="Abadi" w:hAnsi="Abadi"/>
          <w:sz w:val="21"/>
          <w:szCs w:val="21"/>
        </w:rPr>
        <w:t>Orgánica</w:t>
      </w:r>
      <w:r w:rsidRPr="00B05D0B">
        <w:rPr>
          <w:rFonts w:ascii="Abadi" w:hAnsi="Abadi"/>
          <w:spacing w:val="-4"/>
          <w:sz w:val="21"/>
          <w:szCs w:val="21"/>
        </w:rPr>
        <w:t xml:space="preserve"> </w:t>
      </w:r>
      <w:r w:rsidRPr="00B05D0B">
        <w:rPr>
          <w:rFonts w:ascii="Abadi" w:hAnsi="Abadi"/>
          <w:sz w:val="21"/>
          <w:szCs w:val="21"/>
        </w:rPr>
        <w:t>del Poder</w:t>
      </w:r>
      <w:r w:rsidRPr="00B05D0B">
        <w:rPr>
          <w:rFonts w:ascii="Abadi" w:hAnsi="Abadi"/>
          <w:spacing w:val="-11"/>
          <w:sz w:val="21"/>
          <w:szCs w:val="21"/>
        </w:rPr>
        <w:t xml:space="preserve"> </w:t>
      </w:r>
      <w:r w:rsidRPr="00B05D0B">
        <w:rPr>
          <w:rFonts w:ascii="Abadi" w:hAnsi="Abadi"/>
          <w:sz w:val="21"/>
          <w:szCs w:val="21"/>
        </w:rPr>
        <w:t>Legislativo</w:t>
      </w:r>
      <w:r w:rsidRPr="00B05D0B">
        <w:rPr>
          <w:rFonts w:ascii="Abadi" w:hAnsi="Abadi"/>
          <w:spacing w:val="-9"/>
          <w:sz w:val="21"/>
          <w:szCs w:val="21"/>
        </w:rPr>
        <w:t xml:space="preserve"> </w:t>
      </w:r>
      <w:r w:rsidRPr="00B05D0B">
        <w:rPr>
          <w:rFonts w:ascii="Abadi" w:hAnsi="Abadi"/>
          <w:sz w:val="21"/>
          <w:szCs w:val="21"/>
        </w:rPr>
        <w:t>del</w:t>
      </w:r>
      <w:r w:rsidRPr="00B05D0B">
        <w:rPr>
          <w:rFonts w:ascii="Abadi" w:hAnsi="Abadi"/>
          <w:spacing w:val="-11"/>
          <w:sz w:val="21"/>
          <w:szCs w:val="21"/>
        </w:rPr>
        <w:t xml:space="preserve"> </w:t>
      </w:r>
      <w:r w:rsidRPr="00B05D0B">
        <w:rPr>
          <w:rFonts w:ascii="Abadi" w:hAnsi="Abadi"/>
          <w:sz w:val="21"/>
          <w:szCs w:val="21"/>
        </w:rPr>
        <w:t>Estado</w:t>
      </w:r>
      <w:r w:rsidRPr="00B05D0B">
        <w:rPr>
          <w:rFonts w:ascii="Abadi" w:hAnsi="Abadi"/>
          <w:spacing w:val="-9"/>
          <w:sz w:val="21"/>
          <w:szCs w:val="21"/>
        </w:rPr>
        <w:t xml:space="preserve"> </w:t>
      </w:r>
      <w:r w:rsidRPr="00B05D0B">
        <w:rPr>
          <w:rFonts w:ascii="Abadi" w:hAnsi="Abadi"/>
          <w:sz w:val="21"/>
          <w:szCs w:val="21"/>
        </w:rPr>
        <w:t>de</w:t>
      </w:r>
      <w:r w:rsidRPr="00B05D0B">
        <w:rPr>
          <w:rFonts w:ascii="Abadi" w:hAnsi="Abadi"/>
          <w:spacing w:val="-7"/>
          <w:sz w:val="21"/>
          <w:szCs w:val="21"/>
        </w:rPr>
        <w:t xml:space="preserve"> </w:t>
      </w:r>
      <w:r w:rsidRPr="00B05D0B">
        <w:rPr>
          <w:rFonts w:ascii="Abadi" w:hAnsi="Abadi"/>
          <w:sz w:val="21"/>
          <w:szCs w:val="21"/>
        </w:rPr>
        <w:t>Guanajuato,</w:t>
      </w:r>
      <w:r w:rsidRPr="00B05D0B">
        <w:rPr>
          <w:rFonts w:ascii="Abadi" w:hAnsi="Abadi"/>
          <w:spacing w:val="-10"/>
          <w:sz w:val="21"/>
          <w:szCs w:val="21"/>
        </w:rPr>
        <w:t xml:space="preserve"> </w:t>
      </w:r>
      <w:r w:rsidRPr="00B05D0B">
        <w:rPr>
          <w:rFonts w:ascii="Abadi" w:hAnsi="Abadi"/>
          <w:sz w:val="21"/>
          <w:szCs w:val="21"/>
        </w:rPr>
        <w:t>la</w:t>
      </w:r>
      <w:r w:rsidRPr="00B05D0B">
        <w:rPr>
          <w:rFonts w:ascii="Abadi" w:hAnsi="Abadi"/>
          <w:spacing w:val="-7"/>
          <w:sz w:val="21"/>
          <w:szCs w:val="21"/>
        </w:rPr>
        <w:t xml:space="preserve"> </w:t>
      </w:r>
      <w:r w:rsidRPr="00B05D0B">
        <w:rPr>
          <w:rFonts w:ascii="Abadi" w:hAnsi="Abadi"/>
          <w:sz w:val="21"/>
          <w:szCs w:val="21"/>
        </w:rPr>
        <w:t>Comisión</w:t>
      </w:r>
      <w:r w:rsidRPr="00B05D0B">
        <w:rPr>
          <w:rFonts w:ascii="Abadi" w:hAnsi="Abadi"/>
          <w:spacing w:val="-9"/>
          <w:sz w:val="21"/>
          <w:szCs w:val="21"/>
        </w:rPr>
        <w:t xml:space="preserve"> </w:t>
      </w:r>
      <w:r w:rsidRPr="00B05D0B">
        <w:rPr>
          <w:rFonts w:ascii="Abadi" w:hAnsi="Abadi"/>
          <w:sz w:val="21"/>
          <w:szCs w:val="21"/>
        </w:rPr>
        <w:t>de</w:t>
      </w:r>
      <w:r w:rsidRPr="00B05D0B">
        <w:rPr>
          <w:rFonts w:ascii="Abadi" w:hAnsi="Abadi"/>
          <w:spacing w:val="-9"/>
          <w:sz w:val="21"/>
          <w:szCs w:val="21"/>
        </w:rPr>
        <w:t xml:space="preserve"> </w:t>
      </w:r>
      <w:r w:rsidRPr="00B05D0B">
        <w:rPr>
          <w:rFonts w:ascii="Abadi" w:hAnsi="Abadi"/>
          <w:sz w:val="21"/>
          <w:szCs w:val="21"/>
        </w:rPr>
        <w:t>Administración</w:t>
      </w:r>
      <w:r w:rsidRPr="00B05D0B">
        <w:rPr>
          <w:rFonts w:ascii="Abadi" w:hAnsi="Abadi"/>
          <w:spacing w:val="-9"/>
          <w:sz w:val="21"/>
          <w:szCs w:val="21"/>
        </w:rPr>
        <w:t xml:space="preserve"> </w:t>
      </w:r>
      <w:r w:rsidRPr="00B05D0B">
        <w:rPr>
          <w:rFonts w:ascii="Abadi" w:hAnsi="Abadi"/>
          <w:sz w:val="21"/>
          <w:szCs w:val="21"/>
        </w:rPr>
        <w:t>de</w:t>
      </w:r>
      <w:r w:rsidRPr="00B05D0B">
        <w:rPr>
          <w:rFonts w:ascii="Abadi" w:hAnsi="Abadi"/>
          <w:spacing w:val="-9"/>
          <w:sz w:val="21"/>
          <w:szCs w:val="21"/>
        </w:rPr>
        <w:t xml:space="preserve"> </w:t>
      </w:r>
      <w:r w:rsidRPr="00B05D0B">
        <w:rPr>
          <w:rFonts w:ascii="Abadi" w:hAnsi="Abadi"/>
          <w:sz w:val="21"/>
          <w:szCs w:val="21"/>
        </w:rPr>
        <w:t>esta Sexagésima</w:t>
      </w:r>
      <w:r w:rsidRPr="00B05D0B">
        <w:rPr>
          <w:rFonts w:ascii="Abadi" w:hAnsi="Abadi"/>
          <w:spacing w:val="-12"/>
          <w:sz w:val="21"/>
          <w:szCs w:val="21"/>
        </w:rPr>
        <w:t xml:space="preserve"> </w:t>
      </w:r>
      <w:r w:rsidRPr="00B05D0B">
        <w:rPr>
          <w:rFonts w:ascii="Abadi" w:hAnsi="Abadi"/>
          <w:sz w:val="21"/>
          <w:szCs w:val="21"/>
        </w:rPr>
        <w:t>Quinta</w:t>
      </w:r>
      <w:r w:rsidRPr="00B05D0B">
        <w:rPr>
          <w:rFonts w:ascii="Abadi" w:hAnsi="Abadi"/>
          <w:spacing w:val="-14"/>
          <w:sz w:val="21"/>
          <w:szCs w:val="21"/>
        </w:rPr>
        <w:t xml:space="preserve"> </w:t>
      </w:r>
      <w:r w:rsidRPr="00B05D0B">
        <w:rPr>
          <w:rFonts w:ascii="Abadi" w:hAnsi="Abadi"/>
          <w:sz w:val="21"/>
          <w:szCs w:val="21"/>
        </w:rPr>
        <w:t>Legislatura,</w:t>
      </w:r>
      <w:r w:rsidRPr="00B05D0B">
        <w:rPr>
          <w:rFonts w:ascii="Abadi" w:hAnsi="Abadi"/>
          <w:spacing w:val="-14"/>
          <w:sz w:val="21"/>
          <w:szCs w:val="21"/>
        </w:rPr>
        <w:t xml:space="preserve"> </w:t>
      </w:r>
      <w:r w:rsidRPr="00B05D0B">
        <w:rPr>
          <w:rFonts w:ascii="Abadi" w:hAnsi="Abadi"/>
          <w:sz w:val="21"/>
          <w:szCs w:val="21"/>
        </w:rPr>
        <w:t>presenta</w:t>
      </w:r>
      <w:r w:rsidRPr="00B05D0B">
        <w:rPr>
          <w:rFonts w:ascii="Abadi" w:hAnsi="Abadi"/>
          <w:spacing w:val="-14"/>
          <w:sz w:val="21"/>
          <w:szCs w:val="21"/>
        </w:rPr>
        <w:t xml:space="preserve"> </w:t>
      </w:r>
      <w:r w:rsidRPr="00B05D0B">
        <w:rPr>
          <w:rFonts w:ascii="Abadi" w:hAnsi="Abadi"/>
          <w:sz w:val="21"/>
          <w:szCs w:val="21"/>
        </w:rPr>
        <w:t>a</w:t>
      </w:r>
      <w:r w:rsidRPr="00B05D0B">
        <w:rPr>
          <w:rFonts w:ascii="Abadi" w:hAnsi="Abadi"/>
          <w:spacing w:val="-14"/>
          <w:sz w:val="21"/>
          <w:szCs w:val="21"/>
        </w:rPr>
        <w:t xml:space="preserve"> </w:t>
      </w:r>
      <w:r w:rsidRPr="00B05D0B">
        <w:rPr>
          <w:rFonts w:ascii="Abadi" w:hAnsi="Abadi"/>
          <w:sz w:val="21"/>
          <w:szCs w:val="21"/>
        </w:rPr>
        <w:t>consideración</w:t>
      </w:r>
      <w:r w:rsidRPr="00B05D0B">
        <w:rPr>
          <w:rFonts w:ascii="Abadi" w:hAnsi="Abadi"/>
          <w:spacing w:val="-14"/>
          <w:sz w:val="21"/>
          <w:szCs w:val="21"/>
        </w:rPr>
        <w:t xml:space="preserve"> </w:t>
      </w:r>
      <w:r w:rsidRPr="00B05D0B">
        <w:rPr>
          <w:rFonts w:ascii="Abadi" w:hAnsi="Abadi"/>
          <w:sz w:val="21"/>
          <w:szCs w:val="21"/>
        </w:rPr>
        <w:t>del</w:t>
      </w:r>
      <w:r w:rsidRPr="00B05D0B">
        <w:rPr>
          <w:rFonts w:ascii="Abadi" w:hAnsi="Abadi"/>
          <w:spacing w:val="-15"/>
          <w:sz w:val="21"/>
          <w:szCs w:val="21"/>
        </w:rPr>
        <w:t xml:space="preserve"> </w:t>
      </w:r>
      <w:r w:rsidRPr="00B05D0B">
        <w:rPr>
          <w:rFonts w:ascii="Abadi" w:hAnsi="Abadi"/>
          <w:sz w:val="21"/>
          <w:szCs w:val="21"/>
        </w:rPr>
        <w:t>Pleno</w:t>
      </w:r>
      <w:r w:rsidRPr="00B05D0B">
        <w:rPr>
          <w:rFonts w:ascii="Abadi" w:hAnsi="Abadi"/>
          <w:spacing w:val="-14"/>
          <w:sz w:val="21"/>
          <w:szCs w:val="21"/>
        </w:rPr>
        <w:t xml:space="preserve"> </w:t>
      </w:r>
      <w:r w:rsidRPr="00B05D0B">
        <w:rPr>
          <w:rFonts w:ascii="Abadi" w:hAnsi="Abadi"/>
          <w:sz w:val="21"/>
          <w:szCs w:val="21"/>
        </w:rPr>
        <w:t>de</w:t>
      </w:r>
      <w:r w:rsidRPr="00B05D0B">
        <w:rPr>
          <w:rFonts w:ascii="Abadi" w:hAnsi="Abadi"/>
          <w:spacing w:val="-14"/>
          <w:sz w:val="21"/>
          <w:szCs w:val="21"/>
        </w:rPr>
        <w:t xml:space="preserve"> </w:t>
      </w:r>
      <w:r w:rsidRPr="00B05D0B">
        <w:rPr>
          <w:rFonts w:ascii="Abadi" w:hAnsi="Abadi"/>
          <w:sz w:val="21"/>
          <w:szCs w:val="21"/>
        </w:rPr>
        <w:t>la</w:t>
      </w:r>
      <w:r w:rsidRPr="00B05D0B">
        <w:rPr>
          <w:rFonts w:ascii="Abadi" w:hAnsi="Abadi"/>
          <w:spacing w:val="-12"/>
          <w:sz w:val="21"/>
          <w:szCs w:val="21"/>
        </w:rPr>
        <w:t xml:space="preserve"> </w:t>
      </w:r>
      <w:r w:rsidRPr="00B05D0B">
        <w:rPr>
          <w:rFonts w:ascii="Abadi" w:hAnsi="Abadi"/>
          <w:sz w:val="21"/>
          <w:szCs w:val="21"/>
        </w:rPr>
        <w:t xml:space="preserve">Asamblea en sesión Ordinaria Pública, el Informe de los conceptos generales de los Estados Financieros de los recursos presupuestales y las transferencias y ajustes presupuestales, correspondiente al período del 01 al 31 de Marzo de 2023 (anexo </w:t>
      </w:r>
      <w:r w:rsidRPr="00B05D0B">
        <w:rPr>
          <w:rFonts w:ascii="Abadi" w:hAnsi="Abadi"/>
          <w:spacing w:val="-4"/>
          <w:sz w:val="21"/>
          <w:szCs w:val="21"/>
        </w:rPr>
        <w:t>1).</w:t>
      </w:r>
    </w:p>
    <w:p w14:paraId="56696351" w14:textId="77777777" w:rsidR="007E6ADB" w:rsidRPr="00B05D0B" w:rsidRDefault="007E6ADB" w:rsidP="007E6ADB">
      <w:pPr>
        <w:spacing w:before="92"/>
        <w:jc w:val="both"/>
        <w:rPr>
          <w:rFonts w:ascii="Abadi" w:hAnsi="Abadi"/>
          <w:sz w:val="21"/>
          <w:szCs w:val="21"/>
        </w:rPr>
      </w:pPr>
    </w:p>
    <w:p w14:paraId="52882384" w14:textId="77777777" w:rsidR="007E6ADB" w:rsidRDefault="007E6ADB" w:rsidP="007E6ADB">
      <w:pPr>
        <w:spacing w:before="121"/>
        <w:jc w:val="both"/>
        <w:rPr>
          <w:rFonts w:ascii="Abadi" w:hAnsi="Abadi"/>
          <w:spacing w:val="-2"/>
          <w:sz w:val="21"/>
          <w:szCs w:val="21"/>
        </w:rPr>
      </w:pPr>
      <w:r w:rsidRPr="00B05D0B">
        <w:rPr>
          <w:rFonts w:ascii="Abadi" w:hAnsi="Abadi"/>
          <w:sz w:val="21"/>
          <w:szCs w:val="21"/>
        </w:rPr>
        <w:t>Por</w:t>
      </w:r>
      <w:r w:rsidRPr="00B05D0B">
        <w:rPr>
          <w:rFonts w:ascii="Abadi" w:hAnsi="Abadi"/>
          <w:spacing w:val="-4"/>
          <w:sz w:val="21"/>
          <w:szCs w:val="21"/>
        </w:rPr>
        <w:t xml:space="preserve"> </w:t>
      </w:r>
      <w:r w:rsidRPr="00B05D0B">
        <w:rPr>
          <w:rFonts w:ascii="Abadi" w:hAnsi="Abadi"/>
          <w:sz w:val="21"/>
          <w:szCs w:val="21"/>
        </w:rPr>
        <w:t>lo</w:t>
      </w:r>
      <w:r w:rsidRPr="00B05D0B">
        <w:rPr>
          <w:rFonts w:ascii="Abadi" w:hAnsi="Abadi"/>
          <w:spacing w:val="-2"/>
          <w:sz w:val="21"/>
          <w:szCs w:val="21"/>
        </w:rPr>
        <w:t xml:space="preserve"> </w:t>
      </w:r>
      <w:r w:rsidRPr="00B05D0B">
        <w:rPr>
          <w:rFonts w:ascii="Abadi" w:hAnsi="Abadi"/>
          <w:sz w:val="21"/>
          <w:szCs w:val="21"/>
        </w:rPr>
        <w:t>expuesto,</w:t>
      </w:r>
      <w:r w:rsidRPr="00B05D0B">
        <w:rPr>
          <w:rFonts w:ascii="Abadi" w:hAnsi="Abadi"/>
          <w:spacing w:val="-2"/>
          <w:sz w:val="21"/>
          <w:szCs w:val="21"/>
        </w:rPr>
        <w:t xml:space="preserve"> </w:t>
      </w:r>
      <w:r w:rsidRPr="00B05D0B">
        <w:rPr>
          <w:rFonts w:ascii="Abadi" w:hAnsi="Abadi"/>
          <w:sz w:val="21"/>
          <w:szCs w:val="21"/>
        </w:rPr>
        <w:t>solicitamos</w:t>
      </w:r>
      <w:r w:rsidRPr="00B05D0B">
        <w:rPr>
          <w:rFonts w:ascii="Abadi" w:hAnsi="Abadi"/>
          <w:spacing w:val="-5"/>
          <w:sz w:val="21"/>
          <w:szCs w:val="21"/>
        </w:rPr>
        <w:t xml:space="preserve"> </w:t>
      </w:r>
      <w:r w:rsidRPr="00B05D0B">
        <w:rPr>
          <w:rFonts w:ascii="Abadi" w:hAnsi="Abadi"/>
          <w:sz w:val="21"/>
          <w:szCs w:val="21"/>
        </w:rPr>
        <w:t>de</w:t>
      </w:r>
      <w:r w:rsidRPr="00B05D0B">
        <w:rPr>
          <w:rFonts w:ascii="Abadi" w:hAnsi="Abadi"/>
          <w:spacing w:val="-2"/>
          <w:sz w:val="21"/>
          <w:szCs w:val="21"/>
        </w:rPr>
        <w:t xml:space="preserve"> </w:t>
      </w:r>
      <w:r w:rsidRPr="00B05D0B">
        <w:rPr>
          <w:rFonts w:ascii="Abadi" w:hAnsi="Abadi"/>
          <w:sz w:val="21"/>
          <w:szCs w:val="21"/>
        </w:rPr>
        <w:t>la</w:t>
      </w:r>
      <w:r w:rsidRPr="00B05D0B">
        <w:rPr>
          <w:rFonts w:ascii="Abadi" w:hAnsi="Abadi"/>
          <w:spacing w:val="-4"/>
          <w:sz w:val="21"/>
          <w:szCs w:val="21"/>
        </w:rPr>
        <w:t xml:space="preserve"> </w:t>
      </w:r>
      <w:r w:rsidRPr="00B05D0B">
        <w:rPr>
          <w:rFonts w:ascii="Abadi" w:hAnsi="Abadi"/>
          <w:sz w:val="21"/>
          <w:szCs w:val="21"/>
        </w:rPr>
        <w:t>Presidencia</w:t>
      </w:r>
      <w:r w:rsidRPr="00B05D0B">
        <w:rPr>
          <w:rFonts w:ascii="Abadi" w:hAnsi="Abadi"/>
          <w:spacing w:val="-2"/>
          <w:sz w:val="21"/>
          <w:szCs w:val="21"/>
        </w:rPr>
        <w:t xml:space="preserve"> </w:t>
      </w:r>
      <w:r w:rsidRPr="00B05D0B">
        <w:rPr>
          <w:rFonts w:ascii="Abadi" w:hAnsi="Abadi"/>
          <w:sz w:val="21"/>
          <w:szCs w:val="21"/>
        </w:rPr>
        <w:t>del</w:t>
      </w:r>
      <w:r w:rsidRPr="00B05D0B">
        <w:rPr>
          <w:rFonts w:ascii="Abadi" w:hAnsi="Abadi"/>
          <w:spacing w:val="-3"/>
          <w:sz w:val="21"/>
          <w:szCs w:val="21"/>
        </w:rPr>
        <w:t xml:space="preserve"> </w:t>
      </w:r>
      <w:r w:rsidRPr="00B05D0B">
        <w:rPr>
          <w:rFonts w:ascii="Abadi" w:hAnsi="Abadi"/>
          <w:sz w:val="21"/>
          <w:szCs w:val="21"/>
        </w:rPr>
        <w:t>Honorable</w:t>
      </w:r>
      <w:r w:rsidRPr="00B05D0B">
        <w:rPr>
          <w:rFonts w:ascii="Abadi" w:hAnsi="Abadi"/>
          <w:spacing w:val="-2"/>
          <w:sz w:val="21"/>
          <w:szCs w:val="21"/>
        </w:rPr>
        <w:t xml:space="preserve"> </w:t>
      </w:r>
      <w:r w:rsidRPr="00B05D0B">
        <w:rPr>
          <w:rFonts w:ascii="Abadi" w:hAnsi="Abadi"/>
          <w:sz w:val="21"/>
          <w:szCs w:val="21"/>
        </w:rPr>
        <w:t>Congreso</w:t>
      </w:r>
      <w:r w:rsidRPr="00B05D0B">
        <w:rPr>
          <w:rFonts w:ascii="Abadi" w:hAnsi="Abadi"/>
          <w:spacing w:val="-2"/>
          <w:sz w:val="21"/>
          <w:szCs w:val="21"/>
        </w:rPr>
        <w:t xml:space="preserve"> </w:t>
      </w:r>
      <w:r w:rsidRPr="00B05D0B">
        <w:rPr>
          <w:rFonts w:ascii="Abadi" w:hAnsi="Abadi"/>
          <w:sz w:val="21"/>
          <w:szCs w:val="21"/>
        </w:rPr>
        <w:t>del</w:t>
      </w:r>
      <w:r w:rsidRPr="00B05D0B">
        <w:rPr>
          <w:rFonts w:ascii="Abadi" w:hAnsi="Abadi"/>
          <w:spacing w:val="-6"/>
          <w:sz w:val="21"/>
          <w:szCs w:val="21"/>
        </w:rPr>
        <w:t xml:space="preserve"> </w:t>
      </w:r>
      <w:r w:rsidRPr="00B05D0B">
        <w:rPr>
          <w:rFonts w:ascii="Abadi" w:hAnsi="Abadi"/>
          <w:sz w:val="21"/>
          <w:szCs w:val="21"/>
        </w:rPr>
        <w:t>Estado, se</w:t>
      </w:r>
      <w:r w:rsidRPr="00B05D0B">
        <w:rPr>
          <w:rFonts w:ascii="Abadi" w:hAnsi="Abadi"/>
          <w:spacing w:val="-7"/>
          <w:sz w:val="21"/>
          <w:szCs w:val="21"/>
        </w:rPr>
        <w:t xml:space="preserve"> </w:t>
      </w:r>
      <w:r w:rsidRPr="00B05D0B">
        <w:rPr>
          <w:rFonts w:ascii="Abadi" w:hAnsi="Abadi"/>
          <w:sz w:val="21"/>
          <w:szCs w:val="21"/>
        </w:rPr>
        <w:t>exponga</w:t>
      </w:r>
      <w:r w:rsidRPr="00B05D0B">
        <w:rPr>
          <w:rFonts w:ascii="Abadi" w:hAnsi="Abadi"/>
          <w:spacing w:val="-7"/>
          <w:sz w:val="21"/>
          <w:szCs w:val="21"/>
        </w:rPr>
        <w:t xml:space="preserve"> </w:t>
      </w:r>
      <w:r w:rsidRPr="00B05D0B">
        <w:rPr>
          <w:rFonts w:ascii="Abadi" w:hAnsi="Abadi"/>
          <w:sz w:val="21"/>
          <w:szCs w:val="21"/>
        </w:rPr>
        <w:t>a</w:t>
      </w:r>
      <w:r w:rsidRPr="00B05D0B">
        <w:rPr>
          <w:rFonts w:ascii="Abadi" w:hAnsi="Abadi"/>
          <w:spacing w:val="-7"/>
          <w:sz w:val="21"/>
          <w:szCs w:val="21"/>
        </w:rPr>
        <w:t xml:space="preserve"> </w:t>
      </w:r>
      <w:r w:rsidRPr="00B05D0B">
        <w:rPr>
          <w:rFonts w:ascii="Abadi" w:hAnsi="Abadi"/>
          <w:sz w:val="21"/>
          <w:szCs w:val="21"/>
        </w:rPr>
        <w:t>consideración</w:t>
      </w:r>
      <w:r w:rsidRPr="00B05D0B">
        <w:rPr>
          <w:rFonts w:ascii="Abadi" w:hAnsi="Abadi"/>
          <w:spacing w:val="-7"/>
          <w:sz w:val="21"/>
          <w:szCs w:val="21"/>
        </w:rPr>
        <w:t xml:space="preserve"> </w:t>
      </w:r>
      <w:r w:rsidRPr="00B05D0B">
        <w:rPr>
          <w:rFonts w:ascii="Abadi" w:hAnsi="Abadi"/>
          <w:sz w:val="21"/>
          <w:szCs w:val="21"/>
        </w:rPr>
        <w:t>del</w:t>
      </w:r>
      <w:r w:rsidRPr="00B05D0B">
        <w:rPr>
          <w:rFonts w:ascii="Abadi" w:hAnsi="Abadi"/>
          <w:spacing w:val="-8"/>
          <w:sz w:val="21"/>
          <w:szCs w:val="21"/>
        </w:rPr>
        <w:t xml:space="preserve"> </w:t>
      </w:r>
      <w:r w:rsidRPr="00B05D0B">
        <w:rPr>
          <w:rFonts w:ascii="Abadi" w:hAnsi="Abadi"/>
          <w:sz w:val="21"/>
          <w:szCs w:val="21"/>
        </w:rPr>
        <w:t>Pleno</w:t>
      </w:r>
      <w:r w:rsidRPr="00B05D0B">
        <w:rPr>
          <w:rFonts w:ascii="Abadi" w:hAnsi="Abadi"/>
          <w:spacing w:val="-9"/>
          <w:sz w:val="21"/>
          <w:szCs w:val="21"/>
        </w:rPr>
        <w:t xml:space="preserve"> </w:t>
      </w:r>
      <w:r w:rsidRPr="00B05D0B">
        <w:rPr>
          <w:rFonts w:ascii="Abadi" w:hAnsi="Abadi"/>
          <w:sz w:val="21"/>
          <w:szCs w:val="21"/>
        </w:rPr>
        <w:t>el</w:t>
      </w:r>
      <w:r w:rsidRPr="00B05D0B">
        <w:rPr>
          <w:rFonts w:ascii="Abadi" w:hAnsi="Abadi"/>
          <w:spacing w:val="-8"/>
          <w:sz w:val="21"/>
          <w:szCs w:val="21"/>
        </w:rPr>
        <w:t xml:space="preserve"> </w:t>
      </w:r>
      <w:r w:rsidRPr="00B05D0B">
        <w:rPr>
          <w:rFonts w:ascii="Abadi" w:hAnsi="Abadi"/>
          <w:sz w:val="21"/>
          <w:szCs w:val="21"/>
        </w:rPr>
        <w:t>Informe</w:t>
      </w:r>
      <w:r w:rsidRPr="00B05D0B">
        <w:rPr>
          <w:rFonts w:ascii="Abadi" w:hAnsi="Abadi"/>
          <w:spacing w:val="-7"/>
          <w:sz w:val="21"/>
          <w:szCs w:val="21"/>
        </w:rPr>
        <w:t xml:space="preserve"> </w:t>
      </w:r>
      <w:r w:rsidRPr="00B05D0B">
        <w:rPr>
          <w:rFonts w:ascii="Abadi" w:hAnsi="Abadi"/>
          <w:sz w:val="21"/>
          <w:szCs w:val="21"/>
        </w:rPr>
        <w:t>de</w:t>
      </w:r>
      <w:r w:rsidRPr="00B05D0B">
        <w:rPr>
          <w:rFonts w:ascii="Abadi" w:hAnsi="Abadi"/>
          <w:spacing w:val="-7"/>
          <w:sz w:val="21"/>
          <w:szCs w:val="21"/>
        </w:rPr>
        <w:t xml:space="preserve"> </w:t>
      </w:r>
      <w:r w:rsidRPr="00B05D0B">
        <w:rPr>
          <w:rFonts w:ascii="Abadi" w:hAnsi="Abadi"/>
          <w:sz w:val="21"/>
          <w:szCs w:val="21"/>
        </w:rPr>
        <w:t>la</w:t>
      </w:r>
      <w:r w:rsidRPr="00B05D0B">
        <w:rPr>
          <w:rFonts w:ascii="Abadi" w:hAnsi="Abadi"/>
          <w:spacing w:val="-7"/>
          <w:sz w:val="21"/>
          <w:szCs w:val="21"/>
        </w:rPr>
        <w:t xml:space="preserve"> </w:t>
      </w:r>
      <w:r w:rsidRPr="00B05D0B">
        <w:rPr>
          <w:rFonts w:ascii="Abadi" w:hAnsi="Abadi"/>
          <w:sz w:val="21"/>
          <w:szCs w:val="21"/>
        </w:rPr>
        <w:t>Comisión</w:t>
      </w:r>
      <w:r w:rsidRPr="00B05D0B">
        <w:rPr>
          <w:rFonts w:ascii="Abadi" w:hAnsi="Abadi"/>
          <w:spacing w:val="-7"/>
          <w:sz w:val="21"/>
          <w:szCs w:val="21"/>
        </w:rPr>
        <w:t xml:space="preserve"> </w:t>
      </w:r>
      <w:r w:rsidRPr="00B05D0B">
        <w:rPr>
          <w:rFonts w:ascii="Abadi" w:hAnsi="Abadi"/>
          <w:sz w:val="21"/>
          <w:szCs w:val="21"/>
        </w:rPr>
        <w:t>de</w:t>
      </w:r>
      <w:r w:rsidRPr="00B05D0B">
        <w:rPr>
          <w:rFonts w:ascii="Abadi" w:hAnsi="Abadi"/>
          <w:spacing w:val="-9"/>
          <w:sz w:val="21"/>
          <w:szCs w:val="21"/>
        </w:rPr>
        <w:t xml:space="preserve"> </w:t>
      </w:r>
      <w:r w:rsidRPr="00B05D0B">
        <w:rPr>
          <w:rFonts w:ascii="Abadi" w:hAnsi="Abadi"/>
          <w:sz w:val="21"/>
          <w:szCs w:val="21"/>
        </w:rPr>
        <w:t>Administración, en</w:t>
      </w:r>
      <w:r w:rsidRPr="00B05D0B">
        <w:rPr>
          <w:rFonts w:ascii="Abadi" w:hAnsi="Abadi"/>
          <w:spacing w:val="-7"/>
          <w:sz w:val="21"/>
          <w:szCs w:val="21"/>
        </w:rPr>
        <w:t xml:space="preserve"> </w:t>
      </w:r>
      <w:r w:rsidRPr="00B05D0B">
        <w:rPr>
          <w:rFonts w:ascii="Abadi" w:hAnsi="Abadi"/>
          <w:sz w:val="21"/>
          <w:szCs w:val="21"/>
        </w:rPr>
        <w:t>los</w:t>
      </w:r>
      <w:r w:rsidRPr="00B05D0B">
        <w:rPr>
          <w:rFonts w:ascii="Abadi" w:hAnsi="Abadi"/>
          <w:spacing w:val="-7"/>
          <w:sz w:val="21"/>
          <w:szCs w:val="21"/>
        </w:rPr>
        <w:t xml:space="preserve"> </w:t>
      </w:r>
      <w:r w:rsidRPr="00B05D0B">
        <w:rPr>
          <w:rFonts w:ascii="Abadi" w:hAnsi="Abadi"/>
          <w:sz w:val="21"/>
          <w:szCs w:val="21"/>
        </w:rPr>
        <w:t>términos</w:t>
      </w:r>
      <w:r w:rsidRPr="00B05D0B">
        <w:rPr>
          <w:rFonts w:ascii="Abadi" w:hAnsi="Abadi"/>
          <w:spacing w:val="-9"/>
          <w:sz w:val="21"/>
          <w:szCs w:val="21"/>
        </w:rPr>
        <w:t xml:space="preserve"> </w:t>
      </w:r>
      <w:r w:rsidRPr="00B05D0B">
        <w:rPr>
          <w:rFonts w:ascii="Abadi" w:hAnsi="Abadi"/>
          <w:sz w:val="21"/>
          <w:szCs w:val="21"/>
        </w:rPr>
        <w:t>de</w:t>
      </w:r>
      <w:r w:rsidRPr="00B05D0B">
        <w:rPr>
          <w:rFonts w:ascii="Abadi" w:hAnsi="Abadi"/>
          <w:spacing w:val="-9"/>
          <w:sz w:val="21"/>
          <w:szCs w:val="21"/>
        </w:rPr>
        <w:t xml:space="preserve"> </w:t>
      </w:r>
      <w:r w:rsidRPr="00B05D0B">
        <w:rPr>
          <w:rFonts w:ascii="Abadi" w:hAnsi="Abadi"/>
          <w:sz w:val="21"/>
          <w:szCs w:val="21"/>
        </w:rPr>
        <w:t>la</w:t>
      </w:r>
      <w:r w:rsidRPr="00B05D0B">
        <w:rPr>
          <w:rFonts w:ascii="Abadi" w:hAnsi="Abadi"/>
          <w:spacing w:val="-8"/>
          <w:sz w:val="21"/>
          <w:szCs w:val="21"/>
        </w:rPr>
        <w:t xml:space="preserve"> </w:t>
      </w:r>
      <w:r w:rsidRPr="00B05D0B">
        <w:rPr>
          <w:rFonts w:ascii="Abadi" w:hAnsi="Abadi"/>
          <w:sz w:val="21"/>
          <w:szCs w:val="21"/>
        </w:rPr>
        <w:t>Ley</w:t>
      </w:r>
      <w:r w:rsidRPr="00B05D0B">
        <w:rPr>
          <w:rFonts w:ascii="Abadi" w:hAnsi="Abadi"/>
          <w:spacing w:val="-7"/>
          <w:sz w:val="21"/>
          <w:szCs w:val="21"/>
        </w:rPr>
        <w:t xml:space="preserve"> </w:t>
      </w:r>
      <w:r w:rsidRPr="00B05D0B">
        <w:rPr>
          <w:rFonts w:ascii="Abadi" w:hAnsi="Abadi"/>
          <w:sz w:val="21"/>
          <w:szCs w:val="21"/>
        </w:rPr>
        <w:t>Orgánica</w:t>
      </w:r>
      <w:r w:rsidRPr="00B05D0B">
        <w:rPr>
          <w:rFonts w:ascii="Abadi" w:hAnsi="Abadi"/>
          <w:spacing w:val="-8"/>
          <w:sz w:val="21"/>
          <w:szCs w:val="21"/>
        </w:rPr>
        <w:t xml:space="preserve"> </w:t>
      </w:r>
      <w:r w:rsidRPr="00B05D0B">
        <w:rPr>
          <w:rFonts w:ascii="Abadi" w:hAnsi="Abadi"/>
          <w:sz w:val="21"/>
          <w:szCs w:val="21"/>
        </w:rPr>
        <w:t>del</w:t>
      </w:r>
      <w:r w:rsidRPr="00B05D0B">
        <w:rPr>
          <w:rFonts w:ascii="Abadi" w:hAnsi="Abadi"/>
          <w:spacing w:val="-8"/>
          <w:sz w:val="21"/>
          <w:szCs w:val="21"/>
        </w:rPr>
        <w:t xml:space="preserve"> </w:t>
      </w:r>
      <w:r w:rsidRPr="00B05D0B">
        <w:rPr>
          <w:rFonts w:ascii="Abadi" w:hAnsi="Abadi"/>
          <w:sz w:val="21"/>
          <w:szCs w:val="21"/>
        </w:rPr>
        <w:t>Poder</w:t>
      </w:r>
      <w:r w:rsidRPr="00B05D0B">
        <w:rPr>
          <w:rFonts w:ascii="Abadi" w:hAnsi="Abadi"/>
          <w:spacing w:val="-12"/>
          <w:sz w:val="21"/>
          <w:szCs w:val="21"/>
        </w:rPr>
        <w:t xml:space="preserve"> </w:t>
      </w:r>
      <w:r w:rsidRPr="00B05D0B">
        <w:rPr>
          <w:rFonts w:ascii="Abadi" w:hAnsi="Abadi"/>
          <w:sz w:val="21"/>
          <w:szCs w:val="21"/>
        </w:rPr>
        <w:t>Legislativo</w:t>
      </w:r>
      <w:r w:rsidRPr="00B05D0B">
        <w:rPr>
          <w:rFonts w:ascii="Abadi" w:hAnsi="Abadi"/>
          <w:spacing w:val="-8"/>
          <w:sz w:val="21"/>
          <w:szCs w:val="21"/>
        </w:rPr>
        <w:t xml:space="preserve"> </w:t>
      </w:r>
      <w:r w:rsidRPr="00B05D0B">
        <w:rPr>
          <w:rFonts w:ascii="Abadi" w:hAnsi="Abadi"/>
          <w:sz w:val="21"/>
          <w:szCs w:val="21"/>
        </w:rPr>
        <w:t>del</w:t>
      </w:r>
      <w:r w:rsidRPr="00B05D0B">
        <w:rPr>
          <w:rFonts w:ascii="Abadi" w:hAnsi="Abadi"/>
          <w:spacing w:val="-7"/>
          <w:sz w:val="21"/>
          <w:szCs w:val="21"/>
        </w:rPr>
        <w:t xml:space="preserve"> </w:t>
      </w:r>
      <w:r w:rsidRPr="00B05D0B">
        <w:rPr>
          <w:rFonts w:ascii="Abadi" w:hAnsi="Abadi"/>
          <w:sz w:val="21"/>
          <w:szCs w:val="21"/>
        </w:rPr>
        <w:t>Estado</w:t>
      </w:r>
      <w:r w:rsidRPr="00B05D0B">
        <w:rPr>
          <w:rFonts w:ascii="Abadi" w:hAnsi="Abadi"/>
          <w:spacing w:val="-9"/>
          <w:sz w:val="21"/>
          <w:szCs w:val="21"/>
        </w:rPr>
        <w:t xml:space="preserve"> </w:t>
      </w:r>
      <w:r w:rsidRPr="00B05D0B">
        <w:rPr>
          <w:rFonts w:ascii="Abadi" w:hAnsi="Abadi"/>
          <w:sz w:val="21"/>
          <w:szCs w:val="21"/>
        </w:rPr>
        <w:t>de</w:t>
      </w:r>
      <w:r w:rsidRPr="00B05D0B">
        <w:rPr>
          <w:rFonts w:ascii="Abadi" w:hAnsi="Abadi"/>
          <w:spacing w:val="-8"/>
          <w:sz w:val="21"/>
          <w:szCs w:val="21"/>
        </w:rPr>
        <w:t xml:space="preserve"> </w:t>
      </w:r>
      <w:r w:rsidRPr="00B05D0B">
        <w:rPr>
          <w:rFonts w:ascii="Abadi" w:hAnsi="Abadi"/>
          <w:spacing w:val="-2"/>
          <w:sz w:val="21"/>
          <w:szCs w:val="21"/>
        </w:rPr>
        <w:t>Guanajuato.</w:t>
      </w:r>
    </w:p>
    <w:p w14:paraId="3090D835" w14:textId="77777777" w:rsidR="007E6ADB" w:rsidRPr="00B05D0B" w:rsidRDefault="007E6ADB" w:rsidP="007E6ADB">
      <w:pPr>
        <w:spacing w:before="121"/>
        <w:jc w:val="both"/>
        <w:rPr>
          <w:rFonts w:ascii="Abadi" w:hAnsi="Abadi"/>
          <w:sz w:val="21"/>
          <w:szCs w:val="21"/>
        </w:rPr>
      </w:pPr>
    </w:p>
    <w:p w14:paraId="4BC7581E" w14:textId="77777777" w:rsidR="007E6ADB" w:rsidRDefault="007E6ADB" w:rsidP="007E6ADB">
      <w:pPr>
        <w:spacing w:before="120"/>
        <w:jc w:val="both"/>
        <w:rPr>
          <w:rFonts w:ascii="Abadi" w:hAnsi="Abadi"/>
          <w:sz w:val="21"/>
          <w:szCs w:val="21"/>
        </w:rPr>
      </w:pPr>
      <w:r w:rsidRPr="00B05D0B">
        <w:rPr>
          <w:rFonts w:ascii="Abadi" w:hAnsi="Abadi"/>
          <w:sz w:val="21"/>
          <w:szCs w:val="21"/>
        </w:rPr>
        <w:t>Sin otro particular por el momento, aprovecho la ocasión para reiterarle las seguridades de mi distinguida consideración.</w:t>
      </w:r>
    </w:p>
    <w:p w14:paraId="3430B820" w14:textId="77777777" w:rsidR="00145AEE" w:rsidRDefault="00145AEE" w:rsidP="007E6ADB">
      <w:pPr>
        <w:spacing w:before="120"/>
        <w:jc w:val="both"/>
        <w:rPr>
          <w:rFonts w:ascii="Abadi" w:hAnsi="Abadi"/>
          <w:sz w:val="21"/>
          <w:szCs w:val="21"/>
        </w:rPr>
      </w:pPr>
    </w:p>
    <w:p w14:paraId="47FBBCF7" w14:textId="1F8D235A" w:rsidR="00145AEE" w:rsidRPr="00145AEE" w:rsidRDefault="00145AEE" w:rsidP="007E6ADB">
      <w:pPr>
        <w:spacing w:before="120"/>
        <w:jc w:val="both"/>
        <w:rPr>
          <w:rFonts w:ascii="Abadi" w:hAnsi="Abadi" w:cs="ArialMT"/>
          <w:b/>
          <w:bCs/>
          <w:sz w:val="21"/>
          <w:szCs w:val="21"/>
        </w:rPr>
      </w:pPr>
      <w:r w:rsidRPr="00145AEE">
        <w:rPr>
          <w:rFonts w:ascii="Abadi" w:hAnsi="Abadi" w:cs="ArialMT"/>
          <w:b/>
          <w:bCs/>
          <w:sz w:val="21"/>
          <w:szCs w:val="21"/>
        </w:rPr>
        <w:t>ATENTAMENTE</w:t>
      </w:r>
    </w:p>
    <w:p w14:paraId="543AB365" w14:textId="77777777" w:rsidR="00145AEE" w:rsidRPr="00145AEE" w:rsidRDefault="00145AEE" w:rsidP="007E6ADB">
      <w:pPr>
        <w:spacing w:before="120"/>
        <w:jc w:val="both"/>
        <w:rPr>
          <w:rFonts w:ascii="Abadi" w:hAnsi="Abadi" w:cs="ArialMT"/>
          <w:b/>
          <w:bCs/>
          <w:sz w:val="21"/>
          <w:szCs w:val="21"/>
        </w:rPr>
      </w:pPr>
    </w:p>
    <w:p w14:paraId="667F8588" w14:textId="77777777" w:rsidR="00145AEE" w:rsidRPr="00145AEE" w:rsidRDefault="00145AEE" w:rsidP="00145AEE">
      <w:pPr>
        <w:autoSpaceDE w:val="0"/>
        <w:autoSpaceDN w:val="0"/>
        <w:adjustRightInd w:val="0"/>
        <w:rPr>
          <w:rFonts w:ascii="Abadi" w:hAnsi="Abadi" w:cs="ArialMT"/>
          <w:b/>
          <w:bCs/>
          <w:sz w:val="21"/>
          <w:szCs w:val="21"/>
        </w:rPr>
      </w:pPr>
      <w:r w:rsidRPr="00145AEE">
        <w:rPr>
          <w:rFonts w:ascii="Abadi" w:hAnsi="Abadi" w:cs="ArialMT"/>
          <w:b/>
          <w:bCs/>
          <w:sz w:val="21"/>
          <w:szCs w:val="21"/>
        </w:rPr>
        <w:t>DIP. LUIS ERNESTO AYALA TORRES</w:t>
      </w:r>
    </w:p>
    <w:p w14:paraId="26859461" w14:textId="45329B28" w:rsidR="00145AEE" w:rsidRDefault="00145AEE" w:rsidP="00145AEE">
      <w:pPr>
        <w:spacing w:before="120"/>
        <w:jc w:val="both"/>
        <w:rPr>
          <w:rFonts w:ascii="Abadi" w:hAnsi="Abadi" w:cs="ArialMT"/>
          <w:b/>
          <w:bCs/>
          <w:sz w:val="21"/>
          <w:szCs w:val="21"/>
        </w:rPr>
      </w:pPr>
      <w:r w:rsidRPr="00145AEE">
        <w:rPr>
          <w:rFonts w:ascii="Abadi" w:hAnsi="Abadi" w:cs="ArialMT"/>
          <w:b/>
          <w:bCs/>
          <w:sz w:val="21"/>
          <w:szCs w:val="21"/>
        </w:rPr>
        <w:t>PRESIDENTE</w:t>
      </w:r>
    </w:p>
    <w:p w14:paraId="02513F04" w14:textId="38639A93" w:rsidR="001B6B7D" w:rsidRPr="0075363E" w:rsidRDefault="001B6B7D" w:rsidP="00145AEE">
      <w:pPr>
        <w:spacing w:before="120"/>
        <w:jc w:val="both"/>
        <w:rPr>
          <w:rFonts w:ascii="Abadi" w:hAnsi="Abadi" w:cs="ArialMT"/>
          <w:b/>
          <w:bCs/>
          <w:sz w:val="21"/>
          <w:szCs w:val="21"/>
        </w:rPr>
      </w:pPr>
      <w:r w:rsidRPr="0075363E">
        <w:rPr>
          <w:rFonts w:ascii="Abadi" w:hAnsi="Abadi" w:cs="ArialMT"/>
          <w:b/>
          <w:bCs/>
          <w:sz w:val="21"/>
          <w:szCs w:val="21"/>
        </w:rPr>
        <w:t>DIP.IRMA LETICIA GONZÁLEZ SÁNCHEZ</w:t>
      </w:r>
    </w:p>
    <w:p w14:paraId="6F27117E" w14:textId="6485479F" w:rsidR="001B6B7D" w:rsidRPr="0075363E" w:rsidRDefault="001B6B7D" w:rsidP="00145AEE">
      <w:pPr>
        <w:spacing w:before="120"/>
        <w:jc w:val="both"/>
        <w:rPr>
          <w:rFonts w:ascii="Abadi" w:hAnsi="Abadi" w:cs="ArialMT"/>
          <w:b/>
          <w:bCs/>
          <w:sz w:val="21"/>
          <w:szCs w:val="21"/>
        </w:rPr>
      </w:pPr>
      <w:r w:rsidRPr="0075363E">
        <w:rPr>
          <w:rFonts w:ascii="Abadi" w:hAnsi="Abadi" w:cs="ArialMT"/>
          <w:b/>
          <w:bCs/>
          <w:sz w:val="21"/>
          <w:szCs w:val="21"/>
        </w:rPr>
        <w:t>SECRETARIA</w:t>
      </w:r>
    </w:p>
    <w:p w14:paraId="1D99A91E" w14:textId="47336CE3" w:rsidR="001B6B7D" w:rsidRPr="0075363E" w:rsidRDefault="001B6B7D" w:rsidP="00145AEE">
      <w:pPr>
        <w:spacing w:before="120"/>
        <w:jc w:val="both"/>
        <w:rPr>
          <w:rFonts w:ascii="Abadi" w:hAnsi="Abadi" w:cs="ArialMT"/>
          <w:b/>
          <w:bCs/>
          <w:sz w:val="21"/>
          <w:szCs w:val="21"/>
        </w:rPr>
      </w:pPr>
      <w:r w:rsidRPr="0075363E">
        <w:rPr>
          <w:rFonts w:ascii="Abadi" w:hAnsi="Abadi" w:cs="ArialMT"/>
          <w:b/>
          <w:bCs/>
          <w:sz w:val="21"/>
          <w:szCs w:val="21"/>
        </w:rPr>
        <w:t>DIP. ANGÉLICA CASILLAS MARTÍNEZ</w:t>
      </w:r>
    </w:p>
    <w:p w14:paraId="1D692345" w14:textId="2686E185" w:rsidR="0075363E" w:rsidRPr="0075363E" w:rsidRDefault="0075363E" w:rsidP="00145AEE">
      <w:pPr>
        <w:spacing w:before="120"/>
        <w:jc w:val="both"/>
        <w:rPr>
          <w:rFonts w:ascii="Abadi" w:hAnsi="Abadi" w:cs="ArialMT"/>
          <w:b/>
          <w:bCs/>
          <w:sz w:val="21"/>
          <w:szCs w:val="21"/>
        </w:rPr>
      </w:pPr>
      <w:r w:rsidRPr="0075363E">
        <w:rPr>
          <w:rFonts w:ascii="Abadi" w:hAnsi="Abadi" w:cs="ArialMT"/>
          <w:b/>
          <w:bCs/>
          <w:sz w:val="21"/>
          <w:szCs w:val="21"/>
        </w:rPr>
        <w:t>VOCAL</w:t>
      </w:r>
    </w:p>
    <w:p w14:paraId="57A7D10F" w14:textId="77777777" w:rsidR="0075363E" w:rsidRPr="0075363E" w:rsidRDefault="0075363E" w:rsidP="0075363E">
      <w:pPr>
        <w:autoSpaceDE w:val="0"/>
        <w:autoSpaceDN w:val="0"/>
        <w:adjustRightInd w:val="0"/>
        <w:rPr>
          <w:rFonts w:ascii="Abadi" w:hAnsi="Abadi" w:cs="ArialMT"/>
          <w:b/>
          <w:bCs/>
          <w:sz w:val="21"/>
          <w:szCs w:val="21"/>
        </w:rPr>
      </w:pPr>
      <w:r w:rsidRPr="0075363E">
        <w:rPr>
          <w:rFonts w:ascii="Abadi" w:hAnsi="Abadi" w:cs="ArialMT"/>
          <w:b/>
          <w:bCs/>
          <w:sz w:val="21"/>
          <w:szCs w:val="21"/>
        </w:rPr>
        <w:t>DIP. ALEJANDRO ARIAS ÁVILA</w:t>
      </w:r>
    </w:p>
    <w:p w14:paraId="186BB024" w14:textId="5C0C2070" w:rsidR="0075363E" w:rsidRPr="0075363E" w:rsidRDefault="0075363E" w:rsidP="0075363E">
      <w:pPr>
        <w:spacing w:before="120"/>
        <w:jc w:val="both"/>
        <w:rPr>
          <w:rFonts w:ascii="Abadi" w:hAnsi="Abadi" w:cs="ArialMT"/>
          <w:b/>
          <w:bCs/>
          <w:sz w:val="21"/>
          <w:szCs w:val="21"/>
        </w:rPr>
      </w:pPr>
      <w:r w:rsidRPr="0075363E">
        <w:rPr>
          <w:rFonts w:ascii="Abadi" w:hAnsi="Abadi" w:cs="ArialMT"/>
          <w:b/>
          <w:bCs/>
          <w:sz w:val="21"/>
          <w:szCs w:val="21"/>
        </w:rPr>
        <w:t>VOCAL</w:t>
      </w:r>
    </w:p>
    <w:p w14:paraId="39EAC23F" w14:textId="77777777" w:rsidR="0075363E" w:rsidRDefault="0075363E" w:rsidP="0075363E">
      <w:pPr>
        <w:spacing w:before="120"/>
        <w:jc w:val="both"/>
        <w:rPr>
          <w:rFonts w:ascii="Arial" w:hAnsi="Arial" w:cs="Arial"/>
          <w:b/>
          <w:bCs/>
          <w:lang w:val="es-MX" w:eastAsia="es-MX"/>
        </w:rPr>
      </w:pPr>
    </w:p>
    <w:p w14:paraId="5FE158F3" w14:textId="77777777" w:rsidR="0075363E" w:rsidRPr="0075363E" w:rsidRDefault="0075363E" w:rsidP="0075363E">
      <w:pPr>
        <w:autoSpaceDE w:val="0"/>
        <w:autoSpaceDN w:val="0"/>
        <w:adjustRightInd w:val="0"/>
        <w:rPr>
          <w:rFonts w:ascii="Abadi" w:hAnsi="Abadi" w:cs="Arial"/>
          <w:b/>
          <w:bCs/>
          <w:sz w:val="16"/>
          <w:szCs w:val="16"/>
          <w:lang w:val="es-MX" w:eastAsia="es-MX"/>
        </w:rPr>
      </w:pPr>
      <w:r w:rsidRPr="0075363E">
        <w:rPr>
          <w:rFonts w:ascii="Abadi" w:hAnsi="Abadi" w:cs="Arial"/>
          <w:b/>
          <w:bCs/>
          <w:sz w:val="16"/>
          <w:szCs w:val="16"/>
          <w:lang w:val="es-MX" w:eastAsia="es-MX"/>
        </w:rPr>
        <w:t>Con copia:</w:t>
      </w:r>
    </w:p>
    <w:p w14:paraId="631E5597" w14:textId="77777777" w:rsidR="0075363E" w:rsidRPr="0075363E" w:rsidRDefault="0075363E" w:rsidP="0075363E">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Lic. Christian Javier Cruz Villegas. Secretario General del Poder Legislativo. Para su atención.</w:t>
      </w:r>
    </w:p>
    <w:p w14:paraId="1DC6709A" w14:textId="77777777" w:rsidR="0075363E" w:rsidRPr="0075363E" w:rsidRDefault="0075363E" w:rsidP="0075363E">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C.P. Ángel Isidro Macías Barrón. Titular del Órgano Interno de Control. Para conocimiento.</w:t>
      </w:r>
    </w:p>
    <w:p w14:paraId="60DA8941" w14:textId="77777777" w:rsidR="0075363E" w:rsidRPr="0075363E" w:rsidRDefault="0075363E" w:rsidP="0075363E">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C.P. Alejandra Zamarripa Aguirre. Titular de la Dirección de Administración Financiera. Mismo fin.</w:t>
      </w:r>
    </w:p>
    <w:p w14:paraId="48909357" w14:textId="3AD05D21" w:rsidR="0075363E" w:rsidRPr="0075363E" w:rsidRDefault="0075363E" w:rsidP="0075363E">
      <w:pPr>
        <w:spacing w:before="120"/>
        <w:jc w:val="both"/>
        <w:rPr>
          <w:rFonts w:ascii="Abadi" w:hAnsi="Abadi" w:cs="Arial"/>
          <w:b/>
          <w:bCs/>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Minutario.</w:t>
      </w:r>
    </w:p>
    <w:p w14:paraId="59248419" w14:textId="77777777" w:rsidR="00C701DC" w:rsidRPr="0075363E" w:rsidRDefault="00C701DC" w:rsidP="00145AEE">
      <w:pPr>
        <w:spacing w:before="120"/>
        <w:jc w:val="both"/>
        <w:rPr>
          <w:rFonts w:ascii="Abadi" w:hAnsi="Abadi" w:cs="ArialMT"/>
          <w:b/>
          <w:bCs/>
          <w:sz w:val="16"/>
          <w:szCs w:val="16"/>
        </w:rPr>
      </w:pPr>
    </w:p>
    <w:p w14:paraId="3D62B37B" w14:textId="6C3B817C"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A23DA0">
        <w:rPr>
          <w:rFonts w:ascii="Abadi" w:hAnsi="Abadi" w:cs="ArialMT"/>
          <w:b/>
          <w:bCs/>
          <w:sz w:val="21"/>
          <w:szCs w:val="21"/>
        </w:rPr>
        <w:t>PRESENTACIÓN DEL INFORME DE LOS CONCEPTOS GENERALES DE LOS ESTADOS FINANCIEROS DE LOS RECURSOS PRESUPUESTALES Y LAS TRANSFERENCIAS Y AJUSTES PRESUPUESTALES DEL PODER LEGISLATIVO DEL ESTADO, CORRESPONDIENTE AL PERIODO COMPRENDIDO DEL 1 AL 30 DE ABRIL DEL AÑO EN CURSO, FORMULADO POR LA COMISIÓN DE ADMINISTRACIÓN Y, EN SU CASO, APROBACIÓN DEL MISMO.</w:t>
      </w:r>
      <w:r w:rsidR="00A96C7E">
        <w:rPr>
          <w:rStyle w:val="Refdenotaalpie"/>
          <w:rFonts w:ascii="Abadi" w:hAnsi="Abadi" w:cs="ArialMT"/>
          <w:b/>
          <w:bCs/>
          <w:sz w:val="21"/>
          <w:szCs w:val="21"/>
        </w:rPr>
        <w:footnoteReference w:id="99"/>
      </w:r>
    </w:p>
    <w:p w14:paraId="100BA5EE" w14:textId="77777777" w:rsidR="0075363E" w:rsidRDefault="0075363E" w:rsidP="0075363E">
      <w:pPr>
        <w:autoSpaceDE w:val="0"/>
        <w:autoSpaceDN w:val="0"/>
        <w:adjustRightInd w:val="0"/>
        <w:contextualSpacing/>
        <w:jc w:val="both"/>
        <w:rPr>
          <w:rFonts w:ascii="Abadi" w:hAnsi="Abadi" w:cs="ArialMT"/>
          <w:b/>
          <w:bCs/>
          <w:sz w:val="21"/>
          <w:szCs w:val="21"/>
        </w:rPr>
      </w:pPr>
    </w:p>
    <w:p w14:paraId="6CF16F29" w14:textId="77777777" w:rsidR="00EA11D1" w:rsidRDefault="00EA11D1" w:rsidP="00EA11D1">
      <w:pPr>
        <w:autoSpaceDE w:val="0"/>
        <w:autoSpaceDN w:val="0"/>
        <w:adjustRightInd w:val="0"/>
        <w:contextualSpacing/>
        <w:jc w:val="both"/>
        <w:rPr>
          <w:rFonts w:ascii="Abadi" w:hAnsi="Abadi" w:cs="ArialMT"/>
          <w:b/>
          <w:bCs/>
          <w:sz w:val="21"/>
          <w:szCs w:val="21"/>
        </w:rPr>
      </w:pPr>
    </w:p>
    <w:p w14:paraId="0472B46C" w14:textId="1FC58DBC" w:rsidR="00EA11D1" w:rsidRDefault="00EA11D1" w:rsidP="00EA11D1">
      <w:pPr>
        <w:autoSpaceDE w:val="0"/>
        <w:autoSpaceDN w:val="0"/>
        <w:adjustRightInd w:val="0"/>
        <w:contextualSpacing/>
        <w:jc w:val="both"/>
        <w:rPr>
          <w:rFonts w:ascii="Abadi" w:hAnsi="Abadi" w:cs="ArialMT"/>
          <w:b/>
          <w:bCs/>
          <w:sz w:val="21"/>
          <w:szCs w:val="21"/>
        </w:rPr>
      </w:pPr>
      <w:r>
        <w:rPr>
          <w:rFonts w:ascii="Abadi" w:hAnsi="Abadi" w:cs="ArialMT"/>
          <w:b/>
          <w:bCs/>
          <w:sz w:val="21"/>
          <w:szCs w:val="21"/>
        </w:rPr>
        <w:t>OFICIO: LXV/CA21/28</w:t>
      </w:r>
      <w:r w:rsidR="00240F28">
        <w:rPr>
          <w:rFonts w:ascii="Abadi" w:hAnsi="Abadi" w:cs="ArialMT"/>
          <w:b/>
          <w:bCs/>
          <w:sz w:val="21"/>
          <w:szCs w:val="21"/>
        </w:rPr>
        <w:t>6</w:t>
      </w:r>
      <w:r>
        <w:rPr>
          <w:rFonts w:ascii="Abadi" w:hAnsi="Abadi" w:cs="ArialMT"/>
          <w:b/>
          <w:bCs/>
          <w:sz w:val="21"/>
          <w:szCs w:val="21"/>
        </w:rPr>
        <w:t>/2023</w:t>
      </w:r>
    </w:p>
    <w:p w14:paraId="27DDD64B" w14:textId="77777777" w:rsidR="00EA11D1" w:rsidRDefault="00EA11D1" w:rsidP="0075363E">
      <w:pPr>
        <w:autoSpaceDE w:val="0"/>
        <w:autoSpaceDN w:val="0"/>
        <w:adjustRightInd w:val="0"/>
        <w:contextualSpacing/>
        <w:jc w:val="both"/>
        <w:rPr>
          <w:rFonts w:ascii="Abadi" w:hAnsi="Abadi" w:cs="ArialMT"/>
          <w:b/>
          <w:bCs/>
          <w:sz w:val="21"/>
          <w:szCs w:val="21"/>
        </w:rPr>
      </w:pPr>
    </w:p>
    <w:p w14:paraId="37B2D237" w14:textId="4152FDC2" w:rsidR="005D1DA6" w:rsidRPr="00EA11D1" w:rsidRDefault="005D1DA6" w:rsidP="0075363E">
      <w:pPr>
        <w:autoSpaceDE w:val="0"/>
        <w:autoSpaceDN w:val="0"/>
        <w:adjustRightInd w:val="0"/>
        <w:contextualSpacing/>
        <w:jc w:val="both"/>
        <w:rPr>
          <w:rFonts w:ascii="Abadi" w:hAnsi="Abadi" w:cs="ArialMT"/>
          <w:sz w:val="21"/>
          <w:szCs w:val="21"/>
        </w:rPr>
      </w:pPr>
      <w:r w:rsidRPr="00EA11D1">
        <w:rPr>
          <w:rFonts w:ascii="Abadi" w:hAnsi="Abadi" w:cs="ArialMT"/>
          <w:sz w:val="21"/>
          <w:szCs w:val="21"/>
        </w:rPr>
        <w:t xml:space="preserve">Guanajuato, </w:t>
      </w:r>
      <w:proofErr w:type="spellStart"/>
      <w:r w:rsidR="00EA11D1" w:rsidRPr="00EA11D1">
        <w:rPr>
          <w:rFonts w:ascii="Abadi" w:hAnsi="Abadi" w:cs="ArialMT"/>
          <w:sz w:val="21"/>
          <w:szCs w:val="21"/>
        </w:rPr>
        <w:t>Gto</w:t>
      </w:r>
      <w:proofErr w:type="spellEnd"/>
      <w:r w:rsidR="00EA11D1" w:rsidRPr="00EA11D1">
        <w:rPr>
          <w:rFonts w:ascii="Abadi" w:hAnsi="Abadi" w:cs="ArialMT"/>
          <w:sz w:val="21"/>
          <w:szCs w:val="21"/>
        </w:rPr>
        <w:t>., 13 de junio de 2023</w:t>
      </w:r>
    </w:p>
    <w:p w14:paraId="44D6F7AC" w14:textId="77777777" w:rsidR="00861D3A" w:rsidRPr="00893654" w:rsidRDefault="00861D3A" w:rsidP="00861D3A">
      <w:pPr>
        <w:tabs>
          <w:tab w:val="left" w:pos="3125"/>
        </w:tabs>
        <w:spacing w:before="180" w:line="298" w:lineRule="exact"/>
        <w:rPr>
          <w:rFonts w:ascii="Abadi" w:hAnsi="Abadi"/>
          <w:b/>
          <w:sz w:val="21"/>
          <w:szCs w:val="21"/>
        </w:rPr>
      </w:pPr>
      <w:r w:rsidRPr="00893654">
        <w:rPr>
          <w:rFonts w:ascii="Abadi" w:hAnsi="Abadi"/>
          <w:b/>
          <w:spacing w:val="-2"/>
          <w:sz w:val="21"/>
          <w:szCs w:val="21"/>
        </w:rPr>
        <w:t>Diputada</w:t>
      </w:r>
      <w:r w:rsidRPr="00893654">
        <w:rPr>
          <w:rFonts w:ascii="Abadi" w:hAnsi="Abadi"/>
          <w:b/>
          <w:spacing w:val="-2"/>
          <w:sz w:val="21"/>
          <w:szCs w:val="21"/>
        </w:rPr>
        <w:tab/>
      </w:r>
    </w:p>
    <w:p w14:paraId="1AF9806F" w14:textId="05E86D4F" w:rsidR="0075363E" w:rsidRDefault="00861D3A" w:rsidP="00861D3A">
      <w:pPr>
        <w:autoSpaceDE w:val="0"/>
        <w:autoSpaceDN w:val="0"/>
        <w:adjustRightInd w:val="0"/>
        <w:contextualSpacing/>
        <w:jc w:val="both"/>
        <w:rPr>
          <w:rFonts w:ascii="Abadi" w:hAnsi="Abadi"/>
          <w:b/>
          <w:spacing w:val="-2"/>
          <w:sz w:val="21"/>
          <w:szCs w:val="21"/>
        </w:rPr>
      </w:pPr>
      <w:r w:rsidRPr="00893654">
        <w:rPr>
          <w:rFonts w:ascii="Abadi" w:hAnsi="Abadi"/>
          <w:b/>
          <w:sz w:val="21"/>
          <w:szCs w:val="21"/>
        </w:rPr>
        <w:t>Laura Cristina Márquez Alcalá Presidenta</w:t>
      </w:r>
      <w:r w:rsidRPr="00893654">
        <w:rPr>
          <w:rFonts w:ascii="Abadi" w:hAnsi="Abadi"/>
          <w:b/>
          <w:spacing w:val="-14"/>
          <w:sz w:val="21"/>
          <w:szCs w:val="21"/>
        </w:rPr>
        <w:t xml:space="preserve"> </w:t>
      </w:r>
      <w:r w:rsidRPr="00893654">
        <w:rPr>
          <w:rFonts w:ascii="Abadi" w:hAnsi="Abadi"/>
          <w:b/>
          <w:sz w:val="21"/>
          <w:szCs w:val="21"/>
        </w:rPr>
        <w:t>del</w:t>
      </w:r>
      <w:r w:rsidRPr="00893654">
        <w:rPr>
          <w:rFonts w:ascii="Abadi" w:hAnsi="Abadi"/>
          <w:b/>
          <w:spacing w:val="-14"/>
          <w:sz w:val="21"/>
          <w:szCs w:val="21"/>
        </w:rPr>
        <w:t xml:space="preserve"> </w:t>
      </w:r>
      <w:r w:rsidRPr="00893654">
        <w:rPr>
          <w:rFonts w:ascii="Abadi" w:hAnsi="Abadi"/>
          <w:b/>
          <w:sz w:val="21"/>
          <w:szCs w:val="21"/>
        </w:rPr>
        <w:t>Honorable</w:t>
      </w:r>
      <w:r w:rsidRPr="00893654">
        <w:rPr>
          <w:rFonts w:ascii="Abadi" w:hAnsi="Abadi"/>
          <w:b/>
          <w:spacing w:val="-14"/>
          <w:sz w:val="21"/>
          <w:szCs w:val="21"/>
        </w:rPr>
        <w:t xml:space="preserve"> </w:t>
      </w:r>
      <w:r w:rsidRPr="00893654">
        <w:rPr>
          <w:rFonts w:ascii="Abadi" w:hAnsi="Abadi"/>
          <w:b/>
          <w:sz w:val="21"/>
          <w:szCs w:val="21"/>
        </w:rPr>
        <w:t>Congreso del Estado de Guanajuato</w:t>
      </w:r>
      <w:r w:rsidRPr="00893654">
        <w:rPr>
          <w:rFonts w:ascii="Abadi" w:hAnsi="Abadi"/>
          <w:b/>
          <w:spacing w:val="80"/>
          <w:sz w:val="21"/>
          <w:szCs w:val="21"/>
        </w:rPr>
        <w:t xml:space="preserve"> </w:t>
      </w:r>
      <w:r w:rsidRPr="00893654">
        <w:rPr>
          <w:rFonts w:ascii="Abadi" w:hAnsi="Abadi"/>
          <w:b/>
          <w:spacing w:val="-2"/>
          <w:sz w:val="21"/>
          <w:szCs w:val="21"/>
        </w:rPr>
        <w:t>Presente</w:t>
      </w:r>
    </w:p>
    <w:p w14:paraId="05167661" w14:textId="77777777" w:rsidR="007B3286" w:rsidRDefault="007B3286" w:rsidP="00861D3A">
      <w:pPr>
        <w:autoSpaceDE w:val="0"/>
        <w:autoSpaceDN w:val="0"/>
        <w:adjustRightInd w:val="0"/>
        <w:contextualSpacing/>
        <w:jc w:val="both"/>
        <w:rPr>
          <w:rFonts w:ascii="Abadi" w:hAnsi="Abadi" w:cs="ArialMT"/>
          <w:b/>
          <w:bCs/>
          <w:sz w:val="21"/>
          <w:szCs w:val="21"/>
        </w:rPr>
      </w:pPr>
    </w:p>
    <w:p w14:paraId="74F07D6C" w14:textId="77777777" w:rsidR="007B3286" w:rsidRDefault="007B3286" w:rsidP="007B3286">
      <w:pPr>
        <w:spacing w:before="92"/>
        <w:ind w:right="142"/>
        <w:jc w:val="both"/>
        <w:rPr>
          <w:rFonts w:ascii="Abadi" w:hAnsi="Abadi"/>
          <w:sz w:val="21"/>
          <w:szCs w:val="21"/>
        </w:rPr>
      </w:pPr>
      <w:r w:rsidRPr="00893654">
        <w:rPr>
          <w:rFonts w:ascii="Abadi" w:hAnsi="Abadi"/>
          <w:sz w:val="21"/>
          <w:szCs w:val="21"/>
        </w:rPr>
        <w:t>En</w:t>
      </w:r>
      <w:r w:rsidRPr="00893654">
        <w:rPr>
          <w:rFonts w:ascii="Abadi" w:hAnsi="Abadi"/>
          <w:spacing w:val="-4"/>
          <w:sz w:val="21"/>
          <w:szCs w:val="21"/>
        </w:rPr>
        <w:t xml:space="preserve"> </w:t>
      </w:r>
      <w:r w:rsidRPr="00893654">
        <w:rPr>
          <w:rFonts w:ascii="Abadi" w:hAnsi="Abadi"/>
          <w:sz w:val="21"/>
          <w:szCs w:val="21"/>
        </w:rPr>
        <w:t>cumplimiento</w:t>
      </w:r>
      <w:r w:rsidRPr="00893654">
        <w:rPr>
          <w:rFonts w:ascii="Abadi" w:hAnsi="Abadi"/>
          <w:spacing w:val="-4"/>
          <w:sz w:val="21"/>
          <w:szCs w:val="21"/>
        </w:rPr>
        <w:t xml:space="preserve"> </w:t>
      </w:r>
      <w:r w:rsidRPr="00893654">
        <w:rPr>
          <w:rFonts w:ascii="Abadi" w:hAnsi="Abadi"/>
          <w:sz w:val="21"/>
          <w:szCs w:val="21"/>
        </w:rPr>
        <w:t>a</w:t>
      </w:r>
      <w:r w:rsidRPr="00893654">
        <w:rPr>
          <w:rFonts w:ascii="Abadi" w:hAnsi="Abadi"/>
          <w:spacing w:val="-4"/>
          <w:sz w:val="21"/>
          <w:szCs w:val="21"/>
        </w:rPr>
        <w:t xml:space="preserve"> </w:t>
      </w:r>
      <w:r w:rsidRPr="00893654">
        <w:rPr>
          <w:rFonts w:ascii="Abadi" w:hAnsi="Abadi"/>
          <w:sz w:val="21"/>
          <w:szCs w:val="21"/>
        </w:rPr>
        <w:t>lo</w:t>
      </w:r>
      <w:r w:rsidRPr="00893654">
        <w:rPr>
          <w:rFonts w:ascii="Abadi" w:hAnsi="Abadi"/>
          <w:spacing w:val="-4"/>
          <w:sz w:val="21"/>
          <w:szCs w:val="21"/>
        </w:rPr>
        <w:t xml:space="preserve"> </w:t>
      </w:r>
      <w:r w:rsidRPr="00893654">
        <w:rPr>
          <w:rFonts w:ascii="Abadi" w:hAnsi="Abadi"/>
          <w:sz w:val="21"/>
          <w:szCs w:val="21"/>
        </w:rPr>
        <w:t>dispuesto</w:t>
      </w:r>
      <w:r w:rsidRPr="00893654">
        <w:rPr>
          <w:rFonts w:ascii="Abadi" w:hAnsi="Abadi"/>
          <w:spacing w:val="-4"/>
          <w:sz w:val="21"/>
          <w:szCs w:val="21"/>
        </w:rPr>
        <w:t xml:space="preserve"> </w:t>
      </w:r>
      <w:r w:rsidRPr="00893654">
        <w:rPr>
          <w:rFonts w:ascii="Abadi" w:hAnsi="Abadi"/>
          <w:sz w:val="21"/>
          <w:szCs w:val="21"/>
        </w:rPr>
        <w:t>en</w:t>
      </w:r>
      <w:r w:rsidRPr="00893654">
        <w:rPr>
          <w:rFonts w:ascii="Abadi" w:hAnsi="Abadi"/>
          <w:spacing w:val="-7"/>
          <w:sz w:val="21"/>
          <w:szCs w:val="21"/>
        </w:rPr>
        <w:t xml:space="preserve"> </w:t>
      </w:r>
      <w:r w:rsidRPr="00893654">
        <w:rPr>
          <w:rFonts w:ascii="Abadi" w:hAnsi="Abadi"/>
          <w:sz w:val="21"/>
          <w:szCs w:val="21"/>
        </w:rPr>
        <w:t>el</w:t>
      </w:r>
      <w:r w:rsidRPr="00893654">
        <w:rPr>
          <w:rFonts w:ascii="Abadi" w:hAnsi="Abadi"/>
          <w:spacing w:val="-6"/>
          <w:sz w:val="21"/>
          <w:szCs w:val="21"/>
        </w:rPr>
        <w:t xml:space="preserve"> </w:t>
      </w:r>
      <w:r w:rsidRPr="00893654">
        <w:rPr>
          <w:rFonts w:ascii="Abadi" w:hAnsi="Abadi"/>
          <w:sz w:val="21"/>
          <w:szCs w:val="21"/>
        </w:rPr>
        <w:t>artículo</w:t>
      </w:r>
      <w:r w:rsidRPr="00893654">
        <w:rPr>
          <w:rFonts w:ascii="Abadi" w:hAnsi="Abadi"/>
          <w:spacing w:val="-7"/>
          <w:sz w:val="21"/>
          <w:szCs w:val="21"/>
        </w:rPr>
        <w:t xml:space="preserve"> </w:t>
      </w:r>
      <w:r w:rsidRPr="00893654">
        <w:rPr>
          <w:rFonts w:ascii="Abadi" w:hAnsi="Abadi"/>
          <w:sz w:val="21"/>
          <w:szCs w:val="21"/>
        </w:rPr>
        <w:t>102,</w:t>
      </w:r>
      <w:r w:rsidRPr="00893654">
        <w:rPr>
          <w:rFonts w:ascii="Abadi" w:hAnsi="Abadi"/>
          <w:spacing w:val="-7"/>
          <w:sz w:val="21"/>
          <w:szCs w:val="21"/>
        </w:rPr>
        <w:t xml:space="preserve"> </w:t>
      </w:r>
      <w:r w:rsidRPr="00893654">
        <w:rPr>
          <w:rFonts w:ascii="Abadi" w:hAnsi="Abadi"/>
          <w:sz w:val="21"/>
          <w:szCs w:val="21"/>
        </w:rPr>
        <w:t>fracción</w:t>
      </w:r>
      <w:r w:rsidRPr="00893654">
        <w:rPr>
          <w:rFonts w:ascii="Abadi" w:hAnsi="Abadi"/>
          <w:spacing w:val="-7"/>
          <w:sz w:val="21"/>
          <w:szCs w:val="21"/>
        </w:rPr>
        <w:t xml:space="preserve"> </w:t>
      </w:r>
      <w:r w:rsidRPr="00893654">
        <w:rPr>
          <w:rFonts w:ascii="Abadi" w:hAnsi="Abadi"/>
          <w:sz w:val="21"/>
          <w:szCs w:val="21"/>
        </w:rPr>
        <w:t>II</w:t>
      </w:r>
      <w:r w:rsidRPr="00893654">
        <w:rPr>
          <w:rFonts w:ascii="Abadi" w:hAnsi="Abadi"/>
          <w:spacing w:val="-5"/>
          <w:sz w:val="21"/>
          <w:szCs w:val="21"/>
        </w:rPr>
        <w:t xml:space="preserve"> </w:t>
      </w:r>
      <w:r w:rsidRPr="00893654">
        <w:rPr>
          <w:rFonts w:ascii="Abadi" w:hAnsi="Abadi"/>
          <w:sz w:val="21"/>
          <w:szCs w:val="21"/>
        </w:rPr>
        <w:t>de</w:t>
      </w:r>
      <w:r w:rsidRPr="00893654">
        <w:rPr>
          <w:rFonts w:ascii="Abadi" w:hAnsi="Abadi"/>
          <w:spacing w:val="-4"/>
          <w:sz w:val="21"/>
          <w:szCs w:val="21"/>
        </w:rPr>
        <w:t xml:space="preserve"> </w:t>
      </w:r>
      <w:r w:rsidRPr="00893654">
        <w:rPr>
          <w:rFonts w:ascii="Abadi" w:hAnsi="Abadi"/>
          <w:sz w:val="21"/>
          <w:szCs w:val="21"/>
        </w:rPr>
        <w:t>la</w:t>
      </w:r>
      <w:r w:rsidRPr="00893654">
        <w:rPr>
          <w:rFonts w:ascii="Abadi" w:hAnsi="Abadi"/>
          <w:spacing w:val="-7"/>
          <w:sz w:val="21"/>
          <w:szCs w:val="21"/>
        </w:rPr>
        <w:t xml:space="preserve"> </w:t>
      </w:r>
      <w:r w:rsidRPr="00893654">
        <w:rPr>
          <w:rFonts w:ascii="Abadi" w:hAnsi="Abadi"/>
          <w:sz w:val="21"/>
          <w:szCs w:val="21"/>
        </w:rPr>
        <w:t>Ley</w:t>
      </w:r>
      <w:r w:rsidRPr="00893654">
        <w:rPr>
          <w:rFonts w:ascii="Abadi" w:hAnsi="Abadi"/>
          <w:spacing w:val="-5"/>
          <w:sz w:val="21"/>
          <w:szCs w:val="21"/>
        </w:rPr>
        <w:t xml:space="preserve"> </w:t>
      </w:r>
      <w:r w:rsidRPr="00893654">
        <w:rPr>
          <w:rFonts w:ascii="Abadi" w:hAnsi="Abadi"/>
          <w:sz w:val="21"/>
          <w:szCs w:val="21"/>
        </w:rPr>
        <w:t>Orgánica</w:t>
      </w:r>
      <w:r w:rsidRPr="00893654">
        <w:rPr>
          <w:rFonts w:ascii="Abadi" w:hAnsi="Abadi"/>
          <w:spacing w:val="-4"/>
          <w:sz w:val="21"/>
          <w:szCs w:val="21"/>
        </w:rPr>
        <w:t xml:space="preserve"> </w:t>
      </w:r>
      <w:r w:rsidRPr="00893654">
        <w:rPr>
          <w:rFonts w:ascii="Abadi" w:hAnsi="Abadi"/>
          <w:sz w:val="21"/>
          <w:szCs w:val="21"/>
        </w:rPr>
        <w:t>del Poder</w:t>
      </w:r>
      <w:r w:rsidRPr="00893654">
        <w:rPr>
          <w:rFonts w:ascii="Abadi" w:hAnsi="Abadi"/>
          <w:spacing w:val="-11"/>
          <w:sz w:val="21"/>
          <w:szCs w:val="21"/>
        </w:rPr>
        <w:t xml:space="preserve"> </w:t>
      </w:r>
      <w:r w:rsidRPr="00893654">
        <w:rPr>
          <w:rFonts w:ascii="Abadi" w:hAnsi="Abadi"/>
          <w:sz w:val="21"/>
          <w:szCs w:val="21"/>
        </w:rPr>
        <w:t>Legislativo</w:t>
      </w:r>
      <w:r w:rsidRPr="00893654">
        <w:rPr>
          <w:rFonts w:ascii="Abadi" w:hAnsi="Abadi"/>
          <w:spacing w:val="-9"/>
          <w:sz w:val="21"/>
          <w:szCs w:val="21"/>
        </w:rPr>
        <w:t xml:space="preserve"> </w:t>
      </w:r>
      <w:r w:rsidRPr="00893654">
        <w:rPr>
          <w:rFonts w:ascii="Abadi" w:hAnsi="Abadi"/>
          <w:sz w:val="21"/>
          <w:szCs w:val="21"/>
        </w:rPr>
        <w:t>del</w:t>
      </w:r>
      <w:r w:rsidRPr="00893654">
        <w:rPr>
          <w:rFonts w:ascii="Abadi" w:hAnsi="Abadi"/>
          <w:spacing w:val="-11"/>
          <w:sz w:val="21"/>
          <w:szCs w:val="21"/>
        </w:rPr>
        <w:t xml:space="preserve"> </w:t>
      </w:r>
      <w:r w:rsidRPr="00893654">
        <w:rPr>
          <w:rFonts w:ascii="Abadi" w:hAnsi="Abadi"/>
          <w:sz w:val="21"/>
          <w:szCs w:val="21"/>
        </w:rPr>
        <w:t>Estado</w:t>
      </w:r>
      <w:r w:rsidRPr="00893654">
        <w:rPr>
          <w:rFonts w:ascii="Abadi" w:hAnsi="Abadi"/>
          <w:spacing w:val="-9"/>
          <w:sz w:val="21"/>
          <w:szCs w:val="21"/>
        </w:rPr>
        <w:t xml:space="preserve"> </w:t>
      </w:r>
      <w:r w:rsidRPr="00893654">
        <w:rPr>
          <w:rFonts w:ascii="Abadi" w:hAnsi="Abadi"/>
          <w:sz w:val="21"/>
          <w:szCs w:val="21"/>
        </w:rPr>
        <w:t>de</w:t>
      </w:r>
      <w:r w:rsidRPr="00893654">
        <w:rPr>
          <w:rFonts w:ascii="Abadi" w:hAnsi="Abadi"/>
          <w:spacing w:val="-7"/>
          <w:sz w:val="21"/>
          <w:szCs w:val="21"/>
        </w:rPr>
        <w:t xml:space="preserve"> </w:t>
      </w:r>
      <w:r w:rsidRPr="00893654">
        <w:rPr>
          <w:rFonts w:ascii="Abadi" w:hAnsi="Abadi"/>
          <w:sz w:val="21"/>
          <w:szCs w:val="21"/>
        </w:rPr>
        <w:t>Guanajuato,</w:t>
      </w:r>
      <w:r w:rsidRPr="00893654">
        <w:rPr>
          <w:rFonts w:ascii="Abadi" w:hAnsi="Abadi"/>
          <w:spacing w:val="-10"/>
          <w:sz w:val="21"/>
          <w:szCs w:val="21"/>
        </w:rPr>
        <w:t xml:space="preserve"> </w:t>
      </w:r>
      <w:r w:rsidRPr="00893654">
        <w:rPr>
          <w:rFonts w:ascii="Abadi" w:hAnsi="Abadi"/>
          <w:sz w:val="21"/>
          <w:szCs w:val="21"/>
        </w:rPr>
        <w:t>la</w:t>
      </w:r>
      <w:r w:rsidRPr="00893654">
        <w:rPr>
          <w:rFonts w:ascii="Abadi" w:hAnsi="Abadi"/>
          <w:spacing w:val="-7"/>
          <w:sz w:val="21"/>
          <w:szCs w:val="21"/>
        </w:rPr>
        <w:t xml:space="preserve"> </w:t>
      </w:r>
      <w:r w:rsidRPr="00893654">
        <w:rPr>
          <w:rFonts w:ascii="Abadi" w:hAnsi="Abadi"/>
          <w:sz w:val="21"/>
          <w:szCs w:val="21"/>
        </w:rPr>
        <w:t>Comisión</w:t>
      </w:r>
      <w:r w:rsidRPr="00893654">
        <w:rPr>
          <w:rFonts w:ascii="Abadi" w:hAnsi="Abadi"/>
          <w:spacing w:val="-9"/>
          <w:sz w:val="21"/>
          <w:szCs w:val="21"/>
        </w:rPr>
        <w:t xml:space="preserve"> </w:t>
      </w:r>
      <w:r w:rsidRPr="00893654">
        <w:rPr>
          <w:rFonts w:ascii="Abadi" w:hAnsi="Abadi"/>
          <w:sz w:val="21"/>
          <w:szCs w:val="21"/>
        </w:rPr>
        <w:t>de</w:t>
      </w:r>
      <w:r w:rsidRPr="00893654">
        <w:rPr>
          <w:rFonts w:ascii="Abadi" w:hAnsi="Abadi"/>
          <w:spacing w:val="-9"/>
          <w:sz w:val="21"/>
          <w:szCs w:val="21"/>
        </w:rPr>
        <w:t xml:space="preserve"> </w:t>
      </w:r>
      <w:r w:rsidRPr="00893654">
        <w:rPr>
          <w:rFonts w:ascii="Abadi" w:hAnsi="Abadi"/>
          <w:sz w:val="21"/>
          <w:szCs w:val="21"/>
        </w:rPr>
        <w:t>Administración</w:t>
      </w:r>
      <w:r w:rsidRPr="00893654">
        <w:rPr>
          <w:rFonts w:ascii="Abadi" w:hAnsi="Abadi"/>
          <w:spacing w:val="-9"/>
          <w:sz w:val="21"/>
          <w:szCs w:val="21"/>
        </w:rPr>
        <w:t xml:space="preserve"> </w:t>
      </w:r>
      <w:r w:rsidRPr="00893654">
        <w:rPr>
          <w:rFonts w:ascii="Abadi" w:hAnsi="Abadi"/>
          <w:sz w:val="21"/>
          <w:szCs w:val="21"/>
        </w:rPr>
        <w:t>de</w:t>
      </w:r>
      <w:r w:rsidRPr="00893654">
        <w:rPr>
          <w:rFonts w:ascii="Abadi" w:hAnsi="Abadi"/>
          <w:spacing w:val="-9"/>
          <w:sz w:val="21"/>
          <w:szCs w:val="21"/>
        </w:rPr>
        <w:t xml:space="preserve"> </w:t>
      </w:r>
      <w:r w:rsidRPr="00893654">
        <w:rPr>
          <w:rFonts w:ascii="Abadi" w:hAnsi="Abadi"/>
          <w:sz w:val="21"/>
          <w:szCs w:val="21"/>
        </w:rPr>
        <w:t>esta Sexagésima</w:t>
      </w:r>
      <w:r w:rsidRPr="00893654">
        <w:rPr>
          <w:rFonts w:ascii="Abadi" w:hAnsi="Abadi"/>
          <w:spacing w:val="-12"/>
          <w:sz w:val="21"/>
          <w:szCs w:val="21"/>
        </w:rPr>
        <w:t xml:space="preserve"> </w:t>
      </w:r>
      <w:r w:rsidRPr="00893654">
        <w:rPr>
          <w:rFonts w:ascii="Abadi" w:hAnsi="Abadi"/>
          <w:sz w:val="21"/>
          <w:szCs w:val="21"/>
        </w:rPr>
        <w:t>Quinta</w:t>
      </w:r>
      <w:r w:rsidRPr="00893654">
        <w:rPr>
          <w:rFonts w:ascii="Abadi" w:hAnsi="Abadi"/>
          <w:spacing w:val="-14"/>
          <w:sz w:val="21"/>
          <w:szCs w:val="21"/>
        </w:rPr>
        <w:t xml:space="preserve"> </w:t>
      </w:r>
      <w:r w:rsidRPr="00893654">
        <w:rPr>
          <w:rFonts w:ascii="Abadi" w:hAnsi="Abadi"/>
          <w:sz w:val="21"/>
          <w:szCs w:val="21"/>
        </w:rPr>
        <w:t>Legislatura,</w:t>
      </w:r>
      <w:r w:rsidRPr="00893654">
        <w:rPr>
          <w:rFonts w:ascii="Abadi" w:hAnsi="Abadi"/>
          <w:spacing w:val="-14"/>
          <w:sz w:val="21"/>
          <w:szCs w:val="21"/>
        </w:rPr>
        <w:t xml:space="preserve"> </w:t>
      </w:r>
      <w:r w:rsidRPr="00893654">
        <w:rPr>
          <w:rFonts w:ascii="Abadi" w:hAnsi="Abadi"/>
          <w:sz w:val="21"/>
          <w:szCs w:val="21"/>
        </w:rPr>
        <w:t>presenta</w:t>
      </w:r>
      <w:r w:rsidRPr="00893654">
        <w:rPr>
          <w:rFonts w:ascii="Abadi" w:hAnsi="Abadi"/>
          <w:spacing w:val="-14"/>
          <w:sz w:val="21"/>
          <w:szCs w:val="21"/>
        </w:rPr>
        <w:t xml:space="preserve"> </w:t>
      </w:r>
      <w:r w:rsidRPr="00893654">
        <w:rPr>
          <w:rFonts w:ascii="Abadi" w:hAnsi="Abadi"/>
          <w:sz w:val="21"/>
          <w:szCs w:val="21"/>
        </w:rPr>
        <w:t>a</w:t>
      </w:r>
      <w:r w:rsidRPr="00893654">
        <w:rPr>
          <w:rFonts w:ascii="Abadi" w:hAnsi="Abadi"/>
          <w:spacing w:val="-14"/>
          <w:sz w:val="21"/>
          <w:szCs w:val="21"/>
        </w:rPr>
        <w:t xml:space="preserve"> </w:t>
      </w:r>
      <w:r w:rsidRPr="00893654">
        <w:rPr>
          <w:rFonts w:ascii="Abadi" w:hAnsi="Abadi"/>
          <w:sz w:val="21"/>
          <w:szCs w:val="21"/>
        </w:rPr>
        <w:t>consideración</w:t>
      </w:r>
      <w:r w:rsidRPr="00893654">
        <w:rPr>
          <w:rFonts w:ascii="Abadi" w:hAnsi="Abadi"/>
          <w:spacing w:val="-14"/>
          <w:sz w:val="21"/>
          <w:szCs w:val="21"/>
        </w:rPr>
        <w:t xml:space="preserve"> </w:t>
      </w:r>
      <w:r w:rsidRPr="00893654">
        <w:rPr>
          <w:rFonts w:ascii="Abadi" w:hAnsi="Abadi"/>
          <w:sz w:val="21"/>
          <w:szCs w:val="21"/>
        </w:rPr>
        <w:t>del</w:t>
      </w:r>
      <w:r w:rsidRPr="00893654">
        <w:rPr>
          <w:rFonts w:ascii="Abadi" w:hAnsi="Abadi"/>
          <w:spacing w:val="-15"/>
          <w:sz w:val="21"/>
          <w:szCs w:val="21"/>
        </w:rPr>
        <w:t xml:space="preserve"> </w:t>
      </w:r>
      <w:r w:rsidRPr="00893654">
        <w:rPr>
          <w:rFonts w:ascii="Abadi" w:hAnsi="Abadi"/>
          <w:sz w:val="21"/>
          <w:szCs w:val="21"/>
        </w:rPr>
        <w:t>Pleno</w:t>
      </w:r>
      <w:r w:rsidRPr="00893654">
        <w:rPr>
          <w:rFonts w:ascii="Abadi" w:hAnsi="Abadi"/>
          <w:spacing w:val="-14"/>
          <w:sz w:val="21"/>
          <w:szCs w:val="21"/>
        </w:rPr>
        <w:t xml:space="preserve"> </w:t>
      </w:r>
      <w:r w:rsidRPr="00893654">
        <w:rPr>
          <w:rFonts w:ascii="Abadi" w:hAnsi="Abadi"/>
          <w:sz w:val="21"/>
          <w:szCs w:val="21"/>
        </w:rPr>
        <w:t>de</w:t>
      </w:r>
      <w:r w:rsidRPr="00893654">
        <w:rPr>
          <w:rFonts w:ascii="Abadi" w:hAnsi="Abadi"/>
          <w:spacing w:val="-14"/>
          <w:sz w:val="21"/>
          <w:szCs w:val="21"/>
        </w:rPr>
        <w:t xml:space="preserve"> </w:t>
      </w:r>
      <w:r w:rsidRPr="00893654">
        <w:rPr>
          <w:rFonts w:ascii="Abadi" w:hAnsi="Abadi"/>
          <w:sz w:val="21"/>
          <w:szCs w:val="21"/>
        </w:rPr>
        <w:t>la</w:t>
      </w:r>
      <w:r w:rsidRPr="00893654">
        <w:rPr>
          <w:rFonts w:ascii="Abadi" w:hAnsi="Abadi"/>
          <w:spacing w:val="-12"/>
          <w:sz w:val="21"/>
          <w:szCs w:val="21"/>
        </w:rPr>
        <w:t xml:space="preserve"> </w:t>
      </w:r>
      <w:r w:rsidRPr="00893654">
        <w:rPr>
          <w:rFonts w:ascii="Abadi" w:hAnsi="Abadi"/>
          <w:sz w:val="21"/>
          <w:szCs w:val="21"/>
        </w:rPr>
        <w:t xml:space="preserve">Asamblea en sesión Ordinaria Pública, el Informe de los </w:t>
      </w:r>
      <w:r w:rsidRPr="00893654">
        <w:rPr>
          <w:rFonts w:ascii="Abadi" w:hAnsi="Abadi"/>
          <w:sz w:val="21"/>
          <w:szCs w:val="21"/>
        </w:rPr>
        <w:lastRenderedPageBreak/>
        <w:t>conceptos generales de los Estados Financieros de los recursos presupuestales y las transferencias y ajustes presupuestales,</w:t>
      </w:r>
      <w:r w:rsidRPr="00893654">
        <w:rPr>
          <w:rFonts w:ascii="Abadi" w:hAnsi="Abadi"/>
          <w:spacing w:val="-6"/>
          <w:sz w:val="21"/>
          <w:szCs w:val="21"/>
        </w:rPr>
        <w:t xml:space="preserve"> </w:t>
      </w:r>
      <w:r w:rsidRPr="00893654">
        <w:rPr>
          <w:rFonts w:ascii="Abadi" w:hAnsi="Abadi"/>
          <w:sz w:val="21"/>
          <w:szCs w:val="21"/>
        </w:rPr>
        <w:t>correspondiente</w:t>
      </w:r>
      <w:r w:rsidRPr="00893654">
        <w:rPr>
          <w:rFonts w:ascii="Abadi" w:hAnsi="Abadi"/>
          <w:spacing w:val="-6"/>
          <w:sz w:val="21"/>
          <w:szCs w:val="21"/>
        </w:rPr>
        <w:t xml:space="preserve"> </w:t>
      </w:r>
      <w:r w:rsidRPr="00893654">
        <w:rPr>
          <w:rFonts w:ascii="Abadi" w:hAnsi="Abadi"/>
          <w:sz w:val="21"/>
          <w:szCs w:val="21"/>
        </w:rPr>
        <w:t>al</w:t>
      </w:r>
      <w:r w:rsidRPr="00893654">
        <w:rPr>
          <w:rFonts w:ascii="Abadi" w:hAnsi="Abadi"/>
          <w:spacing w:val="-7"/>
          <w:sz w:val="21"/>
          <w:szCs w:val="21"/>
        </w:rPr>
        <w:t xml:space="preserve"> </w:t>
      </w:r>
      <w:r w:rsidRPr="00893654">
        <w:rPr>
          <w:rFonts w:ascii="Abadi" w:hAnsi="Abadi"/>
          <w:sz w:val="21"/>
          <w:szCs w:val="21"/>
        </w:rPr>
        <w:t>período</w:t>
      </w:r>
      <w:r w:rsidRPr="00893654">
        <w:rPr>
          <w:rFonts w:ascii="Abadi" w:hAnsi="Abadi"/>
          <w:spacing w:val="-6"/>
          <w:sz w:val="21"/>
          <w:szCs w:val="21"/>
        </w:rPr>
        <w:t xml:space="preserve"> </w:t>
      </w:r>
      <w:r w:rsidRPr="00893654">
        <w:rPr>
          <w:rFonts w:ascii="Abadi" w:hAnsi="Abadi"/>
          <w:sz w:val="21"/>
          <w:szCs w:val="21"/>
        </w:rPr>
        <w:t>del</w:t>
      </w:r>
      <w:r w:rsidRPr="00893654">
        <w:rPr>
          <w:rFonts w:ascii="Abadi" w:hAnsi="Abadi"/>
          <w:spacing w:val="-7"/>
          <w:sz w:val="21"/>
          <w:szCs w:val="21"/>
        </w:rPr>
        <w:t xml:space="preserve"> </w:t>
      </w:r>
      <w:r w:rsidRPr="00893654">
        <w:rPr>
          <w:rFonts w:ascii="Abadi" w:hAnsi="Abadi"/>
          <w:sz w:val="21"/>
          <w:szCs w:val="21"/>
        </w:rPr>
        <w:t>01</w:t>
      </w:r>
      <w:r w:rsidRPr="00893654">
        <w:rPr>
          <w:rFonts w:ascii="Abadi" w:hAnsi="Abadi"/>
          <w:spacing w:val="-6"/>
          <w:sz w:val="21"/>
          <w:szCs w:val="21"/>
        </w:rPr>
        <w:t xml:space="preserve"> </w:t>
      </w:r>
      <w:r w:rsidRPr="00893654">
        <w:rPr>
          <w:rFonts w:ascii="Abadi" w:hAnsi="Abadi"/>
          <w:sz w:val="21"/>
          <w:szCs w:val="21"/>
        </w:rPr>
        <w:t>al</w:t>
      </w:r>
      <w:r w:rsidRPr="00893654">
        <w:rPr>
          <w:rFonts w:ascii="Abadi" w:hAnsi="Abadi"/>
          <w:spacing w:val="-7"/>
          <w:sz w:val="21"/>
          <w:szCs w:val="21"/>
        </w:rPr>
        <w:t xml:space="preserve"> </w:t>
      </w:r>
      <w:r w:rsidRPr="00893654">
        <w:rPr>
          <w:rFonts w:ascii="Abadi" w:hAnsi="Abadi"/>
          <w:sz w:val="21"/>
          <w:szCs w:val="21"/>
        </w:rPr>
        <w:t>30</w:t>
      </w:r>
      <w:r w:rsidRPr="00893654">
        <w:rPr>
          <w:rFonts w:ascii="Abadi" w:hAnsi="Abadi"/>
          <w:spacing w:val="-6"/>
          <w:sz w:val="21"/>
          <w:szCs w:val="21"/>
        </w:rPr>
        <w:t xml:space="preserve"> </w:t>
      </w:r>
      <w:r w:rsidRPr="00893654">
        <w:rPr>
          <w:rFonts w:ascii="Abadi" w:hAnsi="Abadi"/>
          <w:sz w:val="21"/>
          <w:szCs w:val="21"/>
        </w:rPr>
        <w:t>de</w:t>
      </w:r>
      <w:r w:rsidRPr="00893654">
        <w:rPr>
          <w:rFonts w:ascii="Abadi" w:hAnsi="Abadi"/>
          <w:spacing w:val="-6"/>
          <w:sz w:val="21"/>
          <w:szCs w:val="21"/>
        </w:rPr>
        <w:t xml:space="preserve"> </w:t>
      </w:r>
      <w:r w:rsidRPr="00893654">
        <w:rPr>
          <w:rFonts w:ascii="Abadi" w:hAnsi="Abadi"/>
          <w:sz w:val="21"/>
          <w:szCs w:val="21"/>
        </w:rPr>
        <w:t>Abril</w:t>
      </w:r>
      <w:r w:rsidRPr="00893654">
        <w:rPr>
          <w:rFonts w:ascii="Abadi" w:hAnsi="Abadi"/>
          <w:spacing w:val="-7"/>
          <w:sz w:val="21"/>
          <w:szCs w:val="21"/>
        </w:rPr>
        <w:t xml:space="preserve"> </w:t>
      </w:r>
      <w:r w:rsidRPr="00893654">
        <w:rPr>
          <w:rFonts w:ascii="Abadi" w:hAnsi="Abadi"/>
          <w:sz w:val="21"/>
          <w:szCs w:val="21"/>
        </w:rPr>
        <w:t>de</w:t>
      </w:r>
      <w:r w:rsidRPr="00893654">
        <w:rPr>
          <w:rFonts w:ascii="Abadi" w:hAnsi="Abadi"/>
          <w:spacing w:val="-8"/>
          <w:sz w:val="21"/>
          <w:szCs w:val="21"/>
        </w:rPr>
        <w:t xml:space="preserve"> </w:t>
      </w:r>
      <w:r w:rsidRPr="00893654">
        <w:rPr>
          <w:rFonts w:ascii="Abadi" w:hAnsi="Abadi"/>
          <w:sz w:val="21"/>
          <w:szCs w:val="21"/>
        </w:rPr>
        <w:t>2023</w:t>
      </w:r>
      <w:r w:rsidRPr="00893654">
        <w:rPr>
          <w:rFonts w:ascii="Abadi" w:hAnsi="Abadi"/>
          <w:spacing w:val="-6"/>
          <w:sz w:val="21"/>
          <w:szCs w:val="21"/>
        </w:rPr>
        <w:t xml:space="preserve"> </w:t>
      </w:r>
      <w:r w:rsidRPr="00893654">
        <w:rPr>
          <w:rFonts w:ascii="Abadi" w:hAnsi="Abadi"/>
          <w:sz w:val="21"/>
          <w:szCs w:val="21"/>
        </w:rPr>
        <w:t>(anexo</w:t>
      </w:r>
      <w:r w:rsidRPr="00893654">
        <w:rPr>
          <w:rFonts w:ascii="Abadi" w:hAnsi="Abadi"/>
          <w:spacing w:val="-8"/>
          <w:sz w:val="21"/>
          <w:szCs w:val="21"/>
        </w:rPr>
        <w:t xml:space="preserve"> </w:t>
      </w:r>
      <w:r w:rsidRPr="00893654">
        <w:rPr>
          <w:rFonts w:ascii="Abadi" w:hAnsi="Abadi"/>
          <w:sz w:val="21"/>
          <w:szCs w:val="21"/>
        </w:rPr>
        <w:t>1).</w:t>
      </w:r>
    </w:p>
    <w:p w14:paraId="4037C301" w14:textId="77777777" w:rsidR="007B3286" w:rsidRPr="00893654" w:rsidRDefault="007B3286" w:rsidP="007B3286">
      <w:pPr>
        <w:spacing w:before="92"/>
        <w:ind w:right="142"/>
        <w:jc w:val="both"/>
        <w:rPr>
          <w:rFonts w:ascii="Abadi" w:hAnsi="Abadi"/>
          <w:sz w:val="21"/>
          <w:szCs w:val="21"/>
        </w:rPr>
      </w:pPr>
    </w:p>
    <w:p w14:paraId="490899A3" w14:textId="77777777" w:rsidR="007B3286" w:rsidRDefault="007B3286" w:rsidP="007B3286">
      <w:pPr>
        <w:spacing w:before="120"/>
        <w:jc w:val="both"/>
        <w:rPr>
          <w:rFonts w:ascii="Abadi" w:hAnsi="Abadi"/>
          <w:spacing w:val="-2"/>
          <w:sz w:val="21"/>
          <w:szCs w:val="21"/>
        </w:rPr>
      </w:pPr>
      <w:r w:rsidRPr="00893654">
        <w:rPr>
          <w:rFonts w:ascii="Abadi" w:hAnsi="Abadi"/>
          <w:sz w:val="21"/>
          <w:szCs w:val="21"/>
        </w:rPr>
        <w:t>Por</w:t>
      </w:r>
      <w:r w:rsidRPr="00893654">
        <w:rPr>
          <w:rFonts w:ascii="Abadi" w:hAnsi="Abadi"/>
          <w:spacing w:val="-4"/>
          <w:sz w:val="21"/>
          <w:szCs w:val="21"/>
        </w:rPr>
        <w:t xml:space="preserve"> </w:t>
      </w:r>
      <w:r w:rsidRPr="00893654">
        <w:rPr>
          <w:rFonts w:ascii="Abadi" w:hAnsi="Abadi"/>
          <w:sz w:val="21"/>
          <w:szCs w:val="21"/>
        </w:rPr>
        <w:t>lo</w:t>
      </w:r>
      <w:r w:rsidRPr="00893654">
        <w:rPr>
          <w:rFonts w:ascii="Abadi" w:hAnsi="Abadi"/>
          <w:spacing w:val="-2"/>
          <w:sz w:val="21"/>
          <w:szCs w:val="21"/>
        </w:rPr>
        <w:t xml:space="preserve"> </w:t>
      </w:r>
      <w:r w:rsidRPr="00893654">
        <w:rPr>
          <w:rFonts w:ascii="Abadi" w:hAnsi="Abadi"/>
          <w:sz w:val="21"/>
          <w:szCs w:val="21"/>
        </w:rPr>
        <w:t>expuesto,</w:t>
      </w:r>
      <w:r w:rsidRPr="00893654">
        <w:rPr>
          <w:rFonts w:ascii="Abadi" w:hAnsi="Abadi"/>
          <w:spacing w:val="-2"/>
          <w:sz w:val="21"/>
          <w:szCs w:val="21"/>
        </w:rPr>
        <w:t xml:space="preserve"> </w:t>
      </w:r>
      <w:r w:rsidRPr="00893654">
        <w:rPr>
          <w:rFonts w:ascii="Abadi" w:hAnsi="Abadi"/>
          <w:sz w:val="21"/>
          <w:szCs w:val="21"/>
        </w:rPr>
        <w:t>solicitamos</w:t>
      </w:r>
      <w:r w:rsidRPr="00893654">
        <w:rPr>
          <w:rFonts w:ascii="Abadi" w:hAnsi="Abadi"/>
          <w:spacing w:val="-5"/>
          <w:sz w:val="21"/>
          <w:szCs w:val="21"/>
        </w:rPr>
        <w:t xml:space="preserve"> </w:t>
      </w:r>
      <w:r w:rsidRPr="00893654">
        <w:rPr>
          <w:rFonts w:ascii="Abadi" w:hAnsi="Abadi"/>
          <w:sz w:val="21"/>
          <w:szCs w:val="21"/>
        </w:rPr>
        <w:t>de</w:t>
      </w:r>
      <w:r w:rsidRPr="00893654">
        <w:rPr>
          <w:rFonts w:ascii="Abadi" w:hAnsi="Abadi"/>
          <w:spacing w:val="-2"/>
          <w:sz w:val="21"/>
          <w:szCs w:val="21"/>
        </w:rPr>
        <w:t xml:space="preserve"> </w:t>
      </w:r>
      <w:r w:rsidRPr="00893654">
        <w:rPr>
          <w:rFonts w:ascii="Abadi" w:hAnsi="Abadi"/>
          <w:sz w:val="21"/>
          <w:szCs w:val="21"/>
        </w:rPr>
        <w:t>la</w:t>
      </w:r>
      <w:r w:rsidRPr="00893654">
        <w:rPr>
          <w:rFonts w:ascii="Abadi" w:hAnsi="Abadi"/>
          <w:spacing w:val="-4"/>
          <w:sz w:val="21"/>
          <w:szCs w:val="21"/>
        </w:rPr>
        <w:t xml:space="preserve"> </w:t>
      </w:r>
      <w:r w:rsidRPr="00893654">
        <w:rPr>
          <w:rFonts w:ascii="Abadi" w:hAnsi="Abadi"/>
          <w:sz w:val="21"/>
          <w:szCs w:val="21"/>
        </w:rPr>
        <w:t>Presidencia</w:t>
      </w:r>
      <w:r w:rsidRPr="00893654">
        <w:rPr>
          <w:rFonts w:ascii="Abadi" w:hAnsi="Abadi"/>
          <w:spacing w:val="-2"/>
          <w:sz w:val="21"/>
          <w:szCs w:val="21"/>
        </w:rPr>
        <w:t xml:space="preserve"> </w:t>
      </w:r>
      <w:r w:rsidRPr="00893654">
        <w:rPr>
          <w:rFonts w:ascii="Abadi" w:hAnsi="Abadi"/>
          <w:sz w:val="21"/>
          <w:szCs w:val="21"/>
        </w:rPr>
        <w:t>del</w:t>
      </w:r>
      <w:r w:rsidRPr="00893654">
        <w:rPr>
          <w:rFonts w:ascii="Abadi" w:hAnsi="Abadi"/>
          <w:spacing w:val="-3"/>
          <w:sz w:val="21"/>
          <w:szCs w:val="21"/>
        </w:rPr>
        <w:t xml:space="preserve"> </w:t>
      </w:r>
      <w:r w:rsidRPr="00893654">
        <w:rPr>
          <w:rFonts w:ascii="Abadi" w:hAnsi="Abadi"/>
          <w:sz w:val="21"/>
          <w:szCs w:val="21"/>
        </w:rPr>
        <w:t>Honorable</w:t>
      </w:r>
      <w:r w:rsidRPr="00893654">
        <w:rPr>
          <w:rFonts w:ascii="Abadi" w:hAnsi="Abadi"/>
          <w:spacing w:val="-2"/>
          <w:sz w:val="21"/>
          <w:szCs w:val="21"/>
        </w:rPr>
        <w:t xml:space="preserve"> </w:t>
      </w:r>
      <w:r w:rsidRPr="00893654">
        <w:rPr>
          <w:rFonts w:ascii="Abadi" w:hAnsi="Abadi"/>
          <w:sz w:val="21"/>
          <w:szCs w:val="21"/>
        </w:rPr>
        <w:t>Congreso</w:t>
      </w:r>
      <w:r w:rsidRPr="00893654">
        <w:rPr>
          <w:rFonts w:ascii="Abadi" w:hAnsi="Abadi"/>
          <w:spacing w:val="-2"/>
          <w:sz w:val="21"/>
          <w:szCs w:val="21"/>
        </w:rPr>
        <w:t xml:space="preserve"> </w:t>
      </w:r>
      <w:r w:rsidRPr="00893654">
        <w:rPr>
          <w:rFonts w:ascii="Abadi" w:hAnsi="Abadi"/>
          <w:sz w:val="21"/>
          <w:szCs w:val="21"/>
        </w:rPr>
        <w:t>del</w:t>
      </w:r>
      <w:r w:rsidRPr="00893654">
        <w:rPr>
          <w:rFonts w:ascii="Abadi" w:hAnsi="Abadi"/>
          <w:spacing w:val="-6"/>
          <w:sz w:val="21"/>
          <w:szCs w:val="21"/>
        </w:rPr>
        <w:t xml:space="preserve"> </w:t>
      </w:r>
      <w:r w:rsidRPr="00893654">
        <w:rPr>
          <w:rFonts w:ascii="Abadi" w:hAnsi="Abadi"/>
          <w:sz w:val="21"/>
          <w:szCs w:val="21"/>
        </w:rPr>
        <w:t>Estado, se</w:t>
      </w:r>
      <w:r w:rsidRPr="00893654">
        <w:rPr>
          <w:rFonts w:ascii="Abadi" w:hAnsi="Abadi"/>
          <w:spacing w:val="-7"/>
          <w:sz w:val="21"/>
          <w:szCs w:val="21"/>
        </w:rPr>
        <w:t xml:space="preserve"> </w:t>
      </w:r>
      <w:r w:rsidRPr="00893654">
        <w:rPr>
          <w:rFonts w:ascii="Abadi" w:hAnsi="Abadi"/>
          <w:sz w:val="21"/>
          <w:szCs w:val="21"/>
        </w:rPr>
        <w:t>exponga</w:t>
      </w:r>
      <w:r w:rsidRPr="00893654">
        <w:rPr>
          <w:rFonts w:ascii="Abadi" w:hAnsi="Abadi"/>
          <w:spacing w:val="-7"/>
          <w:sz w:val="21"/>
          <w:szCs w:val="21"/>
        </w:rPr>
        <w:t xml:space="preserve"> </w:t>
      </w:r>
      <w:r w:rsidRPr="00893654">
        <w:rPr>
          <w:rFonts w:ascii="Abadi" w:hAnsi="Abadi"/>
          <w:sz w:val="21"/>
          <w:szCs w:val="21"/>
        </w:rPr>
        <w:t>a</w:t>
      </w:r>
      <w:r w:rsidRPr="00893654">
        <w:rPr>
          <w:rFonts w:ascii="Abadi" w:hAnsi="Abadi"/>
          <w:spacing w:val="-7"/>
          <w:sz w:val="21"/>
          <w:szCs w:val="21"/>
        </w:rPr>
        <w:t xml:space="preserve"> </w:t>
      </w:r>
      <w:r w:rsidRPr="00893654">
        <w:rPr>
          <w:rFonts w:ascii="Abadi" w:hAnsi="Abadi"/>
          <w:sz w:val="21"/>
          <w:szCs w:val="21"/>
        </w:rPr>
        <w:t>consideración</w:t>
      </w:r>
      <w:r w:rsidRPr="00893654">
        <w:rPr>
          <w:rFonts w:ascii="Abadi" w:hAnsi="Abadi"/>
          <w:spacing w:val="-7"/>
          <w:sz w:val="21"/>
          <w:szCs w:val="21"/>
        </w:rPr>
        <w:t xml:space="preserve"> </w:t>
      </w:r>
      <w:r w:rsidRPr="00893654">
        <w:rPr>
          <w:rFonts w:ascii="Abadi" w:hAnsi="Abadi"/>
          <w:sz w:val="21"/>
          <w:szCs w:val="21"/>
        </w:rPr>
        <w:t>del</w:t>
      </w:r>
      <w:r w:rsidRPr="00893654">
        <w:rPr>
          <w:rFonts w:ascii="Abadi" w:hAnsi="Abadi"/>
          <w:spacing w:val="-8"/>
          <w:sz w:val="21"/>
          <w:szCs w:val="21"/>
        </w:rPr>
        <w:t xml:space="preserve"> </w:t>
      </w:r>
      <w:r w:rsidRPr="00893654">
        <w:rPr>
          <w:rFonts w:ascii="Abadi" w:hAnsi="Abadi"/>
          <w:sz w:val="21"/>
          <w:szCs w:val="21"/>
        </w:rPr>
        <w:t>Pleno</w:t>
      </w:r>
      <w:r w:rsidRPr="00893654">
        <w:rPr>
          <w:rFonts w:ascii="Abadi" w:hAnsi="Abadi"/>
          <w:spacing w:val="-9"/>
          <w:sz w:val="21"/>
          <w:szCs w:val="21"/>
        </w:rPr>
        <w:t xml:space="preserve"> </w:t>
      </w:r>
      <w:r w:rsidRPr="00893654">
        <w:rPr>
          <w:rFonts w:ascii="Abadi" w:hAnsi="Abadi"/>
          <w:sz w:val="21"/>
          <w:szCs w:val="21"/>
        </w:rPr>
        <w:t>el</w:t>
      </w:r>
      <w:r w:rsidRPr="00893654">
        <w:rPr>
          <w:rFonts w:ascii="Abadi" w:hAnsi="Abadi"/>
          <w:spacing w:val="-8"/>
          <w:sz w:val="21"/>
          <w:szCs w:val="21"/>
        </w:rPr>
        <w:t xml:space="preserve"> </w:t>
      </w:r>
      <w:r w:rsidRPr="00893654">
        <w:rPr>
          <w:rFonts w:ascii="Abadi" w:hAnsi="Abadi"/>
          <w:sz w:val="21"/>
          <w:szCs w:val="21"/>
        </w:rPr>
        <w:t>Informe</w:t>
      </w:r>
      <w:r w:rsidRPr="00893654">
        <w:rPr>
          <w:rFonts w:ascii="Abadi" w:hAnsi="Abadi"/>
          <w:spacing w:val="-7"/>
          <w:sz w:val="21"/>
          <w:szCs w:val="21"/>
        </w:rPr>
        <w:t xml:space="preserve"> </w:t>
      </w:r>
      <w:r w:rsidRPr="00893654">
        <w:rPr>
          <w:rFonts w:ascii="Abadi" w:hAnsi="Abadi"/>
          <w:sz w:val="21"/>
          <w:szCs w:val="21"/>
        </w:rPr>
        <w:t>de</w:t>
      </w:r>
      <w:r w:rsidRPr="00893654">
        <w:rPr>
          <w:rFonts w:ascii="Abadi" w:hAnsi="Abadi"/>
          <w:spacing w:val="-7"/>
          <w:sz w:val="21"/>
          <w:szCs w:val="21"/>
        </w:rPr>
        <w:t xml:space="preserve"> </w:t>
      </w:r>
      <w:r w:rsidRPr="00893654">
        <w:rPr>
          <w:rFonts w:ascii="Abadi" w:hAnsi="Abadi"/>
          <w:sz w:val="21"/>
          <w:szCs w:val="21"/>
        </w:rPr>
        <w:t>la</w:t>
      </w:r>
      <w:r w:rsidRPr="00893654">
        <w:rPr>
          <w:rFonts w:ascii="Abadi" w:hAnsi="Abadi"/>
          <w:spacing w:val="-7"/>
          <w:sz w:val="21"/>
          <w:szCs w:val="21"/>
        </w:rPr>
        <w:t xml:space="preserve"> </w:t>
      </w:r>
      <w:r w:rsidRPr="00893654">
        <w:rPr>
          <w:rFonts w:ascii="Abadi" w:hAnsi="Abadi"/>
          <w:sz w:val="21"/>
          <w:szCs w:val="21"/>
        </w:rPr>
        <w:t>Comisión</w:t>
      </w:r>
      <w:r w:rsidRPr="00893654">
        <w:rPr>
          <w:rFonts w:ascii="Abadi" w:hAnsi="Abadi"/>
          <w:spacing w:val="-7"/>
          <w:sz w:val="21"/>
          <w:szCs w:val="21"/>
        </w:rPr>
        <w:t xml:space="preserve"> </w:t>
      </w:r>
      <w:r w:rsidRPr="00893654">
        <w:rPr>
          <w:rFonts w:ascii="Abadi" w:hAnsi="Abadi"/>
          <w:sz w:val="21"/>
          <w:szCs w:val="21"/>
        </w:rPr>
        <w:t>de</w:t>
      </w:r>
      <w:r w:rsidRPr="00893654">
        <w:rPr>
          <w:rFonts w:ascii="Abadi" w:hAnsi="Abadi"/>
          <w:spacing w:val="-9"/>
          <w:sz w:val="21"/>
          <w:szCs w:val="21"/>
        </w:rPr>
        <w:t xml:space="preserve"> </w:t>
      </w:r>
      <w:r w:rsidRPr="00893654">
        <w:rPr>
          <w:rFonts w:ascii="Abadi" w:hAnsi="Abadi"/>
          <w:sz w:val="21"/>
          <w:szCs w:val="21"/>
        </w:rPr>
        <w:t>Administración, en</w:t>
      </w:r>
      <w:r w:rsidRPr="00893654">
        <w:rPr>
          <w:rFonts w:ascii="Abadi" w:hAnsi="Abadi"/>
          <w:spacing w:val="-7"/>
          <w:sz w:val="21"/>
          <w:szCs w:val="21"/>
        </w:rPr>
        <w:t xml:space="preserve"> </w:t>
      </w:r>
      <w:r w:rsidRPr="00893654">
        <w:rPr>
          <w:rFonts w:ascii="Abadi" w:hAnsi="Abadi"/>
          <w:sz w:val="21"/>
          <w:szCs w:val="21"/>
        </w:rPr>
        <w:t>los</w:t>
      </w:r>
      <w:r w:rsidRPr="00893654">
        <w:rPr>
          <w:rFonts w:ascii="Abadi" w:hAnsi="Abadi"/>
          <w:spacing w:val="-7"/>
          <w:sz w:val="21"/>
          <w:szCs w:val="21"/>
        </w:rPr>
        <w:t xml:space="preserve"> </w:t>
      </w:r>
      <w:r w:rsidRPr="00893654">
        <w:rPr>
          <w:rFonts w:ascii="Abadi" w:hAnsi="Abadi"/>
          <w:sz w:val="21"/>
          <w:szCs w:val="21"/>
        </w:rPr>
        <w:t>términos</w:t>
      </w:r>
      <w:r w:rsidRPr="00893654">
        <w:rPr>
          <w:rFonts w:ascii="Abadi" w:hAnsi="Abadi"/>
          <w:spacing w:val="-9"/>
          <w:sz w:val="21"/>
          <w:szCs w:val="21"/>
        </w:rPr>
        <w:t xml:space="preserve"> </w:t>
      </w:r>
      <w:r w:rsidRPr="00893654">
        <w:rPr>
          <w:rFonts w:ascii="Abadi" w:hAnsi="Abadi"/>
          <w:sz w:val="21"/>
          <w:szCs w:val="21"/>
        </w:rPr>
        <w:t>de</w:t>
      </w:r>
      <w:r w:rsidRPr="00893654">
        <w:rPr>
          <w:rFonts w:ascii="Abadi" w:hAnsi="Abadi"/>
          <w:spacing w:val="-9"/>
          <w:sz w:val="21"/>
          <w:szCs w:val="21"/>
        </w:rPr>
        <w:t xml:space="preserve"> </w:t>
      </w:r>
      <w:r w:rsidRPr="00893654">
        <w:rPr>
          <w:rFonts w:ascii="Abadi" w:hAnsi="Abadi"/>
          <w:sz w:val="21"/>
          <w:szCs w:val="21"/>
        </w:rPr>
        <w:t>la</w:t>
      </w:r>
      <w:r w:rsidRPr="00893654">
        <w:rPr>
          <w:rFonts w:ascii="Abadi" w:hAnsi="Abadi"/>
          <w:spacing w:val="-8"/>
          <w:sz w:val="21"/>
          <w:szCs w:val="21"/>
        </w:rPr>
        <w:t xml:space="preserve"> </w:t>
      </w:r>
      <w:r w:rsidRPr="00893654">
        <w:rPr>
          <w:rFonts w:ascii="Abadi" w:hAnsi="Abadi"/>
          <w:sz w:val="21"/>
          <w:szCs w:val="21"/>
        </w:rPr>
        <w:t>Ley</w:t>
      </w:r>
      <w:r w:rsidRPr="00893654">
        <w:rPr>
          <w:rFonts w:ascii="Abadi" w:hAnsi="Abadi"/>
          <w:spacing w:val="-7"/>
          <w:sz w:val="21"/>
          <w:szCs w:val="21"/>
        </w:rPr>
        <w:t xml:space="preserve"> </w:t>
      </w:r>
      <w:r w:rsidRPr="00893654">
        <w:rPr>
          <w:rFonts w:ascii="Abadi" w:hAnsi="Abadi"/>
          <w:sz w:val="21"/>
          <w:szCs w:val="21"/>
        </w:rPr>
        <w:t>Orgánica</w:t>
      </w:r>
      <w:r w:rsidRPr="00893654">
        <w:rPr>
          <w:rFonts w:ascii="Abadi" w:hAnsi="Abadi"/>
          <w:spacing w:val="-8"/>
          <w:sz w:val="21"/>
          <w:szCs w:val="21"/>
        </w:rPr>
        <w:t xml:space="preserve"> </w:t>
      </w:r>
      <w:r w:rsidRPr="00893654">
        <w:rPr>
          <w:rFonts w:ascii="Abadi" w:hAnsi="Abadi"/>
          <w:sz w:val="21"/>
          <w:szCs w:val="21"/>
        </w:rPr>
        <w:t>del</w:t>
      </w:r>
      <w:r w:rsidRPr="00893654">
        <w:rPr>
          <w:rFonts w:ascii="Abadi" w:hAnsi="Abadi"/>
          <w:spacing w:val="-8"/>
          <w:sz w:val="21"/>
          <w:szCs w:val="21"/>
        </w:rPr>
        <w:t xml:space="preserve"> </w:t>
      </w:r>
      <w:r w:rsidRPr="00893654">
        <w:rPr>
          <w:rFonts w:ascii="Abadi" w:hAnsi="Abadi"/>
          <w:sz w:val="21"/>
          <w:szCs w:val="21"/>
        </w:rPr>
        <w:t>Poder</w:t>
      </w:r>
      <w:r w:rsidRPr="00893654">
        <w:rPr>
          <w:rFonts w:ascii="Abadi" w:hAnsi="Abadi"/>
          <w:spacing w:val="-12"/>
          <w:sz w:val="21"/>
          <w:szCs w:val="21"/>
        </w:rPr>
        <w:t xml:space="preserve"> </w:t>
      </w:r>
      <w:r w:rsidRPr="00893654">
        <w:rPr>
          <w:rFonts w:ascii="Abadi" w:hAnsi="Abadi"/>
          <w:sz w:val="21"/>
          <w:szCs w:val="21"/>
        </w:rPr>
        <w:t>Legislativo</w:t>
      </w:r>
      <w:r w:rsidRPr="00893654">
        <w:rPr>
          <w:rFonts w:ascii="Abadi" w:hAnsi="Abadi"/>
          <w:spacing w:val="-8"/>
          <w:sz w:val="21"/>
          <w:szCs w:val="21"/>
        </w:rPr>
        <w:t xml:space="preserve"> </w:t>
      </w:r>
      <w:r w:rsidRPr="00893654">
        <w:rPr>
          <w:rFonts w:ascii="Abadi" w:hAnsi="Abadi"/>
          <w:sz w:val="21"/>
          <w:szCs w:val="21"/>
        </w:rPr>
        <w:t>del</w:t>
      </w:r>
      <w:r w:rsidRPr="00893654">
        <w:rPr>
          <w:rFonts w:ascii="Abadi" w:hAnsi="Abadi"/>
          <w:spacing w:val="-7"/>
          <w:sz w:val="21"/>
          <w:szCs w:val="21"/>
        </w:rPr>
        <w:t xml:space="preserve"> </w:t>
      </w:r>
      <w:r w:rsidRPr="00893654">
        <w:rPr>
          <w:rFonts w:ascii="Abadi" w:hAnsi="Abadi"/>
          <w:sz w:val="21"/>
          <w:szCs w:val="21"/>
        </w:rPr>
        <w:t>Estado</w:t>
      </w:r>
      <w:r w:rsidRPr="00893654">
        <w:rPr>
          <w:rFonts w:ascii="Abadi" w:hAnsi="Abadi"/>
          <w:spacing w:val="-9"/>
          <w:sz w:val="21"/>
          <w:szCs w:val="21"/>
        </w:rPr>
        <w:t xml:space="preserve"> </w:t>
      </w:r>
      <w:r w:rsidRPr="00893654">
        <w:rPr>
          <w:rFonts w:ascii="Abadi" w:hAnsi="Abadi"/>
          <w:sz w:val="21"/>
          <w:szCs w:val="21"/>
        </w:rPr>
        <w:t>de</w:t>
      </w:r>
      <w:r w:rsidRPr="00893654">
        <w:rPr>
          <w:rFonts w:ascii="Abadi" w:hAnsi="Abadi"/>
          <w:spacing w:val="-8"/>
          <w:sz w:val="21"/>
          <w:szCs w:val="21"/>
        </w:rPr>
        <w:t xml:space="preserve"> </w:t>
      </w:r>
      <w:r w:rsidRPr="00893654">
        <w:rPr>
          <w:rFonts w:ascii="Abadi" w:hAnsi="Abadi"/>
          <w:spacing w:val="-2"/>
          <w:sz w:val="21"/>
          <w:szCs w:val="21"/>
        </w:rPr>
        <w:t>Guanajuato.</w:t>
      </w:r>
    </w:p>
    <w:p w14:paraId="75EED927" w14:textId="77777777" w:rsidR="007F0FAB" w:rsidRPr="00893654" w:rsidRDefault="007F0FAB" w:rsidP="007B3286">
      <w:pPr>
        <w:spacing w:before="120"/>
        <w:jc w:val="both"/>
        <w:rPr>
          <w:rFonts w:ascii="Abadi" w:hAnsi="Abadi"/>
          <w:sz w:val="21"/>
          <w:szCs w:val="21"/>
        </w:rPr>
      </w:pPr>
    </w:p>
    <w:p w14:paraId="69FAD05D" w14:textId="77777777" w:rsidR="007B3286" w:rsidRDefault="007B3286" w:rsidP="007B3286">
      <w:pPr>
        <w:spacing w:before="120"/>
        <w:jc w:val="both"/>
        <w:rPr>
          <w:rFonts w:ascii="Abadi" w:hAnsi="Abadi"/>
          <w:sz w:val="21"/>
          <w:szCs w:val="21"/>
        </w:rPr>
      </w:pPr>
      <w:r w:rsidRPr="00893654">
        <w:rPr>
          <w:rFonts w:ascii="Abadi" w:hAnsi="Abadi"/>
          <w:sz w:val="21"/>
          <w:szCs w:val="21"/>
        </w:rPr>
        <w:t>Sin otro particular por el momento, aprovecho la ocasión para reiterarle las seguridades de mi distinguida consideración.</w:t>
      </w:r>
    </w:p>
    <w:p w14:paraId="2A1933DB" w14:textId="77777777" w:rsidR="00383E2B" w:rsidRDefault="00383E2B" w:rsidP="007B3286">
      <w:pPr>
        <w:spacing w:before="120"/>
        <w:jc w:val="both"/>
        <w:rPr>
          <w:rFonts w:ascii="Abadi" w:hAnsi="Abadi"/>
          <w:sz w:val="21"/>
          <w:szCs w:val="21"/>
        </w:rPr>
      </w:pPr>
    </w:p>
    <w:p w14:paraId="4527F8A4" w14:textId="77777777" w:rsidR="00383E2B" w:rsidRPr="00145AEE" w:rsidRDefault="00383E2B" w:rsidP="00383E2B">
      <w:pPr>
        <w:spacing w:before="120"/>
        <w:jc w:val="both"/>
        <w:rPr>
          <w:rFonts w:ascii="Abadi" w:hAnsi="Abadi" w:cs="ArialMT"/>
          <w:b/>
          <w:bCs/>
          <w:sz w:val="21"/>
          <w:szCs w:val="21"/>
        </w:rPr>
      </w:pPr>
      <w:r w:rsidRPr="00145AEE">
        <w:rPr>
          <w:rFonts w:ascii="Abadi" w:hAnsi="Abadi" w:cs="ArialMT"/>
          <w:b/>
          <w:bCs/>
          <w:sz w:val="21"/>
          <w:szCs w:val="21"/>
        </w:rPr>
        <w:t>ATENTAMENTE</w:t>
      </w:r>
    </w:p>
    <w:p w14:paraId="297A832C" w14:textId="77777777" w:rsidR="00383E2B" w:rsidRPr="00145AEE" w:rsidRDefault="00383E2B" w:rsidP="00383E2B">
      <w:pPr>
        <w:spacing w:before="120"/>
        <w:jc w:val="both"/>
        <w:rPr>
          <w:rFonts w:ascii="Abadi" w:hAnsi="Abadi" w:cs="ArialMT"/>
          <w:b/>
          <w:bCs/>
          <w:sz w:val="21"/>
          <w:szCs w:val="21"/>
        </w:rPr>
      </w:pPr>
    </w:p>
    <w:p w14:paraId="5C06EF6C" w14:textId="77777777" w:rsidR="00383E2B" w:rsidRPr="00145AEE" w:rsidRDefault="00383E2B" w:rsidP="00383E2B">
      <w:pPr>
        <w:autoSpaceDE w:val="0"/>
        <w:autoSpaceDN w:val="0"/>
        <w:adjustRightInd w:val="0"/>
        <w:rPr>
          <w:rFonts w:ascii="Abadi" w:hAnsi="Abadi" w:cs="ArialMT"/>
          <w:b/>
          <w:bCs/>
          <w:sz w:val="21"/>
          <w:szCs w:val="21"/>
        </w:rPr>
      </w:pPr>
      <w:r w:rsidRPr="00145AEE">
        <w:rPr>
          <w:rFonts w:ascii="Abadi" w:hAnsi="Abadi" w:cs="ArialMT"/>
          <w:b/>
          <w:bCs/>
          <w:sz w:val="21"/>
          <w:szCs w:val="21"/>
        </w:rPr>
        <w:t>DIP. LUIS ERNESTO AYALA TORRES</w:t>
      </w:r>
    </w:p>
    <w:p w14:paraId="111BE42B" w14:textId="77777777" w:rsidR="00383E2B" w:rsidRDefault="00383E2B" w:rsidP="00383E2B">
      <w:pPr>
        <w:spacing w:before="120"/>
        <w:jc w:val="both"/>
        <w:rPr>
          <w:rFonts w:ascii="Abadi" w:hAnsi="Abadi" w:cs="ArialMT"/>
          <w:b/>
          <w:bCs/>
          <w:sz w:val="21"/>
          <w:szCs w:val="21"/>
        </w:rPr>
      </w:pPr>
      <w:r w:rsidRPr="00145AEE">
        <w:rPr>
          <w:rFonts w:ascii="Abadi" w:hAnsi="Abadi" w:cs="ArialMT"/>
          <w:b/>
          <w:bCs/>
          <w:sz w:val="21"/>
          <w:szCs w:val="21"/>
        </w:rPr>
        <w:t>PRESIDENTE</w:t>
      </w:r>
    </w:p>
    <w:p w14:paraId="760D089B" w14:textId="77777777" w:rsidR="00383E2B" w:rsidRPr="0075363E" w:rsidRDefault="00383E2B" w:rsidP="00383E2B">
      <w:pPr>
        <w:spacing w:before="120"/>
        <w:jc w:val="both"/>
        <w:rPr>
          <w:rFonts w:ascii="Abadi" w:hAnsi="Abadi" w:cs="ArialMT"/>
          <w:b/>
          <w:bCs/>
          <w:sz w:val="21"/>
          <w:szCs w:val="21"/>
        </w:rPr>
      </w:pPr>
      <w:r w:rsidRPr="0075363E">
        <w:rPr>
          <w:rFonts w:ascii="Abadi" w:hAnsi="Abadi" w:cs="ArialMT"/>
          <w:b/>
          <w:bCs/>
          <w:sz w:val="21"/>
          <w:szCs w:val="21"/>
        </w:rPr>
        <w:t>DIP.IRMA LETICIA GONZÁLEZ SÁNCHEZ</w:t>
      </w:r>
    </w:p>
    <w:p w14:paraId="6D100AFB" w14:textId="77777777" w:rsidR="00383E2B" w:rsidRPr="0075363E" w:rsidRDefault="00383E2B" w:rsidP="00383E2B">
      <w:pPr>
        <w:spacing w:before="120"/>
        <w:jc w:val="both"/>
        <w:rPr>
          <w:rFonts w:ascii="Abadi" w:hAnsi="Abadi" w:cs="ArialMT"/>
          <w:b/>
          <w:bCs/>
          <w:sz w:val="21"/>
          <w:szCs w:val="21"/>
        </w:rPr>
      </w:pPr>
      <w:r w:rsidRPr="0075363E">
        <w:rPr>
          <w:rFonts w:ascii="Abadi" w:hAnsi="Abadi" w:cs="ArialMT"/>
          <w:b/>
          <w:bCs/>
          <w:sz w:val="21"/>
          <w:szCs w:val="21"/>
        </w:rPr>
        <w:t>SECRETARIA</w:t>
      </w:r>
    </w:p>
    <w:p w14:paraId="1B8235F3" w14:textId="77777777" w:rsidR="00383E2B" w:rsidRPr="0075363E" w:rsidRDefault="00383E2B" w:rsidP="00383E2B">
      <w:pPr>
        <w:spacing w:before="120"/>
        <w:jc w:val="both"/>
        <w:rPr>
          <w:rFonts w:ascii="Abadi" w:hAnsi="Abadi" w:cs="ArialMT"/>
          <w:b/>
          <w:bCs/>
          <w:sz w:val="21"/>
          <w:szCs w:val="21"/>
        </w:rPr>
      </w:pPr>
      <w:r w:rsidRPr="0075363E">
        <w:rPr>
          <w:rFonts w:ascii="Abadi" w:hAnsi="Abadi" w:cs="ArialMT"/>
          <w:b/>
          <w:bCs/>
          <w:sz w:val="21"/>
          <w:szCs w:val="21"/>
        </w:rPr>
        <w:t>DIP. ANGÉLICA CASILLAS MARTÍNEZ</w:t>
      </w:r>
    </w:p>
    <w:p w14:paraId="6D5C5B01" w14:textId="77777777" w:rsidR="00383E2B" w:rsidRPr="0075363E" w:rsidRDefault="00383E2B" w:rsidP="00383E2B">
      <w:pPr>
        <w:spacing w:before="120"/>
        <w:jc w:val="both"/>
        <w:rPr>
          <w:rFonts w:ascii="Abadi" w:hAnsi="Abadi" w:cs="ArialMT"/>
          <w:b/>
          <w:bCs/>
          <w:sz w:val="21"/>
          <w:szCs w:val="21"/>
        </w:rPr>
      </w:pPr>
      <w:r w:rsidRPr="0075363E">
        <w:rPr>
          <w:rFonts w:ascii="Abadi" w:hAnsi="Abadi" w:cs="ArialMT"/>
          <w:b/>
          <w:bCs/>
          <w:sz w:val="21"/>
          <w:szCs w:val="21"/>
        </w:rPr>
        <w:t>VOCAL</w:t>
      </w:r>
    </w:p>
    <w:p w14:paraId="0B1C2A41" w14:textId="77777777" w:rsidR="00383E2B" w:rsidRPr="0075363E" w:rsidRDefault="00383E2B" w:rsidP="00383E2B">
      <w:pPr>
        <w:autoSpaceDE w:val="0"/>
        <w:autoSpaceDN w:val="0"/>
        <w:adjustRightInd w:val="0"/>
        <w:rPr>
          <w:rFonts w:ascii="Abadi" w:hAnsi="Abadi" w:cs="ArialMT"/>
          <w:b/>
          <w:bCs/>
          <w:sz w:val="21"/>
          <w:szCs w:val="21"/>
        </w:rPr>
      </w:pPr>
      <w:r w:rsidRPr="0075363E">
        <w:rPr>
          <w:rFonts w:ascii="Abadi" w:hAnsi="Abadi" w:cs="ArialMT"/>
          <w:b/>
          <w:bCs/>
          <w:sz w:val="21"/>
          <w:szCs w:val="21"/>
        </w:rPr>
        <w:t>DIP. ALEJANDRO ARIAS ÁVILA</w:t>
      </w:r>
    </w:p>
    <w:p w14:paraId="528DC0E0" w14:textId="77777777" w:rsidR="00383E2B" w:rsidRPr="0075363E" w:rsidRDefault="00383E2B" w:rsidP="00383E2B">
      <w:pPr>
        <w:spacing w:before="120"/>
        <w:jc w:val="both"/>
        <w:rPr>
          <w:rFonts w:ascii="Abadi" w:hAnsi="Abadi" w:cs="ArialMT"/>
          <w:b/>
          <w:bCs/>
          <w:sz w:val="21"/>
          <w:szCs w:val="21"/>
        </w:rPr>
      </w:pPr>
      <w:r w:rsidRPr="0075363E">
        <w:rPr>
          <w:rFonts w:ascii="Abadi" w:hAnsi="Abadi" w:cs="ArialMT"/>
          <w:b/>
          <w:bCs/>
          <w:sz w:val="21"/>
          <w:szCs w:val="21"/>
        </w:rPr>
        <w:t>VOCAL</w:t>
      </w:r>
    </w:p>
    <w:p w14:paraId="232D333C" w14:textId="77777777" w:rsidR="00383E2B" w:rsidRDefault="00383E2B" w:rsidP="00383E2B">
      <w:pPr>
        <w:spacing w:before="120"/>
        <w:jc w:val="both"/>
        <w:rPr>
          <w:rFonts w:ascii="Arial" w:hAnsi="Arial" w:cs="Arial"/>
          <w:b/>
          <w:bCs/>
          <w:lang w:val="es-MX" w:eastAsia="es-MX"/>
        </w:rPr>
      </w:pPr>
    </w:p>
    <w:p w14:paraId="181340D1" w14:textId="77777777" w:rsidR="00383E2B" w:rsidRPr="0075363E" w:rsidRDefault="00383E2B" w:rsidP="00383E2B">
      <w:pPr>
        <w:autoSpaceDE w:val="0"/>
        <w:autoSpaceDN w:val="0"/>
        <w:adjustRightInd w:val="0"/>
        <w:rPr>
          <w:rFonts w:ascii="Abadi" w:hAnsi="Abadi" w:cs="Arial"/>
          <w:b/>
          <w:bCs/>
          <w:sz w:val="16"/>
          <w:szCs w:val="16"/>
          <w:lang w:val="es-MX" w:eastAsia="es-MX"/>
        </w:rPr>
      </w:pPr>
      <w:r w:rsidRPr="0075363E">
        <w:rPr>
          <w:rFonts w:ascii="Abadi" w:hAnsi="Abadi" w:cs="Arial"/>
          <w:b/>
          <w:bCs/>
          <w:sz w:val="16"/>
          <w:szCs w:val="16"/>
          <w:lang w:val="es-MX" w:eastAsia="es-MX"/>
        </w:rPr>
        <w:t>Con copia:</w:t>
      </w:r>
    </w:p>
    <w:p w14:paraId="35AA585C" w14:textId="77777777" w:rsidR="00383E2B" w:rsidRPr="0075363E" w:rsidRDefault="00383E2B" w:rsidP="00383E2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Lic. Christian Javier Cruz Villegas. Secretario General del Poder Legislativo. Para su atención.</w:t>
      </w:r>
    </w:p>
    <w:p w14:paraId="630C915E" w14:textId="77777777" w:rsidR="00383E2B" w:rsidRPr="0075363E" w:rsidRDefault="00383E2B" w:rsidP="00383E2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C.P. Ángel Isidro Macías Barrón. Titular del Órgano Interno de Control. Para conocimiento.</w:t>
      </w:r>
    </w:p>
    <w:p w14:paraId="7431BC14" w14:textId="77777777" w:rsidR="00383E2B" w:rsidRPr="0075363E" w:rsidRDefault="00383E2B" w:rsidP="00383E2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C.P. Alejandra Zamarripa Aguirre. Titular de la Dirección de Administración Financiera. Mismo fin.</w:t>
      </w:r>
    </w:p>
    <w:p w14:paraId="330951EA" w14:textId="77777777" w:rsidR="00383E2B" w:rsidRPr="0075363E" w:rsidRDefault="00383E2B" w:rsidP="00383E2B">
      <w:pPr>
        <w:spacing w:before="120"/>
        <w:jc w:val="both"/>
        <w:rPr>
          <w:rFonts w:ascii="Abadi" w:hAnsi="Abadi" w:cs="Arial"/>
          <w:b/>
          <w:bCs/>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Minutario.</w:t>
      </w:r>
    </w:p>
    <w:p w14:paraId="0C5755A5" w14:textId="77777777" w:rsidR="00D04DFD" w:rsidRPr="00893654" w:rsidRDefault="00D04DFD" w:rsidP="007B3286">
      <w:pPr>
        <w:spacing w:before="120"/>
        <w:jc w:val="both"/>
        <w:rPr>
          <w:rFonts w:ascii="Abadi" w:hAnsi="Abadi"/>
          <w:sz w:val="21"/>
          <w:szCs w:val="21"/>
        </w:rPr>
      </w:pPr>
    </w:p>
    <w:p w14:paraId="34FC5A12" w14:textId="40C65E7A" w:rsidR="00374533" w:rsidRDefault="00374533" w:rsidP="00427BD6">
      <w:pPr>
        <w:pStyle w:val="Prrafodelista"/>
        <w:numPr>
          <w:ilvl w:val="0"/>
          <w:numId w:val="8"/>
        </w:numPr>
        <w:autoSpaceDE w:val="0"/>
        <w:autoSpaceDN w:val="0"/>
        <w:adjustRightInd w:val="0"/>
        <w:ind w:left="426"/>
        <w:contextualSpacing/>
        <w:jc w:val="both"/>
        <w:rPr>
          <w:rFonts w:ascii="Abadi" w:hAnsi="Abadi" w:cs="ArialMT"/>
          <w:b/>
          <w:bCs/>
          <w:sz w:val="21"/>
          <w:szCs w:val="21"/>
        </w:rPr>
      </w:pPr>
      <w:r w:rsidRPr="00A23DA0">
        <w:rPr>
          <w:rFonts w:ascii="Abadi" w:hAnsi="Abadi" w:cs="ArialMT"/>
          <w:b/>
          <w:bCs/>
          <w:sz w:val="21"/>
          <w:szCs w:val="21"/>
        </w:rPr>
        <w:t xml:space="preserve">PRESENTACIÓN DEL INFORME DE LOS CONCEPTOS GENERALES DE LOS ESTADOS FINANCIEROS DE LOS RECURSOS PRESUPUESTALES DEL PODER LEGISLATIVO DEL ESTADO, CORRESPONDIENTE AL PERIODO COMPRENDIDO DEL 1 AL 31 DE MAYO DEL AÑO EN CURSO, FORMULADO POR </w:t>
      </w:r>
      <w:r w:rsidRPr="00A23DA0">
        <w:rPr>
          <w:rFonts w:ascii="Abadi" w:hAnsi="Abadi" w:cs="ArialMT"/>
          <w:b/>
          <w:bCs/>
          <w:sz w:val="21"/>
          <w:szCs w:val="21"/>
        </w:rPr>
        <w:t>LA COMISIÓN DE ADMINISTRACIÓN Y, EN SU CASO, APROBACIÓN DEL MISMO.</w:t>
      </w:r>
      <w:r w:rsidR="00CD47A5">
        <w:rPr>
          <w:rStyle w:val="Refdenotaalpie"/>
          <w:rFonts w:ascii="Abadi" w:hAnsi="Abadi" w:cs="ArialMT"/>
          <w:b/>
          <w:bCs/>
          <w:sz w:val="21"/>
          <w:szCs w:val="21"/>
        </w:rPr>
        <w:footnoteReference w:id="100"/>
      </w:r>
    </w:p>
    <w:p w14:paraId="7BC1A119" w14:textId="14D6D7E9" w:rsidR="009B194C" w:rsidRDefault="009B194C" w:rsidP="009B194C">
      <w:pPr>
        <w:autoSpaceDE w:val="0"/>
        <w:autoSpaceDN w:val="0"/>
        <w:adjustRightInd w:val="0"/>
        <w:contextualSpacing/>
        <w:jc w:val="both"/>
        <w:rPr>
          <w:rFonts w:ascii="Abadi" w:hAnsi="Abadi" w:cs="ArialMT"/>
          <w:b/>
          <w:bCs/>
          <w:sz w:val="21"/>
          <w:szCs w:val="21"/>
        </w:rPr>
      </w:pPr>
      <w:r>
        <w:rPr>
          <w:rFonts w:ascii="Abadi" w:hAnsi="Abadi" w:cs="ArialMT"/>
          <w:b/>
          <w:bCs/>
          <w:sz w:val="21"/>
          <w:szCs w:val="21"/>
        </w:rPr>
        <w:t>OFICIO: LXV/CA21/287/2023</w:t>
      </w:r>
    </w:p>
    <w:p w14:paraId="4E4E3D55" w14:textId="77777777" w:rsidR="009B194C" w:rsidRDefault="009B194C" w:rsidP="009B194C">
      <w:pPr>
        <w:autoSpaceDE w:val="0"/>
        <w:autoSpaceDN w:val="0"/>
        <w:adjustRightInd w:val="0"/>
        <w:contextualSpacing/>
        <w:jc w:val="both"/>
        <w:rPr>
          <w:rFonts w:ascii="Abadi" w:hAnsi="Abadi" w:cs="ArialMT"/>
          <w:b/>
          <w:bCs/>
          <w:sz w:val="21"/>
          <w:szCs w:val="21"/>
        </w:rPr>
      </w:pPr>
    </w:p>
    <w:p w14:paraId="2A93CC75" w14:textId="77777777" w:rsidR="009B194C" w:rsidRPr="00EA11D1" w:rsidRDefault="009B194C" w:rsidP="009B194C">
      <w:pPr>
        <w:autoSpaceDE w:val="0"/>
        <w:autoSpaceDN w:val="0"/>
        <w:adjustRightInd w:val="0"/>
        <w:contextualSpacing/>
        <w:jc w:val="both"/>
        <w:rPr>
          <w:rFonts w:ascii="Abadi" w:hAnsi="Abadi" w:cs="ArialMT"/>
          <w:sz w:val="21"/>
          <w:szCs w:val="21"/>
        </w:rPr>
      </w:pPr>
      <w:r w:rsidRPr="00EA11D1">
        <w:rPr>
          <w:rFonts w:ascii="Abadi" w:hAnsi="Abadi" w:cs="ArialMT"/>
          <w:sz w:val="21"/>
          <w:szCs w:val="21"/>
        </w:rPr>
        <w:t xml:space="preserve">Guanajuato, </w:t>
      </w:r>
      <w:proofErr w:type="spellStart"/>
      <w:r w:rsidRPr="00EA11D1">
        <w:rPr>
          <w:rFonts w:ascii="Abadi" w:hAnsi="Abadi" w:cs="ArialMT"/>
          <w:sz w:val="21"/>
          <w:szCs w:val="21"/>
        </w:rPr>
        <w:t>Gto</w:t>
      </w:r>
      <w:proofErr w:type="spellEnd"/>
      <w:r w:rsidRPr="00EA11D1">
        <w:rPr>
          <w:rFonts w:ascii="Abadi" w:hAnsi="Abadi" w:cs="ArialMT"/>
          <w:sz w:val="21"/>
          <w:szCs w:val="21"/>
        </w:rPr>
        <w:t>., 13 de junio de 2023</w:t>
      </w:r>
    </w:p>
    <w:p w14:paraId="501844BF" w14:textId="77777777" w:rsidR="00374533" w:rsidRDefault="00374533" w:rsidP="001B5934">
      <w:pPr>
        <w:autoSpaceDE w:val="0"/>
        <w:autoSpaceDN w:val="0"/>
        <w:adjustRightInd w:val="0"/>
        <w:ind w:left="426"/>
        <w:jc w:val="both"/>
        <w:rPr>
          <w:rFonts w:ascii="Abadi" w:hAnsi="Abadi" w:cs="ArialMT"/>
          <w:b/>
          <w:bCs/>
          <w:sz w:val="21"/>
          <w:szCs w:val="21"/>
        </w:rPr>
      </w:pPr>
    </w:p>
    <w:p w14:paraId="6DC17013" w14:textId="77777777" w:rsidR="00C339D0" w:rsidRPr="00C339D0" w:rsidRDefault="00C339D0" w:rsidP="00C339D0">
      <w:pPr>
        <w:autoSpaceDE w:val="0"/>
        <w:autoSpaceDN w:val="0"/>
        <w:adjustRightInd w:val="0"/>
        <w:jc w:val="both"/>
        <w:rPr>
          <w:rFonts w:ascii="Abadi" w:hAnsi="Abadi"/>
          <w:b/>
          <w:bCs/>
          <w:sz w:val="21"/>
          <w:szCs w:val="21"/>
        </w:rPr>
      </w:pPr>
      <w:r w:rsidRPr="00C339D0">
        <w:rPr>
          <w:rFonts w:ascii="Abadi" w:hAnsi="Abadi"/>
          <w:b/>
          <w:bCs/>
          <w:sz w:val="21"/>
          <w:szCs w:val="21"/>
        </w:rPr>
        <w:t>Diputada</w:t>
      </w:r>
    </w:p>
    <w:p w14:paraId="30F56EF5" w14:textId="77777777" w:rsidR="00C339D0" w:rsidRPr="00C339D0" w:rsidRDefault="00C339D0" w:rsidP="00C339D0">
      <w:pPr>
        <w:autoSpaceDE w:val="0"/>
        <w:autoSpaceDN w:val="0"/>
        <w:adjustRightInd w:val="0"/>
        <w:jc w:val="both"/>
        <w:rPr>
          <w:rFonts w:ascii="Abadi" w:hAnsi="Abadi"/>
          <w:b/>
          <w:bCs/>
          <w:sz w:val="21"/>
          <w:szCs w:val="21"/>
        </w:rPr>
      </w:pPr>
      <w:r w:rsidRPr="00C339D0">
        <w:rPr>
          <w:rFonts w:ascii="Abadi" w:hAnsi="Abadi"/>
          <w:b/>
          <w:bCs/>
          <w:sz w:val="21"/>
          <w:szCs w:val="21"/>
        </w:rPr>
        <w:t>Laura Cristina Márquez Alcalá</w:t>
      </w:r>
    </w:p>
    <w:p w14:paraId="52AE6FC4" w14:textId="77777777" w:rsidR="00C339D0" w:rsidRPr="00C339D0" w:rsidRDefault="00C339D0" w:rsidP="00C339D0">
      <w:pPr>
        <w:autoSpaceDE w:val="0"/>
        <w:autoSpaceDN w:val="0"/>
        <w:adjustRightInd w:val="0"/>
        <w:jc w:val="both"/>
        <w:rPr>
          <w:rFonts w:ascii="Abadi" w:hAnsi="Abadi"/>
          <w:b/>
          <w:bCs/>
          <w:sz w:val="21"/>
          <w:szCs w:val="21"/>
        </w:rPr>
      </w:pPr>
      <w:r w:rsidRPr="00C339D0">
        <w:rPr>
          <w:rFonts w:ascii="Abadi" w:hAnsi="Abadi"/>
          <w:b/>
          <w:bCs/>
          <w:sz w:val="21"/>
          <w:szCs w:val="21"/>
        </w:rPr>
        <w:t>Presidenta del Honorable Congreso</w:t>
      </w:r>
    </w:p>
    <w:p w14:paraId="090285FA" w14:textId="77777777" w:rsidR="00C339D0" w:rsidRPr="00C339D0" w:rsidRDefault="00C339D0" w:rsidP="00C339D0">
      <w:pPr>
        <w:autoSpaceDE w:val="0"/>
        <w:autoSpaceDN w:val="0"/>
        <w:adjustRightInd w:val="0"/>
        <w:jc w:val="both"/>
        <w:rPr>
          <w:rFonts w:ascii="Abadi" w:hAnsi="Abadi"/>
          <w:b/>
          <w:bCs/>
          <w:sz w:val="21"/>
          <w:szCs w:val="21"/>
        </w:rPr>
      </w:pPr>
      <w:r w:rsidRPr="00C339D0">
        <w:rPr>
          <w:rFonts w:ascii="Abadi" w:hAnsi="Abadi"/>
          <w:b/>
          <w:bCs/>
          <w:sz w:val="21"/>
          <w:szCs w:val="21"/>
        </w:rPr>
        <w:t>del Estado de Guanajuato</w:t>
      </w:r>
    </w:p>
    <w:p w14:paraId="40DA7E25" w14:textId="77777777" w:rsidR="00C339D0" w:rsidRPr="00C339D0" w:rsidRDefault="00C339D0" w:rsidP="00C339D0">
      <w:pPr>
        <w:autoSpaceDE w:val="0"/>
        <w:autoSpaceDN w:val="0"/>
        <w:adjustRightInd w:val="0"/>
        <w:jc w:val="both"/>
        <w:rPr>
          <w:rFonts w:ascii="Abadi" w:hAnsi="Abadi"/>
          <w:b/>
          <w:bCs/>
          <w:sz w:val="21"/>
          <w:szCs w:val="21"/>
        </w:rPr>
      </w:pPr>
      <w:r w:rsidRPr="00C339D0">
        <w:rPr>
          <w:rFonts w:ascii="Abadi" w:hAnsi="Abadi"/>
          <w:b/>
          <w:bCs/>
          <w:sz w:val="21"/>
          <w:szCs w:val="21"/>
        </w:rPr>
        <w:t>Presente.</w:t>
      </w:r>
    </w:p>
    <w:p w14:paraId="6133760E" w14:textId="77777777" w:rsidR="00C339D0" w:rsidRPr="00C339D0" w:rsidRDefault="00C339D0" w:rsidP="00C339D0">
      <w:pPr>
        <w:autoSpaceDE w:val="0"/>
        <w:autoSpaceDN w:val="0"/>
        <w:adjustRightInd w:val="0"/>
        <w:jc w:val="both"/>
        <w:rPr>
          <w:rFonts w:ascii="Abadi" w:hAnsi="Abadi"/>
          <w:sz w:val="21"/>
          <w:szCs w:val="21"/>
        </w:rPr>
      </w:pPr>
    </w:p>
    <w:p w14:paraId="68EA3868" w14:textId="682527DC" w:rsidR="00C339D0" w:rsidRDefault="00C339D0" w:rsidP="00C339D0">
      <w:pPr>
        <w:autoSpaceDE w:val="0"/>
        <w:autoSpaceDN w:val="0"/>
        <w:adjustRightInd w:val="0"/>
        <w:jc w:val="both"/>
        <w:rPr>
          <w:rFonts w:ascii="Abadi" w:hAnsi="Abadi"/>
          <w:sz w:val="21"/>
          <w:szCs w:val="21"/>
        </w:rPr>
      </w:pPr>
      <w:r w:rsidRPr="00C339D0">
        <w:rPr>
          <w:rFonts w:ascii="Abadi" w:hAnsi="Abadi"/>
          <w:sz w:val="21"/>
          <w:szCs w:val="21"/>
        </w:rPr>
        <w:t>En cumplimiento a lo dispuesto en el artículo 102, fracción II de la Ley Orgánica del</w:t>
      </w:r>
      <w:r>
        <w:rPr>
          <w:rFonts w:ascii="Abadi" w:hAnsi="Abadi"/>
          <w:sz w:val="21"/>
          <w:szCs w:val="21"/>
        </w:rPr>
        <w:t xml:space="preserve"> </w:t>
      </w:r>
      <w:r w:rsidRPr="00C339D0">
        <w:rPr>
          <w:rFonts w:ascii="Abadi" w:hAnsi="Abadi"/>
          <w:sz w:val="21"/>
          <w:szCs w:val="21"/>
        </w:rPr>
        <w:t>Poder Legislativo del Estado de Guanajuato, la Comisión de Administración de esta</w:t>
      </w:r>
      <w:r>
        <w:rPr>
          <w:rFonts w:ascii="Abadi" w:hAnsi="Abadi"/>
          <w:sz w:val="21"/>
          <w:szCs w:val="21"/>
        </w:rPr>
        <w:t xml:space="preserve"> </w:t>
      </w:r>
      <w:r w:rsidRPr="00C339D0">
        <w:rPr>
          <w:rFonts w:ascii="Abadi" w:hAnsi="Abadi"/>
          <w:sz w:val="21"/>
          <w:szCs w:val="21"/>
        </w:rPr>
        <w:t>Sexagésima Quinta Legislatura, presenta a consideración del Pleno de la Asamblea</w:t>
      </w:r>
      <w:r>
        <w:rPr>
          <w:rFonts w:ascii="Abadi" w:hAnsi="Abadi"/>
          <w:sz w:val="21"/>
          <w:szCs w:val="21"/>
        </w:rPr>
        <w:t xml:space="preserve"> </w:t>
      </w:r>
      <w:r w:rsidRPr="00C339D0">
        <w:rPr>
          <w:rFonts w:ascii="Abadi" w:hAnsi="Abadi"/>
          <w:sz w:val="21"/>
          <w:szCs w:val="21"/>
        </w:rPr>
        <w:t>en sesión Ordinaria Pública, el Informe de los conceptos generales de los Estados</w:t>
      </w:r>
      <w:r>
        <w:rPr>
          <w:rFonts w:ascii="Abadi" w:hAnsi="Abadi"/>
          <w:sz w:val="21"/>
          <w:szCs w:val="21"/>
        </w:rPr>
        <w:t xml:space="preserve"> </w:t>
      </w:r>
      <w:r w:rsidRPr="00C339D0">
        <w:rPr>
          <w:rFonts w:ascii="Abadi" w:hAnsi="Abadi"/>
          <w:sz w:val="21"/>
          <w:szCs w:val="21"/>
        </w:rPr>
        <w:t>Financieros de los recursos presupuestales, correspondiente al período del 01 al 31</w:t>
      </w:r>
      <w:r>
        <w:rPr>
          <w:rFonts w:ascii="Abadi" w:hAnsi="Abadi"/>
          <w:sz w:val="21"/>
          <w:szCs w:val="21"/>
        </w:rPr>
        <w:t xml:space="preserve"> </w:t>
      </w:r>
      <w:r w:rsidRPr="00C339D0">
        <w:rPr>
          <w:rFonts w:ascii="Abadi" w:hAnsi="Abadi"/>
          <w:sz w:val="21"/>
          <w:szCs w:val="21"/>
        </w:rPr>
        <w:t>de Mayo de 2023 (anexo 1).</w:t>
      </w:r>
    </w:p>
    <w:p w14:paraId="5A67981D" w14:textId="77777777" w:rsidR="00C339D0" w:rsidRPr="00C339D0" w:rsidRDefault="00C339D0" w:rsidP="00C339D0">
      <w:pPr>
        <w:autoSpaceDE w:val="0"/>
        <w:autoSpaceDN w:val="0"/>
        <w:adjustRightInd w:val="0"/>
        <w:jc w:val="both"/>
        <w:rPr>
          <w:rFonts w:ascii="Abadi" w:hAnsi="Abadi"/>
          <w:sz w:val="21"/>
          <w:szCs w:val="21"/>
        </w:rPr>
      </w:pPr>
    </w:p>
    <w:p w14:paraId="1C86DA5F" w14:textId="20337188" w:rsidR="00C339D0" w:rsidRDefault="00C339D0" w:rsidP="00C339D0">
      <w:pPr>
        <w:autoSpaceDE w:val="0"/>
        <w:autoSpaceDN w:val="0"/>
        <w:adjustRightInd w:val="0"/>
        <w:jc w:val="both"/>
        <w:rPr>
          <w:rFonts w:ascii="Abadi" w:hAnsi="Abadi"/>
          <w:sz w:val="21"/>
          <w:szCs w:val="21"/>
        </w:rPr>
      </w:pPr>
      <w:r w:rsidRPr="00C339D0">
        <w:rPr>
          <w:rFonts w:ascii="Abadi" w:hAnsi="Abadi"/>
          <w:sz w:val="21"/>
          <w:szCs w:val="21"/>
        </w:rPr>
        <w:t>Por lo expuesto, solicitamos de la Presidencia del Honorable Congreso del Estado,</w:t>
      </w:r>
      <w:r>
        <w:rPr>
          <w:rFonts w:ascii="Abadi" w:hAnsi="Abadi"/>
          <w:sz w:val="21"/>
          <w:szCs w:val="21"/>
        </w:rPr>
        <w:t xml:space="preserve"> </w:t>
      </w:r>
      <w:r w:rsidRPr="00C339D0">
        <w:rPr>
          <w:rFonts w:ascii="Abadi" w:hAnsi="Abadi"/>
          <w:sz w:val="21"/>
          <w:szCs w:val="21"/>
        </w:rPr>
        <w:t>se exponga a consideración del Pleno el Informe de la Comisión de Administración,</w:t>
      </w:r>
      <w:r>
        <w:rPr>
          <w:rFonts w:ascii="Abadi" w:hAnsi="Abadi"/>
          <w:sz w:val="21"/>
          <w:szCs w:val="21"/>
        </w:rPr>
        <w:t xml:space="preserve"> </w:t>
      </w:r>
      <w:r w:rsidRPr="00C339D0">
        <w:rPr>
          <w:rFonts w:ascii="Abadi" w:hAnsi="Abadi"/>
          <w:sz w:val="21"/>
          <w:szCs w:val="21"/>
        </w:rPr>
        <w:t>en los términos de la Ley Orgánica del Poder Legislativo del Estado de Guanajuato.</w:t>
      </w:r>
    </w:p>
    <w:p w14:paraId="71E1A26D" w14:textId="77777777" w:rsidR="00C339D0" w:rsidRPr="00C339D0" w:rsidRDefault="00C339D0" w:rsidP="00C339D0">
      <w:pPr>
        <w:autoSpaceDE w:val="0"/>
        <w:autoSpaceDN w:val="0"/>
        <w:adjustRightInd w:val="0"/>
        <w:jc w:val="both"/>
        <w:rPr>
          <w:rFonts w:ascii="Abadi" w:hAnsi="Abadi"/>
          <w:sz w:val="21"/>
          <w:szCs w:val="21"/>
        </w:rPr>
      </w:pPr>
    </w:p>
    <w:p w14:paraId="0078D13D" w14:textId="149B1DEB" w:rsidR="00C339D0" w:rsidRPr="00C339D0" w:rsidRDefault="00C339D0" w:rsidP="00C339D0">
      <w:pPr>
        <w:autoSpaceDE w:val="0"/>
        <w:autoSpaceDN w:val="0"/>
        <w:adjustRightInd w:val="0"/>
        <w:jc w:val="both"/>
        <w:rPr>
          <w:rFonts w:ascii="Abadi" w:hAnsi="Abadi"/>
          <w:sz w:val="21"/>
          <w:szCs w:val="21"/>
        </w:rPr>
      </w:pPr>
      <w:r w:rsidRPr="00C339D0">
        <w:rPr>
          <w:rFonts w:ascii="Abadi" w:hAnsi="Abadi"/>
          <w:sz w:val="21"/>
          <w:szCs w:val="21"/>
        </w:rPr>
        <w:t>Sin otro particular por el momento, aprovecho la ocasión para reiterarle las</w:t>
      </w:r>
      <w:r>
        <w:rPr>
          <w:rFonts w:ascii="Abadi" w:hAnsi="Abadi"/>
          <w:sz w:val="21"/>
          <w:szCs w:val="21"/>
        </w:rPr>
        <w:t xml:space="preserve"> </w:t>
      </w:r>
      <w:r w:rsidRPr="00C339D0">
        <w:rPr>
          <w:rFonts w:ascii="Abadi" w:hAnsi="Abadi"/>
          <w:sz w:val="21"/>
          <w:szCs w:val="21"/>
        </w:rPr>
        <w:t>seguridades de mi distinguida consideración.</w:t>
      </w:r>
    </w:p>
    <w:p w14:paraId="588910EF" w14:textId="77777777" w:rsidR="00D215BA" w:rsidRDefault="00D215BA" w:rsidP="001B5934">
      <w:pPr>
        <w:autoSpaceDE w:val="0"/>
        <w:autoSpaceDN w:val="0"/>
        <w:adjustRightInd w:val="0"/>
        <w:ind w:left="426"/>
        <w:jc w:val="both"/>
        <w:rPr>
          <w:rFonts w:ascii="Abadi" w:hAnsi="Abadi" w:cs="ArialMT"/>
          <w:b/>
          <w:bCs/>
          <w:sz w:val="21"/>
          <w:szCs w:val="21"/>
        </w:rPr>
      </w:pPr>
    </w:p>
    <w:p w14:paraId="5ECFD8F9" w14:textId="77777777" w:rsidR="00581DBB" w:rsidRPr="00145AEE" w:rsidRDefault="00581DBB" w:rsidP="00581DBB">
      <w:pPr>
        <w:spacing w:before="120"/>
        <w:jc w:val="both"/>
        <w:rPr>
          <w:rFonts w:ascii="Abadi" w:hAnsi="Abadi" w:cs="ArialMT"/>
          <w:b/>
          <w:bCs/>
          <w:sz w:val="21"/>
          <w:szCs w:val="21"/>
        </w:rPr>
      </w:pPr>
      <w:r w:rsidRPr="00145AEE">
        <w:rPr>
          <w:rFonts w:ascii="Abadi" w:hAnsi="Abadi" w:cs="ArialMT"/>
          <w:b/>
          <w:bCs/>
          <w:sz w:val="21"/>
          <w:szCs w:val="21"/>
        </w:rPr>
        <w:t>ATENTAMENTE</w:t>
      </w:r>
    </w:p>
    <w:p w14:paraId="66C3AF2F" w14:textId="77777777" w:rsidR="00581DBB" w:rsidRPr="00145AEE" w:rsidRDefault="00581DBB" w:rsidP="00581DBB">
      <w:pPr>
        <w:spacing w:before="120"/>
        <w:jc w:val="both"/>
        <w:rPr>
          <w:rFonts w:ascii="Abadi" w:hAnsi="Abadi" w:cs="ArialMT"/>
          <w:b/>
          <w:bCs/>
          <w:sz w:val="21"/>
          <w:szCs w:val="21"/>
        </w:rPr>
      </w:pPr>
    </w:p>
    <w:p w14:paraId="7C247909" w14:textId="77777777" w:rsidR="00581DBB" w:rsidRPr="00145AEE" w:rsidRDefault="00581DBB" w:rsidP="00581DBB">
      <w:pPr>
        <w:autoSpaceDE w:val="0"/>
        <w:autoSpaceDN w:val="0"/>
        <w:adjustRightInd w:val="0"/>
        <w:rPr>
          <w:rFonts w:ascii="Abadi" w:hAnsi="Abadi" w:cs="ArialMT"/>
          <w:b/>
          <w:bCs/>
          <w:sz w:val="21"/>
          <w:szCs w:val="21"/>
        </w:rPr>
      </w:pPr>
      <w:r w:rsidRPr="00145AEE">
        <w:rPr>
          <w:rFonts w:ascii="Abadi" w:hAnsi="Abadi" w:cs="ArialMT"/>
          <w:b/>
          <w:bCs/>
          <w:sz w:val="21"/>
          <w:szCs w:val="21"/>
        </w:rPr>
        <w:t>DIP. LUIS ERNESTO AYALA TORRES</w:t>
      </w:r>
    </w:p>
    <w:p w14:paraId="1E443BBE" w14:textId="77777777" w:rsidR="00581DBB" w:rsidRDefault="00581DBB" w:rsidP="00581DBB">
      <w:pPr>
        <w:spacing w:before="120"/>
        <w:jc w:val="both"/>
        <w:rPr>
          <w:rFonts w:ascii="Abadi" w:hAnsi="Abadi" w:cs="ArialMT"/>
          <w:b/>
          <w:bCs/>
          <w:sz w:val="21"/>
          <w:szCs w:val="21"/>
        </w:rPr>
      </w:pPr>
      <w:r w:rsidRPr="00145AEE">
        <w:rPr>
          <w:rFonts w:ascii="Abadi" w:hAnsi="Abadi" w:cs="ArialMT"/>
          <w:b/>
          <w:bCs/>
          <w:sz w:val="21"/>
          <w:szCs w:val="21"/>
        </w:rPr>
        <w:t>PRESIDENTE</w:t>
      </w:r>
    </w:p>
    <w:p w14:paraId="3AB4AA09" w14:textId="77777777" w:rsidR="00581DBB" w:rsidRPr="0075363E" w:rsidRDefault="00581DBB" w:rsidP="00581DBB">
      <w:pPr>
        <w:spacing w:before="120"/>
        <w:jc w:val="both"/>
        <w:rPr>
          <w:rFonts w:ascii="Abadi" w:hAnsi="Abadi" w:cs="ArialMT"/>
          <w:b/>
          <w:bCs/>
          <w:sz w:val="21"/>
          <w:szCs w:val="21"/>
        </w:rPr>
      </w:pPr>
      <w:r w:rsidRPr="0075363E">
        <w:rPr>
          <w:rFonts w:ascii="Abadi" w:hAnsi="Abadi" w:cs="ArialMT"/>
          <w:b/>
          <w:bCs/>
          <w:sz w:val="21"/>
          <w:szCs w:val="21"/>
        </w:rPr>
        <w:t>DIP.IRMA LETICIA GONZÁLEZ SÁNCHEZ</w:t>
      </w:r>
    </w:p>
    <w:p w14:paraId="3FEBF615" w14:textId="77777777" w:rsidR="00581DBB" w:rsidRPr="0075363E" w:rsidRDefault="00581DBB" w:rsidP="00581DBB">
      <w:pPr>
        <w:spacing w:before="120"/>
        <w:jc w:val="both"/>
        <w:rPr>
          <w:rFonts w:ascii="Abadi" w:hAnsi="Abadi" w:cs="ArialMT"/>
          <w:b/>
          <w:bCs/>
          <w:sz w:val="21"/>
          <w:szCs w:val="21"/>
        </w:rPr>
      </w:pPr>
      <w:r w:rsidRPr="0075363E">
        <w:rPr>
          <w:rFonts w:ascii="Abadi" w:hAnsi="Abadi" w:cs="ArialMT"/>
          <w:b/>
          <w:bCs/>
          <w:sz w:val="21"/>
          <w:szCs w:val="21"/>
        </w:rPr>
        <w:t>SECRETARIA</w:t>
      </w:r>
    </w:p>
    <w:p w14:paraId="5A4C6329" w14:textId="77777777" w:rsidR="00581DBB" w:rsidRPr="0075363E" w:rsidRDefault="00581DBB" w:rsidP="00581DBB">
      <w:pPr>
        <w:spacing w:before="120"/>
        <w:jc w:val="both"/>
        <w:rPr>
          <w:rFonts w:ascii="Abadi" w:hAnsi="Abadi" w:cs="ArialMT"/>
          <w:b/>
          <w:bCs/>
          <w:sz w:val="21"/>
          <w:szCs w:val="21"/>
        </w:rPr>
      </w:pPr>
      <w:r w:rsidRPr="0075363E">
        <w:rPr>
          <w:rFonts w:ascii="Abadi" w:hAnsi="Abadi" w:cs="ArialMT"/>
          <w:b/>
          <w:bCs/>
          <w:sz w:val="21"/>
          <w:szCs w:val="21"/>
        </w:rPr>
        <w:t>DIP. ANGÉLICA CASILLAS MARTÍNEZ</w:t>
      </w:r>
    </w:p>
    <w:p w14:paraId="3F850C70" w14:textId="77777777" w:rsidR="00581DBB" w:rsidRPr="0075363E" w:rsidRDefault="00581DBB" w:rsidP="00581DBB">
      <w:pPr>
        <w:spacing w:before="120"/>
        <w:jc w:val="both"/>
        <w:rPr>
          <w:rFonts w:ascii="Abadi" w:hAnsi="Abadi" w:cs="ArialMT"/>
          <w:b/>
          <w:bCs/>
          <w:sz w:val="21"/>
          <w:szCs w:val="21"/>
        </w:rPr>
      </w:pPr>
      <w:r w:rsidRPr="0075363E">
        <w:rPr>
          <w:rFonts w:ascii="Abadi" w:hAnsi="Abadi" w:cs="ArialMT"/>
          <w:b/>
          <w:bCs/>
          <w:sz w:val="21"/>
          <w:szCs w:val="21"/>
        </w:rPr>
        <w:t>VOCAL</w:t>
      </w:r>
    </w:p>
    <w:p w14:paraId="6E3AF7C8" w14:textId="77777777" w:rsidR="00581DBB" w:rsidRPr="0075363E" w:rsidRDefault="00581DBB" w:rsidP="00581DBB">
      <w:pPr>
        <w:autoSpaceDE w:val="0"/>
        <w:autoSpaceDN w:val="0"/>
        <w:adjustRightInd w:val="0"/>
        <w:rPr>
          <w:rFonts w:ascii="Abadi" w:hAnsi="Abadi" w:cs="ArialMT"/>
          <w:b/>
          <w:bCs/>
          <w:sz w:val="21"/>
          <w:szCs w:val="21"/>
        </w:rPr>
      </w:pPr>
      <w:r w:rsidRPr="0075363E">
        <w:rPr>
          <w:rFonts w:ascii="Abadi" w:hAnsi="Abadi" w:cs="ArialMT"/>
          <w:b/>
          <w:bCs/>
          <w:sz w:val="21"/>
          <w:szCs w:val="21"/>
        </w:rPr>
        <w:t>DIP. ALEJANDRO ARIAS ÁVILA</w:t>
      </w:r>
    </w:p>
    <w:p w14:paraId="67409E5A" w14:textId="77777777" w:rsidR="00581DBB" w:rsidRPr="0075363E" w:rsidRDefault="00581DBB" w:rsidP="00581DBB">
      <w:pPr>
        <w:spacing w:before="120"/>
        <w:jc w:val="both"/>
        <w:rPr>
          <w:rFonts w:ascii="Abadi" w:hAnsi="Abadi" w:cs="ArialMT"/>
          <w:b/>
          <w:bCs/>
          <w:sz w:val="21"/>
          <w:szCs w:val="21"/>
        </w:rPr>
      </w:pPr>
      <w:r w:rsidRPr="0075363E">
        <w:rPr>
          <w:rFonts w:ascii="Abadi" w:hAnsi="Abadi" w:cs="ArialMT"/>
          <w:b/>
          <w:bCs/>
          <w:sz w:val="21"/>
          <w:szCs w:val="21"/>
        </w:rPr>
        <w:t>VOCAL</w:t>
      </w:r>
    </w:p>
    <w:p w14:paraId="3507D5B6" w14:textId="77777777" w:rsidR="00581DBB" w:rsidRDefault="00581DBB" w:rsidP="00581DBB">
      <w:pPr>
        <w:spacing w:before="120"/>
        <w:jc w:val="both"/>
        <w:rPr>
          <w:rFonts w:ascii="Arial" w:hAnsi="Arial" w:cs="Arial"/>
          <w:b/>
          <w:bCs/>
          <w:lang w:val="es-MX" w:eastAsia="es-MX"/>
        </w:rPr>
      </w:pPr>
    </w:p>
    <w:p w14:paraId="089E79FE" w14:textId="77777777" w:rsidR="00581DBB" w:rsidRPr="0075363E" w:rsidRDefault="00581DBB" w:rsidP="00581DBB">
      <w:pPr>
        <w:autoSpaceDE w:val="0"/>
        <w:autoSpaceDN w:val="0"/>
        <w:adjustRightInd w:val="0"/>
        <w:rPr>
          <w:rFonts w:ascii="Abadi" w:hAnsi="Abadi" w:cs="Arial"/>
          <w:b/>
          <w:bCs/>
          <w:sz w:val="16"/>
          <w:szCs w:val="16"/>
          <w:lang w:val="es-MX" w:eastAsia="es-MX"/>
        </w:rPr>
      </w:pPr>
      <w:r w:rsidRPr="0075363E">
        <w:rPr>
          <w:rFonts w:ascii="Abadi" w:hAnsi="Abadi" w:cs="Arial"/>
          <w:b/>
          <w:bCs/>
          <w:sz w:val="16"/>
          <w:szCs w:val="16"/>
          <w:lang w:val="es-MX" w:eastAsia="es-MX"/>
        </w:rPr>
        <w:t>Con copia:</w:t>
      </w:r>
    </w:p>
    <w:p w14:paraId="42BAB4B4" w14:textId="77777777" w:rsidR="00581DBB" w:rsidRPr="0075363E" w:rsidRDefault="00581DBB" w:rsidP="00581DB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Lic. Christian Javier Cruz Villegas. Secretario General del Poder Legislativo. Para su atención.</w:t>
      </w:r>
    </w:p>
    <w:p w14:paraId="0FB33669" w14:textId="77777777" w:rsidR="00581DBB" w:rsidRPr="0075363E" w:rsidRDefault="00581DBB" w:rsidP="00581DB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lastRenderedPageBreak/>
        <w:t xml:space="preserve">• </w:t>
      </w:r>
      <w:r w:rsidRPr="0075363E">
        <w:rPr>
          <w:rFonts w:ascii="Abadi" w:hAnsi="Abadi" w:cs="Arial"/>
          <w:sz w:val="16"/>
          <w:szCs w:val="16"/>
          <w:lang w:val="es-MX" w:eastAsia="es-MX"/>
        </w:rPr>
        <w:t>C.P. Ángel Isidro Macías Barrón. Titular del Órgano Interno de Control. Para conocimiento.</w:t>
      </w:r>
    </w:p>
    <w:p w14:paraId="693B0587" w14:textId="77777777" w:rsidR="00581DBB" w:rsidRPr="0075363E" w:rsidRDefault="00581DBB" w:rsidP="00581DBB">
      <w:pPr>
        <w:autoSpaceDE w:val="0"/>
        <w:autoSpaceDN w:val="0"/>
        <w:adjustRightInd w:val="0"/>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C.P. Alejandra Zamarripa Aguirre. Titular de la Dirección de Administración Financiera. Mismo fin.</w:t>
      </w:r>
    </w:p>
    <w:p w14:paraId="184FEC67" w14:textId="77777777" w:rsidR="00581DBB" w:rsidRDefault="00581DBB" w:rsidP="00581DBB">
      <w:pPr>
        <w:spacing w:before="120"/>
        <w:jc w:val="both"/>
        <w:rPr>
          <w:rFonts w:ascii="Abadi" w:hAnsi="Abadi" w:cs="Arial"/>
          <w:sz w:val="16"/>
          <w:szCs w:val="16"/>
          <w:lang w:val="es-MX" w:eastAsia="es-MX"/>
        </w:rPr>
      </w:pPr>
      <w:r w:rsidRPr="0075363E">
        <w:rPr>
          <w:rFonts w:ascii="Abadi" w:hAnsi="Abadi" w:cs="SymbolMT"/>
          <w:sz w:val="16"/>
          <w:szCs w:val="16"/>
          <w:lang w:val="es-MX" w:eastAsia="es-MX"/>
        </w:rPr>
        <w:t xml:space="preserve">• </w:t>
      </w:r>
      <w:r w:rsidRPr="0075363E">
        <w:rPr>
          <w:rFonts w:ascii="Abadi" w:hAnsi="Abadi" w:cs="Arial"/>
          <w:sz w:val="16"/>
          <w:szCs w:val="16"/>
          <w:lang w:val="es-MX" w:eastAsia="es-MX"/>
        </w:rPr>
        <w:t>Minutario.</w:t>
      </w:r>
    </w:p>
    <w:p w14:paraId="0C0DE9C1" w14:textId="77777777" w:rsidR="004D79C4" w:rsidRDefault="004D79C4" w:rsidP="004D79C4">
      <w:pPr>
        <w:jc w:val="both"/>
        <w:rPr>
          <w:rFonts w:ascii="Abadi" w:hAnsi="Abadi"/>
          <w:sz w:val="21"/>
          <w:szCs w:val="21"/>
        </w:rPr>
      </w:pPr>
      <w:r>
        <w:rPr>
          <w:rFonts w:ascii="Abadi" w:hAnsi="Abadi"/>
          <w:sz w:val="21"/>
          <w:szCs w:val="21"/>
        </w:rPr>
        <w:tab/>
      </w:r>
      <w:r w:rsidRPr="00620223">
        <w:rPr>
          <w:rFonts w:ascii="Abadi" w:hAnsi="Abadi"/>
          <w:b/>
          <w:bCs/>
          <w:sz w:val="21"/>
          <w:szCs w:val="21"/>
        </w:rPr>
        <w:t xml:space="preserve">- La </w:t>
      </w:r>
      <w:proofErr w:type="gramStart"/>
      <w:r w:rsidRPr="00620223">
        <w:rPr>
          <w:rFonts w:ascii="Abadi" w:hAnsi="Abadi"/>
          <w:b/>
          <w:bCs/>
          <w:sz w:val="21"/>
          <w:szCs w:val="21"/>
        </w:rPr>
        <w:t>Presidencia.-</w:t>
      </w:r>
      <w:proofErr w:type="gramEnd"/>
      <w:r>
        <w:rPr>
          <w:rFonts w:ascii="Abadi" w:hAnsi="Abadi"/>
          <w:sz w:val="21"/>
          <w:szCs w:val="21"/>
        </w:rPr>
        <w:t xml:space="preserve"> </w:t>
      </w:r>
      <w:r w:rsidRPr="0030088F">
        <w:rPr>
          <w:rFonts w:ascii="Abadi" w:hAnsi="Abadi"/>
          <w:sz w:val="21"/>
          <w:szCs w:val="21"/>
        </w:rPr>
        <w:t xml:space="preserve">Están a consideración de la Asamblea, </w:t>
      </w:r>
      <w:r>
        <w:rPr>
          <w:rFonts w:ascii="Abadi" w:hAnsi="Abadi"/>
          <w:sz w:val="21"/>
          <w:szCs w:val="21"/>
        </w:rPr>
        <w:t>los informes formulados por la C</w:t>
      </w:r>
      <w:r w:rsidRPr="0030088F">
        <w:rPr>
          <w:rFonts w:ascii="Abadi" w:hAnsi="Abadi"/>
          <w:sz w:val="21"/>
          <w:szCs w:val="21"/>
        </w:rPr>
        <w:t xml:space="preserve">omisión de </w:t>
      </w:r>
      <w:r>
        <w:rPr>
          <w:rFonts w:ascii="Abadi" w:hAnsi="Abadi"/>
          <w:sz w:val="21"/>
          <w:szCs w:val="21"/>
        </w:rPr>
        <w:t>A</w:t>
      </w:r>
      <w:r w:rsidRPr="0030088F">
        <w:rPr>
          <w:rFonts w:ascii="Abadi" w:hAnsi="Abadi"/>
          <w:sz w:val="21"/>
          <w:szCs w:val="21"/>
        </w:rPr>
        <w:t>dministración agendados en los puntos del 17 al 19 del orden del día</w:t>
      </w:r>
      <w:r>
        <w:rPr>
          <w:rFonts w:ascii="Abadi" w:hAnsi="Abadi"/>
          <w:sz w:val="21"/>
          <w:szCs w:val="21"/>
        </w:rPr>
        <w:t>.</w:t>
      </w:r>
    </w:p>
    <w:p w14:paraId="3EECE244" w14:textId="77777777" w:rsidR="004D79C4" w:rsidRDefault="004D79C4" w:rsidP="004D79C4">
      <w:pPr>
        <w:jc w:val="both"/>
        <w:rPr>
          <w:rFonts w:ascii="Abadi" w:hAnsi="Abadi"/>
          <w:sz w:val="21"/>
          <w:szCs w:val="21"/>
        </w:rPr>
      </w:pPr>
    </w:p>
    <w:p w14:paraId="0CCD5993" w14:textId="77777777" w:rsidR="004D79C4" w:rsidRDefault="004D79C4" w:rsidP="004D79C4">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desean hacer uso de la palabra les pido lo indiquen </w:t>
      </w:r>
      <w:r>
        <w:rPr>
          <w:rFonts w:ascii="Abadi" w:hAnsi="Abadi"/>
          <w:sz w:val="21"/>
          <w:szCs w:val="21"/>
        </w:rPr>
        <w:t xml:space="preserve">a </w:t>
      </w:r>
      <w:r w:rsidRPr="0030088F">
        <w:rPr>
          <w:rFonts w:ascii="Abadi" w:hAnsi="Abadi"/>
          <w:sz w:val="21"/>
          <w:szCs w:val="21"/>
        </w:rPr>
        <w:t>esta presidencia en virtud de que no se registraron participaciones se pide a la secretaría proced</w:t>
      </w:r>
      <w:r>
        <w:rPr>
          <w:rFonts w:ascii="Abadi" w:hAnsi="Abadi"/>
          <w:sz w:val="21"/>
          <w:szCs w:val="21"/>
        </w:rPr>
        <w:t>a</w:t>
      </w:r>
      <w:r w:rsidRPr="0030088F">
        <w:rPr>
          <w:rFonts w:ascii="Abadi" w:hAnsi="Abadi"/>
          <w:sz w:val="21"/>
          <w:szCs w:val="21"/>
        </w:rPr>
        <w:t xml:space="preserve"> a recabar votación nominal de la </w:t>
      </w:r>
      <w:r>
        <w:rPr>
          <w:rFonts w:ascii="Abadi" w:hAnsi="Abadi"/>
          <w:sz w:val="21"/>
          <w:szCs w:val="21"/>
        </w:rPr>
        <w:t>A</w:t>
      </w:r>
      <w:r w:rsidRPr="0030088F">
        <w:rPr>
          <w:rFonts w:ascii="Abadi" w:hAnsi="Abadi"/>
          <w:sz w:val="21"/>
          <w:szCs w:val="21"/>
        </w:rPr>
        <w:t xml:space="preserve">samblea a través del sistema electrónico a efecto de aprobar </w:t>
      </w:r>
      <w:r>
        <w:rPr>
          <w:rFonts w:ascii="Abadi" w:hAnsi="Abadi"/>
          <w:sz w:val="21"/>
          <w:szCs w:val="21"/>
        </w:rPr>
        <w:t xml:space="preserve">o no </w:t>
      </w:r>
      <w:r w:rsidRPr="0030088F">
        <w:rPr>
          <w:rFonts w:ascii="Abadi" w:hAnsi="Abadi"/>
          <w:sz w:val="21"/>
          <w:szCs w:val="21"/>
        </w:rPr>
        <w:t>los informes puestos a su consideración</w:t>
      </w:r>
      <w:r>
        <w:rPr>
          <w:rFonts w:ascii="Abadi" w:hAnsi="Abadi"/>
          <w:sz w:val="21"/>
          <w:szCs w:val="21"/>
        </w:rPr>
        <w:t>.</w:t>
      </w:r>
    </w:p>
    <w:p w14:paraId="71325167" w14:textId="77777777" w:rsidR="004D79C4" w:rsidRDefault="004D79C4" w:rsidP="004D79C4">
      <w:pPr>
        <w:jc w:val="both"/>
        <w:rPr>
          <w:rFonts w:ascii="Abadi" w:hAnsi="Abadi"/>
          <w:sz w:val="21"/>
          <w:szCs w:val="21"/>
        </w:rPr>
      </w:pPr>
    </w:p>
    <w:p w14:paraId="3CF20251" w14:textId="77777777" w:rsidR="004D79C4" w:rsidRDefault="004D79C4" w:rsidP="004D79C4">
      <w:pPr>
        <w:jc w:val="both"/>
        <w:rPr>
          <w:rFonts w:ascii="Abadi" w:hAnsi="Abadi"/>
          <w:b/>
          <w:bCs/>
          <w:sz w:val="21"/>
          <w:szCs w:val="21"/>
        </w:rPr>
      </w:pPr>
      <w:r w:rsidRPr="009C2BA9">
        <w:rPr>
          <w:rFonts w:ascii="Abadi" w:hAnsi="Abadi"/>
          <w:b/>
          <w:bCs/>
          <w:sz w:val="21"/>
          <w:szCs w:val="21"/>
        </w:rPr>
        <w:t>(se abre el sistema electronico)</w:t>
      </w:r>
    </w:p>
    <w:p w14:paraId="05D0F8C4" w14:textId="77777777" w:rsidR="004D79C4" w:rsidRPr="009C2BA9" w:rsidRDefault="004D79C4" w:rsidP="004D79C4">
      <w:pPr>
        <w:jc w:val="both"/>
        <w:rPr>
          <w:rFonts w:ascii="Abadi" w:hAnsi="Abadi"/>
          <w:b/>
          <w:bCs/>
          <w:sz w:val="21"/>
          <w:szCs w:val="21"/>
        </w:rPr>
      </w:pPr>
    </w:p>
    <w:p w14:paraId="2B4FB3D2" w14:textId="77777777" w:rsidR="004D79C4" w:rsidRPr="0030088F" w:rsidRDefault="004D79C4" w:rsidP="004D79C4">
      <w:pPr>
        <w:jc w:val="both"/>
        <w:rPr>
          <w:rFonts w:ascii="Abadi" w:hAnsi="Abadi"/>
          <w:sz w:val="21"/>
          <w:szCs w:val="21"/>
        </w:rPr>
      </w:pPr>
      <w:r>
        <w:rPr>
          <w:rFonts w:ascii="Abadi" w:hAnsi="Abadi"/>
          <w:sz w:val="21"/>
          <w:szCs w:val="21"/>
        </w:rPr>
        <w:tab/>
      </w:r>
      <w:r w:rsidRPr="009C2BA9">
        <w:rPr>
          <w:rFonts w:ascii="Abadi" w:hAnsi="Abadi"/>
          <w:b/>
          <w:bCs/>
          <w:sz w:val="21"/>
          <w:szCs w:val="21"/>
        </w:rPr>
        <w:t xml:space="preserve">- La </w:t>
      </w:r>
      <w:proofErr w:type="gramStart"/>
      <w:r w:rsidRPr="009C2BA9">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n votación nominal y mediante el sistema electrónico se les pregunta si se aprueban los informes que se ponen a su consideración</w:t>
      </w:r>
      <w:r>
        <w:rPr>
          <w:rFonts w:ascii="Abadi" w:hAnsi="Abadi"/>
          <w:sz w:val="21"/>
          <w:szCs w:val="21"/>
        </w:rPr>
        <w:t>. ¿diputada Noemí? ¿diputada Alma?</w:t>
      </w:r>
    </w:p>
    <w:p w14:paraId="2BB24353" w14:textId="77777777" w:rsidR="004D79C4" w:rsidRPr="0030088F" w:rsidRDefault="004D79C4" w:rsidP="004D79C4">
      <w:pPr>
        <w:jc w:val="both"/>
        <w:rPr>
          <w:rFonts w:ascii="Abadi" w:hAnsi="Abadi"/>
          <w:sz w:val="21"/>
          <w:szCs w:val="21"/>
        </w:rPr>
      </w:pPr>
    </w:p>
    <w:p w14:paraId="70CD9E4B" w14:textId="77777777" w:rsidR="004D79C4" w:rsidRPr="0030088F" w:rsidRDefault="004D79C4" w:rsidP="004D79C4">
      <w:pPr>
        <w:jc w:val="both"/>
        <w:rPr>
          <w:rFonts w:ascii="Abadi" w:hAnsi="Abadi"/>
          <w:sz w:val="21"/>
          <w:szCs w:val="21"/>
        </w:rPr>
      </w:pPr>
      <w:r>
        <w:rPr>
          <w:rFonts w:ascii="Abadi" w:hAnsi="Abadi"/>
          <w:sz w:val="21"/>
          <w:szCs w:val="21"/>
        </w:rPr>
        <w:t>¿</w:t>
      </w:r>
      <w:r w:rsidRPr="0030088F">
        <w:rPr>
          <w:rFonts w:ascii="Abadi" w:hAnsi="Abadi"/>
          <w:sz w:val="21"/>
          <w:szCs w:val="21"/>
        </w:rPr>
        <w:t>falta alguna diputada</w:t>
      </w:r>
      <w:r>
        <w:rPr>
          <w:rFonts w:ascii="Abadi" w:hAnsi="Abadi"/>
          <w:sz w:val="21"/>
          <w:szCs w:val="21"/>
        </w:rPr>
        <w:t>? ¿diputada Katya? ¿</w:t>
      </w:r>
      <w:r w:rsidRPr="0030088F">
        <w:rPr>
          <w:rFonts w:ascii="Abadi" w:hAnsi="Abadi"/>
          <w:sz w:val="21"/>
          <w:szCs w:val="21"/>
        </w:rPr>
        <w:t>alguna diputada diputado por emitir su voto</w:t>
      </w:r>
      <w:r>
        <w:rPr>
          <w:rFonts w:ascii="Abadi" w:hAnsi="Abadi"/>
          <w:sz w:val="21"/>
          <w:szCs w:val="21"/>
        </w:rPr>
        <w:t>?</w:t>
      </w:r>
    </w:p>
    <w:p w14:paraId="1B3E869B" w14:textId="77777777" w:rsidR="004D79C4" w:rsidRPr="0030088F" w:rsidRDefault="004D79C4" w:rsidP="004D79C4">
      <w:pPr>
        <w:jc w:val="both"/>
        <w:rPr>
          <w:rFonts w:ascii="Abadi" w:hAnsi="Abadi"/>
          <w:sz w:val="21"/>
          <w:szCs w:val="21"/>
        </w:rPr>
      </w:pPr>
    </w:p>
    <w:p w14:paraId="48BE9664" w14:textId="77777777" w:rsidR="004D79C4" w:rsidRDefault="004D79C4" w:rsidP="004D79C4">
      <w:pPr>
        <w:jc w:val="both"/>
        <w:rPr>
          <w:rFonts w:ascii="Abadi" w:hAnsi="Abadi"/>
          <w:b/>
          <w:bCs/>
          <w:sz w:val="21"/>
          <w:szCs w:val="21"/>
        </w:rPr>
      </w:pPr>
      <w:r w:rsidRPr="003A2FCE">
        <w:rPr>
          <w:rFonts w:ascii="Abadi" w:hAnsi="Abadi"/>
          <w:b/>
          <w:bCs/>
          <w:sz w:val="21"/>
          <w:szCs w:val="21"/>
        </w:rPr>
        <w:t>(se cierra el sistema electrónico)</w:t>
      </w:r>
    </w:p>
    <w:p w14:paraId="529C4901" w14:textId="77777777" w:rsidR="004D79C4" w:rsidRPr="003A2FCE" w:rsidRDefault="00533E8A" w:rsidP="004D79C4">
      <w:pPr>
        <w:jc w:val="both"/>
      </w:pPr>
      <w:r>
        <w:rPr>
          <w:noProof/>
        </w:rPr>
        <w:drawing>
          <wp:anchor distT="0" distB="0" distL="114300" distR="114300" simplePos="0" relativeHeight="251658262" behindDoc="1" locked="0" layoutInCell="1" allowOverlap="1" wp14:anchorId="0D02CA3B" wp14:editId="79E3846A">
            <wp:simplePos x="0" y="0"/>
            <wp:positionH relativeFrom="column">
              <wp:posOffset>699452</wp:posOffset>
            </wp:positionH>
            <wp:positionV relativeFrom="paragraph">
              <wp:posOffset>310833</wp:posOffset>
            </wp:positionV>
            <wp:extent cx="1421372" cy="738187"/>
            <wp:effectExtent l="247650" t="247650" r="255270" b="252730"/>
            <wp:wrapTight wrapText="bothSides">
              <wp:wrapPolygon edited="0">
                <wp:start x="-2316" y="-7250"/>
                <wp:lineTo x="-3764" y="-6134"/>
                <wp:lineTo x="-3764" y="21191"/>
                <wp:lineTo x="-2316" y="28441"/>
                <wp:lineTo x="23743" y="28441"/>
                <wp:lineTo x="25190" y="21191"/>
                <wp:lineTo x="25190" y="2788"/>
                <wp:lineTo x="23743" y="-5577"/>
                <wp:lineTo x="23743" y="-7250"/>
                <wp:lineTo x="-2316" y="-7250"/>
              </wp:wrapPolygon>
            </wp:wrapTight>
            <wp:docPr id="1877228231" name="Imagen 1877228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228231" name=""/>
                    <pic:cNvPicPr/>
                  </pic:nvPicPr>
                  <pic:blipFill rotWithShape="1">
                    <a:blip r:embed="rId43" cstate="print">
                      <a:extLst>
                        <a:ext uri="{28A0092B-C50C-407E-A947-70E740481C1C}">
                          <a14:useLocalDpi xmlns:a14="http://schemas.microsoft.com/office/drawing/2010/main" val="0"/>
                        </a:ext>
                      </a:extLst>
                    </a:blip>
                    <a:srcRect b="7664"/>
                    <a:stretch/>
                  </pic:blipFill>
                  <pic:spPr bwMode="auto">
                    <a:xfrm>
                      <a:off x="0" y="0"/>
                      <a:ext cx="1421372" cy="73818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50A97A90" w14:textId="1544CD5A" w:rsidR="004D79C4" w:rsidRDefault="004D79C4" w:rsidP="004D79C4">
      <w:pPr>
        <w:jc w:val="both"/>
        <w:rPr>
          <w:rFonts w:ascii="Abadi" w:hAnsi="Abadi"/>
          <w:sz w:val="21"/>
          <w:szCs w:val="21"/>
        </w:rPr>
      </w:pPr>
      <w:r>
        <w:rPr>
          <w:rFonts w:ascii="Abadi" w:hAnsi="Abadi"/>
          <w:b/>
          <w:bCs/>
          <w:sz w:val="21"/>
          <w:szCs w:val="21"/>
        </w:rPr>
        <w:tab/>
      </w:r>
      <w:r w:rsidRPr="003A2FCE">
        <w:rPr>
          <w:rFonts w:ascii="Abadi" w:hAnsi="Abadi"/>
          <w:b/>
          <w:bCs/>
          <w:sz w:val="21"/>
          <w:szCs w:val="21"/>
        </w:rPr>
        <w:t xml:space="preserve">- La </w:t>
      </w:r>
      <w:proofErr w:type="gramStart"/>
      <w:r w:rsidRPr="003A2FCE">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 xml:space="preserve">residenta le informó que se registraron 33 votos a favor y </w:t>
      </w:r>
      <w:r w:rsidR="00836E17">
        <w:rPr>
          <w:rFonts w:ascii="Abadi" w:hAnsi="Abadi"/>
          <w:sz w:val="21"/>
          <w:szCs w:val="21"/>
        </w:rPr>
        <w:t>1</w:t>
      </w:r>
      <w:r>
        <w:rPr>
          <w:rFonts w:ascii="Abadi" w:hAnsi="Abadi"/>
          <w:sz w:val="21"/>
          <w:szCs w:val="21"/>
        </w:rPr>
        <w:t xml:space="preserve"> </w:t>
      </w:r>
      <w:r w:rsidRPr="0030088F">
        <w:rPr>
          <w:rFonts w:ascii="Abadi" w:hAnsi="Abadi"/>
          <w:sz w:val="21"/>
          <w:szCs w:val="21"/>
        </w:rPr>
        <w:t>en contra</w:t>
      </w:r>
      <w:r>
        <w:rPr>
          <w:rFonts w:ascii="Abadi" w:hAnsi="Abadi"/>
          <w:sz w:val="21"/>
          <w:szCs w:val="21"/>
        </w:rPr>
        <w:t>.</w:t>
      </w:r>
    </w:p>
    <w:p w14:paraId="7E911779" w14:textId="77777777" w:rsidR="00533E8A" w:rsidRDefault="00533E8A" w:rsidP="00533E8A">
      <w:pPr>
        <w:ind w:left="1134" w:right="758"/>
        <w:jc w:val="both"/>
        <w:rPr>
          <w:rFonts w:ascii="Abadi" w:hAnsi="Abadi"/>
          <w:b/>
          <w:bCs/>
          <w:sz w:val="21"/>
          <w:szCs w:val="21"/>
        </w:rPr>
      </w:pPr>
    </w:p>
    <w:p w14:paraId="10CFBFEE" w14:textId="2DED2AD6" w:rsidR="004D79C4" w:rsidRPr="00620223" w:rsidRDefault="004D79C4" w:rsidP="00533E8A">
      <w:pPr>
        <w:ind w:left="1134" w:right="758"/>
        <w:jc w:val="both"/>
        <w:rPr>
          <w:rFonts w:ascii="Abadi" w:hAnsi="Abadi"/>
          <w:b/>
          <w:bCs/>
          <w:i/>
          <w:iCs/>
          <w:sz w:val="21"/>
          <w:szCs w:val="21"/>
          <w:u w:val="single"/>
        </w:rPr>
      </w:pPr>
      <w:r w:rsidRPr="00620223">
        <w:rPr>
          <w:rFonts w:ascii="Abadi" w:hAnsi="Abadi"/>
          <w:b/>
          <w:bCs/>
          <w:i/>
          <w:iCs/>
          <w:sz w:val="21"/>
          <w:szCs w:val="21"/>
          <w:u w:val="single"/>
        </w:rPr>
        <w:t>Los informes han sido aprobados por mayoría de votos.</w:t>
      </w:r>
    </w:p>
    <w:p w14:paraId="0BC9FBDC" w14:textId="77777777" w:rsidR="00581DBB" w:rsidRPr="00006796" w:rsidRDefault="00581DBB" w:rsidP="001B5934">
      <w:pPr>
        <w:autoSpaceDE w:val="0"/>
        <w:autoSpaceDN w:val="0"/>
        <w:adjustRightInd w:val="0"/>
        <w:ind w:left="426"/>
        <w:jc w:val="both"/>
        <w:rPr>
          <w:rFonts w:ascii="Abadi" w:hAnsi="Abadi" w:cs="ArialMT"/>
          <w:b/>
          <w:bCs/>
          <w:sz w:val="21"/>
          <w:szCs w:val="21"/>
        </w:rPr>
      </w:pPr>
    </w:p>
    <w:p w14:paraId="4E1235EB" w14:textId="0DBE28BB" w:rsidR="00374533" w:rsidRPr="00006796"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F31CDD">
        <w:rPr>
          <w:rFonts w:ascii="Abadi" w:hAnsi="Abadi" w:cs="ArialMT"/>
          <w:b/>
          <w:sz w:val="21"/>
          <w:szCs w:val="21"/>
        </w:rPr>
        <w:t xml:space="preserve">DISCUSIÓN Y, EN SU CASO, APROBACIÓN DEL DICTAMEN EMITIDO POR LA COMISIÓN DE DESARROLLO URBANO Y </w:t>
      </w:r>
      <w:r w:rsidRPr="00F31CDD">
        <w:rPr>
          <w:rFonts w:ascii="Abadi" w:hAnsi="Abadi" w:cs="ArialMT"/>
          <w:b/>
          <w:sz w:val="21"/>
          <w:szCs w:val="21"/>
        </w:rPr>
        <w:t>OBRA PÚBLICA RELATIVO</w:t>
      </w:r>
      <w:r w:rsidRPr="00006796">
        <w:rPr>
          <w:rFonts w:ascii="Abadi" w:hAnsi="Abadi" w:cs="ArialMT"/>
          <w:b/>
          <w:bCs/>
          <w:sz w:val="21"/>
          <w:szCs w:val="21"/>
        </w:rPr>
        <w:t xml:space="preserve"> A LA PROPUESTA DE PUNTO DE ACUERDO SUSCRITA POR DIPUTADA Y DIPUTADOS INTEGRANTES DEL GRUPO PARLAMENTARIO DEL PARTIDO REVOLUCIONARIO INSTITUCIONAL PARA EXHORTAR AL CONGRESO DE LA UNIÓN A FIN DE QUE EXPIDA LA LEY GENERAL DE AGUAS. </w:t>
      </w:r>
      <w:r w:rsidRPr="00006796">
        <w:rPr>
          <w:rFonts w:ascii="Abadi" w:hAnsi="Abadi" w:cs="Arial-ItalicMT"/>
          <w:b/>
          <w:bCs/>
          <w:i/>
          <w:iCs/>
          <w:sz w:val="21"/>
          <w:szCs w:val="21"/>
        </w:rPr>
        <w:t>(ELD 263/LXV-PPA)</w:t>
      </w:r>
      <w:r w:rsidR="00C96D50">
        <w:rPr>
          <w:rStyle w:val="Refdenotaalpie"/>
          <w:rFonts w:ascii="Abadi" w:hAnsi="Abadi" w:cs="Arial-ItalicMT"/>
          <w:b/>
          <w:bCs/>
          <w:i/>
          <w:iCs/>
          <w:sz w:val="21"/>
          <w:szCs w:val="21"/>
        </w:rPr>
        <w:footnoteReference w:id="101"/>
      </w:r>
    </w:p>
    <w:p w14:paraId="2BAB4CBE" w14:textId="77777777" w:rsidR="00374533" w:rsidRPr="00906366" w:rsidRDefault="00374533" w:rsidP="001B5934">
      <w:pPr>
        <w:autoSpaceDE w:val="0"/>
        <w:autoSpaceDN w:val="0"/>
        <w:adjustRightInd w:val="0"/>
        <w:ind w:left="426"/>
        <w:jc w:val="both"/>
        <w:rPr>
          <w:rFonts w:ascii="Abadi" w:hAnsi="Abadi" w:cs="Arial-ItalicMT"/>
          <w:b/>
          <w:bCs/>
          <w:i/>
          <w:iCs/>
          <w:sz w:val="21"/>
          <w:szCs w:val="21"/>
        </w:rPr>
      </w:pPr>
    </w:p>
    <w:p w14:paraId="4E8295BD" w14:textId="77777777" w:rsidR="00067240" w:rsidRPr="00906366" w:rsidRDefault="00067240" w:rsidP="00067240">
      <w:pPr>
        <w:pStyle w:val="Textoindependiente2"/>
        <w:widowControl w:val="0"/>
        <w:spacing w:line="240" w:lineRule="auto"/>
        <w:rPr>
          <w:rFonts w:ascii="Abadi" w:hAnsi="Abadi"/>
          <w:b/>
          <w:bCs/>
          <w:sz w:val="21"/>
          <w:szCs w:val="21"/>
          <w:lang w:val="es-MX"/>
        </w:rPr>
      </w:pPr>
      <w:r w:rsidRPr="00906366">
        <w:rPr>
          <w:rFonts w:ascii="Abadi" w:hAnsi="Abadi"/>
          <w:b/>
          <w:bCs/>
          <w:sz w:val="21"/>
          <w:szCs w:val="21"/>
          <w:lang w:val="es-MX"/>
        </w:rPr>
        <w:t xml:space="preserve">DICTAMEN QUE LA COMISIÓN DE DESARROLLO URBANO Y OBRA PÚBLICA PRESENTA AL PLENO DEL CONGRESO, DE LA </w:t>
      </w:r>
      <w:bookmarkStart w:id="0" w:name="_Hlk94776130"/>
      <w:r w:rsidRPr="00906366">
        <w:rPr>
          <w:rFonts w:ascii="Abadi" w:hAnsi="Abadi"/>
          <w:b/>
          <w:bCs/>
          <w:sz w:val="21"/>
          <w:szCs w:val="21"/>
          <w:lang w:val="es-MX"/>
        </w:rPr>
        <w:t xml:space="preserve">PROPUESTA </w:t>
      </w:r>
      <w:bookmarkEnd w:id="0"/>
      <w:r w:rsidRPr="00906366">
        <w:rPr>
          <w:rFonts w:ascii="Abadi" w:hAnsi="Abadi"/>
          <w:b/>
          <w:bCs/>
          <w:sz w:val="21"/>
          <w:szCs w:val="21"/>
          <w:lang w:val="es-MX"/>
        </w:rPr>
        <w:t>DE PUNTO DE ACUERDO SUSCRITA POR DIPUTADA Y DIPUTADOS INTEGRANTES DEL GRUPO PARLAMENTARIO DEL PARTIDO REVOLUCIONARIO INSTITUCIONAL PARA EXHORTAR AL CONGRESO DE LA UNIÓN A FIN DE QUE EXPIDA LA LEY GENERAL DE AGUAS (ELD 263/LXV-PPA).</w:t>
      </w:r>
    </w:p>
    <w:p w14:paraId="02B747CF" w14:textId="77777777" w:rsidR="00067240" w:rsidRPr="00906366" w:rsidRDefault="00067240" w:rsidP="00067240">
      <w:pPr>
        <w:pStyle w:val="Textoindependiente"/>
        <w:widowControl w:val="0"/>
        <w:rPr>
          <w:rFonts w:ascii="Abadi" w:hAnsi="Abadi"/>
          <w:sz w:val="21"/>
          <w:szCs w:val="21"/>
        </w:rPr>
      </w:pPr>
    </w:p>
    <w:p w14:paraId="619076AF" w14:textId="77777777" w:rsidR="00067240" w:rsidRPr="00906366" w:rsidRDefault="00067240" w:rsidP="00067240">
      <w:pPr>
        <w:pStyle w:val="Textoindependiente"/>
        <w:widowControl w:val="0"/>
        <w:rPr>
          <w:rFonts w:ascii="Abadi" w:hAnsi="Abadi"/>
          <w:b w:val="0"/>
          <w:bCs w:val="0"/>
          <w:sz w:val="21"/>
          <w:szCs w:val="21"/>
        </w:rPr>
      </w:pPr>
    </w:p>
    <w:p w14:paraId="7E2606B0"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A la Comisión de Desarrollo Urbano y Obra Pública le fue turnada para estudio y dictamen, la propuesta de punto de acuerdo suscrita por diputada y diputados integrantes del Grupo Parlamentario del Partido Revolucionario Institucional para exhortar al Congreso de la Unión a fin de que expida la Ley General de Aguas.</w:t>
      </w:r>
    </w:p>
    <w:p w14:paraId="13DB9C74" w14:textId="77777777" w:rsidR="00067240" w:rsidRPr="00906366" w:rsidRDefault="00067240" w:rsidP="00067240">
      <w:pPr>
        <w:pStyle w:val="Textoindependiente"/>
        <w:widowControl w:val="0"/>
        <w:rPr>
          <w:rFonts w:ascii="Abadi" w:hAnsi="Abadi"/>
          <w:b w:val="0"/>
          <w:bCs w:val="0"/>
          <w:sz w:val="21"/>
          <w:szCs w:val="21"/>
        </w:rPr>
      </w:pPr>
    </w:p>
    <w:p w14:paraId="6B0DD432"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Analizada la propuesta de referencia, esta Comisión de conformidad con lo dispuesto en los artículos 89 -fracción V- y 171 de la Ley Orgánica del Poder Legislativo del Estado de Guanajuato rinde el dictamen, con base en las siguientes:</w:t>
      </w:r>
    </w:p>
    <w:p w14:paraId="0C927C00" w14:textId="77777777" w:rsidR="00067240" w:rsidRPr="00906366" w:rsidRDefault="00067240" w:rsidP="00067240">
      <w:pPr>
        <w:pStyle w:val="Textoindependiente"/>
        <w:widowControl w:val="0"/>
        <w:rPr>
          <w:rFonts w:ascii="Abadi" w:hAnsi="Abadi"/>
          <w:sz w:val="21"/>
          <w:szCs w:val="21"/>
        </w:rPr>
      </w:pPr>
    </w:p>
    <w:p w14:paraId="2A9369FC" w14:textId="77777777" w:rsidR="00067240" w:rsidRPr="00906366" w:rsidRDefault="00067240" w:rsidP="00067240">
      <w:pPr>
        <w:pStyle w:val="Sangradetextonormal"/>
        <w:widowControl w:val="0"/>
        <w:jc w:val="center"/>
        <w:rPr>
          <w:rFonts w:ascii="Abadi" w:hAnsi="Abadi"/>
          <w:b/>
          <w:sz w:val="21"/>
          <w:szCs w:val="21"/>
        </w:rPr>
      </w:pPr>
      <w:r w:rsidRPr="00906366">
        <w:rPr>
          <w:rFonts w:ascii="Abadi" w:hAnsi="Abadi"/>
          <w:b/>
          <w:sz w:val="21"/>
          <w:szCs w:val="21"/>
        </w:rPr>
        <w:t>C O N S I D E R A C I O N E S</w:t>
      </w:r>
    </w:p>
    <w:p w14:paraId="7455AD7A" w14:textId="77777777" w:rsidR="00067240" w:rsidRPr="00906366" w:rsidRDefault="00067240" w:rsidP="00067240">
      <w:pPr>
        <w:pStyle w:val="Textoindependiente"/>
        <w:widowControl w:val="0"/>
        <w:rPr>
          <w:rFonts w:ascii="Abadi" w:hAnsi="Abadi"/>
          <w:sz w:val="21"/>
          <w:szCs w:val="21"/>
        </w:rPr>
      </w:pPr>
    </w:p>
    <w:p w14:paraId="15ED25B9" w14:textId="77777777" w:rsidR="00067240" w:rsidRPr="00906366" w:rsidRDefault="00067240" w:rsidP="00067240">
      <w:pPr>
        <w:pStyle w:val="Textoindependiente"/>
        <w:widowControl w:val="0"/>
        <w:ind w:firstLine="851"/>
        <w:rPr>
          <w:rFonts w:ascii="Abadi" w:hAnsi="Abadi"/>
          <w:b w:val="0"/>
          <w:sz w:val="21"/>
          <w:szCs w:val="21"/>
        </w:rPr>
      </w:pPr>
      <w:r w:rsidRPr="00906366">
        <w:rPr>
          <w:rFonts w:ascii="Abadi" w:hAnsi="Abadi"/>
          <w:sz w:val="21"/>
          <w:szCs w:val="21"/>
        </w:rPr>
        <w:t>PROCESO LEGISLATIVO.</w:t>
      </w:r>
    </w:p>
    <w:p w14:paraId="45CCDC2F" w14:textId="77777777" w:rsidR="00067240" w:rsidRPr="00906366" w:rsidRDefault="00067240" w:rsidP="00067240">
      <w:pPr>
        <w:pStyle w:val="Textoindependiente"/>
        <w:widowControl w:val="0"/>
        <w:rPr>
          <w:rFonts w:ascii="Abadi" w:hAnsi="Abadi"/>
          <w:b w:val="0"/>
          <w:bCs w:val="0"/>
          <w:sz w:val="21"/>
          <w:szCs w:val="21"/>
        </w:rPr>
      </w:pPr>
    </w:p>
    <w:p w14:paraId="5F27D6D5"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sesión ordinaria del 27 de abril de 2023 se dio cuenta con la propuesta de punto de acuerdo, misma que se turnó por la Presidencia del Congreso a esta Comisión legislativa para su estudio y dictamen, con fundamento en el artículo 108 -fracción III- de la Ley Orgánica del Poder Legislativo del Estado de Guanajuato.</w:t>
      </w:r>
    </w:p>
    <w:p w14:paraId="16698877" w14:textId="77777777" w:rsidR="00067240" w:rsidRPr="00906366" w:rsidRDefault="00067240" w:rsidP="00067240">
      <w:pPr>
        <w:pStyle w:val="Textoindependiente"/>
        <w:widowControl w:val="0"/>
        <w:rPr>
          <w:rFonts w:ascii="Abadi" w:hAnsi="Abadi"/>
          <w:b w:val="0"/>
          <w:bCs w:val="0"/>
          <w:sz w:val="21"/>
          <w:szCs w:val="21"/>
        </w:rPr>
      </w:pPr>
    </w:p>
    <w:p w14:paraId="69A503F6"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reunión de la Comisión de fecha 6 de junio de 2023 se radicó la propuesta de punto de acuerdo.</w:t>
      </w:r>
    </w:p>
    <w:p w14:paraId="7A95E030" w14:textId="77777777" w:rsidR="00067240" w:rsidRPr="00906366" w:rsidRDefault="00067240" w:rsidP="00067240">
      <w:pPr>
        <w:pStyle w:val="NormalWeb"/>
        <w:widowControl w:val="0"/>
        <w:spacing w:before="0" w:beforeAutospacing="0" w:after="0" w:afterAutospacing="0"/>
        <w:jc w:val="both"/>
        <w:rPr>
          <w:rFonts w:ascii="Abadi" w:hAnsi="Abadi" w:cs="Arial"/>
          <w:sz w:val="21"/>
          <w:szCs w:val="21"/>
          <w:lang w:val="es-MX"/>
        </w:rPr>
      </w:pPr>
    </w:p>
    <w:p w14:paraId="62C679E3" w14:textId="77777777" w:rsidR="00067240" w:rsidRPr="00906366" w:rsidRDefault="00067240" w:rsidP="00A41D52">
      <w:pPr>
        <w:pStyle w:val="Textoindependiente"/>
        <w:widowControl w:val="0"/>
        <w:rPr>
          <w:rFonts w:ascii="Abadi" w:hAnsi="Abadi"/>
          <w:sz w:val="21"/>
          <w:szCs w:val="21"/>
        </w:rPr>
      </w:pPr>
      <w:r w:rsidRPr="00906366">
        <w:rPr>
          <w:rFonts w:ascii="Abadi" w:hAnsi="Abadi"/>
          <w:sz w:val="21"/>
          <w:szCs w:val="21"/>
        </w:rPr>
        <w:t>Propósito de la propuesta de punto de acuerdo.</w:t>
      </w:r>
    </w:p>
    <w:p w14:paraId="733EDB65" w14:textId="77777777" w:rsidR="00067240" w:rsidRPr="00906366" w:rsidRDefault="00067240" w:rsidP="00067240">
      <w:pPr>
        <w:widowControl w:val="0"/>
        <w:jc w:val="both"/>
        <w:rPr>
          <w:rFonts w:ascii="Abadi" w:hAnsi="Abadi"/>
          <w:sz w:val="21"/>
          <w:szCs w:val="21"/>
          <w:lang w:val="es-MX"/>
        </w:rPr>
      </w:pPr>
    </w:p>
    <w:p w14:paraId="4D739B0A" w14:textId="77777777" w:rsidR="00067240" w:rsidRPr="00906366" w:rsidRDefault="00067240" w:rsidP="00067240">
      <w:pPr>
        <w:widowControl w:val="0"/>
        <w:ind w:firstLine="851"/>
        <w:jc w:val="both"/>
        <w:rPr>
          <w:rFonts w:ascii="Abadi" w:hAnsi="Abadi"/>
          <w:sz w:val="21"/>
          <w:szCs w:val="21"/>
          <w:lang w:val="es-MX"/>
        </w:rPr>
      </w:pPr>
      <w:r w:rsidRPr="00906366">
        <w:rPr>
          <w:rFonts w:ascii="Abadi" w:hAnsi="Abadi"/>
          <w:sz w:val="21"/>
          <w:szCs w:val="21"/>
          <w:lang w:val="es-MX"/>
        </w:rPr>
        <w:t>Señalan la diputada y los diputados iniciantes que:</w:t>
      </w:r>
    </w:p>
    <w:p w14:paraId="670FB775" w14:textId="77777777" w:rsidR="00067240" w:rsidRPr="00906366" w:rsidRDefault="00067240" w:rsidP="00067240">
      <w:pPr>
        <w:widowControl w:val="0"/>
        <w:jc w:val="both"/>
        <w:rPr>
          <w:rFonts w:ascii="Abadi" w:hAnsi="Abadi"/>
          <w:sz w:val="21"/>
          <w:szCs w:val="21"/>
          <w:lang w:val="es-MX"/>
        </w:rPr>
      </w:pPr>
    </w:p>
    <w:p w14:paraId="3073B685" w14:textId="77777777" w:rsidR="00067240" w:rsidRPr="00906366" w:rsidRDefault="00067240" w:rsidP="00A41D52">
      <w:pPr>
        <w:widowControl w:val="0"/>
        <w:ind w:left="426" w:right="851"/>
        <w:jc w:val="both"/>
        <w:rPr>
          <w:rFonts w:ascii="Abadi" w:hAnsi="Abadi"/>
          <w:i/>
          <w:sz w:val="21"/>
          <w:szCs w:val="21"/>
          <w:lang w:val="es-MX"/>
        </w:rPr>
      </w:pPr>
      <w:bookmarkStart w:id="1" w:name="_Hlk98953439"/>
      <w:r w:rsidRPr="00906366">
        <w:rPr>
          <w:rFonts w:ascii="Abadi" w:hAnsi="Abadi"/>
          <w:i/>
          <w:sz w:val="21"/>
          <w:szCs w:val="21"/>
          <w:lang w:val="es-MX"/>
        </w:rPr>
        <w:t>En nuestro país, inmerso en el denominado capítulo económico de nuestra Carta Magna, el numeral 27 de la misma, establece que “La propiedad de las tierras y aguas comprendidas dentro del territorio nacional, corresponden originariamente a la nación”, así respecto al recurso hídrico, señala que son propiedad de la nación, entre otras, las aguas de los mares territoriales, marinas interiores, lagunas, esteros, lagos, manantiales y las situadas en el subsuelo, indicando en el subsecuente párrafo que las mismas son imprescriptibles, e inalienables, sujetando su aprovechamiento mediante concesiones otorgadas por el Ejecutivo Federal, además, nuestro máximo ordenamiento contempla que la facultad para legislar en la materia corresponde conforme al artículo 73 fracción XVII, al Congreso de la Unión, es decir, tanto la administración general como la reglamentación en materia de aguas nacionales corresponden al orden federal</w:t>
      </w:r>
      <w:r w:rsidRPr="00906366">
        <w:rPr>
          <w:rStyle w:val="Refdenotaalpie"/>
          <w:rFonts w:ascii="Abadi" w:hAnsi="Abadi"/>
          <w:i/>
          <w:sz w:val="21"/>
          <w:szCs w:val="21"/>
          <w:lang w:val="es-MX"/>
        </w:rPr>
        <w:footnoteReference w:id="102"/>
      </w:r>
      <w:r w:rsidRPr="00906366">
        <w:rPr>
          <w:rFonts w:ascii="Abadi" w:hAnsi="Abadi"/>
          <w:i/>
          <w:sz w:val="21"/>
          <w:szCs w:val="21"/>
          <w:lang w:val="es-MX"/>
        </w:rPr>
        <w:t>.</w:t>
      </w:r>
    </w:p>
    <w:p w14:paraId="622DCA48" w14:textId="77777777" w:rsidR="00067240" w:rsidRPr="00906366" w:rsidRDefault="00067240" w:rsidP="00067240">
      <w:pPr>
        <w:widowControl w:val="0"/>
        <w:ind w:left="851" w:right="851"/>
        <w:jc w:val="both"/>
        <w:rPr>
          <w:rFonts w:ascii="Abadi" w:hAnsi="Abadi"/>
          <w:i/>
          <w:sz w:val="21"/>
          <w:szCs w:val="21"/>
          <w:lang w:val="es-MX"/>
        </w:rPr>
      </w:pPr>
    </w:p>
    <w:p w14:paraId="11B60E51"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 xml:space="preserve">No obstante, a nivel municipal, el artículo 115 fracción III, señala que los municipios tendrán a su cargo, entre otros servicios públicos, los de Agua </w:t>
      </w:r>
      <w:r w:rsidRPr="00906366">
        <w:rPr>
          <w:rFonts w:ascii="Abadi" w:hAnsi="Abadi"/>
          <w:i/>
          <w:sz w:val="21"/>
          <w:szCs w:val="21"/>
          <w:lang w:val="es-MX"/>
        </w:rPr>
        <w:t>Potable, drenaje, alcantarillado, tratamiento y disposición de aguas residuales, siendo el orden municipal, quien en primera línea es el que se encarga de garantizar el abasto de agua a los centros poblacionales, mediante los títulos de concesión que para tal efecto poseen, ya sea, administrados por su organismo operador, o directamente por el Municipio.</w:t>
      </w:r>
    </w:p>
    <w:p w14:paraId="104FEAF5" w14:textId="77777777" w:rsidR="00067240" w:rsidRPr="00906366" w:rsidRDefault="00067240" w:rsidP="00A41D52">
      <w:pPr>
        <w:widowControl w:val="0"/>
        <w:ind w:left="426" w:right="851"/>
        <w:jc w:val="both"/>
        <w:rPr>
          <w:rFonts w:ascii="Abadi" w:hAnsi="Abadi"/>
          <w:i/>
          <w:sz w:val="21"/>
          <w:szCs w:val="21"/>
          <w:lang w:val="es-MX"/>
        </w:rPr>
      </w:pPr>
    </w:p>
    <w:p w14:paraId="64F56EF3"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Respecto a los particulares, en caso de que el suministro de agua requerida para su actividad no sea suplido por las autoridades municipales, en iguales circunstancias a estas requieren de los concernientes títulos de concesión que, conforme a su actividad y previo cumplimiento de las disposiciones legales aplicables, pueden ser de uso comercial, industrial, o agrícola. En ese tenor e independientemente del fin para el que sea utilizado dicho título, estos consideran el volumen autorizado para la extracción del recurso hídrico, que de origen, permitiría conocer y administrar de forma eficiente la utilización y explotación del agua, y también, la correspondiente descarga, que de acuerdo con la Ley de Aguas Nacionales y la Ley Federal de Derechos</w:t>
      </w:r>
      <w:r w:rsidRPr="00906366">
        <w:rPr>
          <w:rStyle w:val="Refdenotaalpie"/>
          <w:rFonts w:ascii="Abadi" w:hAnsi="Abadi"/>
          <w:i/>
          <w:sz w:val="21"/>
          <w:szCs w:val="21"/>
          <w:lang w:val="es-MX"/>
        </w:rPr>
        <w:footnoteReference w:id="103"/>
      </w:r>
      <w:r w:rsidRPr="00906366">
        <w:rPr>
          <w:rFonts w:ascii="Abadi" w:hAnsi="Abadi"/>
          <w:i/>
          <w:sz w:val="21"/>
          <w:szCs w:val="21"/>
          <w:lang w:val="es-MX"/>
        </w:rPr>
        <w:t>, establecen tarifas para el caso de que se superen los volúmenes de extracción o en su caso, se incumpla con la calidad del agua descargada al medio ambiente.</w:t>
      </w:r>
    </w:p>
    <w:p w14:paraId="36AE5817" w14:textId="77777777" w:rsidR="00067240" w:rsidRPr="00906366" w:rsidRDefault="00067240" w:rsidP="00A41D52">
      <w:pPr>
        <w:widowControl w:val="0"/>
        <w:ind w:left="426" w:right="851"/>
        <w:jc w:val="both"/>
        <w:rPr>
          <w:rFonts w:ascii="Abadi" w:hAnsi="Abadi"/>
          <w:i/>
          <w:sz w:val="21"/>
          <w:szCs w:val="21"/>
          <w:lang w:val="es-MX"/>
        </w:rPr>
      </w:pPr>
    </w:p>
    <w:p w14:paraId="59762ED7"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 xml:space="preserve">En lo tocante al orden estatal, particularmente en el estado de Guanajuato, se cuenta como </w:t>
      </w:r>
      <w:r w:rsidRPr="00906366">
        <w:rPr>
          <w:rFonts w:ascii="Abadi" w:hAnsi="Abadi"/>
          <w:i/>
          <w:sz w:val="21"/>
          <w:szCs w:val="21"/>
          <w:lang w:val="es-MX"/>
        </w:rPr>
        <w:lastRenderedPageBreak/>
        <w:t xml:space="preserve">autoridad en la materia, a la Comisión Estatal del Agua de Guanajuato como organismo descentralizado del Poder Ejecutivo, cuyas atribuciones se establecen en el artículo 19 del Código Territorial para el Estado y los Municipios de Guanajuato, que en términos generales, se resumen en facultades tendientes a la planeación, coordinación, promoción, fomento, apoyo, gestión y coadyuvancia respecto a la política hídrica de la entidad, que le permiten hasta cierto punto, contribuir de manera significativa en la administración, conservación y aprovechamiento sustentable del agua, encontrando importantes limitaciones en su actuar, pues depende en gran medida de la información y acciones, de los demás órdenes de gobierno, al ser la Comisión Nacional del Agua quien posee, la rectoría sobre el control y administración de los aprovechamientos hídricos, así como la información pertinente al registro de títulos de concesión, asignaciones, permisos, volúmenes autorizados etc. y los municipios, quienes de primera mano, tienen la administración y control de sus títulos de concesión, sin que, en todos los casos sus organismos operadores cuenten con la suficiente consolidación que les permita tener un control fidedigno sobre la administración de sus aprovechamientos y consecuentemente brindar la información necesaria al orden estatal sobre la situación de cada municipio, al grado de contar con problemáticas como: adeudos a la Comisión Nacional del Agua, controles sanitarios deficientes sobre sus pozos, irregularidades en la vigencia de sus títulos de concesión y </w:t>
      </w:r>
      <w:r w:rsidRPr="00906366">
        <w:rPr>
          <w:rFonts w:ascii="Abadi" w:hAnsi="Abadi"/>
          <w:i/>
          <w:sz w:val="21"/>
          <w:szCs w:val="21"/>
          <w:lang w:val="es-MX"/>
        </w:rPr>
        <w:t>omisiones en el monitoreo de los volúmenes de extracción y descarga de aguas.</w:t>
      </w:r>
    </w:p>
    <w:p w14:paraId="7AF31F4A" w14:textId="77777777" w:rsidR="00067240" w:rsidRPr="00906366" w:rsidRDefault="00067240" w:rsidP="00067240">
      <w:pPr>
        <w:widowControl w:val="0"/>
        <w:ind w:left="851" w:right="851"/>
        <w:jc w:val="both"/>
        <w:rPr>
          <w:rFonts w:ascii="Abadi" w:hAnsi="Abadi"/>
          <w:i/>
          <w:sz w:val="21"/>
          <w:szCs w:val="21"/>
          <w:lang w:val="es-MX"/>
        </w:rPr>
      </w:pPr>
    </w:p>
    <w:p w14:paraId="5C0456C9"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La realidad es que, en nuestro país no se ha logrado tener un adecuado control, respecto a la utilización de los recursos hídricos, pues, a pesar de los existentes o los que marca la ley, ha sido imposible verificar y garantizar que no se realice un uso inadecuado del recurso, al grado de generarse una sobre explotación de las fuentes de agua y pérdidas fiscales a la Federación, pues los derechos que deben enterarse a la tesorería, en muchos casos, se cubren presuntivamente conforme a los volúmenes consignados en los títulos de concesión y no acorde a la realidad de los aprovechamientos, ante la ausencia de medidores, la falta de monitoreo de los existentes y controles de supervisión deficientes, con repercusiones como, el agotamiento de las cuencas hidrológicas, el incremento en los costos para la obtención del agua y la contaminación de nuestros cuerpos de agua, por las descargas sin el monitoreo correspondiente, todo ello sin mencionar, los que se encuentran en la clandestinidad.</w:t>
      </w:r>
    </w:p>
    <w:p w14:paraId="2D82556E" w14:textId="77777777" w:rsidR="00067240" w:rsidRPr="00906366" w:rsidRDefault="00067240" w:rsidP="00A41D52">
      <w:pPr>
        <w:widowControl w:val="0"/>
        <w:ind w:left="426" w:right="850"/>
        <w:jc w:val="both"/>
        <w:rPr>
          <w:rFonts w:ascii="Abadi" w:hAnsi="Abadi"/>
          <w:i/>
          <w:sz w:val="21"/>
          <w:szCs w:val="21"/>
          <w:lang w:val="es-MX"/>
        </w:rPr>
      </w:pPr>
    </w:p>
    <w:p w14:paraId="7C1432D3"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 xml:space="preserve">Contemplado en nuestra Constitución, el derecho Humano al agua, en primer término, por el artículo 1°, impone la obligación de las autoridades de promover, respetar y garantizar esta prerrogativa conforme a los principios inherentes a los derechos fundamentales, así mismo, el artículo 4° en su sexto párrafo, establece que: </w:t>
      </w:r>
      <w:r w:rsidRPr="00906366">
        <w:rPr>
          <w:rFonts w:ascii="Abadi" w:hAnsi="Abadi"/>
          <w:i/>
          <w:sz w:val="21"/>
          <w:szCs w:val="21"/>
          <w:u w:val="single"/>
          <w:lang w:val="es-MX"/>
        </w:rPr>
        <w:t xml:space="preserve">“Toda persona tiene derecho al acceso, disposición y saneamiento de agua para </w:t>
      </w:r>
      <w:r w:rsidRPr="00906366">
        <w:rPr>
          <w:rFonts w:ascii="Abadi" w:hAnsi="Abadi"/>
          <w:i/>
          <w:sz w:val="21"/>
          <w:szCs w:val="21"/>
          <w:u w:val="single"/>
          <w:lang w:val="es-MX"/>
        </w:rPr>
        <w:lastRenderedPageBreak/>
        <w:t>consumo personal y doméstico en forma suficiente, salubre, y asequible”</w:t>
      </w:r>
      <w:r w:rsidRPr="00906366">
        <w:rPr>
          <w:rFonts w:ascii="Abadi" w:hAnsi="Abadi"/>
          <w:i/>
          <w:sz w:val="21"/>
          <w:szCs w:val="21"/>
          <w:lang w:val="es-MX"/>
        </w:rPr>
        <w:t xml:space="preserve"> asignando la obligación al Estado de garantizarlo.</w:t>
      </w:r>
    </w:p>
    <w:p w14:paraId="2DEECF00" w14:textId="77777777" w:rsidR="00067240" w:rsidRPr="00906366" w:rsidRDefault="00067240" w:rsidP="00067240">
      <w:pPr>
        <w:widowControl w:val="0"/>
        <w:ind w:left="851" w:right="851"/>
        <w:jc w:val="both"/>
        <w:rPr>
          <w:rFonts w:ascii="Abadi" w:hAnsi="Abadi"/>
          <w:i/>
          <w:sz w:val="21"/>
          <w:szCs w:val="21"/>
          <w:lang w:val="es-MX"/>
        </w:rPr>
      </w:pPr>
    </w:p>
    <w:p w14:paraId="3D8800B3"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Bajo tal circunstancia, el texto actual del párrafo mencionado, surgió a raíz de una reforma constitucional, originada del estudio de diversas iniciativas en el Congreso de la Unión, que siguiendo el proceso legislativo correspondiente, resultó en la publicación del decreto divulgado en el Diario Oficial de la Federación en fecha 8 de febrero de 2012</w:t>
      </w:r>
      <w:r w:rsidRPr="00906366">
        <w:rPr>
          <w:rStyle w:val="Refdenotaalpie"/>
          <w:rFonts w:ascii="Abadi" w:hAnsi="Abadi"/>
          <w:i/>
          <w:sz w:val="21"/>
          <w:szCs w:val="21"/>
          <w:lang w:val="es-MX"/>
        </w:rPr>
        <w:footnoteReference w:id="104"/>
      </w:r>
      <w:r w:rsidRPr="00906366">
        <w:rPr>
          <w:rFonts w:ascii="Abadi" w:hAnsi="Abadi"/>
          <w:i/>
          <w:sz w:val="21"/>
          <w:szCs w:val="21"/>
          <w:lang w:val="es-MX"/>
        </w:rPr>
        <w:t xml:space="preserve">, en donde se reconoció, además de lo señalado, que: </w:t>
      </w:r>
      <w:r w:rsidRPr="00906366">
        <w:rPr>
          <w:rFonts w:ascii="Abadi" w:hAnsi="Abadi"/>
          <w:i/>
          <w:sz w:val="21"/>
          <w:szCs w:val="21"/>
          <w:u w:val="single"/>
          <w:lang w:val="es-MX"/>
        </w:rPr>
        <w:t>“La ley definirá las bases, apoyos y modalidades para el acceso y uso equitativo y sustentable de los recursos hídricos, estableciendo la participación de la Federación, las entidades federativas y los municipios, así como la participación de la ciudadanía para la consecución de dichos fines”</w:t>
      </w:r>
      <w:r w:rsidRPr="00906366">
        <w:rPr>
          <w:rFonts w:ascii="Abadi" w:hAnsi="Abadi"/>
          <w:i/>
          <w:sz w:val="21"/>
          <w:szCs w:val="21"/>
          <w:lang w:val="es-MX"/>
        </w:rPr>
        <w:t>. Instaurando, para tal efecto, dentro de su régimen transitorio, el término para que el Congreso de la Unión emitiera una Ley General de Aguas.</w:t>
      </w:r>
    </w:p>
    <w:p w14:paraId="258FBABB" w14:textId="77777777" w:rsidR="00067240" w:rsidRPr="00906366" w:rsidRDefault="00067240" w:rsidP="00A41D52">
      <w:pPr>
        <w:widowControl w:val="0"/>
        <w:ind w:left="426" w:right="851"/>
        <w:jc w:val="both"/>
        <w:rPr>
          <w:rFonts w:ascii="Abadi" w:hAnsi="Abadi"/>
          <w:i/>
          <w:sz w:val="21"/>
          <w:szCs w:val="21"/>
          <w:lang w:val="es-MX"/>
        </w:rPr>
      </w:pPr>
    </w:p>
    <w:p w14:paraId="15FB5A66"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 xml:space="preserve">En ese orden de ideas, dicho decreto estableció dentro de su artículo tercero transitorio que, el Congreso de la Unión tenía un plazo de 360 días para la emisión de una Ley General de Aguas, que reglamentara las </w:t>
      </w:r>
      <w:r w:rsidRPr="00906366">
        <w:rPr>
          <w:rFonts w:ascii="Abadi" w:hAnsi="Abadi"/>
          <w:i/>
          <w:sz w:val="21"/>
          <w:szCs w:val="21"/>
          <w:lang w:val="es-MX"/>
        </w:rPr>
        <w:t>bases establecidas en la propia reforma, sin que, llegado el plazo, se emitiera el decreto correspondiente a la creación de este ordenamiento.</w:t>
      </w:r>
    </w:p>
    <w:p w14:paraId="66C7B2F3" w14:textId="77777777" w:rsidR="00067240" w:rsidRPr="00906366" w:rsidRDefault="00067240" w:rsidP="00067240">
      <w:pPr>
        <w:widowControl w:val="0"/>
        <w:ind w:left="851" w:right="851"/>
        <w:jc w:val="both"/>
        <w:rPr>
          <w:rFonts w:ascii="Abadi" w:hAnsi="Abadi"/>
          <w:i/>
          <w:sz w:val="21"/>
          <w:szCs w:val="21"/>
          <w:lang w:val="es-MX"/>
        </w:rPr>
      </w:pPr>
    </w:p>
    <w:p w14:paraId="16290173"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Así, a más de 10 años sin la expedición de esta ley general, durante el transcurso de las legislaturas LXII, LXIII, LIV y LV, se presentaron más de una decena de iniciativas, sin que al momento se haya podido concretar por los legisladores federales, una normativa que unifique la diversidad de visiones y proposiciones encuadradas en estas, postergándose, la emisión del ordenamiento citado hasta el día de hoy.</w:t>
      </w:r>
    </w:p>
    <w:p w14:paraId="3E296534" w14:textId="77777777" w:rsidR="00067240" w:rsidRPr="00906366" w:rsidRDefault="00067240" w:rsidP="00A41D52">
      <w:pPr>
        <w:widowControl w:val="0"/>
        <w:ind w:left="426" w:right="851"/>
        <w:jc w:val="both"/>
        <w:rPr>
          <w:rFonts w:ascii="Abadi" w:hAnsi="Abadi"/>
          <w:i/>
          <w:sz w:val="21"/>
          <w:szCs w:val="21"/>
          <w:lang w:val="es-MX"/>
        </w:rPr>
      </w:pPr>
    </w:p>
    <w:p w14:paraId="551C6038"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Como consecuencia de dicha omisión, en enero del año 2022, se emitió la sentencia dictada por el Tribunal en Pleno de la Suprema Corte de Justicia de la Nación, respecto a la Controversia Constitucional 56/2020</w:t>
      </w:r>
      <w:r w:rsidRPr="00906366">
        <w:rPr>
          <w:rStyle w:val="Refdenotaalpie"/>
          <w:rFonts w:ascii="Abadi" w:hAnsi="Abadi"/>
          <w:i/>
          <w:sz w:val="21"/>
          <w:szCs w:val="21"/>
          <w:lang w:val="es-MX"/>
        </w:rPr>
        <w:footnoteReference w:id="105"/>
      </w:r>
      <w:r w:rsidRPr="00906366">
        <w:rPr>
          <w:rFonts w:ascii="Abadi" w:hAnsi="Abadi"/>
          <w:i/>
          <w:sz w:val="21"/>
          <w:szCs w:val="21"/>
          <w:lang w:val="es-MX"/>
        </w:rPr>
        <w:t xml:space="preserve"> que estableció la obligación del Congreso de la Unión a emitir una Ley General de Aguas, exponiendo para su difusión el comunicado 26/2022</w:t>
      </w:r>
      <w:r w:rsidRPr="00906366">
        <w:rPr>
          <w:rStyle w:val="Refdenotaalpie"/>
          <w:rFonts w:ascii="Abadi" w:hAnsi="Abadi"/>
          <w:i/>
          <w:sz w:val="21"/>
          <w:szCs w:val="21"/>
          <w:lang w:val="es-MX"/>
        </w:rPr>
        <w:footnoteReference w:id="106"/>
      </w:r>
      <w:r w:rsidRPr="00906366">
        <w:rPr>
          <w:rFonts w:ascii="Abadi" w:hAnsi="Abadi"/>
          <w:i/>
          <w:sz w:val="21"/>
          <w:szCs w:val="21"/>
          <w:lang w:val="es-MX"/>
        </w:rPr>
        <w:t>, indicando lo siguiente:</w:t>
      </w:r>
    </w:p>
    <w:p w14:paraId="3CA42680" w14:textId="77777777" w:rsidR="00067240" w:rsidRPr="00906366" w:rsidRDefault="00067240" w:rsidP="00067240">
      <w:pPr>
        <w:widowControl w:val="0"/>
        <w:ind w:left="851" w:right="851"/>
        <w:jc w:val="both"/>
        <w:rPr>
          <w:rFonts w:ascii="Abadi" w:hAnsi="Abadi"/>
          <w:i/>
          <w:sz w:val="21"/>
          <w:szCs w:val="21"/>
          <w:lang w:val="es-MX"/>
        </w:rPr>
      </w:pPr>
    </w:p>
    <w:p w14:paraId="0065D465" w14:textId="77777777" w:rsidR="00067240" w:rsidRPr="00906366" w:rsidRDefault="00067240" w:rsidP="00A41D52">
      <w:pPr>
        <w:widowControl w:val="0"/>
        <w:ind w:left="426" w:right="850"/>
        <w:jc w:val="both"/>
        <w:rPr>
          <w:rFonts w:ascii="Abadi" w:hAnsi="Abadi"/>
          <w:b/>
          <w:bCs/>
          <w:i/>
          <w:sz w:val="21"/>
          <w:szCs w:val="21"/>
          <w:lang w:val="es-MX"/>
        </w:rPr>
      </w:pPr>
      <w:r w:rsidRPr="00906366">
        <w:rPr>
          <w:rFonts w:ascii="Abadi" w:hAnsi="Abadi"/>
          <w:b/>
          <w:bCs/>
          <w:i/>
          <w:sz w:val="21"/>
          <w:szCs w:val="21"/>
          <w:lang w:val="es-MX"/>
        </w:rPr>
        <w:t xml:space="preserve">LA SCJN CONCLUYE EL ESTUDIO DE LAS CONTROVERSIAS CONSTITUCIONALES RELACIONADAS CON LA OMISIÓN DEL CONGRESO DE </w:t>
      </w:r>
      <w:r w:rsidRPr="00906366">
        <w:rPr>
          <w:rFonts w:ascii="Abadi" w:hAnsi="Abadi"/>
          <w:b/>
          <w:bCs/>
          <w:i/>
          <w:sz w:val="21"/>
          <w:szCs w:val="21"/>
          <w:lang w:val="es-MX"/>
        </w:rPr>
        <w:lastRenderedPageBreak/>
        <w:t>LA UNIÓN DE EXPEDIR LA LEY GENERAL DE AGUAS, ASÍ COMO CON LAS ÓRDENES DE DISPONER DEL AGUA DE LAS PRESAS “LA BOQUILLA” Y “EL GRANERO” PARA CUMPLIR UN TRATADO INTERNACIONAL</w:t>
      </w:r>
    </w:p>
    <w:p w14:paraId="5D91DCA3"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 xml:space="preserve">La Suprema Corte de Justicia de la Nación (SCJN), en sesión del Tribunal Pleno, resolvió once controversias constitucionales promovidas por los municipios de Ojinaga, López, Coronado, Santa Bárbara, San Francisco de Conchos, Riva Palacio, </w:t>
      </w:r>
      <w:proofErr w:type="spellStart"/>
      <w:r w:rsidRPr="00906366">
        <w:rPr>
          <w:rFonts w:ascii="Abadi" w:hAnsi="Abadi"/>
          <w:i/>
          <w:sz w:val="21"/>
          <w:szCs w:val="21"/>
          <w:lang w:val="es-MX"/>
        </w:rPr>
        <w:t>Matachí</w:t>
      </w:r>
      <w:proofErr w:type="spellEnd"/>
      <w:r w:rsidRPr="00906366">
        <w:rPr>
          <w:rFonts w:ascii="Abadi" w:hAnsi="Abadi"/>
          <w:i/>
          <w:sz w:val="21"/>
          <w:szCs w:val="21"/>
          <w:lang w:val="es-MX"/>
        </w:rPr>
        <w:t xml:space="preserve">, Guadalupe y Calvo, Chínipas, </w:t>
      </w:r>
      <w:proofErr w:type="spellStart"/>
      <w:r w:rsidRPr="00906366">
        <w:rPr>
          <w:rFonts w:ascii="Abadi" w:hAnsi="Abadi"/>
          <w:i/>
          <w:sz w:val="21"/>
          <w:szCs w:val="21"/>
          <w:lang w:val="es-MX"/>
        </w:rPr>
        <w:t>Maguarichi</w:t>
      </w:r>
      <w:proofErr w:type="spellEnd"/>
      <w:r w:rsidRPr="00906366">
        <w:rPr>
          <w:rFonts w:ascii="Abadi" w:hAnsi="Abadi"/>
          <w:i/>
          <w:sz w:val="21"/>
          <w:szCs w:val="21"/>
          <w:lang w:val="es-MX"/>
        </w:rPr>
        <w:t xml:space="preserve"> y Ocampo, todos del Estado de Chihuahua que, en conjunto, abarcaron los siguientes actos:</w:t>
      </w:r>
    </w:p>
    <w:p w14:paraId="3FCA5107" w14:textId="77777777" w:rsidR="00067240" w:rsidRPr="00906366" w:rsidRDefault="00067240" w:rsidP="00A41D52">
      <w:pPr>
        <w:widowControl w:val="0"/>
        <w:ind w:left="426" w:right="850"/>
        <w:jc w:val="both"/>
        <w:rPr>
          <w:rFonts w:ascii="Abadi" w:hAnsi="Abadi"/>
          <w:b/>
          <w:bCs/>
          <w:i/>
          <w:sz w:val="21"/>
          <w:szCs w:val="21"/>
          <w:u w:val="single"/>
          <w:lang w:val="es-MX"/>
        </w:rPr>
      </w:pPr>
      <w:r w:rsidRPr="00906366">
        <w:rPr>
          <w:rFonts w:ascii="Abadi" w:hAnsi="Abadi"/>
          <w:b/>
          <w:bCs/>
          <w:i/>
          <w:sz w:val="21"/>
          <w:szCs w:val="21"/>
          <w:u w:val="single"/>
          <w:lang w:val="es-MX"/>
        </w:rPr>
        <w:t>a) La omisión del Congreso de la Unión de expedir la Ley General de Aguas, a que se refiere el artículo tercero transitorio del decreto de reforma constitucional publicado en el Diario Oficial de la Federación el 8 de febrero de 2012;</w:t>
      </w:r>
    </w:p>
    <w:p w14:paraId="4F934C6A"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b) La falta de reglamentación por parte del Ejecutivo Federal de la Ley de Aguas Nacionales;</w:t>
      </w:r>
    </w:p>
    <w:p w14:paraId="60E7544D"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c) El acuerdo de inicio de emergencia por sequía para 2020;</w:t>
      </w:r>
    </w:p>
    <w:p w14:paraId="2599E6FD"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d) Las órdenes del Ejecutivo Federal de disponer del agua almacenada en las presas “La Boquilla” y “El Granero” para pagar los adeudos del Tratado sobre Distribución de Aguas Internacionales entre los Estados Unidos de América y los Estados Unidos Mexicanos; y,</w:t>
      </w:r>
    </w:p>
    <w:p w14:paraId="1C3F49A9"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e) Los actos de ejecución de dichas órdenes a través de la Guardia Nacional.</w:t>
      </w:r>
    </w:p>
    <w:p w14:paraId="42F99264" w14:textId="77777777" w:rsidR="00067240" w:rsidRPr="00906366" w:rsidRDefault="00067240" w:rsidP="00A41D52">
      <w:pPr>
        <w:widowControl w:val="0"/>
        <w:ind w:left="426" w:right="850"/>
        <w:jc w:val="both"/>
        <w:rPr>
          <w:rFonts w:ascii="Abadi" w:hAnsi="Abadi"/>
          <w:b/>
          <w:bCs/>
          <w:i/>
          <w:sz w:val="21"/>
          <w:szCs w:val="21"/>
          <w:u w:val="single"/>
          <w:lang w:val="es-MX"/>
        </w:rPr>
      </w:pPr>
      <w:r w:rsidRPr="00906366">
        <w:rPr>
          <w:rFonts w:ascii="Abadi" w:hAnsi="Abadi"/>
          <w:b/>
          <w:bCs/>
          <w:i/>
          <w:sz w:val="21"/>
          <w:szCs w:val="21"/>
          <w:u w:val="single"/>
          <w:lang w:val="es-MX"/>
        </w:rPr>
        <w:t xml:space="preserve">Al respecto, la SCJN reiteró, en lo conducente, el criterio establecido en siete controversias constitucionales resueltas previamente, en cuanto a que el Congreso de la Unión incurrió en una omisión legislativa de carácter absoluto </w:t>
      </w:r>
      <w:r w:rsidRPr="00906366">
        <w:rPr>
          <w:rFonts w:ascii="Abadi" w:hAnsi="Abadi"/>
          <w:b/>
          <w:bCs/>
          <w:i/>
          <w:sz w:val="21"/>
          <w:szCs w:val="21"/>
          <w:u w:val="single"/>
          <w:lang w:val="es-MX"/>
        </w:rPr>
        <w:t>en competencias de ejercicio obligatorio, al no haber emitido la Ley General de Aguas, a que se refiere el artículo 4°, párrafo sexto, de la Constitución, en relación con el tercero transitorio del decreto que dio origen a dicha disposición, publicado el 8 de febrero de 2012.</w:t>
      </w:r>
    </w:p>
    <w:p w14:paraId="7B71D06E" w14:textId="77777777" w:rsidR="00067240" w:rsidRPr="00906366" w:rsidRDefault="00067240" w:rsidP="00A41D52">
      <w:pPr>
        <w:widowControl w:val="0"/>
        <w:ind w:left="426" w:right="850"/>
        <w:jc w:val="both"/>
        <w:rPr>
          <w:rFonts w:ascii="Abadi" w:hAnsi="Abadi"/>
          <w:b/>
          <w:bCs/>
          <w:i/>
          <w:sz w:val="21"/>
          <w:szCs w:val="21"/>
          <w:u w:val="single"/>
          <w:lang w:val="es-MX"/>
        </w:rPr>
      </w:pPr>
      <w:r w:rsidRPr="00906366">
        <w:rPr>
          <w:rFonts w:ascii="Abadi" w:hAnsi="Abadi"/>
          <w:b/>
          <w:bCs/>
          <w:i/>
          <w:sz w:val="21"/>
          <w:szCs w:val="21"/>
          <w:u w:val="single"/>
          <w:lang w:val="es-MX"/>
        </w:rPr>
        <w:t>En consecuencia, como parte de los efectos en las controversias en las que se impugnó la referida omisión legislativa, la SCJN nuevamente conminó al Congreso de la Unión a emitir la Ley General de Aguas durante su próximo periodo ordinario de sesiones.</w:t>
      </w:r>
    </w:p>
    <w:p w14:paraId="5855FE73"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Así también, al igual que en los asuntos precedentes, …</w:t>
      </w:r>
    </w:p>
    <w:p w14:paraId="760F7098"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 xml:space="preserve">Controversias constitucionales 138/2020, promovida por el Municipio de Ojinaga; 47/2020, promovida por el Municipio de López; 48/2020, promovida por el Municipio de Coronado; 50/2020, promovida por el Municipio de Santa Bárbara; 60/2020, promovida por el Municipio de San Francisco de Conchos; 149/2020, promovida por el Municipio de Riva Palacio; 154/2020, promovida por el Municipio de </w:t>
      </w:r>
      <w:proofErr w:type="spellStart"/>
      <w:r w:rsidRPr="00906366">
        <w:rPr>
          <w:rFonts w:ascii="Abadi" w:hAnsi="Abadi"/>
          <w:i/>
          <w:sz w:val="21"/>
          <w:szCs w:val="21"/>
          <w:lang w:val="es-MX"/>
        </w:rPr>
        <w:t>Matachí</w:t>
      </w:r>
      <w:proofErr w:type="spellEnd"/>
      <w:r w:rsidRPr="00906366">
        <w:rPr>
          <w:rFonts w:ascii="Abadi" w:hAnsi="Abadi"/>
          <w:i/>
          <w:sz w:val="21"/>
          <w:szCs w:val="21"/>
          <w:lang w:val="es-MX"/>
        </w:rPr>
        <w:t xml:space="preserve">; 77/2020, promovida por el Municipio de Guadalupe y Calvo; 59/2020, promovida por el Municipio de Chínipas; 68/2020, promovida por el Municipio de </w:t>
      </w:r>
      <w:proofErr w:type="spellStart"/>
      <w:r w:rsidRPr="00906366">
        <w:rPr>
          <w:rFonts w:ascii="Abadi" w:hAnsi="Abadi"/>
          <w:i/>
          <w:sz w:val="21"/>
          <w:szCs w:val="21"/>
          <w:lang w:val="es-MX"/>
        </w:rPr>
        <w:t>Maguarichi</w:t>
      </w:r>
      <w:proofErr w:type="spellEnd"/>
      <w:r w:rsidRPr="00906366">
        <w:rPr>
          <w:rFonts w:ascii="Abadi" w:hAnsi="Abadi"/>
          <w:i/>
          <w:sz w:val="21"/>
          <w:szCs w:val="21"/>
          <w:lang w:val="es-MX"/>
        </w:rPr>
        <w:t>; y 150/2020, promovida por el Municipio de Ocampo, todos del Estado de Chihuahua, en contra del Congreso de la Unión y otra autoridad.</w:t>
      </w:r>
    </w:p>
    <w:p w14:paraId="495F69DC" w14:textId="77777777" w:rsidR="00067240" w:rsidRPr="00906366" w:rsidRDefault="00067240" w:rsidP="00067240">
      <w:pPr>
        <w:widowControl w:val="0"/>
        <w:ind w:left="851" w:right="851"/>
        <w:jc w:val="both"/>
        <w:rPr>
          <w:rFonts w:ascii="Abadi" w:hAnsi="Abadi"/>
          <w:i/>
          <w:sz w:val="21"/>
          <w:szCs w:val="21"/>
          <w:lang w:val="es-MX"/>
        </w:rPr>
      </w:pPr>
    </w:p>
    <w:p w14:paraId="6C6CF376" w14:textId="77777777" w:rsidR="00067240" w:rsidRPr="00906366" w:rsidRDefault="00067240" w:rsidP="00A41D52">
      <w:pPr>
        <w:widowControl w:val="0"/>
        <w:ind w:left="426" w:right="851"/>
        <w:jc w:val="both"/>
        <w:rPr>
          <w:rFonts w:ascii="Abadi" w:hAnsi="Abadi"/>
          <w:i/>
          <w:sz w:val="21"/>
          <w:szCs w:val="21"/>
          <w:lang w:val="es-MX"/>
        </w:rPr>
      </w:pPr>
      <w:r w:rsidRPr="00906366">
        <w:rPr>
          <w:rFonts w:ascii="Abadi" w:hAnsi="Abadi"/>
          <w:i/>
          <w:sz w:val="21"/>
          <w:szCs w:val="21"/>
          <w:lang w:val="es-MX"/>
        </w:rPr>
        <w:t>Así, como parte de los efectos de la resolución emitida, la Suprema Corte fijó, entre otros, los siguientes:</w:t>
      </w:r>
    </w:p>
    <w:p w14:paraId="2AC4EE34" w14:textId="77777777" w:rsidR="00067240" w:rsidRPr="00906366" w:rsidRDefault="00067240" w:rsidP="00067240">
      <w:pPr>
        <w:widowControl w:val="0"/>
        <w:ind w:left="851" w:right="851"/>
        <w:jc w:val="both"/>
        <w:rPr>
          <w:rFonts w:ascii="Abadi" w:hAnsi="Abadi"/>
          <w:i/>
          <w:sz w:val="21"/>
          <w:szCs w:val="21"/>
          <w:lang w:val="es-MX"/>
        </w:rPr>
      </w:pPr>
    </w:p>
    <w:p w14:paraId="5FF30FF0"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94 Finalmente…</w:t>
      </w:r>
    </w:p>
    <w:p w14:paraId="0AB75C3B"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 xml:space="preserve">95. En la sección A del apartado anterior se concluyó que el </w:t>
      </w:r>
      <w:r w:rsidRPr="00906366">
        <w:rPr>
          <w:rFonts w:ascii="Abadi" w:hAnsi="Abadi"/>
          <w:i/>
          <w:sz w:val="21"/>
          <w:szCs w:val="21"/>
          <w:lang w:val="es-MX"/>
        </w:rPr>
        <w:lastRenderedPageBreak/>
        <w:t>Congreso de la Unión, a través de la Cámara de Diputados y del Senado de la República, incurrió en una omisión legislativa absoluta en competencia de ejercicio obligatorio al no haber expedido la Ley General de Aguas a que se refiere el artículo tercero transitorio del Decreto de reforma constitucional de ocho de febrero de dos mil doce, en relación con el artículo 4°, párrafo sexto, de la Constitución Federal</w:t>
      </w:r>
    </w:p>
    <w:p w14:paraId="375A0872"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96 Toda vez …</w:t>
      </w:r>
    </w:p>
    <w:p w14:paraId="1402BC0F"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97 En consecuencia, se debe declarar la inconstitucionalidad de la omisión del Congreso de la Unión de expedir la Ley General de Aguas a que se refiere el artículo tercero transitorio del Decreto de reforma constitucional de ocho de febrero de dos mil doce, en relación con el artículo 4°, párrafo sexto de la Constitución Federal. Asimismo, se debe ordenar a esa autoridad legislativa federal, a través de sus dos cámaras, que emita una Ley General de Aguas.</w:t>
      </w:r>
    </w:p>
    <w:p w14:paraId="47F5393B" w14:textId="77777777" w:rsidR="00067240" w:rsidRPr="00906366" w:rsidRDefault="00067240" w:rsidP="00A41D52">
      <w:pPr>
        <w:widowControl w:val="0"/>
        <w:ind w:left="426" w:right="850"/>
        <w:jc w:val="both"/>
        <w:rPr>
          <w:rFonts w:ascii="Abadi" w:hAnsi="Abadi"/>
          <w:i/>
          <w:sz w:val="21"/>
          <w:szCs w:val="21"/>
          <w:lang w:val="es-MX"/>
        </w:rPr>
      </w:pPr>
      <w:r w:rsidRPr="00906366">
        <w:rPr>
          <w:rFonts w:ascii="Abadi" w:hAnsi="Abadi"/>
          <w:i/>
          <w:sz w:val="21"/>
          <w:szCs w:val="21"/>
          <w:lang w:val="es-MX"/>
        </w:rPr>
        <w:t>98 Finalmente, el Congreso de la Unión deberá dar cumplimiento a esta ejecutoria durante su próximo periodo ordinario de sesiones. Un plazo similar para subsanar una omisión legislativa absoluta se otorgó por el Tribunal Pleno al resolver las controversias constitucionales 38/2014(126), 82/2016(127) y 109/2019(128).</w:t>
      </w:r>
    </w:p>
    <w:p w14:paraId="25A1659A" w14:textId="77777777" w:rsidR="00067240" w:rsidRPr="00906366" w:rsidRDefault="00067240" w:rsidP="00067240">
      <w:pPr>
        <w:widowControl w:val="0"/>
        <w:ind w:left="851" w:right="851"/>
        <w:jc w:val="both"/>
        <w:rPr>
          <w:rFonts w:ascii="Abadi" w:hAnsi="Abadi"/>
          <w:i/>
          <w:sz w:val="21"/>
          <w:szCs w:val="21"/>
          <w:lang w:val="es-MX"/>
        </w:rPr>
      </w:pPr>
    </w:p>
    <w:p w14:paraId="3BC37E44" w14:textId="77777777" w:rsidR="00067240" w:rsidRPr="00906366" w:rsidRDefault="00067240" w:rsidP="001E70BE">
      <w:pPr>
        <w:widowControl w:val="0"/>
        <w:jc w:val="both"/>
        <w:rPr>
          <w:rFonts w:ascii="Abadi" w:hAnsi="Abadi"/>
          <w:i/>
          <w:sz w:val="21"/>
          <w:szCs w:val="21"/>
          <w:lang w:val="es-MX"/>
        </w:rPr>
      </w:pPr>
      <w:r w:rsidRPr="00906366">
        <w:rPr>
          <w:rFonts w:ascii="Abadi" w:hAnsi="Abadi"/>
          <w:i/>
          <w:sz w:val="21"/>
          <w:szCs w:val="21"/>
          <w:lang w:val="es-MX"/>
        </w:rPr>
        <w:t xml:space="preserve">Al respecto, el plazo que otorgó la Suprema Corte, al Congreso de la Unión, para la emisión de la Ley General de Aguas, fue expuesto como a continuación se cita: </w:t>
      </w:r>
      <w:r w:rsidRPr="00906366">
        <w:rPr>
          <w:rFonts w:ascii="Abadi" w:hAnsi="Abadi"/>
          <w:b/>
          <w:bCs/>
          <w:i/>
          <w:sz w:val="21"/>
          <w:szCs w:val="21"/>
          <w:u w:val="single"/>
          <w:lang w:val="es-MX"/>
        </w:rPr>
        <w:t>“El próximo periodo ordinario de sesiones”</w:t>
      </w:r>
      <w:r w:rsidRPr="00906366">
        <w:rPr>
          <w:rFonts w:ascii="Abadi" w:hAnsi="Abadi"/>
          <w:i/>
          <w:sz w:val="21"/>
          <w:szCs w:val="21"/>
          <w:lang w:val="es-MX"/>
        </w:rPr>
        <w:t xml:space="preserve">, plazo que concluyó en abril del año 2022, sin que, de </w:t>
      </w:r>
      <w:r w:rsidRPr="00906366">
        <w:rPr>
          <w:rFonts w:ascii="Abadi" w:hAnsi="Abadi"/>
          <w:i/>
          <w:sz w:val="21"/>
          <w:szCs w:val="21"/>
          <w:lang w:val="es-MX"/>
        </w:rPr>
        <w:t>nueva cuenta, se emitiera el decreto respectivo que diera origen a la legislación pendiente.</w:t>
      </w:r>
    </w:p>
    <w:p w14:paraId="55CFCED1" w14:textId="77777777" w:rsidR="00067240" w:rsidRPr="00906366" w:rsidRDefault="00067240" w:rsidP="00067240">
      <w:pPr>
        <w:widowControl w:val="0"/>
        <w:ind w:left="851" w:right="851"/>
        <w:jc w:val="both"/>
        <w:rPr>
          <w:rFonts w:ascii="Abadi" w:hAnsi="Abadi"/>
          <w:i/>
          <w:sz w:val="21"/>
          <w:szCs w:val="21"/>
          <w:lang w:val="es-MX"/>
        </w:rPr>
      </w:pPr>
    </w:p>
    <w:p w14:paraId="203E1925" w14:textId="77777777" w:rsidR="00067240" w:rsidRPr="00906366" w:rsidRDefault="00067240" w:rsidP="001E70BE">
      <w:pPr>
        <w:widowControl w:val="0"/>
        <w:jc w:val="both"/>
        <w:rPr>
          <w:rFonts w:ascii="Abadi" w:hAnsi="Abadi"/>
          <w:i/>
          <w:sz w:val="21"/>
          <w:szCs w:val="21"/>
          <w:lang w:val="es-MX"/>
        </w:rPr>
      </w:pPr>
      <w:r w:rsidRPr="00906366">
        <w:rPr>
          <w:rFonts w:ascii="Abadi" w:hAnsi="Abadi"/>
          <w:i/>
          <w:sz w:val="21"/>
          <w:szCs w:val="21"/>
          <w:lang w:val="es-MX"/>
        </w:rPr>
        <w:t>Si bien, somos conscientes de que han existido esfuerzos legislativos, para impulsar la consolidación de las diversas iniciativas que se presentaron hasta el momento, algunas desde el ámbito ciudadano, como la realización de diversos foros regionales y ponencias, principalmente en el año 2013</w:t>
      </w:r>
      <w:r w:rsidRPr="00906366">
        <w:rPr>
          <w:rStyle w:val="Refdenotaalpie"/>
          <w:rFonts w:ascii="Abadi" w:hAnsi="Abadi"/>
          <w:i/>
          <w:sz w:val="21"/>
          <w:szCs w:val="21"/>
          <w:lang w:val="es-MX"/>
        </w:rPr>
        <w:footnoteReference w:id="107"/>
      </w:r>
      <w:r w:rsidRPr="00906366">
        <w:rPr>
          <w:rFonts w:ascii="Abadi" w:hAnsi="Abadi"/>
          <w:i/>
          <w:sz w:val="21"/>
          <w:szCs w:val="21"/>
          <w:lang w:val="es-MX"/>
        </w:rPr>
        <w:t>, a la fecha y pese a la existencia de la Vigente Ley de Aguas Nacionales, las entidades, los municipios y la misma federación, aún carecen de un marco regulatorio, que otorgue mayor certidumbre jurídica y margen de acción a las autoridades, considerando la distribución de competencias y atribuciones en la materia, que permitan garantizar de forma efectiva el acceso, administración y disposición del agua, para con ello dar cumplimiento a sus obligaciones constitucionales.</w:t>
      </w:r>
    </w:p>
    <w:p w14:paraId="09576587" w14:textId="77777777" w:rsidR="00067240" w:rsidRPr="00906366" w:rsidRDefault="00067240" w:rsidP="00067240">
      <w:pPr>
        <w:widowControl w:val="0"/>
        <w:ind w:left="851" w:right="851"/>
        <w:jc w:val="both"/>
        <w:rPr>
          <w:rFonts w:ascii="Abadi" w:hAnsi="Abadi"/>
          <w:i/>
          <w:sz w:val="21"/>
          <w:szCs w:val="21"/>
          <w:lang w:val="es-MX"/>
        </w:rPr>
      </w:pPr>
    </w:p>
    <w:p w14:paraId="78DEB1A6" w14:textId="77777777" w:rsidR="00067240" w:rsidRPr="00906366" w:rsidRDefault="00067240" w:rsidP="001E70BE">
      <w:pPr>
        <w:widowControl w:val="0"/>
        <w:jc w:val="both"/>
        <w:rPr>
          <w:rFonts w:ascii="Abadi" w:hAnsi="Abadi"/>
          <w:i/>
          <w:sz w:val="21"/>
          <w:szCs w:val="21"/>
          <w:lang w:val="es-MX"/>
        </w:rPr>
      </w:pPr>
      <w:r w:rsidRPr="00906366">
        <w:rPr>
          <w:rFonts w:ascii="Abadi" w:hAnsi="Abadi"/>
          <w:i/>
          <w:sz w:val="21"/>
          <w:szCs w:val="21"/>
          <w:lang w:val="es-MX"/>
        </w:rPr>
        <w:t xml:space="preserve">En ese tenor y reivindicando la importancia de ejercicios de rendición de cuentas como son las glosas de los informes de gobierno, y la trascendencia de que, como representantes de la población asistamos y tomemos con seriedad dichas actividades, en lo que toca al último informe de gobierno en nuestra entidad, se exhibió, dentro de las mesas de trabajo, por el titular de la Comisión Estatal del Agua, la necesidad de contar con una Ley de Aguas en el Estado, que otorgase mayores herramientas a dicha institución, para poder, cumplir con su objeto y más importante, mejorar la política estatal en materia de aguas, sin embargo, al seguir pendiente la Ley General, tanto las entidades como los municipios, nos encontramos ante la incertidumbre de iniciar procesos legislativos a riesgo de ser declarados inconstitucionales, y sin el conocimiento previo de cuáles y que alcances tendrá cada orden de gobierno respecto a la atención, administración y cuidado de un recurso tan fundamental como es el agua. Por ello como grupo parlamentario advertimos la necesidad de allegarnos de mayores herramientas para procurar la sustentabilidad y cuidado de nuestros recursos hídricos, pues, ciertos en que la propiedad de las aguas pertenece a la nación </w:t>
      </w:r>
      <w:r w:rsidRPr="00906366">
        <w:rPr>
          <w:rFonts w:ascii="Abadi" w:hAnsi="Abadi"/>
          <w:i/>
          <w:sz w:val="21"/>
          <w:szCs w:val="21"/>
          <w:lang w:val="es-MX"/>
        </w:rPr>
        <w:lastRenderedPageBreak/>
        <w:t>conforme al artículo 27 de nuestra Carta Magna, la situación de las cosas es que, la realidad ha superado nuestros ordenamientos vigentes, haciendo peligrar el desarrollo no solo de nuestro estado, también del país, pues:</w:t>
      </w:r>
    </w:p>
    <w:p w14:paraId="125223B2" w14:textId="77777777" w:rsidR="00067240" w:rsidRPr="00906366" w:rsidRDefault="00067240" w:rsidP="00067240">
      <w:pPr>
        <w:widowControl w:val="0"/>
        <w:ind w:left="1134" w:right="851"/>
        <w:jc w:val="both"/>
        <w:rPr>
          <w:rFonts w:ascii="Abadi" w:hAnsi="Abadi"/>
          <w:i/>
          <w:color w:val="000000" w:themeColor="text1"/>
          <w:sz w:val="21"/>
          <w:szCs w:val="21"/>
          <w:lang w:val="es-MX"/>
        </w:rPr>
      </w:pPr>
      <w:r w:rsidRPr="00906366">
        <w:rPr>
          <w:rFonts w:ascii="Abadi" w:hAnsi="Abadi"/>
          <w:i/>
          <w:color w:val="000000" w:themeColor="text1"/>
          <w:sz w:val="21"/>
          <w:szCs w:val="21"/>
          <w:lang w:val="es-MX"/>
        </w:rPr>
        <w:t>• Se limita el crecimiento y desarrollo económico ante la escasez del agua y la sobreexplotación;</w:t>
      </w:r>
    </w:p>
    <w:p w14:paraId="743016D6" w14:textId="77777777" w:rsidR="00067240" w:rsidRPr="00906366" w:rsidRDefault="00067240" w:rsidP="00067240">
      <w:pPr>
        <w:widowControl w:val="0"/>
        <w:ind w:left="1134" w:right="851"/>
        <w:jc w:val="both"/>
        <w:rPr>
          <w:rFonts w:ascii="Abadi" w:hAnsi="Abadi"/>
          <w:i/>
          <w:color w:val="000000" w:themeColor="text1"/>
          <w:sz w:val="21"/>
          <w:szCs w:val="21"/>
          <w:lang w:val="es-MX"/>
        </w:rPr>
      </w:pPr>
      <w:r w:rsidRPr="00906366">
        <w:rPr>
          <w:rFonts w:ascii="Abadi" w:hAnsi="Abadi"/>
          <w:i/>
          <w:color w:val="000000" w:themeColor="text1"/>
          <w:sz w:val="21"/>
          <w:szCs w:val="21"/>
          <w:lang w:val="es-MX"/>
        </w:rPr>
        <w:t>• Se incrementan los costos para la obtención, distribución y saneamiento del vital líquido; y</w:t>
      </w:r>
    </w:p>
    <w:p w14:paraId="73E91244" w14:textId="77777777" w:rsidR="00067240" w:rsidRPr="00906366" w:rsidRDefault="00067240" w:rsidP="00067240">
      <w:pPr>
        <w:widowControl w:val="0"/>
        <w:ind w:left="1134" w:right="851"/>
        <w:jc w:val="both"/>
        <w:rPr>
          <w:rFonts w:ascii="Abadi" w:hAnsi="Abadi"/>
          <w:i/>
          <w:color w:val="000000" w:themeColor="text1"/>
          <w:sz w:val="21"/>
          <w:szCs w:val="21"/>
          <w:lang w:val="es-MX"/>
        </w:rPr>
      </w:pPr>
    </w:p>
    <w:p w14:paraId="4F6EA4BA" w14:textId="77777777" w:rsidR="00067240" w:rsidRPr="00906366" w:rsidRDefault="00067240" w:rsidP="00067240">
      <w:pPr>
        <w:widowControl w:val="0"/>
        <w:ind w:left="1134" w:right="851"/>
        <w:jc w:val="both"/>
        <w:rPr>
          <w:rFonts w:ascii="Abadi" w:hAnsi="Abadi"/>
          <w:i/>
          <w:color w:val="000000" w:themeColor="text1"/>
          <w:sz w:val="21"/>
          <w:szCs w:val="21"/>
          <w:lang w:val="es-MX"/>
        </w:rPr>
      </w:pPr>
      <w:r w:rsidRPr="00906366">
        <w:rPr>
          <w:rFonts w:ascii="Abadi" w:hAnsi="Abadi"/>
          <w:i/>
          <w:color w:val="000000" w:themeColor="text1"/>
          <w:sz w:val="21"/>
          <w:szCs w:val="21"/>
          <w:lang w:val="es-MX"/>
        </w:rPr>
        <w:t>• Se pone en riesgo la salubridad general, pues el agua es vital no solo para el sostenimiento de la vida por su consumo, también como un elemento sanitario y de higiene.</w:t>
      </w:r>
    </w:p>
    <w:p w14:paraId="62B24E4F" w14:textId="77777777" w:rsidR="00067240" w:rsidRPr="00906366" w:rsidRDefault="00067240" w:rsidP="00067240">
      <w:pPr>
        <w:widowControl w:val="0"/>
        <w:ind w:left="851" w:right="851"/>
        <w:jc w:val="both"/>
        <w:rPr>
          <w:rFonts w:ascii="Abadi" w:hAnsi="Abadi"/>
          <w:i/>
          <w:color w:val="000000" w:themeColor="text1"/>
          <w:sz w:val="21"/>
          <w:szCs w:val="21"/>
          <w:lang w:val="es-MX"/>
        </w:rPr>
      </w:pPr>
    </w:p>
    <w:p w14:paraId="6D730543" w14:textId="77777777" w:rsidR="00067240" w:rsidRPr="00906366" w:rsidRDefault="00067240" w:rsidP="001E70BE">
      <w:pPr>
        <w:widowControl w:val="0"/>
        <w:jc w:val="both"/>
        <w:rPr>
          <w:rFonts w:ascii="Abadi" w:hAnsi="Abadi"/>
          <w:i/>
          <w:sz w:val="21"/>
          <w:szCs w:val="21"/>
          <w:lang w:val="es-MX"/>
        </w:rPr>
      </w:pPr>
      <w:r w:rsidRPr="00906366">
        <w:rPr>
          <w:rFonts w:ascii="Abadi" w:hAnsi="Abadi"/>
          <w:i/>
          <w:color w:val="000000" w:themeColor="text1"/>
          <w:sz w:val="21"/>
          <w:szCs w:val="21"/>
          <w:lang w:val="es-MX"/>
        </w:rPr>
        <w:t xml:space="preserve">Las afirmaciones </w:t>
      </w:r>
      <w:r w:rsidRPr="00906366">
        <w:rPr>
          <w:rFonts w:ascii="Abadi" w:hAnsi="Abadi"/>
          <w:i/>
          <w:sz w:val="21"/>
          <w:szCs w:val="21"/>
          <w:lang w:val="es-MX"/>
        </w:rPr>
        <w:t>anteriores se robustecen, pues, por una parte para el 31 de agosto del año 2022, el Banco de México incluyó dentro de su informe trimestral, el cuadro anexo denominado “Sequía en México y su Potencial Impacto en la Actividad Económica”</w:t>
      </w:r>
      <w:r w:rsidRPr="00906366">
        <w:rPr>
          <w:rStyle w:val="Refdenotaalpie"/>
          <w:rFonts w:ascii="Abadi" w:hAnsi="Abadi"/>
          <w:i/>
          <w:sz w:val="21"/>
          <w:szCs w:val="21"/>
          <w:lang w:val="es-MX"/>
        </w:rPr>
        <w:footnoteReference w:id="108"/>
      </w:r>
      <w:r w:rsidRPr="00906366">
        <w:rPr>
          <w:rFonts w:ascii="Abadi" w:hAnsi="Abadi"/>
          <w:i/>
          <w:sz w:val="21"/>
          <w:szCs w:val="21"/>
          <w:lang w:val="es-MX"/>
        </w:rPr>
        <w:t xml:space="preserve">, en donde se identifican algunas de las afectaciones que las condiciones de sequía generan principalmente en los sectores agropecuario, agrícola y manufacturero, así como la pertinencia de considerar el impacto </w:t>
      </w:r>
      <w:r w:rsidRPr="00906366">
        <w:rPr>
          <w:rFonts w:ascii="Abadi" w:hAnsi="Abadi"/>
          <w:i/>
          <w:sz w:val="21"/>
          <w:szCs w:val="21"/>
          <w:lang w:val="es-MX"/>
        </w:rPr>
        <w:t>que las sequias tienen respecto al encarecimiento de ciertos bienes y servicios, como por ejemplo productos agropecuarios, agua embotellada, entre otros.</w:t>
      </w:r>
    </w:p>
    <w:p w14:paraId="709DD000" w14:textId="77777777" w:rsidR="00067240" w:rsidRPr="00906366" w:rsidRDefault="00067240" w:rsidP="001E70BE">
      <w:pPr>
        <w:widowControl w:val="0"/>
        <w:jc w:val="both"/>
        <w:rPr>
          <w:rFonts w:ascii="Abadi" w:hAnsi="Abadi"/>
          <w:i/>
          <w:sz w:val="21"/>
          <w:szCs w:val="21"/>
          <w:lang w:val="es-MX"/>
        </w:rPr>
      </w:pPr>
    </w:p>
    <w:p w14:paraId="71418928" w14:textId="77777777" w:rsidR="00067240" w:rsidRPr="00906366" w:rsidRDefault="00067240" w:rsidP="001E70BE">
      <w:pPr>
        <w:widowControl w:val="0"/>
        <w:jc w:val="both"/>
        <w:rPr>
          <w:rFonts w:ascii="Abadi" w:hAnsi="Abadi"/>
          <w:i/>
          <w:sz w:val="21"/>
          <w:szCs w:val="21"/>
          <w:lang w:val="es-MX"/>
        </w:rPr>
      </w:pPr>
      <w:r w:rsidRPr="00906366">
        <w:rPr>
          <w:rFonts w:ascii="Abadi" w:hAnsi="Abadi"/>
          <w:i/>
          <w:sz w:val="21"/>
          <w:szCs w:val="21"/>
          <w:lang w:val="es-MX"/>
        </w:rPr>
        <w:t>Por otro lado, de acuerdo con el reporte realizado por el Servició Meteorológico Nacional, denominado “Monitor de Sequía de América del Norte”</w:t>
      </w:r>
      <w:r w:rsidRPr="00906366">
        <w:rPr>
          <w:rStyle w:val="Refdenotaalpie"/>
          <w:rFonts w:ascii="Abadi" w:hAnsi="Abadi"/>
          <w:i/>
          <w:sz w:val="21"/>
          <w:szCs w:val="21"/>
          <w:lang w:val="es-MX"/>
        </w:rPr>
        <w:footnoteReference w:id="109"/>
      </w:r>
      <w:r w:rsidRPr="00906366">
        <w:rPr>
          <w:rFonts w:ascii="Abadi" w:hAnsi="Abadi"/>
          <w:i/>
          <w:sz w:val="21"/>
          <w:szCs w:val="21"/>
          <w:lang w:val="es-MX"/>
        </w:rPr>
        <w:t xml:space="preserve"> se exhibe que, hasta el 28 de febrero del presente año, más del 50% del país se encontraba con algún grado de sequía, de moderada a extrema y en Guanajuato, las lluvias reportadas eran por debajo del promedio, así mismo y de acuerdo con el “Monitor de sequía de México”</w:t>
      </w:r>
      <w:r w:rsidRPr="00906366">
        <w:rPr>
          <w:rStyle w:val="Refdenotaalpie"/>
          <w:rFonts w:ascii="Abadi" w:hAnsi="Abadi"/>
          <w:i/>
          <w:sz w:val="21"/>
          <w:szCs w:val="21"/>
          <w:lang w:val="es-MX"/>
        </w:rPr>
        <w:footnoteReference w:id="110"/>
      </w:r>
      <w:r w:rsidRPr="00906366">
        <w:rPr>
          <w:rFonts w:ascii="Abadi" w:hAnsi="Abadi"/>
          <w:i/>
          <w:sz w:val="21"/>
          <w:szCs w:val="21"/>
          <w:lang w:val="es-MX"/>
        </w:rPr>
        <w:t xml:space="preserve"> prácticamente hasta el 31 de marzo, todos los municipios de nuestro estado se reportan con algún grado de sequía entre los indicadores D0 y D2, anormalmente seco y sequía severa, como se muestra en la siguiente tabla:</w:t>
      </w:r>
    </w:p>
    <w:p w14:paraId="7A37B8CA" w14:textId="77AF570D" w:rsidR="00067240" w:rsidRPr="00906366" w:rsidRDefault="00067240" w:rsidP="00067240">
      <w:pPr>
        <w:widowControl w:val="0"/>
        <w:ind w:left="851" w:right="851"/>
        <w:jc w:val="both"/>
        <w:rPr>
          <w:rFonts w:ascii="Abadi" w:hAnsi="Abadi"/>
          <w:i/>
          <w:sz w:val="21"/>
          <w:szCs w:val="21"/>
          <w:lang w:val="es-MX"/>
        </w:rPr>
      </w:pPr>
    </w:p>
    <w:p w14:paraId="46B927ED" w14:textId="1CAB9725" w:rsidR="00067240" w:rsidRPr="00906366" w:rsidRDefault="001E70BE" w:rsidP="00067240">
      <w:pPr>
        <w:widowControl w:val="0"/>
        <w:ind w:left="851" w:right="851"/>
        <w:jc w:val="both"/>
        <w:rPr>
          <w:rFonts w:ascii="Abadi" w:hAnsi="Abadi"/>
          <w:i/>
          <w:sz w:val="21"/>
          <w:szCs w:val="21"/>
          <w:lang w:val="es-MX"/>
        </w:rPr>
      </w:pPr>
      <w:r w:rsidRPr="00906366">
        <w:rPr>
          <w:rFonts w:ascii="Abadi" w:hAnsi="Abadi"/>
          <w:noProof/>
          <w:sz w:val="21"/>
          <w:szCs w:val="21"/>
        </w:rPr>
        <w:drawing>
          <wp:anchor distT="0" distB="0" distL="114300" distR="114300" simplePos="0" relativeHeight="251658243" behindDoc="1" locked="0" layoutInCell="1" allowOverlap="1" wp14:anchorId="197954B9" wp14:editId="301D99B1">
            <wp:simplePos x="0" y="0"/>
            <wp:positionH relativeFrom="margin">
              <wp:align>left</wp:align>
            </wp:positionH>
            <wp:positionV relativeFrom="paragraph">
              <wp:posOffset>192405</wp:posOffset>
            </wp:positionV>
            <wp:extent cx="2486534" cy="1619250"/>
            <wp:effectExtent l="0" t="0" r="9525" b="0"/>
            <wp:wrapTight wrapText="bothSides">
              <wp:wrapPolygon edited="0">
                <wp:start x="0" y="0"/>
                <wp:lineTo x="0" y="21346"/>
                <wp:lineTo x="21517" y="21346"/>
                <wp:lineTo x="21517" y="0"/>
                <wp:lineTo x="0" y="0"/>
              </wp:wrapPolygon>
            </wp:wrapTight>
            <wp:docPr id="823032380" name="Imagen 823032380"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032380" name="Imagen 1" descr="Imagen que contiene Texto&#10;&#10;Descripción generada automáticamente"/>
                    <pic:cNvPicPr/>
                  </pic:nvPicPr>
                  <pic:blipFill rotWithShape="1">
                    <a:blip r:embed="rId44" cstate="print">
                      <a:extLst>
                        <a:ext uri="{28A0092B-C50C-407E-A947-70E740481C1C}">
                          <a14:useLocalDpi xmlns:a14="http://schemas.microsoft.com/office/drawing/2010/main" val="0"/>
                        </a:ext>
                      </a:extLst>
                    </a:blip>
                    <a:srcRect l="19008" t="25347" r="22437" b="6860"/>
                    <a:stretch/>
                  </pic:blipFill>
                  <pic:spPr bwMode="auto">
                    <a:xfrm>
                      <a:off x="0" y="0"/>
                      <a:ext cx="2486534" cy="1619250"/>
                    </a:xfrm>
                    <a:prstGeom prst="rect">
                      <a:avLst/>
                    </a:prstGeom>
                    <a:ln>
                      <a:noFill/>
                    </a:ln>
                    <a:extLst>
                      <a:ext uri="{53640926-AAD7-44D8-BBD7-CCE9431645EC}">
                        <a14:shadowObscured xmlns:a14="http://schemas.microsoft.com/office/drawing/2010/main"/>
                      </a:ext>
                    </a:extLst>
                  </pic:spPr>
                </pic:pic>
              </a:graphicData>
            </a:graphic>
          </wp:anchor>
        </w:drawing>
      </w:r>
    </w:p>
    <w:p w14:paraId="483D8364" w14:textId="77777777" w:rsidR="00067240" w:rsidRPr="00906366" w:rsidRDefault="00067240" w:rsidP="00067240">
      <w:pPr>
        <w:widowControl w:val="0"/>
        <w:ind w:left="851" w:right="851"/>
        <w:jc w:val="both"/>
        <w:rPr>
          <w:rFonts w:ascii="Abadi" w:hAnsi="Abadi"/>
          <w:i/>
          <w:sz w:val="21"/>
          <w:szCs w:val="21"/>
          <w:lang w:val="es-MX"/>
        </w:rPr>
      </w:pPr>
    </w:p>
    <w:p w14:paraId="7AE67A6D" w14:textId="77777777" w:rsidR="00067240" w:rsidRPr="00906366" w:rsidRDefault="00067240" w:rsidP="00695393">
      <w:pPr>
        <w:widowControl w:val="0"/>
        <w:jc w:val="both"/>
        <w:rPr>
          <w:rFonts w:ascii="Abadi" w:hAnsi="Abadi"/>
          <w:i/>
          <w:sz w:val="21"/>
          <w:szCs w:val="21"/>
          <w:lang w:val="es-MX"/>
        </w:rPr>
      </w:pPr>
      <w:r w:rsidRPr="00906366">
        <w:rPr>
          <w:rFonts w:ascii="Abadi" w:hAnsi="Abadi"/>
          <w:i/>
          <w:sz w:val="21"/>
          <w:szCs w:val="21"/>
          <w:lang w:val="es-MX"/>
        </w:rPr>
        <w:t>A pesar de ello, y ante la progresiva problemática que vivimos respecto al agotamiento de nuestras fuentes de agua, así como la contaminación de las mismas, se realizan esfuerzos que han implicado que, en varios municipios de la entidad se hayan comenzado a tomar medidas para racionalizar el agua, como otorgar intermitentemente el suministro de esta, por ello, como representantes de la población de Guanajuato y una parte importante de la Nación, es menester urgir, al Congreso de la Unión, que a la vista de la imperante situación que estamos viviendo, dé cumplimiento a su obligación constitucional, sobre cuestiones impostergables como lo es la regulación de los recursos hídricos de nuestro país.</w:t>
      </w:r>
    </w:p>
    <w:p w14:paraId="76F3A566" w14:textId="77777777" w:rsidR="00067240" w:rsidRPr="00906366" w:rsidRDefault="00067240" w:rsidP="00067240">
      <w:pPr>
        <w:widowControl w:val="0"/>
        <w:ind w:left="851" w:right="851"/>
        <w:jc w:val="both"/>
        <w:rPr>
          <w:rFonts w:ascii="Abadi" w:hAnsi="Abadi"/>
          <w:i/>
          <w:sz w:val="21"/>
          <w:szCs w:val="21"/>
          <w:lang w:val="es-MX"/>
        </w:rPr>
      </w:pPr>
    </w:p>
    <w:p w14:paraId="7C1D395B" w14:textId="77777777" w:rsidR="00067240" w:rsidRPr="00906366" w:rsidRDefault="00067240" w:rsidP="00695393">
      <w:pPr>
        <w:widowControl w:val="0"/>
        <w:jc w:val="both"/>
        <w:rPr>
          <w:rFonts w:ascii="Abadi" w:hAnsi="Abadi"/>
          <w:i/>
          <w:sz w:val="21"/>
          <w:szCs w:val="21"/>
          <w:lang w:val="es-MX"/>
        </w:rPr>
      </w:pPr>
      <w:r w:rsidRPr="00906366">
        <w:rPr>
          <w:rFonts w:ascii="Abadi" w:hAnsi="Abadi"/>
          <w:i/>
          <w:sz w:val="21"/>
          <w:szCs w:val="21"/>
          <w:lang w:val="es-MX"/>
        </w:rPr>
        <w:t>Por tanto, la pertinencia de esta propuesta que se pone a su consideración obedece a diversas aristas, de máxima importancia:</w:t>
      </w:r>
    </w:p>
    <w:p w14:paraId="082E4947" w14:textId="77777777" w:rsidR="00067240" w:rsidRPr="00906366" w:rsidRDefault="00067240" w:rsidP="00695393">
      <w:pPr>
        <w:widowControl w:val="0"/>
        <w:ind w:left="851" w:right="567"/>
        <w:jc w:val="both"/>
        <w:rPr>
          <w:rFonts w:ascii="Abadi" w:hAnsi="Abadi"/>
          <w:i/>
          <w:sz w:val="21"/>
          <w:szCs w:val="21"/>
          <w:lang w:val="es-MX"/>
        </w:rPr>
      </w:pPr>
      <w:r w:rsidRPr="00906366">
        <w:rPr>
          <w:rFonts w:ascii="Abadi" w:hAnsi="Abadi"/>
          <w:i/>
          <w:sz w:val="21"/>
          <w:szCs w:val="21"/>
          <w:lang w:val="es-MX"/>
        </w:rPr>
        <w:t xml:space="preserve">• La primera, de carácter temporal, pues más de una década debería ser suficiente para poder tener una legislación que esté a la altura </w:t>
      </w:r>
      <w:r w:rsidRPr="00906366">
        <w:rPr>
          <w:rFonts w:ascii="Abadi" w:hAnsi="Abadi"/>
          <w:i/>
          <w:sz w:val="21"/>
          <w:szCs w:val="21"/>
          <w:lang w:val="es-MX"/>
        </w:rPr>
        <w:lastRenderedPageBreak/>
        <w:t>de lo que las y los mexicanos merecen;</w:t>
      </w:r>
    </w:p>
    <w:p w14:paraId="72BDEDF3" w14:textId="77777777" w:rsidR="00067240" w:rsidRPr="00906366" w:rsidRDefault="00067240" w:rsidP="00695393">
      <w:pPr>
        <w:widowControl w:val="0"/>
        <w:ind w:left="851" w:right="567"/>
        <w:jc w:val="both"/>
        <w:rPr>
          <w:rFonts w:ascii="Abadi" w:hAnsi="Abadi"/>
          <w:i/>
          <w:sz w:val="21"/>
          <w:szCs w:val="21"/>
          <w:lang w:val="es-MX"/>
        </w:rPr>
      </w:pPr>
      <w:r w:rsidRPr="00906366">
        <w:rPr>
          <w:rFonts w:ascii="Abadi" w:hAnsi="Abadi"/>
          <w:i/>
          <w:sz w:val="21"/>
          <w:szCs w:val="21"/>
          <w:lang w:val="es-MX"/>
        </w:rPr>
        <w:t>• La segunda, surgida de una realidad en donde cada vez el agua resulta ser un recurso más escaso;</w:t>
      </w:r>
    </w:p>
    <w:p w14:paraId="7B5E7637" w14:textId="77777777" w:rsidR="00067240" w:rsidRPr="00906366" w:rsidRDefault="00067240" w:rsidP="00695393">
      <w:pPr>
        <w:widowControl w:val="0"/>
        <w:ind w:left="851" w:right="567"/>
        <w:jc w:val="both"/>
        <w:rPr>
          <w:rFonts w:ascii="Abadi" w:hAnsi="Abadi"/>
          <w:i/>
          <w:sz w:val="21"/>
          <w:szCs w:val="21"/>
          <w:lang w:val="es-MX"/>
        </w:rPr>
      </w:pPr>
      <w:r w:rsidRPr="00906366">
        <w:rPr>
          <w:rFonts w:ascii="Abadi" w:hAnsi="Abadi"/>
          <w:i/>
          <w:sz w:val="21"/>
          <w:szCs w:val="21"/>
          <w:lang w:val="es-MX"/>
        </w:rPr>
        <w:t>• La tercera, derivada de la violación al orden constitucional y que ha motivado la declaración de una omisión legislativa absoluta;</w:t>
      </w:r>
    </w:p>
    <w:p w14:paraId="71EA0E65" w14:textId="77777777" w:rsidR="00067240" w:rsidRPr="00906366" w:rsidRDefault="00067240" w:rsidP="00695393">
      <w:pPr>
        <w:widowControl w:val="0"/>
        <w:ind w:left="851" w:right="567"/>
        <w:jc w:val="both"/>
        <w:rPr>
          <w:rFonts w:ascii="Abadi" w:hAnsi="Abadi"/>
          <w:i/>
          <w:sz w:val="21"/>
          <w:szCs w:val="21"/>
          <w:lang w:val="es-MX"/>
        </w:rPr>
      </w:pPr>
      <w:r w:rsidRPr="00906366">
        <w:rPr>
          <w:rFonts w:ascii="Abadi" w:hAnsi="Abadi"/>
          <w:i/>
          <w:sz w:val="21"/>
          <w:szCs w:val="21"/>
          <w:lang w:val="es-MX"/>
        </w:rPr>
        <w:t>• La cuarta, una deuda de carácter humanitario hacia con el bienestar del pueblo de México; y</w:t>
      </w:r>
    </w:p>
    <w:p w14:paraId="3B37209E" w14:textId="77777777" w:rsidR="00067240" w:rsidRPr="00906366" w:rsidRDefault="00067240" w:rsidP="00695393">
      <w:pPr>
        <w:widowControl w:val="0"/>
        <w:ind w:left="851" w:right="567"/>
        <w:jc w:val="both"/>
        <w:rPr>
          <w:rFonts w:ascii="Abadi" w:hAnsi="Abadi"/>
          <w:i/>
          <w:sz w:val="21"/>
          <w:szCs w:val="21"/>
          <w:lang w:val="es-MX"/>
        </w:rPr>
      </w:pPr>
      <w:r w:rsidRPr="00906366">
        <w:rPr>
          <w:rFonts w:ascii="Abadi" w:hAnsi="Abadi"/>
          <w:i/>
          <w:sz w:val="21"/>
          <w:szCs w:val="21"/>
          <w:lang w:val="es-MX"/>
        </w:rPr>
        <w:t>• La quinta, por la falta de un marco jurídico que permita a todos los órdenes de gobierno, realizar las acciones necesarias y legales, para cumplir con una obligación de Estado.</w:t>
      </w:r>
    </w:p>
    <w:p w14:paraId="4CEB24D7" w14:textId="77777777" w:rsidR="00067240" w:rsidRPr="00906366" w:rsidRDefault="00067240" w:rsidP="00695393">
      <w:pPr>
        <w:widowControl w:val="0"/>
        <w:ind w:left="851" w:right="567"/>
        <w:jc w:val="both"/>
        <w:rPr>
          <w:rFonts w:ascii="Abadi" w:hAnsi="Abadi"/>
          <w:i/>
          <w:sz w:val="21"/>
          <w:szCs w:val="21"/>
          <w:lang w:val="es-MX"/>
        </w:rPr>
      </w:pPr>
    </w:p>
    <w:p w14:paraId="73F124F8" w14:textId="77777777" w:rsidR="00067240" w:rsidRPr="00906366" w:rsidRDefault="00067240" w:rsidP="00067240">
      <w:pPr>
        <w:widowControl w:val="0"/>
        <w:ind w:left="851" w:right="851"/>
        <w:jc w:val="both"/>
        <w:rPr>
          <w:rFonts w:ascii="Abadi" w:hAnsi="Abadi"/>
          <w:sz w:val="21"/>
          <w:szCs w:val="21"/>
          <w:lang w:val="es-MX"/>
        </w:rPr>
      </w:pPr>
      <w:r w:rsidRPr="00906366">
        <w:rPr>
          <w:rFonts w:ascii="Abadi" w:hAnsi="Abadi"/>
          <w:i/>
          <w:sz w:val="21"/>
          <w:szCs w:val="21"/>
          <w:lang w:val="es-MX"/>
        </w:rPr>
        <w:t>…</w:t>
      </w:r>
      <w:bookmarkEnd w:id="1"/>
    </w:p>
    <w:p w14:paraId="05242845" w14:textId="77777777" w:rsidR="00067240" w:rsidRPr="00906366" w:rsidRDefault="00067240" w:rsidP="00067240">
      <w:pPr>
        <w:widowControl w:val="0"/>
        <w:jc w:val="both"/>
        <w:rPr>
          <w:rFonts w:ascii="Abadi" w:hAnsi="Abadi"/>
          <w:sz w:val="21"/>
          <w:szCs w:val="21"/>
          <w:lang w:val="es-MX"/>
        </w:rPr>
      </w:pPr>
    </w:p>
    <w:p w14:paraId="5729A160" w14:textId="77777777" w:rsidR="00067240" w:rsidRPr="00906366" w:rsidRDefault="00067240" w:rsidP="00067240">
      <w:pPr>
        <w:widowControl w:val="0"/>
        <w:jc w:val="both"/>
        <w:rPr>
          <w:rFonts w:ascii="Abadi" w:hAnsi="Abadi"/>
          <w:sz w:val="21"/>
          <w:szCs w:val="21"/>
          <w:lang w:val="es-MX"/>
        </w:rPr>
      </w:pPr>
    </w:p>
    <w:p w14:paraId="7320D68F" w14:textId="77777777" w:rsidR="00067240" w:rsidRPr="00906366" w:rsidRDefault="00067240" w:rsidP="00067240">
      <w:pPr>
        <w:pStyle w:val="Textoindependiente"/>
        <w:widowControl w:val="0"/>
        <w:ind w:firstLine="851"/>
        <w:rPr>
          <w:rFonts w:ascii="Abadi" w:hAnsi="Abadi"/>
          <w:b w:val="0"/>
          <w:sz w:val="21"/>
          <w:szCs w:val="21"/>
        </w:rPr>
      </w:pPr>
      <w:r w:rsidRPr="00906366">
        <w:rPr>
          <w:rFonts w:ascii="Abadi" w:hAnsi="Abadi"/>
          <w:sz w:val="21"/>
          <w:szCs w:val="21"/>
        </w:rPr>
        <w:t>CONSIDERACIONES DE LA COMISIÓN.</w:t>
      </w:r>
    </w:p>
    <w:p w14:paraId="4DD4215D" w14:textId="77777777" w:rsidR="00067240" w:rsidRPr="00906366" w:rsidRDefault="00067240" w:rsidP="00067240">
      <w:pPr>
        <w:widowControl w:val="0"/>
        <w:jc w:val="both"/>
        <w:rPr>
          <w:rFonts w:ascii="Abadi" w:hAnsi="Abadi" w:cs="Arial"/>
          <w:sz w:val="21"/>
          <w:szCs w:val="21"/>
          <w:lang w:val="es-ES_tradnl"/>
        </w:rPr>
      </w:pPr>
    </w:p>
    <w:p w14:paraId="5E10B889" w14:textId="77777777" w:rsidR="00067240" w:rsidRPr="00906366" w:rsidRDefault="00067240" w:rsidP="00067240">
      <w:pPr>
        <w:widowControl w:val="0"/>
        <w:ind w:firstLine="851"/>
        <w:jc w:val="both"/>
        <w:rPr>
          <w:rFonts w:ascii="Abadi" w:hAnsi="Abadi" w:cs="Arial"/>
          <w:sz w:val="21"/>
          <w:szCs w:val="21"/>
          <w:lang w:val="es-MX"/>
        </w:rPr>
      </w:pPr>
      <w:r w:rsidRPr="00906366">
        <w:rPr>
          <w:rFonts w:ascii="Abadi" w:hAnsi="Abadi" w:cs="Arial"/>
          <w:sz w:val="21"/>
          <w:szCs w:val="21"/>
          <w:lang w:val="es-MX"/>
        </w:rPr>
        <w:t xml:space="preserve">Nuestra ley orgánica otorga a las comisiones legislativas -en el artículo 89, fracción V-, la atribución de </w:t>
      </w:r>
      <w:r w:rsidRPr="00906366">
        <w:rPr>
          <w:rFonts w:ascii="Abadi" w:hAnsi="Abadi" w:cs="Arial"/>
          <w:i/>
          <w:iCs/>
          <w:sz w:val="21"/>
          <w:szCs w:val="21"/>
          <w:lang w:val="es-MX"/>
        </w:rPr>
        <w:t>dictaminar, atender o resolver las iniciativas de Ley o decreto, acuerdos, proposiciones y asuntos que les hayan sido turnados</w:t>
      </w:r>
      <w:r w:rsidRPr="00906366">
        <w:rPr>
          <w:rFonts w:ascii="Abadi" w:hAnsi="Abadi" w:cs="Arial"/>
          <w:sz w:val="21"/>
          <w:szCs w:val="21"/>
          <w:lang w:val="es-MX"/>
        </w:rPr>
        <w:t>.</w:t>
      </w:r>
    </w:p>
    <w:p w14:paraId="4284521C" w14:textId="77777777" w:rsidR="00067240" w:rsidRPr="00906366" w:rsidRDefault="00067240" w:rsidP="00067240">
      <w:pPr>
        <w:widowControl w:val="0"/>
        <w:jc w:val="both"/>
        <w:rPr>
          <w:rFonts w:ascii="Abadi" w:hAnsi="Abadi" w:cs="Arial"/>
          <w:sz w:val="21"/>
          <w:szCs w:val="21"/>
          <w:lang w:val="es-ES_tradnl"/>
        </w:rPr>
      </w:pPr>
    </w:p>
    <w:p w14:paraId="694EDD0D"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Esta comisión legislativa tiene competencia para el conocimiento y dictamen de los asuntos relativos a </w:t>
      </w:r>
      <w:r w:rsidRPr="00906366">
        <w:rPr>
          <w:rFonts w:ascii="Abadi" w:hAnsi="Abadi"/>
          <w:b w:val="0"/>
          <w:bCs w:val="0"/>
          <w:i/>
          <w:iCs/>
          <w:sz w:val="21"/>
          <w:szCs w:val="21"/>
        </w:rPr>
        <w:t>participar en la regulación, gestión, conservación, preservación y atención de los asuntos en materia de agua y saneamiento</w:t>
      </w:r>
      <w:r w:rsidRPr="00906366">
        <w:rPr>
          <w:rFonts w:ascii="Abadi" w:hAnsi="Abadi"/>
          <w:b w:val="0"/>
          <w:bCs w:val="0"/>
          <w:sz w:val="21"/>
          <w:szCs w:val="21"/>
        </w:rPr>
        <w:t xml:space="preserve"> (artículo 108 -fracción III- de la Ley Orgánica del Poder Legislativo del Estado de Guanajuato). Con base en esta atribución es que la presidencia de la mesa directiva turnó a esta Comisión legislativa la propuesta de punto de acuerdo.</w:t>
      </w:r>
    </w:p>
    <w:p w14:paraId="1183369C" w14:textId="77777777" w:rsidR="00067240" w:rsidRPr="00906366" w:rsidRDefault="00067240" w:rsidP="00067240">
      <w:pPr>
        <w:pStyle w:val="Textoindependiente"/>
        <w:widowControl w:val="0"/>
        <w:rPr>
          <w:rFonts w:ascii="Abadi" w:hAnsi="Abadi"/>
          <w:b w:val="0"/>
          <w:bCs w:val="0"/>
          <w:sz w:val="21"/>
          <w:szCs w:val="21"/>
        </w:rPr>
      </w:pPr>
    </w:p>
    <w:p w14:paraId="71D2ADF3"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Si bien nuestra ley orgánica no define las propuestas de punto de acuerdo, el </w:t>
      </w:r>
      <w:r w:rsidRPr="00906366">
        <w:rPr>
          <w:rFonts w:ascii="Abadi" w:hAnsi="Abadi"/>
          <w:b w:val="0"/>
          <w:bCs w:val="0"/>
          <w:i/>
          <w:iCs/>
          <w:sz w:val="21"/>
          <w:szCs w:val="21"/>
        </w:rPr>
        <w:t>Prontuario de términos, prácticas y procedimientos más usados en el trabajo parlamentario</w:t>
      </w:r>
      <w:r w:rsidRPr="00906366">
        <w:rPr>
          <w:rFonts w:ascii="Abadi" w:hAnsi="Abadi"/>
          <w:b w:val="0"/>
          <w:bCs w:val="0"/>
          <w:sz w:val="21"/>
          <w:szCs w:val="21"/>
        </w:rPr>
        <w:t xml:space="preserve">, expedido durante la Sexagésima Cuarta Legislatura de este Congreso, apunta lo que debemos entender </w:t>
      </w:r>
      <w:r w:rsidRPr="00906366">
        <w:rPr>
          <w:rFonts w:ascii="Abadi" w:hAnsi="Abadi"/>
          <w:b w:val="0"/>
          <w:bCs w:val="0"/>
          <w:sz w:val="21"/>
          <w:szCs w:val="21"/>
        </w:rPr>
        <w:t>por estas:</w:t>
      </w:r>
    </w:p>
    <w:p w14:paraId="3A6834B8" w14:textId="77777777" w:rsidR="00067240" w:rsidRPr="00906366" w:rsidRDefault="00067240" w:rsidP="00067240">
      <w:pPr>
        <w:pStyle w:val="Textoindependiente"/>
        <w:widowControl w:val="0"/>
        <w:rPr>
          <w:rFonts w:ascii="Abadi" w:hAnsi="Abadi"/>
          <w:b w:val="0"/>
          <w:bCs w:val="0"/>
          <w:sz w:val="21"/>
          <w:szCs w:val="21"/>
        </w:rPr>
      </w:pPr>
    </w:p>
    <w:p w14:paraId="4ABB50FB" w14:textId="77777777" w:rsidR="00067240" w:rsidRPr="00906366" w:rsidRDefault="00067240" w:rsidP="00067240">
      <w:pPr>
        <w:widowControl w:val="0"/>
        <w:ind w:left="851" w:right="851"/>
        <w:jc w:val="both"/>
        <w:rPr>
          <w:rFonts w:ascii="Abadi" w:hAnsi="Abadi" w:cs="Arial"/>
          <w:i/>
          <w:sz w:val="21"/>
          <w:szCs w:val="21"/>
          <w:lang w:val="es-MX"/>
        </w:rPr>
      </w:pPr>
      <w:r w:rsidRPr="00906366">
        <w:rPr>
          <w:rFonts w:ascii="Abadi" w:hAnsi="Abadi" w:cs="Arial"/>
          <w:i/>
          <w:sz w:val="21"/>
          <w:szCs w:val="21"/>
          <w:lang w:val="es-MX"/>
        </w:rPr>
        <w:t>Resolución tomada por la mayoría de los legisladores, para establecer la postura política, económica, social o cultural del Congreso en asuntos de interés público que, por su naturaleza, no requieran sanción, promulgación ni publicación (Luna Kan, 2012, p. 3).</w:t>
      </w:r>
    </w:p>
    <w:p w14:paraId="0F1E9ABB" w14:textId="77777777" w:rsidR="00067240" w:rsidRPr="00906366" w:rsidRDefault="00067240" w:rsidP="00067240">
      <w:pPr>
        <w:pStyle w:val="Textoindependiente"/>
        <w:widowControl w:val="0"/>
        <w:rPr>
          <w:rFonts w:ascii="Abadi" w:hAnsi="Abadi"/>
          <w:sz w:val="21"/>
          <w:szCs w:val="21"/>
        </w:rPr>
      </w:pPr>
    </w:p>
    <w:p w14:paraId="2422C0D7"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este sentido, es que a través del presente dictamen queremos fijar nuestra postura con relación a la importancia de contar con la Ley General de Aguas. Pues el Estado está obligado a otorgar las garantías para el ejercicio de los derechos humanos; en el caso que nos ocupa, del derecho al agua. A lo que contribuiría el ordenamiento materia de este exhorto.</w:t>
      </w:r>
    </w:p>
    <w:p w14:paraId="644CC7D4" w14:textId="77777777" w:rsidR="00067240" w:rsidRPr="00906366" w:rsidRDefault="00067240" w:rsidP="00067240">
      <w:pPr>
        <w:pStyle w:val="Textoindependiente"/>
        <w:widowControl w:val="0"/>
        <w:rPr>
          <w:rFonts w:ascii="Abadi" w:hAnsi="Abadi"/>
          <w:b w:val="0"/>
          <w:bCs w:val="0"/>
          <w:sz w:val="21"/>
          <w:szCs w:val="21"/>
        </w:rPr>
      </w:pPr>
    </w:p>
    <w:p w14:paraId="709AF40B"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Y es que para quienes integramos esta comisión legislativa no pasa inadvertido que, de conformidad con el sexto párrafo del artículo 4 de la Constitución Política de los Estados Unidos Mexicanos, el Estado deberá garantizar el derecho al agua. Para lo cual deberá definir las bases, apoyos y modalidades para el acceso y uso equitativo y sustentable de los recursos hídricos; todo ello con la participación de la Federación, las entidades federativas, los municipios y la ciudadanía.</w:t>
      </w:r>
    </w:p>
    <w:p w14:paraId="039136A5" w14:textId="77777777" w:rsidR="00067240" w:rsidRPr="00906366" w:rsidRDefault="00067240" w:rsidP="00067240">
      <w:pPr>
        <w:pStyle w:val="Textoindependiente"/>
        <w:widowControl w:val="0"/>
        <w:rPr>
          <w:rFonts w:ascii="Abadi" w:hAnsi="Abadi"/>
          <w:b w:val="0"/>
          <w:bCs w:val="0"/>
          <w:sz w:val="21"/>
          <w:szCs w:val="21"/>
        </w:rPr>
      </w:pPr>
    </w:p>
    <w:p w14:paraId="75C3959A" w14:textId="77777777" w:rsidR="00067240" w:rsidRPr="00906366" w:rsidRDefault="00067240" w:rsidP="00067240">
      <w:pPr>
        <w:pStyle w:val="Textoindependiente"/>
        <w:widowControl w:val="0"/>
        <w:rPr>
          <w:rFonts w:ascii="Abadi" w:hAnsi="Abadi"/>
          <w:b w:val="0"/>
          <w:bCs w:val="0"/>
          <w:sz w:val="21"/>
          <w:szCs w:val="21"/>
        </w:rPr>
      </w:pPr>
    </w:p>
    <w:p w14:paraId="6B4F342C"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Nuestra Constitución Política local no es ajena a tan importante tema, y por ello, en consonancia con la Norma fundamental, impone el siguiente mandato en el artículo 1 -párrafo catorce-:</w:t>
      </w:r>
    </w:p>
    <w:p w14:paraId="5891664E" w14:textId="77777777" w:rsidR="00067240" w:rsidRPr="00906366" w:rsidRDefault="00067240" w:rsidP="00067240">
      <w:pPr>
        <w:pStyle w:val="Textoindependiente"/>
        <w:widowControl w:val="0"/>
        <w:rPr>
          <w:rFonts w:ascii="Abadi" w:hAnsi="Abadi"/>
          <w:sz w:val="21"/>
          <w:szCs w:val="21"/>
        </w:rPr>
      </w:pPr>
    </w:p>
    <w:p w14:paraId="5D0EB4F2" w14:textId="77777777" w:rsidR="00067240" w:rsidRPr="00906366" w:rsidRDefault="00067240" w:rsidP="00067240">
      <w:pPr>
        <w:pStyle w:val="Textoindependiente"/>
        <w:widowControl w:val="0"/>
        <w:ind w:left="851" w:right="851"/>
        <w:rPr>
          <w:rFonts w:ascii="Abadi" w:hAnsi="Abadi"/>
          <w:b w:val="0"/>
          <w:bCs w:val="0"/>
          <w:i/>
          <w:iCs/>
          <w:sz w:val="21"/>
          <w:szCs w:val="21"/>
        </w:rPr>
      </w:pPr>
      <w:r w:rsidRPr="00906366">
        <w:rPr>
          <w:rFonts w:ascii="Abadi" w:hAnsi="Abadi"/>
          <w:b w:val="0"/>
          <w:bCs w:val="0"/>
          <w:i/>
          <w:iCs/>
          <w:sz w:val="21"/>
          <w:szCs w:val="21"/>
        </w:rPr>
        <w:t xml:space="preserve">Toda persona tiene derecho al acceso, disposición y saneamiento de agua para consumo personal y doméstico en forma suficiente, salubre, aceptable y asequible. El Estado garantizará este derecho y la ley definirá las bases, apoyos y modalidades para el </w:t>
      </w:r>
      <w:r w:rsidRPr="00906366">
        <w:rPr>
          <w:rFonts w:ascii="Abadi" w:hAnsi="Abadi"/>
          <w:b w:val="0"/>
          <w:bCs w:val="0"/>
          <w:i/>
          <w:iCs/>
          <w:sz w:val="21"/>
          <w:szCs w:val="21"/>
        </w:rPr>
        <w:lastRenderedPageBreak/>
        <w:t>acceso y uso</w:t>
      </w:r>
      <w:r w:rsidRPr="00906366">
        <w:rPr>
          <w:rFonts w:ascii="Abadi" w:hAnsi="Abadi"/>
          <w:i/>
          <w:iCs/>
          <w:sz w:val="21"/>
          <w:szCs w:val="21"/>
        </w:rPr>
        <w:t xml:space="preserve"> </w:t>
      </w:r>
      <w:r w:rsidRPr="00906366">
        <w:rPr>
          <w:rFonts w:ascii="Abadi" w:hAnsi="Abadi"/>
          <w:b w:val="0"/>
          <w:bCs w:val="0"/>
          <w:i/>
          <w:iCs/>
          <w:sz w:val="21"/>
          <w:szCs w:val="21"/>
        </w:rPr>
        <w:t>equitativo y sustentable de los recursos hídricos, estableciendo la participación del Gobierno del Estado y de los municipios, así como la de la ciudadanía para la consecución de dichos fines, priorizando la cultura del agua.</w:t>
      </w:r>
    </w:p>
    <w:p w14:paraId="1840965C" w14:textId="77777777" w:rsidR="00067240" w:rsidRPr="00906366" w:rsidRDefault="00067240" w:rsidP="00067240">
      <w:pPr>
        <w:widowControl w:val="0"/>
        <w:jc w:val="both"/>
        <w:rPr>
          <w:rFonts w:ascii="Abadi" w:hAnsi="Abadi"/>
          <w:sz w:val="21"/>
          <w:szCs w:val="21"/>
          <w:lang w:val="es-MX"/>
        </w:rPr>
      </w:pPr>
    </w:p>
    <w:p w14:paraId="00D5173A"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También, nuestro Código Territorial regula la Cultura del Agua en su artículo 350, a la que define como el </w:t>
      </w:r>
      <w:r w:rsidRPr="00906366">
        <w:rPr>
          <w:rFonts w:ascii="Abadi" w:hAnsi="Abadi"/>
          <w:b w:val="0"/>
          <w:bCs w:val="0"/>
          <w:i/>
          <w:iCs/>
          <w:sz w:val="21"/>
          <w:szCs w:val="21"/>
        </w:rPr>
        <w:t>conjunto de comportamientos y valores de la sociedad en torno a una administración, uso y gestión participativa, corresponsable, integral y sustentable del agua, que considera a este elemento como un recurso vital y escaso, que debe aprovecharse con racionalidad y eficiencia</w:t>
      </w:r>
      <w:r w:rsidRPr="00906366">
        <w:rPr>
          <w:rFonts w:ascii="Abadi" w:hAnsi="Abadi"/>
          <w:b w:val="0"/>
          <w:bCs w:val="0"/>
          <w:sz w:val="21"/>
          <w:szCs w:val="21"/>
        </w:rPr>
        <w:t>.</w:t>
      </w:r>
    </w:p>
    <w:p w14:paraId="09E8AA58" w14:textId="77777777" w:rsidR="00067240" w:rsidRPr="00906366" w:rsidRDefault="00067240" w:rsidP="00067240">
      <w:pPr>
        <w:pStyle w:val="Textoindependiente"/>
        <w:widowControl w:val="0"/>
        <w:rPr>
          <w:rFonts w:ascii="Abadi" w:hAnsi="Abadi"/>
          <w:b w:val="0"/>
          <w:bCs w:val="0"/>
          <w:sz w:val="21"/>
          <w:szCs w:val="21"/>
        </w:rPr>
      </w:pPr>
    </w:p>
    <w:p w14:paraId="3DDBB422"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Cuando en 2012 se reformó la Constitución Política de los Estados Unidos Mexicanos para adicionar un sexto párrafo al artículo 4, en el artículo tercero transitorio se estableció un plazo de 360 días para que el Congreso de la Unión emitiera la Ley General de Aguas, lo que evidentemente no sucedió. Ello no es un tema menor, pues en las consideraciones del dictamen se señaló lo siguiente:</w:t>
      </w:r>
    </w:p>
    <w:p w14:paraId="309A4A3E" w14:textId="77777777" w:rsidR="00067240" w:rsidRPr="00906366" w:rsidRDefault="00067240" w:rsidP="00067240">
      <w:pPr>
        <w:pStyle w:val="Textoindependiente"/>
        <w:widowControl w:val="0"/>
        <w:rPr>
          <w:rFonts w:ascii="Abadi" w:hAnsi="Abadi"/>
          <w:b w:val="0"/>
          <w:bCs w:val="0"/>
          <w:sz w:val="21"/>
          <w:szCs w:val="21"/>
        </w:rPr>
      </w:pPr>
    </w:p>
    <w:p w14:paraId="2A1EEC10" w14:textId="77777777" w:rsidR="00067240" w:rsidRPr="00906366" w:rsidRDefault="00067240" w:rsidP="00067240">
      <w:pPr>
        <w:pStyle w:val="Textoindependiente"/>
        <w:widowControl w:val="0"/>
        <w:ind w:left="851"/>
        <w:rPr>
          <w:rFonts w:ascii="Abadi" w:hAnsi="Abadi"/>
          <w:b w:val="0"/>
          <w:bCs w:val="0"/>
          <w:i/>
          <w:iCs/>
          <w:sz w:val="21"/>
          <w:szCs w:val="21"/>
        </w:rPr>
      </w:pPr>
      <w:r w:rsidRPr="00906366">
        <w:rPr>
          <w:rFonts w:ascii="Abadi" w:hAnsi="Abadi"/>
          <w:b w:val="0"/>
          <w:bCs w:val="0"/>
          <w:i/>
          <w:iCs/>
          <w:sz w:val="21"/>
          <w:szCs w:val="21"/>
        </w:rPr>
        <w:t xml:space="preserve">Es por ello que esta Comisión dictaminadora estima necesario mandatar desde la Constitución, el diseño de políticas públicas que garanticen el derecho social al agua y que a su vez, se garantice la calidad y cantidad para el consumo humano y el aprovechamiento sustentable del recurso tal como lo expresan los Pactos Internacionales suscritos y ratificados por México cuyos lineamientos y compromisos </w:t>
      </w:r>
      <w:proofErr w:type="spellStart"/>
      <w:r w:rsidRPr="00906366">
        <w:rPr>
          <w:rFonts w:ascii="Abadi" w:hAnsi="Abadi"/>
          <w:b w:val="0"/>
          <w:bCs w:val="0"/>
          <w:i/>
          <w:iCs/>
          <w:sz w:val="21"/>
          <w:szCs w:val="21"/>
        </w:rPr>
        <w:t>aun</w:t>
      </w:r>
      <w:proofErr w:type="spellEnd"/>
      <w:r w:rsidRPr="00906366">
        <w:rPr>
          <w:rFonts w:ascii="Abadi" w:hAnsi="Abadi"/>
          <w:b w:val="0"/>
          <w:bCs w:val="0"/>
          <w:i/>
          <w:iCs/>
          <w:sz w:val="21"/>
          <w:szCs w:val="21"/>
        </w:rPr>
        <w:t xml:space="preserve"> no han sido plasmados en nuestra Carta Magna</w:t>
      </w:r>
      <w:r w:rsidRPr="00906366">
        <w:rPr>
          <w:rStyle w:val="Refdenotaalpie"/>
          <w:rFonts w:ascii="Abadi" w:hAnsi="Abadi"/>
          <w:b w:val="0"/>
          <w:bCs w:val="0"/>
          <w:i/>
          <w:iCs/>
          <w:sz w:val="21"/>
          <w:szCs w:val="21"/>
        </w:rPr>
        <w:footnoteReference w:id="111"/>
      </w:r>
      <w:r w:rsidRPr="00906366">
        <w:rPr>
          <w:rFonts w:ascii="Abadi" w:hAnsi="Abadi"/>
          <w:b w:val="0"/>
          <w:bCs w:val="0"/>
          <w:i/>
          <w:iCs/>
          <w:sz w:val="21"/>
          <w:szCs w:val="21"/>
        </w:rPr>
        <w:t>.</w:t>
      </w:r>
    </w:p>
    <w:p w14:paraId="7F52FCD9" w14:textId="77777777" w:rsidR="00067240" w:rsidRPr="00906366" w:rsidRDefault="00067240" w:rsidP="00067240">
      <w:pPr>
        <w:pStyle w:val="Textoindependiente"/>
        <w:widowControl w:val="0"/>
        <w:rPr>
          <w:rFonts w:ascii="Abadi" w:hAnsi="Abadi"/>
          <w:b w:val="0"/>
          <w:bCs w:val="0"/>
          <w:sz w:val="21"/>
          <w:szCs w:val="21"/>
        </w:rPr>
      </w:pPr>
    </w:p>
    <w:p w14:paraId="2DBB0546"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Y como este enunciado, pudiéramos rescatar otros de las consideraciones del dictamen de esta reforma constitucional, que sirven de fundamento para no dejar solo en el texto constitucional el derecho al agua, sino </w:t>
      </w:r>
      <w:r w:rsidRPr="00906366">
        <w:rPr>
          <w:rFonts w:ascii="Abadi" w:hAnsi="Abadi"/>
          <w:b w:val="0"/>
          <w:bCs w:val="0"/>
          <w:sz w:val="21"/>
          <w:szCs w:val="21"/>
        </w:rPr>
        <w:t>materializarlo en una norma general que defina las bases, apoyos y modalidades para el acceso y uso equitativo y sustentable de los recursos hídricos, con la participación de la Federación, las entidades federativas, los municipios y la ciudadanía, tal como se mandata en el artículo constitucional a que nos hemos venido refiriendo.</w:t>
      </w:r>
    </w:p>
    <w:p w14:paraId="7AC60C64" w14:textId="77777777" w:rsidR="00067240" w:rsidRPr="00906366" w:rsidRDefault="00067240" w:rsidP="00067240">
      <w:pPr>
        <w:pStyle w:val="Textoindependiente"/>
        <w:widowControl w:val="0"/>
        <w:rPr>
          <w:rFonts w:ascii="Abadi" w:hAnsi="Abadi"/>
          <w:b w:val="0"/>
          <w:bCs w:val="0"/>
          <w:sz w:val="21"/>
          <w:szCs w:val="21"/>
        </w:rPr>
      </w:pPr>
    </w:p>
    <w:p w14:paraId="1AD660DA" w14:textId="77777777" w:rsidR="00067240" w:rsidRPr="00906366" w:rsidRDefault="00067240" w:rsidP="00067240">
      <w:pPr>
        <w:pStyle w:val="Textoindependiente"/>
        <w:widowControl w:val="0"/>
        <w:rPr>
          <w:rFonts w:ascii="Abadi" w:hAnsi="Abadi"/>
          <w:b w:val="0"/>
          <w:bCs w:val="0"/>
          <w:sz w:val="21"/>
          <w:szCs w:val="21"/>
        </w:rPr>
      </w:pPr>
    </w:p>
    <w:p w14:paraId="2D4E3CE0" w14:textId="77777777" w:rsidR="00067240" w:rsidRPr="00906366" w:rsidRDefault="00067240" w:rsidP="00067240">
      <w:pPr>
        <w:pStyle w:val="Textoindependiente"/>
        <w:widowControl w:val="0"/>
        <w:rPr>
          <w:rFonts w:ascii="Abadi" w:hAnsi="Abadi"/>
          <w:b w:val="0"/>
          <w:bCs w:val="0"/>
          <w:sz w:val="21"/>
          <w:szCs w:val="21"/>
        </w:rPr>
      </w:pPr>
    </w:p>
    <w:p w14:paraId="2D822143"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Si bien en el análisis del punto de acuerdo materia del presente dictamen hubo opiniones diversas respecto del resolutivo cuarto de la sentencia dictada por el Tribunal Pleno de la Suprema Corte de Justicia de la Nación en la Controversia Constitucional 56/2020, que ordena al Congreso de la Unión a expedir la Ley General de Aguas </w:t>
      </w:r>
      <w:r w:rsidRPr="00906366">
        <w:rPr>
          <w:rFonts w:ascii="Abadi" w:hAnsi="Abadi"/>
          <w:b w:val="0"/>
          <w:bCs w:val="0"/>
          <w:i/>
          <w:iCs/>
          <w:sz w:val="21"/>
          <w:szCs w:val="21"/>
        </w:rPr>
        <w:t>durante el próximo periodo ordinario de sesiones</w:t>
      </w:r>
      <w:r w:rsidRPr="00906366">
        <w:rPr>
          <w:rFonts w:ascii="Abadi" w:hAnsi="Abadi"/>
          <w:b w:val="0"/>
          <w:bCs w:val="0"/>
          <w:sz w:val="21"/>
          <w:szCs w:val="21"/>
        </w:rPr>
        <w:t>; quienes integramos esta comisión legislativa resaltamos durante la discusión la importancia de garantizar el derecho humano al agua y, en ese marco, de que se expidiera la Ley General de Aguas.</w:t>
      </w:r>
    </w:p>
    <w:p w14:paraId="7442D08B" w14:textId="77777777" w:rsidR="00067240" w:rsidRPr="00906366" w:rsidRDefault="00067240" w:rsidP="00067240">
      <w:pPr>
        <w:pStyle w:val="Textoindependiente"/>
        <w:widowControl w:val="0"/>
        <w:rPr>
          <w:rFonts w:ascii="Abadi" w:hAnsi="Abadi"/>
          <w:b w:val="0"/>
          <w:bCs w:val="0"/>
          <w:sz w:val="21"/>
          <w:szCs w:val="21"/>
        </w:rPr>
      </w:pPr>
    </w:p>
    <w:p w14:paraId="42475018"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Y es que se sostuvo, el derecho al agua es un derecho humano que debe ser garantizado por el Estado, y por tal motivo, tiene pleno sentido que el Poder Legislativo emita una Ley General de Aguas que no solo otorgue al Estado los recursos jurídicos para cumplir con el contenido nuclear del derecho, sino que además incorpore los elementos normativos necesarios para la progresividad de este derecho. Sin embargo, se afirmó que este ordenamiento general pudiera estarse expidiendo durante el año 2024 incluso.</w:t>
      </w:r>
    </w:p>
    <w:p w14:paraId="44D87C44" w14:textId="77777777" w:rsidR="00067240" w:rsidRPr="00906366" w:rsidRDefault="00067240" w:rsidP="00067240">
      <w:pPr>
        <w:pStyle w:val="Textoindependiente"/>
        <w:widowControl w:val="0"/>
        <w:rPr>
          <w:rFonts w:ascii="Abadi" w:hAnsi="Abadi"/>
          <w:b w:val="0"/>
          <w:bCs w:val="0"/>
          <w:sz w:val="21"/>
          <w:szCs w:val="21"/>
        </w:rPr>
      </w:pPr>
    </w:p>
    <w:p w14:paraId="4024047C"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Para la mayoría de quienes integramos esta comisión legislativa, debe legislarse a la brevedad para contar con un ordenamiento que defina las bases, apoyos y modalidades para el acceso y uso equitativo y sustentable de los recursos hídricos, con la participación de la Federación, las entidades federativas, los municipios y la ciudadanía.</w:t>
      </w:r>
    </w:p>
    <w:p w14:paraId="40CCE356" w14:textId="77777777" w:rsidR="00067240" w:rsidRPr="00906366" w:rsidRDefault="00067240" w:rsidP="00067240">
      <w:pPr>
        <w:pStyle w:val="Textoindependiente"/>
        <w:widowControl w:val="0"/>
        <w:rPr>
          <w:rFonts w:ascii="Abadi" w:hAnsi="Abadi"/>
          <w:b w:val="0"/>
          <w:bCs w:val="0"/>
          <w:sz w:val="21"/>
          <w:szCs w:val="21"/>
        </w:rPr>
      </w:pPr>
    </w:p>
    <w:p w14:paraId="0F3A2F5D"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A más de 10 años del mandato de expedir la Ley General de Aguas, se hace necesario exhortar para la atención de esta omisión legislativa. Pues es evidente que existe una disposición transitoria derivada de </w:t>
      </w:r>
      <w:r w:rsidRPr="00906366">
        <w:rPr>
          <w:rFonts w:ascii="Abadi" w:hAnsi="Abadi"/>
          <w:b w:val="0"/>
          <w:bCs w:val="0"/>
          <w:sz w:val="21"/>
          <w:szCs w:val="21"/>
        </w:rPr>
        <w:lastRenderedPageBreak/>
        <w:t>una reforma constitucional que debe ser atendida por el legislador federal; no hacerlo representa una violación al orden constitucional. Coincidimos con las afirmaciones del máximo tribunal del país cuando señala que está fuera de duda que el Congreso de la Unión ha excedido por más de ocho años el plazo de trescientos sesenta días para expedir una Ley General de Aguas y que dicho acto implica una omisión legislativa de carácter absoluto.</w:t>
      </w:r>
    </w:p>
    <w:p w14:paraId="4637C373" w14:textId="77777777" w:rsidR="00067240" w:rsidRPr="00906366" w:rsidRDefault="00067240" w:rsidP="00067240">
      <w:pPr>
        <w:pStyle w:val="Textoindependiente"/>
        <w:widowControl w:val="0"/>
        <w:rPr>
          <w:rFonts w:ascii="Abadi" w:hAnsi="Abadi"/>
          <w:b w:val="0"/>
          <w:bCs w:val="0"/>
          <w:sz w:val="21"/>
          <w:szCs w:val="21"/>
        </w:rPr>
      </w:pPr>
    </w:p>
    <w:p w14:paraId="6451E340"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atención a lo antes expuesto, nos sumamos a la propuesta formulada por la diputada y los diputados integrantes del Grupo Parlamentario del Partido Revolucionario Institucional de exhortar al Congreso de la Unión para que expida la Ley General de Aguas, haciendo nuestros los argumentos de que:</w:t>
      </w:r>
    </w:p>
    <w:p w14:paraId="3487EB3D" w14:textId="77777777" w:rsidR="00067240" w:rsidRPr="00906366" w:rsidRDefault="00067240" w:rsidP="00067240">
      <w:pPr>
        <w:pStyle w:val="Textoindependiente"/>
        <w:widowControl w:val="0"/>
        <w:rPr>
          <w:rFonts w:ascii="Abadi" w:hAnsi="Abadi"/>
          <w:b w:val="0"/>
          <w:bCs w:val="0"/>
          <w:sz w:val="21"/>
          <w:szCs w:val="21"/>
        </w:rPr>
      </w:pPr>
    </w:p>
    <w:p w14:paraId="73A0E490" w14:textId="77777777" w:rsidR="00067240" w:rsidRPr="00906366" w:rsidRDefault="00067240" w:rsidP="00427BD6">
      <w:pPr>
        <w:pStyle w:val="Textoindependiente"/>
        <w:widowControl w:val="0"/>
        <w:numPr>
          <w:ilvl w:val="0"/>
          <w:numId w:val="24"/>
        </w:numPr>
        <w:autoSpaceDE/>
        <w:autoSpaceDN/>
        <w:ind w:left="993" w:hanging="142"/>
        <w:rPr>
          <w:rFonts w:ascii="Abadi" w:hAnsi="Abadi"/>
          <w:b w:val="0"/>
          <w:bCs w:val="0"/>
          <w:sz w:val="21"/>
          <w:szCs w:val="21"/>
        </w:rPr>
      </w:pPr>
      <w:r w:rsidRPr="00906366">
        <w:rPr>
          <w:rFonts w:ascii="Abadi" w:hAnsi="Abadi"/>
          <w:b w:val="0"/>
          <w:bCs w:val="0"/>
          <w:sz w:val="21"/>
          <w:szCs w:val="21"/>
        </w:rPr>
        <w:t>A más de una década del mandato de expedir una Ley General de Aguas, deberíamos contar con el instrumento que defina las bases, apoyos y modalidades para el acceso y uso equitativo y sustentable de los recursos hídricos, en los términos que mandata la Constitución.</w:t>
      </w:r>
    </w:p>
    <w:p w14:paraId="7E6D5FF8" w14:textId="77777777" w:rsidR="00067240" w:rsidRPr="00906366" w:rsidRDefault="00067240" w:rsidP="00427BD6">
      <w:pPr>
        <w:pStyle w:val="Textoindependiente"/>
        <w:widowControl w:val="0"/>
        <w:numPr>
          <w:ilvl w:val="0"/>
          <w:numId w:val="24"/>
        </w:numPr>
        <w:autoSpaceDE/>
        <w:autoSpaceDN/>
        <w:ind w:left="993" w:hanging="142"/>
        <w:rPr>
          <w:rFonts w:ascii="Abadi" w:hAnsi="Abadi"/>
          <w:b w:val="0"/>
          <w:bCs w:val="0"/>
          <w:sz w:val="21"/>
          <w:szCs w:val="21"/>
        </w:rPr>
      </w:pPr>
      <w:r w:rsidRPr="00906366">
        <w:rPr>
          <w:rFonts w:ascii="Abadi" w:hAnsi="Abadi"/>
          <w:b w:val="0"/>
          <w:bCs w:val="0"/>
          <w:sz w:val="21"/>
          <w:szCs w:val="21"/>
        </w:rPr>
        <w:t>Deben dictarse normas claras para cuidar este vital líquido.</w:t>
      </w:r>
    </w:p>
    <w:p w14:paraId="4507B071" w14:textId="77777777" w:rsidR="00067240" w:rsidRPr="00906366" w:rsidRDefault="00067240" w:rsidP="00427BD6">
      <w:pPr>
        <w:pStyle w:val="Textoindependiente"/>
        <w:widowControl w:val="0"/>
        <w:numPr>
          <w:ilvl w:val="0"/>
          <w:numId w:val="24"/>
        </w:numPr>
        <w:autoSpaceDE/>
        <w:autoSpaceDN/>
        <w:ind w:left="993" w:hanging="142"/>
        <w:rPr>
          <w:rFonts w:ascii="Abadi" w:hAnsi="Abadi"/>
          <w:b w:val="0"/>
          <w:bCs w:val="0"/>
          <w:sz w:val="21"/>
          <w:szCs w:val="21"/>
        </w:rPr>
      </w:pPr>
      <w:r w:rsidRPr="00906366">
        <w:rPr>
          <w:rFonts w:ascii="Abadi" w:hAnsi="Abadi"/>
          <w:b w:val="0"/>
          <w:bCs w:val="0"/>
          <w:sz w:val="21"/>
          <w:szCs w:val="21"/>
        </w:rPr>
        <w:t>Debe superarse la omisión legislativa que lleva a una violación al orden constitucional.</w:t>
      </w:r>
    </w:p>
    <w:p w14:paraId="5308C8EC" w14:textId="77777777" w:rsidR="00067240" w:rsidRPr="00906366" w:rsidRDefault="00067240" w:rsidP="00067240">
      <w:pPr>
        <w:pStyle w:val="Textoindependiente"/>
        <w:widowControl w:val="0"/>
        <w:rPr>
          <w:rFonts w:ascii="Abadi" w:hAnsi="Abadi"/>
          <w:b w:val="0"/>
          <w:bCs w:val="0"/>
          <w:sz w:val="21"/>
          <w:szCs w:val="21"/>
        </w:rPr>
      </w:pPr>
    </w:p>
    <w:p w14:paraId="1310F8D4"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el ánimo de reflejar las diversas opiniones que los integrantes de esta comisión legislativa compartimos durante el proceso de análisis, se ha considerado una modificación en la</w:t>
      </w:r>
      <w:r w:rsidRPr="00906366">
        <w:rPr>
          <w:rFonts w:ascii="Abadi" w:hAnsi="Abadi"/>
          <w:sz w:val="21"/>
          <w:szCs w:val="21"/>
        </w:rPr>
        <w:t xml:space="preserve"> </w:t>
      </w:r>
      <w:r w:rsidRPr="00906366">
        <w:rPr>
          <w:rFonts w:ascii="Abadi" w:hAnsi="Abadi"/>
          <w:b w:val="0"/>
          <w:bCs w:val="0"/>
          <w:sz w:val="21"/>
          <w:szCs w:val="21"/>
        </w:rPr>
        <w:t xml:space="preserve">forma del presente exhorto que conserva el propósito y alcance expuesto por parte de los iniciantes a fin de solventar la omisión legislativa absoluta, pues se ha incurrido en una violación directa al orden constitucional. </w:t>
      </w:r>
    </w:p>
    <w:p w14:paraId="0D26907F" w14:textId="77777777" w:rsidR="00067240" w:rsidRPr="00906366" w:rsidRDefault="00067240" w:rsidP="00067240">
      <w:pPr>
        <w:pStyle w:val="Textoindependiente"/>
        <w:widowControl w:val="0"/>
        <w:rPr>
          <w:rFonts w:ascii="Abadi" w:hAnsi="Abadi"/>
          <w:b w:val="0"/>
          <w:bCs w:val="0"/>
          <w:sz w:val="21"/>
          <w:szCs w:val="21"/>
        </w:rPr>
      </w:pPr>
    </w:p>
    <w:p w14:paraId="1B820373"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El acuerdo busca respetar en sus alcances la resolución de la Controversia Constitucional y pretende que se convierta en un atento llamado a fin de que se expida la Ley en la materia para establecer la concurrencia de la Federación, las entidades federativas y los municipios en la garantía del derecho humano al agua para consumo </w:t>
      </w:r>
      <w:r w:rsidRPr="00906366">
        <w:rPr>
          <w:rFonts w:ascii="Abadi" w:hAnsi="Abadi"/>
          <w:b w:val="0"/>
          <w:bCs w:val="0"/>
          <w:sz w:val="21"/>
          <w:szCs w:val="21"/>
        </w:rPr>
        <w:t xml:space="preserve">personal y doméstico. </w:t>
      </w:r>
    </w:p>
    <w:p w14:paraId="65CB05CD" w14:textId="77777777" w:rsidR="00067240" w:rsidRPr="00906366" w:rsidRDefault="00067240" w:rsidP="00067240">
      <w:pPr>
        <w:pStyle w:val="Textoindependiente"/>
        <w:widowControl w:val="0"/>
        <w:rPr>
          <w:rFonts w:ascii="Abadi" w:hAnsi="Abadi"/>
          <w:b w:val="0"/>
          <w:bCs w:val="0"/>
          <w:sz w:val="21"/>
          <w:szCs w:val="21"/>
        </w:rPr>
      </w:pPr>
    </w:p>
    <w:p w14:paraId="38AA7E10"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En esta materia relativa al cumplimiento del derecho humano al agua, quienes formamos parte de esta comisión legislativa estamos ciertos de que es preciso actuar con la urgencia que exige el proveer las garantías necesarias para la satisfacción de este derecho. </w:t>
      </w:r>
    </w:p>
    <w:p w14:paraId="7FB2F790" w14:textId="77777777" w:rsidR="00067240" w:rsidRPr="00906366" w:rsidRDefault="00067240" w:rsidP="00067240">
      <w:pPr>
        <w:pStyle w:val="Textoindependiente"/>
        <w:widowControl w:val="0"/>
        <w:rPr>
          <w:rFonts w:ascii="Abadi" w:hAnsi="Abadi"/>
          <w:b w:val="0"/>
          <w:bCs w:val="0"/>
          <w:sz w:val="21"/>
          <w:szCs w:val="21"/>
        </w:rPr>
      </w:pPr>
    </w:p>
    <w:p w14:paraId="0FD041A8" w14:textId="77777777" w:rsidR="00067240" w:rsidRPr="00906366" w:rsidRDefault="00067240" w:rsidP="00067240">
      <w:pPr>
        <w:pStyle w:val="Textoindependiente"/>
        <w:widowControl w:val="0"/>
        <w:rPr>
          <w:rFonts w:ascii="Abadi" w:hAnsi="Abadi"/>
          <w:b w:val="0"/>
          <w:bCs w:val="0"/>
          <w:sz w:val="21"/>
          <w:szCs w:val="21"/>
        </w:rPr>
      </w:pPr>
    </w:p>
    <w:p w14:paraId="437384B3" w14:textId="77777777" w:rsidR="00067240" w:rsidRPr="00906366" w:rsidRDefault="00067240" w:rsidP="00067240">
      <w:pPr>
        <w:widowControl w:val="0"/>
        <w:ind w:left="851"/>
        <w:jc w:val="both"/>
        <w:rPr>
          <w:rFonts w:ascii="Abadi" w:hAnsi="Abadi" w:cs="Arial"/>
          <w:b/>
          <w:bCs/>
          <w:sz w:val="21"/>
          <w:szCs w:val="21"/>
          <w:lang w:val="es-MX"/>
        </w:rPr>
      </w:pPr>
      <w:r w:rsidRPr="00906366">
        <w:rPr>
          <w:rFonts w:ascii="Abadi" w:hAnsi="Abadi" w:cs="Arial"/>
          <w:b/>
          <w:bCs/>
          <w:sz w:val="21"/>
          <w:szCs w:val="21"/>
          <w:lang w:val="es-MX"/>
        </w:rPr>
        <w:t>AGENDA 2030.</w:t>
      </w:r>
    </w:p>
    <w:p w14:paraId="41B6A97C" w14:textId="77777777" w:rsidR="00067240" w:rsidRPr="00906366" w:rsidRDefault="00067240" w:rsidP="00067240">
      <w:pPr>
        <w:widowControl w:val="0"/>
        <w:jc w:val="both"/>
        <w:rPr>
          <w:rFonts w:ascii="Abadi" w:hAnsi="Abadi"/>
          <w:sz w:val="21"/>
          <w:szCs w:val="21"/>
          <w:lang w:val="es-MX"/>
        </w:rPr>
      </w:pPr>
    </w:p>
    <w:p w14:paraId="1790C773"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Los Objetivos del Desarrollo Sostenible se rigen por tres principios fundamentales: no dejar a nadie atrás; una agenda universal, pero de apropiación nacional; y una agenda integral.</w:t>
      </w:r>
    </w:p>
    <w:p w14:paraId="2840529B" w14:textId="77777777" w:rsidR="00067240" w:rsidRPr="00906366" w:rsidRDefault="00067240" w:rsidP="00067240">
      <w:pPr>
        <w:pStyle w:val="Textoindependiente"/>
        <w:widowControl w:val="0"/>
        <w:rPr>
          <w:rFonts w:ascii="Abadi" w:hAnsi="Abadi"/>
          <w:b w:val="0"/>
          <w:bCs w:val="0"/>
          <w:sz w:val="21"/>
          <w:szCs w:val="21"/>
        </w:rPr>
      </w:pPr>
    </w:p>
    <w:p w14:paraId="46ADD741"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El Poder Legislativo como parte del Estado mexicano, tiene una responsabilidad fundamental en el compromiso adquirido para alcanzar los 17 Objetivos de Desarrollo Sostenible y sus 169 metas, a través de las cuatro dimensiones de acción, a saber: 1. Creación y reforma de leyes; 2. Seguimiento a la planeación y al presupuesto; 3. Promoción de la participación ciudadana; y 4. Monitoreo de la actividad gubernamental.</w:t>
      </w:r>
    </w:p>
    <w:p w14:paraId="1627B561" w14:textId="77777777" w:rsidR="00067240" w:rsidRPr="00906366" w:rsidRDefault="00067240" w:rsidP="00067240">
      <w:pPr>
        <w:pStyle w:val="Textoindependiente"/>
        <w:widowControl w:val="0"/>
        <w:rPr>
          <w:rFonts w:ascii="Abadi" w:hAnsi="Abadi"/>
          <w:b w:val="0"/>
          <w:bCs w:val="0"/>
          <w:sz w:val="21"/>
          <w:szCs w:val="21"/>
        </w:rPr>
      </w:pPr>
    </w:p>
    <w:p w14:paraId="0C65F8C6"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Destacamos que este dictamen tiene incidencia en el objetivo 6. GARANTIZAR LA DISPONIBILIDAD Y LA GESTIÓN SOSTENIBLE DEL AGUA Y EL SANEAMIENTO PARA TODOS.</w:t>
      </w:r>
    </w:p>
    <w:p w14:paraId="3F056FB0" w14:textId="77777777" w:rsidR="00067240" w:rsidRPr="00906366" w:rsidRDefault="00067240" w:rsidP="00067240">
      <w:pPr>
        <w:pStyle w:val="Textoindependiente"/>
        <w:widowControl w:val="0"/>
        <w:rPr>
          <w:rFonts w:ascii="Abadi" w:hAnsi="Abadi"/>
          <w:b w:val="0"/>
          <w:bCs w:val="0"/>
          <w:sz w:val="21"/>
          <w:szCs w:val="21"/>
        </w:rPr>
      </w:pPr>
    </w:p>
    <w:p w14:paraId="4E9A8FC6"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En mérito de lo expuesto, sometemos a consideración de la Asamblea, la aprobación del siguiente:</w:t>
      </w:r>
    </w:p>
    <w:p w14:paraId="1A8A7ACB" w14:textId="77777777" w:rsidR="00067240" w:rsidRPr="00906366" w:rsidRDefault="00067240" w:rsidP="00067240">
      <w:pPr>
        <w:pStyle w:val="Textoindependiente"/>
        <w:widowControl w:val="0"/>
        <w:rPr>
          <w:rFonts w:ascii="Abadi" w:hAnsi="Abadi"/>
          <w:b w:val="0"/>
          <w:bCs w:val="0"/>
          <w:sz w:val="21"/>
          <w:szCs w:val="21"/>
        </w:rPr>
      </w:pPr>
    </w:p>
    <w:p w14:paraId="4D958BBF" w14:textId="77777777" w:rsidR="00067240" w:rsidRPr="00906366" w:rsidRDefault="00067240" w:rsidP="00067240">
      <w:pPr>
        <w:widowControl w:val="0"/>
        <w:jc w:val="center"/>
        <w:rPr>
          <w:rFonts w:ascii="Abadi" w:hAnsi="Abadi" w:cs="Arial"/>
          <w:b/>
          <w:bCs/>
          <w:sz w:val="21"/>
          <w:szCs w:val="21"/>
          <w:lang w:val="es-MX"/>
        </w:rPr>
      </w:pPr>
      <w:r w:rsidRPr="00906366">
        <w:rPr>
          <w:rFonts w:ascii="Abadi" w:hAnsi="Abadi" w:cs="Arial"/>
          <w:b/>
          <w:bCs/>
          <w:sz w:val="21"/>
          <w:szCs w:val="21"/>
          <w:lang w:val="es-MX"/>
        </w:rPr>
        <w:t>A C U E R D O</w:t>
      </w:r>
    </w:p>
    <w:p w14:paraId="7D1EFB98" w14:textId="77777777" w:rsidR="00067240" w:rsidRPr="00906366" w:rsidRDefault="00067240" w:rsidP="00067240">
      <w:pPr>
        <w:widowControl w:val="0"/>
        <w:rPr>
          <w:rFonts w:ascii="Abadi" w:hAnsi="Abadi" w:cs="Arial"/>
          <w:sz w:val="21"/>
          <w:szCs w:val="21"/>
          <w:lang w:val="es-MX"/>
        </w:rPr>
      </w:pPr>
    </w:p>
    <w:p w14:paraId="28A6F4ED"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Único. La Sexagésima Quinta Legislatura del Congreso del Estado Libre y Soberano de Guanajuato efectúa un respetuoso exhorto al Congreso de la Unión, a través de la Cámara de Diputados y del Senado de la República, a fin de que expidan la Ley General de Aguas, atendiendo los términos establecidos en la resolución de la Controversia Constitucional 56/2020 dictada por el Tribunal Pleno de la Suprema Corte de Justicia de la Nación.</w:t>
      </w:r>
    </w:p>
    <w:p w14:paraId="280EE192" w14:textId="77777777" w:rsidR="00067240" w:rsidRPr="00906366" w:rsidRDefault="00067240" w:rsidP="00067240">
      <w:pPr>
        <w:pStyle w:val="Textoindependiente"/>
        <w:widowControl w:val="0"/>
        <w:rPr>
          <w:rFonts w:ascii="Abadi" w:hAnsi="Abadi"/>
          <w:b w:val="0"/>
          <w:bCs w:val="0"/>
          <w:sz w:val="21"/>
          <w:szCs w:val="21"/>
        </w:rPr>
      </w:pPr>
    </w:p>
    <w:p w14:paraId="5DF05DBA" w14:textId="77777777" w:rsidR="00067240" w:rsidRPr="00906366" w:rsidRDefault="00067240" w:rsidP="00067240">
      <w:pPr>
        <w:pStyle w:val="Textoindependiente"/>
        <w:widowControl w:val="0"/>
        <w:ind w:firstLine="851"/>
        <w:rPr>
          <w:rFonts w:ascii="Abadi" w:hAnsi="Abadi"/>
          <w:b w:val="0"/>
          <w:bCs w:val="0"/>
          <w:sz w:val="21"/>
          <w:szCs w:val="21"/>
        </w:rPr>
      </w:pPr>
      <w:r w:rsidRPr="00906366">
        <w:rPr>
          <w:rFonts w:ascii="Abadi" w:hAnsi="Abadi"/>
          <w:b w:val="0"/>
          <w:bCs w:val="0"/>
          <w:sz w:val="21"/>
          <w:szCs w:val="21"/>
        </w:rPr>
        <w:t xml:space="preserve">Lo anterior con el fin de proporcionar a nuestro país y </w:t>
      </w:r>
      <w:r w:rsidRPr="00906366">
        <w:rPr>
          <w:rFonts w:ascii="Abadi" w:hAnsi="Abadi"/>
          <w:b w:val="0"/>
          <w:bCs w:val="0"/>
          <w:sz w:val="21"/>
          <w:szCs w:val="21"/>
        </w:rPr>
        <w:lastRenderedPageBreak/>
        <w:t>consecuentemente a nuestro Estado, un ordenamiento jurídico que defina las bases, apoyos y modalidades para el acceso y uso equitativo y sustentable de los recursos hídricos, estableciendo la participación de la Federación, las entidades federativas, los municipios y la ciudadanía.</w:t>
      </w:r>
    </w:p>
    <w:p w14:paraId="6948918B" w14:textId="77777777" w:rsidR="00067240" w:rsidRPr="00906366" w:rsidRDefault="00067240" w:rsidP="00067240">
      <w:pPr>
        <w:pStyle w:val="Textoindependiente"/>
        <w:widowControl w:val="0"/>
        <w:rPr>
          <w:rFonts w:ascii="Abadi" w:hAnsi="Abadi"/>
          <w:b w:val="0"/>
          <w:bCs w:val="0"/>
          <w:sz w:val="21"/>
          <w:szCs w:val="21"/>
        </w:rPr>
      </w:pPr>
    </w:p>
    <w:p w14:paraId="20046DB2" w14:textId="77777777" w:rsidR="00067240" w:rsidRPr="00906366" w:rsidRDefault="00067240" w:rsidP="00067240">
      <w:pPr>
        <w:widowControl w:val="0"/>
        <w:jc w:val="center"/>
        <w:rPr>
          <w:rFonts w:ascii="Abadi" w:eastAsia="Arial Unicode MS" w:hAnsi="Abadi" w:cs="Arial"/>
          <w:b/>
          <w:iCs/>
          <w:sz w:val="21"/>
          <w:szCs w:val="21"/>
          <w:lang w:val="es-MX"/>
        </w:rPr>
      </w:pPr>
      <w:r w:rsidRPr="00906366">
        <w:rPr>
          <w:rFonts w:ascii="Abadi" w:eastAsia="Arial Unicode MS" w:hAnsi="Abadi" w:cs="Arial"/>
          <w:b/>
          <w:iCs/>
          <w:sz w:val="21"/>
          <w:szCs w:val="21"/>
          <w:lang w:val="es-MX"/>
        </w:rPr>
        <w:t xml:space="preserve">Guanajuato, </w:t>
      </w:r>
      <w:proofErr w:type="spellStart"/>
      <w:r w:rsidRPr="00906366">
        <w:rPr>
          <w:rFonts w:ascii="Abadi" w:eastAsia="Arial Unicode MS" w:hAnsi="Abadi" w:cs="Arial"/>
          <w:b/>
          <w:iCs/>
          <w:sz w:val="21"/>
          <w:szCs w:val="21"/>
          <w:lang w:val="es-MX"/>
        </w:rPr>
        <w:t>Gto</w:t>
      </w:r>
      <w:proofErr w:type="spellEnd"/>
      <w:r w:rsidRPr="00906366">
        <w:rPr>
          <w:rFonts w:ascii="Abadi" w:eastAsia="Arial Unicode MS" w:hAnsi="Abadi" w:cs="Arial"/>
          <w:b/>
          <w:iCs/>
          <w:sz w:val="21"/>
          <w:szCs w:val="21"/>
          <w:lang w:val="es-MX"/>
        </w:rPr>
        <w:t>., 13 de junio de 2023</w:t>
      </w:r>
    </w:p>
    <w:p w14:paraId="64F1043A" w14:textId="77777777" w:rsidR="00067240" w:rsidRPr="00906366" w:rsidRDefault="00067240" w:rsidP="00067240">
      <w:pPr>
        <w:pStyle w:val="Textoindependiente2"/>
        <w:widowControl w:val="0"/>
        <w:spacing w:line="240" w:lineRule="auto"/>
        <w:jc w:val="center"/>
        <w:rPr>
          <w:rFonts w:ascii="Abadi" w:eastAsia="Arial Unicode MS" w:hAnsi="Abadi"/>
          <w:b/>
          <w:sz w:val="21"/>
          <w:szCs w:val="21"/>
          <w:lang w:val="es-MX"/>
        </w:rPr>
      </w:pPr>
      <w:r w:rsidRPr="00906366">
        <w:rPr>
          <w:rFonts w:ascii="Abadi" w:eastAsia="Arial Unicode MS" w:hAnsi="Abadi"/>
          <w:b/>
          <w:sz w:val="21"/>
          <w:szCs w:val="21"/>
          <w:lang w:val="es-MX"/>
        </w:rPr>
        <w:t>La Comisión de Desarrollo Urbano y Obra Pública</w:t>
      </w:r>
    </w:p>
    <w:p w14:paraId="0D3C189D" w14:textId="77777777" w:rsidR="00067240" w:rsidRPr="00906366" w:rsidRDefault="00067240" w:rsidP="00067240">
      <w:pPr>
        <w:widowControl w:val="0"/>
        <w:jc w:val="center"/>
        <w:rPr>
          <w:rFonts w:ascii="Abadi" w:eastAsia="Arial Unicode MS" w:hAnsi="Abadi" w:cs="Arial"/>
          <w:b/>
          <w:sz w:val="21"/>
          <w:szCs w:val="21"/>
          <w:lang w:val="es-MX"/>
        </w:rPr>
      </w:pPr>
    </w:p>
    <w:p w14:paraId="5588F5F5" w14:textId="77777777" w:rsidR="00067240" w:rsidRPr="00906366" w:rsidRDefault="00067240" w:rsidP="00067240">
      <w:pPr>
        <w:widowControl w:val="0"/>
        <w:jc w:val="center"/>
        <w:rPr>
          <w:rFonts w:ascii="Abadi" w:eastAsia="Arial Unicode MS" w:hAnsi="Abadi" w:cs="Arial"/>
          <w:b/>
          <w:sz w:val="21"/>
          <w:szCs w:val="21"/>
          <w:lang w:val="es-MX"/>
        </w:rPr>
      </w:pPr>
      <w:r w:rsidRPr="00906366">
        <w:rPr>
          <w:rFonts w:ascii="Abadi" w:eastAsia="Arial Unicode MS" w:hAnsi="Abadi" w:cs="Arial"/>
          <w:b/>
          <w:sz w:val="21"/>
          <w:szCs w:val="21"/>
          <w:lang w:val="es-MX"/>
        </w:rPr>
        <w:t>Diputado José Alfonso Borja Pimentel</w:t>
      </w:r>
    </w:p>
    <w:p w14:paraId="02509751" w14:textId="77777777" w:rsidR="00067240" w:rsidRPr="00906366" w:rsidRDefault="00067240" w:rsidP="00067240">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Voto a favor</w:t>
      </w:r>
    </w:p>
    <w:p w14:paraId="68C9B3B3" w14:textId="77777777" w:rsidR="00067240" w:rsidRPr="00906366" w:rsidRDefault="00067240" w:rsidP="00067240">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Firma electrónica</w:t>
      </w:r>
    </w:p>
    <w:tbl>
      <w:tblPr>
        <w:tblStyle w:val="Tablaconcuadrcula"/>
        <w:tblpPr w:leftFromText="141" w:rightFromText="141" w:vertAnchor="text" w:horzAnchor="margin" w:tblpY="167"/>
        <w:tblW w:w="36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1"/>
        <w:gridCol w:w="1821"/>
      </w:tblGrid>
      <w:tr w:rsidR="009C74C9" w:rsidRPr="00906366" w14:paraId="31C7DC0E" w14:textId="77777777" w:rsidTr="009C74C9">
        <w:trPr>
          <w:trHeight w:val="826"/>
        </w:trPr>
        <w:tc>
          <w:tcPr>
            <w:tcW w:w="1821" w:type="dxa"/>
          </w:tcPr>
          <w:p w14:paraId="027E0AED" w14:textId="77777777" w:rsidR="009C74C9" w:rsidRPr="00906366" w:rsidRDefault="009C74C9" w:rsidP="009C74C9">
            <w:pPr>
              <w:widowControl w:val="0"/>
              <w:jc w:val="center"/>
              <w:rPr>
                <w:rFonts w:ascii="Abadi" w:hAnsi="Abadi" w:cs="Arial"/>
                <w:b/>
                <w:bCs/>
                <w:sz w:val="21"/>
                <w:szCs w:val="21"/>
                <w:lang w:val="es-MX"/>
              </w:rPr>
            </w:pPr>
            <w:r w:rsidRPr="00906366">
              <w:rPr>
                <w:rFonts w:ascii="Abadi" w:hAnsi="Abadi" w:cs="Arial"/>
                <w:b/>
                <w:bCs/>
                <w:sz w:val="21"/>
                <w:szCs w:val="21"/>
                <w:lang w:val="es-MX"/>
              </w:rPr>
              <w:t>Diputada Angélica Casillas Martínez</w:t>
            </w:r>
          </w:p>
          <w:p w14:paraId="3875E6E9"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Voto a favor</w:t>
            </w:r>
          </w:p>
          <w:p w14:paraId="1E28570F"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Firma electrónica</w:t>
            </w:r>
          </w:p>
          <w:p w14:paraId="0CA09FD6" w14:textId="77777777" w:rsidR="009C74C9" w:rsidRPr="00906366" w:rsidRDefault="009C74C9" w:rsidP="009C74C9">
            <w:pPr>
              <w:widowControl w:val="0"/>
              <w:jc w:val="center"/>
              <w:rPr>
                <w:rFonts w:ascii="Abadi" w:hAnsi="Abadi" w:cs="Arial"/>
                <w:b/>
                <w:bCs/>
                <w:sz w:val="21"/>
                <w:szCs w:val="21"/>
                <w:lang w:val="es-MX"/>
              </w:rPr>
            </w:pPr>
          </w:p>
        </w:tc>
        <w:tc>
          <w:tcPr>
            <w:tcW w:w="1821" w:type="dxa"/>
            <w:hideMark/>
          </w:tcPr>
          <w:p w14:paraId="09208FDD" w14:textId="77777777" w:rsidR="009C74C9" w:rsidRPr="00906366" w:rsidRDefault="009C74C9" w:rsidP="009C74C9">
            <w:pPr>
              <w:widowControl w:val="0"/>
              <w:jc w:val="center"/>
              <w:rPr>
                <w:rFonts w:ascii="Abadi" w:hAnsi="Abadi" w:cs="Arial"/>
                <w:b/>
                <w:bCs/>
                <w:sz w:val="21"/>
                <w:szCs w:val="21"/>
                <w:lang w:val="es-MX"/>
              </w:rPr>
            </w:pPr>
            <w:r w:rsidRPr="00906366">
              <w:rPr>
                <w:rFonts w:ascii="Abadi" w:hAnsi="Abadi" w:cs="Arial"/>
                <w:b/>
                <w:bCs/>
                <w:sz w:val="21"/>
                <w:szCs w:val="21"/>
                <w:lang w:val="es-MX"/>
              </w:rPr>
              <w:t xml:space="preserve">Diputada Dessire </w:t>
            </w:r>
            <w:proofErr w:type="spellStart"/>
            <w:r w:rsidRPr="00906366">
              <w:rPr>
                <w:rFonts w:ascii="Abadi" w:hAnsi="Abadi" w:cs="Arial"/>
                <w:b/>
                <w:bCs/>
                <w:sz w:val="21"/>
                <w:szCs w:val="21"/>
                <w:lang w:val="es-MX"/>
              </w:rPr>
              <w:t>Angel</w:t>
            </w:r>
            <w:proofErr w:type="spellEnd"/>
            <w:r w:rsidRPr="00906366">
              <w:rPr>
                <w:rFonts w:ascii="Abadi" w:hAnsi="Abadi" w:cs="Arial"/>
                <w:b/>
                <w:bCs/>
                <w:sz w:val="21"/>
                <w:szCs w:val="21"/>
                <w:lang w:val="es-MX"/>
              </w:rPr>
              <w:t xml:space="preserve"> Rocha</w:t>
            </w:r>
          </w:p>
          <w:p w14:paraId="413BD0D3"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Voto a favor</w:t>
            </w:r>
          </w:p>
          <w:p w14:paraId="2EC709B1"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Firma electrónica</w:t>
            </w:r>
          </w:p>
          <w:p w14:paraId="24CB9961" w14:textId="77777777" w:rsidR="009C74C9" w:rsidRPr="00906366" w:rsidRDefault="009C74C9" w:rsidP="009C74C9">
            <w:pPr>
              <w:widowControl w:val="0"/>
              <w:jc w:val="center"/>
              <w:rPr>
                <w:rFonts w:ascii="Abadi" w:hAnsi="Abadi" w:cs="Arial"/>
                <w:b/>
                <w:bCs/>
                <w:sz w:val="21"/>
                <w:szCs w:val="21"/>
                <w:lang w:val="es-MX"/>
              </w:rPr>
            </w:pPr>
          </w:p>
        </w:tc>
      </w:tr>
      <w:tr w:rsidR="009C74C9" w:rsidRPr="00906366" w14:paraId="409D71F4" w14:textId="77777777" w:rsidTr="009C74C9">
        <w:trPr>
          <w:trHeight w:val="578"/>
        </w:trPr>
        <w:tc>
          <w:tcPr>
            <w:tcW w:w="1821" w:type="dxa"/>
            <w:hideMark/>
          </w:tcPr>
          <w:p w14:paraId="5B51D94E" w14:textId="77777777" w:rsidR="009C74C9" w:rsidRPr="00906366" w:rsidRDefault="009C74C9" w:rsidP="009C74C9">
            <w:pPr>
              <w:widowControl w:val="0"/>
              <w:jc w:val="center"/>
              <w:rPr>
                <w:rFonts w:ascii="Abadi" w:hAnsi="Abadi" w:cs="Arial"/>
                <w:b/>
                <w:bCs/>
                <w:sz w:val="21"/>
                <w:szCs w:val="21"/>
                <w:lang w:val="es-MX"/>
              </w:rPr>
            </w:pPr>
            <w:r w:rsidRPr="00906366">
              <w:rPr>
                <w:rFonts w:ascii="Abadi" w:hAnsi="Abadi" w:cs="Arial"/>
                <w:b/>
                <w:bCs/>
                <w:sz w:val="21"/>
                <w:szCs w:val="21"/>
                <w:lang w:val="es-MX"/>
              </w:rPr>
              <w:t>Diputado Cuauhtémoc Becerra González</w:t>
            </w:r>
          </w:p>
          <w:p w14:paraId="6E0A6577"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Voto en contra</w:t>
            </w:r>
          </w:p>
          <w:p w14:paraId="1FE38829" w14:textId="77777777" w:rsidR="009C74C9" w:rsidRPr="00906366" w:rsidRDefault="009C74C9" w:rsidP="009C74C9">
            <w:pPr>
              <w:widowControl w:val="0"/>
              <w:jc w:val="center"/>
              <w:rPr>
                <w:rFonts w:ascii="Abadi" w:hAnsi="Abadi" w:cs="Arial"/>
                <w:b/>
                <w:bCs/>
                <w:sz w:val="21"/>
                <w:szCs w:val="21"/>
                <w:lang w:val="es-MX"/>
              </w:rPr>
            </w:pPr>
            <w:r w:rsidRPr="00906366">
              <w:rPr>
                <w:rFonts w:ascii="Abadi" w:eastAsia="Arial Unicode MS" w:hAnsi="Abadi" w:cs="Arial"/>
                <w:b/>
                <w:i/>
                <w:iCs/>
                <w:sz w:val="21"/>
                <w:szCs w:val="21"/>
                <w:lang w:val="es-MX"/>
              </w:rPr>
              <w:t>Firma electrónica</w:t>
            </w:r>
          </w:p>
        </w:tc>
        <w:tc>
          <w:tcPr>
            <w:tcW w:w="1821" w:type="dxa"/>
            <w:hideMark/>
          </w:tcPr>
          <w:p w14:paraId="76EB3F2B" w14:textId="77777777" w:rsidR="009C74C9" w:rsidRPr="00906366" w:rsidRDefault="009C74C9" w:rsidP="009C74C9">
            <w:pPr>
              <w:widowControl w:val="0"/>
              <w:jc w:val="center"/>
              <w:rPr>
                <w:rFonts w:ascii="Abadi" w:hAnsi="Abadi" w:cs="Arial"/>
                <w:b/>
                <w:bCs/>
                <w:sz w:val="21"/>
                <w:szCs w:val="21"/>
                <w:lang w:val="es-MX"/>
              </w:rPr>
            </w:pPr>
            <w:r w:rsidRPr="00906366">
              <w:rPr>
                <w:rFonts w:ascii="Abadi" w:hAnsi="Abadi" w:cs="Arial"/>
                <w:b/>
                <w:bCs/>
                <w:sz w:val="21"/>
                <w:szCs w:val="21"/>
                <w:lang w:val="es-MX"/>
              </w:rPr>
              <w:t xml:space="preserve">Diputado Miguel Ángel Salim </w:t>
            </w:r>
            <w:proofErr w:type="spellStart"/>
            <w:r w:rsidRPr="00906366">
              <w:rPr>
                <w:rFonts w:ascii="Abadi" w:hAnsi="Abadi" w:cs="Arial"/>
                <w:b/>
                <w:bCs/>
                <w:sz w:val="21"/>
                <w:szCs w:val="21"/>
                <w:lang w:val="es-MX"/>
              </w:rPr>
              <w:t>Alle</w:t>
            </w:r>
            <w:proofErr w:type="spellEnd"/>
          </w:p>
          <w:p w14:paraId="39E35041" w14:textId="77777777" w:rsidR="009C74C9" w:rsidRPr="00906366" w:rsidRDefault="009C74C9" w:rsidP="009C74C9">
            <w:pPr>
              <w:widowControl w:val="0"/>
              <w:jc w:val="center"/>
              <w:rPr>
                <w:rFonts w:ascii="Abadi" w:eastAsia="Arial Unicode MS" w:hAnsi="Abadi" w:cs="Arial"/>
                <w:b/>
                <w:i/>
                <w:iCs/>
                <w:sz w:val="21"/>
                <w:szCs w:val="21"/>
                <w:lang w:val="es-MX"/>
              </w:rPr>
            </w:pPr>
            <w:r w:rsidRPr="00906366">
              <w:rPr>
                <w:rFonts w:ascii="Abadi" w:eastAsia="Arial Unicode MS" w:hAnsi="Abadi" w:cs="Arial"/>
                <w:b/>
                <w:i/>
                <w:iCs/>
                <w:sz w:val="21"/>
                <w:szCs w:val="21"/>
                <w:lang w:val="es-MX"/>
              </w:rPr>
              <w:t>Voto a favor</w:t>
            </w:r>
          </w:p>
          <w:p w14:paraId="608A9C5C" w14:textId="77777777" w:rsidR="009C74C9" w:rsidRPr="00906366" w:rsidRDefault="009C74C9" w:rsidP="009C74C9">
            <w:pPr>
              <w:widowControl w:val="0"/>
              <w:jc w:val="center"/>
              <w:rPr>
                <w:rFonts w:ascii="Abadi" w:hAnsi="Abadi" w:cs="Arial"/>
                <w:b/>
                <w:bCs/>
                <w:sz w:val="21"/>
                <w:szCs w:val="21"/>
                <w:lang w:val="es-MX"/>
              </w:rPr>
            </w:pPr>
            <w:r w:rsidRPr="00906366">
              <w:rPr>
                <w:rFonts w:ascii="Abadi" w:eastAsia="Arial Unicode MS" w:hAnsi="Abadi" w:cs="Arial"/>
                <w:b/>
                <w:i/>
                <w:iCs/>
                <w:sz w:val="21"/>
                <w:szCs w:val="21"/>
                <w:lang w:val="es-MX"/>
              </w:rPr>
              <w:t>Firma electrónica</w:t>
            </w:r>
          </w:p>
        </w:tc>
      </w:tr>
    </w:tbl>
    <w:p w14:paraId="1CFFB97E" w14:textId="77777777" w:rsidR="00067240" w:rsidRPr="00906366" w:rsidRDefault="00067240" w:rsidP="00067240">
      <w:pPr>
        <w:widowControl w:val="0"/>
        <w:jc w:val="center"/>
        <w:rPr>
          <w:rFonts w:ascii="Abadi" w:hAnsi="Abadi" w:cs="Arial"/>
          <w:b/>
          <w:bCs/>
          <w:sz w:val="21"/>
          <w:szCs w:val="21"/>
          <w:lang w:val="es-MX"/>
        </w:rPr>
      </w:pPr>
    </w:p>
    <w:p w14:paraId="02C7F134" w14:textId="77777777" w:rsidR="00067240" w:rsidRDefault="00067240" w:rsidP="00067240">
      <w:pPr>
        <w:widowControl w:val="0"/>
        <w:rPr>
          <w:rFonts w:ascii="Abadi" w:hAnsi="Abadi" w:cs="Arial"/>
          <w:sz w:val="21"/>
          <w:szCs w:val="21"/>
          <w:lang w:val="es-MX" w:eastAsia="es-MX"/>
        </w:rPr>
      </w:pPr>
    </w:p>
    <w:p w14:paraId="64335076" w14:textId="77777777" w:rsidR="00023646" w:rsidRDefault="00023646" w:rsidP="00067240">
      <w:pPr>
        <w:widowControl w:val="0"/>
        <w:rPr>
          <w:rFonts w:ascii="Abadi" w:hAnsi="Abadi" w:cs="Arial"/>
          <w:sz w:val="18"/>
          <w:szCs w:val="18"/>
          <w:lang w:val="es-MX" w:eastAsia="es-MX"/>
        </w:rPr>
      </w:pPr>
    </w:p>
    <w:p w14:paraId="773178EC" w14:textId="772D399E" w:rsidR="00672D31" w:rsidRDefault="00672D31" w:rsidP="00672D31">
      <w:pPr>
        <w:jc w:val="both"/>
        <w:rPr>
          <w:rFonts w:ascii="Abadi" w:hAnsi="Abadi"/>
          <w:b/>
          <w:bCs/>
          <w:sz w:val="21"/>
          <w:szCs w:val="21"/>
        </w:rPr>
      </w:pPr>
      <w:r>
        <w:rPr>
          <w:rFonts w:ascii="Abadi" w:hAnsi="Abadi"/>
          <w:b/>
          <w:bCs/>
          <w:sz w:val="21"/>
          <w:szCs w:val="21"/>
        </w:rPr>
        <w:tab/>
      </w:r>
      <w:r w:rsidRPr="003A2FCE">
        <w:rPr>
          <w:rFonts w:ascii="Abadi" w:hAnsi="Abadi"/>
          <w:b/>
          <w:bCs/>
          <w:sz w:val="21"/>
          <w:szCs w:val="21"/>
        </w:rPr>
        <w:t xml:space="preserve">- La </w:t>
      </w:r>
      <w:proofErr w:type="gramStart"/>
      <w:r w:rsidRPr="003A2FCE">
        <w:rPr>
          <w:rFonts w:ascii="Abadi" w:hAnsi="Abadi"/>
          <w:b/>
          <w:bCs/>
          <w:sz w:val="21"/>
          <w:szCs w:val="21"/>
        </w:rPr>
        <w:t>Presidencia.-</w:t>
      </w:r>
      <w:proofErr w:type="gramEnd"/>
      <w:r>
        <w:rPr>
          <w:rFonts w:ascii="Abadi" w:hAnsi="Abadi"/>
          <w:b/>
          <w:bCs/>
          <w:sz w:val="21"/>
          <w:szCs w:val="21"/>
        </w:rPr>
        <w:t xml:space="preserve"> </w:t>
      </w:r>
      <w:r>
        <w:rPr>
          <w:rFonts w:ascii="Abadi" w:hAnsi="Abadi"/>
          <w:sz w:val="21"/>
          <w:szCs w:val="21"/>
        </w:rPr>
        <w:t>E</w:t>
      </w:r>
      <w:r w:rsidRPr="0030088F">
        <w:rPr>
          <w:rFonts w:ascii="Abadi" w:hAnsi="Abadi"/>
          <w:sz w:val="21"/>
          <w:szCs w:val="21"/>
        </w:rPr>
        <w:t xml:space="preserve">nseguida se somete a discusión el dictamen emitido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D</w:t>
      </w:r>
      <w:r w:rsidRPr="0030088F">
        <w:rPr>
          <w:rFonts w:ascii="Abadi" w:hAnsi="Abadi"/>
          <w:sz w:val="21"/>
          <w:szCs w:val="21"/>
        </w:rPr>
        <w:t xml:space="preserve">esarrollo </w:t>
      </w:r>
      <w:r>
        <w:rPr>
          <w:rFonts w:ascii="Abadi" w:hAnsi="Abadi"/>
          <w:sz w:val="21"/>
          <w:szCs w:val="21"/>
        </w:rPr>
        <w:t>U</w:t>
      </w:r>
      <w:r w:rsidRPr="0030088F">
        <w:rPr>
          <w:rFonts w:ascii="Abadi" w:hAnsi="Abadi"/>
          <w:sz w:val="21"/>
          <w:szCs w:val="21"/>
        </w:rPr>
        <w:t xml:space="preserve">rbano y </w:t>
      </w:r>
      <w:r>
        <w:rPr>
          <w:rFonts w:ascii="Abadi" w:hAnsi="Abadi"/>
          <w:sz w:val="21"/>
          <w:szCs w:val="21"/>
        </w:rPr>
        <w:t>O</w:t>
      </w:r>
      <w:r w:rsidRPr="0030088F">
        <w:rPr>
          <w:rFonts w:ascii="Abadi" w:hAnsi="Abadi"/>
          <w:sz w:val="21"/>
          <w:szCs w:val="21"/>
        </w:rPr>
        <w:t xml:space="preserve">bra </w:t>
      </w:r>
      <w:r>
        <w:rPr>
          <w:rFonts w:ascii="Abadi" w:hAnsi="Abadi"/>
          <w:sz w:val="21"/>
          <w:szCs w:val="21"/>
        </w:rPr>
        <w:t>P</w:t>
      </w:r>
      <w:r w:rsidRPr="0030088F">
        <w:rPr>
          <w:rFonts w:ascii="Abadi" w:hAnsi="Abadi"/>
          <w:sz w:val="21"/>
          <w:szCs w:val="21"/>
        </w:rPr>
        <w:t>ública relativo al punto 20 del orden del día</w:t>
      </w:r>
      <w:r>
        <w:rPr>
          <w:rFonts w:ascii="Abadi" w:hAnsi="Abadi"/>
          <w:sz w:val="21"/>
          <w:szCs w:val="21"/>
        </w:rPr>
        <w:t xml:space="preserve">. </w:t>
      </w:r>
      <w:r w:rsidRPr="008B6C29">
        <w:rPr>
          <w:rFonts w:ascii="Abadi" w:hAnsi="Abadi"/>
          <w:b/>
          <w:bCs/>
          <w:sz w:val="21"/>
          <w:szCs w:val="21"/>
        </w:rPr>
        <w:t>(ELD 263/LXV-PPA)</w:t>
      </w:r>
    </w:p>
    <w:p w14:paraId="6442F08F" w14:textId="77777777" w:rsidR="00672D31" w:rsidRPr="008B6C29" w:rsidRDefault="00672D31" w:rsidP="00672D31">
      <w:pPr>
        <w:jc w:val="both"/>
        <w:rPr>
          <w:rFonts w:ascii="Abadi" w:hAnsi="Abadi"/>
          <w:b/>
          <w:bCs/>
          <w:sz w:val="21"/>
          <w:szCs w:val="21"/>
        </w:rPr>
      </w:pPr>
    </w:p>
    <w:p w14:paraId="3FF8E12F" w14:textId="77777777" w:rsidR="00672D31" w:rsidRDefault="00672D31" w:rsidP="00672D31">
      <w:pPr>
        <w:jc w:val="both"/>
        <w:rPr>
          <w:rFonts w:ascii="Abadi" w:hAnsi="Abadi"/>
          <w:sz w:val="21"/>
          <w:szCs w:val="21"/>
        </w:rPr>
      </w:pPr>
      <w:r>
        <w:rPr>
          <w:rFonts w:ascii="Abadi" w:hAnsi="Abadi"/>
          <w:sz w:val="21"/>
          <w:szCs w:val="21"/>
        </w:rPr>
        <w:tab/>
        <w:t>- M</w:t>
      </w:r>
      <w:r w:rsidRPr="0030088F">
        <w:rPr>
          <w:rFonts w:ascii="Abadi" w:hAnsi="Abadi"/>
          <w:sz w:val="21"/>
          <w:szCs w:val="21"/>
        </w:rPr>
        <w:t xml:space="preserve">e permito informar que previamente se ha inscrito el diputado Alejandro </w:t>
      </w:r>
      <w:r>
        <w:rPr>
          <w:rFonts w:ascii="Abadi" w:hAnsi="Abadi"/>
          <w:sz w:val="21"/>
          <w:szCs w:val="21"/>
        </w:rPr>
        <w:t>A</w:t>
      </w:r>
      <w:r w:rsidRPr="0030088F">
        <w:rPr>
          <w:rFonts w:ascii="Abadi" w:hAnsi="Abadi"/>
          <w:sz w:val="21"/>
          <w:szCs w:val="21"/>
        </w:rPr>
        <w:t>rias Ávila</w:t>
      </w:r>
      <w:r>
        <w:rPr>
          <w:rFonts w:ascii="Abadi" w:hAnsi="Abadi"/>
          <w:sz w:val="21"/>
          <w:szCs w:val="21"/>
        </w:rPr>
        <w:t>,</w:t>
      </w:r>
      <w:r w:rsidRPr="0030088F">
        <w:rPr>
          <w:rFonts w:ascii="Abadi" w:hAnsi="Abadi"/>
          <w:sz w:val="21"/>
          <w:szCs w:val="21"/>
        </w:rPr>
        <w:t xml:space="preserve"> para hablar </w:t>
      </w:r>
      <w:r>
        <w:rPr>
          <w:rFonts w:ascii="Abadi" w:hAnsi="Abadi"/>
          <w:sz w:val="21"/>
          <w:szCs w:val="21"/>
        </w:rPr>
        <w:t>¡</w:t>
      </w:r>
      <w:r w:rsidRPr="0030088F">
        <w:rPr>
          <w:rFonts w:ascii="Abadi" w:hAnsi="Abadi"/>
          <w:sz w:val="21"/>
          <w:szCs w:val="21"/>
        </w:rPr>
        <w:t>a favor</w:t>
      </w:r>
      <w:r>
        <w:rPr>
          <w:rFonts w:ascii="Abadi" w:hAnsi="Abadi"/>
          <w:sz w:val="21"/>
          <w:szCs w:val="21"/>
        </w:rPr>
        <w:t>!</w:t>
      </w:r>
      <w:r w:rsidRPr="0030088F">
        <w:rPr>
          <w:rFonts w:ascii="Abadi" w:hAnsi="Abadi"/>
          <w:sz w:val="21"/>
          <w:szCs w:val="21"/>
        </w:rPr>
        <w:t xml:space="preserve"> si desean hacer uso de la palabra a favor o en contra </w:t>
      </w:r>
      <w:r>
        <w:rPr>
          <w:rFonts w:ascii="Abadi" w:hAnsi="Abadi"/>
          <w:sz w:val="21"/>
          <w:szCs w:val="21"/>
        </w:rPr>
        <w:t xml:space="preserve">manifiéstenlo </w:t>
      </w:r>
      <w:r w:rsidRPr="0030088F">
        <w:rPr>
          <w:rFonts w:ascii="Abadi" w:hAnsi="Abadi"/>
          <w:sz w:val="21"/>
          <w:szCs w:val="21"/>
        </w:rPr>
        <w:t>indicando el sentido de su participación</w:t>
      </w:r>
      <w:r>
        <w:rPr>
          <w:rFonts w:ascii="Abadi" w:hAnsi="Abadi"/>
          <w:sz w:val="21"/>
          <w:szCs w:val="21"/>
        </w:rPr>
        <w:t xml:space="preserve"> ¿diputado </w:t>
      </w:r>
      <w:r w:rsidRPr="0030088F">
        <w:rPr>
          <w:rFonts w:ascii="Abadi" w:hAnsi="Abadi"/>
          <w:sz w:val="21"/>
          <w:szCs w:val="21"/>
        </w:rPr>
        <w:t xml:space="preserve">Cuauhtémoc </w:t>
      </w:r>
      <w:r>
        <w:rPr>
          <w:rFonts w:ascii="Abadi" w:hAnsi="Abadi"/>
          <w:sz w:val="21"/>
          <w:szCs w:val="21"/>
        </w:rPr>
        <w:t>B</w:t>
      </w:r>
      <w:r w:rsidRPr="0030088F">
        <w:rPr>
          <w:rFonts w:ascii="Abadi" w:hAnsi="Abadi"/>
          <w:sz w:val="21"/>
          <w:szCs w:val="21"/>
        </w:rPr>
        <w:t>ecerra</w:t>
      </w:r>
      <w:r>
        <w:rPr>
          <w:rFonts w:ascii="Abadi" w:hAnsi="Abadi"/>
          <w:sz w:val="21"/>
          <w:szCs w:val="21"/>
        </w:rPr>
        <w:t>?</w:t>
      </w:r>
      <w:r w:rsidRPr="0030088F">
        <w:rPr>
          <w:rFonts w:ascii="Abadi" w:hAnsi="Abadi"/>
          <w:sz w:val="21"/>
          <w:szCs w:val="21"/>
        </w:rPr>
        <w:t xml:space="preserve"> para que</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en qué sentido</w:t>
      </w:r>
      <w:r>
        <w:rPr>
          <w:rFonts w:ascii="Abadi" w:hAnsi="Abadi"/>
          <w:sz w:val="21"/>
          <w:szCs w:val="21"/>
        </w:rPr>
        <w:t xml:space="preserve">? </w:t>
      </w:r>
      <w:r w:rsidRPr="00E52801">
        <w:rPr>
          <w:rFonts w:ascii="Abadi" w:hAnsi="Abadi"/>
          <w:b/>
          <w:bCs/>
          <w:sz w:val="21"/>
          <w:szCs w:val="21"/>
        </w:rPr>
        <w:t>(Voz) diputado Cuauhtémoc,</w:t>
      </w:r>
      <w:r>
        <w:rPr>
          <w:rFonts w:ascii="Abadi" w:hAnsi="Abadi"/>
          <w:sz w:val="21"/>
          <w:szCs w:val="21"/>
        </w:rPr>
        <w:t xml:space="preserve"> </w:t>
      </w:r>
      <w:r w:rsidRPr="0030088F">
        <w:rPr>
          <w:rFonts w:ascii="Abadi" w:hAnsi="Abadi"/>
          <w:sz w:val="21"/>
          <w:szCs w:val="21"/>
        </w:rPr>
        <w:t>a presidenta para hablar en contra</w:t>
      </w:r>
      <w:r>
        <w:rPr>
          <w:rFonts w:ascii="Abadi" w:hAnsi="Abadi"/>
          <w:sz w:val="21"/>
          <w:szCs w:val="21"/>
        </w:rPr>
        <w:t xml:space="preserve">, </w:t>
      </w:r>
      <w:r w:rsidRPr="00E52801">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gracias diputado</w:t>
      </w:r>
      <w:r>
        <w:rPr>
          <w:rFonts w:ascii="Abadi" w:hAnsi="Abadi"/>
          <w:sz w:val="21"/>
          <w:szCs w:val="21"/>
        </w:rPr>
        <w:t>,</w:t>
      </w:r>
      <w:r w:rsidRPr="0030088F">
        <w:rPr>
          <w:rFonts w:ascii="Abadi" w:hAnsi="Abadi"/>
          <w:sz w:val="21"/>
          <w:szCs w:val="21"/>
        </w:rPr>
        <w:t xml:space="preserve"> tiene el uso de la </w:t>
      </w:r>
      <w:r>
        <w:rPr>
          <w:rFonts w:ascii="Abadi" w:hAnsi="Abadi"/>
          <w:sz w:val="21"/>
          <w:szCs w:val="21"/>
        </w:rPr>
        <w:t xml:space="preserve">voz </w:t>
      </w:r>
      <w:r w:rsidRPr="0030088F">
        <w:rPr>
          <w:rFonts w:ascii="Abadi" w:hAnsi="Abadi"/>
          <w:sz w:val="21"/>
          <w:szCs w:val="21"/>
        </w:rPr>
        <w:t>Cuauhtémoc</w:t>
      </w:r>
      <w:r>
        <w:rPr>
          <w:rFonts w:ascii="Abadi" w:hAnsi="Abadi"/>
          <w:sz w:val="21"/>
          <w:szCs w:val="21"/>
        </w:rPr>
        <w:t xml:space="preserve">, hasta por </w:t>
      </w:r>
      <w:r w:rsidRPr="0030088F">
        <w:rPr>
          <w:rFonts w:ascii="Abadi" w:hAnsi="Abadi"/>
          <w:sz w:val="21"/>
          <w:szCs w:val="21"/>
        </w:rPr>
        <w:t>10 minutos para hablar en contra</w:t>
      </w:r>
      <w:r>
        <w:rPr>
          <w:rFonts w:ascii="Abadi" w:hAnsi="Abadi"/>
          <w:sz w:val="21"/>
          <w:szCs w:val="21"/>
        </w:rPr>
        <w:t>.</w:t>
      </w:r>
    </w:p>
    <w:p w14:paraId="41406E0C" w14:textId="77777777" w:rsidR="00672D31" w:rsidRDefault="00672D31" w:rsidP="00672D31">
      <w:pPr>
        <w:jc w:val="both"/>
        <w:rPr>
          <w:rFonts w:ascii="Abadi" w:hAnsi="Abadi"/>
          <w:sz w:val="21"/>
          <w:szCs w:val="21"/>
        </w:rPr>
      </w:pPr>
    </w:p>
    <w:p w14:paraId="49E38DD5" w14:textId="77777777" w:rsidR="00672D31" w:rsidRPr="0030088F" w:rsidRDefault="00672D31" w:rsidP="00672D31">
      <w:pPr>
        <w:jc w:val="both"/>
        <w:rPr>
          <w:rFonts w:ascii="Abadi" w:hAnsi="Abadi"/>
          <w:sz w:val="21"/>
          <w:szCs w:val="21"/>
        </w:rPr>
      </w:pPr>
      <w:r>
        <w:rPr>
          <w:rFonts w:ascii="Abadi" w:hAnsi="Abadi"/>
          <w:sz w:val="21"/>
          <w:szCs w:val="21"/>
        </w:rPr>
        <w:tab/>
        <w:t>- A</w:t>
      </w:r>
      <w:r w:rsidRPr="0030088F">
        <w:rPr>
          <w:rFonts w:ascii="Abadi" w:hAnsi="Abadi"/>
          <w:sz w:val="21"/>
          <w:szCs w:val="21"/>
        </w:rPr>
        <w:t>dela</w:t>
      </w:r>
      <w:r>
        <w:rPr>
          <w:rFonts w:ascii="Abadi" w:hAnsi="Abadi"/>
          <w:sz w:val="21"/>
          <w:szCs w:val="21"/>
        </w:rPr>
        <w:t>nte.</w:t>
      </w:r>
    </w:p>
    <w:p w14:paraId="39C50257" w14:textId="77777777" w:rsidR="00672D31" w:rsidRPr="0030088F" w:rsidRDefault="00672D31" w:rsidP="00672D31">
      <w:pPr>
        <w:jc w:val="both"/>
        <w:rPr>
          <w:rFonts w:ascii="Abadi" w:hAnsi="Abadi"/>
          <w:sz w:val="21"/>
          <w:szCs w:val="21"/>
        </w:rPr>
      </w:pPr>
    </w:p>
    <w:p w14:paraId="55F794E7" w14:textId="77777777" w:rsidR="00672D31" w:rsidRDefault="00672D31" w:rsidP="00672D31">
      <w:pPr>
        <w:jc w:val="both"/>
        <w:rPr>
          <w:rFonts w:ascii="Abadi" w:hAnsi="Abadi"/>
          <w:b/>
          <w:bCs/>
          <w:sz w:val="21"/>
          <w:szCs w:val="21"/>
        </w:rPr>
      </w:pPr>
      <w:r w:rsidRPr="003139D2">
        <w:rPr>
          <w:rFonts w:ascii="Abadi" w:hAnsi="Abadi"/>
          <w:b/>
          <w:bCs/>
          <w:sz w:val="21"/>
          <w:szCs w:val="21"/>
        </w:rPr>
        <w:t>(Sube a tribuna el diputado Cuauhtémoc Becerra González, para hablar en contra del dictamen en referencia)</w:t>
      </w:r>
    </w:p>
    <w:p w14:paraId="78E2F8B3" w14:textId="77777777" w:rsidR="00672D31" w:rsidRDefault="00672D31" w:rsidP="00672D31">
      <w:pPr>
        <w:jc w:val="both"/>
        <w:rPr>
          <w:rFonts w:ascii="Abadi" w:hAnsi="Abadi"/>
          <w:b/>
          <w:bCs/>
          <w:sz w:val="21"/>
          <w:szCs w:val="21"/>
        </w:rPr>
      </w:pPr>
    </w:p>
    <w:p w14:paraId="16183ED5" w14:textId="04A7845D" w:rsidR="00672D31" w:rsidRDefault="00672D31" w:rsidP="00672D31">
      <w:pPr>
        <w:jc w:val="both"/>
        <w:rPr>
          <w:rFonts w:ascii="Abadi" w:hAnsi="Abadi"/>
          <w:b/>
          <w:bCs/>
          <w:sz w:val="21"/>
          <w:szCs w:val="21"/>
        </w:rPr>
      </w:pPr>
    </w:p>
    <w:p w14:paraId="3B2F2DD9" w14:textId="298D94A4" w:rsidR="00672D31" w:rsidRPr="003139D2" w:rsidRDefault="00672D31" w:rsidP="00672D31">
      <w:pPr>
        <w:jc w:val="both"/>
        <w:rPr>
          <w:rFonts w:ascii="Abadi" w:hAnsi="Abadi"/>
          <w:b/>
          <w:bCs/>
          <w:sz w:val="21"/>
          <w:szCs w:val="21"/>
        </w:rPr>
      </w:pPr>
      <w:r>
        <w:rPr>
          <w:noProof/>
        </w:rPr>
        <w:drawing>
          <wp:anchor distT="0" distB="0" distL="114300" distR="114300" simplePos="0" relativeHeight="251659286" behindDoc="1" locked="0" layoutInCell="1" allowOverlap="1" wp14:anchorId="79BE7E86" wp14:editId="19523D31">
            <wp:simplePos x="0" y="0"/>
            <wp:positionH relativeFrom="column">
              <wp:posOffset>724081</wp:posOffset>
            </wp:positionH>
            <wp:positionV relativeFrom="paragraph">
              <wp:posOffset>102779</wp:posOffset>
            </wp:positionV>
            <wp:extent cx="1206500" cy="621133"/>
            <wp:effectExtent l="247650" t="228600" r="241300" b="731520"/>
            <wp:wrapTight wrapText="bothSides">
              <wp:wrapPolygon edited="0">
                <wp:start x="-4434" y="-7951"/>
                <wp:lineTo x="-4434" y="46380"/>
                <wp:lineTo x="25579" y="46380"/>
                <wp:lineTo x="25579" y="-7951"/>
                <wp:lineTo x="-4434" y="-7951"/>
              </wp:wrapPolygon>
            </wp:wrapTight>
            <wp:docPr id="1217921549" name="Imagen 1217921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921549" name=""/>
                    <pic:cNvPicPr/>
                  </pic:nvPicPr>
                  <pic:blipFill rotWithShape="1">
                    <a:blip r:embed="rId45" cstate="print">
                      <a:extLst>
                        <a:ext uri="{28A0092B-C50C-407E-A947-70E740481C1C}">
                          <a14:useLocalDpi xmlns:a14="http://schemas.microsoft.com/office/drawing/2010/main" val="0"/>
                        </a:ext>
                      </a:extLst>
                    </a:blip>
                    <a:srcRect b="8469"/>
                    <a:stretch/>
                  </pic:blipFill>
                  <pic:spPr bwMode="auto">
                    <a:xfrm>
                      <a:off x="0" y="0"/>
                      <a:ext cx="1206500" cy="62113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BFEA7B7" w14:textId="77777777" w:rsidR="00672D31" w:rsidRDefault="00672D31" w:rsidP="00672D31">
      <w:pPr>
        <w:jc w:val="both"/>
        <w:rPr>
          <w:rFonts w:ascii="Abadi" w:hAnsi="Abadi"/>
          <w:b/>
          <w:bCs/>
          <w:sz w:val="21"/>
          <w:szCs w:val="21"/>
        </w:rPr>
      </w:pPr>
      <w:r>
        <w:rPr>
          <w:rFonts w:ascii="Abadi" w:hAnsi="Abadi"/>
          <w:b/>
          <w:bCs/>
          <w:sz w:val="21"/>
          <w:szCs w:val="21"/>
        </w:rPr>
        <w:t>D</w:t>
      </w:r>
      <w:r w:rsidRPr="003139D2">
        <w:rPr>
          <w:rFonts w:ascii="Abadi" w:hAnsi="Abadi"/>
          <w:b/>
          <w:bCs/>
          <w:sz w:val="21"/>
          <w:szCs w:val="21"/>
        </w:rPr>
        <w:t>iputado Cuauhtémoc Becerra González</w:t>
      </w:r>
    </w:p>
    <w:p w14:paraId="15094D4F" w14:textId="77777777" w:rsidR="00672D31" w:rsidRDefault="00672D31" w:rsidP="00672D31">
      <w:pPr>
        <w:jc w:val="both"/>
        <w:rPr>
          <w:rFonts w:ascii="Abadi" w:hAnsi="Abadi"/>
          <w:sz w:val="21"/>
          <w:szCs w:val="21"/>
        </w:rPr>
      </w:pPr>
    </w:p>
    <w:p w14:paraId="1374CEB5" w14:textId="77777777" w:rsidR="00672D31" w:rsidRDefault="00672D31" w:rsidP="00672D31">
      <w:pPr>
        <w:jc w:val="both"/>
        <w:rPr>
          <w:rFonts w:ascii="Abadi" w:hAnsi="Abadi"/>
          <w:sz w:val="21"/>
          <w:szCs w:val="21"/>
        </w:rPr>
      </w:pPr>
      <w:r>
        <w:rPr>
          <w:rFonts w:ascii="Abadi" w:hAnsi="Abadi"/>
          <w:sz w:val="21"/>
          <w:szCs w:val="21"/>
        </w:rPr>
        <w:t>- C</w:t>
      </w:r>
      <w:r w:rsidRPr="0030088F">
        <w:rPr>
          <w:rFonts w:ascii="Abadi" w:hAnsi="Abadi"/>
          <w:sz w:val="21"/>
          <w:szCs w:val="21"/>
        </w:rPr>
        <w:t xml:space="preserve">on el permiso de la presidenta y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 xml:space="preserve">irectiva saludos nuevamente a mis compañeros diputados a las personitas que nos </w:t>
      </w:r>
      <w:r>
        <w:rPr>
          <w:rFonts w:ascii="Abadi" w:hAnsi="Abadi"/>
          <w:sz w:val="21"/>
          <w:szCs w:val="21"/>
        </w:rPr>
        <w:t xml:space="preserve">acompañan del Municipio de San Luis de la Paz, </w:t>
      </w:r>
      <w:r w:rsidRPr="0030088F">
        <w:rPr>
          <w:rFonts w:ascii="Abadi" w:hAnsi="Abadi"/>
          <w:sz w:val="21"/>
          <w:szCs w:val="21"/>
        </w:rPr>
        <w:t>a todos esos chiquitos muy bienvenidos y a sus profesores quienes los acompañan</w:t>
      </w:r>
      <w:r>
        <w:rPr>
          <w:rFonts w:ascii="Abadi" w:hAnsi="Abadi"/>
          <w:sz w:val="21"/>
          <w:szCs w:val="21"/>
        </w:rPr>
        <w:t>.</w:t>
      </w:r>
    </w:p>
    <w:p w14:paraId="6EAB4F7B" w14:textId="77777777" w:rsidR="00672D31" w:rsidRDefault="00672D31" w:rsidP="00672D31">
      <w:pPr>
        <w:jc w:val="both"/>
        <w:rPr>
          <w:rFonts w:ascii="Abadi" w:hAnsi="Abadi"/>
          <w:sz w:val="21"/>
          <w:szCs w:val="21"/>
        </w:rPr>
      </w:pPr>
    </w:p>
    <w:p w14:paraId="032AA437" w14:textId="77777777" w:rsidR="00672D31" w:rsidRPr="0030088F" w:rsidRDefault="00672D31" w:rsidP="00672D31">
      <w:pPr>
        <w:jc w:val="both"/>
        <w:rPr>
          <w:rFonts w:ascii="Abadi" w:hAnsi="Abadi"/>
          <w:sz w:val="21"/>
          <w:szCs w:val="21"/>
        </w:rPr>
      </w:pPr>
      <w:r>
        <w:rPr>
          <w:rFonts w:ascii="Abadi" w:hAnsi="Abadi"/>
          <w:sz w:val="21"/>
          <w:szCs w:val="21"/>
        </w:rPr>
        <w:t>-</w:t>
      </w:r>
      <w:r w:rsidRPr="0030088F">
        <w:rPr>
          <w:rFonts w:ascii="Abadi" w:hAnsi="Abadi"/>
          <w:sz w:val="21"/>
          <w:szCs w:val="21"/>
        </w:rPr>
        <w:t xml:space="preserve"> </w:t>
      </w:r>
      <w:r>
        <w:rPr>
          <w:rFonts w:ascii="Abadi" w:hAnsi="Abadi"/>
          <w:sz w:val="21"/>
          <w:szCs w:val="21"/>
        </w:rPr>
        <w:t>B</w:t>
      </w:r>
      <w:r w:rsidRPr="0030088F">
        <w:rPr>
          <w:rFonts w:ascii="Abadi" w:hAnsi="Abadi"/>
          <w:sz w:val="21"/>
          <w:szCs w:val="21"/>
        </w:rPr>
        <w:t>ien</w:t>
      </w:r>
      <w:r>
        <w:rPr>
          <w:rFonts w:ascii="Abadi" w:hAnsi="Abadi"/>
          <w:sz w:val="21"/>
          <w:szCs w:val="21"/>
        </w:rPr>
        <w:t>,</w:t>
      </w:r>
      <w:r w:rsidRPr="0030088F">
        <w:rPr>
          <w:rFonts w:ascii="Abadi" w:hAnsi="Abadi"/>
          <w:sz w:val="21"/>
          <w:szCs w:val="21"/>
        </w:rPr>
        <w:t xml:space="preserve"> en este momento yo tengo el uso de la voz para hablar en contra del dictamen </w:t>
      </w:r>
      <w:r>
        <w:rPr>
          <w:rFonts w:ascii="Abadi" w:hAnsi="Abadi"/>
          <w:sz w:val="21"/>
          <w:szCs w:val="21"/>
        </w:rPr>
        <w:t>de la c</w:t>
      </w:r>
      <w:r w:rsidRPr="0030088F">
        <w:rPr>
          <w:rFonts w:ascii="Abadi" w:hAnsi="Abadi"/>
          <w:sz w:val="21"/>
          <w:szCs w:val="21"/>
        </w:rPr>
        <w:t>omisión de la que yo formo parte</w:t>
      </w:r>
      <w:r>
        <w:rPr>
          <w:rFonts w:ascii="Abadi" w:hAnsi="Abadi"/>
          <w:sz w:val="21"/>
          <w:szCs w:val="21"/>
        </w:rPr>
        <w:t>,</w:t>
      </w:r>
      <w:r w:rsidRPr="0030088F">
        <w:rPr>
          <w:rFonts w:ascii="Abadi" w:hAnsi="Abadi"/>
          <w:sz w:val="21"/>
          <w:szCs w:val="21"/>
        </w:rPr>
        <w:t xml:space="preserve"> pero las razones de aquí las expongo</w:t>
      </w:r>
      <w:r>
        <w:rPr>
          <w:rFonts w:ascii="Abadi" w:hAnsi="Abadi"/>
          <w:sz w:val="21"/>
          <w:szCs w:val="21"/>
        </w:rPr>
        <w:t>,</w:t>
      </w:r>
      <w:r w:rsidRPr="0030088F">
        <w:rPr>
          <w:rFonts w:ascii="Abadi" w:hAnsi="Abadi"/>
          <w:sz w:val="21"/>
          <w:szCs w:val="21"/>
        </w:rPr>
        <w:t xml:space="preserve"> en </w:t>
      </w:r>
      <w:r>
        <w:rPr>
          <w:rFonts w:ascii="Abadi" w:hAnsi="Abadi"/>
          <w:sz w:val="21"/>
          <w:szCs w:val="21"/>
        </w:rPr>
        <w:t>M</w:t>
      </w:r>
      <w:r w:rsidRPr="0030088F">
        <w:rPr>
          <w:rFonts w:ascii="Abadi" w:hAnsi="Abadi"/>
          <w:sz w:val="21"/>
          <w:szCs w:val="21"/>
        </w:rPr>
        <w:t>orena consideramos que el acceso al agua es un derecho humano mismo que tiene que ser garantizado por el estado y en el que no sólo se otorgue al estado los recursos jurídicos para cumplir con el contenido nuclear del derecho sino que además incorpore los elementos normativos necesarios para que el estado haga progresar este derecho humano</w:t>
      </w:r>
      <w:r>
        <w:rPr>
          <w:rFonts w:ascii="Abadi" w:hAnsi="Abadi"/>
          <w:sz w:val="21"/>
          <w:szCs w:val="21"/>
        </w:rPr>
        <w:t>,</w:t>
      </w:r>
      <w:r w:rsidRPr="0030088F">
        <w:rPr>
          <w:rFonts w:ascii="Abadi" w:hAnsi="Abadi"/>
          <w:sz w:val="21"/>
          <w:szCs w:val="21"/>
        </w:rPr>
        <w:t xml:space="preserve"> por tal razón es necesario y urgente la aprobación de una ley general de aguas misma que garantice el acceso equitativo y sustentable pero que si ponga fin a esta ley de aguas nacionales de enfoque enteramente neoliberal y cuyo objetivo principal ha sido la concesión de aguas propiedad de la nación y no su tratamiento como un bien fundamental</w:t>
      </w:r>
      <w:r>
        <w:rPr>
          <w:rFonts w:ascii="Abadi" w:hAnsi="Abadi"/>
          <w:sz w:val="21"/>
          <w:szCs w:val="21"/>
        </w:rPr>
        <w:t>.</w:t>
      </w:r>
    </w:p>
    <w:p w14:paraId="15EA76C6" w14:textId="77777777" w:rsidR="00672D31" w:rsidRDefault="00672D31" w:rsidP="00672D31">
      <w:pPr>
        <w:jc w:val="both"/>
        <w:rPr>
          <w:rFonts w:ascii="Abadi" w:hAnsi="Abadi"/>
          <w:sz w:val="21"/>
          <w:szCs w:val="21"/>
        </w:rPr>
      </w:pPr>
      <w:r>
        <w:rPr>
          <w:rFonts w:ascii="Abadi" w:hAnsi="Abadi"/>
          <w:sz w:val="21"/>
          <w:szCs w:val="21"/>
        </w:rPr>
        <w:t>- E</w:t>
      </w:r>
      <w:r w:rsidRPr="0030088F">
        <w:rPr>
          <w:rFonts w:ascii="Abadi" w:hAnsi="Abadi"/>
          <w:sz w:val="21"/>
          <w:szCs w:val="21"/>
        </w:rPr>
        <w:t xml:space="preserve">stá fuera de duda que el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ha excedido el plazo de 360 días para expedir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w:t>
      </w:r>
      <w:r>
        <w:rPr>
          <w:rFonts w:ascii="Abadi" w:hAnsi="Abadi"/>
          <w:sz w:val="21"/>
          <w:szCs w:val="21"/>
        </w:rPr>
        <w:t>,</w:t>
      </w:r>
      <w:r w:rsidRPr="0030088F">
        <w:rPr>
          <w:rFonts w:ascii="Abadi" w:hAnsi="Abadi"/>
          <w:sz w:val="21"/>
          <w:szCs w:val="21"/>
        </w:rPr>
        <w:t xml:space="preserve"> previsto en el transitorio del decreto de reformas constitucionales el 08/02/2012 pues sí la verdad o aparece apareciera que sí andan muy retrasado de estos amigos</w:t>
      </w:r>
      <w:r>
        <w:rPr>
          <w:rFonts w:ascii="Abadi" w:hAnsi="Abadi"/>
          <w:sz w:val="21"/>
          <w:szCs w:val="21"/>
        </w:rPr>
        <w:t>,</w:t>
      </w:r>
      <w:r w:rsidRPr="0030088F">
        <w:rPr>
          <w:rFonts w:ascii="Abadi" w:hAnsi="Abadi"/>
          <w:sz w:val="21"/>
          <w:szCs w:val="21"/>
        </w:rPr>
        <w:t xml:space="preserve"> en efecto</w:t>
      </w:r>
      <w:r>
        <w:rPr>
          <w:rFonts w:ascii="Abadi" w:hAnsi="Abadi"/>
          <w:sz w:val="21"/>
          <w:szCs w:val="21"/>
        </w:rPr>
        <w:t>,</w:t>
      </w:r>
      <w:r w:rsidRPr="0030088F">
        <w:rPr>
          <w:rFonts w:ascii="Abadi" w:hAnsi="Abadi"/>
          <w:sz w:val="21"/>
          <w:szCs w:val="21"/>
        </w:rPr>
        <w:t xml:space="preserve"> han transcurrido </w:t>
      </w:r>
      <w:r>
        <w:rPr>
          <w:rFonts w:ascii="Abadi" w:hAnsi="Abadi"/>
          <w:sz w:val="21"/>
          <w:szCs w:val="21"/>
        </w:rPr>
        <w:t>tres</w:t>
      </w:r>
      <w:r w:rsidRPr="0030088F">
        <w:rPr>
          <w:rFonts w:ascii="Abadi" w:hAnsi="Abadi"/>
          <w:sz w:val="21"/>
          <w:szCs w:val="21"/>
        </w:rPr>
        <w:t xml:space="preserve"> legislaturas siendo </w:t>
      </w:r>
      <w:r>
        <w:rPr>
          <w:rFonts w:ascii="Abadi" w:hAnsi="Abadi"/>
          <w:sz w:val="21"/>
          <w:szCs w:val="21"/>
        </w:rPr>
        <w:t xml:space="preserve">dos </w:t>
      </w:r>
      <w:r w:rsidRPr="0030088F">
        <w:rPr>
          <w:rFonts w:ascii="Abadi" w:hAnsi="Abadi"/>
          <w:sz w:val="21"/>
          <w:szCs w:val="21"/>
        </w:rPr>
        <w:t>de ellas las anteriores de mayoría priista y panista sin que en esas legislaturas se hubiese aprobado dicha ley</w:t>
      </w:r>
      <w:r>
        <w:rPr>
          <w:rFonts w:ascii="Abadi" w:hAnsi="Abadi"/>
          <w:sz w:val="21"/>
          <w:szCs w:val="21"/>
        </w:rPr>
        <w:t>.</w:t>
      </w:r>
    </w:p>
    <w:p w14:paraId="5EDB4486" w14:textId="77777777" w:rsidR="00672D31" w:rsidRDefault="00672D31" w:rsidP="00672D31">
      <w:pPr>
        <w:jc w:val="both"/>
        <w:rPr>
          <w:rFonts w:ascii="Abadi" w:hAnsi="Abadi"/>
          <w:sz w:val="21"/>
          <w:szCs w:val="21"/>
        </w:rPr>
      </w:pPr>
      <w:r>
        <w:rPr>
          <w:rFonts w:ascii="Abadi" w:hAnsi="Abadi"/>
          <w:sz w:val="21"/>
          <w:szCs w:val="21"/>
        </w:rPr>
        <w:t>- S</w:t>
      </w:r>
      <w:r w:rsidRPr="0030088F">
        <w:rPr>
          <w:rFonts w:ascii="Abadi" w:hAnsi="Abadi"/>
          <w:sz w:val="21"/>
          <w:szCs w:val="21"/>
        </w:rPr>
        <w:t xml:space="preserve">in embargo la demora en la expedición de ese ordenamiento legal por parte de la </w:t>
      </w:r>
      <w:r>
        <w:rPr>
          <w:rFonts w:ascii="Abadi" w:hAnsi="Abadi"/>
          <w:sz w:val="21"/>
          <w:szCs w:val="21"/>
        </w:rPr>
        <w:t xml:space="preserve">Sexagésima Cuarta Legislatura, </w:t>
      </w:r>
      <w:r w:rsidRPr="0030088F">
        <w:rPr>
          <w:rFonts w:ascii="Abadi" w:hAnsi="Abadi"/>
          <w:sz w:val="21"/>
          <w:szCs w:val="21"/>
        </w:rPr>
        <w:t>se encuentra justificada</w:t>
      </w:r>
      <w:r>
        <w:rPr>
          <w:rFonts w:ascii="Abadi" w:hAnsi="Abadi"/>
          <w:sz w:val="21"/>
          <w:szCs w:val="21"/>
        </w:rPr>
        <w:t>,</w:t>
      </w:r>
      <w:r w:rsidRPr="0030088F">
        <w:rPr>
          <w:rFonts w:ascii="Abadi" w:hAnsi="Abadi"/>
          <w:sz w:val="21"/>
          <w:szCs w:val="21"/>
        </w:rPr>
        <w:t xml:space="preserve"> dada</w:t>
      </w:r>
      <w:r>
        <w:rPr>
          <w:rFonts w:ascii="Abadi" w:hAnsi="Abadi"/>
          <w:sz w:val="21"/>
          <w:szCs w:val="21"/>
        </w:rPr>
        <w:t>s</w:t>
      </w:r>
      <w:r w:rsidRPr="0030088F">
        <w:rPr>
          <w:rFonts w:ascii="Abadi" w:hAnsi="Abadi"/>
          <w:sz w:val="21"/>
          <w:szCs w:val="21"/>
        </w:rPr>
        <w:t xml:space="preserve"> las condiciones anómalas en </w:t>
      </w:r>
      <w:r w:rsidRPr="0030088F">
        <w:rPr>
          <w:rFonts w:ascii="Abadi" w:hAnsi="Abadi"/>
          <w:sz w:val="21"/>
          <w:szCs w:val="21"/>
        </w:rPr>
        <w:lastRenderedPageBreak/>
        <w:t>las que transcurrió tal periodo</w:t>
      </w:r>
      <w:r>
        <w:rPr>
          <w:rFonts w:ascii="Abadi" w:hAnsi="Abadi"/>
          <w:sz w:val="21"/>
          <w:szCs w:val="21"/>
        </w:rPr>
        <w:t>,</w:t>
      </w:r>
      <w:r w:rsidRPr="0030088F">
        <w:rPr>
          <w:rFonts w:ascii="Abadi" w:hAnsi="Abadi"/>
          <w:sz w:val="21"/>
          <w:szCs w:val="21"/>
        </w:rPr>
        <w:t xml:space="preserve"> recordemos que fue precisamente en este tiempo cuando la emergencia sanitaria ocasionada por el virus </w:t>
      </w:r>
      <w:r>
        <w:rPr>
          <w:rFonts w:ascii="Abadi" w:hAnsi="Abadi"/>
          <w:sz w:val="21"/>
          <w:szCs w:val="21"/>
        </w:rPr>
        <w:t>SARS COV 2</w:t>
      </w:r>
      <w:r w:rsidRPr="0030088F">
        <w:rPr>
          <w:rFonts w:ascii="Abadi" w:hAnsi="Abadi"/>
          <w:sz w:val="21"/>
          <w:szCs w:val="21"/>
        </w:rPr>
        <w:t xml:space="preserve"> incidió en más de un aspecto de nuestra vida cotidiana tales como en la salud la economía y también provocó retraso en las cadenas de suministro el cierre temporal y permanente de empresas la suspensión de clases escolares presenciales y servicios administrativos y por supuesto esto también provocó retrasos en el desarrollo de los procesos legislativos</w:t>
      </w:r>
      <w:r>
        <w:rPr>
          <w:rFonts w:ascii="Abadi" w:hAnsi="Abadi"/>
          <w:sz w:val="21"/>
          <w:szCs w:val="21"/>
        </w:rPr>
        <w:t>.</w:t>
      </w:r>
    </w:p>
    <w:p w14:paraId="6B85F875" w14:textId="77777777" w:rsidR="00672D31" w:rsidRDefault="00672D31" w:rsidP="00672D31">
      <w:pPr>
        <w:jc w:val="both"/>
        <w:rPr>
          <w:rFonts w:ascii="Abadi" w:hAnsi="Abadi"/>
          <w:sz w:val="21"/>
          <w:szCs w:val="21"/>
        </w:rPr>
      </w:pPr>
    </w:p>
    <w:p w14:paraId="1CE0BB2C" w14:textId="77777777" w:rsidR="00672D31" w:rsidRDefault="00672D31" w:rsidP="00672D31">
      <w:pPr>
        <w:jc w:val="both"/>
        <w:rPr>
          <w:rFonts w:ascii="Abadi" w:hAnsi="Abadi"/>
          <w:sz w:val="21"/>
          <w:szCs w:val="21"/>
        </w:rPr>
      </w:pPr>
      <w:r>
        <w:rPr>
          <w:rFonts w:ascii="Abadi" w:hAnsi="Abadi"/>
          <w:sz w:val="21"/>
          <w:szCs w:val="21"/>
        </w:rPr>
        <w:t>- A</w:t>
      </w:r>
      <w:r w:rsidRPr="0030088F">
        <w:rPr>
          <w:rFonts w:ascii="Abadi" w:hAnsi="Abadi"/>
          <w:sz w:val="21"/>
          <w:szCs w:val="21"/>
        </w:rPr>
        <w:t>hora</w:t>
      </w:r>
      <w:r>
        <w:rPr>
          <w:rFonts w:ascii="Abadi" w:hAnsi="Abadi"/>
          <w:sz w:val="21"/>
          <w:szCs w:val="21"/>
        </w:rPr>
        <w:t>,</w:t>
      </w:r>
      <w:r w:rsidRPr="0030088F">
        <w:rPr>
          <w:rFonts w:ascii="Abadi" w:hAnsi="Abadi"/>
          <w:sz w:val="21"/>
          <w:szCs w:val="21"/>
        </w:rPr>
        <w:t xml:space="preserve"> en enero del año 2022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w:t>
      </w:r>
      <w:r>
        <w:rPr>
          <w:rFonts w:ascii="Abadi" w:hAnsi="Abadi"/>
          <w:sz w:val="21"/>
          <w:szCs w:val="21"/>
        </w:rPr>
        <w:t xml:space="preserve">, </w:t>
      </w:r>
      <w:r w:rsidRPr="0030088F">
        <w:rPr>
          <w:rFonts w:ascii="Abadi" w:hAnsi="Abadi"/>
          <w:sz w:val="21"/>
          <w:szCs w:val="21"/>
        </w:rPr>
        <w:t>en sesión del tribunal pleno</w:t>
      </w:r>
      <w:r>
        <w:rPr>
          <w:rFonts w:ascii="Abadi" w:hAnsi="Abadi"/>
          <w:sz w:val="21"/>
          <w:szCs w:val="21"/>
        </w:rPr>
        <w:t>,</w:t>
      </w:r>
      <w:r w:rsidRPr="0030088F">
        <w:rPr>
          <w:rFonts w:ascii="Abadi" w:hAnsi="Abadi"/>
          <w:sz w:val="21"/>
          <w:szCs w:val="21"/>
        </w:rPr>
        <w:t xml:space="preserve"> </w:t>
      </w:r>
      <w:r>
        <w:rPr>
          <w:rFonts w:ascii="Abadi" w:hAnsi="Abadi"/>
          <w:sz w:val="21"/>
          <w:szCs w:val="21"/>
        </w:rPr>
        <w:t>d</w:t>
      </w:r>
      <w:r w:rsidRPr="0030088F">
        <w:rPr>
          <w:rFonts w:ascii="Abadi" w:hAnsi="Abadi"/>
          <w:sz w:val="21"/>
          <w:szCs w:val="21"/>
        </w:rPr>
        <w:t xml:space="preserve">eterminó que el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había incurrido en una omisión legislativa de carácter absoluto en competencia de ejercicio obligatorio al no haber </w:t>
      </w:r>
      <w:r>
        <w:rPr>
          <w:rFonts w:ascii="Abadi" w:hAnsi="Abadi"/>
          <w:sz w:val="21"/>
          <w:szCs w:val="21"/>
        </w:rPr>
        <w:t>emitido la Ley G</w:t>
      </w:r>
      <w:r w:rsidRPr="0030088F">
        <w:rPr>
          <w:rFonts w:ascii="Abadi" w:hAnsi="Abadi"/>
          <w:sz w:val="21"/>
          <w:szCs w:val="21"/>
        </w:rPr>
        <w:t xml:space="preserve">eneral </w:t>
      </w:r>
      <w:r>
        <w:rPr>
          <w:rFonts w:ascii="Abadi" w:hAnsi="Abadi"/>
          <w:sz w:val="21"/>
          <w:szCs w:val="21"/>
        </w:rPr>
        <w:t xml:space="preserve">de Aguas, que se refiere el artículo 4to. </w:t>
      </w:r>
      <w:r w:rsidRPr="0030088F">
        <w:rPr>
          <w:rFonts w:ascii="Abadi" w:hAnsi="Abadi"/>
          <w:sz w:val="21"/>
          <w:szCs w:val="21"/>
        </w:rPr>
        <w:t xml:space="preserve">párrafo sexto de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G</w:t>
      </w:r>
      <w:r w:rsidRPr="0030088F">
        <w:rPr>
          <w:rFonts w:ascii="Abadi" w:hAnsi="Abadi"/>
          <w:sz w:val="21"/>
          <w:szCs w:val="21"/>
        </w:rPr>
        <w:t>eneral en relación la teoría del decreto que dio origen a dicha disposición publicada el día 8 de febrero del año del 20</w:t>
      </w:r>
      <w:r>
        <w:rPr>
          <w:rFonts w:ascii="Abadi" w:hAnsi="Abadi"/>
          <w:sz w:val="21"/>
          <w:szCs w:val="21"/>
        </w:rPr>
        <w:t>1</w:t>
      </w:r>
      <w:r w:rsidRPr="0030088F">
        <w:rPr>
          <w:rFonts w:ascii="Abadi" w:hAnsi="Abadi"/>
          <w:sz w:val="21"/>
          <w:szCs w:val="21"/>
        </w:rPr>
        <w:t>2</w:t>
      </w:r>
      <w:r>
        <w:rPr>
          <w:rFonts w:ascii="Abadi" w:hAnsi="Abadi"/>
          <w:sz w:val="21"/>
          <w:szCs w:val="21"/>
        </w:rPr>
        <w:t>,</w:t>
      </w:r>
      <w:r w:rsidRPr="0030088F">
        <w:rPr>
          <w:rFonts w:ascii="Abadi" w:hAnsi="Abadi"/>
          <w:sz w:val="21"/>
          <w:szCs w:val="21"/>
        </w:rPr>
        <w:t xml:space="preserve"> en consecuencia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ordenó al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 xml:space="preserve">Unión,  emitir </w:t>
      </w:r>
      <w:r w:rsidRPr="0030088F">
        <w:rPr>
          <w:rFonts w:ascii="Abadi" w:hAnsi="Abadi"/>
          <w:sz w:val="21"/>
          <w:szCs w:val="21"/>
        </w:rPr>
        <w:t xml:space="preserve">una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w:t>
      </w:r>
      <w:r>
        <w:rPr>
          <w:rFonts w:ascii="Abadi" w:hAnsi="Abadi"/>
          <w:sz w:val="21"/>
          <w:szCs w:val="21"/>
        </w:rPr>
        <w:t>,</w:t>
      </w:r>
      <w:r w:rsidRPr="0030088F">
        <w:rPr>
          <w:rFonts w:ascii="Abadi" w:hAnsi="Abadi"/>
          <w:sz w:val="21"/>
          <w:szCs w:val="21"/>
        </w:rPr>
        <w:t xml:space="preserve"> estableciendo para ello un plazo no mayor al próximo periodo ordinario de sesiones</w:t>
      </w:r>
      <w:r>
        <w:rPr>
          <w:rFonts w:ascii="Abadi" w:hAnsi="Abadi"/>
          <w:sz w:val="21"/>
          <w:szCs w:val="21"/>
        </w:rPr>
        <w:t xml:space="preserve">, es decir, </w:t>
      </w:r>
      <w:r w:rsidRPr="0030088F">
        <w:rPr>
          <w:rFonts w:ascii="Abadi" w:hAnsi="Abadi"/>
          <w:sz w:val="21"/>
          <w:szCs w:val="21"/>
        </w:rPr>
        <w:t xml:space="preserve">el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nión</w:t>
      </w:r>
      <w:r>
        <w:rPr>
          <w:rFonts w:ascii="Abadi" w:hAnsi="Abadi"/>
          <w:sz w:val="21"/>
          <w:szCs w:val="21"/>
        </w:rPr>
        <w:t>,</w:t>
      </w:r>
      <w:r w:rsidRPr="0030088F">
        <w:rPr>
          <w:rFonts w:ascii="Abadi" w:hAnsi="Abadi"/>
          <w:sz w:val="21"/>
          <w:szCs w:val="21"/>
        </w:rPr>
        <w:t xml:space="preserve"> tiene hasta agosto del 2024 para legislar en esta materia</w:t>
      </w:r>
      <w:r>
        <w:rPr>
          <w:rFonts w:ascii="Abadi" w:hAnsi="Abadi"/>
          <w:sz w:val="21"/>
          <w:szCs w:val="21"/>
        </w:rPr>
        <w:t>,</w:t>
      </w:r>
      <w:r w:rsidRPr="0030088F">
        <w:rPr>
          <w:rFonts w:ascii="Abadi" w:hAnsi="Abadi"/>
          <w:sz w:val="21"/>
          <w:szCs w:val="21"/>
        </w:rPr>
        <w:t xml:space="preserve"> dicha resolución ya ha sido publicada en el </w:t>
      </w:r>
      <w:r>
        <w:rPr>
          <w:rFonts w:ascii="Abadi" w:hAnsi="Abadi"/>
          <w:sz w:val="21"/>
          <w:szCs w:val="21"/>
        </w:rPr>
        <w:t>D</w:t>
      </w:r>
      <w:r w:rsidRPr="0030088F">
        <w:rPr>
          <w:rFonts w:ascii="Abadi" w:hAnsi="Abadi"/>
          <w:sz w:val="21"/>
          <w:szCs w:val="21"/>
        </w:rPr>
        <w:t xml:space="preserve">iario </w:t>
      </w:r>
      <w:r>
        <w:rPr>
          <w:rFonts w:ascii="Abadi" w:hAnsi="Abadi"/>
          <w:sz w:val="21"/>
          <w:szCs w:val="21"/>
        </w:rPr>
        <w:t>O</w:t>
      </w:r>
      <w:r w:rsidRPr="0030088F">
        <w:rPr>
          <w:rFonts w:ascii="Abadi" w:hAnsi="Abadi"/>
          <w:sz w:val="21"/>
          <w:szCs w:val="21"/>
        </w:rPr>
        <w:t xml:space="preserve">ficial de la </w:t>
      </w:r>
      <w:r>
        <w:rPr>
          <w:rFonts w:ascii="Abadi" w:hAnsi="Abadi"/>
          <w:sz w:val="21"/>
          <w:szCs w:val="21"/>
        </w:rPr>
        <w:t>F</w:t>
      </w:r>
      <w:r w:rsidRPr="0030088F">
        <w:rPr>
          <w:rFonts w:ascii="Abadi" w:hAnsi="Abadi"/>
          <w:sz w:val="21"/>
          <w:szCs w:val="21"/>
        </w:rPr>
        <w:t xml:space="preserve">ederación y en el </w:t>
      </w:r>
      <w:r>
        <w:rPr>
          <w:rFonts w:ascii="Abadi" w:hAnsi="Abadi"/>
          <w:sz w:val="21"/>
          <w:szCs w:val="21"/>
        </w:rPr>
        <w:t>S</w:t>
      </w:r>
      <w:r w:rsidRPr="0030088F">
        <w:rPr>
          <w:rFonts w:ascii="Abadi" w:hAnsi="Abadi"/>
          <w:sz w:val="21"/>
          <w:szCs w:val="21"/>
        </w:rPr>
        <w:t xml:space="preserve">emanario </w:t>
      </w:r>
      <w:r>
        <w:rPr>
          <w:rFonts w:ascii="Abadi" w:hAnsi="Abadi"/>
          <w:sz w:val="21"/>
          <w:szCs w:val="21"/>
        </w:rPr>
        <w:t>J</w:t>
      </w:r>
      <w:r w:rsidRPr="0030088F">
        <w:rPr>
          <w:rFonts w:ascii="Abadi" w:hAnsi="Abadi"/>
          <w:sz w:val="21"/>
          <w:szCs w:val="21"/>
        </w:rPr>
        <w:t xml:space="preserve">udicial de la </w:t>
      </w:r>
      <w:r>
        <w:rPr>
          <w:rFonts w:ascii="Abadi" w:hAnsi="Abadi"/>
          <w:sz w:val="21"/>
          <w:szCs w:val="21"/>
        </w:rPr>
        <w:t>F</w:t>
      </w:r>
      <w:r w:rsidRPr="0030088F">
        <w:rPr>
          <w:rFonts w:ascii="Abadi" w:hAnsi="Abadi"/>
          <w:sz w:val="21"/>
          <w:szCs w:val="21"/>
        </w:rPr>
        <w:t xml:space="preserve">ederación además en su gaceta asimismo ha sido notificado por medio de oficio a las partes lo resuelto </w:t>
      </w:r>
      <w:r>
        <w:rPr>
          <w:rFonts w:ascii="Abadi" w:hAnsi="Abadi"/>
          <w:sz w:val="21"/>
          <w:szCs w:val="21"/>
        </w:rPr>
        <w:t>por el P</w:t>
      </w:r>
      <w:r w:rsidRPr="0030088F">
        <w:rPr>
          <w:rFonts w:ascii="Abadi" w:hAnsi="Abadi"/>
          <w:sz w:val="21"/>
          <w:szCs w:val="21"/>
        </w:rPr>
        <w:t xml:space="preserve">leno de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w:t>
      </w:r>
      <w:r>
        <w:rPr>
          <w:rFonts w:ascii="Abadi" w:hAnsi="Abadi"/>
          <w:sz w:val="21"/>
          <w:szCs w:val="21"/>
        </w:rPr>
        <w:t>,</w:t>
      </w:r>
      <w:r w:rsidRPr="0030088F">
        <w:rPr>
          <w:rFonts w:ascii="Abadi" w:hAnsi="Abadi"/>
          <w:sz w:val="21"/>
          <w:szCs w:val="21"/>
        </w:rPr>
        <w:t xml:space="preserve"> entonces</w:t>
      </w:r>
      <w:r>
        <w:rPr>
          <w:rFonts w:ascii="Abadi" w:hAnsi="Abadi"/>
          <w:sz w:val="21"/>
          <w:szCs w:val="21"/>
        </w:rPr>
        <w:t xml:space="preserve">, ¿en </w:t>
      </w:r>
      <w:proofErr w:type="spellStart"/>
      <w:r>
        <w:rPr>
          <w:rFonts w:ascii="Abadi" w:hAnsi="Abadi"/>
          <w:sz w:val="21"/>
          <w:szCs w:val="21"/>
        </w:rPr>
        <w:t>que</w:t>
      </w:r>
      <w:proofErr w:type="spellEnd"/>
      <w:r>
        <w:rPr>
          <w:rFonts w:ascii="Abadi" w:hAnsi="Abadi"/>
          <w:sz w:val="21"/>
          <w:szCs w:val="21"/>
        </w:rPr>
        <w:t xml:space="preserve"> vamos? ¿cuál es el tema?</w:t>
      </w:r>
      <w:r w:rsidRPr="0030088F">
        <w:rPr>
          <w:rFonts w:ascii="Abadi" w:hAnsi="Abadi"/>
          <w:sz w:val="21"/>
          <w:szCs w:val="21"/>
        </w:rPr>
        <w:t xml:space="preserve"> </w:t>
      </w:r>
      <w:r>
        <w:rPr>
          <w:rFonts w:ascii="Abadi" w:hAnsi="Abadi"/>
          <w:sz w:val="21"/>
          <w:szCs w:val="21"/>
        </w:rPr>
        <w:t xml:space="preserve">el  27 de abril del 2022, se </w:t>
      </w:r>
      <w:r w:rsidRPr="0030088F">
        <w:rPr>
          <w:rFonts w:ascii="Abadi" w:hAnsi="Abadi"/>
          <w:sz w:val="21"/>
          <w:szCs w:val="21"/>
        </w:rPr>
        <w:t xml:space="preserve">presentó una iniciativa por parte de la </w:t>
      </w:r>
      <w:r>
        <w:rPr>
          <w:rFonts w:ascii="Abadi" w:hAnsi="Abadi"/>
          <w:sz w:val="21"/>
          <w:szCs w:val="21"/>
        </w:rPr>
        <w:t>S</w:t>
      </w:r>
      <w:r w:rsidRPr="0030088F">
        <w:rPr>
          <w:rFonts w:ascii="Abadi" w:hAnsi="Abadi"/>
          <w:sz w:val="21"/>
          <w:szCs w:val="21"/>
        </w:rPr>
        <w:t xml:space="preserve">enadora de </w:t>
      </w:r>
      <w:r>
        <w:rPr>
          <w:rFonts w:ascii="Abadi" w:hAnsi="Abadi"/>
          <w:sz w:val="21"/>
          <w:szCs w:val="21"/>
        </w:rPr>
        <w:t>M</w:t>
      </w:r>
      <w:r w:rsidRPr="0030088F">
        <w:rPr>
          <w:rFonts w:ascii="Abadi" w:hAnsi="Abadi"/>
          <w:sz w:val="21"/>
          <w:szCs w:val="21"/>
        </w:rPr>
        <w:t xml:space="preserve">orena Gloria </w:t>
      </w:r>
      <w:r>
        <w:rPr>
          <w:rFonts w:ascii="Abadi" w:hAnsi="Abadi"/>
          <w:sz w:val="21"/>
          <w:szCs w:val="21"/>
        </w:rPr>
        <w:t>S</w:t>
      </w:r>
      <w:r w:rsidRPr="0030088F">
        <w:rPr>
          <w:rFonts w:ascii="Abadi" w:hAnsi="Abadi"/>
          <w:sz w:val="21"/>
          <w:szCs w:val="21"/>
        </w:rPr>
        <w:t>ánchez</w:t>
      </w:r>
      <w:r>
        <w:rPr>
          <w:rFonts w:ascii="Abadi" w:hAnsi="Abadi"/>
          <w:sz w:val="21"/>
          <w:szCs w:val="21"/>
        </w:rPr>
        <w:t>,</w:t>
      </w:r>
      <w:r w:rsidRPr="0030088F">
        <w:rPr>
          <w:rFonts w:ascii="Abadi" w:hAnsi="Abadi"/>
          <w:sz w:val="21"/>
          <w:szCs w:val="21"/>
        </w:rPr>
        <w:t xml:space="preserve"> en ese proyecto se insiste la urgencia de contar con el marco legal acorde a lo establecido en la constitución</w:t>
      </w:r>
      <w:r>
        <w:rPr>
          <w:rFonts w:ascii="Abadi" w:hAnsi="Abadi"/>
          <w:sz w:val="21"/>
          <w:szCs w:val="21"/>
        </w:rPr>
        <w:t>,</w:t>
      </w:r>
      <w:r w:rsidRPr="0030088F">
        <w:rPr>
          <w:rFonts w:ascii="Abadi" w:hAnsi="Abadi"/>
          <w:sz w:val="21"/>
          <w:szCs w:val="21"/>
        </w:rPr>
        <w:t xml:space="preserve"> para frenar la privatización del líquido vital y hacer realidad el derecho de todos al agua</w:t>
      </w:r>
      <w:r>
        <w:rPr>
          <w:rFonts w:ascii="Abadi" w:hAnsi="Abadi"/>
          <w:sz w:val="21"/>
          <w:szCs w:val="21"/>
        </w:rPr>
        <w:t xml:space="preserve">, se </w:t>
      </w:r>
      <w:r w:rsidRPr="0030088F">
        <w:rPr>
          <w:rFonts w:ascii="Abadi" w:hAnsi="Abadi"/>
          <w:sz w:val="21"/>
          <w:szCs w:val="21"/>
        </w:rPr>
        <w:t>incluyen además normas más estrictas para la protección de los recursos acuíferos del país de los que se han apoderado algunas empresas privadas</w:t>
      </w:r>
      <w:r>
        <w:rPr>
          <w:rFonts w:ascii="Abadi" w:hAnsi="Abadi"/>
          <w:sz w:val="21"/>
          <w:szCs w:val="21"/>
        </w:rPr>
        <w:t xml:space="preserve">, </w:t>
      </w:r>
      <w:r w:rsidRPr="0030088F">
        <w:rPr>
          <w:rFonts w:ascii="Abadi" w:hAnsi="Abadi"/>
          <w:sz w:val="21"/>
          <w:szCs w:val="21"/>
        </w:rPr>
        <w:t>por su parte el senado someterá a consulta la iniciativa entre dependencias gubernamentales</w:t>
      </w:r>
      <w:r>
        <w:rPr>
          <w:rFonts w:ascii="Abadi" w:hAnsi="Abadi"/>
          <w:sz w:val="21"/>
          <w:szCs w:val="21"/>
        </w:rPr>
        <w:t>,</w:t>
      </w:r>
      <w:r w:rsidRPr="0030088F">
        <w:rPr>
          <w:rFonts w:ascii="Abadi" w:hAnsi="Abadi"/>
          <w:sz w:val="21"/>
          <w:szCs w:val="21"/>
        </w:rPr>
        <w:t xml:space="preserve"> universidades especialistas y colectivos de la sociedad en los próximos meses</w:t>
      </w:r>
      <w:r>
        <w:rPr>
          <w:rFonts w:ascii="Abadi" w:hAnsi="Abadi"/>
          <w:sz w:val="21"/>
          <w:szCs w:val="21"/>
        </w:rPr>
        <w:t>,</w:t>
      </w:r>
      <w:r w:rsidRPr="0030088F">
        <w:rPr>
          <w:rFonts w:ascii="Abadi" w:hAnsi="Abadi"/>
          <w:sz w:val="21"/>
          <w:szCs w:val="21"/>
        </w:rPr>
        <w:t xml:space="preserve"> con miras a tener listo </w:t>
      </w:r>
      <w:r>
        <w:rPr>
          <w:rFonts w:ascii="Abadi" w:hAnsi="Abadi"/>
          <w:sz w:val="21"/>
          <w:szCs w:val="21"/>
        </w:rPr>
        <w:t xml:space="preserve">un dictamen consensuado a finales de agosto, que puede ser discutido y aprobado, a partir de septiembre cuando el Senado,  reanude </w:t>
      </w:r>
      <w:r>
        <w:rPr>
          <w:rFonts w:ascii="Abadi" w:hAnsi="Abadi"/>
          <w:sz w:val="21"/>
          <w:szCs w:val="21"/>
        </w:rPr>
        <w:t xml:space="preserve">trabajos, ese acuerdo fue tomado, por las comisiones de recursos hidráulicos y de estudios parlamentarios. </w:t>
      </w:r>
    </w:p>
    <w:p w14:paraId="54956CAD" w14:textId="77777777" w:rsidR="00672D31" w:rsidRDefault="00672D31" w:rsidP="00672D31">
      <w:pPr>
        <w:jc w:val="both"/>
        <w:rPr>
          <w:rFonts w:ascii="Abadi" w:hAnsi="Abadi"/>
          <w:sz w:val="21"/>
          <w:szCs w:val="21"/>
        </w:rPr>
      </w:pPr>
    </w:p>
    <w:p w14:paraId="74794F70" w14:textId="77777777" w:rsidR="00672D31" w:rsidRDefault="00672D31" w:rsidP="00672D31">
      <w:pPr>
        <w:jc w:val="both"/>
        <w:rPr>
          <w:rFonts w:ascii="Abadi" w:hAnsi="Abadi"/>
          <w:sz w:val="21"/>
          <w:szCs w:val="21"/>
        </w:rPr>
      </w:pPr>
      <w:r>
        <w:rPr>
          <w:rFonts w:ascii="Abadi" w:hAnsi="Abadi"/>
          <w:sz w:val="21"/>
          <w:szCs w:val="21"/>
        </w:rPr>
        <w:t xml:space="preserve">- Por lo anteriormente expuesto, consideramos que dicho dictamen, en el que se busca exhortar,  </w:t>
      </w:r>
      <w:r w:rsidRPr="0030088F">
        <w:rPr>
          <w:rFonts w:ascii="Abadi" w:hAnsi="Abadi"/>
          <w:sz w:val="21"/>
          <w:szCs w:val="21"/>
        </w:rPr>
        <w:t xml:space="preserve">al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a través de la </w:t>
      </w:r>
      <w:r>
        <w:rPr>
          <w:rFonts w:ascii="Abadi" w:hAnsi="Abadi"/>
          <w:sz w:val="21"/>
          <w:szCs w:val="21"/>
        </w:rPr>
        <w:t>C</w:t>
      </w:r>
      <w:r w:rsidRPr="0030088F">
        <w:rPr>
          <w:rFonts w:ascii="Abadi" w:hAnsi="Abadi"/>
          <w:sz w:val="21"/>
          <w:szCs w:val="21"/>
        </w:rPr>
        <w:t xml:space="preserve">ámara de </w:t>
      </w:r>
      <w:r>
        <w:rPr>
          <w:rFonts w:ascii="Abadi" w:hAnsi="Abadi"/>
          <w:sz w:val="21"/>
          <w:szCs w:val="21"/>
        </w:rPr>
        <w:t>D</w:t>
      </w:r>
      <w:r w:rsidRPr="0030088F">
        <w:rPr>
          <w:rFonts w:ascii="Abadi" w:hAnsi="Abadi"/>
          <w:sz w:val="21"/>
          <w:szCs w:val="21"/>
        </w:rPr>
        <w:t xml:space="preserve">iputados y del </w:t>
      </w:r>
      <w:r>
        <w:rPr>
          <w:rFonts w:ascii="Abadi" w:hAnsi="Abadi"/>
          <w:sz w:val="21"/>
          <w:szCs w:val="21"/>
        </w:rPr>
        <w:t>S</w:t>
      </w:r>
      <w:r w:rsidRPr="0030088F">
        <w:rPr>
          <w:rFonts w:ascii="Abadi" w:hAnsi="Abadi"/>
          <w:sz w:val="21"/>
          <w:szCs w:val="21"/>
        </w:rPr>
        <w:t xml:space="preserve">enado de la </w:t>
      </w:r>
      <w:r>
        <w:rPr>
          <w:rFonts w:ascii="Abadi" w:hAnsi="Abadi"/>
          <w:sz w:val="21"/>
          <w:szCs w:val="21"/>
        </w:rPr>
        <w:t>R</w:t>
      </w:r>
      <w:r w:rsidRPr="0030088F">
        <w:rPr>
          <w:rFonts w:ascii="Abadi" w:hAnsi="Abadi"/>
          <w:sz w:val="21"/>
          <w:szCs w:val="21"/>
        </w:rPr>
        <w:t xml:space="preserve">epública a fin de que expidan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w:t>
      </w:r>
      <w:r>
        <w:rPr>
          <w:rFonts w:ascii="Abadi" w:hAnsi="Abadi"/>
          <w:sz w:val="21"/>
          <w:szCs w:val="21"/>
        </w:rPr>
        <w:t>,</w:t>
      </w:r>
      <w:r w:rsidRPr="0030088F">
        <w:rPr>
          <w:rFonts w:ascii="Abadi" w:hAnsi="Abadi"/>
          <w:sz w:val="21"/>
          <w:szCs w:val="21"/>
        </w:rPr>
        <w:t xml:space="preserve"> no tiene elementos suficientes que lo respalden</w:t>
      </w:r>
      <w:r>
        <w:rPr>
          <w:rFonts w:ascii="Abadi" w:hAnsi="Abadi"/>
          <w:sz w:val="21"/>
          <w:szCs w:val="21"/>
        </w:rPr>
        <w:t>,</w:t>
      </w:r>
      <w:r w:rsidRPr="0030088F">
        <w:rPr>
          <w:rFonts w:ascii="Abadi" w:hAnsi="Abadi"/>
          <w:sz w:val="21"/>
          <w:szCs w:val="21"/>
        </w:rPr>
        <w:t xml:space="preserve"> mejor dicho desde el punto de vista no tiene sentido</w:t>
      </w:r>
      <w:r>
        <w:rPr>
          <w:rFonts w:ascii="Abadi" w:hAnsi="Abadi"/>
          <w:sz w:val="21"/>
          <w:szCs w:val="21"/>
        </w:rPr>
        <w:t>,</w:t>
      </w:r>
      <w:r w:rsidRPr="0030088F">
        <w:rPr>
          <w:rFonts w:ascii="Abadi" w:hAnsi="Abadi"/>
          <w:sz w:val="21"/>
          <w:szCs w:val="21"/>
        </w:rPr>
        <w:t xml:space="preserve"> pues como bien</w:t>
      </w:r>
      <w:r>
        <w:rPr>
          <w:rFonts w:ascii="Abadi" w:hAnsi="Abadi"/>
          <w:sz w:val="21"/>
          <w:szCs w:val="21"/>
        </w:rPr>
        <w:t>,</w:t>
      </w:r>
      <w:r w:rsidRPr="0030088F">
        <w:rPr>
          <w:rFonts w:ascii="Abadi" w:hAnsi="Abadi"/>
          <w:sz w:val="21"/>
          <w:szCs w:val="21"/>
        </w:rPr>
        <w:t xml:space="preserve"> lo hemos expuesto</w:t>
      </w:r>
      <w:r>
        <w:rPr>
          <w:rFonts w:ascii="Abadi" w:hAnsi="Abadi"/>
          <w:sz w:val="21"/>
          <w:szCs w:val="21"/>
        </w:rPr>
        <w:t>,</w:t>
      </w:r>
      <w:r w:rsidRPr="0030088F">
        <w:rPr>
          <w:rFonts w:ascii="Abadi" w:hAnsi="Abadi"/>
          <w:sz w:val="21"/>
          <w:szCs w:val="21"/>
        </w:rPr>
        <w:t xml:space="preserve"> primero el máximo tribunal constitucional del país</w:t>
      </w:r>
      <w:r>
        <w:rPr>
          <w:rFonts w:ascii="Abadi" w:hAnsi="Abadi"/>
          <w:sz w:val="21"/>
          <w:szCs w:val="21"/>
        </w:rPr>
        <w:t>,</w:t>
      </w:r>
      <w:r w:rsidRPr="0030088F">
        <w:rPr>
          <w:rFonts w:ascii="Abadi" w:hAnsi="Abadi"/>
          <w:sz w:val="21"/>
          <w:szCs w:val="21"/>
        </w:rPr>
        <w:t xml:space="preserve"> como máxima autoridad encargada de resolver estos temas ya emitió una sentencia que obliga a ambas cámaras legislativas</w:t>
      </w:r>
      <w:r>
        <w:rPr>
          <w:rFonts w:ascii="Abadi" w:hAnsi="Abadi"/>
          <w:sz w:val="21"/>
          <w:szCs w:val="21"/>
        </w:rPr>
        <w:t xml:space="preserve"> a</w:t>
      </w:r>
      <w:r w:rsidRPr="0030088F">
        <w:rPr>
          <w:rFonts w:ascii="Abadi" w:hAnsi="Abadi"/>
          <w:sz w:val="21"/>
          <w:szCs w:val="21"/>
        </w:rPr>
        <w:t xml:space="preserve"> expedir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 antes de agosto de 2024</w:t>
      </w:r>
      <w:r>
        <w:rPr>
          <w:rFonts w:ascii="Abadi" w:hAnsi="Abadi"/>
          <w:sz w:val="21"/>
          <w:szCs w:val="21"/>
        </w:rPr>
        <w:t>;</w:t>
      </w:r>
      <w:r w:rsidRPr="0030088F">
        <w:rPr>
          <w:rFonts w:ascii="Abadi" w:hAnsi="Abadi"/>
          <w:sz w:val="21"/>
          <w:szCs w:val="21"/>
        </w:rPr>
        <w:t xml:space="preserve"> y </w:t>
      </w:r>
    </w:p>
    <w:p w14:paraId="6CE96E53" w14:textId="77777777" w:rsidR="00672D31" w:rsidRDefault="00672D31" w:rsidP="00672D31">
      <w:pPr>
        <w:jc w:val="both"/>
        <w:rPr>
          <w:rFonts w:ascii="Abadi" w:hAnsi="Abadi"/>
          <w:sz w:val="21"/>
          <w:szCs w:val="21"/>
        </w:rPr>
      </w:pPr>
      <w:r>
        <w:rPr>
          <w:rFonts w:ascii="Abadi" w:hAnsi="Abadi"/>
          <w:sz w:val="21"/>
          <w:szCs w:val="21"/>
        </w:rPr>
        <w:t>- Dos, en</w:t>
      </w:r>
      <w:r w:rsidRPr="0030088F">
        <w:rPr>
          <w:rFonts w:ascii="Abadi" w:hAnsi="Abadi"/>
          <w:sz w:val="21"/>
          <w:szCs w:val="21"/>
        </w:rPr>
        <w:t xml:space="preserve"> segundo lugar pongamos atención al trabajo que se está realizando en el senado particularmente la comisión de recursos hidráulicos misma que ya tiene prevista una consulta y en la que hay acuerdos para tener listo un dictamen consensuado a finales de agosto</w:t>
      </w:r>
      <w:r>
        <w:rPr>
          <w:rFonts w:ascii="Abadi" w:hAnsi="Abadi"/>
          <w:sz w:val="21"/>
          <w:szCs w:val="21"/>
        </w:rPr>
        <w:t>,</w:t>
      </w:r>
      <w:r w:rsidRPr="0030088F">
        <w:rPr>
          <w:rFonts w:ascii="Abadi" w:hAnsi="Abadi"/>
          <w:sz w:val="21"/>
          <w:szCs w:val="21"/>
        </w:rPr>
        <w:t xml:space="preserve"> dejar fuera a estos elementos representaría un grave descuido por parte de este </w:t>
      </w:r>
      <w:r>
        <w:rPr>
          <w:rFonts w:ascii="Abadi" w:hAnsi="Abadi"/>
          <w:sz w:val="21"/>
          <w:szCs w:val="21"/>
        </w:rPr>
        <w:t>C</w:t>
      </w:r>
      <w:r w:rsidRPr="0030088F">
        <w:rPr>
          <w:rFonts w:ascii="Abadi" w:hAnsi="Abadi"/>
          <w:sz w:val="21"/>
          <w:szCs w:val="21"/>
        </w:rPr>
        <w:t xml:space="preserve">ongreso </w:t>
      </w:r>
      <w:r>
        <w:rPr>
          <w:rFonts w:ascii="Abadi" w:hAnsi="Abadi"/>
          <w:sz w:val="21"/>
          <w:szCs w:val="21"/>
        </w:rPr>
        <w:t>L</w:t>
      </w:r>
      <w:r w:rsidRPr="0030088F">
        <w:rPr>
          <w:rFonts w:ascii="Abadi" w:hAnsi="Abadi"/>
          <w:sz w:val="21"/>
          <w:szCs w:val="21"/>
        </w:rPr>
        <w:t>ocal y un desconocimiento de la materia por tal motivo es que solicito su voto en contra del presente dictamen</w:t>
      </w:r>
      <w:r>
        <w:rPr>
          <w:rFonts w:ascii="Abadi" w:hAnsi="Abadi"/>
          <w:sz w:val="21"/>
          <w:szCs w:val="21"/>
        </w:rPr>
        <w:t>.</w:t>
      </w:r>
    </w:p>
    <w:p w14:paraId="2ED005B5" w14:textId="77777777" w:rsidR="00672D31" w:rsidRDefault="00672D31" w:rsidP="00672D31">
      <w:pPr>
        <w:jc w:val="both"/>
        <w:rPr>
          <w:rFonts w:ascii="Abadi" w:hAnsi="Abadi"/>
          <w:sz w:val="21"/>
          <w:szCs w:val="21"/>
        </w:rPr>
      </w:pPr>
    </w:p>
    <w:p w14:paraId="523A630F" w14:textId="65314925" w:rsidR="00672D31" w:rsidRDefault="00672D31" w:rsidP="00672D31">
      <w:pPr>
        <w:jc w:val="both"/>
        <w:rPr>
          <w:rFonts w:ascii="Abadi" w:hAnsi="Abadi"/>
          <w:sz w:val="21"/>
          <w:szCs w:val="21"/>
        </w:rPr>
      </w:pPr>
      <w:r>
        <w:rPr>
          <w:rFonts w:ascii="Abadi" w:hAnsi="Abadi"/>
          <w:sz w:val="21"/>
          <w:szCs w:val="21"/>
        </w:rPr>
        <w:t>- E</w:t>
      </w:r>
      <w:r w:rsidRPr="0030088F">
        <w:rPr>
          <w:rFonts w:ascii="Abadi" w:hAnsi="Abadi"/>
          <w:sz w:val="21"/>
          <w:szCs w:val="21"/>
        </w:rPr>
        <w:t>s cuán</w:t>
      </w:r>
      <w:r>
        <w:rPr>
          <w:rFonts w:ascii="Abadi" w:hAnsi="Abadi"/>
          <w:sz w:val="21"/>
          <w:szCs w:val="21"/>
        </w:rPr>
        <w:t>to, g</w:t>
      </w:r>
      <w:r w:rsidRPr="0030088F">
        <w:rPr>
          <w:rFonts w:ascii="Abadi" w:hAnsi="Abadi"/>
          <w:sz w:val="21"/>
          <w:szCs w:val="21"/>
        </w:rPr>
        <w:t>racias por su atención</w:t>
      </w:r>
      <w:r>
        <w:rPr>
          <w:rFonts w:ascii="Abadi" w:hAnsi="Abadi"/>
          <w:sz w:val="21"/>
          <w:szCs w:val="21"/>
        </w:rPr>
        <w:t>.</w:t>
      </w:r>
    </w:p>
    <w:p w14:paraId="4554E711" w14:textId="77777777" w:rsidR="00672D31" w:rsidRDefault="00672D31" w:rsidP="00672D31">
      <w:pPr>
        <w:jc w:val="both"/>
        <w:rPr>
          <w:rFonts w:ascii="Abadi" w:hAnsi="Abadi"/>
          <w:sz w:val="21"/>
          <w:szCs w:val="21"/>
        </w:rPr>
      </w:pPr>
    </w:p>
    <w:p w14:paraId="0A3B6E42" w14:textId="77777777" w:rsidR="00672D31" w:rsidRDefault="00672D31" w:rsidP="00672D31">
      <w:pPr>
        <w:jc w:val="both"/>
        <w:rPr>
          <w:rFonts w:ascii="Abadi" w:hAnsi="Abadi"/>
          <w:sz w:val="21"/>
          <w:szCs w:val="21"/>
        </w:rPr>
      </w:pPr>
    </w:p>
    <w:p w14:paraId="24F7087F" w14:textId="77777777" w:rsidR="00672D31" w:rsidRDefault="00672D31" w:rsidP="00672D31">
      <w:pPr>
        <w:jc w:val="both"/>
        <w:rPr>
          <w:rFonts w:ascii="Abadi" w:hAnsi="Abadi"/>
          <w:sz w:val="21"/>
          <w:szCs w:val="21"/>
        </w:rPr>
      </w:pPr>
      <w:r>
        <w:rPr>
          <w:rFonts w:ascii="Abadi" w:hAnsi="Abadi"/>
          <w:sz w:val="21"/>
          <w:szCs w:val="21"/>
        </w:rPr>
        <w:tab/>
      </w:r>
      <w:r w:rsidRPr="006930F5">
        <w:rPr>
          <w:rFonts w:ascii="Abadi" w:hAnsi="Abadi"/>
          <w:b/>
          <w:bCs/>
          <w:sz w:val="21"/>
          <w:szCs w:val="21"/>
        </w:rPr>
        <w:t xml:space="preserve">- La </w:t>
      </w:r>
      <w:proofErr w:type="gramStart"/>
      <w:r w:rsidRPr="006930F5">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 xml:space="preserve">racias diputados se otorga el uso de la palabra el diputado Alejandro </w:t>
      </w:r>
      <w:r>
        <w:rPr>
          <w:rFonts w:ascii="Abadi" w:hAnsi="Abadi"/>
          <w:sz w:val="21"/>
          <w:szCs w:val="21"/>
        </w:rPr>
        <w:t>A</w:t>
      </w:r>
      <w:r w:rsidRPr="0030088F">
        <w:rPr>
          <w:rFonts w:ascii="Abadi" w:hAnsi="Abadi"/>
          <w:sz w:val="21"/>
          <w:szCs w:val="21"/>
        </w:rPr>
        <w:t xml:space="preserve">rias </w:t>
      </w:r>
      <w:r>
        <w:rPr>
          <w:rFonts w:ascii="Abadi" w:hAnsi="Abadi"/>
          <w:sz w:val="21"/>
          <w:szCs w:val="21"/>
        </w:rPr>
        <w:t>Á</w:t>
      </w:r>
      <w:r w:rsidRPr="0030088F">
        <w:rPr>
          <w:rFonts w:ascii="Abadi" w:hAnsi="Abadi"/>
          <w:sz w:val="21"/>
          <w:szCs w:val="21"/>
        </w:rPr>
        <w:t>vila hasta por 10 minutos</w:t>
      </w:r>
      <w:r>
        <w:rPr>
          <w:rFonts w:ascii="Abadi" w:hAnsi="Abadi"/>
          <w:sz w:val="21"/>
          <w:szCs w:val="21"/>
        </w:rPr>
        <w:t>.</w:t>
      </w:r>
    </w:p>
    <w:p w14:paraId="340DC601" w14:textId="77777777" w:rsidR="00672D31" w:rsidRDefault="00672D31" w:rsidP="00672D31">
      <w:pPr>
        <w:jc w:val="both"/>
        <w:rPr>
          <w:rFonts w:ascii="Abadi" w:hAnsi="Abadi"/>
          <w:sz w:val="21"/>
          <w:szCs w:val="21"/>
        </w:rPr>
      </w:pPr>
    </w:p>
    <w:p w14:paraId="0F71F45A" w14:textId="77777777" w:rsidR="00672D31" w:rsidRPr="00877762" w:rsidRDefault="00672D31" w:rsidP="00672D31">
      <w:pPr>
        <w:jc w:val="both"/>
        <w:rPr>
          <w:rFonts w:ascii="Abadi" w:hAnsi="Abadi"/>
          <w:b/>
          <w:bCs/>
          <w:sz w:val="21"/>
          <w:szCs w:val="21"/>
        </w:rPr>
      </w:pPr>
      <w:r w:rsidRPr="00877762">
        <w:rPr>
          <w:rFonts w:ascii="Abadi" w:hAnsi="Abadi"/>
          <w:b/>
          <w:bCs/>
          <w:sz w:val="21"/>
          <w:szCs w:val="21"/>
        </w:rPr>
        <w:t xml:space="preserve">(Sube a tribuna el diputado Alejandro Arias Ávila, para hablar </w:t>
      </w:r>
      <w:r>
        <w:rPr>
          <w:rFonts w:ascii="Abadi" w:hAnsi="Abadi"/>
          <w:b/>
          <w:bCs/>
          <w:sz w:val="21"/>
          <w:szCs w:val="21"/>
        </w:rPr>
        <w:t xml:space="preserve">a favor </w:t>
      </w:r>
      <w:r w:rsidRPr="00877762">
        <w:rPr>
          <w:rFonts w:ascii="Abadi" w:hAnsi="Abadi"/>
          <w:b/>
          <w:bCs/>
          <w:sz w:val="21"/>
          <w:szCs w:val="21"/>
        </w:rPr>
        <w:t>del dictamen en referencia)</w:t>
      </w:r>
    </w:p>
    <w:p w14:paraId="21B7C7F6" w14:textId="77777777" w:rsidR="00672D31" w:rsidRPr="0030088F" w:rsidRDefault="00672D31" w:rsidP="00672D31">
      <w:pPr>
        <w:jc w:val="both"/>
        <w:rPr>
          <w:rFonts w:ascii="Abadi" w:hAnsi="Abadi"/>
          <w:sz w:val="21"/>
          <w:szCs w:val="21"/>
        </w:rPr>
      </w:pPr>
    </w:p>
    <w:p w14:paraId="227EE2BD" w14:textId="77777777" w:rsidR="00672D31" w:rsidRPr="0030088F" w:rsidRDefault="00672D31" w:rsidP="00672D31">
      <w:pPr>
        <w:jc w:val="both"/>
        <w:rPr>
          <w:rFonts w:ascii="Abadi" w:hAnsi="Abadi"/>
          <w:sz w:val="21"/>
          <w:szCs w:val="21"/>
        </w:rPr>
      </w:pPr>
    </w:p>
    <w:p w14:paraId="78CD333D" w14:textId="77777777" w:rsidR="00672D31" w:rsidRPr="0030088F" w:rsidRDefault="00672D31" w:rsidP="00672D31">
      <w:pPr>
        <w:jc w:val="both"/>
        <w:rPr>
          <w:rFonts w:ascii="Abadi" w:hAnsi="Abadi"/>
          <w:sz w:val="21"/>
          <w:szCs w:val="21"/>
        </w:rPr>
      </w:pPr>
      <w:r>
        <w:rPr>
          <w:noProof/>
        </w:rPr>
        <w:drawing>
          <wp:inline distT="0" distB="0" distL="0" distR="0" wp14:anchorId="1826FFDB" wp14:editId="2B322B8F">
            <wp:extent cx="1460500" cy="821469"/>
            <wp:effectExtent l="247650" t="228600" r="254000" b="779145"/>
            <wp:docPr id="1681528112" name="Imagen 1681528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528112" name=""/>
                    <pic:cNvPicPr/>
                  </pic:nvPicPr>
                  <pic:blipFill>
                    <a:blip r:embed="rId46"/>
                    <a:stretch>
                      <a:fillRect/>
                    </a:stretch>
                  </pic:blipFill>
                  <pic:spPr>
                    <a:xfrm>
                      <a:off x="0" y="0"/>
                      <a:ext cx="1464445" cy="82368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inline>
        </w:drawing>
      </w:r>
    </w:p>
    <w:p w14:paraId="7333AF68" w14:textId="77777777" w:rsidR="00672D31" w:rsidRDefault="00672D31" w:rsidP="00672D31">
      <w:pPr>
        <w:jc w:val="both"/>
        <w:rPr>
          <w:rFonts w:ascii="Abadi" w:hAnsi="Abadi"/>
          <w:sz w:val="21"/>
          <w:szCs w:val="21"/>
        </w:rPr>
      </w:pPr>
      <w:r>
        <w:rPr>
          <w:rFonts w:ascii="Abadi" w:hAnsi="Abadi"/>
          <w:sz w:val="21"/>
          <w:szCs w:val="21"/>
        </w:rPr>
        <w:lastRenderedPageBreak/>
        <w:t xml:space="preserve">- Buenas tardes, a quienes nos </w:t>
      </w:r>
      <w:r w:rsidRPr="0030088F">
        <w:rPr>
          <w:rFonts w:ascii="Abadi" w:hAnsi="Abadi"/>
          <w:sz w:val="21"/>
          <w:szCs w:val="21"/>
        </w:rPr>
        <w:t>acompañan en esta sesión a quienes nos ven por los medios remotos a las diputadas y a los diputados</w:t>
      </w:r>
      <w:r>
        <w:rPr>
          <w:rFonts w:ascii="Abadi" w:hAnsi="Abadi"/>
          <w:sz w:val="21"/>
          <w:szCs w:val="21"/>
        </w:rPr>
        <w:t>,</w:t>
      </w:r>
      <w:r w:rsidRPr="0030088F">
        <w:rPr>
          <w:rFonts w:ascii="Abadi" w:hAnsi="Abadi"/>
          <w:sz w:val="21"/>
          <w:szCs w:val="21"/>
        </w:rPr>
        <w:t xml:space="preserve"> como suele suceder muchas veces cuando alguien dice que va a hablar en contra</w:t>
      </w:r>
      <w:r>
        <w:rPr>
          <w:rFonts w:ascii="Abadi" w:hAnsi="Abadi"/>
          <w:sz w:val="21"/>
          <w:szCs w:val="21"/>
        </w:rPr>
        <w:t>,</w:t>
      </w:r>
      <w:r w:rsidRPr="0030088F">
        <w:rPr>
          <w:rFonts w:ascii="Abadi" w:hAnsi="Abadi"/>
          <w:sz w:val="21"/>
          <w:szCs w:val="21"/>
        </w:rPr>
        <w:t xml:space="preserve"> parece que está hablando a favor</w:t>
      </w:r>
      <w:r>
        <w:rPr>
          <w:rFonts w:ascii="Abadi" w:hAnsi="Abadi"/>
          <w:sz w:val="21"/>
          <w:szCs w:val="21"/>
        </w:rPr>
        <w:t>,</w:t>
      </w:r>
      <w:r w:rsidRPr="0030088F">
        <w:rPr>
          <w:rFonts w:ascii="Abadi" w:hAnsi="Abadi"/>
          <w:sz w:val="21"/>
          <w:szCs w:val="21"/>
        </w:rPr>
        <w:t xml:space="preserve"> o cuando alguien dice que va a hablar a favor pues parece que está hablando en contra</w:t>
      </w:r>
      <w:r>
        <w:rPr>
          <w:rFonts w:ascii="Abadi" w:hAnsi="Abadi"/>
          <w:sz w:val="21"/>
          <w:szCs w:val="21"/>
        </w:rPr>
        <w:t>,</w:t>
      </w:r>
      <w:r w:rsidRPr="0030088F">
        <w:rPr>
          <w:rFonts w:ascii="Abadi" w:hAnsi="Abadi"/>
          <w:sz w:val="21"/>
          <w:szCs w:val="21"/>
        </w:rPr>
        <w:t xml:space="preserve"> me parece que con él</w:t>
      </w:r>
      <w:r>
        <w:rPr>
          <w:rFonts w:ascii="Abadi" w:hAnsi="Abadi"/>
          <w:sz w:val="21"/>
          <w:szCs w:val="21"/>
        </w:rPr>
        <w:t xml:space="preserve">, </w:t>
      </w:r>
      <w:r w:rsidRPr="0030088F">
        <w:rPr>
          <w:rFonts w:ascii="Abadi" w:hAnsi="Abadi"/>
          <w:sz w:val="21"/>
          <w:szCs w:val="21"/>
        </w:rPr>
        <w:t>con lo que comentaba aquí nuestro compañero Cuauhtémoc el fondo de lo que sigue el exhorto es compartido a plenitud</w:t>
      </w:r>
      <w:r>
        <w:rPr>
          <w:rFonts w:ascii="Abadi" w:hAnsi="Abadi"/>
          <w:sz w:val="21"/>
          <w:szCs w:val="21"/>
        </w:rPr>
        <w:t>,</w:t>
      </w:r>
      <w:r w:rsidRPr="0030088F">
        <w:rPr>
          <w:rFonts w:ascii="Abadi" w:hAnsi="Abadi"/>
          <w:sz w:val="21"/>
          <w:szCs w:val="21"/>
        </w:rPr>
        <w:t xml:space="preserve"> es decir</w:t>
      </w:r>
      <w:r>
        <w:rPr>
          <w:rFonts w:ascii="Abadi" w:hAnsi="Abadi"/>
          <w:sz w:val="21"/>
          <w:szCs w:val="21"/>
        </w:rPr>
        <w:t>,</w:t>
      </w:r>
      <w:r w:rsidRPr="0030088F">
        <w:rPr>
          <w:rFonts w:ascii="Abadi" w:hAnsi="Abadi"/>
          <w:sz w:val="21"/>
          <w:szCs w:val="21"/>
        </w:rPr>
        <w:t xml:space="preserve"> que se emita a la brevedad la </w:t>
      </w:r>
      <w:r>
        <w:rPr>
          <w:rFonts w:ascii="Abadi" w:hAnsi="Abadi"/>
          <w:sz w:val="21"/>
          <w:szCs w:val="21"/>
        </w:rPr>
        <w:t>L</w:t>
      </w:r>
      <w:r w:rsidRPr="0030088F">
        <w:rPr>
          <w:rFonts w:ascii="Abadi" w:hAnsi="Abadi"/>
          <w:sz w:val="21"/>
          <w:szCs w:val="21"/>
        </w:rPr>
        <w:t xml:space="preserve">ey de </w:t>
      </w:r>
      <w:r>
        <w:rPr>
          <w:rFonts w:ascii="Abadi" w:hAnsi="Abadi"/>
          <w:sz w:val="21"/>
          <w:szCs w:val="21"/>
        </w:rPr>
        <w:t>A</w:t>
      </w:r>
      <w:r w:rsidRPr="0030088F">
        <w:rPr>
          <w:rFonts w:ascii="Abadi" w:hAnsi="Abadi"/>
          <w:sz w:val="21"/>
          <w:szCs w:val="21"/>
        </w:rPr>
        <w:t>guas que tiene más de una década de retraso independientemente de si había una legislatura priista panista y ahora una moreni</w:t>
      </w:r>
      <w:r>
        <w:rPr>
          <w:rFonts w:ascii="Abadi" w:hAnsi="Abadi"/>
          <w:sz w:val="21"/>
          <w:szCs w:val="21"/>
        </w:rPr>
        <w:t xml:space="preserve">sta, </w:t>
      </w:r>
      <w:r w:rsidRPr="0030088F">
        <w:rPr>
          <w:rFonts w:ascii="Abadi" w:hAnsi="Abadi"/>
          <w:sz w:val="21"/>
          <w:szCs w:val="21"/>
        </w:rPr>
        <w:t>me parece que eso es lo de menos</w:t>
      </w:r>
      <w:r>
        <w:rPr>
          <w:rFonts w:ascii="Abadi" w:hAnsi="Abadi"/>
          <w:sz w:val="21"/>
          <w:szCs w:val="21"/>
        </w:rPr>
        <w:t>,</w:t>
      </w:r>
      <w:r w:rsidRPr="0030088F">
        <w:rPr>
          <w:rFonts w:ascii="Abadi" w:hAnsi="Abadi"/>
          <w:sz w:val="21"/>
          <w:szCs w:val="21"/>
        </w:rPr>
        <w:t xml:space="preserve"> me parece que el fondo y es compartido</w:t>
      </w:r>
      <w:r>
        <w:rPr>
          <w:rFonts w:ascii="Abadi" w:hAnsi="Abadi"/>
          <w:sz w:val="21"/>
          <w:szCs w:val="21"/>
        </w:rPr>
        <w:t>,</w:t>
      </w:r>
      <w:r w:rsidRPr="0030088F">
        <w:rPr>
          <w:rFonts w:ascii="Abadi" w:hAnsi="Abadi"/>
          <w:sz w:val="21"/>
          <w:szCs w:val="21"/>
        </w:rPr>
        <w:t xml:space="preserve"> es ese</w:t>
      </w:r>
      <w:r>
        <w:rPr>
          <w:rFonts w:ascii="Abadi" w:hAnsi="Abadi"/>
          <w:sz w:val="21"/>
          <w:szCs w:val="21"/>
        </w:rPr>
        <w:t>,</w:t>
      </w:r>
      <w:r w:rsidRPr="0030088F">
        <w:rPr>
          <w:rFonts w:ascii="Abadi" w:hAnsi="Abadi"/>
          <w:sz w:val="21"/>
          <w:szCs w:val="21"/>
        </w:rPr>
        <w:t xml:space="preserve"> el que ya podamos contar con un instrumento normativo</w:t>
      </w:r>
      <w:r>
        <w:rPr>
          <w:rFonts w:ascii="Abadi" w:hAnsi="Abadi"/>
          <w:sz w:val="21"/>
          <w:szCs w:val="21"/>
        </w:rPr>
        <w:t>,</w:t>
      </w:r>
      <w:r w:rsidRPr="0030088F">
        <w:rPr>
          <w:rFonts w:ascii="Abadi" w:hAnsi="Abadi"/>
          <w:sz w:val="21"/>
          <w:szCs w:val="21"/>
        </w:rPr>
        <w:t xml:space="preserve"> que le dé vigencia a lo que se estableció en la constitución del derecho humano al</w:t>
      </w:r>
      <w:r>
        <w:rPr>
          <w:rFonts w:ascii="Abadi" w:hAnsi="Abadi"/>
          <w:sz w:val="21"/>
          <w:szCs w:val="21"/>
        </w:rPr>
        <w:t>,</w:t>
      </w:r>
      <w:r w:rsidRPr="0030088F">
        <w:rPr>
          <w:rFonts w:ascii="Abadi" w:hAnsi="Abadi"/>
          <w:sz w:val="21"/>
          <w:szCs w:val="21"/>
        </w:rPr>
        <w:t xml:space="preserve"> agua</w:t>
      </w:r>
      <w:r>
        <w:rPr>
          <w:rFonts w:ascii="Abadi" w:hAnsi="Abadi"/>
          <w:sz w:val="21"/>
          <w:szCs w:val="21"/>
        </w:rPr>
        <w:t>,</w:t>
      </w:r>
      <w:r w:rsidRPr="0030088F">
        <w:rPr>
          <w:rFonts w:ascii="Abadi" w:hAnsi="Abadi"/>
          <w:sz w:val="21"/>
          <w:szCs w:val="21"/>
        </w:rPr>
        <w:t xml:space="preserve"> por eso creo que sí hay elementos para que independientemente de lo que comentaba aquí el diputado Cuauhtémoc que seguramente es cierto</w:t>
      </w:r>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me parece que no está de más la urgencia de que no esperemos a que la</w:t>
      </w:r>
      <w:r>
        <w:rPr>
          <w:rFonts w:ascii="Abadi" w:hAnsi="Abadi"/>
          <w:sz w:val="21"/>
          <w:szCs w:val="21"/>
        </w:rPr>
        <w:t>,</w:t>
      </w:r>
      <w:r w:rsidRPr="0030088F">
        <w:rPr>
          <w:rFonts w:ascii="Abadi" w:hAnsi="Abadi"/>
          <w:sz w:val="21"/>
          <w:szCs w:val="21"/>
        </w:rPr>
        <w:t xml:space="preserve"> a que se vuelva a faltar al tiempo que da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usticia y que vuelva otra vez a emitir otra recomendación de que se legisle sobre la materia porque ha sucedido muchas veces</w:t>
      </w:r>
      <w:r>
        <w:rPr>
          <w:rFonts w:ascii="Abadi" w:hAnsi="Abadi"/>
          <w:sz w:val="21"/>
          <w:szCs w:val="21"/>
        </w:rPr>
        <w:t xml:space="preserve">. </w:t>
      </w:r>
    </w:p>
    <w:p w14:paraId="736E0B63" w14:textId="77777777" w:rsidR="00672D31" w:rsidRDefault="00672D31" w:rsidP="00672D31">
      <w:pPr>
        <w:jc w:val="both"/>
        <w:rPr>
          <w:rFonts w:ascii="Abadi" w:hAnsi="Abadi"/>
          <w:sz w:val="21"/>
          <w:szCs w:val="21"/>
        </w:rPr>
      </w:pPr>
    </w:p>
    <w:p w14:paraId="20DD198D" w14:textId="77777777" w:rsidR="00672D31" w:rsidRDefault="00672D31" w:rsidP="00672D31">
      <w:pPr>
        <w:jc w:val="both"/>
        <w:rPr>
          <w:rFonts w:ascii="Abadi" w:hAnsi="Abadi"/>
          <w:sz w:val="21"/>
          <w:szCs w:val="21"/>
        </w:rPr>
      </w:pPr>
      <w:r>
        <w:rPr>
          <w:rFonts w:ascii="Abadi" w:hAnsi="Abadi"/>
          <w:sz w:val="21"/>
          <w:szCs w:val="21"/>
        </w:rPr>
        <w:t>- E</w:t>
      </w:r>
      <w:r w:rsidRPr="0030088F">
        <w:rPr>
          <w:rFonts w:ascii="Abadi" w:hAnsi="Abadi"/>
          <w:sz w:val="21"/>
          <w:szCs w:val="21"/>
        </w:rPr>
        <w:t xml:space="preserve">ntonces me parece que tiene vigencia por eso acudo a esta tribuna para hablar a favor del presente dictamen por el que se exhorta al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a expedir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 las circunstancias actuales exigen de todas las autoridades y de la población en general medidas adicionales para cuidar el recurso más valioso con que cuenta el ser humano</w:t>
      </w:r>
      <w:r>
        <w:rPr>
          <w:rFonts w:ascii="Abadi" w:hAnsi="Abadi"/>
          <w:sz w:val="21"/>
          <w:szCs w:val="21"/>
        </w:rPr>
        <w:t>,</w:t>
      </w:r>
      <w:r w:rsidRPr="0030088F">
        <w:rPr>
          <w:rFonts w:ascii="Abadi" w:hAnsi="Abadi"/>
          <w:sz w:val="21"/>
          <w:szCs w:val="21"/>
        </w:rPr>
        <w:t xml:space="preserve"> el agua si bien este recurso se percibe abundante en la totalidad del planeta la realidad</w:t>
      </w:r>
      <w:r>
        <w:rPr>
          <w:rFonts w:ascii="Abadi" w:hAnsi="Abadi"/>
          <w:sz w:val="21"/>
          <w:szCs w:val="21"/>
        </w:rPr>
        <w:t xml:space="preserve">, </w:t>
      </w:r>
      <w:r w:rsidRPr="0030088F">
        <w:rPr>
          <w:rFonts w:ascii="Abadi" w:hAnsi="Abadi"/>
          <w:sz w:val="21"/>
          <w:szCs w:val="21"/>
        </w:rPr>
        <w:t xml:space="preserve">es que menos del 2% es agua dulce apta para el consumo humano la biodiversidad terrestre y para el uso de todas las actividades productivas e industriales si bien </w:t>
      </w:r>
      <w:r>
        <w:rPr>
          <w:rFonts w:ascii="Abadi" w:hAnsi="Abadi"/>
          <w:sz w:val="21"/>
          <w:szCs w:val="21"/>
        </w:rPr>
        <w:t>¡</w:t>
      </w:r>
      <w:r w:rsidRPr="0030088F">
        <w:rPr>
          <w:rFonts w:ascii="Abadi" w:hAnsi="Abadi"/>
          <w:sz w:val="21"/>
          <w:szCs w:val="21"/>
        </w:rPr>
        <w:t>perdón</w:t>
      </w:r>
      <w:r>
        <w:rPr>
          <w:rFonts w:ascii="Abadi" w:hAnsi="Abadi"/>
          <w:sz w:val="21"/>
          <w:szCs w:val="21"/>
        </w:rPr>
        <w:t>¡</w:t>
      </w:r>
      <w:r w:rsidRPr="0030088F">
        <w:rPr>
          <w:rFonts w:ascii="Abadi" w:hAnsi="Abadi"/>
          <w:sz w:val="21"/>
          <w:szCs w:val="21"/>
        </w:rPr>
        <w:t xml:space="preserve"> en tal sentido en el año 2012 el constituyente permanente reconoció en el artículo cuarto de la carta magna el derecho humano al agua en forma suficiente</w:t>
      </w:r>
      <w:r>
        <w:rPr>
          <w:rFonts w:ascii="Abadi" w:hAnsi="Abadi"/>
          <w:sz w:val="21"/>
          <w:szCs w:val="21"/>
        </w:rPr>
        <w:t>,</w:t>
      </w:r>
      <w:r w:rsidRPr="0030088F">
        <w:rPr>
          <w:rFonts w:ascii="Abadi" w:hAnsi="Abadi"/>
          <w:sz w:val="21"/>
          <w:szCs w:val="21"/>
        </w:rPr>
        <w:t xml:space="preserve"> salubre y asequible</w:t>
      </w:r>
      <w:r>
        <w:rPr>
          <w:rFonts w:ascii="Abadi" w:hAnsi="Abadi"/>
          <w:sz w:val="21"/>
          <w:szCs w:val="21"/>
        </w:rPr>
        <w:t>,</w:t>
      </w:r>
      <w:r w:rsidRPr="0030088F">
        <w:rPr>
          <w:rFonts w:ascii="Abadi" w:hAnsi="Abadi"/>
          <w:sz w:val="21"/>
          <w:szCs w:val="21"/>
        </w:rPr>
        <w:t xml:space="preserve"> considerando un término de 360 días para la expedición de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w:t>
      </w:r>
      <w:r>
        <w:rPr>
          <w:rFonts w:ascii="Abadi" w:hAnsi="Abadi"/>
          <w:sz w:val="21"/>
          <w:szCs w:val="21"/>
        </w:rPr>
        <w:t>, r</w:t>
      </w:r>
      <w:r w:rsidRPr="0030088F">
        <w:rPr>
          <w:rFonts w:ascii="Abadi" w:hAnsi="Abadi"/>
          <w:sz w:val="21"/>
          <w:szCs w:val="21"/>
        </w:rPr>
        <w:t>eglamentaria de dicha disposición constitucional es decir como lo decía el diputado sí fue en una legislatura pr</w:t>
      </w:r>
      <w:r>
        <w:rPr>
          <w:rFonts w:ascii="Abadi" w:hAnsi="Abadi"/>
          <w:sz w:val="21"/>
          <w:szCs w:val="21"/>
        </w:rPr>
        <w:t>i</w:t>
      </w:r>
      <w:r w:rsidRPr="0030088F">
        <w:rPr>
          <w:rFonts w:ascii="Abadi" w:hAnsi="Abadi"/>
          <w:sz w:val="21"/>
          <w:szCs w:val="21"/>
        </w:rPr>
        <w:t>sita donde se dónde</w:t>
      </w:r>
      <w:r>
        <w:rPr>
          <w:rFonts w:ascii="Abadi" w:hAnsi="Abadi"/>
          <w:sz w:val="21"/>
          <w:szCs w:val="21"/>
        </w:rPr>
        <w:t>,</w:t>
      </w:r>
      <w:r w:rsidRPr="0030088F">
        <w:rPr>
          <w:rFonts w:ascii="Abadi" w:hAnsi="Abadi"/>
          <w:sz w:val="21"/>
          <w:szCs w:val="21"/>
        </w:rPr>
        <w:t xml:space="preserve"> no se cumplió con este primer mandato y no cuesta trabajo </w:t>
      </w:r>
      <w:r w:rsidRPr="0030088F">
        <w:rPr>
          <w:rFonts w:ascii="Abadi" w:hAnsi="Abadi"/>
          <w:sz w:val="21"/>
          <w:szCs w:val="21"/>
        </w:rPr>
        <w:t>reconocerlo</w:t>
      </w:r>
      <w:r>
        <w:rPr>
          <w:rFonts w:ascii="Abadi" w:hAnsi="Abadi"/>
          <w:sz w:val="21"/>
          <w:szCs w:val="21"/>
        </w:rPr>
        <w:t>,</w:t>
      </w:r>
      <w:r w:rsidRPr="0030088F">
        <w:rPr>
          <w:rFonts w:ascii="Abadi" w:hAnsi="Abadi"/>
          <w:sz w:val="21"/>
          <w:szCs w:val="21"/>
        </w:rPr>
        <w:t xml:space="preserve"> pero sigue persistiendo hasta la fecha la necesidad de que esto se materialice</w:t>
      </w:r>
      <w:r>
        <w:rPr>
          <w:rFonts w:ascii="Abadi" w:hAnsi="Abadi"/>
          <w:sz w:val="21"/>
          <w:szCs w:val="21"/>
        </w:rPr>
        <w:t>,</w:t>
      </w:r>
      <w:r w:rsidRPr="0030088F">
        <w:rPr>
          <w:rFonts w:ascii="Abadi" w:hAnsi="Abadi"/>
          <w:sz w:val="21"/>
          <w:szCs w:val="21"/>
        </w:rPr>
        <w:t xml:space="preserve"> eh somos conscientes también dela complejidad que implica expedir una legislación de tal magnitud no obstante al día de hoy ha pasado más de una década sin que dicha legislación haya sido expedida a pesar de los diversos esfuerzos legislativos y numerosos procedimientos de orden constitucional que en sus resoluciones han instado al congreso de la unión a expedir el citado ordenamiento</w:t>
      </w:r>
      <w:r>
        <w:rPr>
          <w:rFonts w:ascii="Abadi" w:hAnsi="Abadi"/>
          <w:sz w:val="21"/>
          <w:szCs w:val="21"/>
        </w:rPr>
        <w:t xml:space="preserve">. </w:t>
      </w:r>
    </w:p>
    <w:p w14:paraId="4F9A67B1" w14:textId="77777777" w:rsidR="00672D31" w:rsidRDefault="00672D31" w:rsidP="00672D31">
      <w:pPr>
        <w:jc w:val="both"/>
        <w:rPr>
          <w:rFonts w:ascii="Abadi" w:hAnsi="Abadi"/>
          <w:sz w:val="21"/>
          <w:szCs w:val="21"/>
        </w:rPr>
      </w:pPr>
    </w:p>
    <w:p w14:paraId="5D29F7EF" w14:textId="77777777" w:rsidR="00672D31" w:rsidRDefault="00672D31" w:rsidP="00672D31">
      <w:pPr>
        <w:jc w:val="both"/>
        <w:rPr>
          <w:rFonts w:ascii="Abadi" w:hAnsi="Abadi"/>
          <w:sz w:val="21"/>
          <w:szCs w:val="21"/>
        </w:rPr>
      </w:pPr>
      <w:r>
        <w:rPr>
          <w:rFonts w:ascii="Abadi" w:hAnsi="Abadi"/>
          <w:sz w:val="21"/>
          <w:szCs w:val="21"/>
        </w:rPr>
        <w:t>- E</w:t>
      </w:r>
      <w:r w:rsidRPr="0030088F">
        <w:rPr>
          <w:rFonts w:ascii="Abadi" w:hAnsi="Abadi"/>
          <w:sz w:val="21"/>
          <w:szCs w:val="21"/>
        </w:rPr>
        <w:t xml:space="preserve">n ese sentido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 en enero de 2022</w:t>
      </w:r>
      <w:r>
        <w:rPr>
          <w:rFonts w:ascii="Abadi" w:hAnsi="Abadi"/>
          <w:sz w:val="21"/>
          <w:szCs w:val="21"/>
        </w:rPr>
        <w:t>,</w:t>
      </w:r>
      <w:r w:rsidRPr="0030088F">
        <w:rPr>
          <w:rFonts w:ascii="Abadi" w:hAnsi="Abadi"/>
          <w:sz w:val="21"/>
          <w:szCs w:val="21"/>
        </w:rPr>
        <w:t xml:space="preserve"> resolvió reiterar la omisión legislativa absoluta del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en emitir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 señalando como plazo</w:t>
      </w:r>
      <w:r>
        <w:rPr>
          <w:rFonts w:ascii="Abadi" w:hAnsi="Abadi"/>
          <w:sz w:val="21"/>
          <w:szCs w:val="21"/>
        </w:rPr>
        <w:t>,</w:t>
      </w:r>
      <w:r w:rsidRPr="0030088F">
        <w:rPr>
          <w:rFonts w:ascii="Abadi" w:hAnsi="Abadi"/>
          <w:sz w:val="21"/>
          <w:szCs w:val="21"/>
        </w:rPr>
        <w:t xml:space="preserve"> hasta ese entonces el próximo periodo ordinario de sesiones</w:t>
      </w:r>
      <w:r>
        <w:rPr>
          <w:rFonts w:ascii="Abadi" w:hAnsi="Abadi"/>
          <w:sz w:val="21"/>
          <w:szCs w:val="21"/>
        </w:rPr>
        <w:t>,</w:t>
      </w:r>
      <w:r w:rsidRPr="0030088F">
        <w:rPr>
          <w:rFonts w:ascii="Abadi" w:hAnsi="Abadi"/>
          <w:sz w:val="21"/>
          <w:szCs w:val="21"/>
        </w:rPr>
        <w:t xml:space="preserve"> mismo que concluyó en abril de ese año</w:t>
      </w:r>
      <w:r>
        <w:rPr>
          <w:rFonts w:ascii="Abadi" w:hAnsi="Abadi"/>
          <w:sz w:val="21"/>
          <w:szCs w:val="21"/>
        </w:rPr>
        <w:t>,</w:t>
      </w:r>
      <w:r w:rsidRPr="0030088F">
        <w:rPr>
          <w:rFonts w:ascii="Abadi" w:hAnsi="Abadi"/>
          <w:sz w:val="21"/>
          <w:szCs w:val="21"/>
        </w:rPr>
        <w:t xml:space="preserve"> sin embargo tras solicitar información a cada una de las cámaras</w:t>
      </w:r>
      <w:r>
        <w:rPr>
          <w:rFonts w:ascii="Abadi" w:hAnsi="Abadi"/>
          <w:sz w:val="21"/>
          <w:szCs w:val="21"/>
        </w:rPr>
        <w:t>,</w:t>
      </w:r>
      <w:r w:rsidRPr="0030088F">
        <w:rPr>
          <w:rFonts w:ascii="Abadi" w:hAnsi="Abadi"/>
          <w:sz w:val="21"/>
          <w:szCs w:val="21"/>
        </w:rPr>
        <w:t xml:space="preserve"> la </w:t>
      </w:r>
      <w:r>
        <w:rPr>
          <w:rFonts w:ascii="Abadi" w:hAnsi="Abadi"/>
          <w:sz w:val="21"/>
          <w:szCs w:val="21"/>
        </w:rPr>
        <w:t>C</w:t>
      </w:r>
      <w:r w:rsidRPr="0030088F">
        <w:rPr>
          <w:rFonts w:ascii="Abadi" w:hAnsi="Abadi"/>
          <w:sz w:val="21"/>
          <w:szCs w:val="21"/>
        </w:rPr>
        <w:t xml:space="preserve">ámara de </w:t>
      </w:r>
      <w:r>
        <w:rPr>
          <w:rFonts w:ascii="Abadi" w:hAnsi="Abadi"/>
          <w:sz w:val="21"/>
          <w:szCs w:val="21"/>
        </w:rPr>
        <w:t>D</w:t>
      </w:r>
      <w:r w:rsidRPr="0030088F">
        <w:rPr>
          <w:rFonts w:ascii="Abadi" w:hAnsi="Abadi"/>
          <w:sz w:val="21"/>
          <w:szCs w:val="21"/>
        </w:rPr>
        <w:t>iputados</w:t>
      </w:r>
      <w:r>
        <w:rPr>
          <w:rFonts w:ascii="Abadi" w:hAnsi="Abadi"/>
          <w:sz w:val="21"/>
          <w:szCs w:val="21"/>
        </w:rPr>
        <w:t>,</w:t>
      </w:r>
      <w:r w:rsidRPr="0030088F">
        <w:rPr>
          <w:rFonts w:ascii="Abadi" w:hAnsi="Abadi"/>
          <w:sz w:val="21"/>
          <w:szCs w:val="21"/>
        </w:rPr>
        <w:t xml:space="preserve"> indicó que en septiembre del 2022</w:t>
      </w:r>
      <w:r>
        <w:rPr>
          <w:rFonts w:ascii="Abadi" w:hAnsi="Abadi"/>
          <w:sz w:val="21"/>
          <w:szCs w:val="21"/>
        </w:rPr>
        <w:t>,</w:t>
      </w:r>
      <w:r w:rsidRPr="0030088F">
        <w:rPr>
          <w:rFonts w:ascii="Abadi" w:hAnsi="Abadi"/>
          <w:sz w:val="21"/>
          <w:szCs w:val="21"/>
        </w:rPr>
        <w:t xml:space="preserve"> solicitaron una prórroga en donde manifiestan que hasta abril de 2023 no habían tenido</w:t>
      </w:r>
      <w:r>
        <w:rPr>
          <w:rFonts w:ascii="Abadi" w:hAnsi="Abadi"/>
          <w:sz w:val="21"/>
          <w:szCs w:val="21"/>
        </w:rPr>
        <w:t>,</w:t>
      </w:r>
      <w:r w:rsidRPr="0030088F">
        <w:rPr>
          <w:rFonts w:ascii="Abadi" w:hAnsi="Abadi"/>
          <w:sz w:val="21"/>
          <w:szCs w:val="21"/>
        </w:rPr>
        <w:t xml:space="preserve"> no había no habían tenido respuesta</w:t>
      </w:r>
      <w:r>
        <w:rPr>
          <w:rFonts w:ascii="Abadi" w:hAnsi="Abadi"/>
          <w:sz w:val="21"/>
          <w:szCs w:val="21"/>
        </w:rPr>
        <w:t>,</w:t>
      </w:r>
      <w:r w:rsidRPr="0030088F">
        <w:rPr>
          <w:rFonts w:ascii="Abadi" w:hAnsi="Abadi"/>
          <w:sz w:val="21"/>
          <w:szCs w:val="21"/>
        </w:rPr>
        <w:t xml:space="preserve"> es decir a más de </w:t>
      </w:r>
      <w:r>
        <w:rPr>
          <w:rFonts w:ascii="Abadi" w:hAnsi="Abadi"/>
          <w:sz w:val="21"/>
          <w:szCs w:val="21"/>
        </w:rPr>
        <w:t>un</w:t>
      </w:r>
      <w:r w:rsidRPr="0030088F">
        <w:rPr>
          <w:rFonts w:ascii="Abadi" w:hAnsi="Abadi"/>
          <w:sz w:val="21"/>
          <w:szCs w:val="21"/>
        </w:rPr>
        <w:t xml:space="preserve"> año de tener que haber dado cumplimiento a la resolución seguimos sin tener una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guas</w:t>
      </w:r>
      <w:r>
        <w:rPr>
          <w:rFonts w:ascii="Abadi" w:hAnsi="Abadi"/>
          <w:sz w:val="21"/>
          <w:szCs w:val="21"/>
        </w:rPr>
        <w:t>,</w:t>
      </w:r>
      <w:r w:rsidRPr="0030088F">
        <w:rPr>
          <w:rFonts w:ascii="Abadi" w:hAnsi="Abadi"/>
          <w:sz w:val="21"/>
          <w:szCs w:val="21"/>
        </w:rPr>
        <w:t xml:space="preserve"> por tal motivo y debido a la cada vez más apremiante situación que vive el país con respecto a la escasez del agua resulta indispensable que México cuente con un ordenamiento jurídico que defina las bases de coordinación</w:t>
      </w:r>
      <w:r>
        <w:rPr>
          <w:rFonts w:ascii="Abadi" w:hAnsi="Abadi"/>
          <w:sz w:val="21"/>
          <w:szCs w:val="21"/>
        </w:rPr>
        <w:t>,</w:t>
      </w:r>
      <w:r w:rsidRPr="0030088F">
        <w:rPr>
          <w:rFonts w:ascii="Abadi" w:hAnsi="Abadi"/>
          <w:sz w:val="21"/>
          <w:szCs w:val="21"/>
        </w:rPr>
        <w:t xml:space="preserve"> competencias y acciones correspondientes a los </w:t>
      </w:r>
      <w:r>
        <w:rPr>
          <w:rFonts w:ascii="Abadi" w:hAnsi="Abadi"/>
          <w:sz w:val="21"/>
          <w:szCs w:val="21"/>
        </w:rPr>
        <w:t>tres</w:t>
      </w:r>
      <w:r w:rsidRPr="0030088F">
        <w:rPr>
          <w:rFonts w:ascii="Abadi" w:hAnsi="Abadi"/>
          <w:sz w:val="21"/>
          <w:szCs w:val="21"/>
        </w:rPr>
        <w:t xml:space="preserve"> órdenes de gobierno</w:t>
      </w:r>
      <w:r>
        <w:rPr>
          <w:rFonts w:ascii="Abadi" w:hAnsi="Abadi"/>
          <w:sz w:val="21"/>
          <w:szCs w:val="21"/>
        </w:rPr>
        <w:t>,</w:t>
      </w:r>
      <w:r w:rsidRPr="0030088F">
        <w:rPr>
          <w:rFonts w:ascii="Abadi" w:hAnsi="Abadi"/>
          <w:sz w:val="21"/>
          <w:szCs w:val="21"/>
        </w:rPr>
        <w:t xml:space="preserve"> con la finalidad de cumplir a cabalidad con sus obligaciones constitucionales de garantizar la suficiencia de este recurso y su aprovechamiento sustentable</w:t>
      </w:r>
      <w:r>
        <w:rPr>
          <w:rFonts w:ascii="Abadi" w:hAnsi="Abadi"/>
          <w:sz w:val="21"/>
          <w:szCs w:val="21"/>
        </w:rPr>
        <w:t>.</w:t>
      </w:r>
    </w:p>
    <w:p w14:paraId="50839959" w14:textId="77777777" w:rsidR="00672D31" w:rsidRDefault="00672D31" w:rsidP="00672D31">
      <w:pPr>
        <w:jc w:val="both"/>
        <w:rPr>
          <w:rFonts w:ascii="Abadi" w:hAnsi="Abadi"/>
          <w:sz w:val="21"/>
          <w:szCs w:val="21"/>
        </w:rPr>
      </w:pPr>
    </w:p>
    <w:p w14:paraId="2E197121" w14:textId="77777777" w:rsidR="00672D31" w:rsidRDefault="00672D31" w:rsidP="00672D31">
      <w:pPr>
        <w:jc w:val="both"/>
        <w:rPr>
          <w:rFonts w:ascii="Abadi" w:hAnsi="Abadi"/>
          <w:sz w:val="21"/>
          <w:szCs w:val="21"/>
        </w:rPr>
      </w:pPr>
      <w:r>
        <w:rPr>
          <w:rFonts w:ascii="Abadi" w:hAnsi="Abadi"/>
          <w:sz w:val="21"/>
          <w:szCs w:val="21"/>
        </w:rPr>
        <w:t>- H</w:t>
      </w:r>
      <w:r w:rsidRPr="0030088F">
        <w:rPr>
          <w:rFonts w:ascii="Abadi" w:hAnsi="Abadi"/>
          <w:sz w:val="21"/>
          <w:szCs w:val="21"/>
        </w:rPr>
        <w:t>an sido diversos los conflictos que se han suscitado con motivo de la escasez del recurso hídrico al grado de surgir discursos en donde las entidades se consideran legitimadas en declarar la propiedad de los cuerpos de agua</w:t>
      </w:r>
      <w:r>
        <w:rPr>
          <w:rFonts w:ascii="Abadi" w:hAnsi="Abadi"/>
          <w:sz w:val="21"/>
          <w:szCs w:val="21"/>
        </w:rPr>
        <w:t>,</w:t>
      </w:r>
      <w:r w:rsidRPr="0030088F">
        <w:rPr>
          <w:rFonts w:ascii="Abadi" w:hAnsi="Abadi"/>
          <w:sz w:val="21"/>
          <w:szCs w:val="21"/>
        </w:rPr>
        <w:t xml:space="preserve"> pero no nos confundamos</w:t>
      </w:r>
      <w:r>
        <w:rPr>
          <w:rFonts w:ascii="Abadi" w:hAnsi="Abadi"/>
          <w:sz w:val="21"/>
          <w:szCs w:val="21"/>
        </w:rPr>
        <w:t>,,</w:t>
      </w:r>
      <w:r w:rsidRPr="0030088F">
        <w:rPr>
          <w:rFonts w:ascii="Abadi" w:hAnsi="Abadi"/>
          <w:sz w:val="21"/>
          <w:szCs w:val="21"/>
        </w:rPr>
        <w:t xml:space="preserve"> el agua es de todas y todos</w:t>
      </w:r>
      <w:r>
        <w:rPr>
          <w:rFonts w:ascii="Abadi" w:hAnsi="Abadi"/>
          <w:sz w:val="21"/>
          <w:szCs w:val="21"/>
        </w:rPr>
        <w:t>,</w:t>
      </w:r>
      <w:r w:rsidRPr="0030088F">
        <w:rPr>
          <w:rFonts w:ascii="Abadi" w:hAnsi="Abadi"/>
          <w:sz w:val="21"/>
          <w:szCs w:val="21"/>
        </w:rPr>
        <w:t xml:space="preserve"> así que así está establecido desde el nacimiento del texto fundamental y sin duda así seguirá siendo</w:t>
      </w:r>
      <w:r>
        <w:rPr>
          <w:rFonts w:ascii="Abadi" w:hAnsi="Abadi"/>
          <w:sz w:val="21"/>
          <w:szCs w:val="21"/>
        </w:rPr>
        <w:t>,</w:t>
      </w:r>
      <w:r w:rsidRPr="0030088F">
        <w:rPr>
          <w:rFonts w:ascii="Abadi" w:hAnsi="Abadi"/>
          <w:sz w:val="21"/>
          <w:szCs w:val="21"/>
        </w:rPr>
        <w:t xml:space="preserve"> por ello</w:t>
      </w:r>
      <w:r>
        <w:rPr>
          <w:rFonts w:ascii="Abadi" w:hAnsi="Abadi"/>
          <w:sz w:val="21"/>
          <w:szCs w:val="21"/>
        </w:rPr>
        <w:t>,</w:t>
      </w:r>
      <w:r w:rsidRPr="0030088F">
        <w:rPr>
          <w:rFonts w:ascii="Abadi" w:hAnsi="Abadi"/>
          <w:sz w:val="21"/>
          <w:szCs w:val="21"/>
        </w:rPr>
        <w:t xml:space="preserve"> resulta indispensable que como representantes de los guanajuatenses instemos al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 xml:space="preserve">nión a que expida la </w:t>
      </w:r>
      <w:r>
        <w:rPr>
          <w:rFonts w:ascii="Abadi" w:hAnsi="Abadi"/>
          <w:sz w:val="21"/>
          <w:szCs w:val="21"/>
        </w:rPr>
        <w:t>L</w:t>
      </w:r>
      <w:r w:rsidRPr="0030088F">
        <w:rPr>
          <w:rFonts w:ascii="Abadi" w:hAnsi="Abadi"/>
          <w:sz w:val="21"/>
          <w:szCs w:val="21"/>
        </w:rPr>
        <w:t xml:space="preserve">ey </w:t>
      </w:r>
      <w:r>
        <w:rPr>
          <w:rFonts w:ascii="Abadi" w:hAnsi="Abadi"/>
          <w:sz w:val="21"/>
          <w:szCs w:val="21"/>
        </w:rPr>
        <w:t>G</w:t>
      </w:r>
      <w:r w:rsidRPr="0030088F">
        <w:rPr>
          <w:rFonts w:ascii="Abadi" w:hAnsi="Abadi"/>
          <w:sz w:val="21"/>
          <w:szCs w:val="21"/>
        </w:rPr>
        <w:t xml:space="preserve">eneral de </w:t>
      </w:r>
      <w:r>
        <w:rPr>
          <w:rFonts w:ascii="Abadi" w:hAnsi="Abadi"/>
          <w:sz w:val="21"/>
          <w:szCs w:val="21"/>
        </w:rPr>
        <w:t>A</w:t>
      </w:r>
      <w:r w:rsidRPr="0030088F">
        <w:rPr>
          <w:rFonts w:ascii="Abadi" w:hAnsi="Abadi"/>
          <w:sz w:val="21"/>
          <w:szCs w:val="21"/>
        </w:rPr>
        <w:t xml:space="preserve">guas pues aunque sigue operativa la </w:t>
      </w:r>
      <w:r>
        <w:rPr>
          <w:rFonts w:ascii="Abadi" w:hAnsi="Abadi"/>
          <w:sz w:val="21"/>
          <w:szCs w:val="21"/>
        </w:rPr>
        <w:t>L</w:t>
      </w:r>
      <w:r w:rsidRPr="0030088F">
        <w:rPr>
          <w:rFonts w:ascii="Abadi" w:hAnsi="Abadi"/>
          <w:sz w:val="21"/>
          <w:szCs w:val="21"/>
        </w:rPr>
        <w:t xml:space="preserve">ey de </w:t>
      </w:r>
      <w:r>
        <w:rPr>
          <w:rFonts w:ascii="Abadi" w:hAnsi="Abadi"/>
          <w:sz w:val="21"/>
          <w:szCs w:val="21"/>
        </w:rPr>
        <w:t>A</w:t>
      </w:r>
      <w:r w:rsidRPr="0030088F">
        <w:rPr>
          <w:rFonts w:ascii="Abadi" w:hAnsi="Abadi"/>
          <w:sz w:val="21"/>
          <w:szCs w:val="21"/>
        </w:rPr>
        <w:t xml:space="preserve">guas </w:t>
      </w:r>
      <w:r>
        <w:rPr>
          <w:rFonts w:ascii="Abadi" w:hAnsi="Abadi"/>
          <w:sz w:val="21"/>
          <w:szCs w:val="21"/>
        </w:rPr>
        <w:t>N</w:t>
      </w:r>
      <w:r w:rsidRPr="0030088F">
        <w:rPr>
          <w:rFonts w:ascii="Abadi" w:hAnsi="Abadi"/>
          <w:sz w:val="21"/>
          <w:szCs w:val="21"/>
        </w:rPr>
        <w:t xml:space="preserve">acionales su eficacia cada vez se ve mermada </w:t>
      </w:r>
      <w:r w:rsidRPr="0030088F">
        <w:rPr>
          <w:rFonts w:ascii="Abadi" w:hAnsi="Abadi"/>
          <w:sz w:val="21"/>
          <w:szCs w:val="21"/>
        </w:rPr>
        <w:lastRenderedPageBreak/>
        <w:t>debido a la falta de certeza y mecanismos que involucren en la política hídrica nacional a todas las autoridades</w:t>
      </w:r>
      <w:r>
        <w:rPr>
          <w:rFonts w:ascii="Abadi" w:hAnsi="Abadi"/>
          <w:sz w:val="21"/>
          <w:szCs w:val="21"/>
        </w:rPr>
        <w:t>,</w:t>
      </w:r>
      <w:r w:rsidRPr="0030088F">
        <w:rPr>
          <w:rFonts w:ascii="Abadi" w:hAnsi="Abadi"/>
          <w:sz w:val="21"/>
          <w:szCs w:val="21"/>
        </w:rPr>
        <w:t xml:space="preserve"> si bien</w:t>
      </w:r>
      <w:r>
        <w:rPr>
          <w:rFonts w:ascii="Abadi" w:hAnsi="Abadi"/>
          <w:sz w:val="21"/>
          <w:szCs w:val="21"/>
        </w:rPr>
        <w:t>,</w:t>
      </w:r>
      <w:r w:rsidRPr="0030088F">
        <w:rPr>
          <w:rFonts w:ascii="Abadi" w:hAnsi="Abadi"/>
          <w:sz w:val="21"/>
          <w:szCs w:val="21"/>
        </w:rPr>
        <w:t xml:space="preserve"> una legislación no genera cambios por sí sola sí conlleva uno de los primeros pasos para la consolidación de un sistema nacional que nos permita disminuir la sobreexplotación del agua</w:t>
      </w:r>
      <w:r>
        <w:rPr>
          <w:rFonts w:ascii="Abadi" w:hAnsi="Abadi"/>
          <w:sz w:val="21"/>
          <w:szCs w:val="21"/>
        </w:rPr>
        <w:t>,</w:t>
      </w:r>
      <w:r w:rsidRPr="0030088F">
        <w:rPr>
          <w:rFonts w:ascii="Abadi" w:hAnsi="Abadi"/>
          <w:sz w:val="21"/>
          <w:szCs w:val="21"/>
        </w:rPr>
        <w:t xml:space="preserve"> controlar los efectos de la sequía y garantizar su acceso a las personas</w:t>
      </w:r>
      <w:r>
        <w:rPr>
          <w:rFonts w:ascii="Abadi" w:hAnsi="Abadi"/>
          <w:sz w:val="21"/>
          <w:szCs w:val="21"/>
        </w:rPr>
        <w:t>.</w:t>
      </w:r>
    </w:p>
    <w:p w14:paraId="264C547B" w14:textId="77777777" w:rsidR="00672D31" w:rsidRDefault="00672D31" w:rsidP="00672D31">
      <w:pPr>
        <w:jc w:val="both"/>
        <w:rPr>
          <w:rFonts w:ascii="Abadi" w:hAnsi="Abadi"/>
          <w:sz w:val="21"/>
          <w:szCs w:val="21"/>
        </w:rPr>
      </w:pPr>
    </w:p>
    <w:p w14:paraId="2115C8A5" w14:textId="77777777" w:rsidR="00672D31" w:rsidRDefault="00672D31" w:rsidP="00672D31">
      <w:pPr>
        <w:jc w:val="both"/>
        <w:rPr>
          <w:rFonts w:ascii="Abadi" w:hAnsi="Abadi"/>
          <w:sz w:val="21"/>
          <w:szCs w:val="21"/>
        </w:rPr>
      </w:pPr>
      <w:r>
        <w:rPr>
          <w:rFonts w:ascii="Abadi" w:hAnsi="Abadi"/>
          <w:sz w:val="21"/>
          <w:szCs w:val="21"/>
        </w:rPr>
        <w:t>- N</w:t>
      </w:r>
      <w:r w:rsidRPr="0030088F">
        <w:rPr>
          <w:rFonts w:ascii="Abadi" w:hAnsi="Abadi"/>
          <w:sz w:val="21"/>
          <w:szCs w:val="21"/>
        </w:rPr>
        <w:t>o debemos esperar a que este problema se convierta en una crisis que heredemos a las futuras generaciones</w:t>
      </w:r>
      <w:r>
        <w:rPr>
          <w:rFonts w:ascii="Abadi" w:hAnsi="Abadi"/>
          <w:sz w:val="21"/>
          <w:szCs w:val="21"/>
        </w:rPr>
        <w:t>,</w:t>
      </w:r>
      <w:r w:rsidRPr="0030088F">
        <w:rPr>
          <w:rFonts w:ascii="Abadi" w:hAnsi="Abadi"/>
          <w:sz w:val="21"/>
          <w:szCs w:val="21"/>
        </w:rPr>
        <w:t xml:space="preserve"> por lo anterior</w:t>
      </w:r>
      <w:r>
        <w:rPr>
          <w:rFonts w:ascii="Abadi" w:hAnsi="Abadi"/>
          <w:sz w:val="21"/>
          <w:szCs w:val="21"/>
        </w:rPr>
        <w:t>,</w:t>
      </w:r>
      <w:r w:rsidRPr="0030088F">
        <w:rPr>
          <w:rFonts w:ascii="Abadi" w:hAnsi="Abadi"/>
          <w:sz w:val="21"/>
          <w:szCs w:val="21"/>
        </w:rPr>
        <w:t xml:space="preserve"> solicito su voto a favor del presente dictamen agradeciendo de antemano al presidente de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D</w:t>
      </w:r>
      <w:r w:rsidRPr="0030088F">
        <w:rPr>
          <w:rFonts w:ascii="Abadi" w:hAnsi="Abadi"/>
          <w:sz w:val="21"/>
          <w:szCs w:val="21"/>
        </w:rPr>
        <w:t xml:space="preserve">esarrollo </w:t>
      </w:r>
      <w:r>
        <w:rPr>
          <w:rFonts w:ascii="Abadi" w:hAnsi="Abadi"/>
          <w:sz w:val="21"/>
          <w:szCs w:val="21"/>
        </w:rPr>
        <w:t>U</w:t>
      </w:r>
      <w:r w:rsidRPr="0030088F">
        <w:rPr>
          <w:rFonts w:ascii="Abadi" w:hAnsi="Abadi"/>
          <w:sz w:val="21"/>
          <w:szCs w:val="21"/>
        </w:rPr>
        <w:t xml:space="preserve">rbano y </w:t>
      </w:r>
      <w:r>
        <w:rPr>
          <w:rFonts w:ascii="Abadi" w:hAnsi="Abadi"/>
          <w:sz w:val="21"/>
          <w:szCs w:val="21"/>
        </w:rPr>
        <w:t>O</w:t>
      </w:r>
      <w:r w:rsidRPr="0030088F">
        <w:rPr>
          <w:rFonts w:ascii="Abadi" w:hAnsi="Abadi"/>
          <w:sz w:val="21"/>
          <w:szCs w:val="21"/>
        </w:rPr>
        <w:t xml:space="preserve">bra </w:t>
      </w:r>
      <w:r>
        <w:rPr>
          <w:rFonts w:ascii="Abadi" w:hAnsi="Abadi"/>
          <w:sz w:val="21"/>
          <w:szCs w:val="21"/>
        </w:rPr>
        <w:t>P</w:t>
      </w:r>
      <w:r w:rsidRPr="0030088F">
        <w:rPr>
          <w:rFonts w:ascii="Abadi" w:hAnsi="Abadi"/>
          <w:sz w:val="21"/>
          <w:szCs w:val="21"/>
        </w:rPr>
        <w:t>ública</w:t>
      </w:r>
      <w:r>
        <w:rPr>
          <w:rFonts w:ascii="Abadi" w:hAnsi="Abadi"/>
          <w:sz w:val="21"/>
          <w:szCs w:val="21"/>
        </w:rPr>
        <w:t>,</w:t>
      </w:r>
      <w:r w:rsidRPr="0030088F">
        <w:rPr>
          <w:rFonts w:ascii="Abadi" w:hAnsi="Abadi"/>
          <w:sz w:val="21"/>
          <w:szCs w:val="21"/>
        </w:rPr>
        <w:t xml:space="preserve"> diputado </w:t>
      </w:r>
      <w:r>
        <w:rPr>
          <w:rFonts w:ascii="Abadi" w:hAnsi="Abadi"/>
          <w:sz w:val="21"/>
          <w:szCs w:val="21"/>
        </w:rPr>
        <w:t>B</w:t>
      </w:r>
      <w:r w:rsidRPr="0030088F">
        <w:rPr>
          <w:rFonts w:ascii="Abadi" w:hAnsi="Abadi"/>
          <w:sz w:val="21"/>
          <w:szCs w:val="21"/>
        </w:rPr>
        <w:t>orja y a quienes acompañaron este dictamen</w:t>
      </w:r>
      <w:r>
        <w:rPr>
          <w:rFonts w:ascii="Abadi" w:hAnsi="Abadi"/>
          <w:sz w:val="21"/>
          <w:szCs w:val="21"/>
        </w:rPr>
        <w:t>.</w:t>
      </w:r>
    </w:p>
    <w:p w14:paraId="2D20DBE7" w14:textId="77777777" w:rsidR="00672D31" w:rsidRDefault="00672D31" w:rsidP="00672D31">
      <w:pPr>
        <w:jc w:val="both"/>
        <w:rPr>
          <w:rFonts w:ascii="Abadi" w:hAnsi="Abadi"/>
          <w:sz w:val="21"/>
          <w:szCs w:val="21"/>
        </w:rPr>
      </w:pPr>
    </w:p>
    <w:p w14:paraId="5BBF2A9F" w14:textId="77777777" w:rsidR="00672D31" w:rsidRDefault="00672D31" w:rsidP="00672D31">
      <w:pPr>
        <w:jc w:val="both"/>
        <w:rPr>
          <w:rFonts w:ascii="Abadi" w:hAnsi="Abadi"/>
          <w:sz w:val="21"/>
          <w:szCs w:val="21"/>
        </w:rPr>
      </w:pPr>
      <w:r>
        <w:rPr>
          <w:rFonts w:ascii="Abadi" w:hAnsi="Abadi"/>
          <w:sz w:val="21"/>
          <w:szCs w:val="21"/>
        </w:rPr>
        <w:t>- E</w:t>
      </w:r>
      <w:r w:rsidRPr="0030088F">
        <w:rPr>
          <w:rFonts w:ascii="Abadi" w:hAnsi="Abadi"/>
          <w:sz w:val="21"/>
          <w:szCs w:val="21"/>
        </w:rPr>
        <w:t>s cuanto presidenta</w:t>
      </w:r>
      <w:r>
        <w:rPr>
          <w:rFonts w:ascii="Abadi" w:hAnsi="Abadi"/>
          <w:sz w:val="21"/>
          <w:szCs w:val="21"/>
        </w:rPr>
        <w:t>.</w:t>
      </w:r>
    </w:p>
    <w:p w14:paraId="1B597FFD" w14:textId="77777777" w:rsidR="00672D31" w:rsidRDefault="00672D31" w:rsidP="00672D31">
      <w:pPr>
        <w:jc w:val="both"/>
        <w:rPr>
          <w:rFonts w:ascii="Abadi" w:hAnsi="Abadi"/>
          <w:sz w:val="21"/>
          <w:szCs w:val="21"/>
        </w:rPr>
      </w:pPr>
    </w:p>
    <w:p w14:paraId="4FD2F6F1" w14:textId="77777777" w:rsidR="00672D31" w:rsidRDefault="00672D31" w:rsidP="00672D31">
      <w:pPr>
        <w:jc w:val="both"/>
        <w:rPr>
          <w:rFonts w:ascii="Abadi" w:hAnsi="Abadi"/>
          <w:sz w:val="21"/>
          <w:szCs w:val="21"/>
        </w:rPr>
      </w:pPr>
      <w:r>
        <w:rPr>
          <w:rFonts w:ascii="Abadi" w:hAnsi="Abadi"/>
          <w:sz w:val="21"/>
          <w:szCs w:val="21"/>
        </w:rPr>
        <w:tab/>
      </w:r>
      <w:r w:rsidRPr="00945EE7">
        <w:rPr>
          <w:rFonts w:ascii="Abadi" w:hAnsi="Abadi"/>
          <w:b/>
          <w:bCs/>
          <w:sz w:val="21"/>
          <w:szCs w:val="21"/>
        </w:rPr>
        <w:t xml:space="preserve">- La </w:t>
      </w:r>
      <w:proofErr w:type="gramStart"/>
      <w:r w:rsidRPr="00945EE7">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w:t>
      </w:r>
    </w:p>
    <w:p w14:paraId="6B586BF1" w14:textId="77777777" w:rsidR="00672D31" w:rsidRDefault="00672D31" w:rsidP="00672D31">
      <w:pPr>
        <w:jc w:val="both"/>
        <w:rPr>
          <w:rFonts w:ascii="Abadi" w:hAnsi="Abadi"/>
          <w:sz w:val="21"/>
          <w:szCs w:val="21"/>
        </w:rPr>
      </w:pPr>
      <w:r>
        <w:rPr>
          <w:rFonts w:ascii="Abadi" w:hAnsi="Abadi"/>
          <w:sz w:val="21"/>
          <w:szCs w:val="21"/>
        </w:rPr>
        <w:tab/>
        <w:t>- A</w:t>
      </w:r>
      <w:r w:rsidRPr="0030088F">
        <w:rPr>
          <w:rFonts w:ascii="Abadi" w:hAnsi="Abadi"/>
          <w:sz w:val="21"/>
          <w:szCs w:val="21"/>
        </w:rPr>
        <w:t>gotadas las intervenciones se pide a la secretaría que proceda a recabar votación nominal de la asamblea a través del sistema electrónico a efecto de aprobar o no el dictamen puesto a su consideración</w:t>
      </w:r>
      <w:r>
        <w:rPr>
          <w:rFonts w:ascii="Abadi" w:hAnsi="Abadi"/>
          <w:sz w:val="21"/>
          <w:szCs w:val="21"/>
        </w:rPr>
        <w:t>.</w:t>
      </w:r>
    </w:p>
    <w:p w14:paraId="2A83B79E" w14:textId="77777777" w:rsidR="00672D31" w:rsidRDefault="00672D31" w:rsidP="00672D31">
      <w:pPr>
        <w:jc w:val="both"/>
        <w:rPr>
          <w:rFonts w:ascii="Abadi" w:hAnsi="Abadi"/>
          <w:sz w:val="21"/>
          <w:szCs w:val="21"/>
        </w:rPr>
      </w:pPr>
    </w:p>
    <w:p w14:paraId="3A31E813" w14:textId="77777777" w:rsidR="00672D31" w:rsidRDefault="00672D31" w:rsidP="00672D31">
      <w:pPr>
        <w:jc w:val="both"/>
        <w:rPr>
          <w:rFonts w:ascii="Abadi" w:hAnsi="Abadi"/>
          <w:b/>
          <w:bCs/>
          <w:sz w:val="21"/>
          <w:szCs w:val="21"/>
        </w:rPr>
      </w:pPr>
      <w:r w:rsidRPr="009A0243">
        <w:rPr>
          <w:rFonts w:ascii="Abadi" w:hAnsi="Abadi"/>
          <w:b/>
          <w:bCs/>
          <w:sz w:val="21"/>
          <w:szCs w:val="21"/>
        </w:rPr>
        <w:t>(se abre el sistema electrónico)</w:t>
      </w:r>
    </w:p>
    <w:p w14:paraId="0BB1326C" w14:textId="77777777" w:rsidR="00672D31" w:rsidRDefault="00672D31" w:rsidP="00672D31">
      <w:pPr>
        <w:jc w:val="both"/>
        <w:rPr>
          <w:rFonts w:ascii="Abadi" w:hAnsi="Abadi"/>
          <w:b/>
          <w:bCs/>
          <w:sz w:val="21"/>
          <w:szCs w:val="21"/>
        </w:rPr>
      </w:pPr>
    </w:p>
    <w:p w14:paraId="27A0ED8E" w14:textId="77777777" w:rsidR="00672D31" w:rsidRDefault="00672D31" w:rsidP="00672D31">
      <w:pPr>
        <w:jc w:val="both"/>
        <w:rPr>
          <w:rFonts w:ascii="Abadi" w:hAnsi="Abadi"/>
          <w:sz w:val="21"/>
          <w:szCs w:val="21"/>
        </w:rPr>
      </w:pPr>
      <w:r>
        <w:rPr>
          <w:rFonts w:ascii="Abadi" w:hAnsi="Abadi"/>
          <w:sz w:val="21"/>
          <w:szCs w:val="21"/>
        </w:rPr>
        <w:tab/>
      </w:r>
      <w:r w:rsidRPr="009A0243">
        <w:rPr>
          <w:rFonts w:ascii="Abadi" w:hAnsi="Abadi"/>
          <w:b/>
          <w:bCs/>
          <w:sz w:val="21"/>
          <w:szCs w:val="21"/>
        </w:rPr>
        <w:t xml:space="preserve"> - La </w:t>
      </w:r>
      <w:proofErr w:type="gramStart"/>
      <w:r w:rsidRPr="009A0243">
        <w:rPr>
          <w:rFonts w:ascii="Abadi" w:hAnsi="Abadi"/>
          <w:b/>
          <w:bCs/>
          <w:sz w:val="21"/>
          <w:szCs w:val="21"/>
        </w:rPr>
        <w:t>Secretaría.-</w:t>
      </w:r>
      <w:proofErr w:type="gramEnd"/>
      <w:r w:rsidRPr="009A0243">
        <w:rPr>
          <w:rFonts w:ascii="Abadi" w:hAnsi="Abadi"/>
          <w:b/>
          <w:bCs/>
          <w:sz w:val="21"/>
          <w:szCs w:val="21"/>
        </w:rPr>
        <w:t xml:space="preserve"> </w:t>
      </w:r>
      <w:r>
        <w:rPr>
          <w:rFonts w:ascii="Abadi" w:hAnsi="Abadi"/>
          <w:sz w:val="21"/>
          <w:szCs w:val="21"/>
        </w:rPr>
        <w:t>E</w:t>
      </w:r>
      <w:r w:rsidRPr="0030088F">
        <w:rPr>
          <w:rFonts w:ascii="Abadi" w:hAnsi="Abadi"/>
          <w:sz w:val="21"/>
          <w:szCs w:val="21"/>
        </w:rPr>
        <w:t>n votación nominal y mediante el sistema electrónico se les pregunta si se aprueba el dictamen que se pone a su consideración</w:t>
      </w:r>
      <w:r>
        <w:rPr>
          <w:rFonts w:ascii="Abadi" w:hAnsi="Abadi"/>
          <w:sz w:val="21"/>
          <w:szCs w:val="21"/>
        </w:rPr>
        <w:t>.  ¿</w:t>
      </w:r>
      <w:r w:rsidRPr="0030088F">
        <w:rPr>
          <w:rFonts w:ascii="Abadi" w:hAnsi="Abadi"/>
          <w:sz w:val="21"/>
          <w:szCs w:val="21"/>
        </w:rPr>
        <w:t xml:space="preserve">diputada </w:t>
      </w:r>
      <w:r>
        <w:rPr>
          <w:rFonts w:ascii="Abadi" w:hAnsi="Abadi"/>
          <w:sz w:val="21"/>
          <w:szCs w:val="21"/>
        </w:rPr>
        <w:t>A</w:t>
      </w:r>
      <w:r w:rsidRPr="0030088F">
        <w:rPr>
          <w:rFonts w:ascii="Abadi" w:hAnsi="Abadi"/>
          <w:sz w:val="21"/>
          <w:szCs w:val="21"/>
        </w:rPr>
        <w:t>lma</w:t>
      </w:r>
      <w:r>
        <w:rPr>
          <w:rFonts w:ascii="Abadi" w:hAnsi="Abadi"/>
          <w:sz w:val="21"/>
          <w:szCs w:val="21"/>
        </w:rPr>
        <w:t>?</w:t>
      </w:r>
    </w:p>
    <w:p w14:paraId="63C63374" w14:textId="77777777" w:rsidR="00672D31" w:rsidRDefault="00672D31" w:rsidP="00672D31">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0D05AABD" w14:textId="77777777" w:rsidR="00672D31" w:rsidRDefault="00672D31" w:rsidP="00672D31">
      <w:pPr>
        <w:jc w:val="both"/>
        <w:rPr>
          <w:rFonts w:ascii="Abadi" w:hAnsi="Abadi"/>
          <w:sz w:val="21"/>
          <w:szCs w:val="21"/>
        </w:rPr>
      </w:pPr>
    </w:p>
    <w:p w14:paraId="45B0E54C" w14:textId="77777777" w:rsidR="00672D31" w:rsidRPr="00D53505" w:rsidRDefault="00672D31" w:rsidP="00672D31">
      <w:pPr>
        <w:jc w:val="both"/>
        <w:rPr>
          <w:rFonts w:ascii="Abadi" w:hAnsi="Abadi"/>
          <w:b/>
          <w:bCs/>
          <w:sz w:val="21"/>
          <w:szCs w:val="21"/>
        </w:rPr>
      </w:pPr>
      <w:r w:rsidRPr="00D53505">
        <w:rPr>
          <w:rFonts w:ascii="Abadi" w:hAnsi="Abadi"/>
          <w:b/>
          <w:bCs/>
          <w:sz w:val="21"/>
          <w:szCs w:val="21"/>
        </w:rPr>
        <w:t>(se cierra el sistema electrónico)</w:t>
      </w:r>
    </w:p>
    <w:p w14:paraId="2E596DA0" w14:textId="6DAC1E0F" w:rsidR="00672D31" w:rsidRDefault="00672D31" w:rsidP="00672D31">
      <w:pPr>
        <w:jc w:val="both"/>
        <w:rPr>
          <w:rFonts w:ascii="Abadi" w:hAnsi="Abadi"/>
          <w:sz w:val="21"/>
          <w:szCs w:val="21"/>
        </w:rPr>
      </w:pPr>
      <w:r>
        <w:rPr>
          <w:noProof/>
        </w:rPr>
        <w:drawing>
          <wp:anchor distT="0" distB="0" distL="114300" distR="114300" simplePos="0" relativeHeight="251660310" behindDoc="1" locked="0" layoutInCell="1" allowOverlap="1" wp14:anchorId="3EBDCCDD" wp14:editId="1D72E970">
            <wp:simplePos x="0" y="0"/>
            <wp:positionH relativeFrom="column">
              <wp:posOffset>702310</wp:posOffset>
            </wp:positionH>
            <wp:positionV relativeFrom="paragraph">
              <wp:posOffset>334735</wp:posOffset>
            </wp:positionV>
            <wp:extent cx="1422400" cy="800040"/>
            <wp:effectExtent l="247650" t="247650" r="254000" b="248285"/>
            <wp:wrapTight wrapText="bothSides">
              <wp:wrapPolygon edited="0">
                <wp:start x="-2314" y="-6691"/>
                <wp:lineTo x="-3761" y="-5662"/>
                <wp:lineTo x="-3761" y="20588"/>
                <wp:lineTo x="-2314" y="27793"/>
                <wp:lineTo x="23721" y="27793"/>
                <wp:lineTo x="25168" y="19558"/>
                <wp:lineTo x="25168" y="2573"/>
                <wp:lineTo x="23721" y="-5147"/>
                <wp:lineTo x="23721" y="-6691"/>
                <wp:lineTo x="-2314" y="-6691"/>
              </wp:wrapPolygon>
            </wp:wrapTight>
            <wp:docPr id="446960573" name="Imagen 446960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960573"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422400" cy="800040"/>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anchor>
        </w:drawing>
      </w:r>
    </w:p>
    <w:p w14:paraId="37CF64DF" w14:textId="7508CCF7" w:rsidR="00672D31" w:rsidRDefault="00672D31" w:rsidP="00672D31">
      <w:pPr>
        <w:jc w:val="both"/>
        <w:rPr>
          <w:rFonts w:ascii="Abadi" w:hAnsi="Abadi"/>
          <w:sz w:val="21"/>
          <w:szCs w:val="21"/>
        </w:rPr>
      </w:pPr>
      <w:r>
        <w:rPr>
          <w:rFonts w:ascii="Abadi" w:hAnsi="Abadi"/>
          <w:b/>
          <w:bCs/>
          <w:sz w:val="21"/>
          <w:szCs w:val="21"/>
        </w:rPr>
        <w:tab/>
      </w:r>
      <w:r w:rsidRPr="00A55A80">
        <w:rPr>
          <w:rFonts w:ascii="Abadi" w:hAnsi="Abadi"/>
          <w:b/>
          <w:bCs/>
          <w:sz w:val="21"/>
          <w:szCs w:val="21"/>
        </w:rPr>
        <w:t xml:space="preserve"> - La </w:t>
      </w:r>
      <w:proofErr w:type="gramStart"/>
      <w:r w:rsidRPr="00A55A80">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residenta le informó que se han registrado 26 votos a favor y 8 votos en contra</w:t>
      </w:r>
      <w:r>
        <w:rPr>
          <w:rFonts w:ascii="Abadi" w:hAnsi="Abadi"/>
          <w:sz w:val="21"/>
          <w:szCs w:val="21"/>
        </w:rPr>
        <w:t>.</w:t>
      </w:r>
    </w:p>
    <w:p w14:paraId="5E2FACF2" w14:textId="77777777" w:rsidR="00672D31" w:rsidRDefault="00672D31" w:rsidP="00672D31">
      <w:pPr>
        <w:jc w:val="both"/>
        <w:rPr>
          <w:rFonts w:ascii="Abadi" w:hAnsi="Abadi"/>
          <w:sz w:val="21"/>
          <w:szCs w:val="21"/>
        </w:rPr>
      </w:pPr>
    </w:p>
    <w:p w14:paraId="2A5D9F5F" w14:textId="77777777" w:rsidR="00672D31" w:rsidRDefault="00672D31" w:rsidP="00672D31">
      <w:pPr>
        <w:jc w:val="both"/>
        <w:rPr>
          <w:rFonts w:ascii="Abadi" w:hAnsi="Abadi"/>
          <w:sz w:val="21"/>
          <w:szCs w:val="21"/>
        </w:rPr>
      </w:pPr>
      <w:r>
        <w:rPr>
          <w:rFonts w:ascii="Abadi" w:hAnsi="Abadi"/>
          <w:sz w:val="21"/>
          <w:szCs w:val="21"/>
        </w:rPr>
        <w:tab/>
      </w:r>
      <w:r w:rsidRPr="00A55A80">
        <w:rPr>
          <w:rFonts w:ascii="Abadi" w:hAnsi="Abadi"/>
          <w:b/>
          <w:bCs/>
          <w:sz w:val="21"/>
          <w:szCs w:val="21"/>
        </w:rPr>
        <w:t xml:space="preserve">- La </w:t>
      </w:r>
      <w:proofErr w:type="gramStart"/>
      <w:r w:rsidRPr="00A55A80">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por mayoría de votos</w:t>
      </w:r>
      <w:r>
        <w:rPr>
          <w:rFonts w:ascii="Abadi" w:hAnsi="Abadi"/>
          <w:sz w:val="21"/>
          <w:szCs w:val="21"/>
        </w:rPr>
        <w:t>.</w:t>
      </w:r>
    </w:p>
    <w:p w14:paraId="432EAAF4" w14:textId="77777777" w:rsidR="00672D31" w:rsidRDefault="00672D31" w:rsidP="00672D31">
      <w:pPr>
        <w:jc w:val="both"/>
        <w:rPr>
          <w:rFonts w:ascii="Abadi" w:hAnsi="Abadi"/>
          <w:sz w:val="21"/>
          <w:szCs w:val="21"/>
        </w:rPr>
      </w:pPr>
    </w:p>
    <w:p w14:paraId="64B7C99D" w14:textId="77777777" w:rsidR="00672D31" w:rsidRPr="008A4327" w:rsidRDefault="00672D31" w:rsidP="00672D31">
      <w:pPr>
        <w:ind w:left="1134" w:right="992"/>
        <w:jc w:val="both"/>
        <w:rPr>
          <w:rFonts w:ascii="Abadi" w:hAnsi="Abadi"/>
          <w:b/>
          <w:bCs/>
          <w:i/>
          <w:iCs/>
          <w:sz w:val="21"/>
          <w:szCs w:val="21"/>
          <w:u w:val="single"/>
        </w:rPr>
      </w:pPr>
      <w:r w:rsidRPr="008A4327">
        <w:rPr>
          <w:rFonts w:ascii="Abadi" w:hAnsi="Abadi"/>
          <w:b/>
          <w:bCs/>
          <w:i/>
          <w:iCs/>
          <w:sz w:val="21"/>
          <w:szCs w:val="21"/>
          <w:u w:val="single"/>
        </w:rPr>
        <w:t>En consecuencia remitase el acuerdo aprobado junto con su dictamen al Congreso de la Unión para los efectos conducentes.</w:t>
      </w:r>
    </w:p>
    <w:p w14:paraId="3D6FB66A" w14:textId="77777777" w:rsidR="00023646" w:rsidRPr="00796EE6" w:rsidRDefault="00023646" w:rsidP="00067240">
      <w:pPr>
        <w:widowControl w:val="0"/>
        <w:rPr>
          <w:rFonts w:ascii="Abadi" w:hAnsi="Abadi" w:cs="Arial"/>
          <w:sz w:val="18"/>
          <w:szCs w:val="18"/>
          <w:lang w:val="es-MX" w:eastAsia="es-MX"/>
        </w:rPr>
      </w:pPr>
    </w:p>
    <w:p w14:paraId="3D36E751" w14:textId="77777777" w:rsidR="00067240" w:rsidRPr="00796EE6" w:rsidRDefault="00067240" w:rsidP="00067240">
      <w:pPr>
        <w:widowControl w:val="0"/>
        <w:rPr>
          <w:rFonts w:ascii="Abadi" w:hAnsi="Abadi" w:cs="Arial"/>
          <w:sz w:val="18"/>
          <w:szCs w:val="18"/>
          <w:lang w:val="es-MX" w:eastAsia="es-MX"/>
        </w:rPr>
      </w:pPr>
    </w:p>
    <w:p w14:paraId="65ABDCBA" w14:textId="01D42BDB"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SEGURIDAD PÚBLICA Y COMUNICACIONES RELATIVO A LA PROPUESTA DE PUNTO DE ACUERDO SUSCRITA POR LA DIPUTADA IRMA LETICIA GONZÁLEZ SÁNCHEZ, INTEGRANTE DEL GRUPO PARLAMENTARIO DEL PARTIDO MORENA, MEDIANTE LA CUAL SE ACUERDA GIRAR UN ATENTO EXHORTO AL AYUNTAMIENTO DE LEÓN, GUANAJUATO, PARA QUE, ACTUALICE SU REGLAMENTO DEL SISTEMA MUNICIPAL DE PROTECCIÓN CIVIL DE LEÓN, EN DONDE INCLUYA Y DESARROLLE UN APARTADO SOBRE EL USO DE AERONAVES PILOTEADAS A DISTANCIA Y GLOBOS AEROSTÁTICOS. </w:t>
      </w:r>
      <w:r w:rsidRPr="00006796">
        <w:rPr>
          <w:rFonts w:ascii="Abadi" w:hAnsi="Abadi" w:cs="Arial-ItalicMT"/>
          <w:b/>
          <w:bCs/>
          <w:i/>
          <w:iCs/>
          <w:sz w:val="21"/>
          <w:szCs w:val="21"/>
        </w:rPr>
        <w:t>(ELD 255/LXV-PPA)</w:t>
      </w:r>
      <w:r w:rsidR="00BC7C94">
        <w:rPr>
          <w:rStyle w:val="Refdenotaalpie"/>
          <w:rFonts w:ascii="Abadi" w:hAnsi="Abadi" w:cs="Arial-ItalicMT"/>
          <w:b/>
          <w:bCs/>
          <w:i/>
          <w:iCs/>
          <w:sz w:val="21"/>
          <w:szCs w:val="21"/>
        </w:rPr>
        <w:footnoteReference w:id="112"/>
      </w:r>
    </w:p>
    <w:p w14:paraId="7463D82B" w14:textId="77777777" w:rsidR="00DB4117" w:rsidRPr="00DB4117" w:rsidRDefault="00DB4117" w:rsidP="00DB4117">
      <w:pPr>
        <w:autoSpaceDE w:val="0"/>
        <w:autoSpaceDN w:val="0"/>
        <w:adjustRightInd w:val="0"/>
        <w:contextualSpacing/>
        <w:jc w:val="both"/>
        <w:rPr>
          <w:rFonts w:ascii="Abadi" w:hAnsi="Abadi" w:cs="Arial-ItalicMT"/>
          <w:b/>
          <w:bCs/>
          <w:i/>
          <w:iCs/>
          <w:sz w:val="21"/>
          <w:szCs w:val="21"/>
        </w:rPr>
      </w:pPr>
    </w:p>
    <w:p w14:paraId="07EE921D" w14:textId="77777777" w:rsidR="00EF7206" w:rsidRDefault="00EF7206" w:rsidP="009B194C">
      <w:pPr>
        <w:autoSpaceDE w:val="0"/>
        <w:autoSpaceDN w:val="0"/>
        <w:adjustRightInd w:val="0"/>
        <w:contextualSpacing/>
        <w:jc w:val="both"/>
        <w:rPr>
          <w:rFonts w:ascii="Abadi" w:hAnsi="Abadi" w:cs="Arial-ItalicMT"/>
          <w:b/>
          <w:bCs/>
          <w:i/>
          <w:iCs/>
          <w:sz w:val="21"/>
          <w:szCs w:val="21"/>
        </w:rPr>
      </w:pPr>
    </w:p>
    <w:p w14:paraId="3EFAE2C5" w14:textId="77777777" w:rsidR="00E74450" w:rsidRPr="00E74450" w:rsidRDefault="00E74450" w:rsidP="00E74450">
      <w:pPr>
        <w:rPr>
          <w:rFonts w:ascii="Abadi" w:hAnsi="Abadi" w:cs="Arial"/>
          <w:bCs/>
          <w:sz w:val="21"/>
          <w:szCs w:val="21"/>
        </w:rPr>
      </w:pPr>
      <w:r w:rsidRPr="00E74450">
        <w:rPr>
          <w:rFonts w:ascii="Abadi" w:hAnsi="Abadi" w:cs="Arial"/>
          <w:bCs/>
          <w:sz w:val="21"/>
          <w:szCs w:val="21"/>
        </w:rPr>
        <w:t>Presidencia de la Mesa Directiva</w:t>
      </w:r>
    </w:p>
    <w:p w14:paraId="39DA66AD" w14:textId="77777777" w:rsidR="00E74450" w:rsidRPr="00E74450" w:rsidRDefault="00E74450" w:rsidP="00E74450">
      <w:pPr>
        <w:rPr>
          <w:rFonts w:ascii="Abadi" w:hAnsi="Abadi" w:cs="Arial"/>
          <w:bCs/>
          <w:sz w:val="21"/>
          <w:szCs w:val="21"/>
        </w:rPr>
      </w:pPr>
      <w:r w:rsidRPr="00E74450">
        <w:rPr>
          <w:rFonts w:ascii="Abadi" w:hAnsi="Abadi" w:cs="Arial"/>
          <w:bCs/>
          <w:sz w:val="21"/>
          <w:szCs w:val="21"/>
        </w:rPr>
        <w:t>Congreso del Estado</w:t>
      </w:r>
    </w:p>
    <w:p w14:paraId="0AA1BCCA" w14:textId="77777777" w:rsidR="00E74450" w:rsidRPr="00E74450" w:rsidRDefault="00E74450" w:rsidP="00E74450">
      <w:pPr>
        <w:rPr>
          <w:rFonts w:ascii="Abadi" w:hAnsi="Abadi" w:cs="Arial"/>
          <w:bCs/>
          <w:sz w:val="21"/>
          <w:szCs w:val="21"/>
        </w:rPr>
      </w:pPr>
      <w:r w:rsidRPr="00E74450">
        <w:rPr>
          <w:rFonts w:ascii="Abadi" w:hAnsi="Abadi" w:cs="Arial"/>
          <w:bCs/>
          <w:sz w:val="21"/>
          <w:szCs w:val="21"/>
        </w:rPr>
        <w:t>Presente</w:t>
      </w:r>
    </w:p>
    <w:p w14:paraId="79D43EDC" w14:textId="77777777" w:rsidR="00E74450" w:rsidRPr="00E74450" w:rsidRDefault="00E74450" w:rsidP="00E74450">
      <w:pPr>
        <w:pStyle w:val="paragraph"/>
        <w:spacing w:before="0" w:beforeAutospacing="0" w:after="0" w:afterAutospacing="0"/>
        <w:jc w:val="both"/>
        <w:textAlignment w:val="baseline"/>
        <w:rPr>
          <w:rStyle w:val="normaltextrun"/>
          <w:rFonts w:ascii="Abadi" w:hAnsi="Abadi" w:cs="Arial"/>
          <w:bCs/>
          <w:sz w:val="21"/>
          <w:szCs w:val="21"/>
        </w:rPr>
      </w:pPr>
    </w:p>
    <w:p w14:paraId="5E7C87F0" w14:textId="77777777" w:rsidR="00E74450" w:rsidRPr="00E74450" w:rsidRDefault="00E74450" w:rsidP="00E74450">
      <w:pPr>
        <w:pStyle w:val="paragraph"/>
        <w:spacing w:before="0" w:beforeAutospacing="0" w:after="0" w:afterAutospacing="0"/>
        <w:jc w:val="both"/>
        <w:textAlignment w:val="baseline"/>
        <w:rPr>
          <w:rStyle w:val="normaltextrun"/>
          <w:rFonts w:ascii="Abadi" w:hAnsi="Abadi" w:cs="Arial"/>
          <w:bCs/>
          <w:sz w:val="21"/>
          <w:szCs w:val="21"/>
        </w:rPr>
      </w:pPr>
      <w:r w:rsidRPr="00E74450">
        <w:rPr>
          <w:rStyle w:val="normaltextrun"/>
          <w:rFonts w:ascii="Abadi" w:hAnsi="Abadi" w:cs="Arial"/>
          <w:bCs/>
          <w:sz w:val="21"/>
          <w:szCs w:val="21"/>
        </w:rPr>
        <w:t xml:space="preserve">Correspondió a esta Comisión de Seguridad Pública y Comunicaciones analizar y dictaminar la </w:t>
      </w:r>
      <w:bookmarkStart w:id="2" w:name="_Hlk101893166"/>
      <w:r w:rsidRPr="00E74450">
        <w:rPr>
          <w:rStyle w:val="normaltextrun"/>
          <w:rFonts w:ascii="Abadi" w:hAnsi="Abadi" w:cs="Arial"/>
          <w:bCs/>
          <w:sz w:val="21"/>
          <w:szCs w:val="21"/>
        </w:rPr>
        <w:t xml:space="preserve">propuesta de punto de acuerdo suscrita por la  Diputada Irma Leticia González Sánchez, integrante del Grupo Parlamentario de morena, mediante la cual </w:t>
      </w:r>
      <w:bookmarkEnd w:id="2"/>
      <w:r w:rsidRPr="00E74450">
        <w:rPr>
          <w:rStyle w:val="normaltextrun"/>
          <w:rFonts w:ascii="Abadi" w:hAnsi="Abadi" w:cs="Arial"/>
          <w:bCs/>
          <w:sz w:val="21"/>
          <w:szCs w:val="21"/>
        </w:rPr>
        <w:t>solicita que esta LXV Legislatura del Estado de Guanajuato acuerde girar un atento exhorto al H. Ayuntamiento de León, Guanajuato, para que, actualice su Reglamento del Sistema Municipal de Protección Civil de León, en donde incluya y desarrolle un apartado sobre el Uso de Aeronaves Piloteadas a Distancia y Globos Aerostáticos con el objetivo de que, el Festival Internacional del Globo sea seguro para todos.</w:t>
      </w:r>
    </w:p>
    <w:p w14:paraId="6A77F281" w14:textId="77777777" w:rsidR="00E74450" w:rsidRPr="00E74450" w:rsidRDefault="00E74450" w:rsidP="00E74450">
      <w:pPr>
        <w:pStyle w:val="paragraph"/>
        <w:spacing w:before="0" w:beforeAutospacing="0" w:after="0" w:afterAutospacing="0"/>
        <w:jc w:val="both"/>
        <w:textAlignment w:val="baseline"/>
        <w:rPr>
          <w:rStyle w:val="normaltextrun"/>
          <w:rFonts w:ascii="Abadi" w:hAnsi="Abadi" w:cs="Arial"/>
          <w:bCs/>
          <w:sz w:val="21"/>
          <w:szCs w:val="21"/>
        </w:rPr>
      </w:pPr>
    </w:p>
    <w:p w14:paraId="169F236B" w14:textId="77777777" w:rsidR="00E74450" w:rsidRPr="00E74450" w:rsidRDefault="00E74450" w:rsidP="00E74450">
      <w:pPr>
        <w:pStyle w:val="paragraph"/>
        <w:spacing w:before="0" w:beforeAutospacing="0" w:after="0" w:afterAutospacing="0"/>
        <w:jc w:val="both"/>
        <w:textAlignment w:val="baseline"/>
        <w:rPr>
          <w:rStyle w:val="normaltextrun"/>
          <w:rFonts w:ascii="Abadi" w:hAnsi="Abadi" w:cs="Arial"/>
          <w:bCs/>
          <w:sz w:val="21"/>
          <w:szCs w:val="21"/>
        </w:rPr>
      </w:pPr>
      <w:r w:rsidRPr="00E74450">
        <w:rPr>
          <w:rStyle w:val="normaltextrun"/>
          <w:rFonts w:ascii="Abadi" w:hAnsi="Abadi" w:cs="Arial"/>
          <w:bCs/>
          <w:sz w:val="21"/>
          <w:szCs w:val="21"/>
        </w:rPr>
        <w:t xml:space="preserve">Agotado su estudio y discusión, con fundamento en el artículo 119 fracción II y 180 de la Ley Orgánica del Poder Legislativo del Estado de Guanajuato, se procede a realizar el siguiente: </w:t>
      </w:r>
    </w:p>
    <w:p w14:paraId="721E9091" w14:textId="77777777" w:rsidR="00E74450" w:rsidRPr="00E74450" w:rsidRDefault="00E74450" w:rsidP="00E74450">
      <w:pPr>
        <w:pStyle w:val="paragraph"/>
        <w:spacing w:before="0" w:beforeAutospacing="0" w:after="0" w:afterAutospacing="0"/>
        <w:jc w:val="center"/>
        <w:textAlignment w:val="baseline"/>
        <w:rPr>
          <w:rStyle w:val="normaltextrun"/>
          <w:rFonts w:ascii="Abadi" w:hAnsi="Abadi" w:cs="Arial"/>
          <w:bCs/>
          <w:sz w:val="21"/>
          <w:szCs w:val="21"/>
        </w:rPr>
      </w:pPr>
    </w:p>
    <w:p w14:paraId="199CFC92" w14:textId="77777777" w:rsidR="00E74450" w:rsidRPr="00E74450" w:rsidRDefault="00E74450" w:rsidP="00E74450">
      <w:pPr>
        <w:pStyle w:val="paragraph"/>
        <w:spacing w:before="0" w:beforeAutospacing="0" w:after="0" w:afterAutospacing="0"/>
        <w:jc w:val="center"/>
        <w:textAlignment w:val="baseline"/>
        <w:rPr>
          <w:rStyle w:val="normaltextrun"/>
          <w:rFonts w:ascii="Abadi" w:hAnsi="Abadi" w:cs="Arial"/>
          <w:b/>
          <w:sz w:val="21"/>
          <w:szCs w:val="21"/>
        </w:rPr>
      </w:pPr>
      <w:r w:rsidRPr="00E74450">
        <w:rPr>
          <w:rStyle w:val="normaltextrun"/>
          <w:rFonts w:ascii="Abadi" w:hAnsi="Abadi" w:cs="Arial"/>
          <w:b/>
          <w:sz w:val="21"/>
          <w:szCs w:val="21"/>
        </w:rPr>
        <w:t>D i c t a m e n</w:t>
      </w:r>
    </w:p>
    <w:p w14:paraId="3692241D" w14:textId="77777777" w:rsidR="00E74450" w:rsidRPr="00E74450" w:rsidRDefault="00E74450" w:rsidP="00E74450">
      <w:pPr>
        <w:pStyle w:val="paragraph"/>
        <w:spacing w:before="0" w:beforeAutospacing="0" w:after="0" w:afterAutospacing="0"/>
        <w:jc w:val="center"/>
        <w:textAlignment w:val="baseline"/>
        <w:rPr>
          <w:rStyle w:val="normaltextrun"/>
          <w:rFonts w:ascii="Abadi" w:hAnsi="Abadi" w:cs="Arial"/>
          <w:b/>
          <w:sz w:val="21"/>
          <w:szCs w:val="21"/>
        </w:rPr>
      </w:pPr>
    </w:p>
    <w:p w14:paraId="1F80336B" w14:textId="77777777" w:rsidR="00E74450" w:rsidRPr="00E74450" w:rsidRDefault="00E74450" w:rsidP="00E74450">
      <w:pPr>
        <w:pStyle w:val="paragraph"/>
        <w:numPr>
          <w:ilvl w:val="0"/>
          <w:numId w:val="48"/>
        </w:numPr>
        <w:spacing w:before="0" w:beforeAutospacing="0" w:after="0" w:afterAutospacing="0"/>
        <w:textAlignment w:val="baseline"/>
        <w:rPr>
          <w:rStyle w:val="normaltextrun"/>
          <w:rFonts w:ascii="Abadi" w:hAnsi="Abadi" w:cs="Arial"/>
          <w:b/>
          <w:sz w:val="21"/>
          <w:szCs w:val="21"/>
        </w:rPr>
      </w:pPr>
      <w:r w:rsidRPr="00E74450">
        <w:rPr>
          <w:rStyle w:val="normaltextrun"/>
          <w:rFonts w:ascii="Abadi" w:hAnsi="Abadi" w:cs="Arial"/>
          <w:b/>
          <w:sz w:val="21"/>
          <w:szCs w:val="21"/>
        </w:rPr>
        <w:t>Antecedentes.</w:t>
      </w:r>
    </w:p>
    <w:p w14:paraId="14416345" w14:textId="77777777" w:rsidR="00E74450" w:rsidRPr="00E74450" w:rsidRDefault="00E74450" w:rsidP="00E74450">
      <w:pPr>
        <w:pStyle w:val="paragraph"/>
        <w:spacing w:before="0" w:beforeAutospacing="0" w:after="0" w:afterAutospacing="0"/>
        <w:textAlignment w:val="baseline"/>
        <w:rPr>
          <w:rStyle w:val="normaltextrun"/>
          <w:rFonts w:ascii="Abadi" w:hAnsi="Abadi" w:cs="Arial"/>
          <w:b/>
          <w:sz w:val="21"/>
          <w:szCs w:val="21"/>
        </w:rPr>
      </w:pPr>
    </w:p>
    <w:p w14:paraId="2B8A07EA" w14:textId="77777777" w:rsidR="00E74450" w:rsidRPr="00E74450" w:rsidRDefault="00E74450" w:rsidP="00E74450">
      <w:pPr>
        <w:pStyle w:val="paragraph"/>
        <w:spacing w:before="0" w:beforeAutospacing="0" w:after="0" w:afterAutospacing="0"/>
        <w:jc w:val="both"/>
        <w:textAlignment w:val="baseline"/>
        <w:rPr>
          <w:rStyle w:val="normaltextrun"/>
          <w:rFonts w:ascii="Abadi" w:hAnsi="Abadi" w:cs="Arial"/>
          <w:bCs/>
          <w:sz w:val="21"/>
          <w:szCs w:val="21"/>
        </w:rPr>
      </w:pPr>
      <w:r w:rsidRPr="00E74450">
        <w:rPr>
          <w:rStyle w:val="normaltextrun"/>
          <w:rFonts w:ascii="Abadi" w:hAnsi="Abadi" w:cs="Arial"/>
          <w:bCs/>
          <w:sz w:val="21"/>
          <w:szCs w:val="21"/>
        </w:rPr>
        <w:t xml:space="preserve">La propuesta de acuerdo fue presentada en sesión ordinaria celebrada en fecha 13 de abril de 2023, realizándose su radicación en la Comisión de Seguridad Pública y Comunicaciones en reunión de 20 de abril de 2023. </w:t>
      </w:r>
    </w:p>
    <w:p w14:paraId="695E582C" w14:textId="77777777" w:rsidR="00E74450" w:rsidRPr="00E74450" w:rsidRDefault="00E74450" w:rsidP="00E74450">
      <w:pPr>
        <w:rPr>
          <w:rFonts w:ascii="Abadi" w:hAnsi="Abadi" w:cs="Arial"/>
          <w:bCs/>
          <w:sz w:val="21"/>
          <w:szCs w:val="21"/>
        </w:rPr>
      </w:pPr>
    </w:p>
    <w:p w14:paraId="63698AB7" w14:textId="77777777" w:rsidR="00E74450" w:rsidRPr="00E74450" w:rsidRDefault="00E74450" w:rsidP="00E74450">
      <w:pPr>
        <w:pStyle w:val="paragraph"/>
        <w:numPr>
          <w:ilvl w:val="0"/>
          <w:numId w:val="48"/>
        </w:numPr>
        <w:spacing w:before="0" w:beforeAutospacing="0" w:after="0" w:afterAutospacing="0"/>
        <w:jc w:val="both"/>
        <w:textAlignment w:val="baseline"/>
        <w:rPr>
          <w:rStyle w:val="normaltextrun"/>
          <w:rFonts w:ascii="Abadi" w:hAnsi="Abadi" w:cs="Arial"/>
          <w:b/>
          <w:sz w:val="21"/>
          <w:szCs w:val="21"/>
        </w:rPr>
      </w:pPr>
      <w:r w:rsidRPr="00E74450">
        <w:rPr>
          <w:rStyle w:val="normaltextrun"/>
          <w:rFonts w:ascii="Abadi" w:hAnsi="Abadi" w:cs="Arial"/>
          <w:b/>
          <w:sz w:val="21"/>
          <w:szCs w:val="21"/>
        </w:rPr>
        <w:t>Antecedentes y consideraciones contenidas en propuesta.</w:t>
      </w:r>
    </w:p>
    <w:p w14:paraId="62FB7C8C" w14:textId="77777777" w:rsidR="00E74450" w:rsidRPr="00E74450" w:rsidRDefault="00E74450" w:rsidP="00E74450">
      <w:pPr>
        <w:pStyle w:val="paragraph"/>
        <w:spacing w:after="0"/>
        <w:ind w:left="567" w:right="616"/>
        <w:jc w:val="center"/>
        <w:textAlignment w:val="baseline"/>
        <w:rPr>
          <w:rStyle w:val="normaltextrun"/>
          <w:rFonts w:ascii="Abadi" w:hAnsi="Abadi" w:cs="Arial"/>
          <w:b/>
          <w:i/>
          <w:iCs/>
          <w:sz w:val="21"/>
          <w:szCs w:val="21"/>
        </w:rPr>
      </w:pPr>
      <w:r w:rsidRPr="00E74450">
        <w:rPr>
          <w:rStyle w:val="normaltextrun"/>
          <w:rFonts w:ascii="Abadi" w:hAnsi="Abadi" w:cs="Arial"/>
          <w:b/>
          <w:i/>
          <w:iCs/>
          <w:sz w:val="21"/>
          <w:szCs w:val="21"/>
        </w:rPr>
        <w:t>Antecedentes</w:t>
      </w:r>
    </w:p>
    <w:p w14:paraId="64E6008A"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El pasado 1 de abril fuimos testigos por las redes sociales de un lamentable hecho, un globo aerostático se incendió en pleno vuelo junto a la zona arqueológica de Teotihuacan, en el Estado de México.</w:t>
      </w:r>
    </w:p>
    <w:p w14:paraId="66AFADBC"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7CA8EBF2"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Dos personas, un hombre y una mujer perdieron la vida, mientras que una menor resultó herida con quemaduras de primer y segundo grado y una fractura del brazo derecho.</w:t>
      </w:r>
    </w:p>
    <w:p w14:paraId="77709D45"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364E51BC"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Las investigaciones están en curso de cuáles fueron las causas que originaron el accidente y esclarecer responsabilidades.</w:t>
      </w:r>
    </w:p>
    <w:p w14:paraId="75A261E6"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 </w:t>
      </w:r>
    </w:p>
    <w:p w14:paraId="7192B521"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243BA781"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No es la primera vez que sucede un accidente así junto a las pirámides de Teotihuacan. En septiembre pasado, un globo con 12 personas a bordo se desplomó, debido al fuerte viento de la zona. No hubo muertos ni lesionados. Los pasajeros sufrieron una fuerte crisis nerviosa tras la caída. En noviembre de 2021, otro globo </w:t>
      </w:r>
      <w:r w:rsidRPr="00E74450">
        <w:rPr>
          <w:rStyle w:val="normaltextrun"/>
          <w:rFonts w:ascii="Abadi" w:hAnsi="Abadi"/>
          <w:b w:val="0"/>
          <w:i/>
          <w:iCs/>
          <w:sz w:val="21"/>
          <w:szCs w:val="21"/>
          <w:lang w:val="es-MX" w:eastAsia="es-MX"/>
        </w:rPr>
        <w:t>se desplomó en la misma zona, nueve de los 15 pasajeros que viajaban en el aparato resultaron lesionados.</w:t>
      </w:r>
    </w:p>
    <w:p w14:paraId="1F95C4BA"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4FA8C446"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Por otra parte, de acuerdo con la Federación de Globos Aerostáticos de Teotihuacan, A.C. existen varias empresas que operan fuera del marco legal y, en consecuencia, no garantizan la seguridad de los tripulantes. Por ello, la asociación hizo un llamado al público usuario a verificar que las empresas contratadas cuenten con permisos, equipo y pilotos certificados por parte de la autoridad aeronáutica mexicana.</w:t>
      </w:r>
    </w:p>
    <w:p w14:paraId="187E8DD2"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4A136357"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Guanajuato, no es ajeno a este tipo de actividades, cada noviembre en la ciudad de León, Guanajuato se lleva a cabo el Festival Internacional del Globo.</w:t>
      </w:r>
    </w:p>
    <w:p w14:paraId="64D6E755"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237582D8"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En las últimas ediciones se han suscitado diferentes incidentes, sin pérdidas humanas que lamentar afortunadamente, pero son advertencias de que se necesita una supervisión más rigurosa para llevar a cabo este tipo de eventos.</w:t>
      </w:r>
    </w:p>
    <w:p w14:paraId="6E295F9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444472B4"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Por ejemplo:</w:t>
      </w:r>
    </w:p>
    <w:p w14:paraId="10F1373D"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10E0DC74"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Un Dirigible que choco con las carpas en el área de comida del lugar.</w:t>
      </w:r>
    </w:p>
    <w:p w14:paraId="1D7617F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 </w:t>
      </w:r>
    </w:p>
    <w:p w14:paraId="56817588"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3F86BB59"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Otro echo fue cuando un globo aterrizo en un techo de una vivienda.</w:t>
      </w:r>
    </w:p>
    <w:p w14:paraId="2ECE101D"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324CE6A7"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El más viral, cuando la canastilla de un globo casi se voltea al golpear el techo de una casa y derribar el tinaco de agua.</w:t>
      </w:r>
    </w:p>
    <w:p w14:paraId="4B395E66"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72E73EB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Fuerte vientos derriban los enormes globos</w:t>
      </w:r>
    </w:p>
    <w:p w14:paraId="2C5D5C74"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14B098B2"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En un hecho sin precedentes en este popular evento donde </w:t>
      </w:r>
      <w:r w:rsidRPr="00E74450">
        <w:rPr>
          <w:rStyle w:val="normaltextrun"/>
          <w:rFonts w:ascii="Abadi" w:hAnsi="Abadi"/>
          <w:b w:val="0"/>
          <w:i/>
          <w:iCs/>
          <w:sz w:val="21"/>
          <w:szCs w:val="21"/>
          <w:lang w:val="es-MX" w:eastAsia="es-MX"/>
        </w:rPr>
        <w:lastRenderedPageBreak/>
        <w:t>asisten miles de personas de todo el país y del extranjero, fue provocado por una repentina ráfaga de viento muy intensa, la que ocasionó que al menos una docena de globos aerostáticos fueran derribados.</w:t>
      </w:r>
    </w:p>
    <w:p w14:paraId="55DEB43D"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5BB55E40"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Los globos aerostáticos se dirigieron sin control hacia el público lesionando a 12 personas que fueron atendidas por heridas por contusiones y crisis nerviosas.</w:t>
      </w:r>
    </w:p>
    <w:p w14:paraId="57EDB22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54D7D057"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Con todo lo anterior, es más que evidente que este evento se necesita una mayor vigilancia y el mejoramiento de los protocolos de protección civil para salvaguardar la integridad de las personas asistentes.</w:t>
      </w:r>
    </w:p>
    <w:p w14:paraId="76607B75"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6E6D403F"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¿Cuáles son las medidas de seguridad para volar en globos?</w:t>
      </w:r>
    </w:p>
    <w:p w14:paraId="70469DC1"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601EF277"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Para que un globo aerostático pueda volar se deben cumplir diversas condiciones, desde legales hasta climatológicas. Todos los vuelos deben ser operados por personas certificadas por la Dirección General de Aeronáutica Civil, mientras que la unidad debe ser previamente revisada.</w:t>
      </w:r>
    </w:p>
    <w:p w14:paraId="1E48BB17"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 </w:t>
      </w:r>
    </w:p>
    <w:p w14:paraId="673E1E7F"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5524D05E"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Los globos pueden elevarse casi todos los días de año y siempre lo hacen durante las primeras horas del día, al amanecer, pues es cuando los vientos se encuentran más calmados. Y es que, al mediodía, las corrientes térmicas y el calor del sol pueden afectar la envoltura, complicar el inflado y aumentar el riesgo de que se queme.</w:t>
      </w:r>
    </w:p>
    <w:p w14:paraId="005A850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2BAD75EB"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 xml:space="preserve">Del mismo modo, existen algunas restricciones para personas a quienes no se les permite el ingreso, como niños menores de cuatro años o que midan menos 1.2 metros; </w:t>
      </w:r>
      <w:r w:rsidRPr="00E74450">
        <w:rPr>
          <w:rStyle w:val="normaltextrun"/>
          <w:rFonts w:ascii="Abadi" w:hAnsi="Abadi"/>
          <w:b w:val="0"/>
          <w:i/>
          <w:iCs/>
          <w:sz w:val="21"/>
          <w:szCs w:val="21"/>
          <w:lang w:val="es-MX" w:eastAsia="es-MX"/>
        </w:rPr>
        <w:t>personas con padecimientos cardiovasculares, que estén recién operados o que tengan problemas en la columna vertebral.</w:t>
      </w:r>
    </w:p>
    <w:p w14:paraId="38918A32"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426F6F83"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Del mismo modo, no se permite subir a mujeres embarazadas ni a personas de edad avanzada que tengan complicaciones para ingresar a la canastilla, así como tampoco a personas con problemas de presión arterial.</w:t>
      </w:r>
    </w:p>
    <w:p w14:paraId="4815DC24"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09AB2BF8"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r w:rsidRPr="00E74450">
        <w:rPr>
          <w:rStyle w:val="normaltextrun"/>
          <w:rFonts w:ascii="Abadi" w:hAnsi="Abadi"/>
          <w:b w:val="0"/>
          <w:i/>
          <w:iCs/>
          <w:sz w:val="21"/>
          <w:szCs w:val="21"/>
          <w:lang w:val="es-MX" w:eastAsia="es-MX"/>
        </w:rPr>
        <w:t>En tanto, un vuelo puede ser cancelado por diversos factores, como neblina intensa, presencia de lluvia o vientos superiores a los 20 kilómetros por hora.</w:t>
      </w:r>
    </w:p>
    <w:p w14:paraId="06C2893C" w14:textId="77777777" w:rsidR="00E74450" w:rsidRPr="00E74450" w:rsidRDefault="00E74450" w:rsidP="00E74450">
      <w:pPr>
        <w:pStyle w:val="Textoindependiente"/>
        <w:ind w:left="567" w:right="616"/>
        <w:rPr>
          <w:rStyle w:val="normaltextrun"/>
          <w:rFonts w:ascii="Abadi" w:hAnsi="Abadi"/>
          <w:b w:val="0"/>
          <w:i/>
          <w:iCs/>
          <w:sz w:val="21"/>
          <w:szCs w:val="21"/>
          <w:lang w:val="es-MX" w:eastAsia="es-MX"/>
        </w:rPr>
      </w:pPr>
    </w:p>
    <w:p w14:paraId="701788DA"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Fonts w:ascii="Abadi" w:hAnsi="Abadi"/>
          <w:b w:val="0"/>
          <w:sz w:val="21"/>
          <w:szCs w:val="21"/>
          <w:lang w:val="es-MX"/>
        </w:rPr>
        <w:t xml:space="preserve">III. </w:t>
      </w:r>
      <w:r w:rsidRPr="00E74450">
        <w:rPr>
          <w:rFonts w:ascii="Abadi" w:hAnsi="Abadi"/>
          <w:b w:val="0"/>
          <w:sz w:val="21"/>
          <w:szCs w:val="21"/>
          <w:lang w:val="es-MX"/>
        </w:rPr>
        <w:tab/>
      </w:r>
      <w:r w:rsidRPr="00E74450">
        <w:rPr>
          <w:rFonts w:ascii="Abadi" w:hAnsi="Abadi"/>
          <w:bCs w:val="0"/>
          <w:sz w:val="21"/>
          <w:szCs w:val="21"/>
          <w:lang w:val="es-MX"/>
        </w:rPr>
        <w:t>Consideraciones de quienes integran la comisión</w:t>
      </w:r>
      <w:r w:rsidRPr="00E74450">
        <w:rPr>
          <w:rStyle w:val="normaltextrun"/>
          <w:rFonts w:ascii="Abadi" w:hAnsi="Abadi"/>
          <w:bCs w:val="0"/>
          <w:sz w:val="21"/>
          <w:szCs w:val="21"/>
          <w:lang w:val="es-MX" w:eastAsia="es-MX"/>
        </w:rPr>
        <w:t>.</w:t>
      </w:r>
      <w:r w:rsidRPr="00E74450">
        <w:rPr>
          <w:rStyle w:val="normaltextrun"/>
          <w:rFonts w:ascii="Abadi" w:hAnsi="Abadi"/>
          <w:b w:val="0"/>
          <w:sz w:val="21"/>
          <w:szCs w:val="21"/>
          <w:lang w:val="es-MX" w:eastAsia="es-MX"/>
        </w:rPr>
        <w:t xml:space="preserve"> </w:t>
      </w:r>
    </w:p>
    <w:p w14:paraId="51EA0D07" w14:textId="77777777" w:rsidR="00E74450" w:rsidRPr="00E74450" w:rsidRDefault="00E74450" w:rsidP="00E74450">
      <w:pPr>
        <w:pStyle w:val="Textoindependiente"/>
        <w:ind w:right="113"/>
        <w:rPr>
          <w:rFonts w:ascii="Abadi" w:hAnsi="Abadi"/>
          <w:b w:val="0"/>
          <w:sz w:val="21"/>
          <w:szCs w:val="21"/>
          <w:lang w:val="es-MX"/>
        </w:rPr>
      </w:pPr>
    </w:p>
    <w:p w14:paraId="1B02ACDF" w14:textId="77777777" w:rsidR="00E74450" w:rsidRPr="00E74450" w:rsidRDefault="00E74450" w:rsidP="00E74450">
      <w:pPr>
        <w:pStyle w:val="Textoindependiente"/>
        <w:ind w:right="113"/>
        <w:rPr>
          <w:rFonts w:ascii="Abadi" w:hAnsi="Abadi"/>
          <w:b w:val="0"/>
          <w:sz w:val="21"/>
          <w:szCs w:val="21"/>
          <w:lang w:val="es-MX"/>
        </w:rPr>
      </w:pPr>
      <w:r w:rsidRPr="00E74450">
        <w:rPr>
          <w:rFonts w:ascii="Abadi" w:hAnsi="Abadi"/>
          <w:b w:val="0"/>
          <w:sz w:val="21"/>
          <w:szCs w:val="21"/>
          <w:lang w:val="es-MX"/>
        </w:rPr>
        <w:t xml:space="preserve">Quienes integramos la presente comisión tenemos conocimiento del lamentable accidente ocurrido el sábado primero de abril del presente año que se refiere en la propuesta en análisis, evento en el cual y atendiendo los pronunciamientos que han realizado las autoridades investigadoras hay claridad en un punto primordial: La empresa responsable de la aeronave accidentada no contaba con los permisos necesarios para su operación. </w:t>
      </w:r>
    </w:p>
    <w:p w14:paraId="50AEACFE" w14:textId="77777777" w:rsidR="00E74450" w:rsidRPr="00E74450" w:rsidRDefault="00E74450" w:rsidP="00E74450">
      <w:pPr>
        <w:pStyle w:val="Textoindependiente"/>
        <w:ind w:right="113"/>
        <w:rPr>
          <w:rFonts w:ascii="Abadi" w:hAnsi="Abadi"/>
          <w:b w:val="0"/>
          <w:sz w:val="21"/>
          <w:szCs w:val="21"/>
          <w:lang w:val="es-MX"/>
        </w:rPr>
      </w:pPr>
    </w:p>
    <w:p w14:paraId="582F7F23" w14:textId="77777777" w:rsidR="00E74450" w:rsidRPr="00E74450" w:rsidRDefault="00E74450" w:rsidP="00E74450">
      <w:pPr>
        <w:pStyle w:val="Textoindependiente"/>
        <w:ind w:right="113"/>
        <w:rPr>
          <w:rStyle w:val="normaltextrun"/>
          <w:rFonts w:ascii="Abadi" w:hAnsi="Abadi"/>
          <w:b w:val="0"/>
          <w:sz w:val="21"/>
          <w:szCs w:val="21"/>
          <w:highlight w:val="yellow"/>
          <w:lang w:val="es-MX" w:eastAsia="es-MX"/>
        </w:rPr>
      </w:pPr>
      <w:r w:rsidRPr="00E74450">
        <w:rPr>
          <w:rStyle w:val="normaltextrun"/>
          <w:rFonts w:ascii="Abadi" w:hAnsi="Abadi"/>
          <w:b w:val="0"/>
          <w:sz w:val="21"/>
          <w:szCs w:val="21"/>
          <w:lang w:val="es-MX" w:eastAsia="es-MX"/>
        </w:rPr>
        <w:t>Las operaciones que se realizan por este tipo de aeronaves se encuentran reguladas bajo un marco legal nacional, así como por los reglamentos y normas establecidas por autoridades del orden federal, es decir, el orden legal a quien se propone dirigir el exhorto motivo de la propuesta no cuenta con competencia para poder atender sobre el contenido solicitado y en análisis.</w:t>
      </w:r>
    </w:p>
    <w:p w14:paraId="312D4D03"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31F04A20" w14:textId="77777777" w:rsidR="00E74450" w:rsidRPr="00E74450" w:rsidRDefault="00E74450" w:rsidP="00E74450">
      <w:pPr>
        <w:pStyle w:val="Textoindependiente"/>
        <w:ind w:right="113"/>
        <w:rPr>
          <w:rStyle w:val="normaltextrun"/>
          <w:rFonts w:ascii="Abadi" w:hAnsi="Abadi"/>
          <w:b w:val="0"/>
          <w:sz w:val="21"/>
          <w:szCs w:val="21"/>
          <w:highlight w:val="yellow"/>
          <w:lang w:val="es-MX" w:eastAsia="es-MX"/>
        </w:rPr>
      </w:pPr>
      <w:r w:rsidRPr="00E74450">
        <w:rPr>
          <w:rStyle w:val="normaltextrun"/>
          <w:rFonts w:ascii="Abadi" w:hAnsi="Abadi"/>
          <w:b w:val="0"/>
          <w:sz w:val="21"/>
          <w:szCs w:val="21"/>
          <w:lang w:val="es-MX" w:eastAsia="es-MX"/>
        </w:rPr>
        <w:t xml:space="preserve">Es a la autoridad administrativa – Agencia Federal de Aviación civil- dependiente de la hoy Secretaría de Infraestructura, Comunicaciones y Transportes a quien corresponde entre otras atribuciones interpretar para efectos administrativos, las leyes, reglamentos, normas oficiales mexicanas y demás disposiciones jurídicas en materia de aviación civil y aeroportuaria, así como ejecutar en el ámbito de su competencia los Tratados Internacionales en </w:t>
      </w:r>
      <w:r w:rsidRPr="00E74450">
        <w:rPr>
          <w:rStyle w:val="normaltextrun"/>
          <w:rFonts w:ascii="Abadi" w:hAnsi="Abadi"/>
          <w:b w:val="0"/>
          <w:sz w:val="21"/>
          <w:szCs w:val="21"/>
          <w:lang w:val="es-MX" w:eastAsia="es-MX"/>
        </w:rPr>
        <w:lastRenderedPageBreak/>
        <w:t>los que los Estados Unidos Mexicanos sea parte, así como autorizar, regular, coordinar, vigilar y controlar la operación de aeronaves ultraligeras, globos aerostáticos, aeromodelos, parapentes, aeronaves no tripuladas, y otras aeronaves de características similares que por su desarrollo tecnológico utilicen el espacio aéreo, así como la realización de festivales aéreos o cualesquiera otros eventos homólogos.</w:t>
      </w:r>
    </w:p>
    <w:p w14:paraId="6A5885E3" w14:textId="77777777" w:rsidR="00E74450" w:rsidRPr="00E74450" w:rsidRDefault="00E74450" w:rsidP="00E74450">
      <w:pPr>
        <w:pStyle w:val="Textoindependiente"/>
        <w:ind w:right="113"/>
        <w:rPr>
          <w:rStyle w:val="normaltextrun"/>
          <w:rFonts w:ascii="Abadi" w:hAnsi="Abadi"/>
          <w:b w:val="0"/>
          <w:sz w:val="21"/>
          <w:szCs w:val="21"/>
          <w:highlight w:val="yellow"/>
          <w:lang w:val="es-MX" w:eastAsia="es-MX"/>
        </w:rPr>
      </w:pPr>
    </w:p>
    <w:p w14:paraId="6115549E"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En este orden, enfatizamos y coincidimos con la proponente que es indispensable garantizar el conocimiento, pero sobre todo la evaluación para las condiciones efectivas de seguridad de quienes asisten a festivales aéreos o cualesquiera otros eventos homólogos.</w:t>
      </w:r>
    </w:p>
    <w:p w14:paraId="0A5C149B"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098F44AB"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Es de conocimiento general que en nuestra entidad se desarrollan actividades y eventos homólogos actividades al festival aéreo referido en otros municipios.</w:t>
      </w:r>
    </w:p>
    <w:p w14:paraId="584A1D1A"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2E4B4524"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En relación a ello, resulta imperante que los mismos se realicen y en ellos solo participen -y en su caso presten servicios- profesionales que se encuentren autorizados, cumplan con las regulaciones vigentes, y que permanentemente estén coordinados así como sujetos a las autoridades competentes a las que por atribución legal corresponde la vigilancia y control de la operación de aeronaves ultraligeras, globos aerostáticos, aeromodelos, parapentes, aeronaves no tripuladas, y otras aeronaves de características similares que por su desarrollo tecnológico utilicen el espacio aéreo.</w:t>
      </w:r>
    </w:p>
    <w:p w14:paraId="18A82FA0"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0737D3C9"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 xml:space="preserve">Resaltamos que estamos de acuerdo y consideramos conveniente actuar dentro de nuestra competencia legal para exhortar a nuestras autoridades locales a efecto de que en todos aquellos municipios en los que se realicen actividades y operación de aeronaves ultraligeras, globos aerostáticos, aeromodelos, parapentes, aeronaves no tripuladas, y otras aeronaves de características similares que por su desarrollo tecnológico utilicen el espacio aéreo se establezcan acciones de coordinación para aplicar mayor vigilancia así como constante evaluación y propuesta para la mejora de protocolos de protección civil </w:t>
      </w:r>
      <w:r w:rsidRPr="00E74450">
        <w:rPr>
          <w:rStyle w:val="normaltextrun"/>
          <w:rFonts w:ascii="Abadi" w:hAnsi="Abadi"/>
          <w:b w:val="0"/>
          <w:sz w:val="21"/>
          <w:szCs w:val="21"/>
          <w:lang w:val="es-MX" w:eastAsia="es-MX"/>
        </w:rPr>
        <w:t xml:space="preserve">dirigidos a salvaguardar la integridad de las personas asistentes y usuarias. </w:t>
      </w:r>
    </w:p>
    <w:p w14:paraId="03C48484"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251C5BCD"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 xml:space="preserve">Queremos que en nuestro estado las experiencia turísticas sean únicas para todos sus asistentes, para ello es que conminamos a los cuarenta y seis municipios y a nuestras autoridades de protección civil estatal y municipales para que se coordinen y colaboren con la autoridad competente a nivel federal y se realicen las acciones necesarias con las que se supervise y vigile a organizadores de eventos y prestadores de servicios citados  para otorgar la mayor seguridad en el desarrollo de estas actividades. </w:t>
      </w:r>
    </w:p>
    <w:p w14:paraId="4BFA8284"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646DE0E3" w14:textId="77777777" w:rsidR="00E74450" w:rsidRPr="00E74450" w:rsidRDefault="00E74450" w:rsidP="00E74450">
      <w:pPr>
        <w:pStyle w:val="Textoindependiente"/>
        <w:ind w:right="113"/>
        <w:rPr>
          <w:rStyle w:val="normaltextrun"/>
          <w:rFonts w:ascii="Abadi" w:hAnsi="Abadi"/>
          <w:b w:val="0"/>
          <w:sz w:val="21"/>
          <w:szCs w:val="21"/>
          <w:lang w:val="es-MX" w:eastAsia="es-MX"/>
        </w:rPr>
      </w:pPr>
      <w:r w:rsidRPr="00E74450">
        <w:rPr>
          <w:rStyle w:val="normaltextrun"/>
          <w:rFonts w:ascii="Abadi" w:hAnsi="Abadi"/>
          <w:b w:val="0"/>
          <w:sz w:val="21"/>
          <w:szCs w:val="21"/>
          <w:lang w:val="es-MX" w:eastAsia="es-MX"/>
        </w:rPr>
        <w:t xml:space="preserve">A tal efecto y sin ser limitativos, se contribuya a corroborar que las empresas cuenten con los permisos otorgados por la autoridad federal y que además se encuentren cumplidos los estándares de seguridad necesarios dentro de lo cual habrá de existir verificación de que el personal técnico encargado del vuelo cuenta con la licencia que lo certifica como piloto y que cuenta con la capacidad correspondiente tanto para la actividad, mantenimiento y experiencia y capacitación de atención en caso de eventualidades.  </w:t>
      </w:r>
    </w:p>
    <w:p w14:paraId="6659439F" w14:textId="77777777" w:rsidR="00E74450" w:rsidRPr="00E74450" w:rsidRDefault="00E74450" w:rsidP="00E74450">
      <w:pPr>
        <w:pStyle w:val="Textoindependiente"/>
        <w:ind w:right="113"/>
        <w:rPr>
          <w:rStyle w:val="normaltextrun"/>
          <w:rFonts w:ascii="Abadi" w:hAnsi="Abadi"/>
          <w:b w:val="0"/>
          <w:sz w:val="21"/>
          <w:szCs w:val="21"/>
          <w:lang w:val="es-MX" w:eastAsia="es-MX"/>
        </w:rPr>
      </w:pPr>
    </w:p>
    <w:p w14:paraId="09841ED4" w14:textId="77777777" w:rsidR="00E74450" w:rsidRPr="00E74450" w:rsidRDefault="00E74450" w:rsidP="00E74450">
      <w:pPr>
        <w:pStyle w:val="Textoindependiente"/>
        <w:ind w:right="113"/>
        <w:rPr>
          <w:rFonts w:ascii="Abadi" w:hAnsi="Abadi"/>
          <w:b w:val="0"/>
          <w:sz w:val="21"/>
          <w:szCs w:val="21"/>
          <w:lang w:val="es-MX"/>
        </w:rPr>
      </w:pPr>
      <w:r w:rsidRPr="00E74450">
        <w:rPr>
          <w:rFonts w:ascii="Abadi" w:hAnsi="Abadi"/>
          <w:b w:val="0"/>
          <w:sz w:val="21"/>
          <w:szCs w:val="21"/>
          <w:lang w:val="es-MX"/>
        </w:rPr>
        <w:t>Por lo expuesto y con fundamento en el artículo 204 de la Ley Orgánica del Poder Legislativo del Estado</w:t>
      </w:r>
      <w:r w:rsidRPr="00E74450">
        <w:rPr>
          <w:rStyle w:val="normaltextrun"/>
          <w:rFonts w:ascii="Abadi" w:hAnsi="Abadi"/>
          <w:b w:val="0"/>
          <w:sz w:val="21"/>
          <w:szCs w:val="21"/>
          <w:lang w:val="es-MX" w:eastAsia="es-MX"/>
        </w:rPr>
        <w:t>, habiendo valorado positivamente el propósito de la propuesta</w:t>
      </w:r>
      <w:r w:rsidRPr="00E74450">
        <w:rPr>
          <w:rFonts w:ascii="Abadi" w:hAnsi="Abadi"/>
          <w:b w:val="0"/>
          <w:sz w:val="21"/>
          <w:szCs w:val="21"/>
          <w:lang w:val="es-MX"/>
        </w:rPr>
        <w:t>, sometemos a consideración de esta Asamblea, la aprobación del siguiente:</w:t>
      </w:r>
    </w:p>
    <w:p w14:paraId="2C9F6C5B" w14:textId="77777777" w:rsidR="00E74450" w:rsidRPr="00A11C7D" w:rsidRDefault="00E74450" w:rsidP="00E74450">
      <w:pPr>
        <w:jc w:val="center"/>
        <w:rPr>
          <w:rFonts w:ascii="Abadi" w:hAnsi="Abadi" w:cs="Arial"/>
          <w:b/>
          <w:sz w:val="21"/>
          <w:szCs w:val="21"/>
        </w:rPr>
      </w:pPr>
    </w:p>
    <w:p w14:paraId="7B0CA184" w14:textId="77777777" w:rsidR="00E74450" w:rsidRDefault="00E74450" w:rsidP="00E74450">
      <w:pPr>
        <w:jc w:val="center"/>
        <w:rPr>
          <w:rFonts w:ascii="Abadi" w:hAnsi="Abadi" w:cs="Arial"/>
          <w:b/>
          <w:sz w:val="21"/>
          <w:szCs w:val="21"/>
        </w:rPr>
      </w:pPr>
      <w:r w:rsidRPr="00A11C7D">
        <w:rPr>
          <w:rFonts w:ascii="Abadi" w:hAnsi="Abadi" w:cs="Arial"/>
          <w:b/>
          <w:sz w:val="21"/>
          <w:szCs w:val="21"/>
        </w:rPr>
        <w:t>A c u e r d o</w:t>
      </w:r>
    </w:p>
    <w:p w14:paraId="6AE6FC95" w14:textId="77777777" w:rsidR="00E74450" w:rsidRPr="00A11C7D" w:rsidRDefault="00E74450" w:rsidP="00E74450">
      <w:pPr>
        <w:jc w:val="center"/>
        <w:rPr>
          <w:rFonts w:ascii="Abadi" w:hAnsi="Abadi" w:cs="Arial"/>
          <w:b/>
          <w:sz w:val="21"/>
          <w:szCs w:val="21"/>
        </w:rPr>
      </w:pPr>
    </w:p>
    <w:p w14:paraId="2E9D4994" w14:textId="77777777" w:rsidR="00E74450" w:rsidRPr="00A11C7D" w:rsidRDefault="00E74450" w:rsidP="00E74450">
      <w:pPr>
        <w:jc w:val="both"/>
        <w:rPr>
          <w:rFonts w:ascii="Abadi" w:hAnsi="Abadi" w:cs="Arial"/>
          <w:bCs/>
          <w:sz w:val="21"/>
          <w:szCs w:val="21"/>
        </w:rPr>
      </w:pPr>
      <w:r w:rsidRPr="00A11C7D">
        <w:rPr>
          <w:rFonts w:ascii="Abadi" w:hAnsi="Abadi" w:cs="Arial"/>
          <w:b/>
          <w:sz w:val="21"/>
          <w:szCs w:val="21"/>
        </w:rPr>
        <w:t xml:space="preserve">Único. </w:t>
      </w:r>
      <w:r w:rsidRPr="00A11C7D">
        <w:rPr>
          <w:rFonts w:ascii="Abadi" w:hAnsi="Abadi" w:cs="Arial"/>
          <w:bCs/>
          <w:sz w:val="21"/>
          <w:szCs w:val="21"/>
        </w:rPr>
        <w:t xml:space="preserve">La Sexagésima Quinta Legislatura del Estado de Guanajuato formula un respetuoso exhorto a los cuarenta y seis Ayuntamientos para el desarrollo y autorización de eventos, así como en el conocimiento y vigilancia de actividades que impliquen la operación de aeronaves ultraligeras, globos aerostáticos, aeromodelos, parapentes, aeronaves no tripuladas, y otras aeronaves de características similares que por su desarrollo tecnológico utilicen el espacio aéreo se establezcan acciones de coordinación con la autoridad estatal y municipales para aplicar mayor vigilancia así como constante evaluación y propuesta para la mejora de protocolos de protección civil dirigidos a salvaguardar la </w:t>
      </w:r>
      <w:r w:rsidRPr="00A11C7D">
        <w:rPr>
          <w:rFonts w:ascii="Abadi" w:hAnsi="Abadi" w:cs="Arial"/>
          <w:bCs/>
          <w:sz w:val="21"/>
          <w:szCs w:val="21"/>
        </w:rPr>
        <w:lastRenderedPageBreak/>
        <w:t>integridad de las personas asistentes y usuarias.</w:t>
      </w:r>
    </w:p>
    <w:p w14:paraId="631C79B9" w14:textId="77777777" w:rsidR="00E74450" w:rsidRPr="00A11C7D" w:rsidRDefault="00E74450" w:rsidP="00E74450">
      <w:pPr>
        <w:jc w:val="both"/>
        <w:rPr>
          <w:rFonts w:ascii="Abadi" w:hAnsi="Abadi" w:cs="Arial"/>
          <w:bCs/>
          <w:sz w:val="21"/>
          <w:szCs w:val="21"/>
        </w:rPr>
      </w:pPr>
    </w:p>
    <w:p w14:paraId="68B84E40" w14:textId="77777777" w:rsidR="00DC2947" w:rsidRDefault="00E74450" w:rsidP="00DC2947">
      <w:pPr>
        <w:jc w:val="both"/>
        <w:rPr>
          <w:rFonts w:ascii="Abadi" w:hAnsi="Abadi" w:cs="Arial"/>
          <w:sz w:val="21"/>
          <w:szCs w:val="21"/>
        </w:rPr>
      </w:pPr>
      <w:r w:rsidRPr="00A11C7D">
        <w:rPr>
          <w:rFonts w:ascii="Abadi" w:hAnsi="Abadi" w:cs="Arial"/>
          <w:sz w:val="21"/>
          <w:szCs w:val="21"/>
        </w:rPr>
        <w:t>Comuníquese el presente acuerdo con su dictamen a los cuarenta y seis Ayuntamientos, para los efectos conducentes.</w:t>
      </w:r>
    </w:p>
    <w:p w14:paraId="43C42977" w14:textId="77777777" w:rsidR="00DC2947" w:rsidRDefault="00DC2947" w:rsidP="00DC2947">
      <w:pPr>
        <w:jc w:val="both"/>
        <w:rPr>
          <w:rFonts w:ascii="Abadi" w:hAnsi="Abadi" w:cs="Arial"/>
          <w:sz w:val="21"/>
          <w:szCs w:val="21"/>
        </w:rPr>
      </w:pPr>
    </w:p>
    <w:p w14:paraId="7C371F87" w14:textId="019ECA51" w:rsidR="00E74450" w:rsidRPr="00DC2947" w:rsidRDefault="00E74450" w:rsidP="00DC2947">
      <w:pPr>
        <w:jc w:val="both"/>
        <w:rPr>
          <w:rFonts w:ascii="Abadi" w:hAnsi="Abadi" w:cs="Arial"/>
          <w:sz w:val="21"/>
          <w:szCs w:val="21"/>
        </w:rPr>
      </w:pPr>
      <w:r w:rsidRPr="00A11C7D">
        <w:rPr>
          <w:rFonts w:ascii="Abadi" w:hAnsi="Abadi" w:cs="Segoe UI"/>
          <w:b/>
          <w:bCs/>
          <w:sz w:val="21"/>
          <w:szCs w:val="21"/>
          <w:lang w:eastAsia="es-MX"/>
        </w:rPr>
        <w:t xml:space="preserve">Guanajuato, </w:t>
      </w:r>
      <w:proofErr w:type="spellStart"/>
      <w:r w:rsidRPr="00A11C7D">
        <w:rPr>
          <w:rFonts w:ascii="Abadi" w:hAnsi="Abadi" w:cs="Segoe UI"/>
          <w:b/>
          <w:bCs/>
          <w:sz w:val="21"/>
          <w:szCs w:val="21"/>
          <w:lang w:eastAsia="es-MX"/>
        </w:rPr>
        <w:t>Gto</w:t>
      </w:r>
      <w:proofErr w:type="spellEnd"/>
      <w:r w:rsidRPr="00A11C7D">
        <w:rPr>
          <w:rFonts w:ascii="Abadi" w:hAnsi="Abadi" w:cs="Segoe UI"/>
          <w:b/>
          <w:bCs/>
          <w:sz w:val="21"/>
          <w:szCs w:val="21"/>
          <w:lang w:eastAsia="es-MX"/>
        </w:rPr>
        <w:t>., a 14 de junio de 2023</w:t>
      </w:r>
    </w:p>
    <w:p w14:paraId="3A24EB63" w14:textId="77777777" w:rsidR="00C11185" w:rsidRDefault="00E74450" w:rsidP="00E74450">
      <w:pPr>
        <w:jc w:val="center"/>
        <w:textAlignment w:val="baseline"/>
        <w:rPr>
          <w:rFonts w:ascii="Abadi" w:hAnsi="Abadi" w:cs="Segoe UI"/>
          <w:b/>
          <w:bCs/>
          <w:sz w:val="21"/>
          <w:szCs w:val="21"/>
          <w:lang w:eastAsia="es-MX"/>
        </w:rPr>
      </w:pPr>
      <w:r w:rsidRPr="00A11C7D">
        <w:rPr>
          <w:rFonts w:ascii="Abadi" w:hAnsi="Abadi" w:cs="Segoe UI"/>
          <w:b/>
          <w:bCs/>
          <w:sz w:val="21"/>
          <w:szCs w:val="21"/>
          <w:lang w:eastAsia="es-MX"/>
        </w:rPr>
        <w:t>La Comisión de Seguridad Pública y Comunicaciones</w:t>
      </w:r>
    </w:p>
    <w:p w14:paraId="5672737F" w14:textId="6A50D5BF" w:rsidR="00E74450" w:rsidRDefault="00E74450" w:rsidP="00E74450">
      <w:pPr>
        <w:jc w:val="center"/>
        <w:textAlignment w:val="baseline"/>
        <w:rPr>
          <w:rFonts w:ascii="Abadi" w:hAnsi="Abadi" w:cs="Segoe UI"/>
          <w:sz w:val="21"/>
          <w:szCs w:val="21"/>
          <w:lang w:eastAsia="es-MX"/>
        </w:rPr>
      </w:pPr>
      <w:r w:rsidRPr="00A11C7D">
        <w:rPr>
          <w:rFonts w:ascii="Abadi" w:hAnsi="Abadi" w:cs="Segoe UI"/>
          <w:sz w:val="21"/>
          <w:szCs w:val="21"/>
          <w:lang w:eastAsia="es-MX"/>
        </w:rPr>
        <w:t> </w:t>
      </w:r>
    </w:p>
    <w:p w14:paraId="5DCA7BC2" w14:textId="77777777" w:rsidR="00E74450" w:rsidRDefault="00E74450" w:rsidP="00C11185">
      <w:pPr>
        <w:ind w:left="-284"/>
        <w:jc w:val="center"/>
        <w:textAlignment w:val="baseline"/>
        <w:rPr>
          <w:rFonts w:ascii="Abadi" w:hAnsi="Abadi" w:cs="Segoe UI"/>
          <w:b/>
          <w:bCs/>
          <w:sz w:val="21"/>
          <w:szCs w:val="21"/>
          <w:lang w:eastAsia="es-MX"/>
        </w:rPr>
      </w:pPr>
      <w:proofErr w:type="spellStart"/>
      <w:r w:rsidRPr="00A11C7D">
        <w:rPr>
          <w:rFonts w:ascii="Abadi" w:hAnsi="Abadi" w:cs="Segoe UI"/>
          <w:b/>
          <w:bCs/>
          <w:sz w:val="21"/>
          <w:szCs w:val="21"/>
          <w:lang w:eastAsia="es-MX"/>
        </w:rPr>
        <w:t>Dip</w:t>
      </w:r>
      <w:proofErr w:type="spellEnd"/>
      <w:r w:rsidRPr="00A11C7D">
        <w:rPr>
          <w:rFonts w:ascii="Abadi" w:hAnsi="Abadi" w:cs="Segoe UI"/>
          <w:b/>
          <w:bCs/>
          <w:sz w:val="21"/>
          <w:szCs w:val="21"/>
          <w:lang w:eastAsia="es-MX"/>
        </w:rPr>
        <w:t>. Martín López Camacho                     </w:t>
      </w:r>
    </w:p>
    <w:p w14:paraId="3DF95DD8" w14:textId="77777777" w:rsidR="00C11185" w:rsidRDefault="00E74450" w:rsidP="00C11185">
      <w:pPr>
        <w:textAlignment w:val="baseline"/>
        <w:rPr>
          <w:rFonts w:ascii="Abadi" w:hAnsi="Abadi" w:cs="Segoe UI"/>
          <w:sz w:val="21"/>
          <w:szCs w:val="21"/>
          <w:lang w:eastAsia="es-MX"/>
        </w:rPr>
      </w:pPr>
      <w:proofErr w:type="spellStart"/>
      <w:r w:rsidRPr="00A11C7D">
        <w:rPr>
          <w:rFonts w:ascii="Abadi" w:hAnsi="Abadi" w:cs="Segoe UI"/>
          <w:b/>
          <w:bCs/>
          <w:sz w:val="21"/>
          <w:szCs w:val="21"/>
          <w:lang w:eastAsia="es-MX"/>
        </w:rPr>
        <w:t>Dip</w:t>
      </w:r>
      <w:proofErr w:type="spellEnd"/>
      <w:r w:rsidRPr="00A11C7D">
        <w:rPr>
          <w:rFonts w:ascii="Abadi" w:hAnsi="Abadi" w:cs="Segoe UI"/>
          <w:b/>
          <w:bCs/>
          <w:sz w:val="21"/>
          <w:szCs w:val="21"/>
          <w:lang w:eastAsia="es-MX"/>
        </w:rPr>
        <w:t>. Alma Edwviges Alcaraz Hernández</w:t>
      </w:r>
    </w:p>
    <w:p w14:paraId="2D58598F" w14:textId="77777777" w:rsidR="00C11185" w:rsidRDefault="00E74450" w:rsidP="00C11185">
      <w:pPr>
        <w:textAlignment w:val="baseline"/>
        <w:rPr>
          <w:rFonts w:ascii="Abadi" w:hAnsi="Abadi" w:cs="Segoe UI"/>
          <w:sz w:val="21"/>
          <w:szCs w:val="21"/>
          <w:lang w:eastAsia="es-MX"/>
        </w:rPr>
      </w:pPr>
      <w:proofErr w:type="spellStart"/>
      <w:r w:rsidRPr="00A11C7D">
        <w:rPr>
          <w:rFonts w:ascii="Abadi" w:hAnsi="Abadi"/>
          <w:b/>
          <w:bCs/>
          <w:sz w:val="21"/>
          <w:szCs w:val="21"/>
          <w:lang w:eastAsia="es-MX"/>
        </w:rPr>
        <w:t>Dip</w:t>
      </w:r>
      <w:proofErr w:type="spellEnd"/>
      <w:r w:rsidRPr="00A11C7D">
        <w:rPr>
          <w:rFonts w:ascii="Abadi" w:hAnsi="Abadi"/>
          <w:b/>
          <w:bCs/>
          <w:sz w:val="21"/>
          <w:szCs w:val="21"/>
          <w:lang w:eastAsia="es-MX"/>
        </w:rPr>
        <w:t>. Rolando Fortino Alcántar</w:t>
      </w:r>
      <w:r w:rsidR="00C11185" w:rsidRPr="00C11185">
        <w:rPr>
          <w:rFonts w:ascii="Abadi" w:hAnsi="Abadi"/>
          <w:b/>
          <w:bCs/>
          <w:sz w:val="21"/>
          <w:szCs w:val="21"/>
          <w:lang w:eastAsia="es-MX"/>
        </w:rPr>
        <w:t xml:space="preserve"> </w:t>
      </w:r>
      <w:r w:rsidR="00C11185" w:rsidRPr="00A11C7D">
        <w:rPr>
          <w:rFonts w:ascii="Abadi" w:hAnsi="Abadi"/>
          <w:b/>
          <w:bCs/>
          <w:sz w:val="21"/>
          <w:szCs w:val="21"/>
          <w:lang w:eastAsia="es-MX"/>
        </w:rPr>
        <w:t>Rojas </w:t>
      </w:r>
    </w:p>
    <w:p w14:paraId="174167C3" w14:textId="77777777" w:rsidR="00C11185" w:rsidRDefault="00C11185" w:rsidP="00C11185">
      <w:pPr>
        <w:textAlignment w:val="baseline"/>
        <w:rPr>
          <w:rFonts w:ascii="Abadi" w:hAnsi="Abadi" w:cs="Segoe UI"/>
          <w:sz w:val="21"/>
          <w:szCs w:val="21"/>
          <w:lang w:eastAsia="es-MX"/>
        </w:rPr>
      </w:pPr>
      <w:proofErr w:type="spellStart"/>
      <w:r w:rsidRPr="00A11C7D">
        <w:rPr>
          <w:rFonts w:ascii="Abadi" w:hAnsi="Abadi"/>
          <w:b/>
          <w:bCs/>
          <w:sz w:val="21"/>
          <w:szCs w:val="21"/>
          <w:lang w:eastAsia="es-MX"/>
        </w:rPr>
        <w:t>Dip</w:t>
      </w:r>
      <w:proofErr w:type="spellEnd"/>
      <w:r w:rsidRPr="00A11C7D">
        <w:rPr>
          <w:rFonts w:ascii="Abadi" w:hAnsi="Abadi"/>
          <w:b/>
          <w:bCs/>
          <w:sz w:val="21"/>
          <w:szCs w:val="21"/>
          <w:lang w:eastAsia="es-MX"/>
        </w:rPr>
        <w:t>. Bricio Balderas Álvarez</w:t>
      </w:r>
    </w:p>
    <w:p w14:paraId="71974F6D" w14:textId="2D6BAFBB" w:rsidR="00C11185" w:rsidRPr="00C11185" w:rsidRDefault="00C11185" w:rsidP="00C11185">
      <w:pPr>
        <w:textAlignment w:val="baseline"/>
        <w:rPr>
          <w:rFonts w:ascii="Abadi" w:hAnsi="Abadi" w:cs="Segoe UI"/>
          <w:sz w:val="21"/>
          <w:szCs w:val="21"/>
          <w:lang w:eastAsia="es-MX"/>
        </w:rPr>
      </w:pPr>
      <w:proofErr w:type="spellStart"/>
      <w:r w:rsidRPr="00A11C7D">
        <w:rPr>
          <w:rFonts w:ascii="Abadi" w:hAnsi="Abadi" w:cs="Segoe UI"/>
          <w:b/>
          <w:sz w:val="21"/>
          <w:szCs w:val="21"/>
          <w:lang w:eastAsia="es-MX"/>
        </w:rPr>
        <w:t>Dip</w:t>
      </w:r>
      <w:proofErr w:type="spellEnd"/>
      <w:r w:rsidRPr="00A11C7D">
        <w:rPr>
          <w:rFonts w:ascii="Abadi" w:hAnsi="Abadi" w:cs="Segoe UI"/>
          <w:b/>
          <w:sz w:val="21"/>
          <w:szCs w:val="21"/>
          <w:lang w:eastAsia="es-MX"/>
        </w:rPr>
        <w:t>. Gerardo Fernández González</w:t>
      </w:r>
    </w:p>
    <w:p w14:paraId="25D82F32" w14:textId="77777777" w:rsidR="00C11185" w:rsidRPr="00A11C7D" w:rsidRDefault="00C11185" w:rsidP="00E74450">
      <w:pPr>
        <w:jc w:val="center"/>
        <w:textAlignment w:val="baseline"/>
        <w:rPr>
          <w:rFonts w:ascii="Abadi" w:hAnsi="Abadi" w:cs="Segoe UI"/>
          <w:sz w:val="21"/>
          <w:szCs w:val="21"/>
          <w:lang w:eastAsia="es-MX"/>
        </w:rPr>
      </w:pPr>
    </w:p>
    <w:p w14:paraId="4F2C7E09" w14:textId="77777777" w:rsidR="00E74450" w:rsidRDefault="00E74450" w:rsidP="00E74450">
      <w:pPr>
        <w:jc w:val="center"/>
        <w:textAlignment w:val="baseline"/>
        <w:rPr>
          <w:rFonts w:ascii="Abadi" w:hAnsi="Abadi"/>
          <w:b/>
          <w:bCs/>
          <w:sz w:val="21"/>
          <w:szCs w:val="21"/>
          <w:lang w:eastAsia="es-MX"/>
        </w:rPr>
      </w:pPr>
    </w:p>
    <w:p w14:paraId="07F38B52" w14:textId="77777777" w:rsidR="00DC2947" w:rsidRDefault="00DC2947" w:rsidP="00E74450">
      <w:pPr>
        <w:jc w:val="center"/>
        <w:textAlignment w:val="baseline"/>
        <w:rPr>
          <w:rFonts w:ascii="Abadi" w:hAnsi="Abadi"/>
          <w:b/>
          <w:bCs/>
          <w:sz w:val="21"/>
          <w:szCs w:val="21"/>
          <w:lang w:eastAsia="es-MX"/>
        </w:rPr>
      </w:pPr>
    </w:p>
    <w:p w14:paraId="4A412E22" w14:textId="1548C67C" w:rsidR="00DC2947" w:rsidRDefault="00634EF3" w:rsidP="00DC2947">
      <w:pPr>
        <w:jc w:val="both"/>
        <w:rPr>
          <w:rFonts w:ascii="Abadi" w:hAnsi="Abadi"/>
          <w:b/>
          <w:bCs/>
          <w:sz w:val="21"/>
          <w:szCs w:val="21"/>
        </w:rPr>
      </w:pPr>
      <w:r>
        <w:rPr>
          <w:rFonts w:ascii="Abadi" w:hAnsi="Abadi"/>
          <w:b/>
          <w:bCs/>
          <w:sz w:val="21"/>
          <w:szCs w:val="21"/>
        </w:rPr>
        <w:tab/>
      </w:r>
      <w:r w:rsidR="00DC2947" w:rsidRPr="008A4327">
        <w:rPr>
          <w:rFonts w:ascii="Abadi" w:hAnsi="Abadi"/>
          <w:b/>
          <w:bCs/>
          <w:sz w:val="21"/>
          <w:szCs w:val="21"/>
        </w:rPr>
        <w:t xml:space="preserve">- La </w:t>
      </w:r>
      <w:proofErr w:type="gramStart"/>
      <w:r w:rsidR="00DC2947" w:rsidRPr="008A4327">
        <w:rPr>
          <w:rFonts w:ascii="Abadi" w:hAnsi="Abadi"/>
          <w:b/>
          <w:bCs/>
          <w:sz w:val="21"/>
          <w:szCs w:val="21"/>
        </w:rPr>
        <w:t>Presidencia.-</w:t>
      </w:r>
      <w:proofErr w:type="gramEnd"/>
      <w:r w:rsidR="00DC2947">
        <w:rPr>
          <w:rFonts w:ascii="Abadi" w:hAnsi="Abadi"/>
          <w:sz w:val="21"/>
          <w:szCs w:val="21"/>
        </w:rPr>
        <w:t xml:space="preserve"> E</w:t>
      </w:r>
      <w:r w:rsidR="00DC2947" w:rsidRPr="0030088F">
        <w:rPr>
          <w:rFonts w:ascii="Abadi" w:hAnsi="Abadi"/>
          <w:sz w:val="21"/>
          <w:szCs w:val="21"/>
        </w:rPr>
        <w:t xml:space="preserve">nseguida se somete a discusión el dictamen presentado por la </w:t>
      </w:r>
      <w:r w:rsidR="00DC2947">
        <w:rPr>
          <w:rFonts w:ascii="Abadi" w:hAnsi="Abadi"/>
          <w:sz w:val="21"/>
          <w:szCs w:val="21"/>
        </w:rPr>
        <w:t>C</w:t>
      </w:r>
      <w:r w:rsidR="00DC2947" w:rsidRPr="0030088F">
        <w:rPr>
          <w:rFonts w:ascii="Abadi" w:hAnsi="Abadi"/>
          <w:sz w:val="21"/>
          <w:szCs w:val="21"/>
        </w:rPr>
        <w:t xml:space="preserve">omisión de </w:t>
      </w:r>
      <w:r w:rsidR="00DC2947">
        <w:rPr>
          <w:rFonts w:ascii="Abadi" w:hAnsi="Abadi"/>
          <w:sz w:val="21"/>
          <w:szCs w:val="21"/>
        </w:rPr>
        <w:t>S</w:t>
      </w:r>
      <w:r w:rsidR="00DC2947" w:rsidRPr="0030088F">
        <w:rPr>
          <w:rFonts w:ascii="Abadi" w:hAnsi="Abadi"/>
          <w:sz w:val="21"/>
          <w:szCs w:val="21"/>
        </w:rPr>
        <w:t xml:space="preserve">eguridad </w:t>
      </w:r>
      <w:r w:rsidR="00DC2947">
        <w:rPr>
          <w:rFonts w:ascii="Abadi" w:hAnsi="Abadi"/>
          <w:sz w:val="21"/>
          <w:szCs w:val="21"/>
        </w:rPr>
        <w:t>P</w:t>
      </w:r>
      <w:r w:rsidR="00DC2947" w:rsidRPr="0030088F">
        <w:rPr>
          <w:rFonts w:ascii="Abadi" w:hAnsi="Abadi"/>
          <w:sz w:val="21"/>
          <w:szCs w:val="21"/>
        </w:rPr>
        <w:t xml:space="preserve">ública y </w:t>
      </w:r>
      <w:r w:rsidR="00DC2947">
        <w:rPr>
          <w:rFonts w:ascii="Abadi" w:hAnsi="Abadi"/>
          <w:sz w:val="21"/>
          <w:szCs w:val="21"/>
        </w:rPr>
        <w:t>C</w:t>
      </w:r>
      <w:r w:rsidR="00DC2947" w:rsidRPr="0030088F">
        <w:rPr>
          <w:rFonts w:ascii="Abadi" w:hAnsi="Abadi"/>
          <w:sz w:val="21"/>
          <w:szCs w:val="21"/>
        </w:rPr>
        <w:t>omunicaciones relativo al punto 21 del orden del día</w:t>
      </w:r>
      <w:r w:rsidR="00DC2947">
        <w:rPr>
          <w:rFonts w:ascii="Abadi" w:hAnsi="Abadi"/>
          <w:sz w:val="21"/>
          <w:szCs w:val="21"/>
        </w:rPr>
        <w:t xml:space="preserve">. </w:t>
      </w:r>
      <w:r w:rsidR="00DC2947">
        <w:rPr>
          <w:rFonts w:ascii="Helvetica" w:hAnsi="Helvetica"/>
          <w:color w:val="333333"/>
          <w:sz w:val="21"/>
          <w:szCs w:val="21"/>
          <w:shd w:val="clear" w:color="auto" w:fill="F9F9F9"/>
        </w:rPr>
        <w:t> </w:t>
      </w:r>
      <w:r w:rsidR="00DC2947" w:rsidRPr="007C23D2">
        <w:rPr>
          <w:rFonts w:ascii="Abadi" w:hAnsi="Abadi"/>
          <w:b/>
          <w:bCs/>
          <w:sz w:val="21"/>
          <w:szCs w:val="21"/>
        </w:rPr>
        <w:t>(ELD 255/LXV-PPA)</w:t>
      </w:r>
    </w:p>
    <w:p w14:paraId="23979B3C" w14:textId="77777777" w:rsidR="00DC2947" w:rsidRPr="007C23D2" w:rsidRDefault="00DC2947" w:rsidP="00DC2947">
      <w:pPr>
        <w:jc w:val="both"/>
        <w:rPr>
          <w:rFonts w:ascii="Abadi" w:hAnsi="Abadi"/>
          <w:b/>
          <w:bCs/>
          <w:sz w:val="21"/>
          <w:szCs w:val="21"/>
        </w:rPr>
      </w:pPr>
    </w:p>
    <w:p w14:paraId="4193A964" w14:textId="77777777" w:rsidR="00DC2947" w:rsidRDefault="00DC2947" w:rsidP="00DC2947">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desean hacer uso de la palabra a favor o en contra </w:t>
      </w:r>
      <w:r>
        <w:rPr>
          <w:rFonts w:ascii="Abadi" w:hAnsi="Abadi"/>
          <w:sz w:val="21"/>
          <w:szCs w:val="21"/>
        </w:rPr>
        <w:t>manifiéstenlo a</w:t>
      </w:r>
      <w:r w:rsidRPr="0030088F">
        <w:rPr>
          <w:rFonts w:ascii="Abadi" w:hAnsi="Abadi"/>
          <w:sz w:val="21"/>
          <w:szCs w:val="21"/>
        </w:rPr>
        <w:t xml:space="preserve"> esta presidencia</w:t>
      </w:r>
      <w:r>
        <w:rPr>
          <w:rFonts w:ascii="Abadi" w:hAnsi="Abadi"/>
          <w:sz w:val="21"/>
          <w:szCs w:val="21"/>
        </w:rPr>
        <w:t>,</w:t>
      </w:r>
      <w:r w:rsidRPr="0030088F">
        <w:rPr>
          <w:rFonts w:ascii="Abadi" w:hAnsi="Abadi"/>
          <w:sz w:val="21"/>
          <w:szCs w:val="21"/>
        </w:rPr>
        <w:t xml:space="preserve"> indicando el sentido de su intervención</w:t>
      </w:r>
      <w:r>
        <w:rPr>
          <w:rFonts w:ascii="Abadi" w:hAnsi="Abadi"/>
          <w:sz w:val="21"/>
          <w:szCs w:val="21"/>
        </w:rPr>
        <w:t>. N</w:t>
      </w:r>
      <w:r w:rsidRPr="0030088F">
        <w:rPr>
          <w:rFonts w:ascii="Abadi" w:hAnsi="Abadi"/>
          <w:sz w:val="21"/>
          <w:szCs w:val="21"/>
        </w:rPr>
        <w:t>o habiendo participaciones</w:t>
      </w:r>
      <w:r>
        <w:rPr>
          <w:rFonts w:ascii="Abadi" w:hAnsi="Abadi"/>
          <w:sz w:val="21"/>
          <w:szCs w:val="21"/>
        </w:rPr>
        <w:t xml:space="preserve"> </w:t>
      </w:r>
      <w:r w:rsidRPr="0030088F">
        <w:rPr>
          <w:rFonts w:ascii="Abadi" w:hAnsi="Abadi"/>
          <w:sz w:val="21"/>
          <w:szCs w:val="21"/>
        </w:rPr>
        <w:t xml:space="preserve">se pide a la secretaría proceder a recabar votación nominal de la asamblea a través del sistema electrónico </w:t>
      </w:r>
      <w:r>
        <w:rPr>
          <w:rFonts w:ascii="Abadi" w:hAnsi="Abadi"/>
          <w:sz w:val="21"/>
          <w:szCs w:val="21"/>
        </w:rPr>
        <w:t>¿</w:t>
      </w:r>
      <w:r w:rsidRPr="0030088F">
        <w:rPr>
          <w:rFonts w:ascii="Abadi" w:hAnsi="Abadi"/>
          <w:sz w:val="21"/>
          <w:szCs w:val="21"/>
        </w:rPr>
        <w:t xml:space="preserve">diputada Irma </w:t>
      </w:r>
      <w:r>
        <w:rPr>
          <w:rFonts w:ascii="Abadi" w:hAnsi="Abadi"/>
          <w:sz w:val="21"/>
          <w:szCs w:val="21"/>
        </w:rPr>
        <w:t>L</w:t>
      </w:r>
      <w:r w:rsidRPr="0030088F">
        <w:rPr>
          <w:rFonts w:ascii="Abadi" w:hAnsi="Abadi"/>
          <w:sz w:val="21"/>
          <w:szCs w:val="21"/>
        </w:rPr>
        <w:t>eticia</w:t>
      </w:r>
      <w:r>
        <w:rPr>
          <w:rFonts w:ascii="Abadi" w:hAnsi="Abadi"/>
          <w:sz w:val="21"/>
          <w:szCs w:val="21"/>
        </w:rPr>
        <w:t>?</w:t>
      </w:r>
      <w:r w:rsidRPr="0030088F">
        <w:rPr>
          <w:rFonts w:ascii="Abadi" w:hAnsi="Abadi"/>
          <w:sz w:val="21"/>
          <w:szCs w:val="21"/>
        </w:rPr>
        <w:t xml:space="preserve"> </w:t>
      </w:r>
      <w:r w:rsidRPr="008D4C2E">
        <w:rPr>
          <w:rFonts w:ascii="Abadi" w:hAnsi="Abadi"/>
          <w:b/>
          <w:bCs/>
          <w:sz w:val="21"/>
          <w:szCs w:val="21"/>
        </w:rPr>
        <w:t>(Voz) diputada Irma Leticia,</w:t>
      </w:r>
      <w:r>
        <w:rPr>
          <w:rFonts w:ascii="Abadi" w:hAnsi="Abadi"/>
          <w:sz w:val="21"/>
          <w:szCs w:val="21"/>
        </w:rPr>
        <w:t xml:space="preserve"> </w:t>
      </w:r>
      <w:r w:rsidRPr="0030088F">
        <w:rPr>
          <w:rFonts w:ascii="Abadi" w:hAnsi="Abadi"/>
          <w:sz w:val="21"/>
          <w:szCs w:val="21"/>
        </w:rPr>
        <w:t xml:space="preserve">para para hablar </w:t>
      </w:r>
      <w:r>
        <w:rPr>
          <w:rFonts w:ascii="Abadi" w:hAnsi="Abadi"/>
          <w:sz w:val="21"/>
          <w:szCs w:val="21"/>
        </w:rPr>
        <w:t>¡</w:t>
      </w:r>
      <w:r w:rsidRPr="0030088F">
        <w:rPr>
          <w:rFonts w:ascii="Abadi" w:hAnsi="Abadi"/>
          <w:sz w:val="21"/>
          <w:szCs w:val="21"/>
        </w:rPr>
        <w:t>a favor</w:t>
      </w:r>
      <w:r>
        <w:rPr>
          <w:rFonts w:ascii="Abadi" w:hAnsi="Abadi"/>
          <w:sz w:val="21"/>
          <w:szCs w:val="21"/>
        </w:rPr>
        <w:t>!</w:t>
      </w:r>
      <w:r w:rsidRPr="0030088F">
        <w:rPr>
          <w:rFonts w:ascii="Abadi" w:hAnsi="Abadi"/>
          <w:sz w:val="21"/>
          <w:szCs w:val="21"/>
        </w:rPr>
        <w:t xml:space="preserve"> president</w:t>
      </w:r>
      <w:r>
        <w:rPr>
          <w:rFonts w:ascii="Abadi" w:hAnsi="Abadi"/>
          <w:sz w:val="21"/>
          <w:szCs w:val="21"/>
        </w:rPr>
        <w:t>a,</w:t>
      </w:r>
      <w:r w:rsidRPr="0030088F">
        <w:rPr>
          <w:rFonts w:ascii="Abadi" w:hAnsi="Abadi"/>
          <w:sz w:val="21"/>
          <w:szCs w:val="21"/>
        </w:rPr>
        <w:t xml:space="preserve"> tiene el uso de la voz hasta por 10 minutos </w:t>
      </w:r>
      <w:r>
        <w:rPr>
          <w:rFonts w:ascii="Abadi" w:hAnsi="Abadi"/>
          <w:sz w:val="21"/>
          <w:szCs w:val="21"/>
        </w:rPr>
        <w:t xml:space="preserve">diputada. </w:t>
      </w:r>
    </w:p>
    <w:p w14:paraId="47316550" w14:textId="77777777" w:rsidR="00634EF3" w:rsidRDefault="00634EF3" w:rsidP="00DC2947">
      <w:pPr>
        <w:jc w:val="both"/>
        <w:rPr>
          <w:rFonts w:ascii="Abadi" w:hAnsi="Abadi"/>
          <w:sz w:val="21"/>
          <w:szCs w:val="21"/>
        </w:rPr>
      </w:pPr>
    </w:p>
    <w:p w14:paraId="58D62F67" w14:textId="77777777" w:rsidR="00DC2947" w:rsidRDefault="00DC2947" w:rsidP="00DC2947">
      <w:pPr>
        <w:jc w:val="both"/>
        <w:rPr>
          <w:rFonts w:ascii="Abadi" w:hAnsi="Abadi"/>
          <w:b/>
          <w:bCs/>
          <w:sz w:val="21"/>
          <w:szCs w:val="21"/>
        </w:rPr>
      </w:pPr>
      <w:r w:rsidRPr="00110F65">
        <w:rPr>
          <w:rFonts w:ascii="Abadi" w:hAnsi="Abadi"/>
          <w:b/>
          <w:bCs/>
          <w:sz w:val="21"/>
          <w:szCs w:val="21"/>
        </w:rPr>
        <w:t>(Sube a tribuna la diputada Irma Leticia González Sánchez, para hablar a favor del dictamen)</w:t>
      </w:r>
    </w:p>
    <w:p w14:paraId="2BE56699" w14:textId="77777777" w:rsidR="00DC2947" w:rsidRDefault="00DC2947" w:rsidP="00DC2947">
      <w:pPr>
        <w:jc w:val="both"/>
        <w:rPr>
          <w:rFonts w:ascii="Abadi" w:hAnsi="Abadi"/>
          <w:b/>
          <w:bCs/>
          <w:sz w:val="21"/>
          <w:szCs w:val="21"/>
        </w:rPr>
      </w:pPr>
    </w:p>
    <w:p w14:paraId="1A9DCFCE" w14:textId="39070AFC" w:rsidR="00DC2947" w:rsidRDefault="00DC2947" w:rsidP="00DC2947">
      <w:pPr>
        <w:jc w:val="both"/>
        <w:rPr>
          <w:rFonts w:ascii="Abadi" w:hAnsi="Abadi"/>
          <w:b/>
          <w:bCs/>
          <w:sz w:val="21"/>
          <w:szCs w:val="21"/>
        </w:rPr>
      </w:pPr>
    </w:p>
    <w:p w14:paraId="403D13BC" w14:textId="7AF435E8" w:rsidR="00DC2947" w:rsidRDefault="00DC2947" w:rsidP="00DC2947">
      <w:pPr>
        <w:jc w:val="both"/>
        <w:rPr>
          <w:rFonts w:ascii="Abadi" w:hAnsi="Abadi"/>
          <w:b/>
          <w:bCs/>
          <w:sz w:val="21"/>
          <w:szCs w:val="21"/>
        </w:rPr>
      </w:pPr>
      <w:r>
        <w:rPr>
          <w:noProof/>
        </w:rPr>
        <w:drawing>
          <wp:anchor distT="0" distB="0" distL="114300" distR="114300" simplePos="0" relativeHeight="251661334" behindDoc="1" locked="0" layoutInCell="1" allowOverlap="1" wp14:anchorId="7CDC29CF" wp14:editId="11BFCA6F">
            <wp:simplePos x="0" y="0"/>
            <wp:positionH relativeFrom="column">
              <wp:posOffset>625838</wp:posOffset>
            </wp:positionH>
            <wp:positionV relativeFrom="paragraph">
              <wp:posOffset>135074</wp:posOffset>
            </wp:positionV>
            <wp:extent cx="1432884" cy="762000"/>
            <wp:effectExtent l="247650" t="228600" r="243840" b="762000"/>
            <wp:wrapTight wrapText="bothSides">
              <wp:wrapPolygon edited="0">
                <wp:start x="-3734" y="-6480"/>
                <wp:lineTo x="-3734" y="42660"/>
                <wp:lineTo x="24989" y="42660"/>
                <wp:lineTo x="24989" y="30240"/>
                <wp:lineTo x="21255" y="28080"/>
                <wp:lineTo x="20968" y="28080"/>
                <wp:lineTo x="24989" y="25920"/>
                <wp:lineTo x="24989" y="-6480"/>
                <wp:lineTo x="-3734" y="-6480"/>
              </wp:wrapPolygon>
            </wp:wrapTight>
            <wp:docPr id="461791642" name="Imagen 46179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791642" name=""/>
                    <pic:cNvPicPr/>
                  </pic:nvPicPr>
                  <pic:blipFill rotWithShape="1">
                    <a:blip r:embed="rId48" cstate="print">
                      <a:extLst>
                        <a:ext uri="{28A0092B-C50C-407E-A947-70E740481C1C}">
                          <a14:useLocalDpi xmlns:a14="http://schemas.microsoft.com/office/drawing/2010/main" val="0"/>
                        </a:ext>
                      </a:extLst>
                    </a:blip>
                    <a:srcRect b="5452"/>
                    <a:stretch/>
                  </pic:blipFill>
                  <pic:spPr bwMode="auto">
                    <a:xfrm>
                      <a:off x="0" y="0"/>
                      <a:ext cx="1432884" cy="762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25CBA75" w14:textId="09C8E48A" w:rsidR="00DC2947" w:rsidRDefault="00DC2947" w:rsidP="00DC2947">
      <w:pPr>
        <w:jc w:val="both"/>
        <w:rPr>
          <w:rFonts w:ascii="Abadi" w:hAnsi="Abadi"/>
          <w:b/>
          <w:bCs/>
          <w:sz w:val="21"/>
          <w:szCs w:val="21"/>
        </w:rPr>
      </w:pPr>
    </w:p>
    <w:p w14:paraId="4EC6F185" w14:textId="127CEC5A" w:rsidR="00DC2947" w:rsidRDefault="00DC2947" w:rsidP="00DC2947">
      <w:pPr>
        <w:jc w:val="both"/>
        <w:rPr>
          <w:rFonts w:ascii="Abadi" w:hAnsi="Abadi"/>
          <w:b/>
          <w:bCs/>
          <w:sz w:val="21"/>
          <w:szCs w:val="21"/>
        </w:rPr>
      </w:pPr>
    </w:p>
    <w:p w14:paraId="5FC28F0F" w14:textId="14892E71" w:rsidR="00DC2947" w:rsidRDefault="00DC2947" w:rsidP="00DC2947">
      <w:pPr>
        <w:jc w:val="both"/>
        <w:rPr>
          <w:rFonts w:ascii="Abadi" w:hAnsi="Abadi"/>
          <w:b/>
          <w:bCs/>
          <w:sz w:val="21"/>
          <w:szCs w:val="21"/>
        </w:rPr>
      </w:pPr>
    </w:p>
    <w:p w14:paraId="353CDAEA" w14:textId="77777777" w:rsidR="00DC2947" w:rsidRDefault="00DC2947" w:rsidP="00DC2947">
      <w:pPr>
        <w:jc w:val="both"/>
        <w:rPr>
          <w:rFonts w:ascii="Abadi" w:hAnsi="Abadi"/>
          <w:b/>
          <w:bCs/>
          <w:sz w:val="21"/>
          <w:szCs w:val="21"/>
        </w:rPr>
      </w:pPr>
    </w:p>
    <w:p w14:paraId="74952A55" w14:textId="77777777" w:rsidR="00DC2947" w:rsidRDefault="00DC2947" w:rsidP="00DC2947">
      <w:pPr>
        <w:jc w:val="both"/>
        <w:rPr>
          <w:rFonts w:ascii="Abadi" w:hAnsi="Abadi"/>
          <w:b/>
          <w:bCs/>
          <w:sz w:val="21"/>
          <w:szCs w:val="21"/>
        </w:rPr>
      </w:pPr>
    </w:p>
    <w:p w14:paraId="450A9534" w14:textId="6BDBDA35" w:rsidR="00DC2947" w:rsidRDefault="00DC2947" w:rsidP="00DC2947">
      <w:pPr>
        <w:jc w:val="both"/>
        <w:rPr>
          <w:rFonts w:ascii="Abadi" w:hAnsi="Abadi"/>
          <w:b/>
          <w:bCs/>
          <w:sz w:val="21"/>
          <w:szCs w:val="21"/>
        </w:rPr>
      </w:pPr>
    </w:p>
    <w:p w14:paraId="16A0CC7E" w14:textId="77777777" w:rsidR="00DC2947" w:rsidRDefault="00DC2947" w:rsidP="00DC2947">
      <w:pPr>
        <w:jc w:val="both"/>
        <w:rPr>
          <w:rFonts w:ascii="Abadi" w:hAnsi="Abadi"/>
          <w:b/>
          <w:bCs/>
          <w:sz w:val="21"/>
          <w:szCs w:val="21"/>
        </w:rPr>
      </w:pPr>
    </w:p>
    <w:p w14:paraId="40C1A3CA" w14:textId="77777777" w:rsidR="00DC2947" w:rsidRDefault="00DC2947" w:rsidP="00DC2947">
      <w:pPr>
        <w:jc w:val="both"/>
        <w:rPr>
          <w:rFonts w:ascii="Abadi" w:hAnsi="Abadi"/>
          <w:b/>
          <w:bCs/>
          <w:sz w:val="21"/>
          <w:szCs w:val="21"/>
        </w:rPr>
      </w:pPr>
    </w:p>
    <w:p w14:paraId="49C8253E" w14:textId="77777777" w:rsidR="00DC2947" w:rsidRDefault="00DC2947" w:rsidP="00DC2947">
      <w:pPr>
        <w:jc w:val="both"/>
        <w:rPr>
          <w:rFonts w:ascii="Abadi" w:hAnsi="Abadi"/>
          <w:b/>
          <w:bCs/>
          <w:sz w:val="21"/>
          <w:szCs w:val="21"/>
        </w:rPr>
      </w:pPr>
    </w:p>
    <w:p w14:paraId="31959103" w14:textId="77777777" w:rsidR="00DC2947" w:rsidRPr="00110F65" w:rsidRDefault="00DC2947" w:rsidP="00DC2947">
      <w:pPr>
        <w:jc w:val="both"/>
        <w:rPr>
          <w:rFonts w:ascii="Abadi" w:hAnsi="Abadi"/>
          <w:b/>
          <w:bCs/>
          <w:sz w:val="21"/>
          <w:szCs w:val="21"/>
        </w:rPr>
      </w:pPr>
    </w:p>
    <w:p w14:paraId="3339CB9B" w14:textId="37C566C0" w:rsidR="00DC2947" w:rsidRDefault="00DC2947" w:rsidP="00DC2947">
      <w:pPr>
        <w:jc w:val="both"/>
        <w:rPr>
          <w:rFonts w:ascii="Abadi" w:hAnsi="Abadi"/>
          <w:sz w:val="21"/>
          <w:szCs w:val="21"/>
        </w:rPr>
      </w:pPr>
      <w:r>
        <w:rPr>
          <w:rFonts w:ascii="Abadi" w:hAnsi="Abadi"/>
          <w:sz w:val="21"/>
          <w:szCs w:val="21"/>
        </w:rPr>
        <w:t>- M</w:t>
      </w:r>
      <w:r w:rsidRPr="0030088F">
        <w:rPr>
          <w:rFonts w:ascii="Abadi" w:hAnsi="Abadi"/>
          <w:sz w:val="21"/>
          <w:szCs w:val="21"/>
        </w:rPr>
        <w:t>uchas gracias</w:t>
      </w:r>
      <w:r>
        <w:rPr>
          <w:rFonts w:ascii="Abadi" w:hAnsi="Abadi"/>
          <w:sz w:val="21"/>
          <w:szCs w:val="21"/>
        </w:rPr>
        <w:t>,</w:t>
      </w:r>
      <w:r w:rsidRPr="0030088F">
        <w:rPr>
          <w:rFonts w:ascii="Abadi" w:hAnsi="Abadi"/>
          <w:sz w:val="21"/>
          <w:szCs w:val="21"/>
        </w:rPr>
        <w:t xml:space="preserve"> presidenta con su permiso y con el permiso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 xml:space="preserve">irectiva compañeras y compañeros diputados público </w:t>
      </w:r>
      <w:r w:rsidRPr="0030088F">
        <w:rPr>
          <w:rFonts w:ascii="Abadi" w:hAnsi="Abadi"/>
          <w:sz w:val="21"/>
          <w:szCs w:val="21"/>
        </w:rPr>
        <w:t>aquí presente</w:t>
      </w:r>
      <w:r>
        <w:rPr>
          <w:rFonts w:ascii="Abadi" w:hAnsi="Abadi"/>
          <w:sz w:val="21"/>
          <w:szCs w:val="21"/>
        </w:rPr>
        <w:t>,</w:t>
      </w:r>
      <w:r w:rsidRPr="0030088F">
        <w:rPr>
          <w:rFonts w:ascii="Abadi" w:hAnsi="Abadi"/>
          <w:sz w:val="21"/>
          <w:szCs w:val="21"/>
        </w:rPr>
        <w:t xml:space="preserve"> medios de comunicación y que nos vea a través de todas las plataformas digitales</w:t>
      </w:r>
      <w:r>
        <w:rPr>
          <w:rFonts w:ascii="Abadi" w:hAnsi="Abadi"/>
          <w:sz w:val="21"/>
          <w:szCs w:val="21"/>
        </w:rPr>
        <w:t>,</w:t>
      </w:r>
      <w:r w:rsidRPr="0030088F">
        <w:rPr>
          <w:rFonts w:ascii="Abadi" w:hAnsi="Abadi"/>
          <w:sz w:val="21"/>
          <w:szCs w:val="21"/>
        </w:rPr>
        <w:t xml:space="preserve"> muy buenas tardes</w:t>
      </w:r>
      <w:r>
        <w:rPr>
          <w:rFonts w:ascii="Abadi" w:hAnsi="Abadi"/>
          <w:sz w:val="21"/>
          <w:szCs w:val="21"/>
        </w:rPr>
        <w:t>,</w:t>
      </w:r>
      <w:r w:rsidRPr="0030088F">
        <w:rPr>
          <w:rFonts w:ascii="Abadi" w:hAnsi="Abadi"/>
          <w:sz w:val="21"/>
          <w:szCs w:val="21"/>
        </w:rPr>
        <w:t xml:space="preserve"> y quiero hablar a favor de este</w:t>
      </w:r>
      <w:r>
        <w:rPr>
          <w:rFonts w:ascii="Abadi" w:hAnsi="Abadi"/>
          <w:sz w:val="21"/>
          <w:szCs w:val="21"/>
        </w:rPr>
        <w:t>,</w:t>
      </w:r>
      <w:r w:rsidRPr="0030088F">
        <w:rPr>
          <w:rFonts w:ascii="Abadi" w:hAnsi="Abadi"/>
          <w:sz w:val="21"/>
          <w:szCs w:val="21"/>
        </w:rPr>
        <w:t xml:space="preserve"> de este punto con el permiso de todos ustedes y por eso es que hago el uso de la voz en esta tribuna para hablar a favor de este dictamen que se pone a consideración de esta </w:t>
      </w:r>
      <w:r>
        <w:rPr>
          <w:rFonts w:ascii="Abadi" w:hAnsi="Abadi"/>
          <w:sz w:val="21"/>
          <w:szCs w:val="21"/>
        </w:rPr>
        <w:t>H</w:t>
      </w:r>
      <w:r w:rsidRPr="0030088F">
        <w:rPr>
          <w:rFonts w:ascii="Abadi" w:hAnsi="Abadi"/>
          <w:sz w:val="21"/>
          <w:szCs w:val="21"/>
        </w:rPr>
        <w:t xml:space="preserve">onorable </w:t>
      </w:r>
      <w:r>
        <w:rPr>
          <w:rFonts w:ascii="Abadi" w:hAnsi="Abadi"/>
          <w:sz w:val="21"/>
          <w:szCs w:val="21"/>
        </w:rPr>
        <w:t>A</w:t>
      </w:r>
      <w:r w:rsidRPr="0030088F">
        <w:rPr>
          <w:rFonts w:ascii="Abadi" w:hAnsi="Abadi"/>
          <w:sz w:val="21"/>
          <w:szCs w:val="21"/>
        </w:rPr>
        <w:t>samblea</w:t>
      </w:r>
      <w:r>
        <w:rPr>
          <w:rFonts w:ascii="Abadi" w:hAnsi="Abadi"/>
          <w:sz w:val="21"/>
          <w:szCs w:val="21"/>
        </w:rPr>
        <w:t>.</w:t>
      </w:r>
    </w:p>
    <w:p w14:paraId="6FA47811" w14:textId="77777777" w:rsidR="00DC2947" w:rsidRDefault="00DC2947" w:rsidP="00DC2947">
      <w:pPr>
        <w:jc w:val="both"/>
        <w:rPr>
          <w:rFonts w:ascii="Abadi" w:hAnsi="Abadi"/>
          <w:sz w:val="21"/>
          <w:szCs w:val="21"/>
        </w:rPr>
      </w:pPr>
    </w:p>
    <w:p w14:paraId="4B44D4DF" w14:textId="77777777" w:rsidR="00DC2947" w:rsidRDefault="00DC2947" w:rsidP="00DC2947">
      <w:pPr>
        <w:jc w:val="both"/>
        <w:rPr>
          <w:rFonts w:ascii="Abadi" w:hAnsi="Abadi"/>
          <w:sz w:val="21"/>
          <w:szCs w:val="21"/>
        </w:rPr>
      </w:pPr>
      <w:r>
        <w:rPr>
          <w:rFonts w:ascii="Abadi" w:hAnsi="Abadi"/>
          <w:sz w:val="21"/>
          <w:szCs w:val="21"/>
        </w:rPr>
        <w:t>- E</w:t>
      </w:r>
      <w:r w:rsidRPr="0030088F">
        <w:rPr>
          <w:rFonts w:ascii="Abadi" w:hAnsi="Abadi"/>
          <w:sz w:val="21"/>
          <w:szCs w:val="21"/>
        </w:rPr>
        <w:t xml:space="preserve">n el pasado abril 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en voz de una servidora presentamos un exhorto para la actualización del </w:t>
      </w:r>
      <w:r>
        <w:rPr>
          <w:rFonts w:ascii="Abadi" w:hAnsi="Abadi"/>
          <w:sz w:val="21"/>
          <w:szCs w:val="21"/>
        </w:rPr>
        <w:t>R</w:t>
      </w:r>
      <w:r w:rsidRPr="0030088F">
        <w:rPr>
          <w:rFonts w:ascii="Abadi" w:hAnsi="Abadi"/>
          <w:sz w:val="21"/>
          <w:szCs w:val="21"/>
        </w:rPr>
        <w:t xml:space="preserve">eglamento del </w:t>
      </w:r>
      <w:r>
        <w:rPr>
          <w:rFonts w:ascii="Abadi" w:hAnsi="Abadi"/>
          <w:sz w:val="21"/>
          <w:szCs w:val="21"/>
        </w:rPr>
        <w:t>S</w:t>
      </w:r>
      <w:r w:rsidRPr="0030088F">
        <w:rPr>
          <w:rFonts w:ascii="Abadi" w:hAnsi="Abadi"/>
          <w:sz w:val="21"/>
          <w:szCs w:val="21"/>
        </w:rPr>
        <w:t xml:space="preserve">istema </w:t>
      </w:r>
      <w:r>
        <w:rPr>
          <w:rFonts w:ascii="Abadi" w:hAnsi="Abadi"/>
          <w:sz w:val="21"/>
          <w:szCs w:val="21"/>
        </w:rPr>
        <w:t>M</w:t>
      </w:r>
      <w:r w:rsidRPr="0030088F">
        <w:rPr>
          <w:rFonts w:ascii="Abadi" w:hAnsi="Abadi"/>
          <w:sz w:val="21"/>
          <w:szCs w:val="21"/>
        </w:rPr>
        <w:t xml:space="preserve">unicipal de </w:t>
      </w:r>
      <w:r>
        <w:rPr>
          <w:rFonts w:ascii="Abadi" w:hAnsi="Abadi"/>
          <w:sz w:val="21"/>
          <w:szCs w:val="21"/>
        </w:rPr>
        <w:t>P</w:t>
      </w:r>
      <w:r w:rsidRPr="0030088F">
        <w:rPr>
          <w:rFonts w:ascii="Abadi" w:hAnsi="Abadi"/>
          <w:sz w:val="21"/>
          <w:szCs w:val="21"/>
        </w:rPr>
        <w:t xml:space="preserve">rotección </w:t>
      </w:r>
      <w:r>
        <w:rPr>
          <w:rFonts w:ascii="Abadi" w:hAnsi="Abadi"/>
          <w:sz w:val="21"/>
          <w:szCs w:val="21"/>
        </w:rPr>
        <w:t>C</w:t>
      </w:r>
      <w:r w:rsidRPr="0030088F">
        <w:rPr>
          <w:rFonts w:ascii="Abadi" w:hAnsi="Abadi"/>
          <w:sz w:val="21"/>
          <w:szCs w:val="21"/>
        </w:rPr>
        <w:t xml:space="preserve">ivil en León en donde incluyera y desarrollarán un apartado sobre el uso de aeronaves piloteadas a distancia y globos aerostáticos con el objetivo de que el </w:t>
      </w:r>
      <w:r>
        <w:rPr>
          <w:rFonts w:ascii="Abadi" w:hAnsi="Abadi"/>
          <w:sz w:val="21"/>
          <w:szCs w:val="21"/>
        </w:rPr>
        <w:t>“</w:t>
      </w:r>
      <w:r w:rsidRPr="0030088F">
        <w:rPr>
          <w:rFonts w:ascii="Abadi" w:hAnsi="Abadi"/>
          <w:sz w:val="21"/>
          <w:szCs w:val="21"/>
        </w:rPr>
        <w:t>Festival Internacional del Globo</w:t>
      </w:r>
      <w:r>
        <w:rPr>
          <w:rFonts w:ascii="Abadi" w:hAnsi="Abadi"/>
          <w:sz w:val="21"/>
          <w:szCs w:val="21"/>
        </w:rPr>
        <w:t>”</w:t>
      </w:r>
      <w:r w:rsidRPr="0030088F">
        <w:rPr>
          <w:rFonts w:ascii="Abadi" w:hAnsi="Abadi"/>
          <w:sz w:val="21"/>
          <w:szCs w:val="21"/>
        </w:rPr>
        <w:t xml:space="preserve"> sea un evento seguro y para todos</w:t>
      </w:r>
      <w:r>
        <w:rPr>
          <w:rFonts w:ascii="Abadi" w:hAnsi="Abadi"/>
          <w:sz w:val="21"/>
          <w:szCs w:val="21"/>
        </w:rPr>
        <w:t>.</w:t>
      </w:r>
    </w:p>
    <w:p w14:paraId="5A27911D" w14:textId="77777777" w:rsidR="00DC2947" w:rsidRDefault="00DC2947" w:rsidP="00DC2947">
      <w:pPr>
        <w:jc w:val="both"/>
        <w:rPr>
          <w:rFonts w:ascii="Abadi" w:hAnsi="Abadi"/>
          <w:sz w:val="21"/>
          <w:szCs w:val="21"/>
        </w:rPr>
      </w:pPr>
    </w:p>
    <w:p w14:paraId="2AA74781" w14:textId="77777777" w:rsidR="00DC2947" w:rsidRDefault="00DC2947" w:rsidP="00DC2947">
      <w:pPr>
        <w:jc w:val="both"/>
        <w:rPr>
          <w:rFonts w:ascii="Abadi" w:hAnsi="Abadi"/>
          <w:sz w:val="21"/>
          <w:szCs w:val="21"/>
        </w:rPr>
      </w:pPr>
      <w:r>
        <w:rPr>
          <w:rFonts w:ascii="Abadi" w:hAnsi="Abadi"/>
          <w:sz w:val="21"/>
          <w:szCs w:val="21"/>
        </w:rPr>
        <w:t>- L</w:t>
      </w:r>
      <w:r w:rsidRPr="0030088F">
        <w:rPr>
          <w:rFonts w:ascii="Abadi" w:hAnsi="Abadi"/>
          <w:sz w:val="21"/>
          <w:szCs w:val="21"/>
        </w:rPr>
        <w:t>o anterior a razón de un lamentable hecho que todos conocemos de un accidente de un globo aerostático que se encendió en pleno vuelo en la zona arqueológica de Teotihuacán</w:t>
      </w:r>
      <w:r>
        <w:rPr>
          <w:rFonts w:ascii="Abadi" w:hAnsi="Abadi"/>
          <w:sz w:val="21"/>
          <w:szCs w:val="21"/>
        </w:rPr>
        <w:t>,</w:t>
      </w:r>
      <w:r w:rsidRPr="0030088F">
        <w:rPr>
          <w:rFonts w:ascii="Abadi" w:hAnsi="Abadi"/>
          <w:sz w:val="21"/>
          <w:szCs w:val="21"/>
        </w:rPr>
        <w:t xml:space="preserve"> nuestro estado como bien se lo dije ese día no es ajeno a este tipo de actividades el más representativo que tenemos aquí y que viene mucho turismo y que pues genera buena economía en nuestro estado es el </w:t>
      </w:r>
      <w:r>
        <w:rPr>
          <w:rFonts w:ascii="Abadi" w:hAnsi="Abadi"/>
          <w:sz w:val="21"/>
          <w:szCs w:val="21"/>
        </w:rPr>
        <w:t>“</w:t>
      </w:r>
      <w:r w:rsidRPr="0030088F">
        <w:rPr>
          <w:rFonts w:ascii="Abadi" w:hAnsi="Abadi"/>
          <w:sz w:val="21"/>
          <w:szCs w:val="21"/>
        </w:rPr>
        <w:t>Festival Internacional del Globo</w:t>
      </w:r>
      <w:r>
        <w:rPr>
          <w:rFonts w:ascii="Abadi" w:hAnsi="Abadi"/>
          <w:sz w:val="21"/>
          <w:szCs w:val="21"/>
        </w:rPr>
        <w:t>”</w:t>
      </w:r>
      <w:r w:rsidRPr="0030088F">
        <w:rPr>
          <w:rFonts w:ascii="Abadi" w:hAnsi="Abadi"/>
          <w:sz w:val="21"/>
          <w:szCs w:val="21"/>
        </w:rPr>
        <w:t xml:space="preserve"> que se celebra cada año en el mes de noviembre en el municipio de León</w:t>
      </w:r>
      <w:r>
        <w:rPr>
          <w:rFonts w:ascii="Abadi" w:hAnsi="Abadi"/>
          <w:sz w:val="21"/>
          <w:szCs w:val="21"/>
        </w:rPr>
        <w:t>,</w:t>
      </w:r>
      <w:r w:rsidRPr="0030088F">
        <w:rPr>
          <w:rFonts w:ascii="Abadi" w:hAnsi="Abadi"/>
          <w:sz w:val="21"/>
          <w:szCs w:val="21"/>
        </w:rPr>
        <w:t xml:space="preserve"> en las últimas ediciones se han suscitado diferentes incidentes afortunadamente no ha habido pérdidas humanas</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son advertencias de que se necesita una supervisión mucho más rigurosa</w:t>
      </w:r>
      <w:r>
        <w:rPr>
          <w:rFonts w:ascii="Abadi" w:hAnsi="Abadi"/>
          <w:sz w:val="21"/>
          <w:szCs w:val="21"/>
        </w:rPr>
        <w:t>.</w:t>
      </w:r>
    </w:p>
    <w:p w14:paraId="3682909B" w14:textId="77777777" w:rsidR="00634EF3" w:rsidRDefault="00634EF3" w:rsidP="00DC2947">
      <w:pPr>
        <w:jc w:val="both"/>
        <w:rPr>
          <w:rFonts w:ascii="Abadi" w:hAnsi="Abadi"/>
          <w:sz w:val="21"/>
          <w:szCs w:val="21"/>
        </w:rPr>
      </w:pPr>
    </w:p>
    <w:p w14:paraId="6E6EE731" w14:textId="77777777" w:rsidR="00DC2947" w:rsidRDefault="00DC2947" w:rsidP="00DC2947">
      <w:pPr>
        <w:jc w:val="both"/>
        <w:rPr>
          <w:rFonts w:ascii="Abadi" w:hAnsi="Abadi"/>
          <w:sz w:val="21"/>
          <w:szCs w:val="21"/>
        </w:rPr>
      </w:pPr>
      <w:r>
        <w:rPr>
          <w:rFonts w:ascii="Abadi" w:hAnsi="Abadi"/>
          <w:sz w:val="21"/>
          <w:szCs w:val="21"/>
        </w:rPr>
        <w:t>- C</w:t>
      </w:r>
      <w:r w:rsidRPr="0030088F">
        <w:rPr>
          <w:rFonts w:ascii="Abadi" w:hAnsi="Abadi"/>
          <w:sz w:val="21"/>
          <w:szCs w:val="21"/>
        </w:rPr>
        <w:t xml:space="preserve">oincidimos con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S</w:t>
      </w:r>
      <w:r w:rsidRPr="0030088F">
        <w:rPr>
          <w:rFonts w:ascii="Abadi" w:hAnsi="Abadi"/>
          <w:sz w:val="21"/>
          <w:szCs w:val="21"/>
        </w:rPr>
        <w:t xml:space="preserve">eguridad y </w:t>
      </w:r>
      <w:r>
        <w:rPr>
          <w:rFonts w:ascii="Abadi" w:hAnsi="Abadi"/>
          <w:sz w:val="21"/>
          <w:szCs w:val="21"/>
        </w:rPr>
        <w:t>C</w:t>
      </w:r>
      <w:r w:rsidRPr="0030088F">
        <w:rPr>
          <w:rFonts w:ascii="Abadi" w:hAnsi="Abadi"/>
          <w:sz w:val="21"/>
          <w:szCs w:val="21"/>
        </w:rPr>
        <w:t>omunica</w:t>
      </w:r>
      <w:r>
        <w:rPr>
          <w:rFonts w:ascii="Abadi" w:hAnsi="Abadi"/>
          <w:sz w:val="21"/>
          <w:szCs w:val="21"/>
        </w:rPr>
        <w:t>,</w:t>
      </w:r>
      <w:r w:rsidRPr="0030088F">
        <w:rPr>
          <w:rFonts w:ascii="Abadi" w:hAnsi="Abadi"/>
          <w:sz w:val="21"/>
          <w:szCs w:val="21"/>
        </w:rPr>
        <w:t xml:space="preserve"> de </w:t>
      </w:r>
      <w:r>
        <w:rPr>
          <w:rFonts w:ascii="Abadi" w:hAnsi="Abadi"/>
          <w:sz w:val="21"/>
          <w:szCs w:val="21"/>
        </w:rPr>
        <w:t>S</w:t>
      </w:r>
      <w:r w:rsidRPr="0030088F">
        <w:rPr>
          <w:rFonts w:ascii="Abadi" w:hAnsi="Abadi"/>
          <w:sz w:val="21"/>
          <w:szCs w:val="21"/>
        </w:rPr>
        <w:t xml:space="preserve">eguridad </w:t>
      </w:r>
      <w:r>
        <w:rPr>
          <w:rFonts w:ascii="Abadi" w:hAnsi="Abadi"/>
          <w:sz w:val="21"/>
          <w:szCs w:val="21"/>
        </w:rPr>
        <w:t>P</w:t>
      </w:r>
      <w:r w:rsidRPr="0030088F">
        <w:rPr>
          <w:rFonts w:ascii="Abadi" w:hAnsi="Abadi"/>
          <w:sz w:val="21"/>
          <w:szCs w:val="21"/>
        </w:rPr>
        <w:t xml:space="preserve">ública y </w:t>
      </w:r>
      <w:r>
        <w:rPr>
          <w:rFonts w:ascii="Abadi" w:hAnsi="Abadi"/>
          <w:sz w:val="21"/>
          <w:szCs w:val="21"/>
        </w:rPr>
        <w:t>C</w:t>
      </w:r>
      <w:r w:rsidRPr="0030088F">
        <w:rPr>
          <w:rFonts w:ascii="Abadi" w:hAnsi="Abadi"/>
          <w:sz w:val="21"/>
          <w:szCs w:val="21"/>
        </w:rPr>
        <w:t>omunicaciones respecto a la utilización del espacio aéreo pues que se da en los 46 municipios</w:t>
      </w:r>
      <w:r>
        <w:rPr>
          <w:rFonts w:ascii="Abadi" w:hAnsi="Abadi"/>
          <w:sz w:val="21"/>
          <w:szCs w:val="21"/>
        </w:rPr>
        <w:t>,</w:t>
      </w:r>
      <w:r w:rsidRPr="0030088F">
        <w:rPr>
          <w:rFonts w:ascii="Abadi" w:hAnsi="Abadi"/>
          <w:sz w:val="21"/>
          <w:szCs w:val="21"/>
        </w:rPr>
        <w:t xml:space="preserve"> no únicamente en el municipio de León</w:t>
      </w:r>
      <w:r>
        <w:rPr>
          <w:rFonts w:ascii="Abadi" w:hAnsi="Abadi"/>
          <w:sz w:val="21"/>
          <w:szCs w:val="21"/>
        </w:rPr>
        <w:t>,</w:t>
      </w:r>
      <w:r w:rsidRPr="0030088F">
        <w:rPr>
          <w:rFonts w:ascii="Abadi" w:hAnsi="Abadi"/>
          <w:sz w:val="21"/>
          <w:szCs w:val="21"/>
        </w:rPr>
        <w:t xml:space="preserve"> por lo que es importante que la vigilancia evaluación y mejoras de protocolo deben de ser coordinadas con la autoridad estatal y con los 46 municipios</w:t>
      </w:r>
      <w:r>
        <w:rPr>
          <w:rFonts w:ascii="Abadi" w:hAnsi="Abadi"/>
          <w:sz w:val="21"/>
          <w:szCs w:val="21"/>
        </w:rPr>
        <w:t>, p</w:t>
      </w:r>
      <w:r w:rsidRPr="0030088F">
        <w:rPr>
          <w:rFonts w:ascii="Abadi" w:hAnsi="Abadi"/>
          <w:sz w:val="21"/>
          <w:szCs w:val="21"/>
        </w:rPr>
        <w:t>or lo anteriormente expuesto solicito a su favor su voto del presente dictamen</w:t>
      </w:r>
      <w:r>
        <w:rPr>
          <w:rFonts w:ascii="Abadi" w:hAnsi="Abadi"/>
          <w:sz w:val="21"/>
          <w:szCs w:val="21"/>
        </w:rPr>
        <w:t>,</w:t>
      </w:r>
      <w:r w:rsidRPr="0030088F">
        <w:rPr>
          <w:rFonts w:ascii="Abadi" w:hAnsi="Abadi"/>
          <w:sz w:val="21"/>
          <w:szCs w:val="21"/>
        </w:rPr>
        <w:t xml:space="preserve"> muchísimas gracias que tengan buena tarde</w:t>
      </w:r>
      <w:r>
        <w:rPr>
          <w:rFonts w:ascii="Abadi" w:hAnsi="Abadi"/>
          <w:sz w:val="21"/>
          <w:szCs w:val="21"/>
        </w:rPr>
        <w:t>.</w:t>
      </w:r>
    </w:p>
    <w:p w14:paraId="2C403369" w14:textId="77777777" w:rsidR="00DC2947" w:rsidRDefault="00DC2947" w:rsidP="00DC2947">
      <w:pPr>
        <w:jc w:val="both"/>
        <w:rPr>
          <w:rFonts w:ascii="Abadi" w:hAnsi="Abadi"/>
          <w:sz w:val="21"/>
          <w:szCs w:val="21"/>
        </w:rPr>
      </w:pPr>
    </w:p>
    <w:p w14:paraId="2FA84002" w14:textId="77777777" w:rsidR="00DC2947" w:rsidRDefault="00DC2947" w:rsidP="00DC2947">
      <w:pPr>
        <w:jc w:val="both"/>
        <w:rPr>
          <w:rFonts w:ascii="Abadi" w:hAnsi="Abadi"/>
          <w:sz w:val="21"/>
          <w:szCs w:val="21"/>
        </w:rPr>
      </w:pPr>
      <w:r>
        <w:rPr>
          <w:rFonts w:ascii="Abadi" w:hAnsi="Abadi"/>
          <w:sz w:val="21"/>
          <w:szCs w:val="21"/>
        </w:rPr>
        <w:tab/>
      </w:r>
      <w:r w:rsidRPr="00913610">
        <w:rPr>
          <w:rFonts w:ascii="Abadi" w:hAnsi="Abadi"/>
          <w:b/>
          <w:bCs/>
          <w:sz w:val="21"/>
          <w:szCs w:val="21"/>
        </w:rPr>
        <w:t xml:space="preserve">- La </w:t>
      </w:r>
      <w:proofErr w:type="gramStart"/>
      <w:r w:rsidRPr="00913610">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612C9EF6" w14:textId="77777777" w:rsidR="00DC2947" w:rsidRDefault="00DC2947" w:rsidP="00DC2947">
      <w:pPr>
        <w:jc w:val="both"/>
        <w:rPr>
          <w:rFonts w:ascii="Abadi" w:hAnsi="Abadi"/>
          <w:sz w:val="21"/>
          <w:szCs w:val="21"/>
        </w:rPr>
      </w:pPr>
    </w:p>
    <w:p w14:paraId="64AC5448" w14:textId="77777777" w:rsidR="00DC2947" w:rsidRDefault="00DC2947" w:rsidP="00DC2947">
      <w:pPr>
        <w:jc w:val="both"/>
        <w:rPr>
          <w:rFonts w:ascii="Abadi" w:hAnsi="Abadi"/>
          <w:sz w:val="21"/>
          <w:szCs w:val="21"/>
        </w:rPr>
      </w:pPr>
      <w:r>
        <w:rPr>
          <w:rFonts w:ascii="Abadi" w:hAnsi="Abadi"/>
          <w:sz w:val="21"/>
          <w:szCs w:val="21"/>
        </w:rPr>
        <w:tab/>
        <w:t>- A</w:t>
      </w:r>
      <w:r w:rsidRPr="0030088F">
        <w:rPr>
          <w:rFonts w:ascii="Abadi" w:hAnsi="Abadi"/>
          <w:sz w:val="21"/>
          <w:szCs w:val="21"/>
        </w:rPr>
        <w:t xml:space="preserve">gotadas las intervenciones se pide a la secretaria que proceda a recabar votación nominal de la asamblea a través del sistema </w:t>
      </w:r>
      <w:r w:rsidRPr="0030088F">
        <w:rPr>
          <w:rFonts w:ascii="Abadi" w:hAnsi="Abadi"/>
          <w:sz w:val="21"/>
          <w:szCs w:val="21"/>
        </w:rPr>
        <w:lastRenderedPageBreak/>
        <w:t xml:space="preserve">electrónico a efecto de aprobar </w:t>
      </w:r>
      <w:r>
        <w:rPr>
          <w:rFonts w:ascii="Abadi" w:hAnsi="Abadi"/>
          <w:sz w:val="21"/>
          <w:szCs w:val="21"/>
        </w:rPr>
        <w:t xml:space="preserve">o no el </w:t>
      </w:r>
      <w:r w:rsidRPr="0030088F">
        <w:rPr>
          <w:rFonts w:ascii="Abadi" w:hAnsi="Abadi"/>
          <w:sz w:val="21"/>
          <w:szCs w:val="21"/>
        </w:rPr>
        <w:t>dictamen puesto a su consideración</w:t>
      </w:r>
      <w:r>
        <w:rPr>
          <w:rFonts w:ascii="Abadi" w:hAnsi="Abadi"/>
          <w:sz w:val="21"/>
          <w:szCs w:val="21"/>
        </w:rPr>
        <w:t xml:space="preserve">. </w:t>
      </w:r>
    </w:p>
    <w:p w14:paraId="7FFB9DE2" w14:textId="77777777" w:rsidR="00DC2947" w:rsidRDefault="00DC2947" w:rsidP="00DC2947">
      <w:pPr>
        <w:jc w:val="both"/>
        <w:rPr>
          <w:rFonts w:ascii="Abadi" w:hAnsi="Abadi"/>
          <w:sz w:val="21"/>
          <w:szCs w:val="21"/>
        </w:rPr>
      </w:pPr>
    </w:p>
    <w:p w14:paraId="422A39E7" w14:textId="77777777" w:rsidR="00DC2947" w:rsidRDefault="00DC2947" w:rsidP="00DC2947">
      <w:pPr>
        <w:jc w:val="both"/>
        <w:rPr>
          <w:rFonts w:ascii="Abadi" w:hAnsi="Abadi"/>
          <w:b/>
          <w:bCs/>
          <w:sz w:val="21"/>
          <w:szCs w:val="21"/>
        </w:rPr>
      </w:pPr>
      <w:r w:rsidRPr="009A0243">
        <w:rPr>
          <w:rFonts w:ascii="Abadi" w:hAnsi="Abadi"/>
          <w:b/>
          <w:bCs/>
          <w:sz w:val="21"/>
          <w:szCs w:val="21"/>
        </w:rPr>
        <w:t>(se abre el sistema electrónico)</w:t>
      </w:r>
    </w:p>
    <w:p w14:paraId="5114BDE5" w14:textId="77777777" w:rsidR="00DC2947" w:rsidRDefault="00DC2947" w:rsidP="00DC2947">
      <w:pPr>
        <w:jc w:val="both"/>
        <w:rPr>
          <w:rFonts w:ascii="Abadi" w:hAnsi="Abadi"/>
          <w:b/>
          <w:bCs/>
          <w:sz w:val="21"/>
          <w:szCs w:val="21"/>
        </w:rPr>
      </w:pPr>
    </w:p>
    <w:p w14:paraId="68FC3466" w14:textId="77777777" w:rsidR="00DC2947" w:rsidRDefault="00DC2947" w:rsidP="00DC2947">
      <w:pPr>
        <w:jc w:val="both"/>
        <w:rPr>
          <w:rFonts w:ascii="Abadi" w:hAnsi="Abadi"/>
          <w:sz w:val="21"/>
          <w:szCs w:val="21"/>
        </w:rPr>
      </w:pPr>
      <w:r>
        <w:rPr>
          <w:rFonts w:ascii="Abadi" w:hAnsi="Abadi"/>
          <w:sz w:val="21"/>
          <w:szCs w:val="21"/>
        </w:rPr>
        <w:tab/>
      </w:r>
      <w:r w:rsidRPr="009A0243">
        <w:rPr>
          <w:rFonts w:ascii="Abadi" w:hAnsi="Abadi"/>
          <w:b/>
          <w:bCs/>
          <w:sz w:val="21"/>
          <w:szCs w:val="21"/>
        </w:rPr>
        <w:t xml:space="preserve"> - La </w:t>
      </w:r>
      <w:proofErr w:type="gramStart"/>
      <w:r w:rsidRPr="009A0243">
        <w:rPr>
          <w:rFonts w:ascii="Abadi" w:hAnsi="Abadi"/>
          <w:b/>
          <w:bCs/>
          <w:sz w:val="21"/>
          <w:szCs w:val="21"/>
        </w:rPr>
        <w:t>Secretaría.-</w:t>
      </w:r>
      <w:proofErr w:type="gramEnd"/>
      <w:r w:rsidRPr="009A0243">
        <w:rPr>
          <w:rFonts w:ascii="Abadi" w:hAnsi="Abadi"/>
          <w:b/>
          <w:bCs/>
          <w:sz w:val="21"/>
          <w:szCs w:val="21"/>
        </w:rPr>
        <w:t xml:space="preserve"> </w:t>
      </w:r>
      <w:r>
        <w:rPr>
          <w:rFonts w:ascii="Abadi" w:hAnsi="Abadi"/>
          <w:sz w:val="21"/>
          <w:szCs w:val="21"/>
        </w:rPr>
        <w:t>E</w:t>
      </w:r>
      <w:r w:rsidRPr="0030088F">
        <w:rPr>
          <w:rFonts w:ascii="Abadi" w:hAnsi="Abadi"/>
          <w:sz w:val="21"/>
          <w:szCs w:val="21"/>
        </w:rPr>
        <w:t xml:space="preserve">n votación nominal y </w:t>
      </w:r>
      <w:r>
        <w:rPr>
          <w:rFonts w:ascii="Abadi" w:hAnsi="Abadi"/>
          <w:sz w:val="21"/>
          <w:szCs w:val="21"/>
        </w:rPr>
        <w:t>por el</w:t>
      </w:r>
      <w:r w:rsidRPr="0030088F">
        <w:rPr>
          <w:rFonts w:ascii="Abadi" w:hAnsi="Abadi"/>
          <w:sz w:val="21"/>
          <w:szCs w:val="21"/>
        </w:rPr>
        <w:t xml:space="preserve"> sistema electrónico se les pregunta si se aprueba el dictamen </w:t>
      </w:r>
      <w:r>
        <w:rPr>
          <w:rFonts w:ascii="Abadi" w:hAnsi="Abadi"/>
          <w:sz w:val="21"/>
          <w:szCs w:val="21"/>
        </w:rPr>
        <w:t>puesto a</w:t>
      </w:r>
      <w:r w:rsidRPr="0030088F">
        <w:rPr>
          <w:rFonts w:ascii="Abadi" w:hAnsi="Abadi"/>
          <w:sz w:val="21"/>
          <w:szCs w:val="21"/>
        </w:rPr>
        <w:t xml:space="preserve"> su consideración</w:t>
      </w:r>
      <w:r>
        <w:rPr>
          <w:rFonts w:ascii="Abadi" w:hAnsi="Abadi"/>
          <w:sz w:val="21"/>
          <w:szCs w:val="21"/>
        </w:rPr>
        <w:t>.  ¿diputado Gerardo? ¿diputado Ernesto Prieto?</w:t>
      </w:r>
    </w:p>
    <w:p w14:paraId="782D3F86" w14:textId="77777777" w:rsidR="00DC2947" w:rsidRDefault="00DC2947" w:rsidP="00DC2947">
      <w:pPr>
        <w:jc w:val="both"/>
        <w:rPr>
          <w:rFonts w:ascii="Abadi" w:hAnsi="Abadi"/>
          <w:sz w:val="21"/>
          <w:szCs w:val="21"/>
        </w:rPr>
      </w:pPr>
    </w:p>
    <w:p w14:paraId="2E7312F5" w14:textId="77777777" w:rsidR="00DC2947" w:rsidRDefault="00DC2947" w:rsidP="00DC2947">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20268E07" w14:textId="77777777" w:rsidR="00DC2947" w:rsidRDefault="00DC2947" w:rsidP="00DC2947">
      <w:pPr>
        <w:jc w:val="both"/>
        <w:rPr>
          <w:rFonts w:ascii="Abadi" w:hAnsi="Abadi"/>
          <w:sz w:val="21"/>
          <w:szCs w:val="21"/>
        </w:rPr>
      </w:pPr>
    </w:p>
    <w:p w14:paraId="0FAB1C0C" w14:textId="77777777" w:rsidR="00DC2947" w:rsidRDefault="00DC2947" w:rsidP="00DC2947">
      <w:pPr>
        <w:jc w:val="both"/>
        <w:rPr>
          <w:rFonts w:ascii="Abadi" w:hAnsi="Abadi"/>
          <w:b/>
          <w:bCs/>
          <w:sz w:val="21"/>
          <w:szCs w:val="21"/>
        </w:rPr>
      </w:pPr>
      <w:r w:rsidRPr="00D53505">
        <w:rPr>
          <w:rFonts w:ascii="Abadi" w:hAnsi="Abadi"/>
          <w:b/>
          <w:bCs/>
          <w:sz w:val="21"/>
          <w:szCs w:val="21"/>
        </w:rPr>
        <w:t>(se cierra el sistema electrónico)</w:t>
      </w:r>
    </w:p>
    <w:p w14:paraId="325FA013" w14:textId="77777777" w:rsidR="00DC2947" w:rsidRPr="00D53505" w:rsidRDefault="00DC2947" w:rsidP="00DC2947">
      <w:pPr>
        <w:jc w:val="both"/>
        <w:rPr>
          <w:rFonts w:ascii="Abadi" w:hAnsi="Abadi"/>
          <w:b/>
          <w:bCs/>
          <w:sz w:val="21"/>
          <w:szCs w:val="21"/>
        </w:rPr>
      </w:pPr>
      <w:r>
        <w:rPr>
          <w:noProof/>
        </w:rPr>
        <w:drawing>
          <wp:inline distT="0" distB="0" distL="0" distR="0" wp14:anchorId="2A334309" wp14:editId="6369E2F5">
            <wp:extent cx="1454673" cy="753836"/>
            <wp:effectExtent l="247650" t="247650" r="241300" b="255905"/>
            <wp:docPr id="512121570" name="Imagen 512121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21570" name=""/>
                    <pic:cNvPicPr/>
                  </pic:nvPicPr>
                  <pic:blipFill rotWithShape="1">
                    <a:blip r:embed="rId49"/>
                    <a:srcRect b="7866"/>
                    <a:stretch/>
                  </pic:blipFill>
                  <pic:spPr bwMode="auto">
                    <a:xfrm>
                      <a:off x="0" y="0"/>
                      <a:ext cx="1463253" cy="758282"/>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98CB6B9" w14:textId="77777777" w:rsidR="00DC2947" w:rsidRDefault="00DC2947" w:rsidP="00DC2947">
      <w:pPr>
        <w:jc w:val="both"/>
        <w:rPr>
          <w:rFonts w:ascii="Abadi" w:hAnsi="Abadi"/>
          <w:sz w:val="21"/>
          <w:szCs w:val="21"/>
        </w:rPr>
      </w:pPr>
    </w:p>
    <w:p w14:paraId="464A8510" w14:textId="77777777" w:rsidR="00DC2947" w:rsidRDefault="00DC2947" w:rsidP="00DC2947">
      <w:pPr>
        <w:jc w:val="both"/>
        <w:rPr>
          <w:rFonts w:ascii="Abadi" w:hAnsi="Abadi"/>
          <w:sz w:val="21"/>
          <w:szCs w:val="21"/>
        </w:rPr>
      </w:pPr>
      <w:r>
        <w:rPr>
          <w:rFonts w:ascii="Abadi" w:hAnsi="Abadi"/>
          <w:b/>
          <w:bCs/>
          <w:sz w:val="21"/>
          <w:szCs w:val="21"/>
        </w:rPr>
        <w:tab/>
      </w:r>
      <w:r w:rsidRPr="00A55A80">
        <w:rPr>
          <w:rFonts w:ascii="Abadi" w:hAnsi="Abadi"/>
          <w:b/>
          <w:bCs/>
          <w:sz w:val="21"/>
          <w:szCs w:val="21"/>
        </w:rPr>
        <w:t xml:space="preserve"> - La </w:t>
      </w:r>
      <w:proofErr w:type="gramStart"/>
      <w:r w:rsidRPr="00A55A80">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residenta le informó que se</w:t>
      </w:r>
      <w:r>
        <w:rPr>
          <w:rFonts w:ascii="Abadi" w:hAnsi="Abadi"/>
          <w:sz w:val="21"/>
          <w:szCs w:val="21"/>
        </w:rPr>
        <w:t xml:space="preserve"> </w:t>
      </w:r>
      <w:r w:rsidRPr="0030088F">
        <w:rPr>
          <w:rFonts w:ascii="Abadi" w:hAnsi="Abadi"/>
          <w:sz w:val="21"/>
          <w:szCs w:val="21"/>
        </w:rPr>
        <w:t xml:space="preserve">registrado </w:t>
      </w:r>
      <w:r>
        <w:rPr>
          <w:rFonts w:ascii="Abadi" w:hAnsi="Abadi"/>
          <w:sz w:val="21"/>
          <w:szCs w:val="21"/>
        </w:rPr>
        <w:t>34</w:t>
      </w:r>
      <w:r w:rsidRPr="0030088F">
        <w:rPr>
          <w:rFonts w:ascii="Abadi" w:hAnsi="Abadi"/>
          <w:sz w:val="21"/>
          <w:szCs w:val="21"/>
        </w:rPr>
        <w:t xml:space="preserve"> votos a favor y </w:t>
      </w:r>
      <w:r>
        <w:rPr>
          <w:rFonts w:ascii="Abadi" w:hAnsi="Abadi"/>
          <w:sz w:val="21"/>
          <w:szCs w:val="21"/>
        </w:rPr>
        <w:t>0</w:t>
      </w:r>
      <w:r w:rsidRPr="0030088F">
        <w:rPr>
          <w:rFonts w:ascii="Abadi" w:hAnsi="Abadi"/>
          <w:sz w:val="21"/>
          <w:szCs w:val="21"/>
        </w:rPr>
        <w:t xml:space="preserve"> votos en contra</w:t>
      </w:r>
      <w:r>
        <w:rPr>
          <w:rFonts w:ascii="Abadi" w:hAnsi="Abadi"/>
          <w:sz w:val="21"/>
          <w:szCs w:val="21"/>
        </w:rPr>
        <w:t>.</w:t>
      </w:r>
    </w:p>
    <w:p w14:paraId="7F402710" w14:textId="77777777" w:rsidR="00DC2947" w:rsidRDefault="00DC2947" w:rsidP="00DC2947">
      <w:pPr>
        <w:jc w:val="both"/>
        <w:rPr>
          <w:rFonts w:ascii="Abadi" w:hAnsi="Abadi"/>
          <w:sz w:val="21"/>
          <w:szCs w:val="21"/>
        </w:rPr>
      </w:pPr>
    </w:p>
    <w:p w14:paraId="33DF96F2" w14:textId="77777777" w:rsidR="00DC2947" w:rsidRDefault="00DC2947" w:rsidP="00DC2947">
      <w:pPr>
        <w:jc w:val="both"/>
        <w:rPr>
          <w:rFonts w:ascii="Abadi" w:hAnsi="Abadi"/>
          <w:sz w:val="21"/>
          <w:szCs w:val="21"/>
        </w:rPr>
      </w:pPr>
      <w:r>
        <w:rPr>
          <w:rFonts w:ascii="Abadi" w:hAnsi="Abadi"/>
          <w:sz w:val="21"/>
          <w:szCs w:val="21"/>
        </w:rPr>
        <w:tab/>
      </w:r>
      <w:r w:rsidRPr="00A55A80">
        <w:rPr>
          <w:rFonts w:ascii="Abadi" w:hAnsi="Abadi"/>
          <w:b/>
          <w:bCs/>
          <w:sz w:val="21"/>
          <w:szCs w:val="21"/>
        </w:rPr>
        <w:t xml:space="preserve">- La </w:t>
      </w:r>
      <w:proofErr w:type="gramStart"/>
      <w:r w:rsidRPr="00A55A80">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 xml:space="preserve">l dictamen ha sido aprobado por </w:t>
      </w:r>
      <w:r>
        <w:rPr>
          <w:rFonts w:ascii="Abadi" w:hAnsi="Abadi"/>
          <w:sz w:val="21"/>
          <w:szCs w:val="21"/>
        </w:rPr>
        <w:t xml:space="preserve">unanimidad </w:t>
      </w:r>
      <w:r w:rsidRPr="0030088F">
        <w:rPr>
          <w:rFonts w:ascii="Abadi" w:hAnsi="Abadi"/>
          <w:sz w:val="21"/>
          <w:szCs w:val="21"/>
        </w:rPr>
        <w:t>de votos</w:t>
      </w:r>
      <w:r>
        <w:rPr>
          <w:rFonts w:ascii="Abadi" w:hAnsi="Abadi"/>
          <w:sz w:val="21"/>
          <w:szCs w:val="21"/>
        </w:rPr>
        <w:t>.</w:t>
      </w:r>
    </w:p>
    <w:p w14:paraId="14E53B61" w14:textId="77777777" w:rsidR="00DC2947" w:rsidRDefault="00DC2947" w:rsidP="00DC2947">
      <w:pPr>
        <w:jc w:val="both"/>
        <w:rPr>
          <w:rFonts w:ascii="Abadi" w:hAnsi="Abadi"/>
          <w:sz w:val="21"/>
          <w:szCs w:val="21"/>
        </w:rPr>
      </w:pPr>
    </w:p>
    <w:p w14:paraId="23AE9D7A" w14:textId="77777777" w:rsidR="00DC2947" w:rsidRPr="008A4327" w:rsidRDefault="00DC2947" w:rsidP="00DC2947">
      <w:pPr>
        <w:ind w:left="851" w:right="1276"/>
        <w:jc w:val="both"/>
        <w:rPr>
          <w:rFonts w:ascii="Abadi" w:hAnsi="Abadi"/>
          <w:b/>
          <w:bCs/>
          <w:i/>
          <w:iCs/>
          <w:sz w:val="21"/>
          <w:szCs w:val="21"/>
          <w:u w:val="single"/>
        </w:rPr>
      </w:pPr>
      <w:r w:rsidRPr="008A4327">
        <w:rPr>
          <w:rFonts w:ascii="Abadi" w:hAnsi="Abadi"/>
          <w:b/>
          <w:bCs/>
          <w:i/>
          <w:iCs/>
          <w:sz w:val="21"/>
          <w:szCs w:val="21"/>
          <w:u w:val="single"/>
        </w:rPr>
        <w:t>En consecuencia remitase el acuerdo aprobado junto con su dictamen a</w:t>
      </w:r>
      <w:r>
        <w:rPr>
          <w:rFonts w:ascii="Abadi" w:hAnsi="Abadi"/>
          <w:b/>
          <w:bCs/>
          <w:i/>
          <w:iCs/>
          <w:sz w:val="21"/>
          <w:szCs w:val="21"/>
          <w:u w:val="single"/>
        </w:rPr>
        <w:t xml:space="preserve"> los Ayuntamientos del Estado </w:t>
      </w:r>
      <w:r w:rsidRPr="008A4327">
        <w:rPr>
          <w:rFonts w:ascii="Abadi" w:hAnsi="Abadi"/>
          <w:b/>
          <w:bCs/>
          <w:i/>
          <w:iCs/>
          <w:sz w:val="21"/>
          <w:szCs w:val="21"/>
          <w:u w:val="single"/>
        </w:rPr>
        <w:t>para los efectos conducentes.</w:t>
      </w:r>
    </w:p>
    <w:p w14:paraId="6C3F0F77" w14:textId="77777777" w:rsidR="00DC2947" w:rsidRDefault="00DC2947" w:rsidP="00E74450">
      <w:pPr>
        <w:jc w:val="center"/>
        <w:textAlignment w:val="baseline"/>
        <w:rPr>
          <w:rFonts w:ascii="Abadi" w:hAnsi="Abadi"/>
          <w:b/>
          <w:bCs/>
          <w:sz w:val="21"/>
          <w:szCs w:val="21"/>
          <w:lang w:eastAsia="es-MX"/>
        </w:rPr>
      </w:pPr>
    </w:p>
    <w:p w14:paraId="10E2CBC9" w14:textId="77777777" w:rsidR="00E74450" w:rsidRPr="00E74450" w:rsidRDefault="00E74450" w:rsidP="00E74450">
      <w:pPr>
        <w:jc w:val="center"/>
        <w:textAlignment w:val="baseline"/>
        <w:rPr>
          <w:rFonts w:ascii="Abadi" w:hAnsi="Abadi" w:cs="Segoe UI"/>
          <w:b/>
          <w:bCs/>
          <w:sz w:val="21"/>
          <w:szCs w:val="21"/>
          <w:lang w:eastAsia="es-MX"/>
        </w:rPr>
      </w:pPr>
    </w:p>
    <w:p w14:paraId="627F27DA" w14:textId="25B99004"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GOBERNACIÓN Y PUNTOS CONSTITUCIONALES RELATIVO A TRES INICIATIVAS LA PRIMERA, SUSCRITA POR LAS DIPUTADAS YULMA ROCHA AGUILAR, MARTHA LOURDES ORTEGA ROQUE Y DESSIRE ANGEL ROCHA POR LA QUE SE REFORMAN LOS ARTÍCULOS 46, 69 Y 111 DE LA CONSTITUCIÓN POLÍTICA PARA EL ESTADO DE GUANAJUATO; Y SE ADICIONA UN </w:t>
      </w:r>
      <w:r w:rsidRPr="00006796">
        <w:rPr>
          <w:rFonts w:ascii="Abadi" w:hAnsi="Abadi" w:cs="ArialMT"/>
          <w:b/>
          <w:bCs/>
          <w:sz w:val="21"/>
          <w:szCs w:val="21"/>
        </w:rPr>
        <w:t xml:space="preserve">ARTÍCULO 194 BIS A LA LEY DE INSTITUCIONES Y PROCEDIMIENTOS ELECTORALES PARA EL ESTADO DE GUANAJUATO, </w:t>
      </w:r>
      <w:r w:rsidRPr="00006796">
        <w:rPr>
          <w:rFonts w:ascii="Abadi" w:hAnsi="Abadi" w:cs="Arial-ItalicMT"/>
          <w:b/>
          <w:bCs/>
          <w:i/>
          <w:iCs/>
          <w:sz w:val="21"/>
          <w:szCs w:val="21"/>
        </w:rPr>
        <w:t xml:space="preserve">EN LA PARTE QUE CORRESPONDE AL PRIMERO DE LOS ORDENAMIENTOS; </w:t>
      </w:r>
      <w:r w:rsidRPr="00006796">
        <w:rPr>
          <w:rFonts w:ascii="Abadi" w:hAnsi="Abadi" w:cs="ArialMT"/>
          <w:b/>
          <w:bCs/>
          <w:sz w:val="21"/>
          <w:szCs w:val="21"/>
        </w:rPr>
        <w:t xml:space="preserve">LA SEGUNDA, FORMULADA POR LA DIPUTADA HADES BERENICE AGUILAR CASTILLO Y EL DIPUTADO DAVID MARTÍNEZ MENDIZÁBAL INTEGRANTES DEL GRUPO PARLAMENTARIO DEL PARTIDO MORENA A EFECTO DE ADICIONAR UNA FRACCIÓN VII AL ARTÍCULO 25, Y UNA FRACCIÓN IV AL ARTÍCULO 26, DE LA CONSTITUCIÓN POLÍTICA PARA EL ESTADO DE GUANAJUATO Y, LA TERCERA, DE REFORMAS Y ADICIONES A DIVERSOS ARTÍCULOS DE LA CONSTITUCIÓN POLÍTICA PARA EL ESTADO DE GUANAJUATO, </w:t>
      </w:r>
      <w:r w:rsidRPr="00006796">
        <w:rPr>
          <w:rFonts w:ascii="Abadi" w:hAnsi="Abadi" w:cs="Arial-ItalicMT"/>
          <w:b/>
          <w:bCs/>
          <w:i/>
          <w:iCs/>
          <w:sz w:val="21"/>
          <w:szCs w:val="21"/>
        </w:rPr>
        <w:t xml:space="preserve">EN MATERIA DE ARMONIZACIÓN SOBRE SUSPENSIÓN DE DERECHOS PARA OCUPAR UN CARGO, EMPLEO O COMISIÓN DEL SERVICIO PÚBLICO, </w:t>
      </w:r>
      <w:r w:rsidRPr="00006796">
        <w:rPr>
          <w:rFonts w:ascii="Abadi" w:hAnsi="Abadi" w:cs="ArialMT"/>
          <w:b/>
          <w:bCs/>
          <w:sz w:val="21"/>
          <w:szCs w:val="21"/>
        </w:rPr>
        <w:t xml:space="preserve">SUSCRITA POR LAS DIPUTADAS Y LOS DIPUTADOS INTEGRANTES DE LA COMISIÓN DE GOBERNACIÓN Y PUNTOS CONSTITUCIONALES, ASÍ COMO POR DIPUTADAS INTEGRANTES DE LA SEXAGÉSIMA QUINTA LEGISLATURA DEL CONGRESO DEL ESTADO DE GUANAJUATO. </w:t>
      </w:r>
      <w:r w:rsidRPr="00006796">
        <w:rPr>
          <w:rFonts w:ascii="Abadi" w:hAnsi="Abadi" w:cs="Arial-ItalicMT"/>
          <w:b/>
          <w:bCs/>
          <w:i/>
          <w:iCs/>
          <w:sz w:val="21"/>
          <w:szCs w:val="21"/>
        </w:rPr>
        <w:t>(ELD 182A/LXV-I, ELD 449/LXV-I Y ELD 507/LXV-I).</w:t>
      </w:r>
      <w:r w:rsidR="004F530E">
        <w:rPr>
          <w:rStyle w:val="Refdenotaalpie"/>
          <w:rFonts w:ascii="Abadi" w:hAnsi="Abadi" w:cs="Arial-ItalicMT"/>
          <w:b/>
          <w:bCs/>
          <w:i/>
          <w:iCs/>
          <w:sz w:val="21"/>
          <w:szCs w:val="21"/>
        </w:rPr>
        <w:footnoteReference w:id="113"/>
      </w:r>
    </w:p>
    <w:p w14:paraId="7EC56B1B" w14:textId="77777777" w:rsidR="00427BD6" w:rsidRDefault="00427BD6" w:rsidP="00427BD6">
      <w:pPr>
        <w:autoSpaceDE w:val="0"/>
        <w:autoSpaceDN w:val="0"/>
        <w:adjustRightInd w:val="0"/>
        <w:contextualSpacing/>
        <w:jc w:val="both"/>
        <w:rPr>
          <w:rFonts w:ascii="Abadi" w:hAnsi="Abadi" w:cs="Arial-ItalicMT"/>
          <w:b/>
          <w:bCs/>
          <w:i/>
          <w:iCs/>
          <w:sz w:val="21"/>
          <w:szCs w:val="21"/>
        </w:rPr>
      </w:pPr>
    </w:p>
    <w:p w14:paraId="2D09B5E4" w14:textId="77777777" w:rsidR="00427BD6" w:rsidRPr="00947EC7" w:rsidRDefault="00427BD6" w:rsidP="00427BD6">
      <w:pPr>
        <w:pStyle w:val="Textoindependiente"/>
        <w:rPr>
          <w:rFonts w:ascii="Abadi" w:eastAsia="Arial Unicode MS" w:hAnsi="Abadi"/>
          <w:b w:val="0"/>
          <w:sz w:val="21"/>
          <w:szCs w:val="21"/>
          <w:lang w:val="es-MX"/>
        </w:rPr>
      </w:pPr>
      <w:r w:rsidRPr="00947EC7">
        <w:rPr>
          <w:rFonts w:ascii="Abadi" w:eastAsia="Arial Unicode MS" w:hAnsi="Abadi"/>
          <w:sz w:val="21"/>
          <w:szCs w:val="21"/>
          <w:lang w:val="es-MX"/>
        </w:rPr>
        <w:t>DIPUTADA LAURA CRISTINA MÁRQUEZ ALCALÁ</w:t>
      </w:r>
    </w:p>
    <w:p w14:paraId="6893B5C8" w14:textId="77777777" w:rsidR="00427BD6" w:rsidRPr="00947EC7" w:rsidRDefault="00427BD6" w:rsidP="00427BD6">
      <w:pPr>
        <w:pStyle w:val="Textoindependiente"/>
        <w:rPr>
          <w:rFonts w:ascii="Abadi" w:eastAsia="Arial Unicode MS" w:hAnsi="Abadi"/>
          <w:b w:val="0"/>
          <w:sz w:val="21"/>
          <w:szCs w:val="21"/>
          <w:lang w:val="es-MX"/>
        </w:rPr>
      </w:pPr>
      <w:r w:rsidRPr="00947EC7">
        <w:rPr>
          <w:rFonts w:ascii="Abadi" w:eastAsia="Arial Unicode MS" w:hAnsi="Abadi"/>
          <w:sz w:val="21"/>
          <w:szCs w:val="21"/>
          <w:lang w:val="es-MX"/>
        </w:rPr>
        <w:t>PRESIDENTA DEL CONGRESO DEL ESTADO</w:t>
      </w:r>
    </w:p>
    <w:p w14:paraId="05B19E37" w14:textId="77777777" w:rsidR="00427BD6" w:rsidRPr="00947EC7" w:rsidRDefault="00427BD6" w:rsidP="00427BD6">
      <w:pPr>
        <w:pStyle w:val="Textoindependiente"/>
        <w:rPr>
          <w:rFonts w:ascii="Abadi" w:eastAsia="Arial Unicode MS" w:hAnsi="Abadi"/>
          <w:b w:val="0"/>
          <w:sz w:val="21"/>
          <w:szCs w:val="21"/>
          <w:lang w:val="es-MX"/>
        </w:rPr>
      </w:pPr>
      <w:r w:rsidRPr="00947EC7">
        <w:rPr>
          <w:rFonts w:ascii="Abadi" w:eastAsia="Arial Unicode MS" w:hAnsi="Abadi"/>
          <w:sz w:val="21"/>
          <w:szCs w:val="21"/>
          <w:lang w:val="es-MX"/>
        </w:rPr>
        <w:t>P R E S E N T E .</w:t>
      </w:r>
    </w:p>
    <w:p w14:paraId="0A0F4E52" w14:textId="77777777" w:rsidR="00427BD6" w:rsidRPr="00947EC7" w:rsidRDefault="00427BD6" w:rsidP="00427BD6">
      <w:pPr>
        <w:pStyle w:val="Textoindependiente"/>
        <w:ind w:firstLine="708"/>
        <w:rPr>
          <w:rFonts w:ascii="Abadi" w:eastAsia="Arial Unicode MS" w:hAnsi="Abadi"/>
          <w:sz w:val="21"/>
          <w:szCs w:val="21"/>
          <w:lang w:val="es-MX"/>
        </w:rPr>
      </w:pPr>
    </w:p>
    <w:p w14:paraId="083C44F5" w14:textId="77777777" w:rsidR="00427BD6" w:rsidRPr="007B30EF" w:rsidRDefault="00427BD6" w:rsidP="00EF7206">
      <w:pPr>
        <w:pStyle w:val="Textoindependiente"/>
        <w:ind w:firstLine="708"/>
        <w:rPr>
          <w:rFonts w:ascii="Abadi" w:hAnsi="Abadi"/>
          <w:b w:val="0"/>
          <w:bCs w:val="0"/>
          <w:iCs/>
          <w:sz w:val="21"/>
          <w:szCs w:val="21"/>
          <w:lang w:val="es-ES_tradnl"/>
        </w:rPr>
      </w:pPr>
      <w:r w:rsidRPr="007B30EF">
        <w:rPr>
          <w:rFonts w:ascii="Abadi" w:eastAsia="Arial Unicode MS" w:hAnsi="Abadi"/>
          <w:b w:val="0"/>
          <w:bCs w:val="0"/>
          <w:sz w:val="21"/>
          <w:szCs w:val="21"/>
          <w:lang w:val="es-MX"/>
        </w:rPr>
        <w:t xml:space="preserve">La Comisión de Gobernación y Puntos Constitucionales recibimos para efecto de estudio y dictamen tres iniciativas, la primera </w:t>
      </w:r>
      <w:r w:rsidRPr="007B30EF">
        <w:rPr>
          <w:rFonts w:ascii="Abadi" w:hAnsi="Abadi"/>
          <w:b w:val="0"/>
          <w:bCs w:val="0"/>
          <w:iCs/>
          <w:sz w:val="21"/>
          <w:szCs w:val="21"/>
          <w:lang w:val="es-ES_tradnl"/>
        </w:rPr>
        <w:t xml:space="preserve">suscrita por las diputadas Yulma Rocha Aguilar, Martha Lourdes Ortega Roque y Dessire </w:t>
      </w:r>
      <w:proofErr w:type="spellStart"/>
      <w:r w:rsidRPr="007B30EF">
        <w:rPr>
          <w:rFonts w:ascii="Abadi" w:hAnsi="Abadi"/>
          <w:b w:val="0"/>
          <w:bCs w:val="0"/>
          <w:iCs/>
          <w:sz w:val="21"/>
          <w:szCs w:val="21"/>
          <w:lang w:val="es-ES_tradnl"/>
        </w:rPr>
        <w:t>Angel</w:t>
      </w:r>
      <w:proofErr w:type="spellEnd"/>
      <w:r w:rsidRPr="007B30EF">
        <w:rPr>
          <w:rFonts w:ascii="Abadi" w:hAnsi="Abadi"/>
          <w:b w:val="0"/>
          <w:bCs w:val="0"/>
          <w:iCs/>
          <w:sz w:val="21"/>
          <w:szCs w:val="21"/>
          <w:lang w:val="es-ES_tradnl"/>
        </w:rPr>
        <w:t xml:space="preserve"> Rocha por la que se reforman los artículos 46, 69 y 111 de la Constitución Política para el Estado de Guanajuato; y se adiciona un artículo 194 Bis a la Ley de Instituciones y Procedimientos Electorales para el Estado de Guanajuato, </w:t>
      </w:r>
      <w:r w:rsidRPr="007B30EF">
        <w:rPr>
          <w:rFonts w:ascii="Abadi" w:hAnsi="Abadi"/>
          <w:b w:val="0"/>
          <w:bCs w:val="0"/>
          <w:i/>
          <w:sz w:val="21"/>
          <w:szCs w:val="21"/>
          <w:lang w:val="es-ES_tradnl"/>
        </w:rPr>
        <w:t>en la parte que corresponde al primero de los ordenamientos</w:t>
      </w:r>
      <w:r w:rsidRPr="007B30EF">
        <w:rPr>
          <w:rFonts w:ascii="Abadi" w:hAnsi="Abadi"/>
          <w:b w:val="0"/>
          <w:bCs w:val="0"/>
          <w:iCs/>
          <w:sz w:val="21"/>
          <w:szCs w:val="21"/>
          <w:lang w:val="es-ES_tradnl"/>
        </w:rPr>
        <w:t xml:space="preserve">, la segunda formulada por la diputada Hades Berenice Aguilar Castillo y el diputado David </w:t>
      </w:r>
      <w:r w:rsidRPr="007B30EF">
        <w:rPr>
          <w:rFonts w:ascii="Abadi" w:hAnsi="Abadi"/>
          <w:b w:val="0"/>
          <w:bCs w:val="0"/>
          <w:iCs/>
          <w:sz w:val="21"/>
          <w:szCs w:val="21"/>
          <w:lang w:val="es-ES_tradnl"/>
        </w:rPr>
        <w:lastRenderedPageBreak/>
        <w:t xml:space="preserve">Martínez Mendizábal integrantes del Grupo Parlamentario del Partido MORENA a efecto de adicionar una fracción VII al artículo 25, y una fracción IV al artículo 26, de la Constitución Política para el Estado de Guanajuato y, la tercera de reformas y adiciones a diversos artículos de la Constitución Política para el Estado de Guanajuato, </w:t>
      </w:r>
      <w:r w:rsidRPr="007B30EF">
        <w:rPr>
          <w:rFonts w:ascii="Abadi" w:hAnsi="Abadi"/>
          <w:b w:val="0"/>
          <w:bCs w:val="0"/>
          <w:i/>
          <w:sz w:val="21"/>
          <w:szCs w:val="21"/>
          <w:lang w:val="es-ES_tradnl"/>
        </w:rPr>
        <w:t>en materia de armonización sobre suspensión de derechos para ocupar un cargo, empleo o comisión del servicio público</w:t>
      </w:r>
      <w:r w:rsidRPr="007B30EF">
        <w:rPr>
          <w:rFonts w:ascii="Abadi" w:hAnsi="Abadi"/>
          <w:b w:val="0"/>
          <w:bCs w:val="0"/>
          <w:iCs/>
          <w:sz w:val="21"/>
          <w:szCs w:val="21"/>
          <w:lang w:val="es-ES_tradnl"/>
        </w:rPr>
        <w:t>, suscrita por las diputadas y los diputados integrantes de la Comisión de Gobernación y Puntos Constitucionales, así como por diputadas integrantes de la Sexagésima Quinta Legislatura del Congreso del Estado de Guanajuato.</w:t>
      </w:r>
    </w:p>
    <w:p w14:paraId="0B2E2214" w14:textId="77777777" w:rsidR="00427BD6" w:rsidRPr="007B30EF" w:rsidRDefault="00427BD6" w:rsidP="00EF7206">
      <w:pPr>
        <w:pStyle w:val="Textoindependiente"/>
        <w:ind w:firstLine="708"/>
        <w:rPr>
          <w:rFonts w:ascii="Abadi" w:eastAsia="Arial Unicode MS" w:hAnsi="Abadi"/>
          <w:b w:val="0"/>
          <w:bCs w:val="0"/>
          <w:sz w:val="21"/>
          <w:szCs w:val="21"/>
          <w:lang w:val="es-MX"/>
        </w:rPr>
      </w:pPr>
    </w:p>
    <w:p w14:paraId="03DE2027" w14:textId="77777777" w:rsidR="00427BD6" w:rsidRPr="007B30EF" w:rsidRDefault="00427BD6" w:rsidP="00EF7206">
      <w:pPr>
        <w:pStyle w:val="Textoindependiente"/>
        <w:ind w:firstLine="708"/>
        <w:rPr>
          <w:rFonts w:ascii="Abadi" w:eastAsia="Arial Unicode MS" w:hAnsi="Abadi"/>
          <w:b w:val="0"/>
          <w:bCs w:val="0"/>
          <w:sz w:val="21"/>
          <w:szCs w:val="21"/>
          <w:lang w:val="es-MX"/>
        </w:rPr>
      </w:pPr>
      <w:r w:rsidRPr="007B30EF">
        <w:rPr>
          <w:rFonts w:ascii="Abadi" w:eastAsia="Arial Unicode MS" w:hAnsi="Abadi"/>
          <w:b w:val="0"/>
          <w:bCs w:val="0"/>
          <w:sz w:val="21"/>
          <w:szCs w:val="21"/>
          <w:lang w:val="es-MX"/>
        </w:rPr>
        <w:t>Analizadas las iniciativas, esta Comisión Legislativa de conformidad con las atribuciones que le confieren los artículos 89 fracción V, 111 fracción I y 171 de la Ley Orgánica del Poder Legislativo del Estado de Guanajuato, formula a la Asamblea el siguiente:</w:t>
      </w:r>
    </w:p>
    <w:p w14:paraId="7B842532" w14:textId="77777777" w:rsidR="00427BD6" w:rsidRPr="007B30EF" w:rsidRDefault="00427BD6" w:rsidP="00EF7206">
      <w:pPr>
        <w:pStyle w:val="Textoindependiente"/>
        <w:ind w:firstLine="708"/>
        <w:rPr>
          <w:rFonts w:ascii="Abadi" w:eastAsia="Arial Unicode MS" w:hAnsi="Abadi"/>
          <w:b w:val="0"/>
          <w:bCs w:val="0"/>
          <w:sz w:val="21"/>
          <w:szCs w:val="21"/>
          <w:lang w:val="es-MX"/>
        </w:rPr>
      </w:pPr>
    </w:p>
    <w:p w14:paraId="1793F5BD" w14:textId="77777777" w:rsidR="00427BD6" w:rsidRPr="007B30EF" w:rsidRDefault="00427BD6" w:rsidP="00EF7206">
      <w:pPr>
        <w:pStyle w:val="Textoindependiente"/>
        <w:jc w:val="center"/>
        <w:rPr>
          <w:rFonts w:ascii="Abadi" w:eastAsia="Arial Unicode MS" w:hAnsi="Abadi"/>
          <w:b w:val="0"/>
          <w:bCs w:val="0"/>
          <w:sz w:val="21"/>
          <w:szCs w:val="21"/>
          <w:lang w:val="es-MX"/>
        </w:rPr>
      </w:pPr>
    </w:p>
    <w:p w14:paraId="22470FD4" w14:textId="77777777" w:rsidR="00427BD6" w:rsidRPr="007B30EF" w:rsidRDefault="00427BD6" w:rsidP="00EF7206">
      <w:pPr>
        <w:pStyle w:val="Textoindependiente"/>
        <w:jc w:val="center"/>
        <w:rPr>
          <w:rFonts w:ascii="Abadi" w:eastAsia="Arial Unicode MS" w:hAnsi="Abadi"/>
          <w:sz w:val="21"/>
          <w:szCs w:val="21"/>
          <w:lang w:val="es-MX"/>
        </w:rPr>
      </w:pPr>
      <w:r w:rsidRPr="007B30EF">
        <w:rPr>
          <w:rFonts w:ascii="Abadi" w:eastAsia="Arial Unicode MS" w:hAnsi="Abadi"/>
          <w:sz w:val="21"/>
          <w:szCs w:val="21"/>
          <w:lang w:val="es-MX"/>
        </w:rPr>
        <w:t>D I C T A M E N</w:t>
      </w:r>
    </w:p>
    <w:p w14:paraId="1B370C63" w14:textId="77777777" w:rsidR="00427BD6" w:rsidRPr="007B30EF" w:rsidRDefault="00427BD6" w:rsidP="00EF7206">
      <w:pPr>
        <w:pStyle w:val="Textoindependiente"/>
        <w:ind w:firstLine="708"/>
        <w:rPr>
          <w:rFonts w:ascii="Abadi" w:eastAsia="Arial Unicode MS" w:hAnsi="Abadi"/>
          <w:sz w:val="21"/>
          <w:szCs w:val="21"/>
          <w:lang w:val="es-MX"/>
        </w:rPr>
      </w:pPr>
    </w:p>
    <w:p w14:paraId="29E2F9AC" w14:textId="77777777" w:rsidR="00427BD6" w:rsidRPr="007B30EF" w:rsidRDefault="00427BD6" w:rsidP="00EF7206">
      <w:pPr>
        <w:rPr>
          <w:rFonts w:ascii="Abadi" w:eastAsia="Batang" w:hAnsi="Abadi" w:cs="Arial"/>
          <w:b/>
          <w:bCs/>
          <w:sz w:val="21"/>
          <w:szCs w:val="21"/>
        </w:rPr>
      </w:pPr>
      <w:r w:rsidRPr="007B30EF">
        <w:rPr>
          <w:rFonts w:ascii="Abadi" w:eastAsia="Batang" w:hAnsi="Abadi" w:cs="Arial"/>
          <w:b/>
          <w:bCs/>
          <w:smallCaps/>
          <w:sz w:val="21"/>
          <w:szCs w:val="21"/>
        </w:rPr>
        <w:t>I.</w:t>
      </w:r>
      <w:r w:rsidRPr="007B30EF">
        <w:rPr>
          <w:rFonts w:ascii="Abadi" w:eastAsia="Batang" w:hAnsi="Abadi" w:cs="Arial"/>
          <w:b/>
          <w:bCs/>
          <w:smallCaps/>
          <w:sz w:val="21"/>
          <w:szCs w:val="21"/>
        </w:rPr>
        <w:tab/>
      </w:r>
      <w:r w:rsidRPr="007B30EF">
        <w:rPr>
          <w:rFonts w:ascii="Abadi" w:eastAsia="Batang" w:hAnsi="Abadi" w:cs="Arial"/>
          <w:b/>
          <w:bCs/>
          <w:sz w:val="21"/>
          <w:szCs w:val="21"/>
        </w:rPr>
        <w:t>Del Proceso Legislativo</w:t>
      </w:r>
    </w:p>
    <w:p w14:paraId="03910ECF" w14:textId="77777777" w:rsidR="00427BD6" w:rsidRPr="007B30EF" w:rsidRDefault="00427BD6" w:rsidP="00EF7206">
      <w:pPr>
        <w:rPr>
          <w:rFonts w:ascii="Abadi" w:eastAsia="Batang" w:hAnsi="Abadi" w:cs="Arial"/>
          <w:b/>
          <w:bCs/>
          <w:sz w:val="21"/>
          <w:szCs w:val="21"/>
        </w:rPr>
      </w:pPr>
    </w:p>
    <w:p w14:paraId="6EF1CE13" w14:textId="77777777" w:rsidR="00427BD6" w:rsidRPr="007B30EF" w:rsidRDefault="00427BD6" w:rsidP="00EF7206">
      <w:pPr>
        <w:pStyle w:val="Prrafodelista"/>
        <w:widowControl w:val="0"/>
        <w:tabs>
          <w:tab w:val="center" w:pos="4419"/>
          <w:tab w:val="right" w:pos="8838"/>
        </w:tabs>
        <w:ind w:left="0"/>
        <w:jc w:val="both"/>
        <w:rPr>
          <w:rFonts w:ascii="Abadi" w:hAnsi="Abadi"/>
          <w:i/>
          <w:sz w:val="21"/>
          <w:szCs w:val="21"/>
          <w:lang w:val="es-ES_tradnl"/>
        </w:rPr>
      </w:pPr>
      <w:r w:rsidRPr="007B30EF">
        <w:rPr>
          <w:rFonts w:ascii="Abadi" w:eastAsia="Batang" w:hAnsi="Abadi" w:cs="Arial"/>
          <w:sz w:val="21"/>
          <w:szCs w:val="21"/>
        </w:rPr>
        <w:t xml:space="preserve">I.1. </w:t>
      </w:r>
      <w:r w:rsidRPr="007B30EF">
        <w:rPr>
          <w:rFonts w:ascii="Abadi" w:eastAsia="Arial Unicode MS" w:hAnsi="Abadi"/>
          <w:sz w:val="21"/>
          <w:szCs w:val="21"/>
        </w:rPr>
        <w:t xml:space="preserve">En sesión del 10 de marzo de 2022 ingresó la iniciativa </w:t>
      </w:r>
      <w:r w:rsidRPr="007B30EF">
        <w:rPr>
          <w:rFonts w:ascii="Abadi" w:eastAsia="Arial Unicode MS" w:hAnsi="Abadi"/>
          <w:i/>
          <w:iCs/>
          <w:sz w:val="21"/>
          <w:szCs w:val="21"/>
        </w:rPr>
        <w:t xml:space="preserve">con el ELD </w:t>
      </w:r>
      <w:r w:rsidRPr="007B30EF">
        <w:rPr>
          <w:rFonts w:ascii="Abadi" w:hAnsi="Abadi"/>
          <w:i/>
          <w:sz w:val="21"/>
          <w:szCs w:val="21"/>
          <w:lang w:val="es-ES_tradnl"/>
        </w:rPr>
        <w:t>182A/LXV-I</w:t>
      </w:r>
    </w:p>
    <w:p w14:paraId="4D7B958E" w14:textId="77777777" w:rsidR="00427BD6" w:rsidRPr="007B30EF" w:rsidRDefault="00427BD6" w:rsidP="00EF7206">
      <w:pPr>
        <w:pStyle w:val="Textoindependiente"/>
        <w:rPr>
          <w:rFonts w:ascii="Abadi" w:eastAsia="Arial Unicode MS" w:hAnsi="Abadi"/>
          <w:b w:val="0"/>
          <w:bCs w:val="0"/>
          <w:sz w:val="21"/>
          <w:szCs w:val="21"/>
        </w:rPr>
      </w:pPr>
      <w:r w:rsidRPr="007B30EF">
        <w:rPr>
          <w:rFonts w:ascii="Abadi" w:hAnsi="Abadi"/>
          <w:b w:val="0"/>
          <w:bCs w:val="0"/>
          <w:iCs/>
          <w:sz w:val="21"/>
          <w:szCs w:val="21"/>
          <w:lang w:val="es-ES_tradnl"/>
        </w:rPr>
        <w:t xml:space="preserve">suscrita por las diputadas Yulma Rocha Aguilar, Martha Lourdes Ortega Roque y Dessire </w:t>
      </w:r>
      <w:proofErr w:type="spellStart"/>
      <w:r w:rsidRPr="007B30EF">
        <w:rPr>
          <w:rFonts w:ascii="Abadi" w:hAnsi="Abadi"/>
          <w:b w:val="0"/>
          <w:bCs w:val="0"/>
          <w:iCs/>
          <w:sz w:val="21"/>
          <w:szCs w:val="21"/>
          <w:lang w:val="es-ES_tradnl"/>
        </w:rPr>
        <w:t>Angel</w:t>
      </w:r>
      <w:proofErr w:type="spellEnd"/>
      <w:r w:rsidRPr="007B30EF">
        <w:rPr>
          <w:rFonts w:ascii="Abadi" w:hAnsi="Abadi"/>
          <w:b w:val="0"/>
          <w:bCs w:val="0"/>
          <w:iCs/>
          <w:sz w:val="21"/>
          <w:szCs w:val="21"/>
          <w:lang w:val="es-ES_tradnl"/>
        </w:rPr>
        <w:t xml:space="preserve"> Rocha por la que se reforman los artículos 46, 69 y 111 de la Constitución Política para el Estado de Guanajuato; y se adiciona un artículo 194 Bis a la Ley de Instituciones y Procedimientos Electorales para el Estado de Guanajuato, </w:t>
      </w:r>
      <w:r w:rsidRPr="007B30EF">
        <w:rPr>
          <w:rFonts w:ascii="Abadi" w:hAnsi="Abadi"/>
          <w:b w:val="0"/>
          <w:bCs w:val="0"/>
          <w:i/>
          <w:sz w:val="21"/>
          <w:szCs w:val="21"/>
          <w:lang w:val="es-ES_tradnl"/>
        </w:rPr>
        <w:t>en la parte que corresponde al primero de los ordenamientos</w:t>
      </w:r>
      <w:r w:rsidRPr="007B30EF">
        <w:rPr>
          <w:rFonts w:ascii="Abadi" w:eastAsia="Arial Unicode MS" w:hAnsi="Abadi"/>
          <w:b w:val="0"/>
          <w:bCs w:val="0"/>
          <w:sz w:val="21"/>
          <w:szCs w:val="21"/>
          <w:lang w:val="es-MX"/>
        </w:rPr>
        <w:t xml:space="preserve">. </w:t>
      </w:r>
    </w:p>
    <w:p w14:paraId="19253CBC" w14:textId="77777777" w:rsidR="00427BD6" w:rsidRPr="007B30EF" w:rsidRDefault="00427BD6" w:rsidP="00EF7206">
      <w:pPr>
        <w:pStyle w:val="Textoindependiente"/>
        <w:rPr>
          <w:rFonts w:ascii="Abadi" w:eastAsia="Arial Unicode MS" w:hAnsi="Abadi"/>
          <w:b w:val="0"/>
          <w:bCs w:val="0"/>
          <w:sz w:val="21"/>
          <w:szCs w:val="21"/>
        </w:rPr>
      </w:pPr>
    </w:p>
    <w:p w14:paraId="4497AB19" w14:textId="77777777" w:rsidR="00427BD6" w:rsidRPr="001E6114" w:rsidRDefault="00427BD6" w:rsidP="00EF7206">
      <w:pPr>
        <w:pStyle w:val="Textoindependiente"/>
        <w:rPr>
          <w:rFonts w:ascii="Abadi" w:eastAsia="Arial Unicode MS" w:hAnsi="Abadi"/>
          <w:b w:val="0"/>
          <w:bCs w:val="0"/>
          <w:sz w:val="21"/>
          <w:szCs w:val="21"/>
        </w:rPr>
      </w:pPr>
      <w:r w:rsidRPr="007B30EF">
        <w:rPr>
          <w:rFonts w:ascii="Abadi" w:eastAsia="Arial Unicode MS" w:hAnsi="Abadi"/>
          <w:b w:val="0"/>
          <w:bCs w:val="0"/>
          <w:sz w:val="21"/>
          <w:szCs w:val="21"/>
        </w:rPr>
        <w:t xml:space="preserve">I.2. Posteriormente, en sesión ordinaria del 9 de marzo de 2023 ingresó la iniciativa con el </w:t>
      </w:r>
      <w:r w:rsidRPr="007B30EF">
        <w:rPr>
          <w:rFonts w:ascii="Abadi" w:eastAsia="Arial Unicode MS" w:hAnsi="Abadi"/>
          <w:b w:val="0"/>
          <w:bCs w:val="0"/>
          <w:i/>
          <w:iCs/>
          <w:sz w:val="21"/>
          <w:szCs w:val="21"/>
        </w:rPr>
        <w:t xml:space="preserve">ELD 449/LXV-I </w:t>
      </w:r>
      <w:r w:rsidRPr="007B30EF">
        <w:rPr>
          <w:rFonts w:ascii="Abadi" w:eastAsia="Arial Unicode MS" w:hAnsi="Abadi"/>
          <w:b w:val="0"/>
          <w:bCs w:val="0"/>
          <w:sz w:val="21"/>
          <w:szCs w:val="21"/>
        </w:rPr>
        <w:t>formulada por la diputada Hades Berenice Aguilar Castillo y el diputado David Martínez Mendizábal integrantes del Grupo Parlamentario del Partido MORENA a</w:t>
      </w:r>
      <w:r w:rsidRPr="00947EC7">
        <w:rPr>
          <w:rFonts w:ascii="Abadi" w:eastAsia="Arial Unicode MS" w:hAnsi="Abadi"/>
          <w:sz w:val="21"/>
          <w:szCs w:val="21"/>
        </w:rPr>
        <w:t xml:space="preserve"> </w:t>
      </w:r>
      <w:r w:rsidRPr="001E6114">
        <w:rPr>
          <w:rFonts w:ascii="Abadi" w:eastAsia="Arial Unicode MS" w:hAnsi="Abadi"/>
          <w:b w:val="0"/>
          <w:bCs w:val="0"/>
          <w:sz w:val="21"/>
          <w:szCs w:val="21"/>
        </w:rPr>
        <w:t xml:space="preserve">efecto de adicionar una fracción VII al artículo 25, y una fracción IV al artículo 26, de la Constitución Política para el Estado de Guanajuato. </w:t>
      </w:r>
    </w:p>
    <w:p w14:paraId="098BBDC5" w14:textId="77777777" w:rsidR="00427BD6" w:rsidRPr="001E6114" w:rsidRDefault="00427BD6" w:rsidP="00EF7206">
      <w:pPr>
        <w:pStyle w:val="Textoindependiente"/>
        <w:rPr>
          <w:rFonts w:ascii="Abadi" w:eastAsia="Arial Unicode MS" w:hAnsi="Abadi"/>
          <w:b w:val="0"/>
          <w:bCs w:val="0"/>
          <w:sz w:val="21"/>
          <w:szCs w:val="21"/>
        </w:rPr>
      </w:pPr>
    </w:p>
    <w:p w14:paraId="50FBE051" w14:textId="77777777" w:rsidR="00427BD6" w:rsidRPr="001E6114" w:rsidRDefault="00427BD6" w:rsidP="00EF7206">
      <w:pPr>
        <w:pStyle w:val="Textoindependiente"/>
        <w:rPr>
          <w:rFonts w:ascii="Abadi" w:eastAsia="Arial Unicode MS" w:hAnsi="Abadi"/>
          <w:b w:val="0"/>
          <w:bCs w:val="0"/>
          <w:sz w:val="21"/>
          <w:szCs w:val="21"/>
        </w:rPr>
      </w:pPr>
      <w:r w:rsidRPr="001E6114">
        <w:rPr>
          <w:rFonts w:ascii="Abadi" w:eastAsia="Arial Unicode MS" w:hAnsi="Abadi"/>
          <w:b w:val="0"/>
          <w:bCs w:val="0"/>
          <w:sz w:val="21"/>
          <w:szCs w:val="21"/>
        </w:rPr>
        <w:t xml:space="preserve">I.3. Acto seguido, en sesión ordinaria del 25 de mayo de 2023 ingresó la iniciativa con el </w:t>
      </w:r>
      <w:r w:rsidRPr="001E6114">
        <w:rPr>
          <w:rFonts w:ascii="Abadi" w:eastAsia="Arial Unicode MS" w:hAnsi="Abadi"/>
          <w:b w:val="0"/>
          <w:bCs w:val="0"/>
          <w:i/>
          <w:iCs/>
          <w:sz w:val="21"/>
          <w:szCs w:val="21"/>
        </w:rPr>
        <w:t xml:space="preserve">ELD 507/LXV-I </w:t>
      </w:r>
      <w:r w:rsidRPr="001E6114">
        <w:rPr>
          <w:rFonts w:ascii="Abadi" w:hAnsi="Abadi"/>
          <w:b w:val="0"/>
          <w:bCs w:val="0"/>
          <w:iCs/>
          <w:sz w:val="21"/>
          <w:szCs w:val="21"/>
          <w:lang w:val="es-ES_tradnl"/>
        </w:rPr>
        <w:t xml:space="preserve">de reformas y adiciones a diversos artículos de la Constitución Política para el Estado de Guanajuato, </w:t>
      </w:r>
      <w:r w:rsidRPr="001E6114">
        <w:rPr>
          <w:rFonts w:ascii="Abadi" w:hAnsi="Abadi"/>
          <w:b w:val="0"/>
          <w:bCs w:val="0"/>
          <w:i/>
          <w:sz w:val="21"/>
          <w:szCs w:val="21"/>
          <w:lang w:val="es-ES_tradnl"/>
        </w:rPr>
        <w:t>en materia de armonización sobre suspensión de derechos para ocupar un cargo, empleo o comisión del servicio público</w:t>
      </w:r>
      <w:r w:rsidRPr="001E6114">
        <w:rPr>
          <w:rFonts w:ascii="Abadi" w:hAnsi="Abadi"/>
          <w:b w:val="0"/>
          <w:bCs w:val="0"/>
          <w:iCs/>
          <w:sz w:val="21"/>
          <w:szCs w:val="21"/>
          <w:lang w:val="es-ES_tradnl"/>
        </w:rPr>
        <w:t>, suscrita por las diputadas y los diputados integrantes de la Comisión de Gobernación y Puntos Constitucionales, así como por diputadas integrantes de la Sexagésima Quinta Legislatura del Congreso del Estado de Guanajuato.</w:t>
      </w:r>
    </w:p>
    <w:p w14:paraId="69D974A4" w14:textId="77777777" w:rsidR="00427BD6" w:rsidRPr="001E6114" w:rsidRDefault="00427BD6" w:rsidP="00EF7206">
      <w:pPr>
        <w:pStyle w:val="Textoindependiente"/>
        <w:rPr>
          <w:rFonts w:ascii="Abadi" w:eastAsia="Arial Unicode MS" w:hAnsi="Abadi"/>
          <w:b w:val="0"/>
          <w:bCs w:val="0"/>
          <w:sz w:val="21"/>
          <w:szCs w:val="21"/>
        </w:rPr>
      </w:pPr>
    </w:p>
    <w:p w14:paraId="565CA306" w14:textId="77777777" w:rsidR="00427BD6" w:rsidRPr="001E6114" w:rsidRDefault="00427BD6" w:rsidP="00EF7206">
      <w:pPr>
        <w:pStyle w:val="Textoindependiente"/>
        <w:rPr>
          <w:rFonts w:ascii="Abadi" w:eastAsia="Arial Unicode MS" w:hAnsi="Abadi"/>
          <w:b w:val="0"/>
          <w:bCs w:val="0"/>
          <w:sz w:val="21"/>
          <w:szCs w:val="21"/>
        </w:rPr>
      </w:pPr>
      <w:r w:rsidRPr="001E6114">
        <w:rPr>
          <w:rFonts w:ascii="Abadi" w:eastAsia="Arial Unicode MS" w:hAnsi="Abadi"/>
          <w:b w:val="0"/>
          <w:bCs w:val="0"/>
          <w:sz w:val="21"/>
          <w:szCs w:val="21"/>
          <w:lang w:val="es-MX"/>
        </w:rPr>
        <w:t>T</w:t>
      </w:r>
      <w:proofErr w:type="spellStart"/>
      <w:r w:rsidRPr="001E6114">
        <w:rPr>
          <w:rFonts w:ascii="Abadi" w:eastAsia="Arial Unicode MS" w:hAnsi="Abadi"/>
          <w:b w:val="0"/>
          <w:bCs w:val="0"/>
          <w:sz w:val="21"/>
          <w:szCs w:val="21"/>
        </w:rPr>
        <w:t>urnándose</w:t>
      </w:r>
      <w:proofErr w:type="spellEnd"/>
      <w:r w:rsidRPr="001E6114">
        <w:rPr>
          <w:rFonts w:ascii="Abadi" w:eastAsia="Arial Unicode MS" w:hAnsi="Abadi"/>
          <w:b w:val="0"/>
          <w:bCs w:val="0"/>
          <w:sz w:val="21"/>
          <w:szCs w:val="21"/>
        </w:rPr>
        <w:t xml:space="preserve"> las tres por la presidencia del Congreso a la Comisión de Gobernación y Puntos Constitucionales, con fundamento en lo dispuesto por el artículo 111, fracción I de la Ley Orgánica del Poder Legislativo del Estado de Guanajuato, para su estudio y dictamen.</w:t>
      </w:r>
    </w:p>
    <w:p w14:paraId="3AE70927" w14:textId="77777777" w:rsidR="00427BD6" w:rsidRPr="001E6114" w:rsidRDefault="00427BD6" w:rsidP="00EF7206">
      <w:pPr>
        <w:pStyle w:val="Textoindependiente"/>
        <w:rPr>
          <w:rFonts w:ascii="Abadi" w:eastAsia="Arial Unicode MS" w:hAnsi="Abadi"/>
          <w:b w:val="0"/>
          <w:bCs w:val="0"/>
          <w:sz w:val="21"/>
          <w:szCs w:val="21"/>
        </w:rPr>
      </w:pPr>
    </w:p>
    <w:p w14:paraId="4C56ED31" w14:textId="77777777" w:rsidR="00427BD6" w:rsidRPr="001E6114" w:rsidRDefault="00427BD6" w:rsidP="00EF7206">
      <w:pPr>
        <w:jc w:val="both"/>
        <w:rPr>
          <w:rFonts w:ascii="Abadi" w:eastAsia="Batang" w:hAnsi="Abadi" w:cs="Arial"/>
          <w:sz w:val="21"/>
          <w:szCs w:val="21"/>
        </w:rPr>
      </w:pPr>
      <w:r w:rsidRPr="001E6114">
        <w:rPr>
          <w:rFonts w:ascii="Abadi" w:eastAsia="Arial Unicode MS" w:hAnsi="Abadi"/>
          <w:sz w:val="21"/>
          <w:szCs w:val="21"/>
        </w:rPr>
        <w:t xml:space="preserve">I.4. </w:t>
      </w:r>
      <w:r w:rsidRPr="001E6114">
        <w:rPr>
          <w:rFonts w:ascii="Abadi" w:eastAsia="Batang" w:hAnsi="Abadi" w:cs="Arial"/>
          <w:sz w:val="21"/>
          <w:szCs w:val="21"/>
        </w:rPr>
        <w:t xml:space="preserve">En sendas reuniones de la Comisión de Gobernación y Puntos Constitucionales, del 15 de marzo de 2022, del 12 de abril y 25 de mayo de 2023 se radicaron respectivamente las iniciativas y fueron aprobadas las metodologías de estudio y dictamen en los siguientes términos: </w:t>
      </w:r>
    </w:p>
    <w:p w14:paraId="3DD64A57" w14:textId="77777777" w:rsidR="00427BD6" w:rsidRPr="001E6114" w:rsidRDefault="00427BD6" w:rsidP="00EF7206">
      <w:pPr>
        <w:jc w:val="both"/>
        <w:rPr>
          <w:rFonts w:ascii="Abadi" w:eastAsia="Batang" w:hAnsi="Abadi" w:cs="Arial"/>
          <w:sz w:val="21"/>
          <w:szCs w:val="21"/>
        </w:rPr>
      </w:pPr>
    </w:p>
    <w:p w14:paraId="60EEC7C4" w14:textId="77777777" w:rsidR="00427BD6" w:rsidRPr="001E6114" w:rsidRDefault="00427BD6" w:rsidP="00EF7206">
      <w:pPr>
        <w:ind w:firstLine="708"/>
        <w:jc w:val="both"/>
        <w:rPr>
          <w:rFonts w:ascii="Abadi" w:eastAsia="Batang" w:hAnsi="Abadi" w:cs="Arial"/>
          <w:i/>
          <w:iCs/>
          <w:sz w:val="21"/>
          <w:szCs w:val="21"/>
        </w:rPr>
      </w:pPr>
      <w:r w:rsidRPr="001E6114">
        <w:rPr>
          <w:rFonts w:ascii="Abadi" w:eastAsia="Batang" w:hAnsi="Abadi" w:cs="Arial"/>
          <w:i/>
          <w:iCs/>
          <w:sz w:val="21"/>
          <w:szCs w:val="21"/>
        </w:rPr>
        <w:t>Acciones con respecto a la primera iniciativa:</w:t>
      </w:r>
    </w:p>
    <w:p w14:paraId="43729414" w14:textId="77777777" w:rsidR="00427BD6" w:rsidRPr="001E6114" w:rsidRDefault="00427BD6" w:rsidP="00EF7206">
      <w:pPr>
        <w:jc w:val="both"/>
        <w:rPr>
          <w:rFonts w:ascii="Abadi" w:eastAsia="Batang" w:hAnsi="Abadi" w:cs="Arial"/>
          <w:i/>
          <w:iCs/>
          <w:sz w:val="21"/>
          <w:szCs w:val="21"/>
        </w:rPr>
      </w:pPr>
    </w:p>
    <w:p w14:paraId="1DA78FFF" w14:textId="77777777" w:rsidR="00427BD6" w:rsidRPr="001E6114" w:rsidRDefault="00427BD6" w:rsidP="00EF7206">
      <w:pPr>
        <w:numPr>
          <w:ilvl w:val="0"/>
          <w:numId w:val="25"/>
        </w:numPr>
        <w:spacing w:after="200"/>
        <w:ind w:left="1134" w:firstLine="0"/>
        <w:jc w:val="both"/>
        <w:rPr>
          <w:rFonts w:ascii="Abadi" w:hAnsi="Abadi" w:cs="Arial"/>
          <w:i/>
          <w:iCs/>
          <w:sz w:val="21"/>
          <w:szCs w:val="21"/>
        </w:rPr>
      </w:pPr>
      <w:r w:rsidRPr="001E6114">
        <w:rPr>
          <w:rFonts w:ascii="Abadi" w:hAnsi="Abadi" w:cs="Arial"/>
          <w:i/>
          <w:iCs/>
          <w:sz w:val="21"/>
          <w:szCs w:val="21"/>
        </w:rPr>
        <w:t>Remitir vía electrónica para opinión a los 36 diputados y diputadas que integran la Sexagésima Quinta Legislatura, al Supremo Tribunal de Justicia del Estado, a la Secretaria de Gobierno, a la Coordinación General Jurídica de Gobierno del Estado, al Instituto para las Mujeres Guanajuatenses, a la Procuraduría de los Derechos Humanos del Estado de Guanajuato y a la Procuraduría Estatal de Protección de Niñas, Niños y Adolescentes del Estado de Guanajuato, al Instituto Electoral del Estado de Guanajuato, al Comité Coordinador del Sistema Estatal Anticorrupción y a los 46 ayuntamientos quienes contarán con un término de 20 días hábiles, para remitir los comentarios y observaciones que estimen pertinentes.</w:t>
      </w:r>
    </w:p>
    <w:p w14:paraId="404BDD1D" w14:textId="77777777" w:rsidR="00427BD6" w:rsidRPr="001E6114" w:rsidRDefault="00427BD6" w:rsidP="00EF7206">
      <w:pPr>
        <w:numPr>
          <w:ilvl w:val="0"/>
          <w:numId w:val="25"/>
        </w:numPr>
        <w:spacing w:after="200"/>
        <w:ind w:left="1134" w:firstLine="0"/>
        <w:jc w:val="both"/>
        <w:rPr>
          <w:rFonts w:ascii="Abadi" w:hAnsi="Abadi" w:cs="Arial"/>
          <w:i/>
          <w:iCs/>
          <w:sz w:val="21"/>
          <w:szCs w:val="21"/>
        </w:rPr>
      </w:pPr>
      <w:r w:rsidRPr="001E6114">
        <w:rPr>
          <w:rFonts w:ascii="Abadi" w:hAnsi="Abadi" w:cs="Arial"/>
          <w:i/>
          <w:iCs/>
          <w:sz w:val="21"/>
          <w:szCs w:val="21"/>
        </w:rPr>
        <w:lastRenderedPageBreak/>
        <w:t>Se habilitará un vínculo (link) en la página web del Congreso del Estado, a efecto de que se consulte la iniciativa y se puedan recibir observaciones a la misma.</w:t>
      </w:r>
    </w:p>
    <w:p w14:paraId="396E7335" w14:textId="77777777" w:rsidR="00427BD6" w:rsidRPr="001E6114" w:rsidRDefault="00427BD6" w:rsidP="00EF7206">
      <w:pPr>
        <w:pStyle w:val="Prrafodelista"/>
        <w:numPr>
          <w:ilvl w:val="0"/>
          <w:numId w:val="25"/>
        </w:numPr>
        <w:spacing w:after="200"/>
        <w:ind w:left="1134" w:firstLine="0"/>
        <w:contextualSpacing/>
        <w:jc w:val="both"/>
        <w:rPr>
          <w:rFonts w:ascii="Abadi" w:hAnsi="Abadi" w:cs="Arial"/>
          <w:i/>
          <w:iCs/>
          <w:sz w:val="21"/>
          <w:szCs w:val="21"/>
        </w:rPr>
      </w:pPr>
      <w:r w:rsidRPr="001E6114">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5D4691A4" w14:textId="77777777" w:rsidR="00427BD6" w:rsidRPr="001E6114" w:rsidRDefault="00427BD6" w:rsidP="00EF7206">
      <w:pPr>
        <w:pStyle w:val="Prrafodelista"/>
        <w:ind w:left="1134"/>
        <w:jc w:val="both"/>
        <w:rPr>
          <w:rFonts w:ascii="Abadi" w:hAnsi="Abadi" w:cs="Arial"/>
          <w:i/>
          <w:iCs/>
          <w:sz w:val="21"/>
          <w:szCs w:val="21"/>
        </w:rPr>
      </w:pPr>
    </w:p>
    <w:p w14:paraId="774E352A" w14:textId="77777777" w:rsidR="00427BD6" w:rsidRPr="001E6114" w:rsidRDefault="00427BD6" w:rsidP="00EF7206">
      <w:pPr>
        <w:pStyle w:val="Prrafodelista"/>
        <w:numPr>
          <w:ilvl w:val="0"/>
          <w:numId w:val="25"/>
        </w:numPr>
        <w:spacing w:after="200"/>
        <w:ind w:left="1134" w:firstLine="0"/>
        <w:contextualSpacing/>
        <w:jc w:val="both"/>
        <w:rPr>
          <w:rFonts w:ascii="Abadi" w:hAnsi="Abadi" w:cs="Arial"/>
          <w:i/>
          <w:iCs/>
          <w:sz w:val="21"/>
          <w:szCs w:val="21"/>
        </w:rPr>
      </w:pPr>
      <w:r w:rsidRPr="001E6114">
        <w:rPr>
          <w:rFonts w:ascii="Abadi" w:hAnsi="Abadi" w:cs="Arial"/>
          <w:i/>
          <w:iCs/>
          <w:sz w:val="21"/>
          <w:szCs w:val="21"/>
        </w:rPr>
        <w:t>Se celebrará una mesa de trabajo para analizar las observaciones remitidas, a través del documento comparativo.</w:t>
      </w:r>
    </w:p>
    <w:p w14:paraId="0E5A7E61" w14:textId="77777777" w:rsidR="00427BD6" w:rsidRPr="001E6114" w:rsidRDefault="00427BD6" w:rsidP="00EF7206">
      <w:pPr>
        <w:pStyle w:val="Prrafodelista"/>
        <w:ind w:left="1134"/>
        <w:rPr>
          <w:rFonts w:ascii="Abadi" w:hAnsi="Abadi" w:cs="Arial"/>
          <w:i/>
          <w:iCs/>
          <w:sz w:val="21"/>
          <w:szCs w:val="21"/>
        </w:rPr>
      </w:pPr>
    </w:p>
    <w:p w14:paraId="40AEF4ED" w14:textId="77777777" w:rsidR="00427BD6" w:rsidRPr="001E6114" w:rsidRDefault="00427BD6" w:rsidP="00EF7206">
      <w:pPr>
        <w:pStyle w:val="Prrafodelista"/>
        <w:numPr>
          <w:ilvl w:val="0"/>
          <w:numId w:val="25"/>
        </w:numPr>
        <w:spacing w:after="200"/>
        <w:ind w:left="1134" w:firstLine="0"/>
        <w:contextualSpacing/>
        <w:jc w:val="both"/>
        <w:rPr>
          <w:rFonts w:ascii="Abadi" w:hAnsi="Abadi" w:cs="Arial"/>
          <w:i/>
          <w:iCs/>
          <w:sz w:val="21"/>
          <w:szCs w:val="21"/>
        </w:rPr>
      </w:pPr>
      <w:r w:rsidRPr="001E6114">
        <w:rPr>
          <w:rFonts w:ascii="Abadi" w:hAnsi="Abadi" w:cs="Arial"/>
          <w:i/>
          <w:iCs/>
          <w:sz w:val="21"/>
          <w:szCs w:val="21"/>
        </w:rPr>
        <w:t>Una vez lo cual, se presentará un proyecto de dictamen para que sea analizado en reunión de la Comisión.</w:t>
      </w:r>
    </w:p>
    <w:p w14:paraId="12F70FF4" w14:textId="77777777" w:rsidR="00427BD6" w:rsidRPr="001E6114" w:rsidRDefault="00427BD6" w:rsidP="00EF7206">
      <w:pPr>
        <w:pStyle w:val="Prrafodelista"/>
        <w:ind w:left="1134"/>
        <w:jc w:val="both"/>
        <w:rPr>
          <w:rFonts w:ascii="Abadi" w:hAnsi="Abadi" w:cs="Arial"/>
          <w:i/>
          <w:iCs/>
          <w:sz w:val="21"/>
          <w:szCs w:val="21"/>
        </w:rPr>
      </w:pPr>
    </w:p>
    <w:p w14:paraId="2B2BADAD" w14:textId="77777777" w:rsidR="00427BD6" w:rsidRPr="001E6114" w:rsidRDefault="00427BD6" w:rsidP="00EF7206">
      <w:pPr>
        <w:ind w:firstLine="708"/>
        <w:jc w:val="both"/>
        <w:rPr>
          <w:rFonts w:ascii="Abadi" w:eastAsia="Batang" w:hAnsi="Abadi" w:cs="Arial"/>
          <w:i/>
          <w:iCs/>
          <w:sz w:val="21"/>
          <w:szCs w:val="21"/>
        </w:rPr>
      </w:pPr>
      <w:r w:rsidRPr="001E6114">
        <w:rPr>
          <w:rFonts w:ascii="Abadi" w:eastAsia="Batang" w:hAnsi="Abadi" w:cs="Arial"/>
          <w:i/>
          <w:iCs/>
          <w:sz w:val="21"/>
          <w:szCs w:val="21"/>
        </w:rPr>
        <w:t>Acciones con respecto a la segunda iniciativa:</w:t>
      </w:r>
    </w:p>
    <w:p w14:paraId="45B29BDE" w14:textId="77777777" w:rsidR="00427BD6" w:rsidRPr="001E6114" w:rsidRDefault="00427BD6" w:rsidP="00EF7206">
      <w:pPr>
        <w:ind w:firstLine="708"/>
        <w:jc w:val="both"/>
        <w:rPr>
          <w:rFonts w:ascii="Abadi" w:eastAsia="Batang" w:hAnsi="Abadi" w:cs="Arial"/>
          <w:i/>
          <w:iCs/>
          <w:sz w:val="21"/>
          <w:szCs w:val="21"/>
        </w:rPr>
      </w:pPr>
    </w:p>
    <w:p w14:paraId="70125B34" w14:textId="77777777" w:rsidR="00427BD6" w:rsidRPr="00947EC7" w:rsidRDefault="00427BD6" w:rsidP="00EF7206">
      <w:pPr>
        <w:pStyle w:val="Prrafodelista"/>
        <w:numPr>
          <w:ilvl w:val="0"/>
          <w:numId w:val="27"/>
        </w:numPr>
        <w:spacing w:after="200"/>
        <w:ind w:left="1134" w:firstLine="0"/>
        <w:contextualSpacing/>
        <w:jc w:val="both"/>
        <w:rPr>
          <w:rFonts w:ascii="Abadi" w:hAnsi="Abadi" w:cs="Arial"/>
          <w:i/>
          <w:iCs/>
          <w:sz w:val="21"/>
          <w:szCs w:val="21"/>
        </w:rPr>
      </w:pPr>
      <w:r w:rsidRPr="001E6114">
        <w:rPr>
          <w:rFonts w:ascii="Abadi" w:hAnsi="Abadi" w:cs="Arial"/>
          <w:i/>
          <w:iCs/>
          <w:sz w:val="21"/>
          <w:szCs w:val="21"/>
        </w:rPr>
        <w:t>Se remitirá vía electrónica para opinión a la Secretaria de Gobierno, a la Coordinación General Jurídica de Gobierno del Estado, al Supremo Tribunal de Justicia del Estado, los organismos constitucionales autónomos, la Universidad de Guanajuato y los 46 ayuntamientos y contarán con un término de 20 días hábiles, para remitir los comentarios</w:t>
      </w:r>
      <w:r w:rsidRPr="00947EC7">
        <w:rPr>
          <w:rFonts w:ascii="Abadi" w:hAnsi="Abadi" w:cs="Arial"/>
          <w:i/>
          <w:iCs/>
          <w:sz w:val="21"/>
          <w:szCs w:val="21"/>
        </w:rPr>
        <w:t xml:space="preserve"> y observaciones que estimen pertinentes. </w:t>
      </w:r>
    </w:p>
    <w:p w14:paraId="0B41C5A4" w14:textId="77777777" w:rsidR="00427BD6" w:rsidRPr="00947EC7" w:rsidRDefault="00427BD6" w:rsidP="00EF7206">
      <w:pPr>
        <w:pStyle w:val="Prrafodelista"/>
        <w:ind w:left="1134"/>
        <w:jc w:val="both"/>
        <w:rPr>
          <w:rFonts w:ascii="Abadi" w:hAnsi="Abadi" w:cs="Arial"/>
          <w:i/>
          <w:iCs/>
          <w:sz w:val="21"/>
          <w:szCs w:val="21"/>
        </w:rPr>
      </w:pPr>
    </w:p>
    <w:p w14:paraId="7547DFD8" w14:textId="77777777" w:rsidR="00427BD6" w:rsidRPr="00947EC7" w:rsidRDefault="00427BD6" w:rsidP="00EF7206">
      <w:pPr>
        <w:pStyle w:val="Prrafodelista"/>
        <w:numPr>
          <w:ilvl w:val="0"/>
          <w:numId w:val="27"/>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establecerá un enlace en la página web del Congreso del Estado donde se acceda a la iniciativa para efecto de consulta y aportaciones ciudadanas.</w:t>
      </w:r>
    </w:p>
    <w:p w14:paraId="6163554E" w14:textId="77777777" w:rsidR="00427BD6" w:rsidRPr="00947EC7" w:rsidRDefault="00427BD6" w:rsidP="00EF7206">
      <w:pPr>
        <w:pStyle w:val="Prrafodelista"/>
        <w:rPr>
          <w:rFonts w:ascii="Abadi" w:hAnsi="Abadi" w:cs="Arial"/>
          <w:i/>
          <w:iCs/>
          <w:sz w:val="21"/>
          <w:szCs w:val="21"/>
        </w:rPr>
      </w:pPr>
    </w:p>
    <w:p w14:paraId="3ACC8AA5" w14:textId="77777777" w:rsidR="00427BD6" w:rsidRPr="00947EC7" w:rsidRDefault="00427BD6" w:rsidP="00EF7206">
      <w:pPr>
        <w:pStyle w:val="Prrafodelista"/>
        <w:numPr>
          <w:ilvl w:val="0"/>
          <w:numId w:val="27"/>
        </w:numPr>
        <w:spacing w:after="200"/>
        <w:ind w:left="1134" w:firstLine="0"/>
        <w:contextualSpacing/>
        <w:jc w:val="both"/>
        <w:rPr>
          <w:rFonts w:ascii="Abadi" w:hAnsi="Abadi" w:cs="Arial"/>
          <w:i/>
          <w:iCs/>
          <w:sz w:val="21"/>
          <w:szCs w:val="21"/>
        </w:rPr>
      </w:pPr>
      <w:r w:rsidRPr="00947EC7">
        <w:rPr>
          <w:rFonts w:ascii="Abadi" w:hAnsi="Abadi" w:cs="Arial"/>
          <w:i/>
          <w:iCs/>
          <w:sz w:val="21"/>
          <w:szCs w:val="21"/>
        </w:rPr>
        <w:t xml:space="preserve">Se integrará un documento que consolidará las propuestas emitidas en las consultas por escrito o vía electrónica que se hayan remitido previamente a la Comisión para el análisis de la </w:t>
      </w:r>
      <w:r w:rsidRPr="00947EC7">
        <w:rPr>
          <w:rFonts w:ascii="Abadi" w:hAnsi="Abadi" w:cs="Arial"/>
          <w:i/>
          <w:iCs/>
          <w:sz w:val="21"/>
          <w:szCs w:val="21"/>
        </w:rPr>
        <w:t>iniciativa. Dicho documento será con formato de comparativo.</w:t>
      </w:r>
    </w:p>
    <w:p w14:paraId="53EFB8B4" w14:textId="77777777" w:rsidR="00427BD6" w:rsidRPr="00947EC7" w:rsidRDefault="00427BD6" w:rsidP="00EF7206">
      <w:pPr>
        <w:pStyle w:val="Prrafodelista"/>
        <w:ind w:left="1134"/>
        <w:jc w:val="both"/>
        <w:rPr>
          <w:rFonts w:ascii="Abadi" w:hAnsi="Abadi" w:cs="Arial"/>
          <w:i/>
          <w:iCs/>
          <w:sz w:val="21"/>
          <w:szCs w:val="21"/>
        </w:rPr>
      </w:pPr>
    </w:p>
    <w:p w14:paraId="2E8DA649" w14:textId="77777777" w:rsidR="00427BD6" w:rsidRPr="00947EC7" w:rsidRDefault="00427BD6" w:rsidP="00EF7206">
      <w:pPr>
        <w:pStyle w:val="Prrafodelista"/>
        <w:numPr>
          <w:ilvl w:val="0"/>
          <w:numId w:val="27"/>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celebrará una mesa de trabajo para analizar las observaciones remitidas, a través del documento comparativo.</w:t>
      </w:r>
    </w:p>
    <w:p w14:paraId="0B3110A5" w14:textId="77777777" w:rsidR="00427BD6" w:rsidRPr="00947EC7" w:rsidRDefault="00427BD6" w:rsidP="00EF7206">
      <w:pPr>
        <w:pStyle w:val="Prrafodelista"/>
        <w:ind w:left="1134"/>
        <w:jc w:val="both"/>
        <w:rPr>
          <w:rFonts w:ascii="Abadi" w:hAnsi="Abadi" w:cs="Arial"/>
          <w:i/>
          <w:iCs/>
          <w:sz w:val="21"/>
          <w:szCs w:val="21"/>
        </w:rPr>
      </w:pPr>
    </w:p>
    <w:p w14:paraId="74584069" w14:textId="77777777" w:rsidR="00427BD6" w:rsidRPr="00947EC7" w:rsidRDefault="00427BD6" w:rsidP="00EF7206">
      <w:pPr>
        <w:pStyle w:val="Prrafodelista"/>
        <w:numPr>
          <w:ilvl w:val="0"/>
          <w:numId w:val="27"/>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presentará un proyecto de dictamen para que sea analizado en reunión de la Comisión.</w:t>
      </w:r>
    </w:p>
    <w:p w14:paraId="78ABFE5E" w14:textId="77777777" w:rsidR="00427BD6" w:rsidRPr="00947EC7" w:rsidRDefault="00427BD6" w:rsidP="00EF7206">
      <w:pPr>
        <w:ind w:firstLine="708"/>
        <w:jc w:val="both"/>
        <w:rPr>
          <w:rFonts w:ascii="Abadi" w:eastAsia="Batang" w:hAnsi="Abadi" w:cs="Arial"/>
          <w:b/>
          <w:bCs/>
          <w:i/>
          <w:iCs/>
          <w:sz w:val="21"/>
          <w:szCs w:val="21"/>
        </w:rPr>
      </w:pPr>
      <w:r w:rsidRPr="00947EC7">
        <w:rPr>
          <w:rFonts w:ascii="Abadi" w:eastAsia="Batang" w:hAnsi="Abadi" w:cs="Arial"/>
          <w:b/>
          <w:bCs/>
          <w:i/>
          <w:iCs/>
          <w:sz w:val="21"/>
          <w:szCs w:val="21"/>
        </w:rPr>
        <w:t>Acciones con respecto a la tercera iniciativa:</w:t>
      </w:r>
    </w:p>
    <w:p w14:paraId="794A50A9" w14:textId="77777777" w:rsidR="00427BD6" w:rsidRPr="00947EC7" w:rsidRDefault="00427BD6" w:rsidP="00EF7206">
      <w:pPr>
        <w:ind w:firstLine="708"/>
        <w:jc w:val="both"/>
        <w:rPr>
          <w:rFonts w:ascii="Abadi" w:eastAsia="Batang" w:hAnsi="Abadi" w:cs="Arial"/>
          <w:b/>
          <w:bCs/>
          <w:i/>
          <w:iCs/>
          <w:sz w:val="21"/>
          <w:szCs w:val="21"/>
        </w:rPr>
      </w:pPr>
    </w:p>
    <w:p w14:paraId="33054E9E" w14:textId="77777777" w:rsidR="00427BD6" w:rsidRPr="00947EC7" w:rsidRDefault="00427BD6" w:rsidP="00EF7206">
      <w:pPr>
        <w:pStyle w:val="Prrafodelista"/>
        <w:numPr>
          <w:ilvl w:val="0"/>
          <w:numId w:val="28"/>
        </w:numPr>
        <w:spacing w:after="200"/>
        <w:ind w:left="1134" w:firstLine="0"/>
        <w:contextualSpacing/>
        <w:jc w:val="both"/>
        <w:rPr>
          <w:rFonts w:ascii="Abadi" w:hAnsi="Abadi" w:cs="Arial"/>
          <w:i/>
          <w:iCs/>
          <w:sz w:val="21"/>
          <w:szCs w:val="21"/>
        </w:rPr>
      </w:pPr>
      <w:r w:rsidRPr="00947EC7">
        <w:rPr>
          <w:rFonts w:ascii="Abadi" w:hAnsi="Abadi" w:cs="Arial"/>
          <w:i/>
          <w:iCs/>
          <w:sz w:val="21"/>
          <w:szCs w:val="21"/>
        </w:rPr>
        <w:t>Remitir vía electrónica para opinión al Poder Judicial del Estado, a la Coordinación General Jurídica de Gobierno del Estado, al Instituto Electoral del Estado de Guanajuato, al Tribunal Estatal Electoral de Guanajuato, a los 46 ayuntamientos y a los partidos políticos quienes contarán con un término de 5 días hábiles, para remitir los comentarios y observaciones que estimen pertinentes.</w:t>
      </w:r>
    </w:p>
    <w:p w14:paraId="6DA5DA8A" w14:textId="77777777" w:rsidR="00427BD6" w:rsidRPr="00947EC7" w:rsidRDefault="00427BD6" w:rsidP="00EF7206">
      <w:pPr>
        <w:pStyle w:val="Prrafodelista"/>
        <w:ind w:left="1134"/>
        <w:jc w:val="both"/>
        <w:rPr>
          <w:rFonts w:ascii="Abadi" w:hAnsi="Abadi" w:cs="Arial"/>
          <w:i/>
          <w:iCs/>
          <w:sz w:val="21"/>
          <w:szCs w:val="21"/>
        </w:rPr>
      </w:pPr>
    </w:p>
    <w:p w14:paraId="0EBDC37E" w14:textId="77777777" w:rsidR="00427BD6" w:rsidRPr="00947EC7" w:rsidRDefault="00427BD6" w:rsidP="00EF7206">
      <w:pPr>
        <w:pStyle w:val="Prrafodelista"/>
        <w:numPr>
          <w:ilvl w:val="0"/>
          <w:numId w:val="28"/>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establecerá un enlace en la página web del Congreso del Estado donde se acceda a la iniciativa para efecto de consulta y aportaciones ciudadanas.</w:t>
      </w:r>
    </w:p>
    <w:p w14:paraId="210166DB" w14:textId="77777777" w:rsidR="00427BD6" w:rsidRPr="00947EC7" w:rsidRDefault="00427BD6" w:rsidP="00EF7206">
      <w:pPr>
        <w:pStyle w:val="Prrafodelista"/>
        <w:numPr>
          <w:ilvl w:val="0"/>
          <w:numId w:val="28"/>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integrará un documento que consolidará todas las propuestas emitidas en las consultas por escrito o vía electrónica que se hayan remitido previamente a la Comisión para el análisis de la iniciativa. Dicho documento será con formato de comparativo.</w:t>
      </w:r>
    </w:p>
    <w:p w14:paraId="4DD3AE3C" w14:textId="77777777" w:rsidR="00427BD6" w:rsidRPr="00947EC7" w:rsidRDefault="00427BD6" w:rsidP="00EF7206">
      <w:pPr>
        <w:pStyle w:val="Prrafodelista"/>
        <w:ind w:left="1134"/>
        <w:jc w:val="both"/>
        <w:rPr>
          <w:rFonts w:ascii="Abadi" w:hAnsi="Abadi" w:cs="Arial"/>
          <w:i/>
          <w:iCs/>
          <w:sz w:val="21"/>
          <w:szCs w:val="21"/>
        </w:rPr>
      </w:pPr>
    </w:p>
    <w:p w14:paraId="4CD002FF" w14:textId="77777777" w:rsidR="00427BD6" w:rsidRPr="00947EC7" w:rsidRDefault="00427BD6" w:rsidP="00EF7206">
      <w:pPr>
        <w:pStyle w:val="Prrafodelista"/>
        <w:numPr>
          <w:ilvl w:val="0"/>
          <w:numId w:val="28"/>
        </w:numPr>
        <w:spacing w:after="200"/>
        <w:ind w:left="1134" w:firstLine="0"/>
        <w:contextualSpacing/>
        <w:jc w:val="both"/>
        <w:rPr>
          <w:rFonts w:ascii="Abadi" w:hAnsi="Abadi" w:cs="Arial"/>
          <w:i/>
          <w:iCs/>
          <w:sz w:val="21"/>
          <w:szCs w:val="21"/>
        </w:rPr>
      </w:pPr>
      <w:r w:rsidRPr="00947EC7">
        <w:rPr>
          <w:rFonts w:ascii="Abadi" w:hAnsi="Abadi" w:cs="Arial"/>
          <w:i/>
          <w:iCs/>
          <w:sz w:val="21"/>
          <w:szCs w:val="21"/>
        </w:rPr>
        <w:t>Se celebrarán dos mesas de trabajo para analizar las observaciones remitidas, a través del documento comparativo, una con representantes de dependencias del poder ejecutivo y de organismos autónomos y otra con representantes de partidos políticos.</w:t>
      </w:r>
    </w:p>
    <w:p w14:paraId="630FCA40" w14:textId="77777777" w:rsidR="00427BD6" w:rsidRPr="00947EC7" w:rsidRDefault="00427BD6" w:rsidP="00EF7206">
      <w:pPr>
        <w:pStyle w:val="Prrafodelista"/>
        <w:ind w:left="1134"/>
        <w:jc w:val="both"/>
        <w:rPr>
          <w:rFonts w:ascii="Abadi" w:hAnsi="Abadi" w:cs="Arial"/>
          <w:i/>
          <w:iCs/>
          <w:sz w:val="21"/>
          <w:szCs w:val="21"/>
        </w:rPr>
      </w:pPr>
    </w:p>
    <w:p w14:paraId="6FCEDC61" w14:textId="77777777" w:rsidR="00427BD6" w:rsidRPr="00947EC7" w:rsidRDefault="00427BD6" w:rsidP="00EF7206">
      <w:pPr>
        <w:pStyle w:val="Prrafodelista"/>
        <w:numPr>
          <w:ilvl w:val="0"/>
          <w:numId w:val="28"/>
        </w:numPr>
        <w:spacing w:after="200"/>
        <w:ind w:left="1134" w:firstLine="0"/>
        <w:contextualSpacing/>
        <w:jc w:val="both"/>
        <w:rPr>
          <w:rFonts w:ascii="Abadi" w:hAnsi="Abadi" w:cs="Arial"/>
          <w:i/>
          <w:iCs/>
          <w:sz w:val="21"/>
          <w:szCs w:val="21"/>
        </w:rPr>
      </w:pPr>
      <w:r w:rsidRPr="00947EC7">
        <w:rPr>
          <w:rFonts w:ascii="Abadi" w:hAnsi="Abadi" w:cs="Arial"/>
          <w:i/>
          <w:iCs/>
          <w:sz w:val="21"/>
          <w:szCs w:val="21"/>
        </w:rPr>
        <w:t xml:space="preserve">Una vez lo cual, se presentará un proyecto de dictamen para </w:t>
      </w:r>
      <w:r w:rsidRPr="00947EC7">
        <w:rPr>
          <w:rFonts w:ascii="Abadi" w:hAnsi="Abadi" w:cs="Arial"/>
          <w:i/>
          <w:iCs/>
          <w:sz w:val="21"/>
          <w:szCs w:val="21"/>
        </w:rPr>
        <w:lastRenderedPageBreak/>
        <w:t>que sea analizado en reunión de la Comisión.</w:t>
      </w:r>
    </w:p>
    <w:p w14:paraId="6DE95AFD" w14:textId="77777777" w:rsidR="00427BD6" w:rsidRPr="00947EC7" w:rsidRDefault="00427BD6" w:rsidP="00EF7206">
      <w:pPr>
        <w:ind w:firstLine="708"/>
        <w:jc w:val="both"/>
        <w:rPr>
          <w:rFonts w:ascii="Abadi" w:eastAsia="Batang" w:hAnsi="Abadi" w:cs="Arial"/>
          <w:b/>
          <w:bCs/>
          <w:i/>
          <w:iCs/>
          <w:sz w:val="21"/>
          <w:szCs w:val="21"/>
        </w:rPr>
      </w:pPr>
    </w:p>
    <w:p w14:paraId="2C548F87" w14:textId="77777777" w:rsidR="00427BD6" w:rsidRPr="00947EC7" w:rsidRDefault="00427BD6" w:rsidP="00EF7206">
      <w:pPr>
        <w:jc w:val="both"/>
        <w:rPr>
          <w:rFonts w:ascii="Abadi" w:eastAsia="Batang" w:hAnsi="Abadi" w:cs="Arial"/>
          <w:b/>
          <w:bCs/>
          <w:sz w:val="21"/>
          <w:szCs w:val="21"/>
        </w:rPr>
      </w:pPr>
      <w:r w:rsidRPr="00947EC7">
        <w:rPr>
          <w:rFonts w:ascii="Abadi" w:eastAsia="Batang" w:hAnsi="Abadi" w:cs="Arial"/>
          <w:b/>
          <w:sz w:val="21"/>
          <w:szCs w:val="21"/>
        </w:rPr>
        <w:t>II.</w:t>
      </w:r>
      <w:r w:rsidRPr="00947EC7">
        <w:rPr>
          <w:rFonts w:ascii="Abadi" w:hAnsi="Abadi" w:cs="Arial"/>
          <w:sz w:val="21"/>
          <w:szCs w:val="21"/>
        </w:rPr>
        <w:t xml:space="preserve"> </w:t>
      </w:r>
      <w:r w:rsidRPr="00947EC7">
        <w:rPr>
          <w:rFonts w:ascii="Abadi" w:eastAsia="Batang" w:hAnsi="Abadi" w:cs="Arial"/>
          <w:b/>
          <w:bCs/>
          <w:sz w:val="21"/>
          <w:szCs w:val="21"/>
        </w:rPr>
        <w:t>Desahogo de las metodologías de estudio y dictamen</w:t>
      </w:r>
    </w:p>
    <w:p w14:paraId="4312EC02" w14:textId="77777777" w:rsidR="00427BD6" w:rsidRPr="00947EC7" w:rsidRDefault="00427BD6" w:rsidP="00EF7206">
      <w:pPr>
        <w:jc w:val="both"/>
        <w:rPr>
          <w:rFonts w:ascii="Abadi" w:eastAsia="Batang" w:hAnsi="Abadi" w:cs="Arial"/>
          <w:b/>
          <w:bCs/>
          <w:sz w:val="21"/>
          <w:szCs w:val="21"/>
        </w:rPr>
      </w:pPr>
    </w:p>
    <w:p w14:paraId="47F4EAE2" w14:textId="77777777" w:rsidR="00427BD6" w:rsidRPr="00947EC7" w:rsidRDefault="00427BD6" w:rsidP="00EF7206">
      <w:pPr>
        <w:jc w:val="both"/>
        <w:rPr>
          <w:rFonts w:ascii="Abadi" w:eastAsia="Batang" w:hAnsi="Abadi" w:cs="Arial"/>
          <w:b/>
          <w:bCs/>
          <w:sz w:val="21"/>
          <w:szCs w:val="21"/>
        </w:rPr>
      </w:pPr>
      <w:r w:rsidRPr="00947EC7">
        <w:rPr>
          <w:rFonts w:ascii="Abadi" w:eastAsia="Batang" w:hAnsi="Abadi" w:cs="Arial"/>
          <w:b/>
          <w:sz w:val="21"/>
          <w:szCs w:val="21"/>
        </w:rPr>
        <w:t>II.1.</w:t>
      </w:r>
      <w:r w:rsidRPr="00947EC7">
        <w:rPr>
          <w:rFonts w:ascii="Abadi" w:hAnsi="Abadi" w:cs="Arial"/>
          <w:sz w:val="21"/>
          <w:szCs w:val="21"/>
        </w:rPr>
        <w:t xml:space="preserve"> </w:t>
      </w:r>
      <w:r w:rsidRPr="00947EC7">
        <w:rPr>
          <w:rFonts w:ascii="Abadi" w:eastAsia="Batang" w:hAnsi="Abadi" w:cs="Arial"/>
          <w:b/>
          <w:bCs/>
          <w:sz w:val="21"/>
          <w:szCs w:val="21"/>
        </w:rPr>
        <w:t xml:space="preserve">De la primera iniciativa </w:t>
      </w:r>
      <w:r w:rsidRPr="00947EC7">
        <w:rPr>
          <w:rFonts w:ascii="Arial" w:eastAsia="Batang" w:hAnsi="Arial" w:cs="Arial"/>
          <w:b/>
          <w:bCs/>
          <w:sz w:val="21"/>
          <w:szCs w:val="21"/>
        </w:rPr>
        <w:t>―</w:t>
      </w:r>
      <w:r w:rsidRPr="00947EC7">
        <w:rPr>
          <w:rFonts w:ascii="Abadi" w:eastAsia="Batang" w:hAnsi="Abadi" w:cs="Arial"/>
          <w:b/>
          <w:bCs/>
          <w:sz w:val="21"/>
          <w:szCs w:val="21"/>
        </w:rPr>
        <w:t>ELD 182A/LXV-I</w:t>
      </w:r>
      <w:r w:rsidRPr="00947EC7">
        <w:rPr>
          <w:rFonts w:ascii="Arial" w:eastAsia="Batang" w:hAnsi="Arial" w:cs="Arial"/>
          <w:b/>
          <w:bCs/>
          <w:sz w:val="21"/>
          <w:szCs w:val="21"/>
        </w:rPr>
        <w:t>―</w:t>
      </w:r>
      <w:r w:rsidRPr="00947EC7">
        <w:rPr>
          <w:rFonts w:ascii="Abadi" w:eastAsia="Batang" w:hAnsi="Abadi" w:cs="Arial"/>
          <w:b/>
          <w:bCs/>
          <w:sz w:val="21"/>
          <w:szCs w:val="21"/>
        </w:rPr>
        <w:t>.</w:t>
      </w:r>
    </w:p>
    <w:p w14:paraId="19E3B7FF" w14:textId="77777777" w:rsidR="00427BD6" w:rsidRPr="00947EC7" w:rsidRDefault="00427BD6" w:rsidP="00EF7206">
      <w:pPr>
        <w:jc w:val="both"/>
        <w:rPr>
          <w:rFonts w:ascii="Abadi" w:hAnsi="Abadi" w:cs="Arial"/>
          <w:sz w:val="21"/>
          <w:szCs w:val="21"/>
        </w:rPr>
      </w:pPr>
    </w:p>
    <w:p w14:paraId="50166796" w14:textId="77777777" w:rsidR="00427BD6" w:rsidRPr="00947EC7" w:rsidRDefault="00427BD6" w:rsidP="00EF7206">
      <w:pPr>
        <w:jc w:val="both"/>
        <w:rPr>
          <w:rFonts w:ascii="Abadi" w:eastAsia="Batang" w:hAnsi="Abadi" w:cs="Arial"/>
          <w:sz w:val="21"/>
          <w:szCs w:val="21"/>
        </w:rPr>
      </w:pPr>
      <w:r w:rsidRPr="00947EC7">
        <w:rPr>
          <w:rFonts w:ascii="Abadi" w:eastAsia="Batang" w:hAnsi="Abadi" w:cs="Arial"/>
          <w:sz w:val="21"/>
          <w:szCs w:val="21"/>
        </w:rPr>
        <w:t xml:space="preserve">De la consulta a autoridades del Poder Judicial, del Poder Ejecutivo y organismos autónomos, entre otras autoridades bajo el principio de parlamento abierto respondieron el Supremo Tribunal de Justicia del Estado de Guanajuato, el Instituto Electoral del Estado de Guanajuato, la Comisión de para la Igualdad de Género, la Procuraduría de los Derechos Humanos del Estado de Guanajuato; así como los ayuntamientos de Irapuato, Celaya, León, Victoria y </w:t>
      </w:r>
      <w:proofErr w:type="spellStart"/>
      <w:r w:rsidRPr="00947EC7">
        <w:rPr>
          <w:rFonts w:ascii="Abadi" w:eastAsia="Batang" w:hAnsi="Abadi" w:cs="Arial"/>
          <w:sz w:val="21"/>
          <w:szCs w:val="21"/>
        </w:rPr>
        <w:t>Cortazar</w:t>
      </w:r>
      <w:proofErr w:type="spellEnd"/>
      <w:r w:rsidRPr="00947EC7">
        <w:rPr>
          <w:rFonts w:ascii="Abadi" w:eastAsia="Batang" w:hAnsi="Abadi" w:cs="Arial"/>
          <w:sz w:val="21"/>
          <w:szCs w:val="21"/>
        </w:rPr>
        <w:t>.</w:t>
      </w:r>
    </w:p>
    <w:p w14:paraId="0690B6F1" w14:textId="77777777" w:rsidR="00427BD6" w:rsidRPr="00947EC7" w:rsidRDefault="00427BD6" w:rsidP="00EF7206">
      <w:pPr>
        <w:jc w:val="both"/>
        <w:rPr>
          <w:rFonts w:ascii="Abadi" w:eastAsia="Batang" w:hAnsi="Abadi" w:cs="Arial"/>
          <w:sz w:val="21"/>
          <w:szCs w:val="21"/>
        </w:rPr>
      </w:pPr>
    </w:p>
    <w:p w14:paraId="78C70008" w14:textId="77777777" w:rsidR="00427BD6" w:rsidRPr="00947EC7" w:rsidRDefault="00427BD6" w:rsidP="00EF7206">
      <w:pPr>
        <w:jc w:val="both"/>
        <w:rPr>
          <w:rFonts w:ascii="Abadi" w:eastAsia="Batang" w:hAnsi="Abadi" w:cs="Arial"/>
          <w:sz w:val="21"/>
          <w:szCs w:val="21"/>
        </w:rPr>
      </w:pPr>
      <w:r w:rsidRPr="00947EC7">
        <w:rPr>
          <w:rFonts w:ascii="Abadi" w:eastAsia="Batang" w:hAnsi="Abadi" w:cs="Arial"/>
          <w:sz w:val="21"/>
          <w:szCs w:val="21"/>
        </w:rPr>
        <w:t>El Supremo Tribunal de Justicia del Estado dijo en su respuesta a la consulta que:</w:t>
      </w:r>
    </w:p>
    <w:p w14:paraId="055933DD" w14:textId="77777777" w:rsidR="00427BD6" w:rsidRPr="00947EC7" w:rsidRDefault="00427BD6" w:rsidP="00EF7206">
      <w:pPr>
        <w:jc w:val="both"/>
        <w:rPr>
          <w:rFonts w:ascii="Abadi" w:eastAsia="Batang" w:hAnsi="Abadi" w:cs="Arial"/>
          <w:sz w:val="21"/>
          <w:szCs w:val="21"/>
        </w:rPr>
      </w:pPr>
    </w:p>
    <w:p w14:paraId="4A2749A0"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 se estima viable, no solo porque transparenta los procesos electorales, sino porque la persona que aspire a esos cargos públicos se estima por la naturaleza e importancia de su función de intachable honorabilidad y de un liderazgo ético y moral. Aunado a que como lo indican los iniciantes, con ello se promoverá una cultura libre de todo tipo de violencia. Es muy conveniente que la iniciativa establezca que se trate de personas que ya cuentan con sentenciada ejecutoriada, con ello se les protege de verse afectados ante imputaciones o acusaciones infundadas que solo obedezcan a presiones sociales o políticas, además de no verse comprometido el principio de presunción de inocencia, por tratarse de sentencia firme. La adición a la Ley de Instituciones y Procedimientos Electorales del Estado viene a dar forma y operatividad a la reforma a la Constitución local. La exposición de motivos de la iniciativa, establece que la Convención </w:t>
      </w:r>
      <w:r w:rsidRPr="00947EC7">
        <w:rPr>
          <w:rFonts w:ascii="Abadi" w:hAnsi="Abadi" w:cs="Calibri"/>
          <w:i/>
          <w:iCs/>
          <w:sz w:val="21"/>
          <w:szCs w:val="21"/>
        </w:rPr>
        <w:t>Interamericana para Prevenir, Sancionar y Erradicar la Violencia contra la mujer, mejor conocida como «Convención Belem Do Para», reconoce que la violencia contra las mujeres impide y anula el ejercicio de sus derechos civiles políticos, económicos, sociales y culturales, que por ello, los Estados Parte, como es México, debe velar porque las autoridades, funcionarios, agentes e instituciones se abstengan de cometer cualquier acto o violencia las autoridades deben prevenir, sancionar y erradicar la violencia contra las mujeres. Que por ello el poder legislativo del estado, debe incluir en su legislación interna normas necesarias para prevenir, sancionar y erradicar la violencia contra las mujeres tomando las medidas apropiadas, incluidas las medidas de tipo legislativo para modificar las prácticas jurídicas o consuetudinarias que respalden este tipo de violencia.»</w:t>
      </w:r>
    </w:p>
    <w:p w14:paraId="60405CA2" w14:textId="77777777" w:rsidR="00427BD6" w:rsidRPr="00947EC7" w:rsidRDefault="00427BD6" w:rsidP="00EF7206">
      <w:pPr>
        <w:ind w:left="1134"/>
        <w:jc w:val="both"/>
        <w:rPr>
          <w:rFonts w:ascii="Abadi" w:hAnsi="Abadi" w:cs="Calibri"/>
          <w:i/>
          <w:iCs/>
          <w:sz w:val="21"/>
          <w:szCs w:val="21"/>
        </w:rPr>
      </w:pPr>
    </w:p>
    <w:p w14:paraId="202EA711" w14:textId="77777777" w:rsidR="00427BD6" w:rsidRPr="00947EC7" w:rsidRDefault="00427BD6" w:rsidP="00EF7206">
      <w:pPr>
        <w:jc w:val="both"/>
        <w:rPr>
          <w:rFonts w:ascii="Abadi" w:hAnsi="Abadi" w:cs="Calibri"/>
          <w:sz w:val="21"/>
          <w:szCs w:val="21"/>
        </w:rPr>
      </w:pPr>
      <w:r w:rsidRPr="00947EC7">
        <w:rPr>
          <w:rFonts w:ascii="Abadi" w:eastAsia="Batang" w:hAnsi="Abadi" w:cs="Arial"/>
          <w:sz w:val="21"/>
          <w:szCs w:val="21"/>
        </w:rPr>
        <w:t>El ayuntamiento de Irapuato opinó que:</w:t>
      </w:r>
      <w:r w:rsidRPr="00947EC7">
        <w:rPr>
          <w:rFonts w:ascii="Abadi" w:hAnsi="Abadi" w:cs="Calibri"/>
          <w:sz w:val="21"/>
          <w:szCs w:val="21"/>
        </w:rPr>
        <w:t xml:space="preserve"> </w:t>
      </w:r>
    </w:p>
    <w:p w14:paraId="38CC0673" w14:textId="77777777" w:rsidR="00427BD6" w:rsidRPr="00947EC7" w:rsidRDefault="00427BD6" w:rsidP="00EF7206">
      <w:pPr>
        <w:jc w:val="both"/>
        <w:rPr>
          <w:rFonts w:ascii="Abadi" w:hAnsi="Abadi" w:cs="Calibri"/>
          <w:sz w:val="21"/>
          <w:szCs w:val="21"/>
        </w:rPr>
      </w:pPr>
    </w:p>
    <w:p w14:paraId="06204A5D"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 atendiendo al análisis de fondo realizado sobre estas Iniciativas con Proyecto de Decreto mencionadas en supra líneas, me permito invocar la Tesis Jurisprudencia P./J. 13/2012 (10a.), a rubro: DERECHO A SER VOTADO. LOS REQUISITOS PARA SER REGISTRADO COMO CANDIDATO A UN CARGO DE ELECCIÓN POPULAR SÓLO PUEDEN SER LOS DERIVADOS DIRECTAMENTE DE LOS DIVERSOS DE ELEGIBILIDAD. La cual establece que: "Los requisitos para ser registrado como candidato a un cargo de elección popular sólo pueden ser los derivados directamente de los diversos de elegibilidad. Es decir, sólo los trámites y las cargas que tienden a demostrar que el ciudadano reúne las calidades de ley para ejercer el cargo al que aspira son </w:t>
      </w:r>
      <w:r w:rsidRPr="00947EC7">
        <w:rPr>
          <w:rFonts w:ascii="Abadi" w:hAnsi="Abadi" w:cs="Calibri"/>
          <w:i/>
          <w:iCs/>
          <w:sz w:val="21"/>
          <w:szCs w:val="21"/>
        </w:rPr>
        <w:lastRenderedPageBreak/>
        <w:t>requisitos que válidamente pueden establecerse dentro del procedimiento de registro de las candidaturas respectivas, sin que sea admisible establecer condiciones adicionales para realizar el registro, pues ese trámite forma parte del ejercicio del derecho humano a ser atado, sin que pueda ser escindido normativamente de él." Bajo este contexto, se sugiere revisar si con las Iniciativas con Proyecto de Decreto mediante las cuales proponen reformar diversos artículos de la Constitución Política para el Estado de Guanajuato y de la Ley de Instituciones y Procedimientos Electorales para el Estado de Guanajuato, no se estuviera vulnerando el derecho humano y constitucional de toda persona a ser votado.</w:t>
      </w:r>
    </w:p>
    <w:p w14:paraId="1FD18A6F" w14:textId="77777777" w:rsidR="00427BD6" w:rsidRPr="00947EC7" w:rsidRDefault="00427BD6" w:rsidP="00EF7206">
      <w:pPr>
        <w:pStyle w:val="Textoindependiente"/>
        <w:ind w:left="1356" w:firstLine="666"/>
        <w:rPr>
          <w:rFonts w:ascii="Abadi" w:hAnsi="Abadi" w:cs="Calibri"/>
          <w:color w:val="212121"/>
          <w:w w:val="105"/>
          <w:sz w:val="21"/>
          <w:szCs w:val="21"/>
        </w:rPr>
      </w:pPr>
    </w:p>
    <w:p w14:paraId="44B88417" w14:textId="77777777" w:rsidR="00427BD6" w:rsidRPr="00947EC7" w:rsidRDefault="00427BD6" w:rsidP="00EF7206">
      <w:pPr>
        <w:pStyle w:val="Prrafodelista"/>
        <w:widowControl w:val="0"/>
        <w:tabs>
          <w:tab w:val="left" w:pos="2122"/>
        </w:tabs>
        <w:autoSpaceDE w:val="0"/>
        <w:autoSpaceDN w:val="0"/>
        <w:spacing w:before="12"/>
        <w:ind w:left="0"/>
        <w:jc w:val="both"/>
        <w:rPr>
          <w:rFonts w:ascii="Abadi" w:hAnsi="Abadi" w:cs="Calibri"/>
          <w:sz w:val="21"/>
          <w:szCs w:val="21"/>
        </w:rPr>
      </w:pPr>
      <w:r w:rsidRPr="00947EC7">
        <w:rPr>
          <w:rFonts w:ascii="Abadi" w:eastAsia="Batang" w:hAnsi="Abadi" w:cs="Arial"/>
          <w:sz w:val="21"/>
          <w:szCs w:val="21"/>
        </w:rPr>
        <w:t>El Ayuntamiento de Celaya manifestó en su momento que:</w:t>
      </w:r>
      <w:r w:rsidRPr="00947EC7">
        <w:rPr>
          <w:rFonts w:ascii="Abadi" w:hAnsi="Abadi" w:cs="Calibri"/>
          <w:sz w:val="21"/>
          <w:szCs w:val="21"/>
        </w:rPr>
        <w:t xml:space="preserve"> </w:t>
      </w:r>
    </w:p>
    <w:p w14:paraId="75B02FEF" w14:textId="77777777" w:rsidR="00427BD6" w:rsidRPr="00947EC7" w:rsidRDefault="00427BD6" w:rsidP="00EF7206">
      <w:pPr>
        <w:pStyle w:val="Prrafodelista"/>
        <w:widowControl w:val="0"/>
        <w:tabs>
          <w:tab w:val="left" w:pos="2122"/>
        </w:tabs>
        <w:autoSpaceDE w:val="0"/>
        <w:autoSpaceDN w:val="0"/>
        <w:spacing w:before="12"/>
        <w:ind w:left="0"/>
        <w:jc w:val="both"/>
        <w:rPr>
          <w:rFonts w:ascii="Abadi" w:hAnsi="Abadi" w:cs="Calibri"/>
          <w:sz w:val="21"/>
          <w:szCs w:val="21"/>
        </w:rPr>
      </w:pPr>
    </w:p>
    <w:p w14:paraId="032BCBE7"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la normativa propuesta en la presente iniciativa ya está regulada en otros ordenamientos en la materia, por lo que existiría una sobrerregulación.</w:t>
      </w:r>
    </w:p>
    <w:p w14:paraId="423A1BEF" w14:textId="77777777" w:rsidR="00427BD6" w:rsidRPr="00947EC7" w:rsidRDefault="00427BD6" w:rsidP="00EF7206">
      <w:pPr>
        <w:pStyle w:val="Prrafodelista"/>
        <w:widowControl w:val="0"/>
        <w:tabs>
          <w:tab w:val="left" w:pos="2122"/>
        </w:tabs>
        <w:autoSpaceDE w:val="0"/>
        <w:autoSpaceDN w:val="0"/>
        <w:spacing w:before="12"/>
        <w:ind w:left="0"/>
        <w:jc w:val="both"/>
        <w:rPr>
          <w:rFonts w:ascii="Abadi" w:hAnsi="Abadi" w:cs="Calibri"/>
          <w:sz w:val="21"/>
          <w:szCs w:val="21"/>
        </w:rPr>
      </w:pPr>
    </w:p>
    <w:p w14:paraId="4A4E7073" w14:textId="77777777" w:rsidR="00427BD6" w:rsidRPr="00947EC7" w:rsidRDefault="00427BD6" w:rsidP="00EF7206">
      <w:pPr>
        <w:jc w:val="both"/>
        <w:rPr>
          <w:rFonts w:ascii="Abadi" w:eastAsia="Batang" w:hAnsi="Abadi" w:cs="Arial"/>
          <w:sz w:val="21"/>
          <w:szCs w:val="21"/>
        </w:rPr>
      </w:pPr>
      <w:r w:rsidRPr="00947EC7">
        <w:rPr>
          <w:rFonts w:ascii="Abadi" w:eastAsia="Batang" w:hAnsi="Abadi" w:cs="Arial"/>
          <w:sz w:val="21"/>
          <w:szCs w:val="21"/>
        </w:rPr>
        <w:t xml:space="preserve">El Instituto Electoral del Estado de Guanajuato opinó lo siguiente: </w:t>
      </w:r>
    </w:p>
    <w:p w14:paraId="3E3CC757" w14:textId="77777777" w:rsidR="00427BD6" w:rsidRPr="00947EC7" w:rsidRDefault="00427BD6" w:rsidP="00EF7206">
      <w:pPr>
        <w:jc w:val="both"/>
        <w:rPr>
          <w:rFonts w:ascii="Abadi" w:eastAsia="Batang" w:hAnsi="Abadi" w:cs="Arial"/>
          <w:sz w:val="21"/>
          <w:szCs w:val="21"/>
        </w:rPr>
      </w:pPr>
    </w:p>
    <w:p w14:paraId="3CB82D19"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 una vez analizada la referida iniciativa por las consejeras y consejeros electorales del Consejo General de este Instituto a la luz del marco normativo previsto en la Constitución Política para el Estado de Guanajuato, así como en la Ley de Instituciones y Procedimientos Electorales para el Estado de Guanajuato, no se advierte que su contenido entre en conflicto con las disposiciones jurídicas que rigen el ámbito de competencia de este Instituto. No obstante, le manifiesto que este organismo considera oportuno agregar a los supuestos de </w:t>
      </w:r>
      <w:r w:rsidRPr="00947EC7">
        <w:rPr>
          <w:rFonts w:ascii="Abadi" w:hAnsi="Abadi" w:cs="Calibri"/>
          <w:i/>
          <w:iCs/>
          <w:sz w:val="21"/>
          <w:szCs w:val="21"/>
        </w:rPr>
        <w:t>inelegibilidad propuestos en la iniciativa para ocupar cargos públicos de elección popular, los casos en que las personas hayan sido sentenciadas por las autoridades electorales en materia de violencia política contra las mujeres en razón de género y se encuentren inscritas en el Registro Nacional de Personas Sancionadas en Materia de Violencia Política contra las Mujeres en Razón de Género y en su similar del estado de Guanajuato. Lo anterior, derivado de que la competencia para conocer de irregularidades e infracciones a la normativa electoral en esta materia se otorga a las autoridades administrativas electorales, así como a las jurisdiccionales tanto a nivel federal como local, respectivamente, dependiendo del tipo de infracción, la legislación vulnerada y las circunstancias de comisión de los hechos denunciados.</w:t>
      </w:r>
    </w:p>
    <w:p w14:paraId="00A6DF6B" w14:textId="77777777" w:rsidR="00427BD6" w:rsidRPr="00947EC7" w:rsidRDefault="00427BD6" w:rsidP="00EF7206">
      <w:pPr>
        <w:ind w:left="1134"/>
        <w:jc w:val="both"/>
        <w:rPr>
          <w:rFonts w:ascii="Abadi" w:hAnsi="Abadi" w:cs="Calibri"/>
          <w:i/>
          <w:iCs/>
          <w:sz w:val="21"/>
          <w:szCs w:val="21"/>
        </w:rPr>
      </w:pPr>
    </w:p>
    <w:p w14:paraId="1CD5BC5A"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En efecto, en la jurisprudencia 12/2021 de rubro JUICIO PARA LA PROTECCIÓN DE LOS DERECHOS POLÍTICO-ELECTORALES DEL CIUDADANO. ES UNA VÍA INDEPENDIENTE O SIMULTÁNEA AL PROCEDIMIENTO ESPECIAL SANCIONADOR PARA IMPUGNAR ACTOS O RESOLUCIONES EN CONTEXTOS DE VIOLENCIA POLÍTICA EN RAZÓN DE GÉNERO, la Sala Superior del Tribunal Electoral del Poder Judicial de la Federación determinó que, en casos donde se alegue la afectación de derechos político-electorales por actos cometidos en contextos de violencia política en razón de género, la presentación de juicios de ciudadanía, o sus equivalentes en el ámbito local, no requiere necesariamente la previa presentación y resolución de quejas o denuncias, pudiéndose presentar de manera autónoma o </w:t>
      </w:r>
      <w:r w:rsidRPr="00947EC7">
        <w:rPr>
          <w:rFonts w:ascii="Abadi" w:hAnsi="Abadi" w:cs="Calibri"/>
          <w:i/>
          <w:iCs/>
          <w:sz w:val="21"/>
          <w:szCs w:val="21"/>
        </w:rPr>
        <w:lastRenderedPageBreak/>
        <w:t>simultánea respecto de un procedimiento especial sancionador, siempre que la pretensión de la parte actora sea la protección y reparación de sus derechos político-electorales y no exclusivamente la imposición de sanciones al responsable, de lo cual deriva que la sentencia por violencia política contra las mujeres en razón de género puede provenir de la autoridad electoral que haya resuelto un procedimiento especial sancionador o un juicio para la protección de los derechos político- electorales del ciudadano. (…) Este tema resulta de especial relevancia porque si bien, en la iniciativa que se pone a nuestra consideración no se contempla una reforma legal a las disposiciones normativas que prevén los requisitos documentales que deben acompañarse a la solicitud de registro de candidaturas, la incorporación de la presentación del formato «3 de 3 contra la violencia» a dichos requisitos sería relevante en aras de una armonización legislativa que contribuya a la prevención, atención, sanción, reparación y erradicación de la violencia política electoral en razón de género, así como a construir condiciones de igualdad sustantiva entre mujeres y hombres en el ámbito público.</w:t>
      </w:r>
    </w:p>
    <w:p w14:paraId="4EA7902D" w14:textId="77777777" w:rsidR="00427BD6" w:rsidRPr="00947EC7" w:rsidRDefault="00427BD6" w:rsidP="00EF7206">
      <w:pPr>
        <w:ind w:left="1134"/>
        <w:jc w:val="both"/>
        <w:rPr>
          <w:rFonts w:ascii="Abadi" w:hAnsi="Abadi" w:cs="Calibri"/>
          <w:i/>
          <w:iCs/>
          <w:sz w:val="21"/>
          <w:szCs w:val="21"/>
        </w:rPr>
      </w:pPr>
    </w:p>
    <w:p w14:paraId="0D52FEA2" w14:textId="77777777" w:rsidR="00427BD6" w:rsidRPr="00947EC7" w:rsidRDefault="00427BD6" w:rsidP="00EF7206">
      <w:pPr>
        <w:pStyle w:val="Textoindependiente"/>
        <w:rPr>
          <w:rFonts w:ascii="Abadi" w:hAnsi="Abadi" w:cs="Calibri"/>
          <w:sz w:val="21"/>
          <w:szCs w:val="21"/>
        </w:rPr>
      </w:pPr>
      <w:r w:rsidRPr="00947EC7">
        <w:rPr>
          <w:rFonts w:ascii="Abadi" w:eastAsia="Batang" w:hAnsi="Abadi"/>
          <w:sz w:val="21"/>
          <w:szCs w:val="21"/>
          <w:lang w:val="es-MX" w:eastAsia="en-US"/>
        </w:rPr>
        <w:t>El Ayuntamiento de León consideró en su opinión que:</w:t>
      </w:r>
      <w:r w:rsidRPr="00947EC7">
        <w:rPr>
          <w:rFonts w:ascii="Abadi" w:hAnsi="Abadi" w:cs="Calibri"/>
          <w:sz w:val="21"/>
          <w:szCs w:val="21"/>
        </w:rPr>
        <w:t xml:space="preserve"> </w:t>
      </w:r>
    </w:p>
    <w:p w14:paraId="43FF346A" w14:textId="77777777" w:rsidR="00427BD6" w:rsidRPr="00947EC7" w:rsidRDefault="00427BD6" w:rsidP="00EF7206">
      <w:pPr>
        <w:pStyle w:val="Textoindependiente"/>
        <w:rPr>
          <w:rFonts w:ascii="Abadi" w:hAnsi="Abadi" w:cs="Calibri"/>
          <w:sz w:val="21"/>
          <w:szCs w:val="21"/>
        </w:rPr>
      </w:pPr>
    </w:p>
    <w:p w14:paraId="308A9CC0"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 existe una falta de congruencia entre los artículos que proponen reformar los iniciantes en relación a los artículos contemplados en el impacto jurídico de la iniciativa. La propia Constitución Política de los Estados Unidos Mexicanos, en su artículo 35 fracción II, establece como un derecho de la ciudadanía poder ser votada en condiciones de paridad para </w:t>
      </w:r>
      <w:r w:rsidRPr="00947EC7">
        <w:rPr>
          <w:rFonts w:ascii="Abadi" w:hAnsi="Abadi" w:cs="Calibri"/>
          <w:i/>
          <w:iCs/>
          <w:sz w:val="21"/>
          <w:szCs w:val="21"/>
        </w:rPr>
        <w:t xml:space="preserve">todos los cargos de elección popular, teniendo las calidades que establezca la ley. El derecho de solicitar el registro de candidatos y candidatas ante la autoridad electoral corresponde a los partidos políticos, así como a los ciudadanos y ciudadanas que soliciten su registro de manera independiente y cumplan con los requisitos, condiciones y términos que determine la legislación. Por otro lado, el artículo 41 de nuestra Carta Magna, fracción IV establece que la Ley establecerá los requisitos y las formas de realización de los procesos de selección y postulación de candidatos a 'cargos de elección popular. Así mismo, en su artículo 73, fracción XXIX-U, la Constitución Federal establece la facultad del Congreso de la Unión para expedir las leves generales que distribuyan competencias entre la Federación v las entidades federativas en materias de partidos políticos, organismos electorales v procesos electorales. conforme a las bases previstas establecidas en la propia Constitución. En ese sentido, se considera que a través del 3 de 3 contra la violencia se instrumenta una medida reglamentaria que posibilitará garantizar a la ciudadanía y a la sociedad en su conjunto, que las personas que los partidos políticos postulan en las candidaturas, no detentan antecedentes que, por su naturaleza, son indicativos de que la persona aspirante a la titularidad de una candidatura a cargo de elección popular es proclive a ejercer conductas constitutivas de violencia en contra de la mujer por razón de género. Ejercer un cargo de elección popular reviste de gran importancia, por las facultades conferidas, decisiones que se pueden adoptar y el manejo de recursos públicos que están a su </w:t>
      </w:r>
      <w:r w:rsidRPr="00947EC7">
        <w:rPr>
          <w:rFonts w:ascii="Abadi" w:hAnsi="Abadi" w:cs="Calibri"/>
          <w:i/>
          <w:iCs/>
          <w:sz w:val="21"/>
          <w:szCs w:val="21"/>
        </w:rPr>
        <w:lastRenderedPageBreak/>
        <w:t>disposición; razón por la cual, desde los partidos políticos se debe garantizar la idoneidad de las personas que aspiran a ocupar y permanecer en dichos cargos públicos, y verificar que no hayan incurrido en actos u omisiones que violenten o afecten de manera desproporcionada a las mujeres.</w:t>
      </w:r>
    </w:p>
    <w:p w14:paraId="50AC4E36" w14:textId="77777777" w:rsidR="00427BD6" w:rsidRPr="00947EC7" w:rsidRDefault="00427BD6" w:rsidP="00EF7206">
      <w:pPr>
        <w:ind w:left="1134"/>
        <w:jc w:val="both"/>
        <w:rPr>
          <w:rFonts w:ascii="Abadi" w:hAnsi="Abadi" w:cs="Calibri"/>
          <w:i/>
          <w:iCs/>
          <w:sz w:val="21"/>
          <w:szCs w:val="21"/>
        </w:rPr>
      </w:pPr>
    </w:p>
    <w:p w14:paraId="7D414CFF"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xml:space="preserve">(…) Por todo lo anterior, este Ayuntamiento se manifiesta en estar de acuerdo en la necesidad de contar con servidores públicos cuyo modo honesto de vivir se refleje en su actuar público, resultando necesario procurar contar con los mejores elementos cuya congruencia se refleje en el desarrollo de s actividades a favor de la sociedad; evitando que las personas servidoras públicas sean propensas a ejercer actos de violencia contra la mujer por razón de género y éstos sean sujetos de observaciones públicas por incumplimiento de obligaciones. Con lo anterior, nos sumamos a lo ya argumentado por el Instituto Nacional Electoral en el sentido de que la propia evolución del sistema jurídico propicia la implementación de medidas que permitan prevenir, sancionar y erradicar la violencia política contra las mujeres, así como atender la necesidad de proteger de manera integral los derechos humanos; lo anterior, en la búsqueda de garantizar la idoneidad de las personas que aspiran a ocupar un cargo público. Es así que nos manifestamos a favor del fondo de la propuesta; sin embargo, se sugiere valorar la idoneidad de sumar las disposiciones propuestas dentro del marco constitucional, para lo cual se propone incluirlas, en su caso, dentro del artículo 11 de la Ley de Instituciones y Procedimientos Electorales para el Estado de Guanajuato, ya que este último establece los requisitos de </w:t>
      </w:r>
      <w:r w:rsidRPr="00947EC7">
        <w:rPr>
          <w:rFonts w:ascii="Abadi" w:hAnsi="Abadi" w:cs="Calibri"/>
          <w:i/>
          <w:iCs/>
          <w:sz w:val="21"/>
          <w:szCs w:val="21"/>
        </w:rPr>
        <w:t>elegibilidad para los cargos de Gobernador, Diputado y miembro del Ayuntamiento.</w:t>
      </w:r>
    </w:p>
    <w:p w14:paraId="4D33DB9B" w14:textId="77777777" w:rsidR="00427BD6" w:rsidRPr="00947EC7" w:rsidRDefault="00427BD6" w:rsidP="00EF720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597CA4A5" w14:textId="77777777" w:rsidR="00427BD6" w:rsidRPr="00947EC7" w:rsidRDefault="00427BD6" w:rsidP="00EF7206">
      <w:pPr>
        <w:pStyle w:val="Textoindependiente"/>
        <w:rPr>
          <w:rFonts w:ascii="Abadi" w:hAnsi="Abadi" w:cs="Calibri"/>
          <w:sz w:val="21"/>
          <w:szCs w:val="21"/>
        </w:rPr>
      </w:pPr>
      <w:r w:rsidRPr="00947EC7">
        <w:rPr>
          <w:rFonts w:ascii="Abadi" w:eastAsia="Batang" w:hAnsi="Abadi"/>
          <w:sz w:val="21"/>
          <w:szCs w:val="21"/>
          <w:lang w:val="es-MX" w:eastAsia="en-US"/>
        </w:rPr>
        <w:t>El Ayuntamiento de Victoria manifiesta que:</w:t>
      </w:r>
      <w:r w:rsidRPr="00947EC7">
        <w:rPr>
          <w:rFonts w:ascii="Abadi" w:hAnsi="Abadi" w:cs="Calibri"/>
          <w:sz w:val="21"/>
          <w:szCs w:val="21"/>
        </w:rPr>
        <w:t xml:space="preserve"> </w:t>
      </w:r>
    </w:p>
    <w:p w14:paraId="1DC537E4" w14:textId="77777777" w:rsidR="00427BD6" w:rsidRPr="00947EC7" w:rsidRDefault="00427BD6" w:rsidP="00EF7206">
      <w:pPr>
        <w:pStyle w:val="Textoindependiente"/>
        <w:rPr>
          <w:rFonts w:ascii="Abadi" w:hAnsi="Abadi" w:cs="Calibri"/>
          <w:sz w:val="21"/>
          <w:szCs w:val="21"/>
        </w:rPr>
      </w:pPr>
    </w:p>
    <w:p w14:paraId="31FDF986"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fue necesario incluir en la legislación interna las normas necesarias para prevenir, sancionar y erradicar la violencia contra las mujeres, así como tomar todas las medidas apropiadas, incluyendo las medidas de tipo legislativo, para modificar las prácticas jurídicas o consuetudinarias que respalden la persistencia o la tolerancia de la violencia contra la mujer, dado que su eliminación es condición indispensable para garantizar su pleno desarrollo y participación en todas las esferas de la vida. En este tenor, esta comisión se pronuncia estar a favor de dicha iniciativa, a efecto de fortalecer y garantizar una vida libre de violencia en contra de las mujeres por razón de género, con la finalidad de elevar los estándares de ética y responsabilidad pública, fortaleciendo con ello la consolidación de una cultura democrática y libre de todo tipo de violencia. Respetando la autonomía del municipio libre.</w:t>
      </w:r>
    </w:p>
    <w:p w14:paraId="775A5F65" w14:textId="77777777" w:rsidR="00427BD6" w:rsidRPr="00947EC7" w:rsidRDefault="00427BD6" w:rsidP="00EF7206">
      <w:pPr>
        <w:pStyle w:val="Textoindependiente"/>
        <w:rPr>
          <w:rFonts w:ascii="Abadi" w:hAnsi="Abadi" w:cs="Calibri"/>
          <w:sz w:val="21"/>
          <w:szCs w:val="21"/>
        </w:rPr>
      </w:pPr>
    </w:p>
    <w:p w14:paraId="610A9E19" w14:textId="77777777" w:rsidR="00427BD6" w:rsidRPr="00947EC7" w:rsidRDefault="00427BD6" w:rsidP="00EF7206">
      <w:pPr>
        <w:pStyle w:val="Textoindependiente"/>
        <w:rPr>
          <w:rFonts w:ascii="Abadi" w:eastAsia="Batang" w:hAnsi="Abadi"/>
          <w:sz w:val="21"/>
          <w:szCs w:val="21"/>
          <w:lang w:val="es-MX" w:eastAsia="en-US"/>
        </w:rPr>
      </w:pPr>
      <w:r w:rsidRPr="00947EC7">
        <w:rPr>
          <w:rFonts w:ascii="Abadi" w:eastAsia="Batang" w:hAnsi="Abadi"/>
          <w:sz w:val="21"/>
          <w:szCs w:val="21"/>
          <w:lang w:val="es-MX" w:eastAsia="en-US"/>
        </w:rPr>
        <w:t>La Procuraduría de los Derechos Humanos del Estado de Guanajuato manifestó en su opinión lo siguiente:</w:t>
      </w:r>
    </w:p>
    <w:p w14:paraId="6F602163" w14:textId="77777777" w:rsidR="00427BD6" w:rsidRPr="00947EC7" w:rsidRDefault="00427BD6" w:rsidP="00EF7206">
      <w:pPr>
        <w:pStyle w:val="Textoindependiente"/>
        <w:rPr>
          <w:rFonts w:ascii="Abadi" w:eastAsia="Batang" w:hAnsi="Abadi"/>
          <w:sz w:val="21"/>
          <w:szCs w:val="21"/>
          <w:lang w:val="es-MX" w:eastAsia="en-US"/>
        </w:rPr>
      </w:pPr>
    </w:p>
    <w:p w14:paraId="55EDB9EA"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t>(…) las personas que estén condenadas mediante sentencia ejecutoriada por el delito de violencia política contra las mujeres en razón de género; Las personas que estén condenadas mediante sentencia ejecutoriada por delitos de violencia familiar o contra la libertad sexual; y Las personas que estén inscritas en el Registro de deudores alimentarios del Estado o de otra entidad federativa.</w:t>
      </w:r>
    </w:p>
    <w:p w14:paraId="1C023607" w14:textId="77777777" w:rsidR="00427BD6" w:rsidRPr="00947EC7" w:rsidRDefault="00427BD6" w:rsidP="00EF7206">
      <w:pPr>
        <w:ind w:left="1134"/>
        <w:jc w:val="both"/>
        <w:rPr>
          <w:rFonts w:ascii="Abadi" w:hAnsi="Abadi" w:cs="Calibri"/>
          <w:i/>
          <w:iCs/>
          <w:sz w:val="21"/>
          <w:szCs w:val="21"/>
        </w:rPr>
      </w:pPr>
    </w:p>
    <w:p w14:paraId="1BDF733A" w14:textId="77777777" w:rsidR="00427BD6" w:rsidRPr="00947EC7" w:rsidRDefault="00427BD6" w:rsidP="00EF7206">
      <w:pPr>
        <w:ind w:left="1134"/>
        <w:jc w:val="both"/>
        <w:rPr>
          <w:rFonts w:ascii="Abadi" w:hAnsi="Abadi" w:cs="Calibri"/>
          <w:i/>
          <w:iCs/>
          <w:sz w:val="21"/>
          <w:szCs w:val="21"/>
        </w:rPr>
      </w:pPr>
      <w:r w:rsidRPr="00947EC7">
        <w:rPr>
          <w:rFonts w:ascii="Abadi" w:hAnsi="Abadi" w:cs="Calibri"/>
          <w:i/>
          <w:iCs/>
          <w:sz w:val="21"/>
          <w:szCs w:val="21"/>
        </w:rPr>
        <w:lastRenderedPageBreak/>
        <w:t xml:space="preserve">Con respecto a los puntos 1 y 2, tanto la Constitución Política de los Estados Unidos Mexicanos en su artículo 381 así como la Constitución Política del Estado de Guanajuato en su artículo 25 contemplan los supuestos de suspensión que deberán operar en tanto se cumple una pena privativa de libertad, derivada de una sentencia firme que haya decretado la pena de suspensión de esos derechos. Por otro lado, debe mencionarse que los 2 supuestos antes citados no pueden interpretarse ni extenderse a aquellas personas que, aun habiendo sido condenadas, ya hayan cumplido sus sentencias o a aquellas personas que se encuentren en procesos en los que exista una condena por los supuestos en comento, hasta en tanto no sea definitiva la sentencia en la que se haya impuesto dicha condena. Al respecto, la Suprema Corte de Justicia de la Nación al analizar una norma de redacción similar en la Ley Electoral del Estado de Tamaulipas3, estableció lo siguiente: 'I- ..] al utilizar la expresión, "estar condenada o condenado", se refiere a una condena que sigue surtiendo sus efectos; es decir, que la persona se encuentra durante la vigencia temporal de la sanción penal aplicada de manera definitiva". "[...]Además, con esta interpretación, la restricción al derecho a ser votado no se vuelve atemporal. Se estará en esa causal de impedimento únicamente cuando la respectiva persona esté cumpliendo con la sanción aplicada por el delito de violencia política contra las mujeres en razón de género. No así de manera indefinida, lo cual sería desproporciona/ al fin buscado. En relación al impedimento del punto número 3 de la iniciativa que propone: "Las personas que estén inscritas en el Registro de Deudores </w:t>
      </w:r>
      <w:r w:rsidRPr="00947EC7">
        <w:rPr>
          <w:rFonts w:ascii="Abadi" w:hAnsi="Abadi" w:cs="Calibri"/>
          <w:i/>
          <w:iCs/>
          <w:sz w:val="21"/>
          <w:szCs w:val="21"/>
        </w:rPr>
        <w:t>Alimentarios del Estado o de otra entidad federativa". Debe mencionarse que la Suprema Corte de Justicia de la Nación ha señalado que las entidades federativas tienen un amplio margen de configuración para instaurar tanto requisitos de elegibilidad como procedimientos o trámites que tengan por objeto acreditar esos requisitos; sin embargo, los requisitos que modifiquen o se agreguen a aquellos establecidos en la Constitución Política de los Estados Unidos Mexicanos, deben reunir tres condiciones de validez: a) Ajustarse a la Constitución Federal, tanto en su contenido orgánico, como respecto de los derechos humanos y los derechos políticos. Guardar razonabilidad constitucional en cuanto a los fines que persiguen, y deben ser acordes con los Tratados Internacionales en materia de derechos humanos y de derechos civiles y políticos en los que México sea parte".</w:t>
      </w:r>
    </w:p>
    <w:p w14:paraId="665432E3" w14:textId="77777777" w:rsidR="00427BD6" w:rsidRPr="00947EC7" w:rsidRDefault="00427BD6" w:rsidP="00427BD6">
      <w:pPr>
        <w:ind w:left="1134"/>
        <w:jc w:val="both"/>
        <w:rPr>
          <w:rFonts w:ascii="Abadi" w:hAnsi="Abadi" w:cs="Calibri"/>
          <w:i/>
          <w:iCs/>
          <w:sz w:val="21"/>
          <w:szCs w:val="21"/>
        </w:rPr>
      </w:pPr>
    </w:p>
    <w:p w14:paraId="47311EDB"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Al respecto, la Corte Interamericana de Derechos Humanos ha señalado en relación al derecho que toda persona tiene al trabajo, el cual implica el goce del mismo en condiciones justas, equitativas y satisfactorias, que los procesos de nombramiento para cargos en la administración pública deben tener como función, la selección según los méritos y calidades del aspirante, asegurando la igualdad de oportunidades en el acceso al servicio público. Así, para la elección de cargos en la administración pública, deben definirse de manera general y objetiva las calidades necesarias para que una persona pueda ser nombrada; las cuales deberán estar directamente relacionadas con el perfil idóneo para el desempeño de la función, a partir de criterios objetivos y </w:t>
      </w:r>
      <w:r w:rsidRPr="00947EC7">
        <w:rPr>
          <w:rFonts w:ascii="Abadi" w:hAnsi="Abadi" w:cs="Calibri"/>
          <w:i/>
          <w:iCs/>
          <w:sz w:val="21"/>
          <w:szCs w:val="21"/>
        </w:rPr>
        <w:lastRenderedPageBreak/>
        <w:t>razonables que eviten discriminar, sin debida justificación, a personas con calificaciones, capacidades o competencias requeridas para el desempeño de la función. Por ello, se debe verificar que, en el diseño de los mecanismos de selección y permanencia, los factores preponderantes sea el mérito personal y la capacidad profesional, de acuerdo a las necesidades específicas de las funciones que se van a desempeñar, para de ese modo, garantizar la igualdad de oportunidades a través de la libre concurrencia sin restricciones que impidan o dificulten la participación. En este mismo sentido, la Comisión Nacional de los Derechos Humanos formuló sus argumentos en la Acción de inconstitucionalidad 126/20217, respecto de una disposición similar a la propuesta en la iniciativa en comento, contenida en el artículo 31, fracción V, de la Ley de Transparencia y Acceso a la Información Pública para el Estado de Hidalgo, en los que en esencia, la Comisión estimó que este impedimento legal no era razonable, al no ser definitorio de la probidad o capacidad para desarrollar el cargo público señalado, debiendo comentarse que dicha Acción de inconstitucionalidad no ha sido resuelta a la fecha. Por lo antes expuesto, el impedimento del punto número 3 se considera que generaría un trato diferenciado a las personas contempladas en tal supuesto, vulneraría sus derechos de igualdad y no discriminación; y por lo tanto les impediría ejercitar en igualdad de condiciones otros derechos como la libertad de trabajo y el derecho a ocupar un cargo público.</w:t>
      </w:r>
    </w:p>
    <w:p w14:paraId="4279A315"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4F722934" w14:textId="164E1CF1" w:rsidR="00427BD6" w:rsidRPr="00947EC7" w:rsidRDefault="00427BD6" w:rsidP="00427BD6">
      <w:pPr>
        <w:pStyle w:val="Textoindependiente"/>
        <w:rPr>
          <w:rFonts w:ascii="Abadi" w:hAnsi="Abadi" w:cs="Calibri"/>
          <w:sz w:val="21"/>
          <w:szCs w:val="21"/>
        </w:rPr>
      </w:pPr>
      <w:r w:rsidRPr="00947EC7">
        <w:rPr>
          <w:rFonts w:ascii="Abadi" w:eastAsia="Batang" w:hAnsi="Abadi"/>
          <w:sz w:val="21"/>
          <w:szCs w:val="21"/>
          <w:lang w:val="es-MX" w:eastAsia="en-US"/>
        </w:rPr>
        <w:t xml:space="preserve">El Ayuntamiento de </w:t>
      </w:r>
      <w:r w:rsidR="00717F1B" w:rsidRPr="00947EC7">
        <w:rPr>
          <w:rFonts w:ascii="Abadi" w:eastAsia="Batang" w:hAnsi="Abadi"/>
          <w:sz w:val="21"/>
          <w:szCs w:val="21"/>
          <w:lang w:val="es-MX" w:eastAsia="en-US"/>
        </w:rPr>
        <w:t>Cortázar</w:t>
      </w:r>
      <w:r w:rsidRPr="00947EC7">
        <w:rPr>
          <w:rFonts w:ascii="Abadi" w:eastAsia="Batang" w:hAnsi="Abadi"/>
          <w:sz w:val="21"/>
          <w:szCs w:val="21"/>
          <w:lang w:val="es-MX" w:eastAsia="en-US"/>
        </w:rPr>
        <w:t xml:space="preserve"> opinó en su momento lo siguiente:</w:t>
      </w:r>
      <w:r w:rsidRPr="00947EC7">
        <w:rPr>
          <w:rFonts w:ascii="Abadi" w:hAnsi="Abadi" w:cs="Calibri"/>
          <w:sz w:val="21"/>
          <w:szCs w:val="21"/>
        </w:rPr>
        <w:t xml:space="preserve"> </w:t>
      </w:r>
    </w:p>
    <w:p w14:paraId="69A3A227" w14:textId="77777777" w:rsidR="00427BD6" w:rsidRPr="00947EC7" w:rsidRDefault="00427BD6" w:rsidP="00427BD6">
      <w:pPr>
        <w:pStyle w:val="Textoindependiente"/>
        <w:rPr>
          <w:rFonts w:ascii="Abadi" w:hAnsi="Abadi" w:cs="Calibri"/>
          <w:sz w:val="21"/>
          <w:szCs w:val="21"/>
        </w:rPr>
      </w:pPr>
    </w:p>
    <w:p w14:paraId="4590B272"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 el problema de la violencia contra las mujeres se ha tratado de atender a nivel global desde hace décadas, mediante Cartas y Tratados internacionales que buscan que cada país que los suscribe cuenten con una legislación que contemple la perspectiva de género y sancione aquellas conductas que violentan, discriminan o sobajan al sexo femenino, basados en un machismo muy arraigado en la mayoría de las culturas que conforman la población mundial. México es un ejemplo muy claro de este fenómeno en todos los niveles socioeconómicos. Desde lo que sucede en las regiones rurales más apartadas donde se siguen presentando conductas ancestrales en las que, escudados por los "usos y costumbres", se realizan actos que violentan los más básicos derechos humanos de niñas, adolescentes y mujeres adultas; hasta lo que acontece en el resto del país, donde se aplican más puntualmente los preceptos que establecen nuestra Carta Magna y la legislación en la materia, y donde aún no se consigue igualar las condiciones sociales, económicas, culturales y familiares en las que se desenvuelven las mujeres, dejándolas en notoria desventaja respecto al sexo masculino. Nos parece adecuado, en lo general, lo que las iniciantes quieren adicionar a las restricciones que nuestra legislación pone a quienes pretender ser candidatos a un cargo político; no obstante, en lo que no estamos de acuerdo es en la redacción de la frase "... de violencia política contra las mujeres en razón de género;" pues resulta discriminatoria, ya que la violencia política también puede ser infringida a hombres o a individuos de cualquier género, incluyendo a los que en fechas recientes se les ha reconocido legalmente como personas "no binarias". Esa frase se encuentra </w:t>
      </w:r>
      <w:r w:rsidRPr="00947EC7">
        <w:rPr>
          <w:rFonts w:ascii="Abadi" w:hAnsi="Abadi" w:cs="Calibri"/>
          <w:i/>
          <w:iCs/>
          <w:sz w:val="21"/>
          <w:szCs w:val="21"/>
        </w:rPr>
        <w:lastRenderedPageBreak/>
        <w:t>en las siguientes secciones del proyecto de Decreto: En el artículo PRIMERO, correspondiente a las modificaciones a la Constitución Política para el Estado de Guanajuato. Las adiciones propuestas vendrían a establecer condiciones que aseguren que esos aspirantes sean personas honestas, íntegras y con preceptos morales que garanticen que tendrán un mejor desempeño en caso de ganar unas elecciones.</w:t>
      </w:r>
    </w:p>
    <w:p w14:paraId="5B1A980E" w14:textId="77777777" w:rsidR="00427BD6" w:rsidRPr="00947EC7" w:rsidRDefault="00427BD6" w:rsidP="00427BD6">
      <w:pPr>
        <w:ind w:left="1134"/>
        <w:jc w:val="both"/>
        <w:rPr>
          <w:rFonts w:ascii="Abadi" w:hAnsi="Abadi" w:cs="Calibri"/>
          <w:i/>
          <w:iCs/>
          <w:sz w:val="21"/>
          <w:szCs w:val="21"/>
        </w:rPr>
      </w:pPr>
    </w:p>
    <w:p w14:paraId="2648265B"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 xml:space="preserve">Las diputadas integrantes de la Comisión Para la Igualdad de Género manifestaron que: </w:t>
      </w:r>
    </w:p>
    <w:p w14:paraId="38F43FA9" w14:textId="77777777" w:rsidR="00427BD6" w:rsidRPr="00947EC7" w:rsidRDefault="00427BD6" w:rsidP="00427BD6">
      <w:pPr>
        <w:ind w:left="1134"/>
        <w:jc w:val="both"/>
        <w:rPr>
          <w:rFonts w:ascii="Abadi" w:hAnsi="Abadi" w:cs="Calibri"/>
          <w:i/>
          <w:iCs/>
          <w:sz w:val="21"/>
          <w:szCs w:val="21"/>
        </w:rPr>
      </w:pPr>
    </w:p>
    <w:p w14:paraId="0D3AFEA1"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 PRIMERO. Las diputadas que integramos esta comisión, coincidimos con la parte expositiva al señalar: «...» En este contexto, la Ley de Acceso de las Mujeres a Una Vida Libre de Violencia para el Estado de Guanajuato, actualmente reconoce catorce tipos de violencia que se ejercen contra las mujeres por razón de género, siendo estas, las violencias psicológica, física, patrimonial económica, sexual, laboral, docente, obstétrica, feminicida, política, por acoso, digital, institucional y simbólica, los cuales, se pueden presentar en diversas modalidades y ámbitos de la vida tanto públicos como privados, entre los que se encuentran el ámbito familiar y político, mismos que por su relevancia, frecuencia y gravedad, incluso están tipificados como delitos dentro de nuestro Código Penal Local, así como también sucede con los delitos contra la libertad sexual, dentro los que se contemplan aquellos actos de contenido sexual que amenazan, degradan, dañan el cuerpo o la sexualidad de la víctima, atentando contra su libertad, dignidad, seguridad sexual o integridad física e implicando el </w:t>
      </w:r>
      <w:r w:rsidRPr="00947EC7">
        <w:rPr>
          <w:rFonts w:ascii="Abadi" w:hAnsi="Abadi" w:cs="Calibri"/>
          <w:i/>
          <w:iCs/>
          <w:sz w:val="21"/>
          <w:szCs w:val="21"/>
        </w:rPr>
        <w:t>abuso de poder y la supremacía sobre ella, al denigrarla y concebirla como objeto, como sucede con los casos de violación, estupro, abusos sexuales, acoso y hostigamiento sexual, afectación a la intimidad y captación de menores.</w:t>
      </w:r>
    </w:p>
    <w:p w14:paraId="2B471DDD" w14:textId="77777777" w:rsidR="00427BD6" w:rsidRPr="00947EC7" w:rsidRDefault="00427BD6" w:rsidP="00427BD6">
      <w:pPr>
        <w:ind w:left="1134"/>
        <w:jc w:val="both"/>
        <w:rPr>
          <w:rFonts w:ascii="Abadi" w:hAnsi="Abadi" w:cs="Calibri"/>
          <w:i/>
          <w:iCs/>
          <w:sz w:val="21"/>
          <w:szCs w:val="21"/>
        </w:rPr>
      </w:pPr>
    </w:p>
    <w:p w14:paraId="625163AD"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En el año 2017, el Comité de la CEDAW emitió la recomendación general número 35, en la que además de reconocer la violencia por razón de género contra las mujeres constituye un grave obstáculo para lograr una igualdad sustantiva entre mujeres y hombres, y hacer factible el disfrute por parte de la mujer de sus derechos y libertades fundamentales, también recomienda adoptar y aplicar medidas legislativas preventivas adecuadas para abordar las causas subyacentes de la violencia por razón de género contra la mujer y aplicar medidas eficaces para abordar y erradicar los estereotipos, los prejuicios, las costumbres y las prácticas, que consienten o promueven la desigualdad y violencia por razón de género. Particularmente, en los sistemas gubernamentales con regímenes democráticos, es indispensable que quienes acceden a cargos públicos, en este caso, a cargos de elección popular, tanto por su naturaleza representativa como por las altas responsabilidades que conllevan, actúen en todo momento promoviendo, respetando, protegiendo y garantizando los derechos humanos y procurando la erradicación la violencia. Resulta evidente que las personas agresoras no están en condiciones de gobernar en beneficio de las mujeres, y que tampoco llevan un modo honesto de vivir, concepto que consiste en respetar los principios del sistema democrático mexicano, y que de acuerdo con el Tribunal Electoral del Poder Judicial de la </w:t>
      </w:r>
      <w:r w:rsidRPr="00947EC7">
        <w:rPr>
          <w:rFonts w:ascii="Abadi" w:hAnsi="Abadi" w:cs="Calibri"/>
          <w:i/>
          <w:iCs/>
          <w:sz w:val="21"/>
          <w:szCs w:val="21"/>
        </w:rPr>
        <w:lastRenderedPageBreak/>
        <w:t>Federación (TEPJF) se refiere "a la conducta constante, reiterada, asumida por una persona en el seno de la comunidad en la que reside, con apego y respeto a los principios de bienestar considerados por la generalidad de los habitantes de este núcleo social, en un lugar y tiempo determinados, como elementos necesarios para llevar una vida decente, decorosa, razonable y justa [...] Como se advierte, este concepto tiene un contenido eminentemente ético y social, que atiende a la conducta en sociedad, la cual debe ser ordenada y pacífica". Finalmente, el Tribunal, concluye que el modo honesto de vivir es el" comportamiento adecuado para hacer posible la vida civil del pueblo, por el acatamiento de deberes que imponen la condición de ser 'mexicano; en síntesis, quiere decir buen mexicano, y es un presupuesto para gozar de las prerrogativas inherentes a su calidad de ciudadano".</w:t>
      </w:r>
    </w:p>
    <w:p w14:paraId="6769CD1F" w14:textId="77777777" w:rsidR="00427BD6" w:rsidRPr="00947EC7" w:rsidRDefault="00427BD6" w:rsidP="00427BD6">
      <w:pPr>
        <w:ind w:left="1134"/>
        <w:jc w:val="both"/>
        <w:rPr>
          <w:rFonts w:ascii="Abadi" w:hAnsi="Abadi" w:cs="Calibri"/>
          <w:i/>
          <w:iCs/>
          <w:sz w:val="21"/>
          <w:szCs w:val="21"/>
        </w:rPr>
      </w:pPr>
    </w:p>
    <w:p w14:paraId="60EEFFF7"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Atendiendo lo establecido en los Tratados Internacionales y en nuestra Constitución, resulta imprescindible que las autoridades e instituciones dejen de normalizar, legitimar, perpetrar y tolerar cualquier acto de violencia de género, por el contrario, es necesario que ya se emita el mensaje de que estas acciones violentas generan consecuencias y se debe hacer todo lo posible para asegurar que las personas agresoras y violentas no puedan acceder a los puestos públicos, en este caso en específico, a los puestos de elección popular. «...»</w:t>
      </w:r>
    </w:p>
    <w:p w14:paraId="4BDEA18A" w14:textId="77777777" w:rsidR="00427BD6" w:rsidRPr="00947EC7" w:rsidRDefault="00427BD6" w:rsidP="00427BD6">
      <w:pPr>
        <w:ind w:left="1134"/>
        <w:jc w:val="both"/>
        <w:rPr>
          <w:rFonts w:ascii="Abadi" w:hAnsi="Abadi" w:cs="Calibri"/>
          <w:i/>
          <w:iCs/>
          <w:sz w:val="21"/>
          <w:szCs w:val="21"/>
        </w:rPr>
      </w:pPr>
    </w:p>
    <w:p w14:paraId="36E7F9CF"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SEGUNDO: La democracia en México permite que cualquier persona sea candidato o candidata y ser elegido para ocupar cualquier el cargo público al que desee ser aspirante, </w:t>
      </w:r>
      <w:r w:rsidRPr="00947EC7">
        <w:rPr>
          <w:rFonts w:ascii="Abadi" w:hAnsi="Abadi" w:cs="Calibri"/>
          <w:i/>
          <w:iCs/>
          <w:sz w:val="21"/>
          <w:szCs w:val="21"/>
        </w:rPr>
        <w:t xml:space="preserve">siempre y cuando cumpla con los requisitos establecidos en la Constitución de los Estados Unidos Mexicanos. Los requisitos de elegibilidad locales se norman en el Capítulo III de la Ley de Instituciones y Procedimientos Electorales para el Estado de Guanajuato, al señalar: Artículo 11. Son requisitos para ser Diputado, Gobernador del Estado o miembro de un Ayuntamiento, además de los que señalan respectivamente la Constitución Federal y los artículos 45, 46, 68, 69, 110 y 111 de la Constitución del Estado, los siguientes: I. Estar inscrito en Registro Federal de Electores y contar con credencial para votar, y II.  No ser ni haber sido Secretario General del Tribunal, oficial mayor, secretario de ponencia o actuario del Tribunal Estatal, a menos que se haya separado del cargo, de manera definitiva, tres años antes del día de la elección. Los diputados y presidentes municipales, que se encuentren en ejercicio de sus funciones y pretendan su elección consecutiva, deberán solicitar licencia a más tardar un día antes del inicio de la campaña electoral respectiva, de conformidad con las leyes orgánicas del Poder Legislativo y Municipal respectivamente. Para efectos de la elección consecutiva, los síndicos y regidores, no requerirán separarse de su cargo. El derecho a ser votado está reconocido como un derecho fundamental de carácter político-electoral, respecto del cual, se prevén como excepciones tener las calidades que establezca la ley, de conformidad con el artículo 35, fracción II de la Constitución Política de los Estados Unidos Mexicanos, por lo que en el caso de los aspirantes a cargos de elección popular, la Carta Magna y Ley General de Instituciones y Procedimientos Electorales, respectivamente, </w:t>
      </w:r>
      <w:r w:rsidRPr="00947EC7">
        <w:rPr>
          <w:rFonts w:ascii="Abadi" w:hAnsi="Abadi" w:cs="Calibri"/>
          <w:i/>
          <w:iCs/>
          <w:sz w:val="21"/>
          <w:szCs w:val="21"/>
        </w:rPr>
        <w:lastRenderedPageBreak/>
        <w:t>regulan de manera taxativa o limitativa los cargos o funciones públicos específicos cuyo ejercicio deriva en la inelegibilidad del ciudadano para contender a dichos cargos. Los servidores públicos a nivel constitucional y de conformidad con la normatividad federal tiene lineamientos que debe seguir en la ejecución de su encargo como por ejemplo; tener disciplina, legalidad, objetividad, profesionalismo, honradez, lealtad, imparcialidad, transparencia, institucionalidad, integridad, rendición de cuentas, eficacia y eficiencia. TERCERO. Somos conscientes que el marco jurídico federal y estatal contempla los diferentes tipos y ámbitos de violencia. La violencia política, familiar y sexual tienen especial interés en la propuesta de las iniciantes, al señalar que el agresor carece de los requisitos éticos y morales para ocupar un cargo público por representar a la ciudadanía en la toma de decisiones. Con la capacidad de ejercicio se facultan los derechos y se obliga a cumplir con la normativa, la cual conlleva a la adquisición de una ciudadanía y por ende, a conducirse bajo reglas claras apegadas a derecho, y a tener un modo honesto de vivir.</w:t>
      </w:r>
    </w:p>
    <w:p w14:paraId="7C674965" w14:textId="77777777" w:rsidR="00427BD6" w:rsidRPr="00947EC7" w:rsidRDefault="00427BD6" w:rsidP="00427BD6">
      <w:pPr>
        <w:ind w:left="1134"/>
        <w:jc w:val="both"/>
        <w:rPr>
          <w:rFonts w:ascii="Abadi" w:hAnsi="Abadi" w:cs="Calibri"/>
          <w:i/>
          <w:iCs/>
          <w:sz w:val="21"/>
          <w:szCs w:val="21"/>
        </w:rPr>
      </w:pPr>
    </w:p>
    <w:p w14:paraId="2177A7AC"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Sin embargo, la pérdida o suspensión de los derechos, tiene como base el artículo 38, fracciones II, V y VI de la Constitución Política de los Estados Unidos Mexicanos, la cual señala que, los derechos o prerrogativas de los ciudadanos se suspenden por estar sujeto a un proceso criminal por delito que merezca pena corporal; a contar desde la fecha del auto de formal prisión; durante la extinción de una pena corporal; por estar prófugo de la justicia; desde que se dicte la orden de aprehensión hasta que prescriba </w:t>
      </w:r>
      <w:r w:rsidRPr="00947EC7">
        <w:rPr>
          <w:rFonts w:ascii="Abadi" w:hAnsi="Abadi" w:cs="Calibri"/>
          <w:i/>
          <w:iCs/>
          <w:sz w:val="21"/>
          <w:szCs w:val="21"/>
        </w:rPr>
        <w:t xml:space="preserve">la acción penal y por sentencia ejecutoria que imponga como pena esa suspensión. No obstante lo anterior, la propia Constitución dispone las bases para admitir que tal suspensión no es absoluta ni categórica. En efecto, el cúmulo de derechos o prerrogativas reconocidos en la Constitución a favor del ciudadano no deben traducirse como un catálogo rígido, invariable y limitativo de éstos, que deban interpretarse de forma restringida, ya que ello desvirtuaría la esencia misma de los derechos fundamentales. En el referido contexto, es dable precisar que en atención a la ratio </w:t>
      </w:r>
      <w:proofErr w:type="spellStart"/>
      <w:r w:rsidRPr="00947EC7">
        <w:rPr>
          <w:rFonts w:ascii="Abadi" w:hAnsi="Abadi" w:cs="Calibri"/>
          <w:i/>
          <w:iCs/>
          <w:sz w:val="21"/>
          <w:szCs w:val="21"/>
        </w:rPr>
        <w:t>essendi</w:t>
      </w:r>
      <w:proofErr w:type="spellEnd"/>
      <w:r w:rsidRPr="00947EC7">
        <w:rPr>
          <w:rFonts w:ascii="Abadi" w:hAnsi="Abadi" w:cs="Calibri"/>
          <w:i/>
          <w:iCs/>
          <w:sz w:val="21"/>
          <w:szCs w:val="21"/>
        </w:rPr>
        <w:t xml:space="preserve"> del ejercicio de los derechos políticos, consistente en que éstos posibilitan a los destinatarios de las normas jurídicas a participar directa o indirectamente, de manera equitativa en la modificación o formación de las mismas, resulta imprescindible el cumplimiento de ciertas condiciones constitucionales y legales para que, estén en aptitud de ejercerlos en plenitud. En ese sentido, la posibilidad igualitaria de participar en la intervención y toma de decisiones en los asuntos públicos, supone el derecho del ciudadano a ser reconocido como un igual, pero a su vez, conlleva el deber de respetar el orden público. La infracción de esos deberes es lo que obliga a establecer los casos en los cuales el ciudadano debe ser privado del ejercicio de las facultades· inherentes a su condición. Lo anterior, no supone propiamente retirar a los ciudadanos de la titularidad de ese tipo de derechos sino únicamente suspenderlos temporalmente, dejándolos fuera de la categoría de ellos, sujetos a la condición de que legalmente pueda estimarse que se ha infringido el orden público, lo cual sólo se determina al dictarse </w:t>
      </w:r>
      <w:r w:rsidRPr="00947EC7">
        <w:rPr>
          <w:rFonts w:ascii="Abadi" w:hAnsi="Abadi" w:cs="Calibri"/>
          <w:i/>
          <w:iCs/>
          <w:sz w:val="21"/>
          <w:szCs w:val="21"/>
        </w:rPr>
        <w:lastRenderedPageBreak/>
        <w:t>la sentencia y que esta, cause ejecutoria. En otras palabras, el fundamento de los derechos políticos proporciona, no sólo la justificación para su ejercicio, sino también la de suspensión estos por los delitos cometidos.</w:t>
      </w:r>
    </w:p>
    <w:p w14:paraId="06682E41" w14:textId="77777777" w:rsidR="00427BD6" w:rsidRPr="00947EC7" w:rsidRDefault="00427BD6" w:rsidP="00427BD6">
      <w:pPr>
        <w:ind w:left="1134"/>
        <w:jc w:val="both"/>
        <w:rPr>
          <w:rFonts w:ascii="Abadi" w:hAnsi="Abadi" w:cs="Calibri"/>
          <w:i/>
          <w:iCs/>
          <w:sz w:val="21"/>
          <w:szCs w:val="21"/>
        </w:rPr>
      </w:pPr>
    </w:p>
    <w:p w14:paraId="65C33300"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Consideramos que, al tener como base las libertades positivas y negativas del ciudadano, éste tiene el derecho a gozar de ese ámbito de libertad protegido; sin embargo, al mismo tiempo está obligado a no atentar contra las condiciones que hacen posible la existencia del Estado Constitucional de Derecho. Consecuentemente, puede afirmarse que la suspensión de los derechos político-electorales consiste en la restricción particular y transitoria del ejercicio de los derechos del ciudadano, cuando a éste se le hubiere comprobado el incumplimiento de sus correlativas obligaciones o se hubiere acreditado su responsabilidad en la infracción de algún ordenamiento legal. En ese orden de ideas, </w:t>
      </w:r>
      <w:proofErr w:type="spellStart"/>
      <w:r w:rsidRPr="00947EC7">
        <w:rPr>
          <w:rFonts w:ascii="Abadi" w:hAnsi="Abadi" w:cs="Calibri"/>
          <w:i/>
          <w:iCs/>
          <w:sz w:val="21"/>
          <w:szCs w:val="21"/>
        </w:rPr>
        <w:t>sl</w:t>
      </w:r>
      <w:proofErr w:type="spellEnd"/>
      <w:r w:rsidRPr="00947EC7">
        <w:rPr>
          <w:rFonts w:ascii="Abadi" w:hAnsi="Abadi" w:cs="Calibri"/>
          <w:i/>
          <w:iCs/>
          <w:sz w:val="21"/>
          <w:szCs w:val="21"/>
        </w:rPr>
        <w:t xml:space="preserve"> bien los derechos y prerrogativas de los ciudadanos consagrados en el artículo 35 de la Constitución Política de los Estados Unidos Mexicanos no son de carácter absoluto, todo límite o condición que se aplica a los derechos relativos a la participación política debe basarse en criterios objetivos y razonables. Es necesario tener presente que, a través de todas las instancias que la Ley, así como la interpretación que de la misma han realizado sus tribunales, confiere a diversas personas y entidades la calidad de autoridades, se ha obligado a respetar los derechos humanos de carácter político-electoral previstos constitucionalmente, como los derechos de votar, ser votado, de asociación y de afiliación, con todas las facultades inherentes a tales </w:t>
      </w:r>
      <w:r w:rsidRPr="00947EC7">
        <w:rPr>
          <w:rFonts w:ascii="Abadi" w:hAnsi="Abadi" w:cs="Calibri"/>
          <w:i/>
          <w:iCs/>
          <w:sz w:val="21"/>
          <w:szCs w:val="21"/>
        </w:rPr>
        <w:t>derechos, de suerte que también contrajo la obligación específica de adoptar las medidas o disposiciones legislativas, o bien, de otro carácter que fueren necesarias para dar vigencia o efectividad a tales derechos y libertades, a través del despliegue de actos positivos que se concreten en ciertas leyes o medidas de cualquier índole, por lo que toda interpretación y la correlativa aplicación de una norma jurídica deben ampliar sus alcances jurídicos para potenciar su ejercicio, siempre que aquélla esté relacionada con un derecho humano. El Decreto 324, publicado en el Periódico Oficial de Gobierno del Estado del 21 de julio del año próximo pasado, reforma el inciso a del artículo 2491 y se adicionan los artículos 363 con los párrafos segundo, tercero, cuarto, quinto y sexto; 363-A y 2495 con una fracción XVI, recorriéndose en su orden la actual fracción XVI para quedar como fracción XVII del Código Civil para el Estado de Guanajuato, en materia de deudores alimentarios; este decreto contempla la figura de deudor alimentario y obliga al Ejecutivo del Estado a realizar las adecuaciones necesarias al Reglamento del Registro Público de la Propiedad para el Estado de Guanajuato, a efecto de implementar el Registro de Deudores Alimentarios; es por ello, que se contará con una base de datos confiable para visibilizar a las personas morosas alimentarias. Al respecto, esta conducta se encuentra regulada en el Título Primero, de los Delitos Contra el Orden Familiar, Capítulo I, Incumplimiento de las Obligaciones de Asistencia Familiar.</w:t>
      </w:r>
    </w:p>
    <w:p w14:paraId="0C887A78" w14:textId="77777777" w:rsidR="00427BD6" w:rsidRPr="00947EC7" w:rsidRDefault="00427BD6" w:rsidP="00427BD6">
      <w:pPr>
        <w:ind w:left="1134"/>
        <w:jc w:val="both"/>
        <w:rPr>
          <w:rFonts w:ascii="Abadi" w:hAnsi="Abadi" w:cs="Calibri"/>
          <w:i/>
          <w:iCs/>
          <w:sz w:val="21"/>
          <w:szCs w:val="21"/>
        </w:rPr>
      </w:pPr>
    </w:p>
    <w:p w14:paraId="6ACEFD8C"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 xml:space="preserve">Artículo 215.- A quien injustificadamente deje de satisfacer obligaciones alimentarias, total o parcialmente, se le impondrá una punibilidad de seis meses a tres años de prisión y de cinco </w:t>
      </w:r>
      <w:r w:rsidRPr="00947EC7">
        <w:rPr>
          <w:rFonts w:ascii="Abadi" w:hAnsi="Abadi" w:cs="Calibri"/>
          <w:i/>
          <w:iCs/>
          <w:sz w:val="21"/>
          <w:szCs w:val="21"/>
        </w:rPr>
        <w:lastRenderedPageBreak/>
        <w:t>a treinta días multa, además del pago de alimentos caídos en términos de la legislación civil.</w:t>
      </w:r>
    </w:p>
    <w:p w14:paraId="21E1C74B" w14:textId="77777777" w:rsidR="00427BD6" w:rsidRPr="00947EC7" w:rsidRDefault="00427BD6" w:rsidP="00AE265B">
      <w:pPr>
        <w:jc w:val="both"/>
        <w:rPr>
          <w:rFonts w:ascii="Abadi" w:hAnsi="Abadi" w:cs="Calibri"/>
          <w:i/>
          <w:iCs/>
          <w:sz w:val="21"/>
          <w:szCs w:val="21"/>
        </w:rPr>
      </w:pPr>
    </w:p>
    <w:p w14:paraId="6DA73D38"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La acción penal se ejercerá independientemente de que haya iniciado o no algún procedimiento civil.</w:t>
      </w:r>
    </w:p>
    <w:p w14:paraId="43E4774B" w14:textId="77777777" w:rsidR="00427BD6" w:rsidRPr="00947EC7" w:rsidRDefault="00427BD6" w:rsidP="00AE265B">
      <w:pPr>
        <w:jc w:val="both"/>
        <w:rPr>
          <w:rFonts w:ascii="Abadi" w:hAnsi="Abadi" w:cs="Calibri"/>
          <w:i/>
          <w:iCs/>
          <w:sz w:val="21"/>
          <w:szCs w:val="21"/>
        </w:rPr>
      </w:pPr>
    </w:p>
    <w:p w14:paraId="2EC14C18"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Este delito se perseguirá por querella. Si la persona ofendida fuere menor de edad, incapaz o adulto mayor, la querella podrá ser formulada por institución de asistencia familiar o de atención a víctimas del delito.</w:t>
      </w:r>
    </w:p>
    <w:p w14:paraId="4890F203" w14:textId="77777777" w:rsidR="00427BD6" w:rsidRPr="00947EC7" w:rsidRDefault="00427BD6" w:rsidP="00427BD6">
      <w:pPr>
        <w:ind w:left="1985"/>
        <w:jc w:val="both"/>
        <w:rPr>
          <w:rFonts w:ascii="Abadi" w:hAnsi="Abadi" w:cs="Calibri"/>
          <w:i/>
          <w:iCs/>
          <w:sz w:val="21"/>
          <w:szCs w:val="21"/>
        </w:rPr>
      </w:pPr>
    </w:p>
    <w:p w14:paraId="7BA126E4"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El perdón procederá sólo cuando se hayan cubierto las obligaciones omitidas y se otorgue garantía para su futuro cumplimiento hasta cuando menos por un año.</w:t>
      </w:r>
    </w:p>
    <w:p w14:paraId="705DF5CE" w14:textId="77777777" w:rsidR="00427BD6" w:rsidRPr="00947EC7" w:rsidRDefault="00427BD6" w:rsidP="00427BD6">
      <w:pPr>
        <w:ind w:left="1985"/>
        <w:jc w:val="both"/>
        <w:rPr>
          <w:rFonts w:ascii="Abadi" w:hAnsi="Abadi" w:cs="Calibri"/>
          <w:i/>
          <w:iCs/>
          <w:sz w:val="21"/>
          <w:szCs w:val="21"/>
        </w:rPr>
      </w:pPr>
    </w:p>
    <w:p w14:paraId="5FABDF23"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A quien se coloque dolosamente en estado de insolvencia con el propósito de eludir el cumplimiento de sus obligaciones alimentarias, se le aplicará de uno a cuatro años de prisión.</w:t>
      </w:r>
    </w:p>
    <w:p w14:paraId="5F9C32EE" w14:textId="77777777" w:rsidR="00427BD6" w:rsidRPr="00947EC7" w:rsidRDefault="00427BD6" w:rsidP="00427BD6">
      <w:pPr>
        <w:ind w:left="1134"/>
        <w:jc w:val="both"/>
        <w:rPr>
          <w:rFonts w:ascii="Abadi" w:hAnsi="Abadi" w:cs="Calibri"/>
          <w:i/>
          <w:iCs/>
          <w:sz w:val="21"/>
          <w:szCs w:val="21"/>
        </w:rPr>
      </w:pPr>
    </w:p>
    <w:p w14:paraId="065ABFE9"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Este tipo de delito tiene una gran repercusión jurídico y social, en virtud de obligar a los deudores alimentarios a cubrir las necesidades primarias, garantizando el desarrollo integral de los menores; así los alimentos son un deber jurídico de proporcionar a otro lo necesario para su subsistencia. En este análisis podemos indicar que es un avance la reforma aprobada al Código Civil respecto al Registro de Deudores Alimentarios, resultando un medio constitutivo y efectivo para obligar a los deudores alimentarios morosos su cumplimiento al visibilizar a estas personas por el incumplimiento de sus obligaciones. CUARTO. Las diputadas que integramos esta Comisión y el personal asesor que participó en la mesa de trabajo, tuvimos la oportunidad de emitir comentarios y observaciones </w:t>
      </w:r>
      <w:r w:rsidRPr="00947EC7">
        <w:rPr>
          <w:rFonts w:ascii="Abadi" w:hAnsi="Abadi" w:cs="Calibri"/>
          <w:i/>
          <w:iCs/>
          <w:sz w:val="21"/>
          <w:szCs w:val="21"/>
        </w:rPr>
        <w:t>para fortalecer el marco jurídico y ampliar la protección de los derechos de las mujeres; estamos conscientes que las previsiones relativas a la suspensión de los derechos de los ciudadanos por causa penal han sido objeto de análisis y pronunciamientos por parte de los órganos constitucionales como la Suprema Corte de Justicia de la nación y el Tribunal Electoral del Poder Judicial de la Federación; sin embargo, creemos en la firme convicción que las adiciones propuestas a la Constitución Política para el Estado de Guanajuato, y a la Ley de Instituciones y Procedimientos Electorales para el Estado de Guanajuato, en caso de ser procedentes por las comisiones dictaminadoras, fijaran un precedente jurídico y social en favor de los derechos de las mujeres y los menores dependientes económicos. Baja California, Estado de México, Jalisco, Chihuahua, Oaxaca y Puebla, ya regulan en su normativa, los supuestos que integran la 3 de 3 contra la violencia de género, como requisitos de elegibilidad para poder aspirar a alguna candidatura y ejercer los cargos de elección popular. (…) Con el propósito de contribuir a la adecuada incorporación, en su caso de las propuestas normativas, se argumenta la imperiosa necesidad de explorar el marco constitucional para lograr una correcta interpretación a la norma.</w:t>
      </w:r>
    </w:p>
    <w:p w14:paraId="62811340" w14:textId="77777777" w:rsidR="00427BD6" w:rsidRPr="00947EC7" w:rsidRDefault="00427BD6" w:rsidP="00427BD6">
      <w:pPr>
        <w:spacing w:line="276" w:lineRule="auto"/>
        <w:jc w:val="both"/>
        <w:rPr>
          <w:rFonts w:ascii="Abadi" w:eastAsia="Batang" w:hAnsi="Abadi" w:cs="Arial"/>
          <w:sz w:val="21"/>
          <w:szCs w:val="21"/>
        </w:rPr>
      </w:pPr>
    </w:p>
    <w:p w14:paraId="0CCC74A4" w14:textId="77777777" w:rsidR="00427BD6" w:rsidRPr="00947EC7" w:rsidRDefault="00427BD6" w:rsidP="00427BD6">
      <w:pPr>
        <w:spacing w:line="276" w:lineRule="auto"/>
        <w:jc w:val="both"/>
        <w:rPr>
          <w:rFonts w:ascii="Abadi" w:hAnsi="Abadi" w:cs="Arial"/>
          <w:sz w:val="21"/>
          <w:szCs w:val="21"/>
        </w:rPr>
      </w:pPr>
      <w:r w:rsidRPr="00947EC7">
        <w:rPr>
          <w:rFonts w:ascii="Abadi" w:hAnsi="Abadi" w:cs="Arial"/>
          <w:b/>
          <w:bCs/>
          <w:sz w:val="21"/>
          <w:szCs w:val="21"/>
        </w:rPr>
        <w:t>II.1.1.</w:t>
      </w:r>
      <w:r w:rsidRPr="00947EC7">
        <w:rPr>
          <w:rFonts w:ascii="Abadi" w:hAnsi="Abadi" w:cs="Arial"/>
          <w:sz w:val="21"/>
          <w:szCs w:val="21"/>
        </w:rPr>
        <w:t xml:space="preserve"> En reunión de la comisión legislativa del 7 de febrero de 2023, se determinó a efecto de dar continuidad y seguimiento puntual a la metodología de estudio y dictamen aprobada por unanimidad, la fecha para la celebración de la mesa de trabajo.</w:t>
      </w:r>
    </w:p>
    <w:p w14:paraId="1AA36AC2" w14:textId="77777777" w:rsidR="00427BD6" w:rsidRPr="00947EC7" w:rsidRDefault="00427BD6" w:rsidP="00427BD6">
      <w:pPr>
        <w:spacing w:line="276" w:lineRule="auto"/>
        <w:jc w:val="both"/>
        <w:rPr>
          <w:rFonts w:ascii="Abadi" w:hAnsi="Abadi" w:cs="Arial"/>
          <w:sz w:val="21"/>
          <w:szCs w:val="21"/>
        </w:rPr>
      </w:pPr>
    </w:p>
    <w:p w14:paraId="0A434A47" w14:textId="77777777" w:rsidR="00427BD6" w:rsidRPr="00AE265B" w:rsidRDefault="00427BD6" w:rsidP="00427BD6">
      <w:pPr>
        <w:pStyle w:val="Textoindependiente"/>
        <w:spacing w:line="276" w:lineRule="auto"/>
        <w:rPr>
          <w:rFonts w:ascii="Abadi" w:eastAsia="Batang" w:hAnsi="Abadi"/>
          <w:b w:val="0"/>
          <w:bCs w:val="0"/>
          <w:sz w:val="21"/>
          <w:szCs w:val="21"/>
          <w:lang w:val="es-MX" w:eastAsia="en-US"/>
        </w:rPr>
      </w:pPr>
      <w:r w:rsidRPr="00947EC7">
        <w:rPr>
          <w:rFonts w:ascii="Abadi" w:eastAsia="Batang" w:hAnsi="Abadi"/>
          <w:sz w:val="21"/>
          <w:szCs w:val="21"/>
        </w:rPr>
        <w:lastRenderedPageBreak/>
        <w:t xml:space="preserve">II.1.2. </w:t>
      </w:r>
      <w:r w:rsidRPr="00AE265B">
        <w:rPr>
          <w:rFonts w:ascii="Abadi" w:eastAsia="Batang" w:hAnsi="Abadi"/>
          <w:b w:val="0"/>
          <w:bCs w:val="0"/>
          <w:sz w:val="21"/>
          <w:szCs w:val="21"/>
          <w:lang w:val="es-MX" w:eastAsia="en-US"/>
        </w:rPr>
        <w:t xml:space="preserve">Se celebró una mesa de trabajo el día 19 de abril de 2023, estando presentes las diputadas Susana Bermúdez Cano, Yulma Rocha Aguilar y Briseida Anabel Magdaleno González integrantes de la Comisión de Gobernación y Puntos Constitucionales de la Sexagésima Quinta Legislatura, así como servidores públicos del Poder Judicial, la magistrada Ruth Alejandra </w:t>
      </w:r>
      <w:proofErr w:type="spellStart"/>
      <w:r w:rsidRPr="00AE265B">
        <w:rPr>
          <w:rFonts w:ascii="Abadi" w:eastAsia="Batang" w:hAnsi="Abadi"/>
          <w:b w:val="0"/>
          <w:bCs w:val="0"/>
          <w:sz w:val="21"/>
          <w:szCs w:val="21"/>
          <w:lang w:val="es-MX" w:eastAsia="en-US"/>
        </w:rPr>
        <w:t>Yañez</w:t>
      </w:r>
      <w:proofErr w:type="spellEnd"/>
      <w:r w:rsidRPr="00AE265B">
        <w:rPr>
          <w:rFonts w:ascii="Abadi" w:eastAsia="Batang" w:hAnsi="Abadi"/>
          <w:b w:val="0"/>
          <w:bCs w:val="0"/>
          <w:sz w:val="21"/>
          <w:szCs w:val="21"/>
          <w:lang w:val="es-MX" w:eastAsia="en-US"/>
        </w:rPr>
        <w:t xml:space="preserve"> Trejo,  de la Coordinación General Jurídica de Gobierno del Estado; del Instituto de la Mujer Guanajuatense, de la Procuraduría de los Derechos Humanos del Estado de Guanajuato, del Instituto Electoral del Estado de Guanajuato, del Tribunal Estatal Electoral de Guanajuato, así como asesores de los grupos parlamentarios de los partidos Acción Nacional, Revolucionario Institucional y Verde</w:t>
      </w:r>
      <w:r w:rsidRPr="00947EC7">
        <w:rPr>
          <w:rFonts w:ascii="Abadi" w:eastAsia="Batang" w:hAnsi="Abadi"/>
          <w:sz w:val="21"/>
          <w:szCs w:val="21"/>
          <w:lang w:val="es-MX" w:eastAsia="en-US"/>
        </w:rPr>
        <w:t xml:space="preserve"> </w:t>
      </w:r>
      <w:r w:rsidRPr="00AE265B">
        <w:rPr>
          <w:rFonts w:ascii="Abadi" w:eastAsia="Batang" w:hAnsi="Abadi"/>
          <w:b w:val="0"/>
          <w:bCs w:val="0"/>
          <w:sz w:val="21"/>
          <w:szCs w:val="21"/>
          <w:lang w:val="es-MX" w:eastAsia="en-US"/>
        </w:rPr>
        <w:t>Ecologista de México, y la secretaria técnica de la comisión legislativa.</w:t>
      </w:r>
    </w:p>
    <w:p w14:paraId="5285494D" w14:textId="77777777" w:rsidR="00427BD6" w:rsidRPr="00947EC7" w:rsidRDefault="00427BD6" w:rsidP="00427BD6">
      <w:pPr>
        <w:pStyle w:val="Textoindependiente"/>
        <w:spacing w:line="276" w:lineRule="auto"/>
        <w:rPr>
          <w:rFonts w:ascii="Abadi" w:eastAsia="Batang" w:hAnsi="Abadi"/>
          <w:sz w:val="21"/>
          <w:szCs w:val="21"/>
          <w:lang w:val="es-MX" w:eastAsia="en-US"/>
        </w:rPr>
      </w:pPr>
    </w:p>
    <w:p w14:paraId="5E5A0210" w14:textId="77777777" w:rsidR="00427BD6" w:rsidRPr="00947EC7" w:rsidRDefault="00427BD6" w:rsidP="00427BD6">
      <w:pPr>
        <w:spacing w:line="276" w:lineRule="auto"/>
        <w:jc w:val="both"/>
        <w:rPr>
          <w:rFonts w:ascii="Abadi" w:eastAsia="Batang" w:hAnsi="Abadi" w:cs="Arial"/>
          <w:sz w:val="21"/>
          <w:szCs w:val="21"/>
        </w:rPr>
      </w:pPr>
      <w:r w:rsidRPr="00947EC7">
        <w:rPr>
          <w:rFonts w:ascii="Abadi" w:eastAsia="Batang" w:hAnsi="Abadi" w:cs="Arial"/>
          <w:b/>
          <w:sz w:val="21"/>
          <w:szCs w:val="21"/>
        </w:rPr>
        <w:t xml:space="preserve">II.1.3. </w:t>
      </w:r>
      <w:r w:rsidRPr="00947EC7">
        <w:rPr>
          <w:rFonts w:ascii="Abadi" w:eastAsia="Batang" w:hAnsi="Abadi" w:cs="Arial"/>
          <w:sz w:val="21"/>
          <w:szCs w:val="21"/>
        </w:rPr>
        <w:t>En fecha 24 de abril de 2023, en reunión de la comisión, se aprobó por unanimidad la modificación a la metodología de estudio y dictamen de la iniciativa, a efecto de generar un acercamiento con representantes de partidos políticos en la entidad, acción que fue informada a la y los diputados integrantes de la Junta de Gobierno y Coordinación Política.</w:t>
      </w:r>
    </w:p>
    <w:p w14:paraId="3E0DF9A7" w14:textId="77777777" w:rsidR="00427BD6" w:rsidRPr="00947EC7" w:rsidRDefault="00427BD6" w:rsidP="00427BD6">
      <w:pPr>
        <w:spacing w:line="276" w:lineRule="auto"/>
        <w:jc w:val="both"/>
        <w:rPr>
          <w:rFonts w:ascii="Abadi" w:hAnsi="Abadi" w:cs="Arial"/>
          <w:sz w:val="21"/>
          <w:szCs w:val="21"/>
        </w:rPr>
      </w:pPr>
    </w:p>
    <w:p w14:paraId="392F4D57" w14:textId="77777777" w:rsidR="00427BD6" w:rsidRPr="00947EC7" w:rsidRDefault="00427BD6" w:rsidP="00427BD6">
      <w:pPr>
        <w:spacing w:line="276" w:lineRule="auto"/>
        <w:jc w:val="both"/>
        <w:rPr>
          <w:rFonts w:ascii="Abadi" w:hAnsi="Abadi" w:cs="Arial"/>
          <w:i/>
          <w:sz w:val="21"/>
          <w:szCs w:val="21"/>
        </w:rPr>
      </w:pPr>
      <w:r w:rsidRPr="00947EC7">
        <w:rPr>
          <w:rFonts w:ascii="Abadi" w:hAnsi="Abadi" w:cs="Arial"/>
          <w:b/>
          <w:sz w:val="21"/>
          <w:szCs w:val="21"/>
        </w:rPr>
        <w:t xml:space="preserve">II.1.4. </w:t>
      </w:r>
      <w:r w:rsidRPr="00947EC7">
        <w:rPr>
          <w:rFonts w:ascii="Abadi" w:hAnsi="Abadi" w:cs="Arial"/>
          <w:sz w:val="21"/>
          <w:szCs w:val="21"/>
        </w:rPr>
        <w:t xml:space="preserve">En fecha 8 de mayo de 2023, se llevó a cabo la mesa de trabajo con representantes de los partidos políticos de Acción Nacional, MORENA, Revolucionario Institucional, Verde Ecologista de México y de la Revolución Democrática donde expresaron su posición política con respecto al análisis de la iniciativa que previamente les fue remitida y de manera unánime la viabilidad de los objetivos que se perseguían con la propuesta. De igual forma manifestaron a favor de esperar a que se aprobara en la Cámara de Senadores la Minuta Proyecto de Decreto </w:t>
      </w:r>
      <w:r w:rsidRPr="00947EC7">
        <w:rPr>
          <w:rFonts w:ascii="Abadi" w:hAnsi="Abadi"/>
          <w:bCs/>
          <w:iCs/>
          <w:sz w:val="21"/>
          <w:szCs w:val="21"/>
          <w:lang w:val="es-ES_tradnl"/>
        </w:rPr>
        <w:t xml:space="preserve">por el que se reforman y adicionan los artículos 38 y 102 de la </w:t>
      </w:r>
      <w:r w:rsidRPr="00947EC7">
        <w:rPr>
          <w:rFonts w:ascii="Abadi" w:hAnsi="Abadi"/>
          <w:bCs/>
          <w:iCs/>
          <w:sz w:val="21"/>
          <w:szCs w:val="21"/>
          <w:lang w:val="es-ES_tradnl"/>
        </w:rPr>
        <w:t xml:space="preserve">Constitución Política de los Estados Unidos Mexicanos </w:t>
      </w:r>
      <w:r w:rsidRPr="00947EC7">
        <w:rPr>
          <w:rFonts w:ascii="Abadi" w:hAnsi="Abadi"/>
          <w:bCs/>
          <w:i/>
          <w:sz w:val="21"/>
          <w:szCs w:val="21"/>
          <w:lang w:val="es-ES_tradnl"/>
        </w:rPr>
        <w:t>en materia de suspensión de derechos para ocupar cargo, empleo o comisión del Servicio Público</w:t>
      </w:r>
      <w:r w:rsidRPr="00947EC7">
        <w:rPr>
          <w:rFonts w:ascii="Abadi" w:hAnsi="Abadi" w:cs="Arial"/>
          <w:i/>
          <w:sz w:val="21"/>
          <w:szCs w:val="21"/>
        </w:rPr>
        <w:t>.</w:t>
      </w:r>
    </w:p>
    <w:p w14:paraId="66B6DBFE" w14:textId="77777777" w:rsidR="00427BD6" w:rsidRPr="00947EC7" w:rsidRDefault="00427BD6" w:rsidP="00427BD6">
      <w:pPr>
        <w:spacing w:line="276" w:lineRule="auto"/>
        <w:jc w:val="both"/>
        <w:rPr>
          <w:rFonts w:ascii="Abadi" w:hAnsi="Abadi" w:cs="Arial"/>
          <w:i/>
          <w:sz w:val="21"/>
          <w:szCs w:val="21"/>
        </w:rPr>
      </w:pPr>
    </w:p>
    <w:p w14:paraId="102293DD" w14:textId="77777777" w:rsidR="00427BD6" w:rsidRPr="00947EC7" w:rsidRDefault="00427BD6" w:rsidP="00427BD6">
      <w:pPr>
        <w:pStyle w:val="Prrafodelista"/>
        <w:widowControl w:val="0"/>
        <w:tabs>
          <w:tab w:val="center" w:pos="4419"/>
          <w:tab w:val="right" w:pos="8838"/>
        </w:tabs>
        <w:ind w:left="0"/>
        <w:jc w:val="both"/>
        <w:rPr>
          <w:rFonts w:ascii="Abadi" w:hAnsi="Abadi" w:cs="Arial"/>
          <w:iCs/>
          <w:sz w:val="21"/>
          <w:szCs w:val="21"/>
        </w:rPr>
      </w:pPr>
      <w:r w:rsidRPr="00947EC7">
        <w:rPr>
          <w:rFonts w:ascii="Abadi" w:hAnsi="Abadi" w:cs="Arial"/>
          <w:b/>
          <w:bCs/>
          <w:iCs/>
          <w:sz w:val="21"/>
          <w:szCs w:val="21"/>
        </w:rPr>
        <w:t xml:space="preserve">II.1.5. </w:t>
      </w:r>
      <w:r w:rsidRPr="00947EC7">
        <w:rPr>
          <w:rFonts w:ascii="Abadi" w:hAnsi="Abadi" w:cs="Arial"/>
          <w:iCs/>
          <w:sz w:val="21"/>
          <w:szCs w:val="21"/>
        </w:rPr>
        <w:t xml:space="preserve">En fecha 22 de mayo de 2023, la presidencia de la comisión legislativa en reunión de la comisión legislativa, propuso el diseño de una nueva iniciativa derivada del análisis realizado a la considerada 3 de 3 con el ELD </w:t>
      </w:r>
      <w:r w:rsidRPr="00947EC7">
        <w:rPr>
          <w:rFonts w:ascii="Abadi" w:hAnsi="Abadi"/>
          <w:bCs/>
          <w:iCs/>
          <w:sz w:val="21"/>
          <w:szCs w:val="21"/>
          <w:lang w:val="es-ES_tradnl"/>
        </w:rPr>
        <w:t xml:space="preserve">182A/LXV-I y de la aprobación de la Minuta Proyecto de Decreto que en su momento remitió la Cámara de Senadores del Congreso de la Unión, </w:t>
      </w:r>
      <w:r w:rsidRPr="00947EC7">
        <w:rPr>
          <w:rFonts w:ascii="Abadi" w:hAnsi="Abadi"/>
          <w:bCs/>
          <w:i/>
          <w:sz w:val="21"/>
          <w:szCs w:val="21"/>
          <w:lang w:val="es-ES_tradnl"/>
        </w:rPr>
        <w:t xml:space="preserve">en materia de suspensión de derechos para ocupar cargo, empleo o comisión del Servicio Público, </w:t>
      </w:r>
      <w:r w:rsidRPr="00947EC7">
        <w:rPr>
          <w:rFonts w:ascii="Abadi" w:hAnsi="Abadi"/>
          <w:bCs/>
          <w:iCs/>
          <w:sz w:val="21"/>
          <w:szCs w:val="21"/>
          <w:lang w:val="es-ES_tradnl"/>
        </w:rPr>
        <w:t>acción que fue convalidada y aprobada por unanimidad al computarse siete votos a favor, instruyendo en consecuencia a la secretaría técnica para tales alcances.</w:t>
      </w:r>
    </w:p>
    <w:p w14:paraId="198F510A" w14:textId="77777777" w:rsidR="00427BD6" w:rsidRPr="00947EC7" w:rsidRDefault="00427BD6" w:rsidP="00427BD6">
      <w:pPr>
        <w:spacing w:line="276" w:lineRule="auto"/>
        <w:jc w:val="both"/>
        <w:rPr>
          <w:rFonts w:ascii="Abadi" w:hAnsi="Abadi" w:cs="Arial"/>
          <w:sz w:val="21"/>
          <w:szCs w:val="21"/>
        </w:rPr>
      </w:pPr>
    </w:p>
    <w:p w14:paraId="2A24B89D" w14:textId="77777777" w:rsidR="00427BD6" w:rsidRPr="00947EC7" w:rsidRDefault="00427BD6" w:rsidP="00427BD6">
      <w:pPr>
        <w:jc w:val="both"/>
        <w:rPr>
          <w:rFonts w:ascii="Abadi" w:eastAsia="Batang" w:hAnsi="Abadi" w:cs="Arial"/>
          <w:b/>
          <w:bCs/>
          <w:sz w:val="21"/>
          <w:szCs w:val="21"/>
        </w:rPr>
      </w:pPr>
      <w:r w:rsidRPr="00947EC7">
        <w:rPr>
          <w:rFonts w:ascii="Abadi" w:eastAsia="Batang" w:hAnsi="Abadi" w:cs="Arial"/>
          <w:b/>
          <w:sz w:val="21"/>
          <w:szCs w:val="21"/>
        </w:rPr>
        <w:t>II.2.</w:t>
      </w:r>
      <w:r w:rsidRPr="00947EC7">
        <w:rPr>
          <w:rFonts w:ascii="Abadi" w:hAnsi="Abadi" w:cs="Arial"/>
          <w:sz w:val="21"/>
          <w:szCs w:val="21"/>
        </w:rPr>
        <w:t xml:space="preserve"> </w:t>
      </w:r>
      <w:r w:rsidRPr="00947EC7">
        <w:rPr>
          <w:rFonts w:ascii="Abadi" w:eastAsia="Batang" w:hAnsi="Abadi" w:cs="Arial"/>
          <w:b/>
          <w:bCs/>
          <w:sz w:val="21"/>
          <w:szCs w:val="21"/>
        </w:rPr>
        <w:t xml:space="preserve">De la segunda iniciativa </w:t>
      </w:r>
      <w:r w:rsidRPr="00947EC7">
        <w:rPr>
          <w:rFonts w:ascii="Arial" w:eastAsia="Batang" w:hAnsi="Arial" w:cs="Arial"/>
          <w:b/>
          <w:bCs/>
          <w:sz w:val="21"/>
          <w:szCs w:val="21"/>
        </w:rPr>
        <w:t>―</w:t>
      </w:r>
      <w:r w:rsidRPr="00947EC7">
        <w:rPr>
          <w:rFonts w:ascii="Abadi" w:eastAsia="Batang" w:hAnsi="Abadi" w:cs="Arial"/>
          <w:b/>
          <w:bCs/>
          <w:sz w:val="21"/>
          <w:szCs w:val="21"/>
        </w:rPr>
        <w:t>ELD 449/LXV-I</w:t>
      </w:r>
      <w:r w:rsidRPr="00947EC7">
        <w:rPr>
          <w:rFonts w:ascii="Arial" w:eastAsia="Batang" w:hAnsi="Arial" w:cs="Arial"/>
          <w:b/>
          <w:bCs/>
          <w:sz w:val="21"/>
          <w:szCs w:val="21"/>
        </w:rPr>
        <w:t>―</w:t>
      </w:r>
      <w:r w:rsidRPr="00947EC7">
        <w:rPr>
          <w:rFonts w:ascii="Abadi" w:eastAsia="Batang" w:hAnsi="Abadi" w:cs="Arial"/>
          <w:b/>
          <w:bCs/>
          <w:sz w:val="21"/>
          <w:szCs w:val="21"/>
        </w:rPr>
        <w:t>.</w:t>
      </w:r>
    </w:p>
    <w:p w14:paraId="5DCB198D" w14:textId="77777777" w:rsidR="00427BD6" w:rsidRPr="00947EC7" w:rsidRDefault="00427BD6" w:rsidP="00427BD6">
      <w:pPr>
        <w:jc w:val="both"/>
        <w:rPr>
          <w:rFonts w:ascii="Abadi" w:eastAsia="Batang" w:hAnsi="Abadi" w:cs="Arial"/>
          <w:b/>
          <w:bCs/>
          <w:sz w:val="21"/>
          <w:szCs w:val="21"/>
        </w:rPr>
      </w:pPr>
    </w:p>
    <w:p w14:paraId="53A0311B" w14:textId="77777777" w:rsidR="00427BD6" w:rsidRPr="00947EC7" w:rsidRDefault="00427BD6" w:rsidP="00427BD6">
      <w:pPr>
        <w:spacing w:line="276" w:lineRule="auto"/>
        <w:jc w:val="both"/>
        <w:rPr>
          <w:rFonts w:ascii="Abadi" w:eastAsia="Batang" w:hAnsi="Abadi" w:cs="Arial"/>
          <w:sz w:val="21"/>
          <w:szCs w:val="21"/>
        </w:rPr>
      </w:pPr>
      <w:r w:rsidRPr="00947EC7">
        <w:rPr>
          <w:rFonts w:ascii="Abadi" w:eastAsia="Batang" w:hAnsi="Abadi" w:cs="Arial"/>
          <w:sz w:val="21"/>
          <w:szCs w:val="21"/>
        </w:rPr>
        <w:t>De la consulta a autoridades del Poder Judicial, del Poder Ejecutivo y organismos autónomos, los 46 ayuntamientos, entre otras autoridades bajo el principio de parlamento abierto respondieron el Supremo Tribunal de Justicia del Estado, el Instituto Electoral del Estado de Guanajuato, el Tribunal Electoral del Estado de Guanajuato, la Procuraduría de los Derechos Humanos del Estado de Guanajuato, el Instituto de Acceso a la Información Pública para el Estado de Guanajuato, la Universidad de Guanajuato; así como los ayuntamientos de Tarimoro, San Diego de la Unión, Doctor Mora, Yuriria, Jaral del Progreso, Irapuato, Celaya, León, Uriangato, Romita y San Luis de la Paz.</w:t>
      </w:r>
    </w:p>
    <w:p w14:paraId="4388AE74" w14:textId="77777777" w:rsidR="00427BD6" w:rsidRPr="00947EC7" w:rsidRDefault="00427BD6" w:rsidP="00427BD6">
      <w:pPr>
        <w:spacing w:line="276" w:lineRule="auto"/>
        <w:jc w:val="both"/>
        <w:rPr>
          <w:rFonts w:ascii="Abadi" w:eastAsia="Batang" w:hAnsi="Abadi" w:cs="Arial"/>
          <w:sz w:val="21"/>
          <w:szCs w:val="21"/>
        </w:rPr>
      </w:pPr>
    </w:p>
    <w:p w14:paraId="6D996337"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Instituto Electoral del Estado de Guanajuato manifestó en su opinión que:</w:t>
      </w:r>
    </w:p>
    <w:p w14:paraId="30803555"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418ADD90" w14:textId="77777777" w:rsidR="00427BD6" w:rsidRPr="00947EC7" w:rsidRDefault="00427BD6" w:rsidP="00427BD6">
      <w:pPr>
        <w:pStyle w:val="Prrafodelista"/>
        <w:widowControl w:val="0"/>
        <w:tabs>
          <w:tab w:val="left" w:pos="2122"/>
        </w:tabs>
        <w:autoSpaceDE w:val="0"/>
        <w:autoSpaceDN w:val="0"/>
        <w:ind w:left="1134"/>
        <w:jc w:val="both"/>
        <w:rPr>
          <w:rFonts w:ascii="Abadi" w:hAnsi="Abadi" w:cs="Calibri"/>
          <w:i/>
          <w:iCs/>
          <w:sz w:val="21"/>
          <w:szCs w:val="21"/>
        </w:rPr>
      </w:pPr>
      <w:r w:rsidRPr="00947EC7">
        <w:rPr>
          <w:rFonts w:ascii="Abadi" w:hAnsi="Abadi" w:cs="Calibri"/>
          <w:i/>
          <w:iCs/>
          <w:sz w:val="21"/>
          <w:szCs w:val="21"/>
        </w:rPr>
        <w:t>(…) Previo a emitir una opinión es de considerarse que se tiene conocimiento que se está estudiando en el Congreso del Estado una iniciativa de reforma a la constitución local</w:t>
      </w:r>
      <w:r w:rsidRPr="00947EC7">
        <w:rPr>
          <w:rStyle w:val="Refdenotaalpie"/>
          <w:rFonts w:ascii="Abadi" w:eastAsia="Calibri" w:hAnsi="Abadi"/>
          <w:sz w:val="21"/>
          <w:szCs w:val="21"/>
        </w:rPr>
        <w:footnoteReference w:id="114"/>
      </w:r>
      <w:r w:rsidRPr="00947EC7">
        <w:rPr>
          <w:rFonts w:ascii="Abadi" w:hAnsi="Abadi"/>
          <w:sz w:val="21"/>
          <w:szCs w:val="21"/>
        </w:rPr>
        <w:t xml:space="preserve"> </w:t>
      </w:r>
      <w:r w:rsidRPr="00947EC7">
        <w:rPr>
          <w:rFonts w:ascii="Abadi" w:hAnsi="Abadi" w:cs="Calibri"/>
          <w:i/>
          <w:iCs/>
          <w:sz w:val="21"/>
          <w:szCs w:val="21"/>
        </w:rPr>
        <w:t xml:space="preserve">en </w:t>
      </w:r>
      <w:r w:rsidRPr="00947EC7">
        <w:rPr>
          <w:rFonts w:ascii="Abadi" w:hAnsi="Abadi" w:cs="Calibri"/>
          <w:i/>
          <w:iCs/>
          <w:sz w:val="21"/>
          <w:szCs w:val="21"/>
        </w:rPr>
        <w:lastRenderedPageBreak/>
        <w:t>cuanto a los requisitos de inelegibilidad para los cargos de elección popular</w:t>
      </w:r>
      <w:r w:rsidRPr="00947EC7">
        <w:rPr>
          <w:rStyle w:val="Refdenotaalpie"/>
          <w:rFonts w:ascii="Abadi" w:eastAsia="Calibri" w:hAnsi="Abadi"/>
          <w:sz w:val="21"/>
          <w:szCs w:val="21"/>
        </w:rPr>
        <w:footnoteReference w:id="115"/>
      </w:r>
      <w:r w:rsidRPr="00947EC7">
        <w:rPr>
          <w:rStyle w:val="Refdenotaalpie"/>
          <w:rFonts w:ascii="Abadi" w:eastAsia="Calibri" w:hAnsi="Abadi"/>
          <w:sz w:val="21"/>
          <w:szCs w:val="21"/>
        </w:rPr>
        <w:t>,</w:t>
      </w:r>
      <w:r w:rsidRPr="00947EC7">
        <w:rPr>
          <w:rFonts w:ascii="Abadi" w:hAnsi="Abadi" w:cs="Calibri"/>
          <w:i/>
          <w:iCs/>
          <w:sz w:val="21"/>
          <w:szCs w:val="21"/>
        </w:rPr>
        <w:t xml:space="preserve"> entre otros, el relacionado a las personas que por sentencia ejecutoriada sean deudoras alimentarias. De la cual este Instituto emitió su pronunciamiento mediante oficio P/080/2022. Aunado a que se advierte que, el contenido de dicha iniciativa en otros estados de la república —Hidalgo— ha sido declarada constitucional por la Suprema Corte de Justicia de la Nación, en la resolución a la acción de inconstitucionalidad 126/2021</w:t>
      </w:r>
      <w:r w:rsidRPr="00947EC7">
        <w:rPr>
          <w:rStyle w:val="Refdenotaalpie"/>
          <w:rFonts w:ascii="Abadi" w:eastAsia="Calibri" w:hAnsi="Abadi"/>
          <w:sz w:val="21"/>
          <w:szCs w:val="21"/>
        </w:rPr>
        <w:footnoteReference w:id="116"/>
      </w:r>
      <w:r w:rsidRPr="00947EC7">
        <w:rPr>
          <w:rFonts w:ascii="Abadi" w:hAnsi="Abadi" w:cs="Calibri"/>
          <w:i/>
          <w:iCs/>
          <w:sz w:val="21"/>
          <w:szCs w:val="21"/>
        </w:rPr>
        <w:t xml:space="preserve">, se estableció: «… Así pues, la protección y garantía de la pensión alimenticia pretende tutelar el principio de solidaridad familiar, así como el principio del interés superior de la niñez. La finalidad del legislador local es hacer cesar el actuar indebido de la persona deudora alimentaria morosa que pretenda ocupar un cargo público, pues, como se dijo, no sólo se trata de asegurar el cumplimiento del pago de la pensión alimenticia, sino también del pago de alimentos vencidos o caídos. 63. En eso términos, si se parte de la consideración de que asegurar el pago de alimentos es una finalidad constitucionalmente legítima, entonces, por mayoría de razón, es igualmente importante combatir el incumplimiento prolongado en el tiempo por parte de la persona deudora alimentaria, pues debe tenerse presente que está de por medio el carácter de inmediatez en la necesidad de recibir alimentos. Así pues, </w:t>
      </w:r>
      <w:r w:rsidRPr="00947EC7">
        <w:rPr>
          <w:rFonts w:ascii="Abadi" w:hAnsi="Abadi" w:cs="Calibri"/>
          <w:b/>
          <w:bCs/>
          <w:i/>
          <w:iCs/>
          <w:sz w:val="21"/>
          <w:szCs w:val="21"/>
        </w:rPr>
        <w:t xml:space="preserve">la finalidad del legislador es desincentivar la situación de adeudo de la obligación alimentaria para quien pretenda acceder a un cargo público, lo cual es constitucionalmente válido, ya </w:t>
      </w:r>
      <w:r w:rsidRPr="00947EC7">
        <w:rPr>
          <w:rFonts w:ascii="Abadi" w:hAnsi="Abadi" w:cs="Calibri"/>
          <w:b/>
          <w:bCs/>
          <w:i/>
          <w:iCs/>
          <w:sz w:val="21"/>
          <w:szCs w:val="21"/>
        </w:rPr>
        <w:t xml:space="preserve">que la conducta que se busca desincentivar representa una situación jurídica y materialmente indeseable para la persona acreedora, en virtud de que se encuentra de por medio su subsistencia, su desarrollo personal y su capacidad de gozar de una vida digna y de calidad. …» </w:t>
      </w:r>
      <w:r w:rsidRPr="00947EC7">
        <w:rPr>
          <w:rFonts w:ascii="Abadi" w:hAnsi="Abadi" w:cs="Calibri"/>
          <w:i/>
          <w:iCs/>
          <w:sz w:val="21"/>
          <w:szCs w:val="21"/>
        </w:rPr>
        <w:t>Por lo que, una vez analizada la iniciativa por las y los consejeros electorales del Consejo General de este Instituto a la luz del marco normativo previsto en la constitución local y en la Ley de Instituciones y Procedimientos Electorales para el Estado de Guanajuato, no se advierte que su contenido entre en conflicto con las disposiciones jurídicas que rigen el ámbito de competencia de esta autoridad electoral.</w:t>
      </w:r>
    </w:p>
    <w:p w14:paraId="0762B56F"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70D707D0"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Tribunal Estatal Electoral de Guanajuato manifestó en su opinión lo siguiente:</w:t>
      </w:r>
    </w:p>
    <w:p w14:paraId="0453A203"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177B12D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refieren que “El incumplimiento de la pensión o ministración de los alimentos vulnera el bienestar de la niñez…” y que también tiene una dimensión en cuanto a género ya que aseguran que“, en la mayoría de</w:t>
      </w:r>
      <w:r w:rsidRPr="00947EC7">
        <w:rPr>
          <w:rFonts w:ascii="Abadi" w:hAnsi="Abadi"/>
          <w:sz w:val="21"/>
          <w:szCs w:val="21"/>
        </w:rPr>
        <w:t xml:space="preserve"> </w:t>
      </w:r>
      <w:r w:rsidRPr="00947EC7">
        <w:rPr>
          <w:rFonts w:ascii="Abadi" w:hAnsi="Abadi" w:cs="Calibri"/>
          <w:i/>
          <w:iCs/>
          <w:sz w:val="21"/>
          <w:szCs w:val="21"/>
        </w:rPr>
        <w:t xml:space="preserve">las ocasiones… son los hombres quienes no brindan una correcta manutención del menor, dejando a las mujeres con una responsabilidad desigual en la crianza y desarrollo físico, mental, espiritual, moral y social de los menores en el núcleo familiar.” Entonces con el incumplimiento de la obligación de proporcionar alimentos, se vulneran al menos dos principios constitucionales: el interés superior de la niñez, y la igualdad y no discriminación, por lo que la iniciativa planteada “…busca crear una medida para garantizar que las obligaciones alimentarias no sean incumplidas </w:t>
      </w:r>
      <w:r w:rsidRPr="00947EC7">
        <w:rPr>
          <w:rFonts w:ascii="Abadi" w:hAnsi="Abadi" w:cs="Calibri"/>
          <w:i/>
          <w:iCs/>
          <w:sz w:val="21"/>
          <w:szCs w:val="21"/>
        </w:rPr>
        <w:lastRenderedPageBreak/>
        <w:t xml:space="preserve">por los servidores públicos el Estado o quienes aspiren a un cargo de elección popular.” Por lo tanto, se propone “…incorporar constitucionalmente la obligación de que el estado y los municipios se abstengan de contratar como servidores públicos o empleados a personas que sean deudores alimentarios declarados judicialmente. Además, proponemos suspender la prerrogativa consistente en la posibilidad de ser votados para los cargos de elección popular.” Manifiesta la parte promovente que esto ya se ha llevado a cabo en otras entidades federativas y contribuye a garantizar el interés superior de la niñez y la no discriminación en razón de género. OBJETIVO. Analizar el marco jurídico nacional e internacional para determinar la pertinencia jurídica de adicionar una fracción VII al artículo 25, y una fracción IV al artículo 26, de la Constitución Política para el Estado de Guanajuato; a través de las cuales se establece como causal de suspensión de las prerrogativas de la ciudadanía estar declarado judicialmente como deudor alimentario y la posibilidad de recobrarlas cuando se acredite estar al corriente con dicha obligación. El artículo 4° de la Constitución Política de los Estados Unidos Mexicanos señala que “Los niños y las niñas tienen derecho a la satisfacción de sus necesidades de alimentación, salud, educación y sano esparcimiento para su desarrollo integral”. Por su parte la Declaración Universal de los Derechos Humanos y el Pacto Internacional sobre Derechos Económicos, Sociales y Culturales en sus artículos 25 y 11, respectivamente, reconocen al derecho a alimentos como un derecho fundamental del hombre. Así mismo, la Convención sobre los Derechos del Niño de la </w:t>
      </w:r>
      <w:r w:rsidRPr="00947EC7">
        <w:rPr>
          <w:rFonts w:ascii="Abadi" w:hAnsi="Abadi" w:cs="Calibri"/>
          <w:i/>
          <w:iCs/>
          <w:sz w:val="21"/>
          <w:szCs w:val="21"/>
        </w:rPr>
        <w:t>Organización de las Naciones Unidas, en su artículo tercero dice: “En todas las medidas concernientes a los niños que tomen las instituciones públicas o privadas de bienestar social, los tribunales, las autoridades administrativas o los órganos legislativos, una consideración primordial a que se atenderá será el interés superior del niño.” Y es compromiso de los Estados Parte “asegurar al niño la protección y el cuidado que sean necesarios para su bienestar…y, con ese fin, tomarán todas las medidas legislativas y administrativas adecuadas.”</w:t>
      </w:r>
    </w:p>
    <w:p w14:paraId="678EECC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711EF90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Respecto a los derechos de ciudadanía, en México, tienen el estatus de plenitud de derechos según el artículo 34 de la constitución federal quienes han cumplido 18 años y tienen un modo honesto de vivir. Entre los derechos que se adquieren en calidad de ciudadanía son votar y ser elegible para cargos de elección popular, el derecho de asociación en materia política, ser parte de las fuerzas armadas, ejercer el derecho de petición, poder ser nombrado como servidor o servidora pública, presentar iniciativas de Ley (cumpliendo con los requisitos), votar en consultas populares, participar en procesos de revocación de mandato; y tratándose de derechos adquiridos por tener ciudadanía guanajuatense es la preferencia, en igualdad de condiciones, sobre las personas no guanajuatenses, para el otorgamiento de empleo, cargo o comisión pública. Si bien los derechos políticos son parte de los derechos humanos, los relativos a la ciudadanía no son absolutos tienen requisitos sine qua non como la mayoría de edad y pueden ser restringidos de acuerdo con el texto </w:t>
      </w:r>
      <w:r w:rsidRPr="00947EC7">
        <w:rPr>
          <w:rFonts w:ascii="Abadi" w:hAnsi="Abadi" w:cs="Calibri"/>
          <w:i/>
          <w:iCs/>
          <w:sz w:val="21"/>
          <w:szCs w:val="21"/>
        </w:rPr>
        <w:lastRenderedPageBreak/>
        <w:t>constitucional federal por estar sujeto a un proceso criminal o como parte de una sanción impuesta por la comisión de conductas ilícitas, entre otras causas. En la presente propuesta se considera que esta limitante para ejercer específicamente aquellos derechos relativos a ser votado o nombrado para cargos de elección popular, asociarse para tratar los asuntos políticos del Estado y para ser nombrado para cualquier empleo o comisión del servicio público, se justifica de acuerdo a un ejercicio de ponderación de esta restricción, a través de la aplicación del test de proporcionalidad establecido por la Suprema Corte de Justicia de la Nación en el que se analiza la legitimidad de los fines, la idoneidad de la medida, la necesidad y la proporcionalidad en sentido estricto.</w:t>
      </w:r>
      <w:r w:rsidRPr="00947EC7">
        <w:rPr>
          <w:rStyle w:val="Refdenotaalpie"/>
          <w:rFonts w:ascii="Abadi" w:hAnsi="Abadi" w:cs="Calibri"/>
          <w:i/>
          <w:iCs/>
          <w:sz w:val="21"/>
          <w:szCs w:val="21"/>
        </w:rPr>
        <w:footnoteReference w:id="117"/>
      </w:r>
    </w:p>
    <w:p w14:paraId="4C44F7E8"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Es decir, esta suspensión en el ejercicio de los derechos tiene un fin legítimo que es la protección del derecho a los alimentos y es obligación internacional del Estado “asegurar al niño la protección y el cuidado que sean necesarios para su bienestar…y, con ese fin, tomarán todas las medidas legislativas y administrativas adecuadas.” como ya se anticipaba en supra líneas al analizar los compromisos adquiridos en la Convención sobre los Derechos del Niño de la Organización de las Naciones Unidas. Es una medida idónea porque está encaminada a impactar en las personas deudoras alimentarias, es necesaria porque la cantidad de personas deudoras alimentarias sigue en aumento en el estado de Guanajuato y es imperante establecer, medidas legislativas y políticas públicas que incentiven el cumplimiento de esta obligación para </w:t>
      </w:r>
      <w:r w:rsidRPr="00947EC7">
        <w:rPr>
          <w:rFonts w:ascii="Abadi" w:hAnsi="Abadi" w:cs="Calibri"/>
          <w:i/>
          <w:iCs/>
          <w:sz w:val="21"/>
          <w:szCs w:val="21"/>
        </w:rPr>
        <w:t xml:space="preserve">garantizar los derechos de las infancias. Y es proporcional porque al contrastar el grado de intervención es decir la limitación a los derechos suspendidos y el grado de satisfacción que sería el cumplimiento de la obligación de proporcionar alimentos para recobrar el derecho, se observa que la intervención no es mayor puesto que se está en posibilidad de recobrar sus derechos en cuanto se dé cumplimiento a sus obligaciones, inclusive podría considerarse una medida insuficiente dado que no todas las personas deudoras alimentarias tiene interés de participar en la vida política de la entidad, siendo una medida que no es desproporcionada o que causa un perjuicio mayor que el fin que persigue. </w:t>
      </w:r>
    </w:p>
    <w:p w14:paraId="0CE7621D"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23ABBC6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Sin embargo, de la redacción propuesta para la fracción que se pretende adicionar al artículo 25 donde se establece que las prerrogativas del ciudadano guanajuatense se suspenden “Por estar declarado judicialmente como deudor alimentario” queda la interrogante respecto aquellas personas que incurren en mora frecuentemente en el cumplimiento de esta obligación y no se encuentra declarado judicialmente o aquellas personas que tienen sentencia pero esta aún puede ser recurrida sin embargo ya existe una primera declaratoria judicial y si esto sería suficiente para limitar su posibilidad de ser elegible para un cargo. Y respecto al artículo 26 que se pretende modificar el cual establece que se recobran estas prerrogativas “Por acreditar estar al corriente de la obligación del pago de alimentos” se considera ambiguo al no estipular la forma en la cual </w:t>
      </w:r>
      <w:r w:rsidRPr="00947EC7">
        <w:rPr>
          <w:rFonts w:ascii="Abadi" w:hAnsi="Abadi" w:cs="Calibri"/>
          <w:i/>
          <w:iCs/>
          <w:sz w:val="21"/>
          <w:szCs w:val="21"/>
        </w:rPr>
        <w:lastRenderedPageBreak/>
        <w:t>se acreditará, por ejemplo, bastaría con un comprobante de depósito, o se requiere una resolución judicial o cual sería la forma idónea para comprobar un efectivo cumplimiento. Por lo anteriormente expuesto, se considera que la propuesta de reforma contiene una medida idónea, necesaria, que busca un fin legítimo y sobre todo es proporcional a los fines buscados. En todo caso únicamente queda pendiente analizar si la redacción de la fracción a incorporar al artículo 25 es suficientemente clara para los casos en los cuales la resolución judicial no ha quedado firme y por lo que hace la fracción a incorporar al artículo 26, cuál sería la forma de acreditar el cumplimiento; lo anterior en términos de los últimos dos párrafos expuestos en el cuerpo de este trabajo.</w:t>
      </w:r>
    </w:p>
    <w:p w14:paraId="0E680C19" w14:textId="77777777" w:rsidR="00427BD6" w:rsidRPr="00947EC7" w:rsidRDefault="00427BD6" w:rsidP="00427BD6">
      <w:pPr>
        <w:spacing w:line="276" w:lineRule="auto"/>
        <w:jc w:val="both"/>
        <w:rPr>
          <w:rFonts w:ascii="Abadi" w:eastAsia="Batang" w:hAnsi="Abadi" w:cs="Arial"/>
          <w:sz w:val="21"/>
          <w:szCs w:val="21"/>
        </w:rPr>
      </w:pPr>
    </w:p>
    <w:p w14:paraId="48A4C98A"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Instituto de Acceso a la Información Pública para el Estado de Guanajuato manifestó en su opinión que:</w:t>
      </w:r>
    </w:p>
    <w:p w14:paraId="74D47E48"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16FD977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Primero. Se comparte la visión contenida en la iniciativa, respecto al propósito de la suspensión de derechos para presionar al deudor para que cumpla con sus obligaciones de manutención. Al privar al deudor de ciertos derechos, se espera que se sienta motivado para pagar la deuda pendiente y evitar las consecuencias legales adicionales que pueden surgir si continúa sin pagar.</w:t>
      </w:r>
    </w:p>
    <w:p w14:paraId="19A8FEF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0349DC77"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Segundo. No obstante, esta reforma se considera sobre regulatoria, ya que en fecha 8 de mayo de 2023, se publicó en el Diario Oficial de la Federación, el Decreto por el que se reforman y adicionan diversas disposiciones </w:t>
      </w:r>
      <w:r w:rsidRPr="00947EC7">
        <w:rPr>
          <w:rFonts w:ascii="Abadi" w:hAnsi="Abadi" w:cs="Calibri"/>
          <w:i/>
          <w:iCs/>
          <w:sz w:val="21"/>
          <w:szCs w:val="21"/>
        </w:rPr>
        <w:t>de la Ley General de los Derechos de Niñas, Niños y Adolescentes, en materia de pensiones alimenticias. Dicha reforma de carácter general ya contempla como requisito la presentación de certificados de no inscripción del Registro Nacional de Obligaciones Alimentarias, para acceder a ciertos trámites y procedimientos, entre las cuales se destaca la participación como aspirantes a cargos concejiles, de elección popular, así como para ser aspirantes a jueces y magistrados. Con dicha medida, se considera que ya se colma la restricción que busca la iniciativa de limitar el acceso a cargos de elección popular a los deudores alimentarios. Por otra parte, en cuanto a la restricción de derechos de los deudores alimentarios para ser nombrado para cualquier cargo, empleo o comisión en el servicio público, también puede tener consecuencias negativas para los deudores. Esto puede llevar a una mayor dificultad para encontrar trabajo y, por lo tanto, aumentar la probabilidad de que el deudor no pueda pagar su deuda. Además, en el caso de que algún deudor, eventualmente, ocupara un cargo en el servicio público, los mismos mecanismos de descuento al salario, garantizarían los derechos de los acreedores.</w:t>
      </w:r>
    </w:p>
    <w:p w14:paraId="439B8471"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4034BA45"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La Procuraduría de los Derechos Humanos del Estado de Guanajuato manifestó en su opinión que:</w:t>
      </w:r>
    </w:p>
    <w:p w14:paraId="41DAC408"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009F2E04"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El 10 de noviembre de 2020, se publicó en el Diario Oficial de la Federación, el Acuerdo del Consejo General del Instituto Nacional Electoral </w:t>
      </w:r>
      <w:r w:rsidRPr="00947EC7">
        <w:rPr>
          <w:rStyle w:val="Refdenotaalpie"/>
          <w:rFonts w:ascii="Abadi" w:eastAsia="Calibri" w:hAnsi="Abadi" w:cs="Calibri"/>
          <w:i/>
          <w:iCs/>
          <w:sz w:val="21"/>
          <w:szCs w:val="21"/>
        </w:rPr>
        <w:footnoteReference w:id="118"/>
      </w:r>
      <w:r w:rsidRPr="00947EC7">
        <w:rPr>
          <w:rFonts w:ascii="Abadi" w:hAnsi="Abadi" w:cs="Calibri"/>
          <w:i/>
          <w:iCs/>
          <w:sz w:val="21"/>
          <w:szCs w:val="21"/>
        </w:rPr>
        <w:t xml:space="preserve">por el que se aprueban los Lineamientos para que los partidos políticos </w:t>
      </w:r>
      <w:r w:rsidRPr="00947EC7">
        <w:rPr>
          <w:rFonts w:ascii="Abadi" w:hAnsi="Abadi" w:cs="Calibri"/>
          <w:i/>
          <w:iCs/>
          <w:sz w:val="21"/>
          <w:szCs w:val="21"/>
        </w:rPr>
        <w:lastRenderedPageBreak/>
        <w:t>nacionales y en su caso, los partidos políticos locales, prevengan, atiendan, sancionen, reparen y erradiquen la violencia política contra las mujeres en razón de género. En dichos Lineamientos, se establecieron diversas medidas para garantizar la igualdad de género y prevenir la violencia política, entre las cuales se incluyó la declaración, bajo protesta de decir verdad, de los aspirantes a candidaturas, de no ser personas deudoras alimentarias.</w:t>
      </w:r>
      <w:r w:rsidRPr="00947EC7">
        <w:rPr>
          <w:rStyle w:val="Refdenotaalpie"/>
          <w:rFonts w:ascii="Abadi" w:eastAsia="Calibri" w:hAnsi="Abadi" w:cs="Calibri"/>
          <w:i/>
          <w:iCs/>
          <w:sz w:val="21"/>
          <w:szCs w:val="21"/>
        </w:rPr>
        <w:footnoteReference w:id="119"/>
      </w:r>
      <w:r w:rsidRPr="00947EC7">
        <w:rPr>
          <w:rFonts w:ascii="Abadi" w:hAnsi="Abadi" w:cs="Calibri"/>
          <w:i/>
          <w:iCs/>
          <w:sz w:val="21"/>
          <w:szCs w:val="21"/>
        </w:rPr>
        <w:t xml:space="preserve"> El 28 de julio de 2021, se publicó en el Periódico Oficial del Estado de Hidalgo, el Decreto Número 718, mediante el cual, en la Ley de Transparencia y Acceso a la Información Pública para el Estado de Hidalgo, se establece como requisito para ser Comisionado o Comisionada:</w:t>
      </w:r>
    </w:p>
    <w:p w14:paraId="75B51163"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3E68FD2D"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"Artículo 31. Para ser Comisionado se requiere:</w:t>
      </w:r>
    </w:p>
    <w:p w14:paraId="5CC57040"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 xml:space="preserve">[ ... ] </w:t>
      </w:r>
    </w:p>
    <w:p w14:paraId="1D703D57"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V. No ser deudora o deudor alimentario moroso, salvo que acredite estar al corriente del pago, cancele esa deuda, o bien, tramite el descuento correspondiente.»</w:t>
      </w:r>
      <w:r w:rsidRPr="00947EC7">
        <w:rPr>
          <w:rStyle w:val="Refdenotaalpie"/>
          <w:rFonts w:ascii="Abadi" w:eastAsia="Calibri" w:hAnsi="Abadi" w:cs="Calibri"/>
          <w:i/>
          <w:iCs/>
          <w:sz w:val="21"/>
          <w:szCs w:val="21"/>
        </w:rPr>
        <w:footnoteReference w:id="120"/>
      </w:r>
    </w:p>
    <w:p w14:paraId="75EDF045" w14:textId="77777777" w:rsidR="00427BD6" w:rsidRPr="00947EC7" w:rsidRDefault="00427BD6" w:rsidP="00427BD6">
      <w:pPr>
        <w:jc w:val="both"/>
        <w:rPr>
          <w:rFonts w:ascii="Abadi" w:hAnsi="Abadi" w:cs="Calibri"/>
          <w:i/>
          <w:iCs/>
          <w:sz w:val="21"/>
          <w:szCs w:val="21"/>
        </w:rPr>
      </w:pPr>
    </w:p>
    <w:p w14:paraId="442773B6"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Dicha porción normativa, fue impugnada por la Comisión Nacional de los Derechos Humanos en la Acción de inconstitucionalidad </w:t>
      </w:r>
      <w:r w:rsidRPr="00947EC7">
        <w:rPr>
          <w:rFonts w:ascii="Abadi" w:hAnsi="Abadi" w:cs="Calibri"/>
          <w:i/>
          <w:iCs/>
          <w:sz w:val="21"/>
          <w:szCs w:val="21"/>
        </w:rPr>
        <w:t>126/2021</w:t>
      </w:r>
      <w:r w:rsidRPr="00947EC7">
        <w:rPr>
          <w:rStyle w:val="Refdenotaalpie"/>
          <w:rFonts w:ascii="Abadi" w:eastAsia="Calibri" w:hAnsi="Abadi" w:cs="Calibri"/>
          <w:i/>
          <w:iCs/>
          <w:sz w:val="21"/>
          <w:szCs w:val="21"/>
        </w:rPr>
        <w:footnoteReference w:id="121"/>
      </w:r>
      <w:r w:rsidRPr="00947EC7">
        <w:rPr>
          <w:rFonts w:ascii="Abadi" w:hAnsi="Abadi" w:cs="Calibri"/>
          <w:i/>
          <w:iCs/>
          <w:sz w:val="21"/>
          <w:szCs w:val="21"/>
        </w:rPr>
        <w:t>, donde la Suprema Corte de Justicia de la Nación valoró una colisión de derechos, a saber: el derecho a la protección de los derechos alimentarios de niñas, niños y adolescentes y el derecho de acceder a un cargo público (hasta en tanto no se hubieren saldado las obligaciones alimentarias en mora), estableciendo que es mayor el beneficio de proteger y garantizar la protección alimentaria de niñas, niñas y adolescentes, por lo que se consideró que era una medida legislativa proporcional, con los siguientes argumentos:</w:t>
      </w:r>
    </w:p>
    <w:p w14:paraId="388EF5A5" w14:textId="77777777" w:rsidR="00427BD6" w:rsidRPr="00947EC7" w:rsidRDefault="00427BD6" w:rsidP="00427BD6">
      <w:pPr>
        <w:jc w:val="both"/>
        <w:rPr>
          <w:rFonts w:ascii="Abadi" w:hAnsi="Abadi" w:cs="Calibri"/>
          <w:i/>
          <w:iCs/>
          <w:sz w:val="21"/>
          <w:szCs w:val="21"/>
        </w:rPr>
      </w:pPr>
    </w:p>
    <w:p w14:paraId="5F727D54"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63. -Así pues, la finalidad del legislador es desincentivar la situación de adeudo de la obligación alimentaria para quien pretenda acceder a un cargo público, lo cual es constitucionalmente válido, ya que la conducta que se busca desincentivar representa una situación jurídica y materialmente indeseable para la persona acreedora, en virtud de que se encuentra de por medio su subsistencia, su desarrollo personal y su capacidad de gozar de una vida digna y de calidad.</w:t>
      </w:r>
    </w:p>
    <w:p w14:paraId="463ED6CF"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 ... ) 66. -Máxime, cuando la cuestión alimentaria se relaciona estrechamente con el principio de interés superior de las niñas, niños y adolescentes, pues implica garantizar el pleno y efectivo disfrute de todos los derechos reconocidos en la Convención sobre los Derechos </w:t>
      </w:r>
      <w:r w:rsidRPr="00947EC7">
        <w:rPr>
          <w:rFonts w:ascii="Abadi" w:hAnsi="Abadi" w:cs="Calibri"/>
          <w:i/>
          <w:iCs/>
          <w:sz w:val="21"/>
          <w:szCs w:val="21"/>
        </w:rPr>
        <w:lastRenderedPageBreak/>
        <w:t xml:space="preserve">del Niño, entre los cuales se encuentra tener un nivel de vida adecuado para su desarrollo físico, mental y espiritual, moral y social, así como el deber del Estado de asegurar el pago de la pensión alimenticia.  </w:t>
      </w:r>
    </w:p>
    <w:p w14:paraId="73C38E20"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 ... ] 90.-[ ... ]la medida bajo análisis no representa una prohibición absoluta para acceder al cargo de Comisionado, ya que se trata de una restricción que únicamente tiene cabida cuando exista un incumplimiento del pago de la pensión alimenticia prolongado en el tiempo y declarado por la autoridad judicial correspondiente. Además, la restricción prevista no opera en términos irrestrictos, ya que su actualización y vigencia depende del propio actuar del deudor alimentario moroso, en tanto cese en el incumplimiento de su obligación. </w:t>
      </w:r>
    </w:p>
    <w:p w14:paraId="3030540B"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91.-En efecto, como se ha precisado, la medida legislativa en análisis, conforme a su ingeniería, se advierte que está construida con el objeto, no necesariamente de impedir que el deudor alimentario moroso no pueda acceder a cargos públicos en ninguna circunstancia, sino lo que se pretende es actuar como un medio de presión para obligar a quien aspire a ocupar determinado cargo público, deba estar al corriente de sus obligaciones alimentarias.</w:t>
      </w:r>
      <w:r w:rsidRPr="00947EC7">
        <w:rPr>
          <w:rStyle w:val="Refdenotaalpie"/>
          <w:rFonts w:ascii="Abadi" w:eastAsia="Calibri" w:hAnsi="Abadi" w:cs="Calibri"/>
          <w:i/>
          <w:iCs/>
          <w:sz w:val="21"/>
          <w:szCs w:val="21"/>
        </w:rPr>
        <w:footnoteReference w:id="122"/>
      </w:r>
    </w:p>
    <w:p w14:paraId="4914EB8F"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 xml:space="preserve">(…) 91.- En consecuencia, este Tribunal Pleno concluye que, en efecto, es mayor el beneficio de proteger y garantizar el derecho de alimentos, que el perjuicio que, en su caso, pudiera generar en la esfera de derechos del deudor alimentario moroso, al no poder acceder a un cargo público </w:t>
      </w:r>
      <w:r w:rsidRPr="00947EC7">
        <w:rPr>
          <w:rFonts w:ascii="Abadi" w:hAnsi="Abadi" w:cs="Calibri"/>
          <w:i/>
          <w:iCs/>
          <w:sz w:val="21"/>
          <w:szCs w:val="21"/>
        </w:rPr>
        <w:t>hasta en tanto cubra su deuda alimentaria, por lo que la medida legislativa cumple con el requisito de proporcionalidad en sentido estricto.</w:t>
      </w:r>
    </w:p>
    <w:p w14:paraId="429DA451" w14:textId="77777777" w:rsidR="00427BD6" w:rsidRPr="00947EC7" w:rsidRDefault="00427BD6" w:rsidP="00427BD6">
      <w:pPr>
        <w:ind w:left="1134"/>
        <w:jc w:val="both"/>
        <w:rPr>
          <w:rFonts w:ascii="Abadi" w:hAnsi="Abadi" w:cs="Calibri"/>
          <w:i/>
          <w:iCs/>
          <w:sz w:val="21"/>
          <w:szCs w:val="21"/>
        </w:rPr>
      </w:pPr>
    </w:p>
    <w:p w14:paraId="34B58953"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En el mismo sentido, en el mes de enero del año 2023, la Suprema Corte resolvió otras impugnaciones similares.</w:t>
      </w:r>
      <w:r w:rsidRPr="00947EC7">
        <w:rPr>
          <w:rFonts w:ascii="Abadi" w:hAnsi="Abadi"/>
          <w:sz w:val="21"/>
          <w:szCs w:val="21"/>
        </w:rPr>
        <w:footnoteReference w:id="123"/>
      </w:r>
      <w:r w:rsidRPr="00947EC7">
        <w:rPr>
          <w:rFonts w:ascii="Abadi" w:hAnsi="Abadi" w:cs="Calibri"/>
          <w:i/>
          <w:iCs/>
          <w:sz w:val="21"/>
          <w:szCs w:val="21"/>
        </w:rPr>
        <w:t xml:space="preserve"> Además, el 8 de mayo de 2023, se publicó el Decreto por el que se reforman y adicionan diversas disposiciones de la Ley General de los Derechos de Niñas, Niños y Adolescentes en materia de pensión alimenticia, y se crea el Registro Nacional de Obligaciones Alimentarias, cuyo objeto es concentrar la información de deudores y acreedores de obligaciones alimentarias, a efecto de otorgar efectiva protección y restitución de los derechos de los menores de edad, estableciéndose:</w:t>
      </w:r>
    </w:p>
    <w:p w14:paraId="3361FD16" w14:textId="77777777" w:rsidR="00427BD6" w:rsidRPr="00947EC7" w:rsidRDefault="00427BD6" w:rsidP="00427BD6">
      <w:pPr>
        <w:ind w:left="1134"/>
        <w:jc w:val="both"/>
        <w:rPr>
          <w:rFonts w:ascii="Abadi" w:hAnsi="Abadi" w:cs="Calibri"/>
          <w:i/>
          <w:iCs/>
          <w:sz w:val="21"/>
          <w:szCs w:val="21"/>
        </w:rPr>
      </w:pPr>
    </w:p>
    <w:p w14:paraId="5136F6DA"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 xml:space="preserve">Artículo 135 </w:t>
      </w:r>
      <w:proofErr w:type="spellStart"/>
      <w:r w:rsidRPr="00947EC7">
        <w:rPr>
          <w:rFonts w:ascii="Abadi" w:hAnsi="Abadi" w:cs="Calibri"/>
          <w:i/>
          <w:iCs/>
          <w:sz w:val="21"/>
          <w:szCs w:val="21"/>
        </w:rPr>
        <w:t>Sexties</w:t>
      </w:r>
      <w:proofErr w:type="spellEnd"/>
      <w:r w:rsidRPr="00947EC7">
        <w:rPr>
          <w:rFonts w:ascii="Abadi" w:hAnsi="Abadi" w:cs="Calibri"/>
          <w:i/>
          <w:iCs/>
          <w:sz w:val="21"/>
          <w:szCs w:val="21"/>
        </w:rPr>
        <w:t xml:space="preserve">. Las autoridades de los tres órdenes de gobierno, en el ámbito de sus competencias, dispondrán lo necesario a fin de establecer como requisito la presentación del certificado de no inscripción en el Registro Nacional de Obligaciones Alimentarias. Entre los trámites y procedimientos que podrán requerir la expedición de ese certificado, se encuentran los siguientes: </w:t>
      </w:r>
    </w:p>
    <w:p w14:paraId="44A8FC6F"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l. Obtención de licencias y permisos para conducir;</w:t>
      </w:r>
    </w:p>
    <w:p w14:paraId="21E9161A"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II. Obtención de pasaporte o documento de identidad y viaje;</w:t>
      </w:r>
    </w:p>
    <w:p w14:paraId="0601ACE1"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III. Para participar como candidato a cargos concejiles y de elección popular;</w:t>
      </w:r>
    </w:p>
    <w:p w14:paraId="0951E784"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IV. Para participar como aspirante a cargos de jueces, magistrados en el ámbito local o federal;</w:t>
      </w:r>
    </w:p>
    <w:p w14:paraId="262B7A23"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t>V.</w:t>
      </w:r>
      <w:r w:rsidRPr="00947EC7">
        <w:rPr>
          <w:rFonts w:ascii="Abadi" w:hAnsi="Abadi" w:cs="Calibri"/>
          <w:i/>
          <w:iCs/>
          <w:sz w:val="21"/>
          <w:szCs w:val="21"/>
        </w:rPr>
        <w:tab/>
        <w:t>Los que se realicen ante notario público relativos a la compraventa de bienes inmuebles y la constitución o transmisión de derechos reales, y</w:t>
      </w:r>
    </w:p>
    <w:p w14:paraId="6CF9599E" w14:textId="77777777" w:rsidR="00427BD6" w:rsidRPr="00947EC7" w:rsidRDefault="00427BD6" w:rsidP="00AE265B">
      <w:pPr>
        <w:jc w:val="both"/>
        <w:rPr>
          <w:rFonts w:ascii="Abadi" w:hAnsi="Abadi" w:cs="Calibri"/>
          <w:i/>
          <w:iCs/>
          <w:sz w:val="21"/>
          <w:szCs w:val="21"/>
        </w:rPr>
      </w:pPr>
      <w:r w:rsidRPr="00947EC7">
        <w:rPr>
          <w:rFonts w:ascii="Abadi" w:hAnsi="Abadi" w:cs="Calibri"/>
          <w:i/>
          <w:iCs/>
          <w:sz w:val="21"/>
          <w:szCs w:val="21"/>
        </w:rPr>
        <w:lastRenderedPageBreak/>
        <w:t>VI. En las solicitudes de matrimonio, el juez del Registro Civil hará del conocimiento si alguno de los contrayentes se encuentra inscrito en el Registro, mencionando la situación que guardan respecto de las obligaciones que tiene.</w:t>
      </w:r>
      <w:r w:rsidRPr="00947EC7">
        <w:rPr>
          <w:rStyle w:val="Refdenotaalpie"/>
          <w:rFonts w:ascii="Abadi" w:eastAsia="Calibri" w:hAnsi="Abadi" w:cs="Calibri"/>
          <w:i/>
          <w:iCs/>
          <w:sz w:val="21"/>
          <w:szCs w:val="21"/>
        </w:rPr>
        <w:footnoteReference w:id="124"/>
      </w:r>
    </w:p>
    <w:p w14:paraId="34EFF87D" w14:textId="77777777" w:rsidR="00427BD6" w:rsidRPr="00947EC7" w:rsidRDefault="00427BD6" w:rsidP="00427BD6">
      <w:pPr>
        <w:ind w:left="1134"/>
        <w:jc w:val="both"/>
        <w:rPr>
          <w:rFonts w:ascii="Abadi" w:hAnsi="Abadi" w:cs="Calibri"/>
          <w:i/>
          <w:iCs/>
          <w:sz w:val="21"/>
          <w:szCs w:val="21"/>
        </w:rPr>
      </w:pPr>
    </w:p>
    <w:p w14:paraId="751C9113"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Bajo este contexto, la iniciativa en estudio está relacionada con la iniciativa a nivel federal que reforma la Constitución Política de los Estados Unidos Mexicanos, la cual fue aprobada por el Congreso de la Unión y actualmente se encuentra pendiente de aprobación por las legislaturas locales, en su calidad de Constituyente Permanente, que establece:</w:t>
      </w:r>
    </w:p>
    <w:p w14:paraId="63F6728C" w14:textId="77777777" w:rsidR="00427BD6" w:rsidRPr="00947EC7" w:rsidRDefault="00427BD6" w:rsidP="00427BD6">
      <w:pPr>
        <w:jc w:val="both"/>
        <w:rPr>
          <w:rFonts w:ascii="Abadi" w:hAnsi="Abadi" w:cs="Calibri"/>
          <w:i/>
          <w:iCs/>
          <w:sz w:val="21"/>
          <w:szCs w:val="21"/>
        </w:rPr>
      </w:pPr>
    </w:p>
    <w:p w14:paraId="00954D63" w14:textId="77777777" w:rsidR="00427BD6" w:rsidRPr="00947EC7" w:rsidRDefault="00427BD6" w:rsidP="00AE265B">
      <w:pPr>
        <w:ind w:left="142"/>
        <w:jc w:val="both"/>
        <w:rPr>
          <w:rFonts w:ascii="Abadi" w:hAnsi="Abadi" w:cs="Calibri"/>
          <w:i/>
          <w:iCs/>
          <w:sz w:val="21"/>
          <w:szCs w:val="21"/>
        </w:rPr>
      </w:pPr>
      <w:r w:rsidRPr="00947EC7">
        <w:rPr>
          <w:rFonts w:ascii="Abadi" w:hAnsi="Abadi" w:cs="Calibri"/>
          <w:i/>
          <w:iCs/>
          <w:sz w:val="21"/>
          <w:szCs w:val="21"/>
        </w:rPr>
        <w:t xml:space="preserve">Artículo 38. Los derechos o prerrogativas de los ciudadanos se suspenden: </w:t>
      </w:r>
    </w:p>
    <w:p w14:paraId="006EC13A" w14:textId="77777777" w:rsidR="00AE265B" w:rsidRDefault="00AE265B" w:rsidP="00427BD6">
      <w:pPr>
        <w:ind w:left="1985"/>
        <w:jc w:val="both"/>
        <w:rPr>
          <w:rFonts w:ascii="Abadi" w:hAnsi="Abadi" w:cs="Calibri"/>
          <w:i/>
          <w:iCs/>
          <w:sz w:val="21"/>
          <w:szCs w:val="21"/>
        </w:rPr>
      </w:pPr>
    </w:p>
    <w:p w14:paraId="3A70BB2E" w14:textId="77777777" w:rsidR="00AE265B" w:rsidRDefault="00AE265B" w:rsidP="00427BD6">
      <w:pPr>
        <w:ind w:left="1985"/>
        <w:jc w:val="both"/>
        <w:rPr>
          <w:rFonts w:ascii="Abadi" w:hAnsi="Abadi" w:cs="Calibri"/>
          <w:i/>
          <w:iCs/>
          <w:sz w:val="21"/>
          <w:szCs w:val="21"/>
        </w:rPr>
      </w:pPr>
    </w:p>
    <w:p w14:paraId="7AC69159" w14:textId="33F789DD"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 xml:space="preserve">I a IV. </w:t>
      </w:r>
    </w:p>
    <w:p w14:paraId="2EC300FD"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VII. Por tener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w:t>
      </w:r>
    </w:p>
    <w:p w14:paraId="0A09C075"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 xml:space="preserve">Por ser declarada como persona deudora alimentaria morosa. </w:t>
      </w:r>
    </w:p>
    <w:p w14:paraId="3328F41D" w14:textId="77777777" w:rsidR="00427BD6" w:rsidRPr="00947EC7" w:rsidRDefault="00427BD6" w:rsidP="00427BD6">
      <w:pPr>
        <w:ind w:left="1985"/>
        <w:jc w:val="both"/>
        <w:rPr>
          <w:rFonts w:ascii="Abadi" w:hAnsi="Abadi" w:cs="Calibri"/>
          <w:i/>
          <w:iCs/>
          <w:sz w:val="21"/>
          <w:szCs w:val="21"/>
        </w:rPr>
      </w:pPr>
      <w:r w:rsidRPr="00947EC7">
        <w:rPr>
          <w:rFonts w:ascii="Abadi" w:hAnsi="Abadi" w:cs="Calibri"/>
          <w:i/>
          <w:iCs/>
          <w:sz w:val="21"/>
          <w:szCs w:val="21"/>
        </w:rPr>
        <w:t xml:space="preserve">En los supuestos de esta fracción, la persona no podrá ser registrada como candidata a </w:t>
      </w:r>
      <w:r w:rsidRPr="00947EC7">
        <w:rPr>
          <w:rFonts w:ascii="Abadi" w:hAnsi="Abadi" w:cs="Calibri"/>
          <w:i/>
          <w:iCs/>
          <w:sz w:val="21"/>
          <w:szCs w:val="21"/>
        </w:rPr>
        <w:t>cualquier cargo de elección popular, ni ser nombrada para empleo, cargo o comisión en el servicio público.</w:t>
      </w:r>
      <w:r w:rsidRPr="00947EC7">
        <w:rPr>
          <w:rStyle w:val="Refdenotaalpie"/>
          <w:rFonts w:ascii="Abadi" w:eastAsia="Calibri" w:hAnsi="Abadi" w:cs="Calibri"/>
          <w:i/>
          <w:iCs/>
          <w:sz w:val="21"/>
          <w:szCs w:val="21"/>
        </w:rPr>
        <w:footnoteReference w:id="125"/>
      </w:r>
    </w:p>
    <w:p w14:paraId="4529CB6F" w14:textId="77777777" w:rsidR="00427BD6" w:rsidRPr="00947EC7" w:rsidRDefault="00427BD6" w:rsidP="00427BD6">
      <w:pPr>
        <w:ind w:left="1985"/>
        <w:jc w:val="both"/>
        <w:rPr>
          <w:rFonts w:ascii="Abadi" w:hAnsi="Abadi" w:cs="Calibri"/>
          <w:i/>
          <w:iCs/>
          <w:sz w:val="21"/>
          <w:szCs w:val="21"/>
        </w:rPr>
      </w:pPr>
    </w:p>
    <w:p w14:paraId="6F6E456D" w14:textId="77777777" w:rsidR="00427BD6" w:rsidRPr="00947EC7" w:rsidRDefault="00427BD6" w:rsidP="00427BD6">
      <w:pPr>
        <w:ind w:left="1134"/>
        <w:jc w:val="both"/>
        <w:rPr>
          <w:rFonts w:ascii="Abadi" w:hAnsi="Abadi" w:cs="Calibri"/>
          <w:i/>
          <w:iCs/>
          <w:sz w:val="21"/>
          <w:szCs w:val="21"/>
        </w:rPr>
      </w:pPr>
      <w:r w:rsidRPr="00947EC7">
        <w:rPr>
          <w:rFonts w:ascii="Abadi" w:hAnsi="Abadi" w:cs="Calibri"/>
          <w:i/>
          <w:iCs/>
          <w:sz w:val="21"/>
          <w:szCs w:val="21"/>
        </w:rPr>
        <w:t>Así, tomando en cuenta lo antes señalado y considerando que se trata de una armonización legislativa que refuerza la protección de los derechos de niñas, niños y adolescentes; no se tienen observaciones al respecto.</w:t>
      </w:r>
    </w:p>
    <w:p w14:paraId="746A5A36" w14:textId="77777777" w:rsidR="00427BD6" w:rsidRPr="00947EC7" w:rsidRDefault="00427BD6" w:rsidP="00427BD6">
      <w:pPr>
        <w:jc w:val="both"/>
        <w:rPr>
          <w:rFonts w:ascii="Abadi" w:eastAsia="Batang" w:hAnsi="Abadi" w:cs="Arial"/>
          <w:b/>
          <w:bCs/>
          <w:sz w:val="21"/>
          <w:szCs w:val="21"/>
        </w:rPr>
      </w:pPr>
    </w:p>
    <w:p w14:paraId="2F13ADF3"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La Universidad de Guanajuato opinó en su momento que:</w:t>
      </w:r>
    </w:p>
    <w:p w14:paraId="2104FF26"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57BD0D4D"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El artículo 25 de la Constitución Política Local, materia de la iniciativa, reproduce de manera integral los casos de suspensión de derechos y prerrogativas de ciudadano contenidos en el artículo 38 de la Constitución Política de los Estados Unidos Mexicanos, salvo el último párrafo y que, a la letra refiere:</w:t>
      </w:r>
    </w:p>
    <w:p w14:paraId="0AB41B2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3A82EC15"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eastAsia="Batang" w:hAnsi="Abadi" w:cs="Arial"/>
          <w:sz w:val="21"/>
          <w:szCs w:val="21"/>
        </w:rPr>
      </w:pPr>
      <w:r w:rsidRPr="00947EC7">
        <w:rPr>
          <w:rFonts w:ascii="Abadi" w:hAnsi="Abadi" w:cs="Calibri"/>
          <w:i/>
          <w:iCs/>
          <w:sz w:val="21"/>
          <w:szCs w:val="21"/>
        </w:rPr>
        <w:t xml:space="preserve">La ley fijará los casos en que se pierden, </w:t>
      </w:r>
      <w:r w:rsidRPr="00947EC7">
        <w:rPr>
          <w:rFonts w:ascii="Abadi" w:hAnsi="Abadi" w:cs="Calibri"/>
          <w:b/>
          <w:bCs/>
          <w:i/>
          <w:iCs/>
          <w:sz w:val="21"/>
          <w:szCs w:val="21"/>
        </w:rPr>
        <w:t>y los demás en que se suspenden los derechos de ciudadano</w:t>
      </w:r>
      <w:r w:rsidRPr="00947EC7">
        <w:rPr>
          <w:rFonts w:ascii="Abadi" w:hAnsi="Abadi" w:cs="Calibri"/>
          <w:i/>
          <w:iCs/>
          <w:sz w:val="21"/>
          <w:szCs w:val="21"/>
        </w:rPr>
        <w:t>, y la manera de hacer la rehabilitación.</w:t>
      </w:r>
    </w:p>
    <w:p w14:paraId="4BA7A297"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79156733"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El contenido de la norma constitucional habilita la posibilidad de que en una ley secundaria se pueda incrementar el número de supuestos en que se suspenden los derechos a los ciudadanos los cuales, sin perder su ciudadanía, estarán impedidos para ejercer los derechos inherentes a ésta. De ahí, la razón del porque este párrafo no fe impactado en la Constitución Local, pues la regulación de la materia de ciudadanía es una </w:t>
      </w:r>
      <w:r w:rsidRPr="00947EC7">
        <w:rPr>
          <w:rFonts w:ascii="Abadi" w:hAnsi="Abadi" w:cs="Calibri"/>
          <w:i/>
          <w:iCs/>
          <w:sz w:val="21"/>
          <w:szCs w:val="21"/>
        </w:rPr>
        <w:lastRenderedPageBreak/>
        <w:t>facultad exclusiva del Congreso de la Unión, conforme al artículo 73, fracción XVI de la Constitución Federal:</w:t>
      </w:r>
    </w:p>
    <w:p w14:paraId="45250264"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37D9A1B4" w14:textId="77777777" w:rsidR="00427BD6" w:rsidRPr="00947EC7" w:rsidRDefault="00427BD6" w:rsidP="00AE265B">
      <w:pPr>
        <w:pStyle w:val="Prrafodelista"/>
        <w:widowControl w:val="0"/>
        <w:autoSpaceDE w:val="0"/>
        <w:autoSpaceDN w:val="0"/>
        <w:spacing w:before="12"/>
        <w:ind w:left="0"/>
        <w:jc w:val="both"/>
        <w:rPr>
          <w:rFonts w:ascii="Abadi" w:hAnsi="Abadi" w:cs="Calibri"/>
          <w:i/>
          <w:iCs/>
          <w:sz w:val="21"/>
          <w:szCs w:val="21"/>
        </w:rPr>
      </w:pPr>
      <w:r w:rsidRPr="00947EC7">
        <w:rPr>
          <w:rFonts w:ascii="Abadi" w:hAnsi="Abadi" w:cs="Calibri"/>
          <w:b/>
          <w:bCs/>
          <w:i/>
          <w:iCs/>
          <w:sz w:val="21"/>
          <w:szCs w:val="21"/>
        </w:rPr>
        <w:t>Artículo 73.</w:t>
      </w:r>
      <w:r w:rsidRPr="00947EC7">
        <w:rPr>
          <w:rFonts w:ascii="Abadi" w:hAnsi="Abadi" w:cs="Calibri"/>
          <w:i/>
          <w:iCs/>
          <w:sz w:val="21"/>
          <w:szCs w:val="21"/>
        </w:rPr>
        <w:t xml:space="preserve"> El Congreso tiene facultad:</w:t>
      </w:r>
    </w:p>
    <w:p w14:paraId="331D3508" w14:textId="77777777" w:rsidR="00427BD6" w:rsidRPr="00947EC7" w:rsidRDefault="00427BD6" w:rsidP="00AE265B">
      <w:pPr>
        <w:pStyle w:val="Prrafodelista"/>
        <w:widowControl w:val="0"/>
        <w:autoSpaceDE w:val="0"/>
        <w:autoSpaceDN w:val="0"/>
        <w:spacing w:before="12"/>
        <w:ind w:left="0"/>
        <w:jc w:val="both"/>
        <w:rPr>
          <w:rFonts w:ascii="Abadi" w:hAnsi="Abadi" w:cs="Calibri"/>
          <w:i/>
          <w:iCs/>
          <w:sz w:val="21"/>
          <w:szCs w:val="21"/>
        </w:rPr>
      </w:pPr>
      <w:r w:rsidRPr="00947EC7">
        <w:rPr>
          <w:rFonts w:ascii="Abadi" w:hAnsi="Abadi" w:cs="Calibri"/>
          <w:i/>
          <w:iCs/>
          <w:sz w:val="21"/>
          <w:szCs w:val="21"/>
        </w:rPr>
        <w:t>(…)</w:t>
      </w:r>
    </w:p>
    <w:p w14:paraId="0288480E" w14:textId="77777777" w:rsidR="00427BD6" w:rsidRPr="00947EC7" w:rsidRDefault="00427BD6" w:rsidP="00AE265B">
      <w:pPr>
        <w:pStyle w:val="Prrafodelista"/>
        <w:widowControl w:val="0"/>
        <w:autoSpaceDE w:val="0"/>
        <w:autoSpaceDN w:val="0"/>
        <w:spacing w:before="12"/>
        <w:ind w:left="0"/>
        <w:jc w:val="both"/>
        <w:rPr>
          <w:rFonts w:ascii="Abadi" w:hAnsi="Abadi" w:cs="Calibri"/>
          <w:i/>
          <w:iCs/>
          <w:sz w:val="21"/>
          <w:szCs w:val="21"/>
        </w:rPr>
      </w:pPr>
      <w:r w:rsidRPr="00947EC7">
        <w:rPr>
          <w:rFonts w:ascii="Abadi" w:hAnsi="Abadi" w:cs="Calibri"/>
          <w:i/>
          <w:iCs/>
          <w:sz w:val="21"/>
          <w:szCs w:val="21"/>
        </w:rPr>
        <w:t xml:space="preserve">XVI. Para dictar leyes sobre nacionalidad, condición jurídica de los extranjeros, </w:t>
      </w:r>
      <w:r w:rsidRPr="00947EC7">
        <w:rPr>
          <w:rFonts w:ascii="Abadi" w:hAnsi="Abadi" w:cs="Calibri"/>
          <w:b/>
          <w:bCs/>
          <w:i/>
          <w:iCs/>
          <w:sz w:val="21"/>
          <w:szCs w:val="21"/>
        </w:rPr>
        <w:t>ciudadanía,</w:t>
      </w:r>
      <w:r w:rsidRPr="00947EC7">
        <w:rPr>
          <w:rFonts w:ascii="Abadi" w:hAnsi="Abadi" w:cs="Calibri"/>
          <w:i/>
          <w:iCs/>
          <w:sz w:val="21"/>
          <w:szCs w:val="21"/>
        </w:rPr>
        <w:t xml:space="preserve"> naturalización, emigración e inmigración y salubridad general de la República.</w:t>
      </w:r>
    </w:p>
    <w:p w14:paraId="4140F3E3" w14:textId="77777777" w:rsidR="00427BD6" w:rsidRPr="00947EC7" w:rsidRDefault="00427BD6" w:rsidP="00427BD6">
      <w:pPr>
        <w:jc w:val="both"/>
        <w:rPr>
          <w:rFonts w:ascii="Abadi" w:eastAsia="Batang" w:hAnsi="Abadi" w:cs="Arial"/>
          <w:b/>
          <w:sz w:val="21"/>
          <w:szCs w:val="21"/>
        </w:rPr>
      </w:pPr>
    </w:p>
    <w:p w14:paraId="73D92B26"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ayuntamiento de León refirió en su opinión lo siguiente:</w:t>
      </w:r>
    </w:p>
    <w:p w14:paraId="6D593FEC"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13F628F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eastAsia="Batang" w:hAnsi="Abadi" w:cs="Arial"/>
          <w:sz w:val="21"/>
          <w:szCs w:val="21"/>
        </w:rPr>
        <w:t xml:space="preserve"> </w:t>
      </w:r>
      <w:r w:rsidRPr="00947EC7">
        <w:rPr>
          <w:rFonts w:ascii="Abadi" w:hAnsi="Abadi" w:cs="Calibri"/>
          <w:i/>
          <w:iCs/>
          <w:sz w:val="21"/>
          <w:szCs w:val="21"/>
        </w:rPr>
        <w:t xml:space="preserve">(…) reconoce el compromiso de implementar acciones y procesos tendientes a garantizar el desarrollo integral y la vida digna de niñas, niños y adolescentes, con base en el principio del interés superior de la niñez previsto en el párrafo noveno del artículo 4o de la Constitución Política de los Estados Unidos Mexicanos, donde se precisa que: 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 Asimismo, se identifica que en cumplimiento a las disposiciones contenidas en tratados internacionales y ordenamientos legales vigentes que protegen los derechos de la niñez, se debe hacer efectivo el </w:t>
      </w:r>
      <w:r w:rsidRPr="00947EC7">
        <w:rPr>
          <w:rFonts w:ascii="Abadi" w:hAnsi="Abadi" w:cs="Calibri"/>
          <w:b/>
          <w:bCs/>
          <w:i/>
          <w:iCs/>
          <w:sz w:val="21"/>
          <w:szCs w:val="21"/>
        </w:rPr>
        <w:t xml:space="preserve">derecho de acreedores alimentarios </w:t>
      </w:r>
      <w:r w:rsidRPr="00947EC7">
        <w:rPr>
          <w:rFonts w:ascii="Abadi" w:hAnsi="Abadi" w:cs="Calibri"/>
          <w:i/>
          <w:iCs/>
          <w:sz w:val="21"/>
          <w:szCs w:val="21"/>
        </w:rPr>
        <w:t xml:space="preserve">para que se les otorguen alimentos por parte de su deudor, especialmente cuando por virtud de medidas provisionales, sentencias o convenios judiciales, se incumpla </w:t>
      </w:r>
      <w:r w:rsidRPr="00947EC7">
        <w:rPr>
          <w:rFonts w:ascii="Abadi" w:hAnsi="Abadi" w:cs="Calibri"/>
          <w:i/>
          <w:iCs/>
          <w:sz w:val="21"/>
          <w:szCs w:val="21"/>
        </w:rPr>
        <w:t xml:space="preserve">con la pensión o la ministración de alimentos sin causa justificada, tal como se prevé actualmente en el Código Civil del Estado de Guanajuato. Por otra parte, desde una perspectiva de género se podría afirmar que al existir una deuda de alimentos también se coloca a las mujeres en un plano de desigualdad económica frente a su pareja o expareja, lo que conlleva la perpetuación de la violencia en contra de mujeres y en contra de la familia en general, englobando una modalidad de </w:t>
      </w:r>
      <w:r w:rsidRPr="00947EC7">
        <w:rPr>
          <w:rFonts w:ascii="Abadi" w:hAnsi="Abadi" w:cs="Calibri"/>
          <w:b/>
          <w:bCs/>
          <w:i/>
          <w:iCs/>
          <w:sz w:val="21"/>
          <w:szCs w:val="21"/>
        </w:rPr>
        <w:t xml:space="preserve">violencia económica. </w:t>
      </w:r>
      <w:r w:rsidRPr="00947EC7">
        <w:rPr>
          <w:rFonts w:ascii="Abadi" w:hAnsi="Abadi" w:cs="Calibri"/>
          <w:i/>
          <w:iCs/>
          <w:sz w:val="21"/>
          <w:szCs w:val="21"/>
        </w:rPr>
        <w:t xml:space="preserve">En ese sentido, resulta necesario destacar que el </w:t>
      </w:r>
      <w:r w:rsidRPr="00947EC7">
        <w:rPr>
          <w:rFonts w:ascii="Abadi" w:hAnsi="Abadi" w:cs="Calibri"/>
          <w:b/>
          <w:bCs/>
          <w:i/>
          <w:iCs/>
          <w:sz w:val="21"/>
          <w:szCs w:val="21"/>
        </w:rPr>
        <w:t>19 de julio de 2021</w:t>
      </w:r>
      <w:r w:rsidRPr="00947EC7">
        <w:rPr>
          <w:rFonts w:ascii="Abadi" w:hAnsi="Abadi" w:cs="Calibri"/>
          <w:i/>
          <w:iCs/>
          <w:sz w:val="21"/>
          <w:szCs w:val="21"/>
        </w:rPr>
        <w:t xml:space="preserve"> se publicaron reformas y adiciones al Código Civil para el Estado de Guanajuato, donde se estipuló que al incumplir con la obligación de pensión o ministración de alimentos sin causa justificada por un periodo de noventa días, el Juez ordenará a la Dirección General de Registros Públicos de la Propiedad y Notarías, la inscripción del moroso en el </w:t>
      </w:r>
      <w:r w:rsidRPr="00947EC7">
        <w:rPr>
          <w:rFonts w:ascii="Abadi" w:hAnsi="Abadi" w:cs="Calibri"/>
          <w:b/>
          <w:bCs/>
          <w:i/>
          <w:iCs/>
          <w:sz w:val="21"/>
          <w:szCs w:val="21"/>
        </w:rPr>
        <w:t>Registro de Deudores Alimentarios</w:t>
      </w:r>
      <w:r w:rsidRPr="00947EC7">
        <w:rPr>
          <w:rFonts w:ascii="Abadi" w:hAnsi="Abadi" w:cs="Calibri"/>
          <w:i/>
          <w:iCs/>
          <w:sz w:val="21"/>
          <w:szCs w:val="21"/>
        </w:rPr>
        <w:t>, asentando el nombre completo, clave única de registro de población, registro federal de contribuyentes, número de acreedores alimentarios, monto de la obligación adeudada, órgano jurisdiccional que ordenó el registro y datos del expediente o resolución judicial que deriva su inscripción. (…) acciones implementadas en materia de deudores alimentarios en otros instrumentos y ordenamientos en nuestro país:</w:t>
      </w:r>
      <w:r w:rsidRPr="00947EC7">
        <w:rPr>
          <w:rFonts w:ascii="Abadi" w:hAnsi="Abadi" w:cs="Calibri"/>
          <w:i/>
          <w:iCs/>
          <w:sz w:val="21"/>
          <w:szCs w:val="21"/>
          <w:highlight w:val="yellow"/>
        </w:rPr>
        <w:t xml:space="preserve"> </w:t>
      </w:r>
    </w:p>
    <w:p w14:paraId="658E3251"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1B2D3C2C"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A través del Acuerdo del Consejo General del Instituto Nacional Electoral por el que se aprueban los Lineamientos para que los partidos políticos nacionales y, en su caso, los partidos políticos locales, prevengan, atiendan, sancionen, reparen y erradiquen </w:t>
      </w:r>
      <w:r w:rsidRPr="00947EC7">
        <w:rPr>
          <w:rFonts w:ascii="Abadi" w:hAnsi="Abadi" w:cs="Calibri"/>
          <w:i/>
          <w:iCs/>
          <w:sz w:val="21"/>
          <w:szCs w:val="21"/>
        </w:rPr>
        <w:lastRenderedPageBreak/>
        <w:t xml:space="preserve">la violencia política contra las mujeres en razón de género, se establece que la propia evolución del sistema jurídico propicia la implementación de medidas que permitan prevenir, sancionar y erradicar la violencia política contra las mujeres, así como atender la necesidad de proteger de manera integral los derechos humanos; lo anterior, en la búsqueda de garantizar la idoneidad de las personas que aspiran a ocupar un cargo de elección popular. En el mes de marzo del año 2023, el Pleno del Senado de la República aprobó por unanimidad, un dictamen que plantea reformar la Ley General de los Derechos de Niñas, Niños y Adolescentes a fin de fortalecer la ejecución y garantizar el oportuno cumplimiento de la pensión alimenticia, de manera homologada en todo el país. La propuesta plantea crear un Registro Nacional de Obligaciones Alimentarias, con el objeto de concentrar la información de las personas deudoras alimentarias, a fin de dotar de una efectiva protección de los derechos de niñas, niños y adolescentes. En la Ley del Trabajo de los Servidores Públicos al Servicio del Estado y de los Municipios ya se contempla que el pago de alimentos ordenados por la autoridad judicial forma parte de los descuentos, retenciones o deducciones al salario de servidores públicos; circunstancia que, previa verificación del padrón de deudores alimentarios, debe ser constatada por el patrón para el pago de las prestaciones. En fecha 12 de agosto del año 2022 se publicaron diversas reformas a la Constitución Política del Estado de Yucatán en materia de violencia de género y deudores alimentarios, estableciendo el requisito de “No ser deudor alimentario moroso” para aspirar </w:t>
      </w:r>
      <w:r w:rsidRPr="00947EC7">
        <w:rPr>
          <w:rFonts w:ascii="Abadi" w:hAnsi="Abadi" w:cs="Calibri"/>
          <w:i/>
          <w:iCs/>
          <w:sz w:val="21"/>
          <w:szCs w:val="21"/>
        </w:rPr>
        <w:t xml:space="preserve">a diputaciones locales, para la gubernatura, para ser designada como Magistrada o Magistrado del Poder Judicial, para las consejerías de la Judicatura del Poder Judicial Estatal, además de cargos edilicios. </w:t>
      </w:r>
    </w:p>
    <w:p w14:paraId="316A294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50BEFCC2"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No obstante lo anterior, respecto de la restricción para obtener un empleo, cargo o comisión en el servicio público, aunque los fines de la iniciativa son fortalecer los mecanismos legales para garantizar el derecho humano a la alimentación, erradicar cualquier forma de violencia en contra de mujeres y establecer una perspectiva legislativa bajo el principio de interés superior de la niñez, se recomienda al órgano legislativo local analizar en las mesas de trabajo que realice, que la prohibición de participar en una convocatoria o proceso de selección para ingresar a la administración pública no resolvería la problemática de incumplimiento de pago de alimentos. Así mismo, desde una perspectiva de derechos humanos y de derechos laborales, el órgano legislativo también deberá valorar: a) La posibilidad de que una vez que el aspirante (deudor alimentario) haya obtenido un cargo, comisión o empleo en el servicio público, y que además sea remunerado económicamente, las instancias encargadas de la nómina en la unidad pública que corresponda, apliquen el descuento correspondiente al servicio público para cubrir sus obligaciones; b) Fortalecer los mecanismos tendientes a cumplir con la obligación del pago de alimentos por parte de deudores y a su vez, se puedan actualizar los ordenamientos legales en nuestro Estado que protejan y garanticen los derechos humanos de cualquier acreedor alimenticio, sin importar su condición, </w:t>
      </w:r>
      <w:r w:rsidRPr="00947EC7">
        <w:rPr>
          <w:rFonts w:ascii="Abadi" w:hAnsi="Abadi" w:cs="Calibri"/>
          <w:i/>
          <w:iCs/>
          <w:sz w:val="21"/>
          <w:szCs w:val="21"/>
        </w:rPr>
        <w:lastRenderedPageBreak/>
        <w:t>evitando la perpetuación de violencia económica en su contra.  En consecuencia y en cumplimiento a las disposiciones civiles vigentes sobre deudores alimentarios, este Ayuntamiento considera que es necesario contar con servidoras y servidores públicos cuyo modo honesto de vivir se refleje en su actuar público y cuya congruencia se observe en el desarrollo de sus actividades a favor de la ciudadanía y su entorno familiar. En ese sentido, se expone que este órgano edilicio está comprometido en evitar que servidores públicos ejerzan actos de violencia contra las mujeres por razón de género y en contra de vulneración o violación de derechos humanos de niñas, niños y adolescentes.”</w:t>
      </w:r>
    </w:p>
    <w:p w14:paraId="49F38880"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1EC8712A"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ayuntamiento de Celaya refirió en su opinión lo siguiente:</w:t>
      </w:r>
    </w:p>
    <w:p w14:paraId="0AAA29DC" w14:textId="77777777" w:rsidR="00427BD6" w:rsidRPr="00947EC7" w:rsidRDefault="00427BD6" w:rsidP="00427BD6">
      <w:pPr>
        <w:pStyle w:val="Prrafodelista"/>
        <w:widowControl w:val="0"/>
        <w:tabs>
          <w:tab w:val="left" w:pos="2122"/>
        </w:tabs>
        <w:autoSpaceDE w:val="0"/>
        <w:autoSpaceDN w:val="0"/>
        <w:ind w:left="0"/>
        <w:jc w:val="both"/>
        <w:rPr>
          <w:rFonts w:ascii="Abadi" w:eastAsia="Batang" w:hAnsi="Abadi" w:cs="Arial"/>
          <w:sz w:val="21"/>
          <w:szCs w:val="21"/>
        </w:rPr>
      </w:pPr>
    </w:p>
    <w:p w14:paraId="3D1488F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se emite opinión negativa. Se propone se considere en la presente iniciativa, que de encontrase a una persona que se encuentre en el supuesto de deudor alimentario, sea el compromiso, en el pago inmediato se le retire la cantidad correspondiente por la pensión alimenticia.</w:t>
      </w:r>
    </w:p>
    <w:p w14:paraId="57D7D787"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0E7447CA"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ayuntamiento de Irapuato refirió en su opinión lo siguiente:</w:t>
      </w:r>
    </w:p>
    <w:p w14:paraId="1DF2B985"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03C3F272"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Todas las autoridades del estado y de los municipios, en el ámbito de sus competencias, tienen la obligación de promover, respetar, proteger y garantizar los derechos humanos de conformidad con los principios de universalidad, interdependencia, indivisibilidad y progresividad. Se estima contradictoria a lo dispuesto por el artículo 5 de la Constitución Política de los Estados Unidos Mexicanos, el cual a la letra dice:</w:t>
      </w:r>
    </w:p>
    <w:p w14:paraId="0F38ABB3"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0C1FB2EB"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“A ninguna persona podrá impedirse que se dedique a la profesión, industria, comercio o trabajo que le acomode, siendo lícitos. El ejercicio de esta libertad sólo podrá vedarse por determinación judicial, cuando se ataquen los derechos de tercero, o por resolución gubernativa, dictada en los términos que marque la ley, cuando se ofendan los derechos de la sociedad”.</w:t>
      </w:r>
    </w:p>
    <w:p w14:paraId="371FA063" w14:textId="77777777" w:rsidR="00427BD6" w:rsidRPr="00947EC7" w:rsidRDefault="00427BD6" w:rsidP="00427BD6">
      <w:pPr>
        <w:pStyle w:val="Prrafodelista"/>
        <w:widowControl w:val="0"/>
        <w:tabs>
          <w:tab w:val="left" w:pos="2122"/>
        </w:tabs>
        <w:autoSpaceDE w:val="0"/>
        <w:autoSpaceDN w:val="0"/>
        <w:ind w:left="0"/>
        <w:jc w:val="both"/>
        <w:rPr>
          <w:rFonts w:ascii="Abadi" w:eastAsia="Batang" w:hAnsi="Abadi" w:cs="Arial"/>
          <w:sz w:val="21"/>
          <w:szCs w:val="21"/>
        </w:rPr>
      </w:pPr>
    </w:p>
    <w:p w14:paraId="5358C69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Es así que, dado que la mencionada iniciativa pretende incorporar constitucionalmente la obligación de que el estado y los municipios se abstengan de contratar como servidores públicos o empleados a personas que sean deudores alimentarios declarados judicialmente, resulta violatoria del derecho humano consagrado en el artículo 5 referido líneas arriba, toda vez que el desempeño de las funciones de los servidores públicos no ataca los derechos de un tercero ni ofende los derechos de la sociedad; por lo que se considera que la iniciativa en comento no contribuye a garantizar el interés superior de la niñez, sino al contrario, es probable que retarse este, al obstaculizar un posible ingreso mensual del deudor alimentarios.</w:t>
      </w:r>
    </w:p>
    <w:p w14:paraId="0FC7536B"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6CD7EB10"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Supremo Tribunal de Justicia del Estado dijo en su opinión lo siguiente:</w:t>
      </w:r>
    </w:p>
    <w:p w14:paraId="3261B1AF"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68EA5D90"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 sostienen las personas iniciantes, proponen incorporar constitucionalmente la obligación de que el Estado y los Municipios se abstengan de contratar como servidores públicos o empleados </w:t>
      </w:r>
      <w:r w:rsidRPr="00947EC7">
        <w:rPr>
          <w:rFonts w:ascii="Abadi" w:hAnsi="Abadi" w:cs="Calibri"/>
          <w:i/>
          <w:iCs/>
          <w:sz w:val="21"/>
          <w:szCs w:val="21"/>
        </w:rPr>
        <w:lastRenderedPageBreak/>
        <w:t xml:space="preserve">a personas deudoras alimentarias declaradas judicialmente, así como la suspensión de la prerrogativa consistente en la posibilidad de ser votados para los cargos de elección popular. Lo anterior a fin de fortalecer los mecanismos ya existentes que redundan en la garantía del derecho humano a la alimentación, interés superior de la niñez y la no discriminación en razón de género. La hipótesis normativa que se pretende incorporar al artículo 25 del texto constitucional local constituye una restricción a derechos, pues una vez actualizada se suspenderán las prerrogativas de las personas ciudadanas guanajuatenses, de ahí que resulte necesario analizar si tal restricción supera las gradas de idoneidad, necesidad y proporcionalidad en sentido estricto. En primer lugar, la adición propuesta persigue una finalidad constitucionalmente legítima desde tres aristas. La primera tiene vinculación directa con la cualidad de las personas que ejercen un empleo, cargo o comisión públicos, a efecto de generar condiciones que redunden en la eficiencia en la prestación del servicio público. La segunda está relacionada con establecer instrumentos que, de forma indirecta, incentiven el cumplimiento de las obligaciones alimentarias, pues genera normativa que influye en la concepción de paternidad-maternidad corresponsable, lo que a la postre se traduce en una medida a cargo del Estado que atiende al interés superior, supervivencia y desarrollo de niñas, niños y adolescentes, en los términos previstos en la Constitución Política de los Estados Unidos Mexicanos, la Convención sobre los Derechos del Niño y la Convención Americana sobre Derechos Humanos. La tercera corresponde </w:t>
      </w:r>
      <w:r w:rsidRPr="00947EC7">
        <w:rPr>
          <w:rFonts w:ascii="Abadi" w:hAnsi="Abadi" w:cs="Calibri"/>
          <w:i/>
          <w:iCs/>
          <w:sz w:val="21"/>
          <w:szCs w:val="21"/>
        </w:rPr>
        <w:t xml:space="preserve">a la implementación de una medida que debilita la discriminación estructural en contra de las mujeres, pues al establecer consecuencias específicas al incumplimiento de la obligación alimentaria, se visibiliza y ataca la desigualdad material en la distribución de la responsabilidad alimentaria.  Asimismo, la medida legislativa propuesta es idónea, ya que de forma indirecta contribuye a generar un escenario en el que se incentive el cumplimiento de las obligaciones alimentarias, lo que por una parte beneficia los derechos de supervivencia y desarrollo de niñas, niños y adolescentes y, por otra parte, contribuye a redefinir los alcances de los derechos y obligaciones alimentarias en beneficio de las mujeres, pues es a este sector de la población a quien socialmente se le ha atribuido tal responsabilidad. </w:t>
      </w:r>
    </w:p>
    <w:p w14:paraId="02145919"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61AACA41"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De igual forma, se considera que la adición propuesta supera la grada de necesidad pues, aunque en la normativa guanajuatense existen medios que regulan y sancionan el incumplimiento de obligaciones alimentarias, en este caso también se encuentra involucrada la eficiencia en la prestación de un servicio público tomando como base la cualidad de las personas que quieren acceder a un empleo, cargo o comisión públicos, por lo que la medida en cuestión se estima viable para alcanzar el objetivo pretendido.</w:t>
      </w:r>
    </w:p>
    <w:p w14:paraId="701E05F7" w14:textId="77777777" w:rsidR="00427BD6" w:rsidRPr="00947EC7" w:rsidRDefault="00427BD6" w:rsidP="00427BD6">
      <w:pPr>
        <w:jc w:val="both"/>
        <w:rPr>
          <w:rFonts w:ascii="Abadi" w:eastAsia="Batang" w:hAnsi="Abadi" w:cs="Arial"/>
          <w:b/>
          <w:sz w:val="21"/>
          <w:szCs w:val="21"/>
        </w:rPr>
      </w:pPr>
    </w:p>
    <w:p w14:paraId="4AD7CA38" w14:textId="77777777" w:rsidR="00427BD6" w:rsidRPr="00947EC7" w:rsidRDefault="00427BD6" w:rsidP="00427BD6">
      <w:pPr>
        <w:jc w:val="both"/>
        <w:rPr>
          <w:rFonts w:ascii="Abadi" w:eastAsia="Batang" w:hAnsi="Abadi" w:cs="Arial"/>
          <w:b/>
          <w:bCs/>
          <w:sz w:val="21"/>
          <w:szCs w:val="21"/>
        </w:rPr>
      </w:pPr>
      <w:r w:rsidRPr="00947EC7">
        <w:rPr>
          <w:rFonts w:ascii="Abadi" w:eastAsia="Batang" w:hAnsi="Abadi" w:cs="Arial"/>
          <w:b/>
          <w:sz w:val="21"/>
          <w:szCs w:val="21"/>
        </w:rPr>
        <w:t>II.3.</w:t>
      </w:r>
      <w:r w:rsidRPr="00947EC7">
        <w:rPr>
          <w:rFonts w:ascii="Abadi" w:hAnsi="Abadi" w:cs="Arial"/>
          <w:sz w:val="21"/>
          <w:szCs w:val="21"/>
        </w:rPr>
        <w:t xml:space="preserve"> </w:t>
      </w:r>
      <w:r w:rsidRPr="00947EC7">
        <w:rPr>
          <w:rFonts w:ascii="Abadi" w:eastAsia="Batang" w:hAnsi="Abadi" w:cs="Arial"/>
          <w:b/>
          <w:bCs/>
          <w:sz w:val="21"/>
          <w:szCs w:val="21"/>
        </w:rPr>
        <w:t xml:space="preserve">De la tercer iniciativa </w:t>
      </w:r>
      <w:r w:rsidRPr="00947EC7">
        <w:rPr>
          <w:rFonts w:ascii="Arial" w:eastAsia="Batang" w:hAnsi="Arial" w:cs="Arial"/>
          <w:b/>
          <w:bCs/>
          <w:sz w:val="21"/>
          <w:szCs w:val="21"/>
        </w:rPr>
        <w:t>―</w:t>
      </w:r>
      <w:r w:rsidRPr="00947EC7">
        <w:rPr>
          <w:rFonts w:ascii="Abadi" w:eastAsia="Batang" w:hAnsi="Abadi" w:cs="Arial"/>
          <w:b/>
          <w:bCs/>
          <w:sz w:val="21"/>
          <w:szCs w:val="21"/>
        </w:rPr>
        <w:t>ELD 507/LXV-I</w:t>
      </w:r>
      <w:r w:rsidRPr="00947EC7">
        <w:rPr>
          <w:rFonts w:ascii="Arial" w:eastAsia="Batang" w:hAnsi="Arial" w:cs="Arial"/>
          <w:b/>
          <w:bCs/>
          <w:sz w:val="21"/>
          <w:szCs w:val="21"/>
        </w:rPr>
        <w:t>―</w:t>
      </w:r>
      <w:r w:rsidRPr="00947EC7">
        <w:rPr>
          <w:rFonts w:ascii="Abadi" w:eastAsia="Batang" w:hAnsi="Abadi" w:cs="Arial"/>
          <w:b/>
          <w:bCs/>
          <w:sz w:val="21"/>
          <w:szCs w:val="21"/>
        </w:rPr>
        <w:t>.</w:t>
      </w:r>
    </w:p>
    <w:p w14:paraId="537598FD" w14:textId="77777777" w:rsidR="00427BD6" w:rsidRPr="00947EC7" w:rsidRDefault="00427BD6" w:rsidP="00427BD6">
      <w:pPr>
        <w:jc w:val="both"/>
        <w:rPr>
          <w:rFonts w:ascii="Abadi" w:eastAsia="Batang" w:hAnsi="Abadi" w:cs="Arial"/>
          <w:b/>
          <w:bCs/>
          <w:sz w:val="21"/>
          <w:szCs w:val="21"/>
        </w:rPr>
      </w:pPr>
    </w:p>
    <w:p w14:paraId="617B0929" w14:textId="77777777" w:rsidR="00427BD6" w:rsidRPr="00947EC7" w:rsidRDefault="00427BD6" w:rsidP="00427BD6">
      <w:pPr>
        <w:spacing w:line="276" w:lineRule="auto"/>
        <w:jc w:val="both"/>
        <w:rPr>
          <w:rFonts w:ascii="Abadi" w:eastAsia="Batang" w:hAnsi="Abadi" w:cs="Arial"/>
          <w:sz w:val="21"/>
          <w:szCs w:val="21"/>
        </w:rPr>
      </w:pPr>
      <w:r w:rsidRPr="00947EC7">
        <w:rPr>
          <w:rFonts w:ascii="Abadi" w:eastAsia="Batang" w:hAnsi="Abadi" w:cs="Arial"/>
          <w:sz w:val="21"/>
          <w:szCs w:val="21"/>
        </w:rPr>
        <w:t xml:space="preserve">De la consulta a autoridades del Poder Judicial, del Poder Ejecutivo y organismos autónomos, los 46 ayuntamientos y los partidos políticos con registro en el Estado bajo el principio de parlamento abierto respondieron el Supremo Tribunal de Justicia </w:t>
      </w:r>
      <w:r w:rsidRPr="00947EC7">
        <w:rPr>
          <w:rFonts w:ascii="Abadi" w:eastAsia="Batang" w:hAnsi="Abadi" w:cs="Arial"/>
          <w:sz w:val="21"/>
          <w:szCs w:val="21"/>
        </w:rPr>
        <w:lastRenderedPageBreak/>
        <w:t xml:space="preserve">del Estado, el Instituto Electoral del Estado de Guanajuato, el Tribunal Electoral del Estado de Guanajuato; los partidos políticos de Acción Nacional, MORENA y Movimiento Ciudadano, así como los ayuntamientos de Coroneo, </w:t>
      </w:r>
      <w:proofErr w:type="spellStart"/>
      <w:r w:rsidRPr="00947EC7">
        <w:rPr>
          <w:rFonts w:ascii="Abadi" w:eastAsia="Batang" w:hAnsi="Abadi" w:cs="Arial"/>
          <w:sz w:val="21"/>
          <w:szCs w:val="21"/>
        </w:rPr>
        <w:t>Cortazar</w:t>
      </w:r>
      <w:proofErr w:type="spellEnd"/>
      <w:r w:rsidRPr="00947EC7">
        <w:rPr>
          <w:rFonts w:ascii="Abadi" w:eastAsia="Batang" w:hAnsi="Abadi" w:cs="Arial"/>
          <w:sz w:val="21"/>
          <w:szCs w:val="21"/>
        </w:rPr>
        <w:t>, Santiago Maravatío y San Diego de la Unión.</w:t>
      </w:r>
    </w:p>
    <w:p w14:paraId="481B4F46"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Instituto Electoral del Estado de Guanajuato refirió en su opinión lo siguiente:</w:t>
      </w:r>
    </w:p>
    <w:p w14:paraId="5ABD010D"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1FDE3AA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Una vez analizada la iniciativa por consejeras y los consejeros electorales de este Instituto, a la luz del marco normativo previsto en la Constitución Política para el Estado de Guanajuato y en la Ley de Instituciones y Procedimientos Electorales para el Estado de Guanajuato, no se advierte que su contenido entre en conflicto con las disposiciones jurídicas que rigen el ámbito de competencia de esta autoridad electoral.</w:t>
      </w:r>
    </w:p>
    <w:p w14:paraId="2B7CAD80"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6918CE01"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En ese sentido, se advierte que la iniciativa de análisis es acorde y armónica con la reforma a la Constitución Política de los Estados Unidos Mexicanos publicada en el Diario Oficial de la Federación el veintinueve de mayo de dos mil veintitrés</w:t>
      </w:r>
      <w:r w:rsidRPr="00947EC7">
        <w:rPr>
          <w:rFonts w:ascii="Abadi" w:hAnsi="Abadi" w:cs="Calibri"/>
          <w:i/>
          <w:iCs/>
          <w:sz w:val="21"/>
          <w:szCs w:val="21"/>
        </w:rPr>
        <w:footnoteReference w:id="126"/>
      </w:r>
      <w:r w:rsidRPr="00947EC7">
        <w:rPr>
          <w:rFonts w:ascii="Abadi" w:hAnsi="Abadi" w:cs="Calibri"/>
          <w:i/>
          <w:iCs/>
          <w:sz w:val="21"/>
          <w:szCs w:val="21"/>
        </w:rPr>
        <w:t xml:space="preserve">, en materia de suspensión de derechos para ocupar un cargo, empleo o comisión en el servicio público, por tener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y por ser declarada como persona deudora alimentaria morosa. Por lo que, con dicha </w:t>
      </w:r>
      <w:r w:rsidRPr="00947EC7">
        <w:rPr>
          <w:rFonts w:ascii="Abadi" w:hAnsi="Abadi" w:cs="Calibri"/>
          <w:i/>
          <w:iCs/>
          <w:sz w:val="21"/>
          <w:szCs w:val="21"/>
        </w:rPr>
        <w:t>iniciativa se contribuye a generar condiciones que abonen a alcanzar la igualdad sustantiva entre mujeres y hombres, así como el acceso por parte de las mujeres al pleno ejercicio de sus derechos político-electorales en el Estado, en un entorno libre de violencia.</w:t>
      </w:r>
    </w:p>
    <w:p w14:paraId="77A3F9A4"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68ACFD64"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Tribunal Estatal Electoral de Guanajuato, dijo en su opinión que:</w:t>
      </w:r>
    </w:p>
    <w:p w14:paraId="4F81C60F"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40981A65"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La acreditación sería mediante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así como por “…ser declarada como persona deudora alimentaria morosa”. La suspensión de derechos se insertaría en los requisitos de elegibilidad para poder ocupar un cargo de elección popular o incluso un cargo en la función pública, ante la preocupación de limitar de manera excesiva o desproporcionada los derechos de las personas, la comisión legislativa tomo como base “…la Minuta Proyecto de Decreto que en su momento remitió la Cámara de Senadores en materia de suspensión de derechos para ocupar un cargo, empleo o comisión del servicio público…” con fin de evitar una sanción ad infinitum en perjuicio de ese sector de la población.</w:t>
      </w:r>
    </w:p>
    <w:p w14:paraId="26397294"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eastAsia="Batang" w:hAnsi="Abadi" w:cs="Arial"/>
          <w:sz w:val="21"/>
          <w:szCs w:val="21"/>
        </w:rPr>
      </w:pPr>
    </w:p>
    <w:p w14:paraId="04ED6219"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 En términos generales se considera adecuada la propuesta, sin embargo se advierte que al </w:t>
      </w:r>
      <w:r w:rsidRPr="00947EC7">
        <w:rPr>
          <w:rFonts w:ascii="Abadi" w:hAnsi="Abadi" w:cs="Calibri"/>
          <w:i/>
          <w:iCs/>
          <w:sz w:val="21"/>
          <w:szCs w:val="21"/>
        </w:rPr>
        <w:lastRenderedPageBreak/>
        <w:t>incorporar en los artículos 46, 69 y 111 el impedimento a quien haya tenido resolución firme por violencia política contra las mujeres en razón de género en los 36 meses anteriores a su registro, de ocupar un cargo de elección popular, constituye una sanción adicional a la ya impuesta por el órgano electoral, lo que excede al mandato constitucional de armonización; ya que el artículo 38 constitucional solo hace referencia a la suspensión de las prerrogativas como ciudadano y la propuesta estatal incorpora uno de los supuestos como requisito de elegibilidad. Aunado a que la Ley General en Materia de Delitos Electorales artículo 20 Bis, establece que la pena por el delito de violencia política contra las mujeres en razón de género va de 1 a 6 años de prisión, entonces el término propuesto de 36 meses para no contender por un cargo público por conductas no consideradas delito podría resultar excesivo. En estos términos una persona condenada a 1 año de prisión por el delito de violencia política contra las mujeres en razón de género que hubiera compurgado su pena meses antes del registro podría contender por un cargo de elección popular, mientras que una persona sancionada por el Tribunal Estatal Electoral a emitir una disculpa pública no podría hacerlo durante 3 años. Salvo lo referido en supra líneas, la propuesta de reforma al artículo 25 de la constitución estatal, se considera idónea para adecuar la normativa del estado a la Constitución Política para los Estados Unidos Mexicanos.</w:t>
      </w:r>
    </w:p>
    <w:p w14:paraId="21D913C1"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1FD78F35"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partido político de MORENA manifestó en su opinión lo siguiente:</w:t>
      </w:r>
    </w:p>
    <w:p w14:paraId="2B9DB1A8"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5BB545DB"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 Rechazamos cualquier forma de opresión: el hambre, la pobreza, la desigualdad, la </w:t>
      </w:r>
      <w:r w:rsidRPr="00947EC7">
        <w:rPr>
          <w:rFonts w:ascii="Abadi" w:hAnsi="Abadi" w:cs="Calibri"/>
          <w:i/>
          <w:iCs/>
          <w:sz w:val="21"/>
          <w:szCs w:val="21"/>
        </w:rPr>
        <w:t>exclusión social y la explotación. Nos oponemos a las violaciones de derechos humanos y la corrupción gubernamental. Luchamos contra la violencia hacia las mujeres y contra cualquier forma de discriminación por razón de sexo, raza, origen étnico, religión, condición social, económica, política o cultural. MORENA promoverá y luchará por la igualdad real entre hombres y mujeres. Estamos contra toda forma de imposición y autoritarismo y cualquier acto que pretenda usurpar la libre voluntad del pueblo mexicano.” Partiendo de este principio y siendo coherentes con nuestro actuar, celebramos, desde morena, que se promuevan este tipo de iniciativas para generar mejores condiciones de vida para todas y todos los Guanajuatenses, pues quienes hemos sido víctimas de violencia en cualquiera de sus formas, sabemos de la importancia de salvaguardar los derechos humanos de todas y todos, especialmente de los más vulnerables. Creemos que los derechos humanos no deben estar a consideración de ninguna autoridad para ser otorgados o no, vienen inherentes a su disfrute pues se apela al principio pro homine. Si bien en el artículo 35 de la Constitución Política de los Estados Unidos Mexicanos garantiza el derecho de elegibilidad de las y los ciudadanos, desde el punto de vista de nuestro sistema jurídico, el derecho de elegibilidad no es superior a los derechos de libertad, igualdad, dignidad y seguridad.</w:t>
      </w:r>
    </w:p>
    <w:p w14:paraId="5445DBDE"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1710B06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Elevar los estándares de ética y responsabilidad pública debe ser una tarea de todas y todos, pues, el gobernante en cualquier nivel debe garantizar, desde su ámbito de competencia, los más altos </w:t>
      </w:r>
      <w:r w:rsidRPr="00947EC7">
        <w:rPr>
          <w:rFonts w:ascii="Abadi" w:hAnsi="Abadi" w:cs="Calibri"/>
          <w:i/>
          <w:iCs/>
          <w:sz w:val="21"/>
          <w:szCs w:val="21"/>
        </w:rPr>
        <w:lastRenderedPageBreak/>
        <w:t xml:space="preserve">anhelos de sus gobernados, generando las condiciones jurídicas, sociales, políticas, y de distinto orden que evidencien su compromiso y coherencia por estar al servicio de las mejores causas de la población a quien se debe. Podría pensarse que desde esta iniciativa se pretende impulsar el otorgamiento de privilegios a las mujeres, en detrimento de los derechos de los hombres, pero no es así, porque la esencia de la iniciativa está enfocada en salvaguardar los derechos de la niñez y víctimas de violencia como un sector vulnerable que requiere la protección de la ley, y el alcance de la sanción está dirigida a cualquier persona que genere violencia e incumpla con sus obligaciones alimentarias, ya sea hombre o mujer, por eso afirmamos que la iniciativa citada va más allá del cumplimiento de una obligación para evitar la sanción y poder aspirar a un cargo público. Con la finalidad de que haya certeza y transparencia en el proceso de suspensión de derechos políticos a los deudores alimentarios consideramos, como lo manifiesta la iniciativa, que debe haber una sentencia firme y condenatoria como único documento que avale dicha suspensión, esto cerraría la puerta a la utilización de cualquier otro recurso con el que se pretenda suspender de mala fe los derechos político-electorales de cualquier ciudadano. </w:t>
      </w:r>
    </w:p>
    <w:p w14:paraId="764C8109"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6FFF2EC0"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Concluyo diciendo que el objetivo principal de la reforma debe ser la erradicación de la violencia en cualquiera de sus formas y salvaguardar los derechos de las niñas y niños, pero también debe garantizar la reinserción social del sentenciado a través de la justicia restaurativa, pues una vez cumplida su sentencia y obligaciones deberá </w:t>
      </w:r>
      <w:r w:rsidRPr="00947EC7">
        <w:rPr>
          <w:rFonts w:ascii="Abadi" w:hAnsi="Abadi" w:cs="Calibri"/>
          <w:i/>
          <w:iCs/>
          <w:sz w:val="21"/>
          <w:szCs w:val="21"/>
        </w:rPr>
        <w:t>quedar liberado de dicha suspensión de derechos político-electorales para poder aspirar a algún cargo de elección popular.</w:t>
      </w:r>
    </w:p>
    <w:p w14:paraId="2BB17EF3"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53600C37"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26C16EF3"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65CA395D"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partido político de Movimiento Ciudadano refirió en su opinión lo siguiente:</w:t>
      </w:r>
    </w:p>
    <w:p w14:paraId="1A07A3DE"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p>
    <w:p w14:paraId="3226318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 </w:t>
      </w:r>
      <w:r w:rsidRPr="00947EC7">
        <w:rPr>
          <w:rFonts w:ascii="Abadi" w:hAnsi="Abadi" w:cs="Calibri"/>
          <w:b/>
          <w:bCs/>
          <w:i/>
          <w:iCs/>
          <w:sz w:val="21"/>
          <w:szCs w:val="21"/>
        </w:rPr>
        <w:t>Primera. Antecedentes en Guanajuato.</w:t>
      </w:r>
      <w:r w:rsidRPr="00947EC7">
        <w:rPr>
          <w:rFonts w:ascii="Abadi" w:hAnsi="Abadi" w:cs="Calibri"/>
          <w:i/>
          <w:iCs/>
          <w:sz w:val="21"/>
          <w:szCs w:val="21"/>
        </w:rPr>
        <w:t xml:space="preserve"> Desde el año 2020, luego de haber publicado la reforma en materia de violencia política en contra de las mujeres por razones de género, las organizaciones feministas, mujeres políticas y gobernantes impulsaron la inclusión de los criterios llamados 3 de 3 contra la violencia política para “elevar los estándares de ética y responsabilidad pública, fortaleciendo con ello la consolidación y una cultura democrática y libre de todo tipo de violencia”. El planteamiento inicial de las Diputadas Dessire Ángel Rocha y Yulma Rocha Aguilar para reformar los artículos 46, 69 y 111 de la Constitución Política para el Estado de Guanajuato que fue presentado en una iniciativa de fecha 9 de marzo de 2022, bajo el expediente ELD 182/LXVI, contenía en su esencia la materia que pretender regularse y a la que se han sumado múltiples esfuerzos locales y nacionales en los poderes legislativos; pero también -vale reconocerlo- desde la sociedad civil con mayor fuerza, logrando una incidencia sin precedentes que como sociedad en el sistema democrático y de partidos debemos celebrar. Como lo citaron en su exposición de motivos: “(…) resulta prioritario establecer mecanismos preventivos, como lo son los requisitos de elegibilidad, para procurar que las personas que posean perfil agresivo, violento o </w:t>
      </w:r>
      <w:r w:rsidRPr="00947EC7">
        <w:rPr>
          <w:rFonts w:ascii="Abadi" w:hAnsi="Abadi" w:cs="Calibri"/>
          <w:i/>
          <w:iCs/>
          <w:sz w:val="21"/>
          <w:szCs w:val="21"/>
        </w:rPr>
        <w:lastRenderedPageBreak/>
        <w:t>irresponsable no accedan a los puestos de decisión públicos ni a los cargos de elección popular. Es indispensable procurar que no llegue ni un agresor más al poder.”</w:t>
      </w:r>
    </w:p>
    <w:p w14:paraId="7E46AC28"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7847697F"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b/>
          <w:bCs/>
          <w:i/>
          <w:iCs/>
          <w:sz w:val="21"/>
          <w:szCs w:val="21"/>
        </w:rPr>
        <w:t>Segunda. Armonización con la reforma constitucional federal.</w:t>
      </w:r>
      <w:r w:rsidRPr="00947EC7">
        <w:rPr>
          <w:rFonts w:ascii="Abadi" w:hAnsi="Abadi" w:cs="Calibri"/>
          <w:i/>
          <w:iCs/>
          <w:sz w:val="21"/>
          <w:szCs w:val="21"/>
        </w:rPr>
        <w:t xml:space="preserve"> Dado que en Guanajuato no se concluyó el proceso legislativo de esa iniciativa primigenia y que con los mismos objetivos sí se concluyó el proceso legislativo bicameral en el que este mismo Congreso como parte de la Constituyente Permanente manifestó su acuerdo con la minuta enviada por el Senado de la República como cámara revisora, es necesario ahora armonizar nuestra constitución local con la federal retomando, como atinadamente esta Comisión lo hace la iniciativa antes expuesta de las iniciantes y las adiciones que desde el proceso federal se realizaron en la norma suprema, lo que se reconoce y se celebra. Así, la reforma de los artículos 38 y 102 de la Constitución Política de los Estados Unidos Mexicanos en materia de suspensión de derechos para ocupar cargo, empleo o comisión en el servicio público, ya sea por tener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o una declaratoria de persona deudora alimentaria morosa es ya una realidad y se ha consumado el proceso legislativo completo hasta su publicación en el Diario Oficial de la Federación </w:t>
      </w:r>
      <w:r w:rsidRPr="00947EC7">
        <w:rPr>
          <w:rFonts w:ascii="Abadi" w:hAnsi="Abadi" w:cs="Calibri"/>
          <w:i/>
          <w:iCs/>
          <w:sz w:val="21"/>
          <w:szCs w:val="21"/>
        </w:rPr>
        <w:t xml:space="preserve">el pasado lunes 29 de mayo de 2023. </w:t>
      </w:r>
    </w:p>
    <w:p w14:paraId="66A72DC9"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36947394"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b/>
          <w:bCs/>
          <w:i/>
          <w:iCs/>
          <w:sz w:val="21"/>
          <w:szCs w:val="21"/>
        </w:rPr>
        <w:t>Tercera. Viabilidad.</w:t>
      </w:r>
      <w:r w:rsidRPr="00947EC7">
        <w:rPr>
          <w:rFonts w:ascii="Abadi" w:hAnsi="Abadi" w:cs="Calibri"/>
          <w:i/>
          <w:iCs/>
          <w:sz w:val="21"/>
          <w:szCs w:val="21"/>
        </w:rPr>
        <w:t xml:space="preserve"> Existe, por lo tanto, una obligación estatal para reforzar el marco normativo en el mismo sentido, para que, quienes tengan antecedentes de cualquier tipo de violencia o deuda alimentaria morosa no puedan ocupar cargo, empleo o comisión dado que las funciones públicas deben ejecutarse para beneficio de la sociedad y quienes las representan deben ser ejemplo de dignidad y respeto a los derechos humanos de todas las guanajuatenses, en el más profundo sentido de la ética pública. Por lo tanto, desde Movimiento Ciudadano nos pronunciamos por la viabilidad de la reforma constitucional local que se estudia con la seguridad de que redundará en beneficio no solo de las mujeres, sino del servicio público y por lo tanto de Guanajuato.</w:t>
      </w:r>
    </w:p>
    <w:p w14:paraId="7822BC65"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67A26168" w14:textId="77777777" w:rsidR="00427BD6" w:rsidRPr="00947EC7" w:rsidRDefault="00427BD6" w:rsidP="00427BD6">
      <w:pPr>
        <w:pStyle w:val="Prrafodelista"/>
        <w:widowControl w:val="0"/>
        <w:tabs>
          <w:tab w:val="left" w:pos="2122"/>
        </w:tabs>
        <w:autoSpaceDE w:val="0"/>
        <w:autoSpaceDN w:val="0"/>
        <w:spacing w:before="12"/>
        <w:ind w:left="0"/>
        <w:jc w:val="both"/>
        <w:rPr>
          <w:rFonts w:ascii="Abadi" w:eastAsia="Batang" w:hAnsi="Abadi" w:cs="Arial"/>
          <w:sz w:val="21"/>
          <w:szCs w:val="21"/>
        </w:rPr>
      </w:pPr>
      <w:r w:rsidRPr="00947EC7">
        <w:rPr>
          <w:rFonts w:ascii="Abadi" w:eastAsia="Batang" w:hAnsi="Abadi" w:cs="Arial"/>
          <w:sz w:val="21"/>
          <w:szCs w:val="21"/>
        </w:rPr>
        <w:t>El partido político de Acción Nacional refirió en su opinión lo siguiente:</w:t>
      </w:r>
    </w:p>
    <w:p w14:paraId="5B7FB037" w14:textId="77777777" w:rsidR="00427BD6" w:rsidRPr="00947EC7" w:rsidRDefault="00427BD6" w:rsidP="00427BD6">
      <w:pPr>
        <w:pStyle w:val="Prrafodelista"/>
        <w:widowControl w:val="0"/>
        <w:autoSpaceDE w:val="0"/>
        <w:autoSpaceDN w:val="0"/>
        <w:ind w:left="0"/>
        <w:jc w:val="both"/>
        <w:rPr>
          <w:rFonts w:ascii="Abadi" w:hAnsi="Abadi"/>
          <w:b/>
          <w:bCs/>
          <w:sz w:val="21"/>
          <w:szCs w:val="21"/>
        </w:rPr>
      </w:pPr>
    </w:p>
    <w:p w14:paraId="4C981B3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w:t>
      </w:r>
      <w:r w:rsidRPr="00947EC7">
        <w:rPr>
          <w:rFonts w:ascii="Abadi" w:hAnsi="Abadi" w:cs="Calibri"/>
          <w:b/>
          <w:bCs/>
          <w:i/>
          <w:iCs/>
          <w:sz w:val="21"/>
          <w:szCs w:val="21"/>
        </w:rPr>
        <w:t xml:space="preserve"> A.</w:t>
      </w:r>
      <w:r w:rsidRPr="00947EC7">
        <w:rPr>
          <w:rFonts w:ascii="Abadi" w:hAnsi="Abadi" w:cs="Calibri"/>
          <w:i/>
          <w:iCs/>
          <w:sz w:val="21"/>
          <w:szCs w:val="21"/>
        </w:rPr>
        <w:t xml:space="preserve"> En lo que respecta a la adición de la fracción VII que se pretende incorporar Al artículo 25 de la Constitución local, este Partido Político no tiene observación, debido a que puede considerarse que se hace en cumplimiento al segundo transitorio de la reforma al artículo 38 de la Constitución Federal, publicada en el diario oficial de la federación el pasado 29 de mayo de 2023. Al estar incorporada la adición antes referida al artículo 25 de la Constitución local, no amerita mayor reflexión, dado que fue considerar en los términos aprobador por el Congreso de la Unión. Sin embargo, se propone que, conforme sistematicidad, certeza jurídica y claridad, respecto del artículo 25 se </w:t>
      </w:r>
      <w:r w:rsidRPr="00947EC7">
        <w:rPr>
          <w:rFonts w:ascii="Abadi" w:hAnsi="Abadi" w:cs="Calibri"/>
          <w:i/>
          <w:iCs/>
          <w:sz w:val="21"/>
          <w:szCs w:val="21"/>
        </w:rPr>
        <w:lastRenderedPageBreak/>
        <w:t xml:space="preserve">adecue la puntuación de la fracción VII y se precise la fracción VIII, al respecto de los deudores alimentarios morosos, para dar una enumeración clara y consistente, conforme a lo siguiente: </w:t>
      </w:r>
    </w:p>
    <w:p w14:paraId="02595378" w14:textId="77777777" w:rsidR="00427BD6" w:rsidRPr="00947EC7" w:rsidRDefault="00427BD6" w:rsidP="00427BD6">
      <w:pPr>
        <w:pStyle w:val="Prrafodelista"/>
        <w:widowControl w:val="0"/>
        <w:autoSpaceDE w:val="0"/>
        <w:autoSpaceDN w:val="0"/>
        <w:ind w:left="0"/>
        <w:jc w:val="both"/>
        <w:rPr>
          <w:rFonts w:ascii="Abadi" w:hAnsi="Abadi"/>
          <w:sz w:val="21"/>
          <w:szCs w:val="21"/>
        </w:rPr>
      </w:pPr>
    </w:p>
    <w:p w14:paraId="37E3DC70"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«ARTÍCULO 25. Las prerrogativas del… </w:t>
      </w:r>
    </w:p>
    <w:p w14:paraId="3B8C9739"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I. a IV.- … </w:t>
      </w:r>
    </w:p>
    <w:p w14:paraId="1B922AB8"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V.- Por estar prófugo de la justicia, desde que se dicte orden de aprehensión hasta la prescripción de la acción penal o de la sanción en su caso; </w:t>
      </w:r>
    </w:p>
    <w:p w14:paraId="517D937C"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VI.- Por sentencia ejecutoria que decrete la pena de suspensión de derechos, en los términos que disponga la Ley; y </w:t>
      </w:r>
    </w:p>
    <w:p w14:paraId="598FD031"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VII.- Por tener sentencia firme por la comisión intencional de delitos contra la viday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w:t>
      </w:r>
    </w:p>
    <w:p w14:paraId="7D32C0F6"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b/>
          <w:bCs/>
          <w:i/>
          <w:iCs/>
          <w:sz w:val="21"/>
          <w:szCs w:val="21"/>
        </w:rPr>
        <w:t>VIII.-</w:t>
      </w:r>
      <w:r w:rsidRPr="00947EC7">
        <w:rPr>
          <w:rFonts w:ascii="Abadi" w:hAnsi="Abadi" w:cs="Calibri"/>
          <w:i/>
          <w:iCs/>
          <w:sz w:val="21"/>
          <w:szCs w:val="21"/>
        </w:rPr>
        <w:t xml:space="preserve"> Por estar declarada como persona deudora alimentaria morosa.</w:t>
      </w:r>
    </w:p>
    <w:p w14:paraId="1F21A36B"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En los supuestos de las fracciones VII y VIII, la persona no podrá ser registrada como candidata para cualquier cargo de elección popular, ni ser nombrada para empleo, </w:t>
      </w:r>
      <w:r w:rsidRPr="00947EC7">
        <w:rPr>
          <w:rFonts w:ascii="Abadi" w:hAnsi="Abadi" w:cs="Calibri"/>
          <w:i/>
          <w:iCs/>
          <w:sz w:val="21"/>
          <w:szCs w:val="21"/>
        </w:rPr>
        <w:t>cargo o comisión en el servicio público.”</w:t>
      </w:r>
    </w:p>
    <w:p w14:paraId="6886F1B2" w14:textId="77777777" w:rsidR="00427BD6" w:rsidRPr="00947EC7" w:rsidRDefault="00427BD6" w:rsidP="00427BD6">
      <w:pPr>
        <w:pStyle w:val="Prrafodelista"/>
        <w:widowControl w:val="0"/>
        <w:tabs>
          <w:tab w:val="left" w:pos="2122"/>
        </w:tabs>
        <w:autoSpaceDE w:val="0"/>
        <w:autoSpaceDN w:val="0"/>
        <w:spacing w:before="12"/>
        <w:jc w:val="both"/>
        <w:rPr>
          <w:rFonts w:ascii="Abadi" w:hAnsi="Abadi" w:cs="Calibri"/>
          <w:i/>
          <w:iCs/>
          <w:sz w:val="21"/>
          <w:szCs w:val="21"/>
        </w:rPr>
      </w:pPr>
    </w:p>
    <w:p w14:paraId="1BF331DA"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b/>
          <w:bCs/>
          <w:i/>
          <w:iCs/>
          <w:sz w:val="21"/>
          <w:szCs w:val="21"/>
        </w:rPr>
        <w:t>B.</w:t>
      </w:r>
      <w:r w:rsidRPr="00947EC7">
        <w:rPr>
          <w:rFonts w:ascii="Abadi" w:hAnsi="Abadi" w:cs="Calibri"/>
          <w:i/>
          <w:iCs/>
          <w:sz w:val="21"/>
          <w:szCs w:val="21"/>
        </w:rPr>
        <w:t xml:space="preserve"> En lo que respecta a la adición de la fracción III del artículo 26 de la Constitución Local, en cuanto a que se pretende incorporar como causa para recobrar las prerrogativas del ciudadano guanajuatense, por haber cumplido la pena, este partido político considera que no es necesaria su incorporación, dado que la fracción II vigente indica que se puede recobrar por la extinción de la pena de suspensión, dentro lo cual se encuentra implícito el hecho de que se hubiere cumplido la pena, es decir, la pena también se extingue por haberla cumplido. Lo anterior encuentra sustento en lo dispuesto en el artículo 111 del Código Penal del Estado de Guanajuato, lo cual permite establecer que la fracción que se pretende adicionar es una reiteración de la prevista en la vigente fracción II.</w:t>
      </w:r>
    </w:p>
    <w:p w14:paraId="5BCC3928"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44B99FE1"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b/>
          <w:bCs/>
          <w:i/>
          <w:iCs/>
          <w:sz w:val="21"/>
          <w:szCs w:val="21"/>
        </w:rPr>
        <w:t>C.</w:t>
      </w:r>
      <w:r w:rsidRPr="00947EC7">
        <w:rPr>
          <w:rFonts w:ascii="Abadi" w:hAnsi="Abadi" w:cs="Calibri"/>
          <w:i/>
          <w:iCs/>
          <w:sz w:val="21"/>
          <w:szCs w:val="21"/>
        </w:rPr>
        <w:t xml:space="preserve"> Finalmente, en relación con la fracción que se pretende adicionar a los artículos 46, 69 y 111 de la Constitución Política local, en cuanto a que las personas sancionadas por violencia política contra las mujeres en razón de género, mediante sentencia “firme” emitida por los órganos jurisdiccionales en materia electoral, dentro de los treinta y seis meses anteriores al registro de candidaturas, son inelegibles, se expone lo siguiente: I. Respecto de la iniciativa se expuso en las mesas de trabajo de una iniciativa sobre este tema el considerar no solo por la sentencia firme por la comisión intencional de delitos, sino por tener resoluciones firmes por violencia política contra las mujeres en razón de género y dictadas por los tribunales </w:t>
      </w:r>
      <w:r w:rsidRPr="00947EC7">
        <w:rPr>
          <w:rFonts w:ascii="Abadi" w:hAnsi="Abadi" w:cs="Calibri"/>
          <w:i/>
          <w:iCs/>
          <w:sz w:val="21"/>
          <w:szCs w:val="21"/>
        </w:rPr>
        <w:lastRenderedPageBreak/>
        <w:t xml:space="preserve">electorales, cuya sanción deviene de la interposición de un Juicio para la protección de los derechos político-electorales o un procedimiento sancionador (especial u ordinario). Es importante resaltar que al día de hoy, los casos de Violencia Política en razón de Género, son sancionados con amonestación pública y la inscripción en el Registro Nacional de Personas Sancionadas en Materia de Violencia Política en razón de Género, sin embargo al día de hoy, las personas que se inscriben en esta lista, pueden seguir participando en la política sin alguna consecuencia mayor, lo que no abona a la erradicación de este tipo de violencia. De acuerdo estadísticas del INE, del 14 de abril de 2020 al 20 de febrero de 2023, se recibieron un total de 261 denuncias por violencia política en razón de género, identificando un total de 343 víctimas y 579 probables infractores; de esos 579 probables infractores, el 18.5% son personas morales, partidos políticos y medios digitales, mientras que el 81.5% son personas físicas, 471 personas. De lo anterior, se destaca que son los hombres quienes más ejercen violencia, ya que representan el 75% de la totalidad de las personas físicas denunciadas; resaltando que, el 25% restante son mujeres (353 hombres y 118 mujeres) artículo escrito por la Consejera Norma de la Cruz, de fecha 28 de febrero de 2023. De todos estos casos, han recibido sanción únicamente del tipo administrativo y no del tipo penal; lo que implica que habría 579 personas generadoras de violencia contra las mujeres participando en el próximo proceso electoral. Por lo que, desde Acción Nacional resaltamos la importancia de que sea un impedimento para ser </w:t>
      </w:r>
      <w:r w:rsidRPr="00947EC7">
        <w:rPr>
          <w:rFonts w:ascii="Abadi" w:hAnsi="Abadi" w:cs="Calibri"/>
          <w:i/>
          <w:iCs/>
          <w:sz w:val="21"/>
          <w:szCs w:val="21"/>
        </w:rPr>
        <w:t xml:space="preserve">Diputado (artículo 46) Gobernador (artículo 69) Presidentes Municipales, Síndicos o Regidores (artículo 111) la existencia de una sentencia firme (entendido como irrevocable) en la que se haya declarado existente la infracción de violencia política contra las mujeres en razón de género por autoridad jurisdiccional electoral. </w:t>
      </w:r>
      <w:r w:rsidRPr="00947EC7">
        <w:rPr>
          <w:rFonts w:ascii="Abadi" w:hAnsi="Abadi" w:cs="Calibri"/>
          <w:b/>
          <w:bCs/>
          <w:i/>
          <w:iCs/>
          <w:sz w:val="21"/>
          <w:szCs w:val="21"/>
        </w:rPr>
        <w:t>Así pues, se coincide en la necesidad de establecer en la constitución local como motivo de inelegibilidad el hecho de que la persona haya sido sancionada por la autoridad jurisdiccional electoral por violencia política contra las mujeres en razón de género.</w:t>
      </w:r>
      <w:r w:rsidRPr="00947EC7">
        <w:rPr>
          <w:rFonts w:ascii="Abadi" w:hAnsi="Abadi" w:cs="Calibri"/>
          <w:i/>
          <w:iCs/>
          <w:sz w:val="21"/>
          <w:szCs w:val="21"/>
        </w:rPr>
        <w:t xml:space="preserve"> Sin embargo, de los razonamientos indicados en la iniciativa no se desprenden los motivos por los cuales es proporcional y razonable sujetar la inelegibilidad al plazo de 36 meses anteriores a la fecha del registro de candidaturas. Sin embargo, de los razonamientos indicados en la iniciativa no se desprenden los motivos por los cuales es proporcional y razonable sujetar la inelegibilidad al plazo de 36 meses anteriores a la fecha del registro de candidaturas.</w:t>
      </w:r>
    </w:p>
    <w:p w14:paraId="2037473E"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p>
    <w:p w14:paraId="03B4DA76" w14:textId="77777777" w:rsidR="00427BD6" w:rsidRPr="00947EC7" w:rsidRDefault="00427BD6" w:rsidP="00427BD6">
      <w:pPr>
        <w:pStyle w:val="Prrafodelista"/>
        <w:widowControl w:val="0"/>
        <w:tabs>
          <w:tab w:val="left" w:pos="2122"/>
        </w:tabs>
        <w:autoSpaceDE w:val="0"/>
        <w:autoSpaceDN w:val="0"/>
        <w:spacing w:before="12"/>
        <w:ind w:left="1134"/>
        <w:jc w:val="both"/>
        <w:rPr>
          <w:rFonts w:ascii="Abadi" w:hAnsi="Abadi" w:cs="Calibri"/>
          <w:i/>
          <w:iCs/>
          <w:sz w:val="21"/>
          <w:szCs w:val="21"/>
        </w:rPr>
      </w:pPr>
      <w:r w:rsidRPr="00947EC7">
        <w:rPr>
          <w:rFonts w:ascii="Abadi" w:hAnsi="Abadi" w:cs="Calibri"/>
          <w:i/>
          <w:iCs/>
          <w:sz w:val="21"/>
          <w:szCs w:val="21"/>
        </w:rPr>
        <w:t xml:space="preserve">De lo narrado no se desprenden las razones de los iniciantes que demuestren los elementos mínimos a considerar para establecer la temporalidad bajo la cual debe ser inelegible el sancionado por la infracción de violencia política contra las mujeres en razón de género, a fin de establecer que la imposición de los treinta y seis meses es razonables y proporcionales al derecho que se pretende tutelar, que es impedir que un </w:t>
      </w:r>
      <w:proofErr w:type="spellStart"/>
      <w:r w:rsidRPr="00947EC7">
        <w:rPr>
          <w:rFonts w:ascii="Abadi" w:hAnsi="Abadi" w:cs="Calibri"/>
          <w:i/>
          <w:iCs/>
          <w:sz w:val="21"/>
          <w:szCs w:val="21"/>
        </w:rPr>
        <w:t>violentador</w:t>
      </w:r>
      <w:proofErr w:type="spellEnd"/>
      <w:r w:rsidRPr="00947EC7">
        <w:rPr>
          <w:rFonts w:ascii="Abadi" w:hAnsi="Abadi" w:cs="Calibri"/>
          <w:i/>
          <w:iCs/>
          <w:sz w:val="21"/>
          <w:szCs w:val="21"/>
        </w:rPr>
        <w:t xml:space="preserve"> político contra las mujeres en razón al género sea elegible. La reforma propuesta, incluso, sin duda provocaría un conflicto con las normas que </w:t>
      </w:r>
      <w:r w:rsidRPr="00947EC7">
        <w:rPr>
          <w:rFonts w:ascii="Abadi" w:hAnsi="Abadi" w:cs="Calibri"/>
          <w:i/>
          <w:iCs/>
          <w:sz w:val="21"/>
          <w:szCs w:val="21"/>
        </w:rPr>
        <w:lastRenderedPageBreak/>
        <w:t>regulan la individualización de la sanción que debe hacer la autoridad jurisdiccional electoral, en virtud de que cuando se estimara existente a fin de ser exhaustiva, deberá individualizar la sanción de acuerdo a las circunstancias concretas del asunto puesto a estudio. Imponer la inelegibilidad por el plazo de treinta y seis meses, sin tomar en cuenta la individualización de la sanción con base en la calificación de la conducta, los hechos, el contexto en que fueron realizados, la calidad de la persona que cometió la infracción, así como los alcances en la vulneración de los derechos políticos de la víctima, sin duda provocaran violaciones a derechos políticos electorales, confusión y no dará certeza a la víctima ni a la persona denunciada. No debe pasarse por alto que el artículo 380 de la Ley de Instituciones y Procedimientos Electorales para el Estado de Guanajuato, señala:</w:t>
      </w:r>
    </w:p>
    <w:p w14:paraId="4C2D988A" w14:textId="77777777" w:rsidR="00427BD6" w:rsidRPr="00947EC7" w:rsidRDefault="00427BD6" w:rsidP="00427BD6">
      <w:pPr>
        <w:pStyle w:val="Prrafodelista"/>
        <w:widowControl w:val="0"/>
        <w:autoSpaceDE w:val="0"/>
        <w:autoSpaceDN w:val="0"/>
        <w:ind w:left="455"/>
        <w:jc w:val="both"/>
        <w:rPr>
          <w:rFonts w:ascii="Abadi" w:hAnsi="Abadi"/>
          <w:i/>
          <w:iCs/>
          <w:sz w:val="21"/>
          <w:szCs w:val="21"/>
        </w:rPr>
      </w:pPr>
    </w:p>
    <w:p w14:paraId="0C41BE67"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Artículo 380 Ter. En la resolución de los procedimientos sancionadores, por violencia política contra las mujeres por razón de género, la autoridad resolutora deberá considerar ordenar las medidas de reparación integral que correspondan considerando al menos las siguientes: </w:t>
      </w:r>
    </w:p>
    <w:p w14:paraId="513227D8"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Indemnización de la víctima; </w:t>
      </w:r>
    </w:p>
    <w:p w14:paraId="0C2F6CAD"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Restitución inmediata en el cargo al que fue obligada a renunciar por motivos de violencia; </w:t>
      </w:r>
    </w:p>
    <w:p w14:paraId="1268EF35"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 xml:space="preserve">Disculpa pública, y </w:t>
      </w:r>
    </w:p>
    <w:p w14:paraId="5EAD8D3C" w14:textId="77777777" w:rsidR="00427BD6" w:rsidRPr="00947EC7" w:rsidRDefault="00427BD6" w:rsidP="00427BD6">
      <w:pPr>
        <w:pStyle w:val="Prrafodelista"/>
        <w:widowControl w:val="0"/>
        <w:tabs>
          <w:tab w:val="left" w:pos="2122"/>
        </w:tabs>
        <w:autoSpaceDE w:val="0"/>
        <w:autoSpaceDN w:val="0"/>
        <w:spacing w:before="12"/>
        <w:ind w:left="1985"/>
        <w:jc w:val="both"/>
        <w:rPr>
          <w:rFonts w:ascii="Abadi" w:hAnsi="Abadi" w:cs="Calibri"/>
          <w:i/>
          <w:iCs/>
          <w:sz w:val="21"/>
          <w:szCs w:val="21"/>
        </w:rPr>
      </w:pPr>
      <w:r w:rsidRPr="00947EC7">
        <w:rPr>
          <w:rFonts w:ascii="Abadi" w:hAnsi="Abadi" w:cs="Calibri"/>
          <w:i/>
          <w:iCs/>
          <w:sz w:val="21"/>
          <w:szCs w:val="21"/>
        </w:rPr>
        <w:t>Medidas de no repetición.</w:t>
      </w:r>
    </w:p>
    <w:p w14:paraId="43100D7D" w14:textId="77777777" w:rsidR="00427BD6" w:rsidRPr="00947EC7" w:rsidRDefault="00427BD6" w:rsidP="00427BD6">
      <w:pPr>
        <w:pStyle w:val="Prrafodelista"/>
        <w:widowControl w:val="0"/>
        <w:autoSpaceDE w:val="0"/>
        <w:autoSpaceDN w:val="0"/>
        <w:ind w:left="0"/>
        <w:jc w:val="both"/>
        <w:rPr>
          <w:rFonts w:ascii="Abadi" w:hAnsi="Abadi"/>
          <w:i/>
          <w:iCs/>
          <w:sz w:val="21"/>
          <w:szCs w:val="21"/>
        </w:rPr>
      </w:pPr>
    </w:p>
    <w:p w14:paraId="59E25451"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r w:rsidRPr="00947EC7">
        <w:rPr>
          <w:rFonts w:ascii="Abadi" w:hAnsi="Abadi" w:cs="Calibri"/>
          <w:i/>
          <w:iCs/>
          <w:sz w:val="21"/>
          <w:szCs w:val="21"/>
        </w:rPr>
        <w:t xml:space="preserve">Sumando a lo anterior, mediante la doctrina judicial electoral se ha ordenado el registro de las personas infractoras en las listas nacional y estatal, la cual no es considerada como una sanción, sino como una medida de reparación integral que contribuye al efecto útil de la transparencia de las sentencias, así como a la prevención y erradicación de las prácticas de violencia política en razón de género, según se corrobora de las tesis electorales XI/2022 y II/2023. Con lo anterior, no queda duda que la autoridad jurisdiccional tiene la obligación en la sentencia respectiva de ser exhaustivos e individualizar la sanción conforme a los elementos y apuntados. Sirve de referencia la tesis IV/2018, que tiene le texto: INDIVIDUALIZACIÓN DE LA SANCIÓN. SE DEBEN ANALIZAR LOS ELEMENTOS RELATIVOS A LA INFRACCIÓN, SIN QUE EXISTA UN ORDEN DE PRELACIÓN.- Del artículo 458, párrafo 5 de la Ley General de Instituciones y Procedimientos Electorales, se advierte que para la individualización de las sanciones, la autoridad electoral deberá tomar en cuenta los siguientes elementos: a) la gravedad de la responsabilidad; b) las circunstancias de modo, tiempo y lugar; c) las condiciones socioeconómicas del infractor; d) las condiciones externas y los medios de ejecución; e) la reincidencia, y f) en su caso, el monto del beneficio, lucro, daño o perjuicio derivado. Sin embargo, dichos elementos no se listan como una secuencia de pasos, por lo que no hay un orden de prelación para su estudio, pues lo importante es que todos ellos sean considerados adecuadamente por la autoridad y sean la base de la individualización de la sanción. Por tanto, la temporalidad de la </w:t>
      </w:r>
      <w:r w:rsidRPr="00947EC7">
        <w:rPr>
          <w:rFonts w:ascii="Abadi" w:hAnsi="Abadi" w:cs="Calibri"/>
          <w:i/>
          <w:iCs/>
          <w:sz w:val="21"/>
          <w:szCs w:val="21"/>
        </w:rPr>
        <w:lastRenderedPageBreak/>
        <w:t>inelegibilidad debe llevar una congruencia y proporcionalidad con las conductas que acreditaron la violencia política contra las mujeres en razón al género, a manera que dé certeza tanto al infractor como a la víctima. De tal forma, que toda autoridad electoral, las víctimas, las personas infractoras, los partidos políticos y la ciudadanía en general, deben tener certeza de los elementos mínimos que deben de considerarse en cada caso para establecer el tiempo bajo cual debe considerarse inelegible, con base en la calificación de la gravedad de las conductas, la sanción impuesta, así como parámetros objetivos. Bajo esos parámetros se podría estar en posibilidad de garantiza el derecho a la tutela judicial efectiva, y los principios de exhaustividad, congruencia y proporcionalidad, bajo los cuales debe actuar la autoridad electoral, a manera que dote de certeza y seguridad jurídica a toda persona que resulte sancionada.</w:t>
      </w:r>
    </w:p>
    <w:p w14:paraId="5AC99472"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p>
    <w:p w14:paraId="0250BE46"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r w:rsidRPr="00947EC7">
        <w:rPr>
          <w:rFonts w:ascii="Abadi" w:hAnsi="Abadi" w:cs="Calibri"/>
          <w:i/>
          <w:iCs/>
          <w:sz w:val="21"/>
          <w:szCs w:val="21"/>
        </w:rPr>
        <w:t xml:space="preserve">Es por lo anterior, que ante la falta de razonabilidad en la exposición de los iniciantes para justificar el plazo de treinta y seis meses anteriores al registro para considerar al </w:t>
      </w:r>
      <w:proofErr w:type="spellStart"/>
      <w:r w:rsidRPr="00947EC7">
        <w:rPr>
          <w:rFonts w:ascii="Abadi" w:hAnsi="Abadi" w:cs="Calibri"/>
          <w:i/>
          <w:iCs/>
          <w:sz w:val="21"/>
          <w:szCs w:val="21"/>
        </w:rPr>
        <w:t>violentador</w:t>
      </w:r>
      <w:proofErr w:type="spellEnd"/>
      <w:r w:rsidRPr="00947EC7">
        <w:rPr>
          <w:rFonts w:ascii="Abadi" w:hAnsi="Abadi" w:cs="Calibri"/>
          <w:i/>
          <w:iCs/>
          <w:sz w:val="21"/>
          <w:szCs w:val="21"/>
        </w:rPr>
        <w:t xml:space="preserve"> como inelegible, es que no puede estimarse proporcional el plazo de inelegibilidad, dado que cada supuesto es distinto y la autoridad jurisdiccional electoral tiene la obligación de calificar la gravedad del hecho y conducta, a fin de establecer la sanción impuesta, basándose en parámetros objetivos, atendiendo a los principios procesales de congruencia y exhaustividad. Por ejemplo, en la doctrina judicial se ha observado que se impone a la autoridad electoral jurisdiccional que, para considerar la calificación de la conducta, el tipo de sanción </w:t>
      </w:r>
      <w:r w:rsidRPr="00947EC7">
        <w:rPr>
          <w:rFonts w:ascii="Abadi" w:hAnsi="Abadi" w:cs="Calibri"/>
          <w:i/>
          <w:iCs/>
          <w:sz w:val="21"/>
          <w:szCs w:val="21"/>
        </w:rPr>
        <w:t>impuesta, así como el contexto en que se cometió la conducta que acreditó la violencia política en razón al género, debe tomarse en cuenta: • Si fue generada dentro de un proceso electoral o de una relación laboral; • El tipo o tipos de violencia política de género que se acreditaron y sus alcances en la vulneración del derecho político (simbólico, verbal, patrimonial, económico, físico, sexual o psicológico); • La existencia de sistematicidad en los hechos constitutivos de la violencia política en razón al género o si se trata de hechos específicos o aislados; • El grado de afectación en los derechos políticos de la víctima. • La calidad de la persona que cometió la violencia política en razón al género, así como la de la víctima: si son funcionarias públicas, si están postuladas a una candidatura, si son militantes de un partido político, si ejercen el periodismo, si existe relación jerárquica (es superior jerárquico de la víctima o colega de trabajo), entre otras más. • Si existió una intención con o sin dolo para dañar a la víctima en el ejercicio de sus derechos políticos. • La existencia de reincidencia por parte de la persona infractora en cometer la violencia política en razón al género.</w:t>
      </w:r>
    </w:p>
    <w:p w14:paraId="6EA02346" w14:textId="77777777" w:rsidR="00427BD6" w:rsidRPr="00947EC7" w:rsidRDefault="00427BD6" w:rsidP="00EF7206">
      <w:pPr>
        <w:jc w:val="both"/>
        <w:rPr>
          <w:rFonts w:ascii="Abadi" w:hAnsi="Abadi" w:cs="Arial"/>
          <w:sz w:val="21"/>
          <w:szCs w:val="21"/>
        </w:rPr>
      </w:pPr>
    </w:p>
    <w:p w14:paraId="107615D8" w14:textId="77777777" w:rsidR="00427BD6" w:rsidRPr="00947EC7" w:rsidRDefault="00427BD6" w:rsidP="00EF7206">
      <w:pPr>
        <w:jc w:val="both"/>
        <w:rPr>
          <w:rFonts w:ascii="Abadi" w:eastAsia="Batang" w:hAnsi="Abadi" w:cs="Arial"/>
          <w:bCs/>
          <w:sz w:val="21"/>
          <w:szCs w:val="21"/>
        </w:rPr>
      </w:pPr>
      <w:r w:rsidRPr="00947EC7">
        <w:rPr>
          <w:rFonts w:ascii="Abadi" w:eastAsia="Batang" w:hAnsi="Abadi" w:cs="Arial"/>
          <w:bCs/>
          <w:sz w:val="21"/>
          <w:szCs w:val="21"/>
        </w:rPr>
        <w:t>El Supremo tribunal de Justicia del Estado, refirió en su opinión y comentarios lo siguiente:</w:t>
      </w:r>
    </w:p>
    <w:p w14:paraId="1D30A8C2" w14:textId="77777777" w:rsidR="00427BD6" w:rsidRPr="00947EC7" w:rsidRDefault="00427BD6" w:rsidP="00EF7206">
      <w:pPr>
        <w:jc w:val="both"/>
        <w:rPr>
          <w:rFonts w:ascii="Abadi" w:eastAsia="Batang" w:hAnsi="Abadi" w:cs="Arial"/>
          <w:bCs/>
          <w:sz w:val="21"/>
          <w:szCs w:val="21"/>
        </w:rPr>
      </w:pPr>
    </w:p>
    <w:p w14:paraId="6EC6D12C"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r w:rsidRPr="00947EC7">
        <w:rPr>
          <w:rFonts w:ascii="Abadi" w:hAnsi="Abadi" w:cs="Calibri"/>
          <w:i/>
          <w:iCs/>
          <w:sz w:val="21"/>
          <w:szCs w:val="21"/>
        </w:rPr>
        <w:t xml:space="preserve">(…) ha de señalarse que se comparte plenamente lo expuesto por las Diputadas y Diputados del Congreso del Estado de Guanajuato, en el sentido de que la violencia de género es un fenómeno que, a lo largo de los años de la historia de nuestro país, ha dañado principalmente a mujeres y niñas, colocándolas en una situación de riesgo frente a las múltiples formas de violencia que ya se </w:t>
      </w:r>
      <w:r w:rsidRPr="00947EC7">
        <w:rPr>
          <w:rFonts w:ascii="Abadi" w:hAnsi="Abadi" w:cs="Calibri"/>
          <w:i/>
          <w:iCs/>
          <w:sz w:val="21"/>
          <w:szCs w:val="21"/>
        </w:rPr>
        <w:lastRenderedPageBreak/>
        <w:t xml:space="preserve">encuentran diferenciadas en las legislaciones correspondientes. Dicha violencia de género, ha provocado a lo largo del tiempo una desigualdad muy notable entre hombres y mujeres, lo que a su vez ocasiona que las mujeres tengan limitaciones en el disfrute de sus derechos y libertades fundamentales; de ahí que, desde hace algunos años, las legislaturas federales y locales han estado trabajando en adoptar y aplicar medidas legislativas para erradicar esa violencia de género que continúa causando efectos de limitación para las mujeres en el ejercicio de sus derechos fundamentales. Ahora bien, las propuestas de referencia, se hacen constar primeramente, en adicionar supuestos en los que los ciudadanos Guanajuatenses, han de tener suspendidas sus prerrogativas para el caso en que pretendan acceder a cargos de elección popular o para ser nombrados en el algún empleo, cargo o comisión en el servicio público. En relación a lo anterior, se comparte la necesidad de incluir estos supuestos en el artículo 25 de la Constitución Local, pues con ello se previene que personas que tienen o han tenido conductas que generan violencia de género, accedan a empleos, cargos o comisiones dentro del servicio público, con los que eventualmente utilicen sus posiciones para continuar promoviendo y generando esa desigualdad de género que transgrede a los derechos de las personas, tanto de hombres como mujeres. </w:t>
      </w:r>
    </w:p>
    <w:p w14:paraId="5C5375C0"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p>
    <w:p w14:paraId="08D92ED4" w14:textId="77777777" w:rsidR="00427BD6" w:rsidRPr="00947EC7" w:rsidRDefault="00427BD6" w:rsidP="00EF7206">
      <w:pPr>
        <w:pStyle w:val="Prrafodelista"/>
        <w:widowControl w:val="0"/>
        <w:tabs>
          <w:tab w:val="left" w:pos="2122"/>
        </w:tabs>
        <w:autoSpaceDE w:val="0"/>
        <w:autoSpaceDN w:val="0"/>
        <w:ind w:left="1134"/>
        <w:jc w:val="both"/>
        <w:rPr>
          <w:rFonts w:ascii="Abadi" w:hAnsi="Abadi" w:cs="Calibri"/>
          <w:i/>
          <w:iCs/>
          <w:sz w:val="21"/>
          <w:szCs w:val="21"/>
        </w:rPr>
      </w:pPr>
      <w:r w:rsidRPr="00947EC7">
        <w:rPr>
          <w:rFonts w:ascii="Abadi" w:hAnsi="Abadi" w:cs="Calibri"/>
          <w:i/>
          <w:iCs/>
          <w:sz w:val="21"/>
          <w:szCs w:val="21"/>
        </w:rPr>
        <w:t xml:space="preserve">Igualmente con los demás dispositivos Constitucionales que se pretenden reformar, se coincide en adicionar supuestos en los que las personas que pretendan acceder a los cargos de Diputados, Gobernador, Presidentes Municipales, Síndicos </w:t>
      </w:r>
      <w:r w:rsidRPr="00947EC7">
        <w:rPr>
          <w:rFonts w:ascii="Abadi" w:hAnsi="Abadi" w:cs="Calibri"/>
          <w:i/>
          <w:iCs/>
          <w:sz w:val="21"/>
          <w:szCs w:val="21"/>
        </w:rPr>
        <w:t>y Regidores, no sean elegibles para dichos cargos cuando dentro de los treinta y seis meses anteriores a sus registros, hayan tenido resoluciones firmes por violencia política contra las mujeres en razón de género, emitidas por los órganos jurisdiccionales en materia electoral. Ello sin lugar a dudas, abona a erradicar estas conductas graves que durante tanto tiempo han atentado contra los derechos y libertades, principalmente de las mujeres.  Aunado a lo anterior, se precisa la importancia de la necesidad de dichas reformas, pues como lo señala el Segundo Transitorio del proyecto de Decreto por el que se reforman y adicionan los artículos 38 y 102 de la Constitución Política de los Estados Unidos Mexicanos, en el sentido de que dentro de los 180 días naturales siguientes a su entrada en vigor, las Legislaturas de las Entidades Federativas, deberán ajustar sus Constituciones y demás legislación que sea necesaria, a fin de dar cumplimiento al decreto de referencia (en materia de suspensión de derechos para ocupar cargo, empleo o comisión del servicio público), mismo que fue aprobado por la Comisión de Gobernación y Puntos Constitucionales y confirmada por el Pleno del Congreso de la Unión, el día 18 de mayo del presente año.</w:t>
      </w:r>
    </w:p>
    <w:p w14:paraId="0EE639F5" w14:textId="77777777" w:rsidR="00427BD6" w:rsidRPr="00947EC7" w:rsidRDefault="00427BD6" w:rsidP="00EF7206">
      <w:pPr>
        <w:jc w:val="both"/>
        <w:rPr>
          <w:rFonts w:ascii="Abadi" w:eastAsia="Batang" w:hAnsi="Abadi" w:cs="Arial"/>
          <w:bCs/>
          <w:sz w:val="21"/>
          <w:szCs w:val="21"/>
        </w:rPr>
      </w:pPr>
    </w:p>
    <w:p w14:paraId="314A35A9" w14:textId="77777777" w:rsidR="00427BD6" w:rsidRPr="00947EC7" w:rsidRDefault="00427BD6" w:rsidP="00EF7206">
      <w:pPr>
        <w:jc w:val="both"/>
        <w:rPr>
          <w:rFonts w:ascii="Abadi" w:eastAsia="Batang" w:hAnsi="Abadi" w:cs="Arial"/>
          <w:sz w:val="21"/>
          <w:szCs w:val="21"/>
        </w:rPr>
      </w:pPr>
      <w:r w:rsidRPr="00947EC7">
        <w:rPr>
          <w:rFonts w:ascii="Abadi" w:eastAsia="Batang" w:hAnsi="Abadi" w:cs="Arial"/>
          <w:b/>
          <w:sz w:val="21"/>
          <w:szCs w:val="21"/>
        </w:rPr>
        <w:t>II.4.</w:t>
      </w:r>
      <w:r w:rsidRPr="00947EC7">
        <w:rPr>
          <w:rFonts w:ascii="Abadi" w:hAnsi="Abadi" w:cs="Arial"/>
          <w:sz w:val="21"/>
          <w:szCs w:val="21"/>
        </w:rPr>
        <w:t xml:space="preserve"> </w:t>
      </w:r>
      <w:r w:rsidRPr="00947EC7">
        <w:rPr>
          <w:rFonts w:ascii="Abadi" w:eastAsia="Batang" w:hAnsi="Abadi" w:cs="Arial"/>
          <w:b/>
          <w:sz w:val="21"/>
          <w:szCs w:val="21"/>
        </w:rPr>
        <w:t xml:space="preserve"> </w:t>
      </w:r>
      <w:r w:rsidRPr="00947EC7">
        <w:rPr>
          <w:rFonts w:ascii="Abadi" w:eastAsia="Batang" w:hAnsi="Abadi" w:cs="Arial"/>
          <w:sz w:val="21"/>
          <w:szCs w:val="21"/>
        </w:rPr>
        <w:t xml:space="preserve">En fecha 7 de junio de 2023, en reunión de la comisión se determinó a efecto de dar seguimiento a las metodologías de estudio y dictamen de las iniciativas con los </w:t>
      </w:r>
      <w:proofErr w:type="spellStart"/>
      <w:r w:rsidRPr="00947EC7">
        <w:rPr>
          <w:rFonts w:ascii="Abadi" w:eastAsia="Batang" w:hAnsi="Abadi" w:cs="Arial"/>
          <w:sz w:val="21"/>
          <w:szCs w:val="21"/>
        </w:rPr>
        <w:t>ELD´s</w:t>
      </w:r>
      <w:proofErr w:type="spellEnd"/>
      <w:r w:rsidRPr="00947EC7">
        <w:rPr>
          <w:rFonts w:ascii="Abadi" w:eastAsia="Batang" w:hAnsi="Abadi" w:cs="Arial"/>
          <w:sz w:val="21"/>
          <w:szCs w:val="21"/>
        </w:rPr>
        <w:t xml:space="preserve"> </w:t>
      </w:r>
      <w:r w:rsidRPr="00947EC7">
        <w:rPr>
          <w:rFonts w:ascii="Abadi" w:eastAsia="Arial Unicode MS" w:hAnsi="Abadi"/>
          <w:sz w:val="21"/>
          <w:szCs w:val="21"/>
        </w:rPr>
        <w:t>449/LXV-I y</w:t>
      </w:r>
      <w:r w:rsidRPr="00947EC7">
        <w:rPr>
          <w:rFonts w:ascii="Abadi" w:eastAsia="Arial Unicode MS" w:hAnsi="Abadi"/>
          <w:i/>
          <w:iCs/>
          <w:sz w:val="21"/>
          <w:szCs w:val="21"/>
        </w:rPr>
        <w:t xml:space="preserve"> </w:t>
      </w:r>
      <w:r w:rsidRPr="00947EC7">
        <w:rPr>
          <w:rFonts w:ascii="Abadi" w:eastAsia="Batang" w:hAnsi="Abadi" w:cs="Arial"/>
          <w:sz w:val="21"/>
          <w:szCs w:val="21"/>
        </w:rPr>
        <w:t xml:space="preserve">507/LXV-I, y en razón de haberse agotado las consultas, generar acercamientos de trabajo con representantes de partidos políticos en la entidad, y con autoridades de los Poderes Judicial, Ejecutivo y organismos autónomos involucrados en la materia, acciones que con oportunidad fueron informadas a la y los diputados integrantes de la Junta de Gobierno y Coordinación Política, </w:t>
      </w:r>
      <w:r w:rsidRPr="00947EC7">
        <w:rPr>
          <w:rFonts w:ascii="Abadi" w:eastAsia="Batang" w:hAnsi="Abadi" w:cs="Arial"/>
          <w:sz w:val="21"/>
          <w:szCs w:val="21"/>
        </w:rPr>
        <w:lastRenderedPageBreak/>
        <w:t>para efecto de anuencia con respecto a la mesa de trabajo con autoridades.</w:t>
      </w:r>
    </w:p>
    <w:p w14:paraId="06F95D14" w14:textId="77777777" w:rsidR="00427BD6" w:rsidRPr="00947EC7" w:rsidRDefault="00427BD6" w:rsidP="00EF7206">
      <w:pPr>
        <w:jc w:val="both"/>
        <w:rPr>
          <w:rFonts w:ascii="Abadi" w:hAnsi="Abadi" w:cs="Arial"/>
          <w:sz w:val="21"/>
          <w:szCs w:val="21"/>
        </w:rPr>
      </w:pPr>
    </w:p>
    <w:p w14:paraId="27748316" w14:textId="77777777" w:rsidR="00427BD6" w:rsidRPr="00947EC7" w:rsidRDefault="00427BD6" w:rsidP="00EF7206">
      <w:pPr>
        <w:jc w:val="both"/>
        <w:rPr>
          <w:rFonts w:ascii="Abadi" w:hAnsi="Abadi" w:cs="Arial"/>
          <w:sz w:val="21"/>
          <w:szCs w:val="21"/>
        </w:rPr>
      </w:pPr>
      <w:r w:rsidRPr="00947EC7">
        <w:rPr>
          <w:rFonts w:ascii="Abadi" w:hAnsi="Abadi" w:cs="Arial"/>
          <w:b/>
          <w:sz w:val="21"/>
          <w:szCs w:val="21"/>
        </w:rPr>
        <w:t xml:space="preserve">II.5. </w:t>
      </w:r>
      <w:r w:rsidRPr="00947EC7">
        <w:rPr>
          <w:rFonts w:ascii="Abadi" w:hAnsi="Abadi" w:cs="Arial"/>
          <w:sz w:val="21"/>
          <w:szCs w:val="21"/>
        </w:rPr>
        <w:t xml:space="preserve">En fecha 12 de junio de 2023, estando presente la diputada Susana Bermúdez Cano presidenta de la comisión legislativa, se llevó a cabo la mesa de trabajo con representantes de los partidos políticos de Acción Nacional, MORENA, Revolucionario Institucional, Verde Ecologista de México, y Movimiento Ciudadano donde expresaron su posición política con respecto al análisis de la iniciativa cuyos tópicos se refiere a la armonización de </w:t>
      </w:r>
      <w:r w:rsidRPr="00947EC7">
        <w:rPr>
          <w:rFonts w:ascii="Abadi" w:hAnsi="Abadi" w:cs="Arial"/>
          <w:i/>
          <w:iCs/>
          <w:sz w:val="21"/>
          <w:szCs w:val="21"/>
        </w:rPr>
        <w:t>suspensión de derechos con respecto a cargos de elección, empleo o comisión del servicio público</w:t>
      </w:r>
      <w:r w:rsidRPr="00947EC7">
        <w:rPr>
          <w:rFonts w:ascii="Abadi" w:hAnsi="Abadi" w:cs="Arial"/>
          <w:sz w:val="21"/>
          <w:szCs w:val="21"/>
        </w:rPr>
        <w:t xml:space="preserve"> que previamente les fue remitida y de manera unánime manifestaron la viabilidad de los objetivos que se perseguían con la misma. </w:t>
      </w:r>
    </w:p>
    <w:p w14:paraId="3BD5AD06" w14:textId="77777777" w:rsidR="00427BD6" w:rsidRPr="00947EC7" w:rsidRDefault="00427BD6" w:rsidP="00EF7206">
      <w:pPr>
        <w:jc w:val="both"/>
        <w:rPr>
          <w:rFonts w:ascii="Abadi" w:hAnsi="Abadi" w:cs="Arial"/>
          <w:sz w:val="21"/>
          <w:szCs w:val="21"/>
        </w:rPr>
      </w:pPr>
      <w:r w:rsidRPr="00947EC7">
        <w:rPr>
          <w:rFonts w:ascii="Abadi" w:hAnsi="Abadi" w:cs="Arial"/>
          <w:sz w:val="21"/>
          <w:szCs w:val="21"/>
        </w:rPr>
        <w:t>Durante el desahogo de esta mesa, la y los representantes de los partidos Verde Ecologista de México y Revolucionario Institucional emitieron sus observaciones con respecto a la propuesta, manifestando desde su punto de vista la viabilidad constitucional.</w:t>
      </w:r>
    </w:p>
    <w:p w14:paraId="0F5B8458" w14:textId="77777777" w:rsidR="00427BD6" w:rsidRPr="00947EC7" w:rsidRDefault="00427BD6" w:rsidP="00EF7206">
      <w:pPr>
        <w:jc w:val="both"/>
        <w:rPr>
          <w:rFonts w:ascii="Abadi" w:hAnsi="Abadi" w:cs="Arial"/>
          <w:sz w:val="21"/>
          <w:szCs w:val="21"/>
        </w:rPr>
      </w:pPr>
    </w:p>
    <w:p w14:paraId="44F0CA2F" w14:textId="77777777" w:rsidR="00427BD6" w:rsidRPr="00947EC7" w:rsidRDefault="00427BD6" w:rsidP="00EF7206">
      <w:pPr>
        <w:jc w:val="both"/>
        <w:rPr>
          <w:rFonts w:ascii="Abadi" w:hAnsi="Abadi" w:cs="Arial"/>
          <w:sz w:val="21"/>
          <w:szCs w:val="21"/>
        </w:rPr>
      </w:pPr>
      <w:r w:rsidRPr="00947EC7">
        <w:rPr>
          <w:rFonts w:ascii="Abadi" w:hAnsi="Abadi" w:cs="Arial"/>
          <w:sz w:val="21"/>
          <w:szCs w:val="21"/>
        </w:rPr>
        <w:t xml:space="preserve">De igual forma, el 13 de junio de 2023 se llevó a cabo el acercamiento de trabajo para analizar las iniciativas que refieren a los temas de </w:t>
      </w:r>
      <w:r w:rsidRPr="00947EC7">
        <w:rPr>
          <w:rFonts w:ascii="Abadi" w:hAnsi="Abadi" w:cs="Arial"/>
          <w:i/>
          <w:iCs/>
          <w:sz w:val="21"/>
          <w:szCs w:val="21"/>
        </w:rPr>
        <w:t>deudores alimentarios</w:t>
      </w:r>
      <w:r w:rsidRPr="00947EC7">
        <w:rPr>
          <w:rFonts w:ascii="Abadi" w:hAnsi="Abadi" w:cs="Arial"/>
          <w:sz w:val="21"/>
          <w:szCs w:val="21"/>
        </w:rPr>
        <w:t xml:space="preserve"> y </w:t>
      </w:r>
      <w:r w:rsidRPr="00947EC7">
        <w:rPr>
          <w:rFonts w:ascii="Abadi" w:hAnsi="Abadi" w:cs="Arial"/>
          <w:i/>
          <w:iCs/>
          <w:sz w:val="21"/>
          <w:szCs w:val="21"/>
        </w:rPr>
        <w:t>suspensión de derechos</w:t>
      </w:r>
      <w:r w:rsidRPr="00947EC7">
        <w:rPr>
          <w:rFonts w:ascii="Abadi" w:hAnsi="Abadi" w:cs="Arial"/>
          <w:sz w:val="21"/>
          <w:szCs w:val="21"/>
        </w:rPr>
        <w:t xml:space="preserve"> estando presentes las diputadas Susana Bermúdez Cano, Yulma Rocha Aguilar, Briseida Anabel Magdaleno González y Alma Edwviges Alcaraz Hernández y el diputado Gerardo Fernández González, integrantes de la Comisión de Gobernación y Puntos Constitucionales, del Poder Judicial del Estado, a través de la magistrada de la cuarta sala civil, la licenciada Claudia </w:t>
      </w:r>
      <w:proofErr w:type="spellStart"/>
      <w:r w:rsidRPr="00947EC7">
        <w:rPr>
          <w:rFonts w:ascii="Abadi" w:hAnsi="Abadi" w:cs="Arial"/>
          <w:sz w:val="21"/>
          <w:szCs w:val="21"/>
        </w:rPr>
        <w:t>Ibet</w:t>
      </w:r>
      <w:proofErr w:type="spellEnd"/>
      <w:r w:rsidRPr="00947EC7">
        <w:rPr>
          <w:rFonts w:ascii="Abadi" w:hAnsi="Abadi" w:cs="Arial"/>
          <w:sz w:val="21"/>
          <w:szCs w:val="21"/>
        </w:rPr>
        <w:t xml:space="preserve"> Amezcua Rodríguez, servidores públicos de la Coordinación General Jurídica del Estado de Guanajuato, del Instituto Electoral del Estado de Guanajuato, del Tribunal Estatal Electoral de Guanajuato y de la Procuraduría de los Derechos Humanos del Estado de Guanajuato; asesores de los grupos parlamentarios de los partidos Acción Nacional, MORENA, Revolucionario Institucional, Verde Ecologista de México y la secretaria técnica de la comisión.</w:t>
      </w:r>
    </w:p>
    <w:p w14:paraId="648938FA" w14:textId="77777777" w:rsidR="00427BD6" w:rsidRPr="00947EC7" w:rsidRDefault="00427BD6" w:rsidP="00EF7206">
      <w:pPr>
        <w:jc w:val="both"/>
        <w:rPr>
          <w:rFonts w:ascii="Abadi" w:hAnsi="Abadi" w:cs="Arial"/>
          <w:sz w:val="21"/>
          <w:szCs w:val="21"/>
        </w:rPr>
      </w:pPr>
    </w:p>
    <w:p w14:paraId="7F5BA8BB" w14:textId="77777777" w:rsidR="00427BD6" w:rsidRPr="00947EC7" w:rsidRDefault="00427BD6" w:rsidP="00EF7206">
      <w:pPr>
        <w:jc w:val="both"/>
        <w:rPr>
          <w:rFonts w:ascii="Abadi" w:hAnsi="Abadi" w:cs="Arial"/>
          <w:i/>
          <w:sz w:val="21"/>
          <w:szCs w:val="21"/>
        </w:rPr>
      </w:pPr>
      <w:r w:rsidRPr="00947EC7">
        <w:rPr>
          <w:rFonts w:ascii="Abadi" w:hAnsi="Abadi" w:cs="Arial"/>
          <w:sz w:val="21"/>
          <w:szCs w:val="21"/>
        </w:rPr>
        <w:t>Durante el desahogo de esta mesa de trabajo, se expuso la opinión en sentido positivo por parte de la Coordinación General Jurídica de Gobierno del Estado con respecto a la iniciativa de suspensión de derechos.</w:t>
      </w:r>
    </w:p>
    <w:p w14:paraId="7A650CEF" w14:textId="77777777" w:rsidR="00427BD6" w:rsidRPr="00947EC7" w:rsidRDefault="00427BD6" w:rsidP="00EF7206">
      <w:pPr>
        <w:pStyle w:val="Textoindependiente"/>
        <w:rPr>
          <w:rFonts w:ascii="Abadi" w:eastAsia="Batang" w:hAnsi="Abadi"/>
          <w:b w:val="0"/>
          <w:sz w:val="21"/>
          <w:szCs w:val="21"/>
        </w:rPr>
      </w:pPr>
    </w:p>
    <w:p w14:paraId="11AE2889" w14:textId="77777777" w:rsidR="00427BD6" w:rsidRPr="00947EC7" w:rsidRDefault="00427BD6" w:rsidP="00EF7206">
      <w:pPr>
        <w:pStyle w:val="Textoindependiente"/>
        <w:rPr>
          <w:rFonts w:ascii="Abadi" w:eastAsia="Batang" w:hAnsi="Abadi"/>
          <w:sz w:val="21"/>
          <w:szCs w:val="21"/>
        </w:rPr>
      </w:pPr>
      <w:r w:rsidRPr="00947EC7">
        <w:rPr>
          <w:rFonts w:ascii="Abadi" w:eastAsia="Batang" w:hAnsi="Abadi"/>
          <w:sz w:val="21"/>
          <w:szCs w:val="21"/>
        </w:rPr>
        <w:t xml:space="preserve">II.6. </w:t>
      </w:r>
      <w:r w:rsidRPr="00947EC7">
        <w:rPr>
          <w:rFonts w:ascii="Abadi" w:hAnsi="Abadi"/>
          <w:sz w:val="21"/>
          <w:szCs w:val="21"/>
        </w:rPr>
        <w:t>L</w:t>
      </w:r>
      <w:r w:rsidRPr="00947EC7">
        <w:rPr>
          <w:rFonts w:ascii="Abadi" w:eastAsia="Batang" w:hAnsi="Abadi"/>
          <w:sz w:val="21"/>
          <w:szCs w:val="21"/>
        </w:rPr>
        <w:t xml:space="preserve">a presidencia de la Comisión de Gobernación y Puntos Constitucionales instruyó a la Secretaría Técnica para que elaborara el proyecto de dictamen en sentido positivo de las tres iniciativas enunciadas, atendiendo a lo analizado al interior de las respectivas mesas de trabajo, así como a la Minuta </w:t>
      </w:r>
      <w:r w:rsidRPr="00947EC7">
        <w:rPr>
          <w:rFonts w:ascii="Abadi" w:hAnsi="Abadi"/>
          <w:sz w:val="21"/>
          <w:szCs w:val="21"/>
        </w:rPr>
        <w:t xml:space="preserve">Proyecto de Decreto </w:t>
      </w:r>
      <w:r w:rsidRPr="00947EC7">
        <w:rPr>
          <w:rFonts w:ascii="Abadi" w:hAnsi="Abadi"/>
          <w:iCs/>
          <w:sz w:val="21"/>
          <w:szCs w:val="21"/>
          <w:lang w:val="es-ES_tradnl"/>
        </w:rPr>
        <w:t xml:space="preserve">por el que se reforman y adicionan los artículos 38 y 102 de la Constitución Política de los Estados Unidos Mexicanos </w:t>
      </w:r>
      <w:r w:rsidRPr="00947EC7">
        <w:rPr>
          <w:rFonts w:ascii="Abadi" w:hAnsi="Abadi"/>
          <w:i/>
          <w:sz w:val="21"/>
          <w:szCs w:val="21"/>
          <w:lang w:val="es-ES_tradnl"/>
        </w:rPr>
        <w:t>en materia de suspensión de derechos para ocupar cargo, empleo o comisión del Servicio Público</w:t>
      </w:r>
      <w:r w:rsidRPr="00947EC7">
        <w:rPr>
          <w:rFonts w:ascii="Abadi" w:hAnsi="Abadi"/>
          <w:iCs/>
          <w:sz w:val="21"/>
          <w:szCs w:val="21"/>
          <w:lang w:val="es-ES_tradnl"/>
        </w:rPr>
        <w:t xml:space="preserve">, </w:t>
      </w:r>
      <w:r w:rsidRPr="00947EC7">
        <w:rPr>
          <w:rFonts w:ascii="Abadi" w:hAnsi="Abadi"/>
          <w:sz w:val="21"/>
          <w:szCs w:val="21"/>
        </w:rPr>
        <w:t>que remitió la Cámara de Senadores, cuya declaratoria fue hecha por la Comisión Permanente y publicada la reforma constitucional en el Diario Oficial de la Federación del 29 de mayo de 2023.</w:t>
      </w:r>
      <w:r w:rsidRPr="00947EC7">
        <w:rPr>
          <w:rFonts w:ascii="Abadi" w:eastAsia="Batang" w:hAnsi="Abadi"/>
          <w:sz w:val="21"/>
          <w:szCs w:val="21"/>
        </w:rPr>
        <w:t xml:space="preserve"> </w:t>
      </w:r>
    </w:p>
    <w:p w14:paraId="6155BF0C" w14:textId="77777777" w:rsidR="00427BD6" w:rsidRPr="00947EC7" w:rsidRDefault="00427BD6" w:rsidP="00EF7206">
      <w:pPr>
        <w:pStyle w:val="Textoindependiente"/>
        <w:rPr>
          <w:rFonts w:ascii="Abadi" w:eastAsia="Batang" w:hAnsi="Abadi"/>
          <w:sz w:val="21"/>
          <w:szCs w:val="21"/>
        </w:rPr>
      </w:pPr>
    </w:p>
    <w:p w14:paraId="318F20CD" w14:textId="77777777" w:rsidR="00427BD6" w:rsidRPr="00947EC7" w:rsidRDefault="00427BD6" w:rsidP="00EF7206">
      <w:pPr>
        <w:pStyle w:val="Textoindependiente"/>
        <w:rPr>
          <w:rFonts w:ascii="Abadi" w:eastAsia="Batang" w:hAnsi="Abadi"/>
          <w:bCs w:val="0"/>
          <w:sz w:val="21"/>
          <w:szCs w:val="21"/>
          <w:lang w:val="es-MX"/>
        </w:rPr>
      </w:pPr>
      <w:r w:rsidRPr="00947EC7">
        <w:rPr>
          <w:rFonts w:ascii="Abadi" w:eastAsia="Batang" w:hAnsi="Abadi"/>
          <w:sz w:val="21"/>
          <w:szCs w:val="21"/>
        </w:rPr>
        <w:t>Lo anterior con fundamento en los artículos 94, fracción VII y 272, fracción VIII inciso e de la Ley Orgánica del Poder Legislativo del Estado, misma que fue materia de revisión por los diputados y las diputadas integrantes de esta comisión dictaminadora.</w:t>
      </w:r>
    </w:p>
    <w:p w14:paraId="5AEA3276" w14:textId="77777777" w:rsidR="00427BD6" w:rsidRPr="00947EC7" w:rsidRDefault="00427BD6" w:rsidP="00EF7206">
      <w:pPr>
        <w:pStyle w:val="Textoindependiente"/>
        <w:rPr>
          <w:rFonts w:ascii="Abadi" w:eastAsia="Batang" w:hAnsi="Abadi"/>
          <w:sz w:val="21"/>
          <w:szCs w:val="21"/>
          <w:lang w:val="es-MX"/>
        </w:rPr>
      </w:pPr>
    </w:p>
    <w:p w14:paraId="659EB879" w14:textId="77777777" w:rsidR="00427BD6" w:rsidRPr="00947EC7" w:rsidRDefault="00427BD6" w:rsidP="00EF7206">
      <w:pPr>
        <w:pStyle w:val="Ttulo5"/>
        <w:shd w:val="clear" w:color="auto" w:fill="FFFFFF"/>
        <w:spacing w:before="0"/>
        <w:jc w:val="both"/>
        <w:rPr>
          <w:rFonts w:ascii="Abadi" w:eastAsia="Batang" w:hAnsi="Abadi" w:cs="Arial"/>
          <w:b/>
          <w:i/>
          <w:iCs/>
          <w:sz w:val="21"/>
          <w:szCs w:val="21"/>
        </w:rPr>
      </w:pPr>
      <w:r w:rsidRPr="00947EC7">
        <w:rPr>
          <w:rFonts w:ascii="Abadi" w:eastAsia="Batang" w:hAnsi="Abadi" w:cs="Arial"/>
          <w:b/>
          <w:sz w:val="21"/>
          <w:szCs w:val="21"/>
        </w:rPr>
        <w:t>III. Contenido de las tres iniciativas de reformas y adiciones a diversos artículos de la Constitución Política para el Estado de Guanajuato</w:t>
      </w:r>
    </w:p>
    <w:p w14:paraId="1517F178" w14:textId="77777777" w:rsidR="00427BD6" w:rsidRPr="00947EC7" w:rsidRDefault="00427BD6" w:rsidP="00EF7206">
      <w:pPr>
        <w:jc w:val="both"/>
        <w:rPr>
          <w:rFonts w:ascii="Abadi" w:eastAsia="Batang" w:hAnsi="Abadi" w:cs="Arial"/>
          <w:b/>
          <w:i/>
          <w:iCs/>
          <w:sz w:val="21"/>
          <w:szCs w:val="21"/>
        </w:rPr>
      </w:pPr>
    </w:p>
    <w:p w14:paraId="52975791"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El objeto de las iniciativas en general es establecer mecanismos de prevención sobre los requisitos de elegibilidad, para procurar que las personas que posean perfil agresivo, violento o irresponsable no accedan a los puestos de decisión públicos, como lo es empleo, comisión o cargos de elección popular, así como, evitar la contratación de personas deudoras alimentarias. </w:t>
      </w:r>
    </w:p>
    <w:p w14:paraId="130740C0" w14:textId="77777777" w:rsidR="00427BD6" w:rsidRPr="00947EC7" w:rsidRDefault="00427BD6" w:rsidP="00EF7206">
      <w:pPr>
        <w:ind w:firstLine="708"/>
        <w:jc w:val="both"/>
        <w:rPr>
          <w:rFonts w:ascii="Abadi" w:eastAsia="Batang" w:hAnsi="Abadi" w:cs="Arial"/>
          <w:sz w:val="21"/>
          <w:szCs w:val="21"/>
        </w:rPr>
      </w:pPr>
    </w:p>
    <w:p w14:paraId="184BCEE2" w14:textId="77777777" w:rsidR="00427BD6" w:rsidRPr="00947EC7" w:rsidRDefault="00427BD6" w:rsidP="00EF7206">
      <w:pPr>
        <w:ind w:firstLine="708"/>
        <w:jc w:val="both"/>
        <w:rPr>
          <w:rFonts w:ascii="Abadi" w:hAnsi="Abadi"/>
          <w:sz w:val="21"/>
          <w:szCs w:val="21"/>
          <w:highlight w:val="yellow"/>
        </w:rPr>
      </w:pPr>
      <w:r w:rsidRPr="00947EC7">
        <w:rPr>
          <w:rFonts w:ascii="Abadi" w:hAnsi="Abadi"/>
          <w:sz w:val="21"/>
          <w:szCs w:val="21"/>
        </w:rPr>
        <w:t>Las iniciantes de la primera propuesta manifestaron en su exposición de motivos, además de lo dispuesto en el artículo 209 de la Ley Orgánica del Poder Legislativo, que:</w:t>
      </w:r>
    </w:p>
    <w:p w14:paraId="2F4C725E"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 La violencia contra las mujeres ha sido definida por la Asamblea General de las Naciones Unidas como “todo acto de violencia basado en la pertenencia al género femenino que tenga o pueda tener como resultado un daño o sufrimiento físico, sexual o psicológico para la mujer, así como las amenazas de tales actos, la coacción o la </w:t>
      </w:r>
      <w:r w:rsidRPr="00947EC7">
        <w:rPr>
          <w:rFonts w:ascii="Abadi" w:hAnsi="Abadi" w:cs="Calibri"/>
          <w:bCs/>
          <w:i/>
          <w:sz w:val="21"/>
          <w:szCs w:val="21"/>
          <w:lang w:eastAsia="en-US"/>
        </w:rPr>
        <w:lastRenderedPageBreak/>
        <w:t>privación arbitraria de la libertad, tanto si se producen en la vida pública como en la vida privada</w:t>
      </w:r>
      <w:r w:rsidRPr="00947EC7">
        <w:rPr>
          <w:rStyle w:val="Refdenotaalpie"/>
          <w:rFonts w:ascii="Abadi" w:eastAsia="Calibri" w:hAnsi="Abadi" w:cs="Calibri"/>
          <w:bCs/>
          <w:i/>
          <w:sz w:val="21"/>
          <w:szCs w:val="21"/>
          <w:lang w:eastAsia="en-US"/>
        </w:rPr>
        <w:footnoteReference w:id="127"/>
      </w:r>
      <w:r w:rsidRPr="00947EC7">
        <w:rPr>
          <w:rFonts w:ascii="Abadi" w:hAnsi="Abadi" w:cs="Calibri"/>
          <w:bCs/>
          <w:i/>
          <w:sz w:val="21"/>
          <w:szCs w:val="21"/>
          <w:lang w:eastAsia="en-US"/>
        </w:rPr>
        <w:t xml:space="preserve">, y es considerada como un problema estructural, al ser un mecanismo mediante el cual se coloca a la mujer en una posición de subordinación en relación con el hombre, derivado de las relaciones de poder históricamente desiguales entre los sexos. Por ello, diversos tratados internacionales como lo son la Carta de las Naciones Unidas, la Declaración Universal de los Derechos Humanos, la Convención sobre la Eliminación de Todas las Formas de Discriminación Contra la Mujer (CEDAW), la Declaración y el Programa de Acción de Viena, la Convención Interamericana para Prevenir, Sancionar y Erradicar la Violencia Contra la Mujer (Belém do Pará), y la Declaración y Plataforma de Acción de Beijing, así como los Estados que se han adherido a ellos, incluido México, han condenado en reiteradas ocasiones la violencia que se ejerce contra las mujeres y resaltado la importancia de establecer acciones que hagan factible su prevención, sanción y eliminación. Particularmente, la Convención Interamericana para Prevenir, Sancionar y Erradicar la Violencia Contra la Mujer, mejor conocida como la Convención “Belém Do Pará” además de reconocer que la violencia contra las mujeres impide y anula el ejercicio de sus derechos civiles políticos económicos, sociales y culturales, también establece que los Estados Partes deben velar porque las autoridades, funcionarios, personal, agentes e instituciones se abstengan de cometer cualquier acción o prácticas de violencia contra las </w:t>
      </w:r>
      <w:r w:rsidRPr="00947EC7">
        <w:rPr>
          <w:rFonts w:ascii="Abadi" w:hAnsi="Abadi" w:cs="Calibri"/>
          <w:bCs/>
          <w:i/>
          <w:sz w:val="21"/>
          <w:szCs w:val="21"/>
          <w:lang w:eastAsia="en-US"/>
        </w:rPr>
        <w:t>mujeres, que tienen la obligación de incluir en su legislación interna las normas necesarias para prevenir, sancionar y erradicar la violencia contra las mujeres, así como tomar todas las medidas apropiadas, incluyendo las medidas de tipo legislativo, para modificar las prácticas jurídicas o consuetudinarias que respalden la persistencia o la tolerancia de la violencia contra la mujer, dado que su eliminación es condición indispensable para garantizar su pleno desarrollo y participación en todas las esferas de la vida.</w:t>
      </w:r>
      <w:r w:rsidRPr="00947EC7">
        <w:rPr>
          <w:rStyle w:val="Refdenotaalpie"/>
          <w:rFonts w:ascii="Abadi" w:eastAsia="Calibri" w:hAnsi="Abadi" w:cs="Calibri"/>
          <w:bCs/>
          <w:i/>
          <w:sz w:val="21"/>
          <w:szCs w:val="21"/>
          <w:lang w:eastAsia="en-US"/>
        </w:rPr>
        <w:footnoteReference w:id="128"/>
      </w:r>
      <w:r w:rsidRPr="00947EC7">
        <w:rPr>
          <w:rFonts w:ascii="Abadi" w:hAnsi="Abadi" w:cs="Calibri"/>
          <w:bCs/>
          <w:i/>
          <w:sz w:val="21"/>
          <w:szCs w:val="21"/>
          <w:lang w:eastAsia="en-US"/>
        </w:rPr>
        <w:t xml:space="preserve"> En atención a lo anterior, la Constitución Política de nuestro país señala en su artículo primero que es obligación de todas las autoridades promover, respetar, proteger y garantizar los derechos humanos, entre los que se encuentran el derecho humano de las mujeres a una vida libre de violencia. </w:t>
      </w:r>
    </w:p>
    <w:p w14:paraId="22CC57D1"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p>
    <w:p w14:paraId="1451B456"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En este contexto, la Ley de Acceso de las Mujeres a Una Vida Libre de Violencia para el Estado de Guanajuato, actualmente reconoce catorce tipos de violencia que se ejercen contra las mujeres por razón de género, siendo estas, las violencias psicológica, física, patrimonial económica, sexual, laboral, docente, obstétrica, feminicida, política, por acoso, digital, institucional y simbólica, los cuales, se pueden presentar en diversas modalidades y ámbitos de la vida tanto públicos como privados, entre los que se encuentran el ámbito familiar y político, mismos que por su relevancia, frecuencia y gravedad, incluso están tipificados como delitos dentro de nuestro Código Penal Local, </w:t>
      </w:r>
      <w:r w:rsidRPr="00947EC7">
        <w:rPr>
          <w:rFonts w:ascii="Abadi" w:hAnsi="Abadi" w:cs="Calibri"/>
          <w:bCs/>
          <w:i/>
          <w:sz w:val="21"/>
          <w:szCs w:val="21"/>
          <w:lang w:eastAsia="en-US"/>
        </w:rPr>
        <w:lastRenderedPageBreak/>
        <w:t>así como también sucede con los delitos contra la libertad sexual, dentro los que se contemplan aquellos actos de contenido sexual que amenazan, degradan, dañan el cuerpo o la sexualidad de la víctima, atentando contra su libertad, dignidad, seguridad sexual o integridad física e implicando el abuso de poder y la supremacía sobre ella, al denigrarla y concebirla como objeto</w:t>
      </w:r>
      <w:r w:rsidRPr="00947EC7">
        <w:rPr>
          <w:rStyle w:val="Refdenotaalpie"/>
          <w:rFonts w:ascii="Abadi" w:eastAsia="Calibri" w:hAnsi="Abadi" w:cs="Calibri"/>
          <w:bCs/>
          <w:i/>
          <w:sz w:val="21"/>
          <w:szCs w:val="21"/>
          <w:lang w:eastAsia="en-US"/>
        </w:rPr>
        <w:footnoteReference w:id="129"/>
      </w:r>
      <w:r w:rsidRPr="00947EC7">
        <w:rPr>
          <w:rFonts w:ascii="Abadi" w:hAnsi="Abadi" w:cs="Calibri"/>
          <w:bCs/>
          <w:i/>
          <w:sz w:val="21"/>
          <w:szCs w:val="21"/>
          <w:lang w:eastAsia="en-US"/>
        </w:rPr>
        <w:t>, como sucede con los casos de violación, estupro, abusos sexuales, acoso y hostigamiento sexual, afectación a la intimidad y captación de menores.</w:t>
      </w:r>
      <w:r w:rsidRPr="00947EC7">
        <w:rPr>
          <w:rStyle w:val="Refdenotaalpie"/>
          <w:rFonts w:ascii="Abadi" w:eastAsia="Calibri" w:hAnsi="Abadi" w:cs="Calibri"/>
          <w:bCs/>
          <w:i/>
          <w:sz w:val="21"/>
          <w:szCs w:val="21"/>
          <w:lang w:eastAsia="en-US"/>
        </w:rPr>
        <w:footnoteReference w:id="130"/>
      </w:r>
      <w:r w:rsidRPr="00947EC7">
        <w:rPr>
          <w:rFonts w:ascii="Abadi" w:hAnsi="Abadi" w:cs="Calibri"/>
          <w:bCs/>
          <w:i/>
          <w:sz w:val="21"/>
          <w:szCs w:val="21"/>
          <w:lang w:eastAsia="en-US"/>
        </w:rPr>
        <w:t xml:space="preserve"> Sobre la violencia política, la Ley de Acceso de las Mujeres a una Vida Libre de Violencia para el Estado de Guanajuato, señala que es toda acción u omisión “que tenga por objeto o resultado limitar, anular o menoscabar el ejercicio efectivo de los derechos político-electorales de una mujer, el acceso al pleno ejercicio de las atribuciones inherentes a su cargo o función del poder público y se manifiesta en presión, persecución, hostigamiento, acoso, coacción, vejación, discriminación, amenazas o privación de la libertad o de la vida en razón de género”. Derivado de una encuesta realizada durante el pasado proceso electoral del 2021 en Guanajuato, se encontró que 6 de cada 10 candidatas padecieron violencia por ser mujeres en algún momento de su vida, el 38% de las encuestadas declararon haber sufrido violencia en la búsqueda de su candidatura, una de cada dos sufrió violencia en precampaña o campaña, el 46% sufrió violencia a través de redes </w:t>
      </w:r>
      <w:r w:rsidRPr="00947EC7">
        <w:rPr>
          <w:rFonts w:ascii="Abadi" w:hAnsi="Abadi" w:cs="Calibri"/>
          <w:bCs/>
          <w:i/>
          <w:sz w:val="21"/>
          <w:szCs w:val="21"/>
          <w:lang w:eastAsia="en-US"/>
        </w:rPr>
        <w:t>sociales, 7 de cada 10 escucharon descalificaciones a las mujeres que participan en política, a 4 de cada 10 les dijeron que no tenían experiencia o preparación para gobernar al 18% le dijeron que sus logros o ascensos tenían que ver con favores sexuales, al 15% les recomendaron mejorar su apariencia física para obtener mejores resultados en la elección y a 3 de cada 10 les enviaron insinuaciones sexuales, insultos u ofensas.</w:t>
      </w:r>
      <w:r w:rsidRPr="00947EC7">
        <w:rPr>
          <w:rStyle w:val="Refdenotaalpie"/>
          <w:rFonts w:ascii="Abadi" w:eastAsia="Calibri" w:hAnsi="Abadi" w:cs="Calibri"/>
          <w:bCs/>
          <w:i/>
          <w:sz w:val="21"/>
          <w:szCs w:val="21"/>
          <w:lang w:eastAsia="en-US"/>
        </w:rPr>
        <w:footnoteReference w:id="131"/>
      </w:r>
      <w:r w:rsidRPr="00947EC7">
        <w:rPr>
          <w:rFonts w:ascii="Abadi" w:hAnsi="Abadi" w:cs="Calibri"/>
          <w:bCs/>
          <w:i/>
          <w:sz w:val="21"/>
          <w:szCs w:val="21"/>
          <w:lang w:eastAsia="en-US"/>
        </w:rPr>
        <w:t xml:space="preserve"> Relativo a la violencia familiar, la Ley establece que es “cualquier tipo de violencia que se ejerce contra la mujer por personas con quien se tenga o haya tenido relación de parentesco” o que “aun no teniendo alguna de las calidades anteriores habite de manera permanente en el mismo domicilio de la víctima, mantengan o hayan mantenido una relación de hecho”. De acuerdo con la Encuesta Nacional sobre la Dinámica de las Relaciones en los Hogares (INEGI, 2016), los tipos de violencia más comunes en el ámbito familiar son la violencia emocional, física y económica. En Guanajuato, de acuerdo con la Fiscalía General del Estado, hasta diciembre del 2021, el 88% de los casos de violencia de género registrados habían tenido lugar en el ámbito familiar. A diferencia de como sucede en los otros ámbitos, en el familiar, además de la violencia psicológica, física y sexual, también sobresale particularmente la violencia económica, la cual, incluye dentro de sus supuestos el incumplimiento de las obligaciones de asistencia familiar, lo que además de ser </w:t>
      </w:r>
      <w:r w:rsidRPr="00947EC7">
        <w:rPr>
          <w:rFonts w:ascii="Abadi" w:hAnsi="Abadi" w:cs="Calibri"/>
          <w:bCs/>
          <w:i/>
          <w:sz w:val="21"/>
          <w:szCs w:val="21"/>
          <w:lang w:eastAsia="en-US"/>
        </w:rPr>
        <w:lastRenderedPageBreak/>
        <w:t xml:space="preserve">una manera de ejercer control y violencia sobre las mujeres, también atenta contra el interés superior de la niñez consagrado en el artículo cuarto constitucional, al poner en riesgo el derecho de las niñas y niños a la satisfacción de sus necesidades de alimentación, salud, educación y vida digna. En este sentido, cifras del Secretariado Ejecutivo del Sistema Nacional de Seguridad Pública indican que en Guanajuato el incumplimiento de las obligaciones de asistencia familiar por parte de los padres olvidadizos va al alza, pues durante el 2021 se registró un aumento del 35% en las denuncias interpuestas por este delito, transitando de 1540 casos registrados en el 2020 a 2,082 durante el 2021. </w:t>
      </w:r>
    </w:p>
    <w:p w14:paraId="1D7FFEB1"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sz w:val="21"/>
          <w:szCs w:val="21"/>
        </w:rPr>
      </w:pPr>
    </w:p>
    <w:p w14:paraId="525A8FA9"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Por lo anterior, y como una medida de presión social para garantizar el cumplimiento de las obligaciones de asistencia familiar por parte de los padres olvidadizos, el pasado 19 de julio del 2021 fue publicado en el Periódico Oficial del Gobierno del Estado de Guanajuato el Decreto mediante el cual se reformó el Código Civil local a efecto de establecer que las personas obligadas a dar alimentos que incumplan con la pensión o la ministración de alimentos sin causa justificada por un periodo de 90 días sean inscritas, por orden del Juez, en el Registro de Deudores Alimentarios, y en este sentido, el pasado 22 de febrero del presente año, también se </w:t>
      </w:r>
      <w:r w:rsidRPr="00947EC7">
        <w:rPr>
          <w:rFonts w:ascii="Abadi" w:hAnsi="Abadi" w:cs="Calibri"/>
          <w:bCs/>
          <w:i/>
          <w:sz w:val="21"/>
          <w:szCs w:val="21"/>
          <w:lang w:eastAsia="en-US"/>
        </w:rPr>
        <w:t>publicaron en el Periódico Oficial las adecuaciones realizadas al Reglamento del Registro Público de la Propiedad para el Estado de Guanajuato con la finalidad de regular la implementación del Registro de Deudores Alimentarios. En el año 2017, el Comité de la CEDAW emitió la recomendación general número 35, en la que además de reconocer la violencia por razón de género contra las mujeres constituye un grave obstáculo para lograr una igualdad sustantiva entre mujeres y hombres, y hacer factible el disfrute por parte de la mujer de sus derechos y libertades fundamentales, también recomienda adoptar y aplicar medidas legislativas preventivas adecuadas para abordar las causas subyacentes de la violencia por razón de género contra la mujer y aplicar medidas eficaces para abordar y erradicar los estereotipos, los prejuicios, las costumbres y las prácticas, que consienten o promueven la desigualdad y violencia por razón de género.</w:t>
      </w:r>
      <w:r w:rsidRPr="00947EC7">
        <w:rPr>
          <w:rStyle w:val="Refdenotaalpie"/>
          <w:rFonts w:ascii="Abadi" w:eastAsia="Calibri" w:hAnsi="Abadi" w:cs="Calibri"/>
          <w:bCs/>
          <w:i/>
          <w:sz w:val="21"/>
          <w:szCs w:val="21"/>
          <w:lang w:eastAsia="en-US"/>
        </w:rPr>
        <w:footnoteReference w:id="132"/>
      </w:r>
      <w:r w:rsidRPr="00947EC7">
        <w:rPr>
          <w:rFonts w:ascii="Abadi" w:hAnsi="Abadi" w:cs="Calibri"/>
          <w:bCs/>
          <w:i/>
          <w:sz w:val="21"/>
          <w:szCs w:val="21"/>
          <w:lang w:eastAsia="en-US"/>
        </w:rPr>
        <w:t xml:space="preserve"> Particularmente, en los sistemas gubernamentales con regímenes democráticos, es indispensable que quienes acceden a cargos públicos, en este caso, a cargos de elección popular, tanto por su naturaleza representativa como por las altas responsabilidades que conllevan, actúen en todo momento promoviendo, respetando, protegiendo y garantizando los derechos humanos y procurando la erradicación la violencia.</w:t>
      </w:r>
      <w:r w:rsidRPr="00947EC7">
        <w:rPr>
          <w:rStyle w:val="Refdenotaalpie"/>
          <w:rFonts w:ascii="Abadi" w:eastAsia="Calibri" w:hAnsi="Abadi" w:cs="Calibri"/>
          <w:bCs/>
          <w:i/>
          <w:sz w:val="21"/>
          <w:szCs w:val="21"/>
          <w:lang w:eastAsia="en-US"/>
        </w:rPr>
        <w:footnoteReference w:id="133"/>
      </w:r>
      <w:r w:rsidRPr="00947EC7">
        <w:rPr>
          <w:rFonts w:ascii="Abadi" w:hAnsi="Abadi"/>
          <w:sz w:val="21"/>
          <w:szCs w:val="21"/>
        </w:rPr>
        <w:t xml:space="preserve"> </w:t>
      </w:r>
      <w:r w:rsidRPr="00947EC7">
        <w:rPr>
          <w:rFonts w:ascii="Abadi" w:hAnsi="Abadi" w:cs="Calibri"/>
          <w:bCs/>
          <w:i/>
          <w:sz w:val="21"/>
          <w:szCs w:val="21"/>
          <w:lang w:eastAsia="en-US"/>
        </w:rPr>
        <w:t xml:space="preserve">Resulta evidente que las </w:t>
      </w:r>
      <w:r w:rsidRPr="00947EC7">
        <w:rPr>
          <w:rFonts w:ascii="Abadi" w:hAnsi="Abadi" w:cs="Calibri"/>
          <w:bCs/>
          <w:i/>
          <w:sz w:val="21"/>
          <w:szCs w:val="21"/>
          <w:lang w:eastAsia="en-US"/>
        </w:rPr>
        <w:lastRenderedPageBreak/>
        <w:t>personas agresoras no están en condiciones de gobernar en beneficio de las mujeres, y que tampoco llevan un modo honesto de vivir, concepto que consiste en respetar los principios del sistema democrático mexicano,</w:t>
      </w:r>
      <w:r w:rsidRPr="00947EC7">
        <w:rPr>
          <w:rStyle w:val="Refdenotaalpie"/>
          <w:rFonts w:ascii="Abadi" w:eastAsia="Calibri" w:hAnsi="Abadi" w:cs="Calibri"/>
          <w:bCs/>
          <w:i/>
          <w:sz w:val="21"/>
          <w:szCs w:val="21"/>
          <w:lang w:eastAsia="en-US"/>
        </w:rPr>
        <w:footnoteReference w:id="134"/>
      </w:r>
      <w:r w:rsidRPr="00947EC7">
        <w:rPr>
          <w:rFonts w:ascii="Abadi" w:hAnsi="Abadi" w:cs="Calibri"/>
          <w:bCs/>
          <w:i/>
          <w:sz w:val="21"/>
          <w:szCs w:val="21"/>
          <w:lang w:eastAsia="en-US"/>
        </w:rPr>
        <w:t xml:space="preserve"> y que de acuerdo con el Tribunal Electoral del Poder Judicial de la Federación (TEPJF) se refiere “a la conducta constante, reiterada, asumida por una persona en el seno de la comunidad en la que reside, con apego y respeto a los principios de bienestar considerados por la generalidad de los habitantes de este núcleo social, en un lugar y tiempo determinados, como elementos necesarios para llevar una vida decente, decorosa, razonable y justa […] Como se advierte, este concepto tiene un contenido eminentemente ético y social, que atiende a la conducta en sociedad, la cual debe ser ordenada y pacífica”. Finalmente, el Tribunal, concluye que el modo honesto de vivir es el” comportamiento adecuado para hacer posible la vida civil del pueblo, por el acatamiento de deberes que imponen la condición de ser mexicano; en síntesis, quiere decir buen mexicano, y es un presupuesto para gozar de las prerrogativas inherentes a su calidad de ciudadano.”</w:t>
      </w:r>
      <w:r w:rsidRPr="00947EC7">
        <w:rPr>
          <w:rStyle w:val="Refdenotaalpie"/>
          <w:rFonts w:ascii="Abadi" w:eastAsia="Calibri" w:hAnsi="Abadi" w:cs="Calibri"/>
          <w:bCs/>
          <w:i/>
          <w:sz w:val="21"/>
          <w:szCs w:val="21"/>
          <w:lang w:eastAsia="en-US"/>
        </w:rPr>
        <w:footnoteReference w:id="135"/>
      </w:r>
      <w:r w:rsidRPr="00947EC7">
        <w:rPr>
          <w:rFonts w:ascii="Abadi" w:hAnsi="Abadi" w:cs="Calibri"/>
          <w:bCs/>
          <w:i/>
          <w:sz w:val="21"/>
          <w:szCs w:val="21"/>
          <w:lang w:eastAsia="en-US"/>
        </w:rPr>
        <w:t xml:space="preserve"> Tan importante es este concepto que incluso se encuentra establecido en el </w:t>
      </w:r>
      <w:r w:rsidRPr="00947EC7">
        <w:rPr>
          <w:rFonts w:ascii="Abadi" w:hAnsi="Abadi" w:cs="Calibri"/>
          <w:bCs/>
          <w:i/>
          <w:sz w:val="21"/>
          <w:szCs w:val="21"/>
          <w:lang w:eastAsia="en-US"/>
        </w:rPr>
        <w:t>artículo 34 constitucional como uno de los requisitos para adquirir la ciudadanía mexicana y por ende también para ser elegible a cargos de elección popular. Aunque todas y todos por el simple hecho de ser ciudadanos mexicanos tenemos derecho a votar y a ser votados, es indispensable que las personas candidatas a ejercer cargos de elección popular cumplan con aquellas condiciones, cualidades, características, capacidad y aptitudes mínimas para procurar que el desempeño de sus cargos esté apegado a derecho y a los valores democráticos que rigen nuestro sistema, es decir, que posean un perfil elegible, entendiendo la elegibilidad como “la satisfacción de determinados requisitos inherentes a la persona, no solamente para tener una candidatura para ocupar el puesto de elección popular, sino incluso necesarios para ocupar el cargo y ejercerlo.”</w:t>
      </w:r>
      <w:r w:rsidRPr="00947EC7">
        <w:rPr>
          <w:rStyle w:val="Refdenotaalpie"/>
          <w:rFonts w:ascii="Abadi" w:eastAsia="Calibri" w:hAnsi="Abadi" w:cs="Calibri"/>
          <w:bCs/>
          <w:i/>
          <w:sz w:val="21"/>
          <w:szCs w:val="21"/>
          <w:lang w:eastAsia="en-US"/>
        </w:rPr>
        <w:footnoteReference w:id="136"/>
      </w:r>
      <w:r w:rsidRPr="00947EC7">
        <w:rPr>
          <w:rFonts w:ascii="Abadi" w:hAnsi="Abadi" w:cs="Calibri"/>
          <w:bCs/>
          <w:i/>
          <w:sz w:val="21"/>
          <w:szCs w:val="21"/>
          <w:lang w:eastAsia="en-US"/>
        </w:rPr>
        <w:t xml:space="preserve"> En nuestra normativa se distinguen dos tipos de requisitos de elegibilidad, los de carácter positivo y los de carácter negativo. De acuerdo con el TEPJF, los requisitos de carácter positivo son “el conjunto de condiciones que se requieren para poseer la capacidad de ser elegible” como lo son, por ejemplo, el tener 18 años cumplidos o ser mexicana o </w:t>
      </w:r>
      <w:r w:rsidRPr="00947EC7">
        <w:rPr>
          <w:rFonts w:ascii="Abadi" w:hAnsi="Abadi" w:cs="Calibri"/>
          <w:bCs/>
          <w:i/>
          <w:sz w:val="21"/>
          <w:szCs w:val="21"/>
          <w:lang w:eastAsia="en-US"/>
        </w:rPr>
        <w:lastRenderedPageBreak/>
        <w:t>mexicano. Estos requisitos forzosamente deben ser acreditados por las personas que aspiren a una candidatura. Relativo a los requisitos de elegibilidad de carácter negativo, el Tribunal indica que se establecen por la “importancia que revisten los cargos de elección popular, mismos que constituyen la base en la que descansa la representación para el ejercicio de la soberanía del pueblo; de manera tal que normativamente se busca garantizar la idoneidad de las personas que aspiran a ocupar los cargos atinentes a través de ciertas exigencias” y que se pueden hacer efectivos mediante la separación o renuncia al cargo en caso de incumplimiento. Atendiendo al principio de presunción de inocencia establecido en el artículo 20 constitucional, la autoridad debe suponer que, en principio, este tipo de requisitos se satisfacen, y por ello su acreditación es bajo la presunción iuris tantum, lo que quiere decir que son válidos siempre y cuando una tercera persona no señale lo contrario y lo demuestre a través de la presentación de una prueba.</w:t>
      </w:r>
    </w:p>
    <w:p w14:paraId="77462B8B"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p>
    <w:p w14:paraId="5A017BF0"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 Es en este contexto que, desde el 2017 se han estado realizando acciones a nivel nacional con la finalidad de alcanzar la eliminación de la violencia cometida contra las mujeres por razón de género desde el ámbito político-electoral. Ejemplo de ello fue la adhesión que los Partidos Políticos hicieron a la Campaña Internacional #HeForShe, promovida por ONU Mujeres con la finalidad de sumar acciones </w:t>
      </w:r>
      <w:r w:rsidRPr="00947EC7">
        <w:rPr>
          <w:rFonts w:ascii="Abadi" w:hAnsi="Abadi" w:cs="Calibri"/>
          <w:bCs/>
          <w:i/>
          <w:sz w:val="21"/>
          <w:szCs w:val="21"/>
          <w:lang w:eastAsia="en-US"/>
        </w:rPr>
        <w:t>individuales y colectivas para alcanzar la igualdad de género y eliminar cualquier forma de discriminación contra las mujeres</w:t>
      </w:r>
      <w:r w:rsidRPr="00947EC7">
        <w:rPr>
          <w:rStyle w:val="Refdenotaalpie"/>
          <w:rFonts w:ascii="Abadi" w:eastAsia="Calibri" w:hAnsi="Abadi" w:cs="Calibri"/>
          <w:bCs/>
          <w:i/>
          <w:sz w:val="21"/>
          <w:szCs w:val="21"/>
          <w:lang w:eastAsia="en-US"/>
        </w:rPr>
        <w:footnoteReference w:id="137"/>
      </w:r>
      <w:r w:rsidRPr="00947EC7">
        <w:rPr>
          <w:rFonts w:ascii="Abadi" w:hAnsi="Abadi" w:cs="Calibri"/>
          <w:bCs/>
          <w:i/>
          <w:sz w:val="21"/>
          <w:szCs w:val="21"/>
          <w:lang w:eastAsia="en-US"/>
        </w:rPr>
        <w:t>, comprometiéndose a garantizar que las plataformas de los Partidos en el proceso electoral 2017-2018 promovieran los derechos humanos de las mujeres. Desde el 2018, diversos colectivos y organizaciones sociales como Las Constituyentes CDMX Feministas y la Red de Abogadas Violeta, han venido impulsando en nuestro país la conocida iniciativa ciudadana “3 de 3 contra la violencia de género”</w:t>
      </w:r>
      <w:r w:rsidRPr="00947EC7">
        <w:rPr>
          <w:rStyle w:val="Refdenotaalpie"/>
          <w:rFonts w:ascii="Abadi" w:eastAsia="Calibri" w:hAnsi="Abadi" w:cs="Calibri"/>
          <w:bCs/>
          <w:i/>
          <w:sz w:val="21"/>
          <w:szCs w:val="21"/>
          <w:lang w:eastAsia="en-US"/>
        </w:rPr>
        <w:footnoteReference w:id="138"/>
      </w:r>
      <w:r w:rsidRPr="00947EC7">
        <w:rPr>
          <w:rFonts w:ascii="Abadi" w:hAnsi="Abadi" w:cs="Calibri"/>
          <w:bCs/>
          <w:i/>
          <w:sz w:val="21"/>
          <w:szCs w:val="21"/>
          <w:lang w:eastAsia="en-US"/>
        </w:rPr>
        <w:t xml:space="preserve"> con la intención de que los Partidos Políticos adoptaran y demostraran de manera voluntaria su compromiso para erradicar la violencia de género negándoles a los agresores de mujeres, sexuales y deudores alimentarios, la oportunidad de acceder a los cargos de elección popular. Esta iniciativa ciudadana comenzó a rendir frutos en el 2020, año en el que además de haberse publicado la Reforma en materia de violencia política contra las mujeres por razón de género, que incluyó el establecimiento como requisito de elegibilidad a un cargo de elección popular federal no estar condenada o condenado por el delito de violencia política, también se realizó la solicitud formal al Instituto Nacional Electoral (INE), por parte de diversos sectores sociales, organizaciones feministas, mujeres políticas y gobernantes, para que los criterios 3 de 3 contra la violencia de género fueran incorporados en el proceso electoral del 2021 con la finalidad de “elevar los </w:t>
      </w:r>
      <w:r w:rsidRPr="00947EC7">
        <w:rPr>
          <w:rFonts w:ascii="Abadi" w:hAnsi="Abadi" w:cs="Calibri"/>
          <w:bCs/>
          <w:i/>
          <w:sz w:val="21"/>
          <w:szCs w:val="21"/>
          <w:lang w:eastAsia="en-US"/>
        </w:rPr>
        <w:lastRenderedPageBreak/>
        <w:t>estándares de ética y responsabilidad pública, fortaleciendo con ello la consolidación de una cultura democrática y libre de todo tipo de violencia</w:t>
      </w:r>
      <w:r w:rsidRPr="00947EC7">
        <w:rPr>
          <w:rFonts w:ascii="Abadi" w:hAnsi="Abadi"/>
          <w:sz w:val="21"/>
          <w:szCs w:val="21"/>
        </w:rPr>
        <w:footnoteReference w:id="139"/>
      </w:r>
      <w:r w:rsidRPr="00947EC7">
        <w:rPr>
          <w:rFonts w:ascii="Abadi" w:hAnsi="Abadi" w:cs="Calibri"/>
          <w:bCs/>
          <w:i/>
          <w:sz w:val="21"/>
          <w:szCs w:val="21"/>
          <w:lang w:eastAsia="en-US"/>
        </w:rPr>
        <w:t xml:space="preserve"> y que impactó en su incorporación dentro de los “Lineamientos para que los Partidos Políticos Nacionales y, en su caso, los partidos políticos locales prevengan, atiendan, sancionen, reparen y erradiquen la violencia política contra las mujeres en razón de género” emitidos por el INE mediante el acuerdo INE/CG517/2020. Acción que posteriormente sería replicada en las entidades federativas a través de los Organismos Públicos Locales Electorales (OPLES). Sobre lo anterior, cabe señalar, que quien propone la presente iniciativa Diputada Yulma Rocha Aguilar presentó en octubre del 2020, ante el Instituto Electoral del Estado de Guanajuato (IEEG), la solicitud correspondiente para implementar la 3 de 3 contra la violencia de género durante el proceso electoral del 2021, petición que fue atendida con la emisión de los Lineamientos para que los partidos políticos y candidaturas independientes prevengan, atiendan, sancionen, reparen y erradiquen la violencia política contra las mujeres en razón de género.</w:t>
      </w:r>
      <w:r w:rsidRPr="00947EC7">
        <w:rPr>
          <w:rStyle w:val="Refdenotaalpie"/>
          <w:rFonts w:ascii="Abadi" w:eastAsia="Calibri" w:hAnsi="Abadi" w:cs="Calibri"/>
          <w:bCs/>
          <w:i/>
          <w:sz w:val="21"/>
          <w:szCs w:val="21"/>
          <w:lang w:eastAsia="en-US"/>
        </w:rPr>
        <w:footnoteReference w:id="140"/>
      </w:r>
      <w:r w:rsidRPr="00947EC7">
        <w:rPr>
          <w:rFonts w:ascii="Abadi" w:hAnsi="Abadi" w:cs="Calibri"/>
          <w:bCs/>
          <w:i/>
          <w:sz w:val="21"/>
          <w:szCs w:val="21"/>
          <w:lang w:eastAsia="en-US"/>
        </w:rPr>
        <w:t xml:space="preserve"> Sin embargo, y a pesar de que todos los Partidos constantemente tienen en su discurso el compromiso para prevenir y eliminar de la violencia de género, con sus acciones han demostrado que el que se digan </w:t>
      </w:r>
      <w:r w:rsidRPr="00947EC7">
        <w:rPr>
          <w:rFonts w:ascii="Abadi" w:hAnsi="Abadi" w:cs="Calibri"/>
          <w:bCs/>
          <w:i/>
          <w:sz w:val="21"/>
          <w:szCs w:val="21"/>
          <w:lang w:eastAsia="en-US"/>
        </w:rPr>
        <w:t xml:space="preserve">comprometidos con esta causa no garantiza que están dejando de postular y de poner en el poder a nuestros agresores, situación que lamentablemente, siguen haciendo. Prueba de ello, es que en todos los Partidos Políticos podemos detectar agresores que cometieron violencia de género no solamente por ejercer el poder que les otorga el constructo social de la “supremacía masculina”, sino también por hacer uso de su poder político y de sus privilegios: desde Félix Salgado Macedonio, Cuauhtémoc de la Torre, Saul Huerta, entre muchos otros, pues el colectivo </w:t>
      </w:r>
      <w:proofErr w:type="spellStart"/>
      <w:r w:rsidRPr="00947EC7">
        <w:rPr>
          <w:rFonts w:ascii="Abadi" w:hAnsi="Abadi" w:cs="Calibri"/>
          <w:bCs/>
          <w:i/>
          <w:sz w:val="21"/>
          <w:szCs w:val="21"/>
          <w:lang w:eastAsia="en-US"/>
        </w:rPr>
        <w:t>TodasMX</w:t>
      </w:r>
      <w:proofErr w:type="spellEnd"/>
      <w:r w:rsidRPr="00947EC7">
        <w:rPr>
          <w:rFonts w:ascii="Abadi" w:hAnsi="Abadi" w:cs="Calibri"/>
          <w:bCs/>
          <w:i/>
          <w:sz w:val="21"/>
          <w:szCs w:val="21"/>
          <w:lang w:eastAsia="en-US"/>
        </w:rPr>
        <w:t xml:space="preserve"> hizo una recopilación de al menos 78 políticos y candidatos de diferentes partidos políticos que participaron durante el pasado proceso electoral, que han sido acusados por presuntamente haber cometido algún tipo de violencia sexual.</w:t>
      </w:r>
      <w:r w:rsidRPr="00947EC7">
        <w:rPr>
          <w:rStyle w:val="Refdenotaalpie"/>
          <w:rFonts w:ascii="Abadi" w:eastAsia="Calibri" w:hAnsi="Abadi" w:cs="Calibri"/>
          <w:bCs/>
          <w:i/>
          <w:sz w:val="21"/>
          <w:szCs w:val="21"/>
          <w:lang w:eastAsia="en-US"/>
        </w:rPr>
        <w:footnoteReference w:id="141"/>
      </w:r>
      <w:r w:rsidRPr="00947EC7">
        <w:rPr>
          <w:rFonts w:ascii="Abadi" w:hAnsi="Abadi" w:cs="Calibri"/>
          <w:bCs/>
          <w:i/>
          <w:sz w:val="21"/>
          <w:szCs w:val="21"/>
          <w:lang w:eastAsia="en-US"/>
        </w:rPr>
        <w:t xml:space="preserve"> Atendiendo lo establecido en los Tratados Internacionales y en nuestra Constitución, resulta imprescindible que las autoridades e instituciones dejen de normalizar, legitimar, perpetrar y tolerar cualquier acto de violencia de género, por el contrario, es necesario que ya se emita el mensaje de que estas acciones violentas generan consecuencias y se debe hacer todo lo posible para asegurar que las personas agresoras y violentas no puedan acceder a los puestos públicos, en este caso en específico, a los puestos de elección popular. Debido a </w:t>
      </w:r>
      <w:r w:rsidRPr="00947EC7">
        <w:rPr>
          <w:rFonts w:ascii="Abadi" w:hAnsi="Abadi" w:cs="Calibri"/>
          <w:bCs/>
          <w:i/>
          <w:sz w:val="21"/>
          <w:szCs w:val="21"/>
          <w:lang w:eastAsia="en-US"/>
        </w:rPr>
        <w:lastRenderedPageBreak/>
        <w:t>que resulta necesario fortalecer y respaldar legalmente lo establecido en los Lineamientos, es que surge la presente iniciativa, 3 de 3 contra la violencia de género, con la finalidad de que las personas agresoras de mujeres, sexuales y padres irresponsables u olvidadizos no vuelvan a tener la oportunidad de acceder, ejercer o mantenerse en los puestos de toma de elección popular, estableciendo en la Constitución Política Local, dentro de los requisitos de elegibilidad negativos, que las personas que estén condenadas mediante sentencia ejecutoriada, por delitos de violencia política contra las mujeres en razón de género, violencia familiar, contra la libertad sexual, o que estén inscritos en el Registro de Deudores Alimentarios del Estado o de otra entidad federativa, no puedan ser elegibles a los cargos de gobernador/a, diputada/o, presidente municipal o integrante de un Ayuntamiento. (…).»</w:t>
      </w:r>
    </w:p>
    <w:p w14:paraId="05FC9D8D" w14:textId="77777777" w:rsidR="00427BD6" w:rsidRPr="00947EC7" w:rsidRDefault="00427BD6" w:rsidP="00EF7206">
      <w:pPr>
        <w:pStyle w:val="Prrafodelista"/>
        <w:widowControl w:val="0"/>
        <w:tabs>
          <w:tab w:val="left" w:pos="0"/>
        </w:tabs>
        <w:ind w:left="0" w:right="69"/>
        <w:jc w:val="both"/>
        <w:rPr>
          <w:rFonts w:ascii="Abadi" w:eastAsia="Batang" w:hAnsi="Abadi" w:cs="Arial"/>
          <w:sz w:val="21"/>
          <w:szCs w:val="21"/>
        </w:rPr>
      </w:pPr>
    </w:p>
    <w:p w14:paraId="4734EB43" w14:textId="77777777" w:rsidR="00427BD6" w:rsidRPr="00947EC7" w:rsidRDefault="00427BD6" w:rsidP="00EF7206">
      <w:pPr>
        <w:ind w:firstLine="708"/>
        <w:jc w:val="both"/>
        <w:rPr>
          <w:rFonts w:ascii="Abadi" w:hAnsi="Abadi"/>
          <w:sz w:val="21"/>
          <w:szCs w:val="21"/>
        </w:rPr>
      </w:pPr>
      <w:r w:rsidRPr="00947EC7">
        <w:rPr>
          <w:rFonts w:ascii="Abadi" w:hAnsi="Abadi"/>
          <w:sz w:val="21"/>
          <w:szCs w:val="21"/>
        </w:rPr>
        <w:t xml:space="preserve">Quienes iniciaron la segunda propuesta, </w:t>
      </w:r>
      <w:r w:rsidRPr="00947EC7">
        <w:rPr>
          <w:rFonts w:ascii="Arial" w:hAnsi="Arial" w:cs="Arial"/>
          <w:i/>
          <w:iCs/>
          <w:sz w:val="21"/>
          <w:szCs w:val="21"/>
        </w:rPr>
        <w:t>―</w:t>
      </w:r>
      <w:r w:rsidRPr="00947EC7">
        <w:rPr>
          <w:rFonts w:ascii="Abadi" w:hAnsi="Abadi"/>
          <w:i/>
          <w:iCs/>
          <w:sz w:val="21"/>
          <w:szCs w:val="21"/>
        </w:rPr>
        <w:t>referente a la prohibición de contratación de deudores alimentarios</w:t>
      </w:r>
      <w:r w:rsidRPr="00947EC7">
        <w:rPr>
          <w:rFonts w:ascii="Arial" w:hAnsi="Arial" w:cs="Arial"/>
          <w:i/>
          <w:iCs/>
          <w:sz w:val="21"/>
          <w:szCs w:val="21"/>
        </w:rPr>
        <w:t>―</w:t>
      </w:r>
      <w:r w:rsidRPr="00947EC7">
        <w:rPr>
          <w:rFonts w:ascii="Abadi" w:hAnsi="Abadi"/>
          <w:sz w:val="21"/>
          <w:szCs w:val="21"/>
        </w:rPr>
        <w:t xml:space="preserve"> manifestaron en la exposición de motivos que:</w:t>
      </w:r>
    </w:p>
    <w:p w14:paraId="5432364A"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 Los alimentos pueden entenderse como la base por medio de la cual, el ser humano cubre sus necesidades primarias tanto biológica como socialmente. En este sentido, son el medio que garantiza el sano desarrollo de los menores o, en su caso, de los que por circunstancias especiales lo requieren. Así, los alimentos son el derecho que tienen las personas para obtener aquello que es indispensable, no sólo </w:t>
      </w:r>
      <w:r w:rsidRPr="00947EC7">
        <w:rPr>
          <w:rFonts w:ascii="Abadi" w:hAnsi="Abadi" w:cs="Calibri"/>
          <w:bCs/>
          <w:i/>
          <w:sz w:val="21"/>
          <w:szCs w:val="21"/>
          <w:lang w:eastAsia="en-US"/>
        </w:rPr>
        <w:t>para sobrevivir, sino para desarrollarse y vivir con dignidad y calidad de vida.</w:t>
      </w:r>
      <w:r w:rsidRPr="00947EC7">
        <w:rPr>
          <w:rStyle w:val="Refdenotaalpie"/>
          <w:rFonts w:ascii="Abadi" w:eastAsia="Calibri" w:hAnsi="Abadi" w:cs="Calibri"/>
          <w:bCs/>
          <w:i/>
          <w:sz w:val="21"/>
          <w:szCs w:val="21"/>
          <w:lang w:eastAsia="en-US"/>
        </w:rPr>
        <w:footnoteReference w:id="142"/>
      </w:r>
      <w:r w:rsidRPr="00947EC7">
        <w:rPr>
          <w:rFonts w:ascii="Abadi" w:hAnsi="Abadi" w:cs="Calibri"/>
          <w:bCs/>
          <w:i/>
          <w:sz w:val="21"/>
          <w:szCs w:val="21"/>
          <w:lang w:eastAsia="en-US"/>
        </w:rPr>
        <w:t xml:space="preserve"> El derecho de alimentos va más allá de la mera comida, pues como se ha reconocido en el código civil para el Estado de Guanajuato, los alimentos incluyen la comida, pero también el vestido, la habitación, la asistencia en casos de enfermedad, y las expensas necesarias para la educación obligatoria del alimentista.</w:t>
      </w:r>
      <w:r w:rsidRPr="00947EC7">
        <w:rPr>
          <w:rStyle w:val="Refdenotaalpie"/>
          <w:rFonts w:ascii="Abadi" w:eastAsia="Calibri" w:hAnsi="Abadi" w:cs="Calibri"/>
          <w:bCs/>
          <w:i/>
          <w:sz w:val="21"/>
          <w:szCs w:val="21"/>
          <w:lang w:eastAsia="en-US"/>
        </w:rPr>
        <w:footnoteReference w:id="143"/>
      </w:r>
      <w:r w:rsidRPr="00947EC7">
        <w:rPr>
          <w:rFonts w:ascii="Abadi" w:hAnsi="Abadi" w:cs="Calibri"/>
          <w:bCs/>
          <w:i/>
          <w:sz w:val="21"/>
          <w:szCs w:val="21"/>
          <w:lang w:eastAsia="en-US"/>
        </w:rPr>
        <w:t xml:space="preserve"> Una forma de garantizar este derecho es la obligación derivada del principio de solidaridad familiar, tal como lo ha señalado la Suprema Corte de Justicia de la Nación: “los alimentos constituyen un derecho humano fundado en el principio de solidaridad familiar, cuyo fin es generar las mejores posibilidades para que el acreedor se desarrolle adecuadamente”</w:t>
      </w:r>
      <w:r w:rsidRPr="00947EC7">
        <w:rPr>
          <w:rStyle w:val="Refdenotaalpie"/>
          <w:rFonts w:ascii="Abadi" w:eastAsia="Calibri" w:hAnsi="Abadi" w:cs="Calibri"/>
          <w:bCs/>
          <w:i/>
          <w:sz w:val="21"/>
          <w:szCs w:val="21"/>
          <w:lang w:eastAsia="en-US"/>
        </w:rPr>
        <w:footnoteReference w:id="144"/>
      </w:r>
      <w:r w:rsidRPr="00947EC7">
        <w:rPr>
          <w:rFonts w:ascii="Abadi" w:hAnsi="Abadi" w:cs="Calibri"/>
          <w:bCs/>
          <w:i/>
          <w:sz w:val="21"/>
          <w:szCs w:val="21"/>
          <w:lang w:eastAsia="en-US"/>
        </w:rPr>
        <w:t xml:space="preserve"> En este sentido, el principio de solidaridad familiar se despliega en el ámbito de los alimentos como el deber de apoyar a los integrantes de la familia que se encuentran en situación de vulnerabilidad o necesidad. Así, derivado del parentesco se da la existencia de una obligación alimentaria en función de diferentes condiciones; sin embargo, en los hechos, dicha obligación suele incumplirse. El incumplimiento de la pensión o ministración de los alimentos vulnera el bienestar de la niñez y, en la mayoría de las ocasiones, de las mujeres, toda vez que este incumplimiento tiene una dimensión de género: suele suceder que son los hombres quienes no brindan una correcta manutención del menor, dejando a las mujeres con una responsabilidad desigual en la </w:t>
      </w:r>
      <w:r w:rsidRPr="00947EC7">
        <w:rPr>
          <w:rFonts w:ascii="Abadi" w:hAnsi="Abadi" w:cs="Calibri"/>
          <w:bCs/>
          <w:i/>
          <w:sz w:val="21"/>
          <w:szCs w:val="21"/>
          <w:lang w:eastAsia="en-US"/>
        </w:rPr>
        <w:lastRenderedPageBreak/>
        <w:t xml:space="preserve">crianza y desarrollo físico, mental, espiritual, moral y social de los menores en el núcleo familiar. En este sentido, se vulneran al menos dos principios constitucionales: el interés superior de la niñez, y la igualdad y no discriminación. Como lo señala el artículo 4 constitucional, en todas las decisiones y actuaciones el Estado debe velar y cumplir con dicho principio, garantizando de manera plena los derechos de las niñas, niños y adolescentes. Asimismo, el artículo 1 de la Constitución Política de los Estados Unidos Mexicanos reconoce que la igualdad es un derecho humano sostenido en el principio de que todas las personas deben recibir el mismo trato y gozar de los mismos derechos. Así, la no-discriminación es un principio derivado del derecho humano a la igualdad que puede entenderse como el hecho de que ninguna persona pueda ser excluida o restringida del goce de un derecho, ni tratada de forma diferenciada por ninguna razón, incluida la razón de género. Así, surge la necesidad de proteger tanto a las niñas, niños y adolescentes, como a las mujeres, por lo cual, la presente iniciativa busca crear una medida para garantizar que las obligaciones alimentarias no sean incumplidas por los servidores públicos del Estado o quienes aspiren a un cargo de elección popular. Indudablemente la contratación de servidores públicos es un tipo de decisión o actuación del estado que debe observar tanto el interés superior de la niñez como la no discriminación, con lo cual es necesario establecer mecanismos para que, en el proceso de contrataciones, los </w:t>
      </w:r>
      <w:r w:rsidRPr="00947EC7">
        <w:rPr>
          <w:rFonts w:ascii="Abadi" w:hAnsi="Abadi" w:cs="Calibri"/>
          <w:bCs/>
          <w:i/>
          <w:sz w:val="21"/>
          <w:szCs w:val="21"/>
          <w:lang w:eastAsia="en-US"/>
        </w:rPr>
        <w:t xml:space="preserve">nuevos servidores públicos o empleados del estado y municipios no se encuentren en un supuesto de ser deudores alimentarios morosos. </w:t>
      </w:r>
    </w:p>
    <w:p w14:paraId="2559A3A1"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p>
    <w:p w14:paraId="7AE71CCB"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En nuestro marco jurídico, la persona obligada a pagar alimentos, por virtud de medidas provisionales, sentencias o convenios judiciales, que incumpla con la pensión o la ministración de alimentos sin causa justificada por un período de noventa días, se convierte en deudor alimentario.</w:t>
      </w:r>
      <w:r w:rsidRPr="00947EC7">
        <w:rPr>
          <w:rStyle w:val="Refdenotaalpie"/>
          <w:rFonts w:ascii="Abadi" w:eastAsia="Calibri" w:hAnsi="Abadi" w:cs="Calibri"/>
          <w:bCs/>
          <w:i/>
          <w:sz w:val="21"/>
          <w:szCs w:val="21"/>
          <w:lang w:eastAsia="en-US"/>
        </w:rPr>
        <w:footnoteReference w:id="145"/>
      </w:r>
      <w:r w:rsidRPr="00947EC7">
        <w:rPr>
          <w:rFonts w:ascii="Abadi" w:hAnsi="Abadi" w:cs="Calibri"/>
          <w:bCs/>
          <w:i/>
          <w:sz w:val="21"/>
          <w:szCs w:val="21"/>
          <w:lang w:eastAsia="en-US"/>
        </w:rPr>
        <w:t xml:space="preserve"> Sobre este tema, se han dado avances importantes, mediante reformas como la aprobada el 17 de junio de 2021 para establecer un Registro Estatal de Deudores Alimentarios, que ya se encuentra funcionando. Asimismo, se han puesto sobre la mesa iniciativas importantes por parte de las legisladoras de la Bancada Feminista, tales como el 3 de 3 contra la violencia de género; y la iniciativa presentada sobre los requisitos para ser Diputada, Diputado, Gobernadora, Gobernador del Estado o miembro de un Ayuntamiento. Si bien estos avances son importantes, es necesario ampliar el alcance de las propuestas para todos los servidores públicos del estado de Guanajuato, además de impactar la Constitución Política Local. En entidades como Yucatán o Hidalgo ya se comenzó a regular en este sentido; así, en el Estado de Guanajuato existe un área de oportunidad para conseguir que los servidores públicos o empleados al servicio del Estado no sean deudores alimentarios morosos. Con esto, a su vez, se contribuye a garantizar el interés superior de la niñez y la no discriminación en razón de </w:t>
      </w:r>
      <w:r w:rsidRPr="00947EC7">
        <w:rPr>
          <w:rFonts w:ascii="Abadi" w:hAnsi="Abadi" w:cs="Calibri"/>
          <w:bCs/>
          <w:i/>
          <w:sz w:val="21"/>
          <w:szCs w:val="21"/>
          <w:lang w:eastAsia="en-US"/>
        </w:rPr>
        <w:lastRenderedPageBreak/>
        <w:t>género. De la misma manera, en el caso de quienes quieran postularse a cargos de elección popular, consideramos que nuestra propuesta serviría como un incentivo para el cumplimiento de la obligación del pago de alimentos, abonando con ello a la garantía del derecho a la alimentación. En suma, la presente iniciativa propone incorporar constitucionalmente la obligación de que el estado y los municipios se abstengan de contratar como servidores públicos o empleados a personas que sean deudores alimentarios declarados judicialmente. Además, proponemos suspender la prerrogativa consistente en la posibilidad de ser votados para los cargos de elección popular. Ambas medidas con la finalidad de fortalecer los mecanismos que actualmente existen en nuestra legislación a fin de garantizar el derecho humano a la alimentación, así como el interés superior de la niñez. (…)</w:t>
      </w:r>
    </w:p>
    <w:p w14:paraId="0F4898A0" w14:textId="77777777" w:rsidR="00427BD6" w:rsidRPr="00947EC7" w:rsidRDefault="00427BD6" w:rsidP="00EF7206">
      <w:pPr>
        <w:ind w:firstLine="708"/>
        <w:jc w:val="both"/>
        <w:rPr>
          <w:rFonts w:ascii="Abadi" w:hAnsi="Abadi"/>
          <w:sz w:val="21"/>
          <w:szCs w:val="21"/>
          <w:highlight w:val="yellow"/>
        </w:rPr>
      </w:pPr>
    </w:p>
    <w:p w14:paraId="6F13F5C8" w14:textId="77777777" w:rsidR="00427BD6" w:rsidRPr="00947EC7" w:rsidRDefault="00427BD6" w:rsidP="00EF7206">
      <w:pPr>
        <w:ind w:firstLine="708"/>
        <w:jc w:val="both"/>
        <w:rPr>
          <w:rFonts w:ascii="Abadi" w:hAnsi="Abadi"/>
          <w:sz w:val="21"/>
          <w:szCs w:val="21"/>
        </w:rPr>
      </w:pPr>
      <w:r w:rsidRPr="00947EC7">
        <w:rPr>
          <w:rFonts w:ascii="Abadi" w:hAnsi="Abadi"/>
          <w:sz w:val="21"/>
          <w:szCs w:val="21"/>
        </w:rPr>
        <w:t>Coincidimos con las y los iniciantes de la tercera propuesta, además de lo dispuesto en el artículo 209 de la Ley Orgánica del Poder Legislativo, en lo expuesto en la exposición de motivos al referir que:</w:t>
      </w:r>
    </w:p>
    <w:p w14:paraId="6BC8FAAE" w14:textId="77777777" w:rsidR="00427BD6" w:rsidRPr="00947EC7" w:rsidRDefault="00427BD6" w:rsidP="00EF7206">
      <w:pPr>
        <w:ind w:left="1134"/>
        <w:jc w:val="both"/>
        <w:rPr>
          <w:rFonts w:ascii="Abadi" w:hAnsi="Abadi" w:cs="Calibri"/>
          <w:bCs/>
          <w:i/>
          <w:sz w:val="21"/>
          <w:szCs w:val="21"/>
        </w:rPr>
      </w:pPr>
      <w:r w:rsidRPr="00947EC7">
        <w:rPr>
          <w:rFonts w:ascii="Abadi" w:hAnsi="Abadi" w:cs="Calibri"/>
          <w:bCs/>
          <w:i/>
          <w:sz w:val="21"/>
          <w:szCs w:val="21"/>
        </w:rPr>
        <w:t xml:space="preserve">(…) La violencia contra la mujer es una de las violaciones más generalizadas de los derechos humanos en el mundo. Se producen muchos casos cada día en todos los rincones del planeta. Este tipo de violencia tiene graves consecuencias físicas, económicas y psicológicas sobre las mujeres y las niñas, tanto a corto como a largo plazo, al impedirles participar plenamente y en pie de igualdad en la sociedad. La magnitud de este impacto, tanto en la vida de las </w:t>
      </w:r>
      <w:r w:rsidRPr="00947EC7">
        <w:rPr>
          <w:rFonts w:ascii="Abadi" w:hAnsi="Abadi" w:cs="Calibri"/>
          <w:bCs/>
          <w:i/>
          <w:sz w:val="21"/>
          <w:szCs w:val="21"/>
        </w:rPr>
        <w:t>personas y familias como de la sociedad en su conjunto, es inmensa. Las condiciones que ha creado la pandemia –confinamientos, restricciones a la movilidad, mayor aislamiento, estrés e incertidumbre económica– han provocado un incremento alarmante de la violencia contra mujeres y niñas en el ámbito privado y han expuesto todavía más a las mujeres y las niñas a otras formas de violencia, desde el matrimonio infantil hasta el acoso sexual en línea.</w:t>
      </w:r>
      <w:r w:rsidRPr="00947EC7">
        <w:rPr>
          <w:rStyle w:val="Refdenotaalpie"/>
          <w:rFonts w:ascii="Abadi" w:eastAsia="Calibri" w:hAnsi="Abadi" w:cs="Calibri"/>
          <w:bCs/>
          <w:i/>
          <w:sz w:val="21"/>
          <w:szCs w:val="21"/>
        </w:rPr>
        <w:footnoteReference w:id="146"/>
      </w:r>
      <w:r w:rsidRPr="00947EC7">
        <w:rPr>
          <w:rFonts w:ascii="Abadi" w:hAnsi="Abadi" w:cs="Calibri"/>
          <w:bCs/>
          <w:i/>
          <w:sz w:val="21"/>
          <w:szCs w:val="21"/>
        </w:rPr>
        <w:t xml:space="preserve"> Las diputadas y los diputados que hoy nos conformamos en calidad de iniciantes, sabemos que la violencia de género se refiere a los actos dañinos dirigidos contra una persona o un grupo de personas en razón de su género. Tiene su origen en la desigualdad de género, el abuso de poder y la existencia de normas dañinas. El término se utiliza principalmente para subrayar el hecho de que las diferencias estructurales de poder basadas en el género colocan a las mujeres y niñas en situación de riesgo frente a múltiples formas de violencia. Si bien las mujeres y niñas sufren violencia de género de manera desproporcionada, los hombres y los niños también pueden ser blanco de ella.</w:t>
      </w:r>
      <w:r w:rsidRPr="00947EC7">
        <w:rPr>
          <w:rStyle w:val="Refdenotaalpie"/>
          <w:rFonts w:ascii="Abadi" w:eastAsia="Calibri" w:hAnsi="Abadi" w:cs="Calibri"/>
          <w:bCs/>
          <w:i/>
          <w:sz w:val="21"/>
          <w:szCs w:val="21"/>
        </w:rPr>
        <w:footnoteReference w:id="147"/>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En ese sentido, la violencia contra las mujeres y niñas abarca, con carácter no limitativo, la violencia física, sexual y psicológica que se produce en el seno de la familia o de la comunidad, así como la perpetrada o tolerada por el Estado.</w:t>
      </w:r>
      <w:r w:rsidRPr="00947EC7">
        <w:rPr>
          <w:rStyle w:val="Refdenotaalpie"/>
          <w:rFonts w:ascii="Abadi" w:eastAsia="Calibri" w:hAnsi="Abadi" w:cs="Calibri"/>
          <w:bCs/>
          <w:i/>
          <w:sz w:val="21"/>
          <w:szCs w:val="21"/>
        </w:rPr>
        <w:footnoteReference w:id="148"/>
      </w:r>
      <w:r w:rsidRPr="00947EC7">
        <w:rPr>
          <w:rStyle w:val="Refdenotaalpie"/>
          <w:rFonts w:ascii="Abadi" w:eastAsia="Calibri" w:hAnsi="Abadi" w:cs="Calibri"/>
          <w:bCs/>
          <w:i/>
          <w:sz w:val="21"/>
          <w:szCs w:val="21"/>
        </w:rPr>
        <w:t xml:space="preserve"> </w:t>
      </w:r>
      <w:r w:rsidRPr="00947EC7">
        <w:rPr>
          <w:rFonts w:ascii="Abadi" w:hAnsi="Abadi" w:cs="Calibri"/>
          <w:bCs/>
          <w:i/>
          <w:sz w:val="21"/>
          <w:szCs w:val="21"/>
        </w:rPr>
        <w:t xml:space="preserve">Las Naciones Unidas definen la violencia contra la mujer como todo acto de violencia de género que resulte, o pueda tener como resultado un daño físico, sexual o psicológico para la mujer, inclusive las </w:t>
      </w:r>
      <w:r w:rsidRPr="00947EC7">
        <w:rPr>
          <w:rFonts w:ascii="Abadi" w:hAnsi="Abadi" w:cs="Calibri"/>
          <w:bCs/>
          <w:i/>
          <w:sz w:val="21"/>
          <w:szCs w:val="21"/>
        </w:rPr>
        <w:lastRenderedPageBreak/>
        <w:t>amenazas de tales actos, la coacción o la privación arbitraria de libertad, tanto si se producen en la vida pública como en la privada.</w:t>
      </w:r>
      <w:r w:rsidRPr="00947EC7">
        <w:rPr>
          <w:rStyle w:val="Refdenotaalpie"/>
          <w:rFonts w:ascii="Abadi" w:eastAsia="Calibri" w:hAnsi="Abadi" w:cs="Calibri"/>
          <w:bCs/>
          <w:i/>
          <w:sz w:val="21"/>
          <w:szCs w:val="21"/>
        </w:rPr>
        <w:footnoteReference w:id="149"/>
      </w:r>
      <w:r w:rsidRPr="00947EC7">
        <w:rPr>
          <w:rFonts w:ascii="Abadi" w:hAnsi="Abadi" w:cs="Calibri"/>
          <w:bCs/>
          <w:i/>
          <w:sz w:val="21"/>
          <w:szCs w:val="21"/>
        </w:rPr>
        <w:t xml:space="preserve"> En ese sentido, la Ley de Acceso de las Mujeres a Una Vida Libre de Violencia para el Estado de Guanajuato</w:t>
      </w:r>
      <w:r w:rsidRPr="00947EC7">
        <w:rPr>
          <w:rStyle w:val="Refdenotaalpie"/>
          <w:rFonts w:ascii="Abadi" w:eastAsia="Calibri" w:hAnsi="Abadi" w:cs="Calibri"/>
          <w:bCs/>
          <w:i/>
          <w:sz w:val="21"/>
          <w:szCs w:val="21"/>
        </w:rPr>
        <w:footnoteReference w:id="150"/>
      </w:r>
      <w:r w:rsidRPr="00947EC7">
        <w:rPr>
          <w:rFonts w:ascii="Abadi" w:hAnsi="Abadi" w:cs="Calibri"/>
          <w:bCs/>
          <w:i/>
          <w:sz w:val="21"/>
          <w:szCs w:val="21"/>
        </w:rPr>
        <w:t>,</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que armoniza con la Ley General, actualmente reconoce dieciséis tipos de violencia que se ejercen contra las mujeres por razón de género, siendo estas, las violencias psicológica, física, patrimonial económica, sexual, laboral, docente, obstétrica, feminicida, política, por acoso, digital, institucional, simbólica, mediática y vicaria los cuales, se pueden presentar en diversas modalidades y ámbitos de la vida tanto públicos como privados, entre los que se encuentran el ámbito familiar y político, mismos que por su relevancia, frecuencia y gravedad, incluso algunos están tipificados como delitos dentro del Código Penal del Estado de Guanajuato, así como también sucede con los delitos contra la libertad sexual, dentro los que se contemplan aquellos actos de contenido sexual que amenazan, degradan, dañan el cuerpo o la sexualidad de la víctima, atentando contra su libertad, dignidad, seguridad sexual o integridad física e implicando el abuso de poder y la supremacía sobre ella, al denigrarla y concebirla como objeto, como sucede con los casos de violación, estupro, abusos sexuales, acoso y hostigamiento sexual, afectación a la intimidad y captación de menores. En el año 2017, el Comité de la CEDAW emitió la recomendación general </w:t>
      </w:r>
      <w:r w:rsidRPr="00947EC7">
        <w:rPr>
          <w:rFonts w:ascii="Abadi" w:hAnsi="Abadi" w:cs="Calibri"/>
          <w:bCs/>
          <w:i/>
          <w:sz w:val="21"/>
          <w:szCs w:val="21"/>
        </w:rPr>
        <w:t>número 35, en la que además de reconocer la violencia por razón de género contra las mujeres constituye un grave obstáculo para lograr una igualdad sustantiva entre mujeres y hombres, y hacer factible el disfrute por parte de la mujer de sus derechos y libertades fundamentales, también recomienda adoptar y aplicar medidas legislativas preventivas adecuadas para abordar las causas subyacentes de la violencia por razón de género contra la mujer y aplicar medidas eficaces para abordar y erradicar los estereotipos, los prejuicios, las costumbres y las prácticas, que consienten o promueven la desigualdad y violencia por razón de género.</w:t>
      </w:r>
      <w:r w:rsidRPr="00947EC7">
        <w:rPr>
          <w:rStyle w:val="Refdenotaalpie"/>
          <w:rFonts w:ascii="Abadi" w:eastAsia="Calibri" w:hAnsi="Abadi" w:cs="Calibri"/>
          <w:bCs/>
          <w:i/>
          <w:sz w:val="21"/>
          <w:szCs w:val="21"/>
        </w:rPr>
        <w:footnoteReference w:id="151"/>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Particularmente, en los sistemas gubernamentales con regímenes democráticos, es indispensable que quienes acceden a cargos públicos, en este caso, a cargos de elección popular, tanto por su naturaleza representativa como por las altas responsabilidades que conllevan, actúen en todo momento promoviendo, respetando, protegiendo y garantizando los derechos humanos y procurando la erradicación la violencia.</w:t>
      </w:r>
    </w:p>
    <w:p w14:paraId="1845DD53" w14:textId="77777777" w:rsidR="00427BD6" w:rsidRPr="00947EC7" w:rsidRDefault="00427BD6" w:rsidP="00EF7206">
      <w:pPr>
        <w:ind w:left="1134"/>
        <w:jc w:val="both"/>
        <w:rPr>
          <w:rFonts w:ascii="Abadi" w:hAnsi="Abadi" w:cs="Calibri"/>
          <w:bCs/>
          <w:i/>
          <w:sz w:val="21"/>
          <w:szCs w:val="21"/>
        </w:rPr>
      </w:pPr>
    </w:p>
    <w:p w14:paraId="4B487339" w14:textId="77777777" w:rsidR="00427BD6" w:rsidRPr="00947EC7" w:rsidRDefault="00427BD6" w:rsidP="00EF7206">
      <w:pPr>
        <w:ind w:left="1134"/>
        <w:jc w:val="both"/>
        <w:rPr>
          <w:rFonts w:ascii="Abadi" w:hAnsi="Abadi" w:cs="Calibri"/>
          <w:bCs/>
          <w:i/>
          <w:sz w:val="21"/>
          <w:szCs w:val="21"/>
        </w:rPr>
      </w:pPr>
      <w:r w:rsidRPr="00947EC7">
        <w:rPr>
          <w:rFonts w:ascii="Abadi" w:hAnsi="Abadi" w:cs="Calibri"/>
          <w:bCs/>
          <w:i/>
          <w:sz w:val="21"/>
          <w:szCs w:val="21"/>
        </w:rPr>
        <w:t xml:space="preserve">Ahora, y dentro de este contexto es importante referir al principio del interés superior del niño o niña, </w:t>
      </w:r>
      <w:r w:rsidRPr="00947EC7">
        <w:rPr>
          <w:rFonts w:ascii="Arial" w:hAnsi="Arial" w:cs="Arial"/>
          <w:bCs/>
          <w:i/>
          <w:sz w:val="21"/>
          <w:szCs w:val="21"/>
        </w:rPr>
        <w:t>―</w:t>
      </w:r>
      <w:r w:rsidRPr="00947EC7">
        <w:rPr>
          <w:rFonts w:ascii="Abadi" w:hAnsi="Abadi" w:cs="Calibri"/>
          <w:bCs/>
          <w:i/>
          <w:sz w:val="21"/>
          <w:szCs w:val="21"/>
        </w:rPr>
        <w:t>en este acto legislativo</w:t>
      </w:r>
      <w:r w:rsidRPr="00947EC7">
        <w:rPr>
          <w:rFonts w:ascii="Arial" w:hAnsi="Arial" w:cs="Arial"/>
          <w:bCs/>
          <w:i/>
          <w:sz w:val="21"/>
          <w:szCs w:val="21"/>
        </w:rPr>
        <w:t>―</w:t>
      </w:r>
      <w:r w:rsidRPr="00947EC7">
        <w:rPr>
          <w:rFonts w:ascii="Abadi" w:hAnsi="Abadi" w:cs="Calibri"/>
          <w:bCs/>
          <w:i/>
          <w:sz w:val="21"/>
          <w:szCs w:val="21"/>
        </w:rPr>
        <w:t xml:space="preserve"> tambi</w:t>
      </w:r>
      <w:r w:rsidRPr="00947EC7">
        <w:rPr>
          <w:rFonts w:ascii="Abadi" w:hAnsi="Abadi" w:cs="Abadi"/>
          <w:bCs/>
          <w:i/>
          <w:sz w:val="21"/>
          <w:szCs w:val="21"/>
        </w:rPr>
        <w:t>é</w:t>
      </w:r>
      <w:r w:rsidRPr="00947EC7">
        <w:rPr>
          <w:rFonts w:ascii="Abadi" w:hAnsi="Abadi" w:cs="Calibri"/>
          <w:bCs/>
          <w:i/>
          <w:sz w:val="21"/>
          <w:szCs w:val="21"/>
        </w:rPr>
        <w:t>n conocido como el inter</w:t>
      </w:r>
      <w:r w:rsidRPr="00947EC7">
        <w:rPr>
          <w:rFonts w:ascii="Abadi" w:hAnsi="Abadi" w:cs="Abadi"/>
          <w:bCs/>
          <w:i/>
          <w:sz w:val="21"/>
          <w:szCs w:val="21"/>
        </w:rPr>
        <w:t>é</w:t>
      </w:r>
      <w:r w:rsidRPr="00947EC7">
        <w:rPr>
          <w:rFonts w:ascii="Abadi" w:hAnsi="Abadi" w:cs="Calibri"/>
          <w:bCs/>
          <w:i/>
          <w:sz w:val="21"/>
          <w:szCs w:val="21"/>
        </w:rPr>
        <w:t>s superior del</w:t>
      </w:r>
      <w:r w:rsidRPr="00947EC7">
        <w:rPr>
          <w:rFonts w:ascii="Abadi" w:hAnsi="Abadi" w:cs="Abadi"/>
          <w:bCs/>
          <w:i/>
          <w:sz w:val="21"/>
          <w:szCs w:val="21"/>
        </w:rPr>
        <w:t> </w:t>
      </w:r>
      <w:hyperlink r:id="rId50" w:tooltip="menor" w:history="1">
        <w:r w:rsidRPr="00947EC7">
          <w:rPr>
            <w:rFonts w:ascii="Abadi" w:hAnsi="Abadi" w:cs="Calibri"/>
            <w:bCs/>
            <w:i/>
            <w:sz w:val="21"/>
            <w:szCs w:val="21"/>
          </w:rPr>
          <w:t>menor</w:t>
        </w:r>
      </w:hyperlink>
      <w:r w:rsidRPr="00947EC7">
        <w:rPr>
          <w:rFonts w:ascii="Abadi" w:hAnsi="Abadi" w:cs="Calibri"/>
          <w:bCs/>
          <w:i/>
          <w:sz w:val="21"/>
          <w:szCs w:val="21"/>
        </w:rPr>
        <w:t>, siendo este un conjunto de acciones y procesos tendentes a garantizar un </w:t>
      </w:r>
      <w:hyperlink r:id="rId51" w:tooltip="desarrollo" w:history="1">
        <w:r w:rsidRPr="00947EC7">
          <w:rPr>
            <w:rFonts w:ascii="Abadi" w:hAnsi="Abadi" w:cs="Calibri"/>
            <w:bCs/>
            <w:i/>
            <w:sz w:val="21"/>
            <w:szCs w:val="21"/>
          </w:rPr>
          <w:t>desarrollo</w:t>
        </w:r>
      </w:hyperlink>
      <w:r w:rsidRPr="00947EC7">
        <w:rPr>
          <w:rFonts w:ascii="Abadi" w:hAnsi="Abadi" w:cs="Calibri"/>
          <w:bCs/>
          <w:i/>
          <w:sz w:val="21"/>
          <w:szCs w:val="21"/>
        </w:rPr>
        <w:t> integral y una</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vida digna, así como las condiciones materiales y afectivas que </w:t>
      </w:r>
      <w:r w:rsidRPr="00947EC7">
        <w:rPr>
          <w:rFonts w:ascii="Abadi" w:hAnsi="Abadi" w:cs="Calibri"/>
          <w:bCs/>
          <w:i/>
          <w:sz w:val="21"/>
          <w:szCs w:val="21"/>
        </w:rPr>
        <w:lastRenderedPageBreak/>
        <w:t>permitan vivir plenamente y alcanzar el máximo de bienestar posible a las y los menores. Se trata de una garantía de que los menores tienen derecho a que, antes de tomar una medida respecto de ellos, se adopten aquellas que promuevan y protejan sus derechos y no las que los conculquen. Así, se tratan de superar dos posiciones extremas: el autoritarismo o abuso del poder que ocurre cuando se toman decisiones referidas a menores, por un lado, y</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el paternalismo de las autoridades, por otro. El interés superior del menor es un concepto triple: es un derecho, un principio y una norma de procedimiento. Se trata del derecho del menor a que su interés superior sea una consideración que</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prime al sopesar distintos intereses para decidir sobre una cuestión que le afecta. Es un principio porque, si una disposición jurídica admite más de una</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interpretación, se elegirá la interpretación que satisfaga de manera más efectiva el interés superior del niño o niña. Es una norma de procedimiento ya que, siempre que se deba tomar una decisión que afecte a menores, el proceso deberá incluir una estimación de las posibles repercusiones de esa decisión en las y los menores interesados. La evaluación y determinación de su interés superior requerirá las garantías procesales.</w:t>
      </w:r>
      <w:r w:rsidRPr="00947EC7">
        <w:rPr>
          <w:rStyle w:val="Refdenotaalpie"/>
          <w:rFonts w:ascii="Abadi" w:eastAsia="Calibri" w:hAnsi="Abadi" w:cs="Calibri"/>
          <w:bCs/>
          <w:i/>
          <w:sz w:val="21"/>
          <w:szCs w:val="21"/>
        </w:rPr>
        <w:footnoteReference w:id="152"/>
      </w:r>
      <w:r w:rsidRPr="00947EC7">
        <w:rPr>
          <w:rFonts w:ascii="Abadi" w:hAnsi="Abadi" w:cs="Calibri"/>
          <w:bCs/>
          <w:i/>
          <w:sz w:val="21"/>
          <w:szCs w:val="21"/>
        </w:rPr>
        <w:t xml:space="preserve"> En ese sentido, el artículo 4o. de la Constitución Política de los Estados Unidos Mexicanos,</w:t>
      </w:r>
      <w:r w:rsidRPr="00947EC7">
        <w:rPr>
          <w:rStyle w:val="Refdenotaalpie"/>
          <w:rFonts w:ascii="Abadi" w:eastAsia="Calibri" w:hAnsi="Abadi" w:cs="Calibri"/>
          <w:bCs/>
          <w:i/>
          <w:sz w:val="21"/>
          <w:szCs w:val="21"/>
        </w:rPr>
        <w:footnoteReference w:id="153"/>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determina que todos los menores desde que nacen tienen derecho a la satisfacción de sus necesidades de alimentación, salud, educación, sano esparcimiento y buena formación para su pleno </w:t>
      </w:r>
      <w:r w:rsidRPr="00947EC7">
        <w:rPr>
          <w:rFonts w:ascii="Abadi" w:hAnsi="Abadi" w:cs="Calibri"/>
          <w:bCs/>
          <w:i/>
          <w:sz w:val="21"/>
          <w:szCs w:val="21"/>
        </w:rPr>
        <w:t xml:space="preserve">desarrollo físico, intelectual y emocional. Es decir, se establece la preponderancia del bienestar físico, mental y emocional de la niñez antes cualquier toma de decisión que los afecte. </w:t>
      </w:r>
      <w:r w:rsidRPr="00947EC7">
        <w:rPr>
          <w:rFonts w:ascii="Arial" w:hAnsi="Arial" w:cs="Arial"/>
          <w:bCs/>
          <w:i/>
          <w:sz w:val="21"/>
          <w:szCs w:val="21"/>
        </w:rPr>
        <w:t>―</w:t>
      </w:r>
      <w:r w:rsidRPr="00947EC7">
        <w:rPr>
          <w:rFonts w:ascii="Abadi" w:hAnsi="Abadi" w:cs="Calibri"/>
          <w:bCs/>
          <w:i/>
          <w:sz w:val="21"/>
          <w:szCs w:val="21"/>
        </w:rPr>
        <w:t>Reafirma a las ni</w:t>
      </w:r>
      <w:r w:rsidRPr="00947EC7">
        <w:rPr>
          <w:rFonts w:ascii="Abadi" w:hAnsi="Abadi" w:cs="Abadi"/>
          <w:bCs/>
          <w:i/>
          <w:sz w:val="21"/>
          <w:szCs w:val="21"/>
        </w:rPr>
        <w:t>ñ</w:t>
      </w:r>
      <w:r w:rsidRPr="00947EC7">
        <w:rPr>
          <w:rFonts w:ascii="Abadi" w:hAnsi="Abadi" w:cs="Calibri"/>
          <w:bCs/>
          <w:i/>
          <w:sz w:val="21"/>
          <w:szCs w:val="21"/>
        </w:rPr>
        <w:t>as,</w:t>
      </w:r>
      <w:r w:rsidRPr="00947EC7">
        <w:rPr>
          <w:rFonts w:ascii="Abadi" w:hAnsi="Abadi" w:cs="Abadi"/>
          <w:bCs/>
          <w:i/>
          <w:sz w:val="21"/>
          <w:szCs w:val="21"/>
        </w:rPr>
        <w:t> </w:t>
      </w:r>
      <w:r w:rsidRPr="00947EC7">
        <w:rPr>
          <w:rFonts w:ascii="Abadi" w:hAnsi="Abadi" w:cs="Calibri"/>
          <w:bCs/>
          <w:i/>
          <w:sz w:val="21"/>
          <w:szCs w:val="21"/>
        </w:rPr>
        <w:t>ni</w:t>
      </w:r>
      <w:r w:rsidRPr="00947EC7">
        <w:rPr>
          <w:rFonts w:ascii="Abadi" w:hAnsi="Abadi" w:cs="Abadi"/>
          <w:bCs/>
          <w:i/>
          <w:sz w:val="21"/>
          <w:szCs w:val="21"/>
        </w:rPr>
        <w:t>ñ</w:t>
      </w:r>
      <w:r w:rsidRPr="00947EC7">
        <w:rPr>
          <w:rFonts w:ascii="Abadi" w:hAnsi="Abadi" w:cs="Calibri"/>
          <w:bCs/>
          <w:i/>
          <w:sz w:val="21"/>
          <w:szCs w:val="21"/>
        </w:rPr>
        <w:t>os</w:t>
      </w:r>
      <w:r w:rsidRPr="00947EC7">
        <w:rPr>
          <w:rFonts w:ascii="Abadi" w:hAnsi="Abadi" w:cs="Abadi"/>
          <w:bCs/>
          <w:i/>
          <w:sz w:val="21"/>
          <w:szCs w:val="21"/>
        </w:rPr>
        <w:t> </w:t>
      </w:r>
      <w:r w:rsidRPr="00947EC7">
        <w:rPr>
          <w:rFonts w:ascii="Abadi" w:hAnsi="Abadi" w:cs="Calibri"/>
          <w:bCs/>
          <w:i/>
          <w:sz w:val="21"/>
          <w:szCs w:val="21"/>
        </w:rPr>
        <w:t>y adolescentes como sujetos titulares de derechos que devengan en un desarrollo integral y pleno</w:t>
      </w:r>
      <w:r w:rsidRPr="00947EC7">
        <w:rPr>
          <w:rFonts w:ascii="Arial" w:hAnsi="Arial" w:cs="Arial"/>
          <w:bCs/>
          <w:i/>
          <w:sz w:val="21"/>
          <w:szCs w:val="21"/>
        </w:rPr>
        <w:t>―</w:t>
      </w:r>
      <w:r w:rsidRPr="00947EC7">
        <w:rPr>
          <w:rFonts w:ascii="Abadi" w:hAnsi="Abadi" w:cs="Calibri"/>
          <w:bCs/>
          <w:i/>
          <w:sz w:val="21"/>
          <w:szCs w:val="21"/>
        </w:rPr>
        <w:t xml:space="preserve">. La presente iniciativa de reformas constitucionales, que se presenta precisamente persigue institucionalizar en nuestro Estado nuevos esquemas, los cuales en síntesis consisten en establecer mecanismos preventivos, como requisitos de elegibilidad, para procurar que quienes posean perfil agresivo, violento o irresponsable no accedan a los puestos de decisión públicos ni a los cargos de elección popular, comisiones o empleos, que de manera armónica y sistemática vengan a consolidar ese objetivo, plasmado en la Minuta Proyecto de Decreto que reforma los artículos 38 y 102 de la Constitución Política de los Estados Unidos Mexicanos, que remitió la Cámara de Senadores del Congreso de la Unión del 4 de mayo de 2023 y que en pocos días debe hacerse la declaratoria correspondiente para iniciar su vigencia una vez publicado el decreto legislativo en el Diario Oficial de la Federación. </w:t>
      </w:r>
    </w:p>
    <w:p w14:paraId="357922C8" w14:textId="77777777" w:rsidR="00427BD6" w:rsidRPr="00947EC7" w:rsidRDefault="00427BD6" w:rsidP="00EF7206">
      <w:pPr>
        <w:ind w:firstLine="708"/>
        <w:jc w:val="both"/>
        <w:rPr>
          <w:rFonts w:ascii="Abadi" w:eastAsia="DejaVu Sans" w:hAnsi="Abadi" w:cs="Tahoma"/>
          <w:iCs/>
          <w:kern w:val="1"/>
          <w:sz w:val="21"/>
          <w:szCs w:val="21"/>
          <w:lang w:eastAsia="ar-SA"/>
        </w:rPr>
      </w:pPr>
    </w:p>
    <w:p w14:paraId="03381AAB" w14:textId="77777777" w:rsidR="00427BD6" w:rsidRPr="00947EC7" w:rsidRDefault="00427BD6" w:rsidP="00EF7206">
      <w:pPr>
        <w:ind w:left="1134"/>
        <w:jc w:val="both"/>
        <w:rPr>
          <w:rFonts w:ascii="Abadi" w:hAnsi="Abadi" w:cs="Calibri"/>
          <w:bCs/>
          <w:i/>
          <w:sz w:val="21"/>
          <w:szCs w:val="21"/>
        </w:rPr>
      </w:pPr>
      <w:r w:rsidRPr="00947EC7">
        <w:rPr>
          <w:rFonts w:ascii="Abadi" w:hAnsi="Abadi" w:cs="Calibri"/>
          <w:bCs/>
          <w:i/>
          <w:sz w:val="21"/>
          <w:szCs w:val="21"/>
        </w:rPr>
        <w:t xml:space="preserve">Así también, la iniciativa que nos ocupa tiene como otra finalidad esencial, el fortalecimiento institucional, como una medida que persigue, tal y como se postula en líneas anteriores, el contar con estructuras sólidas, especializadas y dinámicas acordes a los nuevos tiempos y alineadas a los ordenamientos </w:t>
      </w:r>
      <w:r w:rsidRPr="00947EC7">
        <w:rPr>
          <w:rFonts w:ascii="Abadi" w:hAnsi="Abadi" w:cs="Calibri"/>
          <w:bCs/>
          <w:i/>
          <w:sz w:val="21"/>
          <w:szCs w:val="21"/>
        </w:rPr>
        <w:lastRenderedPageBreak/>
        <w:t xml:space="preserve">constitucionales que vistan de principal protección de derechos humanos, principalmente sobre el principio de interés superior de la niñez, entre otros.  Estamos ciertos que la presente iniciativa de reformas y adiciones a la Constitución Local busca establecer un camino claro en el Estado para fortalecer y generar un impacto social más contundente de la eliminación de violencia de género y el respeto al principio de interés superior de la niñez, como premisas básicas de todo Estado de Derecho moderno democrático que se precie de serlo. Quienes hoy somos iniciantes, nos manifestamos en estar de acuerdo en la necesidad de contar con servidores públicos cuyo modo honesto de vivir se refleje en su actuar público, resultando necesario procurar contar con los mejores elementos cuya congruencia se refleje en el desarrollo de sus actividades a favor de la sociedad y protección de los derechos de las mujeres y la niñez de Guanajuato; evitando que servidores públicos </w:t>
      </w:r>
      <w:r w:rsidRPr="00947EC7">
        <w:rPr>
          <w:rFonts w:ascii="Arial" w:hAnsi="Arial" w:cs="Arial"/>
          <w:bCs/>
          <w:i/>
          <w:sz w:val="21"/>
          <w:szCs w:val="21"/>
        </w:rPr>
        <w:t>―</w:t>
      </w:r>
      <w:r w:rsidRPr="00947EC7">
        <w:rPr>
          <w:rFonts w:ascii="Abadi" w:hAnsi="Abadi" w:cs="Calibri"/>
          <w:bCs/>
          <w:i/>
          <w:sz w:val="21"/>
          <w:szCs w:val="21"/>
        </w:rPr>
        <w:t>hombres o mujeres</w:t>
      </w:r>
      <w:r w:rsidRPr="00947EC7">
        <w:rPr>
          <w:rFonts w:ascii="Arial" w:hAnsi="Arial" w:cs="Arial"/>
          <w:bCs/>
          <w:i/>
          <w:sz w:val="21"/>
          <w:szCs w:val="21"/>
        </w:rPr>
        <w:t>―</w:t>
      </w:r>
      <w:r w:rsidRPr="00947EC7">
        <w:rPr>
          <w:rFonts w:ascii="Abadi" w:hAnsi="Abadi" w:cs="Calibri"/>
          <w:bCs/>
          <w:i/>
          <w:sz w:val="21"/>
          <w:szCs w:val="21"/>
        </w:rPr>
        <w:t>, sean propensos a ejercer actos de violencia contra la mujer por raz</w:t>
      </w:r>
      <w:r w:rsidRPr="00947EC7">
        <w:rPr>
          <w:rFonts w:ascii="Abadi" w:hAnsi="Abadi" w:cs="Abadi"/>
          <w:bCs/>
          <w:i/>
          <w:sz w:val="21"/>
          <w:szCs w:val="21"/>
        </w:rPr>
        <w:t>ó</w:t>
      </w:r>
      <w:r w:rsidRPr="00947EC7">
        <w:rPr>
          <w:rFonts w:ascii="Abadi" w:hAnsi="Abadi" w:cs="Calibri"/>
          <w:bCs/>
          <w:i/>
          <w:sz w:val="21"/>
          <w:szCs w:val="21"/>
        </w:rPr>
        <w:t>n de g</w:t>
      </w:r>
      <w:r w:rsidRPr="00947EC7">
        <w:rPr>
          <w:rFonts w:ascii="Abadi" w:hAnsi="Abadi" w:cs="Abadi"/>
          <w:bCs/>
          <w:i/>
          <w:sz w:val="21"/>
          <w:szCs w:val="21"/>
        </w:rPr>
        <w:t>é</w:t>
      </w:r>
      <w:r w:rsidRPr="00947EC7">
        <w:rPr>
          <w:rFonts w:ascii="Abadi" w:hAnsi="Abadi" w:cs="Calibri"/>
          <w:bCs/>
          <w:i/>
          <w:sz w:val="21"/>
          <w:szCs w:val="21"/>
        </w:rPr>
        <w:t xml:space="preserve">nero y </w:t>
      </w:r>
      <w:r w:rsidRPr="00947EC7">
        <w:rPr>
          <w:rFonts w:ascii="Abadi" w:hAnsi="Abadi" w:cs="Abadi"/>
          <w:bCs/>
          <w:i/>
          <w:sz w:val="21"/>
          <w:szCs w:val="21"/>
        </w:rPr>
        <w:t>é</w:t>
      </w:r>
      <w:r w:rsidRPr="00947EC7">
        <w:rPr>
          <w:rFonts w:ascii="Abadi" w:hAnsi="Abadi" w:cs="Calibri"/>
          <w:bCs/>
          <w:i/>
          <w:sz w:val="21"/>
          <w:szCs w:val="21"/>
        </w:rPr>
        <w:t xml:space="preserve">stos sean sujetos de observaciones públicas por incumplimiento de obligaciones. Con lo anterior, nos sumamos a lo ya argumentado en su momento por el Instituto Nacional Electoral en el sentido de que la propia evolución del </w:t>
      </w:r>
      <w:r w:rsidRPr="00947EC7">
        <w:rPr>
          <w:rFonts w:ascii="Abadi" w:hAnsi="Abadi" w:cs="Calibri"/>
          <w:bCs/>
          <w:i/>
          <w:sz w:val="21"/>
          <w:szCs w:val="21"/>
        </w:rPr>
        <w:t>sistema jurídico propicia la implementación de medidas que permitan prevenir, sancionar y erradicar la violencia política contra las mujeres,</w:t>
      </w:r>
      <w:r w:rsidRPr="00947EC7">
        <w:rPr>
          <w:rStyle w:val="Refdenotaalpie"/>
          <w:rFonts w:ascii="Abadi" w:eastAsia="Calibri" w:hAnsi="Abadi" w:cs="Calibri"/>
          <w:bCs/>
          <w:i/>
          <w:sz w:val="21"/>
          <w:szCs w:val="21"/>
        </w:rPr>
        <w:footnoteReference w:id="154"/>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así como atender la necesidad de proteger de manera integral los derechos humanos; lo anterior, en la búsqueda de garantizar la idoneidad de las personas que aspiran a ocupar un cargo público. Es así que, nos manifestamos a favor de eliminar cualquier tipo de violencia de género y contra el interés superior de la niñez. Las y los diputados que fungimos como iniciantes, somos hombres y mujeres que ocupamos hoy un cargo público, y por ello debemos impulsar cambios cualitativos en la manera de hacer política y gobernar, así como evitar que la segmentación partidista sea un obstáculo para luchar por la erradicación de la violencia en contra de las mujeres, ese objetivo se cumple con este acto legislativo. Por ello, esta propuesta basa su estructura dejando de lado la </w:t>
      </w:r>
      <w:proofErr w:type="spellStart"/>
      <w:r w:rsidRPr="00947EC7">
        <w:rPr>
          <w:rFonts w:ascii="Abadi" w:hAnsi="Abadi" w:cs="Calibri"/>
          <w:bCs/>
          <w:i/>
          <w:sz w:val="21"/>
          <w:szCs w:val="21"/>
        </w:rPr>
        <w:t>punitividad</w:t>
      </w:r>
      <w:proofErr w:type="spellEnd"/>
      <w:r w:rsidRPr="00947EC7">
        <w:rPr>
          <w:rStyle w:val="Refdenotaalpie"/>
          <w:rFonts w:ascii="Abadi" w:eastAsia="Calibri" w:hAnsi="Abadi" w:cs="Calibri"/>
          <w:bCs/>
          <w:i/>
          <w:sz w:val="21"/>
          <w:szCs w:val="21"/>
        </w:rPr>
        <w:footnoteReference w:id="155"/>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y vulneración de derechos,</w:t>
      </w:r>
      <w:r w:rsidRPr="00947EC7">
        <w:rPr>
          <w:rStyle w:val="Refdenotaalpie"/>
          <w:rFonts w:ascii="Abadi" w:eastAsia="Calibri" w:hAnsi="Abadi" w:cs="Calibri"/>
          <w:bCs/>
          <w:i/>
          <w:sz w:val="21"/>
          <w:szCs w:val="21"/>
        </w:rPr>
        <w:footnoteReference w:id="156"/>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ya que sólo limita el acceso a los cargos públicos a quien esté sancionado con sentencia firme, es decir al momento de pretender participar como candidata o candidato a ocupar un cargo, empleo o comisión en el servicio público por actos constitutivos de violencia hacia las mujeres y sus hijos. El mensaje es directo y simple: cero tolerancia a la </w:t>
      </w:r>
      <w:r w:rsidRPr="00947EC7">
        <w:rPr>
          <w:rFonts w:ascii="Abadi" w:hAnsi="Abadi" w:cs="Calibri"/>
          <w:bCs/>
          <w:i/>
          <w:sz w:val="21"/>
          <w:szCs w:val="21"/>
        </w:rPr>
        <w:lastRenderedPageBreak/>
        <w:t>violencia de género y el interés superior de la niñez.</w:t>
      </w:r>
    </w:p>
    <w:p w14:paraId="1A63B497" w14:textId="77777777" w:rsidR="00427BD6" w:rsidRPr="00947EC7" w:rsidRDefault="00427BD6" w:rsidP="00EF7206">
      <w:pPr>
        <w:ind w:firstLine="709"/>
        <w:jc w:val="both"/>
        <w:rPr>
          <w:rFonts w:ascii="Abadi" w:eastAsia="DejaVu Sans" w:hAnsi="Abadi" w:cs="Tahoma"/>
          <w:iCs/>
          <w:kern w:val="1"/>
          <w:sz w:val="21"/>
          <w:szCs w:val="21"/>
          <w:lang w:eastAsia="ar-SA"/>
        </w:rPr>
      </w:pPr>
    </w:p>
    <w:p w14:paraId="7E13CD9C" w14:textId="77777777" w:rsidR="00427BD6" w:rsidRPr="00947EC7" w:rsidRDefault="00427BD6" w:rsidP="00EF7206">
      <w:pPr>
        <w:ind w:left="1134"/>
        <w:jc w:val="both"/>
        <w:rPr>
          <w:rFonts w:ascii="Abadi" w:hAnsi="Abadi" w:cs="Calibri"/>
          <w:bCs/>
          <w:i/>
          <w:sz w:val="21"/>
          <w:szCs w:val="21"/>
        </w:rPr>
      </w:pPr>
      <w:r w:rsidRPr="00947EC7">
        <w:rPr>
          <w:rFonts w:ascii="Abadi" w:hAnsi="Abadi" w:cs="Calibri"/>
          <w:bCs/>
          <w:i/>
          <w:sz w:val="21"/>
          <w:szCs w:val="21"/>
        </w:rPr>
        <w:t>Fundamento constitucional. Nuestra atribución como iniciantes nace además, de armonizar y hacer acorde nuestra Constitución Política local, con las nuevas instituciones que a nivel nacional se han instituido, tal es el caso de las próximas modificaciones constitucionales sobre la suspensión de derechos para ocupar cargo, empleo o comisión del servicio público, derivadas de la Minuta Proyecto de decreto que en su momento remitió la Cámara de Senadores del Congreso de la Unión</w:t>
      </w:r>
      <w:r w:rsidRPr="00947EC7">
        <w:rPr>
          <w:rStyle w:val="Refdenotaalpie"/>
          <w:rFonts w:ascii="Abadi" w:eastAsia="Calibri" w:hAnsi="Abadi" w:cs="Calibri"/>
          <w:bCs/>
          <w:i/>
          <w:sz w:val="21"/>
          <w:szCs w:val="21"/>
        </w:rPr>
        <w:footnoteReference w:id="157"/>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y que fue aprobada en sus términos por la Comisión de Gobernación y Puntos Constitucionales y confirmada por el Pleno, el pasado 18 de mayo de 2023, la cual contempla reformas y adiciones a los artículos 38 y 102 de la Constitución Política de los Estados Unidos Mexicanos. Es decir, con este esquema </w:t>
      </w:r>
      <w:r w:rsidRPr="00947EC7">
        <w:rPr>
          <w:rFonts w:ascii="Arial" w:hAnsi="Arial" w:cs="Arial"/>
          <w:bCs/>
          <w:i/>
          <w:sz w:val="21"/>
          <w:szCs w:val="21"/>
        </w:rPr>
        <w:t>―</w:t>
      </w:r>
      <w:r w:rsidRPr="00947EC7">
        <w:rPr>
          <w:rFonts w:ascii="Abadi" w:hAnsi="Abadi" w:cs="Calibri"/>
          <w:bCs/>
          <w:i/>
          <w:sz w:val="21"/>
          <w:szCs w:val="21"/>
        </w:rPr>
        <w:t>reconocemos</w:t>
      </w:r>
      <w:r w:rsidRPr="00947EC7">
        <w:rPr>
          <w:rFonts w:ascii="Arial" w:hAnsi="Arial" w:cs="Arial"/>
          <w:bCs/>
          <w:i/>
          <w:sz w:val="21"/>
          <w:szCs w:val="21"/>
        </w:rPr>
        <w:t>―</w:t>
      </w:r>
      <w:r w:rsidRPr="00947EC7">
        <w:rPr>
          <w:rFonts w:ascii="Abadi" w:hAnsi="Abadi" w:cs="Calibri"/>
          <w:bCs/>
          <w:i/>
          <w:sz w:val="21"/>
          <w:szCs w:val="21"/>
        </w:rPr>
        <w:t xml:space="preserve"> que debe ser el id</w:t>
      </w:r>
      <w:r w:rsidRPr="00947EC7">
        <w:rPr>
          <w:rFonts w:ascii="Abadi" w:hAnsi="Abadi" w:cs="Abadi"/>
          <w:bCs/>
          <w:i/>
          <w:sz w:val="21"/>
          <w:szCs w:val="21"/>
        </w:rPr>
        <w:t>ó</w:t>
      </w:r>
      <w:r w:rsidRPr="00947EC7">
        <w:rPr>
          <w:rFonts w:ascii="Abadi" w:hAnsi="Abadi" w:cs="Calibri"/>
          <w:bCs/>
          <w:i/>
          <w:sz w:val="21"/>
          <w:szCs w:val="21"/>
        </w:rPr>
        <w:t>neo para alcanzar mayores est</w:t>
      </w:r>
      <w:r w:rsidRPr="00947EC7">
        <w:rPr>
          <w:rFonts w:ascii="Abadi" w:hAnsi="Abadi" w:cs="Abadi"/>
          <w:bCs/>
          <w:i/>
          <w:sz w:val="21"/>
          <w:szCs w:val="21"/>
        </w:rPr>
        <w:t>á</w:t>
      </w:r>
      <w:r w:rsidRPr="00947EC7">
        <w:rPr>
          <w:rFonts w:ascii="Abadi" w:hAnsi="Abadi" w:cs="Calibri"/>
          <w:bCs/>
          <w:i/>
          <w:sz w:val="21"/>
          <w:szCs w:val="21"/>
        </w:rPr>
        <w:t>ndares en protecci</w:t>
      </w:r>
      <w:r w:rsidRPr="00947EC7">
        <w:rPr>
          <w:rFonts w:ascii="Abadi" w:hAnsi="Abadi" w:cs="Abadi"/>
          <w:bCs/>
          <w:i/>
          <w:sz w:val="21"/>
          <w:szCs w:val="21"/>
        </w:rPr>
        <w:t>ó</w:t>
      </w:r>
      <w:r w:rsidRPr="00947EC7">
        <w:rPr>
          <w:rFonts w:ascii="Abadi" w:hAnsi="Abadi" w:cs="Calibri"/>
          <w:bCs/>
          <w:i/>
          <w:sz w:val="21"/>
          <w:szCs w:val="21"/>
        </w:rPr>
        <w:t>n de derechos humanos. Adem</w:t>
      </w:r>
      <w:r w:rsidRPr="00947EC7">
        <w:rPr>
          <w:rFonts w:ascii="Abadi" w:hAnsi="Abadi" w:cs="Abadi"/>
          <w:bCs/>
          <w:i/>
          <w:sz w:val="21"/>
          <w:szCs w:val="21"/>
        </w:rPr>
        <w:t>á</w:t>
      </w:r>
      <w:r w:rsidRPr="00947EC7">
        <w:rPr>
          <w:rFonts w:ascii="Abadi" w:hAnsi="Abadi" w:cs="Calibri"/>
          <w:bCs/>
          <w:i/>
          <w:sz w:val="21"/>
          <w:szCs w:val="21"/>
        </w:rPr>
        <w:t xml:space="preserve">s, se asume que los esfuerzos ejecutivos deben estar concentrados en la prevención de los actos de cualquier tipo de violencia contra las mujeres y supeditar las porciones normativas al principio de interés superior de la niñez. Es menester, para las diputadas y los diputados –que somos iniciantes- hacer hincapié que, con la reforma y, primordialmente al adicionar las causales por las que los derechos o prerrogativas de los ciudadanos se suspenden, ya sea por tener sentencia firme por la comisión intencional de delitos contra la vida y la integridad corporal; contra la libertad y </w:t>
      </w:r>
      <w:r w:rsidRPr="00947EC7">
        <w:rPr>
          <w:rFonts w:ascii="Abadi" w:hAnsi="Abadi" w:cs="Calibri"/>
          <w:bCs/>
          <w:i/>
          <w:sz w:val="21"/>
          <w:szCs w:val="21"/>
        </w:rPr>
        <w:t>seguridad sexuales, el normal desarrollo psicosexual; por violencia familiar, violencia familiar equiparada o doméstica, violación a la intimidad sexual; por violencia política contra las mujeres en razón de género, en cualquiera de sus modalidades y tipos. Por ser declarada como persona deudora alimentaria morosa, vendrán a</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prevenir actos violatorios de derechos humanos. Situación que consideramos fundamental armonizar en nuestra Constitución Política para el Estado de Guanajuato.</w:t>
      </w:r>
    </w:p>
    <w:p w14:paraId="58C3D8D3" w14:textId="77777777" w:rsidR="00427BD6" w:rsidRPr="00947EC7" w:rsidRDefault="00427BD6" w:rsidP="00EF7206">
      <w:pPr>
        <w:ind w:firstLine="708"/>
        <w:jc w:val="both"/>
        <w:rPr>
          <w:rFonts w:ascii="Abadi" w:eastAsia="DejaVu Sans" w:hAnsi="Abadi" w:cs="Tahoma"/>
          <w:iCs/>
          <w:kern w:val="1"/>
          <w:sz w:val="21"/>
          <w:szCs w:val="21"/>
          <w:lang w:eastAsia="ar-SA"/>
        </w:rPr>
      </w:pPr>
    </w:p>
    <w:p w14:paraId="6C61F9EE" w14:textId="77777777" w:rsidR="00427BD6" w:rsidRPr="00947EC7" w:rsidRDefault="00427BD6" w:rsidP="00EF7206">
      <w:pPr>
        <w:ind w:left="1134"/>
        <w:jc w:val="both"/>
        <w:rPr>
          <w:rFonts w:ascii="Abadi" w:hAnsi="Abadi" w:cs="Calibri"/>
          <w:bCs/>
          <w:i/>
          <w:sz w:val="21"/>
          <w:szCs w:val="21"/>
        </w:rPr>
      </w:pPr>
      <w:r w:rsidRPr="00947EC7">
        <w:rPr>
          <w:rFonts w:ascii="Abadi" w:hAnsi="Abadi" w:cs="Calibri"/>
          <w:bCs/>
          <w:i/>
          <w:sz w:val="21"/>
          <w:szCs w:val="21"/>
        </w:rPr>
        <w:t>Es decir, hoy se suscribe una propuesta de igualdad sustantiva y cuyo objetivo es avanzar en los derechos de las mujeres y de sus hijas e hijos, eliminando barreras que impiden tener una verdadera vida libre de cualquier tipo de violencia. Reconocemos que, contar con un</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andamiaje interinstitucional para prevenir, combatir y sancionar la violencia en razón de género y contra el interés superior de la niñez en nuestro país, y en especial en</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Guanajuato, es hoy la opción más favorable e idónea dentro de nuestra principal función. Las reformas aludidas en los párrafos que</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anteceden devienen de lo consignado en el</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ordenamiento federal, concretamente en la modificación próxima a nuestra Ley Primaria en los artículos 38 y 102 de la Constitución Política de los Estados</w:t>
      </w:r>
      <w:r w:rsidRPr="00947EC7">
        <w:rPr>
          <w:rFonts w:ascii="Abadi" w:eastAsia="DejaVu Sans" w:hAnsi="Abadi" w:cs="Tahoma"/>
          <w:iCs/>
          <w:kern w:val="1"/>
          <w:sz w:val="21"/>
          <w:szCs w:val="21"/>
          <w:lang w:eastAsia="ar-SA"/>
        </w:rPr>
        <w:t xml:space="preserve"> </w:t>
      </w:r>
      <w:r w:rsidRPr="00947EC7">
        <w:rPr>
          <w:rFonts w:ascii="Abadi" w:hAnsi="Abadi" w:cs="Calibri"/>
          <w:bCs/>
          <w:i/>
          <w:sz w:val="21"/>
          <w:szCs w:val="21"/>
        </w:rPr>
        <w:t xml:space="preserve">Unidos Mexicanos, por lo que las mismas tienen su soporte y son congruentes con dicha importante legislación nacional. Propuestas que se armonizan en Guanajuato. Las diputadas y los diputados que nos suscribimos como iniciantes, consideramos importante mencionar que esta propuesta se suscribe por unanimidad </w:t>
      </w:r>
      <w:r w:rsidRPr="00947EC7">
        <w:rPr>
          <w:rFonts w:ascii="Abadi" w:hAnsi="Abadi" w:cs="Calibri"/>
          <w:bCs/>
          <w:i/>
          <w:sz w:val="21"/>
          <w:szCs w:val="21"/>
        </w:rPr>
        <w:lastRenderedPageBreak/>
        <w:t>derivado del análisis de otra similar que fue turnada a la Comisión de Gobernación y puntos Constitucionales para estudio y dictamen por competencia con el ELD 182A/LXV-I</w:t>
      </w:r>
      <w:r w:rsidRPr="00947EC7">
        <w:rPr>
          <w:rStyle w:val="Refdenotaalpie"/>
          <w:rFonts w:ascii="Abadi" w:eastAsia="Calibri" w:hAnsi="Abadi" w:cs="Calibri"/>
          <w:bCs/>
          <w:i/>
          <w:sz w:val="21"/>
          <w:szCs w:val="21"/>
        </w:rPr>
        <w:footnoteReference w:id="158"/>
      </w:r>
      <w:r w:rsidRPr="00947EC7">
        <w:rPr>
          <w:rFonts w:ascii="Abadi" w:eastAsia="DejaVu Sans" w:hAnsi="Abadi" w:cs="Tahoma"/>
          <w:i/>
          <w:kern w:val="1"/>
          <w:sz w:val="21"/>
          <w:szCs w:val="21"/>
          <w:lang w:eastAsia="ar-SA"/>
        </w:rPr>
        <w:t xml:space="preserve"> </w:t>
      </w:r>
      <w:r w:rsidRPr="00947EC7">
        <w:rPr>
          <w:rFonts w:ascii="Abadi" w:hAnsi="Abadi" w:cs="Calibri"/>
          <w:bCs/>
          <w:i/>
          <w:sz w:val="21"/>
          <w:szCs w:val="21"/>
        </w:rPr>
        <w:t>al tratarse de una reforma de carácter constitucional. En ese ejercicio se realizaron varias acciones que emergieron de la metodología de estudio y dictamen, mismas que se ven reflejadas en la propuesta que hoy se suscribe, derivadas del estudio de las observaciones y comentarios expresados en las mesas de trabajo de las y los diputados integrantes de la comisión legislativa, así como de los servidores públicos de los poderes judicial, ejecutivo, organismos autónomos y representantes de partidos políticos, y, de la aprobación de la Minuta Proyecto de Decreto por el que se reforman y adicionan los artículos 38 y 102 de la Constitución Política de los Estados Unidos Mexicanos, en materia de suspensión de derechos para ocupar cargo, empleo o comisión del servicio público. (…)</w:t>
      </w:r>
    </w:p>
    <w:p w14:paraId="05BE1327" w14:textId="77777777" w:rsidR="00427BD6" w:rsidRPr="00947EC7" w:rsidRDefault="00427BD6" w:rsidP="00EF7206">
      <w:pPr>
        <w:ind w:left="1134"/>
        <w:jc w:val="both"/>
        <w:rPr>
          <w:rFonts w:ascii="Abadi" w:hAnsi="Abadi" w:cs="Calibri"/>
          <w:bCs/>
          <w:i/>
          <w:sz w:val="21"/>
          <w:szCs w:val="21"/>
        </w:rPr>
      </w:pPr>
    </w:p>
    <w:p w14:paraId="67F18406" w14:textId="77777777" w:rsidR="00427BD6" w:rsidRPr="00947EC7" w:rsidRDefault="00427BD6" w:rsidP="00EF7206">
      <w:pPr>
        <w:ind w:firstLine="708"/>
        <w:jc w:val="both"/>
        <w:rPr>
          <w:rFonts w:ascii="Abadi" w:eastAsia="Batang" w:hAnsi="Abadi" w:cs="Arial"/>
          <w:sz w:val="21"/>
          <w:szCs w:val="21"/>
        </w:rPr>
      </w:pPr>
    </w:p>
    <w:p w14:paraId="3762D79C"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Las y los diputados que integramos la Comisión de Gobernación y Puntos Constitucionales, consideramos importante realizar un análisis general de los tópicos propuestos, y emitir los comentarios al respecto, a efecto de hacer una valoración y considerar la viabilidad de las propuestas contenidas en las iniciativas que se dictaminan.</w:t>
      </w:r>
    </w:p>
    <w:p w14:paraId="65F6580E" w14:textId="77777777" w:rsidR="00427BD6" w:rsidRPr="00947EC7" w:rsidRDefault="00427BD6" w:rsidP="00EF7206">
      <w:pPr>
        <w:ind w:firstLine="708"/>
        <w:jc w:val="both"/>
        <w:rPr>
          <w:rFonts w:ascii="Abadi" w:eastAsia="Batang" w:hAnsi="Abadi" w:cs="Arial"/>
          <w:sz w:val="21"/>
          <w:szCs w:val="21"/>
        </w:rPr>
      </w:pPr>
    </w:p>
    <w:p w14:paraId="369D0FDE"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Coincidimos plenamente con las y los iniciantes en que, resulta prioritario establecer mecanismos de prevención para procurar que las personas que posean perfil agresivo, </w:t>
      </w:r>
      <w:r w:rsidRPr="00947EC7">
        <w:rPr>
          <w:rFonts w:ascii="Abadi" w:eastAsia="Batang" w:hAnsi="Abadi" w:cs="Arial"/>
          <w:sz w:val="21"/>
          <w:szCs w:val="21"/>
        </w:rPr>
        <w:t>violento o irresponsable no accedan a los puestos de decisión públicos. Para nosotros como legisladores es indispensable establecer mecanismos que eviten llegar a un agresor más a los cargos del servicio público. Es decir, hacemos nuestros los contenidos de las exposiciones de motivos incluidos en los respectivos actos legislativos iniciados, mediante las propuestas primigenias a través de este dictamen.</w:t>
      </w:r>
    </w:p>
    <w:p w14:paraId="42767803" w14:textId="77777777" w:rsidR="00427BD6" w:rsidRPr="00947EC7" w:rsidRDefault="00427BD6" w:rsidP="00EF7206">
      <w:pPr>
        <w:ind w:firstLine="708"/>
        <w:jc w:val="both"/>
        <w:rPr>
          <w:rFonts w:ascii="Abadi" w:eastAsia="Batang" w:hAnsi="Abadi" w:cs="Arial"/>
          <w:sz w:val="21"/>
          <w:szCs w:val="21"/>
        </w:rPr>
      </w:pPr>
    </w:p>
    <w:p w14:paraId="55E6E60D" w14:textId="77777777" w:rsidR="00427BD6" w:rsidRPr="00947EC7" w:rsidRDefault="00427BD6" w:rsidP="00EF7206">
      <w:pPr>
        <w:jc w:val="both"/>
        <w:rPr>
          <w:rFonts w:ascii="Abadi" w:eastAsia="Batang" w:hAnsi="Abadi" w:cs="Arial"/>
          <w:b/>
          <w:i/>
          <w:iCs/>
          <w:sz w:val="21"/>
          <w:szCs w:val="21"/>
        </w:rPr>
      </w:pPr>
      <w:r w:rsidRPr="00947EC7">
        <w:rPr>
          <w:rFonts w:ascii="Abadi" w:eastAsia="Batang" w:hAnsi="Abadi" w:cs="Arial"/>
          <w:b/>
          <w:sz w:val="21"/>
          <w:szCs w:val="21"/>
        </w:rPr>
        <w:t xml:space="preserve">III.1. </w:t>
      </w:r>
      <w:r w:rsidRPr="00431439">
        <w:rPr>
          <w:rFonts w:ascii="Abadi" w:eastAsia="Batang" w:hAnsi="Abadi" w:cs="Arial"/>
          <w:bCs/>
          <w:sz w:val="21"/>
          <w:szCs w:val="21"/>
        </w:rPr>
        <w:t xml:space="preserve">Consideraciones generales de las y los dictaminadores sobre los objetivos perseguidos con las propuestas de reformas y adiciones a la Constitución Política para el Estado de Guanajuato </w:t>
      </w:r>
      <w:r w:rsidRPr="00431439">
        <w:rPr>
          <w:rFonts w:ascii="Abadi" w:eastAsia="Batang" w:hAnsi="Abadi" w:cs="Arial"/>
          <w:bCs/>
          <w:i/>
          <w:iCs/>
          <w:sz w:val="21"/>
          <w:szCs w:val="21"/>
        </w:rPr>
        <w:t>para establecer requisitos de elegibilidad de las personas candidatas que no estén condenadas por delitos de violencia y ser deudoras alimentarias</w:t>
      </w:r>
    </w:p>
    <w:p w14:paraId="16146E32" w14:textId="77777777" w:rsidR="00427BD6" w:rsidRPr="00947EC7" w:rsidRDefault="00427BD6" w:rsidP="00EF7206">
      <w:pPr>
        <w:jc w:val="both"/>
        <w:rPr>
          <w:rFonts w:ascii="Abadi" w:eastAsia="Batang" w:hAnsi="Abadi" w:cs="Arial"/>
          <w:sz w:val="21"/>
          <w:szCs w:val="21"/>
        </w:rPr>
      </w:pPr>
    </w:p>
    <w:p w14:paraId="28D4361A" w14:textId="77777777" w:rsidR="00427BD6" w:rsidRPr="00431439" w:rsidRDefault="00427BD6" w:rsidP="00EF7206">
      <w:pPr>
        <w:jc w:val="both"/>
        <w:rPr>
          <w:rFonts w:ascii="Abadi" w:eastAsia="Batang" w:hAnsi="Abadi" w:cs="Arial"/>
          <w:bCs/>
          <w:sz w:val="21"/>
          <w:szCs w:val="21"/>
        </w:rPr>
      </w:pPr>
      <w:r w:rsidRPr="00947EC7">
        <w:rPr>
          <w:rFonts w:ascii="Abadi" w:eastAsia="Batang" w:hAnsi="Abadi" w:cs="Arial"/>
          <w:b/>
          <w:sz w:val="21"/>
          <w:szCs w:val="21"/>
        </w:rPr>
        <w:t xml:space="preserve">III.1.1. </w:t>
      </w:r>
      <w:r w:rsidRPr="00431439">
        <w:rPr>
          <w:rFonts w:ascii="Abadi" w:eastAsia="Batang" w:hAnsi="Abadi" w:cs="Arial"/>
          <w:bCs/>
          <w:sz w:val="21"/>
          <w:szCs w:val="21"/>
        </w:rPr>
        <w:t xml:space="preserve">Integración de requisitos de elegibilidad a rango Constitucional para impedir a violentadores y deudores alimentarios a ocupar cargos, empleos o comisiones al servicio público </w:t>
      </w:r>
    </w:p>
    <w:p w14:paraId="702C574A" w14:textId="77777777" w:rsidR="00427BD6" w:rsidRPr="00431439" w:rsidRDefault="00427BD6" w:rsidP="00EF7206">
      <w:pPr>
        <w:jc w:val="both"/>
        <w:rPr>
          <w:rFonts w:ascii="Abadi" w:eastAsia="Batang" w:hAnsi="Abadi" w:cs="Arial"/>
          <w:bCs/>
          <w:sz w:val="21"/>
          <w:szCs w:val="21"/>
        </w:rPr>
      </w:pPr>
    </w:p>
    <w:p w14:paraId="701D9589"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La diputadas y los diputados que integramos esta Comisión de Gobernación y Puntos Constitucionales de la Sexagésima Quinta Legislatura entendemos que elevar a rango constitucional la medida </w:t>
      </w:r>
      <w:r w:rsidRPr="00947EC7">
        <w:rPr>
          <w:rFonts w:ascii="Abadi" w:eastAsia="Batang" w:hAnsi="Abadi" w:cs="Arial"/>
          <w:i/>
          <w:iCs/>
          <w:sz w:val="21"/>
          <w:szCs w:val="21"/>
        </w:rPr>
        <w:t>3 de 3 contra la violencia</w:t>
      </w:r>
      <w:r w:rsidRPr="00947EC7">
        <w:rPr>
          <w:rFonts w:ascii="Abadi" w:eastAsia="Batang" w:hAnsi="Abadi" w:cs="Arial"/>
          <w:sz w:val="21"/>
          <w:szCs w:val="21"/>
        </w:rPr>
        <w:t>, y establecerla como un requisito para obtener el registro como candidata o candidato de elección popular, o ser nombrado para cualquier empleo o comisión en el servicio público, otorgaría certeza a las víctimas de violencia de género sobre la no elegibilidad de sus agresores, y representaría un avance significativo en la lucha por erradicar la violencia contra las mujeres.</w:t>
      </w:r>
    </w:p>
    <w:p w14:paraId="39FE9916" w14:textId="77777777" w:rsidR="00427BD6" w:rsidRPr="00947EC7" w:rsidRDefault="00427BD6" w:rsidP="00EF7206">
      <w:pPr>
        <w:ind w:firstLine="708"/>
        <w:jc w:val="both"/>
        <w:rPr>
          <w:rFonts w:ascii="Abadi" w:eastAsia="Batang" w:hAnsi="Abadi" w:cs="Arial"/>
          <w:sz w:val="21"/>
          <w:szCs w:val="21"/>
        </w:rPr>
      </w:pPr>
    </w:p>
    <w:p w14:paraId="7743C59E"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Lo anterior, tiene como argumento principal evitar la violencia contra la mujer, entendida como una de las violaciones más generalizadas de los derechos humanos en el mundo. Sabemos que se producen muchos casos cada día en todos los rincones del planeta. Este tipo de violencia tiene graves </w:t>
      </w:r>
      <w:r w:rsidRPr="00947EC7">
        <w:rPr>
          <w:rFonts w:ascii="Abadi" w:eastAsia="Batang" w:hAnsi="Abadi" w:cs="Arial"/>
          <w:sz w:val="21"/>
          <w:szCs w:val="21"/>
        </w:rPr>
        <w:lastRenderedPageBreak/>
        <w:t xml:space="preserve">consecuencias físicas, económicas y psicológicas sobre las mujeres y las niñas, tanto a corto como a largo plazo, al impedirles participar plenamente y en pie de igualdad en la sociedad. La magnitud de este impacto, tanto en la vida de las personas y familias como de la sociedad en su conjunto, es inmensa. Este es el objetivo esencial de este ejercicio democrático. Las iniciativas de reformas y adiciones a la Constitución Política Local que hoy se dictaminan buscan en conjunto establecer un camino claro en el Estado para fortalecer y generar un impacto social más contundente de la eliminación de violencia de género y el respeto al principio de interés superior de la niñez, como premisas básicas en todo Estado de Derecho democrático que se precie de serlo. </w:t>
      </w:r>
    </w:p>
    <w:p w14:paraId="7E013C6D" w14:textId="77777777" w:rsidR="00427BD6" w:rsidRPr="00947EC7" w:rsidRDefault="00427BD6" w:rsidP="00EF7206">
      <w:pPr>
        <w:ind w:firstLine="708"/>
        <w:jc w:val="both"/>
        <w:rPr>
          <w:rFonts w:ascii="Abadi" w:eastAsia="Batang" w:hAnsi="Abadi" w:cs="Arial"/>
          <w:sz w:val="21"/>
          <w:szCs w:val="21"/>
        </w:rPr>
      </w:pPr>
    </w:p>
    <w:p w14:paraId="10780F85"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Así las cosas, esta acción es derivada de manera general del proceso electoral federal 2020-2021, pues el Consejo General del Instituto Nacional Electoral (CGINE) aprobó, mediante el Acuerdo INE/CG517/2020, los Lineamientos para que los Partidos Políticos Nacionales</w:t>
      </w:r>
      <w:r w:rsidRPr="00947EC7">
        <w:rPr>
          <w:rStyle w:val="Refdenotaalpie"/>
          <w:rFonts w:ascii="Abadi" w:eastAsia="Batang" w:hAnsi="Abadi" w:cs="Arial"/>
          <w:sz w:val="21"/>
          <w:szCs w:val="21"/>
        </w:rPr>
        <w:footnoteReference w:id="159"/>
      </w:r>
      <w:r w:rsidRPr="00947EC7">
        <w:rPr>
          <w:rFonts w:ascii="Abadi" w:eastAsia="Batang" w:hAnsi="Abadi" w:cs="Arial"/>
          <w:sz w:val="21"/>
          <w:szCs w:val="21"/>
        </w:rPr>
        <w:t xml:space="preserve"> y, en su caso, los Partidos Políticos Locales, previnieran, atendieran, sancionen, reparen y erradiquen la violencia política contra las mujeres en razón de género, señalando entre los antecedentes el escrito de solicitud de incorporación de criterios denominados </w:t>
      </w:r>
      <w:r w:rsidRPr="00947EC7">
        <w:rPr>
          <w:rFonts w:ascii="Abadi" w:eastAsia="Batang" w:hAnsi="Abadi" w:cs="Arial"/>
          <w:i/>
          <w:iCs/>
          <w:sz w:val="21"/>
          <w:szCs w:val="21"/>
        </w:rPr>
        <w:t>3 de 3 Contra la Violencia</w:t>
      </w:r>
      <w:r w:rsidRPr="00947EC7">
        <w:rPr>
          <w:rFonts w:ascii="Abadi" w:eastAsia="Batang" w:hAnsi="Abadi" w:cs="Arial"/>
          <w:sz w:val="21"/>
          <w:szCs w:val="21"/>
        </w:rPr>
        <w:t xml:space="preserve">, enviado por la Cámara de Diputados y el colectivo Las Constituyentes CDMX al INE. Este antecedente es de suma importancia por la movilización de mujeres a favor de ella, entre las que se encuentran legisladoras federales, estatales, regidoras, servidoras públicas de los tres órdenes de gobierno, organizaciones feministas, activistas de derechos humanos y ciudadanas de todas las entidades federativas, respaldando la propuesta y demandando atención sobre la problemática. El Acuerdo tuvo en su momento un alcance de recomendación a los partidos políticos para solicitar que las y los aspirantes a una candidatura deberían firmar un formato de buena fe y bajo protesta de decir verdad, donde el aspirante y luego candidato al </w:t>
      </w:r>
      <w:r w:rsidRPr="00947EC7">
        <w:rPr>
          <w:rFonts w:ascii="Abadi" w:eastAsia="Batang" w:hAnsi="Abadi" w:cs="Arial"/>
          <w:sz w:val="21"/>
          <w:szCs w:val="21"/>
        </w:rPr>
        <w:t>Congreso de la Unión, señalara que no se encontraba en los supuestos señalados del artículo 32.</w:t>
      </w:r>
      <w:r w:rsidRPr="00947EC7">
        <w:rPr>
          <w:rStyle w:val="Refdenotaalpie"/>
          <w:rFonts w:ascii="Abadi" w:eastAsia="Batang" w:hAnsi="Abadi" w:cs="Arial"/>
          <w:sz w:val="21"/>
          <w:szCs w:val="21"/>
        </w:rPr>
        <w:footnoteReference w:id="160"/>
      </w:r>
      <w:r w:rsidRPr="00947EC7">
        <w:rPr>
          <w:rFonts w:ascii="Abadi" w:eastAsia="Batang" w:hAnsi="Abadi" w:cs="Arial"/>
          <w:sz w:val="21"/>
          <w:szCs w:val="21"/>
        </w:rPr>
        <w:t xml:space="preserve"> Bajo ese criterio, las personas aspirantes a una candidatura firmaron un formato de buena fe y bajo protesta de decir verdad, donde manifestaron no haber sido condenadas, o sancionadas mediante resolución firme por las siguientes conductas:</w:t>
      </w:r>
    </w:p>
    <w:p w14:paraId="68F826C6" w14:textId="77777777" w:rsidR="00427BD6" w:rsidRPr="00947EC7" w:rsidRDefault="00427BD6" w:rsidP="00EF7206">
      <w:pPr>
        <w:ind w:firstLine="708"/>
        <w:jc w:val="both"/>
        <w:rPr>
          <w:rFonts w:ascii="Abadi" w:eastAsia="Batang" w:hAnsi="Abadi" w:cs="Arial"/>
          <w:sz w:val="21"/>
          <w:szCs w:val="21"/>
        </w:rPr>
      </w:pPr>
    </w:p>
    <w:p w14:paraId="12F46262" w14:textId="77777777" w:rsidR="00427BD6" w:rsidRPr="00947EC7" w:rsidRDefault="00427BD6" w:rsidP="00EF7206">
      <w:pPr>
        <w:pStyle w:val="paragraph"/>
        <w:numPr>
          <w:ilvl w:val="0"/>
          <w:numId w:val="26"/>
        </w:numPr>
        <w:spacing w:before="0" w:beforeAutospacing="0" w:after="0" w:afterAutospacing="0"/>
        <w:ind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Violencia familiar o doméstica, o cualquier agresión de género en el ámbito privado o público.</w:t>
      </w:r>
    </w:p>
    <w:p w14:paraId="446F0505" w14:textId="77777777" w:rsidR="00427BD6" w:rsidRPr="00947EC7" w:rsidRDefault="00427BD6" w:rsidP="00EF7206">
      <w:pPr>
        <w:pStyle w:val="paragraph"/>
        <w:numPr>
          <w:ilvl w:val="0"/>
          <w:numId w:val="26"/>
        </w:numPr>
        <w:spacing w:before="0" w:beforeAutospacing="0" w:after="0" w:afterAutospacing="0"/>
        <w:ind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Por delitos sexuales, contra la libertad sexual o la intimidad corporal.</w:t>
      </w:r>
    </w:p>
    <w:p w14:paraId="72206C3A" w14:textId="77777777" w:rsidR="00427BD6" w:rsidRPr="00947EC7" w:rsidRDefault="00427BD6" w:rsidP="00EF7206">
      <w:pPr>
        <w:pStyle w:val="paragraph"/>
        <w:numPr>
          <w:ilvl w:val="0"/>
          <w:numId w:val="26"/>
        </w:numPr>
        <w:spacing w:before="0" w:beforeAutospacing="0" w:after="0" w:afterAutospacing="0"/>
        <w:ind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Como persona deudora alimentaria morosa.</w:t>
      </w:r>
    </w:p>
    <w:p w14:paraId="60E4DDFC" w14:textId="77777777" w:rsidR="00427BD6" w:rsidRPr="00947EC7" w:rsidRDefault="00427BD6" w:rsidP="00EF7206">
      <w:pPr>
        <w:pStyle w:val="paragraph"/>
        <w:spacing w:before="0" w:beforeAutospacing="0" w:after="0" w:afterAutospacing="0"/>
        <w:ind w:left="185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Este mecanismo fue resultado de una petición firmada por legisladoras federales, locales, organizaciones feministas, activistas de derechos humanos, ciudadanas; con el propósito de otorgar mayores garantías para erradicar cualquier tipo y modalidad de violencia contra las mujeres en razón de género.</w:t>
      </w:r>
      <w:r w:rsidRPr="00947EC7">
        <w:rPr>
          <w:rStyle w:val="Refdenotaalpie"/>
          <w:rFonts w:ascii="Abadi" w:eastAsia="Calibri" w:hAnsi="Abadi" w:cs="Calibri"/>
          <w:bCs/>
          <w:i/>
          <w:sz w:val="21"/>
          <w:szCs w:val="21"/>
          <w:lang w:eastAsia="en-US"/>
        </w:rPr>
        <w:footnoteReference w:id="161"/>
      </w:r>
    </w:p>
    <w:p w14:paraId="4725028F" w14:textId="77777777" w:rsidR="00427BD6" w:rsidRPr="00947EC7" w:rsidRDefault="00427BD6" w:rsidP="00EF7206">
      <w:pPr>
        <w:ind w:firstLine="708"/>
        <w:jc w:val="both"/>
        <w:rPr>
          <w:rFonts w:ascii="Abadi" w:eastAsia="Batang" w:hAnsi="Abadi" w:cs="Arial"/>
          <w:sz w:val="21"/>
          <w:szCs w:val="21"/>
        </w:rPr>
      </w:pPr>
    </w:p>
    <w:p w14:paraId="71E00502"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Sin embargo, tenemos claro que, aunque la medida </w:t>
      </w:r>
      <w:r w:rsidRPr="00947EC7">
        <w:rPr>
          <w:rFonts w:ascii="Abadi" w:eastAsia="Batang" w:hAnsi="Abadi" w:cs="Arial"/>
          <w:i/>
          <w:iCs/>
          <w:sz w:val="21"/>
          <w:szCs w:val="21"/>
        </w:rPr>
        <w:t>3 de 3 contra la violencia</w:t>
      </w:r>
      <w:r w:rsidRPr="00947EC7">
        <w:rPr>
          <w:rFonts w:ascii="Abadi" w:eastAsia="Batang" w:hAnsi="Abadi" w:cs="Arial"/>
          <w:sz w:val="21"/>
          <w:szCs w:val="21"/>
        </w:rPr>
        <w:t>, ha sido uno de los primeros mecanismos adoptados, presenta problemas en su implementación, pues está diseñada para tenerse por cumplida, únicamente a través de su presentación por medio de un escrito firmado bajo protesta de decir verdad y de buena fe por la persona aspirante a una candidatura a un cargo de elección popular. Es decir, no genera ningún efecto jurídico, ni establece ninguna obligación por parte de quien aspira a ser candidato, a mostrar la evidencia de no estar incumpliendo ninguno de los supuestos mencionados.</w:t>
      </w:r>
    </w:p>
    <w:p w14:paraId="3A2D0E7F" w14:textId="77777777" w:rsidR="00427BD6" w:rsidRPr="00947EC7" w:rsidRDefault="00427BD6" w:rsidP="00EF7206">
      <w:pPr>
        <w:ind w:firstLine="708"/>
        <w:jc w:val="both"/>
        <w:rPr>
          <w:rFonts w:ascii="Abadi" w:eastAsia="Batang" w:hAnsi="Abadi" w:cs="Arial"/>
          <w:sz w:val="21"/>
          <w:szCs w:val="21"/>
        </w:rPr>
      </w:pPr>
    </w:p>
    <w:p w14:paraId="6D91DFD9"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Por su parte, la Ley General de Acceso de las Mujeres a una Vida Libre de Violencia, en su artículo 6, con referencia a la tipología de la violencia contra las mujeres, establece seis tipos, entre los que se encuentran la violencia física y la sexual:</w:t>
      </w:r>
    </w:p>
    <w:p w14:paraId="10456D23" w14:textId="77777777" w:rsidR="00427BD6" w:rsidRPr="00947EC7" w:rsidRDefault="00427BD6" w:rsidP="00EF7206">
      <w:pPr>
        <w:ind w:firstLine="708"/>
        <w:jc w:val="both"/>
        <w:rPr>
          <w:rFonts w:ascii="Abadi" w:eastAsia="Batang" w:hAnsi="Abadi" w:cs="Arial"/>
          <w:sz w:val="21"/>
          <w:szCs w:val="21"/>
        </w:rPr>
      </w:pPr>
    </w:p>
    <w:p w14:paraId="5278A15E"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ARTICULO 6. Los tipos de violencia contra las mujeres son ... </w:t>
      </w:r>
    </w:p>
    <w:p w14:paraId="78D38230"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II. La violencia física.- Es cualquier acto que inflige daño no accidental, usando la fuerza física o algún tipo de arma, objeto, ácido o sustancia corrosiva, cáustica, irritante, tóxica o inflamable o cualquier otra sustancia que, en determinadas condiciones, pueda provocar o no lesiones ya sean internas, externas, o ambas;</w:t>
      </w:r>
    </w:p>
    <w:p w14:paraId="653672FB"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V. La violencia sexual.- Es cualquier acto que degrada o daña el cuerpo y/o la sexualidad de la Víctima y que por tanto atenta contra su libertad, dignidad e integridad física. Es una expresión de abuso de poder que implica la supremacía masculina sobre la mujer, al denigrarla y concebirla como objeto ...</w:t>
      </w:r>
      <w:r w:rsidRPr="00947EC7">
        <w:rPr>
          <w:rStyle w:val="Refdenotaalpie"/>
          <w:rFonts w:ascii="Abadi" w:eastAsia="Calibri" w:hAnsi="Abadi" w:cs="Calibri"/>
          <w:bCs/>
          <w:i/>
          <w:sz w:val="21"/>
          <w:szCs w:val="21"/>
          <w:lang w:eastAsia="en-US"/>
        </w:rPr>
        <w:footnoteReference w:id="162"/>
      </w:r>
    </w:p>
    <w:p w14:paraId="74E5F7A6" w14:textId="77777777" w:rsidR="00427BD6" w:rsidRPr="00947EC7" w:rsidRDefault="00427BD6" w:rsidP="00EF7206">
      <w:pPr>
        <w:jc w:val="both"/>
        <w:rPr>
          <w:rFonts w:ascii="Abadi" w:hAnsi="Abadi" w:cs="Arial"/>
          <w:sz w:val="21"/>
          <w:szCs w:val="21"/>
        </w:rPr>
      </w:pPr>
    </w:p>
    <w:p w14:paraId="355A8DCC"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Este tipo de violencia se genera en cualquier ámbito, siendo la más grave aquella que se genera en el seno de la familia o el hogar. De acuerdo con el concentrado que realiza el Secretariado Ejecutivo del Sistema Nacional de Seguridad Pública</w:t>
      </w:r>
      <w:r w:rsidRPr="00431439">
        <w:rPr>
          <w:rStyle w:val="Refdenotaalpie"/>
          <w:rFonts w:ascii="Abadi" w:eastAsia="Batang" w:hAnsi="Abadi"/>
          <w:b w:val="0"/>
          <w:bCs w:val="0"/>
          <w:sz w:val="21"/>
          <w:szCs w:val="21"/>
          <w:lang w:val="es-MX" w:eastAsia="en-US"/>
        </w:rPr>
        <w:footnoteReference w:id="163"/>
      </w:r>
      <w:r w:rsidRPr="00431439">
        <w:rPr>
          <w:rFonts w:ascii="Abadi" w:eastAsia="Batang" w:hAnsi="Abadi"/>
          <w:b w:val="0"/>
          <w:bCs w:val="0"/>
          <w:sz w:val="21"/>
          <w:szCs w:val="21"/>
          <w:lang w:val="es-MX" w:eastAsia="en-US"/>
        </w:rPr>
        <w:t xml:space="preserve"> acerca de las cifras de incidencia delictiva en delitos del fuero común que informan las Fiscalías estatales, los delitos contra la familia sumaron 20,777 denuncias y los delitos contra la libertad y la seguridad sexual ascendieron a 4,779 de un total de 159,038 denuncias, lo </w:t>
      </w:r>
      <w:r w:rsidRPr="00431439">
        <w:rPr>
          <w:rFonts w:ascii="Abadi" w:eastAsia="Batang" w:hAnsi="Abadi"/>
          <w:b w:val="0"/>
          <w:bCs w:val="0"/>
          <w:sz w:val="21"/>
          <w:szCs w:val="21"/>
          <w:lang w:val="es-MX" w:eastAsia="en-US"/>
        </w:rPr>
        <w:t>que equivale al 16% de total de delitos del fuero común.</w:t>
      </w:r>
    </w:p>
    <w:p w14:paraId="6DFE9390"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5A6FEDF4"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El Instituto Nacional de Estadística y Geografía destaca en la Encuesta Nacional sobre la Dinámica de las Relaciones en los Hogares de 2021</w:t>
      </w:r>
      <w:r w:rsidRPr="00431439">
        <w:rPr>
          <w:rStyle w:val="Refdenotaalpie"/>
          <w:rFonts w:ascii="Abadi" w:eastAsia="Batang" w:hAnsi="Abadi"/>
          <w:b w:val="0"/>
          <w:bCs w:val="0"/>
          <w:sz w:val="21"/>
          <w:szCs w:val="21"/>
          <w:lang w:val="es-MX" w:eastAsia="en-US"/>
        </w:rPr>
        <w:footnoteReference w:id="164"/>
      </w:r>
      <w:r w:rsidRPr="00431439">
        <w:rPr>
          <w:rFonts w:ascii="Abadi" w:eastAsia="Batang" w:hAnsi="Abadi"/>
          <w:b w:val="0"/>
          <w:bCs w:val="0"/>
          <w:sz w:val="21"/>
          <w:szCs w:val="21"/>
          <w:lang w:val="es-MX" w:eastAsia="en-US"/>
        </w:rPr>
        <w:t xml:space="preserve"> que el 70.1% de las mujeres de 15 años y más señalan haber experimentado algún tipo de violencia a lo largo de la vida y en el último año, el 42.8% afirmaron haberla padecido; de éstas, el 10.2% señaló haber sufrido violencia física y el 23.3% violencia sexual.</w:t>
      </w:r>
    </w:p>
    <w:p w14:paraId="13088030"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482A5D0C"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Otro punto del </w:t>
      </w:r>
      <w:r w:rsidRPr="00431439">
        <w:rPr>
          <w:rFonts w:ascii="Abadi" w:eastAsia="Batang" w:hAnsi="Abadi"/>
          <w:b w:val="0"/>
          <w:bCs w:val="0"/>
          <w:i/>
          <w:iCs/>
          <w:sz w:val="21"/>
          <w:szCs w:val="21"/>
          <w:lang w:val="es-MX" w:eastAsia="en-US"/>
        </w:rPr>
        <w:t>3 de 3 contra la violencia</w:t>
      </w:r>
      <w:r w:rsidRPr="00431439">
        <w:rPr>
          <w:rFonts w:ascii="Abadi" w:eastAsia="Batang" w:hAnsi="Abadi"/>
          <w:b w:val="0"/>
          <w:bCs w:val="0"/>
          <w:sz w:val="21"/>
          <w:szCs w:val="21"/>
          <w:lang w:val="es-MX" w:eastAsia="en-US"/>
        </w:rPr>
        <w:t xml:space="preserve"> indica que debe negársele el registro a candidatos por ser deudores alimentarios, tratándose de un incumplimiento legal que se ajusta a la violencia de tipo económico por razón de género, reconocida por el artículo 6 de la </w:t>
      </w:r>
      <w:r w:rsidRPr="00431439">
        <w:rPr>
          <w:rFonts w:ascii="Abadi" w:eastAsia="Batang" w:hAnsi="Abadi"/>
          <w:b w:val="0"/>
          <w:bCs w:val="0"/>
          <w:sz w:val="21"/>
          <w:szCs w:val="21"/>
        </w:rPr>
        <w:t>Ley General de Acceso de las Mujeres a una Vida Libre de Violencia</w:t>
      </w:r>
      <w:r w:rsidRPr="00431439">
        <w:rPr>
          <w:rFonts w:ascii="Abadi" w:eastAsia="Batang" w:hAnsi="Abadi"/>
          <w:b w:val="0"/>
          <w:bCs w:val="0"/>
          <w:sz w:val="21"/>
          <w:szCs w:val="21"/>
          <w:lang w:val="es-MX" w:eastAsia="en-US"/>
        </w:rPr>
        <w:t>:</w:t>
      </w:r>
    </w:p>
    <w:p w14:paraId="1C406443" w14:textId="77777777" w:rsidR="00427BD6" w:rsidRPr="00947EC7" w:rsidRDefault="00427BD6" w:rsidP="00EF7206">
      <w:pPr>
        <w:pStyle w:val="Textoindependiente"/>
        <w:ind w:firstLine="708"/>
        <w:rPr>
          <w:rFonts w:ascii="Abadi" w:eastAsia="Batang" w:hAnsi="Abadi"/>
          <w:sz w:val="21"/>
          <w:szCs w:val="21"/>
          <w:lang w:val="es-MX" w:eastAsia="en-US"/>
        </w:rPr>
      </w:pPr>
    </w:p>
    <w:p w14:paraId="6D531C14"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 xml:space="preserve">ARTÍCULO 6. Los tipos de violencia contra las mujeres son ... </w:t>
      </w:r>
    </w:p>
    <w:p w14:paraId="28691EE2"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IV. Violencia económica.- Es toda acción u omisión del Agresor que afecta la supervivencia económica de la víctima. Se manifiesta a través de limitaciones encaminadas a controlar el ingreso de sus percepciones económicas, así como la percepción de un salario menor por igual trabajo, dentro de un mismo centro laboral...</w:t>
      </w:r>
      <w:r w:rsidRPr="00947EC7">
        <w:rPr>
          <w:rStyle w:val="Refdenotaalpie"/>
          <w:rFonts w:ascii="Abadi" w:eastAsia="Calibri" w:hAnsi="Abadi" w:cs="Calibri"/>
          <w:bCs/>
          <w:i/>
          <w:sz w:val="21"/>
          <w:szCs w:val="21"/>
          <w:lang w:eastAsia="en-US"/>
        </w:rPr>
        <w:footnoteReference w:id="165"/>
      </w:r>
    </w:p>
    <w:p w14:paraId="63D28211"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p>
    <w:p w14:paraId="1DD4A856"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Por otro lado, tenemos información derivada de la Encuesta Nacional sobre la Dinámica de las Relaciones en los Hogares el 16.2% de las mujeres encuestadas señalaron que sufrieron violencia económica, patrimonial o de discriminación.</w:t>
      </w:r>
      <w:r w:rsidRPr="00431439">
        <w:rPr>
          <w:rStyle w:val="Refdenotaalpie"/>
          <w:rFonts w:ascii="Abadi" w:eastAsia="Batang" w:hAnsi="Abadi"/>
          <w:b w:val="0"/>
          <w:bCs w:val="0"/>
          <w:sz w:val="21"/>
          <w:szCs w:val="21"/>
          <w:lang w:val="es-MX" w:eastAsia="en-US"/>
        </w:rPr>
        <w:footnoteReference w:id="166"/>
      </w:r>
      <w:r w:rsidRPr="00431439">
        <w:rPr>
          <w:rFonts w:ascii="Abadi" w:eastAsia="Batang" w:hAnsi="Abadi"/>
          <w:b w:val="0"/>
          <w:bCs w:val="0"/>
          <w:sz w:val="21"/>
          <w:szCs w:val="21"/>
          <w:lang w:val="es-MX" w:eastAsia="en-US"/>
        </w:rPr>
        <w:t xml:space="preserve"> De igual manera, en la estadística sobre averiguaciones previas iniciadas de acuerdo al CNPJFE 2022, sobre el total de 856,701 expedientes donde las </w:t>
      </w:r>
      <w:r w:rsidRPr="00431439">
        <w:rPr>
          <w:rFonts w:ascii="Abadi" w:eastAsia="Batang" w:hAnsi="Abadi"/>
          <w:b w:val="0"/>
          <w:bCs w:val="0"/>
          <w:sz w:val="21"/>
          <w:szCs w:val="21"/>
          <w:lang w:val="es-MX" w:eastAsia="en-US"/>
        </w:rPr>
        <w:lastRenderedPageBreak/>
        <w:t>víctimas fueron mujeres, 18,506 corresponden a incumplimiento de obligaciones familiares.</w:t>
      </w:r>
      <w:r w:rsidRPr="00431439">
        <w:rPr>
          <w:rStyle w:val="Refdenotaalpie"/>
          <w:rFonts w:ascii="Abadi" w:eastAsia="Batang" w:hAnsi="Abadi"/>
          <w:b w:val="0"/>
          <w:bCs w:val="0"/>
          <w:sz w:val="21"/>
          <w:szCs w:val="21"/>
          <w:lang w:val="es-MX" w:eastAsia="en-US"/>
        </w:rPr>
        <w:footnoteReference w:id="167"/>
      </w:r>
    </w:p>
    <w:p w14:paraId="024A9CC6"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036D0DE2"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Ahora, por cuanto al ejercicio de violencia económica por razón de género lo comete el progenitor de hijas e hijos menores de edad o dependientes económicos, quien tiene la obligación de proporcionar alimentos, como lo señala el artículo 303 del Código Civil Federal al referir que los padres están obligados a dar alimentos a sus hijos. A falta o por imposibilidad de los padres, la obligación recae en los demás ascendientes por ambas líneas que estuvieren más próximos en grado.</w:t>
      </w:r>
    </w:p>
    <w:p w14:paraId="09BA4231"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498A06EA"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El concepto de alimentos en el Código Civil Federal no sólo incluye la comida; el artículo 308 de éste, señala que, los alimentos comprenden la comida, el vestido, la habitación y la asistencia en casos de enfermedad. Respecto de los menores los alimentos comprenden, además, los gastos necesarios para la educación primaria del alimentista, y para proporcionarle algún oficio, arte o profesión honestos y adecuados a su sexo y circunstancias personales. Es decir, el incumplimiento de estas obligaciones es susceptible de ser reclamado ante un juez familiar o civil, quien impondrá la cantidad o porcentaje de sueldo que el deudor alimentario debe proporcionar a quien ejerce la patria potestad o tutela de las hijas e hijos menares de edad o dependientes económicos. Por otro lado, el número de mujeres jefas de familia, entre las que se incluyen madres solteras, divorciadas, separadas o con cualquier otra condición que lleven la carga económica de su hogar, que no reciben apoyo por parte del progenitor de sus hijos, ya que en la mayoría de los casos, la mujer cuyos hijos no reciben una pensión alimenticia, no ejerce su derecho a demandar; por otra parte, no existe una estadística concentrada de casos judiciales sobre pensión alimenticia.</w:t>
      </w:r>
    </w:p>
    <w:p w14:paraId="4F3827A3" w14:textId="77777777" w:rsidR="00427BD6" w:rsidRPr="00947EC7" w:rsidRDefault="00427BD6" w:rsidP="00EF7206">
      <w:pPr>
        <w:pStyle w:val="Textoindependiente"/>
        <w:ind w:firstLine="708"/>
        <w:rPr>
          <w:rFonts w:ascii="Abadi" w:eastAsia="Batang" w:hAnsi="Abadi"/>
          <w:sz w:val="21"/>
          <w:szCs w:val="21"/>
          <w:lang w:val="es-MX" w:eastAsia="en-US"/>
        </w:rPr>
      </w:pPr>
    </w:p>
    <w:p w14:paraId="385568FD"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En el caso de nuestro Estado, el pasado 19 de julio del 2021 fue publicado en el Periódico Oficial del Gobierno del Estado de </w:t>
      </w:r>
      <w:r w:rsidRPr="00431439">
        <w:rPr>
          <w:rFonts w:ascii="Abadi" w:eastAsia="Batang" w:hAnsi="Abadi"/>
          <w:b w:val="0"/>
          <w:bCs w:val="0"/>
          <w:sz w:val="21"/>
          <w:szCs w:val="21"/>
          <w:lang w:val="es-MX" w:eastAsia="en-US"/>
        </w:rPr>
        <w:t>Guanajuato el Decreto mediante el cual se reformó el Código Civil para el Estado de Guanajuato a efecto de establecer que las personas obligadas a dar alimentos que incumplan con la pensión o la ministración de alimentos sin causa justificada por un periodo de 90 días sean inscritas, por orden del Juez, en el Registro de Deudores Alimentarios, y en este sentido, el pasado 22 de febrero de 2023, se publicaron en el Periódico Oficial del Gobierno del Estado de Guanajuato las reformas realizadas al Reglamento del Registro Público de la Propiedad para el</w:t>
      </w:r>
      <w:r w:rsidRPr="00947EC7">
        <w:rPr>
          <w:rFonts w:ascii="Abadi" w:eastAsia="Batang" w:hAnsi="Abadi"/>
          <w:sz w:val="21"/>
          <w:szCs w:val="21"/>
          <w:lang w:val="es-MX" w:eastAsia="en-US"/>
        </w:rPr>
        <w:t xml:space="preserve"> </w:t>
      </w:r>
      <w:r w:rsidRPr="00431439">
        <w:rPr>
          <w:rFonts w:ascii="Abadi" w:eastAsia="Batang" w:hAnsi="Abadi"/>
          <w:b w:val="0"/>
          <w:bCs w:val="0"/>
          <w:sz w:val="21"/>
          <w:szCs w:val="21"/>
          <w:lang w:val="es-MX" w:eastAsia="en-US"/>
        </w:rPr>
        <w:t>Estado de Guanajuato con la finalidad de regular la implementación del Registro de Deudores Alimentarios.</w:t>
      </w:r>
    </w:p>
    <w:p w14:paraId="65F49073" w14:textId="77777777" w:rsidR="00431439" w:rsidRPr="00431439" w:rsidRDefault="00431439" w:rsidP="00EF7206">
      <w:pPr>
        <w:pStyle w:val="Textoindependiente"/>
        <w:ind w:firstLine="708"/>
        <w:rPr>
          <w:rFonts w:ascii="Abadi" w:eastAsia="Batang" w:hAnsi="Abadi"/>
          <w:b w:val="0"/>
          <w:bCs w:val="0"/>
          <w:sz w:val="21"/>
          <w:szCs w:val="21"/>
          <w:lang w:val="es-MX" w:eastAsia="en-US"/>
        </w:rPr>
      </w:pPr>
    </w:p>
    <w:p w14:paraId="3FA98468"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Bajo este esquema, es menester referir el número a los que se asigna pensión alimenticia dentro del acuerdo, para 2021 se efectuaron un total de 149,675 divorcios, de los cuales, 49 de 100 casos no tenían hijos menores de edad y las pensiones alimenticias se asignaron en más del 50% de los procesos.</w:t>
      </w:r>
      <w:r w:rsidRPr="00431439">
        <w:rPr>
          <w:rStyle w:val="Refdenotaalpie"/>
          <w:rFonts w:ascii="Abadi" w:eastAsia="Batang" w:hAnsi="Abadi"/>
          <w:b w:val="0"/>
          <w:bCs w:val="0"/>
          <w:sz w:val="21"/>
          <w:szCs w:val="21"/>
          <w:lang w:val="es-MX" w:eastAsia="en-US"/>
        </w:rPr>
        <w:footnoteReference w:id="168"/>
      </w:r>
      <w:r w:rsidRPr="00431439">
        <w:rPr>
          <w:rFonts w:ascii="Abadi" w:eastAsia="Batang" w:hAnsi="Abadi"/>
          <w:b w:val="0"/>
          <w:bCs w:val="0"/>
          <w:sz w:val="21"/>
          <w:szCs w:val="21"/>
          <w:lang w:val="es-MX" w:eastAsia="en-US"/>
        </w:rPr>
        <w:t xml:space="preserve"> De acuerdo con la estadística, se infiere que el problema no reside en las obligaciones impuestas por la re</w:t>
      </w:r>
      <w:r w:rsidRPr="00431439">
        <w:rPr>
          <w:rFonts w:ascii="Abadi" w:eastAsia="Century Gothic" w:hAnsi="Abadi" w:cs="Century Gothic"/>
          <w:b w:val="0"/>
          <w:bCs w:val="0"/>
          <w:sz w:val="21"/>
          <w:szCs w:val="21"/>
          <w:lang w:val="es-MX" w:eastAsia="en-US"/>
        </w:rPr>
        <w:t>s</w:t>
      </w:r>
      <w:r w:rsidRPr="00431439">
        <w:rPr>
          <w:rFonts w:ascii="Abadi" w:eastAsia="Batang" w:hAnsi="Abadi"/>
          <w:b w:val="0"/>
          <w:bCs w:val="0"/>
          <w:sz w:val="21"/>
          <w:szCs w:val="21"/>
          <w:lang w:val="es-MX" w:eastAsia="en-US"/>
        </w:rPr>
        <w:t>olución del proceso de divorcio, sino en la falta de cumplimiento por parte del progenitor de los menores de edad para cumplir lo acordado en dicho proceso.</w:t>
      </w:r>
    </w:p>
    <w:p w14:paraId="65496318"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4B6B7D57"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Con este contexto, nos encontramos entonces ante la imposibilidad de conocer realmente el grado de incumplimiento de la obligación de dar pensión alimenticia por parte de los progenitores, es importante observar el dato del Censo de Población y Vivienda 2020</w:t>
      </w:r>
      <w:r w:rsidRPr="00431439">
        <w:rPr>
          <w:rStyle w:val="Refdenotaalpie"/>
          <w:rFonts w:ascii="Abadi" w:eastAsia="Batang" w:hAnsi="Abadi"/>
          <w:b w:val="0"/>
          <w:bCs w:val="0"/>
          <w:sz w:val="21"/>
          <w:szCs w:val="21"/>
          <w:lang w:val="es-MX" w:eastAsia="en-US"/>
        </w:rPr>
        <w:footnoteReference w:id="169"/>
      </w:r>
      <w:r w:rsidRPr="00431439">
        <w:rPr>
          <w:rFonts w:ascii="Abadi" w:eastAsia="Batang" w:hAnsi="Abadi"/>
          <w:b w:val="0"/>
          <w:bCs w:val="0"/>
          <w:sz w:val="21"/>
          <w:szCs w:val="21"/>
          <w:lang w:val="es-MX" w:eastAsia="en-US"/>
        </w:rPr>
        <w:t xml:space="preserve">, acerca del sexo de quien ejerce la jefatura de familia. En 33 de cada 100 hogares, las mujeres son reconocidas como jefas de la vivienda, esto significa 11,474,983 hogares. Además, del total de hogares se declaró que el 28.1% son hogares monoparentales, es decir, no existe la figura de uno de los progenitores. Del tema también se sabe que el 47% de los hombres de quince años y más se identificaron como padres de al </w:t>
      </w:r>
      <w:r w:rsidRPr="00431439">
        <w:rPr>
          <w:rFonts w:ascii="Abadi" w:eastAsia="Batang" w:hAnsi="Abadi"/>
          <w:b w:val="0"/>
          <w:bCs w:val="0"/>
          <w:sz w:val="21"/>
          <w:szCs w:val="21"/>
          <w:lang w:val="es-MX" w:eastAsia="en-US"/>
        </w:rPr>
        <w:lastRenderedPageBreak/>
        <w:t>menos una hija o un hijo que reside en la misma vivienda.</w:t>
      </w:r>
      <w:r w:rsidRPr="00431439">
        <w:rPr>
          <w:rStyle w:val="Refdenotaalpie"/>
          <w:rFonts w:ascii="Abadi" w:eastAsia="Batang" w:hAnsi="Abadi"/>
          <w:b w:val="0"/>
          <w:bCs w:val="0"/>
          <w:sz w:val="21"/>
          <w:szCs w:val="21"/>
          <w:lang w:val="es-MX" w:eastAsia="en-US"/>
        </w:rPr>
        <w:footnoteReference w:id="170"/>
      </w:r>
    </w:p>
    <w:p w14:paraId="75B4427A"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1F67344A"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Las cifras aquí enunciadas, refleja la existencia de millones de hogares con menores de edad o dependientes económicos que cubren sus necesidades solamente con la aportación de uno de sus progenitores, que comúnmente será la progenitora. De manera general podemos manifestar que las mujeres tienen mayores dificultades reales para allegarse un ingreso que les permita a ellas y sus familias un ingreso mínimo vital; situación que se agrava por la falta de apoyo a aquellas que son madres de familia de hijos menores de edad o con condición de dependencia, en las que los progenitores varones no se ocupan de su obligación legal para proporcionar alimentos, lo que se traduce en violencia patrimonial y económica por razón de género.</w:t>
      </w:r>
    </w:p>
    <w:p w14:paraId="7862861C" w14:textId="77777777" w:rsidR="00431439" w:rsidRPr="00431439" w:rsidRDefault="00431439" w:rsidP="00EF7206">
      <w:pPr>
        <w:pStyle w:val="Textoindependiente"/>
        <w:ind w:firstLine="708"/>
        <w:rPr>
          <w:rFonts w:ascii="Abadi" w:eastAsia="Batang" w:hAnsi="Abadi"/>
          <w:b w:val="0"/>
          <w:bCs w:val="0"/>
          <w:sz w:val="21"/>
          <w:szCs w:val="21"/>
          <w:lang w:val="es-MX" w:eastAsia="en-US"/>
        </w:rPr>
      </w:pPr>
    </w:p>
    <w:p w14:paraId="554DB8FF"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Continuando con nuestra línea argumentativa, es importante expresar lo manifestado a nivel internacional sobre nuestros tópicos, pues tratándose de convenciones en refrendo y protección de derechos humanos hacemos hincapié sobre la </w:t>
      </w:r>
      <w:r w:rsidRPr="00431439">
        <w:rPr>
          <w:rFonts w:ascii="Abadi" w:eastAsia="Batang" w:hAnsi="Abadi"/>
          <w:b w:val="0"/>
          <w:bCs w:val="0"/>
          <w:i/>
          <w:iCs/>
          <w:sz w:val="21"/>
          <w:szCs w:val="21"/>
          <w:lang w:val="es-MX" w:eastAsia="en-US"/>
        </w:rPr>
        <w:t>Convención Interamericana para Prevenir, Sancionar y Erradicar la Violencia contra la Mujer Convención de Belem do Para</w:t>
      </w:r>
      <w:r w:rsidRPr="00431439">
        <w:rPr>
          <w:rFonts w:ascii="Abadi" w:eastAsia="Batang" w:hAnsi="Abadi"/>
          <w:b w:val="0"/>
          <w:bCs w:val="0"/>
          <w:sz w:val="21"/>
          <w:szCs w:val="21"/>
          <w:lang w:val="es-MX" w:eastAsia="en-US"/>
        </w:rPr>
        <w:t xml:space="preserve"> define en su artículo 1, la violencia contra la mujer como cualquier acción o conducta, basada en su género, que cause muerte, daño o sufrimiento físico, sexual psicológico a la mujer, tanto en el ámbito público como en el privado. Los tipos de la violencia contra las mujeres, que menciona la </w:t>
      </w:r>
      <w:r w:rsidRPr="00431439">
        <w:rPr>
          <w:rFonts w:ascii="Abadi" w:eastAsia="Batang" w:hAnsi="Abadi"/>
          <w:b w:val="0"/>
          <w:bCs w:val="0"/>
          <w:i/>
          <w:iCs/>
          <w:sz w:val="21"/>
          <w:szCs w:val="21"/>
          <w:lang w:val="es-MX" w:eastAsia="en-US"/>
        </w:rPr>
        <w:t>Convención de Belém Do Para</w:t>
      </w:r>
      <w:r w:rsidRPr="00431439">
        <w:rPr>
          <w:rFonts w:ascii="Abadi" w:eastAsia="Batang" w:hAnsi="Abadi"/>
          <w:b w:val="0"/>
          <w:bCs w:val="0"/>
          <w:sz w:val="21"/>
          <w:szCs w:val="21"/>
          <w:lang w:val="es-MX" w:eastAsia="en-US"/>
        </w:rPr>
        <w:t>, incluyen la violencia física, sexual y psicológica:</w:t>
      </w:r>
    </w:p>
    <w:p w14:paraId="21BEFEBB"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373F1B95"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a.</w:t>
      </w:r>
      <w:r w:rsidRPr="00947EC7">
        <w:rPr>
          <w:rFonts w:ascii="Abadi" w:hAnsi="Abadi" w:cs="Calibri"/>
          <w:bCs/>
          <w:i/>
          <w:sz w:val="21"/>
          <w:szCs w:val="21"/>
          <w:lang w:eastAsia="en-US"/>
        </w:rPr>
        <w:tab/>
        <w:t>que tenga lugar dentro de la familia o unidad doméstica o en cualquier otra relación interpersonal, ya sea que el agresor comparta o haya compartido el mismo domicilio que la mujer, y que comprende, entre otros, violación, maltrato y abuso sexual;</w:t>
      </w:r>
    </w:p>
    <w:p w14:paraId="0B120032"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b.</w:t>
      </w:r>
      <w:r w:rsidRPr="00947EC7">
        <w:rPr>
          <w:rFonts w:ascii="Abadi" w:hAnsi="Abadi" w:cs="Calibri"/>
          <w:bCs/>
          <w:i/>
          <w:sz w:val="21"/>
          <w:szCs w:val="21"/>
          <w:lang w:eastAsia="en-US"/>
        </w:rPr>
        <w:tab/>
        <w:t>que tenga lugar en la comunidad y sea perpetrada por cualquier persona y que comprende, entre otros, violación, abuso sexual, tortura, trata de personas, prostitución forzada, secuestro y acoso sexual en el lugar de trabajo, así como en instituciones educativas, establecimientos de salud o cualquier otro lugar, y</w:t>
      </w:r>
    </w:p>
    <w:p w14:paraId="4C9E2234" w14:textId="77777777" w:rsidR="00427BD6" w:rsidRPr="00947EC7" w:rsidRDefault="00427BD6" w:rsidP="00EF7206">
      <w:pPr>
        <w:pStyle w:val="paragraph"/>
        <w:spacing w:before="0" w:beforeAutospacing="0" w:after="0" w:afterAutospacing="0"/>
        <w:ind w:left="1134" w:right="44"/>
        <w:jc w:val="both"/>
        <w:textAlignment w:val="baseline"/>
        <w:rPr>
          <w:rFonts w:ascii="Abadi" w:hAnsi="Abadi" w:cs="Calibri"/>
          <w:bCs/>
          <w:i/>
          <w:sz w:val="21"/>
          <w:szCs w:val="21"/>
          <w:lang w:eastAsia="en-US"/>
        </w:rPr>
      </w:pPr>
      <w:r w:rsidRPr="00947EC7">
        <w:rPr>
          <w:rFonts w:ascii="Abadi" w:hAnsi="Abadi" w:cs="Calibri"/>
          <w:bCs/>
          <w:i/>
          <w:sz w:val="21"/>
          <w:szCs w:val="21"/>
          <w:lang w:eastAsia="en-US"/>
        </w:rPr>
        <w:t>c.</w:t>
      </w:r>
      <w:r w:rsidRPr="00947EC7">
        <w:rPr>
          <w:rFonts w:ascii="Abadi" w:hAnsi="Abadi" w:cs="Calibri"/>
          <w:bCs/>
          <w:i/>
          <w:sz w:val="21"/>
          <w:szCs w:val="21"/>
          <w:lang w:eastAsia="en-US"/>
        </w:rPr>
        <w:tab/>
        <w:t>que sea perpetrada o tolerada por el Estado o sus agentes, dondequiera que ocurra.</w:t>
      </w:r>
      <w:r w:rsidRPr="00947EC7">
        <w:rPr>
          <w:rStyle w:val="Refdenotaalpie"/>
          <w:rFonts w:ascii="Abadi" w:eastAsia="Calibri" w:hAnsi="Abadi" w:cs="Calibri"/>
          <w:bCs/>
          <w:i/>
          <w:sz w:val="21"/>
          <w:szCs w:val="21"/>
          <w:lang w:eastAsia="en-US"/>
        </w:rPr>
        <w:footnoteReference w:id="171"/>
      </w:r>
    </w:p>
    <w:p w14:paraId="69930CE4" w14:textId="77777777" w:rsidR="00427BD6" w:rsidRPr="00947EC7" w:rsidRDefault="00427BD6" w:rsidP="00EF7206">
      <w:pPr>
        <w:pStyle w:val="paragraph"/>
        <w:spacing w:before="0" w:beforeAutospacing="0" w:after="0" w:afterAutospacing="0"/>
        <w:ind w:right="44"/>
        <w:jc w:val="both"/>
        <w:textAlignment w:val="baseline"/>
        <w:rPr>
          <w:rFonts w:ascii="Abadi" w:hAnsi="Abadi" w:cs="Calibri"/>
          <w:bCs/>
          <w:i/>
          <w:sz w:val="21"/>
          <w:szCs w:val="21"/>
          <w:lang w:eastAsia="en-US"/>
        </w:rPr>
      </w:pPr>
    </w:p>
    <w:p w14:paraId="4962652A"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Desde este ejercicio legislativo constituyen objeto de estudio todas las propuestas presentadas, toda vez que tienen un contenido y motivación común, que es sancionar con la suspensión de sus derechos políticos, electorales y civiles a quienes hayan sido encontrados, por resolución judicial firme, como violentadores de otras personas; y las consideraciones son para efectos procedimentales, como un marco principal donde por su comprensión y extensión pueden quedar integrados todos los planteamientos de las diferentes iniciativas, la primera que fue suscrita el 10 de marzo de 2022 por las diputadas Yulma Rocha Aguilar, Martha Lourdes ortega Roque y Dessire </w:t>
      </w:r>
      <w:proofErr w:type="spellStart"/>
      <w:r w:rsidRPr="00431439">
        <w:rPr>
          <w:rFonts w:ascii="Abadi" w:eastAsia="Batang" w:hAnsi="Abadi"/>
          <w:b w:val="0"/>
          <w:bCs w:val="0"/>
          <w:sz w:val="21"/>
          <w:szCs w:val="21"/>
          <w:lang w:val="es-MX" w:eastAsia="en-US"/>
        </w:rPr>
        <w:t>Angel</w:t>
      </w:r>
      <w:proofErr w:type="spellEnd"/>
      <w:r w:rsidRPr="00431439">
        <w:rPr>
          <w:rFonts w:ascii="Abadi" w:eastAsia="Batang" w:hAnsi="Abadi"/>
          <w:b w:val="0"/>
          <w:bCs w:val="0"/>
          <w:sz w:val="21"/>
          <w:szCs w:val="21"/>
          <w:lang w:val="es-MX" w:eastAsia="en-US"/>
        </w:rPr>
        <w:t xml:space="preserve"> Rocha, integrantes de esta Sexagésima Quinta Legislatura, denominada como  </w:t>
      </w:r>
      <w:r w:rsidRPr="00431439">
        <w:rPr>
          <w:rFonts w:eastAsia="Batang"/>
          <w:b w:val="0"/>
          <w:bCs w:val="0"/>
          <w:sz w:val="21"/>
          <w:szCs w:val="21"/>
          <w:lang w:val="es-MX" w:eastAsia="en-US"/>
        </w:rPr>
        <w:t>―</w:t>
      </w:r>
      <w:r w:rsidRPr="00431439">
        <w:rPr>
          <w:rFonts w:ascii="Abadi" w:eastAsia="Batang" w:hAnsi="Abadi"/>
          <w:b w:val="0"/>
          <w:bCs w:val="0"/>
          <w:i/>
          <w:iCs/>
          <w:sz w:val="21"/>
          <w:szCs w:val="21"/>
          <w:lang w:val="es-MX" w:eastAsia="en-US"/>
        </w:rPr>
        <w:t>3 de 3</w:t>
      </w:r>
      <w:r w:rsidRPr="00431439">
        <w:rPr>
          <w:rFonts w:eastAsia="Batang"/>
          <w:b w:val="0"/>
          <w:bCs w:val="0"/>
          <w:i/>
          <w:iCs/>
          <w:sz w:val="21"/>
          <w:szCs w:val="21"/>
          <w:lang w:val="es-MX" w:eastAsia="en-US"/>
        </w:rPr>
        <w:t>―</w:t>
      </w:r>
      <w:r w:rsidRPr="00431439">
        <w:rPr>
          <w:rFonts w:ascii="Abadi" w:eastAsia="Batang" w:hAnsi="Abadi"/>
          <w:b w:val="0"/>
          <w:bCs w:val="0"/>
          <w:i/>
          <w:iCs/>
          <w:sz w:val="21"/>
          <w:szCs w:val="21"/>
          <w:lang w:val="es-MX" w:eastAsia="en-US"/>
        </w:rPr>
        <w:t xml:space="preserve">, </w:t>
      </w:r>
      <w:r w:rsidRPr="00431439">
        <w:rPr>
          <w:rFonts w:ascii="Abadi" w:eastAsia="Batang" w:hAnsi="Abadi"/>
          <w:b w:val="0"/>
          <w:bCs w:val="0"/>
          <w:sz w:val="21"/>
          <w:szCs w:val="21"/>
          <w:lang w:val="es-MX" w:eastAsia="en-US"/>
        </w:rPr>
        <w:t>la segunda que suscribió diputada y diputado integrantes del Grupo Parlamentario del Partido MORENA, el 9 de marzo de 2023 y la suscrita el 25 de mayo de 2023 por las diputadas y los diputados integrantes de esta Comisión de Gobernación y Puntos Constitucionales y dos diputadas integrantes de la Legislatura</w:t>
      </w:r>
      <w:r w:rsidRPr="00431439">
        <w:rPr>
          <w:rStyle w:val="Refdenotaalpie"/>
          <w:rFonts w:ascii="Abadi" w:eastAsia="Batang" w:hAnsi="Abadi"/>
          <w:b w:val="0"/>
          <w:bCs w:val="0"/>
          <w:sz w:val="21"/>
          <w:szCs w:val="21"/>
          <w:lang w:val="es-MX" w:eastAsia="en-US"/>
        </w:rPr>
        <w:footnoteReference w:id="172"/>
      </w:r>
      <w:r w:rsidRPr="00431439">
        <w:rPr>
          <w:rFonts w:ascii="Abadi" w:eastAsia="Batang" w:hAnsi="Abadi"/>
          <w:b w:val="0"/>
          <w:bCs w:val="0"/>
          <w:sz w:val="21"/>
          <w:szCs w:val="21"/>
          <w:lang w:val="es-MX" w:eastAsia="en-US"/>
        </w:rPr>
        <w:t>, referidas en los antecedentes, que parten de reconocer, la existencia tangible de un fenómeno real, a fin de sancionar a personas que han cometido delitos e ilícitos que dañan la vida; la salud; la libertad, la seguridad y el normal desarrollo sexual de terceras personas; la vida familiar, el derecho de alimentos y los derechos político-</w:t>
      </w:r>
      <w:r w:rsidRPr="00431439">
        <w:rPr>
          <w:rFonts w:ascii="Abadi" w:eastAsia="Batang" w:hAnsi="Abadi"/>
          <w:b w:val="0"/>
          <w:bCs w:val="0"/>
          <w:sz w:val="21"/>
          <w:szCs w:val="21"/>
          <w:lang w:val="es-MX" w:eastAsia="en-US"/>
        </w:rPr>
        <w:lastRenderedPageBreak/>
        <w:t>electorales, cuando son postuladas o pretendan ser postuladas para cargos de elección popular, o bien, acceder a empleos, cargos o comisiones del servicio público.</w:t>
      </w:r>
    </w:p>
    <w:p w14:paraId="5ECFCA08"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64868393"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Es decir, la iniciativa que fue turnada el 25 de mayo de 2023 enunciada como </w:t>
      </w:r>
      <w:r w:rsidRPr="00431439">
        <w:rPr>
          <w:rFonts w:eastAsia="Batang"/>
          <w:b w:val="0"/>
          <w:bCs w:val="0"/>
          <w:sz w:val="21"/>
          <w:szCs w:val="21"/>
          <w:lang w:val="es-MX" w:eastAsia="en-US"/>
        </w:rPr>
        <w:t>―</w:t>
      </w:r>
      <w:r w:rsidRPr="00431439">
        <w:rPr>
          <w:rFonts w:ascii="Abadi" w:eastAsia="Batang" w:hAnsi="Abadi"/>
          <w:b w:val="0"/>
          <w:bCs w:val="0"/>
          <w:i/>
          <w:iCs/>
          <w:sz w:val="21"/>
          <w:szCs w:val="21"/>
          <w:lang w:val="es-MX" w:eastAsia="en-US"/>
        </w:rPr>
        <w:t>de armonización sobre suspensión de derechos para ocupar un cargo, empleo o comisión del servicio público</w:t>
      </w:r>
      <w:r w:rsidRPr="00431439">
        <w:rPr>
          <w:rFonts w:eastAsia="Batang"/>
          <w:b w:val="0"/>
          <w:bCs w:val="0"/>
          <w:i/>
          <w:iCs/>
          <w:sz w:val="21"/>
          <w:szCs w:val="21"/>
          <w:lang w:val="es-MX" w:eastAsia="en-US"/>
        </w:rPr>
        <w:t>―</w:t>
      </w:r>
      <w:r w:rsidRPr="00431439">
        <w:rPr>
          <w:rFonts w:ascii="Abadi" w:eastAsia="Batang" w:hAnsi="Abadi"/>
          <w:b w:val="0"/>
          <w:bCs w:val="0"/>
          <w:sz w:val="21"/>
          <w:szCs w:val="21"/>
          <w:lang w:val="es-MX" w:eastAsia="en-US"/>
        </w:rPr>
        <w:t xml:space="preserve"> al final hace consistir sus razones justificativas en que la propuesta expresa en el consenso de la comisión legislativa para elaborarla y que enuncia un piso mínimo de entendimientos a la vez que común, que han convenido luego de los trabajos en la materia derivados del análisis de la similar con el </w:t>
      </w:r>
      <w:r w:rsidRPr="00431439">
        <w:rPr>
          <w:rFonts w:ascii="Abadi" w:eastAsia="Batang" w:hAnsi="Abadi"/>
          <w:b w:val="0"/>
          <w:bCs w:val="0"/>
          <w:i/>
          <w:iCs/>
          <w:sz w:val="21"/>
          <w:szCs w:val="21"/>
          <w:lang w:val="es-MX" w:eastAsia="en-US"/>
        </w:rPr>
        <w:t>ELD 182A/LXV-I</w:t>
      </w:r>
      <w:r w:rsidRPr="00431439">
        <w:rPr>
          <w:rFonts w:ascii="Abadi" w:eastAsia="Batang" w:hAnsi="Abadi"/>
          <w:b w:val="0"/>
          <w:bCs w:val="0"/>
          <w:sz w:val="21"/>
          <w:szCs w:val="21"/>
          <w:lang w:val="es-MX" w:eastAsia="en-US"/>
        </w:rPr>
        <w:t xml:space="preserve"> al interior de la propia comisión que hoy dictamina y de la reforma constitucional publicada a través del decreto legislativo en el Diario Oficial de la Federación del 29 de mayo de 2023</w:t>
      </w:r>
      <w:r w:rsidRPr="00431439">
        <w:rPr>
          <w:rStyle w:val="Refdenotaalpie"/>
          <w:rFonts w:ascii="Abadi" w:eastAsia="Batang" w:hAnsi="Abadi"/>
          <w:b w:val="0"/>
          <w:bCs w:val="0"/>
          <w:sz w:val="21"/>
          <w:szCs w:val="21"/>
          <w:lang w:val="es-MX" w:eastAsia="en-US"/>
        </w:rPr>
        <w:footnoteReference w:id="173"/>
      </w:r>
      <w:r w:rsidRPr="00431439">
        <w:rPr>
          <w:rFonts w:ascii="Abadi" w:eastAsia="Batang" w:hAnsi="Abadi"/>
          <w:b w:val="0"/>
          <w:bCs w:val="0"/>
          <w:sz w:val="21"/>
          <w:szCs w:val="21"/>
          <w:lang w:val="es-MX" w:eastAsia="en-US"/>
        </w:rPr>
        <w:t xml:space="preserve">. </w:t>
      </w:r>
    </w:p>
    <w:p w14:paraId="1772831C" w14:textId="77777777" w:rsidR="00427BD6" w:rsidRPr="00947EC7" w:rsidRDefault="00427BD6" w:rsidP="00EF7206">
      <w:pPr>
        <w:pStyle w:val="Textoindependiente"/>
        <w:ind w:firstLine="708"/>
        <w:rPr>
          <w:rFonts w:ascii="Abadi" w:eastAsia="Batang" w:hAnsi="Abadi"/>
          <w:sz w:val="21"/>
          <w:szCs w:val="21"/>
          <w:highlight w:val="yellow"/>
          <w:lang w:val="es-MX" w:eastAsia="en-US"/>
        </w:rPr>
      </w:pPr>
    </w:p>
    <w:p w14:paraId="1F1C8172"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El objetivo de la propuesta de armonización de la Constitución Política para el Estado de Guanajuato  es, por ende, que toda persona que se postule o acceda a un cargo, empleo o comisión público, cuenten con un perfil orientado a respetar la vida; la salud; la libertad, la seguridad y el normal desarrollo sexual, así como el derecho de alimentos y los derechos políticos electorales de las personas y, en especial, de las mujeres, pues de esta manera se prevendrá que esas personas puedan ser víctimas de hechos ilícitos que lesionen sus derechos y provocará, además, incentivos para un comportamiento en las personas que se postulen u ocupen esos cargos, empleos o comisiones.</w:t>
      </w:r>
    </w:p>
    <w:p w14:paraId="239EB5B4"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1AAD7237"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Desde esta perspectiva, la Constitución Política de los Estados Unidos Mexicanos máxima norma del país, en tanto expresa los acuerdos base de los actores de su vida política, económica, cultural y social; prevé los componentes del Estado Mexicano; instituye la estructura, organización y atribuciones de los poderes públicos y entes </w:t>
      </w:r>
      <w:r w:rsidRPr="00431439">
        <w:rPr>
          <w:rFonts w:ascii="Abadi" w:eastAsia="Batang" w:hAnsi="Abadi"/>
          <w:b w:val="0"/>
          <w:bCs w:val="0"/>
          <w:sz w:val="21"/>
          <w:szCs w:val="21"/>
          <w:lang w:val="es-MX" w:eastAsia="en-US"/>
        </w:rPr>
        <w:t>autónomos en sus diversos órdenes; y reconoce de forma directa o por reenvío los derechos humanos de los que gozan las personas.</w:t>
      </w:r>
      <w:r w:rsidRPr="00431439">
        <w:rPr>
          <w:rStyle w:val="Refdenotaalpie"/>
          <w:rFonts w:ascii="Abadi" w:eastAsia="Batang" w:hAnsi="Abadi"/>
          <w:b w:val="0"/>
          <w:bCs w:val="0"/>
          <w:sz w:val="21"/>
          <w:szCs w:val="21"/>
          <w:lang w:val="es-MX" w:eastAsia="en-US"/>
        </w:rPr>
        <w:footnoteReference w:id="174"/>
      </w:r>
      <w:r w:rsidRPr="00431439">
        <w:rPr>
          <w:rFonts w:ascii="Abadi" w:eastAsia="Batang" w:hAnsi="Abadi"/>
          <w:b w:val="0"/>
          <w:bCs w:val="0"/>
          <w:sz w:val="21"/>
          <w:szCs w:val="21"/>
          <w:lang w:val="es-MX" w:eastAsia="en-US"/>
        </w:rPr>
        <w:t xml:space="preserve"> El derecho a que se respete, entre otros, la vida; la salud; la libertad, la seguridad y el normal desarrollo sexual; el derecho de alimentos y los derechos político-electorales, de toda persona que se incorporan de forma explícita en el texto de la Constitución y en los tratados internacionales. </w:t>
      </w:r>
    </w:p>
    <w:p w14:paraId="0B0367D3"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1CB2B3D7"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Bajo esta perspectiva, aunque no se tienen datos precisos sobre la frecuencia de la comisión de ilícitos que lesionan o violentan los bienes y valores enunciados, es evidente que una persona que los daña no debe ser depositaria de un cargo, empleo o comisión públicos, ni debe ser candidata para un cargo de elección popular, porque el servicio público, por su propia naturaleza representa una función que se ejerce a favor de toda persona y que debe respetar los bienes y valores que la Constitución reconoce, como los antedichos. Antecedentes de estas medidas que por vía de modificación ahora se proponen, como se explica de manera global en las iniciativas, se encuentran en los procesos electorales previos, en los que las personas postuladas para un cargo de elección popular debían firmar una declaración de buena fe y bajo protesta de decir verdad de que no habían sido sentenciados por ilícitos que afectaran los derechos que se han mencionado.</w:t>
      </w:r>
    </w:p>
    <w:p w14:paraId="0EA9FCB3"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2A501E58"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Sin embargo, cierto es que las declaraciones carecían de una base constitucional y legal que les brindara seguridad, certeza y alcance obligatorio, amén de que esas declaraciones solo tenían como destinatarias a las personas candidatas a un cargo de elección popular, pero no a una persona diversa que ocupara un empleo, cargo o comisión públicos, que igualmente deben respetar los bienes y derechos que se citan.</w:t>
      </w:r>
    </w:p>
    <w:p w14:paraId="5EA8DC1A"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0F10ABE3"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lastRenderedPageBreak/>
        <w:t xml:space="preserve">De ahí la necesidad de que se prevean en nuestro Código Político Local, en armonía ahora con nuestra Constitución Política de los Estados Unidos Mexicanos como requisitos de elegibilidad y, en su caso, para ocupar el cargo, empleo o comisión públicos, que la persona no esté sentenciada de manera firme por la comisión de los ilícitos o por el incumplimiento de obligaciones alimentarias y que lesionan los bienes y valores de referencia, entre otros supuestos, como lo es la violencia política. Esta situación no ha escapado a los actores políticos en los estados, claro ejemplo son las iniciativas que en diferentes entidades se han presentado, solicitando se modifiquen las Constituciones Políticas Locales o las leyes secundarias en la materia, tal es el caso de Guanajuato, entre otros. </w:t>
      </w:r>
    </w:p>
    <w:p w14:paraId="0D9EE029"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230A3D51"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Reforma Constitucional en los artículos 38 y 102 y la armonización en la Constitución Política para el Estado de Guanajuato</w:t>
      </w:r>
    </w:p>
    <w:p w14:paraId="5ADF1DA6"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3C813F3F"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La reforma a la Constitución Política de los Estados Unidos Mexicanos, en sus artículos 38 y 102, publicada en el Diario Oficial de la Federación el 29 de mayo de 2023</w:t>
      </w:r>
      <w:r w:rsidRPr="00431439">
        <w:rPr>
          <w:rStyle w:val="Refdenotaalpie"/>
          <w:rFonts w:ascii="Abadi" w:eastAsia="Batang" w:hAnsi="Abadi"/>
          <w:b w:val="0"/>
          <w:bCs w:val="0"/>
          <w:sz w:val="21"/>
          <w:szCs w:val="21"/>
          <w:lang w:val="es-MX" w:eastAsia="en-US"/>
        </w:rPr>
        <w:footnoteReference w:id="175"/>
      </w:r>
      <w:r w:rsidRPr="00431439">
        <w:rPr>
          <w:rFonts w:ascii="Abadi" w:eastAsia="Batang" w:hAnsi="Abadi"/>
          <w:b w:val="0"/>
          <w:bCs w:val="0"/>
          <w:sz w:val="21"/>
          <w:szCs w:val="21"/>
          <w:lang w:val="es-MX" w:eastAsia="en-US"/>
        </w:rPr>
        <w:t>, y hoy vigente, viene a generar una acción de armonización, en su caso de la Constitución Local y leyes en la materia que se relacionen con los supuestos, de ahí la necesidad de establecer esos parámetros de carácter constitucional en Guanajuato.</w:t>
      </w:r>
    </w:p>
    <w:p w14:paraId="45643AD7"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3132139D"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 xml:space="preserve">El texto constitucional regula con un lenguaje preciso las conductas sancionadas con sentencia judicial firme, que se refieren a delitos contra: una, la privación dolosa de la vida y dos, la integridad corporal; tres, la libertad; cuatro, el normal desarrollo psicosexual de terceras personas; cinco, violencia familiar; seis, por violencia familiar equiparada o doméstica; siete, por violación a la intimidad sexual; y ocho, por violencia política contra las mujeres en razón de género y nueve, por estar en situación de incumplimiento moroso de la obligación </w:t>
      </w:r>
      <w:r w:rsidRPr="00431439">
        <w:rPr>
          <w:rFonts w:ascii="Abadi" w:eastAsia="Batang" w:hAnsi="Abadi"/>
          <w:b w:val="0"/>
          <w:bCs w:val="0"/>
          <w:sz w:val="21"/>
          <w:szCs w:val="21"/>
          <w:lang w:val="es-MX" w:eastAsia="en-US"/>
        </w:rPr>
        <w:t>humana de proporcionar alimentos a quien sea acreedor legal de tal prestación. Se trata pues de sentenciados por resolución que tenga la naturaleza de cosa juzgada. Esto último es fundamental, pues es un requisito la sentencia firme, respeta cabalmente el principio de presunción de inocencia, que es toral en nuestro esquema de derechos fundamentales consagrados en la Constitución Federal. De esta manera podemos manifestar que la reforma comprende no sólo todos los cargos en específico, sino que caben con un solo enunciado las hipótesis de la misma prohibición para contender por un cargo de elección popular u ocupar empleo o comisión públicos, de los órdenes de gobierno: federal, estatal y municipal.</w:t>
      </w:r>
    </w:p>
    <w:p w14:paraId="692728C7"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1E5443B8"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r w:rsidRPr="00431439">
        <w:rPr>
          <w:rFonts w:ascii="Abadi" w:eastAsia="Batang" w:hAnsi="Abadi"/>
          <w:b w:val="0"/>
          <w:bCs w:val="0"/>
          <w:sz w:val="21"/>
          <w:szCs w:val="21"/>
          <w:lang w:val="es-MX" w:eastAsia="en-US"/>
        </w:rPr>
        <w:t>En ese sentido, para quienes dictaminamos es menester referir que los requisitos de elegibilidad son las condiciones, cualidades, características, capacidad y aptitudes establecidas por la Constitución General</w:t>
      </w:r>
      <w:r w:rsidRPr="00431439">
        <w:rPr>
          <w:rStyle w:val="Refdenotaalpie"/>
          <w:rFonts w:ascii="Abadi" w:eastAsia="Batang" w:hAnsi="Abadi"/>
          <w:b w:val="0"/>
          <w:bCs w:val="0"/>
          <w:sz w:val="21"/>
          <w:szCs w:val="21"/>
          <w:lang w:val="es-MX" w:eastAsia="en-US"/>
        </w:rPr>
        <w:footnoteReference w:id="176"/>
      </w:r>
      <w:r w:rsidRPr="00431439">
        <w:rPr>
          <w:rFonts w:ascii="Abadi" w:eastAsia="Batang" w:hAnsi="Abadi"/>
          <w:b w:val="0"/>
          <w:bCs w:val="0"/>
          <w:sz w:val="21"/>
          <w:szCs w:val="21"/>
          <w:lang w:val="es-MX" w:eastAsia="en-US"/>
        </w:rPr>
        <w:t xml:space="preserve"> y en la Ley, que una persona debe cumplir para poder ocupar un cargo de elección popular. En consecuencia, la elegibilidad se traduce en la satisfacción de determinados requisitos inherentes a la persona, no solamente para tener una candidatura para ocupar el puesto de elección popular, sino incluso necesarios para ocupar el cargo y ejercerlo; requisitos que deben estar expresamente previstos en el ordenamiento jurídico aplicable, sin que sea dable ampliarlos o restringirlos por voluntad diversa a la del constituyente o del poder legislativo ordinario, en su caso, con el fin de hacer vigente el derecho fundamental de ser votado. </w:t>
      </w:r>
    </w:p>
    <w:p w14:paraId="21B6B320" w14:textId="77777777" w:rsidR="00427BD6" w:rsidRPr="00431439" w:rsidRDefault="00427BD6" w:rsidP="00EF7206">
      <w:pPr>
        <w:pStyle w:val="Textoindependiente"/>
        <w:ind w:firstLine="708"/>
        <w:rPr>
          <w:rFonts w:ascii="Abadi" w:eastAsia="Batang" w:hAnsi="Abadi"/>
          <w:b w:val="0"/>
          <w:bCs w:val="0"/>
          <w:sz w:val="21"/>
          <w:szCs w:val="21"/>
          <w:lang w:val="es-MX" w:eastAsia="en-US"/>
        </w:rPr>
      </w:pPr>
    </w:p>
    <w:p w14:paraId="79029ED3" w14:textId="77777777" w:rsidR="00427BD6" w:rsidRPr="00431439" w:rsidRDefault="00427BD6" w:rsidP="00EF7206">
      <w:pPr>
        <w:ind w:firstLine="708"/>
        <w:jc w:val="both"/>
        <w:rPr>
          <w:rFonts w:ascii="Abadi" w:eastAsia="Batang" w:hAnsi="Abadi" w:cs="Arial"/>
          <w:sz w:val="21"/>
          <w:szCs w:val="21"/>
        </w:rPr>
      </w:pPr>
      <w:r w:rsidRPr="00431439">
        <w:rPr>
          <w:rFonts w:ascii="Abadi" w:eastAsia="Batang" w:hAnsi="Abadi" w:cs="Arial"/>
          <w:sz w:val="21"/>
          <w:szCs w:val="21"/>
        </w:rPr>
        <w:t xml:space="preserve">Las y los diputados de esta Sexagésima Quinta Legislatura y que conformamos esta comisión dictaminadora entendemos que debemos garantizar que los derechos político-electorales de los ciudadanos del Estado de Guanajuato no estén sujetos a una interpretación para que no tengan una limitación desproporcional e injustificada del derecho a ser votado de los ciudadanos que, en su pasado, hayan </w:t>
      </w:r>
      <w:r w:rsidRPr="00431439">
        <w:rPr>
          <w:rFonts w:ascii="Abadi" w:eastAsia="Batang" w:hAnsi="Abadi" w:cs="Arial"/>
          <w:sz w:val="21"/>
          <w:szCs w:val="21"/>
        </w:rPr>
        <w:lastRenderedPageBreak/>
        <w:t xml:space="preserve">cometido alguna de las conductas prohibidas previstas, a pesar de haber cumplido con su respectiva condena y contar con los demás requisitos de elegibilidad que se prevean. </w:t>
      </w:r>
    </w:p>
    <w:p w14:paraId="7493FA70" w14:textId="77777777" w:rsidR="00427BD6" w:rsidRPr="00431439" w:rsidRDefault="00427BD6" w:rsidP="00EF7206">
      <w:pPr>
        <w:ind w:firstLine="708"/>
        <w:jc w:val="both"/>
        <w:rPr>
          <w:rFonts w:ascii="Abadi" w:eastAsia="Batang" w:hAnsi="Abadi" w:cs="Arial"/>
          <w:sz w:val="21"/>
          <w:szCs w:val="21"/>
        </w:rPr>
      </w:pPr>
    </w:p>
    <w:p w14:paraId="6BFB8934" w14:textId="77777777" w:rsidR="00427BD6" w:rsidRPr="00947EC7" w:rsidRDefault="00427BD6" w:rsidP="00EF7206">
      <w:pPr>
        <w:ind w:firstLine="708"/>
        <w:jc w:val="both"/>
        <w:rPr>
          <w:rFonts w:ascii="Abadi" w:eastAsia="Batang" w:hAnsi="Abadi" w:cs="Arial"/>
          <w:sz w:val="21"/>
          <w:szCs w:val="21"/>
        </w:rPr>
      </w:pPr>
      <w:r w:rsidRPr="00431439">
        <w:rPr>
          <w:rFonts w:ascii="Abadi" w:eastAsia="Batang" w:hAnsi="Abadi" w:cs="Arial"/>
          <w:sz w:val="21"/>
          <w:szCs w:val="21"/>
        </w:rPr>
        <w:t>En congruencia con lo anterior, se reitera que derivado del análisis que esta comisión legislativa</w:t>
      </w:r>
      <w:r w:rsidRPr="00947EC7">
        <w:rPr>
          <w:rFonts w:ascii="Abadi" w:eastAsia="Batang" w:hAnsi="Abadi" w:cs="Arial"/>
          <w:sz w:val="21"/>
          <w:szCs w:val="21"/>
        </w:rPr>
        <w:t xml:space="preserve"> realizó sobre el tema que nos ocupa, en conjunto con la Minuta Proyecto de Decreto</w:t>
      </w:r>
      <w:r w:rsidRPr="00947EC7">
        <w:rPr>
          <w:rFonts w:ascii="Abadi" w:eastAsia="DejaVu Sans" w:hAnsi="Abadi" w:cs="Tahoma"/>
          <w:iCs/>
          <w:kern w:val="1"/>
          <w:sz w:val="21"/>
          <w:szCs w:val="21"/>
          <w:lang w:eastAsia="ar-SA"/>
        </w:rPr>
        <w:t xml:space="preserve"> </w:t>
      </w:r>
      <w:r w:rsidRPr="00947EC7">
        <w:rPr>
          <w:rFonts w:ascii="Abadi" w:eastAsia="Batang" w:hAnsi="Abadi" w:cs="Arial"/>
          <w:sz w:val="21"/>
          <w:szCs w:val="21"/>
        </w:rPr>
        <w:t xml:space="preserve">que en su momento remitió la Cámara de Senadores </w:t>
      </w:r>
      <w:r w:rsidRPr="00947EC7">
        <w:rPr>
          <w:rFonts w:ascii="Abadi" w:eastAsia="Batang" w:hAnsi="Abadi" w:cs="Arial"/>
          <w:i/>
          <w:iCs/>
          <w:sz w:val="21"/>
          <w:szCs w:val="21"/>
        </w:rPr>
        <w:t>en materia de suspensión de derechos para ocupar un cargo, empleo o comisión del servicio público,</w:t>
      </w:r>
      <w:r w:rsidRPr="00947EC7">
        <w:rPr>
          <w:rFonts w:ascii="Abadi" w:eastAsia="DejaVu Sans" w:hAnsi="Abadi" w:cs="Tahoma"/>
          <w:iCs/>
          <w:kern w:val="1"/>
          <w:sz w:val="21"/>
          <w:szCs w:val="21"/>
          <w:lang w:eastAsia="ar-SA"/>
        </w:rPr>
        <w:t xml:space="preserve"> </w:t>
      </w:r>
      <w:r w:rsidRPr="00947EC7">
        <w:rPr>
          <w:rFonts w:ascii="Abadi" w:eastAsia="Batang" w:hAnsi="Abadi" w:cs="Arial"/>
          <w:sz w:val="21"/>
          <w:szCs w:val="21"/>
        </w:rPr>
        <w:t xml:space="preserve">es que evitamos generar una sanción </w:t>
      </w:r>
      <w:r w:rsidRPr="00947EC7">
        <w:rPr>
          <w:rFonts w:ascii="Abadi" w:eastAsia="Batang" w:hAnsi="Abadi" w:cs="Arial"/>
          <w:i/>
          <w:iCs/>
          <w:sz w:val="21"/>
          <w:szCs w:val="21"/>
        </w:rPr>
        <w:t>ad infinitum</w:t>
      </w:r>
      <w:r w:rsidRPr="00947EC7">
        <w:rPr>
          <w:rFonts w:ascii="Abadi" w:eastAsia="Batang" w:hAnsi="Abadi" w:cs="Arial"/>
          <w:sz w:val="21"/>
          <w:szCs w:val="21"/>
        </w:rPr>
        <w:t xml:space="preserve"> en perjuicio de ese sector de la población, pues no debe existir una exclusión permanente de ser elegibles para alguna diputación, gubernatura o bien, para ser miembro de un ayuntamiento en nuestra Entidad, ello en razón de que incluimos otros supuestos que no forman parte del acto de armonización previsto en la reforma de los artículos 38 y 102 de nuestra  Ley Fundamental.</w:t>
      </w:r>
    </w:p>
    <w:p w14:paraId="2BCB8D19" w14:textId="77777777" w:rsidR="00427BD6" w:rsidRPr="00947EC7" w:rsidRDefault="00427BD6" w:rsidP="00EF7206">
      <w:pPr>
        <w:pBdr>
          <w:top w:val="nil"/>
          <w:left w:val="nil"/>
          <w:bottom w:val="nil"/>
          <w:right w:val="nil"/>
          <w:between w:val="nil"/>
        </w:pBdr>
        <w:tabs>
          <w:tab w:val="center" w:pos="1276"/>
          <w:tab w:val="right" w:pos="8838"/>
        </w:tabs>
        <w:ind w:left="426" w:right="150" w:firstLine="426"/>
        <w:jc w:val="both"/>
        <w:rPr>
          <w:rFonts w:ascii="Abadi" w:eastAsia="Calibri" w:hAnsi="Abadi" w:cs="Arial"/>
          <w:b/>
          <w:bCs/>
          <w:sz w:val="21"/>
          <w:szCs w:val="21"/>
        </w:rPr>
      </w:pPr>
    </w:p>
    <w:p w14:paraId="3AF0BFA4" w14:textId="77777777" w:rsidR="00427BD6" w:rsidRPr="00947EC7" w:rsidRDefault="00427BD6" w:rsidP="00EF7206">
      <w:pPr>
        <w:tabs>
          <w:tab w:val="left" w:pos="851"/>
        </w:tabs>
        <w:ind w:firstLine="708"/>
        <w:jc w:val="both"/>
        <w:rPr>
          <w:rFonts w:ascii="Abadi" w:eastAsia="Batang" w:hAnsi="Abadi" w:cs="Arial"/>
          <w:sz w:val="21"/>
          <w:szCs w:val="21"/>
        </w:rPr>
      </w:pPr>
      <w:r w:rsidRPr="00947EC7">
        <w:rPr>
          <w:rFonts w:ascii="Abadi" w:eastAsia="Batang" w:hAnsi="Abadi" w:cs="Arial"/>
          <w:sz w:val="21"/>
          <w:szCs w:val="21"/>
        </w:rPr>
        <w:t xml:space="preserve">De esta manera en este acto legislativo, retomamos lo expresado en la minuta aprobada y ahora texto vigente Constitucional, donde se sanciona con la suspensión de sus derechos políticos, electorales y civiles a quienes hayan sido encontrados, por resolución judicial firme, como violentadores de otras personas. </w:t>
      </w:r>
    </w:p>
    <w:p w14:paraId="40F4BBF6" w14:textId="77777777" w:rsidR="00427BD6" w:rsidRPr="00947EC7" w:rsidRDefault="00427BD6" w:rsidP="00EF7206">
      <w:pPr>
        <w:tabs>
          <w:tab w:val="left" w:pos="851"/>
        </w:tabs>
        <w:ind w:firstLine="708"/>
        <w:jc w:val="both"/>
        <w:rPr>
          <w:rFonts w:ascii="Abadi" w:eastAsia="Batang" w:hAnsi="Abadi" w:cs="Arial"/>
          <w:sz w:val="21"/>
          <w:szCs w:val="21"/>
        </w:rPr>
      </w:pPr>
    </w:p>
    <w:p w14:paraId="07DBADDA" w14:textId="77777777" w:rsidR="00427BD6" w:rsidRPr="00947EC7" w:rsidRDefault="00427BD6" w:rsidP="00EF7206">
      <w:pPr>
        <w:tabs>
          <w:tab w:val="left" w:pos="851"/>
        </w:tabs>
        <w:ind w:firstLine="708"/>
        <w:jc w:val="both"/>
        <w:rPr>
          <w:rFonts w:ascii="Abadi" w:eastAsia="Batang" w:hAnsi="Abadi" w:cs="Arial"/>
          <w:sz w:val="21"/>
          <w:szCs w:val="21"/>
        </w:rPr>
      </w:pPr>
      <w:r w:rsidRPr="00947EC7">
        <w:rPr>
          <w:rFonts w:ascii="Abadi" w:eastAsia="Batang" w:hAnsi="Abadi" w:cs="Arial"/>
          <w:sz w:val="21"/>
          <w:szCs w:val="21"/>
        </w:rPr>
        <w:t xml:space="preserve">Este ejercicio entonces parte de reconocer, por principio la existencia tangible de un fenómeno real como ya lo hemos referido, a fin de sancionar a personas que han cometido ilícitos en contra de mujeres y sus hijos e hijas, cuando son postuladas o pretendan ser postuladas para cargos de elección popular, o bien, acceder a empleos, cargos o comisiones de servicio público. Precisa también que la suspensión de derechos es de dos clases: la que por ministerio de ley resulta de una sanción como consecuencia necesaria de esta, y la que por sentencia formal se impone como sanción. </w:t>
      </w:r>
    </w:p>
    <w:p w14:paraId="11A943BD" w14:textId="77777777" w:rsidR="00427BD6" w:rsidRPr="00947EC7" w:rsidRDefault="00427BD6" w:rsidP="00EF7206">
      <w:pPr>
        <w:tabs>
          <w:tab w:val="left" w:pos="851"/>
        </w:tabs>
        <w:ind w:firstLine="708"/>
        <w:jc w:val="both"/>
        <w:rPr>
          <w:rFonts w:ascii="Abadi" w:eastAsia="DejaVu Sans" w:hAnsi="Abadi" w:cs="Tahoma"/>
          <w:iCs/>
          <w:kern w:val="1"/>
          <w:sz w:val="21"/>
          <w:szCs w:val="21"/>
          <w:lang w:eastAsia="ar-SA"/>
        </w:rPr>
      </w:pPr>
    </w:p>
    <w:p w14:paraId="25985E56"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r w:rsidRPr="00947EC7">
        <w:rPr>
          <w:rFonts w:ascii="Abadi" w:eastAsia="Batang" w:hAnsi="Abadi" w:cs="Arial"/>
          <w:sz w:val="21"/>
          <w:szCs w:val="21"/>
        </w:rPr>
        <w:t xml:space="preserve">Con este alcance coincidimos en que los derechos políticos son considerados como un sector de los derechos humanos. Ese </w:t>
      </w:r>
      <w:r w:rsidRPr="00947EC7">
        <w:rPr>
          <w:rFonts w:ascii="Abadi" w:eastAsia="Batang" w:hAnsi="Abadi" w:cs="Arial"/>
          <w:sz w:val="21"/>
          <w:szCs w:val="21"/>
        </w:rPr>
        <w:t>conjunto de prerrogativas o libertades que se reconocen al hombre como tal. Conforme a estos derechos, el individuo participa en la construcción de la estructura estatal ejerciendo su derecho al voto. Los derechos políticos presuponen sin embargo conforme a la propia Constitución Política de los Estados Unidos Mexicanos, a la ciudadanía. Se distinguen de los derechos civiles en que mientras estos se refieren a los asuntos privados, los derechos políticos aluden a los asuntos públicos de los seres humanos.</w:t>
      </w:r>
      <w:r w:rsidRPr="00947EC7">
        <w:rPr>
          <w:rStyle w:val="Refdenotaalpie"/>
          <w:rFonts w:ascii="Abadi" w:eastAsia="Calibri" w:hAnsi="Abadi" w:cs="Arial"/>
          <w:i/>
          <w:iCs/>
          <w:sz w:val="21"/>
          <w:szCs w:val="21"/>
        </w:rPr>
        <w:footnoteReference w:id="177"/>
      </w:r>
      <w:r w:rsidRPr="00947EC7">
        <w:rPr>
          <w:rFonts w:ascii="Abadi" w:eastAsia="DejaVu Sans" w:hAnsi="Abadi" w:cs="Tahoma"/>
          <w:iCs/>
          <w:kern w:val="1"/>
          <w:sz w:val="21"/>
          <w:szCs w:val="21"/>
          <w:lang w:eastAsia="ar-SA"/>
        </w:rPr>
        <w:t xml:space="preserve"> </w:t>
      </w:r>
      <w:r w:rsidRPr="00947EC7">
        <w:rPr>
          <w:rFonts w:ascii="Abadi" w:eastAsia="Batang" w:hAnsi="Abadi" w:cs="Arial"/>
          <w:sz w:val="21"/>
          <w:szCs w:val="21"/>
        </w:rPr>
        <w:t>Así los derechos políticos no se acomodan muy bien al concepto debido a que estos son ejercidos sólo por los ciudadanos de un estado y vedados a quienes no lo son, lo que se desprende del propio texto del artículo 33 Constitucional, que prohíbe tajantemente a los extranjeros tomar parte en los asuntos políticos del país.</w:t>
      </w:r>
    </w:p>
    <w:p w14:paraId="6167D751"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67BC229A"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r w:rsidRPr="00947EC7">
        <w:rPr>
          <w:rFonts w:ascii="Abadi" w:eastAsia="Batang" w:hAnsi="Abadi" w:cs="Arial"/>
          <w:sz w:val="21"/>
          <w:szCs w:val="21"/>
        </w:rPr>
        <w:t xml:space="preserve">Es decir, la suspensión comienza y concluye con la sanción de que es consecuencia. Esta dualidad propia de la suspensión y privación de derechos, aunque está prevista para los derechos políticos es uno de los aspectos legales con los cuales se determina la naturaleza de la suspensión de derechos que se considera por un lado como pena y por otro, como consecuencia de una pena. Aunado a que, las entidades federativas no tienen la potestad de suspender los derechos políticos más allá de los establecidos en la Constitución federal. </w:t>
      </w:r>
    </w:p>
    <w:p w14:paraId="37886887"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071EE32E" w14:textId="77777777" w:rsidR="00427BD6" w:rsidRPr="008B326D"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r w:rsidRPr="00947EC7">
        <w:rPr>
          <w:rFonts w:ascii="Abadi" w:eastAsia="Batang" w:hAnsi="Abadi" w:cs="Arial"/>
          <w:sz w:val="21"/>
          <w:szCs w:val="21"/>
        </w:rPr>
        <w:t xml:space="preserve">Con todo lo anterior, es importante resaltar que del análisis de las iniciativas que involucraba los tópicos coincidentes en objetivos, algunas de las propuestas que generaron su análisis primigenio, quedaron superadas en sus alcances, a partir de la reforma federal, y de la realidad político – electoral de Guanajuato en la que se identifica los alcances y artículos correlativos e impactos de la reforma federal que en nuestra Constitución Política para el Estado de Guanajuato que corresponde a los artículos 25, 26, 46, 69 y 111, pero no por ello superadas en sus objetivos, pues estas determinaron de origen el quehacer legislativo en la toma de decisiones en favor </w:t>
      </w:r>
      <w:r w:rsidRPr="00947EC7">
        <w:rPr>
          <w:rFonts w:ascii="Abadi" w:eastAsia="Batang" w:hAnsi="Abadi" w:cs="Arial"/>
          <w:sz w:val="21"/>
          <w:szCs w:val="21"/>
        </w:rPr>
        <w:lastRenderedPageBreak/>
        <w:t xml:space="preserve">de las mujeres y sus menores hijos e hijas en nuestra Entidad. Es decir, dos propuestas vienen a integrar la mecánica de armonización que se incluirá en nuestro Código Político Local y otra que, aun cuando ya no es suficiente en su alcance, generó en el trabajo al interior de la comisión legislativa un nuevo enfoque que propició un trabajo consensuado en el órgano interno legislativo para construir una propuesta acorde a la nueva realidad, la </w:t>
      </w:r>
      <w:r w:rsidRPr="008B326D">
        <w:rPr>
          <w:rFonts w:ascii="Abadi" w:eastAsia="Batang" w:hAnsi="Abadi" w:cs="Arial"/>
          <w:sz w:val="21"/>
          <w:szCs w:val="21"/>
        </w:rPr>
        <w:t>erradicación de la violencia política contra la mujer.</w:t>
      </w:r>
    </w:p>
    <w:p w14:paraId="46FE10E9" w14:textId="77777777" w:rsidR="00427BD6" w:rsidRPr="008B326D"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1BDB9323"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Tópicos adicionales que se incluyen en la Constitución Política para el Estado de Guanajuato</w:t>
      </w:r>
    </w:p>
    <w:p w14:paraId="51A86D0C" w14:textId="77777777" w:rsidR="00427BD6" w:rsidRPr="008B326D"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456C3C34"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 xml:space="preserve">En este apartado queremos hacer énfasis en los requisitos e impedimentos para ocupar un puesto de elección popular en el Estado de Guanajuato y que se regulan los segundos </w:t>
      </w:r>
      <w:r w:rsidRPr="008B326D">
        <w:rPr>
          <w:rFonts w:eastAsia="Batang"/>
          <w:b w:val="0"/>
          <w:bCs w:val="0"/>
          <w:sz w:val="21"/>
          <w:szCs w:val="21"/>
          <w:lang w:val="es-MX" w:eastAsia="en-US"/>
        </w:rPr>
        <w:t>―</w:t>
      </w:r>
      <w:r w:rsidRPr="008B326D">
        <w:rPr>
          <w:rFonts w:ascii="Abadi" w:eastAsia="Batang" w:hAnsi="Abadi"/>
          <w:b w:val="0"/>
          <w:bCs w:val="0"/>
          <w:sz w:val="21"/>
          <w:szCs w:val="21"/>
          <w:lang w:val="es-MX" w:eastAsia="en-US"/>
        </w:rPr>
        <w:t>impedimentos</w:t>
      </w:r>
      <w:r w:rsidRPr="008B326D">
        <w:rPr>
          <w:rFonts w:eastAsia="Batang"/>
          <w:b w:val="0"/>
          <w:bCs w:val="0"/>
          <w:sz w:val="21"/>
          <w:szCs w:val="21"/>
          <w:lang w:val="es-MX" w:eastAsia="en-US"/>
        </w:rPr>
        <w:t>―</w:t>
      </w:r>
      <w:r w:rsidRPr="008B326D">
        <w:rPr>
          <w:rFonts w:ascii="Abadi" w:eastAsia="Batang" w:hAnsi="Abadi"/>
          <w:b w:val="0"/>
          <w:bCs w:val="0"/>
          <w:sz w:val="21"/>
          <w:szCs w:val="21"/>
          <w:lang w:val="es-MX" w:eastAsia="en-US"/>
        </w:rPr>
        <w:t xml:space="preserve"> en los artículos 46, 69 y 111 de la Constitución Política para el Estado de Guanajuato</w:t>
      </w:r>
      <w:r w:rsidRPr="008B326D">
        <w:rPr>
          <w:rStyle w:val="Refdenotaalpie"/>
          <w:rFonts w:ascii="Abadi" w:eastAsia="Batang" w:hAnsi="Abadi"/>
          <w:b w:val="0"/>
          <w:bCs w:val="0"/>
          <w:sz w:val="21"/>
          <w:szCs w:val="21"/>
          <w:lang w:val="es-MX" w:eastAsia="en-US"/>
        </w:rPr>
        <w:footnoteReference w:id="178"/>
      </w:r>
      <w:r w:rsidRPr="008B326D">
        <w:rPr>
          <w:rFonts w:ascii="Abadi" w:eastAsia="Batang" w:hAnsi="Abadi"/>
          <w:b w:val="0"/>
          <w:bCs w:val="0"/>
          <w:sz w:val="21"/>
          <w:szCs w:val="21"/>
          <w:lang w:val="es-MX" w:eastAsia="en-US"/>
        </w:rPr>
        <w:t xml:space="preserve">, y </w:t>
      </w:r>
      <w:bookmarkStart w:id="3" w:name="_Hlk132386328"/>
      <w:r w:rsidRPr="008B326D">
        <w:rPr>
          <w:rFonts w:ascii="Abadi" w:eastAsia="Batang" w:hAnsi="Abadi"/>
          <w:b w:val="0"/>
          <w:bCs w:val="0"/>
          <w:sz w:val="21"/>
          <w:szCs w:val="21"/>
          <w:lang w:val="es-MX" w:eastAsia="en-US"/>
        </w:rPr>
        <w:t>en la Ley de Instituciones y Procedimientos Electorales para el Estado de Guanajuato.</w:t>
      </w:r>
      <w:bookmarkEnd w:id="3"/>
      <w:r w:rsidRPr="008B326D">
        <w:rPr>
          <w:rFonts w:ascii="Abadi" w:eastAsia="Batang" w:hAnsi="Abadi"/>
          <w:b w:val="0"/>
          <w:bCs w:val="0"/>
          <w:sz w:val="21"/>
          <w:szCs w:val="21"/>
          <w:lang w:val="es-MX" w:eastAsia="en-US"/>
        </w:rPr>
        <w:t xml:space="preserve"> Y estos, pueden ser de carácter positivo y negativo. Los positivos son el conjunto de condiciones que se requieren para poseer la capacidad de ser elegible; su ausencia originaría una incapacidad, y así, son condiciones subjetivas que debe reunir el o la interesada para que surja el derecho individual a ser elegible a un cargo de elección popular. Las condiciones de capacidad se encuentran reguladas en el ordenamiento y, en consecuencia, son indisponibles dado que no se derivan de un acto subjetivo de voluntad. Los negativos por su parte constituyen condiciones para un ejercicio preexistente y, en principio, se pueden eludir, mediante la separación o renuncia al cargo o impedimento que las origina. Supuestos regulados en nuestro Código Político Local en el artículo 46. En ese sentido, su establecimiento alude a la importancia que revisten los cargos de elección popular, mismos que constituyen la </w:t>
      </w:r>
      <w:r w:rsidRPr="008B326D">
        <w:rPr>
          <w:rFonts w:ascii="Abadi" w:eastAsia="Batang" w:hAnsi="Abadi"/>
          <w:b w:val="0"/>
          <w:bCs w:val="0"/>
          <w:sz w:val="21"/>
          <w:szCs w:val="21"/>
          <w:lang w:val="es-MX" w:eastAsia="en-US"/>
        </w:rPr>
        <w:t>base de la representación para el ejercicio de la soberanía del pueblo; de manera tal que</w:t>
      </w:r>
      <w:r w:rsidRPr="00947EC7">
        <w:rPr>
          <w:rFonts w:ascii="Abadi" w:eastAsia="Batang" w:hAnsi="Abadi"/>
          <w:sz w:val="21"/>
          <w:szCs w:val="21"/>
          <w:lang w:val="es-MX" w:eastAsia="en-US"/>
        </w:rPr>
        <w:t xml:space="preserve"> </w:t>
      </w:r>
      <w:r w:rsidRPr="008B326D">
        <w:rPr>
          <w:rFonts w:ascii="Abadi" w:eastAsia="Batang" w:hAnsi="Abadi"/>
          <w:b w:val="0"/>
          <w:bCs w:val="0"/>
          <w:sz w:val="21"/>
          <w:szCs w:val="21"/>
          <w:lang w:val="es-MX" w:eastAsia="en-US"/>
        </w:rPr>
        <w:t>normativamente se busca garantizar la idoneidad de las personas que aspiran a ocupar los cargos atinentes a través de ciertas exigencias, de ahí la importancia de la modificación que realizamos a través de este dictamen.</w:t>
      </w:r>
    </w:p>
    <w:p w14:paraId="644E5E5F"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p>
    <w:p w14:paraId="2D87474B"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Continuando con esa línea argumentativa es importante referir que, en el caso de los requisitos positivos, deben ser acreditados por las propias personas que aspiran a una candidatura y partidos políticos que les postulen, mediante la exhibición de los documentos fehacientes, por lo que a estos les corresponde la carga de la prueba. En cambio, cuando se trata de los requisitos negativos, en principio, debe presumirse que se satisfacen, puesto que no resulta apegado a la lógica jurídica que se deban probar hechos negativos, o bien, sería suficiente con el dicho de la o el aspirante o candidato, a través de un formato en el que manifiesta bajo protesta de decir verdad no ubicarse en el supuesto prohibido, por lo que en estos casos la carga de la prueba corresponde a quien afirme que no los satisface, quien deberá aportar los medios de convicción suficientes para demostrar tal circunstancia.</w:t>
      </w:r>
    </w:p>
    <w:p w14:paraId="39C6C77C"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Coincidimos con lo dicho por el maestro Adrián Miranda Camarena, cuando refiere que la elegibilidad representa un denominador para el derecho del voto pasivo dentro de una República democrática.</w:t>
      </w:r>
      <w:r w:rsidRPr="008B326D">
        <w:rPr>
          <w:rStyle w:val="Refdenotaalpie"/>
          <w:rFonts w:ascii="Abadi" w:eastAsia="Batang" w:hAnsi="Abadi"/>
          <w:b w:val="0"/>
          <w:bCs w:val="0"/>
          <w:sz w:val="21"/>
          <w:szCs w:val="21"/>
          <w:lang w:val="es-MX" w:eastAsia="en-US"/>
        </w:rPr>
        <w:footnoteReference w:id="179"/>
      </w:r>
    </w:p>
    <w:p w14:paraId="19DFC594" w14:textId="77777777" w:rsidR="00427BD6" w:rsidRPr="00947EC7" w:rsidRDefault="00427BD6" w:rsidP="00EF7206">
      <w:pPr>
        <w:pStyle w:val="Textoindependiente"/>
        <w:ind w:firstLine="708"/>
        <w:rPr>
          <w:rFonts w:ascii="Abadi" w:eastAsia="Batang" w:hAnsi="Abadi"/>
          <w:sz w:val="21"/>
          <w:szCs w:val="21"/>
          <w:lang w:val="es-MX" w:eastAsia="en-US"/>
        </w:rPr>
      </w:pPr>
    </w:p>
    <w:p w14:paraId="38AB76F6"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Por su parte, la Sala Superior del Tribunal Electoral del Poder Judicial de la Federación</w:t>
      </w:r>
      <w:r w:rsidRPr="00947EC7">
        <w:rPr>
          <w:rStyle w:val="Refdenotaalpie"/>
          <w:rFonts w:ascii="Abadi" w:eastAsia="DejaVu Sans" w:hAnsi="Abadi" w:cs="Tahoma"/>
          <w:iCs/>
          <w:kern w:val="1"/>
          <w:sz w:val="21"/>
          <w:szCs w:val="21"/>
          <w:lang w:eastAsia="ar-SA"/>
        </w:rPr>
        <w:footnoteReference w:id="180"/>
      </w:r>
      <w:r w:rsidRPr="00947EC7">
        <w:rPr>
          <w:rFonts w:ascii="Abadi" w:eastAsia="DejaVu Sans" w:hAnsi="Abadi" w:cs="Tahoma"/>
          <w:iCs/>
          <w:kern w:val="1"/>
          <w:sz w:val="21"/>
          <w:szCs w:val="21"/>
          <w:lang w:eastAsia="ar-SA"/>
        </w:rPr>
        <w:t xml:space="preserve"> </w:t>
      </w:r>
      <w:r w:rsidRPr="00947EC7">
        <w:rPr>
          <w:rFonts w:ascii="Abadi" w:eastAsia="Batang" w:hAnsi="Abadi" w:cs="Arial"/>
          <w:sz w:val="21"/>
          <w:szCs w:val="21"/>
        </w:rPr>
        <w:t xml:space="preserve">ha establecido que cuando se considere que un candidato o candidata no cumple con alguno de los requisitos de elegibilidad existen dos momentos para impugnar su elegibilidad: primero, cuando se lleva el registro ante la autoridad administrativa electoral; y segundo, cuando se haya declarado la validez de la elección y entregado las constancias de mayoría, sin que </w:t>
      </w:r>
      <w:r w:rsidRPr="00947EC7">
        <w:rPr>
          <w:rFonts w:ascii="Abadi" w:eastAsia="Batang" w:hAnsi="Abadi" w:cs="Arial"/>
          <w:sz w:val="21"/>
          <w:szCs w:val="21"/>
        </w:rPr>
        <w:lastRenderedPageBreak/>
        <w:t>ello implique una doble oportunidad para controvertir en ambos momentos por las mismas razones. Así pues, se trata de generar porciones normativas que no constituyan una restricción constitucional válida para el legislador, es decir, tener presente las consideraciones que en la Acción de inconstitucionalidad 55/2022</w:t>
      </w:r>
      <w:r w:rsidRPr="00947EC7">
        <w:rPr>
          <w:rStyle w:val="Refdenotaalpie"/>
          <w:rFonts w:ascii="Abadi" w:eastAsia="DejaVu Sans" w:hAnsi="Abadi" w:cs="Tahoma"/>
          <w:iCs/>
          <w:kern w:val="1"/>
          <w:sz w:val="21"/>
          <w:szCs w:val="21"/>
          <w:lang w:eastAsia="ar-SA"/>
        </w:rPr>
        <w:footnoteReference w:id="181"/>
      </w:r>
      <w:r w:rsidRPr="00947EC7">
        <w:rPr>
          <w:rFonts w:ascii="Abadi" w:eastAsia="Batang" w:hAnsi="Abadi" w:cs="Arial"/>
          <w:sz w:val="21"/>
          <w:szCs w:val="21"/>
        </w:rPr>
        <w:t xml:space="preserve"> en su resolutivo ordinal cuarto de disposiciones similares de la Constitución Política de Nuevo León las declararon constitucionales. Esto es que los operadores de la norma realicen la interpretación, pero quienes las creamos </w:t>
      </w:r>
      <w:r w:rsidRPr="00947EC7">
        <w:rPr>
          <w:rFonts w:ascii="Arial" w:eastAsia="Batang" w:hAnsi="Arial" w:cs="Arial"/>
          <w:sz w:val="21"/>
          <w:szCs w:val="21"/>
        </w:rPr>
        <w:t>―</w:t>
      </w:r>
      <w:r w:rsidRPr="00947EC7">
        <w:rPr>
          <w:rFonts w:ascii="Abadi" w:eastAsia="Batang" w:hAnsi="Abadi" w:cs="Arial"/>
          <w:sz w:val="21"/>
          <w:szCs w:val="21"/>
        </w:rPr>
        <w:t>la norma</w:t>
      </w:r>
      <w:r w:rsidRPr="00947EC7">
        <w:rPr>
          <w:rFonts w:ascii="Arial" w:eastAsia="Batang" w:hAnsi="Arial" w:cs="Arial"/>
          <w:sz w:val="21"/>
          <w:szCs w:val="21"/>
        </w:rPr>
        <w:t>―</w:t>
      </w:r>
      <w:r w:rsidRPr="00947EC7">
        <w:rPr>
          <w:rFonts w:ascii="Abadi" w:eastAsia="Batang" w:hAnsi="Abadi" w:cs="Arial"/>
          <w:sz w:val="21"/>
          <w:szCs w:val="21"/>
        </w:rPr>
        <w:t>, la redactemos con certeza jurídica, claridad, sin vaguedades y técnicamente no requieran una interpretación conforme a todas las normas de la Constitución.</w:t>
      </w:r>
    </w:p>
    <w:p w14:paraId="24FF9E0D"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7D5F14A9"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r w:rsidRPr="00947EC7">
        <w:rPr>
          <w:rFonts w:ascii="Abadi" w:eastAsia="Batang" w:hAnsi="Abadi" w:cs="Arial"/>
          <w:sz w:val="21"/>
          <w:szCs w:val="21"/>
        </w:rPr>
        <w:t xml:space="preserve">Es decir, la teleología esencial de este ajuste con el que coincidimos plenamente con las y los iniciantes de la tercera propuesta, es la eliminación de cualquier tipo de violencia hacia la mujer. En esencia pretendemos armonizar con el texto de la Constitución Política de los Estados Unidos Mexicanos para generar las porciones normativas de carácter constitucional que vengan a sancionar con la suspensión de sus derechos políticos, electorales y civiles a quienes hayan sido encontrados, por resolución judicial firme, como violentadores de otras personas. </w:t>
      </w:r>
    </w:p>
    <w:p w14:paraId="43A8A396"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379885A3"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DejaVu Sans" w:hAnsi="Abadi" w:cs="Tahoma"/>
          <w:iCs/>
          <w:kern w:val="1"/>
          <w:sz w:val="21"/>
          <w:szCs w:val="21"/>
          <w:lang w:eastAsia="ar-SA"/>
        </w:rPr>
      </w:pPr>
      <w:r w:rsidRPr="00947EC7">
        <w:rPr>
          <w:rFonts w:ascii="Abadi" w:eastAsia="Batang" w:hAnsi="Abadi" w:cs="Arial"/>
          <w:sz w:val="21"/>
          <w:szCs w:val="21"/>
        </w:rPr>
        <w:t>Por otro lado, seguimos coincidiendo al proponer inhabilitar para ser candidato, no solo por la sentencia firme por la comisión intencional de delitos, sino por tener resoluciones firmes por violencia política contra las mujeres en razón de género y dictadas por los tribunales electorales. Lo que implica que iríamos más allá del acto de armonización en materia de suspensión de derechos, al incluirlo en los supuestos de elegibilidad, pugnando por tener más protección de derechos humanos de este sector. Desde esta perspectiva de carácter legislativa y, en este mismo enfoque jurídico-político, se afirma que la ciudadanía significa el derecho a participar activamente en la vida política del Estado al cual se pertenece,</w:t>
      </w:r>
      <w:r w:rsidRPr="00947EC7">
        <w:rPr>
          <w:rStyle w:val="Refdenotaalpie"/>
          <w:rFonts w:ascii="Abadi" w:eastAsia="DejaVu Sans" w:hAnsi="Abadi" w:cs="Tahoma"/>
          <w:iCs/>
          <w:kern w:val="1"/>
          <w:sz w:val="21"/>
          <w:szCs w:val="21"/>
          <w:lang w:eastAsia="ar-SA"/>
        </w:rPr>
        <w:footnoteReference w:id="182"/>
      </w:r>
      <w:r w:rsidRPr="00947EC7">
        <w:rPr>
          <w:rFonts w:ascii="Abadi" w:eastAsia="Batang" w:hAnsi="Abadi" w:cs="Arial"/>
          <w:sz w:val="21"/>
          <w:szCs w:val="21"/>
        </w:rPr>
        <w:t xml:space="preserve"> para después sostener que la participación como ciudadano en las funciones políticas del Estado integran la ciudadanía</w:t>
      </w:r>
      <w:r w:rsidRPr="00947EC7">
        <w:rPr>
          <w:rStyle w:val="Refdenotaalpie"/>
          <w:rFonts w:ascii="Abadi" w:eastAsia="DejaVu Sans" w:hAnsi="Abadi" w:cs="Tahoma"/>
          <w:iCs/>
          <w:kern w:val="1"/>
          <w:sz w:val="21"/>
          <w:szCs w:val="21"/>
          <w:lang w:eastAsia="ar-SA"/>
        </w:rPr>
        <w:footnoteReference w:id="183"/>
      </w:r>
      <w:r w:rsidRPr="00947EC7">
        <w:rPr>
          <w:rFonts w:ascii="Abadi" w:eastAsia="DejaVu Sans" w:hAnsi="Abadi" w:cs="Tahoma"/>
          <w:iCs/>
          <w:kern w:val="1"/>
          <w:sz w:val="21"/>
          <w:szCs w:val="21"/>
          <w:lang w:eastAsia="ar-SA"/>
        </w:rPr>
        <w:t>.</w:t>
      </w:r>
    </w:p>
    <w:p w14:paraId="714B9760"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p>
    <w:p w14:paraId="7BFB43EB" w14:textId="77777777" w:rsidR="00427BD6" w:rsidRPr="00947EC7" w:rsidRDefault="00427BD6" w:rsidP="00EF7206">
      <w:pPr>
        <w:pBdr>
          <w:top w:val="nil"/>
          <w:left w:val="nil"/>
          <w:bottom w:val="nil"/>
          <w:right w:val="nil"/>
          <w:between w:val="nil"/>
        </w:pBdr>
        <w:tabs>
          <w:tab w:val="center" w:pos="1276"/>
          <w:tab w:val="right" w:pos="8838"/>
        </w:tabs>
        <w:ind w:right="48" w:firstLine="709"/>
        <w:jc w:val="both"/>
        <w:rPr>
          <w:rFonts w:ascii="Abadi" w:eastAsia="Batang" w:hAnsi="Abadi" w:cs="Arial"/>
          <w:sz w:val="21"/>
          <w:szCs w:val="21"/>
        </w:rPr>
      </w:pPr>
      <w:r w:rsidRPr="00947EC7">
        <w:rPr>
          <w:rFonts w:ascii="Abadi" w:eastAsia="Batang" w:hAnsi="Abadi" w:cs="Arial"/>
          <w:sz w:val="21"/>
          <w:szCs w:val="21"/>
        </w:rPr>
        <w:t xml:space="preserve">Queremos hacer patente las diputadas y los diputados de la Comisión de Gobernación y Puntos Constitucionales de esta Sexagésima Quinta Legislatura, que este acto legislativo es construido desde el consenso unánime donde nuestro objetivo principal es la protección de los derechos humanos de la mujer, evitar y prevenir cualquier acto de violencia contra ella, la igualdad de hombres y mujeres y sobre todo el interés superior de nuestros niños y niñas. De esta manera, es que coincidimos en </w:t>
      </w:r>
      <w:r w:rsidRPr="00947EC7">
        <w:rPr>
          <w:rFonts w:ascii="Abadi" w:eastAsia="Batang" w:hAnsi="Abadi" w:cs="Arial"/>
          <w:sz w:val="21"/>
          <w:szCs w:val="21"/>
        </w:rPr>
        <w:lastRenderedPageBreak/>
        <w:t>objetivos comunes y juntos buscamos la idónea regulación a través de reformas constitucionales de esos bienes jurídicos. Este acto sigue mostrado el interés permanente de este Poder Legislativo de continuar en la construcción de reglas y principios que protejan derechos humanos de las personas, que elimine todo tipo de violencia contra las mujeres y la protección de sus hijos e hijas.</w:t>
      </w:r>
    </w:p>
    <w:p w14:paraId="71698CEC" w14:textId="77777777" w:rsidR="00427BD6" w:rsidRPr="00947EC7" w:rsidRDefault="00427BD6" w:rsidP="00EF7206">
      <w:pPr>
        <w:pStyle w:val="Textoindependiente"/>
        <w:ind w:firstLine="708"/>
        <w:rPr>
          <w:rFonts w:ascii="Abadi" w:eastAsia="Batang" w:hAnsi="Abadi"/>
          <w:sz w:val="21"/>
          <w:szCs w:val="21"/>
          <w:lang w:val="es-MX" w:eastAsia="en-US"/>
        </w:rPr>
      </w:pPr>
    </w:p>
    <w:p w14:paraId="795031FE"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Con los argumentos vertidos se determina la viabilidad jurídica y constitucional de las propuestas en lo general para ser incorporadas en la Constitución Política para el Estado de Guanajuato con los ajustes particulares que explicamos en otro apartado.</w:t>
      </w:r>
    </w:p>
    <w:p w14:paraId="149ACBA5"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p>
    <w:p w14:paraId="118341DA" w14:textId="77777777" w:rsidR="00427BD6" w:rsidRPr="008B326D" w:rsidRDefault="00427BD6" w:rsidP="00EF7206">
      <w:pPr>
        <w:jc w:val="both"/>
        <w:rPr>
          <w:rFonts w:ascii="Abadi" w:eastAsia="Batang" w:hAnsi="Abadi" w:cs="Arial"/>
          <w:sz w:val="21"/>
          <w:szCs w:val="21"/>
        </w:rPr>
      </w:pPr>
      <w:r w:rsidRPr="008B326D">
        <w:rPr>
          <w:rFonts w:ascii="Abadi" w:eastAsia="Batang" w:hAnsi="Abadi" w:cs="Arial"/>
          <w:sz w:val="21"/>
          <w:szCs w:val="21"/>
        </w:rPr>
        <w:t>IV. Modificaciones a las iniciativas</w:t>
      </w:r>
    </w:p>
    <w:p w14:paraId="7381F18E" w14:textId="77777777" w:rsidR="00427BD6" w:rsidRPr="008B326D" w:rsidRDefault="00427BD6" w:rsidP="00EF7206">
      <w:pPr>
        <w:ind w:firstLine="708"/>
        <w:jc w:val="both"/>
        <w:rPr>
          <w:rFonts w:ascii="Abadi" w:eastAsia="Batang" w:hAnsi="Abadi" w:cs="Arial"/>
          <w:sz w:val="21"/>
          <w:szCs w:val="21"/>
        </w:rPr>
      </w:pPr>
    </w:p>
    <w:p w14:paraId="5B1CB89D"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r w:rsidRPr="008B326D">
        <w:rPr>
          <w:rFonts w:ascii="Abadi" w:eastAsia="Batang" w:hAnsi="Abadi"/>
          <w:b w:val="0"/>
          <w:bCs w:val="0"/>
          <w:sz w:val="21"/>
          <w:szCs w:val="21"/>
          <w:lang w:val="es-MX" w:eastAsia="en-US"/>
        </w:rPr>
        <w:t xml:space="preserve">Considerando los consensos a los que se llegaron durante el proceso de dictaminación que generó las iniciativas, fue que las y los diputados que integramos la Comisión de Gobernación y Puntos Constitucionales determinamos atender las propuestas presentadas y generar un proyecto de decreto que concentrara los acuerdos unánimes, respetando siempre el objetivo de las iniciativas, en especial la suscrita por las diputadas y los diputados que integramos la comisión legislativa, así como diputadas integrantes de esta Legislatura. Bajo este esquema podemos determinar que este ejercicio legislativo se traduce en el trabajo institucional y político de las fuerzas representadas al interior de este Poder Legislativo. </w:t>
      </w:r>
    </w:p>
    <w:p w14:paraId="77E34BC1" w14:textId="77777777" w:rsidR="00427BD6" w:rsidRPr="008B326D" w:rsidRDefault="00427BD6" w:rsidP="00EF7206">
      <w:pPr>
        <w:pStyle w:val="Textoindependiente"/>
        <w:ind w:firstLine="708"/>
        <w:rPr>
          <w:rFonts w:ascii="Abadi" w:eastAsia="Batang" w:hAnsi="Abadi"/>
          <w:b w:val="0"/>
          <w:bCs w:val="0"/>
          <w:sz w:val="21"/>
          <w:szCs w:val="21"/>
          <w:lang w:val="es-MX" w:eastAsia="en-US"/>
        </w:rPr>
      </w:pPr>
    </w:p>
    <w:p w14:paraId="65DE1A74" w14:textId="77777777" w:rsidR="00427BD6" w:rsidRPr="008B326D" w:rsidRDefault="00427BD6" w:rsidP="00EF7206">
      <w:pPr>
        <w:pStyle w:val="Textoindependiente"/>
        <w:ind w:firstLine="708"/>
        <w:rPr>
          <w:rFonts w:ascii="Abadi" w:eastAsia="Batang" w:hAnsi="Abadi"/>
          <w:b w:val="0"/>
          <w:bCs w:val="0"/>
          <w:sz w:val="21"/>
          <w:szCs w:val="21"/>
        </w:rPr>
      </w:pPr>
      <w:r w:rsidRPr="008B326D">
        <w:rPr>
          <w:rFonts w:ascii="Abadi" w:eastAsia="Batang" w:hAnsi="Abadi"/>
          <w:b w:val="0"/>
          <w:bCs w:val="0"/>
          <w:sz w:val="21"/>
          <w:szCs w:val="21"/>
          <w:lang w:val="es-MX" w:eastAsia="en-US"/>
        </w:rPr>
        <w:t>En ese sentido, logramos unificar un documento que visualizara en una sola proyección la intención, que en aquél se recoge lo expresado en una nueva iniciativa y las mesas de trabajo de quienes participaron en ellas</w:t>
      </w:r>
      <w:r w:rsidRPr="008B326D">
        <w:rPr>
          <w:rFonts w:ascii="Abadi" w:eastAsia="Batang" w:hAnsi="Abadi"/>
          <w:b w:val="0"/>
          <w:bCs w:val="0"/>
          <w:sz w:val="21"/>
          <w:szCs w:val="21"/>
        </w:rPr>
        <w:t xml:space="preserve"> como los representantes del Poder Judicial, del Poder Ejecutivo y de los organismos autónomos reconocidos constitucionalmente</w:t>
      </w:r>
      <w:r w:rsidRPr="008B326D">
        <w:rPr>
          <w:rFonts w:ascii="Abadi" w:eastAsia="Batang" w:hAnsi="Abadi"/>
          <w:b w:val="0"/>
          <w:bCs w:val="0"/>
          <w:sz w:val="21"/>
          <w:szCs w:val="21"/>
          <w:lang w:val="es-MX" w:eastAsia="en-US"/>
        </w:rPr>
        <w:t>, así como de los partidos políticos de Acción Nacional, MORENA, Revolucionario Institucional, Verde Ecologista de México, de la Revolución Democrática y Movimiento Ciudadano, lo que sin duda le otorga un soporte muy importante</w:t>
      </w:r>
      <w:r w:rsidRPr="008B326D">
        <w:rPr>
          <w:rFonts w:ascii="Abadi" w:eastAsia="Batang" w:hAnsi="Abadi"/>
          <w:b w:val="0"/>
          <w:bCs w:val="0"/>
          <w:sz w:val="21"/>
          <w:szCs w:val="21"/>
        </w:rPr>
        <w:t>.</w:t>
      </w:r>
    </w:p>
    <w:p w14:paraId="14A9D159" w14:textId="77777777" w:rsidR="00427BD6" w:rsidRPr="008B326D" w:rsidRDefault="00427BD6" w:rsidP="00EF7206">
      <w:pPr>
        <w:pStyle w:val="Textoindependiente"/>
        <w:ind w:firstLine="708"/>
        <w:rPr>
          <w:rFonts w:ascii="Abadi" w:eastAsia="Batang" w:hAnsi="Abadi"/>
          <w:b w:val="0"/>
          <w:bCs w:val="0"/>
          <w:sz w:val="21"/>
          <w:szCs w:val="21"/>
        </w:rPr>
      </w:pPr>
    </w:p>
    <w:p w14:paraId="51D10AD0" w14:textId="77777777" w:rsidR="00427BD6" w:rsidRPr="008B326D" w:rsidRDefault="00427BD6" w:rsidP="00EF7206">
      <w:pPr>
        <w:pStyle w:val="Textoindependiente"/>
        <w:numPr>
          <w:ilvl w:val="0"/>
          <w:numId w:val="29"/>
        </w:numPr>
        <w:autoSpaceDE/>
        <w:autoSpaceDN/>
        <w:rPr>
          <w:rFonts w:ascii="Abadi" w:eastAsia="Batang" w:hAnsi="Abadi"/>
          <w:b w:val="0"/>
          <w:bCs w:val="0"/>
          <w:sz w:val="21"/>
          <w:szCs w:val="21"/>
        </w:rPr>
      </w:pPr>
      <w:r w:rsidRPr="008B326D">
        <w:rPr>
          <w:rFonts w:ascii="Abadi" w:eastAsia="Batang" w:hAnsi="Abadi"/>
          <w:b w:val="0"/>
          <w:bCs w:val="0"/>
          <w:sz w:val="21"/>
          <w:szCs w:val="21"/>
        </w:rPr>
        <w:t xml:space="preserve">Acordamos modificar el artículo 25 de la propuesta que el párrafo </w:t>
      </w:r>
      <w:r w:rsidRPr="008B326D">
        <w:rPr>
          <w:rFonts w:ascii="Abadi" w:eastAsia="Batang" w:hAnsi="Abadi"/>
          <w:b w:val="0"/>
          <w:bCs w:val="0"/>
          <w:sz w:val="21"/>
          <w:szCs w:val="21"/>
        </w:rPr>
        <w:t xml:space="preserve">segundo de la fracción VII para que sea una fracción </w:t>
      </w:r>
      <w:r w:rsidRPr="008B326D">
        <w:rPr>
          <w:rFonts w:ascii="Abadi" w:eastAsia="Batang" w:hAnsi="Abadi"/>
          <w:b w:val="0"/>
          <w:bCs w:val="0"/>
          <w:i/>
          <w:iCs/>
          <w:sz w:val="21"/>
          <w:szCs w:val="21"/>
        </w:rPr>
        <w:t>VIII. Por estar declarada como persona deudora alimentaria morosa,</w:t>
      </w:r>
      <w:r w:rsidRPr="008B326D">
        <w:rPr>
          <w:rFonts w:ascii="Abadi" w:eastAsia="Batang" w:hAnsi="Abadi"/>
          <w:b w:val="0"/>
          <w:bCs w:val="0"/>
          <w:sz w:val="21"/>
          <w:szCs w:val="21"/>
        </w:rPr>
        <w:t xml:space="preserve"> a efecto de generar certeza jurídica y claridad en el supuesto, pues se trata de una porción normativa diversa a la enlistada como fracción VII.</w:t>
      </w:r>
    </w:p>
    <w:p w14:paraId="5B98B257" w14:textId="77777777" w:rsidR="00427BD6" w:rsidRPr="008B326D" w:rsidRDefault="00427BD6" w:rsidP="00EF7206">
      <w:pPr>
        <w:pStyle w:val="Textoindependiente"/>
        <w:ind w:left="1068"/>
        <w:rPr>
          <w:rFonts w:ascii="Abadi" w:eastAsia="Batang" w:hAnsi="Abadi"/>
          <w:b w:val="0"/>
          <w:bCs w:val="0"/>
          <w:sz w:val="21"/>
          <w:szCs w:val="21"/>
        </w:rPr>
      </w:pPr>
    </w:p>
    <w:p w14:paraId="0BFE9936" w14:textId="77777777" w:rsidR="00427BD6" w:rsidRPr="008B326D" w:rsidRDefault="00427BD6" w:rsidP="00EF7206">
      <w:pPr>
        <w:pStyle w:val="Textoindependiente"/>
        <w:ind w:left="1068"/>
        <w:rPr>
          <w:rFonts w:ascii="Abadi" w:eastAsia="Batang" w:hAnsi="Abadi"/>
          <w:b w:val="0"/>
          <w:bCs w:val="0"/>
          <w:sz w:val="21"/>
          <w:szCs w:val="21"/>
        </w:rPr>
      </w:pPr>
      <w:r w:rsidRPr="008B326D">
        <w:rPr>
          <w:rFonts w:ascii="Abadi" w:eastAsia="Batang" w:hAnsi="Abadi"/>
          <w:b w:val="0"/>
          <w:bCs w:val="0"/>
          <w:sz w:val="21"/>
          <w:szCs w:val="21"/>
        </w:rPr>
        <w:t>De esta manera se adecuó el último párrafo de ese artículo a afecto de concentrar el alcance de ambas fracciones, considerando que quienes estén en esos supuestos no podrán ser registrados como candidatos para cualquier cargo de elección popular, ni ser nombrados para empleo, cargo o comisión del servicio público.</w:t>
      </w:r>
    </w:p>
    <w:p w14:paraId="41486BC8" w14:textId="77777777" w:rsidR="00427BD6" w:rsidRPr="008B326D" w:rsidRDefault="00427BD6" w:rsidP="00EF7206">
      <w:pPr>
        <w:pStyle w:val="Textoindependiente"/>
        <w:ind w:left="1068"/>
        <w:rPr>
          <w:rFonts w:ascii="Abadi" w:eastAsia="Batang" w:hAnsi="Abadi"/>
          <w:b w:val="0"/>
          <w:bCs w:val="0"/>
          <w:sz w:val="21"/>
          <w:szCs w:val="21"/>
        </w:rPr>
      </w:pPr>
    </w:p>
    <w:p w14:paraId="125BB638" w14:textId="77777777" w:rsidR="00427BD6" w:rsidRPr="008B326D" w:rsidRDefault="00427BD6" w:rsidP="00EF7206">
      <w:pPr>
        <w:pStyle w:val="Textoindependiente"/>
        <w:numPr>
          <w:ilvl w:val="0"/>
          <w:numId w:val="29"/>
        </w:numPr>
        <w:autoSpaceDE/>
        <w:autoSpaceDN/>
        <w:rPr>
          <w:rFonts w:ascii="Abadi" w:eastAsia="Batang" w:hAnsi="Abadi"/>
          <w:b w:val="0"/>
          <w:bCs w:val="0"/>
          <w:sz w:val="21"/>
          <w:szCs w:val="21"/>
        </w:rPr>
      </w:pPr>
      <w:r w:rsidRPr="008B326D">
        <w:rPr>
          <w:rFonts w:ascii="Abadi" w:eastAsia="Batang" w:hAnsi="Abadi"/>
          <w:b w:val="0"/>
          <w:bCs w:val="0"/>
          <w:sz w:val="21"/>
          <w:szCs w:val="21"/>
        </w:rPr>
        <w:t xml:space="preserve">Con respecto al artículo 26 de la propuesta acordamos no incorporar la fracción IV, con el supuesto de: </w:t>
      </w:r>
      <w:r w:rsidRPr="008B326D">
        <w:rPr>
          <w:rFonts w:ascii="Abadi" w:eastAsia="Batang" w:hAnsi="Abadi"/>
          <w:b w:val="0"/>
          <w:bCs w:val="0"/>
          <w:i/>
          <w:iCs/>
          <w:sz w:val="21"/>
          <w:szCs w:val="21"/>
        </w:rPr>
        <w:t>Por haber cumplido la pena</w:t>
      </w:r>
      <w:r w:rsidRPr="008B326D">
        <w:rPr>
          <w:rFonts w:ascii="Abadi" w:eastAsia="Batang" w:hAnsi="Abadi"/>
          <w:b w:val="0"/>
          <w:bCs w:val="0"/>
          <w:sz w:val="21"/>
          <w:szCs w:val="21"/>
        </w:rPr>
        <w:t>, debido a que derivado del alcance previsto de origen ya se contempla en la porción normativa de la fracción III vigente, que alude a que las prerrogativas del ciudadano guanajuatense se recobran por la extinción de la pena de suspensión. Es decir, consideramos que se da la extinción al haber cumplido la pena que genero la suspensión de los derechos. Dicha porción normativa se encuentra implícita en la vigente fracción III pues la acción de haberse cumplido la pena en el ámbito penal es la extinción de esta por haberla cumplido y en la materia civil al haber cumplido la sanción que tienen como propósito reparar un derecho que ha sido vulnerado, devolviendo la situación al equilibrio y la justicia. De ahí la necesidad de mantener el artículo 26 en su esquema vigente.</w:t>
      </w:r>
    </w:p>
    <w:p w14:paraId="636A3EA9" w14:textId="77777777" w:rsidR="00427BD6" w:rsidRPr="008B326D" w:rsidRDefault="00427BD6" w:rsidP="00EF7206">
      <w:pPr>
        <w:pStyle w:val="Textoindependiente"/>
        <w:ind w:left="1068"/>
        <w:rPr>
          <w:rFonts w:ascii="Abadi" w:eastAsia="Batang" w:hAnsi="Abadi"/>
          <w:b w:val="0"/>
          <w:bCs w:val="0"/>
          <w:sz w:val="21"/>
          <w:szCs w:val="21"/>
        </w:rPr>
      </w:pPr>
    </w:p>
    <w:p w14:paraId="7DF2BBB2" w14:textId="77777777" w:rsidR="00427BD6" w:rsidRPr="008B326D" w:rsidRDefault="00427BD6" w:rsidP="00EF7206">
      <w:pPr>
        <w:pStyle w:val="Textoindependiente"/>
        <w:numPr>
          <w:ilvl w:val="0"/>
          <w:numId w:val="29"/>
        </w:numPr>
        <w:autoSpaceDE/>
        <w:autoSpaceDN/>
        <w:rPr>
          <w:rFonts w:ascii="Abadi" w:eastAsia="Batang" w:hAnsi="Abadi"/>
          <w:b w:val="0"/>
          <w:bCs w:val="0"/>
          <w:sz w:val="21"/>
          <w:szCs w:val="21"/>
        </w:rPr>
      </w:pPr>
      <w:r w:rsidRPr="008B326D">
        <w:rPr>
          <w:rFonts w:ascii="Abadi" w:eastAsia="Batang" w:hAnsi="Abadi"/>
          <w:b w:val="0"/>
          <w:bCs w:val="0"/>
          <w:sz w:val="21"/>
          <w:szCs w:val="21"/>
        </w:rPr>
        <w:t xml:space="preserve">Es importante referir que con respecto a los artículos 46, 69 y 111, que refiere a los impedimentos para ser Diputado, </w:t>
      </w:r>
      <w:r w:rsidRPr="008B326D">
        <w:rPr>
          <w:rFonts w:ascii="Abadi" w:eastAsia="Batang" w:hAnsi="Abadi"/>
          <w:b w:val="0"/>
          <w:bCs w:val="0"/>
          <w:sz w:val="21"/>
          <w:szCs w:val="21"/>
        </w:rPr>
        <w:lastRenderedPageBreak/>
        <w:t>Gobernador y Presidentes Municipales, Síndicos o Regidores en Guanajuato, se determinó ajustar el supuesto a adicionar a efecto de cuidar la constitucionalidad del mismo. Esto es que dentro de los treinta y seis meses anteriores previo al registro las personas hayan tenido resolución firme por violencia política contra las mujeres en razón de género, emitidas por los órganos jurisdiccionales en materia electoral, no podrán acceder al mismo. Es decir, se acordó ajustar esta porción y hacerla constitucional, razonable y proporcional al derecho a tutelar, pues quienes dictaminamos tenemos claro que este se determina como un requisito para impedir que violentadores políticos contra las mujeres en razón al género sean elegibles.</w:t>
      </w:r>
    </w:p>
    <w:p w14:paraId="6417A7DA" w14:textId="77777777" w:rsidR="00427BD6" w:rsidRPr="008B326D" w:rsidRDefault="00427BD6" w:rsidP="00EF7206">
      <w:pPr>
        <w:ind w:left="1068"/>
        <w:jc w:val="both"/>
        <w:rPr>
          <w:rFonts w:ascii="Abadi" w:hAnsi="Abadi" w:cs="Arial"/>
          <w:sz w:val="21"/>
          <w:szCs w:val="21"/>
          <w:highlight w:val="yellow"/>
        </w:rPr>
      </w:pPr>
    </w:p>
    <w:p w14:paraId="7A8F50B3"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Esta situación atiende a la tendencia constitucional de cuidar la menor restricción de los derechos políticos a ser votado, que permita el acceso y la participación más amplios de las personas que pretendan postularse a un cargo de elección popular. Por otro lado, se encuentra la obligación de quienes legislamos a establecer normas que potencialicen las acciones afirmativas en favor de la mujer, es decir, quienes pretendan postularse deberán garantizar su continuidad conductual, con el propósito de contribuir a la prevención, atención, sanción y erradicación de la violencia en el ejercicio del poder público y así ser acordes a los alcances de las tesis y criterios jurisprudenciales en materia electoral. </w:t>
      </w:r>
    </w:p>
    <w:p w14:paraId="6717E28E" w14:textId="77777777" w:rsidR="00427BD6" w:rsidRPr="008B326D" w:rsidRDefault="00427BD6" w:rsidP="00EF7206">
      <w:pPr>
        <w:pStyle w:val="Textoindependiente"/>
        <w:ind w:firstLine="709"/>
        <w:rPr>
          <w:rFonts w:ascii="Abadi" w:eastAsia="Batang" w:hAnsi="Abadi"/>
          <w:b w:val="0"/>
          <w:bCs w:val="0"/>
          <w:sz w:val="21"/>
          <w:szCs w:val="21"/>
        </w:rPr>
      </w:pPr>
    </w:p>
    <w:p w14:paraId="1A5B416C"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La modificación responde a que como se proponía de origen, vulneraría los principios de inocencia, de legalidad, debido proceso y seguridad jurídica porque llegamos a la conclusión que no es factible que en nuestra Constitución y por la misma causa, </w:t>
      </w:r>
      <w:r w:rsidRPr="008B326D">
        <w:rPr>
          <w:rFonts w:eastAsia="Batang"/>
          <w:b w:val="0"/>
          <w:bCs w:val="0"/>
          <w:i/>
          <w:iCs/>
          <w:sz w:val="21"/>
          <w:szCs w:val="21"/>
        </w:rPr>
        <w:t>―</w:t>
      </w:r>
      <w:r w:rsidRPr="008B326D">
        <w:rPr>
          <w:rFonts w:ascii="Abadi" w:eastAsia="Batang" w:hAnsi="Abadi"/>
          <w:b w:val="0"/>
          <w:bCs w:val="0"/>
          <w:i/>
          <w:iCs/>
          <w:sz w:val="21"/>
          <w:szCs w:val="21"/>
        </w:rPr>
        <w:t>violencia política contra las mujeres en razón de género</w:t>
      </w:r>
      <w:r w:rsidRPr="008B326D">
        <w:rPr>
          <w:rFonts w:eastAsia="Batang"/>
          <w:b w:val="0"/>
          <w:bCs w:val="0"/>
          <w:i/>
          <w:iCs/>
          <w:sz w:val="21"/>
          <w:szCs w:val="21"/>
        </w:rPr>
        <w:t>―</w:t>
      </w:r>
      <w:r w:rsidRPr="008B326D">
        <w:rPr>
          <w:rFonts w:ascii="Abadi" w:eastAsia="Batang" w:hAnsi="Abadi"/>
          <w:b w:val="0"/>
          <w:bCs w:val="0"/>
          <w:sz w:val="21"/>
          <w:szCs w:val="21"/>
        </w:rPr>
        <w:t xml:space="preserve">, sea motivo constitucionalmente suficiente para, cambiar los alcances y efectos de una restricción constitucional, para establecer en otros numerales de la misma Constitución Política Local, tal restricción acompañada de una </w:t>
      </w:r>
      <w:r w:rsidRPr="008B326D">
        <w:rPr>
          <w:rFonts w:ascii="Abadi" w:eastAsia="Batang" w:hAnsi="Abadi"/>
          <w:b w:val="0"/>
          <w:bCs w:val="0"/>
          <w:sz w:val="21"/>
          <w:szCs w:val="21"/>
        </w:rPr>
        <w:t>temporalidad previa al registro, en relación a la existencia de una sentencia condenatoria firme, para poder ser registrado para un cargo de elección popular. En tales condiciones, entendemos quienes dictaminamos que no debe pasar por alto que, los artículos 25 y 26 de la Constitución Política para el Estado de Guanajuato, están referidos a restricciones en el ámbito penal; en tanto, los numerales 46, 69 y 111 constituyen restricciones relativas a la materia electoral, y derivadas de la instauración del procedimiento sancionador electoral.</w:t>
      </w:r>
    </w:p>
    <w:p w14:paraId="39E98BED" w14:textId="77777777" w:rsidR="00427BD6" w:rsidRPr="008B326D" w:rsidRDefault="00427BD6" w:rsidP="00EF7206">
      <w:pPr>
        <w:pStyle w:val="Textoindependiente"/>
        <w:ind w:firstLine="709"/>
        <w:rPr>
          <w:rFonts w:ascii="Abadi" w:eastAsia="Batang" w:hAnsi="Abadi"/>
          <w:b w:val="0"/>
          <w:bCs w:val="0"/>
          <w:sz w:val="21"/>
          <w:szCs w:val="21"/>
        </w:rPr>
      </w:pPr>
    </w:p>
    <w:p w14:paraId="4FA9C5B5"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Por ello, de acuerdo con lo anterior, consideramos que lo jurídicamente viable es que, en todo caso, las fracciones, V, VI y V de los numerales 46, 69 y 111, contengan el mismo texto de la fracción V del artículo 25. Es decir, que no se haga referencia a un marco temporal anterior al registro sobre el dictado de una sentencia firme por violencia política, tal como lo señala el artículo 38 de la Constitución Política de los Estados Unidos Mexicanos, para que se armonizara sin crear conflictos de interpretación al operador jurídico, y eliminando la indebida restricción al derecho fundamental de votar y ser votado, como se pretende, al establecer la restricción en un marco de temporalidad </w:t>
      </w:r>
      <w:r w:rsidRPr="008B326D">
        <w:rPr>
          <w:rFonts w:ascii="Abadi" w:eastAsia="Batang" w:hAnsi="Abadi"/>
          <w:b w:val="0"/>
          <w:bCs w:val="0"/>
          <w:i/>
          <w:iCs/>
          <w:sz w:val="21"/>
          <w:szCs w:val="21"/>
        </w:rPr>
        <w:t>treinta y seis meses anterior de la emisión de una sentencia firme, con respecto de la fecha del registro  de una candidatura</w:t>
      </w:r>
      <w:r w:rsidRPr="008B326D">
        <w:rPr>
          <w:rFonts w:ascii="Abadi" w:eastAsia="Batang" w:hAnsi="Abadi"/>
          <w:b w:val="0"/>
          <w:bCs w:val="0"/>
          <w:sz w:val="21"/>
          <w:szCs w:val="21"/>
        </w:rPr>
        <w:t>. Por lo que, sin duda alguna, dicha temporalidad que se pretendía establecer presenta visos de inconstitucionalidad, que suponemos de mantener el supuesto en los términos propuestos de origen, en su momento podría ser materia de impugnación por quien o quienes resulten afectados, por los mecanismos de control de constitucionalidad que el sistema jurídico mexicano otorga, a partidos políticos, candidatos, o a cualquier ciudadano que pretenda acceder a ser votado en un proceso electoral.</w:t>
      </w:r>
    </w:p>
    <w:p w14:paraId="3F129CF3" w14:textId="77777777" w:rsidR="00427BD6" w:rsidRPr="008B326D" w:rsidRDefault="00427BD6" w:rsidP="00EF7206">
      <w:pPr>
        <w:pStyle w:val="Textoindependiente"/>
        <w:ind w:firstLine="709"/>
        <w:rPr>
          <w:rFonts w:ascii="Abadi" w:eastAsia="Batang" w:hAnsi="Abadi"/>
          <w:b w:val="0"/>
          <w:bCs w:val="0"/>
          <w:sz w:val="21"/>
          <w:szCs w:val="21"/>
        </w:rPr>
      </w:pPr>
    </w:p>
    <w:p w14:paraId="481BFB35"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Lo anterior, sin pasar por alto que, la Ley de Instituciones y Procedimientos Electorales para el Estado de Guanajuato, en sus artículos  347, 348, 349 y 350 describe las conductas que constituyen infracciones electorales y; a su vez, el artículo 354, en sus fracciones II, III y VII, aborda las sanciones que se pueden imponer derivado de la demostración  plena, más allá de toda duda razonable, de las infracciones electorales </w:t>
      </w:r>
      <w:r w:rsidRPr="008B326D">
        <w:rPr>
          <w:rFonts w:ascii="Abadi" w:eastAsia="Batang" w:hAnsi="Abadi"/>
          <w:b w:val="0"/>
          <w:bCs w:val="0"/>
          <w:sz w:val="21"/>
          <w:szCs w:val="21"/>
        </w:rPr>
        <w:lastRenderedPageBreak/>
        <w:t xml:space="preserve">cometidas por personas con las cualificaciones que cada numeral establece. Por lo antes señalado, para observar los principios constitucionales de proporcionalidad y racionalidad, se propone modificar los supuestos considerados como adición a los artículos 46, 69 y 111, la redacción en los alcances de materia electoral, en los términos siguientes: </w:t>
      </w:r>
    </w:p>
    <w:p w14:paraId="7480ED6D" w14:textId="77777777" w:rsidR="00427BD6" w:rsidRPr="008B326D" w:rsidRDefault="00427BD6" w:rsidP="00EF7206">
      <w:pPr>
        <w:pStyle w:val="Textoindependiente"/>
        <w:ind w:firstLine="709"/>
        <w:rPr>
          <w:rFonts w:ascii="Abadi" w:eastAsia="Batang" w:hAnsi="Abadi"/>
          <w:b w:val="0"/>
          <w:bCs w:val="0"/>
          <w:sz w:val="21"/>
          <w:szCs w:val="21"/>
        </w:rPr>
      </w:pPr>
    </w:p>
    <w:p w14:paraId="11217240" w14:textId="77777777" w:rsidR="00427BD6" w:rsidRPr="008B326D" w:rsidRDefault="00427BD6" w:rsidP="00EF7206">
      <w:pPr>
        <w:pStyle w:val="Textoindependiente"/>
        <w:ind w:left="1418"/>
        <w:rPr>
          <w:rFonts w:ascii="Abadi" w:eastAsia="Batang" w:hAnsi="Abadi"/>
          <w:b w:val="0"/>
          <w:bCs w:val="0"/>
          <w:i/>
          <w:iCs/>
          <w:sz w:val="21"/>
          <w:szCs w:val="21"/>
        </w:rPr>
      </w:pPr>
      <w:r w:rsidRPr="008B326D">
        <w:rPr>
          <w:rFonts w:ascii="Abadi" w:eastAsia="Batang" w:hAnsi="Abadi"/>
          <w:b w:val="0"/>
          <w:bCs w:val="0"/>
          <w:i/>
          <w:iCs/>
          <w:sz w:val="21"/>
          <w:szCs w:val="21"/>
        </w:rPr>
        <w:t>Las personas que hayan tenido resolución firme por infracción que constituya violencia política contra las mujeres en razón de género, emitidas por los órganos jurisdiccionales en materia electoral, en tanto se extingue la sanción impuesta.</w:t>
      </w:r>
    </w:p>
    <w:p w14:paraId="4B28BA45" w14:textId="77777777" w:rsidR="00427BD6" w:rsidRPr="008B326D" w:rsidRDefault="00427BD6" w:rsidP="00EF7206">
      <w:pPr>
        <w:pStyle w:val="Textoindependiente"/>
        <w:ind w:firstLine="709"/>
        <w:rPr>
          <w:rFonts w:ascii="Abadi" w:eastAsia="Batang" w:hAnsi="Abadi"/>
          <w:b w:val="0"/>
          <w:bCs w:val="0"/>
          <w:sz w:val="21"/>
          <w:szCs w:val="21"/>
        </w:rPr>
      </w:pPr>
    </w:p>
    <w:p w14:paraId="747ECBAB"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Consideramos, que de esta manera se cumple a cabalidad la armonización de la Constitución Política para el Estado de Guanajuato a la reforma del artículo 38 Constitucional, sin violentar el derecho fundamental en su vertiente, a votar y ser votado, sin invadir la facultad del Constituyente en materia de restricción de derechos, respetando el principio de inocencia de los gobernados y cumpliendo con los principios de proporcionalidad y racionalidad, pues es una fórmula que equilibra la protección al derecho fundamental de la mujer que es víctima de violencia política y el derecho fundamental de debido proceso y presunción de inocencia de quien comete tal infracción en materia comicial.</w:t>
      </w:r>
    </w:p>
    <w:p w14:paraId="3F5860D3" w14:textId="77777777" w:rsidR="00427BD6" w:rsidRPr="008B326D" w:rsidRDefault="00427BD6" w:rsidP="00EF7206">
      <w:pPr>
        <w:pStyle w:val="Textoindependiente"/>
        <w:ind w:firstLine="709"/>
        <w:rPr>
          <w:rFonts w:ascii="Abadi" w:eastAsia="Batang" w:hAnsi="Abadi"/>
          <w:b w:val="0"/>
          <w:bCs w:val="0"/>
          <w:sz w:val="21"/>
          <w:szCs w:val="21"/>
        </w:rPr>
      </w:pPr>
    </w:p>
    <w:p w14:paraId="3C874250"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Es decir, al tratarse de restricción de derechos, consideramos en su permanencia en el dictamen el ejercicio de proporcionalidad, que refiere al que parte de la premisa que los derechos no son absolutos, sino que puede haber limitaciones o restricciones, dado que persigue finalidades constitucionalmente válidas, y supera las gradas de idoneidad, de necesidad y de proporcionalidad en sentido estricto. Hemos determinado que dentro de las finalidades constitucionalmente válidas o legítimas advertimos la cualidad de las personas que van a acceder a un cargo público, es decir, podemos eficientar la </w:t>
      </w:r>
      <w:r w:rsidRPr="008B326D">
        <w:rPr>
          <w:rFonts w:ascii="Abadi" w:eastAsia="Batang" w:hAnsi="Abadi"/>
          <w:b w:val="0"/>
          <w:bCs w:val="0"/>
          <w:sz w:val="21"/>
          <w:szCs w:val="21"/>
        </w:rPr>
        <w:t xml:space="preserve">prestación del servicio público a partir de la cualidad de las personas. Y, los derechos de las mujeres, que va acorde a la doctrina </w:t>
      </w:r>
      <w:proofErr w:type="spellStart"/>
      <w:r w:rsidRPr="008B326D">
        <w:rPr>
          <w:rFonts w:ascii="Abadi" w:eastAsia="Batang" w:hAnsi="Abadi"/>
          <w:b w:val="0"/>
          <w:bCs w:val="0"/>
          <w:sz w:val="21"/>
          <w:szCs w:val="21"/>
        </w:rPr>
        <w:t>anti-subordinación</w:t>
      </w:r>
      <w:proofErr w:type="spellEnd"/>
      <w:r w:rsidRPr="008B326D">
        <w:rPr>
          <w:rFonts w:ascii="Abadi" w:eastAsia="Batang" w:hAnsi="Abadi"/>
          <w:b w:val="0"/>
          <w:bCs w:val="0"/>
          <w:sz w:val="21"/>
          <w:szCs w:val="21"/>
        </w:rPr>
        <w:t xml:space="preserve"> en la que pone el foco en la visión de desigualdad estructural</w:t>
      </w:r>
      <w:r w:rsidRPr="008B326D">
        <w:rPr>
          <w:rStyle w:val="Refdenotaalpie"/>
          <w:rFonts w:ascii="Abadi" w:eastAsia="Batang" w:hAnsi="Abadi"/>
          <w:b w:val="0"/>
          <w:bCs w:val="0"/>
          <w:sz w:val="21"/>
          <w:szCs w:val="21"/>
        </w:rPr>
        <w:footnoteReference w:id="184"/>
      </w:r>
      <w:r w:rsidRPr="008B326D">
        <w:rPr>
          <w:rFonts w:ascii="Abadi" w:eastAsia="Batang" w:hAnsi="Abadi"/>
          <w:b w:val="0"/>
          <w:bCs w:val="0"/>
          <w:sz w:val="21"/>
          <w:szCs w:val="21"/>
        </w:rPr>
        <w:t xml:space="preserve">, la cual pretende erradicar la construcción social, histórica y estructural que ha impedido que las mujeres ejerzan los derechos de manera libre y plena. </w:t>
      </w:r>
    </w:p>
    <w:p w14:paraId="2C07D1BA" w14:textId="77777777" w:rsidR="00427BD6" w:rsidRPr="008B326D" w:rsidRDefault="00427BD6" w:rsidP="00EF7206">
      <w:pPr>
        <w:pStyle w:val="Textoindependiente"/>
        <w:ind w:firstLine="709"/>
        <w:rPr>
          <w:rFonts w:ascii="Abadi" w:eastAsia="Batang" w:hAnsi="Abadi"/>
          <w:b w:val="0"/>
          <w:bCs w:val="0"/>
          <w:sz w:val="21"/>
          <w:szCs w:val="21"/>
          <w:highlight w:val="yellow"/>
        </w:rPr>
      </w:pPr>
    </w:p>
    <w:p w14:paraId="43059E2B"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Por ello, la adición que se modifica es idónea, necesaria y proporcional en sentido estricto. Idónea porque contribuye a generar este escenario que incentiva la erradicación de la violencia de manera indirecta. Aunado a lo anterior, es menester referir que no se desconoce que en nuestro Código Político Local ya existen otros mecanismos que pretenden erradicar la violencia contra las mujeres, pero esos no excluyen la medida que estamos proponiendo y ajustando, es decir, más bien tiende a armonizar y fortalecer lo ya vigente para que las mujeres puedan vivir de manera tranquila en el ejercicio pleno de sus derechos. De igual manera estamos conscientes que esta adición supera el grado de proporcionalidad en sentido estricto dado los beneficios que se obtendrán mayores a los costos que se puedan generar, es decir se va a beneficiar todo lo que se refiera al fortalecimiento de los derechos de las mujeres frente a la posibilidad que tienen algunas personas de acceder a algún cargo del servicio público, pero esto dependerá de su conducta. Es decir, una vez que sé ya no estén en el supuesto y sean personas que cumplan con sus obligaciones en estos dos sentidos, van a poder recuperar estas prerrogativas que tenemos las y los ciudadanos guanajuatenses.</w:t>
      </w:r>
    </w:p>
    <w:p w14:paraId="4991AA0B" w14:textId="77777777" w:rsidR="00427BD6" w:rsidRPr="008B326D" w:rsidRDefault="00427BD6" w:rsidP="00EF7206">
      <w:pPr>
        <w:pStyle w:val="Textoindependiente"/>
        <w:ind w:firstLine="709"/>
        <w:rPr>
          <w:rFonts w:ascii="Abadi" w:eastAsia="Batang" w:hAnsi="Abadi"/>
          <w:b w:val="0"/>
          <w:bCs w:val="0"/>
          <w:sz w:val="21"/>
          <w:szCs w:val="21"/>
          <w:highlight w:val="yellow"/>
        </w:rPr>
      </w:pPr>
    </w:p>
    <w:p w14:paraId="74353A57"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El tema es centrarlo al electoral, de ahí que adiciones las fracciones o supuestos a los artículos 46, 69 y 111 de la Constitución Política para el Estado de Guanajuato, pues refiere a los supuestos donde se tiene impedimento para ser candidato a un puesto de elección, y consideramos que no es desproporcional o excesivo debido a ser una medida que atiende a la doctrina de anti- subordinación, es decir, nos referimos al establecimiento de acciones que pongan fin a la discriminación estructural, que en ocasiones </w:t>
      </w:r>
      <w:r w:rsidRPr="008B326D">
        <w:rPr>
          <w:rFonts w:ascii="Abadi" w:eastAsia="Batang" w:hAnsi="Abadi"/>
          <w:b w:val="0"/>
          <w:bCs w:val="0"/>
          <w:sz w:val="21"/>
          <w:szCs w:val="21"/>
        </w:rPr>
        <w:lastRenderedPageBreak/>
        <w:t xml:space="preserve">es la más difícil de erradicar, porque está en todas partes y en a veces es imperceptible. Luego entonces, con esta adición se pretende visibilizar a partir de estas medidas la erradicación de prácticas que pasan invisibles ante nosotros, esa es la característica de ese tipo de discriminación estructural, y esta acción legislativa precisamente tiene esa finalidad, y al establecer el plazo justo tiene el efecto de inhibir y evitarla y fomentar el respeto a los derechos de las mujeres. </w:t>
      </w:r>
    </w:p>
    <w:p w14:paraId="390C0D59" w14:textId="77777777" w:rsidR="00427BD6" w:rsidRPr="008B326D" w:rsidRDefault="00427BD6" w:rsidP="00EF7206">
      <w:pPr>
        <w:pStyle w:val="Textoindependiente"/>
        <w:ind w:firstLine="709"/>
        <w:rPr>
          <w:rFonts w:ascii="Abadi" w:eastAsia="Batang" w:hAnsi="Abadi"/>
          <w:b w:val="0"/>
          <w:bCs w:val="0"/>
          <w:sz w:val="21"/>
          <w:szCs w:val="21"/>
          <w:highlight w:val="yellow"/>
        </w:rPr>
      </w:pPr>
    </w:p>
    <w:p w14:paraId="1E68DEFC" w14:textId="77777777" w:rsidR="00427BD6" w:rsidRPr="008B326D" w:rsidRDefault="00427BD6" w:rsidP="00EF7206">
      <w:pPr>
        <w:pStyle w:val="Textoindependiente"/>
        <w:ind w:firstLine="709"/>
        <w:rPr>
          <w:rFonts w:ascii="Abadi" w:eastAsia="Batang" w:hAnsi="Abadi"/>
          <w:b w:val="0"/>
          <w:bCs w:val="0"/>
          <w:sz w:val="21"/>
          <w:szCs w:val="21"/>
        </w:rPr>
      </w:pPr>
      <w:r w:rsidRPr="008B326D">
        <w:rPr>
          <w:rFonts w:ascii="Abadi" w:eastAsia="Batang" w:hAnsi="Abadi"/>
          <w:b w:val="0"/>
          <w:bCs w:val="0"/>
          <w:sz w:val="21"/>
          <w:szCs w:val="21"/>
        </w:rPr>
        <w:t xml:space="preserve">No podemos dejar de mencionar en este apartado que las sanciones en materia electoral no conllevan de suyo la garantía del arrepentimiento de las conductas que le fueron reprochadas, que permita valorar que el infractor ya no cometerá conductas violentas. Ahora, con la sanción jurisdiccional que le fue impuesta reivindica sus conductas pasadas. Sin embargo, con el requisito que se adiciona y que modificamos para hacerlo acorde a los efectos que perseguimos, se pretende que el ciudadano sea apto para asumir un puesto de elección popular por la importancia de la naturaleza social de las funciones a desempeñar. Esto es, la necesidad de la sociedad de que quien fue sancionado demuestre en el tiempo su cambio conductual con el propósito de contribuir a la prevención, atención, sanción y erradicación de la violencia política en razón de género, con la consciencia de que los requisitos deben se razonables y no discriminatorios. </w:t>
      </w:r>
    </w:p>
    <w:p w14:paraId="383F203F" w14:textId="77777777" w:rsidR="00427BD6" w:rsidRPr="008B326D" w:rsidRDefault="00427BD6" w:rsidP="00EF7206">
      <w:pPr>
        <w:pStyle w:val="Textoindependiente"/>
        <w:rPr>
          <w:rFonts w:ascii="Abadi" w:eastAsia="Batang" w:hAnsi="Abadi"/>
          <w:b w:val="0"/>
          <w:bCs w:val="0"/>
          <w:sz w:val="21"/>
          <w:szCs w:val="21"/>
          <w:highlight w:val="yellow"/>
        </w:rPr>
      </w:pPr>
    </w:p>
    <w:p w14:paraId="68C4DB4A" w14:textId="77777777" w:rsidR="00427BD6" w:rsidRPr="008B326D" w:rsidRDefault="00427BD6" w:rsidP="00EF7206">
      <w:pPr>
        <w:ind w:firstLine="709"/>
        <w:jc w:val="both"/>
        <w:rPr>
          <w:rFonts w:ascii="Abadi" w:hAnsi="Abadi" w:cs="Arial"/>
          <w:sz w:val="21"/>
          <w:szCs w:val="21"/>
        </w:rPr>
      </w:pPr>
      <w:r w:rsidRPr="008B326D">
        <w:rPr>
          <w:rFonts w:ascii="Abadi" w:hAnsi="Abadi" w:cs="Arial"/>
          <w:sz w:val="21"/>
          <w:szCs w:val="21"/>
        </w:rPr>
        <w:t>En ese apartado, somos responsables al resaltar que, de acuerdo estadísticas del Instituto Nacional Electoral</w:t>
      </w:r>
      <w:r w:rsidRPr="008B326D">
        <w:rPr>
          <w:rStyle w:val="Refdenotaalpie"/>
          <w:rFonts w:ascii="Abadi" w:eastAsia="Calibri" w:hAnsi="Abadi" w:cs="Arial"/>
          <w:sz w:val="21"/>
          <w:szCs w:val="21"/>
        </w:rPr>
        <w:footnoteReference w:id="185"/>
      </w:r>
      <w:r w:rsidRPr="008B326D">
        <w:rPr>
          <w:rFonts w:ascii="Abadi" w:hAnsi="Abadi" w:cs="Arial"/>
          <w:sz w:val="21"/>
          <w:szCs w:val="21"/>
        </w:rPr>
        <w:t xml:space="preserve">, los casos de violencia política en razón de género hoy, son sancionados con amonestación pública y la inscripción en el Registro Nacional de Personas Sancionadas en Materia de Violencia Política en razón de Género, sin embargo también es cierto que, las personas que se inscriben en esta lista, pueden seguir participando en la política sin alguna consecuencia mayor, lo que no abona a la </w:t>
      </w:r>
      <w:r w:rsidRPr="008B326D">
        <w:rPr>
          <w:rFonts w:ascii="Abadi" w:hAnsi="Abadi" w:cs="Arial"/>
          <w:sz w:val="21"/>
          <w:szCs w:val="21"/>
        </w:rPr>
        <w:t xml:space="preserve">erradicación de este tipo de violencia. Por ello la congruencia de legislar desde los aspectos constitucionales resaltando la importancia de que sea un impedimento para ser servidor público por elección, y la existencia de una sentencia firme en la que se haya declarado existente la infracción de violencia política contra las mujeres en razón de género por autoridad jurisdiccional electoral como requisito de inelegibilidad. </w:t>
      </w:r>
    </w:p>
    <w:p w14:paraId="631D8DE2" w14:textId="77777777" w:rsidR="00427BD6" w:rsidRPr="008B326D" w:rsidRDefault="00427BD6" w:rsidP="00EF7206">
      <w:pPr>
        <w:ind w:firstLine="709"/>
        <w:jc w:val="both"/>
        <w:rPr>
          <w:rFonts w:ascii="Abadi" w:hAnsi="Abadi" w:cs="Arial"/>
          <w:sz w:val="21"/>
          <w:szCs w:val="21"/>
        </w:rPr>
      </w:pPr>
    </w:p>
    <w:p w14:paraId="7FD8F56F" w14:textId="77777777" w:rsidR="00427BD6" w:rsidRPr="008B326D" w:rsidRDefault="00427BD6" w:rsidP="00EF7206">
      <w:pPr>
        <w:pStyle w:val="Textoindependiente"/>
        <w:numPr>
          <w:ilvl w:val="0"/>
          <w:numId w:val="29"/>
        </w:numPr>
        <w:autoSpaceDE/>
        <w:autoSpaceDN/>
        <w:rPr>
          <w:rFonts w:ascii="Abadi" w:eastAsia="Batang" w:hAnsi="Abadi"/>
          <w:b w:val="0"/>
          <w:bCs w:val="0"/>
          <w:sz w:val="21"/>
          <w:szCs w:val="21"/>
        </w:rPr>
      </w:pPr>
      <w:r w:rsidRPr="008B326D">
        <w:rPr>
          <w:rFonts w:ascii="Abadi" w:eastAsia="Batang" w:hAnsi="Abadi"/>
          <w:b w:val="0"/>
          <w:bCs w:val="0"/>
          <w:sz w:val="21"/>
          <w:szCs w:val="21"/>
        </w:rPr>
        <w:t>Acordamos no contemplar el segundo transitorio, en razón de que con este dictamen atendemos de manera puntual lo establecido en la reforma constitucional de reforma y adiciones a los artículos 38 y 102 de la Constitución Política de los Estados Unidos Mexicanos, en su artículo segundo transitorio.</w:t>
      </w:r>
    </w:p>
    <w:p w14:paraId="414C9777" w14:textId="77777777" w:rsidR="00427BD6" w:rsidRPr="008B326D" w:rsidRDefault="00427BD6" w:rsidP="00EF7206">
      <w:pPr>
        <w:ind w:firstLine="709"/>
        <w:jc w:val="both"/>
        <w:rPr>
          <w:rFonts w:ascii="Abadi" w:hAnsi="Abadi" w:cs="Arial"/>
          <w:sz w:val="21"/>
          <w:szCs w:val="21"/>
        </w:rPr>
      </w:pPr>
    </w:p>
    <w:p w14:paraId="325B78B0" w14:textId="77777777" w:rsidR="00427BD6" w:rsidRPr="008B326D" w:rsidRDefault="00427BD6" w:rsidP="00EF7206">
      <w:pPr>
        <w:ind w:firstLine="709"/>
        <w:jc w:val="both"/>
        <w:rPr>
          <w:rFonts w:ascii="Abadi" w:hAnsi="Abadi" w:cs="Arial"/>
          <w:sz w:val="21"/>
          <w:szCs w:val="21"/>
        </w:rPr>
      </w:pPr>
    </w:p>
    <w:p w14:paraId="7A31C436" w14:textId="77777777" w:rsidR="00427BD6" w:rsidRPr="00947EC7" w:rsidRDefault="00427BD6" w:rsidP="00EF7206">
      <w:pPr>
        <w:ind w:firstLine="709"/>
        <w:jc w:val="both"/>
        <w:rPr>
          <w:rFonts w:ascii="Abadi" w:hAnsi="Abadi" w:cs="Arial"/>
          <w:bCs/>
          <w:sz w:val="21"/>
          <w:szCs w:val="21"/>
        </w:rPr>
      </w:pPr>
      <w:r w:rsidRPr="00947EC7">
        <w:rPr>
          <w:rFonts w:ascii="Abadi" w:hAnsi="Abadi" w:cs="Arial"/>
          <w:bCs/>
          <w:sz w:val="21"/>
          <w:szCs w:val="21"/>
        </w:rPr>
        <w:t xml:space="preserve">De esta manera se determinó que este ejercicio fuera una reforma homogénea, pues viene a conjuntar una serie de principios que en armonía busca eliminar cualquier acción de violencia contra la mujer y sus hijos, hijas menores, por ello además es prioridad que atendiendo al principio superior de la niñez y la adolescencia, el Estado Mexicano debe proteger mediante todas las capacidades y recursos a su alcance, el interés superior de la niñez y adolescencia, garantizando de manera plena su derecho a tener identidad; a tener un nombre; a la adecuada salud y nutrición; a la educación; a vivir en un medio ambiente sano; a vivir libre de todo tipo de violencia, abuso o maltrato; al libre desarrollo de su personalidad; a no ser explotado; y a gozar de todas las demás prerrogativas y derechos que la Constitución de los Estados Unidos Mexicanos les otorga. El Estado deberá promover y otorgar facilidades a los particulares para que coadyuven al cumplimiento de los derechos de las y los niños. Los Gobiernos de las Entidades de la </w:t>
      </w:r>
      <w:r w:rsidRPr="00947EC7">
        <w:rPr>
          <w:rFonts w:ascii="Abadi" w:hAnsi="Abadi" w:cs="Arial"/>
          <w:bCs/>
          <w:sz w:val="21"/>
          <w:szCs w:val="21"/>
        </w:rPr>
        <w:lastRenderedPageBreak/>
        <w:t xml:space="preserve">República y de los Municipios, están obligados a cumplir, en el ámbito de sus responsabilidades y atribuciones. </w:t>
      </w:r>
    </w:p>
    <w:p w14:paraId="6241485F" w14:textId="77777777" w:rsidR="00427BD6" w:rsidRPr="00947EC7" w:rsidRDefault="00427BD6" w:rsidP="00EF7206">
      <w:pPr>
        <w:ind w:firstLine="709"/>
        <w:jc w:val="both"/>
        <w:rPr>
          <w:rFonts w:ascii="Abadi" w:hAnsi="Abadi" w:cs="Arial"/>
          <w:bCs/>
          <w:sz w:val="21"/>
          <w:szCs w:val="21"/>
        </w:rPr>
      </w:pPr>
    </w:p>
    <w:p w14:paraId="7D824EFB" w14:textId="77777777" w:rsidR="00427BD6" w:rsidRPr="00947EC7" w:rsidRDefault="00427BD6" w:rsidP="00EF7206">
      <w:pPr>
        <w:ind w:firstLine="709"/>
        <w:jc w:val="both"/>
        <w:rPr>
          <w:rFonts w:ascii="Abadi" w:hAnsi="Abadi" w:cs="Arial"/>
          <w:bCs/>
          <w:sz w:val="21"/>
          <w:szCs w:val="21"/>
        </w:rPr>
      </w:pPr>
      <w:r w:rsidRPr="00947EC7">
        <w:rPr>
          <w:rFonts w:ascii="Abadi" w:hAnsi="Abadi" w:cs="Arial"/>
          <w:bCs/>
          <w:sz w:val="21"/>
          <w:szCs w:val="21"/>
        </w:rPr>
        <w:t>Entendemos pues que, el interés superior de la niñez es un principio jurídico amplio que tiene al menos dos grandes conceptos: por un lado, es un derecho que tienen todas las niñas, niños y adolescentes de ser considerados prioridad en las acciones o decisiones que les afecten en lo individual o en grupo; por otro lado, es una obligación de todas las instancias públicas y privadas tomarlo como base en las medidas que adopten e impacten a este grupo de la población.</w:t>
      </w:r>
      <w:r w:rsidRPr="00947EC7">
        <w:rPr>
          <w:rStyle w:val="Refdenotaalpie"/>
          <w:rFonts w:ascii="Abadi" w:eastAsia="Calibri" w:hAnsi="Abadi" w:cs="Arial"/>
          <w:bCs/>
          <w:sz w:val="21"/>
          <w:szCs w:val="21"/>
        </w:rPr>
        <w:footnoteReference w:id="186"/>
      </w:r>
      <w:r w:rsidRPr="00947EC7">
        <w:rPr>
          <w:rFonts w:ascii="Abadi" w:hAnsi="Abadi" w:cs="Arial"/>
          <w:bCs/>
          <w:sz w:val="21"/>
          <w:szCs w:val="21"/>
        </w:rPr>
        <w:t xml:space="preserve"> El propio artículo 31 de la Constitución Política de los Estados Unidos Mexicanos aduce a ese principio de igual manera.</w:t>
      </w:r>
      <w:r w:rsidRPr="00947EC7">
        <w:rPr>
          <w:rStyle w:val="Refdenotaalpie"/>
          <w:rFonts w:ascii="Abadi" w:eastAsia="Calibri" w:hAnsi="Abadi" w:cs="Arial"/>
          <w:bCs/>
          <w:sz w:val="21"/>
          <w:szCs w:val="21"/>
        </w:rPr>
        <w:footnoteReference w:id="187"/>
      </w:r>
    </w:p>
    <w:p w14:paraId="0B1CF7A9" w14:textId="77777777" w:rsidR="00427BD6" w:rsidRPr="00947EC7" w:rsidRDefault="00427BD6" w:rsidP="00EF7206">
      <w:pPr>
        <w:ind w:firstLine="709"/>
        <w:jc w:val="both"/>
        <w:rPr>
          <w:rFonts w:ascii="Abadi" w:hAnsi="Abadi" w:cs="Arial"/>
          <w:bCs/>
          <w:sz w:val="21"/>
          <w:szCs w:val="21"/>
        </w:rPr>
      </w:pPr>
    </w:p>
    <w:p w14:paraId="7155C743" w14:textId="77777777" w:rsidR="00427BD6" w:rsidRPr="008B326D" w:rsidRDefault="00427BD6" w:rsidP="00EF7206">
      <w:pPr>
        <w:pStyle w:val="Textoindependiente"/>
        <w:ind w:firstLine="708"/>
        <w:rPr>
          <w:rStyle w:val="A6"/>
          <w:rFonts w:ascii="Abadi" w:hAnsi="Abadi"/>
          <w:b w:val="0"/>
          <w:bCs w:val="0"/>
          <w:sz w:val="21"/>
          <w:szCs w:val="21"/>
        </w:rPr>
      </w:pPr>
      <w:r w:rsidRPr="008B326D">
        <w:rPr>
          <w:rFonts w:ascii="Abadi" w:eastAsia="Batang" w:hAnsi="Abadi"/>
          <w:b w:val="0"/>
          <w:bCs w:val="0"/>
          <w:sz w:val="21"/>
          <w:szCs w:val="21"/>
          <w:lang w:val="es-MX" w:eastAsia="en-US"/>
        </w:rPr>
        <w:t xml:space="preserve">En ese sentido, finalmente las y los integrantes de esta comisión dictaminadora, estamos convencidos de que este ejercicio democrático es derivado de un acto materialmente legislativo, con estricto apego a la Constitución, la ley y los derechos humanos, de ahí su construcción. </w:t>
      </w:r>
      <w:r w:rsidRPr="008B326D">
        <w:rPr>
          <w:rStyle w:val="A6"/>
          <w:rFonts w:ascii="Abadi" w:hAnsi="Abadi"/>
          <w:b w:val="0"/>
          <w:bCs w:val="0"/>
          <w:sz w:val="21"/>
          <w:szCs w:val="21"/>
        </w:rPr>
        <w:t xml:space="preserve">Por eso las y los guanajuatenses y nosotros como legisladores, avanzamos en conjunto para seguir armonizando y fortaleciendo nuestros </w:t>
      </w:r>
      <w:r w:rsidRPr="008B326D">
        <w:rPr>
          <w:rStyle w:val="A6"/>
          <w:rFonts w:ascii="Abadi" w:hAnsi="Abadi"/>
          <w:b w:val="0"/>
          <w:bCs w:val="0"/>
          <w:sz w:val="21"/>
          <w:szCs w:val="21"/>
        </w:rPr>
        <w:t xml:space="preserve">principios constitucionales traducidos en leyes, cuyo compromiso es la igualdad y eliminación de cualquier tipo de violencia contra la mujer y los menores de edad </w:t>
      </w:r>
      <w:r w:rsidRPr="008B326D">
        <w:rPr>
          <w:rStyle w:val="A6"/>
          <w:rFonts w:cs="Arial"/>
          <w:b w:val="0"/>
          <w:bCs w:val="0"/>
          <w:i/>
          <w:iCs/>
          <w:sz w:val="21"/>
          <w:szCs w:val="21"/>
        </w:rPr>
        <w:t>―</w:t>
      </w:r>
      <w:r w:rsidRPr="008B326D">
        <w:rPr>
          <w:rStyle w:val="A6"/>
          <w:rFonts w:ascii="Abadi" w:hAnsi="Abadi"/>
          <w:b w:val="0"/>
          <w:bCs w:val="0"/>
          <w:i/>
          <w:iCs/>
          <w:sz w:val="21"/>
          <w:szCs w:val="21"/>
        </w:rPr>
        <w:t>hijos, hijas y adolescentes</w:t>
      </w:r>
      <w:r w:rsidRPr="008B326D">
        <w:rPr>
          <w:rStyle w:val="A6"/>
          <w:rFonts w:cs="Arial"/>
          <w:b w:val="0"/>
          <w:bCs w:val="0"/>
          <w:i/>
          <w:iCs/>
          <w:sz w:val="21"/>
          <w:szCs w:val="21"/>
        </w:rPr>
        <w:t>―</w:t>
      </w:r>
      <w:r w:rsidRPr="008B326D">
        <w:rPr>
          <w:rStyle w:val="A6"/>
          <w:rFonts w:ascii="Abadi" w:hAnsi="Abadi"/>
          <w:b w:val="0"/>
          <w:bCs w:val="0"/>
          <w:sz w:val="21"/>
          <w:szCs w:val="21"/>
        </w:rPr>
        <w:t>. Actualmente constituye un consenso indudable dentro del panorama del diálogo político en la propia sociedad guanajuatense. Generando de esta forma principios constitucionales y leyes e instituciones fuertes, con el trabajo e ideas de las mujeres y los hombres de Guanajuato.</w:t>
      </w:r>
    </w:p>
    <w:p w14:paraId="02CA5060" w14:textId="77777777" w:rsidR="00427BD6" w:rsidRPr="008B326D" w:rsidRDefault="00427BD6" w:rsidP="00EF7206">
      <w:pPr>
        <w:pStyle w:val="Textoindependiente"/>
        <w:ind w:firstLine="708"/>
        <w:rPr>
          <w:rStyle w:val="A6"/>
          <w:rFonts w:ascii="Abadi" w:hAnsi="Abadi"/>
          <w:b w:val="0"/>
          <w:bCs w:val="0"/>
          <w:sz w:val="21"/>
          <w:szCs w:val="21"/>
        </w:rPr>
      </w:pPr>
    </w:p>
    <w:p w14:paraId="267A303E" w14:textId="77777777" w:rsidR="00427BD6" w:rsidRPr="008B326D" w:rsidRDefault="00427BD6" w:rsidP="00EF7206">
      <w:pPr>
        <w:ind w:right="44" w:firstLine="708"/>
        <w:jc w:val="both"/>
        <w:rPr>
          <w:rFonts w:ascii="Abadi" w:hAnsi="Abadi"/>
          <w:sz w:val="21"/>
          <w:szCs w:val="21"/>
        </w:rPr>
      </w:pPr>
      <w:r w:rsidRPr="008B326D">
        <w:rPr>
          <w:rFonts w:ascii="Abadi" w:hAnsi="Abadi"/>
          <w:sz w:val="21"/>
          <w:szCs w:val="21"/>
        </w:rPr>
        <w:t>Estamos conscientes que en un país que sea congruente con sus postulados esenciales de democracia, no se puede permitir la existencia de situaciones que obstaculicen, vulneren o restrinjan, los derechos humanos de las personas y, principalmente el de igualdad, derivado de alguna forma de discriminación injustificada, precisamente porque ella va contra ese pretendido estilo de vida democrático</w:t>
      </w:r>
      <w:r w:rsidRPr="008B326D">
        <w:rPr>
          <w:rStyle w:val="Refdenotaalpie"/>
          <w:rFonts w:ascii="Abadi" w:eastAsia="Calibri" w:hAnsi="Abadi" w:cs="Arial"/>
          <w:sz w:val="21"/>
          <w:szCs w:val="21"/>
        </w:rPr>
        <w:footnoteReference w:id="188"/>
      </w:r>
      <w:r w:rsidRPr="008B326D">
        <w:rPr>
          <w:rFonts w:ascii="Abadi" w:hAnsi="Abadi" w:cs="Arial"/>
          <w:sz w:val="21"/>
          <w:szCs w:val="21"/>
        </w:rPr>
        <w:t xml:space="preserve">, </w:t>
      </w:r>
      <w:r w:rsidRPr="008B326D">
        <w:rPr>
          <w:rFonts w:ascii="Abadi" w:hAnsi="Abadi"/>
          <w:sz w:val="21"/>
          <w:szCs w:val="21"/>
        </w:rPr>
        <w:t xml:space="preserve">al contrario se tienen que generar los mecanismos necesarios para evitar cualquier vulneración a los derechos humanos de las personas. Por lo que se considera acertado los contenidos de este dictamen, pues en nuestro País ya se han realizado acciones en esta materia con la finalidad de generar condiciones que eviten y prevengan cualquier </w:t>
      </w:r>
      <w:r w:rsidRPr="008B326D">
        <w:rPr>
          <w:rFonts w:ascii="Abadi" w:hAnsi="Abadi"/>
          <w:sz w:val="21"/>
          <w:szCs w:val="21"/>
        </w:rPr>
        <w:lastRenderedPageBreak/>
        <w:t>acto de violencia contra las mujeres y los menores hijos.</w:t>
      </w:r>
      <w:r w:rsidRPr="008B326D">
        <w:rPr>
          <w:rFonts w:ascii="Abadi" w:hAnsi="Abadi" w:cs="Arial"/>
          <w:sz w:val="21"/>
          <w:szCs w:val="21"/>
        </w:rPr>
        <w:t xml:space="preserve"> </w:t>
      </w:r>
      <w:r w:rsidRPr="008B326D">
        <w:rPr>
          <w:rFonts w:ascii="Abadi" w:hAnsi="Abadi"/>
          <w:sz w:val="21"/>
          <w:szCs w:val="21"/>
        </w:rPr>
        <w:t>Asimismo, los cambios que se pretenden aplicar vendrían a establecer una sociedad más justa, igualitaria y respetuosa con los derechos humanos.</w:t>
      </w:r>
    </w:p>
    <w:p w14:paraId="38998B4D" w14:textId="77777777" w:rsidR="00427BD6" w:rsidRPr="008B326D" w:rsidRDefault="00427BD6" w:rsidP="00EF7206">
      <w:pPr>
        <w:ind w:right="44" w:firstLine="708"/>
        <w:jc w:val="both"/>
        <w:rPr>
          <w:rFonts w:ascii="Abadi" w:hAnsi="Abadi"/>
          <w:sz w:val="21"/>
          <w:szCs w:val="21"/>
        </w:rPr>
      </w:pPr>
    </w:p>
    <w:p w14:paraId="7581CC1B" w14:textId="77777777" w:rsidR="00427BD6" w:rsidRPr="00947EC7" w:rsidRDefault="00427BD6" w:rsidP="00EF7206">
      <w:pPr>
        <w:pStyle w:val="Textoindependiente"/>
        <w:ind w:firstLine="708"/>
        <w:rPr>
          <w:rFonts w:ascii="Abadi" w:eastAsia="Batang" w:hAnsi="Abadi"/>
          <w:sz w:val="21"/>
          <w:szCs w:val="21"/>
          <w:lang w:val="es-MX" w:eastAsia="en-US"/>
        </w:rPr>
      </w:pPr>
      <w:r w:rsidRPr="008B326D">
        <w:rPr>
          <w:rFonts w:ascii="Abadi" w:eastAsia="Batang" w:hAnsi="Abadi"/>
          <w:b w:val="0"/>
          <w:bCs w:val="0"/>
          <w:sz w:val="21"/>
          <w:szCs w:val="21"/>
          <w:lang w:val="es-MX" w:eastAsia="en-US"/>
        </w:rPr>
        <w:t>Resaltamos el cumplimiento de los Objetivos del Desarrollo Sostenible de la Agenda 2030 en el dictamen puesto a su consideración, pues el mismo impacta e incide respecto a los Objetivos 5. Igualdad de Género. Lograr la igualdad entre los géneros y empoderar a todas las mujeres y niñas, con su meta 5.5 asegurar la participación plena y efectiva de las mujeres y la igualdad de</w:t>
      </w:r>
      <w:r w:rsidRPr="008B326D">
        <w:rPr>
          <w:rFonts w:ascii="Abadi" w:eastAsia="Batang" w:hAnsi="Abadi"/>
          <w:sz w:val="21"/>
          <w:szCs w:val="21"/>
          <w:lang w:val="es-MX" w:eastAsia="en-US"/>
        </w:rPr>
        <w:t xml:space="preserve"> </w:t>
      </w:r>
      <w:r w:rsidRPr="008B326D">
        <w:rPr>
          <w:rFonts w:ascii="Abadi" w:eastAsia="Batang" w:hAnsi="Abadi"/>
          <w:b w:val="0"/>
          <w:bCs w:val="0"/>
          <w:sz w:val="21"/>
          <w:szCs w:val="21"/>
          <w:lang w:val="es-MX" w:eastAsia="en-US"/>
        </w:rPr>
        <w:t>oportunidades de liderazgo a todos los niveles decisorios en la vida política, económica y pública, y 16. Paz, Justicia e Instituciones Sólidas. Promover sociedades justas, pacíficas e inclusivas con sus metas 16.3. Promover el estado de derecho en los planos nacional e internacional y garantizar la igualdad de acceso a la justicia para todos.</w:t>
      </w:r>
      <w:r w:rsidRPr="00947EC7">
        <w:rPr>
          <w:rFonts w:ascii="Abadi" w:eastAsia="Batang" w:hAnsi="Abadi"/>
          <w:sz w:val="21"/>
          <w:szCs w:val="21"/>
          <w:lang w:val="es-MX" w:eastAsia="en-US"/>
        </w:rPr>
        <w:t xml:space="preserve"> </w:t>
      </w:r>
    </w:p>
    <w:p w14:paraId="0F801E6C" w14:textId="77777777" w:rsidR="00427BD6" w:rsidRPr="00947EC7" w:rsidRDefault="00427BD6" w:rsidP="00EF7206">
      <w:pPr>
        <w:ind w:firstLine="708"/>
        <w:jc w:val="both"/>
        <w:rPr>
          <w:rFonts w:ascii="Abadi" w:eastAsia="Batang" w:hAnsi="Abadi" w:cs="Arial"/>
          <w:sz w:val="21"/>
          <w:szCs w:val="21"/>
        </w:rPr>
      </w:pPr>
    </w:p>
    <w:p w14:paraId="411BDD64" w14:textId="77777777" w:rsidR="00427BD6" w:rsidRPr="00947EC7" w:rsidRDefault="00427BD6" w:rsidP="00EF7206">
      <w:pPr>
        <w:ind w:firstLine="708"/>
        <w:jc w:val="both"/>
        <w:rPr>
          <w:rFonts w:ascii="Abadi" w:eastAsia="Batang" w:hAnsi="Abadi" w:cs="Arial"/>
          <w:sz w:val="21"/>
          <w:szCs w:val="21"/>
        </w:rPr>
      </w:pPr>
      <w:r w:rsidRPr="00947EC7">
        <w:rPr>
          <w:rFonts w:ascii="Abadi" w:eastAsia="Batang" w:hAnsi="Abadi" w:cs="Arial"/>
          <w:sz w:val="21"/>
          <w:szCs w:val="21"/>
        </w:rPr>
        <w:t xml:space="preserve">En razón de lo antes expuesto y con fundamento en los artículos 171 y 204 de la Ley Orgánica del Poder Legislativo del Estado de Guanajuato, nos permitimos someter a la aprobación de la Asamblea, el siguiente: </w:t>
      </w:r>
    </w:p>
    <w:p w14:paraId="65091C18" w14:textId="77777777" w:rsidR="00427BD6" w:rsidRPr="00947EC7" w:rsidRDefault="00427BD6" w:rsidP="00EF7206">
      <w:pPr>
        <w:jc w:val="center"/>
        <w:rPr>
          <w:rFonts w:ascii="Abadi" w:hAnsi="Abadi" w:cs="Arial"/>
          <w:b/>
          <w:sz w:val="21"/>
          <w:szCs w:val="21"/>
        </w:rPr>
      </w:pPr>
      <w:bookmarkStart w:id="4" w:name="_Hlk133941891"/>
    </w:p>
    <w:p w14:paraId="2987AB99" w14:textId="77777777" w:rsidR="00427BD6" w:rsidRPr="00947EC7" w:rsidRDefault="00427BD6" w:rsidP="00EF7206">
      <w:pPr>
        <w:jc w:val="center"/>
        <w:rPr>
          <w:rFonts w:ascii="Abadi" w:hAnsi="Abadi" w:cs="Arial"/>
          <w:b/>
          <w:sz w:val="21"/>
          <w:szCs w:val="21"/>
        </w:rPr>
      </w:pPr>
    </w:p>
    <w:p w14:paraId="54CECF1E" w14:textId="77777777" w:rsidR="00427BD6" w:rsidRPr="00947EC7" w:rsidRDefault="00427BD6" w:rsidP="00EF7206">
      <w:pPr>
        <w:jc w:val="center"/>
        <w:rPr>
          <w:rFonts w:ascii="Abadi" w:hAnsi="Abadi" w:cs="Arial"/>
          <w:b/>
          <w:sz w:val="21"/>
          <w:szCs w:val="21"/>
        </w:rPr>
      </w:pPr>
      <w:r w:rsidRPr="00947EC7">
        <w:rPr>
          <w:rFonts w:ascii="Abadi" w:hAnsi="Abadi" w:cs="Arial"/>
          <w:b/>
          <w:sz w:val="21"/>
          <w:szCs w:val="21"/>
        </w:rPr>
        <w:t>DECRETO</w:t>
      </w:r>
    </w:p>
    <w:p w14:paraId="1CEC9721" w14:textId="77777777" w:rsidR="00427BD6" w:rsidRPr="00947EC7" w:rsidRDefault="00427BD6" w:rsidP="00EF7206">
      <w:pPr>
        <w:jc w:val="center"/>
        <w:rPr>
          <w:rFonts w:ascii="Abadi" w:hAnsi="Abadi" w:cs="Arial"/>
          <w:b/>
          <w:sz w:val="21"/>
          <w:szCs w:val="21"/>
        </w:rPr>
      </w:pPr>
    </w:p>
    <w:p w14:paraId="3B6E8FAD" w14:textId="77777777" w:rsidR="00427BD6" w:rsidRPr="00947EC7" w:rsidRDefault="00427BD6" w:rsidP="00EF7206">
      <w:pPr>
        <w:jc w:val="center"/>
        <w:rPr>
          <w:rFonts w:ascii="Abadi" w:hAnsi="Abadi" w:cs="Arial"/>
          <w:b/>
          <w:sz w:val="21"/>
          <w:szCs w:val="21"/>
        </w:rPr>
      </w:pPr>
    </w:p>
    <w:p w14:paraId="1B8AACA7" w14:textId="77777777" w:rsidR="00427BD6" w:rsidRPr="00947EC7" w:rsidRDefault="00427BD6" w:rsidP="00EF7206">
      <w:pPr>
        <w:pStyle w:val="Prrafodelista"/>
        <w:ind w:left="0" w:firstLine="708"/>
        <w:jc w:val="both"/>
        <w:rPr>
          <w:rFonts w:ascii="Abadi" w:hAnsi="Abadi" w:cs="Arial"/>
          <w:sz w:val="21"/>
          <w:szCs w:val="21"/>
        </w:rPr>
      </w:pPr>
      <w:r w:rsidRPr="00947EC7">
        <w:rPr>
          <w:rFonts w:ascii="Abadi" w:hAnsi="Abadi" w:cs="Arial"/>
          <w:b/>
          <w:sz w:val="21"/>
          <w:szCs w:val="21"/>
        </w:rPr>
        <w:t>Artículo Único.</w:t>
      </w:r>
      <w:r w:rsidRPr="00947EC7">
        <w:rPr>
          <w:rFonts w:ascii="Abadi" w:hAnsi="Abadi" w:cs="Arial"/>
          <w:sz w:val="21"/>
          <w:szCs w:val="21"/>
        </w:rPr>
        <w:t xml:space="preserve"> Se </w:t>
      </w:r>
      <w:r w:rsidRPr="00947EC7">
        <w:rPr>
          <w:rFonts w:ascii="Abadi" w:hAnsi="Abadi" w:cs="Arial"/>
          <w:b/>
          <w:bCs/>
          <w:sz w:val="21"/>
          <w:szCs w:val="21"/>
        </w:rPr>
        <w:t>reforman</w:t>
      </w:r>
      <w:r w:rsidRPr="00947EC7">
        <w:rPr>
          <w:rFonts w:ascii="Abadi" w:hAnsi="Abadi" w:cs="Arial"/>
          <w:sz w:val="21"/>
          <w:szCs w:val="21"/>
        </w:rPr>
        <w:t xml:space="preserve"> los artículos 25, fracciones V y VI, 46, fracciones II, III y IV, 69, fracciones II, IV y V, y, 111, fracciones II, III y IV; y se </w:t>
      </w:r>
      <w:r w:rsidRPr="00947EC7">
        <w:rPr>
          <w:rFonts w:ascii="Abadi" w:hAnsi="Abadi" w:cs="Arial"/>
          <w:b/>
          <w:sz w:val="21"/>
          <w:szCs w:val="21"/>
        </w:rPr>
        <w:t xml:space="preserve">adicionan </w:t>
      </w:r>
      <w:r w:rsidRPr="00947EC7">
        <w:rPr>
          <w:rFonts w:ascii="Abadi" w:hAnsi="Abadi" w:cs="Arial"/>
          <w:bCs/>
          <w:sz w:val="21"/>
          <w:szCs w:val="21"/>
        </w:rPr>
        <w:t>los</w:t>
      </w:r>
      <w:r w:rsidRPr="00947EC7">
        <w:rPr>
          <w:rFonts w:ascii="Abadi" w:hAnsi="Abadi" w:cs="Arial"/>
          <w:b/>
          <w:sz w:val="21"/>
          <w:szCs w:val="21"/>
        </w:rPr>
        <w:t xml:space="preserve"> </w:t>
      </w:r>
      <w:r w:rsidRPr="00947EC7">
        <w:rPr>
          <w:rFonts w:ascii="Abadi" w:hAnsi="Abadi" w:cs="Arial"/>
          <w:bCs/>
          <w:sz w:val="21"/>
          <w:szCs w:val="21"/>
        </w:rPr>
        <w:t>artículos 25, con las fracciones VII y VIII</w:t>
      </w:r>
      <w:r w:rsidRPr="00947EC7">
        <w:rPr>
          <w:rFonts w:ascii="Abadi" w:hAnsi="Abadi" w:cs="Arial"/>
          <w:sz w:val="21"/>
          <w:szCs w:val="21"/>
        </w:rPr>
        <w:t xml:space="preserve"> y un párrafo segundo, 46, con una fracción V, 69, con una fracción VI y 111, con una fracción V, de la </w:t>
      </w:r>
      <w:r w:rsidRPr="00947EC7">
        <w:rPr>
          <w:rFonts w:ascii="Abadi" w:hAnsi="Abadi" w:cs="Arial"/>
          <w:b/>
          <w:bCs/>
          <w:sz w:val="21"/>
          <w:szCs w:val="21"/>
        </w:rPr>
        <w:t>Constitución Política para el Estado de Guanajuato</w:t>
      </w:r>
      <w:r w:rsidRPr="00947EC7">
        <w:rPr>
          <w:rFonts w:ascii="Abadi" w:hAnsi="Abadi" w:cs="Arial"/>
          <w:sz w:val="21"/>
          <w:szCs w:val="21"/>
        </w:rPr>
        <w:t>, para quedar como sigue:</w:t>
      </w:r>
    </w:p>
    <w:p w14:paraId="320E3D1D" w14:textId="77777777" w:rsidR="00427BD6" w:rsidRPr="00947EC7" w:rsidRDefault="00427BD6" w:rsidP="00EF7206">
      <w:pPr>
        <w:pStyle w:val="Prrafodelista"/>
        <w:ind w:left="0" w:firstLine="708"/>
        <w:jc w:val="both"/>
        <w:rPr>
          <w:rFonts w:ascii="Abadi" w:hAnsi="Abadi" w:cs="Arial"/>
          <w:sz w:val="21"/>
          <w:szCs w:val="21"/>
        </w:rPr>
      </w:pPr>
    </w:p>
    <w:p w14:paraId="674B4F15" w14:textId="77777777" w:rsidR="00427BD6" w:rsidRPr="00947EC7" w:rsidRDefault="00427BD6" w:rsidP="00EF7206">
      <w:pPr>
        <w:pStyle w:val="Prrafodelista"/>
        <w:ind w:left="0" w:firstLine="708"/>
        <w:jc w:val="both"/>
        <w:rPr>
          <w:rFonts w:ascii="Abadi" w:hAnsi="Abadi" w:cs="Arial"/>
          <w:sz w:val="21"/>
          <w:szCs w:val="21"/>
        </w:rPr>
      </w:pPr>
    </w:p>
    <w:p w14:paraId="4F25D8C1" w14:textId="77777777" w:rsidR="00427BD6" w:rsidRPr="00947EC7" w:rsidRDefault="00427BD6" w:rsidP="00EF7206">
      <w:pPr>
        <w:ind w:firstLine="708"/>
        <w:jc w:val="both"/>
        <w:rPr>
          <w:rFonts w:ascii="Abadi" w:hAnsi="Abadi" w:cs="Arial"/>
          <w:sz w:val="21"/>
          <w:szCs w:val="21"/>
        </w:rPr>
      </w:pPr>
      <w:r w:rsidRPr="00947EC7">
        <w:rPr>
          <w:rFonts w:ascii="Abadi" w:hAnsi="Abadi" w:cs="Arial"/>
          <w:b/>
          <w:sz w:val="21"/>
          <w:szCs w:val="21"/>
        </w:rPr>
        <w:t xml:space="preserve">«ARTÍCULO 25. </w:t>
      </w:r>
      <w:r w:rsidRPr="00947EC7">
        <w:rPr>
          <w:rFonts w:ascii="Abadi" w:hAnsi="Abadi" w:cs="Arial"/>
          <w:sz w:val="21"/>
          <w:szCs w:val="21"/>
        </w:rPr>
        <w:t>Las prerrogativas del…</w:t>
      </w:r>
    </w:p>
    <w:p w14:paraId="79F9552D" w14:textId="77777777" w:rsidR="00427BD6" w:rsidRPr="00947EC7" w:rsidRDefault="00427BD6" w:rsidP="00EF7206">
      <w:pPr>
        <w:ind w:firstLine="708"/>
        <w:jc w:val="both"/>
        <w:rPr>
          <w:rFonts w:ascii="Abadi" w:hAnsi="Abadi" w:cs="Arial"/>
          <w:sz w:val="21"/>
          <w:szCs w:val="21"/>
        </w:rPr>
      </w:pPr>
    </w:p>
    <w:p w14:paraId="6D45A338"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I. </w:t>
      </w:r>
      <w:r w:rsidRPr="00947EC7">
        <w:rPr>
          <w:rFonts w:ascii="Abadi" w:hAnsi="Abadi" w:cs="Arial"/>
          <w:bCs/>
          <w:sz w:val="21"/>
          <w:szCs w:val="21"/>
        </w:rPr>
        <w:t>a</w:t>
      </w:r>
      <w:r w:rsidRPr="00947EC7">
        <w:rPr>
          <w:rFonts w:ascii="Abadi" w:hAnsi="Abadi" w:cs="Arial"/>
          <w:b/>
          <w:sz w:val="21"/>
          <w:szCs w:val="21"/>
        </w:rPr>
        <w:t xml:space="preserve"> IV.- </w:t>
      </w:r>
      <w:r w:rsidRPr="00947EC7">
        <w:rPr>
          <w:rFonts w:ascii="Abadi" w:hAnsi="Abadi" w:cs="Arial"/>
          <w:bCs/>
          <w:sz w:val="21"/>
          <w:szCs w:val="21"/>
        </w:rPr>
        <w:t>…</w:t>
      </w:r>
    </w:p>
    <w:p w14:paraId="23938F8F" w14:textId="77777777" w:rsidR="00427BD6" w:rsidRPr="00947EC7" w:rsidRDefault="00427BD6" w:rsidP="00EF7206">
      <w:pPr>
        <w:ind w:firstLine="708"/>
        <w:jc w:val="both"/>
        <w:rPr>
          <w:rFonts w:ascii="Abadi" w:hAnsi="Abadi" w:cs="Arial"/>
          <w:b/>
          <w:sz w:val="21"/>
          <w:szCs w:val="21"/>
        </w:rPr>
      </w:pPr>
    </w:p>
    <w:p w14:paraId="6EF7304C" w14:textId="77777777" w:rsidR="00427BD6" w:rsidRPr="00947EC7" w:rsidRDefault="00427BD6" w:rsidP="00EF7206">
      <w:pPr>
        <w:ind w:firstLine="708"/>
        <w:jc w:val="both"/>
        <w:rPr>
          <w:rFonts w:ascii="Abadi" w:hAnsi="Abadi" w:cs="Arial"/>
          <w:sz w:val="21"/>
          <w:szCs w:val="21"/>
        </w:rPr>
      </w:pPr>
      <w:r w:rsidRPr="00947EC7">
        <w:rPr>
          <w:rFonts w:ascii="Abadi" w:hAnsi="Abadi" w:cs="Arial"/>
          <w:b/>
          <w:sz w:val="21"/>
          <w:szCs w:val="21"/>
        </w:rPr>
        <w:t xml:space="preserve">V.- </w:t>
      </w:r>
      <w:r w:rsidRPr="00947EC7">
        <w:rPr>
          <w:rFonts w:ascii="Abadi" w:hAnsi="Abadi" w:cs="Arial"/>
          <w:sz w:val="21"/>
          <w:szCs w:val="21"/>
        </w:rPr>
        <w:t>Por estar prófugo de la justicia, desde que se dicte orden de aprehensión hasta la prescripción de la acción penal o de la sanción en su caso;</w:t>
      </w:r>
    </w:p>
    <w:p w14:paraId="1C04BB2A" w14:textId="77777777" w:rsidR="00427BD6" w:rsidRPr="00947EC7" w:rsidRDefault="00427BD6" w:rsidP="00EF7206">
      <w:pPr>
        <w:ind w:firstLine="708"/>
        <w:jc w:val="both"/>
        <w:rPr>
          <w:rFonts w:ascii="Abadi" w:hAnsi="Abadi" w:cs="Arial"/>
          <w:sz w:val="21"/>
          <w:szCs w:val="21"/>
        </w:rPr>
      </w:pPr>
    </w:p>
    <w:p w14:paraId="7C8CEEEE" w14:textId="77777777" w:rsidR="00427BD6" w:rsidRPr="00947EC7" w:rsidRDefault="00427BD6" w:rsidP="00EF7206">
      <w:pPr>
        <w:ind w:firstLine="708"/>
        <w:jc w:val="both"/>
        <w:rPr>
          <w:rFonts w:ascii="Abadi" w:hAnsi="Abadi" w:cs="Arial"/>
          <w:sz w:val="21"/>
          <w:szCs w:val="21"/>
        </w:rPr>
      </w:pPr>
      <w:r w:rsidRPr="00947EC7">
        <w:rPr>
          <w:rFonts w:ascii="Abadi" w:hAnsi="Abadi" w:cs="Arial"/>
          <w:b/>
          <w:sz w:val="21"/>
          <w:szCs w:val="21"/>
        </w:rPr>
        <w:t xml:space="preserve">VI.- </w:t>
      </w:r>
      <w:r w:rsidRPr="00947EC7">
        <w:rPr>
          <w:rFonts w:ascii="Abadi" w:hAnsi="Abadi" w:cs="Arial"/>
          <w:sz w:val="21"/>
          <w:szCs w:val="21"/>
        </w:rPr>
        <w:t xml:space="preserve">Por sentencia ejecutoria que decrete la pena de suspensión de derechos, en los términos que disponga la Ley; </w:t>
      </w:r>
    </w:p>
    <w:p w14:paraId="45B714E6" w14:textId="77777777" w:rsidR="00427BD6" w:rsidRPr="00947EC7" w:rsidRDefault="00427BD6" w:rsidP="00EF7206">
      <w:pPr>
        <w:ind w:firstLine="708"/>
        <w:jc w:val="both"/>
        <w:rPr>
          <w:rFonts w:ascii="Abadi" w:hAnsi="Abadi" w:cs="Arial"/>
          <w:b/>
          <w:sz w:val="21"/>
          <w:szCs w:val="21"/>
        </w:rPr>
      </w:pPr>
    </w:p>
    <w:p w14:paraId="1BA99FE3"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VII.- </w:t>
      </w:r>
      <w:r w:rsidRPr="00947EC7">
        <w:rPr>
          <w:rFonts w:ascii="Abadi" w:hAnsi="Abadi" w:cs="Arial"/>
          <w:bCs/>
          <w:sz w:val="21"/>
          <w:szCs w:val="21"/>
        </w:rPr>
        <w:t>Por tener sentencia firme por la comisión intencional de delitos contra la vida y la integridad corporal; contra la libertad y seguridad sexuales, el normal desarrollo psicosexual; por violencia familiar, violencia familiar equiparada o doméstica, violación a la intimidad sexual; por violencia política contra las mujeres en razón de género, en cualquiera de sus modalidades y tipos; y</w:t>
      </w:r>
    </w:p>
    <w:p w14:paraId="55678342" w14:textId="77777777" w:rsidR="00427BD6" w:rsidRPr="00947EC7" w:rsidRDefault="00427BD6" w:rsidP="00EF7206">
      <w:pPr>
        <w:ind w:firstLine="708"/>
        <w:jc w:val="both"/>
        <w:rPr>
          <w:rFonts w:ascii="Abadi" w:hAnsi="Abadi" w:cs="Arial"/>
          <w:bCs/>
          <w:sz w:val="21"/>
          <w:szCs w:val="21"/>
        </w:rPr>
      </w:pPr>
    </w:p>
    <w:p w14:paraId="7F2352DD"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VIII. </w:t>
      </w:r>
      <w:r w:rsidRPr="00947EC7">
        <w:rPr>
          <w:rFonts w:ascii="Abadi" w:hAnsi="Abadi" w:cs="Arial"/>
          <w:bCs/>
          <w:sz w:val="21"/>
          <w:szCs w:val="21"/>
        </w:rPr>
        <w:t>Por estar declarada como persona deudora alimentaria morosa.</w:t>
      </w:r>
    </w:p>
    <w:p w14:paraId="092EEAF7" w14:textId="77777777" w:rsidR="00427BD6" w:rsidRPr="00947EC7" w:rsidRDefault="00427BD6" w:rsidP="00EF7206">
      <w:pPr>
        <w:ind w:firstLine="708"/>
        <w:jc w:val="both"/>
        <w:rPr>
          <w:rFonts w:ascii="Abadi" w:hAnsi="Abadi" w:cs="Arial"/>
          <w:bCs/>
          <w:sz w:val="21"/>
          <w:szCs w:val="21"/>
          <w:highlight w:val="yellow"/>
        </w:rPr>
      </w:pPr>
    </w:p>
    <w:p w14:paraId="67F8B0D0" w14:textId="77777777" w:rsidR="00427BD6" w:rsidRPr="00947EC7" w:rsidRDefault="00427BD6" w:rsidP="00EF7206">
      <w:pPr>
        <w:ind w:firstLine="708"/>
        <w:jc w:val="both"/>
        <w:rPr>
          <w:rFonts w:ascii="Abadi" w:hAnsi="Abadi" w:cs="Arial"/>
          <w:bCs/>
          <w:sz w:val="21"/>
          <w:szCs w:val="21"/>
        </w:rPr>
      </w:pPr>
      <w:r w:rsidRPr="00947EC7">
        <w:rPr>
          <w:rFonts w:ascii="Abadi" w:hAnsi="Abadi" w:cs="Arial"/>
          <w:bCs/>
          <w:sz w:val="21"/>
          <w:szCs w:val="21"/>
        </w:rPr>
        <w:t>En los supuestos de las fracciones VII y VIII, la persona no podrá ser registrada como candidata para cualquier cargo de elección popular, ni ser nombrada para empleo, cargo o comisión en el servicio público.</w:t>
      </w:r>
    </w:p>
    <w:p w14:paraId="4AA40669" w14:textId="77777777" w:rsidR="00427BD6" w:rsidRPr="00947EC7" w:rsidRDefault="00427BD6" w:rsidP="00EF7206">
      <w:pPr>
        <w:ind w:firstLine="708"/>
        <w:jc w:val="both"/>
        <w:rPr>
          <w:rFonts w:ascii="Abadi" w:hAnsi="Abadi" w:cs="Arial"/>
          <w:bCs/>
          <w:sz w:val="21"/>
          <w:szCs w:val="21"/>
        </w:rPr>
      </w:pPr>
    </w:p>
    <w:p w14:paraId="1196C4BC" w14:textId="77777777" w:rsidR="00427BD6" w:rsidRPr="00947EC7" w:rsidRDefault="00427BD6" w:rsidP="00EF7206">
      <w:pPr>
        <w:ind w:firstLine="708"/>
        <w:jc w:val="both"/>
        <w:rPr>
          <w:rFonts w:ascii="Abadi" w:hAnsi="Abadi" w:cs="Arial"/>
          <w:b/>
          <w:sz w:val="21"/>
          <w:szCs w:val="21"/>
        </w:rPr>
      </w:pPr>
    </w:p>
    <w:p w14:paraId="60062AEC"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ARTÍCULO 46. </w:t>
      </w:r>
      <w:r w:rsidRPr="00947EC7">
        <w:rPr>
          <w:rFonts w:ascii="Abadi" w:hAnsi="Abadi" w:cs="Arial"/>
          <w:bCs/>
          <w:sz w:val="21"/>
          <w:szCs w:val="21"/>
        </w:rPr>
        <w:t>No podrán ser…</w:t>
      </w:r>
    </w:p>
    <w:p w14:paraId="67A99CA3" w14:textId="77777777" w:rsidR="00427BD6" w:rsidRPr="00947EC7" w:rsidRDefault="00427BD6" w:rsidP="00EF7206">
      <w:pPr>
        <w:ind w:firstLine="708"/>
        <w:jc w:val="both"/>
        <w:rPr>
          <w:rFonts w:ascii="Abadi" w:hAnsi="Abadi" w:cs="Arial"/>
          <w:bCs/>
          <w:sz w:val="21"/>
          <w:szCs w:val="21"/>
        </w:rPr>
      </w:pPr>
    </w:p>
    <w:p w14:paraId="70EB118C"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I.- </w:t>
      </w:r>
      <w:r w:rsidRPr="00947EC7">
        <w:rPr>
          <w:rFonts w:ascii="Abadi" w:hAnsi="Abadi" w:cs="Arial"/>
          <w:bCs/>
          <w:sz w:val="21"/>
          <w:szCs w:val="21"/>
        </w:rPr>
        <w:t>…</w:t>
      </w:r>
    </w:p>
    <w:p w14:paraId="050D1D20" w14:textId="77777777" w:rsidR="00427BD6" w:rsidRPr="00947EC7" w:rsidRDefault="00427BD6" w:rsidP="00EF7206">
      <w:pPr>
        <w:ind w:firstLine="708"/>
        <w:jc w:val="both"/>
        <w:rPr>
          <w:rFonts w:ascii="Abadi" w:hAnsi="Abadi" w:cs="Arial"/>
          <w:bCs/>
          <w:sz w:val="21"/>
          <w:szCs w:val="21"/>
        </w:rPr>
      </w:pPr>
    </w:p>
    <w:p w14:paraId="63231270"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II.- </w:t>
      </w:r>
      <w:r w:rsidRPr="00947EC7">
        <w:rPr>
          <w:rFonts w:ascii="Abadi" w:hAnsi="Abadi" w:cs="Arial"/>
          <w:bCs/>
          <w:sz w:val="21"/>
          <w:szCs w:val="21"/>
        </w:rPr>
        <w:t>Los que sean Ministros de cualquier culto religioso en los términos de las leyes respectivas;</w:t>
      </w:r>
    </w:p>
    <w:p w14:paraId="53874D45" w14:textId="77777777" w:rsidR="00427BD6" w:rsidRPr="00947EC7" w:rsidRDefault="00427BD6" w:rsidP="00EF7206">
      <w:pPr>
        <w:ind w:firstLine="708"/>
        <w:jc w:val="both"/>
        <w:rPr>
          <w:rFonts w:ascii="Abadi" w:hAnsi="Abadi" w:cs="Arial"/>
          <w:bCs/>
          <w:sz w:val="21"/>
          <w:szCs w:val="21"/>
        </w:rPr>
      </w:pPr>
    </w:p>
    <w:p w14:paraId="08AC3034"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III.- </w:t>
      </w:r>
      <w:r w:rsidRPr="00947EC7">
        <w:rPr>
          <w:rFonts w:ascii="Abadi" w:hAnsi="Abadi" w:cs="Arial"/>
          <w:bCs/>
          <w:sz w:val="21"/>
          <w:szCs w:val="21"/>
        </w:rPr>
        <w:t xml:space="preserve">El Consejero Presidente o Consejero Electoral en los consejos general, locales o distritales del Instituto Nacional Electoral, el Secretario Ejecutivo, Director Ejecutivo o personal profesional directivo del propio Instituto, salvo que se hubiere separado de su encargo, de manera definitiva, tres años antes del día de la elección; </w:t>
      </w:r>
    </w:p>
    <w:p w14:paraId="50C1F017" w14:textId="77777777" w:rsidR="00427BD6" w:rsidRPr="00947EC7" w:rsidRDefault="00427BD6" w:rsidP="00427BD6">
      <w:pPr>
        <w:ind w:firstLine="708"/>
        <w:jc w:val="both"/>
        <w:rPr>
          <w:rFonts w:ascii="Abadi" w:hAnsi="Abadi" w:cs="Arial"/>
          <w:bCs/>
          <w:sz w:val="21"/>
          <w:szCs w:val="21"/>
        </w:rPr>
      </w:pPr>
    </w:p>
    <w:p w14:paraId="3B247AD9"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IV.- </w:t>
      </w:r>
      <w:r w:rsidRPr="00947EC7">
        <w:rPr>
          <w:rFonts w:ascii="Abadi" w:hAnsi="Abadi" w:cs="Arial"/>
          <w:bCs/>
          <w:sz w:val="21"/>
          <w:szCs w:val="21"/>
        </w:rPr>
        <w:t>El Consejero Presidente o Consejero Electoral y el Secretario Ejecutivo del organismo público electoral local, Magistrado Presidente o Magistrado Electoral del órgano jurisdiccional electoral local, salvo que se hubieren separado de su encargo, de manera definitiva, tres años antes del día de la elección; y</w:t>
      </w:r>
    </w:p>
    <w:p w14:paraId="01899E2B" w14:textId="77777777" w:rsidR="00427BD6" w:rsidRPr="00947EC7" w:rsidRDefault="00427BD6" w:rsidP="00427BD6">
      <w:pPr>
        <w:ind w:firstLine="708"/>
        <w:jc w:val="both"/>
        <w:rPr>
          <w:rFonts w:ascii="Abadi" w:hAnsi="Abadi" w:cs="Arial"/>
          <w:bCs/>
          <w:sz w:val="21"/>
          <w:szCs w:val="21"/>
        </w:rPr>
      </w:pPr>
    </w:p>
    <w:p w14:paraId="1785881A" w14:textId="77777777" w:rsidR="00427BD6" w:rsidRPr="008B326D" w:rsidRDefault="00427BD6" w:rsidP="00427BD6">
      <w:pPr>
        <w:pStyle w:val="Textoindependiente"/>
        <w:spacing w:line="276" w:lineRule="auto"/>
        <w:ind w:firstLine="708"/>
        <w:rPr>
          <w:rFonts w:ascii="Abadi" w:hAnsi="Abadi"/>
          <w:b w:val="0"/>
          <w:bCs w:val="0"/>
          <w:sz w:val="21"/>
          <w:szCs w:val="21"/>
          <w:lang w:val="es-MX" w:eastAsia="en-US"/>
        </w:rPr>
      </w:pPr>
      <w:r w:rsidRPr="00947EC7">
        <w:rPr>
          <w:rFonts w:ascii="Abadi" w:hAnsi="Abadi"/>
          <w:sz w:val="21"/>
          <w:szCs w:val="21"/>
        </w:rPr>
        <w:t xml:space="preserve">V.- </w:t>
      </w:r>
      <w:r w:rsidRPr="008B326D">
        <w:rPr>
          <w:rFonts w:ascii="Abadi" w:hAnsi="Abadi"/>
          <w:b w:val="0"/>
          <w:bCs w:val="0"/>
          <w:sz w:val="21"/>
          <w:szCs w:val="21"/>
          <w:lang w:val="es-MX" w:eastAsia="en-US"/>
        </w:rPr>
        <w:t xml:space="preserve">Las personas que hayan tenido resolución firme por infracción que constituya violencia política contra las mujeres en razón de género, emitidas por los órganos </w:t>
      </w:r>
      <w:r w:rsidRPr="008B326D">
        <w:rPr>
          <w:rFonts w:ascii="Abadi" w:hAnsi="Abadi"/>
          <w:b w:val="0"/>
          <w:bCs w:val="0"/>
          <w:sz w:val="21"/>
          <w:szCs w:val="21"/>
          <w:lang w:val="es-MX" w:eastAsia="en-US"/>
        </w:rPr>
        <w:lastRenderedPageBreak/>
        <w:t>jurisdiccionales en materia electoral, en tanto se extingue la sanción impuesta.</w:t>
      </w:r>
    </w:p>
    <w:p w14:paraId="78C314ED" w14:textId="77777777" w:rsidR="00427BD6" w:rsidRPr="00947EC7" w:rsidRDefault="00427BD6" w:rsidP="00427BD6">
      <w:pPr>
        <w:ind w:firstLine="708"/>
        <w:jc w:val="both"/>
        <w:rPr>
          <w:rFonts w:ascii="Abadi" w:hAnsi="Abadi" w:cs="Arial"/>
          <w:bCs/>
          <w:sz w:val="21"/>
          <w:szCs w:val="21"/>
        </w:rPr>
      </w:pPr>
    </w:p>
    <w:p w14:paraId="6F06B860" w14:textId="77777777" w:rsidR="00427BD6" w:rsidRPr="00947EC7" w:rsidRDefault="00427BD6" w:rsidP="00427BD6">
      <w:pPr>
        <w:ind w:firstLine="708"/>
        <w:jc w:val="both"/>
        <w:rPr>
          <w:rFonts w:ascii="Abadi" w:hAnsi="Abadi" w:cs="Arial"/>
          <w:bCs/>
          <w:sz w:val="21"/>
          <w:szCs w:val="21"/>
        </w:rPr>
      </w:pPr>
    </w:p>
    <w:p w14:paraId="6FDC2F3C"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ARTÍCULO 69. </w:t>
      </w:r>
      <w:r w:rsidRPr="00947EC7">
        <w:rPr>
          <w:rFonts w:ascii="Abadi" w:hAnsi="Abadi" w:cs="Arial"/>
          <w:bCs/>
          <w:sz w:val="21"/>
          <w:szCs w:val="21"/>
        </w:rPr>
        <w:t>No son elegibles…</w:t>
      </w:r>
    </w:p>
    <w:p w14:paraId="6D0D1472"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 </w:t>
      </w:r>
      <w:r w:rsidRPr="00947EC7">
        <w:rPr>
          <w:rFonts w:ascii="Abadi" w:hAnsi="Abadi" w:cs="Arial"/>
          <w:bCs/>
          <w:sz w:val="21"/>
          <w:szCs w:val="21"/>
        </w:rPr>
        <w:t>…</w:t>
      </w:r>
    </w:p>
    <w:p w14:paraId="29D638CD" w14:textId="77777777" w:rsidR="00427BD6" w:rsidRPr="00947EC7" w:rsidRDefault="00427BD6" w:rsidP="00427BD6">
      <w:pPr>
        <w:ind w:firstLine="708"/>
        <w:jc w:val="both"/>
        <w:rPr>
          <w:rFonts w:ascii="Abadi" w:hAnsi="Abadi" w:cs="Arial"/>
          <w:b/>
          <w:sz w:val="21"/>
          <w:szCs w:val="21"/>
        </w:rPr>
      </w:pPr>
    </w:p>
    <w:p w14:paraId="1A4DCCCB"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II.- </w:t>
      </w:r>
      <w:r w:rsidRPr="00947EC7">
        <w:rPr>
          <w:rFonts w:ascii="Abadi" w:hAnsi="Abadi" w:cs="Arial"/>
          <w:bCs/>
          <w:sz w:val="21"/>
          <w:szCs w:val="21"/>
        </w:rPr>
        <w:t>Los que sean Ministros de cualquier culto religioso en los términos que señalen las leyes respectivas;</w:t>
      </w:r>
    </w:p>
    <w:p w14:paraId="35B643B1" w14:textId="77777777" w:rsidR="00427BD6" w:rsidRPr="00947EC7" w:rsidRDefault="00427BD6" w:rsidP="00427BD6">
      <w:pPr>
        <w:ind w:firstLine="708"/>
        <w:jc w:val="both"/>
        <w:rPr>
          <w:rFonts w:ascii="Abadi" w:hAnsi="Abadi" w:cs="Arial"/>
          <w:b/>
          <w:sz w:val="21"/>
          <w:szCs w:val="21"/>
        </w:rPr>
      </w:pPr>
    </w:p>
    <w:p w14:paraId="2C4F9CC4"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III.- </w:t>
      </w:r>
      <w:r w:rsidRPr="00947EC7">
        <w:rPr>
          <w:rFonts w:ascii="Abadi" w:hAnsi="Abadi" w:cs="Arial"/>
          <w:bCs/>
          <w:sz w:val="21"/>
          <w:szCs w:val="21"/>
        </w:rPr>
        <w:t>…</w:t>
      </w:r>
    </w:p>
    <w:p w14:paraId="053DDF47" w14:textId="77777777" w:rsidR="00427BD6" w:rsidRPr="00947EC7" w:rsidRDefault="00427BD6" w:rsidP="00427BD6">
      <w:pPr>
        <w:ind w:firstLine="708"/>
        <w:jc w:val="both"/>
        <w:rPr>
          <w:rFonts w:ascii="Abadi" w:hAnsi="Abadi" w:cs="Arial"/>
          <w:bCs/>
          <w:sz w:val="21"/>
          <w:szCs w:val="21"/>
        </w:rPr>
      </w:pPr>
    </w:p>
    <w:p w14:paraId="31AB52A1"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IV.- </w:t>
      </w:r>
      <w:r w:rsidRPr="00947EC7">
        <w:rPr>
          <w:rFonts w:ascii="Abadi" w:hAnsi="Abadi" w:cs="Arial"/>
          <w:bCs/>
          <w:sz w:val="21"/>
          <w:szCs w:val="21"/>
        </w:rPr>
        <w:t>El Consejero Presidente o Consejero Electoral y el Secretario Ejecutivo del organismo público electoral local, Magistrado Presidente o Magistrado Electoral del órgano jurisdiccional electoral local, salvo que se hubieren separado de su encargo, de manera definitiva, tres años antes del día de la elección;</w:t>
      </w:r>
    </w:p>
    <w:p w14:paraId="148DA7EF" w14:textId="77777777" w:rsidR="00427BD6" w:rsidRPr="00947EC7" w:rsidRDefault="00427BD6" w:rsidP="00EF7206">
      <w:pPr>
        <w:ind w:firstLine="708"/>
        <w:jc w:val="both"/>
        <w:rPr>
          <w:rFonts w:ascii="Abadi" w:hAnsi="Abadi" w:cs="Arial"/>
          <w:bCs/>
          <w:sz w:val="21"/>
          <w:szCs w:val="21"/>
        </w:rPr>
      </w:pPr>
    </w:p>
    <w:p w14:paraId="19702D34" w14:textId="77777777" w:rsidR="00427BD6" w:rsidRPr="00947EC7" w:rsidRDefault="00427BD6" w:rsidP="00EF7206">
      <w:pPr>
        <w:ind w:firstLine="708"/>
        <w:jc w:val="both"/>
        <w:rPr>
          <w:rFonts w:ascii="Abadi" w:hAnsi="Abadi" w:cs="Arial"/>
          <w:bCs/>
          <w:sz w:val="21"/>
          <w:szCs w:val="21"/>
        </w:rPr>
      </w:pPr>
      <w:r w:rsidRPr="00947EC7">
        <w:rPr>
          <w:rFonts w:ascii="Abadi" w:hAnsi="Abadi" w:cs="Arial"/>
          <w:b/>
          <w:sz w:val="21"/>
          <w:szCs w:val="21"/>
        </w:rPr>
        <w:t xml:space="preserve">V.- </w:t>
      </w:r>
      <w:r w:rsidRPr="00947EC7">
        <w:rPr>
          <w:rFonts w:ascii="Abadi" w:hAnsi="Abadi" w:cs="Arial"/>
          <w:bCs/>
          <w:sz w:val="21"/>
          <w:szCs w:val="21"/>
        </w:rPr>
        <w:t>No estar comprendido en alguno de los supuestos establecidos en el artículo 70 de esta Constitución; y</w:t>
      </w:r>
    </w:p>
    <w:p w14:paraId="7F82F243" w14:textId="77777777" w:rsidR="00427BD6" w:rsidRPr="00947EC7" w:rsidRDefault="00427BD6" w:rsidP="00EF7206">
      <w:pPr>
        <w:ind w:firstLine="708"/>
        <w:jc w:val="both"/>
        <w:rPr>
          <w:rFonts w:ascii="Abadi" w:hAnsi="Abadi" w:cs="Arial"/>
          <w:bCs/>
          <w:sz w:val="21"/>
          <w:szCs w:val="21"/>
        </w:rPr>
      </w:pPr>
    </w:p>
    <w:p w14:paraId="5D94F464" w14:textId="77777777" w:rsidR="00427BD6" w:rsidRPr="00947EC7" w:rsidRDefault="00427BD6" w:rsidP="00EF7206">
      <w:pPr>
        <w:pStyle w:val="Textoindependiente"/>
        <w:ind w:firstLine="708"/>
        <w:rPr>
          <w:rFonts w:ascii="Abadi" w:hAnsi="Abadi"/>
          <w:bCs w:val="0"/>
          <w:sz w:val="21"/>
          <w:szCs w:val="21"/>
          <w:lang w:val="es-MX" w:eastAsia="en-US"/>
        </w:rPr>
      </w:pPr>
      <w:r w:rsidRPr="00947EC7">
        <w:rPr>
          <w:rFonts w:ascii="Abadi" w:hAnsi="Abadi"/>
          <w:sz w:val="21"/>
          <w:szCs w:val="21"/>
        </w:rPr>
        <w:t xml:space="preserve">VI.- </w:t>
      </w:r>
      <w:r w:rsidRPr="00947EC7">
        <w:rPr>
          <w:rFonts w:ascii="Abadi" w:hAnsi="Abadi"/>
          <w:sz w:val="21"/>
          <w:szCs w:val="21"/>
          <w:lang w:val="es-MX" w:eastAsia="en-US"/>
        </w:rPr>
        <w:t>Las personas que hayan tenido resolución firme por infracción que constituya violencia política contra las mujeres en razón de género, emitidas por los órganos jurisdiccionales en materia electoral, en tanto se extingue la sanción impuesta.</w:t>
      </w:r>
    </w:p>
    <w:p w14:paraId="36708A81" w14:textId="77777777" w:rsidR="00427BD6" w:rsidRPr="00947EC7" w:rsidRDefault="00427BD6" w:rsidP="00EF7206">
      <w:pPr>
        <w:ind w:firstLine="708"/>
        <w:jc w:val="both"/>
        <w:rPr>
          <w:rFonts w:ascii="Abadi" w:hAnsi="Abadi" w:cs="Arial"/>
          <w:bCs/>
          <w:sz w:val="21"/>
          <w:szCs w:val="21"/>
        </w:rPr>
      </w:pPr>
    </w:p>
    <w:p w14:paraId="167E391A" w14:textId="77777777" w:rsidR="00427BD6" w:rsidRPr="00947EC7" w:rsidRDefault="00427BD6" w:rsidP="00427BD6">
      <w:pPr>
        <w:ind w:firstLine="708"/>
        <w:jc w:val="both"/>
        <w:rPr>
          <w:rFonts w:ascii="Abadi" w:hAnsi="Abadi" w:cs="Arial"/>
          <w:bCs/>
          <w:sz w:val="21"/>
          <w:szCs w:val="21"/>
        </w:rPr>
      </w:pPr>
    </w:p>
    <w:p w14:paraId="036163CE"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ARTÍCULO 111. </w:t>
      </w:r>
      <w:r w:rsidRPr="00947EC7">
        <w:rPr>
          <w:rFonts w:ascii="Abadi" w:hAnsi="Abadi" w:cs="Arial"/>
          <w:bCs/>
          <w:sz w:val="21"/>
          <w:szCs w:val="21"/>
        </w:rPr>
        <w:t>No podrán ser…</w:t>
      </w:r>
    </w:p>
    <w:p w14:paraId="4A3E82A5" w14:textId="77777777" w:rsidR="00427BD6" w:rsidRPr="00947EC7" w:rsidRDefault="00427BD6" w:rsidP="00427BD6">
      <w:pPr>
        <w:ind w:firstLine="708"/>
        <w:jc w:val="both"/>
        <w:rPr>
          <w:rFonts w:ascii="Abadi" w:hAnsi="Abadi" w:cs="Arial"/>
          <w:bCs/>
          <w:sz w:val="21"/>
          <w:szCs w:val="21"/>
        </w:rPr>
      </w:pPr>
    </w:p>
    <w:p w14:paraId="5B26BF3E"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 </w:t>
      </w:r>
      <w:r w:rsidRPr="00947EC7">
        <w:rPr>
          <w:rFonts w:ascii="Abadi" w:hAnsi="Abadi" w:cs="Arial"/>
          <w:bCs/>
          <w:sz w:val="21"/>
          <w:szCs w:val="21"/>
        </w:rPr>
        <w:t>…</w:t>
      </w:r>
    </w:p>
    <w:p w14:paraId="78839C6A" w14:textId="77777777" w:rsidR="00427BD6" w:rsidRPr="00947EC7" w:rsidRDefault="00427BD6" w:rsidP="00427BD6">
      <w:pPr>
        <w:ind w:firstLine="708"/>
        <w:jc w:val="both"/>
        <w:rPr>
          <w:rFonts w:ascii="Abadi" w:hAnsi="Abadi" w:cs="Arial"/>
          <w:bCs/>
          <w:sz w:val="21"/>
          <w:szCs w:val="21"/>
        </w:rPr>
      </w:pPr>
    </w:p>
    <w:p w14:paraId="6C14881D"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II.- </w:t>
      </w:r>
      <w:r w:rsidRPr="00947EC7">
        <w:rPr>
          <w:rFonts w:ascii="Abadi" w:hAnsi="Abadi" w:cs="Arial"/>
          <w:bCs/>
          <w:sz w:val="21"/>
          <w:szCs w:val="21"/>
        </w:rPr>
        <w:t>Los que sean Ministros de cualquier culto religioso en los términos que establezcan las leyes respectivas;</w:t>
      </w:r>
    </w:p>
    <w:p w14:paraId="6AB6B93E" w14:textId="77777777" w:rsidR="00427BD6" w:rsidRPr="00947EC7" w:rsidRDefault="00427BD6" w:rsidP="00427BD6">
      <w:pPr>
        <w:ind w:firstLine="708"/>
        <w:jc w:val="both"/>
        <w:rPr>
          <w:rFonts w:ascii="Abadi" w:hAnsi="Abadi" w:cs="Arial"/>
          <w:bCs/>
          <w:sz w:val="21"/>
          <w:szCs w:val="21"/>
        </w:rPr>
      </w:pPr>
    </w:p>
    <w:p w14:paraId="7EED7156" w14:textId="77777777" w:rsidR="00427BD6" w:rsidRPr="00947EC7" w:rsidRDefault="00427BD6" w:rsidP="00427BD6">
      <w:pPr>
        <w:ind w:firstLine="708"/>
        <w:jc w:val="both"/>
        <w:rPr>
          <w:rFonts w:ascii="Abadi" w:hAnsi="Abadi" w:cs="Arial"/>
          <w:bCs/>
          <w:sz w:val="21"/>
          <w:szCs w:val="21"/>
        </w:rPr>
      </w:pPr>
      <w:r w:rsidRPr="00947EC7">
        <w:rPr>
          <w:rFonts w:ascii="Abadi" w:hAnsi="Abadi" w:cs="Arial"/>
          <w:b/>
          <w:sz w:val="21"/>
          <w:szCs w:val="21"/>
        </w:rPr>
        <w:t xml:space="preserve">III.- </w:t>
      </w:r>
      <w:r w:rsidRPr="00947EC7">
        <w:rPr>
          <w:rFonts w:ascii="Abadi" w:hAnsi="Abadi" w:cs="Arial"/>
          <w:bCs/>
          <w:sz w:val="21"/>
          <w:szCs w:val="21"/>
        </w:rPr>
        <w:t>El Consejero presidente o consejero electoral en los consejos General, locales o distritales del Instituto Nacional Electoral, el Secretario Ejecutivo, Director Ejecutivo o personal profesional directivo del propio Instituto, salvo que se hubiere separado de su encargo, de manera definitiva, tres años antes del día de la elección;</w:t>
      </w:r>
    </w:p>
    <w:p w14:paraId="7621ED12" w14:textId="77777777" w:rsidR="00427BD6" w:rsidRPr="00947EC7" w:rsidRDefault="00427BD6" w:rsidP="00427BD6">
      <w:pPr>
        <w:ind w:firstLine="708"/>
        <w:jc w:val="both"/>
        <w:rPr>
          <w:rFonts w:ascii="Abadi" w:hAnsi="Abadi" w:cs="Arial"/>
          <w:bCs/>
          <w:sz w:val="21"/>
          <w:szCs w:val="21"/>
        </w:rPr>
      </w:pPr>
    </w:p>
    <w:p w14:paraId="0E90BD0F" w14:textId="77777777" w:rsidR="00427BD6" w:rsidRDefault="00427BD6" w:rsidP="00427BD6">
      <w:pPr>
        <w:ind w:firstLine="708"/>
        <w:jc w:val="both"/>
        <w:rPr>
          <w:rFonts w:ascii="Abadi" w:hAnsi="Abadi" w:cs="Arial"/>
          <w:bCs/>
          <w:sz w:val="21"/>
          <w:szCs w:val="21"/>
        </w:rPr>
      </w:pPr>
      <w:r w:rsidRPr="00947EC7">
        <w:rPr>
          <w:rFonts w:ascii="Abadi" w:hAnsi="Abadi" w:cs="Arial"/>
          <w:b/>
          <w:sz w:val="21"/>
          <w:szCs w:val="21"/>
        </w:rPr>
        <w:t xml:space="preserve">IV.- </w:t>
      </w:r>
      <w:r w:rsidRPr="00947EC7">
        <w:rPr>
          <w:rFonts w:ascii="Abadi" w:hAnsi="Abadi" w:cs="Arial"/>
          <w:bCs/>
          <w:sz w:val="21"/>
          <w:szCs w:val="21"/>
        </w:rPr>
        <w:t xml:space="preserve">El Consejero Presidente o Consejero Electoral y el Secretario Ejecutivo del organismo público electoral local, Magistrado Presidente o Magistrado Electoral </w:t>
      </w:r>
      <w:r w:rsidRPr="00947EC7">
        <w:rPr>
          <w:rFonts w:ascii="Abadi" w:hAnsi="Abadi" w:cs="Arial"/>
          <w:bCs/>
          <w:sz w:val="21"/>
          <w:szCs w:val="21"/>
        </w:rPr>
        <w:t>del órgano jurisdiccional electoral local, salvo que se hubieren separado de su encargo, de manera definitiva, tres años antes del día de la elección; y</w:t>
      </w:r>
    </w:p>
    <w:p w14:paraId="605AE7B1" w14:textId="77777777" w:rsidR="008B326D" w:rsidRPr="00947EC7" w:rsidRDefault="008B326D" w:rsidP="00427BD6">
      <w:pPr>
        <w:ind w:firstLine="708"/>
        <w:jc w:val="both"/>
        <w:rPr>
          <w:rFonts w:ascii="Abadi" w:hAnsi="Abadi" w:cs="Arial"/>
          <w:bCs/>
          <w:sz w:val="21"/>
          <w:szCs w:val="21"/>
        </w:rPr>
      </w:pPr>
    </w:p>
    <w:p w14:paraId="61B1A31E" w14:textId="77777777" w:rsidR="00427BD6" w:rsidRPr="008B326D" w:rsidRDefault="00427BD6" w:rsidP="00427BD6">
      <w:pPr>
        <w:pStyle w:val="Textoindependiente"/>
        <w:spacing w:line="276" w:lineRule="auto"/>
        <w:ind w:firstLine="708"/>
        <w:rPr>
          <w:rFonts w:ascii="Abadi" w:hAnsi="Abadi"/>
          <w:b w:val="0"/>
          <w:bCs w:val="0"/>
          <w:sz w:val="21"/>
          <w:szCs w:val="21"/>
        </w:rPr>
      </w:pPr>
      <w:r w:rsidRPr="00947EC7">
        <w:rPr>
          <w:rFonts w:ascii="Abadi" w:hAnsi="Abadi"/>
          <w:sz w:val="21"/>
          <w:szCs w:val="21"/>
        </w:rPr>
        <w:t xml:space="preserve">V.- </w:t>
      </w:r>
      <w:r w:rsidRPr="008B326D">
        <w:rPr>
          <w:rFonts w:ascii="Abadi" w:hAnsi="Abadi"/>
          <w:b w:val="0"/>
          <w:bCs w:val="0"/>
          <w:sz w:val="21"/>
          <w:szCs w:val="21"/>
          <w:lang w:val="es-MX" w:eastAsia="en-US"/>
        </w:rPr>
        <w:t>Las personas que hayan tenido resolución firme por infracción que constituya violencia política contra las mujeres en razón de género, emitidas por los órganos jurisdiccionales en materia electoral, en tanto se extingue la sanción impuesta.</w:t>
      </w:r>
      <w:r w:rsidRPr="008B326D">
        <w:rPr>
          <w:rFonts w:ascii="Abadi" w:hAnsi="Abadi"/>
          <w:b w:val="0"/>
          <w:bCs w:val="0"/>
          <w:sz w:val="21"/>
          <w:szCs w:val="21"/>
        </w:rPr>
        <w:t>»</w:t>
      </w:r>
    </w:p>
    <w:p w14:paraId="76CB985A" w14:textId="77777777" w:rsidR="00427BD6" w:rsidRPr="00947EC7" w:rsidRDefault="00427BD6" w:rsidP="00427BD6">
      <w:pPr>
        <w:ind w:firstLine="708"/>
        <w:jc w:val="both"/>
        <w:rPr>
          <w:rFonts w:ascii="Abadi" w:hAnsi="Abadi" w:cs="Arial"/>
          <w:bCs/>
          <w:sz w:val="21"/>
          <w:szCs w:val="21"/>
        </w:rPr>
      </w:pPr>
    </w:p>
    <w:p w14:paraId="7BA0A875" w14:textId="77777777" w:rsidR="00427BD6" w:rsidRPr="00947EC7" w:rsidRDefault="00427BD6" w:rsidP="00427BD6">
      <w:pPr>
        <w:jc w:val="center"/>
        <w:rPr>
          <w:rFonts w:ascii="Abadi" w:eastAsia="DejaVu Sans" w:hAnsi="Abadi" w:cs="Tahoma"/>
          <w:b/>
          <w:iCs/>
          <w:kern w:val="1"/>
          <w:sz w:val="21"/>
          <w:szCs w:val="21"/>
          <w:lang w:val="en-US" w:eastAsia="ar-SA"/>
        </w:rPr>
      </w:pPr>
      <w:r w:rsidRPr="00947EC7">
        <w:rPr>
          <w:rFonts w:ascii="Abadi" w:eastAsia="DejaVu Sans" w:hAnsi="Abadi" w:cs="Tahoma"/>
          <w:b/>
          <w:iCs/>
          <w:kern w:val="1"/>
          <w:sz w:val="21"/>
          <w:szCs w:val="21"/>
          <w:lang w:val="en-US" w:eastAsia="ar-SA"/>
        </w:rPr>
        <w:t>TRANSITORIO</w:t>
      </w:r>
    </w:p>
    <w:p w14:paraId="5D6B82C5" w14:textId="77777777" w:rsidR="00427BD6" w:rsidRPr="00947EC7" w:rsidRDefault="00427BD6" w:rsidP="00427BD6">
      <w:pPr>
        <w:jc w:val="center"/>
        <w:rPr>
          <w:rFonts w:ascii="Abadi" w:eastAsia="DejaVu Sans" w:hAnsi="Abadi" w:cs="Tahoma"/>
          <w:b/>
          <w:iCs/>
          <w:kern w:val="1"/>
          <w:sz w:val="21"/>
          <w:szCs w:val="21"/>
          <w:lang w:val="en-US" w:eastAsia="ar-SA"/>
        </w:rPr>
      </w:pPr>
    </w:p>
    <w:p w14:paraId="0084998F" w14:textId="77777777" w:rsidR="00427BD6" w:rsidRPr="00947EC7" w:rsidRDefault="00427BD6" w:rsidP="00427BD6">
      <w:pPr>
        <w:jc w:val="both"/>
        <w:rPr>
          <w:rFonts w:ascii="Abadi" w:eastAsia="DejaVu Sans" w:hAnsi="Abadi" w:cs="Tahoma"/>
          <w:iCs/>
          <w:kern w:val="1"/>
          <w:sz w:val="21"/>
          <w:szCs w:val="21"/>
          <w:lang w:eastAsia="ar-SA"/>
        </w:rPr>
      </w:pPr>
      <w:r w:rsidRPr="00947EC7">
        <w:rPr>
          <w:rFonts w:ascii="Abadi" w:hAnsi="Abadi" w:cs="Arial"/>
          <w:b/>
          <w:sz w:val="21"/>
          <w:szCs w:val="21"/>
        </w:rPr>
        <w:t xml:space="preserve">ARTÍCULO ÚNICO. </w:t>
      </w:r>
      <w:r w:rsidRPr="00947EC7">
        <w:rPr>
          <w:rFonts w:ascii="Abadi" w:eastAsia="DejaVu Sans" w:hAnsi="Abadi" w:cs="Tahoma"/>
          <w:iCs/>
          <w:kern w:val="1"/>
          <w:sz w:val="21"/>
          <w:szCs w:val="21"/>
          <w:lang w:eastAsia="ar-SA"/>
        </w:rPr>
        <w:t>El presente decreto entrará en vigor el día siguiente al de su publicación en el Periódico Oficial del Gobierno del Estado de Guanajuato.</w:t>
      </w:r>
    </w:p>
    <w:p w14:paraId="7A03BC31" w14:textId="77777777" w:rsidR="00427BD6" w:rsidRPr="00947EC7" w:rsidRDefault="00427BD6" w:rsidP="00427BD6">
      <w:pPr>
        <w:jc w:val="both"/>
        <w:rPr>
          <w:rFonts w:ascii="Abadi" w:eastAsia="DejaVu Sans" w:hAnsi="Abadi" w:cs="Tahoma"/>
          <w:iCs/>
          <w:kern w:val="1"/>
          <w:sz w:val="21"/>
          <w:szCs w:val="21"/>
          <w:lang w:eastAsia="ar-SA"/>
        </w:rPr>
      </w:pPr>
    </w:p>
    <w:bookmarkEnd w:id="4"/>
    <w:p w14:paraId="7C579B4F" w14:textId="77777777" w:rsidR="00427BD6" w:rsidRPr="00947EC7" w:rsidRDefault="00427BD6" w:rsidP="00427BD6">
      <w:pPr>
        <w:jc w:val="center"/>
        <w:rPr>
          <w:rFonts w:ascii="Abadi" w:eastAsia="Arial Unicode MS" w:hAnsi="Abadi"/>
          <w:b/>
          <w:bCs/>
          <w:sz w:val="21"/>
          <w:szCs w:val="21"/>
        </w:rPr>
      </w:pPr>
    </w:p>
    <w:p w14:paraId="47EE26A7" w14:textId="77777777" w:rsidR="00427BD6" w:rsidRPr="00947EC7" w:rsidRDefault="00427BD6" w:rsidP="00427BD6">
      <w:pPr>
        <w:jc w:val="center"/>
        <w:rPr>
          <w:rFonts w:ascii="Abadi" w:eastAsia="Arial Unicode MS" w:hAnsi="Abadi"/>
          <w:b/>
          <w:bCs/>
          <w:sz w:val="21"/>
          <w:szCs w:val="21"/>
        </w:rPr>
      </w:pPr>
      <w:r w:rsidRPr="00947EC7">
        <w:rPr>
          <w:rFonts w:ascii="Abadi" w:eastAsia="Arial Unicode MS" w:hAnsi="Abadi"/>
          <w:b/>
          <w:bCs/>
          <w:sz w:val="21"/>
          <w:szCs w:val="21"/>
        </w:rPr>
        <w:t>GUANAJUATO, GTO., A 19 DE JUNIO DE 2023</w:t>
      </w:r>
    </w:p>
    <w:p w14:paraId="164D9F60" w14:textId="77777777" w:rsidR="00427BD6" w:rsidRPr="00947EC7" w:rsidRDefault="00427BD6" w:rsidP="00427BD6">
      <w:pPr>
        <w:jc w:val="center"/>
        <w:rPr>
          <w:rFonts w:ascii="Abadi" w:eastAsia="Arial Unicode MS" w:hAnsi="Abadi"/>
          <w:b/>
          <w:bCs/>
          <w:sz w:val="21"/>
          <w:szCs w:val="21"/>
        </w:rPr>
      </w:pPr>
      <w:r w:rsidRPr="00947EC7">
        <w:rPr>
          <w:rFonts w:ascii="Abadi" w:eastAsia="Arial Unicode MS" w:hAnsi="Abadi"/>
          <w:b/>
          <w:bCs/>
          <w:sz w:val="21"/>
          <w:szCs w:val="21"/>
        </w:rPr>
        <w:t>LA COMISIÓN DE GOBERNACIÓN Y PUNTOS CONSTITUCIONALES</w:t>
      </w:r>
    </w:p>
    <w:p w14:paraId="3AE7DD06" w14:textId="77777777" w:rsidR="00427BD6" w:rsidRPr="00947EC7" w:rsidRDefault="00427BD6" w:rsidP="00427BD6">
      <w:pPr>
        <w:jc w:val="both"/>
        <w:rPr>
          <w:rFonts w:ascii="Abadi" w:eastAsia="Arial Unicode MS" w:hAnsi="Abadi"/>
          <w:b/>
          <w:bCs/>
          <w:sz w:val="21"/>
          <w:szCs w:val="21"/>
        </w:rPr>
      </w:pPr>
    </w:p>
    <w:p w14:paraId="4E7556AD" w14:textId="77777777" w:rsidR="00427BD6" w:rsidRPr="00947EC7" w:rsidRDefault="00427BD6" w:rsidP="00427BD6">
      <w:pPr>
        <w:spacing w:line="360" w:lineRule="auto"/>
        <w:jc w:val="center"/>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Susana Bermúdez Cano</w:t>
      </w:r>
    </w:p>
    <w:p w14:paraId="6C16FD07" w14:textId="77777777" w:rsidR="00427BD6" w:rsidRPr="00947EC7" w:rsidRDefault="00427BD6" w:rsidP="00427BD6">
      <w:pPr>
        <w:jc w:val="both"/>
        <w:rPr>
          <w:rFonts w:ascii="Abadi" w:eastAsia="Arial Unicode MS" w:hAnsi="Abadi"/>
          <w:b/>
          <w:bCs/>
          <w:sz w:val="21"/>
          <w:szCs w:val="21"/>
        </w:rPr>
      </w:pPr>
    </w:p>
    <w:p w14:paraId="48F5EB2E" w14:textId="7CFDB497" w:rsidR="00427BD6" w:rsidRDefault="00427BD6" w:rsidP="00EF7206">
      <w:pPr>
        <w:jc w:val="both"/>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Laura Cristina Márquez Alcalá</w:t>
      </w:r>
    </w:p>
    <w:p w14:paraId="357CE8AC" w14:textId="77777777" w:rsidR="00427BD6" w:rsidRPr="00947EC7" w:rsidRDefault="00427BD6" w:rsidP="00EF7206">
      <w:pPr>
        <w:ind w:right="-434"/>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Briseida Anabel Magdaleno González</w:t>
      </w:r>
    </w:p>
    <w:p w14:paraId="63AEF991" w14:textId="511D027A" w:rsidR="00427BD6" w:rsidRDefault="00427BD6" w:rsidP="00EF7206">
      <w:pPr>
        <w:jc w:val="both"/>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Alma Edwviges Alcaraz Hernández</w:t>
      </w:r>
    </w:p>
    <w:p w14:paraId="41F6D4AB" w14:textId="77777777" w:rsidR="00427BD6" w:rsidRDefault="00427BD6" w:rsidP="00EF7206">
      <w:pPr>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Rolando Fortino Alcántar Rojas</w:t>
      </w:r>
    </w:p>
    <w:p w14:paraId="7419AC04" w14:textId="17E9027A" w:rsidR="00427BD6" w:rsidRPr="00947EC7" w:rsidRDefault="00427BD6" w:rsidP="00EF7206">
      <w:pPr>
        <w:rPr>
          <w:rFonts w:ascii="Abadi" w:hAnsi="Abadi" w:cs="Arial"/>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Yulma Rocha Aguilar</w:t>
      </w:r>
    </w:p>
    <w:p w14:paraId="27FD7824" w14:textId="628583C1" w:rsidR="00427BD6" w:rsidRDefault="00427BD6" w:rsidP="00EF7206">
      <w:pPr>
        <w:jc w:val="both"/>
        <w:rPr>
          <w:rFonts w:ascii="Abadi" w:hAnsi="Abadi" w:cs="Arial"/>
          <w:b/>
          <w:bCs/>
          <w:sz w:val="21"/>
          <w:szCs w:val="21"/>
        </w:rPr>
      </w:pPr>
      <w:proofErr w:type="spellStart"/>
      <w:r w:rsidRPr="00947EC7">
        <w:rPr>
          <w:rFonts w:ascii="Abadi" w:hAnsi="Abadi" w:cs="Arial"/>
          <w:b/>
          <w:bCs/>
          <w:sz w:val="21"/>
          <w:szCs w:val="21"/>
        </w:rPr>
        <w:t>Dip</w:t>
      </w:r>
      <w:proofErr w:type="spellEnd"/>
      <w:r w:rsidRPr="00947EC7">
        <w:rPr>
          <w:rFonts w:ascii="Abadi" w:hAnsi="Abadi" w:cs="Arial"/>
          <w:b/>
          <w:bCs/>
          <w:sz w:val="21"/>
          <w:szCs w:val="21"/>
        </w:rPr>
        <w:t>. Gerardo Fernández González</w:t>
      </w:r>
    </w:p>
    <w:p w14:paraId="329BB7D2" w14:textId="77777777" w:rsidR="0033655B" w:rsidRDefault="0033655B" w:rsidP="00EF7206">
      <w:pPr>
        <w:jc w:val="both"/>
        <w:rPr>
          <w:rFonts w:ascii="Abadi" w:hAnsi="Abadi" w:cs="Arial"/>
          <w:b/>
          <w:bCs/>
          <w:sz w:val="21"/>
          <w:szCs w:val="21"/>
        </w:rPr>
      </w:pPr>
    </w:p>
    <w:p w14:paraId="49BAFC67" w14:textId="77777777" w:rsidR="0033655B" w:rsidRPr="00947EC7" w:rsidRDefault="0033655B" w:rsidP="00EF7206">
      <w:pPr>
        <w:jc w:val="both"/>
        <w:rPr>
          <w:rFonts w:ascii="Abadi" w:eastAsia="Arial Unicode MS" w:hAnsi="Abadi"/>
          <w:b/>
          <w:bCs/>
          <w:sz w:val="21"/>
          <w:szCs w:val="21"/>
        </w:rPr>
      </w:pPr>
    </w:p>
    <w:p w14:paraId="1D4C2472" w14:textId="77777777" w:rsidR="00427BD6" w:rsidRDefault="00427BD6" w:rsidP="00427BD6">
      <w:pPr>
        <w:jc w:val="both"/>
        <w:rPr>
          <w:rFonts w:ascii="Abadi" w:eastAsia="Arial Unicode MS" w:hAnsi="Abadi"/>
          <w:b/>
          <w:bCs/>
          <w:sz w:val="21"/>
          <w:szCs w:val="21"/>
        </w:rPr>
      </w:pPr>
    </w:p>
    <w:p w14:paraId="0333F3BB" w14:textId="77777777" w:rsidR="006F10E0" w:rsidRDefault="006F10E0" w:rsidP="00427BD6">
      <w:pPr>
        <w:jc w:val="both"/>
        <w:rPr>
          <w:rFonts w:ascii="Abadi" w:eastAsia="Arial Unicode MS" w:hAnsi="Abadi"/>
          <w:b/>
          <w:bCs/>
          <w:sz w:val="21"/>
          <w:szCs w:val="21"/>
        </w:rPr>
      </w:pPr>
    </w:p>
    <w:p w14:paraId="3C6192B3" w14:textId="46694ECA" w:rsidR="006F10E0" w:rsidRDefault="006F10E0" w:rsidP="006F10E0">
      <w:pPr>
        <w:jc w:val="both"/>
        <w:rPr>
          <w:rFonts w:ascii="Abadi" w:hAnsi="Abadi"/>
          <w:b/>
          <w:bCs/>
          <w:sz w:val="21"/>
          <w:szCs w:val="21"/>
        </w:rPr>
      </w:pPr>
      <w:r>
        <w:rPr>
          <w:rFonts w:ascii="Abadi" w:hAnsi="Abadi"/>
          <w:b/>
          <w:bCs/>
          <w:sz w:val="21"/>
          <w:szCs w:val="21"/>
        </w:rPr>
        <w:tab/>
      </w:r>
      <w:r w:rsidRPr="00D949EE">
        <w:rPr>
          <w:rFonts w:ascii="Abadi" w:hAnsi="Abadi"/>
          <w:b/>
          <w:bCs/>
          <w:sz w:val="21"/>
          <w:szCs w:val="21"/>
        </w:rPr>
        <w:t xml:space="preserve">- La </w:t>
      </w:r>
      <w:proofErr w:type="gramStart"/>
      <w:r w:rsidRPr="00D949EE">
        <w:rPr>
          <w:rFonts w:ascii="Abadi" w:hAnsi="Abadi"/>
          <w:b/>
          <w:bCs/>
          <w:sz w:val="21"/>
          <w:szCs w:val="21"/>
        </w:rPr>
        <w:t>Presidencia.-</w:t>
      </w:r>
      <w:proofErr w:type="gramEnd"/>
      <w:r w:rsidRPr="00D949EE">
        <w:rPr>
          <w:rFonts w:ascii="Abadi" w:hAnsi="Abadi"/>
          <w:b/>
          <w:bCs/>
          <w:sz w:val="21"/>
          <w:szCs w:val="21"/>
        </w:rPr>
        <w:t xml:space="preserve"> </w:t>
      </w:r>
      <w:r>
        <w:rPr>
          <w:rFonts w:ascii="Abadi" w:hAnsi="Abadi"/>
          <w:sz w:val="21"/>
          <w:szCs w:val="21"/>
        </w:rPr>
        <w:t>C</w:t>
      </w:r>
      <w:r w:rsidRPr="0030088F">
        <w:rPr>
          <w:rFonts w:ascii="Abadi" w:hAnsi="Abadi"/>
          <w:sz w:val="21"/>
          <w:szCs w:val="21"/>
        </w:rPr>
        <w:t xml:space="preserve">orresponde someter a discusión en lo general el dictamen suscrito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 xml:space="preserve">obernación y </w:t>
      </w:r>
      <w:r>
        <w:rPr>
          <w:rFonts w:ascii="Abadi" w:hAnsi="Abadi"/>
          <w:sz w:val="21"/>
          <w:szCs w:val="21"/>
        </w:rPr>
        <w:t>P</w:t>
      </w:r>
      <w:r w:rsidRPr="0030088F">
        <w:rPr>
          <w:rFonts w:ascii="Abadi" w:hAnsi="Abadi"/>
          <w:sz w:val="21"/>
          <w:szCs w:val="21"/>
        </w:rPr>
        <w:t xml:space="preserve">untos </w:t>
      </w:r>
      <w:r>
        <w:rPr>
          <w:rFonts w:ascii="Abadi" w:hAnsi="Abadi"/>
          <w:sz w:val="21"/>
          <w:szCs w:val="21"/>
        </w:rPr>
        <w:t>C</w:t>
      </w:r>
      <w:r w:rsidRPr="0030088F">
        <w:rPr>
          <w:rFonts w:ascii="Abadi" w:hAnsi="Abadi"/>
          <w:sz w:val="21"/>
          <w:szCs w:val="21"/>
        </w:rPr>
        <w:t>onstitucionales referente al punto 22 del orden del día</w:t>
      </w:r>
      <w:r>
        <w:rPr>
          <w:rFonts w:ascii="Abadi" w:hAnsi="Abadi"/>
          <w:sz w:val="21"/>
          <w:szCs w:val="21"/>
        </w:rPr>
        <w:t xml:space="preserve">. </w:t>
      </w:r>
      <w:r w:rsidRPr="00274D79">
        <w:rPr>
          <w:rFonts w:ascii="Abadi" w:hAnsi="Abadi"/>
          <w:b/>
          <w:bCs/>
          <w:sz w:val="21"/>
          <w:szCs w:val="21"/>
        </w:rPr>
        <w:t>(ELD 182A/LXV-I, ELD 449/LXV-I y ELD 507/LXV-I).</w:t>
      </w:r>
    </w:p>
    <w:p w14:paraId="70C165BF" w14:textId="77777777" w:rsidR="006F10E0" w:rsidRPr="00274D79" w:rsidRDefault="006F10E0" w:rsidP="006F10E0">
      <w:pPr>
        <w:jc w:val="both"/>
        <w:rPr>
          <w:rFonts w:ascii="Abadi" w:hAnsi="Abadi"/>
          <w:b/>
          <w:bCs/>
          <w:sz w:val="21"/>
          <w:szCs w:val="21"/>
        </w:rPr>
      </w:pPr>
    </w:p>
    <w:p w14:paraId="0645C16F" w14:textId="77777777" w:rsidR="006F10E0" w:rsidRDefault="006F10E0" w:rsidP="006F10E0">
      <w:pPr>
        <w:jc w:val="both"/>
        <w:rPr>
          <w:rFonts w:ascii="Abadi" w:hAnsi="Abadi"/>
          <w:sz w:val="21"/>
          <w:szCs w:val="21"/>
        </w:rPr>
      </w:pPr>
      <w:r>
        <w:rPr>
          <w:rFonts w:ascii="Abadi" w:hAnsi="Abadi"/>
          <w:sz w:val="21"/>
          <w:szCs w:val="21"/>
        </w:rPr>
        <w:tab/>
        <w:t>- M</w:t>
      </w:r>
      <w:r w:rsidRPr="0030088F">
        <w:rPr>
          <w:rFonts w:ascii="Abadi" w:hAnsi="Abadi"/>
          <w:sz w:val="21"/>
          <w:szCs w:val="21"/>
        </w:rPr>
        <w:t xml:space="preserve">e permito informar que previamente se han inscrito la diputada Susana Bermúdez </w:t>
      </w:r>
      <w:r>
        <w:rPr>
          <w:rFonts w:ascii="Abadi" w:hAnsi="Abadi"/>
          <w:sz w:val="21"/>
          <w:szCs w:val="21"/>
        </w:rPr>
        <w:t>C</w:t>
      </w:r>
      <w:r w:rsidRPr="0030088F">
        <w:rPr>
          <w:rFonts w:ascii="Abadi" w:hAnsi="Abadi"/>
          <w:sz w:val="21"/>
          <w:szCs w:val="21"/>
        </w:rPr>
        <w:t xml:space="preserve">ano en los términos del artículo 178 fracción </w:t>
      </w:r>
      <w:r>
        <w:rPr>
          <w:rFonts w:ascii="Abadi" w:hAnsi="Abadi"/>
          <w:sz w:val="21"/>
          <w:szCs w:val="21"/>
        </w:rPr>
        <w:t xml:space="preserve">I </w:t>
      </w:r>
      <w:r w:rsidRPr="0030088F">
        <w:rPr>
          <w:rFonts w:ascii="Abadi" w:hAnsi="Abadi"/>
          <w:sz w:val="21"/>
          <w:szCs w:val="21"/>
        </w:rPr>
        <w:t xml:space="preserve">de nuestra </w:t>
      </w:r>
      <w:r>
        <w:rPr>
          <w:rFonts w:ascii="Abadi" w:hAnsi="Abadi"/>
          <w:sz w:val="21"/>
          <w:szCs w:val="21"/>
        </w:rPr>
        <w:t>L</w:t>
      </w:r>
      <w:r w:rsidRPr="0030088F">
        <w:rPr>
          <w:rFonts w:ascii="Abadi" w:hAnsi="Abadi"/>
          <w:sz w:val="21"/>
          <w:szCs w:val="21"/>
        </w:rPr>
        <w:t xml:space="preserve">ey </w:t>
      </w:r>
      <w:r>
        <w:rPr>
          <w:rFonts w:ascii="Abadi" w:hAnsi="Abadi"/>
          <w:sz w:val="21"/>
          <w:szCs w:val="21"/>
        </w:rPr>
        <w:t>O</w:t>
      </w:r>
      <w:r w:rsidRPr="0030088F">
        <w:rPr>
          <w:rFonts w:ascii="Abadi" w:hAnsi="Abadi"/>
          <w:sz w:val="21"/>
          <w:szCs w:val="21"/>
        </w:rPr>
        <w:t>rgánica como autora del dictamen</w:t>
      </w:r>
      <w:r>
        <w:rPr>
          <w:rFonts w:ascii="Abadi" w:hAnsi="Abadi"/>
          <w:sz w:val="21"/>
          <w:szCs w:val="21"/>
        </w:rPr>
        <w:t>.</w:t>
      </w:r>
    </w:p>
    <w:p w14:paraId="1C1640EE" w14:textId="77777777" w:rsidR="006F10E0" w:rsidRDefault="006F10E0" w:rsidP="006F10E0">
      <w:pPr>
        <w:jc w:val="both"/>
        <w:rPr>
          <w:rFonts w:ascii="Abadi" w:hAnsi="Abadi"/>
          <w:sz w:val="21"/>
          <w:szCs w:val="21"/>
        </w:rPr>
      </w:pPr>
    </w:p>
    <w:p w14:paraId="3D1A8216" w14:textId="77777777" w:rsidR="006F10E0" w:rsidRDefault="006F10E0" w:rsidP="006F10E0">
      <w:pPr>
        <w:jc w:val="both"/>
        <w:rPr>
          <w:rFonts w:ascii="Abadi" w:hAnsi="Abadi"/>
          <w:sz w:val="21"/>
          <w:szCs w:val="21"/>
        </w:rPr>
      </w:pPr>
      <w:r>
        <w:rPr>
          <w:rFonts w:ascii="Abadi" w:hAnsi="Abadi"/>
          <w:sz w:val="21"/>
          <w:szCs w:val="21"/>
        </w:rPr>
        <w:tab/>
        <w:t>- A</w:t>
      </w:r>
      <w:r w:rsidRPr="0030088F">
        <w:rPr>
          <w:rFonts w:ascii="Abadi" w:hAnsi="Abadi"/>
          <w:sz w:val="21"/>
          <w:szCs w:val="21"/>
        </w:rPr>
        <w:t xml:space="preserve">sí como la diputada </w:t>
      </w:r>
      <w:r>
        <w:rPr>
          <w:rFonts w:ascii="Abadi" w:hAnsi="Abadi"/>
          <w:sz w:val="21"/>
          <w:szCs w:val="21"/>
        </w:rPr>
        <w:t>Hades Berenice Aguilar C</w:t>
      </w:r>
      <w:r w:rsidRPr="0030088F">
        <w:rPr>
          <w:rFonts w:ascii="Abadi" w:hAnsi="Abadi"/>
          <w:sz w:val="21"/>
          <w:szCs w:val="21"/>
        </w:rPr>
        <w:t>astillo</w:t>
      </w:r>
      <w:r>
        <w:rPr>
          <w:rFonts w:ascii="Abadi" w:hAnsi="Abadi"/>
          <w:sz w:val="21"/>
          <w:szCs w:val="21"/>
        </w:rPr>
        <w:t xml:space="preserve">, el </w:t>
      </w:r>
      <w:r w:rsidRPr="0030088F">
        <w:rPr>
          <w:rFonts w:ascii="Abadi" w:hAnsi="Abadi"/>
          <w:sz w:val="21"/>
          <w:szCs w:val="21"/>
        </w:rPr>
        <w:t xml:space="preserve">diputado Gustavo Adolfo Alfaro </w:t>
      </w:r>
      <w:r>
        <w:rPr>
          <w:rFonts w:ascii="Abadi" w:hAnsi="Abadi"/>
          <w:sz w:val="21"/>
          <w:szCs w:val="21"/>
        </w:rPr>
        <w:t>R</w:t>
      </w:r>
      <w:r w:rsidRPr="0030088F">
        <w:rPr>
          <w:rFonts w:ascii="Abadi" w:hAnsi="Abadi"/>
          <w:sz w:val="21"/>
          <w:szCs w:val="21"/>
        </w:rPr>
        <w:t>eyes</w:t>
      </w:r>
      <w:r>
        <w:rPr>
          <w:rFonts w:ascii="Abadi" w:hAnsi="Abadi"/>
          <w:sz w:val="21"/>
          <w:szCs w:val="21"/>
        </w:rPr>
        <w:t>,</w:t>
      </w:r>
      <w:r w:rsidRPr="0030088F">
        <w:rPr>
          <w:rFonts w:ascii="Abadi" w:hAnsi="Abadi"/>
          <w:sz w:val="21"/>
          <w:szCs w:val="21"/>
        </w:rPr>
        <w:t xml:space="preserve"> la diputada Martha Lourdes </w:t>
      </w:r>
      <w:r>
        <w:rPr>
          <w:rFonts w:ascii="Abadi" w:hAnsi="Abadi"/>
          <w:sz w:val="21"/>
          <w:szCs w:val="21"/>
        </w:rPr>
        <w:t>O</w:t>
      </w:r>
      <w:r w:rsidRPr="0030088F">
        <w:rPr>
          <w:rFonts w:ascii="Abadi" w:hAnsi="Abadi"/>
          <w:sz w:val="21"/>
          <w:szCs w:val="21"/>
        </w:rPr>
        <w:t xml:space="preserve">rtega </w:t>
      </w:r>
      <w:r>
        <w:rPr>
          <w:rFonts w:ascii="Abadi" w:hAnsi="Abadi"/>
          <w:sz w:val="21"/>
          <w:szCs w:val="21"/>
        </w:rPr>
        <w:t>R</w:t>
      </w:r>
      <w:r w:rsidRPr="0030088F">
        <w:rPr>
          <w:rFonts w:ascii="Abadi" w:hAnsi="Abadi"/>
          <w:sz w:val="21"/>
          <w:szCs w:val="21"/>
        </w:rPr>
        <w:t>oque</w:t>
      </w:r>
      <w:r>
        <w:rPr>
          <w:rFonts w:ascii="Abadi" w:hAnsi="Abadi"/>
          <w:sz w:val="21"/>
          <w:szCs w:val="21"/>
        </w:rPr>
        <w:t>,</w:t>
      </w:r>
      <w:r w:rsidRPr="0030088F">
        <w:rPr>
          <w:rFonts w:ascii="Abadi" w:hAnsi="Abadi"/>
          <w:sz w:val="21"/>
          <w:szCs w:val="21"/>
        </w:rPr>
        <w:t xml:space="preserve"> para hablar </w:t>
      </w:r>
      <w:r>
        <w:rPr>
          <w:rFonts w:ascii="Abadi" w:hAnsi="Abadi"/>
          <w:sz w:val="21"/>
          <w:szCs w:val="21"/>
        </w:rPr>
        <w:t>¡</w:t>
      </w:r>
      <w:r w:rsidRPr="0030088F">
        <w:rPr>
          <w:rFonts w:ascii="Abadi" w:hAnsi="Abadi"/>
          <w:sz w:val="21"/>
          <w:szCs w:val="21"/>
        </w:rPr>
        <w:t>a favor</w:t>
      </w:r>
      <w:r>
        <w:rPr>
          <w:rFonts w:ascii="Abadi" w:hAnsi="Abadi"/>
          <w:sz w:val="21"/>
          <w:szCs w:val="21"/>
        </w:rPr>
        <w:t>!</w:t>
      </w:r>
      <w:r w:rsidRPr="0030088F">
        <w:rPr>
          <w:rFonts w:ascii="Abadi" w:hAnsi="Abadi"/>
          <w:sz w:val="21"/>
          <w:szCs w:val="21"/>
        </w:rPr>
        <w:t xml:space="preserve"> si desean </w:t>
      </w:r>
      <w:r w:rsidRPr="0030088F">
        <w:rPr>
          <w:rFonts w:ascii="Abadi" w:hAnsi="Abadi"/>
          <w:sz w:val="21"/>
          <w:szCs w:val="21"/>
        </w:rPr>
        <w:lastRenderedPageBreak/>
        <w:t xml:space="preserve">hacer uso de la palabra a favor o en contra </w:t>
      </w:r>
      <w:r>
        <w:rPr>
          <w:rFonts w:ascii="Abadi" w:hAnsi="Abadi"/>
          <w:sz w:val="21"/>
          <w:szCs w:val="21"/>
        </w:rPr>
        <w:t xml:space="preserve">manifiéstenlo </w:t>
      </w:r>
      <w:r w:rsidRPr="0030088F">
        <w:rPr>
          <w:rFonts w:ascii="Abadi" w:hAnsi="Abadi"/>
          <w:sz w:val="21"/>
          <w:szCs w:val="21"/>
        </w:rPr>
        <w:t>indicando el sentido de su participación</w:t>
      </w:r>
      <w:r>
        <w:rPr>
          <w:rFonts w:ascii="Abadi" w:hAnsi="Abadi"/>
          <w:sz w:val="21"/>
          <w:szCs w:val="21"/>
        </w:rPr>
        <w:t>.</w:t>
      </w:r>
    </w:p>
    <w:p w14:paraId="6653FA52" w14:textId="77777777" w:rsidR="006F10E0" w:rsidRDefault="006F10E0" w:rsidP="006F10E0">
      <w:pPr>
        <w:jc w:val="both"/>
        <w:rPr>
          <w:rFonts w:ascii="Abadi" w:hAnsi="Abadi"/>
          <w:sz w:val="21"/>
          <w:szCs w:val="21"/>
        </w:rPr>
      </w:pPr>
    </w:p>
    <w:p w14:paraId="3CFD59C3" w14:textId="77777777" w:rsidR="006F10E0" w:rsidRDefault="006F10E0" w:rsidP="006F10E0">
      <w:pPr>
        <w:jc w:val="both"/>
        <w:rPr>
          <w:rFonts w:ascii="Abadi" w:hAnsi="Abadi"/>
          <w:sz w:val="21"/>
          <w:szCs w:val="21"/>
        </w:rPr>
      </w:pPr>
      <w:r>
        <w:rPr>
          <w:rFonts w:ascii="Abadi" w:hAnsi="Abadi"/>
          <w:sz w:val="21"/>
          <w:szCs w:val="21"/>
        </w:rPr>
        <w:t xml:space="preserve">- Se </w:t>
      </w:r>
      <w:r w:rsidRPr="0030088F">
        <w:rPr>
          <w:rFonts w:ascii="Abadi" w:hAnsi="Abadi"/>
          <w:sz w:val="21"/>
          <w:szCs w:val="21"/>
        </w:rPr>
        <w:t xml:space="preserve">concede el uso de la palabra </w:t>
      </w:r>
      <w:r>
        <w:rPr>
          <w:rFonts w:ascii="Abadi" w:hAnsi="Abadi"/>
          <w:sz w:val="21"/>
          <w:szCs w:val="21"/>
        </w:rPr>
        <w:t xml:space="preserve">a </w:t>
      </w:r>
      <w:r w:rsidRPr="0030088F">
        <w:rPr>
          <w:rFonts w:ascii="Abadi" w:hAnsi="Abadi"/>
          <w:sz w:val="21"/>
          <w:szCs w:val="21"/>
        </w:rPr>
        <w:t xml:space="preserve">la diputada Susana Bermúdez </w:t>
      </w:r>
      <w:r>
        <w:rPr>
          <w:rFonts w:ascii="Abadi" w:hAnsi="Abadi"/>
          <w:sz w:val="21"/>
          <w:szCs w:val="21"/>
        </w:rPr>
        <w:t>C</w:t>
      </w:r>
      <w:r w:rsidRPr="0030088F">
        <w:rPr>
          <w:rFonts w:ascii="Abadi" w:hAnsi="Abadi"/>
          <w:sz w:val="21"/>
          <w:szCs w:val="21"/>
        </w:rPr>
        <w:t>ano hasta por 10 minutos</w:t>
      </w:r>
      <w:r>
        <w:rPr>
          <w:rFonts w:ascii="Abadi" w:hAnsi="Abadi"/>
          <w:sz w:val="21"/>
          <w:szCs w:val="21"/>
        </w:rPr>
        <w:t xml:space="preserve">. </w:t>
      </w:r>
    </w:p>
    <w:p w14:paraId="0C8EECCC" w14:textId="77777777" w:rsidR="006F10E0" w:rsidRDefault="006F10E0" w:rsidP="006F10E0">
      <w:pPr>
        <w:jc w:val="both"/>
        <w:rPr>
          <w:rFonts w:ascii="Abadi" w:hAnsi="Abadi"/>
          <w:sz w:val="21"/>
          <w:szCs w:val="21"/>
        </w:rPr>
      </w:pPr>
      <w:r>
        <w:rPr>
          <w:rFonts w:ascii="Abadi" w:hAnsi="Abadi"/>
          <w:sz w:val="21"/>
          <w:szCs w:val="21"/>
        </w:rPr>
        <w:tab/>
      </w:r>
    </w:p>
    <w:p w14:paraId="5E696A86" w14:textId="77082218" w:rsidR="006F10E0" w:rsidRPr="0030088F" w:rsidRDefault="006F10E0" w:rsidP="006F10E0">
      <w:pPr>
        <w:jc w:val="both"/>
        <w:rPr>
          <w:rFonts w:ascii="Abadi" w:hAnsi="Abadi"/>
          <w:sz w:val="21"/>
          <w:szCs w:val="21"/>
        </w:rPr>
      </w:pPr>
      <w:r>
        <w:rPr>
          <w:rFonts w:ascii="Abadi" w:hAnsi="Abadi"/>
          <w:sz w:val="21"/>
          <w:szCs w:val="21"/>
        </w:rPr>
        <w:tab/>
        <w:t>- A</w:t>
      </w:r>
      <w:r w:rsidRPr="0030088F">
        <w:rPr>
          <w:rFonts w:ascii="Abadi" w:hAnsi="Abadi"/>
          <w:sz w:val="21"/>
          <w:szCs w:val="21"/>
        </w:rPr>
        <w:t>delante</w:t>
      </w:r>
      <w:r>
        <w:rPr>
          <w:rFonts w:ascii="Abadi" w:hAnsi="Abadi"/>
          <w:sz w:val="21"/>
          <w:szCs w:val="21"/>
        </w:rPr>
        <w:t>.</w:t>
      </w:r>
    </w:p>
    <w:p w14:paraId="0D288AF9" w14:textId="77777777" w:rsidR="006F10E0" w:rsidRPr="0030088F" w:rsidRDefault="006F10E0" w:rsidP="006F10E0">
      <w:pPr>
        <w:jc w:val="both"/>
        <w:rPr>
          <w:rFonts w:ascii="Abadi" w:hAnsi="Abadi"/>
          <w:sz w:val="21"/>
          <w:szCs w:val="21"/>
        </w:rPr>
      </w:pPr>
    </w:p>
    <w:p w14:paraId="67682256" w14:textId="77777777" w:rsidR="006F10E0" w:rsidRDefault="006F10E0" w:rsidP="006F10E0">
      <w:pPr>
        <w:jc w:val="both"/>
        <w:rPr>
          <w:rFonts w:ascii="Abadi" w:hAnsi="Abadi"/>
          <w:b/>
          <w:bCs/>
          <w:sz w:val="21"/>
          <w:szCs w:val="21"/>
        </w:rPr>
      </w:pPr>
      <w:r w:rsidRPr="00B761F8">
        <w:rPr>
          <w:rFonts w:ascii="Abadi" w:hAnsi="Abadi"/>
          <w:b/>
          <w:bCs/>
          <w:sz w:val="21"/>
          <w:szCs w:val="21"/>
        </w:rPr>
        <w:t xml:space="preserve">(Sube a tribuna la diputada </w:t>
      </w:r>
      <w:r>
        <w:rPr>
          <w:rFonts w:ascii="Abadi" w:hAnsi="Abadi"/>
          <w:b/>
          <w:bCs/>
          <w:sz w:val="21"/>
          <w:szCs w:val="21"/>
        </w:rPr>
        <w:t>Susana Bermúdez Cano</w:t>
      </w:r>
      <w:r w:rsidRPr="00B761F8">
        <w:rPr>
          <w:rFonts w:ascii="Abadi" w:hAnsi="Abadi"/>
          <w:b/>
          <w:bCs/>
          <w:sz w:val="21"/>
          <w:szCs w:val="21"/>
        </w:rPr>
        <w:t xml:space="preserve">, para hablar a favor del dictamen en referencia) </w:t>
      </w:r>
    </w:p>
    <w:p w14:paraId="20FA19B5" w14:textId="77777777" w:rsidR="006F10E0" w:rsidRDefault="006F10E0" w:rsidP="006F10E0">
      <w:pPr>
        <w:jc w:val="both"/>
        <w:rPr>
          <w:rFonts w:ascii="Abadi" w:hAnsi="Abadi"/>
          <w:b/>
          <w:bCs/>
          <w:sz w:val="21"/>
          <w:szCs w:val="21"/>
        </w:rPr>
      </w:pPr>
    </w:p>
    <w:p w14:paraId="35B8EDC6" w14:textId="48A34D69" w:rsidR="006F10E0" w:rsidRDefault="006F10E0" w:rsidP="006F10E0">
      <w:pPr>
        <w:jc w:val="both"/>
        <w:rPr>
          <w:rFonts w:ascii="Abadi" w:hAnsi="Abadi"/>
          <w:b/>
          <w:bCs/>
          <w:sz w:val="21"/>
          <w:szCs w:val="21"/>
        </w:rPr>
      </w:pPr>
    </w:p>
    <w:p w14:paraId="5653D800" w14:textId="29671642" w:rsidR="006F10E0" w:rsidRDefault="006F10E0" w:rsidP="006F10E0">
      <w:pPr>
        <w:jc w:val="both"/>
        <w:rPr>
          <w:rFonts w:ascii="Abadi" w:hAnsi="Abadi"/>
          <w:b/>
          <w:bCs/>
          <w:sz w:val="21"/>
          <w:szCs w:val="21"/>
        </w:rPr>
      </w:pPr>
      <w:r>
        <w:rPr>
          <w:noProof/>
        </w:rPr>
        <w:drawing>
          <wp:anchor distT="0" distB="0" distL="114300" distR="114300" simplePos="0" relativeHeight="251662358" behindDoc="1" locked="0" layoutInCell="1" allowOverlap="1" wp14:anchorId="466782AC" wp14:editId="24991BAA">
            <wp:simplePos x="0" y="0"/>
            <wp:positionH relativeFrom="column">
              <wp:posOffset>677545</wp:posOffset>
            </wp:positionH>
            <wp:positionV relativeFrom="paragraph">
              <wp:posOffset>67945</wp:posOffset>
            </wp:positionV>
            <wp:extent cx="1194435" cy="620395"/>
            <wp:effectExtent l="247650" t="228600" r="253365" b="732155"/>
            <wp:wrapTight wrapText="bothSides">
              <wp:wrapPolygon edited="0">
                <wp:start x="-4478" y="-7959"/>
                <wp:lineTo x="-4478" y="46428"/>
                <wp:lineTo x="25837" y="46428"/>
                <wp:lineTo x="25837" y="-7959"/>
                <wp:lineTo x="-4478" y="-7959"/>
              </wp:wrapPolygon>
            </wp:wrapTight>
            <wp:docPr id="1969028691" name="Imagen 196902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28691" name=""/>
                    <pic:cNvPicPr/>
                  </pic:nvPicPr>
                  <pic:blipFill rotWithShape="1">
                    <a:blip r:embed="rId52" cstate="print">
                      <a:extLst>
                        <a:ext uri="{28A0092B-C50C-407E-A947-70E740481C1C}">
                          <a14:useLocalDpi xmlns:a14="http://schemas.microsoft.com/office/drawing/2010/main" val="0"/>
                        </a:ext>
                      </a:extLst>
                    </a:blip>
                    <a:srcRect b="7664"/>
                    <a:stretch/>
                  </pic:blipFill>
                  <pic:spPr bwMode="auto">
                    <a:xfrm>
                      <a:off x="0" y="0"/>
                      <a:ext cx="1194435" cy="62039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51D72B" w14:textId="4C16117A" w:rsidR="006F10E0" w:rsidRDefault="006F10E0" w:rsidP="006F10E0">
      <w:pPr>
        <w:jc w:val="both"/>
        <w:rPr>
          <w:rFonts w:ascii="Abadi" w:hAnsi="Abadi"/>
          <w:b/>
          <w:bCs/>
          <w:sz w:val="21"/>
          <w:szCs w:val="21"/>
        </w:rPr>
      </w:pPr>
    </w:p>
    <w:p w14:paraId="3448DC31" w14:textId="13F1B641" w:rsidR="006F10E0" w:rsidRDefault="006F10E0" w:rsidP="006F10E0">
      <w:pPr>
        <w:jc w:val="both"/>
        <w:rPr>
          <w:rFonts w:ascii="Abadi" w:hAnsi="Abadi"/>
          <w:b/>
          <w:bCs/>
          <w:sz w:val="21"/>
          <w:szCs w:val="21"/>
        </w:rPr>
      </w:pPr>
    </w:p>
    <w:p w14:paraId="6BDAD453" w14:textId="77777777" w:rsidR="006F10E0" w:rsidRDefault="006F10E0" w:rsidP="006F10E0">
      <w:pPr>
        <w:jc w:val="both"/>
        <w:rPr>
          <w:rFonts w:ascii="Abadi" w:hAnsi="Abadi"/>
          <w:b/>
          <w:bCs/>
          <w:sz w:val="21"/>
          <w:szCs w:val="21"/>
        </w:rPr>
      </w:pPr>
    </w:p>
    <w:p w14:paraId="5877806F" w14:textId="77777777" w:rsidR="006F10E0" w:rsidRDefault="006F10E0" w:rsidP="006F10E0">
      <w:pPr>
        <w:jc w:val="both"/>
        <w:rPr>
          <w:rFonts w:ascii="Abadi" w:hAnsi="Abadi"/>
          <w:b/>
          <w:bCs/>
          <w:sz w:val="21"/>
          <w:szCs w:val="21"/>
        </w:rPr>
      </w:pPr>
    </w:p>
    <w:p w14:paraId="1B9A8A48" w14:textId="77777777" w:rsidR="006F10E0" w:rsidRDefault="006F10E0" w:rsidP="006F10E0">
      <w:pPr>
        <w:jc w:val="both"/>
        <w:rPr>
          <w:rFonts w:ascii="Abadi" w:hAnsi="Abadi"/>
          <w:b/>
          <w:bCs/>
          <w:sz w:val="21"/>
          <w:szCs w:val="21"/>
        </w:rPr>
      </w:pPr>
    </w:p>
    <w:p w14:paraId="2C119D64" w14:textId="77777777" w:rsidR="006F10E0" w:rsidRDefault="006F10E0" w:rsidP="006F10E0">
      <w:pPr>
        <w:jc w:val="both"/>
        <w:rPr>
          <w:rFonts w:ascii="Abadi" w:hAnsi="Abadi"/>
          <w:b/>
          <w:bCs/>
          <w:sz w:val="21"/>
          <w:szCs w:val="21"/>
        </w:rPr>
      </w:pPr>
    </w:p>
    <w:p w14:paraId="5374E902" w14:textId="77777777" w:rsidR="006F10E0" w:rsidRDefault="006F10E0" w:rsidP="006F10E0">
      <w:pPr>
        <w:jc w:val="both"/>
        <w:rPr>
          <w:rFonts w:ascii="Abadi" w:hAnsi="Abadi"/>
          <w:b/>
          <w:bCs/>
          <w:sz w:val="21"/>
          <w:szCs w:val="21"/>
        </w:rPr>
      </w:pPr>
    </w:p>
    <w:p w14:paraId="11C49B2F" w14:textId="77777777" w:rsidR="006F10E0" w:rsidRDefault="006F10E0" w:rsidP="006F10E0">
      <w:pPr>
        <w:jc w:val="both"/>
        <w:rPr>
          <w:rFonts w:ascii="Abadi" w:hAnsi="Abadi"/>
          <w:b/>
          <w:bCs/>
          <w:sz w:val="21"/>
          <w:szCs w:val="21"/>
        </w:rPr>
      </w:pPr>
    </w:p>
    <w:p w14:paraId="2383366D" w14:textId="5CA1A0CD" w:rsidR="006F10E0" w:rsidRDefault="006F10E0" w:rsidP="006F10E0">
      <w:pPr>
        <w:jc w:val="both"/>
        <w:rPr>
          <w:rFonts w:ascii="Abadi" w:hAnsi="Abadi"/>
          <w:b/>
          <w:bCs/>
          <w:sz w:val="21"/>
          <w:szCs w:val="21"/>
        </w:rPr>
      </w:pPr>
    </w:p>
    <w:p w14:paraId="509E6103" w14:textId="77777777" w:rsidR="006F10E0" w:rsidRPr="00B761F8" w:rsidRDefault="006F10E0" w:rsidP="006F10E0">
      <w:pPr>
        <w:jc w:val="both"/>
        <w:rPr>
          <w:rFonts w:ascii="Abadi" w:hAnsi="Abadi"/>
          <w:b/>
          <w:bCs/>
          <w:sz w:val="21"/>
          <w:szCs w:val="21"/>
        </w:rPr>
      </w:pPr>
    </w:p>
    <w:p w14:paraId="1286A78A" w14:textId="33E31345" w:rsidR="006F10E0" w:rsidRDefault="006F10E0" w:rsidP="006F10E0">
      <w:pPr>
        <w:jc w:val="both"/>
        <w:rPr>
          <w:rFonts w:ascii="Abadi" w:hAnsi="Abadi"/>
          <w:sz w:val="21"/>
          <w:szCs w:val="21"/>
        </w:rPr>
      </w:pPr>
      <w:r>
        <w:rPr>
          <w:rFonts w:ascii="Abadi" w:hAnsi="Abadi"/>
          <w:sz w:val="21"/>
          <w:szCs w:val="21"/>
        </w:rPr>
        <w:t>- M</w:t>
      </w:r>
      <w:r w:rsidRPr="0030088F">
        <w:rPr>
          <w:rFonts w:ascii="Abadi" w:hAnsi="Abadi"/>
          <w:sz w:val="21"/>
          <w:szCs w:val="21"/>
        </w:rPr>
        <w:t>uy buenas tardes a todos y todas a quienes se encuentran aquí presentes con nosotros</w:t>
      </w:r>
      <w:r>
        <w:rPr>
          <w:rFonts w:ascii="Abadi" w:hAnsi="Abadi"/>
          <w:sz w:val="21"/>
          <w:szCs w:val="21"/>
        </w:rPr>
        <w:t>,</w:t>
      </w:r>
      <w:r w:rsidRPr="0030088F">
        <w:rPr>
          <w:rFonts w:ascii="Abadi" w:hAnsi="Abadi"/>
          <w:sz w:val="21"/>
          <w:szCs w:val="21"/>
        </w:rPr>
        <w:t xml:space="preserve"> a nuestros compañeros diputados y diputadas y con el permiso de la presidenta y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irectiva saludo también a los representantes de los medios de comunicación</w:t>
      </w:r>
      <w:r>
        <w:rPr>
          <w:rFonts w:ascii="Abadi" w:hAnsi="Abadi"/>
          <w:sz w:val="21"/>
          <w:szCs w:val="21"/>
        </w:rPr>
        <w:t>,</w:t>
      </w:r>
      <w:r w:rsidRPr="0030088F">
        <w:rPr>
          <w:rFonts w:ascii="Abadi" w:hAnsi="Abadi"/>
          <w:sz w:val="21"/>
          <w:szCs w:val="21"/>
        </w:rPr>
        <w:t xml:space="preserve"> hoy en esta tribuna voy a pedir su voto a favor para que se apruebe el proyecto de decreto por el que se reforman los artículos 25 </w:t>
      </w:r>
      <w:r>
        <w:rPr>
          <w:rFonts w:ascii="Abadi" w:hAnsi="Abadi"/>
          <w:sz w:val="21"/>
          <w:szCs w:val="21"/>
        </w:rPr>
        <w:t xml:space="preserve">fracción X y XI, </w:t>
      </w:r>
      <w:r w:rsidRPr="0030088F">
        <w:rPr>
          <w:rFonts w:ascii="Abadi" w:hAnsi="Abadi"/>
          <w:sz w:val="21"/>
          <w:szCs w:val="21"/>
        </w:rPr>
        <w:t xml:space="preserve">46 fracciones </w:t>
      </w:r>
      <w:r>
        <w:rPr>
          <w:rFonts w:ascii="Abadi" w:hAnsi="Abadi"/>
          <w:sz w:val="21"/>
          <w:szCs w:val="21"/>
        </w:rPr>
        <w:t>II. III y IV,</w:t>
      </w:r>
      <w:r w:rsidRPr="0030088F">
        <w:rPr>
          <w:rFonts w:ascii="Abadi" w:hAnsi="Abadi"/>
          <w:sz w:val="21"/>
          <w:szCs w:val="21"/>
        </w:rPr>
        <w:t xml:space="preserve"> 69 fracciones </w:t>
      </w:r>
      <w:r>
        <w:rPr>
          <w:rFonts w:ascii="Abadi" w:hAnsi="Abadi"/>
          <w:sz w:val="21"/>
          <w:szCs w:val="21"/>
        </w:rPr>
        <w:t>II, IV y V,</w:t>
      </w:r>
      <w:r w:rsidRPr="0030088F">
        <w:rPr>
          <w:rFonts w:ascii="Abadi" w:hAnsi="Abadi"/>
          <w:sz w:val="21"/>
          <w:szCs w:val="21"/>
        </w:rPr>
        <w:t xml:space="preserve"> artículo 111 fracciones </w:t>
      </w:r>
      <w:r>
        <w:rPr>
          <w:rFonts w:ascii="Abadi" w:hAnsi="Abadi"/>
          <w:sz w:val="21"/>
          <w:szCs w:val="21"/>
        </w:rPr>
        <w:t xml:space="preserve">II. III </w:t>
      </w:r>
      <w:r w:rsidRPr="0030088F">
        <w:rPr>
          <w:rFonts w:ascii="Abadi" w:hAnsi="Abadi"/>
          <w:sz w:val="21"/>
          <w:szCs w:val="21"/>
        </w:rPr>
        <w:t xml:space="preserve">y </w:t>
      </w:r>
      <w:r>
        <w:rPr>
          <w:rFonts w:ascii="Abadi" w:hAnsi="Abadi"/>
          <w:sz w:val="21"/>
          <w:szCs w:val="21"/>
        </w:rPr>
        <w:t xml:space="preserve">IV y </w:t>
      </w:r>
      <w:r w:rsidRPr="0030088F">
        <w:rPr>
          <w:rFonts w:ascii="Abadi" w:hAnsi="Abadi"/>
          <w:sz w:val="21"/>
          <w:szCs w:val="21"/>
        </w:rPr>
        <w:t xml:space="preserve">se adicionan los artículos 25 con las fracciones </w:t>
      </w:r>
      <w:r>
        <w:rPr>
          <w:rFonts w:ascii="Abadi" w:hAnsi="Abadi"/>
          <w:sz w:val="21"/>
          <w:szCs w:val="21"/>
        </w:rPr>
        <w:t xml:space="preserve">VII y VIII, </w:t>
      </w:r>
      <w:r w:rsidRPr="0030088F">
        <w:rPr>
          <w:rFonts w:ascii="Abadi" w:hAnsi="Abadi"/>
          <w:sz w:val="21"/>
          <w:szCs w:val="21"/>
        </w:rPr>
        <w:t>46</w:t>
      </w:r>
      <w:r>
        <w:rPr>
          <w:rFonts w:ascii="Abadi" w:hAnsi="Abadi"/>
          <w:sz w:val="21"/>
          <w:szCs w:val="21"/>
        </w:rPr>
        <w:t xml:space="preserve"> con una </w:t>
      </w:r>
      <w:r w:rsidRPr="0030088F">
        <w:rPr>
          <w:rFonts w:ascii="Abadi" w:hAnsi="Abadi"/>
          <w:sz w:val="21"/>
          <w:szCs w:val="21"/>
        </w:rPr>
        <w:t xml:space="preserve">fracción </w:t>
      </w:r>
      <w:r>
        <w:rPr>
          <w:rFonts w:ascii="Abadi" w:hAnsi="Abadi"/>
          <w:sz w:val="21"/>
          <w:szCs w:val="21"/>
        </w:rPr>
        <w:t xml:space="preserve">V, </w:t>
      </w:r>
      <w:r w:rsidRPr="0030088F">
        <w:rPr>
          <w:rFonts w:ascii="Abadi" w:hAnsi="Abadi"/>
          <w:sz w:val="21"/>
          <w:szCs w:val="21"/>
        </w:rPr>
        <w:t xml:space="preserve">69 </w:t>
      </w:r>
      <w:r>
        <w:rPr>
          <w:rFonts w:ascii="Abadi" w:hAnsi="Abadi"/>
          <w:sz w:val="21"/>
          <w:szCs w:val="21"/>
        </w:rPr>
        <w:t>con una f</w:t>
      </w:r>
      <w:r w:rsidRPr="0030088F">
        <w:rPr>
          <w:rFonts w:ascii="Abadi" w:hAnsi="Abadi"/>
          <w:sz w:val="21"/>
          <w:szCs w:val="21"/>
        </w:rPr>
        <w:t xml:space="preserve">racción </w:t>
      </w:r>
      <w:r>
        <w:rPr>
          <w:rFonts w:ascii="Abadi" w:hAnsi="Abadi"/>
          <w:sz w:val="21"/>
          <w:szCs w:val="21"/>
        </w:rPr>
        <w:t xml:space="preserve">VI, </w:t>
      </w:r>
      <w:r w:rsidRPr="0030088F">
        <w:rPr>
          <w:rFonts w:ascii="Abadi" w:hAnsi="Abadi"/>
          <w:sz w:val="21"/>
          <w:szCs w:val="21"/>
        </w:rPr>
        <w:t>y 111</w:t>
      </w:r>
      <w:r>
        <w:rPr>
          <w:rFonts w:ascii="Abadi" w:hAnsi="Abadi"/>
          <w:sz w:val="21"/>
          <w:szCs w:val="21"/>
        </w:rPr>
        <w:t xml:space="preserve"> con una fracción V,</w:t>
      </w:r>
      <w:r w:rsidRPr="0030088F">
        <w:rPr>
          <w:rFonts w:ascii="Abadi" w:hAnsi="Abadi"/>
          <w:sz w:val="21"/>
          <w:szCs w:val="21"/>
        </w:rPr>
        <w:t xml:space="preserve"> todo ello de la </w:t>
      </w:r>
      <w:r>
        <w:rPr>
          <w:rFonts w:ascii="Abadi" w:hAnsi="Abadi"/>
          <w:sz w:val="21"/>
          <w:szCs w:val="21"/>
        </w:rPr>
        <w:t>Co</w:t>
      </w:r>
      <w:r w:rsidRPr="0030088F">
        <w:rPr>
          <w:rFonts w:ascii="Abadi" w:hAnsi="Abadi"/>
          <w:sz w:val="21"/>
          <w:szCs w:val="21"/>
        </w:rPr>
        <w:t xml:space="preserve">nstitución </w:t>
      </w:r>
      <w:r>
        <w:rPr>
          <w:rFonts w:ascii="Abadi" w:hAnsi="Abadi"/>
          <w:sz w:val="21"/>
          <w:szCs w:val="21"/>
        </w:rPr>
        <w:t>P</w:t>
      </w:r>
      <w:r w:rsidRPr="0030088F">
        <w:rPr>
          <w:rFonts w:ascii="Abadi" w:hAnsi="Abadi"/>
          <w:sz w:val="21"/>
          <w:szCs w:val="21"/>
        </w:rPr>
        <w:t xml:space="preserve">olítica para el </w:t>
      </w:r>
      <w:r>
        <w:rPr>
          <w:rFonts w:ascii="Abadi" w:hAnsi="Abadi"/>
          <w:sz w:val="21"/>
          <w:szCs w:val="21"/>
        </w:rPr>
        <w:t>E</w:t>
      </w:r>
      <w:r w:rsidRPr="0030088F">
        <w:rPr>
          <w:rFonts w:ascii="Abadi" w:hAnsi="Abadi"/>
          <w:sz w:val="21"/>
          <w:szCs w:val="21"/>
        </w:rPr>
        <w:t>stado de Guanajuato</w:t>
      </w:r>
      <w:r>
        <w:rPr>
          <w:rFonts w:ascii="Abadi" w:hAnsi="Abadi"/>
          <w:sz w:val="21"/>
          <w:szCs w:val="21"/>
        </w:rPr>
        <w:t xml:space="preserve">. </w:t>
      </w:r>
    </w:p>
    <w:p w14:paraId="2187A6C8" w14:textId="77777777" w:rsidR="006F10E0" w:rsidRDefault="006F10E0" w:rsidP="006F10E0">
      <w:pPr>
        <w:jc w:val="both"/>
        <w:rPr>
          <w:rFonts w:ascii="Abadi" w:hAnsi="Abadi"/>
          <w:sz w:val="21"/>
          <w:szCs w:val="21"/>
        </w:rPr>
      </w:pPr>
    </w:p>
    <w:p w14:paraId="52D60E1B" w14:textId="77777777" w:rsidR="006F10E0" w:rsidRDefault="006F10E0" w:rsidP="006F10E0">
      <w:pPr>
        <w:jc w:val="both"/>
        <w:rPr>
          <w:rFonts w:ascii="Abadi" w:hAnsi="Abadi"/>
          <w:sz w:val="21"/>
          <w:szCs w:val="21"/>
        </w:rPr>
      </w:pPr>
      <w:r>
        <w:rPr>
          <w:rFonts w:ascii="Abadi" w:hAnsi="Abadi"/>
          <w:sz w:val="21"/>
          <w:szCs w:val="21"/>
        </w:rPr>
        <w:t>- Es</w:t>
      </w:r>
      <w:r w:rsidRPr="0030088F">
        <w:rPr>
          <w:rFonts w:ascii="Abadi" w:hAnsi="Abadi"/>
          <w:sz w:val="21"/>
          <w:szCs w:val="21"/>
        </w:rPr>
        <w:t>te producto legislativo deviene de una amplia participación de los miembros de la comisión y de sendas iniciativas</w:t>
      </w:r>
      <w:r>
        <w:rPr>
          <w:rFonts w:ascii="Abadi" w:hAnsi="Abadi"/>
          <w:sz w:val="21"/>
          <w:szCs w:val="21"/>
        </w:rPr>
        <w:t>,</w:t>
      </w:r>
      <w:r w:rsidRPr="0030088F">
        <w:rPr>
          <w:rFonts w:ascii="Abadi" w:hAnsi="Abadi"/>
          <w:sz w:val="21"/>
          <w:szCs w:val="21"/>
        </w:rPr>
        <w:t xml:space="preserve"> por lo que</w:t>
      </w:r>
      <w:r>
        <w:rPr>
          <w:rFonts w:ascii="Abadi" w:hAnsi="Abadi"/>
          <w:sz w:val="21"/>
          <w:szCs w:val="21"/>
        </w:rPr>
        <w:t>,</w:t>
      </w:r>
      <w:r w:rsidRPr="0030088F">
        <w:rPr>
          <w:rFonts w:ascii="Abadi" w:hAnsi="Abadi"/>
          <w:sz w:val="21"/>
          <w:szCs w:val="21"/>
        </w:rPr>
        <w:t xml:space="preserve"> por primera parte</w:t>
      </w:r>
      <w:r>
        <w:rPr>
          <w:rFonts w:ascii="Abadi" w:hAnsi="Abadi"/>
          <w:sz w:val="21"/>
          <w:szCs w:val="21"/>
        </w:rPr>
        <w:t>,</w:t>
      </w:r>
      <w:r w:rsidRPr="0030088F">
        <w:rPr>
          <w:rFonts w:ascii="Abadi" w:hAnsi="Abadi"/>
          <w:sz w:val="21"/>
          <w:szCs w:val="21"/>
        </w:rPr>
        <w:t xml:space="preserve"> quiero agradecer a las diputadas </w:t>
      </w:r>
      <w:r>
        <w:rPr>
          <w:rFonts w:ascii="Abadi" w:hAnsi="Abadi"/>
          <w:sz w:val="21"/>
          <w:szCs w:val="21"/>
        </w:rPr>
        <w:t>A</w:t>
      </w:r>
      <w:r w:rsidRPr="0030088F">
        <w:rPr>
          <w:rFonts w:ascii="Abadi" w:hAnsi="Abadi"/>
          <w:sz w:val="21"/>
          <w:szCs w:val="21"/>
        </w:rPr>
        <w:t xml:space="preserve">lma </w:t>
      </w:r>
      <w:r>
        <w:rPr>
          <w:rFonts w:ascii="Abadi" w:hAnsi="Abadi"/>
          <w:sz w:val="21"/>
          <w:szCs w:val="21"/>
        </w:rPr>
        <w:t>E</w:t>
      </w:r>
      <w:r w:rsidRPr="0030088F">
        <w:rPr>
          <w:rFonts w:ascii="Abadi" w:hAnsi="Abadi"/>
          <w:sz w:val="21"/>
          <w:szCs w:val="21"/>
        </w:rPr>
        <w:t>dw</w:t>
      </w:r>
      <w:r>
        <w:rPr>
          <w:rFonts w:ascii="Abadi" w:hAnsi="Abadi"/>
          <w:sz w:val="21"/>
          <w:szCs w:val="21"/>
        </w:rPr>
        <w:t>v</w:t>
      </w:r>
      <w:r w:rsidRPr="0030088F">
        <w:rPr>
          <w:rFonts w:ascii="Abadi" w:hAnsi="Abadi"/>
          <w:sz w:val="21"/>
          <w:szCs w:val="21"/>
        </w:rPr>
        <w:t>iges Alcaraz Hernández</w:t>
      </w:r>
      <w:r>
        <w:rPr>
          <w:rFonts w:ascii="Abadi" w:hAnsi="Abadi"/>
          <w:sz w:val="21"/>
          <w:szCs w:val="21"/>
        </w:rPr>
        <w:t>,</w:t>
      </w:r>
      <w:r w:rsidRPr="0030088F">
        <w:rPr>
          <w:rFonts w:ascii="Abadi" w:hAnsi="Abadi"/>
          <w:sz w:val="21"/>
          <w:szCs w:val="21"/>
        </w:rPr>
        <w:t xml:space="preserve"> Yulma </w:t>
      </w:r>
      <w:r>
        <w:rPr>
          <w:rFonts w:ascii="Abadi" w:hAnsi="Abadi"/>
          <w:sz w:val="21"/>
          <w:szCs w:val="21"/>
        </w:rPr>
        <w:t>R</w:t>
      </w:r>
      <w:r w:rsidRPr="0030088F">
        <w:rPr>
          <w:rFonts w:ascii="Abadi" w:hAnsi="Abadi"/>
          <w:sz w:val="21"/>
          <w:szCs w:val="21"/>
        </w:rPr>
        <w:t xml:space="preserve">ocha </w:t>
      </w:r>
      <w:r>
        <w:rPr>
          <w:rFonts w:ascii="Abadi" w:hAnsi="Abadi"/>
          <w:sz w:val="21"/>
          <w:szCs w:val="21"/>
        </w:rPr>
        <w:t>A</w:t>
      </w:r>
      <w:r w:rsidRPr="0030088F">
        <w:rPr>
          <w:rFonts w:ascii="Abadi" w:hAnsi="Abadi"/>
          <w:sz w:val="21"/>
          <w:szCs w:val="21"/>
        </w:rPr>
        <w:t>guilar</w:t>
      </w:r>
      <w:r>
        <w:rPr>
          <w:rFonts w:ascii="Abadi" w:hAnsi="Abadi"/>
          <w:sz w:val="21"/>
          <w:szCs w:val="21"/>
        </w:rPr>
        <w:t>,</w:t>
      </w:r>
      <w:r w:rsidRPr="0030088F">
        <w:rPr>
          <w:rFonts w:ascii="Abadi" w:hAnsi="Abadi"/>
          <w:sz w:val="21"/>
          <w:szCs w:val="21"/>
        </w:rPr>
        <w:t xml:space="preserve"> Martha Lourdes </w:t>
      </w:r>
      <w:r>
        <w:rPr>
          <w:rFonts w:ascii="Abadi" w:hAnsi="Abadi"/>
          <w:sz w:val="21"/>
          <w:szCs w:val="21"/>
        </w:rPr>
        <w:t>O</w:t>
      </w:r>
      <w:r w:rsidRPr="0030088F">
        <w:rPr>
          <w:rFonts w:ascii="Abadi" w:hAnsi="Abadi"/>
          <w:sz w:val="21"/>
          <w:szCs w:val="21"/>
        </w:rPr>
        <w:t xml:space="preserve">rtega </w:t>
      </w:r>
      <w:r>
        <w:rPr>
          <w:rFonts w:ascii="Abadi" w:hAnsi="Abadi"/>
          <w:sz w:val="21"/>
          <w:szCs w:val="21"/>
        </w:rPr>
        <w:t>R</w:t>
      </w:r>
      <w:r w:rsidRPr="0030088F">
        <w:rPr>
          <w:rFonts w:ascii="Abadi" w:hAnsi="Abadi"/>
          <w:sz w:val="21"/>
          <w:szCs w:val="21"/>
        </w:rPr>
        <w:t>oque</w:t>
      </w:r>
      <w:r>
        <w:rPr>
          <w:rFonts w:ascii="Abadi" w:hAnsi="Abadi"/>
          <w:sz w:val="21"/>
          <w:szCs w:val="21"/>
        </w:rPr>
        <w:t>,</w:t>
      </w:r>
      <w:r w:rsidRPr="0030088F">
        <w:rPr>
          <w:rFonts w:ascii="Abadi" w:hAnsi="Abadi"/>
          <w:sz w:val="21"/>
          <w:szCs w:val="21"/>
        </w:rPr>
        <w:t xml:space="preserve"> </w:t>
      </w:r>
      <w:r>
        <w:rPr>
          <w:rFonts w:ascii="Abadi" w:hAnsi="Abadi"/>
          <w:sz w:val="21"/>
          <w:szCs w:val="21"/>
        </w:rPr>
        <w:t>D</w:t>
      </w:r>
      <w:r w:rsidRPr="0030088F">
        <w:rPr>
          <w:rFonts w:ascii="Abadi" w:hAnsi="Abadi"/>
          <w:sz w:val="21"/>
          <w:szCs w:val="21"/>
        </w:rPr>
        <w:t>es</w:t>
      </w:r>
      <w:r>
        <w:rPr>
          <w:rFonts w:ascii="Abadi" w:hAnsi="Abadi"/>
          <w:sz w:val="21"/>
          <w:szCs w:val="21"/>
        </w:rPr>
        <w:t>s</w:t>
      </w:r>
      <w:r w:rsidRPr="0030088F">
        <w:rPr>
          <w:rFonts w:ascii="Abadi" w:hAnsi="Abadi"/>
          <w:sz w:val="21"/>
          <w:szCs w:val="21"/>
        </w:rPr>
        <w:t>ir</w:t>
      </w:r>
      <w:r>
        <w:rPr>
          <w:rFonts w:ascii="Abadi" w:hAnsi="Abadi"/>
          <w:sz w:val="21"/>
          <w:szCs w:val="21"/>
        </w:rPr>
        <w:t>e</w:t>
      </w:r>
      <w:r w:rsidRPr="0030088F">
        <w:rPr>
          <w:rFonts w:ascii="Abadi" w:hAnsi="Abadi"/>
          <w:sz w:val="21"/>
          <w:szCs w:val="21"/>
        </w:rPr>
        <w:t xml:space="preserve"> </w:t>
      </w:r>
      <w:proofErr w:type="spellStart"/>
      <w:r>
        <w:rPr>
          <w:rFonts w:ascii="Abadi" w:hAnsi="Abadi"/>
          <w:sz w:val="21"/>
          <w:szCs w:val="21"/>
        </w:rPr>
        <w:t>A</w:t>
      </w:r>
      <w:r w:rsidRPr="0030088F">
        <w:rPr>
          <w:rFonts w:ascii="Abadi" w:hAnsi="Abadi"/>
          <w:sz w:val="21"/>
          <w:szCs w:val="21"/>
        </w:rPr>
        <w:t>ngel</w:t>
      </w:r>
      <w:proofErr w:type="spellEnd"/>
      <w:r w:rsidRPr="0030088F">
        <w:rPr>
          <w:rFonts w:ascii="Abadi" w:hAnsi="Abadi"/>
          <w:sz w:val="21"/>
          <w:szCs w:val="21"/>
        </w:rPr>
        <w:t xml:space="preserve"> </w:t>
      </w:r>
      <w:r>
        <w:rPr>
          <w:rFonts w:ascii="Abadi" w:hAnsi="Abadi"/>
          <w:sz w:val="21"/>
          <w:szCs w:val="21"/>
        </w:rPr>
        <w:t>R</w:t>
      </w:r>
      <w:r w:rsidRPr="0030088F">
        <w:rPr>
          <w:rFonts w:ascii="Abadi" w:hAnsi="Abadi"/>
          <w:sz w:val="21"/>
          <w:szCs w:val="21"/>
        </w:rPr>
        <w:t>ocha</w:t>
      </w:r>
      <w:r>
        <w:rPr>
          <w:rFonts w:ascii="Abadi" w:hAnsi="Abadi"/>
          <w:sz w:val="21"/>
          <w:szCs w:val="21"/>
        </w:rPr>
        <w:t>,</w:t>
      </w:r>
      <w:r w:rsidRPr="0030088F">
        <w:rPr>
          <w:rFonts w:ascii="Abadi" w:hAnsi="Abadi"/>
          <w:sz w:val="21"/>
          <w:szCs w:val="21"/>
        </w:rPr>
        <w:t xml:space="preserve"> </w:t>
      </w:r>
      <w:r>
        <w:rPr>
          <w:rFonts w:ascii="Abadi" w:hAnsi="Abadi"/>
          <w:sz w:val="21"/>
          <w:szCs w:val="21"/>
        </w:rPr>
        <w:t>H</w:t>
      </w:r>
      <w:r w:rsidRPr="0030088F">
        <w:rPr>
          <w:rFonts w:ascii="Abadi" w:hAnsi="Abadi"/>
          <w:sz w:val="21"/>
          <w:szCs w:val="21"/>
        </w:rPr>
        <w:t xml:space="preserve">ades </w:t>
      </w:r>
      <w:r>
        <w:rPr>
          <w:rFonts w:ascii="Abadi" w:hAnsi="Abadi"/>
          <w:sz w:val="21"/>
          <w:szCs w:val="21"/>
        </w:rPr>
        <w:t>B</w:t>
      </w:r>
      <w:r w:rsidRPr="0030088F">
        <w:rPr>
          <w:rFonts w:ascii="Abadi" w:hAnsi="Abadi"/>
          <w:sz w:val="21"/>
          <w:szCs w:val="21"/>
        </w:rPr>
        <w:t xml:space="preserve">erenice </w:t>
      </w:r>
      <w:r>
        <w:rPr>
          <w:rFonts w:ascii="Abadi" w:hAnsi="Abadi"/>
          <w:sz w:val="21"/>
          <w:szCs w:val="21"/>
        </w:rPr>
        <w:t>A</w:t>
      </w:r>
      <w:r w:rsidRPr="0030088F">
        <w:rPr>
          <w:rFonts w:ascii="Abadi" w:hAnsi="Abadi"/>
          <w:sz w:val="21"/>
          <w:szCs w:val="21"/>
        </w:rPr>
        <w:t xml:space="preserve">guilar </w:t>
      </w:r>
      <w:r>
        <w:rPr>
          <w:rFonts w:ascii="Abadi" w:hAnsi="Abadi"/>
          <w:sz w:val="21"/>
          <w:szCs w:val="21"/>
        </w:rPr>
        <w:t>C</w:t>
      </w:r>
      <w:r w:rsidRPr="0030088F">
        <w:rPr>
          <w:rFonts w:ascii="Abadi" w:hAnsi="Abadi"/>
          <w:sz w:val="21"/>
          <w:szCs w:val="21"/>
        </w:rPr>
        <w:t>astillo</w:t>
      </w:r>
      <w:r>
        <w:rPr>
          <w:rFonts w:ascii="Abadi" w:hAnsi="Abadi"/>
          <w:sz w:val="21"/>
          <w:szCs w:val="21"/>
        </w:rPr>
        <w:t>,</w:t>
      </w:r>
      <w:r w:rsidRPr="0030088F">
        <w:rPr>
          <w:rFonts w:ascii="Abadi" w:hAnsi="Abadi"/>
          <w:sz w:val="21"/>
          <w:szCs w:val="21"/>
        </w:rPr>
        <w:t xml:space="preserve"> Laura Cristina Márquez Alcalá</w:t>
      </w:r>
      <w:r>
        <w:rPr>
          <w:rFonts w:ascii="Abadi" w:hAnsi="Abadi"/>
          <w:sz w:val="21"/>
          <w:szCs w:val="21"/>
        </w:rPr>
        <w:t>,</w:t>
      </w:r>
      <w:r w:rsidRPr="0030088F">
        <w:rPr>
          <w:rFonts w:ascii="Abadi" w:hAnsi="Abadi"/>
          <w:sz w:val="21"/>
          <w:szCs w:val="21"/>
        </w:rPr>
        <w:t xml:space="preserve"> Briseida </w:t>
      </w:r>
      <w:r>
        <w:rPr>
          <w:rFonts w:ascii="Abadi" w:hAnsi="Abadi"/>
          <w:sz w:val="21"/>
          <w:szCs w:val="21"/>
        </w:rPr>
        <w:t>A</w:t>
      </w:r>
      <w:r w:rsidRPr="0030088F">
        <w:rPr>
          <w:rFonts w:ascii="Abadi" w:hAnsi="Abadi"/>
          <w:sz w:val="21"/>
          <w:szCs w:val="21"/>
        </w:rPr>
        <w:t xml:space="preserve">nabel Magdaleno </w:t>
      </w:r>
      <w:r>
        <w:rPr>
          <w:rFonts w:ascii="Abadi" w:hAnsi="Abadi"/>
          <w:sz w:val="21"/>
          <w:szCs w:val="21"/>
        </w:rPr>
        <w:t>G</w:t>
      </w:r>
      <w:r w:rsidRPr="0030088F">
        <w:rPr>
          <w:rFonts w:ascii="Abadi" w:hAnsi="Abadi"/>
          <w:sz w:val="21"/>
          <w:szCs w:val="21"/>
        </w:rPr>
        <w:t>onzález</w:t>
      </w:r>
      <w:r>
        <w:rPr>
          <w:rFonts w:ascii="Abadi" w:hAnsi="Abadi"/>
          <w:sz w:val="21"/>
          <w:szCs w:val="21"/>
        </w:rPr>
        <w:t>,</w:t>
      </w:r>
      <w:r w:rsidRPr="0030088F">
        <w:rPr>
          <w:rFonts w:ascii="Abadi" w:hAnsi="Abadi"/>
          <w:sz w:val="21"/>
          <w:szCs w:val="21"/>
        </w:rPr>
        <w:t xml:space="preserve"> así como a los diputados David Martínez Mendizábal</w:t>
      </w:r>
      <w:r>
        <w:rPr>
          <w:rFonts w:ascii="Abadi" w:hAnsi="Abadi"/>
          <w:sz w:val="21"/>
          <w:szCs w:val="21"/>
        </w:rPr>
        <w:t>,</w:t>
      </w:r>
      <w:r w:rsidRPr="0030088F">
        <w:rPr>
          <w:rFonts w:ascii="Abadi" w:hAnsi="Abadi"/>
          <w:sz w:val="21"/>
          <w:szCs w:val="21"/>
        </w:rPr>
        <w:t xml:space="preserve"> Gerardo Fernández González y </w:t>
      </w:r>
      <w:r>
        <w:rPr>
          <w:rFonts w:ascii="Abadi" w:hAnsi="Abadi"/>
          <w:sz w:val="21"/>
          <w:szCs w:val="21"/>
        </w:rPr>
        <w:t>R</w:t>
      </w:r>
      <w:r w:rsidRPr="0030088F">
        <w:rPr>
          <w:rFonts w:ascii="Abadi" w:hAnsi="Abadi"/>
          <w:sz w:val="21"/>
          <w:szCs w:val="21"/>
        </w:rPr>
        <w:t xml:space="preserve">olando Fortino </w:t>
      </w:r>
      <w:r>
        <w:rPr>
          <w:rFonts w:ascii="Abadi" w:hAnsi="Abadi"/>
          <w:sz w:val="21"/>
          <w:szCs w:val="21"/>
        </w:rPr>
        <w:t>A</w:t>
      </w:r>
      <w:r w:rsidRPr="0030088F">
        <w:rPr>
          <w:rFonts w:ascii="Abadi" w:hAnsi="Abadi"/>
          <w:sz w:val="21"/>
          <w:szCs w:val="21"/>
        </w:rPr>
        <w:t xml:space="preserve">lcántara </w:t>
      </w:r>
      <w:r>
        <w:rPr>
          <w:rFonts w:ascii="Abadi" w:hAnsi="Abadi"/>
          <w:sz w:val="21"/>
          <w:szCs w:val="21"/>
        </w:rPr>
        <w:t>R</w:t>
      </w:r>
      <w:r w:rsidRPr="0030088F">
        <w:rPr>
          <w:rFonts w:ascii="Abadi" w:hAnsi="Abadi"/>
          <w:sz w:val="21"/>
          <w:szCs w:val="21"/>
        </w:rPr>
        <w:t>ojas</w:t>
      </w:r>
      <w:r>
        <w:rPr>
          <w:rFonts w:ascii="Abadi" w:hAnsi="Abadi"/>
          <w:sz w:val="21"/>
          <w:szCs w:val="21"/>
        </w:rPr>
        <w:t>,</w:t>
      </w:r>
      <w:r w:rsidRPr="0030088F">
        <w:rPr>
          <w:rFonts w:ascii="Abadi" w:hAnsi="Abadi"/>
          <w:sz w:val="21"/>
          <w:szCs w:val="21"/>
        </w:rPr>
        <w:t xml:space="preserve"> pues ejercieron su facultad de iniciantes con una visión propositiva y con una finalidad común </w:t>
      </w:r>
      <w:r w:rsidRPr="0030088F">
        <w:rPr>
          <w:rFonts w:ascii="Abadi" w:hAnsi="Abadi"/>
          <w:sz w:val="21"/>
          <w:szCs w:val="21"/>
        </w:rPr>
        <w:t xml:space="preserve">que es continuar sumando normas que impidan que se siga generando violencia de género y cuidar el bien superior de las y los niños hoy con su voto a favor nos permitirá ser de los primeros estados de la república que armonizan la reforma a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P</w:t>
      </w:r>
      <w:r w:rsidRPr="0030088F">
        <w:rPr>
          <w:rFonts w:ascii="Abadi" w:hAnsi="Abadi"/>
          <w:sz w:val="21"/>
          <w:szCs w:val="21"/>
        </w:rPr>
        <w:t>olítica de los Estados Unidos Mexicanos</w:t>
      </w:r>
      <w:r>
        <w:rPr>
          <w:rFonts w:ascii="Abadi" w:hAnsi="Abadi"/>
          <w:sz w:val="21"/>
          <w:szCs w:val="21"/>
        </w:rPr>
        <w:t>,</w:t>
      </w:r>
      <w:r w:rsidRPr="0030088F">
        <w:rPr>
          <w:rFonts w:ascii="Abadi" w:hAnsi="Abadi"/>
          <w:sz w:val="21"/>
          <w:szCs w:val="21"/>
        </w:rPr>
        <w:t xml:space="preserve"> en materia de suspensión de derechos para ocupar cargo empleo o comisión en el servicio público por tener sentencia firme por la comisión inte</w:t>
      </w:r>
      <w:r>
        <w:rPr>
          <w:rFonts w:ascii="Abadi" w:hAnsi="Abadi"/>
          <w:sz w:val="21"/>
          <w:szCs w:val="21"/>
        </w:rPr>
        <w:t>ncional</w:t>
      </w:r>
      <w:r w:rsidRPr="0030088F">
        <w:rPr>
          <w:rFonts w:ascii="Abadi" w:hAnsi="Abadi"/>
          <w:sz w:val="21"/>
          <w:szCs w:val="21"/>
        </w:rPr>
        <w:t xml:space="preserve"> de delitos contra la vida y la integridad corporal contra la libertad y seguridad sexuales el normal desarrollo psicosexual por violencia familiar</w:t>
      </w:r>
      <w:r>
        <w:rPr>
          <w:rFonts w:ascii="Abadi" w:hAnsi="Abadi"/>
          <w:sz w:val="21"/>
          <w:szCs w:val="21"/>
        </w:rPr>
        <w:t>,</w:t>
      </w:r>
      <w:r w:rsidRPr="0030088F">
        <w:rPr>
          <w:rFonts w:ascii="Abadi" w:hAnsi="Abadi"/>
          <w:sz w:val="21"/>
          <w:szCs w:val="21"/>
        </w:rPr>
        <w:t xml:space="preserve"> por violencia familiar equiparada o doméstica</w:t>
      </w:r>
      <w:r>
        <w:rPr>
          <w:rFonts w:ascii="Abadi" w:hAnsi="Abadi"/>
          <w:sz w:val="21"/>
          <w:szCs w:val="21"/>
        </w:rPr>
        <w:t>,</w:t>
      </w:r>
      <w:r w:rsidRPr="0030088F">
        <w:rPr>
          <w:rFonts w:ascii="Abadi" w:hAnsi="Abadi"/>
          <w:sz w:val="21"/>
          <w:szCs w:val="21"/>
        </w:rPr>
        <w:t xml:space="preserve"> violación a la intimidad sexual</w:t>
      </w:r>
      <w:r>
        <w:rPr>
          <w:rFonts w:ascii="Abadi" w:hAnsi="Abadi"/>
          <w:sz w:val="21"/>
          <w:szCs w:val="21"/>
        </w:rPr>
        <w:t>,</w:t>
      </w:r>
      <w:r w:rsidRPr="0030088F">
        <w:rPr>
          <w:rFonts w:ascii="Abadi" w:hAnsi="Abadi"/>
          <w:sz w:val="21"/>
          <w:szCs w:val="21"/>
        </w:rPr>
        <w:t xml:space="preserve"> por violencia política contra las mujeres en razón de género</w:t>
      </w:r>
      <w:r>
        <w:rPr>
          <w:rFonts w:ascii="Abadi" w:hAnsi="Abadi"/>
          <w:sz w:val="21"/>
          <w:szCs w:val="21"/>
        </w:rPr>
        <w:t>,</w:t>
      </w:r>
      <w:r w:rsidRPr="0030088F">
        <w:rPr>
          <w:rFonts w:ascii="Abadi" w:hAnsi="Abadi"/>
          <w:sz w:val="21"/>
          <w:szCs w:val="21"/>
        </w:rPr>
        <w:t xml:space="preserve"> en cualquiera de sus modalidades y tipos</w:t>
      </w:r>
      <w:r>
        <w:rPr>
          <w:rFonts w:ascii="Abadi" w:hAnsi="Abadi"/>
          <w:sz w:val="21"/>
          <w:szCs w:val="21"/>
        </w:rPr>
        <w:t>,</w:t>
      </w:r>
      <w:r w:rsidRPr="0030088F">
        <w:rPr>
          <w:rFonts w:ascii="Abadi" w:hAnsi="Abadi"/>
          <w:sz w:val="21"/>
          <w:szCs w:val="21"/>
        </w:rPr>
        <w:t xml:space="preserve"> y por ser declarada como persona deudora alimentaria amorosa</w:t>
      </w:r>
      <w:r>
        <w:rPr>
          <w:rFonts w:ascii="Abadi" w:hAnsi="Abadi"/>
          <w:sz w:val="21"/>
          <w:szCs w:val="21"/>
        </w:rPr>
        <w:t>.</w:t>
      </w:r>
    </w:p>
    <w:p w14:paraId="2312918D" w14:textId="77777777" w:rsidR="006F10E0" w:rsidRDefault="006F10E0" w:rsidP="006F10E0">
      <w:pPr>
        <w:jc w:val="both"/>
        <w:rPr>
          <w:rFonts w:ascii="Abadi" w:hAnsi="Abadi"/>
          <w:sz w:val="21"/>
          <w:szCs w:val="21"/>
        </w:rPr>
      </w:pPr>
    </w:p>
    <w:p w14:paraId="78E80BC1" w14:textId="77777777" w:rsidR="006F10E0" w:rsidRDefault="006F10E0" w:rsidP="006F10E0">
      <w:pPr>
        <w:jc w:val="both"/>
        <w:rPr>
          <w:rFonts w:ascii="Abadi" w:hAnsi="Abadi"/>
          <w:sz w:val="21"/>
          <w:szCs w:val="21"/>
        </w:rPr>
      </w:pPr>
      <w:r>
        <w:rPr>
          <w:rFonts w:ascii="Abadi" w:hAnsi="Abadi"/>
          <w:sz w:val="21"/>
          <w:szCs w:val="21"/>
        </w:rPr>
        <w:t>- P</w:t>
      </w:r>
      <w:r w:rsidRPr="0030088F">
        <w:rPr>
          <w:rFonts w:ascii="Abadi" w:hAnsi="Abadi"/>
          <w:sz w:val="21"/>
          <w:szCs w:val="21"/>
        </w:rPr>
        <w:t>ara que esto se dé una vez aprobado por este pleno inicia para que el inicie el procedimiento del constituyente permanente por los 46 municipios de nuestro estado</w:t>
      </w:r>
      <w:r>
        <w:rPr>
          <w:rFonts w:ascii="Abadi" w:hAnsi="Abadi"/>
          <w:sz w:val="21"/>
          <w:szCs w:val="21"/>
        </w:rPr>
        <w:t>,</w:t>
      </w:r>
      <w:r w:rsidRPr="0030088F">
        <w:rPr>
          <w:rFonts w:ascii="Abadi" w:hAnsi="Abadi"/>
          <w:sz w:val="21"/>
          <w:szCs w:val="21"/>
        </w:rPr>
        <w:t xml:space="preserve"> por lo que</w:t>
      </w:r>
      <w:r>
        <w:rPr>
          <w:rFonts w:ascii="Abadi" w:hAnsi="Abadi"/>
          <w:sz w:val="21"/>
          <w:szCs w:val="21"/>
        </w:rPr>
        <w:t>,</w:t>
      </w:r>
      <w:r w:rsidRPr="0030088F">
        <w:rPr>
          <w:rFonts w:ascii="Abadi" w:hAnsi="Abadi"/>
          <w:sz w:val="21"/>
          <w:szCs w:val="21"/>
        </w:rPr>
        <w:t xml:space="preserve"> con estricto respeto al municipio libre les hago un llamado desde esta tribuna para que sesionen lo más pronto posible</w:t>
      </w:r>
      <w:r>
        <w:rPr>
          <w:rFonts w:ascii="Abadi" w:hAnsi="Abadi"/>
          <w:sz w:val="21"/>
          <w:szCs w:val="21"/>
        </w:rPr>
        <w:t>,</w:t>
      </w:r>
      <w:r w:rsidRPr="0030088F">
        <w:rPr>
          <w:rFonts w:ascii="Abadi" w:hAnsi="Abadi"/>
          <w:sz w:val="21"/>
          <w:szCs w:val="21"/>
        </w:rPr>
        <w:t xml:space="preserve"> para que una vez que analicen la minuta</w:t>
      </w:r>
      <w:r>
        <w:rPr>
          <w:rFonts w:ascii="Abadi" w:hAnsi="Abadi"/>
          <w:sz w:val="21"/>
          <w:szCs w:val="21"/>
        </w:rPr>
        <w:t>,</w:t>
      </w:r>
      <w:r w:rsidRPr="0030088F">
        <w:rPr>
          <w:rFonts w:ascii="Abadi" w:hAnsi="Abadi"/>
          <w:sz w:val="21"/>
          <w:szCs w:val="21"/>
        </w:rPr>
        <w:t xml:space="preserve"> puedan aprobarlo</w:t>
      </w:r>
      <w:r>
        <w:rPr>
          <w:rFonts w:ascii="Abadi" w:hAnsi="Abadi"/>
          <w:sz w:val="21"/>
          <w:szCs w:val="21"/>
        </w:rPr>
        <w:t>,</w:t>
      </w:r>
      <w:r w:rsidRPr="0030088F">
        <w:rPr>
          <w:rFonts w:ascii="Abadi" w:hAnsi="Abadi"/>
          <w:sz w:val="21"/>
          <w:szCs w:val="21"/>
        </w:rPr>
        <w:t xml:space="preserve"> y opere el constituyente permanente y se pueda realizar la declaratoria correspondiente</w:t>
      </w:r>
      <w:r>
        <w:rPr>
          <w:rFonts w:ascii="Abadi" w:hAnsi="Abadi"/>
          <w:sz w:val="21"/>
          <w:szCs w:val="21"/>
        </w:rPr>
        <w:t>,</w:t>
      </w:r>
      <w:r w:rsidRPr="0030088F">
        <w:rPr>
          <w:rFonts w:ascii="Abadi" w:hAnsi="Abadi"/>
          <w:sz w:val="21"/>
          <w:szCs w:val="21"/>
        </w:rPr>
        <w:t xml:space="preserve"> además de incorporar como requisito de elegibilidad que no puedan ser electas las personas que hayan tenido resolución firme por infracción que constituya violencia política contra las mujeres en razón de género</w:t>
      </w:r>
      <w:r>
        <w:rPr>
          <w:rFonts w:ascii="Abadi" w:hAnsi="Abadi"/>
          <w:sz w:val="21"/>
          <w:szCs w:val="21"/>
        </w:rPr>
        <w:t>,</w:t>
      </w:r>
      <w:r w:rsidRPr="0030088F">
        <w:rPr>
          <w:rFonts w:ascii="Abadi" w:hAnsi="Abadi"/>
          <w:sz w:val="21"/>
          <w:szCs w:val="21"/>
        </w:rPr>
        <w:t xml:space="preserve"> emitidas por los órganos jurisdiccionales en materia electoral</w:t>
      </w:r>
      <w:r>
        <w:rPr>
          <w:rFonts w:ascii="Abadi" w:hAnsi="Abadi"/>
          <w:sz w:val="21"/>
          <w:szCs w:val="21"/>
        </w:rPr>
        <w:t>,</w:t>
      </w:r>
      <w:r w:rsidRPr="0030088F">
        <w:rPr>
          <w:rFonts w:ascii="Abadi" w:hAnsi="Abadi"/>
          <w:sz w:val="21"/>
          <w:szCs w:val="21"/>
        </w:rPr>
        <w:t xml:space="preserve"> en tanto se extingue la sanción impuesta</w:t>
      </w:r>
      <w:r>
        <w:rPr>
          <w:rFonts w:ascii="Abadi" w:hAnsi="Abadi"/>
          <w:sz w:val="21"/>
          <w:szCs w:val="21"/>
        </w:rPr>
        <w:t>,</w:t>
      </w:r>
      <w:r w:rsidRPr="0030088F">
        <w:rPr>
          <w:rFonts w:ascii="Abadi" w:hAnsi="Abadi"/>
          <w:sz w:val="21"/>
          <w:szCs w:val="21"/>
        </w:rPr>
        <w:t xml:space="preserve"> si bien no es lo ideal</w:t>
      </w:r>
      <w:r>
        <w:rPr>
          <w:rFonts w:ascii="Abadi" w:hAnsi="Abadi"/>
          <w:sz w:val="21"/>
          <w:szCs w:val="21"/>
        </w:rPr>
        <w:t>,</w:t>
      </w:r>
      <w:r w:rsidRPr="0030088F">
        <w:rPr>
          <w:rFonts w:ascii="Abadi" w:hAnsi="Abadi"/>
          <w:sz w:val="21"/>
          <w:szCs w:val="21"/>
        </w:rPr>
        <w:t xml:space="preserve"> es lo constitucionalmente posible</w:t>
      </w:r>
      <w:r>
        <w:rPr>
          <w:rFonts w:ascii="Abadi" w:hAnsi="Abadi"/>
          <w:sz w:val="21"/>
          <w:szCs w:val="21"/>
        </w:rPr>
        <w:t>,</w:t>
      </w:r>
      <w:r w:rsidRPr="0030088F">
        <w:rPr>
          <w:rFonts w:ascii="Abadi" w:hAnsi="Abadi"/>
          <w:sz w:val="21"/>
          <w:szCs w:val="21"/>
        </w:rPr>
        <w:t xml:space="preserve"> pues la intención originaria de la comisión era establecer un régimen temporal para que se acreditara y que conductualmente las personas declaradas violentas ya no presentaran esas conductas</w:t>
      </w:r>
      <w:r>
        <w:rPr>
          <w:rFonts w:ascii="Abadi" w:hAnsi="Abadi"/>
          <w:sz w:val="21"/>
          <w:szCs w:val="21"/>
        </w:rPr>
        <w:t>,</w:t>
      </w:r>
      <w:r w:rsidRPr="0030088F">
        <w:rPr>
          <w:rFonts w:ascii="Abadi" w:hAnsi="Abadi"/>
          <w:sz w:val="21"/>
          <w:szCs w:val="21"/>
        </w:rPr>
        <w:t xml:space="preserve"> pero volviendo al tema del dictamen</w:t>
      </w:r>
      <w:r>
        <w:rPr>
          <w:rFonts w:ascii="Abadi" w:hAnsi="Abadi"/>
          <w:sz w:val="21"/>
          <w:szCs w:val="21"/>
        </w:rPr>
        <w:t>,</w:t>
      </w:r>
      <w:r w:rsidRPr="0030088F">
        <w:rPr>
          <w:rFonts w:ascii="Abadi" w:hAnsi="Abadi"/>
          <w:sz w:val="21"/>
          <w:szCs w:val="21"/>
        </w:rPr>
        <w:t xml:space="preserve"> con el decreto que hoy se pone a consideración de ustedes se cumple a cabalidad la armonización de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P</w:t>
      </w:r>
      <w:r w:rsidRPr="0030088F">
        <w:rPr>
          <w:rFonts w:ascii="Abadi" w:hAnsi="Abadi"/>
          <w:sz w:val="21"/>
          <w:szCs w:val="21"/>
        </w:rPr>
        <w:t xml:space="preserve">olítica para el </w:t>
      </w:r>
      <w:r>
        <w:rPr>
          <w:rFonts w:ascii="Abadi" w:hAnsi="Abadi"/>
          <w:sz w:val="21"/>
          <w:szCs w:val="21"/>
        </w:rPr>
        <w:t>E</w:t>
      </w:r>
      <w:r w:rsidRPr="0030088F">
        <w:rPr>
          <w:rFonts w:ascii="Abadi" w:hAnsi="Abadi"/>
          <w:sz w:val="21"/>
          <w:szCs w:val="21"/>
        </w:rPr>
        <w:t>stado de Guanajuato</w:t>
      </w:r>
      <w:r>
        <w:rPr>
          <w:rFonts w:ascii="Abadi" w:hAnsi="Abadi"/>
          <w:sz w:val="21"/>
          <w:szCs w:val="21"/>
        </w:rPr>
        <w:t xml:space="preserve">, </w:t>
      </w:r>
      <w:r w:rsidRPr="0030088F">
        <w:rPr>
          <w:rFonts w:ascii="Abadi" w:hAnsi="Abadi"/>
          <w:sz w:val="21"/>
          <w:szCs w:val="21"/>
        </w:rPr>
        <w:t xml:space="preserve">a la reforma del artículo 38 de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F</w:t>
      </w:r>
      <w:r w:rsidRPr="0030088F">
        <w:rPr>
          <w:rFonts w:ascii="Abadi" w:hAnsi="Abadi"/>
          <w:sz w:val="21"/>
          <w:szCs w:val="21"/>
        </w:rPr>
        <w:t>ederal sin tener que agotar los 180 días</w:t>
      </w:r>
      <w:r>
        <w:rPr>
          <w:rFonts w:ascii="Abadi" w:hAnsi="Abadi"/>
          <w:sz w:val="21"/>
          <w:szCs w:val="21"/>
        </w:rPr>
        <w:t>,</w:t>
      </w:r>
      <w:r w:rsidRPr="0030088F">
        <w:rPr>
          <w:rFonts w:ascii="Abadi" w:hAnsi="Abadi"/>
          <w:sz w:val="21"/>
          <w:szCs w:val="21"/>
        </w:rPr>
        <w:t xml:space="preserve"> la violencia contra las mujeres constituye en nuestro país </w:t>
      </w:r>
      <w:r>
        <w:rPr>
          <w:rFonts w:ascii="Abadi" w:hAnsi="Abadi"/>
          <w:sz w:val="21"/>
          <w:szCs w:val="21"/>
        </w:rPr>
        <w:t>u</w:t>
      </w:r>
      <w:r w:rsidRPr="0030088F">
        <w:rPr>
          <w:rFonts w:ascii="Abadi" w:hAnsi="Abadi"/>
          <w:sz w:val="21"/>
          <w:szCs w:val="21"/>
        </w:rPr>
        <w:t>n problema social importante y los datos actuales nos indican que las medidas adoptadas por el sistema jurídico local</w:t>
      </w:r>
      <w:r>
        <w:rPr>
          <w:rFonts w:ascii="Abadi" w:hAnsi="Abadi"/>
          <w:sz w:val="21"/>
          <w:szCs w:val="21"/>
        </w:rPr>
        <w:t>,</w:t>
      </w:r>
      <w:r w:rsidRPr="0030088F">
        <w:rPr>
          <w:rFonts w:ascii="Abadi" w:hAnsi="Abadi"/>
          <w:sz w:val="21"/>
          <w:szCs w:val="21"/>
        </w:rPr>
        <w:t xml:space="preserve"> si bien hoy damos un gran paso son insuficientes</w:t>
      </w:r>
      <w:r>
        <w:rPr>
          <w:rFonts w:ascii="Abadi" w:hAnsi="Abadi"/>
          <w:sz w:val="21"/>
          <w:szCs w:val="21"/>
        </w:rPr>
        <w:t>,</w:t>
      </w:r>
      <w:r w:rsidRPr="0030088F">
        <w:rPr>
          <w:rFonts w:ascii="Abadi" w:hAnsi="Abadi"/>
          <w:sz w:val="21"/>
          <w:szCs w:val="21"/>
        </w:rPr>
        <w:t xml:space="preserve"> </w:t>
      </w:r>
      <w:r w:rsidRPr="0030088F">
        <w:rPr>
          <w:rFonts w:ascii="Abadi" w:hAnsi="Abadi"/>
          <w:sz w:val="21"/>
          <w:szCs w:val="21"/>
        </w:rPr>
        <w:lastRenderedPageBreak/>
        <w:t>esta legislatura se ha distinguido por abordar dicho fenómeno en diferentes normas</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diputadas y diputados considero que son diversos los factores que contribuyen a la emergencia de este hecho</w:t>
      </w:r>
      <w:r>
        <w:rPr>
          <w:rFonts w:ascii="Abadi" w:hAnsi="Abadi"/>
          <w:sz w:val="21"/>
          <w:szCs w:val="21"/>
        </w:rPr>
        <w:t>,</w:t>
      </w:r>
      <w:r w:rsidRPr="0030088F">
        <w:rPr>
          <w:rFonts w:ascii="Abadi" w:hAnsi="Abadi"/>
          <w:sz w:val="21"/>
          <w:szCs w:val="21"/>
        </w:rPr>
        <w:t xml:space="preserve"> en ocasiones se tiende a justificar la violencia contra la mujer apelando a posibles desequilibrios mentales del agresor</w:t>
      </w:r>
      <w:r>
        <w:rPr>
          <w:rFonts w:ascii="Abadi" w:hAnsi="Abadi"/>
          <w:sz w:val="21"/>
          <w:szCs w:val="21"/>
        </w:rPr>
        <w:t>,</w:t>
      </w:r>
      <w:r w:rsidRPr="0030088F">
        <w:rPr>
          <w:rFonts w:ascii="Abadi" w:hAnsi="Abadi"/>
          <w:sz w:val="21"/>
          <w:szCs w:val="21"/>
        </w:rPr>
        <w:t xml:space="preserve"> pero existen junto con los factores psicológicos de la víctima y del agresor</w:t>
      </w:r>
      <w:r>
        <w:rPr>
          <w:rFonts w:ascii="Abadi" w:hAnsi="Abadi"/>
          <w:sz w:val="21"/>
          <w:szCs w:val="21"/>
        </w:rPr>
        <w:t>,</w:t>
      </w:r>
      <w:r w:rsidRPr="0030088F">
        <w:rPr>
          <w:rFonts w:ascii="Abadi" w:hAnsi="Abadi"/>
          <w:sz w:val="21"/>
          <w:szCs w:val="21"/>
        </w:rPr>
        <w:t xml:space="preserve"> otro tipo de factores de carácter social que influyen significativamente en las acciones violentas</w:t>
      </w:r>
      <w:r>
        <w:rPr>
          <w:rFonts w:ascii="Abadi" w:hAnsi="Abadi"/>
          <w:sz w:val="21"/>
          <w:szCs w:val="21"/>
        </w:rPr>
        <w:t>,</w:t>
      </w:r>
      <w:r w:rsidRPr="0030088F">
        <w:rPr>
          <w:rFonts w:ascii="Abadi" w:hAnsi="Abadi"/>
          <w:sz w:val="21"/>
          <w:szCs w:val="21"/>
        </w:rPr>
        <w:t xml:space="preserve"> es destacable que la armonización además de atender los tipos de violencia ya referidos atiende también a visibilizar a los deudores alimentarios morosos</w:t>
      </w:r>
      <w:r>
        <w:rPr>
          <w:rFonts w:ascii="Abadi" w:hAnsi="Abadi"/>
          <w:sz w:val="21"/>
          <w:szCs w:val="21"/>
        </w:rPr>
        <w:t>,</w:t>
      </w:r>
      <w:r w:rsidRPr="0030088F">
        <w:rPr>
          <w:rFonts w:ascii="Abadi" w:hAnsi="Abadi"/>
          <w:sz w:val="21"/>
          <w:szCs w:val="21"/>
        </w:rPr>
        <w:t xml:space="preserve"> pues viene a conjuntar una serie de principios que en armonía busca eliminar cualquier acción de violencia contra la mujer y sus hijos</w:t>
      </w:r>
      <w:r>
        <w:rPr>
          <w:rFonts w:ascii="Abadi" w:hAnsi="Abadi"/>
          <w:sz w:val="21"/>
          <w:szCs w:val="21"/>
        </w:rPr>
        <w:t>,</w:t>
      </w:r>
      <w:r w:rsidRPr="0030088F">
        <w:rPr>
          <w:rFonts w:ascii="Abadi" w:hAnsi="Abadi"/>
          <w:sz w:val="21"/>
          <w:szCs w:val="21"/>
        </w:rPr>
        <w:t xml:space="preserve"> por ello además se protege el interior superior de la niñez y adolescencia garantizando de manera plena su derecho al adecuada salud y nutrición a la educación</w:t>
      </w:r>
      <w:r>
        <w:rPr>
          <w:rFonts w:ascii="Abadi" w:hAnsi="Abadi"/>
          <w:sz w:val="21"/>
          <w:szCs w:val="21"/>
        </w:rPr>
        <w:t>,</w:t>
      </w:r>
      <w:r w:rsidRPr="0030088F">
        <w:rPr>
          <w:rFonts w:ascii="Abadi" w:hAnsi="Abadi"/>
          <w:sz w:val="21"/>
          <w:szCs w:val="21"/>
        </w:rPr>
        <w:t xml:space="preserve"> a vivir en un medio ambiente sano a vivir libre de todo tipo de violencia abuso o maltrato al libre desarrollo de su personalidad</w:t>
      </w:r>
      <w:r>
        <w:rPr>
          <w:rFonts w:ascii="Abadi" w:hAnsi="Abadi"/>
          <w:sz w:val="21"/>
          <w:szCs w:val="21"/>
        </w:rPr>
        <w:t>.</w:t>
      </w:r>
    </w:p>
    <w:p w14:paraId="799093C3" w14:textId="77777777" w:rsidR="006F10E0" w:rsidRDefault="006F10E0" w:rsidP="006F10E0">
      <w:pPr>
        <w:jc w:val="both"/>
        <w:rPr>
          <w:rFonts w:ascii="Abadi" w:hAnsi="Abadi"/>
          <w:sz w:val="21"/>
          <w:szCs w:val="21"/>
        </w:rPr>
      </w:pPr>
    </w:p>
    <w:p w14:paraId="7917E52B" w14:textId="7F43CF1C" w:rsidR="006F10E0" w:rsidRDefault="006F10E0" w:rsidP="006F10E0">
      <w:pPr>
        <w:jc w:val="both"/>
        <w:rPr>
          <w:rFonts w:ascii="Abadi" w:hAnsi="Abadi"/>
          <w:sz w:val="21"/>
          <w:szCs w:val="21"/>
        </w:rPr>
      </w:pPr>
      <w:r>
        <w:rPr>
          <w:rFonts w:ascii="Abadi" w:hAnsi="Abadi"/>
          <w:sz w:val="21"/>
          <w:szCs w:val="21"/>
        </w:rPr>
        <w:t>- D</w:t>
      </w:r>
      <w:r w:rsidRPr="0030088F">
        <w:rPr>
          <w:rFonts w:ascii="Abadi" w:hAnsi="Abadi"/>
          <w:sz w:val="21"/>
          <w:szCs w:val="21"/>
        </w:rPr>
        <w:t>esde esta perspectiva</w:t>
      </w:r>
      <w:r>
        <w:rPr>
          <w:rFonts w:ascii="Abadi" w:hAnsi="Abadi"/>
          <w:sz w:val="21"/>
          <w:szCs w:val="21"/>
        </w:rPr>
        <w:t>,</w:t>
      </w:r>
      <w:r w:rsidRPr="0030088F">
        <w:rPr>
          <w:rFonts w:ascii="Abadi" w:hAnsi="Abadi"/>
          <w:sz w:val="21"/>
          <w:szCs w:val="21"/>
        </w:rPr>
        <w:t xml:space="preserve"> el dictamen atiende dichas cuestiones</w:t>
      </w:r>
      <w:r>
        <w:rPr>
          <w:rFonts w:ascii="Abadi" w:hAnsi="Abadi"/>
          <w:sz w:val="21"/>
          <w:szCs w:val="21"/>
        </w:rPr>
        <w:t>,</w:t>
      </w:r>
      <w:r w:rsidRPr="0030088F">
        <w:rPr>
          <w:rFonts w:ascii="Abadi" w:hAnsi="Abadi"/>
          <w:sz w:val="21"/>
          <w:szCs w:val="21"/>
        </w:rPr>
        <w:t xml:space="preserve"> por eso el trabajo no está acabado</w:t>
      </w:r>
      <w:r>
        <w:rPr>
          <w:rFonts w:ascii="Abadi" w:hAnsi="Abadi"/>
          <w:sz w:val="21"/>
          <w:szCs w:val="21"/>
        </w:rPr>
        <w:t>,</w:t>
      </w:r>
      <w:r w:rsidRPr="0030088F">
        <w:rPr>
          <w:rFonts w:ascii="Abadi" w:hAnsi="Abadi"/>
          <w:sz w:val="21"/>
          <w:szCs w:val="21"/>
        </w:rPr>
        <w:t xml:space="preserve"> debemos seguir reflexionando sobre las causas que inciden en la violencia contra la mujer</w:t>
      </w:r>
      <w:r>
        <w:rPr>
          <w:rFonts w:ascii="Abadi" w:hAnsi="Abadi"/>
          <w:sz w:val="21"/>
          <w:szCs w:val="21"/>
        </w:rPr>
        <w:t>,</w:t>
      </w:r>
      <w:r w:rsidRPr="0030088F">
        <w:rPr>
          <w:rFonts w:ascii="Abadi" w:hAnsi="Abadi"/>
          <w:sz w:val="21"/>
          <w:szCs w:val="21"/>
        </w:rPr>
        <w:t xml:space="preserve"> llevando a cabo un recorrido que analice el perfil del agresor y de la víctima para generar con ello disposiciones normativas preventivas</w:t>
      </w:r>
      <w:r>
        <w:rPr>
          <w:rFonts w:ascii="Abadi" w:hAnsi="Abadi"/>
          <w:sz w:val="21"/>
          <w:szCs w:val="21"/>
        </w:rPr>
        <w:t>,</w:t>
      </w:r>
      <w:r w:rsidRPr="0030088F">
        <w:rPr>
          <w:rFonts w:ascii="Abadi" w:hAnsi="Abadi"/>
          <w:sz w:val="21"/>
          <w:szCs w:val="21"/>
        </w:rPr>
        <w:t xml:space="preserve"> solo para dimensionar y como ejemplo de lo importante del presente dictamen y tomando en cuenta que nuestro estado tenemos 46 ayuntamientos</w:t>
      </w:r>
      <w:r>
        <w:rPr>
          <w:rFonts w:ascii="Abadi" w:hAnsi="Abadi"/>
          <w:sz w:val="21"/>
          <w:szCs w:val="21"/>
        </w:rPr>
        <w:t>,</w:t>
      </w:r>
      <w:r w:rsidRPr="0030088F">
        <w:rPr>
          <w:rFonts w:ascii="Abadi" w:hAnsi="Abadi"/>
          <w:sz w:val="21"/>
          <w:szCs w:val="21"/>
        </w:rPr>
        <w:t xml:space="preserve"> se integran por 6 </w:t>
      </w:r>
      <w:r>
        <w:rPr>
          <w:rFonts w:ascii="Abadi" w:hAnsi="Abadi"/>
          <w:sz w:val="21"/>
          <w:szCs w:val="21"/>
        </w:rPr>
        <w:t xml:space="preserve">con 2  síndicos y </w:t>
      </w:r>
      <w:r w:rsidRPr="0030088F">
        <w:rPr>
          <w:rFonts w:ascii="Abadi" w:hAnsi="Abadi"/>
          <w:sz w:val="21"/>
          <w:szCs w:val="21"/>
        </w:rPr>
        <w:t>12 regidores 13</w:t>
      </w:r>
      <w:r>
        <w:rPr>
          <w:rFonts w:ascii="Abadi" w:hAnsi="Abadi"/>
          <w:sz w:val="21"/>
          <w:szCs w:val="21"/>
        </w:rPr>
        <w:t xml:space="preserve"> con 1</w:t>
      </w:r>
      <w:r w:rsidRPr="0030088F">
        <w:rPr>
          <w:rFonts w:ascii="Abadi" w:hAnsi="Abadi"/>
          <w:sz w:val="21"/>
          <w:szCs w:val="21"/>
        </w:rPr>
        <w:t xml:space="preserve"> síndico y 10 regidores</w:t>
      </w:r>
      <w:r>
        <w:rPr>
          <w:rFonts w:ascii="Abadi" w:hAnsi="Abadi"/>
          <w:sz w:val="21"/>
          <w:szCs w:val="21"/>
        </w:rPr>
        <w:t>,</w:t>
      </w:r>
      <w:r w:rsidRPr="0030088F">
        <w:rPr>
          <w:rFonts w:ascii="Abadi" w:hAnsi="Abadi"/>
          <w:sz w:val="21"/>
          <w:szCs w:val="21"/>
        </w:rPr>
        <w:t xml:space="preserve"> 27</w:t>
      </w:r>
      <w:r>
        <w:rPr>
          <w:rFonts w:ascii="Abadi" w:hAnsi="Abadi"/>
          <w:sz w:val="21"/>
          <w:szCs w:val="21"/>
        </w:rPr>
        <w:t xml:space="preserve"> con un </w:t>
      </w:r>
      <w:r w:rsidRPr="0030088F">
        <w:rPr>
          <w:rFonts w:ascii="Abadi" w:hAnsi="Abadi"/>
          <w:sz w:val="21"/>
          <w:szCs w:val="21"/>
        </w:rPr>
        <w:t>síndico y 8 regidores</w:t>
      </w:r>
      <w:r>
        <w:rPr>
          <w:rFonts w:ascii="Abadi" w:hAnsi="Abadi"/>
          <w:sz w:val="21"/>
          <w:szCs w:val="21"/>
        </w:rPr>
        <w:t>,</w:t>
      </w:r>
      <w:r w:rsidRPr="0030088F">
        <w:rPr>
          <w:rFonts w:ascii="Abadi" w:hAnsi="Abadi"/>
          <w:sz w:val="21"/>
          <w:szCs w:val="21"/>
        </w:rPr>
        <w:t xml:space="preserve"> todos con sus respectivos suplentes y tenemos que potencialmente en las próximas elecciones hacer que sean sujetos de esta norma</w:t>
      </w:r>
      <w:r>
        <w:rPr>
          <w:rFonts w:ascii="Abadi" w:hAnsi="Abadi"/>
          <w:sz w:val="21"/>
          <w:szCs w:val="21"/>
        </w:rPr>
        <w:t>,</w:t>
      </w:r>
      <w:r w:rsidRPr="0030088F">
        <w:rPr>
          <w:rFonts w:ascii="Abadi" w:hAnsi="Abadi"/>
          <w:sz w:val="21"/>
          <w:szCs w:val="21"/>
        </w:rPr>
        <w:t xml:space="preserve"> para que todos ellos</w:t>
      </w:r>
      <w:r>
        <w:rPr>
          <w:rFonts w:ascii="Abadi" w:hAnsi="Abadi"/>
          <w:sz w:val="21"/>
          <w:szCs w:val="21"/>
        </w:rPr>
        <w:t>,</w:t>
      </w:r>
      <w:r w:rsidRPr="0030088F">
        <w:rPr>
          <w:rFonts w:ascii="Abadi" w:hAnsi="Abadi"/>
          <w:sz w:val="21"/>
          <w:szCs w:val="21"/>
        </w:rPr>
        <w:t xml:space="preserve"> estos 820 aspirantes a regidor</w:t>
      </w:r>
      <w:r>
        <w:rPr>
          <w:rFonts w:ascii="Abadi" w:hAnsi="Abadi"/>
          <w:sz w:val="21"/>
          <w:szCs w:val="21"/>
        </w:rPr>
        <w:t>,</w:t>
      </w:r>
      <w:r w:rsidRPr="0030088F">
        <w:rPr>
          <w:rFonts w:ascii="Abadi" w:hAnsi="Abadi"/>
          <w:sz w:val="21"/>
          <w:szCs w:val="21"/>
        </w:rPr>
        <w:t xml:space="preserve"> 102 aspirantes a síndico y los 46</w:t>
      </w:r>
      <w:r>
        <w:rPr>
          <w:rFonts w:ascii="Abadi" w:hAnsi="Abadi"/>
          <w:sz w:val="21"/>
          <w:szCs w:val="21"/>
        </w:rPr>
        <w:t>,</w:t>
      </w:r>
      <w:r w:rsidRPr="0030088F">
        <w:rPr>
          <w:rFonts w:ascii="Abadi" w:hAnsi="Abadi"/>
          <w:sz w:val="21"/>
          <w:szCs w:val="21"/>
        </w:rPr>
        <w:t xml:space="preserve"> a</w:t>
      </w:r>
      <w:r>
        <w:rPr>
          <w:rFonts w:ascii="Abadi" w:hAnsi="Abadi"/>
          <w:sz w:val="21"/>
          <w:szCs w:val="21"/>
        </w:rPr>
        <w:t>,</w:t>
      </w:r>
      <w:r w:rsidRPr="0030088F">
        <w:rPr>
          <w:rFonts w:ascii="Abadi" w:hAnsi="Abadi"/>
          <w:sz w:val="21"/>
          <w:szCs w:val="21"/>
        </w:rPr>
        <w:t xml:space="preserve"> presidentes y presidentas municipales</w:t>
      </w:r>
      <w:r>
        <w:rPr>
          <w:rFonts w:ascii="Abadi" w:hAnsi="Abadi"/>
          <w:sz w:val="21"/>
          <w:szCs w:val="21"/>
        </w:rPr>
        <w:t>,</w:t>
      </w:r>
      <w:r w:rsidRPr="0030088F">
        <w:rPr>
          <w:rFonts w:ascii="Abadi" w:hAnsi="Abadi"/>
          <w:sz w:val="21"/>
          <w:szCs w:val="21"/>
        </w:rPr>
        <w:t xml:space="preserve"> eviten esta conducta y solo para tener la idea también del impacto de esta iniciativa</w:t>
      </w:r>
      <w:r>
        <w:rPr>
          <w:rFonts w:ascii="Abadi" w:hAnsi="Abadi"/>
          <w:sz w:val="21"/>
          <w:szCs w:val="21"/>
        </w:rPr>
        <w:t>,</w:t>
      </w:r>
      <w:r w:rsidRPr="0030088F">
        <w:rPr>
          <w:rFonts w:ascii="Abadi" w:hAnsi="Abadi"/>
          <w:sz w:val="21"/>
          <w:szCs w:val="21"/>
        </w:rPr>
        <w:t xml:space="preserve"> de este dictamen se tendrá el impacto en la administración pública estatal</w:t>
      </w:r>
      <w:r>
        <w:rPr>
          <w:rFonts w:ascii="Abadi" w:hAnsi="Abadi"/>
          <w:sz w:val="21"/>
          <w:szCs w:val="21"/>
        </w:rPr>
        <w:t>,</w:t>
      </w:r>
      <w:r w:rsidRPr="0030088F">
        <w:rPr>
          <w:rFonts w:ascii="Abadi" w:hAnsi="Abadi"/>
          <w:sz w:val="21"/>
          <w:szCs w:val="21"/>
        </w:rPr>
        <w:t xml:space="preserve"> organismos autónomos y en las administraciones públicas municipales</w:t>
      </w:r>
      <w:r>
        <w:rPr>
          <w:rFonts w:ascii="Abadi" w:hAnsi="Abadi"/>
          <w:sz w:val="21"/>
          <w:szCs w:val="21"/>
        </w:rPr>
        <w:t>,</w:t>
      </w:r>
      <w:r w:rsidRPr="0030088F">
        <w:rPr>
          <w:rFonts w:ascii="Abadi" w:hAnsi="Abadi"/>
          <w:sz w:val="21"/>
          <w:szCs w:val="21"/>
        </w:rPr>
        <w:t xml:space="preserve"> la pregunta es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es suficiente</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es suficiente</w:t>
      </w:r>
      <w:r>
        <w:rPr>
          <w:rFonts w:ascii="Abadi" w:hAnsi="Abadi"/>
          <w:sz w:val="21"/>
          <w:szCs w:val="21"/>
        </w:rPr>
        <w:t>-</w:t>
      </w:r>
      <w:r w:rsidRPr="0030088F">
        <w:rPr>
          <w:rFonts w:ascii="Abadi" w:hAnsi="Abadi"/>
          <w:sz w:val="21"/>
          <w:szCs w:val="21"/>
        </w:rPr>
        <w:t xml:space="preserve"> es un factor adicional a disminuir la brecha de desigualdad por todas las mujeres hoy se demostrará en el voto</w:t>
      </w:r>
      <w:r>
        <w:rPr>
          <w:rFonts w:ascii="Abadi" w:hAnsi="Abadi"/>
          <w:sz w:val="21"/>
          <w:szCs w:val="21"/>
        </w:rPr>
        <w:t>.</w:t>
      </w:r>
    </w:p>
    <w:p w14:paraId="168FDE3B" w14:textId="77777777" w:rsidR="006F10E0" w:rsidRDefault="006F10E0" w:rsidP="006F10E0">
      <w:pPr>
        <w:jc w:val="both"/>
        <w:rPr>
          <w:rFonts w:ascii="Abadi" w:hAnsi="Abadi"/>
          <w:sz w:val="21"/>
          <w:szCs w:val="21"/>
        </w:rPr>
      </w:pPr>
    </w:p>
    <w:p w14:paraId="24BF9EC7" w14:textId="77777777" w:rsidR="006F10E0" w:rsidRPr="0030088F" w:rsidRDefault="006F10E0" w:rsidP="006F10E0">
      <w:pPr>
        <w:jc w:val="both"/>
        <w:rPr>
          <w:rFonts w:ascii="Abadi" w:hAnsi="Abadi"/>
          <w:sz w:val="21"/>
          <w:szCs w:val="21"/>
        </w:rPr>
      </w:pPr>
      <w:r>
        <w:rPr>
          <w:rFonts w:ascii="Abadi" w:hAnsi="Abadi"/>
          <w:sz w:val="21"/>
          <w:szCs w:val="21"/>
        </w:rPr>
        <w:t>- G</w:t>
      </w:r>
      <w:r w:rsidRPr="0030088F">
        <w:rPr>
          <w:rFonts w:ascii="Abadi" w:hAnsi="Abadi"/>
          <w:sz w:val="21"/>
          <w:szCs w:val="21"/>
        </w:rPr>
        <w:t>racias</w:t>
      </w:r>
    </w:p>
    <w:p w14:paraId="663B1161" w14:textId="77777777" w:rsidR="006F10E0" w:rsidRDefault="006F10E0" w:rsidP="006F10E0">
      <w:pPr>
        <w:jc w:val="both"/>
        <w:rPr>
          <w:rFonts w:ascii="Abadi" w:hAnsi="Abadi"/>
          <w:sz w:val="21"/>
          <w:szCs w:val="21"/>
        </w:rPr>
      </w:pPr>
      <w:r>
        <w:rPr>
          <w:rFonts w:ascii="Abadi" w:hAnsi="Abadi"/>
          <w:sz w:val="21"/>
          <w:szCs w:val="21"/>
        </w:rPr>
        <w:tab/>
      </w:r>
      <w:r w:rsidRPr="00C55EDF">
        <w:rPr>
          <w:rFonts w:ascii="Abadi" w:hAnsi="Abadi"/>
          <w:b/>
          <w:bCs/>
          <w:sz w:val="21"/>
          <w:szCs w:val="21"/>
        </w:rPr>
        <w:t xml:space="preserve">- La </w:t>
      </w:r>
      <w:proofErr w:type="gramStart"/>
      <w:r w:rsidRPr="00C55EDF">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5926DA90" w14:textId="77777777" w:rsidR="001E10AA" w:rsidRDefault="001E10AA" w:rsidP="006F10E0">
      <w:pPr>
        <w:jc w:val="both"/>
        <w:rPr>
          <w:rFonts w:ascii="Abadi" w:hAnsi="Abadi"/>
          <w:sz w:val="21"/>
          <w:szCs w:val="21"/>
        </w:rPr>
      </w:pPr>
    </w:p>
    <w:p w14:paraId="0316B552" w14:textId="77777777" w:rsidR="006F10E0" w:rsidRDefault="006F10E0" w:rsidP="006F10E0">
      <w:pPr>
        <w:jc w:val="both"/>
        <w:rPr>
          <w:rFonts w:ascii="Abadi" w:hAnsi="Abadi"/>
          <w:sz w:val="21"/>
          <w:szCs w:val="21"/>
        </w:rPr>
      </w:pPr>
      <w:r>
        <w:rPr>
          <w:rFonts w:ascii="Abadi" w:hAnsi="Abadi"/>
          <w:sz w:val="21"/>
          <w:szCs w:val="21"/>
        </w:rPr>
        <w:tab/>
        <w:t>- E</w:t>
      </w:r>
      <w:r w:rsidRPr="0030088F">
        <w:rPr>
          <w:rFonts w:ascii="Abadi" w:hAnsi="Abadi"/>
          <w:sz w:val="21"/>
          <w:szCs w:val="21"/>
        </w:rPr>
        <w:t xml:space="preserve">nseguida se concede el uso de la voz a la diputada </w:t>
      </w:r>
      <w:r>
        <w:rPr>
          <w:rFonts w:ascii="Abadi" w:hAnsi="Abadi"/>
          <w:sz w:val="21"/>
          <w:szCs w:val="21"/>
        </w:rPr>
        <w:t>Hades A</w:t>
      </w:r>
      <w:r w:rsidRPr="0030088F">
        <w:rPr>
          <w:rFonts w:ascii="Abadi" w:hAnsi="Abadi"/>
          <w:sz w:val="21"/>
          <w:szCs w:val="21"/>
        </w:rPr>
        <w:t>guilar</w:t>
      </w:r>
      <w:r>
        <w:rPr>
          <w:rFonts w:ascii="Abadi" w:hAnsi="Abadi"/>
          <w:sz w:val="21"/>
          <w:szCs w:val="21"/>
        </w:rPr>
        <w:t xml:space="preserve"> Berenice Aguilar </w:t>
      </w:r>
      <w:r w:rsidRPr="0030088F">
        <w:rPr>
          <w:rFonts w:ascii="Abadi" w:hAnsi="Abadi"/>
          <w:sz w:val="21"/>
          <w:szCs w:val="21"/>
        </w:rPr>
        <w:t>Castillo hasta por 10 minutos</w:t>
      </w:r>
      <w:r>
        <w:rPr>
          <w:rFonts w:ascii="Abadi" w:hAnsi="Abadi"/>
          <w:sz w:val="21"/>
          <w:szCs w:val="21"/>
        </w:rPr>
        <w:t>.</w:t>
      </w:r>
    </w:p>
    <w:p w14:paraId="6A63E6EB" w14:textId="77777777" w:rsidR="001E10AA" w:rsidRDefault="006F10E0" w:rsidP="006F10E0">
      <w:pPr>
        <w:jc w:val="both"/>
        <w:rPr>
          <w:rFonts w:ascii="Abadi" w:hAnsi="Abadi"/>
          <w:sz w:val="21"/>
          <w:szCs w:val="21"/>
        </w:rPr>
      </w:pPr>
      <w:r>
        <w:rPr>
          <w:rFonts w:ascii="Abadi" w:hAnsi="Abadi"/>
          <w:sz w:val="21"/>
          <w:szCs w:val="21"/>
        </w:rPr>
        <w:tab/>
      </w:r>
    </w:p>
    <w:p w14:paraId="1936C0AA" w14:textId="429BB462" w:rsidR="006F10E0" w:rsidRDefault="006F10E0" w:rsidP="006F10E0">
      <w:pPr>
        <w:jc w:val="both"/>
        <w:rPr>
          <w:rFonts w:ascii="Abadi" w:hAnsi="Abadi"/>
          <w:sz w:val="21"/>
          <w:szCs w:val="21"/>
        </w:rPr>
      </w:pPr>
      <w:r>
        <w:rPr>
          <w:rFonts w:ascii="Abadi" w:hAnsi="Abadi"/>
          <w:sz w:val="21"/>
          <w:szCs w:val="21"/>
        </w:rPr>
        <w:t>- A</w:t>
      </w:r>
      <w:r w:rsidRPr="0030088F">
        <w:rPr>
          <w:rFonts w:ascii="Abadi" w:hAnsi="Abadi"/>
          <w:sz w:val="21"/>
          <w:szCs w:val="21"/>
        </w:rPr>
        <w:t>dela</w:t>
      </w:r>
      <w:r>
        <w:rPr>
          <w:rFonts w:ascii="Abadi" w:hAnsi="Abadi"/>
          <w:sz w:val="21"/>
          <w:szCs w:val="21"/>
        </w:rPr>
        <w:t xml:space="preserve">nte. </w:t>
      </w:r>
    </w:p>
    <w:p w14:paraId="06F76B1D" w14:textId="77777777" w:rsidR="001E10AA" w:rsidRDefault="001E10AA" w:rsidP="006F10E0">
      <w:pPr>
        <w:jc w:val="both"/>
        <w:rPr>
          <w:rFonts w:ascii="Abadi" w:hAnsi="Abadi"/>
          <w:sz w:val="21"/>
          <w:szCs w:val="21"/>
        </w:rPr>
      </w:pPr>
    </w:p>
    <w:p w14:paraId="648A043D" w14:textId="77777777" w:rsidR="006F10E0" w:rsidRDefault="006F10E0" w:rsidP="006F10E0">
      <w:pPr>
        <w:jc w:val="both"/>
        <w:rPr>
          <w:rFonts w:ascii="Abadi" w:hAnsi="Abadi"/>
          <w:b/>
          <w:bCs/>
          <w:sz w:val="21"/>
          <w:szCs w:val="21"/>
        </w:rPr>
      </w:pPr>
      <w:r w:rsidRPr="0048744F">
        <w:rPr>
          <w:rFonts w:ascii="Abadi" w:hAnsi="Abadi"/>
          <w:b/>
          <w:bCs/>
          <w:sz w:val="21"/>
          <w:szCs w:val="21"/>
        </w:rPr>
        <w:t>(Sube a tribuna la diputada Hades Berenice Aguilar Castillo, para hablar a favor del dictamen en referencia)</w:t>
      </w:r>
    </w:p>
    <w:p w14:paraId="1DD177C5" w14:textId="77777777" w:rsidR="006F10E0" w:rsidRDefault="006F10E0" w:rsidP="006F10E0">
      <w:pPr>
        <w:jc w:val="both"/>
        <w:rPr>
          <w:rFonts w:ascii="Abadi" w:hAnsi="Abadi"/>
          <w:b/>
          <w:bCs/>
          <w:sz w:val="21"/>
          <w:szCs w:val="21"/>
        </w:rPr>
      </w:pPr>
    </w:p>
    <w:p w14:paraId="07EC91B8" w14:textId="3A429A4F" w:rsidR="006F10E0" w:rsidRDefault="006F10E0" w:rsidP="006F10E0">
      <w:pPr>
        <w:jc w:val="both"/>
        <w:rPr>
          <w:rFonts w:ascii="Abadi" w:hAnsi="Abadi"/>
          <w:b/>
          <w:bCs/>
          <w:sz w:val="21"/>
          <w:szCs w:val="21"/>
        </w:rPr>
      </w:pPr>
    </w:p>
    <w:p w14:paraId="21ED49BB" w14:textId="7F89233F" w:rsidR="001E10AA" w:rsidRDefault="001E10AA" w:rsidP="006F10E0">
      <w:pPr>
        <w:jc w:val="both"/>
        <w:rPr>
          <w:rFonts w:ascii="Abadi" w:hAnsi="Abadi"/>
          <w:b/>
          <w:bCs/>
          <w:sz w:val="21"/>
          <w:szCs w:val="21"/>
        </w:rPr>
      </w:pPr>
    </w:p>
    <w:p w14:paraId="4DA2530A" w14:textId="4B1A2D09" w:rsidR="001E10AA" w:rsidRDefault="001E10AA" w:rsidP="006F10E0">
      <w:pPr>
        <w:jc w:val="both"/>
        <w:rPr>
          <w:rFonts w:ascii="Abadi" w:hAnsi="Abadi"/>
          <w:b/>
          <w:bCs/>
          <w:sz w:val="21"/>
          <w:szCs w:val="21"/>
        </w:rPr>
      </w:pPr>
      <w:r>
        <w:rPr>
          <w:noProof/>
        </w:rPr>
        <w:drawing>
          <wp:anchor distT="0" distB="0" distL="114300" distR="114300" simplePos="0" relativeHeight="251663382" behindDoc="1" locked="0" layoutInCell="1" allowOverlap="1" wp14:anchorId="63FDF560" wp14:editId="2295546A">
            <wp:simplePos x="0" y="0"/>
            <wp:positionH relativeFrom="column">
              <wp:posOffset>565966</wp:posOffset>
            </wp:positionH>
            <wp:positionV relativeFrom="paragraph">
              <wp:posOffset>40368</wp:posOffset>
            </wp:positionV>
            <wp:extent cx="1392482" cy="718457"/>
            <wp:effectExtent l="247650" t="228600" r="246380" b="748665"/>
            <wp:wrapTight wrapText="bothSides">
              <wp:wrapPolygon edited="0">
                <wp:start x="-3843" y="-6875"/>
                <wp:lineTo x="-3843" y="43544"/>
                <wp:lineTo x="25128" y="43544"/>
                <wp:lineTo x="25128" y="-6875"/>
                <wp:lineTo x="-3843" y="-6875"/>
              </wp:wrapPolygon>
            </wp:wrapTight>
            <wp:docPr id="265753713" name="Imagen 265753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753713" name=""/>
                    <pic:cNvPicPr/>
                  </pic:nvPicPr>
                  <pic:blipFill rotWithShape="1">
                    <a:blip r:embed="rId53" cstate="print">
                      <a:extLst>
                        <a:ext uri="{28A0092B-C50C-407E-A947-70E740481C1C}">
                          <a14:useLocalDpi xmlns:a14="http://schemas.microsoft.com/office/drawing/2010/main" val="0"/>
                        </a:ext>
                      </a:extLst>
                    </a:blip>
                    <a:srcRect b="8268"/>
                    <a:stretch/>
                  </pic:blipFill>
                  <pic:spPr bwMode="auto">
                    <a:xfrm>
                      <a:off x="0" y="0"/>
                      <a:ext cx="1392482" cy="71845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B3F5CDE" w14:textId="154829F1" w:rsidR="001E10AA" w:rsidRDefault="001E10AA" w:rsidP="006F10E0">
      <w:pPr>
        <w:jc w:val="both"/>
        <w:rPr>
          <w:rFonts w:ascii="Abadi" w:hAnsi="Abadi"/>
          <w:b/>
          <w:bCs/>
          <w:sz w:val="21"/>
          <w:szCs w:val="21"/>
        </w:rPr>
      </w:pPr>
    </w:p>
    <w:p w14:paraId="537869A6" w14:textId="77777777" w:rsidR="001E10AA" w:rsidRDefault="001E10AA" w:rsidP="006F10E0">
      <w:pPr>
        <w:jc w:val="both"/>
        <w:rPr>
          <w:rFonts w:ascii="Abadi" w:hAnsi="Abadi"/>
          <w:b/>
          <w:bCs/>
          <w:sz w:val="21"/>
          <w:szCs w:val="21"/>
        </w:rPr>
      </w:pPr>
    </w:p>
    <w:p w14:paraId="5A2FC08E" w14:textId="77777777" w:rsidR="001E10AA" w:rsidRDefault="001E10AA" w:rsidP="006F10E0">
      <w:pPr>
        <w:jc w:val="both"/>
        <w:rPr>
          <w:rFonts w:ascii="Abadi" w:hAnsi="Abadi"/>
          <w:b/>
          <w:bCs/>
          <w:sz w:val="21"/>
          <w:szCs w:val="21"/>
        </w:rPr>
      </w:pPr>
    </w:p>
    <w:p w14:paraId="5C1EF0CC" w14:textId="653B3C39" w:rsidR="001E10AA" w:rsidRDefault="001E10AA" w:rsidP="006F10E0">
      <w:pPr>
        <w:jc w:val="both"/>
        <w:rPr>
          <w:rFonts w:ascii="Abadi" w:hAnsi="Abadi"/>
          <w:b/>
          <w:bCs/>
          <w:sz w:val="21"/>
          <w:szCs w:val="21"/>
        </w:rPr>
      </w:pPr>
    </w:p>
    <w:p w14:paraId="200E483F" w14:textId="77777777" w:rsidR="001E10AA" w:rsidRDefault="001E10AA" w:rsidP="006F10E0">
      <w:pPr>
        <w:jc w:val="both"/>
        <w:rPr>
          <w:rFonts w:ascii="Abadi" w:hAnsi="Abadi"/>
          <w:b/>
          <w:bCs/>
          <w:sz w:val="21"/>
          <w:szCs w:val="21"/>
        </w:rPr>
      </w:pPr>
    </w:p>
    <w:p w14:paraId="4F6A3382" w14:textId="77777777" w:rsidR="001E10AA" w:rsidRDefault="001E10AA" w:rsidP="006F10E0">
      <w:pPr>
        <w:jc w:val="both"/>
        <w:rPr>
          <w:rFonts w:ascii="Abadi" w:hAnsi="Abadi"/>
          <w:b/>
          <w:bCs/>
          <w:sz w:val="21"/>
          <w:szCs w:val="21"/>
        </w:rPr>
      </w:pPr>
    </w:p>
    <w:p w14:paraId="14C82392" w14:textId="77777777" w:rsidR="001E10AA" w:rsidRDefault="001E10AA" w:rsidP="006F10E0">
      <w:pPr>
        <w:jc w:val="both"/>
        <w:rPr>
          <w:rFonts w:ascii="Abadi" w:hAnsi="Abadi"/>
          <w:b/>
          <w:bCs/>
          <w:sz w:val="21"/>
          <w:szCs w:val="21"/>
        </w:rPr>
      </w:pPr>
    </w:p>
    <w:p w14:paraId="49BC8BF3" w14:textId="77777777" w:rsidR="001E10AA" w:rsidRDefault="001E10AA" w:rsidP="006F10E0">
      <w:pPr>
        <w:jc w:val="both"/>
        <w:rPr>
          <w:rFonts w:ascii="Abadi" w:hAnsi="Abadi"/>
          <w:b/>
          <w:bCs/>
          <w:sz w:val="21"/>
          <w:szCs w:val="21"/>
        </w:rPr>
      </w:pPr>
    </w:p>
    <w:p w14:paraId="28AC7B6F" w14:textId="77777777" w:rsidR="001E10AA" w:rsidRPr="0048744F" w:rsidRDefault="001E10AA" w:rsidP="006F10E0">
      <w:pPr>
        <w:jc w:val="both"/>
        <w:rPr>
          <w:rFonts w:ascii="Abadi" w:hAnsi="Abadi"/>
          <w:b/>
          <w:bCs/>
          <w:sz w:val="21"/>
          <w:szCs w:val="21"/>
        </w:rPr>
      </w:pPr>
    </w:p>
    <w:p w14:paraId="199EE875" w14:textId="3ED60CE4" w:rsidR="006F10E0" w:rsidRDefault="006F10E0" w:rsidP="006F10E0">
      <w:pPr>
        <w:jc w:val="both"/>
        <w:rPr>
          <w:rFonts w:ascii="Abadi" w:hAnsi="Abadi"/>
          <w:sz w:val="21"/>
          <w:szCs w:val="21"/>
        </w:rPr>
      </w:pPr>
      <w:r>
        <w:rPr>
          <w:rFonts w:ascii="Abadi" w:hAnsi="Abadi"/>
          <w:sz w:val="21"/>
          <w:szCs w:val="21"/>
        </w:rPr>
        <w:t xml:space="preserve">- </w:t>
      </w:r>
      <w:r w:rsidRPr="0030088F">
        <w:rPr>
          <w:rFonts w:ascii="Abadi" w:hAnsi="Abadi"/>
          <w:sz w:val="21"/>
          <w:szCs w:val="21"/>
        </w:rPr>
        <w:t xml:space="preserve"> </w:t>
      </w:r>
      <w:r>
        <w:rPr>
          <w:rFonts w:ascii="Abadi" w:hAnsi="Abadi"/>
          <w:sz w:val="21"/>
          <w:szCs w:val="21"/>
        </w:rPr>
        <w:t>M</w:t>
      </w:r>
      <w:r w:rsidRPr="0030088F">
        <w:rPr>
          <w:rFonts w:ascii="Abadi" w:hAnsi="Abadi"/>
          <w:sz w:val="21"/>
          <w:szCs w:val="21"/>
        </w:rPr>
        <w:t>uchísimas gracias</w:t>
      </w:r>
      <w:r>
        <w:rPr>
          <w:rFonts w:ascii="Abadi" w:hAnsi="Abadi"/>
          <w:sz w:val="21"/>
          <w:szCs w:val="21"/>
        </w:rPr>
        <w:t>,</w:t>
      </w:r>
      <w:r w:rsidRPr="0030088F">
        <w:rPr>
          <w:rFonts w:ascii="Abadi" w:hAnsi="Abadi"/>
          <w:sz w:val="21"/>
          <w:szCs w:val="21"/>
        </w:rPr>
        <w:t xml:space="preserve"> diputada presidenta les saludo de nuevo</w:t>
      </w:r>
      <w:r>
        <w:rPr>
          <w:rFonts w:ascii="Abadi" w:hAnsi="Abadi"/>
          <w:sz w:val="21"/>
          <w:szCs w:val="21"/>
        </w:rPr>
        <w:t>,</w:t>
      </w:r>
      <w:r w:rsidRPr="0030088F">
        <w:rPr>
          <w:rFonts w:ascii="Abadi" w:hAnsi="Abadi"/>
          <w:sz w:val="21"/>
          <w:szCs w:val="21"/>
        </w:rPr>
        <w:t xml:space="preserve"> una de las </w:t>
      </w:r>
      <w:r>
        <w:rPr>
          <w:rFonts w:ascii="Abadi" w:hAnsi="Abadi"/>
          <w:sz w:val="21"/>
          <w:szCs w:val="21"/>
        </w:rPr>
        <w:t>tres</w:t>
      </w:r>
      <w:r w:rsidRPr="0030088F">
        <w:rPr>
          <w:rFonts w:ascii="Abadi" w:hAnsi="Abadi"/>
          <w:sz w:val="21"/>
          <w:szCs w:val="21"/>
        </w:rPr>
        <w:t xml:space="preserve"> reformas que trata este dictamen refiere a los deudores alimentarios morosos y su posibilidad de ser servidores públicos</w:t>
      </w:r>
      <w:r>
        <w:rPr>
          <w:rFonts w:ascii="Abadi" w:hAnsi="Abadi"/>
          <w:sz w:val="21"/>
          <w:szCs w:val="21"/>
        </w:rPr>
        <w:t>,</w:t>
      </w:r>
      <w:r w:rsidRPr="0030088F">
        <w:rPr>
          <w:rFonts w:ascii="Abadi" w:hAnsi="Abadi"/>
          <w:sz w:val="21"/>
          <w:szCs w:val="21"/>
        </w:rPr>
        <w:t xml:space="preserve"> el diputado David Martínez y su servidora presentamos esta iniciativa antes de que nos llegara la </w:t>
      </w:r>
      <w:r>
        <w:rPr>
          <w:rFonts w:ascii="Abadi" w:hAnsi="Abadi"/>
          <w:sz w:val="21"/>
          <w:szCs w:val="21"/>
        </w:rPr>
        <w:t>M</w:t>
      </w:r>
      <w:r w:rsidRPr="0030088F">
        <w:rPr>
          <w:rFonts w:ascii="Abadi" w:hAnsi="Abadi"/>
          <w:sz w:val="21"/>
          <w:szCs w:val="21"/>
        </w:rPr>
        <w:t xml:space="preserve">inuta desde el </w:t>
      </w:r>
      <w:r>
        <w:rPr>
          <w:rFonts w:ascii="Abadi" w:hAnsi="Abadi"/>
          <w:sz w:val="21"/>
          <w:szCs w:val="21"/>
        </w:rPr>
        <w:t>S</w:t>
      </w:r>
      <w:r w:rsidRPr="0030088F">
        <w:rPr>
          <w:rFonts w:ascii="Abadi" w:hAnsi="Abadi"/>
          <w:sz w:val="21"/>
          <w:szCs w:val="21"/>
        </w:rPr>
        <w:t>enado con la que se aprobó reformar nuestra constitución lo que se pretende es muy sencillo</w:t>
      </w:r>
      <w:r>
        <w:rPr>
          <w:rFonts w:ascii="Abadi" w:hAnsi="Abadi"/>
          <w:sz w:val="21"/>
          <w:szCs w:val="21"/>
        </w:rPr>
        <w:t>,</w:t>
      </w:r>
      <w:r w:rsidRPr="0030088F">
        <w:rPr>
          <w:rFonts w:ascii="Abadi" w:hAnsi="Abadi"/>
          <w:sz w:val="21"/>
          <w:szCs w:val="21"/>
        </w:rPr>
        <w:t xml:space="preserve"> pero de una justicia elemental queremos garantizar que las personas que sean deudores alimentarios morosos sólo puedan ser servidores públicos hasta que se pongan al corriente con los pagos</w:t>
      </w:r>
      <w:r>
        <w:rPr>
          <w:rFonts w:ascii="Abadi" w:hAnsi="Abadi"/>
          <w:sz w:val="21"/>
          <w:szCs w:val="21"/>
        </w:rPr>
        <w:t>,</w:t>
      </w:r>
      <w:r w:rsidRPr="0030088F">
        <w:rPr>
          <w:rFonts w:ascii="Abadi" w:hAnsi="Abadi"/>
          <w:sz w:val="21"/>
          <w:szCs w:val="21"/>
        </w:rPr>
        <w:t xml:space="preserve"> es momento de hacer cumplir a los padres desobligados</w:t>
      </w:r>
      <w:r>
        <w:rPr>
          <w:rFonts w:ascii="Abadi" w:hAnsi="Abadi"/>
          <w:sz w:val="21"/>
          <w:szCs w:val="21"/>
        </w:rPr>
        <w:t>,</w:t>
      </w:r>
      <w:r w:rsidRPr="0030088F">
        <w:rPr>
          <w:rFonts w:ascii="Abadi" w:hAnsi="Abadi"/>
          <w:sz w:val="21"/>
          <w:szCs w:val="21"/>
        </w:rPr>
        <w:t xml:space="preserve"> que no sean solo las mujeres</w:t>
      </w:r>
      <w:r>
        <w:rPr>
          <w:rFonts w:ascii="Abadi" w:hAnsi="Abadi"/>
          <w:sz w:val="21"/>
          <w:szCs w:val="21"/>
        </w:rPr>
        <w:t>,</w:t>
      </w:r>
      <w:r w:rsidRPr="0030088F">
        <w:rPr>
          <w:rFonts w:ascii="Abadi" w:hAnsi="Abadi"/>
          <w:sz w:val="21"/>
          <w:szCs w:val="21"/>
        </w:rPr>
        <w:t xml:space="preserve"> que se hagan cargo de los cuidados de los hijos y de las hijas </w:t>
      </w:r>
      <w:r>
        <w:rPr>
          <w:rFonts w:ascii="Abadi" w:hAnsi="Abadi"/>
          <w:sz w:val="21"/>
          <w:szCs w:val="21"/>
        </w:rPr>
        <w:t xml:space="preserve">y a quienes </w:t>
      </w:r>
      <w:r w:rsidRPr="0030088F">
        <w:rPr>
          <w:rFonts w:ascii="Abadi" w:hAnsi="Abadi"/>
          <w:sz w:val="21"/>
          <w:szCs w:val="21"/>
        </w:rPr>
        <w:t>no cumplan con esta responsabilidad que por fin sean sancionados y si hoy aprobamos este dictamen pues eso es lo que vamos a lograr</w:t>
      </w:r>
      <w:r>
        <w:rPr>
          <w:rFonts w:ascii="Abadi" w:hAnsi="Abadi"/>
          <w:sz w:val="21"/>
          <w:szCs w:val="21"/>
        </w:rPr>
        <w:t>.</w:t>
      </w:r>
    </w:p>
    <w:p w14:paraId="674A2E96" w14:textId="77777777" w:rsidR="001E10AA" w:rsidRDefault="001E10AA" w:rsidP="006F10E0">
      <w:pPr>
        <w:jc w:val="both"/>
        <w:rPr>
          <w:rFonts w:ascii="Abadi" w:hAnsi="Abadi"/>
          <w:sz w:val="21"/>
          <w:szCs w:val="21"/>
        </w:rPr>
      </w:pPr>
    </w:p>
    <w:p w14:paraId="00489538" w14:textId="77777777" w:rsidR="006F10E0" w:rsidRDefault="006F10E0" w:rsidP="006F10E0">
      <w:pPr>
        <w:jc w:val="both"/>
        <w:rPr>
          <w:rFonts w:ascii="Abadi" w:hAnsi="Abadi"/>
          <w:sz w:val="21"/>
          <w:szCs w:val="21"/>
        </w:rPr>
      </w:pPr>
      <w:r>
        <w:rPr>
          <w:rFonts w:ascii="Abadi" w:hAnsi="Abadi"/>
          <w:sz w:val="21"/>
          <w:szCs w:val="21"/>
        </w:rPr>
        <w:t>- H</w:t>
      </w:r>
      <w:r w:rsidRPr="0030088F">
        <w:rPr>
          <w:rFonts w:ascii="Abadi" w:hAnsi="Abadi"/>
          <w:sz w:val="21"/>
          <w:szCs w:val="21"/>
        </w:rPr>
        <w:t xml:space="preserve">ay otras 2 iniciativas que contienen el dictamen una de las bancadas feminista y otra de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 xml:space="preserve">obernación y </w:t>
      </w:r>
      <w:r>
        <w:rPr>
          <w:rFonts w:ascii="Abadi" w:hAnsi="Abadi"/>
          <w:sz w:val="21"/>
          <w:szCs w:val="21"/>
        </w:rPr>
        <w:t>P</w:t>
      </w:r>
      <w:r w:rsidRPr="0030088F">
        <w:rPr>
          <w:rFonts w:ascii="Abadi" w:hAnsi="Abadi"/>
          <w:sz w:val="21"/>
          <w:szCs w:val="21"/>
        </w:rPr>
        <w:t xml:space="preserve">untos </w:t>
      </w:r>
      <w:r>
        <w:rPr>
          <w:rFonts w:ascii="Abadi" w:hAnsi="Abadi"/>
          <w:sz w:val="21"/>
          <w:szCs w:val="21"/>
        </w:rPr>
        <w:t>Co</w:t>
      </w:r>
      <w:r w:rsidRPr="0030088F">
        <w:rPr>
          <w:rFonts w:ascii="Abadi" w:hAnsi="Abadi"/>
          <w:sz w:val="21"/>
          <w:szCs w:val="21"/>
        </w:rPr>
        <w:t>nstitucionales estoy segura que también que servirán para dar un gran paso en el camino de que las mujeres</w:t>
      </w:r>
      <w:r>
        <w:rPr>
          <w:rFonts w:ascii="Abadi" w:hAnsi="Abadi"/>
          <w:sz w:val="21"/>
          <w:szCs w:val="21"/>
        </w:rPr>
        <w:t>,</w:t>
      </w:r>
      <w:r w:rsidRPr="0030088F">
        <w:rPr>
          <w:rFonts w:ascii="Abadi" w:hAnsi="Abadi"/>
          <w:sz w:val="21"/>
          <w:szCs w:val="21"/>
        </w:rPr>
        <w:t xml:space="preserve"> niñas niños y adolescentes </w:t>
      </w:r>
      <w:r>
        <w:rPr>
          <w:rFonts w:ascii="Abadi" w:hAnsi="Abadi"/>
          <w:sz w:val="21"/>
          <w:szCs w:val="21"/>
        </w:rPr>
        <w:t xml:space="preserve">tengan </w:t>
      </w:r>
      <w:r w:rsidRPr="0030088F">
        <w:rPr>
          <w:rFonts w:ascii="Abadi" w:hAnsi="Abadi"/>
          <w:sz w:val="21"/>
          <w:szCs w:val="21"/>
        </w:rPr>
        <w:t xml:space="preserve">una vida libre de violencia por eso desde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votaremos a favor de este dictamen para atender una </w:t>
      </w:r>
      <w:r w:rsidRPr="0030088F">
        <w:rPr>
          <w:rFonts w:ascii="Abadi" w:hAnsi="Abadi"/>
          <w:sz w:val="21"/>
          <w:szCs w:val="21"/>
        </w:rPr>
        <w:lastRenderedPageBreak/>
        <w:t>deuda histórica con las madres y con los niños</w:t>
      </w:r>
      <w:r>
        <w:rPr>
          <w:rFonts w:ascii="Abadi" w:hAnsi="Abadi"/>
          <w:sz w:val="21"/>
          <w:szCs w:val="21"/>
        </w:rPr>
        <w:t>,</w:t>
      </w:r>
      <w:r w:rsidRPr="0030088F">
        <w:rPr>
          <w:rFonts w:ascii="Abadi" w:hAnsi="Abadi"/>
          <w:sz w:val="21"/>
          <w:szCs w:val="21"/>
        </w:rPr>
        <w:t xml:space="preserve"> niñas del </w:t>
      </w:r>
      <w:r>
        <w:rPr>
          <w:rFonts w:ascii="Abadi" w:hAnsi="Abadi"/>
          <w:sz w:val="21"/>
          <w:szCs w:val="21"/>
        </w:rPr>
        <w:t>E</w:t>
      </w:r>
      <w:r w:rsidRPr="0030088F">
        <w:rPr>
          <w:rFonts w:ascii="Abadi" w:hAnsi="Abadi"/>
          <w:sz w:val="21"/>
          <w:szCs w:val="21"/>
        </w:rPr>
        <w:t>stado de Guanajuato y precisamente por estas razones compañeros y compañeros les pido el voto a favor de este dictamen para que en Guanajuato sea una realidad que ningún padre irresponsable que no cubra con sus obligaciones sea servidor público para que en Guanajuato nos tomemos en serio el interés superior de la niñez</w:t>
      </w:r>
      <w:r>
        <w:rPr>
          <w:rFonts w:ascii="Abadi" w:hAnsi="Abadi"/>
          <w:sz w:val="21"/>
          <w:szCs w:val="21"/>
        </w:rPr>
        <w:t>.</w:t>
      </w:r>
      <w:r w:rsidRPr="0030088F">
        <w:rPr>
          <w:rFonts w:ascii="Abadi" w:hAnsi="Abadi"/>
          <w:sz w:val="21"/>
          <w:szCs w:val="21"/>
        </w:rPr>
        <w:t xml:space="preserve"> </w:t>
      </w:r>
    </w:p>
    <w:p w14:paraId="6B0AA34B" w14:textId="77777777" w:rsidR="001E10AA" w:rsidRDefault="001E10AA" w:rsidP="006F10E0">
      <w:pPr>
        <w:jc w:val="both"/>
        <w:rPr>
          <w:rFonts w:ascii="Abadi" w:hAnsi="Abadi"/>
          <w:sz w:val="21"/>
          <w:szCs w:val="21"/>
        </w:rPr>
      </w:pPr>
    </w:p>
    <w:p w14:paraId="7B91281B"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 cuanto diputada president</w:t>
      </w:r>
      <w:r>
        <w:rPr>
          <w:rFonts w:ascii="Abadi" w:hAnsi="Abadi"/>
          <w:sz w:val="21"/>
          <w:szCs w:val="21"/>
        </w:rPr>
        <w:t>a.</w:t>
      </w:r>
    </w:p>
    <w:p w14:paraId="0A474405" w14:textId="77777777" w:rsidR="001E10AA" w:rsidRPr="0030088F" w:rsidRDefault="001E10AA" w:rsidP="006F10E0">
      <w:pPr>
        <w:jc w:val="both"/>
        <w:rPr>
          <w:rFonts w:ascii="Abadi" w:hAnsi="Abadi"/>
          <w:sz w:val="21"/>
          <w:szCs w:val="21"/>
        </w:rPr>
      </w:pPr>
    </w:p>
    <w:p w14:paraId="0ABC9ECE" w14:textId="77777777" w:rsidR="006F10E0" w:rsidRDefault="006F10E0" w:rsidP="006F10E0">
      <w:pPr>
        <w:jc w:val="both"/>
        <w:rPr>
          <w:rFonts w:ascii="Abadi" w:hAnsi="Abadi"/>
          <w:sz w:val="21"/>
          <w:szCs w:val="21"/>
        </w:rPr>
      </w:pPr>
      <w:r>
        <w:rPr>
          <w:rFonts w:ascii="Abadi" w:hAnsi="Abadi"/>
          <w:sz w:val="21"/>
          <w:szCs w:val="21"/>
        </w:rPr>
        <w:tab/>
      </w:r>
      <w:r w:rsidRPr="00D838EA">
        <w:rPr>
          <w:rFonts w:ascii="Abadi" w:hAnsi="Abadi"/>
          <w:b/>
          <w:bCs/>
          <w:sz w:val="21"/>
          <w:szCs w:val="21"/>
        </w:rPr>
        <w:t xml:space="preserve"> - La </w:t>
      </w:r>
      <w:proofErr w:type="gramStart"/>
      <w:r w:rsidRPr="00D838EA">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0125049B" w14:textId="77777777" w:rsidR="006F10E0" w:rsidRDefault="006F10E0" w:rsidP="006F10E0">
      <w:pPr>
        <w:jc w:val="both"/>
        <w:rPr>
          <w:rFonts w:ascii="Abadi" w:hAnsi="Abadi"/>
          <w:sz w:val="21"/>
          <w:szCs w:val="21"/>
        </w:rPr>
      </w:pPr>
      <w:r>
        <w:rPr>
          <w:rFonts w:ascii="Abadi" w:hAnsi="Abadi"/>
          <w:sz w:val="21"/>
          <w:szCs w:val="21"/>
        </w:rPr>
        <w:tab/>
        <w:t>- E</w:t>
      </w:r>
      <w:r w:rsidRPr="0030088F">
        <w:rPr>
          <w:rFonts w:ascii="Abadi" w:hAnsi="Abadi"/>
          <w:sz w:val="21"/>
          <w:szCs w:val="21"/>
        </w:rPr>
        <w:t xml:space="preserve">nseguida se otorga el uso de la palabra al diputado Gustavo Adolfo Alfaro </w:t>
      </w:r>
      <w:r>
        <w:rPr>
          <w:rFonts w:ascii="Abadi" w:hAnsi="Abadi"/>
          <w:sz w:val="21"/>
          <w:szCs w:val="21"/>
        </w:rPr>
        <w:t>R</w:t>
      </w:r>
      <w:r w:rsidRPr="0030088F">
        <w:rPr>
          <w:rFonts w:ascii="Abadi" w:hAnsi="Abadi"/>
          <w:sz w:val="21"/>
          <w:szCs w:val="21"/>
        </w:rPr>
        <w:t>eyes</w:t>
      </w:r>
      <w:r>
        <w:rPr>
          <w:rFonts w:ascii="Abadi" w:hAnsi="Abadi"/>
          <w:sz w:val="21"/>
          <w:szCs w:val="21"/>
        </w:rPr>
        <w:t>,</w:t>
      </w:r>
      <w:r w:rsidRPr="0030088F">
        <w:rPr>
          <w:rFonts w:ascii="Abadi" w:hAnsi="Abadi"/>
          <w:sz w:val="21"/>
          <w:szCs w:val="21"/>
        </w:rPr>
        <w:t xml:space="preserve"> hasta por 10 minutos</w:t>
      </w:r>
      <w:r>
        <w:rPr>
          <w:rFonts w:ascii="Abadi" w:hAnsi="Abadi"/>
          <w:sz w:val="21"/>
          <w:szCs w:val="21"/>
        </w:rPr>
        <w:t>.</w:t>
      </w:r>
    </w:p>
    <w:p w14:paraId="6E686DD9" w14:textId="77777777" w:rsidR="001E10AA" w:rsidRDefault="001E10AA" w:rsidP="006F10E0">
      <w:pPr>
        <w:jc w:val="both"/>
        <w:rPr>
          <w:rFonts w:ascii="Abadi" w:hAnsi="Abadi"/>
          <w:sz w:val="21"/>
          <w:szCs w:val="21"/>
        </w:rPr>
      </w:pPr>
    </w:p>
    <w:p w14:paraId="042E5187" w14:textId="77777777" w:rsidR="006F10E0" w:rsidRDefault="006F10E0" w:rsidP="006F10E0">
      <w:pPr>
        <w:jc w:val="both"/>
        <w:rPr>
          <w:rFonts w:ascii="Abadi" w:hAnsi="Abadi"/>
          <w:sz w:val="21"/>
          <w:szCs w:val="21"/>
        </w:rPr>
      </w:pPr>
      <w:r>
        <w:rPr>
          <w:rFonts w:ascii="Abadi" w:hAnsi="Abadi"/>
          <w:sz w:val="21"/>
          <w:szCs w:val="21"/>
        </w:rPr>
        <w:tab/>
        <w:t>-</w:t>
      </w:r>
      <w:r w:rsidRPr="0030088F">
        <w:rPr>
          <w:rFonts w:ascii="Abadi" w:hAnsi="Abadi"/>
          <w:sz w:val="21"/>
          <w:szCs w:val="21"/>
        </w:rPr>
        <w:t xml:space="preserve"> </w:t>
      </w:r>
      <w:r>
        <w:rPr>
          <w:rFonts w:ascii="Abadi" w:hAnsi="Abadi"/>
          <w:sz w:val="21"/>
          <w:szCs w:val="21"/>
        </w:rPr>
        <w:t xml:space="preserve">Adelante. </w:t>
      </w:r>
    </w:p>
    <w:p w14:paraId="5428BAEB" w14:textId="77777777" w:rsidR="001E10AA" w:rsidRDefault="001E10AA" w:rsidP="006F10E0">
      <w:pPr>
        <w:jc w:val="both"/>
        <w:rPr>
          <w:rFonts w:ascii="Abadi" w:hAnsi="Abadi"/>
          <w:sz w:val="21"/>
          <w:szCs w:val="21"/>
        </w:rPr>
      </w:pPr>
    </w:p>
    <w:p w14:paraId="7FFA69C1" w14:textId="77777777" w:rsidR="006F10E0" w:rsidRDefault="006F10E0" w:rsidP="006F10E0">
      <w:pPr>
        <w:jc w:val="both"/>
        <w:rPr>
          <w:rFonts w:ascii="Abadi" w:hAnsi="Abadi"/>
          <w:b/>
          <w:bCs/>
          <w:sz w:val="21"/>
          <w:szCs w:val="21"/>
        </w:rPr>
      </w:pPr>
      <w:r w:rsidRPr="006F0B31">
        <w:rPr>
          <w:rFonts w:ascii="Abadi" w:hAnsi="Abadi"/>
          <w:b/>
          <w:bCs/>
          <w:sz w:val="21"/>
          <w:szCs w:val="21"/>
        </w:rPr>
        <w:t xml:space="preserve">(Sube a tribuna el diputado Gustavo Adolfo Alfaro Reyes, para hablar a favor del dictamen en referencia) </w:t>
      </w:r>
    </w:p>
    <w:p w14:paraId="65F42108" w14:textId="77777777" w:rsidR="001E10AA" w:rsidRDefault="001E10AA" w:rsidP="006F10E0">
      <w:pPr>
        <w:jc w:val="both"/>
        <w:rPr>
          <w:rFonts w:ascii="Abadi" w:hAnsi="Abadi"/>
          <w:b/>
          <w:bCs/>
          <w:sz w:val="21"/>
          <w:szCs w:val="21"/>
        </w:rPr>
      </w:pPr>
    </w:p>
    <w:p w14:paraId="44B801EA" w14:textId="491F98B0" w:rsidR="006F10E0" w:rsidRDefault="006F10E0" w:rsidP="006F10E0">
      <w:pPr>
        <w:jc w:val="both"/>
        <w:rPr>
          <w:rFonts w:ascii="Abadi" w:hAnsi="Abadi"/>
          <w:b/>
          <w:bCs/>
          <w:sz w:val="21"/>
          <w:szCs w:val="21"/>
        </w:rPr>
      </w:pPr>
    </w:p>
    <w:p w14:paraId="0F608026" w14:textId="04B1F1FD" w:rsidR="001E10AA" w:rsidRDefault="001E10AA" w:rsidP="006F10E0">
      <w:pPr>
        <w:jc w:val="both"/>
        <w:rPr>
          <w:rFonts w:ascii="Abadi" w:hAnsi="Abadi"/>
          <w:b/>
          <w:bCs/>
          <w:sz w:val="21"/>
          <w:szCs w:val="21"/>
        </w:rPr>
      </w:pPr>
      <w:r>
        <w:rPr>
          <w:noProof/>
        </w:rPr>
        <w:drawing>
          <wp:anchor distT="0" distB="0" distL="114300" distR="114300" simplePos="0" relativeHeight="251664406" behindDoc="1" locked="0" layoutInCell="1" allowOverlap="1" wp14:anchorId="4BD394CA" wp14:editId="12901399">
            <wp:simplePos x="0" y="0"/>
            <wp:positionH relativeFrom="column">
              <wp:posOffset>606334</wp:posOffset>
            </wp:positionH>
            <wp:positionV relativeFrom="paragraph">
              <wp:posOffset>94887</wp:posOffset>
            </wp:positionV>
            <wp:extent cx="1241181" cy="698112"/>
            <wp:effectExtent l="247650" t="228600" r="245110" b="749935"/>
            <wp:wrapTight wrapText="bothSides">
              <wp:wrapPolygon edited="0">
                <wp:start x="-4311" y="-7076"/>
                <wp:lineTo x="-4311" y="44222"/>
                <wp:lineTo x="25535" y="44222"/>
                <wp:lineTo x="25535" y="-7076"/>
                <wp:lineTo x="-4311" y="-7076"/>
              </wp:wrapPolygon>
            </wp:wrapTight>
            <wp:docPr id="1793304988" name="Imagen 1793304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304988"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1241181" cy="69811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7E1FA048" w14:textId="1DC683CA" w:rsidR="001E10AA" w:rsidRDefault="001E10AA" w:rsidP="006F10E0">
      <w:pPr>
        <w:jc w:val="both"/>
        <w:rPr>
          <w:rFonts w:ascii="Abadi" w:hAnsi="Abadi"/>
          <w:b/>
          <w:bCs/>
          <w:sz w:val="21"/>
          <w:szCs w:val="21"/>
        </w:rPr>
      </w:pPr>
    </w:p>
    <w:p w14:paraId="6A212406" w14:textId="34BF7835" w:rsidR="001E10AA" w:rsidRDefault="001E10AA" w:rsidP="006F10E0">
      <w:pPr>
        <w:jc w:val="both"/>
        <w:rPr>
          <w:rFonts w:ascii="Abadi" w:hAnsi="Abadi"/>
          <w:b/>
          <w:bCs/>
          <w:sz w:val="21"/>
          <w:szCs w:val="21"/>
        </w:rPr>
      </w:pPr>
    </w:p>
    <w:p w14:paraId="258982EC" w14:textId="3E099A7E" w:rsidR="001E10AA" w:rsidRDefault="001E10AA" w:rsidP="006F10E0">
      <w:pPr>
        <w:jc w:val="both"/>
        <w:rPr>
          <w:rFonts w:ascii="Abadi" w:hAnsi="Abadi"/>
          <w:b/>
          <w:bCs/>
          <w:sz w:val="21"/>
          <w:szCs w:val="21"/>
        </w:rPr>
      </w:pPr>
    </w:p>
    <w:p w14:paraId="5F3BD4F1" w14:textId="77777777" w:rsidR="001E10AA" w:rsidRDefault="001E10AA" w:rsidP="006F10E0">
      <w:pPr>
        <w:jc w:val="both"/>
        <w:rPr>
          <w:rFonts w:ascii="Abadi" w:hAnsi="Abadi"/>
          <w:b/>
          <w:bCs/>
          <w:sz w:val="21"/>
          <w:szCs w:val="21"/>
        </w:rPr>
      </w:pPr>
    </w:p>
    <w:p w14:paraId="5503B4A0" w14:textId="77777777" w:rsidR="001E10AA" w:rsidRDefault="001E10AA" w:rsidP="006F10E0">
      <w:pPr>
        <w:jc w:val="both"/>
        <w:rPr>
          <w:rFonts w:ascii="Abadi" w:hAnsi="Abadi"/>
          <w:b/>
          <w:bCs/>
          <w:sz w:val="21"/>
          <w:szCs w:val="21"/>
        </w:rPr>
      </w:pPr>
    </w:p>
    <w:p w14:paraId="39209457" w14:textId="77777777" w:rsidR="001E10AA" w:rsidRDefault="001E10AA" w:rsidP="006F10E0">
      <w:pPr>
        <w:jc w:val="both"/>
        <w:rPr>
          <w:rFonts w:ascii="Abadi" w:hAnsi="Abadi"/>
          <w:b/>
          <w:bCs/>
          <w:sz w:val="21"/>
          <w:szCs w:val="21"/>
        </w:rPr>
      </w:pPr>
    </w:p>
    <w:p w14:paraId="1D35476D" w14:textId="77777777" w:rsidR="001E10AA" w:rsidRDefault="001E10AA" w:rsidP="006F10E0">
      <w:pPr>
        <w:jc w:val="both"/>
        <w:rPr>
          <w:rFonts w:ascii="Abadi" w:hAnsi="Abadi"/>
          <w:b/>
          <w:bCs/>
          <w:sz w:val="21"/>
          <w:szCs w:val="21"/>
        </w:rPr>
      </w:pPr>
    </w:p>
    <w:p w14:paraId="054ADF60" w14:textId="77777777" w:rsidR="001E10AA" w:rsidRDefault="001E10AA" w:rsidP="006F10E0">
      <w:pPr>
        <w:jc w:val="both"/>
        <w:rPr>
          <w:rFonts w:ascii="Abadi" w:hAnsi="Abadi"/>
          <w:b/>
          <w:bCs/>
          <w:sz w:val="21"/>
          <w:szCs w:val="21"/>
        </w:rPr>
      </w:pPr>
    </w:p>
    <w:p w14:paraId="475C91FB" w14:textId="77777777" w:rsidR="001E10AA" w:rsidRDefault="001E10AA" w:rsidP="006F10E0">
      <w:pPr>
        <w:jc w:val="both"/>
        <w:rPr>
          <w:rFonts w:ascii="Abadi" w:hAnsi="Abadi"/>
          <w:b/>
          <w:bCs/>
          <w:sz w:val="21"/>
          <w:szCs w:val="21"/>
        </w:rPr>
      </w:pPr>
    </w:p>
    <w:p w14:paraId="0882A373" w14:textId="77777777" w:rsidR="001E10AA" w:rsidRPr="006F0B31" w:rsidRDefault="001E10AA" w:rsidP="006F10E0">
      <w:pPr>
        <w:jc w:val="both"/>
        <w:rPr>
          <w:rFonts w:ascii="Abadi" w:hAnsi="Abadi"/>
          <w:b/>
          <w:bCs/>
          <w:sz w:val="21"/>
          <w:szCs w:val="21"/>
        </w:rPr>
      </w:pPr>
    </w:p>
    <w:p w14:paraId="622E3EB4" w14:textId="4B6F3786" w:rsidR="006F10E0" w:rsidRDefault="006F10E0" w:rsidP="006F10E0">
      <w:pPr>
        <w:jc w:val="both"/>
        <w:rPr>
          <w:rFonts w:ascii="Abadi" w:hAnsi="Abadi"/>
          <w:sz w:val="21"/>
          <w:szCs w:val="21"/>
        </w:rPr>
      </w:pPr>
      <w:r>
        <w:rPr>
          <w:rFonts w:ascii="Abadi" w:hAnsi="Abadi"/>
          <w:sz w:val="21"/>
          <w:szCs w:val="21"/>
        </w:rPr>
        <w:t>- G</w:t>
      </w:r>
      <w:r w:rsidRPr="0030088F">
        <w:rPr>
          <w:rFonts w:ascii="Abadi" w:hAnsi="Abadi"/>
          <w:sz w:val="21"/>
          <w:szCs w:val="21"/>
        </w:rPr>
        <w:t>racias presidenta con su permiso hago uso de esta tribuna en esta ocasión para hablar a favor del dictamen que se someta a consideración de este pleno</w:t>
      </w:r>
      <w:r>
        <w:rPr>
          <w:rFonts w:ascii="Abadi" w:hAnsi="Abadi"/>
          <w:sz w:val="21"/>
          <w:szCs w:val="21"/>
        </w:rPr>
        <w:t>,</w:t>
      </w:r>
      <w:r w:rsidRPr="0030088F">
        <w:rPr>
          <w:rFonts w:ascii="Abadi" w:hAnsi="Abadi"/>
          <w:sz w:val="21"/>
          <w:szCs w:val="21"/>
        </w:rPr>
        <w:t xml:space="preserve"> como punto de partida</w:t>
      </w:r>
      <w:r>
        <w:rPr>
          <w:rFonts w:ascii="Abadi" w:hAnsi="Abadi"/>
          <w:sz w:val="21"/>
          <w:szCs w:val="21"/>
        </w:rPr>
        <w:t>,</w:t>
      </w:r>
      <w:r w:rsidRPr="0030088F">
        <w:rPr>
          <w:rFonts w:ascii="Abadi" w:hAnsi="Abadi"/>
          <w:sz w:val="21"/>
          <w:szCs w:val="21"/>
        </w:rPr>
        <w:t xml:space="preserve"> deseo manifestar que el legislador del siglo </w:t>
      </w:r>
      <w:r>
        <w:rPr>
          <w:rFonts w:ascii="Abadi" w:hAnsi="Abadi"/>
          <w:sz w:val="21"/>
          <w:szCs w:val="21"/>
        </w:rPr>
        <w:t>XXI,</w:t>
      </w:r>
      <w:r w:rsidRPr="0030088F">
        <w:rPr>
          <w:rFonts w:ascii="Abadi" w:hAnsi="Abadi"/>
          <w:sz w:val="21"/>
          <w:szCs w:val="21"/>
        </w:rPr>
        <w:t xml:space="preserve"> debe poseer </w:t>
      </w:r>
      <w:r>
        <w:rPr>
          <w:rFonts w:ascii="Abadi" w:hAnsi="Abadi"/>
          <w:sz w:val="21"/>
          <w:szCs w:val="21"/>
        </w:rPr>
        <w:t xml:space="preserve">tres </w:t>
      </w:r>
      <w:r w:rsidRPr="0030088F">
        <w:rPr>
          <w:rFonts w:ascii="Abadi" w:hAnsi="Abadi"/>
          <w:sz w:val="21"/>
          <w:szCs w:val="21"/>
        </w:rPr>
        <w:t>elementos básicos en su comportamiento parlamentario</w:t>
      </w:r>
      <w:r>
        <w:rPr>
          <w:rFonts w:ascii="Abadi" w:hAnsi="Abadi"/>
          <w:sz w:val="21"/>
          <w:szCs w:val="21"/>
        </w:rPr>
        <w:t>,</w:t>
      </w:r>
      <w:r w:rsidRPr="0030088F">
        <w:rPr>
          <w:rFonts w:ascii="Abadi" w:hAnsi="Abadi"/>
          <w:sz w:val="21"/>
          <w:szCs w:val="21"/>
        </w:rPr>
        <w:t xml:space="preserve"> ética compromiso social y humildad</w:t>
      </w:r>
      <w:r>
        <w:rPr>
          <w:rFonts w:ascii="Abadi" w:hAnsi="Abadi"/>
          <w:sz w:val="21"/>
          <w:szCs w:val="21"/>
        </w:rPr>
        <w:t>,</w:t>
      </w:r>
      <w:r w:rsidRPr="0030088F">
        <w:rPr>
          <w:rFonts w:ascii="Abadi" w:hAnsi="Abadi"/>
          <w:sz w:val="21"/>
          <w:szCs w:val="21"/>
        </w:rPr>
        <w:t xml:space="preserve"> en tales condiciones la ética Evita la mala fe y la crítica insana a través de la que solo se ven los errores</w:t>
      </w:r>
      <w:r>
        <w:rPr>
          <w:rFonts w:ascii="Abadi" w:hAnsi="Abadi"/>
          <w:sz w:val="21"/>
          <w:szCs w:val="21"/>
        </w:rPr>
        <w:t>,</w:t>
      </w:r>
      <w:r w:rsidRPr="0030088F">
        <w:rPr>
          <w:rFonts w:ascii="Abadi" w:hAnsi="Abadi"/>
          <w:sz w:val="21"/>
          <w:szCs w:val="21"/>
        </w:rPr>
        <w:t xml:space="preserve"> pero jamás se aporta algo para evitarlos cuando el trabajo es y debe ser conjunto</w:t>
      </w:r>
      <w:r>
        <w:rPr>
          <w:rFonts w:ascii="Abadi" w:hAnsi="Abadi"/>
          <w:sz w:val="21"/>
          <w:szCs w:val="21"/>
        </w:rPr>
        <w:t>,</w:t>
      </w:r>
      <w:r w:rsidRPr="0030088F">
        <w:rPr>
          <w:rFonts w:ascii="Abadi" w:hAnsi="Abadi"/>
          <w:sz w:val="21"/>
          <w:szCs w:val="21"/>
        </w:rPr>
        <w:t xml:space="preserve"> habrá que recordar que con independencia de nuestras ideologías partidistas habrá eventos legislativos como este que nos ocupa en los que todos debemos asumir el compromiso social para que la ciudadanía guanajuatense tenga mejores normas porque no merecen menos</w:t>
      </w:r>
      <w:r>
        <w:rPr>
          <w:rFonts w:ascii="Abadi" w:hAnsi="Abadi"/>
          <w:sz w:val="21"/>
          <w:szCs w:val="21"/>
        </w:rPr>
        <w:t>,</w:t>
      </w:r>
      <w:r w:rsidRPr="0030088F">
        <w:rPr>
          <w:rFonts w:ascii="Abadi" w:hAnsi="Abadi"/>
          <w:sz w:val="21"/>
          <w:szCs w:val="21"/>
        </w:rPr>
        <w:t xml:space="preserve"> la humildad se alcanza cuando aceptamos que todos estamos propensos a cometer errores y </w:t>
      </w:r>
      <w:r w:rsidRPr="0030088F">
        <w:rPr>
          <w:rFonts w:ascii="Abadi" w:hAnsi="Abadi"/>
          <w:sz w:val="21"/>
          <w:szCs w:val="21"/>
        </w:rPr>
        <w:t>que nadie somos perfectos</w:t>
      </w:r>
      <w:r>
        <w:rPr>
          <w:rFonts w:ascii="Abadi" w:hAnsi="Abadi"/>
          <w:sz w:val="21"/>
          <w:szCs w:val="21"/>
        </w:rPr>
        <w:t>,</w:t>
      </w:r>
      <w:r w:rsidRPr="0030088F">
        <w:rPr>
          <w:rFonts w:ascii="Abadi" w:hAnsi="Abadi"/>
          <w:sz w:val="21"/>
          <w:szCs w:val="21"/>
        </w:rPr>
        <w:t xml:space="preserve"> por lo que en ocasiones debemos trabajar en conjunto para evitar la emisión de normas con vicios de inconstitucionalidad que al final del camino con independencia del sentido del voto nos perjudica a todos los que estamos aquí</w:t>
      </w:r>
      <w:r>
        <w:rPr>
          <w:rFonts w:ascii="Abadi" w:hAnsi="Abadi"/>
          <w:sz w:val="21"/>
          <w:szCs w:val="21"/>
        </w:rPr>
        <w:t>.</w:t>
      </w:r>
    </w:p>
    <w:p w14:paraId="6B61B37A" w14:textId="77777777" w:rsidR="001E10AA" w:rsidRDefault="001E10AA" w:rsidP="006F10E0">
      <w:pPr>
        <w:jc w:val="both"/>
        <w:rPr>
          <w:rFonts w:ascii="Abadi" w:hAnsi="Abadi"/>
          <w:sz w:val="21"/>
          <w:szCs w:val="21"/>
        </w:rPr>
      </w:pPr>
    </w:p>
    <w:p w14:paraId="23287149" w14:textId="77777777" w:rsidR="006F10E0" w:rsidRDefault="006F10E0" w:rsidP="006F10E0">
      <w:pPr>
        <w:jc w:val="both"/>
        <w:rPr>
          <w:rFonts w:ascii="Abadi" w:hAnsi="Abadi"/>
          <w:sz w:val="21"/>
          <w:szCs w:val="21"/>
        </w:rPr>
      </w:pPr>
      <w:r>
        <w:rPr>
          <w:rFonts w:ascii="Abadi" w:hAnsi="Abadi"/>
          <w:sz w:val="21"/>
          <w:szCs w:val="21"/>
        </w:rPr>
        <w:t>- P</w:t>
      </w:r>
      <w:r w:rsidRPr="0030088F">
        <w:rPr>
          <w:rFonts w:ascii="Abadi" w:hAnsi="Abadi"/>
          <w:sz w:val="21"/>
          <w:szCs w:val="21"/>
        </w:rPr>
        <w:t>orque no se olvide que la concesión de acciones de inconstitucionalidad o de amparos contra leyes son una mala nota colectiva para este congreso al que nos debemos</w:t>
      </w:r>
      <w:r>
        <w:rPr>
          <w:rFonts w:ascii="Abadi" w:hAnsi="Abadi"/>
          <w:sz w:val="21"/>
          <w:szCs w:val="21"/>
        </w:rPr>
        <w:t>,</w:t>
      </w:r>
      <w:r w:rsidRPr="0030088F">
        <w:rPr>
          <w:rFonts w:ascii="Abadi" w:hAnsi="Abadi"/>
          <w:sz w:val="21"/>
          <w:szCs w:val="21"/>
        </w:rPr>
        <w:t xml:space="preserve"> lo cual consideramos en este caso se </w:t>
      </w:r>
      <w:r>
        <w:rPr>
          <w:rFonts w:ascii="Abadi" w:hAnsi="Abadi"/>
          <w:sz w:val="21"/>
          <w:szCs w:val="21"/>
        </w:rPr>
        <w:t>e</w:t>
      </w:r>
      <w:r w:rsidRPr="0030088F">
        <w:rPr>
          <w:rFonts w:ascii="Abadi" w:hAnsi="Abadi"/>
          <w:sz w:val="21"/>
          <w:szCs w:val="21"/>
        </w:rPr>
        <w:t xml:space="preserve">vita gracias al trabajo </w:t>
      </w:r>
      <w:r>
        <w:rPr>
          <w:rFonts w:ascii="Abadi" w:hAnsi="Abadi"/>
          <w:sz w:val="21"/>
          <w:szCs w:val="21"/>
        </w:rPr>
        <w:t xml:space="preserve">en </w:t>
      </w:r>
      <w:r w:rsidRPr="0030088F">
        <w:rPr>
          <w:rFonts w:ascii="Abadi" w:hAnsi="Abadi"/>
          <w:sz w:val="21"/>
          <w:szCs w:val="21"/>
        </w:rPr>
        <w:t>conjunto</w:t>
      </w:r>
      <w:r>
        <w:rPr>
          <w:rFonts w:ascii="Abadi" w:hAnsi="Abadi"/>
          <w:sz w:val="21"/>
          <w:szCs w:val="21"/>
        </w:rPr>
        <w:t>,</w:t>
      </w:r>
      <w:r w:rsidRPr="0030088F">
        <w:rPr>
          <w:rFonts w:ascii="Abadi" w:hAnsi="Abadi"/>
          <w:sz w:val="21"/>
          <w:szCs w:val="21"/>
        </w:rPr>
        <w:t xml:space="preserve"> es por ello</w:t>
      </w:r>
      <w:r>
        <w:rPr>
          <w:rFonts w:ascii="Abadi" w:hAnsi="Abadi"/>
          <w:sz w:val="21"/>
          <w:szCs w:val="21"/>
        </w:rPr>
        <w:t>,</w:t>
      </w:r>
      <w:r w:rsidRPr="0030088F">
        <w:rPr>
          <w:rFonts w:ascii="Abadi" w:hAnsi="Abadi"/>
          <w:sz w:val="21"/>
          <w:szCs w:val="21"/>
        </w:rPr>
        <w:t xml:space="preserve"> que este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del </w:t>
      </w:r>
      <w:r>
        <w:rPr>
          <w:rFonts w:ascii="Abadi" w:hAnsi="Abadi"/>
          <w:sz w:val="21"/>
          <w:szCs w:val="21"/>
        </w:rPr>
        <w:t>P</w:t>
      </w:r>
      <w:r w:rsidRPr="0030088F">
        <w:rPr>
          <w:rFonts w:ascii="Abadi" w:hAnsi="Abadi"/>
          <w:sz w:val="21"/>
          <w:szCs w:val="21"/>
        </w:rPr>
        <w:t xml:space="preserve">artido </w:t>
      </w:r>
      <w:r>
        <w:rPr>
          <w:rFonts w:ascii="Abadi" w:hAnsi="Abadi"/>
          <w:sz w:val="21"/>
          <w:szCs w:val="21"/>
        </w:rPr>
        <w:t>R</w:t>
      </w:r>
      <w:r w:rsidRPr="0030088F">
        <w:rPr>
          <w:rFonts w:ascii="Abadi" w:hAnsi="Abadi"/>
          <w:sz w:val="21"/>
          <w:szCs w:val="21"/>
        </w:rPr>
        <w:t xml:space="preserve">evolucionario </w:t>
      </w:r>
      <w:r>
        <w:rPr>
          <w:rFonts w:ascii="Abadi" w:hAnsi="Abadi"/>
          <w:sz w:val="21"/>
          <w:szCs w:val="21"/>
        </w:rPr>
        <w:t>I</w:t>
      </w:r>
      <w:r w:rsidRPr="0030088F">
        <w:rPr>
          <w:rFonts w:ascii="Abadi" w:hAnsi="Abadi"/>
          <w:sz w:val="21"/>
          <w:szCs w:val="21"/>
        </w:rPr>
        <w:t xml:space="preserve">nstitucional se congratula por cumplir nuestro compromiso social de ser partícipes de mejores normas y nos obliga en esta ocasión a pronunciarnos en favor de la armonización de nuestra constitución local con la </w:t>
      </w:r>
      <w:r>
        <w:rPr>
          <w:rFonts w:ascii="Abadi" w:hAnsi="Abadi"/>
          <w:sz w:val="21"/>
          <w:szCs w:val="21"/>
        </w:rPr>
        <w:t>C</w:t>
      </w:r>
      <w:r w:rsidRPr="0030088F">
        <w:rPr>
          <w:rFonts w:ascii="Abadi" w:hAnsi="Abadi"/>
          <w:sz w:val="21"/>
          <w:szCs w:val="21"/>
        </w:rPr>
        <w:t xml:space="preserve">arta </w:t>
      </w:r>
      <w:r>
        <w:rPr>
          <w:rFonts w:ascii="Abadi" w:hAnsi="Abadi"/>
          <w:sz w:val="21"/>
          <w:szCs w:val="21"/>
        </w:rPr>
        <w:t>M</w:t>
      </w:r>
      <w:r w:rsidRPr="0030088F">
        <w:rPr>
          <w:rFonts w:ascii="Abadi" w:hAnsi="Abadi"/>
          <w:sz w:val="21"/>
          <w:szCs w:val="21"/>
        </w:rPr>
        <w:t>agna cuidando como prioridad el respeto al principio de legalidad porque en este caso concreto no había razones de técnica jurídica para aplicar el test de proporcionalidad y racionalidad</w:t>
      </w:r>
      <w:r>
        <w:rPr>
          <w:rFonts w:ascii="Abadi" w:hAnsi="Abadi"/>
          <w:sz w:val="21"/>
          <w:szCs w:val="21"/>
        </w:rPr>
        <w:t>,</w:t>
      </w:r>
      <w:r w:rsidRPr="0030088F">
        <w:rPr>
          <w:rFonts w:ascii="Abadi" w:hAnsi="Abadi"/>
          <w:sz w:val="21"/>
          <w:szCs w:val="21"/>
        </w:rPr>
        <w:t xml:space="preserve"> porque para estos supuestos solo se requiere el cuidado del rastreo de la cadena de autorización jurídica constitucional como único requisito de armonización a la </w:t>
      </w:r>
      <w:r>
        <w:rPr>
          <w:rFonts w:ascii="Abadi" w:hAnsi="Abadi"/>
          <w:sz w:val="21"/>
          <w:szCs w:val="21"/>
        </w:rPr>
        <w:t>C</w:t>
      </w:r>
      <w:r w:rsidRPr="0030088F">
        <w:rPr>
          <w:rFonts w:ascii="Abadi" w:hAnsi="Abadi"/>
          <w:sz w:val="21"/>
          <w:szCs w:val="21"/>
        </w:rPr>
        <w:t xml:space="preserve">arta </w:t>
      </w:r>
      <w:r>
        <w:rPr>
          <w:rFonts w:ascii="Abadi" w:hAnsi="Abadi"/>
          <w:sz w:val="21"/>
          <w:szCs w:val="21"/>
        </w:rPr>
        <w:t>M</w:t>
      </w:r>
      <w:r w:rsidRPr="0030088F">
        <w:rPr>
          <w:rFonts w:ascii="Abadi" w:hAnsi="Abadi"/>
          <w:sz w:val="21"/>
          <w:szCs w:val="21"/>
        </w:rPr>
        <w:t>agna</w:t>
      </w:r>
      <w:r>
        <w:rPr>
          <w:rFonts w:ascii="Abadi" w:hAnsi="Abadi"/>
          <w:sz w:val="21"/>
          <w:szCs w:val="21"/>
        </w:rPr>
        <w:t>,</w:t>
      </w:r>
      <w:r w:rsidRPr="0030088F">
        <w:rPr>
          <w:rFonts w:ascii="Abadi" w:hAnsi="Abadi"/>
          <w:sz w:val="21"/>
          <w:szCs w:val="21"/>
        </w:rPr>
        <w:t xml:space="preserve"> lo que así </w:t>
      </w:r>
      <w:r>
        <w:rPr>
          <w:rFonts w:ascii="Abadi" w:hAnsi="Abadi"/>
          <w:sz w:val="21"/>
          <w:szCs w:val="21"/>
        </w:rPr>
        <w:t xml:space="preserve">se hizo. </w:t>
      </w:r>
    </w:p>
    <w:p w14:paraId="56263A4A" w14:textId="77777777" w:rsidR="001E10AA" w:rsidRDefault="001E10AA" w:rsidP="006F10E0">
      <w:pPr>
        <w:jc w:val="both"/>
        <w:rPr>
          <w:rFonts w:ascii="Abadi" w:hAnsi="Abadi"/>
          <w:sz w:val="21"/>
          <w:szCs w:val="21"/>
        </w:rPr>
      </w:pPr>
    </w:p>
    <w:p w14:paraId="618EB497" w14:textId="77777777" w:rsidR="006F10E0" w:rsidRDefault="006F10E0" w:rsidP="006F10E0">
      <w:pPr>
        <w:jc w:val="both"/>
        <w:rPr>
          <w:rFonts w:ascii="Abadi" w:hAnsi="Abadi"/>
          <w:sz w:val="21"/>
          <w:szCs w:val="21"/>
        </w:rPr>
      </w:pPr>
      <w:r>
        <w:rPr>
          <w:rFonts w:ascii="Abadi" w:hAnsi="Abadi"/>
          <w:sz w:val="21"/>
          <w:szCs w:val="21"/>
        </w:rPr>
        <w:t>- Así</w:t>
      </w:r>
      <w:r w:rsidRPr="0030088F">
        <w:rPr>
          <w:rFonts w:ascii="Abadi" w:hAnsi="Abadi"/>
          <w:sz w:val="21"/>
          <w:szCs w:val="21"/>
        </w:rPr>
        <w:t xml:space="preserve"> mediante esta reforma se reafirma el rechazo absoluto a conductas delictivas o de ataques a la libertad a la seguridad sexual y a la violencia en cualquiera de sus tipos cometida en contra de las personas en particular aquella que se realiza en contra de la niñez y de las mujeres</w:t>
      </w:r>
      <w:r>
        <w:rPr>
          <w:rFonts w:ascii="Abadi" w:hAnsi="Abadi"/>
          <w:sz w:val="21"/>
          <w:szCs w:val="21"/>
        </w:rPr>
        <w:t>,</w:t>
      </w:r>
      <w:r w:rsidRPr="0030088F">
        <w:rPr>
          <w:rFonts w:ascii="Abadi" w:hAnsi="Abadi"/>
          <w:sz w:val="21"/>
          <w:szCs w:val="21"/>
        </w:rPr>
        <w:t xml:space="preserve"> bajo esta premisa podemos</w:t>
      </w:r>
      <w:r>
        <w:rPr>
          <w:rFonts w:ascii="Abadi" w:hAnsi="Abadi"/>
          <w:sz w:val="21"/>
          <w:szCs w:val="21"/>
        </w:rPr>
        <w:t>,</w:t>
      </w:r>
      <w:r w:rsidRPr="0030088F">
        <w:rPr>
          <w:rFonts w:ascii="Abadi" w:hAnsi="Abadi"/>
          <w:sz w:val="21"/>
          <w:szCs w:val="21"/>
        </w:rPr>
        <w:t xml:space="preserve"> estamos a favor del dictamen que hoy presenta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 xml:space="preserve">obernación y </w:t>
      </w:r>
      <w:r>
        <w:rPr>
          <w:rFonts w:ascii="Abadi" w:hAnsi="Abadi"/>
          <w:sz w:val="21"/>
          <w:szCs w:val="21"/>
        </w:rPr>
        <w:t>P</w:t>
      </w:r>
      <w:r w:rsidRPr="0030088F">
        <w:rPr>
          <w:rFonts w:ascii="Abadi" w:hAnsi="Abadi"/>
          <w:sz w:val="21"/>
          <w:szCs w:val="21"/>
        </w:rPr>
        <w:t xml:space="preserve">untos </w:t>
      </w:r>
      <w:r>
        <w:rPr>
          <w:rFonts w:ascii="Abadi" w:hAnsi="Abadi"/>
          <w:sz w:val="21"/>
          <w:szCs w:val="21"/>
        </w:rPr>
        <w:t>C</w:t>
      </w:r>
      <w:r w:rsidRPr="0030088F">
        <w:rPr>
          <w:rFonts w:ascii="Abadi" w:hAnsi="Abadi"/>
          <w:sz w:val="21"/>
          <w:szCs w:val="21"/>
        </w:rPr>
        <w:t>onstitucionales</w:t>
      </w:r>
      <w:r>
        <w:rPr>
          <w:rFonts w:ascii="Abadi" w:hAnsi="Abadi"/>
          <w:sz w:val="21"/>
          <w:szCs w:val="21"/>
        </w:rPr>
        <w:t>,</w:t>
      </w:r>
      <w:r w:rsidRPr="0030088F">
        <w:rPr>
          <w:rFonts w:ascii="Abadi" w:hAnsi="Abadi"/>
          <w:sz w:val="21"/>
          <w:szCs w:val="21"/>
        </w:rPr>
        <w:t xml:space="preserve"> en la que sin duda se refleja el gran trabajo de estudio y análisis jurídico como se advierte en su contenido</w:t>
      </w:r>
      <w:r>
        <w:rPr>
          <w:rFonts w:ascii="Abadi" w:hAnsi="Abadi"/>
          <w:sz w:val="21"/>
          <w:szCs w:val="21"/>
        </w:rPr>
        <w:t>.</w:t>
      </w:r>
    </w:p>
    <w:p w14:paraId="3AB2F21A"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 xml:space="preserve">n el dictamen se abordan diversos aspectos que proponen reformas y adiciones a diversas disposiciones de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P</w:t>
      </w:r>
      <w:r w:rsidRPr="0030088F">
        <w:rPr>
          <w:rFonts w:ascii="Abadi" w:hAnsi="Abadi"/>
          <w:sz w:val="21"/>
          <w:szCs w:val="21"/>
        </w:rPr>
        <w:t>olítica para el</w:t>
      </w:r>
      <w:r>
        <w:rPr>
          <w:rFonts w:ascii="Abadi" w:hAnsi="Abadi"/>
          <w:sz w:val="21"/>
          <w:szCs w:val="21"/>
        </w:rPr>
        <w:t xml:space="preserve"> Es</w:t>
      </w:r>
      <w:r w:rsidRPr="0030088F">
        <w:rPr>
          <w:rFonts w:ascii="Abadi" w:hAnsi="Abadi"/>
          <w:sz w:val="21"/>
          <w:szCs w:val="21"/>
        </w:rPr>
        <w:t>tado de Guanajuato</w:t>
      </w:r>
      <w:r>
        <w:rPr>
          <w:rFonts w:ascii="Abadi" w:hAnsi="Abadi"/>
          <w:sz w:val="21"/>
          <w:szCs w:val="21"/>
        </w:rPr>
        <w:t>,</w:t>
      </w:r>
      <w:r w:rsidRPr="0030088F">
        <w:rPr>
          <w:rFonts w:ascii="Abadi" w:hAnsi="Abadi"/>
          <w:sz w:val="21"/>
          <w:szCs w:val="21"/>
        </w:rPr>
        <w:t xml:space="preserve"> estableciendo mecanismos en materia de prevención sobre requisitos de elegibilidad y de suspensión de prerrogativas</w:t>
      </w:r>
      <w:r>
        <w:rPr>
          <w:rFonts w:ascii="Abadi" w:hAnsi="Abadi"/>
          <w:sz w:val="21"/>
          <w:szCs w:val="21"/>
        </w:rPr>
        <w:t xml:space="preserve">, </w:t>
      </w:r>
      <w:r w:rsidRPr="0030088F">
        <w:rPr>
          <w:rFonts w:ascii="Abadi" w:hAnsi="Abadi"/>
          <w:sz w:val="21"/>
          <w:szCs w:val="21"/>
        </w:rPr>
        <w:t>es así que la reforma que se pretende aprobar</w:t>
      </w:r>
      <w:r>
        <w:rPr>
          <w:rFonts w:ascii="Abadi" w:hAnsi="Abadi"/>
          <w:sz w:val="21"/>
          <w:szCs w:val="21"/>
        </w:rPr>
        <w:t xml:space="preserve">, evita que </w:t>
      </w:r>
      <w:r w:rsidRPr="0030088F">
        <w:rPr>
          <w:rFonts w:ascii="Abadi" w:hAnsi="Abadi"/>
          <w:sz w:val="21"/>
          <w:szCs w:val="21"/>
        </w:rPr>
        <w:t>aquellas personas que por contar con sentencia condenatoria o ser declarada como persona deudora alimentaria amorosa no le sea factible registrarse a un puesto de elección popular o asumir un cargo público por presentar un perfil constitucional inadecuado</w:t>
      </w:r>
      <w:r>
        <w:rPr>
          <w:rFonts w:ascii="Abadi" w:hAnsi="Abadi"/>
          <w:sz w:val="21"/>
          <w:szCs w:val="21"/>
        </w:rPr>
        <w:t>.</w:t>
      </w:r>
    </w:p>
    <w:p w14:paraId="2461FCE6" w14:textId="77777777" w:rsidR="001E10AA" w:rsidRDefault="001E10AA" w:rsidP="006F10E0">
      <w:pPr>
        <w:jc w:val="both"/>
        <w:rPr>
          <w:rFonts w:ascii="Abadi" w:hAnsi="Abadi"/>
          <w:sz w:val="21"/>
          <w:szCs w:val="21"/>
        </w:rPr>
      </w:pPr>
    </w:p>
    <w:p w14:paraId="7DFEA2D6" w14:textId="77777777" w:rsidR="006F10E0" w:rsidRDefault="006F10E0" w:rsidP="006F10E0">
      <w:pPr>
        <w:jc w:val="both"/>
        <w:rPr>
          <w:rFonts w:ascii="Abadi" w:hAnsi="Abadi"/>
          <w:sz w:val="21"/>
          <w:szCs w:val="21"/>
        </w:rPr>
      </w:pPr>
      <w:r>
        <w:rPr>
          <w:rFonts w:ascii="Abadi" w:hAnsi="Abadi"/>
          <w:sz w:val="21"/>
          <w:szCs w:val="21"/>
        </w:rPr>
        <w:t>- A</w:t>
      </w:r>
      <w:r w:rsidRPr="0030088F">
        <w:rPr>
          <w:rFonts w:ascii="Abadi" w:hAnsi="Abadi"/>
          <w:sz w:val="21"/>
          <w:szCs w:val="21"/>
        </w:rPr>
        <w:t>sí pues</w:t>
      </w:r>
      <w:r>
        <w:rPr>
          <w:rFonts w:ascii="Abadi" w:hAnsi="Abadi"/>
          <w:sz w:val="21"/>
          <w:szCs w:val="21"/>
        </w:rPr>
        <w:t>,</w:t>
      </w:r>
      <w:r w:rsidRPr="0030088F">
        <w:rPr>
          <w:rFonts w:ascii="Abadi" w:hAnsi="Abadi"/>
          <w:sz w:val="21"/>
          <w:szCs w:val="21"/>
        </w:rPr>
        <w:t xml:space="preserve"> el contenido del dictamen queda de manifiesto la voluntad de este congreso a ce</w:t>
      </w:r>
      <w:r>
        <w:rPr>
          <w:rFonts w:ascii="Abadi" w:hAnsi="Abadi"/>
          <w:sz w:val="21"/>
          <w:szCs w:val="21"/>
        </w:rPr>
        <w:t>ñirse</w:t>
      </w:r>
      <w:r w:rsidRPr="0030088F">
        <w:rPr>
          <w:rFonts w:ascii="Abadi" w:hAnsi="Abadi"/>
          <w:sz w:val="21"/>
          <w:szCs w:val="21"/>
        </w:rPr>
        <w:t xml:space="preserve"> estrictamente al mandato del constituyente sin ir más allá en materia de restricciones constitucionales ni pretender extenderlas lo que hubiese motivado la pérdida de la cadena de autorización constitucional con requisito formal de la legalidad y por tanto la invasión de las facultades del </w:t>
      </w:r>
      <w:r>
        <w:rPr>
          <w:rFonts w:ascii="Abadi" w:hAnsi="Abadi"/>
          <w:sz w:val="21"/>
          <w:szCs w:val="21"/>
        </w:rPr>
        <w:t>C</w:t>
      </w:r>
      <w:r w:rsidRPr="0030088F">
        <w:rPr>
          <w:rFonts w:ascii="Abadi" w:hAnsi="Abadi"/>
          <w:sz w:val="21"/>
          <w:szCs w:val="21"/>
        </w:rPr>
        <w:t xml:space="preserve">ongreso </w:t>
      </w:r>
      <w:r>
        <w:rPr>
          <w:rFonts w:ascii="Abadi" w:hAnsi="Abadi"/>
          <w:sz w:val="21"/>
          <w:szCs w:val="21"/>
        </w:rPr>
        <w:t>Fe</w:t>
      </w:r>
      <w:r w:rsidRPr="0030088F">
        <w:rPr>
          <w:rFonts w:ascii="Abadi" w:hAnsi="Abadi"/>
          <w:sz w:val="21"/>
          <w:szCs w:val="21"/>
        </w:rPr>
        <w:t>deral</w:t>
      </w:r>
      <w:r>
        <w:rPr>
          <w:rFonts w:ascii="Abadi" w:hAnsi="Abadi"/>
          <w:sz w:val="21"/>
          <w:szCs w:val="21"/>
        </w:rPr>
        <w:t>,</w:t>
      </w:r>
      <w:r w:rsidRPr="0030088F">
        <w:rPr>
          <w:rFonts w:ascii="Abadi" w:hAnsi="Abadi"/>
          <w:sz w:val="21"/>
          <w:szCs w:val="21"/>
        </w:rPr>
        <w:t xml:space="preserve"> así se ha elevado a rango constitucional la llamada ley 3 de 3 ante la reforma al artículo 38 de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F</w:t>
      </w:r>
      <w:r w:rsidRPr="0030088F">
        <w:rPr>
          <w:rFonts w:ascii="Abadi" w:hAnsi="Abadi"/>
          <w:sz w:val="21"/>
          <w:szCs w:val="21"/>
        </w:rPr>
        <w:t>ederal por lo que estas disposiciones constitucionales que ahora se replican serán sin duda orientadoras para el trabajo que habremos de realizar en el estudio de otras propuestas relacionadas que se encuentran en trámite parlamentario</w:t>
      </w:r>
      <w:r>
        <w:rPr>
          <w:rFonts w:ascii="Abadi" w:hAnsi="Abadi"/>
          <w:sz w:val="21"/>
          <w:szCs w:val="21"/>
        </w:rPr>
        <w:t>.</w:t>
      </w:r>
    </w:p>
    <w:p w14:paraId="1458E40D" w14:textId="77777777" w:rsidR="001E10AA" w:rsidRDefault="001E10AA" w:rsidP="006F10E0">
      <w:pPr>
        <w:jc w:val="both"/>
        <w:rPr>
          <w:rFonts w:ascii="Abadi" w:hAnsi="Abadi"/>
          <w:sz w:val="21"/>
          <w:szCs w:val="21"/>
        </w:rPr>
      </w:pPr>
    </w:p>
    <w:p w14:paraId="2CB9F251" w14:textId="77777777" w:rsidR="006F10E0" w:rsidRDefault="006F10E0" w:rsidP="006F10E0">
      <w:pPr>
        <w:jc w:val="both"/>
        <w:rPr>
          <w:rFonts w:ascii="Abadi" w:hAnsi="Abadi"/>
          <w:sz w:val="21"/>
          <w:szCs w:val="21"/>
        </w:rPr>
      </w:pPr>
      <w:r>
        <w:rPr>
          <w:rFonts w:ascii="Abadi" w:hAnsi="Abadi"/>
          <w:sz w:val="21"/>
          <w:szCs w:val="21"/>
        </w:rPr>
        <w:t>- S</w:t>
      </w:r>
      <w:r w:rsidRPr="0030088F">
        <w:rPr>
          <w:rFonts w:ascii="Abadi" w:hAnsi="Abadi"/>
          <w:sz w:val="21"/>
          <w:szCs w:val="21"/>
        </w:rPr>
        <w:t>on estas razones</w:t>
      </w:r>
      <w:r>
        <w:rPr>
          <w:rFonts w:ascii="Abadi" w:hAnsi="Abadi"/>
          <w:sz w:val="21"/>
          <w:szCs w:val="21"/>
        </w:rPr>
        <w:t>,</w:t>
      </w:r>
      <w:r w:rsidRPr="0030088F">
        <w:rPr>
          <w:rFonts w:ascii="Abadi" w:hAnsi="Abadi"/>
          <w:sz w:val="21"/>
          <w:szCs w:val="21"/>
        </w:rPr>
        <w:t xml:space="preserve"> por las que nos pronunciamos a favor de la presente propuesta porque derivado del estudio y análisis cuidadoso que se realizó en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 xml:space="preserve">obernación y </w:t>
      </w:r>
      <w:r>
        <w:rPr>
          <w:rFonts w:ascii="Abadi" w:hAnsi="Abadi"/>
          <w:sz w:val="21"/>
          <w:szCs w:val="21"/>
        </w:rPr>
        <w:t>P</w:t>
      </w:r>
      <w:r w:rsidRPr="0030088F">
        <w:rPr>
          <w:rFonts w:ascii="Abadi" w:hAnsi="Abadi"/>
          <w:sz w:val="21"/>
          <w:szCs w:val="21"/>
        </w:rPr>
        <w:t xml:space="preserve">untos </w:t>
      </w:r>
      <w:r>
        <w:rPr>
          <w:rFonts w:ascii="Abadi" w:hAnsi="Abadi"/>
          <w:sz w:val="21"/>
          <w:szCs w:val="21"/>
        </w:rPr>
        <w:t>C</w:t>
      </w:r>
      <w:r w:rsidRPr="0030088F">
        <w:rPr>
          <w:rFonts w:ascii="Abadi" w:hAnsi="Abadi"/>
          <w:sz w:val="21"/>
          <w:szCs w:val="21"/>
        </w:rPr>
        <w:t>onstitucionales en particular en las diversas mesas de trabajo sin estridencias con trabajo conjunto</w:t>
      </w:r>
      <w:r>
        <w:rPr>
          <w:rFonts w:ascii="Abadi" w:hAnsi="Abadi"/>
          <w:sz w:val="21"/>
          <w:szCs w:val="21"/>
        </w:rPr>
        <w:t>,</w:t>
      </w:r>
      <w:r w:rsidRPr="0030088F">
        <w:rPr>
          <w:rFonts w:ascii="Abadi" w:hAnsi="Abadi"/>
          <w:sz w:val="21"/>
          <w:szCs w:val="21"/>
        </w:rPr>
        <w:t xml:space="preserve"> con ética parlamentaria y el compromiso social</w:t>
      </w:r>
      <w:r>
        <w:rPr>
          <w:rFonts w:ascii="Abadi" w:hAnsi="Abadi"/>
          <w:sz w:val="21"/>
          <w:szCs w:val="21"/>
        </w:rPr>
        <w:t>,</w:t>
      </w:r>
      <w:r w:rsidRPr="0030088F">
        <w:rPr>
          <w:rFonts w:ascii="Abadi" w:hAnsi="Abadi"/>
          <w:sz w:val="21"/>
          <w:szCs w:val="21"/>
        </w:rPr>
        <w:t xml:space="preserve"> es esto la base de</w:t>
      </w:r>
      <w:r>
        <w:rPr>
          <w:rFonts w:ascii="Abadi" w:hAnsi="Abadi"/>
          <w:sz w:val="21"/>
          <w:szCs w:val="21"/>
        </w:rPr>
        <w:t xml:space="preserve"> </w:t>
      </w:r>
      <w:r w:rsidRPr="0030088F">
        <w:rPr>
          <w:rFonts w:ascii="Abadi" w:hAnsi="Abadi"/>
          <w:sz w:val="21"/>
          <w:szCs w:val="21"/>
        </w:rPr>
        <w:t>la materialización de este dictamen que espero sea aprobado</w:t>
      </w:r>
      <w:r>
        <w:rPr>
          <w:rFonts w:ascii="Abadi" w:hAnsi="Abadi"/>
          <w:sz w:val="21"/>
          <w:szCs w:val="21"/>
        </w:rPr>
        <w:t>.</w:t>
      </w:r>
    </w:p>
    <w:p w14:paraId="2278AE95" w14:textId="77777777" w:rsidR="001E10AA" w:rsidRDefault="001E10AA" w:rsidP="006F10E0">
      <w:pPr>
        <w:jc w:val="both"/>
        <w:rPr>
          <w:rFonts w:ascii="Abadi" w:hAnsi="Abadi"/>
          <w:sz w:val="21"/>
          <w:szCs w:val="21"/>
        </w:rPr>
      </w:pPr>
    </w:p>
    <w:p w14:paraId="7491C997" w14:textId="77777777" w:rsidR="006F10E0" w:rsidRDefault="006F10E0" w:rsidP="006F10E0">
      <w:pPr>
        <w:jc w:val="both"/>
        <w:rPr>
          <w:rFonts w:ascii="Abadi" w:hAnsi="Abadi"/>
          <w:sz w:val="21"/>
          <w:szCs w:val="21"/>
        </w:rPr>
      </w:pPr>
      <w:r>
        <w:rPr>
          <w:rFonts w:ascii="Abadi" w:hAnsi="Abadi"/>
          <w:sz w:val="21"/>
          <w:szCs w:val="21"/>
        </w:rPr>
        <w:t xml:space="preserve">- En </w:t>
      </w:r>
      <w:r w:rsidRPr="0030088F">
        <w:rPr>
          <w:rFonts w:ascii="Abadi" w:hAnsi="Abadi"/>
          <w:sz w:val="21"/>
          <w:szCs w:val="21"/>
        </w:rPr>
        <w:t>tal orden de pensamiento</w:t>
      </w:r>
      <w:r>
        <w:rPr>
          <w:rFonts w:ascii="Abadi" w:hAnsi="Abadi"/>
          <w:sz w:val="21"/>
          <w:szCs w:val="21"/>
        </w:rPr>
        <w:t>,</w:t>
      </w:r>
      <w:r w:rsidRPr="0030088F">
        <w:rPr>
          <w:rFonts w:ascii="Abadi" w:hAnsi="Abadi"/>
          <w:sz w:val="21"/>
          <w:szCs w:val="21"/>
        </w:rPr>
        <w:t xml:space="preserve"> no debe existir duda de que en 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del </w:t>
      </w:r>
      <w:r>
        <w:rPr>
          <w:rFonts w:ascii="Abadi" w:hAnsi="Abadi"/>
          <w:sz w:val="21"/>
          <w:szCs w:val="21"/>
        </w:rPr>
        <w:t xml:space="preserve">PRI, </w:t>
      </w:r>
      <w:r w:rsidRPr="0030088F">
        <w:rPr>
          <w:rFonts w:ascii="Abadi" w:hAnsi="Abadi"/>
          <w:sz w:val="21"/>
          <w:szCs w:val="21"/>
        </w:rPr>
        <w:t>estamos a favor de la evolución del nuevo derecho constitucional y de la progresividad de los derechos humanos</w:t>
      </w:r>
      <w:r>
        <w:rPr>
          <w:rFonts w:ascii="Abadi" w:hAnsi="Abadi"/>
          <w:sz w:val="21"/>
          <w:szCs w:val="21"/>
        </w:rPr>
        <w:t>,</w:t>
      </w:r>
      <w:r w:rsidRPr="0030088F">
        <w:rPr>
          <w:rFonts w:ascii="Abadi" w:hAnsi="Abadi"/>
          <w:sz w:val="21"/>
          <w:szCs w:val="21"/>
        </w:rPr>
        <w:t xml:space="preserve"> que sin tener carácter absoluto en este caso equilibran con extrema finura jurídica las restricciones constitucionales en contraposición con los derechos fundamentales a la mayor protección de la sociedad la mujer y la niñez tanto mexicana como guanajuatense para seguir avanzando en la construcción del estado democrático de derecho y un mejor futuro de nuestras niñas y niños</w:t>
      </w:r>
      <w:r>
        <w:rPr>
          <w:rFonts w:ascii="Abadi" w:hAnsi="Abadi"/>
          <w:sz w:val="21"/>
          <w:szCs w:val="21"/>
        </w:rPr>
        <w:t>.</w:t>
      </w:r>
    </w:p>
    <w:p w14:paraId="25605202" w14:textId="77777777" w:rsidR="001E10AA" w:rsidRDefault="001E10AA" w:rsidP="006F10E0">
      <w:pPr>
        <w:jc w:val="both"/>
        <w:rPr>
          <w:rFonts w:ascii="Abadi" w:hAnsi="Abadi"/>
          <w:sz w:val="21"/>
          <w:szCs w:val="21"/>
        </w:rPr>
      </w:pPr>
    </w:p>
    <w:p w14:paraId="17EFA097" w14:textId="77777777" w:rsidR="006F10E0" w:rsidRDefault="006F10E0" w:rsidP="006F10E0">
      <w:pPr>
        <w:jc w:val="both"/>
        <w:rPr>
          <w:rFonts w:ascii="Abadi" w:hAnsi="Abadi"/>
          <w:sz w:val="21"/>
          <w:szCs w:val="21"/>
        </w:rPr>
      </w:pPr>
      <w:r>
        <w:rPr>
          <w:rFonts w:ascii="Abadi" w:hAnsi="Abadi"/>
          <w:sz w:val="21"/>
          <w:szCs w:val="21"/>
        </w:rPr>
        <w:t>- P</w:t>
      </w:r>
      <w:r w:rsidRPr="0030088F">
        <w:rPr>
          <w:rFonts w:ascii="Abadi" w:hAnsi="Abadi"/>
          <w:sz w:val="21"/>
          <w:szCs w:val="21"/>
        </w:rPr>
        <w:t>or todo lo aquí manifestado y convencido de que se practicó una cirugía jurídica de armonización de alta calidad</w:t>
      </w:r>
      <w:r>
        <w:rPr>
          <w:rFonts w:ascii="Abadi" w:hAnsi="Abadi"/>
          <w:sz w:val="21"/>
          <w:szCs w:val="21"/>
        </w:rPr>
        <w:t>,</w:t>
      </w:r>
      <w:r w:rsidRPr="0030088F">
        <w:rPr>
          <w:rFonts w:ascii="Abadi" w:hAnsi="Abadi"/>
          <w:sz w:val="21"/>
          <w:szCs w:val="21"/>
        </w:rPr>
        <w:t xml:space="preserve"> es que solicito a quienes integramos este pleno el voto a favor del presente dictamen</w:t>
      </w:r>
      <w:r>
        <w:rPr>
          <w:rFonts w:ascii="Abadi" w:hAnsi="Abadi"/>
          <w:sz w:val="21"/>
          <w:szCs w:val="21"/>
        </w:rPr>
        <w:t>.</w:t>
      </w:r>
    </w:p>
    <w:p w14:paraId="02F1BC4C" w14:textId="77777777" w:rsidR="001E10AA" w:rsidRDefault="001E10AA" w:rsidP="006F10E0">
      <w:pPr>
        <w:jc w:val="both"/>
        <w:rPr>
          <w:rFonts w:ascii="Abadi" w:hAnsi="Abadi"/>
          <w:sz w:val="21"/>
          <w:szCs w:val="21"/>
        </w:rPr>
      </w:pPr>
    </w:p>
    <w:p w14:paraId="5EF088B6"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 cuanto presidente</w:t>
      </w:r>
      <w:r>
        <w:rPr>
          <w:rFonts w:ascii="Abadi" w:hAnsi="Abadi"/>
          <w:sz w:val="21"/>
          <w:szCs w:val="21"/>
        </w:rPr>
        <w:t>.</w:t>
      </w:r>
    </w:p>
    <w:p w14:paraId="0F15B43A" w14:textId="77777777" w:rsidR="001E10AA" w:rsidRDefault="001E10AA" w:rsidP="006F10E0">
      <w:pPr>
        <w:jc w:val="both"/>
        <w:rPr>
          <w:rFonts w:ascii="Abadi" w:hAnsi="Abadi"/>
          <w:sz w:val="21"/>
          <w:szCs w:val="21"/>
        </w:rPr>
      </w:pPr>
    </w:p>
    <w:p w14:paraId="4CB98F60" w14:textId="77777777" w:rsidR="006F10E0" w:rsidRDefault="006F10E0" w:rsidP="006F10E0">
      <w:pPr>
        <w:jc w:val="both"/>
        <w:rPr>
          <w:rFonts w:ascii="Abadi" w:hAnsi="Abadi"/>
          <w:sz w:val="21"/>
          <w:szCs w:val="21"/>
        </w:rPr>
      </w:pPr>
      <w:r>
        <w:rPr>
          <w:rFonts w:ascii="Abadi" w:hAnsi="Abadi"/>
          <w:sz w:val="21"/>
          <w:szCs w:val="21"/>
        </w:rPr>
        <w:tab/>
      </w:r>
      <w:r w:rsidRPr="00482620">
        <w:rPr>
          <w:rFonts w:ascii="Abadi" w:hAnsi="Abadi"/>
          <w:b/>
          <w:bCs/>
          <w:sz w:val="21"/>
          <w:szCs w:val="21"/>
        </w:rPr>
        <w:t xml:space="preserve">- La </w:t>
      </w:r>
      <w:proofErr w:type="gramStart"/>
      <w:r w:rsidRPr="00482620">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w:t>
      </w:r>
    </w:p>
    <w:p w14:paraId="05BE26E0" w14:textId="77777777" w:rsidR="006F10E0" w:rsidRDefault="006F10E0" w:rsidP="006F10E0">
      <w:pPr>
        <w:jc w:val="both"/>
        <w:rPr>
          <w:rFonts w:ascii="Abadi" w:hAnsi="Abadi"/>
          <w:sz w:val="21"/>
          <w:szCs w:val="21"/>
        </w:rPr>
      </w:pPr>
      <w:r>
        <w:rPr>
          <w:rFonts w:ascii="Abadi" w:hAnsi="Abadi"/>
          <w:sz w:val="21"/>
          <w:szCs w:val="21"/>
        </w:rPr>
        <w:tab/>
        <w:t>- E</w:t>
      </w:r>
      <w:r w:rsidRPr="0030088F">
        <w:rPr>
          <w:rFonts w:ascii="Abadi" w:hAnsi="Abadi"/>
          <w:sz w:val="21"/>
          <w:szCs w:val="21"/>
        </w:rPr>
        <w:t xml:space="preserve">nseguida se concede el uso de la voz a la diputada Martha Lourdes </w:t>
      </w:r>
      <w:r>
        <w:rPr>
          <w:rFonts w:ascii="Abadi" w:hAnsi="Abadi"/>
          <w:sz w:val="21"/>
          <w:szCs w:val="21"/>
        </w:rPr>
        <w:t>O</w:t>
      </w:r>
      <w:r w:rsidRPr="0030088F">
        <w:rPr>
          <w:rFonts w:ascii="Abadi" w:hAnsi="Abadi"/>
          <w:sz w:val="21"/>
          <w:szCs w:val="21"/>
        </w:rPr>
        <w:t xml:space="preserve">rtega </w:t>
      </w:r>
      <w:r>
        <w:rPr>
          <w:rFonts w:ascii="Abadi" w:hAnsi="Abadi"/>
          <w:sz w:val="21"/>
          <w:szCs w:val="21"/>
        </w:rPr>
        <w:t>Roque, hasta</w:t>
      </w:r>
      <w:r w:rsidRPr="0030088F">
        <w:rPr>
          <w:rFonts w:ascii="Abadi" w:hAnsi="Abadi"/>
          <w:sz w:val="21"/>
          <w:szCs w:val="21"/>
        </w:rPr>
        <w:t xml:space="preserve"> por 10 minutos</w:t>
      </w:r>
      <w:r>
        <w:rPr>
          <w:rFonts w:ascii="Abadi" w:hAnsi="Abadi"/>
          <w:sz w:val="21"/>
          <w:szCs w:val="21"/>
        </w:rPr>
        <w:t>.</w:t>
      </w:r>
    </w:p>
    <w:p w14:paraId="3BF94173" w14:textId="77777777" w:rsidR="001E10AA" w:rsidRDefault="001E10AA" w:rsidP="006F10E0">
      <w:pPr>
        <w:jc w:val="both"/>
        <w:rPr>
          <w:rFonts w:ascii="Abadi" w:hAnsi="Abadi"/>
          <w:sz w:val="21"/>
          <w:szCs w:val="21"/>
        </w:rPr>
      </w:pPr>
    </w:p>
    <w:p w14:paraId="6AE62069" w14:textId="77777777" w:rsidR="006F10E0" w:rsidRDefault="006F10E0" w:rsidP="006F10E0">
      <w:pPr>
        <w:jc w:val="both"/>
        <w:rPr>
          <w:rFonts w:ascii="Abadi" w:hAnsi="Abadi"/>
          <w:sz w:val="21"/>
          <w:szCs w:val="21"/>
        </w:rPr>
      </w:pPr>
      <w:r>
        <w:rPr>
          <w:rFonts w:ascii="Abadi" w:hAnsi="Abadi"/>
          <w:sz w:val="21"/>
          <w:szCs w:val="21"/>
        </w:rPr>
        <w:tab/>
        <w:t>- A</w:t>
      </w:r>
      <w:r w:rsidRPr="0030088F">
        <w:rPr>
          <w:rFonts w:ascii="Abadi" w:hAnsi="Abadi"/>
          <w:sz w:val="21"/>
          <w:szCs w:val="21"/>
        </w:rPr>
        <w:t>delante</w:t>
      </w:r>
      <w:r>
        <w:rPr>
          <w:rFonts w:ascii="Abadi" w:hAnsi="Abadi"/>
          <w:sz w:val="21"/>
          <w:szCs w:val="21"/>
        </w:rPr>
        <w:t>.</w:t>
      </w:r>
    </w:p>
    <w:p w14:paraId="07628341" w14:textId="77777777" w:rsidR="001E10AA" w:rsidRDefault="001E10AA" w:rsidP="006F10E0">
      <w:pPr>
        <w:jc w:val="both"/>
        <w:rPr>
          <w:rFonts w:ascii="Abadi" w:hAnsi="Abadi"/>
          <w:sz w:val="21"/>
          <w:szCs w:val="21"/>
        </w:rPr>
      </w:pPr>
    </w:p>
    <w:p w14:paraId="19764F76" w14:textId="77777777" w:rsidR="006F10E0" w:rsidRDefault="006F10E0" w:rsidP="006F10E0">
      <w:pPr>
        <w:jc w:val="both"/>
        <w:rPr>
          <w:rFonts w:ascii="Abadi" w:hAnsi="Abadi"/>
          <w:b/>
          <w:bCs/>
          <w:sz w:val="21"/>
          <w:szCs w:val="21"/>
        </w:rPr>
      </w:pPr>
      <w:r w:rsidRPr="00D043D3">
        <w:rPr>
          <w:rFonts w:ascii="Abadi" w:hAnsi="Abadi"/>
          <w:b/>
          <w:bCs/>
          <w:sz w:val="21"/>
          <w:szCs w:val="21"/>
        </w:rPr>
        <w:t xml:space="preserve">(Sube a tribuna la diputada Martha Lourdes Ortega Roque, para hablar a favor del dictamen </w:t>
      </w:r>
      <w:r>
        <w:rPr>
          <w:rFonts w:ascii="Abadi" w:hAnsi="Abadi"/>
          <w:b/>
          <w:bCs/>
          <w:sz w:val="21"/>
          <w:szCs w:val="21"/>
        </w:rPr>
        <w:t xml:space="preserve">en </w:t>
      </w:r>
      <w:r w:rsidRPr="00D043D3">
        <w:rPr>
          <w:rFonts w:ascii="Abadi" w:hAnsi="Abadi"/>
          <w:b/>
          <w:bCs/>
          <w:sz w:val="21"/>
          <w:szCs w:val="21"/>
        </w:rPr>
        <w:t>referencia)</w:t>
      </w:r>
    </w:p>
    <w:p w14:paraId="6AD32A52" w14:textId="77777777" w:rsidR="006F10E0" w:rsidRDefault="006F10E0" w:rsidP="006F10E0">
      <w:pPr>
        <w:jc w:val="both"/>
        <w:rPr>
          <w:rFonts w:ascii="Abadi" w:hAnsi="Abadi"/>
          <w:b/>
          <w:bCs/>
          <w:sz w:val="21"/>
          <w:szCs w:val="21"/>
        </w:rPr>
      </w:pPr>
    </w:p>
    <w:p w14:paraId="420B7E6E" w14:textId="25124A1B" w:rsidR="006F10E0" w:rsidRDefault="006F10E0" w:rsidP="006F10E0">
      <w:pPr>
        <w:jc w:val="both"/>
        <w:rPr>
          <w:rFonts w:ascii="Abadi" w:hAnsi="Abadi"/>
          <w:b/>
          <w:bCs/>
          <w:sz w:val="21"/>
          <w:szCs w:val="21"/>
        </w:rPr>
      </w:pPr>
    </w:p>
    <w:p w14:paraId="57C3850D" w14:textId="77777777" w:rsidR="001E10AA" w:rsidRDefault="001E10AA" w:rsidP="006F10E0">
      <w:pPr>
        <w:jc w:val="both"/>
        <w:rPr>
          <w:rFonts w:ascii="Abadi" w:hAnsi="Abadi"/>
          <w:b/>
          <w:bCs/>
          <w:sz w:val="21"/>
          <w:szCs w:val="21"/>
        </w:rPr>
      </w:pPr>
    </w:p>
    <w:p w14:paraId="1F64E4A4" w14:textId="029F73FC" w:rsidR="001E10AA" w:rsidRDefault="001E10AA" w:rsidP="006F10E0">
      <w:pPr>
        <w:jc w:val="both"/>
        <w:rPr>
          <w:rFonts w:ascii="Abadi" w:hAnsi="Abadi"/>
          <w:b/>
          <w:bCs/>
          <w:sz w:val="21"/>
          <w:szCs w:val="21"/>
        </w:rPr>
      </w:pPr>
      <w:r>
        <w:rPr>
          <w:noProof/>
        </w:rPr>
        <w:drawing>
          <wp:anchor distT="0" distB="0" distL="114300" distR="114300" simplePos="0" relativeHeight="251665430" behindDoc="1" locked="0" layoutInCell="1" allowOverlap="1" wp14:anchorId="0835E4F9" wp14:editId="54FBEBB6">
            <wp:simplePos x="0" y="0"/>
            <wp:positionH relativeFrom="column">
              <wp:posOffset>620667</wp:posOffset>
            </wp:positionH>
            <wp:positionV relativeFrom="paragraph">
              <wp:posOffset>124914</wp:posOffset>
            </wp:positionV>
            <wp:extent cx="1358836" cy="709612"/>
            <wp:effectExtent l="247650" t="228600" r="241935" b="738505"/>
            <wp:wrapTight wrapText="bothSides">
              <wp:wrapPolygon edited="0">
                <wp:start x="-3938" y="-6962"/>
                <wp:lineTo x="-3938" y="43509"/>
                <wp:lineTo x="25144" y="43509"/>
                <wp:lineTo x="25144" y="-6962"/>
                <wp:lineTo x="-3938" y="-6962"/>
              </wp:wrapPolygon>
            </wp:wrapTight>
            <wp:docPr id="784818064" name="Imagen 784818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818064" name=""/>
                    <pic:cNvPicPr/>
                  </pic:nvPicPr>
                  <pic:blipFill rotWithShape="1">
                    <a:blip r:embed="rId55" cstate="print">
                      <a:extLst>
                        <a:ext uri="{28A0092B-C50C-407E-A947-70E740481C1C}">
                          <a14:useLocalDpi xmlns:a14="http://schemas.microsoft.com/office/drawing/2010/main" val="0"/>
                        </a:ext>
                      </a:extLst>
                    </a:blip>
                    <a:srcRect b="7153"/>
                    <a:stretch/>
                  </pic:blipFill>
                  <pic:spPr bwMode="auto">
                    <a:xfrm>
                      <a:off x="0" y="0"/>
                      <a:ext cx="1358836" cy="70961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F376A3" w14:textId="7443DCC0" w:rsidR="001E10AA" w:rsidRDefault="001E10AA" w:rsidP="006F10E0">
      <w:pPr>
        <w:jc w:val="both"/>
        <w:rPr>
          <w:rFonts w:ascii="Abadi" w:hAnsi="Abadi"/>
          <w:b/>
          <w:bCs/>
          <w:sz w:val="21"/>
          <w:szCs w:val="21"/>
        </w:rPr>
      </w:pPr>
    </w:p>
    <w:p w14:paraId="47B9D823" w14:textId="31F7BC7A" w:rsidR="001E10AA" w:rsidRDefault="001E10AA" w:rsidP="006F10E0">
      <w:pPr>
        <w:jc w:val="both"/>
        <w:rPr>
          <w:rFonts w:ascii="Abadi" w:hAnsi="Abadi"/>
          <w:b/>
          <w:bCs/>
          <w:sz w:val="21"/>
          <w:szCs w:val="21"/>
        </w:rPr>
      </w:pPr>
    </w:p>
    <w:p w14:paraId="4D8AAA8D" w14:textId="2A1C7BDD" w:rsidR="001E10AA" w:rsidRDefault="001E10AA" w:rsidP="006F10E0">
      <w:pPr>
        <w:jc w:val="both"/>
        <w:rPr>
          <w:rFonts w:ascii="Abadi" w:hAnsi="Abadi"/>
          <w:b/>
          <w:bCs/>
          <w:sz w:val="21"/>
          <w:szCs w:val="21"/>
        </w:rPr>
      </w:pPr>
    </w:p>
    <w:p w14:paraId="1966DC59" w14:textId="77777777" w:rsidR="001E10AA" w:rsidRDefault="001E10AA" w:rsidP="006F10E0">
      <w:pPr>
        <w:jc w:val="both"/>
        <w:rPr>
          <w:rFonts w:ascii="Abadi" w:hAnsi="Abadi"/>
          <w:b/>
          <w:bCs/>
          <w:sz w:val="21"/>
          <w:szCs w:val="21"/>
        </w:rPr>
      </w:pPr>
    </w:p>
    <w:p w14:paraId="5A507366" w14:textId="2A3008C3" w:rsidR="001E10AA" w:rsidRDefault="001E10AA" w:rsidP="006F10E0">
      <w:pPr>
        <w:jc w:val="both"/>
        <w:rPr>
          <w:rFonts w:ascii="Abadi" w:hAnsi="Abadi"/>
          <w:b/>
          <w:bCs/>
          <w:sz w:val="21"/>
          <w:szCs w:val="21"/>
        </w:rPr>
      </w:pPr>
    </w:p>
    <w:p w14:paraId="408419D3" w14:textId="77777777" w:rsidR="001E10AA" w:rsidRDefault="001E10AA" w:rsidP="006F10E0">
      <w:pPr>
        <w:jc w:val="both"/>
        <w:rPr>
          <w:rFonts w:ascii="Abadi" w:hAnsi="Abadi"/>
          <w:b/>
          <w:bCs/>
          <w:sz w:val="21"/>
          <w:szCs w:val="21"/>
        </w:rPr>
      </w:pPr>
    </w:p>
    <w:p w14:paraId="67CE3D41" w14:textId="2F77329E" w:rsidR="001E10AA" w:rsidRDefault="001E10AA" w:rsidP="006F10E0">
      <w:pPr>
        <w:jc w:val="both"/>
        <w:rPr>
          <w:rFonts w:ascii="Abadi" w:hAnsi="Abadi"/>
          <w:b/>
          <w:bCs/>
          <w:sz w:val="21"/>
          <w:szCs w:val="21"/>
        </w:rPr>
      </w:pPr>
    </w:p>
    <w:p w14:paraId="0D56472B" w14:textId="77777777" w:rsidR="001E10AA" w:rsidRDefault="001E10AA" w:rsidP="006F10E0">
      <w:pPr>
        <w:jc w:val="both"/>
        <w:rPr>
          <w:rFonts w:ascii="Abadi" w:hAnsi="Abadi"/>
          <w:b/>
          <w:bCs/>
          <w:sz w:val="21"/>
          <w:szCs w:val="21"/>
        </w:rPr>
      </w:pPr>
    </w:p>
    <w:p w14:paraId="3336F1BC" w14:textId="77777777" w:rsidR="001E10AA" w:rsidRDefault="001E10AA" w:rsidP="006F10E0">
      <w:pPr>
        <w:jc w:val="both"/>
        <w:rPr>
          <w:rFonts w:ascii="Abadi" w:hAnsi="Abadi"/>
          <w:b/>
          <w:bCs/>
          <w:sz w:val="21"/>
          <w:szCs w:val="21"/>
        </w:rPr>
      </w:pPr>
    </w:p>
    <w:p w14:paraId="23C84494" w14:textId="77777777" w:rsidR="001E10AA" w:rsidRDefault="001E10AA" w:rsidP="006F10E0">
      <w:pPr>
        <w:jc w:val="both"/>
        <w:rPr>
          <w:rFonts w:ascii="Abadi" w:hAnsi="Abadi"/>
          <w:b/>
          <w:bCs/>
          <w:sz w:val="21"/>
          <w:szCs w:val="21"/>
        </w:rPr>
      </w:pPr>
    </w:p>
    <w:p w14:paraId="192EB4B4" w14:textId="77777777" w:rsidR="001E10AA" w:rsidRPr="00D043D3" w:rsidRDefault="001E10AA" w:rsidP="006F10E0">
      <w:pPr>
        <w:jc w:val="both"/>
        <w:rPr>
          <w:rFonts w:ascii="Abadi" w:hAnsi="Abadi"/>
          <w:b/>
          <w:bCs/>
          <w:sz w:val="21"/>
          <w:szCs w:val="21"/>
        </w:rPr>
      </w:pPr>
    </w:p>
    <w:p w14:paraId="4DFE1881" w14:textId="69126AFE" w:rsidR="006F10E0" w:rsidRDefault="006F10E0" w:rsidP="006F10E0">
      <w:pPr>
        <w:jc w:val="both"/>
        <w:rPr>
          <w:rFonts w:ascii="Abadi" w:hAnsi="Abadi"/>
          <w:sz w:val="21"/>
          <w:szCs w:val="21"/>
        </w:rPr>
      </w:pPr>
      <w:r>
        <w:rPr>
          <w:rFonts w:ascii="Abadi" w:hAnsi="Abadi"/>
          <w:sz w:val="21"/>
          <w:szCs w:val="21"/>
        </w:rPr>
        <w:t xml:space="preserve">- </w:t>
      </w:r>
      <w:r w:rsidRPr="0030088F">
        <w:rPr>
          <w:rFonts w:ascii="Abadi" w:hAnsi="Abadi"/>
          <w:sz w:val="21"/>
          <w:szCs w:val="21"/>
        </w:rPr>
        <w:t xml:space="preserve"> </w:t>
      </w:r>
      <w:r>
        <w:rPr>
          <w:rFonts w:ascii="Abadi" w:hAnsi="Abadi"/>
          <w:sz w:val="21"/>
          <w:szCs w:val="21"/>
        </w:rPr>
        <w:t>C</w:t>
      </w:r>
      <w:r w:rsidRPr="0030088F">
        <w:rPr>
          <w:rFonts w:ascii="Abadi" w:hAnsi="Abadi"/>
          <w:sz w:val="21"/>
          <w:szCs w:val="21"/>
        </w:rPr>
        <w:t xml:space="preserve">on el permiso de la diputada presidenta y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irectiva saludo con gran aprecio a mis compañeros y compañeras legisladores</w:t>
      </w:r>
      <w:r>
        <w:rPr>
          <w:rFonts w:ascii="Abadi" w:hAnsi="Abadi"/>
          <w:sz w:val="21"/>
          <w:szCs w:val="21"/>
        </w:rPr>
        <w:t>,</w:t>
      </w:r>
      <w:r w:rsidRPr="0030088F">
        <w:rPr>
          <w:rFonts w:ascii="Abadi" w:hAnsi="Abadi"/>
          <w:sz w:val="21"/>
          <w:szCs w:val="21"/>
        </w:rPr>
        <w:t xml:space="preserve"> a los medios de comunicación que amablemente dan cuenta de nuestro trabajo</w:t>
      </w:r>
      <w:r>
        <w:rPr>
          <w:rFonts w:ascii="Abadi" w:hAnsi="Abadi"/>
          <w:sz w:val="21"/>
          <w:szCs w:val="21"/>
        </w:rPr>
        <w:t>,</w:t>
      </w:r>
      <w:r w:rsidRPr="0030088F">
        <w:rPr>
          <w:rFonts w:ascii="Abadi" w:hAnsi="Abadi"/>
          <w:sz w:val="21"/>
          <w:szCs w:val="21"/>
        </w:rPr>
        <w:t xml:space="preserve"> al personal institucional y asesoras y asesores de los grupos y representaciones parlamentarias y público presente</w:t>
      </w:r>
      <w:r>
        <w:rPr>
          <w:rFonts w:ascii="Abadi" w:hAnsi="Abadi"/>
          <w:sz w:val="21"/>
          <w:szCs w:val="21"/>
        </w:rPr>
        <w:t>,</w:t>
      </w:r>
      <w:r w:rsidRPr="0030088F">
        <w:rPr>
          <w:rFonts w:ascii="Abadi" w:hAnsi="Abadi"/>
          <w:sz w:val="21"/>
          <w:szCs w:val="21"/>
        </w:rPr>
        <w:t xml:space="preserve"> también a quienes nos siguen a través de diferentes plataformas</w:t>
      </w:r>
      <w:r>
        <w:rPr>
          <w:rFonts w:ascii="Abadi" w:hAnsi="Abadi"/>
          <w:sz w:val="21"/>
          <w:szCs w:val="21"/>
        </w:rPr>
        <w:t>,</w:t>
      </w:r>
      <w:r w:rsidRPr="0030088F">
        <w:rPr>
          <w:rFonts w:ascii="Abadi" w:hAnsi="Abadi"/>
          <w:sz w:val="21"/>
          <w:szCs w:val="21"/>
        </w:rPr>
        <w:t xml:space="preserve"> muy buena tarde para todas y todos</w:t>
      </w:r>
      <w:r>
        <w:rPr>
          <w:rFonts w:ascii="Abadi" w:hAnsi="Abadi"/>
          <w:sz w:val="21"/>
          <w:szCs w:val="21"/>
        </w:rPr>
        <w:t>.</w:t>
      </w:r>
    </w:p>
    <w:p w14:paraId="58087E9A" w14:textId="77777777" w:rsidR="001E10AA" w:rsidRDefault="001E10AA" w:rsidP="006F10E0">
      <w:pPr>
        <w:jc w:val="both"/>
        <w:rPr>
          <w:rFonts w:ascii="Abadi" w:hAnsi="Abadi"/>
          <w:sz w:val="21"/>
          <w:szCs w:val="21"/>
        </w:rPr>
      </w:pPr>
    </w:p>
    <w:p w14:paraId="27FEDED6"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stoy segura de que este día</w:t>
      </w:r>
      <w:r>
        <w:rPr>
          <w:rFonts w:ascii="Abadi" w:hAnsi="Abadi"/>
          <w:sz w:val="21"/>
          <w:szCs w:val="21"/>
        </w:rPr>
        <w:t>,</w:t>
      </w:r>
      <w:r w:rsidRPr="0030088F">
        <w:rPr>
          <w:rFonts w:ascii="Abadi" w:hAnsi="Abadi"/>
          <w:sz w:val="21"/>
          <w:szCs w:val="21"/>
        </w:rPr>
        <w:t xml:space="preserve"> con el voto aprobatorio de todas y de todos ustedes aprobaremos el dictamen que eleva a rango constitucional la prohibición de ejercer cargo</w:t>
      </w:r>
      <w:r>
        <w:rPr>
          <w:rFonts w:ascii="Abadi" w:hAnsi="Abadi"/>
          <w:sz w:val="21"/>
          <w:szCs w:val="21"/>
        </w:rPr>
        <w:t>,</w:t>
      </w:r>
      <w:r w:rsidRPr="0030088F">
        <w:rPr>
          <w:rFonts w:ascii="Abadi" w:hAnsi="Abadi"/>
          <w:sz w:val="21"/>
          <w:szCs w:val="21"/>
        </w:rPr>
        <w:t xml:space="preserve"> cargo público empleo o comisión en el gobierno estatal a quien ejerza violencia política de cualquier tipo contra las mujeres y a quien no cumpla con su obligación de proveer alimentos lo que también constituye violencia económica</w:t>
      </w:r>
      <w:r>
        <w:rPr>
          <w:rFonts w:ascii="Abadi" w:hAnsi="Abadi"/>
          <w:sz w:val="21"/>
          <w:szCs w:val="21"/>
        </w:rPr>
        <w:t>,</w:t>
      </w:r>
      <w:r w:rsidRPr="0030088F">
        <w:rPr>
          <w:rFonts w:ascii="Abadi" w:hAnsi="Abadi"/>
          <w:sz w:val="21"/>
          <w:szCs w:val="21"/>
        </w:rPr>
        <w:t xml:space="preserve"> hoy pudiera ser solo un día de gozo y celebración si no fuera por la necesidad de reflexionar que la propuesta contenida en las iniciativas que se de dictaminan</w:t>
      </w:r>
      <w:r>
        <w:rPr>
          <w:rFonts w:ascii="Abadi" w:hAnsi="Abadi"/>
          <w:sz w:val="21"/>
          <w:szCs w:val="21"/>
        </w:rPr>
        <w:t>,</w:t>
      </w:r>
      <w:r w:rsidRPr="0030088F">
        <w:rPr>
          <w:rFonts w:ascii="Abadi" w:hAnsi="Abadi"/>
          <w:sz w:val="21"/>
          <w:szCs w:val="21"/>
        </w:rPr>
        <w:t xml:space="preserve"> pudieron haber visto la luz del derecho positivo hace más de 1 año que fue presentada</w:t>
      </w:r>
      <w:r>
        <w:rPr>
          <w:rFonts w:ascii="Abadi" w:hAnsi="Abadi"/>
          <w:sz w:val="21"/>
          <w:szCs w:val="21"/>
        </w:rPr>
        <w:t>,</w:t>
      </w:r>
      <w:r w:rsidRPr="0030088F">
        <w:rPr>
          <w:rFonts w:ascii="Abadi" w:hAnsi="Abadi"/>
          <w:sz w:val="21"/>
          <w:szCs w:val="21"/>
        </w:rPr>
        <w:t xml:space="preserve"> de no haberse enfrentado a los egos que por desgracia ya son el sello característico de esta legislatura</w:t>
      </w:r>
      <w:r>
        <w:rPr>
          <w:rFonts w:ascii="Abadi" w:hAnsi="Abadi"/>
          <w:sz w:val="21"/>
          <w:szCs w:val="21"/>
        </w:rPr>
        <w:t>,</w:t>
      </w:r>
      <w:r w:rsidRPr="0030088F">
        <w:rPr>
          <w:rFonts w:ascii="Abadi" w:hAnsi="Abadi"/>
          <w:sz w:val="21"/>
          <w:szCs w:val="21"/>
        </w:rPr>
        <w:t xml:space="preserve"> sí</w:t>
      </w:r>
      <w:r>
        <w:rPr>
          <w:rFonts w:ascii="Abadi" w:hAnsi="Abadi"/>
          <w:sz w:val="21"/>
          <w:szCs w:val="21"/>
        </w:rPr>
        <w:t>,</w:t>
      </w:r>
      <w:r w:rsidRPr="0030088F">
        <w:rPr>
          <w:rFonts w:ascii="Abadi" w:hAnsi="Abadi"/>
          <w:sz w:val="21"/>
          <w:szCs w:val="21"/>
        </w:rPr>
        <w:t xml:space="preserve"> como diputada integrante de la bancada feminista puedo afirmar a título personal y a nombre de </w:t>
      </w:r>
      <w:r w:rsidRPr="0030088F">
        <w:rPr>
          <w:rFonts w:ascii="Abadi" w:hAnsi="Abadi"/>
          <w:sz w:val="21"/>
          <w:szCs w:val="21"/>
        </w:rPr>
        <w:lastRenderedPageBreak/>
        <w:t>mis compañeras que nos congratula encontrar la coincidencia para incluir como requisito de elegibilidad ser una persona que no ejerce ningún tipo de violencia en contra de las mujeres en el ámbito familiar y en el ámbito público</w:t>
      </w:r>
      <w:r>
        <w:rPr>
          <w:rFonts w:ascii="Abadi" w:hAnsi="Abadi"/>
          <w:sz w:val="21"/>
          <w:szCs w:val="21"/>
        </w:rPr>
        <w:t>,</w:t>
      </w:r>
      <w:r w:rsidRPr="0030088F">
        <w:rPr>
          <w:rFonts w:ascii="Abadi" w:hAnsi="Abadi"/>
          <w:sz w:val="21"/>
          <w:szCs w:val="21"/>
        </w:rPr>
        <w:t xml:space="preserve"> también nos complace que no puedan ser representantes popular u ocupar cargo empleo o comisión en el servicio público quien no cumpla puntualmente con las obligaciones de dar alimentos</w:t>
      </w:r>
      <w:r>
        <w:rPr>
          <w:rFonts w:ascii="Abadi" w:hAnsi="Abadi"/>
          <w:sz w:val="21"/>
          <w:szCs w:val="21"/>
        </w:rPr>
        <w:t>.</w:t>
      </w:r>
    </w:p>
    <w:p w14:paraId="478561DA" w14:textId="77777777" w:rsidR="001E10AA" w:rsidRDefault="001E10AA" w:rsidP="006F10E0">
      <w:pPr>
        <w:jc w:val="both"/>
        <w:rPr>
          <w:rFonts w:ascii="Abadi" w:hAnsi="Abadi"/>
          <w:sz w:val="21"/>
          <w:szCs w:val="21"/>
        </w:rPr>
      </w:pPr>
    </w:p>
    <w:p w14:paraId="77B786A3" w14:textId="77777777" w:rsidR="006F10E0" w:rsidRDefault="006F10E0" w:rsidP="006F10E0">
      <w:pPr>
        <w:jc w:val="both"/>
        <w:rPr>
          <w:rFonts w:ascii="Abadi" w:hAnsi="Abadi"/>
          <w:sz w:val="21"/>
          <w:szCs w:val="21"/>
        </w:rPr>
      </w:pPr>
      <w:r>
        <w:rPr>
          <w:rFonts w:ascii="Abadi" w:hAnsi="Abadi"/>
          <w:sz w:val="21"/>
          <w:szCs w:val="21"/>
        </w:rPr>
        <w:t>- C</w:t>
      </w:r>
      <w:r w:rsidRPr="0030088F">
        <w:rPr>
          <w:rFonts w:ascii="Abadi" w:hAnsi="Abadi"/>
          <w:sz w:val="21"/>
          <w:szCs w:val="21"/>
        </w:rPr>
        <w:t>on esto elevamos el estándar de quienes van a llegar a ser representantes populares o servidores públicos y cerramos la puerta a quien ejercen violencia o desatienden sus obligaciones como personas deudoras alimentaria</w:t>
      </w:r>
      <w:r>
        <w:rPr>
          <w:rFonts w:ascii="Abadi" w:hAnsi="Abadi"/>
          <w:sz w:val="21"/>
          <w:szCs w:val="21"/>
        </w:rPr>
        <w:t>,</w:t>
      </w:r>
      <w:r w:rsidRPr="0030088F">
        <w:rPr>
          <w:rFonts w:ascii="Abadi" w:hAnsi="Abadi"/>
          <w:sz w:val="21"/>
          <w:szCs w:val="21"/>
        </w:rPr>
        <w:t xml:space="preserve"> también es de destacarse que en la ponderación de los derechos se prioricen a las mujeres a la niñez y a las juventudes que se haya superado esa falsa creencia de lo que sucede en el ámbito privado no trasciende a lo público</w:t>
      </w:r>
      <w:r>
        <w:rPr>
          <w:rFonts w:ascii="Abadi" w:hAnsi="Abadi"/>
          <w:sz w:val="21"/>
          <w:szCs w:val="21"/>
        </w:rPr>
        <w:t>,</w:t>
      </w:r>
      <w:r w:rsidRPr="0030088F">
        <w:rPr>
          <w:rFonts w:ascii="Abadi" w:hAnsi="Abadi"/>
          <w:sz w:val="21"/>
          <w:szCs w:val="21"/>
        </w:rPr>
        <w:t xml:space="preserve"> que quienes en su casa es violento o quien desde su esfera individual violenta las mujeres o no cuida a las </w:t>
      </w:r>
      <w:r>
        <w:rPr>
          <w:rFonts w:ascii="Abadi" w:hAnsi="Abadi"/>
          <w:sz w:val="21"/>
          <w:szCs w:val="21"/>
        </w:rPr>
        <w:t xml:space="preserve">o a los </w:t>
      </w:r>
      <w:r w:rsidRPr="0030088F">
        <w:rPr>
          <w:rFonts w:ascii="Abadi" w:hAnsi="Abadi"/>
          <w:sz w:val="21"/>
          <w:szCs w:val="21"/>
        </w:rPr>
        <w:t>menores a su cargo puedan desempeñar un cargo público con rectitud o ser buen representante popular es un gran avance que se entienda que hay que tomar medidas enérgicas para prevenir la violencia política en contra de las mujeres que ya no puede permitirse que quien haya sido sancionado por ejercerla llegue a ocupar un cargo público o una representación</w:t>
      </w:r>
      <w:r>
        <w:rPr>
          <w:rFonts w:ascii="Abadi" w:hAnsi="Abadi"/>
          <w:sz w:val="21"/>
          <w:szCs w:val="21"/>
        </w:rPr>
        <w:t>,</w:t>
      </w:r>
      <w:r w:rsidRPr="0030088F">
        <w:rPr>
          <w:rFonts w:ascii="Abadi" w:hAnsi="Abadi"/>
          <w:sz w:val="21"/>
          <w:szCs w:val="21"/>
        </w:rPr>
        <w:t xml:space="preserve"> popular también debemos reconocer los esfuerzos por erradicar la práctica ya muy común de un gran número de deudores alimentarios de incumplir con sus obligaciones afectando principalmente a niñas niños y adolescentes y de forma indirecta también a muchas mujeres</w:t>
      </w:r>
      <w:r>
        <w:rPr>
          <w:rFonts w:ascii="Abadi" w:hAnsi="Abadi"/>
          <w:sz w:val="21"/>
          <w:szCs w:val="21"/>
        </w:rPr>
        <w:t>,</w:t>
      </w:r>
      <w:r w:rsidRPr="0030088F">
        <w:rPr>
          <w:rFonts w:ascii="Abadi" w:hAnsi="Abadi"/>
          <w:sz w:val="21"/>
          <w:szCs w:val="21"/>
        </w:rPr>
        <w:t xml:space="preserve"> que ante el incumplimiento de quienes deben compartir la crianza de hijos e hijas con ellas asumen por completo esta obligación viéndose obligadas a tener diversas jornadas lo que resulta en una injusticia y un daño mayor para los acreedores alimentarios pero repito todo esto pudo haberse hecho desde el año pasado sin necesidad de esperar una reforma a la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P</w:t>
      </w:r>
      <w:r w:rsidRPr="0030088F">
        <w:rPr>
          <w:rFonts w:ascii="Abadi" w:hAnsi="Abadi"/>
          <w:sz w:val="21"/>
          <w:szCs w:val="21"/>
        </w:rPr>
        <w:t>olítica de los Estados Unidos Mexicanos</w:t>
      </w:r>
      <w:r>
        <w:rPr>
          <w:rFonts w:ascii="Abadi" w:hAnsi="Abadi"/>
          <w:sz w:val="21"/>
          <w:szCs w:val="21"/>
        </w:rPr>
        <w:t>,</w:t>
      </w:r>
      <w:r w:rsidRPr="0030088F">
        <w:rPr>
          <w:rFonts w:ascii="Abadi" w:hAnsi="Abadi"/>
          <w:sz w:val="21"/>
          <w:szCs w:val="21"/>
        </w:rPr>
        <w:t xml:space="preserve"> sin tener que ser en vía de armonización o esperar una segunda iniciativa</w:t>
      </w:r>
      <w:r>
        <w:rPr>
          <w:rFonts w:ascii="Abadi" w:hAnsi="Abadi"/>
          <w:sz w:val="21"/>
          <w:szCs w:val="21"/>
        </w:rPr>
        <w:t xml:space="preserve">. </w:t>
      </w:r>
    </w:p>
    <w:p w14:paraId="321137F4" w14:textId="77777777" w:rsidR="001E10AA" w:rsidRDefault="001E10AA" w:rsidP="006F10E0">
      <w:pPr>
        <w:jc w:val="both"/>
        <w:rPr>
          <w:rFonts w:ascii="Abadi" w:hAnsi="Abadi"/>
          <w:sz w:val="21"/>
          <w:szCs w:val="21"/>
        </w:rPr>
      </w:pPr>
    </w:p>
    <w:p w14:paraId="56B525AE" w14:textId="77777777" w:rsidR="006F10E0" w:rsidRDefault="006F10E0" w:rsidP="006F10E0">
      <w:pPr>
        <w:jc w:val="both"/>
        <w:rPr>
          <w:rFonts w:ascii="Abadi" w:hAnsi="Abadi"/>
          <w:sz w:val="21"/>
          <w:szCs w:val="21"/>
        </w:rPr>
      </w:pPr>
      <w:r>
        <w:rPr>
          <w:rFonts w:ascii="Abadi" w:hAnsi="Abadi"/>
          <w:sz w:val="21"/>
          <w:szCs w:val="21"/>
        </w:rPr>
        <w:t>- D</w:t>
      </w:r>
      <w:r w:rsidRPr="0030088F">
        <w:rPr>
          <w:rFonts w:ascii="Abadi" w:hAnsi="Abadi"/>
          <w:sz w:val="21"/>
          <w:szCs w:val="21"/>
        </w:rPr>
        <w:t>esde marzo del 2022</w:t>
      </w:r>
      <w:r>
        <w:rPr>
          <w:rFonts w:ascii="Abadi" w:hAnsi="Abadi"/>
          <w:sz w:val="21"/>
          <w:szCs w:val="21"/>
        </w:rPr>
        <w:t>,</w:t>
      </w:r>
      <w:r w:rsidRPr="0030088F">
        <w:rPr>
          <w:rFonts w:ascii="Abadi" w:hAnsi="Abadi"/>
          <w:sz w:val="21"/>
          <w:szCs w:val="21"/>
        </w:rPr>
        <w:t xml:space="preserve"> se presentó la propuesta y también el año pasado hubo resoluciones de acciones de inconstitucionalidad sobre modificaciones legislativas similares que nos marcaban la </w:t>
      </w:r>
      <w:r w:rsidRPr="0030088F">
        <w:rPr>
          <w:rFonts w:ascii="Abadi" w:hAnsi="Abadi"/>
          <w:sz w:val="21"/>
          <w:szCs w:val="21"/>
        </w:rPr>
        <w:t>pauta para evitar una declaratoria inconstitucional</w:t>
      </w:r>
      <w:r>
        <w:rPr>
          <w:rFonts w:ascii="Abadi" w:hAnsi="Abadi"/>
          <w:sz w:val="21"/>
          <w:szCs w:val="21"/>
        </w:rPr>
        <w:t>,</w:t>
      </w:r>
      <w:r w:rsidRPr="0030088F">
        <w:rPr>
          <w:rFonts w:ascii="Abadi" w:hAnsi="Abadi"/>
          <w:sz w:val="21"/>
          <w:szCs w:val="21"/>
        </w:rPr>
        <w:t xml:space="preserve"> pero no</w:t>
      </w:r>
      <w:r>
        <w:rPr>
          <w:rFonts w:ascii="Abadi" w:hAnsi="Abadi"/>
          <w:sz w:val="21"/>
          <w:szCs w:val="21"/>
        </w:rPr>
        <w:t>,</w:t>
      </w:r>
      <w:r w:rsidRPr="0030088F">
        <w:rPr>
          <w:rFonts w:ascii="Abadi" w:hAnsi="Abadi"/>
          <w:sz w:val="21"/>
          <w:szCs w:val="21"/>
        </w:rPr>
        <w:t xml:space="preserve"> no se hizo nada por dictaminar la propuesta y ser punta de lanza</w:t>
      </w:r>
      <w:r>
        <w:rPr>
          <w:rFonts w:ascii="Abadi" w:hAnsi="Abadi"/>
          <w:sz w:val="21"/>
          <w:szCs w:val="21"/>
        </w:rPr>
        <w:t>,</w:t>
      </w:r>
      <w:r w:rsidRPr="0030088F">
        <w:rPr>
          <w:rFonts w:ascii="Abadi" w:hAnsi="Abadi"/>
          <w:sz w:val="21"/>
          <w:szCs w:val="21"/>
        </w:rPr>
        <w:t xml:space="preserve"> estos temas</w:t>
      </w:r>
      <w:r>
        <w:rPr>
          <w:rFonts w:ascii="Abadi" w:hAnsi="Abadi"/>
          <w:sz w:val="21"/>
          <w:szCs w:val="21"/>
        </w:rPr>
        <w:t>,</w:t>
      </w:r>
      <w:r w:rsidRPr="0030088F">
        <w:rPr>
          <w:rFonts w:ascii="Abadi" w:hAnsi="Abadi"/>
          <w:sz w:val="21"/>
          <w:szCs w:val="21"/>
        </w:rPr>
        <w:t xml:space="preserve"> mostrando el verdadero interés por la protección de los derechos de las mujeres niñas niños y adolescentes argumentos sobraron para retrasar el pronunciamiento hasta el punto de elaborar una iniciativa de armonización para dictaminarla en conjunto con la propuesta de la bancada feminista</w:t>
      </w:r>
      <w:r>
        <w:rPr>
          <w:rFonts w:ascii="Abadi" w:hAnsi="Abadi"/>
          <w:sz w:val="21"/>
          <w:szCs w:val="21"/>
        </w:rPr>
        <w:t>,</w:t>
      </w:r>
      <w:r w:rsidRPr="0030088F">
        <w:rPr>
          <w:rFonts w:ascii="Abadi" w:hAnsi="Abadi"/>
          <w:sz w:val="21"/>
          <w:szCs w:val="21"/>
        </w:rPr>
        <w:t xml:space="preserve"> lo peor es que desafortunadamente no es el único tema en que vemos esta forma de proceder</w:t>
      </w:r>
      <w:r>
        <w:rPr>
          <w:rFonts w:ascii="Abadi" w:hAnsi="Abadi"/>
          <w:sz w:val="21"/>
          <w:szCs w:val="21"/>
        </w:rPr>
        <w:t>,</w:t>
      </w:r>
      <w:r w:rsidRPr="0030088F">
        <w:rPr>
          <w:rFonts w:ascii="Abadi" w:hAnsi="Abadi"/>
          <w:sz w:val="21"/>
          <w:szCs w:val="21"/>
        </w:rPr>
        <w:t xml:space="preserve"> desafortunadamente se ha dejado que la que la vanidad y el mayoritario sean los que determinen los temas de interés en esta legislatura</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no son las necesidades de las y los guanajuatenses</w:t>
      </w:r>
      <w:r>
        <w:rPr>
          <w:rFonts w:ascii="Abadi" w:hAnsi="Abadi"/>
          <w:sz w:val="21"/>
          <w:szCs w:val="21"/>
        </w:rPr>
        <w:t>,</w:t>
      </w:r>
      <w:r w:rsidRPr="0030088F">
        <w:rPr>
          <w:rFonts w:ascii="Abadi" w:hAnsi="Abadi"/>
          <w:sz w:val="21"/>
          <w:szCs w:val="21"/>
        </w:rPr>
        <w:t xml:space="preserve"> no es la intención de resolver de tajo y de fondo los principales problemas y obstáculos a los que se enfrentan las mujeres en nuestro estado</w:t>
      </w:r>
      <w:r>
        <w:rPr>
          <w:rFonts w:ascii="Abadi" w:hAnsi="Abadi"/>
          <w:sz w:val="21"/>
          <w:szCs w:val="21"/>
        </w:rPr>
        <w:t>,</w:t>
      </w:r>
      <w:r w:rsidRPr="0030088F">
        <w:rPr>
          <w:rFonts w:ascii="Abadi" w:hAnsi="Abadi"/>
          <w:sz w:val="21"/>
          <w:szCs w:val="21"/>
        </w:rPr>
        <w:t xml:space="preserve"> no es el interés de proteger a las niñas niños y adolescentes son solo las ganas de destacar de algunos y algunas que mueven el trabajo en esta legislatura</w:t>
      </w:r>
      <w:r>
        <w:rPr>
          <w:rFonts w:ascii="Abadi" w:hAnsi="Abadi"/>
          <w:sz w:val="21"/>
          <w:szCs w:val="21"/>
        </w:rPr>
        <w:t>, d</w:t>
      </w:r>
      <w:r w:rsidRPr="0030088F">
        <w:rPr>
          <w:rFonts w:ascii="Abadi" w:hAnsi="Abadi"/>
          <w:sz w:val="21"/>
          <w:szCs w:val="21"/>
        </w:rPr>
        <w:t>e nada sirve el reconocimiento en tribuna el reconocimiento se debe dar desde las mesas y comisiones al analizar las iniciativas de la oposición</w:t>
      </w:r>
      <w:r>
        <w:rPr>
          <w:rFonts w:ascii="Abadi" w:hAnsi="Abadi"/>
          <w:sz w:val="21"/>
          <w:szCs w:val="21"/>
        </w:rPr>
        <w:t>.</w:t>
      </w:r>
    </w:p>
    <w:p w14:paraId="7B8F7698" w14:textId="77777777" w:rsidR="001E10AA" w:rsidRDefault="001E10AA" w:rsidP="006F10E0">
      <w:pPr>
        <w:jc w:val="both"/>
        <w:rPr>
          <w:rFonts w:ascii="Abadi" w:hAnsi="Abadi"/>
          <w:sz w:val="21"/>
          <w:szCs w:val="21"/>
        </w:rPr>
      </w:pPr>
    </w:p>
    <w:p w14:paraId="7E7377D2" w14:textId="77777777" w:rsidR="006F10E0" w:rsidRDefault="006F10E0" w:rsidP="006F10E0">
      <w:pPr>
        <w:jc w:val="both"/>
        <w:rPr>
          <w:rFonts w:ascii="Abadi" w:hAnsi="Abadi"/>
          <w:sz w:val="21"/>
          <w:szCs w:val="21"/>
        </w:rPr>
      </w:pPr>
      <w:r>
        <w:rPr>
          <w:rFonts w:ascii="Abadi" w:hAnsi="Abadi"/>
          <w:sz w:val="21"/>
          <w:szCs w:val="21"/>
        </w:rPr>
        <w:t>- S</w:t>
      </w:r>
      <w:r w:rsidRPr="0030088F">
        <w:rPr>
          <w:rFonts w:ascii="Abadi" w:hAnsi="Abadi"/>
          <w:sz w:val="21"/>
          <w:szCs w:val="21"/>
        </w:rPr>
        <w:t xml:space="preserve">olicito el voto del dictamen puesto a su consideración en este </w:t>
      </w:r>
      <w:r>
        <w:rPr>
          <w:rFonts w:ascii="Abadi" w:hAnsi="Abadi"/>
          <w:sz w:val="21"/>
          <w:szCs w:val="21"/>
        </w:rPr>
        <w:t>P</w:t>
      </w:r>
      <w:r w:rsidRPr="0030088F">
        <w:rPr>
          <w:rFonts w:ascii="Abadi" w:hAnsi="Abadi"/>
          <w:sz w:val="21"/>
          <w:szCs w:val="21"/>
        </w:rPr>
        <w:t>leno por ser uno de los temas que como bancada feminista y como partido verde decidimos a bandera porque es una medida que consideramos efectiva para ir eliminando todo tipo de violencia hacia las mujeres</w:t>
      </w:r>
      <w:r>
        <w:rPr>
          <w:rFonts w:ascii="Abadi" w:hAnsi="Abadi"/>
          <w:sz w:val="21"/>
          <w:szCs w:val="21"/>
        </w:rPr>
        <w:t>,</w:t>
      </w:r>
      <w:r w:rsidRPr="0030088F">
        <w:rPr>
          <w:rFonts w:ascii="Abadi" w:hAnsi="Abadi"/>
          <w:sz w:val="21"/>
          <w:szCs w:val="21"/>
        </w:rPr>
        <w:t xml:space="preserve"> por tratarse de una acción que protege el interés superior de niñas niños y adolescentes</w:t>
      </w:r>
      <w:r>
        <w:rPr>
          <w:rFonts w:ascii="Abadi" w:hAnsi="Abadi"/>
          <w:sz w:val="21"/>
          <w:szCs w:val="21"/>
        </w:rPr>
        <w:t>,</w:t>
      </w:r>
      <w:r w:rsidRPr="0030088F">
        <w:rPr>
          <w:rFonts w:ascii="Abadi" w:hAnsi="Abadi"/>
          <w:sz w:val="21"/>
          <w:szCs w:val="21"/>
        </w:rPr>
        <w:t xml:space="preserve"> temas que por su relevancia y urgencia deben estar contenidos a nivel constitucional</w:t>
      </w:r>
      <w:r>
        <w:rPr>
          <w:rFonts w:ascii="Abadi" w:hAnsi="Abadi"/>
          <w:sz w:val="21"/>
          <w:szCs w:val="21"/>
        </w:rPr>
        <w:t>,</w:t>
      </w:r>
      <w:r w:rsidRPr="0030088F">
        <w:rPr>
          <w:rFonts w:ascii="Abadi" w:hAnsi="Abadi"/>
          <w:sz w:val="21"/>
          <w:szCs w:val="21"/>
        </w:rPr>
        <w:t xml:space="preserve"> también aprovecho el momento para pedir que en su oportunidad el constituyente permanente</w:t>
      </w:r>
      <w:r>
        <w:rPr>
          <w:rFonts w:ascii="Abadi" w:hAnsi="Abadi"/>
          <w:sz w:val="21"/>
          <w:szCs w:val="21"/>
        </w:rPr>
        <w:t>,</w:t>
      </w:r>
      <w:r w:rsidRPr="0030088F">
        <w:rPr>
          <w:rFonts w:ascii="Abadi" w:hAnsi="Abadi"/>
          <w:sz w:val="21"/>
          <w:szCs w:val="21"/>
        </w:rPr>
        <w:t xml:space="preserve"> vote a favor de la de la reforma propuesta y por último hago votos para que el trabajo legislativo se haga con seriedad con la mirada puesta en las necesidades y los derechos de las y los guanajuatenses</w:t>
      </w:r>
      <w:r>
        <w:rPr>
          <w:rFonts w:ascii="Abadi" w:hAnsi="Abadi"/>
          <w:sz w:val="21"/>
          <w:szCs w:val="21"/>
        </w:rPr>
        <w:t>,</w:t>
      </w:r>
      <w:r w:rsidRPr="0030088F">
        <w:rPr>
          <w:rFonts w:ascii="Abadi" w:hAnsi="Abadi"/>
          <w:sz w:val="21"/>
          <w:szCs w:val="21"/>
        </w:rPr>
        <w:t xml:space="preserve"> que no se busque desechar propuestas útiles y de relevancia solo porque no fueron presentados o acompañados por tal o cual</w:t>
      </w:r>
      <w:r>
        <w:rPr>
          <w:rFonts w:ascii="Abadi" w:hAnsi="Abadi"/>
          <w:sz w:val="21"/>
          <w:szCs w:val="21"/>
        </w:rPr>
        <w:t>.</w:t>
      </w:r>
    </w:p>
    <w:p w14:paraId="5B59261E" w14:textId="77777777" w:rsidR="001E10AA" w:rsidRDefault="001E10AA" w:rsidP="006F10E0">
      <w:pPr>
        <w:jc w:val="both"/>
        <w:rPr>
          <w:rFonts w:ascii="Abadi" w:hAnsi="Abadi"/>
          <w:sz w:val="21"/>
          <w:szCs w:val="21"/>
        </w:rPr>
      </w:pPr>
    </w:p>
    <w:p w14:paraId="2EC8BDE8" w14:textId="77777777" w:rsidR="006F10E0" w:rsidRDefault="006F10E0" w:rsidP="006F10E0">
      <w:pPr>
        <w:jc w:val="both"/>
        <w:rPr>
          <w:rFonts w:ascii="Abadi" w:hAnsi="Abadi"/>
          <w:sz w:val="21"/>
          <w:szCs w:val="21"/>
        </w:rPr>
      </w:pPr>
      <w:r>
        <w:rPr>
          <w:rFonts w:ascii="Abadi" w:hAnsi="Abadi"/>
          <w:sz w:val="21"/>
          <w:szCs w:val="21"/>
        </w:rPr>
        <w:t>- T</w:t>
      </w:r>
      <w:r w:rsidRPr="0030088F">
        <w:rPr>
          <w:rFonts w:ascii="Abadi" w:hAnsi="Abadi"/>
          <w:sz w:val="21"/>
          <w:szCs w:val="21"/>
        </w:rPr>
        <w:t>rabajemos unidos por un Guanajuato en paz y que sea</w:t>
      </w:r>
      <w:r>
        <w:rPr>
          <w:rFonts w:ascii="Abadi" w:hAnsi="Abadi"/>
          <w:sz w:val="21"/>
          <w:szCs w:val="21"/>
        </w:rPr>
        <w:t>,</w:t>
      </w:r>
      <w:r w:rsidRPr="0030088F">
        <w:rPr>
          <w:rFonts w:ascii="Abadi" w:hAnsi="Abadi"/>
          <w:sz w:val="21"/>
          <w:szCs w:val="21"/>
        </w:rPr>
        <w:t xml:space="preserve"> es de Guanajuato y Tierra de oportunidades y justicia para todos y todas</w:t>
      </w:r>
      <w:r>
        <w:rPr>
          <w:rFonts w:ascii="Abadi" w:hAnsi="Abadi"/>
          <w:sz w:val="21"/>
          <w:szCs w:val="21"/>
        </w:rPr>
        <w:t xml:space="preserve">. </w:t>
      </w:r>
    </w:p>
    <w:p w14:paraId="7F4B9A1F" w14:textId="77777777" w:rsidR="001E10AA" w:rsidRDefault="001E10AA" w:rsidP="006F10E0">
      <w:pPr>
        <w:jc w:val="both"/>
        <w:rPr>
          <w:rFonts w:ascii="Abadi" w:hAnsi="Abadi"/>
          <w:sz w:val="21"/>
          <w:szCs w:val="21"/>
        </w:rPr>
      </w:pPr>
    </w:p>
    <w:p w14:paraId="662A489E"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 cuanto presidenta</w:t>
      </w:r>
      <w:r>
        <w:rPr>
          <w:rFonts w:ascii="Abadi" w:hAnsi="Abadi"/>
          <w:sz w:val="21"/>
          <w:szCs w:val="21"/>
        </w:rPr>
        <w:t>.</w:t>
      </w:r>
    </w:p>
    <w:p w14:paraId="6C447C45" w14:textId="77777777" w:rsidR="001E10AA" w:rsidRDefault="001E10AA" w:rsidP="006F10E0">
      <w:pPr>
        <w:jc w:val="both"/>
        <w:rPr>
          <w:rFonts w:ascii="Abadi" w:hAnsi="Abadi"/>
          <w:sz w:val="21"/>
          <w:szCs w:val="21"/>
        </w:rPr>
      </w:pPr>
    </w:p>
    <w:p w14:paraId="7F30BF58" w14:textId="77777777" w:rsidR="006F10E0" w:rsidRDefault="006F10E0" w:rsidP="006F10E0">
      <w:pPr>
        <w:jc w:val="both"/>
        <w:rPr>
          <w:rFonts w:ascii="Abadi" w:hAnsi="Abadi"/>
          <w:sz w:val="21"/>
          <w:szCs w:val="21"/>
        </w:rPr>
      </w:pPr>
      <w:r w:rsidRPr="0030088F">
        <w:rPr>
          <w:rFonts w:ascii="Abadi" w:hAnsi="Abadi"/>
          <w:sz w:val="21"/>
          <w:szCs w:val="21"/>
        </w:rPr>
        <w:t xml:space="preserve"> </w:t>
      </w:r>
      <w:r>
        <w:rPr>
          <w:rFonts w:ascii="Abadi" w:hAnsi="Abadi"/>
          <w:sz w:val="21"/>
          <w:szCs w:val="21"/>
        </w:rPr>
        <w:t>- M</w:t>
      </w:r>
      <w:r w:rsidRPr="0030088F">
        <w:rPr>
          <w:rFonts w:ascii="Abadi" w:hAnsi="Abadi"/>
          <w:sz w:val="21"/>
          <w:szCs w:val="21"/>
        </w:rPr>
        <w:t>uchas gracias por su atención</w:t>
      </w:r>
      <w:r>
        <w:rPr>
          <w:rFonts w:ascii="Abadi" w:hAnsi="Abadi"/>
          <w:sz w:val="21"/>
          <w:szCs w:val="21"/>
        </w:rPr>
        <w:t>.</w:t>
      </w:r>
      <w:r w:rsidRPr="0030088F">
        <w:rPr>
          <w:rFonts w:ascii="Abadi" w:hAnsi="Abadi"/>
          <w:sz w:val="21"/>
          <w:szCs w:val="21"/>
        </w:rPr>
        <w:t xml:space="preserve"> </w:t>
      </w:r>
    </w:p>
    <w:p w14:paraId="34E046E9" w14:textId="77777777" w:rsidR="001E10AA" w:rsidRDefault="001E10AA" w:rsidP="006F10E0">
      <w:pPr>
        <w:jc w:val="both"/>
        <w:rPr>
          <w:rFonts w:ascii="Abadi" w:hAnsi="Abadi"/>
          <w:sz w:val="21"/>
          <w:szCs w:val="21"/>
        </w:rPr>
      </w:pPr>
    </w:p>
    <w:p w14:paraId="0C298D08" w14:textId="77777777" w:rsidR="006F10E0" w:rsidRDefault="006F10E0" w:rsidP="006F10E0">
      <w:pPr>
        <w:jc w:val="both"/>
        <w:rPr>
          <w:rFonts w:ascii="Abadi" w:hAnsi="Abadi"/>
          <w:sz w:val="21"/>
          <w:szCs w:val="21"/>
        </w:rPr>
      </w:pPr>
      <w:r>
        <w:rPr>
          <w:rFonts w:ascii="Abadi" w:hAnsi="Abadi"/>
          <w:sz w:val="21"/>
          <w:szCs w:val="21"/>
        </w:rPr>
        <w:tab/>
      </w:r>
      <w:r w:rsidRPr="0068178E">
        <w:rPr>
          <w:rFonts w:ascii="Abadi" w:hAnsi="Abadi"/>
          <w:b/>
          <w:bCs/>
          <w:sz w:val="21"/>
          <w:szCs w:val="21"/>
        </w:rPr>
        <w:t xml:space="preserve">- La </w:t>
      </w:r>
      <w:proofErr w:type="gramStart"/>
      <w:r w:rsidRPr="0068178E">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31141B56" w14:textId="77777777" w:rsidR="006F10E0" w:rsidRDefault="006F10E0" w:rsidP="006F10E0">
      <w:pPr>
        <w:jc w:val="both"/>
        <w:rPr>
          <w:rFonts w:ascii="Abadi" w:hAnsi="Abadi"/>
          <w:sz w:val="21"/>
          <w:szCs w:val="21"/>
        </w:rPr>
      </w:pPr>
      <w:r>
        <w:rPr>
          <w:rFonts w:ascii="Abadi" w:hAnsi="Abadi"/>
          <w:sz w:val="21"/>
          <w:szCs w:val="21"/>
        </w:rPr>
        <w:t>¿D</w:t>
      </w:r>
      <w:r w:rsidRPr="0030088F">
        <w:rPr>
          <w:rFonts w:ascii="Abadi" w:hAnsi="Abadi"/>
          <w:sz w:val="21"/>
          <w:szCs w:val="21"/>
        </w:rPr>
        <w:t xml:space="preserve">iputada Susana Bermúdez </w:t>
      </w:r>
      <w:r>
        <w:rPr>
          <w:rFonts w:ascii="Abadi" w:hAnsi="Abadi"/>
          <w:sz w:val="21"/>
          <w:szCs w:val="21"/>
        </w:rPr>
        <w:t>C</w:t>
      </w:r>
      <w:r w:rsidRPr="0030088F">
        <w:rPr>
          <w:rFonts w:ascii="Abadi" w:hAnsi="Abadi"/>
          <w:sz w:val="21"/>
          <w:szCs w:val="21"/>
        </w:rPr>
        <w:t>ano</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para qué efecto</w:t>
      </w:r>
      <w:r>
        <w:rPr>
          <w:rFonts w:ascii="Abadi" w:hAnsi="Abadi"/>
          <w:sz w:val="21"/>
          <w:szCs w:val="21"/>
        </w:rPr>
        <w:t>?</w:t>
      </w:r>
      <w:r w:rsidRPr="0030088F">
        <w:rPr>
          <w:rFonts w:ascii="Abadi" w:hAnsi="Abadi"/>
          <w:sz w:val="21"/>
          <w:szCs w:val="21"/>
        </w:rPr>
        <w:t xml:space="preserve"> </w:t>
      </w:r>
      <w:r>
        <w:rPr>
          <w:rFonts w:ascii="Abadi" w:hAnsi="Abadi"/>
          <w:sz w:val="21"/>
          <w:szCs w:val="21"/>
        </w:rPr>
        <w:t xml:space="preserve"> </w:t>
      </w:r>
      <w:r w:rsidRPr="001A77F5">
        <w:rPr>
          <w:rFonts w:ascii="Abadi" w:hAnsi="Abadi"/>
          <w:b/>
          <w:bCs/>
          <w:sz w:val="21"/>
          <w:szCs w:val="21"/>
        </w:rPr>
        <w:t>(Voz) diputada Susana Bermúdez,</w:t>
      </w:r>
      <w:r>
        <w:rPr>
          <w:rFonts w:ascii="Abadi" w:hAnsi="Abadi"/>
          <w:sz w:val="21"/>
          <w:szCs w:val="21"/>
        </w:rPr>
        <w:t xml:space="preserve"> </w:t>
      </w:r>
      <w:r w:rsidRPr="0030088F">
        <w:rPr>
          <w:rFonts w:ascii="Abadi" w:hAnsi="Abadi"/>
          <w:sz w:val="21"/>
          <w:szCs w:val="21"/>
        </w:rPr>
        <w:t xml:space="preserve">sí para una rectificación de hechos presidenta </w:t>
      </w:r>
      <w:r w:rsidRPr="001A77F5">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qué hechos diputada</w:t>
      </w:r>
      <w:r>
        <w:rPr>
          <w:rFonts w:ascii="Abadi" w:hAnsi="Abadi"/>
          <w:sz w:val="21"/>
          <w:szCs w:val="21"/>
        </w:rPr>
        <w:t>?</w:t>
      </w:r>
      <w:r w:rsidRPr="0030088F">
        <w:rPr>
          <w:rFonts w:ascii="Abadi" w:hAnsi="Abadi"/>
          <w:sz w:val="21"/>
          <w:szCs w:val="21"/>
        </w:rPr>
        <w:t xml:space="preserve"> </w:t>
      </w:r>
      <w:r w:rsidRPr="001A77F5">
        <w:rPr>
          <w:rFonts w:ascii="Abadi" w:hAnsi="Abadi"/>
          <w:b/>
          <w:bCs/>
          <w:sz w:val="21"/>
          <w:szCs w:val="21"/>
        </w:rPr>
        <w:t>(Voz) diputada Susana Bermúdez,</w:t>
      </w:r>
      <w:r>
        <w:rPr>
          <w:rFonts w:ascii="Abadi" w:hAnsi="Abadi"/>
          <w:sz w:val="21"/>
          <w:szCs w:val="21"/>
        </w:rPr>
        <w:t xml:space="preserve"> </w:t>
      </w:r>
      <w:r w:rsidRPr="0030088F">
        <w:rPr>
          <w:rFonts w:ascii="Abadi" w:hAnsi="Abadi"/>
          <w:sz w:val="21"/>
          <w:szCs w:val="21"/>
        </w:rPr>
        <w:t>es trabajo con seriedad y bancada feminista</w:t>
      </w:r>
      <w:r>
        <w:rPr>
          <w:rFonts w:ascii="Abadi" w:hAnsi="Abadi"/>
          <w:sz w:val="21"/>
          <w:szCs w:val="21"/>
        </w:rPr>
        <w:t>.</w:t>
      </w:r>
    </w:p>
    <w:p w14:paraId="6102C493" w14:textId="77777777" w:rsidR="001E10AA" w:rsidRDefault="001E10AA" w:rsidP="006F10E0">
      <w:pPr>
        <w:jc w:val="both"/>
        <w:rPr>
          <w:rFonts w:ascii="Abadi" w:hAnsi="Abadi"/>
          <w:sz w:val="21"/>
          <w:szCs w:val="21"/>
        </w:rPr>
      </w:pPr>
    </w:p>
    <w:p w14:paraId="6B698B41" w14:textId="77777777" w:rsidR="006F10E0" w:rsidRDefault="006F10E0" w:rsidP="006F10E0">
      <w:pPr>
        <w:jc w:val="both"/>
        <w:rPr>
          <w:rFonts w:ascii="Abadi" w:hAnsi="Abadi"/>
          <w:sz w:val="21"/>
          <w:szCs w:val="21"/>
        </w:rPr>
      </w:pPr>
      <w:r>
        <w:rPr>
          <w:rFonts w:ascii="Abadi" w:hAnsi="Abadi"/>
          <w:sz w:val="21"/>
          <w:szCs w:val="21"/>
        </w:rPr>
        <w:tab/>
        <w:t>- A</w:t>
      </w:r>
      <w:r w:rsidRPr="0030088F">
        <w:rPr>
          <w:rFonts w:ascii="Abadi" w:hAnsi="Abadi"/>
          <w:sz w:val="21"/>
          <w:szCs w:val="21"/>
        </w:rPr>
        <w:t>delante diputada tiene el uso de la voz hasta por 5 minutos</w:t>
      </w:r>
      <w:r>
        <w:rPr>
          <w:rFonts w:ascii="Abadi" w:hAnsi="Abadi"/>
          <w:sz w:val="21"/>
          <w:szCs w:val="21"/>
        </w:rPr>
        <w:t>.</w:t>
      </w:r>
    </w:p>
    <w:p w14:paraId="6425B2EA" w14:textId="77777777" w:rsidR="001E10AA" w:rsidRPr="0030088F" w:rsidRDefault="001E10AA" w:rsidP="006F10E0">
      <w:pPr>
        <w:jc w:val="both"/>
        <w:rPr>
          <w:rFonts w:ascii="Abadi" w:hAnsi="Abadi"/>
          <w:sz w:val="21"/>
          <w:szCs w:val="21"/>
        </w:rPr>
      </w:pPr>
    </w:p>
    <w:p w14:paraId="4B1034B9" w14:textId="77777777" w:rsidR="006F10E0" w:rsidRDefault="006F10E0" w:rsidP="006F10E0">
      <w:pPr>
        <w:jc w:val="both"/>
        <w:rPr>
          <w:rFonts w:ascii="Abadi" w:hAnsi="Abadi"/>
          <w:b/>
          <w:bCs/>
          <w:sz w:val="21"/>
          <w:szCs w:val="21"/>
        </w:rPr>
      </w:pPr>
      <w:r w:rsidRPr="0068178E">
        <w:rPr>
          <w:rFonts w:ascii="Abadi" w:hAnsi="Abadi"/>
          <w:b/>
          <w:bCs/>
          <w:sz w:val="21"/>
          <w:szCs w:val="21"/>
        </w:rPr>
        <w:t>(Sube a tribuna la diputada Susana Bermúdez Cano, para rectificación de hechos de la diputada que le antecedió en el uso de la voz)</w:t>
      </w:r>
    </w:p>
    <w:p w14:paraId="17245065" w14:textId="77777777" w:rsidR="001E10AA" w:rsidRDefault="001E10AA" w:rsidP="006F10E0">
      <w:pPr>
        <w:jc w:val="both"/>
        <w:rPr>
          <w:rFonts w:ascii="Abadi" w:hAnsi="Abadi"/>
          <w:b/>
          <w:bCs/>
          <w:sz w:val="21"/>
          <w:szCs w:val="21"/>
        </w:rPr>
      </w:pPr>
    </w:p>
    <w:p w14:paraId="428F19E3" w14:textId="77777777" w:rsidR="001E10AA" w:rsidRDefault="001E10AA" w:rsidP="006F10E0">
      <w:pPr>
        <w:jc w:val="both"/>
        <w:rPr>
          <w:rFonts w:ascii="Abadi" w:hAnsi="Abadi"/>
          <w:b/>
          <w:bCs/>
          <w:sz w:val="21"/>
          <w:szCs w:val="21"/>
        </w:rPr>
      </w:pPr>
    </w:p>
    <w:p w14:paraId="47C37DA4" w14:textId="5723BA28" w:rsidR="006F10E0" w:rsidRPr="0068178E" w:rsidRDefault="001E10AA" w:rsidP="006F10E0">
      <w:pPr>
        <w:jc w:val="both"/>
        <w:rPr>
          <w:rFonts w:ascii="Abadi" w:hAnsi="Abadi"/>
          <w:b/>
          <w:bCs/>
          <w:sz w:val="21"/>
          <w:szCs w:val="21"/>
        </w:rPr>
      </w:pPr>
      <w:r>
        <w:rPr>
          <w:noProof/>
        </w:rPr>
        <w:drawing>
          <wp:anchor distT="0" distB="0" distL="114300" distR="114300" simplePos="0" relativeHeight="251666454" behindDoc="1" locked="0" layoutInCell="1" allowOverlap="1" wp14:anchorId="3E219823" wp14:editId="7EE8D115">
            <wp:simplePos x="0" y="0"/>
            <wp:positionH relativeFrom="column">
              <wp:posOffset>595993</wp:posOffset>
            </wp:positionH>
            <wp:positionV relativeFrom="paragraph">
              <wp:posOffset>121829</wp:posOffset>
            </wp:positionV>
            <wp:extent cx="1393581" cy="719024"/>
            <wp:effectExtent l="247650" t="228600" r="245110" b="748030"/>
            <wp:wrapTight wrapText="bothSides">
              <wp:wrapPolygon edited="0">
                <wp:start x="-3840" y="-6869"/>
                <wp:lineTo x="-3840" y="43505"/>
                <wp:lineTo x="25105" y="43505"/>
                <wp:lineTo x="25105" y="-6869"/>
                <wp:lineTo x="-3840" y="-6869"/>
              </wp:wrapPolygon>
            </wp:wrapTight>
            <wp:docPr id="473158534" name="Imagen 473158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158534" name=""/>
                    <pic:cNvPicPr/>
                  </pic:nvPicPr>
                  <pic:blipFill rotWithShape="1">
                    <a:blip r:embed="rId56" cstate="print">
                      <a:extLst>
                        <a:ext uri="{28A0092B-C50C-407E-A947-70E740481C1C}">
                          <a14:useLocalDpi xmlns:a14="http://schemas.microsoft.com/office/drawing/2010/main" val="0"/>
                        </a:ext>
                      </a:extLst>
                    </a:blip>
                    <a:srcRect b="8268"/>
                    <a:stretch/>
                  </pic:blipFill>
                  <pic:spPr bwMode="auto">
                    <a:xfrm>
                      <a:off x="0" y="0"/>
                      <a:ext cx="1393581" cy="71902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F408407" w14:textId="637D2BED" w:rsidR="001E10AA" w:rsidRDefault="001E10AA" w:rsidP="006F10E0">
      <w:pPr>
        <w:jc w:val="both"/>
        <w:rPr>
          <w:rFonts w:ascii="Abadi" w:hAnsi="Abadi"/>
          <w:sz w:val="21"/>
          <w:szCs w:val="21"/>
        </w:rPr>
      </w:pPr>
    </w:p>
    <w:p w14:paraId="453FA098" w14:textId="6D18E114" w:rsidR="001E10AA" w:rsidRDefault="001E10AA" w:rsidP="006F10E0">
      <w:pPr>
        <w:jc w:val="both"/>
        <w:rPr>
          <w:rFonts w:ascii="Abadi" w:hAnsi="Abadi"/>
          <w:sz w:val="21"/>
          <w:szCs w:val="21"/>
        </w:rPr>
      </w:pPr>
    </w:p>
    <w:p w14:paraId="7948CAA0" w14:textId="2BBF5278" w:rsidR="001E10AA" w:rsidRDefault="001E10AA" w:rsidP="006F10E0">
      <w:pPr>
        <w:jc w:val="both"/>
        <w:rPr>
          <w:rFonts w:ascii="Abadi" w:hAnsi="Abadi"/>
          <w:sz w:val="21"/>
          <w:szCs w:val="21"/>
        </w:rPr>
      </w:pPr>
    </w:p>
    <w:p w14:paraId="226E2E5F" w14:textId="535C59E6" w:rsidR="001E10AA" w:rsidRDefault="001E10AA" w:rsidP="006F10E0">
      <w:pPr>
        <w:jc w:val="both"/>
        <w:rPr>
          <w:rFonts w:ascii="Abadi" w:hAnsi="Abadi"/>
          <w:sz w:val="21"/>
          <w:szCs w:val="21"/>
        </w:rPr>
      </w:pPr>
    </w:p>
    <w:p w14:paraId="26D3A23D" w14:textId="77777777" w:rsidR="001E10AA" w:rsidRDefault="001E10AA" w:rsidP="006F10E0">
      <w:pPr>
        <w:jc w:val="both"/>
        <w:rPr>
          <w:rFonts w:ascii="Abadi" w:hAnsi="Abadi"/>
          <w:sz w:val="21"/>
          <w:szCs w:val="21"/>
        </w:rPr>
      </w:pPr>
    </w:p>
    <w:p w14:paraId="4DA4D8B8" w14:textId="77777777" w:rsidR="001E10AA" w:rsidRDefault="001E10AA" w:rsidP="006F10E0">
      <w:pPr>
        <w:jc w:val="both"/>
        <w:rPr>
          <w:rFonts w:ascii="Abadi" w:hAnsi="Abadi"/>
          <w:sz w:val="21"/>
          <w:szCs w:val="21"/>
        </w:rPr>
      </w:pPr>
    </w:p>
    <w:p w14:paraId="2ECD1155" w14:textId="77777777" w:rsidR="001E10AA" w:rsidRDefault="001E10AA" w:rsidP="006F10E0">
      <w:pPr>
        <w:jc w:val="both"/>
        <w:rPr>
          <w:rFonts w:ascii="Abadi" w:hAnsi="Abadi"/>
          <w:sz w:val="21"/>
          <w:szCs w:val="21"/>
        </w:rPr>
      </w:pPr>
    </w:p>
    <w:p w14:paraId="0E6D7363" w14:textId="77777777" w:rsidR="001E10AA" w:rsidRDefault="001E10AA" w:rsidP="006F10E0">
      <w:pPr>
        <w:jc w:val="both"/>
        <w:rPr>
          <w:rFonts w:ascii="Abadi" w:hAnsi="Abadi"/>
          <w:sz w:val="21"/>
          <w:szCs w:val="21"/>
        </w:rPr>
      </w:pPr>
    </w:p>
    <w:p w14:paraId="4B0CF181" w14:textId="77777777" w:rsidR="001E10AA" w:rsidRDefault="001E10AA" w:rsidP="006F10E0">
      <w:pPr>
        <w:jc w:val="both"/>
        <w:rPr>
          <w:rFonts w:ascii="Abadi" w:hAnsi="Abadi"/>
          <w:sz w:val="21"/>
          <w:szCs w:val="21"/>
        </w:rPr>
      </w:pPr>
    </w:p>
    <w:p w14:paraId="31B7CDA7" w14:textId="13C712AA" w:rsidR="006F10E0" w:rsidRPr="0030088F" w:rsidRDefault="006F10E0" w:rsidP="006F10E0">
      <w:pPr>
        <w:jc w:val="both"/>
        <w:rPr>
          <w:rFonts w:ascii="Abadi" w:hAnsi="Abadi"/>
          <w:sz w:val="21"/>
          <w:szCs w:val="21"/>
        </w:rPr>
      </w:pPr>
    </w:p>
    <w:p w14:paraId="735947AC" w14:textId="3C07A2C2" w:rsidR="006F10E0" w:rsidRDefault="006F10E0" w:rsidP="006F10E0">
      <w:pPr>
        <w:jc w:val="both"/>
        <w:rPr>
          <w:rFonts w:ascii="Abadi" w:hAnsi="Abadi"/>
          <w:sz w:val="21"/>
          <w:szCs w:val="21"/>
        </w:rPr>
      </w:pPr>
      <w:r>
        <w:rPr>
          <w:rFonts w:ascii="Abadi" w:hAnsi="Abadi"/>
          <w:sz w:val="21"/>
          <w:szCs w:val="21"/>
        </w:rPr>
        <w:t>- M</w:t>
      </w:r>
      <w:r w:rsidRPr="0030088F">
        <w:rPr>
          <w:rFonts w:ascii="Abadi" w:hAnsi="Abadi"/>
          <w:sz w:val="21"/>
          <w:szCs w:val="21"/>
        </w:rPr>
        <w:t>uchas gracias</w:t>
      </w:r>
      <w:r>
        <w:rPr>
          <w:rFonts w:ascii="Abadi" w:hAnsi="Abadi"/>
          <w:sz w:val="21"/>
          <w:szCs w:val="21"/>
        </w:rPr>
        <w:t>,</w:t>
      </w:r>
      <w:r w:rsidRPr="0030088F">
        <w:rPr>
          <w:rFonts w:ascii="Abadi" w:hAnsi="Abadi"/>
          <w:sz w:val="21"/>
          <w:szCs w:val="21"/>
        </w:rPr>
        <w:t xml:space="preserve"> </w:t>
      </w:r>
      <w:r>
        <w:rPr>
          <w:rFonts w:ascii="Abadi" w:hAnsi="Abadi"/>
          <w:sz w:val="21"/>
          <w:szCs w:val="21"/>
        </w:rPr>
        <w:t xml:space="preserve">pues voy a ser muy concreta, </w:t>
      </w:r>
      <w:r w:rsidRPr="0030088F">
        <w:rPr>
          <w:rFonts w:ascii="Abadi" w:hAnsi="Abadi"/>
          <w:sz w:val="21"/>
          <w:szCs w:val="21"/>
        </w:rPr>
        <w:t>este porque es un tema muy muy interesante y es un tema de verdad que se desahogó en diversas mesas de trabajo</w:t>
      </w:r>
      <w:r>
        <w:rPr>
          <w:rFonts w:ascii="Abadi" w:hAnsi="Abadi"/>
          <w:sz w:val="21"/>
          <w:szCs w:val="21"/>
        </w:rPr>
        <w:t>,</w:t>
      </w:r>
      <w:r w:rsidRPr="0030088F">
        <w:rPr>
          <w:rFonts w:ascii="Abadi" w:hAnsi="Abadi"/>
          <w:sz w:val="21"/>
          <w:szCs w:val="21"/>
        </w:rPr>
        <w:t xml:space="preserve"> pues </w:t>
      </w:r>
      <w:r>
        <w:rPr>
          <w:rFonts w:ascii="Abadi" w:hAnsi="Abadi"/>
          <w:sz w:val="21"/>
          <w:szCs w:val="21"/>
        </w:rPr>
        <w:t xml:space="preserve">nos </w:t>
      </w:r>
      <w:r w:rsidRPr="0030088F">
        <w:rPr>
          <w:rFonts w:ascii="Abadi" w:hAnsi="Abadi"/>
          <w:sz w:val="21"/>
          <w:szCs w:val="21"/>
        </w:rPr>
        <w:t>hubiera gustado contar con mucha participación y muy nutrida de parte de cada uno de los diputados y diputadas</w:t>
      </w:r>
      <w:r>
        <w:rPr>
          <w:rFonts w:ascii="Abadi" w:hAnsi="Abadi"/>
          <w:sz w:val="21"/>
          <w:szCs w:val="21"/>
        </w:rPr>
        <w:t>,</w:t>
      </w:r>
      <w:r w:rsidRPr="0030088F">
        <w:rPr>
          <w:rFonts w:ascii="Abadi" w:hAnsi="Abadi"/>
          <w:sz w:val="21"/>
          <w:szCs w:val="21"/>
        </w:rPr>
        <w:t xml:space="preserve"> que muchos de ellos brillaron por su ausencia</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sí quisiera decir</w:t>
      </w:r>
      <w:r>
        <w:rPr>
          <w:rFonts w:ascii="Abadi" w:hAnsi="Abadi"/>
          <w:sz w:val="21"/>
          <w:szCs w:val="21"/>
        </w:rPr>
        <w:t>,</w:t>
      </w:r>
      <w:r w:rsidRPr="0030088F">
        <w:rPr>
          <w:rFonts w:ascii="Abadi" w:hAnsi="Abadi"/>
          <w:sz w:val="21"/>
          <w:szCs w:val="21"/>
        </w:rPr>
        <w:t xml:space="preserve"> que desde siempre se les reconoce el trabajo yo creo que el reconocimiento del trabajo está en no debe sentirse nadie que no se le reconoce pero yo recuerdo muy bien las palabras de unas de las iniciantes que decía esto deviene de un colectivo y agradeció a los colectivos feministas también se les reconoció</w:t>
      </w:r>
      <w:r>
        <w:rPr>
          <w:rFonts w:ascii="Abadi" w:hAnsi="Abadi"/>
          <w:sz w:val="21"/>
          <w:szCs w:val="21"/>
        </w:rPr>
        <w:t>,</w:t>
      </w:r>
      <w:r w:rsidRPr="0030088F">
        <w:rPr>
          <w:rFonts w:ascii="Abadi" w:hAnsi="Abadi"/>
          <w:sz w:val="21"/>
          <w:szCs w:val="21"/>
        </w:rPr>
        <w:t xml:space="preserve"> el trabajo siempre se hace con seriedad</w:t>
      </w:r>
      <w:r>
        <w:rPr>
          <w:rFonts w:ascii="Abadi" w:hAnsi="Abadi"/>
          <w:sz w:val="21"/>
          <w:szCs w:val="21"/>
        </w:rPr>
        <w:t>,</w:t>
      </w:r>
      <w:r w:rsidRPr="0030088F">
        <w:rPr>
          <w:rFonts w:ascii="Abadi" w:hAnsi="Abadi"/>
          <w:sz w:val="21"/>
          <w:szCs w:val="21"/>
        </w:rPr>
        <w:t xml:space="preserve"> por eso se hacen mesas de trabajo</w:t>
      </w:r>
      <w:r>
        <w:rPr>
          <w:rFonts w:ascii="Abadi" w:hAnsi="Abadi"/>
          <w:sz w:val="21"/>
          <w:szCs w:val="21"/>
        </w:rPr>
        <w:t>,</w:t>
      </w:r>
      <w:r w:rsidRPr="0030088F">
        <w:rPr>
          <w:rFonts w:ascii="Abadi" w:hAnsi="Abadi"/>
          <w:sz w:val="21"/>
          <w:szCs w:val="21"/>
        </w:rPr>
        <w:t xml:space="preserve"> por eso se hacen consensos</w:t>
      </w:r>
      <w:r>
        <w:rPr>
          <w:rFonts w:ascii="Abadi" w:hAnsi="Abadi"/>
          <w:sz w:val="21"/>
          <w:szCs w:val="21"/>
        </w:rPr>
        <w:t>,</w:t>
      </w:r>
      <w:r w:rsidRPr="0030088F">
        <w:rPr>
          <w:rFonts w:ascii="Abadi" w:hAnsi="Abadi"/>
          <w:sz w:val="21"/>
          <w:szCs w:val="21"/>
        </w:rPr>
        <w:t xml:space="preserve"> a veces por más que le buscamos los enunciados normativos no dan y muchas de las veces</w:t>
      </w:r>
      <w:r>
        <w:rPr>
          <w:rFonts w:ascii="Abadi" w:hAnsi="Abadi"/>
          <w:sz w:val="21"/>
          <w:szCs w:val="21"/>
        </w:rPr>
        <w:t>,</w:t>
      </w:r>
      <w:r w:rsidRPr="0030088F">
        <w:rPr>
          <w:rFonts w:ascii="Abadi" w:hAnsi="Abadi"/>
          <w:sz w:val="21"/>
          <w:szCs w:val="21"/>
        </w:rPr>
        <w:t xml:space="preserve"> como hoy</w:t>
      </w:r>
      <w:r>
        <w:rPr>
          <w:rFonts w:ascii="Abadi" w:hAnsi="Abadi"/>
          <w:sz w:val="21"/>
          <w:szCs w:val="21"/>
        </w:rPr>
        <w:t>,</w:t>
      </w:r>
      <w:r w:rsidRPr="0030088F">
        <w:rPr>
          <w:rFonts w:ascii="Abadi" w:hAnsi="Abadi"/>
          <w:sz w:val="21"/>
          <w:szCs w:val="21"/>
        </w:rPr>
        <w:t xml:space="preserve"> se ente</w:t>
      </w:r>
      <w:r>
        <w:rPr>
          <w:rFonts w:ascii="Abadi" w:hAnsi="Abadi"/>
          <w:sz w:val="21"/>
          <w:szCs w:val="21"/>
        </w:rPr>
        <w:t xml:space="preserve">ndió </w:t>
      </w:r>
      <w:r w:rsidRPr="0030088F">
        <w:rPr>
          <w:rFonts w:ascii="Abadi" w:hAnsi="Abadi"/>
          <w:sz w:val="21"/>
          <w:szCs w:val="21"/>
        </w:rPr>
        <w:t>el objetivo</w:t>
      </w:r>
      <w:r>
        <w:rPr>
          <w:rFonts w:ascii="Abadi" w:hAnsi="Abadi"/>
          <w:sz w:val="21"/>
          <w:szCs w:val="21"/>
        </w:rPr>
        <w:t>,</w:t>
      </w:r>
      <w:r w:rsidRPr="0030088F">
        <w:rPr>
          <w:rFonts w:ascii="Abadi" w:hAnsi="Abadi"/>
          <w:sz w:val="21"/>
          <w:szCs w:val="21"/>
        </w:rPr>
        <w:t xml:space="preserve"> no solo de la iniciativa de que yo no me voy a referir como bancada feminista</w:t>
      </w:r>
      <w:r>
        <w:rPr>
          <w:rFonts w:ascii="Abadi" w:hAnsi="Abadi"/>
          <w:sz w:val="21"/>
          <w:szCs w:val="21"/>
        </w:rPr>
        <w:t>,</w:t>
      </w:r>
      <w:r w:rsidRPr="0030088F">
        <w:rPr>
          <w:rFonts w:ascii="Abadi" w:hAnsi="Abadi"/>
          <w:sz w:val="21"/>
          <w:szCs w:val="21"/>
        </w:rPr>
        <w:t xml:space="preserve"> porque ese término no existe</w:t>
      </w:r>
      <w:r>
        <w:rPr>
          <w:rFonts w:ascii="Abadi" w:hAnsi="Abadi"/>
          <w:sz w:val="21"/>
          <w:szCs w:val="21"/>
        </w:rPr>
        <w:t>,</w:t>
      </w:r>
      <w:r w:rsidRPr="0030088F">
        <w:rPr>
          <w:rFonts w:ascii="Abadi" w:hAnsi="Abadi"/>
          <w:sz w:val="21"/>
          <w:szCs w:val="21"/>
        </w:rPr>
        <w:t xml:space="preserve"> voy a referir como las 3 iniciantes 2 de ellas en el documento y una en posterior en una en la </w:t>
      </w:r>
      <w:r>
        <w:rPr>
          <w:rFonts w:ascii="Abadi" w:hAnsi="Abadi"/>
          <w:sz w:val="21"/>
          <w:szCs w:val="21"/>
        </w:rPr>
        <w:t>S</w:t>
      </w:r>
      <w:r w:rsidRPr="0030088F">
        <w:rPr>
          <w:rFonts w:ascii="Abadi" w:hAnsi="Abadi"/>
          <w:sz w:val="21"/>
          <w:szCs w:val="21"/>
        </w:rPr>
        <w:t xml:space="preserve">esión de </w:t>
      </w:r>
      <w:r>
        <w:rPr>
          <w:rFonts w:ascii="Abadi" w:hAnsi="Abadi"/>
          <w:sz w:val="21"/>
          <w:szCs w:val="21"/>
        </w:rPr>
        <w:t>P</w:t>
      </w:r>
      <w:r w:rsidRPr="0030088F">
        <w:rPr>
          <w:rFonts w:ascii="Abadi" w:hAnsi="Abadi"/>
          <w:sz w:val="21"/>
          <w:szCs w:val="21"/>
        </w:rPr>
        <w:t>leno y quiero decirlo</w:t>
      </w:r>
      <w:r>
        <w:rPr>
          <w:rFonts w:ascii="Abadi" w:hAnsi="Abadi"/>
          <w:sz w:val="21"/>
          <w:szCs w:val="21"/>
        </w:rPr>
        <w:t>,</w:t>
      </w:r>
      <w:r w:rsidRPr="0030088F">
        <w:rPr>
          <w:rFonts w:ascii="Abadi" w:hAnsi="Abadi"/>
          <w:sz w:val="21"/>
          <w:szCs w:val="21"/>
        </w:rPr>
        <w:t xml:space="preserve"> porque</w:t>
      </w:r>
      <w:r>
        <w:rPr>
          <w:rFonts w:ascii="Abadi" w:hAnsi="Abadi"/>
          <w:sz w:val="21"/>
          <w:szCs w:val="21"/>
        </w:rPr>
        <w:t>,</w:t>
      </w:r>
      <w:r w:rsidRPr="0030088F">
        <w:rPr>
          <w:rFonts w:ascii="Abadi" w:hAnsi="Abadi"/>
          <w:sz w:val="21"/>
          <w:szCs w:val="21"/>
        </w:rPr>
        <w:t xml:space="preserve"> ahí </w:t>
      </w:r>
      <w:r w:rsidRPr="0030088F">
        <w:rPr>
          <w:rFonts w:ascii="Abadi" w:hAnsi="Abadi"/>
          <w:sz w:val="21"/>
          <w:szCs w:val="21"/>
        </w:rPr>
        <w:t>está</w:t>
      </w:r>
      <w:r>
        <w:rPr>
          <w:rFonts w:ascii="Abadi" w:hAnsi="Abadi"/>
          <w:sz w:val="21"/>
          <w:szCs w:val="21"/>
        </w:rPr>
        <w:t>,</w:t>
      </w:r>
      <w:r w:rsidRPr="0030088F">
        <w:rPr>
          <w:rFonts w:ascii="Abadi" w:hAnsi="Abadi"/>
          <w:sz w:val="21"/>
          <w:szCs w:val="21"/>
        </w:rPr>
        <w:t xml:space="preserve"> como iniciantes diputadas</w:t>
      </w:r>
      <w:r>
        <w:rPr>
          <w:rFonts w:ascii="Abadi" w:hAnsi="Abadi"/>
          <w:sz w:val="21"/>
          <w:szCs w:val="21"/>
        </w:rPr>
        <w:t xml:space="preserve">, </w:t>
      </w:r>
      <w:r w:rsidRPr="0030088F">
        <w:rPr>
          <w:rFonts w:ascii="Abadi" w:hAnsi="Abadi"/>
          <w:sz w:val="21"/>
          <w:szCs w:val="21"/>
        </w:rPr>
        <w:t xml:space="preserve">luego se presenta también y aquí se mencionó la diputada </w:t>
      </w:r>
      <w:r>
        <w:rPr>
          <w:rFonts w:ascii="Abadi" w:hAnsi="Abadi"/>
          <w:sz w:val="21"/>
          <w:szCs w:val="21"/>
        </w:rPr>
        <w:t>H</w:t>
      </w:r>
      <w:r w:rsidRPr="0030088F">
        <w:rPr>
          <w:rFonts w:ascii="Abadi" w:hAnsi="Abadi"/>
          <w:sz w:val="21"/>
          <w:szCs w:val="21"/>
        </w:rPr>
        <w:t>ades</w:t>
      </w:r>
      <w:r>
        <w:rPr>
          <w:rFonts w:ascii="Abadi" w:hAnsi="Abadi"/>
          <w:sz w:val="21"/>
          <w:szCs w:val="21"/>
        </w:rPr>
        <w:t xml:space="preserve">, </w:t>
      </w:r>
      <w:r w:rsidRPr="0030088F">
        <w:rPr>
          <w:rFonts w:ascii="Abadi" w:hAnsi="Abadi"/>
          <w:sz w:val="21"/>
          <w:szCs w:val="21"/>
        </w:rPr>
        <w:t>el diputado David Martínez Mendizábal y en suma cuando se presenta por parte de la comisión</w:t>
      </w:r>
      <w:r>
        <w:rPr>
          <w:rFonts w:ascii="Abadi" w:hAnsi="Abadi"/>
          <w:sz w:val="21"/>
          <w:szCs w:val="21"/>
        </w:rPr>
        <w:t>,</w:t>
      </w:r>
      <w:r w:rsidRPr="0030088F">
        <w:rPr>
          <w:rFonts w:ascii="Abadi" w:hAnsi="Abadi"/>
          <w:sz w:val="21"/>
          <w:szCs w:val="21"/>
        </w:rPr>
        <w:t xml:space="preserve"> lo que se ve es que el objetivo es el mismo</w:t>
      </w:r>
      <w:r>
        <w:rPr>
          <w:rFonts w:ascii="Abadi" w:hAnsi="Abadi"/>
          <w:sz w:val="21"/>
          <w:szCs w:val="21"/>
        </w:rPr>
        <w:t>,</w:t>
      </w:r>
      <w:r w:rsidRPr="0030088F">
        <w:rPr>
          <w:rFonts w:ascii="Abadi" w:hAnsi="Abadi"/>
          <w:sz w:val="21"/>
          <w:szCs w:val="21"/>
        </w:rPr>
        <w:t xml:space="preserve"> pero los enunciados normativos a la luz y sí</w:t>
      </w:r>
      <w:r>
        <w:rPr>
          <w:rFonts w:ascii="Abadi" w:hAnsi="Abadi"/>
          <w:sz w:val="21"/>
          <w:szCs w:val="21"/>
        </w:rPr>
        <w:t>,</w:t>
      </w:r>
      <w:r w:rsidRPr="0030088F">
        <w:rPr>
          <w:rFonts w:ascii="Abadi" w:hAnsi="Abadi"/>
          <w:sz w:val="21"/>
          <w:szCs w:val="21"/>
        </w:rPr>
        <w:t xml:space="preserve"> después de un tiempo y de la discusión y de la reforma constitucional</w:t>
      </w:r>
      <w:r>
        <w:rPr>
          <w:rFonts w:ascii="Abadi" w:hAnsi="Abadi"/>
          <w:sz w:val="21"/>
          <w:szCs w:val="21"/>
        </w:rPr>
        <w:t>,</w:t>
      </w:r>
      <w:r w:rsidRPr="0030088F">
        <w:rPr>
          <w:rFonts w:ascii="Abadi" w:hAnsi="Abadi"/>
          <w:sz w:val="21"/>
          <w:szCs w:val="21"/>
        </w:rPr>
        <w:t xml:space="preserve"> porque incluso había opiniones en contra</w:t>
      </w:r>
      <w:r>
        <w:rPr>
          <w:rFonts w:ascii="Abadi" w:hAnsi="Abadi"/>
          <w:sz w:val="21"/>
          <w:szCs w:val="21"/>
        </w:rPr>
        <w:t>,</w:t>
      </w:r>
      <w:r w:rsidRPr="0030088F">
        <w:rPr>
          <w:rFonts w:ascii="Abadi" w:hAnsi="Abadi"/>
          <w:sz w:val="21"/>
          <w:szCs w:val="21"/>
        </w:rPr>
        <w:t xml:space="preserve"> incluso se mencionó que se recurrió est</w:t>
      </w:r>
      <w:r>
        <w:rPr>
          <w:rFonts w:ascii="Abadi" w:hAnsi="Abadi"/>
          <w:sz w:val="21"/>
          <w:szCs w:val="21"/>
        </w:rPr>
        <w:t xml:space="preserve">á </w:t>
      </w:r>
      <w:r w:rsidRPr="0030088F">
        <w:rPr>
          <w:rFonts w:ascii="Abadi" w:hAnsi="Abadi"/>
          <w:sz w:val="21"/>
          <w:szCs w:val="21"/>
        </w:rPr>
        <w:t xml:space="preserve">en unos </w:t>
      </w:r>
      <w:r>
        <w:rPr>
          <w:rFonts w:ascii="Abadi" w:hAnsi="Abadi"/>
          <w:sz w:val="21"/>
          <w:szCs w:val="21"/>
        </w:rPr>
        <w:t>C</w:t>
      </w:r>
      <w:r w:rsidRPr="0030088F">
        <w:rPr>
          <w:rFonts w:ascii="Abadi" w:hAnsi="Abadi"/>
          <w:sz w:val="21"/>
          <w:szCs w:val="21"/>
        </w:rPr>
        <w:t xml:space="preserve">ongresos del </w:t>
      </w:r>
      <w:r>
        <w:rPr>
          <w:rFonts w:ascii="Abadi" w:hAnsi="Abadi"/>
          <w:sz w:val="21"/>
          <w:szCs w:val="21"/>
        </w:rPr>
        <w:t>E</w:t>
      </w:r>
      <w:r w:rsidRPr="0030088F">
        <w:rPr>
          <w:rFonts w:ascii="Abadi" w:hAnsi="Abadi"/>
          <w:sz w:val="21"/>
          <w:szCs w:val="21"/>
        </w:rPr>
        <w:t>stado</w:t>
      </w:r>
      <w:r>
        <w:rPr>
          <w:rFonts w:ascii="Abadi" w:hAnsi="Abadi"/>
          <w:sz w:val="21"/>
          <w:szCs w:val="21"/>
        </w:rPr>
        <w:t>,</w:t>
      </w:r>
      <w:r w:rsidRPr="0030088F">
        <w:rPr>
          <w:rFonts w:ascii="Abadi" w:hAnsi="Abadi"/>
          <w:sz w:val="21"/>
          <w:szCs w:val="21"/>
        </w:rPr>
        <w:t xml:space="preserve"> esta propia iniciativa en otros estados inclusive participaron y dijeron hay que esperar para ver qué hay de resolución de parte de los tribunales</w:t>
      </w:r>
      <w:r w:rsidR="001E10AA">
        <w:rPr>
          <w:rFonts w:ascii="Abadi" w:hAnsi="Abadi"/>
          <w:sz w:val="21"/>
          <w:szCs w:val="21"/>
        </w:rPr>
        <w:t>.</w:t>
      </w:r>
    </w:p>
    <w:p w14:paraId="56529352" w14:textId="77777777" w:rsidR="001E10AA" w:rsidRDefault="001E10AA" w:rsidP="006F10E0">
      <w:pPr>
        <w:jc w:val="both"/>
        <w:rPr>
          <w:rFonts w:ascii="Abadi" w:hAnsi="Abadi"/>
          <w:sz w:val="21"/>
          <w:szCs w:val="21"/>
        </w:rPr>
      </w:pPr>
    </w:p>
    <w:p w14:paraId="431F80AE" w14:textId="77777777" w:rsidR="006F10E0" w:rsidRDefault="006F10E0" w:rsidP="006F10E0">
      <w:pPr>
        <w:jc w:val="both"/>
        <w:rPr>
          <w:rFonts w:ascii="Abadi" w:hAnsi="Abadi"/>
          <w:sz w:val="21"/>
          <w:szCs w:val="21"/>
        </w:rPr>
      </w:pPr>
      <w:r>
        <w:rPr>
          <w:rFonts w:ascii="Abadi" w:hAnsi="Abadi"/>
          <w:sz w:val="21"/>
          <w:szCs w:val="21"/>
        </w:rPr>
        <w:t>- P</w:t>
      </w:r>
      <w:r w:rsidRPr="0030088F">
        <w:rPr>
          <w:rFonts w:ascii="Abadi" w:hAnsi="Abadi"/>
          <w:sz w:val="21"/>
          <w:szCs w:val="21"/>
        </w:rPr>
        <w:t>ero el trabajo ahí está y hoy más allá de cualquier situación personal</w:t>
      </w:r>
      <w:r>
        <w:rPr>
          <w:rFonts w:ascii="Abadi" w:hAnsi="Abadi"/>
          <w:sz w:val="21"/>
          <w:szCs w:val="21"/>
        </w:rPr>
        <w:t>,</w:t>
      </w:r>
      <w:r w:rsidRPr="0030088F">
        <w:rPr>
          <w:rFonts w:ascii="Abadi" w:hAnsi="Abadi"/>
          <w:sz w:val="21"/>
          <w:szCs w:val="21"/>
        </w:rPr>
        <w:t xml:space="preserve"> yo les agradezco a todos por tener un mismo objetivo en común y hoy demostrárselo a las guanajuatenses a los guanajuatenses</w:t>
      </w:r>
      <w:r>
        <w:rPr>
          <w:rFonts w:ascii="Abadi" w:hAnsi="Abadi"/>
          <w:sz w:val="21"/>
          <w:szCs w:val="21"/>
        </w:rPr>
        <w:t>,</w:t>
      </w:r>
      <w:r w:rsidRPr="0030088F">
        <w:rPr>
          <w:rFonts w:ascii="Abadi" w:hAnsi="Abadi"/>
          <w:sz w:val="21"/>
          <w:szCs w:val="21"/>
        </w:rPr>
        <w:t xml:space="preserve"> sin ningún ego</w:t>
      </w:r>
      <w:r>
        <w:rPr>
          <w:rFonts w:ascii="Abadi" w:hAnsi="Abadi"/>
          <w:sz w:val="21"/>
          <w:szCs w:val="21"/>
        </w:rPr>
        <w:t>,</w:t>
      </w:r>
      <w:r w:rsidRPr="0030088F">
        <w:rPr>
          <w:rFonts w:ascii="Abadi" w:hAnsi="Abadi"/>
          <w:sz w:val="21"/>
          <w:szCs w:val="21"/>
        </w:rPr>
        <w:t xml:space="preserve"> sin mencionar sino el beneficio y es un </w:t>
      </w:r>
      <w:r>
        <w:rPr>
          <w:rFonts w:ascii="Abadi" w:hAnsi="Abadi"/>
          <w:sz w:val="21"/>
          <w:szCs w:val="21"/>
        </w:rPr>
        <w:t>c</w:t>
      </w:r>
      <w:r w:rsidRPr="0030088F">
        <w:rPr>
          <w:rFonts w:ascii="Abadi" w:hAnsi="Abadi"/>
          <w:sz w:val="21"/>
          <w:szCs w:val="21"/>
        </w:rPr>
        <w:t>laro mensaje porque a la mejor ahorita estamos en el tema de los cargos por elección popular</w:t>
      </w:r>
      <w:r>
        <w:rPr>
          <w:rFonts w:ascii="Abadi" w:hAnsi="Abadi"/>
          <w:sz w:val="21"/>
          <w:szCs w:val="21"/>
        </w:rPr>
        <w:t>,</w:t>
      </w:r>
      <w:r w:rsidRPr="0030088F">
        <w:rPr>
          <w:rFonts w:ascii="Abadi" w:hAnsi="Abadi"/>
          <w:sz w:val="21"/>
          <w:szCs w:val="21"/>
        </w:rPr>
        <w:t xml:space="preserve"> en los cargos de designación</w:t>
      </w:r>
      <w:r>
        <w:rPr>
          <w:rFonts w:ascii="Abadi" w:hAnsi="Abadi"/>
          <w:sz w:val="21"/>
          <w:szCs w:val="21"/>
        </w:rPr>
        <w:t>,</w:t>
      </w:r>
      <w:r w:rsidRPr="0030088F">
        <w:rPr>
          <w:rFonts w:ascii="Abadi" w:hAnsi="Abadi"/>
          <w:sz w:val="21"/>
          <w:szCs w:val="21"/>
        </w:rPr>
        <w:t xml:space="preserve"> y aquí lo hacía mención pero con eso no resolvemos a todas aquellas mujeres que están como lo decía la diputada </w:t>
      </w:r>
      <w:r>
        <w:rPr>
          <w:rFonts w:ascii="Abadi" w:hAnsi="Abadi"/>
          <w:sz w:val="21"/>
          <w:szCs w:val="21"/>
        </w:rPr>
        <w:t xml:space="preserve">Hades, </w:t>
      </w:r>
      <w:r w:rsidRPr="0030088F">
        <w:rPr>
          <w:rFonts w:ascii="Abadi" w:hAnsi="Abadi"/>
          <w:sz w:val="21"/>
          <w:szCs w:val="21"/>
        </w:rPr>
        <w:t>padeciendo el tema de la pensión alimenticia</w:t>
      </w:r>
      <w:r>
        <w:rPr>
          <w:rFonts w:ascii="Abadi" w:hAnsi="Abadi"/>
          <w:sz w:val="21"/>
          <w:szCs w:val="21"/>
        </w:rPr>
        <w:t>,</w:t>
      </w:r>
      <w:r w:rsidRPr="0030088F">
        <w:rPr>
          <w:rFonts w:ascii="Abadi" w:hAnsi="Abadi"/>
          <w:sz w:val="21"/>
          <w:szCs w:val="21"/>
        </w:rPr>
        <w:t xml:space="preserve"> que hay muchísimas mujeres que no tienen un esposo o que no tienen o un hombre que no tiene una esposa que sea diputado</w:t>
      </w:r>
      <w:r>
        <w:rPr>
          <w:rFonts w:ascii="Abadi" w:hAnsi="Abadi"/>
          <w:sz w:val="21"/>
          <w:szCs w:val="21"/>
        </w:rPr>
        <w:t>,</w:t>
      </w:r>
      <w:r w:rsidRPr="0030088F">
        <w:rPr>
          <w:rFonts w:ascii="Abadi" w:hAnsi="Abadi"/>
          <w:sz w:val="21"/>
          <w:szCs w:val="21"/>
        </w:rPr>
        <w:t xml:space="preserve"> que sea diputada</w:t>
      </w:r>
      <w:r>
        <w:rPr>
          <w:rFonts w:ascii="Abadi" w:hAnsi="Abadi"/>
          <w:sz w:val="21"/>
          <w:szCs w:val="21"/>
        </w:rPr>
        <w:t>,</w:t>
      </w:r>
      <w:r w:rsidRPr="0030088F">
        <w:rPr>
          <w:rFonts w:ascii="Abadi" w:hAnsi="Abadi"/>
          <w:sz w:val="21"/>
          <w:szCs w:val="21"/>
        </w:rPr>
        <w:t xml:space="preserve"> que sea alcalde</w:t>
      </w:r>
      <w:r>
        <w:rPr>
          <w:rFonts w:ascii="Abadi" w:hAnsi="Abadi"/>
          <w:sz w:val="21"/>
          <w:szCs w:val="21"/>
        </w:rPr>
        <w:t>,</w:t>
      </w:r>
      <w:r w:rsidRPr="0030088F">
        <w:rPr>
          <w:rFonts w:ascii="Abadi" w:hAnsi="Abadi"/>
          <w:sz w:val="21"/>
          <w:szCs w:val="21"/>
        </w:rPr>
        <w:t xml:space="preserve"> que sea</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van a gozar desde </w:t>
      </w:r>
      <w:r>
        <w:rPr>
          <w:rFonts w:ascii="Abadi" w:hAnsi="Abadi"/>
          <w:sz w:val="21"/>
          <w:szCs w:val="21"/>
        </w:rPr>
        <w:t>beneficio,</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es un </w:t>
      </w:r>
      <w:r>
        <w:rPr>
          <w:rFonts w:ascii="Abadi" w:hAnsi="Abadi"/>
          <w:sz w:val="21"/>
          <w:szCs w:val="21"/>
        </w:rPr>
        <w:t>c</w:t>
      </w:r>
      <w:r w:rsidRPr="0030088F">
        <w:rPr>
          <w:rFonts w:ascii="Abadi" w:hAnsi="Abadi"/>
          <w:sz w:val="21"/>
          <w:szCs w:val="21"/>
        </w:rPr>
        <w:t>laro mensaje</w:t>
      </w:r>
      <w:r>
        <w:rPr>
          <w:rFonts w:ascii="Abadi" w:hAnsi="Abadi"/>
          <w:sz w:val="21"/>
          <w:szCs w:val="21"/>
        </w:rPr>
        <w:t>,</w:t>
      </w:r>
      <w:r w:rsidRPr="0030088F">
        <w:rPr>
          <w:rFonts w:ascii="Abadi" w:hAnsi="Abadi"/>
          <w:sz w:val="21"/>
          <w:szCs w:val="21"/>
        </w:rPr>
        <w:t xml:space="preserve"> de que los 36 diputados y diputadas que hoy estamos aquí estamos de acuerdo en que debemos cumplir con esas obligaciones y que no a la viole</w:t>
      </w:r>
      <w:r>
        <w:rPr>
          <w:rFonts w:ascii="Abadi" w:hAnsi="Abadi"/>
          <w:sz w:val="21"/>
          <w:szCs w:val="21"/>
        </w:rPr>
        <w:t xml:space="preserve">ncia. </w:t>
      </w:r>
    </w:p>
    <w:p w14:paraId="18289BEC" w14:textId="77777777" w:rsidR="001E10AA" w:rsidRDefault="001E10AA" w:rsidP="006F10E0">
      <w:pPr>
        <w:jc w:val="both"/>
        <w:rPr>
          <w:rFonts w:ascii="Abadi" w:hAnsi="Abadi"/>
          <w:sz w:val="21"/>
          <w:szCs w:val="21"/>
        </w:rPr>
      </w:pPr>
    </w:p>
    <w:p w14:paraId="2A985BF8"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 cuanto president</w:t>
      </w:r>
      <w:r>
        <w:rPr>
          <w:rFonts w:ascii="Abadi" w:hAnsi="Abadi"/>
          <w:sz w:val="21"/>
          <w:szCs w:val="21"/>
        </w:rPr>
        <w:t>a.</w:t>
      </w:r>
    </w:p>
    <w:p w14:paraId="37DFEC94" w14:textId="77777777" w:rsidR="001E10AA" w:rsidRDefault="001E10AA" w:rsidP="006F10E0">
      <w:pPr>
        <w:jc w:val="both"/>
        <w:rPr>
          <w:rFonts w:ascii="Abadi" w:hAnsi="Abadi"/>
          <w:sz w:val="21"/>
          <w:szCs w:val="21"/>
        </w:rPr>
      </w:pPr>
    </w:p>
    <w:p w14:paraId="320CFAE2" w14:textId="77777777" w:rsidR="006F10E0" w:rsidRDefault="006F10E0" w:rsidP="006F10E0">
      <w:pPr>
        <w:jc w:val="both"/>
        <w:rPr>
          <w:rFonts w:ascii="Abadi" w:hAnsi="Abadi"/>
          <w:sz w:val="21"/>
          <w:szCs w:val="21"/>
        </w:rPr>
      </w:pPr>
      <w:r>
        <w:rPr>
          <w:rFonts w:ascii="Abadi" w:hAnsi="Abadi"/>
          <w:sz w:val="21"/>
          <w:szCs w:val="21"/>
        </w:rPr>
        <w:tab/>
      </w:r>
      <w:r w:rsidRPr="00432633">
        <w:rPr>
          <w:rFonts w:ascii="Abadi" w:hAnsi="Abadi"/>
          <w:b/>
          <w:bCs/>
          <w:sz w:val="21"/>
          <w:szCs w:val="21"/>
        </w:rPr>
        <w:t xml:space="preserve">- La </w:t>
      </w:r>
      <w:proofErr w:type="gramStart"/>
      <w:r w:rsidRPr="00432633">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37017603" w14:textId="77777777" w:rsidR="006F10E0" w:rsidRDefault="006F10E0" w:rsidP="006F10E0">
      <w:pPr>
        <w:jc w:val="both"/>
        <w:rPr>
          <w:rFonts w:ascii="Abadi" w:hAnsi="Abadi"/>
          <w:sz w:val="21"/>
          <w:szCs w:val="21"/>
        </w:rPr>
      </w:pPr>
      <w:r>
        <w:rPr>
          <w:rFonts w:ascii="Abadi" w:hAnsi="Abadi"/>
          <w:sz w:val="21"/>
          <w:szCs w:val="21"/>
        </w:rPr>
        <w:t>¿D</w:t>
      </w:r>
      <w:r w:rsidRPr="0030088F">
        <w:rPr>
          <w:rFonts w:ascii="Abadi" w:hAnsi="Abadi"/>
          <w:sz w:val="21"/>
          <w:szCs w:val="21"/>
        </w:rPr>
        <w:t xml:space="preserve">iputada </w:t>
      </w:r>
      <w:r>
        <w:rPr>
          <w:rFonts w:ascii="Abadi" w:hAnsi="Abadi"/>
          <w:sz w:val="21"/>
          <w:szCs w:val="21"/>
        </w:rPr>
        <w:t>Y</w:t>
      </w:r>
      <w:r w:rsidRPr="0030088F">
        <w:rPr>
          <w:rFonts w:ascii="Abadi" w:hAnsi="Abadi"/>
          <w:sz w:val="21"/>
          <w:szCs w:val="21"/>
        </w:rPr>
        <w:t xml:space="preserve">ulma </w:t>
      </w:r>
      <w:r>
        <w:rPr>
          <w:rFonts w:ascii="Abadi" w:hAnsi="Abadi"/>
          <w:sz w:val="21"/>
          <w:szCs w:val="21"/>
        </w:rPr>
        <w:t>R</w:t>
      </w:r>
      <w:r w:rsidRPr="0030088F">
        <w:rPr>
          <w:rFonts w:ascii="Abadi" w:hAnsi="Abadi"/>
          <w:sz w:val="21"/>
          <w:szCs w:val="21"/>
        </w:rPr>
        <w:t>ocha</w:t>
      </w:r>
      <w:r>
        <w:rPr>
          <w:rFonts w:ascii="Abadi" w:hAnsi="Abadi"/>
          <w:sz w:val="21"/>
          <w:szCs w:val="21"/>
        </w:rPr>
        <w:t>? ¿</w:t>
      </w:r>
      <w:r w:rsidRPr="0030088F">
        <w:rPr>
          <w:rFonts w:ascii="Abadi" w:hAnsi="Abadi"/>
          <w:sz w:val="21"/>
          <w:szCs w:val="21"/>
        </w:rPr>
        <w:t>para qué afect</w:t>
      </w:r>
      <w:r>
        <w:rPr>
          <w:rFonts w:ascii="Abadi" w:hAnsi="Abadi"/>
          <w:sz w:val="21"/>
          <w:szCs w:val="21"/>
        </w:rPr>
        <w:t>o?</w:t>
      </w:r>
      <w:r w:rsidRPr="0030088F">
        <w:rPr>
          <w:rFonts w:ascii="Abadi" w:hAnsi="Abadi"/>
          <w:sz w:val="21"/>
          <w:szCs w:val="21"/>
        </w:rPr>
        <w:t xml:space="preserve"> </w:t>
      </w:r>
      <w:r w:rsidRPr="00432633">
        <w:rPr>
          <w:rFonts w:ascii="Abadi" w:hAnsi="Abadi"/>
          <w:b/>
          <w:bCs/>
          <w:sz w:val="21"/>
          <w:szCs w:val="21"/>
        </w:rPr>
        <w:t>(Voz) diputada Yulma,</w:t>
      </w:r>
      <w:r>
        <w:rPr>
          <w:rFonts w:ascii="Abadi" w:hAnsi="Abadi"/>
          <w:sz w:val="21"/>
          <w:szCs w:val="21"/>
        </w:rPr>
        <w:t xml:space="preserve"> </w:t>
      </w:r>
      <w:r w:rsidRPr="0030088F">
        <w:rPr>
          <w:rFonts w:ascii="Abadi" w:hAnsi="Abadi"/>
          <w:sz w:val="21"/>
          <w:szCs w:val="21"/>
        </w:rPr>
        <w:t xml:space="preserve">para rectificación de hechos presidenta </w:t>
      </w:r>
      <w:r w:rsidRPr="000E60C5">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qué hechos diputad</w:t>
      </w:r>
      <w:r>
        <w:rPr>
          <w:rFonts w:ascii="Abadi" w:hAnsi="Abadi"/>
          <w:sz w:val="21"/>
          <w:szCs w:val="21"/>
        </w:rPr>
        <w:t xml:space="preserve">a? </w:t>
      </w:r>
      <w:r w:rsidRPr="000E60C5">
        <w:rPr>
          <w:rFonts w:ascii="Abadi" w:hAnsi="Abadi"/>
          <w:b/>
          <w:bCs/>
          <w:sz w:val="21"/>
          <w:szCs w:val="21"/>
        </w:rPr>
        <w:t>(Voz) diputada Yulma,</w:t>
      </w:r>
      <w:r>
        <w:rPr>
          <w:rFonts w:ascii="Abadi" w:hAnsi="Abadi"/>
          <w:sz w:val="21"/>
          <w:szCs w:val="21"/>
        </w:rPr>
        <w:t xml:space="preserve"> </w:t>
      </w:r>
      <w:r w:rsidRPr="0030088F">
        <w:rPr>
          <w:rFonts w:ascii="Abadi" w:hAnsi="Abadi"/>
          <w:sz w:val="21"/>
          <w:szCs w:val="21"/>
        </w:rPr>
        <w:t xml:space="preserve">con respecto a bancada feminista y el trabajo de las comisiones particularmente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obernación</w:t>
      </w:r>
      <w:r>
        <w:rPr>
          <w:rFonts w:ascii="Abadi" w:hAnsi="Abadi"/>
          <w:sz w:val="21"/>
          <w:szCs w:val="21"/>
        </w:rPr>
        <w:t xml:space="preserve"> </w:t>
      </w:r>
      <w:r w:rsidRPr="00743CF0">
        <w:rPr>
          <w:rFonts w:ascii="Abadi" w:hAnsi="Abadi"/>
          <w:b/>
          <w:bCs/>
          <w:sz w:val="21"/>
          <w:szCs w:val="21"/>
        </w:rPr>
        <w:t>(Voz) diputada Presidenta,</w:t>
      </w:r>
      <w:r>
        <w:rPr>
          <w:rFonts w:ascii="Abadi" w:hAnsi="Abadi"/>
          <w:sz w:val="21"/>
          <w:szCs w:val="21"/>
        </w:rPr>
        <w:t xml:space="preserve"> g</w:t>
      </w:r>
      <w:r w:rsidRPr="0030088F">
        <w:rPr>
          <w:rFonts w:ascii="Abadi" w:hAnsi="Abadi"/>
          <w:sz w:val="21"/>
          <w:szCs w:val="21"/>
        </w:rPr>
        <w:t>racias diputada</w:t>
      </w:r>
      <w:r>
        <w:rPr>
          <w:rFonts w:ascii="Abadi" w:hAnsi="Abadi"/>
          <w:sz w:val="21"/>
          <w:szCs w:val="21"/>
        </w:rPr>
        <w:t>, t</w:t>
      </w:r>
      <w:r w:rsidRPr="0030088F">
        <w:rPr>
          <w:rFonts w:ascii="Abadi" w:hAnsi="Abadi"/>
          <w:sz w:val="21"/>
          <w:szCs w:val="21"/>
        </w:rPr>
        <w:t>iene el uso de la voz hasta por 5 minutos</w:t>
      </w:r>
      <w:r>
        <w:rPr>
          <w:rFonts w:ascii="Abadi" w:hAnsi="Abadi"/>
          <w:sz w:val="21"/>
          <w:szCs w:val="21"/>
        </w:rPr>
        <w:t xml:space="preserve">. </w:t>
      </w:r>
    </w:p>
    <w:p w14:paraId="40115ED7" w14:textId="77777777" w:rsidR="001E10AA" w:rsidRDefault="001E10AA" w:rsidP="006F10E0">
      <w:pPr>
        <w:jc w:val="both"/>
        <w:rPr>
          <w:rFonts w:ascii="Abadi" w:hAnsi="Abadi"/>
          <w:sz w:val="21"/>
          <w:szCs w:val="21"/>
        </w:rPr>
      </w:pPr>
    </w:p>
    <w:p w14:paraId="4E19169F" w14:textId="77777777" w:rsidR="006F10E0" w:rsidRDefault="006F10E0" w:rsidP="006F10E0">
      <w:pPr>
        <w:jc w:val="both"/>
        <w:rPr>
          <w:rFonts w:ascii="Abadi" w:hAnsi="Abadi"/>
          <w:sz w:val="21"/>
          <w:szCs w:val="21"/>
        </w:rPr>
      </w:pPr>
      <w:r>
        <w:rPr>
          <w:rFonts w:ascii="Abadi" w:hAnsi="Abadi"/>
          <w:sz w:val="21"/>
          <w:szCs w:val="21"/>
        </w:rPr>
        <w:t>- A</w:t>
      </w:r>
      <w:r w:rsidRPr="0030088F">
        <w:rPr>
          <w:rFonts w:ascii="Abadi" w:hAnsi="Abadi"/>
          <w:sz w:val="21"/>
          <w:szCs w:val="21"/>
        </w:rPr>
        <w:t>delante</w:t>
      </w:r>
      <w:r>
        <w:rPr>
          <w:rFonts w:ascii="Abadi" w:hAnsi="Abadi"/>
          <w:sz w:val="21"/>
          <w:szCs w:val="21"/>
        </w:rPr>
        <w:t>.</w:t>
      </w:r>
    </w:p>
    <w:p w14:paraId="6EAE9E9B" w14:textId="77777777" w:rsidR="001E10AA" w:rsidRDefault="001E10AA" w:rsidP="006F10E0">
      <w:pPr>
        <w:jc w:val="both"/>
        <w:rPr>
          <w:rFonts w:ascii="Abadi" w:hAnsi="Abadi"/>
          <w:sz w:val="21"/>
          <w:szCs w:val="21"/>
        </w:rPr>
      </w:pPr>
    </w:p>
    <w:p w14:paraId="3385C12E" w14:textId="77777777" w:rsidR="006F10E0" w:rsidRDefault="006F10E0" w:rsidP="006F10E0">
      <w:pPr>
        <w:jc w:val="both"/>
        <w:rPr>
          <w:rFonts w:ascii="Abadi" w:hAnsi="Abadi"/>
          <w:b/>
          <w:bCs/>
          <w:sz w:val="21"/>
          <w:szCs w:val="21"/>
        </w:rPr>
      </w:pPr>
      <w:r w:rsidRPr="008438D6">
        <w:rPr>
          <w:rFonts w:ascii="Abadi" w:hAnsi="Abadi"/>
          <w:b/>
          <w:bCs/>
          <w:sz w:val="21"/>
          <w:szCs w:val="21"/>
        </w:rPr>
        <w:t>(Sube a tribuna la diputada Yulma Rocha Aguilar, para rectificación de hechos)</w:t>
      </w:r>
    </w:p>
    <w:p w14:paraId="2D50DF5F" w14:textId="77777777" w:rsidR="006F10E0" w:rsidRDefault="006F10E0" w:rsidP="006F10E0">
      <w:pPr>
        <w:jc w:val="both"/>
        <w:rPr>
          <w:rFonts w:ascii="Abadi" w:hAnsi="Abadi"/>
          <w:b/>
          <w:bCs/>
          <w:sz w:val="21"/>
          <w:szCs w:val="21"/>
        </w:rPr>
      </w:pPr>
    </w:p>
    <w:p w14:paraId="2E25A2E4" w14:textId="77777777" w:rsidR="001E10AA" w:rsidRDefault="001E10AA" w:rsidP="006F10E0">
      <w:pPr>
        <w:jc w:val="both"/>
        <w:rPr>
          <w:rFonts w:ascii="Abadi" w:hAnsi="Abadi"/>
          <w:sz w:val="21"/>
          <w:szCs w:val="21"/>
        </w:rPr>
      </w:pPr>
    </w:p>
    <w:p w14:paraId="562D2C7C" w14:textId="217E5FD5" w:rsidR="001E10AA" w:rsidRDefault="001E10AA" w:rsidP="006F10E0">
      <w:pPr>
        <w:jc w:val="both"/>
        <w:rPr>
          <w:rFonts w:ascii="Abadi" w:hAnsi="Abadi"/>
          <w:sz w:val="21"/>
          <w:szCs w:val="21"/>
        </w:rPr>
      </w:pPr>
      <w:r>
        <w:rPr>
          <w:noProof/>
        </w:rPr>
        <w:drawing>
          <wp:anchor distT="0" distB="0" distL="114300" distR="114300" simplePos="0" relativeHeight="251667478" behindDoc="1" locked="0" layoutInCell="1" allowOverlap="1" wp14:anchorId="1E89A180" wp14:editId="6C6A4851">
            <wp:simplePos x="0" y="0"/>
            <wp:positionH relativeFrom="column">
              <wp:posOffset>514350</wp:posOffset>
            </wp:positionH>
            <wp:positionV relativeFrom="paragraph">
              <wp:posOffset>122374</wp:posOffset>
            </wp:positionV>
            <wp:extent cx="1203803" cy="628650"/>
            <wp:effectExtent l="247650" t="228600" r="244475" b="723900"/>
            <wp:wrapTight wrapText="bothSides">
              <wp:wrapPolygon edited="0">
                <wp:start x="-4445" y="-7855"/>
                <wp:lineTo x="-4445" y="45818"/>
                <wp:lineTo x="25646" y="45818"/>
                <wp:lineTo x="25646" y="-7855"/>
                <wp:lineTo x="-4445" y="-7855"/>
              </wp:wrapPolygon>
            </wp:wrapTight>
            <wp:docPr id="1600372412" name="Imagen 1600372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372412" name=""/>
                    <pic:cNvPicPr/>
                  </pic:nvPicPr>
                  <pic:blipFill rotWithShape="1">
                    <a:blip r:embed="rId57" cstate="print">
                      <a:extLst>
                        <a:ext uri="{28A0092B-C50C-407E-A947-70E740481C1C}">
                          <a14:useLocalDpi xmlns:a14="http://schemas.microsoft.com/office/drawing/2010/main" val="0"/>
                        </a:ext>
                      </a:extLst>
                    </a:blip>
                    <a:srcRect b="7153"/>
                    <a:stretch/>
                  </pic:blipFill>
                  <pic:spPr bwMode="auto">
                    <a:xfrm>
                      <a:off x="0" y="0"/>
                      <a:ext cx="1203803" cy="6286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7E9CC3C" w14:textId="61C80EAE" w:rsidR="001E10AA" w:rsidRDefault="001E10AA" w:rsidP="006F10E0">
      <w:pPr>
        <w:jc w:val="both"/>
        <w:rPr>
          <w:rFonts w:ascii="Abadi" w:hAnsi="Abadi"/>
          <w:sz w:val="21"/>
          <w:szCs w:val="21"/>
        </w:rPr>
      </w:pPr>
    </w:p>
    <w:p w14:paraId="2C867CC4" w14:textId="0B8D04E0" w:rsidR="001E10AA" w:rsidRDefault="001E10AA" w:rsidP="006F10E0">
      <w:pPr>
        <w:jc w:val="both"/>
        <w:rPr>
          <w:rFonts w:ascii="Abadi" w:hAnsi="Abadi"/>
          <w:sz w:val="21"/>
          <w:szCs w:val="21"/>
        </w:rPr>
      </w:pPr>
    </w:p>
    <w:p w14:paraId="7D5E1270" w14:textId="1E962F27" w:rsidR="001E10AA" w:rsidRDefault="001E10AA" w:rsidP="006F10E0">
      <w:pPr>
        <w:jc w:val="both"/>
        <w:rPr>
          <w:rFonts w:ascii="Abadi" w:hAnsi="Abadi"/>
          <w:sz w:val="21"/>
          <w:szCs w:val="21"/>
        </w:rPr>
      </w:pPr>
    </w:p>
    <w:p w14:paraId="2F07FB79" w14:textId="0C2618E8" w:rsidR="001E10AA" w:rsidRDefault="001E10AA" w:rsidP="006F10E0">
      <w:pPr>
        <w:jc w:val="both"/>
        <w:rPr>
          <w:rFonts w:ascii="Abadi" w:hAnsi="Abadi"/>
          <w:sz w:val="21"/>
          <w:szCs w:val="21"/>
        </w:rPr>
      </w:pPr>
    </w:p>
    <w:p w14:paraId="23395D31" w14:textId="3A4111E7" w:rsidR="001E10AA" w:rsidRDefault="001E10AA" w:rsidP="006F10E0">
      <w:pPr>
        <w:jc w:val="both"/>
        <w:rPr>
          <w:rFonts w:ascii="Abadi" w:hAnsi="Abadi"/>
          <w:sz w:val="21"/>
          <w:szCs w:val="21"/>
        </w:rPr>
      </w:pPr>
    </w:p>
    <w:p w14:paraId="1862A47C" w14:textId="77777777" w:rsidR="001E10AA" w:rsidRDefault="001E10AA" w:rsidP="006F10E0">
      <w:pPr>
        <w:jc w:val="both"/>
        <w:rPr>
          <w:rFonts w:ascii="Abadi" w:hAnsi="Abadi"/>
          <w:sz w:val="21"/>
          <w:szCs w:val="21"/>
        </w:rPr>
      </w:pPr>
    </w:p>
    <w:p w14:paraId="7E2BEDEF" w14:textId="77777777" w:rsidR="001E10AA" w:rsidRDefault="001E10AA" w:rsidP="006F10E0">
      <w:pPr>
        <w:jc w:val="both"/>
        <w:rPr>
          <w:rFonts w:ascii="Abadi" w:hAnsi="Abadi"/>
          <w:sz w:val="21"/>
          <w:szCs w:val="21"/>
        </w:rPr>
      </w:pPr>
    </w:p>
    <w:p w14:paraId="0B9C47D9" w14:textId="77777777" w:rsidR="001E10AA" w:rsidRDefault="001E10AA" w:rsidP="006F10E0">
      <w:pPr>
        <w:jc w:val="both"/>
        <w:rPr>
          <w:rFonts w:ascii="Abadi" w:hAnsi="Abadi"/>
          <w:sz w:val="21"/>
          <w:szCs w:val="21"/>
        </w:rPr>
      </w:pPr>
    </w:p>
    <w:p w14:paraId="522FBCE2" w14:textId="62583D5A" w:rsidR="001E10AA" w:rsidRDefault="001E10AA" w:rsidP="006F10E0">
      <w:pPr>
        <w:jc w:val="both"/>
        <w:rPr>
          <w:rFonts w:ascii="Abadi" w:hAnsi="Abadi"/>
          <w:sz w:val="21"/>
          <w:szCs w:val="21"/>
        </w:rPr>
      </w:pPr>
    </w:p>
    <w:p w14:paraId="23A22002" w14:textId="643A0929" w:rsidR="006F10E0" w:rsidRPr="0030088F" w:rsidRDefault="006F10E0" w:rsidP="006F10E0">
      <w:pPr>
        <w:jc w:val="both"/>
        <w:rPr>
          <w:rFonts w:ascii="Abadi" w:hAnsi="Abadi"/>
          <w:sz w:val="21"/>
          <w:szCs w:val="21"/>
        </w:rPr>
      </w:pPr>
    </w:p>
    <w:p w14:paraId="1DB2A7B3" w14:textId="77777777" w:rsidR="006F10E0" w:rsidRDefault="006F10E0" w:rsidP="006F10E0">
      <w:pPr>
        <w:jc w:val="both"/>
        <w:rPr>
          <w:rFonts w:ascii="Abadi" w:hAnsi="Abadi"/>
          <w:sz w:val="21"/>
          <w:szCs w:val="21"/>
        </w:rPr>
      </w:pPr>
      <w:r>
        <w:rPr>
          <w:rFonts w:ascii="Abadi" w:hAnsi="Abadi"/>
          <w:sz w:val="21"/>
          <w:szCs w:val="21"/>
        </w:rPr>
        <w:t>- G</w:t>
      </w:r>
      <w:r w:rsidRPr="0030088F">
        <w:rPr>
          <w:rFonts w:ascii="Abadi" w:hAnsi="Abadi"/>
          <w:sz w:val="21"/>
          <w:szCs w:val="21"/>
        </w:rPr>
        <w:t>racias presidenta</w:t>
      </w:r>
      <w:r>
        <w:rPr>
          <w:rFonts w:ascii="Abadi" w:hAnsi="Abadi"/>
          <w:sz w:val="21"/>
          <w:szCs w:val="21"/>
        </w:rPr>
        <w:t>,</w:t>
      </w:r>
      <w:r w:rsidRPr="0030088F">
        <w:rPr>
          <w:rFonts w:ascii="Abadi" w:hAnsi="Abadi"/>
          <w:sz w:val="21"/>
          <w:szCs w:val="21"/>
        </w:rPr>
        <w:t xml:space="preserve"> a ver</w:t>
      </w:r>
      <w:r>
        <w:rPr>
          <w:rFonts w:ascii="Abadi" w:hAnsi="Abadi"/>
          <w:sz w:val="21"/>
          <w:szCs w:val="21"/>
        </w:rPr>
        <w:t>,</w:t>
      </w:r>
      <w:r w:rsidRPr="0030088F">
        <w:rPr>
          <w:rFonts w:ascii="Abadi" w:hAnsi="Abadi"/>
          <w:sz w:val="21"/>
          <w:szCs w:val="21"/>
        </w:rPr>
        <w:t xml:space="preserve"> la expresión legítima y genuina de la diputada Martha Lourdes </w:t>
      </w:r>
      <w:r>
        <w:rPr>
          <w:rFonts w:ascii="Abadi" w:hAnsi="Abadi"/>
          <w:sz w:val="21"/>
          <w:szCs w:val="21"/>
        </w:rPr>
        <w:t>O</w:t>
      </w:r>
      <w:r w:rsidRPr="0030088F">
        <w:rPr>
          <w:rFonts w:ascii="Abadi" w:hAnsi="Abadi"/>
          <w:sz w:val="21"/>
          <w:szCs w:val="21"/>
        </w:rPr>
        <w:t>rtega</w:t>
      </w:r>
      <w:r>
        <w:rPr>
          <w:rFonts w:ascii="Abadi" w:hAnsi="Abadi"/>
          <w:sz w:val="21"/>
          <w:szCs w:val="21"/>
        </w:rPr>
        <w:t>,</w:t>
      </w:r>
      <w:r w:rsidRPr="0030088F">
        <w:rPr>
          <w:rFonts w:ascii="Abadi" w:hAnsi="Abadi"/>
          <w:sz w:val="21"/>
          <w:szCs w:val="21"/>
        </w:rPr>
        <w:t xml:space="preserve"> con respecto a pues esta reflexión sobre el trabajo de la comisión en el proceso de análisis de la iniciativa 3 de 3 en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G</w:t>
      </w:r>
      <w:r w:rsidRPr="0030088F">
        <w:rPr>
          <w:rFonts w:ascii="Abadi" w:hAnsi="Abadi"/>
          <w:sz w:val="21"/>
          <w:szCs w:val="21"/>
        </w:rPr>
        <w:t>obernación</w:t>
      </w:r>
      <w:r>
        <w:rPr>
          <w:rFonts w:ascii="Abadi" w:hAnsi="Abadi"/>
          <w:sz w:val="21"/>
          <w:szCs w:val="21"/>
        </w:rPr>
        <w:t>,</w:t>
      </w:r>
      <w:r w:rsidRPr="0030088F">
        <w:rPr>
          <w:rFonts w:ascii="Abadi" w:hAnsi="Abadi"/>
          <w:sz w:val="21"/>
          <w:szCs w:val="21"/>
        </w:rPr>
        <w:t xml:space="preserve"> no es un ánimo ni de molestar a nadie</w:t>
      </w:r>
      <w:r>
        <w:rPr>
          <w:rFonts w:ascii="Abadi" w:hAnsi="Abadi"/>
          <w:sz w:val="21"/>
          <w:szCs w:val="21"/>
        </w:rPr>
        <w:t>,</w:t>
      </w:r>
      <w:r w:rsidRPr="0030088F">
        <w:rPr>
          <w:rFonts w:ascii="Abadi" w:hAnsi="Abadi"/>
          <w:sz w:val="21"/>
          <w:szCs w:val="21"/>
        </w:rPr>
        <w:t xml:space="preserve"> ni para que se enojen</w:t>
      </w:r>
      <w:r>
        <w:rPr>
          <w:rFonts w:ascii="Abadi" w:hAnsi="Abadi"/>
          <w:sz w:val="21"/>
          <w:szCs w:val="21"/>
        </w:rPr>
        <w:t>,</w:t>
      </w:r>
      <w:r w:rsidRPr="0030088F">
        <w:rPr>
          <w:rFonts w:ascii="Abadi" w:hAnsi="Abadi"/>
          <w:sz w:val="21"/>
          <w:szCs w:val="21"/>
        </w:rPr>
        <w:t xml:space="preserve"> sino más bien para que lo tomen a manera de reflexión</w:t>
      </w:r>
      <w:r>
        <w:rPr>
          <w:rFonts w:ascii="Abadi" w:hAnsi="Abadi"/>
          <w:sz w:val="21"/>
          <w:szCs w:val="21"/>
        </w:rPr>
        <w:t xml:space="preserve"> ¿</w:t>
      </w:r>
      <w:r w:rsidRPr="0030088F">
        <w:rPr>
          <w:rFonts w:ascii="Abadi" w:hAnsi="Abadi"/>
          <w:sz w:val="21"/>
          <w:szCs w:val="21"/>
        </w:rPr>
        <w:t>por qué</w:t>
      </w:r>
      <w:r>
        <w:rPr>
          <w:rFonts w:ascii="Abadi" w:hAnsi="Abadi"/>
          <w:sz w:val="21"/>
          <w:szCs w:val="21"/>
        </w:rPr>
        <w:t>?</w:t>
      </w:r>
      <w:r w:rsidRPr="0030088F">
        <w:rPr>
          <w:rFonts w:ascii="Abadi" w:hAnsi="Abadi"/>
          <w:sz w:val="21"/>
          <w:szCs w:val="21"/>
        </w:rPr>
        <w:t xml:space="preserve"> y no es solamente con esta iniciativa en particular</w:t>
      </w:r>
      <w:r>
        <w:rPr>
          <w:rFonts w:ascii="Abadi" w:hAnsi="Abadi"/>
          <w:sz w:val="21"/>
          <w:szCs w:val="21"/>
        </w:rPr>
        <w:t>,</w:t>
      </w:r>
      <w:r w:rsidRPr="0030088F">
        <w:rPr>
          <w:rFonts w:ascii="Abadi" w:hAnsi="Abadi"/>
          <w:sz w:val="21"/>
          <w:szCs w:val="21"/>
        </w:rPr>
        <w:t xml:space="preserve"> creo que se ha dicho en muchas ocasiones</w:t>
      </w:r>
      <w:r>
        <w:rPr>
          <w:rFonts w:ascii="Abadi" w:hAnsi="Abadi"/>
          <w:sz w:val="21"/>
          <w:szCs w:val="21"/>
        </w:rPr>
        <w:t xml:space="preserve">, </w:t>
      </w:r>
      <w:r w:rsidRPr="0030088F">
        <w:rPr>
          <w:rFonts w:ascii="Abadi" w:hAnsi="Abadi"/>
          <w:sz w:val="21"/>
          <w:szCs w:val="21"/>
        </w:rPr>
        <w:t>iniciativas que tienen más de 1 año que son positivas</w:t>
      </w:r>
      <w:r>
        <w:rPr>
          <w:rFonts w:ascii="Abadi" w:hAnsi="Abadi"/>
          <w:sz w:val="21"/>
          <w:szCs w:val="21"/>
        </w:rPr>
        <w:t>,</w:t>
      </w:r>
      <w:r w:rsidRPr="0030088F">
        <w:rPr>
          <w:rFonts w:ascii="Abadi" w:hAnsi="Abadi"/>
          <w:sz w:val="21"/>
          <w:szCs w:val="21"/>
        </w:rPr>
        <w:t xml:space="preserve"> que son viables que merecen por supuesto el perfeccionamiento a través de la opinión de los miembros de este congreso y así como de las instituciones</w:t>
      </w:r>
      <w:r>
        <w:rPr>
          <w:rFonts w:ascii="Abadi" w:hAnsi="Abadi"/>
          <w:sz w:val="21"/>
          <w:szCs w:val="21"/>
        </w:rPr>
        <w:t>,</w:t>
      </w:r>
      <w:r w:rsidRPr="0030088F">
        <w:rPr>
          <w:rFonts w:ascii="Abadi" w:hAnsi="Abadi"/>
          <w:sz w:val="21"/>
          <w:szCs w:val="21"/>
        </w:rPr>
        <w:t xml:space="preserve"> la 3 de 3 fue un ejemplo de ello y desafortunadamente se tuvo que esperar a que hubiese la reforma constitucional para que se aprobara en este congreso</w:t>
      </w:r>
      <w:r>
        <w:rPr>
          <w:rFonts w:ascii="Abadi" w:hAnsi="Abadi"/>
          <w:sz w:val="21"/>
          <w:szCs w:val="21"/>
        </w:rPr>
        <w:t>,</w:t>
      </w:r>
      <w:r w:rsidRPr="0030088F">
        <w:rPr>
          <w:rFonts w:ascii="Abadi" w:hAnsi="Abadi"/>
          <w:sz w:val="21"/>
          <w:szCs w:val="21"/>
        </w:rPr>
        <w:t xml:space="preserve"> porque ya no quedaba de otra</w:t>
      </w:r>
      <w:r>
        <w:rPr>
          <w:rFonts w:ascii="Abadi" w:hAnsi="Abadi"/>
          <w:sz w:val="21"/>
          <w:szCs w:val="21"/>
        </w:rPr>
        <w:t>,</w:t>
      </w:r>
      <w:r w:rsidRPr="0030088F">
        <w:rPr>
          <w:rFonts w:ascii="Abadi" w:hAnsi="Abadi"/>
          <w:sz w:val="21"/>
          <w:szCs w:val="21"/>
        </w:rPr>
        <w:t xml:space="preserve"> pues ni modo que dijeran que no</w:t>
      </w:r>
      <w:r>
        <w:rPr>
          <w:rFonts w:ascii="Abadi" w:hAnsi="Abadi"/>
          <w:sz w:val="21"/>
          <w:szCs w:val="21"/>
        </w:rPr>
        <w:t>,</w:t>
      </w:r>
      <w:r w:rsidRPr="0030088F">
        <w:rPr>
          <w:rFonts w:ascii="Abadi" w:hAnsi="Abadi"/>
          <w:sz w:val="21"/>
          <w:szCs w:val="21"/>
        </w:rPr>
        <w:t xml:space="preserve"> renunciamos a hacer un trabajo previo legislativo como lo hicieron otros estados</w:t>
      </w:r>
      <w:r>
        <w:rPr>
          <w:rFonts w:ascii="Abadi" w:hAnsi="Abadi"/>
          <w:sz w:val="21"/>
          <w:szCs w:val="21"/>
        </w:rPr>
        <w:t>,</w:t>
      </w:r>
      <w:r w:rsidRPr="0030088F">
        <w:rPr>
          <w:rFonts w:ascii="Abadi" w:hAnsi="Abadi"/>
          <w:sz w:val="21"/>
          <w:szCs w:val="21"/>
        </w:rPr>
        <w:t xml:space="preserve"> </w:t>
      </w:r>
      <w:r>
        <w:rPr>
          <w:rFonts w:ascii="Abadi" w:hAnsi="Abadi"/>
          <w:sz w:val="21"/>
          <w:szCs w:val="21"/>
        </w:rPr>
        <w:t xml:space="preserve"> ¿</w:t>
      </w:r>
      <w:r w:rsidRPr="0030088F">
        <w:rPr>
          <w:rFonts w:ascii="Abadi" w:hAnsi="Abadi"/>
          <w:sz w:val="21"/>
          <w:szCs w:val="21"/>
        </w:rPr>
        <w:t>por qué</w:t>
      </w:r>
      <w:r>
        <w:rPr>
          <w:rFonts w:ascii="Abadi" w:hAnsi="Abadi"/>
          <w:sz w:val="21"/>
          <w:szCs w:val="21"/>
        </w:rPr>
        <w:t>?</w:t>
      </w:r>
      <w:r w:rsidRPr="0030088F">
        <w:rPr>
          <w:rFonts w:ascii="Abadi" w:hAnsi="Abadi"/>
          <w:sz w:val="21"/>
          <w:szCs w:val="21"/>
        </w:rPr>
        <w:t xml:space="preserve"> pues no sé</w:t>
      </w:r>
      <w:r>
        <w:rPr>
          <w:rFonts w:ascii="Abadi" w:hAnsi="Abadi"/>
          <w:sz w:val="21"/>
          <w:szCs w:val="21"/>
        </w:rPr>
        <w:t>,</w:t>
      </w:r>
      <w:r w:rsidRPr="0030088F">
        <w:rPr>
          <w:rFonts w:ascii="Abadi" w:hAnsi="Abadi"/>
          <w:sz w:val="21"/>
          <w:szCs w:val="21"/>
        </w:rPr>
        <w:t xml:space="preserve"> a lo mejor la expresión de la diputada Martha</w:t>
      </w:r>
      <w:r>
        <w:rPr>
          <w:rFonts w:ascii="Abadi" w:hAnsi="Abadi"/>
          <w:sz w:val="21"/>
          <w:szCs w:val="21"/>
        </w:rPr>
        <w:t>,</w:t>
      </w:r>
      <w:r w:rsidRPr="0030088F">
        <w:rPr>
          <w:rFonts w:ascii="Abadi" w:hAnsi="Abadi"/>
          <w:sz w:val="21"/>
          <w:szCs w:val="21"/>
        </w:rPr>
        <w:t xml:space="preserve"> en relación a que pues</w:t>
      </w:r>
      <w:r>
        <w:rPr>
          <w:rFonts w:ascii="Abadi" w:hAnsi="Abadi"/>
          <w:sz w:val="21"/>
          <w:szCs w:val="21"/>
        </w:rPr>
        <w:t>,</w:t>
      </w:r>
      <w:r w:rsidRPr="0030088F">
        <w:rPr>
          <w:rFonts w:ascii="Abadi" w:hAnsi="Abadi"/>
          <w:sz w:val="21"/>
          <w:szCs w:val="21"/>
        </w:rPr>
        <w:t xml:space="preserve"> por </w:t>
      </w:r>
      <w:r>
        <w:rPr>
          <w:rFonts w:ascii="Abadi" w:hAnsi="Abadi"/>
          <w:sz w:val="21"/>
          <w:szCs w:val="21"/>
        </w:rPr>
        <w:t xml:space="preserve">egos </w:t>
      </w:r>
      <w:r w:rsidRPr="0030088F">
        <w:rPr>
          <w:rFonts w:ascii="Abadi" w:hAnsi="Abadi"/>
          <w:sz w:val="21"/>
          <w:szCs w:val="21"/>
        </w:rPr>
        <w:t>políticos</w:t>
      </w:r>
      <w:r>
        <w:rPr>
          <w:rFonts w:ascii="Abadi" w:hAnsi="Abadi"/>
          <w:sz w:val="21"/>
          <w:szCs w:val="21"/>
        </w:rPr>
        <w:t>,</w:t>
      </w:r>
      <w:r w:rsidRPr="0030088F">
        <w:rPr>
          <w:rFonts w:ascii="Abadi" w:hAnsi="Abadi"/>
          <w:sz w:val="21"/>
          <w:szCs w:val="21"/>
        </w:rPr>
        <w:t xml:space="preserve"> por</w:t>
      </w:r>
      <w:r>
        <w:rPr>
          <w:rFonts w:ascii="Abadi" w:hAnsi="Abadi"/>
          <w:sz w:val="21"/>
          <w:szCs w:val="21"/>
        </w:rPr>
        <w:t>,</w:t>
      </w:r>
      <w:r w:rsidRPr="0030088F">
        <w:rPr>
          <w:rFonts w:ascii="Abadi" w:hAnsi="Abadi"/>
          <w:sz w:val="21"/>
          <w:szCs w:val="21"/>
        </w:rPr>
        <w:t xml:space="preserve"> este</w:t>
      </w:r>
      <w:r>
        <w:rPr>
          <w:rFonts w:ascii="Abadi" w:hAnsi="Abadi"/>
          <w:sz w:val="21"/>
          <w:szCs w:val="21"/>
        </w:rPr>
        <w:t>,</w:t>
      </w:r>
      <w:r w:rsidRPr="0030088F">
        <w:rPr>
          <w:rFonts w:ascii="Abadi" w:hAnsi="Abadi"/>
          <w:sz w:val="21"/>
          <w:szCs w:val="21"/>
        </w:rPr>
        <w:t xml:space="preserve"> retraso legislativo</w:t>
      </w:r>
      <w:r>
        <w:rPr>
          <w:rFonts w:ascii="Abadi" w:hAnsi="Abadi"/>
          <w:sz w:val="21"/>
          <w:szCs w:val="21"/>
        </w:rPr>
        <w:t>,</w:t>
      </w:r>
      <w:r w:rsidRPr="0030088F">
        <w:rPr>
          <w:rFonts w:ascii="Abadi" w:hAnsi="Abadi"/>
          <w:sz w:val="21"/>
          <w:szCs w:val="21"/>
        </w:rPr>
        <w:t xml:space="preserve"> no sé</w:t>
      </w:r>
      <w:r>
        <w:rPr>
          <w:rFonts w:ascii="Abadi" w:hAnsi="Abadi"/>
          <w:sz w:val="21"/>
          <w:szCs w:val="21"/>
        </w:rPr>
        <w:t>,</w:t>
      </w:r>
      <w:r w:rsidRPr="0030088F">
        <w:rPr>
          <w:rFonts w:ascii="Abadi" w:hAnsi="Abadi"/>
          <w:sz w:val="21"/>
          <w:szCs w:val="21"/>
        </w:rPr>
        <w:t xml:space="preserve"> los argumentos pueden ser muchos</w:t>
      </w:r>
      <w:r>
        <w:rPr>
          <w:rFonts w:ascii="Abadi" w:hAnsi="Abadi"/>
          <w:sz w:val="21"/>
          <w:szCs w:val="21"/>
        </w:rPr>
        <w:t>,</w:t>
      </w:r>
      <w:r w:rsidRPr="0030088F">
        <w:rPr>
          <w:rFonts w:ascii="Abadi" w:hAnsi="Abadi"/>
          <w:sz w:val="21"/>
          <w:szCs w:val="21"/>
        </w:rPr>
        <w:t xml:space="preserve"> el tema es que ahí están los datos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no</w:t>
      </w:r>
      <w:r>
        <w:rPr>
          <w:rFonts w:ascii="Abadi" w:hAnsi="Abadi"/>
          <w:sz w:val="21"/>
          <w:szCs w:val="21"/>
        </w:rPr>
        <w:t>?</w:t>
      </w:r>
      <w:r w:rsidRPr="0030088F">
        <w:rPr>
          <w:rFonts w:ascii="Abadi" w:hAnsi="Abadi"/>
          <w:sz w:val="21"/>
          <w:szCs w:val="21"/>
        </w:rPr>
        <w:t xml:space="preserve"> aquí no hay otros están muy claros</w:t>
      </w:r>
      <w:r>
        <w:rPr>
          <w:rFonts w:ascii="Abadi" w:hAnsi="Abadi"/>
          <w:sz w:val="21"/>
          <w:szCs w:val="21"/>
        </w:rPr>
        <w:t>,</w:t>
      </w:r>
      <w:r w:rsidRPr="0030088F">
        <w:rPr>
          <w:rFonts w:ascii="Abadi" w:hAnsi="Abadi"/>
          <w:sz w:val="21"/>
          <w:szCs w:val="21"/>
        </w:rPr>
        <w:t xml:space="preserve"> no es la única iniciativa hay muchas otras</w:t>
      </w:r>
      <w:r>
        <w:rPr>
          <w:rFonts w:ascii="Abadi" w:hAnsi="Abadi"/>
          <w:sz w:val="21"/>
          <w:szCs w:val="21"/>
        </w:rPr>
        <w:t>,</w:t>
      </w:r>
      <w:r w:rsidRPr="0030088F">
        <w:rPr>
          <w:rFonts w:ascii="Abadi" w:hAnsi="Abadi"/>
          <w:sz w:val="21"/>
          <w:szCs w:val="21"/>
        </w:rPr>
        <w:t xml:space="preserve"> entonces hoy hicimos un ejercicio de argumentación de armonización por supuesto pero de armonización pero la reflexión que se deja en la mesa para este iniciativas y para otras es que no esperemos no agotemos nuestra facultad de libre configuración legislativa sobre todo en temas como bien lo dijo la diputada Susana</w:t>
      </w:r>
      <w:r>
        <w:rPr>
          <w:rFonts w:ascii="Abadi" w:hAnsi="Abadi"/>
          <w:sz w:val="21"/>
          <w:szCs w:val="21"/>
        </w:rPr>
        <w:t>,</w:t>
      </w:r>
      <w:r w:rsidRPr="0030088F">
        <w:rPr>
          <w:rFonts w:ascii="Abadi" w:hAnsi="Abadi"/>
          <w:sz w:val="21"/>
          <w:szCs w:val="21"/>
        </w:rPr>
        <w:t xml:space="preserve"> tan sensibles</w:t>
      </w:r>
      <w:r>
        <w:rPr>
          <w:rFonts w:ascii="Abadi" w:hAnsi="Abadi"/>
          <w:sz w:val="21"/>
          <w:szCs w:val="21"/>
        </w:rPr>
        <w:t>,</w:t>
      </w:r>
      <w:r w:rsidRPr="0030088F">
        <w:rPr>
          <w:rFonts w:ascii="Abadi" w:hAnsi="Abadi"/>
          <w:sz w:val="21"/>
          <w:szCs w:val="21"/>
        </w:rPr>
        <w:t xml:space="preserve"> particularmente para las mujeres y en este caso para las infancia</w:t>
      </w:r>
      <w:r>
        <w:rPr>
          <w:rFonts w:ascii="Abadi" w:hAnsi="Abadi"/>
          <w:sz w:val="21"/>
          <w:szCs w:val="21"/>
        </w:rPr>
        <w:t>.</w:t>
      </w:r>
    </w:p>
    <w:p w14:paraId="3465A635" w14:textId="77777777" w:rsidR="001E10AA" w:rsidRDefault="001E10AA" w:rsidP="006F10E0">
      <w:pPr>
        <w:jc w:val="both"/>
        <w:rPr>
          <w:rFonts w:ascii="Abadi" w:hAnsi="Abadi"/>
          <w:sz w:val="21"/>
          <w:szCs w:val="21"/>
        </w:rPr>
      </w:pPr>
    </w:p>
    <w:p w14:paraId="69D82FA1" w14:textId="77777777" w:rsidR="006F10E0" w:rsidRDefault="006F10E0" w:rsidP="006F10E0">
      <w:pPr>
        <w:jc w:val="both"/>
        <w:rPr>
          <w:rFonts w:ascii="Abadi" w:hAnsi="Abadi"/>
          <w:sz w:val="21"/>
          <w:szCs w:val="21"/>
        </w:rPr>
      </w:pPr>
      <w:r>
        <w:rPr>
          <w:rFonts w:ascii="Abadi" w:hAnsi="Abadi"/>
          <w:sz w:val="21"/>
          <w:szCs w:val="21"/>
        </w:rPr>
        <w:t>- P</w:t>
      </w:r>
      <w:r w:rsidRPr="0030088F">
        <w:rPr>
          <w:rFonts w:ascii="Abadi" w:hAnsi="Abadi"/>
          <w:sz w:val="21"/>
          <w:szCs w:val="21"/>
        </w:rPr>
        <w:t>or el otro lado</w:t>
      </w:r>
      <w:r>
        <w:rPr>
          <w:rFonts w:ascii="Abadi" w:hAnsi="Abadi"/>
          <w:sz w:val="21"/>
          <w:szCs w:val="21"/>
        </w:rPr>
        <w:t>,</w:t>
      </w:r>
      <w:r w:rsidRPr="0030088F">
        <w:rPr>
          <w:rFonts w:ascii="Abadi" w:hAnsi="Abadi"/>
          <w:sz w:val="21"/>
          <w:szCs w:val="21"/>
        </w:rPr>
        <w:t xml:space="preserve"> la bancada feminista</w:t>
      </w:r>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evidentemente la organización de mujeres</w:t>
      </w:r>
      <w:r>
        <w:rPr>
          <w:rFonts w:ascii="Abadi" w:hAnsi="Abadi"/>
          <w:sz w:val="21"/>
          <w:szCs w:val="21"/>
        </w:rPr>
        <w:t>,</w:t>
      </w:r>
      <w:r w:rsidRPr="0030088F">
        <w:rPr>
          <w:rFonts w:ascii="Abadi" w:hAnsi="Abadi"/>
          <w:sz w:val="21"/>
          <w:szCs w:val="21"/>
        </w:rPr>
        <w:t xml:space="preserve"> siempre causa incomodidades y lo hemos </w:t>
      </w:r>
      <w:r w:rsidRPr="0030088F">
        <w:rPr>
          <w:rFonts w:ascii="Abadi" w:hAnsi="Abadi"/>
          <w:sz w:val="21"/>
          <w:szCs w:val="21"/>
        </w:rPr>
        <w:t>notado no de ahorita sino en muchas este momentos y con distintos personajes</w:t>
      </w:r>
      <w:r>
        <w:rPr>
          <w:rFonts w:ascii="Abadi" w:hAnsi="Abadi"/>
          <w:sz w:val="21"/>
          <w:szCs w:val="21"/>
        </w:rPr>
        <w:t>,</w:t>
      </w:r>
      <w:r w:rsidRPr="0030088F">
        <w:rPr>
          <w:rFonts w:ascii="Abadi" w:hAnsi="Abadi"/>
          <w:sz w:val="21"/>
          <w:szCs w:val="21"/>
        </w:rPr>
        <w:t xml:space="preserve"> hombres y mujeres al interior de este </w:t>
      </w:r>
      <w:r>
        <w:rPr>
          <w:rFonts w:ascii="Abadi" w:hAnsi="Abadi"/>
          <w:sz w:val="21"/>
          <w:szCs w:val="21"/>
        </w:rPr>
        <w:t>C</w:t>
      </w:r>
      <w:r w:rsidRPr="0030088F">
        <w:rPr>
          <w:rFonts w:ascii="Abadi" w:hAnsi="Abadi"/>
          <w:sz w:val="21"/>
          <w:szCs w:val="21"/>
        </w:rPr>
        <w:t>ongreso y que hoy lo manifiesta</w:t>
      </w:r>
      <w:r>
        <w:rPr>
          <w:rFonts w:ascii="Abadi" w:hAnsi="Abadi"/>
          <w:sz w:val="21"/>
          <w:szCs w:val="21"/>
        </w:rPr>
        <w:t>,</w:t>
      </w:r>
      <w:r w:rsidRPr="0030088F">
        <w:rPr>
          <w:rFonts w:ascii="Abadi" w:hAnsi="Abadi"/>
          <w:sz w:val="21"/>
          <w:szCs w:val="21"/>
        </w:rPr>
        <w:t xml:space="preserve"> l</w:t>
      </w:r>
      <w:r>
        <w:rPr>
          <w:rFonts w:ascii="Abadi" w:hAnsi="Abadi"/>
          <w:sz w:val="21"/>
          <w:szCs w:val="21"/>
        </w:rPr>
        <w:t>a</w:t>
      </w:r>
      <w:r w:rsidRPr="0030088F">
        <w:rPr>
          <w:rFonts w:ascii="Abadi" w:hAnsi="Abadi"/>
          <w:sz w:val="21"/>
          <w:szCs w:val="21"/>
        </w:rPr>
        <w:t xml:space="preserve"> manifiesta la diputada</w:t>
      </w:r>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Susana</w:t>
      </w:r>
      <w:r>
        <w:rPr>
          <w:rFonts w:ascii="Abadi" w:hAnsi="Abadi"/>
          <w:sz w:val="21"/>
          <w:szCs w:val="21"/>
        </w:rPr>
        <w:t>,</w:t>
      </w:r>
      <w:r w:rsidRPr="0030088F">
        <w:rPr>
          <w:rFonts w:ascii="Abadi" w:hAnsi="Abadi"/>
          <w:sz w:val="21"/>
          <w:szCs w:val="21"/>
        </w:rPr>
        <w:t xml:space="preserve"> escuchamos también una intervención que tuvo la misma diputada Susana</w:t>
      </w:r>
      <w:r>
        <w:rPr>
          <w:rFonts w:ascii="Abadi" w:hAnsi="Abadi"/>
          <w:sz w:val="21"/>
          <w:szCs w:val="21"/>
        </w:rPr>
        <w:t>,</w:t>
      </w:r>
      <w:r w:rsidRPr="0030088F">
        <w:rPr>
          <w:rFonts w:ascii="Abadi" w:hAnsi="Abadi"/>
          <w:sz w:val="21"/>
          <w:szCs w:val="21"/>
        </w:rPr>
        <w:t xml:space="preserve"> en </w:t>
      </w:r>
      <w:r>
        <w:rPr>
          <w:rFonts w:ascii="Abadi" w:hAnsi="Abadi"/>
          <w:sz w:val="21"/>
          <w:szCs w:val="21"/>
        </w:rPr>
        <w:t xml:space="preserve">la cede de su partido Acción Nacional, </w:t>
      </w:r>
      <w:r w:rsidRPr="0030088F">
        <w:rPr>
          <w:rFonts w:ascii="Abadi" w:hAnsi="Abadi"/>
          <w:sz w:val="21"/>
          <w:szCs w:val="21"/>
        </w:rPr>
        <w:t>con respecto a que</w:t>
      </w:r>
      <w:r>
        <w:rPr>
          <w:rFonts w:ascii="Abadi" w:hAnsi="Abadi"/>
          <w:sz w:val="21"/>
          <w:szCs w:val="21"/>
        </w:rPr>
        <w:t>, y</w:t>
      </w:r>
      <w:r w:rsidRPr="0030088F">
        <w:rPr>
          <w:rFonts w:ascii="Abadi" w:hAnsi="Abadi"/>
          <w:sz w:val="21"/>
          <w:szCs w:val="21"/>
        </w:rPr>
        <w:t xml:space="preserve"> de manera como este minimizando esta</w:t>
      </w:r>
      <w:r>
        <w:rPr>
          <w:rFonts w:ascii="Abadi" w:hAnsi="Abadi"/>
          <w:sz w:val="21"/>
          <w:szCs w:val="21"/>
        </w:rPr>
        <w:t>,</w:t>
      </w:r>
      <w:r w:rsidRPr="0030088F">
        <w:rPr>
          <w:rFonts w:ascii="Abadi" w:hAnsi="Abadi"/>
          <w:sz w:val="21"/>
          <w:szCs w:val="21"/>
        </w:rPr>
        <w:t xml:space="preserve"> este</w:t>
      </w:r>
      <w:r>
        <w:rPr>
          <w:rFonts w:ascii="Abadi" w:hAnsi="Abadi"/>
          <w:sz w:val="21"/>
          <w:szCs w:val="21"/>
        </w:rPr>
        <w:t>,</w:t>
      </w:r>
      <w:r w:rsidRPr="0030088F">
        <w:rPr>
          <w:rFonts w:ascii="Abadi" w:hAnsi="Abadi"/>
          <w:sz w:val="21"/>
          <w:szCs w:val="21"/>
        </w:rPr>
        <w:t xml:space="preserve"> unidad de mujeres como </w:t>
      </w:r>
      <w:r>
        <w:rPr>
          <w:rFonts w:ascii="Abadi" w:hAnsi="Abadi"/>
          <w:sz w:val="21"/>
          <w:szCs w:val="21"/>
        </w:rPr>
        <w:t>¡</w:t>
      </w:r>
      <w:r w:rsidRPr="0030088F">
        <w:rPr>
          <w:rFonts w:ascii="Abadi" w:hAnsi="Abadi"/>
          <w:sz w:val="21"/>
          <w:szCs w:val="21"/>
        </w:rPr>
        <w:t>esa figura no existe</w:t>
      </w:r>
      <w:r>
        <w:rPr>
          <w:rFonts w:ascii="Abadi" w:hAnsi="Abadi"/>
          <w:sz w:val="21"/>
          <w:szCs w:val="21"/>
        </w:rPr>
        <w:t>!</w:t>
      </w:r>
      <w:r w:rsidRPr="0030088F">
        <w:rPr>
          <w:rFonts w:ascii="Abadi" w:hAnsi="Abadi"/>
          <w:sz w:val="21"/>
          <w:szCs w:val="21"/>
        </w:rPr>
        <w:t xml:space="preserve"> que lamentable diputada</w:t>
      </w:r>
      <w:r>
        <w:rPr>
          <w:rFonts w:ascii="Abadi" w:hAnsi="Abadi"/>
          <w:sz w:val="21"/>
          <w:szCs w:val="21"/>
        </w:rPr>
        <w:t>,</w:t>
      </w:r>
      <w:r w:rsidRPr="0030088F">
        <w:rPr>
          <w:rFonts w:ascii="Abadi" w:hAnsi="Abadi"/>
          <w:sz w:val="21"/>
          <w:szCs w:val="21"/>
        </w:rPr>
        <w:t xml:space="preserve"> que intentes y visibilizar la organización de mujeres que nos unimos a pesar de nuestras diferencias políticas nos unimos en la coincidencia con una agenda común a favor de las mujeres</w:t>
      </w:r>
      <w:r>
        <w:rPr>
          <w:rFonts w:ascii="Abadi" w:hAnsi="Abadi"/>
          <w:sz w:val="21"/>
          <w:szCs w:val="21"/>
        </w:rPr>
        <w:t>,</w:t>
      </w:r>
      <w:r w:rsidRPr="0030088F">
        <w:rPr>
          <w:rFonts w:ascii="Abadi" w:hAnsi="Abadi"/>
          <w:sz w:val="21"/>
          <w:szCs w:val="21"/>
        </w:rPr>
        <w:t xml:space="preserve"> aunque todavía este congreso y ojalá que lo tomen en cuenta en la próxima</w:t>
      </w:r>
      <w:r>
        <w:rPr>
          <w:rFonts w:ascii="Abadi" w:hAnsi="Abadi"/>
          <w:sz w:val="21"/>
          <w:szCs w:val="21"/>
        </w:rPr>
        <w:t>,</w:t>
      </w:r>
      <w:r w:rsidRPr="0030088F">
        <w:rPr>
          <w:rFonts w:ascii="Abadi" w:hAnsi="Abadi"/>
          <w:sz w:val="21"/>
          <w:szCs w:val="21"/>
        </w:rPr>
        <w:t xml:space="preserve"> esperemos pronto</w:t>
      </w:r>
      <w:r>
        <w:rPr>
          <w:rFonts w:ascii="Abadi" w:hAnsi="Abadi"/>
          <w:sz w:val="21"/>
          <w:szCs w:val="21"/>
        </w:rPr>
        <w:t>,</w:t>
      </w:r>
      <w:r w:rsidRPr="0030088F">
        <w:rPr>
          <w:rFonts w:ascii="Abadi" w:hAnsi="Abadi"/>
          <w:sz w:val="21"/>
          <w:szCs w:val="21"/>
        </w:rPr>
        <w:t xml:space="preserve"> nueva </w:t>
      </w:r>
      <w:r>
        <w:rPr>
          <w:rFonts w:ascii="Abadi" w:hAnsi="Abadi"/>
          <w:sz w:val="21"/>
          <w:szCs w:val="21"/>
        </w:rPr>
        <w:t>L</w:t>
      </w:r>
      <w:r w:rsidRPr="0030088F">
        <w:rPr>
          <w:rFonts w:ascii="Abadi" w:hAnsi="Abadi"/>
          <w:sz w:val="21"/>
          <w:szCs w:val="21"/>
        </w:rPr>
        <w:t xml:space="preserve">ey </w:t>
      </w:r>
      <w:r>
        <w:rPr>
          <w:rFonts w:ascii="Abadi" w:hAnsi="Abadi"/>
          <w:sz w:val="21"/>
          <w:szCs w:val="21"/>
        </w:rPr>
        <w:t>O</w:t>
      </w:r>
      <w:r w:rsidRPr="0030088F">
        <w:rPr>
          <w:rFonts w:ascii="Abadi" w:hAnsi="Abadi"/>
          <w:sz w:val="21"/>
          <w:szCs w:val="21"/>
        </w:rPr>
        <w:t xml:space="preserve">rgánica de este </w:t>
      </w:r>
      <w:r>
        <w:rPr>
          <w:rFonts w:ascii="Abadi" w:hAnsi="Abadi"/>
          <w:sz w:val="21"/>
          <w:szCs w:val="21"/>
        </w:rPr>
        <w:t>P</w:t>
      </w:r>
      <w:r w:rsidRPr="0030088F">
        <w:rPr>
          <w:rFonts w:ascii="Abadi" w:hAnsi="Abadi"/>
          <w:sz w:val="21"/>
          <w:szCs w:val="21"/>
        </w:rPr>
        <w:t xml:space="preserve">oder </w:t>
      </w:r>
      <w:r>
        <w:rPr>
          <w:rFonts w:ascii="Abadi" w:hAnsi="Abadi"/>
          <w:sz w:val="21"/>
          <w:szCs w:val="21"/>
        </w:rPr>
        <w:t>L</w:t>
      </w:r>
      <w:r w:rsidRPr="0030088F">
        <w:rPr>
          <w:rFonts w:ascii="Abadi" w:hAnsi="Abadi"/>
          <w:sz w:val="21"/>
          <w:szCs w:val="21"/>
        </w:rPr>
        <w:t>egislativo</w:t>
      </w:r>
      <w:r>
        <w:rPr>
          <w:rFonts w:ascii="Abadi" w:hAnsi="Abadi"/>
          <w:sz w:val="21"/>
          <w:szCs w:val="21"/>
        </w:rPr>
        <w:t>,</w:t>
      </w:r>
      <w:r w:rsidRPr="0030088F">
        <w:rPr>
          <w:rFonts w:ascii="Abadi" w:hAnsi="Abadi"/>
          <w:sz w:val="21"/>
          <w:szCs w:val="21"/>
        </w:rPr>
        <w:t xml:space="preserve"> realmente tome </w:t>
      </w:r>
      <w:r>
        <w:rPr>
          <w:rFonts w:ascii="Abadi" w:hAnsi="Abadi"/>
          <w:sz w:val="21"/>
          <w:szCs w:val="21"/>
        </w:rPr>
        <w:t>su</w:t>
      </w:r>
      <w:r w:rsidRPr="0030088F">
        <w:rPr>
          <w:rFonts w:ascii="Abadi" w:hAnsi="Abadi"/>
          <w:sz w:val="21"/>
          <w:szCs w:val="21"/>
        </w:rPr>
        <w:t xml:space="preserve"> momento en cuenta la organización</w:t>
      </w:r>
      <w:r>
        <w:rPr>
          <w:rFonts w:ascii="Abadi" w:hAnsi="Abadi"/>
          <w:sz w:val="21"/>
          <w:szCs w:val="21"/>
        </w:rPr>
        <w:t>,</w:t>
      </w:r>
      <w:r w:rsidRPr="0030088F">
        <w:rPr>
          <w:rFonts w:ascii="Abadi" w:hAnsi="Abadi"/>
          <w:sz w:val="21"/>
          <w:szCs w:val="21"/>
        </w:rPr>
        <w:t xml:space="preserve"> no solamente de mujeres al interior de este congreso</w:t>
      </w:r>
      <w:r>
        <w:rPr>
          <w:rFonts w:ascii="Abadi" w:hAnsi="Abadi"/>
          <w:sz w:val="21"/>
          <w:szCs w:val="21"/>
        </w:rPr>
        <w:t>,</w:t>
      </w:r>
      <w:r w:rsidRPr="0030088F">
        <w:rPr>
          <w:rFonts w:ascii="Abadi" w:hAnsi="Abadi"/>
          <w:sz w:val="21"/>
          <w:szCs w:val="21"/>
        </w:rPr>
        <w:t xml:space="preserve"> sino la</w:t>
      </w:r>
      <w:r>
        <w:rPr>
          <w:rFonts w:ascii="Abadi" w:hAnsi="Abadi"/>
          <w:sz w:val="21"/>
          <w:szCs w:val="21"/>
        </w:rPr>
        <w:t>,</w:t>
      </w:r>
      <w:r w:rsidRPr="0030088F">
        <w:rPr>
          <w:rFonts w:ascii="Abadi" w:hAnsi="Abadi"/>
          <w:sz w:val="21"/>
          <w:szCs w:val="21"/>
        </w:rPr>
        <w:t xml:space="preserve"> la</w:t>
      </w:r>
      <w:r>
        <w:rPr>
          <w:rFonts w:ascii="Abadi" w:hAnsi="Abadi"/>
          <w:sz w:val="21"/>
          <w:szCs w:val="21"/>
        </w:rPr>
        <w:t>,</w:t>
      </w:r>
      <w:r w:rsidRPr="0030088F">
        <w:rPr>
          <w:rFonts w:ascii="Abadi" w:hAnsi="Abadi"/>
          <w:sz w:val="21"/>
          <w:szCs w:val="21"/>
        </w:rPr>
        <w:t xml:space="preserve"> organización de legisladores y de legisladoras que en un ámbito de pluralidad se pueden organizar</w:t>
      </w:r>
      <w:r>
        <w:rPr>
          <w:rFonts w:ascii="Abadi" w:hAnsi="Abadi"/>
          <w:sz w:val="21"/>
          <w:szCs w:val="21"/>
        </w:rPr>
        <w:t>,</w:t>
      </w:r>
      <w:r w:rsidRPr="0030088F">
        <w:rPr>
          <w:rFonts w:ascii="Abadi" w:hAnsi="Abadi"/>
          <w:sz w:val="21"/>
          <w:szCs w:val="21"/>
        </w:rPr>
        <w:t xml:space="preserve"> se pueden unir en torno a temas comunes hoy nos tocó a nosotras innovar y nos sentimos muy orgullosas de eso</w:t>
      </w:r>
      <w:r>
        <w:rPr>
          <w:rFonts w:ascii="Abadi" w:hAnsi="Abadi"/>
          <w:sz w:val="21"/>
          <w:szCs w:val="21"/>
        </w:rPr>
        <w:t>,</w:t>
      </w:r>
      <w:r w:rsidRPr="0030088F">
        <w:rPr>
          <w:rFonts w:ascii="Abadi" w:hAnsi="Abadi"/>
          <w:sz w:val="21"/>
          <w:szCs w:val="21"/>
        </w:rPr>
        <w:t xml:space="preserve"> ojalá</w:t>
      </w:r>
      <w:r>
        <w:rPr>
          <w:rFonts w:ascii="Abadi" w:hAnsi="Abadi"/>
          <w:sz w:val="21"/>
          <w:szCs w:val="21"/>
        </w:rPr>
        <w:t>,</w:t>
      </w:r>
      <w:r w:rsidRPr="0030088F">
        <w:rPr>
          <w:rFonts w:ascii="Abadi" w:hAnsi="Abadi"/>
          <w:sz w:val="21"/>
          <w:szCs w:val="21"/>
        </w:rPr>
        <w:t xml:space="preserve"> que a partir de esta unión de 3 diputadas</w:t>
      </w:r>
      <w:r>
        <w:rPr>
          <w:rFonts w:ascii="Abadi" w:hAnsi="Abadi"/>
          <w:sz w:val="21"/>
          <w:szCs w:val="21"/>
        </w:rPr>
        <w:t xml:space="preserve"> siga una </w:t>
      </w:r>
      <w:r w:rsidRPr="0030088F">
        <w:rPr>
          <w:rFonts w:ascii="Abadi" w:hAnsi="Abadi"/>
          <w:sz w:val="21"/>
          <w:szCs w:val="21"/>
        </w:rPr>
        <w:t>tradición legislativa en las siguientes legislaturas para que independientemente de las posiciones políticas</w:t>
      </w:r>
      <w:r>
        <w:rPr>
          <w:rFonts w:ascii="Abadi" w:hAnsi="Abadi"/>
          <w:sz w:val="21"/>
          <w:szCs w:val="21"/>
        </w:rPr>
        <w:t>,</w:t>
      </w:r>
      <w:r w:rsidRPr="0030088F">
        <w:rPr>
          <w:rFonts w:ascii="Abadi" w:hAnsi="Abadi"/>
          <w:sz w:val="21"/>
          <w:szCs w:val="21"/>
        </w:rPr>
        <w:t xml:space="preserve"> de las diferencias personales</w:t>
      </w:r>
      <w:r>
        <w:rPr>
          <w:rFonts w:ascii="Abadi" w:hAnsi="Abadi"/>
          <w:sz w:val="21"/>
          <w:szCs w:val="21"/>
        </w:rPr>
        <w:t>,</w:t>
      </w:r>
      <w:r w:rsidRPr="0030088F">
        <w:rPr>
          <w:rFonts w:ascii="Abadi" w:hAnsi="Abadi"/>
          <w:sz w:val="21"/>
          <w:szCs w:val="21"/>
        </w:rPr>
        <w:t xml:space="preserve"> de las diferencias partidistas</w:t>
      </w:r>
      <w:r>
        <w:rPr>
          <w:rFonts w:ascii="Abadi" w:hAnsi="Abadi"/>
          <w:sz w:val="21"/>
          <w:szCs w:val="21"/>
        </w:rPr>
        <w:t>,</w:t>
      </w:r>
      <w:r w:rsidRPr="0030088F">
        <w:rPr>
          <w:rFonts w:ascii="Abadi" w:hAnsi="Abadi"/>
          <w:sz w:val="21"/>
          <w:szCs w:val="21"/>
        </w:rPr>
        <w:t xml:space="preserve"> puedan se puedan coincidir los pensamientos</w:t>
      </w:r>
      <w:r>
        <w:rPr>
          <w:rFonts w:ascii="Abadi" w:hAnsi="Abadi"/>
          <w:sz w:val="21"/>
          <w:szCs w:val="21"/>
        </w:rPr>
        <w:t>,</w:t>
      </w:r>
      <w:r w:rsidRPr="0030088F">
        <w:rPr>
          <w:rFonts w:ascii="Abadi" w:hAnsi="Abadi"/>
          <w:sz w:val="21"/>
          <w:szCs w:val="21"/>
        </w:rPr>
        <w:t xml:space="preserve"> las propuestas entornos en agendas comunes permanentes</w:t>
      </w:r>
      <w:r>
        <w:rPr>
          <w:rFonts w:ascii="Abadi" w:hAnsi="Abadi"/>
          <w:sz w:val="21"/>
          <w:szCs w:val="21"/>
        </w:rPr>
        <w:t>,</w:t>
      </w:r>
      <w:r w:rsidRPr="0030088F">
        <w:rPr>
          <w:rFonts w:ascii="Abadi" w:hAnsi="Abadi"/>
          <w:sz w:val="21"/>
          <w:szCs w:val="21"/>
        </w:rPr>
        <w:t xml:space="preserve"> o incluso de carácter temporal</w:t>
      </w:r>
      <w:r>
        <w:rPr>
          <w:rFonts w:ascii="Abadi" w:hAnsi="Abadi"/>
          <w:sz w:val="21"/>
          <w:szCs w:val="21"/>
        </w:rPr>
        <w:t>.</w:t>
      </w:r>
    </w:p>
    <w:p w14:paraId="5584CFFA" w14:textId="77777777" w:rsidR="001E10AA" w:rsidRDefault="001E10AA" w:rsidP="006F10E0">
      <w:pPr>
        <w:jc w:val="both"/>
        <w:rPr>
          <w:rFonts w:ascii="Abadi" w:hAnsi="Abadi"/>
          <w:sz w:val="21"/>
          <w:szCs w:val="21"/>
        </w:rPr>
      </w:pPr>
    </w:p>
    <w:p w14:paraId="25A816C5" w14:textId="77777777" w:rsidR="006F10E0" w:rsidRDefault="006F10E0" w:rsidP="006F10E0">
      <w:pPr>
        <w:jc w:val="both"/>
        <w:rPr>
          <w:rFonts w:ascii="Abadi" w:hAnsi="Abadi"/>
          <w:sz w:val="21"/>
          <w:szCs w:val="21"/>
        </w:rPr>
      </w:pPr>
      <w:r>
        <w:rPr>
          <w:rFonts w:ascii="Abadi" w:hAnsi="Abadi"/>
          <w:sz w:val="21"/>
          <w:szCs w:val="21"/>
        </w:rPr>
        <w:t>- E</w:t>
      </w:r>
      <w:r w:rsidRPr="0030088F">
        <w:rPr>
          <w:rFonts w:ascii="Abadi" w:hAnsi="Abadi"/>
          <w:sz w:val="21"/>
          <w:szCs w:val="21"/>
        </w:rPr>
        <w:t>s cuanto presidenta</w:t>
      </w:r>
      <w:r>
        <w:rPr>
          <w:rFonts w:ascii="Abadi" w:hAnsi="Abadi"/>
          <w:sz w:val="21"/>
          <w:szCs w:val="21"/>
        </w:rPr>
        <w:t>.</w:t>
      </w:r>
    </w:p>
    <w:p w14:paraId="1A521A72" w14:textId="77777777" w:rsidR="001E10AA" w:rsidRDefault="001E10AA" w:rsidP="006F10E0">
      <w:pPr>
        <w:jc w:val="both"/>
        <w:rPr>
          <w:rFonts w:ascii="Abadi" w:hAnsi="Abadi"/>
          <w:sz w:val="21"/>
          <w:szCs w:val="21"/>
        </w:rPr>
      </w:pPr>
    </w:p>
    <w:p w14:paraId="3C7E50E5" w14:textId="77777777" w:rsidR="006F10E0" w:rsidRDefault="006F10E0" w:rsidP="006F10E0">
      <w:pPr>
        <w:jc w:val="both"/>
        <w:rPr>
          <w:rFonts w:ascii="Abadi" w:hAnsi="Abadi"/>
          <w:sz w:val="21"/>
          <w:szCs w:val="21"/>
        </w:rPr>
      </w:pPr>
      <w:r>
        <w:rPr>
          <w:rFonts w:ascii="Abadi" w:hAnsi="Abadi"/>
          <w:sz w:val="21"/>
          <w:szCs w:val="21"/>
        </w:rPr>
        <w:tab/>
      </w:r>
      <w:r w:rsidRPr="00CD657C">
        <w:rPr>
          <w:rFonts w:ascii="Abadi" w:hAnsi="Abadi"/>
          <w:b/>
          <w:bCs/>
          <w:sz w:val="21"/>
          <w:szCs w:val="21"/>
        </w:rPr>
        <w:t xml:space="preserve">- La </w:t>
      </w:r>
      <w:proofErr w:type="gramStart"/>
      <w:r w:rsidRPr="00CD657C">
        <w:rPr>
          <w:rFonts w:ascii="Abadi" w:hAnsi="Abadi"/>
          <w:b/>
          <w:bCs/>
          <w:sz w:val="21"/>
          <w:szCs w:val="21"/>
        </w:rPr>
        <w:t>Presidencia.-</w:t>
      </w:r>
      <w:proofErr w:type="gramEnd"/>
      <w:r>
        <w:rPr>
          <w:rFonts w:ascii="Abadi" w:hAnsi="Abadi"/>
          <w:sz w:val="21"/>
          <w:szCs w:val="21"/>
        </w:rPr>
        <w:t xml:space="preserve"> Gr</w:t>
      </w:r>
      <w:r w:rsidRPr="0030088F">
        <w:rPr>
          <w:rFonts w:ascii="Abadi" w:hAnsi="Abadi"/>
          <w:sz w:val="21"/>
          <w:szCs w:val="21"/>
        </w:rPr>
        <w:t>acias diputada</w:t>
      </w:r>
      <w:r>
        <w:rPr>
          <w:rFonts w:ascii="Abadi" w:hAnsi="Abadi"/>
          <w:sz w:val="21"/>
          <w:szCs w:val="21"/>
        </w:rPr>
        <w:t>.</w:t>
      </w:r>
    </w:p>
    <w:p w14:paraId="54F2260D" w14:textId="77777777" w:rsidR="006F10E0" w:rsidRDefault="006F10E0" w:rsidP="006F10E0">
      <w:pPr>
        <w:jc w:val="both"/>
        <w:rPr>
          <w:rFonts w:ascii="Abadi" w:hAnsi="Abadi"/>
          <w:sz w:val="21"/>
          <w:szCs w:val="21"/>
        </w:rPr>
      </w:pPr>
      <w:r>
        <w:rPr>
          <w:rFonts w:ascii="Abadi" w:hAnsi="Abadi"/>
          <w:sz w:val="21"/>
          <w:szCs w:val="21"/>
        </w:rPr>
        <w:tab/>
        <w:t>- A</w:t>
      </w:r>
      <w:r w:rsidRPr="0030088F">
        <w:rPr>
          <w:rFonts w:ascii="Abadi" w:hAnsi="Abadi"/>
          <w:sz w:val="21"/>
          <w:szCs w:val="21"/>
        </w:rPr>
        <w:t xml:space="preserve">gotadas las intervenciones se pide a la </w:t>
      </w:r>
      <w:r>
        <w:rPr>
          <w:rFonts w:ascii="Abadi" w:hAnsi="Abadi"/>
          <w:sz w:val="21"/>
          <w:szCs w:val="21"/>
        </w:rPr>
        <w:t>S</w:t>
      </w:r>
      <w:r w:rsidRPr="0030088F">
        <w:rPr>
          <w:rFonts w:ascii="Abadi" w:hAnsi="Abadi"/>
          <w:sz w:val="21"/>
          <w:szCs w:val="21"/>
        </w:rPr>
        <w:t xml:space="preserve">ecretaría que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el dictamen en lo general puesto a su consideración</w:t>
      </w:r>
      <w:r>
        <w:rPr>
          <w:rFonts w:ascii="Abadi" w:hAnsi="Abadi"/>
          <w:sz w:val="21"/>
          <w:szCs w:val="21"/>
        </w:rPr>
        <w:t>. S</w:t>
      </w:r>
      <w:r w:rsidRPr="0030088F">
        <w:rPr>
          <w:rFonts w:ascii="Abadi" w:hAnsi="Abadi"/>
          <w:sz w:val="21"/>
          <w:szCs w:val="21"/>
        </w:rPr>
        <w:t xml:space="preserve">e informa la </w:t>
      </w:r>
      <w:r>
        <w:rPr>
          <w:rFonts w:ascii="Abadi" w:hAnsi="Abadi"/>
          <w:sz w:val="21"/>
          <w:szCs w:val="21"/>
        </w:rPr>
        <w:t>A</w:t>
      </w:r>
      <w:r w:rsidRPr="0030088F">
        <w:rPr>
          <w:rFonts w:ascii="Abadi" w:hAnsi="Abadi"/>
          <w:sz w:val="21"/>
          <w:szCs w:val="21"/>
        </w:rPr>
        <w:t xml:space="preserve">samblea que de conformidad con lo dispuesto por el artículo 145 de nuestra </w:t>
      </w:r>
      <w:r>
        <w:rPr>
          <w:rFonts w:ascii="Abadi" w:hAnsi="Abadi"/>
          <w:sz w:val="21"/>
          <w:szCs w:val="21"/>
        </w:rPr>
        <w:t>C</w:t>
      </w:r>
      <w:r w:rsidRPr="0030088F">
        <w:rPr>
          <w:rFonts w:ascii="Abadi" w:hAnsi="Abadi"/>
          <w:sz w:val="21"/>
          <w:szCs w:val="21"/>
        </w:rPr>
        <w:t xml:space="preserve">onstitución </w:t>
      </w:r>
      <w:r>
        <w:rPr>
          <w:rFonts w:ascii="Abadi" w:hAnsi="Abadi"/>
          <w:sz w:val="21"/>
          <w:szCs w:val="21"/>
        </w:rPr>
        <w:t>P</w:t>
      </w:r>
      <w:r w:rsidRPr="0030088F">
        <w:rPr>
          <w:rFonts w:ascii="Abadi" w:hAnsi="Abadi"/>
          <w:sz w:val="21"/>
          <w:szCs w:val="21"/>
        </w:rPr>
        <w:t xml:space="preserve">olítica </w:t>
      </w:r>
      <w:r>
        <w:rPr>
          <w:rFonts w:ascii="Abadi" w:hAnsi="Abadi"/>
          <w:sz w:val="21"/>
          <w:szCs w:val="21"/>
        </w:rPr>
        <w:t>L</w:t>
      </w:r>
      <w:r w:rsidRPr="0030088F">
        <w:rPr>
          <w:rFonts w:ascii="Abadi" w:hAnsi="Abadi"/>
          <w:sz w:val="21"/>
          <w:szCs w:val="21"/>
        </w:rPr>
        <w:t>ocal</w:t>
      </w:r>
      <w:r>
        <w:rPr>
          <w:rFonts w:ascii="Abadi" w:hAnsi="Abadi"/>
          <w:sz w:val="21"/>
          <w:szCs w:val="21"/>
        </w:rPr>
        <w:t>,</w:t>
      </w:r>
      <w:r w:rsidRPr="0030088F">
        <w:rPr>
          <w:rFonts w:ascii="Abadi" w:hAnsi="Abadi"/>
          <w:sz w:val="21"/>
          <w:szCs w:val="21"/>
        </w:rPr>
        <w:t xml:space="preserve"> se requiere la aprobación de cuando menos el 70% de los miembros del </w:t>
      </w:r>
      <w:r>
        <w:rPr>
          <w:rFonts w:ascii="Abadi" w:hAnsi="Abadi"/>
          <w:sz w:val="21"/>
          <w:szCs w:val="21"/>
        </w:rPr>
        <w:t>C</w:t>
      </w:r>
      <w:r w:rsidRPr="0030088F">
        <w:rPr>
          <w:rFonts w:ascii="Abadi" w:hAnsi="Abadi"/>
          <w:sz w:val="21"/>
          <w:szCs w:val="21"/>
        </w:rPr>
        <w:t xml:space="preserve">ongreso para reformar la </w:t>
      </w:r>
      <w:r>
        <w:rPr>
          <w:rFonts w:ascii="Abadi" w:hAnsi="Abadi"/>
          <w:sz w:val="21"/>
          <w:szCs w:val="21"/>
        </w:rPr>
        <w:t>C</w:t>
      </w:r>
      <w:r w:rsidRPr="0030088F">
        <w:rPr>
          <w:rFonts w:ascii="Abadi" w:hAnsi="Abadi"/>
          <w:sz w:val="21"/>
          <w:szCs w:val="21"/>
        </w:rPr>
        <w:t>onstitución</w:t>
      </w:r>
      <w:r>
        <w:rPr>
          <w:rFonts w:ascii="Abadi" w:hAnsi="Abadi"/>
          <w:sz w:val="21"/>
          <w:szCs w:val="21"/>
        </w:rPr>
        <w:t>.</w:t>
      </w:r>
    </w:p>
    <w:p w14:paraId="1253F16D" w14:textId="77777777" w:rsidR="001E10AA" w:rsidRDefault="001E10AA" w:rsidP="006F10E0">
      <w:pPr>
        <w:jc w:val="both"/>
        <w:rPr>
          <w:rFonts w:ascii="Abadi" w:hAnsi="Abadi"/>
          <w:sz w:val="21"/>
          <w:szCs w:val="21"/>
        </w:rPr>
      </w:pPr>
    </w:p>
    <w:p w14:paraId="68AA97CA" w14:textId="77777777" w:rsidR="006F10E0" w:rsidRDefault="006F10E0" w:rsidP="006F10E0">
      <w:pPr>
        <w:jc w:val="both"/>
        <w:rPr>
          <w:rFonts w:ascii="Abadi" w:hAnsi="Abadi"/>
          <w:b/>
          <w:bCs/>
          <w:sz w:val="21"/>
          <w:szCs w:val="21"/>
        </w:rPr>
      </w:pPr>
      <w:r w:rsidRPr="00ED15A8">
        <w:rPr>
          <w:rFonts w:ascii="Abadi" w:hAnsi="Abadi"/>
          <w:b/>
          <w:bCs/>
          <w:sz w:val="21"/>
          <w:szCs w:val="21"/>
        </w:rPr>
        <w:t>(se abre el sistema electrónico)</w:t>
      </w:r>
    </w:p>
    <w:p w14:paraId="72004EF7" w14:textId="77777777" w:rsidR="001E10AA" w:rsidRPr="00ED15A8" w:rsidRDefault="001E10AA" w:rsidP="006F10E0">
      <w:pPr>
        <w:jc w:val="both"/>
        <w:rPr>
          <w:rFonts w:ascii="Abadi" w:hAnsi="Abadi"/>
          <w:b/>
          <w:bCs/>
          <w:sz w:val="21"/>
          <w:szCs w:val="21"/>
        </w:rPr>
      </w:pPr>
    </w:p>
    <w:p w14:paraId="738DFCC4" w14:textId="77777777" w:rsidR="006F10E0" w:rsidRDefault="006F10E0" w:rsidP="006F10E0">
      <w:pPr>
        <w:jc w:val="both"/>
        <w:rPr>
          <w:rFonts w:ascii="Abadi" w:hAnsi="Abadi"/>
          <w:sz w:val="21"/>
          <w:szCs w:val="21"/>
        </w:rPr>
      </w:pPr>
      <w:r>
        <w:rPr>
          <w:rFonts w:ascii="Abadi" w:hAnsi="Abadi"/>
          <w:sz w:val="21"/>
          <w:szCs w:val="21"/>
        </w:rPr>
        <w:tab/>
      </w:r>
      <w:r w:rsidRPr="00316E75">
        <w:rPr>
          <w:rFonts w:ascii="Abadi" w:hAnsi="Abadi"/>
          <w:b/>
          <w:bCs/>
          <w:sz w:val="21"/>
          <w:szCs w:val="21"/>
        </w:rPr>
        <w:t xml:space="preserve">- La </w:t>
      </w:r>
      <w:proofErr w:type="gramStart"/>
      <w:r w:rsidRPr="00316E75">
        <w:rPr>
          <w:rFonts w:ascii="Abadi" w:hAnsi="Abadi"/>
          <w:b/>
          <w:bCs/>
          <w:sz w:val="21"/>
          <w:szCs w:val="21"/>
        </w:rPr>
        <w:t>Secretaría.-</w:t>
      </w:r>
      <w:proofErr w:type="gramEnd"/>
      <w:r>
        <w:rPr>
          <w:rFonts w:ascii="Abadi" w:hAnsi="Abadi"/>
          <w:sz w:val="21"/>
          <w:szCs w:val="21"/>
        </w:rPr>
        <w:t xml:space="preserve"> E</w:t>
      </w:r>
      <w:r w:rsidRPr="0030088F">
        <w:rPr>
          <w:rFonts w:ascii="Abadi" w:hAnsi="Abadi"/>
          <w:sz w:val="21"/>
          <w:szCs w:val="21"/>
        </w:rPr>
        <w:t xml:space="preserve">n votación nominal y mediante el sistema electrónico se les </w:t>
      </w:r>
      <w:r w:rsidRPr="0030088F">
        <w:rPr>
          <w:rFonts w:ascii="Abadi" w:hAnsi="Abadi"/>
          <w:sz w:val="21"/>
          <w:szCs w:val="21"/>
        </w:rPr>
        <w:lastRenderedPageBreak/>
        <w:t>pregunta si se aprueba en lo general el dictamen que se pone a su consideración</w:t>
      </w:r>
      <w:r>
        <w:rPr>
          <w:rFonts w:ascii="Abadi" w:hAnsi="Abadi"/>
          <w:sz w:val="21"/>
          <w:szCs w:val="21"/>
        </w:rPr>
        <w:t>.</w:t>
      </w:r>
    </w:p>
    <w:p w14:paraId="683201F5" w14:textId="77777777" w:rsidR="001E10AA" w:rsidRDefault="001E10AA" w:rsidP="006F10E0">
      <w:pPr>
        <w:jc w:val="both"/>
        <w:rPr>
          <w:rFonts w:ascii="Abadi" w:hAnsi="Abadi"/>
          <w:sz w:val="21"/>
          <w:szCs w:val="21"/>
        </w:rPr>
      </w:pPr>
    </w:p>
    <w:p w14:paraId="2926E9FC" w14:textId="77777777" w:rsidR="006F10E0" w:rsidRDefault="006F10E0" w:rsidP="006F10E0">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55030A31" w14:textId="77777777" w:rsidR="001E10AA" w:rsidRDefault="001E10AA" w:rsidP="006F10E0">
      <w:pPr>
        <w:jc w:val="both"/>
        <w:rPr>
          <w:rFonts w:ascii="Abadi" w:hAnsi="Abadi"/>
          <w:sz w:val="21"/>
          <w:szCs w:val="21"/>
        </w:rPr>
      </w:pPr>
    </w:p>
    <w:p w14:paraId="04436A59" w14:textId="77777777" w:rsidR="001E10AA" w:rsidRDefault="006F10E0" w:rsidP="006F10E0">
      <w:pPr>
        <w:jc w:val="both"/>
        <w:rPr>
          <w:rFonts w:ascii="Abadi" w:hAnsi="Abadi"/>
          <w:b/>
          <w:bCs/>
          <w:sz w:val="21"/>
          <w:szCs w:val="21"/>
        </w:rPr>
      </w:pPr>
      <w:r w:rsidRPr="00632244">
        <w:rPr>
          <w:rFonts w:ascii="Abadi" w:hAnsi="Abadi"/>
          <w:b/>
          <w:bCs/>
          <w:sz w:val="21"/>
          <w:szCs w:val="21"/>
        </w:rPr>
        <w:t>(se cierra el sistema electrónico)</w:t>
      </w:r>
    </w:p>
    <w:p w14:paraId="07172F91" w14:textId="628F3C8E" w:rsidR="001E10AA" w:rsidRDefault="001E10AA" w:rsidP="006F10E0">
      <w:pPr>
        <w:jc w:val="both"/>
        <w:rPr>
          <w:rFonts w:ascii="Abadi" w:hAnsi="Abadi"/>
          <w:b/>
          <w:bCs/>
          <w:sz w:val="21"/>
          <w:szCs w:val="21"/>
        </w:rPr>
      </w:pPr>
      <w:r>
        <w:rPr>
          <w:noProof/>
        </w:rPr>
        <w:drawing>
          <wp:anchor distT="0" distB="0" distL="114300" distR="114300" simplePos="0" relativeHeight="251668502" behindDoc="1" locked="0" layoutInCell="1" allowOverlap="1" wp14:anchorId="69388A8A" wp14:editId="21997600">
            <wp:simplePos x="0" y="0"/>
            <wp:positionH relativeFrom="column">
              <wp:posOffset>588645</wp:posOffset>
            </wp:positionH>
            <wp:positionV relativeFrom="paragraph">
              <wp:posOffset>252276</wp:posOffset>
            </wp:positionV>
            <wp:extent cx="1395095" cy="715645"/>
            <wp:effectExtent l="247650" t="247650" r="243205" b="255905"/>
            <wp:wrapTight wrapText="bothSides">
              <wp:wrapPolygon edited="0">
                <wp:start x="-2360" y="-7475"/>
                <wp:lineTo x="-3834" y="-6325"/>
                <wp:lineTo x="-3834" y="21849"/>
                <wp:lineTo x="-2360" y="28749"/>
                <wp:lineTo x="23596" y="28749"/>
                <wp:lineTo x="25071" y="21849"/>
                <wp:lineTo x="25071" y="2875"/>
                <wp:lineTo x="23596" y="-5750"/>
                <wp:lineTo x="23596" y="-7475"/>
                <wp:lineTo x="-2360" y="-7475"/>
              </wp:wrapPolygon>
            </wp:wrapTight>
            <wp:docPr id="1568348511" name="Imagen 1568348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348511" name=""/>
                    <pic:cNvPicPr/>
                  </pic:nvPicPr>
                  <pic:blipFill rotWithShape="1">
                    <a:blip r:embed="rId58" cstate="print">
                      <a:extLst>
                        <a:ext uri="{28A0092B-C50C-407E-A947-70E740481C1C}">
                          <a14:useLocalDpi xmlns:a14="http://schemas.microsoft.com/office/drawing/2010/main" val="0"/>
                        </a:ext>
                      </a:extLst>
                    </a:blip>
                    <a:srcRect b="8825"/>
                    <a:stretch/>
                  </pic:blipFill>
                  <pic:spPr bwMode="auto">
                    <a:xfrm>
                      <a:off x="0" y="0"/>
                      <a:ext cx="1395095" cy="715645"/>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3E720C8" w14:textId="79022696" w:rsidR="006F10E0" w:rsidRPr="001E10AA" w:rsidRDefault="006F10E0" w:rsidP="006F10E0">
      <w:pPr>
        <w:jc w:val="both"/>
        <w:rPr>
          <w:rFonts w:ascii="Abadi" w:hAnsi="Abadi"/>
          <w:b/>
          <w:bCs/>
          <w:sz w:val="21"/>
          <w:szCs w:val="21"/>
        </w:rPr>
      </w:pPr>
      <w:r>
        <w:rPr>
          <w:rFonts w:ascii="Abadi" w:hAnsi="Abadi"/>
          <w:sz w:val="21"/>
          <w:szCs w:val="21"/>
        </w:rPr>
        <w:tab/>
      </w:r>
      <w:r w:rsidRPr="00632244">
        <w:rPr>
          <w:rFonts w:ascii="Abadi" w:hAnsi="Abadi"/>
          <w:b/>
          <w:bCs/>
          <w:sz w:val="21"/>
          <w:szCs w:val="21"/>
        </w:rPr>
        <w:t xml:space="preserve">- La </w:t>
      </w:r>
      <w:proofErr w:type="gramStart"/>
      <w:r w:rsidRPr="00632244">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 xml:space="preserve">residenta le informó que se han registrado 35 votos a favor </w:t>
      </w:r>
      <w:r>
        <w:rPr>
          <w:rFonts w:ascii="Abadi" w:hAnsi="Abadi"/>
          <w:sz w:val="21"/>
          <w:szCs w:val="21"/>
        </w:rPr>
        <w:t>0</w:t>
      </w:r>
      <w:r w:rsidRPr="0030088F">
        <w:rPr>
          <w:rFonts w:ascii="Abadi" w:hAnsi="Abadi"/>
          <w:sz w:val="21"/>
          <w:szCs w:val="21"/>
        </w:rPr>
        <w:t xml:space="preserve"> votos en contra</w:t>
      </w:r>
      <w:r>
        <w:rPr>
          <w:rFonts w:ascii="Abadi" w:hAnsi="Abadi"/>
          <w:sz w:val="21"/>
          <w:szCs w:val="21"/>
        </w:rPr>
        <w:t>.</w:t>
      </w:r>
    </w:p>
    <w:p w14:paraId="0F0EE824" w14:textId="77777777" w:rsidR="001E10AA" w:rsidRDefault="001E10AA" w:rsidP="006F10E0">
      <w:pPr>
        <w:jc w:val="both"/>
        <w:rPr>
          <w:rFonts w:ascii="Abadi" w:hAnsi="Abadi"/>
          <w:sz w:val="21"/>
          <w:szCs w:val="21"/>
        </w:rPr>
      </w:pPr>
    </w:p>
    <w:p w14:paraId="44E15A98" w14:textId="77777777" w:rsidR="006F10E0" w:rsidRDefault="006F10E0" w:rsidP="006F10E0">
      <w:pPr>
        <w:jc w:val="both"/>
        <w:rPr>
          <w:rFonts w:ascii="Abadi" w:hAnsi="Abadi"/>
          <w:sz w:val="21"/>
          <w:szCs w:val="21"/>
        </w:rPr>
      </w:pPr>
      <w:r>
        <w:rPr>
          <w:rFonts w:ascii="Abadi" w:hAnsi="Abadi"/>
          <w:sz w:val="21"/>
          <w:szCs w:val="21"/>
        </w:rPr>
        <w:tab/>
      </w:r>
      <w:r w:rsidRPr="00632244">
        <w:rPr>
          <w:rFonts w:ascii="Abadi" w:hAnsi="Abadi"/>
          <w:b/>
          <w:bCs/>
          <w:sz w:val="21"/>
          <w:szCs w:val="21"/>
        </w:rPr>
        <w:t xml:space="preserve">- La </w:t>
      </w:r>
      <w:proofErr w:type="gramStart"/>
      <w:r w:rsidRPr="00632244">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por unanimidad de votos</w:t>
      </w:r>
      <w:r>
        <w:rPr>
          <w:rFonts w:ascii="Abadi" w:hAnsi="Abadi"/>
          <w:sz w:val="21"/>
          <w:szCs w:val="21"/>
        </w:rPr>
        <w:t>.</w:t>
      </w:r>
    </w:p>
    <w:p w14:paraId="0B948105" w14:textId="77777777" w:rsidR="001E10AA" w:rsidRDefault="001E10AA" w:rsidP="006F10E0">
      <w:pPr>
        <w:jc w:val="both"/>
        <w:rPr>
          <w:rFonts w:ascii="Abadi" w:hAnsi="Abadi"/>
          <w:sz w:val="21"/>
          <w:szCs w:val="21"/>
        </w:rPr>
      </w:pPr>
    </w:p>
    <w:p w14:paraId="145D4D11" w14:textId="77777777" w:rsidR="006F10E0" w:rsidRDefault="006F10E0" w:rsidP="006F10E0">
      <w:pPr>
        <w:jc w:val="both"/>
        <w:rPr>
          <w:rFonts w:ascii="Abadi" w:hAnsi="Abadi"/>
          <w:sz w:val="21"/>
          <w:szCs w:val="21"/>
        </w:rPr>
      </w:pPr>
      <w:r>
        <w:rPr>
          <w:rFonts w:ascii="Abadi" w:hAnsi="Abadi"/>
          <w:sz w:val="21"/>
          <w:szCs w:val="21"/>
        </w:rPr>
        <w:tab/>
        <w:t>- C</w:t>
      </w:r>
      <w:r w:rsidRPr="0030088F">
        <w:rPr>
          <w:rFonts w:ascii="Abadi" w:hAnsi="Abadi"/>
          <w:sz w:val="21"/>
          <w:szCs w:val="21"/>
        </w:rPr>
        <w:t>orresponde someter a discusión el dictamen en lo particular</w:t>
      </w:r>
      <w:r>
        <w:rPr>
          <w:rFonts w:ascii="Abadi" w:hAnsi="Abadi"/>
          <w:sz w:val="21"/>
          <w:szCs w:val="21"/>
        </w:rPr>
        <w:t>. S</w:t>
      </w:r>
      <w:r w:rsidRPr="0030088F">
        <w:rPr>
          <w:rFonts w:ascii="Abadi" w:hAnsi="Abadi"/>
          <w:sz w:val="21"/>
          <w:szCs w:val="21"/>
        </w:rPr>
        <w:t>i desean reservar cualquiera de los artículos que contiene sírvanse apartar</w:t>
      </w:r>
      <w:r>
        <w:rPr>
          <w:rFonts w:ascii="Abadi" w:hAnsi="Abadi"/>
          <w:sz w:val="21"/>
          <w:szCs w:val="21"/>
        </w:rPr>
        <w:t>lo</w:t>
      </w:r>
      <w:r w:rsidRPr="0030088F">
        <w:rPr>
          <w:rFonts w:ascii="Abadi" w:hAnsi="Abadi"/>
          <w:sz w:val="21"/>
          <w:szCs w:val="21"/>
        </w:rPr>
        <w:t xml:space="preserve"> en la inteligencia de que los no reservados se tendrán por aprobados</w:t>
      </w:r>
      <w:r>
        <w:rPr>
          <w:rFonts w:ascii="Abadi" w:hAnsi="Abadi"/>
          <w:sz w:val="21"/>
          <w:szCs w:val="21"/>
        </w:rPr>
        <w:t>. E</w:t>
      </w:r>
      <w:r w:rsidRPr="0030088F">
        <w:rPr>
          <w:rFonts w:ascii="Abadi" w:hAnsi="Abadi"/>
          <w:sz w:val="21"/>
          <w:szCs w:val="21"/>
        </w:rPr>
        <w:t>sta presidencia declara tener por aprobados los artículos que contiene el dictamen</w:t>
      </w:r>
      <w:r>
        <w:rPr>
          <w:rFonts w:ascii="Abadi" w:hAnsi="Abadi"/>
          <w:sz w:val="21"/>
          <w:szCs w:val="21"/>
        </w:rPr>
        <w:t xml:space="preserve">. </w:t>
      </w:r>
    </w:p>
    <w:p w14:paraId="0EAF4AA0" w14:textId="77777777" w:rsidR="001E10AA" w:rsidRDefault="001E10AA" w:rsidP="006F10E0">
      <w:pPr>
        <w:jc w:val="both"/>
        <w:rPr>
          <w:rFonts w:ascii="Abadi" w:hAnsi="Abadi"/>
          <w:sz w:val="21"/>
          <w:szCs w:val="21"/>
        </w:rPr>
      </w:pPr>
    </w:p>
    <w:p w14:paraId="5A624277" w14:textId="77777777" w:rsidR="006F10E0" w:rsidRDefault="006F10E0" w:rsidP="001E10AA">
      <w:pPr>
        <w:ind w:left="851" w:right="1134"/>
        <w:jc w:val="both"/>
        <w:rPr>
          <w:rFonts w:ascii="Abadi" w:hAnsi="Abadi"/>
          <w:b/>
          <w:bCs/>
          <w:i/>
          <w:iCs/>
          <w:sz w:val="21"/>
          <w:szCs w:val="21"/>
          <w:u w:val="single"/>
        </w:rPr>
      </w:pPr>
      <w:r w:rsidRPr="00B33166">
        <w:rPr>
          <w:rFonts w:ascii="Abadi" w:hAnsi="Abadi"/>
          <w:b/>
          <w:bCs/>
          <w:i/>
          <w:iCs/>
          <w:sz w:val="21"/>
          <w:szCs w:val="21"/>
          <w:u w:val="single"/>
        </w:rPr>
        <w:t>En virtud de haberse aprobado para este pleno el decreto de reforma constitucional con fundamento en lo dispuesto por el párrafo primero del artículo 145 de la Constitución Política Local remitase la minuta aprobada junto con el dictamen correspondiente a los ayuntamientos del estado como parte del constituyente permanente en la inteligencia de que se requiere la aprobación de la mayoría de los ayuntamientos para reformar la Constitución.</w:t>
      </w:r>
    </w:p>
    <w:p w14:paraId="6462B053" w14:textId="77777777" w:rsidR="001E10AA" w:rsidRPr="00B33166" w:rsidRDefault="001E10AA" w:rsidP="001E10AA">
      <w:pPr>
        <w:ind w:left="851" w:right="1134"/>
        <w:jc w:val="both"/>
        <w:rPr>
          <w:rFonts w:ascii="Abadi" w:hAnsi="Abadi"/>
          <w:b/>
          <w:bCs/>
          <w:i/>
          <w:iCs/>
          <w:sz w:val="21"/>
          <w:szCs w:val="21"/>
          <w:u w:val="single"/>
        </w:rPr>
      </w:pPr>
    </w:p>
    <w:p w14:paraId="069CBF67" w14:textId="77777777" w:rsidR="006F10E0" w:rsidRDefault="006F10E0" w:rsidP="006F10E0">
      <w:pPr>
        <w:jc w:val="both"/>
        <w:rPr>
          <w:rFonts w:ascii="Abadi" w:hAnsi="Abadi"/>
          <w:sz w:val="21"/>
          <w:szCs w:val="21"/>
        </w:rPr>
      </w:pPr>
      <w:r>
        <w:rPr>
          <w:rFonts w:ascii="Abadi" w:hAnsi="Abadi"/>
          <w:sz w:val="21"/>
          <w:szCs w:val="21"/>
        </w:rPr>
        <w:tab/>
        <w:t>- E</w:t>
      </w:r>
      <w:r w:rsidRPr="0030088F">
        <w:rPr>
          <w:rFonts w:ascii="Abadi" w:hAnsi="Abadi"/>
          <w:sz w:val="21"/>
          <w:szCs w:val="21"/>
        </w:rPr>
        <w:t xml:space="preserve">sta presidencia da la más cordial bienvenida al </w:t>
      </w:r>
      <w:r>
        <w:rPr>
          <w:rFonts w:ascii="Abadi" w:hAnsi="Abadi"/>
          <w:sz w:val="21"/>
          <w:szCs w:val="21"/>
        </w:rPr>
        <w:t>G</w:t>
      </w:r>
      <w:r w:rsidRPr="0030088F">
        <w:rPr>
          <w:rFonts w:ascii="Abadi" w:hAnsi="Abadi"/>
          <w:sz w:val="21"/>
          <w:szCs w:val="21"/>
        </w:rPr>
        <w:t xml:space="preserve">rupo de </w:t>
      </w:r>
      <w:r>
        <w:rPr>
          <w:rFonts w:ascii="Abadi" w:hAnsi="Abadi"/>
          <w:sz w:val="21"/>
          <w:szCs w:val="21"/>
        </w:rPr>
        <w:t>M</w:t>
      </w:r>
      <w:r w:rsidRPr="0030088F">
        <w:rPr>
          <w:rFonts w:ascii="Abadi" w:hAnsi="Abadi"/>
          <w:sz w:val="21"/>
          <w:szCs w:val="21"/>
        </w:rPr>
        <w:t xml:space="preserve">ujeres y </w:t>
      </w:r>
      <w:r>
        <w:rPr>
          <w:rFonts w:ascii="Abadi" w:hAnsi="Abadi"/>
          <w:sz w:val="21"/>
          <w:szCs w:val="21"/>
        </w:rPr>
        <w:t>L</w:t>
      </w:r>
      <w:r w:rsidRPr="0030088F">
        <w:rPr>
          <w:rFonts w:ascii="Abadi" w:hAnsi="Abadi"/>
          <w:sz w:val="21"/>
          <w:szCs w:val="21"/>
        </w:rPr>
        <w:t xml:space="preserve">íderes del </w:t>
      </w:r>
      <w:r>
        <w:rPr>
          <w:rFonts w:ascii="Abadi" w:hAnsi="Abadi"/>
          <w:sz w:val="21"/>
          <w:szCs w:val="21"/>
        </w:rPr>
        <w:t>D</w:t>
      </w:r>
      <w:r w:rsidRPr="0030088F">
        <w:rPr>
          <w:rFonts w:ascii="Abadi" w:hAnsi="Abadi"/>
          <w:sz w:val="21"/>
          <w:szCs w:val="21"/>
        </w:rPr>
        <w:t xml:space="preserve">istrito 18 invitadas por la diputada Briseida </w:t>
      </w:r>
      <w:r>
        <w:rPr>
          <w:rFonts w:ascii="Abadi" w:hAnsi="Abadi"/>
          <w:sz w:val="21"/>
          <w:szCs w:val="21"/>
        </w:rPr>
        <w:t>A</w:t>
      </w:r>
      <w:r w:rsidRPr="0030088F">
        <w:rPr>
          <w:rFonts w:ascii="Abadi" w:hAnsi="Abadi"/>
          <w:sz w:val="21"/>
          <w:szCs w:val="21"/>
        </w:rPr>
        <w:t xml:space="preserve">nabel Magdalena </w:t>
      </w:r>
      <w:r>
        <w:rPr>
          <w:rFonts w:ascii="Abadi" w:hAnsi="Abadi"/>
          <w:sz w:val="21"/>
          <w:szCs w:val="21"/>
        </w:rPr>
        <w:t>G</w:t>
      </w:r>
      <w:r w:rsidRPr="0030088F">
        <w:rPr>
          <w:rFonts w:ascii="Abadi" w:hAnsi="Abadi"/>
          <w:sz w:val="21"/>
          <w:szCs w:val="21"/>
        </w:rPr>
        <w:t>onzález</w:t>
      </w:r>
      <w:r>
        <w:rPr>
          <w:rFonts w:ascii="Abadi" w:hAnsi="Abadi"/>
          <w:sz w:val="21"/>
          <w:szCs w:val="21"/>
        </w:rPr>
        <w:t>, b</w:t>
      </w:r>
      <w:r w:rsidRPr="0030088F">
        <w:rPr>
          <w:rFonts w:ascii="Abadi" w:hAnsi="Abadi"/>
          <w:sz w:val="21"/>
          <w:szCs w:val="21"/>
        </w:rPr>
        <w:t>ienvenidos</w:t>
      </w:r>
      <w:r>
        <w:rPr>
          <w:rFonts w:ascii="Abadi" w:hAnsi="Abadi"/>
          <w:sz w:val="21"/>
          <w:szCs w:val="21"/>
        </w:rPr>
        <w:t>.</w:t>
      </w:r>
    </w:p>
    <w:p w14:paraId="6A91C79A" w14:textId="77777777" w:rsidR="00945D67" w:rsidRDefault="00945D67" w:rsidP="006F10E0">
      <w:pPr>
        <w:jc w:val="both"/>
        <w:rPr>
          <w:rFonts w:ascii="Abadi" w:hAnsi="Abadi"/>
          <w:sz w:val="21"/>
          <w:szCs w:val="21"/>
        </w:rPr>
      </w:pPr>
    </w:p>
    <w:p w14:paraId="2DFC1FED" w14:textId="77777777" w:rsidR="006F10E0" w:rsidRDefault="006F10E0" w:rsidP="00427BD6">
      <w:pPr>
        <w:jc w:val="both"/>
        <w:rPr>
          <w:rFonts w:ascii="Abadi" w:eastAsia="Arial Unicode MS" w:hAnsi="Abadi"/>
          <w:b/>
          <w:bCs/>
          <w:sz w:val="21"/>
          <w:szCs w:val="21"/>
        </w:rPr>
      </w:pPr>
    </w:p>
    <w:p w14:paraId="0CE1A4D5" w14:textId="697883A3"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A23DA0">
        <w:rPr>
          <w:rFonts w:ascii="Abadi" w:hAnsi="Abadi" w:cs="ArialMT"/>
          <w:b/>
          <w:bCs/>
          <w:sz w:val="21"/>
          <w:szCs w:val="21"/>
        </w:rPr>
        <w:t xml:space="preserve">DISCUSIÓN Y, EN SU CASO, APROBACIÓN DEL DICTAMEN SUSCRITO POR LA COMISIÓN DE JUSTICIA RELATIVO A LA INICIATIVA A EFECTO DE REFORMAR EL ARTÍCULO 2197 Y ADICIONAR LOS ARTÍCULOS 2195-A, 2195-B, 2195-C, 2195-D, 2195-E Y 2212–A, AL CÓDIGO CIVIL PARA EL ESTADO DE GUANAJUATO PRESENTADA POR DIPUTADAS Y DIPUTADOS INTEGRANTES DEL GRUPO PARLAMENTARIO DEL PARTIDO ACCIÓN NACIONAL. </w:t>
      </w:r>
      <w:r w:rsidRPr="00A23DA0">
        <w:rPr>
          <w:rFonts w:ascii="Abadi" w:hAnsi="Abadi" w:cs="Arial-ItalicMT"/>
          <w:b/>
          <w:bCs/>
          <w:i/>
          <w:iCs/>
          <w:sz w:val="21"/>
          <w:szCs w:val="21"/>
        </w:rPr>
        <w:t>(ELD 329/LXV-I)</w:t>
      </w:r>
      <w:r w:rsidR="00805A4C">
        <w:rPr>
          <w:rStyle w:val="Refdenotaalpie"/>
          <w:rFonts w:ascii="Abadi" w:hAnsi="Abadi" w:cs="Arial-ItalicMT"/>
          <w:b/>
          <w:bCs/>
          <w:i/>
          <w:iCs/>
          <w:sz w:val="21"/>
          <w:szCs w:val="21"/>
        </w:rPr>
        <w:footnoteReference w:id="189"/>
      </w:r>
    </w:p>
    <w:p w14:paraId="54626CD3" w14:textId="77777777" w:rsidR="009757CB" w:rsidRDefault="009757CB" w:rsidP="009757CB">
      <w:pPr>
        <w:autoSpaceDE w:val="0"/>
        <w:autoSpaceDN w:val="0"/>
        <w:adjustRightInd w:val="0"/>
        <w:contextualSpacing/>
        <w:jc w:val="both"/>
        <w:rPr>
          <w:rFonts w:ascii="Abadi" w:hAnsi="Abadi" w:cs="Arial-ItalicMT"/>
          <w:b/>
          <w:bCs/>
          <w:i/>
          <w:iCs/>
          <w:sz w:val="21"/>
          <w:szCs w:val="21"/>
        </w:rPr>
      </w:pPr>
    </w:p>
    <w:p w14:paraId="44B64F28" w14:textId="77777777" w:rsidR="007D28B0" w:rsidRDefault="007D28B0" w:rsidP="009757CB">
      <w:pPr>
        <w:autoSpaceDE w:val="0"/>
        <w:autoSpaceDN w:val="0"/>
        <w:adjustRightInd w:val="0"/>
        <w:contextualSpacing/>
        <w:jc w:val="both"/>
        <w:rPr>
          <w:rFonts w:ascii="Abadi" w:hAnsi="Abadi" w:cs="Arial-ItalicMT"/>
          <w:b/>
          <w:bCs/>
          <w:i/>
          <w:iCs/>
          <w:sz w:val="21"/>
          <w:szCs w:val="21"/>
        </w:rPr>
      </w:pPr>
    </w:p>
    <w:p w14:paraId="58F70B35" w14:textId="77777777" w:rsidR="007D28B0" w:rsidRPr="000E5AD4" w:rsidRDefault="007D28B0" w:rsidP="007D28B0">
      <w:pPr>
        <w:jc w:val="both"/>
        <w:rPr>
          <w:rFonts w:ascii="Abadi" w:hAnsi="Abadi"/>
          <w:b/>
          <w:i/>
          <w:iCs/>
          <w:sz w:val="21"/>
          <w:szCs w:val="21"/>
        </w:rPr>
      </w:pPr>
      <w:r w:rsidRPr="000E5AD4">
        <w:rPr>
          <w:rFonts w:ascii="Abadi" w:hAnsi="Abadi"/>
          <w:b/>
          <w:iCs/>
          <w:sz w:val="21"/>
          <w:szCs w:val="21"/>
        </w:rPr>
        <w:t xml:space="preserve">DICTAMEN QUE PRESENTA LA COMISIÓN DE JUSTICIA RELATIVO A LA INICIATIVA </w:t>
      </w:r>
      <w:bookmarkStart w:id="5" w:name="_Hlk103357440"/>
      <w:r w:rsidRPr="000E5AD4">
        <w:rPr>
          <w:rFonts w:ascii="Abadi" w:hAnsi="Abadi"/>
          <w:b/>
          <w:iCs/>
          <w:sz w:val="21"/>
          <w:szCs w:val="21"/>
        </w:rPr>
        <w:t xml:space="preserve">A EFECTO DE REFORMAR EL ARTÍCULO 2197 Y ADICIONAR LOS ARTÍCULOS 2195-A, 2195-B, 2195-C, 2195-D, 2195-E Y 2212–A, AL CÓDIGO CIVIL PARA EL ESTADO DE GUANAJUATO PRESENTADA POR </w:t>
      </w:r>
      <w:bookmarkStart w:id="6" w:name="_Hlk132714866"/>
      <w:r w:rsidRPr="000E5AD4">
        <w:rPr>
          <w:rFonts w:ascii="Abadi" w:hAnsi="Abadi"/>
          <w:b/>
          <w:iCs/>
          <w:sz w:val="21"/>
          <w:szCs w:val="21"/>
        </w:rPr>
        <w:t>DIPUTADAS Y DIPUTADOS INTEGRANTES DEL GRUPO PARLAMENTARIO DEL PARTIDO ACCIÓN NACIONAL.</w:t>
      </w:r>
      <w:bookmarkEnd w:id="6"/>
      <w:r w:rsidRPr="000E5AD4">
        <w:rPr>
          <w:rFonts w:ascii="Abadi" w:hAnsi="Abadi"/>
          <w:b/>
          <w:iCs/>
          <w:sz w:val="21"/>
          <w:szCs w:val="21"/>
        </w:rPr>
        <w:t xml:space="preserve"> </w:t>
      </w:r>
      <w:bookmarkEnd w:id="5"/>
      <w:r w:rsidRPr="000E5AD4">
        <w:rPr>
          <w:rFonts w:ascii="Abadi" w:hAnsi="Abadi"/>
          <w:b/>
          <w:iCs/>
          <w:sz w:val="21"/>
          <w:szCs w:val="21"/>
        </w:rPr>
        <w:t>(ELD 329/LXV-I)</w:t>
      </w:r>
    </w:p>
    <w:p w14:paraId="1875D735"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A la Comisión de Justicia le fue turnada, para su estudio y dictamen, la iniciativa a efecto de reformar el artículo 2197 y adicionar los artículos 2195-A, 2195-B, 2195-C, 2195-D, 2195-E y 2212–A, al Código Civil para el Estado de Guanajuato, presentada por diputadas y diputados integrantes del Grupo Parlamentario del Partido Acción Nacional.</w:t>
      </w:r>
    </w:p>
    <w:p w14:paraId="7BCDD5C1"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Con fundamento en lo dispuesto por los artículos 113 fracción II y 171 de la Ley Orgánica del Poder Legislativo del Estado de Guanajuato, se formula dictamen en atención a las siguientes:</w:t>
      </w:r>
    </w:p>
    <w:p w14:paraId="228E5496" w14:textId="77777777" w:rsidR="007D28B0" w:rsidRPr="000E5AD4" w:rsidRDefault="007D28B0" w:rsidP="007D28B0">
      <w:pPr>
        <w:widowControl w:val="0"/>
        <w:autoSpaceDE w:val="0"/>
        <w:autoSpaceDN w:val="0"/>
        <w:adjustRightInd w:val="0"/>
        <w:spacing w:before="100" w:beforeAutospacing="1"/>
        <w:ind w:firstLine="708"/>
        <w:jc w:val="center"/>
        <w:rPr>
          <w:rFonts w:ascii="Abadi" w:hAnsi="Abadi" w:cs="Arial"/>
          <w:b/>
          <w:i/>
          <w:iCs/>
          <w:sz w:val="21"/>
          <w:szCs w:val="21"/>
        </w:rPr>
      </w:pPr>
      <w:r w:rsidRPr="000E5AD4">
        <w:rPr>
          <w:rFonts w:ascii="Abadi" w:hAnsi="Abadi" w:cs="Arial"/>
          <w:b/>
          <w:iCs/>
          <w:sz w:val="21"/>
          <w:szCs w:val="21"/>
        </w:rPr>
        <w:t>CONSIDERACIONES</w:t>
      </w:r>
    </w:p>
    <w:p w14:paraId="494FC18E" w14:textId="77777777" w:rsidR="007D28B0" w:rsidRPr="000E5AD4" w:rsidRDefault="007D28B0" w:rsidP="007D28B0">
      <w:pPr>
        <w:widowControl w:val="0"/>
        <w:autoSpaceDE w:val="0"/>
        <w:autoSpaceDN w:val="0"/>
        <w:adjustRightInd w:val="0"/>
        <w:spacing w:before="100" w:beforeAutospacing="1"/>
        <w:jc w:val="both"/>
        <w:rPr>
          <w:rFonts w:ascii="Abadi" w:hAnsi="Abadi" w:cs="Arial"/>
          <w:b/>
          <w:i/>
          <w:iCs/>
          <w:sz w:val="21"/>
          <w:szCs w:val="21"/>
        </w:rPr>
      </w:pPr>
      <w:r w:rsidRPr="000E5AD4">
        <w:rPr>
          <w:rFonts w:ascii="Abadi" w:hAnsi="Abadi" w:cs="Arial"/>
          <w:b/>
          <w:iCs/>
          <w:sz w:val="21"/>
          <w:szCs w:val="21"/>
        </w:rPr>
        <w:t>I.</w:t>
      </w:r>
      <w:r w:rsidRPr="000E5AD4">
        <w:rPr>
          <w:rFonts w:ascii="Abadi" w:hAnsi="Abadi" w:cs="Arial"/>
          <w:b/>
          <w:iCs/>
          <w:sz w:val="21"/>
          <w:szCs w:val="21"/>
        </w:rPr>
        <w:tab/>
        <w:t>Presentación de la iniciativa.</w:t>
      </w:r>
    </w:p>
    <w:p w14:paraId="13C12DDE" w14:textId="77777777" w:rsidR="007D28B0" w:rsidRPr="000E5AD4" w:rsidRDefault="007D28B0" w:rsidP="007D28B0">
      <w:pPr>
        <w:widowControl w:val="0"/>
        <w:autoSpaceDE w:val="0"/>
        <w:autoSpaceDN w:val="0"/>
        <w:adjustRightInd w:val="0"/>
        <w:spacing w:before="100" w:beforeAutospacing="1"/>
        <w:jc w:val="both"/>
        <w:rPr>
          <w:rFonts w:ascii="Abadi" w:hAnsi="Abadi" w:cs="Arial"/>
          <w:b/>
          <w:i/>
          <w:iCs/>
          <w:sz w:val="21"/>
          <w:szCs w:val="21"/>
        </w:rPr>
      </w:pPr>
      <w:r w:rsidRPr="000E5AD4">
        <w:rPr>
          <w:rFonts w:ascii="Abadi" w:hAnsi="Abadi" w:cs="Arial"/>
          <w:b/>
          <w:iCs/>
          <w:sz w:val="21"/>
          <w:szCs w:val="21"/>
        </w:rPr>
        <w:t>I.1.</w:t>
      </w:r>
      <w:r w:rsidRPr="000E5AD4">
        <w:rPr>
          <w:rFonts w:ascii="Abadi" w:hAnsi="Abadi" w:cs="Arial"/>
          <w:b/>
          <w:iCs/>
          <w:sz w:val="21"/>
          <w:szCs w:val="21"/>
        </w:rPr>
        <w:tab/>
        <w:t xml:space="preserve">Facultad para la presentación de </w:t>
      </w:r>
      <w:r w:rsidRPr="000E5AD4">
        <w:rPr>
          <w:rFonts w:ascii="Abadi" w:hAnsi="Abadi" w:cs="Arial"/>
          <w:b/>
          <w:iCs/>
          <w:sz w:val="21"/>
          <w:szCs w:val="21"/>
        </w:rPr>
        <w:lastRenderedPageBreak/>
        <w:t>iniciativas.</w:t>
      </w:r>
    </w:p>
    <w:p w14:paraId="750969D9"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 xml:space="preserve">Las diputadas y diputados iniciantes </w:t>
      </w:r>
      <w:bookmarkStart w:id="7" w:name="_Hlk94008944"/>
      <w:r w:rsidRPr="000E5AD4">
        <w:rPr>
          <w:rFonts w:ascii="Abadi" w:hAnsi="Abadi" w:cs="Arial"/>
          <w:iCs/>
          <w:sz w:val="21"/>
          <w:szCs w:val="21"/>
        </w:rPr>
        <w:t>en ejercicio de la facultad establecida en los artículos 56 fracción II de la Constitución Política para el Estado de Guanajuato y 167 fracción II de la Ley Orgánica del Poder Legislativo del Estado de Guanajuato, presentó ante la Secretaría General de este Congreso del Estado, la iniciativa que se describe en el preámbulo del presente dictamen.</w:t>
      </w:r>
    </w:p>
    <w:p w14:paraId="052E9FA0" w14:textId="77777777" w:rsidR="007D28B0" w:rsidRPr="000E5AD4" w:rsidRDefault="007D28B0" w:rsidP="007D28B0">
      <w:pPr>
        <w:widowControl w:val="0"/>
        <w:autoSpaceDE w:val="0"/>
        <w:autoSpaceDN w:val="0"/>
        <w:adjustRightInd w:val="0"/>
        <w:spacing w:before="100" w:beforeAutospacing="1"/>
        <w:jc w:val="both"/>
        <w:rPr>
          <w:rFonts w:ascii="Abadi" w:hAnsi="Abadi" w:cs="Arial"/>
          <w:b/>
          <w:i/>
          <w:iCs/>
          <w:sz w:val="21"/>
          <w:szCs w:val="21"/>
        </w:rPr>
      </w:pPr>
      <w:r w:rsidRPr="000E5AD4">
        <w:rPr>
          <w:rFonts w:ascii="Abadi" w:hAnsi="Abadi" w:cs="Arial"/>
          <w:b/>
          <w:iCs/>
          <w:sz w:val="21"/>
          <w:szCs w:val="21"/>
        </w:rPr>
        <w:t>I.2.</w:t>
      </w:r>
      <w:r w:rsidRPr="000E5AD4">
        <w:rPr>
          <w:rFonts w:ascii="Abadi" w:hAnsi="Abadi" w:cs="Arial"/>
          <w:b/>
          <w:iCs/>
          <w:sz w:val="21"/>
          <w:szCs w:val="21"/>
        </w:rPr>
        <w:tab/>
        <w:t>Objeto de la iniciativa.</w:t>
      </w:r>
    </w:p>
    <w:p w14:paraId="68AE5EEA"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i/>
          <w:iCs/>
          <w:sz w:val="21"/>
          <w:szCs w:val="21"/>
        </w:rPr>
      </w:pPr>
      <w:r w:rsidRPr="000E5AD4">
        <w:rPr>
          <w:rFonts w:ascii="Abadi" w:hAnsi="Abadi"/>
          <w:iCs/>
          <w:sz w:val="21"/>
          <w:szCs w:val="21"/>
        </w:rPr>
        <w:t>La iniciativa tiene por objeto regular que las asambleas generales de las asociaciones y sociedades civiles puedan sesionar en modalidad de videoconferencia e híbrida.</w:t>
      </w:r>
    </w:p>
    <w:p w14:paraId="047C3424"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i/>
          <w:iCs/>
          <w:sz w:val="21"/>
          <w:szCs w:val="21"/>
        </w:rPr>
      </w:pPr>
      <w:r w:rsidRPr="000E5AD4">
        <w:rPr>
          <w:rFonts w:ascii="Abadi" w:hAnsi="Abadi"/>
          <w:iCs/>
          <w:sz w:val="21"/>
          <w:szCs w:val="21"/>
        </w:rPr>
        <w:t>A efecto de contextualizar la propuesta de los iniciantes transcribimos enseguida su exposición de motivos:</w:t>
      </w:r>
    </w:p>
    <w:bookmarkEnd w:id="7"/>
    <w:p w14:paraId="2BE90998"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A partir de la aplicación de las medidas sanitarias, sumadas al temor por el contagio derivadas de la pandemia por la Covid-19, comenzaron a acumularse las evidencias anecdóticas que daban cuenta de la importancia de las tecnologías digitales para contrarrestar el aislamiento y facilitar el funcionamiento de los sistemas económicos y sociales.</w:t>
      </w:r>
    </w:p>
    <w:p w14:paraId="2621CEC2"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7A05A757"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Es así que, ante las condiciones actuales derivadas de la pandemia, surgieron diversas inquietudes con respecto a la forma de afrontar actividades que normalmente se han realizado de forma grupal y presencial. Uno de esos temas se relaciona de manera directa con la vida activa de las asociaciones y sociedades</w:t>
      </w:r>
    </w:p>
    <w:p w14:paraId="45F19DA8"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civiles y, particularmente, con respecto a la realización de las asambleas, las cuales resultan ser actividades fundamentales para la toma de decisiones respecto las relaciones internas y externas de las personas morales.</w:t>
      </w:r>
    </w:p>
    <w:p w14:paraId="613A02FB"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099145EE"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En virtud de lo anterior, conforme ha avanzado la Covid-19, las autoridades federales, estatales y locales del país han continuado emitiendo decretos, órdenes y disposiciones que regulan la nueva realidad, por ello resulta necesario preguntarse si una asamblea realizada por medios electrónicos puede ser considerada válida.</w:t>
      </w:r>
    </w:p>
    <w:p w14:paraId="253480C6"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6A3CE014"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En ese sentido, hay que tomar en consideración que resulta innegable la existencia de factores externos que afectan de manera irreversible el desarrollo de las actividades, no solo por lo que se refiere a la duración real del proceso, sino, sobre todo, en cuanto a su eficacia. Por lo que, se ha tenido que innovar en la forma en la que se llevan a cabo muchas actividades, las cuales son necesarias para el buen funcionamiento de las entidades tanto del sector público como del sector privado.</w:t>
      </w:r>
    </w:p>
    <w:p w14:paraId="3C6D494A"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47A1768C"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Destacan dentro de las innovaciones durante este periodo epidemiológico el uso de videoconferencias para convocar y desahogar todo tipo de sesiones, reuniones y asambleas, las cuales se han visto efectivas para evitar el contacto directo, respetar la sana distancia y cuidar de esta forma la integridad y la salud de las y los ciudadanos.</w:t>
      </w:r>
    </w:p>
    <w:p w14:paraId="184DAA76"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76911CEC"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En concordancia con lo anterior, por ejemplo, se reformó la Ley Orgánica del Poder Ejecutivo del Estado de Guanajuato, Ley Orgánica del Poder Legislativo del Estado de Guanajuato, la Ley Orgánica del Poder Judicial del Estado de Guanajuato, la Ley Orgánica Municipal del Estado de Guanajuato, y la Ley de Justicia Alternativa del Estado de Guanajuato, entre otras, para efectos de poder permitir que las sesiones se realicen a distancia, mediante el uso de herramientas tecnológicas.</w:t>
      </w:r>
    </w:p>
    <w:p w14:paraId="380F8272"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460C1ADE"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 xml:space="preserve">Asimismo, el 04 de agosto de 2021 se publicó una reforma al Código Civil </w:t>
      </w:r>
      <w:r w:rsidRPr="000E5AD4">
        <w:rPr>
          <w:rFonts w:ascii="Abadi" w:hAnsi="Abadi" w:cs="ArialMT"/>
          <w:iCs/>
          <w:sz w:val="21"/>
          <w:szCs w:val="21"/>
        </w:rPr>
        <w:lastRenderedPageBreak/>
        <w:t>del Distrito Federal</w:t>
      </w:r>
      <w:r w:rsidRPr="000E5AD4">
        <w:rPr>
          <w:rStyle w:val="Refdenotaalpie"/>
          <w:rFonts w:ascii="Abadi" w:hAnsi="Abadi" w:cs="ArialMT"/>
          <w:iCs/>
          <w:sz w:val="21"/>
          <w:szCs w:val="21"/>
        </w:rPr>
        <w:footnoteReference w:id="190"/>
      </w:r>
      <w:r w:rsidRPr="000E5AD4">
        <w:rPr>
          <w:rFonts w:ascii="Abadi" w:hAnsi="Abadi" w:cs="ArialMT"/>
          <w:iCs/>
          <w:sz w:val="21"/>
          <w:szCs w:val="21"/>
        </w:rPr>
        <w:t>, que prevé que las asambleas generales de las asociaciones civiles y de las sociedades civiles se podrán celebrar mediante videoconferencia, cumpliendo los siguientes requisitos:</w:t>
      </w:r>
    </w:p>
    <w:p w14:paraId="596F8D1D"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278582E7" w14:textId="77777777" w:rsidR="007D28B0" w:rsidRPr="000E5AD4" w:rsidRDefault="007D28B0" w:rsidP="007D28B0">
      <w:pPr>
        <w:autoSpaceDE w:val="0"/>
        <w:autoSpaceDN w:val="0"/>
        <w:adjustRightInd w:val="0"/>
        <w:ind w:left="708" w:firstLine="708"/>
        <w:jc w:val="both"/>
        <w:rPr>
          <w:rFonts w:ascii="Abadi" w:hAnsi="Abadi" w:cs="ArialMT"/>
          <w:i/>
          <w:iCs/>
          <w:sz w:val="21"/>
          <w:szCs w:val="21"/>
        </w:rPr>
      </w:pPr>
      <w:r w:rsidRPr="000E5AD4">
        <w:rPr>
          <w:rFonts w:ascii="Abadi" w:hAnsi="Abadi" w:cs="SymbolMT"/>
          <w:iCs/>
          <w:sz w:val="21"/>
          <w:szCs w:val="21"/>
        </w:rPr>
        <w:t xml:space="preserve">• </w:t>
      </w:r>
      <w:r w:rsidRPr="000E5AD4">
        <w:rPr>
          <w:rFonts w:ascii="Abadi" w:hAnsi="Abadi" w:cs="ArialMT"/>
          <w:iCs/>
          <w:sz w:val="21"/>
          <w:szCs w:val="21"/>
        </w:rPr>
        <w:t>Que permita la comunicación en tiempo real.</w:t>
      </w:r>
    </w:p>
    <w:p w14:paraId="47FBAAF0" w14:textId="77777777" w:rsidR="007D28B0" w:rsidRPr="000E5AD4" w:rsidRDefault="007D28B0" w:rsidP="007D28B0">
      <w:pPr>
        <w:autoSpaceDE w:val="0"/>
        <w:autoSpaceDN w:val="0"/>
        <w:adjustRightInd w:val="0"/>
        <w:ind w:left="1416"/>
        <w:jc w:val="both"/>
        <w:rPr>
          <w:rFonts w:ascii="Abadi" w:hAnsi="Abadi" w:cs="ArialMT"/>
          <w:i/>
          <w:iCs/>
          <w:sz w:val="21"/>
          <w:szCs w:val="21"/>
        </w:rPr>
      </w:pPr>
      <w:r w:rsidRPr="000E5AD4">
        <w:rPr>
          <w:rFonts w:ascii="Abadi" w:hAnsi="Abadi" w:cs="SymbolMT"/>
          <w:iCs/>
          <w:sz w:val="21"/>
          <w:szCs w:val="21"/>
        </w:rPr>
        <w:t xml:space="preserve">• </w:t>
      </w:r>
      <w:r w:rsidRPr="000E5AD4">
        <w:rPr>
          <w:rFonts w:ascii="Abadi" w:hAnsi="Abadi" w:cs="ArialMT"/>
          <w:iCs/>
          <w:sz w:val="21"/>
          <w:szCs w:val="21"/>
        </w:rPr>
        <w:t>La convocatoria señale el medio electrónico por el cual se celebrará, indicando la dirección electrónica, número de reunión y contraseña.</w:t>
      </w:r>
    </w:p>
    <w:p w14:paraId="1CD99CEB" w14:textId="77777777" w:rsidR="007D28B0" w:rsidRPr="000E5AD4" w:rsidRDefault="007D28B0" w:rsidP="007D28B0">
      <w:pPr>
        <w:autoSpaceDE w:val="0"/>
        <w:autoSpaceDN w:val="0"/>
        <w:adjustRightInd w:val="0"/>
        <w:ind w:left="1416"/>
        <w:jc w:val="both"/>
        <w:rPr>
          <w:rFonts w:ascii="Abadi" w:hAnsi="Abadi" w:cs="ArialMT"/>
          <w:i/>
          <w:iCs/>
          <w:sz w:val="21"/>
          <w:szCs w:val="21"/>
        </w:rPr>
      </w:pPr>
      <w:r w:rsidRPr="000E5AD4">
        <w:rPr>
          <w:rFonts w:ascii="Abadi" w:hAnsi="Abadi" w:cs="SymbolMT"/>
          <w:iCs/>
          <w:sz w:val="21"/>
          <w:szCs w:val="21"/>
        </w:rPr>
        <w:t xml:space="preserve">• </w:t>
      </w:r>
      <w:r w:rsidRPr="000E5AD4">
        <w:rPr>
          <w:rFonts w:ascii="Abadi" w:hAnsi="Abadi" w:cs="ArialMT"/>
          <w:iCs/>
          <w:sz w:val="21"/>
          <w:szCs w:val="21"/>
        </w:rPr>
        <w:t>Deberá grabarse y conservarse por el administrador u órgano de administración y una copia de la grabación se agregará al acta respectiva.</w:t>
      </w:r>
    </w:p>
    <w:p w14:paraId="6365B424" w14:textId="77777777" w:rsidR="007D28B0" w:rsidRPr="000E5AD4" w:rsidRDefault="007D28B0" w:rsidP="007D28B0">
      <w:pPr>
        <w:autoSpaceDE w:val="0"/>
        <w:autoSpaceDN w:val="0"/>
        <w:adjustRightInd w:val="0"/>
        <w:ind w:left="1416"/>
        <w:jc w:val="both"/>
        <w:rPr>
          <w:rFonts w:ascii="Abadi" w:hAnsi="Abadi" w:cs="ArialMT"/>
          <w:i/>
          <w:iCs/>
          <w:sz w:val="21"/>
          <w:szCs w:val="21"/>
        </w:rPr>
      </w:pPr>
      <w:r w:rsidRPr="000E5AD4">
        <w:rPr>
          <w:rFonts w:ascii="Abadi" w:hAnsi="Abadi" w:cs="SymbolMT"/>
          <w:iCs/>
          <w:sz w:val="21"/>
          <w:szCs w:val="21"/>
        </w:rPr>
        <w:t xml:space="preserve">• </w:t>
      </w:r>
      <w:r w:rsidRPr="000E5AD4">
        <w:rPr>
          <w:rFonts w:ascii="Abadi" w:hAnsi="Abadi" w:cs="ArialMT"/>
          <w:iCs/>
          <w:sz w:val="21"/>
          <w:szCs w:val="21"/>
        </w:rPr>
        <w:t>Podrá levantarse por escrito o en documento electrónico y será firmada por el Presidente y Secretario de manera autógrafa o con su Firma Electrónica Avanzada.</w:t>
      </w:r>
    </w:p>
    <w:p w14:paraId="4FBCC1F0" w14:textId="77777777" w:rsidR="007D28B0" w:rsidRPr="000E5AD4" w:rsidRDefault="007D28B0" w:rsidP="007D28B0">
      <w:pPr>
        <w:autoSpaceDE w:val="0"/>
        <w:autoSpaceDN w:val="0"/>
        <w:adjustRightInd w:val="0"/>
        <w:ind w:left="1416"/>
        <w:jc w:val="both"/>
        <w:rPr>
          <w:rFonts w:ascii="Abadi" w:hAnsi="Abadi" w:cs="ArialMT"/>
          <w:i/>
          <w:iCs/>
          <w:sz w:val="21"/>
          <w:szCs w:val="21"/>
        </w:rPr>
      </w:pPr>
      <w:r w:rsidRPr="000E5AD4">
        <w:rPr>
          <w:rFonts w:ascii="Abadi" w:hAnsi="Abadi" w:cs="SymbolMT"/>
          <w:iCs/>
          <w:sz w:val="21"/>
          <w:szCs w:val="21"/>
        </w:rPr>
        <w:t xml:space="preserve">• </w:t>
      </w:r>
      <w:r w:rsidRPr="000E5AD4">
        <w:rPr>
          <w:rFonts w:ascii="Abadi" w:hAnsi="Abadi" w:cs="ArialMT"/>
          <w:iCs/>
          <w:sz w:val="21"/>
          <w:szCs w:val="21"/>
        </w:rPr>
        <w:t>También se podrán tomar resoluciones fuera de asamblea, las cuales serán válidas siempre y cuando sean por unanimidad y se confirmen por escrito.</w:t>
      </w:r>
    </w:p>
    <w:p w14:paraId="1768ED81"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2F6C351F"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 xml:space="preserve">Por su parte, la Suprema Corte de Justicia de la Nación emitió la siguiente Tesis, bajo el rubro: SUJETOS PROCESALES EN SITUACIÓN DE VULNERABILIDAD FRENTE A LA PANDEMIA POR EL VIRUS SARS-CoV2 (COVID-19). PUEDE DISPENSARSE SU PRESENCIA FÍSICA EN CIERTAS DILIGENCIAS JUDICIALES, POR LO QUE LOS ÓRGANOS JURISDICCIONALES, EN CADA CASO, DEBEN PONDERAR EL USO DE LOS MEDIOS TECNOLÓGICOS PARA AUTORIZAR QUE AQUELLAS QUE LO REQUIERAN, SE REALICEN POR MEDIO DEL SISTEMA DE VIDEOCONFERENCIA, A TRAVÉS DE LAS DIVERSAS PLATAFORMAS </w:t>
      </w:r>
      <w:r w:rsidRPr="000E5AD4">
        <w:rPr>
          <w:rFonts w:ascii="Abadi" w:hAnsi="Abadi" w:cs="ArialMT"/>
          <w:iCs/>
          <w:sz w:val="21"/>
          <w:szCs w:val="21"/>
        </w:rPr>
        <w:t>ELECTRÓNICAS, COMO APOYO EN EL DESARROLLO DE LOS PROCESOS JURISDICCIONALES</w:t>
      </w:r>
      <w:r w:rsidRPr="000E5AD4">
        <w:rPr>
          <w:rStyle w:val="Refdenotaalpie"/>
          <w:rFonts w:ascii="Abadi" w:hAnsi="Abadi" w:cs="ArialMT"/>
          <w:iCs/>
          <w:sz w:val="21"/>
          <w:szCs w:val="21"/>
        </w:rPr>
        <w:footnoteReference w:id="191"/>
      </w:r>
      <w:r w:rsidRPr="000E5AD4">
        <w:rPr>
          <w:rFonts w:ascii="Abadi" w:hAnsi="Abadi" w:cs="ArialMT"/>
          <w:iCs/>
          <w:sz w:val="21"/>
          <w:szCs w:val="21"/>
        </w:rPr>
        <w:t>:</w:t>
      </w:r>
    </w:p>
    <w:p w14:paraId="653EB622"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31DE2852" w14:textId="77777777" w:rsidR="007D28B0" w:rsidRPr="000E5AD4" w:rsidRDefault="007D28B0" w:rsidP="007D28B0">
      <w:pPr>
        <w:autoSpaceDE w:val="0"/>
        <w:autoSpaceDN w:val="0"/>
        <w:adjustRightInd w:val="0"/>
        <w:ind w:left="1416"/>
        <w:jc w:val="both"/>
        <w:rPr>
          <w:rFonts w:ascii="Abadi" w:hAnsi="Abadi" w:cs="Arial-ItalicMT"/>
          <w:sz w:val="21"/>
          <w:szCs w:val="21"/>
        </w:rPr>
      </w:pPr>
      <w:r w:rsidRPr="000E5AD4">
        <w:rPr>
          <w:rFonts w:ascii="Abadi" w:hAnsi="Abadi" w:cs="Arial-ItalicMT"/>
          <w:sz w:val="21"/>
          <w:szCs w:val="21"/>
        </w:rPr>
        <w:t>En el sistema jurídico nacional existen diversas expresiones del legislador</w:t>
      </w:r>
    </w:p>
    <w:p w14:paraId="32BD8FD5" w14:textId="77777777" w:rsidR="007D28B0" w:rsidRPr="000E5AD4" w:rsidRDefault="007D28B0" w:rsidP="007D28B0">
      <w:pPr>
        <w:autoSpaceDE w:val="0"/>
        <w:autoSpaceDN w:val="0"/>
        <w:adjustRightInd w:val="0"/>
        <w:ind w:left="1416"/>
        <w:jc w:val="both"/>
        <w:rPr>
          <w:rFonts w:ascii="Abadi" w:hAnsi="Abadi" w:cs="Arial-ItalicMT"/>
          <w:sz w:val="21"/>
          <w:szCs w:val="21"/>
        </w:rPr>
      </w:pPr>
      <w:r w:rsidRPr="000E5AD4">
        <w:rPr>
          <w:rFonts w:ascii="Abadi" w:hAnsi="Abadi" w:cs="Arial-ItalicMT"/>
          <w:sz w:val="21"/>
          <w:szCs w:val="21"/>
        </w:rPr>
        <w:t>que revelan con nitidez su intención de que en los procesos las autoridades</w:t>
      </w:r>
    </w:p>
    <w:p w14:paraId="2D43A124" w14:textId="77777777" w:rsidR="007D28B0" w:rsidRPr="000E5AD4" w:rsidRDefault="007D28B0" w:rsidP="007D28B0">
      <w:pPr>
        <w:autoSpaceDE w:val="0"/>
        <w:autoSpaceDN w:val="0"/>
        <w:adjustRightInd w:val="0"/>
        <w:ind w:left="1416"/>
        <w:jc w:val="both"/>
        <w:rPr>
          <w:rFonts w:ascii="Abadi" w:hAnsi="Abadi" w:cs="Arial-ItalicMT"/>
          <w:sz w:val="21"/>
          <w:szCs w:val="21"/>
        </w:rPr>
      </w:pPr>
      <w:r w:rsidRPr="000E5AD4">
        <w:rPr>
          <w:rFonts w:ascii="Abadi" w:hAnsi="Abadi" w:cs="Arial-ItalicMT"/>
          <w:sz w:val="21"/>
          <w:szCs w:val="21"/>
        </w:rPr>
        <w:t>que los dirijan y las partes involucradas, pueden aprovechar, acorde a sus</w:t>
      </w:r>
    </w:p>
    <w:p w14:paraId="1689B5DA" w14:textId="77777777" w:rsidR="007D28B0" w:rsidRPr="000E5AD4" w:rsidRDefault="007D28B0" w:rsidP="007D28B0">
      <w:pPr>
        <w:autoSpaceDE w:val="0"/>
        <w:autoSpaceDN w:val="0"/>
        <w:adjustRightInd w:val="0"/>
        <w:ind w:left="1416"/>
        <w:jc w:val="both"/>
        <w:rPr>
          <w:rFonts w:ascii="Abadi" w:hAnsi="Abadi" w:cs="Arial-ItalicMT"/>
          <w:sz w:val="21"/>
          <w:szCs w:val="21"/>
        </w:rPr>
      </w:pPr>
      <w:r w:rsidRPr="000E5AD4">
        <w:rPr>
          <w:rFonts w:ascii="Abadi" w:hAnsi="Abadi" w:cs="Arial-ItalicMT"/>
          <w:sz w:val="21"/>
          <w:szCs w:val="21"/>
        </w:rPr>
        <w:t xml:space="preserve">pretensiones, los avances o recursos tecnológicos, entre ellos, el método de videoconferencia en tiempo real u otras formas de comunicación que se produzcan con las nuevas tecnologías, las cuales podrán ser utilizadas para la recepción y transmisión de medios de prueba y la realización de actos procesales, siempre que se garantice previamente la identidad de los sujetos que intervengan en dicho acto. Sobre todo, porque dicho método permite establecer reuniones virtuales en tiempo real, de punto a punto, las cuales son de fácil acceso y disponibilidad, a través de equipos electrónicos móviles o fijos. De manera que, si bien corresponde al quejoso, en su carácter de acusado en el proceso penal, presentarse físicamente a la audiencia de vista a que se refiere el artículo 292 del Código de Procedimientos Penales para el Estado de Jalisco (abrogado), lo cierto es que el Juez responsable debió ponderar que dicho sujeto procesal es una persona "adulta mayor" y, por ende, se encuentra en una situación de </w:t>
      </w:r>
      <w:r w:rsidRPr="000E5AD4">
        <w:rPr>
          <w:rFonts w:ascii="Abadi" w:hAnsi="Abadi" w:cs="Arial-ItalicMT"/>
          <w:sz w:val="21"/>
          <w:szCs w:val="21"/>
        </w:rPr>
        <w:lastRenderedPageBreak/>
        <w:t>vulnerabilidad frente a la pandemia que se vive a nivel global. Por tanto, tomando en cuenta que la situación de salud extraordinaria existente por el virus SARS-CoV2 (COVID-19), obliga a que los órganos jurisdiccionales del país imperen las medidas sanitarias decretadas, entre ellas, las denominadas: "sana distancia" y el "resguardo domiciliario", el Juez responsable debió interpretar la normativa aplicable de la manera que resulte más benéfica y flexible a los intereses del quejoso, a fin de no poner en riesgo su salud y su vida. Aunado a que el criterio asumido por este tribunal resulta acorde con los artículos 1o. de la Constitución Política de los Estados Unidos Mexicanos y 17 del Protocolo Adicional a la Convención Americana sobre Derechos Humanos en Materia de Derechos</w:t>
      </w:r>
    </w:p>
    <w:p w14:paraId="3C122285" w14:textId="77777777" w:rsidR="007D28B0" w:rsidRPr="000E5AD4" w:rsidRDefault="007D28B0" w:rsidP="007D28B0">
      <w:pPr>
        <w:autoSpaceDE w:val="0"/>
        <w:autoSpaceDN w:val="0"/>
        <w:adjustRightInd w:val="0"/>
        <w:ind w:left="1416"/>
        <w:jc w:val="both"/>
        <w:rPr>
          <w:rFonts w:ascii="Abadi" w:hAnsi="Abadi" w:cs="Arial-ItalicMT"/>
          <w:sz w:val="21"/>
          <w:szCs w:val="21"/>
        </w:rPr>
      </w:pPr>
      <w:r w:rsidRPr="000E5AD4">
        <w:rPr>
          <w:rFonts w:ascii="Abadi" w:hAnsi="Abadi" w:cs="Arial-ItalicMT"/>
          <w:sz w:val="21"/>
          <w:szCs w:val="21"/>
        </w:rPr>
        <w:t>Económicos, Sociales y Culturales "Protocolo de San Salvador".</w:t>
      </w:r>
    </w:p>
    <w:p w14:paraId="1EC3163F" w14:textId="77777777" w:rsidR="007D28B0" w:rsidRPr="000E5AD4" w:rsidRDefault="007D28B0" w:rsidP="007D28B0">
      <w:pPr>
        <w:autoSpaceDE w:val="0"/>
        <w:autoSpaceDN w:val="0"/>
        <w:adjustRightInd w:val="0"/>
        <w:ind w:left="1416"/>
        <w:jc w:val="both"/>
        <w:rPr>
          <w:rFonts w:ascii="Abadi" w:hAnsi="Abadi" w:cs="Arial-ItalicMT"/>
          <w:i/>
          <w:iCs/>
          <w:sz w:val="21"/>
          <w:szCs w:val="21"/>
        </w:rPr>
      </w:pPr>
    </w:p>
    <w:p w14:paraId="3D391EC4"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Es así que, el máximo órgano jurisdiccional prevé que en el sistema jurídico nacional existen diversas expresiones del legislador que revelan con nitidez su intención de que en los procesos las autoridades que los dirijan y las partes involucradas, pueden aprovechar, acorde a sus pretensiones, los avances o recursos tecnológicos, entre ellos, el método de videoconferencia en tiempo real u otras formas de comunicación que se produzcan con las nuevas tecnologías. Sobre todo, porque dicho método permite establecer reuniones por videoconferencia en tiempo real, de punto a punto, las cuales son de fácil acceso y disponibilidad, a través de equipos electrónicos móviles o fijos.</w:t>
      </w:r>
    </w:p>
    <w:p w14:paraId="535E21AA"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5D3E5624"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 xml:space="preserve">En ese orden de ideas y a sabiendas de que el Código Civil de nuestra entidad estipula que las asambleas de </w:t>
      </w:r>
      <w:r w:rsidRPr="000E5AD4">
        <w:rPr>
          <w:rFonts w:ascii="Abadi" w:hAnsi="Abadi" w:cs="ArialMT"/>
          <w:iCs/>
          <w:sz w:val="21"/>
          <w:szCs w:val="21"/>
        </w:rPr>
        <w:t>las asociaciones civiles se celebrarán al menos una vez al año, se estima necesario prever los mecanismos normativos para que las asambleas puedan enfrentar de manera cabal circunstancias extraordinarias como las actualmente ocasionadas por la pandemia de la Covid-19 y otras de igual o diversa índole que puedan presentarse en el futuro.</w:t>
      </w:r>
    </w:p>
    <w:p w14:paraId="3B7B85AF"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0CC465EA"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En otras palabras, se considera importante regular estas modalidades para brindar seguridad jurídica y legalidad a aquellas asambleas que se lleven a cabo por videoconferencia o híbrida.</w:t>
      </w:r>
    </w:p>
    <w:p w14:paraId="65868597"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74BFEBE9"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En especial, considerando la plena era digital en la que nos encontramos, donde</w:t>
      </w:r>
    </w:p>
    <w:p w14:paraId="01CA45BB"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existe una gran tendencia de utilización de plataformas tecnológicas para sesionar todo tipo de reuniones y asambleas, aún más en los tiempos de la pandemia y las medidas de higiene y seguridad de la sana distancia. Siendo que la videoconferencia, es una herramienta tecnológica que permite la transmisión en tiempo real de audio y video a distancia y mantiene comunicación activa, percibiendo las imágenes y el sonido del interlocutor en el momento propio que se producen.</w:t>
      </w:r>
    </w:p>
    <w:p w14:paraId="47E1C29E"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ArialMT"/>
          <w:i/>
          <w:iCs/>
          <w:sz w:val="21"/>
          <w:szCs w:val="21"/>
        </w:rPr>
      </w:pPr>
      <w:r w:rsidRPr="000E5AD4">
        <w:rPr>
          <w:rFonts w:ascii="Abadi" w:hAnsi="Abadi" w:cs="ArialMT"/>
          <w:iCs/>
          <w:sz w:val="21"/>
          <w:szCs w:val="21"/>
        </w:rPr>
        <w:t>Para mejor entendimiento de la iniciativa se realiza el siguiente cuadro comparativo:</w:t>
      </w:r>
    </w:p>
    <w:p w14:paraId="3AF3FD45"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ArialMT"/>
          <w:i/>
          <w:iCs/>
          <w:sz w:val="21"/>
          <w:szCs w:val="21"/>
        </w:rPr>
      </w:pPr>
      <w:r w:rsidRPr="000E5AD4">
        <w:rPr>
          <w:rFonts w:ascii="Abadi" w:hAnsi="Abadi" w:cs="ArialMT"/>
          <w:iCs/>
          <w:sz w:val="21"/>
          <w:szCs w:val="21"/>
        </w:rPr>
        <w:t>[…]</w:t>
      </w:r>
    </w:p>
    <w:p w14:paraId="3D4810B1"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Finalmente, de conformidad con lo dispuesto por el artículo 209 de la Ley Orgánica del Poder Legislativo del Estado de Guanajuato, manifestamos que de ser aprobada la presente iniciativa se tendrían los siguientes impactos:</w:t>
      </w:r>
    </w:p>
    <w:p w14:paraId="10B51ADD"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0ED44B7B"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BoldMT"/>
          <w:b/>
          <w:bCs/>
          <w:iCs/>
          <w:sz w:val="21"/>
          <w:szCs w:val="21"/>
        </w:rPr>
        <w:t xml:space="preserve">I. Impacto jurídico: </w:t>
      </w:r>
      <w:r w:rsidRPr="000E5AD4">
        <w:rPr>
          <w:rFonts w:ascii="Abadi" w:hAnsi="Abadi" w:cs="ArialMT"/>
          <w:iCs/>
          <w:sz w:val="21"/>
          <w:szCs w:val="21"/>
        </w:rPr>
        <w:t xml:space="preserve">Se adicionan y modifican diversas disposiciones al Código Civil para el Estado de Guanajuato para regular las asambleas generales de las </w:t>
      </w:r>
      <w:r w:rsidRPr="000E5AD4">
        <w:rPr>
          <w:rFonts w:ascii="Abadi" w:hAnsi="Abadi" w:cs="ArialMT"/>
          <w:iCs/>
          <w:sz w:val="21"/>
          <w:szCs w:val="21"/>
        </w:rPr>
        <w:lastRenderedPageBreak/>
        <w:t>asociaciones civiles y las sociedades civiles que se celebren en modalidad videoconferencia o híbrida.</w:t>
      </w:r>
    </w:p>
    <w:p w14:paraId="01607432" w14:textId="77777777" w:rsidR="007D28B0" w:rsidRPr="000E5AD4" w:rsidRDefault="007D28B0" w:rsidP="007D28B0">
      <w:pPr>
        <w:autoSpaceDE w:val="0"/>
        <w:autoSpaceDN w:val="0"/>
        <w:adjustRightInd w:val="0"/>
        <w:ind w:left="708"/>
        <w:jc w:val="both"/>
        <w:rPr>
          <w:rFonts w:ascii="Abadi" w:hAnsi="Abadi" w:cs="Arial-BoldMT"/>
          <w:b/>
          <w:bCs/>
          <w:i/>
          <w:iCs/>
          <w:sz w:val="21"/>
          <w:szCs w:val="21"/>
        </w:rPr>
      </w:pPr>
    </w:p>
    <w:p w14:paraId="6C5652B7"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BoldMT"/>
          <w:b/>
          <w:bCs/>
          <w:iCs/>
          <w:sz w:val="21"/>
          <w:szCs w:val="21"/>
        </w:rPr>
        <w:t xml:space="preserve">II. Impacto administrativo: </w:t>
      </w:r>
      <w:r w:rsidRPr="000E5AD4">
        <w:rPr>
          <w:rFonts w:ascii="Abadi" w:hAnsi="Abadi" w:cs="ArialMT"/>
          <w:iCs/>
          <w:sz w:val="21"/>
          <w:szCs w:val="21"/>
        </w:rPr>
        <w:t>La propuesta realizada permitirá que las asociaciones y sociedades civiles que regula el Código Civil del Estado de Guanajuato para su correcto funcionamiento deben llevar a cabo diferentes tipos de asambleas y sesiones, presencial, por videoconferencia o híbrida, conforme a la normativa y sus propios estatutos sociales.</w:t>
      </w:r>
    </w:p>
    <w:p w14:paraId="46B02B4B"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6F79C884"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BoldMT"/>
          <w:b/>
          <w:bCs/>
          <w:iCs/>
          <w:sz w:val="21"/>
          <w:szCs w:val="21"/>
        </w:rPr>
        <w:t xml:space="preserve">III. Impacto presupuestario: </w:t>
      </w:r>
      <w:r w:rsidRPr="000E5AD4">
        <w:rPr>
          <w:rFonts w:ascii="Abadi" w:hAnsi="Abadi" w:cs="ArialMT"/>
          <w:iCs/>
          <w:sz w:val="21"/>
          <w:szCs w:val="21"/>
        </w:rPr>
        <w:t>La presente iniciativa no trae consigo un impacto</w:t>
      </w:r>
    </w:p>
    <w:p w14:paraId="2E0E5BDA"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económico, siendo que no trasciende en un cambio de estructura ni la aplicación</w:t>
      </w:r>
    </w:p>
    <w:p w14:paraId="77E6833F"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MT"/>
          <w:iCs/>
          <w:sz w:val="21"/>
          <w:szCs w:val="21"/>
        </w:rPr>
        <w:t>adicional de recursos conforme los actualmente presupuestados.</w:t>
      </w:r>
    </w:p>
    <w:p w14:paraId="61460BE9"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5743C595" w14:textId="77777777" w:rsidR="007D28B0" w:rsidRPr="000E5AD4" w:rsidRDefault="007D28B0" w:rsidP="007D28B0">
      <w:pPr>
        <w:autoSpaceDE w:val="0"/>
        <w:autoSpaceDN w:val="0"/>
        <w:adjustRightInd w:val="0"/>
        <w:ind w:left="708"/>
        <w:jc w:val="both"/>
        <w:rPr>
          <w:rFonts w:ascii="Abadi" w:hAnsi="Abadi" w:cs="ArialMT"/>
          <w:i/>
          <w:iCs/>
          <w:sz w:val="21"/>
          <w:szCs w:val="21"/>
        </w:rPr>
      </w:pPr>
      <w:r w:rsidRPr="000E5AD4">
        <w:rPr>
          <w:rFonts w:ascii="Abadi" w:hAnsi="Abadi" w:cs="Arial-BoldMT"/>
          <w:b/>
          <w:bCs/>
          <w:iCs/>
          <w:sz w:val="21"/>
          <w:szCs w:val="21"/>
        </w:rPr>
        <w:t xml:space="preserve">IV. Impacto social: </w:t>
      </w:r>
      <w:r w:rsidRPr="000E5AD4">
        <w:rPr>
          <w:rFonts w:ascii="Abadi" w:hAnsi="Abadi" w:cs="ArialMT"/>
          <w:iCs/>
          <w:sz w:val="21"/>
          <w:szCs w:val="21"/>
        </w:rPr>
        <w:t>La reforma sería sin lugar a dudas trascendental en el ámbito social, puesto que su campo de utilidad sería tangible a todas aquellas asambleas que se lleven a cabo por las asociaciones y sociedades civiles con domicilio social en el Estado de Guanajuato a través de medios electrónicos o plataformas digitales.</w:t>
      </w:r>
    </w:p>
    <w:p w14:paraId="5DFFBA19" w14:textId="77777777" w:rsidR="007D28B0" w:rsidRPr="000E5AD4" w:rsidRDefault="007D28B0" w:rsidP="007D28B0">
      <w:pPr>
        <w:autoSpaceDE w:val="0"/>
        <w:autoSpaceDN w:val="0"/>
        <w:adjustRightInd w:val="0"/>
        <w:ind w:left="708"/>
        <w:jc w:val="both"/>
        <w:rPr>
          <w:rFonts w:ascii="Abadi" w:hAnsi="Abadi" w:cs="ArialMT"/>
          <w:i/>
          <w:iCs/>
          <w:sz w:val="21"/>
          <w:szCs w:val="21"/>
        </w:rPr>
      </w:pPr>
    </w:p>
    <w:p w14:paraId="36932A2C" w14:textId="77777777" w:rsidR="007D28B0" w:rsidRPr="000E5AD4" w:rsidRDefault="007D28B0" w:rsidP="007D28B0">
      <w:pPr>
        <w:autoSpaceDE w:val="0"/>
        <w:autoSpaceDN w:val="0"/>
        <w:adjustRightInd w:val="0"/>
        <w:ind w:left="708"/>
        <w:jc w:val="both"/>
        <w:rPr>
          <w:rFonts w:ascii="Abadi" w:hAnsi="Abadi" w:cs="Arial"/>
          <w:b/>
          <w:i/>
          <w:iCs/>
          <w:sz w:val="21"/>
          <w:szCs w:val="21"/>
        </w:rPr>
      </w:pPr>
      <w:r w:rsidRPr="000E5AD4">
        <w:rPr>
          <w:rFonts w:ascii="Abadi" w:hAnsi="Abadi" w:cs="ArialMT"/>
          <w:iCs/>
          <w:sz w:val="21"/>
          <w:szCs w:val="21"/>
        </w:rPr>
        <w:t>Una vez expuesto lo anterior y destacando la utilidad y la importancia que estos nuevos medios de comunicación y plataformas virtuales han representado para nuestra sociedad en general, sobre todo en los tiempos de la pandemia de Covid-19, nos permitimos someter a la consideración de esta Honorable Asamblea el siguiente proyecto de:</w:t>
      </w:r>
    </w:p>
    <w:p w14:paraId="46C5B2B3" w14:textId="77777777" w:rsidR="007D28B0" w:rsidRPr="000E5AD4" w:rsidRDefault="007D28B0" w:rsidP="007D28B0">
      <w:pPr>
        <w:widowControl w:val="0"/>
        <w:autoSpaceDE w:val="0"/>
        <w:autoSpaceDN w:val="0"/>
        <w:adjustRightInd w:val="0"/>
        <w:spacing w:before="100" w:beforeAutospacing="1"/>
        <w:jc w:val="both"/>
        <w:rPr>
          <w:rFonts w:ascii="Abadi" w:hAnsi="Abadi" w:cs="Arial"/>
          <w:b/>
          <w:bCs/>
          <w:i/>
          <w:iCs/>
          <w:sz w:val="21"/>
          <w:szCs w:val="21"/>
        </w:rPr>
      </w:pPr>
      <w:r w:rsidRPr="000E5AD4">
        <w:rPr>
          <w:rFonts w:ascii="Abadi" w:hAnsi="Abadi" w:cs="Arial"/>
          <w:b/>
          <w:iCs/>
          <w:sz w:val="21"/>
          <w:szCs w:val="21"/>
        </w:rPr>
        <w:t>II.</w:t>
      </w:r>
      <w:r w:rsidRPr="000E5AD4">
        <w:rPr>
          <w:rFonts w:ascii="Abadi" w:hAnsi="Abadi" w:cs="Arial"/>
          <w:b/>
          <w:iCs/>
          <w:sz w:val="21"/>
          <w:szCs w:val="21"/>
        </w:rPr>
        <w:tab/>
      </w:r>
      <w:r w:rsidRPr="000E5AD4">
        <w:rPr>
          <w:rFonts w:ascii="Abadi" w:hAnsi="Abadi" w:cs="Arial"/>
          <w:b/>
          <w:bCs/>
          <w:iCs/>
          <w:sz w:val="21"/>
          <w:szCs w:val="21"/>
        </w:rPr>
        <w:t>Turno de la iniciativa.</w:t>
      </w:r>
    </w:p>
    <w:p w14:paraId="29655944"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 xml:space="preserve">De acuerdo con la materia de la propuesta, la presidencia de la mesa directiva turnó a la Comisión de Justicia la iniciativa en fecha 3 de noviembre de 2022, para su estudio y dictamen, de conformidad con el artículo 113, fracción II de la Ley Orgánica del </w:t>
      </w:r>
      <w:r w:rsidRPr="000E5AD4">
        <w:rPr>
          <w:rFonts w:ascii="Abadi" w:hAnsi="Abadi" w:cs="Arial"/>
          <w:iCs/>
          <w:sz w:val="21"/>
          <w:szCs w:val="21"/>
        </w:rPr>
        <w:t>Poder Legislativo del Estado de Guanajuato.</w:t>
      </w:r>
    </w:p>
    <w:p w14:paraId="301E502F" w14:textId="77777777" w:rsidR="007D28B0" w:rsidRPr="000E5AD4" w:rsidRDefault="007D28B0" w:rsidP="007D28B0">
      <w:pPr>
        <w:widowControl w:val="0"/>
        <w:autoSpaceDE w:val="0"/>
        <w:autoSpaceDN w:val="0"/>
        <w:adjustRightInd w:val="0"/>
        <w:spacing w:before="100" w:beforeAutospacing="1"/>
        <w:jc w:val="both"/>
        <w:rPr>
          <w:rFonts w:ascii="Abadi" w:hAnsi="Abadi" w:cs="Arial"/>
          <w:b/>
          <w:bCs/>
          <w:i/>
          <w:iCs/>
          <w:sz w:val="21"/>
          <w:szCs w:val="21"/>
        </w:rPr>
      </w:pPr>
      <w:r w:rsidRPr="000E5AD4">
        <w:rPr>
          <w:rFonts w:ascii="Abadi" w:hAnsi="Abadi" w:cs="Arial"/>
          <w:b/>
          <w:bCs/>
          <w:iCs/>
          <w:sz w:val="21"/>
          <w:szCs w:val="21"/>
        </w:rPr>
        <w:t>III.</w:t>
      </w:r>
      <w:r w:rsidRPr="000E5AD4">
        <w:rPr>
          <w:rFonts w:ascii="Abadi" w:hAnsi="Abadi" w:cs="Arial"/>
          <w:b/>
          <w:bCs/>
          <w:iCs/>
          <w:sz w:val="21"/>
          <w:szCs w:val="21"/>
        </w:rPr>
        <w:tab/>
        <w:t>Estudio de la iniciativa.</w:t>
      </w:r>
    </w:p>
    <w:p w14:paraId="15F6E3AF" w14:textId="77777777" w:rsidR="007D28B0" w:rsidRPr="000E5AD4" w:rsidRDefault="007D28B0" w:rsidP="007D28B0">
      <w:pPr>
        <w:widowControl w:val="0"/>
        <w:autoSpaceDE w:val="0"/>
        <w:autoSpaceDN w:val="0"/>
        <w:adjustRightInd w:val="0"/>
        <w:spacing w:before="100" w:beforeAutospacing="1"/>
        <w:jc w:val="both"/>
        <w:rPr>
          <w:rFonts w:ascii="Abadi" w:hAnsi="Abadi" w:cs="Arial"/>
          <w:b/>
          <w:bCs/>
          <w:i/>
          <w:iCs/>
          <w:sz w:val="21"/>
          <w:szCs w:val="21"/>
        </w:rPr>
      </w:pPr>
      <w:r w:rsidRPr="000E5AD4">
        <w:rPr>
          <w:rFonts w:ascii="Abadi" w:hAnsi="Abadi" w:cs="Arial"/>
          <w:b/>
          <w:bCs/>
          <w:iCs/>
          <w:sz w:val="21"/>
          <w:szCs w:val="21"/>
        </w:rPr>
        <w:tab/>
        <w:t>Metodología de trabajo para estudio de la iniciativa.</w:t>
      </w:r>
    </w:p>
    <w:p w14:paraId="3B89646D"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bookmarkStart w:id="8" w:name="_Hlk94009510"/>
      <w:r w:rsidRPr="000E5AD4">
        <w:rPr>
          <w:rFonts w:ascii="Abadi" w:hAnsi="Abadi" w:cs="Arial"/>
          <w:iCs/>
          <w:sz w:val="21"/>
          <w:szCs w:val="21"/>
        </w:rPr>
        <w:t>Se radicó la iniciativa en esta Comisión de Justicia el 15 de noviembre de 2022 y, a efecto de abordar su análisis, se acordó por unanimidad de votos, el 14 de marzo de 2023, remitirla para opinión al Supremo Tribunal de Justicia, a la Coordinación General Jurídica y a las diputadas y diputados integrantes de esta LXV Legislatura, por el término de 10 día hábiles.</w:t>
      </w:r>
    </w:p>
    <w:p w14:paraId="20DE77C0"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 xml:space="preserve">El 25 de abril del mismo año, en seguimiento a la metodología de trabajo para estudio y dictamen de la iniciativa, se acordó por unanimidad de votos desahogar el análisis en reunión de esta Comisión con la participación de las autoridades a quienes se solicitó opinión. </w:t>
      </w:r>
    </w:p>
    <w:p w14:paraId="11A4C58A"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 xml:space="preserve">Una vez otorgada la anuencia por la Junta de Gobierno y Coordinación Política, la Comisión de Justicia llevó a cabo el análisis de la iniciativa el 13 de junio del año en curso, en la que participaron por parte del Supremo Tribunal de Justicia la maestra Carolina Orozco Arredondo, Magistrada de la Décima Sala Civil, y por la Coordinación General jurídica el maestro Carlos Alejandro Rodríguez Pacheco, quienes coincidieron con la propuesta formulada por las y los iniciantes. En tal sentido, la presidencia propuso la elaboración de un proyecto de dictamen en sentido positivo con las sugerencias expuestas, lo que fue aprobado por unanimidad de votos, para la cual se encomendó a la secretaría técnica su elaboración. </w:t>
      </w:r>
    </w:p>
    <w:p w14:paraId="793AE8DD"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i/>
          <w:iCs/>
          <w:sz w:val="21"/>
          <w:szCs w:val="21"/>
        </w:rPr>
      </w:pPr>
      <w:r w:rsidRPr="000E5AD4">
        <w:rPr>
          <w:rFonts w:ascii="Abadi" w:hAnsi="Abadi" w:cs="Arial"/>
          <w:iCs/>
          <w:sz w:val="21"/>
          <w:szCs w:val="21"/>
        </w:rPr>
        <w:t>En la misma fecha de la reunión aludida, la Coordinación General Jurídica remitió su opinión por escrito en los términos que fue expuesta por el representante de dicha Coordinación.</w:t>
      </w:r>
    </w:p>
    <w:bookmarkEnd w:id="8"/>
    <w:p w14:paraId="64046D27" w14:textId="77777777" w:rsidR="007D28B0" w:rsidRPr="000E5AD4" w:rsidRDefault="007D28B0" w:rsidP="007D28B0">
      <w:pPr>
        <w:widowControl w:val="0"/>
        <w:autoSpaceDE w:val="0"/>
        <w:autoSpaceDN w:val="0"/>
        <w:adjustRightInd w:val="0"/>
        <w:spacing w:before="100" w:beforeAutospacing="1"/>
        <w:jc w:val="both"/>
        <w:rPr>
          <w:rFonts w:ascii="Abadi" w:hAnsi="Abadi" w:cs="Arial"/>
          <w:b/>
          <w:i/>
          <w:sz w:val="21"/>
          <w:szCs w:val="21"/>
        </w:rPr>
      </w:pPr>
      <w:r w:rsidRPr="000E5AD4">
        <w:rPr>
          <w:rFonts w:ascii="Abadi" w:hAnsi="Abadi" w:cs="Arial"/>
          <w:b/>
          <w:sz w:val="21"/>
          <w:szCs w:val="21"/>
        </w:rPr>
        <w:t>IV.</w:t>
      </w:r>
      <w:r w:rsidRPr="000E5AD4">
        <w:rPr>
          <w:rFonts w:ascii="Abadi" w:hAnsi="Abadi" w:cs="Arial"/>
          <w:b/>
          <w:sz w:val="21"/>
          <w:szCs w:val="21"/>
        </w:rPr>
        <w:tab/>
        <w:t>Opiniones a la iniciativa.</w:t>
      </w:r>
    </w:p>
    <w:p w14:paraId="18DC6F93" w14:textId="77777777" w:rsidR="007D28B0" w:rsidRPr="000E5AD4" w:rsidRDefault="007D28B0" w:rsidP="007D28B0">
      <w:pPr>
        <w:widowControl w:val="0"/>
        <w:autoSpaceDE w:val="0"/>
        <w:autoSpaceDN w:val="0"/>
        <w:adjustRightInd w:val="0"/>
        <w:spacing w:before="100" w:beforeAutospacing="1"/>
        <w:jc w:val="both"/>
        <w:rPr>
          <w:rFonts w:ascii="Abadi" w:hAnsi="Abadi"/>
          <w:i/>
          <w:iCs/>
          <w:sz w:val="21"/>
          <w:szCs w:val="21"/>
        </w:rPr>
      </w:pPr>
      <w:r w:rsidRPr="000E5AD4">
        <w:rPr>
          <w:rFonts w:ascii="Abadi" w:hAnsi="Abadi"/>
          <w:iCs/>
          <w:sz w:val="21"/>
          <w:szCs w:val="21"/>
        </w:rPr>
        <w:tab/>
        <w:t xml:space="preserve">La Magistrada representante del Supremo Tribunal de Justicia externó ante la Comisión de Justicia la coincidencia con la </w:t>
      </w:r>
      <w:r w:rsidRPr="000E5AD4">
        <w:rPr>
          <w:rFonts w:ascii="Abadi" w:hAnsi="Abadi"/>
          <w:iCs/>
          <w:sz w:val="21"/>
          <w:szCs w:val="21"/>
        </w:rPr>
        <w:lastRenderedPageBreak/>
        <w:t>propuesta y refirió a la forma en que se fueron adaptando al uso de las herramientas tecnológicas para enfrentar la situación motivada por el COVID-19, asimismo, refirió a la necesidad que ello generó de modificación de la legislación a nivel federal y estatal, con referencia específica a la reforma al Código Civil del Distrito Federal del 4 de agosto de 2021 y a la tesis que emitió la Suprema Corte de Justicia de la Nación -misma que la iniciativa también refiere como sustento para la propuesta normativa-. Consideró la necesidad de la reforma por cuestiones de seguridad, modernidad y protección a personas vulnerables ante la imposibilidad para acudir a las reuniones de manera presencial.</w:t>
      </w:r>
    </w:p>
    <w:p w14:paraId="5BB11E49" w14:textId="77777777" w:rsidR="007D28B0" w:rsidRPr="000E5AD4" w:rsidRDefault="007D28B0" w:rsidP="007D28B0">
      <w:pPr>
        <w:widowControl w:val="0"/>
        <w:autoSpaceDE w:val="0"/>
        <w:autoSpaceDN w:val="0"/>
        <w:adjustRightInd w:val="0"/>
        <w:spacing w:before="100" w:beforeAutospacing="1"/>
        <w:jc w:val="both"/>
        <w:rPr>
          <w:rFonts w:ascii="Abadi" w:hAnsi="Abadi"/>
          <w:i/>
          <w:iCs/>
          <w:sz w:val="21"/>
          <w:szCs w:val="21"/>
        </w:rPr>
      </w:pPr>
      <w:r w:rsidRPr="000E5AD4">
        <w:rPr>
          <w:rFonts w:ascii="Abadi" w:hAnsi="Abadi"/>
          <w:iCs/>
          <w:sz w:val="21"/>
          <w:szCs w:val="21"/>
        </w:rPr>
        <w:tab/>
        <w:t>Por parte de la Coordinación General Jurídica se expuso la opinión en los siguientes términos:</w:t>
      </w:r>
    </w:p>
    <w:p w14:paraId="34E3C617"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1. Introducción </w:t>
      </w:r>
    </w:p>
    <w:p w14:paraId="21332597"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1.1 Virus SARS-CoV2 (COVID-19) </w:t>
      </w:r>
    </w:p>
    <w:p w14:paraId="4235E567"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El 30 de enero de 2020, con más de 9.700 casos confirmados en China y 106 casos confirmados en otros 19 países, el Director General de la Organización Mundial de la Salud (OMS) declaró que el brote del virus SARS-CoV2 era una emergencia de salud pública de importancia internacional (ESPII), aceptando los consejos del Comité de Emergencia del Reglamento Sanitario Internacional (RSI). </w:t>
      </w:r>
    </w:p>
    <w:p w14:paraId="28AE6833"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45E046D1"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El 11 de febrero de 2020, siguiendo las mejores prácticas de la OMS para nombrar nuevas enfermedades infecciosas humanas, esta denominó a la enfermedad, COVID-19, abreviatura de «enfermedad por coronavirus 2019» (por sus siglas en inglés). </w:t>
      </w:r>
    </w:p>
    <w:p w14:paraId="4809950B"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32A7AE06"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Por lo anterior, se instó a todos los países a tomar medidas de </w:t>
      </w:r>
      <w:r w:rsidRPr="000E5AD4">
        <w:rPr>
          <w:rFonts w:ascii="Abadi" w:hAnsi="Abadi" w:cs="Century Gothic"/>
          <w:iCs/>
          <w:color w:val="000000"/>
          <w:sz w:val="21"/>
          <w:szCs w:val="21"/>
        </w:rPr>
        <w:t>contención, vigilancia activa, detección temprana, aislamiento y manejo de los casos, seguimiento de contactos y prevención de la propagación, entre otros.</w:t>
      </w:r>
      <w:r w:rsidRPr="000E5AD4">
        <w:rPr>
          <w:rStyle w:val="Refdenotaalpie"/>
          <w:rFonts w:ascii="Abadi" w:hAnsi="Abadi" w:cs="Century Gothic"/>
          <w:iCs/>
          <w:color w:val="000000"/>
          <w:sz w:val="21"/>
          <w:szCs w:val="21"/>
        </w:rPr>
        <w:footnoteReference w:id="192"/>
      </w:r>
    </w:p>
    <w:p w14:paraId="65CBECA7"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Century Gothic"/>
          <w:i/>
          <w:iCs/>
          <w:color w:val="000000"/>
          <w:sz w:val="21"/>
          <w:szCs w:val="21"/>
        </w:rPr>
      </w:pPr>
      <w:r w:rsidRPr="000E5AD4">
        <w:rPr>
          <w:rFonts w:ascii="Abadi" w:hAnsi="Abadi" w:cs="Century Gothic"/>
          <w:iCs/>
          <w:color w:val="000000"/>
          <w:sz w:val="21"/>
          <w:szCs w:val="21"/>
        </w:rPr>
        <w:t>Dicho organismo internacional declaró el 11 de marzo de 2020, como pandemia global la propagación del virus COVID-19 derivado del incremento en el número de casos existentes en los países en que se confirmaron los mismos</w:t>
      </w:r>
      <w:r w:rsidRPr="000E5AD4">
        <w:rPr>
          <w:rStyle w:val="Refdenotaalpie"/>
          <w:rFonts w:ascii="Abadi" w:hAnsi="Abadi" w:cs="Century Gothic"/>
          <w:iCs/>
          <w:color w:val="000000"/>
          <w:sz w:val="21"/>
          <w:szCs w:val="21"/>
        </w:rPr>
        <w:footnoteReference w:id="193"/>
      </w:r>
      <w:r w:rsidRPr="000E5AD4">
        <w:rPr>
          <w:rFonts w:ascii="Abadi" w:hAnsi="Abadi" w:cs="Century Gothic"/>
          <w:iCs/>
          <w:color w:val="000000"/>
          <w:sz w:val="21"/>
          <w:szCs w:val="21"/>
        </w:rPr>
        <w:t xml:space="preserve">, por lo que consideró tal circunstancia como una emergencia de salud pública de relevancia internacional debido a su capacidad de contagio a la población en general, y realizó un llamamiento a los países para la adopción de medidas urgentes, así como para la activación de sus mecanismos de respuesta a emergencias. </w:t>
      </w:r>
    </w:p>
    <w:p w14:paraId="5B429FA7"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Por su parte, en nuestro país el Consejo de Salubridad General, en su primera sesión extraordinaria del 19 de marzo del 2020, reconoció al COVID-19 como enfermedad grave de atención prioritaria y contempló la adopción de medidas, incluidas aquellas para espacios cerrados y abiertos. Por lo que, en la versión vespertina del Diario Oficial de la Federación del 23 de marzo, se publicó el </w:t>
      </w:r>
      <w:r w:rsidRPr="000E5AD4">
        <w:rPr>
          <w:rFonts w:ascii="Abadi" w:hAnsi="Abadi" w:cs="Calibri"/>
          <w:iCs/>
          <w:color w:val="000000"/>
          <w:sz w:val="21"/>
          <w:szCs w:val="21"/>
        </w:rPr>
        <w:t>Acuerdo por el que el Consejo de Salubridad General reconoce la epidemia de enfermedad por el virus SARS-CoV2 (COVID-19) en México, como una enfermedad grave de atención prioritaria, así como se establecen las actividades de preparación y respuesta ante dicha epidemia</w:t>
      </w:r>
      <w:r w:rsidRPr="000E5AD4">
        <w:rPr>
          <w:rStyle w:val="Refdenotaalpie"/>
          <w:rFonts w:ascii="Abadi" w:hAnsi="Abadi" w:cs="Calibri"/>
          <w:iCs/>
          <w:color w:val="000000"/>
          <w:sz w:val="21"/>
          <w:szCs w:val="21"/>
        </w:rPr>
        <w:footnoteReference w:id="194"/>
      </w:r>
      <w:r w:rsidRPr="000E5AD4">
        <w:rPr>
          <w:rFonts w:ascii="Abadi" w:hAnsi="Abadi" w:cs="Century Gothic"/>
          <w:iCs/>
          <w:color w:val="000000"/>
          <w:sz w:val="21"/>
          <w:szCs w:val="21"/>
        </w:rPr>
        <w:t xml:space="preserve">. </w:t>
      </w:r>
    </w:p>
    <w:p w14:paraId="25F3B37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1138C85B"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Así, a partir del 23 de marzo de 2020, se instrumentó por las autoridades federales de salud, la Jornada </w:t>
      </w:r>
      <w:r w:rsidRPr="000E5AD4">
        <w:rPr>
          <w:rFonts w:ascii="Abadi" w:hAnsi="Abadi" w:cs="Century Gothic"/>
          <w:iCs/>
          <w:color w:val="000000"/>
          <w:sz w:val="21"/>
          <w:szCs w:val="21"/>
        </w:rPr>
        <w:lastRenderedPageBreak/>
        <w:t xml:space="preserve">Nacional de Sana Distancia, para reducir la tendencia de casos del COVID-19, que incluyó acciones como la suspensión de clases en los planteles del sistema educativo nacional, la suspensión de actividades no esenciales, la cancelación de eventos masivos; el exhorto a la población para evitar aglomeraciones, aislamientos domiciliarios, guardar el distanciamiento social para disminuir el riesgo de contagio y proteger a los adultos mayores. </w:t>
      </w:r>
    </w:p>
    <w:p w14:paraId="4A6B02A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0651B855" w14:textId="77777777" w:rsidR="007D28B0" w:rsidRPr="000E5AD4" w:rsidRDefault="007D28B0" w:rsidP="007D28B0">
      <w:pPr>
        <w:pStyle w:val="Default"/>
        <w:ind w:left="708"/>
        <w:jc w:val="both"/>
        <w:rPr>
          <w:rFonts w:ascii="Abadi" w:hAnsi="Abadi" w:cs="Century Gothic"/>
          <w:iCs/>
          <w:sz w:val="21"/>
          <w:szCs w:val="21"/>
        </w:rPr>
      </w:pPr>
      <w:r w:rsidRPr="000E5AD4">
        <w:rPr>
          <w:rFonts w:ascii="Abadi" w:hAnsi="Abadi" w:cs="Century Gothic"/>
          <w:iCs/>
          <w:sz w:val="21"/>
          <w:szCs w:val="21"/>
        </w:rPr>
        <w:t xml:space="preserve">En el estado de Guanajuato, conscientes de la pandemia por COVID-19, desde su inicio se comenzaron a aplicar medidas sanitarias para atender la emergencia, y se adoptaron las acciones para el distanciamiento social, para la mitigación de la transmisión poblacional del virus SARS-CoV2 (COVID-19), disminuyendo así el número de contagios de persona a persona y por ende la propagación de la enfermedad. </w:t>
      </w:r>
    </w:p>
    <w:p w14:paraId="08194B6E" w14:textId="77777777" w:rsidR="007D28B0" w:rsidRPr="000E5AD4" w:rsidRDefault="007D28B0" w:rsidP="007D28B0">
      <w:pPr>
        <w:pStyle w:val="Default"/>
        <w:ind w:left="708"/>
        <w:jc w:val="both"/>
        <w:rPr>
          <w:rFonts w:ascii="Abadi" w:hAnsi="Abadi" w:cs="Century Gothic"/>
          <w:iCs/>
          <w:sz w:val="21"/>
          <w:szCs w:val="21"/>
        </w:rPr>
      </w:pPr>
    </w:p>
    <w:p w14:paraId="4D6F776D"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1.2 Cambios tecnológicos </w:t>
      </w:r>
    </w:p>
    <w:p w14:paraId="484580D7"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La pandemia del COVID-19 ha sido inusitada en la medida de que plantea un desafío al sistema socioeconómico mundial. El fenómeno afectó y ha afectado profundamente a la mayor parte de países del mundo, dado que ha representado un importante replanteamiento de las prácticas sociales y sistemas productivos que hasta hace poco tiempo dábamos por normales. La economía mundial se ha contraído en un 3.1% en 2020, y pese a la recuperación iniciada en el año 2021, aún persisten numerosos efectos de carácter económico y social.</w:t>
      </w:r>
      <w:r w:rsidRPr="000E5AD4">
        <w:rPr>
          <w:rStyle w:val="Refdenotaalpie"/>
          <w:rFonts w:ascii="Abadi" w:hAnsi="Abadi" w:cs="Century Gothic"/>
          <w:iCs/>
          <w:color w:val="000000"/>
          <w:sz w:val="21"/>
          <w:szCs w:val="21"/>
        </w:rPr>
        <w:footnoteReference w:id="195"/>
      </w:r>
      <w:r w:rsidRPr="000E5AD4">
        <w:rPr>
          <w:rFonts w:ascii="Abadi" w:hAnsi="Abadi" w:cs="Century Gothic"/>
          <w:iCs/>
          <w:color w:val="000000"/>
          <w:sz w:val="21"/>
          <w:szCs w:val="21"/>
        </w:rPr>
        <w:t xml:space="preserve"> </w:t>
      </w:r>
    </w:p>
    <w:p w14:paraId="2D6C95B1"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39B77C1F"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La irrupción de la pandemia ha supuesto, por lo tanto, una forzosa </w:t>
      </w:r>
      <w:r w:rsidRPr="000E5AD4">
        <w:rPr>
          <w:rFonts w:ascii="Abadi" w:hAnsi="Abadi" w:cs="Century Gothic"/>
          <w:iCs/>
          <w:color w:val="000000"/>
          <w:sz w:val="21"/>
          <w:szCs w:val="21"/>
        </w:rPr>
        <w:t>curva de aprendizaje para toda la población en el uso de numerosas herramientas digitales, sin las cuales no habría sido posible mantenernos trabajando, estudiando, o informándonos. Tareas como trabajar a distancia desde el domicilio, realizar compras por internet, acceder a información en línea, mantener a los hijos asistiendo a clases a través de las herramientas digitales, y realizar actividades de socialización y entretenimiento (comunicación con familiares y amigos, redes sociales, plataformas de contenidos), hubiesen sido muy difíciles de llevar adelante si la pandemia hubiese ocurrido algunos años antes, cuando no disponíamos de la calidad de infraestructuras digitales que disfrutamos en la actualidad.</w:t>
      </w:r>
      <w:r w:rsidRPr="000E5AD4">
        <w:rPr>
          <w:rStyle w:val="Refdenotaalpie"/>
          <w:rFonts w:ascii="Abadi" w:hAnsi="Abadi" w:cs="Century Gothic"/>
          <w:iCs/>
          <w:color w:val="000000"/>
          <w:sz w:val="21"/>
          <w:szCs w:val="21"/>
        </w:rPr>
        <w:footnoteReference w:id="196"/>
      </w:r>
      <w:r w:rsidRPr="000E5AD4">
        <w:rPr>
          <w:rFonts w:ascii="Abadi" w:hAnsi="Abadi" w:cs="Century Gothic"/>
          <w:iCs/>
          <w:color w:val="000000"/>
          <w:sz w:val="21"/>
          <w:szCs w:val="21"/>
        </w:rPr>
        <w:t xml:space="preserve"> </w:t>
      </w:r>
    </w:p>
    <w:p w14:paraId="4F217C6A" w14:textId="77777777" w:rsidR="007D28B0" w:rsidRPr="000E5AD4" w:rsidRDefault="007D28B0" w:rsidP="007D28B0">
      <w:pPr>
        <w:pStyle w:val="Default"/>
        <w:ind w:left="708"/>
        <w:jc w:val="both"/>
        <w:rPr>
          <w:rFonts w:ascii="Abadi" w:hAnsi="Abadi" w:cs="Century Gothic"/>
          <w:iCs/>
          <w:sz w:val="21"/>
          <w:szCs w:val="21"/>
        </w:rPr>
      </w:pPr>
    </w:p>
    <w:p w14:paraId="52AECF77" w14:textId="77777777" w:rsidR="007D28B0" w:rsidRPr="000E5AD4" w:rsidRDefault="007D28B0" w:rsidP="007D28B0">
      <w:pPr>
        <w:pStyle w:val="Default"/>
        <w:ind w:left="708"/>
        <w:jc w:val="both"/>
        <w:rPr>
          <w:rFonts w:ascii="Abadi" w:hAnsi="Abadi" w:cs="Century Gothic"/>
          <w:iCs/>
          <w:sz w:val="21"/>
          <w:szCs w:val="21"/>
        </w:rPr>
      </w:pPr>
      <w:r w:rsidRPr="000E5AD4">
        <w:rPr>
          <w:rFonts w:ascii="Abadi" w:hAnsi="Abadi" w:cs="Century Gothic"/>
          <w:iCs/>
          <w:sz w:val="21"/>
          <w:szCs w:val="21"/>
        </w:rPr>
        <w:t>Por otra parte, cabe destacar que el artículo 6to</w:t>
      </w:r>
      <w:r w:rsidRPr="000E5AD4">
        <w:rPr>
          <w:rStyle w:val="Refdenotaalpie"/>
          <w:rFonts w:ascii="Abadi" w:hAnsi="Abadi" w:cs="Century Gothic"/>
          <w:iCs/>
          <w:sz w:val="21"/>
          <w:szCs w:val="21"/>
        </w:rPr>
        <w:footnoteReference w:id="197"/>
      </w:r>
      <w:r w:rsidRPr="000E5AD4">
        <w:rPr>
          <w:rFonts w:ascii="Abadi" w:hAnsi="Abadi" w:cs="Century Gothic"/>
          <w:iCs/>
          <w:sz w:val="21"/>
          <w:szCs w:val="21"/>
        </w:rPr>
        <w:t>., de la Constitución Política de los Estados Unidos Mexicanos establece el derecho de acceso a las Tecnologías de la Información y Comunicación (TIC). Así el acceso a Internet ha tenido una importancia renovada en esta pandemia de COVID-19. El confinamiento voluntario de la población mexicana a partir de la Jornada Nacional de Sana Distancia ha implicado una drástica transformación de la cotidianidad en nuestro</w:t>
      </w:r>
      <w:r w:rsidRPr="000E5AD4">
        <w:rPr>
          <w:rFonts w:ascii="Abadi" w:hAnsi="Abadi"/>
          <w:iCs/>
          <w:sz w:val="21"/>
          <w:szCs w:val="21"/>
        </w:rPr>
        <w:t xml:space="preserve"> </w:t>
      </w:r>
      <w:r w:rsidRPr="000E5AD4">
        <w:rPr>
          <w:rFonts w:ascii="Abadi" w:hAnsi="Abadi" w:cs="Century Gothic"/>
          <w:iCs/>
          <w:sz w:val="21"/>
          <w:szCs w:val="21"/>
        </w:rPr>
        <w:t>país. Sobre el particular la Encuesta Nacional sobre Disponibilidad y Uso de Tecnologías de la Información en los Hogares 2019 (ENDUTIH 2019)</w:t>
      </w:r>
      <w:r w:rsidRPr="000E5AD4">
        <w:rPr>
          <w:rStyle w:val="Refdenotaalpie"/>
          <w:rFonts w:ascii="Abadi" w:hAnsi="Abadi" w:cs="Century Gothic"/>
          <w:iCs/>
          <w:sz w:val="21"/>
          <w:szCs w:val="21"/>
        </w:rPr>
        <w:footnoteReference w:id="198"/>
      </w:r>
      <w:r w:rsidRPr="000E5AD4">
        <w:rPr>
          <w:rFonts w:ascii="Abadi" w:hAnsi="Abadi" w:cs="Century Gothic"/>
          <w:iCs/>
          <w:sz w:val="21"/>
          <w:szCs w:val="21"/>
        </w:rPr>
        <w:t xml:space="preserve"> ilustra el incremento del uso de plataformas tecnológicas, el cual, posterior a la pandemia, se ha incrementado en forma sustantiva. </w:t>
      </w:r>
    </w:p>
    <w:p w14:paraId="1759E3B9" w14:textId="77777777" w:rsidR="007D28B0" w:rsidRPr="000E5AD4" w:rsidRDefault="007D28B0" w:rsidP="007D28B0">
      <w:pPr>
        <w:pStyle w:val="Default"/>
        <w:ind w:left="708"/>
        <w:jc w:val="both"/>
        <w:rPr>
          <w:rFonts w:ascii="Abadi" w:hAnsi="Abadi" w:cs="Century Gothic"/>
          <w:iCs/>
          <w:sz w:val="21"/>
          <w:szCs w:val="21"/>
        </w:rPr>
      </w:pPr>
    </w:p>
    <w:p w14:paraId="6E81DB5D"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A nivel empresarial, la digitalización de los procesos productivos ha demostrado ser crítica para mantener </w:t>
      </w:r>
      <w:r w:rsidRPr="000E5AD4">
        <w:rPr>
          <w:rFonts w:ascii="Abadi" w:hAnsi="Abadi" w:cs="Century Gothic"/>
          <w:iCs/>
          <w:color w:val="000000"/>
          <w:sz w:val="21"/>
          <w:szCs w:val="21"/>
        </w:rPr>
        <w:lastRenderedPageBreak/>
        <w:t>la economía en funcionamiento en el contexto de pandemia. Más allá de la posibilidad del trabajo a distancia, las cadenas de aprovisionamiento y los canales de distribución digitalizados pueden contribuir sustancialmente a mantener el nivel de producción en un contexto en el que se deben minimizar los contactos sociales. A nivel gubernamental, la digitalización permite mantener a las oficinas públicas en funcionamiento, ofreciendo los servicios públicos y atendiendo las solicitudes de trámites en línea.</w:t>
      </w:r>
      <w:r w:rsidRPr="000E5AD4">
        <w:rPr>
          <w:rStyle w:val="Refdenotaalpie"/>
          <w:rFonts w:ascii="Abadi" w:hAnsi="Abadi" w:cs="Century Gothic"/>
          <w:iCs/>
          <w:color w:val="000000"/>
          <w:sz w:val="21"/>
          <w:szCs w:val="21"/>
        </w:rPr>
        <w:footnoteReference w:id="199"/>
      </w:r>
      <w:r w:rsidRPr="000E5AD4">
        <w:rPr>
          <w:rFonts w:ascii="Abadi" w:hAnsi="Abadi" w:cs="Century Gothic"/>
          <w:iCs/>
          <w:color w:val="000000"/>
          <w:sz w:val="21"/>
          <w:szCs w:val="21"/>
        </w:rPr>
        <w:t xml:space="preserve"> </w:t>
      </w:r>
    </w:p>
    <w:p w14:paraId="06C9709B"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78F19A7C"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Aunado a ello, los cambios tecnológicos en los últimos años se han producido a una velocidad exponencial y sus efectos se han expandido transversalmente en la economía y la sociedad, transformando sistemas completos de producción, gestión y gobernanza. Esto se refleja en el rol central que el desarrollo de tecnologías digitales ha tenido en la reconfiguración de estructuras económicas y de las formas de producción y consumo, al permitir la creación de bienes y servicios digitales, agregar valor digital a productos que no lo tenían, o hacer posible el uso de plataformas digitales.</w:t>
      </w:r>
      <w:r w:rsidRPr="000E5AD4">
        <w:rPr>
          <w:rStyle w:val="Refdenotaalpie"/>
          <w:rFonts w:ascii="Abadi" w:hAnsi="Abadi" w:cs="Century Gothic"/>
          <w:iCs/>
          <w:color w:val="000000"/>
          <w:sz w:val="21"/>
          <w:szCs w:val="21"/>
        </w:rPr>
        <w:footnoteReference w:id="200"/>
      </w:r>
      <w:r w:rsidRPr="000E5AD4">
        <w:rPr>
          <w:rFonts w:ascii="Abadi" w:hAnsi="Abadi" w:cs="Century Gothic"/>
          <w:iCs/>
          <w:color w:val="000000"/>
          <w:sz w:val="21"/>
          <w:szCs w:val="21"/>
        </w:rPr>
        <w:t xml:space="preserve"> </w:t>
      </w:r>
    </w:p>
    <w:p w14:paraId="67C07F61"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En este contexto, las reuniones a distancia fueron una opción a las limitaciones derivadas de la sana distancia; el uso de nuevas herramientas tecnológicas para su desarrollo permite a las personas tanto físicas como jurídico-colectivas la deliberación y la toma de decisiones en tiempo real sin necesidad de encontrarse físicamente en el domicilio del órgano societario. Sin embargo, las mismas también representan una nueva realidad que forma parte del día a día de nuestra sociedad y, por ende, exige su regulación para otorgar seguridad </w:t>
      </w:r>
      <w:r w:rsidRPr="000E5AD4">
        <w:rPr>
          <w:rFonts w:ascii="Abadi" w:hAnsi="Abadi" w:cs="Century Gothic"/>
          <w:iCs/>
          <w:color w:val="000000"/>
          <w:sz w:val="21"/>
          <w:szCs w:val="21"/>
        </w:rPr>
        <w:t xml:space="preserve">jurídica a quienes participen de estas, así como certeza en su realización y de las decisiones que en ellas se tomen. </w:t>
      </w:r>
    </w:p>
    <w:p w14:paraId="5EE3A1A6"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r w:rsidRPr="000E5AD4">
        <w:rPr>
          <w:rFonts w:ascii="Abadi" w:hAnsi="Abadi" w:cs="Century Gothic"/>
          <w:b/>
          <w:bCs/>
          <w:iCs/>
          <w:color w:val="000000"/>
          <w:sz w:val="21"/>
          <w:szCs w:val="21"/>
        </w:rPr>
        <w:t xml:space="preserve">2. Contenido de la Iniciativa </w:t>
      </w:r>
    </w:p>
    <w:p w14:paraId="5DBD4F5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2.1 </w:t>
      </w:r>
      <w:r w:rsidRPr="000E5AD4">
        <w:rPr>
          <w:rFonts w:ascii="Abadi" w:hAnsi="Abadi" w:cs="Century Gothic"/>
          <w:iCs/>
          <w:color w:val="000000"/>
          <w:sz w:val="21"/>
          <w:szCs w:val="21"/>
        </w:rPr>
        <w:t>A decir de las y los iniciantes, su propuesta tiene como finalidad:</w:t>
      </w:r>
    </w:p>
    <w:p w14:paraId="4299CE57"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218DC49C"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ab/>
      </w:r>
      <w:r w:rsidRPr="000E5AD4">
        <w:rPr>
          <w:rFonts w:ascii="Abadi" w:hAnsi="Abadi" w:cs="Century Gothic"/>
          <w:iCs/>
          <w:color w:val="000000"/>
          <w:sz w:val="21"/>
          <w:szCs w:val="21"/>
        </w:rPr>
        <w:t>[…]</w:t>
      </w:r>
    </w:p>
    <w:p w14:paraId="56BC68D1"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150DF31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 Comentarios </w:t>
      </w:r>
    </w:p>
    <w:p w14:paraId="5333990A"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3.1 </w:t>
      </w:r>
      <w:r w:rsidRPr="000E5AD4">
        <w:rPr>
          <w:rFonts w:ascii="Abadi" w:hAnsi="Abadi" w:cs="Century Gothic"/>
          <w:iCs/>
          <w:color w:val="000000"/>
          <w:sz w:val="21"/>
          <w:szCs w:val="21"/>
        </w:rPr>
        <w:t xml:space="preserve">La iniciativa tiene por objeto adicionar los artículos 2195-A, 2195-B, 2195-C, 2195-D, 2195-E y 2195-E, al Apartado I denominado «de las Asociaciones Civiles» del Título Decimoprimero llamado «de las asociaciones y de las sociedades» del Libro Tercero Segunda Parte «De las diversas especies de contrato», así como reformar el artículo 2197 y adicionar un artículo 2212-A al Apartado II «De las Sociedades» Capítulo I «Disposiciones Generales» del mismo Título y Libro. </w:t>
      </w:r>
    </w:p>
    <w:p w14:paraId="7D82ECBF"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22C14C9B"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Esto con la finalidad de establecer la posibilidad de que las asambleas de las asociaciones civiles puedan celebrarse de tres maneras distintas, esto es: </w:t>
      </w:r>
      <w:r w:rsidRPr="000E5AD4">
        <w:rPr>
          <w:rFonts w:ascii="Abadi" w:hAnsi="Abadi" w:cs="Calibri"/>
          <w:b/>
          <w:bCs/>
          <w:iCs/>
          <w:color w:val="000000"/>
          <w:sz w:val="21"/>
          <w:szCs w:val="21"/>
        </w:rPr>
        <w:t xml:space="preserve">i) </w:t>
      </w:r>
      <w:r w:rsidRPr="000E5AD4">
        <w:rPr>
          <w:rFonts w:ascii="Abadi" w:hAnsi="Abadi" w:cs="Century Gothic"/>
          <w:iCs/>
          <w:color w:val="000000"/>
          <w:sz w:val="21"/>
          <w:szCs w:val="21"/>
        </w:rPr>
        <w:t xml:space="preserve">de forma presencial (ya contemplada por nuestro Código Civil), </w:t>
      </w:r>
      <w:proofErr w:type="spellStart"/>
      <w:r w:rsidRPr="000E5AD4">
        <w:rPr>
          <w:rFonts w:ascii="Abadi" w:hAnsi="Abadi" w:cs="Calibri"/>
          <w:b/>
          <w:bCs/>
          <w:iCs/>
          <w:color w:val="000000"/>
          <w:sz w:val="21"/>
          <w:szCs w:val="21"/>
        </w:rPr>
        <w:t>ii</w:t>
      </w:r>
      <w:proofErr w:type="spellEnd"/>
      <w:r w:rsidRPr="000E5AD4">
        <w:rPr>
          <w:rFonts w:ascii="Abadi" w:hAnsi="Abadi" w:cs="Calibri"/>
          <w:b/>
          <w:bCs/>
          <w:iCs/>
          <w:color w:val="000000"/>
          <w:sz w:val="21"/>
          <w:szCs w:val="21"/>
        </w:rPr>
        <w:t xml:space="preserve">) </w:t>
      </w:r>
      <w:r w:rsidRPr="000E5AD4">
        <w:rPr>
          <w:rFonts w:ascii="Abadi" w:hAnsi="Abadi" w:cs="Century Gothic"/>
          <w:iCs/>
          <w:color w:val="000000"/>
          <w:sz w:val="21"/>
          <w:szCs w:val="21"/>
        </w:rPr>
        <w:t xml:space="preserve">por videoconferencia o de manera híbrida; y </w:t>
      </w:r>
      <w:proofErr w:type="spellStart"/>
      <w:r w:rsidRPr="000E5AD4">
        <w:rPr>
          <w:rFonts w:ascii="Abadi" w:hAnsi="Abadi" w:cs="Calibri"/>
          <w:b/>
          <w:bCs/>
          <w:iCs/>
          <w:color w:val="000000"/>
          <w:sz w:val="21"/>
          <w:szCs w:val="21"/>
        </w:rPr>
        <w:t>iii</w:t>
      </w:r>
      <w:proofErr w:type="spellEnd"/>
      <w:r w:rsidRPr="000E5AD4">
        <w:rPr>
          <w:rFonts w:ascii="Abadi" w:hAnsi="Abadi" w:cs="Calibri"/>
          <w:b/>
          <w:bCs/>
          <w:iCs/>
          <w:color w:val="000000"/>
          <w:sz w:val="21"/>
          <w:szCs w:val="21"/>
        </w:rPr>
        <w:t xml:space="preserve">) </w:t>
      </w:r>
      <w:r w:rsidRPr="000E5AD4">
        <w:rPr>
          <w:rFonts w:ascii="Abadi" w:hAnsi="Abadi" w:cs="Century Gothic"/>
          <w:iCs/>
          <w:color w:val="000000"/>
          <w:sz w:val="21"/>
          <w:szCs w:val="21"/>
        </w:rPr>
        <w:t xml:space="preserve">la forma en que se deberán llevar a cabo las asambleas por videoconferencia o de manera híbrida. </w:t>
      </w:r>
    </w:p>
    <w:p w14:paraId="6CA49B77"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01ED172D"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3.2 </w:t>
      </w:r>
      <w:r w:rsidRPr="000E5AD4">
        <w:rPr>
          <w:rFonts w:ascii="Abadi" w:hAnsi="Abadi" w:cs="Century Gothic"/>
          <w:iCs/>
          <w:color w:val="000000"/>
          <w:sz w:val="21"/>
          <w:szCs w:val="21"/>
        </w:rPr>
        <w:t>En este sentido, se debe tener en consideración la garantía de cuatro aspectos esenciales, a saber:</w:t>
      </w:r>
    </w:p>
    <w:p w14:paraId="7F9EBF0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 </w:t>
      </w:r>
    </w:p>
    <w:p w14:paraId="0813A420"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i) Presencia: </w:t>
      </w:r>
      <w:r w:rsidRPr="000E5AD4">
        <w:rPr>
          <w:rFonts w:ascii="Abadi" w:hAnsi="Abadi" w:cs="Century Gothic"/>
          <w:iCs/>
          <w:color w:val="000000"/>
          <w:sz w:val="21"/>
          <w:szCs w:val="21"/>
        </w:rPr>
        <w:t xml:space="preserve">Esto es, que mediante la convocatoria se garantice la debida participación de las personas que están facultadas para ello. Por lo que deben establecerse los medios idóneos para la accesibilidad de todos los participantes a las reuniones. </w:t>
      </w:r>
    </w:p>
    <w:p w14:paraId="748C20BC"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Century Gothic"/>
          <w:i/>
          <w:iCs/>
          <w:color w:val="000000"/>
          <w:sz w:val="21"/>
          <w:szCs w:val="21"/>
        </w:rPr>
      </w:pPr>
      <w:proofErr w:type="spellStart"/>
      <w:r w:rsidRPr="000E5AD4">
        <w:rPr>
          <w:rFonts w:ascii="Abadi" w:hAnsi="Abadi" w:cs="Century Gothic"/>
          <w:b/>
          <w:bCs/>
          <w:iCs/>
          <w:color w:val="000000"/>
          <w:sz w:val="21"/>
          <w:szCs w:val="21"/>
        </w:rPr>
        <w:t>ii</w:t>
      </w:r>
      <w:proofErr w:type="spellEnd"/>
      <w:r w:rsidRPr="000E5AD4">
        <w:rPr>
          <w:rFonts w:ascii="Abadi" w:hAnsi="Abadi" w:cs="Century Gothic"/>
          <w:b/>
          <w:bCs/>
          <w:iCs/>
          <w:color w:val="000000"/>
          <w:sz w:val="21"/>
          <w:szCs w:val="21"/>
        </w:rPr>
        <w:t xml:space="preserve">) Derecho de participación: </w:t>
      </w:r>
      <w:r w:rsidRPr="000E5AD4">
        <w:rPr>
          <w:rFonts w:ascii="Abadi" w:hAnsi="Abadi" w:cs="Century Gothic"/>
          <w:iCs/>
          <w:color w:val="000000"/>
          <w:sz w:val="21"/>
          <w:szCs w:val="21"/>
        </w:rPr>
        <w:t xml:space="preserve">La </w:t>
      </w:r>
      <w:r w:rsidRPr="000E5AD4">
        <w:rPr>
          <w:rFonts w:ascii="Abadi" w:hAnsi="Abadi" w:cs="Century Gothic"/>
          <w:iCs/>
          <w:color w:val="000000"/>
          <w:sz w:val="21"/>
          <w:szCs w:val="21"/>
        </w:rPr>
        <w:lastRenderedPageBreak/>
        <w:t xml:space="preserve">presencia en las reuniones implica el poder participar en ellas, y para la toma de decisiones que se van a adoptar, se necesita un mínimo de participación o quórum, así que sin dicho quórum —híbrida que puede estar establecido en los estatutos de las asociaciones—, las decisiones que se tomen no tendrán validez. </w:t>
      </w:r>
    </w:p>
    <w:p w14:paraId="3ED0C695"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roofErr w:type="spellStart"/>
      <w:r w:rsidRPr="000E5AD4">
        <w:rPr>
          <w:rFonts w:ascii="Abadi" w:hAnsi="Abadi" w:cs="Century Gothic"/>
          <w:b/>
          <w:bCs/>
          <w:iCs/>
          <w:color w:val="000000"/>
          <w:sz w:val="21"/>
          <w:szCs w:val="21"/>
        </w:rPr>
        <w:t>iii</w:t>
      </w:r>
      <w:proofErr w:type="spellEnd"/>
      <w:r w:rsidRPr="000E5AD4">
        <w:rPr>
          <w:rFonts w:ascii="Abadi" w:hAnsi="Abadi" w:cs="Century Gothic"/>
          <w:b/>
          <w:bCs/>
          <w:iCs/>
          <w:color w:val="000000"/>
          <w:sz w:val="21"/>
          <w:szCs w:val="21"/>
        </w:rPr>
        <w:t xml:space="preserve">) Deliberación: </w:t>
      </w:r>
      <w:r w:rsidRPr="000E5AD4">
        <w:rPr>
          <w:rFonts w:ascii="Abadi" w:hAnsi="Abadi" w:cs="Century Gothic"/>
          <w:iCs/>
          <w:color w:val="000000"/>
          <w:sz w:val="21"/>
          <w:szCs w:val="21"/>
        </w:rPr>
        <w:t xml:space="preserve">Se trata de que los participantes puedan oír y ser oídos, esto es, opinar, refutar y agotar la discusión, la cual se hará solamente sobre los puntos que se hayan enlistado en el orden del día, que será el que defina la competencia de la reunión. Por lo que, el mismo debe darse a conocer previamente, para que los participantes se informen adecuadamente de los temas antes de ingresar a la reunión. </w:t>
      </w:r>
    </w:p>
    <w:p w14:paraId="6A5F0663"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5A84F003"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roofErr w:type="spellStart"/>
      <w:r w:rsidRPr="000E5AD4">
        <w:rPr>
          <w:rFonts w:ascii="Abadi" w:hAnsi="Abadi" w:cs="Century Gothic"/>
          <w:b/>
          <w:bCs/>
          <w:iCs/>
          <w:color w:val="000000"/>
          <w:sz w:val="21"/>
          <w:szCs w:val="21"/>
        </w:rPr>
        <w:t>iv</w:t>
      </w:r>
      <w:proofErr w:type="spellEnd"/>
      <w:r w:rsidRPr="000E5AD4">
        <w:rPr>
          <w:rFonts w:ascii="Abadi" w:hAnsi="Abadi" w:cs="Century Gothic"/>
          <w:b/>
          <w:bCs/>
          <w:iCs/>
          <w:color w:val="000000"/>
          <w:sz w:val="21"/>
          <w:szCs w:val="21"/>
        </w:rPr>
        <w:t xml:space="preserve">) Votación: </w:t>
      </w:r>
      <w:r w:rsidRPr="000E5AD4">
        <w:rPr>
          <w:rFonts w:ascii="Abadi" w:hAnsi="Abadi" w:cs="Century Gothic"/>
          <w:iCs/>
          <w:color w:val="000000"/>
          <w:sz w:val="21"/>
          <w:szCs w:val="21"/>
        </w:rPr>
        <w:t xml:space="preserve">Es el objeto de la deliberación, y tiene por objeto conocer la opinión sobre el debate; así, una vez agotada la discusión, debe procederse a votar. Dicha votación, debe ser clara y quedar asentada para otorgar certeza de las decisiones que se adopten en la reunión. </w:t>
      </w:r>
    </w:p>
    <w:p w14:paraId="38F87A15"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2F704D0C"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3.3 </w:t>
      </w:r>
      <w:r w:rsidRPr="000E5AD4">
        <w:rPr>
          <w:rFonts w:ascii="Abadi" w:hAnsi="Abadi" w:cs="Century Gothic"/>
          <w:iCs/>
          <w:color w:val="000000"/>
          <w:sz w:val="21"/>
          <w:szCs w:val="21"/>
        </w:rPr>
        <w:t xml:space="preserve">Respecto a la adición del artículo 2195-A, del siguiente tenor literal: </w:t>
      </w:r>
    </w:p>
    <w:p w14:paraId="0248A1E6" w14:textId="77777777" w:rsidR="007D28B0" w:rsidRPr="000E5AD4" w:rsidRDefault="007D28B0" w:rsidP="007D28B0">
      <w:pPr>
        <w:widowControl w:val="0"/>
        <w:autoSpaceDE w:val="0"/>
        <w:autoSpaceDN w:val="0"/>
        <w:adjustRightInd w:val="0"/>
        <w:spacing w:before="100" w:beforeAutospacing="1"/>
        <w:ind w:left="1416"/>
        <w:jc w:val="both"/>
        <w:rPr>
          <w:rFonts w:ascii="Abadi" w:hAnsi="Abadi" w:cs="Calibri"/>
          <w:b/>
          <w:bCs/>
          <w:i/>
          <w:iCs/>
          <w:color w:val="000000"/>
          <w:sz w:val="21"/>
          <w:szCs w:val="21"/>
        </w:rPr>
      </w:pPr>
      <w:r w:rsidRPr="000E5AD4">
        <w:rPr>
          <w:rFonts w:ascii="Abadi" w:hAnsi="Abadi" w:cs="Calibri"/>
          <w:b/>
          <w:bCs/>
          <w:iCs/>
          <w:color w:val="000000"/>
          <w:sz w:val="21"/>
          <w:szCs w:val="21"/>
        </w:rPr>
        <w:t>Artículo 2195-</w:t>
      </w:r>
      <w:r w:rsidRPr="000E5AD4">
        <w:rPr>
          <w:rFonts w:ascii="Abadi" w:hAnsi="Abadi" w:cs="Calibri"/>
          <w:iCs/>
          <w:color w:val="000000"/>
          <w:sz w:val="21"/>
          <w:szCs w:val="21"/>
        </w:rPr>
        <w:t xml:space="preserve">A. Las asambleas de las asociaciones podrán celebrarse de forma presencial, por videoconferencia o híbrida. Las primeras son aquellas en las cuales implica necesariamente la presencia de los asociados en un domicilio físico determinado, las segundas aquellas en las cuales los asociados asisten y participan únicamente a través de medios electrónicos o plataformas digitales, y </w:t>
      </w:r>
      <w:r w:rsidRPr="000E5AD4">
        <w:rPr>
          <w:rFonts w:ascii="Abadi" w:hAnsi="Abadi" w:cs="Calibri"/>
          <w:b/>
          <w:bCs/>
          <w:iCs/>
          <w:color w:val="000000"/>
          <w:sz w:val="21"/>
          <w:szCs w:val="21"/>
        </w:rPr>
        <w:t xml:space="preserve">las últimas aquellas en las que se convoca una reunión presencial en la cual se permite a los asociados asistir al domicilio y participar a </w:t>
      </w:r>
      <w:r w:rsidRPr="000E5AD4">
        <w:rPr>
          <w:rFonts w:ascii="Abadi" w:hAnsi="Abadi" w:cs="Calibri"/>
          <w:b/>
          <w:bCs/>
          <w:iCs/>
          <w:color w:val="000000"/>
          <w:sz w:val="21"/>
          <w:szCs w:val="21"/>
        </w:rPr>
        <w:t>través de medios electrónicos o plataformas digitales.</w:t>
      </w:r>
    </w:p>
    <w:p w14:paraId="3777B48B"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Century Gothic"/>
          <w:i/>
          <w:iCs/>
          <w:color w:val="000000"/>
          <w:sz w:val="21"/>
          <w:szCs w:val="21"/>
        </w:rPr>
      </w:pPr>
      <w:r w:rsidRPr="000E5AD4">
        <w:rPr>
          <w:rFonts w:ascii="Abadi" w:hAnsi="Abadi"/>
          <w:iCs/>
          <w:sz w:val="21"/>
          <w:szCs w:val="21"/>
        </w:rPr>
        <w:t xml:space="preserve">Se estima adecuado establecer los diferentes tipos de modalidades permitidas para celebrar una asamblea; sin embrago, en el caso de la definición de las reuniones de manera híbrida, se consulta si la intención es que necesariamente los asociados deban acudir al domicilio donde se convoca la reunión —ya que se establece que se convoca a una reunión presencial, para la cual la propia propuesta de redacción establece la presencia de los asociados en un domicilio físico determinado— y una vez en él se puedan usar medios electrónicos o plataformas digitales. O si lo que se pretende es que, algunos asociados puedan </w:t>
      </w:r>
      <w:r w:rsidRPr="000E5AD4">
        <w:rPr>
          <w:rFonts w:ascii="Abadi" w:hAnsi="Abadi" w:cs="Century Gothic"/>
          <w:iCs/>
          <w:color w:val="000000"/>
          <w:sz w:val="21"/>
          <w:szCs w:val="21"/>
        </w:rPr>
        <w:t xml:space="preserve">participar por dichos medios y plataformas en un lugar distinto al de domicilio al que se convoca, con la participación de otros asociados en dicho lugar. </w:t>
      </w:r>
    </w:p>
    <w:p w14:paraId="065616FD"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3.4 </w:t>
      </w:r>
      <w:r w:rsidRPr="000E5AD4">
        <w:rPr>
          <w:rFonts w:ascii="Abadi" w:hAnsi="Abadi" w:cs="Century Gothic"/>
          <w:iCs/>
          <w:color w:val="000000"/>
          <w:sz w:val="21"/>
          <w:szCs w:val="21"/>
        </w:rPr>
        <w:t xml:space="preserve">En cuanto artículo 2195-B: </w:t>
      </w:r>
    </w:p>
    <w:p w14:paraId="2FBC8DE6"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6F9C8DEA" w14:textId="77777777" w:rsidR="007D28B0" w:rsidRPr="000E5AD4" w:rsidRDefault="007D28B0" w:rsidP="007D28B0">
      <w:pPr>
        <w:autoSpaceDE w:val="0"/>
        <w:autoSpaceDN w:val="0"/>
        <w:adjustRightInd w:val="0"/>
        <w:ind w:left="1416"/>
        <w:jc w:val="both"/>
        <w:rPr>
          <w:rFonts w:ascii="Abadi" w:hAnsi="Abadi" w:cs="Calibri"/>
          <w:i/>
          <w:iCs/>
          <w:color w:val="000000"/>
          <w:sz w:val="21"/>
          <w:szCs w:val="21"/>
        </w:rPr>
      </w:pPr>
      <w:r w:rsidRPr="000E5AD4">
        <w:rPr>
          <w:rFonts w:ascii="Abadi" w:hAnsi="Abadi" w:cs="Calibri"/>
          <w:b/>
          <w:bCs/>
          <w:iCs/>
          <w:color w:val="000000"/>
          <w:sz w:val="21"/>
          <w:szCs w:val="21"/>
        </w:rPr>
        <w:t xml:space="preserve">Artículo 2195-B. </w:t>
      </w:r>
      <w:r w:rsidRPr="000E5AD4">
        <w:rPr>
          <w:rFonts w:ascii="Abadi" w:hAnsi="Abadi" w:cs="Calibri"/>
          <w:iCs/>
          <w:color w:val="000000"/>
          <w:sz w:val="21"/>
          <w:szCs w:val="21"/>
        </w:rPr>
        <w:t xml:space="preserve">En caso de que una asociación decida llevar a cabo una asamblea por videoconferencia o híbrida, deberá publicar en su convocatoria la fecha, día, hora, medio, la dirección electrónico o número de la reunión, en su caso la contraseña, la forma en la cual se realizará la asamblea, así como la forma en que se llevará a cabo la identificación de los asociados y la forma en la que se realizará el cálculo del quorum de instalación y votación. </w:t>
      </w:r>
    </w:p>
    <w:p w14:paraId="63FD304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0332381D"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Se sugiere que se establezca la forma en la que se habrá de compartir el orden del día a cada uno de los asociados que participaran por medios virtuales y para aquellos que lo harán de manera presencial. </w:t>
      </w:r>
    </w:p>
    <w:p w14:paraId="389F70F9"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57BDE264"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3.5 </w:t>
      </w:r>
      <w:r w:rsidRPr="000E5AD4">
        <w:rPr>
          <w:rFonts w:ascii="Abadi" w:hAnsi="Abadi" w:cs="Century Gothic"/>
          <w:iCs/>
          <w:color w:val="000000"/>
          <w:sz w:val="21"/>
          <w:szCs w:val="21"/>
        </w:rPr>
        <w:t xml:space="preserve">Para el caso del artículo 2195-C: </w:t>
      </w:r>
    </w:p>
    <w:p w14:paraId="2AA2F052" w14:textId="77777777" w:rsidR="007D28B0" w:rsidRPr="000E5AD4" w:rsidRDefault="007D28B0" w:rsidP="007D28B0">
      <w:pPr>
        <w:autoSpaceDE w:val="0"/>
        <w:autoSpaceDN w:val="0"/>
        <w:adjustRightInd w:val="0"/>
        <w:ind w:left="708"/>
        <w:jc w:val="both"/>
        <w:rPr>
          <w:rFonts w:ascii="Abadi" w:hAnsi="Abadi" w:cs="Calibri"/>
          <w:b/>
          <w:bCs/>
          <w:i/>
          <w:iCs/>
          <w:color w:val="000000"/>
          <w:sz w:val="21"/>
          <w:szCs w:val="21"/>
        </w:rPr>
      </w:pPr>
    </w:p>
    <w:p w14:paraId="47EA3309" w14:textId="77777777" w:rsidR="007D28B0" w:rsidRPr="000E5AD4" w:rsidRDefault="007D28B0" w:rsidP="007D28B0">
      <w:pPr>
        <w:autoSpaceDE w:val="0"/>
        <w:autoSpaceDN w:val="0"/>
        <w:adjustRightInd w:val="0"/>
        <w:ind w:left="1416"/>
        <w:jc w:val="both"/>
        <w:rPr>
          <w:rFonts w:ascii="Abadi" w:hAnsi="Abadi" w:cs="Calibri"/>
          <w:i/>
          <w:iCs/>
          <w:color w:val="000000"/>
          <w:sz w:val="21"/>
          <w:szCs w:val="21"/>
        </w:rPr>
      </w:pPr>
      <w:r w:rsidRPr="000E5AD4">
        <w:rPr>
          <w:rFonts w:ascii="Abadi" w:hAnsi="Abadi" w:cs="Calibri"/>
          <w:b/>
          <w:bCs/>
          <w:iCs/>
          <w:color w:val="000000"/>
          <w:sz w:val="21"/>
          <w:szCs w:val="21"/>
        </w:rPr>
        <w:lastRenderedPageBreak/>
        <w:t xml:space="preserve">Artículo 2195-C. </w:t>
      </w:r>
      <w:r w:rsidRPr="000E5AD4">
        <w:rPr>
          <w:rFonts w:ascii="Abadi" w:hAnsi="Abadi" w:cs="Calibri"/>
          <w:iCs/>
          <w:color w:val="000000"/>
          <w:sz w:val="21"/>
          <w:szCs w:val="21"/>
        </w:rPr>
        <w:t xml:space="preserve">Los medios electrónicos y plataformas digitales en los que se lleven a cabo las asambleas por videoconferencia e híbridas deberán satisfacer las características técnicas necesarias que permitan la transmisión continua, simultánea y en tiempo real de toda la duración de la asamblea y las deliberaciones que se lleven a cabo durante la misma. </w:t>
      </w:r>
    </w:p>
    <w:p w14:paraId="7EB4B16A"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750724D8"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Además de que se garantice la deliberación de los asociados, se estima necesario también se contemple la manera adecuada para que se pueda consignar la votación de los asuntos que se aborden en las reuniones. </w:t>
      </w:r>
    </w:p>
    <w:p w14:paraId="2E1D5DB1"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p>
    <w:p w14:paraId="37A02671"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3.6 </w:t>
      </w:r>
      <w:r w:rsidRPr="000E5AD4">
        <w:rPr>
          <w:rFonts w:ascii="Abadi" w:hAnsi="Abadi" w:cs="Century Gothic"/>
          <w:iCs/>
          <w:color w:val="000000"/>
          <w:sz w:val="21"/>
          <w:szCs w:val="21"/>
        </w:rPr>
        <w:t xml:space="preserve">Por lo que hace a los artículos 2195-D, 2195-E, 2197 y 2212-A, se estiman adecuados para el fin que persigue la iniciativa. </w:t>
      </w:r>
    </w:p>
    <w:p w14:paraId="15EFA069" w14:textId="77777777" w:rsidR="007D28B0" w:rsidRPr="000E5AD4" w:rsidRDefault="007D28B0" w:rsidP="007D28B0">
      <w:pPr>
        <w:autoSpaceDE w:val="0"/>
        <w:autoSpaceDN w:val="0"/>
        <w:adjustRightInd w:val="0"/>
        <w:ind w:left="708"/>
        <w:jc w:val="both"/>
        <w:rPr>
          <w:rFonts w:ascii="Abadi" w:hAnsi="Abadi" w:cs="Century Gothic"/>
          <w:b/>
          <w:bCs/>
          <w:i/>
          <w:iCs/>
          <w:color w:val="000000"/>
          <w:sz w:val="21"/>
          <w:szCs w:val="21"/>
        </w:rPr>
      </w:pPr>
    </w:p>
    <w:p w14:paraId="24E98A14" w14:textId="77777777" w:rsidR="007D28B0" w:rsidRPr="000E5AD4" w:rsidRDefault="007D28B0" w:rsidP="007D28B0">
      <w:pPr>
        <w:autoSpaceDE w:val="0"/>
        <w:autoSpaceDN w:val="0"/>
        <w:adjustRightInd w:val="0"/>
        <w:ind w:left="708"/>
        <w:jc w:val="both"/>
        <w:rPr>
          <w:rFonts w:ascii="Abadi" w:hAnsi="Abadi" w:cs="Century Gothic"/>
          <w:i/>
          <w:iCs/>
          <w:color w:val="000000"/>
          <w:sz w:val="21"/>
          <w:szCs w:val="21"/>
        </w:rPr>
      </w:pPr>
      <w:r w:rsidRPr="000E5AD4">
        <w:rPr>
          <w:rFonts w:ascii="Abadi" w:hAnsi="Abadi" w:cs="Century Gothic"/>
          <w:b/>
          <w:bCs/>
          <w:iCs/>
          <w:color w:val="000000"/>
          <w:sz w:val="21"/>
          <w:szCs w:val="21"/>
        </w:rPr>
        <w:t xml:space="preserve">4. Comentario final </w:t>
      </w:r>
    </w:p>
    <w:p w14:paraId="2E62E201" w14:textId="77777777" w:rsidR="007D28B0" w:rsidRPr="000E5AD4" w:rsidRDefault="007D28B0" w:rsidP="007D28B0">
      <w:pPr>
        <w:widowControl w:val="0"/>
        <w:autoSpaceDE w:val="0"/>
        <w:autoSpaceDN w:val="0"/>
        <w:adjustRightInd w:val="0"/>
        <w:spacing w:before="100" w:beforeAutospacing="1"/>
        <w:ind w:left="708"/>
        <w:jc w:val="both"/>
        <w:rPr>
          <w:rFonts w:ascii="Abadi" w:hAnsi="Abadi" w:cs="Century Gothic"/>
          <w:i/>
          <w:iCs/>
          <w:color w:val="000000"/>
          <w:sz w:val="21"/>
          <w:szCs w:val="21"/>
        </w:rPr>
      </w:pPr>
      <w:r w:rsidRPr="000E5AD4">
        <w:rPr>
          <w:rFonts w:ascii="Abadi" w:hAnsi="Abadi" w:cs="Century Gothic"/>
          <w:iCs/>
          <w:color w:val="000000"/>
          <w:sz w:val="21"/>
          <w:szCs w:val="21"/>
        </w:rPr>
        <w:t xml:space="preserve">Las normas jurídicas vigentes son uno de los medios con que cuenta el Estado para hacer frente a la emergencia sanitaria, por ello se requiere que sean precisas, adecuadas y eficaces; por ello, debemos perfeccionar las disposiciones jurídicas que permitan atender las complicaciones que se han presentado y que permitan aprovechar los avances e infraestructura que la emergencia sanitaria detonó. </w:t>
      </w:r>
    </w:p>
    <w:p w14:paraId="228517CF" w14:textId="77777777" w:rsidR="007D28B0" w:rsidRPr="000E5AD4" w:rsidRDefault="007D28B0" w:rsidP="007D28B0">
      <w:pPr>
        <w:widowControl w:val="0"/>
        <w:autoSpaceDE w:val="0"/>
        <w:autoSpaceDN w:val="0"/>
        <w:adjustRightInd w:val="0"/>
        <w:spacing w:before="100" w:beforeAutospacing="1"/>
        <w:ind w:left="708"/>
        <w:jc w:val="both"/>
        <w:rPr>
          <w:rFonts w:ascii="Abadi" w:hAnsi="Abadi"/>
          <w:i/>
          <w:iCs/>
          <w:sz w:val="21"/>
          <w:szCs w:val="21"/>
        </w:rPr>
      </w:pPr>
      <w:r w:rsidRPr="000E5AD4">
        <w:rPr>
          <w:rFonts w:ascii="Abadi" w:hAnsi="Abadi" w:cs="Century Gothic"/>
          <w:iCs/>
          <w:color w:val="000000"/>
          <w:sz w:val="21"/>
          <w:szCs w:val="21"/>
        </w:rPr>
        <w:t xml:space="preserve">Finalmente, se coincide con la propuesta de las y de los iniciantes al considerar que las nuevas tecnologías, que se hicieron presentes en nuestro día a día durante la pandemia del virus SARS-CoV2 (COVID-19), continuarán presentes en nuestra sociedad por lo que deben ser reguladas; así, con total respeto a la autonomía de ese Poder Público, se ponen a consideración de esa Comisión las observaciones </w:t>
      </w:r>
      <w:r w:rsidRPr="000E5AD4">
        <w:rPr>
          <w:rFonts w:ascii="Abadi" w:hAnsi="Abadi" w:cs="Century Gothic"/>
          <w:iCs/>
          <w:color w:val="000000"/>
          <w:sz w:val="21"/>
          <w:szCs w:val="21"/>
        </w:rPr>
        <w:t>contenidas en esta opinión, esperando que las mismas contribuyan en sus trabajos de estudio y dictaminación.</w:t>
      </w:r>
    </w:p>
    <w:p w14:paraId="66EF12B3" w14:textId="77777777" w:rsidR="007D28B0" w:rsidRPr="000E5AD4" w:rsidRDefault="007D28B0" w:rsidP="007D28B0">
      <w:pPr>
        <w:widowControl w:val="0"/>
        <w:autoSpaceDE w:val="0"/>
        <w:autoSpaceDN w:val="0"/>
        <w:adjustRightInd w:val="0"/>
        <w:spacing w:before="100" w:beforeAutospacing="1"/>
        <w:jc w:val="both"/>
        <w:rPr>
          <w:rFonts w:ascii="Abadi" w:hAnsi="Abadi" w:cs="Arial"/>
          <w:b/>
          <w:i/>
          <w:sz w:val="21"/>
          <w:szCs w:val="21"/>
        </w:rPr>
      </w:pPr>
      <w:r w:rsidRPr="000E5AD4">
        <w:rPr>
          <w:rFonts w:ascii="Abadi" w:hAnsi="Abadi" w:cs="Arial"/>
          <w:b/>
          <w:sz w:val="21"/>
          <w:szCs w:val="21"/>
        </w:rPr>
        <w:t>V.</w:t>
      </w:r>
      <w:r w:rsidRPr="000E5AD4">
        <w:rPr>
          <w:rFonts w:ascii="Abadi" w:hAnsi="Abadi" w:cs="Arial"/>
          <w:b/>
          <w:sz w:val="21"/>
          <w:szCs w:val="21"/>
        </w:rPr>
        <w:tab/>
        <w:t>Consideraciones.</w:t>
      </w:r>
    </w:p>
    <w:p w14:paraId="7CAD4733"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A partir del reconocimiento por la Organización Mundial de la Salud de la pandemia de COVID 19, en el estado de Guanajuato se tomaron medidas que priorizaban, por un lado, la salud de las personas y, por otro, que se permitiera la continuidad de las actividades que, de manera normal y cotidiana, realizaban.</w:t>
      </w:r>
    </w:p>
    <w:p w14:paraId="1E915821"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 xml:space="preserve">En el ámbito legislativo, este Congreso del Estado reformó diversos ordenamientos jurídicos </w:t>
      </w:r>
      <w:r w:rsidRPr="000E5AD4">
        <w:rPr>
          <w:rFonts w:ascii="Abadi" w:hAnsi="Abadi" w:cs="Arial"/>
          <w:bCs/>
          <w:iCs/>
          <w:sz w:val="21"/>
          <w:szCs w:val="21"/>
        </w:rPr>
        <w:t>para efectos de poder permitir que las sesiones se realicen a distancia mediante el uso de herramientas tecnológicas</w:t>
      </w:r>
      <w:r w:rsidRPr="000E5AD4">
        <w:rPr>
          <w:rFonts w:ascii="Abadi" w:hAnsi="Abadi" w:cs="Arial"/>
          <w:bCs/>
          <w:sz w:val="21"/>
          <w:szCs w:val="21"/>
        </w:rPr>
        <w:t xml:space="preserve">. </w:t>
      </w:r>
    </w:p>
    <w:p w14:paraId="48EEB358"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 xml:space="preserve">El Código Civil para el Estado de Guanajuato en su LIBRO TERCERO, Segunda Parte </w:t>
      </w:r>
      <w:r w:rsidRPr="000E5AD4">
        <w:rPr>
          <w:rFonts w:ascii="Abadi" w:hAnsi="Abadi" w:cs="Arial"/>
          <w:bCs/>
          <w:iCs/>
          <w:sz w:val="21"/>
          <w:szCs w:val="21"/>
        </w:rPr>
        <w:t xml:space="preserve">De las diversas especies de contrato </w:t>
      </w:r>
      <w:r w:rsidRPr="000E5AD4">
        <w:rPr>
          <w:rFonts w:ascii="Abadi" w:hAnsi="Abadi" w:cs="Arial"/>
          <w:bCs/>
          <w:sz w:val="21"/>
          <w:szCs w:val="21"/>
        </w:rPr>
        <w:t>y, en específico, en el Título Decimoprimero se contienen las disposiciones que norman las asociaciones civiles y las sociedades, las que se conforman por un grupo de personas para un fin común. Las decisiones para realizar sus actividades recaen en una asamblea general, de acuerdo con lo que se establezca en sus estatutos o escritura constitutiva o, en el contrato de sociedad, respectivamente, de acuerdo con las disposiciones generales que se establecen en la propia legislación civil.</w:t>
      </w:r>
    </w:p>
    <w:p w14:paraId="08630A25"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En tal sentido, al constituirse las asociaciones civiles o sociedades por un grupo de asociados o socios debe la legislación civil garantizar la no interrupción de sus actividades ante la imposibilidad de celebrar sus asambleas de manera presencial, máxime que en la actualidad se cuenta con los avances tecnológicos que dan la posibilidad de celebrar reuniones o sesiones a distancia.</w:t>
      </w:r>
    </w:p>
    <w:p w14:paraId="5A88D261"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 xml:space="preserve">Por ello es necesario continuar en el proceso de actualización normativa para evitar que ciertas actividades se interrumpan ante la imposibilidad de realizarlas de manera presencial, permitiendo que las sesiones puedan celebrarse a través de </w:t>
      </w:r>
      <w:r w:rsidRPr="000E5AD4">
        <w:rPr>
          <w:rFonts w:ascii="Abadi" w:hAnsi="Abadi" w:cs="Arial"/>
          <w:bCs/>
          <w:sz w:val="21"/>
          <w:szCs w:val="21"/>
        </w:rPr>
        <w:lastRenderedPageBreak/>
        <w:t>videoconferencia o de manera híbrida.</w:t>
      </w:r>
    </w:p>
    <w:p w14:paraId="4DFBC222"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El pasado 5 de mayo de 2023 la Organización Mundial de la Salud declaró el fin de la emergencia pública sanitaria internacional por COVID-19, sin embargo, esta Organización advirtió no bajar la guardia por representar aún, una amenaza para la salud mundial. Esta situación o, cualquier otra, que impida las actividades de manera presencial debe ser considerada para realizar las adecuaciones legislativas necesarias para establecer la posibilidad de que las sesiones puedan llevarse a cabo a distancia para no interrumpir las actividades que les corresponden.</w:t>
      </w:r>
    </w:p>
    <w:p w14:paraId="4E536599"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Por lo anterior, consideramos procedente la propuesta que formulan los iniciantes de manera además coincidente de todos los que, junto con esta comisión dictaminadora, participaron en el análisis de la propuesta de adición y reforma a la legislación civil de nuestro estado.</w:t>
      </w:r>
    </w:p>
    <w:p w14:paraId="706D70DA"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
          <w:sz w:val="21"/>
          <w:szCs w:val="21"/>
        </w:rPr>
      </w:pPr>
      <w:r w:rsidRPr="000E5AD4">
        <w:rPr>
          <w:rFonts w:ascii="Abadi" w:hAnsi="Abadi" w:cs="Arial"/>
          <w:bCs/>
          <w:sz w:val="21"/>
          <w:szCs w:val="21"/>
        </w:rPr>
        <w:t>De la propuesta normativa contenida en la iniciativa sólo fue necesario hacer los siguientes ajustes a efecto de mejorar su redacción o dar mayor claridad a su contenido, como fue la sustitución del término «híbrida» por «mixta».</w:t>
      </w:r>
    </w:p>
    <w:p w14:paraId="318F45F8" w14:textId="77777777" w:rsidR="007D28B0" w:rsidRPr="000E5AD4" w:rsidRDefault="007D28B0" w:rsidP="007D28B0">
      <w:pPr>
        <w:widowControl w:val="0"/>
        <w:autoSpaceDE w:val="0"/>
        <w:autoSpaceDN w:val="0"/>
        <w:adjustRightInd w:val="0"/>
        <w:spacing w:before="100" w:beforeAutospacing="1"/>
        <w:ind w:firstLine="708"/>
        <w:jc w:val="both"/>
        <w:rPr>
          <w:rFonts w:ascii="Abadi" w:hAnsi="Abadi" w:cs="Arial"/>
          <w:bCs/>
          <w:iCs/>
          <w:sz w:val="21"/>
          <w:szCs w:val="21"/>
        </w:rPr>
      </w:pPr>
      <w:r w:rsidRPr="000E5AD4">
        <w:rPr>
          <w:rFonts w:ascii="Abadi" w:hAnsi="Abadi" w:cs="Arial"/>
          <w:bCs/>
          <w:sz w:val="21"/>
          <w:szCs w:val="21"/>
        </w:rPr>
        <w:t xml:space="preserve">La visión de la Agenda 2030 fue considerada en el presente dictamen, pues incide en el Objetivo de Desarrollo Sostenible 16: </w:t>
      </w:r>
      <w:r w:rsidRPr="000E5AD4">
        <w:rPr>
          <w:rFonts w:ascii="Abadi" w:hAnsi="Abadi" w:cs="Arial"/>
          <w:bCs/>
          <w:iCs/>
          <w:sz w:val="21"/>
          <w:szCs w:val="21"/>
        </w:rPr>
        <w:t>Paz, Justicia e Instituciones Sólidas</w:t>
      </w:r>
      <w:r w:rsidRPr="000E5AD4">
        <w:rPr>
          <w:rFonts w:ascii="Abadi" w:hAnsi="Abadi" w:cs="Arial"/>
          <w:bCs/>
          <w:sz w:val="21"/>
          <w:szCs w:val="21"/>
        </w:rPr>
        <w:t xml:space="preserve">, específicamente en las metas 16.3 </w:t>
      </w:r>
      <w:r w:rsidRPr="000E5AD4">
        <w:rPr>
          <w:rFonts w:ascii="Abadi" w:hAnsi="Abadi" w:cs="Arial"/>
          <w:bCs/>
          <w:iCs/>
          <w:sz w:val="21"/>
          <w:szCs w:val="21"/>
        </w:rPr>
        <w:t>Promover el estado de derecho en los planos nacional e internacional y garantizar la igualdad de acceso a la justicia para todos, pues permitirá facilitar el acceso a la justicia para todas las personas y contribuir en la construcción de instituciones eficaces e inclusivas;</w:t>
      </w:r>
      <w:r w:rsidRPr="000E5AD4">
        <w:rPr>
          <w:rFonts w:ascii="Abadi" w:hAnsi="Abadi" w:cs="Arial"/>
          <w:bCs/>
          <w:sz w:val="21"/>
          <w:szCs w:val="21"/>
        </w:rPr>
        <w:t xml:space="preserve"> 16.7 </w:t>
      </w:r>
      <w:r w:rsidRPr="000E5AD4">
        <w:rPr>
          <w:rFonts w:ascii="Abadi" w:hAnsi="Abadi" w:cs="Arial"/>
          <w:bCs/>
          <w:iCs/>
          <w:sz w:val="21"/>
          <w:szCs w:val="21"/>
        </w:rPr>
        <w:t>Garantizar la adopción en todos los niveles de decisiones inclusivas, participativas y representativas que respondan a las necesidades;</w:t>
      </w:r>
      <w:r w:rsidRPr="000E5AD4">
        <w:rPr>
          <w:rFonts w:ascii="Abadi" w:hAnsi="Abadi" w:cs="Arial"/>
          <w:bCs/>
          <w:sz w:val="21"/>
          <w:szCs w:val="21"/>
        </w:rPr>
        <w:t xml:space="preserve"> y 16.b </w:t>
      </w:r>
      <w:r w:rsidRPr="000E5AD4">
        <w:rPr>
          <w:rFonts w:ascii="Abadi" w:hAnsi="Abadi" w:cs="Arial"/>
          <w:bCs/>
          <w:iCs/>
          <w:sz w:val="21"/>
          <w:szCs w:val="21"/>
        </w:rPr>
        <w:t>Promover y aplicar leyes y políticas no discriminatorias en favor del desarrollo sostenible.</w:t>
      </w:r>
    </w:p>
    <w:p w14:paraId="607C0EC9" w14:textId="77777777" w:rsidR="007D28B0" w:rsidRPr="000E5AD4" w:rsidRDefault="007D28B0" w:rsidP="007D28B0">
      <w:pPr>
        <w:pStyle w:val="Textoindependiente"/>
        <w:ind w:firstLine="708"/>
        <w:rPr>
          <w:rFonts w:ascii="Abadi" w:hAnsi="Abadi"/>
          <w:bCs w:val="0"/>
          <w:i/>
          <w:iCs/>
          <w:sz w:val="21"/>
          <w:szCs w:val="21"/>
        </w:rPr>
      </w:pPr>
    </w:p>
    <w:p w14:paraId="1250311B"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b w:val="0"/>
          <w:bCs w:val="0"/>
          <w:iCs/>
          <w:sz w:val="21"/>
          <w:szCs w:val="21"/>
        </w:rPr>
        <w:t xml:space="preserve">Por lo expuesto y con fundamento en los artículos 113 fracción II y 171 de la Ley Orgánica del Poder Legislativo, se propone a la Asamblea el siguiente: </w:t>
      </w:r>
    </w:p>
    <w:p w14:paraId="084B6BF1" w14:textId="77777777" w:rsidR="007D28B0" w:rsidRPr="009D4870" w:rsidRDefault="007D28B0" w:rsidP="007D28B0">
      <w:pPr>
        <w:autoSpaceDE w:val="0"/>
        <w:autoSpaceDN w:val="0"/>
        <w:adjustRightInd w:val="0"/>
        <w:jc w:val="center"/>
        <w:rPr>
          <w:rFonts w:ascii="Abadi" w:hAnsi="Abadi" w:cs="Arial"/>
          <w:i/>
          <w:iCs/>
          <w:sz w:val="21"/>
          <w:szCs w:val="21"/>
          <w:lang w:eastAsia="es-MX"/>
        </w:rPr>
      </w:pPr>
    </w:p>
    <w:p w14:paraId="5078B6EB" w14:textId="77777777" w:rsidR="007D28B0" w:rsidRPr="009D4870" w:rsidRDefault="007D28B0" w:rsidP="007D28B0">
      <w:pPr>
        <w:autoSpaceDE w:val="0"/>
        <w:autoSpaceDN w:val="0"/>
        <w:adjustRightInd w:val="0"/>
        <w:jc w:val="center"/>
        <w:rPr>
          <w:rFonts w:ascii="Abadi" w:hAnsi="Abadi" w:cs="Arial"/>
          <w:b/>
          <w:bCs/>
          <w:iCs/>
          <w:sz w:val="21"/>
          <w:szCs w:val="21"/>
          <w:lang w:eastAsia="es-MX"/>
        </w:rPr>
      </w:pPr>
      <w:r w:rsidRPr="009D4870">
        <w:rPr>
          <w:rFonts w:ascii="Abadi" w:hAnsi="Abadi" w:cs="Arial"/>
          <w:b/>
          <w:bCs/>
          <w:iCs/>
          <w:sz w:val="21"/>
          <w:szCs w:val="21"/>
          <w:lang w:eastAsia="es-MX"/>
        </w:rPr>
        <w:t>DECRETO</w:t>
      </w:r>
    </w:p>
    <w:p w14:paraId="6E470627" w14:textId="77777777" w:rsidR="009D4870" w:rsidRPr="009D4870" w:rsidRDefault="009D4870" w:rsidP="007D28B0">
      <w:pPr>
        <w:autoSpaceDE w:val="0"/>
        <w:autoSpaceDN w:val="0"/>
        <w:adjustRightInd w:val="0"/>
        <w:jc w:val="center"/>
        <w:rPr>
          <w:rFonts w:ascii="Abadi" w:hAnsi="Abadi" w:cs="Arial"/>
          <w:b/>
          <w:bCs/>
          <w:i/>
          <w:iCs/>
          <w:sz w:val="21"/>
          <w:szCs w:val="21"/>
          <w:lang w:eastAsia="es-MX"/>
        </w:rPr>
      </w:pPr>
    </w:p>
    <w:p w14:paraId="420E4251" w14:textId="77777777" w:rsidR="007D28B0" w:rsidRPr="009D4870" w:rsidRDefault="007D28B0" w:rsidP="007D28B0">
      <w:pPr>
        <w:autoSpaceDE w:val="0"/>
        <w:autoSpaceDN w:val="0"/>
        <w:adjustRightInd w:val="0"/>
        <w:ind w:firstLine="708"/>
        <w:jc w:val="both"/>
        <w:rPr>
          <w:rFonts w:ascii="Abadi" w:hAnsi="Abadi"/>
          <w:i/>
          <w:iCs/>
          <w:sz w:val="21"/>
          <w:szCs w:val="21"/>
          <w:lang w:eastAsia="es-MX"/>
        </w:rPr>
      </w:pPr>
      <w:r w:rsidRPr="009D4870">
        <w:rPr>
          <w:rFonts w:ascii="Abadi" w:hAnsi="Abadi" w:cs="Arial"/>
          <w:iCs/>
          <w:sz w:val="21"/>
          <w:szCs w:val="21"/>
          <w:lang w:eastAsia="es-MX"/>
        </w:rPr>
        <w:t>Artículo Único. Se reforma el artículo 2197; y se adicionan los artículos 2195-A, 2195-B, 2195-C, 2195-D, 2195-E y 2212–A, del Código Civil para el Estado de Guanajuato, para quedar como sigue:</w:t>
      </w:r>
      <w:r w:rsidRPr="009D4870">
        <w:rPr>
          <w:rFonts w:ascii="Abadi" w:hAnsi="Abadi"/>
          <w:iCs/>
          <w:sz w:val="21"/>
          <w:szCs w:val="21"/>
          <w:lang w:eastAsia="es-MX"/>
        </w:rPr>
        <w:tab/>
      </w:r>
      <w:r w:rsidRPr="009D4870">
        <w:rPr>
          <w:rFonts w:ascii="Abadi" w:hAnsi="Abadi"/>
          <w:iCs/>
          <w:sz w:val="21"/>
          <w:szCs w:val="21"/>
          <w:lang w:eastAsia="es-MX"/>
        </w:rPr>
        <w:tab/>
      </w:r>
      <w:r w:rsidRPr="009D4870">
        <w:rPr>
          <w:rFonts w:ascii="Abadi" w:hAnsi="Abadi"/>
          <w:iCs/>
          <w:sz w:val="21"/>
          <w:szCs w:val="21"/>
          <w:lang w:eastAsia="es-MX"/>
        </w:rPr>
        <w:tab/>
      </w:r>
      <w:r w:rsidRPr="009D4870">
        <w:rPr>
          <w:rFonts w:ascii="Abadi" w:hAnsi="Abadi"/>
          <w:iCs/>
          <w:sz w:val="21"/>
          <w:szCs w:val="21"/>
          <w:lang w:eastAsia="es-MX"/>
        </w:rPr>
        <w:tab/>
      </w:r>
      <w:r w:rsidRPr="009D4870">
        <w:rPr>
          <w:rFonts w:ascii="Abadi" w:hAnsi="Abadi"/>
          <w:iCs/>
          <w:sz w:val="21"/>
          <w:szCs w:val="21"/>
          <w:lang w:eastAsia="es-MX"/>
        </w:rPr>
        <w:tab/>
        <w:t xml:space="preserve">            </w:t>
      </w:r>
    </w:p>
    <w:p w14:paraId="3812FB50" w14:textId="77777777" w:rsidR="007D28B0" w:rsidRPr="009D4870" w:rsidRDefault="007D28B0" w:rsidP="007D28B0">
      <w:pPr>
        <w:pStyle w:val="Sinespaciado"/>
        <w:rPr>
          <w:rFonts w:ascii="Abadi" w:hAnsi="Abadi"/>
          <w:i/>
          <w:iCs/>
          <w:sz w:val="21"/>
          <w:szCs w:val="21"/>
        </w:rPr>
      </w:pPr>
    </w:p>
    <w:p w14:paraId="4B3FF664"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2195-A.</w:t>
      </w:r>
      <w:r w:rsidRPr="009D4870">
        <w:rPr>
          <w:rFonts w:ascii="Abadi" w:hAnsi="Abadi"/>
          <w:b w:val="0"/>
          <w:bCs w:val="0"/>
          <w:iCs/>
          <w:sz w:val="21"/>
          <w:szCs w:val="21"/>
        </w:rPr>
        <w:t xml:space="preserve"> Las asambleas de las asociaciones podrán celebrarse de forma presencial, por videoconferencia o mixtas. Las primeras son aquellas en las cuales implica necesariamente la presencia de los asociados en un domicilio físico determinado, las segundas aquellas en las cuales los asociados asisten y participan únicamente a través de medios electrónicos o plataformas digitales, y las últimas aquellas en las que se convoca a una reunión en la cual se permite a los asociados asistir al domicilio o participar a través de medios electrónicos o plataformas digitales.</w:t>
      </w:r>
    </w:p>
    <w:p w14:paraId="6FDC3B5C" w14:textId="77777777" w:rsidR="007D28B0" w:rsidRPr="009D4870" w:rsidRDefault="007D28B0" w:rsidP="007D28B0">
      <w:pPr>
        <w:pStyle w:val="Textoindependiente"/>
        <w:ind w:firstLine="708"/>
        <w:rPr>
          <w:rFonts w:ascii="Abadi" w:hAnsi="Abadi"/>
          <w:b w:val="0"/>
          <w:bCs w:val="0"/>
          <w:i/>
          <w:iCs/>
          <w:sz w:val="21"/>
          <w:szCs w:val="21"/>
        </w:rPr>
      </w:pPr>
    </w:p>
    <w:p w14:paraId="6EDE1AE0"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2195-B.</w:t>
      </w:r>
      <w:r w:rsidRPr="009D4870">
        <w:rPr>
          <w:rFonts w:ascii="Abadi" w:hAnsi="Abadi"/>
          <w:b w:val="0"/>
          <w:bCs w:val="0"/>
          <w:iCs/>
          <w:sz w:val="21"/>
          <w:szCs w:val="21"/>
        </w:rPr>
        <w:t xml:space="preserve"> En caso de que una asociación decida llevar a cabo una asamblea por videoconferencia o mixta, deberá publicar en su convocatoria la fecha, hora, medio, la dirección electrónica o número de la reunión, en su caso la contraseña, la forma en la cual se realizará la asamblea, así como la forma en que se llevará a cabo la identificación de los asociados y la forma en la que se realizará el cálculo del quorum de instalación y votación.</w:t>
      </w:r>
    </w:p>
    <w:p w14:paraId="59B9F74A" w14:textId="77777777" w:rsidR="007D28B0" w:rsidRPr="009D4870" w:rsidRDefault="007D28B0" w:rsidP="007D28B0">
      <w:pPr>
        <w:pStyle w:val="Textoindependiente"/>
        <w:ind w:firstLine="708"/>
        <w:rPr>
          <w:rFonts w:ascii="Abadi" w:hAnsi="Abadi"/>
          <w:b w:val="0"/>
          <w:bCs w:val="0"/>
          <w:i/>
          <w:iCs/>
          <w:sz w:val="21"/>
          <w:szCs w:val="21"/>
        </w:rPr>
      </w:pPr>
    </w:p>
    <w:p w14:paraId="4E50ABB9"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2195-C.</w:t>
      </w:r>
      <w:r w:rsidRPr="009D4870">
        <w:rPr>
          <w:rFonts w:ascii="Abadi" w:hAnsi="Abadi"/>
          <w:b w:val="0"/>
          <w:bCs w:val="0"/>
          <w:iCs/>
          <w:sz w:val="21"/>
          <w:szCs w:val="21"/>
        </w:rPr>
        <w:t xml:space="preserve"> Los medios electrónicos y plataformas digitales en los que se lleven a cabo las asambleas por videoconferencia y mixtas deberán satisfacer las características técnicas necesarias que permitan la transmisión continua, simultánea y en tiempo real de toda la duración de la asamblea, y de las deliberaciones y votaciones que se lleven a cabo durante la misma.</w:t>
      </w:r>
    </w:p>
    <w:p w14:paraId="07D8A9E2" w14:textId="77777777" w:rsidR="007D28B0" w:rsidRPr="009D4870" w:rsidRDefault="007D28B0" w:rsidP="007D28B0">
      <w:pPr>
        <w:pStyle w:val="Textoindependiente"/>
        <w:ind w:firstLine="708"/>
        <w:rPr>
          <w:rFonts w:ascii="Abadi" w:hAnsi="Abadi"/>
          <w:b w:val="0"/>
          <w:bCs w:val="0"/>
          <w:i/>
          <w:iCs/>
          <w:sz w:val="21"/>
          <w:szCs w:val="21"/>
        </w:rPr>
      </w:pPr>
    </w:p>
    <w:p w14:paraId="1DF9F621"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2195-D.</w:t>
      </w:r>
      <w:r w:rsidRPr="009D4870">
        <w:rPr>
          <w:rFonts w:ascii="Abadi" w:hAnsi="Abadi"/>
          <w:b w:val="0"/>
          <w:bCs w:val="0"/>
          <w:iCs/>
          <w:sz w:val="21"/>
          <w:szCs w:val="21"/>
        </w:rPr>
        <w:t xml:space="preserve"> Las asambleas que se lleven a cabo por videoconferencia o mixtas y que hayan sido convocadas de conformidad con lo establecido en el presente Código y en los estatutos, salvo disposición contraria, se entenderán que fueron celebradas en el domicilio social de la asociación.</w:t>
      </w:r>
    </w:p>
    <w:p w14:paraId="19641E37" w14:textId="77777777" w:rsidR="007D28B0" w:rsidRPr="009D4870" w:rsidRDefault="007D28B0" w:rsidP="007D28B0">
      <w:pPr>
        <w:pStyle w:val="Textoindependiente"/>
        <w:ind w:firstLine="708"/>
        <w:rPr>
          <w:rFonts w:ascii="Abadi" w:hAnsi="Abadi"/>
          <w:b w:val="0"/>
          <w:bCs w:val="0"/>
          <w:i/>
          <w:iCs/>
          <w:sz w:val="21"/>
          <w:szCs w:val="21"/>
        </w:rPr>
      </w:pPr>
    </w:p>
    <w:p w14:paraId="30E7EFBC"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2195–E.</w:t>
      </w:r>
      <w:r w:rsidRPr="009D4870">
        <w:rPr>
          <w:rFonts w:ascii="Abadi" w:hAnsi="Abadi"/>
          <w:b w:val="0"/>
          <w:bCs w:val="0"/>
          <w:iCs/>
          <w:sz w:val="21"/>
          <w:szCs w:val="21"/>
        </w:rPr>
        <w:t xml:space="preserve"> En caso de que una asociación decida llevar a cabo una asamblea por videoconferencia o mixta, la reunión </w:t>
      </w:r>
      <w:r w:rsidRPr="009D4870">
        <w:rPr>
          <w:rFonts w:ascii="Abadi" w:hAnsi="Abadi"/>
          <w:b w:val="0"/>
          <w:bCs w:val="0"/>
          <w:iCs/>
          <w:sz w:val="21"/>
          <w:szCs w:val="21"/>
        </w:rPr>
        <w:lastRenderedPageBreak/>
        <w:t>deberá grabarse y conservarse por el administrador u órgano de administración de la asociación y una copia de la grabación se agregará al acta respectiva. Podrá levantarse por escrito o en documento electrónico y será firmada electrónicamente por los medios digitales que se consideren oportunos.</w:t>
      </w:r>
    </w:p>
    <w:p w14:paraId="4CE4CB46" w14:textId="77777777" w:rsidR="007D28B0" w:rsidRPr="009D4870" w:rsidRDefault="007D28B0" w:rsidP="007D28B0">
      <w:pPr>
        <w:pStyle w:val="Textoindependiente"/>
        <w:ind w:firstLine="708"/>
        <w:rPr>
          <w:rFonts w:ascii="Abadi" w:hAnsi="Abadi"/>
          <w:b w:val="0"/>
          <w:bCs w:val="0"/>
          <w:i/>
          <w:iCs/>
          <w:sz w:val="21"/>
          <w:szCs w:val="21"/>
        </w:rPr>
      </w:pPr>
    </w:p>
    <w:p w14:paraId="00571D51"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2197.</w:t>
      </w:r>
      <w:r w:rsidRPr="009D4870">
        <w:rPr>
          <w:rFonts w:ascii="Abadi" w:hAnsi="Abadi"/>
          <w:b w:val="0"/>
          <w:bCs w:val="0"/>
          <w:iCs/>
          <w:sz w:val="21"/>
          <w:szCs w:val="21"/>
        </w:rPr>
        <w:t xml:space="preserve"> Las asambleas generales sólo se ocuparán de los asuntos contenidos en la respectiva orden del día. Sus decisiones serán tomadas por mayoría de votos de los miembros que, de manera presencial, acudan a la asamblea o por aquellos que estén conectados mediante videoconferencia. </w:t>
      </w:r>
    </w:p>
    <w:p w14:paraId="290C5A95" w14:textId="77777777" w:rsidR="007D28B0" w:rsidRPr="009D4870" w:rsidRDefault="007D28B0" w:rsidP="007D28B0">
      <w:pPr>
        <w:pStyle w:val="Textoindependiente"/>
        <w:ind w:firstLine="708"/>
        <w:rPr>
          <w:rFonts w:ascii="Abadi" w:hAnsi="Abadi"/>
          <w:b w:val="0"/>
          <w:bCs w:val="0"/>
          <w:i/>
          <w:iCs/>
          <w:sz w:val="21"/>
          <w:szCs w:val="21"/>
        </w:rPr>
      </w:pPr>
    </w:p>
    <w:p w14:paraId="59FBDBC6"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iCs/>
          <w:sz w:val="21"/>
          <w:szCs w:val="21"/>
        </w:rPr>
        <w:t>Art. 2212-A.</w:t>
      </w:r>
      <w:r w:rsidRPr="009D4870">
        <w:rPr>
          <w:rFonts w:ascii="Abadi" w:hAnsi="Abadi"/>
          <w:b w:val="0"/>
          <w:bCs w:val="0"/>
          <w:iCs/>
          <w:sz w:val="21"/>
          <w:szCs w:val="21"/>
        </w:rPr>
        <w:t xml:space="preserve"> Las asambleas generales de socios serán el órgano supremo de la sociedad. Podrán celebrarse de forma presencial, por videoconferencia o mixtas conforme al presente Código, y le serán aplicables las disposiciones de las asociaciones civiles relativas a las convocatorias, celebración de las asambleas y registro.»</w:t>
      </w:r>
    </w:p>
    <w:p w14:paraId="2E2B1465" w14:textId="77777777" w:rsidR="007D28B0" w:rsidRPr="009D4870" w:rsidRDefault="007D28B0" w:rsidP="007D28B0">
      <w:pPr>
        <w:pStyle w:val="Textoindependiente"/>
        <w:jc w:val="center"/>
        <w:rPr>
          <w:rFonts w:ascii="Abadi" w:hAnsi="Abadi"/>
          <w:b w:val="0"/>
          <w:bCs w:val="0"/>
          <w:i/>
          <w:iCs/>
          <w:sz w:val="21"/>
          <w:szCs w:val="21"/>
        </w:rPr>
      </w:pPr>
    </w:p>
    <w:p w14:paraId="45BA3BE3" w14:textId="77777777" w:rsidR="007D28B0" w:rsidRPr="009D4870" w:rsidRDefault="007D28B0" w:rsidP="007D28B0">
      <w:pPr>
        <w:pStyle w:val="Textoindependiente"/>
        <w:jc w:val="center"/>
        <w:rPr>
          <w:rFonts w:ascii="Abadi" w:hAnsi="Abadi"/>
          <w:i/>
          <w:iCs/>
          <w:sz w:val="21"/>
          <w:szCs w:val="21"/>
        </w:rPr>
      </w:pPr>
      <w:r w:rsidRPr="009D4870">
        <w:rPr>
          <w:rFonts w:ascii="Abadi" w:hAnsi="Abadi"/>
          <w:iCs/>
          <w:sz w:val="21"/>
          <w:szCs w:val="21"/>
        </w:rPr>
        <w:t>TRANSITORIO</w:t>
      </w:r>
    </w:p>
    <w:p w14:paraId="1639A559" w14:textId="77777777" w:rsidR="009D4870" w:rsidRDefault="009D4870" w:rsidP="007D28B0">
      <w:pPr>
        <w:pStyle w:val="Sinespaciado"/>
        <w:jc w:val="right"/>
        <w:rPr>
          <w:rFonts w:ascii="Abadi" w:hAnsi="Abadi"/>
          <w:iCs/>
          <w:sz w:val="21"/>
          <w:szCs w:val="21"/>
        </w:rPr>
      </w:pPr>
    </w:p>
    <w:p w14:paraId="14983B19" w14:textId="183A78D1" w:rsidR="007D28B0" w:rsidRPr="009D4870" w:rsidRDefault="007D28B0" w:rsidP="007D28B0">
      <w:pPr>
        <w:pStyle w:val="Sinespaciado"/>
        <w:jc w:val="right"/>
        <w:rPr>
          <w:rFonts w:ascii="Abadi" w:hAnsi="Abadi"/>
          <w:iCs/>
          <w:sz w:val="21"/>
          <w:szCs w:val="21"/>
        </w:rPr>
      </w:pPr>
      <w:r w:rsidRPr="009D4870">
        <w:rPr>
          <w:rFonts w:ascii="Abadi" w:hAnsi="Abadi"/>
          <w:iCs/>
          <w:sz w:val="21"/>
          <w:szCs w:val="21"/>
        </w:rPr>
        <w:t>Inicio de vigencia</w:t>
      </w:r>
    </w:p>
    <w:p w14:paraId="2F1FFA6F" w14:textId="77777777" w:rsidR="007D28B0" w:rsidRPr="009D4870" w:rsidRDefault="007D28B0" w:rsidP="007D28B0">
      <w:pPr>
        <w:pStyle w:val="Textoindependiente"/>
        <w:ind w:firstLine="708"/>
        <w:rPr>
          <w:rFonts w:ascii="Abadi" w:hAnsi="Abadi"/>
          <w:b w:val="0"/>
          <w:bCs w:val="0"/>
          <w:i/>
          <w:iCs/>
          <w:sz w:val="21"/>
          <w:szCs w:val="21"/>
        </w:rPr>
      </w:pPr>
      <w:r w:rsidRPr="009D4870">
        <w:rPr>
          <w:rFonts w:ascii="Abadi" w:hAnsi="Abadi"/>
          <w:b w:val="0"/>
          <w:bCs w:val="0"/>
          <w:iCs/>
          <w:sz w:val="21"/>
          <w:szCs w:val="21"/>
        </w:rPr>
        <w:t>Artículo Único. El presente Decreto entrará en vigor el día siguiente al de su publicación en el Periódico Oficial del Gobierno del Estado de Guanajuato.</w:t>
      </w:r>
    </w:p>
    <w:p w14:paraId="78D751AF" w14:textId="77777777" w:rsidR="007D28B0" w:rsidRPr="009D4870" w:rsidRDefault="007D28B0" w:rsidP="007D28B0">
      <w:pPr>
        <w:pStyle w:val="Sinespaciado"/>
        <w:jc w:val="center"/>
        <w:rPr>
          <w:rFonts w:ascii="Abadi" w:hAnsi="Abadi"/>
          <w:i/>
          <w:sz w:val="21"/>
          <w:szCs w:val="21"/>
        </w:rPr>
      </w:pPr>
      <w:bookmarkStart w:id="9" w:name="_Hlk104983927"/>
    </w:p>
    <w:p w14:paraId="77658CD9"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 xml:space="preserve">Guanajuato, </w:t>
      </w:r>
      <w:proofErr w:type="spellStart"/>
      <w:r w:rsidRPr="000E5AD4">
        <w:rPr>
          <w:rFonts w:ascii="Abadi" w:hAnsi="Abadi"/>
          <w:b/>
          <w:sz w:val="21"/>
          <w:szCs w:val="21"/>
        </w:rPr>
        <w:t>Gto</w:t>
      </w:r>
      <w:proofErr w:type="spellEnd"/>
      <w:r w:rsidRPr="000E5AD4">
        <w:rPr>
          <w:rFonts w:ascii="Abadi" w:hAnsi="Abadi"/>
          <w:b/>
          <w:sz w:val="21"/>
          <w:szCs w:val="21"/>
        </w:rPr>
        <w:t>., 19 de junio de 2023</w:t>
      </w:r>
    </w:p>
    <w:p w14:paraId="0DD95ECA"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La Comisión de Justicia</w:t>
      </w:r>
    </w:p>
    <w:p w14:paraId="67162BE5" w14:textId="77777777" w:rsidR="007D28B0" w:rsidRPr="000E5AD4" w:rsidRDefault="007D28B0" w:rsidP="007D28B0">
      <w:pPr>
        <w:pStyle w:val="Sinespaciado"/>
        <w:jc w:val="center"/>
        <w:rPr>
          <w:rFonts w:ascii="Abadi" w:hAnsi="Abadi"/>
          <w:b/>
          <w:i/>
          <w:sz w:val="21"/>
          <w:szCs w:val="21"/>
        </w:rPr>
      </w:pPr>
    </w:p>
    <w:p w14:paraId="589ED917" w14:textId="77777777" w:rsidR="007D28B0" w:rsidRPr="000E5AD4" w:rsidRDefault="007D28B0" w:rsidP="007D28B0">
      <w:pPr>
        <w:pStyle w:val="Sinespaciado"/>
        <w:jc w:val="center"/>
        <w:rPr>
          <w:rFonts w:ascii="Abadi" w:hAnsi="Abadi"/>
          <w:b/>
          <w:i/>
          <w:sz w:val="21"/>
          <w:szCs w:val="21"/>
        </w:rPr>
      </w:pPr>
    </w:p>
    <w:p w14:paraId="60FB2C95"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Laura Cristina Márquez Alcalá</w:t>
      </w:r>
    </w:p>
    <w:p w14:paraId="1EEA392E"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Diputada presidenta</w:t>
      </w:r>
    </w:p>
    <w:p w14:paraId="1AA06684" w14:textId="77777777" w:rsidR="007D28B0" w:rsidRPr="000E5AD4" w:rsidRDefault="007D28B0" w:rsidP="007D28B0">
      <w:pPr>
        <w:pStyle w:val="Sinespaciado"/>
        <w:jc w:val="center"/>
        <w:rPr>
          <w:rFonts w:ascii="Abadi" w:hAnsi="Abadi"/>
          <w:b/>
          <w:i/>
          <w:sz w:val="21"/>
          <w:szCs w:val="21"/>
        </w:rPr>
      </w:pPr>
    </w:p>
    <w:p w14:paraId="16899066" w14:textId="77777777" w:rsidR="007D28B0" w:rsidRPr="000E5AD4" w:rsidRDefault="007D28B0" w:rsidP="007D28B0">
      <w:pPr>
        <w:pStyle w:val="Sinespaciado"/>
        <w:jc w:val="center"/>
        <w:rPr>
          <w:rFonts w:ascii="Abadi" w:hAnsi="Abadi"/>
          <w:b/>
          <w:i/>
          <w:sz w:val="21"/>
          <w:szCs w:val="21"/>
        </w:rPr>
      </w:pPr>
    </w:p>
    <w:p w14:paraId="3675669B" w14:textId="77777777" w:rsidR="007D28B0" w:rsidRPr="000E5AD4" w:rsidRDefault="007D28B0" w:rsidP="007D28B0">
      <w:pPr>
        <w:pStyle w:val="Sinespaciado"/>
        <w:rPr>
          <w:rFonts w:ascii="Abadi" w:hAnsi="Abadi"/>
          <w:b/>
          <w:i/>
          <w:sz w:val="21"/>
          <w:szCs w:val="21"/>
        </w:rPr>
      </w:pPr>
    </w:p>
    <w:p w14:paraId="50EE2212"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Susana Bermúdez Cano</w:t>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t xml:space="preserve">                Bricio Balderas Álvarez </w:t>
      </w:r>
    </w:p>
    <w:p w14:paraId="5A9DFD9B"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 xml:space="preserve">      Diputada vocal</w:t>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r>
      <w:r w:rsidRPr="000E5AD4">
        <w:rPr>
          <w:rFonts w:ascii="Abadi" w:hAnsi="Abadi"/>
          <w:b/>
          <w:sz w:val="21"/>
          <w:szCs w:val="21"/>
        </w:rPr>
        <w:tab/>
        <w:t xml:space="preserve">            Diputado vocal</w:t>
      </w:r>
    </w:p>
    <w:p w14:paraId="7A1700D1" w14:textId="77777777" w:rsidR="007D28B0" w:rsidRPr="000E5AD4" w:rsidRDefault="007D28B0" w:rsidP="007D28B0">
      <w:pPr>
        <w:pStyle w:val="Sinespaciado"/>
        <w:jc w:val="center"/>
        <w:rPr>
          <w:rFonts w:ascii="Abadi" w:hAnsi="Abadi"/>
          <w:b/>
          <w:i/>
          <w:sz w:val="21"/>
          <w:szCs w:val="21"/>
        </w:rPr>
      </w:pPr>
    </w:p>
    <w:p w14:paraId="5F874623" w14:textId="77777777" w:rsidR="007D28B0" w:rsidRPr="000E5AD4" w:rsidRDefault="007D28B0" w:rsidP="007D28B0">
      <w:pPr>
        <w:pStyle w:val="Sinespaciado"/>
        <w:rPr>
          <w:rFonts w:ascii="Abadi" w:hAnsi="Abadi"/>
          <w:b/>
          <w:i/>
          <w:sz w:val="21"/>
          <w:szCs w:val="21"/>
        </w:rPr>
      </w:pPr>
    </w:p>
    <w:p w14:paraId="28183FE5"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Gustavo Adolfo Alfaro Reyes                               Cuauhtémoc Becerra González</w:t>
      </w:r>
    </w:p>
    <w:p w14:paraId="455807A9" w14:textId="77777777" w:rsidR="007D28B0" w:rsidRPr="000E5AD4" w:rsidRDefault="007D28B0" w:rsidP="007D28B0">
      <w:pPr>
        <w:pStyle w:val="Sinespaciado"/>
        <w:jc w:val="center"/>
        <w:rPr>
          <w:rFonts w:ascii="Abadi" w:hAnsi="Abadi"/>
          <w:b/>
          <w:i/>
          <w:sz w:val="21"/>
          <w:szCs w:val="21"/>
        </w:rPr>
      </w:pPr>
      <w:r w:rsidRPr="000E5AD4">
        <w:rPr>
          <w:rFonts w:ascii="Abadi" w:hAnsi="Abadi"/>
          <w:b/>
          <w:sz w:val="21"/>
          <w:szCs w:val="21"/>
        </w:rPr>
        <w:t xml:space="preserve">    Diputado vocal                                                      Diputado secretario</w:t>
      </w:r>
      <w:bookmarkEnd w:id="9"/>
    </w:p>
    <w:p w14:paraId="4CEA5073" w14:textId="77777777" w:rsidR="007D28B0" w:rsidRDefault="007D28B0" w:rsidP="007D28B0">
      <w:pPr>
        <w:pStyle w:val="Sinespaciado"/>
        <w:rPr>
          <w:rFonts w:ascii="Abadi" w:hAnsi="Abadi"/>
          <w:b/>
          <w:i/>
          <w:sz w:val="21"/>
          <w:szCs w:val="21"/>
        </w:rPr>
      </w:pPr>
    </w:p>
    <w:p w14:paraId="5A42E5EA" w14:textId="77777777" w:rsidR="005E4287" w:rsidRDefault="005E4287" w:rsidP="007D28B0">
      <w:pPr>
        <w:pStyle w:val="Sinespaciado"/>
        <w:rPr>
          <w:rFonts w:ascii="Abadi" w:hAnsi="Abadi"/>
          <w:b/>
          <w:i/>
          <w:sz w:val="21"/>
          <w:szCs w:val="21"/>
        </w:rPr>
      </w:pPr>
    </w:p>
    <w:p w14:paraId="505C6545" w14:textId="7B75EEA0" w:rsidR="004E138C" w:rsidRDefault="004E138C" w:rsidP="004E138C">
      <w:pPr>
        <w:jc w:val="both"/>
        <w:rPr>
          <w:rFonts w:ascii="Abadi" w:hAnsi="Abadi"/>
          <w:b/>
          <w:bCs/>
          <w:sz w:val="21"/>
          <w:szCs w:val="21"/>
        </w:rPr>
      </w:pPr>
      <w:r>
        <w:rPr>
          <w:rFonts w:ascii="Abadi" w:hAnsi="Abadi"/>
          <w:b/>
          <w:bCs/>
          <w:sz w:val="21"/>
          <w:szCs w:val="21"/>
        </w:rPr>
        <w:tab/>
      </w:r>
      <w:r w:rsidRPr="00950E70">
        <w:rPr>
          <w:rFonts w:ascii="Abadi" w:hAnsi="Abadi"/>
          <w:b/>
          <w:bCs/>
          <w:sz w:val="21"/>
          <w:szCs w:val="21"/>
        </w:rPr>
        <w:t xml:space="preserve">- La </w:t>
      </w:r>
      <w:proofErr w:type="gramStart"/>
      <w:r w:rsidRPr="00950E70">
        <w:rPr>
          <w:rFonts w:ascii="Abadi" w:hAnsi="Abadi"/>
          <w:b/>
          <w:bCs/>
          <w:sz w:val="21"/>
          <w:szCs w:val="21"/>
        </w:rPr>
        <w:t>Presidencia.-</w:t>
      </w:r>
      <w:proofErr w:type="gramEnd"/>
      <w:r>
        <w:rPr>
          <w:rFonts w:ascii="Abadi" w:hAnsi="Abadi"/>
          <w:sz w:val="21"/>
          <w:szCs w:val="21"/>
        </w:rPr>
        <w:t xml:space="preserve"> </w:t>
      </w:r>
      <w:r w:rsidRPr="00950E70">
        <w:rPr>
          <w:rFonts w:ascii="Abadi" w:hAnsi="Abadi"/>
          <w:sz w:val="21"/>
          <w:szCs w:val="21"/>
        </w:rPr>
        <w:t>Se somete a discusión en lo general el dictamen suscrito por la Comisión de Justicia correspondiente el punto 23 del orden del día.</w:t>
      </w:r>
      <w:r>
        <w:rPr>
          <w:rFonts w:ascii="Abadi" w:hAnsi="Abadi"/>
          <w:sz w:val="21"/>
          <w:szCs w:val="21"/>
        </w:rPr>
        <w:t xml:space="preserve"> </w:t>
      </w:r>
      <w:r w:rsidRPr="00F310A4">
        <w:rPr>
          <w:rFonts w:ascii="Abadi" w:hAnsi="Abadi"/>
          <w:b/>
          <w:bCs/>
          <w:sz w:val="21"/>
          <w:szCs w:val="21"/>
        </w:rPr>
        <w:t>(ELD 329/LXV-I)</w:t>
      </w:r>
    </w:p>
    <w:p w14:paraId="437BB25A" w14:textId="77777777" w:rsidR="004E138C" w:rsidRPr="00F310A4" w:rsidRDefault="004E138C" w:rsidP="004E138C">
      <w:pPr>
        <w:jc w:val="both"/>
        <w:rPr>
          <w:rFonts w:ascii="Abadi" w:hAnsi="Abadi"/>
          <w:b/>
          <w:bCs/>
          <w:sz w:val="21"/>
          <w:szCs w:val="21"/>
        </w:rPr>
      </w:pPr>
    </w:p>
    <w:p w14:paraId="03A5E2CF" w14:textId="77777777" w:rsidR="004E138C" w:rsidRDefault="004E138C" w:rsidP="004E138C">
      <w:pPr>
        <w:jc w:val="both"/>
        <w:rPr>
          <w:rFonts w:ascii="Abadi" w:hAnsi="Abadi"/>
          <w:sz w:val="21"/>
          <w:szCs w:val="21"/>
        </w:rPr>
      </w:pPr>
      <w:r>
        <w:rPr>
          <w:rFonts w:ascii="Abadi" w:hAnsi="Abadi"/>
          <w:sz w:val="21"/>
          <w:szCs w:val="21"/>
        </w:rPr>
        <w:tab/>
        <w:t>- M</w:t>
      </w:r>
      <w:r w:rsidRPr="0030088F">
        <w:rPr>
          <w:rFonts w:ascii="Abadi" w:hAnsi="Abadi"/>
          <w:sz w:val="21"/>
          <w:szCs w:val="21"/>
        </w:rPr>
        <w:t>e permite informar que previamente se ha inscrito la diputada Laura Cristina Márquez Alcalá</w:t>
      </w:r>
      <w:r>
        <w:rPr>
          <w:rFonts w:ascii="Abadi" w:hAnsi="Abadi"/>
          <w:sz w:val="21"/>
          <w:szCs w:val="21"/>
        </w:rPr>
        <w:t>,</w:t>
      </w:r>
      <w:r w:rsidRPr="0030088F">
        <w:rPr>
          <w:rFonts w:ascii="Abadi" w:hAnsi="Abadi"/>
          <w:sz w:val="21"/>
          <w:szCs w:val="21"/>
        </w:rPr>
        <w:t xml:space="preserve"> en los términos del artículo 178 fracción </w:t>
      </w:r>
      <w:r>
        <w:rPr>
          <w:rFonts w:ascii="Abadi" w:hAnsi="Abadi"/>
          <w:sz w:val="21"/>
          <w:szCs w:val="21"/>
        </w:rPr>
        <w:t>I</w:t>
      </w:r>
      <w:r w:rsidRPr="0030088F">
        <w:rPr>
          <w:rFonts w:ascii="Abadi" w:hAnsi="Abadi"/>
          <w:sz w:val="21"/>
          <w:szCs w:val="21"/>
        </w:rPr>
        <w:t xml:space="preserve"> de nuestra </w:t>
      </w:r>
      <w:r>
        <w:rPr>
          <w:rFonts w:ascii="Abadi" w:hAnsi="Abadi"/>
          <w:sz w:val="21"/>
          <w:szCs w:val="21"/>
        </w:rPr>
        <w:t>L</w:t>
      </w:r>
      <w:r w:rsidRPr="0030088F">
        <w:rPr>
          <w:rFonts w:ascii="Abadi" w:hAnsi="Abadi"/>
          <w:sz w:val="21"/>
          <w:szCs w:val="21"/>
        </w:rPr>
        <w:t xml:space="preserve">ey </w:t>
      </w:r>
      <w:r>
        <w:rPr>
          <w:rFonts w:ascii="Abadi" w:hAnsi="Abadi"/>
          <w:sz w:val="21"/>
          <w:szCs w:val="21"/>
        </w:rPr>
        <w:t>O</w:t>
      </w:r>
      <w:r w:rsidRPr="0030088F">
        <w:rPr>
          <w:rFonts w:ascii="Abadi" w:hAnsi="Abadi"/>
          <w:sz w:val="21"/>
          <w:szCs w:val="21"/>
        </w:rPr>
        <w:t>rgánica como autora del dictamen</w:t>
      </w:r>
      <w:r>
        <w:rPr>
          <w:rFonts w:ascii="Abadi" w:hAnsi="Abadi"/>
          <w:sz w:val="21"/>
          <w:szCs w:val="21"/>
        </w:rPr>
        <w:t>,</w:t>
      </w:r>
      <w:r w:rsidRPr="0030088F">
        <w:rPr>
          <w:rFonts w:ascii="Abadi" w:hAnsi="Abadi"/>
          <w:sz w:val="21"/>
          <w:szCs w:val="21"/>
        </w:rPr>
        <w:t xml:space="preserve"> si desean hacer uso de la palabra en pro o en contra manifiéstenlo indicando el sentido de su participación </w:t>
      </w:r>
      <w:r>
        <w:rPr>
          <w:rFonts w:ascii="Abadi" w:hAnsi="Abadi"/>
          <w:sz w:val="21"/>
          <w:szCs w:val="21"/>
        </w:rPr>
        <w:t xml:space="preserve">a esta presidencia. </w:t>
      </w:r>
    </w:p>
    <w:p w14:paraId="035A41A7" w14:textId="77777777" w:rsidR="004E138C" w:rsidRDefault="004E138C" w:rsidP="004E138C">
      <w:pPr>
        <w:jc w:val="both"/>
        <w:rPr>
          <w:rFonts w:ascii="Abadi" w:hAnsi="Abadi"/>
          <w:sz w:val="21"/>
          <w:szCs w:val="21"/>
        </w:rPr>
      </w:pPr>
    </w:p>
    <w:p w14:paraId="0DFAD168" w14:textId="77777777" w:rsidR="004E138C" w:rsidRDefault="004E138C" w:rsidP="004E138C">
      <w:pPr>
        <w:jc w:val="both"/>
        <w:rPr>
          <w:rFonts w:ascii="Abadi" w:hAnsi="Abadi"/>
          <w:sz w:val="21"/>
          <w:szCs w:val="21"/>
        </w:rPr>
      </w:pPr>
      <w:r>
        <w:rPr>
          <w:rFonts w:ascii="Abadi" w:hAnsi="Abadi"/>
          <w:sz w:val="21"/>
          <w:szCs w:val="21"/>
        </w:rPr>
        <w:tab/>
        <w:t xml:space="preserve">- Se concede el uso de la voz a la diputada Laura Cristina. </w:t>
      </w:r>
    </w:p>
    <w:p w14:paraId="51A2161E" w14:textId="77777777" w:rsidR="004E138C" w:rsidRDefault="004E138C" w:rsidP="004E138C">
      <w:pPr>
        <w:jc w:val="both"/>
        <w:rPr>
          <w:rFonts w:ascii="Abadi" w:hAnsi="Abadi"/>
          <w:sz w:val="21"/>
          <w:szCs w:val="21"/>
        </w:rPr>
      </w:pPr>
    </w:p>
    <w:p w14:paraId="6A402AB7" w14:textId="77777777" w:rsidR="004E138C" w:rsidRDefault="004E138C" w:rsidP="004E138C">
      <w:pPr>
        <w:jc w:val="both"/>
        <w:rPr>
          <w:rFonts w:ascii="Abadi" w:hAnsi="Abadi"/>
          <w:sz w:val="21"/>
          <w:szCs w:val="21"/>
        </w:rPr>
      </w:pPr>
      <w:r>
        <w:rPr>
          <w:rFonts w:ascii="Abadi" w:hAnsi="Abadi"/>
          <w:sz w:val="21"/>
          <w:szCs w:val="21"/>
        </w:rPr>
        <w:tab/>
        <w:t xml:space="preserve">- Adelante. </w:t>
      </w:r>
    </w:p>
    <w:p w14:paraId="2F832848" w14:textId="77777777" w:rsidR="004E138C" w:rsidRDefault="004E138C" w:rsidP="004E138C">
      <w:pPr>
        <w:jc w:val="both"/>
        <w:rPr>
          <w:rFonts w:ascii="Abadi" w:hAnsi="Abadi"/>
          <w:sz w:val="21"/>
          <w:szCs w:val="21"/>
        </w:rPr>
      </w:pPr>
    </w:p>
    <w:p w14:paraId="3AB3A791" w14:textId="77777777" w:rsidR="004E138C" w:rsidRDefault="004E138C" w:rsidP="004E138C">
      <w:pPr>
        <w:jc w:val="both"/>
        <w:rPr>
          <w:rFonts w:ascii="Abadi" w:hAnsi="Abadi"/>
          <w:b/>
          <w:bCs/>
          <w:sz w:val="21"/>
          <w:szCs w:val="21"/>
        </w:rPr>
      </w:pPr>
      <w:r w:rsidRPr="000009ED">
        <w:rPr>
          <w:rFonts w:ascii="Abadi" w:hAnsi="Abadi"/>
          <w:b/>
          <w:bCs/>
          <w:sz w:val="21"/>
          <w:szCs w:val="21"/>
        </w:rPr>
        <w:t xml:space="preserve">(Sube a tribuna la diputada Laura Cristina Márquez Alcalá, para hablar como autora del </w:t>
      </w:r>
      <w:proofErr w:type="gramStart"/>
      <w:r w:rsidRPr="000009ED">
        <w:rPr>
          <w:rFonts w:ascii="Abadi" w:hAnsi="Abadi"/>
          <w:b/>
          <w:bCs/>
          <w:sz w:val="21"/>
          <w:szCs w:val="21"/>
        </w:rPr>
        <w:t>dictamen  en</w:t>
      </w:r>
      <w:proofErr w:type="gramEnd"/>
      <w:r w:rsidRPr="000009ED">
        <w:rPr>
          <w:rFonts w:ascii="Abadi" w:hAnsi="Abadi"/>
          <w:b/>
          <w:bCs/>
          <w:sz w:val="21"/>
          <w:szCs w:val="21"/>
        </w:rPr>
        <w:t xml:space="preserve"> referencia) </w:t>
      </w:r>
    </w:p>
    <w:p w14:paraId="6F162BF6" w14:textId="2121FA6E" w:rsidR="004E138C" w:rsidRDefault="004E138C" w:rsidP="004E138C">
      <w:pPr>
        <w:jc w:val="both"/>
        <w:rPr>
          <w:rFonts w:ascii="Abadi" w:hAnsi="Abadi"/>
          <w:b/>
          <w:bCs/>
          <w:sz w:val="21"/>
          <w:szCs w:val="21"/>
        </w:rPr>
      </w:pPr>
    </w:p>
    <w:p w14:paraId="19302D89" w14:textId="5D76FF4C" w:rsidR="004E138C" w:rsidRPr="000009ED" w:rsidRDefault="004E138C" w:rsidP="004E138C">
      <w:pPr>
        <w:jc w:val="both"/>
        <w:rPr>
          <w:rFonts w:ascii="Abadi" w:hAnsi="Abadi"/>
          <w:b/>
          <w:bCs/>
          <w:sz w:val="21"/>
          <w:szCs w:val="21"/>
        </w:rPr>
      </w:pPr>
    </w:p>
    <w:p w14:paraId="684F9BA9" w14:textId="6A9E8B15" w:rsidR="004E138C" w:rsidRDefault="004E138C" w:rsidP="004E138C">
      <w:pPr>
        <w:jc w:val="both"/>
        <w:rPr>
          <w:rFonts w:ascii="Abadi" w:hAnsi="Abadi"/>
          <w:sz w:val="21"/>
          <w:szCs w:val="21"/>
        </w:rPr>
      </w:pPr>
    </w:p>
    <w:p w14:paraId="3BE8D0A8" w14:textId="392CFFD8" w:rsidR="004E138C" w:rsidRDefault="004E138C" w:rsidP="004E138C">
      <w:pPr>
        <w:jc w:val="both"/>
        <w:rPr>
          <w:rFonts w:ascii="Abadi" w:hAnsi="Abadi"/>
          <w:sz w:val="21"/>
          <w:szCs w:val="21"/>
        </w:rPr>
      </w:pPr>
      <w:r>
        <w:rPr>
          <w:noProof/>
        </w:rPr>
        <w:drawing>
          <wp:anchor distT="0" distB="0" distL="114300" distR="114300" simplePos="0" relativeHeight="251669526" behindDoc="1" locked="0" layoutInCell="1" allowOverlap="1" wp14:anchorId="210145B2" wp14:editId="44073748">
            <wp:simplePos x="0" y="0"/>
            <wp:positionH relativeFrom="column">
              <wp:posOffset>440418</wp:posOffset>
            </wp:positionH>
            <wp:positionV relativeFrom="paragraph">
              <wp:posOffset>55063</wp:posOffset>
            </wp:positionV>
            <wp:extent cx="1504950" cy="803206"/>
            <wp:effectExtent l="247650" t="228600" r="247650" b="778510"/>
            <wp:wrapTight wrapText="bothSides">
              <wp:wrapPolygon edited="0">
                <wp:start x="-3554" y="-6152"/>
                <wp:lineTo x="-3554" y="42038"/>
                <wp:lineTo x="24881" y="42038"/>
                <wp:lineTo x="24881" y="-6152"/>
                <wp:lineTo x="-3554" y="-6152"/>
              </wp:wrapPolygon>
            </wp:wrapTight>
            <wp:docPr id="497690401" name="Imagen 497690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690401" name=""/>
                    <pic:cNvPicPr/>
                  </pic:nvPicPr>
                  <pic:blipFill rotWithShape="1">
                    <a:blip r:embed="rId59" cstate="print">
                      <a:extLst>
                        <a:ext uri="{28A0092B-C50C-407E-A947-70E740481C1C}">
                          <a14:useLocalDpi xmlns:a14="http://schemas.microsoft.com/office/drawing/2010/main" val="0"/>
                        </a:ext>
                      </a:extLst>
                    </a:blip>
                    <a:srcRect b="5111"/>
                    <a:stretch/>
                  </pic:blipFill>
                  <pic:spPr bwMode="auto">
                    <a:xfrm>
                      <a:off x="0" y="0"/>
                      <a:ext cx="1504950" cy="803206"/>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702D97C" w14:textId="77777777" w:rsidR="004E138C" w:rsidRDefault="004E138C" w:rsidP="004E138C">
      <w:pPr>
        <w:jc w:val="both"/>
        <w:rPr>
          <w:rFonts w:ascii="Abadi" w:hAnsi="Abadi"/>
          <w:sz w:val="21"/>
          <w:szCs w:val="21"/>
        </w:rPr>
      </w:pPr>
    </w:p>
    <w:p w14:paraId="40C9DF5F" w14:textId="77777777" w:rsidR="004E138C" w:rsidRDefault="004E138C" w:rsidP="004E138C">
      <w:pPr>
        <w:jc w:val="both"/>
        <w:rPr>
          <w:rFonts w:ascii="Abadi" w:hAnsi="Abadi"/>
          <w:sz w:val="21"/>
          <w:szCs w:val="21"/>
        </w:rPr>
      </w:pPr>
    </w:p>
    <w:p w14:paraId="431EBA72" w14:textId="77777777" w:rsidR="004E138C" w:rsidRDefault="004E138C" w:rsidP="004E138C">
      <w:pPr>
        <w:jc w:val="both"/>
        <w:rPr>
          <w:rFonts w:ascii="Abadi" w:hAnsi="Abadi"/>
          <w:sz w:val="21"/>
          <w:szCs w:val="21"/>
        </w:rPr>
      </w:pPr>
    </w:p>
    <w:p w14:paraId="0C72A85A" w14:textId="77777777" w:rsidR="004E138C" w:rsidRDefault="004E138C" w:rsidP="004E138C">
      <w:pPr>
        <w:jc w:val="both"/>
        <w:rPr>
          <w:rFonts w:ascii="Abadi" w:hAnsi="Abadi"/>
          <w:sz w:val="21"/>
          <w:szCs w:val="21"/>
        </w:rPr>
      </w:pPr>
    </w:p>
    <w:p w14:paraId="1C7C8DDF" w14:textId="77777777" w:rsidR="004E138C" w:rsidRDefault="004E138C" w:rsidP="004E138C">
      <w:pPr>
        <w:jc w:val="both"/>
        <w:rPr>
          <w:rFonts w:ascii="Abadi" w:hAnsi="Abadi"/>
          <w:sz w:val="21"/>
          <w:szCs w:val="21"/>
        </w:rPr>
      </w:pPr>
    </w:p>
    <w:p w14:paraId="5B65A37B" w14:textId="77777777" w:rsidR="004E138C" w:rsidRDefault="004E138C" w:rsidP="004E138C">
      <w:pPr>
        <w:jc w:val="both"/>
        <w:rPr>
          <w:rFonts w:ascii="Abadi" w:hAnsi="Abadi"/>
          <w:sz w:val="21"/>
          <w:szCs w:val="21"/>
        </w:rPr>
      </w:pPr>
    </w:p>
    <w:p w14:paraId="06B6224D" w14:textId="77777777" w:rsidR="004E138C" w:rsidRDefault="004E138C" w:rsidP="004E138C">
      <w:pPr>
        <w:jc w:val="both"/>
        <w:rPr>
          <w:rFonts w:ascii="Abadi" w:hAnsi="Abadi"/>
          <w:sz w:val="21"/>
          <w:szCs w:val="21"/>
        </w:rPr>
      </w:pPr>
    </w:p>
    <w:p w14:paraId="237A0674" w14:textId="77777777" w:rsidR="004E138C" w:rsidRDefault="004E138C" w:rsidP="004E138C">
      <w:pPr>
        <w:jc w:val="both"/>
        <w:rPr>
          <w:rFonts w:ascii="Abadi" w:hAnsi="Abadi"/>
          <w:sz w:val="21"/>
          <w:szCs w:val="21"/>
        </w:rPr>
      </w:pPr>
    </w:p>
    <w:p w14:paraId="5CA859CE" w14:textId="77777777" w:rsidR="004E138C" w:rsidRDefault="004E138C" w:rsidP="004E138C">
      <w:pPr>
        <w:jc w:val="both"/>
        <w:rPr>
          <w:rFonts w:ascii="Abadi" w:hAnsi="Abadi"/>
          <w:sz w:val="21"/>
          <w:szCs w:val="21"/>
        </w:rPr>
      </w:pPr>
    </w:p>
    <w:p w14:paraId="67D3FC2C" w14:textId="77777777" w:rsidR="004E138C" w:rsidRDefault="004E138C" w:rsidP="004E138C">
      <w:pPr>
        <w:jc w:val="both"/>
        <w:rPr>
          <w:rFonts w:ascii="Abadi" w:hAnsi="Abadi"/>
          <w:sz w:val="21"/>
          <w:szCs w:val="21"/>
        </w:rPr>
      </w:pPr>
    </w:p>
    <w:p w14:paraId="511399C1" w14:textId="77777777" w:rsidR="004E138C" w:rsidRDefault="004E138C" w:rsidP="004E138C">
      <w:pPr>
        <w:jc w:val="both"/>
        <w:rPr>
          <w:rFonts w:ascii="Abadi" w:hAnsi="Abadi"/>
          <w:sz w:val="21"/>
          <w:szCs w:val="21"/>
        </w:rPr>
      </w:pPr>
      <w:r>
        <w:rPr>
          <w:rFonts w:ascii="Abadi" w:hAnsi="Abadi"/>
          <w:sz w:val="21"/>
          <w:szCs w:val="21"/>
        </w:rPr>
        <w:t xml:space="preserve">- Gracias, diputada, ya venía yo muy emocionada, y no sé si haya  alguien más que quiera participar, </w:t>
      </w:r>
      <w:r w:rsidRPr="0030088F">
        <w:rPr>
          <w:rFonts w:ascii="Abadi" w:hAnsi="Abadi"/>
          <w:sz w:val="21"/>
          <w:szCs w:val="21"/>
        </w:rPr>
        <w:t>saludo con mucho gusto a quienes hoy nos acompañan bienvenidas y bienvenidos a todos quienes son hoy se encuentran ha</w:t>
      </w:r>
      <w:r>
        <w:rPr>
          <w:rFonts w:ascii="Abadi" w:hAnsi="Abadi"/>
          <w:sz w:val="21"/>
          <w:szCs w:val="21"/>
        </w:rPr>
        <w:t>,</w:t>
      </w:r>
      <w:r w:rsidRPr="0030088F">
        <w:rPr>
          <w:rFonts w:ascii="Abadi" w:hAnsi="Abadi"/>
          <w:sz w:val="21"/>
          <w:szCs w:val="21"/>
        </w:rPr>
        <w:t xml:space="preserve"> lo en el desarrollo de los trabajos de esta sesión</w:t>
      </w:r>
      <w:r>
        <w:rPr>
          <w:rFonts w:ascii="Abadi" w:hAnsi="Abadi"/>
          <w:sz w:val="21"/>
          <w:szCs w:val="21"/>
        </w:rPr>
        <w:t>,</w:t>
      </w:r>
      <w:r w:rsidRPr="0030088F">
        <w:rPr>
          <w:rFonts w:ascii="Abadi" w:hAnsi="Abadi"/>
          <w:sz w:val="21"/>
          <w:szCs w:val="21"/>
        </w:rPr>
        <w:t xml:space="preserve"> a quienes siempre nos siguen por las diferentes plataformas</w:t>
      </w:r>
      <w:r>
        <w:rPr>
          <w:rFonts w:ascii="Abadi" w:hAnsi="Abadi"/>
          <w:sz w:val="21"/>
          <w:szCs w:val="21"/>
        </w:rPr>
        <w:t>,</w:t>
      </w:r>
      <w:r w:rsidRPr="0030088F">
        <w:rPr>
          <w:rFonts w:ascii="Abadi" w:hAnsi="Abadi"/>
          <w:sz w:val="21"/>
          <w:szCs w:val="21"/>
        </w:rPr>
        <w:t xml:space="preserve"> a los medios</w:t>
      </w:r>
      <w:r>
        <w:rPr>
          <w:rFonts w:ascii="Abadi" w:hAnsi="Abadi"/>
          <w:sz w:val="21"/>
          <w:szCs w:val="21"/>
        </w:rPr>
        <w:t>,</w:t>
      </w:r>
      <w:r w:rsidRPr="0030088F">
        <w:rPr>
          <w:rFonts w:ascii="Abadi" w:hAnsi="Abadi"/>
          <w:sz w:val="21"/>
          <w:szCs w:val="21"/>
        </w:rPr>
        <w:t xml:space="preserve"> compañeras y compañeros diputados</w:t>
      </w:r>
      <w:r>
        <w:rPr>
          <w:rFonts w:ascii="Abadi" w:hAnsi="Abadi"/>
          <w:sz w:val="21"/>
          <w:szCs w:val="21"/>
        </w:rPr>
        <w:t>,</w:t>
      </w:r>
      <w:r w:rsidRPr="0030088F">
        <w:rPr>
          <w:rFonts w:ascii="Abadi" w:hAnsi="Abadi"/>
          <w:sz w:val="21"/>
          <w:szCs w:val="21"/>
        </w:rPr>
        <w:t xml:space="preserve"> el día de hoy tenemos a nuestra consideración un dictamen derivado del trabajo de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J</w:t>
      </w:r>
      <w:r w:rsidRPr="0030088F">
        <w:rPr>
          <w:rFonts w:ascii="Abadi" w:hAnsi="Abadi"/>
          <w:sz w:val="21"/>
          <w:szCs w:val="21"/>
        </w:rPr>
        <w:t>usticia y aprovecho este punto para agradecer siempre la participación asertiva y efectiva</w:t>
      </w:r>
      <w:r>
        <w:rPr>
          <w:rFonts w:ascii="Abadi" w:hAnsi="Abadi"/>
          <w:sz w:val="21"/>
          <w:szCs w:val="21"/>
        </w:rPr>
        <w:t>,</w:t>
      </w:r>
      <w:r w:rsidRPr="0030088F">
        <w:rPr>
          <w:rFonts w:ascii="Abadi" w:hAnsi="Abadi"/>
          <w:sz w:val="21"/>
          <w:szCs w:val="21"/>
        </w:rPr>
        <w:t xml:space="preserve"> para poder desarrollar el trabajo desde nuestra </w:t>
      </w:r>
      <w:r>
        <w:rPr>
          <w:rFonts w:ascii="Abadi" w:hAnsi="Abadi"/>
          <w:sz w:val="21"/>
          <w:szCs w:val="21"/>
        </w:rPr>
        <w:t>c</w:t>
      </w:r>
      <w:r w:rsidRPr="0030088F">
        <w:rPr>
          <w:rFonts w:ascii="Abadi" w:hAnsi="Abadi"/>
          <w:sz w:val="21"/>
          <w:szCs w:val="21"/>
        </w:rPr>
        <w:t>omisión y poder</w:t>
      </w:r>
      <w:r>
        <w:rPr>
          <w:rFonts w:ascii="Abadi" w:hAnsi="Abadi"/>
          <w:sz w:val="21"/>
          <w:szCs w:val="21"/>
        </w:rPr>
        <w:t>,</w:t>
      </w:r>
      <w:r w:rsidRPr="0030088F">
        <w:rPr>
          <w:rFonts w:ascii="Abadi" w:hAnsi="Abadi"/>
          <w:sz w:val="21"/>
          <w:szCs w:val="21"/>
        </w:rPr>
        <w:t xml:space="preserve"> poder</w:t>
      </w:r>
      <w:r>
        <w:rPr>
          <w:rFonts w:ascii="Abadi" w:hAnsi="Abadi"/>
          <w:sz w:val="21"/>
          <w:szCs w:val="21"/>
        </w:rPr>
        <w:t>,</w:t>
      </w:r>
      <w:r w:rsidRPr="0030088F">
        <w:rPr>
          <w:rFonts w:ascii="Abadi" w:hAnsi="Abadi"/>
          <w:sz w:val="21"/>
          <w:szCs w:val="21"/>
        </w:rPr>
        <w:t xml:space="preserve"> poner a su consideración una herramienta para la sociedad</w:t>
      </w:r>
      <w:r>
        <w:rPr>
          <w:rFonts w:ascii="Abadi" w:hAnsi="Abadi"/>
          <w:sz w:val="21"/>
          <w:szCs w:val="21"/>
        </w:rPr>
        <w:t xml:space="preserve">, </w:t>
      </w:r>
      <w:r w:rsidRPr="0030088F">
        <w:rPr>
          <w:rFonts w:ascii="Abadi" w:hAnsi="Abadi"/>
          <w:sz w:val="21"/>
          <w:szCs w:val="21"/>
        </w:rPr>
        <w:t>después de</w:t>
      </w:r>
      <w:r>
        <w:rPr>
          <w:rFonts w:ascii="Abadi" w:hAnsi="Abadi"/>
          <w:sz w:val="21"/>
          <w:szCs w:val="21"/>
        </w:rPr>
        <w:t>,</w:t>
      </w:r>
      <w:r w:rsidRPr="0030088F">
        <w:rPr>
          <w:rFonts w:ascii="Abadi" w:hAnsi="Abadi"/>
          <w:sz w:val="21"/>
          <w:szCs w:val="21"/>
        </w:rPr>
        <w:t xml:space="preserve"> de que</w:t>
      </w:r>
      <w:r>
        <w:rPr>
          <w:rFonts w:ascii="Abadi" w:hAnsi="Abadi"/>
          <w:sz w:val="21"/>
          <w:szCs w:val="21"/>
        </w:rPr>
        <w:t>,</w:t>
      </w:r>
      <w:r w:rsidRPr="0030088F">
        <w:rPr>
          <w:rFonts w:ascii="Abadi" w:hAnsi="Abadi"/>
          <w:sz w:val="21"/>
          <w:szCs w:val="21"/>
        </w:rPr>
        <w:t xml:space="preserve"> la pandemia provocada por el coronavirus </w:t>
      </w:r>
      <w:r>
        <w:rPr>
          <w:rFonts w:ascii="Abadi" w:hAnsi="Abadi"/>
          <w:sz w:val="21"/>
          <w:szCs w:val="21"/>
        </w:rPr>
        <w:t xml:space="preserve">COVID </w:t>
      </w:r>
      <w:r w:rsidRPr="0030088F">
        <w:rPr>
          <w:rFonts w:ascii="Abadi" w:hAnsi="Abadi"/>
          <w:sz w:val="21"/>
          <w:szCs w:val="21"/>
        </w:rPr>
        <w:t>19</w:t>
      </w:r>
      <w:r>
        <w:rPr>
          <w:rFonts w:ascii="Abadi" w:hAnsi="Abadi"/>
          <w:sz w:val="21"/>
          <w:szCs w:val="21"/>
        </w:rPr>
        <w:t>,</w:t>
      </w:r>
      <w:r w:rsidRPr="0030088F">
        <w:rPr>
          <w:rFonts w:ascii="Abadi" w:hAnsi="Abadi"/>
          <w:sz w:val="21"/>
          <w:szCs w:val="21"/>
        </w:rPr>
        <w:t xml:space="preserve"> nos obligó a tomar medidas excepcionales en casi todos los </w:t>
      </w:r>
      <w:r w:rsidRPr="0030088F">
        <w:rPr>
          <w:rFonts w:ascii="Abadi" w:hAnsi="Abadi"/>
          <w:sz w:val="21"/>
          <w:szCs w:val="21"/>
        </w:rPr>
        <w:lastRenderedPageBreak/>
        <w:t xml:space="preserve">ámbitos de nuestra vida y en </w:t>
      </w:r>
      <w:proofErr w:type="spellStart"/>
      <w:r w:rsidRPr="0030088F">
        <w:rPr>
          <w:rFonts w:ascii="Abadi" w:hAnsi="Abadi"/>
          <w:sz w:val="21"/>
          <w:szCs w:val="21"/>
        </w:rPr>
        <w:t>el</w:t>
      </w:r>
      <w:proofErr w:type="spellEnd"/>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pues el ámbito legal no se encuentra ajeno a esta realidad</w:t>
      </w:r>
      <w:r>
        <w:rPr>
          <w:rFonts w:ascii="Abadi" w:hAnsi="Abadi"/>
          <w:sz w:val="21"/>
          <w:szCs w:val="21"/>
        </w:rPr>
        <w:t>,</w:t>
      </w:r>
      <w:r w:rsidRPr="0030088F">
        <w:rPr>
          <w:rFonts w:ascii="Abadi" w:hAnsi="Abadi"/>
          <w:sz w:val="21"/>
          <w:szCs w:val="21"/>
        </w:rPr>
        <w:t xml:space="preserve"> es por ello</w:t>
      </w:r>
      <w:r>
        <w:rPr>
          <w:rFonts w:ascii="Abadi" w:hAnsi="Abadi"/>
          <w:sz w:val="21"/>
          <w:szCs w:val="21"/>
        </w:rPr>
        <w:t>,</w:t>
      </w:r>
      <w:r w:rsidRPr="0030088F">
        <w:rPr>
          <w:rFonts w:ascii="Abadi" w:hAnsi="Abadi"/>
          <w:sz w:val="21"/>
          <w:szCs w:val="21"/>
        </w:rPr>
        <w:t xml:space="preserve"> que</w:t>
      </w:r>
      <w:r>
        <w:rPr>
          <w:rFonts w:ascii="Abadi" w:hAnsi="Abadi"/>
          <w:sz w:val="21"/>
          <w:szCs w:val="21"/>
        </w:rPr>
        <w:t>,</w:t>
      </w:r>
      <w:r w:rsidRPr="0030088F">
        <w:rPr>
          <w:rFonts w:ascii="Abadi" w:hAnsi="Abadi"/>
          <w:sz w:val="21"/>
          <w:szCs w:val="21"/>
        </w:rPr>
        <w:t xml:space="preserve"> durante </w:t>
      </w:r>
      <w:r>
        <w:rPr>
          <w:rFonts w:ascii="Abadi" w:hAnsi="Abadi"/>
          <w:sz w:val="21"/>
          <w:szCs w:val="21"/>
        </w:rPr>
        <w:t>dos</w:t>
      </w:r>
      <w:r w:rsidRPr="0030088F">
        <w:rPr>
          <w:rFonts w:ascii="Abadi" w:hAnsi="Abadi"/>
          <w:sz w:val="21"/>
          <w:szCs w:val="21"/>
        </w:rPr>
        <w:t xml:space="preserve"> años estuvimos marcados</w:t>
      </w:r>
      <w:r>
        <w:rPr>
          <w:rFonts w:ascii="Abadi" w:hAnsi="Abadi"/>
          <w:sz w:val="21"/>
          <w:szCs w:val="21"/>
        </w:rPr>
        <w:t>,</w:t>
      </w:r>
      <w:r w:rsidRPr="0030088F">
        <w:rPr>
          <w:rFonts w:ascii="Abadi" w:hAnsi="Abadi"/>
          <w:sz w:val="21"/>
          <w:szCs w:val="21"/>
        </w:rPr>
        <w:t xml:space="preserve"> estos </w:t>
      </w:r>
      <w:r>
        <w:rPr>
          <w:rFonts w:ascii="Abadi" w:hAnsi="Abadi"/>
          <w:sz w:val="21"/>
          <w:szCs w:val="21"/>
        </w:rPr>
        <w:t xml:space="preserve">dos </w:t>
      </w:r>
      <w:r w:rsidRPr="0030088F">
        <w:rPr>
          <w:rFonts w:ascii="Abadi" w:hAnsi="Abadi"/>
          <w:sz w:val="21"/>
          <w:szCs w:val="21"/>
        </w:rPr>
        <w:t>años estuvi</w:t>
      </w:r>
      <w:r>
        <w:rPr>
          <w:rFonts w:ascii="Abadi" w:hAnsi="Abadi"/>
          <w:sz w:val="21"/>
          <w:szCs w:val="21"/>
        </w:rPr>
        <w:t xml:space="preserve">mos </w:t>
      </w:r>
      <w:r w:rsidRPr="0030088F">
        <w:rPr>
          <w:rFonts w:ascii="Abadi" w:hAnsi="Abadi"/>
          <w:sz w:val="21"/>
          <w:szCs w:val="21"/>
        </w:rPr>
        <w:t>marcados por las restricciones que motivaron una serie de medidas extraordinarias</w:t>
      </w:r>
      <w:r>
        <w:rPr>
          <w:rFonts w:ascii="Abadi" w:hAnsi="Abadi"/>
          <w:sz w:val="21"/>
          <w:szCs w:val="21"/>
        </w:rPr>
        <w:t>,</w:t>
      </w:r>
      <w:r w:rsidRPr="0030088F">
        <w:rPr>
          <w:rFonts w:ascii="Abadi" w:hAnsi="Abadi"/>
          <w:sz w:val="21"/>
          <w:szCs w:val="21"/>
        </w:rPr>
        <w:t xml:space="preserve"> que en el ámbito legal se tradujeron en la modificación de diversas leyes en el estado</w:t>
      </w:r>
      <w:r>
        <w:rPr>
          <w:rFonts w:ascii="Abadi" w:hAnsi="Abadi"/>
          <w:sz w:val="21"/>
          <w:szCs w:val="21"/>
        </w:rPr>
        <w:t>,</w:t>
      </w:r>
      <w:r w:rsidRPr="0030088F">
        <w:rPr>
          <w:rFonts w:ascii="Abadi" w:hAnsi="Abadi"/>
          <w:sz w:val="21"/>
          <w:szCs w:val="21"/>
        </w:rPr>
        <w:t xml:space="preserve"> que permitieron celebrar</w:t>
      </w:r>
      <w:r>
        <w:rPr>
          <w:rFonts w:ascii="Abadi" w:hAnsi="Abadi"/>
          <w:sz w:val="21"/>
          <w:szCs w:val="21"/>
        </w:rPr>
        <w:t>,</w:t>
      </w:r>
      <w:r w:rsidRPr="0030088F">
        <w:rPr>
          <w:rFonts w:ascii="Abadi" w:hAnsi="Abadi"/>
          <w:sz w:val="21"/>
          <w:szCs w:val="21"/>
        </w:rPr>
        <w:t xml:space="preserve"> reuniones</w:t>
      </w:r>
      <w:r>
        <w:rPr>
          <w:rFonts w:ascii="Abadi" w:hAnsi="Abadi"/>
          <w:sz w:val="21"/>
          <w:szCs w:val="21"/>
        </w:rPr>
        <w:t>,</w:t>
      </w:r>
      <w:r w:rsidRPr="0030088F">
        <w:rPr>
          <w:rFonts w:ascii="Abadi" w:hAnsi="Abadi"/>
          <w:sz w:val="21"/>
          <w:szCs w:val="21"/>
        </w:rPr>
        <w:t xml:space="preserve"> sesiones</w:t>
      </w:r>
      <w:r>
        <w:rPr>
          <w:rFonts w:ascii="Abadi" w:hAnsi="Abadi"/>
          <w:sz w:val="21"/>
          <w:szCs w:val="21"/>
        </w:rPr>
        <w:t>,</w:t>
      </w:r>
      <w:r w:rsidRPr="0030088F">
        <w:rPr>
          <w:rFonts w:ascii="Abadi" w:hAnsi="Abadi"/>
          <w:sz w:val="21"/>
          <w:szCs w:val="21"/>
        </w:rPr>
        <w:t xml:space="preserve"> juicios incluso</w:t>
      </w:r>
      <w:r>
        <w:rPr>
          <w:rFonts w:ascii="Abadi" w:hAnsi="Abadi"/>
          <w:sz w:val="21"/>
          <w:szCs w:val="21"/>
        </w:rPr>
        <w:t>,</w:t>
      </w:r>
      <w:r w:rsidRPr="0030088F">
        <w:rPr>
          <w:rFonts w:ascii="Abadi" w:hAnsi="Abadi"/>
          <w:sz w:val="21"/>
          <w:szCs w:val="21"/>
        </w:rPr>
        <w:t xml:space="preserve"> entre otros de manera virtual</w:t>
      </w:r>
      <w:r>
        <w:rPr>
          <w:rFonts w:ascii="Abadi" w:hAnsi="Abadi"/>
          <w:sz w:val="21"/>
          <w:szCs w:val="21"/>
        </w:rPr>
        <w:t>,</w:t>
      </w:r>
      <w:r w:rsidRPr="0030088F">
        <w:rPr>
          <w:rFonts w:ascii="Abadi" w:hAnsi="Abadi"/>
          <w:sz w:val="21"/>
          <w:szCs w:val="21"/>
        </w:rPr>
        <w:t xml:space="preserve"> este contexto es importante mencionarlo ya que el poder supremo de las asociaciones y sociedades civiles</w:t>
      </w:r>
      <w:r>
        <w:rPr>
          <w:rFonts w:ascii="Abadi" w:hAnsi="Abadi"/>
          <w:sz w:val="21"/>
          <w:szCs w:val="21"/>
        </w:rPr>
        <w:t>,</w:t>
      </w:r>
      <w:r w:rsidRPr="0030088F">
        <w:rPr>
          <w:rFonts w:ascii="Abadi" w:hAnsi="Abadi"/>
          <w:sz w:val="21"/>
          <w:szCs w:val="21"/>
        </w:rPr>
        <w:t xml:space="preserve"> pues lo constituye la </w:t>
      </w:r>
      <w:r>
        <w:rPr>
          <w:rFonts w:ascii="Abadi" w:hAnsi="Abadi"/>
          <w:sz w:val="21"/>
          <w:szCs w:val="21"/>
        </w:rPr>
        <w:t>A</w:t>
      </w:r>
      <w:r w:rsidRPr="0030088F">
        <w:rPr>
          <w:rFonts w:ascii="Abadi" w:hAnsi="Abadi"/>
          <w:sz w:val="21"/>
          <w:szCs w:val="21"/>
        </w:rPr>
        <w:t xml:space="preserve">samblea </w:t>
      </w:r>
      <w:r>
        <w:rPr>
          <w:rFonts w:ascii="Abadi" w:hAnsi="Abadi"/>
          <w:sz w:val="21"/>
          <w:szCs w:val="21"/>
        </w:rPr>
        <w:t>G</w:t>
      </w:r>
      <w:r w:rsidRPr="0030088F">
        <w:rPr>
          <w:rFonts w:ascii="Abadi" w:hAnsi="Abadi"/>
          <w:sz w:val="21"/>
          <w:szCs w:val="21"/>
        </w:rPr>
        <w:t>eneral</w:t>
      </w:r>
      <w:r>
        <w:rPr>
          <w:rFonts w:ascii="Abadi" w:hAnsi="Abadi"/>
          <w:sz w:val="21"/>
          <w:szCs w:val="21"/>
        </w:rPr>
        <w:t>,</w:t>
      </w:r>
      <w:r w:rsidRPr="0030088F">
        <w:rPr>
          <w:rFonts w:ascii="Abadi" w:hAnsi="Abadi"/>
          <w:sz w:val="21"/>
          <w:szCs w:val="21"/>
        </w:rPr>
        <w:t xml:space="preserve"> en la </w:t>
      </w:r>
      <w:r>
        <w:rPr>
          <w:rFonts w:ascii="Abadi" w:hAnsi="Abadi"/>
          <w:sz w:val="21"/>
          <w:szCs w:val="21"/>
        </w:rPr>
        <w:t>A</w:t>
      </w:r>
      <w:r w:rsidRPr="0030088F">
        <w:rPr>
          <w:rFonts w:ascii="Abadi" w:hAnsi="Abadi"/>
          <w:sz w:val="21"/>
          <w:szCs w:val="21"/>
        </w:rPr>
        <w:t xml:space="preserve">samblea </w:t>
      </w:r>
      <w:r>
        <w:rPr>
          <w:rFonts w:ascii="Abadi" w:hAnsi="Abadi"/>
          <w:sz w:val="21"/>
          <w:szCs w:val="21"/>
        </w:rPr>
        <w:t>G</w:t>
      </w:r>
      <w:r w:rsidRPr="0030088F">
        <w:rPr>
          <w:rFonts w:ascii="Abadi" w:hAnsi="Abadi"/>
          <w:sz w:val="21"/>
          <w:szCs w:val="21"/>
        </w:rPr>
        <w:t>eneral se discuten y se resuelven temas de gran trascendencia</w:t>
      </w:r>
      <w:r>
        <w:rPr>
          <w:rFonts w:ascii="Abadi" w:hAnsi="Abadi"/>
          <w:sz w:val="21"/>
          <w:szCs w:val="21"/>
        </w:rPr>
        <w:t>,</w:t>
      </w:r>
      <w:r w:rsidRPr="0030088F">
        <w:rPr>
          <w:rFonts w:ascii="Abadi" w:hAnsi="Abadi"/>
          <w:sz w:val="21"/>
          <w:szCs w:val="21"/>
        </w:rPr>
        <w:t xml:space="preserve"> así que tener una herramienta para sesionar mediante videoconferencia o de manera mixta es esencial para dar continuidad a la vida de las asociaciones y las sociedades</w:t>
      </w:r>
      <w:r>
        <w:rPr>
          <w:rFonts w:ascii="Abadi" w:hAnsi="Abadi"/>
          <w:sz w:val="21"/>
          <w:szCs w:val="21"/>
        </w:rPr>
        <w:t>.</w:t>
      </w:r>
    </w:p>
    <w:p w14:paraId="0DD1FE5C" w14:textId="77777777" w:rsidR="004E138C" w:rsidRDefault="004E138C" w:rsidP="004E138C">
      <w:pPr>
        <w:jc w:val="both"/>
        <w:rPr>
          <w:rFonts w:ascii="Abadi" w:hAnsi="Abadi"/>
          <w:sz w:val="21"/>
          <w:szCs w:val="21"/>
        </w:rPr>
      </w:pPr>
    </w:p>
    <w:p w14:paraId="77FE6883" w14:textId="77777777" w:rsidR="004E138C" w:rsidRDefault="004E138C" w:rsidP="004E138C">
      <w:pPr>
        <w:jc w:val="both"/>
        <w:rPr>
          <w:rFonts w:ascii="Abadi" w:hAnsi="Abadi"/>
          <w:sz w:val="21"/>
          <w:szCs w:val="21"/>
        </w:rPr>
      </w:pPr>
      <w:r>
        <w:rPr>
          <w:rFonts w:ascii="Abadi" w:hAnsi="Abadi"/>
          <w:sz w:val="21"/>
          <w:szCs w:val="21"/>
        </w:rPr>
        <w:t>- E</w:t>
      </w:r>
      <w:r w:rsidRPr="0030088F">
        <w:rPr>
          <w:rFonts w:ascii="Abadi" w:hAnsi="Abadi"/>
          <w:sz w:val="21"/>
          <w:szCs w:val="21"/>
        </w:rPr>
        <w:t>n este sentido</w:t>
      </w:r>
      <w:r>
        <w:rPr>
          <w:rFonts w:ascii="Abadi" w:hAnsi="Abadi"/>
          <w:sz w:val="21"/>
          <w:szCs w:val="21"/>
        </w:rPr>
        <w:t>,</w:t>
      </w:r>
      <w:r w:rsidRPr="0030088F">
        <w:rPr>
          <w:rFonts w:ascii="Abadi" w:hAnsi="Abadi"/>
          <w:sz w:val="21"/>
          <w:szCs w:val="21"/>
        </w:rPr>
        <w:t xml:space="preserve"> visualizamos los siguientes beneficios en caso de que las asambleas puedan llevarse a cabo mediante videoconferencia o de manera mixta</w:t>
      </w:r>
      <w:r>
        <w:rPr>
          <w:rFonts w:ascii="Abadi" w:hAnsi="Abadi"/>
          <w:sz w:val="21"/>
          <w:szCs w:val="21"/>
        </w:rPr>
        <w:t>,</w:t>
      </w:r>
      <w:r w:rsidRPr="0030088F">
        <w:rPr>
          <w:rFonts w:ascii="Abadi" w:hAnsi="Abadi"/>
          <w:sz w:val="21"/>
          <w:szCs w:val="21"/>
        </w:rPr>
        <w:t xml:space="preserve"> que sean </w:t>
      </w:r>
      <w:r>
        <w:rPr>
          <w:rFonts w:ascii="Abadi" w:hAnsi="Abadi"/>
          <w:sz w:val="21"/>
          <w:szCs w:val="21"/>
        </w:rPr>
        <w:t>A</w:t>
      </w:r>
      <w:r w:rsidRPr="0030088F">
        <w:rPr>
          <w:rFonts w:ascii="Abadi" w:hAnsi="Abadi"/>
          <w:sz w:val="21"/>
          <w:szCs w:val="21"/>
        </w:rPr>
        <w:t>sambleas con una mayor participación de los accionistas</w:t>
      </w:r>
      <w:r>
        <w:rPr>
          <w:rFonts w:ascii="Abadi" w:hAnsi="Abadi"/>
          <w:sz w:val="21"/>
          <w:szCs w:val="21"/>
        </w:rPr>
        <w:t>,</w:t>
      </w:r>
      <w:r w:rsidRPr="0030088F">
        <w:rPr>
          <w:rFonts w:ascii="Abadi" w:hAnsi="Abadi"/>
          <w:sz w:val="21"/>
          <w:szCs w:val="21"/>
        </w:rPr>
        <w:t xml:space="preserve"> se encontraron mucho más nutridas ya que permitirán la asistencia remota en caso de no poder asistir de manera presencial</w:t>
      </w:r>
      <w:r>
        <w:rPr>
          <w:rFonts w:ascii="Abadi" w:hAnsi="Abadi"/>
          <w:sz w:val="21"/>
          <w:szCs w:val="21"/>
        </w:rPr>
        <w:t>,</w:t>
      </w:r>
      <w:r w:rsidRPr="0030088F">
        <w:rPr>
          <w:rFonts w:ascii="Abadi" w:hAnsi="Abadi"/>
          <w:sz w:val="21"/>
          <w:szCs w:val="21"/>
        </w:rPr>
        <w:t xml:space="preserve"> también serán más rápidas las tomas de decisiones que sean necesarias para el buen funcionamiento de las asociaciones y sociedades agilizándose el trabajo bajo estas modalidades</w:t>
      </w:r>
      <w:r>
        <w:rPr>
          <w:rFonts w:ascii="Abadi" w:hAnsi="Abadi"/>
          <w:sz w:val="21"/>
          <w:szCs w:val="21"/>
        </w:rPr>
        <w:t xml:space="preserve">, </w:t>
      </w:r>
      <w:r w:rsidRPr="0030088F">
        <w:rPr>
          <w:rFonts w:ascii="Abadi" w:hAnsi="Abadi"/>
          <w:sz w:val="21"/>
          <w:szCs w:val="21"/>
        </w:rPr>
        <w:t>también hay que considerar que puede generarse un menor costo respecto de la celebración de las asambleas y además puede garantizar la seguridad y la conferencia</w:t>
      </w:r>
      <w:r>
        <w:rPr>
          <w:rFonts w:ascii="Abadi" w:hAnsi="Abadi"/>
          <w:sz w:val="21"/>
          <w:szCs w:val="21"/>
        </w:rPr>
        <w:t>,</w:t>
      </w:r>
      <w:r w:rsidRPr="0030088F">
        <w:rPr>
          <w:rFonts w:ascii="Abadi" w:hAnsi="Abadi"/>
          <w:sz w:val="21"/>
          <w:szCs w:val="21"/>
        </w:rPr>
        <w:t xml:space="preserve"> debe garantizar la seguridad y la </w:t>
      </w:r>
      <w:r>
        <w:rPr>
          <w:rFonts w:ascii="Abadi" w:hAnsi="Abadi"/>
          <w:sz w:val="21"/>
          <w:szCs w:val="21"/>
        </w:rPr>
        <w:t xml:space="preserve">confidencialidad, </w:t>
      </w:r>
      <w:r w:rsidRPr="0030088F">
        <w:rPr>
          <w:rFonts w:ascii="Abadi" w:hAnsi="Abadi"/>
          <w:sz w:val="21"/>
          <w:szCs w:val="21"/>
        </w:rPr>
        <w:t xml:space="preserve">confidencialidad </w:t>
      </w:r>
      <w:r>
        <w:rPr>
          <w:rFonts w:ascii="Abadi" w:hAnsi="Abadi"/>
          <w:sz w:val="21"/>
          <w:szCs w:val="21"/>
        </w:rPr>
        <w:t>¡</w:t>
      </w:r>
      <w:r w:rsidRPr="0030088F">
        <w:rPr>
          <w:rFonts w:ascii="Abadi" w:hAnsi="Abadi"/>
          <w:sz w:val="21"/>
          <w:szCs w:val="21"/>
        </w:rPr>
        <w:t>ay Dios</w:t>
      </w:r>
      <w:r>
        <w:rPr>
          <w:rFonts w:ascii="Abadi" w:hAnsi="Abadi"/>
          <w:sz w:val="21"/>
          <w:szCs w:val="21"/>
        </w:rPr>
        <w:t>!</w:t>
      </w:r>
      <w:r w:rsidRPr="0030088F">
        <w:rPr>
          <w:rFonts w:ascii="Abadi" w:hAnsi="Abadi"/>
          <w:sz w:val="21"/>
          <w:szCs w:val="21"/>
        </w:rPr>
        <w:t xml:space="preserve"> de los datos en todo momento</w:t>
      </w:r>
      <w:r>
        <w:rPr>
          <w:rFonts w:ascii="Abadi" w:hAnsi="Abadi"/>
          <w:sz w:val="21"/>
          <w:szCs w:val="21"/>
        </w:rPr>
        <w:t>,</w:t>
      </w:r>
      <w:r w:rsidRPr="0030088F">
        <w:rPr>
          <w:rFonts w:ascii="Abadi" w:hAnsi="Abadi"/>
          <w:sz w:val="21"/>
          <w:szCs w:val="21"/>
        </w:rPr>
        <w:t xml:space="preserve"> así como el acceso restringido solo a las personas que estén autorizadas para ello y esto ya vendrá en la parte reglamentaria que cada uno de los asociados cada una de las sociedades tendrán que establecer desde sus estatutos y también quiero agradecer la participación activa de quien nos ayudó a visibilizar esta necesidad del licenciado </w:t>
      </w:r>
      <w:r>
        <w:rPr>
          <w:rFonts w:ascii="Abadi" w:hAnsi="Abadi"/>
          <w:sz w:val="21"/>
          <w:szCs w:val="21"/>
        </w:rPr>
        <w:t>S</w:t>
      </w:r>
      <w:r w:rsidRPr="0030088F">
        <w:rPr>
          <w:rFonts w:ascii="Abadi" w:hAnsi="Abadi"/>
          <w:sz w:val="21"/>
          <w:szCs w:val="21"/>
        </w:rPr>
        <w:t xml:space="preserve">alvador </w:t>
      </w:r>
      <w:r>
        <w:rPr>
          <w:rFonts w:ascii="Abadi" w:hAnsi="Abadi"/>
          <w:sz w:val="21"/>
          <w:szCs w:val="21"/>
        </w:rPr>
        <w:t>A</w:t>
      </w:r>
      <w:r w:rsidRPr="0030088F">
        <w:rPr>
          <w:rFonts w:ascii="Abadi" w:hAnsi="Abadi"/>
          <w:sz w:val="21"/>
          <w:szCs w:val="21"/>
        </w:rPr>
        <w:t>randa</w:t>
      </w:r>
      <w:r>
        <w:rPr>
          <w:rFonts w:ascii="Abadi" w:hAnsi="Abadi"/>
          <w:sz w:val="21"/>
          <w:szCs w:val="21"/>
        </w:rPr>
        <w:t>,</w:t>
      </w:r>
      <w:r w:rsidRPr="0030088F">
        <w:rPr>
          <w:rFonts w:ascii="Abadi" w:hAnsi="Abadi"/>
          <w:sz w:val="21"/>
          <w:szCs w:val="21"/>
        </w:rPr>
        <w:t xml:space="preserve"> y todo su equipo de trabajo</w:t>
      </w:r>
      <w:r>
        <w:rPr>
          <w:rFonts w:ascii="Abadi" w:hAnsi="Abadi"/>
          <w:sz w:val="21"/>
          <w:szCs w:val="21"/>
        </w:rPr>
        <w:t>,</w:t>
      </w:r>
      <w:r w:rsidRPr="0030088F">
        <w:rPr>
          <w:rFonts w:ascii="Abadi" w:hAnsi="Abadi"/>
          <w:sz w:val="21"/>
          <w:szCs w:val="21"/>
        </w:rPr>
        <w:t xml:space="preserve"> que en </w:t>
      </w:r>
      <w:r>
        <w:rPr>
          <w:rFonts w:ascii="Abadi" w:hAnsi="Abadi"/>
          <w:sz w:val="21"/>
          <w:szCs w:val="21"/>
        </w:rPr>
        <w:t xml:space="preserve">al acercarse a </w:t>
      </w:r>
      <w:r w:rsidRPr="0030088F">
        <w:rPr>
          <w:rFonts w:ascii="Abadi" w:hAnsi="Abadi"/>
          <w:sz w:val="21"/>
          <w:szCs w:val="21"/>
        </w:rPr>
        <w:t>nosotros nos hacía precisamente el planteamiento de la necesidad de contar con el elemento jurídico que le diera seguridad y certeza jurídica a las asociaciones y a las sociedades civiles en el desarrollo de sus asambleas</w:t>
      </w:r>
      <w:r>
        <w:rPr>
          <w:rFonts w:ascii="Abadi" w:hAnsi="Abadi"/>
          <w:sz w:val="21"/>
          <w:szCs w:val="21"/>
        </w:rPr>
        <w:t>,</w:t>
      </w:r>
      <w:r w:rsidRPr="0030088F">
        <w:rPr>
          <w:rFonts w:ascii="Abadi" w:hAnsi="Abadi"/>
          <w:sz w:val="21"/>
          <w:szCs w:val="21"/>
        </w:rPr>
        <w:t xml:space="preserve"> para que pudieran continuar</w:t>
      </w:r>
      <w:r>
        <w:rPr>
          <w:rFonts w:ascii="Abadi" w:hAnsi="Abadi"/>
          <w:sz w:val="21"/>
          <w:szCs w:val="21"/>
        </w:rPr>
        <w:t>,</w:t>
      </w:r>
      <w:r w:rsidRPr="0030088F">
        <w:rPr>
          <w:rFonts w:ascii="Abadi" w:hAnsi="Abadi"/>
          <w:sz w:val="21"/>
          <w:szCs w:val="21"/>
        </w:rPr>
        <w:t xml:space="preserve"> se tuvieron</w:t>
      </w:r>
      <w:r>
        <w:rPr>
          <w:rFonts w:ascii="Abadi" w:hAnsi="Abadi"/>
          <w:sz w:val="21"/>
          <w:szCs w:val="21"/>
        </w:rPr>
        <w:t>,</w:t>
      </w:r>
      <w:r w:rsidRPr="0030088F">
        <w:rPr>
          <w:rFonts w:ascii="Abadi" w:hAnsi="Abadi"/>
          <w:sz w:val="21"/>
          <w:szCs w:val="21"/>
        </w:rPr>
        <w:t xml:space="preserve"> que</w:t>
      </w:r>
      <w:r>
        <w:rPr>
          <w:rFonts w:ascii="Abadi" w:hAnsi="Abadi"/>
          <w:sz w:val="21"/>
          <w:szCs w:val="21"/>
        </w:rPr>
        <w:t>,</w:t>
      </w:r>
      <w:r w:rsidRPr="0030088F">
        <w:rPr>
          <w:rFonts w:ascii="Abadi" w:hAnsi="Abadi"/>
          <w:sz w:val="21"/>
          <w:szCs w:val="21"/>
        </w:rPr>
        <w:t xml:space="preserve"> bueno pues hacer de todo</w:t>
      </w:r>
      <w:r>
        <w:rPr>
          <w:rFonts w:ascii="Abadi" w:hAnsi="Abadi"/>
          <w:sz w:val="21"/>
          <w:szCs w:val="21"/>
        </w:rPr>
        <w:t>,</w:t>
      </w:r>
      <w:r w:rsidRPr="0030088F">
        <w:rPr>
          <w:rFonts w:ascii="Abadi" w:hAnsi="Abadi"/>
          <w:sz w:val="21"/>
          <w:szCs w:val="21"/>
        </w:rPr>
        <w:t xml:space="preserve"> para </w:t>
      </w:r>
      <w:r w:rsidRPr="0030088F">
        <w:rPr>
          <w:rFonts w:ascii="Abadi" w:hAnsi="Abadi"/>
          <w:sz w:val="21"/>
          <w:szCs w:val="21"/>
        </w:rPr>
        <w:t>darle el seguimiento a los trabajos y a las decisiones que deben estar tomando desde su ámbito de competencia y con esto lo que buscamos precisamente es que cuenten con esta herramienta y aprovecho aquí también para hacer ese reconocimiento y el llamado a la participación ciudadana para que siempre estén cerca de nosotros y nos acompañen en la definición y en la orientación de las decisiones que desde el congreso se toman con las diferentes temáticas que son necesarias atender aquí en la casa del diálogo</w:t>
      </w:r>
      <w:r>
        <w:rPr>
          <w:rFonts w:ascii="Abadi" w:hAnsi="Abadi"/>
          <w:sz w:val="21"/>
          <w:szCs w:val="21"/>
        </w:rPr>
        <w:t>.</w:t>
      </w:r>
    </w:p>
    <w:p w14:paraId="75FC5CE7" w14:textId="77777777" w:rsidR="004E138C" w:rsidRDefault="004E138C" w:rsidP="004E138C">
      <w:pPr>
        <w:jc w:val="both"/>
        <w:rPr>
          <w:rFonts w:ascii="Abadi" w:hAnsi="Abadi"/>
          <w:sz w:val="21"/>
          <w:szCs w:val="21"/>
        </w:rPr>
      </w:pPr>
      <w:r>
        <w:rPr>
          <w:rFonts w:ascii="Abadi" w:hAnsi="Abadi"/>
          <w:sz w:val="21"/>
          <w:szCs w:val="21"/>
        </w:rPr>
        <w:t>- E</w:t>
      </w:r>
      <w:r w:rsidRPr="0030088F">
        <w:rPr>
          <w:rFonts w:ascii="Abadi" w:hAnsi="Abadi"/>
          <w:sz w:val="21"/>
          <w:szCs w:val="21"/>
        </w:rPr>
        <w:t>n ese orden de ideas</w:t>
      </w:r>
      <w:r>
        <w:rPr>
          <w:rFonts w:ascii="Abadi" w:hAnsi="Abadi"/>
          <w:sz w:val="21"/>
          <w:szCs w:val="21"/>
        </w:rPr>
        <w:t>,</w:t>
      </w:r>
      <w:r w:rsidRPr="0030088F">
        <w:rPr>
          <w:rFonts w:ascii="Abadi" w:hAnsi="Abadi"/>
          <w:sz w:val="21"/>
          <w:szCs w:val="21"/>
        </w:rPr>
        <w:t xml:space="preserve"> el dictamen que se pone a su consideración modifica diversos artículos de nuestro </w:t>
      </w:r>
      <w:r>
        <w:rPr>
          <w:rFonts w:ascii="Abadi" w:hAnsi="Abadi"/>
          <w:sz w:val="21"/>
          <w:szCs w:val="21"/>
        </w:rPr>
        <w:t>C</w:t>
      </w:r>
      <w:r w:rsidRPr="0030088F">
        <w:rPr>
          <w:rFonts w:ascii="Abadi" w:hAnsi="Abadi"/>
          <w:sz w:val="21"/>
          <w:szCs w:val="21"/>
        </w:rPr>
        <w:t xml:space="preserve">ódigo </w:t>
      </w:r>
      <w:r>
        <w:rPr>
          <w:rFonts w:ascii="Abadi" w:hAnsi="Abadi"/>
          <w:sz w:val="21"/>
          <w:szCs w:val="21"/>
        </w:rPr>
        <w:t>C</w:t>
      </w:r>
      <w:r w:rsidRPr="0030088F">
        <w:rPr>
          <w:rFonts w:ascii="Abadi" w:hAnsi="Abadi"/>
          <w:sz w:val="21"/>
          <w:szCs w:val="21"/>
        </w:rPr>
        <w:t xml:space="preserve">ivil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con la finalidad de establecer esos mecanismos normativos para que las asambleas puedan sesionar por videoconferencia o de manera mixta será necesario además que las sociedades y las asociaciones modifiquen sus estatutos como les decía hace un momento con la finalidad de regular el desarrollo</w:t>
      </w:r>
      <w:r>
        <w:rPr>
          <w:rFonts w:ascii="Abadi" w:hAnsi="Abadi"/>
          <w:sz w:val="21"/>
          <w:szCs w:val="21"/>
        </w:rPr>
        <w:t>,</w:t>
      </w:r>
      <w:r w:rsidRPr="0030088F">
        <w:rPr>
          <w:rFonts w:ascii="Abadi" w:hAnsi="Abadi"/>
          <w:sz w:val="21"/>
          <w:szCs w:val="21"/>
        </w:rPr>
        <w:t xml:space="preserve"> la deliberación</w:t>
      </w:r>
      <w:r>
        <w:rPr>
          <w:rFonts w:ascii="Abadi" w:hAnsi="Abadi"/>
          <w:sz w:val="21"/>
          <w:szCs w:val="21"/>
        </w:rPr>
        <w:t>,</w:t>
      </w:r>
      <w:r w:rsidRPr="0030088F">
        <w:rPr>
          <w:rFonts w:ascii="Abadi" w:hAnsi="Abadi"/>
          <w:sz w:val="21"/>
          <w:szCs w:val="21"/>
        </w:rPr>
        <w:t xml:space="preserve"> las votaciones que se van a llevar a cabo durante la misma en estas modalidades</w:t>
      </w:r>
      <w:r>
        <w:rPr>
          <w:rFonts w:ascii="Abadi" w:hAnsi="Abadi"/>
          <w:sz w:val="21"/>
          <w:szCs w:val="21"/>
        </w:rPr>
        <w:t>,</w:t>
      </w:r>
      <w:r w:rsidRPr="0030088F">
        <w:rPr>
          <w:rFonts w:ascii="Abadi" w:hAnsi="Abadi"/>
          <w:sz w:val="21"/>
          <w:szCs w:val="21"/>
        </w:rPr>
        <w:t xml:space="preserve"> compañeras y compañeros diputados la idea de lo cotidiano cambia todo el tiempo y el derecho se debe actualizar para satisfacer las necesidades que con el cambio social se van generando</w:t>
      </w:r>
      <w:r>
        <w:rPr>
          <w:rFonts w:ascii="Abadi" w:hAnsi="Abadi"/>
          <w:sz w:val="21"/>
          <w:szCs w:val="21"/>
        </w:rPr>
        <w:t>,</w:t>
      </w:r>
      <w:r w:rsidRPr="0030088F">
        <w:rPr>
          <w:rFonts w:ascii="Abadi" w:hAnsi="Abadi"/>
          <w:sz w:val="21"/>
          <w:szCs w:val="21"/>
        </w:rPr>
        <w:t xml:space="preserve"> las normas deben contemplar la realidad en el tiempo y sería un error de los diputados mantenernos estáticos como sociedad cambiante</w:t>
      </w:r>
      <w:r>
        <w:rPr>
          <w:rFonts w:ascii="Abadi" w:hAnsi="Abadi"/>
          <w:sz w:val="21"/>
          <w:szCs w:val="21"/>
        </w:rPr>
        <w:t>,</w:t>
      </w:r>
      <w:r w:rsidRPr="0030088F">
        <w:rPr>
          <w:rFonts w:ascii="Abadi" w:hAnsi="Abadi"/>
          <w:sz w:val="21"/>
          <w:szCs w:val="21"/>
        </w:rPr>
        <w:t xml:space="preserve"> tecnológica</w:t>
      </w:r>
      <w:r>
        <w:rPr>
          <w:rFonts w:ascii="Abadi" w:hAnsi="Abadi"/>
          <w:sz w:val="21"/>
          <w:szCs w:val="21"/>
        </w:rPr>
        <w:t>,</w:t>
      </w:r>
      <w:r w:rsidRPr="0030088F">
        <w:rPr>
          <w:rFonts w:ascii="Abadi" w:hAnsi="Abadi"/>
          <w:sz w:val="21"/>
          <w:szCs w:val="21"/>
        </w:rPr>
        <w:t xml:space="preserve"> globalizada y evolutiva</w:t>
      </w:r>
      <w:r>
        <w:rPr>
          <w:rFonts w:ascii="Abadi" w:hAnsi="Abadi"/>
          <w:sz w:val="21"/>
          <w:szCs w:val="21"/>
        </w:rPr>
        <w:t>.</w:t>
      </w:r>
    </w:p>
    <w:p w14:paraId="09398319" w14:textId="77777777" w:rsidR="004E138C" w:rsidRDefault="004E138C" w:rsidP="004E138C">
      <w:pPr>
        <w:jc w:val="both"/>
        <w:rPr>
          <w:rFonts w:ascii="Abadi" w:hAnsi="Abadi"/>
          <w:sz w:val="21"/>
          <w:szCs w:val="21"/>
        </w:rPr>
      </w:pPr>
    </w:p>
    <w:p w14:paraId="6D84F8BC" w14:textId="77777777" w:rsidR="004E138C" w:rsidRDefault="004E138C" w:rsidP="004E138C">
      <w:pPr>
        <w:jc w:val="both"/>
        <w:rPr>
          <w:rFonts w:ascii="Abadi" w:hAnsi="Abadi"/>
          <w:sz w:val="21"/>
          <w:szCs w:val="21"/>
        </w:rPr>
      </w:pPr>
      <w:r>
        <w:rPr>
          <w:rFonts w:ascii="Abadi" w:hAnsi="Abadi"/>
          <w:sz w:val="21"/>
          <w:szCs w:val="21"/>
        </w:rPr>
        <w:t>- D</w:t>
      </w:r>
      <w:r w:rsidRPr="0030088F">
        <w:rPr>
          <w:rFonts w:ascii="Abadi" w:hAnsi="Abadi"/>
          <w:sz w:val="21"/>
          <w:szCs w:val="21"/>
        </w:rPr>
        <w:t>efinitivamente la sociedad avanza y el derecho debe evolucionar</w:t>
      </w:r>
      <w:r>
        <w:rPr>
          <w:rFonts w:ascii="Abadi" w:hAnsi="Abadi"/>
          <w:sz w:val="21"/>
          <w:szCs w:val="21"/>
        </w:rPr>
        <w:t>,</w:t>
      </w:r>
      <w:r w:rsidRPr="0030088F">
        <w:rPr>
          <w:rFonts w:ascii="Abadi" w:hAnsi="Abadi"/>
          <w:sz w:val="21"/>
          <w:szCs w:val="21"/>
        </w:rPr>
        <w:t xml:space="preserve"> en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 xml:space="preserve">acional nos esforzamos por estar siempre a la vanguardia y desarrollar herramientas legales que permitan el desarrollo de la sociedad de mejor manera y siempre acordé con los cambios en la dinámica social y así seguiremos </w:t>
      </w:r>
      <w:proofErr w:type="gramStart"/>
      <w:r w:rsidRPr="0030088F">
        <w:rPr>
          <w:rFonts w:ascii="Abadi" w:hAnsi="Abadi"/>
          <w:sz w:val="21"/>
          <w:szCs w:val="21"/>
        </w:rPr>
        <w:t>trabajando pasando</w:t>
      </w:r>
      <w:proofErr w:type="gramEnd"/>
      <w:r w:rsidRPr="0030088F">
        <w:rPr>
          <w:rFonts w:ascii="Abadi" w:hAnsi="Abadi"/>
          <w:sz w:val="21"/>
          <w:szCs w:val="21"/>
        </w:rPr>
        <w:t xml:space="preserve"> del discurso a la acción desde 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acional</w:t>
      </w:r>
      <w:r>
        <w:rPr>
          <w:rFonts w:ascii="Abadi" w:hAnsi="Abadi"/>
          <w:sz w:val="21"/>
          <w:szCs w:val="21"/>
        </w:rPr>
        <w:t>,</w:t>
      </w:r>
      <w:r w:rsidRPr="0030088F">
        <w:rPr>
          <w:rFonts w:ascii="Abadi" w:hAnsi="Abadi"/>
          <w:sz w:val="21"/>
          <w:szCs w:val="21"/>
        </w:rPr>
        <w:t xml:space="preserve"> es por ello que pido su voto a favor del dictamen que esta tarde tienen a su consideración</w:t>
      </w:r>
      <w:r>
        <w:rPr>
          <w:rFonts w:ascii="Abadi" w:hAnsi="Abadi"/>
          <w:sz w:val="21"/>
          <w:szCs w:val="21"/>
        </w:rPr>
        <w:t xml:space="preserve"> g</w:t>
      </w:r>
      <w:r w:rsidRPr="0030088F">
        <w:rPr>
          <w:rFonts w:ascii="Abadi" w:hAnsi="Abadi"/>
          <w:sz w:val="21"/>
          <w:szCs w:val="21"/>
        </w:rPr>
        <w:t>racias</w:t>
      </w:r>
      <w:r>
        <w:rPr>
          <w:rFonts w:ascii="Abadi" w:hAnsi="Abadi"/>
          <w:sz w:val="21"/>
          <w:szCs w:val="21"/>
        </w:rPr>
        <w:t>.</w:t>
      </w:r>
    </w:p>
    <w:p w14:paraId="45665132" w14:textId="77777777" w:rsidR="004E138C" w:rsidRDefault="004E138C" w:rsidP="004E138C">
      <w:pPr>
        <w:jc w:val="both"/>
        <w:rPr>
          <w:rFonts w:ascii="Abadi" w:hAnsi="Abadi"/>
          <w:sz w:val="21"/>
          <w:szCs w:val="21"/>
        </w:rPr>
      </w:pPr>
    </w:p>
    <w:p w14:paraId="21473704" w14:textId="77777777" w:rsidR="004E138C" w:rsidRDefault="004E138C" w:rsidP="004E138C">
      <w:pPr>
        <w:jc w:val="both"/>
        <w:rPr>
          <w:rFonts w:ascii="Abadi" w:hAnsi="Abadi"/>
          <w:sz w:val="21"/>
          <w:szCs w:val="21"/>
        </w:rPr>
      </w:pPr>
      <w:r w:rsidRPr="00882AEB">
        <w:rPr>
          <w:rFonts w:ascii="Abadi" w:hAnsi="Abadi"/>
          <w:b/>
          <w:bCs/>
          <w:sz w:val="21"/>
          <w:szCs w:val="21"/>
        </w:rPr>
        <w:t xml:space="preserve"> </w:t>
      </w:r>
      <w:r>
        <w:rPr>
          <w:rFonts w:ascii="Abadi" w:hAnsi="Abadi"/>
          <w:b/>
          <w:bCs/>
          <w:sz w:val="21"/>
          <w:szCs w:val="21"/>
        </w:rPr>
        <w:tab/>
      </w:r>
      <w:r w:rsidRPr="00882AEB">
        <w:rPr>
          <w:rFonts w:ascii="Abadi" w:hAnsi="Abadi"/>
          <w:b/>
          <w:bCs/>
          <w:sz w:val="21"/>
          <w:szCs w:val="21"/>
        </w:rPr>
        <w:t xml:space="preserve">- La </w:t>
      </w:r>
      <w:proofErr w:type="gramStart"/>
      <w:r w:rsidRPr="00882AEB">
        <w:rPr>
          <w:rFonts w:ascii="Abadi" w:hAnsi="Abadi"/>
          <w:b/>
          <w:bCs/>
          <w:sz w:val="21"/>
          <w:szCs w:val="21"/>
        </w:rPr>
        <w:t>presidencia.-</w:t>
      </w:r>
      <w:proofErr w:type="gramEnd"/>
      <w:r>
        <w:rPr>
          <w:rFonts w:ascii="Abadi" w:hAnsi="Abadi"/>
          <w:sz w:val="21"/>
          <w:szCs w:val="21"/>
        </w:rPr>
        <w:t xml:space="preserve"> M</w:t>
      </w:r>
      <w:r w:rsidRPr="0030088F">
        <w:rPr>
          <w:rFonts w:ascii="Abadi" w:hAnsi="Abadi"/>
          <w:sz w:val="21"/>
          <w:szCs w:val="21"/>
        </w:rPr>
        <w:t>uchas gracias diputada</w:t>
      </w:r>
      <w:r>
        <w:rPr>
          <w:rFonts w:ascii="Abadi" w:hAnsi="Abadi"/>
          <w:sz w:val="21"/>
          <w:szCs w:val="21"/>
        </w:rPr>
        <w:t>.</w:t>
      </w:r>
    </w:p>
    <w:p w14:paraId="6A47E431" w14:textId="77777777" w:rsidR="004E138C" w:rsidRDefault="004E138C" w:rsidP="004E138C">
      <w:pPr>
        <w:jc w:val="both"/>
        <w:rPr>
          <w:rFonts w:ascii="Abadi" w:hAnsi="Abadi"/>
          <w:sz w:val="21"/>
          <w:szCs w:val="21"/>
        </w:rPr>
      </w:pPr>
    </w:p>
    <w:p w14:paraId="44164B87" w14:textId="77777777" w:rsidR="004E138C" w:rsidRDefault="004E138C" w:rsidP="004E138C">
      <w:pPr>
        <w:jc w:val="both"/>
        <w:rPr>
          <w:rFonts w:ascii="Abadi" w:hAnsi="Abadi"/>
          <w:sz w:val="21"/>
          <w:szCs w:val="21"/>
        </w:rPr>
      </w:pPr>
      <w:r>
        <w:rPr>
          <w:rFonts w:ascii="Abadi" w:hAnsi="Abadi"/>
          <w:sz w:val="21"/>
          <w:szCs w:val="21"/>
        </w:rPr>
        <w:tab/>
        <w:t>- S</w:t>
      </w:r>
      <w:r w:rsidRPr="0030088F">
        <w:rPr>
          <w:rFonts w:ascii="Abadi" w:hAnsi="Abadi"/>
          <w:sz w:val="21"/>
          <w:szCs w:val="21"/>
        </w:rPr>
        <w:t xml:space="preserve">e pide a la secretaría que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el dictamen en lo general puesto a su consideración</w:t>
      </w:r>
      <w:r>
        <w:rPr>
          <w:rFonts w:ascii="Abadi" w:hAnsi="Abadi"/>
          <w:sz w:val="21"/>
          <w:szCs w:val="21"/>
        </w:rPr>
        <w:t>.</w:t>
      </w:r>
    </w:p>
    <w:p w14:paraId="15AC1D81" w14:textId="77777777" w:rsidR="004E138C" w:rsidRDefault="004E138C" w:rsidP="004E138C">
      <w:pPr>
        <w:jc w:val="both"/>
        <w:rPr>
          <w:rFonts w:ascii="Abadi" w:hAnsi="Abadi"/>
          <w:sz w:val="21"/>
          <w:szCs w:val="21"/>
        </w:rPr>
      </w:pPr>
    </w:p>
    <w:p w14:paraId="265C40ED" w14:textId="77777777" w:rsidR="004E138C" w:rsidRDefault="004E138C" w:rsidP="004E138C">
      <w:pPr>
        <w:jc w:val="both"/>
        <w:rPr>
          <w:rFonts w:ascii="Abadi" w:hAnsi="Abadi"/>
          <w:b/>
          <w:bCs/>
          <w:sz w:val="21"/>
          <w:szCs w:val="21"/>
        </w:rPr>
      </w:pPr>
      <w:r w:rsidRPr="00376B8E">
        <w:rPr>
          <w:rFonts w:ascii="Abadi" w:hAnsi="Abadi"/>
          <w:b/>
          <w:bCs/>
          <w:sz w:val="21"/>
          <w:szCs w:val="21"/>
        </w:rPr>
        <w:t>(se a</w:t>
      </w:r>
      <w:r>
        <w:rPr>
          <w:rFonts w:ascii="Abadi" w:hAnsi="Abadi"/>
          <w:b/>
          <w:bCs/>
          <w:sz w:val="21"/>
          <w:szCs w:val="21"/>
        </w:rPr>
        <w:t>b</w:t>
      </w:r>
      <w:r w:rsidRPr="00376B8E">
        <w:rPr>
          <w:rFonts w:ascii="Abadi" w:hAnsi="Abadi"/>
          <w:b/>
          <w:bCs/>
          <w:sz w:val="21"/>
          <w:szCs w:val="21"/>
        </w:rPr>
        <w:t>re el sistema electrónico)</w:t>
      </w:r>
    </w:p>
    <w:p w14:paraId="738079D9" w14:textId="77777777" w:rsidR="004E138C" w:rsidRPr="00376B8E" w:rsidRDefault="004E138C" w:rsidP="004E138C">
      <w:pPr>
        <w:jc w:val="both"/>
        <w:rPr>
          <w:rFonts w:ascii="Abadi" w:hAnsi="Abadi"/>
          <w:b/>
          <w:bCs/>
          <w:sz w:val="21"/>
          <w:szCs w:val="21"/>
        </w:rPr>
      </w:pPr>
    </w:p>
    <w:p w14:paraId="3C33977E" w14:textId="77777777" w:rsidR="004E138C" w:rsidRDefault="004E138C" w:rsidP="004E138C">
      <w:pPr>
        <w:jc w:val="both"/>
        <w:rPr>
          <w:rFonts w:ascii="Abadi" w:hAnsi="Abadi"/>
          <w:sz w:val="21"/>
          <w:szCs w:val="21"/>
        </w:rPr>
      </w:pPr>
      <w:r>
        <w:rPr>
          <w:rFonts w:ascii="Abadi" w:hAnsi="Abadi"/>
          <w:sz w:val="21"/>
          <w:szCs w:val="21"/>
        </w:rPr>
        <w:tab/>
      </w:r>
      <w:r w:rsidRPr="00376B8E">
        <w:rPr>
          <w:rFonts w:ascii="Abadi" w:hAnsi="Abadi"/>
          <w:b/>
          <w:bCs/>
          <w:sz w:val="21"/>
          <w:szCs w:val="21"/>
        </w:rPr>
        <w:t xml:space="preserve"> - La </w:t>
      </w:r>
      <w:proofErr w:type="gramStart"/>
      <w:r w:rsidRPr="00376B8E">
        <w:rPr>
          <w:rFonts w:ascii="Abadi" w:hAnsi="Abadi"/>
          <w:b/>
          <w:bCs/>
          <w:sz w:val="21"/>
          <w:szCs w:val="21"/>
        </w:rPr>
        <w:t>Presidencia.-</w:t>
      </w:r>
      <w:proofErr w:type="gramEnd"/>
      <w:r>
        <w:rPr>
          <w:rFonts w:ascii="Abadi" w:hAnsi="Abadi"/>
          <w:sz w:val="21"/>
          <w:szCs w:val="21"/>
        </w:rPr>
        <w:t xml:space="preserve"> P</w:t>
      </w:r>
      <w:r w:rsidRPr="0030088F">
        <w:rPr>
          <w:rFonts w:ascii="Abadi" w:hAnsi="Abadi"/>
          <w:sz w:val="21"/>
          <w:szCs w:val="21"/>
        </w:rPr>
        <w:t>or instrucciones de la presidencia en votación nominal y por el sistema electrónico se les pregunta si se aprueba en lo general el dictamen que se pone a su consideración</w:t>
      </w:r>
      <w:r>
        <w:rPr>
          <w:rFonts w:ascii="Abadi" w:hAnsi="Abadi"/>
          <w:sz w:val="21"/>
          <w:szCs w:val="21"/>
        </w:rPr>
        <w:t>.</w:t>
      </w:r>
    </w:p>
    <w:p w14:paraId="00322DD6" w14:textId="77777777" w:rsidR="004E138C" w:rsidRDefault="004E138C" w:rsidP="004E138C">
      <w:pPr>
        <w:jc w:val="both"/>
        <w:rPr>
          <w:rFonts w:ascii="Abadi" w:hAnsi="Abadi"/>
          <w:sz w:val="21"/>
          <w:szCs w:val="21"/>
        </w:rPr>
      </w:pPr>
    </w:p>
    <w:p w14:paraId="22479CFC" w14:textId="77777777" w:rsidR="004E138C" w:rsidRDefault="004E138C" w:rsidP="004E138C">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643DE723" w14:textId="0B6B55EE" w:rsidR="004E138C" w:rsidRDefault="004E138C" w:rsidP="004E138C">
      <w:pPr>
        <w:jc w:val="both"/>
        <w:rPr>
          <w:rFonts w:ascii="Abadi" w:hAnsi="Abadi"/>
          <w:sz w:val="21"/>
          <w:szCs w:val="21"/>
        </w:rPr>
      </w:pPr>
    </w:p>
    <w:p w14:paraId="300ADD2B" w14:textId="40AFBDC5" w:rsidR="004E138C" w:rsidRDefault="004E138C" w:rsidP="004E138C">
      <w:pPr>
        <w:jc w:val="both"/>
        <w:rPr>
          <w:rFonts w:ascii="Abadi" w:hAnsi="Abadi"/>
          <w:sz w:val="21"/>
          <w:szCs w:val="21"/>
        </w:rPr>
      </w:pPr>
    </w:p>
    <w:p w14:paraId="4E179660" w14:textId="31100B07" w:rsidR="004E138C" w:rsidRDefault="004E138C" w:rsidP="004E138C">
      <w:pPr>
        <w:jc w:val="both"/>
        <w:rPr>
          <w:rFonts w:ascii="Abadi" w:hAnsi="Abadi"/>
          <w:sz w:val="21"/>
          <w:szCs w:val="21"/>
        </w:rPr>
      </w:pPr>
      <w:r>
        <w:rPr>
          <w:noProof/>
        </w:rPr>
        <w:drawing>
          <wp:anchor distT="0" distB="0" distL="114300" distR="114300" simplePos="0" relativeHeight="251670550" behindDoc="1" locked="0" layoutInCell="1" allowOverlap="1" wp14:anchorId="298CB5D7" wp14:editId="4F4660F3">
            <wp:simplePos x="0" y="0"/>
            <wp:positionH relativeFrom="column">
              <wp:posOffset>434975</wp:posOffset>
            </wp:positionH>
            <wp:positionV relativeFrom="paragraph">
              <wp:posOffset>10160</wp:posOffset>
            </wp:positionV>
            <wp:extent cx="1437005" cy="742950"/>
            <wp:effectExtent l="247650" t="247650" r="239395" b="247650"/>
            <wp:wrapTight wrapText="bothSides">
              <wp:wrapPolygon edited="0">
                <wp:start x="-2291" y="-7200"/>
                <wp:lineTo x="-3722" y="-6092"/>
                <wp:lineTo x="-3722" y="21046"/>
                <wp:lineTo x="-2291" y="28246"/>
                <wp:lineTo x="23480" y="28246"/>
                <wp:lineTo x="24912" y="21046"/>
                <wp:lineTo x="24912" y="2769"/>
                <wp:lineTo x="23480" y="-5538"/>
                <wp:lineTo x="23480" y="-7200"/>
                <wp:lineTo x="-2291" y="-7200"/>
              </wp:wrapPolygon>
            </wp:wrapTight>
            <wp:docPr id="707041518" name="Imagen 70704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041518" name=""/>
                    <pic:cNvPicPr/>
                  </pic:nvPicPr>
                  <pic:blipFill rotWithShape="1">
                    <a:blip r:embed="rId60" cstate="print">
                      <a:extLst>
                        <a:ext uri="{28A0092B-C50C-407E-A947-70E740481C1C}">
                          <a14:useLocalDpi xmlns:a14="http://schemas.microsoft.com/office/drawing/2010/main" val="0"/>
                        </a:ext>
                      </a:extLst>
                    </a:blip>
                    <a:srcRect b="8082"/>
                    <a:stretch/>
                  </pic:blipFill>
                  <pic:spPr bwMode="auto">
                    <a:xfrm>
                      <a:off x="0" y="0"/>
                      <a:ext cx="1437005" cy="74295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4B8FED3" w14:textId="1E557898" w:rsidR="004E138C" w:rsidRDefault="004E138C" w:rsidP="004E138C">
      <w:pPr>
        <w:jc w:val="both"/>
        <w:rPr>
          <w:rFonts w:ascii="Abadi" w:hAnsi="Abadi"/>
          <w:sz w:val="21"/>
          <w:szCs w:val="21"/>
        </w:rPr>
      </w:pPr>
    </w:p>
    <w:p w14:paraId="04F16C79" w14:textId="77777777" w:rsidR="004E138C" w:rsidRDefault="004E138C" w:rsidP="004E138C">
      <w:pPr>
        <w:jc w:val="both"/>
        <w:rPr>
          <w:rFonts w:ascii="Abadi" w:hAnsi="Abadi"/>
          <w:sz w:val="21"/>
          <w:szCs w:val="21"/>
        </w:rPr>
      </w:pPr>
    </w:p>
    <w:p w14:paraId="5392229F" w14:textId="77777777" w:rsidR="004E138C" w:rsidRDefault="004E138C" w:rsidP="004E138C">
      <w:pPr>
        <w:jc w:val="both"/>
        <w:rPr>
          <w:rFonts w:ascii="Abadi" w:hAnsi="Abadi"/>
          <w:sz w:val="21"/>
          <w:szCs w:val="21"/>
        </w:rPr>
      </w:pPr>
    </w:p>
    <w:p w14:paraId="49E41AA2" w14:textId="77777777" w:rsidR="004E138C" w:rsidRDefault="004E138C" w:rsidP="004E138C">
      <w:pPr>
        <w:jc w:val="both"/>
        <w:rPr>
          <w:rFonts w:ascii="Abadi" w:hAnsi="Abadi"/>
          <w:sz w:val="21"/>
          <w:szCs w:val="21"/>
        </w:rPr>
      </w:pPr>
    </w:p>
    <w:p w14:paraId="4A1BF414" w14:textId="77777777" w:rsidR="004E138C" w:rsidRDefault="004E138C" w:rsidP="004E138C">
      <w:pPr>
        <w:jc w:val="both"/>
        <w:rPr>
          <w:rFonts w:ascii="Abadi" w:hAnsi="Abadi"/>
          <w:sz w:val="21"/>
          <w:szCs w:val="21"/>
        </w:rPr>
      </w:pPr>
    </w:p>
    <w:p w14:paraId="7C86D457" w14:textId="2DF9C2A4" w:rsidR="004E138C" w:rsidRDefault="004E138C" w:rsidP="004E138C">
      <w:pPr>
        <w:jc w:val="both"/>
        <w:rPr>
          <w:rFonts w:ascii="Abadi" w:hAnsi="Abadi"/>
          <w:sz w:val="21"/>
          <w:szCs w:val="21"/>
        </w:rPr>
      </w:pPr>
    </w:p>
    <w:p w14:paraId="4F4039F6" w14:textId="2B4A4F5D" w:rsidR="004E138C" w:rsidRDefault="004E138C" w:rsidP="004E138C">
      <w:pPr>
        <w:jc w:val="both"/>
        <w:rPr>
          <w:rFonts w:ascii="Abadi" w:hAnsi="Abadi"/>
          <w:sz w:val="21"/>
          <w:szCs w:val="21"/>
        </w:rPr>
      </w:pPr>
    </w:p>
    <w:p w14:paraId="305E2BB7" w14:textId="0CDFA12E" w:rsidR="004E138C" w:rsidRDefault="004E138C" w:rsidP="004E138C">
      <w:pPr>
        <w:jc w:val="both"/>
        <w:rPr>
          <w:rFonts w:ascii="Abadi" w:hAnsi="Abadi"/>
          <w:b/>
          <w:bCs/>
          <w:sz w:val="21"/>
          <w:szCs w:val="21"/>
        </w:rPr>
      </w:pPr>
      <w:r w:rsidRPr="001665CC">
        <w:rPr>
          <w:rFonts w:ascii="Abadi" w:hAnsi="Abadi"/>
          <w:b/>
          <w:bCs/>
          <w:sz w:val="21"/>
          <w:szCs w:val="21"/>
        </w:rPr>
        <w:t xml:space="preserve"> (se cierra el sistema electrónico)</w:t>
      </w:r>
    </w:p>
    <w:p w14:paraId="27BFDFDA" w14:textId="7A5F2249" w:rsidR="004E138C" w:rsidRPr="001665CC" w:rsidRDefault="004E138C" w:rsidP="004E138C">
      <w:pPr>
        <w:jc w:val="both"/>
        <w:rPr>
          <w:rFonts w:ascii="Abadi" w:hAnsi="Abadi"/>
          <w:b/>
          <w:bCs/>
          <w:sz w:val="21"/>
          <w:szCs w:val="21"/>
        </w:rPr>
      </w:pPr>
    </w:p>
    <w:p w14:paraId="06FB75E8" w14:textId="47BE2A50" w:rsidR="004E138C" w:rsidRDefault="004E138C" w:rsidP="004E138C">
      <w:pPr>
        <w:jc w:val="both"/>
        <w:rPr>
          <w:rFonts w:ascii="Abadi" w:hAnsi="Abadi"/>
          <w:sz w:val="21"/>
          <w:szCs w:val="21"/>
        </w:rPr>
      </w:pPr>
      <w:r>
        <w:rPr>
          <w:rFonts w:ascii="Abadi" w:hAnsi="Abadi"/>
          <w:sz w:val="21"/>
          <w:szCs w:val="21"/>
        </w:rPr>
        <w:tab/>
      </w:r>
      <w:r w:rsidRPr="001665CC">
        <w:rPr>
          <w:rFonts w:ascii="Abadi" w:hAnsi="Abadi"/>
          <w:b/>
          <w:bCs/>
          <w:sz w:val="21"/>
          <w:szCs w:val="21"/>
        </w:rPr>
        <w:t xml:space="preserve">- La </w:t>
      </w:r>
      <w:proofErr w:type="gramStart"/>
      <w:r w:rsidRPr="001665CC">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 xml:space="preserve">residenta le informó que se registraron 33 votos a favor </w:t>
      </w:r>
      <w:r>
        <w:rPr>
          <w:rFonts w:ascii="Abadi" w:hAnsi="Abadi"/>
          <w:sz w:val="21"/>
          <w:szCs w:val="21"/>
        </w:rPr>
        <w:t xml:space="preserve">0 </w:t>
      </w:r>
      <w:r w:rsidRPr="0030088F">
        <w:rPr>
          <w:rFonts w:ascii="Abadi" w:hAnsi="Abadi"/>
          <w:sz w:val="21"/>
          <w:szCs w:val="21"/>
        </w:rPr>
        <w:t>votos en contra</w:t>
      </w:r>
      <w:r>
        <w:rPr>
          <w:rFonts w:ascii="Abadi" w:hAnsi="Abadi"/>
          <w:sz w:val="21"/>
          <w:szCs w:val="21"/>
        </w:rPr>
        <w:t>.</w:t>
      </w:r>
    </w:p>
    <w:p w14:paraId="355A10AB" w14:textId="77777777" w:rsidR="004E138C" w:rsidRDefault="004E138C" w:rsidP="004E138C">
      <w:pPr>
        <w:jc w:val="both"/>
        <w:rPr>
          <w:rFonts w:ascii="Abadi" w:hAnsi="Abadi"/>
          <w:sz w:val="21"/>
          <w:szCs w:val="21"/>
        </w:rPr>
      </w:pPr>
    </w:p>
    <w:p w14:paraId="77E6F23C" w14:textId="77777777" w:rsidR="004E138C" w:rsidRDefault="004E138C" w:rsidP="004E138C">
      <w:pPr>
        <w:jc w:val="both"/>
        <w:rPr>
          <w:rFonts w:ascii="Abadi" w:hAnsi="Abadi"/>
          <w:sz w:val="21"/>
          <w:szCs w:val="21"/>
        </w:rPr>
      </w:pPr>
      <w:r>
        <w:rPr>
          <w:rFonts w:ascii="Abadi" w:hAnsi="Abadi"/>
          <w:sz w:val="21"/>
          <w:szCs w:val="21"/>
        </w:rPr>
        <w:tab/>
      </w:r>
      <w:r w:rsidRPr="001665CC">
        <w:rPr>
          <w:rFonts w:ascii="Abadi" w:hAnsi="Abadi"/>
          <w:b/>
          <w:bCs/>
          <w:sz w:val="21"/>
          <w:szCs w:val="21"/>
        </w:rPr>
        <w:t xml:space="preserve"> - La </w:t>
      </w:r>
      <w:proofErr w:type="gramStart"/>
      <w:r w:rsidRPr="001665CC">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en lo general por unanimidad de votos</w:t>
      </w:r>
      <w:r>
        <w:rPr>
          <w:rFonts w:ascii="Abadi" w:hAnsi="Abadi"/>
          <w:sz w:val="21"/>
          <w:szCs w:val="21"/>
        </w:rPr>
        <w:t>.</w:t>
      </w:r>
    </w:p>
    <w:p w14:paraId="0F169FD0" w14:textId="77777777" w:rsidR="004E138C" w:rsidRDefault="004E138C" w:rsidP="004E138C">
      <w:pPr>
        <w:jc w:val="both"/>
        <w:rPr>
          <w:rFonts w:ascii="Abadi" w:hAnsi="Abadi"/>
          <w:sz w:val="21"/>
          <w:szCs w:val="21"/>
        </w:rPr>
      </w:pPr>
    </w:p>
    <w:p w14:paraId="71E7E766" w14:textId="140B4304" w:rsidR="004E138C" w:rsidRDefault="004E138C" w:rsidP="004E138C">
      <w:pPr>
        <w:jc w:val="both"/>
        <w:rPr>
          <w:rFonts w:ascii="Abadi" w:hAnsi="Abadi"/>
          <w:sz w:val="21"/>
          <w:szCs w:val="21"/>
        </w:rPr>
      </w:pPr>
      <w:r>
        <w:rPr>
          <w:rFonts w:ascii="Abadi" w:hAnsi="Abadi"/>
          <w:sz w:val="21"/>
          <w:szCs w:val="21"/>
        </w:rPr>
        <w:tab/>
        <w:t>- C</w:t>
      </w:r>
      <w:r w:rsidRPr="0030088F">
        <w:rPr>
          <w:rFonts w:ascii="Abadi" w:hAnsi="Abadi"/>
          <w:sz w:val="21"/>
          <w:szCs w:val="21"/>
        </w:rPr>
        <w:t>orresponde someter la discusión del dictamen en lo particular si desean reservar cualquiera de los artículos que contienen sírvanse apartarlo en la inteligencia de que los artículos no reservados se tendrán por aproba</w:t>
      </w:r>
      <w:r>
        <w:rPr>
          <w:rFonts w:ascii="Abadi" w:hAnsi="Abadi"/>
          <w:sz w:val="21"/>
          <w:szCs w:val="21"/>
        </w:rPr>
        <w:t>dos. E</w:t>
      </w:r>
      <w:r w:rsidRPr="0030088F">
        <w:rPr>
          <w:rFonts w:ascii="Abadi" w:hAnsi="Abadi"/>
          <w:sz w:val="21"/>
          <w:szCs w:val="21"/>
        </w:rPr>
        <w:t>sta presidencia declara tener por aprobados los artículos contenidos en el dictamen</w:t>
      </w:r>
      <w:r>
        <w:rPr>
          <w:rFonts w:ascii="Abadi" w:hAnsi="Abadi"/>
          <w:sz w:val="21"/>
          <w:szCs w:val="21"/>
        </w:rPr>
        <w:t xml:space="preserve">. </w:t>
      </w:r>
    </w:p>
    <w:p w14:paraId="500C39F6" w14:textId="77777777" w:rsidR="004E138C" w:rsidRDefault="004E138C" w:rsidP="004E138C">
      <w:pPr>
        <w:jc w:val="both"/>
        <w:rPr>
          <w:rFonts w:ascii="Abadi" w:hAnsi="Abadi"/>
          <w:sz w:val="21"/>
          <w:szCs w:val="21"/>
        </w:rPr>
      </w:pPr>
    </w:p>
    <w:p w14:paraId="68A51AC7" w14:textId="77777777" w:rsidR="004E138C" w:rsidRDefault="004E138C" w:rsidP="004E138C">
      <w:pPr>
        <w:ind w:left="567" w:right="900"/>
        <w:jc w:val="both"/>
        <w:rPr>
          <w:rFonts w:ascii="Abadi" w:hAnsi="Abadi"/>
          <w:b/>
          <w:bCs/>
          <w:i/>
          <w:iCs/>
          <w:sz w:val="21"/>
          <w:szCs w:val="21"/>
          <w:u w:val="single"/>
        </w:rPr>
      </w:pPr>
      <w:r w:rsidRPr="004F6E35">
        <w:rPr>
          <w:rFonts w:ascii="Abadi" w:hAnsi="Abadi"/>
          <w:b/>
          <w:bCs/>
          <w:i/>
          <w:iCs/>
          <w:sz w:val="21"/>
          <w:szCs w:val="21"/>
          <w:u w:val="single"/>
        </w:rPr>
        <w:t xml:space="preserve">Remitase al Ejecutivo del Estado el decreto aprobado para los efectos constitucionales de su competencia. </w:t>
      </w:r>
    </w:p>
    <w:p w14:paraId="20DCB14E" w14:textId="77777777" w:rsidR="00156176" w:rsidRDefault="00156176" w:rsidP="004E138C">
      <w:pPr>
        <w:ind w:left="567" w:right="900"/>
        <w:jc w:val="both"/>
        <w:rPr>
          <w:rFonts w:ascii="Abadi" w:hAnsi="Abadi"/>
          <w:b/>
          <w:bCs/>
          <w:i/>
          <w:iCs/>
          <w:sz w:val="21"/>
          <w:szCs w:val="21"/>
          <w:u w:val="single"/>
        </w:rPr>
      </w:pPr>
    </w:p>
    <w:p w14:paraId="26E44673" w14:textId="2C2BF20C"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FOMENTO AGROPECUARIO RELATIVO A LA INICIATIVA SUSCRITA POR DIPUTADAS Y DIPUTADOS INTEGRANTES DEL GRUPO </w:t>
      </w:r>
      <w:r w:rsidRPr="00006796">
        <w:rPr>
          <w:rFonts w:ascii="Abadi" w:hAnsi="Abadi" w:cs="ArialMT"/>
          <w:b/>
          <w:bCs/>
          <w:sz w:val="21"/>
          <w:szCs w:val="21"/>
        </w:rPr>
        <w:t xml:space="preserve">PARLAMENTARIO DEL PARTIDO ACCIÓN NACIONAL POR LA QUE SE REFORMAN Y ADICIONAN DIVERSAS DISPOSICIONES DE LA LEY DE FOMENTO Y DESARROLLO AGRÍCOLA PARA EL ESTADO DE GUANAJUATO. </w:t>
      </w:r>
      <w:r w:rsidRPr="00006796">
        <w:rPr>
          <w:rFonts w:ascii="Abadi" w:hAnsi="Abadi" w:cs="Arial-ItalicMT"/>
          <w:b/>
          <w:bCs/>
          <w:i/>
          <w:iCs/>
          <w:sz w:val="21"/>
          <w:szCs w:val="21"/>
        </w:rPr>
        <w:t>(ELD 337/LXV-I)</w:t>
      </w:r>
      <w:r w:rsidR="006C6747">
        <w:rPr>
          <w:rStyle w:val="Refdenotaalpie"/>
          <w:rFonts w:ascii="Abadi" w:hAnsi="Abadi" w:cs="Arial-ItalicMT"/>
          <w:b/>
          <w:bCs/>
          <w:i/>
          <w:iCs/>
          <w:sz w:val="21"/>
          <w:szCs w:val="21"/>
        </w:rPr>
        <w:footnoteReference w:id="201"/>
      </w:r>
    </w:p>
    <w:p w14:paraId="43F6A1CA" w14:textId="77777777" w:rsidR="003D75B3" w:rsidRDefault="003D75B3" w:rsidP="003D75B3">
      <w:pPr>
        <w:pStyle w:val="Prrafodelista"/>
        <w:autoSpaceDE w:val="0"/>
        <w:autoSpaceDN w:val="0"/>
        <w:adjustRightInd w:val="0"/>
        <w:ind w:left="426"/>
        <w:contextualSpacing/>
        <w:jc w:val="both"/>
        <w:rPr>
          <w:rFonts w:ascii="Abadi" w:hAnsi="Abadi" w:cs="Arial-ItalicMT"/>
          <w:b/>
          <w:bCs/>
          <w:i/>
          <w:iCs/>
          <w:sz w:val="21"/>
          <w:szCs w:val="21"/>
        </w:rPr>
      </w:pPr>
    </w:p>
    <w:p w14:paraId="4A3FFE39" w14:textId="77777777" w:rsidR="00E83108" w:rsidRPr="00141738" w:rsidRDefault="00E83108" w:rsidP="009757CB">
      <w:pPr>
        <w:pStyle w:val="Sinespaciado"/>
        <w:rPr>
          <w:rFonts w:ascii="Abadi" w:hAnsi="Abadi" w:cs="Arial"/>
          <w:b/>
          <w:sz w:val="21"/>
          <w:szCs w:val="21"/>
        </w:rPr>
      </w:pPr>
      <w:r w:rsidRPr="00141738">
        <w:rPr>
          <w:rFonts w:ascii="Abadi" w:hAnsi="Abadi" w:cs="Arial"/>
          <w:b/>
          <w:sz w:val="21"/>
          <w:szCs w:val="21"/>
        </w:rPr>
        <w:t>Diputada presidenta del Congreso del Estado</w:t>
      </w:r>
    </w:p>
    <w:p w14:paraId="1408A42E" w14:textId="77777777" w:rsidR="00E83108" w:rsidRPr="00141738" w:rsidRDefault="00E83108" w:rsidP="009757CB">
      <w:pPr>
        <w:pStyle w:val="Sinespaciado"/>
        <w:rPr>
          <w:rFonts w:ascii="Abadi" w:hAnsi="Abadi" w:cs="Arial"/>
          <w:b/>
          <w:sz w:val="21"/>
          <w:szCs w:val="21"/>
        </w:rPr>
      </w:pPr>
      <w:r w:rsidRPr="00141738">
        <w:rPr>
          <w:rFonts w:ascii="Abadi" w:hAnsi="Abadi" w:cs="Arial"/>
          <w:b/>
          <w:sz w:val="21"/>
          <w:szCs w:val="21"/>
        </w:rPr>
        <w:t>P r e s e n t e.</w:t>
      </w:r>
    </w:p>
    <w:p w14:paraId="2A8F3987" w14:textId="77777777" w:rsidR="00E83108" w:rsidRPr="00141738" w:rsidRDefault="00E83108" w:rsidP="009757CB">
      <w:pPr>
        <w:ind w:firstLine="708"/>
        <w:jc w:val="both"/>
        <w:rPr>
          <w:rFonts w:ascii="Abadi" w:hAnsi="Abadi"/>
          <w:sz w:val="21"/>
          <w:szCs w:val="21"/>
        </w:rPr>
      </w:pPr>
    </w:p>
    <w:p w14:paraId="539EA817" w14:textId="77777777" w:rsidR="00E83108" w:rsidRPr="00141738" w:rsidRDefault="00E83108" w:rsidP="009757CB">
      <w:pPr>
        <w:ind w:firstLine="708"/>
        <w:jc w:val="both"/>
        <w:rPr>
          <w:rFonts w:ascii="Abadi" w:hAnsi="Abadi"/>
          <w:sz w:val="21"/>
          <w:szCs w:val="21"/>
        </w:rPr>
      </w:pPr>
      <w:r w:rsidRPr="00141738">
        <w:rPr>
          <w:rFonts w:ascii="Abadi" w:hAnsi="Abadi"/>
          <w:sz w:val="21"/>
          <w:szCs w:val="21"/>
        </w:rPr>
        <w:t>La Comisión de Fomento Agropecuario de la Sexagésima Quinta Legislatura recibió para efectos de estudio y dictamen, la iniciativa suscrita por diputadas y diputados integrantes del Grupo Parlamentario del Partido Acción Nacional por la que se reforman y adicionan diversas disposiciones de la Ley de Fomento y Desarrollo Agrícola para el Estado de Guanajuato. ELD 337LXV-I</w:t>
      </w:r>
    </w:p>
    <w:p w14:paraId="08A34F1A" w14:textId="77777777" w:rsidR="00E83108" w:rsidRPr="00141738" w:rsidRDefault="00E83108" w:rsidP="009757CB">
      <w:pPr>
        <w:ind w:firstLine="708"/>
        <w:jc w:val="both"/>
        <w:rPr>
          <w:rFonts w:ascii="Abadi" w:hAnsi="Abadi"/>
          <w:sz w:val="21"/>
          <w:szCs w:val="21"/>
        </w:rPr>
      </w:pPr>
    </w:p>
    <w:p w14:paraId="7C1E5CA0" w14:textId="77777777" w:rsidR="00E83108" w:rsidRPr="00141738" w:rsidRDefault="00E83108" w:rsidP="009757CB">
      <w:pPr>
        <w:ind w:firstLine="708"/>
        <w:jc w:val="both"/>
        <w:rPr>
          <w:rFonts w:ascii="Abadi" w:hAnsi="Abadi"/>
          <w:sz w:val="21"/>
          <w:szCs w:val="21"/>
        </w:rPr>
      </w:pPr>
      <w:r w:rsidRPr="00141738">
        <w:rPr>
          <w:rFonts w:ascii="Abadi" w:hAnsi="Abadi"/>
          <w:sz w:val="21"/>
          <w:szCs w:val="21"/>
        </w:rPr>
        <w:t>Por lo anterior, con fundamento en los artículos 89 fracción V, 110 fracciones I y III, y 171 de la Ley Orgánica del Poder Legislativo del Estado de Guanajuato, sometemos a la consideración de la Asamblea el presente:</w:t>
      </w:r>
    </w:p>
    <w:p w14:paraId="33D47191" w14:textId="77777777" w:rsidR="00E83108" w:rsidRPr="00141738" w:rsidRDefault="00E83108" w:rsidP="00E83108">
      <w:pPr>
        <w:pStyle w:val="Ttulo1"/>
        <w:spacing w:line="276" w:lineRule="auto"/>
        <w:jc w:val="center"/>
        <w:rPr>
          <w:rFonts w:ascii="Abadi" w:eastAsia="Batang" w:hAnsi="Abadi" w:cs="Arial"/>
          <w:sz w:val="21"/>
          <w:szCs w:val="21"/>
        </w:rPr>
      </w:pPr>
    </w:p>
    <w:p w14:paraId="7815A2DC" w14:textId="77777777" w:rsidR="00E83108" w:rsidRPr="00141738" w:rsidRDefault="00E83108" w:rsidP="00E83108">
      <w:pPr>
        <w:pStyle w:val="Ttulo1"/>
        <w:spacing w:line="276" w:lineRule="auto"/>
        <w:jc w:val="center"/>
        <w:rPr>
          <w:rFonts w:ascii="Abadi" w:eastAsia="Batang" w:hAnsi="Abadi" w:cs="Arial"/>
          <w:sz w:val="21"/>
          <w:szCs w:val="21"/>
        </w:rPr>
      </w:pPr>
      <w:r w:rsidRPr="00141738">
        <w:rPr>
          <w:rFonts w:ascii="Abadi" w:eastAsia="Batang" w:hAnsi="Abadi" w:cs="Arial"/>
          <w:sz w:val="21"/>
          <w:szCs w:val="21"/>
        </w:rPr>
        <w:t>D I C T A M E N</w:t>
      </w:r>
    </w:p>
    <w:p w14:paraId="7115D44B" w14:textId="77777777" w:rsidR="00E83108" w:rsidRPr="00141738" w:rsidRDefault="00E83108" w:rsidP="00E83108">
      <w:pPr>
        <w:rPr>
          <w:rFonts w:ascii="Abadi" w:eastAsia="Batang" w:hAnsi="Abadi"/>
          <w:sz w:val="21"/>
          <w:szCs w:val="21"/>
          <w:lang w:val="es-ES_tradnl"/>
        </w:rPr>
      </w:pPr>
    </w:p>
    <w:p w14:paraId="6D7E438B" w14:textId="77777777" w:rsidR="00E83108" w:rsidRPr="00141738" w:rsidRDefault="00E83108" w:rsidP="00E83108">
      <w:pPr>
        <w:pStyle w:val="Prrafodelista"/>
        <w:numPr>
          <w:ilvl w:val="0"/>
          <w:numId w:val="35"/>
        </w:numPr>
        <w:spacing w:line="276" w:lineRule="auto"/>
        <w:jc w:val="both"/>
        <w:rPr>
          <w:rFonts w:ascii="Abadi" w:eastAsia="Batang" w:hAnsi="Abadi" w:cs="Arial"/>
          <w:b/>
          <w:bCs/>
          <w:sz w:val="21"/>
          <w:szCs w:val="21"/>
        </w:rPr>
      </w:pPr>
      <w:r w:rsidRPr="00141738">
        <w:rPr>
          <w:rFonts w:ascii="Abadi" w:eastAsia="Batang" w:hAnsi="Abadi" w:cs="Arial"/>
          <w:b/>
          <w:bCs/>
          <w:sz w:val="21"/>
          <w:szCs w:val="21"/>
        </w:rPr>
        <w:t>Competencia</w:t>
      </w:r>
    </w:p>
    <w:p w14:paraId="1FF226E8" w14:textId="77777777" w:rsidR="00E83108" w:rsidRPr="00141738" w:rsidRDefault="00E83108" w:rsidP="00E83108">
      <w:pPr>
        <w:pStyle w:val="Prrafodelista"/>
        <w:tabs>
          <w:tab w:val="left" w:pos="4065"/>
        </w:tabs>
        <w:spacing w:line="276" w:lineRule="auto"/>
        <w:ind w:left="1428"/>
        <w:jc w:val="both"/>
        <w:rPr>
          <w:rFonts w:ascii="Abadi" w:eastAsia="Batang" w:hAnsi="Abadi" w:cs="Arial"/>
          <w:b/>
          <w:bCs/>
          <w:sz w:val="21"/>
          <w:szCs w:val="21"/>
        </w:rPr>
      </w:pPr>
      <w:r w:rsidRPr="00141738">
        <w:rPr>
          <w:rFonts w:ascii="Abadi" w:eastAsia="Batang" w:hAnsi="Abadi" w:cs="Arial"/>
          <w:b/>
          <w:bCs/>
          <w:sz w:val="21"/>
          <w:szCs w:val="21"/>
        </w:rPr>
        <w:tab/>
      </w:r>
    </w:p>
    <w:p w14:paraId="27CB4C0E"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De conformidad con lo dispuesto por las fracciones I y III del artículo 110, de la Ley Orgánica del Poder Legislativo del Estado de Guanajuato, es competencia de la Comisión de Fomento Agropecuario el estudio y conocimiento de los asuntos que se refieran a las iniciativas de ley o modificaciones, relacionadas con legislación en materia agropecuaria; así como aquellos referentes al desarrollo rural y mejoramiento de los ejidatarios, comuneros y pequeños propietarios agrícolas, forestales y ganaderos, que sean de competencia estatal de conformidad con las disposiciones de la Ley de la materia.</w:t>
      </w:r>
    </w:p>
    <w:p w14:paraId="3D316A49" w14:textId="77777777" w:rsidR="00E83108" w:rsidRPr="00141738" w:rsidRDefault="00E83108" w:rsidP="009757CB">
      <w:pPr>
        <w:jc w:val="both"/>
        <w:rPr>
          <w:rFonts w:ascii="Abadi" w:eastAsia="Batang" w:hAnsi="Abadi" w:cs="Arial"/>
          <w:b/>
          <w:bCs/>
          <w:sz w:val="21"/>
          <w:szCs w:val="21"/>
        </w:rPr>
      </w:pPr>
      <w:r w:rsidRPr="00141738">
        <w:rPr>
          <w:rFonts w:ascii="Abadi" w:eastAsia="Batang" w:hAnsi="Abadi" w:cs="Arial"/>
          <w:b/>
          <w:bCs/>
          <w:sz w:val="21"/>
          <w:szCs w:val="21"/>
          <w:highlight w:val="yellow"/>
        </w:rPr>
        <w:t xml:space="preserve">   </w:t>
      </w:r>
    </w:p>
    <w:p w14:paraId="2BC74B03" w14:textId="77777777" w:rsidR="00E83108" w:rsidRPr="00141738" w:rsidRDefault="00E83108" w:rsidP="009757CB">
      <w:pPr>
        <w:ind w:firstLine="708"/>
        <w:jc w:val="both"/>
        <w:rPr>
          <w:rFonts w:ascii="Abadi" w:eastAsia="Batang" w:hAnsi="Abadi" w:cs="Arial"/>
          <w:b/>
          <w:bCs/>
          <w:sz w:val="21"/>
          <w:szCs w:val="21"/>
        </w:rPr>
      </w:pPr>
      <w:r w:rsidRPr="00141738">
        <w:rPr>
          <w:rFonts w:ascii="Abadi" w:eastAsia="Batang" w:hAnsi="Abadi" w:cs="Arial"/>
          <w:b/>
          <w:bCs/>
          <w:sz w:val="21"/>
          <w:szCs w:val="21"/>
        </w:rPr>
        <w:t xml:space="preserve">II. Proceso legislativo   </w:t>
      </w:r>
    </w:p>
    <w:p w14:paraId="1795796D" w14:textId="77777777" w:rsidR="00E83108" w:rsidRPr="00141738" w:rsidRDefault="00E83108" w:rsidP="009757CB">
      <w:pPr>
        <w:ind w:firstLine="708"/>
        <w:jc w:val="both"/>
        <w:rPr>
          <w:rFonts w:ascii="Abadi" w:eastAsia="Batang" w:hAnsi="Abadi" w:cs="Arial"/>
          <w:b/>
          <w:bCs/>
          <w:sz w:val="21"/>
          <w:szCs w:val="21"/>
        </w:rPr>
      </w:pPr>
    </w:p>
    <w:p w14:paraId="5C5FFB13"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 xml:space="preserve">La iniciativa ingresó en la sesión ordinaria del Pleno del Congreso del Estado </w:t>
      </w:r>
      <w:r w:rsidRPr="00141738">
        <w:rPr>
          <w:rFonts w:ascii="Abadi" w:eastAsia="Batang" w:hAnsi="Abadi" w:cs="Arial"/>
          <w:bCs/>
          <w:sz w:val="21"/>
          <w:szCs w:val="21"/>
        </w:rPr>
        <w:lastRenderedPageBreak/>
        <w:t>celebrada en fecha 10 de noviembre del 2022, turnándose a esta Comisión para su análisis y resolución mediante dictamen.</w:t>
      </w:r>
    </w:p>
    <w:p w14:paraId="692FF5BF" w14:textId="77777777" w:rsidR="00E83108" w:rsidRPr="00141738" w:rsidRDefault="00E83108" w:rsidP="009757CB">
      <w:pPr>
        <w:pStyle w:val="Prrafodelista"/>
        <w:ind w:left="1068"/>
        <w:jc w:val="both"/>
        <w:rPr>
          <w:rFonts w:ascii="Abadi" w:eastAsia="Batang" w:hAnsi="Abadi" w:cs="Arial"/>
          <w:bCs/>
          <w:sz w:val="21"/>
          <w:szCs w:val="21"/>
        </w:rPr>
      </w:pPr>
    </w:p>
    <w:p w14:paraId="6FF3852A"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En reunión celebrada el 14 de febrero del citado año, se radicó la propuesta materia del presente dictamen, y se acordó la metodología a seguir para su análisis, la cual consistió en lo siguiente:</w:t>
      </w:r>
    </w:p>
    <w:p w14:paraId="6C4881DC" w14:textId="77777777" w:rsidR="00E83108" w:rsidRPr="00141738" w:rsidRDefault="00E83108" w:rsidP="009757CB">
      <w:pPr>
        <w:ind w:firstLine="708"/>
        <w:jc w:val="both"/>
        <w:rPr>
          <w:rFonts w:ascii="Abadi" w:eastAsia="Batang" w:hAnsi="Abadi" w:cs="Arial"/>
          <w:bCs/>
          <w:sz w:val="21"/>
          <w:szCs w:val="21"/>
          <w:highlight w:val="yellow"/>
        </w:rPr>
      </w:pPr>
    </w:p>
    <w:p w14:paraId="34AABA73" w14:textId="77777777" w:rsidR="00E83108" w:rsidRPr="00141738" w:rsidRDefault="00E83108" w:rsidP="009757CB">
      <w:pPr>
        <w:pStyle w:val="Prrafodelista"/>
        <w:numPr>
          <w:ilvl w:val="0"/>
          <w:numId w:val="36"/>
        </w:numPr>
        <w:jc w:val="both"/>
        <w:rPr>
          <w:rFonts w:ascii="Abadi" w:eastAsia="Batang" w:hAnsi="Abadi" w:cs="Arial"/>
          <w:bCs/>
          <w:sz w:val="21"/>
          <w:szCs w:val="21"/>
        </w:rPr>
      </w:pPr>
      <w:r w:rsidRPr="00141738">
        <w:rPr>
          <w:rFonts w:ascii="Abadi" w:eastAsia="Batang" w:hAnsi="Abadi" w:cs="Arial"/>
          <w:bCs/>
          <w:sz w:val="21"/>
          <w:szCs w:val="21"/>
        </w:rPr>
        <w:t>Se remitió la iniciativa vía correo electrónico a las diputadas y los diputados integrantes de la Sexagésima Cuarta Legislatura, a la Fiscalía General del Estado, a la Coordinación General Jurídica del Estado, a la Secretaría de Desarrollo Agroalimentario y Rural, al Consejo Estatal Agroalimentario de Guanajuato, a las universidades que han firmado convenio con el Congreso del Estado, quienes contarán con un plazo de 15 días hábiles a partir de su notificación para remitir comentarios y observaciones que estimen pertinentes.</w:t>
      </w:r>
    </w:p>
    <w:p w14:paraId="14BFAC6A" w14:textId="77777777" w:rsidR="00E83108" w:rsidRPr="00141738" w:rsidRDefault="00E83108" w:rsidP="009757CB">
      <w:pPr>
        <w:pStyle w:val="Prrafodelista"/>
        <w:ind w:left="1068"/>
        <w:jc w:val="both"/>
        <w:rPr>
          <w:rFonts w:ascii="Abadi" w:eastAsia="Batang" w:hAnsi="Abadi" w:cs="Arial"/>
          <w:bCs/>
          <w:sz w:val="21"/>
          <w:szCs w:val="21"/>
        </w:rPr>
      </w:pPr>
    </w:p>
    <w:p w14:paraId="184621CC" w14:textId="77777777" w:rsidR="00E83108" w:rsidRPr="00141738" w:rsidRDefault="00E83108" w:rsidP="009757CB">
      <w:pPr>
        <w:pStyle w:val="Prrafodelista"/>
        <w:numPr>
          <w:ilvl w:val="0"/>
          <w:numId w:val="36"/>
        </w:numPr>
        <w:jc w:val="both"/>
        <w:rPr>
          <w:rFonts w:ascii="Abadi" w:eastAsia="Batang" w:hAnsi="Abadi" w:cs="Arial"/>
          <w:bCs/>
          <w:sz w:val="21"/>
          <w:szCs w:val="21"/>
        </w:rPr>
      </w:pPr>
      <w:r w:rsidRPr="00141738">
        <w:rPr>
          <w:rFonts w:ascii="Abadi" w:eastAsia="Batang" w:hAnsi="Abadi" w:cs="Arial"/>
          <w:bCs/>
          <w:sz w:val="21"/>
          <w:szCs w:val="21"/>
        </w:rPr>
        <w:t>Concluido el término de consulta, los comentarios y observaciones remitidos se concentraron en un documento comparativo por la secretaría técnica.</w:t>
      </w:r>
    </w:p>
    <w:p w14:paraId="558B46EE" w14:textId="77777777" w:rsidR="00E83108" w:rsidRPr="00141738" w:rsidRDefault="00E83108" w:rsidP="009757CB">
      <w:pPr>
        <w:pStyle w:val="Prrafodelista"/>
        <w:ind w:left="1068"/>
        <w:jc w:val="both"/>
        <w:rPr>
          <w:rFonts w:ascii="Abadi" w:eastAsia="Batang" w:hAnsi="Abadi" w:cs="Arial"/>
          <w:bCs/>
          <w:sz w:val="21"/>
          <w:szCs w:val="21"/>
        </w:rPr>
      </w:pPr>
    </w:p>
    <w:p w14:paraId="5B2CFEA9" w14:textId="77777777" w:rsidR="00E83108" w:rsidRPr="00141738" w:rsidRDefault="00E83108" w:rsidP="009757CB">
      <w:pPr>
        <w:pStyle w:val="Prrafodelista"/>
        <w:numPr>
          <w:ilvl w:val="0"/>
          <w:numId w:val="36"/>
        </w:numPr>
        <w:jc w:val="both"/>
        <w:rPr>
          <w:rFonts w:ascii="Abadi" w:eastAsia="Batang" w:hAnsi="Abadi" w:cs="Arial"/>
          <w:bCs/>
          <w:sz w:val="21"/>
          <w:szCs w:val="21"/>
        </w:rPr>
      </w:pPr>
      <w:r w:rsidRPr="00141738">
        <w:rPr>
          <w:rFonts w:ascii="Abadi" w:eastAsia="Batang" w:hAnsi="Abadi" w:cs="Arial"/>
          <w:bCs/>
          <w:sz w:val="21"/>
          <w:szCs w:val="21"/>
        </w:rPr>
        <w:t xml:space="preserve">Se instaló de mesa de trabajo permanente en la que participarán: </w:t>
      </w:r>
    </w:p>
    <w:p w14:paraId="6832904E" w14:textId="77777777" w:rsidR="00E83108" w:rsidRPr="00141738" w:rsidRDefault="00E83108" w:rsidP="009757CB">
      <w:pPr>
        <w:pStyle w:val="Prrafodelista"/>
        <w:ind w:left="1068"/>
        <w:jc w:val="both"/>
        <w:rPr>
          <w:rFonts w:ascii="Abadi" w:eastAsia="Batang" w:hAnsi="Abadi" w:cs="Arial"/>
          <w:bCs/>
          <w:sz w:val="21"/>
          <w:szCs w:val="21"/>
        </w:rPr>
      </w:pPr>
    </w:p>
    <w:p w14:paraId="76D6E44A" w14:textId="77777777" w:rsidR="00E83108" w:rsidRPr="00141738" w:rsidRDefault="00E83108" w:rsidP="009757CB">
      <w:pPr>
        <w:pStyle w:val="Prrafodelista"/>
        <w:ind w:left="1068"/>
        <w:jc w:val="both"/>
        <w:rPr>
          <w:rFonts w:ascii="Abadi" w:eastAsia="Batang" w:hAnsi="Abadi" w:cs="Arial"/>
          <w:bCs/>
          <w:sz w:val="21"/>
          <w:szCs w:val="21"/>
        </w:rPr>
      </w:pPr>
      <w:r w:rsidRPr="00141738">
        <w:rPr>
          <w:rFonts w:ascii="Abadi" w:eastAsia="Batang" w:hAnsi="Abadi" w:cs="Arial"/>
          <w:bCs/>
          <w:sz w:val="21"/>
          <w:szCs w:val="21"/>
        </w:rPr>
        <w:t>Diputada y Diputados integrantes de la Comisión;</w:t>
      </w:r>
    </w:p>
    <w:p w14:paraId="2D00D090" w14:textId="77777777" w:rsidR="00E83108" w:rsidRPr="00141738" w:rsidRDefault="00E83108" w:rsidP="009757CB">
      <w:pPr>
        <w:pStyle w:val="Prrafodelista"/>
        <w:ind w:left="1068"/>
        <w:jc w:val="both"/>
        <w:rPr>
          <w:rFonts w:ascii="Abadi" w:eastAsia="Batang" w:hAnsi="Abadi" w:cs="Arial"/>
          <w:bCs/>
          <w:sz w:val="21"/>
          <w:szCs w:val="21"/>
        </w:rPr>
      </w:pPr>
      <w:r w:rsidRPr="00141738">
        <w:rPr>
          <w:rFonts w:ascii="Abadi" w:eastAsia="Batang" w:hAnsi="Abadi" w:cs="Arial"/>
          <w:bCs/>
          <w:sz w:val="21"/>
          <w:szCs w:val="21"/>
        </w:rPr>
        <w:t>Representantes del Poder Ejecutivo;</w:t>
      </w:r>
    </w:p>
    <w:p w14:paraId="134DEA86" w14:textId="77777777" w:rsidR="00E83108" w:rsidRPr="00141738" w:rsidRDefault="00E83108" w:rsidP="009757CB">
      <w:pPr>
        <w:pStyle w:val="Prrafodelista"/>
        <w:ind w:left="1068"/>
        <w:jc w:val="both"/>
        <w:rPr>
          <w:rFonts w:ascii="Abadi" w:eastAsia="Batang" w:hAnsi="Abadi" w:cs="Arial"/>
          <w:bCs/>
          <w:sz w:val="21"/>
          <w:szCs w:val="21"/>
        </w:rPr>
      </w:pPr>
      <w:r w:rsidRPr="00141738">
        <w:rPr>
          <w:rFonts w:ascii="Abadi" w:eastAsia="Batang" w:hAnsi="Abadi" w:cs="Arial"/>
          <w:bCs/>
          <w:sz w:val="21"/>
          <w:szCs w:val="21"/>
        </w:rPr>
        <w:t>Integrantes del Consejo Estatal Agroalimentario;</w:t>
      </w:r>
    </w:p>
    <w:p w14:paraId="2F2AD1B9" w14:textId="77777777" w:rsidR="00E83108" w:rsidRPr="00141738" w:rsidRDefault="00E83108" w:rsidP="009757CB">
      <w:pPr>
        <w:pStyle w:val="Prrafodelista"/>
        <w:ind w:left="1068"/>
        <w:jc w:val="both"/>
        <w:rPr>
          <w:rFonts w:ascii="Abadi" w:eastAsia="Batang" w:hAnsi="Abadi" w:cs="Arial"/>
          <w:bCs/>
          <w:sz w:val="21"/>
          <w:szCs w:val="21"/>
        </w:rPr>
      </w:pPr>
    </w:p>
    <w:p w14:paraId="18BC8525" w14:textId="77777777" w:rsidR="00E83108" w:rsidRPr="00141738" w:rsidRDefault="00E83108" w:rsidP="009757CB">
      <w:pPr>
        <w:pStyle w:val="Prrafodelista"/>
        <w:ind w:left="1068"/>
        <w:jc w:val="both"/>
        <w:rPr>
          <w:rFonts w:ascii="Abadi" w:eastAsia="Batang" w:hAnsi="Abadi" w:cs="Arial"/>
          <w:bCs/>
          <w:sz w:val="21"/>
          <w:szCs w:val="21"/>
        </w:rPr>
      </w:pPr>
      <w:r w:rsidRPr="00141738">
        <w:rPr>
          <w:rFonts w:ascii="Abadi" w:eastAsia="Batang" w:hAnsi="Abadi" w:cs="Arial"/>
          <w:bCs/>
          <w:sz w:val="21"/>
          <w:szCs w:val="21"/>
        </w:rPr>
        <w:t>Podrán participar quienes hayan enviado comentarios sobre el proyecto de iniciativa.</w:t>
      </w:r>
    </w:p>
    <w:p w14:paraId="134C953D" w14:textId="77777777" w:rsidR="00E83108" w:rsidRPr="00141738" w:rsidRDefault="00E83108" w:rsidP="009757CB">
      <w:pPr>
        <w:pStyle w:val="Prrafodelista"/>
        <w:ind w:left="1068"/>
        <w:jc w:val="both"/>
        <w:rPr>
          <w:rFonts w:ascii="Abadi" w:eastAsia="Batang" w:hAnsi="Abadi" w:cs="Arial"/>
          <w:bCs/>
          <w:sz w:val="21"/>
          <w:szCs w:val="21"/>
        </w:rPr>
      </w:pPr>
      <w:r w:rsidRPr="00141738">
        <w:rPr>
          <w:rFonts w:ascii="Abadi" w:eastAsia="Batang" w:hAnsi="Abadi" w:cs="Arial"/>
          <w:bCs/>
          <w:sz w:val="21"/>
          <w:szCs w:val="21"/>
        </w:rPr>
        <w:t>En este concepto, fue incluida la fiscalía general del Estado.</w:t>
      </w:r>
    </w:p>
    <w:p w14:paraId="7C0612DC" w14:textId="77777777" w:rsidR="00E83108" w:rsidRPr="00141738" w:rsidRDefault="00E83108" w:rsidP="009757CB">
      <w:pPr>
        <w:pStyle w:val="Prrafodelista"/>
        <w:ind w:left="1068"/>
        <w:jc w:val="both"/>
        <w:rPr>
          <w:rFonts w:ascii="Abadi" w:eastAsia="Batang" w:hAnsi="Abadi" w:cs="Arial"/>
          <w:bCs/>
          <w:sz w:val="21"/>
          <w:szCs w:val="21"/>
        </w:rPr>
      </w:pPr>
    </w:p>
    <w:p w14:paraId="100E69A0" w14:textId="77777777" w:rsidR="00E83108" w:rsidRPr="00141738" w:rsidRDefault="00E83108" w:rsidP="009757CB">
      <w:pPr>
        <w:pStyle w:val="Prrafodelista"/>
        <w:numPr>
          <w:ilvl w:val="0"/>
          <w:numId w:val="36"/>
        </w:numPr>
        <w:jc w:val="both"/>
        <w:rPr>
          <w:rFonts w:ascii="Abadi" w:eastAsia="Batang" w:hAnsi="Abadi" w:cs="Arial"/>
          <w:bCs/>
          <w:sz w:val="21"/>
          <w:szCs w:val="21"/>
        </w:rPr>
      </w:pPr>
      <w:r w:rsidRPr="00141738">
        <w:rPr>
          <w:rFonts w:ascii="Abadi" w:eastAsia="Batang" w:hAnsi="Abadi" w:cs="Arial"/>
          <w:bCs/>
          <w:sz w:val="21"/>
          <w:szCs w:val="21"/>
        </w:rPr>
        <w:t xml:space="preserve">Concluida la consulta y la reunión de trabajo, señaladas en los puntos anteriores, la secretaría técnica elaboró el proyecto de dictamen correspondiente, lo </w:t>
      </w:r>
      <w:r w:rsidRPr="00141738">
        <w:rPr>
          <w:rFonts w:ascii="Abadi" w:eastAsia="Batang" w:hAnsi="Abadi" w:cs="Arial"/>
          <w:bCs/>
          <w:sz w:val="21"/>
          <w:szCs w:val="21"/>
        </w:rPr>
        <w:t>remitió a los integrantes de la Comisión, para que formulen observaciones a la secretaría técnica.</w:t>
      </w:r>
    </w:p>
    <w:p w14:paraId="13F6E197" w14:textId="77777777" w:rsidR="00E83108" w:rsidRPr="00141738" w:rsidRDefault="00E83108" w:rsidP="009757CB">
      <w:pPr>
        <w:pStyle w:val="Prrafodelista"/>
        <w:ind w:left="1068"/>
        <w:jc w:val="both"/>
        <w:rPr>
          <w:rFonts w:ascii="Abadi" w:eastAsia="Batang" w:hAnsi="Abadi" w:cs="Arial"/>
          <w:bCs/>
          <w:sz w:val="21"/>
          <w:szCs w:val="21"/>
        </w:rPr>
      </w:pPr>
    </w:p>
    <w:p w14:paraId="013915C2" w14:textId="77777777" w:rsidR="00E83108" w:rsidRPr="00141738" w:rsidRDefault="00E83108" w:rsidP="009757CB">
      <w:pPr>
        <w:pStyle w:val="Prrafodelista"/>
        <w:numPr>
          <w:ilvl w:val="0"/>
          <w:numId w:val="36"/>
        </w:numPr>
        <w:jc w:val="both"/>
        <w:rPr>
          <w:rFonts w:ascii="Abadi" w:eastAsia="Batang" w:hAnsi="Abadi" w:cs="Arial"/>
          <w:bCs/>
          <w:sz w:val="21"/>
          <w:szCs w:val="21"/>
        </w:rPr>
      </w:pPr>
      <w:r w:rsidRPr="00141738">
        <w:rPr>
          <w:rFonts w:ascii="Abadi" w:eastAsia="Batang" w:hAnsi="Abadi" w:cs="Arial"/>
          <w:bCs/>
          <w:sz w:val="21"/>
          <w:szCs w:val="21"/>
        </w:rPr>
        <w:t>La Comisión se reunió para discutir el proyecto de dictamen de la iniciativa y, en su caso, dejarlo a disposición de la presidencia a efecto de someterlo a la aprobación del Pleno del Congreso.</w:t>
      </w:r>
    </w:p>
    <w:p w14:paraId="060453ED" w14:textId="77777777" w:rsidR="00E83108" w:rsidRPr="00141738" w:rsidRDefault="00E83108" w:rsidP="009757CB">
      <w:pPr>
        <w:pStyle w:val="Prrafodelista"/>
        <w:ind w:left="1068"/>
        <w:jc w:val="both"/>
        <w:rPr>
          <w:rFonts w:ascii="Abadi" w:eastAsia="Batang" w:hAnsi="Abadi" w:cs="Arial"/>
          <w:bCs/>
          <w:sz w:val="21"/>
          <w:szCs w:val="21"/>
        </w:rPr>
      </w:pPr>
    </w:p>
    <w:p w14:paraId="6F145129" w14:textId="77777777" w:rsidR="00E83108" w:rsidRPr="00141738" w:rsidRDefault="00E83108" w:rsidP="009757CB">
      <w:pPr>
        <w:ind w:firstLine="708"/>
        <w:jc w:val="both"/>
        <w:rPr>
          <w:rFonts w:ascii="Abadi" w:hAnsi="Abadi" w:cs="Arial"/>
          <w:sz w:val="21"/>
          <w:szCs w:val="21"/>
          <w:lang w:val="es-ES_tradnl"/>
        </w:rPr>
      </w:pPr>
      <w:r w:rsidRPr="00141738">
        <w:rPr>
          <w:rFonts w:ascii="Abadi" w:eastAsia="Batang" w:hAnsi="Abadi" w:cs="Arial"/>
          <w:bCs/>
          <w:sz w:val="21"/>
          <w:szCs w:val="21"/>
        </w:rPr>
        <w:t xml:space="preserve">En </w:t>
      </w:r>
      <w:r w:rsidRPr="00141738">
        <w:rPr>
          <w:rFonts w:ascii="Abadi" w:hAnsi="Abadi" w:cs="Arial"/>
          <w:sz w:val="21"/>
          <w:szCs w:val="21"/>
          <w:lang w:val="es-ES_tradnl"/>
        </w:rPr>
        <w:t>atención a la consulta dentro del término establecido, se recibieron los comunicados con sugerencias y opiniones de la fiscalía general del Estado, la Universidad de Guanajuato y el Instituto Latinoamericano de Ciencias y Humanidades, mismas que se impactaron en el concentrado de opiniones que sirvió como herramienta de trabajo en las mesas de análisis, se reproducen algunos conceptos que fueron valorados para incluir en el presente dictamen.</w:t>
      </w:r>
    </w:p>
    <w:p w14:paraId="797A81B8" w14:textId="77777777" w:rsidR="00E83108" w:rsidRPr="00141738" w:rsidRDefault="00E83108" w:rsidP="009757CB">
      <w:pPr>
        <w:ind w:firstLine="708"/>
        <w:jc w:val="both"/>
        <w:rPr>
          <w:rFonts w:ascii="Abadi" w:hAnsi="Abadi" w:cs="Arial"/>
          <w:sz w:val="21"/>
          <w:szCs w:val="21"/>
          <w:lang w:val="es-ES_tradnl"/>
        </w:rPr>
      </w:pPr>
    </w:p>
    <w:p w14:paraId="6BCF591E" w14:textId="77777777" w:rsidR="00E83108" w:rsidRPr="00141738" w:rsidRDefault="00E83108" w:rsidP="009757CB">
      <w:pPr>
        <w:ind w:firstLine="708"/>
        <w:jc w:val="both"/>
        <w:rPr>
          <w:rFonts w:ascii="Abadi" w:eastAsia="Batang" w:hAnsi="Abadi" w:cs="Arial"/>
          <w:b/>
          <w:sz w:val="21"/>
          <w:szCs w:val="21"/>
        </w:rPr>
      </w:pPr>
      <w:r w:rsidRPr="00141738">
        <w:rPr>
          <w:rFonts w:ascii="Abadi" w:eastAsia="Batang" w:hAnsi="Abadi" w:cs="Arial"/>
          <w:b/>
          <w:sz w:val="21"/>
          <w:szCs w:val="21"/>
        </w:rPr>
        <w:t>III. Consideraciones Generales.</w:t>
      </w:r>
    </w:p>
    <w:p w14:paraId="0C9AB5AF" w14:textId="77777777" w:rsidR="00E83108" w:rsidRPr="00141738" w:rsidRDefault="00E83108" w:rsidP="009757CB">
      <w:pPr>
        <w:ind w:firstLine="708"/>
        <w:jc w:val="both"/>
        <w:rPr>
          <w:rFonts w:ascii="Abadi" w:eastAsia="Batang" w:hAnsi="Abadi" w:cs="Arial"/>
          <w:b/>
          <w:sz w:val="21"/>
          <w:szCs w:val="21"/>
        </w:rPr>
      </w:pPr>
    </w:p>
    <w:p w14:paraId="2638AFB3"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En la exposición de motivos por parte de las personas iniciantes, se refleja la necesidad de fortalecer el marco jurídico retomado en esta evaluación ex ante, la cual señala los siguientes impactos a considerar:</w:t>
      </w:r>
    </w:p>
    <w:p w14:paraId="67B9378C" w14:textId="77777777" w:rsidR="00E83108" w:rsidRPr="00141738" w:rsidRDefault="00E83108" w:rsidP="009757CB">
      <w:pPr>
        <w:ind w:firstLine="708"/>
        <w:jc w:val="both"/>
        <w:rPr>
          <w:rFonts w:ascii="Abadi" w:eastAsia="Batang" w:hAnsi="Abadi" w:cs="Arial"/>
          <w:bCs/>
          <w:sz w:val="21"/>
          <w:szCs w:val="21"/>
        </w:rPr>
      </w:pPr>
    </w:p>
    <w:p w14:paraId="4794E7AD" w14:textId="77777777" w:rsidR="00E83108" w:rsidRPr="00141738" w:rsidRDefault="00E83108" w:rsidP="009757CB">
      <w:pPr>
        <w:pStyle w:val="Prrafodelista"/>
        <w:numPr>
          <w:ilvl w:val="0"/>
          <w:numId w:val="42"/>
        </w:numPr>
        <w:spacing w:after="240"/>
        <w:jc w:val="both"/>
        <w:rPr>
          <w:rFonts w:ascii="Abadi" w:eastAsia="Batang" w:hAnsi="Abadi" w:cs="Arial"/>
          <w:bCs/>
          <w:sz w:val="21"/>
          <w:szCs w:val="21"/>
        </w:rPr>
      </w:pPr>
      <w:r w:rsidRPr="00141738">
        <w:rPr>
          <w:rFonts w:ascii="Abadi" w:eastAsia="Batang" w:hAnsi="Abadi" w:cs="Arial"/>
          <w:b/>
          <w:sz w:val="21"/>
          <w:szCs w:val="21"/>
        </w:rPr>
        <w:t>Impacto jurídico</w:t>
      </w:r>
      <w:r w:rsidRPr="00141738">
        <w:rPr>
          <w:rFonts w:ascii="Abadi" w:eastAsia="Batang" w:hAnsi="Abadi" w:cs="Arial"/>
          <w:bCs/>
          <w:sz w:val="21"/>
          <w:szCs w:val="21"/>
        </w:rPr>
        <w:t>: Se adicionan y modifican diversas disposiciones a la Ley de Fomento y Desarrollo Agrícola para el Estado de Guanajuato y no afecta otros cuerpos normativos.</w:t>
      </w:r>
    </w:p>
    <w:p w14:paraId="3688AE51" w14:textId="77777777" w:rsidR="00E83108" w:rsidRPr="00141738" w:rsidRDefault="00E83108" w:rsidP="009757CB">
      <w:pPr>
        <w:pStyle w:val="Prrafodelista"/>
        <w:numPr>
          <w:ilvl w:val="0"/>
          <w:numId w:val="42"/>
        </w:numPr>
        <w:spacing w:after="240"/>
        <w:jc w:val="both"/>
        <w:rPr>
          <w:rFonts w:ascii="Abadi" w:eastAsia="Batang" w:hAnsi="Abadi" w:cs="Arial"/>
          <w:bCs/>
          <w:sz w:val="21"/>
          <w:szCs w:val="21"/>
        </w:rPr>
      </w:pPr>
      <w:r w:rsidRPr="00141738">
        <w:rPr>
          <w:rFonts w:ascii="Abadi" w:eastAsia="Batang" w:hAnsi="Abadi" w:cs="Arial"/>
          <w:b/>
          <w:sz w:val="21"/>
          <w:szCs w:val="21"/>
        </w:rPr>
        <w:t>Impacto administrativo:</w:t>
      </w:r>
      <w:r w:rsidRPr="00141738">
        <w:rPr>
          <w:rFonts w:ascii="Abadi" w:eastAsia="Batang" w:hAnsi="Abadi" w:cs="Arial"/>
          <w:bCs/>
          <w:sz w:val="21"/>
          <w:szCs w:val="21"/>
        </w:rPr>
        <w:t xml:space="preserve"> La propuesta realizada permitirá que por parte del Poder Ejecutivo se tengan la creación de un registro de maquinaria e implementos agrícolas y por tal motivo deberá de emitir disposiciones para su implementación y aplicación.</w:t>
      </w:r>
    </w:p>
    <w:p w14:paraId="3494246E" w14:textId="77777777" w:rsidR="00E83108" w:rsidRPr="00141738" w:rsidRDefault="00E83108" w:rsidP="009757CB">
      <w:pPr>
        <w:spacing w:after="240"/>
        <w:jc w:val="both"/>
        <w:rPr>
          <w:rFonts w:ascii="Abadi" w:eastAsia="Batang" w:hAnsi="Abadi" w:cs="Arial"/>
          <w:bCs/>
          <w:sz w:val="21"/>
          <w:szCs w:val="21"/>
        </w:rPr>
      </w:pPr>
    </w:p>
    <w:p w14:paraId="324662FC" w14:textId="77777777" w:rsidR="00E83108" w:rsidRPr="00141738" w:rsidRDefault="00E83108" w:rsidP="009757CB">
      <w:pPr>
        <w:pStyle w:val="Prrafodelista"/>
        <w:numPr>
          <w:ilvl w:val="0"/>
          <w:numId w:val="42"/>
        </w:numPr>
        <w:spacing w:after="240"/>
        <w:jc w:val="both"/>
        <w:rPr>
          <w:rFonts w:ascii="Abadi" w:eastAsia="Batang" w:hAnsi="Abadi" w:cs="Arial"/>
          <w:bCs/>
          <w:sz w:val="21"/>
          <w:szCs w:val="21"/>
        </w:rPr>
      </w:pPr>
      <w:r w:rsidRPr="00141738">
        <w:rPr>
          <w:rFonts w:ascii="Abadi" w:eastAsia="Batang" w:hAnsi="Abadi" w:cs="Arial"/>
          <w:b/>
          <w:sz w:val="21"/>
          <w:szCs w:val="21"/>
        </w:rPr>
        <w:lastRenderedPageBreak/>
        <w:t>Impacto presupuestario:</w:t>
      </w:r>
      <w:r w:rsidRPr="00141738">
        <w:rPr>
          <w:rFonts w:ascii="Abadi" w:eastAsia="Batang" w:hAnsi="Abadi" w:cs="Arial"/>
          <w:bCs/>
          <w:sz w:val="21"/>
          <w:szCs w:val="21"/>
        </w:rPr>
        <w:t xml:space="preserve"> Aquellos relacionadas con la debida y oportuna implementación del registro de Maquinaria e Implementos agrícolas y dado el momento procesal oportuno, se remita a la Unidad de Estudios de las Finanzas Públicas para la elaboración del Impacto Presupuestal.</w:t>
      </w:r>
    </w:p>
    <w:p w14:paraId="51501AEA" w14:textId="77777777" w:rsidR="00E83108" w:rsidRPr="00141738" w:rsidRDefault="00E83108" w:rsidP="009757CB">
      <w:pPr>
        <w:pStyle w:val="Prrafodelista"/>
        <w:numPr>
          <w:ilvl w:val="0"/>
          <w:numId w:val="42"/>
        </w:numPr>
        <w:jc w:val="both"/>
        <w:rPr>
          <w:rFonts w:ascii="Abadi" w:eastAsia="Batang" w:hAnsi="Abadi" w:cs="Arial"/>
          <w:bCs/>
          <w:sz w:val="21"/>
          <w:szCs w:val="21"/>
        </w:rPr>
      </w:pPr>
      <w:r w:rsidRPr="00141738">
        <w:rPr>
          <w:rFonts w:ascii="Abadi" w:eastAsia="Batang" w:hAnsi="Abadi" w:cs="Arial"/>
          <w:b/>
          <w:sz w:val="21"/>
          <w:szCs w:val="21"/>
        </w:rPr>
        <w:t>Impacto social:</w:t>
      </w:r>
      <w:r w:rsidRPr="00141738">
        <w:rPr>
          <w:rFonts w:ascii="Abadi" w:eastAsia="Batang" w:hAnsi="Abadi" w:cs="Arial"/>
          <w:bCs/>
          <w:sz w:val="21"/>
          <w:szCs w:val="21"/>
        </w:rPr>
        <w:t xml:space="preserve"> La reforma como se ha expuesto en la parte expositiva el registro viene a establecer las acciones para dar certeza a las personas que manejen o tengan maquinaria e insumos agrícolas.</w:t>
      </w:r>
    </w:p>
    <w:p w14:paraId="092553C9" w14:textId="77777777" w:rsidR="00E83108" w:rsidRPr="00141738" w:rsidRDefault="00E83108" w:rsidP="009757CB">
      <w:pPr>
        <w:jc w:val="both"/>
        <w:rPr>
          <w:rFonts w:ascii="Abadi" w:eastAsia="Batang" w:hAnsi="Abadi" w:cs="Arial"/>
          <w:bCs/>
          <w:sz w:val="21"/>
          <w:szCs w:val="21"/>
        </w:rPr>
      </w:pPr>
    </w:p>
    <w:p w14:paraId="780BF226" w14:textId="77777777" w:rsidR="00E83108" w:rsidRPr="00141738" w:rsidRDefault="00E83108" w:rsidP="009757CB">
      <w:pPr>
        <w:spacing w:after="240"/>
        <w:ind w:firstLine="708"/>
        <w:jc w:val="both"/>
        <w:rPr>
          <w:rFonts w:ascii="Abadi" w:hAnsi="Abadi" w:cs="Arial"/>
          <w:sz w:val="21"/>
          <w:szCs w:val="21"/>
          <w:lang w:val="es-ES_tradnl"/>
        </w:rPr>
      </w:pPr>
      <w:r w:rsidRPr="00141738">
        <w:rPr>
          <w:rFonts w:ascii="Abadi" w:hAnsi="Abadi" w:cs="Arial"/>
          <w:sz w:val="21"/>
          <w:szCs w:val="21"/>
          <w:lang w:val="es-ES_tradnl"/>
        </w:rPr>
        <w:t>Las leyes vigentes en nuestro estado, no existe una normativa que regule lo pretendido, ya que los diferentes tipos de maquinaria e instrumentos agrícolas usados para el desarrollo agrícola no están inscritos en un registro que le de certeza jurídica a los propietarios o poseedores.</w:t>
      </w:r>
    </w:p>
    <w:p w14:paraId="7D559B7B" w14:textId="77777777" w:rsidR="00E83108" w:rsidRPr="00141738" w:rsidRDefault="00E83108" w:rsidP="009757CB">
      <w:pPr>
        <w:ind w:firstLine="708"/>
        <w:jc w:val="both"/>
        <w:rPr>
          <w:rFonts w:ascii="Abadi" w:hAnsi="Abadi" w:cs="Arial"/>
          <w:sz w:val="21"/>
          <w:szCs w:val="21"/>
          <w:lang w:val="es-ES_tradnl"/>
        </w:rPr>
      </w:pPr>
      <w:r w:rsidRPr="00141738">
        <w:rPr>
          <w:rFonts w:ascii="Abadi" w:hAnsi="Abadi" w:cs="Arial"/>
          <w:sz w:val="21"/>
          <w:szCs w:val="21"/>
          <w:lang w:val="es-ES_tradnl"/>
        </w:rPr>
        <w:t>Cabe destacar que la Federación, no ha emitido reglas claras para este proceso, existen algunos esfuerzos por parte de algunos estados que emiten certificaciones para el uso de una determinada maquinaria, pero no se genera un registro con las características de la propuesta que nos ocupa; entre algunos beneficios que consideramos al aprobar dicha iniciativa, se encuentran:</w:t>
      </w:r>
    </w:p>
    <w:p w14:paraId="583AAB4D" w14:textId="77777777" w:rsidR="00E83108" w:rsidRPr="00141738" w:rsidRDefault="00E83108" w:rsidP="009757CB">
      <w:pPr>
        <w:ind w:firstLine="708"/>
        <w:jc w:val="both"/>
        <w:rPr>
          <w:rFonts w:ascii="Abadi" w:hAnsi="Abadi" w:cs="Arial"/>
          <w:sz w:val="21"/>
          <w:szCs w:val="21"/>
          <w:lang w:val="es-ES_tradnl"/>
        </w:rPr>
      </w:pPr>
    </w:p>
    <w:p w14:paraId="5DCA9F48" w14:textId="77777777" w:rsidR="00E83108" w:rsidRPr="00141738" w:rsidRDefault="00E83108" w:rsidP="009757CB">
      <w:pPr>
        <w:pStyle w:val="Prrafodelista"/>
        <w:numPr>
          <w:ilvl w:val="0"/>
          <w:numId w:val="43"/>
        </w:numPr>
        <w:spacing w:after="240"/>
        <w:jc w:val="both"/>
        <w:rPr>
          <w:rFonts w:ascii="Abadi" w:hAnsi="Abadi" w:cs="Arial"/>
          <w:sz w:val="21"/>
          <w:szCs w:val="21"/>
          <w:lang w:val="es-ES_tradnl"/>
        </w:rPr>
      </w:pPr>
      <w:r w:rsidRPr="00141738">
        <w:rPr>
          <w:rFonts w:ascii="Abadi" w:hAnsi="Abadi" w:cs="Arial"/>
          <w:sz w:val="21"/>
          <w:szCs w:val="21"/>
          <w:lang w:val="es-ES_tradnl"/>
        </w:rPr>
        <w:t>Certeza jurídica y beneficios para recibir los apoyos de fomento agrícola;</w:t>
      </w:r>
    </w:p>
    <w:p w14:paraId="414D8617" w14:textId="77777777" w:rsidR="00E83108" w:rsidRPr="00141738" w:rsidRDefault="00E83108" w:rsidP="009757CB">
      <w:pPr>
        <w:pStyle w:val="Prrafodelista"/>
        <w:numPr>
          <w:ilvl w:val="0"/>
          <w:numId w:val="43"/>
        </w:numPr>
        <w:spacing w:after="240"/>
        <w:jc w:val="both"/>
        <w:rPr>
          <w:rFonts w:ascii="Abadi" w:hAnsi="Abadi" w:cs="Arial"/>
          <w:sz w:val="21"/>
          <w:szCs w:val="21"/>
          <w:lang w:val="es-ES_tradnl"/>
        </w:rPr>
      </w:pPr>
      <w:r w:rsidRPr="00141738">
        <w:rPr>
          <w:rFonts w:ascii="Abadi" w:hAnsi="Abadi" w:cs="Arial"/>
          <w:sz w:val="21"/>
          <w:szCs w:val="21"/>
          <w:lang w:val="es-ES_tradnl"/>
        </w:rPr>
        <w:t>Una herramienta digital para consulta, o bien, en caso de robo, las autoridades judiciales puedan usarla en el momento procesal oportuno, en coordinación con las autoridades en materia de seguridad;</w:t>
      </w:r>
    </w:p>
    <w:p w14:paraId="561E00A3" w14:textId="77777777" w:rsidR="00E83108" w:rsidRPr="00141738" w:rsidRDefault="00E83108" w:rsidP="009757CB">
      <w:pPr>
        <w:pStyle w:val="Prrafodelista"/>
        <w:numPr>
          <w:ilvl w:val="0"/>
          <w:numId w:val="43"/>
        </w:numPr>
        <w:spacing w:after="240"/>
        <w:jc w:val="both"/>
        <w:rPr>
          <w:rFonts w:ascii="Abadi" w:hAnsi="Abadi" w:cs="Arial"/>
          <w:sz w:val="21"/>
          <w:szCs w:val="21"/>
          <w:lang w:val="es-ES_tradnl"/>
        </w:rPr>
      </w:pPr>
      <w:r w:rsidRPr="00141738">
        <w:rPr>
          <w:rFonts w:ascii="Abadi" w:hAnsi="Abadi" w:cs="Arial"/>
          <w:sz w:val="21"/>
          <w:szCs w:val="21"/>
          <w:lang w:val="es-ES_tradnl"/>
        </w:rPr>
        <w:t>Acciones de prevención para evitar que sigan presentando conductas delictivas;</w:t>
      </w:r>
    </w:p>
    <w:p w14:paraId="580B56B6" w14:textId="77777777" w:rsidR="00E83108" w:rsidRPr="00141738" w:rsidRDefault="00E83108" w:rsidP="009757CB">
      <w:pPr>
        <w:pStyle w:val="Prrafodelista"/>
        <w:numPr>
          <w:ilvl w:val="0"/>
          <w:numId w:val="43"/>
        </w:numPr>
        <w:spacing w:after="240"/>
        <w:jc w:val="both"/>
        <w:rPr>
          <w:rFonts w:ascii="Abadi" w:hAnsi="Abadi" w:cs="Arial"/>
          <w:sz w:val="21"/>
          <w:szCs w:val="21"/>
          <w:lang w:val="es-ES_tradnl"/>
        </w:rPr>
      </w:pPr>
      <w:r w:rsidRPr="00141738">
        <w:rPr>
          <w:rFonts w:ascii="Abadi" w:hAnsi="Abadi" w:cs="Arial"/>
          <w:sz w:val="21"/>
          <w:szCs w:val="21"/>
          <w:lang w:val="es-ES_tradnl"/>
        </w:rPr>
        <w:t xml:space="preserve">Auto regulación sobre los procesos de transmisión de la posesión o propiedad de dichos insumos; y, </w:t>
      </w:r>
    </w:p>
    <w:p w14:paraId="460A7ABB" w14:textId="77777777" w:rsidR="00E83108" w:rsidRPr="00141738" w:rsidRDefault="00E83108" w:rsidP="009757CB">
      <w:pPr>
        <w:pStyle w:val="Prrafodelista"/>
        <w:numPr>
          <w:ilvl w:val="0"/>
          <w:numId w:val="43"/>
        </w:numPr>
        <w:jc w:val="both"/>
        <w:rPr>
          <w:rFonts w:ascii="Abadi" w:hAnsi="Abadi" w:cs="Arial"/>
          <w:sz w:val="21"/>
          <w:szCs w:val="21"/>
          <w:lang w:val="es-ES_tradnl"/>
        </w:rPr>
      </w:pPr>
      <w:r w:rsidRPr="00141738">
        <w:rPr>
          <w:rFonts w:ascii="Abadi" w:hAnsi="Abadi" w:cs="Arial"/>
          <w:sz w:val="21"/>
          <w:szCs w:val="21"/>
          <w:lang w:val="es-ES_tradnl"/>
        </w:rPr>
        <w:t>Con la auto regulación, se busca que se tengan el registro de maquinaria e implementos agrícolas que por el paso del tiempo o por tradición han estado en posesión de familias y que, por no tener un documento legal, no pueden acreditar su propiedad.</w:t>
      </w:r>
    </w:p>
    <w:p w14:paraId="1B132004" w14:textId="77777777" w:rsidR="00E83108" w:rsidRPr="00141738" w:rsidRDefault="00E83108" w:rsidP="009757CB">
      <w:pPr>
        <w:ind w:firstLine="708"/>
        <w:jc w:val="both"/>
        <w:rPr>
          <w:rFonts w:ascii="Abadi" w:hAnsi="Abadi"/>
          <w:bCs/>
          <w:sz w:val="21"/>
          <w:szCs w:val="21"/>
          <w:highlight w:val="yellow"/>
        </w:rPr>
      </w:pPr>
    </w:p>
    <w:p w14:paraId="47C00940" w14:textId="77777777" w:rsidR="00E83108" w:rsidRPr="00141738" w:rsidRDefault="00E83108" w:rsidP="009757CB">
      <w:pPr>
        <w:ind w:firstLine="708"/>
        <w:jc w:val="both"/>
        <w:rPr>
          <w:rFonts w:ascii="Abadi" w:hAnsi="Abadi" w:cs="Arial"/>
          <w:sz w:val="21"/>
          <w:szCs w:val="21"/>
          <w:lang w:val="es-ES_tradnl"/>
        </w:rPr>
      </w:pPr>
      <w:r w:rsidRPr="00141738">
        <w:rPr>
          <w:rFonts w:ascii="Abadi" w:hAnsi="Abadi" w:cs="Arial"/>
          <w:sz w:val="21"/>
          <w:szCs w:val="21"/>
          <w:lang w:val="es-ES_tradnl"/>
        </w:rPr>
        <w:t>Consideramos que la implementación de un registro de maquinaria e implementos agrícolas permitirá contar con mayor cantidad de datos a tomar en cuenta respecto a la mecanización de las unidades de producción y del campo guanajuatense para la planeación, diseño, implementación y ejecución de políticas públicas, programas y acciones en la materia.</w:t>
      </w:r>
    </w:p>
    <w:p w14:paraId="2D2FC740" w14:textId="77777777" w:rsidR="00E83108" w:rsidRPr="00141738" w:rsidRDefault="00E83108" w:rsidP="009757CB">
      <w:pPr>
        <w:ind w:firstLine="708"/>
        <w:jc w:val="both"/>
        <w:rPr>
          <w:rFonts w:ascii="Abadi" w:eastAsia="Batang" w:hAnsi="Abadi" w:cs="Arial"/>
          <w:b/>
          <w:sz w:val="21"/>
          <w:szCs w:val="21"/>
        </w:rPr>
      </w:pPr>
      <w:r w:rsidRPr="00141738">
        <w:rPr>
          <w:rFonts w:ascii="Abadi" w:eastAsia="Batang" w:hAnsi="Abadi" w:cs="Arial"/>
          <w:b/>
          <w:sz w:val="21"/>
          <w:szCs w:val="21"/>
        </w:rPr>
        <w:t>IV. Consideraciones Particulares.</w:t>
      </w:r>
    </w:p>
    <w:p w14:paraId="1CFBA46A" w14:textId="77777777" w:rsidR="00E83108" w:rsidRPr="00141738" w:rsidRDefault="00E83108" w:rsidP="009757CB">
      <w:pPr>
        <w:ind w:firstLine="708"/>
        <w:jc w:val="both"/>
        <w:rPr>
          <w:rFonts w:ascii="Abadi" w:eastAsia="Batang" w:hAnsi="Abadi" w:cs="Arial"/>
          <w:b/>
          <w:sz w:val="21"/>
          <w:szCs w:val="21"/>
        </w:rPr>
      </w:pPr>
    </w:p>
    <w:p w14:paraId="7CDF38E4"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Al respecto, señalamos la oportunidad de analizar las propuestas planteadas, para tal efecto, llevamos a cabo el desahogo de la metodología aprobada para el análisis y dictamen acordado por unanimidad por esta Comisión; realizamos una mesa permanente de trabajo en la que participó el personal de la Fiscalía General del Estado; de la Coordinación General Jurídica del Poder Ejecutivo; de la Secretaría de desarrollo Agroalimentario del Estado; del Consejo Estatal Agroalimentario de Guanajuato; diputada y diputados integrantes de esta Comisión; personal asesor de los grupos y representaciones parlamentarias y el secretario técnico, en la cual, se emitieron comentarios y observaciones que a continuación se describen, y que se plasman en el presente Decreto.</w:t>
      </w:r>
    </w:p>
    <w:p w14:paraId="1A96807C" w14:textId="77777777" w:rsidR="00E83108" w:rsidRPr="00141738" w:rsidRDefault="00E83108" w:rsidP="009757CB">
      <w:pPr>
        <w:ind w:firstLine="708"/>
        <w:jc w:val="both"/>
        <w:rPr>
          <w:rFonts w:ascii="Abadi" w:eastAsia="Batang" w:hAnsi="Abadi" w:cs="Arial"/>
          <w:bCs/>
          <w:sz w:val="21"/>
          <w:szCs w:val="21"/>
        </w:rPr>
      </w:pPr>
    </w:p>
    <w:p w14:paraId="1ACBE00D"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 xml:space="preserve">Por parte de la Universidad de Guanajuato, en el </w:t>
      </w:r>
      <w:r w:rsidRPr="00141738">
        <w:rPr>
          <w:rFonts w:ascii="Abadi" w:eastAsia="Batang" w:hAnsi="Abadi" w:cs="Arial"/>
          <w:b/>
          <w:sz w:val="21"/>
          <w:szCs w:val="21"/>
        </w:rPr>
        <w:t>artículo 2</w:t>
      </w:r>
      <w:r w:rsidRPr="00141738">
        <w:rPr>
          <w:rFonts w:ascii="Abadi" w:eastAsia="Batang" w:hAnsi="Abadi" w:cs="Arial"/>
          <w:bCs/>
          <w:sz w:val="21"/>
          <w:szCs w:val="21"/>
        </w:rPr>
        <w:t xml:space="preserve"> en lo relativo a las finalidades de la </w:t>
      </w:r>
      <w:r w:rsidRPr="00141738">
        <w:rPr>
          <w:rFonts w:ascii="Abadi" w:eastAsia="Batang" w:hAnsi="Abadi" w:cs="Arial"/>
          <w:bCs/>
          <w:i/>
          <w:iCs/>
          <w:sz w:val="21"/>
          <w:szCs w:val="21"/>
        </w:rPr>
        <w:t>Ley</w:t>
      </w:r>
      <w:r w:rsidRPr="00141738">
        <w:rPr>
          <w:rFonts w:ascii="Abadi" w:eastAsia="Batang" w:hAnsi="Abadi" w:cs="Arial"/>
          <w:bCs/>
          <w:sz w:val="21"/>
          <w:szCs w:val="21"/>
        </w:rPr>
        <w:t xml:space="preserve">, con base en la técnica legislativa se acordó modificar la redacción de la </w:t>
      </w:r>
      <w:r w:rsidRPr="00141738">
        <w:rPr>
          <w:rFonts w:ascii="Abadi" w:eastAsia="Batang" w:hAnsi="Abadi" w:cs="Arial"/>
          <w:b/>
          <w:sz w:val="21"/>
          <w:szCs w:val="21"/>
        </w:rPr>
        <w:t>fracción XII</w:t>
      </w:r>
      <w:r w:rsidRPr="00141738">
        <w:rPr>
          <w:rFonts w:ascii="Abadi" w:eastAsia="Batang" w:hAnsi="Abadi" w:cs="Arial"/>
          <w:bCs/>
          <w:sz w:val="21"/>
          <w:szCs w:val="21"/>
        </w:rPr>
        <w:t xml:space="preserve"> propuesta con el fin de dar congruencia con el artículo </w:t>
      </w:r>
      <w:r w:rsidRPr="00141738">
        <w:rPr>
          <w:rFonts w:ascii="Abadi" w:eastAsia="Batang" w:hAnsi="Abadi" w:cs="Arial"/>
          <w:b/>
          <w:sz w:val="21"/>
          <w:szCs w:val="21"/>
        </w:rPr>
        <w:t>5</w:t>
      </w:r>
      <w:r w:rsidRPr="00141738">
        <w:rPr>
          <w:rFonts w:ascii="Abadi" w:eastAsia="Batang" w:hAnsi="Abadi" w:cs="Arial"/>
          <w:bCs/>
          <w:sz w:val="21"/>
          <w:szCs w:val="21"/>
        </w:rPr>
        <w:t>, de manera particular con los nuevos términos propuestos -</w:t>
      </w:r>
      <w:r w:rsidRPr="00141738">
        <w:rPr>
          <w:rFonts w:ascii="Abadi" w:eastAsia="Batang" w:hAnsi="Abadi" w:cs="Arial"/>
          <w:bCs/>
          <w:i/>
          <w:iCs/>
          <w:sz w:val="21"/>
          <w:szCs w:val="21"/>
        </w:rPr>
        <w:t>maquinaria e implementos agrícolas</w:t>
      </w:r>
      <w:r w:rsidRPr="00141738">
        <w:rPr>
          <w:rFonts w:ascii="Abadi" w:eastAsia="Batang" w:hAnsi="Abadi" w:cs="Arial"/>
          <w:bCs/>
          <w:sz w:val="21"/>
          <w:szCs w:val="21"/>
        </w:rPr>
        <w:t xml:space="preserve">- para adicionarlo en esos términos en las fracciones </w:t>
      </w:r>
      <w:r w:rsidRPr="00141738">
        <w:rPr>
          <w:rFonts w:ascii="Abadi" w:eastAsia="Batang" w:hAnsi="Abadi" w:cs="Arial"/>
          <w:b/>
          <w:sz w:val="21"/>
          <w:szCs w:val="21"/>
        </w:rPr>
        <w:lastRenderedPageBreak/>
        <w:t>X</w:t>
      </w:r>
      <w:r w:rsidRPr="00141738">
        <w:rPr>
          <w:rFonts w:ascii="Abadi" w:eastAsia="Batang" w:hAnsi="Abadi" w:cs="Arial"/>
          <w:bCs/>
          <w:sz w:val="21"/>
          <w:szCs w:val="21"/>
        </w:rPr>
        <w:t xml:space="preserve"> y </w:t>
      </w:r>
      <w:r w:rsidRPr="00141738">
        <w:rPr>
          <w:rFonts w:ascii="Abadi" w:eastAsia="Batang" w:hAnsi="Abadi" w:cs="Arial"/>
          <w:b/>
          <w:sz w:val="21"/>
          <w:szCs w:val="21"/>
        </w:rPr>
        <w:t>XIII</w:t>
      </w:r>
      <w:r w:rsidRPr="00141738">
        <w:rPr>
          <w:rFonts w:ascii="Abadi" w:eastAsia="Batang" w:hAnsi="Abadi" w:cs="Arial"/>
          <w:bCs/>
          <w:sz w:val="21"/>
          <w:szCs w:val="21"/>
        </w:rPr>
        <w:t>, teniendo congruencia con la denominación del capítulo único que integra el Título Quinto de la iniciativa en estudio.</w:t>
      </w:r>
    </w:p>
    <w:p w14:paraId="1A5F25BF" w14:textId="77777777" w:rsidR="00E83108" w:rsidRPr="00141738" w:rsidRDefault="00E83108" w:rsidP="009757CB">
      <w:pPr>
        <w:ind w:firstLine="708"/>
        <w:jc w:val="both"/>
        <w:rPr>
          <w:rFonts w:ascii="Abadi" w:eastAsia="Batang" w:hAnsi="Abadi" w:cs="Arial"/>
          <w:bCs/>
          <w:sz w:val="21"/>
          <w:szCs w:val="21"/>
        </w:rPr>
      </w:pPr>
    </w:p>
    <w:p w14:paraId="4F37CDC1"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 xml:space="preserve">Respecto a la propuesta del </w:t>
      </w:r>
      <w:r w:rsidRPr="00141738">
        <w:rPr>
          <w:rFonts w:ascii="Abadi" w:eastAsia="Batang" w:hAnsi="Abadi" w:cs="Arial"/>
          <w:b/>
          <w:sz w:val="21"/>
          <w:szCs w:val="21"/>
        </w:rPr>
        <w:t>artículo 5</w:t>
      </w:r>
      <w:r w:rsidRPr="00141738">
        <w:rPr>
          <w:rFonts w:ascii="Abadi" w:eastAsia="Batang" w:hAnsi="Abadi" w:cs="Arial"/>
          <w:bCs/>
          <w:sz w:val="21"/>
          <w:szCs w:val="21"/>
        </w:rPr>
        <w:t xml:space="preserve">, durante el desarrollo de la mesa de trabajo, se escucharon y analizaron las observaciones enviadas, logrando un consenso al adicionar en la </w:t>
      </w:r>
      <w:r w:rsidRPr="00141738">
        <w:rPr>
          <w:rFonts w:ascii="Abadi" w:eastAsia="Batang" w:hAnsi="Abadi" w:cs="Arial"/>
          <w:b/>
          <w:sz w:val="21"/>
          <w:szCs w:val="21"/>
        </w:rPr>
        <w:t>fracción XIII</w:t>
      </w:r>
      <w:r w:rsidRPr="00141738">
        <w:rPr>
          <w:rFonts w:ascii="Abadi" w:eastAsia="Batang" w:hAnsi="Abadi" w:cs="Arial"/>
          <w:bCs/>
          <w:sz w:val="21"/>
          <w:szCs w:val="21"/>
        </w:rPr>
        <w:t xml:space="preserve"> el concepto de </w:t>
      </w:r>
      <w:r w:rsidRPr="00141738">
        <w:rPr>
          <w:rFonts w:ascii="Abadi" w:eastAsia="Batang" w:hAnsi="Abadi" w:cs="Arial"/>
          <w:bCs/>
          <w:i/>
          <w:iCs/>
          <w:sz w:val="21"/>
          <w:szCs w:val="21"/>
        </w:rPr>
        <w:t>pecuario</w:t>
      </w:r>
      <w:r w:rsidRPr="00141738">
        <w:rPr>
          <w:rFonts w:ascii="Abadi" w:eastAsia="Batang" w:hAnsi="Abadi" w:cs="Arial"/>
          <w:bCs/>
          <w:sz w:val="21"/>
          <w:szCs w:val="21"/>
        </w:rPr>
        <w:t>, debido a que en esta actividad es indispensable el uso de la maquinaria e implementos agrícolas.</w:t>
      </w:r>
    </w:p>
    <w:p w14:paraId="2ADD35E3" w14:textId="77777777" w:rsidR="00E83108" w:rsidRPr="00141738" w:rsidRDefault="00E83108" w:rsidP="009757CB">
      <w:pPr>
        <w:ind w:firstLine="708"/>
        <w:jc w:val="both"/>
        <w:rPr>
          <w:rFonts w:ascii="Abadi" w:eastAsia="Batang" w:hAnsi="Abadi" w:cs="Arial"/>
          <w:bCs/>
          <w:sz w:val="21"/>
          <w:szCs w:val="21"/>
        </w:rPr>
      </w:pPr>
    </w:p>
    <w:p w14:paraId="036917F7" w14:textId="77777777" w:rsidR="00E83108" w:rsidRPr="00141738" w:rsidRDefault="00E83108" w:rsidP="009757CB">
      <w:pPr>
        <w:ind w:firstLine="708"/>
        <w:jc w:val="both"/>
        <w:rPr>
          <w:rFonts w:ascii="Abadi" w:eastAsia="Batang" w:hAnsi="Abadi" w:cs="Arial"/>
          <w:bCs/>
          <w:sz w:val="21"/>
          <w:szCs w:val="21"/>
        </w:rPr>
      </w:pPr>
      <w:r w:rsidRPr="00141738">
        <w:rPr>
          <w:rFonts w:ascii="Abadi" w:eastAsia="Batang" w:hAnsi="Abadi" w:cs="Arial"/>
          <w:bCs/>
          <w:sz w:val="21"/>
          <w:szCs w:val="21"/>
        </w:rPr>
        <w:t>De igual manera, en la propuesta de adición de la fracción XII al artículo 10, se homologo el término -</w:t>
      </w:r>
      <w:r w:rsidRPr="00141738">
        <w:rPr>
          <w:rFonts w:ascii="Abadi" w:eastAsia="Batang" w:hAnsi="Abadi" w:cs="Arial"/>
          <w:bCs/>
          <w:i/>
          <w:iCs/>
          <w:sz w:val="21"/>
          <w:szCs w:val="21"/>
        </w:rPr>
        <w:t>maquinaria e implementos agrícolas</w:t>
      </w:r>
      <w:r w:rsidRPr="00141738">
        <w:rPr>
          <w:rFonts w:ascii="Abadi" w:eastAsia="Batang" w:hAnsi="Abadi" w:cs="Arial"/>
          <w:bCs/>
          <w:sz w:val="21"/>
          <w:szCs w:val="21"/>
        </w:rPr>
        <w:t>- por técnica y sistematicidad legislativa.</w:t>
      </w:r>
    </w:p>
    <w:p w14:paraId="71C911AE" w14:textId="77777777" w:rsidR="00E83108" w:rsidRPr="00141738" w:rsidRDefault="00E83108" w:rsidP="009757CB">
      <w:pPr>
        <w:ind w:firstLine="708"/>
        <w:jc w:val="both"/>
        <w:rPr>
          <w:rFonts w:ascii="Abadi" w:eastAsia="Batang" w:hAnsi="Abadi" w:cs="Arial"/>
          <w:bCs/>
          <w:sz w:val="21"/>
          <w:szCs w:val="21"/>
        </w:rPr>
      </w:pPr>
    </w:p>
    <w:p w14:paraId="49B82DD5" w14:textId="77777777" w:rsidR="00E83108" w:rsidRPr="00141738" w:rsidRDefault="00E83108" w:rsidP="009757CB">
      <w:pPr>
        <w:autoSpaceDE w:val="0"/>
        <w:autoSpaceDN w:val="0"/>
        <w:adjustRightInd w:val="0"/>
        <w:jc w:val="both"/>
        <w:rPr>
          <w:rFonts w:ascii="Abadi" w:hAnsi="Abadi" w:cs="Arial Narrow"/>
          <w:b/>
          <w:bCs/>
          <w:sz w:val="21"/>
          <w:szCs w:val="21"/>
        </w:rPr>
      </w:pPr>
      <w:r w:rsidRPr="00141738">
        <w:rPr>
          <w:rFonts w:ascii="Abadi" w:eastAsia="Batang" w:hAnsi="Abadi" w:cs="Arial"/>
          <w:bCs/>
          <w:sz w:val="21"/>
          <w:szCs w:val="21"/>
        </w:rPr>
        <w:tab/>
        <w:t xml:space="preserve">Informamos que, derivado de la mesa de trabajo y las observaciones recibidas, el Título Quinto, referente al Registro de Maquinaria e Implementos Agrícolas, realizamos varios ajustes de forma y homologamos términos acordados, tal es el caso del </w:t>
      </w:r>
      <w:r w:rsidRPr="00141738">
        <w:rPr>
          <w:rFonts w:ascii="Abadi" w:hAnsi="Abadi" w:cs="Arial Narrow"/>
          <w:b/>
          <w:bCs/>
          <w:sz w:val="21"/>
          <w:szCs w:val="21"/>
        </w:rPr>
        <w:t>artículo 40</w:t>
      </w:r>
      <w:r w:rsidRPr="00141738">
        <w:rPr>
          <w:rFonts w:ascii="Abadi" w:hAnsi="Abadi" w:cs="Arial Narrow"/>
          <w:sz w:val="21"/>
          <w:szCs w:val="21"/>
        </w:rPr>
        <w:t xml:space="preserve"> relativo a lo que deberá contener este registro, en sus fracciones </w:t>
      </w:r>
      <w:r w:rsidRPr="00141738">
        <w:rPr>
          <w:rFonts w:ascii="Abadi" w:hAnsi="Abadi" w:cs="Arial Narrow"/>
          <w:b/>
          <w:bCs/>
          <w:sz w:val="21"/>
          <w:szCs w:val="21"/>
        </w:rPr>
        <w:t>I</w:t>
      </w:r>
      <w:r w:rsidRPr="00141738">
        <w:rPr>
          <w:rFonts w:ascii="Abadi" w:hAnsi="Abadi" w:cs="Arial Narrow"/>
          <w:sz w:val="21"/>
          <w:szCs w:val="21"/>
        </w:rPr>
        <w:t xml:space="preserve"> a </w:t>
      </w:r>
      <w:r w:rsidRPr="00141738">
        <w:rPr>
          <w:rFonts w:ascii="Abadi" w:hAnsi="Abadi" w:cs="Arial Narrow"/>
          <w:b/>
          <w:bCs/>
          <w:sz w:val="21"/>
          <w:szCs w:val="21"/>
        </w:rPr>
        <w:t>V</w:t>
      </w:r>
      <w:r w:rsidRPr="00141738">
        <w:rPr>
          <w:rFonts w:ascii="Abadi" w:hAnsi="Abadi" w:cs="Arial Narrow"/>
          <w:sz w:val="21"/>
          <w:szCs w:val="21"/>
        </w:rPr>
        <w:t xml:space="preserve">, </w:t>
      </w:r>
      <w:r w:rsidRPr="00141738">
        <w:rPr>
          <w:rFonts w:ascii="Abadi" w:hAnsi="Abadi" w:cs="Arial Narrow"/>
          <w:b/>
          <w:bCs/>
          <w:sz w:val="21"/>
          <w:szCs w:val="21"/>
        </w:rPr>
        <w:t>sólo hace referencia a la Maquinaria y no a los implementos agrícolas</w:t>
      </w:r>
      <w:r w:rsidRPr="00141738">
        <w:rPr>
          <w:rFonts w:ascii="Abadi" w:hAnsi="Abadi" w:cs="Arial Narrow"/>
          <w:sz w:val="21"/>
          <w:szCs w:val="21"/>
        </w:rPr>
        <w:t xml:space="preserve">, condición que se replica en el </w:t>
      </w:r>
      <w:r w:rsidRPr="00141738">
        <w:rPr>
          <w:rFonts w:ascii="Abadi" w:hAnsi="Abadi" w:cs="Arial Narrow"/>
          <w:b/>
          <w:bCs/>
          <w:sz w:val="21"/>
          <w:szCs w:val="21"/>
        </w:rPr>
        <w:t>artículo 41</w:t>
      </w:r>
      <w:r w:rsidRPr="00141738">
        <w:rPr>
          <w:rFonts w:ascii="Abadi" w:hAnsi="Abadi" w:cs="Arial Narrow"/>
          <w:sz w:val="21"/>
          <w:szCs w:val="21"/>
        </w:rPr>
        <w:t xml:space="preserve">, en donde el supuesto normativo sólo hace mención a la baja, actualización, transferencia o cancelación del registro de la maquinaria </w:t>
      </w:r>
      <w:r w:rsidRPr="00141738">
        <w:rPr>
          <w:rFonts w:ascii="Abadi" w:hAnsi="Abadi" w:cs="Arial Narrow"/>
          <w:b/>
          <w:bCs/>
          <w:sz w:val="21"/>
          <w:szCs w:val="21"/>
        </w:rPr>
        <w:t>pero no así de los implementos agrícolas.</w:t>
      </w:r>
    </w:p>
    <w:p w14:paraId="39C31454" w14:textId="77777777" w:rsidR="00E83108" w:rsidRPr="00141738" w:rsidRDefault="00E83108" w:rsidP="009757CB">
      <w:pPr>
        <w:autoSpaceDE w:val="0"/>
        <w:autoSpaceDN w:val="0"/>
        <w:adjustRightInd w:val="0"/>
        <w:jc w:val="both"/>
        <w:rPr>
          <w:rFonts w:ascii="Abadi" w:hAnsi="Abadi" w:cs="Arial Narrow"/>
          <w:sz w:val="21"/>
          <w:szCs w:val="21"/>
        </w:rPr>
      </w:pPr>
    </w:p>
    <w:p w14:paraId="0BEFAD17" w14:textId="77777777" w:rsidR="00E83108" w:rsidRPr="00141738" w:rsidRDefault="00E83108" w:rsidP="009757CB">
      <w:pPr>
        <w:autoSpaceDE w:val="0"/>
        <w:autoSpaceDN w:val="0"/>
        <w:adjustRightInd w:val="0"/>
        <w:rPr>
          <w:rFonts w:ascii="Abadi" w:hAnsi="Abadi" w:cs="Arial Narrow"/>
          <w:sz w:val="21"/>
          <w:szCs w:val="21"/>
        </w:rPr>
      </w:pPr>
      <w:r w:rsidRPr="00141738">
        <w:rPr>
          <w:rFonts w:ascii="Abadi" w:hAnsi="Abadi" w:cs="Arial Narrow"/>
          <w:sz w:val="21"/>
          <w:szCs w:val="21"/>
        </w:rPr>
        <w:tab/>
      </w:r>
    </w:p>
    <w:p w14:paraId="04D00547" w14:textId="77777777" w:rsidR="00E83108" w:rsidRPr="00141738" w:rsidRDefault="00E83108" w:rsidP="009757CB">
      <w:pPr>
        <w:autoSpaceDE w:val="0"/>
        <w:autoSpaceDN w:val="0"/>
        <w:adjustRightInd w:val="0"/>
        <w:rPr>
          <w:rFonts w:ascii="Abadi" w:hAnsi="Abadi" w:cs="Arial Narrow"/>
          <w:sz w:val="21"/>
          <w:szCs w:val="21"/>
        </w:rPr>
      </w:pPr>
    </w:p>
    <w:p w14:paraId="3B6737EE" w14:textId="77777777" w:rsidR="00E83108" w:rsidRPr="00141738" w:rsidRDefault="00E83108" w:rsidP="009757CB">
      <w:pPr>
        <w:autoSpaceDE w:val="0"/>
        <w:autoSpaceDN w:val="0"/>
        <w:adjustRightInd w:val="0"/>
        <w:rPr>
          <w:rFonts w:ascii="Abadi" w:hAnsi="Abadi" w:cs="Arial Narrow"/>
          <w:sz w:val="21"/>
          <w:szCs w:val="21"/>
        </w:rPr>
      </w:pPr>
    </w:p>
    <w:p w14:paraId="01D975B7" w14:textId="77777777" w:rsidR="00E83108" w:rsidRPr="00141738" w:rsidRDefault="00E83108" w:rsidP="009757CB">
      <w:pPr>
        <w:autoSpaceDE w:val="0"/>
        <w:autoSpaceDN w:val="0"/>
        <w:adjustRightInd w:val="0"/>
        <w:jc w:val="both"/>
        <w:rPr>
          <w:rFonts w:ascii="Abadi" w:hAnsi="Abadi" w:cs="Arial Narrow"/>
          <w:sz w:val="21"/>
          <w:szCs w:val="21"/>
        </w:rPr>
      </w:pPr>
      <w:r w:rsidRPr="00141738">
        <w:rPr>
          <w:rFonts w:ascii="Abadi" w:hAnsi="Abadi" w:cs="Arial Narrow"/>
          <w:sz w:val="21"/>
          <w:szCs w:val="21"/>
        </w:rPr>
        <w:tab/>
        <w:t xml:space="preserve">En relación con lo anterior, y como una referencia y posible modelo de precisión para el objeto, puede consultarse lo relativo a la </w:t>
      </w:r>
      <w:r w:rsidRPr="00141738">
        <w:rPr>
          <w:rFonts w:ascii="Abadi" w:hAnsi="Abadi" w:cs="Arial Narrow"/>
          <w:b/>
          <w:bCs/>
          <w:sz w:val="21"/>
          <w:szCs w:val="21"/>
        </w:rPr>
        <w:t>regulación del diverso Registro Público Vehicular</w:t>
      </w:r>
      <w:r w:rsidRPr="00141738">
        <w:rPr>
          <w:rFonts w:ascii="Abadi" w:hAnsi="Abadi" w:cs="Arial Narrow"/>
          <w:sz w:val="21"/>
          <w:szCs w:val="21"/>
        </w:rPr>
        <w:t xml:space="preserve">, el cual, en el artículo 6 de su Ley se señala que el mismo tiene por objeto la </w:t>
      </w:r>
      <w:r w:rsidRPr="00141738">
        <w:rPr>
          <w:rFonts w:ascii="Abadi" w:hAnsi="Abadi" w:cs="Arial Narrow"/>
          <w:b/>
          <w:bCs/>
          <w:sz w:val="21"/>
          <w:szCs w:val="21"/>
        </w:rPr>
        <w:t>identificación y control vehicular</w:t>
      </w:r>
      <w:r w:rsidRPr="00141738">
        <w:rPr>
          <w:rFonts w:ascii="Abadi" w:hAnsi="Abadi" w:cs="Arial Narrow"/>
          <w:sz w:val="21"/>
          <w:szCs w:val="21"/>
        </w:rPr>
        <w:t xml:space="preserve">, en la que consten las </w:t>
      </w:r>
      <w:r w:rsidRPr="00141738">
        <w:rPr>
          <w:rFonts w:ascii="Abadi" w:hAnsi="Abadi" w:cs="Arial Narrow"/>
          <w:b/>
          <w:bCs/>
          <w:sz w:val="21"/>
          <w:szCs w:val="21"/>
        </w:rPr>
        <w:t xml:space="preserve">inscripciones o altas, bajas, </w:t>
      </w:r>
      <w:proofErr w:type="spellStart"/>
      <w:r w:rsidRPr="00141738">
        <w:rPr>
          <w:rFonts w:ascii="Abadi" w:hAnsi="Abadi" w:cs="Arial Narrow"/>
          <w:b/>
          <w:bCs/>
          <w:sz w:val="21"/>
          <w:szCs w:val="21"/>
        </w:rPr>
        <w:t>emplacamientos</w:t>
      </w:r>
      <w:proofErr w:type="spellEnd"/>
      <w:r w:rsidRPr="00141738">
        <w:rPr>
          <w:rFonts w:ascii="Abadi" w:hAnsi="Abadi" w:cs="Arial Narrow"/>
          <w:b/>
          <w:bCs/>
          <w:sz w:val="21"/>
          <w:szCs w:val="21"/>
        </w:rPr>
        <w:t xml:space="preserve">, infracciones, pérdidas, robos, recuperaciones y destrucción </w:t>
      </w:r>
      <w:r w:rsidRPr="00141738">
        <w:rPr>
          <w:rFonts w:ascii="Abadi" w:hAnsi="Abadi" w:cs="Arial Narrow"/>
          <w:sz w:val="21"/>
          <w:szCs w:val="21"/>
        </w:rPr>
        <w:t xml:space="preserve">de los vehículos que se fabrican, ensamblan, importan o circulan en el  territorio nacional, así como brindar servicios de información al público. De igual manera se precisa que la Federación y las Entidades Federativas, en el ámbito de sus competencias, </w:t>
      </w:r>
      <w:r w:rsidRPr="00141738">
        <w:rPr>
          <w:rFonts w:ascii="Abadi" w:hAnsi="Abadi" w:cs="Arial Narrow"/>
          <w:b/>
          <w:bCs/>
          <w:sz w:val="21"/>
          <w:szCs w:val="21"/>
        </w:rPr>
        <w:t xml:space="preserve">utilizarán el Registro con el fin de compartir e intercambiar la información disponible sobre el origen, </w:t>
      </w:r>
      <w:r w:rsidRPr="00141738">
        <w:rPr>
          <w:rFonts w:ascii="Abadi" w:hAnsi="Abadi" w:cs="Arial Narrow"/>
          <w:b/>
          <w:bCs/>
          <w:sz w:val="21"/>
          <w:szCs w:val="21"/>
        </w:rPr>
        <w:t xml:space="preserve">destino, actos y hechos jurídicos </w:t>
      </w:r>
      <w:r w:rsidRPr="00141738">
        <w:rPr>
          <w:rFonts w:ascii="Abadi" w:hAnsi="Abadi" w:cs="Arial Narrow"/>
          <w:sz w:val="21"/>
          <w:szCs w:val="21"/>
        </w:rPr>
        <w:t>y, en general, cualquier operación relacionada con los vehículos mencionados.</w:t>
      </w:r>
    </w:p>
    <w:p w14:paraId="0E858F34" w14:textId="77777777" w:rsidR="00E83108" w:rsidRPr="00141738" w:rsidRDefault="00E83108" w:rsidP="009757CB">
      <w:pPr>
        <w:ind w:firstLine="708"/>
        <w:jc w:val="both"/>
        <w:rPr>
          <w:rFonts w:ascii="Abadi" w:eastAsia="Batang" w:hAnsi="Abadi" w:cs="Arial"/>
          <w:bCs/>
          <w:sz w:val="21"/>
          <w:szCs w:val="21"/>
        </w:rPr>
      </w:pPr>
    </w:p>
    <w:p w14:paraId="34D36754" w14:textId="77777777" w:rsidR="00E83108" w:rsidRPr="00141738" w:rsidRDefault="00E83108" w:rsidP="009757CB">
      <w:pPr>
        <w:autoSpaceDE w:val="0"/>
        <w:autoSpaceDN w:val="0"/>
        <w:adjustRightInd w:val="0"/>
        <w:jc w:val="both"/>
        <w:rPr>
          <w:rFonts w:ascii="Abadi" w:hAnsi="Abadi" w:cs="Arial Narrow"/>
          <w:i/>
          <w:iCs/>
          <w:sz w:val="21"/>
          <w:szCs w:val="21"/>
        </w:rPr>
      </w:pPr>
      <w:r w:rsidRPr="00141738">
        <w:rPr>
          <w:rFonts w:ascii="Abadi" w:hAnsi="Abadi" w:cs="Arial Narrow"/>
          <w:b/>
          <w:bCs/>
          <w:i/>
          <w:iCs/>
          <w:sz w:val="21"/>
          <w:szCs w:val="21"/>
        </w:rPr>
        <w:tab/>
      </w:r>
      <w:r w:rsidRPr="00141738">
        <w:rPr>
          <w:rFonts w:ascii="Abadi" w:hAnsi="Abadi" w:cs="Arial Narrow"/>
          <w:b/>
          <w:bCs/>
          <w:sz w:val="21"/>
          <w:szCs w:val="21"/>
        </w:rPr>
        <w:t>En la fracción II del artículo 40</w:t>
      </w:r>
      <w:r w:rsidRPr="00141738">
        <w:rPr>
          <w:rFonts w:ascii="Abadi" w:hAnsi="Abadi" w:cs="Arial Narrow"/>
          <w:sz w:val="21"/>
          <w:szCs w:val="21"/>
        </w:rPr>
        <w:t xml:space="preserve"> se precisa que el Registro deberá contener de manera enunciativa y no limitativa: </w:t>
      </w:r>
      <w:r w:rsidRPr="00141738">
        <w:rPr>
          <w:rFonts w:ascii="Abadi" w:hAnsi="Abadi" w:cs="Arial Narrow"/>
          <w:i/>
          <w:iCs/>
          <w:sz w:val="21"/>
          <w:szCs w:val="21"/>
        </w:rPr>
        <w:t xml:space="preserve">Los documentos que acrediten la propiedad o posesión de dicha maquinaria y en su caso acredite la legal estancia en el país. </w:t>
      </w:r>
      <w:r w:rsidRPr="00141738">
        <w:rPr>
          <w:rFonts w:ascii="Abadi" w:hAnsi="Abadi" w:cs="Arial Narrow"/>
          <w:sz w:val="21"/>
          <w:szCs w:val="21"/>
        </w:rPr>
        <w:t xml:space="preserve">En ese sentido, se consideró pertinente ajustar la redacción en lo relativo a la referencia a </w:t>
      </w:r>
      <w:r w:rsidRPr="00141738">
        <w:rPr>
          <w:rFonts w:ascii="Abadi" w:hAnsi="Abadi" w:cs="Arial Narrow"/>
          <w:b/>
          <w:bCs/>
          <w:sz w:val="21"/>
          <w:szCs w:val="21"/>
        </w:rPr>
        <w:t>“la legal estancia en el País”</w:t>
      </w:r>
      <w:r w:rsidRPr="00141738">
        <w:rPr>
          <w:rFonts w:ascii="Abadi" w:hAnsi="Abadi" w:cs="Arial Narrow"/>
          <w:sz w:val="21"/>
          <w:szCs w:val="21"/>
        </w:rPr>
        <w:t xml:space="preserve">, ya que tal apuntamiento aludiría al poseedor o propietario, en tanto que, para el caso de objeto, lo conducente fue </w:t>
      </w:r>
      <w:r w:rsidRPr="00141738">
        <w:rPr>
          <w:rFonts w:ascii="Abadi" w:hAnsi="Abadi" w:cs="Arial Narrow"/>
          <w:b/>
          <w:bCs/>
          <w:sz w:val="21"/>
          <w:szCs w:val="21"/>
        </w:rPr>
        <w:t>«legal procedencia»</w:t>
      </w:r>
      <w:r w:rsidRPr="00141738">
        <w:rPr>
          <w:rFonts w:ascii="Abadi" w:hAnsi="Abadi" w:cs="Arial Narrow"/>
          <w:sz w:val="21"/>
          <w:szCs w:val="21"/>
        </w:rPr>
        <w:t>.</w:t>
      </w:r>
    </w:p>
    <w:p w14:paraId="2D2FDD28" w14:textId="77777777" w:rsidR="00E83108" w:rsidRPr="00141738" w:rsidRDefault="00E83108" w:rsidP="009757CB">
      <w:pPr>
        <w:autoSpaceDE w:val="0"/>
        <w:autoSpaceDN w:val="0"/>
        <w:adjustRightInd w:val="0"/>
        <w:jc w:val="both"/>
        <w:rPr>
          <w:rFonts w:ascii="Abadi" w:hAnsi="Abadi" w:cs="Arial Narrow"/>
          <w:sz w:val="21"/>
          <w:szCs w:val="21"/>
        </w:rPr>
      </w:pPr>
    </w:p>
    <w:p w14:paraId="204400A1" w14:textId="77777777" w:rsidR="00E83108" w:rsidRPr="00141738" w:rsidRDefault="00E83108" w:rsidP="009757CB">
      <w:pPr>
        <w:autoSpaceDE w:val="0"/>
        <w:autoSpaceDN w:val="0"/>
        <w:adjustRightInd w:val="0"/>
        <w:jc w:val="both"/>
        <w:rPr>
          <w:rFonts w:ascii="Abadi" w:hAnsi="Abadi" w:cs="Arial Narrow"/>
          <w:sz w:val="21"/>
          <w:szCs w:val="21"/>
        </w:rPr>
      </w:pPr>
      <w:r w:rsidRPr="00141738">
        <w:rPr>
          <w:rFonts w:ascii="Abadi" w:hAnsi="Abadi" w:cs="Arial Narrow"/>
          <w:sz w:val="21"/>
          <w:szCs w:val="21"/>
        </w:rPr>
        <w:tab/>
        <w:t xml:space="preserve">La fiscalía general de Estado, sugirió que, además de la documental para acreditar la propiedad se agregue a esta fracción la expresión </w:t>
      </w:r>
      <w:r w:rsidRPr="00141738">
        <w:rPr>
          <w:rFonts w:ascii="Abadi" w:hAnsi="Abadi" w:cs="Arial Narrow"/>
          <w:b/>
          <w:bCs/>
          <w:sz w:val="21"/>
          <w:szCs w:val="21"/>
        </w:rPr>
        <w:t xml:space="preserve">«… </w:t>
      </w:r>
      <w:r w:rsidRPr="00141738">
        <w:rPr>
          <w:rFonts w:ascii="Abadi" w:hAnsi="Abadi" w:cs="Arial Narrow"/>
          <w:b/>
          <w:bCs/>
          <w:i/>
          <w:iCs/>
          <w:sz w:val="21"/>
          <w:szCs w:val="21"/>
        </w:rPr>
        <w:t xml:space="preserve">resolución de autoridad competente o medio fehaciente diverso legalmente establecido con el </w:t>
      </w:r>
      <w:r w:rsidRPr="00141738">
        <w:rPr>
          <w:rFonts w:ascii="Abadi" w:hAnsi="Abadi" w:cs="Arial Narrow"/>
          <w:b/>
          <w:bCs/>
          <w:sz w:val="21"/>
          <w:szCs w:val="21"/>
        </w:rPr>
        <w:t>que se acredite la propiedad o posesión…»</w:t>
      </w:r>
      <w:r w:rsidRPr="00141738">
        <w:rPr>
          <w:rFonts w:ascii="Abadi" w:hAnsi="Abadi" w:cs="Arial Narrow"/>
          <w:sz w:val="21"/>
          <w:szCs w:val="21"/>
        </w:rPr>
        <w:t xml:space="preserve">, a efecto de que en la presente reforma se permita a los propietarios de maquinaria agrícola o implementos acreditar la propiedad de manera diversa conforme a mecanismos legalmente establecidos. Lo anterior ya que, en la Exposición de Motivos, en concreto en el apartado de beneficios, a la letra dice: </w:t>
      </w:r>
      <w:r w:rsidRPr="00141738">
        <w:rPr>
          <w:rFonts w:ascii="Abadi" w:hAnsi="Abadi" w:cs="Arial Narrow"/>
          <w:i/>
          <w:iCs/>
          <w:sz w:val="21"/>
          <w:szCs w:val="21"/>
        </w:rPr>
        <w:t xml:space="preserve">«…se busca que se tengan el registro de maquinaria y demás implementos que por el paso del tiempo o por tradición han estado en posesión de familias y que, </w:t>
      </w:r>
      <w:r w:rsidRPr="00141738">
        <w:rPr>
          <w:rFonts w:ascii="Abadi" w:hAnsi="Abadi" w:cs="Arial Narrow"/>
          <w:b/>
          <w:bCs/>
          <w:i/>
          <w:iCs/>
          <w:sz w:val="21"/>
          <w:szCs w:val="21"/>
        </w:rPr>
        <w:t>por no tener un documento legal, no pueden acreditar su propiedad</w:t>
      </w:r>
      <w:r w:rsidRPr="00141738">
        <w:rPr>
          <w:rFonts w:ascii="Abadi" w:hAnsi="Abadi" w:cs="Arial Narrow"/>
          <w:i/>
          <w:iCs/>
          <w:sz w:val="21"/>
          <w:szCs w:val="21"/>
        </w:rPr>
        <w:t xml:space="preserve">.»; </w:t>
      </w:r>
      <w:r w:rsidRPr="00141738">
        <w:rPr>
          <w:rFonts w:ascii="Abadi" w:hAnsi="Abadi" w:cs="Arial Narrow"/>
          <w:sz w:val="21"/>
          <w:szCs w:val="21"/>
        </w:rPr>
        <w:t>propuesta valorada y que fue incluida en el presente decreto.</w:t>
      </w:r>
    </w:p>
    <w:p w14:paraId="7AA4213E" w14:textId="77777777" w:rsidR="00E83108" w:rsidRPr="00141738" w:rsidRDefault="00E83108" w:rsidP="009757CB">
      <w:pPr>
        <w:autoSpaceDE w:val="0"/>
        <w:autoSpaceDN w:val="0"/>
        <w:adjustRightInd w:val="0"/>
        <w:jc w:val="both"/>
        <w:rPr>
          <w:rFonts w:ascii="Abadi" w:hAnsi="Abadi" w:cs="Arial Narrow"/>
          <w:sz w:val="21"/>
          <w:szCs w:val="21"/>
        </w:rPr>
      </w:pPr>
      <w:r w:rsidRPr="00141738">
        <w:rPr>
          <w:rFonts w:ascii="Abadi" w:hAnsi="Abadi" w:cs="Arial Narrow"/>
          <w:sz w:val="21"/>
          <w:szCs w:val="21"/>
        </w:rPr>
        <w:tab/>
        <w:t>Consideramos quienes integramos esta Comisión, la oportuna intervención del personal de la Fiscalía, por ser los operadores de un en cuanto a la revisión vehicular y contar con las herramientas tecnológicas y materiales para dotar a las y los ciudadanos con la certeza jurídica en la transmisión de la propiedad vehicular.</w:t>
      </w:r>
    </w:p>
    <w:p w14:paraId="7BF547B5" w14:textId="77777777" w:rsidR="00E83108" w:rsidRPr="00141738" w:rsidRDefault="00E83108" w:rsidP="009757CB">
      <w:pPr>
        <w:autoSpaceDE w:val="0"/>
        <w:autoSpaceDN w:val="0"/>
        <w:adjustRightInd w:val="0"/>
        <w:jc w:val="both"/>
        <w:rPr>
          <w:rFonts w:ascii="Abadi" w:hAnsi="Abadi" w:cs="Arial Narrow"/>
          <w:sz w:val="21"/>
          <w:szCs w:val="21"/>
        </w:rPr>
      </w:pPr>
    </w:p>
    <w:p w14:paraId="0BCCE0EB" w14:textId="77777777" w:rsidR="00E83108" w:rsidRPr="00141738" w:rsidRDefault="00E83108" w:rsidP="009757CB">
      <w:pPr>
        <w:autoSpaceDE w:val="0"/>
        <w:autoSpaceDN w:val="0"/>
        <w:adjustRightInd w:val="0"/>
        <w:jc w:val="both"/>
        <w:rPr>
          <w:rFonts w:ascii="Abadi" w:hAnsi="Abadi" w:cs="Arial Narrow"/>
          <w:sz w:val="21"/>
          <w:szCs w:val="21"/>
        </w:rPr>
      </w:pPr>
      <w:r w:rsidRPr="00141738">
        <w:rPr>
          <w:rFonts w:ascii="Abadi" w:hAnsi="Abadi" w:cs="Arial Narrow"/>
          <w:sz w:val="21"/>
          <w:szCs w:val="21"/>
        </w:rPr>
        <w:tab/>
        <w:t xml:space="preserve">Respecto al </w:t>
      </w:r>
      <w:r w:rsidRPr="00141738">
        <w:rPr>
          <w:rFonts w:ascii="Abadi" w:hAnsi="Abadi" w:cs="Arial Narrow"/>
          <w:b/>
          <w:bCs/>
          <w:sz w:val="21"/>
          <w:szCs w:val="21"/>
        </w:rPr>
        <w:t>artículo 41</w:t>
      </w:r>
      <w:r w:rsidRPr="00141738">
        <w:rPr>
          <w:rFonts w:ascii="Abadi" w:hAnsi="Abadi" w:cs="Arial Narrow"/>
          <w:sz w:val="21"/>
          <w:szCs w:val="21"/>
        </w:rPr>
        <w:t>, se ajustó en la parte final la referencia «…</w:t>
      </w:r>
      <w:r w:rsidRPr="00141738">
        <w:rPr>
          <w:rFonts w:ascii="Abadi" w:hAnsi="Abadi" w:cs="Arial Narrow"/>
          <w:b/>
          <w:bCs/>
          <w:sz w:val="21"/>
          <w:szCs w:val="21"/>
        </w:rPr>
        <w:t>ante una autoridad judicial</w:t>
      </w:r>
      <w:r w:rsidRPr="00141738">
        <w:rPr>
          <w:rFonts w:ascii="Abadi" w:hAnsi="Abadi" w:cs="Arial Narrow"/>
          <w:sz w:val="21"/>
          <w:szCs w:val="21"/>
        </w:rPr>
        <w:t>.» por la expresión «…</w:t>
      </w:r>
      <w:r w:rsidRPr="00141738">
        <w:rPr>
          <w:rFonts w:ascii="Abadi" w:hAnsi="Abadi" w:cs="Arial Narrow"/>
          <w:b/>
          <w:bCs/>
          <w:sz w:val="21"/>
          <w:szCs w:val="21"/>
        </w:rPr>
        <w:t>ante autoridad competente</w:t>
      </w:r>
      <w:r w:rsidRPr="00141738">
        <w:rPr>
          <w:rFonts w:ascii="Abadi" w:hAnsi="Abadi" w:cs="Arial Narrow"/>
          <w:sz w:val="21"/>
          <w:szCs w:val="21"/>
        </w:rPr>
        <w:t xml:space="preserve">.». Lo anterior debido a que puede ocurrir cualquier supuesto para que se realice la baja de la maquinaria, como por la comisión de un hecho delictivo como robo, en el que la investigación permanezca en etapa inicial </w:t>
      </w:r>
      <w:r w:rsidRPr="00141738">
        <w:rPr>
          <w:rFonts w:ascii="Abadi" w:hAnsi="Abadi" w:cs="Arial Narrow"/>
          <w:b/>
          <w:bCs/>
          <w:sz w:val="21"/>
          <w:szCs w:val="21"/>
        </w:rPr>
        <w:t>(ante autoridad ministerial).</w:t>
      </w:r>
      <w:r w:rsidRPr="00141738">
        <w:rPr>
          <w:rFonts w:ascii="Abadi" w:hAnsi="Abadi" w:cs="Arial Narrow"/>
          <w:sz w:val="21"/>
          <w:szCs w:val="21"/>
        </w:rPr>
        <w:t xml:space="preserve"> </w:t>
      </w:r>
    </w:p>
    <w:p w14:paraId="4DDD5C14" w14:textId="77777777" w:rsidR="00E83108" w:rsidRPr="00141738" w:rsidRDefault="00E83108" w:rsidP="009757CB">
      <w:pPr>
        <w:autoSpaceDE w:val="0"/>
        <w:autoSpaceDN w:val="0"/>
        <w:adjustRightInd w:val="0"/>
        <w:jc w:val="both"/>
        <w:rPr>
          <w:rFonts w:ascii="Abadi" w:hAnsi="Abadi" w:cs="Arial Narrow"/>
          <w:sz w:val="21"/>
          <w:szCs w:val="21"/>
        </w:rPr>
      </w:pPr>
    </w:p>
    <w:p w14:paraId="40225AC2" w14:textId="77777777" w:rsidR="00E83108" w:rsidRPr="00141738" w:rsidRDefault="00E83108" w:rsidP="009757CB">
      <w:pPr>
        <w:pStyle w:val="Default"/>
        <w:jc w:val="both"/>
        <w:rPr>
          <w:rFonts w:ascii="Abadi" w:hAnsi="Abadi" w:cs="Arial Narrow"/>
          <w:sz w:val="21"/>
          <w:szCs w:val="21"/>
        </w:rPr>
      </w:pPr>
      <w:r w:rsidRPr="00141738">
        <w:rPr>
          <w:rFonts w:ascii="Abadi" w:hAnsi="Abadi" w:cs="Arial Narrow"/>
          <w:sz w:val="21"/>
          <w:szCs w:val="21"/>
        </w:rPr>
        <w:tab/>
        <w:t xml:space="preserve">En lo referente al artículo </w:t>
      </w:r>
      <w:r w:rsidRPr="00141738">
        <w:rPr>
          <w:rFonts w:ascii="Abadi" w:hAnsi="Abadi" w:cs="Arial Narrow"/>
          <w:b/>
          <w:bCs/>
          <w:sz w:val="21"/>
          <w:szCs w:val="21"/>
        </w:rPr>
        <w:t>Segundo Transitorio</w:t>
      </w:r>
      <w:r w:rsidRPr="00141738">
        <w:rPr>
          <w:rFonts w:ascii="Abadi" w:hAnsi="Abadi" w:cs="Arial Narrow"/>
          <w:sz w:val="21"/>
          <w:szCs w:val="21"/>
        </w:rPr>
        <w:t xml:space="preserve">, se acordó modificar la propuesta de la iniciativa realizada, toda vez que se le atribuye a la Secretaría de Desarrollo Agroalimentario y Rural emitir los lineamientos para el Registro, dicha facultad le corresponde al titular del Poder Ejecutivo, conforme a la fracción III del artículo 77 de la Constitución Política para el Estado de Guanajuato. Lo anterior, pues no se refiere a la emisión de normas técnicas. </w:t>
      </w:r>
    </w:p>
    <w:p w14:paraId="0100A91C" w14:textId="77777777" w:rsidR="00E83108" w:rsidRPr="00141738" w:rsidRDefault="00E83108" w:rsidP="009757CB">
      <w:pPr>
        <w:pStyle w:val="Default"/>
        <w:jc w:val="both"/>
        <w:rPr>
          <w:rFonts w:ascii="Abadi" w:hAnsi="Abadi" w:cs="Arial Narrow"/>
          <w:sz w:val="21"/>
          <w:szCs w:val="21"/>
        </w:rPr>
      </w:pPr>
    </w:p>
    <w:p w14:paraId="1164487A" w14:textId="77777777" w:rsidR="00E83108" w:rsidRPr="00141738" w:rsidRDefault="00E83108" w:rsidP="009757CB">
      <w:pPr>
        <w:pStyle w:val="Default"/>
        <w:jc w:val="both"/>
        <w:rPr>
          <w:rFonts w:ascii="Abadi" w:hAnsi="Abadi" w:cs="Arial Narrow"/>
          <w:sz w:val="21"/>
          <w:szCs w:val="21"/>
        </w:rPr>
      </w:pPr>
      <w:r w:rsidRPr="00141738">
        <w:rPr>
          <w:rFonts w:ascii="Abadi" w:hAnsi="Abadi" w:cs="Arial Narrow"/>
          <w:sz w:val="21"/>
          <w:szCs w:val="21"/>
        </w:rPr>
        <w:tab/>
      </w:r>
      <w:r w:rsidRPr="00141738">
        <w:rPr>
          <w:rFonts w:ascii="Abadi" w:hAnsi="Abadi" w:cs="Arial Narrow"/>
          <w:b/>
          <w:bCs/>
          <w:sz w:val="21"/>
          <w:szCs w:val="21"/>
        </w:rPr>
        <w:t>ARTICULO 77.-</w:t>
      </w:r>
      <w:r w:rsidRPr="00141738">
        <w:rPr>
          <w:rFonts w:ascii="Abadi" w:hAnsi="Abadi" w:cs="Arial Narrow"/>
          <w:sz w:val="21"/>
          <w:szCs w:val="21"/>
        </w:rPr>
        <w:t xml:space="preserve"> Las facultades y obligaciones del Gobernador del Estado, son:</w:t>
      </w:r>
    </w:p>
    <w:p w14:paraId="4F3D37BA" w14:textId="77777777" w:rsidR="00E83108" w:rsidRPr="00141738" w:rsidRDefault="00E83108" w:rsidP="009757CB">
      <w:pPr>
        <w:pStyle w:val="Default"/>
        <w:jc w:val="both"/>
        <w:rPr>
          <w:rFonts w:ascii="Abadi" w:hAnsi="Abadi" w:cs="Arial Narrow"/>
          <w:sz w:val="21"/>
          <w:szCs w:val="21"/>
        </w:rPr>
      </w:pPr>
    </w:p>
    <w:p w14:paraId="7A8FC3E1" w14:textId="77777777" w:rsidR="00E83108" w:rsidRPr="00141738" w:rsidRDefault="00E83108" w:rsidP="009757CB">
      <w:pPr>
        <w:pStyle w:val="Default"/>
        <w:jc w:val="both"/>
        <w:rPr>
          <w:rFonts w:ascii="Abadi" w:hAnsi="Abadi" w:cs="Arial Narrow"/>
          <w:sz w:val="21"/>
          <w:szCs w:val="21"/>
        </w:rPr>
      </w:pPr>
      <w:r w:rsidRPr="00141738">
        <w:rPr>
          <w:rFonts w:ascii="Abadi" w:hAnsi="Abadi" w:cs="Arial Narrow"/>
          <w:sz w:val="21"/>
          <w:szCs w:val="21"/>
        </w:rPr>
        <w:tab/>
        <w:t>I. a II. …</w:t>
      </w:r>
    </w:p>
    <w:p w14:paraId="785A8712" w14:textId="77777777" w:rsidR="00E83108" w:rsidRPr="00141738" w:rsidRDefault="00E83108" w:rsidP="009757CB">
      <w:pPr>
        <w:pStyle w:val="Default"/>
        <w:jc w:val="both"/>
        <w:rPr>
          <w:rFonts w:ascii="Abadi" w:hAnsi="Abadi" w:cs="Arial Narrow"/>
          <w:sz w:val="21"/>
          <w:szCs w:val="21"/>
        </w:rPr>
      </w:pPr>
    </w:p>
    <w:p w14:paraId="43FCB2F4" w14:textId="77777777" w:rsidR="00E83108" w:rsidRPr="00141738" w:rsidRDefault="00E83108" w:rsidP="009757CB">
      <w:pPr>
        <w:pStyle w:val="Default"/>
        <w:jc w:val="both"/>
        <w:rPr>
          <w:rFonts w:ascii="Abadi" w:hAnsi="Abadi" w:cs="Arial Narrow"/>
          <w:sz w:val="21"/>
          <w:szCs w:val="21"/>
        </w:rPr>
      </w:pPr>
      <w:r w:rsidRPr="00141738">
        <w:rPr>
          <w:rFonts w:ascii="Abadi" w:hAnsi="Abadi" w:cs="Arial Narrow"/>
          <w:sz w:val="21"/>
          <w:szCs w:val="21"/>
        </w:rPr>
        <w:tab/>
        <w:t>III.</w:t>
      </w:r>
      <w:r w:rsidRPr="00141738">
        <w:rPr>
          <w:rFonts w:ascii="Abadi" w:hAnsi="Abadi" w:cs="Arial Narrow"/>
          <w:sz w:val="21"/>
          <w:szCs w:val="21"/>
        </w:rPr>
        <w:tab/>
        <w:t xml:space="preserve">Proveer en la esfera administrativa a la exacta observancia de las Leyes, </w:t>
      </w:r>
      <w:r w:rsidRPr="00141738">
        <w:rPr>
          <w:rFonts w:ascii="Abadi" w:hAnsi="Abadi" w:cs="Arial Narrow"/>
          <w:sz w:val="21"/>
          <w:szCs w:val="21"/>
        </w:rPr>
        <w:tab/>
      </w:r>
      <w:r w:rsidRPr="00141738">
        <w:rPr>
          <w:rFonts w:ascii="Abadi" w:hAnsi="Abadi" w:cs="Arial Narrow"/>
          <w:sz w:val="21"/>
          <w:szCs w:val="21"/>
        </w:rPr>
        <w:tab/>
      </w:r>
      <w:r w:rsidRPr="00141738">
        <w:rPr>
          <w:rFonts w:ascii="Abadi" w:hAnsi="Abadi" w:cs="Arial Narrow"/>
          <w:b/>
          <w:bCs/>
          <w:i/>
          <w:iCs/>
          <w:sz w:val="21"/>
          <w:szCs w:val="21"/>
        </w:rPr>
        <w:t>expidiendo los Reglamentos conducentes</w:t>
      </w:r>
      <w:r w:rsidRPr="00141738">
        <w:rPr>
          <w:rFonts w:ascii="Abadi" w:hAnsi="Abadi" w:cs="Arial Narrow"/>
          <w:sz w:val="21"/>
          <w:szCs w:val="21"/>
        </w:rPr>
        <w:t>;</w:t>
      </w:r>
    </w:p>
    <w:p w14:paraId="506A0664" w14:textId="77777777" w:rsidR="00E83108" w:rsidRPr="00141738" w:rsidRDefault="00E83108" w:rsidP="009757CB">
      <w:pPr>
        <w:pStyle w:val="Default"/>
        <w:rPr>
          <w:rFonts w:ascii="Abadi" w:eastAsia="Times New Roman" w:hAnsi="Abadi" w:cs="Century Gothic"/>
          <w:sz w:val="21"/>
          <w:szCs w:val="21"/>
          <w:lang w:eastAsia="es-ES"/>
        </w:rPr>
      </w:pPr>
    </w:p>
    <w:p w14:paraId="0E841CAC" w14:textId="77777777" w:rsidR="00E83108" w:rsidRPr="00141738" w:rsidRDefault="00E83108" w:rsidP="00E83108">
      <w:pPr>
        <w:spacing w:line="276" w:lineRule="auto"/>
        <w:ind w:firstLine="708"/>
        <w:jc w:val="both"/>
        <w:rPr>
          <w:rFonts w:ascii="Abadi" w:eastAsia="Batang" w:hAnsi="Abadi" w:cs="Arial"/>
          <w:bCs/>
          <w:sz w:val="21"/>
          <w:szCs w:val="21"/>
        </w:rPr>
      </w:pPr>
      <w:r w:rsidRPr="00141738">
        <w:rPr>
          <w:rFonts w:ascii="Abadi" w:eastAsia="Batang" w:hAnsi="Abadi" w:cs="Arial"/>
          <w:bCs/>
          <w:sz w:val="21"/>
          <w:szCs w:val="21"/>
        </w:rPr>
        <w:t>Adicionalmente a lo expuesto, la reforma propuesta podría tener implicaciones presupuestales al requerirse de recursos humanos, tecnológicos, materiales y financieros para la operación del registro, para lo cual sería importante tener presente que la Secretaría de Desarrollo Agroalimentario y Rural tiene su sede en el municipio de Celaya y no cuenta con oficinas en otras ciudades.</w:t>
      </w:r>
    </w:p>
    <w:p w14:paraId="7D4CAD00" w14:textId="77777777" w:rsidR="00E83108" w:rsidRPr="00141738" w:rsidRDefault="00E83108" w:rsidP="00E83108">
      <w:pPr>
        <w:spacing w:line="276" w:lineRule="auto"/>
        <w:ind w:firstLine="708"/>
        <w:jc w:val="both"/>
        <w:rPr>
          <w:rFonts w:ascii="Abadi" w:eastAsia="Batang" w:hAnsi="Abadi" w:cs="Arial"/>
          <w:bCs/>
          <w:sz w:val="21"/>
          <w:szCs w:val="21"/>
        </w:rPr>
      </w:pPr>
    </w:p>
    <w:p w14:paraId="0195D3E3" w14:textId="77777777" w:rsidR="00E83108" w:rsidRPr="00141738" w:rsidRDefault="00E83108" w:rsidP="009757CB">
      <w:pPr>
        <w:spacing w:after="240"/>
        <w:ind w:firstLine="708"/>
        <w:jc w:val="both"/>
        <w:rPr>
          <w:rFonts w:ascii="Abadi" w:eastAsia="Batang" w:hAnsi="Abadi" w:cs="Arial"/>
          <w:bCs/>
          <w:sz w:val="21"/>
          <w:szCs w:val="21"/>
        </w:rPr>
      </w:pPr>
      <w:r w:rsidRPr="00141738">
        <w:rPr>
          <w:rFonts w:ascii="Abadi" w:eastAsia="Batang" w:hAnsi="Abadi" w:cs="Arial"/>
          <w:bCs/>
          <w:sz w:val="21"/>
          <w:szCs w:val="21"/>
        </w:rPr>
        <w:t>La información que integra el referido padrón debe integrarse en razón de género, edad, municipio y actividad agrícola, garantizando la protección de datos personales en términos de las disposiciones jurídicas aplicables; y su actualización se llevará a cabo durante los meses de febrero a abril de cada año.</w:t>
      </w:r>
    </w:p>
    <w:p w14:paraId="6BEE5ABE" w14:textId="77777777" w:rsidR="00E83108" w:rsidRPr="00141738" w:rsidRDefault="00E83108" w:rsidP="009757CB">
      <w:pPr>
        <w:ind w:firstLine="708"/>
        <w:jc w:val="both"/>
        <w:rPr>
          <w:rFonts w:ascii="Abadi" w:eastAsia="Batang" w:hAnsi="Abadi" w:cs="Arial"/>
          <w:bCs/>
          <w:sz w:val="21"/>
          <w:szCs w:val="21"/>
          <w:highlight w:val="yellow"/>
        </w:rPr>
      </w:pPr>
      <w:r w:rsidRPr="00141738">
        <w:rPr>
          <w:rFonts w:ascii="Abadi" w:eastAsia="Batang" w:hAnsi="Abadi" w:cs="Arial"/>
          <w:bCs/>
          <w:sz w:val="21"/>
          <w:szCs w:val="21"/>
        </w:rPr>
        <w:t>De modo que, en nuestra opinión, con la intención de evitar que las personas se inscriban tanto en el padrón como en el registro propuesto en la iniciativa, la información relativa a los implementos y maquinaria agrícola podría incorporarse a aquella que debe obrar en el padrón de previa alusión. A efecto de lo anterior, podría incorporarse al texto legal la regulación relativa al padrón en comento.</w:t>
      </w:r>
    </w:p>
    <w:p w14:paraId="7B7CE6C1" w14:textId="77777777" w:rsidR="00E83108" w:rsidRPr="00141738" w:rsidRDefault="00E83108" w:rsidP="00E83108">
      <w:pPr>
        <w:spacing w:line="276" w:lineRule="auto"/>
        <w:ind w:firstLine="708"/>
        <w:jc w:val="both"/>
        <w:rPr>
          <w:rFonts w:ascii="Abadi" w:hAnsi="Abadi"/>
          <w:sz w:val="21"/>
          <w:szCs w:val="21"/>
        </w:rPr>
      </w:pPr>
    </w:p>
    <w:p w14:paraId="01AD7F0A" w14:textId="77777777" w:rsidR="00E83108" w:rsidRPr="00141738" w:rsidRDefault="00E83108" w:rsidP="00E83108">
      <w:pPr>
        <w:spacing w:line="276" w:lineRule="auto"/>
        <w:ind w:firstLine="708"/>
        <w:jc w:val="both"/>
        <w:rPr>
          <w:rFonts w:ascii="Abadi" w:hAnsi="Abadi"/>
          <w:sz w:val="21"/>
          <w:szCs w:val="21"/>
        </w:rPr>
      </w:pPr>
    </w:p>
    <w:p w14:paraId="77EF5F19" w14:textId="77777777" w:rsidR="00E83108" w:rsidRPr="00141738" w:rsidRDefault="00E83108" w:rsidP="009757CB">
      <w:pPr>
        <w:ind w:firstLine="708"/>
        <w:jc w:val="both"/>
        <w:rPr>
          <w:rFonts w:ascii="Abadi" w:eastAsia="Batang" w:hAnsi="Abadi" w:cs="Arial"/>
          <w:bCs/>
          <w:sz w:val="21"/>
          <w:szCs w:val="21"/>
        </w:rPr>
      </w:pPr>
      <w:r w:rsidRPr="00141738">
        <w:rPr>
          <w:rFonts w:ascii="Abadi" w:hAnsi="Abadi"/>
          <w:sz w:val="21"/>
          <w:szCs w:val="21"/>
        </w:rPr>
        <w:t>Somos conscientes que se necesita una normativa que también contemple un capítulo sobre el Registro de Maquinaria e Implementos Agrícolas, que d</w:t>
      </w:r>
      <w:r w:rsidRPr="00141738">
        <w:rPr>
          <w:rFonts w:ascii="Abadi" w:eastAsia="Batang" w:hAnsi="Abadi" w:cs="Arial"/>
          <w:bCs/>
          <w:sz w:val="21"/>
          <w:szCs w:val="21"/>
        </w:rPr>
        <w:t>ará un beneficio a la ciudadanía, ya que, al contar con la veracidad y eficacia de los padrones, sus actos respecto de vehículos tendrán un sentido de certeza y confianza que redundará en beneficio de la seguridad pública y jurídica y a favor también de las actividades comerciales. Este Registro que se propone en la Iniciativa, también prestará un apoyo eficaz a todas las policías para perseguir el delito, facilitar el monitoreo de unidades y su recuperación, reducir y consolidar una red nacional de localización y de control como ayuda a las autoridades municipales, estatales y federales.</w:t>
      </w:r>
    </w:p>
    <w:p w14:paraId="35203254" w14:textId="77777777" w:rsidR="00E83108" w:rsidRPr="00141738" w:rsidRDefault="00E83108" w:rsidP="009757CB">
      <w:pPr>
        <w:ind w:firstLine="708"/>
        <w:jc w:val="both"/>
        <w:rPr>
          <w:rFonts w:ascii="Abadi" w:hAnsi="Abadi"/>
          <w:sz w:val="21"/>
          <w:szCs w:val="21"/>
        </w:rPr>
      </w:pPr>
    </w:p>
    <w:p w14:paraId="2F378ED1" w14:textId="77777777" w:rsidR="00E83108" w:rsidRPr="00141738" w:rsidRDefault="00E83108" w:rsidP="009757CB">
      <w:pPr>
        <w:ind w:firstLine="708"/>
        <w:jc w:val="both"/>
        <w:rPr>
          <w:rFonts w:ascii="Abadi" w:hAnsi="Abadi" w:cs="Arial"/>
          <w:sz w:val="21"/>
          <w:szCs w:val="21"/>
        </w:rPr>
      </w:pPr>
      <w:r w:rsidRPr="00141738">
        <w:rPr>
          <w:rFonts w:ascii="Abadi" w:hAnsi="Abadi" w:cs="Arial"/>
          <w:sz w:val="21"/>
          <w:szCs w:val="21"/>
        </w:rPr>
        <w:t>Con base en lo antes citado, con fundamento en los artículos 110 fracciones I y III, y 171 de la Ley Orgánica del Poder Legislativo, se propone a la Asamblea el siguiente:</w:t>
      </w:r>
      <w:r w:rsidRPr="00141738">
        <w:rPr>
          <w:rFonts w:ascii="Abadi" w:hAnsi="Abadi" w:cs="Arial"/>
          <w:b/>
          <w:sz w:val="21"/>
          <w:szCs w:val="21"/>
        </w:rPr>
        <w:t xml:space="preserve"> </w:t>
      </w:r>
    </w:p>
    <w:p w14:paraId="016EBAA7" w14:textId="77777777" w:rsidR="00E83108" w:rsidRPr="00141738" w:rsidRDefault="00E83108" w:rsidP="00E83108">
      <w:pPr>
        <w:jc w:val="center"/>
        <w:rPr>
          <w:rFonts w:ascii="Abadi" w:eastAsia="Arial" w:hAnsi="Abadi" w:cs="Arial"/>
          <w:b/>
          <w:sz w:val="21"/>
          <w:szCs w:val="21"/>
        </w:rPr>
      </w:pPr>
    </w:p>
    <w:p w14:paraId="0FFB3A2A" w14:textId="77777777" w:rsidR="00E83108" w:rsidRPr="00141738" w:rsidRDefault="00E83108" w:rsidP="00E83108">
      <w:pPr>
        <w:jc w:val="center"/>
        <w:rPr>
          <w:rFonts w:ascii="Abadi" w:hAnsi="Abadi"/>
          <w:b/>
          <w:sz w:val="21"/>
          <w:szCs w:val="21"/>
        </w:rPr>
      </w:pPr>
      <w:r w:rsidRPr="00141738">
        <w:rPr>
          <w:rFonts w:ascii="Abadi" w:hAnsi="Abadi"/>
          <w:b/>
          <w:sz w:val="21"/>
          <w:szCs w:val="21"/>
        </w:rPr>
        <w:t>D e c r e t o</w:t>
      </w:r>
    </w:p>
    <w:p w14:paraId="33F31827" w14:textId="77777777" w:rsidR="00E83108" w:rsidRPr="00141738" w:rsidRDefault="00E83108" w:rsidP="00E83108">
      <w:pPr>
        <w:jc w:val="center"/>
        <w:rPr>
          <w:rFonts w:ascii="Abadi" w:hAnsi="Abadi"/>
          <w:b/>
          <w:sz w:val="21"/>
          <w:szCs w:val="21"/>
        </w:rPr>
      </w:pPr>
    </w:p>
    <w:p w14:paraId="0FF26CAC" w14:textId="77777777" w:rsidR="00E83108" w:rsidRPr="00141738" w:rsidRDefault="00E83108" w:rsidP="00E83108">
      <w:pPr>
        <w:shd w:val="clear" w:color="auto" w:fill="FFFFFF"/>
        <w:ind w:firstLine="709"/>
        <w:jc w:val="both"/>
        <w:rPr>
          <w:rFonts w:ascii="Abadi" w:hAnsi="Abadi" w:cs="Arial"/>
          <w:sz w:val="21"/>
          <w:szCs w:val="21"/>
        </w:rPr>
      </w:pPr>
      <w:r w:rsidRPr="00141738">
        <w:rPr>
          <w:rFonts w:ascii="Abadi" w:hAnsi="Abadi"/>
          <w:b/>
          <w:sz w:val="21"/>
          <w:szCs w:val="21"/>
        </w:rPr>
        <w:t>Artículo Único.</w:t>
      </w:r>
      <w:r w:rsidRPr="00141738">
        <w:rPr>
          <w:rFonts w:ascii="Abadi" w:hAnsi="Abadi"/>
          <w:sz w:val="21"/>
          <w:szCs w:val="21"/>
        </w:rPr>
        <w:t xml:space="preserve"> </w:t>
      </w:r>
      <w:r w:rsidRPr="00141738">
        <w:rPr>
          <w:rFonts w:ascii="Abadi" w:hAnsi="Abadi"/>
          <w:b/>
          <w:bCs/>
          <w:sz w:val="21"/>
          <w:szCs w:val="21"/>
        </w:rPr>
        <w:t>Se reforman</w:t>
      </w:r>
      <w:r w:rsidRPr="00141738">
        <w:rPr>
          <w:rFonts w:ascii="Abadi" w:hAnsi="Abadi"/>
          <w:sz w:val="21"/>
          <w:szCs w:val="21"/>
        </w:rPr>
        <w:t xml:space="preserve"> al artículo 2, la fracción XI; al artículo 10, la fracción XI; </w:t>
      </w:r>
      <w:r w:rsidRPr="00141738">
        <w:rPr>
          <w:rFonts w:ascii="Abadi" w:hAnsi="Abadi" w:cs="Arial"/>
          <w:b/>
          <w:bCs/>
          <w:sz w:val="21"/>
          <w:szCs w:val="21"/>
        </w:rPr>
        <w:t>Se adicionan</w:t>
      </w:r>
      <w:r w:rsidRPr="00141738">
        <w:rPr>
          <w:rFonts w:ascii="Abadi" w:hAnsi="Abadi" w:cs="Arial"/>
          <w:sz w:val="21"/>
          <w:szCs w:val="21"/>
        </w:rPr>
        <w:t xml:space="preserve"> al artículo 2, una fracción XII; al artículo 5, las fracciones X y XIII, recorriéndose en su orden las subsecuentes y una fracción XVI recorriéndose en su orden la subsecuente; al artículo 10, una fracción XII, recorriéndose en su orden la subsecuente; un Título Quinto, denominado </w:t>
      </w:r>
      <w:r w:rsidRPr="00141738">
        <w:rPr>
          <w:rFonts w:ascii="Abadi" w:hAnsi="Abadi" w:cs="Arial"/>
          <w:i/>
          <w:iCs/>
          <w:sz w:val="21"/>
          <w:szCs w:val="21"/>
        </w:rPr>
        <w:t xml:space="preserve">Disposiciones Complementarias </w:t>
      </w:r>
      <w:r w:rsidRPr="00141738">
        <w:rPr>
          <w:rFonts w:ascii="Abadi" w:hAnsi="Abadi" w:cs="Arial"/>
          <w:sz w:val="21"/>
          <w:szCs w:val="21"/>
        </w:rPr>
        <w:t xml:space="preserve">con los artículos 39, 40, 41 y 42 a la </w:t>
      </w:r>
      <w:r w:rsidRPr="00141738">
        <w:rPr>
          <w:rFonts w:ascii="Abadi" w:hAnsi="Abadi" w:cs="Arial"/>
          <w:b/>
          <w:bCs/>
          <w:sz w:val="21"/>
          <w:szCs w:val="21"/>
        </w:rPr>
        <w:t>Ley de Fomento y Desarrollo Agrícola para el Estado de Guanajuato</w:t>
      </w:r>
      <w:r w:rsidRPr="00141738">
        <w:rPr>
          <w:rFonts w:ascii="Abadi" w:hAnsi="Abadi" w:cs="Arial"/>
          <w:sz w:val="21"/>
          <w:szCs w:val="21"/>
        </w:rPr>
        <w:t>, para quedar como sigue:</w:t>
      </w:r>
    </w:p>
    <w:p w14:paraId="623FABCE" w14:textId="77777777" w:rsidR="00E83108" w:rsidRPr="00141738" w:rsidRDefault="00E83108" w:rsidP="00E83108">
      <w:pPr>
        <w:jc w:val="center"/>
        <w:rPr>
          <w:rFonts w:ascii="Abadi" w:eastAsia="Arial" w:hAnsi="Abadi" w:cs="Arial"/>
          <w:b/>
          <w:sz w:val="21"/>
          <w:szCs w:val="21"/>
        </w:rPr>
      </w:pPr>
    </w:p>
    <w:p w14:paraId="3FAEF190" w14:textId="77777777" w:rsidR="00E83108" w:rsidRPr="00141738" w:rsidRDefault="00E83108" w:rsidP="00E83108">
      <w:pPr>
        <w:adjustRightInd w:val="0"/>
        <w:ind w:firstLine="720"/>
        <w:jc w:val="both"/>
        <w:rPr>
          <w:rFonts w:ascii="Abadi" w:hAnsi="Abadi" w:cs="Arial"/>
          <w:sz w:val="21"/>
          <w:szCs w:val="21"/>
        </w:rPr>
      </w:pPr>
      <w:r w:rsidRPr="00141738">
        <w:rPr>
          <w:rFonts w:ascii="Abadi" w:hAnsi="Abadi" w:cs="Arial"/>
          <w:b/>
          <w:sz w:val="21"/>
          <w:szCs w:val="21"/>
        </w:rPr>
        <w:t>«Artículo 2.</w:t>
      </w:r>
      <w:r w:rsidRPr="00141738">
        <w:rPr>
          <w:rFonts w:ascii="Abadi" w:hAnsi="Abadi" w:cs="Arial"/>
          <w:sz w:val="21"/>
          <w:szCs w:val="21"/>
        </w:rPr>
        <w:t xml:space="preserve"> Las finalidades de…</w:t>
      </w:r>
    </w:p>
    <w:p w14:paraId="3575FCE0" w14:textId="77777777" w:rsidR="00E83108" w:rsidRPr="00141738" w:rsidRDefault="00E83108" w:rsidP="00E83108">
      <w:pPr>
        <w:adjustRightInd w:val="0"/>
        <w:ind w:firstLine="720"/>
        <w:jc w:val="both"/>
        <w:rPr>
          <w:rFonts w:ascii="Abadi" w:hAnsi="Abadi" w:cs="Arial"/>
          <w:sz w:val="21"/>
          <w:szCs w:val="21"/>
        </w:rPr>
      </w:pPr>
    </w:p>
    <w:p w14:paraId="0A72F5DE" w14:textId="77777777" w:rsidR="00E83108" w:rsidRPr="00141738" w:rsidRDefault="00E83108" w:rsidP="00E83108">
      <w:pPr>
        <w:adjustRightInd w:val="0"/>
        <w:jc w:val="both"/>
        <w:rPr>
          <w:rFonts w:ascii="Abadi" w:hAnsi="Abadi" w:cs="Arial"/>
          <w:sz w:val="21"/>
          <w:szCs w:val="21"/>
        </w:rPr>
      </w:pPr>
      <w:r w:rsidRPr="00141738">
        <w:rPr>
          <w:rFonts w:ascii="Abadi" w:hAnsi="Abadi" w:cs="Arial"/>
          <w:b/>
          <w:bCs/>
          <w:sz w:val="21"/>
          <w:szCs w:val="21"/>
        </w:rPr>
        <w:t>I.</w:t>
      </w:r>
      <w:r w:rsidRPr="00141738">
        <w:rPr>
          <w:rFonts w:ascii="Abadi" w:hAnsi="Abadi" w:cs="Arial"/>
          <w:sz w:val="21"/>
          <w:szCs w:val="21"/>
        </w:rPr>
        <w:t xml:space="preserve"> a </w:t>
      </w:r>
      <w:r w:rsidRPr="00141738">
        <w:rPr>
          <w:rFonts w:ascii="Abadi" w:hAnsi="Abadi" w:cs="Arial"/>
          <w:b/>
          <w:bCs/>
          <w:sz w:val="21"/>
          <w:szCs w:val="21"/>
        </w:rPr>
        <w:t xml:space="preserve">X. </w:t>
      </w:r>
      <w:r w:rsidRPr="00141738">
        <w:rPr>
          <w:rFonts w:ascii="Abadi" w:hAnsi="Abadi" w:cs="Arial"/>
          <w:sz w:val="21"/>
          <w:szCs w:val="21"/>
        </w:rPr>
        <w:t>…</w:t>
      </w:r>
    </w:p>
    <w:p w14:paraId="774F0CFA" w14:textId="77777777" w:rsidR="00E83108" w:rsidRPr="00141738" w:rsidRDefault="00E83108" w:rsidP="00E83108">
      <w:pPr>
        <w:adjustRightInd w:val="0"/>
        <w:jc w:val="both"/>
        <w:rPr>
          <w:rFonts w:ascii="Abadi" w:hAnsi="Abadi" w:cs="Arial"/>
          <w:sz w:val="21"/>
          <w:szCs w:val="21"/>
        </w:rPr>
      </w:pPr>
    </w:p>
    <w:p w14:paraId="2EB1D007" w14:textId="77777777" w:rsidR="00E83108" w:rsidRPr="00141738" w:rsidRDefault="00E83108" w:rsidP="00E83108">
      <w:pPr>
        <w:pStyle w:val="Prrafodelista"/>
        <w:numPr>
          <w:ilvl w:val="0"/>
          <w:numId w:val="47"/>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Establecer e implementar los apoyos fiscales, apoyos directos, créditos, fondos y fideicomisos para incentivar y orientar al productor agrícola en la producción, industrialización y comercialización de sus productos; y</w:t>
      </w:r>
    </w:p>
    <w:p w14:paraId="76866419"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1CBAFED5" w14:textId="77777777" w:rsidR="00E83108" w:rsidRPr="00141738" w:rsidRDefault="00E83108" w:rsidP="00E83108">
      <w:pPr>
        <w:pStyle w:val="Prrafodelista"/>
        <w:numPr>
          <w:ilvl w:val="0"/>
          <w:numId w:val="47"/>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Establecer los mecanismos para el registro de la maquinaria e implementos agrícolas que se utilicen para el desarrollo de las actividades agrícolas.</w:t>
      </w:r>
    </w:p>
    <w:p w14:paraId="4CCEECA6" w14:textId="77777777" w:rsidR="00E83108" w:rsidRPr="00141738" w:rsidRDefault="00E83108" w:rsidP="00E83108">
      <w:pPr>
        <w:pStyle w:val="Prrafodelista"/>
        <w:rPr>
          <w:rFonts w:ascii="Abadi" w:hAnsi="Abadi"/>
          <w:sz w:val="21"/>
          <w:szCs w:val="21"/>
        </w:rPr>
      </w:pPr>
    </w:p>
    <w:p w14:paraId="395969C8" w14:textId="77777777" w:rsidR="00E83108" w:rsidRPr="00141738" w:rsidRDefault="00E83108" w:rsidP="00E83108">
      <w:pPr>
        <w:adjustRightInd w:val="0"/>
        <w:ind w:left="720" w:firstLine="15"/>
        <w:jc w:val="both"/>
        <w:rPr>
          <w:rFonts w:ascii="Abadi" w:hAnsi="Abadi" w:cs="Arial"/>
          <w:color w:val="000000"/>
          <w:sz w:val="21"/>
          <w:szCs w:val="21"/>
        </w:rPr>
      </w:pPr>
      <w:r w:rsidRPr="00141738">
        <w:rPr>
          <w:rFonts w:ascii="Abadi" w:hAnsi="Abadi" w:cs="Arial"/>
          <w:b/>
          <w:bCs/>
          <w:color w:val="000000"/>
          <w:sz w:val="21"/>
          <w:szCs w:val="21"/>
        </w:rPr>
        <w:t>Artículo</w:t>
      </w:r>
      <w:r w:rsidRPr="00141738">
        <w:rPr>
          <w:rFonts w:ascii="Abadi" w:hAnsi="Abadi" w:cs="Arial"/>
          <w:b/>
          <w:color w:val="000000"/>
          <w:sz w:val="21"/>
          <w:szCs w:val="21"/>
        </w:rPr>
        <w:t xml:space="preserve"> 5</w:t>
      </w:r>
      <w:r w:rsidRPr="00141738">
        <w:rPr>
          <w:rFonts w:ascii="Abadi" w:hAnsi="Abadi" w:cs="Arial"/>
          <w:b/>
          <w:bCs/>
          <w:color w:val="000000"/>
          <w:sz w:val="21"/>
          <w:szCs w:val="21"/>
        </w:rPr>
        <w:t>.</w:t>
      </w:r>
      <w:r w:rsidRPr="00141738">
        <w:rPr>
          <w:rFonts w:ascii="Abadi" w:hAnsi="Abadi" w:cs="Arial"/>
          <w:color w:val="000000"/>
          <w:sz w:val="21"/>
          <w:szCs w:val="21"/>
        </w:rPr>
        <w:t xml:space="preserve"> Para efectos de…</w:t>
      </w:r>
    </w:p>
    <w:p w14:paraId="363BF074" w14:textId="77777777" w:rsidR="00E83108" w:rsidRPr="00141738" w:rsidRDefault="00E83108" w:rsidP="00E83108">
      <w:pPr>
        <w:adjustRightInd w:val="0"/>
        <w:ind w:left="720" w:firstLine="15"/>
        <w:jc w:val="both"/>
        <w:rPr>
          <w:rFonts w:ascii="Abadi" w:hAnsi="Abadi" w:cs="Arial"/>
          <w:color w:val="000000"/>
          <w:sz w:val="21"/>
          <w:szCs w:val="21"/>
        </w:rPr>
      </w:pPr>
    </w:p>
    <w:p w14:paraId="348460F7" w14:textId="77777777" w:rsidR="00E83108" w:rsidRPr="00141738" w:rsidRDefault="00E83108" w:rsidP="00E83108">
      <w:pPr>
        <w:adjustRightInd w:val="0"/>
        <w:jc w:val="both"/>
        <w:rPr>
          <w:rFonts w:ascii="Abadi" w:hAnsi="Abadi" w:cs="Arial"/>
          <w:sz w:val="21"/>
          <w:szCs w:val="21"/>
          <w:highlight w:val="yellow"/>
        </w:rPr>
      </w:pPr>
      <w:r w:rsidRPr="00141738">
        <w:rPr>
          <w:rFonts w:ascii="Abadi" w:hAnsi="Abadi" w:cs="Arial"/>
          <w:b/>
          <w:bCs/>
          <w:color w:val="000000"/>
          <w:sz w:val="21"/>
          <w:szCs w:val="21"/>
        </w:rPr>
        <w:t>I.</w:t>
      </w:r>
      <w:r w:rsidRPr="00141738">
        <w:rPr>
          <w:rFonts w:ascii="Abadi" w:hAnsi="Abadi" w:cs="Arial"/>
          <w:color w:val="000000"/>
          <w:sz w:val="21"/>
          <w:szCs w:val="21"/>
        </w:rPr>
        <w:t xml:space="preserve"> a </w:t>
      </w:r>
      <w:r w:rsidRPr="00141738">
        <w:rPr>
          <w:rFonts w:ascii="Abadi" w:hAnsi="Abadi" w:cs="Arial"/>
          <w:b/>
          <w:bCs/>
          <w:color w:val="000000"/>
          <w:sz w:val="21"/>
          <w:szCs w:val="21"/>
        </w:rPr>
        <w:t>IX.</w:t>
      </w:r>
      <w:r w:rsidRPr="00141738">
        <w:rPr>
          <w:rFonts w:ascii="Abadi" w:hAnsi="Abadi" w:cs="Arial"/>
          <w:color w:val="000000"/>
          <w:sz w:val="21"/>
          <w:szCs w:val="21"/>
        </w:rPr>
        <w:t xml:space="preserve"> …</w:t>
      </w:r>
    </w:p>
    <w:p w14:paraId="5588C0DE" w14:textId="77777777" w:rsidR="00E83108" w:rsidRPr="00141738" w:rsidRDefault="00E83108" w:rsidP="00E83108">
      <w:pPr>
        <w:adjustRightInd w:val="0"/>
        <w:ind w:left="720" w:firstLine="15"/>
        <w:jc w:val="both"/>
        <w:rPr>
          <w:rFonts w:ascii="Abadi" w:hAnsi="Abadi" w:cs="Arial"/>
          <w:sz w:val="21"/>
          <w:szCs w:val="21"/>
          <w:highlight w:val="yellow"/>
        </w:rPr>
      </w:pPr>
      <w:r w:rsidRPr="00141738">
        <w:rPr>
          <w:rFonts w:ascii="Abadi" w:hAnsi="Abadi" w:cs="Arial"/>
          <w:sz w:val="21"/>
          <w:szCs w:val="21"/>
          <w:highlight w:val="yellow"/>
        </w:rPr>
        <w:t xml:space="preserve"> </w:t>
      </w:r>
    </w:p>
    <w:p w14:paraId="7A5BD604"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Implementos Agrícolas: Herramientas o accesorios a equipos diseñados para facilitar el desempeño de las actividades de producción agrícola;</w:t>
      </w:r>
    </w:p>
    <w:p w14:paraId="302E61B2"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7E66C872"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Insumos: Aquellos elementos…</w:t>
      </w:r>
    </w:p>
    <w:p w14:paraId="4824B500"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434096F1"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 xml:space="preserve">Ley: Ley de… </w:t>
      </w:r>
    </w:p>
    <w:p w14:paraId="1FEB8281"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28FA585F"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Maquinaria Agrícola: Aquella que tiene autonomía de funcionamiento, con motor de combustión o mediante otros medios de transmisión, que les permiten trasladarse por el campo para el desarrollo de las actividades de producción agrícola y pecuaria;</w:t>
      </w:r>
    </w:p>
    <w:p w14:paraId="271CEF42"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1C137A0A"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 xml:space="preserve">Plaga: Forma de… </w:t>
      </w:r>
    </w:p>
    <w:p w14:paraId="323D9AEA"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006CCF37"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 xml:space="preserve">Plaguicida: Insumo destinado… </w:t>
      </w:r>
    </w:p>
    <w:p w14:paraId="69561A0A"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2731E028"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Registro: El Registro de Maquinaria e Implementos Agrícolas del Estado de Guanajuato;</w:t>
      </w:r>
    </w:p>
    <w:p w14:paraId="3F711A66"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710E99E9"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Unidad de Producción…</w:t>
      </w:r>
    </w:p>
    <w:p w14:paraId="58337E33" w14:textId="77777777" w:rsidR="00E83108" w:rsidRPr="00141738" w:rsidRDefault="00E83108" w:rsidP="00E83108">
      <w:pPr>
        <w:pStyle w:val="Prrafodelista"/>
        <w:adjustRightInd w:val="0"/>
        <w:spacing w:after="160" w:line="256" w:lineRule="auto"/>
        <w:ind w:left="735"/>
        <w:contextualSpacing/>
        <w:jc w:val="both"/>
        <w:rPr>
          <w:rFonts w:ascii="Abadi" w:hAnsi="Abadi" w:cs="Arial"/>
          <w:sz w:val="21"/>
          <w:szCs w:val="21"/>
        </w:rPr>
      </w:pPr>
    </w:p>
    <w:p w14:paraId="4A7D3C6C"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SADER: Secretaría…</w:t>
      </w:r>
    </w:p>
    <w:p w14:paraId="4183E987"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7CA2C844"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Secretaría: Secretaría de…</w:t>
      </w:r>
    </w:p>
    <w:p w14:paraId="0BE9CBF2"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2341C47A"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Semillas: Los frutos…</w:t>
      </w:r>
    </w:p>
    <w:p w14:paraId="2D1B53B0"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0C6658D6"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Subproducto: Los productos…</w:t>
      </w:r>
    </w:p>
    <w:p w14:paraId="4D6AD1AC" w14:textId="77777777" w:rsidR="00E83108" w:rsidRPr="00141738" w:rsidRDefault="00E83108" w:rsidP="00E83108">
      <w:pPr>
        <w:pStyle w:val="Prrafodelista"/>
        <w:adjustRightInd w:val="0"/>
        <w:spacing w:after="160" w:line="256" w:lineRule="auto"/>
        <w:ind w:left="709"/>
        <w:contextualSpacing/>
        <w:jc w:val="both"/>
        <w:rPr>
          <w:rFonts w:ascii="Abadi" w:hAnsi="Abadi" w:cs="Arial"/>
          <w:sz w:val="21"/>
          <w:szCs w:val="21"/>
        </w:rPr>
      </w:pPr>
    </w:p>
    <w:p w14:paraId="15FA9BB6" w14:textId="77777777" w:rsidR="00E83108" w:rsidRPr="00141738" w:rsidRDefault="00E83108" w:rsidP="00E83108">
      <w:pPr>
        <w:pStyle w:val="Prrafodelista"/>
        <w:numPr>
          <w:ilvl w:val="0"/>
          <w:numId w:val="44"/>
        </w:numPr>
        <w:adjustRightInd w:val="0"/>
        <w:spacing w:after="160" w:line="256" w:lineRule="auto"/>
        <w:ind w:left="709"/>
        <w:contextualSpacing/>
        <w:jc w:val="both"/>
        <w:rPr>
          <w:rFonts w:ascii="Abadi" w:hAnsi="Abadi" w:cs="Arial"/>
          <w:sz w:val="21"/>
          <w:szCs w:val="21"/>
        </w:rPr>
      </w:pPr>
      <w:r w:rsidRPr="00141738">
        <w:rPr>
          <w:rFonts w:ascii="Abadi" w:hAnsi="Abadi" w:cs="Arial"/>
          <w:sz w:val="21"/>
          <w:szCs w:val="21"/>
        </w:rPr>
        <w:t xml:space="preserve">Técnico: El prestador… </w:t>
      </w:r>
    </w:p>
    <w:p w14:paraId="4A3461FE" w14:textId="77777777" w:rsidR="00E83108" w:rsidRPr="00141738" w:rsidRDefault="00E83108" w:rsidP="00E83108">
      <w:pPr>
        <w:pStyle w:val="Prrafodelista"/>
        <w:rPr>
          <w:rFonts w:ascii="Abadi" w:hAnsi="Abadi" w:cs="Arial"/>
          <w:sz w:val="21"/>
          <w:szCs w:val="21"/>
        </w:rPr>
      </w:pPr>
    </w:p>
    <w:p w14:paraId="56A0350C" w14:textId="77777777" w:rsidR="00E83108" w:rsidRPr="00141738" w:rsidRDefault="00E83108" w:rsidP="00E83108">
      <w:pPr>
        <w:adjustRightInd w:val="0"/>
        <w:ind w:left="15" w:firstLine="720"/>
        <w:jc w:val="both"/>
        <w:rPr>
          <w:rFonts w:ascii="Abadi" w:hAnsi="Abadi" w:cs="Arial"/>
          <w:bCs/>
          <w:color w:val="000000"/>
          <w:sz w:val="21"/>
          <w:szCs w:val="21"/>
        </w:rPr>
      </w:pPr>
      <w:r w:rsidRPr="00141738">
        <w:rPr>
          <w:rFonts w:ascii="Abadi" w:hAnsi="Abadi" w:cs="Arial"/>
          <w:b/>
          <w:color w:val="000000"/>
          <w:sz w:val="21"/>
          <w:szCs w:val="21"/>
        </w:rPr>
        <w:t xml:space="preserve">Artículo 10. </w:t>
      </w:r>
      <w:r w:rsidRPr="00141738">
        <w:rPr>
          <w:rFonts w:ascii="Abadi" w:hAnsi="Abadi" w:cs="Arial"/>
          <w:bCs/>
          <w:color w:val="000000"/>
          <w:sz w:val="21"/>
          <w:szCs w:val="21"/>
        </w:rPr>
        <w:t>Son atribuciones de…</w:t>
      </w:r>
    </w:p>
    <w:p w14:paraId="5B1FFD27" w14:textId="77777777" w:rsidR="00E83108" w:rsidRPr="00141738" w:rsidRDefault="00E83108" w:rsidP="00E83108">
      <w:pPr>
        <w:adjustRightInd w:val="0"/>
        <w:ind w:left="15" w:firstLine="720"/>
        <w:jc w:val="both"/>
        <w:rPr>
          <w:rFonts w:ascii="Abadi" w:hAnsi="Abadi" w:cs="Arial"/>
          <w:bCs/>
          <w:color w:val="000000"/>
          <w:sz w:val="21"/>
          <w:szCs w:val="21"/>
        </w:rPr>
      </w:pPr>
    </w:p>
    <w:p w14:paraId="753F9B4E" w14:textId="77777777" w:rsidR="00E83108" w:rsidRPr="00141738" w:rsidRDefault="00E83108" w:rsidP="00E83108">
      <w:pPr>
        <w:adjustRightInd w:val="0"/>
        <w:ind w:left="15" w:hanging="15"/>
        <w:jc w:val="both"/>
        <w:rPr>
          <w:rFonts w:ascii="Abadi" w:hAnsi="Abadi" w:cs="Arial"/>
          <w:b/>
          <w:sz w:val="21"/>
          <w:szCs w:val="21"/>
        </w:rPr>
      </w:pPr>
      <w:r w:rsidRPr="00141738">
        <w:rPr>
          <w:rFonts w:ascii="Abadi" w:hAnsi="Abadi" w:cs="Arial"/>
          <w:b/>
          <w:color w:val="000000"/>
          <w:sz w:val="21"/>
          <w:szCs w:val="21"/>
        </w:rPr>
        <w:t>I.</w:t>
      </w:r>
      <w:r w:rsidRPr="00141738">
        <w:rPr>
          <w:rFonts w:ascii="Abadi" w:hAnsi="Abadi" w:cs="Arial"/>
          <w:bCs/>
          <w:color w:val="000000"/>
          <w:sz w:val="21"/>
          <w:szCs w:val="21"/>
        </w:rPr>
        <w:t xml:space="preserve"> a </w:t>
      </w:r>
      <w:r w:rsidRPr="00141738">
        <w:rPr>
          <w:rFonts w:ascii="Abadi" w:hAnsi="Abadi" w:cs="Arial"/>
          <w:b/>
          <w:color w:val="000000"/>
          <w:sz w:val="21"/>
          <w:szCs w:val="21"/>
        </w:rPr>
        <w:t>X.</w:t>
      </w:r>
      <w:r w:rsidRPr="00141738">
        <w:rPr>
          <w:rFonts w:ascii="Abadi" w:hAnsi="Abadi" w:cs="Arial"/>
          <w:b/>
          <w:sz w:val="21"/>
          <w:szCs w:val="21"/>
        </w:rPr>
        <w:t xml:space="preserve"> </w:t>
      </w:r>
      <w:r w:rsidRPr="00141738">
        <w:rPr>
          <w:rFonts w:ascii="Abadi" w:hAnsi="Abadi" w:cs="Arial"/>
          <w:bCs/>
          <w:sz w:val="21"/>
          <w:szCs w:val="21"/>
        </w:rPr>
        <w:t>…</w:t>
      </w:r>
    </w:p>
    <w:p w14:paraId="2435ECE2" w14:textId="77777777" w:rsidR="00E83108" w:rsidRPr="00141738" w:rsidRDefault="00E83108" w:rsidP="00E83108">
      <w:pPr>
        <w:adjustRightInd w:val="0"/>
        <w:ind w:left="15" w:firstLine="720"/>
        <w:jc w:val="both"/>
        <w:rPr>
          <w:rFonts w:ascii="Abadi" w:hAnsi="Abadi" w:cs="Arial"/>
          <w:b/>
          <w:sz w:val="21"/>
          <w:szCs w:val="21"/>
        </w:rPr>
      </w:pPr>
      <w:r w:rsidRPr="00141738">
        <w:rPr>
          <w:rFonts w:ascii="Abadi" w:hAnsi="Abadi" w:cs="Arial"/>
          <w:b/>
          <w:sz w:val="21"/>
          <w:szCs w:val="21"/>
        </w:rPr>
        <w:t xml:space="preserve"> </w:t>
      </w:r>
    </w:p>
    <w:p w14:paraId="43CD6328" w14:textId="77777777" w:rsidR="00E83108" w:rsidRPr="00141738" w:rsidRDefault="00E83108" w:rsidP="00E83108">
      <w:pPr>
        <w:pStyle w:val="Prrafodelista"/>
        <w:numPr>
          <w:ilvl w:val="0"/>
          <w:numId w:val="45"/>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Apoyar a los productores y organizaciones agrícolas en la comercialización de productos;</w:t>
      </w:r>
    </w:p>
    <w:p w14:paraId="3961D331" w14:textId="77777777" w:rsidR="00E83108" w:rsidRPr="00141738" w:rsidRDefault="00E83108" w:rsidP="00E83108">
      <w:pPr>
        <w:pStyle w:val="Prrafodelista"/>
        <w:adjustRightInd w:val="0"/>
        <w:spacing w:line="256" w:lineRule="auto"/>
        <w:ind w:left="1788"/>
        <w:contextualSpacing/>
        <w:jc w:val="both"/>
        <w:rPr>
          <w:rFonts w:ascii="Abadi" w:hAnsi="Abadi" w:cs="Arial"/>
          <w:sz w:val="21"/>
          <w:szCs w:val="21"/>
        </w:rPr>
      </w:pPr>
    </w:p>
    <w:p w14:paraId="78EFDA96" w14:textId="77777777" w:rsidR="00E83108" w:rsidRPr="00141738" w:rsidRDefault="00E83108" w:rsidP="00E83108">
      <w:pPr>
        <w:pStyle w:val="Prrafodelista"/>
        <w:numPr>
          <w:ilvl w:val="0"/>
          <w:numId w:val="45"/>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 xml:space="preserve">Realizar el registro de maquinaria e implementos agrícolas para el </w:t>
      </w:r>
      <w:r w:rsidRPr="00141738">
        <w:rPr>
          <w:rFonts w:ascii="Abadi" w:hAnsi="Abadi" w:cs="Arial"/>
          <w:sz w:val="21"/>
          <w:szCs w:val="21"/>
        </w:rPr>
        <w:t>desarrollo de las actividades agrícolas en el estado; y</w:t>
      </w:r>
    </w:p>
    <w:p w14:paraId="24A199E4" w14:textId="77777777" w:rsidR="00E83108" w:rsidRPr="00141738" w:rsidRDefault="00E83108" w:rsidP="00E83108">
      <w:pPr>
        <w:pStyle w:val="Prrafodelista"/>
        <w:adjustRightInd w:val="0"/>
        <w:spacing w:line="256" w:lineRule="auto"/>
        <w:ind w:left="1788"/>
        <w:contextualSpacing/>
        <w:jc w:val="both"/>
        <w:rPr>
          <w:rFonts w:ascii="Abadi" w:hAnsi="Abadi" w:cs="Arial"/>
          <w:sz w:val="21"/>
          <w:szCs w:val="21"/>
        </w:rPr>
      </w:pPr>
    </w:p>
    <w:p w14:paraId="66997ACB" w14:textId="77777777" w:rsidR="00E83108" w:rsidRPr="00141738" w:rsidRDefault="00E83108" w:rsidP="00E83108">
      <w:pPr>
        <w:pStyle w:val="Prrafodelista"/>
        <w:numPr>
          <w:ilvl w:val="0"/>
          <w:numId w:val="45"/>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 xml:space="preserve">Las demás que… </w:t>
      </w:r>
    </w:p>
    <w:p w14:paraId="2908BC14" w14:textId="77777777" w:rsidR="00E83108" w:rsidRPr="00141738" w:rsidRDefault="00E83108" w:rsidP="00E83108">
      <w:pPr>
        <w:autoSpaceDE w:val="0"/>
        <w:autoSpaceDN w:val="0"/>
        <w:adjustRightInd w:val="0"/>
        <w:contextualSpacing/>
        <w:jc w:val="both"/>
        <w:rPr>
          <w:rFonts w:ascii="Abadi" w:hAnsi="Abadi" w:cs="Arial"/>
          <w:color w:val="000000"/>
          <w:sz w:val="21"/>
          <w:szCs w:val="21"/>
        </w:rPr>
      </w:pPr>
    </w:p>
    <w:p w14:paraId="4F24082F" w14:textId="77777777" w:rsidR="00E83108" w:rsidRPr="00141738" w:rsidRDefault="00E83108" w:rsidP="00E83108">
      <w:pPr>
        <w:spacing w:after="160" w:line="276" w:lineRule="auto"/>
        <w:contextualSpacing/>
        <w:jc w:val="center"/>
        <w:rPr>
          <w:rFonts w:ascii="Abadi" w:eastAsia="Calibri" w:hAnsi="Abadi" w:cs="Arial"/>
          <w:b/>
          <w:sz w:val="21"/>
          <w:szCs w:val="21"/>
        </w:rPr>
      </w:pPr>
      <w:r w:rsidRPr="00141738">
        <w:rPr>
          <w:rFonts w:ascii="Abadi" w:eastAsia="Calibri" w:hAnsi="Abadi" w:cs="Arial"/>
          <w:b/>
          <w:sz w:val="21"/>
          <w:szCs w:val="21"/>
        </w:rPr>
        <w:t xml:space="preserve">Título Quinto </w:t>
      </w:r>
    </w:p>
    <w:p w14:paraId="345AC067" w14:textId="77777777" w:rsidR="00E83108" w:rsidRPr="00141738" w:rsidRDefault="00E83108" w:rsidP="00E83108">
      <w:pPr>
        <w:spacing w:after="160" w:line="276" w:lineRule="auto"/>
        <w:contextualSpacing/>
        <w:jc w:val="center"/>
        <w:rPr>
          <w:rFonts w:ascii="Abadi" w:eastAsia="Calibri" w:hAnsi="Abadi" w:cs="Arial"/>
          <w:b/>
          <w:sz w:val="21"/>
          <w:szCs w:val="21"/>
        </w:rPr>
      </w:pPr>
      <w:r w:rsidRPr="00141738">
        <w:rPr>
          <w:rFonts w:ascii="Abadi" w:eastAsia="Calibri" w:hAnsi="Abadi" w:cs="Arial"/>
          <w:b/>
          <w:sz w:val="21"/>
          <w:szCs w:val="21"/>
        </w:rPr>
        <w:t xml:space="preserve">Disposiciones Complementarias </w:t>
      </w:r>
    </w:p>
    <w:p w14:paraId="1893F448" w14:textId="77777777" w:rsidR="00E83108" w:rsidRPr="00141738" w:rsidRDefault="00E83108" w:rsidP="00E83108">
      <w:pPr>
        <w:spacing w:after="160" w:line="276" w:lineRule="auto"/>
        <w:contextualSpacing/>
        <w:jc w:val="center"/>
        <w:rPr>
          <w:rFonts w:ascii="Abadi" w:eastAsia="Calibri" w:hAnsi="Abadi" w:cs="Arial"/>
          <w:b/>
          <w:sz w:val="21"/>
          <w:szCs w:val="21"/>
        </w:rPr>
      </w:pPr>
    </w:p>
    <w:p w14:paraId="7F0F1EDB" w14:textId="77777777" w:rsidR="00E83108" w:rsidRPr="00141738" w:rsidRDefault="00E83108" w:rsidP="00E83108">
      <w:pPr>
        <w:spacing w:after="160" w:line="276" w:lineRule="auto"/>
        <w:contextualSpacing/>
        <w:jc w:val="center"/>
        <w:rPr>
          <w:rFonts w:ascii="Abadi" w:eastAsia="Calibri" w:hAnsi="Abadi" w:cs="Arial"/>
          <w:b/>
          <w:sz w:val="21"/>
          <w:szCs w:val="21"/>
        </w:rPr>
      </w:pPr>
      <w:r w:rsidRPr="00141738">
        <w:rPr>
          <w:rFonts w:ascii="Abadi" w:eastAsia="Calibri" w:hAnsi="Abadi" w:cs="Arial"/>
          <w:b/>
          <w:sz w:val="21"/>
          <w:szCs w:val="21"/>
        </w:rPr>
        <w:t>Capítulo Único</w:t>
      </w:r>
    </w:p>
    <w:p w14:paraId="021FBA50" w14:textId="77777777" w:rsidR="00E83108" w:rsidRPr="00141738" w:rsidRDefault="00E83108" w:rsidP="00E83108">
      <w:pPr>
        <w:spacing w:after="160" w:line="276" w:lineRule="auto"/>
        <w:contextualSpacing/>
        <w:jc w:val="center"/>
        <w:rPr>
          <w:rFonts w:ascii="Abadi" w:eastAsia="Calibri" w:hAnsi="Abadi" w:cs="Arial"/>
          <w:b/>
          <w:sz w:val="21"/>
          <w:szCs w:val="21"/>
        </w:rPr>
      </w:pPr>
      <w:r w:rsidRPr="00141738">
        <w:rPr>
          <w:rFonts w:ascii="Abadi" w:eastAsia="Calibri" w:hAnsi="Abadi" w:cs="Arial"/>
          <w:b/>
          <w:sz w:val="21"/>
          <w:szCs w:val="21"/>
        </w:rPr>
        <w:t>Registro de Maquinaria e Implementos Agrícolas</w:t>
      </w:r>
    </w:p>
    <w:p w14:paraId="163B4131" w14:textId="77777777" w:rsidR="00E83108" w:rsidRPr="00141738" w:rsidRDefault="00E83108" w:rsidP="00E83108">
      <w:pPr>
        <w:autoSpaceDE w:val="0"/>
        <w:autoSpaceDN w:val="0"/>
        <w:adjustRightInd w:val="0"/>
        <w:contextualSpacing/>
        <w:jc w:val="both"/>
        <w:rPr>
          <w:rFonts w:ascii="Abadi" w:hAnsi="Abadi" w:cs="Arial"/>
          <w:color w:val="000000"/>
          <w:sz w:val="21"/>
          <w:szCs w:val="21"/>
        </w:rPr>
      </w:pPr>
    </w:p>
    <w:p w14:paraId="7A40BC22"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b/>
          <w:color w:val="000000"/>
          <w:sz w:val="21"/>
          <w:szCs w:val="21"/>
        </w:rPr>
        <w:t>Artículo 39.</w:t>
      </w:r>
      <w:r w:rsidRPr="00141738">
        <w:rPr>
          <w:rFonts w:ascii="Abadi" w:hAnsi="Abadi" w:cs="Arial"/>
          <w:color w:val="000000"/>
          <w:sz w:val="21"/>
          <w:szCs w:val="21"/>
        </w:rPr>
        <w:t xml:space="preserve"> La Secretaría establecerá, operará y mantendrá actualizado el registro, el cual será obligatorio y funcionará como una herramienta de consulta para el diseño de programas y acciones; así como coadyuvar con las autoridades competentes en la investigación, prevención y sanción de conductas presuntamente delictivas.</w:t>
      </w:r>
    </w:p>
    <w:p w14:paraId="207E5233" w14:textId="77777777" w:rsidR="00E83108" w:rsidRPr="00141738" w:rsidRDefault="00E83108" w:rsidP="00E83108">
      <w:pPr>
        <w:adjustRightInd w:val="0"/>
        <w:ind w:left="15" w:firstLine="720"/>
        <w:jc w:val="both"/>
        <w:rPr>
          <w:rFonts w:ascii="Abadi" w:hAnsi="Abadi" w:cs="Arial"/>
          <w:color w:val="000000"/>
          <w:sz w:val="21"/>
          <w:szCs w:val="21"/>
        </w:rPr>
      </w:pPr>
    </w:p>
    <w:p w14:paraId="29242D18"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b/>
          <w:bCs/>
          <w:color w:val="000000"/>
          <w:sz w:val="21"/>
          <w:szCs w:val="21"/>
        </w:rPr>
        <w:t>Artículo 40.</w:t>
      </w:r>
      <w:r w:rsidRPr="00141738">
        <w:rPr>
          <w:rFonts w:ascii="Abadi" w:hAnsi="Abadi" w:cs="Arial"/>
          <w:color w:val="000000"/>
          <w:sz w:val="21"/>
          <w:szCs w:val="21"/>
        </w:rPr>
        <w:t xml:space="preserve"> El registro deberá contener de manera enunciativa y no limitativa:</w:t>
      </w:r>
    </w:p>
    <w:p w14:paraId="6BE2BEE4" w14:textId="77777777" w:rsidR="00E83108" w:rsidRPr="00141738" w:rsidRDefault="00E83108" w:rsidP="00E83108">
      <w:pPr>
        <w:adjustRightInd w:val="0"/>
        <w:ind w:left="15" w:firstLine="720"/>
        <w:jc w:val="both"/>
        <w:rPr>
          <w:rFonts w:ascii="Abadi" w:hAnsi="Abadi" w:cs="Arial"/>
          <w:color w:val="000000"/>
          <w:sz w:val="21"/>
          <w:szCs w:val="21"/>
        </w:rPr>
      </w:pPr>
    </w:p>
    <w:p w14:paraId="74C23479" w14:textId="77777777" w:rsidR="00E83108" w:rsidRPr="00141738" w:rsidRDefault="00E83108" w:rsidP="00E83108">
      <w:pPr>
        <w:pStyle w:val="Prrafodelista"/>
        <w:numPr>
          <w:ilvl w:val="0"/>
          <w:numId w:val="46"/>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Los datos relativos a la personas poseedoras o propietarias de maquinaria e implementos agrícolas;</w:t>
      </w:r>
    </w:p>
    <w:p w14:paraId="59640BB4" w14:textId="77777777" w:rsidR="00E83108" w:rsidRPr="00141738" w:rsidRDefault="00E83108" w:rsidP="00E83108">
      <w:pPr>
        <w:pStyle w:val="Prrafodelista"/>
        <w:adjustRightInd w:val="0"/>
        <w:spacing w:line="256" w:lineRule="auto"/>
        <w:ind w:left="709"/>
        <w:contextualSpacing/>
        <w:jc w:val="both"/>
        <w:rPr>
          <w:rFonts w:ascii="Abadi" w:hAnsi="Abadi" w:cs="Arial"/>
          <w:sz w:val="21"/>
          <w:szCs w:val="21"/>
        </w:rPr>
      </w:pPr>
    </w:p>
    <w:p w14:paraId="6E21DB12" w14:textId="77777777" w:rsidR="00E83108" w:rsidRPr="00141738" w:rsidRDefault="00E83108" w:rsidP="00E83108">
      <w:pPr>
        <w:pStyle w:val="Prrafodelista"/>
        <w:numPr>
          <w:ilvl w:val="0"/>
          <w:numId w:val="46"/>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Los documentos o la resolución de autoridad competente o medio fehaciente diverso legalmente establecido con el que acrediten la propiedad o posesión de dicha maquinaria e implementos agrícolas y en su caso acredite la legal procedencia en el País;</w:t>
      </w:r>
    </w:p>
    <w:p w14:paraId="23DE23D9" w14:textId="77777777" w:rsidR="00E83108" w:rsidRPr="00141738" w:rsidRDefault="00E83108" w:rsidP="00E83108">
      <w:pPr>
        <w:pStyle w:val="Prrafodelista"/>
        <w:adjustRightInd w:val="0"/>
        <w:spacing w:line="256" w:lineRule="auto"/>
        <w:ind w:left="709"/>
        <w:contextualSpacing/>
        <w:jc w:val="both"/>
        <w:rPr>
          <w:rFonts w:ascii="Abadi" w:hAnsi="Abadi" w:cs="Arial"/>
          <w:sz w:val="21"/>
          <w:szCs w:val="21"/>
        </w:rPr>
      </w:pPr>
    </w:p>
    <w:p w14:paraId="1C11FB4C" w14:textId="77777777" w:rsidR="00E83108" w:rsidRPr="00141738" w:rsidRDefault="00E83108" w:rsidP="00E83108">
      <w:pPr>
        <w:pStyle w:val="Prrafodelista"/>
        <w:numPr>
          <w:ilvl w:val="0"/>
          <w:numId w:val="46"/>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Las fotografías, imágenes, así como su ubicación por georreferenciación de esta;</w:t>
      </w:r>
    </w:p>
    <w:p w14:paraId="78E266AD" w14:textId="77777777" w:rsidR="00E83108" w:rsidRPr="00141738" w:rsidRDefault="00E83108" w:rsidP="00E83108">
      <w:pPr>
        <w:pStyle w:val="Prrafodelista"/>
        <w:adjustRightInd w:val="0"/>
        <w:spacing w:line="256" w:lineRule="auto"/>
        <w:ind w:left="709"/>
        <w:contextualSpacing/>
        <w:jc w:val="both"/>
        <w:rPr>
          <w:rFonts w:ascii="Abadi" w:hAnsi="Abadi" w:cs="Arial"/>
          <w:sz w:val="21"/>
          <w:szCs w:val="21"/>
        </w:rPr>
      </w:pPr>
    </w:p>
    <w:p w14:paraId="2089F369" w14:textId="77777777" w:rsidR="00E83108" w:rsidRPr="00141738" w:rsidRDefault="00E83108" w:rsidP="00E83108">
      <w:pPr>
        <w:pStyle w:val="Prrafodelista"/>
        <w:numPr>
          <w:ilvl w:val="0"/>
          <w:numId w:val="46"/>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 xml:space="preserve">El sistema de posicionamiento global (GPS), en caso de contar con el mismo; y </w:t>
      </w:r>
    </w:p>
    <w:p w14:paraId="674BC0A9" w14:textId="77777777" w:rsidR="00E83108" w:rsidRPr="00141738" w:rsidRDefault="00E83108" w:rsidP="00E83108">
      <w:pPr>
        <w:pStyle w:val="Prrafodelista"/>
        <w:adjustRightInd w:val="0"/>
        <w:spacing w:line="256" w:lineRule="auto"/>
        <w:ind w:left="709"/>
        <w:contextualSpacing/>
        <w:jc w:val="both"/>
        <w:rPr>
          <w:rFonts w:ascii="Abadi" w:hAnsi="Abadi" w:cs="Arial"/>
          <w:sz w:val="21"/>
          <w:szCs w:val="21"/>
        </w:rPr>
      </w:pPr>
    </w:p>
    <w:p w14:paraId="602AF21A" w14:textId="77777777" w:rsidR="00E83108" w:rsidRPr="00141738" w:rsidRDefault="00E83108" w:rsidP="00E83108">
      <w:pPr>
        <w:pStyle w:val="Prrafodelista"/>
        <w:numPr>
          <w:ilvl w:val="0"/>
          <w:numId w:val="46"/>
        </w:numPr>
        <w:adjustRightInd w:val="0"/>
        <w:spacing w:line="256" w:lineRule="auto"/>
        <w:ind w:left="709"/>
        <w:contextualSpacing/>
        <w:jc w:val="both"/>
        <w:rPr>
          <w:rFonts w:ascii="Abadi" w:hAnsi="Abadi" w:cs="Arial"/>
          <w:sz w:val="21"/>
          <w:szCs w:val="21"/>
        </w:rPr>
      </w:pPr>
      <w:r w:rsidRPr="00141738">
        <w:rPr>
          <w:rFonts w:ascii="Abadi" w:hAnsi="Abadi" w:cs="Arial"/>
          <w:sz w:val="21"/>
          <w:szCs w:val="21"/>
        </w:rPr>
        <w:t>El número de identificación por medio de un número alfanumérico compuesto por el Sistema MAGTO- seguido por seis dígitos y por medio del uso de tecnologías o plataformas para su debida clasificación.</w:t>
      </w:r>
    </w:p>
    <w:p w14:paraId="6A96C00F" w14:textId="77777777" w:rsidR="00E83108" w:rsidRPr="00141738" w:rsidRDefault="00E83108" w:rsidP="00E83108">
      <w:pPr>
        <w:adjustRightInd w:val="0"/>
        <w:ind w:left="15" w:firstLine="720"/>
        <w:jc w:val="both"/>
        <w:rPr>
          <w:rFonts w:ascii="Abadi" w:hAnsi="Abadi" w:cs="Arial"/>
          <w:color w:val="000000"/>
          <w:sz w:val="21"/>
          <w:szCs w:val="21"/>
        </w:rPr>
      </w:pPr>
    </w:p>
    <w:p w14:paraId="3452FFE1"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color w:val="000000"/>
          <w:sz w:val="21"/>
          <w:szCs w:val="21"/>
        </w:rPr>
        <w:lastRenderedPageBreak/>
        <w:t>Los implementos o accesorios deberán tener el número de identificación IAGTO- seguido por seis dígitos y vinculado con la plataforma o alternativa tecnológica que se utilice para tal fin.</w:t>
      </w:r>
    </w:p>
    <w:p w14:paraId="6F2F1AF3" w14:textId="77777777" w:rsidR="00E83108" w:rsidRPr="00141738" w:rsidRDefault="00E83108" w:rsidP="00E83108">
      <w:pPr>
        <w:adjustRightInd w:val="0"/>
        <w:ind w:left="15" w:firstLine="720"/>
        <w:jc w:val="both"/>
        <w:rPr>
          <w:rFonts w:ascii="Abadi" w:hAnsi="Abadi" w:cs="Arial"/>
          <w:color w:val="000000"/>
          <w:sz w:val="21"/>
          <w:szCs w:val="21"/>
        </w:rPr>
      </w:pPr>
    </w:p>
    <w:p w14:paraId="7D29CFAA"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color w:val="000000"/>
          <w:sz w:val="21"/>
          <w:szCs w:val="21"/>
        </w:rPr>
        <w:t>Para el funcionamiento del registro, el Ejecutivo del Estado emitirá los lineamientos correspondientes.</w:t>
      </w:r>
    </w:p>
    <w:p w14:paraId="4810A278" w14:textId="77777777" w:rsidR="00E83108" w:rsidRPr="00141738" w:rsidRDefault="00E83108" w:rsidP="00E83108">
      <w:pPr>
        <w:adjustRightInd w:val="0"/>
        <w:ind w:left="15" w:firstLine="720"/>
        <w:jc w:val="both"/>
        <w:rPr>
          <w:rFonts w:ascii="Abadi" w:hAnsi="Abadi" w:cs="Arial"/>
          <w:color w:val="000000"/>
          <w:sz w:val="21"/>
          <w:szCs w:val="21"/>
        </w:rPr>
      </w:pPr>
    </w:p>
    <w:p w14:paraId="4135BD38"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b/>
          <w:bCs/>
          <w:color w:val="000000"/>
          <w:sz w:val="21"/>
          <w:szCs w:val="21"/>
        </w:rPr>
        <w:t>Artículo 41.</w:t>
      </w:r>
      <w:r w:rsidRPr="00141738">
        <w:rPr>
          <w:rFonts w:ascii="Abadi" w:hAnsi="Abadi" w:cs="Arial"/>
          <w:color w:val="000000"/>
          <w:sz w:val="21"/>
          <w:szCs w:val="21"/>
        </w:rPr>
        <w:t xml:space="preserve"> Los propietarios o poseedores podrán realizar la baja o actualización del registro, en caso de transferencia de la maquinaria o implementos agrícolas y en su caso la cancelación de estos, por la destrucción total o pérdida definitiva, robo o desaparición documentada ante autoridad competente.</w:t>
      </w:r>
    </w:p>
    <w:p w14:paraId="45A8EF33" w14:textId="77777777" w:rsidR="00E83108" w:rsidRPr="00141738" w:rsidRDefault="00E83108" w:rsidP="00E83108">
      <w:pPr>
        <w:adjustRightInd w:val="0"/>
        <w:ind w:left="15" w:firstLine="720"/>
        <w:jc w:val="both"/>
        <w:rPr>
          <w:rFonts w:ascii="Abadi" w:hAnsi="Abadi" w:cs="Arial"/>
          <w:color w:val="000000"/>
          <w:sz w:val="21"/>
          <w:szCs w:val="21"/>
        </w:rPr>
      </w:pPr>
    </w:p>
    <w:p w14:paraId="7CED59E8" w14:textId="77777777" w:rsidR="00E83108" w:rsidRPr="00141738" w:rsidRDefault="00E83108" w:rsidP="00E83108">
      <w:pPr>
        <w:adjustRightInd w:val="0"/>
        <w:ind w:left="15" w:firstLine="720"/>
        <w:jc w:val="both"/>
        <w:rPr>
          <w:rFonts w:ascii="Abadi" w:hAnsi="Abadi" w:cs="Arial"/>
          <w:color w:val="000000"/>
          <w:sz w:val="21"/>
          <w:szCs w:val="21"/>
        </w:rPr>
      </w:pPr>
      <w:r w:rsidRPr="00141738">
        <w:rPr>
          <w:rFonts w:ascii="Abadi" w:hAnsi="Abadi" w:cs="Arial"/>
          <w:b/>
          <w:bCs/>
          <w:color w:val="000000"/>
          <w:sz w:val="21"/>
          <w:szCs w:val="21"/>
        </w:rPr>
        <w:t>Artículo 42.</w:t>
      </w:r>
      <w:r w:rsidRPr="00141738">
        <w:rPr>
          <w:rFonts w:ascii="Abadi" w:hAnsi="Abadi" w:cs="Arial"/>
          <w:color w:val="000000"/>
          <w:sz w:val="21"/>
          <w:szCs w:val="21"/>
        </w:rPr>
        <w:t xml:space="preserve"> La Secretaría podrá establecer acciones para poder incluir el registro con los sujetos referidos en el artículo 3 de esta Ley.</w:t>
      </w:r>
    </w:p>
    <w:p w14:paraId="389F0614" w14:textId="77777777" w:rsidR="00E83108" w:rsidRPr="00141738" w:rsidRDefault="00E83108" w:rsidP="00E83108">
      <w:pPr>
        <w:adjustRightInd w:val="0"/>
        <w:ind w:left="15" w:firstLine="720"/>
        <w:jc w:val="both"/>
        <w:rPr>
          <w:rFonts w:ascii="Abadi" w:hAnsi="Abadi" w:cs="Arial"/>
          <w:color w:val="000000"/>
          <w:sz w:val="21"/>
          <w:szCs w:val="21"/>
        </w:rPr>
      </w:pPr>
    </w:p>
    <w:p w14:paraId="47B8FD37" w14:textId="77777777" w:rsidR="00E83108" w:rsidRDefault="00E83108" w:rsidP="00E83108">
      <w:pPr>
        <w:adjustRightInd w:val="0"/>
        <w:ind w:left="15" w:firstLine="720"/>
        <w:jc w:val="both"/>
        <w:rPr>
          <w:rFonts w:ascii="Abadi" w:hAnsi="Abadi" w:cs="Arial"/>
          <w:color w:val="000000"/>
          <w:sz w:val="21"/>
          <w:szCs w:val="21"/>
        </w:rPr>
      </w:pPr>
      <w:r w:rsidRPr="00141738">
        <w:rPr>
          <w:rFonts w:ascii="Abadi" w:hAnsi="Abadi" w:cs="Arial"/>
          <w:color w:val="000000"/>
          <w:sz w:val="21"/>
          <w:szCs w:val="21"/>
        </w:rPr>
        <w:t>Los municipios podrán participar mediante convenio con la Secretaría para poder conformar el registro.»</w:t>
      </w:r>
    </w:p>
    <w:p w14:paraId="54E465CB" w14:textId="77777777" w:rsidR="00143FFC" w:rsidRPr="00141738" w:rsidRDefault="00143FFC" w:rsidP="00E83108">
      <w:pPr>
        <w:adjustRightInd w:val="0"/>
        <w:ind w:left="15" w:firstLine="720"/>
        <w:jc w:val="both"/>
        <w:rPr>
          <w:rFonts w:ascii="Abadi" w:hAnsi="Abadi" w:cs="Arial"/>
          <w:color w:val="000000"/>
          <w:sz w:val="21"/>
          <w:szCs w:val="21"/>
        </w:rPr>
      </w:pPr>
    </w:p>
    <w:p w14:paraId="1ED6F98E" w14:textId="77777777" w:rsidR="00E83108" w:rsidRPr="00141738" w:rsidRDefault="00E83108" w:rsidP="00E83108">
      <w:pPr>
        <w:autoSpaceDE w:val="0"/>
        <w:autoSpaceDN w:val="0"/>
        <w:adjustRightInd w:val="0"/>
        <w:ind w:left="15"/>
        <w:contextualSpacing/>
        <w:jc w:val="center"/>
        <w:rPr>
          <w:rFonts w:ascii="Abadi" w:hAnsi="Abadi" w:cs="Arial"/>
          <w:b/>
          <w:bCs/>
          <w:color w:val="000000"/>
          <w:sz w:val="21"/>
          <w:szCs w:val="21"/>
        </w:rPr>
      </w:pPr>
      <w:r w:rsidRPr="00141738">
        <w:rPr>
          <w:rFonts w:ascii="Abadi" w:hAnsi="Abadi" w:cs="Arial"/>
          <w:b/>
          <w:bCs/>
          <w:color w:val="000000"/>
          <w:sz w:val="21"/>
          <w:szCs w:val="21"/>
        </w:rPr>
        <w:t>TRANSITORIOS</w:t>
      </w:r>
    </w:p>
    <w:p w14:paraId="38307682" w14:textId="77777777" w:rsidR="00E83108" w:rsidRPr="00141738" w:rsidRDefault="00E83108" w:rsidP="00E83108">
      <w:pPr>
        <w:autoSpaceDE w:val="0"/>
        <w:autoSpaceDN w:val="0"/>
        <w:adjustRightInd w:val="0"/>
        <w:ind w:left="15"/>
        <w:contextualSpacing/>
        <w:jc w:val="center"/>
        <w:rPr>
          <w:rFonts w:ascii="Abadi" w:hAnsi="Abadi" w:cs="Arial"/>
          <w:b/>
          <w:bCs/>
          <w:color w:val="000000"/>
          <w:sz w:val="21"/>
          <w:szCs w:val="21"/>
        </w:rPr>
      </w:pPr>
    </w:p>
    <w:p w14:paraId="363F1C5D" w14:textId="77777777" w:rsidR="00E83108" w:rsidRPr="00141738" w:rsidRDefault="00E83108" w:rsidP="00E83108">
      <w:pPr>
        <w:autoSpaceDE w:val="0"/>
        <w:autoSpaceDN w:val="0"/>
        <w:adjustRightInd w:val="0"/>
        <w:ind w:left="15" w:firstLine="693"/>
        <w:contextualSpacing/>
        <w:jc w:val="both"/>
        <w:rPr>
          <w:rFonts w:ascii="Abadi" w:hAnsi="Abadi" w:cs="Arial"/>
          <w:color w:val="000000"/>
          <w:sz w:val="21"/>
          <w:szCs w:val="21"/>
        </w:rPr>
      </w:pPr>
      <w:r w:rsidRPr="00141738">
        <w:rPr>
          <w:rFonts w:ascii="Abadi" w:hAnsi="Abadi" w:cs="Arial"/>
          <w:b/>
          <w:bCs/>
          <w:color w:val="000000"/>
          <w:sz w:val="21"/>
          <w:szCs w:val="21"/>
        </w:rPr>
        <w:t>Artículo primero.</w:t>
      </w:r>
      <w:r w:rsidRPr="00141738">
        <w:rPr>
          <w:rFonts w:ascii="Abadi" w:hAnsi="Abadi" w:cs="Arial"/>
          <w:color w:val="000000"/>
          <w:sz w:val="21"/>
          <w:szCs w:val="21"/>
        </w:rPr>
        <w:t xml:space="preserve"> El presente decreto entrará en vigor al día siguiente de su publicación en el Periódico Oficial del Gobierno del Estado de Guanajuato.</w:t>
      </w:r>
    </w:p>
    <w:p w14:paraId="2E2FEC09" w14:textId="77777777" w:rsidR="00E83108" w:rsidRPr="00141738" w:rsidRDefault="00E83108" w:rsidP="00E83108">
      <w:pPr>
        <w:autoSpaceDE w:val="0"/>
        <w:autoSpaceDN w:val="0"/>
        <w:adjustRightInd w:val="0"/>
        <w:ind w:left="15" w:firstLine="693"/>
        <w:contextualSpacing/>
        <w:jc w:val="both"/>
        <w:rPr>
          <w:rFonts w:ascii="Abadi" w:hAnsi="Abadi" w:cs="Arial"/>
          <w:color w:val="000000"/>
          <w:sz w:val="21"/>
          <w:szCs w:val="21"/>
        </w:rPr>
      </w:pPr>
    </w:p>
    <w:p w14:paraId="7F7EDD59" w14:textId="77777777" w:rsidR="00E83108" w:rsidRPr="00141738" w:rsidRDefault="00E83108" w:rsidP="00E83108">
      <w:pPr>
        <w:autoSpaceDE w:val="0"/>
        <w:autoSpaceDN w:val="0"/>
        <w:adjustRightInd w:val="0"/>
        <w:ind w:left="15" w:firstLine="693"/>
        <w:contextualSpacing/>
        <w:jc w:val="both"/>
        <w:rPr>
          <w:rFonts w:ascii="Abadi" w:hAnsi="Abadi" w:cs="Arial"/>
          <w:color w:val="000000"/>
          <w:sz w:val="21"/>
          <w:szCs w:val="21"/>
        </w:rPr>
      </w:pPr>
    </w:p>
    <w:p w14:paraId="40FE957F" w14:textId="685F6B6D" w:rsidR="00E83108" w:rsidRPr="00141738" w:rsidRDefault="00E83108" w:rsidP="00E83108">
      <w:pPr>
        <w:autoSpaceDE w:val="0"/>
        <w:autoSpaceDN w:val="0"/>
        <w:adjustRightInd w:val="0"/>
        <w:ind w:left="15" w:firstLine="693"/>
        <w:contextualSpacing/>
        <w:jc w:val="both"/>
        <w:rPr>
          <w:rFonts w:ascii="Abadi" w:eastAsia="Arial Unicode MS" w:hAnsi="Abadi" w:cs="Arial"/>
          <w:b/>
          <w:sz w:val="21"/>
          <w:szCs w:val="21"/>
        </w:rPr>
      </w:pPr>
      <w:r w:rsidRPr="00141738">
        <w:rPr>
          <w:rFonts w:ascii="Abadi" w:hAnsi="Abadi" w:cs="Arial"/>
          <w:b/>
          <w:bCs/>
          <w:color w:val="000000"/>
          <w:sz w:val="21"/>
          <w:szCs w:val="21"/>
        </w:rPr>
        <w:t>Artículo segundo.</w:t>
      </w:r>
      <w:r w:rsidRPr="00141738">
        <w:rPr>
          <w:rFonts w:ascii="Abadi" w:hAnsi="Abadi" w:cs="Arial"/>
          <w:color w:val="000000"/>
          <w:sz w:val="21"/>
          <w:szCs w:val="21"/>
        </w:rPr>
        <w:t xml:space="preserve"> El Poder Ejecutivo del Estado contará con un término de ciento ochenta días a partir de la publicación del presente decreto en el Periódico Oficial del Gobierno del Estado para la adecuación de los reglamentos respectivos y demás disposiciones administrativas de carácter general.</w:t>
      </w:r>
    </w:p>
    <w:p w14:paraId="01B9EDDA" w14:textId="77777777" w:rsidR="00E83108" w:rsidRPr="00141738" w:rsidRDefault="00E83108" w:rsidP="00E83108">
      <w:pPr>
        <w:pStyle w:val="Sinespaciado"/>
        <w:spacing w:line="276" w:lineRule="auto"/>
        <w:ind w:firstLine="708"/>
        <w:jc w:val="center"/>
        <w:rPr>
          <w:rFonts w:ascii="Abadi" w:eastAsia="Arial Unicode MS" w:hAnsi="Abadi" w:cs="Arial"/>
          <w:b/>
          <w:sz w:val="21"/>
          <w:szCs w:val="21"/>
        </w:rPr>
      </w:pPr>
    </w:p>
    <w:p w14:paraId="2608D000" w14:textId="77777777" w:rsidR="00E83108" w:rsidRPr="00141738" w:rsidRDefault="00E83108" w:rsidP="00E83108">
      <w:pPr>
        <w:pStyle w:val="Sinespaciado"/>
        <w:spacing w:line="276" w:lineRule="auto"/>
        <w:ind w:firstLine="708"/>
        <w:jc w:val="both"/>
        <w:rPr>
          <w:rFonts w:ascii="Abadi" w:eastAsia="Arial Unicode MS" w:hAnsi="Abadi" w:cs="Arial"/>
          <w:sz w:val="21"/>
          <w:szCs w:val="21"/>
        </w:rPr>
      </w:pPr>
    </w:p>
    <w:p w14:paraId="3B20584E" w14:textId="77777777" w:rsidR="00E83108" w:rsidRPr="00141738" w:rsidRDefault="00E83108" w:rsidP="00E83108">
      <w:pPr>
        <w:pStyle w:val="Sinespaciado"/>
        <w:spacing w:line="276" w:lineRule="auto"/>
        <w:ind w:firstLine="708"/>
        <w:jc w:val="center"/>
        <w:rPr>
          <w:rFonts w:ascii="Abadi" w:eastAsia="Arial Unicode MS" w:hAnsi="Abadi" w:cs="Arial"/>
          <w:b/>
          <w:sz w:val="21"/>
          <w:szCs w:val="21"/>
        </w:rPr>
      </w:pPr>
      <w:r w:rsidRPr="00141738">
        <w:rPr>
          <w:rFonts w:ascii="Abadi" w:eastAsia="Arial Unicode MS" w:hAnsi="Abadi" w:cs="Arial"/>
          <w:b/>
          <w:sz w:val="21"/>
          <w:szCs w:val="21"/>
        </w:rPr>
        <w:t xml:space="preserve">Guanajuato, </w:t>
      </w:r>
      <w:proofErr w:type="spellStart"/>
      <w:r w:rsidRPr="00141738">
        <w:rPr>
          <w:rFonts w:ascii="Abadi" w:eastAsia="Arial Unicode MS" w:hAnsi="Abadi" w:cs="Arial"/>
          <w:b/>
          <w:sz w:val="21"/>
          <w:szCs w:val="21"/>
        </w:rPr>
        <w:t>Gto</w:t>
      </w:r>
      <w:proofErr w:type="spellEnd"/>
      <w:r w:rsidRPr="00141738">
        <w:rPr>
          <w:rFonts w:ascii="Abadi" w:eastAsia="Arial Unicode MS" w:hAnsi="Abadi" w:cs="Arial"/>
          <w:b/>
          <w:sz w:val="21"/>
          <w:szCs w:val="21"/>
        </w:rPr>
        <w:t>., 20 de junio de 2023</w:t>
      </w:r>
    </w:p>
    <w:p w14:paraId="62E88D0A" w14:textId="77777777" w:rsidR="00E83108" w:rsidRPr="00141738" w:rsidRDefault="00E83108" w:rsidP="00E83108">
      <w:pPr>
        <w:pStyle w:val="Sinespaciado"/>
        <w:spacing w:line="276" w:lineRule="auto"/>
        <w:ind w:firstLine="708"/>
        <w:jc w:val="center"/>
        <w:rPr>
          <w:rFonts w:ascii="Abadi" w:eastAsia="Arial Unicode MS" w:hAnsi="Abadi" w:cs="Arial"/>
          <w:b/>
          <w:sz w:val="21"/>
          <w:szCs w:val="21"/>
        </w:rPr>
      </w:pPr>
      <w:r w:rsidRPr="00141738">
        <w:rPr>
          <w:rFonts w:ascii="Abadi" w:eastAsia="Arial Unicode MS" w:hAnsi="Abadi" w:cs="Arial"/>
          <w:b/>
          <w:sz w:val="21"/>
          <w:szCs w:val="21"/>
        </w:rPr>
        <w:t>La Comisión de Fomento Agropecuario</w:t>
      </w:r>
    </w:p>
    <w:p w14:paraId="7CAB016E" w14:textId="77777777" w:rsidR="0038214E" w:rsidRDefault="0038214E" w:rsidP="00C102EE">
      <w:pPr>
        <w:pStyle w:val="Sinespaciado"/>
        <w:spacing w:line="276" w:lineRule="auto"/>
        <w:ind w:hanging="9"/>
        <w:jc w:val="center"/>
        <w:rPr>
          <w:rFonts w:ascii="Abadi" w:eastAsia="Arial Unicode MS" w:hAnsi="Abadi" w:cs="Arial"/>
          <w:b/>
          <w:sz w:val="21"/>
          <w:szCs w:val="21"/>
        </w:rPr>
      </w:pPr>
    </w:p>
    <w:p w14:paraId="7528225E" w14:textId="77777777" w:rsidR="005765CB" w:rsidRDefault="005765CB" w:rsidP="00C102EE">
      <w:pPr>
        <w:pStyle w:val="Sinespaciado"/>
        <w:spacing w:line="276" w:lineRule="auto"/>
        <w:ind w:hanging="9"/>
        <w:jc w:val="center"/>
        <w:rPr>
          <w:rFonts w:ascii="Abadi" w:eastAsia="Arial Unicode MS" w:hAnsi="Abadi" w:cs="Arial"/>
          <w:b/>
          <w:sz w:val="21"/>
          <w:szCs w:val="21"/>
        </w:rPr>
      </w:pPr>
    </w:p>
    <w:p w14:paraId="2218A73B" w14:textId="5CC7E22D" w:rsidR="005765CB" w:rsidRDefault="005765CB" w:rsidP="00C102EE">
      <w:pPr>
        <w:pStyle w:val="Sinespaciado"/>
        <w:spacing w:line="276" w:lineRule="auto"/>
        <w:ind w:hanging="9"/>
        <w:jc w:val="center"/>
        <w:rPr>
          <w:rFonts w:ascii="Abadi" w:eastAsia="Arial Unicode MS" w:hAnsi="Abadi" w:cs="Arial"/>
          <w:b/>
          <w:sz w:val="21"/>
          <w:szCs w:val="21"/>
        </w:rPr>
      </w:pPr>
      <w:r>
        <w:rPr>
          <w:rFonts w:ascii="Abadi" w:eastAsia="Arial Unicode MS" w:hAnsi="Abadi" w:cs="Arial"/>
          <w:b/>
          <w:sz w:val="21"/>
          <w:szCs w:val="21"/>
        </w:rPr>
        <w:t>Diputado Jorge Ortiz Ortega</w:t>
      </w:r>
    </w:p>
    <w:p w14:paraId="665281A7" w14:textId="3BD6183F" w:rsidR="005765CB" w:rsidRDefault="005765CB" w:rsidP="00C102EE">
      <w:pPr>
        <w:pStyle w:val="Sinespaciado"/>
        <w:spacing w:line="276" w:lineRule="auto"/>
        <w:ind w:hanging="9"/>
        <w:jc w:val="center"/>
        <w:rPr>
          <w:rFonts w:ascii="Abadi" w:eastAsia="Arial Unicode MS" w:hAnsi="Abadi" w:cs="Arial"/>
          <w:b/>
          <w:sz w:val="21"/>
          <w:szCs w:val="21"/>
        </w:rPr>
      </w:pPr>
      <w:r>
        <w:rPr>
          <w:rFonts w:ascii="Abadi" w:eastAsia="Arial Unicode MS" w:hAnsi="Abadi" w:cs="Arial"/>
          <w:b/>
          <w:sz w:val="21"/>
          <w:szCs w:val="21"/>
        </w:rPr>
        <w:t>Presidente</w:t>
      </w:r>
    </w:p>
    <w:p w14:paraId="74C95EC1" w14:textId="77777777" w:rsidR="005765CB" w:rsidRDefault="005765CB" w:rsidP="00C102EE">
      <w:pPr>
        <w:pStyle w:val="Sinespaciado"/>
        <w:spacing w:line="276" w:lineRule="auto"/>
        <w:ind w:hanging="9"/>
        <w:jc w:val="center"/>
        <w:rPr>
          <w:rFonts w:ascii="Abadi" w:eastAsia="Arial Unicode MS" w:hAnsi="Abadi" w:cs="Arial"/>
          <w:b/>
          <w:sz w:val="21"/>
          <w:szCs w:val="21"/>
        </w:rPr>
      </w:pPr>
    </w:p>
    <w:p w14:paraId="1750BBA6" w14:textId="1ACC1399" w:rsidR="00C102EE" w:rsidRPr="00141738" w:rsidRDefault="00C102EE" w:rsidP="00C102EE">
      <w:pPr>
        <w:pStyle w:val="Sinespaciado"/>
        <w:spacing w:line="276" w:lineRule="auto"/>
        <w:ind w:hanging="9"/>
        <w:jc w:val="center"/>
        <w:rPr>
          <w:rFonts w:ascii="Abadi" w:eastAsia="Arial Unicode MS" w:hAnsi="Abadi" w:cs="Arial"/>
          <w:b/>
          <w:sz w:val="21"/>
          <w:szCs w:val="21"/>
        </w:rPr>
      </w:pPr>
      <w:proofErr w:type="spellStart"/>
      <w:r w:rsidRPr="00141738">
        <w:rPr>
          <w:rFonts w:ascii="Abadi" w:eastAsia="Arial Unicode MS" w:hAnsi="Abadi" w:cs="Arial"/>
          <w:b/>
          <w:sz w:val="21"/>
          <w:szCs w:val="21"/>
        </w:rPr>
        <w:t>Dip</w:t>
      </w:r>
      <w:proofErr w:type="spellEnd"/>
      <w:r w:rsidRPr="00141738">
        <w:rPr>
          <w:rFonts w:ascii="Abadi" w:eastAsia="Arial Unicode MS" w:hAnsi="Abadi" w:cs="Arial"/>
          <w:b/>
          <w:sz w:val="21"/>
          <w:szCs w:val="21"/>
        </w:rPr>
        <w:t>. Martha Lourdes Ortega Roque</w:t>
      </w:r>
    </w:p>
    <w:p w14:paraId="0A3984EC" w14:textId="58BEB620" w:rsidR="00143FFC" w:rsidRDefault="00C102EE" w:rsidP="00E83108">
      <w:pPr>
        <w:pStyle w:val="Sinespaciado"/>
        <w:spacing w:line="276" w:lineRule="auto"/>
        <w:ind w:firstLine="708"/>
        <w:jc w:val="both"/>
        <w:rPr>
          <w:rFonts w:ascii="Abadi" w:eastAsia="Arial Unicode MS" w:hAnsi="Abadi" w:cs="Arial"/>
          <w:b/>
          <w:sz w:val="21"/>
          <w:szCs w:val="21"/>
        </w:rPr>
      </w:pPr>
      <w:r w:rsidRPr="00141738">
        <w:rPr>
          <w:rFonts w:ascii="Abadi" w:eastAsia="Arial Unicode MS" w:hAnsi="Abadi" w:cs="Arial"/>
          <w:b/>
          <w:sz w:val="21"/>
          <w:szCs w:val="21"/>
        </w:rPr>
        <w:t>Secretaria</w:t>
      </w:r>
    </w:p>
    <w:p w14:paraId="47BD9F57" w14:textId="77777777" w:rsidR="00C102EE" w:rsidRDefault="00C102EE" w:rsidP="00C102EE">
      <w:pPr>
        <w:pStyle w:val="Sinespaciado"/>
        <w:spacing w:line="276" w:lineRule="auto"/>
        <w:jc w:val="center"/>
        <w:rPr>
          <w:rFonts w:ascii="Abadi" w:eastAsia="Arial Unicode MS" w:hAnsi="Abadi" w:cs="Arial"/>
          <w:b/>
          <w:sz w:val="21"/>
          <w:szCs w:val="21"/>
        </w:rPr>
      </w:pPr>
    </w:p>
    <w:p w14:paraId="7BF4D668" w14:textId="62D2B02D" w:rsidR="00C102EE" w:rsidRDefault="00C102EE" w:rsidP="00C102EE">
      <w:pPr>
        <w:pStyle w:val="Sinespaciado"/>
        <w:spacing w:line="276" w:lineRule="auto"/>
        <w:jc w:val="center"/>
        <w:rPr>
          <w:rFonts w:ascii="Abadi" w:eastAsia="Arial Unicode MS" w:hAnsi="Abadi" w:cs="Arial"/>
          <w:b/>
          <w:sz w:val="21"/>
          <w:szCs w:val="21"/>
        </w:rPr>
      </w:pPr>
      <w:proofErr w:type="spellStart"/>
      <w:r w:rsidRPr="00141738">
        <w:rPr>
          <w:rFonts w:ascii="Abadi" w:eastAsia="Arial Unicode MS" w:hAnsi="Abadi" w:cs="Arial"/>
          <w:b/>
          <w:sz w:val="21"/>
          <w:szCs w:val="21"/>
        </w:rPr>
        <w:t>Dip</w:t>
      </w:r>
      <w:proofErr w:type="spellEnd"/>
      <w:r w:rsidRPr="00141738">
        <w:rPr>
          <w:rFonts w:ascii="Abadi" w:eastAsia="Arial Unicode MS" w:hAnsi="Abadi" w:cs="Arial"/>
          <w:b/>
          <w:sz w:val="21"/>
          <w:szCs w:val="21"/>
        </w:rPr>
        <w:t>. Armando Rangel Hernández</w:t>
      </w:r>
    </w:p>
    <w:p w14:paraId="1EEDFB43" w14:textId="6EBC5495" w:rsidR="005765CB" w:rsidRDefault="005765CB" w:rsidP="00C102EE">
      <w:pPr>
        <w:pStyle w:val="Sinespaciado"/>
        <w:spacing w:line="276" w:lineRule="auto"/>
        <w:jc w:val="center"/>
        <w:rPr>
          <w:rFonts w:ascii="Abadi" w:eastAsia="Arial Unicode MS" w:hAnsi="Abadi" w:cs="Arial"/>
          <w:b/>
          <w:sz w:val="21"/>
          <w:szCs w:val="21"/>
        </w:rPr>
      </w:pPr>
      <w:r>
        <w:rPr>
          <w:rFonts w:ascii="Abadi" w:eastAsia="Arial Unicode MS" w:hAnsi="Abadi" w:cs="Arial"/>
          <w:b/>
          <w:sz w:val="21"/>
          <w:szCs w:val="21"/>
        </w:rPr>
        <w:t>Vocal</w:t>
      </w:r>
    </w:p>
    <w:p w14:paraId="2CE5CCE7" w14:textId="77777777" w:rsidR="005765CB" w:rsidRDefault="005765CB" w:rsidP="00C102EE">
      <w:pPr>
        <w:pStyle w:val="Sinespaciado"/>
        <w:spacing w:line="276" w:lineRule="auto"/>
        <w:jc w:val="center"/>
        <w:rPr>
          <w:rFonts w:ascii="Abadi" w:eastAsia="Arial Unicode MS" w:hAnsi="Abadi" w:cs="Arial"/>
          <w:b/>
          <w:sz w:val="21"/>
          <w:szCs w:val="21"/>
        </w:rPr>
      </w:pPr>
    </w:p>
    <w:p w14:paraId="392D6D70" w14:textId="27F8B593" w:rsidR="0040275F" w:rsidRDefault="00986CA2" w:rsidP="00C102EE">
      <w:pPr>
        <w:pStyle w:val="Sinespaciado"/>
        <w:spacing w:line="276" w:lineRule="auto"/>
        <w:jc w:val="center"/>
        <w:rPr>
          <w:rFonts w:ascii="Abadi" w:eastAsia="Arial Unicode MS" w:hAnsi="Abadi" w:cs="Arial"/>
          <w:b/>
          <w:sz w:val="21"/>
          <w:szCs w:val="21"/>
        </w:rPr>
      </w:pPr>
      <w:proofErr w:type="spellStart"/>
      <w:r>
        <w:rPr>
          <w:rFonts w:ascii="Abadi" w:eastAsia="Arial Unicode MS" w:hAnsi="Abadi" w:cs="Arial"/>
          <w:b/>
          <w:sz w:val="21"/>
          <w:szCs w:val="21"/>
        </w:rPr>
        <w:t>Dip</w:t>
      </w:r>
      <w:proofErr w:type="spellEnd"/>
      <w:r>
        <w:rPr>
          <w:rFonts w:ascii="Abadi" w:eastAsia="Arial Unicode MS" w:hAnsi="Abadi" w:cs="Arial"/>
          <w:b/>
          <w:sz w:val="21"/>
          <w:szCs w:val="21"/>
        </w:rPr>
        <w:t xml:space="preserve">. </w:t>
      </w:r>
      <w:proofErr w:type="gramStart"/>
      <w:r>
        <w:rPr>
          <w:rFonts w:ascii="Abadi" w:eastAsia="Arial Unicode MS" w:hAnsi="Abadi" w:cs="Arial"/>
          <w:b/>
          <w:sz w:val="21"/>
          <w:szCs w:val="21"/>
        </w:rPr>
        <w:t xml:space="preserve">César  </w:t>
      </w:r>
      <w:r w:rsidR="0038214E">
        <w:rPr>
          <w:rFonts w:ascii="Abadi" w:eastAsia="Arial Unicode MS" w:hAnsi="Abadi" w:cs="Arial"/>
          <w:b/>
          <w:sz w:val="21"/>
          <w:szCs w:val="21"/>
        </w:rPr>
        <w:t>Larrondo</w:t>
      </w:r>
      <w:proofErr w:type="gramEnd"/>
      <w:r w:rsidR="0038214E">
        <w:rPr>
          <w:rFonts w:ascii="Abadi" w:eastAsia="Arial Unicode MS" w:hAnsi="Abadi" w:cs="Arial"/>
          <w:b/>
          <w:sz w:val="21"/>
          <w:szCs w:val="21"/>
        </w:rPr>
        <w:t xml:space="preserve"> Díaz</w:t>
      </w:r>
    </w:p>
    <w:p w14:paraId="2E2620AC" w14:textId="2C2A339B" w:rsidR="0038214E" w:rsidRDefault="0038214E" w:rsidP="00C102EE">
      <w:pPr>
        <w:pStyle w:val="Sinespaciado"/>
        <w:spacing w:line="276" w:lineRule="auto"/>
        <w:jc w:val="center"/>
        <w:rPr>
          <w:rFonts w:ascii="Abadi" w:eastAsia="Arial Unicode MS" w:hAnsi="Abadi" w:cs="Arial"/>
          <w:b/>
          <w:sz w:val="21"/>
          <w:szCs w:val="21"/>
        </w:rPr>
      </w:pPr>
      <w:r>
        <w:rPr>
          <w:rFonts w:ascii="Abadi" w:eastAsia="Arial Unicode MS" w:hAnsi="Abadi" w:cs="Arial"/>
          <w:b/>
          <w:sz w:val="21"/>
          <w:szCs w:val="21"/>
        </w:rPr>
        <w:t>Vocal</w:t>
      </w:r>
    </w:p>
    <w:p w14:paraId="5E2ED2EC" w14:textId="77777777" w:rsidR="00C102EE" w:rsidRDefault="00C102EE" w:rsidP="00C102EE">
      <w:pPr>
        <w:pStyle w:val="Sinespaciado"/>
        <w:spacing w:line="276" w:lineRule="auto"/>
        <w:jc w:val="center"/>
        <w:rPr>
          <w:rFonts w:ascii="Abadi" w:eastAsia="Arial Unicode MS" w:hAnsi="Abadi" w:cs="Arial"/>
          <w:b/>
          <w:sz w:val="21"/>
          <w:szCs w:val="21"/>
        </w:rPr>
      </w:pPr>
    </w:p>
    <w:p w14:paraId="09F74C19" w14:textId="77777777" w:rsidR="00C102EE" w:rsidRPr="00141738" w:rsidRDefault="00C102EE" w:rsidP="005765CB">
      <w:pPr>
        <w:pStyle w:val="Sinespaciado"/>
        <w:spacing w:line="276" w:lineRule="auto"/>
        <w:ind w:hanging="9"/>
        <w:jc w:val="center"/>
        <w:rPr>
          <w:rFonts w:ascii="Abadi" w:eastAsia="Arial Unicode MS" w:hAnsi="Abadi" w:cs="Arial"/>
          <w:b/>
          <w:sz w:val="21"/>
          <w:szCs w:val="21"/>
        </w:rPr>
      </w:pPr>
      <w:proofErr w:type="spellStart"/>
      <w:r w:rsidRPr="00141738">
        <w:rPr>
          <w:rFonts w:ascii="Abadi" w:eastAsia="Arial Unicode MS" w:hAnsi="Abadi" w:cs="Arial"/>
          <w:b/>
          <w:sz w:val="21"/>
          <w:szCs w:val="21"/>
        </w:rPr>
        <w:t>Dip</w:t>
      </w:r>
      <w:proofErr w:type="spellEnd"/>
      <w:r w:rsidRPr="00141738">
        <w:rPr>
          <w:rFonts w:ascii="Abadi" w:eastAsia="Arial Unicode MS" w:hAnsi="Abadi" w:cs="Arial"/>
          <w:b/>
          <w:sz w:val="21"/>
          <w:szCs w:val="21"/>
        </w:rPr>
        <w:t>. Ernesto Alejandro Prieto Gallardo</w:t>
      </w:r>
    </w:p>
    <w:p w14:paraId="6EC3DEA9" w14:textId="77777777" w:rsidR="0038214E" w:rsidRDefault="0038214E" w:rsidP="0038214E">
      <w:pPr>
        <w:pStyle w:val="Sinespaciado"/>
        <w:spacing w:line="276" w:lineRule="auto"/>
        <w:jc w:val="center"/>
        <w:rPr>
          <w:rFonts w:ascii="Abadi" w:eastAsia="Arial Unicode MS" w:hAnsi="Abadi" w:cs="Arial"/>
          <w:b/>
          <w:sz w:val="21"/>
          <w:szCs w:val="21"/>
        </w:rPr>
      </w:pPr>
      <w:r w:rsidRPr="00141738">
        <w:rPr>
          <w:rFonts w:ascii="Abadi" w:eastAsia="Arial Unicode MS" w:hAnsi="Abadi" w:cs="Arial"/>
          <w:b/>
          <w:sz w:val="21"/>
          <w:szCs w:val="21"/>
        </w:rPr>
        <w:t>Vocal</w:t>
      </w:r>
    </w:p>
    <w:p w14:paraId="04FA1B55" w14:textId="77777777" w:rsidR="00C102EE" w:rsidRDefault="00C102EE" w:rsidP="00C102EE">
      <w:pPr>
        <w:pStyle w:val="Sinespaciado"/>
        <w:spacing w:line="276" w:lineRule="auto"/>
        <w:jc w:val="center"/>
        <w:rPr>
          <w:rFonts w:ascii="Abadi" w:eastAsia="Arial Unicode MS" w:hAnsi="Abadi" w:cs="Arial"/>
          <w:b/>
          <w:sz w:val="21"/>
          <w:szCs w:val="21"/>
        </w:rPr>
      </w:pPr>
    </w:p>
    <w:p w14:paraId="5C886F37" w14:textId="77777777" w:rsidR="005765CB" w:rsidRDefault="005765CB" w:rsidP="00C102EE">
      <w:pPr>
        <w:pStyle w:val="Sinespaciado"/>
        <w:spacing w:line="276" w:lineRule="auto"/>
        <w:jc w:val="center"/>
        <w:rPr>
          <w:rFonts w:ascii="Abadi" w:eastAsia="Arial Unicode MS" w:hAnsi="Abadi" w:cs="Arial"/>
          <w:b/>
          <w:sz w:val="21"/>
          <w:szCs w:val="21"/>
        </w:rPr>
      </w:pPr>
    </w:p>
    <w:p w14:paraId="61153F1B" w14:textId="2CBD7BE5" w:rsidR="00A9293E" w:rsidRDefault="00A9293E" w:rsidP="00A9293E">
      <w:pPr>
        <w:jc w:val="both"/>
        <w:rPr>
          <w:rFonts w:ascii="Abadi" w:hAnsi="Abadi"/>
          <w:b/>
          <w:bCs/>
          <w:sz w:val="21"/>
          <w:szCs w:val="21"/>
        </w:rPr>
      </w:pPr>
      <w:r>
        <w:rPr>
          <w:rFonts w:ascii="Abadi" w:hAnsi="Abadi"/>
          <w:b/>
          <w:bCs/>
          <w:sz w:val="21"/>
          <w:szCs w:val="21"/>
        </w:rPr>
        <w:tab/>
      </w:r>
      <w:r w:rsidRPr="00365CAB">
        <w:rPr>
          <w:rFonts w:ascii="Abadi" w:hAnsi="Abadi"/>
          <w:b/>
          <w:bCs/>
          <w:sz w:val="21"/>
          <w:szCs w:val="21"/>
        </w:rPr>
        <w:t xml:space="preserve">- La </w:t>
      </w:r>
      <w:proofErr w:type="gramStart"/>
      <w:r w:rsidRPr="00365CAB">
        <w:rPr>
          <w:rFonts w:ascii="Abadi" w:hAnsi="Abadi"/>
          <w:b/>
          <w:bCs/>
          <w:sz w:val="21"/>
          <w:szCs w:val="21"/>
        </w:rPr>
        <w:t>Presidencia.-</w:t>
      </w:r>
      <w:proofErr w:type="gramEnd"/>
      <w:r w:rsidRPr="00365CAB">
        <w:rPr>
          <w:rFonts w:ascii="Abadi" w:hAnsi="Abadi"/>
          <w:b/>
          <w:bCs/>
          <w:sz w:val="21"/>
          <w:szCs w:val="21"/>
        </w:rPr>
        <w:t xml:space="preserve"> </w:t>
      </w:r>
      <w:r>
        <w:rPr>
          <w:rFonts w:ascii="Abadi" w:hAnsi="Abadi"/>
          <w:sz w:val="21"/>
          <w:szCs w:val="21"/>
        </w:rPr>
        <w:t>E</w:t>
      </w:r>
      <w:r w:rsidRPr="0030088F">
        <w:rPr>
          <w:rFonts w:ascii="Abadi" w:hAnsi="Abadi"/>
          <w:sz w:val="21"/>
          <w:szCs w:val="21"/>
        </w:rPr>
        <w:t xml:space="preserve">nseguida se somete a discusión en lo general el dictamen formulado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F</w:t>
      </w:r>
      <w:r w:rsidRPr="0030088F">
        <w:rPr>
          <w:rFonts w:ascii="Abadi" w:hAnsi="Abadi"/>
          <w:sz w:val="21"/>
          <w:szCs w:val="21"/>
        </w:rPr>
        <w:t xml:space="preserve">omento </w:t>
      </w:r>
      <w:r>
        <w:rPr>
          <w:rFonts w:ascii="Abadi" w:hAnsi="Abadi"/>
          <w:sz w:val="21"/>
          <w:szCs w:val="21"/>
        </w:rPr>
        <w:t>A</w:t>
      </w:r>
      <w:r w:rsidRPr="0030088F">
        <w:rPr>
          <w:rFonts w:ascii="Abadi" w:hAnsi="Abadi"/>
          <w:sz w:val="21"/>
          <w:szCs w:val="21"/>
        </w:rPr>
        <w:t>gropecuario correspondiente al punto 24 del orden del día</w:t>
      </w:r>
      <w:r>
        <w:rPr>
          <w:rFonts w:ascii="Abadi" w:hAnsi="Abadi"/>
          <w:sz w:val="21"/>
          <w:szCs w:val="21"/>
        </w:rPr>
        <w:t xml:space="preserve">. </w:t>
      </w:r>
      <w:r w:rsidRPr="00365CAB">
        <w:rPr>
          <w:rFonts w:ascii="Abadi" w:hAnsi="Abadi"/>
          <w:b/>
          <w:bCs/>
          <w:sz w:val="21"/>
          <w:szCs w:val="21"/>
        </w:rPr>
        <w:t>(ELD 337/LXV-I)</w:t>
      </w:r>
    </w:p>
    <w:p w14:paraId="6DD59002" w14:textId="77777777" w:rsidR="00A9293E" w:rsidRPr="00365CAB" w:rsidRDefault="00A9293E" w:rsidP="00A9293E">
      <w:pPr>
        <w:jc w:val="both"/>
        <w:rPr>
          <w:rFonts w:ascii="Abadi" w:hAnsi="Abadi"/>
          <w:b/>
          <w:bCs/>
          <w:sz w:val="21"/>
          <w:szCs w:val="21"/>
        </w:rPr>
      </w:pPr>
    </w:p>
    <w:p w14:paraId="0722E92C" w14:textId="40BAA988" w:rsidR="00A9293E" w:rsidRDefault="00A9293E" w:rsidP="00A9293E">
      <w:pPr>
        <w:jc w:val="both"/>
        <w:rPr>
          <w:rFonts w:ascii="Abadi" w:hAnsi="Abadi"/>
          <w:sz w:val="21"/>
          <w:szCs w:val="21"/>
        </w:rPr>
      </w:pPr>
      <w:r>
        <w:rPr>
          <w:rFonts w:ascii="Abadi" w:hAnsi="Abadi"/>
          <w:sz w:val="21"/>
          <w:szCs w:val="21"/>
        </w:rPr>
        <w:tab/>
        <w:t>- S</w:t>
      </w:r>
      <w:r w:rsidRPr="0030088F">
        <w:rPr>
          <w:rFonts w:ascii="Abadi" w:hAnsi="Abadi"/>
          <w:sz w:val="21"/>
          <w:szCs w:val="21"/>
        </w:rPr>
        <w:t xml:space="preserve">í desean hacer uso de la palabra a favor </w:t>
      </w:r>
      <w:r>
        <w:rPr>
          <w:rFonts w:ascii="Abadi" w:hAnsi="Abadi"/>
          <w:sz w:val="21"/>
          <w:szCs w:val="21"/>
        </w:rPr>
        <w:t xml:space="preserve">o </w:t>
      </w:r>
      <w:r w:rsidRPr="0030088F">
        <w:rPr>
          <w:rFonts w:ascii="Abadi" w:hAnsi="Abadi"/>
          <w:sz w:val="21"/>
          <w:szCs w:val="21"/>
        </w:rPr>
        <w:t>en contra manifiést</w:t>
      </w:r>
      <w:r>
        <w:rPr>
          <w:rFonts w:ascii="Abadi" w:hAnsi="Abadi"/>
          <w:sz w:val="21"/>
          <w:szCs w:val="21"/>
        </w:rPr>
        <w:t xml:space="preserve">enlo </w:t>
      </w:r>
      <w:r w:rsidRPr="0030088F">
        <w:rPr>
          <w:rFonts w:ascii="Abadi" w:hAnsi="Abadi"/>
          <w:sz w:val="21"/>
          <w:szCs w:val="21"/>
        </w:rPr>
        <w:t>indicando el sentido de su participación</w:t>
      </w:r>
      <w:r>
        <w:rPr>
          <w:rFonts w:ascii="Abadi" w:hAnsi="Abadi"/>
          <w:sz w:val="21"/>
          <w:szCs w:val="21"/>
        </w:rPr>
        <w:t>. S</w:t>
      </w:r>
      <w:r w:rsidRPr="0030088F">
        <w:rPr>
          <w:rFonts w:ascii="Abadi" w:hAnsi="Abadi"/>
          <w:sz w:val="21"/>
          <w:szCs w:val="21"/>
        </w:rPr>
        <w:t xml:space="preserve">e pide a la secretaría que proceda a recabar votación nominal en virtud de no haber intervenciones </w:t>
      </w:r>
      <w:r>
        <w:rPr>
          <w:rFonts w:ascii="Abadi" w:hAnsi="Abadi"/>
          <w:sz w:val="21"/>
          <w:szCs w:val="21"/>
        </w:rPr>
        <w:t>¿</w:t>
      </w:r>
      <w:r w:rsidRPr="0030088F">
        <w:rPr>
          <w:rFonts w:ascii="Abadi" w:hAnsi="Abadi"/>
          <w:sz w:val="21"/>
          <w:szCs w:val="21"/>
        </w:rPr>
        <w:t xml:space="preserve">diputado Víctor Manuel </w:t>
      </w:r>
      <w:r>
        <w:rPr>
          <w:rFonts w:ascii="Abadi" w:hAnsi="Abadi"/>
          <w:sz w:val="21"/>
          <w:szCs w:val="21"/>
        </w:rPr>
        <w:t>Z</w:t>
      </w:r>
      <w:r w:rsidRPr="0030088F">
        <w:rPr>
          <w:rFonts w:ascii="Abadi" w:hAnsi="Abadi"/>
          <w:sz w:val="21"/>
          <w:szCs w:val="21"/>
        </w:rPr>
        <w:t xml:space="preserve">anella </w:t>
      </w:r>
      <w:r>
        <w:rPr>
          <w:rFonts w:ascii="Abadi" w:hAnsi="Abadi"/>
          <w:sz w:val="21"/>
          <w:szCs w:val="21"/>
        </w:rPr>
        <w:t>H</w:t>
      </w:r>
      <w:r w:rsidRPr="0030088F">
        <w:rPr>
          <w:rFonts w:ascii="Abadi" w:hAnsi="Abadi"/>
          <w:sz w:val="21"/>
          <w:szCs w:val="21"/>
        </w:rPr>
        <w:t>uerta</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para qué efecto</w:t>
      </w:r>
      <w:r>
        <w:rPr>
          <w:rFonts w:ascii="Abadi" w:hAnsi="Abadi"/>
          <w:sz w:val="21"/>
          <w:szCs w:val="21"/>
        </w:rPr>
        <w:t>?</w:t>
      </w:r>
      <w:r w:rsidRPr="0030088F">
        <w:rPr>
          <w:rFonts w:ascii="Abadi" w:hAnsi="Abadi"/>
          <w:sz w:val="21"/>
          <w:szCs w:val="21"/>
        </w:rPr>
        <w:t xml:space="preserve"> </w:t>
      </w:r>
      <w:r w:rsidRPr="00CE4C2D">
        <w:rPr>
          <w:rFonts w:ascii="Abadi" w:hAnsi="Abadi"/>
          <w:b/>
          <w:bCs/>
          <w:sz w:val="21"/>
          <w:szCs w:val="21"/>
        </w:rPr>
        <w:t xml:space="preserve">(Voz) diputado Víctor Manuel Zanella, </w:t>
      </w:r>
      <w:r w:rsidRPr="0030088F">
        <w:rPr>
          <w:rFonts w:ascii="Abadi" w:hAnsi="Abadi"/>
          <w:sz w:val="21"/>
          <w:szCs w:val="21"/>
        </w:rPr>
        <w:t>para hablar a favor</w:t>
      </w:r>
      <w:r>
        <w:rPr>
          <w:rFonts w:ascii="Abadi" w:hAnsi="Abadi"/>
          <w:sz w:val="21"/>
          <w:szCs w:val="21"/>
        </w:rPr>
        <w:t xml:space="preserve"> </w:t>
      </w:r>
      <w:r w:rsidRPr="00CE4C2D">
        <w:rPr>
          <w:rFonts w:ascii="Abadi" w:hAnsi="Abadi"/>
          <w:b/>
          <w:bCs/>
          <w:sz w:val="21"/>
          <w:szCs w:val="21"/>
        </w:rPr>
        <w:t>(Voz) diputada Presidenta,</w:t>
      </w:r>
      <w:r w:rsidRPr="0030088F">
        <w:rPr>
          <w:rFonts w:ascii="Abadi" w:hAnsi="Abadi"/>
          <w:sz w:val="21"/>
          <w:szCs w:val="21"/>
        </w:rPr>
        <w:t xml:space="preserve"> tiene el uso de la voz hasta por 10 minutos</w:t>
      </w:r>
      <w:r>
        <w:rPr>
          <w:rFonts w:ascii="Abadi" w:hAnsi="Abadi"/>
          <w:sz w:val="21"/>
          <w:szCs w:val="21"/>
        </w:rPr>
        <w:t>.</w:t>
      </w:r>
    </w:p>
    <w:p w14:paraId="1F0A4DDE" w14:textId="77777777" w:rsidR="00A9293E" w:rsidRDefault="00A9293E" w:rsidP="00A9293E">
      <w:pPr>
        <w:jc w:val="both"/>
        <w:rPr>
          <w:rFonts w:ascii="Abadi" w:hAnsi="Abadi"/>
          <w:sz w:val="21"/>
          <w:szCs w:val="21"/>
        </w:rPr>
      </w:pPr>
    </w:p>
    <w:p w14:paraId="6157E1D9" w14:textId="77777777" w:rsidR="00A9293E" w:rsidRDefault="00A9293E" w:rsidP="00A9293E">
      <w:pPr>
        <w:jc w:val="both"/>
        <w:rPr>
          <w:rFonts w:ascii="Abadi" w:hAnsi="Abadi"/>
          <w:sz w:val="21"/>
          <w:szCs w:val="21"/>
        </w:rPr>
      </w:pPr>
      <w:r>
        <w:rPr>
          <w:rFonts w:ascii="Abadi" w:hAnsi="Abadi"/>
          <w:sz w:val="21"/>
          <w:szCs w:val="21"/>
        </w:rPr>
        <w:tab/>
        <w:t>- A</w:t>
      </w:r>
      <w:r w:rsidRPr="0030088F">
        <w:rPr>
          <w:rFonts w:ascii="Abadi" w:hAnsi="Abadi"/>
          <w:sz w:val="21"/>
          <w:szCs w:val="21"/>
        </w:rPr>
        <w:t>delante de diputado</w:t>
      </w:r>
      <w:r>
        <w:rPr>
          <w:rFonts w:ascii="Abadi" w:hAnsi="Abadi"/>
          <w:sz w:val="21"/>
          <w:szCs w:val="21"/>
        </w:rPr>
        <w:t>.</w:t>
      </w:r>
    </w:p>
    <w:p w14:paraId="3F1EB546" w14:textId="77777777" w:rsidR="00A9293E" w:rsidRDefault="00A9293E" w:rsidP="00A9293E">
      <w:pPr>
        <w:jc w:val="both"/>
        <w:rPr>
          <w:rFonts w:ascii="Abadi" w:hAnsi="Abadi"/>
          <w:sz w:val="21"/>
          <w:szCs w:val="21"/>
        </w:rPr>
      </w:pPr>
    </w:p>
    <w:p w14:paraId="038029C3" w14:textId="673A451D" w:rsidR="00A9293E" w:rsidRDefault="00A9293E" w:rsidP="00A9293E">
      <w:pPr>
        <w:jc w:val="both"/>
        <w:rPr>
          <w:rFonts w:ascii="Abadi" w:hAnsi="Abadi"/>
          <w:b/>
          <w:bCs/>
          <w:sz w:val="21"/>
          <w:szCs w:val="21"/>
        </w:rPr>
      </w:pPr>
      <w:r w:rsidRPr="003D0EDC">
        <w:rPr>
          <w:rFonts w:ascii="Abadi" w:hAnsi="Abadi"/>
          <w:b/>
          <w:bCs/>
          <w:sz w:val="21"/>
          <w:szCs w:val="21"/>
        </w:rPr>
        <w:t>(Sube a tribuna el diputado Víctor Manuel Zanella Huerta, para hablar a favor del dictamen)</w:t>
      </w:r>
    </w:p>
    <w:p w14:paraId="66CECED7" w14:textId="77777777" w:rsidR="00A9293E" w:rsidRDefault="00A9293E" w:rsidP="00A9293E">
      <w:pPr>
        <w:jc w:val="both"/>
        <w:rPr>
          <w:rFonts w:ascii="Abadi" w:hAnsi="Abadi"/>
          <w:b/>
          <w:bCs/>
          <w:sz w:val="21"/>
          <w:szCs w:val="21"/>
        </w:rPr>
      </w:pPr>
    </w:p>
    <w:p w14:paraId="26E2065E" w14:textId="46A1BA75" w:rsidR="00A9293E" w:rsidRDefault="00A9293E" w:rsidP="00A9293E">
      <w:pPr>
        <w:jc w:val="both"/>
        <w:rPr>
          <w:rFonts w:ascii="Abadi" w:hAnsi="Abadi"/>
          <w:b/>
          <w:bCs/>
          <w:sz w:val="21"/>
          <w:szCs w:val="21"/>
        </w:rPr>
      </w:pPr>
    </w:p>
    <w:p w14:paraId="1D738DA6" w14:textId="564C7E80" w:rsidR="00A9293E" w:rsidRPr="003D0EDC" w:rsidRDefault="00A9293E" w:rsidP="00A9293E">
      <w:pPr>
        <w:jc w:val="both"/>
        <w:rPr>
          <w:rFonts w:ascii="Abadi" w:hAnsi="Abadi"/>
          <w:b/>
          <w:bCs/>
          <w:sz w:val="21"/>
          <w:szCs w:val="21"/>
        </w:rPr>
      </w:pPr>
    </w:p>
    <w:p w14:paraId="07FFB17C" w14:textId="2FA935DA" w:rsidR="00A9293E" w:rsidRDefault="00D52D32" w:rsidP="00A9293E">
      <w:pPr>
        <w:jc w:val="both"/>
        <w:rPr>
          <w:rFonts w:ascii="Abadi" w:hAnsi="Abadi"/>
          <w:sz w:val="21"/>
          <w:szCs w:val="21"/>
        </w:rPr>
      </w:pPr>
      <w:r>
        <w:rPr>
          <w:noProof/>
        </w:rPr>
        <w:drawing>
          <wp:anchor distT="0" distB="0" distL="114300" distR="114300" simplePos="0" relativeHeight="251671574" behindDoc="1" locked="0" layoutInCell="1" allowOverlap="1" wp14:anchorId="64C88257" wp14:editId="71BDC7A5">
            <wp:simplePos x="0" y="0"/>
            <wp:positionH relativeFrom="column">
              <wp:posOffset>682535</wp:posOffset>
            </wp:positionH>
            <wp:positionV relativeFrom="paragraph">
              <wp:posOffset>99967</wp:posOffset>
            </wp:positionV>
            <wp:extent cx="1282212" cy="661563"/>
            <wp:effectExtent l="247650" t="228600" r="241935" b="729615"/>
            <wp:wrapTight wrapText="bothSides">
              <wp:wrapPolygon edited="0">
                <wp:start x="-4172" y="-7470"/>
                <wp:lineTo x="-4172" y="44818"/>
                <wp:lineTo x="25355" y="44818"/>
                <wp:lineTo x="25355" y="-7470"/>
                <wp:lineTo x="-4172" y="-7470"/>
              </wp:wrapPolygon>
            </wp:wrapTight>
            <wp:docPr id="212507713" name="Imagen 212507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07713" name=""/>
                    <pic:cNvPicPr/>
                  </pic:nvPicPr>
                  <pic:blipFill rotWithShape="1">
                    <a:blip r:embed="rId61" cstate="print">
                      <a:extLst>
                        <a:ext uri="{28A0092B-C50C-407E-A947-70E740481C1C}">
                          <a14:useLocalDpi xmlns:a14="http://schemas.microsoft.com/office/drawing/2010/main" val="0"/>
                        </a:ext>
                      </a:extLst>
                    </a:blip>
                    <a:srcRect b="8268"/>
                    <a:stretch/>
                  </pic:blipFill>
                  <pic:spPr bwMode="auto">
                    <a:xfrm>
                      <a:off x="0" y="0"/>
                      <a:ext cx="1282212" cy="66156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94C0872" w14:textId="77777777" w:rsidR="00A9293E" w:rsidRDefault="00A9293E" w:rsidP="00A9293E">
      <w:pPr>
        <w:jc w:val="both"/>
        <w:rPr>
          <w:rFonts w:ascii="Abadi" w:hAnsi="Abadi"/>
          <w:sz w:val="21"/>
          <w:szCs w:val="21"/>
        </w:rPr>
      </w:pPr>
    </w:p>
    <w:p w14:paraId="791C978C" w14:textId="77777777" w:rsidR="00A9293E" w:rsidRDefault="00A9293E" w:rsidP="00A9293E">
      <w:pPr>
        <w:jc w:val="both"/>
        <w:rPr>
          <w:rFonts w:ascii="Abadi" w:hAnsi="Abadi"/>
          <w:sz w:val="21"/>
          <w:szCs w:val="21"/>
        </w:rPr>
      </w:pPr>
    </w:p>
    <w:p w14:paraId="5B3590FA" w14:textId="77777777" w:rsidR="00A9293E" w:rsidRDefault="00A9293E" w:rsidP="00A9293E">
      <w:pPr>
        <w:jc w:val="both"/>
        <w:rPr>
          <w:rFonts w:ascii="Abadi" w:hAnsi="Abadi"/>
          <w:sz w:val="21"/>
          <w:szCs w:val="21"/>
        </w:rPr>
      </w:pPr>
    </w:p>
    <w:p w14:paraId="0C57E8D2" w14:textId="77777777" w:rsidR="00A9293E" w:rsidRDefault="00A9293E" w:rsidP="00A9293E">
      <w:pPr>
        <w:jc w:val="both"/>
        <w:rPr>
          <w:rFonts w:ascii="Abadi" w:hAnsi="Abadi"/>
          <w:sz w:val="21"/>
          <w:szCs w:val="21"/>
        </w:rPr>
      </w:pPr>
    </w:p>
    <w:p w14:paraId="387D5105" w14:textId="77777777" w:rsidR="00A9293E" w:rsidRDefault="00A9293E" w:rsidP="00A9293E">
      <w:pPr>
        <w:jc w:val="both"/>
        <w:rPr>
          <w:rFonts w:ascii="Abadi" w:hAnsi="Abadi"/>
          <w:sz w:val="21"/>
          <w:szCs w:val="21"/>
        </w:rPr>
      </w:pPr>
    </w:p>
    <w:p w14:paraId="43B0392D" w14:textId="77777777" w:rsidR="00A9293E" w:rsidRDefault="00A9293E" w:rsidP="00A9293E">
      <w:pPr>
        <w:jc w:val="both"/>
        <w:rPr>
          <w:rFonts w:ascii="Abadi" w:hAnsi="Abadi"/>
          <w:sz w:val="21"/>
          <w:szCs w:val="21"/>
        </w:rPr>
      </w:pPr>
    </w:p>
    <w:p w14:paraId="1EDDEB80" w14:textId="77777777" w:rsidR="00A9293E" w:rsidRDefault="00A9293E" w:rsidP="00A9293E">
      <w:pPr>
        <w:jc w:val="both"/>
        <w:rPr>
          <w:rFonts w:ascii="Abadi" w:hAnsi="Abadi"/>
          <w:sz w:val="21"/>
          <w:szCs w:val="21"/>
        </w:rPr>
      </w:pPr>
    </w:p>
    <w:p w14:paraId="1D58F569" w14:textId="77777777" w:rsidR="00A9293E" w:rsidRDefault="00A9293E" w:rsidP="00A9293E">
      <w:pPr>
        <w:jc w:val="both"/>
        <w:rPr>
          <w:rFonts w:ascii="Abadi" w:hAnsi="Abadi"/>
          <w:sz w:val="21"/>
          <w:szCs w:val="21"/>
        </w:rPr>
      </w:pPr>
    </w:p>
    <w:p w14:paraId="32DF9094" w14:textId="77777777" w:rsidR="00A9293E" w:rsidRDefault="00A9293E" w:rsidP="00A9293E">
      <w:pPr>
        <w:jc w:val="both"/>
        <w:rPr>
          <w:rFonts w:ascii="Abadi" w:hAnsi="Abadi"/>
          <w:sz w:val="21"/>
          <w:szCs w:val="21"/>
        </w:rPr>
      </w:pPr>
    </w:p>
    <w:p w14:paraId="1527D05E" w14:textId="77777777" w:rsidR="00A9293E" w:rsidRDefault="00A9293E" w:rsidP="00A9293E">
      <w:pPr>
        <w:jc w:val="both"/>
        <w:rPr>
          <w:rFonts w:ascii="Abadi" w:hAnsi="Abadi"/>
          <w:sz w:val="21"/>
          <w:szCs w:val="21"/>
        </w:rPr>
      </w:pPr>
    </w:p>
    <w:p w14:paraId="209EC8BF" w14:textId="77777777" w:rsidR="00A9293E" w:rsidRDefault="00A9293E" w:rsidP="00A9293E">
      <w:pPr>
        <w:jc w:val="both"/>
        <w:rPr>
          <w:rFonts w:ascii="Abadi" w:hAnsi="Abadi"/>
          <w:sz w:val="21"/>
          <w:szCs w:val="21"/>
        </w:rPr>
      </w:pPr>
    </w:p>
    <w:p w14:paraId="29BB4171" w14:textId="77777777" w:rsidR="00A9293E" w:rsidRDefault="00A9293E" w:rsidP="00A9293E">
      <w:pPr>
        <w:jc w:val="both"/>
        <w:rPr>
          <w:rFonts w:ascii="Abadi" w:hAnsi="Abadi"/>
          <w:sz w:val="21"/>
          <w:szCs w:val="21"/>
        </w:rPr>
      </w:pPr>
    </w:p>
    <w:p w14:paraId="602A0ABA" w14:textId="77777777" w:rsidR="00A9293E" w:rsidRDefault="00A9293E" w:rsidP="00A9293E">
      <w:pPr>
        <w:jc w:val="both"/>
        <w:rPr>
          <w:rFonts w:ascii="Abadi" w:hAnsi="Abadi"/>
          <w:sz w:val="21"/>
          <w:szCs w:val="21"/>
        </w:rPr>
      </w:pPr>
    </w:p>
    <w:p w14:paraId="481B0C14" w14:textId="0FCA54F6" w:rsidR="00A9293E" w:rsidRDefault="00A9293E" w:rsidP="00A9293E">
      <w:pPr>
        <w:jc w:val="both"/>
        <w:rPr>
          <w:rFonts w:ascii="Abadi" w:hAnsi="Abadi"/>
          <w:sz w:val="21"/>
          <w:szCs w:val="21"/>
        </w:rPr>
      </w:pPr>
      <w:r>
        <w:rPr>
          <w:rFonts w:ascii="Abadi" w:hAnsi="Abadi"/>
          <w:sz w:val="21"/>
          <w:szCs w:val="21"/>
        </w:rPr>
        <w:lastRenderedPageBreak/>
        <w:t>- M</w:t>
      </w:r>
      <w:r w:rsidRPr="0030088F">
        <w:rPr>
          <w:rFonts w:ascii="Abadi" w:hAnsi="Abadi"/>
          <w:sz w:val="21"/>
          <w:szCs w:val="21"/>
        </w:rPr>
        <w:t>uy buenas tardes compañeras y compañeros</w:t>
      </w:r>
      <w:r>
        <w:rPr>
          <w:rFonts w:ascii="Abadi" w:hAnsi="Abadi"/>
          <w:sz w:val="21"/>
          <w:szCs w:val="21"/>
        </w:rPr>
        <w:t>,</w:t>
      </w:r>
      <w:r w:rsidRPr="0030088F">
        <w:rPr>
          <w:rFonts w:ascii="Abadi" w:hAnsi="Abadi"/>
          <w:sz w:val="21"/>
          <w:szCs w:val="21"/>
        </w:rPr>
        <w:t xml:space="preserve"> con el permiso de la </w:t>
      </w:r>
      <w:r>
        <w:rPr>
          <w:rFonts w:ascii="Abadi" w:hAnsi="Abadi"/>
          <w:sz w:val="21"/>
          <w:szCs w:val="21"/>
        </w:rPr>
        <w:t>P</w:t>
      </w:r>
      <w:r w:rsidRPr="0030088F">
        <w:rPr>
          <w:rFonts w:ascii="Abadi" w:hAnsi="Abadi"/>
          <w:sz w:val="21"/>
          <w:szCs w:val="21"/>
        </w:rPr>
        <w:t xml:space="preserve">residencia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irectiva aquí en Guanajuato</w:t>
      </w:r>
      <w:r>
        <w:rPr>
          <w:rFonts w:ascii="Abadi" w:hAnsi="Abadi"/>
          <w:sz w:val="21"/>
          <w:szCs w:val="21"/>
        </w:rPr>
        <w:t>,</w:t>
      </w:r>
      <w:r w:rsidRPr="0030088F">
        <w:rPr>
          <w:rFonts w:ascii="Abadi" w:hAnsi="Abadi"/>
          <w:sz w:val="21"/>
          <w:szCs w:val="21"/>
        </w:rPr>
        <w:t xml:space="preserve"> seguimos cambiando la forma de hacer las cosas</w:t>
      </w:r>
      <w:r>
        <w:rPr>
          <w:rFonts w:ascii="Abadi" w:hAnsi="Abadi"/>
          <w:sz w:val="21"/>
          <w:szCs w:val="21"/>
        </w:rPr>
        <w:t>,</w:t>
      </w:r>
      <w:r w:rsidRPr="0030088F">
        <w:rPr>
          <w:rFonts w:ascii="Abadi" w:hAnsi="Abadi"/>
          <w:sz w:val="21"/>
          <w:szCs w:val="21"/>
        </w:rPr>
        <w:t xml:space="preserve"> saludo a nuestros invitados que nos acompañan</w:t>
      </w:r>
      <w:r>
        <w:rPr>
          <w:rFonts w:ascii="Abadi" w:hAnsi="Abadi"/>
          <w:sz w:val="21"/>
          <w:szCs w:val="21"/>
        </w:rPr>
        <w:t>,</w:t>
      </w:r>
      <w:r w:rsidRPr="0030088F">
        <w:rPr>
          <w:rFonts w:ascii="Abadi" w:hAnsi="Abadi"/>
          <w:sz w:val="21"/>
          <w:szCs w:val="21"/>
        </w:rPr>
        <w:t xml:space="preserve"> integrantes del </w:t>
      </w:r>
      <w:r>
        <w:rPr>
          <w:rFonts w:ascii="Abadi" w:hAnsi="Abadi"/>
          <w:sz w:val="21"/>
          <w:szCs w:val="21"/>
        </w:rPr>
        <w:t>C</w:t>
      </w:r>
      <w:r w:rsidRPr="0030088F">
        <w:rPr>
          <w:rFonts w:ascii="Abadi" w:hAnsi="Abadi"/>
          <w:sz w:val="21"/>
          <w:szCs w:val="21"/>
        </w:rPr>
        <w:t xml:space="preserve">onsejo </w:t>
      </w:r>
      <w:r>
        <w:rPr>
          <w:rFonts w:ascii="Abadi" w:hAnsi="Abadi"/>
          <w:sz w:val="21"/>
          <w:szCs w:val="21"/>
        </w:rPr>
        <w:t>E</w:t>
      </w:r>
      <w:r w:rsidRPr="0030088F">
        <w:rPr>
          <w:rFonts w:ascii="Abadi" w:hAnsi="Abadi"/>
          <w:sz w:val="21"/>
          <w:szCs w:val="21"/>
        </w:rPr>
        <w:t xml:space="preserve">statal </w:t>
      </w:r>
      <w:r>
        <w:rPr>
          <w:rFonts w:ascii="Abadi" w:hAnsi="Abadi"/>
          <w:sz w:val="21"/>
          <w:szCs w:val="21"/>
        </w:rPr>
        <w:t>A</w:t>
      </w:r>
      <w:r w:rsidRPr="0030088F">
        <w:rPr>
          <w:rFonts w:ascii="Abadi" w:hAnsi="Abadi"/>
          <w:sz w:val="21"/>
          <w:szCs w:val="21"/>
        </w:rPr>
        <w:t>groalimentario</w:t>
      </w:r>
      <w:r>
        <w:rPr>
          <w:rFonts w:ascii="Abadi" w:hAnsi="Abadi"/>
          <w:sz w:val="21"/>
          <w:szCs w:val="21"/>
        </w:rPr>
        <w:t>,</w:t>
      </w:r>
      <w:r w:rsidRPr="0030088F">
        <w:rPr>
          <w:rFonts w:ascii="Abadi" w:hAnsi="Abadi"/>
          <w:sz w:val="21"/>
          <w:szCs w:val="21"/>
        </w:rPr>
        <w:t xml:space="preserve"> David Sánchez y por supuesto muchas gracias al presidente de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F</w:t>
      </w:r>
      <w:r w:rsidRPr="0030088F">
        <w:rPr>
          <w:rFonts w:ascii="Abadi" w:hAnsi="Abadi"/>
          <w:sz w:val="21"/>
          <w:szCs w:val="21"/>
        </w:rPr>
        <w:t xml:space="preserve">omento </w:t>
      </w:r>
      <w:r>
        <w:rPr>
          <w:rFonts w:ascii="Abadi" w:hAnsi="Abadi"/>
          <w:sz w:val="21"/>
          <w:szCs w:val="21"/>
        </w:rPr>
        <w:t>A</w:t>
      </w:r>
      <w:r w:rsidRPr="0030088F">
        <w:rPr>
          <w:rFonts w:ascii="Abadi" w:hAnsi="Abadi"/>
          <w:sz w:val="21"/>
          <w:szCs w:val="21"/>
        </w:rPr>
        <w:t>gropecuario</w:t>
      </w:r>
      <w:r>
        <w:rPr>
          <w:rFonts w:ascii="Abadi" w:hAnsi="Abadi"/>
          <w:sz w:val="21"/>
          <w:szCs w:val="21"/>
        </w:rPr>
        <w:t xml:space="preserve">, </w:t>
      </w:r>
      <w:r w:rsidRPr="0030088F">
        <w:rPr>
          <w:rFonts w:ascii="Abadi" w:hAnsi="Abadi"/>
          <w:sz w:val="21"/>
          <w:szCs w:val="21"/>
        </w:rPr>
        <w:t>a mi amigo Jorge Ortiz</w:t>
      </w:r>
      <w:r>
        <w:rPr>
          <w:rFonts w:ascii="Abadi" w:hAnsi="Abadi"/>
          <w:sz w:val="21"/>
          <w:szCs w:val="21"/>
        </w:rPr>
        <w:t>,</w:t>
      </w:r>
      <w:r w:rsidRPr="0030088F">
        <w:rPr>
          <w:rFonts w:ascii="Abadi" w:hAnsi="Abadi"/>
          <w:sz w:val="21"/>
          <w:szCs w:val="21"/>
        </w:rPr>
        <w:t xml:space="preserve"> que hicimos un buen equipo para sacar adelante esta iniciativa de la gente del campo así como a mis compañeras y compañeros que integran esta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F</w:t>
      </w:r>
      <w:r w:rsidRPr="0030088F">
        <w:rPr>
          <w:rFonts w:ascii="Abadi" w:hAnsi="Abadi"/>
          <w:sz w:val="21"/>
          <w:szCs w:val="21"/>
        </w:rPr>
        <w:t>omento</w:t>
      </w:r>
      <w:r>
        <w:rPr>
          <w:rFonts w:ascii="Abadi" w:hAnsi="Abadi"/>
          <w:sz w:val="21"/>
          <w:szCs w:val="21"/>
        </w:rPr>
        <w:t xml:space="preserve"> A</w:t>
      </w:r>
      <w:r w:rsidRPr="0030088F">
        <w:rPr>
          <w:rFonts w:ascii="Abadi" w:hAnsi="Abadi"/>
          <w:sz w:val="21"/>
          <w:szCs w:val="21"/>
        </w:rPr>
        <w:t>gropecuario</w:t>
      </w:r>
      <w:r>
        <w:rPr>
          <w:rFonts w:ascii="Abadi" w:hAnsi="Abadi"/>
          <w:sz w:val="21"/>
          <w:szCs w:val="21"/>
        </w:rPr>
        <w:t>,</w:t>
      </w:r>
      <w:r w:rsidRPr="0030088F">
        <w:rPr>
          <w:rFonts w:ascii="Abadi" w:hAnsi="Abadi"/>
          <w:sz w:val="21"/>
          <w:szCs w:val="21"/>
        </w:rPr>
        <w:t xml:space="preserve"> a la </w:t>
      </w:r>
      <w:r>
        <w:rPr>
          <w:rFonts w:ascii="Abadi" w:hAnsi="Abadi"/>
          <w:sz w:val="21"/>
          <w:szCs w:val="21"/>
        </w:rPr>
        <w:t>S</w:t>
      </w:r>
      <w:r w:rsidRPr="0030088F">
        <w:rPr>
          <w:rFonts w:ascii="Abadi" w:hAnsi="Abadi"/>
          <w:sz w:val="21"/>
          <w:szCs w:val="21"/>
        </w:rPr>
        <w:t xml:space="preserve">ecretaría de </w:t>
      </w:r>
      <w:r>
        <w:rPr>
          <w:rFonts w:ascii="Abadi" w:hAnsi="Abadi"/>
          <w:sz w:val="21"/>
          <w:szCs w:val="21"/>
        </w:rPr>
        <w:t>D</w:t>
      </w:r>
      <w:r w:rsidRPr="0030088F">
        <w:rPr>
          <w:rFonts w:ascii="Abadi" w:hAnsi="Abadi"/>
          <w:sz w:val="21"/>
          <w:szCs w:val="21"/>
        </w:rPr>
        <w:t xml:space="preserve">esarrollo </w:t>
      </w:r>
      <w:r>
        <w:rPr>
          <w:rFonts w:ascii="Abadi" w:hAnsi="Abadi"/>
          <w:sz w:val="21"/>
          <w:szCs w:val="21"/>
        </w:rPr>
        <w:t>A</w:t>
      </w:r>
      <w:r w:rsidRPr="0030088F">
        <w:rPr>
          <w:rFonts w:ascii="Abadi" w:hAnsi="Abadi"/>
          <w:sz w:val="21"/>
          <w:szCs w:val="21"/>
        </w:rPr>
        <w:t xml:space="preserve">gropecuario </w:t>
      </w:r>
      <w:r>
        <w:rPr>
          <w:rFonts w:ascii="Abadi" w:hAnsi="Abadi"/>
          <w:sz w:val="21"/>
          <w:szCs w:val="21"/>
        </w:rPr>
        <w:t>R</w:t>
      </w:r>
      <w:r w:rsidRPr="0030088F">
        <w:rPr>
          <w:rFonts w:ascii="Abadi" w:hAnsi="Abadi"/>
          <w:sz w:val="21"/>
          <w:szCs w:val="21"/>
        </w:rPr>
        <w:t>ural</w:t>
      </w:r>
      <w:r>
        <w:rPr>
          <w:rFonts w:ascii="Abadi" w:hAnsi="Abadi"/>
          <w:sz w:val="21"/>
          <w:szCs w:val="21"/>
        </w:rPr>
        <w:t>,</w:t>
      </w:r>
      <w:r w:rsidRPr="0030088F">
        <w:rPr>
          <w:rFonts w:ascii="Abadi" w:hAnsi="Abadi"/>
          <w:sz w:val="21"/>
          <w:szCs w:val="21"/>
        </w:rPr>
        <w:t xml:space="preserve"> a los representantes del </w:t>
      </w:r>
      <w:r>
        <w:rPr>
          <w:rFonts w:ascii="Abadi" w:hAnsi="Abadi"/>
          <w:sz w:val="21"/>
          <w:szCs w:val="21"/>
        </w:rPr>
        <w:t>E</w:t>
      </w:r>
      <w:r w:rsidRPr="0030088F">
        <w:rPr>
          <w:rFonts w:ascii="Abadi" w:hAnsi="Abadi"/>
          <w:sz w:val="21"/>
          <w:szCs w:val="21"/>
        </w:rPr>
        <w:t xml:space="preserve">jecutivo de la </w:t>
      </w:r>
      <w:r>
        <w:rPr>
          <w:rFonts w:ascii="Abadi" w:hAnsi="Abadi"/>
          <w:sz w:val="21"/>
          <w:szCs w:val="21"/>
        </w:rPr>
        <w:t>F</w:t>
      </w:r>
      <w:r w:rsidRPr="0030088F">
        <w:rPr>
          <w:rFonts w:ascii="Abadi" w:hAnsi="Abadi"/>
          <w:sz w:val="21"/>
          <w:szCs w:val="21"/>
        </w:rPr>
        <w:t xml:space="preserve">iscalía del </w:t>
      </w:r>
      <w:r>
        <w:rPr>
          <w:rFonts w:ascii="Abadi" w:hAnsi="Abadi"/>
          <w:sz w:val="21"/>
          <w:szCs w:val="21"/>
        </w:rPr>
        <w:t>E</w:t>
      </w:r>
      <w:r w:rsidRPr="0030088F">
        <w:rPr>
          <w:rFonts w:ascii="Abadi" w:hAnsi="Abadi"/>
          <w:sz w:val="21"/>
          <w:szCs w:val="21"/>
        </w:rPr>
        <w:t xml:space="preserve">stado y sobre todo a la gente trabajadora del </w:t>
      </w:r>
      <w:r>
        <w:rPr>
          <w:rFonts w:ascii="Abadi" w:hAnsi="Abadi"/>
          <w:sz w:val="21"/>
          <w:szCs w:val="21"/>
        </w:rPr>
        <w:t>S</w:t>
      </w:r>
      <w:r w:rsidRPr="0030088F">
        <w:rPr>
          <w:rFonts w:ascii="Abadi" w:hAnsi="Abadi"/>
          <w:sz w:val="21"/>
          <w:szCs w:val="21"/>
        </w:rPr>
        <w:t xml:space="preserve">ector </w:t>
      </w:r>
      <w:r>
        <w:rPr>
          <w:rFonts w:ascii="Abadi" w:hAnsi="Abadi"/>
          <w:sz w:val="21"/>
          <w:szCs w:val="21"/>
        </w:rPr>
        <w:t>A</w:t>
      </w:r>
      <w:r w:rsidRPr="0030088F">
        <w:rPr>
          <w:rFonts w:ascii="Abadi" w:hAnsi="Abadi"/>
          <w:sz w:val="21"/>
          <w:szCs w:val="21"/>
        </w:rPr>
        <w:t>groalimentario de Guanajuato</w:t>
      </w:r>
      <w:r>
        <w:rPr>
          <w:rFonts w:ascii="Abadi" w:hAnsi="Abadi"/>
          <w:sz w:val="21"/>
          <w:szCs w:val="21"/>
        </w:rPr>
        <w:t>,</w:t>
      </w:r>
      <w:r w:rsidRPr="0030088F">
        <w:rPr>
          <w:rFonts w:ascii="Abadi" w:hAnsi="Abadi"/>
          <w:sz w:val="21"/>
          <w:szCs w:val="21"/>
        </w:rPr>
        <w:t xml:space="preserve"> esta iniciativa es por ustedes y para ustedes y si</w:t>
      </w:r>
      <w:r>
        <w:rPr>
          <w:rFonts w:ascii="Abadi" w:hAnsi="Abadi"/>
          <w:sz w:val="21"/>
          <w:szCs w:val="21"/>
        </w:rPr>
        <w:t>n</w:t>
      </w:r>
      <w:r w:rsidRPr="0030088F">
        <w:rPr>
          <w:rFonts w:ascii="Abadi" w:hAnsi="Abadi"/>
          <w:sz w:val="21"/>
          <w:szCs w:val="21"/>
        </w:rPr>
        <w:t xml:space="preserve"> su apoyo no hubiera sido posible</w:t>
      </w:r>
      <w:r>
        <w:rPr>
          <w:rFonts w:ascii="Abadi" w:hAnsi="Abadi"/>
          <w:sz w:val="21"/>
          <w:szCs w:val="21"/>
        </w:rPr>
        <w:t>,</w:t>
      </w:r>
      <w:r w:rsidRPr="0030088F">
        <w:rPr>
          <w:rFonts w:ascii="Abadi" w:hAnsi="Abadi"/>
          <w:sz w:val="21"/>
          <w:szCs w:val="21"/>
        </w:rPr>
        <w:t xml:space="preserve"> los que venimos de familias del campo</w:t>
      </w:r>
      <w:r>
        <w:rPr>
          <w:rFonts w:ascii="Abadi" w:hAnsi="Abadi"/>
          <w:sz w:val="21"/>
          <w:szCs w:val="21"/>
        </w:rPr>
        <w:t>,</w:t>
      </w:r>
      <w:r w:rsidRPr="0030088F">
        <w:rPr>
          <w:rFonts w:ascii="Abadi" w:hAnsi="Abadi"/>
          <w:sz w:val="21"/>
          <w:szCs w:val="21"/>
        </w:rPr>
        <w:t xml:space="preserve"> entendemos el valor del esfuerzo de levantarse temprano y de acostarse tarde y de poder generar un ingreso para nuestras familias hay que recordar que esta iniciativa surgió en la gira que hicimos en la comisión de hacienda por los 46 municipios no solo fueron finanzas públicas y auditorías sino que también escuchamos diversas voces y una de ellas fue cuando hicimos parada en </w:t>
      </w:r>
      <w:r>
        <w:rPr>
          <w:rFonts w:ascii="Abadi" w:hAnsi="Abadi"/>
          <w:sz w:val="21"/>
          <w:szCs w:val="21"/>
        </w:rPr>
        <w:t>S</w:t>
      </w:r>
      <w:r w:rsidRPr="0030088F">
        <w:rPr>
          <w:rFonts w:ascii="Abadi" w:hAnsi="Abadi"/>
          <w:sz w:val="21"/>
          <w:szCs w:val="21"/>
        </w:rPr>
        <w:t xml:space="preserve">anta </w:t>
      </w:r>
      <w:r>
        <w:rPr>
          <w:rFonts w:ascii="Abadi" w:hAnsi="Abadi"/>
          <w:sz w:val="21"/>
          <w:szCs w:val="21"/>
        </w:rPr>
        <w:t>C</w:t>
      </w:r>
      <w:r w:rsidRPr="0030088F">
        <w:rPr>
          <w:rFonts w:ascii="Abadi" w:hAnsi="Abadi"/>
          <w:sz w:val="21"/>
          <w:szCs w:val="21"/>
        </w:rPr>
        <w:t xml:space="preserve">ruz de </w:t>
      </w:r>
      <w:r>
        <w:rPr>
          <w:rFonts w:ascii="Abadi" w:hAnsi="Abadi"/>
          <w:sz w:val="21"/>
          <w:szCs w:val="21"/>
        </w:rPr>
        <w:t>J</w:t>
      </w:r>
      <w:r w:rsidRPr="0030088F">
        <w:rPr>
          <w:rFonts w:ascii="Abadi" w:hAnsi="Abadi"/>
          <w:sz w:val="21"/>
          <w:szCs w:val="21"/>
        </w:rPr>
        <w:t xml:space="preserve">uventino </w:t>
      </w:r>
      <w:r>
        <w:rPr>
          <w:rFonts w:ascii="Abadi" w:hAnsi="Abadi"/>
          <w:sz w:val="21"/>
          <w:szCs w:val="21"/>
        </w:rPr>
        <w:t>R</w:t>
      </w:r>
      <w:r w:rsidRPr="0030088F">
        <w:rPr>
          <w:rFonts w:ascii="Abadi" w:hAnsi="Abadi"/>
          <w:sz w:val="21"/>
          <w:szCs w:val="21"/>
        </w:rPr>
        <w:t>osas</w:t>
      </w:r>
      <w:r>
        <w:rPr>
          <w:rFonts w:ascii="Abadi" w:hAnsi="Abadi"/>
          <w:sz w:val="21"/>
          <w:szCs w:val="21"/>
        </w:rPr>
        <w:t>,</w:t>
      </w:r>
      <w:r w:rsidRPr="0030088F">
        <w:rPr>
          <w:rFonts w:ascii="Abadi" w:hAnsi="Abadi"/>
          <w:sz w:val="21"/>
          <w:szCs w:val="21"/>
        </w:rPr>
        <w:t xml:space="preserve"> donde el </w:t>
      </w:r>
      <w:r>
        <w:rPr>
          <w:rFonts w:ascii="Abadi" w:hAnsi="Abadi"/>
          <w:sz w:val="21"/>
          <w:szCs w:val="21"/>
        </w:rPr>
        <w:t>P</w:t>
      </w:r>
      <w:r w:rsidRPr="0030088F">
        <w:rPr>
          <w:rFonts w:ascii="Abadi" w:hAnsi="Abadi"/>
          <w:sz w:val="21"/>
          <w:szCs w:val="21"/>
        </w:rPr>
        <w:t xml:space="preserve">residente </w:t>
      </w:r>
      <w:r>
        <w:rPr>
          <w:rFonts w:ascii="Abadi" w:hAnsi="Abadi"/>
          <w:sz w:val="21"/>
          <w:szCs w:val="21"/>
        </w:rPr>
        <w:t>M</w:t>
      </w:r>
      <w:r w:rsidRPr="0030088F">
        <w:rPr>
          <w:rFonts w:ascii="Abadi" w:hAnsi="Abadi"/>
          <w:sz w:val="21"/>
          <w:szCs w:val="21"/>
        </w:rPr>
        <w:t xml:space="preserve">unicipal y varios productores de la región nos externaron al diputado </w:t>
      </w:r>
      <w:r>
        <w:rPr>
          <w:rFonts w:ascii="Abadi" w:hAnsi="Abadi"/>
          <w:sz w:val="21"/>
          <w:szCs w:val="21"/>
        </w:rPr>
        <w:t>B</w:t>
      </w:r>
      <w:r w:rsidRPr="0030088F">
        <w:rPr>
          <w:rFonts w:ascii="Abadi" w:hAnsi="Abadi"/>
          <w:sz w:val="21"/>
          <w:szCs w:val="21"/>
        </w:rPr>
        <w:t xml:space="preserve">ricio </w:t>
      </w:r>
      <w:r>
        <w:rPr>
          <w:rFonts w:ascii="Abadi" w:hAnsi="Abadi"/>
          <w:sz w:val="21"/>
          <w:szCs w:val="21"/>
        </w:rPr>
        <w:t>B</w:t>
      </w:r>
      <w:r w:rsidRPr="0030088F">
        <w:rPr>
          <w:rFonts w:ascii="Abadi" w:hAnsi="Abadi"/>
          <w:sz w:val="21"/>
          <w:szCs w:val="21"/>
        </w:rPr>
        <w:t>alderas y a su servidor</w:t>
      </w:r>
      <w:r>
        <w:rPr>
          <w:rFonts w:ascii="Abadi" w:hAnsi="Abadi"/>
          <w:sz w:val="21"/>
          <w:szCs w:val="21"/>
        </w:rPr>
        <w:t>,</w:t>
      </w:r>
      <w:r w:rsidRPr="0030088F">
        <w:rPr>
          <w:rFonts w:ascii="Abadi" w:hAnsi="Abadi"/>
          <w:sz w:val="21"/>
          <w:szCs w:val="21"/>
        </w:rPr>
        <w:t xml:space="preserve"> pues esta problemática que se estaba viviendo o que se vive en ciertas partes del estado vinculado al robo de maquinaria e implementos agrícolas y que esa situación esa</w:t>
      </w:r>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problemática expresada hoy la tradujimos en reformas de leyes y que espero que este pleno la </w:t>
      </w:r>
      <w:r>
        <w:rPr>
          <w:rFonts w:ascii="Abadi" w:hAnsi="Abadi"/>
          <w:sz w:val="21"/>
          <w:szCs w:val="21"/>
        </w:rPr>
        <w:t>a</w:t>
      </w:r>
      <w:r w:rsidRPr="0030088F">
        <w:rPr>
          <w:rFonts w:ascii="Abadi" w:hAnsi="Abadi"/>
          <w:sz w:val="21"/>
          <w:szCs w:val="21"/>
        </w:rPr>
        <w:t>pruebe</w:t>
      </w:r>
      <w:r>
        <w:rPr>
          <w:rFonts w:ascii="Abadi" w:hAnsi="Abadi"/>
          <w:sz w:val="21"/>
          <w:szCs w:val="21"/>
        </w:rPr>
        <w:t>.</w:t>
      </w:r>
    </w:p>
    <w:p w14:paraId="06488B3B" w14:textId="77777777" w:rsidR="00A9293E" w:rsidRDefault="00A9293E" w:rsidP="00A9293E">
      <w:pPr>
        <w:jc w:val="both"/>
        <w:rPr>
          <w:rFonts w:ascii="Abadi" w:hAnsi="Abadi"/>
          <w:sz w:val="21"/>
          <w:szCs w:val="21"/>
        </w:rPr>
      </w:pPr>
    </w:p>
    <w:p w14:paraId="50AB437D" w14:textId="77777777" w:rsidR="00A9293E" w:rsidRDefault="00A9293E" w:rsidP="00A9293E">
      <w:pPr>
        <w:jc w:val="both"/>
        <w:rPr>
          <w:rFonts w:ascii="Abadi" w:hAnsi="Abadi"/>
          <w:sz w:val="21"/>
          <w:szCs w:val="21"/>
        </w:rPr>
      </w:pPr>
      <w:r>
        <w:rPr>
          <w:rFonts w:ascii="Abadi" w:hAnsi="Abadi"/>
          <w:sz w:val="21"/>
          <w:szCs w:val="21"/>
        </w:rPr>
        <w:t>- H</w:t>
      </w:r>
      <w:r w:rsidRPr="0030088F">
        <w:rPr>
          <w:rFonts w:ascii="Abadi" w:hAnsi="Abadi"/>
          <w:sz w:val="21"/>
          <w:szCs w:val="21"/>
        </w:rPr>
        <w:t>ablo a favor del dictamen</w:t>
      </w:r>
      <w:r>
        <w:rPr>
          <w:rFonts w:ascii="Abadi" w:hAnsi="Abadi"/>
          <w:sz w:val="21"/>
          <w:szCs w:val="21"/>
        </w:rPr>
        <w:t>,</w:t>
      </w:r>
      <w:r w:rsidRPr="0030088F">
        <w:rPr>
          <w:rFonts w:ascii="Abadi" w:hAnsi="Abadi"/>
          <w:sz w:val="21"/>
          <w:szCs w:val="21"/>
        </w:rPr>
        <w:t xml:space="preserve"> pero para también reafirmar que en el </w:t>
      </w:r>
      <w:r>
        <w:rPr>
          <w:rFonts w:ascii="Abadi" w:hAnsi="Abadi"/>
          <w:sz w:val="21"/>
          <w:szCs w:val="21"/>
        </w:rPr>
        <w:t>PAN</w:t>
      </w:r>
      <w:r w:rsidRPr="0030088F">
        <w:rPr>
          <w:rFonts w:ascii="Abadi" w:hAnsi="Abadi"/>
          <w:sz w:val="21"/>
          <w:szCs w:val="21"/>
        </w:rPr>
        <w:t xml:space="preserve"> trabajamos y escuchamos las necesidades de la gente del campo</w:t>
      </w:r>
      <w:r>
        <w:rPr>
          <w:rFonts w:ascii="Abadi" w:hAnsi="Abadi"/>
          <w:sz w:val="21"/>
          <w:szCs w:val="21"/>
        </w:rPr>
        <w:t>,</w:t>
      </w:r>
      <w:r w:rsidRPr="0030088F">
        <w:rPr>
          <w:rFonts w:ascii="Abadi" w:hAnsi="Abadi"/>
          <w:sz w:val="21"/>
          <w:szCs w:val="21"/>
        </w:rPr>
        <w:t xml:space="preserve"> quiero compartirles que esta iniciativa logrará tener el primer registro estatal </w:t>
      </w:r>
      <w:r>
        <w:rPr>
          <w:rFonts w:ascii="Abadi" w:hAnsi="Abadi"/>
          <w:sz w:val="21"/>
          <w:szCs w:val="21"/>
        </w:rPr>
        <w:t>“</w:t>
      </w:r>
      <w:r w:rsidRPr="0030088F">
        <w:rPr>
          <w:rFonts w:ascii="Abadi" w:hAnsi="Abadi"/>
          <w:sz w:val="21"/>
          <w:szCs w:val="21"/>
        </w:rPr>
        <w:t>y seremos Guanajuato</w:t>
      </w:r>
      <w:r>
        <w:rPr>
          <w:rFonts w:ascii="Abadi" w:hAnsi="Abadi"/>
          <w:sz w:val="21"/>
          <w:szCs w:val="21"/>
        </w:rPr>
        <w:t>”</w:t>
      </w:r>
      <w:r w:rsidRPr="0030088F">
        <w:rPr>
          <w:rFonts w:ascii="Abadi" w:hAnsi="Abadi"/>
          <w:sz w:val="21"/>
          <w:szCs w:val="21"/>
        </w:rPr>
        <w:t xml:space="preserve"> que no existe en ninguna entidad de nuestro país este registro único va a ayudar a fortalecer la cadena de producción agrícola que es la mecanización esencial que permite asegurar y mantener un nivel suficiente de producción y dicha mecanización es el instrumento y el insumo para trabajar nuestras </w:t>
      </w:r>
      <w:r>
        <w:rPr>
          <w:rFonts w:ascii="Abadi" w:hAnsi="Abadi"/>
          <w:sz w:val="21"/>
          <w:szCs w:val="21"/>
        </w:rPr>
        <w:t xml:space="preserve">tierras </w:t>
      </w:r>
      <w:r w:rsidRPr="0030088F">
        <w:rPr>
          <w:rFonts w:ascii="Abadi" w:hAnsi="Abadi"/>
          <w:sz w:val="21"/>
          <w:szCs w:val="21"/>
        </w:rPr>
        <w:t xml:space="preserve">en el </w:t>
      </w:r>
      <w:r>
        <w:rPr>
          <w:rFonts w:ascii="Abadi" w:hAnsi="Abadi"/>
          <w:sz w:val="21"/>
          <w:szCs w:val="21"/>
        </w:rPr>
        <w:t>C</w:t>
      </w:r>
      <w:r w:rsidRPr="0030088F">
        <w:rPr>
          <w:rFonts w:ascii="Abadi" w:hAnsi="Abadi"/>
          <w:sz w:val="21"/>
          <w:szCs w:val="21"/>
        </w:rPr>
        <w:t xml:space="preserve">ódigo </w:t>
      </w:r>
      <w:r>
        <w:rPr>
          <w:rFonts w:ascii="Abadi" w:hAnsi="Abadi"/>
          <w:sz w:val="21"/>
          <w:szCs w:val="21"/>
        </w:rPr>
        <w:t>P</w:t>
      </w:r>
      <w:r w:rsidRPr="0030088F">
        <w:rPr>
          <w:rFonts w:ascii="Abadi" w:hAnsi="Abadi"/>
          <w:sz w:val="21"/>
          <w:szCs w:val="21"/>
        </w:rPr>
        <w:t xml:space="preserve">enal el robo está tipificado además establece claramente el delito procesal de querella o </w:t>
      </w:r>
      <w:r w:rsidRPr="0030088F">
        <w:rPr>
          <w:rFonts w:ascii="Abadi" w:hAnsi="Abadi"/>
          <w:sz w:val="21"/>
          <w:szCs w:val="21"/>
        </w:rPr>
        <w:t>denuncia y por tal motivo esta iniciativa que hoy va a ser ley</w:t>
      </w:r>
      <w:r>
        <w:rPr>
          <w:rFonts w:ascii="Abadi" w:hAnsi="Abadi"/>
          <w:sz w:val="21"/>
          <w:szCs w:val="21"/>
        </w:rPr>
        <w:t>,</w:t>
      </w:r>
      <w:r w:rsidRPr="0030088F">
        <w:rPr>
          <w:rFonts w:ascii="Abadi" w:hAnsi="Abadi"/>
          <w:sz w:val="21"/>
          <w:szCs w:val="21"/>
        </w:rPr>
        <w:t xml:space="preserve"> fortalece los mecanismos de denuncia ofreciendo a nuestra gente del campo certeza en su patrimonio</w:t>
      </w:r>
      <w:r>
        <w:rPr>
          <w:rFonts w:ascii="Abadi" w:hAnsi="Abadi"/>
          <w:sz w:val="21"/>
          <w:szCs w:val="21"/>
        </w:rPr>
        <w:t>,</w:t>
      </w:r>
      <w:r w:rsidRPr="0030088F">
        <w:rPr>
          <w:rFonts w:ascii="Abadi" w:hAnsi="Abadi"/>
          <w:sz w:val="21"/>
          <w:szCs w:val="21"/>
        </w:rPr>
        <w:t xml:space="preserve"> de que sus maquinarias e implementos estén registrados</w:t>
      </w:r>
      <w:r>
        <w:rPr>
          <w:rFonts w:ascii="Abadi" w:hAnsi="Abadi"/>
          <w:sz w:val="21"/>
          <w:szCs w:val="21"/>
        </w:rPr>
        <w:t>,</w:t>
      </w:r>
      <w:r w:rsidRPr="0030088F">
        <w:rPr>
          <w:rFonts w:ascii="Abadi" w:hAnsi="Abadi"/>
          <w:sz w:val="21"/>
          <w:szCs w:val="21"/>
        </w:rPr>
        <w:t xml:space="preserve"> donde la autoridad va a poder tener alcance a una base de datos identificable y constantemente actualizada para la colaboración y prevención de las actividades agrícola</w:t>
      </w:r>
      <w:r>
        <w:rPr>
          <w:rFonts w:ascii="Abadi" w:hAnsi="Abadi"/>
          <w:sz w:val="21"/>
          <w:szCs w:val="21"/>
        </w:rPr>
        <w:t>s,</w:t>
      </w:r>
      <w:r w:rsidRPr="0030088F">
        <w:rPr>
          <w:rFonts w:ascii="Abadi" w:hAnsi="Abadi"/>
          <w:sz w:val="21"/>
          <w:szCs w:val="21"/>
        </w:rPr>
        <w:t xml:space="preserve"> esto es un gran paso</w:t>
      </w:r>
      <w:r>
        <w:rPr>
          <w:rFonts w:ascii="Abadi" w:hAnsi="Abadi"/>
          <w:sz w:val="21"/>
          <w:szCs w:val="21"/>
        </w:rPr>
        <w:t>,</w:t>
      </w:r>
      <w:r w:rsidRPr="0030088F">
        <w:rPr>
          <w:rFonts w:ascii="Abadi" w:hAnsi="Abadi"/>
          <w:sz w:val="21"/>
          <w:szCs w:val="21"/>
        </w:rPr>
        <w:t xml:space="preserve"> será dar certeza con documentos</w:t>
      </w:r>
      <w:r>
        <w:rPr>
          <w:rFonts w:ascii="Abadi" w:hAnsi="Abadi"/>
          <w:sz w:val="21"/>
          <w:szCs w:val="21"/>
        </w:rPr>
        <w:t>,</w:t>
      </w:r>
      <w:r w:rsidRPr="0030088F">
        <w:rPr>
          <w:rFonts w:ascii="Abadi" w:hAnsi="Abadi"/>
          <w:sz w:val="21"/>
          <w:szCs w:val="21"/>
        </w:rPr>
        <w:t xml:space="preserve"> con papel en mano</w:t>
      </w:r>
      <w:r>
        <w:rPr>
          <w:rFonts w:ascii="Abadi" w:hAnsi="Abadi"/>
          <w:sz w:val="21"/>
          <w:szCs w:val="21"/>
        </w:rPr>
        <w:t>,</w:t>
      </w:r>
      <w:r w:rsidRPr="0030088F">
        <w:rPr>
          <w:rFonts w:ascii="Abadi" w:hAnsi="Abadi"/>
          <w:sz w:val="21"/>
          <w:szCs w:val="21"/>
        </w:rPr>
        <w:t xml:space="preserve"> para poder acreditar la posesión o la propiedad de esta maquinaria agrícola y sus implementos así como su localización espacial</w:t>
      </w:r>
      <w:r>
        <w:rPr>
          <w:rFonts w:ascii="Abadi" w:hAnsi="Abadi"/>
          <w:sz w:val="21"/>
          <w:szCs w:val="21"/>
        </w:rPr>
        <w:t>,</w:t>
      </w:r>
      <w:r w:rsidRPr="0030088F">
        <w:rPr>
          <w:rFonts w:ascii="Abadi" w:hAnsi="Abadi"/>
          <w:sz w:val="21"/>
          <w:szCs w:val="21"/>
        </w:rPr>
        <w:t xml:space="preserve"> fotografías</w:t>
      </w:r>
      <w:r>
        <w:rPr>
          <w:rFonts w:ascii="Abadi" w:hAnsi="Abadi"/>
          <w:sz w:val="21"/>
          <w:szCs w:val="21"/>
        </w:rPr>
        <w:t>,</w:t>
      </w:r>
      <w:r w:rsidRPr="0030088F">
        <w:rPr>
          <w:rFonts w:ascii="Abadi" w:hAnsi="Abadi"/>
          <w:sz w:val="21"/>
          <w:szCs w:val="21"/>
        </w:rPr>
        <w:t xml:space="preserve"> códigos </w:t>
      </w:r>
      <w:r>
        <w:rPr>
          <w:rFonts w:ascii="Abadi" w:hAnsi="Abadi"/>
          <w:sz w:val="21"/>
          <w:szCs w:val="21"/>
        </w:rPr>
        <w:t>QR y</w:t>
      </w:r>
      <w:r w:rsidRPr="0030088F">
        <w:rPr>
          <w:rFonts w:ascii="Abadi" w:hAnsi="Abadi"/>
          <w:sz w:val="21"/>
          <w:szCs w:val="21"/>
        </w:rPr>
        <w:t xml:space="preserve"> demás tecnología que permita alimentar el registro</w:t>
      </w:r>
      <w:r>
        <w:rPr>
          <w:rFonts w:ascii="Abadi" w:hAnsi="Abadi"/>
          <w:sz w:val="21"/>
          <w:szCs w:val="21"/>
        </w:rPr>
        <w:t>.</w:t>
      </w:r>
    </w:p>
    <w:p w14:paraId="554905A6" w14:textId="77777777" w:rsidR="00A9293E" w:rsidRDefault="00A9293E" w:rsidP="00A9293E">
      <w:pPr>
        <w:jc w:val="both"/>
        <w:rPr>
          <w:rFonts w:ascii="Abadi" w:hAnsi="Abadi"/>
          <w:sz w:val="21"/>
          <w:szCs w:val="21"/>
        </w:rPr>
      </w:pPr>
      <w:r>
        <w:rPr>
          <w:rFonts w:ascii="Abadi" w:hAnsi="Abadi"/>
          <w:sz w:val="21"/>
          <w:szCs w:val="21"/>
        </w:rPr>
        <w:t>- D</w:t>
      </w:r>
      <w:r w:rsidRPr="0030088F">
        <w:rPr>
          <w:rFonts w:ascii="Abadi" w:hAnsi="Abadi"/>
          <w:sz w:val="21"/>
          <w:szCs w:val="21"/>
        </w:rPr>
        <w:t xml:space="preserve">ebido a que la agroindustria representa para nuestra entidad el 17% del PIB estatal y en el último censo del </w:t>
      </w:r>
      <w:r>
        <w:rPr>
          <w:rFonts w:ascii="Abadi" w:hAnsi="Abadi"/>
          <w:sz w:val="21"/>
          <w:szCs w:val="21"/>
        </w:rPr>
        <w:t>INEGI,</w:t>
      </w:r>
      <w:r w:rsidRPr="0030088F">
        <w:rPr>
          <w:rFonts w:ascii="Abadi" w:hAnsi="Abadi"/>
          <w:sz w:val="21"/>
          <w:szCs w:val="21"/>
        </w:rPr>
        <w:t xml:space="preserve"> estableció que México el 51.5% de las unidades de producción agropecuaria cuentan con maquinaria siendo el 6.8% la maquinaria de Guanajuato</w:t>
      </w:r>
      <w:r>
        <w:rPr>
          <w:rFonts w:ascii="Abadi" w:hAnsi="Abadi"/>
          <w:sz w:val="21"/>
          <w:szCs w:val="21"/>
        </w:rPr>
        <w:t>,</w:t>
      </w:r>
      <w:r w:rsidRPr="0030088F">
        <w:rPr>
          <w:rFonts w:ascii="Abadi" w:hAnsi="Abadi"/>
          <w:sz w:val="21"/>
          <w:szCs w:val="21"/>
        </w:rPr>
        <w:t xml:space="preserve"> dichas unidades son propias el 34</w:t>
      </w:r>
      <w:r>
        <w:rPr>
          <w:rFonts w:ascii="Abadi" w:hAnsi="Abadi"/>
          <w:sz w:val="21"/>
          <w:szCs w:val="21"/>
        </w:rPr>
        <w:t>%,</w:t>
      </w:r>
      <w:r w:rsidRPr="0030088F">
        <w:rPr>
          <w:rFonts w:ascii="Abadi" w:hAnsi="Abadi"/>
          <w:sz w:val="21"/>
          <w:szCs w:val="21"/>
        </w:rPr>
        <w:t xml:space="preserve"> el 59% es rentado y el 7% prestado</w:t>
      </w:r>
      <w:r>
        <w:rPr>
          <w:rFonts w:ascii="Abadi" w:hAnsi="Abadi"/>
          <w:sz w:val="21"/>
          <w:szCs w:val="21"/>
        </w:rPr>
        <w:t>,</w:t>
      </w:r>
      <w:r w:rsidRPr="0030088F">
        <w:rPr>
          <w:rFonts w:ascii="Abadi" w:hAnsi="Abadi"/>
          <w:sz w:val="21"/>
          <w:szCs w:val="21"/>
        </w:rPr>
        <w:t xml:space="preserve"> obteniendo una totalidad de más de 21</w:t>
      </w:r>
      <w:r>
        <w:rPr>
          <w:rFonts w:ascii="Abadi" w:hAnsi="Abadi"/>
          <w:sz w:val="21"/>
          <w:szCs w:val="21"/>
        </w:rPr>
        <w:t xml:space="preserve"> mil </w:t>
      </w:r>
      <w:r w:rsidRPr="0030088F">
        <w:rPr>
          <w:rFonts w:ascii="Abadi" w:hAnsi="Abadi"/>
          <w:sz w:val="21"/>
          <w:szCs w:val="21"/>
        </w:rPr>
        <w:t>522 tractores en Guanajuato estamos hablando de maquinaria e implementos que cuestan en los sentidos el esfuerzo</w:t>
      </w:r>
      <w:r>
        <w:rPr>
          <w:rFonts w:ascii="Abadi" w:hAnsi="Abadi"/>
          <w:sz w:val="21"/>
          <w:szCs w:val="21"/>
        </w:rPr>
        <w:t>,</w:t>
      </w:r>
      <w:r w:rsidRPr="0030088F">
        <w:rPr>
          <w:rFonts w:ascii="Abadi" w:hAnsi="Abadi"/>
          <w:sz w:val="21"/>
          <w:szCs w:val="21"/>
        </w:rPr>
        <w:t xml:space="preserve"> el trabajo</w:t>
      </w:r>
      <w:r>
        <w:rPr>
          <w:rFonts w:ascii="Abadi" w:hAnsi="Abadi"/>
          <w:sz w:val="21"/>
          <w:szCs w:val="21"/>
        </w:rPr>
        <w:t>,</w:t>
      </w:r>
      <w:r w:rsidRPr="0030088F">
        <w:rPr>
          <w:rFonts w:ascii="Abadi" w:hAnsi="Abadi"/>
          <w:sz w:val="21"/>
          <w:szCs w:val="21"/>
        </w:rPr>
        <w:t xml:space="preserve"> el motor que la gente del campo hace y que además puede ser el ahorro de toda una vida el comprar un tractor o una maquinaria o un implemento</w:t>
      </w:r>
      <w:r>
        <w:rPr>
          <w:rFonts w:ascii="Abadi" w:hAnsi="Abadi"/>
          <w:sz w:val="21"/>
          <w:szCs w:val="21"/>
        </w:rPr>
        <w:t>.</w:t>
      </w:r>
    </w:p>
    <w:p w14:paraId="5BDAEFAD" w14:textId="77777777" w:rsidR="00A9293E" w:rsidRDefault="00A9293E" w:rsidP="00A9293E">
      <w:pPr>
        <w:jc w:val="both"/>
        <w:rPr>
          <w:rFonts w:ascii="Abadi" w:hAnsi="Abadi"/>
          <w:sz w:val="21"/>
          <w:szCs w:val="21"/>
        </w:rPr>
      </w:pPr>
    </w:p>
    <w:p w14:paraId="6D6A9914" w14:textId="77777777" w:rsidR="00A9293E" w:rsidRDefault="00A9293E" w:rsidP="00A9293E">
      <w:pPr>
        <w:jc w:val="both"/>
        <w:rPr>
          <w:rFonts w:ascii="Abadi" w:hAnsi="Abadi"/>
          <w:sz w:val="21"/>
          <w:szCs w:val="21"/>
        </w:rPr>
      </w:pPr>
      <w:r>
        <w:rPr>
          <w:rFonts w:ascii="Abadi" w:hAnsi="Abadi"/>
          <w:sz w:val="21"/>
          <w:szCs w:val="21"/>
        </w:rPr>
        <w:t>- P</w:t>
      </w:r>
      <w:r w:rsidRPr="0030088F">
        <w:rPr>
          <w:rFonts w:ascii="Abadi" w:hAnsi="Abadi"/>
          <w:sz w:val="21"/>
          <w:szCs w:val="21"/>
        </w:rPr>
        <w:t>ara ello</w:t>
      </w:r>
      <w:r>
        <w:rPr>
          <w:rFonts w:ascii="Abadi" w:hAnsi="Abadi"/>
          <w:sz w:val="21"/>
          <w:szCs w:val="21"/>
        </w:rPr>
        <w:t>,</w:t>
      </w:r>
      <w:r w:rsidRPr="0030088F">
        <w:rPr>
          <w:rFonts w:ascii="Abadi" w:hAnsi="Abadi"/>
          <w:sz w:val="21"/>
          <w:szCs w:val="21"/>
        </w:rPr>
        <w:t xml:space="preserve"> los diputados del </w:t>
      </w:r>
      <w:r>
        <w:rPr>
          <w:rFonts w:ascii="Abadi" w:hAnsi="Abadi"/>
          <w:sz w:val="21"/>
          <w:szCs w:val="21"/>
        </w:rPr>
        <w:t>PAN,</w:t>
      </w:r>
      <w:r w:rsidRPr="0030088F">
        <w:rPr>
          <w:rFonts w:ascii="Abadi" w:hAnsi="Abadi"/>
          <w:sz w:val="21"/>
          <w:szCs w:val="21"/>
        </w:rPr>
        <w:t xml:space="preserve"> legislamos para crear el primer registro de maquinaria agrícola e implementos agrícolas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con esto nuestras amigas y amigos del camp</w:t>
      </w:r>
      <w:r>
        <w:rPr>
          <w:rFonts w:ascii="Abadi" w:hAnsi="Abadi"/>
          <w:sz w:val="21"/>
          <w:szCs w:val="21"/>
        </w:rPr>
        <w:t>o</w:t>
      </w:r>
      <w:r w:rsidRPr="0030088F">
        <w:rPr>
          <w:rFonts w:ascii="Abadi" w:hAnsi="Abadi"/>
          <w:sz w:val="21"/>
          <w:szCs w:val="21"/>
        </w:rPr>
        <w:t xml:space="preserve"> van a tener la posibilidad de registrar ese tractor que a la mejor su papá o su abuelo les heredó y obtener un documento que acredite la palabra empeñada en un trato y</w:t>
      </w:r>
      <w:r>
        <w:rPr>
          <w:rFonts w:ascii="Abadi" w:hAnsi="Abadi"/>
          <w:sz w:val="21"/>
          <w:szCs w:val="21"/>
        </w:rPr>
        <w:t xml:space="preserve">a sea en </w:t>
      </w:r>
      <w:r w:rsidRPr="0030088F">
        <w:rPr>
          <w:rFonts w:ascii="Abadi" w:hAnsi="Abadi"/>
          <w:sz w:val="21"/>
          <w:szCs w:val="21"/>
        </w:rPr>
        <w:t>una venta o en una negociación</w:t>
      </w:r>
      <w:r>
        <w:rPr>
          <w:rFonts w:ascii="Abadi" w:hAnsi="Abadi"/>
          <w:sz w:val="21"/>
          <w:szCs w:val="21"/>
        </w:rPr>
        <w:t>,</w:t>
      </w:r>
      <w:r w:rsidRPr="0030088F">
        <w:rPr>
          <w:rFonts w:ascii="Abadi" w:hAnsi="Abadi"/>
          <w:sz w:val="21"/>
          <w:szCs w:val="21"/>
        </w:rPr>
        <w:t xml:space="preserve"> transformándose en una garantía de su posesión</w:t>
      </w:r>
      <w:r>
        <w:rPr>
          <w:rFonts w:ascii="Abadi" w:hAnsi="Abadi"/>
          <w:sz w:val="21"/>
          <w:szCs w:val="21"/>
        </w:rPr>
        <w:t>,</w:t>
      </w:r>
      <w:r w:rsidRPr="0030088F">
        <w:rPr>
          <w:rFonts w:ascii="Abadi" w:hAnsi="Abadi"/>
          <w:sz w:val="21"/>
          <w:szCs w:val="21"/>
        </w:rPr>
        <w:t xml:space="preserve"> nuestra gente del campo</w:t>
      </w:r>
      <w:r>
        <w:rPr>
          <w:rFonts w:ascii="Abadi" w:hAnsi="Abadi"/>
          <w:sz w:val="21"/>
          <w:szCs w:val="21"/>
        </w:rPr>
        <w:t>,</w:t>
      </w:r>
      <w:r w:rsidRPr="0030088F">
        <w:rPr>
          <w:rFonts w:ascii="Abadi" w:hAnsi="Abadi"/>
          <w:sz w:val="21"/>
          <w:szCs w:val="21"/>
        </w:rPr>
        <w:t xml:space="preserve"> espera resultados</w:t>
      </w:r>
      <w:r>
        <w:rPr>
          <w:rFonts w:ascii="Abadi" w:hAnsi="Abadi"/>
          <w:sz w:val="21"/>
          <w:szCs w:val="21"/>
        </w:rPr>
        <w:t>,</w:t>
      </w:r>
      <w:r w:rsidRPr="0030088F">
        <w:rPr>
          <w:rFonts w:ascii="Abadi" w:hAnsi="Abadi"/>
          <w:sz w:val="21"/>
          <w:szCs w:val="21"/>
        </w:rPr>
        <w:t xml:space="preserve"> la gente del campo no quiere discursos quiere hechos y esto es el inicio de una herramienta que puede ir evolucionando para prevenir</w:t>
      </w:r>
      <w:r>
        <w:rPr>
          <w:rFonts w:ascii="Abadi" w:hAnsi="Abadi"/>
          <w:sz w:val="21"/>
          <w:szCs w:val="21"/>
        </w:rPr>
        <w:t>,</w:t>
      </w:r>
      <w:r w:rsidRPr="0030088F">
        <w:rPr>
          <w:rFonts w:ascii="Abadi" w:hAnsi="Abadi"/>
          <w:sz w:val="21"/>
          <w:szCs w:val="21"/>
        </w:rPr>
        <w:t xml:space="preserve"> regular y dar certeza al patrimonio de nuestra gente del campo</w:t>
      </w:r>
      <w:r>
        <w:rPr>
          <w:rFonts w:ascii="Abadi" w:hAnsi="Abadi"/>
          <w:sz w:val="21"/>
          <w:szCs w:val="21"/>
        </w:rPr>
        <w:t>,</w:t>
      </w:r>
      <w:r w:rsidRPr="0030088F">
        <w:rPr>
          <w:rFonts w:ascii="Abadi" w:hAnsi="Abadi"/>
          <w:sz w:val="21"/>
          <w:szCs w:val="21"/>
        </w:rPr>
        <w:t xml:space="preserve"> los invito compañeras y compañeros a que apoyemos a la gente del campo</w:t>
      </w:r>
      <w:r>
        <w:rPr>
          <w:rFonts w:ascii="Abadi" w:hAnsi="Abadi"/>
          <w:sz w:val="21"/>
          <w:szCs w:val="21"/>
        </w:rPr>
        <w:t>,</w:t>
      </w:r>
      <w:r w:rsidRPr="0030088F">
        <w:rPr>
          <w:rFonts w:ascii="Abadi" w:hAnsi="Abadi"/>
          <w:sz w:val="21"/>
          <w:szCs w:val="21"/>
        </w:rPr>
        <w:t xml:space="preserve"> votemos a favor de este dictamen</w:t>
      </w:r>
      <w:r>
        <w:rPr>
          <w:rFonts w:ascii="Abadi" w:hAnsi="Abadi"/>
          <w:sz w:val="21"/>
          <w:szCs w:val="21"/>
        </w:rPr>
        <w:t>,</w:t>
      </w:r>
      <w:r w:rsidRPr="0030088F">
        <w:rPr>
          <w:rFonts w:ascii="Abadi" w:hAnsi="Abadi"/>
          <w:sz w:val="21"/>
          <w:szCs w:val="21"/>
        </w:rPr>
        <w:t xml:space="preserve"> que será ejemplo nacional y que juntos demos más un paso</w:t>
      </w:r>
      <w:r>
        <w:rPr>
          <w:rFonts w:ascii="Abadi" w:hAnsi="Abadi"/>
          <w:sz w:val="21"/>
          <w:szCs w:val="21"/>
        </w:rPr>
        <w:t>,</w:t>
      </w:r>
      <w:r w:rsidRPr="0030088F">
        <w:rPr>
          <w:rFonts w:ascii="Abadi" w:hAnsi="Abadi"/>
          <w:sz w:val="21"/>
          <w:szCs w:val="21"/>
        </w:rPr>
        <w:t xml:space="preserve"> para la grandeza del campo de Guanajuato</w:t>
      </w:r>
      <w:r>
        <w:rPr>
          <w:rFonts w:ascii="Abadi" w:hAnsi="Abadi"/>
          <w:sz w:val="21"/>
          <w:szCs w:val="21"/>
        </w:rPr>
        <w:t>,</w:t>
      </w:r>
      <w:r w:rsidRPr="0030088F">
        <w:rPr>
          <w:rFonts w:ascii="Abadi" w:hAnsi="Abadi"/>
          <w:sz w:val="21"/>
          <w:szCs w:val="21"/>
        </w:rPr>
        <w:t xml:space="preserve"> que es la grandeza de México</w:t>
      </w:r>
      <w:r>
        <w:rPr>
          <w:rFonts w:ascii="Abadi" w:hAnsi="Abadi"/>
          <w:sz w:val="21"/>
          <w:szCs w:val="21"/>
        </w:rPr>
        <w:t>.</w:t>
      </w:r>
    </w:p>
    <w:p w14:paraId="4D253C7D" w14:textId="77777777" w:rsidR="00A9293E" w:rsidRDefault="00A9293E" w:rsidP="00A9293E">
      <w:pPr>
        <w:jc w:val="both"/>
        <w:rPr>
          <w:rFonts w:ascii="Abadi" w:hAnsi="Abadi"/>
          <w:sz w:val="21"/>
          <w:szCs w:val="21"/>
        </w:rPr>
      </w:pPr>
    </w:p>
    <w:p w14:paraId="2D7F840F" w14:textId="77777777" w:rsidR="00A9293E" w:rsidRDefault="00A9293E" w:rsidP="00A9293E">
      <w:pPr>
        <w:jc w:val="both"/>
        <w:rPr>
          <w:rFonts w:ascii="Abadi" w:hAnsi="Abadi"/>
          <w:sz w:val="21"/>
          <w:szCs w:val="21"/>
        </w:rPr>
      </w:pPr>
      <w:r>
        <w:rPr>
          <w:rFonts w:ascii="Abadi" w:hAnsi="Abadi"/>
          <w:sz w:val="21"/>
          <w:szCs w:val="21"/>
        </w:rPr>
        <w:lastRenderedPageBreak/>
        <w:t>- E</w:t>
      </w:r>
      <w:r w:rsidRPr="0030088F">
        <w:rPr>
          <w:rFonts w:ascii="Abadi" w:hAnsi="Abadi"/>
          <w:sz w:val="21"/>
          <w:szCs w:val="21"/>
        </w:rPr>
        <w:t>s cuánto y muchas gracias</w:t>
      </w:r>
      <w:r>
        <w:rPr>
          <w:rFonts w:ascii="Abadi" w:hAnsi="Abadi"/>
          <w:sz w:val="21"/>
          <w:szCs w:val="21"/>
        </w:rPr>
        <w:t>.</w:t>
      </w:r>
    </w:p>
    <w:p w14:paraId="7832F18F" w14:textId="77777777" w:rsidR="00A9293E" w:rsidRPr="0030088F" w:rsidRDefault="00A9293E" w:rsidP="00A9293E">
      <w:pPr>
        <w:jc w:val="both"/>
        <w:rPr>
          <w:rFonts w:ascii="Abadi" w:hAnsi="Abadi"/>
          <w:sz w:val="21"/>
          <w:szCs w:val="21"/>
        </w:rPr>
      </w:pPr>
    </w:p>
    <w:p w14:paraId="0FFA0D97" w14:textId="77777777" w:rsidR="00A9293E" w:rsidRDefault="00A9293E" w:rsidP="00A9293E">
      <w:pPr>
        <w:jc w:val="both"/>
        <w:rPr>
          <w:rFonts w:ascii="Abadi" w:hAnsi="Abadi"/>
          <w:sz w:val="21"/>
          <w:szCs w:val="21"/>
        </w:rPr>
      </w:pPr>
      <w:r>
        <w:rPr>
          <w:rFonts w:ascii="Abadi" w:hAnsi="Abadi"/>
          <w:sz w:val="21"/>
          <w:szCs w:val="21"/>
        </w:rPr>
        <w:tab/>
      </w:r>
      <w:r w:rsidRPr="00275E12">
        <w:rPr>
          <w:rFonts w:ascii="Abadi" w:hAnsi="Abadi"/>
          <w:b/>
          <w:bCs/>
          <w:sz w:val="21"/>
          <w:szCs w:val="21"/>
        </w:rPr>
        <w:t xml:space="preserve">- La </w:t>
      </w:r>
      <w:proofErr w:type="gramStart"/>
      <w:r w:rsidRPr="00275E12">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 xml:space="preserve">. </w:t>
      </w:r>
    </w:p>
    <w:p w14:paraId="4C69E191" w14:textId="77777777" w:rsidR="00A9293E" w:rsidRDefault="00A9293E" w:rsidP="00A9293E">
      <w:pPr>
        <w:jc w:val="both"/>
        <w:rPr>
          <w:rFonts w:ascii="Abadi" w:hAnsi="Abadi"/>
          <w:sz w:val="21"/>
          <w:szCs w:val="21"/>
        </w:rPr>
      </w:pPr>
    </w:p>
    <w:p w14:paraId="06E8210B" w14:textId="77777777" w:rsidR="00A9293E" w:rsidRDefault="00A9293E" w:rsidP="00A9293E">
      <w:pPr>
        <w:jc w:val="both"/>
        <w:rPr>
          <w:rFonts w:ascii="Abadi" w:hAnsi="Abadi"/>
          <w:sz w:val="21"/>
          <w:szCs w:val="21"/>
        </w:rPr>
      </w:pPr>
      <w:r>
        <w:rPr>
          <w:rFonts w:ascii="Abadi" w:hAnsi="Abadi"/>
          <w:sz w:val="21"/>
          <w:szCs w:val="21"/>
        </w:rPr>
        <w:tab/>
        <w:t>- A</w:t>
      </w:r>
      <w:r w:rsidRPr="0030088F">
        <w:rPr>
          <w:rFonts w:ascii="Abadi" w:hAnsi="Abadi"/>
          <w:sz w:val="21"/>
          <w:szCs w:val="21"/>
        </w:rPr>
        <w:t xml:space="preserve">gotadas las intervenciones se pide a la secretaría que proceda a recabar votación nominal de la </w:t>
      </w:r>
      <w:r>
        <w:rPr>
          <w:rFonts w:ascii="Abadi" w:hAnsi="Abadi"/>
          <w:sz w:val="21"/>
          <w:szCs w:val="21"/>
        </w:rPr>
        <w:t>A</w:t>
      </w:r>
      <w:r w:rsidRPr="0030088F">
        <w:rPr>
          <w:rFonts w:ascii="Abadi" w:hAnsi="Abadi"/>
          <w:sz w:val="21"/>
          <w:szCs w:val="21"/>
        </w:rPr>
        <w:t>samblea a través del sistema electrónico</w:t>
      </w:r>
      <w:r>
        <w:rPr>
          <w:rFonts w:ascii="Abadi" w:hAnsi="Abadi"/>
          <w:sz w:val="21"/>
          <w:szCs w:val="21"/>
        </w:rPr>
        <w:t>,</w:t>
      </w:r>
      <w:r w:rsidRPr="0030088F">
        <w:rPr>
          <w:rFonts w:ascii="Abadi" w:hAnsi="Abadi"/>
          <w:sz w:val="21"/>
          <w:szCs w:val="21"/>
        </w:rPr>
        <w:t xml:space="preserve"> a efecto de aprobar o no el dictamen en lo general puesto a consideración</w:t>
      </w:r>
      <w:r>
        <w:rPr>
          <w:rFonts w:ascii="Abadi" w:hAnsi="Abadi"/>
          <w:sz w:val="21"/>
          <w:szCs w:val="21"/>
        </w:rPr>
        <w:t xml:space="preserve">. </w:t>
      </w:r>
    </w:p>
    <w:p w14:paraId="20C1D3D2" w14:textId="77777777" w:rsidR="00A9293E" w:rsidRDefault="00A9293E" w:rsidP="00A9293E">
      <w:pPr>
        <w:jc w:val="both"/>
        <w:rPr>
          <w:rFonts w:ascii="Abadi" w:hAnsi="Abadi"/>
          <w:sz w:val="21"/>
          <w:szCs w:val="21"/>
        </w:rPr>
      </w:pPr>
    </w:p>
    <w:p w14:paraId="1248458B" w14:textId="77777777" w:rsidR="00A9293E" w:rsidRDefault="00A9293E" w:rsidP="00A9293E">
      <w:pPr>
        <w:jc w:val="both"/>
        <w:rPr>
          <w:rFonts w:ascii="Abadi" w:hAnsi="Abadi"/>
          <w:b/>
          <w:bCs/>
          <w:sz w:val="21"/>
          <w:szCs w:val="21"/>
        </w:rPr>
      </w:pPr>
      <w:r w:rsidRPr="00CF6F0E">
        <w:rPr>
          <w:rFonts w:ascii="Abadi" w:hAnsi="Abadi"/>
          <w:b/>
          <w:bCs/>
          <w:sz w:val="21"/>
          <w:szCs w:val="21"/>
        </w:rPr>
        <w:t>(se abre el sistema electrónico)</w:t>
      </w:r>
    </w:p>
    <w:p w14:paraId="463CFE7F" w14:textId="77777777" w:rsidR="00A9293E" w:rsidRPr="00CF6F0E" w:rsidRDefault="00A9293E" w:rsidP="00A9293E">
      <w:pPr>
        <w:jc w:val="both"/>
        <w:rPr>
          <w:rFonts w:ascii="Abadi" w:hAnsi="Abadi"/>
          <w:b/>
          <w:bCs/>
          <w:sz w:val="21"/>
          <w:szCs w:val="21"/>
        </w:rPr>
      </w:pPr>
    </w:p>
    <w:p w14:paraId="79A08EDA" w14:textId="77777777" w:rsidR="00A9293E" w:rsidRDefault="00A9293E" w:rsidP="00A9293E">
      <w:pPr>
        <w:jc w:val="both"/>
        <w:rPr>
          <w:rFonts w:ascii="Abadi" w:hAnsi="Abadi"/>
          <w:sz w:val="21"/>
          <w:szCs w:val="21"/>
        </w:rPr>
      </w:pPr>
      <w:r>
        <w:rPr>
          <w:rFonts w:ascii="Abadi" w:hAnsi="Abadi"/>
          <w:sz w:val="21"/>
          <w:szCs w:val="21"/>
        </w:rPr>
        <w:tab/>
      </w:r>
      <w:r w:rsidRPr="00CF6F0E">
        <w:rPr>
          <w:rFonts w:ascii="Abadi" w:hAnsi="Abadi"/>
          <w:b/>
          <w:bCs/>
          <w:sz w:val="21"/>
          <w:szCs w:val="21"/>
        </w:rPr>
        <w:t xml:space="preserve">- La </w:t>
      </w:r>
      <w:proofErr w:type="gramStart"/>
      <w:r w:rsidRPr="00CF6F0E">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or instrucciones de la presidencia en votación nominal y por el sistema electrónico se les pregunta si se aprueba en lo general el dictamen que se pone a su consideración</w:t>
      </w:r>
      <w:r>
        <w:rPr>
          <w:rFonts w:ascii="Abadi" w:hAnsi="Abadi"/>
          <w:sz w:val="21"/>
          <w:szCs w:val="21"/>
        </w:rPr>
        <w:t>. ¿diputada Martha Lourdes? ¿diputada Katya? ¿diputada Ruth Noemí Tiscareño?</w:t>
      </w:r>
    </w:p>
    <w:p w14:paraId="6090B3C0" w14:textId="77777777" w:rsidR="00A9293E" w:rsidRDefault="00A9293E" w:rsidP="00A9293E">
      <w:pPr>
        <w:jc w:val="both"/>
        <w:rPr>
          <w:rFonts w:ascii="Abadi" w:hAnsi="Abadi"/>
          <w:sz w:val="21"/>
          <w:szCs w:val="21"/>
        </w:rPr>
      </w:pPr>
    </w:p>
    <w:p w14:paraId="1F954B97" w14:textId="77777777" w:rsidR="00A9293E" w:rsidRDefault="00A9293E" w:rsidP="00A9293E">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5ACAB313" w14:textId="77777777" w:rsidR="00A9293E" w:rsidRDefault="00A9293E" w:rsidP="00A9293E">
      <w:pPr>
        <w:jc w:val="both"/>
        <w:rPr>
          <w:rFonts w:ascii="Abadi" w:hAnsi="Abadi"/>
          <w:sz w:val="21"/>
          <w:szCs w:val="21"/>
        </w:rPr>
      </w:pPr>
    </w:p>
    <w:p w14:paraId="3D81A637" w14:textId="77777777" w:rsidR="00A9293E" w:rsidRDefault="00A9293E" w:rsidP="00A9293E">
      <w:pPr>
        <w:jc w:val="both"/>
        <w:rPr>
          <w:rFonts w:ascii="Abadi" w:hAnsi="Abadi"/>
          <w:b/>
          <w:bCs/>
          <w:sz w:val="21"/>
          <w:szCs w:val="21"/>
        </w:rPr>
      </w:pPr>
      <w:r w:rsidRPr="00723785">
        <w:rPr>
          <w:rFonts w:ascii="Abadi" w:hAnsi="Abadi"/>
          <w:b/>
          <w:bCs/>
          <w:sz w:val="21"/>
          <w:szCs w:val="21"/>
        </w:rPr>
        <w:t>(se cierra el sistema electrónico)</w:t>
      </w:r>
    </w:p>
    <w:p w14:paraId="31D254F6" w14:textId="77777777" w:rsidR="00A9293E" w:rsidRPr="00723785" w:rsidRDefault="00A9293E" w:rsidP="00A9293E">
      <w:pPr>
        <w:jc w:val="both"/>
        <w:rPr>
          <w:rFonts w:ascii="Abadi" w:hAnsi="Abadi"/>
          <w:b/>
          <w:bCs/>
          <w:sz w:val="21"/>
          <w:szCs w:val="21"/>
        </w:rPr>
      </w:pPr>
      <w:r>
        <w:rPr>
          <w:noProof/>
        </w:rPr>
        <w:drawing>
          <wp:inline distT="0" distB="0" distL="0" distR="0" wp14:anchorId="732969E0" wp14:editId="2D44D910">
            <wp:extent cx="1487365" cy="779839"/>
            <wp:effectExtent l="247650" t="247650" r="246380" b="248920"/>
            <wp:docPr id="2044274414" name="Imagen 204427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274414" name=""/>
                    <pic:cNvPicPr/>
                  </pic:nvPicPr>
                  <pic:blipFill rotWithShape="1">
                    <a:blip r:embed="rId62"/>
                    <a:srcRect b="6783"/>
                    <a:stretch/>
                  </pic:blipFill>
                  <pic:spPr bwMode="auto">
                    <a:xfrm>
                      <a:off x="0" y="0"/>
                      <a:ext cx="1500422" cy="78668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D12380F" w14:textId="77777777" w:rsidR="00A9293E" w:rsidRDefault="00A9293E" w:rsidP="00A9293E">
      <w:pPr>
        <w:jc w:val="both"/>
        <w:rPr>
          <w:rFonts w:ascii="Abadi" w:hAnsi="Abadi"/>
          <w:sz w:val="21"/>
          <w:szCs w:val="21"/>
        </w:rPr>
      </w:pPr>
      <w:r>
        <w:rPr>
          <w:rFonts w:ascii="Abadi" w:hAnsi="Abadi"/>
          <w:sz w:val="21"/>
          <w:szCs w:val="21"/>
        </w:rPr>
        <w:tab/>
      </w:r>
      <w:r w:rsidRPr="0030088F">
        <w:rPr>
          <w:rFonts w:ascii="Abadi" w:hAnsi="Abadi"/>
          <w:sz w:val="21"/>
          <w:szCs w:val="21"/>
        </w:rPr>
        <w:t xml:space="preserve"> </w:t>
      </w:r>
      <w:r w:rsidRPr="000B4A0D">
        <w:rPr>
          <w:rFonts w:ascii="Abadi" w:hAnsi="Abadi"/>
          <w:b/>
          <w:bCs/>
          <w:sz w:val="21"/>
          <w:szCs w:val="21"/>
        </w:rPr>
        <w:t xml:space="preserve">- La </w:t>
      </w:r>
      <w:proofErr w:type="gramStart"/>
      <w:r w:rsidRPr="000B4A0D">
        <w:rPr>
          <w:rFonts w:ascii="Abadi" w:hAnsi="Abadi"/>
          <w:b/>
          <w:bCs/>
          <w:sz w:val="21"/>
          <w:szCs w:val="21"/>
        </w:rPr>
        <w:t>Secretaría.-</w:t>
      </w:r>
      <w:proofErr w:type="gramEnd"/>
      <w:r w:rsidRPr="000B4A0D">
        <w:rPr>
          <w:rFonts w:ascii="Abadi" w:hAnsi="Abadi"/>
          <w:b/>
          <w:bCs/>
          <w:sz w:val="21"/>
          <w:szCs w:val="21"/>
        </w:rPr>
        <w:t xml:space="preserve"> </w:t>
      </w:r>
      <w:r>
        <w:rPr>
          <w:rFonts w:ascii="Abadi" w:hAnsi="Abadi"/>
          <w:sz w:val="21"/>
          <w:szCs w:val="21"/>
        </w:rPr>
        <w:t>P</w:t>
      </w:r>
      <w:r w:rsidRPr="0030088F">
        <w:rPr>
          <w:rFonts w:ascii="Abadi" w:hAnsi="Abadi"/>
          <w:sz w:val="21"/>
          <w:szCs w:val="21"/>
        </w:rPr>
        <w:t>residenta lo informó que se registraron 31 votos a favor y cero votos en contra</w:t>
      </w:r>
      <w:r>
        <w:rPr>
          <w:rFonts w:ascii="Abadi" w:hAnsi="Abadi"/>
          <w:sz w:val="21"/>
          <w:szCs w:val="21"/>
        </w:rPr>
        <w:t>.</w:t>
      </w:r>
    </w:p>
    <w:p w14:paraId="324D0757" w14:textId="77777777" w:rsidR="00A9293E" w:rsidRDefault="00A9293E" w:rsidP="00A9293E">
      <w:pPr>
        <w:jc w:val="both"/>
        <w:rPr>
          <w:rFonts w:ascii="Abadi" w:hAnsi="Abadi"/>
          <w:sz w:val="21"/>
          <w:szCs w:val="21"/>
        </w:rPr>
      </w:pPr>
    </w:p>
    <w:p w14:paraId="6EFD775B" w14:textId="77777777" w:rsidR="00A9293E" w:rsidRDefault="00A9293E" w:rsidP="00A9293E">
      <w:pPr>
        <w:jc w:val="both"/>
        <w:rPr>
          <w:rFonts w:ascii="Abadi" w:hAnsi="Abadi"/>
          <w:sz w:val="21"/>
          <w:szCs w:val="21"/>
        </w:rPr>
      </w:pPr>
      <w:r>
        <w:rPr>
          <w:rFonts w:ascii="Abadi" w:hAnsi="Abadi"/>
          <w:b/>
          <w:bCs/>
          <w:sz w:val="21"/>
          <w:szCs w:val="21"/>
        </w:rPr>
        <w:tab/>
      </w:r>
      <w:r w:rsidRPr="000B4A0D">
        <w:rPr>
          <w:rFonts w:ascii="Abadi" w:hAnsi="Abadi"/>
          <w:b/>
          <w:bCs/>
          <w:sz w:val="21"/>
          <w:szCs w:val="21"/>
        </w:rPr>
        <w:t xml:space="preserve"> -  La </w:t>
      </w:r>
      <w:proofErr w:type="gramStart"/>
      <w:r w:rsidRPr="000B4A0D">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en lo general por unanimidad de votos</w:t>
      </w:r>
      <w:r>
        <w:rPr>
          <w:rFonts w:ascii="Abadi" w:hAnsi="Abadi"/>
          <w:sz w:val="21"/>
          <w:szCs w:val="21"/>
        </w:rPr>
        <w:t>.</w:t>
      </w:r>
    </w:p>
    <w:p w14:paraId="5E4D7A92" w14:textId="77777777" w:rsidR="00A9293E" w:rsidRDefault="00A9293E" w:rsidP="00A9293E">
      <w:pPr>
        <w:jc w:val="both"/>
        <w:rPr>
          <w:rFonts w:ascii="Abadi" w:hAnsi="Abadi"/>
          <w:sz w:val="21"/>
          <w:szCs w:val="21"/>
        </w:rPr>
      </w:pPr>
    </w:p>
    <w:p w14:paraId="0CD8CB15" w14:textId="77777777" w:rsidR="00A9293E" w:rsidRDefault="00A9293E" w:rsidP="00A9293E">
      <w:pPr>
        <w:jc w:val="both"/>
        <w:rPr>
          <w:rFonts w:ascii="Abadi" w:hAnsi="Abadi"/>
          <w:sz w:val="21"/>
          <w:szCs w:val="21"/>
        </w:rPr>
      </w:pPr>
      <w:r>
        <w:rPr>
          <w:rFonts w:ascii="Abadi" w:hAnsi="Abadi"/>
          <w:sz w:val="21"/>
          <w:szCs w:val="21"/>
        </w:rPr>
        <w:tab/>
      </w:r>
      <w:r w:rsidRPr="0030088F">
        <w:rPr>
          <w:rFonts w:ascii="Abadi" w:hAnsi="Abadi"/>
          <w:sz w:val="21"/>
          <w:szCs w:val="21"/>
        </w:rPr>
        <w:t xml:space="preserve"> </w:t>
      </w:r>
      <w:r>
        <w:rPr>
          <w:rFonts w:ascii="Abadi" w:hAnsi="Abadi"/>
          <w:sz w:val="21"/>
          <w:szCs w:val="21"/>
        </w:rPr>
        <w:t>- C</w:t>
      </w:r>
      <w:r w:rsidRPr="0030088F">
        <w:rPr>
          <w:rFonts w:ascii="Abadi" w:hAnsi="Abadi"/>
          <w:sz w:val="21"/>
          <w:szCs w:val="21"/>
        </w:rPr>
        <w:t>orresponde someter a discusión el dictamen en lo particular si desean reservar cualquiera de los artículos que contiene sírvanse apartarlo en la inteligencia de que los artículos no reservados se tendrán por aprobados</w:t>
      </w:r>
      <w:r>
        <w:rPr>
          <w:rFonts w:ascii="Abadi" w:hAnsi="Abadi"/>
          <w:sz w:val="21"/>
          <w:szCs w:val="21"/>
        </w:rPr>
        <w:t>. E</w:t>
      </w:r>
      <w:r w:rsidRPr="0030088F">
        <w:rPr>
          <w:rFonts w:ascii="Abadi" w:hAnsi="Abadi"/>
          <w:sz w:val="21"/>
          <w:szCs w:val="21"/>
        </w:rPr>
        <w:t>sta presidencia declara tener por aprobados los artículos contenidos en el dictamen</w:t>
      </w:r>
      <w:r>
        <w:rPr>
          <w:rFonts w:ascii="Abadi" w:hAnsi="Abadi"/>
          <w:sz w:val="21"/>
          <w:szCs w:val="21"/>
        </w:rPr>
        <w:t>.</w:t>
      </w:r>
    </w:p>
    <w:p w14:paraId="65120598" w14:textId="77777777" w:rsidR="00A9293E" w:rsidRDefault="00A9293E" w:rsidP="00A9293E">
      <w:pPr>
        <w:jc w:val="both"/>
        <w:rPr>
          <w:rFonts w:ascii="Abadi" w:hAnsi="Abadi"/>
          <w:sz w:val="21"/>
          <w:szCs w:val="21"/>
        </w:rPr>
      </w:pPr>
    </w:p>
    <w:p w14:paraId="5BA904D5" w14:textId="73F3A331" w:rsidR="005765CB" w:rsidRDefault="00A9293E" w:rsidP="00A9293E">
      <w:pPr>
        <w:pStyle w:val="Sinespaciado"/>
        <w:spacing w:line="276" w:lineRule="auto"/>
        <w:ind w:left="851" w:right="567"/>
        <w:jc w:val="both"/>
        <w:rPr>
          <w:rFonts w:ascii="Abadi" w:eastAsia="Arial Unicode MS" w:hAnsi="Abadi" w:cs="Arial"/>
          <w:b/>
          <w:sz w:val="21"/>
          <w:szCs w:val="21"/>
        </w:rPr>
      </w:pPr>
      <w:r w:rsidRPr="006B54D1">
        <w:rPr>
          <w:rFonts w:ascii="Abadi" w:hAnsi="Abadi"/>
          <w:b/>
          <w:bCs/>
          <w:i/>
          <w:iCs/>
          <w:sz w:val="21"/>
          <w:szCs w:val="21"/>
          <w:u w:val="single"/>
        </w:rPr>
        <w:t>Remitase al Ejecutivo del Estado el decreto aprobado para los efectos constitucionales de su competencia</w:t>
      </w:r>
    </w:p>
    <w:p w14:paraId="1E6F8125" w14:textId="77777777" w:rsidR="00374533" w:rsidRPr="00006796" w:rsidRDefault="00374533" w:rsidP="00A9293E">
      <w:pPr>
        <w:autoSpaceDE w:val="0"/>
        <w:autoSpaceDN w:val="0"/>
        <w:adjustRightInd w:val="0"/>
        <w:ind w:left="851" w:right="567"/>
        <w:jc w:val="both"/>
        <w:rPr>
          <w:rFonts w:ascii="Abadi" w:hAnsi="Abadi" w:cs="Arial-ItalicMT"/>
          <w:b/>
          <w:bCs/>
          <w:i/>
          <w:iCs/>
          <w:sz w:val="21"/>
          <w:szCs w:val="21"/>
        </w:rPr>
      </w:pPr>
    </w:p>
    <w:p w14:paraId="36BA3A57" w14:textId="2364C023"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FOMENTO AGROPECUARIO RELATIVO A LA INICIATIVA SUSCRITA POR DIPUTADAS Y DIPUTADOS INTEGRANTES DEL GRUPO PARLAMENTARIO DEL PARTIDO ACCIÓN NACIONAL A EFECTO DE ADICIONAR DIVERSAS DISPOSICIONES A LA LEY DE FOMENTO A LA AGRICULTURA FAMILIAR DEL ESTADO DE GUANAJUATO. </w:t>
      </w:r>
      <w:r w:rsidRPr="00006796">
        <w:rPr>
          <w:rFonts w:ascii="Abadi" w:hAnsi="Abadi" w:cs="Arial-ItalicMT"/>
          <w:b/>
          <w:bCs/>
          <w:i/>
          <w:iCs/>
          <w:sz w:val="21"/>
          <w:szCs w:val="21"/>
        </w:rPr>
        <w:t>(ELD 309/LXV-I)</w:t>
      </w:r>
      <w:r w:rsidR="00216FBD">
        <w:rPr>
          <w:rStyle w:val="Refdenotaalpie"/>
          <w:rFonts w:ascii="Abadi" w:hAnsi="Abadi" w:cs="Arial-ItalicMT"/>
          <w:b/>
          <w:bCs/>
          <w:i/>
          <w:iCs/>
          <w:sz w:val="21"/>
          <w:szCs w:val="21"/>
        </w:rPr>
        <w:footnoteReference w:id="202"/>
      </w:r>
    </w:p>
    <w:p w14:paraId="30E16CB8" w14:textId="77777777" w:rsidR="00507CB6" w:rsidRDefault="00507CB6" w:rsidP="00507CB6">
      <w:pPr>
        <w:autoSpaceDE w:val="0"/>
        <w:autoSpaceDN w:val="0"/>
        <w:adjustRightInd w:val="0"/>
        <w:contextualSpacing/>
        <w:jc w:val="both"/>
        <w:rPr>
          <w:rFonts w:ascii="Abadi" w:hAnsi="Abadi" w:cs="Arial-ItalicMT"/>
          <w:b/>
          <w:bCs/>
          <w:i/>
          <w:iCs/>
          <w:sz w:val="21"/>
          <w:szCs w:val="21"/>
        </w:rPr>
      </w:pPr>
    </w:p>
    <w:p w14:paraId="29844948" w14:textId="77777777" w:rsidR="00962D70" w:rsidRPr="00833798" w:rsidRDefault="00962D70" w:rsidP="00833798">
      <w:pPr>
        <w:pStyle w:val="Sinespaciado"/>
        <w:rPr>
          <w:rFonts w:ascii="Abadi" w:hAnsi="Abadi" w:cs="Arial"/>
          <w:b/>
          <w:sz w:val="21"/>
          <w:szCs w:val="21"/>
        </w:rPr>
      </w:pPr>
      <w:r w:rsidRPr="00833798">
        <w:rPr>
          <w:rFonts w:ascii="Abadi" w:hAnsi="Abadi" w:cs="Arial"/>
          <w:b/>
          <w:sz w:val="21"/>
          <w:szCs w:val="21"/>
        </w:rPr>
        <w:t>Diputada presidenta del Congreso del Estado</w:t>
      </w:r>
    </w:p>
    <w:p w14:paraId="52FC1417" w14:textId="77777777" w:rsidR="00962D70" w:rsidRPr="00833798" w:rsidRDefault="00962D70" w:rsidP="00833798">
      <w:pPr>
        <w:pStyle w:val="Sinespaciado"/>
        <w:rPr>
          <w:rFonts w:ascii="Abadi" w:hAnsi="Abadi" w:cs="Arial"/>
          <w:b/>
          <w:sz w:val="21"/>
          <w:szCs w:val="21"/>
        </w:rPr>
      </w:pPr>
      <w:r w:rsidRPr="00833798">
        <w:rPr>
          <w:rFonts w:ascii="Abadi" w:hAnsi="Abadi" w:cs="Arial"/>
          <w:b/>
          <w:sz w:val="21"/>
          <w:szCs w:val="21"/>
        </w:rPr>
        <w:t>P r e s e n t e.</w:t>
      </w:r>
    </w:p>
    <w:p w14:paraId="2B9B9464" w14:textId="77777777" w:rsidR="00962D70" w:rsidRPr="00833798" w:rsidRDefault="00962D70" w:rsidP="00833798">
      <w:pPr>
        <w:ind w:firstLine="708"/>
        <w:jc w:val="both"/>
        <w:rPr>
          <w:rFonts w:ascii="Abadi" w:hAnsi="Abadi"/>
          <w:sz w:val="21"/>
          <w:szCs w:val="21"/>
        </w:rPr>
      </w:pPr>
    </w:p>
    <w:p w14:paraId="0A989899"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 xml:space="preserve">La Comisión de Fomento Agropecuario de la Sexagésima Quinta Legislatura recibió para efectos de estudio y dictamen, </w:t>
      </w:r>
      <w:bookmarkStart w:id="10" w:name="_Hlk19006173"/>
      <w:r w:rsidRPr="00833798">
        <w:rPr>
          <w:rFonts w:ascii="Abadi" w:hAnsi="Abadi"/>
          <w:sz w:val="21"/>
          <w:szCs w:val="21"/>
        </w:rPr>
        <w:t>la iniciativa suscrita por diputadas y diputados integrantes del Grupo Parlamentario del Partido Acción Nacional a efecto de adicionar diversas disposiciones a la Ley de Fomento a la Agricultura Familiar del Estado de Guanajuato. ELD 309/LXV-I.</w:t>
      </w:r>
    </w:p>
    <w:bookmarkEnd w:id="10"/>
    <w:p w14:paraId="1B22D803" w14:textId="77777777" w:rsidR="00962D70" w:rsidRPr="00833798" w:rsidRDefault="00962D70" w:rsidP="00833798">
      <w:pPr>
        <w:ind w:firstLine="708"/>
        <w:jc w:val="both"/>
        <w:rPr>
          <w:rFonts w:ascii="Abadi" w:hAnsi="Abadi"/>
          <w:sz w:val="21"/>
          <w:szCs w:val="21"/>
        </w:rPr>
      </w:pPr>
    </w:p>
    <w:p w14:paraId="22C5A7EF"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Por lo anterior, con fundamento en los artículos 89 fracción V, 110 fracciones I y III, y 171 de la Ley Orgánica del Poder Legislativo del Estado de Guanajuato, sometemos a la consideración de la Asamblea el presente:</w:t>
      </w:r>
    </w:p>
    <w:p w14:paraId="13C8422F" w14:textId="77777777" w:rsidR="00962D70" w:rsidRPr="00833798" w:rsidRDefault="00962D70" w:rsidP="00833798">
      <w:pPr>
        <w:pStyle w:val="Ttulo1"/>
        <w:jc w:val="center"/>
        <w:rPr>
          <w:rFonts w:ascii="Abadi" w:eastAsia="Batang" w:hAnsi="Abadi" w:cs="Arial"/>
          <w:sz w:val="21"/>
          <w:szCs w:val="21"/>
        </w:rPr>
      </w:pPr>
    </w:p>
    <w:p w14:paraId="049FCE0F" w14:textId="77777777" w:rsidR="00962D70" w:rsidRPr="00833798" w:rsidRDefault="00962D70" w:rsidP="00833798">
      <w:pPr>
        <w:pStyle w:val="Ttulo1"/>
        <w:jc w:val="center"/>
        <w:rPr>
          <w:rFonts w:ascii="Abadi" w:eastAsia="Batang" w:hAnsi="Abadi" w:cs="Arial"/>
          <w:sz w:val="21"/>
          <w:szCs w:val="21"/>
        </w:rPr>
      </w:pPr>
      <w:r w:rsidRPr="00833798">
        <w:rPr>
          <w:rFonts w:ascii="Abadi" w:eastAsia="Batang" w:hAnsi="Abadi" w:cs="Arial"/>
          <w:sz w:val="21"/>
          <w:szCs w:val="21"/>
        </w:rPr>
        <w:t>D I C T A M E N</w:t>
      </w:r>
    </w:p>
    <w:p w14:paraId="01B0C5C8" w14:textId="77777777" w:rsidR="00962D70" w:rsidRPr="00833798" w:rsidRDefault="00962D70" w:rsidP="00833798">
      <w:pPr>
        <w:rPr>
          <w:rFonts w:ascii="Abadi" w:eastAsia="Batang" w:hAnsi="Abadi"/>
          <w:sz w:val="21"/>
          <w:szCs w:val="21"/>
          <w:lang w:val="es-ES_tradnl"/>
        </w:rPr>
      </w:pPr>
    </w:p>
    <w:p w14:paraId="75A04333" w14:textId="77777777" w:rsidR="00962D70" w:rsidRPr="00833798" w:rsidRDefault="00962D70" w:rsidP="00833798">
      <w:pPr>
        <w:pStyle w:val="Prrafodelista"/>
        <w:numPr>
          <w:ilvl w:val="0"/>
          <w:numId w:val="35"/>
        </w:numPr>
        <w:jc w:val="both"/>
        <w:rPr>
          <w:rFonts w:ascii="Abadi" w:eastAsia="Batang" w:hAnsi="Abadi" w:cs="Arial"/>
          <w:b/>
          <w:bCs/>
          <w:sz w:val="21"/>
          <w:szCs w:val="21"/>
        </w:rPr>
      </w:pPr>
      <w:r w:rsidRPr="00833798">
        <w:rPr>
          <w:rFonts w:ascii="Abadi" w:eastAsia="Batang" w:hAnsi="Abadi" w:cs="Arial"/>
          <w:b/>
          <w:bCs/>
          <w:sz w:val="21"/>
          <w:szCs w:val="21"/>
        </w:rPr>
        <w:t>Competencia</w:t>
      </w:r>
    </w:p>
    <w:p w14:paraId="203EE88D" w14:textId="77777777" w:rsidR="00962D70" w:rsidRPr="00833798" w:rsidRDefault="00962D70" w:rsidP="00833798">
      <w:pPr>
        <w:pStyle w:val="Prrafodelista"/>
        <w:ind w:left="1428"/>
        <w:jc w:val="both"/>
        <w:rPr>
          <w:rFonts w:ascii="Abadi" w:eastAsia="Batang" w:hAnsi="Abadi" w:cs="Arial"/>
          <w:b/>
          <w:bCs/>
          <w:sz w:val="21"/>
          <w:szCs w:val="21"/>
        </w:rPr>
      </w:pPr>
    </w:p>
    <w:p w14:paraId="286C3EB8" w14:textId="77777777" w:rsidR="00962D70" w:rsidRPr="00833798" w:rsidRDefault="00962D70" w:rsidP="00833798">
      <w:pPr>
        <w:ind w:firstLine="708"/>
        <w:jc w:val="both"/>
        <w:rPr>
          <w:rFonts w:ascii="Abadi" w:eastAsia="Batang" w:hAnsi="Abadi" w:cs="Arial"/>
          <w:bCs/>
          <w:sz w:val="21"/>
          <w:szCs w:val="21"/>
        </w:rPr>
      </w:pPr>
      <w:r w:rsidRPr="00833798">
        <w:rPr>
          <w:rFonts w:ascii="Abadi" w:eastAsia="Batang" w:hAnsi="Abadi" w:cs="Arial"/>
          <w:bCs/>
          <w:sz w:val="21"/>
          <w:szCs w:val="21"/>
        </w:rPr>
        <w:t xml:space="preserve">De conformidad con lo dispuesto por las fracciones I y III del artículo 110, de la Ley Orgánica del Poder Legislativo del Estado de Guanajuato, es competencia de la Comisión de Fomento Agropecuario el estudio y conocimiento de los asuntos que se refieran a las iniciativas de ley o modificaciones, relacionadas con legislación en materia agropecuaria; así como aquellos referentes al </w:t>
      </w:r>
      <w:r w:rsidRPr="00833798">
        <w:rPr>
          <w:rFonts w:ascii="Abadi" w:eastAsia="Batang" w:hAnsi="Abadi" w:cs="Arial"/>
          <w:bCs/>
          <w:sz w:val="21"/>
          <w:szCs w:val="21"/>
        </w:rPr>
        <w:lastRenderedPageBreak/>
        <w:t>desarrollo rural y mejoramiento de los ejidatarios, comuneros y pequeños propietarios agrícolas, forestales y ganaderos, que sean de competencia estatal de conformidad con las disposiciones de la Ley de la materia.</w:t>
      </w:r>
    </w:p>
    <w:p w14:paraId="5BAED5FC" w14:textId="77777777" w:rsidR="00962D70" w:rsidRPr="00833798" w:rsidRDefault="00962D70" w:rsidP="00833798">
      <w:pPr>
        <w:jc w:val="both"/>
        <w:rPr>
          <w:rFonts w:ascii="Abadi" w:eastAsia="Batang" w:hAnsi="Abadi" w:cs="Arial"/>
          <w:b/>
          <w:bCs/>
          <w:sz w:val="21"/>
          <w:szCs w:val="21"/>
        </w:rPr>
      </w:pPr>
      <w:r w:rsidRPr="00833798">
        <w:rPr>
          <w:rFonts w:ascii="Abadi" w:eastAsia="Batang" w:hAnsi="Abadi" w:cs="Arial"/>
          <w:b/>
          <w:bCs/>
          <w:sz w:val="21"/>
          <w:szCs w:val="21"/>
        </w:rPr>
        <w:t xml:space="preserve">   </w:t>
      </w:r>
    </w:p>
    <w:p w14:paraId="5D5406C7" w14:textId="77777777" w:rsidR="00962D70" w:rsidRPr="00833798" w:rsidRDefault="00962D70" w:rsidP="00833798">
      <w:pPr>
        <w:ind w:firstLine="708"/>
        <w:jc w:val="both"/>
        <w:rPr>
          <w:rFonts w:ascii="Abadi" w:eastAsia="Batang" w:hAnsi="Abadi" w:cs="Arial"/>
          <w:b/>
          <w:bCs/>
          <w:sz w:val="21"/>
          <w:szCs w:val="21"/>
        </w:rPr>
      </w:pPr>
      <w:r w:rsidRPr="00833798">
        <w:rPr>
          <w:rFonts w:ascii="Abadi" w:eastAsia="Batang" w:hAnsi="Abadi" w:cs="Arial"/>
          <w:b/>
          <w:bCs/>
          <w:sz w:val="21"/>
          <w:szCs w:val="21"/>
        </w:rPr>
        <w:t xml:space="preserve">II. Proceso legislativo   </w:t>
      </w:r>
    </w:p>
    <w:p w14:paraId="7B94DF26" w14:textId="77777777" w:rsidR="00962D70" w:rsidRPr="00833798" w:rsidRDefault="00962D70" w:rsidP="00833798">
      <w:pPr>
        <w:ind w:firstLine="708"/>
        <w:jc w:val="both"/>
        <w:rPr>
          <w:rFonts w:ascii="Abadi" w:eastAsia="Batang" w:hAnsi="Abadi" w:cs="Arial"/>
          <w:b/>
          <w:bCs/>
          <w:sz w:val="21"/>
          <w:szCs w:val="21"/>
        </w:rPr>
      </w:pPr>
    </w:p>
    <w:p w14:paraId="1941B35C" w14:textId="77777777" w:rsidR="00962D70" w:rsidRPr="00833798" w:rsidRDefault="00962D70" w:rsidP="00833798">
      <w:pPr>
        <w:ind w:firstLine="708"/>
        <w:jc w:val="both"/>
        <w:rPr>
          <w:rFonts w:ascii="Abadi" w:eastAsia="Batang" w:hAnsi="Abadi" w:cs="Arial"/>
          <w:bCs/>
          <w:sz w:val="21"/>
          <w:szCs w:val="21"/>
        </w:rPr>
      </w:pPr>
      <w:r w:rsidRPr="00833798">
        <w:rPr>
          <w:rFonts w:ascii="Abadi" w:eastAsia="Batang" w:hAnsi="Abadi" w:cs="Arial"/>
          <w:bCs/>
          <w:sz w:val="21"/>
          <w:szCs w:val="21"/>
        </w:rPr>
        <w:t>La iniciativa ingresó en la sesión ordinaria del Pleno del Congreso del Estado celebrada en fecha 13 de octubre del 2022, turnándose a esta Comisión para su análisis y resolución mediante dictamen.</w:t>
      </w:r>
    </w:p>
    <w:p w14:paraId="088AA252" w14:textId="77777777" w:rsidR="00962D70" w:rsidRPr="00833798" w:rsidRDefault="00962D70" w:rsidP="00833798">
      <w:pPr>
        <w:pStyle w:val="Prrafodelista"/>
        <w:ind w:left="1068"/>
        <w:jc w:val="both"/>
        <w:rPr>
          <w:rFonts w:ascii="Abadi" w:eastAsia="Batang" w:hAnsi="Abadi" w:cs="Arial"/>
          <w:bCs/>
          <w:sz w:val="21"/>
          <w:szCs w:val="21"/>
        </w:rPr>
      </w:pPr>
    </w:p>
    <w:p w14:paraId="4981EBB8" w14:textId="77777777" w:rsidR="00962D70" w:rsidRPr="00833798" w:rsidRDefault="00962D70" w:rsidP="00833798">
      <w:pPr>
        <w:ind w:firstLine="708"/>
        <w:jc w:val="both"/>
        <w:rPr>
          <w:rFonts w:ascii="Abadi" w:eastAsia="Batang" w:hAnsi="Abadi" w:cs="Arial"/>
          <w:bCs/>
          <w:sz w:val="21"/>
          <w:szCs w:val="21"/>
        </w:rPr>
      </w:pPr>
      <w:r w:rsidRPr="00833798">
        <w:rPr>
          <w:rFonts w:ascii="Abadi" w:eastAsia="Batang" w:hAnsi="Abadi" w:cs="Arial"/>
          <w:bCs/>
          <w:sz w:val="21"/>
          <w:szCs w:val="21"/>
        </w:rPr>
        <w:t>En reunión celebrada el 14 de febrero del citado año, se radicó la propuesta materia del presente dictamen, y se acordó la metodología a seguir para su análisis, la cual consistió en lo siguiente:</w:t>
      </w:r>
    </w:p>
    <w:p w14:paraId="183CDA12" w14:textId="77777777" w:rsidR="00962D70" w:rsidRPr="00833798" w:rsidRDefault="00962D70" w:rsidP="00833798">
      <w:pPr>
        <w:ind w:firstLine="708"/>
        <w:jc w:val="both"/>
        <w:rPr>
          <w:rFonts w:ascii="Abadi" w:eastAsia="Batang" w:hAnsi="Abadi" w:cs="Arial"/>
          <w:bCs/>
          <w:sz w:val="21"/>
          <w:szCs w:val="21"/>
          <w:highlight w:val="yellow"/>
        </w:rPr>
      </w:pPr>
    </w:p>
    <w:p w14:paraId="7186B16A" w14:textId="77777777" w:rsidR="00962D70" w:rsidRPr="00833798" w:rsidRDefault="00962D70" w:rsidP="00833798">
      <w:pPr>
        <w:ind w:firstLine="708"/>
        <w:jc w:val="both"/>
        <w:rPr>
          <w:rFonts w:ascii="Abadi" w:eastAsia="Batang" w:hAnsi="Abadi" w:cs="Arial"/>
          <w:bCs/>
          <w:sz w:val="21"/>
          <w:szCs w:val="21"/>
          <w:highlight w:val="yellow"/>
        </w:rPr>
      </w:pPr>
    </w:p>
    <w:p w14:paraId="57511748" w14:textId="77777777" w:rsidR="00962D70" w:rsidRPr="00833798" w:rsidRDefault="00962D70" w:rsidP="00833798">
      <w:pPr>
        <w:pStyle w:val="Prrafodelista"/>
        <w:numPr>
          <w:ilvl w:val="0"/>
          <w:numId w:val="36"/>
        </w:numPr>
        <w:jc w:val="both"/>
        <w:rPr>
          <w:rFonts w:ascii="Abadi" w:eastAsia="Batang" w:hAnsi="Abadi" w:cs="Arial"/>
          <w:bCs/>
          <w:sz w:val="21"/>
          <w:szCs w:val="21"/>
        </w:rPr>
      </w:pPr>
      <w:r w:rsidRPr="00833798">
        <w:rPr>
          <w:rFonts w:ascii="Abadi" w:eastAsia="Batang" w:hAnsi="Abadi" w:cs="Arial"/>
          <w:bCs/>
          <w:sz w:val="21"/>
          <w:szCs w:val="21"/>
        </w:rPr>
        <w:t>Se remitió la iniciativa vía correo electrónico a las diputadas y los diputados integrantes de la Sexagésima Quinta Legislatura, a la Secretaría de Desarrollo Agroalimentario y Rural, al Instituto para las Mujeres Guanajuatenses, a la Coordinación General Jurídica del Estado, y a las Universidades que han firmado convenio con el Congreso del Estado, quienes contaron con un plazo de 15 días hábiles a partir de su notificación para remitir comentarios y observaciones que estimen pertinentes.</w:t>
      </w:r>
    </w:p>
    <w:p w14:paraId="5CF71506" w14:textId="77777777" w:rsidR="00962D70" w:rsidRPr="00833798" w:rsidRDefault="00962D70" w:rsidP="00833798">
      <w:pPr>
        <w:pStyle w:val="Prrafodelista"/>
        <w:ind w:left="1068"/>
        <w:jc w:val="both"/>
        <w:rPr>
          <w:rFonts w:ascii="Abadi" w:eastAsia="Batang" w:hAnsi="Abadi" w:cs="Arial"/>
          <w:bCs/>
          <w:sz w:val="21"/>
          <w:szCs w:val="21"/>
        </w:rPr>
      </w:pPr>
    </w:p>
    <w:p w14:paraId="0DEE684A" w14:textId="77777777" w:rsidR="00962D70" w:rsidRPr="00833798" w:rsidRDefault="00962D70" w:rsidP="00833798">
      <w:pPr>
        <w:pStyle w:val="Prrafodelista"/>
        <w:numPr>
          <w:ilvl w:val="0"/>
          <w:numId w:val="36"/>
        </w:numPr>
        <w:jc w:val="both"/>
        <w:rPr>
          <w:rFonts w:ascii="Abadi" w:eastAsia="Batang" w:hAnsi="Abadi" w:cs="Arial"/>
          <w:bCs/>
          <w:sz w:val="21"/>
          <w:szCs w:val="21"/>
        </w:rPr>
      </w:pPr>
      <w:r w:rsidRPr="00833798">
        <w:rPr>
          <w:rFonts w:ascii="Abadi" w:eastAsia="Batang" w:hAnsi="Abadi" w:cs="Arial"/>
          <w:bCs/>
          <w:sz w:val="21"/>
          <w:szCs w:val="21"/>
        </w:rPr>
        <w:t>Concluido el término de consulta, los comentarios y observaciones remitidos se concentraron en un documento comparativo por la secretaría técnica.</w:t>
      </w:r>
    </w:p>
    <w:p w14:paraId="0E23A1F2" w14:textId="77777777" w:rsidR="00962D70" w:rsidRPr="00833798" w:rsidRDefault="00962D70" w:rsidP="00833798">
      <w:pPr>
        <w:pStyle w:val="Prrafodelista"/>
        <w:ind w:left="1068"/>
        <w:jc w:val="both"/>
        <w:rPr>
          <w:rFonts w:ascii="Abadi" w:eastAsia="Batang" w:hAnsi="Abadi" w:cs="Arial"/>
          <w:bCs/>
          <w:sz w:val="21"/>
          <w:szCs w:val="21"/>
        </w:rPr>
      </w:pPr>
    </w:p>
    <w:p w14:paraId="08088A33" w14:textId="77777777" w:rsidR="00962D70" w:rsidRPr="00833798" w:rsidRDefault="00962D70" w:rsidP="00833798">
      <w:pPr>
        <w:pStyle w:val="Prrafodelista"/>
        <w:numPr>
          <w:ilvl w:val="0"/>
          <w:numId w:val="36"/>
        </w:numPr>
        <w:jc w:val="both"/>
        <w:rPr>
          <w:rFonts w:ascii="Abadi" w:eastAsia="Batang" w:hAnsi="Abadi" w:cs="Arial"/>
          <w:bCs/>
          <w:sz w:val="21"/>
          <w:szCs w:val="21"/>
        </w:rPr>
      </w:pPr>
      <w:r w:rsidRPr="00833798">
        <w:rPr>
          <w:rFonts w:ascii="Abadi" w:eastAsia="Batang" w:hAnsi="Abadi" w:cs="Arial"/>
          <w:bCs/>
          <w:sz w:val="21"/>
          <w:szCs w:val="21"/>
        </w:rPr>
        <w:t xml:space="preserve">Se instaló de mesa de trabajo permanente en la que participaron: </w:t>
      </w:r>
    </w:p>
    <w:p w14:paraId="4AAA6C5E" w14:textId="77777777" w:rsidR="00962D70" w:rsidRPr="00833798" w:rsidRDefault="00962D70" w:rsidP="00833798">
      <w:pPr>
        <w:pStyle w:val="Prrafodelista"/>
        <w:ind w:left="1068"/>
        <w:jc w:val="both"/>
        <w:rPr>
          <w:rFonts w:ascii="Abadi" w:eastAsia="Batang" w:hAnsi="Abadi" w:cs="Arial"/>
          <w:bCs/>
          <w:sz w:val="21"/>
          <w:szCs w:val="21"/>
        </w:rPr>
      </w:pPr>
    </w:p>
    <w:p w14:paraId="070C2194" w14:textId="77777777" w:rsidR="00962D70" w:rsidRPr="00833798" w:rsidRDefault="00962D70" w:rsidP="00833798">
      <w:pPr>
        <w:pStyle w:val="Prrafodelista"/>
        <w:ind w:left="1068"/>
        <w:jc w:val="both"/>
        <w:rPr>
          <w:rFonts w:ascii="Abadi" w:eastAsia="Batang" w:hAnsi="Abadi" w:cs="Arial"/>
          <w:bCs/>
          <w:sz w:val="21"/>
          <w:szCs w:val="21"/>
        </w:rPr>
      </w:pPr>
      <w:r w:rsidRPr="00833798">
        <w:rPr>
          <w:rFonts w:ascii="Abadi" w:eastAsia="Batang" w:hAnsi="Abadi" w:cs="Arial"/>
          <w:bCs/>
          <w:sz w:val="21"/>
          <w:szCs w:val="21"/>
        </w:rPr>
        <w:t>Diputada y Diputados integrantes de la Comisión;</w:t>
      </w:r>
    </w:p>
    <w:p w14:paraId="7770CC8E" w14:textId="77777777" w:rsidR="00962D70" w:rsidRPr="00833798" w:rsidRDefault="00962D70" w:rsidP="00833798">
      <w:pPr>
        <w:pStyle w:val="Prrafodelista"/>
        <w:ind w:left="1068"/>
        <w:jc w:val="both"/>
        <w:rPr>
          <w:rFonts w:ascii="Abadi" w:eastAsia="Batang" w:hAnsi="Abadi" w:cs="Arial"/>
          <w:bCs/>
          <w:sz w:val="21"/>
          <w:szCs w:val="21"/>
        </w:rPr>
      </w:pPr>
      <w:r w:rsidRPr="00833798">
        <w:rPr>
          <w:rFonts w:ascii="Abadi" w:eastAsia="Batang" w:hAnsi="Abadi" w:cs="Arial"/>
          <w:bCs/>
          <w:sz w:val="21"/>
          <w:szCs w:val="21"/>
        </w:rPr>
        <w:t>Representantes del Poder Ejecutivo;</w:t>
      </w:r>
    </w:p>
    <w:p w14:paraId="3D6460B7" w14:textId="77777777" w:rsidR="00962D70" w:rsidRPr="00833798" w:rsidRDefault="00962D70" w:rsidP="00833798">
      <w:pPr>
        <w:pStyle w:val="Prrafodelista"/>
        <w:ind w:left="1068"/>
        <w:jc w:val="both"/>
        <w:rPr>
          <w:rFonts w:ascii="Abadi" w:eastAsia="Batang" w:hAnsi="Abadi" w:cs="Arial"/>
          <w:bCs/>
          <w:sz w:val="21"/>
          <w:szCs w:val="21"/>
        </w:rPr>
      </w:pPr>
      <w:r w:rsidRPr="00833798">
        <w:rPr>
          <w:rFonts w:ascii="Abadi" w:eastAsia="Batang" w:hAnsi="Abadi" w:cs="Arial"/>
          <w:bCs/>
          <w:sz w:val="21"/>
          <w:szCs w:val="21"/>
        </w:rPr>
        <w:t>Instituto para las Mujeres Guanajuatenses; y</w:t>
      </w:r>
    </w:p>
    <w:p w14:paraId="4EDF3382" w14:textId="77777777" w:rsidR="00962D70" w:rsidRPr="00833798" w:rsidRDefault="00962D70" w:rsidP="00833798">
      <w:pPr>
        <w:pStyle w:val="Prrafodelista"/>
        <w:ind w:left="1068"/>
        <w:jc w:val="both"/>
        <w:rPr>
          <w:rFonts w:ascii="Abadi" w:eastAsia="Batang" w:hAnsi="Abadi" w:cs="Arial"/>
          <w:bCs/>
          <w:sz w:val="21"/>
          <w:szCs w:val="21"/>
        </w:rPr>
      </w:pPr>
      <w:r w:rsidRPr="00833798">
        <w:rPr>
          <w:rFonts w:ascii="Abadi" w:eastAsia="Batang" w:hAnsi="Abadi" w:cs="Arial"/>
          <w:bCs/>
          <w:sz w:val="21"/>
          <w:szCs w:val="21"/>
        </w:rPr>
        <w:t>Secretaría de Desarrollo Agroalimentario y Rural.</w:t>
      </w:r>
    </w:p>
    <w:p w14:paraId="63C7D2B3" w14:textId="77777777" w:rsidR="00962D70" w:rsidRPr="00833798" w:rsidRDefault="00962D70" w:rsidP="00833798">
      <w:pPr>
        <w:pStyle w:val="Prrafodelista"/>
        <w:ind w:left="1068"/>
        <w:jc w:val="both"/>
        <w:rPr>
          <w:rFonts w:ascii="Abadi" w:eastAsia="Batang" w:hAnsi="Abadi" w:cs="Arial"/>
          <w:bCs/>
          <w:sz w:val="21"/>
          <w:szCs w:val="21"/>
        </w:rPr>
      </w:pPr>
    </w:p>
    <w:p w14:paraId="03EAFA04" w14:textId="77777777" w:rsidR="00962D70" w:rsidRPr="00833798" w:rsidRDefault="00962D70" w:rsidP="00833798">
      <w:pPr>
        <w:pStyle w:val="Prrafodelista"/>
        <w:numPr>
          <w:ilvl w:val="0"/>
          <w:numId w:val="36"/>
        </w:numPr>
        <w:jc w:val="both"/>
        <w:rPr>
          <w:rFonts w:ascii="Abadi" w:eastAsia="Batang" w:hAnsi="Abadi" w:cs="Arial"/>
          <w:bCs/>
          <w:sz w:val="21"/>
          <w:szCs w:val="21"/>
        </w:rPr>
      </w:pPr>
      <w:r w:rsidRPr="00833798">
        <w:rPr>
          <w:rFonts w:ascii="Abadi" w:eastAsia="Batang" w:hAnsi="Abadi" w:cs="Arial"/>
          <w:bCs/>
          <w:sz w:val="21"/>
          <w:szCs w:val="21"/>
        </w:rPr>
        <w:t>Concluida la consulta y la reunión de trabajo, señaladas en los puntos anteriores, la secretaría técnica elaboró el proyecto de dictamen correspondiente, lo remitirá a los integrantes de la Comisión, para que formulen observaciones a la secretaría técnica.</w:t>
      </w:r>
    </w:p>
    <w:p w14:paraId="68862EE3" w14:textId="77777777" w:rsidR="00962D70" w:rsidRPr="00833798" w:rsidRDefault="00962D70" w:rsidP="00833798">
      <w:pPr>
        <w:pStyle w:val="Prrafodelista"/>
        <w:ind w:left="1068"/>
        <w:jc w:val="both"/>
        <w:rPr>
          <w:rFonts w:ascii="Abadi" w:eastAsia="Batang" w:hAnsi="Abadi" w:cs="Arial"/>
          <w:bCs/>
          <w:sz w:val="21"/>
          <w:szCs w:val="21"/>
        </w:rPr>
      </w:pPr>
    </w:p>
    <w:p w14:paraId="7EC1A695" w14:textId="77777777" w:rsidR="00962D70" w:rsidRPr="00833798" w:rsidRDefault="00962D70" w:rsidP="00833798">
      <w:pPr>
        <w:pStyle w:val="Prrafodelista"/>
        <w:numPr>
          <w:ilvl w:val="0"/>
          <w:numId w:val="36"/>
        </w:numPr>
        <w:jc w:val="both"/>
        <w:rPr>
          <w:rFonts w:ascii="Abadi" w:eastAsia="Batang" w:hAnsi="Abadi" w:cs="Arial"/>
          <w:bCs/>
          <w:sz w:val="21"/>
          <w:szCs w:val="21"/>
        </w:rPr>
      </w:pPr>
      <w:r w:rsidRPr="00833798">
        <w:rPr>
          <w:rFonts w:ascii="Abadi" w:eastAsia="Batang" w:hAnsi="Abadi" w:cs="Arial"/>
          <w:bCs/>
          <w:sz w:val="21"/>
          <w:szCs w:val="21"/>
        </w:rPr>
        <w:t>La Comisión se reunió para discutir el proyecto de dictamen de la iniciativa y, en su caso, dejarlo a disposición de la presidencia a efecto de someterlo a la aprobación del Pleno del Congreso.</w:t>
      </w:r>
    </w:p>
    <w:p w14:paraId="6620A673" w14:textId="77777777" w:rsidR="00962D70" w:rsidRPr="00833798" w:rsidRDefault="00962D70" w:rsidP="00833798">
      <w:pPr>
        <w:jc w:val="both"/>
        <w:rPr>
          <w:rFonts w:ascii="Abadi" w:eastAsia="Batang" w:hAnsi="Abadi" w:cs="Arial"/>
          <w:bCs/>
          <w:sz w:val="21"/>
          <w:szCs w:val="21"/>
        </w:rPr>
      </w:pPr>
    </w:p>
    <w:p w14:paraId="0D9E8197" w14:textId="77777777" w:rsidR="00962D70" w:rsidRPr="00833798" w:rsidRDefault="00962D70" w:rsidP="00833798">
      <w:pPr>
        <w:ind w:firstLine="708"/>
        <w:jc w:val="both"/>
        <w:rPr>
          <w:rFonts w:ascii="Abadi" w:hAnsi="Abadi" w:cs="Arial"/>
          <w:sz w:val="21"/>
          <w:szCs w:val="21"/>
          <w:lang w:val="es-ES_tradnl"/>
        </w:rPr>
      </w:pPr>
      <w:r w:rsidRPr="00833798">
        <w:rPr>
          <w:rFonts w:ascii="Abadi" w:eastAsia="Batang" w:hAnsi="Abadi" w:cs="Arial"/>
          <w:bCs/>
          <w:sz w:val="21"/>
          <w:szCs w:val="21"/>
        </w:rPr>
        <w:t xml:space="preserve">En </w:t>
      </w:r>
      <w:r w:rsidRPr="00833798">
        <w:rPr>
          <w:rFonts w:ascii="Abadi" w:hAnsi="Abadi" w:cs="Arial"/>
          <w:sz w:val="21"/>
          <w:szCs w:val="21"/>
          <w:lang w:val="es-ES_tradnl"/>
        </w:rPr>
        <w:t>atención a la consulta, dentro del término establecido se recibieron los comunicados con sugerencias y opiniones de la Universidad de Guanajuato y de la Universidad Quetzalcóatl de Irapuato, mismas que fueron enviadas para su análisis a esta Comisión; en la mesa de trabajo realizada, personal de la Coordinación General Jurídica expuso su respuesta a la consulta realizada.</w:t>
      </w:r>
    </w:p>
    <w:p w14:paraId="14DE4258" w14:textId="77777777" w:rsidR="00962D70" w:rsidRPr="00833798" w:rsidRDefault="00962D70" w:rsidP="00833798">
      <w:pPr>
        <w:ind w:firstLine="708"/>
        <w:jc w:val="both"/>
        <w:rPr>
          <w:rFonts w:ascii="Abadi" w:hAnsi="Abadi" w:cs="Arial"/>
          <w:sz w:val="21"/>
          <w:szCs w:val="21"/>
          <w:lang w:val="es-ES_tradnl"/>
        </w:rPr>
      </w:pPr>
    </w:p>
    <w:p w14:paraId="2DA3DE32" w14:textId="77777777" w:rsidR="00962D70" w:rsidRPr="00833798" w:rsidRDefault="00962D70" w:rsidP="00833798">
      <w:pPr>
        <w:jc w:val="both"/>
        <w:rPr>
          <w:rFonts w:ascii="Abadi" w:hAnsi="Abadi" w:cs="Arial"/>
          <w:sz w:val="21"/>
          <w:szCs w:val="21"/>
          <w:lang w:val="es-ES_tradnl"/>
        </w:rPr>
      </w:pPr>
      <w:r w:rsidRPr="00833798">
        <w:rPr>
          <w:rFonts w:ascii="Abadi" w:hAnsi="Abadi" w:cs="Arial"/>
          <w:sz w:val="21"/>
          <w:szCs w:val="21"/>
          <w:lang w:val="es-ES_tradnl"/>
        </w:rPr>
        <w:tab/>
        <w:t>De conformidad a la metodología aprobada, se llevaron a cabo mesas de trabajo a la que asistieron la diputada y los diputados integrantes de la Comisión, personal asesor de los grupos y representaciones parlamentarias; de la Secretaría de Desarrollo Agroalimentario y Rural; de la Coordinación General Jurídica de Gobierno del Estado y el secretario técnico de la comisión.</w:t>
      </w:r>
    </w:p>
    <w:p w14:paraId="028FEECC" w14:textId="77777777" w:rsidR="00962D70" w:rsidRPr="00833798" w:rsidRDefault="00962D70" w:rsidP="00833798">
      <w:pPr>
        <w:tabs>
          <w:tab w:val="left" w:pos="900"/>
        </w:tabs>
        <w:ind w:firstLine="709"/>
        <w:jc w:val="both"/>
        <w:rPr>
          <w:rFonts w:ascii="Abadi" w:hAnsi="Abadi" w:cs="Arial"/>
          <w:sz w:val="21"/>
          <w:szCs w:val="21"/>
          <w:highlight w:val="yellow"/>
          <w:lang w:val="es-ES_tradnl"/>
        </w:rPr>
      </w:pPr>
    </w:p>
    <w:p w14:paraId="66C8B849" w14:textId="77777777" w:rsidR="00962D70" w:rsidRPr="00833798" w:rsidRDefault="00962D70" w:rsidP="00833798">
      <w:pPr>
        <w:ind w:firstLine="708"/>
        <w:jc w:val="both"/>
        <w:rPr>
          <w:rFonts w:ascii="Abadi" w:hAnsi="Abadi" w:cs="Arial"/>
          <w:sz w:val="21"/>
          <w:szCs w:val="21"/>
          <w:lang w:val="es-ES_tradnl"/>
        </w:rPr>
      </w:pPr>
      <w:r w:rsidRPr="00833798">
        <w:rPr>
          <w:rFonts w:ascii="Abadi" w:hAnsi="Abadi" w:cs="Arial"/>
          <w:sz w:val="21"/>
          <w:szCs w:val="21"/>
          <w:lang w:val="es-ES_tradnl"/>
        </w:rPr>
        <w:t>Es de resaltar que derivado de las consultas, se tomaron las propuestas legislativas para darle el máximo alcance a los planteamientos realizados.</w:t>
      </w:r>
    </w:p>
    <w:p w14:paraId="3D52C0DB" w14:textId="77777777" w:rsidR="00962D70" w:rsidRPr="00833798" w:rsidRDefault="00962D70" w:rsidP="00833798">
      <w:pPr>
        <w:jc w:val="both"/>
        <w:rPr>
          <w:rFonts w:ascii="Abadi" w:hAnsi="Abadi" w:cs="Arial"/>
          <w:sz w:val="21"/>
          <w:szCs w:val="21"/>
          <w:highlight w:val="yellow"/>
          <w:lang w:val="es-ES_tradnl"/>
        </w:rPr>
      </w:pPr>
      <w:r w:rsidRPr="00833798">
        <w:rPr>
          <w:rFonts w:ascii="Abadi" w:hAnsi="Abadi" w:cs="Arial"/>
          <w:sz w:val="21"/>
          <w:szCs w:val="21"/>
          <w:lang w:val="es-ES_tradnl"/>
        </w:rPr>
        <w:tab/>
      </w:r>
    </w:p>
    <w:p w14:paraId="2ABD7776" w14:textId="77777777" w:rsidR="00962D70" w:rsidRPr="00833798" w:rsidRDefault="00962D70" w:rsidP="00833798">
      <w:pPr>
        <w:ind w:firstLine="708"/>
        <w:jc w:val="both"/>
        <w:rPr>
          <w:rFonts w:ascii="Abadi" w:hAnsi="Abadi"/>
          <w:b/>
          <w:sz w:val="21"/>
          <w:szCs w:val="21"/>
        </w:rPr>
      </w:pPr>
      <w:r w:rsidRPr="00833798">
        <w:rPr>
          <w:rFonts w:ascii="Abadi" w:eastAsia="Batang" w:hAnsi="Abadi" w:cs="Arial"/>
          <w:b/>
          <w:sz w:val="21"/>
          <w:szCs w:val="21"/>
        </w:rPr>
        <w:t>III.</w:t>
      </w:r>
      <w:r w:rsidRPr="00833798">
        <w:rPr>
          <w:rFonts w:ascii="Abadi" w:eastAsia="Batang" w:hAnsi="Abadi" w:cs="Arial"/>
          <w:b/>
          <w:sz w:val="21"/>
          <w:szCs w:val="21"/>
        </w:rPr>
        <w:tab/>
        <w:t>Consideraciones Generales.</w:t>
      </w:r>
    </w:p>
    <w:p w14:paraId="419CC4E8" w14:textId="77777777" w:rsidR="00962D70" w:rsidRPr="00833798" w:rsidRDefault="00962D70" w:rsidP="00833798">
      <w:pPr>
        <w:ind w:firstLine="708"/>
        <w:jc w:val="both"/>
        <w:rPr>
          <w:rFonts w:ascii="Abadi" w:hAnsi="Abadi"/>
          <w:b/>
          <w:sz w:val="21"/>
          <w:szCs w:val="21"/>
        </w:rPr>
      </w:pPr>
    </w:p>
    <w:p w14:paraId="363AC65C"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 xml:space="preserve">Las integrantes de esta Comisión, coincidimos derivado del análisis y puntos expuestos, al referir las y los incidentes en su exposición de motivos "El empoderamiento de las mujeres y las niñas rurales es esencial para construir un futuro próspero, equitativo y pacífico para todos en un planeta sano. Es necesario para lograr la igualdad entre los </w:t>
      </w:r>
      <w:r w:rsidRPr="00833798">
        <w:rPr>
          <w:rFonts w:ascii="Abadi" w:hAnsi="Abadi"/>
          <w:sz w:val="21"/>
          <w:szCs w:val="21"/>
        </w:rPr>
        <w:lastRenderedPageBreak/>
        <w:t xml:space="preserve">géneros, garantizar un trabajo decente para todos, erradicar la pobreza y el hambre y adoptar medidas relacionadas con el clima". António </w:t>
      </w:r>
      <w:proofErr w:type="spellStart"/>
      <w:r w:rsidRPr="00833798">
        <w:rPr>
          <w:rFonts w:ascii="Abadi" w:hAnsi="Abadi"/>
          <w:sz w:val="21"/>
          <w:szCs w:val="21"/>
        </w:rPr>
        <w:t>Guterres</w:t>
      </w:r>
      <w:proofErr w:type="spellEnd"/>
      <w:r w:rsidRPr="00833798">
        <w:rPr>
          <w:rFonts w:ascii="Abadi" w:hAnsi="Abadi"/>
          <w:sz w:val="21"/>
          <w:szCs w:val="21"/>
        </w:rPr>
        <w:t xml:space="preserve"> secretario general de las Naciones Unidas.</w:t>
      </w:r>
      <w:r w:rsidRPr="00833798">
        <w:rPr>
          <w:rStyle w:val="Refdenotaalpie"/>
          <w:rFonts w:ascii="Abadi" w:hAnsi="Abadi"/>
          <w:sz w:val="21"/>
          <w:szCs w:val="21"/>
        </w:rPr>
        <w:footnoteReference w:id="203"/>
      </w:r>
    </w:p>
    <w:p w14:paraId="07D8753E" w14:textId="77777777" w:rsidR="00962D70" w:rsidRPr="00833798" w:rsidRDefault="00962D70" w:rsidP="00833798">
      <w:pPr>
        <w:ind w:firstLine="708"/>
        <w:jc w:val="both"/>
        <w:rPr>
          <w:rFonts w:ascii="Abadi" w:hAnsi="Abadi"/>
          <w:sz w:val="21"/>
          <w:szCs w:val="21"/>
        </w:rPr>
      </w:pPr>
    </w:p>
    <w:p w14:paraId="16167962"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Resaltamos la idoneidad de la propuesta, la cual tiene como punto central la implementación de acciones afirmativas en las políticas públicas como medidas especiales a favor de las mujeres rurales, y con ello, avanzar en la reducción de las desigualdades entre el hombre y la mujer, representando un avance en la búsqueda de una igualdad sustantiva en el estado de Guanajuato y, para el cumplimiento con los compromisos adquiridos en los Objetivos del Desarrollo Sostenible de la Agenda 2030.</w:t>
      </w:r>
    </w:p>
    <w:p w14:paraId="773B5E5E" w14:textId="77777777" w:rsidR="00962D70" w:rsidRPr="00833798" w:rsidRDefault="00962D70" w:rsidP="00833798">
      <w:pPr>
        <w:ind w:firstLine="708"/>
        <w:jc w:val="both"/>
        <w:rPr>
          <w:rFonts w:ascii="Abadi" w:hAnsi="Abadi"/>
          <w:sz w:val="21"/>
          <w:szCs w:val="21"/>
        </w:rPr>
      </w:pPr>
    </w:p>
    <w:p w14:paraId="3BA03E13"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El marco normativo y de políticas públicas se tiene que reforzar, ya que subsiste una separación entre las políticas sociales y las productivas-agropecuarias.</w:t>
      </w:r>
    </w:p>
    <w:p w14:paraId="0D7A378C" w14:textId="77777777" w:rsidR="00962D70" w:rsidRPr="00833798" w:rsidRDefault="00962D70" w:rsidP="00833798">
      <w:pPr>
        <w:ind w:firstLine="708"/>
        <w:jc w:val="both"/>
        <w:rPr>
          <w:rFonts w:ascii="Abadi" w:hAnsi="Abadi"/>
          <w:sz w:val="21"/>
          <w:szCs w:val="21"/>
          <w:highlight w:val="yellow"/>
        </w:rPr>
      </w:pPr>
    </w:p>
    <w:p w14:paraId="24B1A4C4"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 xml:space="preserve">El empoderamiento y visibilización de las mujeres rurales es importante, pues les otorga autonomía, libertad e independencia, lo que contribuye a que puedan salir del ciclo de discriminación y los diferentes tipos de violencia que viven, al saberse dueñas de su vida y de sus decisiones. </w:t>
      </w:r>
    </w:p>
    <w:p w14:paraId="4E0AC1CD" w14:textId="77777777" w:rsidR="00962D70" w:rsidRPr="00833798" w:rsidRDefault="00962D70" w:rsidP="00833798">
      <w:pPr>
        <w:ind w:firstLine="708"/>
        <w:jc w:val="both"/>
        <w:rPr>
          <w:rFonts w:ascii="Abadi" w:hAnsi="Abadi"/>
          <w:sz w:val="21"/>
          <w:szCs w:val="21"/>
        </w:rPr>
      </w:pPr>
    </w:p>
    <w:p w14:paraId="0DB9C412" w14:textId="77777777" w:rsidR="00962D70" w:rsidRPr="00833798" w:rsidRDefault="00962D70" w:rsidP="00833798">
      <w:pPr>
        <w:ind w:firstLine="708"/>
        <w:jc w:val="both"/>
        <w:rPr>
          <w:rFonts w:ascii="Abadi" w:hAnsi="Abadi"/>
          <w:sz w:val="21"/>
          <w:szCs w:val="21"/>
        </w:rPr>
      </w:pPr>
    </w:p>
    <w:p w14:paraId="2AA39DEA"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La Organización de las Naciones Unidas, en su Objetivo 5: Lograr la igualdad entre los géneros y empoderar a todas las mujeres y las niñas; señala la necesidad seguir impulsando la igualdad de género, no solo como un derecho humano fundamental, sino como uno de los fundamentos esenciales para construir un mundo pacífico, próspero y sostenible. A Nivel mundial, algunos factores que impulsan su desarrollo consisten en el crecimiento de niñas escolarizadas, y reducir la obligación al matrimonio precoz; impulsar mujeres con cargos en parlamentos y en posiciones de liderazgo, y reformar leyes para fomentar la igualdad de género.</w:t>
      </w:r>
    </w:p>
    <w:p w14:paraId="61EDD666" w14:textId="77777777" w:rsidR="00962D70" w:rsidRPr="00833798" w:rsidRDefault="00962D70" w:rsidP="00833798">
      <w:pPr>
        <w:ind w:firstLine="708"/>
        <w:jc w:val="both"/>
        <w:rPr>
          <w:rFonts w:ascii="Abadi" w:hAnsi="Abadi"/>
          <w:sz w:val="21"/>
          <w:szCs w:val="21"/>
        </w:rPr>
      </w:pPr>
    </w:p>
    <w:p w14:paraId="7C46F053" w14:textId="77777777" w:rsidR="00962D70" w:rsidRPr="00833798" w:rsidRDefault="00962D70" w:rsidP="00833798">
      <w:pPr>
        <w:ind w:firstLine="708"/>
        <w:jc w:val="both"/>
        <w:rPr>
          <w:rFonts w:ascii="Abadi" w:hAnsi="Abadi"/>
          <w:sz w:val="21"/>
          <w:szCs w:val="21"/>
        </w:rPr>
      </w:pPr>
      <w:r w:rsidRPr="00833798">
        <w:rPr>
          <w:rFonts w:ascii="Abadi" w:hAnsi="Abadi"/>
          <w:sz w:val="21"/>
          <w:szCs w:val="21"/>
        </w:rPr>
        <w:t>Las metas a corto plazo para reestablecer los derechos de las mujeres son:</w:t>
      </w:r>
    </w:p>
    <w:p w14:paraId="487EA839"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5.1 Poner fin a todas las formas de discriminación contra todas las mujeres y las </w:t>
      </w:r>
      <w:r w:rsidRPr="00833798">
        <w:rPr>
          <w:rFonts w:ascii="Abadi" w:hAnsi="Abadi"/>
          <w:sz w:val="21"/>
          <w:szCs w:val="21"/>
        </w:rPr>
        <w:tab/>
        <w:t>niñas en todo el mundo.</w:t>
      </w:r>
    </w:p>
    <w:p w14:paraId="3E086727"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5.2 Eliminar todas las formas de violencia contra todas las mujeres y las niñas </w:t>
      </w:r>
      <w:r w:rsidRPr="00833798">
        <w:rPr>
          <w:rFonts w:ascii="Abadi" w:hAnsi="Abadi"/>
          <w:sz w:val="21"/>
          <w:szCs w:val="21"/>
        </w:rPr>
        <w:tab/>
        <w:t xml:space="preserve">en los ámbitos público y privado, incluidas la trata y la explotación sexual y otros </w:t>
      </w:r>
      <w:r w:rsidRPr="00833798">
        <w:rPr>
          <w:rFonts w:ascii="Abadi" w:hAnsi="Abadi"/>
          <w:sz w:val="21"/>
          <w:szCs w:val="21"/>
        </w:rPr>
        <w:tab/>
        <w:t>tipos de explotación.</w:t>
      </w:r>
    </w:p>
    <w:p w14:paraId="636A11D7"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5.3 Eliminar todas las prácticas nocivas, como el matrimonio infantil, precoz y </w:t>
      </w:r>
      <w:r w:rsidRPr="00833798">
        <w:rPr>
          <w:rFonts w:ascii="Abadi" w:hAnsi="Abadi"/>
          <w:sz w:val="21"/>
          <w:szCs w:val="21"/>
        </w:rPr>
        <w:tab/>
        <w:t>forzado y la mutilación genital femenina.</w:t>
      </w:r>
    </w:p>
    <w:p w14:paraId="773B5AAA"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5.4 Reconocer y valorar los cuidados y el trabajo doméstico no remunerados </w:t>
      </w:r>
      <w:r w:rsidRPr="00833798">
        <w:rPr>
          <w:rFonts w:ascii="Abadi" w:hAnsi="Abadi"/>
          <w:sz w:val="21"/>
          <w:szCs w:val="21"/>
        </w:rPr>
        <w:tab/>
        <w:t xml:space="preserve">mediante servicios públicos, infraestructuras y políticas de protección social, y </w:t>
      </w:r>
      <w:r w:rsidRPr="00833798">
        <w:rPr>
          <w:rFonts w:ascii="Abadi" w:hAnsi="Abadi"/>
          <w:sz w:val="21"/>
          <w:szCs w:val="21"/>
        </w:rPr>
        <w:tab/>
        <w:t xml:space="preserve">promoviendo la responsabilidad compartida en el hogar y la familia, según </w:t>
      </w:r>
      <w:r w:rsidRPr="00833798">
        <w:rPr>
          <w:rFonts w:ascii="Abadi" w:hAnsi="Abadi"/>
          <w:sz w:val="21"/>
          <w:szCs w:val="21"/>
        </w:rPr>
        <w:tab/>
        <w:t>proceda en cada país.</w:t>
      </w:r>
    </w:p>
    <w:p w14:paraId="3B122BBC"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5.5 Asegurar la participación plena y efectiva de las mujeres y la igualdad de </w:t>
      </w:r>
      <w:r w:rsidRPr="00833798">
        <w:rPr>
          <w:rFonts w:ascii="Abadi" w:hAnsi="Abadi"/>
          <w:sz w:val="21"/>
          <w:szCs w:val="21"/>
        </w:rPr>
        <w:tab/>
        <w:t xml:space="preserve">oportunidades de liderazgo a todos los niveles decisorios en la vida política, </w:t>
      </w:r>
      <w:r w:rsidRPr="00833798">
        <w:rPr>
          <w:rFonts w:ascii="Abadi" w:hAnsi="Abadi"/>
          <w:sz w:val="21"/>
          <w:szCs w:val="21"/>
        </w:rPr>
        <w:tab/>
        <w:t>económica y pública.</w:t>
      </w:r>
    </w:p>
    <w:p w14:paraId="4324AE6D"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5.6 Asegurar el acceso universal a la salud sexual y reproductiva y los derechos </w:t>
      </w:r>
      <w:r w:rsidRPr="00833798">
        <w:rPr>
          <w:rFonts w:ascii="Abadi" w:hAnsi="Abadi"/>
          <w:sz w:val="21"/>
          <w:szCs w:val="21"/>
        </w:rPr>
        <w:tab/>
        <w:t xml:space="preserve">reproductivos según lo acordado de conformidad con el Programa de Acción de la </w:t>
      </w:r>
      <w:r w:rsidRPr="00833798">
        <w:rPr>
          <w:rFonts w:ascii="Abadi" w:hAnsi="Abadi"/>
          <w:sz w:val="21"/>
          <w:szCs w:val="21"/>
        </w:rPr>
        <w:tab/>
        <w:t xml:space="preserve">Conferencia Internacional sobre la Población y el Desarrollo, la Plataforma de </w:t>
      </w:r>
      <w:r w:rsidRPr="00833798">
        <w:rPr>
          <w:rFonts w:ascii="Abadi" w:hAnsi="Abadi"/>
          <w:sz w:val="21"/>
          <w:szCs w:val="21"/>
        </w:rPr>
        <w:tab/>
        <w:t>Acción de Beijing y los documentos finales de sus conferencias de examen.</w:t>
      </w:r>
    </w:p>
    <w:p w14:paraId="71447159" w14:textId="77777777" w:rsidR="00962D70" w:rsidRPr="00833798" w:rsidRDefault="00962D70" w:rsidP="00833798">
      <w:pPr>
        <w:autoSpaceDE w:val="0"/>
        <w:autoSpaceDN w:val="0"/>
        <w:adjustRightInd w:val="0"/>
        <w:ind w:firstLine="708"/>
        <w:jc w:val="both"/>
        <w:rPr>
          <w:rFonts w:ascii="Abadi" w:hAnsi="Abadi"/>
          <w:sz w:val="21"/>
          <w:szCs w:val="21"/>
        </w:rPr>
      </w:pPr>
    </w:p>
    <w:p w14:paraId="69BD56CB" w14:textId="77777777" w:rsidR="00962D70" w:rsidRPr="00833798" w:rsidRDefault="00962D70" w:rsidP="00833798">
      <w:pPr>
        <w:autoSpaceDE w:val="0"/>
        <w:autoSpaceDN w:val="0"/>
        <w:adjustRightInd w:val="0"/>
        <w:ind w:firstLine="708"/>
        <w:jc w:val="both"/>
        <w:rPr>
          <w:rFonts w:ascii="Abadi" w:hAnsi="Abadi"/>
          <w:b/>
          <w:bCs/>
          <w:i/>
          <w:iCs/>
          <w:sz w:val="21"/>
          <w:szCs w:val="21"/>
        </w:rPr>
      </w:pPr>
      <w:r w:rsidRPr="00833798">
        <w:rPr>
          <w:rFonts w:ascii="Abadi" w:hAnsi="Abadi"/>
          <w:b/>
          <w:bCs/>
          <w:i/>
          <w:iCs/>
          <w:sz w:val="21"/>
          <w:szCs w:val="21"/>
        </w:rPr>
        <w:t xml:space="preserve">5.a Emprender reformas que otorguen a las mujeres igualdad de </w:t>
      </w:r>
      <w:r w:rsidRPr="00833798">
        <w:rPr>
          <w:rFonts w:ascii="Abadi" w:hAnsi="Abadi"/>
          <w:b/>
          <w:bCs/>
          <w:i/>
          <w:iCs/>
          <w:sz w:val="21"/>
          <w:szCs w:val="21"/>
        </w:rPr>
        <w:tab/>
        <w:t xml:space="preserve">derechos a los recursos económicos, así como acceso a la propiedad </w:t>
      </w:r>
      <w:r w:rsidRPr="00833798">
        <w:rPr>
          <w:rFonts w:ascii="Abadi" w:hAnsi="Abadi"/>
          <w:b/>
          <w:bCs/>
          <w:i/>
          <w:iCs/>
          <w:sz w:val="21"/>
          <w:szCs w:val="21"/>
        </w:rPr>
        <w:tab/>
        <w:t xml:space="preserve">y </w:t>
      </w:r>
      <w:r w:rsidRPr="00833798">
        <w:rPr>
          <w:rFonts w:ascii="Abadi" w:hAnsi="Abadi"/>
          <w:b/>
          <w:bCs/>
          <w:i/>
          <w:iCs/>
          <w:sz w:val="21"/>
          <w:szCs w:val="21"/>
        </w:rPr>
        <w:tab/>
        <w:t xml:space="preserve">al control de la tierra y </w:t>
      </w:r>
      <w:r w:rsidRPr="00833798">
        <w:rPr>
          <w:rFonts w:ascii="Abadi" w:hAnsi="Abadi"/>
          <w:b/>
          <w:bCs/>
          <w:i/>
          <w:iCs/>
          <w:sz w:val="21"/>
          <w:szCs w:val="21"/>
        </w:rPr>
        <w:tab/>
        <w:t xml:space="preserve">otros tipos de bienes, los servicios </w:t>
      </w:r>
      <w:r w:rsidRPr="00833798">
        <w:rPr>
          <w:rFonts w:ascii="Abadi" w:hAnsi="Abadi"/>
          <w:b/>
          <w:bCs/>
          <w:i/>
          <w:iCs/>
          <w:sz w:val="21"/>
          <w:szCs w:val="21"/>
        </w:rPr>
        <w:tab/>
        <w:t xml:space="preserve">financieros, la herencia y los recursos naturales, de conformidad </w:t>
      </w:r>
      <w:r w:rsidRPr="00833798">
        <w:rPr>
          <w:rFonts w:ascii="Abadi" w:hAnsi="Abadi"/>
          <w:b/>
          <w:bCs/>
          <w:i/>
          <w:iCs/>
          <w:sz w:val="21"/>
          <w:szCs w:val="21"/>
        </w:rPr>
        <w:tab/>
        <w:t>con las leyes nacionales.</w:t>
      </w:r>
    </w:p>
    <w:p w14:paraId="1FB7A681" w14:textId="77777777" w:rsidR="00962D70" w:rsidRPr="00833798" w:rsidRDefault="00962D70" w:rsidP="00833798">
      <w:pPr>
        <w:autoSpaceDE w:val="0"/>
        <w:autoSpaceDN w:val="0"/>
        <w:adjustRightInd w:val="0"/>
        <w:ind w:firstLine="708"/>
        <w:jc w:val="both"/>
        <w:rPr>
          <w:rFonts w:ascii="Abadi" w:hAnsi="Abadi"/>
          <w:sz w:val="21"/>
          <w:szCs w:val="21"/>
        </w:rPr>
      </w:pPr>
      <w:r w:rsidRPr="00833798">
        <w:rPr>
          <w:rFonts w:ascii="Abadi" w:hAnsi="Abadi"/>
          <w:sz w:val="21"/>
          <w:szCs w:val="21"/>
        </w:rPr>
        <w:t xml:space="preserve">5.b Mejorar el uso de la tecnología instrumental, en particular la tecnología de la </w:t>
      </w:r>
      <w:r w:rsidRPr="00833798">
        <w:rPr>
          <w:rFonts w:ascii="Abadi" w:hAnsi="Abadi"/>
          <w:sz w:val="21"/>
          <w:szCs w:val="21"/>
        </w:rPr>
        <w:tab/>
        <w:t xml:space="preserve">información y las comunicaciones, para promover el empoderamiento de las </w:t>
      </w:r>
      <w:r w:rsidRPr="00833798">
        <w:rPr>
          <w:rFonts w:ascii="Abadi" w:hAnsi="Abadi"/>
          <w:sz w:val="21"/>
          <w:szCs w:val="21"/>
        </w:rPr>
        <w:tab/>
        <w:t>mujeres.</w:t>
      </w:r>
    </w:p>
    <w:p w14:paraId="637B66E5" w14:textId="77777777" w:rsidR="00962D70" w:rsidRPr="00833798" w:rsidRDefault="00962D70" w:rsidP="00833798">
      <w:pPr>
        <w:autoSpaceDE w:val="0"/>
        <w:autoSpaceDN w:val="0"/>
        <w:adjustRightInd w:val="0"/>
        <w:ind w:firstLine="708"/>
        <w:jc w:val="both"/>
        <w:rPr>
          <w:rFonts w:ascii="Abadi" w:hAnsi="Abadi"/>
          <w:b/>
          <w:bCs/>
          <w:i/>
          <w:iCs/>
          <w:sz w:val="21"/>
          <w:szCs w:val="21"/>
        </w:rPr>
      </w:pPr>
      <w:r w:rsidRPr="00833798">
        <w:rPr>
          <w:rFonts w:ascii="Abadi" w:hAnsi="Abadi"/>
          <w:b/>
          <w:bCs/>
          <w:i/>
          <w:iCs/>
          <w:sz w:val="21"/>
          <w:szCs w:val="21"/>
        </w:rPr>
        <w:t xml:space="preserve">5.c Aprobar y fortalecer políticas acertadas y leyes aplicables para </w:t>
      </w:r>
      <w:r w:rsidRPr="00833798">
        <w:rPr>
          <w:rFonts w:ascii="Abadi" w:hAnsi="Abadi"/>
          <w:b/>
          <w:bCs/>
          <w:i/>
          <w:iCs/>
          <w:sz w:val="21"/>
          <w:szCs w:val="21"/>
        </w:rPr>
        <w:tab/>
        <w:t xml:space="preserve">promover la igualdad de género y el empoderamiento de todas las </w:t>
      </w:r>
      <w:r w:rsidRPr="00833798">
        <w:rPr>
          <w:rFonts w:ascii="Abadi" w:hAnsi="Abadi"/>
          <w:b/>
          <w:bCs/>
          <w:i/>
          <w:iCs/>
          <w:sz w:val="21"/>
          <w:szCs w:val="21"/>
        </w:rPr>
        <w:tab/>
        <w:t>mujeres y las niñas a todos los niveles.</w:t>
      </w:r>
    </w:p>
    <w:p w14:paraId="10275CB3" w14:textId="77777777" w:rsidR="00962D70" w:rsidRPr="00833798" w:rsidRDefault="00962D70" w:rsidP="00833798">
      <w:pPr>
        <w:ind w:firstLine="708"/>
        <w:jc w:val="both"/>
        <w:rPr>
          <w:rFonts w:ascii="Abadi" w:hAnsi="Abadi"/>
          <w:sz w:val="21"/>
          <w:szCs w:val="21"/>
          <w:highlight w:val="yellow"/>
        </w:rPr>
      </w:pPr>
    </w:p>
    <w:p w14:paraId="511BFC05"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lastRenderedPageBreak/>
        <w:t>Por ello, consideramos viable la iniciativa presentada con la finalidad de incluir en la Ley de Fomento a la Agricultura Familiar del Estado de Guanajuato, se incluyan aspectos a favor de las mujeres rurales; la cual tiene por objeto establecer el marco jurídico conforme al cual el Estado definirá e implementará políticas públicas y estrategias que fomenten la creación, promoción y desarrollo de la agricultura familiar con énfasis en el desarrollo de las actividades agrícolas de las mujeres rurales, a partir del reconocimiento de su importancia como modo de vida y actividad productiva que contribuye a la seguridad alimentaria, al uso sostenible de los recursos naturales, la conservación de la biodiversidad, el desarrollo rural y la dinamización de economía del estado.</w:t>
      </w:r>
    </w:p>
    <w:p w14:paraId="39A0201D" w14:textId="77777777" w:rsidR="00962D70" w:rsidRPr="00833798" w:rsidRDefault="00962D70" w:rsidP="00833798">
      <w:pPr>
        <w:spacing w:after="240"/>
        <w:ind w:firstLine="708"/>
        <w:jc w:val="both"/>
        <w:rPr>
          <w:rFonts w:ascii="Abadi" w:hAnsi="Abadi"/>
          <w:sz w:val="21"/>
          <w:szCs w:val="21"/>
        </w:rPr>
      </w:pPr>
      <w:r w:rsidRPr="00833798">
        <w:rPr>
          <w:rFonts w:ascii="Abadi" w:eastAsia="Batang" w:hAnsi="Abadi" w:cs="Arial"/>
          <w:bCs/>
          <w:sz w:val="21"/>
          <w:szCs w:val="21"/>
        </w:rPr>
        <w:t xml:space="preserve">La perspectiva de género de acuerdo con la </w:t>
      </w:r>
      <w:r w:rsidRPr="00833798">
        <w:rPr>
          <w:rFonts w:ascii="Abadi" w:eastAsia="Batang" w:hAnsi="Abadi" w:cs="Arial"/>
          <w:b/>
          <w:sz w:val="21"/>
          <w:szCs w:val="21"/>
        </w:rPr>
        <w:t>Ley General para la Igualdad entre Mujeres y Hombres</w:t>
      </w:r>
      <w:r w:rsidRPr="00833798">
        <w:rPr>
          <w:rFonts w:ascii="Abadi" w:eastAsia="Batang" w:hAnsi="Abadi" w:cs="Arial"/>
          <w:bCs/>
          <w:sz w:val="21"/>
          <w:szCs w:val="21"/>
        </w:rPr>
        <w:t>, se refiere a la metodología y los mecanismos que permiten identificar, cuestionar y valorar la discriminación, desigualdad y exclusión de las mujeres, que se pretende justificar con base en las diferencias biológicas entre mujeres y hombres, así como las acciones que deben emprenderse para actuar sobre los factores de género y crear las condiciones de cambio que permitan avanzar en la construcción de la igualdad de género</w:t>
      </w:r>
      <w:r w:rsidRPr="00833798">
        <w:rPr>
          <w:rStyle w:val="Refdenotaalpie"/>
          <w:rFonts w:ascii="Abadi" w:hAnsi="Abadi"/>
          <w:sz w:val="21"/>
          <w:szCs w:val="21"/>
        </w:rPr>
        <w:footnoteReference w:id="204"/>
      </w:r>
      <w:r w:rsidRPr="00833798">
        <w:rPr>
          <w:rFonts w:ascii="Abadi" w:hAnsi="Abadi"/>
          <w:sz w:val="21"/>
          <w:szCs w:val="21"/>
        </w:rPr>
        <w:t>.</w:t>
      </w:r>
    </w:p>
    <w:p w14:paraId="505C89DF" w14:textId="0104EE51" w:rsidR="00962D70" w:rsidRPr="00833798" w:rsidRDefault="00833798" w:rsidP="00833798">
      <w:pPr>
        <w:spacing w:after="240"/>
        <w:ind w:firstLine="708"/>
        <w:jc w:val="both"/>
        <w:rPr>
          <w:rFonts w:ascii="Abadi" w:eastAsia="Batang" w:hAnsi="Abadi" w:cs="Arial"/>
          <w:bCs/>
          <w:sz w:val="21"/>
          <w:szCs w:val="21"/>
        </w:rPr>
      </w:pPr>
      <w:r>
        <w:rPr>
          <w:rFonts w:ascii="Abadi" w:eastAsia="Batang" w:hAnsi="Abadi" w:cs="Arial"/>
          <w:bCs/>
          <w:sz w:val="21"/>
          <w:szCs w:val="21"/>
        </w:rPr>
        <w:t>C</w:t>
      </w:r>
      <w:r w:rsidR="00962D70" w:rsidRPr="00833798">
        <w:rPr>
          <w:rFonts w:ascii="Abadi" w:eastAsia="Batang" w:hAnsi="Abadi" w:cs="Arial"/>
          <w:bCs/>
          <w:sz w:val="21"/>
          <w:szCs w:val="21"/>
        </w:rPr>
        <w:t>uando se habla de perspectiva de género en las, se hace alusión a una herramienta conceptual que busca mostrar que las diferencias entre mujeres y hombres se dan no sólo por su determinación biológica, sino también por las diferencias culturales asignadas a los seres humanos.</w:t>
      </w:r>
    </w:p>
    <w:p w14:paraId="092208E1" w14:textId="77777777" w:rsidR="00962D70" w:rsidRPr="00833798" w:rsidRDefault="00962D70" w:rsidP="00833798">
      <w:pPr>
        <w:ind w:firstLine="708"/>
        <w:jc w:val="both"/>
        <w:rPr>
          <w:rFonts w:ascii="Abadi" w:eastAsia="Batang" w:hAnsi="Abadi" w:cs="Arial"/>
          <w:bCs/>
          <w:sz w:val="21"/>
          <w:szCs w:val="21"/>
        </w:rPr>
      </w:pPr>
      <w:r w:rsidRPr="00833798">
        <w:rPr>
          <w:rFonts w:ascii="Abadi" w:eastAsia="Batang" w:hAnsi="Abadi" w:cs="Arial"/>
          <w:bCs/>
          <w:sz w:val="21"/>
          <w:szCs w:val="21"/>
        </w:rPr>
        <w:t xml:space="preserve">Consideramos que, analizar las situaciones desde la perspectiva de género, permite entender que la vida de mujeres y hombres puede modificarse en la medida en que no está «naturalmente» determinada, la cual, ayuda a comprender profundamente las relaciones entre ambos. </w:t>
      </w:r>
    </w:p>
    <w:p w14:paraId="79BB638C" w14:textId="77777777" w:rsidR="00962D70" w:rsidRPr="00833798" w:rsidRDefault="00962D70" w:rsidP="00833798">
      <w:pPr>
        <w:ind w:firstLine="708"/>
        <w:jc w:val="both"/>
        <w:rPr>
          <w:rFonts w:ascii="Abadi" w:eastAsia="Batang" w:hAnsi="Abadi" w:cs="Arial"/>
          <w:bCs/>
          <w:sz w:val="21"/>
          <w:szCs w:val="21"/>
        </w:rPr>
      </w:pPr>
    </w:p>
    <w:p w14:paraId="24E6DA76" w14:textId="77777777" w:rsidR="00962D70" w:rsidRPr="00833798" w:rsidRDefault="00962D70" w:rsidP="00833798">
      <w:pPr>
        <w:ind w:firstLine="708"/>
        <w:jc w:val="both"/>
        <w:rPr>
          <w:rFonts w:ascii="Abadi" w:eastAsia="Batang" w:hAnsi="Abadi" w:cs="Arial"/>
          <w:b/>
          <w:sz w:val="21"/>
          <w:szCs w:val="21"/>
        </w:rPr>
      </w:pPr>
      <w:r w:rsidRPr="00833798">
        <w:rPr>
          <w:rFonts w:ascii="Abadi" w:eastAsia="Batang" w:hAnsi="Abadi" w:cs="Arial"/>
          <w:b/>
          <w:sz w:val="21"/>
          <w:szCs w:val="21"/>
        </w:rPr>
        <w:t>III.</w:t>
      </w:r>
      <w:r w:rsidRPr="00833798">
        <w:rPr>
          <w:rFonts w:ascii="Abadi" w:eastAsia="Batang" w:hAnsi="Abadi" w:cs="Arial"/>
          <w:b/>
          <w:sz w:val="21"/>
          <w:szCs w:val="21"/>
        </w:rPr>
        <w:tab/>
        <w:t>Consideraciones Particulares.</w:t>
      </w:r>
    </w:p>
    <w:p w14:paraId="4757AA39" w14:textId="77777777" w:rsidR="00962D70" w:rsidRPr="00833798" w:rsidRDefault="00962D70" w:rsidP="00833798">
      <w:pPr>
        <w:ind w:firstLine="708"/>
        <w:jc w:val="both"/>
        <w:rPr>
          <w:rFonts w:ascii="Abadi" w:eastAsia="Batang" w:hAnsi="Abadi" w:cs="Arial"/>
          <w:bCs/>
          <w:sz w:val="21"/>
          <w:szCs w:val="21"/>
        </w:rPr>
      </w:pPr>
    </w:p>
    <w:p w14:paraId="092A1FE2"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 xml:space="preserve">Quienes integramos esta comisión, resaltamos el impacto jurídico de la propuesta </w:t>
      </w:r>
      <w:r w:rsidRPr="00833798">
        <w:rPr>
          <w:rFonts w:ascii="Abadi" w:eastAsia="Batang" w:hAnsi="Abadi" w:cs="Arial"/>
          <w:bCs/>
          <w:sz w:val="21"/>
          <w:szCs w:val="21"/>
        </w:rPr>
        <w:t>analizada, con la finalidad de establecer condiciones que permitan mejorar la calidad de vida de las mujeres rurales, priorizando las de bajos recursos y consagrar medidas específicas encaminadas a acelerar la equidad entre el hombre y la mujer rural.</w:t>
      </w:r>
    </w:p>
    <w:p w14:paraId="3015C60B"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 xml:space="preserve">Efectivamente, coincidimos con las y los proponentes en sus argumentos vertidos, ya que las adiciones en lo substancial de atribuciones y funciones en los Poderes del Estado, </w:t>
      </w:r>
      <w:proofErr w:type="spellStart"/>
      <w:r w:rsidRPr="00833798">
        <w:rPr>
          <w:rFonts w:ascii="Abadi" w:eastAsia="Batang" w:hAnsi="Abadi" w:cs="Arial"/>
          <w:bCs/>
          <w:sz w:val="21"/>
          <w:szCs w:val="21"/>
        </w:rPr>
        <w:t>asi</w:t>
      </w:r>
      <w:proofErr w:type="spellEnd"/>
      <w:r w:rsidRPr="00833798">
        <w:rPr>
          <w:rFonts w:ascii="Abadi" w:eastAsia="Batang" w:hAnsi="Abadi" w:cs="Arial"/>
          <w:bCs/>
          <w:sz w:val="21"/>
          <w:szCs w:val="21"/>
        </w:rPr>
        <w:t xml:space="preserve"> como en sus instituciones públicas, darán un estándar para que se pueda establecer, impulsar y ejecutar políticas públicas articuladas y con perspectiva de género en favor de las mujeres rurales.</w:t>
      </w:r>
    </w:p>
    <w:p w14:paraId="4E5B5C87" w14:textId="77777777" w:rsidR="00962D70" w:rsidRDefault="00962D70" w:rsidP="00833798">
      <w:pPr>
        <w:ind w:firstLine="708"/>
        <w:jc w:val="both"/>
        <w:rPr>
          <w:rFonts w:ascii="Abadi" w:eastAsia="Batang" w:hAnsi="Abadi" w:cs="Arial"/>
          <w:bCs/>
          <w:sz w:val="21"/>
          <w:szCs w:val="21"/>
        </w:rPr>
      </w:pPr>
      <w:r w:rsidRPr="00833798">
        <w:rPr>
          <w:rFonts w:ascii="Abadi" w:eastAsia="Batang" w:hAnsi="Abadi" w:cs="Arial"/>
          <w:bCs/>
          <w:sz w:val="21"/>
          <w:szCs w:val="21"/>
        </w:rPr>
        <w:t xml:space="preserve">Atendiendo a la técnica Legislativa y a la sistematicidad de la Ley de Fomento a la Agricultura Familiar del Estado de Guanajuato, se adicionaron y reformaron diversos artículos para incluir a las mujeres rurales en diversos apartados y otorgarles de manera particular una visibilización efectiva en dicha </w:t>
      </w:r>
      <w:r w:rsidRPr="00833798">
        <w:rPr>
          <w:rFonts w:ascii="Abadi" w:eastAsia="Batang" w:hAnsi="Abadi" w:cs="Arial"/>
          <w:bCs/>
          <w:i/>
          <w:iCs/>
          <w:sz w:val="21"/>
          <w:szCs w:val="21"/>
        </w:rPr>
        <w:t>Ley</w:t>
      </w:r>
      <w:r w:rsidRPr="00833798">
        <w:rPr>
          <w:rFonts w:ascii="Abadi" w:eastAsia="Batang" w:hAnsi="Abadi" w:cs="Arial"/>
          <w:bCs/>
          <w:sz w:val="21"/>
          <w:szCs w:val="21"/>
        </w:rPr>
        <w:t xml:space="preserve">. </w:t>
      </w:r>
    </w:p>
    <w:p w14:paraId="262C32DA" w14:textId="77777777" w:rsidR="00833798" w:rsidRPr="00833798" w:rsidRDefault="00833798" w:rsidP="00833798">
      <w:pPr>
        <w:ind w:firstLine="708"/>
        <w:jc w:val="both"/>
        <w:rPr>
          <w:rFonts w:ascii="Abadi" w:eastAsia="Batang" w:hAnsi="Abadi" w:cs="Arial"/>
          <w:bCs/>
          <w:sz w:val="21"/>
          <w:szCs w:val="21"/>
        </w:rPr>
      </w:pPr>
    </w:p>
    <w:p w14:paraId="21F97A4A"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Quienes integramos esta Comisión, consideramos incluir a las mujeres rurales a lo largo del contenido de la Ley de Fomento a la Agricultura Familiar, esto a efecto de reconocerlas y con ello lograr su no discriminación; lo cual contribuye a observar la interpretación del Comité de Derechos Económicos, Sociales y Culturales de las Naciones Unidas, que establece que a efecto de eliminar la discriminación, los Estados tienen que asegurar que sus marcos jurídicos y políticas públicas estén basados en la no discriminación.</w:t>
      </w:r>
    </w:p>
    <w:p w14:paraId="7AD53B27"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 xml:space="preserve">Dentro de las adiciones propuestas, referimos las que se fijan en las </w:t>
      </w:r>
      <w:r w:rsidRPr="00833798">
        <w:rPr>
          <w:rFonts w:ascii="Abadi" w:eastAsia="Batang" w:hAnsi="Abadi" w:cs="Arial"/>
          <w:bCs/>
          <w:i/>
          <w:iCs/>
          <w:sz w:val="21"/>
          <w:szCs w:val="21"/>
        </w:rPr>
        <w:t>finalidades</w:t>
      </w:r>
      <w:r w:rsidRPr="00833798">
        <w:rPr>
          <w:rFonts w:ascii="Abadi" w:eastAsia="Batang" w:hAnsi="Abadi" w:cs="Arial"/>
          <w:bCs/>
          <w:sz w:val="21"/>
          <w:szCs w:val="21"/>
        </w:rPr>
        <w:t xml:space="preserve"> de la </w:t>
      </w:r>
      <w:r w:rsidRPr="00833798">
        <w:rPr>
          <w:rFonts w:ascii="Abadi" w:eastAsia="Batang" w:hAnsi="Abadi" w:cs="Arial"/>
          <w:bCs/>
          <w:i/>
          <w:iCs/>
          <w:sz w:val="21"/>
          <w:szCs w:val="21"/>
        </w:rPr>
        <w:t>Ley;</w:t>
      </w:r>
      <w:r w:rsidRPr="00833798">
        <w:rPr>
          <w:rFonts w:ascii="Abadi" w:eastAsia="Batang" w:hAnsi="Abadi" w:cs="Arial"/>
          <w:bCs/>
          <w:sz w:val="21"/>
          <w:szCs w:val="21"/>
        </w:rPr>
        <w:t xml:space="preserve"> siendo las siguientes las acordadas y propuestas en el presente Decreto: Fomentar la igualdad de género en el diseño y operación de las políticas públicas para el sector rural del Estado; Garantizar a la mujer rural el acceso y utilización de programas sociales productivos, tecnológicos, financieros, educativos, de salud, de seguridad  alimentaria  y  de infraestructura social y productiva brindados por los gobiernos federal y estatal; incorporar a las mujeres rurales a la producción, generación de ingresos, e inclusión financiera; </w:t>
      </w:r>
      <w:r w:rsidRPr="00833798">
        <w:rPr>
          <w:rFonts w:ascii="Abadi" w:eastAsia="Batang" w:hAnsi="Abadi" w:cs="Arial"/>
          <w:bCs/>
          <w:sz w:val="21"/>
          <w:szCs w:val="21"/>
        </w:rPr>
        <w:lastRenderedPageBreak/>
        <w:t>fortalecer la formación de capacidades administrativas y financieras de las mujeres rurales para el desarrollo de actividades productivas.</w:t>
      </w:r>
    </w:p>
    <w:p w14:paraId="614B31F0"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De igual manera, en el artículo 7, se adicionaron nuevas fracciones para atribuirle al Poder Ejecutivo acciones transversales en favor de las mujeres rurales, tales como: Implementar, en coordinación con las dependencias y entidades competentes, acciones afirmativas a favor de las mujeres rurales de conformidad con lo consagrado por la presente ley; el deber de incluir en todos sus fondos, planes, programas y proyectos, las disposiciones que garanticen a las mujeres rurales el derecho al empleo digno, oportunidades de acceso, contratación, promoción y capacitación, así como el acceso de la mujer rural a los servicios de salud, educación y vivienda; la instrucción de ajustar los procedimientos y requisitos de todos los fondos, planes, programas, y proyectos que favorecen la actividad rural en el Estado en aras de eliminar cualquier obstáculo que impida el acceso de las mujeres rurales a ellos; e implementar acciones afirmativas a favor de la mujer rural para alcanzar la igualdad de género con los hombres; el respeto de su dignidad humana y no discriminación; su libertad, autonomía y empoderamiento; así como el acceso a una vida libre de todo tipo de violencia en cualquiera de sus modalidades.</w:t>
      </w:r>
    </w:p>
    <w:p w14:paraId="1CC7BE40" w14:textId="77777777" w:rsidR="00962D70" w:rsidRPr="00833798" w:rsidRDefault="00962D70" w:rsidP="00833798">
      <w:pPr>
        <w:spacing w:after="240"/>
        <w:ind w:firstLine="708"/>
        <w:jc w:val="both"/>
        <w:rPr>
          <w:rFonts w:ascii="Abadi" w:eastAsia="Batang" w:hAnsi="Abadi" w:cs="Arial"/>
          <w:bCs/>
          <w:sz w:val="21"/>
          <w:szCs w:val="21"/>
        </w:rPr>
      </w:pPr>
      <w:r w:rsidRPr="00833798">
        <w:rPr>
          <w:rFonts w:ascii="Abadi" w:eastAsia="Batang" w:hAnsi="Abadi" w:cs="Arial"/>
          <w:bCs/>
          <w:sz w:val="21"/>
          <w:szCs w:val="21"/>
        </w:rPr>
        <w:t>Finalmente se adicionaron los artículos 21 y 22 para atribuirle a la Secretaría que en sus registros de agricultura familiar, cuente con datos estadísticos e indicadores sobre la condición de las mujeres rurales en el Estado, incorporando un desagregado por sexo de información de la actividad agropecuaria, forestal, agroindustrial y de servicios; además, para crear un sistema de planificación, seguimiento y evaluación de las dependencias del Estado con incidencia en el sector rural deberán incorporar indicadores de género.</w:t>
      </w:r>
    </w:p>
    <w:p w14:paraId="35DA4C9B" w14:textId="77777777" w:rsidR="00962D70" w:rsidRPr="00833798" w:rsidRDefault="00962D70" w:rsidP="00833798">
      <w:pPr>
        <w:tabs>
          <w:tab w:val="left" w:pos="2915"/>
        </w:tabs>
        <w:spacing w:after="240"/>
        <w:ind w:firstLine="708"/>
        <w:jc w:val="both"/>
        <w:rPr>
          <w:rFonts w:ascii="Abadi" w:hAnsi="Abadi"/>
          <w:sz w:val="21"/>
          <w:szCs w:val="21"/>
          <w:highlight w:val="yellow"/>
        </w:rPr>
      </w:pPr>
      <w:r w:rsidRPr="00833798">
        <w:rPr>
          <w:rFonts w:ascii="Abadi" w:eastAsia="Batang" w:hAnsi="Abadi" w:cs="Arial"/>
          <w:bCs/>
          <w:sz w:val="21"/>
          <w:szCs w:val="21"/>
        </w:rPr>
        <w:t xml:space="preserve">Seguiremos fortaleciendo las acciones legislativas, ponderando el impacto legal y social para dotar a las mujeres de las mejores herramientas para enfrentar la realidad en condiciones de irrestricto respeto a los </w:t>
      </w:r>
      <w:r w:rsidRPr="00833798">
        <w:rPr>
          <w:rFonts w:ascii="Abadi" w:eastAsia="Batang" w:hAnsi="Abadi" w:cs="Arial"/>
          <w:bCs/>
          <w:sz w:val="21"/>
          <w:szCs w:val="21"/>
        </w:rPr>
        <w:t>derechos humanos, esa es nuestra función y objetivo principal.</w:t>
      </w:r>
      <w:r w:rsidRPr="00833798">
        <w:rPr>
          <w:rFonts w:ascii="Abadi" w:eastAsia="Batang" w:hAnsi="Abadi" w:cs="Arial"/>
          <w:bCs/>
          <w:sz w:val="21"/>
          <w:szCs w:val="21"/>
        </w:rPr>
        <w:tab/>
      </w:r>
    </w:p>
    <w:p w14:paraId="1BF6C5FD" w14:textId="77777777" w:rsidR="00962D70" w:rsidRPr="00833798" w:rsidRDefault="00962D70" w:rsidP="00833798">
      <w:pPr>
        <w:ind w:firstLine="708"/>
        <w:jc w:val="both"/>
        <w:rPr>
          <w:rFonts w:ascii="Abadi" w:hAnsi="Abadi" w:cs="Arial"/>
          <w:sz w:val="21"/>
          <w:szCs w:val="21"/>
        </w:rPr>
      </w:pPr>
    </w:p>
    <w:p w14:paraId="6516422A" w14:textId="77777777" w:rsidR="00962D70" w:rsidRPr="00833798" w:rsidRDefault="00962D70" w:rsidP="00833798">
      <w:pPr>
        <w:shd w:val="clear" w:color="auto" w:fill="FFFFFF"/>
        <w:ind w:firstLine="709"/>
        <w:jc w:val="both"/>
        <w:rPr>
          <w:rFonts w:ascii="Abadi" w:hAnsi="Abadi" w:cs="Arial"/>
          <w:sz w:val="21"/>
          <w:szCs w:val="21"/>
        </w:rPr>
      </w:pPr>
      <w:r w:rsidRPr="00833798">
        <w:rPr>
          <w:rFonts w:ascii="Abadi" w:hAnsi="Abadi" w:cs="Arial"/>
          <w:sz w:val="21"/>
          <w:szCs w:val="21"/>
        </w:rPr>
        <w:t xml:space="preserve">Con base en lo antes citado, con fundamento en los artículos 110 fracciones I y III, y 171 de la Ley Orgánica del Poder Legislativo, se propone a la Asamblea el siguiente: </w:t>
      </w:r>
    </w:p>
    <w:p w14:paraId="21F53B7F" w14:textId="77777777" w:rsidR="00962D70" w:rsidRPr="00833798" w:rsidRDefault="00962D70" w:rsidP="00833798">
      <w:pPr>
        <w:jc w:val="center"/>
        <w:rPr>
          <w:rFonts w:ascii="Abadi" w:eastAsia="Arial" w:hAnsi="Abadi" w:cs="Arial"/>
          <w:b/>
          <w:sz w:val="21"/>
          <w:szCs w:val="21"/>
          <w:highlight w:val="yellow"/>
        </w:rPr>
      </w:pPr>
    </w:p>
    <w:p w14:paraId="57F842BD" w14:textId="77777777" w:rsidR="00962D70" w:rsidRPr="00833798" w:rsidRDefault="00962D70" w:rsidP="00833798">
      <w:pPr>
        <w:jc w:val="center"/>
        <w:rPr>
          <w:rFonts w:ascii="Abadi" w:hAnsi="Abadi"/>
          <w:b/>
          <w:sz w:val="21"/>
          <w:szCs w:val="21"/>
        </w:rPr>
      </w:pPr>
      <w:r w:rsidRPr="00833798">
        <w:rPr>
          <w:rFonts w:ascii="Abadi" w:hAnsi="Abadi"/>
          <w:b/>
          <w:sz w:val="21"/>
          <w:szCs w:val="21"/>
        </w:rPr>
        <w:t>D e c r e t o</w:t>
      </w:r>
    </w:p>
    <w:p w14:paraId="6A253110" w14:textId="77777777" w:rsidR="00962D70" w:rsidRPr="00833798" w:rsidRDefault="00962D70" w:rsidP="00833798">
      <w:pPr>
        <w:jc w:val="center"/>
        <w:rPr>
          <w:rFonts w:ascii="Abadi" w:hAnsi="Abadi"/>
          <w:b/>
          <w:sz w:val="21"/>
          <w:szCs w:val="21"/>
        </w:rPr>
      </w:pPr>
    </w:p>
    <w:p w14:paraId="2FD81BF0" w14:textId="77777777" w:rsidR="00962D70" w:rsidRPr="00833798" w:rsidRDefault="00962D70" w:rsidP="00833798">
      <w:pPr>
        <w:shd w:val="clear" w:color="auto" w:fill="FFFFFF"/>
        <w:ind w:firstLine="709"/>
        <w:jc w:val="both"/>
        <w:rPr>
          <w:rFonts w:ascii="Abadi" w:hAnsi="Abadi" w:cs="Arial"/>
          <w:sz w:val="21"/>
          <w:szCs w:val="21"/>
        </w:rPr>
      </w:pPr>
      <w:r w:rsidRPr="00833798">
        <w:rPr>
          <w:rFonts w:ascii="Abadi" w:hAnsi="Abadi"/>
          <w:b/>
          <w:sz w:val="21"/>
          <w:szCs w:val="21"/>
        </w:rPr>
        <w:t>Artículo Único.</w:t>
      </w:r>
      <w:r w:rsidRPr="00833798">
        <w:rPr>
          <w:rFonts w:ascii="Abadi" w:hAnsi="Abadi"/>
          <w:sz w:val="21"/>
          <w:szCs w:val="21"/>
        </w:rPr>
        <w:t xml:space="preserve"> </w:t>
      </w:r>
      <w:r w:rsidRPr="00833798">
        <w:rPr>
          <w:rFonts w:ascii="Abadi" w:hAnsi="Abadi" w:cs="Arial"/>
          <w:b/>
          <w:bCs/>
          <w:sz w:val="21"/>
          <w:szCs w:val="21"/>
        </w:rPr>
        <w:t>Se reforman</w:t>
      </w:r>
      <w:r w:rsidRPr="00833798">
        <w:rPr>
          <w:rFonts w:ascii="Abadi" w:hAnsi="Abadi" w:cs="Arial"/>
          <w:sz w:val="21"/>
          <w:szCs w:val="21"/>
        </w:rPr>
        <w:t xml:space="preserve"> los artículos 6, fracciones I, II, V, VI, VII y VIII; 8, fracciones I a IV; 9 y 10. </w:t>
      </w:r>
      <w:r w:rsidRPr="00833798">
        <w:rPr>
          <w:rFonts w:ascii="Abadi" w:hAnsi="Abadi" w:cs="Arial"/>
          <w:b/>
          <w:bCs/>
          <w:sz w:val="21"/>
          <w:szCs w:val="21"/>
        </w:rPr>
        <w:t>Se adicionan</w:t>
      </w:r>
      <w:r w:rsidRPr="00833798">
        <w:rPr>
          <w:rFonts w:ascii="Abadi" w:hAnsi="Abadi" w:cs="Arial"/>
          <w:sz w:val="21"/>
          <w:szCs w:val="21"/>
        </w:rPr>
        <w:t xml:space="preserve"> al artículo 1, un segundo párrafo; al artículo 2, las fracciones I a IV, recorriéndose en su orden las actuales fracciones; al artículo 3, la fracción II, recorriéndose en su orden la subsecuente; al artículo 6, las fracciones IX a XI; un Capítulo III, denominado </w:t>
      </w:r>
      <w:r w:rsidRPr="00833798">
        <w:rPr>
          <w:rFonts w:ascii="Abadi" w:hAnsi="Abadi" w:cs="Arial"/>
          <w:i/>
          <w:iCs/>
          <w:sz w:val="21"/>
          <w:szCs w:val="21"/>
        </w:rPr>
        <w:t>Mujer Rural</w:t>
      </w:r>
      <w:r w:rsidRPr="00833798">
        <w:rPr>
          <w:rFonts w:ascii="Abadi" w:hAnsi="Abadi" w:cs="Arial"/>
          <w:sz w:val="21"/>
          <w:szCs w:val="21"/>
        </w:rPr>
        <w:t xml:space="preserve"> con los artículos 6 Bis, 6 Ter, 6 </w:t>
      </w:r>
      <w:proofErr w:type="spellStart"/>
      <w:r w:rsidRPr="00833798">
        <w:rPr>
          <w:rFonts w:ascii="Abadi" w:hAnsi="Abadi" w:cs="Arial"/>
          <w:sz w:val="21"/>
          <w:szCs w:val="21"/>
        </w:rPr>
        <w:t>Quater</w:t>
      </w:r>
      <w:proofErr w:type="spellEnd"/>
      <w:r w:rsidRPr="00833798">
        <w:rPr>
          <w:rFonts w:ascii="Abadi" w:hAnsi="Abadi" w:cs="Arial"/>
          <w:sz w:val="21"/>
          <w:szCs w:val="21"/>
        </w:rPr>
        <w:t xml:space="preserve"> y 6 Quinquies, recorriéndose en su orden los actuales capítulos; al artículo 7, las fracciones V a VIII; al artículo 8, una fracción V, recorriéndose en su orden las subsecuentes; al artículo 11, un segundo párrafo; al artículo 16, un segundo párrafo; y los artículos 21 y 22 a la </w:t>
      </w:r>
      <w:r w:rsidRPr="00833798">
        <w:rPr>
          <w:rFonts w:ascii="Abadi" w:hAnsi="Abadi" w:cs="Arial"/>
          <w:b/>
          <w:bCs/>
          <w:sz w:val="21"/>
          <w:szCs w:val="21"/>
        </w:rPr>
        <w:t>Ley de Fomento a la Agricultura Familiar del Estado de Guanajuato</w:t>
      </w:r>
      <w:r w:rsidRPr="00833798">
        <w:rPr>
          <w:rFonts w:ascii="Abadi" w:hAnsi="Abadi" w:cs="Arial"/>
          <w:sz w:val="21"/>
          <w:szCs w:val="21"/>
        </w:rPr>
        <w:t>, para quedar como sigue:</w:t>
      </w:r>
    </w:p>
    <w:p w14:paraId="10B499F6" w14:textId="77777777" w:rsidR="00962D70" w:rsidRPr="00833798" w:rsidRDefault="00962D70" w:rsidP="00833798">
      <w:pPr>
        <w:shd w:val="clear" w:color="auto" w:fill="FFFFFF"/>
        <w:ind w:firstLine="709"/>
        <w:jc w:val="both"/>
        <w:rPr>
          <w:rFonts w:ascii="Abadi" w:hAnsi="Abadi" w:cs="Arial"/>
          <w:sz w:val="21"/>
          <w:szCs w:val="21"/>
        </w:rPr>
      </w:pPr>
    </w:p>
    <w:p w14:paraId="7B8328B0" w14:textId="77777777" w:rsidR="00962D70" w:rsidRPr="00833798" w:rsidRDefault="00962D70" w:rsidP="00833798">
      <w:pPr>
        <w:adjustRightInd w:val="0"/>
        <w:ind w:firstLine="720"/>
        <w:jc w:val="both"/>
        <w:rPr>
          <w:rFonts w:ascii="Abadi" w:hAnsi="Abadi" w:cs="Arial"/>
          <w:sz w:val="21"/>
          <w:szCs w:val="21"/>
        </w:rPr>
      </w:pPr>
      <w:r w:rsidRPr="00833798">
        <w:rPr>
          <w:rFonts w:ascii="Abadi" w:hAnsi="Abadi" w:cs="Arial"/>
          <w:b/>
          <w:sz w:val="21"/>
          <w:szCs w:val="21"/>
        </w:rPr>
        <w:t>«Artículo 1.</w:t>
      </w:r>
      <w:r w:rsidRPr="00833798">
        <w:rPr>
          <w:rFonts w:ascii="Abadi" w:hAnsi="Abadi" w:cs="Arial"/>
          <w:sz w:val="21"/>
          <w:szCs w:val="21"/>
        </w:rPr>
        <w:t xml:space="preserve"> La presente Ley…</w:t>
      </w:r>
    </w:p>
    <w:p w14:paraId="71BCDC39" w14:textId="77777777" w:rsidR="00962D70" w:rsidRPr="00833798" w:rsidRDefault="00962D70" w:rsidP="00833798">
      <w:pPr>
        <w:adjustRightInd w:val="0"/>
        <w:ind w:firstLine="720"/>
        <w:jc w:val="both"/>
        <w:rPr>
          <w:rFonts w:ascii="Abadi" w:hAnsi="Abadi" w:cs="Arial"/>
          <w:sz w:val="21"/>
          <w:szCs w:val="21"/>
        </w:rPr>
      </w:pPr>
    </w:p>
    <w:p w14:paraId="7559734F" w14:textId="77777777" w:rsidR="00962D70" w:rsidRPr="00833798" w:rsidRDefault="00962D70" w:rsidP="00833798">
      <w:pPr>
        <w:adjustRightInd w:val="0"/>
        <w:ind w:firstLine="720"/>
        <w:jc w:val="both"/>
        <w:rPr>
          <w:rFonts w:ascii="Abadi" w:hAnsi="Abadi" w:cs="Arial"/>
          <w:sz w:val="21"/>
          <w:szCs w:val="21"/>
        </w:rPr>
      </w:pPr>
      <w:r w:rsidRPr="00833798">
        <w:rPr>
          <w:rFonts w:ascii="Abadi" w:hAnsi="Abadi" w:cs="Arial"/>
          <w:sz w:val="21"/>
          <w:szCs w:val="21"/>
        </w:rPr>
        <w:t>Así como, generar medidas específicas encaminadas a acelerar la equidad entre el hombre y la mujer rural y mejorar su calidad de vida.</w:t>
      </w:r>
    </w:p>
    <w:p w14:paraId="03A9A09A" w14:textId="77777777" w:rsidR="00962D70" w:rsidRPr="00833798" w:rsidRDefault="00962D70" w:rsidP="00833798">
      <w:pPr>
        <w:adjustRightInd w:val="0"/>
        <w:ind w:firstLine="720"/>
        <w:jc w:val="both"/>
        <w:rPr>
          <w:rFonts w:ascii="Abadi" w:hAnsi="Abadi" w:cs="Arial"/>
          <w:sz w:val="21"/>
          <w:szCs w:val="21"/>
        </w:rPr>
      </w:pPr>
    </w:p>
    <w:p w14:paraId="1D82F403" w14:textId="77777777" w:rsidR="00962D70" w:rsidRPr="00833798" w:rsidRDefault="00962D70" w:rsidP="00833798">
      <w:pPr>
        <w:ind w:firstLine="720"/>
        <w:contextualSpacing/>
        <w:jc w:val="both"/>
        <w:rPr>
          <w:rFonts w:ascii="Abadi" w:hAnsi="Abadi" w:cs="Arial"/>
          <w:sz w:val="21"/>
          <w:szCs w:val="21"/>
        </w:rPr>
      </w:pPr>
      <w:r w:rsidRPr="00833798">
        <w:rPr>
          <w:rFonts w:ascii="Abadi" w:hAnsi="Abadi" w:cs="Arial"/>
          <w:b/>
          <w:sz w:val="21"/>
          <w:szCs w:val="21"/>
        </w:rPr>
        <w:t>Artículo 2.</w:t>
      </w:r>
      <w:r w:rsidRPr="00833798">
        <w:rPr>
          <w:rFonts w:ascii="Abadi" w:hAnsi="Abadi" w:cs="Arial"/>
          <w:sz w:val="21"/>
          <w:szCs w:val="21"/>
        </w:rPr>
        <w:t xml:space="preserve"> Son finalidades de…</w:t>
      </w:r>
    </w:p>
    <w:p w14:paraId="43D7D62E" w14:textId="77777777" w:rsidR="00962D70" w:rsidRPr="00833798" w:rsidRDefault="00962D70" w:rsidP="00833798">
      <w:pPr>
        <w:ind w:firstLine="720"/>
        <w:contextualSpacing/>
        <w:jc w:val="both"/>
        <w:rPr>
          <w:rFonts w:ascii="Abadi" w:hAnsi="Abadi" w:cs="Arial"/>
          <w:sz w:val="21"/>
          <w:szCs w:val="21"/>
        </w:rPr>
      </w:pPr>
    </w:p>
    <w:p w14:paraId="4A407A4D"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Fomentar la igualdad de género en el diseño y operación de las políticas públicas para el sector rural del Estado;</w:t>
      </w:r>
    </w:p>
    <w:p w14:paraId="26A0C2C7"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005D07DD"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Garantizar a la mujer rural el acceso y utilización de programas sociales productivos, tecnológicos, financieros, educativos, de salud, de seguridad alimentaria y de infraestructura social y productiva brindados por los gobiernos federal y estatal;</w:t>
      </w:r>
    </w:p>
    <w:p w14:paraId="0C036C46"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7A5D7BBD"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lastRenderedPageBreak/>
        <w:t>Incorporar a las mujeres rurales a la producción, generación de ingresos, e inclusión financiera;</w:t>
      </w:r>
    </w:p>
    <w:p w14:paraId="6F6106B9"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784BC8B0"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Fortalecer la formación de capacidades administrativas y financieras de las mujeres rurales para el desarrollo de actividades productivas;</w:t>
      </w:r>
    </w:p>
    <w:p w14:paraId="0E5EEDEB"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6ADA0C16"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Procurar el bienestar…</w:t>
      </w:r>
    </w:p>
    <w:p w14:paraId="4A0E9F47"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2E01473A"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Contribuir al ejercicio…</w:t>
      </w:r>
    </w:p>
    <w:p w14:paraId="02164D26"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2C9A4C73"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Desarrollar la agricultura…</w:t>
      </w:r>
    </w:p>
    <w:p w14:paraId="3673A09C"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0CE5606F" w14:textId="77777777" w:rsidR="00962D70" w:rsidRPr="00833798" w:rsidRDefault="00962D70" w:rsidP="00833798">
      <w:pPr>
        <w:pStyle w:val="Prrafodelista"/>
        <w:numPr>
          <w:ilvl w:val="0"/>
          <w:numId w:val="38"/>
        </w:numPr>
        <w:adjustRightInd w:val="0"/>
        <w:spacing w:after="160"/>
        <w:contextualSpacing/>
        <w:jc w:val="both"/>
        <w:rPr>
          <w:rFonts w:ascii="Abadi" w:hAnsi="Abadi" w:cs="Arial"/>
          <w:sz w:val="21"/>
          <w:szCs w:val="21"/>
        </w:rPr>
      </w:pPr>
      <w:r w:rsidRPr="00833798">
        <w:rPr>
          <w:rFonts w:ascii="Abadi" w:hAnsi="Abadi" w:cs="Arial"/>
          <w:sz w:val="21"/>
          <w:szCs w:val="21"/>
        </w:rPr>
        <w:t>Fortalecer la producción…; y</w:t>
      </w:r>
    </w:p>
    <w:p w14:paraId="56B13B0B"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68330217" w14:textId="77777777" w:rsidR="00962D70" w:rsidRPr="00833798" w:rsidRDefault="00962D70" w:rsidP="00833798">
      <w:pPr>
        <w:pStyle w:val="Prrafodelista"/>
        <w:numPr>
          <w:ilvl w:val="0"/>
          <w:numId w:val="38"/>
        </w:numPr>
        <w:adjustRightInd w:val="0"/>
        <w:contextualSpacing/>
        <w:jc w:val="both"/>
        <w:rPr>
          <w:rFonts w:ascii="Abadi" w:hAnsi="Abadi" w:cs="Arial"/>
          <w:sz w:val="21"/>
          <w:szCs w:val="21"/>
        </w:rPr>
      </w:pPr>
      <w:r w:rsidRPr="00833798">
        <w:rPr>
          <w:rFonts w:ascii="Abadi" w:hAnsi="Abadi" w:cs="Arial"/>
          <w:sz w:val="21"/>
          <w:szCs w:val="21"/>
        </w:rPr>
        <w:t>Coadyuvar con la…</w:t>
      </w:r>
    </w:p>
    <w:p w14:paraId="07E4182E"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54805ECC"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b/>
          <w:sz w:val="21"/>
          <w:szCs w:val="21"/>
        </w:rPr>
        <w:t xml:space="preserve">Artículo 3. </w:t>
      </w:r>
      <w:r w:rsidRPr="00833798">
        <w:rPr>
          <w:rFonts w:ascii="Abadi" w:hAnsi="Abadi" w:cs="Arial"/>
          <w:sz w:val="21"/>
          <w:szCs w:val="21"/>
        </w:rPr>
        <w:t>Son sujetos de…</w:t>
      </w:r>
    </w:p>
    <w:p w14:paraId="5BC199E4" w14:textId="77777777" w:rsidR="00962D70" w:rsidRPr="00833798" w:rsidRDefault="00962D70" w:rsidP="00833798">
      <w:pPr>
        <w:adjustRightInd w:val="0"/>
        <w:ind w:left="15" w:firstLine="720"/>
        <w:jc w:val="both"/>
        <w:rPr>
          <w:rFonts w:ascii="Abadi" w:hAnsi="Abadi" w:cs="Arial"/>
          <w:sz w:val="21"/>
          <w:szCs w:val="21"/>
        </w:rPr>
      </w:pPr>
    </w:p>
    <w:p w14:paraId="2D399B3E" w14:textId="77777777" w:rsidR="00962D70" w:rsidRPr="00833798" w:rsidRDefault="00962D70" w:rsidP="00833798">
      <w:pPr>
        <w:pStyle w:val="Prrafodelista"/>
        <w:numPr>
          <w:ilvl w:val="0"/>
          <w:numId w:val="37"/>
        </w:numPr>
        <w:adjustRightInd w:val="0"/>
        <w:spacing w:after="160"/>
        <w:contextualSpacing/>
        <w:jc w:val="both"/>
        <w:rPr>
          <w:rFonts w:ascii="Abadi" w:hAnsi="Abadi" w:cs="Arial"/>
          <w:sz w:val="21"/>
          <w:szCs w:val="21"/>
        </w:rPr>
      </w:pPr>
      <w:r w:rsidRPr="00833798">
        <w:rPr>
          <w:rFonts w:ascii="Abadi" w:eastAsia="Calibri" w:hAnsi="Abadi" w:cs="Arial"/>
          <w:sz w:val="21"/>
          <w:szCs w:val="21"/>
        </w:rPr>
        <w:t>Las personas físicas…</w:t>
      </w:r>
    </w:p>
    <w:p w14:paraId="16056414" w14:textId="77777777" w:rsidR="00962D70" w:rsidRPr="00833798" w:rsidRDefault="00962D70" w:rsidP="00833798">
      <w:pPr>
        <w:pStyle w:val="Prrafodelista"/>
        <w:adjustRightInd w:val="0"/>
        <w:spacing w:after="160"/>
        <w:ind w:left="735"/>
        <w:contextualSpacing/>
        <w:jc w:val="both"/>
        <w:rPr>
          <w:rFonts w:ascii="Abadi" w:hAnsi="Abadi" w:cs="Arial"/>
          <w:sz w:val="21"/>
          <w:szCs w:val="21"/>
        </w:rPr>
      </w:pPr>
    </w:p>
    <w:p w14:paraId="67DD22D6" w14:textId="77777777" w:rsidR="00962D70" w:rsidRPr="00833798" w:rsidRDefault="00962D70" w:rsidP="00833798">
      <w:pPr>
        <w:pStyle w:val="Prrafodelista"/>
        <w:numPr>
          <w:ilvl w:val="0"/>
          <w:numId w:val="37"/>
        </w:numPr>
        <w:adjustRightInd w:val="0"/>
        <w:spacing w:after="160"/>
        <w:contextualSpacing/>
        <w:jc w:val="both"/>
        <w:rPr>
          <w:rFonts w:ascii="Abadi" w:hAnsi="Abadi" w:cs="Arial"/>
          <w:sz w:val="21"/>
          <w:szCs w:val="21"/>
        </w:rPr>
      </w:pPr>
      <w:r w:rsidRPr="00833798">
        <w:rPr>
          <w:rFonts w:ascii="Abadi" w:eastAsia="Calibri" w:hAnsi="Abadi" w:cs="Arial"/>
          <w:sz w:val="21"/>
          <w:szCs w:val="21"/>
        </w:rPr>
        <w:t>Las</w:t>
      </w:r>
      <w:r w:rsidRPr="00833798">
        <w:rPr>
          <w:rFonts w:ascii="Abadi" w:hAnsi="Abadi" w:cs="Arial"/>
          <w:sz w:val="21"/>
          <w:szCs w:val="21"/>
        </w:rPr>
        <w:t xml:space="preserve"> mujeres rurales; y</w:t>
      </w:r>
    </w:p>
    <w:p w14:paraId="298E6833" w14:textId="77777777" w:rsidR="00962D70" w:rsidRPr="00833798" w:rsidRDefault="00962D70" w:rsidP="00833798">
      <w:pPr>
        <w:pStyle w:val="Prrafodelista"/>
        <w:rPr>
          <w:rFonts w:ascii="Abadi" w:hAnsi="Abadi" w:cs="Arial"/>
          <w:sz w:val="21"/>
          <w:szCs w:val="21"/>
        </w:rPr>
      </w:pPr>
    </w:p>
    <w:p w14:paraId="57403B0D" w14:textId="77777777" w:rsidR="00962D70" w:rsidRPr="00833798" w:rsidRDefault="00962D70" w:rsidP="00833798">
      <w:pPr>
        <w:pStyle w:val="Prrafodelista"/>
        <w:numPr>
          <w:ilvl w:val="0"/>
          <w:numId w:val="37"/>
        </w:numPr>
        <w:adjustRightInd w:val="0"/>
        <w:spacing w:after="160"/>
        <w:contextualSpacing/>
        <w:jc w:val="both"/>
        <w:rPr>
          <w:rFonts w:ascii="Abadi" w:hAnsi="Abadi" w:cs="Arial"/>
          <w:sz w:val="21"/>
          <w:szCs w:val="21"/>
        </w:rPr>
      </w:pPr>
      <w:r w:rsidRPr="00833798">
        <w:rPr>
          <w:rFonts w:ascii="Abadi" w:hAnsi="Abadi" w:cs="Arial"/>
          <w:sz w:val="21"/>
          <w:szCs w:val="21"/>
        </w:rPr>
        <w:t>Las organizaciones sociales…</w:t>
      </w:r>
    </w:p>
    <w:p w14:paraId="56264959" w14:textId="77777777" w:rsidR="00962D70" w:rsidRPr="00833798" w:rsidRDefault="00962D70" w:rsidP="00833798">
      <w:pPr>
        <w:pStyle w:val="Prrafodelista"/>
        <w:rPr>
          <w:rFonts w:ascii="Abadi" w:hAnsi="Abadi" w:cs="Arial"/>
          <w:sz w:val="21"/>
          <w:szCs w:val="21"/>
        </w:rPr>
      </w:pPr>
    </w:p>
    <w:p w14:paraId="15D8BD31"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36DEBCD2"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b/>
          <w:bCs/>
          <w:sz w:val="21"/>
          <w:szCs w:val="21"/>
        </w:rPr>
        <w:t>Artículo</w:t>
      </w:r>
      <w:r w:rsidRPr="00833798">
        <w:rPr>
          <w:rFonts w:ascii="Abadi" w:hAnsi="Abadi" w:cs="Arial"/>
          <w:b/>
          <w:sz w:val="21"/>
          <w:szCs w:val="21"/>
        </w:rPr>
        <w:t xml:space="preserve"> 6</w:t>
      </w:r>
      <w:r w:rsidRPr="00833798">
        <w:rPr>
          <w:rFonts w:ascii="Abadi" w:hAnsi="Abadi" w:cs="Arial"/>
          <w:b/>
          <w:bCs/>
          <w:sz w:val="21"/>
          <w:szCs w:val="21"/>
        </w:rPr>
        <w:t>.</w:t>
      </w:r>
      <w:r w:rsidRPr="00833798">
        <w:rPr>
          <w:rFonts w:ascii="Abadi" w:hAnsi="Abadi" w:cs="Arial"/>
          <w:sz w:val="21"/>
          <w:szCs w:val="21"/>
        </w:rPr>
        <w:t xml:space="preserve"> Son objetivos específicos…</w:t>
      </w:r>
    </w:p>
    <w:p w14:paraId="19FE8AB9" w14:textId="77777777" w:rsidR="00962D70" w:rsidRPr="00833798" w:rsidRDefault="00962D70" w:rsidP="00833798">
      <w:pPr>
        <w:adjustRightInd w:val="0"/>
        <w:ind w:left="15" w:firstLine="720"/>
        <w:jc w:val="both"/>
        <w:rPr>
          <w:rFonts w:ascii="Abadi" w:hAnsi="Abadi" w:cs="Arial"/>
          <w:sz w:val="21"/>
          <w:szCs w:val="21"/>
        </w:rPr>
      </w:pPr>
    </w:p>
    <w:p w14:paraId="551CAB28"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Reconocer las peculiaridades de la agricultura familiar y de las mujeres rurales;</w:t>
      </w:r>
    </w:p>
    <w:p w14:paraId="47DEF01A"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EADF5BA"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Contribuir a la seguridad alimentaria con base en una mayor accesibilidad a los alimentos de calidad y en cantidad suficiente, destinados a las unidades de producción familiar, de las mujeres rurales y a la sociedad en su conjunto;</w:t>
      </w:r>
    </w:p>
    <w:p w14:paraId="02B8CA13"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062CE4CB"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Respetar y fortalecer…</w:t>
      </w:r>
    </w:p>
    <w:p w14:paraId="0351E178"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77437905"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Contribuir al fortalecimiento…</w:t>
      </w:r>
    </w:p>
    <w:p w14:paraId="7286ADDA"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33C889F2"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Contribuir a la reducción de la pobreza en el sector rural a través de un mejor uso, conservación y manejo sostenible de los recursos naturales por parte de los agricultores familiares y de las mujeres rurales;</w:t>
      </w:r>
    </w:p>
    <w:p w14:paraId="2F60C53C"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2E7B4ABE"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Promover la conservación de la biodiversidad, el uso sustentable del material genético y la tecnología, así como el acceso a la información, capacitación y financiamiento para el desarrollo de las unidades de producción familiar y de las mujeres rurales y, la articulación estable y equitativa con el mercado;</w:t>
      </w:r>
    </w:p>
    <w:p w14:paraId="4AEF1A7D"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51D8017B"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 xml:space="preserve">Establecer condiciones que permitan el desarrollo de sistemas sostenibles de agricultura familiar y de las mujeres rurales, considerando la demanda y oferta local, en calidad y variedad suficiente y en el momento oportuno; </w:t>
      </w:r>
    </w:p>
    <w:p w14:paraId="66BD9DE1"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135EA48C"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Promover la seguridad semillera para la agricultura de las mujeres rurales y familiar mediante sistemas sostenibles de semilla de calidad;</w:t>
      </w:r>
    </w:p>
    <w:p w14:paraId="30DB403D"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663C3288"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Establecer condiciones que permitan mejorar la calidad de vida de las mujeres rurales, priorizando las de bajos recursos, y consagrar medidas específicas encaminadas a acelerar la equidad entre el hombre y la mujer rural;</w:t>
      </w:r>
    </w:p>
    <w:p w14:paraId="2E6B8B76"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6ED1F19A"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Ejercer una permanente vigilancia sobre la situación de las mujeres rurales; y</w:t>
      </w:r>
    </w:p>
    <w:p w14:paraId="072E8295"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1E543552" w14:textId="77777777" w:rsidR="00962D70" w:rsidRPr="00833798" w:rsidRDefault="00962D70" w:rsidP="00833798">
      <w:pPr>
        <w:pStyle w:val="Prrafodelista"/>
        <w:numPr>
          <w:ilvl w:val="0"/>
          <w:numId w:val="39"/>
        </w:numPr>
        <w:adjustRightInd w:val="0"/>
        <w:contextualSpacing/>
        <w:jc w:val="both"/>
        <w:rPr>
          <w:rFonts w:ascii="Abadi" w:hAnsi="Abadi" w:cs="Arial"/>
          <w:sz w:val="21"/>
          <w:szCs w:val="21"/>
        </w:rPr>
      </w:pPr>
      <w:r w:rsidRPr="00833798">
        <w:rPr>
          <w:rFonts w:ascii="Abadi" w:hAnsi="Abadi" w:cs="Arial"/>
          <w:sz w:val="21"/>
          <w:szCs w:val="21"/>
        </w:rPr>
        <w:t>Formular un plan para asegurar el avance progresivo de las acciones enunciadas en esta ley, en concordancia con el Programa Estatal para la Igualdad entre Mujeres y Hombres.</w:t>
      </w:r>
    </w:p>
    <w:p w14:paraId="1F8E3E31" w14:textId="77777777" w:rsidR="00962D70" w:rsidRPr="00833798" w:rsidRDefault="00962D70" w:rsidP="00833798">
      <w:pPr>
        <w:adjustRightInd w:val="0"/>
        <w:contextualSpacing/>
        <w:jc w:val="both"/>
        <w:rPr>
          <w:rFonts w:ascii="Abadi" w:hAnsi="Abadi" w:cs="Arial"/>
          <w:sz w:val="21"/>
          <w:szCs w:val="21"/>
          <w:highlight w:val="yellow"/>
        </w:rPr>
      </w:pPr>
    </w:p>
    <w:p w14:paraId="2EF4A881" w14:textId="77777777" w:rsidR="00962D70" w:rsidRPr="00833798" w:rsidRDefault="00962D70" w:rsidP="00833798">
      <w:pPr>
        <w:jc w:val="center"/>
        <w:rPr>
          <w:rFonts w:ascii="Abadi" w:hAnsi="Abadi"/>
          <w:b/>
          <w:sz w:val="21"/>
          <w:szCs w:val="21"/>
        </w:rPr>
      </w:pPr>
      <w:r w:rsidRPr="00833798">
        <w:rPr>
          <w:rFonts w:ascii="Abadi" w:hAnsi="Abadi"/>
          <w:b/>
          <w:sz w:val="21"/>
          <w:szCs w:val="21"/>
        </w:rPr>
        <w:t>Capítulo III</w:t>
      </w:r>
    </w:p>
    <w:p w14:paraId="7AF13A5F" w14:textId="77777777" w:rsidR="00962D70" w:rsidRPr="00833798" w:rsidRDefault="00962D70" w:rsidP="00833798">
      <w:pPr>
        <w:jc w:val="center"/>
        <w:rPr>
          <w:rFonts w:ascii="Abadi" w:hAnsi="Abadi"/>
          <w:b/>
          <w:sz w:val="21"/>
          <w:szCs w:val="21"/>
        </w:rPr>
      </w:pPr>
      <w:r w:rsidRPr="00833798">
        <w:rPr>
          <w:rFonts w:ascii="Abadi" w:hAnsi="Abadi"/>
          <w:b/>
          <w:sz w:val="21"/>
          <w:szCs w:val="21"/>
        </w:rPr>
        <w:t>Mujer Rural</w:t>
      </w:r>
    </w:p>
    <w:p w14:paraId="135942BB" w14:textId="77777777" w:rsidR="00962D70" w:rsidRPr="00833798" w:rsidRDefault="00962D70" w:rsidP="00833798">
      <w:pPr>
        <w:jc w:val="center"/>
        <w:rPr>
          <w:rFonts w:ascii="Abadi" w:hAnsi="Abadi"/>
          <w:b/>
          <w:sz w:val="21"/>
          <w:szCs w:val="21"/>
        </w:rPr>
      </w:pPr>
    </w:p>
    <w:p w14:paraId="6261A8EB" w14:textId="77777777" w:rsidR="00962D70" w:rsidRPr="00833798" w:rsidRDefault="00962D70" w:rsidP="00833798">
      <w:pPr>
        <w:adjustRightInd w:val="0"/>
        <w:ind w:left="15" w:firstLine="720"/>
        <w:jc w:val="both"/>
        <w:rPr>
          <w:rFonts w:ascii="Abadi" w:eastAsiaTheme="minorHAnsi" w:hAnsi="Abadi" w:cstheme="minorBidi"/>
          <w:bCs/>
          <w:sz w:val="21"/>
          <w:szCs w:val="21"/>
        </w:rPr>
      </w:pPr>
      <w:r w:rsidRPr="00833798">
        <w:rPr>
          <w:rFonts w:ascii="Abadi" w:hAnsi="Abadi" w:cs="Arial"/>
          <w:b/>
          <w:bCs/>
          <w:sz w:val="21"/>
          <w:szCs w:val="21"/>
        </w:rPr>
        <w:t>Artículo</w:t>
      </w:r>
      <w:r w:rsidRPr="00833798">
        <w:rPr>
          <w:rFonts w:ascii="Abadi" w:eastAsiaTheme="minorHAnsi" w:hAnsi="Abadi" w:cstheme="minorBidi"/>
          <w:b/>
          <w:sz w:val="21"/>
          <w:szCs w:val="21"/>
        </w:rPr>
        <w:t xml:space="preserve"> 6 Bis. </w:t>
      </w:r>
      <w:r w:rsidRPr="00833798">
        <w:rPr>
          <w:rFonts w:ascii="Abadi" w:eastAsiaTheme="minorHAnsi" w:hAnsi="Abadi" w:cstheme="minorBidi"/>
          <w:bCs/>
          <w:sz w:val="21"/>
          <w:szCs w:val="21"/>
        </w:rPr>
        <w:t>La</w:t>
      </w:r>
      <w:r w:rsidRPr="00833798">
        <w:rPr>
          <w:rFonts w:ascii="Abadi" w:eastAsiaTheme="minorHAnsi" w:hAnsi="Abadi" w:cstheme="minorBidi"/>
          <w:b/>
          <w:sz w:val="21"/>
          <w:szCs w:val="21"/>
        </w:rPr>
        <w:t xml:space="preserve"> </w:t>
      </w:r>
      <w:r w:rsidRPr="00833798">
        <w:rPr>
          <w:rFonts w:ascii="Abadi" w:eastAsiaTheme="minorHAnsi" w:hAnsi="Abadi" w:cstheme="minorBidi"/>
          <w:bCs/>
          <w:sz w:val="21"/>
          <w:szCs w:val="21"/>
        </w:rPr>
        <w:t>Mujer Rural es toda aquella que, sin distingo de ninguna naturaleza, e independientemente del lugar donde viva, su actividad productiva está relacionada directamente con el ámbito rural, incluso si dicha actividad no es reconocida por los sistemas de información y medición del Estado o no es remunerada.</w:t>
      </w:r>
    </w:p>
    <w:p w14:paraId="579A26EC" w14:textId="77777777" w:rsidR="00962D70" w:rsidRPr="00833798" w:rsidRDefault="00962D70" w:rsidP="00833798">
      <w:pPr>
        <w:adjustRightInd w:val="0"/>
        <w:ind w:left="15" w:firstLine="720"/>
        <w:rPr>
          <w:rFonts w:ascii="Abadi" w:eastAsiaTheme="minorHAnsi" w:hAnsi="Abadi" w:cstheme="minorBidi"/>
          <w:bCs/>
          <w:sz w:val="21"/>
          <w:szCs w:val="21"/>
        </w:rPr>
      </w:pPr>
    </w:p>
    <w:p w14:paraId="4FD4069F" w14:textId="77777777" w:rsidR="00962D70" w:rsidRPr="00833798" w:rsidRDefault="00962D70" w:rsidP="00833798">
      <w:pPr>
        <w:adjustRightInd w:val="0"/>
        <w:ind w:left="15" w:firstLine="720"/>
        <w:jc w:val="both"/>
        <w:rPr>
          <w:rFonts w:ascii="Abadi" w:eastAsiaTheme="minorHAnsi" w:hAnsi="Abadi" w:cstheme="minorBidi"/>
          <w:bCs/>
          <w:sz w:val="21"/>
          <w:szCs w:val="21"/>
        </w:rPr>
      </w:pPr>
      <w:r w:rsidRPr="00833798">
        <w:rPr>
          <w:rFonts w:ascii="Abadi" w:eastAsiaTheme="minorHAnsi" w:hAnsi="Abadi" w:cstheme="minorBidi"/>
          <w:b/>
          <w:sz w:val="21"/>
          <w:szCs w:val="21"/>
        </w:rPr>
        <w:t xml:space="preserve">Artículo 6 Ter. </w:t>
      </w:r>
      <w:r w:rsidRPr="00833798">
        <w:rPr>
          <w:rFonts w:ascii="Abadi" w:eastAsiaTheme="minorHAnsi" w:hAnsi="Abadi" w:cstheme="minorBidi"/>
          <w:bCs/>
          <w:sz w:val="21"/>
          <w:szCs w:val="21"/>
        </w:rPr>
        <w:t xml:space="preserve">Los fondos, planes, programas y proyectos del Estado </w:t>
      </w:r>
      <w:r w:rsidRPr="00833798">
        <w:rPr>
          <w:rFonts w:ascii="Abadi" w:eastAsiaTheme="minorHAnsi" w:hAnsi="Abadi" w:cstheme="minorBidi"/>
          <w:bCs/>
          <w:sz w:val="21"/>
          <w:szCs w:val="21"/>
        </w:rPr>
        <w:lastRenderedPageBreak/>
        <w:t xml:space="preserve">contemplarán acciones encaminadas a garantizar a las mujeres rurales el acceso a un empleo digno, su contratación, financiamiento, promoción y capacitación, así como acceso de la mujer rural y sus hijas e hijos a los servicios de salud, educación y vivienda. </w:t>
      </w:r>
    </w:p>
    <w:p w14:paraId="140EE844" w14:textId="77777777" w:rsidR="00962D70" w:rsidRPr="00833798" w:rsidRDefault="00962D70" w:rsidP="00833798">
      <w:pPr>
        <w:adjustRightInd w:val="0"/>
        <w:ind w:left="15" w:firstLine="720"/>
        <w:jc w:val="both"/>
        <w:rPr>
          <w:rFonts w:ascii="Abadi" w:eastAsiaTheme="minorHAnsi" w:hAnsi="Abadi" w:cstheme="minorBidi"/>
          <w:b/>
          <w:sz w:val="21"/>
          <w:szCs w:val="21"/>
        </w:rPr>
      </w:pPr>
    </w:p>
    <w:p w14:paraId="1AF13EC3" w14:textId="77777777" w:rsidR="00962D70" w:rsidRPr="00833798" w:rsidRDefault="00962D70" w:rsidP="00833798">
      <w:pPr>
        <w:adjustRightInd w:val="0"/>
        <w:ind w:left="15" w:firstLine="720"/>
        <w:jc w:val="both"/>
        <w:rPr>
          <w:rFonts w:ascii="Abadi" w:eastAsiaTheme="minorHAnsi" w:hAnsi="Abadi" w:cstheme="minorBidi"/>
          <w:bCs/>
          <w:sz w:val="21"/>
          <w:szCs w:val="21"/>
        </w:rPr>
      </w:pPr>
      <w:r w:rsidRPr="00833798">
        <w:rPr>
          <w:rFonts w:ascii="Abadi" w:eastAsiaTheme="minorHAnsi" w:hAnsi="Abadi" w:cstheme="minorBidi"/>
          <w:b/>
          <w:sz w:val="21"/>
          <w:szCs w:val="21"/>
        </w:rPr>
        <w:t xml:space="preserve">Artículo 6 </w:t>
      </w:r>
      <w:proofErr w:type="spellStart"/>
      <w:r w:rsidRPr="00833798">
        <w:rPr>
          <w:rFonts w:ascii="Abadi" w:eastAsiaTheme="minorHAnsi" w:hAnsi="Abadi" w:cstheme="minorBidi"/>
          <w:b/>
          <w:sz w:val="21"/>
          <w:szCs w:val="21"/>
        </w:rPr>
        <w:t>Quater</w:t>
      </w:r>
      <w:proofErr w:type="spellEnd"/>
      <w:r w:rsidRPr="00833798">
        <w:rPr>
          <w:rFonts w:ascii="Abadi" w:eastAsiaTheme="minorHAnsi" w:hAnsi="Abadi" w:cstheme="minorBidi"/>
          <w:b/>
          <w:sz w:val="21"/>
          <w:szCs w:val="21"/>
        </w:rPr>
        <w:t xml:space="preserve">. </w:t>
      </w:r>
      <w:r w:rsidRPr="00833798">
        <w:rPr>
          <w:rFonts w:ascii="Abadi" w:eastAsiaTheme="minorHAnsi" w:hAnsi="Abadi" w:cstheme="minorBidi"/>
          <w:bCs/>
          <w:sz w:val="21"/>
          <w:szCs w:val="21"/>
        </w:rPr>
        <w:t xml:space="preserve">Los programas del sector agroalimentario, empresarial e industrial se integrarán incluyendo las necesidades de las mujeres rurales. </w:t>
      </w:r>
    </w:p>
    <w:p w14:paraId="34019250" w14:textId="77777777" w:rsidR="00962D70" w:rsidRPr="00833798" w:rsidRDefault="00962D70" w:rsidP="00833798">
      <w:pPr>
        <w:adjustRightInd w:val="0"/>
        <w:ind w:left="15" w:firstLine="720"/>
        <w:jc w:val="both"/>
        <w:rPr>
          <w:rFonts w:ascii="Abadi" w:eastAsiaTheme="minorHAnsi" w:hAnsi="Abadi" w:cstheme="minorBidi"/>
          <w:b/>
          <w:sz w:val="21"/>
          <w:szCs w:val="21"/>
        </w:rPr>
      </w:pPr>
    </w:p>
    <w:p w14:paraId="3B56C7E0" w14:textId="77777777" w:rsidR="00962D70" w:rsidRPr="00833798" w:rsidRDefault="00962D70" w:rsidP="00833798">
      <w:pPr>
        <w:adjustRightInd w:val="0"/>
        <w:ind w:left="15" w:firstLine="720"/>
        <w:jc w:val="both"/>
        <w:rPr>
          <w:rFonts w:ascii="Abadi" w:eastAsiaTheme="minorHAnsi" w:hAnsi="Abadi" w:cstheme="minorBidi"/>
          <w:bCs/>
          <w:sz w:val="21"/>
          <w:szCs w:val="21"/>
        </w:rPr>
      </w:pPr>
      <w:r w:rsidRPr="00833798">
        <w:rPr>
          <w:rFonts w:ascii="Abadi" w:eastAsiaTheme="minorHAnsi" w:hAnsi="Abadi" w:cstheme="minorBidi"/>
          <w:b/>
          <w:sz w:val="21"/>
          <w:szCs w:val="21"/>
        </w:rPr>
        <w:t xml:space="preserve">Artículo 6 Quinquies. </w:t>
      </w:r>
      <w:r w:rsidRPr="00833798">
        <w:rPr>
          <w:rFonts w:ascii="Abadi" w:eastAsiaTheme="minorHAnsi" w:hAnsi="Abadi" w:cstheme="minorBidi"/>
          <w:bCs/>
          <w:sz w:val="21"/>
          <w:szCs w:val="21"/>
        </w:rPr>
        <w:t>En la elaboración y ejecución de los planes, programas, proyectos y fondos que favorecen la actividad rural en el Estado, las dependencias y entidades responsables deberán ajustar los procedimientos y requisitos en aras de eliminar cualquier obstáculo que impida o limite el acceso de las mujeres rurales a ellos.</w:t>
      </w:r>
    </w:p>
    <w:p w14:paraId="0B3EBACA" w14:textId="77777777" w:rsidR="00962D70" w:rsidRPr="00833798" w:rsidRDefault="00962D70" w:rsidP="00833798">
      <w:pPr>
        <w:adjustRightInd w:val="0"/>
        <w:contextualSpacing/>
        <w:jc w:val="both"/>
        <w:rPr>
          <w:rFonts w:ascii="Abadi" w:hAnsi="Abadi" w:cs="Arial"/>
          <w:sz w:val="21"/>
          <w:szCs w:val="21"/>
        </w:rPr>
      </w:pPr>
    </w:p>
    <w:p w14:paraId="009085C5"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Capítulo IV</w:t>
      </w:r>
    </w:p>
    <w:p w14:paraId="43687463"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Atribuciones de las…</w:t>
      </w:r>
    </w:p>
    <w:p w14:paraId="1945DF0C" w14:textId="77777777" w:rsidR="00962D70" w:rsidRPr="00833798" w:rsidRDefault="00962D70" w:rsidP="00833798">
      <w:pPr>
        <w:pStyle w:val="Prrafodelista"/>
        <w:rPr>
          <w:rFonts w:ascii="Abadi" w:hAnsi="Abadi" w:cs="Arial"/>
          <w:color w:val="FF0000"/>
          <w:sz w:val="21"/>
          <w:szCs w:val="21"/>
        </w:rPr>
      </w:pPr>
    </w:p>
    <w:p w14:paraId="288A8F93"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b/>
          <w:bCs/>
          <w:color w:val="000000"/>
          <w:sz w:val="21"/>
          <w:szCs w:val="21"/>
        </w:rPr>
        <w:t>Artículo 7.</w:t>
      </w:r>
      <w:r w:rsidRPr="00833798">
        <w:rPr>
          <w:rFonts w:ascii="Abadi" w:hAnsi="Abadi" w:cs="Arial"/>
          <w:color w:val="000000"/>
          <w:sz w:val="21"/>
          <w:szCs w:val="21"/>
        </w:rPr>
        <w:t xml:space="preserve"> </w:t>
      </w:r>
      <w:r w:rsidRPr="00833798">
        <w:rPr>
          <w:rFonts w:ascii="Abadi" w:hAnsi="Abadi" w:cs="Arial"/>
          <w:sz w:val="21"/>
          <w:szCs w:val="21"/>
        </w:rPr>
        <w:t xml:space="preserve">Corresponde al Poder… </w:t>
      </w:r>
    </w:p>
    <w:p w14:paraId="66B2C76D" w14:textId="77777777" w:rsidR="00962D70" w:rsidRPr="00833798" w:rsidRDefault="00962D70" w:rsidP="00833798">
      <w:pPr>
        <w:adjustRightInd w:val="0"/>
        <w:ind w:left="15" w:firstLine="720"/>
        <w:rPr>
          <w:rFonts w:ascii="Abadi" w:hAnsi="Abadi" w:cs="Arial"/>
          <w:sz w:val="21"/>
          <w:szCs w:val="21"/>
        </w:rPr>
      </w:pPr>
    </w:p>
    <w:p w14:paraId="7399964F" w14:textId="77777777" w:rsidR="00962D70" w:rsidRPr="00833798" w:rsidRDefault="00962D70" w:rsidP="00833798">
      <w:pPr>
        <w:adjustRightInd w:val="0"/>
        <w:ind w:left="15" w:hanging="15"/>
        <w:jc w:val="both"/>
        <w:rPr>
          <w:rFonts w:ascii="Abadi" w:hAnsi="Abadi" w:cs="Arial"/>
          <w:sz w:val="21"/>
          <w:szCs w:val="21"/>
        </w:rPr>
      </w:pPr>
      <w:r w:rsidRPr="00833798">
        <w:rPr>
          <w:rFonts w:ascii="Abadi" w:hAnsi="Abadi" w:cs="Arial"/>
          <w:b/>
          <w:bCs/>
          <w:sz w:val="21"/>
          <w:szCs w:val="21"/>
        </w:rPr>
        <w:t>I.</w:t>
      </w:r>
      <w:r w:rsidRPr="00833798">
        <w:rPr>
          <w:rFonts w:ascii="Abadi" w:hAnsi="Abadi" w:cs="Arial"/>
          <w:sz w:val="21"/>
          <w:szCs w:val="21"/>
        </w:rPr>
        <w:t xml:space="preserve"> a </w:t>
      </w:r>
      <w:r w:rsidRPr="00833798">
        <w:rPr>
          <w:rFonts w:ascii="Abadi" w:hAnsi="Abadi" w:cs="Arial"/>
          <w:b/>
          <w:bCs/>
          <w:sz w:val="21"/>
          <w:szCs w:val="21"/>
        </w:rPr>
        <w:t>IV.</w:t>
      </w:r>
      <w:r w:rsidRPr="00833798">
        <w:rPr>
          <w:rFonts w:ascii="Abadi" w:hAnsi="Abadi" w:cs="Arial"/>
          <w:sz w:val="21"/>
          <w:szCs w:val="21"/>
        </w:rPr>
        <w:t xml:space="preserve"> …</w:t>
      </w:r>
    </w:p>
    <w:p w14:paraId="66283C40"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309C3E4A" w14:textId="77777777" w:rsidR="00962D70" w:rsidRPr="00833798" w:rsidRDefault="00962D70" w:rsidP="00833798">
      <w:pPr>
        <w:pStyle w:val="Prrafodelista"/>
        <w:numPr>
          <w:ilvl w:val="0"/>
          <w:numId w:val="41"/>
        </w:numPr>
        <w:adjustRightInd w:val="0"/>
        <w:contextualSpacing/>
        <w:jc w:val="both"/>
        <w:rPr>
          <w:rFonts w:ascii="Abadi" w:hAnsi="Abadi" w:cs="Arial"/>
          <w:sz w:val="21"/>
          <w:szCs w:val="21"/>
        </w:rPr>
      </w:pPr>
      <w:r w:rsidRPr="00833798">
        <w:rPr>
          <w:rFonts w:ascii="Abadi" w:hAnsi="Abadi" w:cs="Arial"/>
          <w:sz w:val="21"/>
          <w:szCs w:val="21"/>
        </w:rPr>
        <w:t>Implementar, en coordinación con las dependencias y entidades competentes, acciones afirmativas a favor de las mujeres rurales de conformidad con lo consagrado por la presente ley;</w:t>
      </w:r>
    </w:p>
    <w:p w14:paraId="750E6AF5"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52A1D2F" w14:textId="77777777" w:rsidR="00962D70" w:rsidRPr="00833798" w:rsidRDefault="00962D70" w:rsidP="00833798">
      <w:pPr>
        <w:pStyle w:val="Prrafodelista"/>
        <w:numPr>
          <w:ilvl w:val="0"/>
          <w:numId w:val="41"/>
        </w:numPr>
        <w:adjustRightInd w:val="0"/>
        <w:contextualSpacing/>
        <w:jc w:val="both"/>
        <w:rPr>
          <w:rFonts w:ascii="Abadi" w:hAnsi="Abadi" w:cs="Arial"/>
          <w:sz w:val="21"/>
          <w:szCs w:val="21"/>
        </w:rPr>
      </w:pPr>
      <w:r w:rsidRPr="00833798">
        <w:rPr>
          <w:rFonts w:ascii="Abadi" w:hAnsi="Abadi" w:cs="Arial"/>
          <w:sz w:val="21"/>
          <w:szCs w:val="21"/>
        </w:rPr>
        <w:t>Incluir en todos sus fondos, planes, programas y proyectos del Estado, las disposiciones que garanticen a las mujeres rurales el derecho al empleo digno, oportunidades de acceso, contratación, promoción y capacitación, así como el acceso de la mujer rural a los servicios de salud, educación y vivienda;</w:t>
      </w:r>
    </w:p>
    <w:p w14:paraId="7BAE685D"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6CE6C53F" w14:textId="77777777" w:rsidR="00962D70" w:rsidRPr="00833798" w:rsidRDefault="00962D70" w:rsidP="00833798">
      <w:pPr>
        <w:pStyle w:val="Prrafodelista"/>
        <w:numPr>
          <w:ilvl w:val="0"/>
          <w:numId w:val="41"/>
        </w:numPr>
        <w:adjustRightInd w:val="0"/>
        <w:contextualSpacing/>
        <w:jc w:val="both"/>
        <w:rPr>
          <w:rFonts w:ascii="Abadi" w:hAnsi="Abadi" w:cs="Arial"/>
          <w:sz w:val="21"/>
          <w:szCs w:val="21"/>
        </w:rPr>
      </w:pPr>
      <w:r w:rsidRPr="00833798">
        <w:rPr>
          <w:rFonts w:ascii="Abadi" w:hAnsi="Abadi" w:cs="Arial"/>
          <w:sz w:val="21"/>
          <w:szCs w:val="21"/>
        </w:rPr>
        <w:t>Ajustar los procedimientos y requisitos de todos los fondos, planes, programas, y proyectos que favorecen la actividad rural en el Estado en aras de eliminar cualquier obstáculo que impida el acceso de las mujeres rurales a ellos; y</w:t>
      </w:r>
    </w:p>
    <w:p w14:paraId="6C29FFB0"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2243023E" w14:textId="77777777" w:rsidR="00962D70" w:rsidRPr="00833798" w:rsidRDefault="00962D70" w:rsidP="00833798">
      <w:pPr>
        <w:pStyle w:val="Prrafodelista"/>
        <w:numPr>
          <w:ilvl w:val="0"/>
          <w:numId w:val="41"/>
        </w:numPr>
        <w:adjustRightInd w:val="0"/>
        <w:contextualSpacing/>
        <w:jc w:val="both"/>
        <w:rPr>
          <w:rFonts w:ascii="Abadi" w:hAnsi="Abadi" w:cs="Arial"/>
          <w:sz w:val="21"/>
          <w:szCs w:val="21"/>
        </w:rPr>
      </w:pPr>
      <w:r w:rsidRPr="00833798">
        <w:rPr>
          <w:rFonts w:ascii="Abadi" w:hAnsi="Abadi" w:cs="Arial"/>
          <w:sz w:val="21"/>
          <w:szCs w:val="21"/>
        </w:rPr>
        <w:t>Implementar acciones afirmativas a favor de la mujer rural para alcanzar la igualdad de género con los hombres; el respeto de su dignidad humana y no discriminación; su libertad, autonomía y empoderamiento; así como el acceso a una vida libre de todo tipo de violencia en cualquiera de sus modalidades.</w:t>
      </w:r>
    </w:p>
    <w:p w14:paraId="7FB9CF60" w14:textId="77777777" w:rsidR="00962D70" w:rsidRPr="00833798" w:rsidRDefault="00962D70" w:rsidP="00833798">
      <w:pPr>
        <w:contextualSpacing/>
        <w:jc w:val="center"/>
        <w:rPr>
          <w:rFonts w:ascii="Abadi" w:hAnsi="Abadi" w:cs="Arial"/>
          <w:b/>
          <w:sz w:val="21"/>
          <w:szCs w:val="21"/>
        </w:rPr>
      </w:pPr>
    </w:p>
    <w:p w14:paraId="16558153" w14:textId="77777777" w:rsidR="00962D70" w:rsidRPr="00833798" w:rsidRDefault="00962D70" w:rsidP="00833798">
      <w:pPr>
        <w:adjustRightInd w:val="0"/>
        <w:ind w:left="15" w:firstLine="720"/>
        <w:jc w:val="both"/>
        <w:rPr>
          <w:rFonts w:ascii="Abadi" w:hAnsi="Abadi" w:cs="Arial"/>
          <w:color w:val="000000"/>
          <w:sz w:val="21"/>
          <w:szCs w:val="21"/>
        </w:rPr>
      </w:pPr>
      <w:r w:rsidRPr="00833798">
        <w:rPr>
          <w:rFonts w:ascii="Abadi" w:hAnsi="Abadi" w:cs="Arial"/>
          <w:b/>
          <w:color w:val="000000"/>
          <w:sz w:val="21"/>
          <w:szCs w:val="21"/>
        </w:rPr>
        <w:t>Artículo 8.</w:t>
      </w:r>
      <w:r w:rsidRPr="00833798">
        <w:rPr>
          <w:rFonts w:ascii="Abadi" w:hAnsi="Abadi" w:cs="Arial"/>
          <w:color w:val="000000"/>
          <w:sz w:val="21"/>
          <w:szCs w:val="21"/>
        </w:rPr>
        <w:t xml:space="preserve"> Corresponde a la…  </w:t>
      </w:r>
    </w:p>
    <w:p w14:paraId="694F12E9" w14:textId="77777777" w:rsidR="00962D70" w:rsidRPr="00833798" w:rsidRDefault="00962D70" w:rsidP="00833798">
      <w:pPr>
        <w:adjustRightInd w:val="0"/>
        <w:ind w:left="15" w:firstLine="720"/>
        <w:jc w:val="both"/>
        <w:rPr>
          <w:rFonts w:ascii="Abadi" w:hAnsi="Abadi" w:cs="Arial"/>
          <w:color w:val="000000"/>
          <w:sz w:val="21"/>
          <w:szCs w:val="21"/>
        </w:rPr>
      </w:pPr>
    </w:p>
    <w:p w14:paraId="1995529B"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Ejecutar las políticas públicas y programas gubernamentales con incidencia en la agricultura familiar y de las mujeres rurales;</w:t>
      </w:r>
    </w:p>
    <w:p w14:paraId="108ED59C"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52A57838"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Desarrollar programas, en los que se incluya el componente de apoyo para la asesoría y capacitación, para el fortalecimiento de las actividades de producción, transformación, acondicionamiento y comercialización otorgados a las unidades de producción familiar</w:t>
      </w:r>
      <w:r w:rsidRPr="00833798">
        <w:rPr>
          <w:rFonts w:ascii="Abadi" w:hAnsi="Abadi"/>
          <w:sz w:val="21"/>
          <w:szCs w:val="21"/>
        </w:rPr>
        <w:t xml:space="preserve"> </w:t>
      </w:r>
      <w:r w:rsidRPr="00833798">
        <w:rPr>
          <w:rFonts w:ascii="Abadi" w:hAnsi="Abadi" w:cs="Arial"/>
          <w:sz w:val="21"/>
          <w:szCs w:val="21"/>
        </w:rPr>
        <w:t>y de las mujeres rurales;</w:t>
      </w:r>
    </w:p>
    <w:p w14:paraId="3101DF2D"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2FDB8B3A"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Gestionar infraestructura y servicios para el acceso efectivo de las familias y mujeres dedicadas a la agricultura familiar a los servicios básicos de agua para consumo y riego, saneamiento, electricidad, salud, educación y recreación;</w:t>
      </w:r>
    </w:p>
    <w:p w14:paraId="14790DA9"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030DBADB"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Facilitar y promover la asociación y la cooperación de los agricultores familiares, así como de las mujeres rurales y poner en práctica programas de generación de capacidades en gestión técnica y empresarial;</w:t>
      </w:r>
    </w:p>
    <w:p w14:paraId="40C60859"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083B1F4C"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Integrar los programas de innovación tecnológica agropecuaria y empresarial, incluyendo las necesidades de las mujeres rurales;</w:t>
      </w:r>
    </w:p>
    <w:p w14:paraId="5F2C4C5F"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17AC755"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Promover la participación…</w:t>
      </w:r>
    </w:p>
    <w:p w14:paraId="1E3DD429"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500D8EC"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 xml:space="preserve">Aplicar los principios… </w:t>
      </w:r>
    </w:p>
    <w:p w14:paraId="4C8EC022"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1B6DAF7F"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 xml:space="preserve">Crear y gestionar… </w:t>
      </w:r>
    </w:p>
    <w:p w14:paraId="59F25821"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12BBE48"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 xml:space="preserve">Conducir la promoción… </w:t>
      </w:r>
    </w:p>
    <w:p w14:paraId="462FB742"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2F96366B"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lastRenderedPageBreak/>
        <w:t xml:space="preserve">Definir las estrategias… </w:t>
      </w:r>
    </w:p>
    <w:p w14:paraId="30B27FBD"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4ADB3978"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Coadyuvar con los…</w:t>
      </w:r>
    </w:p>
    <w:p w14:paraId="57389931"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3159DC85"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 xml:space="preserve">Establecer las condiciones… </w:t>
      </w:r>
    </w:p>
    <w:p w14:paraId="5F6DAD7C"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0DA55FB7"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Informar, supervisar y…</w:t>
      </w:r>
    </w:p>
    <w:p w14:paraId="1C55B803" w14:textId="77777777" w:rsidR="00962D70" w:rsidRPr="00833798" w:rsidRDefault="00962D70" w:rsidP="00833798">
      <w:pPr>
        <w:pStyle w:val="Prrafodelista"/>
        <w:adjustRightInd w:val="0"/>
        <w:ind w:left="735"/>
        <w:contextualSpacing/>
        <w:jc w:val="both"/>
        <w:rPr>
          <w:rFonts w:ascii="Abadi" w:hAnsi="Abadi" w:cs="Arial"/>
          <w:sz w:val="21"/>
          <w:szCs w:val="21"/>
        </w:rPr>
      </w:pPr>
    </w:p>
    <w:p w14:paraId="1F811E56" w14:textId="77777777" w:rsidR="00962D70" w:rsidRPr="00833798" w:rsidRDefault="00962D70" w:rsidP="00833798">
      <w:pPr>
        <w:pStyle w:val="Prrafodelista"/>
        <w:numPr>
          <w:ilvl w:val="0"/>
          <w:numId w:val="40"/>
        </w:numPr>
        <w:adjustRightInd w:val="0"/>
        <w:contextualSpacing/>
        <w:jc w:val="both"/>
        <w:rPr>
          <w:rFonts w:ascii="Abadi" w:hAnsi="Abadi" w:cs="Arial"/>
          <w:sz w:val="21"/>
          <w:szCs w:val="21"/>
        </w:rPr>
      </w:pPr>
      <w:r w:rsidRPr="00833798">
        <w:rPr>
          <w:rFonts w:ascii="Abadi" w:hAnsi="Abadi" w:cs="Arial"/>
          <w:sz w:val="21"/>
          <w:szCs w:val="21"/>
        </w:rPr>
        <w:t xml:space="preserve">La Secretaría promoverá… </w:t>
      </w:r>
    </w:p>
    <w:p w14:paraId="37759B84" w14:textId="77777777" w:rsidR="00962D70" w:rsidRPr="00833798" w:rsidRDefault="00962D70" w:rsidP="00833798">
      <w:pPr>
        <w:pStyle w:val="Prrafodelista"/>
        <w:adjustRightInd w:val="0"/>
        <w:ind w:left="735"/>
        <w:contextualSpacing/>
        <w:jc w:val="both"/>
        <w:rPr>
          <w:rFonts w:ascii="Abadi" w:hAnsi="Abadi" w:cs="Arial"/>
          <w:b/>
          <w:sz w:val="21"/>
          <w:szCs w:val="21"/>
        </w:rPr>
      </w:pPr>
    </w:p>
    <w:p w14:paraId="35DBDB5D" w14:textId="77777777" w:rsidR="00962D70" w:rsidRPr="00833798" w:rsidRDefault="00962D70" w:rsidP="00833798">
      <w:pPr>
        <w:adjustRightInd w:val="0"/>
        <w:ind w:left="15" w:firstLine="720"/>
        <w:jc w:val="both"/>
        <w:rPr>
          <w:rFonts w:ascii="Abadi" w:hAnsi="Abadi" w:cs="Arial"/>
          <w:b/>
          <w:bCs/>
          <w:color w:val="000000"/>
          <w:sz w:val="21"/>
          <w:szCs w:val="21"/>
          <w:lang w:eastAsia="es-MX"/>
        </w:rPr>
      </w:pPr>
      <w:r w:rsidRPr="00833798">
        <w:rPr>
          <w:rFonts w:ascii="Abadi" w:hAnsi="Abadi" w:cs="Arial"/>
          <w:b/>
          <w:bCs/>
          <w:sz w:val="21"/>
          <w:szCs w:val="21"/>
        </w:rPr>
        <w:t>Artículo 9.</w:t>
      </w:r>
      <w:r w:rsidRPr="00833798">
        <w:rPr>
          <w:rFonts w:ascii="Abadi" w:hAnsi="Abadi" w:cs="Arial"/>
          <w:sz w:val="21"/>
          <w:szCs w:val="21"/>
        </w:rPr>
        <w:t xml:space="preserve"> El Ejecutivo del Estado y los Ayuntamientos en las gestiones, darán prioridad a las mujeres rurales y a las unidades de producción familiar</w:t>
      </w:r>
      <w:r w:rsidRPr="00833798">
        <w:rPr>
          <w:rFonts w:ascii="Abadi" w:hAnsi="Abadi" w:cs="Arial"/>
          <w:color w:val="000000"/>
          <w:sz w:val="21"/>
          <w:szCs w:val="21"/>
          <w:lang w:eastAsia="es-MX"/>
        </w:rPr>
        <w:t>.</w:t>
      </w:r>
    </w:p>
    <w:p w14:paraId="4E7B5268" w14:textId="77777777" w:rsidR="00962D70" w:rsidRPr="00833798" w:rsidRDefault="00962D70" w:rsidP="00833798">
      <w:pPr>
        <w:adjustRightInd w:val="0"/>
        <w:ind w:left="15" w:firstLine="720"/>
        <w:jc w:val="both"/>
        <w:rPr>
          <w:rFonts w:ascii="Abadi" w:hAnsi="Abadi" w:cs="Arial"/>
          <w:b/>
          <w:bCs/>
          <w:color w:val="000000"/>
          <w:sz w:val="21"/>
          <w:szCs w:val="21"/>
          <w:lang w:eastAsia="es-MX"/>
        </w:rPr>
      </w:pPr>
    </w:p>
    <w:p w14:paraId="6C152E87"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b/>
          <w:sz w:val="21"/>
          <w:szCs w:val="21"/>
        </w:rPr>
        <w:t>Artículo 10.</w:t>
      </w:r>
      <w:r w:rsidRPr="00833798">
        <w:rPr>
          <w:rFonts w:ascii="Abadi" w:hAnsi="Abadi" w:cs="Arial"/>
          <w:sz w:val="21"/>
          <w:szCs w:val="21"/>
        </w:rPr>
        <w:t xml:space="preserve"> El Ejecutivo del Estado y los Ayuntamientos, se coordinarán a efecto de desarrollar mecanismos de información social y económica, geográfica y de cartografía, a fin de identificar a las mujeres rurales, los grupos y hogares vulnerables que practiquen la agricultura familiar.</w:t>
      </w:r>
    </w:p>
    <w:p w14:paraId="03A6ED94" w14:textId="77777777" w:rsidR="00962D70" w:rsidRPr="00833798" w:rsidRDefault="00962D70" w:rsidP="00833798">
      <w:pPr>
        <w:adjustRightInd w:val="0"/>
        <w:ind w:left="15" w:firstLine="720"/>
        <w:jc w:val="both"/>
        <w:rPr>
          <w:rFonts w:ascii="Abadi" w:hAnsi="Abadi" w:cs="Arial"/>
          <w:b/>
          <w:sz w:val="21"/>
          <w:szCs w:val="21"/>
        </w:rPr>
      </w:pPr>
    </w:p>
    <w:p w14:paraId="35F4F60C"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b/>
          <w:sz w:val="21"/>
          <w:szCs w:val="21"/>
        </w:rPr>
        <w:t>Artículo 11.</w:t>
      </w:r>
      <w:r w:rsidRPr="00833798">
        <w:rPr>
          <w:rFonts w:ascii="Abadi" w:hAnsi="Abadi" w:cs="Arial"/>
          <w:sz w:val="21"/>
          <w:szCs w:val="21"/>
        </w:rPr>
        <w:t xml:space="preserve"> El Estado y los…</w:t>
      </w:r>
    </w:p>
    <w:p w14:paraId="118FF571" w14:textId="77777777" w:rsidR="00962D70" w:rsidRPr="00833798" w:rsidRDefault="00962D70" w:rsidP="00833798">
      <w:pPr>
        <w:adjustRightInd w:val="0"/>
        <w:ind w:left="15" w:firstLine="720"/>
        <w:jc w:val="both"/>
        <w:rPr>
          <w:rFonts w:ascii="Abadi" w:hAnsi="Abadi" w:cs="Arial"/>
          <w:sz w:val="21"/>
          <w:szCs w:val="21"/>
        </w:rPr>
      </w:pPr>
    </w:p>
    <w:p w14:paraId="5AC7A3AD" w14:textId="77777777" w:rsidR="00962D70" w:rsidRPr="00833798" w:rsidRDefault="00962D70" w:rsidP="00833798">
      <w:pPr>
        <w:adjustRightInd w:val="0"/>
        <w:ind w:left="15" w:firstLine="720"/>
        <w:jc w:val="both"/>
        <w:rPr>
          <w:rFonts w:ascii="Abadi" w:hAnsi="Abadi" w:cs="Arial"/>
          <w:sz w:val="21"/>
          <w:szCs w:val="21"/>
        </w:rPr>
      </w:pPr>
      <w:r w:rsidRPr="00833798">
        <w:rPr>
          <w:rFonts w:ascii="Abadi" w:hAnsi="Abadi" w:cs="Arial"/>
          <w:sz w:val="21"/>
          <w:szCs w:val="21"/>
        </w:rPr>
        <w:t>También están obligados a propiciar la participación en igualdad de oportunidades, de trato y libre de discriminación, de las mujeres rurales en los espacios de participación ciudadana generados por los municipios y el Gobierno del Estado.</w:t>
      </w:r>
    </w:p>
    <w:p w14:paraId="37DF0375" w14:textId="77777777" w:rsidR="00962D70" w:rsidRPr="00833798" w:rsidRDefault="00962D70" w:rsidP="00833798">
      <w:pPr>
        <w:contextualSpacing/>
        <w:jc w:val="center"/>
        <w:rPr>
          <w:rFonts w:ascii="Abadi" w:hAnsi="Abadi" w:cs="Arial"/>
          <w:b/>
          <w:sz w:val="21"/>
          <w:szCs w:val="21"/>
        </w:rPr>
      </w:pPr>
      <w:bookmarkStart w:id="11" w:name="_Toc4439100"/>
    </w:p>
    <w:p w14:paraId="019470A8"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Capítulo V</w:t>
      </w:r>
    </w:p>
    <w:bookmarkEnd w:id="11"/>
    <w:p w14:paraId="36B285A5"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Consejo Ciudadano de…</w:t>
      </w:r>
    </w:p>
    <w:p w14:paraId="79BDCFA6" w14:textId="77777777" w:rsidR="00962D70" w:rsidRPr="00833798" w:rsidRDefault="00962D70" w:rsidP="00833798">
      <w:pPr>
        <w:contextualSpacing/>
        <w:jc w:val="center"/>
        <w:rPr>
          <w:rFonts w:ascii="Abadi" w:hAnsi="Abadi" w:cs="Arial"/>
          <w:b/>
          <w:sz w:val="21"/>
          <w:szCs w:val="21"/>
        </w:rPr>
      </w:pPr>
    </w:p>
    <w:p w14:paraId="01D40E44" w14:textId="77777777" w:rsidR="00962D70" w:rsidRPr="00833798" w:rsidRDefault="00962D70" w:rsidP="00833798">
      <w:pPr>
        <w:adjustRightInd w:val="0"/>
        <w:ind w:firstLine="720"/>
        <w:jc w:val="both"/>
        <w:rPr>
          <w:rFonts w:ascii="Abadi" w:hAnsi="Abadi" w:cs="Arial"/>
          <w:bCs/>
          <w:sz w:val="21"/>
          <w:szCs w:val="21"/>
        </w:rPr>
      </w:pPr>
      <w:r w:rsidRPr="00833798">
        <w:rPr>
          <w:rFonts w:ascii="Abadi" w:hAnsi="Abadi" w:cs="Arial"/>
          <w:b/>
          <w:bCs/>
          <w:sz w:val="21"/>
          <w:szCs w:val="21"/>
        </w:rPr>
        <w:t>Artículo</w:t>
      </w:r>
      <w:r w:rsidRPr="00833798">
        <w:rPr>
          <w:rFonts w:ascii="Abadi" w:hAnsi="Abadi" w:cs="Arial"/>
          <w:b/>
          <w:sz w:val="21"/>
          <w:szCs w:val="21"/>
        </w:rPr>
        <w:t xml:space="preserve"> 16. </w:t>
      </w:r>
      <w:r w:rsidRPr="00833798">
        <w:rPr>
          <w:rFonts w:ascii="Abadi" w:hAnsi="Abadi" w:cs="Arial"/>
          <w:bCs/>
          <w:sz w:val="21"/>
          <w:szCs w:val="21"/>
        </w:rPr>
        <w:t>El Poder Ejecutivo…</w:t>
      </w:r>
    </w:p>
    <w:p w14:paraId="3F33FD07" w14:textId="77777777" w:rsidR="00962D70" w:rsidRPr="00833798" w:rsidRDefault="00962D70" w:rsidP="00833798">
      <w:pPr>
        <w:adjustRightInd w:val="0"/>
        <w:ind w:firstLine="720"/>
        <w:jc w:val="both"/>
        <w:rPr>
          <w:rFonts w:ascii="Abadi" w:hAnsi="Abadi" w:cs="Arial"/>
          <w:bCs/>
          <w:sz w:val="21"/>
          <w:szCs w:val="21"/>
        </w:rPr>
      </w:pPr>
    </w:p>
    <w:p w14:paraId="487EC378" w14:textId="77777777" w:rsidR="00962D70" w:rsidRPr="00833798" w:rsidRDefault="00962D70" w:rsidP="00833798">
      <w:pPr>
        <w:adjustRightInd w:val="0"/>
        <w:ind w:firstLine="720"/>
        <w:jc w:val="both"/>
        <w:rPr>
          <w:rFonts w:ascii="Abadi" w:hAnsi="Abadi" w:cs="Arial"/>
          <w:bCs/>
          <w:sz w:val="21"/>
          <w:szCs w:val="21"/>
        </w:rPr>
      </w:pPr>
      <w:r w:rsidRPr="00833798">
        <w:rPr>
          <w:rFonts w:ascii="Abadi" w:hAnsi="Abadi" w:cs="Arial"/>
          <w:bCs/>
          <w:sz w:val="21"/>
          <w:szCs w:val="21"/>
        </w:rPr>
        <w:t>Las mujeres rurales tendrán una participación equitativa en el Consejo.</w:t>
      </w:r>
    </w:p>
    <w:p w14:paraId="421DBFD7" w14:textId="77777777" w:rsidR="00962D70" w:rsidRPr="00833798" w:rsidRDefault="00962D70" w:rsidP="00833798">
      <w:pPr>
        <w:contextualSpacing/>
        <w:jc w:val="center"/>
        <w:rPr>
          <w:rFonts w:ascii="Abadi" w:hAnsi="Abadi" w:cs="Arial"/>
          <w:b/>
          <w:sz w:val="21"/>
          <w:szCs w:val="21"/>
        </w:rPr>
      </w:pPr>
    </w:p>
    <w:p w14:paraId="0A556E81"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Capítulo VI</w:t>
      </w:r>
    </w:p>
    <w:p w14:paraId="0A7D04B6" w14:textId="77777777" w:rsidR="00962D70" w:rsidRPr="00833798" w:rsidRDefault="00962D70" w:rsidP="00833798">
      <w:pPr>
        <w:contextualSpacing/>
        <w:jc w:val="center"/>
        <w:rPr>
          <w:rFonts w:ascii="Abadi" w:hAnsi="Abadi" w:cs="Arial"/>
          <w:b/>
          <w:sz w:val="21"/>
          <w:szCs w:val="21"/>
        </w:rPr>
      </w:pPr>
      <w:r w:rsidRPr="00833798">
        <w:rPr>
          <w:rFonts w:ascii="Abadi" w:hAnsi="Abadi" w:cs="Arial"/>
          <w:b/>
          <w:sz w:val="21"/>
          <w:szCs w:val="21"/>
        </w:rPr>
        <w:t>Registro</w:t>
      </w:r>
    </w:p>
    <w:p w14:paraId="792A7648" w14:textId="77777777" w:rsidR="00962D70" w:rsidRPr="00833798" w:rsidRDefault="00962D70" w:rsidP="00833798">
      <w:pPr>
        <w:adjustRightInd w:val="0"/>
        <w:ind w:firstLine="720"/>
        <w:jc w:val="center"/>
        <w:rPr>
          <w:rFonts w:ascii="Abadi" w:hAnsi="Abadi" w:cs="Arial"/>
          <w:bCs/>
          <w:sz w:val="21"/>
          <w:szCs w:val="21"/>
        </w:rPr>
      </w:pPr>
    </w:p>
    <w:p w14:paraId="6D08A2E3" w14:textId="77777777" w:rsidR="00962D70" w:rsidRPr="00833798" w:rsidRDefault="00962D70" w:rsidP="00833798">
      <w:pPr>
        <w:adjustRightInd w:val="0"/>
        <w:ind w:firstLine="720"/>
        <w:jc w:val="both"/>
        <w:rPr>
          <w:rFonts w:ascii="Abadi" w:hAnsi="Abadi" w:cs="Arial"/>
          <w:sz w:val="21"/>
          <w:szCs w:val="21"/>
        </w:rPr>
      </w:pPr>
      <w:r w:rsidRPr="00833798">
        <w:rPr>
          <w:rFonts w:ascii="Abadi" w:hAnsi="Abadi" w:cs="Arial"/>
          <w:b/>
          <w:bCs/>
          <w:sz w:val="21"/>
          <w:szCs w:val="21"/>
        </w:rPr>
        <w:t xml:space="preserve">Artículo 21. </w:t>
      </w:r>
      <w:r w:rsidRPr="00833798">
        <w:rPr>
          <w:rFonts w:ascii="Abadi" w:hAnsi="Abadi" w:cs="Arial"/>
          <w:sz w:val="21"/>
          <w:szCs w:val="21"/>
        </w:rPr>
        <w:t>La Secretaría deberá contar en sus registros de agricultura familiar con datos estadísticos e indicadores sobre la condición de las mujeres rurales en el Estado, incorporando un desagregado por sexo de información de la actividad agropecuaria, forestal, agroindustrial y de servicios.</w:t>
      </w:r>
    </w:p>
    <w:p w14:paraId="7F5DCCAE" w14:textId="77777777" w:rsidR="00962D70" w:rsidRPr="00833798" w:rsidRDefault="00962D70" w:rsidP="00833798">
      <w:pPr>
        <w:adjustRightInd w:val="0"/>
        <w:ind w:firstLine="720"/>
        <w:jc w:val="both"/>
        <w:rPr>
          <w:rFonts w:ascii="Abadi" w:hAnsi="Abadi" w:cs="Arial"/>
          <w:sz w:val="21"/>
          <w:szCs w:val="21"/>
        </w:rPr>
      </w:pPr>
    </w:p>
    <w:p w14:paraId="4C8236E8" w14:textId="77777777" w:rsidR="00962D70" w:rsidRPr="00833798" w:rsidRDefault="00962D70" w:rsidP="00833798">
      <w:pPr>
        <w:adjustRightInd w:val="0"/>
        <w:ind w:firstLine="720"/>
        <w:jc w:val="both"/>
        <w:rPr>
          <w:rFonts w:ascii="Abadi" w:hAnsi="Abadi" w:cs="Arial"/>
          <w:sz w:val="21"/>
          <w:szCs w:val="21"/>
        </w:rPr>
      </w:pPr>
      <w:r w:rsidRPr="00833798">
        <w:rPr>
          <w:rFonts w:ascii="Abadi" w:hAnsi="Abadi" w:cs="Arial"/>
          <w:b/>
          <w:bCs/>
          <w:sz w:val="21"/>
          <w:szCs w:val="21"/>
        </w:rPr>
        <w:t>Artículo 22.</w:t>
      </w:r>
      <w:r w:rsidRPr="00833798">
        <w:rPr>
          <w:rFonts w:ascii="Abadi" w:hAnsi="Abadi" w:cs="Arial"/>
          <w:sz w:val="21"/>
          <w:szCs w:val="21"/>
        </w:rPr>
        <w:t xml:space="preserve"> Los sistemas de planificación, seguimiento y evaluación de las dependencias del Estado con incidencia en el </w:t>
      </w:r>
      <w:r w:rsidRPr="00833798">
        <w:rPr>
          <w:rFonts w:ascii="Abadi" w:hAnsi="Abadi" w:cs="Arial"/>
          <w:sz w:val="21"/>
          <w:szCs w:val="21"/>
        </w:rPr>
        <w:t>sector rural deberán incorporar indicadores de género.»</w:t>
      </w:r>
    </w:p>
    <w:p w14:paraId="3F52AC27" w14:textId="77777777" w:rsidR="00962D70" w:rsidRPr="00833798" w:rsidRDefault="00962D70" w:rsidP="00833798">
      <w:pPr>
        <w:adjustRightInd w:val="0"/>
        <w:ind w:firstLine="720"/>
        <w:jc w:val="both"/>
        <w:rPr>
          <w:rFonts w:ascii="Abadi" w:hAnsi="Abadi" w:cs="Arial"/>
          <w:b/>
          <w:bCs/>
          <w:sz w:val="21"/>
          <w:szCs w:val="21"/>
          <w:highlight w:val="yellow"/>
        </w:rPr>
      </w:pPr>
    </w:p>
    <w:p w14:paraId="49741391" w14:textId="77777777" w:rsidR="00962D70" w:rsidRPr="00833798" w:rsidRDefault="00962D70" w:rsidP="00833798">
      <w:pPr>
        <w:adjustRightInd w:val="0"/>
        <w:ind w:firstLine="720"/>
        <w:jc w:val="center"/>
        <w:rPr>
          <w:rFonts w:ascii="Abadi" w:hAnsi="Abadi" w:cs="Arial"/>
          <w:b/>
          <w:bCs/>
          <w:sz w:val="21"/>
          <w:szCs w:val="21"/>
        </w:rPr>
      </w:pPr>
      <w:r w:rsidRPr="00833798">
        <w:rPr>
          <w:rFonts w:ascii="Abadi" w:hAnsi="Abadi" w:cs="Arial"/>
          <w:b/>
          <w:bCs/>
          <w:sz w:val="21"/>
          <w:szCs w:val="21"/>
        </w:rPr>
        <w:t xml:space="preserve">T R A N S I T O R I O </w:t>
      </w:r>
    </w:p>
    <w:p w14:paraId="051F76CC" w14:textId="77777777" w:rsidR="00962D70" w:rsidRPr="00833798" w:rsidRDefault="00962D70" w:rsidP="00833798">
      <w:pPr>
        <w:adjustRightInd w:val="0"/>
        <w:ind w:firstLine="720"/>
        <w:jc w:val="center"/>
        <w:rPr>
          <w:rFonts w:ascii="Abadi" w:hAnsi="Abadi" w:cs="Arial"/>
          <w:b/>
          <w:bCs/>
          <w:sz w:val="21"/>
          <w:szCs w:val="21"/>
        </w:rPr>
      </w:pPr>
    </w:p>
    <w:p w14:paraId="231D30C6" w14:textId="77777777" w:rsidR="00962D70" w:rsidRPr="00833798" w:rsidRDefault="00962D70" w:rsidP="00833798">
      <w:pPr>
        <w:adjustRightInd w:val="0"/>
        <w:ind w:firstLine="720"/>
        <w:jc w:val="both"/>
        <w:rPr>
          <w:rFonts w:ascii="Abadi" w:hAnsi="Abadi" w:cs="Arial"/>
          <w:sz w:val="21"/>
          <w:szCs w:val="21"/>
        </w:rPr>
      </w:pPr>
      <w:r w:rsidRPr="00833798">
        <w:rPr>
          <w:rFonts w:ascii="Abadi" w:hAnsi="Abadi" w:cs="Arial"/>
          <w:b/>
          <w:bCs/>
          <w:sz w:val="21"/>
          <w:szCs w:val="21"/>
        </w:rPr>
        <w:t xml:space="preserve">Artículo Único. </w:t>
      </w:r>
      <w:r w:rsidRPr="00833798">
        <w:rPr>
          <w:rFonts w:ascii="Abadi" w:hAnsi="Abadi" w:cs="Arial"/>
          <w:sz w:val="21"/>
          <w:szCs w:val="21"/>
        </w:rPr>
        <w:t>El presente decreto entrará en vigor el día siguiente al de su publicación en el Periódico Oficial del Gobierno del Estado de Guanajuato.</w:t>
      </w:r>
    </w:p>
    <w:p w14:paraId="31E4EC67" w14:textId="77777777" w:rsidR="00962D70" w:rsidRPr="00833798" w:rsidRDefault="00962D70" w:rsidP="00833798">
      <w:pPr>
        <w:adjustRightInd w:val="0"/>
        <w:ind w:firstLine="720"/>
        <w:jc w:val="both"/>
        <w:rPr>
          <w:rFonts w:ascii="Abadi" w:hAnsi="Abadi" w:cs="Arial"/>
          <w:b/>
          <w:bCs/>
          <w:sz w:val="21"/>
          <w:szCs w:val="21"/>
        </w:rPr>
      </w:pPr>
    </w:p>
    <w:p w14:paraId="364E0868" w14:textId="77777777" w:rsidR="00962D70" w:rsidRPr="00833798" w:rsidRDefault="00962D70" w:rsidP="00833798">
      <w:pPr>
        <w:pStyle w:val="Sinespaciado"/>
        <w:ind w:firstLine="708"/>
        <w:jc w:val="both"/>
        <w:rPr>
          <w:rFonts w:ascii="Abadi" w:eastAsia="Arial" w:hAnsi="Abadi" w:cs="Arial"/>
          <w:sz w:val="21"/>
          <w:szCs w:val="21"/>
        </w:rPr>
      </w:pPr>
    </w:p>
    <w:p w14:paraId="6AA54137" w14:textId="77777777" w:rsidR="00962D70" w:rsidRPr="00833798" w:rsidRDefault="00962D70" w:rsidP="00833798">
      <w:pPr>
        <w:pStyle w:val="Sinespaciado"/>
        <w:ind w:firstLine="708"/>
        <w:jc w:val="center"/>
        <w:rPr>
          <w:rFonts w:ascii="Abadi" w:eastAsia="Arial Unicode MS" w:hAnsi="Abadi" w:cs="Arial"/>
          <w:b/>
          <w:sz w:val="21"/>
          <w:szCs w:val="21"/>
        </w:rPr>
      </w:pPr>
      <w:r w:rsidRPr="00833798">
        <w:rPr>
          <w:rFonts w:ascii="Abadi" w:eastAsia="Arial Unicode MS" w:hAnsi="Abadi" w:cs="Arial"/>
          <w:b/>
          <w:sz w:val="21"/>
          <w:szCs w:val="21"/>
        </w:rPr>
        <w:t xml:space="preserve">Guanajuato, </w:t>
      </w:r>
      <w:proofErr w:type="spellStart"/>
      <w:r w:rsidRPr="00833798">
        <w:rPr>
          <w:rFonts w:ascii="Abadi" w:eastAsia="Arial Unicode MS" w:hAnsi="Abadi" w:cs="Arial"/>
          <w:b/>
          <w:sz w:val="21"/>
          <w:szCs w:val="21"/>
        </w:rPr>
        <w:t>Gto</w:t>
      </w:r>
      <w:proofErr w:type="spellEnd"/>
      <w:r w:rsidRPr="00833798">
        <w:rPr>
          <w:rFonts w:ascii="Abadi" w:eastAsia="Arial Unicode MS" w:hAnsi="Abadi" w:cs="Arial"/>
          <w:b/>
          <w:sz w:val="21"/>
          <w:szCs w:val="21"/>
        </w:rPr>
        <w:t>., 20 de junio de 2023</w:t>
      </w:r>
    </w:p>
    <w:p w14:paraId="5B23D791" w14:textId="77777777" w:rsidR="0082771F" w:rsidRDefault="00962D70" w:rsidP="0082771F">
      <w:pPr>
        <w:pStyle w:val="Sinespaciado"/>
        <w:ind w:firstLine="708"/>
        <w:jc w:val="center"/>
        <w:rPr>
          <w:rFonts w:ascii="Abadi" w:eastAsia="Arial Unicode MS" w:hAnsi="Abadi" w:cs="Arial"/>
          <w:b/>
          <w:sz w:val="21"/>
          <w:szCs w:val="21"/>
        </w:rPr>
      </w:pPr>
      <w:r w:rsidRPr="00833798">
        <w:rPr>
          <w:rFonts w:ascii="Abadi" w:eastAsia="Arial Unicode MS" w:hAnsi="Abadi" w:cs="Arial"/>
          <w:b/>
          <w:sz w:val="21"/>
          <w:szCs w:val="21"/>
        </w:rPr>
        <w:t>La Comisión de Fomento Agropecuario</w:t>
      </w:r>
    </w:p>
    <w:p w14:paraId="35C32551" w14:textId="05A662AA" w:rsidR="0082771F" w:rsidRPr="00D65DDA" w:rsidRDefault="0082771F" w:rsidP="0082771F">
      <w:pPr>
        <w:pStyle w:val="Sinespaciado"/>
        <w:ind w:firstLine="708"/>
        <w:jc w:val="center"/>
        <w:rPr>
          <w:rFonts w:ascii="Abadi" w:eastAsia="Arial Unicode MS" w:hAnsi="Abadi" w:cs="Arial"/>
          <w:b/>
          <w:sz w:val="21"/>
          <w:szCs w:val="21"/>
        </w:rPr>
      </w:pPr>
      <w:proofErr w:type="spellStart"/>
      <w:r w:rsidRPr="00D65DDA">
        <w:rPr>
          <w:rFonts w:ascii="Abadi" w:eastAsia="Arial Unicode MS" w:hAnsi="Abadi" w:cs="Arial"/>
          <w:b/>
          <w:sz w:val="21"/>
          <w:szCs w:val="21"/>
        </w:rPr>
        <w:t>Dip</w:t>
      </w:r>
      <w:proofErr w:type="spellEnd"/>
      <w:r w:rsidRPr="00D65DDA">
        <w:rPr>
          <w:rFonts w:ascii="Abadi" w:eastAsia="Arial Unicode MS" w:hAnsi="Abadi" w:cs="Arial"/>
          <w:b/>
          <w:sz w:val="21"/>
          <w:szCs w:val="21"/>
        </w:rPr>
        <w:t>. Jorge Ortiz Ortega</w:t>
      </w:r>
    </w:p>
    <w:p w14:paraId="4A4C15E0" w14:textId="0911BE48" w:rsidR="0082771F" w:rsidRDefault="0082771F" w:rsidP="0082771F">
      <w:pPr>
        <w:pStyle w:val="Sinespaciado"/>
        <w:spacing w:line="276" w:lineRule="auto"/>
        <w:ind w:hanging="9"/>
        <w:jc w:val="center"/>
        <w:rPr>
          <w:rFonts w:ascii="Abadi" w:eastAsia="Arial Unicode MS" w:hAnsi="Abadi" w:cs="Arial"/>
          <w:b/>
          <w:sz w:val="21"/>
          <w:szCs w:val="21"/>
        </w:rPr>
      </w:pPr>
      <w:r w:rsidRPr="00D65DDA">
        <w:rPr>
          <w:rFonts w:ascii="Abadi" w:eastAsia="Arial Unicode MS" w:hAnsi="Abadi" w:cs="Arial"/>
          <w:b/>
          <w:sz w:val="21"/>
          <w:szCs w:val="21"/>
        </w:rPr>
        <w:t>Presidente</w:t>
      </w:r>
    </w:p>
    <w:p w14:paraId="66F74BF9" w14:textId="77777777" w:rsidR="0082771F" w:rsidRDefault="0082771F" w:rsidP="0082771F">
      <w:pPr>
        <w:pStyle w:val="Sinespaciado"/>
        <w:spacing w:line="276" w:lineRule="auto"/>
        <w:ind w:hanging="9"/>
        <w:jc w:val="center"/>
        <w:rPr>
          <w:rFonts w:ascii="Abadi" w:eastAsia="Arial Unicode MS" w:hAnsi="Abadi" w:cs="Arial"/>
          <w:b/>
          <w:sz w:val="21"/>
          <w:szCs w:val="21"/>
        </w:rPr>
      </w:pPr>
    </w:p>
    <w:p w14:paraId="0E061C33" w14:textId="017A2A79" w:rsidR="0082771F" w:rsidRDefault="0082771F" w:rsidP="0082771F">
      <w:pPr>
        <w:pStyle w:val="Sinespaciado"/>
        <w:spacing w:line="276" w:lineRule="auto"/>
        <w:ind w:hanging="9"/>
        <w:rPr>
          <w:rFonts w:ascii="Abadi" w:eastAsia="Arial Unicode MS" w:hAnsi="Abadi" w:cs="Arial"/>
          <w:b/>
          <w:sz w:val="21"/>
          <w:szCs w:val="21"/>
        </w:rPr>
      </w:pPr>
      <w:proofErr w:type="spellStart"/>
      <w:r w:rsidRPr="00D65DDA">
        <w:rPr>
          <w:rFonts w:ascii="Abadi" w:eastAsia="Arial Unicode MS" w:hAnsi="Abadi" w:cs="Arial"/>
          <w:b/>
          <w:sz w:val="21"/>
          <w:szCs w:val="21"/>
        </w:rPr>
        <w:t>Dip</w:t>
      </w:r>
      <w:proofErr w:type="spellEnd"/>
      <w:r w:rsidRPr="00D65DDA">
        <w:rPr>
          <w:rFonts w:ascii="Abadi" w:eastAsia="Arial Unicode MS" w:hAnsi="Abadi" w:cs="Arial"/>
          <w:b/>
          <w:sz w:val="21"/>
          <w:szCs w:val="21"/>
        </w:rPr>
        <w:t>. Martha Lourdes Ortega Roque</w:t>
      </w:r>
    </w:p>
    <w:p w14:paraId="37606012" w14:textId="2E4F4199" w:rsidR="0082771F" w:rsidRDefault="0082771F" w:rsidP="0082771F">
      <w:pPr>
        <w:pStyle w:val="Sinespaciado"/>
        <w:spacing w:line="276" w:lineRule="auto"/>
        <w:ind w:hanging="9"/>
        <w:rPr>
          <w:rFonts w:ascii="Abadi" w:eastAsia="Arial Unicode MS" w:hAnsi="Abadi" w:cs="Arial"/>
          <w:b/>
          <w:sz w:val="21"/>
          <w:szCs w:val="21"/>
        </w:rPr>
      </w:pPr>
      <w:r>
        <w:rPr>
          <w:rFonts w:ascii="Abadi" w:eastAsia="Arial Unicode MS" w:hAnsi="Abadi" w:cs="Arial"/>
          <w:b/>
          <w:sz w:val="21"/>
          <w:szCs w:val="21"/>
        </w:rPr>
        <w:t>Secretaria</w:t>
      </w:r>
    </w:p>
    <w:p w14:paraId="71855CEB" w14:textId="77777777" w:rsidR="0082771F" w:rsidRDefault="0082771F" w:rsidP="0082771F">
      <w:pPr>
        <w:pStyle w:val="Sinespaciado"/>
        <w:spacing w:line="276" w:lineRule="auto"/>
        <w:rPr>
          <w:rFonts w:ascii="Abadi" w:eastAsia="Arial Unicode MS" w:hAnsi="Abadi" w:cs="Arial"/>
          <w:b/>
          <w:sz w:val="21"/>
          <w:szCs w:val="21"/>
        </w:rPr>
      </w:pPr>
      <w:proofErr w:type="spellStart"/>
      <w:r w:rsidRPr="00D65DDA">
        <w:rPr>
          <w:rFonts w:ascii="Abadi" w:eastAsia="Arial Unicode MS" w:hAnsi="Abadi" w:cs="Arial"/>
          <w:b/>
          <w:sz w:val="21"/>
          <w:szCs w:val="21"/>
        </w:rPr>
        <w:t>Dip</w:t>
      </w:r>
      <w:proofErr w:type="spellEnd"/>
      <w:r w:rsidRPr="00D65DDA">
        <w:rPr>
          <w:rFonts w:ascii="Abadi" w:eastAsia="Arial Unicode MS" w:hAnsi="Abadi" w:cs="Arial"/>
          <w:b/>
          <w:sz w:val="21"/>
          <w:szCs w:val="21"/>
        </w:rPr>
        <w:t>. Armando Rangel Hernánd</w:t>
      </w:r>
      <w:r>
        <w:rPr>
          <w:rFonts w:ascii="Abadi" w:eastAsia="Arial Unicode MS" w:hAnsi="Abadi" w:cs="Arial"/>
          <w:b/>
          <w:sz w:val="21"/>
          <w:szCs w:val="21"/>
        </w:rPr>
        <w:t>ez</w:t>
      </w:r>
    </w:p>
    <w:p w14:paraId="69371A23" w14:textId="77777777" w:rsidR="0082771F" w:rsidRDefault="0082771F" w:rsidP="0082771F">
      <w:pPr>
        <w:pStyle w:val="Sinespaciado"/>
        <w:spacing w:line="276" w:lineRule="auto"/>
        <w:rPr>
          <w:rFonts w:ascii="Abadi" w:eastAsia="Arial Unicode MS" w:hAnsi="Abadi" w:cs="Arial"/>
          <w:b/>
          <w:sz w:val="21"/>
          <w:szCs w:val="21"/>
        </w:rPr>
      </w:pPr>
      <w:r w:rsidRPr="00D65DDA">
        <w:rPr>
          <w:rFonts w:ascii="Abadi" w:eastAsia="Arial Unicode MS" w:hAnsi="Abadi" w:cs="Arial"/>
          <w:b/>
          <w:sz w:val="21"/>
          <w:szCs w:val="21"/>
        </w:rPr>
        <w:t xml:space="preserve"> Vocal</w:t>
      </w:r>
    </w:p>
    <w:p w14:paraId="250D233C" w14:textId="77777777" w:rsidR="0082771F" w:rsidRDefault="0082771F" w:rsidP="0082771F">
      <w:pPr>
        <w:pStyle w:val="Sinespaciado"/>
        <w:spacing w:line="276" w:lineRule="auto"/>
        <w:rPr>
          <w:rFonts w:ascii="Abadi" w:eastAsia="Arial Unicode MS" w:hAnsi="Abadi" w:cs="Arial"/>
          <w:b/>
          <w:sz w:val="21"/>
          <w:szCs w:val="21"/>
        </w:rPr>
      </w:pPr>
      <w:proofErr w:type="spellStart"/>
      <w:r w:rsidRPr="00D65DDA">
        <w:rPr>
          <w:rFonts w:ascii="Abadi" w:eastAsia="Arial Unicode MS" w:hAnsi="Abadi" w:cs="Arial"/>
          <w:b/>
          <w:sz w:val="21"/>
          <w:szCs w:val="21"/>
        </w:rPr>
        <w:t>Dip</w:t>
      </w:r>
      <w:proofErr w:type="spellEnd"/>
      <w:r w:rsidRPr="00D65DDA">
        <w:rPr>
          <w:rFonts w:ascii="Abadi" w:eastAsia="Arial Unicode MS" w:hAnsi="Abadi" w:cs="Arial"/>
          <w:b/>
          <w:sz w:val="21"/>
          <w:szCs w:val="21"/>
        </w:rPr>
        <w:t xml:space="preserve">. César Larrondo Díaz                     </w:t>
      </w:r>
    </w:p>
    <w:p w14:paraId="5977AA2C" w14:textId="73DA9EDB" w:rsidR="0082771F" w:rsidRPr="00833798" w:rsidRDefault="0082771F" w:rsidP="0082771F">
      <w:pPr>
        <w:pStyle w:val="Sinespaciado"/>
        <w:spacing w:line="276" w:lineRule="auto"/>
        <w:rPr>
          <w:rFonts w:ascii="Abadi" w:eastAsia="Arial Unicode MS" w:hAnsi="Abadi" w:cs="Arial"/>
          <w:b/>
          <w:sz w:val="21"/>
          <w:szCs w:val="21"/>
        </w:rPr>
      </w:pPr>
      <w:r w:rsidRPr="00D65DDA">
        <w:rPr>
          <w:rFonts w:ascii="Abadi" w:eastAsia="Arial Unicode MS" w:hAnsi="Abadi" w:cs="Arial"/>
          <w:b/>
          <w:sz w:val="21"/>
          <w:szCs w:val="21"/>
        </w:rPr>
        <w:t>Vocal</w:t>
      </w:r>
    </w:p>
    <w:p w14:paraId="40EDEE8A" w14:textId="77777777" w:rsidR="0082771F" w:rsidRDefault="0082771F" w:rsidP="0082771F">
      <w:pPr>
        <w:pStyle w:val="Sinespaciado"/>
        <w:spacing w:line="276" w:lineRule="auto"/>
        <w:ind w:hanging="9"/>
        <w:rPr>
          <w:rFonts w:ascii="Abadi" w:eastAsia="Arial Unicode MS" w:hAnsi="Abadi" w:cs="Arial"/>
          <w:b/>
          <w:sz w:val="21"/>
          <w:szCs w:val="21"/>
        </w:rPr>
      </w:pPr>
      <w:proofErr w:type="spellStart"/>
      <w:r w:rsidRPr="00D65DDA">
        <w:rPr>
          <w:rFonts w:ascii="Abadi" w:eastAsia="Arial Unicode MS" w:hAnsi="Abadi" w:cs="Arial"/>
          <w:b/>
          <w:sz w:val="21"/>
          <w:szCs w:val="21"/>
        </w:rPr>
        <w:t>Dip</w:t>
      </w:r>
      <w:proofErr w:type="spellEnd"/>
      <w:r w:rsidRPr="00D65DDA">
        <w:rPr>
          <w:rFonts w:ascii="Abadi" w:eastAsia="Arial Unicode MS" w:hAnsi="Abadi" w:cs="Arial"/>
          <w:b/>
          <w:sz w:val="21"/>
          <w:szCs w:val="21"/>
        </w:rPr>
        <w:t>. Ernesto Alejandro Prieto Gallar</w:t>
      </w:r>
      <w:r>
        <w:rPr>
          <w:rFonts w:ascii="Abadi" w:eastAsia="Arial Unicode MS" w:hAnsi="Abadi" w:cs="Arial"/>
          <w:b/>
          <w:sz w:val="21"/>
          <w:szCs w:val="21"/>
        </w:rPr>
        <w:t>do</w:t>
      </w:r>
    </w:p>
    <w:p w14:paraId="07DCEE02" w14:textId="77777777" w:rsidR="008C5184" w:rsidRDefault="0082771F" w:rsidP="0082771F">
      <w:pPr>
        <w:pStyle w:val="Sinespaciado"/>
        <w:spacing w:line="276" w:lineRule="auto"/>
        <w:ind w:hanging="9"/>
        <w:rPr>
          <w:rFonts w:ascii="Abadi" w:eastAsia="Arial Unicode MS" w:hAnsi="Abadi" w:cs="Arial"/>
          <w:b/>
          <w:sz w:val="21"/>
          <w:szCs w:val="21"/>
        </w:rPr>
      </w:pPr>
      <w:r w:rsidRPr="00D65DDA">
        <w:rPr>
          <w:rFonts w:ascii="Abadi" w:eastAsia="Arial Unicode MS" w:hAnsi="Abadi" w:cs="Arial"/>
          <w:b/>
          <w:sz w:val="21"/>
          <w:szCs w:val="21"/>
        </w:rPr>
        <w:t xml:space="preserve">Vocal  </w:t>
      </w:r>
    </w:p>
    <w:p w14:paraId="352E8F41" w14:textId="77777777" w:rsidR="008C5184" w:rsidRDefault="008C5184" w:rsidP="0082771F">
      <w:pPr>
        <w:pStyle w:val="Sinespaciado"/>
        <w:spacing w:line="276" w:lineRule="auto"/>
        <w:ind w:hanging="9"/>
        <w:rPr>
          <w:rFonts w:ascii="Abadi" w:eastAsia="Arial Unicode MS" w:hAnsi="Abadi" w:cs="Arial"/>
          <w:b/>
          <w:sz w:val="21"/>
          <w:szCs w:val="21"/>
        </w:rPr>
      </w:pPr>
    </w:p>
    <w:p w14:paraId="1FE10A2D" w14:textId="77777777" w:rsidR="008C5184" w:rsidRDefault="008C5184" w:rsidP="0082771F">
      <w:pPr>
        <w:pStyle w:val="Sinespaciado"/>
        <w:spacing w:line="276" w:lineRule="auto"/>
        <w:ind w:hanging="9"/>
        <w:rPr>
          <w:rFonts w:ascii="Abadi" w:eastAsia="Arial Unicode MS" w:hAnsi="Abadi" w:cs="Arial"/>
          <w:b/>
          <w:sz w:val="21"/>
          <w:szCs w:val="21"/>
        </w:rPr>
      </w:pPr>
    </w:p>
    <w:p w14:paraId="00349D61" w14:textId="138E613B" w:rsidR="009211A4" w:rsidRDefault="009211A4" w:rsidP="009211A4">
      <w:pPr>
        <w:jc w:val="both"/>
        <w:rPr>
          <w:rFonts w:ascii="Abadi" w:hAnsi="Abadi"/>
          <w:b/>
          <w:bCs/>
          <w:sz w:val="21"/>
          <w:szCs w:val="21"/>
        </w:rPr>
      </w:pPr>
      <w:r>
        <w:rPr>
          <w:rFonts w:ascii="Abadi" w:hAnsi="Abadi"/>
          <w:b/>
          <w:bCs/>
          <w:sz w:val="21"/>
          <w:szCs w:val="21"/>
        </w:rPr>
        <w:tab/>
      </w:r>
      <w:r w:rsidRPr="00811F83">
        <w:rPr>
          <w:rFonts w:ascii="Abadi" w:hAnsi="Abadi"/>
          <w:b/>
          <w:bCs/>
          <w:sz w:val="21"/>
          <w:szCs w:val="21"/>
        </w:rPr>
        <w:t xml:space="preserve">- La </w:t>
      </w:r>
      <w:proofErr w:type="gramStart"/>
      <w:r w:rsidRPr="00811F83">
        <w:rPr>
          <w:rFonts w:ascii="Abadi" w:hAnsi="Abadi"/>
          <w:b/>
          <w:bCs/>
          <w:sz w:val="21"/>
          <w:szCs w:val="21"/>
        </w:rPr>
        <w:t>Presidencia.-</w:t>
      </w:r>
      <w:proofErr w:type="gramEnd"/>
      <w:r>
        <w:rPr>
          <w:rFonts w:ascii="Abadi" w:hAnsi="Abadi"/>
          <w:sz w:val="21"/>
          <w:szCs w:val="21"/>
        </w:rPr>
        <w:t xml:space="preserve"> A</w:t>
      </w:r>
      <w:r w:rsidRPr="0030088F">
        <w:rPr>
          <w:rFonts w:ascii="Abadi" w:hAnsi="Abadi"/>
          <w:sz w:val="21"/>
          <w:szCs w:val="21"/>
        </w:rPr>
        <w:t xml:space="preserve"> continuación se somete a discusión en lo general el dictamen emitido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F</w:t>
      </w:r>
      <w:r w:rsidRPr="0030088F">
        <w:rPr>
          <w:rFonts w:ascii="Abadi" w:hAnsi="Abadi"/>
          <w:sz w:val="21"/>
          <w:szCs w:val="21"/>
        </w:rPr>
        <w:t xml:space="preserve">omento </w:t>
      </w:r>
      <w:r>
        <w:rPr>
          <w:rFonts w:ascii="Abadi" w:hAnsi="Abadi"/>
          <w:sz w:val="21"/>
          <w:szCs w:val="21"/>
        </w:rPr>
        <w:t>A</w:t>
      </w:r>
      <w:r w:rsidRPr="0030088F">
        <w:rPr>
          <w:rFonts w:ascii="Abadi" w:hAnsi="Abadi"/>
          <w:sz w:val="21"/>
          <w:szCs w:val="21"/>
        </w:rPr>
        <w:t>gropecuario correspondiente al punto 25 del orden del día</w:t>
      </w:r>
      <w:r>
        <w:rPr>
          <w:rFonts w:ascii="Abadi" w:hAnsi="Abadi"/>
          <w:sz w:val="21"/>
          <w:szCs w:val="21"/>
        </w:rPr>
        <w:t xml:space="preserve">. </w:t>
      </w:r>
      <w:r w:rsidRPr="00A6579B">
        <w:rPr>
          <w:rFonts w:ascii="Abadi" w:hAnsi="Abadi"/>
          <w:b/>
          <w:bCs/>
          <w:sz w:val="21"/>
          <w:szCs w:val="21"/>
        </w:rPr>
        <w:t>(ELD 309/LXV-I)</w:t>
      </w:r>
    </w:p>
    <w:p w14:paraId="5D030FD5" w14:textId="77777777" w:rsidR="009211A4" w:rsidRPr="00A6579B" w:rsidRDefault="009211A4" w:rsidP="009211A4">
      <w:pPr>
        <w:jc w:val="both"/>
        <w:rPr>
          <w:rFonts w:ascii="Abadi" w:hAnsi="Abadi"/>
          <w:b/>
          <w:bCs/>
          <w:sz w:val="21"/>
          <w:szCs w:val="21"/>
        </w:rPr>
      </w:pPr>
    </w:p>
    <w:p w14:paraId="7D8636F3" w14:textId="77777777" w:rsidR="009211A4" w:rsidRDefault="009211A4" w:rsidP="009211A4">
      <w:pPr>
        <w:jc w:val="both"/>
        <w:rPr>
          <w:rFonts w:ascii="Abadi" w:hAnsi="Abadi"/>
          <w:sz w:val="21"/>
          <w:szCs w:val="21"/>
        </w:rPr>
      </w:pPr>
      <w:r>
        <w:rPr>
          <w:rFonts w:ascii="Abadi" w:hAnsi="Abadi"/>
          <w:sz w:val="21"/>
          <w:szCs w:val="21"/>
        </w:rPr>
        <w:tab/>
        <w:t>- M</w:t>
      </w:r>
      <w:r w:rsidRPr="0030088F">
        <w:rPr>
          <w:rFonts w:ascii="Abadi" w:hAnsi="Abadi"/>
          <w:sz w:val="21"/>
          <w:szCs w:val="21"/>
        </w:rPr>
        <w:t xml:space="preserve">e permito informar que previamente se ha inscrito la diputada Briseida </w:t>
      </w:r>
      <w:r>
        <w:rPr>
          <w:rFonts w:ascii="Abadi" w:hAnsi="Abadi"/>
          <w:sz w:val="21"/>
          <w:szCs w:val="21"/>
        </w:rPr>
        <w:t>A</w:t>
      </w:r>
      <w:r w:rsidRPr="0030088F">
        <w:rPr>
          <w:rFonts w:ascii="Abadi" w:hAnsi="Abadi"/>
          <w:sz w:val="21"/>
          <w:szCs w:val="21"/>
        </w:rPr>
        <w:t xml:space="preserve">nabel </w:t>
      </w:r>
      <w:r>
        <w:rPr>
          <w:rFonts w:ascii="Abadi" w:hAnsi="Abadi"/>
          <w:sz w:val="21"/>
          <w:szCs w:val="21"/>
        </w:rPr>
        <w:t>M</w:t>
      </w:r>
      <w:r w:rsidRPr="0030088F">
        <w:rPr>
          <w:rFonts w:ascii="Abadi" w:hAnsi="Abadi"/>
          <w:sz w:val="21"/>
          <w:szCs w:val="21"/>
        </w:rPr>
        <w:t xml:space="preserve">agdaleno </w:t>
      </w:r>
      <w:r>
        <w:rPr>
          <w:rFonts w:ascii="Abadi" w:hAnsi="Abadi"/>
          <w:sz w:val="21"/>
          <w:szCs w:val="21"/>
        </w:rPr>
        <w:t>G</w:t>
      </w:r>
      <w:r w:rsidRPr="0030088F">
        <w:rPr>
          <w:rFonts w:ascii="Abadi" w:hAnsi="Abadi"/>
          <w:sz w:val="21"/>
          <w:szCs w:val="21"/>
        </w:rPr>
        <w:t>onzález</w:t>
      </w:r>
      <w:r>
        <w:rPr>
          <w:rFonts w:ascii="Abadi" w:hAnsi="Abadi"/>
          <w:sz w:val="21"/>
          <w:szCs w:val="21"/>
        </w:rPr>
        <w:t>,</w:t>
      </w:r>
      <w:r w:rsidRPr="0030088F">
        <w:rPr>
          <w:rFonts w:ascii="Abadi" w:hAnsi="Abadi"/>
          <w:sz w:val="21"/>
          <w:szCs w:val="21"/>
        </w:rPr>
        <w:t xml:space="preserve"> para hablar a favor</w:t>
      </w:r>
      <w:r>
        <w:rPr>
          <w:rFonts w:ascii="Abadi" w:hAnsi="Abadi"/>
          <w:sz w:val="21"/>
          <w:szCs w:val="21"/>
        </w:rPr>
        <w:t>,</w:t>
      </w:r>
      <w:r w:rsidRPr="0030088F">
        <w:rPr>
          <w:rFonts w:ascii="Abadi" w:hAnsi="Abadi"/>
          <w:sz w:val="21"/>
          <w:szCs w:val="21"/>
        </w:rPr>
        <w:t xml:space="preserve"> si desean hacer uso de la palabra </w:t>
      </w:r>
      <w:r>
        <w:rPr>
          <w:rFonts w:ascii="Abadi" w:hAnsi="Abadi"/>
          <w:sz w:val="21"/>
          <w:szCs w:val="21"/>
        </w:rPr>
        <w:t>¡</w:t>
      </w:r>
      <w:r w:rsidRPr="0030088F">
        <w:rPr>
          <w:rFonts w:ascii="Abadi" w:hAnsi="Abadi"/>
          <w:sz w:val="21"/>
          <w:szCs w:val="21"/>
        </w:rPr>
        <w:t>a favor</w:t>
      </w:r>
      <w:r>
        <w:rPr>
          <w:rFonts w:ascii="Abadi" w:hAnsi="Abadi"/>
          <w:sz w:val="21"/>
          <w:szCs w:val="21"/>
        </w:rPr>
        <w:t>!</w:t>
      </w:r>
      <w:r w:rsidRPr="0030088F">
        <w:rPr>
          <w:rFonts w:ascii="Abadi" w:hAnsi="Abadi"/>
          <w:sz w:val="21"/>
          <w:szCs w:val="21"/>
        </w:rPr>
        <w:t xml:space="preserve"> o en contra manifiést</w:t>
      </w:r>
      <w:r>
        <w:rPr>
          <w:rFonts w:ascii="Abadi" w:hAnsi="Abadi"/>
          <w:sz w:val="21"/>
          <w:szCs w:val="21"/>
        </w:rPr>
        <w:t>enlo</w:t>
      </w:r>
      <w:r w:rsidRPr="0030088F">
        <w:rPr>
          <w:rFonts w:ascii="Abadi" w:hAnsi="Abadi"/>
          <w:sz w:val="21"/>
          <w:szCs w:val="21"/>
        </w:rPr>
        <w:t xml:space="preserve"> indicando el sentido de su participación</w:t>
      </w:r>
      <w:r>
        <w:rPr>
          <w:rFonts w:ascii="Abadi" w:hAnsi="Abadi"/>
          <w:sz w:val="21"/>
          <w:szCs w:val="21"/>
        </w:rPr>
        <w:t>.</w:t>
      </w:r>
    </w:p>
    <w:p w14:paraId="7AC9741E" w14:textId="77777777" w:rsidR="009211A4" w:rsidRDefault="009211A4" w:rsidP="009211A4">
      <w:pPr>
        <w:jc w:val="both"/>
        <w:rPr>
          <w:rFonts w:ascii="Abadi" w:hAnsi="Abadi"/>
          <w:sz w:val="21"/>
          <w:szCs w:val="21"/>
        </w:rPr>
      </w:pPr>
    </w:p>
    <w:p w14:paraId="20F708A2" w14:textId="77777777" w:rsidR="009211A4" w:rsidRDefault="009211A4" w:rsidP="009211A4">
      <w:pPr>
        <w:jc w:val="both"/>
        <w:rPr>
          <w:rFonts w:ascii="Abadi" w:hAnsi="Abadi"/>
          <w:sz w:val="21"/>
          <w:szCs w:val="21"/>
        </w:rPr>
      </w:pPr>
      <w:r>
        <w:rPr>
          <w:rFonts w:ascii="Abadi" w:hAnsi="Abadi"/>
          <w:sz w:val="21"/>
          <w:szCs w:val="21"/>
        </w:rPr>
        <w:tab/>
        <w:t>- S</w:t>
      </w:r>
      <w:r w:rsidRPr="0030088F">
        <w:rPr>
          <w:rFonts w:ascii="Abadi" w:hAnsi="Abadi"/>
          <w:sz w:val="21"/>
          <w:szCs w:val="21"/>
        </w:rPr>
        <w:t xml:space="preserve">e otorga el uso de la palabra la diputada Briseida </w:t>
      </w:r>
      <w:r>
        <w:rPr>
          <w:rFonts w:ascii="Abadi" w:hAnsi="Abadi"/>
          <w:sz w:val="21"/>
          <w:szCs w:val="21"/>
        </w:rPr>
        <w:t>A</w:t>
      </w:r>
      <w:r w:rsidRPr="0030088F">
        <w:rPr>
          <w:rFonts w:ascii="Abadi" w:hAnsi="Abadi"/>
          <w:sz w:val="21"/>
          <w:szCs w:val="21"/>
        </w:rPr>
        <w:t xml:space="preserve">nabel </w:t>
      </w:r>
      <w:r>
        <w:rPr>
          <w:rFonts w:ascii="Abadi" w:hAnsi="Abadi"/>
          <w:sz w:val="21"/>
          <w:szCs w:val="21"/>
        </w:rPr>
        <w:t>M</w:t>
      </w:r>
      <w:r w:rsidRPr="0030088F">
        <w:rPr>
          <w:rFonts w:ascii="Abadi" w:hAnsi="Abadi"/>
          <w:sz w:val="21"/>
          <w:szCs w:val="21"/>
        </w:rPr>
        <w:t xml:space="preserve">agdaleno </w:t>
      </w:r>
      <w:r>
        <w:rPr>
          <w:rFonts w:ascii="Abadi" w:hAnsi="Abadi"/>
          <w:sz w:val="21"/>
          <w:szCs w:val="21"/>
        </w:rPr>
        <w:t>G</w:t>
      </w:r>
      <w:r w:rsidRPr="0030088F">
        <w:rPr>
          <w:rFonts w:ascii="Abadi" w:hAnsi="Abadi"/>
          <w:sz w:val="21"/>
          <w:szCs w:val="21"/>
        </w:rPr>
        <w:t>onzález hasta por 10 minutos</w:t>
      </w:r>
      <w:r>
        <w:rPr>
          <w:rFonts w:ascii="Abadi" w:hAnsi="Abadi"/>
          <w:sz w:val="21"/>
          <w:szCs w:val="21"/>
        </w:rPr>
        <w:t>.</w:t>
      </w:r>
    </w:p>
    <w:p w14:paraId="35EB273A" w14:textId="77777777" w:rsidR="009211A4" w:rsidRDefault="009211A4" w:rsidP="009211A4">
      <w:pPr>
        <w:jc w:val="both"/>
        <w:rPr>
          <w:rFonts w:ascii="Abadi" w:hAnsi="Abadi"/>
          <w:sz w:val="21"/>
          <w:szCs w:val="21"/>
        </w:rPr>
      </w:pPr>
    </w:p>
    <w:p w14:paraId="4012F68F" w14:textId="1D7894A4" w:rsidR="009211A4" w:rsidRDefault="009211A4" w:rsidP="009211A4">
      <w:pPr>
        <w:jc w:val="both"/>
        <w:rPr>
          <w:rFonts w:ascii="Abadi" w:hAnsi="Abadi"/>
          <w:sz w:val="21"/>
          <w:szCs w:val="21"/>
        </w:rPr>
      </w:pPr>
      <w:r>
        <w:rPr>
          <w:rFonts w:ascii="Abadi" w:hAnsi="Abadi"/>
          <w:sz w:val="21"/>
          <w:szCs w:val="21"/>
        </w:rPr>
        <w:t>- A</w:t>
      </w:r>
      <w:r w:rsidRPr="0030088F">
        <w:rPr>
          <w:rFonts w:ascii="Abadi" w:hAnsi="Abadi"/>
          <w:sz w:val="21"/>
          <w:szCs w:val="21"/>
        </w:rPr>
        <w:t>delante</w:t>
      </w:r>
      <w:r>
        <w:rPr>
          <w:rFonts w:ascii="Abadi" w:hAnsi="Abadi"/>
          <w:sz w:val="21"/>
          <w:szCs w:val="21"/>
        </w:rPr>
        <w:t>.</w:t>
      </w:r>
    </w:p>
    <w:p w14:paraId="32899F45" w14:textId="77777777" w:rsidR="009211A4" w:rsidRDefault="009211A4" w:rsidP="009211A4">
      <w:pPr>
        <w:jc w:val="both"/>
        <w:rPr>
          <w:rFonts w:ascii="Abadi" w:hAnsi="Abadi"/>
          <w:b/>
          <w:bCs/>
          <w:sz w:val="21"/>
          <w:szCs w:val="21"/>
        </w:rPr>
      </w:pPr>
      <w:r w:rsidRPr="00941913">
        <w:rPr>
          <w:rFonts w:ascii="Abadi" w:hAnsi="Abadi"/>
          <w:b/>
          <w:bCs/>
          <w:sz w:val="21"/>
          <w:szCs w:val="21"/>
        </w:rPr>
        <w:t xml:space="preserve">(Sube a tribuna la diputada Briseida Anabel Magdaleno González, para hablar a favor del dictamen en referencia) </w:t>
      </w:r>
    </w:p>
    <w:p w14:paraId="2F6717C2" w14:textId="77777777" w:rsidR="009211A4" w:rsidRDefault="009211A4" w:rsidP="009211A4">
      <w:pPr>
        <w:jc w:val="both"/>
        <w:rPr>
          <w:rFonts w:ascii="Abadi" w:hAnsi="Abadi"/>
          <w:b/>
          <w:bCs/>
          <w:sz w:val="21"/>
          <w:szCs w:val="21"/>
        </w:rPr>
      </w:pPr>
    </w:p>
    <w:p w14:paraId="64AFF34E" w14:textId="75AA6418" w:rsidR="009211A4" w:rsidRDefault="009211A4" w:rsidP="009211A4">
      <w:pPr>
        <w:jc w:val="both"/>
        <w:rPr>
          <w:rFonts w:ascii="Abadi" w:hAnsi="Abadi"/>
          <w:b/>
          <w:bCs/>
          <w:sz w:val="21"/>
          <w:szCs w:val="21"/>
        </w:rPr>
      </w:pPr>
    </w:p>
    <w:p w14:paraId="563D4B2C" w14:textId="03BA2BEA" w:rsidR="009211A4" w:rsidRDefault="009211A4" w:rsidP="009211A4">
      <w:pPr>
        <w:jc w:val="both"/>
        <w:rPr>
          <w:noProof/>
        </w:rPr>
      </w:pPr>
      <w:r>
        <w:rPr>
          <w:noProof/>
        </w:rPr>
        <w:lastRenderedPageBreak/>
        <w:drawing>
          <wp:anchor distT="0" distB="0" distL="114300" distR="114300" simplePos="0" relativeHeight="251672598" behindDoc="1" locked="0" layoutInCell="1" allowOverlap="1" wp14:anchorId="3A6C242C" wp14:editId="39D00FE8">
            <wp:simplePos x="0" y="0"/>
            <wp:positionH relativeFrom="column">
              <wp:posOffset>562791</wp:posOffset>
            </wp:positionH>
            <wp:positionV relativeFrom="paragraph">
              <wp:posOffset>88990</wp:posOffset>
            </wp:positionV>
            <wp:extent cx="1266152" cy="650631"/>
            <wp:effectExtent l="247650" t="228600" r="239395" b="721360"/>
            <wp:wrapTight wrapText="bothSides">
              <wp:wrapPolygon edited="0">
                <wp:start x="-4227" y="-7594"/>
                <wp:lineTo x="-4227" y="44930"/>
                <wp:lineTo x="25361" y="44930"/>
                <wp:lineTo x="25361" y="-7594"/>
                <wp:lineTo x="-4227" y="-7594"/>
              </wp:wrapPolygon>
            </wp:wrapTight>
            <wp:docPr id="1232894407" name="Imagen 1232894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894407" name=""/>
                    <pic:cNvPicPr/>
                  </pic:nvPicPr>
                  <pic:blipFill rotWithShape="1">
                    <a:blip r:embed="rId63" cstate="print">
                      <a:extLst>
                        <a:ext uri="{28A0092B-C50C-407E-A947-70E740481C1C}">
                          <a14:useLocalDpi xmlns:a14="http://schemas.microsoft.com/office/drawing/2010/main" val="0"/>
                        </a:ext>
                      </a:extLst>
                    </a:blip>
                    <a:srcRect b="8639"/>
                    <a:stretch/>
                  </pic:blipFill>
                  <pic:spPr bwMode="auto">
                    <a:xfrm>
                      <a:off x="0" y="0"/>
                      <a:ext cx="1266152" cy="65063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213A2B5" w14:textId="0D448CF3" w:rsidR="009211A4" w:rsidRDefault="009211A4" w:rsidP="009211A4">
      <w:pPr>
        <w:jc w:val="both"/>
        <w:rPr>
          <w:noProof/>
        </w:rPr>
      </w:pPr>
    </w:p>
    <w:p w14:paraId="27DF4628" w14:textId="77777777" w:rsidR="009211A4" w:rsidRDefault="009211A4" w:rsidP="009211A4">
      <w:pPr>
        <w:jc w:val="both"/>
        <w:rPr>
          <w:noProof/>
        </w:rPr>
      </w:pPr>
    </w:p>
    <w:p w14:paraId="19C375EC" w14:textId="2DBF3F18" w:rsidR="009211A4" w:rsidRDefault="009211A4" w:rsidP="009211A4">
      <w:pPr>
        <w:jc w:val="both"/>
        <w:rPr>
          <w:noProof/>
        </w:rPr>
      </w:pPr>
    </w:p>
    <w:p w14:paraId="73027B1A" w14:textId="77777777" w:rsidR="009211A4" w:rsidRDefault="009211A4" w:rsidP="009211A4">
      <w:pPr>
        <w:jc w:val="both"/>
        <w:rPr>
          <w:noProof/>
        </w:rPr>
      </w:pPr>
    </w:p>
    <w:p w14:paraId="0BBBA086" w14:textId="74192555" w:rsidR="009211A4" w:rsidRDefault="009211A4" w:rsidP="009211A4">
      <w:pPr>
        <w:jc w:val="both"/>
        <w:rPr>
          <w:rFonts w:ascii="Abadi" w:hAnsi="Abadi"/>
          <w:b/>
          <w:bCs/>
          <w:sz w:val="21"/>
          <w:szCs w:val="21"/>
        </w:rPr>
      </w:pPr>
    </w:p>
    <w:p w14:paraId="6F1098B8" w14:textId="1EAED66B" w:rsidR="009211A4" w:rsidRDefault="009211A4" w:rsidP="009211A4">
      <w:pPr>
        <w:jc w:val="both"/>
        <w:rPr>
          <w:rFonts w:ascii="Abadi" w:hAnsi="Abadi"/>
          <w:b/>
          <w:bCs/>
          <w:sz w:val="21"/>
          <w:szCs w:val="21"/>
        </w:rPr>
      </w:pPr>
    </w:p>
    <w:p w14:paraId="5784C3A5" w14:textId="16D19DF6" w:rsidR="009211A4" w:rsidRDefault="009211A4" w:rsidP="009211A4">
      <w:pPr>
        <w:jc w:val="both"/>
        <w:rPr>
          <w:rFonts w:ascii="Abadi" w:hAnsi="Abadi"/>
          <w:b/>
          <w:bCs/>
          <w:sz w:val="21"/>
          <w:szCs w:val="21"/>
        </w:rPr>
      </w:pPr>
    </w:p>
    <w:p w14:paraId="44E2A04D" w14:textId="77777777" w:rsidR="009211A4" w:rsidRDefault="009211A4" w:rsidP="009211A4">
      <w:pPr>
        <w:jc w:val="both"/>
        <w:rPr>
          <w:rFonts w:ascii="Abadi" w:hAnsi="Abadi"/>
          <w:b/>
          <w:bCs/>
          <w:sz w:val="21"/>
          <w:szCs w:val="21"/>
        </w:rPr>
      </w:pPr>
    </w:p>
    <w:p w14:paraId="57C6B45D" w14:textId="7BA0C3D2" w:rsidR="009211A4" w:rsidRDefault="009211A4" w:rsidP="009211A4">
      <w:pPr>
        <w:jc w:val="both"/>
        <w:rPr>
          <w:rFonts w:ascii="Abadi" w:hAnsi="Abadi"/>
          <w:b/>
          <w:bCs/>
          <w:sz w:val="21"/>
          <w:szCs w:val="21"/>
        </w:rPr>
      </w:pPr>
    </w:p>
    <w:p w14:paraId="5829FE75" w14:textId="77777777" w:rsidR="009211A4" w:rsidRPr="00941913" w:rsidRDefault="009211A4" w:rsidP="009211A4">
      <w:pPr>
        <w:jc w:val="both"/>
        <w:rPr>
          <w:rFonts w:ascii="Abadi" w:hAnsi="Abadi"/>
          <w:b/>
          <w:bCs/>
          <w:sz w:val="21"/>
          <w:szCs w:val="21"/>
        </w:rPr>
      </w:pPr>
    </w:p>
    <w:p w14:paraId="4D15DDFD" w14:textId="65BDD0B2" w:rsidR="009211A4" w:rsidRDefault="009211A4" w:rsidP="009211A4">
      <w:pPr>
        <w:jc w:val="both"/>
        <w:rPr>
          <w:rFonts w:ascii="Abadi" w:hAnsi="Abadi"/>
          <w:sz w:val="21"/>
          <w:szCs w:val="21"/>
        </w:rPr>
      </w:pPr>
      <w:r>
        <w:rPr>
          <w:rFonts w:ascii="Abadi" w:hAnsi="Abadi"/>
          <w:sz w:val="21"/>
          <w:szCs w:val="21"/>
        </w:rPr>
        <w:t>- M</w:t>
      </w:r>
      <w:r w:rsidRPr="0030088F">
        <w:rPr>
          <w:rFonts w:ascii="Abadi" w:hAnsi="Abadi"/>
          <w:sz w:val="21"/>
          <w:szCs w:val="21"/>
        </w:rPr>
        <w:t>uchas gracias presidenta</w:t>
      </w:r>
      <w:r>
        <w:rPr>
          <w:rFonts w:ascii="Abadi" w:hAnsi="Abadi"/>
          <w:sz w:val="21"/>
          <w:szCs w:val="21"/>
        </w:rPr>
        <w:t>,</w:t>
      </w:r>
      <w:r w:rsidRPr="0030088F">
        <w:rPr>
          <w:rFonts w:ascii="Abadi" w:hAnsi="Abadi"/>
          <w:sz w:val="21"/>
          <w:szCs w:val="21"/>
        </w:rPr>
        <w:t xml:space="preserve"> con tu permiso y con el permiso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irectiva saludo con mucho gusto a mis compañeras y compañeros por supuesto a los medios de comunicación que el día de hoy nos acompañan</w:t>
      </w:r>
      <w:r>
        <w:rPr>
          <w:rFonts w:ascii="Abadi" w:hAnsi="Abadi"/>
          <w:sz w:val="21"/>
          <w:szCs w:val="21"/>
        </w:rPr>
        <w:t>,</w:t>
      </w:r>
      <w:r w:rsidRPr="0030088F">
        <w:rPr>
          <w:rFonts w:ascii="Abadi" w:hAnsi="Abadi"/>
          <w:sz w:val="21"/>
          <w:szCs w:val="21"/>
        </w:rPr>
        <w:t xml:space="preserve"> agradezco la buena disposición para este dictamen a la </w:t>
      </w:r>
      <w:r>
        <w:rPr>
          <w:rFonts w:ascii="Abadi" w:hAnsi="Abadi"/>
          <w:sz w:val="21"/>
          <w:szCs w:val="21"/>
        </w:rPr>
        <w:t>C</w:t>
      </w:r>
      <w:r w:rsidRPr="0030088F">
        <w:rPr>
          <w:rFonts w:ascii="Abadi" w:hAnsi="Abadi"/>
          <w:sz w:val="21"/>
          <w:szCs w:val="21"/>
        </w:rPr>
        <w:t xml:space="preserve">omisión </w:t>
      </w:r>
      <w:r>
        <w:rPr>
          <w:rFonts w:ascii="Abadi" w:hAnsi="Abadi"/>
          <w:sz w:val="21"/>
          <w:szCs w:val="21"/>
        </w:rPr>
        <w:t>F</w:t>
      </w:r>
      <w:r w:rsidRPr="0030088F">
        <w:rPr>
          <w:rFonts w:ascii="Abadi" w:hAnsi="Abadi"/>
          <w:sz w:val="21"/>
          <w:szCs w:val="21"/>
        </w:rPr>
        <w:t xml:space="preserve">omento </w:t>
      </w:r>
      <w:r>
        <w:rPr>
          <w:rFonts w:ascii="Abadi" w:hAnsi="Abadi"/>
          <w:sz w:val="21"/>
          <w:szCs w:val="21"/>
        </w:rPr>
        <w:t>A</w:t>
      </w:r>
      <w:r w:rsidRPr="0030088F">
        <w:rPr>
          <w:rFonts w:ascii="Abadi" w:hAnsi="Abadi"/>
          <w:sz w:val="21"/>
          <w:szCs w:val="21"/>
        </w:rPr>
        <w:t xml:space="preserve">gropecuario y </w:t>
      </w:r>
      <w:r>
        <w:rPr>
          <w:rFonts w:ascii="Abadi" w:hAnsi="Abadi"/>
          <w:sz w:val="21"/>
          <w:szCs w:val="21"/>
        </w:rPr>
        <w:t>R</w:t>
      </w:r>
      <w:r w:rsidRPr="0030088F">
        <w:rPr>
          <w:rFonts w:ascii="Abadi" w:hAnsi="Abadi"/>
          <w:sz w:val="21"/>
          <w:szCs w:val="21"/>
        </w:rPr>
        <w:t>ural</w:t>
      </w:r>
      <w:r>
        <w:rPr>
          <w:rFonts w:ascii="Abadi" w:hAnsi="Abadi"/>
          <w:sz w:val="21"/>
          <w:szCs w:val="21"/>
        </w:rPr>
        <w:t>,</w:t>
      </w:r>
      <w:r w:rsidRPr="0030088F">
        <w:rPr>
          <w:rFonts w:ascii="Abadi" w:hAnsi="Abadi"/>
          <w:sz w:val="21"/>
          <w:szCs w:val="21"/>
        </w:rPr>
        <w:t xml:space="preserve"> por esa buena voluntad así como desde </w:t>
      </w:r>
      <w:r>
        <w:rPr>
          <w:rFonts w:ascii="Abadi" w:hAnsi="Abadi"/>
          <w:sz w:val="21"/>
          <w:szCs w:val="21"/>
        </w:rPr>
        <w:t>ahí</w:t>
      </w:r>
      <w:r w:rsidRPr="0030088F">
        <w:rPr>
          <w:rFonts w:ascii="Abadi" w:hAnsi="Abadi"/>
          <w:sz w:val="21"/>
          <w:szCs w:val="21"/>
        </w:rPr>
        <w:t xml:space="preserve"> y a las diferentes instancias pues que aportaron para esta iniciativa los saludo con mucho gusto y agradezco la buena disposición</w:t>
      </w:r>
      <w:r>
        <w:rPr>
          <w:rFonts w:ascii="Abadi" w:hAnsi="Abadi"/>
          <w:sz w:val="21"/>
          <w:szCs w:val="21"/>
        </w:rPr>
        <w:t>,</w:t>
      </w:r>
      <w:r w:rsidRPr="0030088F">
        <w:rPr>
          <w:rFonts w:ascii="Abadi" w:hAnsi="Abadi"/>
          <w:sz w:val="21"/>
          <w:szCs w:val="21"/>
        </w:rPr>
        <w:t xml:space="preserve"> y quiero saludar con mucho gusto</w:t>
      </w:r>
      <w:r>
        <w:rPr>
          <w:rFonts w:ascii="Abadi" w:hAnsi="Abadi"/>
          <w:sz w:val="21"/>
          <w:szCs w:val="21"/>
        </w:rPr>
        <w:t>,</w:t>
      </w:r>
      <w:r w:rsidRPr="0030088F">
        <w:rPr>
          <w:rFonts w:ascii="Abadi" w:hAnsi="Abadi"/>
          <w:sz w:val="21"/>
          <w:szCs w:val="21"/>
        </w:rPr>
        <w:t xml:space="preserve"> con mucho aprecio y con mucho cariño</w:t>
      </w:r>
      <w:r>
        <w:rPr>
          <w:rFonts w:ascii="Abadi" w:hAnsi="Abadi"/>
          <w:sz w:val="21"/>
          <w:szCs w:val="21"/>
        </w:rPr>
        <w:t>,</w:t>
      </w:r>
      <w:r w:rsidRPr="0030088F">
        <w:rPr>
          <w:rFonts w:ascii="Abadi" w:hAnsi="Abadi"/>
          <w:sz w:val="21"/>
          <w:szCs w:val="21"/>
        </w:rPr>
        <w:t xml:space="preserve"> a las mujeres rurales representantes de mi distrito que el día de hoy con mucho gusto pido un aplauso por favor para ellas representantes de muchas mujeres guanajuatenses que siempre lo hemos dicho son el orgullo son la grandeza de Guanajuato y de México</w:t>
      </w:r>
      <w:r>
        <w:rPr>
          <w:rFonts w:ascii="Abadi" w:hAnsi="Abadi"/>
          <w:sz w:val="21"/>
          <w:szCs w:val="21"/>
        </w:rPr>
        <w:t>,</w:t>
      </w:r>
      <w:r w:rsidRPr="0030088F">
        <w:rPr>
          <w:rFonts w:ascii="Abadi" w:hAnsi="Abadi"/>
          <w:sz w:val="21"/>
          <w:szCs w:val="21"/>
        </w:rPr>
        <w:t xml:space="preserve"> muchas gracias</w:t>
      </w:r>
      <w:r>
        <w:rPr>
          <w:rFonts w:ascii="Abadi" w:hAnsi="Abadi"/>
          <w:sz w:val="21"/>
          <w:szCs w:val="21"/>
        </w:rPr>
        <w:t>,</w:t>
      </w:r>
      <w:r w:rsidRPr="0030088F">
        <w:rPr>
          <w:rFonts w:ascii="Abadi" w:hAnsi="Abadi"/>
          <w:sz w:val="21"/>
          <w:szCs w:val="21"/>
        </w:rPr>
        <w:t xml:space="preserve"> por entregarse día con día al rayo del sol pero con esa pasión y entrega por su familia y por el crecimiento del estado</w:t>
      </w:r>
      <w:r>
        <w:rPr>
          <w:rFonts w:ascii="Abadi" w:hAnsi="Abadi"/>
          <w:sz w:val="21"/>
          <w:szCs w:val="21"/>
        </w:rPr>
        <w:t>,</w:t>
      </w:r>
      <w:r w:rsidRPr="0030088F">
        <w:rPr>
          <w:rFonts w:ascii="Abadi" w:hAnsi="Abadi"/>
          <w:sz w:val="21"/>
          <w:szCs w:val="21"/>
        </w:rPr>
        <w:t xml:space="preserve"> muchas gracias por estar el día de hoy aquí</w:t>
      </w:r>
      <w:r>
        <w:rPr>
          <w:rFonts w:ascii="Abadi" w:hAnsi="Abadi"/>
          <w:sz w:val="21"/>
          <w:szCs w:val="21"/>
        </w:rPr>
        <w:t>,</w:t>
      </w:r>
      <w:r w:rsidRPr="0030088F">
        <w:rPr>
          <w:rFonts w:ascii="Abadi" w:hAnsi="Abadi"/>
          <w:sz w:val="21"/>
          <w:szCs w:val="21"/>
        </w:rPr>
        <w:t xml:space="preserve"> esta iniciativa cuando la presentamos</w:t>
      </w:r>
      <w:r>
        <w:rPr>
          <w:rFonts w:ascii="Abadi" w:hAnsi="Abadi"/>
          <w:sz w:val="21"/>
          <w:szCs w:val="21"/>
        </w:rPr>
        <w:t>,</w:t>
      </w:r>
      <w:r w:rsidRPr="0030088F">
        <w:rPr>
          <w:rFonts w:ascii="Abadi" w:hAnsi="Abadi"/>
          <w:sz w:val="21"/>
          <w:szCs w:val="21"/>
        </w:rPr>
        <w:t xml:space="preserve"> siempre se los dije que era por ustedes y para ustedes y el día de hoy que es una realidad</w:t>
      </w:r>
      <w:r>
        <w:rPr>
          <w:rFonts w:ascii="Abadi" w:hAnsi="Abadi"/>
          <w:sz w:val="21"/>
          <w:szCs w:val="21"/>
        </w:rPr>
        <w:t>,</w:t>
      </w:r>
      <w:r w:rsidRPr="0030088F">
        <w:rPr>
          <w:rFonts w:ascii="Abadi" w:hAnsi="Abadi"/>
          <w:sz w:val="21"/>
          <w:szCs w:val="21"/>
        </w:rPr>
        <w:t xml:space="preserve"> el día de hoy</w:t>
      </w:r>
      <w:r>
        <w:rPr>
          <w:rFonts w:ascii="Abadi" w:hAnsi="Abadi"/>
          <w:sz w:val="21"/>
          <w:szCs w:val="21"/>
        </w:rPr>
        <w:t>,</w:t>
      </w:r>
      <w:r w:rsidRPr="0030088F">
        <w:rPr>
          <w:rFonts w:ascii="Abadi" w:hAnsi="Abadi"/>
          <w:sz w:val="21"/>
          <w:szCs w:val="21"/>
        </w:rPr>
        <w:t xml:space="preserve"> que es</w:t>
      </w:r>
      <w:r>
        <w:rPr>
          <w:rFonts w:ascii="Abadi" w:hAnsi="Abadi"/>
          <w:sz w:val="21"/>
          <w:szCs w:val="21"/>
        </w:rPr>
        <w:t>,</w:t>
      </w:r>
      <w:r w:rsidRPr="0030088F">
        <w:rPr>
          <w:rFonts w:ascii="Abadi" w:hAnsi="Abadi"/>
          <w:sz w:val="21"/>
          <w:szCs w:val="21"/>
        </w:rPr>
        <w:t xml:space="preserve"> ya</w:t>
      </w:r>
      <w:r>
        <w:rPr>
          <w:rFonts w:ascii="Abadi" w:hAnsi="Abadi"/>
          <w:sz w:val="21"/>
          <w:szCs w:val="21"/>
        </w:rPr>
        <w:t>,</w:t>
      </w:r>
      <w:r w:rsidRPr="0030088F">
        <w:rPr>
          <w:rFonts w:ascii="Abadi" w:hAnsi="Abadi"/>
          <w:sz w:val="21"/>
          <w:szCs w:val="21"/>
        </w:rPr>
        <w:t xml:space="preserve"> ley</w:t>
      </w:r>
      <w:r>
        <w:rPr>
          <w:rFonts w:ascii="Abadi" w:hAnsi="Abadi"/>
          <w:sz w:val="21"/>
          <w:szCs w:val="21"/>
        </w:rPr>
        <w:t>,</w:t>
      </w:r>
      <w:r w:rsidRPr="0030088F">
        <w:rPr>
          <w:rFonts w:ascii="Abadi" w:hAnsi="Abadi"/>
          <w:sz w:val="21"/>
          <w:szCs w:val="21"/>
        </w:rPr>
        <w:t xml:space="preserve"> con el voto de mis compañeras y compañeros</w:t>
      </w:r>
      <w:r>
        <w:rPr>
          <w:rFonts w:ascii="Abadi" w:hAnsi="Abadi"/>
          <w:sz w:val="21"/>
          <w:szCs w:val="21"/>
        </w:rPr>
        <w:t>,</w:t>
      </w:r>
      <w:r w:rsidRPr="0030088F">
        <w:rPr>
          <w:rFonts w:ascii="Abadi" w:hAnsi="Abadi"/>
          <w:sz w:val="21"/>
          <w:szCs w:val="21"/>
        </w:rPr>
        <w:t xml:space="preserve"> es una realidad para ustedes mujeres</w:t>
      </w:r>
      <w:r>
        <w:rPr>
          <w:rFonts w:ascii="Abadi" w:hAnsi="Abadi"/>
          <w:sz w:val="21"/>
          <w:szCs w:val="21"/>
        </w:rPr>
        <w:t>,</w:t>
      </w:r>
      <w:r w:rsidRPr="0030088F">
        <w:rPr>
          <w:rFonts w:ascii="Abadi" w:hAnsi="Abadi"/>
          <w:sz w:val="21"/>
          <w:szCs w:val="21"/>
        </w:rPr>
        <w:t xml:space="preserve"> gracias por acompañarnos</w:t>
      </w:r>
      <w:r>
        <w:rPr>
          <w:rFonts w:ascii="Abadi" w:hAnsi="Abadi"/>
          <w:sz w:val="21"/>
          <w:szCs w:val="21"/>
        </w:rPr>
        <w:t>.</w:t>
      </w:r>
    </w:p>
    <w:p w14:paraId="03BEFD47" w14:textId="77777777" w:rsidR="009211A4" w:rsidRDefault="009211A4" w:rsidP="009211A4">
      <w:pPr>
        <w:jc w:val="both"/>
        <w:rPr>
          <w:rFonts w:ascii="Abadi" w:hAnsi="Abadi"/>
          <w:sz w:val="21"/>
          <w:szCs w:val="21"/>
        </w:rPr>
      </w:pPr>
    </w:p>
    <w:p w14:paraId="5AF206E7" w14:textId="77777777" w:rsidR="009211A4" w:rsidRDefault="009211A4" w:rsidP="009211A4">
      <w:pPr>
        <w:jc w:val="both"/>
        <w:rPr>
          <w:rFonts w:ascii="Abadi" w:hAnsi="Abadi"/>
          <w:sz w:val="21"/>
          <w:szCs w:val="21"/>
        </w:rPr>
      </w:pPr>
      <w:r>
        <w:rPr>
          <w:rFonts w:ascii="Abadi" w:hAnsi="Abadi"/>
          <w:sz w:val="21"/>
          <w:szCs w:val="21"/>
        </w:rPr>
        <w:t>- B</w:t>
      </w:r>
      <w:r w:rsidRPr="0030088F">
        <w:rPr>
          <w:rFonts w:ascii="Abadi" w:hAnsi="Abadi"/>
          <w:sz w:val="21"/>
          <w:szCs w:val="21"/>
        </w:rPr>
        <w:t>ajo el cobijo del sol</w:t>
      </w:r>
      <w:r>
        <w:rPr>
          <w:rFonts w:ascii="Abadi" w:hAnsi="Abadi"/>
          <w:sz w:val="21"/>
          <w:szCs w:val="21"/>
        </w:rPr>
        <w:t>,</w:t>
      </w:r>
      <w:r w:rsidRPr="0030088F">
        <w:rPr>
          <w:rFonts w:ascii="Abadi" w:hAnsi="Abadi"/>
          <w:sz w:val="21"/>
          <w:szCs w:val="21"/>
        </w:rPr>
        <w:t xml:space="preserve"> con el trabajo en las manos</w:t>
      </w:r>
      <w:r>
        <w:rPr>
          <w:rFonts w:ascii="Abadi" w:hAnsi="Abadi"/>
          <w:sz w:val="21"/>
          <w:szCs w:val="21"/>
        </w:rPr>
        <w:t>,</w:t>
      </w:r>
      <w:r w:rsidRPr="0030088F">
        <w:rPr>
          <w:rFonts w:ascii="Abadi" w:hAnsi="Abadi"/>
          <w:sz w:val="21"/>
          <w:szCs w:val="21"/>
        </w:rPr>
        <w:t xml:space="preserve"> el talento en la mente</w:t>
      </w:r>
      <w:r>
        <w:rPr>
          <w:rFonts w:ascii="Abadi" w:hAnsi="Abadi"/>
          <w:sz w:val="21"/>
          <w:szCs w:val="21"/>
        </w:rPr>
        <w:t>,</w:t>
      </w:r>
      <w:r w:rsidRPr="0030088F">
        <w:rPr>
          <w:rFonts w:ascii="Abadi" w:hAnsi="Abadi"/>
          <w:sz w:val="21"/>
          <w:szCs w:val="21"/>
        </w:rPr>
        <w:t xml:space="preserve"> pero sobre todo con la esperanza en el corazón</w:t>
      </w:r>
      <w:r>
        <w:rPr>
          <w:rFonts w:ascii="Abadi" w:hAnsi="Abadi"/>
          <w:sz w:val="21"/>
          <w:szCs w:val="21"/>
        </w:rPr>
        <w:t>,</w:t>
      </w:r>
      <w:r w:rsidRPr="0030088F">
        <w:rPr>
          <w:rFonts w:ascii="Abadi" w:hAnsi="Abadi"/>
          <w:sz w:val="21"/>
          <w:szCs w:val="21"/>
        </w:rPr>
        <w:t xml:space="preserve"> miles de mujeres siembran todos los días el progreso del campo aquí en nuestro estado</w:t>
      </w:r>
      <w:r>
        <w:rPr>
          <w:rFonts w:ascii="Abadi" w:hAnsi="Abadi"/>
          <w:sz w:val="21"/>
          <w:szCs w:val="21"/>
        </w:rPr>
        <w:t>,</w:t>
      </w:r>
      <w:r w:rsidRPr="0030088F">
        <w:rPr>
          <w:rFonts w:ascii="Abadi" w:hAnsi="Abadi"/>
          <w:sz w:val="21"/>
          <w:szCs w:val="21"/>
        </w:rPr>
        <w:t xml:space="preserve"> aquí en Guanajuato</w:t>
      </w:r>
      <w:r>
        <w:rPr>
          <w:rFonts w:ascii="Abadi" w:hAnsi="Abadi"/>
          <w:sz w:val="21"/>
          <w:szCs w:val="21"/>
        </w:rPr>
        <w:t>,</w:t>
      </w:r>
      <w:r w:rsidRPr="0030088F">
        <w:rPr>
          <w:rFonts w:ascii="Abadi" w:hAnsi="Abadi"/>
          <w:sz w:val="21"/>
          <w:szCs w:val="21"/>
        </w:rPr>
        <w:t xml:space="preserve"> por ello</w:t>
      </w:r>
      <w:r>
        <w:rPr>
          <w:rFonts w:ascii="Abadi" w:hAnsi="Abadi"/>
          <w:sz w:val="21"/>
          <w:szCs w:val="21"/>
        </w:rPr>
        <w:t>,</w:t>
      </w:r>
      <w:r w:rsidRPr="0030088F">
        <w:rPr>
          <w:rFonts w:ascii="Abadi" w:hAnsi="Abadi"/>
          <w:sz w:val="21"/>
          <w:szCs w:val="21"/>
        </w:rPr>
        <w:t xml:space="preserve"> es importantísimo generar conciencia sobre las circunstancias de</w:t>
      </w:r>
      <w:r>
        <w:rPr>
          <w:rFonts w:ascii="Abadi" w:hAnsi="Abadi"/>
          <w:sz w:val="21"/>
          <w:szCs w:val="21"/>
        </w:rPr>
        <w:t xml:space="preserve">, de </w:t>
      </w:r>
      <w:r w:rsidRPr="0030088F">
        <w:rPr>
          <w:rFonts w:ascii="Abadi" w:hAnsi="Abadi"/>
          <w:sz w:val="21"/>
          <w:szCs w:val="21"/>
        </w:rPr>
        <w:t>pobreza de violencia</w:t>
      </w:r>
      <w:r>
        <w:rPr>
          <w:rFonts w:ascii="Abadi" w:hAnsi="Abadi"/>
          <w:sz w:val="21"/>
          <w:szCs w:val="21"/>
        </w:rPr>
        <w:t>,</w:t>
      </w:r>
      <w:r w:rsidRPr="0030088F">
        <w:rPr>
          <w:rFonts w:ascii="Abadi" w:hAnsi="Abadi"/>
          <w:sz w:val="21"/>
          <w:szCs w:val="21"/>
        </w:rPr>
        <w:t xml:space="preserve"> de desigualdad que siguen enfrentando muchas de ellas y que constituyen una realidad indignante</w:t>
      </w:r>
      <w:r>
        <w:rPr>
          <w:rFonts w:ascii="Abadi" w:hAnsi="Abadi"/>
          <w:sz w:val="21"/>
          <w:szCs w:val="21"/>
        </w:rPr>
        <w:t>,</w:t>
      </w:r>
      <w:r w:rsidRPr="0030088F">
        <w:rPr>
          <w:rFonts w:ascii="Abadi" w:hAnsi="Abadi"/>
          <w:sz w:val="21"/>
          <w:szCs w:val="21"/>
        </w:rPr>
        <w:t xml:space="preserve"> realidad que reclama soluciones desde todos los ámbitos</w:t>
      </w:r>
      <w:r>
        <w:rPr>
          <w:rFonts w:ascii="Abadi" w:hAnsi="Abadi"/>
          <w:sz w:val="21"/>
          <w:szCs w:val="21"/>
        </w:rPr>
        <w:t>,</w:t>
      </w:r>
      <w:r w:rsidRPr="0030088F">
        <w:rPr>
          <w:rFonts w:ascii="Abadi" w:hAnsi="Abadi"/>
          <w:sz w:val="21"/>
          <w:szCs w:val="21"/>
        </w:rPr>
        <w:t xml:space="preserve"> desde el gobierno</w:t>
      </w:r>
      <w:r>
        <w:rPr>
          <w:rFonts w:ascii="Abadi" w:hAnsi="Abadi"/>
          <w:sz w:val="21"/>
          <w:szCs w:val="21"/>
        </w:rPr>
        <w:t>,</w:t>
      </w:r>
      <w:r w:rsidRPr="0030088F">
        <w:rPr>
          <w:rFonts w:ascii="Abadi" w:hAnsi="Abadi"/>
          <w:sz w:val="21"/>
          <w:szCs w:val="21"/>
        </w:rPr>
        <w:t xml:space="preserve"> pero también desde la sociedad</w:t>
      </w:r>
      <w:r>
        <w:rPr>
          <w:rFonts w:ascii="Abadi" w:hAnsi="Abadi"/>
          <w:sz w:val="21"/>
          <w:szCs w:val="21"/>
        </w:rPr>
        <w:t>,</w:t>
      </w:r>
      <w:r w:rsidRPr="0030088F">
        <w:rPr>
          <w:rFonts w:ascii="Abadi" w:hAnsi="Abadi"/>
          <w:sz w:val="21"/>
          <w:szCs w:val="21"/>
        </w:rPr>
        <w:t xml:space="preserve"> así asumimos esta responsabilidad que nos corresponde </w:t>
      </w:r>
      <w:r w:rsidRPr="0030088F">
        <w:rPr>
          <w:rFonts w:ascii="Abadi" w:hAnsi="Abadi"/>
          <w:sz w:val="21"/>
          <w:szCs w:val="21"/>
        </w:rPr>
        <w:t>adoptando medidas para garantizar que nuestras mujeres y nuestras niñas gocen plenamente de sus derechos</w:t>
      </w:r>
      <w:r>
        <w:rPr>
          <w:rFonts w:ascii="Abadi" w:hAnsi="Abadi"/>
          <w:sz w:val="21"/>
          <w:szCs w:val="21"/>
        </w:rPr>
        <w:t>,</w:t>
      </w:r>
      <w:r w:rsidRPr="0030088F">
        <w:rPr>
          <w:rFonts w:ascii="Abadi" w:hAnsi="Abadi"/>
          <w:sz w:val="21"/>
          <w:szCs w:val="21"/>
        </w:rPr>
        <w:t xml:space="preserve"> pues tenemos como legisladores y legisladoras la obligación de corresponderles con acciones legislativas</w:t>
      </w:r>
      <w:r>
        <w:rPr>
          <w:rFonts w:ascii="Abadi" w:hAnsi="Abadi"/>
          <w:sz w:val="21"/>
          <w:szCs w:val="21"/>
        </w:rPr>
        <w:t>,</w:t>
      </w:r>
      <w:r w:rsidRPr="0030088F">
        <w:rPr>
          <w:rFonts w:ascii="Abadi" w:hAnsi="Abadi"/>
          <w:sz w:val="21"/>
          <w:szCs w:val="21"/>
        </w:rPr>
        <w:t xml:space="preserve"> que logren su pleno desarrollo en igualdad y también en las certeza del respeto a sus derechos</w:t>
      </w:r>
      <w:r>
        <w:rPr>
          <w:rFonts w:ascii="Abadi" w:hAnsi="Abadi"/>
          <w:sz w:val="21"/>
          <w:szCs w:val="21"/>
        </w:rPr>
        <w:t>,</w:t>
      </w:r>
      <w:r w:rsidRPr="0030088F">
        <w:rPr>
          <w:rFonts w:ascii="Abadi" w:hAnsi="Abadi"/>
          <w:sz w:val="21"/>
          <w:szCs w:val="21"/>
        </w:rPr>
        <w:t xml:space="preserve"> con este compromiso amigas y amigos el día de hoy pido su voto a favor del dictamen que reforma la </w:t>
      </w:r>
      <w:r>
        <w:rPr>
          <w:rFonts w:ascii="Abadi" w:hAnsi="Abadi"/>
          <w:sz w:val="21"/>
          <w:szCs w:val="21"/>
        </w:rPr>
        <w:t>L</w:t>
      </w:r>
      <w:r w:rsidRPr="0030088F">
        <w:rPr>
          <w:rFonts w:ascii="Abadi" w:hAnsi="Abadi"/>
          <w:sz w:val="21"/>
          <w:szCs w:val="21"/>
        </w:rPr>
        <w:t xml:space="preserve">ey de </w:t>
      </w:r>
      <w:r>
        <w:rPr>
          <w:rFonts w:ascii="Abadi" w:hAnsi="Abadi"/>
          <w:sz w:val="21"/>
          <w:szCs w:val="21"/>
        </w:rPr>
        <w:t>F</w:t>
      </w:r>
      <w:r w:rsidRPr="0030088F">
        <w:rPr>
          <w:rFonts w:ascii="Abadi" w:hAnsi="Abadi"/>
          <w:sz w:val="21"/>
          <w:szCs w:val="21"/>
        </w:rPr>
        <w:t xml:space="preserve">omento a la </w:t>
      </w:r>
      <w:r>
        <w:rPr>
          <w:rFonts w:ascii="Abadi" w:hAnsi="Abadi"/>
          <w:sz w:val="21"/>
          <w:szCs w:val="21"/>
        </w:rPr>
        <w:t>A</w:t>
      </w:r>
      <w:r w:rsidRPr="0030088F">
        <w:rPr>
          <w:rFonts w:ascii="Abadi" w:hAnsi="Abadi"/>
          <w:sz w:val="21"/>
          <w:szCs w:val="21"/>
        </w:rPr>
        <w:t xml:space="preserve">gricultura </w:t>
      </w:r>
      <w:r>
        <w:rPr>
          <w:rFonts w:ascii="Abadi" w:hAnsi="Abadi"/>
          <w:sz w:val="21"/>
          <w:szCs w:val="21"/>
        </w:rPr>
        <w:t>F</w:t>
      </w:r>
      <w:r w:rsidRPr="0030088F">
        <w:rPr>
          <w:rFonts w:ascii="Abadi" w:hAnsi="Abadi"/>
          <w:sz w:val="21"/>
          <w:szCs w:val="21"/>
        </w:rPr>
        <w:t xml:space="preserve">amiliar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para la inclusión de nuestras mujeres rurales</w:t>
      </w:r>
      <w:r>
        <w:rPr>
          <w:rFonts w:ascii="Abadi" w:hAnsi="Abadi"/>
          <w:sz w:val="21"/>
          <w:szCs w:val="21"/>
        </w:rPr>
        <w:t>,</w:t>
      </w:r>
      <w:r w:rsidRPr="0030088F">
        <w:rPr>
          <w:rFonts w:ascii="Abadi" w:hAnsi="Abadi"/>
          <w:sz w:val="21"/>
          <w:szCs w:val="21"/>
        </w:rPr>
        <w:t xml:space="preserve"> necesitamos mujeres rurales decidiendo</w:t>
      </w:r>
      <w:r>
        <w:rPr>
          <w:rFonts w:ascii="Abadi" w:hAnsi="Abadi"/>
          <w:sz w:val="21"/>
          <w:szCs w:val="21"/>
        </w:rPr>
        <w:t>,</w:t>
      </w:r>
      <w:r w:rsidRPr="0030088F">
        <w:rPr>
          <w:rFonts w:ascii="Abadi" w:hAnsi="Abadi"/>
          <w:sz w:val="21"/>
          <w:szCs w:val="21"/>
        </w:rPr>
        <w:t xml:space="preserve"> para que no afecte en su vida</w:t>
      </w:r>
      <w:r>
        <w:rPr>
          <w:rFonts w:ascii="Abadi" w:hAnsi="Abadi"/>
          <w:sz w:val="21"/>
          <w:szCs w:val="21"/>
        </w:rPr>
        <w:t>,</w:t>
      </w:r>
      <w:r w:rsidRPr="0030088F">
        <w:rPr>
          <w:rFonts w:ascii="Abadi" w:hAnsi="Abadi"/>
          <w:sz w:val="21"/>
          <w:szCs w:val="21"/>
        </w:rPr>
        <w:t xml:space="preserve"> para generar medidas específicas encaminadas a acelerar la equidad entre el hombre y la mujer</w:t>
      </w:r>
      <w:r>
        <w:rPr>
          <w:rFonts w:ascii="Abadi" w:hAnsi="Abadi"/>
          <w:sz w:val="21"/>
          <w:szCs w:val="21"/>
        </w:rPr>
        <w:t>,</w:t>
      </w:r>
      <w:r w:rsidRPr="0030088F">
        <w:rPr>
          <w:rFonts w:ascii="Abadi" w:hAnsi="Abadi"/>
          <w:sz w:val="21"/>
          <w:szCs w:val="21"/>
        </w:rPr>
        <w:t xml:space="preserve"> para garantizar que todas las mujeres rurales tengan acceso a un empleo digno a una contratación</w:t>
      </w:r>
      <w:r>
        <w:rPr>
          <w:rFonts w:ascii="Abadi" w:hAnsi="Abadi"/>
          <w:sz w:val="21"/>
          <w:szCs w:val="21"/>
        </w:rPr>
        <w:t>,</w:t>
      </w:r>
      <w:r w:rsidRPr="0030088F">
        <w:rPr>
          <w:rFonts w:ascii="Abadi" w:hAnsi="Abadi"/>
          <w:sz w:val="21"/>
          <w:szCs w:val="21"/>
        </w:rPr>
        <w:t xml:space="preserve"> a un financiamiento</w:t>
      </w:r>
      <w:r>
        <w:rPr>
          <w:rFonts w:ascii="Abadi" w:hAnsi="Abadi"/>
          <w:sz w:val="21"/>
          <w:szCs w:val="21"/>
        </w:rPr>
        <w:t>,</w:t>
      </w:r>
      <w:r w:rsidRPr="0030088F">
        <w:rPr>
          <w:rFonts w:ascii="Abadi" w:hAnsi="Abadi"/>
          <w:sz w:val="21"/>
          <w:szCs w:val="21"/>
        </w:rPr>
        <w:t xml:space="preserve"> a una promoción</w:t>
      </w:r>
      <w:r>
        <w:rPr>
          <w:rFonts w:ascii="Abadi" w:hAnsi="Abadi"/>
          <w:sz w:val="21"/>
          <w:szCs w:val="21"/>
        </w:rPr>
        <w:t>,</w:t>
      </w:r>
      <w:r w:rsidRPr="0030088F">
        <w:rPr>
          <w:rFonts w:ascii="Abadi" w:hAnsi="Abadi"/>
          <w:sz w:val="21"/>
          <w:szCs w:val="21"/>
        </w:rPr>
        <w:t xml:space="preserve"> a una capacitación</w:t>
      </w:r>
      <w:r>
        <w:rPr>
          <w:rFonts w:ascii="Abadi" w:hAnsi="Abadi"/>
          <w:sz w:val="21"/>
          <w:szCs w:val="21"/>
        </w:rPr>
        <w:t>,</w:t>
      </w:r>
      <w:r w:rsidRPr="0030088F">
        <w:rPr>
          <w:rFonts w:ascii="Abadi" w:hAnsi="Abadi"/>
          <w:sz w:val="21"/>
          <w:szCs w:val="21"/>
        </w:rPr>
        <w:t xml:space="preserve"> así como acceso de la mujer rural y a sus hijas y a sus hijos a servicios de salud de educación y de vivienda</w:t>
      </w:r>
      <w:r>
        <w:rPr>
          <w:rFonts w:ascii="Abadi" w:hAnsi="Abadi"/>
          <w:sz w:val="21"/>
          <w:szCs w:val="21"/>
        </w:rPr>
        <w:t>.</w:t>
      </w:r>
    </w:p>
    <w:p w14:paraId="3764685B" w14:textId="77777777" w:rsidR="009211A4" w:rsidRDefault="009211A4" w:rsidP="009211A4">
      <w:pPr>
        <w:jc w:val="both"/>
        <w:rPr>
          <w:rFonts w:ascii="Abadi" w:hAnsi="Abadi"/>
          <w:sz w:val="21"/>
          <w:szCs w:val="21"/>
        </w:rPr>
      </w:pPr>
    </w:p>
    <w:p w14:paraId="11FFBD83" w14:textId="77777777" w:rsidR="009211A4" w:rsidRDefault="009211A4" w:rsidP="009211A4">
      <w:pPr>
        <w:jc w:val="both"/>
        <w:rPr>
          <w:rFonts w:ascii="Abadi" w:hAnsi="Abadi"/>
          <w:sz w:val="21"/>
          <w:szCs w:val="21"/>
        </w:rPr>
      </w:pPr>
      <w:r>
        <w:rPr>
          <w:rFonts w:ascii="Abadi" w:hAnsi="Abadi"/>
          <w:sz w:val="21"/>
          <w:szCs w:val="21"/>
        </w:rPr>
        <w:t>- E</w:t>
      </w:r>
      <w:r w:rsidRPr="0030088F">
        <w:rPr>
          <w:rFonts w:ascii="Abadi" w:hAnsi="Abadi"/>
          <w:sz w:val="21"/>
          <w:szCs w:val="21"/>
        </w:rPr>
        <w:t>n Guanajuato</w:t>
      </w:r>
      <w:r>
        <w:rPr>
          <w:rFonts w:ascii="Abadi" w:hAnsi="Abadi"/>
          <w:sz w:val="21"/>
          <w:szCs w:val="21"/>
        </w:rPr>
        <w:t>,</w:t>
      </w:r>
      <w:r w:rsidRPr="0030088F">
        <w:rPr>
          <w:rFonts w:ascii="Abadi" w:hAnsi="Abadi"/>
          <w:sz w:val="21"/>
          <w:szCs w:val="21"/>
        </w:rPr>
        <w:t xml:space="preserve"> ustedes mis amigas</w:t>
      </w:r>
      <w:r>
        <w:rPr>
          <w:rFonts w:ascii="Abadi" w:hAnsi="Abadi"/>
          <w:sz w:val="21"/>
          <w:szCs w:val="21"/>
        </w:rPr>
        <w:t>,</w:t>
      </w:r>
      <w:r w:rsidRPr="0030088F">
        <w:rPr>
          <w:rFonts w:ascii="Abadi" w:hAnsi="Abadi"/>
          <w:sz w:val="21"/>
          <w:szCs w:val="21"/>
        </w:rPr>
        <w:t xml:space="preserve"> que el día de hoy nos acompañan</w:t>
      </w:r>
      <w:r>
        <w:rPr>
          <w:rFonts w:ascii="Abadi" w:hAnsi="Abadi"/>
          <w:sz w:val="21"/>
          <w:szCs w:val="21"/>
        </w:rPr>
        <w:t>,</w:t>
      </w:r>
      <w:r w:rsidRPr="0030088F">
        <w:rPr>
          <w:rFonts w:ascii="Abadi" w:hAnsi="Abadi"/>
          <w:sz w:val="21"/>
          <w:szCs w:val="21"/>
        </w:rPr>
        <w:t xml:space="preserve"> que labran la Tierra</w:t>
      </w:r>
      <w:r>
        <w:rPr>
          <w:rFonts w:ascii="Abadi" w:hAnsi="Abadi"/>
          <w:sz w:val="21"/>
          <w:szCs w:val="21"/>
        </w:rPr>
        <w:t>,</w:t>
      </w:r>
      <w:r w:rsidRPr="0030088F">
        <w:rPr>
          <w:rFonts w:ascii="Abadi" w:hAnsi="Abadi"/>
          <w:sz w:val="21"/>
          <w:szCs w:val="21"/>
        </w:rPr>
        <w:t xml:space="preserve"> que plantan sus semillas</w:t>
      </w:r>
      <w:r>
        <w:rPr>
          <w:rFonts w:ascii="Abadi" w:hAnsi="Abadi"/>
          <w:sz w:val="21"/>
          <w:szCs w:val="21"/>
        </w:rPr>
        <w:t>,</w:t>
      </w:r>
      <w:r w:rsidRPr="0030088F">
        <w:rPr>
          <w:rFonts w:ascii="Abadi" w:hAnsi="Abadi"/>
          <w:sz w:val="21"/>
          <w:szCs w:val="21"/>
        </w:rPr>
        <w:t xml:space="preserve"> que cuidan sus animales</w:t>
      </w:r>
      <w:r>
        <w:rPr>
          <w:rFonts w:ascii="Abadi" w:hAnsi="Abadi"/>
          <w:sz w:val="21"/>
          <w:szCs w:val="21"/>
        </w:rPr>
        <w:t>,</w:t>
      </w:r>
      <w:r w:rsidRPr="0030088F">
        <w:rPr>
          <w:rFonts w:ascii="Abadi" w:hAnsi="Abadi"/>
          <w:sz w:val="21"/>
          <w:szCs w:val="21"/>
        </w:rPr>
        <w:t xml:space="preserve"> que tienen sus plantitas</w:t>
      </w:r>
      <w:r>
        <w:rPr>
          <w:rFonts w:ascii="Abadi" w:hAnsi="Abadi"/>
          <w:sz w:val="21"/>
          <w:szCs w:val="21"/>
        </w:rPr>
        <w:t>,</w:t>
      </w:r>
      <w:r w:rsidRPr="0030088F">
        <w:rPr>
          <w:rFonts w:ascii="Abadi" w:hAnsi="Abadi"/>
          <w:sz w:val="21"/>
          <w:szCs w:val="21"/>
        </w:rPr>
        <w:t xml:space="preserve"> que alimentan los frutos de nuestro estado</w:t>
      </w:r>
      <w:r>
        <w:rPr>
          <w:rFonts w:ascii="Abadi" w:hAnsi="Abadi"/>
          <w:sz w:val="21"/>
          <w:szCs w:val="21"/>
        </w:rPr>
        <w:t>,</w:t>
      </w:r>
      <w:r w:rsidRPr="0030088F">
        <w:rPr>
          <w:rFonts w:ascii="Abadi" w:hAnsi="Abadi"/>
          <w:sz w:val="21"/>
          <w:szCs w:val="21"/>
        </w:rPr>
        <w:t xml:space="preserve"> de nuestro distrito</w:t>
      </w:r>
      <w:r>
        <w:rPr>
          <w:rFonts w:ascii="Abadi" w:hAnsi="Abadi"/>
          <w:sz w:val="21"/>
          <w:szCs w:val="21"/>
        </w:rPr>
        <w:t>,</w:t>
      </w:r>
      <w:r w:rsidRPr="0030088F">
        <w:rPr>
          <w:rFonts w:ascii="Abadi" w:hAnsi="Abadi"/>
          <w:sz w:val="21"/>
          <w:szCs w:val="21"/>
        </w:rPr>
        <w:t xml:space="preserve"> a nombre de mis compañeras y compañeros integrantes del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acional</w:t>
      </w:r>
      <w:r>
        <w:rPr>
          <w:rFonts w:ascii="Abadi" w:hAnsi="Abadi"/>
          <w:sz w:val="21"/>
          <w:szCs w:val="21"/>
        </w:rPr>
        <w:t>,</w:t>
      </w:r>
      <w:r w:rsidRPr="0030088F">
        <w:rPr>
          <w:rFonts w:ascii="Abadi" w:hAnsi="Abadi"/>
          <w:sz w:val="21"/>
          <w:szCs w:val="21"/>
        </w:rPr>
        <w:t xml:space="preserve"> quiero reconocerles el monumental aporte que ustedes mujeres rurales</w:t>
      </w:r>
      <w:r>
        <w:rPr>
          <w:rFonts w:ascii="Abadi" w:hAnsi="Abadi"/>
          <w:sz w:val="21"/>
          <w:szCs w:val="21"/>
        </w:rPr>
        <w:t>,</w:t>
      </w:r>
      <w:r w:rsidRPr="0030088F">
        <w:rPr>
          <w:rFonts w:ascii="Abadi" w:hAnsi="Abadi"/>
          <w:sz w:val="21"/>
          <w:szCs w:val="21"/>
        </w:rPr>
        <w:t xml:space="preserve"> aportan a nuestra vida</w:t>
      </w:r>
      <w:r>
        <w:rPr>
          <w:rFonts w:ascii="Abadi" w:hAnsi="Abadi"/>
          <w:sz w:val="21"/>
          <w:szCs w:val="21"/>
        </w:rPr>
        <w:t>,</w:t>
      </w:r>
      <w:r w:rsidRPr="0030088F">
        <w:rPr>
          <w:rFonts w:ascii="Abadi" w:hAnsi="Abadi"/>
          <w:sz w:val="21"/>
          <w:szCs w:val="21"/>
        </w:rPr>
        <w:t xml:space="preserve"> a nuestra economía</w:t>
      </w:r>
      <w:r>
        <w:rPr>
          <w:rFonts w:ascii="Abadi" w:hAnsi="Abadi"/>
          <w:sz w:val="21"/>
          <w:szCs w:val="21"/>
        </w:rPr>
        <w:t>,</w:t>
      </w:r>
      <w:r w:rsidRPr="0030088F">
        <w:rPr>
          <w:rFonts w:ascii="Abadi" w:hAnsi="Abadi"/>
          <w:sz w:val="21"/>
          <w:szCs w:val="21"/>
        </w:rPr>
        <w:t xml:space="preserve"> a la prosperidad del campo</w:t>
      </w:r>
      <w:r>
        <w:rPr>
          <w:rFonts w:ascii="Abadi" w:hAnsi="Abadi"/>
          <w:sz w:val="21"/>
          <w:szCs w:val="21"/>
        </w:rPr>
        <w:t>,</w:t>
      </w:r>
      <w:r w:rsidRPr="0030088F">
        <w:rPr>
          <w:rFonts w:ascii="Abadi" w:hAnsi="Abadi"/>
          <w:sz w:val="21"/>
          <w:szCs w:val="21"/>
        </w:rPr>
        <w:t xml:space="preserve"> ustedes como bien lo dije</w:t>
      </w:r>
      <w:r>
        <w:rPr>
          <w:rFonts w:ascii="Abadi" w:hAnsi="Abadi"/>
          <w:sz w:val="21"/>
          <w:szCs w:val="21"/>
        </w:rPr>
        <w:t>,</w:t>
      </w:r>
      <w:r w:rsidRPr="0030088F">
        <w:rPr>
          <w:rFonts w:ascii="Abadi" w:hAnsi="Abadi"/>
          <w:sz w:val="21"/>
          <w:szCs w:val="21"/>
        </w:rPr>
        <w:t xml:space="preserve"> son grandeza</w:t>
      </w:r>
      <w:r>
        <w:rPr>
          <w:rFonts w:ascii="Abadi" w:hAnsi="Abadi"/>
          <w:sz w:val="21"/>
          <w:szCs w:val="21"/>
        </w:rPr>
        <w:t>,</w:t>
      </w:r>
      <w:r w:rsidRPr="0030088F">
        <w:rPr>
          <w:rFonts w:ascii="Abadi" w:hAnsi="Abadi"/>
          <w:sz w:val="21"/>
          <w:szCs w:val="21"/>
        </w:rPr>
        <w:t xml:space="preserve"> sepan que las tenemos presentes y que seguiremos trabajando para que en Guanajuato tengan un mejor futuro</w:t>
      </w:r>
      <w:r>
        <w:rPr>
          <w:rFonts w:ascii="Abadi" w:hAnsi="Abadi"/>
          <w:sz w:val="21"/>
          <w:szCs w:val="21"/>
        </w:rPr>
        <w:t>,</w:t>
      </w:r>
      <w:r w:rsidRPr="0030088F">
        <w:rPr>
          <w:rFonts w:ascii="Abadi" w:hAnsi="Abadi"/>
          <w:sz w:val="21"/>
          <w:szCs w:val="21"/>
        </w:rPr>
        <w:t xml:space="preserve"> mujeres rurales</w:t>
      </w:r>
      <w:r>
        <w:rPr>
          <w:rFonts w:ascii="Abadi" w:hAnsi="Abadi"/>
          <w:sz w:val="21"/>
          <w:szCs w:val="21"/>
        </w:rPr>
        <w:t>,</w:t>
      </w:r>
      <w:r w:rsidRPr="0030088F">
        <w:rPr>
          <w:rFonts w:ascii="Abadi" w:hAnsi="Abadi"/>
          <w:sz w:val="21"/>
          <w:szCs w:val="21"/>
        </w:rPr>
        <w:t xml:space="preserve"> sus palabras nos hablan de esfuerzo</w:t>
      </w:r>
      <w:r>
        <w:rPr>
          <w:rFonts w:ascii="Abadi" w:hAnsi="Abadi"/>
          <w:sz w:val="21"/>
          <w:szCs w:val="21"/>
        </w:rPr>
        <w:t>,</w:t>
      </w:r>
      <w:r w:rsidRPr="0030088F">
        <w:rPr>
          <w:rFonts w:ascii="Abadi" w:hAnsi="Abadi"/>
          <w:sz w:val="21"/>
          <w:szCs w:val="21"/>
        </w:rPr>
        <w:t xml:space="preserve"> de entregas</w:t>
      </w:r>
      <w:r>
        <w:rPr>
          <w:rFonts w:ascii="Abadi" w:hAnsi="Abadi"/>
          <w:sz w:val="21"/>
          <w:szCs w:val="21"/>
        </w:rPr>
        <w:t>,</w:t>
      </w:r>
      <w:r w:rsidRPr="0030088F">
        <w:rPr>
          <w:rFonts w:ascii="Abadi" w:hAnsi="Abadi"/>
          <w:sz w:val="21"/>
          <w:szCs w:val="21"/>
        </w:rPr>
        <w:t xml:space="preserve"> de sacrificios de luchas</w:t>
      </w:r>
      <w:r>
        <w:rPr>
          <w:rFonts w:ascii="Abadi" w:hAnsi="Abadi"/>
          <w:sz w:val="21"/>
          <w:szCs w:val="21"/>
        </w:rPr>
        <w:t>,</w:t>
      </w:r>
      <w:r w:rsidRPr="0030088F">
        <w:rPr>
          <w:rFonts w:ascii="Abadi" w:hAnsi="Abadi"/>
          <w:sz w:val="21"/>
          <w:szCs w:val="21"/>
        </w:rPr>
        <w:t xml:space="preserve"> pero también nos hablan de dignidad</w:t>
      </w:r>
      <w:r>
        <w:rPr>
          <w:rFonts w:ascii="Abadi" w:hAnsi="Abadi"/>
          <w:sz w:val="21"/>
          <w:szCs w:val="21"/>
        </w:rPr>
        <w:t>,</w:t>
      </w:r>
      <w:r w:rsidRPr="0030088F">
        <w:rPr>
          <w:rFonts w:ascii="Abadi" w:hAnsi="Abadi"/>
          <w:sz w:val="21"/>
          <w:szCs w:val="21"/>
        </w:rPr>
        <w:t xml:space="preserve"> de resiliencia</w:t>
      </w:r>
      <w:r>
        <w:rPr>
          <w:rFonts w:ascii="Abadi" w:hAnsi="Abadi"/>
          <w:sz w:val="21"/>
          <w:szCs w:val="21"/>
        </w:rPr>
        <w:t>,</w:t>
      </w:r>
      <w:r w:rsidRPr="0030088F">
        <w:rPr>
          <w:rFonts w:ascii="Abadi" w:hAnsi="Abadi"/>
          <w:sz w:val="21"/>
          <w:szCs w:val="21"/>
        </w:rPr>
        <w:t xml:space="preserve"> de solidaridad</w:t>
      </w:r>
      <w:r>
        <w:rPr>
          <w:rFonts w:ascii="Abadi" w:hAnsi="Abadi"/>
          <w:sz w:val="21"/>
          <w:szCs w:val="21"/>
        </w:rPr>
        <w:t>,</w:t>
      </w:r>
      <w:r w:rsidRPr="0030088F">
        <w:rPr>
          <w:rFonts w:ascii="Abadi" w:hAnsi="Abadi"/>
          <w:sz w:val="21"/>
          <w:szCs w:val="21"/>
        </w:rPr>
        <w:t xml:space="preserve"> de amor por la Tierra</w:t>
      </w:r>
      <w:r>
        <w:rPr>
          <w:rFonts w:ascii="Abadi" w:hAnsi="Abadi"/>
          <w:sz w:val="21"/>
          <w:szCs w:val="21"/>
        </w:rPr>
        <w:t>,</w:t>
      </w:r>
      <w:r w:rsidRPr="0030088F">
        <w:rPr>
          <w:rFonts w:ascii="Abadi" w:hAnsi="Abadi"/>
          <w:sz w:val="21"/>
          <w:szCs w:val="21"/>
        </w:rPr>
        <w:t xml:space="preserve"> de amor por su familia</w:t>
      </w:r>
      <w:r>
        <w:rPr>
          <w:rFonts w:ascii="Abadi" w:hAnsi="Abadi"/>
          <w:sz w:val="21"/>
          <w:szCs w:val="21"/>
        </w:rPr>
        <w:t>,</w:t>
      </w:r>
      <w:r w:rsidRPr="0030088F">
        <w:rPr>
          <w:rFonts w:ascii="Abadi" w:hAnsi="Abadi"/>
          <w:sz w:val="21"/>
          <w:szCs w:val="21"/>
        </w:rPr>
        <w:t xml:space="preserve"> mujeres rurales</w:t>
      </w:r>
      <w:r>
        <w:rPr>
          <w:rFonts w:ascii="Abadi" w:hAnsi="Abadi"/>
          <w:sz w:val="21"/>
          <w:szCs w:val="21"/>
        </w:rPr>
        <w:t>,</w:t>
      </w:r>
      <w:r w:rsidRPr="0030088F">
        <w:rPr>
          <w:rFonts w:ascii="Abadi" w:hAnsi="Abadi"/>
          <w:sz w:val="21"/>
          <w:szCs w:val="21"/>
        </w:rPr>
        <w:t xml:space="preserve"> sigamos trabajando juntas de la mano</w:t>
      </w:r>
      <w:r>
        <w:rPr>
          <w:rFonts w:ascii="Abadi" w:hAnsi="Abadi"/>
          <w:sz w:val="21"/>
          <w:szCs w:val="21"/>
        </w:rPr>
        <w:t>,</w:t>
      </w:r>
      <w:r w:rsidRPr="0030088F">
        <w:rPr>
          <w:rFonts w:ascii="Abadi" w:hAnsi="Abadi"/>
          <w:sz w:val="21"/>
          <w:szCs w:val="21"/>
        </w:rPr>
        <w:t xml:space="preserve"> por nuestras familias</w:t>
      </w:r>
      <w:r>
        <w:rPr>
          <w:rFonts w:ascii="Abadi" w:hAnsi="Abadi"/>
          <w:sz w:val="21"/>
          <w:szCs w:val="21"/>
        </w:rPr>
        <w:t>,</w:t>
      </w:r>
      <w:r w:rsidRPr="0030088F">
        <w:rPr>
          <w:rFonts w:ascii="Abadi" w:hAnsi="Abadi"/>
          <w:sz w:val="21"/>
          <w:szCs w:val="21"/>
        </w:rPr>
        <w:t xml:space="preserve"> por nuestras niñas y niños</w:t>
      </w:r>
      <w:r>
        <w:rPr>
          <w:rFonts w:ascii="Abadi" w:hAnsi="Abadi"/>
          <w:sz w:val="21"/>
          <w:szCs w:val="21"/>
        </w:rPr>
        <w:t>,</w:t>
      </w:r>
      <w:r w:rsidRPr="0030088F">
        <w:rPr>
          <w:rFonts w:ascii="Abadi" w:hAnsi="Abadi"/>
          <w:sz w:val="21"/>
          <w:szCs w:val="21"/>
        </w:rPr>
        <w:t xml:space="preserve"> por Guanajuato y por México este voto</w:t>
      </w:r>
      <w:r>
        <w:rPr>
          <w:rFonts w:ascii="Abadi" w:hAnsi="Abadi"/>
          <w:sz w:val="21"/>
          <w:szCs w:val="21"/>
        </w:rPr>
        <w:t xml:space="preserve">, va por ustedes, </w:t>
      </w:r>
      <w:r w:rsidRPr="0030088F">
        <w:rPr>
          <w:rFonts w:ascii="Abadi" w:hAnsi="Abadi"/>
          <w:sz w:val="21"/>
          <w:szCs w:val="21"/>
        </w:rPr>
        <w:t>muchas gracias</w:t>
      </w:r>
      <w:r>
        <w:rPr>
          <w:rFonts w:ascii="Abadi" w:hAnsi="Abadi"/>
          <w:sz w:val="21"/>
          <w:szCs w:val="21"/>
        </w:rPr>
        <w:t>.</w:t>
      </w:r>
    </w:p>
    <w:p w14:paraId="12DF47DA" w14:textId="77777777" w:rsidR="009211A4" w:rsidRDefault="009211A4" w:rsidP="009211A4">
      <w:pPr>
        <w:jc w:val="both"/>
        <w:rPr>
          <w:rFonts w:ascii="Abadi" w:hAnsi="Abadi"/>
          <w:sz w:val="21"/>
          <w:szCs w:val="21"/>
        </w:rPr>
      </w:pPr>
    </w:p>
    <w:p w14:paraId="1B160C28" w14:textId="77777777" w:rsidR="009211A4" w:rsidRDefault="009211A4" w:rsidP="009211A4">
      <w:pPr>
        <w:jc w:val="both"/>
        <w:rPr>
          <w:rFonts w:ascii="Abadi" w:hAnsi="Abadi"/>
          <w:sz w:val="21"/>
          <w:szCs w:val="21"/>
        </w:rPr>
      </w:pPr>
      <w:r>
        <w:rPr>
          <w:rFonts w:ascii="Abadi" w:hAnsi="Abadi"/>
          <w:sz w:val="21"/>
          <w:szCs w:val="21"/>
        </w:rPr>
        <w:t>- E</w:t>
      </w:r>
      <w:r w:rsidRPr="0030088F">
        <w:rPr>
          <w:rFonts w:ascii="Abadi" w:hAnsi="Abadi"/>
          <w:sz w:val="21"/>
          <w:szCs w:val="21"/>
        </w:rPr>
        <w:t>s cuanto</w:t>
      </w:r>
      <w:r>
        <w:rPr>
          <w:rFonts w:ascii="Abadi" w:hAnsi="Abadi"/>
          <w:sz w:val="21"/>
          <w:szCs w:val="21"/>
        </w:rPr>
        <w:t xml:space="preserve"> presidenta. </w:t>
      </w:r>
    </w:p>
    <w:p w14:paraId="5704EC07" w14:textId="77777777" w:rsidR="009211A4" w:rsidRDefault="009211A4" w:rsidP="009211A4">
      <w:pPr>
        <w:jc w:val="both"/>
        <w:rPr>
          <w:rFonts w:ascii="Abadi" w:hAnsi="Abadi"/>
          <w:sz w:val="21"/>
          <w:szCs w:val="21"/>
        </w:rPr>
      </w:pPr>
    </w:p>
    <w:p w14:paraId="37DD0B89" w14:textId="77777777" w:rsidR="009211A4" w:rsidRDefault="009211A4" w:rsidP="009211A4">
      <w:pPr>
        <w:jc w:val="both"/>
        <w:rPr>
          <w:rFonts w:ascii="Abadi" w:hAnsi="Abadi"/>
          <w:sz w:val="21"/>
          <w:szCs w:val="21"/>
        </w:rPr>
      </w:pPr>
      <w:r>
        <w:rPr>
          <w:rFonts w:ascii="Abadi" w:hAnsi="Abadi"/>
          <w:sz w:val="21"/>
          <w:szCs w:val="21"/>
        </w:rPr>
        <w:tab/>
      </w:r>
      <w:r w:rsidRPr="006749B3">
        <w:rPr>
          <w:rFonts w:ascii="Abadi" w:hAnsi="Abadi"/>
          <w:b/>
          <w:bCs/>
          <w:sz w:val="21"/>
          <w:szCs w:val="21"/>
        </w:rPr>
        <w:t xml:space="preserve">- La </w:t>
      </w:r>
      <w:proofErr w:type="gramStart"/>
      <w:r w:rsidRPr="006749B3">
        <w:rPr>
          <w:rFonts w:ascii="Abadi" w:hAnsi="Abadi"/>
          <w:b/>
          <w:bCs/>
          <w:sz w:val="21"/>
          <w:szCs w:val="21"/>
        </w:rPr>
        <w:t>Presidencia.-</w:t>
      </w:r>
      <w:proofErr w:type="gramEnd"/>
      <w:r w:rsidRPr="006749B3">
        <w:rPr>
          <w:rFonts w:ascii="Abadi" w:hAnsi="Abadi"/>
          <w:b/>
          <w:bCs/>
          <w:sz w:val="21"/>
          <w:szCs w:val="21"/>
        </w:rPr>
        <w:t xml:space="preserve"> </w:t>
      </w:r>
      <w:r>
        <w:rPr>
          <w:rFonts w:ascii="Abadi" w:hAnsi="Abadi"/>
          <w:sz w:val="21"/>
          <w:szCs w:val="21"/>
        </w:rPr>
        <w:t>G</w:t>
      </w:r>
      <w:r w:rsidRPr="0030088F">
        <w:rPr>
          <w:rFonts w:ascii="Abadi" w:hAnsi="Abadi"/>
          <w:sz w:val="21"/>
          <w:szCs w:val="21"/>
        </w:rPr>
        <w:t>racias diputada</w:t>
      </w:r>
      <w:r>
        <w:rPr>
          <w:rFonts w:ascii="Abadi" w:hAnsi="Abadi"/>
          <w:sz w:val="21"/>
          <w:szCs w:val="21"/>
        </w:rPr>
        <w:t>.</w:t>
      </w:r>
    </w:p>
    <w:p w14:paraId="361058AB" w14:textId="77777777" w:rsidR="009211A4" w:rsidRDefault="009211A4" w:rsidP="009211A4">
      <w:pPr>
        <w:jc w:val="both"/>
        <w:rPr>
          <w:rFonts w:ascii="Abadi" w:hAnsi="Abadi"/>
          <w:sz w:val="21"/>
          <w:szCs w:val="21"/>
        </w:rPr>
      </w:pPr>
      <w:r>
        <w:rPr>
          <w:rFonts w:ascii="Abadi" w:hAnsi="Abadi"/>
          <w:sz w:val="21"/>
          <w:szCs w:val="21"/>
        </w:rPr>
        <w:tab/>
        <w:t xml:space="preserve"> - A</w:t>
      </w:r>
      <w:r w:rsidRPr="0030088F">
        <w:rPr>
          <w:rFonts w:ascii="Abadi" w:hAnsi="Abadi"/>
          <w:sz w:val="21"/>
          <w:szCs w:val="21"/>
        </w:rPr>
        <w:t xml:space="preserve">gotada la participación se pide a la secretaría que proceda a recabar votación nominal de la </w:t>
      </w:r>
      <w:r>
        <w:rPr>
          <w:rFonts w:ascii="Abadi" w:hAnsi="Abadi"/>
          <w:sz w:val="21"/>
          <w:szCs w:val="21"/>
        </w:rPr>
        <w:t>A</w:t>
      </w:r>
      <w:r w:rsidRPr="0030088F">
        <w:rPr>
          <w:rFonts w:ascii="Abadi" w:hAnsi="Abadi"/>
          <w:sz w:val="21"/>
          <w:szCs w:val="21"/>
        </w:rPr>
        <w:t xml:space="preserve">samblea a través del sistema electrónico a efecto de aprobar o no el </w:t>
      </w:r>
      <w:r w:rsidRPr="0030088F">
        <w:rPr>
          <w:rFonts w:ascii="Abadi" w:hAnsi="Abadi"/>
          <w:sz w:val="21"/>
          <w:szCs w:val="21"/>
        </w:rPr>
        <w:lastRenderedPageBreak/>
        <w:t>dictamen en lo general puesto a su consideración</w:t>
      </w:r>
      <w:r>
        <w:rPr>
          <w:rFonts w:ascii="Abadi" w:hAnsi="Abadi"/>
          <w:sz w:val="21"/>
          <w:szCs w:val="21"/>
        </w:rPr>
        <w:t>.</w:t>
      </w:r>
    </w:p>
    <w:p w14:paraId="795159AA" w14:textId="77777777" w:rsidR="009211A4" w:rsidRDefault="009211A4" w:rsidP="009211A4">
      <w:pPr>
        <w:jc w:val="both"/>
        <w:rPr>
          <w:rFonts w:ascii="Abadi" w:hAnsi="Abadi"/>
          <w:sz w:val="21"/>
          <w:szCs w:val="21"/>
        </w:rPr>
      </w:pPr>
    </w:p>
    <w:p w14:paraId="2C26600E" w14:textId="77777777" w:rsidR="009211A4" w:rsidRDefault="009211A4" w:rsidP="009211A4">
      <w:pPr>
        <w:jc w:val="both"/>
        <w:rPr>
          <w:rFonts w:ascii="Abadi" w:hAnsi="Abadi"/>
          <w:b/>
          <w:bCs/>
          <w:sz w:val="21"/>
          <w:szCs w:val="21"/>
        </w:rPr>
      </w:pPr>
      <w:r w:rsidRPr="00D90BF8">
        <w:rPr>
          <w:rFonts w:ascii="Abadi" w:hAnsi="Abadi"/>
          <w:b/>
          <w:bCs/>
          <w:sz w:val="21"/>
          <w:szCs w:val="21"/>
        </w:rPr>
        <w:t>(se abre el sistema electrónico)</w:t>
      </w:r>
    </w:p>
    <w:p w14:paraId="63DDEEBD" w14:textId="77777777" w:rsidR="009211A4" w:rsidRPr="00D90BF8" w:rsidRDefault="009211A4" w:rsidP="009211A4">
      <w:pPr>
        <w:jc w:val="both"/>
        <w:rPr>
          <w:rFonts w:ascii="Abadi" w:hAnsi="Abadi"/>
          <w:b/>
          <w:bCs/>
          <w:sz w:val="21"/>
          <w:szCs w:val="21"/>
        </w:rPr>
      </w:pPr>
    </w:p>
    <w:p w14:paraId="573FBAF2" w14:textId="77777777" w:rsidR="009211A4" w:rsidRDefault="009211A4" w:rsidP="009211A4">
      <w:pPr>
        <w:jc w:val="both"/>
        <w:rPr>
          <w:rFonts w:ascii="Abadi" w:hAnsi="Abadi"/>
          <w:sz w:val="21"/>
          <w:szCs w:val="21"/>
        </w:rPr>
      </w:pPr>
      <w:r>
        <w:rPr>
          <w:rFonts w:ascii="Abadi" w:hAnsi="Abadi"/>
          <w:sz w:val="21"/>
          <w:szCs w:val="21"/>
        </w:rPr>
        <w:tab/>
      </w:r>
      <w:r w:rsidRPr="00D90BF8">
        <w:rPr>
          <w:rFonts w:ascii="Abadi" w:hAnsi="Abadi"/>
          <w:b/>
          <w:bCs/>
          <w:sz w:val="21"/>
          <w:szCs w:val="21"/>
        </w:rPr>
        <w:t xml:space="preserve">- La </w:t>
      </w:r>
      <w:proofErr w:type="gramStart"/>
      <w:r w:rsidRPr="00D90BF8">
        <w:rPr>
          <w:rFonts w:ascii="Abadi" w:hAnsi="Abadi"/>
          <w:b/>
          <w:bCs/>
          <w:sz w:val="21"/>
          <w:szCs w:val="21"/>
        </w:rPr>
        <w:t>Secretaría.-</w:t>
      </w:r>
      <w:proofErr w:type="gramEnd"/>
      <w:r>
        <w:rPr>
          <w:rFonts w:ascii="Abadi" w:hAnsi="Abadi"/>
          <w:sz w:val="21"/>
          <w:szCs w:val="21"/>
        </w:rPr>
        <w:t xml:space="preserve"> E</w:t>
      </w:r>
      <w:r w:rsidRPr="0030088F">
        <w:rPr>
          <w:rFonts w:ascii="Abadi" w:hAnsi="Abadi"/>
          <w:sz w:val="21"/>
          <w:szCs w:val="21"/>
        </w:rPr>
        <w:t>n votación nominal y mediante el sistema electrónico</w:t>
      </w:r>
      <w:r>
        <w:rPr>
          <w:rFonts w:ascii="Abadi" w:hAnsi="Abadi"/>
          <w:sz w:val="21"/>
          <w:szCs w:val="21"/>
        </w:rPr>
        <w:t>,</w:t>
      </w:r>
      <w:r w:rsidRPr="0030088F">
        <w:rPr>
          <w:rFonts w:ascii="Abadi" w:hAnsi="Abadi"/>
          <w:sz w:val="21"/>
          <w:szCs w:val="21"/>
        </w:rPr>
        <w:t xml:space="preserve"> se les pregunta si se aprueba en lo general el dictamen puesto a su consideración</w:t>
      </w:r>
      <w:r>
        <w:rPr>
          <w:rFonts w:ascii="Abadi" w:hAnsi="Abadi"/>
          <w:sz w:val="21"/>
          <w:szCs w:val="21"/>
        </w:rPr>
        <w:t>. ¿D</w:t>
      </w:r>
      <w:r w:rsidRPr="0030088F">
        <w:rPr>
          <w:rFonts w:ascii="Abadi" w:hAnsi="Abadi"/>
          <w:sz w:val="21"/>
          <w:szCs w:val="21"/>
        </w:rPr>
        <w:t xml:space="preserve">iputado </w:t>
      </w:r>
      <w:r>
        <w:rPr>
          <w:rFonts w:ascii="Abadi" w:hAnsi="Abadi"/>
          <w:sz w:val="21"/>
          <w:szCs w:val="21"/>
        </w:rPr>
        <w:t>E</w:t>
      </w:r>
      <w:r w:rsidRPr="0030088F">
        <w:rPr>
          <w:rFonts w:ascii="Abadi" w:hAnsi="Abadi"/>
          <w:sz w:val="21"/>
          <w:szCs w:val="21"/>
        </w:rPr>
        <w:t xml:space="preserve">rnesto </w:t>
      </w:r>
      <w:r>
        <w:rPr>
          <w:rFonts w:ascii="Abadi" w:hAnsi="Abadi"/>
          <w:sz w:val="21"/>
          <w:szCs w:val="21"/>
        </w:rPr>
        <w:t>M</w:t>
      </w:r>
      <w:r w:rsidRPr="0030088F">
        <w:rPr>
          <w:rFonts w:ascii="Abadi" w:hAnsi="Abadi"/>
          <w:sz w:val="21"/>
          <w:szCs w:val="21"/>
        </w:rPr>
        <w:t>illán</w:t>
      </w:r>
      <w:r>
        <w:rPr>
          <w:rFonts w:ascii="Abadi" w:hAnsi="Abadi"/>
          <w:sz w:val="21"/>
          <w:szCs w:val="21"/>
        </w:rPr>
        <w:t>? ¿diputada Martha Edith?</w:t>
      </w:r>
    </w:p>
    <w:p w14:paraId="69D4F732" w14:textId="77777777" w:rsidR="009211A4" w:rsidRDefault="009211A4" w:rsidP="009211A4">
      <w:pPr>
        <w:jc w:val="both"/>
        <w:rPr>
          <w:rFonts w:ascii="Abadi" w:hAnsi="Abadi"/>
          <w:sz w:val="21"/>
          <w:szCs w:val="21"/>
        </w:rPr>
      </w:pPr>
    </w:p>
    <w:p w14:paraId="42F3C927" w14:textId="77777777" w:rsidR="009211A4" w:rsidRDefault="009211A4" w:rsidP="009211A4">
      <w:pPr>
        <w:jc w:val="both"/>
        <w:rPr>
          <w:rFonts w:ascii="Abadi" w:hAnsi="Abadi"/>
          <w:sz w:val="21"/>
          <w:szCs w:val="21"/>
        </w:rPr>
      </w:pPr>
      <w:r>
        <w:rPr>
          <w:rFonts w:ascii="Abadi" w:hAnsi="Abadi"/>
          <w:sz w:val="21"/>
          <w:szCs w:val="21"/>
        </w:rPr>
        <w:t xml:space="preserve">¿falta </w:t>
      </w:r>
      <w:r w:rsidRPr="0030088F">
        <w:rPr>
          <w:rFonts w:ascii="Abadi" w:hAnsi="Abadi"/>
          <w:sz w:val="21"/>
          <w:szCs w:val="21"/>
        </w:rPr>
        <w:t>alguna diputada o diputado por emitir su voto</w:t>
      </w:r>
      <w:r>
        <w:rPr>
          <w:rFonts w:ascii="Abadi" w:hAnsi="Abadi"/>
          <w:sz w:val="21"/>
          <w:szCs w:val="21"/>
        </w:rPr>
        <w:t>?</w:t>
      </w:r>
    </w:p>
    <w:p w14:paraId="150B9CC4" w14:textId="77777777" w:rsidR="009211A4" w:rsidRDefault="009211A4" w:rsidP="009211A4">
      <w:pPr>
        <w:jc w:val="both"/>
        <w:rPr>
          <w:rFonts w:ascii="Abadi" w:hAnsi="Abadi"/>
          <w:sz w:val="21"/>
          <w:szCs w:val="21"/>
        </w:rPr>
      </w:pPr>
    </w:p>
    <w:p w14:paraId="1D78C4F2" w14:textId="77777777" w:rsidR="009211A4" w:rsidRPr="00791BD1" w:rsidRDefault="009211A4" w:rsidP="009211A4">
      <w:pPr>
        <w:jc w:val="both"/>
        <w:rPr>
          <w:rFonts w:ascii="Abadi" w:hAnsi="Abadi"/>
          <w:b/>
          <w:bCs/>
          <w:sz w:val="21"/>
          <w:szCs w:val="21"/>
        </w:rPr>
      </w:pPr>
      <w:r w:rsidRPr="00791BD1">
        <w:rPr>
          <w:rFonts w:ascii="Abadi" w:hAnsi="Abadi"/>
          <w:b/>
          <w:bCs/>
          <w:sz w:val="21"/>
          <w:szCs w:val="21"/>
        </w:rPr>
        <w:t>(se cierra el sistema electrónico)</w:t>
      </w:r>
    </w:p>
    <w:p w14:paraId="3D284158" w14:textId="77777777" w:rsidR="009211A4" w:rsidRDefault="009211A4" w:rsidP="009211A4">
      <w:pPr>
        <w:jc w:val="both"/>
        <w:rPr>
          <w:rFonts w:ascii="Abadi" w:hAnsi="Abadi"/>
          <w:sz w:val="21"/>
          <w:szCs w:val="21"/>
        </w:rPr>
      </w:pPr>
      <w:r>
        <w:rPr>
          <w:noProof/>
        </w:rPr>
        <w:drawing>
          <wp:inline distT="0" distB="0" distL="0" distR="0" wp14:anchorId="62908314" wp14:editId="1A48062B">
            <wp:extent cx="1606062" cy="837041"/>
            <wp:effectExtent l="247650" t="247650" r="241935" b="248920"/>
            <wp:docPr id="1255796914" name="Imagen 125579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96914" name=""/>
                    <pic:cNvPicPr/>
                  </pic:nvPicPr>
                  <pic:blipFill rotWithShape="1">
                    <a:blip r:embed="rId64"/>
                    <a:srcRect b="7339"/>
                    <a:stretch/>
                  </pic:blipFill>
                  <pic:spPr bwMode="auto">
                    <a:xfrm>
                      <a:off x="0" y="0"/>
                      <a:ext cx="1622938" cy="845836"/>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C5FA71B" w14:textId="77777777" w:rsidR="009211A4" w:rsidRDefault="009211A4" w:rsidP="009211A4">
      <w:pPr>
        <w:jc w:val="both"/>
        <w:rPr>
          <w:rFonts w:ascii="Abadi" w:hAnsi="Abadi"/>
          <w:sz w:val="21"/>
          <w:szCs w:val="21"/>
        </w:rPr>
      </w:pPr>
      <w:r>
        <w:rPr>
          <w:rFonts w:ascii="Abadi" w:hAnsi="Abadi"/>
          <w:sz w:val="21"/>
          <w:szCs w:val="21"/>
        </w:rPr>
        <w:tab/>
      </w:r>
      <w:r w:rsidRPr="005B6EC2">
        <w:rPr>
          <w:rFonts w:ascii="Abadi" w:hAnsi="Abadi"/>
          <w:b/>
          <w:bCs/>
          <w:sz w:val="21"/>
          <w:szCs w:val="21"/>
        </w:rPr>
        <w:t xml:space="preserve">- La </w:t>
      </w:r>
      <w:proofErr w:type="gramStart"/>
      <w:r w:rsidRPr="005B6EC2">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 xml:space="preserve">residenta de informó que se han registrado 31 votos a favor </w:t>
      </w:r>
      <w:r>
        <w:rPr>
          <w:rFonts w:ascii="Abadi" w:hAnsi="Abadi"/>
          <w:sz w:val="21"/>
          <w:szCs w:val="21"/>
        </w:rPr>
        <w:t xml:space="preserve">0 </w:t>
      </w:r>
      <w:r w:rsidRPr="0030088F">
        <w:rPr>
          <w:rFonts w:ascii="Abadi" w:hAnsi="Abadi"/>
          <w:sz w:val="21"/>
          <w:szCs w:val="21"/>
        </w:rPr>
        <w:t>votos en contra</w:t>
      </w:r>
      <w:r>
        <w:rPr>
          <w:rFonts w:ascii="Abadi" w:hAnsi="Abadi"/>
          <w:sz w:val="21"/>
          <w:szCs w:val="21"/>
        </w:rPr>
        <w:t>.</w:t>
      </w:r>
    </w:p>
    <w:p w14:paraId="14DA6B03" w14:textId="77777777" w:rsidR="009211A4" w:rsidRDefault="009211A4" w:rsidP="009211A4">
      <w:pPr>
        <w:jc w:val="both"/>
        <w:rPr>
          <w:rFonts w:ascii="Abadi" w:hAnsi="Abadi"/>
          <w:sz w:val="21"/>
          <w:szCs w:val="21"/>
        </w:rPr>
      </w:pPr>
    </w:p>
    <w:p w14:paraId="0C9AA45B" w14:textId="77777777" w:rsidR="009211A4" w:rsidRDefault="009211A4" w:rsidP="009211A4">
      <w:pPr>
        <w:jc w:val="both"/>
        <w:rPr>
          <w:rFonts w:ascii="Abadi" w:hAnsi="Abadi"/>
          <w:sz w:val="21"/>
          <w:szCs w:val="21"/>
        </w:rPr>
      </w:pPr>
      <w:r>
        <w:rPr>
          <w:rFonts w:ascii="Abadi" w:hAnsi="Abadi"/>
          <w:sz w:val="21"/>
          <w:szCs w:val="21"/>
        </w:rPr>
        <w:tab/>
      </w:r>
      <w:r w:rsidRPr="005B6EC2">
        <w:rPr>
          <w:rFonts w:ascii="Abadi" w:hAnsi="Abadi"/>
          <w:b/>
          <w:bCs/>
          <w:sz w:val="21"/>
          <w:szCs w:val="21"/>
        </w:rPr>
        <w:t xml:space="preserve">- La </w:t>
      </w:r>
      <w:proofErr w:type="gramStart"/>
      <w:r w:rsidRPr="005B6EC2">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en lo general por unanimidad de votos</w:t>
      </w:r>
      <w:r>
        <w:rPr>
          <w:rFonts w:ascii="Abadi" w:hAnsi="Abadi"/>
          <w:sz w:val="21"/>
          <w:szCs w:val="21"/>
        </w:rPr>
        <w:t>.</w:t>
      </w:r>
    </w:p>
    <w:p w14:paraId="7B5BAADE" w14:textId="77777777" w:rsidR="009211A4" w:rsidRDefault="009211A4" w:rsidP="009211A4">
      <w:pPr>
        <w:jc w:val="both"/>
        <w:rPr>
          <w:rFonts w:ascii="Abadi" w:hAnsi="Abadi"/>
          <w:sz w:val="21"/>
          <w:szCs w:val="21"/>
        </w:rPr>
      </w:pPr>
    </w:p>
    <w:p w14:paraId="239FFFF7" w14:textId="77777777" w:rsidR="009211A4" w:rsidRDefault="009211A4" w:rsidP="009211A4">
      <w:pPr>
        <w:jc w:val="both"/>
        <w:rPr>
          <w:rFonts w:ascii="Abadi" w:hAnsi="Abadi"/>
          <w:sz w:val="21"/>
          <w:szCs w:val="21"/>
        </w:rPr>
      </w:pPr>
      <w:r>
        <w:rPr>
          <w:rFonts w:ascii="Abadi" w:hAnsi="Abadi"/>
          <w:sz w:val="21"/>
          <w:szCs w:val="21"/>
        </w:rPr>
        <w:tab/>
        <w:t>- C</w:t>
      </w:r>
      <w:r w:rsidRPr="0030088F">
        <w:rPr>
          <w:rFonts w:ascii="Abadi" w:hAnsi="Abadi"/>
          <w:sz w:val="21"/>
          <w:szCs w:val="21"/>
        </w:rPr>
        <w:t>orresponde someter a discusión el dictamen en lo particular</w:t>
      </w:r>
      <w:r>
        <w:rPr>
          <w:rFonts w:ascii="Abadi" w:hAnsi="Abadi"/>
          <w:sz w:val="21"/>
          <w:szCs w:val="21"/>
        </w:rPr>
        <w:t>. S</w:t>
      </w:r>
      <w:r w:rsidRPr="0030088F">
        <w:rPr>
          <w:rFonts w:ascii="Abadi" w:hAnsi="Abadi"/>
          <w:sz w:val="21"/>
          <w:szCs w:val="21"/>
        </w:rPr>
        <w:t>i desean reservar cualquiera de los artículos que contiene sírvanse apartarlo en la inteligencia de que los artículos no reservados se tendrán por aprobados</w:t>
      </w:r>
      <w:r>
        <w:rPr>
          <w:rFonts w:ascii="Abadi" w:hAnsi="Abadi"/>
          <w:sz w:val="21"/>
          <w:szCs w:val="21"/>
        </w:rPr>
        <w:t>. E</w:t>
      </w:r>
      <w:r w:rsidRPr="0030088F">
        <w:rPr>
          <w:rFonts w:ascii="Abadi" w:hAnsi="Abadi"/>
          <w:sz w:val="21"/>
          <w:szCs w:val="21"/>
        </w:rPr>
        <w:t>sta presidencia declara tener por aprobados los artículos contenidos en el dictamen</w:t>
      </w:r>
      <w:r>
        <w:rPr>
          <w:rFonts w:ascii="Abadi" w:hAnsi="Abadi"/>
          <w:sz w:val="21"/>
          <w:szCs w:val="21"/>
        </w:rPr>
        <w:t>.</w:t>
      </w:r>
    </w:p>
    <w:p w14:paraId="0A5C64A5" w14:textId="77777777" w:rsidR="009211A4" w:rsidRDefault="009211A4" w:rsidP="009211A4">
      <w:pPr>
        <w:jc w:val="both"/>
        <w:rPr>
          <w:rFonts w:ascii="Abadi" w:hAnsi="Abadi"/>
          <w:sz w:val="21"/>
          <w:szCs w:val="21"/>
        </w:rPr>
      </w:pPr>
    </w:p>
    <w:p w14:paraId="4C2B7674" w14:textId="77777777" w:rsidR="009211A4" w:rsidRPr="009C0762" w:rsidRDefault="009211A4" w:rsidP="009211A4">
      <w:pPr>
        <w:ind w:left="851" w:right="1325"/>
        <w:jc w:val="both"/>
        <w:rPr>
          <w:rFonts w:ascii="Abadi" w:hAnsi="Abadi"/>
          <w:b/>
          <w:bCs/>
          <w:i/>
          <w:iCs/>
          <w:sz w:val="21"/>
          <w:szCs w:val="21"/>
          <w:u w:val="single"/>
        </w:rPr>
      </w:pPr>
      <w:r w:rsidRPr="009C0762">
        <w:rPr>
          <w:rFonts w:ascii="Abadi" w:hAnsi="Abadi"/>
          <w:b/>
          <w:bCs/>
          <w:i/>
          <w:iCs/>
          <w:sz w:val="21"/>
          <w:szCs w:val="21"/>
          <w:u w:val="single"/>
        </w:rPr>
        <w:t>Remitase al Ejecutivo del Estado el decreto aprobado para los efectos constitucionales de su competencia.</w:t>
      </w:r>
    </w:p>
    <w:p w14:paraId="51BA0E68" w14:textId="563A9132" w:rsidR="00962D70" w:rsidRPr="0082771F" w:rsidRDefault="0082771F" w:rsidP="0082771F">
      <w:pPr>
        <w:pStyle w:val="Sinespaciado"/>
        <w:spacing w:line="276" w:lineRule="auto"/>
        <w:ind w:hanging="9"/>
        <w:rPr>
          <w:rFonts w:ascii="Abadi" w:eastAsia="Arial Unicode MS" w:hAnsi="Abadi" w:cs="Arial"/>
          <w:b/>
          <w:sz w:val="21"/>
          <w:szCs w:val="21"/>
        </w:rPr>
      </w:pPr>
      <w:r w:rsidRPr="00D65DDA">
        <w:rPr>
          <w:rFonts w:ascii="Abadi" w:eastAsia="Arial Unicode MS" w:hAnsi="Abadi" w:cs="Arial"/>
          <w:b/>
          <w:sz w:val="21"/>
          <w:szCs w:val="21"/>
        </w:rPr>
        <w:t xml:space="preserve">                                                           </w:t>
      </w:r>
    </w:p>
    <w:p w14:paraId="2EF93573" w14:textId="77777777" w:rsidR="00962D70" w:rsidRPr="00507CB6" w:rsidRDefault="00962D70" w:rsidP="00507CB6">
      <w:pPr>
        <w:autoSpaceDE w:val="0"/>
        <w:autoSpaceDN w:val="0"/>
        <w:adjustRightInd w:val="0"/>
        <w:contextualSpacing/>
        <w:jc w:val="both"/>
        <w:rPr>
          <w:rFonts w:ascii="Abadi" w:hAnsi="Abadi" w:cs="Arial-ItalicMT"/>
          <w:b/>
          <w:bCs/>
          <w:i/>
          <w:iCs/>
          <w:sz w:val="21"/>
          <w:szCs w:val="21"/>
        </w:rPr>
      </w:pPr>
    </w:p>
    <w:p w14:paraId="0391E700" w14:textId="01D9E659"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w:t>
      </w:r>
      <w:r w:rsidRPr="00006796">
        <w:rPr>
          <w:rFonts w:ascii="Abadi" w:hAnsi="Abadi" w:cs="ArialMT"/>
          <w:b/>
          <w:bCs/>
          <w:sz w:val="21"/>
          <w:szCs w:val="21"/>
        </w:rPr>
        <w:t xml:space="preserve">FISCALIZACIÓN RELATIVO A LA PROPUESTA DE PUNTO DE ACUERDO FORMULADA POR DIPUTADAS Y DIPUTADOS INTEGRANTES DEL GRUPO PARLAMENTARIO DEL PARTIDO MORENA, A EFECTO DE EXHORTAR AL CONTRALOR MUNICIPAL DE SAN MIGUEL DE ALLENDE, GTO., PARA QUE EN EL ÁMBITO DE SUS ATRIBUCIONES RESUELVA CON PRONTITUD LOS PROCEDIMIENTOS DE PRESUNTA RESPONSABILIDAD ADMINISTRATIVA DERIVADOS DE LA REVISIÓN DE CUENTA PÚBLICA 2019 DE DICHO MUNICIPIO Y, EN SU CASO, PROMUEVA LAS SANCIONES CORRESPONDIENTES. </w:t>
      </w:r>
      <w:r w:rsidRPr="00006796">
        <w:rPr>
          <w:rFonts w:ascii="Abadi" w:hAnsi="Abadi" w:cs="Arial-ItalicMT"/>
          <w:b/>
          <w:bCs/>
          <w:i/>
          <w:iCs/>
          <w:sz w:val="21"/>
          <w:szCs w:val="21"/>
        </w:rPr>
        <w:t>(ELD 90/LXV-PPA)</w:t>
      </w:r>
      <w:r w:rsidR="006C2AF7">
        <w:rPr>
          <w:rStyle w:val="Refdenotaalpie"/>
          <w:rFonts w:ascii="Abadi" w:hAnsi="Abadi" w:cs="Arial-ItalicMT"/>
          <w:b/>
          <w:bCs/>
          <w:i/>
          <w:iCs/>
          <w:sz w:val="21"/>
          <w:szCs w:val="21"/>
        </w:rPr>
        <w:footnoteReference w:id="205"/>
      </w:r>
    </w:p>
    <w:p w14:paraId="24ECA4B7" w14:textId="77777777" w:rsidR="008A787B" w:rsidRDefault="008A787B" w:rsidP="008A787B">
      <w:pPr>
        <w:autoSpaceDE w:val="0"/>
        <w:autoSpaceDN w:val="0"/>
        <w:adjustRightInd w:val="0"/>
        <w:contextualSpacing/>
        <w:jc w:val="both"/>
        <w:rPr>
          <w:rFonts w:ascii="Abadi" w:hAnsi="Abadi" w:cs="Arial-ItalicMT"/>
          <w:b/>
          <w:bCs/>
          <w:i/>
          <w:iCs/>
          <w:sz w:val="21"/>
          <w:szCs w:val="21"/>
        </w:rPr>
      </w:pPr>
    </w:p>
    <w:p w14:paraId="322F8D6F" w14:textId="77777777" w:rsidR="008A787B" w:rsidRPr="008A787B" w:rsidRDefault="008A787B" w:rsidP="008A787B">
      <w:pPr>
        <w:autoSpaceDE w:val="0"/>
        <w:autoSpaceDN w:val="0"/>
        <w:adjustRightInd w:val="0"/>
        <w:contextualSpacing/>
        <w:jc w:val="both"/>
        <w:rPr>
          <w:rFonts w:ascii="Abadi" w:hAnsi="Abadi" w:cs="Arial-ItalicMT"/>
          <w:b/>
          <w:bCs/>
          <w:i/>
          <w:iCs/>
          <w:sz w:val="21"/>
          <w:szCs w:val="21"/>
        </w:rPr>
      </w:pPr>
    </w:p>
    <w:p w14:paraId="3556BD18" w14:textId="77777777" w:rsidR="005D1C4E" w:rsidRPr="005D1C4E" w:rsidRDefault="005D1C4E" w:rsidP="005D1C4E">
      <w:pPr>
        <w:rPr>
          <w:rFonts w:ascii="Abadi" w:hAnsi="Abadi" w:cs="Arial"/>
          <w:b/>
          <w:iCs/>
          <w:smallCaps/>
          <w:sz w:val="21"/>
          <w:szCs w:val="21"/>
        </w:rPr>
      </w:pPr>
      <w:r w:rsidRPr="005D1C4E">
        <w:rPr>
          <w:rFonts w:ascii="Abadi" w:hAnsi="Abadi" w:cs="Arial"/>
          <w:b/>
          <w:iCs/>
          <w:smallCaps/>
          <w:sz w:val="21"/>
          <w:szCs w:val="21"/>
        </w:rPr>
        <w:t>C. Presidente del Congreso del Estado.</w:t>
      </w:r>
    </w:p>
    <w:p w14:paraId="5BA111E5" w14:textId="77777777" w:rsidR="005D1C4E" w:rsidRPr="005D1C4E" w:rsidRDefault="005D1C4E" w:rsidP="005D1C4E">
      <w:pPr>
        <w:jc w:val="both"/>
        <w:rPr>
          <w:rFonts w:ascii="Abadi" w:hAnsi="Abadi" w:cs="Arial"/>
          <w:b/>
          <w:iCs/>
          <w:smallCaps/>
          <w:sz w:val="21"/>
          <w:szCs w:val="21"/>
        </w:rPr>
      </w:pPr>
      <w:r w:rsidRPr="005D1C4E">
        <w:rPr>
          <w:rFonts w:ascii="Abadi" w:hAnsi="Abadi" w:cs="Arial"/>
          <w:b/>
          <w:iCs/>
          <w:smallCaps/>
          <w:sz w:val="21"/>
          <w:szCs w:val="21"/>
        </w:rPr>
        <w:t>P r e s e n t e.</w:t>
      </w:r>
    </w:p>
    <w:p w14:paraId="4D38564E" w14:textId="77777777" w:rsidR="005D1C4E" w:rsidRPr="005D1C4E" w:rsidRDefault="005D1C4E" w:rsidP="005D1C4E">
      <w:pPr>
        <w:jc w:val="both"/>
        <w:rPr>
          <w:rFonts w:ascii="Abadi" w:hAnsi="Abadi" w:cs="Arial"/>
          <w:iCs/>
          <w:sz w:val="21"/>
          <w:szCs w:val="21"/>
        </w:rPr>
      </w:pPr>
    </w:p>
    <w:p w14:paraId="0553DF8E" w14:textId="77777777" w:rsidR="005D1C4E" w:rsidRDefault="005D1C4E" w:rsidP="005D1C4E">
      <w:pPr>
        <w:pStyle w:val="Textoindependiente"/>
        <w:rPr>
          <w:rFonts w:ascii="Abadi" w:hAnsi="Abadi"/>
          <w:b w:val="0"/>
          <w:bCs w:val="0"/>
          <w:iCs/>
          <w:sz w:val="21"/>
          <w:szCs w:val="21"/>
        </w:rPr>
      </w:pPr>
      <w:r w:rsidRPr="005D1C4E">
        <w:rPr>
          <w:rFonts w:ascii="Abadi" w:hAnsi="Abadi"/>
          <w:iCs/>
          <w:sz w:val="21"/>
          <w:szCs w:val="21"/>
        </w:rPr>
        <w:tab/>
      </w:r>
      <w:r w:rsidRPr="009C0C20">
        <w:rPr>
          <w:rFonts w:ascii="Abadi" w:hAnsi="Abadi"/>
          <w:b w:val="0"/>
          <w:bCs w:val="0"/>
          <w:iCs/>
          <w:sz w:val="21"/>
          <w:szCs w:val="21"/>
        </w:rPr>
        <w:t xml:space="preserve">A esta Comisión de Hacienda y Fiscalización le fue turnada para efectos de su estudio y dictamen, la propuesta de punto de acuerdo formulada por diputadas y diputados integrantes del Grupo Parlamentario del Partido MORENA, a efecto de exhortar al contralor municipal de San Miguel de Allende, </w:t>
      </w:r>
      <w:proofErr w:type="spellStart"/>
      <w:r w:rsidRPr="009C0C20">
        <w:rPr>
          <w:rFonts w:ascii="Abadi" w:hAnsi="Abadi"/>
          <w:b w:val="0"/>
          <w:bCs w:val="0"/>
          <w:iCs/>
          <w:sz w:val="21"/>
          <w:szCs w:val="21"/>
        </w:rPr>
        <w:t>Gto</w:t>
      </w:r>
      <w:proofErr w:type="spellEnd"/>
      <w:r w:rsidRPr="009C0C20">
        <w:rPr>
          <w:rFonts w:ascii="Abadi" w:hAnsi="Abadi"/>
          <w:b w:val="0"/>
          <w:bCs w:val="0"/>
          <w:iCs/>
          <w:sz w:val="21"/>
          <w:szCs w:val="21"/>
        </w:rPr>
        <w:t>., para que en el ámbito de sus atribuciones resuelva con prontitud los procedimientos de presunta responsabilidad administrativa derivados de la revisión de cuenta pública 2019 de dicho Municipio y, en su caso, promueva las sanciones correspondientes.</w:t>
      </w:r>
    </w:p>
    <w:p w14:paraId="16864BAC" w14:textId="77777777" w:rsidR="009C0C20" w:rsidRPr="009C0C20" w:rsidRDefault="009C0C20" w:rsidP="005D1C4E">
      <w:pPr>
        <w:pStyle w:val="Textoindependiente"/>
        <w:rPr>
          <w:rFonts w:ascii="Abadi" w:hAnsi="Abadi"/>
          <w:b w:val="0"/>
          <w:bCs w:val="0"/>
          <w:iCs/>
          <w:sz w:val="21"/>
          <w:szCs w:val="21"/>
        </w:rPr>
      </w:pPr>
    </w:p>
    <w:p w14:paraId="5EDC6F49" w14:textId="77777777" w:rsidR="009C0C20" w:rsidRDefault="005D1C4E" w:rsidP="009C0C20">
      <w:pPr>
        <w:jc w:val="both"/>
        <w:rPr>
          <w:rFonts w:ascii="Abadi" w:hAnsi="Abadi" w:cs="Arial"/>
          <w:iCs/>
          <w:sz w:val="21"/>
          <w:szCs w:val="21"/>
        </w:rPr>
      </w:pPr>
      <w:r w:rsidRPr="009C0C20">
        <w:rPr>
          <w:rFonts w:ascii="Abadi" w:hAnsi="Abadi" w:cs="Arial"/>
          <w:iCs/>
          <w:sz w:val="21"/>
          <w:szCs w:val="21"/>
        </w:rPr>
        <w:tab/>
        <w:t xml:space="preserve">Analizada la propuesta de referencia, con fundamento en los artículos 75, 89, fracción V, 112, fracción XV y 171 de </w:t>
      </w:r>
      <w:smartTag w:uri="urn:schemas-microsoft-com:office:smarttags" w:element="PersonName">
        <w:smartTagPr>
          <w:attr w:name="ProductID" w:val="la Ley Org￡nica"/>
        </w:smartTagPr>
        <w:r w:rsidRPr="009C0C20">
          <w:rPr>
            <w:rFonts w:ascii="Abadi" w:hAnsi="Abadi" w:cs="Arial"/>
            <w:iCs/>
            <w:sz w:val="21"/>
            <w:szCs w:val="21"/>
          </w:rPr>
          <w:t>la Ley Orgánica</w:t>
        </w:r>
      </w:smartTag>
      <w:r w:rsidRPr="009C0C20">
        <w:rPr>
          <w:rFonts w:ascii="Abadi" w:hAnsi="Abadi" w:cs="Arial"/>
          <w:iCs/>
          <w:sz w:val="21"/>
          <w:szCs w:val="21"/>
        </w:rPr>
        <w:t xml:space="preserve"> del Poder Legislativo del Estado de Guanajuato, nos permitimos rendir el siguiente:</w:t>
      </w:r>
    </w:p>
    <w:p w14:paraId="0778C4CD" w14:textId="77777777" w:rsidR="009C0C20" w:rsidRDefault="009C0C20" w:rsidP="009C0C20">
      <w:pPr>
        <w:jc w:val="both"/>
        <w:rPr>
          <w:rFonts w:ascii="Abadi" w:hAnsi="Abadi" w:cs="Arial"/>
          <w:iCs/>
          <w:sz w:val="21"/>
          <w:szCs w:val="21"/>
        </w:rPr>
      </w:pPr>
    </w:p>
    <w:p w14:paraId="034C0BD2" w14:textId="544DE21A" w:rsidR="005D1C4E" w:rsidRPr="009C0C20" w:rsidRDefault="005D1C4E" w:rsidP="009C0C20">
      <w:pPr>
        <w:jc w:val="center"/>
        <w:rPr>
          <w:rFonts w:ascii="Abadi" w:hAnsi="Abadi" w:cs="Arial"/>
          <w:b/>
          <w:iCs/>
          <w:sz w:val="21"/>
          <w:szCs w:val="21"/>
        </w:rPr>
      </w:pPr>
      <w:r w:rsidRPr="009C0C20">
        <w:rPr>
          <w:rFonts w:ascii="Abadi" w:hAnsi="Abadi" w:cs="Arial"/>
          <w:b/>
          <w:iCs/>
          <w:sz w:val="21"/>
          <w:szCs w:val="21"/>
        </w:rPr>
        <w:t>D i c t a m e n</w:t>
      </w:r>
    </w:p>
    <w:p w14:paraId="2E537F78" w14:textId="77777777" w:rsidR="009C0C20" w:rsidRPr="009C0C20" w:rsidRDefault="009C0C20" w:rsidP="009C0C20">
      <w:pPr>
        <w:jc w:val="both"/>
        <w:rPr>
          <w:rFonts w:ascii="Abadi" w:hAnsi="Abadi" w:cs="Arial"/>
          <w:iCs/>
          <w:sz w:val="21"/>
          <w:szCs w:val="21"/>
        </w:rPr>
      </w:pPr>
    </w:p>
    <w:p w14:paraId="176E3183" w14:textId="77777777" w:rsidR="005D1C4E" w:rsidRPr="009C0C20" w:rsidRDefault="005D1C4E" w:rsidP="005B68E6">
      <w:pPr>
        <w:numPr>
          <w:ilvl w:val="0"/>
          <w:numId w:val="30"/>
        </w:numPr>
        <w:jc w:val="both"/>
        <w:rPr>
          <w:rFonts w:ascii="Abadi" w:hAnsi="Abadi" w:cs="Arial"/>
          <w:b/>
          <w:bCs/>
          <w:sz w:val="21"/>
          <w:szCs w:val="21"/>
        </w:rPr>
      </w:pPr>
      <w:r w:rsidRPr="009C0C20">
        <w:rPr>
          <w:rFonts w:ascii="Abadi" w:hAnsi="Abadi" w:cs="Arial"/>
          <w:b/>
          <w:bCs/>
          <w:sz w:val="21"/>
          <w:szCs w:val="21"/>
        </w:rPr>
        <w:t>Antecedentes</w:t>
      </w:r>
    </w:p>
    <w:p w14:paraId="796E273C" w14:textId="77777777" w:rsidR="005D1C4E" w:rsidRPr="009C0C20" w:rsidRDefault="005D1C4E" w:rsidP="005D1C4E">
      <w:pPr>
        <w:jc w:val="center"/>
        <w:rPr>
          <w:rFonts w:ascii="Abadi" w:hAnsi="Abadi" w:cs="Arial"/>
          <w:b/>
          <w:bCs/>
          <w:iCs/>
          <w:sz w:val="21"/>
          <w:szCs w:val="21"/>
        </w:rPr>
      </w:pPr>
    </w:p>
    <w:p w14:paraId="11E425EE" w14:textId="77777777" w:rsidR="005D1C4E" w:rsidRDefault="005D1C4E" w:rsidP="005D1C4E">
      <w:pPr>
        <w:pStyle w:val="Textoindependiente"/>
        <w:rPr>
          <w:rFonts w:ascii="Abadi" w:hAnsi="Abadi"/>
          <w:b w:val="0"/>
          <w:bCs w:val="0"/>
          <w:sz w:val="21"/>
          <w:szCs w:val="21"/>
        </w:rPr>
      </w:pPr>
      <w:r w:rsidRPr="009C0C20">
        <w:rPr>
          <w:rFonts w:ascii="Abadi" w:hAnsi="Abadi"/>
          <w:b w:val="0"/>
          <w:bCs w:val="0"/>
          <w:iCs/>
          <w:sz w:val="21"/>
          <w:szCs w:val="21"/>
        </w:rPr>
        <w:tab/>
        <w:t xml:space="preserve">Diputadas y diputados integrantes del Grupo Parlamentario del Partido MORENA, en la </w:t>
      </w:r>
      <w:r w:rsidRPr="009C0C20">
        <w:rPr>
          <w:rFonts w:ascii="Abadi" w:hAnsi="Abadi"/>
          <w:b w:val="0"/>
          <w:bCs w:val="0"/>
          <w:sz w:val="21"/>
          <w:szCs w:val="21"/>
          <w:lang w:val="es-ES_tradnl"/>
        </w:rPr>
        <w:t xml:space="preserve">sesión ordinaria celebrada el 24 de febrero de 2022 presentaron la propuesta de punto de acuerdo a efecto de exhortar al contralor </w:t>
      </w:r>
      <w:r w:rsidRPr="009C0C20">
        <w:rPr>
          <w:rFonts w:ascii="Abadi" w:hAnsi="Abadi"/>
          <w:b w:val="0"/>
          <w:bCs w:val="0"/>
          <w:sz w:val="21"/>
          <w:szCs w:val="21"/>
          <w:lang w:val="es-ES_tradnl"/>
        </w:rPr>
        <w:lastRenderedPageBreak/>
        <w:t>municipal, Ernesto Fiscal Argüello, para que en el ámbito de sus atribuciones resuelva con prontitud los procedimientos de presunta responsabilidad administrativa derivados de la revisión de cuenta pública 2019 de San Miguel de Allende y, en su caso, promueva las sanciones correspondientes</w:t>
      </w:r>
      <w:r w:rsidRPr="009C0C20">
        <w:rPr>
          <w:rFonts w:ascii="Abadi" w:hAnsi="Abadi"/>
          <w:b w:val="0"/>
          <w:bCs w:val="0"/>
          <w:sz w:val="21"/>
          <w:szCs w:val="21"/>
        </w:rPr>
        <w:t xml:space="preserve">. </w:t>
      </w:r>
    </w:p>
    <w:p w14:paraId="7F4E5B2B" w14:textId="77777777" w:rsidR="009C0C20" w:rsidRPr="009C0C20" w:rsidRDefault="009C0C20" w:rsidP="005D1C4E">
      <w:pPr>
        <w:pStyle w:val="Textoindependiente"/>
        <w:rPr>
          <w:rFonts w:ascii="Abadi" w:hAnsi="Abadi"/>
          <w:b w:val="0"/>
          <w:bCs w:val="0"/>
          <w:sz w:val="21"/>
          <w:szCs w:val="21"/>
          <w:lang w:val="es-ES_tradnl"/>
        </w:rPr>
      </w:pPr>
    </w:p>
    <w:p w14:paraId="788FDC1F" w14:textId="77777777" w:rsidR="005D1C4E" w:rsidRDefault="005D1C4E" w:rsidP="005D1C4E">
      <w:pPr>
        <w:pStyle w:val="Textoindependiente"/>
        <w:ind w:firstLine="708"/>
        <w:rPr>
          <w:rFonts w:ascii="Abadi" w:hAnsi="Abadi"/>
          <w:b w:val="0"/>
          <w:bCs w:val="0"/>
          <w:sz w:val="21"/>
          <w:szCs w:val="21"/>
        </w:rPr>
      </w:pPr>
      <w:r w:rsidRPr="009C0C20">
        <w:rPr>
          <w:rFonts w:ascii="Abadi" w:hAnsi="Abadi"/>
          <w:b w:val="0"/>
          <w:bCs w:val="0"/>
          <w:sz w:val="21"/>
          <w:szCs w:val="21"/>
          <w:lang w:val="es-ES_tradnl"/>
        </w:rPr>
        <w:t>La referida propuesta de punto de acuerdo se turnó por la</w:t>
      </w:r>
      <w:r w:rsidRPr="009C0C20">
        <w:rPr>
          <w:rFonts w:ascii="Abadi" w:hAnsi="Abadi"/>
          <w:b w:val="0"/>
          <w:bCs w:val="0"/>
          <w:sz w:val="21"/>
          <w:szCs w:val="21"/>
        </w:rPr>
        <w:t xml:space="preserve"> presidencia a esta Comisión de Hacienda y Fiscalización para su estudio y dictamen con fundamento en la fracción XV del artículo 112 de la Ley Orgánica del Poder Legislativo del Estado de Guanajuato, misma que se radicó el 1 de marzo de 2022. En fecha 16 de junio del año en curso se acordó requerir al Auditor Superior del Estado, la elaboración de un informe en relación a los hechos expuestos en la propuesta que nos ocupa, mismo que se expuso a esta Comisión el pasado 15 de septiembre.</w:t>
      </w:r>
    </w:p>
    <w:p w14:paraId="7AC026B4" w14:textId="77777777" w:rsidR="009C0C20" w:rsidRPr="009C0C20" w:rsidRDefault="009C0C20" w:rsidP="005D1C4E">
      <w:pPr>
        <w:pStyle w:val="Textoindependiente"/>
        <w:ind w:firstLine="708"/>
        <w:rPr>
          <w:rFonts w:ascii="Abadi" w:hAnsi="Abadi"/>
          <w:b w:val="0"/>
          <w:bCs w:val="0"/>
          <w:sz w:val="21"/>
          <w:szCs w:val="21"/>
        </w:rPr>
      </w:pPr>
    </w:p>
    <w:p w14:paraId="41FC8819" w14:textId="77777777" w:rsidR="005D1C4E" w:rsidRPr="009C0C20" w:rsidRDefault="005D1C4E" w:rsidP="005B68E6">
      <w:pPr>
        <w:numPr>
          <w:ilvl w:val="0"/>
          <w:numId w:val="30"/>
        </w:numPr>
        <w:spacing w:after="160"/>
        <w:jc w:val="both"/>
        <w:rPr>
          <w:rFonts w:ascii="Abadi" w:hAnsi="Abadi" w:cs="Arial"/>
          <w:b/>
          <w:bCs/>
          <w:sz w:val="21"/>
          <w:szCs w:val="21"/>
        </w:rPr>
      </w:pPr>
      <w:r w:rsidRPr="009C0C20">
        <w:rPr>
          <w:rFonts w:ascii="Abadi" w:hAnsi="Abadi" w:cs="Arial"/>
          <w:b/>
          <w:bCs/>
          <w:sz w:val="21"/>
          <w:szCs w:val="21"/>
        </w:rPr>
        <w:t>Consideraciones de las y los proponentes</w:t>
      </w:r>
    </w:p>
    <w:p w14:paraId="0FFE0439" w14:textId="77777777" w:rsidR="005D1C4E" w:rsidRPr="009C0C20" w:rsidRDefault="005D1C4E" w:rsidP="005D1C4E">
      <w:pPr>
        <w:pStyle w:val="Textoindependiente"/>
        <w:ind w:firstLine="708"/>
        <w:rPr>
          <w:rFonts w:ascii="Abadi" w:hAnsi="Abadi"/>
          <w:b w:val="0"/>
          <w:bCs w:val="0"/>
          <w:sz w:val="21"/>
          <w:szCs w:val="21"/>
        </w:rPr>
      </w:pPr>
      <w:r w:rsidRPr="009C0C20">
        <w:rPr>
          <w:rFonts w:ascii="Abadi" w:hAnsi="Abadi"/>
          <w:b w:val="0"/>
          <w:bCs w:val="0"/>
          <w:sz w:val="21"/>
          <w:szCs w:val="21"/>
        </w:rPr>
        <w:t>En las consideraciones expuestas en la propuesta de punto de acuerdo materia del presente dictamen se refiere lo siguiente:</w:t>
      </w:r>
    </w:p>
    <w:p w14:paraId="1EF4A9B8" w14:textId="77777777" w:rsidR="005D1C4E" w:rsidRPr="009C0C20" w:rsidRDefault="005D1C4E" w:rsidP="005D1C4E">
      <w:pPr>
        <w:pStyle w:val="Textoindependiente"/>
        <w:ind w:firstLine="708"/>
        <w:rPr>
          <w:rFonts w:ascii="Abadi" w:hAnsi="Abadi"/>
          <w:b w:val="0"/>
          <w:bCs w:val="0"/>
          <w:sz w:val="21"/>
          <w:szCs w:val="21"/>
        </w:rPr>
      </w:pPr>
    </w:p>
    <w:p w14:paraId="2B1FB55D" w14:textId="77777777"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«Una de las principales responsabilidades que tiene el Poder Legislativo está en el control económico y financiero, es decir, en la transparencia y rendición de cuentas en el ejercicio de recursos públicos. De esto se deriva una responsabilidad directa en la lucha contra el uso ilegal de los bienes públicos para beneficio privado, esto es, en el combate a la corrupción. </w:t>
      </w:r>
    </w:p>
    <w:p w14:paraId="7A7D6921" w14:textId="77777777"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Así mismo, una de las herramientas del Poder Legislativo para abonar en el combate a la corrupción es la actividad de fiscalización que, en el caso de este Congreso, es llevada a</w:t>
      </w:r>
      <w:r w:rsidRPr="005D1C4E">
        <w:rPr>
          <w:rFonts w:ascii="Abadi" w:hAnsi="Abadi"/>
          <w:i/>
          <w:sz w:val="21"/>
          <w:szCs w:val="21"/>
        </w:rPr>
        <w:t xml:space="preserve"> </w:t>
      </w:r>
      <w:r w:rsidRPr="009C0C20">
        <w:rPr>
          <w:rFonts w:ascii="Abadi" w:hAnsi="Abadi"/>
          <w:b w:val="0"/>
          <w:bCs w:val="0"/>
          <w:i/>
          <w:sz w:val="21"/>
          <w:szCs w:val="21"/>
        </w:rPr>
        <w:t xml:space="preserve">cabo por la Auditoría Superior del Estado de Guanajuato. </w:t>
      </w:r>
    </w:p>
    <w:p w14:paraId="72408480" w14:textId="77777777" w:rsidR="009C0C20" w:rsidRPr="009C0C20" w:rsidRDefault="009C0C20" w:rsidP="005D1C4E">
      <w:pPr>
        <w:pStyle w:val="Textoindependiente"/>
        <w:ind w:left="709"/>
        <w:rPr>
          <w:rFonts w:ascii="Abadi" w:hAnsi="Abadi"/>
          <w:b w:val="0"/>
          <w:bCs w:val="0"/>
          <w:i/>
          <w:sz w:val="21"/>
          <w:szCs w:val="21"/>
        </w:rPr>
      </w:pPr>
    </w:p>
    <w:p w14:paraId="3837079B" w14:textId="77777777"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Pese a ello, en el estado de Guanajuato existe un pacto de impunidad que desde el Grupo Parlamentario de Morena hemos denunciado en múltiples ocasiones. Esto contribuye a generar un clima de corrupción extendida que limita la </w:t>
      </w:r>
      <w:r w:rsidRPr="009C0C20">
        <w:rPr>
          <w:rFonts w:ascii="Abadi" w:hAnsi="Abadi"/>
          <w:b w:val="0"/>
          <w:bCs w:val="0"/>
          <w:i/>
          <w:sz w:val="21"/>
          <w:szCs w:val="21"/>
        </w:rPr>
        <w:t>capacidad y efectividad que pueden tener las intervenciones correctivas iniciadas por la Auditoría Superior del Estado.</w:t>
      </w:r>
    </w:p>
    <w:p w14:paraId="0B21FAA3" w14:textId="77777777" w:rsidR="009C0C20" w:rsidRPr="009C0C20" w:rsidRDefault="009C0C20" w:rsidP="005D1C4E">
      <w:pPr>
        <w:pStyle w:val="Textoindependiente"/>
        <w:ind w:left="709"/>
        <w:rPr>
          <w:rFonts w:ascii="Abadi" w:hAnsi="Abadi"/>
          <w:b w:val="0"/>
          <w:bCs w:val="0"/>
          <w:i/>
          <w:sz w:val="21"/>
          <w:szCs w:val="21"/>
        </w:rPr>
      </w:pPr>
    </w:p>
    <w:p w14:paraId="322B9F73"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Ejemplo de esto es la revisión de la Cuenta Pública de San Miguel de Allende para el ejercicio fiscal de 2019, cuando el panista Luis Alberto Villareal encabezaba la administración pública municipal. Durante esta auditoría, se encontraron 4 observaciones no solventadas que dieron cuenta de los principios con los que operaba la administración panista: irresponsabilidad, simulación, hipocresía y corrupción.  </w:t>
      </w:r>
    </w:p>
    <w:p w14:paraId="5EB12569" w14:textId="77777777" w:rsidR="00DD0A88" w:rsidRPr="009C0C20" w:rsidRDefault="00DD0A88" w:rsidP="005D1C4E">
      <w:pPr>
        <w:pStyle w:val="Textoindependiente"/>
        <w:ind w:left="709"/>
        <w:rPr>
          <w:rFonts w:ascii="Abadi" w:hAnsi="Abadi"/>
          <w:b w:val="0"/>
          <w:bCs w:val="0"/>
          <w:i/>
          <w:sz w:val="21"/>
          <w:szCs w:val="21"/>
        </w:rPr>
      </w:pPr>
    </w:p>
    <w:p w14:paraId="4E90C5F5"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La administración encabezada por una de las figuras más emblemáticas del panismo guanajuatense contemporáneo incurrió en múltiples violaciones a la normativa con la finalidad de utilizar recursos públicos para beneficio privado.  </w:t>
      </w:r>
    </w:p>
    <w:p w14:paraId="73E80BDD" w14:textId="77777777" w:rsidR="00DD0A88" w:rsidRPr="009C0C20" w:rsidRDefault="00DD0A88" w:rsidP="005D1C4E">
      <w:pPr>
        <w:pStyle w:val="Textoindependiente"/>
        <w:ind w:left="709"/>
        <w:rPr>
          <w:rFonts w:ascii="Abadi" w:hAnsi="Abadi"/>
          <w:b w:val="0"/>
          <w:bCs w:val="0"/>
          <w:i/>
          <w:sz w:val="21"/>
          <w:szCs w:val="21"/>
        </w:rPr>
      </w:pPr>
    </w:p>
    <w:p w14:paraId="23073746" w14:textId="77777777"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La primera observación de la auditoría señala diferencias entre los importes del presupuesto modificado reportado en la Cuenta Pública y los autorizados por el Ayuntamiento. De esta manera, la ASEG encontró, por ejemplo, que mientras el acta de Ayuntamiento colocaba en el presupuesto de egresos alrededor de 246 millones de pesos para servicios personales, en el estado analítico de la cuenta pública sólo registraron 236 millones, ¿A qué se debió esa diferencia?, ¿Por qué hay 10 millones en servicios personales que no se reportaron en la Cuenta Pública? Si bien la respuesta a estas preguntas puede provenir de la mala fe o de la incompetencia, lo cierto es que independientemente de eso, se violó la Ley para</w:t>
      </w:r>
      <w:r w:rsidRPr="009C0C20">
        <w:rPr>
          <w:rFonts w:ascii="Abadi" w:hAnsi="Abadi"/>
          <w:b w:val="0"/>
          <w:bCs w:val="0"/>
          <w:sz w:val="21"/>
          <w:szCs w:val="21"/>
        </w:rPr>
        <w:t xml:space="preserve"> </w:t>
      </w:r>
      <w:r w:rsidRPr="009C0C20">
        <w:rPr>
          <w:rFonts w:ascii="Abadi" w:hAnsi="Abadi"/>
          <w:b w:val="0"/>
          <w:bCs w:val="0"/>
          <w:i/>
          <w:sz w:val="21"/>
          <w:szCs w:val="21"/>
        </w:rPr>
        <w:t xml:space="preserve">el Ejercicio y Control de los Recursos Públicos, así como la Ley General de Contabilidad Gubernamental.  </w:t>
      </w:r>
    </w:p>
    <w:p w14:paraId="52E86A61" w14:textId="77777777" w:rsidR="009C0C20" w:rsidRPr="009C0C20" w:rsidRDefault="009C0C20" w:rsidP="005D1C4E">
      <w:pPr>
        <w:pStyle w:val="Textoindependiente"/>
        <w:ind w:left="709"/>
        <w:rPr>
          <w:rFonts w:ascii="Abadi" w:hAnsi="Abadi"/>
          <w:b w:val="0"/>
          <w:bCs w:val="0"/>
          <w:i/>
          <w:sz w:val="21"/>
          <w:szCs w:val="21"/>
        </w:rPr>
      </w:pPr>
    </w:p>
    <w:p w14:paraId="14838D05" w14:textId="77777777" w:rsidR="00DD0A88"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Por otra parte, las observaciones 3, 4 y 5, pueden englobarse en un solo pero importante caso de corrupción: semáforos fantasmas.</w:t>
      </w:r>
    </w:p>
    <w:p w14:paraId="66E04827" w14:textId="1732D78A"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 </w:t>
      </w:r>
    </w:p>
    <w:p w14:paraId="453CE432" w14:textId="77777777"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lastRenderedPageBreak/>
        <w:t>La administración municipal de quien hoy pasó a ser diputado federal por el PAN decidió rentar semáforos a dos empresas (</w:t>
      </w:r>
      <w:proofErr w:type="spellStart"/>
      <w:r w:rsidRPr="009C0C20">
        <w:rPr>
          <w:rFonts w:ascii="Abadi" w:hAnsi="Abadi"/>
          <w:b w:val="0"/>
          <w:bCs w:val="0"/>
          <w:i/>
          <w:sz w:val="21"/>
          <w:szCs w:val="21"/>
        </w:rPr>
        <w:t>Bercale</w:t>
      </w:r>
      <w:proofErr w:type="spellEnd"/>
      <w:r w:rsidRPr="009C0C20">
        <w:rPr>
          <w:rFonts w:ascii="Abadi" w:hAnsi="Abadi"/>
          <w:b w:val="0"/>
          <w:bCs w:val="0"/>
          <w:i/>
          <w:sz w:val="21"/>
          <w:szCs w:val="21"/>
        </w:rPr>
        <w:t xml:space="preserve"> </w:t>
      </w:r>
      <w:proofErr w:type="spellStart"/>
      <w:r w:rsidRPr="009C0C20">
        <w:rPr>
          <w:rFonts w:ascii="Abadi" w:hAnsi="Abadi"/>
          <w:b w:val="0"/>
          <w:bCs w:val="0"/>
          <w:i/>
          <w:sz w:val="21"/>
          <w:szCs w:val="21"/>
        </w:rPr>
        <w:t>Services</w:t>
      </w:r>
      <w:proofErr w:type="spellEnd"/>
      <w:r w:rsidRPr="009C0C20">
        <w:rPr>
          <w:rFonts w:ascii="Abadi" w:hAnsi="Abadi"/>
          <w:b w:val="0"/>
          <w:bCs w:val="0"/>
          <w:i/>
          <w:sz w:val="21"/>
          <w:szCs w:val="21"/>
        </w:rPr>
        <w:t xml:space="preserve"> y Lumo Financiera del Centro) por 51.4 millones de pesos en un lapso de 27 meses, es decir, 1.9 millones de pesos mensuales. Esta contratación se hizo violando el marco jurídico en la materia, pues el panismo </w:t>
      </w:r>
      <w:proofErr w:type="spellStart"/>
      <w:r w:rsidRPr="009C0C20">
        <w:rPr>
          <w:rFonts w:ascii="Abadi" w:hAnsi="Abadi"/>
          <w:b w:val="0"/>
          <w:bCs w:val="0"/>
          <w:i/>
          <w:sz w:val="21"/>
          <w:szCs w:val="21"/>
        </w:rPr>
        <w:t>sanmiguelense</w:t>
      </w:r>
      <w:proofErr w:type="spellEnd"/>
      <w:r w:rsidRPr="009C0C20">
        <w:rPr>
          <w:rFonts w:ascii="Abadi" w:hAnsi="Abadi"/>
          <w:b w:val="0"/>
          <w:bCs w:val="0"/>
          <w:i/>
          <w:sz w:val="21"/>
          <w:szCs w:val="21"/>
        </w:rPr>
        <w:t xml:space="preserve"> no se preocupó por acreditar que no era posible ni conveniente la adquisición de los semáforos antes de rentarlos, pese a que la normativa lo señala. De igual forma, tampoco estableció el costo unitario de los semáforos arrendados, pese a ser un requisito de Ley.  </w:t>
      </w:r>
    </w:p>
    <w:p w14:paraId="4C0B3ECF" w14:textId="77777777" w:rsidR="005D1C4E" w:rsidRPr="009C0C20" w:rsidRDefault="005D1C4E" w:rsidP="005D1C4E">
      <w:pPr>
        <w:pStyle w:val="Textoindependiente"/>
        <w:ind w:left="709"/>
        <w:rPr>
          <w:rFonts w:ascii="Abadi" w:hAnsi="Abadi"/>
          <w:b w:val="0"/>
          <w:bCs w:val="0"/>
          <w:i/>
          <w:sz w:val="21"/>
          <w:szCs w:val="21"/>
        </w:rPr>
      </w:pPr>
    </w:p>
    <w:p w14:paraId="61B826DA" w14:textId="77777777" w:rsidR="00233A35"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Posteriormente, cuando la ASEG decidió hacer la inspección física de los semáforos rentados, lo único que se acreditó fue que algunos semáforos no</w:t>
      </w:r>
      <w:r w:rsidRPr="009C0C20">
        <w:rPr>
          <w:rFonts w:ascii="Abadi" w:hAnsi="Abadi"/>
          <w:b w:val="0"/>
          <w:bCs w:val="0"/>
          <w:sz w:val="21"/>
          <w:szCs w:val="21"/>
        </w:rPr>
        <w:t xml:space="preserve"> </w:t>
      </w:r>
      <w:r w:rsidRPr="009C0C20">
        <w:rPr>
          <w:rFonts w:ascii="Abadi" w:hAnsi="Abadi"/>
          <w:b w:val="0"/>
          <w:bCs w:val="0"/>
          <w:i/>
          <w:sz w:val="21"/>
          <w:szCs w:val="21"/>
        </w:rPr>
        <w:t xml:space="preserve">estaban instalados, otros no estaban en funcionamiento, otros más ni siquiera se localizaron, e incluso se acreditó que el sistema con el que dichos semáforos debían funcionar ni siquiera corresponde a las características fijadas en el contrato. Pese a todo ello, para este momento Villarreal ya había pagado $5,717,640.00 (cinco millones setecientos diecisiete mil seiscientos cuarenta pesos). </w:t>
      </w:r>
    </w:p>
    <w:p w14:paraId="66757393" w14:textId="11360DB2"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 </w:t>
      </w:r>
    </w:p>
    <w:p w14:paraId="42DFA937"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Lo anterior sólo se agrava cuando observamos que la administración panista de Villarreal siempre supo acerca de estas irregularidades, pero nunca se preocupó por aplicar las penas convencionales estipuladas por incumplimiento de contrato. </w:t>
      </w:r>
    </w:p>
    <w:p w14:paraId="44219022" w14:textId="77777777" w:rsidR="00233A35" w:rsidRPr="009C0C20" w:rsidRDefault="00233A35" w:rsidP="005D1C4E">
      <w:pPr>
        <w:pStyle w:val="Textoindependiente"/>
        <w:ind w:left="709"/>
        <w:rPr>
          <w:rFonts w:ascii="Abadi" w:hAnsi="Abadi"/>
          <w:b w:val="0"/>
          <w:bCs w:val="0"/>
          <w:i/>
          <w:sz w:val="21"/>
          <w:szCs w:val="21"/>
        </w:rPr>
      </w:pPr>
    </w:p>
    <w:p w14:paraId="196B8284"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Así, desde marzo de 2021, este Congreso del Estado de Guanajuato aprobó el informe de auditoría en el que se acreditaron estas irregularidades, ordenando a la ASEG iniciar las acciones de responsabilidad conducentes. De esta manera, se esperaría que, a casi 1 año de que se iniciaran estos procedimientos, ya se hubiera fincado alguna responsabilidad administrativa e impuesto alguna sanción.  </w:t>
      </w:r>
    </w:p>
    <w:p w14:paraId="549E4E09" w14:textId="77777777" w:rsidR="00DD0A88" w:rsidRPr="009C0C20" w:rsidRDefault="00DD0A88" w:rsidP="005D1C4E">
      <w:pPr>
        <w:pStyle w:val="Textoindependiente"/>
        <w:ind w:left="709"/>
        <w:rPr>
          <w:rFonts w:ascii="Abadi" w:hAnsi="Abadi"/>
          <w:b w:val="0"/>
          <w:bCs w:val="0"/>
          <w:i/>
          <w:sz w:val="21"/>
          <w:szCs w:val="21"/>
        </w:rPr>
      </w:pPr>
    </w:p>
    <w:p w14:paraId="4C7ACC22"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Pese a esta expectativa, lo cierto es que hasta el pasado 18 de febrero la Contraloría Municipal, en oficio número CM-UI-0137, refería mantener en etapa de investigación estas irregularidades, quedando todavía lejos de la materialización de las acciones correctivas correspondientes. </w:t>
      </w:r>
    </w:p>
    <w:p w14:paraId="0FD76461" w14:textId="77777777" w:rsidR="00DD0A88" w:rsidRPr="009C0C20" w:rsidRDefault="00DD0A88" w:rsidP="005D1C4E">
      <w:pPr>
        <w:pStyle w:val="Textoindependiente"/>
        <w:ind w:left="709"/>
        <w:rPr>
          <w:rFonts w:ascii="Abadi" w:hAnsi="Abadi"/>
          <w:b w:val="0"/>
          <w:bCs w:val="0"/>
          <w:i/>
          <w:sz w:val="21"/>
          <w:szCs w:val="21"/>
        </w:rPr>
      </w:pPr>
    </w:p>
    <w:p w14:paraId="1DF60773"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Desde Morena siempre hemos sido críticos del actuar de la ASEG, por la escasa transparencia y limitado alcance de sus revisiones; sin embargo, no podemos tolerar que una de las pocas veces que la Auditoría Superior acredita un mal ejercicio de recursos públicos, esto se quede estancado y nunca se avance hasta la imposición de las sanciones correspondientes.  </w:t>
      </w:r>
    </w:p>
    <w:p w14:paraId="0E262255" w14:textId="77777777" w:rsidR="00DD0A88" w:rsidRPr="009C0C20" w:rsidRDefault="00DD0A88" w:rsidP="005D1C4E">
      <w:pPr>
        <w:pStyle w:val="Textoindependiente"/>
        <w:ind w:left="709"/>
        <w:rPr>
          <w:rFonts w:ascii="Abadi" w:hAnsi="Abadi"/>
          <w:b w:val="0"/>
          <w:bCs w:val="0"/>
          <w:i/>
          <w:sz w:val="21"/>
          <w:szCs w:val="21"/>
        </w:rPr>
      </w:pPr>
    </w:p>
    <w:p w14:paraId="598D278B" w14:textId="77777777" w:rsidR="00DD0A88"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Esto se agrava una vez que entendemos que, probablemente, la responsabilidad de este desfalco al ayuntamiento puede estar directamente relacionada con el expresidente municipal Luis Alberto Villarreal, quien ha sido senador, presidente municipal de San Miguel en 2 ocasiones y diputado federal en 3.</w:t>
      </w:r>
    </w:p>
    <w:p w14:paraId="02888B1E" w14:textId="67FFC09D" w:rsidR="005D1C4E" w:rsidRPr="009C0C20"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 xml:space="preserve">  </w:t>
      </w:r>
    </w:p>
    <w:p w14:paraId="4B4DA430" w14:textId="77777777" w:rsidR="005D1C4E" w:rsidRDefault="005D1C4E" w:rsidP="005D1C4E">
      <w:pPr>
        <w:pStyle w:val="Textoindependiente"/>
        <w:ind w:left="709"/>
        <w:rPr>
          <w:rFonts w:ascii="Abadi" w:hAnsi="Abadi"/>
          <w:b w:val="0"/>
          <w:bCs w:val="0"/>
          <w:i/>
          <w:sz w:val="21"/>
          <w:szCs w:val="21"/>
        </w:rPr>
      </w:pPr>
      <w:r w:rsidRPr="009C0C20">
        <w:rPr>
          <w:rFonts w:ascii="Abadi" w:hAnsi="Abadi"/>
          <w:b w:val="0"/>
          <w:bCs w:val="0"/>
          <w:i/>
          <w:sz w:val="21"/>
          <w:szCs w:val="21"/>
        </w:rPr>
        <w:t>Dado el nivel de influencia política que tiene el perfil de Villarreal en un estado que lleva 30 años gobernado por el PAN, es imprescindible que este Congreso se pronuncie al respecto y dé el adecuado seguimiento al cierre del proceso de rendición de cuentas: la imposición de sanciones correspondientes.»</w:t>
      </w:r>
    </w:p>
    <w:p w14:paraId="03A2A239" w14:textId="77777777" w:rsidR="00233A35" w:rsidRPr="009C0C20" w:rsidRDefault="00233A35" w:rsidP="005D1C4E">
      <w:pPr>
        <w:pStyle w:val="Textoindependiente"/>
        <w:ind w:left="709"/>
        <w:rPr>
          <w:rFonts w:ascii="Abadi" w:hAnsi="Abadi"/>
          <w:b w:val="0"/>
          <w:bCs w:val="0"/>
          <w:i/>
          <w:sz w:val="21"/>
          <w:szCs w:val="21"/>
        </w:rPr>
      </w:pPr>
    </w:p>
    <w:p w14:paraId="7CA0984F" w14:textId="77777777" w:rsidR="005D1C4E" w:rsidRPr="00233A35" w:rsidRDefault="005D1C4E" w:rsidP="005B68E6">
      <w:pPr>
        <w:numPr>
          <w:ilvl w:val="0"/>
          <w:numId w:val="30"/>
        </w:numPr>
        <w:spacing w:after="160"/>
        <w:jc w:val="both"/>
        <w:rPr>
          <w:rFonts w:ascii="Abadi" w:hAnsi="Abadi" w:cs="Arial"/>
          <w:b/>
          <w:bCs/>
          <w:sz w:val="21"/>
          <w:szCs w:val="21"/>
        </w:rPr>
      </w:pPr>
      <w:r w:rsidRPr="00233A35">
        <w:rPr>
          <w:rFonts w:ascii="Abadi" w:hAnsi="Abadi" w:cs="Arial"/>
          <w:b/>
          <w:bCs/>
          <w:sz w:val="21"/>
          <w:szCs w:val="21"/>
        </w:rPr>
        <w:t>Consideraciones de la Comisión</w:t>
      </w:r>
    </w:p>
    <w:p w14:paraId="37FFFB7F" w14:textId="77777777" w:rsidR="005D1C4E" w:rsidRPr="009C0C20" w:rsidRDefault="005D1C4E" w:rsidP="005D1C4E">
      <w:pPr>
        <w:pStyle w:val="Ttulo"/>
        <w:ind w:firstLine="708"/>
        <w:jc w:val="both"/>
        <w:rPr>
          <w:rFonts w:ascii="Abadi" w:hAnsi="Abadi" w:cs="Tahoma"/>
          <w:b w:val="0"/>
          <w:bCs w:val="0"/>
          <w:sz w:val="21"/>
          <w:szCs w:val="21"/>
          <w:lang w:eastAsia="es-MX"/>
        </w:rPr>
      </w:pPr>
      <w:r w:rsidRPr="009C0C20">
        <w:rPr>
          <w:rFonts w:ascii="Abadi" w:hAnsi="Abadi" w:cs="Tahoma"/>
          <w:b w:val="0"/>
          <w:bCs w:val="0"/>
          <w:sz w:val="21"/>
          <w:szCs w:val="21"/>
          <w:lang w:eastAsia="es-MX"/>
        </w:rPr>
        <w:t xml:space="preserve">En las consideraciones expuestas en la propuesta que se dictamina se destaca la transparencia y rendición de cuentas en el ejercicio de recursos públicos como una de las principales responsabilidades del Poder Legislativo. </w:t>
      </w:r>
    </w:p>
    <w:p w14:paraId="72600715"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 xml:space="preserve">En tal sentido, dentro de dichas responsabilidades ubicamos la facultad de fiscalizar las cuentas públicas municipales, incluyendo las de las entidades y organismos de la administración pública paramunicipal; y </w:t>
      </w:r>
      <w:r w:rsidRPr="009C0C20">
        <w:rPr>
          <w:rFonts w:ascii="Abadi" w:eastAsia="Calibri" w:hAnsi="Abadi"/>
          <w:b w:val="0"/>
          <w:bCs w:val="0"/>
          <w:sz w:val="21"/>
          <w:szCs w:val="21"/>
        </w:rPr>
        <w:lastRenderedPageBreak/>
        <w:t>verificar el desempeño en el cumplimiento de los objetivos de los programas; así como declarar la revisión de cuentas públicas en los términos de los informes de resultados, auxiliándose para el cumplimiento de dicha facultad por la Auditoría Superior del Estado de Guanajuato.</w:t>
      </w:r>
    </w:p>
    <w:p w14:paraId="68FCA990" w14:textId="77777777" w:rsidR="005D1C4E" w:rsidRPr="009C0C20" w:rsidRDefault="005D1C4E" w:rsidP="005D1C4E">
      <w:pPr>
        <w:pStyle w:val="Ttulo"/>
        <w:ind w:firstLine="708"/>
        <w:jc w:val="both"/>
        <w:rPr>
          <w:rFonts w:ascii="Abadi" w:eastAsia="Calibri" w:hAnsi="Abadi"/>
          <w:b w:val="0"/>
          <w:bCs w:val="0"/>
          <w:sz w:val="21"/>
          <w:szCs w:val="21"/>
        </w:rPr>
      </w:pPr>
    </w:p>
    <w:p w14:paraId="4001D9BF"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 xml:space="preserve">En ejercicio de dicha facultad, en la sesión ordinaria de la Sexagésima Cuarta Legislatura celebrada el 22 de abril de 2021 se aprobó el dictamen por el que se declaró revisada la cuenta pública municipal de San Miguel de Allende, </w:t>
      </w:r>
      <w:proofErr w:type="spellStart"/>
      <w:r w:rsidRPr="009C0C20">
        <w:rPr>
          <w:rFonts w:ascii="Abadi" w:eastAsia="Calibri" w:hAnsi="Abadi"/>
          <w:b w:val="0"/>
          <w:bCs w:val="0"/>
          <w:sz w:val="21"/>
          <w:szCs w:val="21"/>
        </w:rPr>
        <w:t>Gto</w:t>
      </w:r>
      <w:proofErr w:type="spellEnd"/>
      <w:r w:rsidRPr="009C0C20">
        <w:rPr>
          <w:rFonts w:ascii="Abadi" w:eastAsia="Calibri" w:hAnsi="Abadi"/>
          <w:b w:val="0"/>
          <w:bCs w:val="0"/>
          <w:sz w:val="21"/>
          <w:szCs w:val="21"/>
        </w:rPr>
        <w:t>., correspondiente al ejercicio fiscal del año 2019, con base en el informe de resultados formulado por la Auditoría Superior del Estado de Guanajuato, en el cual se establecieron como no solventadas las observaciones plasmadas en los numerales 001, referente a presupuesto; 003, relativo a costo beneficio en los arrendamientos; 004, referido a contrato de arrendamiento de semáforos; y 005, correspondiente a pena convencional del arrendamiento de semáforos.</w:t>
      </w:r>
    </w:p>
    <w:p w14:paraId="220B4576" w14:textId="77777777" w:rsidR="005D1C4E" w:rsidRPr="009C0C20" w:rsidRDefault="005D1C4E" w:rsidP="005D1C4E">
      <w:pPr>
        <w:pStyle w:val="Ttulo"/>
        <w:ind w:firstLine="708"/>
        <w:jc w:val="both"/>
        <w:rPr>
          <w:rFonts w:ascii="Abadi" w:eastAsia="Calibri" w:hAnsi="Abadi"/>
          <w:b w:val="0"/>
          <w:bCs w:val="0"/>
          <w:sz w:val="21"/>
          <w:szCs w:val="21"/>
        </w:rPr>
      </w:pPr>
    </w:p>
    <w:p w14:paraId="257487E0"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 xml:space="preserve">Cabe señalar que, en su momento, el presidente municipal de San Miguel de Allende, </w:t>
      </w:r>
      <w:proofErr w:type="spellStart"/>
      <w:r w:rsidRPr="009C0C20">
        <w:rPr>
          <w:rFonts w:ascii="Abadi" w:eastAsia="Calibri" w:hAnsi="Abadi"/>
          <w:b w:val="0"/>
          <w:bCs w:val="0"/>
          <w:sz w:val="21"/>
          <w:szCs w:val="21"/>
        </w:rPr>
        <w:t>Gto</w:t>
      </w:r>
      <w:proofErr w:type="spellEnd"/>
      <w:r w:rsidRPr="009C0C20">
        <w:rPr>
          <w:rFonts w:ascii="Abadi" w:eastAsia="Calibri" w:hAnsi="Abadi"/>
          <w:b w:val="0"/>
          <w:bCs w:val="0"/>
          <w:sz w:val="21"/>
          <w:szCs w:val="21"/>
        </w:rPr>
        <w:t xml:space="preserve">., interpuso recurso de reconsideración en contra del referido informe de resultados, concretamente en contra de las observaciones establecidas en los numerales 004 y 005, el cual una vez tramitado se emitió la resolución correspondiente, determinándose modificar el complemento de la valoración las citadas observaciones para quedar sin acciones pendientes de realizar por el sujeto fiscalizado, al haberse acreditado las acciones llevadas a cabo para resarcir el daño a la hacienda pública municipal y recuperar el importe observado, así como el inicio del procedimiento de imposición de sanciones. </w:t>
      </w:r>
    </w:p>
    <w:p w14:paraId="028D6536" w14:textId="77777777" w:rsidR="005D1C4E" w:rsidRPr="009C0C20" w:rsidRDefault="005D1C4E" w:rsidP="005D1C4E">
      <w:pPr>
        <w:pStyle w:val="Ttulo"/>
        <w:ind w:firstLine="708"/>
        <w:jc w:val="both"/>
        <w:rPr>
          <w:rFonts w:ascii="Abadi" w:eastAsia="Calibri" w:hAnsi="Abadi"/>
          <w:b w:val="0"/>
          <w:bCs w:val="0"/>
          <w:sz w:val="21"/>
          <w:szCs w:val="21"/>
        </w:rPr>
      </w:pPr>
    </w:p>
    <w:p w14:paraId="05706B03"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En cuanto a las observaciones contenidas en los numerales 001 y 003, aun cuando se determinaron no solventadas en el informe de resultados, las mismas quedaron sin acciones pendientes de realizar por el sujeto fiscalizado.</w:t>
      </w:r>
    </w:p>
    <w:p w14:paraId="44C613E1" w14:textId="77777777" w:rsidR="005D1C4E" w:rsidRPr="009C0C20" w:rsidRDefault="005D1C4E" w:rsidP="005D1C4E">
      <w:pPr>
        <w:pStyle w:val="Ttulo"/>
        <w:ind w:left="708" w:firstLine="708"/>
        <w:jc w:val="both"/>
        <w:rPr>
          <w:rFonts w:ascii="Abadi" w:eastAsia="Calibri" w:hAnsi="Abadi"/>
          <w:b w:val="0"/>
          <w:bCs w:val="0"/>
          <w:sz w:val="21"/>
          <w:szCs w:val="21"/>
        </w:rPr>
      </w:pPr>
    </w:p>
    <w:p w14:paraId="7DF57BA3"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 xml:space="preserve">En el acuerdo aprobado en su momento, por el Pleno del Congreso se instruyó a la Auditoría Superior del Estado de Guanajuato iniciar las acciones de responsabilidad conducentes por la existencia de presuntas faltas administrativas, en </w:t>
      </w:r>
      <w:r w:rsidRPr="009C0C20">
        <w:rPr>
          <w:rFonts w:ascii="Abadi" w:eastAsia="Calibri" w:hAnsi="Abadi"/>
          <w:b w:val="0"/>
          <w:bCs w:val="0"/>
          <w:sz w:val="21"/>
          <w:szCs w:val="21"/>
        </w:rPr>
        <w:t>términos de lo previsto en la Ley General de Responsabilidades Administrativas y en la Ley de Responsabilidades Administrativas para el Estado de Guanajuato; y dar seguimiento a las observaciones no solventadas.</w:t>
      </w:r>
    </w:p>
    <w:p w14:paraId="4D95161F" w14:textId="77777777" w:rsidR="005D1C4E" w:rsidRPr="009C0C20" w:rsidRDefault="005D1C4E" w:rsidP="005D1C4E">
      <w:pPr>
        <w:pStyle w:val="Ttulo"/>
        <w:ind w:firstLine="708"/>
        <w:jc w:val="both"/>
        <w:rPr>
          <w:rFonts w:ascii="Abadi" w:eastAsia="Calibri" w:hAnsi="Abadi"/>
          <w:b w:val="0"/>
          <w:bCs w:val="0"/>
          <w:sz w:val="21"/>
          <w:szCs w:val="21"/>
        </w:rPr>
      </w:pPr>
    </w:p>
    <w:p w14:paraId="6B7E917B" w14:textId="77777777" w:rsidR="005D1C4E" w:rsidRPr="009C0C20" w:rsidRDefault="005D1C4E" w:rsidP="005D1C4E">
      <w:pPr>
        <w:pStyle w:val="Ttulo"/>
        <w:ind w:firstLine="708"/>
        <w:jc w:val="both"/>
        <w:rPr>
          <w:rFonts w:ascii="Abadi" w:eastAsia="Calibri" w:hAnsi="Abadi"/>
          <w:b w:val="0"/>
          <w:bCs w:val="0"/>
          <w:sz w:val="21"/>
          <w:szCs w:val="21"/>
        </w:rPr>
      </w:pPr>
      <w:r w:rsidRPr="009C0C20">
        <w:rPr>
          <w:rFonts w:ascii="Abadi" w:eastAsia="Calibri" w:hAnsi="Abadi"/>
          <w:b w:val="0"/>
          <w:bCs w:val="0"/>
          <w:sz w:val="21"/>
          <w:szCs w:val="21"/>
        </w:rPr>
        <w:t>Derivado de lo anterior, el Auditor Superior del Estado en reunión celebrada el 15 de septiembre de 2022 informó a esta Comisión lo siguiente:</w:t>
      </w:r>
    </w:p>
    <w:p w14:paraId="719FFCF0" w14:textId="77777777" w:rsidR="005D1C4E" w:rsidRPr="009C0C20" w:rsidRDefault="005D1C4E" w:rsidP="005D1C4E">
      <w:pPr>
        <w:pStyle w:val="Ttulo"/>
        <w:ind w:firstLine="708"/>
        <w:jc w:val="both"/>
        <w:rPr>
          <w:rFonts w:ascii="Abadi" w:eastAsia="Calibri" w:hAnsi="Abadi"/>
          <w:b w:val="0"/>
          <w:bCs w:val="0"/>
          <w:sz w:val="21"/>
          <w:szCs w:val="21"/>
        </w:rPr>
      </w:pPr>
    </w:p>
    <w:p w14:paraId="21B77AB3"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En fecha 22 de abril de 2021, el Congreso del Estado aprobó el informe de resultados de la Revisión de Cuenta Pública practicada a la Administración Pública Municipal de San Miguel de Allende, </w:t>
      </w:r>
      <w:proofErr w:type="spellStart"/>
      <w:r w:rsidRPr="009C0C20">
        <w:rPr>
          <w:rFonts w:ascii="Abadi" w:eastAsia="Calibri" w:hAnsi="Abadi"/>
          <w:b w:val="0"/>
          <w:bCs w:val="0"/>
          <w:i/>
          <w:iCs/>
          <w:sz w:val="21"/>
          <w:szCs w:val="21"/>
        </w:rPr>
        <w:t>Gto</w:t>
      </w:r>
      <w:proofErr w:type="spellEnd"/>
      <w:r w:rsidRPr="009C0C20">
        <w:rPr>
          <w:rFonts w:ascii="Abadi" w:eastAsia="Calibri" w:hAnsi="Abadi"/>
          <w:b w:val="0"/>
          <w:bCs w:val="0"/>
          <w:i/>
          <w:iCs/>
          <w:sz w:val="21"/>
          <w:szCs w:val="21"/>
        </w:rPr>
        <w:t xml:space="preserve">., correspondiente al ejercicio fiscal 2019, ordenando dar vista a esta Auditoría Superior con la finalidad de que se iniciaran las acciones de responsabilidad conducentes por la existencia de presuntas faltas administrativas. </w:t>
      </w:r>
    </w:p>
    <w:p w14:paraId="16EAF414" w14:textId="77777777" w:rsidR="005D1C4E" w:rsidRPr="009C0C20" w:rsidRDefault="005D1C4E" w:rsidP="005D1C4E">
      <w:pPr>
        <w:pStyle w:val="Ttulo"/>
        <w:ind w:left="709"/>
        <w:jc w:val="both"/>
        <w:rPr>
          <w:rFonts w:ascii="Abadi" w:eastAsia="Calibri" w:hAnsi="Abadi"/>
          <w:b w:val="0"/>
          <w:bCs w:val="0"/>
          <w:i/>
          <w:iCs/>
          <w:sz w:val="21"/>
          <w:szCs w:val="21"/>
        </w:rPr>
      </w:pPr>
    </w:p>
    <w:p w14:paraId="4EA26EF1"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Derivado de lo anterior, la Dirección de Investigación de esta Auditoría Superior, integró los expedientes números ASEG/AI/IR/32/2021, ASEG/AI/IR/33/2021 y ASEG/AI/IR/34/2022 relativos a las observaciones 003, 004 y 005 del informe de resultados por lo que una vez realizado el análisis correspondiente y al no advertir indicios para determinar la existencia de posibles faltas administrativas graves, mediante oficio número ASEG/Al/O-865/2021 de fecha 30 de agosto de 2021, dio vista al órgano interno de control del Municipio de San Miguel de Allende con la finalidad de que diera continuidad a dichas investigaciones. </w:t>
      </w:r>
    </w:p>
    <w:p w14:paraId="4886FEEC" w14:textId="77777777" w:rsidR="005D1C4E" w:rsidRPr="009C0C20" w:rsidRDefault="005D1C4E" w:rsidP="005D1C4E">
      <w:pPr>
        <w:pStyle w:val="Ttulo"/>
        <w:ind w:left="709"/>
        <w:jc w:val="both"/>
        <w:rPr>
          <w:rFonts w:ascii="Abadi" w:eastAsia="Calibri" w:hAnsi="Abadi"/>
          <w:b w:val="0"/>
          <w:bCs w:val="0"/>
          <w:i/>
          <w:iCs/>
          <w:sz w:val="21"/>
          <w:szCs w:val="21"/>
        </w:rPr>
      </w:pPr>
    </w:p>
    <w:p w14:paraId="7DEE88BC"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Posteriormente y en virtud de los requerimientos de información que realiza esta institución a manera de seguimiento, el órgano interno de control mediante oficios números CM­Ul-212-09-2021 y CM-Ul-210-09-2021, ambos de fecha 22 de septiembre de 2021, informó que se iniciaron las investigaciones en relación con las observaciones números 003. Costo beneficio en los </w:t>
      </w:r>
      <w:r w:rsidRPr="009C0C20">
        <w:rPr>
          <w:rFonts w:ascii="Abadi" w:eastAsia="Calibri" w:hAnsi="Abadi"/>
          <w:b w:val="0"/>
          <w:bCs w:val="0"/>
          <w:i/>
          <w:iCs/>
          <w:sz w:val="21"/>
          <w:szCs w:val="21"/>
        </w:rPr>
        <w:lastRenderedPageBreak/>
        <w:t>arrendamientos y 005. Pena convencional del arrendamiento de semáforos, quedando radicadas con los números de carpetas Cl28/2021 y Cl29/2021, precisando que en relación con la observación 004. Contrato de Arrendamiento de Semáforos, el 29 de enero de 2021 abrió el expediente de investigación número CI06/2021.</w:t>
      </w:r>
    </w:p>
    <w:p w14:paraId="43008ECE" w14:textId="77777777" w:rsidR="005D1C4E" w:rsidRPr="009C0C20" w:rsidRDefault="005D1C4E" w:rsidP="005D1C4E">
      <w:pPr>
        <w:pStyle w:val="Ttulo"/>
        <w:ind w:left="709"/>
        <w:jc w:val="both"/>
        <w:rPr>
          <w:rFonts w:ascii="Abadi" w:eastAsia="Calibri" w:hAnsi="Abadi"/>
          <w:b w:val="0"/>
          <w:bCs w:val="0"/>
          <w:i/>
          <w:iCs/>
          <w:sz w:val="21"/>
          <w:szCs w:val="21"/>
        </w:rPr>
      </w:pPr>
    </w:p>
    <w:p w14:paraId="07734E14"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Derivado de la presentación de punto de acuerdo y del informe solicitado por esa comisión se emitió oficio número ASEG/DGAJ/369/2022 de fecha 23 de junio de 2022, el Director General de Asuntos Jurídicos emitió requerimiento al titular del órgano interno de control del Municipio de San Miguel de Allende, </w:t>
      </w:r>
      <w:proofErr w:type="spellStart"/>
      <w:r w:rsidRPr="009C0C20">
        <w:rPr>
          <w:rFonts w:ascii="Abadi" w:eastAsia="Calibri" w:hAnsi="Abadi"/>
          <w:b w:val="0"/>
          <w:bCs w:val="0"/>
          <w:i/>
          <w:iCs/>
          <w:sz w:val="21"/>
          <w:szCs w:val="21"/>
        </w:rPr>
        <w:t>Gto</w:t>
      </w:r>
      <w:proofErr w:type="spellEnd"/>
      <w:r w:rsidRPr="009C0C20">
        <w:rPr>
          <w:rFonts w:ascii="Abadi" w:eastAsia="Calibri" w:hAnsi="Abadi"/>
          <w:b w:val="0"/>
          <w:bCs w:val="0"/>
          <w:i/>
          <w:iCs/>
          <w:sz w:val="21"/>
          <w:szCs w:val="21"/>
        </w:rPr>
        <w:t>., solicitando el estado que guardan las investigaciones y/o los procedimientos de responsabilidad administrativa instaurados con motivo del informe de resultados relativo a la revisión de cuenta pública correspondiente al ejercicio fiscal 2019, informando entre otras cosas, los acuerdos, determinaciones y/o resoluciones emitidas con relación a dichos procedimientos.</w:t>
      </w:r>
    </w:p>
    <w:p w14:paraId="6D87158D" w14:textId="77777777" w:rsidR="005D1C4E" w:rsidRPr="009C0C20" w:rsidRDefault="005D1C4E" w:rsidP="005D1C4E">
      <w:pPr>
        <w:pStyle w:val="Ttulo"/>
        <w:ind w:left="709"/>
        <w:jc w:val="both"/>
        <w:rPr>
          <w:rFonts w:ascii="Abadi" w:eastAsia="Calibri" w:hAnsi="Abadi"/>
          <w:b w:val="0"/>
          <w:bCs w:val="0"/>
          <w:i/>
          <w:iCs/>
          <w:sz w:val="21"/>
          <w:szCs w:val="21"/>
        </w:rPr>
      </w:pPr>
    </w:p>
    <w:p w14:paraId="7252BC94"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Así, por oficio número CM405/CJ/2022 de fecha 04 de julio de 2022, el titular del órgano interno de control del Municipio de San Miguel de Allende, solicitó una prórroga con la finalidad de cabal cumplimiento al requerimiento formulado. </w:t>
      </w:r>
    </w:p>
    <w:p w14:paraId="6B196B6E" w14:textId="77777777" w:rsidR="005D1C4E" w:rsidRPr="009C0C20" w:rsidRDefault="005D1C4E" w:rsidP="005D1C4E">
      <w:pPr>
        <w:rPr>
          <w:rFonts w:ascii="Abadi" w:hAnsi="Abadi"/>
          <w:sz w:val="21"/>
          <w:szCs w:val="21"/>
        </w:rPr>
      </w:pPr>
    </w:p>
    <w:p w14:paraId="493B49EE"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Posteriormente, mediante el diverso oficio número CM-426-CJ/2022 de fecha 08 de julio de 2022, el titular del órgano interno de control en respuesta al requerimiento formulado emitió pronunciamiento respecto de </w:t>
      </w:r>
      <w:r w:rsidRPr="009C0C20">
        <w:rPr>
          <w:rFonts w:ascii="Abadi" w:eastAsia="Calibri" w:hAnsi="Abadi"/>
          <w:b w:val="0"/>
          <w:bCs w:val="0"/>
          <w:i/>
          <w:iCs/>
          <w:sz w:val="21"/>
          <w:szCs w:val="21"/>
        </w:rPr>
        <w:t>tres de cuatro de las observaciones determinadas en el informe de resultados en cuestión, a saber, de las identificadas como 001. Presupuesto; 003. Cantidades de obra</w:t>
      </w:r>
      <w:r w:rsidRPr="009C0C20">
        <w:rPr>
          <w:rStyle w:val="Refdenotaalpie"/>
          <w:rFonts w:ascii="Abadi" w:eastAsia="Calibri" w:hAnsi="Abadi"/>
          <w:b w:val="0"/>
          <w:bCs w:val="0"/>
          <w:i/>
          <w:iCs/>
          <w:sz w:val="21"/>
          <w:szCs w:val="21"/>
        </w:rPr>
        <w:footnoteReference w:id="206"/>
      </w:r>
      <w:r w:rsidRPr="009C0C20">
        <w:rPr>
          <w:rFonts w:ascii="Abadi" w:eastAsia="Calibri" w:hAnsi="Abadi"/>
          <w:b w:val="0"/>
          <w:bCs w:val="0"/>
          <w:i/>
          <w:iCs/>
          <w:sz w:val="21"/>
          <w:szCs w:val="21"/>
        </w:rPr>
        <w:t xml:space="preserve"> y 005. Pena convencional del arrendamiento de semáforos, señalando medularmente, que las observaciones 001 y 005 se encuentran en trámite y respecto de la 003 se emitió acuerdo de conclusión en virtud de los reintegros realizados.</w:t>
      </w:r>
    </w:p>
    <w:p w14:paraId="029009C1" w14:textId="77777777" w:rsidR="005D1C4E" w:rsidRPr="009C0C20" w:rsidRDefault="005D1C4E" w:rsidP="005D1C4E">
      <w:pPr>
        <w:ind w:left="709"/>
        <w:jc w:val="both"/>
        <w:rPr>
          <w:rFonts w:ascii="Abadi" w:eastAsia="Calibri" w:hAnsi="Abadi"/>
          <w:i/>
          <w:iCs/>
          <w:sz w:val="21"/>
          <w:szCs w:val="21"/>
        </w:rPr>
      </w:pPr>
    </w:p>
    <w:p w14:paraId="6AD2DFDE"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En ese orden de ideas y toda vez que la información se remitió de manera incompleta pues no se proporcionó el estatus relacionado con la observación número 004. Contrato de arrendamiento de semáforos, mediante oficio número ASEG/DGAJ/415/2022 de fecha 09 de septiembre de 2022, la Dirección General de Asuntos Jurídicos emitió requerimiento de información con la finalidad de que se complemente lo solicitado previamente. </w:t>
      </w:r>
    </w:p>
    <w:p w14:paraId="36E32EAE" w14:textId="77777777" w:rsidR="005D1C4E" w:rsidRPr="009C0C20" w:rsidRDefault="005D1C4E" w:rsidP="005D1C4E">
      <w:pPr>
        <w:pStyle w:val="Ttulo"/>
        <w:ind w:left="709"/>
        <w:jc w:val="both"/>
        <w:rPr>
          <w:rFonts w:ascii="Abadi" w:eastAsia="Calibri" w:hAnsi="Abadi"/>
          <w:b w:val="0"/>
          <w:bCs w:val="0"/>
          <w:i/>
          <w:iCs/>
          <w:sz w:val="21"/>
          <w:szCs w:val="21"/>
        </w:rPr>
      </w:pPr>
    </w:p>
    <w:p w14:paraId="44828A53"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No obstante lo anterior, es de precisar que en los archivos de esta institución obra oficio a través del cual el Tesorero Municipal de San Miguel de Allende, Guanajuato, en fecha 18 de octubre de 2021, mediante oficio número TyFM-0069/21, en respuesta al Pliego de Observaciones y Recomendaciones correspondiente a la Revisión de Cuenta Pública practicada a la Administración Pública Municipal de San Miguel de Allende, </w:t>
      </w:r>
      <w:proofErr w:type="spellStart"/>
      <w:r w:rsidRPr="009C0C20">
        <w:rPr>
          <w:rFonts w:ascii="Abadi" w:eastAsia="Calibri" w:hAnsi="Abadi"/>
          <w:b w:val="0"/>
          <w:bCs w:val="0"/>
          <w:i/>
          <w:iCs/>
          <w:sz w:val="21"/>
          <w:szCs w:val="21"/>
        </w:rPr>
        <w:t>Gto</w:t>
      </w:r>
      <w:proofErr w:type="spellEnd"/>
      <w:r w:rsidRPr="009C0C20">
        <w:rPr>
          <w:rFonts w:ascii="Abadi" w:eastAsia="Calibri" w:hAnsi="Abadi"/>
          <w:b w:val="0"/>
          <w:bCs w:val="0"/>
          <w:i/>
          <w:iCs/>
          <w:sz w:val="21"/>
          <w:szCs w:val="21"/>
        </w:rPr>
        <w:t>., por el ejercicio fiscal 2020</w:t>
      </w:r>
      <w:r w:rsidRPr="009C0C20">
        <w:rPr>
          <w:rStyle w:val="Refdenotaalpie"/>
          <w:rFonts w:ascii="Abadi" w:eastAsia="Calibri" w:hAnsi="Abadi"/>
          <w:b w:val="0"/>
          <w:bCs w:val="0"/>
          <w:i/>
          <w:iCs/>
          <w:sz w:val="21"/>
          <w:szCs w:val="21"/>
        </w:rPr>
        <w:footnoteReference w:id="207"/>
      </w:r>
      <w:r w:rsidRPr="009C0C20">
        <w:rPr>
          <w:rFonts w:ascii="Abadi" w:eastAsia="Calibri" w:hAnsi="Abadi"/>
          <w:b w:val="0"/>
          <w:bCs w:val="0"/>
          <w:i/>
          <w:iCs/>
          <w:sz w:val="21"/>
          <w:szCs w:val="21"/>
        </w:rPr>
        <w:t xml:space="preserve">, realizó diversas manifestaciones con la finalidad de solventar las observaciones formuladas por esta Auditoría Superior en dicha revisión, particularmente la identificada como 001, la cual guarda relación con las </w:t>
      </w:r>
      <w:r w:rsidRPr="009C0C20">
        <w:rPr>
          <w:rFonts w:ascii="Abadi" w:eastAsia="Calibri" w:hAnsi="Abadi"/>
          <w:b w:val="0"/>
          <w:bCs w:val="0"/>
          <w:i/>
          <w:iCs/>
          <w:sz w:val="21"/>
          <w:szCs w:val="21"/>
        </w:rPr>
        <w:lastRenderedPageBreak/>
        <w:t>determinadas en la revisión de cuenta pública del ejercicio fiscal 2019</w:t>
      </w:r>
      <w:r w:rsidRPr="009C0C20">
        <w:rPr>
          <w:rStyle w:val="Refdenotaalpie"/>
          <w:rFonts w:ascii="Abadi" w:eastAsia="Calibri" w:hAnsi="Abadi"/>
          <w:b w:val="0"/>
          <w:bCs w:val="0"/>
          <w:i/>
          <w:iCs/>
          <w:sz w:val="21"/>
          <w:szCs w:val="21"/>
        </w:rPr>
        <w:footnoteReference w:id="208"/>
      </w:r>
      <w:r w:rsidRPr="009C0C20">
        <w:rPr>
          <w:rFonts w:ascii="Abadi" w:eastAsia="Calibri" w:hAnsi="Abadi"/>
          <w:b w:val="0"/>
          <w:bCs w:val="0"/>
          <w:i/>
          <w:iCs/>
          <w:sz w:val="21"/>
          <w:szCs w:val="21"/>
        </w:rPr>
        <w:t>.</w:t>
      </w:r>
    </w:p>
    <w:p w14:paraId="5F016612" w14:textId="77777777" w:rsidR="005D1C4E" w:rsidRPr="009C0C20" w:rsidRDefault="005D1C4E" w:rsidP="005D1C4E">
      <w:pPr>
        <w:rPr>
          <w:rFonts w:ascii="Abadi" w:eastAsia="Calibri" w:hAnsi="Abadi"/>
          <w:sz w:val="21"/>
          <w:szCs w:val="21"/>
        </w:rPr>
      </w:pPr>
    </w:p>
    <w:p w14:paraId="53B5AB29"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 xml:space="preserve">En dicho oficio señaló que: "los equipos materia de la observación fueron absorbidos por el Municipio en el procedimiento de opción a compra denominado "Contrato de compra y convenio de transacción y solución alterna", celebrado el 28 de septiembre de 2021, resaltando el hecho de que los pagos realizados por concepto de arrendamiento y su adquisición de manera posterior, obedecieron a una estrategia financiera con la cual, según avalúo practicado por SEMEX S.A. de C. V., lograron ahorrar un 36%, por lo que la operación fue conveniente y rentable para el Municipio". </w:t>
      </w:r>
    </w:p>
    <w:p w14:paraId="7B742FF0" w14:textId="77777777" w:rsidR="005D1C4E" w:rsidRPr="009C0C20" w:rsidRDefault="005D1C4E" w:rsidP="005D1C4E">
      <w:pPr>
        <w:pStyle w:val="Ttulo"/>
        <w:ind w:left="709"/>
        <w:jc w:val="both"/>
        <w:rPr>
          <w:rFonts w:ascii="Abadi" w:eastAsia="Calibri" w:hAnsi="Abadi"/>
          <w:b w:val="0"/>
          <w:bCs w:val="0"/>
          <w:i/>
          <w:iCs/>
          <w:sz w:val="21"/>
          <w:szCs w:val="21"/>
        </w:rPr>
      </w:pPr>
    </w:p>
    <w:p w14:paraId="3360078B" w14:textId="77777777" w:rsidR="005D1C4E" w:rsidRPr="009C0C20" w:rsidRDefault="005D1C4E" w:rsidP="005D1C4E">
      <w:pPr>
        <w:pStyle w:val="Ttulo"/>
        <w:ind w:left="709"/>
        <w:jc w:val="both"/>
        <w:rPr>
          <w:rFonts w:ascii="Abadi" w:eastAsia="Calibri" w:hAnsi="Abadi"/>
          <w:b w:val="0"/>
          <w:bCs w:val="0"/>
          <w:i/>
          <w:iCs/>
          <w:sz w:val="21"/>
          <w:szCs w:val="21"/>
        </w:rPr>
      </w:pPr>
      <w:r w:rsidRPr="009C0C20">
        <w:rPr>
          <w:rFonts w:ascii="Abadi" w:eastAsia="Calibri" w:hAnsi="Abadi"/>
          <w:b w:val="0"/>
          <w:bCs w:val="0"/>
          <w:i/>
          <w:iCs/>
          <w:sz w:val="21"/>
          <w:szCs w:val="21"/>
        </w:rPr>
        <w:t>Refirió además, que: "los importes mensuales realizados por dicho arrendamiento sirvieron para integrar el pago por el costo de adquisición en cantidad de $514,587.60 (Quinientos catorce mil quinientos ochenta y siete pesos 60/100 m.n.), proporcionando de igual manera, los registros contables que acreditan el pago de la pena convencional por parte del proveedor con motivo del citado contrato en cantidad de $4,383,240.00 (Cuatro millones trescientos ochenta y tres mil doscientos cuarenta pesos 00/100 m.n.), aportando la evidencia documental para acreditar sus afirmaciones".</w:t>
      </w:r>
    </w:p>
    <w:p w14:paraId="060E34FE" w14:textId="77777777" w:rsidR="005D1C4E" w:rsidRPr="009C0C20" w:rsidRDefault="005D1C4E" w:rsidP="005D1C4E">
      <w:pPr>
        <w:pStyle w:val="Ttulo"/>
        <w:ind w:left="709"/>
        <w:jc w:val="both"/>
        <w:rPr>
          <w:rFonts w:ascii="Abadi" w:eastAsia="Calibri" w:hAnsi="Abadi"/>
          <w:b w:val="0"/>
          <w:bCs w:val="0"/>
          <w:i/>
          <w:iCs/>
          <w:sz w:val="21"/>
          <w:szCs w:val="21"/>
        </w:rPr>
      </w:pPr>
    </w:p>
    <w:p w14:paraId="6A13B16A" w14:textId="77777777" w:rsidR="005D1C4E" w:rsidRPr="000E0559" w:rsidRDefault="005D1C4E" w:rsidP="005D1C4E">
      <w:pPr>
        <w:ind w:firstLine="708"/>
        <w:jc w:val="both"/>
        <w:rPr>
          <w:rFonts w:ascii="Abadi" w:hAnsi="Abadi" w:cs="Tahoma"/>
          <w:sz w:val="21"/>
          <w:szCs w:val="21"/>
        </w:rPr>
      </w:pPr>
      <w:r w:rsidRPr="005D1C4E">
        <w:rPr>
          <w:rFonts w:ascii="Abadi" w:hAnsi="Abadi" w:cs="Tahoma"/>
          <w:sz w:val="21"/>
          <w:szCs w:val="21"/>
        </w:rPr>
        <w:t xml:space="preserve">Se remitió a quienes integramos esta Comisión copia de los documentos anteriormente referidos, en los que obra la información remitida por el contralor municipal de San Miguel de Allende, </w:t>
      </w:r>
      <w:proofErr w:type="spellStart"/>
      <w:r w:rsidRPr="005D1C4E">
        <w:rPr>
          <w:rFonts w:ascii="Abadi" w:hAnsi="Abadi" w:cs="Tahoma"/>
          <w:sz w:val="21"/>
          <w:szCs w:val="21"/>
        </w:rPr>
        <w:t>Gto</w:t>
      </w:r>
      <w:proofErr w:type="spellEnd"/>
      <w:r w:rsidRPr="005D1C4E">
        <w:rPr>
          <w:rFonts w:ascii="Abadi" w:hAnsi="Abadi" w:cs="Tahoma"/>
          <w:sz w:val="21"/>
          <w:szCs w:val="21"/>
        </w:rPr>
        <w:t>., referida al estado que guardan las</w:t>
      </w:r>
      <w:r w:rsidRPr="000E0559">
        <w:rPr>
          <w:rFonts w:ascii="Abadi" w:hAnsi="Abadi" w:cs="Tahoma"/>
          <w:sz w:val="21"/>
          <w:szCs w:val="21"/>
        </w:rPr>
        <w:t xml:space="preserve"> investigaciones y los procedimientos de responsabilidad administrativa instaurados por dicho órgano interno de control.</w:t>
      </w:r>
    </w:p>
    <w:p w14:paraId="108A11BE"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 xml:space="preserve">De acuerdo a lo informado por el Auditor Superior del Estado en su momento, del análisis realizado por dicho Órgano Técnico a las observaciones contenidas en los </w:t>
      </w:r>
      <w:r w:rsidRPr="000E0559">
        <w:rPr>
          <w:rFonts w:ascii="Abadi" w:hAnsi="Abadi" w:cs="Tahoma"/>
          <w:sz w:val="21"/>
          <w:szCs w:val="21"/>
        </w:rPr>
        <w:t xml:space="preserve">numerales 003, 004 y 005 no se advirtieron indicios para determinar la existencia de posibles faltas administrativas graves, por lo que se dio vista a la Contraloría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con la finalidad de que diera continuidad a las investigaciones.</w:t>
      </w:r>
    </w:p>
    <w:p w14:paraId="175EB960" w14:textId="77777777" w:rsidR="009C0C20" w:rsidRPr="000E0559" w:rsidRDefault="009C0C20" w:rsidP="005D1C4E">
      <w:pPr>
        <w:ind w:firstLine="708"/>
        <w:jc w:val="both"/>
        <w:rPr>
          <w:rFonts w:ascii="Abadi" w:hAnsi="Abadi" w:cs="Tahoma"/>
          <w:sz w:val="21"/>
          <w:szCs w:val="21"/>
        </w:rPr>
      </w:pPr>
    </w:p>
    <w:p w14:paraId="1BD75E86"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Lo anterior, en términos de lo establecido en los artículos 11, segundo párrafo y 99 de la Ley de Responsabilidades Administrativas para el Estado de Guanajuato.</w:t>
      </w:r>
    </w:p>
    <w:p w14:paraId="54609E0D" w14:textId="77777777" w:rsidR="009C0C20" w:rsidRPr="000E0559" w:rsidRDefault="009C0C20" w:rsidP="005D1C4E">
      <w:pPr>
        <w:ind w:firstLine="708"/>
        <w:jc w:val="both"/>
        <w:rPr>
          <w:rFonts w:ascii="Abadi" w:hAnsi="Abadi" w:cs="Tahoma"/>
          <w:sz w:val="21"/>
          <w:szCs w:val="21"/>
        </w:rPr>
      </w:pPr>
    </w:p>
    <w:p w14:paraId="3051EC82"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 xml:space="preserve">En este orden de ideas, derivado de la información proporcionada por el contralor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xml:space="preserve">., podemos desprender que en el caso de la observación establecida en el numeral 001 contenida en el informe de resultados de la revisión practicada a la cuenta pública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correspondiente al ejercicio fiscal del año 2019, el 22 de septiembre de 2021 se radicó el expediente Cl-27/2021, dentro del cual, a través del oficio número CM-UI-209-09-2021 se solicitó a la Tesorería Municipal la aclaración del por qué en los estados analíticos presupuestarios tanto de ingresos, como de egresos al 31 de diciembre del año 2021 existen diferencias entre los importes del presupuesto modificado y los que autorizó el Ayuntamiento en sesión ordinaria XXXIV del 21 de octubre del 2019. Sin embargo, al no haber obtenido respuesta a dicho requerimiento, el pasado 5 de julio solicitó nuevamente la información a través del oficio número CM-415/CJ/2022, estando actualmente a la espera de dicha información.</w:t>
      </w:r>
    </w:p>
    <w:p w14:paraId="48E9FABB" w14:textId="77777777" w:rsidR="009C0C20" w:rsidRPr="000E0559" w:rsidRDefault="009C0C20" w:rsidP="005D1C4E">
      <w:pPr>
        <w:ind w:firstLine="708"/>
        <w:jc w:val="both"/>
        <w:rPr>
          <w:rFonts w:ascii="Abadi" w:hAnsi="Abadi" w:cs="Tahoma"/>
          <w:sz w:val="21"/>
          <w:szCs w:val="21"/>
        </w:rPr>
      </w:pPr>
    </w:p>
    <w:p w14:paraId="51EB090C"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 xml:space="preserve">En cuanto a la observación establecida en el numeral 003, se informó que el 5 de octubre de 2021 se radicó el expediente CI-32/2021, señalándose que, mediante oficio número </w:t>
      </w:r>
      <w:proofErr w:type="spellStart"/>
      <w:r w:rsidRPr="000E0559">
        <w:rPr>
          <w:rFonts w:ascii="Abadi" w:hAnsi="Abadi" w:cs="Tahoma"/>
          <w:sz w:val="21"/>
          <w:szCs w:val="21"/>
        </w:rPr>
        <w:t>TyFM</w:t>
      </w:r>
      <w:proofErr w:type="spellEnd"/>
      <w:r w:rsidRPr="000E0559">
        <w:rPr>
          <w:rFonts w:ascii="Abadi" w:hAnsi="Abadi" w:cs="Tahoma"/>
          <w:sz w:val="21"/>
          <w:szCs w:val="21"/>
        </w:rPr>
        <w:t xml:space="preserve">/PE-242/2021, de fecha 28 de octubre del 2021 remitido por la Tesorería Municipal solventó las observaciones, al remitir en copia certificada del soporte documental de reintegros realizados el 22 de febrero de 2021, por $124,743.29 y $18,639.80, razón por la cual el 21 de marzo de 2022, se emitió un acuerdo de conclusión del referido expediente. Es de precisar, como ya se apuntó anteriormente en lo informado por el Auditor Superior del Estado, que, si bien </w:t>
      </w:r>
      <w:r w:rsidRPr="000E0559">
        <w:rPr>
          <w:rFonts w:ascii="Abadi" w:hAnsi="Abadi" w:cs="Tahoma"/>
          <w:sz w:val="21"/>
          <w:szCs w:val="21"/>
        </w:rPr>
        <w:lastRenderedPageBreak/>
        <w:t xml:space="preserve">el contralor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informó respecto a una observación 003, esta no corresponde a la del informe de resultados de la revisión de la cuenta pública del ejercicio fiscal de 2019.</w:t>
      </w:r>
    </w:p>
    <w:p w14:paraId="47A83EB0" w14:textId="77777777" w:rsidR="009C0C20" w:rsidRPr="000E0559" w:rsidRDefault="009C0C20" w:rsidP="005D1C4E">
      <w:pPr>
        <w:ind w:firstLine="708"/>
        <w:jc w:val="both"/>
        <w:rPr>
          <w:rFonts w:ascii="Abadi" w:hAnsi="Abadi" w:cs="Tahoma"/>
          <w:sz w:val="21"/>
          <w:szCs w:val="21"/>
        </w:rPr>
      </w:pPr>
    </w:p>
    <w:p w14:paraId="40C6F8B0"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Por lo que hace a la observación plasmada en el numeral 005, se informó que el 22 de septiembre del año 2021 se radicó el expediente número CI-29/2021 y mediante oficio número CM-UI-213-09-2021 de la misma fecha, se solicitó a la Dirección de Consejería Jurídica y Derechos Humanos de dicho Municipio informara y remitiera en copia certificada la aplicación de la pena convencional por incumplimiento al contrato y la pena convencional por atraso, respecto al contrato de arrendamiento puro número SSP-001-07-2019, de fecha 22 de julio del año 2019. No obstante, al no darse respuesta a dicho requerimiento, el 5 de julio del año en curso solicitó nuevamente la información a través del oficio número CM-414/CJ/2022, estando actualmente a la espera de dicha información.</w:t>
      </w:r>
    </w:p>
    <w:p w14:paraId="06EB696B" w14:textId="77777777" w:rsidR="009C0C20" w:rsidRPr="000E0559" w:rsidRDefault="009C0C20" w:rsidP="005D1C4E">
      <w:pPr>
        <w:ind w:firstLine="708"/>
        <w:jc w:val="both"/>
        <w:rPr>
          <w:rFonts w:ascii="Abadi" w:hAnsi="Abadi" w:cs="Tahoma"/>
          <w:sz w:val="21"/>
          <w:szCs w:val="21"/>
        </w:rPr>
      </w:pPr>
    </w:p>
    <w:p w14:paraId="2C3F3DEC" w14:textId="77777777" w:rsidR="005D1C4E" w:rsidRDefault="005D1C4E" w:rsidP="005D1C4E">
      <w:pPr>
        <w:ind w:firstLine="708"/>
        <w:jc w:val="both"/>
        <w:rPr>
          <w:rFonts w:ascii="Abadi" w:hAnsi="Abadi" w:cs="Tahoma"/>
          <w:sz w:val="21"/>
          <w:szCs w:val="21"/>
        </w:rPr>
      </w:pPr>
      <w:r w:rsidRPr="000E0559">
        <w:rPr>
          <w:rFonts w:ascii="Abadi" w:hAnsi="Abadi" w:cs="Tahoma"/>
          <w:sz w:val="21"/>
          <w:szCs w:val="21"/>
        </w:rPr>
        <w:t xml:space="preserve">Respecto a la observación referida en el numeral 004, aun cuando no se remitió información por parte del contralor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xml:space="preserve">., de acuerdo a lo informado por el Auditor Superior del Estado, en el informe de resultados de la revisión practicada a la cuenta pública municipal de San Miguel de Allende, </w:t>
      </w:r>
      <w:proofErr w:type="spellStart"/>
      <w:r w:rsidRPr="000E0559">
        <w:rPr>
          <w:rFonts w:ascii="Abadi" w:hAnsi="Abadi" w:cs="Tahoma"/>
          <w:sz w:val="21"/>
          <w:szCs w:val="21"/>
        </w:rPr>
        <w:t>Gto</w:t>
      </w:r>
      <w:proofErr w:type="spellEnd"/>
      <w:r w:rsidRPr="000E0559">
        <w:rPr>
          <w:rFonts w:ascii="Abadi" w:hAnsi="Abadi" w:cs="Tahoma"/>
          <w:sz w:val="21"/>
          <w:szCs w:val="21"/>
        </w:rPr>
        <w:t xml:space="preserve">., correspondiente al ejercicio fiscal del año 2020, ya sancionado por este Poder Legislativo, la observación establecida en el numeral 001, referente a contrato de arrendamiento de semáforos guarda relación con la observación que nos ocupa y en la cual se informó en su momento por parte del tesorero municipal que los equipos materia de la observación fueron absorbidos por el Municipio en el procedimiento de opción a compra denominado </w:t>
      </w:r>
      <w:r w:rsidRPr="000E0559">
        <w:rPr>
          <w:rFonts w:ascii="Abadi" w:hAnsi="Abadi" w:cs="Tahoma"/>
          <w:i/>
          <w:iCs/>
          <w:sz w:val="21"/>
          <w:szCs w:val="21"/>
        </w:rPr>
        <w:t>«Contrato de compra y convenio de transacción y solución alterna»</w:t>
      </w:r>
      <w:r w:rsidRPr="000E0559">
        <w:rPr>
          <w:rFonts w:ascii="Abadi" w:hAnsi="Abadi" w:cs="Tahoma"/>
          <w:sz w:val="21"/>
          <w:szCs w:val="21"/>
        </w:rPr>
        <w:t xml:space="preserve">, celebrado el 28 de septiembre de 2021, señalando que los pagos realizados por concepto de arrendamiento y su adquisición de manera posterior, obedecieron a una estrategia financiera con la cual, según avalúo practicado por </w:t>
      </w:r>
      <w:r w:rsidRPr="000E0559">
        <w:rPr>
          <w:rFonts w:ascii="Abadi" w:hAnsi="Abadi" w:cs="Tahoma"/>
          <w:i/>
          <w:iCs/>
          <w:sz w:val="21"/>
          <w:szCs w:val="21"/>
        </w:rPr>
        <w:t>SEMEX S.A. de C. V.</w:t>
      </w:r>
      <w:r w:rsidRPr="000E0559">
        <w:rPr>
          <w:rFonts w:ascii="Abadi" w:hAnsi="Abadi" w:cs="Tahoma"/>
          <w:sz w:val="21"/>
          <w:szCs w:val="21"/>
        </w:rPr>
        <w:t xml:space="preserve">, lograron ahorrar un 36%, siendo una operación conveniente y rentable para el Municipio. El citado funcionario municipal también manifestó que los importes mensuales </w:t>
      </w:r>
      <w:r w:rsidRPr="000E0559">
        <w:rPr>
          <w:rFonts w:ascii="Abadi" w:hAnsi="Abadi" w:cs="Tahoma"/>
          <w:sz w:val="21"/>
          <w:szCs w:val="21"/>
        </w:rPr>
        <w:t>realizados por dicho arrendamiento sirvieron para integrar el pago por el costo de adquisición en cantidad de $514,587.60, proporcionando los registros contables que acreditan el pago de la pena convencional por parte del proveedor con motivo del citado contrato por la cantidad de $4’383,240.00.</w:t>
      </w:r>
    </w:p>
    <w:p w14:paraId="0D988847" w14:textId="77777777" w:rsidR="009C0C20" w:rsidRPr="000E0559" w:rsidRDefault="009C0C20" w:rsidP="005D1C4E">
      <w:pPr>
        <w:ind w:firstLine="708"/>
        <w:jc w:val="both"/>
        <w:rPr>
          <w:rFonts w:ascii="Abadi" w:hAnsi="Abadi" w:cs="Tahoma"/>
          <w:sz w:val="21"/>
          <w:szCs w:val="21"/>
        </w:rPr>
      </w:pPr>
    </w:p>
    <w:p w14:paraId="1137533D" w14:textId="77777777" w:rsidR="005D1C4E" w:rsidRDefault="005D1C4E" w:rsidP="005D1C4E">
      <w:pPr>
        <w:ind w:firstLine="708"/>
        <w:jc w:val="both"/>
        <w:rPr>
          <w:rFonts w:ascii="Abadi" w:eastAsia="Calibri" w:hAnsi="Abadi"/>
          <w:bCs/>
          <w:sz w:val="21"/>
          <w:szCs w:val="21"/>
        </w:rPr>
      </w:pPr>
      <w:r w:rsidRPr="000E0559">
        <w:rPr>
          <w:rFonts w:ascii="Abadi" w:hAnsi="Abadi" w:cs="Tahoma"/>
          <w:sz w:val="21"/>
          <w:szCs w:val="21"/>
        </w:rPr>
        <w:t xml:space="preserve">En atención a lo </w:t>
      </w:r>
      <w:r w:rsidRPr="000E0559">
        <w:rPr>
          <w:rFonts w:ascii="Abadi" w:eastAsia="Calibri" w:hAnsi="Abadi"/>
          <w:bCs/>
          <w:sz w:val="21"/>
          <w:szCs w:val="21"/>
        </w:rPr>
        <w:t xml:space="preserve">antes referido consideramos que la Contraloría Municipal de San Miguel de Allende, </w:t>
      </w:r>
      <w:proofErr w:type="spellStart"/>
      <w:r w:rsidRPr="000E0559">
        <w:rPr>
          <w:rFonts w:ascii="Abadi" w:eastAsia="Calibri" w:hAnsi="Abadi"/>
          <w:bCs/>
          <w:sz w:val="21"/>
          <w:szCs w:val="21"/>
        </w:rPr>
        <w:t>Gto</w:t>
      </w:r>
      <w:proofErr w:type="spellEnd"/>
      <w:r w:rsidRPr="000E0559">
        <w:rPr>
          <w:rFonts w:ascii="Abadi" w:eastAsia="Calibri" w:hAnsi="Abadi"/>
          <w:bCs/>
          <w:sz w:val="21"/>
          <w:szCs w:val="21"/>
        </w:rPr>
        <w:t xml:space="preserve">., está dando trámite a las investigaciones y procedimientos de responsabilidad conducentes por la existencia de presuntas faltas administrativas, derivados del informe de resultados de la revisión practicada a la cuenta pública municipal de San Miguel de Allende, </w:t>
      </w:r>
      <w:proofErr w:type="spellStart"/>
      <w:r w:rsidRPr="000E0559">
        <w:rPr>
          <w:rFonts w:ascii="Abadi" w:eastAsia="Calibri" w:hAnsi="Abadi"/>
          <w:bCs/>
          <w:sz w:val="21"/>
          <w:szCs w:val="21"/>
        </w:rPr>
        <w:t>Gto</w:t>
      </w:r>
      <w:proofErr w:type="spellEnd"/>
      <w:r w:rsidRPr="000E0559">
        <w:rPr>
          <w:rFonts w:ascii="Abadi" w:eastAsia="Calibri" w:hAnsi="Abadi"/>
          <w:bCs/>
          <w:sz w:val="21"/>
          <w:szCs w:val="21"/>
        </w:rPr>
        <w:t>., correspondiente al ejercicio fiscal del año 2019, en términos de lo previsto en la Ley General de Responsabilidades Administrativas y en la Ley de Responsabilidades Administrativas para el Estado de Guanajuato, debiendo atender los tiempos que marca dicha legislación, por lo que determinamos improcedente el exhorto que se propone.</w:t>
      </w:r>
    </w:p>
    <w:p w14:paraId="3B289FFC" w14:textId="77777777" w:rsidR="009C0C20" w:rsidRPr="000E0559" w:rsidRDefault="009C0C20" w:rsidP="005D1C4E">
      <w:pPr>
        <w:ind w:firstLine="708"/>
        <w:jc w:val="both"/>
        <w:rPr>
          <w:rFonts w:ascii="Abadi" w:eastAsia="Calibri" w:hAnsi="Abadi"/>
          <w:bCs/>
          <w:sz w:val="21"/>
          <w:szCs w:val="21"/>
        </w:rPr>
      </w:pPr>
    </w:p>
    <w:p w14:paraId="12811019" w14:textId="77777777" w:rsidR="005D1C4E" w:rsidRDefault="005D1C4E" w:rsidP="005D1C4E">
      <w:pPr>
        <w:ind w:firstLine="708"/>
        <w:jc w:val="both"/>
        <w:rPr>
          <w:rFonts w:ascii="Abadi" w:eastAsia="Calibri" w:hAnsi="Abadi"/>
          <w:bCs/>
          <w:sz w:val="21"/>
          <w:szCs w:val="21"/>
        </w:rPr>
      </w:pPr>
      <w:r w:rsidRPr="000E0559">
        <w:rPr>
          <w:rFonts w:ascii="Abadi" w:eastAsia="Calibri" w:hAnsi="Abadi"/>
          <w:bCs/>
          <w:sz w:val="21"/>
          <w:szCs w:val="21"/>
        </w:rPr>
        <w:t>No obstante, en su momento la conclusión de dichos procedimientos deberá informarse por parte de dicho Órgano Interno de Control a la Auditoría Superior del Estado, a fin de que realice el seguimiento correspondiente.</w:t>
      </w:r>
    </w:p>
    <w:p w14:paraId="5FCEB438" w14:textId="77777777" w:rsidR="009C0C20" w:rsidRPr="000E0559" w:rsidRDefault="009C0C20" w:rsidP="005D1C4E">
      <w:pPr>
        <w:ind w:firstLine="708"/>
        <w:jc w:val="both"/>
        <w:rPr>
          <w:rFonts w:ascii="Abadi" w:hAnsi="Abadi"/>
          <w:bCs/>
          <w:sz w:val="21"/>
          <w:szCs w:val="21"/>
        </w:rPr>
      </w:pPr>
    </w:p>
    <w:p w14:paraId="7C5346C0" w14:textId="77777777" w:rsidR="005D1C4E" w:rsidRPr="009C0C20" w:rsidRDefault="005D1C4E" w:rsidP="005D1C4E">
      <w:pPr>
        <w:pStyle w:val="Textoindependiente"/>
        <w:ind w:firstLine="708"/>
        <w:rPr>
          <w:rFonts w:ascii="Abadi" w:hAnsi="Abadi"/>
          <w:b w:val="0"/>
          <w:bCs w:val="0"/>
          <w:iCs/>
          <w:sz w:val="21"/>
          <w:szCs w:val="21"/>
        </w:rPr>
      </w:pPr>
      <w:r w:rsidRPr="009C0C20">
        <w:rPr>
          <w:rFonts w:ascii="Abadi" w:hAnsi="Abadi"/>
          <w:b w:val="0"/>
          <w:bCs w:val="0"/>
          <w:iCs/>
          <w:sz w:val="21"/>
          <w:szCs w:val="21"/>
        </w:rPr>
        <w:t xml:space="preserve">Por lo expuesto y con fundamento en el artículo 204 de </w:t>
      </w:r>
      <w:smartTag w:uri="urn:schemas-microsoft-com:office:smarttags" w:element="PersonName">
        <w:smartTagPr>
          <w:attr w:name="ProductID" w:val="la Ley Org￡nica"/>
        </w:smartTagPr>
        <w:r w:rsidRPr="009C0C20">
          <w:rPr>
            <w:rFonts w:ascii="Abadi" w:hAnsi="Abadi"/>
            <w:b w:val="0"/>
            <w:bCs w:val="0"/>
            <w:iCs/>
            <w:sz w:val="21"/>
            <w:szCs w:val="21"/>
          </w:rPr>
          <w:t>la Ley Orgánica</w:t>
        </w:r>
      </w:smartTag>
      <w:r w:rsidRPr="009C0C20">
        <w:rPr>
          <w:rFonts w:ascii="Abadi" w:hAnsi="Abadi"/>
          <w:b w:val="0"/>
          <w:bCs w:val="0"/>
          <w:iCs/>
          <w:sz w:val="21"/>
          <w:szCs w:val="21"/>
        </w:rPr>
        <w:t xml:space="preserve"> del Poder Legislativo del Estado, sometemos a la consideración de </w:t>
      </w:r>
      <w:smartTag w:uri="urn:schemas-microsoft-com:office:smarttags" w:element="PersonName">
        <w:smartTagPr>
          <w:attr w:name="ProductID" w:val="la Asamblea"/>
        </w:smartTagPr>
        <w:r w:rsidRPr="009C0C20">
          <w:rPr>
            <w:rFonts w:ascii="Abadi" w:hAnsi="Abadi"/>
            <w:b w:val="0"/>
            <w:bCs w:val="0"/>
            <w:iCs/>
            <w:sz w:val="21"/>
            <w:szCs w:val="21"/>
          </w:rPr>
          <w:t>la Asamblea</w:t>
        </w:r>
      </w:smartTag>
      <w:r w:rsidRPr="009C0C20">
        <w:rPr>
          <w:rFonts w:ascii="Abadi" w:hAnsi="Abadi"/>
          <w:b w:val="0"/>
          <w:bCs w:val="0"/>
          <w:iCs/>
          <w:sz w:val="21"/>
          <w:szCs w:val="21"/>
        </w:rPr>
        <w:t>, la aprobación del siguiente:</w:t>
      </w:r>
    </w:p>
    <w:p w14:paraId="21CE3262" w14:textId="77777777" w:rsidR="005D1C4E" w:rsidRPr="001D599E" w:rsidRDefault="005D1C4E" w:rsidP="005D1C4E">
      <w:pPr>
        <w:pStyle w:val="Textoindependiente"/>
        <w:jc w:val="center"/>
        <w:rPr>
          <w:rFonts w:ascii="Abadi" w:hAnsi="Abadi"/>
          <w:bCs w:val="0"/>
          <w:iCs/>
          <w:sz w:val="21"/>
          <w:szCs w:val="21"/>
        </w:rPr>
      </w:pPr>
      <w:r w:rsidRPr="001D599E">
        <w:rPr>
          <w:rFonts w:ascii="Abadi" w:hAnsi="Abadi"/>
          <w:bCs w:val="0"/>
          <w:iCs/>
          <w:sz w:val="21"/>
          <w:szCs w:val="21"/>
        </w:rPr>
        <w:t>A c u e r d o</w:t>
      </w:r>
    </w:p>
    <w:p w14:paraId="7366CE15" w14:textId="77777777" w:rsidR="001D599E" w:rsidRPr="001D599E" w:rsidRDefault="001D599E" w:rsidP="005D1C4E">
      <w:pPr>
        <w:pStyle w:val="Textoindependiente"/>
        <w:jc w:val="center"/>
        <w:rPr>
          <w:rFonts w:ascii="Abadi" w:hAnsi="Abadi"/>
          <w:bCs w:val="0"/>
          <w:iCs/>
          <w:sz w:val="21"/>
          <w:szCs w:val="21"/>
        </w:rPr>
      </w:pPr>
    </w:p>
    <w:p w14:paraId="7E6F8C2D" w14:textId="77777777" w:rsidR="005D1C4E" w:rsidRDefault="005D1C4E" w:rsidP="005D1C4E">
      <w:pPr>
        <w:ind w:firstLine="708"/>
        <w:jc w:val="both"/>
        <w:rPr>
          <w:rFonts w:ascii="Abadi" w:hAnsi="Abadi" w:cs="Arial"/>
          <w:sz w:val="21"/>
          <w:szCs w:val="21"/>
        </w:rPr>
      </w:pPr>
      <w:r w:rsidRPr="000E0559">
        <w:rPr>
          <w:rFonts w:ascii="Abadi" w:hAnsi="Abadi" w:cs="Arial"/>
          <w:b/>
          <w:iCs/>
          <w:sz w:val="21"/>
          <w:szCs w:val="21"/>
        </w:rPr>
        <w:t>Único.</w:t>
      </w:r>
      <w:r w:rsidRPr="000E0559">
        <w:rPr>
          <w:rFonts w:ascii="Abadi" w:hAnsi="Abadi" w:cs="Arial"/>
          <w:b/>
          <w:sz w:val="21"/>
          <w:szCs w:val="21"/>
        </w:rPr>
        <w:t xml:space="preserve"> </w:t>
      </w:r>
      <w:r w:rsidRPr="000E0559">
        <w:rPr>
          <w:rFonts w:ascii="Abadi" w:hAnsi="Abadi" w:cs="Arial"/>
          <w:sz w:val="21"/>
          <w:szCs w:val="21"/>
        </w:rPr>
        <w:t xml:space="preserve">Se </w:t>
      </w:r>
      <w:r w:rsidRPr="000E0559">
        <w:rPr>
          <w:rFonts w:ascii="Abadi" w:hAnsi="Abadi" w:cs="Arial"/>
          <w:iCs/>
          <w:sz w:val="21"/>
          <w:szCs w:val="21"/>
        </w:rPr>
        <w:t>determina improcedente la propuesta</w:t>
      </w:r>
      <w:r w:rsidRPr="000E0559">
        <w:rPr>
          <w:rFonts w:ascii="Abadi" w:hAnsi="Abadi" w:cs="Arial"/>
          <w:sz w:val="21"/>
          <w:szCs w:val="21"/>
        </w:rPr>
        <w:t xml:space="preserve"> </w:t>
      </w:r>
      <w:r w:rsidRPr="000E0559">
        <w:rPr>
          <w:rFonts w:ascii="Abadi" w:hAnsi="Abadi"/>
          <w:sz w:val="21"/>
          <w:szCs w:val="21"/>
        </w:rPr>
        <w:t xml:space="preserve">de punto de acuerdo </w:t>
      </w:r>
      <w:r w:rsidRPr="000E0559">
        <w:rPr>
          <w:rFonts w:ascii="Abadi" w:eastAsia="Batang" w:hAnsi="Abadi" w:cs="Arial"/>
          <w:sz w:val="21"/>
          <w:szCs w:val="21"/>
        </w:rPr>
        <w:t xml:space="preserve">formulada por </w:t>
      </w:r>
      <w:r w:rsidRPr="000E0559">
        <w:rPr>
          <w:rFonts w:ascii="Abadi" w:hAnsi="Abadi" w:cs="Arial"/>
          <w:iCs/>
          <w:sz w:val="21"/>
          <w:szCs w:val="21"/>
        </w:rPr>
        <w:t xml:space="preserve">diputadas y diputados integrantes del Grupo Parlamentario del Partido MORENA, a efecto de </w:t>
      </w:r>
      <w:r w:rsidRPr="000E0559">
        <w:rPr>
          <w:rFonts w:ascii="Abadi" w:hAnsi="Abadi"/>
          <w:sz w:val="21"/>
          <w:szCs w:val="21"/>
          <w:lang w:val="es-ES_tradnl"/>
        </w:rPr>
        <w:t>exhortar al contralor municipal, Ernesto Fiscal Argüello, para que en el ámbito de sus atribuciones resuelva con prontitud los procedimientos de presunta responsabilidad administrativa derivados de la revisión de cuenta pública 2019 de San Miguel de Allende y, en su caso, promueva las sanciones correspondientes</w:t>
      </w:r>
      <w:r w:rsidRPr="000E0559">
        <w:rPr>
          <w:rFonts w:ascii="Abadi" w:hAnsi="Abadi" w:cs="Arial"/>
          <w:sz w:val="21"/>
          <w:szCs w:val="21"/>
        </w:rPr>
        <w:t>. En consecuencia, se ordena su archivo definitivo.</w:t>
      </w:r>
    </w:p>
    <w:p w14:paraId="118D4235" w14:textId="77777777" w:rsidR="009C0C20" w:rsidRPr="000E0559" w:rsidRDefault="009C0C20" w:rsidP="005D1C4E">
      <w:pPr>
        <w:ind w:firstLine="708"/>
        <w:jc w:val="both"/>
        <w:rPr>
          <w:rFonts w:ascii="Abadi" w:hAnsi="Abadi" w:cs="Arial"/>
          <w:sz w:val="21"/>
          <w:szCs w:val="21"/>
        </w:rPr>
      </w:pPr>
    </w:p>
    <w:p w14:paraId="18618B7E" w14:textId="77777777" w:rsidR="005D1C4E" w:rsidRDefault="005D1C4E" w:rsidP="005D1C4E">
      <w:pPr>
        <w:ind w:firstLine="708"/>
        <w:jc w:val="both"/>
        <w:rPr>
          <w:rFonts w:ascii="Abadi" w:hAnsi="Abadi" w:cs="Arial"/>
          <w:sz w:val="21"/>
          <w:szCs w:val="21"/>
        </w:rPr>
      </w:pPr>
      <w:r w:rsidRPr="000E0559">
        <w:rPr>
          <w:rFonts w:ascii="Abadi" w:hAnsi="Abadi" w:cs="Arial"/>
          <w:sz w:val="21"/>
          <w:szCs w:val="21"/>
        </w:rPr>
        <w:lastRenderedPageBreak/>
        <w:t xml:space="preserve">Comuníquese el presente acuerdo al Secretario General del Congreso de Estado, para los efectos conducentes. </w:t>
      </w:r>
    </w:p>
    <w:p w14:paraId="4329A078" w14:textId="77777777" w:rsidR="009C0C20" w:rsidRDefault="009C0C20" w:rsidP="005D1C4E">
      <w:pPr>
        <w:jc w:val="center"/>
        <w:rPr>
          <w:rFonts w:ascii="Abadi" w:hAnsi="Abadi"/>
          <w:b/>
          <w:bCs/>
          <w:sz w:val="21"/>
          <w:szCs w:val="21"/>
          <w:lang w:eastAsia="x-none"/>
        </w:rPr>
      </w:pPr>
    </w:p>
    <w:p w14:paraId="71311F09" w14:textId="4D5B506F" w:rsidR="005D1C4E" w:rsidRPr="000E0559" w:rsidRDefault="005D1C4E" w:rsidP="005D1C4E">
      <w:pPr>
        <w:jc w:val="center"/>
        <w:rPr>
          <w:rFonts w:ascii="Abadi" w:hAnsi="Abadi"/>
          <w:b/>
          <w:bCs/>
          <w:sz w:val="21"/>
          <w:szCs w:val="21"/>
          <w:lang w:eastAsia="x-none"/>
        </w:rPr>
      </w:pPr>
      <w:r w:rsidRPr="000E0559">
        <w:rPr>
          <w:rFonts w:ascii="Abadi" w:hAnsi="Abadi"/>
          <w:b/>
          <w:bCs/>
          <w:sz w:val="21"/>
          <w:szCs w:val="21"/>
          <w:lang w:eastAsia="x-none"/>
        </w:rPr>
        <w:t xml:space="preserve">Guanajuato, </w:t>
      </w:r>
      <w:proofErr w:type="spellStart"/>
      <w:r w:rsidRPr="000E0559">
        <w:rPr>
          <w:rFonts w:ascii="Abadi" w:hAnsi="Abadi"/>
          <w:b/>
          <w:bCs/>
          <w:sz w:val="21"/>
          <w:szCs w:val="21"/>
          <w:lang w:eastAsia="x-none"/>
        </w:rPr>
        <w:t>Gto</w:t>
      </w:r>
      <w:proofErr w:type="spellEnd"/>
      <w:r w:rsidRPr="000E0559">
        <w:rPr>
          <w:rFonts w:ascii="Abadi" w:hAnsi="Abadi"/>
          <w:b/>
          <w:bCs/>
          <w:sz w:val="21"/>
          <w:szCs w:val="21"/>
          <w:lang w:eastAsia="x-none"/>
        </w:rPr>
        <w:t>., 21 de septiembre de 2022</w:t>
      </w:r>
    </w:p>
    <w:p w14:paraId="04809A4E" w14:textId="77777777" w:rsidR="005D1C4E" w:rsidRPr="000E0559" w:rsidRDefault="005D1C4E" w:rsidP="005D1C4E">
      <w:pPr>
        <w:jc w:val="center"/>
        <w:rPr>
          <w:rFonts w:ascii="Abadi" w:hAnsi="Abadi"/>
          <w:b/>
          <w:bCs/>
          <w:sz w:val="21"/>
          <w:szCs w:val="21"/>
          <w:lang w:eastAsia="x-none"/>
        </w:rPr>
      </w:pPr>
      <w:smartTag w:uri="urn:schemas-microsoft-com:office:smarttags" w:element="PersonName">
        <w:smartTagPr>
          <w:attr w:name="ProductID" w:val="La Comisi￳n"/>
        </w:smartTagPr>
        <w:r w:rsidRPr="000E0559">
          <w:rPr>
            <w:rFonts w:ascii="Abadi" w:hAnsi="Abadi"/>
            <w:b/>
            <w:bCs/>
            <w:sz w:val="21"/>
            <w:szCs w:val="21"/>
            <w:lang w:eastAsia="x-none"/>
          </w:rPr>
          <w:t>La Comisión</w:t>
        </w:r>
      </w:smartTag>
      <w:r w:rsidRPr="000E0559">
        <w:rPr>
          <w:rFonts w:ascii="Abadi" w:hAnsi="Abadi"/>
          <w:b/>
          <w:bCs/>
          <w:sz w:val="21"/>
          <w:szCs w:val="21"/>
          <w:lang w:eastAsia="x-none"/>
        </w:rPr>
        <w:t xml:space="preserve"> de Hacienda y Fiscalización</w:t>
      </w:r>
    </w:p>
    <w:p w14:paraId="6FA77DCA" w14:textId="77777777" w:rsidR="005D1C4E" w:rsidRPr="000E0559" w:rsidRDefault="005D1C4E" w:rsidP="005D1C4E">
      <w:pPr>
        <w:jc w:val="center"/>
        <w:rPr>
          <w:rFonts w:ascii="Abadi" w:hAnsi="Abadi"/>
          <w:sz w:val="21"/>
          <w:szCs w:val="21"/>
        </w:rPr>
      </w:pPr>
      <w:r w:rsidRPr="000E0559">
        <w:rPr>
          <w:rFonts w:ascii="Abadi" w:hAnsi="Abadi"/>
          <w:b/>
          <w:sz w:val="21"/>
          <w:szCs w:val="21"/>
          <w:lang w:eastAsia="x-none"/>
        </w:rPr>
        <w:t>Diputado Víctor Manuel Zanella Huerta</w:t>
      </w:r>
    </w:p>
    <w:p w14:paraId="6842A758" w14:textId="41890544" w:rsidR="005D1C4E" w:rsidRPr="000E0559" w:rsidRDefault="005D1C4E" w:rsidP="009C0C20">
      <w:pPr>
        <w:rPr>
          <w:rFonts w:ascii="Abadi" w:hAnsi="Abadi"/>
          <w:b/>
          <w:sz w:val="21"/>
          <w:szCs w:val="21"/>
          <w:lang w:eastAsia="x-none"/>
        </w:rPr>
      </w:pPr>
      <w:r w:rsidRPr="000E0559">
        <w:rPr>
          <w:rFonts w:ascii="Abadi" w:hAnsi="Abadi"/>
          <w:b/>
          <w:sz w:val="21"/>
          <w:szCs w:val="21"/>
          <w:lang w:eastAsia="x-none"/>
        </w:rPr>
        <w:t xml:space="preserve">Diputada Ruth Noemí Tiscareño Agoitia      Diputado Miguel Ángel Salim </w:t>
      </w:r>
      <w:proofErr w:type="spellStart"/>
      <w:r w:rsidRPr="000E0559">
        <w:rPr>
          <w:rFonts w:ascii="Abadi" w:hAnsi="Abadi"/>
          <w:b/>
          <w:sz w:val="21"/>
          <w:szCs w:val="21"/>
          <w:lang w:eastAsia="x-none"/>
        </w:rPr>
        <w:t>Alle</w:t>
      </w:r>
      <w:proofErr w:type="spellEnd"/>
    </w:p>
    <w:p w14:paraId="601ACB49" w14:textId="77777777" w:rsidR="005D1C4E" w:rsidRPr="000E0559" w:rsidRDefault="005D1C4E" w:rsidP="005D1C4E">
      <w:pPr>
        <w:rPr>
          <w:rFonts w:ascii="Abadi" w:hAnsi="Abadi"/>
          <w:b/>
          <w:sz w:val="21"/>
          <w:szCs w:val="21"/>
          <w:lang w:eastAsia="x-none"/>
        </w:rPr>
      </w:pPr>
      <w:r w:rsidRPr="000E0559">
        <w:rPr>
          <w:rFonts w:ascii="Abadi" w:hAnsi="Abadi"/>
          <w:b/>
          <w:sz w:val="21"/>
          <w:szCs w:val="21"/>
          <w:lang w:eastAsia="x-none"/>
        </w:rPr>
        <w:t xml:space="preserve">Diputado José Alfonso Borja Pimentel    </w:t>
      </w:r>
    </w:p>
    <w:p w14:paraId="7EF59412" w14:textId="5DBE0EAD" w:rsidR="005D1C4E" w:rsidRPr="000E0559" w:rsidRDefault="005D1C4E" w:rsidP="005D1C4E">
      <w:pPr>
        <w:jc w:val="center"/>
        <w:rPr>
          <w:rFonts w:ascii="Abadi" w:hAnsi="Abadi"/>
          <w:bCs/>
          <w:i/>
          <w:iCs/>
          <w:sz w:val="21"/>
          <w:szCs w:val="21"/>
          <w:lang w:eastAsia="x-none"/>
        </w:rPr>
      </w:pPr>
      <w:r w:rsidRPr="000E0559">
        <w:rPr>
          <w:rFonts w:ascii="Abadi" w:hAnsi="Abadi"/>
          <w:bCs/>
          <w:i/>
          <w:iCs/>
          <w:sz w:val="21"/>
          <w:szCs w:val="21"/>
          <w:lang w:eastAsia="x-none"/>
        </w:rPr>
        <w:t xml:space="preserve">                                                                        </w:t>
      </w:r>
    </w:p>
    <w:p w14:paraId="2E3E6D9A" w14:textId="77777777" w:rsidR="005D1C4E" w:rsidRPr="000E0559" w:rsidRDefault="005D1C4E" w:rsidP="005D1C4E">
      <w:pPr>
        <w:jc w:val="right"/>
        <w:rPr>
          <w:rFonts w:ascii="Abadi" w:hAnsi="Abadi"/>
          <w:b/>
          <w:sz w:val="21"/>
          <w:szCs w:val="21"/>
          <w:lang w:eastAsia="x-none"/>
        </w:rPr>
      </w:pPr>
      <w:r w:rsidRPr="000E0559">
        <w:rPr>
          <w:rFonts w:ascii="Abadi" w:hAnsi="Abadi"/>
          <w:b/>
          <w:sz w:val="21"/>
          <w:szCs w:val="21"/>
          <w:lang w:eastAsia="x-none"/>
        </w:rPr>
        <w:t>Diputada Alma Edwviges Alcaraz Hernández</w:t>
      </w:r>
    </w:p>
    <w:p w14:paraId="2BFF788D" w14:textId="77777777" w:rsidR="005D1C4E" w:rsidRPr="000E0559" w:rsidRDefault="005D1C4E" w:rsidP="005D1C4E">
      <w:pPr>
        <w:jc w:val="center"/>
        <w:rPr>
          <w:rFonts w:ascii="Abadi" w:hAnsi="Abadi"/>
          <w:bCs/>
          <w:sz w:val="21"/>
          <w:szCs w:val="21"/>
          <w:lang w:eastAsia="x-none"/>
        </w:rPr>
      </w:pPr>
      <w:r w:rsidRPr="000E0559">
        <w:rPr>
          <w:rFonts w:ascii="Abadi" w:hAnsi="Abadi"/>
          <w:b/>
          <w:sz w:val="21"/>
          <w:szCs w:val="21"/>
          <w:lang w:eastAsia="x-none"/>
        </w:rPr>
        <w:t xml:space="preserve">                                                                  </w:t>
      </w:r>
      <w:r w:rsidRPr="000E0559">
        <w:rPr>
          <w:rFonts w:ascii="Abadi" w:hAnsi="Abadi"/>
          <w:bCs/>
          <w:sz w:val="21"/>
          <w:szCs w:val="21"/>
          <w:lang w:eastAsia="x-none"/>
        </w:rPr>
        <w:t>Voto en contra</w:t>
      </w:r>
    </w:p>
    <w:p w14:paraId="02C07744" w14:textId="77777777" w:rsidR="005D1C4E" w:rsidRDefault="005D1C4E" w:rsidP="005D1C4E">
      <w:pPr>
        <w:jc w:val="center"/>
        <w:rPr>
          <w:rFonts w:ascii="Abadi" w:hAnsi="Abadi"/>
          <w:bCs/>
          <w:i/>
          <w:iCs/>
          <w:sz w:val="21"/>
          <w:szCs w:val="21"/>
          <w:lang w:eastAsia="x-none"/>
        </w:rPr>
      </w:pPr>
      <w:r w:rsidRPr="000E0559">
        <w:rPr>
          <w:rFonts w:ascii="Abadi" w:hAnsi="Abadi"/>
          <w:bCs/>
          <w:i/>
          <w:iCs/>
          <w:sz w:val="21"/>
          <w:szCs w:val="21"/>
          <w:lang w:eastAsia="x-none"/>
        </w:rPr>
        <w:t xml:space="preserve">                                                                 Firma electrónica</w:t>
      </w:r>
    </w:p>
    <w:p w14:paraId="6A82C19C" w14:textId="77777777" w:rsidR="00B666ED" w:rsidRDefault="00B666ED" w:rsidP="005D1C4E">
      <w:pPr>
        <w:jc w:val="center"/>
        <w:rPr>
          <w:rFonts w:ascii="Abadi" w:hAnsi="Abadi"/>
          <w:bCs/>
          <w:i/>
          <w:iCs/>
          <w:sz w:val="21"/>
          <w:szCs w:val="21"/>
          <w:lang w:eastAsia="x-none"/>
        </w:rPr>
      </w:pPr>
    </w:p>
    <w:p w14:paraId="024534A9" w14:textId="77777777" w:rsidR="00B666ED" w:rsidRDefault="00B666ED" w:rsidP="005D1C4E">
      <w:pPr>
        <w:jc w:val="center"/>
        <w:rPr>
          <w:rFonts w:ascii="Abadi" w:hAnsi="Abadi"/>
          <w:bCs/>
          <w:i/>
          <w:iCs/>
          <w:sz w:val="21"/>
          <w:szCs w:val="21"/>
          <w:lang w:eastAsia="x-none"/>
        </w:rPr>
      </w:pPr>
    </w:p>
    <w:p w14:paraId="3EBF3E2F" w14:textId="10DCB5F1" w:rsidR="00E614F0" w:rsidRDefault="00E614F0" w:rsidP="00E614F0">
      <w:pPr>
        <w:jc w:val="both"/>
        <w:rPr>
          <w:rFonts w:ascii="Abadi" w:hAnsi="Abadi"/>
          <w:b/>
          <w:bCs/>
          <w:sz w:val="21"/>
          <w:szCs w:val="21"/>
        </w:rPr>
      </w:pPr>
      <w:r>
        <w:rPr>
          <w:rFonts w:ascii="Abadi" w:hAnsi="Abadi"/>
          <w:b/>
          <w:bCs/>
          <w:sz w:val="21"/>
          <w:szCs w:val="21"/>
        </w:rPr>
        <w:tab/>
      </w:r>
      <w:r w:rsidRPr="00C81AA8">
        <w:rPr>
          <w:rFonts w:ascii="Abadi" w:hAnsi="Abadi"/>
          <w:b/>
          <w:bCs/>
          <w:sz w:val="21"/>
          <w:szCs w:val="21"/>
        </w:rPr>
        <w:t xml:space="preserve">- La </w:t>
      </w:r>
      <w:proofErr w:type="gramStart"/>
      <w:r w:rsidRPr="00C81AA8">
        <w:rPr>
          <w:rFonts w:ascii="Abadi" w:hAnsi="Abadi"/>
          <w:b/>
          <w:bCs/>
          <w:sz w:val="21"/>
          <w:szCs w:val="21"/>
        </w:rPr>
        <w:t>Presidencia.-</w:t>
      </w:r>
      <w:proofErr w:type="gramEnd"/>
      <w:r>
        <w:rPr>
          <w:rFonts w:ascii="Abadi" w:hAnsi="Abadi"/>
          <w:sz w:val="21"/>
          <w:szCs w:val="21"/>
        </w:rPr>
        <w:t xml:space="preserve"> A</w:t>
      </w:r>
      <w:r w:rsidRPr="0030088F">
        <w:rPr>
          <w:rFonts w:ascii="Abadi" w:hAnsi="Abadi"/>
          <w:sz w:val="21"/>
          <w:szCs w:val="21"/>
        </w:rPr>
        <w:t xml:space="preserve">hora proceden someter a discusión el dictamen signado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iscalización referido en el punto 26 del orden del día</w:t>
      </w:r>
      <w:r>
        <w:rPr>
          <w:rFonts w:ascii="Abadi" w:hAnsi="Abadi"/>
          <w:sz w:val="21"/>
          <w:szCs w:val="21"/>
        </w:rPr>
        <w:t xml:space="preserve">. </w:t>
      </w:r>
      <w:r>
        <w:rPr>
          <w:rFonts w:ascii="Helvetica" w:hAnsi="Helvetica"/>
          <w:color w:val="333333"/>
          <w:sz w:val="21"/>
          <w:szCs w:val="21"/>
          <w:shd w:val="clear" w:color="auto" w:fill="FFFFFF"/>
        </w:rPr>
        <w:t> </w:t>
      </w:r>
      <w:r w:rsidRPr="00966F0D">
        <w:rPr>
          <w:rFonts w:ascii="Abadi" w:hAnsi="Abadi"/>
          <w:b/>
          <w:bCs/>
          <w:sz w:val="21"/>
          <w:szCs w:val="21"/>
        </w:rPr>
        <w:t>(ELD 90/LXV-PPA)</w:t>
      </w:r>
    </w:p>
    <w:p w14:paraId="7795075D" w14:textId="77777777" w:rsidR="00E614F0" w:rsidRPr="00966F0D" w:rsidRDefault="00E614F0" w:rsidP="00E614F0">
      <w:pPr>
        <w:jc w:val="both"/>
        <w:rPr>
          <w:rFonts w:ascii="Abadi" w:hAnsi="Abadi"/>
          <w:b/>
          <w:bCs/>
          <w:sz w:val="21"/>
          <w:szCs w:val="21"/>
        </w:rPr>
      </w:pPr>
    </w:p>
    <w:p w14:paraId="49C1606C" w14:textId="14EE2151" w:rsidR="00E614F0" w:rsidRDefault="00E614F0" w:rsidP="00E614F0">
      <w:pPr>
        <w:jc w:val="both"/>
        <w:rPr>
          <w:rFonts w:ascii="Abadi" w:hAnsi="Abadi"/>
          <w:sz w:val="21"/>
          <w:szCs w:val="21"/>
        </w:rPr>
      </w:pPr>
      <w:r>
        <w:rPr>
          <w:rFonts w:ascii="Abadi" w:hAnsi="Abadi"/>
          <w:sz w:val="21"/>
          <w:szCs w:val="21"/>
        </w:rPr>
        <w:tab/>
        <w:t xml:space="preserve">- Si </w:t>
      </w:r>
      <w:r w:rsidRPr="0030088F">
        <w:rPr>
          <w:rFonts w:ascii="Abadi" w:hAnsi="Abadi"/>
          <w:sz w:val="21"/>
          <w:szCs w:val="21"/>
        </w:rPr>
        <w:t>desean hacer uso de la palabra a favor o en contra manifié</w:t>
      </w:r>
      <w:r>
        <w:rPr>
          <w:rFonts w:ascii="Abadi" w:hAnsi="Abadi"/>
          <w:sz w:val="21"/>
          <w:szCs w:val="21"/>
        </w:rPr>
        <w:t xml:space="preserve">stenlo </w:t>
      </w:r>
      <w:r w:rsidRPr="0030088F">
        <w:rPr>
          <w:rFonts w:ascii="Abadi" w:hAnsi="Abadi"/>
          <w:sz w:val="21"/>
          <w:szCs w:val="21"/>
        </w:rPr>
        <w:t>indicando el sentido de su participación</w:t>
      </w:r>
      <w:r>
        <w:rPr>
          <w:rFonts w:ascii="Abadi" w:hAnsi="Abadi"/>
          <w:sz w:val="21"/>
          <w:szCs w:val="21"/>
        </w:rPr>
        <w:t>. E</w:t>
      </w:r>
      <w:r w:rsidRPr="0030088F">
        <w:rPr>
          <w:rFonts w:ascii="Abadi" w:hAnsi="Abadi"/>
          <w:sz w:val="21"/>
          <w:szCs w:val="21"/>
        </w:rPr>
        <w:t xml:space="preserve">n virtud de que no hay participaciones se pide a la secretaría proceda a recabar votación nominal de la </w:t>
      </w:r>
      <w:r>
        <w:rPr>
          <w:rFonts w:ascii="Abadi" w:hAnsi="Abadi"/>
          <w:sz w:val="21"/>
          <w:szCs w:val="21"/>
        </w:rPr>
        <w:t>A</w:t>
      </w:r>
      <w:r w:rsidRPr="0030088F">
        <w:rPr>
          <w:rFonts w:ascii="Abadi" w:hAnsi="Abadi"/>
          <w:sz w:val="21"/>
          <w:szCs w:val="21"/>
        </w:rPr>
        <w:t>samblea a través del sistema electrónico a</w:t>
      </w:r>
      <w:r>
        <w:rPr>
          <w:rFonts w:ascii="Abadi" w:hAnsi="Abadi"/>
          <w:sz w:val="21"/>
          <w:szCs w:val="21"/>
        </w:rPr>
        <w:t xml:space="preserve"> efecto de</w:t>
      </w:r>
      <w:r w:rsidRPr="0030088F">
        <w:rPr>
          <w:rFonts w:ascii="Abadi" w:hAnsi="Abadi"/>
          <w:sz w:val="21"/>
          <w:szCs w:val="21"/>
        </w:rPr>
        <w:t xml:space="preserve"> aprobar</w:t>
      </w:r>
      <w:r>
        <w:rPr>
          <w:rFonts w:ascii="Abadi" w:hAnsi="Abadi"/>
          <w:sz w:val="21"/>
          <w:szCs w:val="21"/>
        </w:rPr>
        <w:t xml:space="preserve"> o no</w:t>
      </w:r>
      <w:r w:rsidRPr="0030088F">
        <w:rPr>
          <w:rFonts w:ascii="Abadi" w:hAnsi="Abadi"/>
          <w:sz w:val="21"/>
          <w:szCs w:val="21"/>
        </w:rPr>
        <w:t xml:space="preserve"> el dictamen puesto a su consideración</w:t>
      </w:r>
      <w:r>
        <w:rPr>
          <w:rFonts w:ascii="Abadi" w:hAnsi="Abadi"/>
          <w:sz w:val="21"/>
          <w:szCs w:val="21"/>
        </w:rPr>
        <w:t>.</w:t>
      </w:r>
    </w:p>
    <w:p w14:paraId="022B159E" w14:textId="77777777" w:rsidR="00E614F0" w:rsidRDefault="00E614F0" w:rsidP="00E614F0">
      <w:pPr>
        <w:jc w:val="both"/>
        <w:rPr>
          <w:rFonts w:ascii="Abadi" w:hAnsi="Abadi"/>
          <w:sz w:val="21"/>
          <w:szCs w:val="21"/>
        </w:rPr>
      </w:pPr>
    </w:p>
    <w:p w14:paraId="1A9CF6CA" w14:textId="77777777" w:rsidR="00E614F0" w:rsidRDefault="00E614F0" w:rsidP="00E614F0">
      <w:pPr>
        <w:jc w:val="both"/>
        <w:rPr>
          <w:rFonts w:ascii="Abadi" w:hAnsi="Abadi"/>
          <w:b/>
          <w:bCs/>
          <w:sz w:val="21"/>
          <w:szCs w:val="21"/>
        </w:rPr>
      </w:pPr>
      <w:r w:rsidRPr="007E7CDB">
        <w:rPr>
          <w:rFonts w:ascii="Abadi" w:hAnsi="Abadi"/>
          <w:b/>
          <w:bCs/>
          <w:sz w:val="21"/>
          <w:szCs w:val="21"/>
        </w:rPr>
        <w:t>(se abre el sistema electrónico)</w:t>
      </w:r>
      <w:r>
        <w:rPr>
          <w:rFonts w:ascii="Abadi" w:hAnsi="Abadi"/>
          <w:b/>
          <w:bCs/>
          <w:sz w:val="21"/>
          <w:szCs w:val="21"/>
        </w:rPr>
        <w:t xml:space="preserve"> </w:t>
      </w:r>
    </w:p>
    <w:p w14:paraId="358EE34D" w14:textId="77777777" w:rsidR="00E614F0" w:rsidRPr="007E7CDB" w:rsidRDefault="00E614F0" w:rsidP="00E614F0">
      <w:pPr>
        <w:jc w:val="both"/>
        <w:rPr>
          <w:rFonts w:ascii="Abadi" w:hAnsi="Abadi"/>
          <w:b/>
          <w:bCs/>
          <w:sz w:val="21"/>
          <w:szCs w:val="21"/>
        </w:rPr>
      </w:pPr>
    </w:p>
    <w:p w14:paraId="12B457E9" w14:textId="77777777" w:rsidR="00E614F0" w:rsidRDefault="00E614F0" w:rsidP="00E614F0">
      <w:pPr>
        <w:jc w:val="both"/>
        <w:rPr>
          <w:rFonts w:ascii="Abadi" w:hAnsi="Abadi"/>
          <w:sz w:val="21"/>
          <w:szCs w:val="21"/>
        </w:rPr>
      </w:pPr>
      <w:r>
        <w:rPr>
          <w:rFonts w:ascii="Abadi" w:hAnsi="Abadi"/>
          <w:sz w:val="21"/>
          <w:szCs w:val="21"/>
        </w:rPr>
        <w:tab/>
      </w:r>
      <w:r w:rsidRPr="00217DEB">
        <w:rPr>
          <w:rFonts w:ascii="Abadi" w:hAnsi="Abadi"/>
          <w:b/>
          <w:bCs/>
          <w:sz w:val="21"/>
          <w:szCs w:val="21"/>
        </w:rPr>
        <w:t xml:space="preserve">- La </w:t>
      </w:r>
      <w:proofErr w:type="gramStart"/>
      <w:r w:rsidRPr="00217DEB">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or instrucciones de la presidencia y en votación nominal y mediante el sistema electrónico se les pregunta si se aprueba el dictamen que se pone a su consideración</w:t>
      </w:r>
      <w:r>
        <w:rPr>
          <w:rFonts w:ascii="Abadi" w:hAnsi="Abadi"/>
          <w:sz w:val="21"/>
          <w:szCs w:val="21"/>
        </w:rPr>
        <w:t>.</w:t>
      </w:r>
    </w:p>
    <w:p w14:paraId="778745FE" w14:textId="77777777" w:rsidR="00E614F0" w:rsidRDefault="00E614F0" w:rsidP="00E614F0">
      <w:pPr>
        <w:jc w:val="both"/>
        <w:rPr>
          <w:rFonts w:ascii="Abadi" w:hAnsi="Abadi"/>
          <w:sz w:val="21"/>
          <w:szCs w:val="21"/>
        </w:rPr>
      </w:pPr>
    </w:p>
    <w:p w14:paraId="2B9D45C9" w14:textId="77777777" w:rsidR="00E614F0" w:rsidRDefault="00E614F0" w:rsidP="00E614F0">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4296DE0D" w14:textId="77777777" w:rsidR="00E614F0" w:rsidRDefault="00E614F0" w:rsidP="00E614F0">
      <w:pPr>
        <w:jc w:val="both"/>
        <w:rPr>
          <w:rFonts w:ascii="Abadi" w:hAnsi="Abadi"/>
          <w:sz w:val="21"/>
          <w:szCs w:val="21"/>
        </w:rPr>
      </w:pPr>
    </w:p>
    <w:p w14:paraId="4B8AF614" w14:textId="77777777" w:rsidR="00E614F0" w:rsidRDefault="00E614F0" w:rsidP="00E614F0">
      <w:pPr>
        <w:jc w:val="both"/>
        <w:rPr>
          <w:rFonts w:ascii="Abadi" w:hAnsi="Abadi"/>
          <w:b/>
          <w:bCs/>
          <w:sz w:val="21"/>
          <w:szCs w:val="21"/>
        </w:rPr>
      </w:pPr>
      <w:r w:rsidRPr="00C05642">
        <w:rPr>
          <w:rFonts w:ascii="Abadi" w:hAnsi="Abadi"/>
          <w:b/>
          <w:bCs/>
          <w:sz w:val="21"/>
          <w:szCs w:val="21"/>
        </w:rPr>
        <w:t>(se cierra el sistema electrónico)</w:t>
      </w:r>
    </w:p>
    <w:p w14:paraId="2D0F30BD" w14:textId="77777777" w:rsidR="00E614F0" w:rsidRDefault="00E614F0" w:rsidP="00E614F0">
      <w:pPr>
        <w:jc w:val="both"/>
        <w:rPr>
          <w:rFonts w:ascii="Abadi" w:hAnsi="Abadi"/>
          <w:sz w:val="21"/>
          <w:szCs w:val="21"/>
        </w:rPr>
      </w:pPr>
      <w:r>
        <w:rPr>
          <w:noProof/>
        </w:rPr>
        <w:drawing>
          <wp:inline distT="0" distB="0" distL="0" distR="0" wp14:anchorId="35C8ED5C" wp14:editId="30D17170">
            <wp:extent cx="1617785" cy="816116"/>
            <wp:effectExtent l="247650" t="247650" r="249555" b="250825"/>
            <wp:docPr id="1764001731" name="Imagen 176400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4001731" name=""/>
                    <pic:cNvPicPr/>
                  </pic:nvPicPr>
                  <pic:blipFill rotWithShape="1">
                    <a:blip r:embed="rId65"/>
                    <a:srcRect b="10311"/>
                    <a:stretch/>
                  </pic:blipFill>
                  <pic:spPr bwMode="auto">
                    <a:xfrm>
                      <a:off x="0" y="0"/>
                      <a:ext cx="1627393" cy="820963"/>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ACD8379" w14:textId="77777777" w:rsidR="00E614F0" w:rsidRDefault="00E614F0" w:rsidP="00E614F0">
      <w:pPr>
        <w:jc w:val="both"/>
        <w:rPr>
          <w:rFonts w:ascii="Abadi" w:hAnsi="Abadi"/>
          <w:sz w:val="21"/>
          <w:szCs w:val="21"/>
        </w:rPr>
      </w:pPr>
    </w:p>
    <w:p w14:paraId="3170C5E5" w14:textId="77777777" w:rsidR="00E614F0" w:rsidRDefault="00E614F0" w:rsidP="00E614F0">
      <w:pPr>
        <w:jc w:val="both"/>
        <w:rPr>
          <w:rFonts w:ascii="Abadi" w:hAnsi="Abadi"/>
          <w:sz w:val="21"/>
          <w:szCs w:val="21"/>
        </w:rPr>
      </w:pPr>
    </w:p>
    <w:p w14:paraId="4E64A673" w14:textId="77777777" w:rsidR="00E614F0" w:rsidRDefault="00E614F0" w:rsidP="00E614F0">
      <w:pPr>
        <w:jc w:val="both"/>
        <w:rPr>
          <w:rFonts w:ascii="Abadi" w:hAnsi="Abadi"/>
          <w:sz w:val="21"/>
          <w:szCs w:val="21"/>
        </w:rPr>
      </w:pPr>
      <w:r>
        <w:rPr>
          <w:rFonts w:ascii="Abadi" w:hAnsi="Abadi"/>
          <w:sz w:val="21"/>
          <w:szCs w:val="21"/>
        </w:rPr>
        <w:tab/>
      </w:r>
      <w:r w:rsidRPr="001756B0">
        <w:rPr>
          <w:rFonts w:ascii="Abadi" w:hAnsi="Abadi"/>
          <w:b/>
          <w:bCs/>
          <w:sz w:val="21"/>
          <w:szCs w:val="21"/>
        </w:rPr>
        <w:t xml:space="preserve">- La </w:t>
      </w:r>
      <w:proofErr w:type="gramStart"/>
      <w:r w:rsidRPr="001756B0">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residenta le informo que se han registrado 27 votos a favor 6 votos en contra</w:t>
      </w:r>
      <w:r>
        <w:rPr>
          <w:rFonts w:ascii="Abadi" w:hAnsi="Abadi"/>
          <w:sz w:val="21"/>
          <w:szCs w:val="21"/>
        </w:rPr>
        <w:t>.</w:t>
      </w:r>
    </w:p>
    <w:p w14:paraId="1F2B9B94" w14:textId="77777777" w:rsidR="00E614F0" w:rsidRDefault="00E614F0" w:rsidP="00E614F0">
      <w:pPr>
        <w:jc w:val="both"/>
        <w:rPr>
          <w:rFonts w:ascii="Abadi" w:hAnsi="Abadi"/>
          <w:sz w:val="21"/>
          <w:szCs w:val="21"/>
        </w:rPr>
      </w:pPr>
    </w:p>
    <w:p w14:paraId="065275D4" w14:textId="77777777" w:rsidR="00E614F0" w:rsidRDefault="00E614F0" w:rsidP="00E614F0">
      <w:pPr>
        <w:jc w:val="both"/>
        <w:rPr>
          <w:rFonts w:ascii="Abadi" w:hAnsi="Abadi"/>
          <w:sz w:val="21"/>
          <w:szCs w:val="21"/>
        </w:rPr>
      </w:pPr>
      <w:r>
        <w:rPr>
          <w:rFonts w:ascii="Abadi" w:hAnsi="Abadi"/>
          <w:sz w:val="21"/>
          <w:szCs w:val="21"/>
        </w:rPr>
        <w:tab/>
      </w:r>
      <w:r w:rsidRPr="001756B0">
        <w:rPr>
          <w:rFonts w:ascii="Abadi" w:hAnsi="Abadi"/>
          <w:b/>
          <w:bCs/>
          <w:sz w:val="21"/>
          <w:szCs w:val="21"/>
        </w:rPr>
        <w:t xml:space="preserve">- La </w:t>
      </w:r>
      <w:proofErr w:type="gramStart"/>
      <w:r w:rsidRPr="001756B0">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no ha sido aprobado por mayoría de votos</w:t>
      </w:r>
      <w:r>
        <w:rPr>
          <w:rFonts w:ascii="Abadi" w:hAnsi="Abadi"/>
          <w:sz w:val="21"/>
          <w:szCs w:val="21"/>
        </w:rPr>
        <w:t xml:space="preserve">. </w:t>
      </w:r>
    </w:p>
    <w:p w14:paraId="7703E777" w14:textId="77777777" w:rsidR="00E614F0" w:rsidRDefault="00E614F0" w:rsidP="00E614F0">
      <w:pPr>
        <w:jc w:val="both"/>
        <w:rPr>
          <w:rFonts w:ascii="Abadi" w:hAnsi="Abadi"/>
          <w:sz w:val="21"/>
          <w:szCs w:val="21"/>
        </w:rPr>
      </w:pPr>
    </w:p>
    <w:p w14:paraId="247EF6A5" w14:textId="77777777" w:rsidR="00E614F0" w:rsidRPr="002E482F" w:rsidRDefault="00E614F0" w:rsidP="00E614F0">
      <w:pPr>
        <w:ind w:left="993" w:right="1134"/>
        <w:jc w:val="both"/>
        <w:rPr>
          <w:rFonts w:ascii="Abadi" w:hAnsi="Abadi"/>
          <w:b/>
          <w:bCs/>
          <w:i/>
          <w:iCs/>
          <w:sz w:val="21"/>
          <w:szCs w:val="21"/>
          <w:u w:val="single"/>
        </w:rPr>
      </w:pPr>
      <w:r w:rsidRPr="002E482F">
        <w:rPr>
          <w:rFonts w:ascii="Abadi" w:hAnsi="Abadi"/>
          <w:b/>
          <w:bCs/>
          <w:i/>
          <w:iCs/>
          <w:sz w:val="21"/>
          <w:szCs w:val="21"/>
          <w:u w:val="single"/>
        </w:rPr>
        <w:t>En consecuencia se instruye a la Secretaría General para que proceda al archivo definitivo de la propuesta de punto de acuerdo referida en el dictamen.</w:t>
      </w:r>
    </w:p>
    <w:p w14:paraId="46FE514F" w14:textId="77777777" w:rsidR="00B666ED" w:rsidRPr="000E0559" w:rsidRDefault="00B666ED" w:rsidP="005D1C4E">
      <w:pPr>
        <w:jc w:val="center"/>
        <w:rPr>
          <w:rFonts w:ascii="Abadi" w:hAnsi="Abadi" w:cs="Arial"/>
          <w:b/>
          <w:bCs/>
          <w:sz w:val="21"/>
          <w:szCs w:val="21"/>
          <w:lang w:eastAsia="x-none"/>
        </w:rPr>
      </w:pPr>
    </w:p>
    <w:p w14:paraId="0F579184" w14:textId="77777777" w:rsidR="00374533" w:rsidRPr="00006796" w:rsidRDefault="00374533" w:rsidP="00075BB5">
      <w:pPr>
        <w:autoSpaceDE w:val="0"/>
        <w:autoSpaceDN w:val="0"/>
        <w:adjustRightInd w:val="0"/>
        <w:ind w:left="426"/>
        <w:jc w:val="both"/>
        <w:rPr>
          <w:rFonts w:ascii="Abadi" w:hAnsi="Abadi" w:cs="Arial-ItalicMT"/>
          <w:b/>
          <w:bCs/>
          <w:i/>
          <w:iCs/>
          <w:sz w:val="21"/>
          <w:szCs w:val="21"/>
        </w:rPr>
      </w:pPr>
    </w:p>
    <w:p w14:paraId="06CDFBB0" w14:textId="0A77E4BE" w:rsidR="00BE2406" w:rsidRDefault="00374533" w:rsidP="00BE240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 LA INICIATIVA FORMULADA POR EL GOBERNADOR DEL ESTADO, A EFECTO DE QUE SE AUTORICE EN LO GENERAL QUE UNA FRACCIÓN DEL BIEN INMUEBLE MATERIA DE LA AUTORIZACIÓN OTORGADA MEDIANTE EL DECRETO LEGISLATIVO NÚMERO 137, PUBLICADO EN EL PERIÓDICO OFICIAL DEL GOBIERNO DEL ESTADO NÚMERO 48, SEGUNDA PARTE, DE FECHA 17 DE JUNIO DE 1997, SE DESTINE PARA LA CONSTRUCCIÓN Y EQUIPAMIENTO DE LA ESTACIÓN DE TRANSFERENCIA METROPOLITANA. </w:t>
      </w:r>
      <w:r w:rsidRPr="00006796">
        <w:rPr>
          <w:rFonts w:ascii="Abadi" w:hAnsi="Abadi" w:cs="Arial-ItalicMT"/>
          <w:b/>
          <w:bCs/>
          <w:i/>
          <w:iCs/>
          <w:sz w:val="21"/>
          <w:szCs w:val="21"/>
        </w:rPr>
        <w:t>(ELD 486/LXV-I)</w:t>
      </w:r>
      <w:r w:rsidR="00701B1E">
        <w:rPr>
          <w:rStyle w:val="Refdenotaalpie"/>
          <w:rFonts w:ascii="Abadi" w:hAnsi="Abadi" w:cs="Arial-ItalicMT"/>
          <w:b/>
          <w:bCs/>
          <w:i/>
          <w:iCs/>
          <w:sz w:val="21"/>
          <w:szCs w:val="21"/>
        </w:rPr>
        <w:footnoteReference w:id="209"/>
      </w:r>
    </w:p>
    <w:p w14:paraId="66D377FD" w14:textId="77777777" w:rsidR="008A787B" w:rsidRDefault="008A787B" w:rsidP="008A787B">
      <w:pPr>
        <w:pStyle w:val="Prrafodelista"/>
        <w:autoSpaceDE w:val="0"/>
        <w:autoSpaceDN w:val="0"/>
        <w:adjustRightInd w:val="0"/>
        <w:ind w:left="426"/>
        <w:contextualSpacing/>
        <w:jc w:val="both"/>
        <w:rPr>
          <w:rFonts w:ascii="Abadi" w:hAnsi="Abadi" w:cs="Arial-ItalicMT"/>
          <w:b/>
          <w:bCs/>
          <w:i/>
          <w:iCs/>
          <w:sz w:val="21"/>
          <w:szCs w:val="21"/>
        </w:rPr>
      </w:pPr>
    </w:p>
    <w:p w14:paraId="6A2C528C" w14:textId="77777777" w:rsidR="00BE2406" w:rsidRDefault="00BE2406" w:rsidP="00BE2406">
      <w:pPr>
        <w:pStyle w:val="Prrafodelista"/>
        <w:autoSpaceDE w:val="0"/>
        <w:autoSpaceDN w:val="0"/>
        <w:adjustRightInd w:val="0"/>
        <w:ind w:left="0"/>
        <w:contextualSpacing/>
        <w:jc w:val="both"/>
        <w:rPr>
          <w:rFonts w:ascii="Abadi" w:hAnsi="Abadi" w:cs="ArialMT"/>
          <w:b/>
          <w:bCs/>
          <w:sz w:val="21"/>
          <w:szCs w:val="21"/>
        </w:rPr>
      </w:pPr>
    </w:p>
    <w:p w14:paraId="162AE1FF" w14:textId="5A0AC4CA" w:rsidR="00BE2406" w:rsidRPr="00BE2406" w:rsidRDefault="00BE2406" w:rsidP="00BE2406">
      <w:pPr>
        <w:pStyle w:val="Prrafodelista"/>
        <w:autoSpaceDE w:val="0"/>
        <w:autoSpaceDN w:val="0"/>
        <w:adjustRightInd w:val="0"/>
        <w:ind w:left="0"/>
        <w:contextualSpacing/>
        <w:jc w:val="both"/>
        <w:rPr>
          <w:rFonts w:ascii="Abadi" w:hAnsi="Abadi" w:cs="Arial-ItalicMT"/>
          <w:b/>
          <w:bCs/>
          <w:i/>
          <w:iCs/>
          <w:sz w:val="21"/>
          <w:szCs w:val="21"/>
        </w:rPr>
      </w:pPr>
      <w:r w:rsidRPr="00BE2406">
        <w:rPr>
          <w:rFonts w:ascii="Abadi" w:hAnsi="Abadi" w:cs="Arial"/>
          <w:b/>
          <w:bCs/>
          <w:sz w:val="21"/>
          <w:szCs w:val="21"/>
        </w:rPr>
        <w:t>C. Presidenta del Congreso del Estado</w:t>
      </w:r>
    </w:p>
    <w:p w14:paraId="062CB068" w14:textId="77777777" w:rsidR="00BE2406" w:rsidRPr="00474D4A" w:rsidRDefault="00BE2406" w:rsidP="00BE2406">
      <w:pPr>
        <w:rPr>
          <w:rFonts w:ascii="Abadi" w:hAnsi="Abadi" w:cs="Arial"/>
          <w:b/>
          <w:sz w:val="21"/>
          <w:szCs w:val="21"/>
        </w:rPr>
      </w:pPr>
      <w:r w:rsidRPr="00474D4A">
        <w:rPr>
          <w:rFonts w:ascii="Abadi" w:hAnsi="Abadi" w:cs="Arial"/>
          <w:b/>
          <w:sz w:val="21"/>
          <w:szCs w:val="21"/>
        </w:rPr>
        <w:t>P r e s e n t e.</w:t>
      </w:r>
    </w:p>
    <w:p w14:paraId="7B78452B" w14:textId="77777777" w:rsidR="00BE2406" w:rsidRPr="00474D4A" w:rsidRDefault="00BE2406" w:rsidP="00BE2406">
      <w:pPr>
        <w:rPr>
          <w:rFonts w:ascii="Abadi" w:hAnsi="Abadi"/>
          <w:b/>
          <w:sz w:val="21"/>
          <w:szCs w:val="21"/>
          <w:lang w:val="es-MX"/>
        </w:rPr>
      </w:pPr>
    </w:p>
    <w:p w14:paraId="50027616" w14:textId="77777777" w:rsidR="00BE2406" w:rsidRPr="00474D4A" w:rsidRDefault="00BE2406" w:rsidP="00BE2406">
      <w:pPr>
        <w:jc w:val="both"/>
        <w:rPr>
          <w:rFonts w:ascii="Abadi" w:hAnsi="Abadi"/>
          <w:sz w:val="21"/>
          <w:szCs w:val="21"/>
          <w:lang w:val="es-MX"/>
        </w:rPr>
      </w:pPr>
      <w:r w:rsidRPr="00474D4A">
        <w:rPr>
          <w:rFonts w:ascii="Abadi" w:hAnsi="Abadi"/>
          <w:b/>
          <w:sz w:val="21"/>
          <w:szCs w:val="21"/>
          <w:lang w:val="es-MX"/>
        </w:rPr>
        <w:lastRenderedPageBreak/>
        <w:tab/>
      </w:r>
      <w:r w:rsidRPr="00474D4A">
        <w:rPr>
          <w:rFonts w:ascii="Abadi" w:hAnsi="Abadi"/>
          <w:sz w:val="21"/>
          <w:szCs w:val="21"/>
          <w:lang w:val="es-MX"/>
        </w:rPr>
        <w:t>A esta Comisión de Hacienda y Fiscalización le fue turnada para su estudio y dictamen, la iniciativa formulada por el Gobernador del Estado, a efecto de que se autorice en lo general que una fracción del bien inmueble materia de la autorización otorgada mediante el Decreto Legislativo número 137, publicado en el Periódico Oficial del Gobierno del Estado número 48, segunda parte, de fecha 17 de junio de 1997, se destine para la construcción y equipamiento de la Estación de Transferencia Metropolitana. (ELD 486/LXV-I)</w:t>
      </w:r>
    </w:p>
    <w:p w14:paraId="09790063" w14:textId="77777777" w:rsidR="00BE2406" w:rsidRPr="00474D4A" w:rsidRDefault="00BE2406" w:rsidP="00BE2406">
      <w:pPr>
        <w:pStyle w:val="Textoindependiente3"/>
        <w:spacing w:line="240" w:lineRule="auto"/>
        <w:rPr>
          <w:rFonts w:ascii="Abadi" w:hAnsi="Abadi"/>
          <w:sz w:val="21"/>
          <w:szCs w:val="21"/>
        </w:rPr>
      </w:pPr>
    </w:p>
    <w:p w14:paraId="02109A01" w14:textId="77777777" w:rsidR="00BE2406" w:rsidRPr="00BE2406" w:rsidRDefault="00BE2406" w:rsidP="00BE2406">
      <w:pPr>
        <w:pStyle w:val="Textoindependiente3"/>
        <w:spacing w:line="240" w:lineRule="auto"/>
        <w:rPr>
          <w:rFonts w:ascii="Abadi" w:hAnsi="Abadi" w:cs="Arial"/>
          <w:b w:val="0"/>
          <w:bCs/>
          <w:iCs/>
          <w:sz w:val="21"/>
          <w:szCs w:val="21"/>
        </w:rPr>
      </w:pPr>
      <w:r w:rsidRPr="00474D4A">
        <w:rPr>
          <w:rFonts w:ascii="Abadi" w:hAnsi="Abadi"/>
          <w:sz w:val="21"/>
          <w:szCs w:val="21"/>
        </w:rPr>
        <w:tab/>
      </w:r>
      <w:r w:rsidRPr="00BE2406">
        <w:rPr>
          <w:rFonts w:ascii="Abadi" w:hAnsi="Abadi" w:cs="Arial"/>
          <w:b w:val="0"/>
          <w:bCs/>
          <w:iCs/>
          <w:sz w:val="21"/>
          <w:szCs w:val="21"/>
        </w:rPr>
        <w:t xml:space="preserve">Analizada la iniciativa de referencia, con fundamento en los artículos 75, 89, fracción V, 112, fracción IV y 171 de </w:t>
      </w:r>
      <w:smartTag w:uri="urn:schemas-microsoft-com:office:smarttags" w:element="PersonName">
        <w:smartTagPr>
          <w:attr w:name="ProductID" w:val="LA LEY ORG￁NICA"/>
        </w:smartTagPr>
        <w:r w:rsidRPr="00BE2406">
          <w:rPr>
            <w:rFonts w:ascii="Abadi" w:hAnsi="Abadi" w:cs="Arial"/>
            <w:b w:val="0"/>
            <w:bCs/>
            <w:iCs/>
            <w:sz w:val="21"/>
            <w:szCs w:val="21"/>
          </w:rPr>
          <w:t>la Ley Orgánica</w:t>
        </w:r>
      </w:smartTag>
      <w:r w:rsidRPr="00BE2406">
        <w:rPr>
          <w:rFonts w:ascii="Abadi" w:hAnsi="Abadi" w:cs="Arial"/>
          <w:b w:val="0"/>
          <w:bCs/>
          <w:iCs/>
          <w:sz w:val="21"/>
          <w:szCs w:val="21"/>
        </w:rPr>
        <w:t xml:space="preserve"> del Poder Legislativo del Estado de Guanajuato, nos permitimos rendir el siguiente:</w:t>
      </w:r>
    </w:p>
    <w:p w14:paraId="51F0C924" w14:textId="77777777" w:rsidR="00BE2406" w:rsidRPr="00474D4A" w:rsidRDefault="00BE2406" w:rsidP="00BE2406">
      <w:pPr>
        <w:pStyle w:val="Ttulo2"/>
        <w:rPr>
          <w:rFonts w:ascii="Abadi" w:hAnsi="Abadi"/>
          <w:sz w:val="21"/>
          <w:szCs w:val="21"/>
        </w:rPr>
      </w:pPr>
    </w:p>
    <w:p w14:paraId="1D614D70" w14:textId="77777777" w:rsidR="00BE2406" w:rsidRPr="00474D4A" w:rsidRDefault="00BE2406" w:rsidP="00BE2406">
      <w:pPr>
        <w:pStyle w:val="Ttulo2"/>
        <w:rPr>
          <w:rFonts w:ascii="Abadi" w:hAnsi="Abadi"/>
          <w:sz w:val="21"/>
          <w:szCs w:val="21"/>
        </w:rPr>
      </w:pPr>
      <w:r w:rsidRPr="00474D4A">
        <w:rPr>
          <w:rFonts w:ascii="Abadi" w:hAnsi="Abadi"/>
          <w:sz w:val="21"/>
          <w:szCs w:val="21"/>
        </w:rPr>
        <w:t xml:space="preserve">D i c t a m e n </w:t>
      </w:r>
    </w:p>
    <w:p w14:paraId="38E4869F" w14:textId="77777777" w:rsidR="00BE2406" w:rsidRPr="00474D4A" w:rsidRDefault="00BE2406" w:rsidP="00BE2406">
      <w:pPr>
        <w:jc w:val="center"/>
        <w:rPr>
          <w:rFonts w:ascii="Abadi" w:hAnsi="Abadi"/>
          <w:b/>
          <w:sz w:val="21"/>
          <w:szCs w:val="21"/>
          <w:lang w:val="es-MX"/>
        </w:rPr>
      </w:pPr>
    </w:p>
    <w:p w14:paraId="320D5FCC" w14:textId="77777777" w:rsidR="00BE2406" w:rsidRPr="00474D4A" w:rsidRDefault="00BE2406" w:rsidP="00BE2406">
      <w:pPr>
        <w:jc w:val="both"/>
        <w:rPr>
          <w:rFonts w:ascii="Abadi" w:hAnsi="Abadi"/>
          <w:sz w:val="21"/>
          <w:szCs w:val="21"/>
          <w:lang w:val="es-MX"/>
        </w:rPr>
      </w:pPr>
      <w:r w:rsidRPr="00474D4A">
        <w:rPr>
          <w:rFonts w:ascii="Abadi" w:hAnsi="Abadi"/>
          <w:b/>
          <w:sz w:val="21"/>
          <w:szCs w:val="21"/>
          <w:lang w:val="es-MX"/>
        </w:rPr>
        <w:tab/>
      </w:r>
      <w:r w:rsidRPr="00474D4A">
        <w:rPr>
          <w:rFonts w:ascii="Abadi" w:hAnsi="Abadi"/>
          <w:sz w:val="21"/>
          <w:szCs w:val="21"/>
          <w:lang w:val="es-MX"/>
        </w:rPr>
        <w:t xml:space="preserve">El Gobernador del Estado, mediante iniciativa de decreto de fecha 17 de abril de 2023, solicitó al Congreso del Estado se autorice en lo general que una fracción del predio rústico denominado la </w:t>
      </w:r>
      <w:r w:rsidRPr="00474D4A">
        <w:rPr>
          <w:rFonts w:ascii="Abadi" w:hAnsi="Abadi"/>
          <w:i/>
          <w:iCs/>
          <w:sz w:val="21"/>
          <w:szCs w:val="21"/>
          <w:lang w:val="es-MX"/>
        </w:rPr>
        <w:t>Piscina y Santa Rita</w:t>
      </w:r>
      <w:r w:rsidRPr="00474D4A">
        <w:rPr>
          <w:rFonts w:ascii="Abadi" w:hAnsi="Abadi"/>
          <w:sz w:val="21"/>
          <w:szCs w:val="21"/>
          <w:lang w:val="es-MX"/>
        </w:rPr>
        <w:t xml:space="preserve">, ubicado en el municipio de León, </w:t>
      </w:r>
      <w:proofErr w:type="spellStart"/>
      <w:r w:rsidRPr="00474D4A">
        <w:rPr>
          <w:rFonts w:ascii="Abadi" w:hAnsi="Abadi"/>
          <w:sz w:val="21"/>
          <w:szCs w:val="21"/>
          <w:lang w:val="es-MX"/>
        </w:rPr>
        <w:t>Gto</w:t>
      </w:r>
      <w:proofErr w:type="spellEnd"/>
      <w:r w:rsidRPr="00474D4A">
        <w:rPr>
          <w:rFonts w:ascii="Abadi" w:hAnsi="Abadi"/>
          <w:sz w:val="21"/>
          <w:szCs w:val="21"/>
          <w:lang w:val="es-MX"/>
        </w:rPr>
        <w:t>., materia de la autorización otorgada mediante el Decreto Legislativo número 137, publicado en el Periódico Oficial del Gobierno del Estado número 48, segunda parte, de fecha 17 de junio de 1997, se destine para la construcción y equipamiento de la Estación de Transferencia Metropolitana</w:t>
      </w:r>
      <w:r w:rsidRPr="00474D4A">
        <w:rPr>
          <w:rFonts w:ascii="Abadi" w:hAnsi="Abadi"/>
          <w:i/>
          <w:iCs/>
          <w:sz w:val="21"/>
          <w:szCs w:val="21"/>
          <w:lang w:val="es-ES_tradnl"/>
        </w:rPr>
        <w:t>.</w:t>
      </w:r>
    </w:p>
    <w:p w14:paraId="4620ED60" w14:textId="77777777" w:rsidR="00BE2406" w:rsidRPr="00474D4A" w:rsidRDefault="00BE2406" w:rsidP="00BE2406">
      <w:pPr>
        <w:jc w:val="both"/>
        <w:rPr>
          <w:rFonts w:ascii="Abadi" w:hAnsi="Abadi" w:cs="Arial"/>
          <w:iCs/>
          <w:sz w:val="21"/>
          <w:szCs w:val="21"/>
          <w:lang w:val="es-MX"/>
        </w:rPr>
      </w:pPr>
    </w:p>
    <w:p w14:paraId="783F54A9" w14:textId="77777777" w:rsidR="00BE2406" w:rsidRDefault="00BE2406" w:rsidP="00BE2406">
      <w:pPr>
        <w:pStyle w:val="Textoindependiente3"/>
        <w:spacing w:line="240" w:lineRule="auto"/>
        <w:rPr>
          <w:rFonts w:ascii="Abadi" w:hAnsi="Abadi"/>
          <w:b w:val="0"/>
          <w:bCs/>
          <w:sz w:val="21"/>
          <w:szCs w:val="21"/>
        </w:rPr>
      </w:pPr>
      <w:r w:rsidRPr="00474D4A">
        <w:rPr>
          <w:rFonts w:ascii="Abadi" w:hAnsi="Abadi"/>
          <w:sz w:val="21"/>
          <w:szCs w:val="21"/>
        </w:rPr>
        <w:tab/>
      </w:r>
      <w:r w:rsidRPr="00BE2406">
        <w:rPr>
          <w:rFonts w:ascii="Abadi" w:hAnsi="Abadi"/>
          <w:b w:val="0"/>
          <w:bCs/>
          <w:sz w:val="21"/>
          <w:szCs w:val="21"/>
        </w:rPr>
        <w:t xml:space="preserve">Dicha iniciativa se turnó a esta Comisión de Hacienda y Fiscalización el 27 de abril de 2023 para su estudio y dictamen, siendo radicada el 2 de mayo del año en curso, acordando llevar a cabo una mesa de trabajo con funcionarios de la Secretaría de Finanzas, Inversión y Administración del Estado y de la Coordinación General Jurídica del Gobierno del Estado a fin de que expusieran lo relativo al contenido de la iniciativa. </w:t>
      </w:r>
    </w:p>
    <w:p w14:paraId="4392B8E9" w14:textId="77777777" w:rsidR="00BE2406" w:rsidRPr="00BE2406" w:rsidRDefault="00BE2406" w:rsidP="00BE2406">
      <w:pPr>
        <w:pStyle w:val="Textoindependiente3"/>
        <w:spacing w:line="240" w:lineRule="auto"/>
        <w:rPr>
          <w:rFonts w:ascii="Abadi" w:hAnsi="Abadi"/>
          <w:b w:val="0"/>
          <w:bCs/>
          <w:sz w:val="21"/>
          <w:szCs w:val="21"/>
        </w:rPr>
      </w:pPr>
    </w:p>
    <w:p w14:paraId="309FE0F7" w14:textId="77777777" w:rsidR="00BE2406" w:rsidRPr="00474D4A" w:rsidRDefault="00BE2406" w:rsidP="00BE2406">
      <w:pPr>
        <w:pStyle w:val="Sangra2detindependiente"/>
        <w:spacing w:line="240" w:lineRule="auto"/>
        <w:jc w:val="both"/>
        <w:rPr>
          <w:rFonts w:ascii="Abadi" w:hAnsi="Abadi"/>
          <w:sz w:val="21"/>
          <w:szCs w:val="21"/>
        </w:rPr>
      </w:pPr>
      <w:r w:rsidRPr="00474D4A">
        <w:rPr>
          <w:rFonts w:ascii="Abadi" w:hAnsi="Abadi"/>
          <w:sz w:val="21"/>
          <w:szCs w:val="21"/>
        </w:rPr>
        <w:t xml:space="preserve">Se integraron a la iniciativa copias certificadas de la escritura pública número 4,236, de fecha 13 de enero de 1976, levantada bajo la fe del licenciado Roberto E. Garza López, titular de la Notaría Pública número 40 del municipio de León, </w:t>
      </w:r>
      <w:proofErr w:type="spellStart"/>
      <w:r w:rsidRPr="00474D4A">
        <w:rPr>
          <w:rFonts w:ascii="Abadi" w:hAnsi="Abadi"/>
          <w:sz w:val="21"/>
          <w:szCs w:val="21"/>
        </w:rPr>
        <w:t>Gto</w:t>
      </w:r>
      <w:proofErr w:type="spellEnd"/>
      <w:r w:rsidRPr="00474D4A">
        <w:rPr>
          <w:rFonts w:ascii="Abadi" w:hAnsi="Abadi"/>
          <w:sz w:val="21"/>
          <w:szCs w:val="21"/>
        </w:rPr>
        <w:t xml:space="preserve">.,  y debidamente inscrita en el Registro </w:t>
      </w:r>
      <w:r w:rsidRPr="00474D4A">
        <w:rPr>
          <w:rFonts w:ascii="Abadi" w:hAnsi="Abadi"/>
          <w:sz w:val="21"/>
          <w:szCs w:val="21"/>
        </w:rPr>
        <w:t xml:space="preserve">Público, por la que se formalizó la compra-venta del predio rústico denominado </w:t>
      </w:r>
      <w:r w:rsidRPr="00474D4A">
        <w:rPr>
          <w:rFonts w:ascii="Abadi" w:hAnsi="Abadi"/>
          <w:i/>
          <w:iCs/>
          <w:sz w:val="21"/>
          <w:szCs w:val="21"/>
        </w:rPr>
        <w:t>La Piscina y Santa Rita</w:t>
      </w:r>
      <w:r w:rsidRPr="00474D4A">
        <w:rPr>
          <w:rFonts w:ascii="Abadi" w:hAnsi="Abadi"/>
          <w:sz w:val="21"/>
          <w:szCs w:val="21"/>
        </w:rPr>
        <w:t xml:space="preserve"> por parte del Gobierno del Estado de Guanajuato; así como de la escritura pública número 263, de fecha 12 de abril de 1999, otorgada ante la de fe del licenciado Luis Mariano Hernández Aguado, titular de la Notaría Pública número 27, en legal ejercicio en el Partido Judicial de León, </w:t>
      </w:r>
      <w:proofErr w:type="spellStart"/>
      <w:r w:rsidRPr="00474D4A">
        <w:rPr>
          <w:rFonts w:ascii="Abadi" w:hAnsi="Abadi"/>
          <w:sz w:val="21"/>
          <w:szCs w:val="21"/>
        </w:rPr>
        <w:t>Gto</w:t>
      </w:r>
      <w:proofErr w:type="spellEnd"/>
      <w:r w:rsidRPr="00474D4A">
        <w:rPr>
          <w:rFonts w:ascii="Abadi" w:hAnsi="Abadi"/>
          <w:sz w:val="21"/>
          <w:szCs w:val="21"/>
        </w:rPr>
        <w:t xml:space="preserve">., y debidamente inscrita en el Registro Público de la Propiedad, mediante la cual se formalizó el contrato de donación del bien inmueble denominado Unidad Deportiva J. Jesús Rodríguez Gaona que realizó el titular del Poder Ejecutivo del Estado en favor del municipio de León, </w:t>
      </w:r>
      <w:proofErr w:type="spellStart"/>
      <w:r w:rsidRPr="00474D4A">
        <w:rPr>
          <w:rFonts w:ascii="Abadi" w:hAnsi="Abadi"/>
          <w:sz w:val="21"/>
          <w:szCs w:val="21"/>
        </w:rPr>
        <w:t>Gto</w:t>
      </w:r>
      <w:proofErr w:type="spellEnd"/>
      <w:r w:rsidRPr="00474D4A">
        <w:rPr>
          <w:rFonts w:ascii="Abadi" w:hAnsi="Abadi"/>
          <w:sz w:val="21"/>
          <w:szCs w:val="21"/>
        </w:rPr>
        <w:t>., para que lo siguiera destinando como campo deportivo.</w:t>
      </w:r>
    </w:p>
    <w:p w14:paraId="00862A18" w14:textId="77777777" w:rsidR="00BE2406" w:rsidRPr="00474D4A" w:rsidRDefault="00BE2406" w:rsidP="00BE2406">
      <w:pPr>
        <w:pStyle w:val="Sangra2detindependiente"/>
        <w:spacing w:line="240" w:lineRule="auto"/>
        <w:jc w:val="both"/>
        <w:rPr>
          <w:rFonts w:ascii="Abadi" w:hAnsi="Abadi"/>
          <w:sz w:val="21"/>
          <w:szCs w:val="21"/>
        </w:rPr>
      </w:pPr>
    </w:p>
    <w:p w14:paraId="36097D56" w14:textId="77777777" w:rsidR="00BE2406" w:rsidRPr="00474D4A" w:rsidRDefault="00BE2406" w:rsidP="00BE2406">
      <w:pPr>
        <w:pStyle w:val="Sangra2detindependiente"/>
        <w:spacing w:line="240" w:lineRule="auto"/>
        <w:jc w:val="both"/>
        <w:rPr>
          <w:rFonts w:ascii="Abadi" w:hAnsi="Abadi"/>
          <w:sz w:val="21"/>
          <w:szCs w:val="21"/>
        </w:rPr>
      </w:pPr>
      <w:r w:rsidRPr="00474D4A">
        <w:rPr>
          <w:rFonts w:ascii="Abadi" w:hAnsi="Abadi"/>
          <w:sz w:val="21"/>
          <w:szCs w:val="21"/>
        </w:rPr>
        <w:t xml:space="preserve">También se anexó a la iniciativa, copia certificada del oficio número PML/0028/2023, de fecha 13 de febrero de 2023, mediante el cual la presidenta municipal de León, </w:t>
      </w:r>
      <w:proofErr w:type="spellStart"/>
      <w:r w:rsidRPr="00474D4A">
        <w:rPr>
          <w:rFonts w:ascii="Abadi" w:hAnsi="Abadi"/>
          <w:sz w:val="21"/>
          <w:szCs w:val="21"/>
        </w:rPr>
        <w:t>Gto</w:t>
      </w:r>
      <w:proofErr w:type="spellEnd"/>
      <w:r w:rsidRPr="00474D4A">
        <w:rPr>
          <w:rFonts w:ascii="Abadi" w:hAnsi="Abadi"/>
          <w:sz w:val="21"/>
          <w:szCs w:val="21"/>
        </w:rPr>
        <w:t>., solicitó al Gobernador del Estado se realicen las gestiones necesarias para destinar una fracción del bien inmueble que actualmente ocupa la Unidad Deportiva J.J. Rodríguez Gaona para la construcción y equipamiento de la Estación de Transferencia Metropolitana. Lo anterior, en atención a que dicho bien inmueble le fue donado al municipio de León por el Gobierno del Estado de Guanajuato para destinarlo como campo deportivo.</w:t>
      </w:r>
    </w:p>
    <w:p w14:paraId="251A22F0" w14:textId="77777777" w:rsidR="00BE2406" w:rsidRPr="00474D4A" w:rsidRDefault="00BE2406" w:rsidP="00BE2406">
      <w:pPr>
        <w:pStyle w:val="Sangra2detindependiente"/>
        <w:spacing w:line="240" w:lineRule="auto"/>
        <w:jc w:val="both"/>
        <w:rPr>
          <w:rFonts w:ascii="Abadi" w:hAnsi="Abadi"/>
          <w:sz w:val="21"/>
          <w:szCs w:val="21"/>
        </w:rPr>
      </w:pPr>
    </w:p>
    <w:p w14:paraId="76BB1632" w14:textId="77777777" w:rsidR="00BE2406" w:rsidRPr="00474D4A" w:rsidRDefault="00BE2406" w:rsidP="00BE2406">
      <w:pPr>
        <w:pStyle w:val="Sangra2detindependiente"/>
        <w:spacing w:line="240" w:lineRule="auto"/>
        <w:jc w:val="both"/>
        <w:rPr>
          <w:rFonts w:ascii="Abadi" w:hAnsi="Abadi"/>
          <w:sz w:val="21"/>
          <w:szCs w:val="21"/>
        </w:rPr>
      </w:pPr>
      <w:r w:rsidRPr="00474D4A">
        <w:rPr>
          <w:rFonts w:ascii="Abadi" w:hAnsi="Abadi"/>
          <w:sz w:val="21"/>
          <w:szCs w:val="21"/>
        </w:rPr>
        <w:t xml:space="preserve">Obra además en el expediente el análisis costo-beneficio para la construcción y equipamiento de la Estación de Transferencia Metropolitana y modernización de la infraestructura y equipamiento de la Unidad Deportiva J.J. Rodríguez Gaona en el municipio de León, </w:t>
      </w:r>
      <w:proofErr w:type="spellStart"/>
      <w:r w:rsidRPr="00474D4A">
        <w:rPr>
          <w:rFonts w:ascii="Abadi" w:hAnsi="Abadi"/>
          <w:sz w:val="21"/>
          <w:szCs w:val="21"/>
        </w:rPr>
        <w:t>Gto</w:t>
      </w:r>
      <w:proofErr w:type="spellEnd"/>
      <w:r w:rsidRPr="00474D4A">
        <w:rPr>
          <w:rFonts w:ascii="Abadi" w:hAnsi="Abadi"/>
          <w:sz w:val="21"/>
          <w:szCs w:val="21"/>
        </w:rPr>
        <w:t xml:space="preserve">.; la memoria descriptiva del proyecto; </w:t>
      </w:r>
      <w:r w:rsidRPr="00474D4A">
        <w:rPr>
          <w:rFonts w:ascii="Abadi" w:hAnsi="Abadi"/>
          <w:iCs/>
          <w:sz w:val="21"/>
          <w:szCs w:val="21"/>
        </w:rPr>
        <w:t xml:space="preserve">certificación del acta de la sesión ordinaria celebrada por el ayuntamiento de León, </w:t>
      </w:r>
      <w:proofErr w:type="spellStart"/>
      <w:r w:rsidRPr="00474D4A">
        <w:rPr>
          <w:rFonts w:ascii="Abadi" w:hAnsi="Abadi"/>
          <w:iCs/>
          <w:sz w:val="21"/>
          <w:szCs w:val="21"/>
        </w:rPr>
        <w:t>Gto</w:t>
      </w:r>
      <w:proofErr w:type="spellEnd"/>
      <w:r w:rsidRPr="00474D4A">
        <w:rPr>
          <w:rFonts w:ascii="Abadi" w:hAnsi="Abadi"/>
          <w:iCs/>
          <w:sz w:val="21"/>
          <w:szCs w:val="21"/>
        </w:rPr>
        <w:t xml:space="preserve">., el 8 de septiembre de 2022, en la que consta la aprobación del Programa Financiero Anual del ejercicio 2022 para el municipio de León, </w:t>
      </w:r>
      <w:proofErr w:type="spellStart"/>
      <w:r w:rsidRPr="00474D4A">
        <w:rPr>
          <w:rFonts w:ascii="Abadi" w:hAnsi="Abadi"/>
          <w:iCs/>
          <w:sz w:val="21"/>
          <w:szCs w:val="21"/>
        </w:rPr>
        <w:t>Gto</w:t>
      </w:r>
      <w:proofErr w:type="spellEnd"/>
      <w:r w:rsidRPr="00474D4A">
        <w:rPr>
          <w:rFonts w:ascii="Abadi" w:hAnsi="Abadi"/>
          <w:iCs/>
          <w:sz w:val="21"/>
          <w:szCs w:val="21"/>
        </w:rPr>
        <w:t xml:space="preserve">; así como la autorización para la contratación de uno o varios financiamientos hasta por un monto de </w:t>
      </w:r>
      <w:r w:rsidRPr="00474D4A">
        <w:rPr>
          <w:rFonts w:ascii="Abadi" w:hAnsi="Abadi"/>
          <w:bCs/>
          <w:sz w:val="21"/>
          <w:szCs w:val="21"/>
          <w:lang w:val="es-ES_tradnl"/>
        </w:rPr>
        <w:t xml:space="preserve">$711’578,778.00 (setecientos once </w:t>
      </w:r>
      <w:r w:rsidRPr="00474D4A">
        <w:rPr>
          <w:rFonts w:ascii="Abadi" w:hAnsi="Abadi"/>
          <w:bCs/>
          <w:sz w:val="21"/>
          <w:szCs w:val="21"/>
          <w:lang w:val="es-ES_tradnl"/>
        </w:rPr>
        <w:lastRenderedPageBreak/>
        <w:t>millones quinientos setenta y ocho mil setecientos setenta y ocho pesos 00/100 m.n.)</w:t>
      </w:r>
      <w:r w:rsidRPr="00474D4A">
        <w:rPr>
          <w:rFonts w:ascii="Abadi" w:hAnsi="Abadi"/>
          <w:iCs/>
          <w:sz w:val="21"/>
          <w:szCs w:val="21"/>
        </w:rPr>
        <w:t xml:space="preserve">, para destinarlos a 9 proyectos de inversión pública productiva, dentro de los que se encuentra la construcción y equipamiento de la Estación de Transferencia Metropolitana en la Unidad Deportiva J. J. Rodríguez Gaona, en el municipio de León, </w:t>
      </w:r>
      <w:proofErr w:type="spellStart"/>
      <w:r w:rsidRPr="00474D4A">
        <w:rPr>
          <w:rFonts w:ascii="Abadi" w:hAnsi="Abadi"/>
          <w:iCs/>
          <w:sz w:val="21"/>
          <w:szCs w:val="21"/>
        </w:rPr>
        <w:t>Gto</w:t>
      </w:r>
      <w:proofErr w:type="spellEnd"/>
      <w:r w:rsidRPr="00474D4A">
        <w:rPr>
          <w:rFonts w:ascii="Abadi" w:hAnsi="Abadi"/>
          <w:iCs/>
          <w:sz w:val="21"/>
          <w:szCs w:val="21"/>
        </w:rPr>
        <w:t xml:space="preserve">., así como la modernización de la infraestructura y equipamiento de dicha Unidad Deportiva; así como copia de la publicación en el Periódico Oficial del Gobierno del Estado número 248, tercera parte, de fecha 14 de diciembre de 2022 del Decreto número 168, expedido por esta Sexagésima Quinta Legislatura por el que se autorizó al ayuntamiento de León, </w:t>
      </w:r>
      <w:proofErr w:type="spellStart"/>
      <w:r w:rsidRPr="00474D4A">
        <w:rPr>
          <w:rFonts w:ascii="Abadi" w:hAnsi="Abadi"/>
          <w:iCs/>
          <w:sz w:val="21"/>
          <w:szCs w:val="21"/>
        </w:rPr>
        <w:t>Gto</w:t>
      </w:r>
      <w:proofErr w:type="spellEnd"/>
      <w:r w:rsidRPr="00474D4A">
        <w:rPr>
          <w:rFonts w:ascii="Abadi" w:hAnsi="Abadi"/>
          <w:iCs/>
          <w:sz w:val="21"/>
          <w:szCs w:val="21"/>
        </w:rPr>
        <w:t xml:space="preserve">., la contratación de los financiamientos acordados por el ayuntamiento de León, </w:t>
      </w:r>
      <w:proofErr w:type="spellStart"/>
      <w:r w:rsidRPr="00474D4A">
        <w:rPr>
          <w:rFonts w:ascii="Abadi" w:hAnsi="Abadi"/>
          <w:iCs/>
          <w:sz w:val="21"/>
          <w:szCs w:val="21"/>
        </w:rPr>
        <w:t>Gto</w:t>
      </w:r>
      <w:proofErr w:type="spellEnd"/>
      <w:r w:rsidRPr="00474D4A">
        <w:rPr>
          <w:rFonts w:ascii="Abadi" w:hAnsi="Abadi"/>
          <w:iCs/>
          <w:sz w:val="21"/>
          <w:szCs w:val="21"/>
        </w:rPr>
        <w:t>.</w:t>
      </w:r>
    </w:p>
    <w:p w14:paraId="2870B8DE" w14:textId="77777777" w:rsidR="001D599E" w:rsidRDefault="001D599E" w:rsidP="00BE2406">
      <w:pPr>
        <w:pStyle w:val="Sangra2detindependiente"/>
        <w:spacing w:line="240" w:lineRule="auto"/>
        <w:jc w:val="both"/>
        <w:rPr>
          <w:rFonts w:ascii="Abadi" w:hAnsi="Abadi"/>
          <w:sz w:val="21"/>
          <w:szCs w:val="21"/>
        </w:rPr>
      </w:pPr>
    </w:p>
    <w:p w14:paraId="3A4F82C4" w14:textId="0DA906A6" w:rsidR="00BE2406" w:rsidRPr="00474D4A" w:rsidRDefault="00BE2406" w:rsidP="00BE2406">
      <w:pPr>
        <w:pStyle w:val="Sangra2detindependiente"/>
        <w:spacing w:line="240" w:lineRule="auto"/>
        <w:jc w:val="both"/>
        <w:rPr>
          <w:rFonts w:ascii="Abadi" w:hAnsi="Abadi"/>
          <w:sz w:val="21"/>
          <w:szCs w:val="21"/>
        </w:rPr>
      </w:pPr>
      <w:r w:rsidRPr="00474D4A">
        <w:rPr>
          <w:rFonts w:ascii="Abadi" w:hAnsi="Abadi"/>
          <w:sz w:val="21"/>
          <w:szCs w:val="21"/>
        </w:rPr>
        <w:t xml:space="preserve">De igual forma, se integró a la iniciativa copia de la publicación en el Periódico Oficial del Gobierno del Estado de Guanajuato número 48, segunda parte, de fecha 17 de junio de 1997 del Decreto número 317, expedido por la Quincuagésima Sexta Legislatura por el que se autorizó previa desafectación del dominio público del Estado la donación del bien inmueble denominado Unidad Deportiva J. Jesús Rodríguez Gaona ubicado en el municipio de León, </w:t>
      </w:r>
      <w:proofErr w:type="spellStart"/>
      <w:r w:rsidRPr="00474D4A">
        <w:rPr>
          <w:rFonts w:ascii="Abadi" w:hAnsi="Abadi"/>
          <w:sz w:val="21"/>
          <w:szCs w:val="21"/>
        </w:rPr>
        <w:t>Gto</w:t>
      </w:r>
      <w:proofErr w:type="spellEnd"/>
      <w:r w:rsidRPr="00474D4A">
        <w:rPr>
          <w:rFonts w:ascii="Abadi" w:hAnsi="Abadi"/>
          <w:sz w:val="21"/>
          <w:szCs w:val="21"/>
        </w:rPr>
        <w:t>., en favor de dicho Municipio para que lo siguiera destinando como campo deportivo. Asimismo, se anexaron los certificados de gravámenes y de historia registral del bien inmueble materia de la iniciativa.</w:t>
      </w:r>
    </w:p>
    <w:p w14:paraId="1758725F" w14:textId="77777777" w:rsidR="00BE2406" w:rsidRPr="00474D4A" w:rsidRDefault="00BE2406" w:rsidP="00BE2406">
      <w:pPr>
        <w:pStyle w:val="Sangra2detindependiente"/>
        <w:spacing w:line="240" w:lineRule="auto"/>
        <w:jc w:val="both"/>
        <w:rPr>
          <w:rFonts w:ascii="Abadi" w:hAnsi="Abadi"/>
          <w:sz w:val="21"/>
          <w:szCs w:val="21"/>
        </w:rPr>
      </w:pPr>
    </w:p>
    <w:p w14:paraId="372876D6" w14:textId="77777777" w:rsidR="00BE2406" w:rsidRPr="00474D4A" w:rsidRDefault="00BE2406" w:rsidP="00BE2406">
      <w:pPr>
        <w:pStyle w:val="Sangra2detindependiente"/>
        <w:spacing w:line="240" w:lineRule="auto"/>
        <w:jc w:val="both"/>
        <w:rPr>
          <w:rFonts w:ascii="Abadi" w:hAnsi="Abadi"/>
          <w:sz w:val="21"/>
          <w:szCs w:val="21"/>
        </w:rPr>
      </w:pPr>
      <w:r w:rsidRPr="00474D4A">
        <w:rPr>
          <w:rFonts w:ascii="Abadi" w:hAnsi="Abadi"/>
          <w:sz w:val="21"/>
          <w:szCs w:val="21"/>
        </w:rPr>
        <w:t>En la mesa de trabajo celebrada el 6 de junio del año en curso, funcionarios de la Secretaría de Finanzas, Inversión y Administración y de la Coordinación General Jurídica del Gobierno del Estado expusieron a quienes integramos esta Comisión lo referente al contenido de la iniciativa.</w:t>
      </w:r>
    </w:p>
    <w:p w14:paraId="2663BECB" w14:textId="77777777" w:rsidR="00BE2406" w:rsidRPr="00474D4A" w:rsidRDefault="00BE2406" w:rsidP="00BE2406">
      <w:pPr>
        <w:ind w:firstLine="708"/>
        <w:jc w:val="both"/>
        <w:rPr>
          <w:rFonts w:ascii="Abadi" w:hAnsi="Abadi" w:cs="Arial"/>
          <w:iCs/>
          <w:sz w:val="21"/>
          <w:szCs w:val="21"/>
          <w:lang w:val="es-MX"/>
        </w:rPr>
      </w:pPr>
    </w:p>
    <w:p w14:paraId="5B9B3D6C" w14:textId="77777777" w:rsidR="00BE2406" w:rsidRPr="00474D4A" w:rsidRDefault="00BE2406" w:rsidP="00BE2406">
      <w:pPr>
        <w:ind w:firstLine="708"/>
        <w:jc w:val="both"/>
        <w:rPr>
          <w:rFonts w:ascii="Abadi" w:hAnsi="Abadi" w:cs="Arial"/>
          <w:iCs/>
          <w:sz w:val="21"/>
          <w:szCs w:val="21"/>
          <w:lang w:val="es-MX"/>
        </w:rPr>
      </w:pPr>
      <w:r w:rsidRPr="00474D4A">
        <w:rPr>
          <w:rFonts w:ascii="Abadi" w:hAnsi="Abadi" w:cs="Arial"/>
          <w:iCs/>
          <w:sz w:val="21"/>
          <w:szCs w:val="21"/>
          <w:lang w:val="es-MX"/>
        </w:rPr>
        <w:t>En la exposición de motivos de la iniciativa que nos ocupa, se establece que:</w:t>
      </w:r>
    </w:p>
    <w:p w14:paraId="6D90439B" w14:textId="77777777" w:rsidR="00BE2406" w:rsidRPr="00474D4A" w:rsidRDefault="00BE2406" w:rsidP="00BE2406">
      <w:pPr>
        <w:ind w:firstLine="708"/>
        <w:jc w:val="both"/>
        <w:rPr>
          <w:rFonts w:ascii="Abadi" w:hAnsi="Abadi" w:cs="Arial"/>
          <w:iCs/>
          <w:sz w:val="21"/>
          <w:szCs w:val="21"/>
          <w:lang w:val="es-MX"/>
        </w:rPr>
      </w:pPr>
    </w:p>
    <w:p w14:paraId="527E7650" w14:textId="77777777" w:rsidR="00BE2406" w:rsidRPr="00474D4A" w:rsidRDefault="00BE2406" w:rsidP="00BE2406">
      <w:pPr>
        <w:ind w:left="709" w:hanging="1"/>
        <w:jc w:val="both"/>
        <w:rPr>
          <w:rFonts w:ascii="Abadi" w:hAnsi="Abadi" w:cs="Arial"/>
          <w:i/>
          <w:sz w:val="21"/>
          <w:szCs w:val="21"/>
        </w:rPr>
      </w:pPr>
      <w:r w:rsidRPr="00474D4A">
        <w:rPr>
          <w:rFonts w:ascii="Abadi" w:hAnsi="Abadi" w:cs="Arial"/>
          <w:i/>
          <w:sz w:val="21"/>
          <w:szCs w:val="21"/>
          <w:lang w:val="es-ES_tradnl"/>
        </w:rPr>
        <w:t>«</w:t>
      </w:r>
      <w:r w:rsidRPr="00474D4A">
        <w:rPr>
          <w:rFonts w:ascii="Abadi" w:hAnsi="Abadi" w:cs="Arial"/>
          <w:i/>
          <w:sz w:val="21"/>
          <w:szCs w:val="21"/>
        </w:rPr>
        <w:t>El Congreso del Estado, a través de la Quincuagésima Sexta Legislatura, expidió el Decreto Legislativo número 317, mediante el cual se desafectó del dominio público del Estado un bien inmueble denominado Unidad Deportiva «J. Jesús Rodríguez Gaona», ubicado en la carretera San Francisco del Rincón–León sin número del municipio de León, Guanajuato, con una superficie total de 7-00-00 siete hectáreas, autorizando al titular del Poder Ejecutivo del Estado a donarlo en favor del municipio de León, Guanajuato, con el fin de que este lo siguiera destinando como Campo Deportivo. Dicho decreto fue publicado en el Periódico Oficial del Gobierno del Estado de Guanajuato número 48, Segunda Parte, el día 17 de junio de 1997.</w:t>
      </w:r>
    </w:p>
    <w:p w14:paraId="588DAF35" w14:textId="77777777" w:rsidR="00BE2406" w:rsidRPr="00474D4A" w:rsidRDefault="00BE2406" w:rsidP="00BE2406">
      <w:pPr>
        <w:ind w:left="709" w:hanging="1"/>
        <w:jc w:val="both"/>
        <w:rPr>
          <w:rFonts w:ascii="Abadi" w:hAnsi="Abadi" w:cs="Arial"/>
          <w:i/>
          <w:sz w:val="21"/>
          <w:szCs w:val="21"/>
        </w:rPr>
      </w:pPr>
    </w:p>
    <w:p w14:paraId="4E875D6B" w14:textId="77777777" w:rsidR="00BE2406" w:rsidRPr="00474D4A" w:rsidRDefault="00BE2406" w:rsidP="00BE2406">
      <w:pPr>
        <w:ind w:left="709" w:hanging="1"/>
        <w:jc w:val="both"/>
        <w:rPr>
          <w:rFonts w:ascii="Abadi" w:hAnsi="Abadi" w:cs="Arial"/>
          <w:i/>
          <w:sz w:val="21"/>
          <w:szCs w:val="21"/>
        </w:rPr>
      </w:pPr>
      <w:r w:rsidRPr="00474D4A">
        <w:rPr>
          <w:rFonts w:ascii="Abadi" w:hAnsi="Abadi" w:cs="Arial"/>
          <w:i/>
          <w:sz w:val="21"/>
          <w:szCs w:val="21"/>
        </w:rPr>
        <w:t xml:space="preserve">En cumplimiento a lo dispuesto en el citado decreto, el Estado llevó a cabo la formalización de la enajenación a título gratuito del inmueble materia de la autorización otorgada, a favor del municipio de León, Guanajuato. Dicho acto jurídico se encuentra amparado mediante testimonio de la escritura pública número 263 de fecha 12 de abril de 1999, otorgada ante la de fe del licenciado Luis Mariano Hernández Aguado, titular de la Notaría Pública número 27 del Partido Judicial de León, </w:t>
      </w:r>
      <w:proofErr w:type="spellStart"/>
      <w:r w:rsidRPr="00474D4A">
        <w:rPr>
          <w:rFonts w:ascii="Abadi" w:hAnsi="Abadi" w:cs="Arial"/>
          <w:i/>
          <w:sz w:val="21"/>
          <w:szCs w:val="21"/>
        </w:rPr>
        <w:t>Gto</w:t>
      </w:r>
      <w:proofErr w:type="spellEnd"/>
      <w:r w:rsidRPr="00474D4A">
        <w:rPr>
          <w:rFonts w:ascii="Abadi" w:hAnsi="Abadi" w:cs="Arial"/>
          <w:i/>
          <w:sz w:val="21"/>
          <w:szCs w:val="21"/>
        </w:rPr>
        <w:t>.</w:t>
      </w:r>
    </w:p>
    <w:p w14:paraId="3A17B18E" w14:textId="77777777" w:rsidR="00BE2406" w:rsidRPr="00474D4A" w:rsidRDefault="00BE2406" w:rsidP="00BE2406">
      <w:pPr>
        <w:ind w:left="709" w:hanging="1"/>
        <w:jc w:val="both"/>
        <w:rPr>
          <w:rFonts w:ascii="Abadi" w:hAnsi="Abadi"/>
          <w:i/>
          <w:sz w:val="21"/>
          <w:szCs w:val="21"/>
        </w:rPr>
      </w:pPr>
    </w:p>
    <w:p w14:paraId="3A036CB4" w14:textId="77777777" w:rsidR="00BE2406" w:rsidRPr="00474D4A" w:rsidRDefault="00BE2406" w:rsidP="00BE2406">
      <w:pPr>
        <w:ind w:left="709" w:hanging="1"/>
        <w:jc w:val="both"/>
        <w:rPr>
          <w:rFonts w:ascii="Abadi" w:hAnsi="Abadi" w:cs="Arial"/>
          <w:i/>
          <w:sz w:val="21"/>
          <w:szCs w:val="21"/>
        </w:rPr>
      </w:pPr>
      <w:r w:rsidRPr="00474D4A">
        <w:rPr>
          <w:rFonts w:ascii="Abadi" w:hAnsi="Abadi" w:cs="Arial"/>
          <w:i/>
          <w:sz w:val="21"/>
          <w:szCs w:val="21"/>
        </w:rPr>
        <w:t>Ahora bien, con la actualización del Programa de Gobierno 2018-2024</w:t>
      </w:r>
      <w:r w:rsidRPr="00474D4A">
        <w:rPr>
          <w:rStyle w:val="Refdenotaalpie"/>
          <w:rFonts w:ascii="Abadi" w:hAnsi="Abadi" w:cs="Arial"/>
          <w:i/>
          <w:sz w:val="21"/>
          <w:szCs w:val="21"/>
        </w:rPr>
        <w:footnoteReference w:id="210"/>
      </w:r>
      <w:r w:rsidRPr="00474D4A">
        <w:rPr>
          <w:rFonts w:ascii="Abadi" w:hAnsi="Abadi" w:cs="Arial"/>
          <w:i/>
          <w:sz w:val="21"/>
          <w:szCs w:val="21"/>
        </w:rPr>
        <w:t xml:space="preserve">, se busca tener una visión que contemple las nuevas realidades y proponga acciones que den pauta a la recuperación y el desarrollo sostenible de los sectores productivos y de la sociedad en general. Parte de nuestra misión, es ser un Gobierno que trabaje para impulsar el desarrollo integral de </w:t>
      </w:r>
      <w:r w:rsidRPr="00474D4A">
        <w:rPr>
          <w:rFonts w:ascii="Abadi" w:hAnsi="Abadi" w:cs="Arial"/>
          <w:i/>
          <w:sz w:val="21"/>
          <w:szCs w:val="21"/>
        </w:rPr>
        <w:lastRenderedPageBreak/>
        <w:t xml:space="preserve">la población con políticas públicas sostenibles, incluyentes e innovadoras que proyectan el liderazgo de Guanajuato y su gente a nivel nacional e internacional. </w:t>
      </w:r>
    </w:p>
    <w:p w14:paraId="306E003F" w14:textId="77777777" w:rsidR="00BE2406" w:rsidRPr="00474D4A" w:rsidRDefault="00BE2406" w:rsidP="00BE2406">
      <w:pPr>
        <w:ind w:left="709" w:hanging="1"/>
        <w:jc w:val="both"/>
        <w:rPr>
          <w:rFonts w:ascii="Abadi" w:hAnsi="Abadi" w:cs="Arial"/>
          <w:i/>
          <w:sz w:val="21"/>
          <w:szCs w:val="21"/>
        </w:rPr>
      </w:pPr>
    </w:p>
    <w:p w14:paraId="070C35F9" w14:textId="77777777" w:rsidR="00BE2406" w:rsidRPr="00474D4A" w:rsidRDefault="00BE2406" w:rsidP="00BE2406">
      <w:pPr>
        <w:ind w:left="709" w:hanging="1"/>
        <w:jc w:val="both"/>
        <w:rPr>
          <w:rFonts w:ascii="Abadi" w:hAnsi="Abadi" w:cs="Arial"/>
          <w:i/>
          <w:sz w:val="21"/>
          <w:szCs w:val="21"/>
        </w:rPr>
      </w:pPr>
      <w:r w:rsidRPr="00474D4A">
        <w:rPr>
          <w:rFonts w:ascii="Abadi" w:hAnsi="Abadi" w:cs="Arial"/>
          <w:i/>
          <w:sz w:val="21"/>
          <w:szCs w:val="21"/>
        </w:rPr>
        <w:t xml:space="preserve">En tal sentido, se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de Derecho, paz social y corresponsabilidad global. Además, el «Eje Desarrollo Ordenado y Sostenible» busca garantizar una mejor calidad de vida para la población actual y futura que habita en la entidad, involucrando a Gobierno y sociedad para así lograr una consolidación de ocupación óptima del territorio, impulsando esquemas de movilidad y conectividad con respeto al ordenamiento territorial y el medio ambiente, a través de la gestión sostenible de los recursos naturales, la prevención de la contaminación, el mejoramiento de las condiciones ambientales, así como la consolidación de la infraestructura para el desarrollo sostenible, conforme a su objetivo 5.4 «Fortalecer la conectividad y movilidad para la competitividad del estado» y en su estrategia 5.2.2 «Impulso a la planeación integral para la movilidad sustentable en el estado», así como el «Eje Desarrollo Humano y Social» en su línea estratégica «Consolidación del acceso a derechos y oportunidades de desarrollo de los habitantes del estado con enfoque integral e incluyente», establece como uno de sus objetivos: 2.1 «Fortalecer el tejido social con la participación de la población de la entidad» y en su estrategia 2.1.1 «Fomento al desarrollo armónico y equilibrado de las personas, familias y comunidades del estado de Guanajuato», la línea de </w:t>
      </w:r>
      <w:r w:rsidRPr="00474D4A">
        <w:rPr>
          <w:rFonts w:ascii="Abadi" w:hAnsi="Abadi" w:cs="Arial"/>
          <w:i/>
          <w:sz w:val="21"/>
          <w:szCs w:val="21"/>
        </w:rPr>
        <w:t>acción a efecto de «Favorecer el esparcimiento personal, familiar y de convivencia social en los espacios comunitarios del estado».</w:t>
      </w:r>
    </w:p>
    <w:p w14:paraId="7A7F5710" w14:textId="77777777" w:rsidR="00BE2406" w:rsidRPr="00474D4A" w:rsidRDefault="00BE2406" w:rsidP="00BE2406">
      <w:pPr>
        <w:ind w:firstLine="708"/>
        <w:jc w:val="both"/>
        <w:rPr>
          <w:rFonts w:ascii="Abadi" w:hAnsi="Abadi" w:cs="Arial"/>
          <w:i/>
          <w:sz w:val="21"/>
          <w:szCs w:val="21"/>
        </w:rPr>
      </w:pPr>
    </w:p>
    <w:p w14:paraId="023BF734" w14:textId="77777777" w:rsidR="00BE2406" w:rsidRPr="00474D4A" w:rsidRDefault="00BE2406" w:rsidP="00BE2406">
      <w:pPr>
        <w:ind w:left="709" w:hanging="1"/>
        <w:jc w:val="both"/>
        <w:rPr>
          <w:rFonts w:ascii="Abadi" w:hAnsi="Abadi" w:cs="Arial"/>
          <w:i/>
          <w:sz w:val="21"/>
          <w:szCs w:val="21"/>
        </w:rPr>
      </w:pPr>
      <w:r w:rsidRPr="00474D4A">
        <w:rPr>
          <w:rFonts w:ascii="Abadi" w:hAnsi="Abadi" w:cs="Arial"/>
          <w:i/>
          <w:sz w:val="21"/>
          <w:szCs w:val="21"/>
        </w:rPr>
        <w:t>En dicho tenor, la Presidenta municipal de León, Guanajuato, a través del oficio número PML/0028/2023, dirigido al titular del Poder Ejecutivo, solicitó que se realicen las gestiones a que haya lugar, con la finalidad de que una fracción del inmueble donado se destine para la construcción y equipamiento de la Estación de Transferencia Metropolitana, lo cual permitiría llevar a cabo el proyecto denominado «Construcción y equipamiento de la Estación de Transferencia Metropolitana en la Unidad Deportiva J.J. Rodríguez Gaona, así como la Modernización de la infraestructura y equipamiento de dicha unidad deportiva».</w:t>
      </w:r>
    </w:p>
    <w:p w14:paraId="51873911" w14:textId="77777777" w:rsidR="00BE2406" w:rsidRPr="00474D4A" w:rsidRDefault="00BE2406" w:rsidP="00BE2406">
      <w:pPr>
        <w:ind w:left="709" w:hanging="1"/>
        <w:jc w:val="both"/>
        <w:rPr>
          <w:rFonts w:ascii="Abadi" w:hAnsi="Abadi" w:cs="Arial"/>
          <w:i/>
          <w:sz w:val="21"/>
          <w:szCs w:val="21"/>
        </w:rPr>
      </w:pPr>
    </w:p>
    <w:p w14:paraId="4BA51D57" w14:textId="77777777" w:rsidR="00BE2406" w:rsidRPr="00474D4A" w:rsidRDefault="00BE2406" w:rsidP="00BE2406">
      <w:pPr>
        <w:autoSpaceDE w:val="0"/>
        <w:autoSpaceDN w:val="0"/>
        <w:adjustRightInd w:val="0"/>
        <w:ind w:left="709" w:hanging="1"/>
        <w:jc w:val="both"/>
        <w:rPr>
          <w:rFonts w:ascii="Abadi" w:hAnsi="Abadi" w:cs="Arial"/>
          <w:i/>
          <w:sz w:val="21"/>
          <w:szCs w:val="21"/>
        </w:rPr>
      </w:pPr>
      <w:r w:rsidRPr="00474D4A">
        <w:rPr>
          <w:rFonts w:ascii="Abadi" w:hAnsi="Abadi" w:cs="Arial"/>
          <w:i/>
          <w:sz w:val="21"/>
          <w:szCs w:val="21"/>
        </w:rPr>
        <w:t xml:space="preserve">El inmueble solicitado por el municipio de León, Guanajuato para ejecutar el proyecto de mérito, corresponde a una fracción con superficie conforme a plano topográfico de 22,938.99 m² veintidós mil novecientos treinta y ocho punto noventa y nueve metros cuadrados, perteneciente a una parte de la fracción 6 letra «A» del predio rústico denominado «La Piscina y Santa Rita», en el municipio de León, </w:t>
      </w:r>
      <w:proofErr w:type="spellStart"/>
      <w:r w:rsidRPr="00474D4A">
        <w:rPr>
          <w:rFonts w:ascii="Abadi" w:hAnsi="Abadi" w:cs="Arial"/>
          <w:i/>
          <w:sz w:val="21"/>
          <w:szCs w:val="21"/>
        </w:rPr>
        <w:t>Gto</w:t>
      </w:r>
      <w:proofErr w:type="spellEnd"/>
      <w:r w:rsidRPr="00474D4A">
        <w:rPr>
          <w:rFonts w:ascii="Abadi" w:hAnsi="Abadi" w:cs="Arial"/>
          <w:i/>
          <w:sz w:val="21"/>
          <w:szCs w:val="21"/>
        </w:rPr>
        <w:t>., cuyo destino está determinado en el multicitado Decreto Legislativo número 317, por lo cual, es necesario solicitar una nueva autorización para que el municipio de León, Guanajuato, esté en posibilidad de destinarla para la construcción y equipamiento de la Estación de Transferencia Metropolitana, sin que ello implique una causal de reversión.</w:t>
      </w:r>
    </w:p>
    <w:p w14:paraId="18636D1F" w14:textId="77777777" w:rsidR="00BE2406" w:rsidRPr="00474D4A" w:rsidRDefault="00BE2406" w:rsidP="00BE2406">
      <w:pPr>
        <w:autoSpaceDE w:val="0"/>
        <w:autoSpaceDN w:val="0"/>
        <w:adjustRightInd w:val="0"/>
        <w:ind w:left="709" w:hanging="1"/>
        <w:jc w:val="both"/>
        <w:rPr>
          <w:rFonts w:ascii="Abadi" w:hAnsi="Abadi" w:cs="Arial"/>
          <w:i/>
          <w:sz w:val="21"/>
          <w:szCs w:val="21"/>
        </w:rPr>
      </w:pPr>
    </w:p>
    <w:p w14:paraId="395E01EC"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r w:rsidRPr="00474D4A">
        <w:rPr>
          <w:rFonts w:ascii="Abadi" w:eastAsia="Calibri" w:hAnsi="Abadi" w:cs="Arial"/>
          <w:i/>
          <w:sz w:val="21"/>
          <w:szCs w:val="21"/>
        </w:rPr>
        <w:t xml:space="preserve">Así, en razón de que la solicitud realizada por el municipio de León, Guanajuato, </w:t>
      </w:r>
      <w:r w:rsidRPr="00474D4A">
        <w:rPr>
          <w:rFonts w:ascii="Abadi" w:hAnsi="Abadi" w:cs="Arial"/>
          <w:i/>
          <w:sz w:val="21"/>
          <w:szCs w:val="21"/>
        </w:rPr>
        <w:t>se inscribe en el marco de los objetivos y metas previstos en los instrumentos de planeación que orientan la actuación de la administración pública estatal,</w:t>
      </w:r>
      <w:r w:rsidRPr="00474D4A">
        <w:rPr>
          <w:rFonts w:ascii="Abadi" w:eastAsia="Calibri" w:hAnsi="Abadi" w:cs="Tahoma"/>
          <w:i/>
          <w:sz w:val="21"/>
          <w:szCs w:val="21"/>
          <w:lang w:val="es-MX" w:eastAsia="en-US"/>
        </w:rPr>
        <w:t xml:space="preserve"> </w:t>
      </w:r>
      <w:r w:rsidRPr="00474D4A">
        <w:rPr>
          <w:rFonts w:ascii="Abadi" w:eastAsia="Calibri" w:hAnsi="Abadi" w:cs="Arial"/>
          <w:i/>
          <w:sz w:val="21"/>
          <w:szCs w:val="21"/>
        </w:rPr>
        <w:t xml:space="preserve">el Ejecutivo del Estado estima pertinente autorizar el cambio de destino de una </w:t>
      </w:r>
      <w:r w:rsidRPr="00474D4A">
        <w:rPr>
          <w:rFonts w:ascii="Abadi" w:eastAsia="Calibri" w:hAnsi="Abadi" w:cs="Arial"/>
          <w:i/>
          <w:sz w:val="21"/>
          <w:szCs w:val="21"/>
        </w:rPr>
        <w:lastRenderedPageBreak/>
        <w:t>fracción del inmueble objeto de la presente iniciativa, para que dicho municipio, lleve a cabo la construcción y equipamiento de la Estación de Transferencia Metropolitana.</w:t>
      </w:r>
    </w:p>
    <w:p w14:paraId="667C9565" w14:textId="77777777" w:rsidR="00BE2406" w:rsidRPr="00474D4A" w:rsidRDefault="00BE2406" w:rsidP="00BE2406">
      <w:pPr>
        <w:autoSpaceDE w:val="0"/>
        <w:autoSpaceDN w:val="0"/>
        <w:adjustRightInd w:val="0"/>
        <w:ind w:left="709" w:hanging="1"/>
        <w:jc w:val="both"/>
        <w:rPr>
          <w:rFonts w:ascii="Abadi" w:hAnsi="Abadi" w:cs="Arial"/>
          <w:i/>
          <w:sz w:val="21"/>
          <w:szCs w:val="21"/>
        </w:rPr>
      </w:pPr>
    </w:p>
    <w:p w14:paraId="547C3BA7"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r w:rsidRPr="00474D4A">
        <w:rPr>
          <w:rFonts w:ascii="Abadi" w:eastAsia="Calibri" w:hAnsi="Abadi" w:cs="Arial"/>
          <w:i/>
          <w:sz w:val="21"/>
          <w:szCs w:val="21"/>
        </w:rPr>
        <w:t>Las sociedades modernas demandan una alta y variada movilidad, lo que requiere de sistemas de transporte complejo y adaptado a las necesidades sociales, que garanticen los desplazamientos de personas y mercancías de una forma económica, eficiente y segura, todo ello basado en una conciencia ecológica colectiva con el fin de proteger el medio ambiente. En este sentido, uno de los requerimientos actuales es el relativo al servicio de transporte de ruta fija, de ahí la necesidad de apoyar al municipio en consolidar el Sistema Integrado de Transporte.</w:t>
      </w:r>
    </w:p>
    <w:p w14:paraId="3D094817"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p>
    <w:p w14:paraId="281F6CB4"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r w:rsidRPr="00474D4A">
        <w:rPr>
          <w:rFonts w:ascii="Abadi" w:eastAsia="Calibri" w:hAnsi="Abadi" w:cs="Arial"/>
          <w:i/>
          <w:sz w:val="21"/>
          <w:szCs w:val="21"/>
        </w:rPr>
        <w:t>La construcción de un modelo de movilidad sostenible exige procesos planificadores y participativos que se desarrollen sobre un sector de transporte moderno y flexible, pero también es necesario adoptar un enfoque integrador con otros sectores, así como considerar las dinámicas socio demográficas y los procesos urbanísticos y territoriales que tienen efectos sobre la movilidad, planteando así soluciones integrales y coherentes, asumiendo la complejidad que todo ello supone. La integración de la movilidad y el transporte en la planificación territorial y urbanística con mayores dosis de coordinación y cooperación administrativa son fundamentales.</w:t>
      </w:r>
    </w:p>
    <w:p w14:paraId="589A00C4" w14:textId="77777777" w:rsidR="00BE2406" w:rsidRPr="00474D4A" w:rsidRDefault="00BE2406" w:rsidP="00BE2406">
      <w:pPr>
        <w:autoSpaceDE w:val="0"/>
        <w:autoSpaceDN w:val="0"/>
        <w:adjustRightInd w:val="0"/>
        <w:ind w:firstLine="708"/>
        <w:jc w:val="both"/>
        <w:rPr>
          <w:rFonts w:ascii="Abadi" w:eastAsia="Calibri" w:hAnsi="Abadi" w:cs="Arial"/>
          <w:i/>
          <w:sz w:val="21"/>
          <w:szCs w:val="21"/>
        </w:rPr>
      </w:pPr>
    </w:p>
    <w:p w14:paraId="271C5511"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r w:rsidRPr="00474D4A">
        <w:rPr>
          <w:rFonts w:ascii="Abadi" w:eastAsia="Calibri" w:hAnsi="Abadi" w:cs="Arial"/>
          <w:i/>
          <w:sz w:val="21"/>
          <w:szCs w:val="21"/>
        </w:rPr>
        <w:t xml:space="preserve">Por lo que respecta al resto del predio, el municipio de León, Guanajuato, busca la modernización de la infraestructura y equipamiento de la Unidad Deportiva J.J. Rodríguez Gaona para incrementar las opciones de práctica deportiva y la activación física, aumentando los metros cuadrados de canchas, rescatando las instalaciones existentes y equipando zonas con mobiliario deportivo, para con ello fomentar el desarrollo y la promoción de las actividades </w:t>
      </w:r>
      <w:r w:rsidRPr="00474D4A">
        <w:rPr>
          <w:rFonts w:ascii="Abadi" w:eastAsia="Calibri" w:hAnsi="Abadi" w:cs="Arial"/>
          <w:i/>
          <w:sz w:val="21"/>
          <w:szCs w:val="21"/>
        </w:rPr>
        <w:t>deportivas y recreativas, con lo que se beneficiaría a la población cercana de la referida unidad deportiva.</w:t>
      </w:r>
    </w:p>
    <w:p w14:paraId="04F83C4E" w14:textId="77777777" w:rsidR="00BE2406" w:rsidRPr="00474D4A" w:rsidRDefault="00BE2406" w:rsidP="00BE2406">
      <w:pPr>
        <w:autoSpaceDE w:val="0"/>
        <w:autoSpaceDN w:val="0"/>
        <w:adjustRightInd w:val="0"/>
        <w:ind w:left="709" w:hanging="1"/>
        <w:jc w:val="both"/>
        <w:rPr>
          <w:rFonts w:ascii="Abadi" w:eastAsia="Calibri" w:hAnsi="Abadi" w:cs="Arial"/>
          <w:i/>
          <w:sz w:val="21"/>
          <w:szCs w:val="21"/>
        </w:rPr>
      </w:pPr>
    </w:p>
    <w:p w14:paraId="422E289E" w14:textId="77777777" w:rsidR="00BE2406" w:rsidRPr="00474D4A" w:rsidRDefault="00BE2406" w:rsidP="00BE2406">
      <w:pPr>
        <w:autoSpaceDE w:val="0"/>
        <w:autoSpaceDN w:val="0"/>
        <w:adjustRightInd w:val="0"/>
        <w:ind w:left="709" w:hanging="1"/>
        <w:jc w:val="both"/>
        <w:rPr>
          <w:rFonts w:ascii="Abadi" w:hAnsi="Abadi"/>
          <w:i/>
          <w:sz w:val="21"/>
          <w:szCs w:val="21"/>
        </w:rPr>
      </w:pPr>
      <w:r w:rsidRPr="00474D4A">
        <w:rPr>
          <w:rFonts w:ascii="Abadi" w:hAnsi="Abadi"/>
          <w: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474D4A">
        <w:rPr>
          <w:rFonts w:ascii="Abadi" w:hAnsi="Abadi" w:cs="Arial"/>
          <w:i/>
          <w:sz w:val="21"/>
          <w:szCs w:val="21"/>
        </w:rPr>
        <w:t>legislación</w:t>
      </w:r>
      <w:r w:rsidRPr="00474D4A">
        <w:rPr>
          <w:rFonts w:ascii="Abadi" w:hAnsi="Abadi"/>
          <w:i/>
          <w:sz w:val="21"/>
          <w:szCs w:val="21"/>
        </w:rPr>
        <w:t xml:space="preserve"> </w:t>
      </w:r>
      <w:r w:rsidRPr="00474D4A">
        <w:rPr>
          <w:rFonts w:ascii="Abadi" w:hAnsi="Abadi" w:cs="Calibri"/>
          <w:i/>
          <w:sz w:val="21"/>
          <w:szCs w:val="21"/>
        </w:rPr>
        <w:t>—</w:t>
      </w:r>
      <w:r w:rsidRPr="00474D4A">
        <w:rPr>
          <w:rFonts w:ascii="Abadi" w:hAnsi="Abadi"/>
          <w:i/>
          <w:sz w:val="21"/>
          <w:szCs w:val="21"/>
        </w:rPr>
        <w:t>qué se legisla</w:t>
      </w:r>
      <w:r w:rsidRPr="00474D4A">
        <w:rPr>
          <w:rFonts w:ascii="Abadi" w:hAnsi="Abadi" w:cs="Calibri"/>
          <w:i/>
          <w:sz w:val="21"/>
          <w:szCs w:val="21"/>
        </w:rPr>
        <w:t>—</w:t>
      </w:r>
      <w:r w:rsidRPr="00474D4A">
        <w:rPr>
          <w:rFonts w:ascii="Abadi" w:hAnsi="Abadi"/>
          <w:i/>
          <w:sz w:val="21"/>
          <w:szCs w:val="21"/>
        </w:rPr>
        <w:t xml:space="preserve"> sino también en la plasmación lingüística de la norma </w:t>
      </w:r>
      <w:r w:rsidRPr="00474D4A">
        <w:rPr>
          <w:rFonts w:ascii="Abadi" w:hAnsi="Abadi" w:cs="Calibri"/>
          <w:i/>
          <w:sz w:val="21"/>
          <w:szCs w:val="21"/>
        </w:rPr>
        <w:t>—</w:t>
      </w:r>
      <w:r w:rsidRPr="00474D4A">
        <w:rPr>
          <w:rFonts w:ascii="Abadi" w:hAnsi="Abadi"/>
          <w:i/>
          <w:sz w:val="21"/>
          <w:szCs w:val="21"/>
        </w:rPr>
        <w:t>con qué palabras se legisla</w:t>
      </w:r>
      <w:r w:rsidRPr="00474D4A">
        <w:rPr>
          <w:rFonts w:ascii="Abadi" w:hAnsi="Abadi" w:cs="Calibri"/>
          <w:i/>
          <w:sz w:val="21"/>
          <w:szCs w:val="21"/>
        </w:rPr>
        <w:t>—</w:t>
      </w:r>
      <w:r w:rsidRPr="00474D4A">
        <w:rPr>
          <w:rFonts w:ascii="Abadi" w:hAnsi="Abadi"/>
          <w:i/>
          <w:sz w:val="21"/>
          <w:szCs w:val="21"/>
        </w:rPr>
        <w:t>, por ello, atendiendo la previsión del artículo 209 de la Ley Orgánica del Poder Legislativo del Estado de Guanajuato, relativo a la evaluación ex ante de la norma, a partir de la evaluación del impacto jurídico, administrativo, presupuestario y social, se manifiesta:</w:t>
      </w:r>
    </w:p>
    <w:p w14:paraId="7FD91CA5" w14:textId="77777777" w:rsidR="00BE2406" w:rsidRPr="00474D4A" w:rsidRDefault="00BE2406" w:rsidP="00BE2406">
      <w:pPr>
        <w:autoSpaceDE w:val="0"/>
        <w:autoSpaceDN w:val="0"/>
        <w:adjustRightInd w:val="0"/>
        <w:ind w:firstLine="708"/>
        <w:jc w:val="both"/>
        <w:rPr>
          <w:rFonts w:ascii="Abadi" w:hAnsi="Abadi"/>
          <w:i/>
          <w:sz w:val="21"/>
          <w:szCs w:val="21"/>
        </w:rPr>
      </w:pPr>
    </w:p>
    <w:p w14:paraId="472CF1AF" w14:textId="77777777" w:rsidR="00BE2406" w:rsidRPr="00474D4A" w:rsidRDefault="00BE2406" w:rsidP="005B68E6">
      <w:pPr>
        <w:pStyle w:val="Prrafodelista"/>
        <w:widowControl w:val="0"/>
        <w:numPr>
          <w:ilvl w:val="0"/>
          <w:numId w:val="31"/>
        </w:numPr>
        <w:autoSpaceDE w:val="0"/>
        <w:autoSpaceDN w:val="0"/>
        <w:adjustRightInd w:val="0"/>
        <w:ind w:left="993" w:hanging="284"/>
        <w:contextualSpacing/>
        <w:jc w:val="both"/>
        <w:rPr>
          <w:rFonts w:ascii="Abadi" w:hAnsi="Abadi"/>
          <w:b/>
          <w:i/>
          <w:sz w:val="21"/>
          <w:szCs w:val="21"/>
        </w:rPr>
      </w:pPr>
      <w:r w:rsidRPr="00474D4A">
        <w:rPr>
          <w:rFonts w:ascii="Abadi" w:hAnsi="Abadi"/>
          <w:b/>
          <w:i/>
          <w:sz w:val="21"/>
          <w:szCs w:val="21"/>
        </w:rPr>
        <w:t>Impacto jurídico:</w:t>
      </w:r>
      <w:r w:rsidRPr="00474D4A">
        <w:rPr>
          <w:rFonts w:ascii="Abadi" w:hAnsi="Abadi"/>
          <w:i/>
          <w:sz w:val="21"/>
          <w:szCs w:val="21"/>
        </w:rPr>
        <w:t xml:space="preserve"> se traduce en la autorización de ese Congreso para que el Ejecutivo del Estado pueda ampliar el destino autorizado mediante </w:t>
      </w:r>
      <w:r w:rsidRPr="00474D4A">
        <w:rPr>
          <w:rFonts w:ascii="Abadi" w:hAnsi="Abadi"/>
          <w:i/>
          <w:sz w:val="21"/>
          <w:szCs w:val="21"/>
          <w:lang w:val="es-MX"/>
        </w:rPr>
        <w:t>Decreto Legislativo número 317, publicado en el Periódico Oficial del Gobierno del Estado de Guanajuato número 48, Segunda Parte, del 17 de junio de 1997, a efecto de que el municipio de León</w:t>
      </w:r>
      <w:r w:rsidRPr="00474D4A">
        <w:rPr>
          <w:rFonts w:ascii="Abadi" w:hAnsi="Abadi" w:cs="Arial"/>
          <w:i/>
          <w:sz w:val="21"/>
          <w:szCs w:val="21"/>
        </w:rPr>
        <w:t>, Guanajuato, pueda destinar una fracción del inmueble materia del citado decreto, para la construcción y equipamiento de la Estación de Transferencia Metropolitana</w:t>
      </w:r>
      <w:r w:rsidRPr="00474D4A">
        <w:rPr>
          <w:rFonts w:ascii="Abadi" w:hAnsi="Abadi"/>
          <w:i/>
          <w:sz w:val="21"/>
          <w:szCs w:val="21"/>
        </w:rPr>
        <w:t xml:space="preserve">; </w:t>
      </w:r>
    </w:p>
    <w:p w14:paraId="22409746" w14:textId="77777777" w:rsidR="00BE2406" w:rsidRPr="00474D4A" w:rsidRDefault="00BE2406" w:rsidP="005B68E6">
      <w:pPr>
        <w:pStyle w:val="Prrafodelista"/>
        <w:widowControl w:val="0"/>
        <w:numPr>
          <w:ilvl w:val="0"/>
          <w:numId w:val="31"/>
        </w:numPr>
        <w:autoSpaceDE w:val="0"/>
        <w:autoSpaceDN w:val="0"/>
        <w:adjustRightInd w:val="0"/>
        <w:ind w:left="993" w:hanging="284"/>
        <w:contextualSpacing/>
        <w:jc w:val="both"/>
        <w:rPr>
          <w:rFonts w:ascii="Abadi" w:hAnsi="Abadi"/>
          <w:i/>
          <w:sz w:val="21"/>
          <w:szCs w:val="21"/>
        </w:rPr>
      </w:pPr>
      <w:r w:rsidRPr="00474D4A">
        <w:rPr>
          <w:rFonts w:ascii="Abadi" w:hAnsi="Abadi"/>
          <w:b/>
          <w:i/>
          <w:sz w:val="21"/>
          <w:szCs w:val="21"/>
        </w:rPr>
        <w:t>Impacto administrativo:</w:t>
      </w:r>
      <w:r w:rsidRPr="00474D4A">
        <w:rPr>
          <w:rFonts w:ascii="Abadi" w:hAnsi="Abadi"/>
          <w:i/>
          <w:sz w:val="21"/>
          <w:szCs w:val="21"/>
        </w:rPr>
        <w:t xml:space="preserve"> en razón de los alcances y naturaleza de la Iniciativa que se propone, no se actualizan impactos de orden administrativo; </w:t>
      </w:r>
    </w:p>
    <w:p w14:paraId="22F823F6" w14:textId="77777777" w:rsidR="00BE2406" w:rsidRPr="00474D4A" w:rsidRDefault="00BE2406" w:rsidP="005B68E6">
      <w:pPr>
        <w:pStyle w:val="Prrafodelista"/>
        <w:widowControl w:val="0"/>
        <w:numPr>
          <w:ilvl w:val="0"/>
          <w:numId w:val="31"/>
        </w:numPr>
        <w:autoSpaceDE w:val="0"/>
        <w:autoSpaceDN w:val="0"/>
        <w:adjustRightInd w:val="0"/>
        <w:ind w:left="993" w:hanging="284"/>
        <w:contextualSpacing/>
        <w:jc w:val="both"/>
        <w:rPr>
          <w:rFonts w:ascii="Abadi" w:hAnsi="Abadi"/>
          <w:i/>
          <w:sz w:val="21"/>
          <w:szCs w:val="21"/>
        </w:rPr>
      </w:pPr>
      <w:r w:rsidRPr="00474D4A">
        <w:rPr>
          <w:rFonts w:ascii="Abadi" w:hAnsi="Abadi"/>
          <w:b/>
          <w:i/>
          <w:sz w:val="21"/>
          <w:szCs w:val="21"/>
        </w:rPr>
        <w:t>Impacto presupuestario:</w:t>
      </w:r>
      <w:r w:rsidRPr="00474D4A">
        <w:rPr>
          <w:rFonts w:ascii="Abadi" w:hAnsi="Abadi"/>
          <w:i/>
          <w:sz w:val="21"/>
          <w:szCs w:val="21"/>
        </w:rPr>
        <w:t xml:space="preserve"> en razón de los alcances y naturaleza de la Iniciativa que se propone, no se actualizan impactos de orden presupuestario; y </w:t>
      </w:r>
    </w:p>
    <w:p w14:paraId="24884B71" w14:textId="77777777" w:rsidR="00BE2406" w:rsidRPr="00474D4A" w:rsidRDefault="00BE2406" w:rsidP="005B68E6">
      <w:pPr>
        <w:pStyle w:val="Prrafodelista"/>
        <w:widowControl w:val="0"/>
        <w:numPr>
          <w:ilvl w:val="0"/>
          <w:numId w:val="31"/>
        </w:numPr>
        <w:autoSpaceDE w:val="0"/>
        <w:autoSpaceDN w:val="0"/>
        <w:adjustRightInd w:val="0"/>
        <w:ind w:left="993" w:hanging="284"/>
        <w:contextualSpacing/>
        <w:jc w:val="both"/>
        <w:rPr>
          <w:rFonts w:ascii="Abadi" w:hAnsi="Abadi" w:cs="Arial"/>
          <w:i/>
          <w:sz w:val="21"/>
          <w:szCs w:val="21"/>
          <w:lang w:val="es-MX"/>
        </w:rPr>
      </w:pPr>
      <w:r w:rsidRPr="00474D4A">
        <w:rPr>
          <w:rFonts w:ascii="Abadi" w:hAnsi="Abadi"/>
          <w:b/>
          <w:i/>
          <w:sz w:val="21"/>
          <w:szCs w:val="21"/>
        </w:rPr>
        <w:t>Impacto social:</w:t>
      </w:r>
      <w:r w:rsidRPr="00474D4A">
        <w:rPr>
          <w:rFonts w:ascii="Abadi" w:hAnsi="Abadi"/>
          <w:i/>
          <w:sz w:val="21"/>
          <w:szCs w:val="21"/>
        </w:rPr>
        <w:t xml:space="preserve"> con la ampliación en el destino de una fracción del inmueble en cita, se beneficia a la </w:t>
      </w:r>
      <w:r w:rsidRPr="00474D4A">
        <w:rPr>
          <w:rFonts w:ascii="Abadi" w:hAnsi="Abadi"/>
          <w:i/>
          <w:sz w:val="21"/>
          <w:szCs w:val="21"/>
        </w:rPr>
        <w:lastRenderedPageBreak/>
        <w:t xml:space="preserve">población de León, Guanajuato, toda vez, que al autorizarse el cambio de destino, se contribuye a atender la demanda de servicio de transporte público que actualmente se presta en la Micro Estación Santa Rita, incorporando más rutas, integrando servicios y permitiendo el crecimiento del Sistema Integrado de Transporte, a la par de incrementar la capacidad de las instalaciones de la Unidad Deportiva J.J. Rodríguez Gaona a fin de posicionarla como una de las unidades con mayor afluencia para la promoción de las actividades físicas y el deporte.» </w:t>
      </w:r>
    </w:p>
    <w:p w14:paraId="1BC2F4EF" w14:textId="77777777" w:rsidR="00BE2406" w:rsidRPr="00474D4A" w:rsidRDefault="00BE2406" w:rsidP="00BE2406">
      <w:pPr>
        <w:ind w:left="709"/>
        <w:jc w:val="both"/>
        <w:rPr>
          <w:rFonts w:ascii="Abadi" w:hAnsi="Abadi" w:cs="Arial"/>
          <w:i/>
          <w:sz w:val="21"/>
          <w:szCs w:val="21"/>
        </w:rPr>
      </w:pPr>
    </w:p>
    <w:p w14:paraId="213B4839" w14:textId="77777777" w:rsidR="00BE2406" w:rsidRPr="00474D4A" w:rsidRDefault="00BE2406" w:rsidP="00BE2406">
      <w:pPr>
        <w:pStyle w:val="Textoindependiente2"/>
        <w:spacing w:line="240" w:lineRule="auto"/>
        <w:ind w:firstLine="708"/>
        <w:rPr>
          <w:rFonts w:ascii="Abadi" w:hAnsi="Abadi"/>
          <w:sz w:val="21"/>
          <w:szCs w:val="21"/>
          <w:lang w:val="es-MX"/>
        </w:rPr>
      </w:pPr>
      <w:r w:rsidRPr="00474D4A">
        <w:rPr>
          <w:rFonts w:ascii="Abadi" w:hAnsi="Abadi"/>
          <w:sz w:val="21"/>
          <w:szCs w:val="21"/>
          <w:lang w:val="es-MX"/>
        </w:rPr>
        <w:t>Del análisis de la iniciativa que nos ocupa, podemos desprender que en su momento mediante el Decreto número 317, se autorizó al titular del Poder Ejecutivo del Estado la donación del bien inmueble denominado Unidad Deportiva J. Jesús Rodríguez Gaona, en favor del municipio de León, Gto., para que lo siguiera destinando como campo deportivo; estableciendo en el Artículo Tercero del citado Decreto que el bien inmueble revertiría en favor del patrimonio del Estado con todas las instalaciones que en el se encontraran o construyeran si el donatario le diera un uso o destino distinto al señalado.</w:t>
      </w:r>
    </w:p>
    <w:p w14:paraId="7A4E6C8C" w14:textId="77777777" w:rsidR="00BE2406" w:rsidRPr="00474D4A" w:rsidRDefault="00BE2406" w:rsidP="00BE2406">
      <w:pPr>
        <w:pStyle w:val="Textoindependiente2"/>
        <w:spacing w:line="240" w:lineRule="auto"/>
        <w:ind w:firstLine="708"/>
        <w:rPr>
          <w:rFonts w:ascii="Abadi" w:hAnsi="Abadi"/>
          <w:sz w:val="21"/>
          <w:szCs w:val="21"/>
          <w:lang w:val="es-MX"/>
        </w:rPr>
      </w:pPr>
    </w:p>
    <w:p w14:paraId="2DA73FC1" w14:textId="77777777" w:rsidR="00BE2406" w:rsidRPr="00474D4A" w:rsidRDefault="00BE2406" w:rsidP="00BE2406">
      <w:pPr>
        <w:pStyle w:val="Textoindependiente2"/>
        <w:spacing w:line="240" w:lineRule="auto"/>
        <w:ind w:firstLine="708"/>
        <w:rPr>
          <w:rFonts w:ascii="Abadi" w:hAnsi="Abadi"/>
          <w:sz w:val="21"/>
          <w:szCs w:val="21"/>
          <w:lang w:val="es-MX"/>
        </w:rPr>
      </w:pPr>
      <w:r w:rsidRPr="00474D4A">
        <w:rPr>
          <w:rFonts w:ascii="Abadi" w:hAnsi="Abadi"/>
          <w:sz w:val="21"/>
          <w:szCs w:val="21"/>
          <w:lang w:val="es-MX"/>
        </w:rPr>
        <w:t xml:space="preserve">Por lo anterior, al existir la solicitud de la presidenta municipal de León, Gto., en atención al acuerdo tomado por el órgano colegiado para la realización del proyecto denominado </w:t>
      </w:r>
      <w:r w:rsidRPr="00474D4A">
        <w:rPr>
          <w:rFonts w:ascii="Abadi" w:hAnsi="Abadi"/>
          <w:i w:val="0"/>
          <w:iCs w:val="0"/>
          <w:sz w:val="21"/>
          <w:szCs w:val="21"/>
          <w:lang w:val="es-MX"/>
        </w:rPr>
        <w:t>construcción</w:t>
      </w:r>
      <w:r w:rsidRPr="00474D4A">
        <w:rPr>
          <w:rFonts w:ascii="Abadi" w:hAnsi="Abadi"/>
          <w:i w:val="0"/>
          <w:iCs w:val="0"/>
          <w:sz w:val="21"/>
          <w:szCs w:val="21"/>
        </w:rPr>
        <w:t xml:space="preserve"> y equipamiento de la Estación de Transferencia Metropolitana en la Unidad Deportiva J. J. Rodríguez Gaona, en el municipio de León, Gto., así como la Modernización de la infraestructura y equipamiento de dicha Unidad Deportiva -</w:t>
      </w:r>
      <w:r w:rsidRPr="00474D4A">
        <w:rPr>
          <w:rFonts w:ascii="Abadi" w:hAnsi="Abadi"/>
          <w:sz w:val="21"/>
          <w:szCs w:val="21"/>
        </w:rPr>
        <w:t>para lo cual en su momento este Poder Legislativo autorizó la contratación de financiamientos-</w:t>
      </w:r>
      <w:r w:rsidRPr="00474D4A">
        <w:rPr>
          <w:rFonts w:ascii="Abadi" w:hAnsi="Abadi"/>
          <w:i w:val="0"/>
          <w:iCs w:val="0"/>
          <w:sz w:val="21"/>
          <w:szCs w:val="21"/>
        </w:rPr>
        <w:t xml:space="preserve"> </w:t>
      </w:r>
      <w:r w:rsidRPr="00474D4A">
        <w:rPr>
          <w:rFonts w:ascii="Abadi" w:hAnsi="Abadi"/>
          <w:sz w:val="21"/>
          <w:szCs w:val="21"/>
          <w:lang w:val="es-MX"/>
        </w:rPr>
        <w:t>para modificar el destino de una fracción del bien inmueble donado mediante el Decreto 317, es que el Gobernador del Estado presenta la iniciativa para tal efecto.</w:t>
      </w:r>
    </w:p>
    <w:p w14:paraId="0445A390" w14:textId="77777777" w:rsidR="00BE2406" w:rsidRPr="00474D4A" w:rsidRDefault="00BE2406" w:rsidP="00BE2406">
      <w:pPr>
        <w:jc w:val="both"/>
        <w:rPr>
          <w:rFonts w:ascii="Abadi" w:eastAsia="Arial" w:hAnsi="Abadi"/>
          <w:noProof/>
          <w:color w:val="000000"/>
          <w:sz w:val="21"/>
          <w:szCs w:val="21"/>
        </w:rPr>
      </w:pPr>
    </w:p>
    <w:p w14:paraId="7EA0739F" w14:textId="77777777" w:rsidR="00BE2406" w:rsidRPr="00474D4A" w:rsidRDefault="00BE2406" w:rsidP="00BE2406">
      <w:pPr>
        <w:jc w:val="both"/>
        <w:rPr>
          <w:rFonts w:ascii="Abadi" w:hAnsi="Abadi" w:cs="Arial"/>
          <w:sz w:val="21"/>
          <w:szCs w:val="21"/>
          <w:lang w:val="es-MX"/>
        </w:rPr>
      </w:pPr>
      <w:r w:rsidRPr="00474D4A">
        <w:rPr>
          <w:rFonts w:ascii="Abadi" w:eastAsia="Arial" w:hAnsi="Abadi"/>
          <w:noProof/>
          <w:color w:val="000000"/>
          <w:sz w:val="21"/>
          <w:szCs w:val="21"/>
        </w:rPr>
        <w:tab/>
        <w:t xml:space="preserve">Cabe señalar que en su momento, esta Comisión ya analizó la viabilidad de dicho proyecto </w:t>
      </w:r>
      <w:r w:rsidRPr="00474D4A">
        <w:rPr>
          <w:rFonts w:ascii="Abadi" w:hAnsi="Abadi" w:cs="Arial"/>
          <w:sz w:val="21"/>
          <w:szCs w:val="21"/>
          <w:lang w:val="es-MX"/>
        </w:rPr>
        <w:t xml:space="preserve">considerando que la construcción de la Estación de Transferencia que sustituirá a la Micro Estación Santa Rita, en el espacio de la </w:t>
      </w:r>
      <w:r w:rsidRPr="00474D4A">
        <w:rPr>
          <w:rFonts w:ascii="Abadi" w:hAnsi="Abadi" w:cs="Arial"/>
          <w:sz w:val="21"/>
          <w:szCs w:val="21"/>
          <w:lang w:val="es-MX"/>
        </w:rPr>
        <w:t xml:space="preserve">Unidad Deportiva J. J. Rodríguez Gaona generará beneficios a los usuarios del transporte público del municipio de León, </w:t>
      </w:r>
      <w:proofErr w:type="spellStart"/>
      <w:r w:rsidRPr="00474D4A">
        <w:rPr>
          <w:rFonts w:ascii="Abadi" w:hAnsi="Abadi" w:cs="Arial"/>
          <w:sz w:val="21"/>
          <w:szCs w:val="21"/>
          <w:lang w:val="es-MX"/>
        </w:rPr>
        <w:t>Gto</w:t>
      </w:r>
      <w:proofErr w:type="spellEnd"/>
      <w:r w:rsidRPr="00474D4A">
        <w:rPr>
          <w:rFonts w:ascii="Abadi" w:hAnsi="Abadi" w:cs="Arial"/>
          <w:sz w:val="21"/>
          <w:szCs w:val="21"/>
          <w:lang w:val="es-MX"/>
        </w:rPr>
        <w:t xml:space="preserve">., quienes podrán acceder al Sistema Integrado por medio de instalaciones nuevas y funcionales con la posibilidad de hacer uso de las instalaciones de dicha Unidad Deportiva, fomentando el deporte y la convivencia. </w:t>
      </w:r>
    </w:p>
    <w:p w14:paraId="6C809052" w14:textId="77777777" w:rsidR="00BE2406" w:rsidRPr="00474D4A" w:rsidRDefault="00BE2406" w:rsidP="00BE2406">
      <w:pPr>
        <w:jc w:val="both"/>
        <w:rPr>
          <w:rFonts w:ascii="Abadi" w:hAnsi="Abadi" w:cs="Arial"/>
          <w:sz w:val="21"/>
          <w:szCs w:val="21"/>
          <w:lang w:val="es-MX"/>
        </w:rPr>
      </w:pPr>
    </w:p>
    <w:p w14:paraId="1B2D99D8" w14:textId="77777777" w:rsidR="00BE2406" w:rsidRPr="00474D4A" w:rsidRDefault="00BE2406" w:rsidP="00BE2406">
      <w:pPr>
        <w:jc w:val="both"/>
        <w:rPr>
          <w:rFonts w:ascii="Abadi" w:hAnsi="Abadi" w:cs="Arial"/>
          <w:sz w:val="21"/>
          <w:szCs w:val="21"/>
          <w:lang w:val="es-MX"/>
        </w:rPr>
      </w:pPr>
      <w:r w:rsidRPr="00474D4A">
        <w:rPr>
          <w:rFonts w:ascii="Abadi" w:hAnsi="Abadi" w:cs="Arial"/>
          <w:sz w:val="21"/>
          <w:szCs w:val="21"/>
          <w:lang w:val="es-MX"/>
        </w:rPr>
        <w:tab/>
        <w:t xml:space="preserve">Es así, que los objetivos del citado proyecto son los siguientes: Modernizar la infraestructura y equipar la Unidad Deportiva J.J. Rodríguez Gaona para incrementar las opciones de práctica deportiva y la activación física, aumentando los metros cuadrados de canchas, rescatar las instalaciones existentes y equipar zonas con mobiliario deportivo; fomentar el desarrollo y la promoción de las actividades deportivas y de recreación, que permita cubrir las necesidades de la población cercana a la citada Unidad Deportiva; construir y equipar la Estación de Transferencia Metropolitana a fin de aumentar el servicio del transporte público en la zona </w:t>
      </w:r>
      <w:proofErr w:type="spellStart"/>
      <w:r w:rsidRPr="00474D4A">
        <w:rPr>
          <w:rFonts w:ascii="Abadi" w:hAnsi="Abadi" w:cs="Arial"/>
          <w:sz w:val="21"/>
          <w:szCs w:val="21"/>
          <w:lang w:val="es-MX"/>
        </w:rPr>
        <w:t>surponiente</w:t>
      </w:r>
      <w:proofErr w:type="spellEnd"/>
      <w:r w:rsidRPr="00474D4A">
        <w:rPr>
          <w:rFonts w:ascii="Abadi" w:hAnsi="Abadi" w:cs="Arial"/>
          <w:sz w:val="21"/>
          <w:szCs w:val="21"/>
          <w:lang w:val="es-MX"/>
        </w:rPr>
        <w:t xml:space="preserve"> de la ciudad de León, incrementando el número de rutas y por consiguiente captando más usuarios en la zona; y movilizar a los usuarios con altos estándares de calidad, eficiencia, comodidad y seguridad.</w:t>
      </w:r>
    </w:p>
    <w:p w14:paraId="3F73B747" w14:textId="77777777" w:rsidR="00BE2406" w:rsidRPr="00474D4A" w:rsidRDefault="00BE2406" w:rsidP="00BE2406">
      <w:pPr>
        <w:jc w:val="both"/>
        <w:rPr>
          <w:rFonts w:ascii="Abadi" w:hAnsi="Abadi" w:cs="Arial"/>
          <w:sz w:val="21"/>
          <w:szCs w:val="21"/>
          <w:lang w:val="es-MX"/>
        </w:rPr>
      </w:pPr>
    </w:p>
    <w:p w14:paraId="554B0764" w14:textId="77777777" w:rsidR="00BE2406" w:rsidRPr="00474D4A" w:rsidRDefault="00BE2406" w:rsidP="00BE2406">
      <w:pPr>
        <w:jc w:val="both"/>
        <w:rPr>
          <w:rFonts w:ascii="Abadi" w:hAnsi="Abadi" w:cs="Arial"/>
          <w:sz w:val="21"/>
          <w:szCs w:val="21"/>
          <w:lang w:val="es-MX"/>
        </w:rPr>
      </w:pPr>
    </w:p>
    <w:p w14:paraId="2E4EDA88" w14:textId="77777777" w:rsidR="00BE2406" w:rsidRPr="00474D4A" w:rsidRDefault="00BE2406" w:rsidP="00BE2406">
      <w:pPr>
        <w:ind w:firstLine="708"/>
        <w:jc w:val="both"/>
        <w:rPr>
          <w:rFonts w:ascii="Abadi" w:hAnsi="Abadi"/>
          <w:sz w:val="21"/>
          <w:szCs w:val="21"/>
        </w:rPr>
      </w:pPr>
      <w:r w:rsidRPr="00474D4A">
        <w:rPr>
          <w:rFonts w:ascii="Abadi" w:hAnsi="Abadi" w:cs="Arial"/>
          <w:sz w:val="21"/>
          <w:szCs w:val="21"/>
          <w:lang w:val="es-MX"/>
        </w:rPr>
        <w:t>En atención a los argumentos antes señalados, las diputadas y los diputados integrantes de esta Comisión determinamos procedente autorizar la ampliación del destino del bien inmueble que ocupan las instalaciones de la Unidad Deportiva J.J. Rodríguez Gaona</w:t>
      </w:r>
      <w:r w:rsidRPr="00474D4A">
        <w:rPr>
          <w:rFonts w:ascii="Abadi" w:hAnsi="Abadi"/>
          <w:sz w:val="21"/>
          <w:szCs w:val="21"/>
          <w:lang w:val="es-MX"/>
        </w:rPr>
        <w:t xml:space="preserve"> para la construcción y equipamiento de la Estación de Transferencia Metropolitana, en atención a que el ayuntamiento de León, </w:t>
      </w:r>
      <w:proofErr w:type="spellStart"/>
      <w:r w:rsidRPr="00474D4A">
        <w:rPr>
          <w:rFonts w:ascii="Abadi" w:hAnsi="Abadi"/>
          <w:sz w:val="21"/>
          <w:szCs w:val="21"/>
          <w:lang w:val="es-MX"/>
        </w:rPr>
        <w:t>Gto</w:t>
      </w:r>
      <w:proofErr w:type="spellEnd"/>
      <w:r w:rsidRPr="00474D4A">
        <w:rPr>
          <w:rFonts w:ascii="Abadi" w:hAnsi="Abadi"/>
          <w:sz w:val="21"/>
          <w:szCs w:val="21"/>
          <w:lang w:val="es-MX"/>
        </w:rPr>
        <w:t>., lo seguirá destinando a la prestación de los servicios públicos a su cargo, cumpliendo con ello el beneficio social de la enajenación.</w:t>
      </w:r>
    </w:p>
    <w:p w14:paraId="22225EB6" w14:textId="77777777" w:rsidR="00BE2406" w:rsidRPr="00474D4A" w:rsidRDefault="00BE2406" w:rsidP="00BE2406">
      <w:pPr>
        <w:ind w:firstLine="708"/>
        <w:jc w:val="both"/>
        <w:rPr>
          <w:rFonts w:ascii="Abadi" w:hAnsi="Abadi"/>
          <w:sz w:val="21"/>
          <w:szCs w:val="21"/>
        </w:rPr>
      </w:pPr>
    </w:p>
    <w:p w14:paraId="1B9834A6" w14:textId="77777777" w:rsidR="00BE2406" w:rsidRPr="00474D4A" w:rsidRDefault="00BE2406" w:rsidP="00BE2406">
      <w:pPr>
        <w:ind w:firstLine="708"/>
        <w:jc w:val="both"/>
        <w:rPr>
          <w:rFonts w:ascii="Abadi" w:hAnsi="Abadi"/>
          <w:sz w:val="21"/>
          <w:szCs w:val="21"/>
        </w:rPr>
      </w:pPr>
      <w:r w:rsidRPr="00474D4A">
        <w:rPr>
          <w:rFonts w:ascii="Abadi" w:hAnsi="Abadi"/>
          <w:sz w:val="21"/>
          <w:szCs w:val="21"/>
        </w:rPr>
        <w:t xml:space="preserve">Por otra parte, es de señalarse que aun cuando en la iniciativa se refiere que el decreto mediante el cual se autorizó en su momento la donación del bien inmueble que nos ocupa en favor del municipio de León, </w:t>
      </w:r>
      <w:proofErr w:type="spellStart"/>
      <w:r w:rsidRPr="00474D4A">
        <w:rPr>
          <w:rFonts w:ascii="Abadi" w:hAnsi="Abadi"/>
          <w:sz w:val="21"/>
          <w:szCs w:val="21"/>
        </w:rPr>
        <w:t>Gto</w:t>
      </w:r>
      <w:proofErr w:type="spellEnd"/>
      <w:r w:rsidRPr="00474D4A">
        <w:rPr>
          <w:rFonts w:ascii="Abadi" w:hAnsi="Abadi"/>
          <w:sz w:val="21"/>
          <w:szCs w:val="21"/>
        </w:rPr>
        <w:t>., para que lo siguiera destinando como campo deportivo es el 137, de la documental anexa a la iniciativa, se desprende que el decreto que da origen a la solicitud de autorización es el 317.</w:t>
      </w:r>
    </w:p>
    <w:p w14:paraId="3928978D" w14:textId="77777777" w:rsidR="00BE2406" w:rsidRPr="00474D4A" w:rsidRDefault="00BE2406" w:rsidP="00BE2406">
      <w:pPr>
        <w:ind w:firstLine="708"/>
        <w:jc w:val="both"/>
        <w:rPr>
          <w:rFonts w:ascii="Abadi" w:hAnsi="Abadi"/>
          <w:sz w:val="21"/>
          <w:szCs w:val="21"/>
        </w:rPr>
      </w:pPr>
    </w:p>
    <w:p w14:paraId="654ACE7E" w14:textId="77777777" w:rsidR="00BE2406" w:rsidRPr="00474D4A" w:rsidRDefault="00BE2406" w:rsidP="00BE2406">
      <w:pPr>
        <w:ind w:firstLine="708"/>
        <w:jc w:val="both"/>
        <w:rPr>
          <w:rFonts w:ascii="Abadi" w:hAnsi="Abadi" w:cs="Arial"/>
          <w:sz w:val="21"/>
          <w:szCs w:val="21"/>
          <w:lang w:val="es-MX" w:eastAsia="en-US"/>
        </w:rPr>
      </w:pPr>
      <w:r w:rsidRPr="00474D4A">
        <w:rPr>
          <w:rFonts w:ascii="Abadi" w:hAnsi="Abadi" w:cs="Arial"/>
          <w:sz w:val="21"/>
          <w:szCs w:val="21"/>
          <w:lang w:val="es-MX" w:eastAsia="en-US"/>
        </w:rPr>
        <w:t xml:space="preserve">Finalmente, es de destacar que el cumplimiento de los Objetivos del Desarrollo Sostenible de la Agenda 2030 está presente en el dictamen puesto a su consideración, pues el mismo incide en el objetivo 11, denominado Ciudades y Comunidades Sostenibles, respecto a las metas 11.2 y 11.7. Lo anterior, en atención a que el bien inmueble, además de ser destinado para espacios deportivos y de esparcimiento se ocupará en la ampliación y mejoramiento del sistema de transporte público del municipio de León. </w:t>
      </w:r>
    </w:p>
    <w:p w14:paraId="01E0A28D" w14:textId="77777777" w:rsidR="00BE2406" w:rsidRPr="00474D4A" w:rsidRDefault="00BE2406" w:rsidP="00BE2406">
      <w:pPr>
        <w:ind w:firstLine="708"/>
        <w:jc w:val="both"/>
        <w:rPr>
          <w:rFonts w:ascii="Abadi" w:hAnsi="Abadi"/>
          <w:sz w:val="21"/>
          <w:szCs w:val="21"/>
          <w:lang w:val="es-MX"/>
        </w:rPr>
      </w:pPr>
    </w:p>
    <w:p w14:paraId="21C8A87B" w14:textId="77777777" w:rsidR="00BE2406" w:rsidRPr="00474D4A" w:rsidRDefault="00BE2406" w:rsidP="00BE2406">
      <w:pPr>
        <w:ind w:firstLine="708"/>
        <w:jc w:val="both"/>
        <w:rPr>
          <w:rFonts w:ascii="Abadi" w:hAnsi="Abadi"/>
          <w:sz w:val="21"/>
          <w:szCs w:val="21"/>
          <w:lang w:val="es-MX"/>
        </w:rPr>
      </w:pPr>
      <w:r w:rsidRPr="00474D4A">
        <w:rPr>
          <w:rFonts w:ascii="Abadi" w:hAnsi="Abadi"/>
          <w:sz w:val="21"/>
          <w:szCs w:val="21"/>
          <w:lang w:val="es-MX"/>
        </w:rPr>
        <w:t xml:space="preserve">Por lo expuesto y con fundamento en los artículos 63 fracción XVI de la Constitución Política Local, </w:t>
      </w:r>
      <w:r w:rsidRPr="00474D4A">
        <w:rPr>
          <w:rFonts w:ascii="Abadi" w:hAnsi="Abadi" w:cs="Arial"/>
          <w:sz w:val="21"/>
          <w:szCs w:val="21"/>
          <w:lang w:val="es-MX"/>
        </w:rPr>
        <w:t>8 fracci</w:t>
      </w:r>
      <w:r w:rsidRPr="00474D4A">
        <w:rPr>
          <w:rFonts w:ascii="Abadi" w:hAnsi="Abadi"/>
          <w:sz w:val="21"/>
          <w:szCs w:val="21"/>
          <w:lang w:val="es-MX"/>
        </w:rPr>
        <w:t xml:space="preserve">ones IV y V y 29, fracción VIII de la Ley del Patrimonio Inmobiliario del Estado de Guanajuato, así como 204 de </w:t>
      </w:r>
      <w:smartTag w:uri="urn:schemas-microsoft-com:office:smarttags" w:element="PersonName">
        <w:smartTagPr>
          <w:attr w:name="ProductID" w:val="la Secretaria"/>
        </w:smartTagPr>
        <w:r w:rsidRPr="00474D4A">
          <w:rPr>
            <w:rFonts w:ascii="Abadi" w:hAnsi="Abadi"/>
            <w:sz w:val="21"/>
            <w:szCs w:val="21"/>
            <w:lang w:val="es-MX"/>
          </w:rPr>
          <w:t>la Ley Orgánica</w:t>
        </w:r>
      </w:smartTag>
      <w:r w:rsidRPr="00474D4A">
        <w:rPr>
          <w:rFonts w:ascii="Abadi" w:hAnsi="Abadi"/>
          <w:sz w:val="21"/>
          <w:szCs w:val="21"/>
          <w:lang w:val="es-MX"/>
        </w:rPr>
        <w:t xml:space="preserve"> del Poder Legislativo del Estado de Guanajuato, nos permitimos someter a la consideración de la Asamblea la aprobación del siguiente proyecto de:</w:t>
      </w:r>
    </w:p>
    <w:p w14:paraId="29F44570" w14:textId="77777777" w:rsidR="00BE2406" w:rsidRPr="00474D4A" w:rsidRDefault="00BE2406" w:rsidP="00BE2406">
      <w:pPr>
        <w:pStyle w:val="Textoindependiente"/>
        <w:jc w:val="center"/>
        <w:rPr>
          <w:rFonts w:ascii="Abadi" w:hAnsi="Abadi"/>
          <w:b w:val="0"/>
          <w:bCs w:val="0"/>
          <w:sz w:val="21"/>
          <w:szCs w:val="21"/>
        </w:rPr>
      </w:pPr>
    </w:p>
    <w:p w14:paraId="1AD1F491" w14:textId="77777777" w:rsidR="00BE2406" w:rsidRPr="00474D4A" w:rsidRDefault="00BE2406" w:rsidP="00BE2406">
      <w:pPr>
        <w:pStyle w:val="Textoindependiente"/>
        <w:jc w:val="center"/>
        <w:rPr>
          <w:rFonts w:ascii="Abadi" w:hAnsi="Abadi"/>
          <w:b w:val="0"/>
          <w:bCs w:val="0"/>
          <w:sz w:val="21"/>
          <w:szCs w:val="21"/>
        </w:rPr>
      </w:pPr>
    </w:p>
    <w:p w14:paraId="03A01CA5" w14:textId="77777777" w:rsidR="00BE2406" w:rsidRPr="008A787B" w:rsidRDefault="00BE2406" w:rsidP="00BE2406">
      <w:pPr>
        <w:pStyle w:val="Textoindependiente"/>
        <w:jc w:val="center"/>
        <w:rPr>
          <w:rFonts w:ascii="Abadi" w:hAnsi="Abadi"/>
          <w:sz w:val="21"/>
          <w:szCs w:val="21"/>
        </w:rPr>
      </w:pPr>
      <w:r w:rsidRPr="008A787B">
        <w:rPr>
          <w:rFonts w:ascii="Abadi" w:hAnsi="Abadi"/>
          <w:sz w:val="21"/>
          <w:szCs w:val="21"/>
        </w:rPr>
        <w:t>D e c r e t o</w:t>
      </w:r>
    </w:p>
    <w:p w14:paraId="3077A1BC" w14:textId="77777777" w:rsidR="00BE2406" w:rsidRPr="00474D4A" w:rsidRDefault="00BE2406" w:rsidP="00BE2406">
      <w:pPr>
        <w:pStyle w:val="Textoindependiente"/>
        <w:jc w:val="center"/>
        <w:rPr>
          <w:rFonts w:ascii="Abadi" w:hAnsi="Abadi"/>
          <w:b w:val="0"/>
          <w:i/>
          <w:sz w:val="21"/>
          <w:szCs w:val="21"/>
        </w:rPr>
      </w:pPr>
    </w:p>
    <w:p w14:paraId="7884812F" w14:textId="77777777" w:rsidR="00BE2406" w:rsidRPr="00474D4A" w:rsidRDefault="00BE2406" w:rsidP="00BE2406">
      <w:pPr>
        <w:jc w:val="right"/>
        <w:rPr>
          <w:rFonts w:ascii="Abadi" w:hAnsi="Abadi" w:cs="Arial"/>
          <w:b/>
          <w:i/>
          <w:sz w:val="21"/>
          <w:szCs w:val="21"/>
          <w:lang w:val="es-ES_tradnl"/>
        </w:rPr>
      </w:pPr>
      <w:r w:rsidRPr="00474D4A">
        <w:rPr>
          <w:rFonts w:ascii="Abadi" w:hAnsi="Abadi" w:cs="Arial"/>
          <w:b/>
          <w:i/>
          <w:sz w:val="21"/>
          <w:szCs w:val="21"/>
        </w:rPr>
        <w:t>Autorización de ampliación del destino</w:t>
      </w:r>
    </w:p>
    <w:p w14:paraId="0E5CEAC1" w14:textId="77777777" w:rsidR="00BE2406" w:rsidRPr="00474D4A" w:rsidRDefault="00BE2406" w:rsidP="00BE2406">
      <w:pPr>
        <w:ind w:firstLine="708"/>
        <w:jc w:val="both"/>
        <w:rPr>
          <w:rFonts w:ascii="Abadi" w:hAnsi="Abadi"/>
          <w:sz w:val="21"/>
          <w:szCs w:val="21"/>
          <w:lang w:val="es-MX"/>
        </w:rPr>
      </w:pPr>
      <w:r w:rsidRPr="00474D4A">
        <w:rPr>
          <w:rFonts w:ascii="Abadi" w:hAnsi="Abadi" w:cs="Arial"/>
          <w:b/>
          <w:bCs/>
          <w:sz w:val="21"/>
          <w:szCs w:val="21"/>
        </w:rPr>
        <w:t xml:space="preserve">Artículo Único. </w:t>
      </w:r>
      <w:r w:rsidRPr="00474D4A">
        <w:rPr>
          <w:rFonts w:ascii="Abadi" w:hAnsi="Abadi"/>
          <w:sz w:val="21"/>
          <w:szCs w:val="21"/>
          <w:lang w:val="es-MX"/>
        </w:rPr>
        <w:t xml:space="preserve">Se autoriza en lo general que una fracción con superficie conforme a plano topográfico de 22,938.99 m² veintidós mil novecientos treinta y ocho punto noventa y nueve metros cuadrados del predio rústico denominado </w:t>
      </w:r>
      <w:r w:rsidRPr="00474D4A">
        <w:rPr>
          <w:rFonts w:ascii="Abadi" w:hAnsi="Abadi"/>
          <w:i/>
          <w:iCs/>
          <w:sz w:val="21"/>
          <w:szCs w:val="21"/>
          <w:lang w:val="es-MX"/>
        </w:rPr>
        <w:t>La Piscina y Santa Rita,</w:t>
      </w:r>
      <w:r w:rsidRPr="00474D4A">
        <w:rPr>
          <w:rFonts w:ascii="Abadi" w:hAnsi="Abadi"/>
          <w:sz w:val="21"/>
          <w:szCs w:val="21"/>
          <w:lang w:val="es-MX"/>
        </w:rPr>
        <w:t xml:space="preserve"> ubicado en el municipio de León, </w:t>
      </w:r>
      <w:proofErr w:type="spellStart"/>
      <w:r w:rsidRPr="00474D4A">
        <w:rPr>
          <w:rFonts w:ascii="Abadi" w:hAnsi="Abadi"/>
          <w:sz w:val="21"/>
          <w:szCs w:val="21"/>
          <w:lang w:val="es-MX"/>
        </w:rPr>
        <w:t>Gto</w:t>
      </w:r>
      <w:proofErr w:type="spellEnd"/>
      <w:r w:rsidRPr="00474D4A">
        <w:rPr>
          <w:rFonts w:ascii="Abadi" w:hAnsi="Abadi"/>
          <w:sz w:val="21"/>
          <w:szCs w:val="21"/>
          <w:lang w:val="es-MX"/>
        </w:rPr>
        <w:t>., materia de la autorización otorgada mediante el Decreto Legislativo número 317, publicado en el Periódico Oficial del Gobierno del Estado de Guanajuato número 48, segunda parte, de fecha 17 de junio de 1997, se destine para la construcción y equipamiento de la Estación de Transferencia Metropolitana, cuyas medidas y colindancias son las siguientes:</w:t>
      </w:r>
    </w:p>
    <w:p w14:paraId="1DA69933" w14:textId="77777777" w:rsidR="00BE2406" w:rsidRPr="00474D4A" w:rsidRDefault="00BE2406" w:rsidP="00BE2406">
      <w:pPr>
        <w:ind w:firstLine="708"/>
        <w:jc w:val="both"/>
        <w:rPr>
          <w:rFonts w:ascii="Abadi" w:hAnsi="Abadi"/>
          <w:sz w:val="21"/>
          <w:szCs w:val="21"/>
          <w:lang w:val="es-MX"/>
        </w:rPr>
      </w:pPr>
    </w:p>
    <w:p w14:paraId="1B4FFE04" w14:textId="77777777" w:rsidR="00BE2406" w:rsidRPr="00474D4A" w:rsidRDefault="00BE2406" w:rsidP="00BE2406">
      <w:pPr>
        <w:ind w:firstLine="708"/>
        <w:jc w:val="both"/>
        <w:rPr>
          <w:rFonts w:ascii="Abadi" w:hAnsi="Abadi"/>
          <w:sz w:val="21"/>
          <w:szCs w:val="21"/>
          <w:lang w:val="es-MX"/>
        </w:rPr>
      </w:pPr>
      <w:r w:rsidRPr="00474D4A">
        <w:rPr>
          <w:rFonts w:ascii="Abadi" w:hAnsi="Abadi"/>
          <w:sz w:val="21"/>
          <w:szCs w:val="21"/>
          <w:lang w:val="es-MX"/>
        </w:rPr>
        <w:t xml:space="preserve">Al noreste, en línea quebrada de veintiún tramos, partiendo de norte a sur en 6.04 seis punto cero cuatro metros, continúa en línea curva hacia el poniente de 2.51 dos punto cincuenta y un metros, continúa en línea hacia el suroriente de 176.27 ciento setenta y seis punto veintisiete metros, continúa en línea curva al oriente de 17.86 diecisiete punto ochenta y seis metros, continúa en línea recta de 76.72 setenta y seis punto setenta y dos metros, continúa en línea quebrada de </w:t>
      </w:r>
      <w:r w:rsidRPr="00474D4A">
        <w:rPr>
          <w:rFonts w:ascii="Abadi" w:hAnsi="Abadi"/>
          <w:sz w:val="21"/>
          <w:szCs w:val="21"/>
          <w:lang w:val="es-MX"/>
        </w:rPr>
        <w:t>0.41 cero punto cuarenta y un metros, continúa en línea quebrada de 15.77 quince punto setenta y siete metros, continúa en línea quebrada de 7.55 siete punto cincuenta y cinco metros, continúa en línea quebrada de 4.86 cuatro punto ochenta y seis metros, continúa en línea quebrada de 0.50 cero punto cincuenta metros, continúa en línea quebrada de 5.57 cinco punto cincuenta y siete metros, continúa en línea quebrada de 0.50 cero punto cincuenta metros, continúa en línea quebrada de 5.84 cinco punto ochenta y cuatro metros, continúa en línea quebrada de 4.60 cuatro punto sesenta metros, continúa en línea quebrada de 1.90 uno punto noventa metros, continúa en línea quebrada de 1.90 uno punto noventa metros, continúa en línea quebrada de 1.49 uno punto cuarenta y nueve metros, continúa en línea quebrada de 1.90 uno punto noventa metros, continúa en línea quebrada de 7.91 siete punto noventa y un metros, continúa en línea quebrada de 4.60 cuatro punto sesenta metros y termina en línea quebrada de 13.28 trece punto veintiocho metros, lindando con resto del predio; al sureste, en línea quebrada de dos tramos partiendo de poniente a oriente en 202.99 doscientos dos punto noventa y nueve metros, lindando con avenida La Merced y termina en línea quebrada al nororiente en 43.54 cuarenta y tres punto cincuenta y cuatro metros, lindando con escuela primaria; al suroeste, en línea recta de 339.21 trescientos treinta y nueve punto veintiún metros, lindando con calle Arco del Triunfo; y al noroeste, en línea recta de 29.24 veintinueve punto veinticuatro metros, lindando con carretera León-San Francisco del Rincón, ahora Boulevard Juan José Torres Landa.</w:t>
      </w:r>
    </w:p>
    <w:p w14:paraId="66D093AD" w14:textId="77777777" w:rsidR="00BE2406" w:rsidRPr="00474D4A" w:rsidRDefault="00BE2406" w:rsidP="00BE2406">
      <w:pPr>
        <w:ind w:firstLine="708"/>
        <w:jc w:val="both"/>
        <w:rPr>
          <w:rFonts w:ascii="Abadi" w:hAnsi="Abadi"/>
          <w:sz w:val="21"/>
          <w:szCs w:val="21"/>
          <w:lang w:val="es-MX"/>
        </w:rPr>
      </w:pPr>
    </w:p>
    <w:p w14:paraId="6ABE44D6" w14:textId="77777777" w:rsidR="00BE2406" w:rsidRDefault="00BE2406" w:rsidP="00BE2406">
      <w:pPr>
        <w:ind w:firstLine="708"/>
        <w:jc w:val="both"/>
        <w:rPr>
          <w:rFonts w:ascii="Abadi" w:hAnsi="Abadi"/>
          <w:sz w:val="21"/>
          <w:szCs w:val="21"/>
          <w:lang w:val="es-MX"/>
        </w:rPr>
      </w:pPr>
      <w:r w:rsidRPr="00474D4A">
        <w:rPr>
          <w:rFonts w:ascii="Abadi" w:hAnsi="Abadi"/>
          <w:sz w:val="21"/>
          <w:szCs w:val="21"/>
          <w:lang w:val="es-MX"/>
        </w:rPr>
        <w:t xml:space="preserve">El resto del inmueble seguirá conservando el destino otorgado mediante el referido Decreto Legislativo número 317, publicado en el Periódico Oficial del Gobierno del Estado de Guanajuato número 48, segunda parte, de fecha 17 de junio de 1997, de Unidad Deportiva J.J. Rodríguez Gaona, conforme a las disposiciones jurídicas aplicables. </w:t>
      </w:r>
    </w:p>
    <w:p w14:paraId="06B1C593" w14:textId="77777777" w:rsidR="00516DB5" w:rsidRPr="00474D4A" w:rsidRDefault="00516DB5" w:rsidP="00BE2406">
      <w:pPr>
        <w:ind w:firstLine="708"/>
        <w:jc w:val="both"/>
        <w:rPr>
          <w:rFonts w:ascii="Abadi" w:hAnsi="Abadi"/>
          <w:sz w:val="21"/>
          <w:szCs w:val="21"/>
          <w:lang w:val="en-US"/>
        </w:rPr>
      </w:pPr>
    </w:p>
    <w:p w14:paraId="2063C2A6" w14:textId="77777777" w:rsidR="00BE2406" w:rsidRDefault="00BE2406" w:rsidP="00BE2406">
      <w:pPr>
        <w:pStyle w:val="Ttulo2"/>
        <w:rPr>
          <w:rFonts w:ascii="Abadi" w:hAnsi="Abadi"/>
          <w:sz w:val="21"/>
          <w:szCs w:val="21"/>
          <w:lang w:val="en-US"/>
        </w:rPr>
      </w:pPr>
      <w:r w:rsidRPr="00474D4A">
        <w:rPr>
          <w:rFonts w:ascii="Abadi" w:hAnsi="Abadi"/>
          <w:sz w:val="21"/>
          <w:szCs w:val="21"/>
          <w:lang w:val="en-US"/>
        </w:rPr>
        <w:t xml:space="preserve">T r a n s </w:t>
      </w:r>
      <w:proofErr w:type="spellStart"/>
      <w:r w:rsidRPr="00474D4A">
        <w:rPr>
          <w:rFonts w:ascii="Abadi" w:hAnsi="Abadi"/>
          <w:sz w:val="21"/>
          <w:szCs w:val="21"/>
          <w:lang w:val="en-US"/>
        </w:rPr>
        <w:t>i</w:t>
      </w:r>
      <w:proofErr w:type="spellEnd"/>
      <w:r w:rsidRPr="00474D4A">
        <w:rPr>
          <w:rFonts w:ascii="Abadi" w:hAnsi="Abadi"/>
          <w:sz w:val="21"/>
          <w:szCs w:val="21"/>
          <w:lang w:val="en-US"/>
        </w:rPr>
        <w:t xml:space="preserve"> t o r </w:t>
      </w:r>
      <w:proofErr w:type="spellStart"/>
      <w:r w:rsidRPr="00474D4A">
        <w:rPr>
          <w:rFonts w:ascii="Abadi" w:hAnsi="Abadi"/>
          <w:sz w:val="21"/>
          <w:szCs w:val="21"/>
          <w:lang w:val="en-US"/>
        </w:rPr>
        <w:t>i</w:t>
      </w:r>
      <w:proofErr w:type="spellEnd"/>
      <w:r w:rsidRPr="00474D4A">
        <w:rPr>
          <w:rFonts w:ascii="Abadi" w:hAnsi="Abadi"/>
          <w:sz w:val="21"/>
          <w:szCs w:val="21"/>
          <w:lang w:val="en-US"/>
        </w:rPr>
        <w:t xml:space="preserve"> o </w:t>
      </w:r>
    </w:p>
    <w:p w14:paraId="12AE31C3" w14:textId="77777777" w:rsidR="00516DB5" w:rsidRPr="00516DB5" w:rsidRDefault="00516DB5" w:rsidP="00516DB5">
      <w:pPr>
        <w:rPr>
          <w:lang w:val="en-US"/>
        </w:rPr>
      </w:pPr>
    </w:p>
    <w:p w14:paraId="2E2F2C47" w14:textId="77777777" w:rsidR="00BE2406" w:rsidRPr="00474D4A" w:rsidRDefault="00BE2406" w:rsidP="00BE2406">
      <w:pPr>
        <w:jc w:val="right"/>
        <w:rPr>
          <w:rFonts w:ascii="Abadi" w:hAnsi="Abadi" w:cs="Arial"/>
          <w:i/>
          <w:sz w:val="21"/>
          <w:szCs w:val="21"/>
          <w:lang w:val="es-MX"/>
        </w:rPr>
      </w:pPr>
      <w:r w:rsidRPr="00474D4A">
        <w:rPr>
          <w:rFonts w:ascii="Abadi" w:hAnsi="Abadi" w:cs="Arial"/>
          <w:b/>
          <w:i/>
          <w:sz w:val="21"/>
          <w:szCs w:val="21"/>
          <w:lang w:val="es-MX"/>
        </w:rPr>
        <w:t>Inicio de vigencia</w:t>
      </w:r>
    </w:p>
    <w:p w14:paraId="62C26EB1" w14:textId="77777777" w:rsidR="00BE2406" w:rsidRDefault="00BE2406" w:rsidP="00BE2406">
      <w:pPr>
        <w:jc w:val="both"/>
        <w:rPr>
          <w:rFonts w:ascii="Abadi" w:hAnsi="Abadi"/>
          <w:sz w:val="21"/>
          <w:szCs w:val="21"/>
          <w:lang w:val="es-MX"/>
        </w:rPr>
      </w:pPr>
      <w:r w:rsidRPr="00474D4A">
        <w:rPr>
          <w:rFonts w:ascii="Abadi" w:hAnsi="Abadi" w:cs="Arial"/>
          <w:sz w:val="21"/>
          <w:szCs w:val="21"/>
          <w:lang w:val="es-MX"/>
        </w:rPr>
        <w:lastRenderedPageBreak/>
        <w:tab/>
      </w:r>
      <w:r w:rsidRPr="00474D4A">
        <w:rPr>
          <w:rFonts w:ascii="Abadi" w:hAnsi="Abadi" w:cs="Arial"/>
          <w:b/>
          <w:sz w:val="21"/>
          <w:szCs w:val="21"/>
          <w:lang w:val="es-MX"/>
        </w:rPr>
        <w:t xml:space="preserve">Artículo Único. </w:t>
      </w:r>
      <w:r w:rsidRPr="00474D4A">
        <w:rPr>
          <w:rFonts w:ascii="Abadi" w:hAnsi="Abadi"/>
          <w:sz w:val="21"/>
          <w:szCs w:val="21"/>
          <w:lang w:val="es-MX"/>
        </w:rPr>
        <w:t>El presente Decreto iniciará su vigencia el día siguiente al de su publicación en el Periódico Oficial del Gobierno del Estado de Guanajuato.</w:t>
      </w:r>
    </w:p>
    <w:p w14:paraId="0B78219F" w14:textId="77777777" w:rsidR="008A787B" w:rsidRPr="00474D4A" w:rsidRDefault="008A787B" w:rsidP="00BE2406">
      <w:pPr>
        <w:jc w:val="both"/>
        <w:rPr>
          <w:rFonts w:ascii="Abadi" w:hAnsi="Abadi"/>
          <w:sz w:val="21"/>
          <w:szCs w:val="21"/>
          <w:lang w:val="es-MX"/>
        </w:rPr>
      </w:pPr>
    </w:p>
    <w:p w14:paraId="581D6067" w14:textId="77777777" w:rsidR="00BE2406" w:rsidRPr="00474D4A" w:rsidRDefault="00BE2406" w:rsidP="00BE2406">
      <w:pPr>
        <w:jc w:val="center"/>
        <w:rPr>
          <w:rFonts w:ascii="Abadi" w:hAnsi="Abadi" w:cs="Arial"/>
          <w:b/>
          <w:bCs/>
          <w:sz w:val="21"/>
          <w:szCs w:val="21"/>
          <w:lang w:val="es-MX" w:eastAsia="x-none"/>
        </w:rPr>
      </w:pPr>
      <w:r w:rsidRPr="00474D4A">
        <w:rPr>
          <w:rFonts w:ascii="Abadi" w:hAnsi="Abadi" w:cs="Arial"/>
          <w:b/>
          <w:bCs/>
          <w:sz w:val="21"/>
          <w:szCs w:val="21"/>
          <w:lang w:val="es-MX" w:eastAsia="x-none"/>
        </w:rPr>
        <w:t xml:space="preserve">Guanajuato, </w:t>
      </w:r>
      <w:proofErr w:type="spellStart"/>
      <w:r w:rsidRPr="00474D4A">
        <w:rPr>
          <w:rFonts w:ascii="Abadi" w:hAnsi="Abadi" w:cs="Arial"/>
          <w:b/>
          <w:bCs/>
          <w:sz w:val="21"/>
          <w:szCs w:val="21"/>
          <w:lang w:val="es-MX" w:eastAsia="x-none"/>
        </w:rPr>
        <w:t>Gto</w:t>
      </w:r>
      <w:proofErr w:type="spellEnd"/>
      <w:r w:rsidRPr="00474D4A">
        <w:rPr>
          <w:rFonts w:ascii="Abadi" w:hAnsi="Abadi" w:cs="Arial"/>
          <w:b/>
          <w:bCs/>
          <w:sz w:val="21"/>
          <w:szCs w:val="21"/>
          <w:lang w:val="es-MX" w:eastAsia="x-none"/>
        </w:rPr>
        <w:t>., 13 de junio de 2023</w:t>
      </w:r>
    </w:p>
    <w:p w14:paraId="7593C5DB" w14:textId="77777777" w:rsidR="008A787B" w:rsidRDefault="00BE2406" w:rsidP="00BE2406">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474D4A">
          <w:rPr>
            <w:rFonts w:ascii="Abadi" w:hAnsi="Abadi" w:cs="Arial"/>
            <w:b/>
            <w:bCs/>
            <w:sz w:val="21"/>
            <w:szCs w:val="21"/>
            <w:lang w:val="es-MX" w:eastAsia="x-none"/>
          </w:rPr>
          <w:t>La Comisión</w:t>
        </w:r>
      </w:smartTag>
      <w:r w:rsidRPr="00474D4A">
        <w:rPr>
          <w:rFonts w:ascii="Abadi" w:hAnsi="Abadi" w:cs="Arial"/>
          <w:b/>
          <w:bCs/>
          <w:sz w:val="21"/>
          <w:szCs w:val="21"/>
          <w:lang w:val="es-MX" w:eastAsia="x-none"/>
        </w:rPr>
        <w:t xml:space="preserve"> de Hacienda y Fiscalización</w:t>
      </w:r>
    </w:p>
    <w:p w14:paraId="039C18F0" w14:textId="77777777" w:rsidR="008A787B" w:rsidRDefault="008A787B" w:rsidP="00BE2406">
      <w:pPr>
        <w:jc w:val="center"/>
        <w:rPr>
          <w:rFonts w:ascii="Abadi" w:hAnsi="Abadi" w:cs="Arial"/>
          <w:b/>
          <w:bCs/>
          <w:sz w:val="21"/>
          <w:szCs w:val="21"/>
          <w:lang w:val="es-MX" w:eastAsia="x-none"/>
        </w:rPr>
      </w:pPr>
    </w:p>
    <w:p w14:paraId="20891F62" w14:textId="4B151A3B" w:rsidR="00BE2406" w:rsidRPr="008A787B" w:rsidRDefault="00BE2406" w:rsidP="00BE2406">
      <w:pPr>
        <w:jc w:val="center"/>
        <w:rPr>
          <w:rFonts w:ascii="Abadi" w:hAnsi="Abadi" w:cs="Arial"/>
          <w:b/>
          <w:bCs/>
          <w:sz w:val="21"/>
          <w:szCs w:val="21"/>
          <w:lang w:val="es-MX" w:eastAsia="x-none"/>
        </w:rPr>
      </w:pPr>
      <w:r w:rsidRPr="00474D4A">
        <w:rPr>
          <w:rFonts w:ascii="Abadi" w:hAnsi="Abadi" w:cs="Arial"/>
          <w:b/>
          <w:sz w:val="21"/>
          <w:szCs w:val="21"/>
        </w:rPr>
        <w:t>Diputado Víctor Manuel Zanella Huerta</w:t>
      </w:r>
    </w:p>
    <w:p w14:paraId="4785C672" w14:textId="77777777" w:rsidR="00BE2406" w:rsidRPr="00474D4A" w:rsidRDefault="00BE2406" w:rsidP="00BE2406">
      <w:pPr>
        <w:jc w:val="both"/>
        <w:rPr>
          <w:rFonts w:ascii="Abadi" w:hAnsi="Abadi" w:cs="Arial"/>
          <w:sz w:val="21"/>
          <w:szCs w:val="21"/>
        </w:rPr>
      </w:pPr>
    </w:p>
    <w:p w14:paraId="08CC71AA" w14:textId="77777777" w:rsidR="00BE2406" w:rsidRPr="00474D4A" w:rsidRDefault="00BE2406" w:rsidP="00BE2406">
      <w:pPr>
        <w:ind w:right="-234"/>
        <w:rPr>
          <w:rFonts w:ascii="Abadi" w:hAnsi="Abadi" w:cs="Calibri"/>
          <w:b/>
          <w:bCs/>
          <w:sz w:val="21"/>
          <w:szCs w:val="21"/>
        </w:rPr>
      </w:pPr>
      <w:r w:rsidRPr="00474D4A">
        <w:rPr>
          <w:rFonts w:ascii="Abadi" w:hAnsi="Abadi" w:cs="Calibri"/>
          <w:b/>
          <w:bCs/>
          <w:sz w:val="21"/>
          <w:szCs w:val="21"/>
        </w:rPr>
        <w:t xml:space="preserve">Diputada Ruth Noemí Tiscareño Agoitia                   Diputado Miguel Ángel Salim </w:t>
      </w:r>
      <w:proofErr w:type="spellStart"/>
      <w:r w:rsidRPr="00474D4A">
        <w:rPr>
          <w:rFonts w:ascii="Abadi" w:hAnsi="Abadi" w:cs="Calibri"/>
          <w:b/>
          <w:bCs/>
          <w:sz w:val="21"/>
          <w:szCs w:val="21"/>
        </w:rPr>
        <w:t>Alle</w:t>
      </w:r>
      <w:proofErr w:type="spellEnd"/>
    </w:p>
    <w:p w14:paraId="653B9F32" w14:textId="77777777" w:rsidR="00BE2406" w:rsidRPr="00474D4A" w:rsidRDefault="00BE2406" w:rsidP="00BE2406">
      <w:pPr>
        <w:ind w:right="-234"/>
        <w:rPr>
          <w:rFonts w:ascii="Abadi" w:hAnsi="Abadi" w:cs="Calibri"/>
          <w:b/>
          <w:bCs/>
          <w:sz w:val="21"/>
          <w:szCs w:val="21"/>
        </w:rPr>
      </w:pPr>
      <w:r w:rsidRPr="00474D4A">
        <w:rPr>
          <w:rFonts w:ascii="Abadi" w:hAnsi="Abadi" w:cs="Calibri"/>
          <w:b/>
          <w:bCs/>
          <w:sz w:val="21"/>
          <w:szCs w:val="21"/>
        </w:rPr>
        <w:t>Diputado José Alfonso Borja Pimentel    Diputada Alma Edwviges Alcaraz Hernández</w:t>
      </w:r>
    </w:p>
    <w:p w14:paraId="3B572292" w14:textId="77777777" w:rsidR="00BE2406" w:rsidRPr="00474D4A" w:rsidRDefault="00BE2406" w:rsidP="00BE2406">
      <w:pPr>
        <w:pStyle w:val="Textoindependiente"/>
        <w:jc w:val="center"/>
        <w:rPr>
          <w:rFonts w:ascii="Abadi" w:hAnsi="Abadi"/>
          <w:b w:val="0"/>
          <w:bCs w:val="0"/>
          <w:sz w:val="21"/>
          <w:szCs w:val="21"/>
        </w:rPr>
      </w:pPr>
    </w:p>
    <w:p w14:paraId="4182EDAA" w14:textId="77777777" w:rsidR="00B10EFE" w:rsidRDefault="00B10EFE" w:rsidP="00B10EFE">
      <w:pPr>
        <w:autoSpaceDE w:val="0"/>
        <w:autoSpaceDN w:val="0"/>
        <w:adjustRightInd w:val="0"/>
        <w:contextualSpacing/>
        <w:jc w:val="both"/>
        <w:rPr>
          <w:rFonts w:ascii="Abadi" w:hAnsi="Abadi" w:cs="Arial-ItalicMT"/>
          <w:b/>
          <w:bCs/>
          <w:i/>
          <w:iCs/>
          <w:sz w:val="21"/>
          <w:szCs w:val="21"/>
        </w:rPr>
      </w:pPr>
    </w:p>
    <w:p w14:paraId="6691DB3A" w14:textId="2E23AA37" w:rsidR="002519E2" w:rsidRDefault="002519E2" w:rsidP="002519E2">
      <w:pPr>
        <w:jc w:val="both"/>
        <w:rPr>
          <w:rFonts w:ascii="Abadi" w:hAnsi="Abadi"/>
          <w:b/>
          <w:bCs/>
          <w:sz w:val="21"/>
          <w:szCs w:val="21"/>
        </w:rPr>
      </w:pPr>
      <w:r>
        <w:rPr>
          <w:rFonts w:ascii="Abadi" w:hAnsi="Abadi"/>
          <w:b/>
          <w:bCs/>
          <w:sz w:val="21"/>
          <w:szCs w:val="21"/>
        </w:rPr>
        <w:tab/>
      </w:r>
      <w:r w:rsidRPr="001756B0">
        <w:rPr>
          <w:rFonts w:ascii="Abadi" w:hAnsi="Abadi"/>
          <w:b/>
          <w:bCs/>
          <w:sz w:val="21"/>
          <w:szCs w:val="21"/>
        </w:rPr>
        <w:t xml:space="preserve">- La </w:t>
      </w:r>
      <w:proofErr w:type="gramStart"/>
      <w:r w:rsidRPr="001756B0">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 xml:space="preserve">nseguida se somete a discusión el dictamen presentado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iscalización relativo al punto 27 del orden del día</w:t>
      </w:r>
      <w:r>
        <w:rPr>
          <w:rFonts w:ascii="Abadi" w:hAnsi="Abadi"/>
          <w:sz w:val="21"/>
          <w:szCs w:val="21"/>
        </w:rPr>
        <w:t xml:space="preserve">. </w:t>
      </w:r>
      <w:r w:rsidRPr="00011E2C">
        <w:rPr>
          <w:rFonts w:ascii="Abadi" w:hAnsi="Abadi"/>
          <w:b/>
          <w:bCs/>
          <w:sz w:val="21"/>
          <w:szCs w:val="21"/>
        </w:rPr>
        <w:t>(ELD 486/LXV-I)</w:t>
      </w:r>
    </w:p>
    <w:p w14:paraId="771B6675" w14:textId="77777777" w:rsidR="002519E2" w:rsidRPr="00011E2C" w:rsidRDefault="002519E2" w:rsidP="002519E2">
      <w:pPr>
        <w:jc w:val="both"/>
        <w:rPr>
          <w:rFonts w:ascii="Abadi" w:hAnsi="Abadi"/>
          <w:b/>
          <w:bCs/>
          <w:sz w:val="21"/>
          <w:szCs w:val="21"/>
        </w:rPr>
      </w:pPr>
    </w:p>
    <w:p w14:paraId="04941FC2" w14:textId="77777777" w:rsidR="002519E2" w:rsidRDefault="002519E2" w:rsidP="002519E2">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desean hacer uso de la palabra a favor o en contra </w:t>
      </w:r>
      <w:r>
        <w:rPr>
          <w:rFonts w:ascii="Abadi" w:hAnsi="Abadi"/>
          <w:sz w:val="21"/>
          <w:szCs w:val="21"/>
        </w:rPr>
        <w:t>manifiéstenlo i</w:t>
      </w:r>
      <w:r w:rsidRPr="0030088F">
        <w:rPr>
          <w:rFonts w:ascii="Abadi" w:hAnsi="Abadi"/>
          <w:sz w:val="21"/>
          <w:szCs w:val="21"/>
        </w:rPr>
        <w:t>ndicando el sentido de su participación</w:t>
      </w:r>
      <w:r>
        <w:rPr>
          <w:rFonts w:ascii="Abadi" w:hAnsi="Abadi"/>
          <w:sz w:val="21"/>
          <w:szCs w:val="21"/>
        </w:rPr>
        <w:t>. E</w:t>
      </w:r>
      <w:r w:rsidRPr="0030088F">
        <w:rPr>
          <w:rFonts w:ascii="Abadi" w:hAnsi="Abadi"/>
          <w:sz w:val="21"/>
          <w:szCs w:val="21"/>
        </w:rPr>
        <w:t xml:space="preserve">n virtud de que no hay intervenciones se pide a la secretaría que proceda a recabar votación nominal de la </w:t>
      </w:r>
      <w:r>
        <w:rPr>
          <w:rFonts w:ascii="Abadi" w:hAnsi="Abadi"/>
          <w:sz w:val="21"/>
          <w:szCs w:val="21"/>
        </w:rPr>
        <w:t>A</w:t>
      </w:r>
      <w:r w:rsidRPr="0030088F">
        <w:rPr>
          <w:rFonts w:ascii="Abadi" w:hAnsi="Abadi"/>
          <w:sz w:val="21"/>
          <w:szCs w:val="21"/>
        </w:rPr>
        <w:t>samblea a través del sistema electrónico</w:t>
      </w:r>
      <w:r>
        <w:rPr>
          <w:rFonts w:ascii="Abadi" w:hAnsi="Abadi"/>
          <w:sz w:val="21"/>
          <w:szCs w:val="21"/>
        </w:rPr>
        <w:t>,</w:t>
      </w:r>
      <w:r w:rsidRPr="0030088F">
        <w:rPr>
          <w:rFonts w:ascii="Abadi" w:hAnsi="Abadi"/>
          <w:sz w:val="21"/>
          <w:szCs w:val="21"/>
        </w:rPr>
        <w:t xml:space="preserve"> a efecto de aprobar o no el dictamen puesto a su consideración</w:t>
      </w:r>
      <w:r>
        <w:rPr>
          <w:rFonts w:ascii="Abadi" w:hAnsi="Abadi"/>
          <w:sz w:val="21"/>
          <w:szCs w:val="21"/>
        </w:rPr>
        <w:t>.</w:t>
      </w:r>
    </w:p>
    <w:p w14:paraId="57826104" w14:textId="77777777" w:rsidR="002519E2" w:rsidRDefault="002519E2" w:rsidP="002519E2">
      <w:pPr>
        <w:jc w:val="both"/>
        <w:rPr>
          <w:rFonts w:ascii="Abadi" w:hAnsi="Abadi"/>
          <w:sz w:val="21"/>
          <w:szCs w:val="21"/>
        </w:rPr>
      </w:pPr>
    </w:p>
    <w:p w14:paraId="4193073B" w14:textId="77777777" w:rsidR="002519E2" w:rsidRDefault="002519E2" w:rsidP="002519E2">
      <w:pPr>
        <w:jc w:val="both"/>
        <w:rPr>
          <w:rFonts w:ascii="Abadi" w:hAnsi="Abadi"/>
          <w:b/>
          <w:bCs/>
          <w:sz w:val="21"/>
          <w:szCs w:val="21"/>
        </w:rPr>
      </w:pPr>
      <w:r w:rsidRPr="00B0301E">
        <w:rPr>
          <w:rFonts w:ascii="Abadi" w:hAnsi="Abadi"/>
          <w:b/>
          <w:bCs/>
          <w:sz w:val="21"/>
          <w:szCs w:val="21"/>
        </w:rPr>
        <w:t>(se abre el sistema electrónico)</w:t>
      </w:r>
    </w:p>
    <w:p w14:paraId="44D6F59B" w14:textId="77777777" w:rsidR="002519E2" w:rsidRPr="00B0301E" w:rsidRDefault="002519E2" w:rsidP="002519E2">
      <w:pPr>
        <w:jc w:val="both"/>
        <w:rPr>
          <w:rFonts w:ascii="Abadi" w:hAnsi="Abadi"/>
          <w:b/>
          <w:bCs/>
          <w:sz w:val="21"/>
          <w:szCs w:val="21"/>
        </w:rPr>
      </w:pPr>
    </w:p>
    <w:p w14:paraId="40892D4A" w14:textId="77777777" w:rsidR="002519E2" w:rsidRDefault="002519E2" w:rsidP="002519E2">
      <w:pPr>
        <w:jc w:val="both"/>
        <w:rPr>
          <w:rFonts w:ascii="Abadi" w:hAnsi="Abadi"/>
          <w:sz w:val="21"/>
          <w:szCs w:val="21"/>
        </w:rPr>
      </w:pPr>
      <w:r>
        <w:rPr>
          <w:rFonts w:ascii="Abadi" w:hAnsi="Abadi"/>
          <w:b/>
          <w:bCs/>
          <w:sz w:val="21"/>
          <w:szCs w:val="21"/>
        </w:rPr>
        <w:tab/>
      </w:r>
      <w:r w:rsidRPr="001756B0">
        <w:rPr>
          <w:rFonts w:ascii="Abadi" w:hAnsi="Abadi"/>
          <w:b/>
          <w:bCs/>
          <w:sz w:val="21"/>
          <w:szCs w:val="21"/>
        </w:rPr>
        <w:t xml:space="preserve">- La </w:t>
      </w:r>
      <w:proofErr w:type="gramStart"/>
      <w:r w:rsidRPr="001756B0">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or instrucciones de la presidencia en votación nominal y mediante el sistema electrónico se les pregunta si se aprueba el dictamen que se pone a su consideración</w:t>
      </w:r>
      <w:r>
        <w:rPr>
          <w:rFonts w:ascii="Abadi" w:hAnsi="Abadi"/>
          <w:sz w:val="21"/>
          <w:szCs w:val="21"/>
        </w:rPr>
        <w:t>.</w:t>
      </w:r>
      <w:r w:rsidRPr="0030088F">
        <w:rPr>
          <w:rFonts w:ascii="Abadi" w:hAnsi="Abadi"/>
          <w:sz w:val="21"/>
          <w:szCs w:val="21"/>
        </w:rPr>
        <w:t xml:space="preserve"> </w:t>
      </w:r>
    </w:p>
    <w:p w14:paraId="5E42D3AA" w14:textId="77777777" w:rsidR="002519E2" w:rsidRPr="0030088F" w:rsidRDefault="002519E2" w:rsidP="002519E2">
      <w:pPr>
        <w:jc w:val="both"/>
        <w:rPr>
          <w:rFonts w:ascii="Abadi" w:hAnsi="Abadi"/>
          <w:sz w:val="21"/>
          <w:szCs w:val="21"/>
        </w:rPr>
      </w:pPr>
    </w:p>
    <w:p w14:paraId="699B34F7" w14:textId="77777777" w:rsidR="002519E2" w:rsidRDefault="002519E2" w:rsidP="002519E2">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6DC30FB3" w14:textId="77777777" w:rsidR="002519E2" w:rsidRDefault="002519E2" w:rsidP="002519E2">
      <w:pPr>
        <w:jc w:val="both"/>
        <w:rPr>
          <w:rFonts w:ascii="Abadi" w:hAnsi="Abadi"/>
          <w:sz w:val="21"/>
          <w:szCs w:val="21"/>
        </w:rPr>
      </w:pPr>
    </w:p>
    <w:p w14:paraId="024BD3B5" w14:textId="77777777" w:rsidR="002519E2" w:rsidRDefault="002519E2" w:rsidP="002519E2">
      <w:pPr>
        <w:jc w:val="both"/>
        <w:rPr>
          <w:rFonts w:ascii="Abadi" w:hAnsi="Abadi"/>
          <w:b/>
          <w:bCs/>
          <w:sz w:val="21"/>
          <w:szCs w:val="21"/>
        </w:rPr>
      </w:pPr>
      <w:r w:rsidRPr="00F16FE2">
        <w:rPr>
          <w:rFonts w:ascii="Abadi" w:hAnsi="Abadi"/>
          <w:b/>
          <w:bCs/>
          <w:sz w:val="21"/>
          <w:szCs w:val="21"/>
        </w:rPr>
        <w:t>(se cierra el sistema electrónico)</w:t>
      </w:r>
    </w:p>
    <w:p w14:paraId="3205706A" w14:textId="2F0AA0EC" w:rsidR="002519E2" w:rsidRPr="00F16FE2" w:rsidRDefault="002519E2" w:rsidP="002519E2">
      <w:pPr>
        <w:jc w:val="both"/>
        <w:rPr>
          <w:rFonts w:ascii="Abadi" w:hAnsi="Abadi"/>
          <w:b/>
          <w:bCs/>
          <w:sz w:val="21"/>
          <w:szCs w:val="21"/>
        </w:rPr>
      </w:pPr>
      <w:r>
        <w:rPr>
          <w:noProof/>
        </w:rPr>
        <w:drawing>
          <wp:anchor distT="0" distB="0" distL="114300" distR="114300" simplePos="0" relativeHeight="251673622" behindDoc="1" locked="0" layoutInCell="1" allowOverlap="1" wp14:anchorId="71FD9CF5" wp14:editId="409CCA7B">
            <wp:simplePos x="0" y="0"/>
            <wp:positionH relativeFrom="column">
              <wp:posOffset>585107</wp:posOffset>
            </wp:positionH>
            <wp:positionV relativeFrom="paragraph">
              <wp:posOffset>259624</wp:posOffset>
            </wp:positionV>
            <wp:extent cx="1485104" cy="753836"/>
            <wp:effectExtent l="247650" t="247650" r="248920" b="255905"/>
            <wp:wrapTight wrapText="bothSides">
              <wp:wrapPolygon edited="0">
                <wp:start x="-2217" y="-7097"/>
                <wp:lineTo x="-3603" y="-6005"/>
                <wp:lineTo x="-3603" y="20745"/>
                <wp:lineTo x="-2217" y="28388"/>
                <wp:lineTo x="23559" y="28388"/>
                <wp:lineTo x="24944" y="20745"/>
                <wp:lineTo x="24944" y="2730"/>
                <wp:lineTo x="23559" y="-5459"/>
                <wp:lineTo x="23559" y="-7097"/>
                <wp:lineTo x="-2217" y="-7097"/>
              </wp:wrapPolygon>
            </wp:wrapTight>
            <wp:docPr id="1032760737" name="Imagen 1032760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60737" name=""/>
                    <pic:cNvPicPr/>
                  </pic:nvPicPr>
                  <pic:blipFill rotWithShape="1">
                    <a:blip r:embed="rId66" cstate="print">
                      <a:extLst>
                        <a:ext uri="{28A0092B-C50C-407E-A947-70E740481C1C}">
                          <a14:useLocalDpi xmlns:a14="http://schemas.microsoft.com/office/drawing/2010/main" val="0"/>
                        </a:ext>
                      </a:extLst>
                    </a:blip>
                    <a:srcRect b="9754"/>
                    <a:stretch/>
                  </pic:blipFill>
                  <pic:spPr bwMode="auto">
                    <a:xfrm>
                      <a:off x="0" y="0"/>
                      <a:ext cx="1485104" cy="753836"/>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5B66C0D" w14:textId="173D8B03" w:rsidR="002519E2" w:rsidRDefault="002519E2" w:rsidP="002519E2">
      <w:pPr>
        <w:jc w:val="both"/>
        <w:rPr>
          <w:rFonts w:ascii="Abadi" w:hAnsi="Abadi"/>
          <w:sz w:val="21"/>
          <w:szCs w:val="21"/>
        </w:rPr>
      </w:pPr>
      <w:r>
        <w:rPr>
          <w:rFonts w:ascii="Abadi" w:hAnsi="Abadi"/>
          <w:sz w:val="21"/>
          <w:szCs w:val="21"/>
        </w:rPr>
        <w:tab/>
      </w:r>
      <w:r w:rsidRPr="00D108DE">
        <w:rPr>
          <w:rFonts w:ascii="Abadi" w:hAnsi="Abadi"/>
          <w:b/>
          <w:bCs/>
          <w:sz w:val="21"/>
          <w:szCs w:val="21"/>
        </w:rPr>
        <w:t xml:space="preserve">- La </w:t>
      </w:r>
      <w:proofErr w:type="gramStart"/>
      <w:r w:rsidRPr="00D108DE">
        <w:rPr>
          <w:rFonts w:ascii="Abadi" w:hAnsi="Abadi"/>
          <w:b/>
          <w:bCs/>
          <w:sz w:val="21"/>
          <w:szCs w:val="21"/>
        </w:rPr>
        <w:t>Secretaría.-</w:t>
      </w:r>
      <w:proofErr w:type="gramEnd"/>
      <w:r>
        <w:rPr>
          <w:rFonts w:ascii="Abadi" w:hAnsi="Abadi"/>
          <w:sz w:val="21"/>
          <w:szCs w:val="21"/>
        </w:rPr>
        <w:t xml:space="preserve"> L</w:t>
      </w:r>
      <w:r w:rsidRPr="0030088F">
        <w:rPr>
          <w:rFonts w:ascii="Abadi" w:hAnsi="Abadi"/>
          <w:sz w:val="21"/>
          <w:szCs w:val="21"/>
        </w:rPr>
        <w:t>e informo presidenta</w:t>
      </w:r>
      <w:r>
        <w:rPr>
          <w:rFonts w:ascii="Abadi" w:hAnsi="Abadi"/>
          <w:sz w:val="21"/>
          <w:szCs w:val="21"/>
        </w:rPr>
        <w:t>,</w:t>
      </w:r>
      <w:r w:rsidRPr="0030088F">
        <w:rPr>
          <w:rFonts w:ascii="Abadi" w:hAnsi="Abadi"/>
          <w:sz w:val="21"/>
          <w:szCs w:val="21"/>
        </w:rPr>
        <w:t xml:space="preserve"> que se han emitido 33 votos a favor y </w:t>
      </w:r>
      <w:r>
        <w:rPr>
          <w:rFonts w:ascii="Abadi" w:hAnsi="Abadi"/>
          <w:sz w:val="21"/>
          <w:szCs w:val="21"/>
        </w:rPr>
        <w:t>0</w:t>
      </w:r>
      <w:r w:rsidRPr="0030088F">
        <w:rPr>
          <w:rFonts w:ascii="Abadi" w:hAnsi="Abadi"/>
          <w:sz w:val="21"/>
          <w:szCs w:val="21"/>
        </w:rPr>
        <w:t xml:space="preserve"> votos en contra</w:t>
      </w:r>
      <w:r>
        <w:rPr>
          <w:rFonts w:ascii="Abadi" w:hAnsi="Abadi"/>
          <w:sz w:val="21"/>
          <w:szCs w:val="21"/>
        </w:rPr>
        <w:t>.</w:t>
      </w:r>
    </w:p>
    <w:p w14:paraId="5E3F6CFB" w14:textId="77777777" w:rsidR="002519E2" w:rsidRDefault="002519E2" w:rsidP="002519E2">
      <w:pPr>
        <w:jc w:val="both"/>
        <w:rPr>
          <w:rFonts w:ascii="Abadi" w:hAnsi="Abadi"/>
          <w:sz w:val="21"/>
          <w:szCs w:val="21"/>
        </w:rPr>
      </w:pPr>
    </w:p>
    <w:p w14:paraId="125BFB87" w14:textId="77777777" w:rsidR="002519E2" w:rsidRDefault="002519E2" w:rsidP="002519E2">
      <w:pPr>
        <w:jc w:val="both"/>
        <w:rPr>
          <w:rFonts w:ascii="Abadi" w:hAnsi="Abadi"/>
          <w:sz w:val="21"/>
          <w:szCs w:val="21"/>
        </w:rPr>
      </w:pPr>
      <w:r>
        <w:rPr>
          <w:rFonts w:ascii="Abadi" w:hAnsi="Abadi"/>
          <w:sz w:val="21"/>
          <w:szCs w:val="21"/>
        </w:rPr>
        <w:tab/>
      </w:r>
      <w:r w:rsidRPr="00713268">
        <w:rPr>
          <w:rFonts w:ascii="Abadi" w:hAnsi="Abadi"/>
          <w:b/>
          <w:bCs/>
          <w:sz w:val="21"/>
          <w:szCs w:val="21"/>
        </w:rPr>
        <w:t xml:space="preserve">- La </w:t>
      </w:r>
      <w:proofErr w:type="gramStart"/>
      <w:r w:rsidRPr="00713268">
        <w:rPr>
          <w:rFonts w:ascii="Abadi" w:hAnsi="Abadi"/>
          <w:b/>
          <w:bCs/>
          <w:sz w:val="21"/>
          <w:szCs w:val="21"/>
        </w:rPr>
        <w:t>Presidencia.-</w:t>
      </w:r>
      <w:proofErr w:type="gramEnd"/>
      <w:r>
        <w:rPr>
          <w:rFonts w:ascii="Abadi" w:hAnsi="Abadi"/>
          <w:sz w:val="21"/>
          <w:szCs w:val="21"/>
        </w:rPr>
        <w:t xml:space="preserve"> El</w:t>
      </w:r>
      <w:r w:rsidRPr="0030088F">
        <w:rPr>
          <w:rFonts w:ascii="Abadi" w:hAnsi="Abadi"/>
          <w:sz w:val="21"/>
          <w:szCs w:val="21"/>
        </w:rPr>
        <w:t xml:space="preserve"> dictamen ha sido aprobado por unanimidad de votos</w:t>
      </w:r>
      <w:r>
        <w:rPr>
          <w:rFonts w:ascii="Abadi" w:hAnsi="Abadi"/>
          <w:sz w:val="21"/>
          <w:szCs w:val="21"/>
        </w:rPr>
        <w:t>.</w:t>
      </w:r>
    </w:p>
    <w:p w14:paraId="621E8D22" w14:textId="77777777" w:rsidR="002519E2" w:rsidRDefault="002519E2" w:rsidP="002519E2">
      <w:pPr>
        <w:jc w:val="both"/>
        <w:rPr>
          <w:rFonts w:ascii="Abadi" w:hAnsi="Abadi"/>
          <w:sz w:val="21"/>
          <w:szCs w:val="21"/>
        </w:rPr>
      </w:pPr>
    </w:p>
    <w:p w14:paraId="6DCD247C" w14:textId="77777777" w:rsidR="002519E2" w:rsidRPr="009847D7" w:rsidRDefault="002519E2" w:rsidP="002519E2">
      <w:pPr>
        <w:ind w:left="851" w:right="992"/>
        <w:jc w:val="both"/>
        <w:rPr>
          <w:rFonts w:ascii="Abadi" w:hAnsi="Abadi"/>
          <w:b/>
          <w:bCs/>
          <w:i/>
          <w:iCs/>
          <w:sz w:val="21"/>
          <w:szCs w:val="21"/>
          <w:u w:val="single"/>
        </w:rPr>
      </w:pPr>
      <w:r w:rsidRPr="009847D7">
        <w:rPr>
          <w:rFonts w:ascii="Abadi" w:hAnsi="Abadi"/>
          <w:b/>
          <w:bCs/>
          <w:i/>
          <w:iCs/>
          <w:sz w:val="21"/>
          <w:szCs w:val="21"/>
          <w:u w:val="single"/>
        </w:rPr>
        <w:t xml:space="preserve">Remitase al Ejecutivo del Estado el decreto aprobado para los efectos constitucionales de su competencia. </w:t>
      </w:r>
    </w:p>
    <w:p w14:paraId="4C41B91F" w14:textId="77777777" w:rsidR="004F2306" w:rsidRPr="00B10EFE" w:rsidRDefault="004F2306" w:rsidP="00B10EFE">
      <w:pPr>
        <w:autoSpaceDE w:val="0"/>
        <w:autoSpaceDN w:val="0"/>
        <w:adjustRightInd w:val="0"/>
        <w:contextualSpacing/>
        <w:jc w:val="both"/>
        <w:rPr>
          <w:rFonts w:ascii="Abadi" w:hAnsi="Abadi" w:cs="Arial-ItalicMT"/>
          <w:b/>
          <w:bCs/>
          <w:i/>
          <w:iCs/>
          <w:sz w:val="21"/>
          <w:szCs w:val="21"/>
        </w:rPr>
      </w:pPr>
    </w:p>
    <w:p w14:paraId="363713E9" w14:textId="59414CA1" w:rsidR="000750A3" w:rsidRDefault="00374533" w:rsidP="000750A3">
      <w:pPr>
        <w:pStyle w:val="Prrafodelista"/>
        <w:numPr>
          <w:ilvl w:val="0"/>
          <w:numId w:val="8"/>
        </w:numPr>
        <w:autoSpaceDE w:val="0"/>
        <w:autoSpaceDN w:val="0"/>
        <w:adjustRightInd w:val="0"/>
        <w:ind w:left="284"/>
        <w:contextualSpacing/>
        <w:jc w:val="both"/>
        <w:rPr>
          <w:rFonts w:ascii="Abadi" w:hAnsi="Abadi" w:cs="Arial-ItalicMT"/>
          <w:b/>
          <w:bCs/>
          <w:i/>
          <w:iCs/>
          <w:sz w:val="21"/>
          <w:szCs w:val="21"/>
        </w:rPr>
      </w:pPr>
      <w:r w:rsidRPr="00A23DA0">
        <w:rPr>
          <w:rFonts w:ascii="Abadi" w:hAnsi="Abadi" w:cs="ArialMT"/>
          <w:b/>
          <w:bCs/>
          <w:sz w:val="21"/>
          <w:szCs w:val="21"/>
        </w:rPr>
        <w:t xml:space="preserve">DISCUSIÓN Y, EN SU CASO, APROBACIÓN DEL DICTAMEN SIGNADO POR LA COMISIÓN DE HACIENDA Y FISCALIZACIÓN RELATIVO A LA INICIATIVA FORMULADA POR EL GOBERNADOR DEL ESTADO A EFECTO DE QUE SE LE AUTORICE, PREVIA DESAFECTACIÓN DEL DOMINIO PÚBLICO DEL ESTADO, LA ENAJENACIÓN MEDIANTE LA FIGURA DE DONACIÓN DE TRES BIENES INMUEBLES, EN FAVOR DE LA ASOCIACIÓN CIVIL DENOMINADA ASOCIACIÓN DE BOMBEROS DEL ESTADO DE GUANAJUATO, A.C. </w:t>
      </w:r>
      <w:r w:rsidRPr="00A23DA0">
        <w:rPr>
          <w:rFonts w:ascii="Abadi" w:hAnsi="Abadi" w:cs="Arial-ItalicMT"/>
          <w:b/>
          <w:bCs/>
          <w:i/>
          <w:iCs/>
          <w:sz w:val="21"/>
          <w:szCs w:val="21"/>
        </w:rPr>
        <w:t>(ELD 487/LXV-I)</w:t>
      </w:r>
      <w:r w:rsidR="005069CC">
        <w:rPr>
          <w:rStyle w:val="Refdenotaalpie"/>
          <w:rFonts w:ascii="Abadi" w:hAnsi="Abadi" w:cs="Arial-ItalicMT"/>
          <w:b/>
          <w:bCs/>
          <w:i/>
          <w:iCs/>
          <w:sz w:val="21"/>
          <w:szCs w:val="21"/>
        </w:rPr>
        <w:footnoteReference w:id="211"/>
      </w:r>
    </w:p>
    <w:p w14:paraId="292408E6" w14:textId="77777777" w:rsidR="000750A3" w:rsidRDefault="000750A3" w:rsidP="000750A3">
      <w:pPr>
        <w:pStyle w:val="Prrafodelista"/>
        <w:autoSpaceDE w:val="0"/>
        <w:autoSpaceDN w:val="0"/>
        <w:adjustRightInd w:val="0"/>
        <w:ind w:left="284"/>
        <w:contextualSpacing/>
        <w:jc w:val="both"/>
        <w:rPr>
          <w:rFonts w:ascii="Abadi" w:hAnsi="Abadi" w:cs="Arial-ItalicMT"/>
          <w:b/>
          <w:bCs/>
          <w:i/>
          <w:iCs/>
          <w:sz w:val="21"/>
          <w:szCs w:val="21"/>
        </w:rPr>
      </w:pPr>
    </w:p>
    <w:p w14:paraId="3121D62B" w14:textId="11ACB18C" w:rsidR="00C702D8" w:rsidRPr="000750A3" w:rsidRDefault="00C702D8" w:rsidP="000750A3">
      <w:pPr>
        <w:pStyle w:val="Prrafodelista"/>
        <w:autoSpaceDE w:val="0"/>
        <w:autoSpaceDN w:val="0"/>
        <w:adjustRightInd w:val="0"/>
        <w:ind w:left="0"/>
        <w:contextualSpacing/>
        <w:jc w:val="both"/>
        <w:rPr>
          <w:rFonts w:ascii="Abadi" w:hAnsi="Abadi" w:cs="Arial-ItalicMT"/>
          <w:b/>
          <w:bCs/>
          <w:i/>
          <w:iCs/>
          <w:sz w:val="21"/>
          <w:szCs w:val="21"/>
        </w:rPr>
      </w:pPr>
      <w:r w:rsidRPr="000750A3">
        <w:rPr>
          <w:rFonts w:ascii="Abadi" w:hAnsi="Abadi" w:cs="Arial"/>
          <w:b/>
          <w:bCs/>
          <w:sz w:val="21"/>
          <w:szCs w:val="21"/>
        </w:rPr>
        <w:t>C. Presidenta del Congreso del Estado</w:t>
      </w:r>
    </w:p>
    <w:p w14:paraId="7A220AE1" w14:textId="77777777" w:rsidR="00C702D8" w:rsidRPr="00214A66" w:rsidRDefault="00C702D8" w:rsidP="00C702D8">
      <w:pPr>
        <w:rPr>
          <w:rFonts w:ascii="Abadi" w:hAnsi="Abadi" w:cs="Arial"/>
          <w:b/>
          <w:sz w:val="21"/>
          <w:szCs w:val="21"/>
        </w:rPr>
      </w:pPr>
      <w:r w:rsidRPr="00214A66">
        <w:rPr>
          <w:rFonts w:ascii="Abadi" w:hAnsi="Abadi" w:cs="Arial"/>
          <w:b/>
          <w:sz w:val="21"/>
          <w:szCs w:val="21"/>
        </w:rPr>
        <w:t>P r e s e n t e.</w:t>
      </w:r>
    </w:p>
    <w:p w14:paraId="07086316" w14:textId="77777777" w:rsidR="00C702D8" w:rsidRPr="00214A66" w:rsidRDefault="00C702D8" w:rsidP="00C702D8">
      <w:pPr>
        <w:rPr>
          <w:rFonts w:ascii="Abadi" w:hAnsi="Abadi"/>
          <w:b/>
          <w:sz w:val="21"/>
          <w:szCs w:val="21"/>
          <w:lang w:val="es-MX"/>
        </w:rPr>
      </w:pPr>
    </w:p>
    <w:p w14:paraId="67CDF485" w14:textId="77777777" w:rsidR="00C702D8" w:rsidRPr="00214A66" w:rsidRDefault="00C702D8" w:rsidP="00C702D8">
      <w:pPr>
        <w:jc w:val="both"/>
        <w:rPr>
          <w:rFonts w:ascii="Abadi" w:hAnsi="Abadi"/>
          <w:sz w:val="21"/>
          <w:szCs w:val="21"/>
          <w:lang w:val="es-MX"/>
        </w:rPr>
      </w:pPr>
      <w:r w:rsidRPr="00214A66">
        <w:rPr>
          <w:rFonts w:ascii="Abadi" w:hAnsi="Abadi"/>
          <w:b/>
          <w:sz w:val="21"/>
          <w:szCs w:val="21"/>
          <w:lang w:val="es-MX"/>
        </w:rPr>
        <w:tab/>
      </w:r>
      <w:r w:rsidRPr="00214A66">
        <w:rPr>
          <w:rFonts w:ascii="Abadi" w:hAnsi="Abadi"/>
          <w:sz w:val="21"/>
          <w:szCs w:val="21"/>
          <w:lang w:val="es-MX"/>
        </w:rPr>
        <w:t>A esta Comisión de Hacienda y Fiscalización le fue turnada para su estudio y dictamen, la iniciativa formulada por el Gobernador del Estado a efecto de que</w:t>
      </w:r>
      <w:r w:rsidRPr="00214A66">
        <w:rPr>
          <w:rFonts w:ascii="Abadi" w:hAnsi="Abadi"/>
          <w:sz w:val="21"/>
          <w:szCs w:val="21"/>
          <w:lang w:val="es-ES_tradnl"/>
        </w:rPr>
        <w:t xml:space="preserve"> se le autorice, previa desafectación del dominio público del Estado, la enajenación mediante la figura de donación de tres</w:t>
      </w:r>
      <w:r w:rsidRPr="00214A66">
        <w:rPr>
          <w:rFonts w:ascii="Abadi" w:hAnsi="Abadi"/>
          <w:sz w:val="21"/>
          <w:szCs w:val="21"/>
          <w:lang w:val="es-MX"/>
        </w:rPr>
        <w:t xml:space="preserve"> bienes inmuebles</w:t>
      </w:r>
      <w:r w:rsidRPr="00214A66">
        <w:rPr>
          <w:rFonts w:ascii="Abadi" w:hAnsi="Abadi"/>
          <w:sz w:val="21"/>
          <w:szCs w:val="21"/>
          <w:lang w:val="es-ES_tradnl"/>
        </w:rPr>
        <w:t xml:space="preserve">, en favor de la asociación civil denominada </w:t>
      </w:r>
      <w:r w:rsidRPr="00214A66">
        <w:rPr>
          <w:rFonts w:ascii="Abadi" w:hAnsi="Abadi"/>
          <w:i/>
          <w:iCs/>
          <w:sz w:val="21"/>
          <w:szCs w:val="21"/>
          <w:lang w:val="es-ES_tradnl"/>
        </w:rPr>
        <w:t>Asociación de Bomberos del Estado de Guanajuato, A.C.</w:t>
      </w:r>
      <w:r w:rsidRPr="00214A66">
        <w:rPr>
          <w:rFonts w:ascii="Abadi" w:hAnsi="Abadi"/>
          <w:sz w:val="21"/>
          <w:szCs w:val="21"/>
          <w:lang w:val="es-MX"/>
        </w:rPr>
        <w:t xml:space="preserve"> (ELD 487/LXV-I)</w:t>
      </w:r>
    </w:p>
    <w:p w14:paraId="632A6EA0" w14:textId="77777777" w:rsidR="00C702D8" w:rsidRPr="00214A66" w:rsidRDefault="00C702D8" w:rsidP="00C702D8">
      <w:pPr>
        <w:pStyle w:val="Textoindependiente3"/>
        <w:spacing w:line="240" w:lineRule="auto"/>
        <w:rPr>
          <w:rFonts w:ascii="Abadi" w:hAnsi="Abadi"/>
          <w:sz w:val="21"/>
          <w:szCs w:val="21"/>
        </w:rPr>
      </w:pPr>
    </w:p>
    <w:p w14:paraId="6DE2E7EF" w14:textId="77777777" w:rsidR="00C702D8" w:rsidRPr="000750A3" w:rsidRDefault="00C702D8" w:rsidP="00C702D8">
      <w:pPr>
        <w:pStyle w:val="Textoindependiente3"/>
        <w:spacing w:line="240" w:lineRule="auto"/>
        <w:rPr>
          <w:rFonts w:ascii="Abadi" w:hAnsi="Abadi" w:cs="Arial"/>
          <w:b w:val="0"/>
          <w:bCs/>
          <w:iCs/>
          <w:sz w:val="21"/>
          <w:szCs w:val="21"/>
        </w:rPr>
      </w:pPr>
      <w:r w:rsidRPr="00214A66">
        <w:rPr>
          <w:rFonts w:ascii="Abadi" w:hAnsi="Abadi"/>
          <w:sz w:val="21"/>
          <w:szCs w:val="21"/>
        </w:rPr>
        <w:tab/>
      </w:r>
      <w:r w:rsidRPr="000750A3">
        <w:rPr>
          <w:rFonts w:ascii="Abadi" w:hAnsi="Abadi" w:cs="Arial"/>
          <w:b w:val="0"/>
          <w:bCs/>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0750A3">
          <w:rPr>
            <w:rFonts w:ascii="Abadi" w:hAnsi="Abadi" w:cs="Arial"/>
            <w:b w:val="0"/>
            <w:bCs/>
            <w:iCs/>
            <w:sz w:val="21"/>
            <w:szCs w:val="21"/>
          </w:rPr>
          <w:t>la Ley Orgánica</w:t>
        </w:r>
      </w:smartTag>
      <w:r w:rsidRPr="000750A3">
        <w:rPr>
          <w:rFonts w:ascii="Abadi" w:hAnsi="Abadi" w:cs="Arial"/>
          <w:b w:val="0"/>
          <w:bCs/>
          <w:iCs/>
          <w:sz w:val="21"/>
          <w:szCs w:val="21"/>
        </w:rPr>
        <w:t xml:space="preserve"> del Poder Legislativo del Estado de Guanajuato, nos permitimos rendir el siguiente:</w:t>
      </w:r>
    </w:p>
    <w:p w14:paraId="34E8A6AC" w14:textId="77777777" w:rsidR="00C702D8" w:rsidRPr="00214A66" w:rsidRDefault="00C702D8" w:rsidP="00C702D8">
      <w:pPr>
        <w:pStyle w:val="Ttulo2"/>
        <w:rPr>
          <w:rFonts w:ascii="Abadi" w:hAnsi="Abadi"/>
          <w:sz w:val="21"/>
          <w:szCs w:val="21"/>
        </w:rPr>
      </w:pPr>
    </w:p>
    <w:p w14:paraId="5C4EEF39" w14:textId="77777777" w:rsidR="00C702D8" w:rsidRPr="00214A66" w:rsidRDefault="00C702D8" w:rsidP="00C702D8">
      <w:pPr>
        <w:pStyle w:val="Ttulo2"/>
        <w:rPr>
          <w:rFonts w:ascii="Abadi" w:hAnsi="Abadi"/>
          <w:sz w:val="21"/>
          <w:szCs w:val="21"/>
        </w:rPr>
      </w:pPr>
      <w:r w:rsidRPr="00214A66">
        <w:rPr>
          <w:rFonts w:ascii="Abadi" w:hAnsi="Abadi"/>
          <w:sz w:val="21"/>
          <w:szCs w:val="21"/>
        </w:rPr>
        <w:t xml:space="preserve">D i c t a m e n </w:t>
      </w:r>
    </w:p>
    <w:p w14:paraId="5B3C3645" w14:textId="77777777" w:rsidR="00C702D8" w:rsidRPr="00214A66" w:rsidRDefault="00C702D8" w:rsidP="00C702D8">
      <w:pPr>
        <w:jc w:val="center"/>
        <w:rPr>
          <w:rFonts w:ascii="Abadi" w:hAnsi="Abadi"/>
          <w:b/>
          <w:sz w:val="21"/>
          <w:szCs w:val="21"/>
          <w:lang w:val="es-MX"/>
        </w:rPr>
      </w:pPr>
    </w:p>
    <w:p w14:paraId="2FFAE9BB" w14:textId="77777777" w:rsidR="00C702D8" w:rsidRPr="00214A66" w:rsidRDefault="00C702D8" w:rsidP="00C702D8">
      <w:pPr>
        <w:jc w:val="both"/>
        <w:rPr>
          <w:rFonts w:ascii="Abadi" w:hAnsi="Abadi"/>
          <w:sz w:val="21"/>
          <w:szCs w:val="21"/>
          <w:lang w:val="es-MX"/>
        </w:rPr>
      </w:pPr>
      <w:r w:rsidRPr="00214A66">
        <w:rPr>
          <w:rFonts w:ascii="Abadi" w:hAnsi="Abadi"/>
          <w:b/>
          <w:sz w:val="21"/>
          <w:szCs w:val="21"/>
          <w:lang w:val="es-MX"/>
        </w:rPr>
        <w:tab/>
      </w:r>
      <w:r w:rsidRPr="00214A66">
        <w:rPr>
          <w:rFonts w:ascii="Abadi" w:hAnsi="Abadi"/>
          <w:sz w:val="21"/>
          <w:szCs w:val="21"/>
          <w:lang w:val="es-MX"/>
        </w:rPr>
        <w:t xml:space="preserve">El Gobernador del Estado, mediante iniciativa de decreto de fecha 17 de abril de </w:t>
      </w:r>
      <w:r w:rsidRPr="00214A66">
        <w:rPr>
          <w:rFonts w:ascii="Abadi" w:hAnsi="Abadi"/>
          <w:sz w:val="21"/>
          <w:szCs w:val="21"/>
          <w:lang w:val="es-MX"/>
        </w:rPr>
        <w:lastRenderedPageBreak/>
        <w:t xml:space="preserve">2023, solicitó al Congreso del Estado se le autorice, previa desafectación del dominio público, la enajenación mediante la figura de donación de tres fracciones de bienes inmuebles </w:t>
      </w:r>
      <w:r w:rsidRPr="00214A66">
        <w:rPr>
          <w:rFonts w:ascii="Abadi" w:hAnsi="Abadi" w:cs="Arial"/>
          <w:sz w:val="21"/>
          <w:szCs w:val="21"/>
        </w:rPr>
        <w:t xml:space="preserve">ubicados en el Ejido </w:t>
      </w:r>
      <w:r w:rsidRPr="00214A66">
        <w:rPr>
          <w:rFonts w:ascii="Abadi" w:hAnsi="Abadi" w:cs="Arial"/>
          <w:i/>
          <w:iCs/>
          <w:sz w:val="21"/>
          <w:szCs w:val="21"/>
        </w:rPr>
        <w:t>El Capulín</w:t>
      </w:r>
      <w:r w:rsidRPr="00214A66">
        <w:rPr>
          <w:rFonts w:ascii="Abadi" w:hAnsi="Abadi" w:cs="Arial"/>
          <w:sz w:val="21"/>
          <w:szCs w:val="21"/>
        </w:rPr>
        <w:t xml:space="preserve"> del municipio de Silao de la Victoria, </w:t>
      </w:r>
      <w:proofErr w:type="spellStart"/>
      <w:r w:rsidRPr="00214A66">
        <w:rPr>
          <w:rFonts w:ascii="Abadi" w:hAnsi="Abadi" w:cs="Arial"/>
          <w:sz w:val="21"/>
          <w:szCs w:val="21"/>
        </w:rPr>
        <w:t>Gto</w:t>
      </w:r>
      <w:proofErr w:type="spellEnd"/>
      <w:r w:rsidRPr="00214A66">
        <w:rPr>
          <w:rFonts w:ascii="Abadi" w:hAnsi="Abadi" w:cs="Arial"/>
          <w:sz w:val="21"/>
          <w:szCs w:val="21"/>
        </w:rPr>
        <w:t xml:space="preserve">., </w:t>
      </w:r>
      <w:r w:rsidRPr="00214A66">
        <w:rPr>
          <w:rFonts w:ascii="Abadi" w:hAnsi="Abadi"/>
          <w:sz w:val="21"/>
          <w:szCs w:val="21"/>
          <w:lang w:val="es-MX"/>
        </w:rPr>
        <w:t xml:space="preserve">en favor de </w:t>
      </w:r>
      <w:r w:rsidRPr="00214A66">
        <w:rPr>
          <w:rFonts w:ascii="Abadi" w:hAnsi="Abadi" w:cs="Arial"/>
          <w:bCs/>
          <w:sz w:val="21"/>
          <w:szCs w:val="21"/>
        </w:rPr>
        <w:t xml:space="preserve">la asociación civil denominada </w:t>
      </w:r>
      <w:r w:rsidRPr="00214A66">
        <w:rPr>
          <w:rFonts w:ascii="Abadi" w:hAnsi="Abadi" w:cs="Arial"/>
          <w:bCs/>
          <w:i/>
          <w:iCs/>
          <w:sz w:val="21"/>
          <w:szCs w:val="21"/>
        </w:rPr>
        <w:t>«Asociación de Bomberos del Estado de Guanajuato A.C.»</w:t>
      </w:r>
      <w:r w:rsidRPr="00214A66">
        <w:rPr>
          <w:rFonts w:ascii="Abadi" w:hAnsi="Abadi" w:cs="Arial"/>
          <w:bCs/>
          <w:sz w:val="21"/>
          <w:szCs w:val="21"/>
        </w:rPr>
        <w:t>, para destinarlas a la construcción de las instalaciones del Centro Estatal de Capacitación y Certificación de Bomberos, así como para un hangar para el helicóptero del Sistema de Urgencias del Estado</w:t>
      </w:r>
      <w:r w:rsidRPr="00214A66">
        <w:rPr>
          <w:rFonts w:ascii="Abadi" w:hAnsi="Abadi"/>
          <w:i/>
          <w:iCs/>
          <w:sz w:val="21"/>
          <w:szCs w:val="21"/>
          <w:lang w:val="es-ES_tradnl"/>
        </w:rPr>
        <w:t>.</w:t>
      </w:r>
    </w:p>
    <w:p w14:paraId="47E57DA7" w14:textId="77777777" w:rsidR="00C702D8" w:rsidRPr="00214A66" w:rsidRDefault="00C702D8" w:rsidP="00C702D8">
      <w:pPr>
        <w:jc w:val="both"/>
        <w:rPr>
          <w:rFonts w:ascii="Abadi" w:hAnsi="Abadi" w:cs="Arial"/>
          <w:iCs/>
          <w:sz w:val="21"/>
          <w:szCs w:val="21"/>
          <w:lang w:val="es-MX"/>
        </w:rPr>
      </w:pPr>
    </w:p>
    <w:p w14:paraId="4A125DE3" w14:textId="77777777" w:rsidR="00C702D8" w:rsidRPr="000750A3" w:rsidRDefault="00C702D8" w:rsidP="000750A3">
      <w:pPr>
        <w:pStyle w:val="Textoindependiente3"/>
        <w:spacing w:line="240" w:lineRule="auto"/>
        <w:rPr>
          <w:rFonts w:ascii="Abadi" w:hAnsi="Abadi"/>
          <w:b w:val="0"/>
          <w:bCs/>
          <w:sz w:val="21"/>
          <w:szCs w:val="21"/>
        </w:rPr>
      </w:pPr>
      <w:r w:rsidRPr="00214A66">
        <w:rPr>
          <w:rFonts w:ascii="Abadi" w:hAnsi="Abadi"/>
          <w:sz w:val="21"/>
          <w:szCs w:val="21"/>
        </w:rPr>
        <w:tab/>
      </w:r>
      <w:r w:rsidRPr="000750A3">
        <w:rPr>
          <w:rFonts w:ascii="Abadi" w:hAnsi="Abadi"/>
          <w:b w:val="0"/>
          <w:bCs/>
          <w:sz w:val="21"/>
          <w:szCs w:val="21"/>
        </w:rPr>
        <w:t xml:space="preserve">Dicha iniciativa se turnó a esta Comisión de Hacienda y Fiscalización el 27 de abril de 2023 para su estudio y dictamen, siendo radicada el 2 de mayo del año en curso. En dicha fecha también se acordó llevar a cabo una mesa de trabajo con funcionarios de la Secretaría de Finanzas, Inversión y Administración del Estado y de la Coordinación General Jurídica del Gobierno del Estado a fin de que expusieran lo relativo al contenido de la iniciativa. </w:t>
      </w:r>
    </w:p>
    <w:p w14:paraId="3DA8AEB9" w14:textId="77777777" w:rsidR="00C702D8" w:rsidRPr="000750A3" w:rsidRDefault="00C702D8" w:rsidP="000750A3">
      <w:pPr>
        <w:pStyle w:val="Sangra2detindependiente"/>
        <w:spacing w:line="240" w:lineRule="auto"/>
        <w:jc w:val="both"/>
        <w:rPr>
          <w:rFonts w:ascii="Abadi" w:hAnsi="Abadi"/>
          <w:bCs/>
          <w:sz w:val="21"/>
          <w:szCs w:val="21"/>
        </w:rPr>
      </w:pPr>
    </w:p>
    <w:p w14:paraId="0B43C035"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 xml:space="preserve">La propiedad de los bienes inmuebles materia de la donación se acredita mediante copia certificada de las escrituras públicas números 4,575, 4,576 y 4797, las dos primeras de fecha 17 de abril de 2009 y la última, de fecha 4 de agosto de 2009, levantadas bajo la fe del licenciado Isidro Ignacio de la Peña Hernández, titular de </w:t>
      </w:r>
      <w:smartTag w:uri="urn:schemas-microsoft-com:office:smarttags" w:element="PersonName">
        <w:smartTagPr>
          <w:attr w:name="ProductID" w:val="la Notar￭a P￺blica"/>
        </w:smartTagPr>
        <w:r w:rsidRPr="000750A3">
          <w:rPr>
            <w:rFonts w:ascii="Abadi" w:hAnsi="Abadi"/>
            <w:sz w:val="21"/>
            <w:szCs w:val="21"/>
          </w:rPr>
          <w:t>la Notaría Pública</w:t>
        </w:r>
      </w:smartTag>
      <w:r w:rsidRPr="000750A3">
        <w:rPr>
          <w:rFonts w:ascii="Abadi" w:hAnsi="Abadi"/>
          <w:sz w:val="21"/>
          <w:szCs w:val="21"/>
        </w:rPr>
        <w:t xml:space="preserve"> número 2, en legal ejercicio en el Partido Judicial de Guanajuato, </w:t>
      </w:r>
      <w:proofErr w:type="spellStart"/>
      <w:r w:rsidRPr="000750A3">
        <w:rPr>
          <w:rFonts w:ascii="Abadi" w:hAnsi="Abadi"/>
          <w:sz w:val="21"/>
          <w:szCs w:val="21"/>
        </w:rPr>
        <w:t>Gto</w:t>
      </w:r>
      <w:proofErr w:type="spellEnd"/>
      <w:r w:rsidRPr="000750A3">
        <w:rPr>
          <w:rFonts w:ascii="Abadi" w:hAnsi="Abadi"/>
          <w:sz w:val="21"/>
          <w:szCs w:val="21"/>
        </w:rPr>
        <w:t>., y debidamente inscritas en el Registro Público de la Propiedad en fechas 4 de noviembre de 2009 y 28 de enero de 2011, mediante las que se formalizó la compraventa por parte del Gobierno del Estado de los bienes inmuebles que se pretenden donar.</w:t>
      </w:r>
    </w:p>
    <w:p w14:paraId="20FA7433"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Se integraron al expediente de la iniciativa, los planos de localización que establecen la superficie, medidas y colindancias de los bienes inmuebles que se pretenden donar; así como los certificados de gravámenes y de historia registral de los mismos.</w:t>
      </w:r>
    </w:p>
    <w:p w14:paraId="51EBFFF4"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 xml:space="preserve">Asimismo, forma parte del expediente de la iniciativa copia certificada de la escritura pública número 2,834, de fecha 12 de junio de 1990, levantada ante la fe del licenciado Juan Arturo Villaseñor </w:t>
      </w:r>
      <w:r w:rsidRPr="000750A3">
        <w:rPr>
          <w:rFonts w:ascii="Abadi" w:hAnsi="Abadi"/>
          <w:sz w:val="21"/>
          <w:szCs w:val="21"/>
        </w:rPr>
        <w:t xml:space="preserve">Buchanan, titular de la Notaría Pública número 13, en legal ejercicio en el Partido Judicial de Guanajuato, </w:t>
      </w:r>
      <w:proofErr w:type="spellStart"/>
      <w:r w:rsidRPr="000750A3">
        <w:rPr>
          <w:rFonts w:ascii="Abadi" w:hAnsi="Abadi"/>
          <w:sz w:val="21"/>
          <w:szCs w:val="21"/>
        </w:rPr>
        <w:t>Gto</w:t>
      </w:r>
      <w:proofErr w:type="spellEnd"/>
      <w:r w:rsidRPr="000750A3">
        <w:rPr>
          <w:rFonts w:ascii="Abadi" w:hAnsi="Abadi"/>
          <w:sz w:val="21"/>
          <w:szCs w:val="21"/>
        </w:rPr>
        <w:t xml:space="preserve">., y debidamente inscrita en el Registro Público de la Propiedad, mediante la cual se acredita la personalidad jurídica de </w:t>
      </w:r>
      <w:r w:rsidRPr="000750A3">
        <w:rPr>
          <w:rFonts w:ascii="Abadi" w:hAnsi="Abadi"/>
          <w:bCs/>
          <w:sz w:val="21"/>
          <w:szCs w:val="21"/>
        </w:rPr>
        <w:t xml:space="preserve">la </w:t>
      </w:r>
      <w:r w:rsidRPr="000750A3">
        <w:rPr>
          <w:rFonts w:ascii="Abadi" w:hAnsi="Abadi"/>
          <w:bCs/>
          <w:i/>
          <w:iCs/>
          <w:sz w:val="21"/>
          <w:szCs w:val="21"/>
        </w:rPr>
        <w:t>«Asociación de Bomberos del Estado de Guanajuato A.C.» De igual forma, s</w:t>
      </w:r>
      <w:r w:rsidRPr="000750A3">
        <w:rPr>
          <w:rFonts w:ascii="Abadi" w:hAnsi="Abadi"/>
          <w:bCs/>
          <w:sz w:val="21"/>
          <w:szCs w:val="21"/>
        </w:rPr>
        <w:t>e adjunta copia certificada del instrumento notarial número 26,306, de fecha 26 de febrero de 2021,</w:t>
      </w:r>
      <w:r w:rsidRPr="000750A3">
        <w:rPr>
          <w:rFonts w:ascii="Abadi" w:hAnsi="Abadi"/>
          <w:sz w:val="21"/>
          <w:szCs w:val="21"/>
        </w:rPr>
        <w:t xml:space="preserve"> levantado ante la fe del licenciado Raúl </w:t>
      </w:r>
      <w:proofErr w:type="spellStart"/>
      <w:r w:rsidRPr="000750A3">
        <w:rPr>
          <w:rFonts w:ascii="Abadi" w:hAnsi="Abadi"/>
          <w:sz w:val="21"/>
          <w:szCs w:val="21"/>
        </w:rPr>
        <w:t>Ortíz</w:t>
      </w:r>
      <w:proofErr w:type="spellEnd"/>
      <w:r w:rsidRPr="000750A3">
        <w:rPr>
          <w:rFonts w:ascii="Abadi" w:hAnsi="Abadi"/>
          <w:sz w:val="21"/>
          <w:szCs w:val="21"/>
        </w:rPr>
        <w:t xml:space="preserve"> García, titular de la Notaría Pública número 16, en legal ejercicio en el Partido Judicial de Salamanca, </w:t>
      </w:r>
      <w:proofErr w:type="spellStart"/>
      <w:r w:rsidRPr="000750A3">
        <w:rPr>
          <w:rFonts w:ascii="Abadi" w:hAnsi="Abadi"/>
          <w:sz w:val="21"/>
          <w:szCs w:val="21"/>
        </w:rPr>
        <w:t>Gto</w:t>
      </w:r>
      <w:proofErr w:type="spellEnd"/>
      <w:r w:rsidRPr="000750A3">
        <w:rPr>
          <w:rFonts w:ascii="Abadi" w:hAnsi="Abadi"/>
          <w:sz w:val="21"/>
          <w:szCs w:val="21"/>
        </w:rPr>
        <w:t>., en el que se protocolizó el acta de Asamblea Extraordinaria de le referida asociación civil, celebrada el 19 de diciembre de 2020 en la que se eligió su Consejo Directivo para el periodo 2021-2024.</w:t>
      </w:r>
    </w:p>
    <w:p w14:paraId="0A50AA78"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 xml:space="preserve">Obra además en el expediente de la iniciativa, copia certificada del oficio número P066/2022, de fecha 18 de abril de 2022, mediante el cual el presidente de </w:t>
      </w:r>
      <w:r w:rsidRPr="000750A3">
        <w:rPr>
          <w:rFonts w:ascii="Abadi" w:hAnsi="Abadi"/>
          <w:bCs/>
          <w:sz w:val="21"/>
          <w:szCs w:val="21"/>
        </w:rPr>
        <w:t xml:space="preserve">la asociación civil denominada </w:t>
      </w:r>
      <w:r w:rsidRPr="000750A3">
        <w:rPr>
          <w:rFonts w:ascii="Abadi" w:hAnsi="Abadi"/>
          <w:bCs/>
          <w:i/>
          <w:iCs/>
          <w:sz w:val="21"/>
          <w:szCs w:val="21"/>
        </w:rPr>
        <w:t>«Asociación de Bomberos del Estado de Guanajuato A.C.»</w:t>
      </w:r>
      <w:r w:rsidRPr="000750A3">
        <w:rPr>
          <w:rFonts w:ascii="Abadi" w:hAnsi="Abadi"/>
          <w:bCs/>
          <w:sz w:val="21"/>
          <w:szCs w:val="21"/>
        </w:rPr>
        <w:t xml:space="preserve"> </w:t>
      </w:r>
      <w:r w:rsidRPr="000750A3">
        <w:rPr>
          <w:rFonts w:ascii="Abadi" w:hAnsi="Abadi"/>
          <w:sz w:val="21"/>
          <w:szCs w:val="21"/>
        </w:rPr>
        <w:t>solicitó al Gobernador del Estado la donación del terreno que les fue asignado mediante el contrato de comodato en las instalaciones del Parque Guanajuato Bicentenario para la construcción del Centro Estatal de Capacitación y Certificación de Bomberos; señalando que también se construirá en el mismo un hangar para el helicóptero del Sistema de Urgencias del Estado.</w:t>
      </w:r>
    </w:p>
    <w:p w14:paraId="53A868D4" w14:textId="77777777" w:rsidR="00C702D8" w:rsidRPr="000750A3" w:rsidRDefault="00C702D8" w:rsidP="000750A3">
      <w:pPr>
        <w:pStyle w:val="Sangra2detindependiente"/>
        <w:spacing w:line="240" w:lineRule="auto"/>
        <w:jc w:val="both"/>
        <w:rPr>
          <w:rFonts w:ascii="Abadi" w:hAnsi="Abadi"/>
          <w:sz w:val="21"/>
          <w:szCs w:val="21"/>
        </w:rPr>
      </w:pPr>
    </w:p>
    <w:p w14:paraId="7ECA5F6F"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 xml:space="preserve">También se integraron al expediente, copias del contrato de comodato celebrado el 6 de enero de 2022 por el Estado de Guanajuato -por conducto de la Secretaría de Finanzas, Inversión y Administración- con la </w:t>
      </w:r>
      <w:r w:rsidRPr="000750A3">
        <w:rPr>
          <w:rFonts w:ascii="Abadi" w:hAnsi="Abadi"/>
          <w:bCs/>
          <w:i/>
          <w:iCs/>
          <w:sz w:val="21"/>
          <w:szCs w:val="21"/>
        </w:rPr>
        <w:t xml:space="preserve">«Asociación de Bomberos del Estado de Guanajuato A.C.», </w:t>
      </w:r>
      <w:r w:rsidRPr="000750A3">
        <w:rPr>
          <w:rFonts w:ascii="Abadi" w:hAnsi="Abadi"/>
          <w:bCs/>
          <w:sz w:val="21"/>
          <w:szCs w:val="21"/>
        </w:rPr>
        <w:t xml:space="preserve">respecto al bien inmueble ubicado en el Ejido </w:t>
      </w:r>
      <w:r w:rsidRPr="000750A3">
        <w:rPr>
          <w:rFonts w:ascii="Abadi" w:hAnsi="Abadi"/>
          <w:bCs/>
          <w:i/>
          <w:iCs/>
          <w:sz w:val="21"/>
          <w:szCs w:val="21"/>
        </w:rPr>
        <w:t>El Capulín</w:t>
      </w:r>
      <w:r w:rsidRPr="000750A3">
        <w:rPr>
          <w:rFonts w:ascii="Abadi" w:hAnsi="Abadi"/>
          <w:bCs/>
          <w:sz w:val="21"/>
          <w:szCs w:val="21"/>
        </w:rPr>
        <w:t xml:space="preserve"> del municipio de Silao de la Victoria, </w:t>
      </w:r>
      <w:proofErr w:type="spellStart"/>
      <w:r w:rsidRPr="000750A3">
        <w:rPr>
          <w:rFonts w:ascii="Abadi" w:hAnsi="Abadi"/>
          <w:bCs/>
          <w:sz w:val="21"/>
          <w:szCs w:val="21"/>
        </w:rPr>
        <w:t>Gto</w:t>
      </w:r>
      <w:proofErr w:type="spellEnd"/>
      <w:r w:rsidRPr="000750A3">
        <w:rPr>
          <w:rFonts w:ascii="Abadi" w:hAnsi="Abadi"/>
          <w:bCs/>
          <w:sz w:val="21"/>
          <w:szCs w:val="21"/>
        </w:rPr>
        <w:t xml:space="preserve">., con una superficie total de 05-94-87.79 hectáreas, para destinarlo a la construcción  del Centro Estatal de Capacitación y Certificación de Bomberos, con vigencia al 31 de diciembre de 2022; y del convenio modificatorio del referido contrato, celebrado el 28 de abril de 2022; así como </w:t>
      </w:r>
      <w:r w:rsidRPr="000750A3">
        <w:rPr>
          <w:rFonts w:ascii="Abadi" w:hAnsi="Abadi"/>
          <w:sz w:val="21"/>
          <w:szCs w:val="21"/>
        </w:rPr>
        <w:t xml:space="preserve">la  constancia de inscripción de la </w:t>
      </w:r>
      <w:r w:rsidRPr="000750A3">
        <w:rPr>
          <w:rFonts w:ascii="Abadi" w:hAnsi="Abadi"/>
          <w:bCs/>
          <w:i/>
          <w:iCs/>
          <w:sz w:val="21"/>
          <w:szCs w:val="21"/>
        </w:rPr>
        <w:lastRenderedPageBreak/>
        <w:t xml:space="preserve">«Asociación de Bomberos del Estado de Guanajuato A.C.», </w:t>
      </w:r>
      <w:r w:rsidRPr="000750A3">
        <w:rPr>
          <w:rFonts w:ascii="Abadi" w:hAnsi="Abadi"/>
          <w:bCs/>
          <w:sz w:val="21"/>
          <w:szCs w:val="21"/>
        </w:rPr>
        <w:t>en el Registro Estatal de Organizaciones de la Sociedad Civil a cargo de la Secretaría de Desarrollo Social y Humano del Estado.</w:t>
      </w:r>
    </w:p>
    <w:p w14:paraId="34BC1E09" w14:textId="77777777" w:rsidR="00C702D8" w:rsidRPr="000750A3" w:rsidRDefault="00C702D8" w:rsidP="000750A3">
      <w:pPr>
        <w:pStyle w:val="Sangra2detindependiente"/>
        <w:spacing w:line="240" w:lineRule="auto"/>
        <w:jc w:val="both"/>
        <w:rPr>
          <w:rFonts w:ascii="Abadi" w:hAnsi="Abadi"/>
          <w:sz w:val="21"/>
          <w:szCs w:val="21"/>
        </w:rPr>
      </w:pPr>
    </w:p>
    <w:p w14:paraId="2FD90AB9" w14:textId="77777777" w:rsidR="00C702D8" w:rsidRPr="000750A3" w:rsidRDefault="00C702D8" w:rsidP="000750A3">
      <w:pPr>
        <w:pStyle w:val="Sangra2detindependiente"/>
        <w:spacing w:line="240" w:lineRule="auto"/>
        <w:jc w:val="both"/>
        <w:rPr>
          <w:rFonts w:ascii="Abadi" w:hAnsi="Abadi"/>
          <w:sz w:val="21"/>
          <w:szCs w:val="21"/>
        </w:rPr>
      </w:pPr>
      <w:r w:rsidRPr="000750A3">
        <w:rPr>
          <w:rFonts w:ascii="Abadi" w:hAnsi="Abadi"/>
          <w:sz w:val="21"/>
          <w:szCs w:val="21"/>
        </w:rPr>
        <w:t>En la mesa de trabajo celebrada el 6 de junio del año en curso, funcionarios de la Secretaría de Finanzas, Inversión y Administración y de la Coordinación General Jurídica del Gobierno del Estado expusieron a quienes integramos esta Comisión lo referente al contenido de la iniciativa.</w:t>
      </w:r>
    </w:p>
    <w:p w14:paraId="347D31AD" w14:textId="77777777" w:rsidR="00C702D8" w:rsidRPr="000750A3" w:rsidRDefault="00C702D8" w:rsidP="000750A3">
      <w:pPr>
        <w:ind w:firstLine="708"/>
        <w:jc w:val="both"/>
        <w:rPr>
          <w:rFonts w:ascii="Abadi" w:hAnsi="Abadi" w:cs="Arial"/>
          <w:iCs/>
          <w:sz w:val="21"/>
          <w:szCs w:val="21"/>
          <w:lang w:val="es-MX"/>
        </w:rPr>
      </w:pPr>
    </w:p>
    <w:p w14:paraId="41E784DA" w14:textId="77777777" w:rsidR="00C702D8" w:rsidRPr="000750A3" w:rsidRDefault="00C702D8" w:rsidP="000750A3">
      <w:pPr>
        <w:ind w:firstLine="708"/>
        <w:jc w:val="both"/>
        <w:rPr>
          <w:rFonts w:ascii="Abadi" w:hAnsi="Abadi" w:cs="Arial"/>
          <w:iCs/>
          <w:sz w:val="21"/>
          <w:szCs w:val="21"/>
          <w:lang w:val="es-MX"/>
        </w:rPr>
      </w:pPr>
      <w:r w:rsidRPr="000750A3">
        <w:rPr>
          <w:rFonts w:ascii="Abadi" w:hAnsi="Abadi" w:cs="Arial"/>
          <w:iCs/>
          <w:sz w:val="21"/>
          <w:szCs w:val="21"/>
          <w:lang w:val="es-MX"/>
        </w:rPr>
        <w:t>En la exposición de motivos de la iniciativa que nos ocupa, se establece que:</w:t>
      </w:r>
    </w:p>
    <w:p w14:paraId="69E07237" w14:textId="77777777" w:rsidR="00C702D8" w:rsidRPr="000750A3" w:rsidRDefault="00C702D8" w:rsidP="000750A3">
      <w:pPr>
        <w:ind w:firstLine="708"/>
        <w:jc w:val="both"/>
        <w:rPr>
          <w:rFonts w:ascii="Abadi" w:hAnsi="Abadi" w:cs="Arial"/>
          <w:iCs/>
          <w:sz w:val="21"/>
          <w:szCs w:val="21"/>
          <w:lang w:val="es-MX"/>
        </w:rPr>
      </w:pPr>
    </w:p>
    <w:p w14:paraId="628A8BB5" w14:textId="77777777" w:rsidR="00C702D8" w:rsidRPr="000750A3" w:rsidRDefault="00C702D8" w:rsidP="000750A3">
      <w:pPr>
        <w:ind w:firstLine="708"/>
        <w:jc w:val="both"/>
        <w:rPr>
          <w:rFonts w:ascii="Abadi" w:hAnsi="Abadi" w:cs="Arial"/>
          <w:iCs/>
          <w:sz w:val="21"/>
          <w:szCs w:val="21"/>
          <w:lang w:val="es-MX"/>
        </w:rPr>
      </w:pPr>
    </w:p>
    <w:p w14:paraId="781E95E3" w14:textId="77777777" w:rsidR="00C702D8" w:rsidRPr="000750A3" w:rsidRDefault="00C702D8" w:rsidP="000750A3">
      <w:pPr>
        <w:ind w:left="709" w:hanging="1"/>
        <w:jc w:val="both"/>
        <w:rPr>
          <w:rFonts w:ascii="Abadi" w:hAnsi="Abadi" w:cs="Arial"/>
          <w:i/>
          <w:sz w:val="21"/>
          <w:szCs w:val="21"/>
        </w:rPr>
      </w:pPr>
      <w:r w:rsidRPr="000750A3">
        <w:rPr>
          <w:rFonts w:ascii="Abadi" w:hAnsi="Abadi" w:cs="Arial"/>
          <w:i/>
          <w:sz w:val="21"/>
          <w:szCs w:val="21"/>
          <w:lang w:val="es-ES_tradnl"/>
        </w:rPr>
        <w:t>«</w:t>
      </w:r>
      <w:r w:rsidRPr="000750A3">
        <w:rPr>
          <w:rFonts w:ascii="Abadi" w:hAnsi="Abadi" w:cs="Arial"/>
          <w:i/>
          <w:sz w:val="21"/>
          <w:szCs w:val="21"/>
        </w:rPr>
        <w:t>El Gobierno del Estado, como parte de la misión contenida en la Actualización del Programa de Gobierno 2018-2024</w:t>
      </w:r>
      <w:r w:rsidRPr="000750A3">
        <w:rPr>
          <w:rStyle w:val="Refdenotaalpie"/>
          <w:rFonts w:ascii="Abadi" w:hAnsi="Abadi" w:cs="Arial"/>
          <w:i/>
          <w:sz w:val="21"/>
          <w:szCs w:val="21"/>
        </w:rPr>
        <w:footnoteReference w:id="212"/>
      </w:r>
      <w:r w:rsidRPr="000750A3">
        <w:rPr>
          <w:rFonts w:ascii="Abadi" w:hAnsi="Abadi" w:cs="Arial"/>
          <w:i/>
          <w:sz w:val="21"/>
          <w:szCs w:val="21"/>
        </w:rPr>
        <w:t>,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de derecho, paz social y corresponsabilidad global, por lo que dicho instrumento prevé en su objetivo «1.4. Asegurar la atención efectiva y coordinada a las demandas sociales y el ejercicio de los derechos de la población».</w:t>
      </w:r>
    </w:p>
    <w:p w14:paraId="48691E53" w14:textId="77777777" w:rsidR="00C702D8" w:rsidRPr="000750A3" w:rsidRDefault="00C702D8" w:rsidP="000750A3">
      <w:pPr>
        <w:ind w:left="709" w:hanging="1"/>
        <w:jc w:val="both"/>
        <w:rPr>
          <w:rFonts w:ascii="Abadi" w:hAnsi="Abadi" w:cs="Arial"/>
          <w:i/>
          <w:sz w:val="21"/>
          <w:szCs w:val="21"/>
        </w:rPr>
      </w:pPr>
    </w:p>
    <w:p w14:paraId="03BD2F8C" w14:textId="77777777" w:rsidR="00C702D8" w:rsidRPr="000750A3" w:rsidRDefault="00C702D8" w:rsidP="000750A3">
      <w:pPr>
        <w:ind w:left="709" w:hanging="1"/>
        <w:jc w:val="both"/>
        <w:rPr>
          <w:rFonts w:ascii="Abadi" w:hAnsi="Abadi" w:cs="Arial"/>
          <w:i/>
          <w:sz w:val="21"/>
          <w:szCs w:val="21"/>
        </w:rPr>
      </w:pPr>
      <w:r w:rsidRPr="000750A3">
        <w:rPr>
          <w:rFonts w:ascii="Abadi" w:hAnsi="Abadi"/>
          <w:i/>
          <w:sz w:val="21"/>
          <w:szCs w:val="21"/>
        </w:rPr>
        <w:t>En congruencia con los propósitos descritos, el Plan Estatal de Desarrollo Guanajuato 2040</w:t>
      </w:r>
      <w:r w:rsidRPr="000750A3">
        <w:rPr>
          <w:rStyle w:val="Refdenotaalpie"/>
          <w:rFonts w:ascii="Abadi" w:hAnsi="Abadi" w:cs="Arial"/>
          <w:i/>
          <w:sz w:val="21"/>
          <w:szCs w:val="21"/>
        </w:rPr>
        <w:footnoteReference w:id="213"/>
      </w:r>
      <w:r w:rsidRPr="000750A3">
        <w:rPr>
          <w:rFonts w:ascii="Abadi" w:hAnsi="Abadi" w:cs="Arial"/>
          <w:i/>
          <w:sz w:val="21"/>
          <w:szCs w:val="21"/>
        </w:rPr>
        <w:t xml:space="preserve">, </w:t>
      </w:r>
      <w:r w:rsidRPr="000750A3">
        <w:rPr>
          <w:rFonts w:ascii="Abadi" w:hAnsi="Abadi"/>
          <w:i/>
          <w:sz w:val="21"/>
          <w:szCs w:val="21"/>
        </w:rPr>
        <w:t xml:space="preserve">contempla en la Línea Estratégica 4.1. Gobernanza, el Objetivo específico «4.1.1 Incrementar la eficiencia y eficacia del sector </w:t>
      </w:r>
      <w:r w:rsidRPr="000750A3">
        <w:rPr>
          <w:rFonts w:ascii="Abadi" w:hAnsi="Abadi"/>
          <w:i/>
          <w:sz w:val="21"/>
          <w:szCs w:val="21"/>
        </w:rPr>
        <w:t>público estatal con el involucramiento corresponsable de la sociedad».</w:t>
      </w:r>
    </w:p>
    <w:p w14:paraId="0BD5B5BA" w14:textId="77777777" w:rsidR="00C702D8" w:rsidRPr="000750A3" w:rsidRDefault="00C702D8" w:rsidP="000750A3">
      <w:pPr>
        <w:ind w:left="709" w:hanging="1"/>
        <w:jc w:val="both"/>
        <w:rPr>
          <w:rFonts w:ascii="Abadi" w:hAnsi="Abadi" w:cs="Arial"/>
          <w:i/>
          <w:sz w:val="21"/>
          <w:szCs w:val="21"/>
        </w:rPr>
      </w:pPr>
    </w:p>
    <w:p w14:paraId="20A945F6" w14:textId="77777777" w:rsidR="00C702D8" w:rsidRPr="000750A3" w:rsidRDefault="00C702D8" w:rsidP="000750A3">
      <w:pPr>
        <w:autoSpaceDE w:val="0"/>
        <w:autoSpaceDN w:val="0"/>
        <w:adjustRightInd w:val="0"/>
        <w:ind w:left="709" w:hanging="1"/>
        <w:jc w:val="both"/>
        <w:rPr>
          <w:rFonts w:ascii="Abadi" w:hAnsi="Abadi" w:cs="Arial"/>
          <w:i/>
          <w:sz w:val="21"/>
          <w:szCs w:val="21"/>
        </w:rPr>
      </w:pPr>
      <w:r w:rsidRPr="000750A3">
        <w:rPr>
          <w:rFonts w:ascii="Abadi" w:hAnsi="Abadi" w:cs="Arial"/>
          <w:i/>
          <w:sz w:val="21"/>
          <w:szCs w:val="21"/>
        </w:rPr>
        <w:t xml:space="preserve">Bajo tal contexto, el Presidente del Consejo Directivo de la asociación civil denominada «Asociación de Bomberos del Estado de Guanajuato A.C.», solicitó mediante oficio número P066/2022, de fecha 18 de abril de 2022, se lleve a cabo la donación a dicha asociación, de tres fracciones de terreno de los inmuebles propiedad de Gobierno del Estado, que se encuentran ubicados en el «Ejido el Capulín», en el municipio de Silao de la Victoria, </w:t>
      </w:r>
      <w:proofErr w:type="spellStart"/>
      <w:r w:rsidRPr="000750A3">
        <w:rPr>
          <w:rFonts w:ascii="Abadi" w:hAnsi="Abadi" w:cs="Arial"/>
          <w:i/>
          <w:sz w:val="21"/>
          <w:szCs w:val="21"/>
        </w:rPr>
        <w:t>Gto</w:t>
      </w:r>
      <w:proofErr w:type="spellEnd"/>
      <w:r w:rsidRPr="000750A3">
        <w:rPr>
          <w:rFonts w:ascii="Abadi" w:hAnsi="Abadi" w:cs="Arial"/>
          <w:i/>
          <w:sz w:val="21"/>
          <w:szCs w:val="21"/>
        </w:rPr>
        <w:t>., con la finalidad de destinarse a la construcción del Centro Estatal de Capacitación y Certificación de Bomberos, así como de un Hangar para el helicóptero del Sistema de Urgencias del Estado; todo ello, a efecto de coadyuvar con el logro de su objeto social, dentro del cual se encuentra el relativo a prevenir y proteger de toda clase de incendios, explosivos, inundaciones, catástrofes y todo fenómeno natural o derivado de la acción de los seres humanos que pongan en peligro la vida o los bienes de los habitantes del estado de Guanajuato.</w:t>
      </w:r>
    </w:p>
    <w:p w14:paraId="18EDBA59" w14:textId="77777777" w:rsidR="00C702D8" w:rsidRPr="000750A3" w:rsidRDefault="00C702D8" w:rsidP="000750A3">
      <w:pPr>
        <w:autoSpaceDE w:val="0"/>
        <w:autoSpaceDN w:val="0"/>
        <w:adjustRightInd w:val="0"/>
        <w:jc w:val="both"/>
        <w:rPr>
          <w:rFonts w:ascii="Abadi" w:hAnsi="Abadi" w:cs="Arial"/>
          <w:i/>
          <w:sz w:val="21"/>
          <w:szCs w:val="21"/>
        </w:rPr>
      </w:pPr>
    </w:p>
    <w:p w14:paraId="7312A2D9" w14:textId="77777777" w:rsidR="00C702D8" w:rsidRPr="000750A3" w:rsidRDefault="00C702D8" w:rsidP="000750A3">
      <w:pPr>
        <w:autoSpaceDE w:val="0"/>
        <w:autoSpaceDN w:val="0"/>
        <w:adjustRightInd w:val="0"/>
        <w:ind w:left="709" w:hanging="1"/>
        <w:jc w:val="both"/>
        <w:rPr>
          <w:rFonts w:ascii="Abadi" w:eastAsia="Calibri" w:hAnsi="Abadi" w:cs="Tahoma"/>
          <w:i/>
          <w:sz w:val="21"/>
          <w:szCs w:val="21"/>
          <w:lang w:val="es-MX" w:eastAsia="en-US"/>
        </w:rPr>
      </w:pPr>
      <w:r w:rsidRPr="000750A3">
        <w:rPr>
          <w:rFonts w:ascii="Abadi" w:hAnsi="Abadi" w:cs="Arial"/>
          <w:i/>
          <w:sz w:val="21"/>
          <w:szCs w:val="21"/>
        </w:rPr>
        <w:t xml:space="preserve">La propiedad de las fracciones solicitadas de los bienes inmuebles de referencia, se acredita mediante las escrituras públicas de números 4,575, 4,576 y 4,797, las dos primeras de fecha 17 de abril de 2009 y la última del 4 de agosto de 2009, todas </w:t>
      </w:r>
      <w:r w:rsidRPr="000750A3">
        <w:rPr>
          <w:rFonts w:ascii="Abadi" w:eastAsia="Calibri" w:hAnsi="Abadi" w:cs="Tahoma"/>
          <w:i/>
          <w:sz w:val="21"/>
          <w:szCs w:val="21"/>
          <w:lang w:val="es-MX" w:eastAsia="en-US"/>
        </w:rPr>
        <w:t xml:space="preserve">otorgadas ante la fe del licenciado Isidro Ignacio de la Peña Hernández, titular de la Notaría Pública número 2, del Partido Judicial de Guanajuato, </w:t>
      </w:r>
      <w:proofErr w:type="spellStart"/>
      <w:r w:rsidRPr="000750A3">
        <w:rPr>
          <w:rFonts w:ascii="Abadi" w:eastAsia="Calibri" w:hAnsi="Abadi" w:cs="Tahoma"/>
          <w:i/>
          <w:sz w:val="21"/>
          <w:szCs w:val="21"/>
          <w:lang w:val="es-MX" w:eastAsia="en-US"/>
        </w:rPr>
        <w:t>Gto</w:t>
      </w:r>
      <w:proofErr w:type="spellEnd"/>
      <w:r w:rsidRPr="000750A3">
        <w:rPr>
          <w:rFonts w:ascii="Abadi" w:eastAsia="Calibri" w:hAnsi="Abadi" w:cs="Tahoma"/>
          <w:i/>
          <w:sz w:val="21"/>
          <w:szCs w:val="21"/>
          <w:lang w:val="es-MX" w:eastAsia="en-US"/>
        </w:rPr>
        <w:t>.</w:t>
      </w:r>
    </w:p>
    <w:p w14:paraId="2CFE59B7" w14:textId="77777777" w:rsidR="00C702D8" w:rsidRPr="000750A3" w:rsidRDefault="00C702D8" w:rsidP="000750A3">
      <w:pPr>
        <w:autoSpaceDE w:val="0"/>
        <w:autoSpaceDN w:val="0"/>
        <w:adjustRightInd w:val="0"/>
        <w:ind w:left="709" w:hanging="1"/>
        <w:jc w:val="both"/>
        <w:rPr>
          <w:rFonts w:ascii="Abadi" w:eastAsia="Calibri" w:hAnsi="Abadi" w:cs="Tahoma"/>
          <w:i/>
          <w:sz w:val="21"/>
          <w:szCs w:val="21"/>
          <w:lang w:val="es-MX" w:eastAsia="en-US"/>
        </w:rPr>
      </w:pPr>
    </w:p>
    <w:p w14:paraId="34C49720" w14:textId="77777777" w:rsidR="00C702D8" w:rsidRPr="000750A3" w:rsidRDefault="00C702D8" w:rsidP="000750A3">
      <w:pPr>
        <w:autoSpaceDE w:val="0"/>
        <w:autoSpaceDN w:val="0"/>
        <w:adjustRightInd w:val="0"/>
        <w:ind w:left="709" w:hanging="1"/>
        <w:jc w:val="both"/>
        <w:rPr>
          <w:rFonts w:ascii="Abadi" w:eastAsia="Calibri" w:hAnsi="Abadi" w:cs="Arial"/>
          <w:i/>
          <w:sz w:val="21"/>
          <w:szCs w:val="21"/>
        </w:rPr>
      </w:pPr>
    </w:p>
    <w:p w14:paraId="74E671B3" w14:textId="77777777" w:rsidR="00C702D8" w:rsidRPr="000750A3" w:rsidRDefault="00C702D8" w:rsidP="000750A3">
      <w:pPr>
        <w:autoSpaceDE w:val="0"/>
        <w:autoSpaceDN w:val="0"/>
        <w:adjustRightInd w:val="0"/>
        <w:ind w:left="709" w:hanging="1"/>
        <w:jc w:val="both"/>
        <w:rPr>
          <w:rFonts w:ascii="Abadi" w:hAnsi="Abadi" w:cs="Arial"/>
          <w:i/>
          <w:sz w:val="21"/>
          <w:szCs w:val="21"/>
        </w:rPr>
      </w:pPr>
      <w:r w:rsidRPr="000750A3">
        <w:rPr>
          <w:rFonts w:ascii="Abadi" w:eastAsia="Calibri" w:hAnsi="Abadi" w:cs="Arial"/>
          <w:i/>
          <w:sz w:val="21"/>
          <w:szCs w:val="21"/>
        </w:rPr>
        <w:t xml:space="preserve">En ese orden de ideas, y en razón de que la solicitud realizada por la </w:t>
      </w:r>
      <w:r w:rsidRPr="000750A3">
        <w:rPr>
          <w:rFonts w:ascii="Abadi" w:hAnsi="Abadi" w:cs="Arial"/>
          <w:i/>
          <w:sz w:val="21"/>
          <w:szCs w:val="21"/>
        </w:rPr>
        <w:t xml:space="preserve">«Asociación de Bomberos del Estado </w:t>
      </w:r>
      <w:r w:rsidRPr="000750A3">
        <w:rPr>
          <w:rFonts w:ascii="Abadi" w:hAnsi="Abadi" w:cs="Arial"/>
          <w:i/>
          <w:sz w:val="21"/>
          <w:szCs w:val="21"/>
        </w:rPr>
        <w:lastRenderedPageBreak/>
        <w:t>de Guanajuato A.C.»</w:t>
      </w:r>
      <w:r w:rsidRPr="000750A3">
        <w:rPr>
          <w:rFonts w:ascii="Abadi" w:eastAsia="Calibri" w:hAnsi="Abadi" w:cs="Arial"/>
          <w:i/>
          <w:sz w:val="21"/>
          <w:szCs w:val="21"/>
        </w:rPr>
        <w:t xml:space="preserve">, se inscribe en el marco de los objetivos y metas previstos en los instrumentos de planeación que orientan la actuación de la administración pública estatal, el Ejecutivo del Estado estima pertinente dotar a dicha persona jurídico colectiva de un bien inmueble para destinarlo a </w:t>
      </w:r>
      <w:r w:rsidRPr="000750A3">
        <w:rPr>
          <w:rFonts w:ascii="Abadi" w:hAnsi="Abadi" w:cs="Arial"/>
          <w:i/>
          <w:sz w:val="21"/>
          <w:szCs w:val="21"/>
        </w:rPr>
        <w:t>la construcción del Centro Estatal de Capacitación y Certificación de Bomberos, así como de un Hangar para el helicóptero del Sistema de Urgencias del Estado</w:t>
      </w:r>
      <w:r w:rsidRPr="000750A3">
        <w:rPr>
          <w:rFonts w:ascii="Abadi" w:eastAsia="Calibri" w:hAnsi="Abadi" w:cs="Arial"/>
          <w:i/>
          <w:sz w:val="21"/>
          <w:szCs w:val="21"/>
        </w:rPr>
        <w:t>; para lo cual se requiere la previa desafectación de las tres fracciones de los inmuebles citados con antelación, y que por ser colindantes conforman una sola unidad topográfica, con una superficie de 11,377.99 m² once mil trescientos setenta y siete punto noventa y nueve metros cuadrados, para que ésta ingrese al dominio privado del Estado y se autorice la enajenación por esa Soberanía.</w:t>
      </w:r>
    </w:p>
    <w:p w14:paraId="47A4E061" w14:textId="77777777" w:rsidR="00C702D8" w:rsidRPr="000750A3" w:rsidRDefault="00C702D8" w:rsidP="000750A3">
      <w:pPr>
        <w:autoSpaceDE w:val="0"/>
        <w:autoSpaceDN w:val="0"/>
        <w:adjustRightInd w:val="0"/>
        <w:ind w:left="709" w:hanging="1"/>
        <w:jc w:val="both"/>
        <w:rPr>
          <w:rFonts w:ascii="Abadi" w:hAnsi="Abadi" w:cs="Arial"/>
          <w:i/>
          <w:sz w:val="21"/>
          <w:szCs w:val="21"/>
        </w:rPr>
      </w:pPr>
    </w:p>
    <w:p w14:paraId="1B40C8ED" w14:textId="77777777" w:rsidR="00C702D8" w:rsidRPr="000750A3" w:rsidRDefault="00C702D8" w:rsidP="000750A3">
      <w:pPr>
        <w:autoSpaceDE w:val="0"/>
        <w:autoSpaceDN w:val="0"/>
        <w:adjustRightInd w:val="0"/>
        <w:ind w:left="709" w:hanging="1"/>
        <w:jc w:val="both"/>
        <w:rPr>
          <w:rFonts w:ascii="Abadi" w:hAnsi="Abadi"/>
          <w:i/>
          <w:sz w:val="21"/>
          <w:szCs w:val="21"/>
        </w:rPr>
      </w:pPr>
      <w:r w:rsidRPr="000750A3">
        <w:rPr>
          <w:rFonts w:ascii="Abadi" w:hAnsi="Abadi"/>
          <w:i/>
          <w:sz w:val="21"/>
          <w:szCs w:val="21"/>
        </w:rPr>
        <w:t>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legislación —qué se legisla— sino también en la plasmación lingüística de la norma —con qué palabras se legisla—, por ello, atendiendo la previsión del artículo 209 de la Ley Orgánica del Poder Legislativo del Estado de Guanajuato, relativo a la evaluación ex ante de la norma, a partir de la evaluación del impacto jurídico, administrativo, presupuestario y social, se manifiesta:</w:t>
      </w:r>
    </w:p>
    <w:p w14:paraId="1F68DDDA" w14:textId="77777777" w:rsidR="00C702D8" w:rsidRPr="000750A3" w:rsidRDefault="00C702D8" w:rsidP="000750A3">
      <w:pPr>
        <w:autoSpaceDE w:val="0"/>
        <w:autoSpaceDN w:val="0"/>
        <w:adjustRightInd w:val="0"/>
        <w:ind w:left="709" w:hanging="1"/>
        <w:jc w:val="both"/>
        <w:rPr>
          <w:rFonts w:ascii="Abadi" w:hAnsi="Abadi"/>
          <w:i/>
          <w:sz w:val="21"/>
          <w:szCs w:val="21"/>
        </w:rPr>
      </w:pPr>
    </w:p>
    <w:p w14:paraId="1513BF0D" w14:textId="77777777" w:rsidR="00C702D8" w:rsidRPr="000750A3" w:rsidRDefault="00C702D8" w:rsidP="005B68E6">
      <w:pPr>
        <w:pStyle w:val="Prrafodelista"/>
        <w:numPr>
          <w:ilvl w:val="0"/>
          <w:numId w:val="34"/>
        </w:numPr>
        <w:suppressAutoHyphens/>
        <w:autoSpaceDE w:val="0"/>
        <w:autoSpaceDN w:val="0"/>
        <w:adjustRightInd w:val="0"/>
        <w:spacing w:after="200"/>
        <w:ind w:left="709" w:hanging="1"/>
        <w:contextualSpacing/>
        <w:jc w:val="both"/>
        <w:rPr>
          <w:rFonts w:ascii="Abadi" w:hAnsi="Abadi"/>
          <w:i/>
          <w:sz w:val="21"/>
          <w:szCs w:val="21"/>
        </w:rPr>
      </w:pPr>
      <w:r w:rsidRPr="000750A3">
        <w:rPr>
          <w:rFonts w:ascii="Abadi" w:hAnsi="Abadi"/>
          <w:b/>
          <w:i/>
          <w:sz w:val="21"/>
          <w:szCs w:val="21"/>
        </w:rPr>
        <w:t>Impacto jurídico</w:t>
      </w:r>
      <w:r w:rsidRPr="000750A3">
        <w:rPr>
          <w:rFonts w:ascii="Abadi" w:hAnsi="Abadi"/>
          <w:i/>
          <w:sz w:val="21"/>
          <w:szCs w:val="21"/>
        </w:rPr>
        <w:t xml:space="preserve">: se traducirá  en </w:t>
      </w:r>
      <w:r w:rsidRPr="000750A3">
        <w:rPr>
          <w:rFonts w:ascii="Abadi" w:hAnsi="Abadi"/>
          <w:i/>
          <w:sz w:val="21"/>
          <w:szCs w:val="21"/>
          <w:lang w:val="es-MX"/>
        </w:rPr>
        <w:t xml:space="preserve">la autorización de ese Congreso para que el Ejecutivo del Estado pueda realizar la donación del inmueble materia de la presente iniciativa, misma que es requerida con fundamento en lo establecido en los </w:t>
      </w:r>
      <w:r w:rsidRPr="000750A3">
        <w:rPr>
          <w:rFonts w:ascii="Abadi" w:hAnsi="Abadi"/>
          <w:i/>
          <w:sz w:val="21"/>
          <w:szCs w:val="21"/>
        </w:rPr>
        <w:t xml:space="preserve">los artículos </w:t>
      </w:r>
      <w:r w:rsidRPr="000750A3">
        <w:rPr>
          <w:rFonts w:ascii="Abadi" w:hAnsi="Abadi"/>
          <w:i/>
          <w:sz w:val="21"/>
          <w:szCs w:val="21"/>
          <w:lang w:val="es-MX"/>
        </w:rPr>
        <w:t xml:space="preserve">63, </w:t>
      </w:r>
      <w:r w:rsidRPr="000750A3">
        <w:rPr>
          <w:rFonts w:ascii="Abadi" w:hAnsi="Abadi"/>
          <w:i/>
          <w:sz w:val="21"/>
          <w:szCs w:val="21"/>
        </w:rPr>
        <w:t xml:space="preserve">fracciones XVI y XVII, y 77, fracción XVII, de la Constitución </w:t>
      </w:r>
      <w:r w:rsidRPr="000750A3">
        <w:rPr>
          <w:rFonts w:ascii="Abadi" w:hAnsi="Abadi"/>
          <w:i/>
          <w:sz w:val="21"/>
          <w:szCs w:val="21"/>
        </w:rPr>
        <w:t xml:space="preserve">Política para el Estado de Guanajuato; así como lo dispuesto por los artículos 7 fracción III, 8 fracciones III, IV y V, 29 fracción IX, 47, 48 y de la Ley del Patrimonio Inmobiliario del Estado de Guanajuato; </w:t>
      </w:r>
    </w:p>
    <w:p w14:paraId="31951ACF" w14:textId="77777777" w:rsidR="00C702D8" w:rsidRPr="000750A3" w:rsidRDefault="00C702D8" w:rsidP="000750A3">
      <w:pPr>
        <w:pStyle w:val="Prrafodelista"/>
        <w:suppressAutoHyphens/>
        <w:autoSpaceDE w:val="0"/>
        <w:autoSpaceDN w:val="0"/>
        <w:adjustRightInd w:val="0"/>
        <w:spacing w:after="200"/>
        <w:ind w:left="709"/>
        <w:contextualSpacing/>
        <w:jc w:val="both"/>
        <w:rPr>
          <w:rFonts w:ascii="Abadi" w:hAnsi="Abadi"/>
          <w:i/>
          <w:sz w:val="21"/>
          <w:szCs w:val="21"/>
        </w:rPr>
      </w:pPr>
    </w:p>
    <w:p w14:paraId="40323CCF" w14:textId="77777777" w:rsidR="00C702D8" w:rsidRPr="000750A3" w:rsidRDefault="00C702D8" w:rsidP="005B68E6">
      <w:pPr>
        <w:pStyle w:val="Prrafodelista"/>
        <w:numPr>
          <w:ilvl w:val="0"/>
          <w:numId w:val="34"/>
        </w:numPr>
        <w:suppressAutoHyphens/>
        <w:autoSpaceDE w:val="0"/>
        <w:autoSpaceDN w:val="0"/>
        <w:adjustRightInd w:val="0"/>
        <w:spacing w:after="200"/>
        <w:ind w:left="709" w:hanging="1"/>
        <w:contextualSpacing/>
        <w:jc w:val="both"/>
        <w:rPr>
          <w:rFonts w:ascii="Abadi" w:hAnsi="Abadi" w:cs="Arial"/>
          <w:i/>
          <w:sz w:val="21"/>
          <w:szCs w:val="21"/>
        </w:rPr>
      </w:pPr>
      <w:r w:rsidRPr="000750A3">
        <w:rPr>
          <w:rFonts w:ascii="Abadi" w:hAnsi="Abadi"/>
          <w:b/>
          <w:i/>
          <w:sz w:val="21"/>
          <w:szCs w:val="21"/>
        </w:rPr>
        <w:t>Impacto administrativo</w:t>
      </w:r>
      <w:r w:rsidRPr="000750A3">
        <w:rPr>
          <w:rFonts w:ascii="Abadi" w:hAnsi="Abadi"/>
          <w:i/>
          <w:sz w:val="21"/>
          <w:szCs w:val="21"/>
        </w:rPr>
        <w:t>: debido a los alcances y naturaleza de la Iniciativa que se propone, no se actualizan impactos de orden administrativo;</w:t>
      </w:r>
    </w:p>
    <w:p w14:paraId="6253A139" w14:textId="77777777" w:rsidR="00C702D8" w:rsidRPr="000750A3" w:rsidRDefault="00C702D8" w:rsidP="000750A3">
      <w:pPr>
        <w:pStyle w:val="Prrafodelista"/>
        <w:jc w:val="both"/>
        <w:rPr>
          <w:rFonts w:ascii="Abadi" w:hAnsi="Abadi" w:cs="Arial"/>
          <w:i/>
          <w:sz w:val="21"/>
          <w:szCs w:val="21"/>
        </w:rPr>
      </w:pPr>
    </w:p>
    <w:p w14:paraId="3D5CE13F" w14:textId="77777777" w:rsidR="00C702D8" w:rsidRPr="000750A3" w:rsidRDefault="00C702D8" w:rsidP="005B68E6">
      <w:pPr>
        <w:pStyle w:val="Prrafodelista"/>
        <w:numPr>
          <w:ilvl w:val="0"/>
          <w:numId w:val="34"/>
        </w:numPr>
        <w:suppressAutoHyphens/>
        <w:autoSpaceDE w:val="0"/>
        <w:autoSpaceDN w:val="0"/>
        <w:adjustRightInd w:val="0"/>
        <w:spacing w:after="200"/>
        <w:ind w:left="709" w:hanging="1"/>
        <w:contextualSpacing/>
        <w:jc w:val="both"/>
        <w:rPr>
          <w:rFonts w:ascii="Abadi" w:hAnsi="Abadi" w:cs="Arial"/>
          <w:i/>
          <w:sz w:val="21"/>
          <w:szCs w:val="21"/>
        </w:rPr>
      </w:pPr>
      <w:r w:rsidRPr="000750A3">
        <w:rPr>
          <w:rFonts w:ascii="Abadi" w:hAnsi="Abadi"/>
          <w:b/>
          <w:i/>
          <w:sz w:val="21"/>
          <w:szCs w:val="21"/>
        </w:rPr>
        <w:t>Impacto presupuestario</w:t>
      </w:r>
      <w:r w:rsidRPr="000750A3">
        <w:rPr>
          <w:rFonts w:ascii="Abadi" w:hAnsi="Abadi"/>
          <w:i/>
          <w:sz w:val="21"/>
          <w:szCs w:val="21"/>
        </w:rPr>
        <w:t xml:space="preserve">: no existe; y </w:t>
      </w:r>
    </w:p>
    <w:p w14:paraId="2F3A0A0D" w14:textId="77777777" w:rsidR="00C702D8" w:rsidRPr="000750A3" w:rsidRDefault="00C702D8" w:rsidP="000750A3">
      <w:pPr>
        <w:pStyle w:val="Prrafodelista"/>
        <w:jc w:val="both"/>
        <w:rPr>
          <w:rFonts w:ascii="Abadi" w:hAnsi="Abadi" w:cs="Arial"/>
          <w:i/>
          <w:sz w:val="21"/>
          <w:szCs w:val="21"/>
        </w:rPr>
      </w:pPr>
    </w:p>
    <w:p w14:paraId="60A0583B" w14:textId="77777777" w:rsidR="00C702D8" w:rsidRPr="000750A3" w:rsidRDefault="00C702D8" w:rsidP="000750A3">
      <w:pPr>
        <w:pStyle w:val="Prrafodelista"/>
        <w:suppressAutoHyphens/>
        <w:autoSpaceDE w:val="0"/>
        <w:autoSpaceDN w:val="0"/>
        <w:adjustRightInd w:val="0"/>
        <w:spacing w:after="200"/>
        <w:ind w:left="709"/>
        <w:contextualSpacing/>
        <w:jc w:val="both"/>
        <w:rPr>
          <w:rFonts w:ascii="Abadi" w:hAnsi="Abadi" w:cs="Arial"/>
          <w:i/>
          <w:sz w:val="21"/>
          <w:szCs w:val="21"/>
        </w:rPr>
      </w:pPr>
    </w:p>
    <w:p w14:paraId="0265C287" w14:textId="77777777" w:rsidR="00C702D8" w:rsidRPr="000750A3" w:rsidRDefault="00C702D8" w:rsidP="005B68E6">
      <w:pPr>
        <w:pStyle w:val="Prrafodelista"/>
        <w:numPr>
          <w:ilvl w:val="0"/>
          <w:numId w:val="34"/>
        </w:numPr>
        <w:suppressAutoHyphens/>
        <w:autoSpaceDE w:val="0"/>
        <w:autoSpaceDN w:val="0"/>
        <w:adjustRightInd w:val="0"/>
        <w:spacing w:after="200"/>
        <w:ind w:left="709" w:hanging="1"/>
        <w:contextualSpacing/>
        <w:jc w:val="both"/>
        <w:rPr>
          <w:rFonts w:ascii="Abadi" w:hAnsi="Abadi"/>
          <w:i/>
          <w:iCs/>
          <w:sz w:val="21"/>
          <w:szCs w:val="21"/>
        </w:rPr>
      </w:pPr>
      <w:r w:rsidRPr="000750A3">
        <w:rPr>
          <w:rFonts w:ascii="Abadi" w:hAnsi="Abadi"/>
          <w:b/>
          <w:i/>
          <w:sz w:val="21"/>
          <w:szCs w:val="21"/>
        </w:rPr>
        <w:t>Impacto social</w:t>
      </w:r>
      <w:r w:rsidRPr="000750A3">
        <w:rPr>
          <w:rFonts w:ascii="Abadi" w:hAnsi="Abadi"/>
          <w:i/>
          <w:sz w:val="21"/>
          <w:szCs w:val="21"/>
        </w:rPr>
        <w:t xml:space="preserve">: con </w:t>
      </w:r>
      <w:r w:rsidRPr="000750A3">
        <w:rPr>
          <w:rFonts w:ascii="Abadi" w:eastAsia="Calibri" w:hAnsi="Abadi" w:cs="Arial"/>
          <w:i/>
          <w:sz w:val="21"/>
          <w:szCs w:val="21"/>
        </w:rPr>
        <w:t xml:space="preserve">la </w:t>
      </w:r>
      <w:r w:rsidRPr="000750A3">
        <w:rPr>
          <w:rFonts w:ascii="Abadi" w:hAnsi="Abadi" w:cs="Arial"/>
          <w:i/>
          <w:sz w:val="21"/>
          <w:szCs w:val="21"/>
        </w:rPr>
        <w:t>construcción de las instalaciones del Centro Estatal de Capacitación y Certificación de Bomberos, así como de un hangar para el helicóptero del Sistema de Urgencias del Estado, se coadyuvará con el adecuado desarrollo de la agrupación, así como en la mejora en la prestación del servicio que presta, en beneficio de la sociedad guanajuatense.</w:t>
      </w:r>
      <w:r w:rsidRPr="000750A3">
        <w:rPr>
          <w:rFonts w:ascii="Abadi" w:hAnsi="Abadi" w:cs="Arial"/>
          <w:i/>
          <w:iCs/>
          <w:sz w:val="21"/>
          <w:szCs w:val="21"/>
        </w:rPr>
        <w:t>»</w:t>
      </w:r>
    </w:p>
    <w:p w14:paraId="14E46886" w14:textId="77777777" w:rsidR="00C702D8" w:rsidRPr="000750A3" w:rsidRDefault="00C702D8" w:rsidP="000750A3">
      <w:pPr>
        <w:ind w:left="709"/>
        <w:jc w:val="both"/>
        <w:rPr>
          <w:rFonts w:ascii="Abadi" w:hAnsi="Abadi" w:cs="Arial"/>
          <w:i/>
          <w:sz w:val="21"/>
          <w:szCs w:val="21"/>
        </w:rPr>
      </w:pPr>
    </w:p>
    <w:p w14:paraId="198A87FE" w14:textId="77777777" w:rsidR="00C702D8" w:rsidRPr="000750A3" w:rsidRDefault="00C702D8" w:rsidP="000750A3">
      <w:pPr>
        <w:pStyle w:val="Textoindependiente2"/>
        <w:spacing w:line="240" w:lineRule="auto"/>
        <w:ind w:firstLine="708"/>
        <w:rPr>
          <w:rFonts w:ascii="Abadi" w:hAnsi="Abadi"/>
          <w:sz w:val="21"/>
          <w:szCs w:val="21"/>
          <w:lang w:val="es-MX"/>
        </w:rPr>
      </w:pPr>
      <w:r w:rsidRPr="000750A3">
        <w:rPr>
          <w:rFonts w:ascii="Abadi" w:hAnsi="Abadi"/>
          <w:sz w:val="21"/>
          <w:szCs w:val="21"/>
          <w:lang w:val="es-MX"/>
        </w:rPr>
        <w:t>Al respecto, cabe señalar que el artículo 29, fracción IX de la Ley del Patrimonio Inmobiliario del Estado de Guanajuato señala que la donación de los bienes inmuebles de dominio privado del Estado podrá realizarse en favor asociaciones o instituciones privadas que realicen actividades de interés social, o bien, cuando requieran el bien inmueble para la realización de actividades que propicien el desarrollo del Estado.</w:t>
      </w:r>
    </w:p>
    <w:p w14:paraId="728FE54D" w14:textId="77777777" w:rsidR="00C702D8" w:rsidRPr="000750A3" w:rsidRDefault="00C702D8" w:rsidP="000750A3">
      <w:pPr>
        <w:ind w:firstLine="708"/>
        <w:jc w:val="both"/>
        <w:rPr>
          <w:rFonts w:ascii="Abadi" w:hAnsi="Abadi" w:cs="Arial"/>
          <w:sz w:val="21"/>
          <w:szCs w:val="21"/>
          <w:lang w:val="es-MX"/>
        </w:rPr>
      </w:pPr>
    </w:p>
    <w:p w14:paraId="155CA67F" w14:textId="77777777" w:rsidR="00C702D8" w:rsidRPr="00214A66" w:rsidRDefault="00C702D8" w:rsidP="00C702D8">
      <w:pPr>
        <w:ind w:firstLine="708"/>
        <w:jc w:val="both"/>
        <w:rPr>
          <w:rFonts w:ascii="Abadi" w:hAnsi="Abadi" w:cs="Arial"/>
          <w:sz w:val="21"/>
          <w:szCs w:val="21"/>
          <w:lang w:val="es-MX"/>
        </w:rPr>
      </w:pPr>
      <w:r w:rsidRPr="00214A66">
        <w:rPr>
          <w:rFonts w:ascii="Abadi" w:hAnsi="Abadi" w:cs="Arial"/>
          <w:sz w:val="21"/>
          <w:szCs w:val="21"/>
          <w:lang w:val="es-MX"/>
        </w:rPr>
        <w:t xml:space="preserve">En atención a los argumentos antes señalados, las diputadas y los diputados integrantes de esta Comisión determinamos procedente autorizar la donación que se solicita, considerando que se cumplen los requisitos establecidos en la normatividad aplicable. De igual manera, debemos señalar que con la donación que se propone se apoyará a una asociación civil que tiene dentro de su objeto prevenir y proteger de toda clase de incendios, explosivos, inundaciones, catástrofes y fenómenos naturales o derivados de acciones de seres humanos que pongan en peligro la vida o los bienes de los habitantes </w:t>
      </w:r>
      <w:r w:rsidRPr="00214A66">
        <w:rPr>
          <w:rFonts w:ascii="Abadi" w:hAnsi="Abadi" w:cs="Arial"/>
          <w:sz w:val="21"/>
          <w:szCs w:val="21"/>
          <w:lang w:val="es-MX"/>
        </w:rPr>
        <w:lastRenderedPageBreak/>
        <w:t>del Estado de Guanajuato. Es decir, sus actividades son de interés social.</w:t>
      </w:r>
    </w:p>
    <w:p w14:paraId="1E6C22CA" w14:textId="77777777" w:rsidR="00C702D8" w:rsidRPr="00214A66" w:rsidRDefault="00C702D8" w:rsidP="00C702D8">
      <w:pPr>
        <w:ind w:firstLine="708"/>
        <w:jc w:val="both"/>
        <w:rPr>
          <w:rFonts w:ascii="Abadi" w:hAnsi="Abadi" w:cs="Arial"/>
          <w:sz w:val="21"/>
          <w:szCs w:val="21"/>
          <w:lang w:val="es-MX"/>
        </w:rPr>
      </w:pPr>
    </w:p>
    <w:p w14:paraId="357F7241" w14:textId="77777777" w:rsidR="00C702D8" w:rsidRPr="00214A66" w:rsidRDefault="00C702D8" w:rsidP="00C702D8">
      <w:pPr>
        <w:ind w:firstLine="708"/>
        <w:jc w:val="both"/>
        <w:rPr>
          <w:rFonts w:ascii="Abadi" w:hAnsi="Abadi" w:cs="Arial"/>
          <w:sz w:val="21"/>
          <w:szCs w:val="21"/>
          <w:lang w:val="es-MX"/>
        </w:rPr>
      </w:pPr>
      <w:r w:rsidRPr="00214A66">
        <w:rPr>
          <w:rFonts w:ascii="Abadi" w:hAnsi="Abadi" w:cs="Arial"/>
          <w:sz w:val="21"/>
          <w:szCs w:val="21"/>
          <w:lang w:val="es-MX"/>
        </w:rPr>
        <w:t>Por otra parte, es preciso señalar que las fracciones de los bienes inmuebles que se pretenden donar pertenecen al dominio público del Estado, de conformidad con lo establecido por los artículos 15, 16, fracción I, 18 y 19, fracción II de la Ley del Patrimonio Inmobiliario del Estado de Guanajuato, en virtud de lo cual, para estar en posibilidad de transmitir la propiedad de las mismas, se requiere previamente decretar su desafectación.</w:t>
      </w:r>
    </w:p>
    <w:p w14:paraId="754EFD67" w14:textId="77777777" w:rsidR="00C702D8" w:rsidRPr="00214A66" w:rsidRDefault="00C702D8" w:rsidP="00C702D8">
      <w:pPr>
        <w:ind w:firstLine="708"/>
        <w:jc w:val="both"/>
        <w:rPr>
          <w:rFonts w:ascii="Abadi" w:hAnsi="Abadi"/>
          <w:b/>
          <w:bCs/>
          <w:sz w:val="21"/>
          <w:szCs w:val="21"/>
        </w:rPr>
      </w:pPr>
    </w:p>
    <w:p w14:paraId="725C57CB" w14:textId="77777777" w:rsidR="00C702D8" w:rsidRPr="00214A66" w:rsidRDefault="00C702D8" w:rsidP="00C702D8">
      <w:pPr>
        <w:tabs>
          <w:tab w:val="left" w:pos="7380"/>
        </w:tabs>
        <w:ind w:firstLine="708"/>
        <w:jc w:val="both"/>
        <w:rPr>
          <w:rFonts w:ascii="Abadi" w:hAnsi="Abadi"/>
          <w:sz w:val="21"/>
          <w:szCs w:val="21"/>
        </w:rPr>
      </w:pPr>
      <w:r w:rsidRPr="00214A66">
        <w:rPr>
          <w:rFonts w:ascii="Abadi" w:hAnsi="Abadi" w:cs="Arial"/>
          <w:sz w:val="21"/>
          <w:szCs w:val="21"/>
          <w:lang w:val="es-MX" w:eastAsia="en-US"/>
        </w:rPr>
        <w:t>Para garantizar que se cumplan las condiciones de la donación y en cumplimiento a lo previsto por el artículo 50 de la Ley del Patrimonio Inmobiliario del Estado se incorporó como causal de reversión la extinción, disolución o fusión de la asociación civil donataria.</w:t>
      </w:r>
    </w:p>
    <w:p w14:paraId="5BA0FEDB" w14:textId="77777777" w:rsidR="00C702D8" w:rsidRPr="00214A66" w:rsidRDefault="00C702D8" w:rsidP="00C702D8">
      <w:pPr>
        <w:tabs>
          <w:tab w:val="left" w:pos="7380"/>
        </w:tabs>
        <w:ind w:firstLine="708"/>
        <w:jc w:val="both"/>
        <w:rPr>
          <w:rFonts w:ascii="Abadi" w:hAnsi="Abadi" w:cs="Arial"/>
          <w:sz w:val="21"/>
          <w:szCs w:val="21"/>
          <w:lang w:val="es-MX" w:eastAsia="en-US"/>
        </w:rPr>
      </w:pPr>
    </w:p>
    <w:p w14:paraId="4A5DF7FE" w14:textId="77777777" w:rsidR="00C702D8" w:rsidRPr="00214A66" w:rsidRDefault="00C702D8" w:rsidP="00C702D8">
      <w:pPr>
        <w:tabs>
          <w:tab w:val="left" w:pos="7380"/>
        </w:tabs>
        <w:ind w:firstLine="708"/>
        <w:jc w:val="both"/>
        <w:rPr>
          <w:rFonts w:ascii="Abadi" w:hAnsi="Abadi"/>
          <w:bCs/>
          <w:sz w:val="21"/>
          <w:szCs w:val="21"/>
        </w:rPr>
      </w:pPr>
      <w:r w:rsidRPr="00214A66">
        <w:rPr>
          <w:rFonts w:ascii="Abadi" w:hAnsi="Abadi"/>
          <w:bCs/>
          <w:sz w:val="21"/>
          <w:szCs w:val="21"/>
        </w:rPr>
        <w:t xml:space="preserve">Finalmente, es de destacar que el cumplimiento de los Objetivos del Desarrollo Sostenible de la Agenda 2030 está presente en el dictamen puesto a su consideración, pues el mismo incide en los objetivos 3 Salud y Bienestar, 13 Acción por el Clima y 15 Vida de Ecosistemas Terrestres. Lo anterior, en atención a que los bienes inmuebles cuya donación se autoriza se destinarán a instalaciones en la cuales se impartan programas de capacitación de personal que integra los servicios de protección civil en el Estado y que auxilia a la población en todo tipo de </w:t>
      </w:r>
      <w:r w:rsidRPr="00214A66">
        <w:rPr>
          <w:rFonts w:ascii="Abadi" w:hAnsi="Abadi" w:cs="Arial"/>
          <w:sz w:val="21"/>
          <w:szCs w:val="21"/>
          <w:lang w:val="es-MX"/>
        </w:rPr>
        <w:t xml:space="preserve">catástrofes y fenómenos naturales o derivados de acciones de seres humanos; y promueve además acciones en cuidado del medio ambiente; así como a </w:t>
      </w:r>
      <w:r w:rsidRPr="00214A66">
        <w:rPr>
          <w:rFonts w:ascii="Abadi" w:hAnsi="Abadi" w:cs="Arial"/>
          <w:bCs/>
          <w:sz w:val="21"/>
          <w:szCs w:val="21"/>
        </w:rPr>
        <w:t>un hangar para el helicóptero del Sistema de Urgencias del Estado, que auxiliará en el traslado de pacientes, coadyuvando con ello a la prestación del servicio de salud</w:t>
      </w:r>
      <w:r w:rsidRPr="00214A66">
        <w:rPr>
          <w:rFonts w:ascii="Abadi" w:hAnsi="Abadi"/>
          <w:bCs/>
          <w:sz w:val="21"/>
          <w:szCs w:val="21"/>
        </w:rPr>
        <w:t>.</w:t>
      </w:r>
    </w:p>
    <w:p w14:paraId="11FF9C59" w14:textId="77777777" w:rsidR="00C702D8" w:rsidRPr="00214A66" w:rsidRDefault="00C702D8" w:rsidP="00C702D8">
      <w:pPr>
        <w:tabs>
          <w:tab w:val="left" w:pos="7380"/>
        </w:tabs>
        <w:ind w:firstLine="708"/>
        <w:jc w:val="both"/>
        <w:rPr>
          <w:rFonts w:ascii="Abadi" w:hAnsi="Abadi"/>
          <w:bCs/>
          <w:sz w:val="21"/>
          <w:szCs w:val="21"/>
        </w:rPr>
      </w:pPr>
    </w:p>
    <w:p w14:paraId="161DCA57" w14:textId="77777777" w:rsidR="00C702D8" w:rsidRPr="00214A66" w:rsidRDefault="00C702D8" w:rsidP="00C702D8">
      <w:pPr>
        <w:ind w:firstLine="708"/>
        <w:jc w:val="both"/>
        <w:rPr>
          <w:rFonts w:ascii="Abadi" w:hAnsi="Abadi"/>
          <w:sz w:val="21"/>
          <w:szCs w:val="21"/>
          <w:lang w:val="es-MX"/>
        </w:rPr>
      </w:pPr>
      <w:r w:rsidRPr="00214A66">
        <w:rPr>
          <w:rFonts w:ascii="Abadi" w:hAnsi="Abadi"/>
          <w:sz w:val="21"/>
          <w:szCs w:val="21"/>
          <w:lang w:val="es-MX"/>
        </w:rPr>
        <w:t xml:space="preserve">Por lo expuesto y con fundamento en los artículos 63 fracciones XVI y XVII de la Constitución Política Local, </w:t>
      </w:r>
      <w:r w:rsidRPr="00214A66">
        <w:rPr>
          <w:rFonts w:ascii="Abadi" w:hAnsi="Abadi" w:cs="Arial"/>
          <w:sz w:val="21"/>
          <w:szCs w:val="21"/>
          <w:lang w:val="es-MX"/>
        </w:rPr>
        <w:t>8 fracci</w:t>
      </w:r>
      <w:r w:rsidRPr="00214A66">
        <w:rPr>
          <w:rFonts w:ascii="Abadi" w:hAnsi="Abadi"/>
          <w:sz w:val="21"/>
          <w:szCs w:val="21"/>
          <w:lang w:val="es-MX"/>
        </w:rPr>
        <w:t xml:space="preserve">ones II, IV y V y 29, fracción IX de la Ley del Patrimonio Inmobiliario del Estado de Guanajuato, así como 204 de </w:t>
      </w:r>
      <w:smartTag w:uri="urn:schemas-microsoft-com:office:smarttags" w:element="PersonName">
        <w:smartTagPr>
          <w:attr w:name="ProductID" w:val="la Secretaria"/>
        </w:smartTagPr>
        <w:r w:rsidRPr="00214A66">
          <w:rPr>
            <w:rFonts w:ascii="Abadi" w:hAnsi="Abadi"/>
            <w:sz w:val="21"/>
            <w:szCs w:val="21"/>
            <w:lang w:val="es-MX"/>
          </w:rPr>
          <w:t>la Ley Orgánica</w:t>
        </w:r>
      </w:smartTag>
      <w:r w:rsidRPr="00214A66">
        <w:rPr>
          <w:rFonts w:ascii="Abadi" w:hAnsi="Abadi"/>
          <w:sz w:val="21"/>
          <w:szCs w:val="21"/>
          <w:lang w:val="es-MX"/>
        </w:rPr>
        <w:t xml:space="preserve"> del Poder Legislativo del Estado de Guanajuato, nos permitimos someter a la consideración de la Asamblea la aprobación del siguiente proyecto de:</w:t>
      </w:r>
    </w:p>
    <w:p w14:paraId="0FE83470" w14:textId="77777777" w:rsidR="00C702D8" w:rsidRPr="00214A66" w:rsidRDefault="00C702D8" w:rsidP="00C702D8">
      <w:pPr>
        <w:pStyle w:val="Textoindependiente"/>
        <w:jc w:val="center"/>
        <w:rPr>
          <w:rFonts w:ascii="Abadi" w:hAnsi="Abadi"/>
          <w:b w:val="0"/>
          <w:bCs w:val="0"/>
          <w:sz w:val="21"/>
          <w:szCs w:val="21"/>
        </w:rPr>
      </w:pPr>
    </w:p>
    <w:p w14:paraId="5A307571" w14:textId="77777777" w:rsidR="00C702D8" w:rsidRPr="000750A3" w:rsidRDefault="00C702D8" w:rsidP="00C702D8">
      <w:pPr>
        <w:pStyle w:val="Textoindependiente"/>
        <w:jc w:val="center"/>
        <w:rPr>
          <w:rFonts w:ascii="Abadi" w:hAnsi="Abadi"/>
          <w:sz w:val="21"/>
          <w:szCs w:val="21"/>
        </w:rPr>
      </w:pPr>
      <w:r w:rsidRPr="000750A3">
        <w:rPr>
          <w:rFonts w:ascii="Abadi" w:hAnsi="Abadi"/>
          <w:sz w:val="21"/>
          <w:szCs w:val="21"/>
        </w:rPr>
        <w:t>D e c r e t o</w:t>
      </w:r>
    </w:p>
    <w:p w14:paraId="10165834" w14:textId="77777777" w:rsidR="00C702D8" w:rsidRPr="00214A66" w:rsidRDefault="00C702D8" w:rsidP="00C702D8">
      <w:pPr>
        <w:jc w:val="right"/>
        <w:rPr>
          <w:rFonts w:ascii="Abadi" w:hAnsi="Abadi" w:cs="Arial"/>
          <w:b/>
          <w:i/>
          <w:sz w:val="21"/>
          <w:szCs w:val="21"/>
        </w:rPr>
      </w:pPr>
    </w:p>
    <w:p w14:paraId="444288CC" w14:textId="77777777" w:rsidR="00C702D8" w:rsidRPr="00214A66" w:rsidRDefault="00C702D8" w:rsidP="00C702D8">
      <w:pPr>
        <w:jc w:val="right"/>
        <w:rPr>
          <w:rFonts w:ascii="Abadi" w:hAnsi="Abadi" w:cs="Arial"/>
          <w:b/>
          <w:i/>
          <w:sz w:val="21"/>
          <w:szCs w:val="21"/>
          <w:lang w:val="es-ES_tradnl"/>
        </w:rPr>
      </w:pPr>
      <w:r w:rsidRPr="00214A66">
        <w:rPr>
          <w:rFonts w:ascii="Abadi" w:hAnsi="Abadi" w:cs="Arial"/>
          <w:b/>
          <w:i/>
          <w:sz w:val="21"/>
          <w:szCs w:val="21"/>
        </w:rPr>
        <w:t>Desafectación del dominio público del Estado</w:t>
      </w:r>
    </w:p>
    <w:p w14:paraId="4786E602" w14:textId="77777777" w:rsidR="00C702D8" w:rsidRPr="00214A66" w:rsidRDefault="00C702D8" w:rsidP="00C702D8">
      <w:pPr>
        <w:autoSpaceDE w:val="0"/>
        <w:autoSpaceDN w:val="0"/>
        <w:adjustRightInd w:val="0"/>
        <w:ind w:firstLine="708"/>
        <w:jc w:val="both"/>
        <w:rPr>
          <w:rFonts w:ascii="Abadi" w:hAnsi="Abadi" w:cs="Arial"/>
          <w:sz w:val="21"/>
          <w:szCs w:val="21"/>
        </w:rPr>
      </w:pPr>
      <w:r w:rsidRPr="00214A66">
        <w:rPr>
          <w:rFonts w:ascii="Abadi" w:hAnsi="Abadi" w:cs="Arial"/>
          <w:b/>
          <w:bCs/>
          <w:sz w:val="21"/>
          <w:szCs w:val="21"/>
        </w:rPr>
        <w:t xml:space="preserve">Artículo Primero. </w:t>
      </w:r>
      <w:r w:rsidRPr="00214A66">
        <w:rPr>
          <w:rFonts w:ascii="Abadi" w:hAnsi="Abadi" w:cs="Arial"/>
          <w:sz w:val="21"/>
          <w:szCs w:val="21"/>
        </w:rPr>
        <w:t xml:space="preserve">Se desafectan del dominio público del Estado tres fracciones de los bienes inmuebles ubicados en el Ejido </w:t>
      </w:r>
      <w:r w:rsidRPr="00214A66">
        <w:rPr>
          <w:rFonts w:ascii="Abadi" w:hAnsi="Abadi" w:cs="Arial"/>
          <w:i/>
          <w:iCs/>
          <w:sz w:val="21"/>
          <w:szCs w:val="21"/>
        </w:rPr>
        <w:t>El Capulín</w:t>
      </w:r>
      <w:r w:rsidRPr="00214A66">
        <w:rPr>
          <w:rFonts w:ascii="Abadi" w:hAnsi="Abadi" w:cs="Arial"/>
          <w:sz w:val="21"/>
          <w:szCs w:val="21"/>
        </w:rPr>
        <w:t xml:space="preserve"> del municipio de Silao de la Victoria, </w:t>
      </w:r>
      <w:proofErr w:type="spellStart"/>
      <w:r w:rsidRPr="00214A66">
        <w:rPr>
          <w:rFonts w:ascii="Abadi" w:hAnsi="Abadi" w:cs="Arial"/>
          <w:sz w:val="21"/>
          <w:szCs w:val="21"/>
        </w:rPr>
        <w:t>Gto</w:t>
      </w:r>
      <w:proofErr w:type="spellEnd"/>
      <w:r w:rsidRPr="00214A66">
        <w:rPr>
          <w:rFonts w:ascii="Abadi" w:hAnsi="Abadi" w:cs="Arial"/>
          <w:sz w:val="21"/>
          <w:szCs w:val="21"/>
        </w:rPr>
        <w:t>., las cuales se describen a continuación:</w:t>
      </w:r>
    </w:p>
    <w:p w14:paraId="1D32A3C9" w14:textId="77777777" w:rsidR="00C702D8" w:rsidRPr="00214A66" w:rsidRDefault="00C702D8" w:rsidP="00C702D8">
      <w:pPr>
        <w:autoSpaceDE w:val="0"/>
        <w:autoSpaceDN w:val="0"/>
        <w:adjustRightInd w:val="0"/>
        <w:ind w:firstLine="708"/>
        <w:jc w:val="both"/>
        <w:rPr>
          <w:rFonts w:ascii="Abadi" w:hAnsi="Abadi" w:cs="Arial"/>
          <w:sz w:val="21"/>
          <w:szCs w:val="21"/>
        </w:rPr>
      </w:pPr>
    </w:p>
    <w:p w14:paraId="3AC20D51" w14:textId="77777777" w:rsidR="00C702D8" w:rsidRPr="00214A66" w:rsidRDefault="00C702D8" w:rsidP="005B68E6">
      <w:pPr>
        <w:pStyle w:val="Prrafodelista"/>
        <w:numPr>
          <w:ilvl w:val="0"/>
          <w:numId w:val="32"/>
        </w:numPr>
        <w:suppressAutoHyphens/>
        <w:contextualSpacing/>
        <w:jc w:val="both"/>
        <w:rPr>
          <w:rFonts w:ascii="Abadi" w:hAnsi="Abadi" w:cs="Tahoma"/>
          <w:bCs/>
          <w:sz w:val="21"/>
          <w:szCs w:val="21"/>
        </w:rPr>
      </w:pPr>
      <w:r w:rsidRPr="00214A66">
        <w:rPr>
          <w:rFonts w:ascii="Abadi" w:hAnsi="Abadi" w:cs="Tahoma"/>
          <w:bCs/>
          <w:sz w:val="21"/>
          <w:szCs w:val="21"/>
        </w:rPr>
        <w:t xml:space="preserve">Fracción con una superficie de 10,013.02 m² diez mil trece punto cero dos metros cuadrados de la parcela de dominio pleno número 109 Z5 P-1/1, con las siguientes medidas y colindancias: </w:t>
      </w:r>
      <w:r w:rsidRPr="00214A66">
        <w:rPr>
          <w:rFonts w:ascii="Abadi" w:hAnsi="Abadi" w:cs="Tahoma"/>
          <w:bCs/>
          <w:iCs/>
          <w:sz w:val="21"/>
          <w:szCs w:val="21"/>
        </w:rPr>
        <w:t>Al norte,</w:t>
      </w:r>
      <w:r w:rsidRPr="00214A66">
        <w:rPr>
          <w:rFonts w:ascii="Abadi" w:hAnsi="Abadi" w:cs="Tahoma"/>
          <w:bCs/>
          <w:sz w:val="21"/>
          <w:szCs w:val="21"/>
        </w:rPr>
        <w:t xml:space="preserve"> en una línea con dirección al nororiente de 29.52 veintinueve punto cincuenta y dos metros con Gobierno del Estado y división «1» de por medio; </w:t>
      </w:r>
      <w:r w:rsidRPr="00214A66">
        <w:rPr>
          <w:rFonts w:ascii="Abadi" w:hAnsi="Abadi" w:cs="Tahoma"/>
          <w:bCs/>
          <w:iCs/>
          <w:sz w:val="21"/>
          <w:szCs w:val="21"/>
        </w:rPr>
        <w:t>al oriente,</w:t>
      </w:r>
      <w:r w:rsidRPr="00214A66">
        <w:rPr>
          <w:rFonts w:ascii="Abadi" w:hAnsi="Abadi" w:cs="Tahoma"/>
          <w:bCs/>
          <w:sz w:val="21"/>
          <w:szCs w:val="21"/>
        </w:rPr>
        <w:t xml:space="preserve"> en una línea con dirección al suroriente de 101.84 ciento uno punto ochenta y cuatro metros con resto del predio de Gobierno del Estado; </w:t>
      </w:r>
      <w:r w:rsidRPr="00214A66">
        <w:rPr>
          <w:rFonts w:ascii="Abadi" w:hAnsi="Abadi" w:cs="Tahoma"/>
          <w:bCs/>
          <w:iCs/>
          <w:sz w:val="21"/>
          <w:szCs w:val="21"/>
        </w:rPr>
        <w:t xml:space="preserve">al sur, </w:t>
      </w:r>
      <w:r w:rsidRPr="00214A66">
        <w:rPr>
          <w:rFonts w:ascii="Abadi" w:hAnsi="Abadi" w:cs="Tahoma"/>
          <w:bCs/>
          <w:sz w:val="21"/>
          <w:szCs w:val="21"/>
        </w:rPr>
        <w:t xml:space="preserve">en línea quebrada de dos tramos con dirección al </w:t>
      </w:r>
      <w:proofErr w:type="spellStart"/>
      <w:r w:rsidRPr="00214A66">
        <w:rPr>
          <w:rFonts w:ascii="Abadi" w:hAnsi="Abadi" w:cs="Tahoma"/>
          <w:bCs/>
          <w:sz w:val="21"/>
          <w:szCs w:val="21"/>
        </w:rPr>
        <w:t>surponiente</w:t>
      </w:r>
      <w:proofErr w:type="spellEnd"/>
      <w:r w:rsidRPr="00214A66">
        <w:rPr>
          <w:rFonts w:ascii="Abadi" w:hAnsi="Abadi" w:cs="Tahoma"/>
          <w:bCs/>
          <w:sz w:val="21"/>
          <w:szCs w:val="21"/>
        </w:rPr>
        <w:t xml:space="preserve">, el primero de 147.73 ciento cuarenta y siete punto setenta y tres metros y el segundo de 11.25 once punto veinticinco metros con propiedad privada; y </w:t>
      </w:r>
      <w:r w:rsidRPr="00214A66">
        <w:rPr>
          <w:rFonts w:ascii="Abadi" w:hAnsi="Abadi" w:cs="Tahoma"/>
          <w:bCs/>
          <w:iCs/>
          <w:sz w:val="21"/>
          <w:szCs w:val="21"/>
        </w:rPr>
        <w:t>al poniente,</w:t>
      </w:r>
      <w:r w:rsidRPr="00214A66">
        <w:rPr>
          <w:rFonts w:ascii="Abadi" w:hAnsi="Abadi" w:cs="Tahoma"/>
          <w:bCs/>
          <w:sz w:val="21"/>
          <w:szCs w:val="21"/>
        </w:rPr>
        <w:t xml:space="preserve"> en una línea quebrada de tres tramos con dirección al norponiente, el primero de 19.35 diecinueve punto treinta y cinco metros con carretera Silao–Guanajuato, el segundo con dirección al nororiente de 83.12 ochenta y tres punto doce metros con propiedad privada y el tercero con dirección al nororiente de 49.66 cuarenta y nueve punto sesenta y seis metros con Gobierno del Estado y división «3» de por medio; </w:t>
      </w:r>
    </w:p>
    <w:p w14:paraId="4185B837" w14:textId="77777777" w:rsidR="00C702D8" w:rsidRPr="00214A66" w:rsidRDefault="00C702D8" w:rsidP="00C702D8">
      <w:pPr>
        <w:pStyle w:val="Prrafodelista"/>
        <w:suppressAutoHyphens/>
        <w:ind w:left="720"/>
        <w:contextualSpacing/>
        <w:jc w:val="both"/>
        <w:rPr>
          <w:rFonts w:ascii="Abadi" w:hAnsi="Abadi" w:cs="Tahoma"/>
          <w:bCs/>
          <w:sz w:val="21"/>
          <w:szCs w:val="21"/>
        </w:rPr>
      </w:pPr>
    </w:p>
    <w:p w14:paraId="41F8DD03" w14:textId="77777777" w:rsidR="00C702D8" w:rsidRPr="00214A66" w:rsidRDefault="00C702D8" w:rsidP="005B68E6">
      <w:pPr>
        <w:pStyle w:val="Prrafodelista"/>
        <w:numPr>
          <w:ilvl w:val="0"/>
          <w:numId w:val="32"/>
        </w:numPr>
        <w:suppressAutoHyphens/>
        <w:contextualSpacing/>
        <w:jc w:val="both"/>
        <w:rPr>
          <w:rFonts w:ascii="Abadi" w:hAnsi="Abadi" w:cs="Tahoma"/>
          <w:bCs/>
          <w:sz w:val="21"/>
          <w:szCs w:val="21"/>
        </w:rPr>
      </w:pPr>
      <w:r w:rsidRPr="00214A66">
        <w:rPr>
          <w:rFonts w:ascii="Abadi" w:hAnsi="Abadi" w:cs="Tahoma"/>
          <w:bCs/>
          <w:sz w:val="21"/>
          <w:szCs w:val="21"/>
        </w:rPr>
        <w:t xml:space="preserve">Fracción con una superficie de 598.13 m² quinientos noventa y ocho punto trece metros cuadrados de la parcela número 70 Z5 P-1/1, con las siguientes medidas y colindancias: Al norte, en línea quebrada de dos tramos, con dirección al nororiente, el primero de 18.80 dieciocho punto ochenta metros y el segundo de 11.14 once punto catorce metros con resto del predio de Gobierno del Estado; al oriente, en una línea con dirección al suroriente de 31.18 </w:t>
      </w:r>
      <w:r w:rsidRPr="00214A66">
        <w:rPr>
          <w:rFonts w:ascii="Abadi" w:hAnsi="Abadi" w:cs="Tahoma"/>
          <w:bCs/>
          <w:sz w:val="21"/>
          <w:szCs w:val="21"/>
        </w:rPr>
        <w:lastRenderedPageBreak/>
        <w:t xml:space="preserve">treinta y uno punto dieciocho metros con resto del predio de Gobierno del Estado; al sur, en una línea con dirección al </w:t>
      </w:r>
      <w:proofErr w:type="spellStart"/>
      <w:r w:rsidRPr="00214A66">
        <w:rPr>
          <w:rFonts w:ascii="Abadi" w:hAnsi="Abadi" w:cs="Tahoma"/>
          <w:bCs/>
          <w:sz w:val="21"/>
          <w:szCs w:val="21"/>
        </w:rPr>
        <w:t>surponiente</w:t>
      </w:r>
      <w:proofErr w:type="spellEnd"/>
      <w:r w:rsidRPr="00214A66">
        <w:rPr>
          <w:rFonts w:ascii="Abadi" w:hAnsi="Abadi" w:cs="Tahoma"/>
          <w:bCs/>
          <w:sz w:val="21"/>
          <w:szCs w:val="21"/>
        </w:rPr>
        <w:t xml:space="preserve"> de 29.52 veintinueve punto cincuenta y dos metros con Gobierno del Estado y división «2» de por medio; y al poniente, en una línea con dirección al norponiente de 12.82 doce punto ochenta y dos metros con Gobierno del Estado y división «3» de por medio; y</w:t>
      </w:r>
    </w:p>
    <w:p w14:paraId="03439D6D" w14:textId="77777777" w:rsidR="00C702D8" w:rsidRPr="00214A66" w:rsidRDefault="00C702D8" w:rsidP="00C702D8">
      <w:pPr>
        <w:pStyle w:val="Prrafodelista"/>
        <w:rPr>
          <w:rFonts w:ascii="Abadi" w:hAnsi="Abadi" w:cs="Tahoma"/>
          <w:bCs/>
          <w:sz w:val="21"/>
          <w:szCs w:val="21"/>
        </w:rPr>
      </w:pPr>
    </w:p>
    <w:p w14:paraId="53FB1033" w14:textId="77777777" w:rsidR="00C702D8" w:rsidRPr="00214A66" w:rsidRDefault="00C702D8" w:rsidP="005B68E6">
      <w:pPr>
        <w:pStyle w:val="Prrafodelista"/>
        <w:numPr>
          <w:ilvl w:val="0"/>
          <w:numId w:val="32"/>
        </w:numPr>
        <w:suppressAutoHyphens/>
        <w:contextualSpacing/>
        <w:jc w:val="both"/>
        <w:rPr>
          <w:rFonts w:ascii="Abadi" w:hAnsi="Abadi" w:cs="Tahoma"/>
          <w:bCs/>
          <w:sz w:val="21"/>
          <w:szCs w:val="21"/>
        </w:rPr>
      </w:pPr>
      <w:r w:rsidRPr="00214A66">
        <w:rPr>
          <w:rFonts w:ascii="Abadi" w:hAnsi="Abadi" w:cs="Tahoma"/>
          <w:bCs/>
          <w:sz w:val="21"/>
          <w:szCs w:val="21"/>
        </w:rPr>
        <w:t xml:space="preserve">Fracción con una superficie de 766.84 m² setecientos sesenta y seis punto ochenta y cuatro metros cuadrados de la parcela número 200 Z5 P-1/1, con las siguientes medidas y colindancias: Al norte, en una línea con dirección al nororiente de 54.03 cincuenta y cuatro punto cero tres metros con resto del predio de Gobierno del Estado; al oriente, en una línea con dirección al suroriente de 12.82 doce punto ochenta y dos metros con Gobierno del Estado y división «1» de por medio; al sur, en una línea con dirección al </w:t>
      </w:r>
      <w:proofErr w:type="spellStart"/>
      <w:r w:rsidRPr="00214A66">
        <w:rPr>
          <w:rFonts w:ascii="Abadi" w:hAnsi="Abadi" w:cs="Tahoma"/>
          <w:bCs/>
          <w:sz w:val="21"/>
          <w:szCs w:val="21"/>
        </w:rPr>
        <w:t>surponiente</w:t>
      </w:r>
      <w:proofErr w:type="spellEnd"/>
      <w:r w:rsidRPr="00214A66">
        <w:rPr>
          <w:rFonts w:ascii="Abadi" w:hAnsi="Abadi" w:cs="Tahoma"/>
          <w:bCs/>
          <w:sz w:val="21"/>
          <w:szCs w:val="21"/>
        </w:rPr>
        <w:t xml:space="preserve"> de 49.66 cuarenta y nueve punto sesenta y seis metros con Gobierno del Estado y división «2» de por medio; y al poniente, en una línea con dirección al norponiente de 17.33 diecisiete punto treinta y tres metros con propiedad privada.</w:t>
      </w:r>
    </w:p>
    <w:p w14:paraId="61A957CF" w14:textId="77777777" w:rsidR="00C702D8" w:rsidRPr="00214A66" w:rsidRDefault="00C702D8" w:rsidP="00C702D8">
      <w:pPr>
        <w:pStyle w:val="Prrafodelista"/>
        <w:rPr>
          <w:rFonts w:ascii="Abadi" w:hAnsi="Abadi" w:cs="Tahoma"/>
          <w:bCs/>
          <w:sz w:val="21"/>
          <w:szCs w:val="21"/>
        </w:rPr>
      </w:pPr>
    </w:p>
    <w:p w14:paraId="389A8487" w14:textId="77777777" w:rsidR="00C702D8" w:rsidRPr="00214A66" w:rsidRDefault="00C702D8" w:rsidP="00C702D8">
      <w:pPr>
        <w:autoSpaceDE w:val="0"/>
        <w:autoSpaceDN w:val="0"/>
        <w:adjustRightInd w:val="0"/>
        <w:ind w:firstLine="708"/>
        <w:jc w:val="both"/>
        <w:rPr>
          <w:rFonts w:ascii="Abadi" w:hAnsi="Abadi" w:cs="Tahoma"/>
          <w:bCs/>
          <w:sz w:val="21"/>
          <w:szCs w:val="21"/>
        </w:rPr>
      </w:pPr>
      <w:r w:rsidRPr="00214A66">
        <w:rPr>
          <w:rFonts w:ascii="Abadi" w:eastAsia="DejaVu Sans" w:hAnsi="Abadi" w:cs="Tahoma"/>
          <w:bCs/>
          <w:kern w:val="1"/>
          <w:sz w:val="21"/>
          <w:szCs w:val="21"/>
          <w:lang w:eastAsia="ar-SA"/>
        </w:rPr>
        <w:t>Las fracciones anteriormente descritas por ser colindantes conforman una sola unidad topográfica con una superficie de 11,377.99 m² once mil trescientos setenta y siete punto noventa y nueve metros cuadrados</w:t>
      </w:r>
      <w:r w:rsidRPr="00214A66">
        <w:rPr>
          <w:rFonts w:ascii="Abadi" w:hAnsi="Abadi" w:cs="Tahoma"/>
          <w:bCs/>
          <w:sz w:val="21"/>
          <w:szCs w:val="21"/>
        </w:rPr>
        <w:t xml:space="preserve"> y las siguientes medidas y colindancias:</w:t>
      </w:r>
      <w:r w:rsidRPr="00214A66">
        <w:rPr>
          <w:rFonts w:ascii="Abadi" w:eastAsia="DejaVu Sans" w:hAnsi="Abadi" w:cs="Tahoma"/>
          <w:bCs/>
          <w:kern w:val="1"/>
          <w:sz w:val="21"/>
          <w:szCs w:val="21"/>
          <w:lang w:eastAsia="ar-SA"/>
        </w:rPr>
        <w:t xml:space="preserve"> Al norte, en una línea con dirección al nororiente de 11.14 once punto catorce metros con resto del predio de Gobierno del Estado; al oriente, en una línea con dirección al suroriente de 133.02 ciento treinta y tres punto cero dos metros con resto del predio de Gobierno del Estado; al sur, en dos líneas con dirección al </w:t>
      </w:r>
      <w:proofErr w:type="spellStart"/>
      <w:r w:rsidRPr="00214A66">
        <w:rPr>
          <w:rFonts w:ascii="Abadi" w:eastAsia="DejaVu Sans" w:hAnsi="Abadi" w:cs="Tahoma"/>
          <w:bCs/>
          <w:kern w:val="1"/>
          <w:sz w:val="21"/>
          <w:szCs w:val="21"/>
          <w:lang w:eastAsia="ar-SA"/>
        </w:rPr>
        <w:t>surponiente</w:t>
      </w:r>
      <w:proofErr w:type="spellEnd"/>
      <w:r w:rsidRPr="00214A66">
        <w:rPr>
          <w:rFonts w:ascii="Abadi" w:eastAsia="DejaVu Sans" w:hAnsi="Abadi" w:cs="Tahoma"/>
          <w:bCs/>
          <w:kern w:val="1"/>
          <w:sz w:val="21"/>
          <w:szCs w:val="21"/>
          <w:lang w:eastAsia="ar-SA"/>
        </w:rPr>
        <w:t>, la primera de 147.73 ciento cuarenta y siete punto setenta y tres metros y la segunda de 11.25 once punto veinticinco metros con propiedad privada; y al poniente, en cuatro líneas, la primera con dirección al norponiente de 19.35 diecinueve punto treinta y cinco metros con carretera Silao-</w:t>
      </w:r>
      <w:r w:rsidRPr="00214A66">
        <w:rPr>
          <w:rFonts w:ascii="Abadi" w:eastAsia="DejaVu Sans" w:hAnsi="Abadi" w:cs="Tahoma"/>
          <w:bCs/>
          <w:kern w:val="1"/>
          <w:sz w:val="21"/>
          <w:szCs w:val="21"/>
          <w:lang w:eastAsia="ar-SA"/>
        </w:rPr>
        <w:t>Guanajuato, la segunda con dirección al nororiente de 83.12 ochenta y tres punto doce metros, la tercera con dirección al norponiente de 17.33 diecisiete punto treinta y tres metros con propiedad privada y la cuarta con dirección al nororiente de 72.83 setenta y dos punto ochenta y tres metros con resto del predio de Gobierno del Estado.</w:t>
      </w:r>
    </w:p>
    <w:p w14:paraId="1ADB1134" w14:textId="77777777" w:rsidR="00C702D8" w:rsidRPr="00214A66" w:rsidRDefault="00C702D8" w:rsidP="00C702D8">
      <w:pPr>
        <w:pStyle w:val="Textoindependiente"/>
        <w:jc w:val="center"/>
        <w:rPr>
          <w:rFonts w:ascii="Abadi" w:hAnsi="Abadi"/>
          <w:b w:val="0"/>
          <w:bCs w:val="0"/>
          <w:sz w:val="21"/>
          <w:szCs w:val="21"/>
        </w:rPr>
      </w:pPr>
    </w:p>
    <w:p w14:paraId="612FA96B" w14:textId="77777777" w:rsidR="00C702D8" w:rsidRPr="00214A66" w:rsidRDefault="00C702D8" w:rsidP="00C702D8">
      <w:pPr>
        <w:jc w:val="right"/>
        <w:rPr>
          <w:rFonts w:ascii="Abadi" w:hAnsi="Abadi" w:cs="Arial"/>
          <w:b/>
          <w:i/>
          <w:sz w:val="21"/>
          <w:szCs w:val="21"/>
          <w:lang w:val="es-MX"/>
        </w:rPr>
      </w:pPr>
      <w:r w:rsidRPr="00214A66">
        <w:rPr>
          <w:rFonts w:ascii="Abadi" w:hAnsi="Abadi" w:cs="Arial"/>
          <w:b/>
          <w:i/>
          <w:sz w:val="21"/>
          <w:szCs w:val="21"/>
          <w:lang w:val="es-MX"/>
        </w:rPr>
        <w:t>Autorización para la enajenación</w:t>
      </w:r>
    </w:p>
    <w:p w14:paraId="7C834A2E" w14:textId="77777777" w:rsidR="00C702D8" w:rsidRPr="00214A66" w:rsidRDefault="00C702D8" w:rsidP="00C702D8">
      <w:pPr>
        <w:ind w:firstLine="708"/>
        <w:jc w:val="both"/>
        <w:rPr>
          <w:rFonts w:ascii="Abadi" w:hAnsi="Abadi" w:cs="Arial"/>
          <w:bCs/>
          <w:sz w:val="21"/>
          <w:szCs w:val="21"/>
        </w:rPr>
      </w:pPr>
      <w:r w:rsidRPr="00214A66">
        <w:rPr>
          <w:rFonts w:ascii="Abadi" w:hAnsi="Abadi" w:cs="Arial"/>
          <w:b/>
          <w:sz w:val="21"/>
          <w:szCs w:val="21"/>
          <w:lang w:val="es-MX"/>
        </w:rPr>
        <w:t xml:space="preserve">Artículo Segundo. </w:t>
      </w:r>
      <w:r w:rsidRPr="00214A66">
        <w:rPr>
          <w:rFonts w:ascii="Abadi" w:hAnsi="Abadi" w:cs="Arial"/>
          <w:bCs/>
          <w:sz w:val="21"/>
          <w:szCs w:val="21"/>
          <w:lang w:val="es-MX" w:eastAsia="en-US"/>
        </w:rPr>
        <w:t xml:space="preserve">Se autoriza al titular del Poder Ejecutivo del Estado </w:t>
      </w:r>
      <w:r w:rsidRPr="00214A66">
        <w:rPr>
          <w:rFonts w:ascii="Abadi" w:hAnsi="Abadi" w:cs="Arial"/>
          <w:bCs/>
          <w:sz w:val="21"/>
          <w:szCs w:val="21"/>
        </w:rPr>
        <w:t xml:space="preserve">a enajenar la unidad topográfica descrita en el artículo anterior, mediante la figura de donación a la asociación civil denominada </w:t>
      </w:r>
      <w:r w:rsidRPr="00214A66">
        <w:rPr>
          <w:rFonts w:ascii="Abadi" w:hAnsi="Abadi" w:cs="Arial"/>
          <w:bCs/>
          <w:i/>
          <w:iCs/>
          <w:sz w:val="21"/>
          <w:szCs w:val="21"/>
        </w:rPr>
        <w:t>«Asociación de Bomberos del Estado de Guanajuato A.C.»</w:t>
      </w:r>
      <w:r w:rsidRPr="00214A66">
        <w:rPr>
          <w:rFonts w:ascii="Abadi" w:hAnsi="Abadi" w:cs="Arial"/>
          <w:bCs/>
          <w:sz w:val="21"/>
          <w:szCs w:val="21"/>
        </w:rPr>
        <w:t>, para destinarla a la construcción de las instalaciones del Centro Estatal de Capacitación y Certificación de Bomberos, así como para un hangar para el helicóptero del Sistema de Urgencias del Estado.</w:t>
      </w:r>
    </w:p>
    <w:p w14:paraId="53C1BE85" w14:textId="77777777" w:rsidR="00C702D8" w:rsidRPr="00214A66" w:rsidRDefault="00C702D8" w:rsidP="00C702D8">
      <w:pPr>
        <w:ind w:firstLine="708"/>
        <w:jc w:val="both"/>
        <w:rPr>
          <w:rFonts w:ascii="Abadi" w:hAnsi="Abadi" w:cs="Arial"/>
          <w:bCs/>
          <w:sz w:val="21"/>
          <w:szCs w:val="21"/>
        </w:rPr>
      </w:pPr>
    </w:p>
    <w:p w14:paraId="2CC4857D" w14:textId="77777777" w:rsidR="00C702D8" w:rsidRPr="00214A66" w:rsidRDefault="00C702D8" w:rsidP="00C702D8">
      <w:pPr>
        <w:jc w:val="right"/>
        <w:rPr>
          <w:rFonts w:ascii="Abadi" w:hAnsi="Abadi" w:cs="Arial"/>
          <w:b/>
          <w:i/>
          <w:sz w:val="21"/>
          <w:szCs w:val="21"/>
          <w:lang w:val="es-MX"/>
        </w:rPr>
      </w:pPr>
      <w:r w:rsidRPr="00214A66">
        <w:rPr>
          <w:rFonts w:ascii="Abadi" w:hAnsi="Abadi" w:cs="Arial"/>
          <w:b/>
          <w:i/>
          <w:sz w:val="21"/>
          <w:szCs w:val="21"/>
          <w:lang w:val="es-MX"/>
        </w:rPr>
        <w:t>Reversión</w:t>
      </w:r>
    </w:p>
    <w:p w14:paraId="0A41C6B5" w14:textId="77777777" w:rsidR="00C702D8" w:rsidRPr="00214A66" w:rsidRDefault="00C702D8" w:rsidP="000750A3">
      <w:pPr>
        <w:pStyle w:val="Sangra2detindependiente"/>
        <w:spacing w:line="240" w:lineRule="auto"/>
        <w:jc w:val="both"/>
        <w:rPr>
          <w:rFonts w:ascii="Abadi" w:hAnsi="Abadi"/>
          <w:sz w:val="21"/>
          <w:szCs w:val="21"/>
        </w:rPr>
      </w:pPr>
      <w:r w:rsidRPr="00214A66">
        <w:rPr>
          <w:rFonts w:ascii="Abadi" w:hAnsi="Abadi"/>
          <w:b/>
          <w:sz w:val="21"/>
          <w:szCs w:val="21"/>
        </w:rPr>
        <w:t xml:space="preserve">Artículo Tercero. </w:t>
      </w:r>
      <w:r w:rsidRPr="00214A66">
        <w:rPr>
          <w:rFonts w:ascii="Abadi" w:hAnsi="Abadi"/>
          <w:bCs/>
          <w:sz w:val="21"/>
          <w:szCs w:val="21"/>
        </w:rPr>
        <w:t xml:space="preserve">El bien inmueble donado revertirá al patrimonio del Estado, con todas las </w:t>
      </w:r>
      <w:r w:rsidRPr="00214A66">
        <w:rPr>
          <w:rFonts w:ascii="Abadi" w:hAnsi="Abadi"/>
          <w:sz w:val="21"/>
          <w:szCs w:val="21"/>
        </w:rPr>
        <w:t>accesiones y edificaciones</w:t>
      </w:r>
      <w:r w:rsidRPr="00214A66">
        <w:rPr>
          <w:rFonts w:ascii="Abadi" w:hAnsi="Abadi"/>
          <w:bCs/>
          <w:sz w:val="21"/>
          <w:szCs w:val="21"/>
        </w:rPr>
        <w:t xml:space="preserve"> que en el mismo se encuentren o se construyan, si el donatario le diere un uso o destino distinto al señalado en el artículo anterior</w:t>
      </w:r>
      <w:r w:rsidRPr="00214A66">
        <w:rPr>
          <w:rFonts w:ascii="Abadi" w:hAnsi="Abadi"/>
          <w:sz w:val="21"/>
          <w:szCs w:val="21"/>
        </w:rPr>
        <w:t>, si no realiza la construcción en un término de dos años contado a partir de la entrada en vigor del presente Decreto o bien, si la asociación civil se extingue, disuelve o fusiona</w:t>
      </w:r>
      <w:r w:rsidRPr="00214A66">
        <w:rPr>
          <w:rFonts w:ascii="Abadi" w:hAnsi="Abadi"/>
          <w:bCs/>
          <w:sz w:val="21"/>
          <w:szCs w:val="21"/>
        </w:rPr>
        <w:t>; haciendo la notificación correspondiente al Congreso del Estado que se realizó la reversión</w:t>
      </w:r>
      <w:r w:rsidRPr="00214A66">
        <w:rPr>
          <w:rFonts w:ascii="Abadi" w:hAnsi="Abadi"/>
          <w:sz w:val="21"/>
          <w:szCs w:val="21"/>
        </w:rPr>
        <w:t>.</w:t>
      </w:r>
    </w:p>
    <w:p w14:paraId="324CF458" w14:textId="77777777" w:rsidR="000750A3" w:rsidRDefault="000750A3" w:rsidP="000750A3">
      <w:pPr>
        <w:pStyle w:val="Sangra2detindependiente"/>
        <w:spacing w:line="240" w:lineRule="auto"/>
        <w:jc w:val="both"/>
        <w:rPr>
          <w:rFonts w:ascii="Abadi" w:hAnsi="Abadi"/>
          <w:bCs/>
          <w:sz w:val="21"/>
          <w:szCs w:val="21"/>
        </w:rPr>
      </w:pPr>
    </w:p>
    <w:p w14:paraId="5F98D57C" w14:textId="74F9E82D" w:rsidR="00C702D8" w:rsidRDefault="00C702D8" w:rsidP="000750A3">
      <w:pPr>
        <w:pStyle w:val="Sangra2detindependiente"/>
        <w:spacing w:line="240" w:lineRule="auto"/>
        <w:jc w:val="both"/>
        <w:rPr>
          <w:rFonts w:ascii="Abadi" w:hAnsi="Abadi"/>
          <w:bCs/>
          <w:sz w:val="21"/>
          <w:szCs w:val="21"/>
        </w:rPr>
      </w:pPr>
      <w:r w:rsidRPr="00214A66">
        <w:rPr>
          <w:rFonts w:ascii="Abadi" w:hAnsi="Abadi"/>
          <w:bCs/>
          <w:sz w:val="21"/>
          <w:szCs w:val="21"/>
        </w:rPr>
        <w:t>En caso de ejercer la reversión del bien inmueble, quedaría sin efecto la desafectación prevista en el artículo primero del presente Decreto.</w:t>
      </w:r>
    </w:p>
    <w:p w14:paraId="49770FE7" w14:textId="77777777" w:rsidR="003329AE" w:rsidRPr="00214A66" w:rsidRDefault="003329AE" w:rsidP="000750A3">
      <w:pPr>
        <w:pStyle w:val="Sangra2detindependiente"/>
        <w:spacing w:line="240" w:lineRule="auto"/>
        <w:jc w:val="both"/>
        <w:rPr>
          <w:rFonts w:ascii="Abadi" w:hAnsi="Abadi"/>
          <w:bCs/>
          <w:sz w:val="21"/>
          <w:szCs w:val="21"/>
        </w:rPr>
      </w:pPr>
    </w:p>
    <w:p w14:paraId="6D768377" w14:textId="77777777" w:rsidR="00C702D8" w:rsidRPr="00214A66" w:rsidRDefault="00C702D8" w:rsidP="000750A3">
      <w:pPr>
        <w:jc w:val="both"/>
        <w:rPr>
          <w:rFonts w:ascii="Abadi" w:hAnsi="Abadi" w:cs="Arial"/>
          <w:b/>
          <w:i/>
          <w:sz w:val="21"/>
          <w:szCs w:val="21"/>
          <w:lang w:val="es-MX"/>
        </w:rPr>
      </w:pPr>
      <w:r w:rsidRPr="00214A66">
        <w:rPr>
          <w:rFonts w:ascii="Abadi" w:hAnsi="Abadi"/>
          <w:sz w:val="21"/>
          <w:szCs w:val="21"/>
        </w:rPr>
        <w:t xml:space="preserve"> </w:t>
      </w:r>
      <w:r w:rsidRPr="00214A66">
        <w:rPr>
          <w:rFonts w:ascii="Abadi" w:hAnsi="Abadi" w:cs="Arial"/>
          <w:b/>
          <w:i/>
          <w:sz w:val="21"/>
          <w:szCs w:val="21"/>
          <w:lang w:val="es-MX"/>
        </w:rPr>
        <w:t>Información al Congreso del Estado</w:t>
      </w:r>
    </w:p>
    <w:p w14:paraId="769E7007" w14:textId="77777777" w:rsidR="00C702D8" w:rsidRPr="00214A66" w:rsidRDefault="00C702D8" w:rsidP="000750A3">
      <w:pPr>
        <w:pStyle w:val="Sangra2detindependiente"/>
        <w:spacing w:line="240" w:lineRule="auto"/>
        <w:jc w:val="both"/>
        <w:rPr>
          <w:rFonts w:ascii="Abadi" w:hAnsi="Abadi"/>
          <w:sz w:val="21"/>
          <w:szCs w:val="21"/>
        </w:rPr>
      </w:pPr>
      <w:r w:rsidRPr="00214A66">
        <w:rPr>
          <w:rFonts w:ascii="Abadi" w:hAnsi="Abadi"/>
          <w:b/>
          <w:sz w:val="21"/>
          <w:szCs w:val="21"/>
        </w:rPr>
        <w:t xml:space="preserve">Artículo Cuarto. </w:t>
      </w:r>
      <w:r w:rsidRPr="00214A66">
        <w:rPr>
          <w:rFonts w:ascii="Abadi" w:hAnsi="Abadi"/>
          <w:sz w:val="21"/>
          <w:szCs w:val="21"/>
        </w:rPr>
        <w:t xml:space="preserve">El titular del Poder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w:t>
      </w:r>
      <w:r w:rsidRPr="00214A66">
        <w:rPr>
          <w:rFonts w:ascii="Abadi" w:hAnsi="Abadi"/>
          <w:sz w:val="21"/>
          <w:szCs w:val="21"/>
        </w:rPr>
        <w:lastRenderedPageBreak/>
        <w:t xml:space="preserve">información que deberá integrarse a la cuenta pública del Poder Ejecutivo del Estado. </w:t>
      </w:r>
    </w:p>
    <w:p w14:paraId="0C116544" w14:textId="77777777" w:rsidR="00C702D8" w:rsidRPr="00214A66" w:rsidRDefault="00C702D8" w:rsidP="000750A3">
      <w:pPr>
        <w:jc w:val="both"/>
        <w:rPr>
          <w:rFonts w:ascii="Abadi" w:hAnsi="Abadi" w:cs="Arial"/>
          <w:b/>
          <w:i/>
          <w:sz w:val="21"/>
          <w:szCs w:val="21"/>
          <w:lang w:val="es-MX"/>
        </w:rPr>
      </w:pPr>
      <w:r w:rsidRPr="00214A66">
        <w:rPr>
          <w:rFonts w:ascii="Abadi" w:hAnsi="Abadi" w:cs="Arial"/>
          <w:b/>
          <w:i/>
          <w:sz w:val="21"/>
          <w:szCs w:val="21"/>
          <w:lang w:val="es-MX"/>
        </w:rPr>
        <w:t>Baja del padrón</w:t>
      </w:r>
    </w:p>
    <w:p w14:paraId="12669A21" w14:textId="77777777" w:rsidR="00C702D8" w:rsidRPr="00214A66" w:rsidRDefault="00C702D8" w:rsidP="000750A3">
      <w:pPr>
        <w:pStyle w:val="Sangra2detindependiente"/>
        <w:spacing w:line="240" w:lineRule="auto"/>
        <w:jc w:val="both"/>
        <w:rPr>
          <w:rFonts w:ascii="Abadi" w:hAnsi="Abadi"/>
          <w:sz w:val="21"/>
          <w:szCs w:val="21"/>
        </w:rPr>
      </w:pPr>
      <w:r w:rsidRPr="00214A66">
        <w:rPr>
          <w:rFonts w:ascii="Abadi" w:hAnsi="Abadi"/>
          <w:b/>
          <w:bCs/>
          <w:sz w:val="21"/>
          <w:szCs w:val="21"/>
        </w:rPr>
        <w:t xml:space="preserve">Artículo Quinto. </w:t>
      </w:r>
      <w:r w:rsidRPr="00214A66">
        <w:rPr>
          <w:rFonts w:ascii="Abadi" w:hAnsi="Abadi"/>
          <w:sz w:val="21"/>
          <w:szCs w:val="21"/>
        </w:rPr>
        <w:t xml:space="preserve">Una vez realizada la donación procédase a dar de baja el bien inmueble, materia de la misma, del Padrón de la Propiedad Inmobiliaria Estatal. </w:t>
      </w:r>
    </w:p>
    <w:p w14:paraId="05338EDA" w14:textId="77777777" w:rsidR="00C702D8" w:rsidRPr="00214A66" w:rsidRDefault="00C702D8" w:rsidP="00C702D8">
      <w:pPr>
        <w:rPr>
          <w:rFonts w:ascii="Abadi" w:hAnsi="Abadi"/>
          <w:sz w:val="21"/>
          <w:szCs w:val="21"/>
          <w:lang w:val="en-US"/>
        </w:rPr>
      </w:pPr>
    </w:p>
    <w:p w14:paraId="2E51219C" w14:textId="77777777" w:rsidR="00C702D8" w:rsidRDefault="00C702D8" w:rsidP="00C702D8">
      <w:pPr>
        <w:pStyle w:val="Ttulo2"/>
        <w:rPr>
          <w:rFonts w:ascii="Abadi" w:hAnsi="Abadi"/>
          <w:sz w:val="21"/>
          <w:szCs w:val="21"/>
          <w:lang w:val="en-US"/>
        </w:rPr>
      </w:pPr>
      <w:r w:rsidRPr="00214A66">
        <w:rPr>
          <w:rFonts w:ascii="Abadi" w:hAnsi="Abadi"/>
          <w:sz w:val="21"/>
          <w:szCs w:val="21"/>
          <w:lang w:val="en-US"/>
        </w:rPr>
        <w:t xml:space="preserve">T r a n s </w:t>
      </w:r>
      <w:proofErr w:type="spellStart"/>
      <w:r w:rsidRPr="00214A66">
        <w:rPr>
          <w:rFonts w:ascii="Abadi" w:hAnsi="Abadi"/>
          <w:sz w:val="21"/>
          <w:szCs w:val="21"/>
          <w:lang w:val="en-US"/>
        </w:rPr>
        <w:t>i</w:t>
      </w:r>
      <w:proofErr w:type="spellEnd"/>
      <w:r w:rsidRPr="00214A66">
        <w:rPr>
          <w:rFonts w:ascii="Abadi" w:hAnsi="Abadi"/>
          <w:sz w:val="21"/>
          <w:szCs w:val="21"/>
          <w:lang w:val="en-US"/>
        </w:rPr>
        <w:t xml:space="preserve"> t o r </w:t>
      </w:r>
      <w:proofErr w:type="spellStart"/>
      <w:r w:rsidRPr="00214A66">
        <w:rPr>
          <w:rFonts w:ascii="Abadi" w:hAnsi="Abadi"/>
          <w:sz w:val="21"/>
          <w:szCs w:val="21"/>
          <w:lang w:val="en-US"/>
        </w:rPr>
        <w:t>i</w:t>
      </w:r>
      <w:proofErr w:type="spellEnd"/>
      <w:r w:rsidRPr="00214A66">
        <w:rPr>
          <w:rFonts w:ascii="Abadi" w:hAnsi="Abadi"/>
          <w:sz w:val="21"/>
          <w:szCs w:val="21"/>
          <w:lang w:val="en-US"/>
        </w:rPr>
        <w:t xml:space="preserve"> o </w:t>
      </w:r>
    </w:p>
    <w:p w14:paraId="7F48B9FB" w14:textId="77777777" w:rsidR="00B10EFE" w:rsidRPr="00B10EFE" w:rsidRDefault="00B10EFE" w:rsidP="00B10EFE">
      <w:pPr>
        <w:rPr>
          <w:lang w:val="en-US"/>
        </w:rPr>
      </w:pPr>
    </w:p>
    <w:p w14:paraId="7983186A" w14:textId="77777777" w:rsidR="00C702D8" w:rsidRPr="00214A66" w:rsidRDefault="00C702D8" w:rsidP="00C702D8">
      <w:pPr>
        <w:jc w:val="right"/>
        <w:rPr>
          <w:rFonts w:ascii="Abadi" w:hAnsi="Abadi" w:cs="Arial"/>
          <w:i/>
          <w:sz w:val="21"/>
          <w:szCs w:val="21"/>
          <w:lang w:val="es-MX"/>
        </w:rPr>
      </w:pPr>
      <w:r w:rsidRPr="00214A66">
        <w:rPr>
          <w:rFonts w:ascii="Abadi" w:hAnsi="Abadi" w:cs="Arial"/>
          <w:b/>
          <w:i/>
          <w:sz w:val="21"/>
          <w:szCs w:val="21"/>
          <w:lang w:val="es-MX"/>
        </w:rPr>
        <w:t>Inicio de vigencia</w:t>
      </w:r>
    </w:p>
    <w:p w14:paraId="354C83EF" w14:textId="77777777" w:rsidR="00C702D8" w:rsidRPr="00214A66" w:rsidRDefault="00C702D8" w:rsidP="00C702D8">
      <w:pPr>
        <w:jc w:val="both"/>
        <w:rPr>
          <w:rFonts w:ascii="Abadi" w:hAnsi="Abadi"/>
          <w:sz w:val="21"/>
          <w:szCs w:val="21"/>
          <w:lang w:val="es-MX"/>
        </w:rPr>
      </w:pPr>
      <w:r w:rsidRPr="00214A66">
        <w:rPr>
          <w:rFonts w:ascii="Abadi" w:hAnsi="Abadi" w:cs="Arial"/>
          <w:sz w:val="21"/>
          <w:szCs w:val="21"/>
          <w:lang w:val="es-MX"/>
        </w:rPr>
        <w:tab/>
      </w:r>
      <w:r w:rsidRPr="00214A66">
        <w:rPr>
          <w:rFonts w:ascii="Abadi" w:hAnsi="Abadi" w:cs="Arial"/>
          <w:b/>
          <w:sz w:val="21"/>
          <w:szCs w:val="21"/>
          <w:lang w:val="es-MX"/>
        </w:rPr>
        <w:t xml:space="preserve">Artículo Único. </w:t>
      </w:r>
      <w:r w:rsidRPr="00214A66">
        <w:rPr>
          <w:rFonts w:ascii="Abadi" w:hAnsi="Abadi"/>
          <w:sz w:val="21"/>
          <w:szCs w:val="21"/>
          <w:lang w:val="es-MX"/>
        </w:rPr>
        <w:t>El presente Decreto entrará en vigencia el día siguiente al de su publicación en el Periódico Oficial del Gobierno del Estado de Guanajuato.</w:t>
      </w:r>
    </w:p>
    <w:p w14:paraId="536E312E" w14:textId="77777777" w:rsidR="00C702D8" w:rsidRPr="00214A66" w:rsidRDefault="00C702D8" w:rsidP="00C702D8">
      <w:pPr>
        <w:jc w:val="both"/>
        <w:rPr>
          <w:rFonts w:ascii="Abadi" w:hAnsi="Abadi"/>
          <w:sz w:val="21"/>
          <w:szCs w:val="21"/>
          <w:lang w:val="es-MX"/>
        </w:rPr>
      </w:pPr>
    </w:p>
    <w:p w14:paraId="456184E2" w14:textId="77777777" w:rsidR="00C702D8" w:rsidRPr="00214A66" w:rsidRDefault="00C702D8" w:rsidP="00C702D8">
      <w:pPr>
        <w:jc w:val="center"/>
        <w:rPr>
          <w:rFonts w:ascii="Abadi" w:hAnsi="Abadi" w:cs="Arial"/>
          <w:b/>
          <w:bCs/>
          <w:sz w:val="21"/>
          <w:szCs w:val="21"/>
          <w:lang w:val="es-MX" w:eastAsia="x-none"/>
        </w:rPr>
      </w:pPr>
      <w:r w:rsidRPr="00214A66">
        <w:rPr>
          <w:rFonts w:ascii="Abadi" w:hAnsi="Abadi" w:cs="Arial"/>
          <w:b/>
          <w:bCs/>
          <w:sz w:val="21"/>
          <w:szCs w:val="21"/>
          <w:lang w:val="es-MX" w:eastAsia="x-none"/>
        </w:rPr>
        <w:t xml:space="preserve">Guanajuato, </w:t>
      </w:r>
      <w:proofErr w:type="spellStart"/>
      <w:r w:rsidRPr="00214A66">
        <w:rPr>
          <w:rFonts w:ascii="Abadi" w:hAnsi="Abadi" w:cs="Arial"/>
          <w:b/>
          <w:bCs/>
          <w:sz w:val="21"/>
          <w:szCs w:val="21"/>
          <w:lang w:val="es-MX" w:eastAsia="x-none"/>
        </w:rPr>
        <w:t>Gto</w:t>
      </w:r>
      <w:proofErr w:type="spellEnd"/>
      <w:r w:rsidRPr="00214A66">
        <w:rPr>
          <w:rFonts w:ascii="Abadi" w:hAnsi="Abadi" w:cs="Arial"/>
          <w:b/>
          <w:bCs/>
          <w:sz w:val="21"/>
          <w:szCs w:val="21"/>
          <w:lang w:val="es-MX" w:eastAsia="x-none"/>
        </w:rPr>
        <w:t>., 13 de junio de 2023</w:t>
      </w:r>
    </w:p>
    <w:p w14:paraId="55E235E7" w14:textId="77777777" w:rsidR="00B10EFE" w:rsidRDefault="00C702D8" w:rsidP="00C702D8">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214A66">
          <w:rPr>
            <w:rFonts w:ascii="Abadi" w:hAnsi="Abadi" w:cs="Arial"/>
            <w:b/>
            <w:bCs/>
            <w:sz w:val="21"/>
            <w:szCs w:val="21"/>
            <w:lang w:val="es-MX" w:eastAsia="x-none"/>
          </w:rPr>
          <w:t>La Comisión</w:t>
        </w:r>
      </w:smartTag>
      <w:r w:rsidRPr="00214A66">
        <w:rPr>
          <w:rFonts w:ascii="Abadi" w:hAnsi="Abadi" w:cs="Arial"/>
          <w:b/>
          <w:bCs/>
          <w:sz w:val="21"/>
          <w:szCs w:val="21"/>
          <w:lang w:val="es-MX" w:eastAsia="x-none"/>
        </w:rPr>
        <w:t xml:space="preserve"> de Hacienda y Fiscalización</w:t>
      </w:r>
    </w:p>
    <w:p w14:paraId="05D3CDDB" w14:textId="77777777" w:rsidR="00B10EFE" w:rsidRDefault="00B10EFE" w:rsidP="00C702D8">
      <w:pPr>
        <w:jc w:val="center"/>
        <w:rPr>
          <w:rFonts w:ascii="Abadi" w:hAnsi="Abadi" w:cs="Arial"/>
          <w:b/>
          <w:bCs/>
          <w:sz w:val="21"/>
          <w:szCs w:val="21"/>
          <w:lang w:val="es-MX" w:eastAsia="x-none"/>
        </w:rPr>
      </w:pPr>
    </w:p>
    <w:p w14:paraId="265217F9" w14:textId="623AD394" w:rsidR="00C702D8" w:rsidRPr="00B10EFE" w:rsidRDefault="00C702D8" w:rsidP="00C702D8">
      <w:pPr>
        <w:jc w:val="center"/>
        <w:rPr>
          <w:rFonts w:ascii="Abadi" w:hAnsi="Abadi" w:cs="Arial"/>
          <w:b/>
          <w:bCs/>
          <w:sz w:val="21"/>
          <w:szCs w:val="21"/>
          <w:lang w:val="es-MX" w:eastAsia="x-none"/>
        </w:rPr>
      </w:pPr>
      <w:r w:rsidRPr="00214A66">
        <w:rPr>
          <w:rFonts w:ascii="Abadi" w:hAnsi="Abadi" w:cs="Arial"/>
          <w:b/>
          <w:sz w:val="21"/>
          <w:szCs w:val="21"/>
        </w:rPr>
        <w:t>Diputado Víctor Manuel Zanella Huerta</w:t>
      </w:r>
    </w:p>
    <w:p w14:paraId="10001A37" w14:textId="77777777" w:rsidR="00C702D8" w:rsidRPr="00214A66" w:rsidRDefault="00C702D8" w:rsidP="00C702D8">
      <w:pPr>
        <w:ind w:right="-234"/>
        <w:rPr>
          <w:rFonts w:ascii="Abadi" w:hAnsi="Abadi" w:cs="Calibri"/>
          <w:b/>
          <w:bCs/>
          <w:sz w:val="21"/>
          <w:szCs w:val="21"/>
        </w:rPr>
      </w:pPr>
      <w:r w:rsidRPr="00214A66">
        <w:rPr>
          <w:rFonts w:ascii="Abadi" w:hAnsi="Abadi" w:cs="Calibri"/>
          <w:b/>
          <w:bCs/>
          <w:sz w:val="21"/>
          <w:szCs w:val="21"/>
        </w:rPr>
        <w:t xml:space="preserve">Diputada Ruth Noemí Tiscareño Agoitia                   Diputado Miguel Ángel Salim </w:t>
      </w:r>
      <w:proofErr w:type="spellStart"/>
      <w:r w:rsidRPr="00214A66">
        <w:rPr>
          <w:rFonts w:ascii="Abadi" w:hAnsi="Abadi" w:cs="Calibri"/>
          <w:b/>
          <w:bCs/>
          <w:sz w:val="21"/>
          <w:szCs w:val="21"/>
        </w:rPr>
        <w:t>Alle</w:t>
      </w:r>
      <w:proofErr w:type="spellEnd"/>
    </w:p>
    <w:p w14:paraId="0EA7EE29" w14:textId="77777777" w:rsidR="00C702D8" w:rsidRPr="00214A66" w:rsidRDefault="00C702D8" w:rsidP="00C702D8">
      <w:pPr>
        <w:ind w:right="-234"/>
        <w:rPr>
          <w:rFonts w:ascii="Abadi" w:hAnsi="Abadi" w:cs="Calibri"/>
          <w:b/>
          <w:bCs/>
          <w:sz w:val="21"/>
          <w:szCs w:val="21"/>
        </w:rPr>
      </w:pPr>
      <w:r w:rsidRPr="00214A66">
        <w:rPr>
          <w:rFonts w:ascii="Abadi" w:hAnsi="Abadi" w:cs="Calibri"/>
          <w:b/>
          <w:bCs/>
          <w:sz w:val="21"/>
          <w:szCs w:val="21"/>
        </w:rPr>
        <w:t>Diputado José Alfonso Borja Pimentel    Diputada Alma Edwviges Alcaraz Hernández</w:t>
      </w:r>
    </w:p>
    <w:p w14:paraId="5B6862C0" w14:textId="77777777" w:rsidR="00C702D8" w:rsidRDefault="00C702D8" w:rsidP="00C702D8">
      <w:pPr>
        <w:pStyle w:val="Textoindependiente"/>
        <w:jc w:val="center"/>
        <w:rPr>
          <w:rFonts w:ascii="Abadi" w:hAnsi="Abadi"/>
          <w:b w:val="0"/>
          <w:bCs w:val="0"/>
          <w:sz w:val="21"/>
          <w:szCs w:val="21"/>
        </w:rPr>
      </w:pPr>
    </w:p>
    <w:p w14:paraId="0F2AF6EC" w14:textId="77777777" w:rsidR="00724F36" w:rsidRDefault="00724F36" w:rsidP="00C702D8">
      <w:pPr>
        <w:pStyle w:val="Textoindependiente"/>
        <w:jc w:val="center"/>
        <w:rPr>
          <w:rFonts w:ascii="Abadi" w:hAnsi="Abadi"/>
          <w:b w:val="0"/>
          <w:bCs w:val="0"/>
          <w:sz w:val="21"/>
          <w:szCs w:val="21"/>
        </w:rPr>
      </w:pPr>
    </w:p>
    <w:p w14:paraId="6BE6A192" w14:textId="57BB5663" w:rsidR="003E401F" w:rsidRDefault="003E401F" w:rsidP="003E401F">
      <w:pPr>
        <w:jc w:val="both"/>
        <w:rPr>
          <w:rFonts w:ascii="Helvetica" w:hAnsi="Helvetica"/>
          <w:b/>
          <w:bCs/>
          <w:color w:val="333333"/>
          <w:sz w:val="21"/>
          <w:szCs w:val="21"/>
          <w:shd w:val="clear" w:color="auto" w:fill="FFFFFF"/>
        </w:rPr>
      </w:pPr>
      <w:r>
        <w:rPr>
          <w:rFonts w:ascii="Abadi" w:hAnsi="Abadi"/>
          <w:b/>
          <w:bCs/>
          <w:sz w:val="21"/>
          <w:szCs w:val="21"/>
        </w:rPr>
        <w:tab/>
      </w:r>
      <w:r w:rsidRPr="00713268">
        <w:rPr>
          <w:rFonts w:ascii="Abadi" w:hAnsi="Abadi"/>
          <w:b/>
          <w:bCs/>
          <w:sz w:val="21"/>
          <w:szCs w:val="21"/>
        </w:rPr>
        <w:t xml:space="preserve">- La </w:t>
      </w:r>
      <w:proofErr w:type="gramStart"/>
      <w:r w:rsidRPr="00713268">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 xml:space="preserve">nseguida se somete a discusión en lo general el dictamen emitido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iscalización correspondiente al punto 28 del orden del día</w:t>
      </w:r>
      <w:r>
        <w:rPr>
          <w:rFonts w:ascii="Abadi" w:hAnsi="Abadi"/>
          <w:sz w:val="21"/>
          <w:szCs w:val="21"/>
        </w:rPr>
        <w:t>.</w:t>
      </w:r>
      <w:r w:rsidRPr="000611B5">
        <w:rPr>
          <w:rFonts w:ascii="Helvetica" w:hAnsi="Helvetica"/>
          <w:color w:val="333333"/>
          <w:sz w:val="21"/>
          <w:szCs w:val="21"/>
          <w:shd w:val="clear" w:color="auto" w:fill="FFFFFF"/>
        </w:rPr>
        <w:t xml:space="preserve"> </w:t>
      </w:r>
      <w:r w:rsidRPr="00E97388">
        <w:rPr>
          <w:rFonts w:ascii="Helvetica" w:hAnsi="Helvetica"/>
          <w:b/>
          <w:bCs/>
          <w:color w:val="333333"/>
          <w:sz w:val="21"/>
          <w:szCs w:val="21"/>
          <w:shd w:val="clear" w:color="auto" w:fill="FFFFFF"/>
        </w:rPr>
        <w:t>(ELD 487/LXV-I)</w:t>
      </w:r>
    </w:p>
    <w:p w14:paraId="7D94FADA" w14:textId="77777777" w:rsidR="003E401F" w:rsidRPr="00E97388" w:rsidRDefault="003E401F" w:rsidP="003E401F">
      <w:pPr>
        <w:jc w:val="both"/>
        <w:rPr>
          <w:rFonts w:ascii="Helvetica" w:hAnsi="Helvetica"/>
          <w:b/>
          <w:bCs/>
          <w:color w:val="333333"/>
          <w:sz w:val="21"/>
          <w:szCs w:val="21"/>
          <w:shd w:val="clear" w:color="auto" w:fill="FFFFFF"/>
        </w:rPr>
      </w:pPr>
    </w:p>
    <w:p w14:paraId="09D14CF0" w14:textId="77777777" w:rsidR="003E401F" w:rsidRDefault="003E401F" w:rsidP="003E401F">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desean hacer uso de la palabra a favor o en contra </w:t>
      </w:r>
      <w:r>
        <w:rPr>
          <w:rFonts w:ascii="Abadi" w:hAnsi="Abadi"/>
          <w:sz w:val="21"/>
          <w:szCs w:val="21"/>
        </w:rPr>
        <w:t xml:space="preserve">manifiéstenlo </w:t>
      </w:r>
      <w:r w:rsidRPr="0030088F">
        <w:rPr>
          <w:rFonts w:ascii="Abadi" w:hAnsi="Abadi"/>
          <w:sz w:val="21"/>
          <w:szCs w:val="21"/>
        </w:rPr>
        <w:t>indicando el sentido de su participación</w:t>
      </w:r>
      <w:r>
        <w:rPr>
          <w:rFonts w:ascii="Abadi" w:hAnsi="Abadi"/>
          <w:sz w:val="21"/>
          <w:szCs w:val="21"/>
        </w:rPr>
        <w:t>. A</w:t>
      </w:r>
      <w:r w:rsidRPr="0030088F">
        <w:rPr>
          <w:rFonts w:ascii="Abadi" w:hAnsi="Abadi"/>
          <w:sz w:val="21"/>
          <w:szCs w:val="21"/>
        </w:rPr>
        <w:t>l no haber intervenciones se pid</w:t>
      </w:r>
      <w:r>
        <w:rPr>
          <w:rFonts w:ascii="Abadi" w:hAnsi="Abadi"/>
          <w:sz w:val="21"/>
          <w:szCs w:val="21"/>
        </w:rPr>
        <w:t>e a</w:t>
      </w:r>
      <w:r w:rsidRPr="0030088F">
        <w:rPr>
          <w:rFonts w:ascii="Abadi" w:hAnsi="Abadi"/>
          <w:sz w:val="21"/>
          <w:szCs w:val="21"/>
        </w:rPr>
        <w:t xml:space="preserve"> la secretaría que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el dictamen en lo general puesto a su consideración</w:t>
      </w:r>
      <w:r>
        <w:rPr>
          <w:rFonts w:ascii="Abadi" w:hAnsi="Abadi"/>
          <w:sz w:val="21"/>
          <w:szCs w:val="21"/>
        </w:rPr>
        <w:t>.</w:t>
      </w:r>
    </w:p>
    <w:p w14:paraId="6B27A53D" w14:textId="77777777" w:rsidR="003E401F" w:rsidRDefault="003E401F" w:rsidP="003E401F">
      <w:pPr>
        <w:jc w:val="both"/>
        <w:rPr>
          <w:rFonts w:ascii="Abadi" w:hAnsi="Abadi"/>
          <w:sz w:val="21"/>
          <w:szCs w:val="21"/>
        </w:rPr>
      </w:pPr>
    </w:p>
    <w:p w14:paraId="3D814012" w14:textId="77777777" w:rsidR="003E401F" w:rsidRDefault="003E401F" w:rsidP="003E401F">
      <w:pPr>
        <w:jc w:val="both"/>
        <w:rPr>
          <w:rFonts w:ascii="Abadi" w:hAnsi="Abadi"/>
          <w:b/>
          <w:bCs/>
          <w:sz w:val="21"/>
          <w:szCs w:val="21"/>
        </w:rPr>
      </w:pPr>
      <w:r w:rsidRPr="00447B71">
        <w:rPr>
          <w:rFonts w:ascii="Abadi" w:hAnsi="Abadi"/>
          <w:b/>
          <w:bCs/>
          <w:sz w:val="21"/>
          <w:szCs w:val="21"/>
        </w:rPr>
        <w:t>(se abre el sistema electrónico)</w:t>
      </w:r>
    </w:p>
    <w:p w14:paraId="3A3C2777" w14:textId="77777777" w:rsidR="003E401F" w:rsidRPr="00447B71" w:rsidRDefault="003E401F" w:rsidP="003E401F">
      <w:pPr>
        <w:jc w:val="both"/>
        <w:rPr>
          <w:rFonts w:ascii="Abadi" w:hAnsi="Abadi"/>
          <w:b/>
          <w:bCs/>
          <w:sz w:val="21"/>
          <w:szCs w:val="21"/>
        </w:rPr>
      </w:pPr>
    </w:p>
    <w:p w14:paraId="2283C4D0" w14:textId="77777777" w:rsidR="003E401F" w:rsidRDefault="003E401F" w:rsidP="003E401F">
      <w:pPr>
        <w:jc w:val="both"/>
        <w:rPr>
          <w:rFonts w:ascii="Abadi" w:hAnsi="Abadi"/>
          <w:sz w:val="21"/>
          <w:szCs w:val="21"/>
        </w:rPr>
      </w:pPr>
      <w:r>
        <w:rPr>
          <w:rFonts w:ascii="Abadi" w:hAnsi="Abadi"/>
          <w:sz w:val="21"/>
          <w:szCs w:val="21"/>
        </w:rPr>
        <w:tab/>
      </w:r>
      <w:r w:rsidRPr="0030088F">
        <w:rPr>
          <w:rFonts w:ascii="Abadi" w:hAnsi="Abadi"/>
          <w:sz w:val="21"/>
          <w:szCs w:val="21"/>
        </w:rPr>
        <w:t xml:space="preserve"> </w:t>
      </w:r>
      <w:r w:rsidRPr="00922648">
        <w:rPr>
          <w:rFonts w:ascii="Abadi" w:hAnsi="Abadi"/>
          <w:b/>
          <w:bCs/>
          <w:sz w:val="21"/>
          <w:szCs w:val="21"/>
        </w:rPr>
        <w:t xml:space="preserve">- La </w:t>
      </w:r>
      <w:proofErr w:type="gramStart"/>
      <w:r w:rsidRPr="00922648">
        <w:rPr>
          <w:rFonts w:ascii="Abadi" w:hAnsi="Abadi"/>
          <w:b/>
          <w:bCs/>
          <w:sz w:val="21"/>
          <w:szCs w:val="21"/>
        </w:rPr>
        <w:t>Secretaría.-</w:t>
      </w:r>
      <w:proofErr w:type="gramEnd"/>
      <w:r>
        <w:rPr>
          <w:rFonts w:ascii="Abadi" w:hAnsi="Abadi"/>
          <w:sz w:val="21"/>
          <w:szCs w:val="21"/>
        </w:rPr>
        <w:t xml:space="preserve"> E</w:t>
      </w:r>
      <w:r w:rsidRPr="0030088F">
        <w:rPr>
          <w:rFonts w:ascii="Abadi" w:hAnsi="Abadi"/>
          <w:sz w:val="21"/>
          <w:szCs w:val="21"/>
        </w:rPr>
        <w:t>n votación nominal y mediante el sistema electrónico se les pregunta si se aprueba en lo general el dictamen que se pone a su consideración</w:t>
      </w:r>
      <w:r>
        <w:rPr>
          <w:rFonts w:ascii="Abadi" w:hAnsi="Abadi"/>
          <w:sz w:val="21"/>
          <w:szCs w:val="21"/>
        </w:rPr>
        <w:t>.</w:t>
      </w:r>
      <w:r w:rsidRPr="0030088F">
        <w:rPr>
          <w:rFonts w:ascii="Abadi" w:hAnsi="Abadi"/>
          <w:sz w:val="21"/>
          <w:szCs w:val="21"/>
        </w:rPr>
        <w:t xml:space="preserve"> </w:t>
      </w:r>
      <w:r>
        <w:rPr>
          <w:rFonts w:ascii="Abadi" w:hAnsi="Abadi"/>
          <w:sz w:val="21"/>
          <w:szCs w:val="21"/>
        </w:rPr>
        <w:t xml:space="preserve">¿Diputada Martha Lourdes? </w:t>
      </w:r>
    </w:p>
    <w:p w14:paraId="3E06B848" w14:textId="77777777" w:rsidR="003E401F" w:rsidRDefault="003E401F" w:rsidP="003E401F">
      <w:pPr>
        <w:jc w:val="both"/>
        <w:rPr>
          <w:rFonts w:ascii="Abadi" w:hAnsi="Abadi"/>
          <w:sz w:val="21"/>
          <w:szCs w:val="21"/>
        </w:rPr>
      </w:pPr>
    </w:p>
    <w:p w14:paraId="342223F9" w14:textId="77777777" w:rsidR="003E401F" w:rsidRDefault="003E401F" w:rsidP="003E401F">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646A8AB5" w14:textId="77777777" w:rsidR="003E401F" w:rsidRDefault="003E401F" w:rsidP="003E401F">
      <w:pPr>
        <w:jc w:val="both"/>
        <w:rPr>
          <w:rFonts w:ascii="Abadi" w:hAnsi="Abadi"/>
          <w:sz w:val="21"/>
          <w:szCs w:val="21"/>
        </w:rPr>
      </w:pPr>
    </w:p>
    <w:p w14:paraId="1CCADB14" w14:textId="77777777" w:rsidR="003E401F" w:rsidRDefault="003E401F" w:rsidP="003E401F">
      <w:pPr>
        <w:jc w:val="both"/>
        <w:rPr>
          <w:rFonts w:ascii="Abadi" w:hAnsi="Abadi"/>
          <w:b/>
          <w:bCs/>
          <w:sz w:val="21"/>
          <w:szCs w:val="21"/>
        </w:rPr>
      </w:pPr>
      <w:r w:rsidRPr="00922648">
        <w:rPr>
          <w:rFonts w:ascii="Abadi" w:hAnsi="Abadi"/>
          <w:b/>
          <w:bCs/>
          <w:sz w:val="21"/>
          <w:szCs w:val="21"/>
        </w:rPr>
        <w:t>(se cierra el sistema electrónico)</w:t>
      </w:r>
    </w:p>
    <w:p w14:paraId="2D435D04" w14:textId="77777777" w:rsidR="003E401F" w:rsidRPr="00922648" w:rsidRDefault="003E401F" w:rsidP="003E401F">
      <w:pPr>
        <w:jc w:val="both"/>
        <w:rPr>
          <w:rFonts w:ascii="Abadi" w:hAnsi="Abadi"/>
          <w:b/>
          <w:bCs/>
          <w:sz w:val="21"/>
          <w:szCs w:val="21"/>
        </w:rPr>
      </w:pPr>
      <w:r>
        <w:rPr>
          <w:noProof/>
        </w:rPr>
        <w:drawing>
          <wp:inline distT="0" distB="0" distL="0" distR="0" wp14:anchorId="07727BDA" wp14:editId="7AB3525D">
            <wp:extent cx="1629508" cy="850962"/>
            <wp:effectExtent l="247650" t="247650" r="256540" b="254000"/>
            <wp:docPr id="1805433995" name="Imagen 180543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433995" name=""/>
                    <pic:cNvPicPr/>
                  </pic:nvPicPr>
                  <pic:blipFill rotWithShape="1">
                    <a:blip r:embed="rId67"/>
                    <a:srcRect b="7153"/>
                    <a:stretch/>
                  </pic:blipFill>
                  <pic:spPr bwMode="auto">
                    <a:xfrm>
                      <a:off x="0" y="0"/>
                      <a:ext cx="1644338" cy="858707"/>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C5438A0" w14:textId="77777777" w:rsidR="003E401F" w:rsidRDefault="003E401F" w:rsidP="003E401F">
      <w:pPr>
        <w:jc w:val="both"/>
        <w:rPr>
          <w:rFonts w:ascii="Abadi" w:hAnsi="Abadi"/>
          <w:sz w:val="21"/>
          <w:szCs w:val="21"/>
        </w:rPr>
      </w:pPr>
      <w:r>
        <w:rPr>
          <w:rFonts w:ascii="Abadi" w:hAnsi="Abadi"/>
          <w:sz w:val="21"/>
          <w:szCs w:val="21"/>
        </w:rPr>
        <w:tab/>
      </w:r>
      <w:r w:rsidRPr="00E84626">
        <w:rPr>
          <w:rFonts w:ascii="Abadi" w:hAnsi="Abadi"/>
          <w:b/>
          <w:bCs/>
          <w:sz w:val="21"/>
          <w:szCs w:val="21"/>
        </w:rPr>
        <w:t xml:space="preserve">- La </w:t>
      </w:r>
      <w:proofErr w:type="gramStart"/>
      <w:r w:rsidRPr="00E84626">
        <w:rPr>
          <w:rFonts w:ascii="Abadi" w:hAnsi="Abadi"/>
          <w:b/>
          <w:bCs/>
          <w:sz w:val="21"/>
          <w:szCs w:val="21"/>
        </w:rPr>
        <w:t>Secretaría.-</w:t>
      </w:r>
      <w:proofErr w:type="gramEnd"/>
      <w:r>
        <w:rPr>
          <w:rFonts w:ascii="Abadi" w:hAnsi="Abadi"/>
          <w:sz w:val="21"/>
          <w:szCs w:val="21"/>
        </w:rPr>
        <w:t xml:space="preserve"> L</w:t>
      </w:r>
      <w:r w:rsidRPr="0030088F">
        <w:rPr>
          <w:rFonts w:ascii="Abadi" w:hAnsi="Abadi"/>
          <w:sz w:val="21"/>
          <w:szCs w:val="21"/>
        </w:rPr>
        <w:t xml:space="preserve">e informo que se han registrado presidenta 32 votos a favor y </w:t>
      </w:r>
      <w:r>
        <w:rPr>
          <w:rFonts w:ascii="Abadi" w:hAnsi="Abadi"/>
          <w:sz w:val="21"/>
          <w:szCs w:val="21"/>
        </w:rPr>
        <w:t>0</w:t>
      </w:r>
      <w:r w:rsidRPr="0030088F">
        <w:rPr>
          <w:rFonts w:ascii="Abadi" w:hAnsi="Abadi"/>
          <w:sz w:val="21"/>
          <w:szCs w:val="21"/>
        </w:rPr>
        <w:t xml:space="preserve"> votos en contra</w:t>
      </w:r>
      <w:r>
        <w:rPr>
          <w:rFonts w:ascii="Abadi" w:hAnsi="Abadi"/>
          <w:sz w:val="21"/>
          <w:szCs w:val="21"/>
        </w:rPr>
        <w:t>.</w:t>
      </w:r>
    </w:p>
    <w:p w14:paraId="5DBCE12A" w14:textId="77777777" w:rsidR="003E401F" w:rsidRDefault="003E401F" w:rsidP="003E401F">
      <w:pPr>
        <w:jc w:val="both"/>
        <w:rPr>
          <w:rFonts w:ascii="Abadi" w:hAnsi="Abadi"/>
          <w:sz w:val="21"/>
          <w:szCs w:val="21"/>
        </w:rPr>
      </w:pPr>
    </w:p>
    <w:p w14:paraId="160D0142" w14:textId="77777777" w:rsidR="003E401F" w:rsidRDefault="003E401F" w:rsidP="003E401F">
      <w:pPr>
        <w:jc w:val="both"/>
        <w:rPr>
          <w:rFonts w:ascii="Abadi" w:hAnsi="Abadi"/>
          <w:sz w:val="21"/>
          <w:szCs w:val="21"/>
        </w:rPr>
      </w:pPr>
      <w:r>
        <w:rPr>
          <w:rFonts w:ascii="Abadi" w:hAnsi="Abadi"/>
          <w:sz w:val="21"/>
          <w:szCs w:val="21"/>
        </w:rPr>
        <w:tab/>
      </w:r>
      <w:r w:rsidRPr="003A7532">
        <w:rPr>
          <w:rFonts w:ascii="Abadi" w:hAnsi="Abadi"/>
          <w:b/>
          <w:bCs/>
          <w:sz w:val="21"/>
          <w:szCs w:val="21"/>
        </w:rPr>
        <w:t xml:space="preserve"> - La </w:t>
      </w:r>
      <w:proofErr w:type="gramStart"/>
      <w:r w:rsidRPr="003A7532">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por en lo general por unanimidad de votos</w:t>
      </w:r>
      <w:r>
        <w:rPr>
          <w:rFonts w:ascii="Abadi" w:hAnsi="Abadi"/>
          <w:sz w:val="21"/>
          <w:szCs w:val="21"/>
        </w:rPr>
        <w:t>.</w:t>
      </w:r>
    </w:p>
    <w:p w14:paraId="353CD01D" w14:textId="77777777" w:rsidR="003E401F" w:rsidRDefault="003E401F" w:rsidP="003E401F">
      <w:pPr>
        <w:jc w:val="both"/>
        <w:rPr>
          <w:rFonts w:ascii="Abadi" w:hAnsi="Abadi"/>
          <w:sz w:val="21"/>
          <w:szCs w:val="21"/>
        </w:rPr>
      </w:pPr>
    </w:p>
    <w:p w14:paraId="0BF5FE1F" w14:textId="77777777" w:rsidR="003E401F" w:rsidRDefault="003E401F" w:rsidP="003E401F">
      <w:pPr>
        <w:jc w:val="both"/>
        <w:rPr>
          <w:rFonts w:ascii="Abadi" w:hAnsi="Abadi"/>
          <w:sz w:val="21"/>
          <w:szCs w:val="21"/>
        </w:rPr>
      </w:pPr>
      <w:r>
        <w:rPr>
          <w:rFonts w:ascii="Abadi" w:hAnsi="Abadi"/>
          <w:sz w:val="21"/>
          <w:szCs w:val="21"/>
        </w:rPr>
        <w:tab/>
        <w:t>- C</w:t>
      </w:r>
      <w:r w:rsidRPr="0030088F">
        <w:rPr>
          <w:rFonts w:ascii="Abadi" w:hAnsi="Abadi"/>
          <w:sz w:val="21"/>
          <w:szCs w:val="21"/>
        </w:rPr>
        <w:t>orresponde someter a discusión el dictamen en lo particular</w:t>
      </w:r>
      <w:r>
        <w:rPr>
          <w:rFonts w:ascii="Abadi" w:hAnsi="Abadi"/>
          <w:sz w:val="21"/>
          <w:szCs w:val="21"/>
        </w:rPr>
        <w:t>. S</w:t>
      </w:r>
      <w:r w:rsidRPr="0030088F">
        <w:rPr>
          <w:rFonts w:ascii="Abadi" w:hAnsi="Abadi"/>
          <w:sz w:val="21"/>
          <w:szCs w:val="21"/>
        </w:rPr>
        <w:t>i desean reservar cualquiera de los artículos contenidos sírvanse apartarlo en la inteligencia de que los artículos no reservados se tendrán por aprobados</w:t>
      </w:r>
      <w:r>
        <w:rPr>
          <w:rFonts w:ascii="Abadi" w:hAnsi="Abadi"/>
          <w:sz w:val="21"/>
          <w:szCs w:val="21"/>
        </w:rPr>
        <w:t>. E</w:t>
      </w:r>
      <w:r w:rsidRPr="0030088F">
        <w:rPr>
          <w:rFonts w:ascii="Abadi" w:hAnsi="Abadi"/>
          <w:sz w:val="21"/>
          <w:szCs w:val="21"/>
        </w:rPr>
        <w:t>sta presidencia declara tener por aprobados los artículos contenidos en el dictamen</w:t>
      </w:r>
      <w:r>
        <w:rPr>
          <w:rFonts w:ascii="Abadi" w:hAnsi="Abadi"/>
          <w:sz w:val="21"/>
          <w:szCs w:val="21"/>
        </w:rPr>
        <w:t>.</w:t>
      </w:r>
    </w:p>
    <w:p w14:paraId="5F46B7DB" w14:textId="77777777" w:rsidR="003E401F" w:rsidRDefault="003E401F" w:rsidP="003E401F">
      <w:pPr>
        <w:jc w:val="both"/>
        <w:rPr>
          <w:rFonts w:ascii="Abadi" w:hAnsi="Abadi"/>
          <w:sz w:val="21"/>
          <w:szCs w:val="21"/>
        </w:rPr>
      </w:pPr>
    </w:p>
    <w:p w14:paraId="7722A720" w14:textId="77777777" w:rsidR="003E401F" w:rsidRPr="003A7532" w:rsidRDefault="003E401F" w:rsidP="003E401F">
      <w:pPr>
        <w:ind w:left="993" w:right="850"/>
        <w:jc w:val="both"/>
        <w:rPr>
          <w:rFonts w:ascii="Abadi" w:hAnsi="Abadi"/>
          <w:b/>
          <w:bCs/>
          <w:i/>
          <w:iCs/>
          <w:sz w:val="21"/>
          <w:szCs w:val="21"/>
          <w:u w:val="single"/>
        </w:rPr>
      </w:pPr>
      <w:r w:rsidRPr="003A7532">
        <w:rPr>
          <w:rFonts w:ascii="Abadi" w:hAnsi="Abadi"/>
          <w:b/>
          <w:bCs/>
          <w:i/>
          <w:iCs/>
          <w:sz w:val="21"/>
          <w:szCs w:val="21"/>
          <w:u w:val="single"/>
        </w:rPr>
        <w:t xml:space="preserve">Remitase al Ejecutivo del Estado el decreto aprobado para los efectos constitucionales de su competencia. </w:t>
      </w:r>
    </w:p>
    <w:p w14:paraId="4A69E545" w14:textId="77777777" w:rsidR="00724F36" w:rsidRPr="00214A66" w:rsidRDefault="00724F36" w:rsidP="00C702D8">
      <w:pPr>
        <w:pStyle w:val="Textoindependiente"/>
        <w:jc w:val="center"/>
        <w:rPr>
          <w:rFonts w:ascii="Abadi" w:hAnsi="Abadi"/>
          <w:b w:val="0"/>
          <w:bCs w:val="0"/>
          <w:sz w:val="21"/>
          <w:szCs w:val="21"/>
        </w:rPr>
      </w:pPr>
    </w:p>
    <w:p w14:paraId="4EA14102" w14:textId="77777777" w:rsidR="00C702D8" w:rsidRPr="00214A66" w:rsidRDefault="00C702D8" w:rsidP="00C702D8">
      <w:pPr>
        <w:jc w:val="both"/>
        <w:rPr>
          <w:rFonts w:ascii="Abadi" w:hAnsi="Abadi"/>
          <w:sz w:val="21"/>
          <w:szCs w:val="21"/>
          <w:lang w:val="es-ES_tradnl"/>
        </w:rPr>
      </w:pPr>
    </w:p>
    <w:p w14:paraId="0F630D7A" w14:textId="7DCFBD8F" w:rsidR="00301874" w:rsidRDefault="00374533" w:rsidP="00D861D8">
      <w:pPr>
        <w:pStyle w:val="Prrafodelista"/>
        <w:numPr>
          <w:ilvl w:val="0"/>
          <w:numId w:val="8"/>
        </w:numPr>
        <w:autoSpaceDE w:val="0"/>
        <w:autoSpaceDN w:val="0"/>
        <w:adjustRightInd w:val="0"/>
        <w:ind w:left="284"/>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 LA INICIATIVA FORMULADA POR EL GOBERNADOR DEL ESTADO, A EFECTO DE QUE SE AUTORICE PREVIA DESAFECTACIÓN DEL DOMINIO PÚBLICO DEL ESTADO, LA ENAJENACIÓN DE DOS BIENES INMUEBLES MEDIANTE SU APORTACIÓN AL PATRIMONIO DEL INSTITUTO DE SEGURIDAD SOCIAL DEL ESTADO DE GUANAJUATO PARA QUE LOS DESTINE AL DESARROLLO DE PROYECTOS DE INFRAESTRUCTURA. </w:t>
      </w:r>
      <w:r w:rsidRPr="00006796">
        <w:rPr>
          <w:rFonts w:ascii="Abadi" w:hAnsi="Abadi" w:cs="Arial-ItalicMT"/>
          <w:b/>
          <w:bCs/>
          <w:i/>
          <w:iCs/>
          <w:sz w:val="21"/>
          <w:szCs w:val="21"/>
        </w:rPr>
        <w:t>(ELD 488/LXV-I)</w:t>
      </w:r>
      <w:r w:rsidR="00A6749A">
        <w:rPr>
          <w:rStyle w:val="Refdenotaalpie"/>
          <w:rFonts w:ascii="Abadi" w:hAnsi="Abadi" w:cs="Arial-ItalicMT"/>
          <w:b/>
          <w:bCs/>
          <w:i/>
          <w:iCs/>
          <w:sz w:val="21"/>
          <w:szCs w:val="21"/>
        </w:rPr>
        <w:footnoteReference w:id="214"/>
      </w:r>
    </w:p>
    <w:p w14:paraId="155935AC" w14:textId="77777777" w:rsidR="00301874" w:rsidRDefault="00301874" w:rsidP="00301874">
      <w:pPr>
        <w:pStyle w:val="Prrafodelista"/>
        <w:autoSpaceDE w:val="0"/>
        <w:autoSpaceDN w:val="0"/>
        <w:adjustRightInd w:val="0"/>
        <w:ind w:left="284"/>
        <w:contextualSpacing/>
        <w:jc w:val="both"/>
        <w:rPr>
          <w:rFonts w:ascii="Abadi" w:hAnsi="Abadi" w:cs="Arial"/>
          <w:sz w:val="21"/>
          <w:szCs w:val="21"/>
        </w:rPr>
      </w:pPr>
    </w:p>
    <w:p w14:paraId="44853603" w14:textId="42FA3F3F" w:rsidR="00D861D8" w:rsidRPr="00301874" w:rsidRDefault="00D861D8" w:rsidP="00301874">
      <w:pPr>
        <w:pStyle w:val="Prrafodelista"/>
        <w:autoSpaceDE w:val="0"/>
        <w:autoSpaceDN w:val="0"/>
        <w:adjustRightInd w:val="0"/>
        <w:ind w:left="0"/>
        <w:contextualSpacing/>
        <w:jc w:val="both"/>
        <w:rPr>
          <w:rFonts w:ascii="Abadi" w:hAnsi="Abadi" w:cs="Arial-ItalicMT"/>
          <w:b/>
          <w:bCs/>
          <w:i/>
          <w:iCs/>
          <w:sz w:val="21"/>
          <w:szCs w:val="21"/>
        </w:rPr>
      </w:pPr>
      <w:r w:rsidRPr="00301874">
        <w:rPr>
          <w:rFonts w:ascii="Abadi" w:hAnsi="Abadi" w:cs="Arial"/>
          <w:b/>
          <w:bCs/>
          <w:sz w:val="21"/>
          <w:szCs w:val="21"/>
        </w:rPr>
        <w:t>C. Presidenta del Congreso del Estado</w:t>
      </w:r>
    </w:p>
    <w:p w14:paraId="4575F7BE" w14:textId="77777777" w:rsidR="00D861D8" w:rsidRPr="001108A1" w:rsidRDefault="00D861D8" w:rsidP="00D861D8">
      <w:pPr>
        <w:rPr>
          <w:rFonts w:ascii="Abadi" w:hAnsi="Abadi" w:cs="Arial"/>
          <w:b/>
          <w:sz w:val="21"/>
          <w:szCs w:val="21"/>
        </w:rPr>
      </w:pPr>
      <w:r w:rsidRPr="001108A1">
        <w:rPr>
          <w:rFonts w:ascii="Abadi" w:hAnsi="Abadi" w:cs="Arial"/>
          <w:b/>
          <w:sz w:val="21"/>
          <w:szCs w:val="21"/>
        </w:rPr>
        <w:t>P r e s e n t e.</w:t>
      </w:r>
    </w:p>
    <w:p w14:paraId="59AE0804" w14:textId="77777777" w:rsidR="00D861D8" w:rsidRPr="001108A1" w:rsidRDefault="00D861D8" w:rsidP="00D861D8">
      <w:pPr>
        <w:rPr>
          <w:rFonts w:ascii="Abadi" w:hAnsi="Abadi"/>
          <w:b/>
          <w:sz w:val="21"/>
          <w:szCs w:val="21"/>
          <w:lang w:val="es-MX"/>
        </w:rPr>
      </w:pPr>
    </w:p>
    <w:p w14:paraId="0476730C" w14:textId="77777777" w:rsidR="00D861D8" w:rsidRPr="001108A1" w:rsidRDefault="00D861D8" w:rsidP="00D861D8">
      <w:pPr>
        <w:jc w:val="both"/>
        <w:rPr>
          <w:rFonts w:ascii="Abadi" w:hAnsi="Abadi"/>
          <w:sz w:val="21"/>
          <w:szCs w:val="21"/>
          <w:lang w:val="es-ES_tradnl"/>
        </w:rPr>
      </w:pPr>
      <w:r w:rsidRPr="001108A1">
        <w:rPr>
          <w:rFonts w:ascii="Abadi" w:hAnsi="Abadi"/>
          <w:b/>
          <w:sz w:val="21"/>
          <w:szCs w:val="21"/>
          <w:lang w:val="es-MX"/>
        </w:rPr>
        <w:tab/>
      </w:r>
      <w:r w:rsidRPr="001108A1">
        <w:rPr>
          <w:rFonts w:ascii="Abadi" w:hAnsi="Abadi"/>
          <w:sz w:val="21"/>
          <w:szCs w:val="21"/>
          <w:lang w:val="es-MX"/>
        </w:rPr>
        <w:t xml:space="preserve">A esta Comisión de Hacienda y Fiscalización le fue turnada para efectos de su estudio y dictamen, la iniciativa formulada por el Gobernador del Estado, </w:t>
      </w:r>
      <w:r w:rsidRPr="001108A1">
        <w:rPr>
          <w:rFonts w:ascii="Abadi" w:hAnsi="Abadi"/>
          <w:sz w:val="21"/>
          <w:szCs w:val="21"/>
          <w:lang w:val="es-ES_tradnl"/>
        </w:rPr>
        <w:t>a efecto de que se autorice previa desafectación del dominio público del Estado, la enajenación de dos bienes inmuebles mediante su aportación al patrimonio del Instituto de Seguridad Social del Estado de Guanajuato para que los destine al desarrollo de proyectos de infraestructura. (ELD 488/LXV-I)</w:t>
      </w:r>
    </w:p>
    <w:p w14:paraId="4F2854EC" w14:textId="77777777" w:rsidR="00D861D8" w:rsidRPr="001108A1" w:rsidRDefault="00D861D8" w:rsidP="00D861D8">
      <w:pPr>
        <w:pStyle w:val="Textoindependiente3"/>
        <w:spacing w:line="240" w:lineRule="auto"/>
        <w:rPr>
          <w:rFonts w:ascii="Abadi" w:hAnsi="Abadi"/>
          <w:sz w:val="21"/>
          <w:szCs w:val="21"/>
        </w:rPr>
      </w:pPr>
    </w:p>
    <w:p w14:paraId="594EB919" w14:textId="77777777" w:rsidR="00D861D8" w:rsidRPr="00301874" w:rsidRDefault="00D861D8" w:rsidP="00D861D8">
      <w:pPr>
        <w:pStyle w:val="Textoindependiente3"/>
        <w:spacing w:line="240" w:lineRule="auto"/>
        <w:rPr>
          <w:rFonts w:ascii="Abadi" w:hAnsi="Abadi" w:cs="Arial"/>
          <w:b w:val="0"/>
          <w:bCs/>
          <w:iCs/>
          <w:sz w:val="21"/>
          <w:szCs w:val="21"/>
        </w:rPr>
      </w:pPr>
      <w:r w:rsidRPr="001108A1">
        <w:rPr>
          <w:rFonts w:ascii="Abadi" w:hAnsi="Abadi"/>
          <w:sz w:val="21"/>
          <w:szCs w:val="21"/>
        </w:rPr>
        <w:tab/>
      </w:r>
      <w:r w:rsidRPr="00301874">
        <w:rPr>
          <w:rFonts w:ascii="Abadi" w:hAnsi="Abadi" w:cs="Arial"/>
          <w:b w:val="0"/>
          <w:bCs/>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301874">
          <w:rPr>
            <w:rFonts w:ascii="Abadi" w:hAnsi="Abadi" w:cs="Arial"/>
            <w:b w:val="0"/>
            <w:bCs/>
            <w:iCs/>
            <w:sz w:val="21"/>
            <w:szCs w:val="21"/>
          </w:rPr>
          <w:t>la Ley Orgánica</w:t>
        </w:r>
      </w:smartTag>
      <w:r w:rsidRPr="00301874">
        <w:rPr>
          <w:rFonts w:ascii="Abadi" w:hAnsi="Abadi" w:cs="Arial"/>
          <w:b w:val="0"/>
          <w:bCs/>
          <w:iCs/>
          <w:sz w:val="21"/>
          <w:szCs w:val="21"/>
        </w:rPr>
        <w:t xml:space="preserve"> del Poder Legislativo del Estado de Guanajuato, nos permitimos rendir el siguiente:</w:t>
      </w:r>
    </w:p>
    <w:p w14:paraId="3C1FEC58" w14:textId="77777777" w:rsidR="00D861D8" w:rsidRPr="001108A1" w:rsidRDefault="00D861D8" w:rsidP="00D861D8">
      <w:pPr>
        <w:pStyle w:val="Ttulo2"/>
        <w:rPr>
          <w:rFonts w:ascii="Abadi" w:hAnsi="Abadi"/>
          <w:sz w:val="21"/>
          <w:szCs w:val="21"/>
        </w:rPr>
      </w:pPr>
    </w:p>
    <w:p w14:paraId="2FBAB3E7" w14:textId="77777777" w:rsidR="00D861D8" w:rsidRPr="001108A1" w:rsidRDefault="00D861D8" w:rsidP="00D861D8">
      <w:pPr>
        <w:pStyle w:val="Ttulo2"/>
        <w:rPr>
          <w:rFonts w:ascii="Abadi" w:hAnsi="Abadi"/>
          <w:sz w:val="21"/>
          <w:szCs w:val="21"/>
        </w:rPr>
      </w:pPr>
      <w:r w:rsidRPr="001108A1">
        <w:rPr>
          <w:rFonts w:ascii="Abadi" w:hAnsi="Abadi"/>
          <w:sz w:val="21"/>
          <w:szCs w:val="21"/>
        </w:rPr>
        <w:t xml:space="preserve">D i c t a m e n </w:t>
      </w:r>
    </w:p>
    <w:p w14:paraId="289466C8" w14:textId="77777777" w:rsidR="00D861D8" w:rsidRPr="001108A1" w:rsidRDefault="00D861D8" w:rsidP="00D861D8">
      <w:pPr>
        <w:jc w:val="center"/>
        <w:rPr>
          <w:rFonts w:ascii="Abadi" w:hAnsi="Abadi"/>
          <w:b/>
          <w:sz w:val="21"/>
          <w:szCs w:val="21"/>
          <w:lang w:val="es-MX"/>
        </w:rPr>
      </w:pPr>
    </w:p>
    <w:p w14:paraId="6037D388" w14:textId="77777777" w:rsidR="00D861D8" w:rsidRPr="001108A1" w:rsidRDefault="00D861D8" w:rsidP="00D861D8">
      <w:pPr>
        <w:jc w:val="both"/>
        <w:rPr>
          <w:rFonts w:ascii="Abadi" w:hAnsi="Abadi"/>
          <w:sz w:val="21"/>
          <w:szCs w:val="21"/>
          <w:lang w:val="es-MX"/>
        </w:rPr>
      </w:pPr>
      <w:r w:rsidRPr="001108A1">
        <w:rPr>
          <w:rFonts w:ascii="Abadi" w:hAnsi="Abadi"/>
          <w:b/>
          <w:sz w:val="21"/>
          <w:szCs w:val="21"/>
          <w:lang w:val="es-MX"/>
        </w:rPr>
        <w:tab/>
      </w:r>
      <w:r w:rsidRPr="001108A1">
        <w:rPr>
          <w:rFonts w:ascii="Abadi" w:hAnsi="Abadi"/>
          <w:sz w:val="21"/>
          <w:szCs w:val="21"/>
          <w:lang w:val="es-MX"/>
        </w:rPr>
        <w:t xml:space="preserve">El Gobernador del Estado, mediante iniciativa de decreto de fecha 17 de abril de 2023, solicitó al Congreso del Estado se le autorice, </w:t>
      </w:r>
      <w:r w:rsidRPr="001108A1">
        <w:rPr>
          <w:rFonts w:ascii="Abadi" w:hAnsi="Abadi"/>
          <w:sz w:val="21"/>
          <w:szCs w:val="21"/>
          <w:lang w:val="es-ES_tradnl"/>
        </w:rPr>
        <w:t xml:space="preserve">previa desafectación del dominio público del Estado, la enajenación de dos bienes inmuebles ubicados en la comunidad </w:t>
      </w:r>
      <w:r w:rsidRPr="001108A1">
        <w:rPr>
          <w:rFonts w:ascii="Abadi" w:hAnsi="Abadi"/>
          <w:i/>
          <w:iCs/>
          <w:sz w:val="21"/>
          <w:szCs w:val="21"/>
          <w:lang w:val="es-ES_tradnl"/>
        </w:rPr>
        <w:t>Capulín de la Cuesta</w:t>
      </w:r>
      <w:r w:rsidRPr="001108A1">
        <w:rPr>
          <w:rFonts w:ascii="Abadi" w:hAnsi="Abadi"/>
          <w:sz w:val="21"/>
          <w:szCs w:val="21"/>
          <w:lang w:val="es-ES_tradnl"/>
        </w:rPr>
        <w:t xml:space="preserve"> del municipio de Silao de la Victoria, </w:t>
      </w:r>
      <w:proofErr w:type="spellStart"/>
      <w:r w:rsidRPr="001108A1">
        <w:rPr>
          <w:rFonts w:ascii="Abadi" w:hAnsi="Abadi"/>
          <w:sz w:val="21"/>
          <w:szCs w:val="21"/>
          <w:lang w:val="es-ES_tradnl"/>
        </w:rPr>
        <w:t>Gto</w:t>
      </w:r>
      <w:proofErr w:type="spellEnd"/>
      <w:r w:rsidRPr="001108A1">
        <w:rPr>
          <w:rFonts w:ascii="Abadi" w:hAnsi="Abadi"/>
          <w:sz w:val="21"/>
          <w:szCs w:val="21"/>
          <w:lang w:val="es-ES_tradnl"/>
        </w:rPr>
        <w:t xml:space="preserve">., mediante su aportación al patrimonio del Instituto de Seguridad Social del Estado de Guanajuato para que los destine al desarrollo de proyectos de infraestructura a efecto de impulsar los ingresos y fortalecer el fondo de </w:t>
      </w:r>
      <w:r w:rsidRPr="001108A1">
        <w:rPr>
          <w:rFonts w:ascii="Abadi" w:hAnsi="Abadi"/>
          <w:sz w:val="21"/>
          <w:szCs w:val="21"/>
          <w:lang w:val="es-MX"/>
        </w:rPr>
        <w:t xml:space="preserve">pensiones. </w:t>
      </w:r>
    </w:p>
    <w:p w14:paraId="58BAF02E" w14:textId="77777777" w:rsidR="00D861D8" w:rsidRPr="001108A1" w:rsidRDefault="00D861D8" w:rsidP="00D861D8">
      <w:pPr>
        <w:jc w:val="both"/>
        <w:rPr>
          <w:rFonts w:ascii="Abadi" w:hAnsi="Abadi" w:cs="Arial"/>
          <w:iCs/>
          <w:sz w:val="21"/>
          <w:szCs w:val="21"/>
          <w:lang w:val="es-MX"/>
        </w:rPr>
      </w:pPr>
    </w:p>
    <w:p w14:paraId="169D0482" w14:textId="77777777" w:rsidR="00D861D8" w:rsidRPr="00301874" w:rsidRDefault="00D861D8" w:rsidP="00D861D8">
      <w:pPr>
        <w:pStyle w:val="Textoindependiente3"/>
        <w:spacing w:line="240" w:lineRule="auto"/>
        <w:rPr>
          <w:rFonts w:ascii="Abadi" w:hAnsi="Abadi"/>
          <w:b w:val="0"/>
          <w:bCs/>
          <w:sz w:val="21"/>
          <w:szCs w:val="21"/>
        </w:rPr>
      </w:pPr>
      <w:r w:rsidRPr="001108A1">
        <w:rPr>
          <w:rFonts w:ascii="Abadi" w:hAnsi="Abadi"/>
          <w:sz w:val="21"/>
          <w:szCs w:val="21"/>
        </w:rPr>
        <w:tab/>
      </w:r>
      <w:r w:rsidRPr="00301874">
        <w:rPr>
          <w:rFonts w:ascii="Abadi" w:hAnsi="Abadi"/>
          <w:b w:val="0"/>
          <w:bCs/>
          <w:sz w:val="21"/>
          <w:szCs w:val="21"/>
        </w:rPr>
        <w:t xml:space="preserve">Dicha iniciativa se turnó a esta Comisión de Hacienda y Fiscalización el 27 de abril de 2023 para su estudio y dictamen, siendo radicada el 2 de mayo del año en curso, acordando llevar a cabo una mesa de trabajo con funcionarios de la Secretaría de Finanzas, Inversión y Administración del Estado, de la Coordinación General Jurídica del Gobierno del Estado y del </w:t>
      </w:r>
      <w:r w:rsidRPr="00301874">
        <w:rPr>
          <w:rFonts w:ascii="Abadi" w:hAnsi="Abadi"/>
          <w:b w:val="0"/>
          <w:bCs/>
          <w:sz w:val="21"/>
          <w:szCs w:val="21"/>
          <w:lang w:val="es-ES_tradnl"/>
        </w:rPr>
        <w:t>Instituto de Seguridad Social del Estado de Guanajuato</w:t>
      </w:r>
      <w:r w:rsidRPr="00301874">
        <w:rPr>
          <w:rFonts w:ascii="Abadi" w:hAnsi="Abadi"/>
          <w:b w:val="0"/>
          <w:bCs/>
          <w:sz w:val="21"/>
          <w:szCs w:val="21"/>
        </w:rPr>
        <w:t xml:space="preserve"> a fin de que expusieran lo relativo al contenido de la iniciativa. </w:t>
      </w:r>
    </w:p>
    <w:p w14:paraId="20C2A301" w14:textId="77777777" w:rsidR="00D861D8" w:rsidRPr="00301874" w:rsidRDefault="00D861D8" w:rsidP="00D861D8">
      <w:pPr>
        <w:pStyle w:val="Textoindependiente3"/>
        <w:spacing w:line="240" w:lineRule="auto"/>
        <w:rPr>
          <w:rFonts w:ascii="Abadi" w:hAnsi="Abadi"/>
          <w:b w:val="0"/>
          <w:bCs/>
          <w:sz w:val="21"/>
          <w:szCs w:val="21"/>
        </w:rPr>
      </w:pPr>
    </w:p>
    <w:p w14:paraId="65F4248B" w14:textId="77777777" w:rsidR="00D861D8" w:rsidRPr="001108A1" w:rsidRDefault="00D861D8" w:rsidP="00301874">
      <w:pPr>
        <w:pStyle w:val="Sangra2detindependiente"/>
        <w:spacing w:line="240" w:lineRule="auto"/>
        <w:jc w:val="both"/>
        <w:rPr>
          <w:rFonts w:ascii="Abadi" w:hAnsi="Abadi"/>
          <w:sz w:val="21"/>
          <w:szCs w:val="21"/>
          <w:lang w:val="es-ES_tradnl"/>
        </w:rPr>
      </w:pPr>
      <w:r w:rsidRPr="001108A1">
        <w:rPr>
          <w:rFonts w:ascii="Abadi" w:hAnsi="Abadi"/>
          <w:sz w:val="21"/>
          <w:szCs w:val="21"/>
        </w:rPr>
        <w:t xml:space="preserve">La propiedad de los bienes inmuebles que se propone aportar al </w:t>
      </w:r>
      <w:r w:rsidRPr="001108A1">
        <w:rPr>
          <w:rFonts w:ascii="Abadi" w:hAnsi="Abadi"/>
          <w:sz w:val="21"/>
          <w:szCs w:val="21"/>
          <w:lang w:val="es-ES_tradnl"/>
        </w:rPr>
        <w:t xml:space="preserve">patrimonio del Instituto de Seguridad Social del Estado de Guanajuato </w:t>
      </w:r>
      <w:r w:rsidRPr="001108A1">
        <w:rPr>
          <w:rFonts w:ascii="Abadi" w:hAnsi="Abadi"/>
          <w:sz w:val="21"/>
          <w:szCs w:val="21"/>
        </w:rPr>
        <w:t xml:space="preserve">se acredita mediante copia certificada de las escrituras públicas números 9,260 y 10,171, de fechas 29 de octubre de 2021 y 6 de diciembre de </w:t>
      </w:r>
      <w:r w:rsidRPr="001108A1">
        <w:rPr>
          <w:rFonts w:ascii="Abadi" w:hAnsi="Abadi"/>
          <w:sz w:val="21"/>
          <w:szCs w:val="21"/>
        </w:rPr>
        <w:t xml:space="preserve">2022 respectivamente, levantadas bajo la fe de la licenciada María Cristina Carranza Vázquez, titular de la Notaría Pública número 7, en legal ejercicio en el Partido Judicial de Dolores Hidalgo Cuna de la Independencia Nacional, </w:t>
      </w:r>
      <w:proofErr w:type="spellStart"/>
      <w:r w:rsidRPr="001108A1">
        <w:rPr>
          <w:rFonts w:ascii="Abadi" w:hAnsi="Abadi"/>
          <w:sz w:val="21"/>
          <w:szCs w:val="21"/>
        </w:rPr>
        <w:t>Gto</w:t>
      </w:r>
      <w:proofErr w:type="spellEnd"/>
      <w:r w:rsidRPr="001108A1">
        <w:rPr>
          <w:rFonts w:ascii="Abadi" w:hAnsi="Abadi"/>
          <w:sz w:val="21"/>
          <w:szCs w:val="21"/>
        </w:rPr>
        <w:t xml:space="preserve">., y debidamente inscritas en el Registro Público de la Propiedad, en las que consta la división de diversas parcelas ubicadas en el Ejido </w:t>
      </w:r>
      <w:r w:rsidRPr="001108A1">
        <w:rPr>
          <w:rFonts w:ascii="Abadi" w:hAnsi="Abadi"/>
          <w:i/>
          <w:iCs/>
          <w:sz w:val="21"/>
          <w:szCs w:val="21"/>
        </w:rPr>
        <w:t xml:space="preserve">El Capulín </w:t>
      </w:r>
      <w:r w:rsidRPr="001108A1">
        <w:rPr>
          <w:rFonts w:ascii="Abadi" w:hAnsi="Abadi"/>
          <w:sz w:val="21"/>
          <w:szCs w:val="21"/>
          <w:lang w:val="es-ES_tradnl"/>
        </w:rPr>
        <w:t xml:space="preserve">del municipio de Silao de la Victoria, </w:t>
      </w:r>
      <w:proofErr w:type="spellStart"/>
      <w:r w:rsidRPr="001108A1">
        <w:rPr>
          <w:rFonts w:ascii="Abadi" w:hAnsi="Abadi"/>
          <w:sz w:val="21"/>
          <w:szCs w:val="21"/>
          <w:lang w:val="es-ES_tradnl"/>
        </w:rPr>
        <w:t>Gto</w:t>
      </w:r>
      <w:proofErr w:type="spellEnd"/>
      <w:r w:rsidRPr="001108A1">
        <w:rPr>
          <w:rFonts w:ascii="Abadi" w:hAnsi="Abadi"/>
          <w:sz w:val="21"/>
          <w:szCs w:val="21"/>
          <w:lang w:val="es-ES_tradnl"/>
        </w:rPr>
        <w:t xml:space="preserve">., así como la fusión de inmuebles que integran el Parque Guanajuato Bicentenario.   </w:t>
      </w:r>
    </w:p>
    <w:p w14:paraId="20A449EE" w14:textId="77777777" w:rsidR="00D861D8" w:rsidRPr="001108A1" w:rsidRDefault="00D861D8" w:rsidP="00301874">
      <w:pPr>
        <w:pStyle w:val="Sangra2detindependiente"/>
        <w:spacing w:line="240" w:lineRule="auto"/>
        <w:jc w:val="both"/>
        <w:rPr>
          <w:rFonts w:ascii="Abadi" w:hAnsi="Abadi"/>
          <w:sz w:val="21"/>
          <w:szCs w:val="21"/>
        </w:rPr>
      </w:pPr>
      <w:r w:rsidRPr="001108A1">
        <w:rPr>
          <w:rFonts w:ascii="Abadi" w:hAnsi="Abadi"/>
          <w:sz w:val="21"/>
          <w:szCs w:val="21"/>
        </w:rPr>
        <w:t>Obra además en el expediente de la iniciativa, copia certificada del oficio número DGSS/E-053/2023, de fecha 24 de febrero de 2023, mediante el cual el director general del Instituto de Seguridad Social del Estado de Guanajuato le solicitó al Gobernador del Estado la donación en favor de dicho Instituto de los bienes inmuebles materia del presente dictamen, ubicados en el Parque Guanajuato Bicentenario, con una extensión de sesenta hectáreas, para el desarrollo de proyectos de infraestructura,  a efecto de impulsar los ingresos y fortalecer el fondo de pensiones.</w:t>
      </w:r>
    </w:p>
    <w:p w14:paraId="59B4ED20" w14:textId="77777777" w:rsidR="00D861D8" w:rsidRPr="001108A1" w:rsidRDefault="00D861D8" w:rsidP="00301874">
      <w:pPr>
        <w:pStyle w:val="Sangra2detindependiente"/>
        <w:spacing w:line="240" w:lineRule="auto"/>
        <w:jc w:val="both"/>
        <w:rPr>
          <w:rFonts w:ascii="Abadi" w:hAnsi="Abadi"/>
          <w:sz w:val="21"/>
          <w:szCs w:val="21"/>
        </w:rPr>
      </w:pPr>
    </w:p>
    <w:p w14:paraId="0CF9D146" w14:textId="77777777" w:rsidR="00D861D8" w:rsidRPr="001108A1" w:rsidRDefault="00D861D8" w:rsidP="00301874">
      <w:pPr>
        <w:pStyle w:val="Sangra2detindependiente"/>
        <w:spacing w:line="240" w:lineRule="auto"/>
        <w:jc w:val="both"/>
        <w:rPr>
          <w:rFonts w:ascii="Abadi" w:hAnsi="Abadi"/>
          <w:sz w:val="21"/>
          <w:szCs w:val="21"/>
        </w:rPr>
      </w:pPr>
      <w:r w:rsidRPr="001108A1">
        <w:rPr>
          <w:rFonts w:ascii="Abadi" w:hAnsi="Abadi"/>
          <w:sz w:val="21"/>
          <w:szCs w:val="21"/>
        </w:rPr>
        <w:t>Se integraron al expediente de la iniciativa, los planos de localización que establecen la superficie, medidas y colindancias de los bienes inmuebles materia de la enajenación; así como los certificados de gravámenes y de historia registral de los mismos.</w:t>
      </w:r>
    </w:p>
    <w:p w14:paraId="66DE2C71" w14:textId="77777777" w:rsidR="00D861D8" w:rsidRPr="001108A1" w:rsidRDefault="00D861D8" w:rsidP="00301874">
      <w:pPr>
        <w:pStyle w:val="Sangra2detindependiente"/>
        <w:spacing w:line="240" w:lineRule="auto"/>
        <w:jc w:val="both"/>
        <w:rPr>
          <w:rFonts w:ascii="Abadi" w:hAnsi="Abadi"/>
          <w:sz w:val="21"/>
          <w:szCs w:val="21"/>
        </w:rPr>
      </w:pPr>
    </w:p>
    <w:p w14:paraId="745BC5DC" w14:textId="77777777" w:rsidR="00D861D8" w:rsidRPr="001108A1" w:rsidRDefault="00D861D8" w:rsidP="00301874">
      <w:pPr>
        <w:pStyle w:val="Sangra2detindependiente"/>
        <w:spacing w:line="240" w:lineRule="auto"/>
        <w:jc w:val="both"/>
        <w:rPr>
          <w:rFonts w:ascii="Abadi" w:hAnsi="Abadi"/>
          <w:sz w:val="21"/>
          <w:szCs w:val="21"/>
        </w:rPr>
      </w:pPr>
      <w:r w:rsidRPr="001108A1">
        <w:rPr>
          <w:rFonts w:ascii="Abadi" w:hAnsi="Abadi"/>
          <w:sz w:val="21"/>
          <w:szCs w:val="21"/>
        </w:rPr>
        <w:t>En la mesa de trabajo celebrada el 6 de junio del año en curso, funcionarios de la Secretaría de Finanzas, Inversión y Administración, de la Coordinación General Jurídica del Gobierno del Estado y del Instituto de Seguridad Social del Estado de Guanajuato expusieron a quienes integramos esta Comisión lo referente al contenido de la iniciativa.</w:t>
      </w:r>
    </w:p>
    <w:p w14:paraId="7FC28ED1" w14:textId="77777777" w:rsidR="00D861D8" w:rsidRPr="001108A1" w:rsidRDefault="00D861D8" w:rsidP="00301874">
      <w:pPr>
        <w:ind w:firstLine="708"/>
        <w:jc w:val="both"/>
        <w:rPr>
          <w:rFonts w:ascii="Abadi" w:hAnsi="Abadi" w:cs="Arial"/>
          <w:iCs/>
          <w:sz w:val="21"/>
          <w:szCs w:val="21"/>
          <w:lang w:val="es-MX"/>
        </w:rPr>
      </w:pPr>
    </w:p>
    <w:p w14:paraId="65EDD88B" w14:textId="77777777" w:rsidR="00D861D8" w:rsidRPr="001108A1" w:rsidRDefault="00D861D8" w:rsidP="00301874">
      <w:pPr>
        <w:ind w:firstLine="708"/>
        <w:jc w:val="both"/>
        <w:rPr>
          <w:rFonts w:ascii="Abadi" w:hAnsi="Abadi" w:cs="Arial"/>
          <w:iCs/>
          <w:sz w:val="21"/>
          <w:szCs w:val="21"/>
          <w:lang w:val="es-MX"/>
        </w:rPr>
      </w:pPr>
      <w:r w:rsidRPr="001108A1">
        <w:rPr>
          <w:rFonts w:ascii="Abadi" w:hAnsi="Abadi" w:cs="Arial"/>
          <w:iCs/>
          <w:sz w:val="21"/>
          <w:szCs w:val="21"/>
          <w:lang w:val="es-MX"/>
        </w:rPr>
        <w:t>En la exposición de motivos de la iniciativa que nos ocupa, se establece que:</w:t>
      </w:r>
    </w:p>
    <w:p w14:paraId="709926A2" w14:textId="77777777" w:rsidR="00D861D8" w:rsidRPr="001108A1" w:rsidRDefault="00D861D8" w:rsidP="00301874">
      <w:pPr>
        <w:ind w:firstLine="708"/>
        <w:jc w:val="both"/>
        <w:rPr>
          <w:rFonts w:ascii="Abadi" w:hAnsi="Abadi" w:cs="Arial"/>
          <w:iCs/>
          <w:sz w:val="21"/>
          <w:szCs w:val="21"/>
          <w:lang w:val="es-MX"/>
        </w:rPr>
      </w:pPr>
    </w:p>
    <w:p w14:paraId="3E6C0266" w14:textId="77777777" w:rsidR="00D861D8" w:rsidRPr="001108A1" w:rsidRDefault="00D861D8" w:rsidP="00301874">
      <w:pPr>
        <w:ind w:left="709" w:hanging="1"/>
        <w:jc w:val="both"/>
        <w:rPr>
          <w:rFonts w:ascii="Abadi" w:hAnsi="Abadi" w:cs="Arial"/>
          <w:i/>
          <w:sz w:val="21"/>
          <w:szCs w:val="21"/>
        </w:rPr>
      </w:pPr>
      <w:r w:rsidRPr="001108A1">
        <w:rPr>
          <w:rFonts w:ascii="Abadi" w:hAnsi="Abadi" w:cs="Arial"/>
          <w:i/>
          <w:sz w:val="21"/>
          <w:szCs w:val="21"/>
          <w:lang w:val="es-ES_tradnl"/>
        </w:rPr>
        <w:t>«…</w:t>
      </w:r>
      <w:r w:rsidRPr="001108A1">
        <w:rPr>
          <w:rFonts w:ascii="Abadi" w:hAnsi="Abadi" w:cs="Arial"/>
          <w:i/>
          <w:sz w:val="21"/>
          <w:szCs w:val="21"/>
        </w:rPr>
        <w:t xml:space="preserve">se busca generar las condiciones que contribuyan al desarrollo integral </w:t>
      </w:r>
      <w:r w:rsidRPr="001108A1">
        <w:rPr>
          <w:rFonts w:ascii="Abadi" w:hAnsi="Abadi" w:cs="Arial"/>
          <w:i/>
          <w:sz w:val="21"/>
          <w:szCs w:val="21"/>
        </w:rPr>
        <w:lastRenderedPageBreak/>
        <w:t>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de Derecho, paz social y corresponsabilidad global. De igual manera, el Objetivo 6.5 Fortalecer el régimen de pensiones de los trabajadores del estado, contempla la Estrategia 6.5.1: Incremento en la rentabilidad de las inversiones del Instituto de Seguridad Social del Estado de Guanajuato, entre cuyas principales acciones se encuentran:</w:t>
      </w:r>
      <w:r w:rsidRPr="001108A1">
        <w:rPr>
          <w:rFonts w:ascii="Abadi" w:eastAsia="Arial" w:hAnsi="Abadi" w:cs="Arial"/>
          <w:i/>
          <w:sz w:val="21"/>
          <w:szCs w:val="21"/>
          <w:lang w:val="es-MX" w:eastAsia="en-US"/>
        </w:rPr>
        <w:t xml:space="preserve"> </w:t>
      </w:r>
      <w:r w:rsidRPr="001108A1">
        <w:rPr>
          <w:rFonts w:ascii="Abadi" w:hAnsi="Abadi" w:cs="Arial"/>
          <w:i/>
          <w:sz w:val="21"/>
          <w:szCs w:val="21"/>
          <w:lang w:val="es-MX"/>
        </w:rPr>
        <w:t>1.</w:t>
      </w:r>
      <w:r w:rsidRPr="001108A1">
        <w:rPr>
          <w:rFonts w:ascii="Abadi" w:eastAsia="Arial" w:hAnsi="Abadi" w:cs="Arial"/>
          <w:i/>
          <w:sz w:val="21"/>
          <w:szCs w:val="21"/>
          <w:lang w:val="es-MX" w:eastAsia="en-US"/>
        </w:rPr>
        <w:t xml:space="preserve"> </w:t>
      </w:r>
      <w:r w:rsidRPr="001108A1">
        <w:rPr>
          <w:rFonts w:ascii="Abadi" w:hAnsi="Abadi" w:cs="Arial"/>
          <w:i/>
          <w:sz w:val="21"/>
          <w:szCs w:val="21"/>
          <w:lang w:val="es-MX"/>
        </w:rPr>
        <w:t>Diseñar estrategias de inversión en instrumentos financieros, alineadas a la trayectoria esperada de los pagos de pensiones en el largo plazo, con las mejores condiciones de rendimiento y riesgo; 3. Elevar la rentabilidad de las unidades de negocio del ISSEG mediante iniciativas que promuevan la eficiencia en las operaciones comerciales; y 4. Desarrollar nuevas unidades de negocio orientadas a elevar la rentabilidad de las inversiones del ISSEG.</w:t>
      </w:r>
    </w:p>
    <w:p w14:paraId="50A4CC1C" w14:textId="77777777" w:rsidR="00D861D8" w:rsidRPr="001108A1" w:rsidRDefault="00D861D8" w:rsidP="00D861D8">
      <w:pPr>
        <w:ind w:left="709" w:hanging="1"/>
        <w:jc w:val="both"/>
        <w:rPr>
          <w:rFonts w:ascii="Abadi" w:hAnsi="Abadi" w:cs="Arial"/>
          <w:i/>
          <w:sz w:val="21"/>
          <w:szCs w:val="21"/>
        </w:rPr>
      </w:pPr>
    </w:p>
    <w:p w14:paraId="5D372BD5" w14:textId="77777777" w:rsidR="00D861D8" w:rsidRPr="001108A1" w:rsidRDefault="00D861D8" w:rsidP="00D861D8">
      <w:pPr>
        <w:ind w:left="709" w:hanging="1"/>
        <w:jc w:val="both"/>
        <w:rPr>
          <w:rFonts w:ascii="Abadi" w:hAnsi="Abadi" w:cs="Arial"/>
          <w:i/>
          <w:sz w:val="21"/>
          <w:szCs w:val="21"/>
        </w:rPr>
      </w:pPr>
      <w:r w:rsidRPr="001108A1">
        <w:rPr>
          <w:rFonts w:ascii="Abadi" w:hAnsi="Abadi" w:cs="Arial"/>
          <w:i/>
          <w:sz w:val="21"/>
          <w:szCs w:val="21"/>
        </w:rPr>
        <w:t xml:space="preserve">En este contexto, la seguridad social forma parte fundamental de las obligaciones del Estado. La Constitución Política de los Estados Unidos Mexicanos de 1917, fue la primera en incluir los derechos sociales, entre ellos, se ubica a la seguridad social; así nuestra Carta Magna recoge diversos derechos sociales, dentro de los cuales se ubica a la seguridad social, la cual se encuentra regulada en el artículo 123, apartado A, fracción XXIX, y apartado B, fracción XI, respectivamente. Así, la seguridad social es parte de la progresividad de los derechos humanos, en la medida que otorga cobertura a la que toda persona tiene derecho a acceder. No obstante, la constante evolución y mejora de los derechos humanos, está sujeta </w:t>
      </w:r>
      <w:r w:rsidRPr="001108A1">
        <w:rPr>
          <w:rFonts w:ascii="Abadi" w:hAnsi="Abadi" w:cs="Arial"/>
          <w:i/>
          <w:sz w:val="21"/>
          <w:szCs w:val="21"/>
        </w:rPr>
        <w:t>invariablemente a las circunstancias económicas nacionales e internacionales, y a los recursos monetarios que dispone cada Estado, de ahí la necesidad de privilegiar institutos de seguridad social sanos financieramente.</w:t>
      </w:r>
    </w:p>
    <w:p w14:paraId="2899662B" w14:textId="77777777" w:rsidR="00D861D8" w:rsidRPr="001108A1" w:rsidRDefault="00D861D8" w:rsidP="00D861D8">
      <w:pPr>
        <w:ind w:left="709" w:hanging="1"/>
        <w:jc w:val="both"/>
        <w:rPr>
          <w:rFonts w:ascii="Abadi" w:hAnsi="Abadi" w:cs="Arial"/>
          <w:i/>
          <w:sz w:val="21"/>
          <w:szCs w:val="21"/>
        </w:rPr>
      </w:pPr>
    </w:p>
    <w:p w14:paraId="1FF146A8" w14:textId="77777777" w:rsidR="00D861D8" w:rsidRPr="001108A1" w:rsidRDefault="00D861D8" w:rsidP="00D861D8">
      <w:pPr>
        <w:ind w:left="709" w:hanging="1"/>
        <w:jc w:val="both"/>
        <w:rPr>
          <w:rFonts w:ascii="Abadi" w:hAnsi="Abadi" w:cs="Arial"/>
          <w:i/>
          <w:sz w:val="21"/>
          <w:szCs w:val="21"/>
        </w:rPr>
      </w:pPr>
      <w:r w:rsidRPr="001108A1">
        <w:rPr>
          <w:rFonts w:ascii="Abadi" w:hAnsi="Abadi" w:cs="Arial"/>
          <w:i/>
          <w:sz w:val="21"/>
          <w:szCs w:val="21"/>
        </w:rPr>
        <w:t>El Instituto de Seguridad Social del Estado «ISSEG», tiene por objeto la administración de los seguros y prestaciones contenidas en la Ley de Seguridad Social del Estado de Guanajuato, así como en los reglamentos respectivos.</w:t>
      </w:r>
    </w:p>
    <w:p w14:paraId="06305601" w14:textId="77777777" w:rsidR="00D861D8" w:rsidRPr="001108A1" w:rsidRDefault="00D861D8" w:rsidP="00D861D8">
      <w:pPr>
        <w:ind w:left="709" w:hanging="1"/>
        <w:jc w:val="both"/>
        <w:rPr>
          <w:rFonts w:ascii="Abadi" w:hAnsi="Abadi" w:cs="Arial"/>
          <w:i/>
          <w:sz w:val="21"/>
          <w:szCs w:val="21"/>
        </w:rPr>
      </w:pPr>
    </w:p>
    <w:p w14:paraId="076015F8" w14:textId="77777777" w:rsidR="00D861D8" w:rsidRPr="001108A1" w:rsidRDefault="00D861D8" w:rsidP="00D861D8">
      <w:pPr>
        <w:ind w:left="709" w:hanging="1"/>
        <w:jc w:val="both"/>
        <w:rPr>
          <w:rFonts w:ascii="Abadi" w:hAnsi="Abadi" w:cs="Arial"/>
          <w:i/>
          <w:sz w:val="21"/>
          <w:szCs w:val="21"/>
        </w:rPr>
      </w:pPr>
      <w:r w:rsidRPr="001108A1">
        <w:rPr>
          <w:rFonts w:ascii="Abadi" w:hAnsi="Abadi" w:cs="Arial"/>
          <w:i/>
          <w:sz w:val="21"/>
          <w:szCs w:val="21"/>
        </w:rPr>
        <w:t xml:space="preserve">En este sentido, </w:t>
      </w:r>
      <w:bookmarkStart w:id="12" w:name="_Hlk130891922"/>
      <w:r w:rsidRPr="001108A1">
        <w:rPr>
          <w:rFonts w:ascii="Abadi" w:hAnsi="Abadi" w:cs="Arial"/>
          <w:i/>
          <w:sz w:val="21"/>
          <w:szCs w:val="21"/>
        </w:rPr>
        <w:t>el Director General del Instituto de Seguridad Social del Estado de Guanajuato, a través del oficio número DGSS/E-053/2023, dirigido al titular del Poder Ejecutivo</w:t>
      </w:r>
      <w:bookmarkEnd w:id="12"/>
      <w:r w:rsidRPr="001108A1">
        <w:rPr>
          <w:rFonts w:ascii="Abadi" w:hAnsi="Abadi" w:cs="Arial"/>
          <w:i/>
          <w:sz w:val="21"/>
          <w:szCs w:val="21"/>
        </w:rPr>
        <w:t xml:space="preserve">, solicitó que </w:t>
      </w:r>
      <w:bookmarkStart w:id="13" w:name="_Hlk130891942"/>
      <w:r w:rsidRPr="001108A1">
        <w:rPr>
          <w:rFonts w:ascii="Abadi" w:hAnsi="Abadi" w:cs="Arial"/>
          <w:i/>
          <w:sz w:val="21"/>
          <w:szCs w:val="21"/>
        </w:rPr>
        <w:t>se realicen las gestiones a que haya lugar, con la finalidad de que se donen inmuebles de los predios que comprenden el Parque Guanajuato Bicentenario, ubicados en carretera Silao-Guanajuato Km. 3.8, Capulín de la Cuesta del municipio de Silao de la Victoria, Guanajuato, para desarrollar proyectos de infraestructura a efecto de impulsar los ingresos y fortalecer el fondo de pensiones.</w:t>
      </w:r>
      <w:bookmarkEnd w:id="13"/>
    </w:p>
    <w:p w14:paraId="0C378804" w14:textId="77777777" w:rsidR="00D861D8" w:rsidRPr="001108A1" w:rsidRDefault="00D861D8" w:rsidP="00D861D8">
      <w:pPr>
        <w:ind w:left="709" w:hanging="1"/>
        <w:jc w:val="both"/>
        <w:rPr>
          <w:rFonts w:ascii="Abadi" w:hAnsi="Abadi" w:cs="Arial"/>
          <w:i/>
          <w:sz w:val="21"/>
          <w:szCs w:val="21"/>
        </w:rPr>
      </w:pPr>
      <w:r w:rsidRPr="001108A1">
        <w:rPr>
          <w:rFonts w:ascii="Abadi" w:hAnsi="Abadi" w:cs="Arial"/>
          <w:i/>
          <w:sz w:val="21"/>
          <w:szCs w:val="21"/>
        </w:rPr>
        <w:t xml:space="preserve"> </w:t>
      </w:r>
    </w:p>
    <w:p w14:paraId="4969A86A" w14:textId="77777777" w:rsidR="00D861D8" w:rsidRPr="001108A1" w:rsidRDefault="00D861D8" w:rsidP="00D861D8">
      <w:pPr>
        <w:autoSpaceDE w:val="0"/>
        <w:autoSpaceDN w:val="0"/>
        <w:adjustRightInd w:val="0"/>
        <w:ind w:left="709" w:hanging="1"/>
        <w:jc w:val="both"/>
        <w:rPr>
          <w:rFonts w:ascii="Abadi" w:hAnsi="Abadi" w:cs="Arial"/>
          <w:i/>
          <w:sz w:val="21"/>
          <w:szCs w:val="21"/>
        </w:rPr>
      </w:pPr>
      <w:r w:rsidRPr="001108A1">
        <w:rPr>
          <w:rFonts w:ascii="Abadi" w:hAnsi="Abadi" w:cs="Arial"/>
          <w:i/>
          <w:sz w:val="21"/>
          <w:szCs w:val="21"/>
        </w:rPr>
        <w:t xml:space="preserve">Los inmuebles solicitados por el Instituto de Seguridad Social del Estado de Guanajuato para ejecutar el proyecto de mérito, corresponden a dos inmuebles ubicados </w:t>
      </w:r>
      <w:r w:rsidRPr="001108A1">
        <w:rPr>
          <w:rFonts w:ascii="Abadi" w:hAnsi="Abadi" w:cs="Tahoma"/>
          <w:i/>
          <w:sz w:val="21"/>
          <w:szCs w:val="21"/>
        </w:rPr>
        <w:t xml:space="preserve">en la comunidad Capulín de la Cuesta (Parque Guanajuato Bicentenario), del municipio de Silao de la Victoria, </w:t>
      </w:r>
      <w:proofErr w:type="spellStart"/>
      <w:r w:rsidRPr="001108A1">
        <w:rPr>
          <w:rFonts w:ascii="Abadi" w:hAnsi="Abadi" w:cs="Tahoma"/>
          <w:i/>
          <w:sz w:val="21"/>
          <w:szCs w:val="21"/>
        </w:rPr>
        <w:t>Gto</w:t>
      </w:r>
      <w:proofErr w:type="spellEnd"/>
      <w:r w:rsidRPr="001108A1">
        <w:rPr>
          <w:rFonts w:ascii="Abadi" w:hAnsi="Abadi" w:cs="Tahoma"/>
          <w:i/>
          <w:sz w:val="21"/>
          <w:szCs w:val="21"/>
        </w:rPr>
        <w:t xml:space="preserve">., </w:t>
      </w:r>
      <w:r w:rsidRPr="001108A1">
        <w:rPr>
          <w:rFonts w:ascii="Abadi" w:hAnsi="Abadi" w:cs="Tahoma"/>
          <w:bCs/>
          <w:i/>
          <w:sz w:val="21"/>
          <w:szCs w:val="21"/>
        </w:rPr>
        <w:t xml:space="preserve">con superficies, conforme a planos topográficos, de </w:t>
      </w:r>
      <w:r w:rsidRPr="001108A1">
        <w:rPr>
          <w:rFonts w:ascii="Abadi" w:hAnsi="Abadi" w:cs="Tahoma"/>
          <w:bCs/>
          <w:i/>
          <w:color w:val="000000"/>
          <w:sz w:val="21"/>
          <w:szCs w:val="21"/>
        </w:rPr>
        <w:t xml:space="preserve">125,468.32 m² ciento veinticinco mil cuatrocientos sesenta y ocho punto treinta y dos metros cuadrados y </w:t>
      </w:r>
      <w:r w:rsidRPr="001108A1">
        <w:rPr>
          <w:rFonts w:ascii="Abadi" w:hAnsi="Abadi" w:cs="Tahoma"/>
          <w:i/>
          <w:sz w:val="21"/>
          <w:szCs w:val="21"/>
        </w:rPr>
        <w:t>13,726.09 m² trece mil setecientos veintiséis punto cero nueve metros cuadrados.</w:t>
      </w:r>
    </w:p>
    <w:p w14:paraId="756ED5BA" w14:textId="77777777" w:rsidR="00D861D8" w:rsidRPr="001108A1" w:rsidRDefault="00D861D8" w:rsidP="00D861D8">
      <w:pPr>
        <w:autoSpaceDE w:val="0"/>
        <w:autoSpaceDN w:val="0"/>
        <w:adjustRightInd w:val="0"/>
        <w:ind w:left="709" w:hanging="1"/>
        <w:jc w:val="both"/>
        <w:rPr>
          <w:rFonts w:ascii="Abadi" w:hAnsi="Abadi" w:cs="Arial"/>
          <w:i/>
          <w:sz w:val="21"/>
          <w:szCs w:val="21"/>
        </w:rPr>
      </w:pPr>
    </w:p>
    <w:p w14:paraId="380A3E00" w14:textId="77777777" w:rsidR="00D861D8" w:rsidRPr="001108A1" w:rsidRDefault="00D861D8" w:rsidP="00D861D8">
      <w:pPr>
        <w:ind w:left="709" w:hanging="1"/>
        <w:jc w:val="both"/>
        <w:rPr>
          <w:rFonts w:ascii="Abadi" w:hAnsi="Abadi" w:cs="Tahoma"/>
          <w:bCs/>
          <w:i/>
          <w:sz w:val="21"/>
          <w:szCs w:val="21"/>
        </w:rPr>
      </w:pPr>
      <w:r w:rsidRPr="001108A1">
        <w:rPr>
          <w:rFonts w:ascii="Abadi" w:hAnsi="Abadi" w:cs="Arial"/>
          <w:i/>
          <w:sz w:val="21"/>
          <w:szCs w:val="21"/>
        </w:rPr>
        <w:t xml:space="preserve">Los inmuebles de referencia fueron adquiridos por el Estado de Guanajuato, lo que consta </w:t>
      </w:r>
      <w:r w:rsidRPr="001108A1">
        <w:rPr>
          <w:rFonts w:ascii="Abadi" w:hAnsi="Abadi" w:cs="Tahoma"/>
          <w:bCs/>
          <w:i/>
          <w:sz w:val="21"/>
          <w:szCs w:val="21"/>
        </w:rPr>
        <w:t xml:space="preserve">en los testimonios de las escrituras públicas números 9,260 y 10,171, de fechas 29 de octubre de 2021 y 6 de </w:t>
      </w:r>
      <w:r w:rsidRPr="001108A1">
        <w:rPr>
          <w:rFonts w:ascii="Abadi" w:hAnsi="Abadi" w:cs="Tahoma"/>
          <w:bCs/>
          <w:i/>
          <w:sz w:val="21"/>
          <w:szCs w:val="21"/>
        </w:rPr>
        <w:lastRenderedPageBreak/>
        <w:t>diciembre de 2022, respectivamente, otorgadas por la licenciada Graciela María Cristina Carranza Vázquez, titular de la Notaría Pública número 7 del Partido Judicial de Dolores Hidalgo, Cuna de la Independencia Nacional, Guanajuato.</w:t>
      </w:r>
    </w:p>
    <w:p w14:paraId="7BF96288" w14:textId="77777777" w:rsidR="00D861D8" w:rsidRPr="001108A1" w:rsidRDefault="00D861D8" w:rsidP="00D861D8">
      <w:pPr>
        <w:autoSpaceDE w:val="0"/>
        <w:autoSpaceDN w:val="0"/>
        <w:adjustRightInd w:val="0"/>
        <w:ind w:left="709" w:hanging="1"/>
        <w:jc w:val="both"/>
        <w:rPr>
          <w:rFonts w:ascii="Abadi" w:eastAsia="Calibri" w:hAnsi="Abadi" w:cs="Tahoma"/>
          <w:i/>
          <w:sz w:val="21"/>
          <w:szCs w:val="21"/>
          <w:lang w:val="es-MX" w:eastAsia="en-US"/>
        </w:rPr>
      </w:pPr>
    </w:p>
    <w:p w14:paraId="29460820" w14:textId="77777777" w:rsidR="00D861D8" w:rsidRPr="001108A1" w:rsidRDefault="00D861D8" w:rsidP="00D861D8">
      <w:pPr>
        <w:autoSpaceDE w:val="0"/>
        <w:autoSpaceDN w:val="0"/>
        <w:adjustRightInd w:val="0"/>
        <w:ind w:left="709" w:hanging="1"/>
        <w:jc w:val="both"/>
        <w:rPr>
          <w:rFonts w:ascii="Abadi" w:eastAsia="Calibri" w:hAnsi="Abadi" w:cs="Arial"/>
          <w:i/>
          <w:sz w:val="21"/>
          <w:szCs w:val="21"/>
        </w:rPr>
      </w:pPr>
      <w:r w:rsidRPr="001108A1">
        <w:rPr>
          <w:rFonts w:ascii="Abadi" w:eastAsia="Calibri" w:hAnsi="Abadi" w:cs="Arial"/>
          <w:i/>
          <w:sz w:val="21"/>
          <w:szCs w:val="21"/>
        </w:rPr>
        <w:t xml:space="preserve">Así, en razón de que la solicitud realizada por el </w:t>
      </w:r>
      <w:r w:rsidRPr="001108A1">
        <w:rPr>
          <w:rFonts w:ascii="Abadi" w:hAnsi="Abadi" w:cs="Arial"/>
          <w:i/>
          <w:sz w:val="21"/>
          <w:szCs w:val="21"/>
        </w:rPr>
        <w:t>Instituto de Seguridad Social del Estado de Guanajuato</w:t>
      </w:r>
      <w:r w:rsidRPr="001108A1">
        <w:rPr>
          <w:rFonts w:ascii="Abadi" w:eastAsia="Calibri" w:hAnsi="Abadi" w:cs="Arial"/>
          <w:i/>
          <w:sz w:val="21"/>
          <w:szCs w:val="21"/>
        </w:rPr>
        <w:t xml:space="preserve">, </w:t>
      </w:r>
      <w:r w:rsidRPr="001108A1">
        <w:rPr>
          <w:rFonts w:ascii="Abadi" w:hAnsi="Abadi" w:cs="Arial"/>
          <w:i/>
          <w:sz w:val="21"/>
          <w:szCs w:val="21"/>
        </w:rPr>
        <w:t>se inscribe en el marco de los objetivos y metas previstos en los instrumentos de planeación que orientan la actuación de la administración pública estatal,</w:t>
      </w:r>
      <w:r w:rsidRPr="001108A1">
        <w:rPr>
          <w:rFonts w:ascii="Abadi" w:eastAsia="Calibri" w:hAnsi="Abadi" w:cs="Tahoma"/>
          <w:i/>
          <w:sz w:val="21"/>
          <w:szCs w:val="21"/>
          <w:lang w:val="es-MX" w:eastAsia="en-US"/>
        </w:rPr>
        <w:t xml:space="preserve"> </w:t>
      </w:r>
      <w:r w:rsidRPr="001108A1">
        <w:rPr>
          <w:rFonts w:ascii="Abadi" w:eastAsia="Calibri" w:hAnsi="Abadi" w:cs="Arial"/>
          <w:i/>
          <w:sz w:val="21"/>
          <w:szCs w:val="21"/>
        </w:rPr>
        <w:t>el Ejecutivo del Estado estima pertinente autorizar la enajenación de los inmuebles objeto de la presente iniciativa, para que dicho organismo, lleve a cabo la ejecución de proyectos de infraestructura.</w:t>
      </w:r>
    </w:p>
    <w:p w14:paraId="7EB26BE5" w14:textId="77777777" w:rsidR="00D861D8" w:rsidRPr="001108A1" w:rsidRDefault="00D861D8" w:rsidP="00D861D8">
      <w:pPr>
        <w:autoSpaceDE w:val="0"/>
        <w:autoSpaceDN w:val="0"/>
        <w:adjustRightInd w:val="0"/>
        <w:ind w:left="709" w:hanging="1"/>
        <w:jc w:val="both"/>
        <w:rPr>
          <w:rFonts w:ascii="Abadi" w:hAnsi="Abadi" w:cs="Arial"/>
          <w:i/>
          <w:sz w:val="21"/>
          <w:szCs w:val="21"/>
        </w:rPr>
      </w:pPr>
    </w:p>
    <w:p w14:paraId="1DE219D8" w14:textId="77777777" w:rsidR="00D861D8" w:rsidRPr="001108A1" w:rsidRDefault="00D861D8" w:rsidP="00D861D8">
      <w:pPr>
        <w:autoSpaceDE w:val="0"/>
        <w:autoSpaceDN w:val="0"/>
        <w:adjustRightInd w:val="0"/>
        <w:ind w:left="709" w:hanging="1"/>
        <w:jc w:val="both"/>
        <w:rPr>
          <w:rFonts w:ascii="Abadi" w:hAnsi="Abadi"/>
          <w:i/>
          <w:sz w:val="21"/>
          <w:szCs w:val="21"/>
        </w:rPr>
      </w:pPr>
      <w:r w:rsidRPr="001108A1">
        <w:rPr>
          <w:rFonts w:ascii="Abadi" w:hAnsi="Abadi"/>
          <w:i/>
          <w:sz w:val="21"/>
          <w:szCs w:val="21"/>
        </w:rPr>
        <w:t xml:space="preserve">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w:t>
      </w:r>
      <w:r w:rsidRPr="001108A1">
        <w:rPr>
          <w:rFonts w:ascii="Abadi" w:hAnsi="Abadi" w:cs="Arial"/>
          <w:i/>
          <w:sz w:val="21"/>
          <w:szCs w:val="21"/>
        </w:rPr>
        <w:t>legislación</w:t>
      </w:r>
      <w:r w:rsidRPr="001108A1">
        <w:rPr>
          <w:rFonts w:ascii="Abadi" w:hAnsi="Abadi"/>
          <w:i/>
          <w:sz w:val="21"/>
          <w:szCs w:val="21"/>
        </w:rPr>
        <w:t xml:space="preserve"> </w:t>
      </w:r>
      <w:r w:rsidRPr="001108A1">
        <w:rPr>
          <w:rFonts w:ascii="Abadi" w:hAnsi="Abadi" w:cs="Calibri"/>
          <w:i/>
          <w:sz w:val="21"/>
          <w:szCs w:val="21"/>
        </w:rPr>
        <w:t>—</w:t>
      </w:r>
      <w:r w:rsidRPr="001108A1">
        <w:rPr>
          <w:rFonts w:ascii="Abadi" w:hAnsi="Abadi"/>
          <w:i/>
          <w:sz w:val="21"/>
          <w:szCs w:val="21"/>
        </w:rPr>
        <w:t>qué se legisla</w:t>
      </w:r>
      <w:r w:rsidRPr="001108A1">
        <w:rPr>
          <w:rFonts w:ascii="Abadi" w:hAnsi="Abadi" w:cs="Calibri"/>
          <w:i/>
          <w:sz w:val="21"/>
          <w:szCs w:val="21"/>
        </w:rPr>
        <w:t>—</w:t>
      </w:r>
      <w:r w:rsidRPr="001108A1">
        <w:rPr>
          <w:rFonts w:ascii="Abadi" w:hAnsi="Abadi"/>
          <w:i/>
          <w:sz w:val="21"/>
          <w:szCs w:val="21"/>
        </w:rPr>
        <w:t xml:space="preserve"> sino también en la plasmación lingüística de la norma </w:t>
      </w:r>
      <w:r w:rsidRPr="001108A1">
        <w:rPr>
          <w:rFonts w:ascii="Abadi" w:hAnsi="Abadi" w:cs="Calibri"/>
          <w:i/>
          <w:sz w:val="21"/>
          <w:szCs w:val="21"/>
        </w:rPr>
        <w:t>—</w:t>
      </w:r>
      <w:r w:rsidRPr="001108A1">
        <w:rPr>
          <w:rFonts w:ascii="Abadi" w:hAnsi="Abadi"/>
          <w:i/>
          <w:sz w:val="21"/>
          <w:szCs w:val="21"/>
        </w:rPr>
        <w:t>con qué palabras se legisla</w:t>
      </w:r>
      <w:r w:rsidRPr="001108A1">
        <w:rPr>
          <w:rFonts w:ascii="Abadi" w:hAnsi="Abadi" w:cs="Calibri"/>
          <w:i/>
          <w:sz w:val="21"/>
          <w:szCs w:val="21"/>
        </w:rPr>
        <w:t>—</w:t>
      </w:r>
      <w:r w:rsidRPr="001108A1">
        <w:rPr>
          <w:rFonts w:ascii="Abadi" w:hAnsi="Abadi"/>
          <w:i/>
          <w:sz w:val="21"/>
          <w:szCs w:val="21"/>
        </w:rPr>
        <w:t>, por ello, atendiendo la previsión del artículo 209 de la Ley Orgánica del Poder Legislativo del Estado de Guanajuato, relativo a la evaluación ex ante de la norma, a partir de la evaluación del impacto jurídico, administrativo, presupuestario y social, se manifiesta:</w:t>
      </w:r>
    </w:p>
    <w:p w14:paraId="06062B72" w14:textId="77777777" w:rsidR="00D861D8" w:rsidRPr="001108A1" w:rsidRDefault="00D861D8" w:rsidP="00D861D8">
      <w:pPr>
        <w:autoSpaceDE w:val="0"/>
        <w:autoSpaceDN w:val="0"/>
        <w:adjustRightInd w:val="0"/>
        <w:ind w:left="709" w:hanging="1"/>
        <w:jc w:val="both"/>
        <w:rPr>
          <w:rFonts w:ascii="Abadi" w:hAnsi="Abadi"/>
          <w:i/>
          <w:sz w:val="21"/>
          <w:szCs w:val="21"/>
        </w:rPr>
      </w:pPr>
    </w:p>
    <w:p w14:paraId="35BD5BD4" w14:textId="77777777" w:rsidR="00D861D8" w:rsidRPr="001108A1" w:rsidRDefault="00D861D8" w:rsidP="005B68E6">
      <w:pPr>
        <w:pStyle w:val="Prrafodelista"/>
        <w:widowControl w:val="0"/>
        <w:numPr>
          <w:ilvl w:val="0"/>
          <w:numId w:val="31"/>
        </w:numPr>
        <w:autoSpaceDE w:val="0"/>
        <w:autoSpaceDN w:val="0"/>
        <w:adjustRightInd w:val="0"/>
        <w:ind w:left="709" w:hanging="1"/>
        <w:contextualSpacing/>
        <w:jc w:val="both"/>
        <w:rPr>
          <w:rFonts w:ascii="Abadi" w:hAnsi="Abadi"/>
          <w:b/>
          <w:i/>
          <w:sz w:val="21"/>
          <w:szCs w:val="21"/>
        </w:rPr>
      </w:pPr>
      <w:r w:rsidRPr="001108A1">
        <w:rPr>
          <w:rFonts w:ascii="Abadi" w:hAnsi="Abadi"/>
          <w:b/>
          <w:i/>
          <w:sz w:val="21"/>
          <w:szCs w:val="21"/>
        </w:rPr>
        <w:t>Impacto jurídico:</w:t>
      </w:r>
      <w:r w:rsidRPr="001108A1">
        <w:rPr>
          <w:rFonts w:ascii="Abadi" w:hAnsi="Abadi"/>
          <w:i/>
          <w:sz w:val="21"/>
          <w:szCs w:val="21"/>
        </w:rPr>
        <w:t xml:space="preserve"> se traduce en la autorización de ese Congreso para que el Ejecutivo del Estado pueda enajenar dos inmuebles del Estado</w:t>
      </w:r>
      <w:r w:rsidRPr="001108A1">
        <w:rPr>
          <w:rFonts w:ascii="Abadi" w:hAnsi="Abadi"/>
          <w:i/>
          <w:sz w:val="21"/>
          <w:szCs w:val="21"/>
          <w:lang w:val="es-MX"/>
        </w:rPr>
        <w:t xml:space="preserve">, a efecto de que sean aportados al patrimonio del </w:t>
      </w:r>
      <w:bookmarkStart w:id="14" w:name="_Hlk130891749"/>
      <w:r w:rsidRPr="001108A1">
        <w:rPr>
          <w:rFonts w:ascii="Abadi" w:hAnsi="Abadi"/>
          <w:i/>
          <w:sz w:val="21"/>
          <w:szCs w:val="21"/>
          <w:lang w:val="es-MX"/>
        </w:rPr>
        <w:t>Instituto de Seguridad Social del Estado de Guanajuato</w:t>
      </w:r>
      <w:bookmarkEnd w:id="14"/>
      <w:r w:rsidRPr="001108A1">
        <w:rPr>
          <w:rFonts w:ascii="Abadi" w:hAnsi="Abadi" w:cs="Arial"/>
          <w:i/>
          <w:sz w:val="21"/>
          <w:szCs w:val="21"/>
        </w:rPr>
        <w:t>, y este pueda ejecutar proyectos de infraestructura</w:t>
      </w:r>
      <w:r w:rsidRPr="001108A1">
        <w:rPr>
          <w:rFonts w:ascii="Abadi" w:hAnsi="Abadi"/>
          <w:i/>
          <w:sz w:val="21"/>
          <w:szCs w:val="21"/>
        </w:rPr>
        <w:t xml:space="preserve">; </w:t>
      </w:r>
    </w:p>
    <w:p w14:paraId="3C789C52" w14:textId="77777777" w:rsidR="00D861D8" w:rsidRPr="001108A1" w:rsidRDefault="00D861D8" w:rsidP="00D861D8">
      <w:pPr>
        <w:pStyle w:val="Prrafodelista"/>
        <w:widowControl w:val="0"/>
        <w:autoSpaceDE w:val="0"/>
        <w:autoSpaceDN w:val="0"/>
        <w:adjustRightInd w:val="0"/>
        <w:ind w:left="709"/>
        <w:contextualSpacing/>
        <w:jc w:val="both"/>
        <w:rPr>
          <w:rFonts w:ascii="Abadi" w:hAnsi="Abadi"/>
          <w:i/>
          <w:sz w:val="21"/>
          <w:szCs w:val="21"/>
        </w:rPr>
      </w:pPr>
    </w:p>
    <w:p w14:paraId="7A11DA7D" w14:textId="77777777" w:rsidR="00D861D8" w:rsidRPr="001108A1" w:rsidRDefault="00D861D8" w:rsidP="005B68E6">
      <w:pPr>
        <w:pStyle w:val="Prrafodelista"/>
        <w:widowControl w:val="0"/>
        <w:numPr>
          <w:ilvl w:val="0"/>
          <w:numId w:val="31"/>
        </w:numPr>
        <w:autoSpaceDE w:val="0"/>
        <w:autoSpaceDN w:val="0"/>
        <w:adjustRightInd w:val="0"/>
        <w:ind w:left="709" w:hanging="1"/>
        <w:contextualSpacing/>
        <w:jc w:val="both"/>
        <w:rPr>
          <w:rFonts w:ascii="Abadi" w:hAnsi="Abadi"/>
          <w:i/>
          <w:sz w:val="21"/>
          <w:szCs w:val="21"/>
        </w:rPr>
      </w:pPr>
      <w:r w:rsidRPr="001108A1">
        <w:rPr>
          <w:rFonts w:ascii="Abadi" w:hAnsi="Abadi"/>
          <w:b/>
          <w:i/>
          <w:sz w:val="21"/>
          <w:szCs w:val="21"/>
        </w:rPr>
        <w:t>Impacto administrativo:</w:t>
      </w:r>
      <w:r w:rsidRPr="001108A1">
        <w:rPr>
          <w:rFonts w:ascii="Abadi" w:hAnsi="Abadi"/>
          <w:i/>
          <w:sz w:val="21"/>
          <w:szCs w:val="21"/>
        </w:rPr>
        <w:t xml:space="preserve"> en </w:t>
      </w:r>
      <w:r w:rsidRPr="001108A1">
        <w:rPr>
          <w:rFonts w:ascii="Abadi" w:hAnsi="Abadi"/>
          <w:i/>
          <w:sz w:val="21"/>
          <w:szCs w:val="21"/>
        </w:rPr>
        <w:t xml:space="preserve">razón de los alcances y naturaleza de la Iniciativa que se propone, no se actualizan impactos de orden administrativo; </w:t>
      </w:r>
    </w:p>
    <w:p w14:paraId="19F7F269" w14:textId="77777777" w:rsidR="00D861D8" w:rsidRPr="001108A1" w:rsidRDefault="00D861D8" w:rsidP="00D861D8">
      <w:pPr>
        <w:pStyle w:val="Prrafodelista"/>
        <w:rPr>
          <w:rFonts w:ascii="Abadi" w:hAnsi="Abadi"/>
          <w:i/>
          <w:sz w:val="21"/>
          <w:szCs w:val="21"/>
        </w:rPr>
      </w:pPr>
    </w:p>
    <w:p w14:paraId="581B6981" w14:textId="77777777" w:rsidR="00D861D8" w:rsidRPr="001108A1" w:rsidRDefault="00D861D8" w:rsidP="005B68E6">
      <w:pPr>
        <w:pStyle w:val="Prrafodelista"/>
        <w:widowControl w:val="0"/>
        <w:numPr>
          <w:ilvl w:val="0"/>
          <w:numId w:val="31"/>
        </w:numPr>
        <w:autoSpaceDE w:val="0"/>
        <w:autoSpaceDN w:val="0"/>
        <w:adjustRightInd w:val="0"/>
        <w:ind w:left="709" w:hanging="1"/>
        <w:contextualSpacing/>
        <w:jc w:val="both"/>
        <w:rPr>
          <w:rFonts w:ascii="Abadi" w:hAnsi="Abadi"/>
          <w:i/>
          <w:sz w:val="21"/>
          <w:szCs w:val="21"/>
        </w:rPr>
      </w:pPr>
      <w:r w:rsidRPr="001108A1">
        <w:rPr>
          <w:rFonts w:ascii="Abadi" w:hAnsi="Abadi"/>
          <w:b/>
          <w:i/>
          <w:sz w:val="21"/>
          <w:szCs w:val="21"/>
        </w:rPr>
        <w:t>Impacto presupuestario:</w:t>
      </w:r>
      <w:r w:rsidRPr="001108A1">
        <w:rPr>
          <w:rFonts w:ascii="Abadi" w:hAnsi="Abadi"/>
          <w:i/>
          <w:sz w:val="21"/>
          <w:szCs w:val="21"/>
        </w:rPr>
        <w:t xml:space="preserve"> en razón de los alcances y naturaleza de la Iniciativa que se propone, no se actualizan impactos de orden presupuestario; y </w:t>
      </w:r>
    </w:p>
    <w:p w14:paraId="2EAB5F05" w14:textId="77777777" w:rsidR="00D861D8" w:rsidRPr="001108A1" w:rsidRDefault="00D861D8" w:rsidP="00D861D8">
      <w:pPr>
        <w:pStyle w:val="Prrafodelista"/>
        <w:rPr>
          <w:rFonts w:ascii="Abadi" w:hAnsi="Abadi"/>
          <w:i/>
          <w:sz w:val="21"/>
          <w:szCs w:val="21"/>
        </w:rPr>
      </w:pPr>
    </w:p>
    <w:p w14:paraId="7F68FE88" w14:textId="77777777" w:rsidR="00D861D8" w:rsidRPr="001108A1" w:rsidRDefault="00D861D8" w:rsidP="005B68E6">
      <w:pPr>
        <w:pStyle w:val="Prrafodelista"/>
        <w:widowControl w:val="0"/>
        <w:numPr>
          <w:ilvl w:val="0"/>
          <w:numId w:val="31"/>
        </w:numPr>
        <w:autoSpaceDE w:val="0"/>
        <w:autoSpaceDN w:val="0"/>
        <w:adjustRightInd w:val="0"/>
        <w:ind w:left="709" w:hanging="1"/>
        <w:contextualSpacing/>
        <w:jc w:val="both"/>
        <w:rPr>
          <w:rFonts w:ascii="Abadi" w:hAnsi="Abadi"/>
          <w:i/>
          <w:sz w:val="21"/>
          <w:szCs w:val="21"/>
        </w:rPr>
      </w:pPr>
      <w:r w:rsidRPr="001108A1">
        <w:rPr>
          <w:rFonts w:ascii="Abadi" w:hAnsi="Abadi"/>
          <w:b/>
          <w:i/>
          <w:sz w:val="21"/>
          <w:szCs w:val="21"/>
        </w:rPr>
        <w:t>Impacto social:</w:t>
      </w:r>
      <w:r w:rsidRPr="001108A1">
        <w:rPr>
          <w:rFonts w:ascii="Abadi" w:hAnsi="Abadi"/>
          <w:i/>
          <w:sz w:val="21"/>
          <w:szCs w:val="21"/>
        </w:rPr>
        <w:t xml:space="preserve"> con la ejecución de los proyectos de infraestructura, se beneficia a las personas aseguradas del Instituto de Seguridad Social del Estado de Guanajuato, mediante el fortalecimiento de sus finanzas y el impulso de sus ingresos que permiten consolidar el fondo de pensiones y su viabilidad a largo plazo.»</w:t>
      </w:r>
    </w:p>
    <w:p w14:paraId="79F99EB0" w14:textId="77777777" w:rsidR="00D861D8" w:rsidRPr="001108A1" w:rsidRDefault="00D861D8" w:rsidP="00D861D8">
      <w:pPr>
        <w:ind w:left="709" w:hanging="1"/>
        <w:jc w:val="both"/>
        <w:rPr>
          <w:rFonts w:ascii="Abadi" w:hAnsi="Abadi"/>
          <w:i/>
          <w:sz w:val="21"/>
          <w:szCs w:val="21"/>
        </w:rPr>
      </w:pPr>
    </w:p>
    <w:p w14:paraId="7849CCBB" w14:textId="77777777" w:rsidR="00D861D8" w:rsidRPr="001108A1" w:rsidRDefault="00D861D8" w:rsidP="00D861D8">
      <w:pPr>
        <w:ind w:left="709" w:hanging="1"/>
        <w:jc w:val="both"/>
        <w:rPr>
          <w:rFonts w:ascii="Abadi" w:hAnsi="Abadi" w:cs="Arial"/>
          <w:i/>
          <w:sz w:val="21"/>
          <w:szCs w:val="21"/>
        </w:rPr>
      </w:pPr>
    </w:p>
    <w:p w14:paraId="42401972" w14:textId="77777777" w:rsidR="00D861D8" w:rsidRPr="001108A1" w:rsidRDefault="00D861D8" w:rsidP="00D861D8">
      <w:pPr>
        <w:pStyle w:val="Textoindependiente2"/>
        <w:spacing w:line="240" w:lineRule="auto"/>
        <w:ind w:firstLine="708"/>
        <w:rPr>
          <w:rFonts w:ascii="Abadi" w:hAnsi="Abadi"/>
          <w:sz w:val="21"/>
          <w:szCs w:val="21"/>
          <w:lang w:val="es-MX"/>
        </w:rPr>
      </w:pPr>
      <w:r w:rsidRPr="001108A1">
        <w:rPr>
          <w:rFonts w:ascii="Abadi" w:hAnsi="Abadi"/>
          <w:sz w:val="21"/>
          <w:szCs w:val="21"/>
          <w:lang w:val="es-MX"/>
        </w:rPr>
        <w:t>Al respecto, cabe señalar que el artículo 29, fracción VII de la Ley del Patrimonio Inmobiliario del Estado de Guanajuato establece que la administración y enajenación de los bienes inmuebles del Estado se podrá llevar a cabo mediante la enajenación a título oneroso, o aportación al patrimonio de entidades.</w:t>
      </w:r>
    </w:p>
    <w:p w14:paraId="301CF977" w14:textId="77777777" w:rsidR="00D861D8" w:rsidRPr="001108A1" w:rsidRDefault="00D861D8" w:rsidP="00D861D8">
      <w:pPr>
        <w:pStyle w:val="Textoindependiente2"/>
        <w:spacing w:line="240" w:lineRule="auto"/>
        <w:ind w:firstLine="708"/>
        <w:rPr>
          <w:rFonts w:ascii="Abadi" w:hAnsi="Abadi"/>
          <w:sz w:val="21"/>
          <w:szCs w:val="21"/>
          <w:lang w:val="es-MX"/>
        </w:rPr>
      </w:pPr>
    </w:p>
    <w:p w14:paraId="629B15E8" w14:textId="77777777" w:rsidR="00D861D8" w:rsidRPr="001108A1" w:rsidRDefault="00D861D8" w:rsidP="00D861D8">
      <w:pPr>
        <w:pStyle w:val="Textoindependiente2"/>
        <w:spacing w:line="240" w:lineRule="auto"/>
        <w:ind w:firstLine="708"/>
        <w:rPr>
          <w:rFonts w:ascii="Abadi" w:hAnsi="Abadi"/>
          <w:i w:val="0"/>
          <w:iCs w:val="0"/>
          <w:sz w:val="21"/>
          <w:szCs w:val="21"/>
          <w:lang w:val="es-MX"/>
        </w:rPr>
      </w:pPr>
      <w:r w:rsidRPr="001108A1">
        <w:rPr>
          <w:rFonts w:ascii="Abadi" w:hAnsi="Abadi"/>
          <w:sz w:val="21"/>
          <w:szCs w:val="21"/>
          <w:lang w:val="es-MX"/>
        </w:rPr>
        <w:t xml:space="preserve">El artículo 2 de la Ley de Seguridad Social del Estado de Guanajuato establece: </w:t>
      </w:r>
      <w:r w:rsidRPr="001108A1">
        <w:rPr>
          <w:rFonts w:ascii="Abadi" w:hAnsi="Abadi"/>
          <w:i w:val="0"/>
          <w:iCs w:val="0"/>
          <w:sz w:val="21"/>
          <w:szCs w:val="21"/>
          <w:lang w:val="es-MX"/>
        </w:rPr>
        <w:t>El Instituto de Seguridad Social del Estado de Guanajuato, es un organismo público descentralizado con personalidad jurídica y patrimonio propios, que tiene a su cargo la administración de los seguros y prestaciones que esta Ley expresa, así como los reglamentos respectivos.</w:t>
      </w:r>
    </w:p>
    <w:p w14:paraId="72A450A7" w14:textId="77777777" w:rsidR="00D861D8" w:rsidRPr="001108A1" w:rsidRDefault="00D861D8" w:rsidP="00D861D8">
      <w:pPr>
        <w:pStyle w:val="Textoindependiente2"/>
        <w:spacing w:line="240" w:lineRule="auto"/>
        <w:ind w:firstLine="708"/>
        <w:rPr>
          <w:rFonts w:ascii="Abadi" w:hAnsi="Abadi"/>
          <w:i w:val="0"/>
          <w:iCs w:val="0"/>
          <w:sz w:val="21"/>
          <w:szCs w:val="21"/>
          <w:lang w:val="es-MX"/>
        </w:rPr>
      </w:pPr>
    </w:p>
    <w:p w14:paraId="24B6FBAC" w14:textId="77777777" w:rsidR="00D861D8" w:rsidRPr="001108A1" w:rsidRDefault="00D861D8" w:rsidP="00D861D8">
      <w:pPr>
        <w:pStyle w:val="Textoindependiente2"/>
        <w:spacing w:line="240" w:lineRule="auto"/>
        <w:ind w:firstLine="708"/>
        <w:rPr>
          <w:rFonts w:ascii="Abadi" w:hAnsi="Abadi"/>
          <w:sz w:val="21"/>
          <w:szCs w:val="21"/>
          <w:lang w:val="es-MX"/>
        </w:rPr>
      </w:pPr>
      <w:r w:rsidRPr="001108A1">
        <w:rPr>
          <w:rFonts w:ascii="Abadi" w:hAnsi="Abadi"/>
          <w:sz w:val="21"/>
          <w:szCs w:val="21"/>
          <w:lang w:val="es-MX"/>
        </w:rPr>
        <w:t>Por su parte, los artículos 101 y 102 de la citada ley refieren que las reservas del Instituto para financiar el régimen de seguridad social se constituyen por los bienes muebles, bienes inmuebles, derechos por cobrar y la reserva líquida; y a fin de fortalecer dichas reservas, dicho Instituto podrá realizar inversiones financieras y actividades comerciales, la cuales deberán estar sujetas a las disposiciones que la propia ley establece.</w:t>
      </w:r>
    </w:p>
    <w:p w14:paraId="1AE1C9A2" w14:textId="77777777" w:rsidR="00D861D8" w:rsidRPr="001108A1" w:rsidRDefault="00D861D8" w:rsidP="00D861D8">
      <w:pPr>
        <w:ind w:firstLine="708"/>
        <w:jc w:val="both"/>
        <w:rPr>
          <w:rFonts w:ascii="Abadi" w:hAnsi="Abadi" w:cs="Arial"/>
          <w:sz w:val="21"/>
          <w:szCs w:val="21"/>
          <w:lang w:val="es-MX"/>
        </w:rPr>
      </w:pPr>
    </w:p>
    <w:p w14:paraId="6300FEA7" w14:textId="77777777" w:rsidR="00D861D8" w:rsidRPr="001108A1" w:rsidRDefault="00D861D8" w:rsidP="00D861D8">
      <w:pPr>
        <w:ind w:firstLine="708"/>
        <w:jc w:val="both"/>
        <w:rPr>
          <w:rFonts w:ascii="Abadi" w:hAnsi="Abadi"/>
          <w:sz w:val="21"/>
          <w:szCs w:val="21"/>
        </w:rPr>
      </w:pPr>
      <w:r w:rsidRPr="001108A1">
        <w:rPr>
          <w:rFonts w:ascii="Abadi" w:hAnsi="Abadi" w:cs="Arial"/>
          <w:sz w:val="21"/>
          <w:szCs w:val="21"/>
          <w:lang w:val="es-MX"/>
        </w:rPr>
        <w:t xml:space="preserve">Por su parte, la Ley de Seguridad Social del Estado de Guanajuato, en su artículo </w:t>
      </w:r>
      <w:r w:rsidRPr="001108A1">
        <w:rPr>
          <w:rFonts w:ascii="Abadi" w:hAnsi="Abadi" w:cs="Arial"/>
          <w:sz w:val="21"/>
          <w:szCs w:val="21"/>
          <w:lang w:val="es-MX"/>
        </w:rPr>
        <w:lastRenderedPageBreak/>
        <w:t xml:space="preserve">114, fracción V, faculta al Instituto para </w:t>
      </w:r>
      <w:r w:rsidRPr="001108A1">
        <w:rPr>
          <w:rFonts w:ascii="Abadi" w:hAnsi="Abadi"/>
          <w:sz w:val="21"/>
          <w:szCs w:val="21"/>
        </w:rPr>
        <w:t>adquirir, arrendar y administrar los bienes muebles e inmuebles necesarios para el cumplimiento de sus funciones.</w:t>
      </w:r>
    </w:p>
    <w:p w14:paraId="38362C5A" w14:textId="77777777" w:rsidR="00D861D8" w:rsidRPr="001108A1" w:rsidRDefault="00D861D8" w:rsidP="00D861D8">
      <w:pPr>
        <w:pStyle w:val="Textoindependiente2"/>
        <w:spacing w:line="240" w:lineRule="auto"/>
        <w:ind w:firstLine="708"/>
        <w:rPr>
          <w:rFonts w:ascii="Abadi" w:hAnsi="Abadi"/>
          <w:sz w:val="21"/>
          <w:szCs w:val="21"/>
        </w:rPr>
      </w:pPr>
    </w:p>
    <w:p w14:paraId="115050D0" w14:textId="77777777" w:rsidR="00D861D8" w:rsidRPr="001108A1" w:rsidRDefault="00D861D8" w:rsidP="00D861D8">
      <w:pPr>
        <w:pStyle w:val="Textoindependiente2"/>
        <w:spacing w:line="240" w:lineRule="auto"/>
        <w:ind w:firstLine="708"/>
        <w:rPr>
          <w:rFonts w:ascii="Abadi" w:hAnsi="Abadi"/>
          <w:sz w:val="21"/>
          <w:szCs w:val="21"/>
          <w:lang w:val="es-MX"/>
        </w:rPr>
      </w:pPr>
      <w:r w:rsidRPr="001108A1">
        <w:rPr>
          <w:rFonts w:ascii="Abadi" w:hAnsi="Abadi"/>
          <w:sz w:val="21"/>
          <w:szCs w:val="21"/>
          <w:lang w:val="es-MX"/>
        </w:rPr>
        <w:t>En relación a las inversiones comerciales que puede llevar a cabo el Instituto el artículo 104 de la Ley de Seguridad Social del Estado de Guanajuato contempla lo siguiente:</w:t>
      </w:r>
    </w:p>
    <w:p w14:paraId="5139066A" w14:textId="77777777" w:rsidR="00D861D8" w:rsidRPr="001108A1" w:rsidRDefault="00D861D8" w:rsidP="00D861D8">
      <w:pPr>
        <w:pStyle w:val="Textoindependiente2"/>
        <w:spacing w:line="240" w:lineRule="auto"/>
        <w:ind w:left="709" w:hanging="1"/>
        <w:rPr>
          <w:rFonts w:ascii="Abadi" w:hAnsi="Abadi"/>
          <w:sz w:val="21"/>
          <w:szCs w:val="21"/>
          <w:lang w:val="es-MX"/>
        </w:rPr>
      </w:pPr>
    </w:p>
    <w:p w14:paraId="13B7FBF5" w14:textId="77777777" w:rsidR="00D861D8" w:rsidRPr="001108A1" w:rsidRDefault="00D861D8" w:rsidP="00D861D8">
      <w:pPr>
        <w:ind w:left="709" w:hanging="1"/>
        <w:jc w:val="right"/>
        <w:rPr>
          <w:rFonts w:ascii="Abadi" w:hAnsi="Abadi"/>
          <w:b/>
          <w:i/>
          <w:sz w:val="21"/>
          <w:szCs w:val="21"/>
        </w:rPr>
      </w:pPr>
      <w:r w:rsidRPr="001108A1">
        <w:rPr>
          <w:rFonts w:ascii="Abadi" w:hAnsi="Abadi"/>
          <w:b/>
          <w:i/>
          <w:sz w:val="21"/>
          <w:szCs w:val="21"/>
        </w:rPr>
        <w:t>Disposiciones para las inversiones comerciales del Instituto</w:t>
      </w:r>
    </w:p>
    <w:p w14:paraId="1449AB9E" w14:textId="77777777" w:rsidR="00D861D8" w:rsidRPr="001108A1" w:rsidRDefault="00D861D8" w:rsidP="00D861D8">
      <w:pPr>
        <w:ind w:left="709" w:hanging="1"/>
        <w:jc w:val="both"/>
        <w:rPr>
          <w:rFonts w:ascii="Abadi" w:hAnsi="Abadi"/>
          <w:i/>
          <w:sz w:val="21"/>
          <w:szCs w:val="21"/>
        </w:rPr>
      </w:pPr>
      <w:r w:rsidRPr="001108A1">
        <w:rPr>
          <w:rFonts w:ascii="Abadi" w:hAnsi="Abadi"/>
          <w:b/>
          <w:i/>
          <w:sz w:val="21"/>
          <w:szCs w:val="21"/>
        </w:rPr>
        <w:t xml:space="preserve">Artículo 104. </w:t>
      </w:r>
      <w:r w:rsidRPr="001108A1">
        <w:rPr>
          <w:rFonts w:ascii="Abadi" w:hAnsi="Abadi"/>
          <w:i/>
          <w:sz w:val="21"/>
          <w:szCs w:val="21"/>
        </w:rPr>
        <w:t>Las inversiones comerciales, que se podrán desarrollar en territorio nacional, comprenderán:</w:t>
      </w:r>
    </w:p>
    <w:p w14:paraId="6949760E" w14:textId="77777777" w:rsidR="00D861D8" w:rsidRPr="001108A1" w:rsidRDefault="00D861D8" w:rsidP="00D861D8">
      <w:pPr>
        <w:pStyle w:val="Prrafodelista"/>
        <w:ind w:left="709" w:hanging="1"/>
        <w:jc w:val="both"/>
        <w:rPr>
          <w:rFonts w:ascii="Abadi" w:hAnsi="Abadi"/>
          <w:i/>
          <w:sz w:val="21"/>
          <w:szCs w:val="21"/>
        </w:rPr>
      </w:pPr>
    </w:p>
    <w:p w14:paraId="4242F6FD"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Operación de establecimientos comerciales para la venta de bienes muebles y prestación de servicios;</w:t>
      </w:r>
    </w:p>
    <w:p w14:paraId="1E0A2413" w14:textId="77777777" w:rsidR="00D861D8" w:rsidRPr="001108A1" w:rsidRDefault="00D861D8" w:rsidP="00D861D8">
      <w:pPr>
        <w:pStyle w:val="Prrafodelista"/>
        <w:ind w:left="709" w:hanging="1"/>
        <w:jc w:val="both"/>
        <w:rPr>
          <w:rFonts w:ascii="Abadi" w:hAnsi="Abadi"/>
          <w:i/>
          <w:sz w:val="21"/>
          <w:szCs w:val="21"/>
        </w:rPr>
      </w:pPr>
    </w:p>
    <w:p w14:paraId="0616B06B"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 xml:space="preserve">Comercialización de bienes muebles e inmuebles, mediante su adquisición, arrendamiento, administración y enajenación; </w:t>
      </w:r>
    </w:p>
    <w:p w14:paraId="2F7A9F3C" w14:textId="77777777" w:rsidR="00D861D8" w:rsidRPr="001108A1" w:rsidRDefault="00D861D8" w:rsidP="00D861D8">
      <w:pPr>
        <w:pStyle w:val="Prrafodelista"/>
        <w:ind w:left="709" w:hanging="1"/>
        <w:jc w:val="both"/>
        <w:rPr>
          <w:rFonts w:ascii="Abadi" w:hAnsi="Abadi"/>
          <w:i/>
          <w:sz w:val="21"/>
          <w:szCs w:val="21"/>
        </w:rPr>
      </w:pPr>
    </w:p>
    <w:p w14:paraId="0E3B9AA4"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 xml:space="preserve">Administración de bienes y servicios concesionados; </w:t>
      </w:r>
    </w:p>
    <w:p w14:paraId="1FA830E4" w14:textId="77777777" w:rsidR="00D861D8" w:rsidRPr="001108A1" w:rsidRDefault="00D861D8" w:rsidP="00D861D8">
      <w:pPr>
        <w:pStyle w:val="Prrafodelista"/>
        <w:ind w:left="709" w:hanging="709"/>
        <w:jc w:val="both"/>
        <w:rPr>
          <w:rFonts w:ascii="Abadi" w:hAnsi="Abadi"/>
          <w:i/>
          <w:sz w:val="21"/>
          <w:szCs w:val="21"/>
        </w:rPr>
      </w:pPr>
    </w:p>
    <w:p w14:paraId="12684DDB"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 xml:space="preserve">Servicios funerarios; </w:t>
      </w:r>
    </w:p>
    <w:p w14:paraId="467F98C9" w14:textId="77777777" w:rsidR="00D861D8" w:rsidRPr="001108A1" w:rsidRDefault="00D861D8" w:rsidP="00D861D8">
      <w:pPr>
        <w:pStyle w:val="Prrafodelista"/>
        <w:ind w:left="709"/>
        <w:jc w:val="both"/>
        <w:rPr>
          <w:rFonts w:ascii="Abadi" w:hAnsi="Abadi"/>
          <w:i/>
          <w:sz w:val="21"/>
          <w:szCs w:val="21"/>
        </w:rPr>
      </w:pPr>
    </w:p>
    <w:p w14:paraId="281522C6"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 xml:space="preserve">Obras de inversión inmobiliaria y servicios relacionados con la misma, para realizar la actividad comercial del Instituto; y </w:t>
      </w:r>
    </w:p>
    <w:p w14:paraId="4DE3D1E8" w14:textId="77777777" w:rsidR="00D861D8" w:rsidRPr="001108A1" w:rsidRDefault="00D861D8" w:rsidP="00D861D8">
      <w:pPr>
        <w:pStyle w:val="Prrafodelista"/>
        <w:ind w:left="709"/>
        <w:jc w:val="both"/>
        <w:rPr>
          <w:rFonts w:ascii="Abadi" w:hAnsi="Abadi"/>
          <w:i/>
          <w:sz w:val="21"/>
          <w:szCs w:val="21"/>
        </w:rPr>
      </w:pPr>
    </w:p>
    <w:p w14:paraId="37F8922A" w14:textId="77777777" w:rsidR="00D861D8" w:rsidRPr="001108A1" w:rsidRDefault="00D861D8" w:rsidP="005B68E6">
      <w:pPr>
        <w:pStyle w:val="Prrafodelista"/>
        <w:numPr>
          <w:ilvl w:val="0"/>
          <w:numId w:val="33"/>
        </w:numPr>
        <w:contextualSpacing/>
        <w:jc w:val="both"/>
        <w:rPr>
          <w:rFonts w:ascii="Abadi" w:hAnsi="Abadi"/>
          <w:i/>
          <w:sz w:val="21"/>
          <w:szCs w:val="21"/>
        </w:rPr>
      </w:pPr>
      <w:r w:rsidRPr="001108A1">
        <w:rPr>
          <w:rFonts w:ascii="Abadi" w:hAnsi="Abadi"/>
          <w:i/>
          <w:sz w:val="21"/>
          <w:szCs w:val="21"/>
        </w:rPr>
        <w:t>Otras que acuerde el Consejo Directivo.</w:t>
      </w:r>
    </w:p>
    <w:p w14:paraId="560C29C7" w14:textId="77777777" w:rsidR="00D861D8" w:rsidRPr="001108A1" w:rsidRDefault="00D861D8" w:rsidP="00D861D8">
      <w:pPr>
        <w:ind w:left="709" w:hanging="709"/>
        <w:jc w:val="both"/>
        <w:rPr>
          <w:rFonts w:ascii="Abadi" w:hAnsi="Abadi"/>
          <w:i/>
          <w:sz w:val="21"/>
          <w:szCs w:val="21"/>
        </w:rPr>
      </w:pPr>
    </w:p>
    <w:p w14:paraId="2BAB8CF0" w14:textId="77777777" w:rsidR="00D861D8" w:rsidRPr="001108A1" w:rsidRDefault="00D861D8" w:rsidP="00D861D8">
      <w:pPr>
        <w:ind w:left="709"/>
        <w:jc w:val="both"/>
        <w:rPr>
          <w:rFonts w:ascii="Abadi" w:hAnsi="Abadi"/>
          <w:i/>
          <w:sz w:val="21"/>
          <w:szCs w:val="21"/>
        </w:rPr>
      </w:pPr>
      <w:r w:rsidRPr="001108A1">
        <w:rPr>
          <w:rFonts w:ascii="Abadi" w:hAnsi="Abadi"/>
          <w:i/>
          <w:sz w:val="21"/>
          <w:szCs w:val="21"/>
        </w:rPr>
        <w:t xml:space="preserve">Las inversiones comerciales deberán sujetarse al análisis del Comité de Evaluación de Proyectos de Inversión, así como a los lineamientos de operación de sus unidades de negocio a fin de garantizar la correcta administración de los mismos. </w:t>
      </w:r>
    </w:p>
    <w:p w14:paraId="6F4A9E43" w14:textId="77777777" w:rsidR="00D861D8" w:rsidRPr="001108A1" w:rsidRDefault="00D861D8" w:rsidP="00D861D8">
      <w:pPr>
        <w:ind w:firstLine="708"/>
        <w:jc w:val="both"/>
        <w:rPr>
          <w:rFonts w:ascii="Abadi" w:hAnsi="Abadi" w:cs="Arial"/>
          <w:sz w:val="21"/>
          <w:szCs w:val="21"/>
          <w:lang w:val="es-MX"/>
        </w:rPr>
      </w:pPr>
    </w:p>
    <w:p w14:paraId="1CA670B2" w14:textId="77777777" w:rsidR="00D861D8" w:rsidRPr="001108A1" w:rsidRDefault="00D861D8" w:rsidP="00D861D8">
      <w:pPr>
        <w:ind w:firstLine="708"/>
        <w:jc w:val="both"/>
        <w:rPr>
          <w:rFonts w:ascii="Abadi" w:hAnsi="Abadi"/>
          <w:sz w:val="21"/>
          <w:szCs w:val="21"/>
          <w:lang w:val="es-ES_tradnl"/>
        </w:rPr>
      </w:pPr>
      <w:r w:rsidRPr="001108A1">
        <w:rPr>
          <w:rFonts w:ascii="Abadi" w:hAnsi="Abadi"/>
          <w:sz w:val="21"/>
          <w:szCs w:val="21"/>
          <w:lang w:val="es-ES_tradnl"/>
        </w:rPr>
        <w:t xml:space="preserve">Como se refiere en la iniciativa, la Constitución Política de los Estados Unidos Mexicanos establece entre los derechos sociales, la seguridad social, la cual se regula en el artículo 123, apartado A, fracción XXIX, y apartado B, fracción XI. Es así, que la </w:t>
      </w:r>
      <w:r w:rsidRPr="001108A1">
        <w:rPr>
          <w:rFonts w:ascii="Abadi" w:hAnsi="Abadi"/>
          <w:sz w:val="21"/>
          <w:szCs w:val="21"/>
          <w:lang w:val="es-ES_tradnl"/>
        </w:rPr>
        <w:t>seguridad social es parte de la progresividad de los derechos humanos, en la medida que otorga cobertura a la que toda persona tiene derecho a acceder. Sin embargo, la constante evolución y mejora de los derechos humanos, está sujeta invariablemente a las circunstancias económicas nacionales e internacionales, y a los recursos monetarios que dispone cada Estado, por lo que resulta indispensable contar con institutos de seguridad social sanos financieramente.</w:t>
      </w:r>
    </w:p>
    <w:p w14:paraId="383E15FC" w14:textId="77777777" w:rsidR="00D861D8" w:rsidRPr="001108A1" w:rsidRDefault="00D861D8" w:rsidP="00D861D8">
      <w:pPr>
        <w:ind w:firstLine="708"/>
        <w:jc w:val="both"/>
        <w:rPr>
          <w:rFonts w:ascii="Abadi" w:hAnsi="Abadi"/>
          <w:sz w:val="21"/>
          <w:szCs w:val="21"/>
          <w:lang w:val="es-ES_tradnl"/>
        </w:rPr>
      </w:pPr>
    </w:p>
    <w:p w14:paraId="28CA109D" w14:textId="77777777" w:rsidR="00D861D8" w:rsidRPr="001108A1" w:rsidRDefault="00D861D8" w:rsidP="00D861D8">
      <w:pPr>
        <w:ind w:firstLine="708"/>
        <w:jc w:val="both"/>
        <w:rPr>
          <w:rFonts w:ascii="Abadi" w:hAnsi="Abadi"/>
          <w:sz w:val="21"/>
          <w:szCs w:val="21"/>
          <w:lang w:val="es-ES_tradnl"/>
        </w:rPr>
      </w:pPr>
    </w:p>
    <w:p w14:paraId="6AEC1C1E" w14:textId="77777777" w:rsidR="00D861D8" w:rsidRPr="001108A1" w:rsidRDefault="00D861D8" w:rsidP="00D861D8">
      <w:pPr>
        <w:ind w:firstLine="708"/>
        <w:jc w:val="both"/>
        <w:rPr>
          <w:rFonts w:ascii="Abadi" w:hAnsi="Abadi"/>
          <w:sz w:val="21"/>
          <w:szCs w:val="21"/>
          <w:lang w:val="es-MX"/>
        </w:rPr>
      </w:pPr>
      <w:r w:rsidRPr="001108A1">
        <w:rPr>
          <w:rFonts w:ascii="Abadi" w:hAnsi="Abadi"/>
          <w:sz w:val="21"/>
          <w:szCs w:val="21"/>
          <w:lang w:val="es-ES_tradnl"/>
        </w:rPr>
        <w:t xml:space="preserve">En razón de lo anterior, como ya lo apuntamos la propia ley faculta al Instituto de Seguridad Social del Estado </w:t>
      </w:r>
      <w:r w:rsidRPr="001108A1">
        <w:rPr>
          <w:rFonts w:ascii="Abadi" w:hAnsi="Abadi" w:cs="Arial"/>
          <w:sz w:val="21"/>
          <w:szCs w:val="21"/>
          <w:lang w:val="es-MX"/>
        </w:rPr>
        <w:t xml:space="preserve">para realizar inversiones comerciales que la misma establece para obtener </w:t>
      </w:r>
      <w:r w:rsidRPr="001108A1">
        <w:rPr>
          <w:rFonts w:ascii="Abadi" w:hAnsi="Abadi"/>
          <w:sz w:val="21"/>
          <w:szCs w:val="21"/>
          <w:lang w:val="es-MX"/>
        </w:rPr>
        <w:t>recursos sobre los cuales se generen mejores beneficios financieros y con ello, el aumento en la viabilidad del fondo de pensiones, en beneficio de los trabajadores al servicio del Estado.</w:t>
      </w:r>
    </w:p>
    <w:p w14:paraId="7EFF96DE" w14:textId="77777777" w:rsidR="00D861D8" w:rsidRPr="001108A1" w:rsidRDefault="00D861D8" w:rsidP="00D861D8">
      <w:pPr>
        <w:ind w:firstLine="708"/>
        <w:jc w:val="both"/>
        <w:rPr>
          <w:rFonts w:ascii="Abadi" w:hAnsi="Abadi"/>
          <w:sz w:val="21"/>
          <w:szCs w:val="21"/>
          <w:lang w:val="es-MX"/>
        </w:rPr>
      </w:pPr>
    </w:p>
    <w:p w14:paraId="2E4BB91D" w14:textId="77777777" w:rsidR="00D861D8" w:rsidRPr="001108A1" w:rsidRDefault="00D861D8" w:rsidP="00D861D8">
      <w:pPr>
        <w:ind w:firstLine="708"/>
        <w:jc w:val="both"/>
        <w:rPr>
          <w:rFonts w:ascii="Abadi" w:hAnsi="Abadi" w:cs="Arial"/>
          <w:sz w:val="21"/>
          <w:szCs w:val="21"/>
          <w:lang w:val="es-MX"/>
        </w:rPr>
      </w:pPr>
      <w:r w:rsidRPr="001108A1">
        <w:rPr>
          <w:rFonts w:ascii="Abadi" w:hAnsi="Abadi" w:cs="Arial"/>
          <w:sz w:val="21"/>
          <w:szCs w:val="21"/>
          <w:lang w:val="es-MX"/>
        </w:rPr>
        <w:t xml:space="preserve">En atención a los argumentos referidos por el iniciante, las diputadas y los diputados integrantes de esta Comisión determinamos procedente autorizar el acto de dominio que se solicita, considerando que se cumplen los requisitos establecidos en la normatividad aplicable, para su procedencia. Asimismo, se coincide </w:t>
      </w:r>
      <w:r w:rsidRPr="001108A1">
        <w:rPr>
          <w:rFonts w:ascii="Abadi" w:hAnsi="Abadi"/>
          <w:sz w:val="21"/>
          <w:szCs w:val="21"/>
          <w:lang w:val="es-MX"/>
        </w:rPr>
        <w:t>en la necesidad de diversificar las alternativas de inversión para el ISSEG, considerando las condiciones altamente volátiles que existen en el mercado, las cuales pueden impactar los resultados futuros del Instituto y se debe considerar la exigencia de rendimientos mínimos basados en previsiones actuariales, de ahí que dotar de un patrimonio inmobiliario al ISSEG, que le permitirá emprender proyectos acorde al marco normativo que le rige para su actividad comercial. Marco normativo que fue aprobado por este Poder Legislativo.</w:t>
      </w:r>
    </w:p>
    <w:p w14:paraId="2A0947C2" w14:textId="77777777" w:rsidR="00D861D8" w:rsidRPr="001108A1" w:rsidRDefault="00D861D8" w:rsidP="00D861D8">
      <w:pPr>
        <w:ind w:firstLine="708"/>
        <w:jc w:val="both"/>
        <w:rPr>
          <w:rFonts w:ascii="Abadi" w:hAnsi="Abadi" w:cs="Arial"/>
          <w:sz w:val="21"/>
          <w:szCs w:val="21"/>
          <w:lang w:val="es-MX"/>
        </w:rPr>
      </w:pPr>
    </w:p>
    <w:p w14:paraId="4112961F" w14:textId="77777777" w:rsidR="00D861D8" w:rsidRPr="001108A1" w:rsidRDefault="00D861D8" w:rsidP="00D861D8">
      <w:pPr>
        <w:pStyle w:val="Sangra3detindependiente"/>
        <w:spacing w:line="240" w:lineRule="auto"/>
        <w:rPr>
          <w:rFonts w:ascii="Abadi" w:hAnsi="Abadi"/>
          <w:sz w:val="21"/>
          <w:szCs w:val="21"/>
        </w:rPr>
      </w:pPr>
      <w:r w:rsidRPr="001108A1">
        <w:rPr>
          <w:rFonts w:ascii="Abadi" w:hAnsi="Abadi"/>
          <w:sz w:val="21"/>
          <w:szCs w:val="21"/>
        </w:rPr>
        <w:t>Por otra parte, es preciso señalar que los bienes inmuebles materia de la aportación pertenecen al dominio público del Estado, de conformidad con lo establecido por los artículos 15, 16, fracción II y 21, fracción II de la Ley del Patrimonio Inmobiliario del Estado de Guanajuato, en virtud de lo cual, para estar en posibilidad de transmitir la propiedad de los mismos, se requiere previamente decretar su desafectación.</w:t>
      </w:r>
    </w:p>
    <w:p w14:paraId="7AA8E9D3" w14:textId="77777777" w:rsidR="00D861D8" w:rsidRPr="001108A1" w:rsidRDefault="00D861D8" w:rsidP="00D861D8">
      <w:pPr>
        <w:ind w:firstLine="708"/>
        <w:jc w:val="both"/>
        <w:rPr>
          <w:rFonts w:ascii="Abadi" w:hAnsi="Abadi" w:cs="Arial"/>
          <w:sz w:val="21"/>
          <w:szCs w:val="21"/>
          <w:lang w:val="es-MX"/>
        </w:rPr>
      </w:pPr>
    </w:p>
    <w:p w14:paraId="3D1F2BA7" w14:textId="77777777" w:rsidR="00D861D8" w:rsidRPr="001108A1" w:rsidRDefault="00D861D8" w:rsidP="00D861D8">
      <w:pPr>
        <w:ind w:firstLine="708"/>
        <w:jc w:val="both"/>
        <w:rPr>
          <w:rFonts w:ascii="Abadi" w:hAnsi="Abadi" w:cs="Arial"/>
          <w:sz w:val="21"/>
          <w:szCs w:val="21"/>
          <w:lang w:val="es-MX"/>
        </w:rPr>
      </w:pPr>
    </w:p>
    <w:p w14:paraId="6FDA8400" w14:textId="77777777" w:rsidR="00D861D8" w:rsidRPr="001108A1" w:rsidRDefault="00D861D8" w:rsidP="00D861D8">
      <w:pPr>
        <w:ind w:firstLine="708"/>
        <w:jc w:val="both"/>
        <w:rPr>
          <w:rFonts w:ascii="Abadi" w:hAnsi="Abadi" w:cs="Arial"/>
          <w:sz w:val="21"/>
          <w:szCs w:val="21"/>
          <w:lang w:val="es-MX" w:eastAsia="en-US"/>
        </w:rPr>
      </w:pPr>
      <w:r w:rsidRPr="001108A1">
        <w:rPr>
          <w:rFonts w:ascii="Abadi" w:hAnsi="Abadi" w:cs="Arial"/>
          <w:sz w:val="21"/>
          <w:szCs w:val="21"/>
          <w:lang w:val="es-MX"/>
        </w:rPr>
        <w:t>Finalmente, es de destacar que el cumplimiento de los Objetivos del Desarrollo Sostenible de la Agenda 2030 está presente en el dictamen puesto a su consideración,</w:t>
      </w:r>
      <w:r w:rsidRPr="001108A1">
        <w:rPr>
          <w:rFonts w:ascii="Abadi" w:hAnsi="Abadi" w:cs="Arial"/>
          <w:sz w:val="21"/>
          <w:szCs w:val="21"/>
          <w:lang w:val="es-MX" w:eastAsia="en-US"/>
        </w:rPr>
        <w:t xml:space="preserve"> pues el mismo incide en el objetivo 8, denominado Trabajo Decente y Crecimiento Económico, respecto a las metas 8.5 y 8.8. Lo anterior, en atención a que los bienes inmuebles cuya enajenación se propone tendrán por objetivo obtener mayores rendimientos para destinarlos a incrementar los ingresos y fortalecer el fondo de pensiones en beneficio de los trabajadores del Estado. </w:t>
      </w:r>
    </w:p>
    <w:p w14:paraId="2D06E824" w14:textId="77777777" w:rsidR="00D861D8" w:rsidRPr="001108A1" w:rsidRDefault="00D861D8" w:rsidP="00D861D8">
      <w:pPr>
        <w:ind w:firstLine="708"/>
        <w:jc w:val="both"/>
        <w:rPr>
          <w:rFonts w:ascii="Abadi" w:hAnsi="Abadi"/>
          <w:sz w:val="21"/>
          <w:szCs w:val="21"/>
          <w:lang w:val="es-MX"/>
        </w:rPr>
      </w:pPr>
    </w:p>
    <w:p w14:paraId="7D047588" w14:textId="77777777" w:rsidR="00D861D8" w:rsidRPr="001108A1" w:rsidRDefault="00D861D8" w:rsidP="00D861D8">
      <w:pPr>
        <w:ind w:firstLine="708"/>
        <w:jc w:val="both"/>
        <w:rPr>
          <w:rFonts w:ascii="Abadi" w:hAnsi="Abadi"/>
          <w:sz w:val="21"/>
          <w:szCs w:val="21"/>
          <w:lang w:val="es-MX"/>
        </w:rPr>
      </w:pPr>
      <w:r w:rsidRPr="001108A1">
        <w:rPr>
          <w:rFonts w:ascii="Abadi" w:hAnsi="Abadi"/>
          <w:sz w:val="21"/>
          <w:szCs w:val="21"/>
          <w:lang w:val="es-MX"/>
        </w:rPr>
        <w:t xml:space="preserve">Por lo expuesto y con fundamento en los artículos 63 fracciones XVI y XVII de la Constitución Política Local, </w:t>
      </w:r>
      <w:r w:rsidRPr="001108A1">
        <w:rPr>
          <w:rFonts w:ascii="Abadi" w:hAnsi="Abadi" w:cs="Arial"/>
          <w:sz w:val="21"/>
          <w:szCs w:val="21"/>
          <w:lang w:val="es-MX"/>
        </w:rPr>
        <w:t>8, fracci</w:t>
      </w:r>
      <w:r w:rsidRPr="001108A1">
        <w:rPr>
          <w:rFonts w:ascii="Abadi" w:hAnsi="Abadi"/>
          <w:sz w:val="21"/>
          <w:szCs w:val="21"/>
          <w:lang w:val="es-MX"/>
        </w:rPr>
        <w:t xml:space="preserve">ones II, IV y V y 29, fracción VII de la Ley del Patrimonio Inmobiliario del Estado de Guanajuato, así como 204 de </w:t>
      </w:r>
      <w:smartTag w:uri="urn:schemas-microsoft-com:office:smarttags" w:element="PersonName">
        <w:smartTagPr>
          <w:attr w:name="ProductID" w:val="la Secretaria"/>
        </w:smartTagPr>
        <w:r w:rsidRPr="001108A1">
          <w:rPr>
            <w:rFonts w:ascii="Abadi" w:hAnsi="Abadi"/>
            <w:sz w:val="21"/>
            <w:szCs w:val="21"/>
            <w:lang w:val="es-MX"/>
          </w:rPr>
          <w:t>la Ley Orgánica</w:t>
        </w:r>
      </w:smartTag>
      <w:r w:rsidRPr="001108A1">
        <w:rPr>
          <w:rFonts w:ascii="Abadi" w:hAnsi="Abadi"/>
          <w:sz w:val="21"/>
          <w:szCs w:val="21"/>
          <w:lang w:val="es-MX"/>
        </w:rPr>
        <w:t xml:space="preserve"> del Poder Legislativo del Estado de Guanajuato, nos permitimos someter a la consideración de la Asamblea la aprobación del siguiente proyecto de:</w:t>
      </w:r>
    </w:p>
    <w:p w14:paraId="2F1DD50C" w14:textId="77777777" w:rsidR="00D861D8" w:rsidRPr="001108A1" w:rsidRDefault="00D861D8" w:rsidP="00D861D8">
      <w:pPr>
        <w:pStyle w:val="Textoindependiente"/>
        <w:jc w:val="center"/>
        <w:rPr>
          <w:rFonts w:ascii="Abadi" w:hAnsi="Abadi"/>
          <w:b w:val="0"/>
          <w:bCs w:val="0"/>
          <w:sz w:val="21"/>
          <w:szCs w:val="21"/>
        </w:rPr>
      </w:pPr>
    </w:p>
    <w:p w14:paraId="268303E7" w14:textId="77777777" w:rsidR="00D861D8" w:rsidRPr="00AE05AE" w:rsidRDefault="00D861D8" w:rsidP="00D861D8">
      <w:pPr>
        <w:pStyle w:val="Textoindependiente"/>
        <w:jc w:val="center"/>
        <w:rPr>
          <w:rFonts w:ascii="Abadi" w:hAnsi="Abadi"/>
          <w:sz w:val="21"/>
          <w:szCs w:val="21"/>
        </w:rPr>
      </w:pPr>
      <w:r w:rsidRPr="00AE05AE">
        <w:rPr>
          <w:rFonts w:ascii="Abadi" w:hAnsi="Abadi"/>
          <w:sz w:val="21"/>
          <w:szCs w:val="21"/>
        </w:rPr>
        <w:t>D e c r e t o</w:t>
      </w:r>
    </w:p>
    <w:p w14:paraId="0B3986E5" w14:textId="77777777" w:rsidR="00D861D8" w:rsidRPr="001108A1" w:rsidRDefault="00D861D8" w:rsidP="00D861D8">
      <w:pPr>
        <w:jc w:val="right"/>
        <w:rPr>
          <w:rFonts w:ascii="Abadi" w:hAnsi="Abadi" w:cs="Arial"/>
          <w:b/>
          <w:i/>
          <w:sz w:val="21"/>
          <w:szCs w:val="21"/>
        </w:rPr>
      </w:pPr>
    </w:p>
    <w:p w14:paraId="38F8A7BA" w14:textId="77777777" w:rsidR="00D861D8" w:rsidRPr="001108A1" w:rsidRDefault="00D861D8" w:rsidP="00D861D8">
      <w:pPr>
        <w:jc w:val="right"/>
        <w:rPr>
          <w:rFonts w:ascii="Abadi" w:hAnsi="Abadi" w:cs="Arial"/>
          <w:b/>
          <w:i/>
          <w:sz w:val="21"/>
          <w:szCs w:val="21"/>
          <w:lang w:val="es-ES_tradnl"/>
        </w:rPr>
      </w:pPr>
      <w:r w:rsidRPr="001108A1">
        <w:rPr>
          <w:rFonts w:ascii="Abadi" w:hAnsi="Abadi" w:cs="Arial"/>
          <w:b/>
          <w:i/>
          <w:sz w:val="21"/>
          <w:szCs w:val="21"/>
        </w:rPr>
        <w:t>Desafectación del dominio público del Estado</w:t>
      </w:r>
    </w:p>
    <w:p w14:paraId="36476EAD" w14:textId="77777777" w:rsidR="00D861D8" w:rsidRPr="001108A1" w:rsidRDefault="00D861D8" w:rsidP="00D861D8">
      <w:pPr>
        <w:autoSpaceDE w:val="0"/>
        <w:autoSpaceDN w:val="0"/>
        <w:adjustRightInd w:val="0"/>
        <w:ind w:firstLine="708"/>
        <w:jc w:val="both"/>
        <w:rPr>
          <w:rFonts w:ascii="Abadi" w:hAnsi="Abadi" w:cs="Arial"/>
          <w:sz w:val="21"/>
          <w:szCs w:val="21"/>
        </w:rPr>
      </w:pPr>
      <w:r w:rsidRPr="001108A1">
        <w:rPr>
          <w:rFonts w:ascii="Abadi" w:hAnsi="Abadi" w:cs="Arial"/>
          <w:b/>
          <w:bCs/>
          <w:sz w:val="21"/>
          <w:szCs w:val="21"/>
        </w:rPr>
        <w:t xml:space="preserve">Artículo Primero. </w:t>
      </w:r>
      <w:r w:rsidRPr="001108A1">
        <w:rPr>
          <w:rFonts w:ascii="Abadi" w:hAnsi="Abadi" w:cs="Arial"/>
          <w:sz w:val="21"/>
          <w:szCs w:val="21"/>
        </w:rPr>
        <w:t xml:space="preserve">Se desafectan del dominio público del Estado dos bienes inmuebles ubicados en la comunidad Capulín de la Cuesta -Parque Guanajuato Bicentenario- del municipio de Silao de la Victoria, </w:t>
      </w:r>
      <w:proofErr w:type="spellStart"/>
      <w:r w:rsidRPr="001108A1">
        <w:rPr>
          <w:rFonts w:ascii="Abadi" w:hAnsi="Abadi" w:cs="Arial"/>
          <w:sz w:val="21"/>
          <w:szCs w:val="21"/>
        </w:rPr>
        <w:t>Gto</w:t>
      </w:r>
      <w:proofErr w:type="spellEnd"/>
      <w:r w:rsidRPr="001108A1">
        <w:rPr>
          <w:rFonts w:ascii="Abadi" w:hAnsi="Abadi" w:cs="Arial"/>
          <w:sz w:val="21"/>
          <w:szCs w:val="21"/>
        </w:rPr>
        <w:t>., los cuales se detallan a continuación:</w:t>
      </w:r>
    </w:p>
    <w:p w14:paraId="6D6DB019" w14:textId="77777777" w:rsidR="00D861D8" w:rsidRPr="001108A1" w:rsidRDefault="00D861D8" w:rsidP="00D861D8">
      <w:pPr>
        <w:autoSpaceDE w:val="0"/>
        <w:autoSpaceDN w:val="0"/>
        <w:adjustRightInd w:val="0"/>
        <w:ind w:firstLine="708"/>
        <w:jc w:val="both"/>
        <w:rPr>
          <w:rFonts w:ascii="Abadi" w:hAnsi="Abadi" w:cs="Arial"/>
          <w:sz w:val="21"/>
          <w:szCs w:val="21"/>
        </w:rPr>
      </w:pPr>
    </w:p>
    <w:p w14:paraId="24099357" w14:textId="77777777" w:rsidR="00D861D8" w:rsidRPr="001108A1" w:rsidRDefault="00D861D8" w:rsidP="005B68E6">
      <w:pPr>
        <w:pStyle w:val="Prrafodelista"/>
        <w:numPr>
          <w:ilvl w:val="0"/>
          <w:numId w:val="32"/>
        </w:numPr>
        <w:suppressAutoHyphens/>
        <w:contextualSpacing/>
        <w:jc w:val="both"/>
        <w:rPr>
          <w:rFonts w:ascii="Abadi" w:hAnsi="Abadi" w:cs="Tahoma"/>
          <w:bCs/>
          <w:sz w:val="21"/>
          <w:szCs w:val="21"/>
        </w:rPr>
      </w:pPr>
      <w:bookmarkStart w:id="15" w:name="_Hlk130892077"/>
      <w:bookmarkStart w:id="16" w:name="_Hlk119505339"/>
      <w:r w:rsidRPr="001108A1">
        <w:rPr>
          <w:rFonts w:ascii="Abadi" w:eastAsia="DejaVu Sans" w:hAnsi="Abadi" w:cs="Tahoma"/>
          <w:bCs/>
          <w:kern w:val="1"/>
          <w:sz w:val="21"/>
          <w:szCs w:val="21"/>
          <w:lang w:eastAsia="ar-SA"/>
        </w:rPr>
        <w:t xml:space="preserve">Bien inmueble con una superficie de </w:t>
      </w:r>
      <w:r w:rsidRPr="001108A1">
        <w:rPr>
          <w:rFonts w:ascii="Abadi" w:eastAsia="DejaVu Sans" w:hAnsi="Abadi" w:cs="Tahoma"/>
          <w:bCs/>
          <w:color w:val="000000"/>
          <w:kern w:val="1"/>
          <w:sz w:val="21"/>
          <w:szCs w:val="21"/>
          <w:lang w:eastAsia="ar-SA"/>
        </w:rPr>
        <w:t>125,468.32 m²</w:t>
      </w:r>
      <w:bookmarkEnd w:id="15"/>
      <w:r w:rsidRPr="001108A1">
        <w:rPr>
          <w:rFonts w:ascii="Abadi" w:eastAsia="DejaVu Sans" w:hAnsi="Abadi" w:cs="Tahoma"/>
          <w:bCs/>
          <w:color w:val="000000"/>
          <w:kern w:val="1"/>
          <w:sz w:val="21"/>
          <w:szCs w:val="21"/>
          <w:lang w:eastAsia="ar-SA"/>
        </w:rPr>
        <w:t xml:space="preserve"> ciento veinticinco mil cuatrocientos sesenta y ocho punto treinta y dos metros cuadrados</w:t>
      </w:r>
      <w:r w:rsidRPr="001108A1">
        <w:rPr>
          <w:rFonts w:ascii="Abadi" w:eastAsia="DejaVu Sans" w:hAnsi="Abadi" w:cs="Tahoma"/>
          <w:bCs/>
          <w:kern w:val="1"/>
          <w:sz w:val="21"/>
          <w:szCs w:val="21"/>
          <w:lang w:eastAsia="ar-SA"/>
        </w:rPr>
        <w:t xml:space="preserve"> y las siguientes medidas y colindancias: </w:t>
      </w:r>
      <w:r w:rsidRPr="001108A1">
        <w:rPr>
          <w:rFonts w:ascii="Abadi" w:eastAsia="DejaVu Sans" w:hAnsi="Abadi" w:cs="Tahoma"/>
          <w:kern w:val="1"/>
          <w:sz w:val="21"/>
          <w:szCs w:val="21"/>
          <w:lang w:eastAsia="ar-SA"/>
        </w:rPr>
        <w:t xml:space="preserve">Al norte, en </w:t>
      </w:r>
      <w:r w:rsidRPr="001108A1">
        <w:rPr>
          <w:rFonts w:ascii="Abadi" w:eastAsia="DejaVu Sans" w:hAnsi="Abadi" w:cs="Tahoma"/>
          <w:bCs/>
          <w:kern w:val="1"/>
          <w:sz w:val="21"/>
          <w:szCs w:val="21"/>
          <w:lang w:eastAsia="ar-SA"/>
        </w:rPr>
        <w:t>línea quebrada en tres tramos de 191.39 ciento noventa y uno punto treinta y nueve metros, 15.09 quince punto cero nueve metros y 93.40 noventa y tres punto cuarenta metros con resto de la parcela 73 setenta y tres y resto de la parcela 161 ciento sesenta y uno; a</w:t>
      </w:r>
      <w:r w:rsidRPr="001108A1">
        <w:rPr>
          <w:rFonts w:ascii="Abadi" w:eastAsia="DejaVu Sans" w:hAnsi="Abadi" w:cs="Tahoma"/>
          <w:kern w:val="1"/>
          <w:sz w:val="21"/>
          <w:szCs w:val="21"/>
          <w:lang w:eastAsia="ar-SA"/>
        </w:rPr>
        <w:t>l este, en</w:t>
      </w:r>
      <w:r w:rsidRPr="001108A1">
        <w:rPr>
          <w:rFonts w:ascii="Abadi" w:eastAsia="DejaVu Sans" w:hAnsi="Abadi" w:cs="Tahoma"/>
          <w:bCs/>
          <w:kern w:val="1"/>
          <w:sz w:val="21"/>
          <w:szCs w:val="21"/>
          <w:lang w:eastAsia="ar-SA"/>
        </w:rPr>
        <w:t xml:space="preserve"> línea quebrada de once tramos de 75.93 setenta y cinco punto noventa y tres metros, 36.85 treinta y seis punto ochenta y cinco metros, 6.06 seis punto cero seis metros, 27.28 veintisiete punto </w:t>
      </w:r>
      <w:r w:rsidRPr="001108A1">
        <w:rPr>
          <w:rFonts w:ascii="Abadi" w:eastAsia="DejaVu Sans" w:hAnsi="Abadi" w:cs="Tahoma"/>
          <w:bCs/>
          <w:kern w:val="1"/>
          <w:sz w:val="21"/>
          <w:szCs w:val="21"/>
          <w:lang w:eastAsia="ar-SA"/>
        </w:rPr>
        <w:t>veintiocho metros, 14.01 catorce punto cero un metros, 42.39 cuarenta y dos punto treinta y nueve metros, 43.68 cuarenta y tres punto sesenta y ocho metros, 42.71 cuarenta y dos punto setenta y un metros, 53.64 cincuenta y tres punto sesenta y cuatro metros, 0.46 cero punto cuarenta y seis metros y 9.62 nueve punto sesenta y dos metros con resto de las parcelas 161 ciento sesenta y uno, 162 ciento sesenta y dos, 163 ciento sesenta y tres, 82 ochenta y dos y 83 ochenta y tres; a</w:t>
      </w:r>
      <w:r w:rsidRPr="001108A1">
        <w:rPr>
          <w:rFonts w:ascii="Abadi" w:eastAsia="DejaVu Sans" w:hAnsi="Abadi" w:cs="Tahoma"/>
          <w:kern w:val="1"/>
          <w:sz w:val="21"/>
          <w:szCs w:val="21"/>
          <w:lang w:eastAsia="ar-SA"/>
        </w:rPr>
        <w:t xml:space="preserve">l sur, en </w:t>
      </w:r>
      <w:r w:rsidRPr="001108A1">
        <w:rPr>
          <w:rFonts w:ascii="Abadi" w:eastAsia="DejaVu Sans" w:hAnsi="Abadi" w:cs="Tahoma"/>
          <w:bCs/>
          <w:kern w:val="1"/>
          <w:sz w:val="21"/>
          <w:szCs w:val="21"/>
          <w:lang w:eastAsia="ar-SA"/>
        </w:rPr>
        <w:t xml:space="preserve">línea quebrada en noventa y siete tramos de 13.99 trece punto noventa y nueve metros, 3.07 tres punto cero siete metros, 3.29 tres punto veintinueve metros, 4.01 cuatro punto cero un metros, 6.25 seis punto veinticinco metros, 1.06 uno punto cero seis metros, 3.62 tres punto sesenta y dos metros, 6.33 seis punto treinta y tres metros, 6.22 seis punto veintidós metros, 2.29 dos punto veintinueve metros, 10.57 diez punto cincuenta y siete metros, 1.92 uno punto noventa y dos metros, 4.03 cuatro punto cero tres metros, 4.16 cuatro punto dieciséis metros, 3.18 tres punto dieciocho metros, 0.93 cero punto noventa y tres metros, 5.26 cinco punto veintiséis metros, 2.78 dos punto setenta y ocho metros, 3.95 tres punto noventa y cinco metros, 6.13 seis punto trece metros, 3.41 tres punto cuarenta y un metros, 2.83 dos punto ochenta y tres metros, 2.80 dos punto ochenta metros, 2.39 dos punto treinta y nueve metros, 2.58 dos punto cincuenta y ocho metros, 2.72 dos punto setenta y dos metros, 3.21 tres punto veintiún metros, 2.44 dos punto cuarenta y cuatro metros, 2.63 dos punto sesenta y tres metros, 2.32 dos punto treinta y dos metros, 2.57 dos punto cincuenta y siete metros, 1.21 uno punto veintiún metros, 3.62 tres punto sesenta y dos metros, 1.32 uno punto treinta y dos metros, 2.98 dos punto noventa y ocho metros, 3.15 tres punto quince metros, 1.44 uno punto cuarenta y cuatro metros, 0.90 cero punto noventa metros, 1.82 uno punto ochenta y dos metros, 1.45 uno punto </w:t>
      </w:r>
      <w:r w:rsidRPr="001108A1">
        <w:rPr>
          <w:rFonts w:ascii="Abadi" w:eastAsia="DejaVu Sans" w:hAnsi="Abadi" w:cs="Tahoma"/>
          <w:bCs/>
          <w:kern w:val="1"/>
          <w:sz w:val="21"/>
          <w:szCs w:val="21"/>
          <w:lang w:eastAsia="ar-SA"/>
        </w:rPr>
        <w:lastRenderedPageBreak/>
        <w:t xml:space="preserve">cuarenta y cinco metros, 2.50 dos punto cincuenta metros, 1.78 uno punto setenta y ocho metros, 3.21 tres punto veintiún metros, 1.17 uno punto diecisiete metros, 1.61 uno punto sesenta y un metros, 2.78 dos punto setenta y ocho metros, 2.61 dos punto sesenta y un metros, 2.39 dos punto treinta y nueve metros, 4.94 cuatro punto noventa y cuatro metros, 4.94 cuatro punto noventa y cuatro metros, 3.67 tres punto sesenta y siete metros, 45.20 cuarenta y cinco punto veinte metros, 19.69 diecinueve punto sesenta y nueve metros, 3.89 tres punto ochenta y nueve metros, 2.83 dos punto ochenta y tres metros, 4.72 cuatro punto setenta y dos metros, 4.66 cuatro punto sesenta y seis metros, 5.05 cinco punto cero cinco metros, 4.57 cuatro punto cincuenta y siete metros, 4.75 cuatro punto setenta y cinco metros, 4.97 cuatro punto noventa y siete metros, 4.72 cuatro punto setenta y dos metros, 3.80 tres punto ochenta metros, 11.40 once punto cuarenta metros, 19.67 diecinueve punto sesenta y siete metros, 28.30 veintiocho punto treinta metros, 18.82 dieciocho punto ochenta y dos metros, 6.84 seis punto ochenta y cuatro metros, 24.16 veinticuatro punto dieciséis metros, 6.63 seis punto sesenta y tres metros, 0.35 cero punto treinta y cinco metros, 3.21 tres punto veintiún metros, 8.16 ocho punto dieciséis metros, 4.23 cuatro punto veintitrés metros, 1.48 uno punto cuarenta y ocho metros, 4.72 cuatro punto setenta y dos metros, 5.48 cinco punto cuarenta y ocho metros, 5.20 cinco punto veinte metros, 4.79 cuatro punto setenta y nueve metros, 5.33 cinco punto treinta y tres metros, 5.57 cinco punto cincuenta y siete metros, 6.11 seis punto once metros, 5.76 cinco punto setenta y seis metros, 3.12 tres punto doce metros, 3.20 tres punto veinte metros, 4.95 cuatro punto noventa y cinco metros, 6.35 seis punto treinta y cinco metros, 0.37 cero punto treinta y siete metros, 5.31 cinco punto treinta y un metros, 1.22 uno punto veintidós metros, </w:t>
      </w:r>
      <w:r w:rsidRPr="001108A1">
        <w:rPr>
          <w:rFonts w:ascii="Abadi" w:eastAsia="DejaVu Sans" w:hAnsi="Abadi" w:cs="Tahoma"/>
          <w:bCs/>
          <w:kern w:val="1"/>
          <w:sz w:val="21"/>
          <w:szCs w:val="21"/>
          <w:lang w:eastAsia="ar-SA"/>
        </w:rPr>
        <w:t xml:space="preserve">4.73 cuatro punto setenta y tres metros, 3.83 tres punto ochenta y tres metros, 3.88 tres punto ochenta y ocho metros, 3.87 tres punto ochenta y siete metros, 5.07 cinco punto cero siete metros, 0.93 cero punto noventa y tres metros y 4.72 cuatro punto setenta y dos metros, con resto de las parcelas 171 ciento setenta y uno, 176 ciento setenta y seis, 177 ciento setenta y siete, 181 ciento ochenta y uno, 175 ciento setenta y cinco y 180 ciento ochenta; y </w:t>
      </w:r>
      <w:r w:rsidRPr="001108A1">
        <w:rPr>
          <w:rFonts w:ascii="Abadi" w:eastAsia="DejaVu Sans" w:hAnsi="Abadi" w:cs="Tahoma"/>
          <w:kern w:val="1"/>
          <w:sz w:val="21"/>
          <w:szCs w:val="21"/>
          <w:lang w:eastAsia="ar-SA"/>
        </w:rPr>
        <w:t xml:space="preserve">al oeste, </w:t>
      </w:r>
      <w:r w:rsidRPr="001108A1">
        <w:rPr>
          <w:rFonts w:ascii="Abadi" w:eastAsia="DejaVu Sans" w:hAnsi="Abadi" w:cs="Tahoma"/>
          <w:bCs/>
          <w:kern w:val="1"/>
          <w:sz w:val="21"/>
          <w:szCs w:val="21"/>
          <w:lang w:eastAsia="ar-SA"/>
        </w:rPr>
        <w:t xml:space="preserve">en línea quebrada de sesenta y nueve tramos de 25.32 veinticinco punto treinta y dos metros, 16.66 dieciséis punto sesenta y seis metros, 5.58 cinco punto cincuenta y ocho metros, 8.47 ocho punto cuarenta y siete metros, 14.73 catorce punto setenta y tres metros, 2.15 dos punto quince metros, 6.62 seis punto sesenta y dos metros, 3.96 tres punto noventa y seis metros, 4.76 cuatro punto setenta y seis metros, 4.43 cuatro punto cuarenta y tres metros, 4.48 cuatro punto cuarenta y ocho metros, 2.29 dos punto veintinueve metros, 1.98 uno punto noventa y ocho metros, 2.19 dos punto diecinueve metros, 2.26 dos punto veintiséis metros, 4.09 cuatro punto cero nueve metros, 5.17 cinco punto diecisiete metros, 4.51 cuatro punto cincuenta y un metros, 4.77 cuatro punto setenta y siete metros, 4.95 cuatro punto noventa y cinco metros, 5.45 cinco punto cuarenta y cinco metros, 4.09 cuatro punto cero nueve metros, 5.79 cinco punto setenta y nueve metros, 4.68 cuatro punto sesenta y ocho metros, 4.69 cuatro punto sesenta y nueve metros, 3.72 tres punto setenta y dos metros, 5.45 cinco punto cuarenta y cinco metros, 4.38 cuatro punto treinta y ocho metros, 3.36 tres punto treinta y seis metros, 2.42 dos punto cuarenta y dos metros, 5.07 cinco punto cero siete metros, 4.35 cuatro punto treinta y cinco metros, 0.90 cero punto noventa metros, 0.82 cero punto ochenta y dos metros, 3.88 tres punto ochenta y ocho metros, 0.90 cero punto noventa metros, 4.27 cuatro punto veintisiete metros, 2.10 dos punto diez metros, </w:t>
      </w:r>
      <w:r w:rsidRPr="001108A1">
        <w:rPr>
          <w:rFonts w:ascii="Abadi" w:eastAsia="DejaVu Sans" w:hAnsi="Abadi" w:cs="Tahoma"/>
          <w:bCs/>
          <w:kern w:val="1"/>
          <w:sz w:val="21"/>
          <w:szCs w:val="21"/>
          <w:lang w:eastAsia="ar-SA"/>
        </w:rPr>
        <w:lastRenderedPageBreak/>
        <w:t>2.91 dos punto noventa y un metros, 1.07 uno punto cero siete metros, 5.12 cinco punto doce metros, 5.08 cinco punto cero ocho metros, 6.13 seis punto trece metros, 4.80 cuatro punto ochenta metros, 8.79 ocho punto setenta y nueve metros, 7.24 siete punto veinticuatro metros, 13.03 trece punto cero tres metros, 11.79 once punto setenta y nueve metros, 22.61 veintidós punto sesenta y un metros, 1.99 uno punto noventa y nueve metros, 24.35 veinticuatro punto treinta y cinco metros, 11.07 once punto cero siete metros, 24.12 veinticuatro punto doce metros, 15.05 quince punto cero cinco metros, 21.30 veintiuno punto treinta metros, 6.80 seis punto ochenta metros, 0.20 cero punto veinte metros, 19.77 diecinueve punto setenta y siete metros, 13.35 trece punto treinta y cinco metros, 17.01 diecisiete punto cero un metros, 0.35 cero punto treinta y cinco metros, 34.18 treinta y cuatro punto dieciocho metros, 47.49 cuarenta y siete punto cuarenta y nueve metros, 63.89 sesenta y tres punto ochenta y nueve metros, 77.99 setenta y siete punto noventa y nueve metros, 12.13 doce punto trece metros, 93.09 noventa y tres punto cero nueve metros, 40.16 cuarenta punto dieciséis metros y 40.24 cuarenta punto veinticuatro metros, con resto de las parcelas 173 ciento setenta y tres, 168 ciento sesenta y ocho, 73 setenta y tres, 170 ciento setenta, 169 ciento sesenta y nueve y 165 ciento sesenta y cinco</w:t>
      </w:r>
      <w:r w:rsidRPr="001108A1">
        <w:rPr>
          <w:rFonts w:ascii="Abadi" w:hAnsi="Abadi" w:cs="Tahoma"/>
          <w:bCs/>
          <w:sz w:val="21"/>
          <w:szCs w:val="21"/>
        </w:rPr>
        <w:t>;</w:t>
      </w:r>
      <w:bookmarkEnd w:id="16"/>
      <w:r w:rsidRPr="001108A1">
        <w:rPr>
          <w:rFonts w:ascii="Abadi" w:hAnsi="Abadi" w:cs="Tahoma"/>
          <w:bCs/>
          <w:sz w:val="21"/>
          <w:szCs w:val="21"/>
        </w:rPr>
        <w:t xml:space="preserve"> y</w:t>
      </w:r>
    </w:p>
    <w:p w14:paraId="1E662595" w14:textId="77777777" w:rsidR="00D861D8" w:rsidRPr="001108A1" w:rsidRDefault="00D861D8" w:rsidP="00D861D8">
      <w:pPr>
        <w:pStyle w:val="Prrafodelista"/>
        <w:suppressAutoHyphens/>
        <w:jc w:val="both"/>
        <w:rPr>
          <w:rFonts w:ascii="Abadi" w:hAnsi="Abadi" w:cs="Tahoma"/>
          <w:bCs/>
          <w:sz w:val="21"/>
          <w:szCs w:val="21"/>
        </w:rPr>
      </w:pPr>
    </w:p>
    <w:p w14:paraId="4FBC88B7" w14:textId="77777777" w:rsidR="00D861D8" w:rsidRPr="001108A1" w:rsidRDefault="00D861D8" w:rsidP="005B68E6">
      <w:pPr>
        <w:pStyle w:val="Prrafodelista"/>
        <w:numPr>
          <w:ilvl w:val="0"/>
          <w:numId w:val="32"/>
        </w:numPr>
        <w:suppressAutoHyphens/>
        <w:contextualSpacing/>
        <w:jc w:val="both"/>
        <w:rPr>
          <w:rFonts w:ascii="Abadi" w:hAnsi="Abadi" w:cs="Tahoma"/>
          <w:bCs/>
          <w:sz w:val="21"/>
          <w:szCs w:val="21"/>
        </w:rPr>
      </w:pPr>
      <w:bookmarkStart w:id="17" w:name="_Hlk130892096"/>
      <w:bookmarkStart w:id="18" w:name="_Hlk119505991"/>
      <w:r w:rsidRPr="001108A1">
        <w:rPr>
          <w:rFonts w:ascii="Abadi" w:eastAsia="DejaVu Sans" w:hAnsi="Abadi" w:cs="Tahoma"/>
          <w:bCs/>
          <w:kern w:val="1"/>
          <w:sz w:val="21"/>
          <w:szCs w:val="21"/>
          <w:lang w:eastAsia="ar-SA"/>
        </w:rPr>
        <w:t xml:space="preserve">Bien inmueble con una superficie de </w:t>
      </w:r>
      <w:r w:rsidRPr="001108A1">
        <w:rPr>
          <w:rFonts w:ascii="Abadi" w:eastAsia="DejaVu Sans" w:hAnsi="Abadi" w:cs="Tahoma"/>
          <w:kern w:val="1"/>
          <w:sz w:val="21"/>
          <w:szCs w:val="21"/>
          <w:lang w:eastAsia="ar-SA"/>
        </w:rPr>
        <w:t>13,726.09 m²</w:t>
      </w:r>
      <w:bookmarkEnd w:id="17"/>
      <w:r w:rsidRPr="001108A1">
        <w:rPr>
          <w:rFonts w:ascii="Abadi" w:eastAsia="DejaVu Sans" w:hAnsi="Abadi" w:cs="Tahoma"/>
          <w:kern w:val="1"/>
          <w:sz w:val="21"/>
          <w:szCs w:val="21"/>
          <w:lang w:eastAsia="ar-SA"/>
        </w:rPr>
        <w:t xml:space="preserve"> trece mil setecientos veintiséis punto cero nueve metros cuadrados </w:t>
      </w:r>
      <w:r w:rsidRPr="001108A1">
        <w:rPr>
          <w:rFonts w:ascii="Abadi" w:eastAsia="DejaVu Sans" w:hAnsi="Abadi" w:cs="Tahoma"/>
          <w:bCs/>
          <w:kern w:val="1"/>
          <w:sz w:val="21"/>
          <w:szCs w:val="21"/>
          <w:lang w:eastAsia="ar-SA"/>
        </w:rPr>
        <w:t>y las siguientes medidas y colindancias: Al norte, en cuatro tramos de 50.15 cincuenta punto quince metros, con resto de la parcela 168 ciento sesenta y ocho, 51.42 cincuenta y uno punto cuarenta y dos metros, 6.34 seis punto treinta y cuatro metros y 7.83 siete punto ochenta y tres metros, con resto de la parcela 165 ciento sesenta y cinco; a</w:t>
      </w:r>
      <w:r w:rsidRPr="001108A1">
        <w:rPr>
          <w:rFonts w:ascii="Abadi" w:eastAsia="DejaVu Sans" w:hAnsi="Abadi" w:cs="Tahoma"/>
          <w:kern w:val="1"/>
          <w:sz w:val="21"/>
          <w:szCs w:val="21"/>
          <w:lang w:eastAsia="ar-SA"/>
        </w:rPr>
        <w:t xml:space="preserve">l oriente, </w:t>
      </w:r>
      <w:r w:rsidRPr="001108A1">
        <w:rPr>
          <w:rFonts w:ascii="Abadi" w:eastAsia="DejaVu Sans" w:hAnsi="Abadi" w:cs="Tahoma"/>
          <w:bCs/>
          <w:kern w:val="1"/>
          <w:sz w:val="21"/>
          <w:szCs w:val="21"/>
          <w:lang w:eastAsia="ar-SA"/>
        </w:rPr>
        <w:t xml:space="preserve">en línea quebrada en </w:t>
      </w:r>
      <w:r w:rsidRPr="001108A1">
        <w:rPr>
          <w:rFonts w:ascii="Abadi" w:eastAsia="DejaVu Sans" w:hAnsi="Abadi" w:cs="Tahoma"/>
          <w:bCs/>
          <w:kern w:val="1"/>
          <w:sz w:val="21"/>
          <w:szCs w:val="21"/>
          <w:lang w:eastAsia="ar-SA"/>
        </w:rPr>
        <w:t xml:space="preserve">veintidós tramos de 60.20 sesenta punto veinte metros con parcela 73 setenta y tres, 31.59 treinta y uno punto cincuenta y nueve metros con resto de la parcela 165 ciento sesenta y cinco, 153.41 ciento cincuenta y tres punto cuarenta y un metros con resto de la parcela 169 ciento sesenta y nueve, 3.63 tres punto sesenta y tres metros, 6.23 seis punto veintitrés metros, 1.97 uno punto noventa y siete metros, 2.43 dos punto cuarenta y tres metros, 2.45 dos punto cuarenta y cinco metros, 2.42 dos punto cuarenta y dos metros, 2.51 dos punto cincuenta y un metros, 2.40 dos punto cuarenta metros, 2.43 dos punto cuarenta y tres metros, 1.78 uno punto setenta y ocho metros, 1.92 uno punto noventa y dos metros, 0.95 cero punto noventa y cinco metros, 1.18 uno punto dieciocho metros, 0.93 cero punto noventa y tres metros, 0.96 cero punto noventa y seis metros, 6.25 seis punto veinticinco metros, 0.67 cero punto sesenta y siete metros, 0.59 cero punto cincuenta y nueve metros y 0.50 cero punto cincuenta metros, con resto de la parcela 169 ciento sesenta y nueve; al sur, en línea quebrada en siete tramos de 0.10 cero punto diez metros, 8.79 ocho punto setenta y nueve metros, 4.80 cuatro punto ochenta metros, 6.13 seis punto trece metros, 5.08 cinco punto cero ocho metros, 5.12 cinco punto doce metros y 0.43 cero punto cuarenta y tres metros, con resto de la parcela 169 ciento sesenta y nueve; y al poniente, en línea quebrada en veinte tramos de 2.09 dos punto cero nueve metros, 2.00 dos metros, 2.57 dos punto cincuenta y siete metros, 2.41 dos punto cuarenta y un metros, 2.52 dos punto cincuenta y dos metros, 2.55 dos punto cincuenta y cinco metros, 2.51 dos punto cincuenta y un metros, 2.45 dos punto cuarenta y cinco metros, 2.44 dos punto cuarenta y cuatro metros, 2.41 dos punto cuarenta y un metros, 2.50 dos punto cincuenta metros, 13.33 trece punto treinta y tres metros, 62.26 sesenta y dos punto veintiséis metros, 82.85 ochenta y dos punto </w:t>
      </w:r>
      <w:r w:rsidRPr="001108A1">
        <w:rPr>
          <w:rFonts w:ascii="Abadi" w:eastAsia="DejaVu Sans" w:hAnsi="Abadi" w:cs="Tahoma"/>
          <w:bCs/>
          <w:kern w:val="1"/>
          <w:sz w:val="21"/>
          <w:szCs w:val="21"/>
          <w:lang w:eastAsia="ar-SA"/>
        </w:rPr>
        <w:lastRenderedPageBreak/>
        <w:t>ochenta y cinco metros, 17.39 diecisiete punto treinta y nueve metros, 11.70 once punto setenta metros, 42.97 cuarenta y dos punto noventa y siete metros, 1.12 uno punto doce metros, 5.06 cinco punto cero seis metros y 7.78 siete punto setenta y ocho metros, con resto de la parcela 167 ciento sesenta y siete</w:t>
      </w:r>
      <w:bookmarkEnd w:id="18"/>
      <w:r w:rsidRPr="001108A1">
        <w:rPr>
          <w:rFonts w:ascii="Abadi" w:eastAsia="DejaVu Sans" w:hAnsi="Abadi" w:cs="Tahoma"/>
          <w:bCs/>
          <w:kern w:val="1"/>
          <w:sz w:val="21"/>
          <w:szCs w:val="21"/>
          <w:lang w:eastAsia="ar-SA"/>
        </w:rPr>
        <w:t>.</w:t>
      </w:r>
      <w:r w:rsidRPr="001108A1">
        <w:rPr>
          <w:rFonts w:ascii="Abadi" w:hAnsi="Abadi" w:cs="Tahoma"/>
          <w:bCs/>
          <w:sz w:val="21"/>
          <w:szCs w:val="21"/>
        </w:rPr>
        <w:t xml:space="preserve"> </w:t>
      </w:r>
    </w:p>
    <w:p w14:paraId="0ED5A82E" w14:textId="77777777" w:rsidR="00D861D8" w:rsidRPr="001108A1" w:rsidRDefault="00D861D8" w:rsidP="00D861D8">
      <w:pPr>
        <w:pStyle w:val="Prrafodelista"/>
        <w:suppressAutoHyphens/>
        <w:jc w:val="both"/>
        <w:rPr>
          <w:rFonts w:ascii="Abadi" w:hAnsi="Abadi" w:cs="Tahoma"/>
          <w:bCs/>
          <w:sz w:val="21"/>
          <w:szCs w:val="21"/>
        </w:rPr>
      </w:pPr>
    </w:p>
    <w:p w14:paraId="35A19C11" w14:textId="77777777" w:rsidR="00D861D8" w:rsidRPr="001108A1" w:rsidRDefault="00D861D8" w:rsidP="00D861D8">
      <w:pPr>
        <w:jc w:val="right"/>
        <w:rPr>
          <w:rFonts w:ascii="Abadi" w:hAnsi="Abadi" w:cs="Arial"/>
          <w:b/>
          <w:i/>
          <w:sz w:val="21"/>
          <w:szCs w:val="21"/>
          <w:lang w:val="es-MX"/>
        </w:rPr>
      </w:pPr>
      <w:r w:rsidRPr="001108A1">
        <w:rPr>
          <w:rFonts w:ascii="Abadi" w:hAnsi="Abadi" w:cs="Arial"/>
          <w:b/>
          <w:i/>
          <w:sz w:val="21"/>
          <w:szCs w:val="21"/>
          <w:lang w:val="es-MX"/>
        </w:rPr>
        <w:t>Autorización para la enajenación</w:t>
      </w:r>
    </w:p>
    <w:p w14:paraId="13ED0A3A" w14:textId="77777777" w:rsidR="00D861D8" w:rsidRPr="001108A1" w:rsidRDefault="00D861D8" w:rsidP="00D861D8">
      <w:pPr>
        <w:ind w:firstLine="708"/>
        <w:jc w:val="both"/>
        <w:rPr>
          <w:rFonts w:ascii="Abadi" w:hAnsi="Abadi" w:cs="Arial"/>
          <w:b/>
          <w:i/>
          <w:sz w:val="21"/>
          <w:szCs w:val="21"/>
          <w:lang w:val="es-MX"/>
        </w:rPr>
      </w:pPr>
      <w:r w:rsidRPr="001108A1">
        <w:rPr>
          <w:rFonts w:ascii="Abadi" w:hAnsi="Abadi" w:cs="Arial"/>
          <w:b/>
          <w:sz w:val="21"/>
          <w:szCs w:val="21"/>
          <w:lang w:val="es-MX"/>
        </w:rPr>
        <w:t xml:space="preserve">Artículo Segundo. </w:t>
      </w:r>
      <w:r w:rsidRPr="001108A1">
        <w:rPr>
          <w:rFonts w:ascii="Abadi" w:hAnsi="Abadi" w:cs="Tahoma"/>
          <w:bCs/>
          <w:sz w:val="21"/>
          <w:szCs w:val="21"/>
        </w:rPr>
        <w:t xml:space="preserve">Se autoriza al titular del Poder Ejecutivo del Estado a enajenar los bienes inmuebles descritos en el artículo anterior, mediante su aportación al patrimonio del Instituto de Seguridad Social del Estado de Guanajuato, para que este los destine </w:t>
      </w:r>
      <w:bookmarkStart w:id="19" w:name="_Hlk130892181"/>
      <w:r w:rsidRPr="001108A1">
        <w:rPr>
          <w:rFonts w:ascii="Abadi" w:hAnsi="Abadi" w:cs="Tahoma"/>
          <w:bCs/>
          <w:sz w:val="21"/>
          <w:szCs w:val="21"/>
        </w:rPr>
        <w:t>al desarrollo de proyectos de infraestructura a efecto de impulsar los ingresos y fortalecer el fondo de pensiones</w:t>
      </w:r>
      <w:bookmarkEnd w:id="19"/>
      <w:r w:rsidRPr="001108A1">
        <w:rPr>
          <w:rFonts w:ascii="Abadi" w:hAnsi="Abadi" w:cs="Tahoma"/>
          <w:bCs/>
          <w:sz w:val="21"/>
          <w:szCs w:val="21"/>
        </w:rPr>
        <w:t>.</w:t>
      </w:r>
    </w:p>
    <w:p w14:paraId="07AE0294" w14:textId="77777777" w:rsidR="00D861D8" w:rsidRPr="001108A1" w:rsidRDefault="00D861D8" w:rsidP="00D861D8">
      <w:pPr>
        <w:jc w:val="right"/>
        <w:rPr>
          <w:rFonts w:ascii="Abadi" w:hAnsi="Abadi" w:cs="Arial"/>
          <w:b/>
          <w:i/>
          <w:sz w:val="21"/>
          <w:szCs w:val="21"/>
          <w:lang w:val="es-MX"/>
        </w:rPr>
      </w:pPr>
    </w:p>
    <w:p w14:paraId="39A5A163" w14:textId="77777777" w:rsidR="00D861D8" w:rsidRPr="001108A1" w:rsidRDefault="00D861D8" w:rsidP="00D861D8">
      <w:pPr>
        <w:jc w:val="right"/>
        <w:rPr>
          <w:rFonts w:ascii="Abadi" w:hAnsi="Abadi" w:cs="Arial"/>
          <w:b/>
          <w:i/>
          <w:sz w:val="21"/>
          <w:szCs w:val="21"/>
          <w:lang w:val="es-MX"/>
        </w:rPr>
      </w:pPr>
      <w:r w:rsidRPr="001108A1">
        <w:rPr>
          <w:rFonts w:ascii="Abadi" w:hAnsi="Abadi" w:cs="Arial"/>
          <w:b/>
          <w:i/>
          <w:sz w:val="21"/>
          <w:szCs w:val="21"/>
          <w:lang w:val="es-MX"/>
        </w:rPr>
        <w:t>Plazo para ejercer la autorización</w:t>
      </w:r>
    </w:p>
    <w:p w14:paraId="222D2098" w14:textId="77777777" w:rsidR="00D861D8" w:rsidRPr="001108A1" w:rsidRDefault="00D861D8" w:rsidP="00DA238D">
      <w:pPr>
        <w:pStyle w:val="Sangra2detindependiente"/>
        <w:spacing w:line="240" w:lineRule="auto"/>
        <w:jc w:val="both"/>
        <w:rPr>
          <w:rFonts w:ascii="Abadi" w:hAnsi="Abadi" w:cs="Tahoma"/>
          <w:bCs/>
          <w:sz w:val="21"/>
          <w:szCs w:val="21"/>
        </w:rPr>
      </w:pPr>
      <w:r w:rsidRPr="001108A1">
        <w:rPr>
          <w:rFonts w:ascii="Abadi" w:hAnsi="Abadi"/>
          <w:b/>
          <w:sz w:val="21"/>
          <w:szCs w:val="21"/>
        </w:rPr>
        <w:t xml:space="preserve">Artículo Tercero. </w:t>
      </w:r>
      <w:r w:rsidRPr="001108A1">
        <w:rPr>
          <w:rFonts w:ascii="Abadi" w:hAnsi="Abadi" w:cs="Tahoma"/>
          <w:bCs/>
          <w:sz w:val="21"/>
          <w:szCs w:val="21"/>
        </w:rPr>
        <w:t>La presente autorización deberá ser ejercida en un plazo que no excederá del 25 de septiembre de 2024, de lo contrario quedará sin efecto.</w:t>
      </w:r>
    </w:p>
    <w:p w14:paraId="38482197" w14:textId="77777777" w:rsidR="00D861D8" w:rsidRPr="001108A1" w:rsidRDefault="00D861D8" w:rsidP="00DA238D">
      <w:pPr>
        <w:jc w:val="both"/>
        <w:rPr>
          <w:rFonts w:ascii="Abadi" w:hAnsi="Abadi"/>
          <w:sz w:val="21"/>
          <w:szCs w:val="21"/>
        </w:rPr>
      </w:pPr>
    </w:p>
    <w:p w14:paraId="423D6470" w14:textId="77777777" w:rsidR="00D861D8" w:rsidRPr="001108A1" w:rsidRDefault="00D861D8" w:rsidP="00DA238D">
      <w:pPr>
        <w:jc w:val="both"/>
        <w:rPr>
          <w:rFonts w:ascii="Abadi" w:hAnsi="Abadi" w:cs="Arial"/>
          <w:b/>
          <w:i/>
          <w:sz w:val="21"/>
          <w:szCs w:val="21"/>
          <w:lang w:val="es-MX"/>
        </w:rPr>
      </w:pPr>
      <w:r w:rsidRPr="001108A1">
        <w:rPr>
          <w:rFonts w:ascii="Abadi" w:hAnsi="Abadi"/>
          <w:sz w:val="21"/>
          <w:szCs w:val="21"/>
        </w:rPr>
        <w:t xml:space="preserve"> </w:t>
      </w:r>
      <w:r w:rsidRPr="001108A1">
        <w:rPr>
          <w:rFonts w:ascii="Abadi" w:hAnsi="Abadi" w:cs="Arial"/>
          <w:b/>
          <w:i/>
          <w:sz w:val="21"/>
          <w:szCs w:val="21"/>
          <w:lang w:val="es-MX"/>
        </w:rPr>
        <w:t>Información al Congreso del Estado</w:t>
      </w:r>
    </w:p>
    <w:p w14:paraId="4842FA93" w14:textId="77777777" w:rsidR="00D861D8" w:rsidRPr="001108A1" w:rsidRDefault="00D861D8" w:rsidP="00DA238D">
      <w:pPr>
        <w:pStyle w:val="Sangra2detindependiente"/>
        <w:spacing w:line="240" w:lineRule="auto"/>
        <w:jc w:val="both"/>
        <w:rPr>
          <w:rFonts w:ascii="Abadi" w:hAnsi="Abadi"/>
          <w:sz w:val="21"/>
          <w:szCs w:val="21"/>
        </w:rPr>
      </w:pPr>
      <w:r w:rsidRPr="001108A1">
        <w:rPr>
          <w:rFonts w:ascii="Abadi" w:hAnsi="Abadi"/>
          <w:b/>
          <w:sz w:val="21"/>
          <w:szCs w:val="21"/>
        </w:rPr>
        <w:t xml:space="preserve">Artículo Cuarto. </w:t>
      </w:r>
      <w:r w:rsidRPr="001108A1">
        <w:rPr>
          <w:rFonts w:ascii="Abadi" w:hAnsi="Abadi"/>
          <w:sz w:val="21"/>
          <w:szCs w:val="21"/>
        </w:rPr>
        <w:t xml:space="preserve">El titular del Poder Ejecutivo del Estado, por conducto de la Secretaría de Finanzas, Inversión y Administración, deberá informar al Congreso del Estado sobre la donación que se autoriza mediante el presente Decreto, en un término de treinta días hábiles siguientes a su celebración y una vez realizada la inscripción correspondiente en el Registro Público de la Propiedad, independientemente de la información que deberá integrarse a la cuenta pública del Poder Ejecutivo del Estado. </w:t>
      </w:r>
    </w:p>
    <w:p w14:paraId="4C93A3BB" w14:textId="77777777" w:rsidR="00D861D8" w:rsidRPr="001108A1" w:rsidRDefault="00D861D8" w:rsidP="00DA238D">
      <w:pPr>
        <w:jc w:val="both"/>
        <w:rPr>
          <w:rFonts w:ascii="Abadi" w:hAnsi="Abadi" w:cs="Arial"/>
          <w:b/>
          <w:i/>
          <w:sz w:val="21"/>
          <w:szCs w:val="21"/>
          <w:lang w:val="es-MX"/>
        </w:rPr>
      </w:pPr>
    </w:p>
    <w:p w14:paraId="56FD1DF7" w14:textId="77777777" w:rsidR="00D861D8" w:rsidRPr="001108A1" w:rsidRDefault="00D861D8" w:rsidP="00DA238D">
      <w:pPr>
        <w:jc w:val="both"/>
        <w:rPr>
          <w:rFonts w:ascii="Abadi" w:hAnsi="Abadi" w:cs="Arial"/>
          <w:b/>
          <w:i/>
          <w:sz w:val="21"/>
          <w:szCs w:val="21"/>
          <w:lang w:val="es-MX"/>
        </w:rPr>
      </w:pPr>
    </w:p>
    <w:p w14:paraId="47736F30" w14:textId="77777777" w:rsidR="00D861D8" w:rsidRPr="001108A1" w:rsidRDefault="00D861D8" w:rsidP="00DA238D">
      <w:pPr>
        <w:jc w:val="both"/>
        <w:rPr>
          <w:rFonts w:ascii="Abadi" w:hAnsi="Abadi" w:cs="Arial"/>
          <w:b/>
          <w:i/>
          <w:sz w:val="21"/>
          <w:szCs w:val="21"/>
          <w:lang w:val="es-MX"/>
        </w:rPr>
      </w:pPr>
      <w:r w:rsidRPr="001108A1">
        <w:rPr>
          <w:rFonts w:ascii="Abadi" w:hAnsi="Abadi" w:cs="Arial"/>
          <w:b/>
          <w:i/>
          <w:sz w:val="21"/>
          <w:szCs w:val="21"/>
          <w:lang w:val="es-MX"/>
        </w:rPr>
        <w:t>Anotaciones en el padrón</w:t>
      </w:r>
    </w:p>
    <w:p w14:paraId="327D51D7" w14:textId="77777777" w:rsidR="00D861D8" w:rsidRPr="001108A1" w:rsidRDefault="00D861D8" w:rsidP="00DA238D">
      <w:pPr>
        <w:pStyle w:val="Sangra2detindependiente"/>
        <w:spacing w:line="240" w:lineRule="auto"/>
        <w:jc w:val="both"/>
        <w:rPr>
          <w:rFonts w:ascii="Abadi" w:hAnsi="Abadi"/>
          <w:sz w:val="21"/>
          <w:szCs w:val="21"/>
        </w:rPr>
      </w:pPr>
      <w:r w:rsidRPr="001108A1">
        <w:rPr>
          <w:rFonts w:ascii="Abadi" w:hAnsi="Abadi"/>
          <w:b/>
          <w:bCs/>
          <w:sz w:val="21"/>
          <w:szCs w:val="21"/>
        </w:rPr>
        <w:t xml:space="preserve">Artículo Quinto. </w:t>
      </w:r>
      <w:r w:rsidRPr="001108A1">
        <w:rPr>
          <w:rFonts w:ascii="Abadi" w:hAnsi="Abadi"/>
          <w:sz w:val="21"/>
          <w:szCs w:val="21"/>
        </w:rPr>
        <w:t xml:space="preserve">Una vez realizada la enajenación, procédase a realizar las anotaciones correspondientes en el Padrón de la Propiedad Inmobiliaria Estatal. </w:t>
      </w:r>
    </w:p>
    <w:p w14:paraId="0CB970F0" w14:textId="77777777" w:rsidR="00D861D8" w:rsidRPr="001108A1" w:rsidRDefault="00D861D8" w:rsidP="00D861D8">
      <w:pPr>
        <w:rPr>
          <w:rFonts w:ascii="Abadi" w:hAnsi="Abadi"/>
          <w:sz w:val="21"/>
          <w:szCs w:val="21"/>
          <w:lang w:val="en-US"/>
        </w:rPr>
      </w:pPr>
    </w:p>
    <w:p w14:paraId="412E53C5" w14:textId="77777777" w:rsidR="00D861D8" w:rsidRDefault="00D861D8" w:rsidP="00D861D8">
      <w:pPr>
        <w:pStyle w:val="Ttulo2"/>
        <w:rPr>
          <w:rFonts w:ascii="Abadi" w:hAnsi="Abadi"/>
          <w:sz w:val="21"/>
          <w:szCs w:val="21"/>
          <w:lang w:val="en-US"/>
        </w:rPr>
      </w:pPr>
      <w:r w:rsidRPr="001108A1">
        <w:rPr>
          <w:rFonts w:ascii="Abadi" w:hAnsi="Abadi"/>
          <w:sz w:val="21"/>
          <w:szCs w:val="21"/>
          <w:lang w:val="en-US"/>
        </w:rPr>
        <w:t xml:space="preserve">T r a n s </w:t>
      </w:r>
      <w:proofErr w:type="spellStart"/>
      <w:r w:rsidRPr="001108A1">
        <w:rPr>
          <w:rFonts w:ascii="Abadi" w:hAnsi="Abadi"/>
          <w:sz w:val="21"/>
          <w:szCs w:val="21"/>
          <w:lang w:val="en-US"/>
        </w:rPr>
        <w:t>i</w:t>
      </w:r>
      <w:proofErr w:type="spellEnd"/>
      <w:r w:rsidRPr="001108A1">
        <w:rPr>
          <w:rFonts w:ascii="Abadi" w:hAnsi="Abadi"/>
          <w:sz w:val="21"/>
          <w:szCs w:val="21"/>
          <w:lang w:val="en-US"/>
        </w:rPr>
        <w:t xml:space="preserve"> t o r </w:t>
      </w:r>
      <w:proofErr w:type="spellStart"/>
      <w:r w:rsidRPr="001108A1">
        <w:rPr>
          <w:rFonts w:ascii="Abadi" w:hAnsi="Abadi"/>
          <w:sz w:val="21"/>
          <w:szCs w:val="21"/>
          <w:lang w:val="en-US"/>
        </w:rPr>
        <w:t>i</w:t>
      </w:r>
      <w:proofErr w:type="spellEnd"/>
      <w:r w:rsidRPr="001108A1">
        <w:rPr>
          <w:rFonts w:ascii="Abadi" w:hAnsi="Abadi"/>
          <w:sz w:val="21"/>
          <w:szCs w:val="21"/>
          <w:lang w:val="en-US"/>
        </w:rPr>
        <w:t xml:space="preserve"> o</w:t>
      </w:r>
    </w:p>
    <w:p w14:paraId="269CB335" w14:textId="77777777" w:rsidR="00DA238D" w:rsidRPr="00DA238D" w:rsidRDefault="00DA238D" w:rsidP="00DA238D">
      <w:pPr>
        <w:rPr>
          <w:lang w:val="en-US"/>
        </w:rPr>
      </w:pPr>
    </w:p>
    <w:p w14:paraId="29508954" w14:textId="77777777" w:rsidR="00D861D8" w:rsidRPr="001108A1" w:rsidRDefault="00D861D8" w:rsidP="00D861D8">
      <w:pPr>
        <w:jc w:val="right"/>
        <w:rPr>
          <w:rFonts w:ascii="Abadi" w:hAnsi="Abadi" w:cs="Arial"/>
          <w:i/>
          <w:sz w:val="21"/>
          <w:szCs w:val="21"/>
          <w:lang w:val="es-MX"/>
        </w:rPr>
      </w:pPr>
      <w:r w:rsidRPr="001108A1">
        <w:rPr>
          <w:rFonts w:ascii="Abadi" w:hAnsi="Abadi" w:cs="Arial"/>
          <w:b/>
          <w:i/>
          <w:sz w:val="21"/>
          <w:szCs w:val="21"/>
          <w:lang w:val="es-MX"/>
        </w:rPr>
        <w:t>Inicio de vigencia</w:t>
      </w:r>
    </w:p>
    <w:p w14:paraId="11B1306A" w14:textId="77777777" w:rsidR="00D861D8" w:rsidRPr="001108A1" w:rsidRDefault="00D861D8" w:rsidP="00D861D8">
      <w:pPr>
        <w:jc w:val="both"/>
        <w:rPr>
          <w:rFonts w:ascii="Abadi" w:hAnsi="Abadi"/>
          <w:sz w:val="21"/>
          <w:szCs w:val="21"/>
          <w:lang w:val="es-MX"/>
        </w:rPr>
      </w:pPr>
      <w:r w:rsidRPr="001108A1">
        <w:rPr>
          <w:rFonts w:ascii="Abadi" w:hAnsi="Abadi" w:cs="Arial"/>
          <w:sz w:val="21"/>
          <w:szCs w:val="21"/>
          <w:lang w:val="es-MX"/>
        </w:rPr>
        <w:tab/>
      </w:r>
      <w:r w:rsidRPr="001108A1">
        <w:rPr>
          <w:rFonts w:ascii="Abadi" w:hAnsi="Abadi" w:cs="Arial"/>
          <w:b/>
          <w:sz w:val="21"/>
          <w:szCs w:val="21"/>
          <w:lang w:val="es-MX"/>
        </w:rPr>
        <w:t xml:space="preserve">Artículo Único. </w:t>
      </w:r>
      <w:r w:rsidRPr="001108A1">
        <w:rPr>
          <w:rFonts w:ascii="Abadi" w:hAnsi="Abadi"/>
          <w:sz w:val="21"/>
          <w:szCs w:val="21"/>
          <w:lang w:val="es-MX"/>
        </w:rPr>
        <w:t>El presente Decreto entrará en vigencia el día siguiente al de su publicación en el Periódico Oficial del Gobierno del Estado de Guanajuato.</w:t>
      </w:r>
    </w:p>
    <w:p w14:paraId="559AFE44" w14:textId="77777777" w:rsidR="00D861D8" w:rsidRPr="001108A1" w:rsidRDefault="00D861D8" w:rsidP="00D861D8">
      <w:pPr>
        <w:jc w:val="both"/>
        <w:rPr>
          <w:rFonts w:ascii="Abadi" w:hAnsi="Abadi"/>
          <w:sz w:val="21"/>
          <w:szCs w:val="21"/>
          <w:lang w:val="es-MX"/>
        </w:rPr>
      </w:pPr>
    </w:p>
    <w:p w14:paraId="3619538A" w14:textId="77777777" w:rsidR="00D861D8" w:rsidRPr="001108A1" w:rsidRDefault="00D861D8" w:rsidP="00D861D8">
      <w:pPr>
        <w:jc w:val="center"/>
        <w:rPr>
          <w:rFonts w:ascii="Abadi" w:hAnsi="Abadi" w:cs="Arial"/>
          <w:b/>
          <w:bCs/>
          <w:sz w:val="21"/>
          <w:szCs w:val="21"/>
          <w:lang w:val="es-MX" w:eastAsia="x-none"/>
        </w:rPr>
      </w:pPr>
      <w:r w:rsidRPr="001108A1">
        <w:rPr>
          <w:rFonts w:ascii="Abadi" w:hAnsi="Abadi" w:cs="Arial"/>
          <w:b/>
          <w:bCs/>
          <w:sz w:val="21"/>
          <w:szCs w:val="21"/>
          <w:lang w:val="es-MX" w:eastAsia="x-none"/>
        </w:rPr>
        <w:t xml:space="preserve">Guanajuato, </w:t>
      </w:r>
      <w:proofErr w:type="spellStart"/>
      <w:r w:rsidRPr="001108A1">
        <w:rPr>
          <w:rFonts w:ascii="Abadi" w:hAnsi="Abadi" w:cs="Arial"/>
          <w:b/>
          <w:bCs/>
          <w:sz w:val="21"/>
          <w:szCs w:val="21"/>
          <w:lang w:val="es-MX" w:eastAsia="x-none"/>
        </w:rPr>
        <w:t>Gto</w:t>
      </w:r>
      <w:proofErr w:type="spellEnd"/>
      <w:r w:rsidRPr="001108A1">
        <w:rPr>
          <w:rFonts w:ascii="Abadi" w:hAnsi="Abadi" w:cs="Arial"/>
          <w:b/>
          <w:bCs/>
          <w:sz w:val="21"/>
          <w:szCs w:val="21"/>
          <w:lang w:val="es-MX" w:eastAsia="x-none"/>
        </w:rPr>
        <w:t>., 13 de junio de 2023</w:t>
      </w:r>
    </w:p>
    <w:p w14:paraId="2018101C" w14:textId="77777777" w:rsidR="00DA238D" w:rsidRDefault="00D861D8" w:rsidP="00D861D8">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1108A1">
          <w:rPr>
            <w:rFonts w:ascii="Abadi" w:hAnsi="Abadi" w:cs="Arial"/>
            <w:b/>
            <w:bCs/>
            <w:sz w:val="21"/>
            <w:szCs w:val="21"/>
            <w:lang w:val="es-MX" w:eastAsia="x-none"/>
          </w:rPr>
          <w:t>La Comisión</w:t>
        </w:r>
      </w:smartTag>
      <w:r w:rsidRPr="001108A1">
        <w:rPr>
          <w:rFonts w:ascii="Abadi" w:hAnsi="Abadi" w:cs="Arial"/>
          <w:b/>
          <w:bCs/>
          <w:sz w:val="21"/>
          <w:szCs w:val="21"/>
          <w:lang w:val="es-MX" w:eastAsia="x-none"/>
        </w:rPr>
        <w:t xml:space="preserve"> de Hacienda y Fiscalización</w:t>
      </w:r>
    </w:p>
    <w:p w14:paraId="5909D254" w14:textId="77777777" w:rsidR="00DA238D" w:rsidRDefault="00DA238D" w:rsidP="00D861D8">
      <w:pPr>
        <w:jc w:val="center"/>
        <w:rPr>
          <w:rFonts w:ascii="Abadi" w:hAnsi="Abadi" w:cs="Arial"/>
          <w:b/>
          <w:bCs/>
          <w:sz w:val="21"/>
          <w:szCs w:val="21"/>
          <w:lang w:val="es-MX" w:eastAsia="x-none"/>
        </w:rPr>
      </w:pPr>
    </w:p>
    <w:p w14:paraId="63660DF2" w14:textId="562EB605" w:rsidR="00D861D8" w:rsidRPr="00DA238D" w:rsidRDefault="00D861D8" w:rsidP="00D861D8">
      <w:pPr>
        <w:jc w:val="center"/>
        <w:rPr>
          <w:rFonts w:ascii="Abadi" w:hAnsi="Abadi" w:cs="Arial"/>
          <w:b/>
          <w:bCs/>
          <w:sz w:val="21"/>
          <w:szCs w:val="21"/>
          <w:lang w:val="es-MX" w:eastAsia="x-none"/>
        </w:rPr>
      </w:pPr>
      <w:r w:rsidRPr="001108A1">
        <w:rPr>
          <w:rFonts w:ascii="Abadi" w:hAnsi="Abadi" w:cs="Arial"/>
          <w:b/>
          <w:sz w:val="21"/>
          <w:szCs w:val="21"/>
        </w:rPr>
        <w:t>Diputado Víctor Manuel Zanella Huerta</w:t>
      </w:r>
    </w:p>
    <w:p w14:paraId="64072D3E" w14:textId="77777777" w:rsidR="00D861D8" w:rsidRPr="001108A1" w:rsidRDefault="00D861D8" w:rsidP="00D861D8">
      <w:pPr>
        <w:ind w:right="-234"/>
        <w:rPr>
          <w:rFonts w:ascii="Abadi" w:hAnsi="Abadi" w:cs="Calibri"/>
          <w:b/>
          <w:bCs/>
          <w:sz w:val="21"/>
          <w:szCs w:val="21"/>
        </w:rPr>
      </w:pPr>
      <w:r w:rsidRPr="001108A1">
        <w:rPr>
          <w:rFonts w:ascii="Abadi" w:hAnsi="Abadi" w:cs="Calibri"/>
          <w:b/>
          <w:bCs/>
          <w:sz w:val="21"/>
          <w:szCs w:val="21"/>
        </w:rPr>
        <w:t xml:space="preserve">Diputada Ruth Noemí Tiscareño Agoitia                   Diputado Miguel Ángel Salim </w:t>
      </w:r>
      <w:proofErr w:type="spellStart"/>
      <w:r w:rsidRPr="001108A1">
        <w:rPr>
          <w:rFonts w:ascii="Abadi" w:hAnsi="Abadi" w:cs="Calibri"/>
          <w:b/>
          <w:bCs/>
          <w:sz w:val="21"/>
          <w:szCs w:val="21"/>
        </w:rPr>
        <w:t>Alle</w:t>
      </w:r>
      <w:proofErr w:type="spellEnd"/>
    </w:p>
    <w:p w14:paraId="6D5AB04D" w14:textId="77777777" w:rsidR="00D861D8" w:rsidRPr="001108A1" w:rsidRDefault="00D861D8" w:rsidP="00D861D8">
      <w:pPr>
        <w:ind w:right="-234"/>
        <w:rPr>
          <w:rFonts w:ascii="Abadi" w:hAnsi="Abadi" w:cs="Calibri"/>
          <w:b/>
          <w:bCs/>
          <w:sz w:val="21"/>
          <w:szCs w:val="21"/>
        </w:rPr>
      </w:pPr>
      <w:r w:rsidRPr="001108A1">
        <w:rPr>
          <w:rFonts w:ascii="Abadi" w:hAnsi="Abadi" w:cs="Calibri"/>
          <w:b/>
          <w:bCs/>
          <w:sz w:val="21"/>
          <w:szCs w:val="21"/>
        </w:rPr>
        <w:t>Diputado José Alfonso Borja Pimentel    Diputada Alma Edwviges Alcaraz Hernández</w:t>
      </w:r>
    </w:p>
    <w:p w14:paraId="4B2A662B" w14:textId="77777777" w:rsidR="00D861D8" w:rsidRPr="001108A1" w:rsidRDefault="00D861D8" w:rsidP="00D861D8">
      <w:pPr>
        <w:jc w:val="both"/>
        <w:rPr>
          <w:rFonts w:ascii="Abadi" w:hAnsi="Abadi"/>
          <w:sz w:val="21"/>
          <w:szCs w:val="21"/>
          <w:lang w:val="es-ES_tradnl"/>
        </w:rPr>
      </w:pPr>
    </w:p>
    <w:p w14:paraId="4DD58CD5" w14:textId="77777777" w:rsidR="00392AC3" w:rsidRDefault="00392AC3" w:rsidP="00D861D8">
      <w:pPr>
        <w:jc w:val="both"/>
        <w:rPr>
          <w:rFonts w:ascii="Abadi" w:hAnsi="Abadi"/>
          <w:sz w:val="21"/>
          <w:szCs w:val="21"/>
          <w:lang w:val="es-ES_tradnl"/>
        </w:rPr>
      </w:pPr>
    </w:p>
    <w:p w14:paraId="492F2871" w14:textId="3176A3C2" w:rsidR="00786036" w:rsidRDefault="00786036" w:rsidP="00786036">
      <w:pPr>
        <w:jc w:val="both"/>
        <w:rPr>
          <w:rFonts w:ascii="Abadi" w:hAnsi="Abadi"/>
          <w:b/>
          <w:bCs/>
          <w:sz w:val="21"/>
          <w:szCs w:val="21"/>
        </w:rPr>
      </w:pPr>
      <w:r>
        <w:rPr>
          <w:rFonts w:ascii="Abadi" w:hAnsi="Abadi"/>
          <w:b/>
          <w:bCs/>
          <w:sz w:val="21"/>
          <w:szCs w:val="21"/>
        </w:rPr>
        <w:tab/>
      </w:r>
      <w:r w:rsidRPr="003A7532">
        <w:rPr>
          <w:rFonts w:ascii="Abadi" w:hAnsi="Abadi"/>
          <w:b/>
          <w:bCs/>
          <w:sz w:val="21"/>
          <w:szCs w:val="21"/>
        </w:rPr>
        <w:t xml:space="preserve">- La </w:t>
      </w:r>
      <w:proofErr w:type="gramStart"/>
      <w:r w:rsidRPr="003A7532">
        <w:rPr>
          <w:rFonts w:ascii="Abadi" w:hAnsi="Abadi"/>
          <w:b/>
          <w:bCs/>
          <w:sz w:val="21"/>
          <w:szCs w:val="21"/>
        </w:rPr>
        <w:t>Presidencia.-</w:t>
      </w:r>
      <w:proofErr w:type="gramEnd"/>
      <w:r>
        <w:rPr>
          <w:rFonts w:ascii="Abadi" w:hAnsi="Abadi"/>
          <w:sz w:val="21"/>
          <w:szCs w:val="21"/>
        </w:rPr>
        <w:t xml:space="preserve"> S</w:t>
      </w:r>
      <w:r w:rsidRPr="0030088F">
        <w:rPr>
          <w:rFonts w:ascii="Abadi" w:hAnsi="Abadi"/>
          <w:sz w:val="21"/>
          <w:szCs w:val="21"/>
        </w:rPr>
        <w:t>e somete a discusión en lo general el dictamen formulado por la comisión de hacienda y fiscalización correspondiente al punto 29 del orden del día</w:t>
      </w:r>
      <w:r>
        <w:rPr>
          <w:rFonts w:ascii="Abadi" w:hAnsi="Abadi"/>
          <w:sz w:val="21"/>
          <w:szCs w:val="21"/>
        </w:rPr>
        <w:t xml:space="preserve">. </w:t>
      </w:r>
      <w:r w:rsidRPr="00E97388">
        <w:rPr>
          <w:rFonts w:ascii="Abadi" w:hAnsi="Abadi"/>
          <w:b/>
          <w:bCs/>
          <w:sz w:val="21"/>
          <w:szCs w:val="21"/>
        </w:rPr>
        <w:t>(ELD 488/LXV-I)</w:t>
      </w:r>
    </w:p>
    <w:p w14:paraId="3C71053E" w14:textId="77777777" w:rsidR="00786036" w:rsidRPr="00E97388" w:rsidRDefault="00786036" w:rsidP="00786036">
      <w:pPr>
        <w:jc w:val="both"/>
        <w:rPr>
          <w:rFonts w:ascii="Abadi" w:hAnsi="Abadi"/>
          <w:b/>
          <w:bCs/>
          <w:sz w:val="21"/>
          <w:szCs w:val="21"/>
        </w:rPr>
      </w:pPr>
    </w:p>
    <w:p w14:paraId="312F5636" w14:textId="77777777" w:rsidR="00786036" w:rsidRDefault="00786036" w:rsidP="00786036">
      <w:pPr>
        <w:jc w:val="both"/>
        <w:rPr>
          <w:rFonts w:ascii="Abadi" w:hAnsi="Abadi"/>
          <w:sz w:val="21"/>
          <w:szCs w:val="21"/>
        </w:rPr>
      </w:pPr>
      <w:r>
        <w:rPr>
          <w:rFonts w:ascii="Abadi" w:hAnsi="Abadi"/>
          <w:sz w:val="21"/>
          <w:szCs w:val="21"/>
        </w:rPr>
        <w:tab/>
        <w:t>- S</w:t>
      </w:r>
      <w:r w:rsidRPr="0030088F">
        <w:rPr>
          <w:rFonts w:ascii="Abadi" w:hAnsi="Abadi"/>
          <w:sz w:val="21"/>
          <w:szCs w:val="21"/>
        </w:rPr>
        <w:t>i desean hacer uso de la palabra a favor o en contra manifiés</w:t>
      </w:r>
      <w:r>
        <w:rPr>
          <w:rFonts w:ascii="Abadi" w:hAnsi="Abadi"/>
          <w:sz w:val="21"/>
          <w:szCs w:val="21"/>
        </w:rPr>
        <w:t>tenlo</w:t>
      </w:r>
      <w:r w:rsidRPr="0030088F">
        <w:rPr>
          <w:rFonts w:ascii="Abadi" w:hAnsi="Abadi"/>
          <w:sz w:val="21"/>
          <w:szCs w:val="21"/>
        </w:rPr>
        <w:t xml:space="preserve"> indicando el sentido de su participación</w:t>
      </w:r>
      <w:r>
        <w:rPr>
          <w:rFonts w:ascii="Abadi" w:hAnsi="Abadi"/>
          <w:sz w:val="21"/>
          <w:szCs w:val="21"/>
        </w:rPr>
        <w:t>. A</w:t>
      </w:r>
      <w:r w:rsidRPr="0030088F">
        <w:rPr>
          <w:rFonts w:ascii="Abadi" w:hAnsi="Abadi"/>
          <w:sz w:val="21"/>
          <w:szCs w:val="21"/>
        </w:rPr>
        <w:t xml:space="preserve">l no haber intervenciones se pide a la secretaría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el dictamen en lo general puesto a su consideración</w:t>
      </w:r>
      <w:r>
        <w:rPr>
          <w:rFonts w:ascii="Abadi" w:hAnsi="Abadi"/>
          <w:sz w:val="21"/>
          <w:szCs w:val="21"/>
        </w:rPr>
        <w:t>.</w:t>
      </w:r>
    </w:p>
    <w:p w14:paraId="5D9DCEED" w14:textId="77777777" w:rsidR="00786036" w:rsidRDefault="00786036" w:rsidP="00786036">
      <w:pPr>
        <w:jc w:val="both"/>
        <w:rPr>
          <w:rFonts w:ascii="Abadi" w:hAnsi="Abadi"/>
          <w:sz w:val="21"/>
          <w:szCs w:val="21"/>
        </w:rPr>
      </w:pPr>
    </w:p>
    <w:p w14:paraId="000B2EC9" w14:textId="77777777" w:rsidR="00786036" w:rsidRDefault="00786036" w:rsidP="00786036">
      <w:pPr>
        <w:jc w:val="both"/>
        <w:rPr>
          <w:rFonts w:ascii="Abadi" w:hAnsi="Abadi"/>
          <w:b/>
          <w:bCs/>
          <w:sz w:val="21"/>
          <w:szCs w:val="21"/>
        </w:rPr>
      </w:pPr>
      <w:r w:rsidRPr="008A78BA">
        <w:rPr>
          <w:rFonts w:ascii="Abadi" w:hAnsi="Abadi"/>
          <w:b/>
          <w:bCs/>
          <w:sz w:val="21"/>
          <w:szCs w:val="21"/>
        </w:rPr>
        <w:t>(se abre el sistema electrónico)</w:t>
      </w:r>
    </w:p>
    <w:p w14:paraId="61F6FD08" w14:textId="77777777" w:rsidR="00786036" w:rsidRPr="008A78BA" w:rsidRDefault="00786036" w:rsidP="00786036">
      <w:pPr>
        <w:jc w:val="both"/>
        <w:rPr>
          <w:rFonts w:ascii="Abadi" w:hAnsi="Abadi"/>
          <w:b/>
          <w:bCs/>
          <w:sz w:val="21"/>
          <w:szCs w:val="21"/>
        </w:rPr>
      </w:pPr>
    </w:p>
    <w:p w14:paraId="480E8E57" w14:textId="77777777" w:rsidR="00786036" w:rsidRDefault="00786036" w:rsidP="00786036">
      <w:pPr>
        <w:jc w:val="both"/>
        <w:rPr>
          <w:rFonts w:ascii="Abadi" w:hAnsi="Abadi"/>
          <w:sz w:val="21"/>
          <w:szCs w:val="21"/>
        </w:rPr>
      </w:pPr>
      <w:r>
        <w:rPr>
          <w:rFonts w:ascii="Abadi" w:hAnsi="Abadi"/>
          <w:sz w:val="21"/>
          <w:szCs w:val="21"/>
        </w:rPr>
        <w:tab/>
      </w:r>
      <w:r w:rsidRPr="000E3665">
        <w:rPr>
          <w:rFonts w:ascii="Abadi" w:hAnsi="Abadi"/>
          <w:b/>
          <w:bCs/>
          <w:sz w:val="21"/>
          <w:szCs w:val="21"/>
        </w:rPr>
        <w:t xml:space="preserve">- La </w:t>
      </w:r>
      <w:proofErr w:type="gramStart"/>
      <w:r w:rsidRPr="000E3665">
        <w:rPr>
          <w:rFonts w:ascii="Abadi" w:hAnsi="Abadi"/>
          <w:b/>
          <w:bCs/>
          <w:sz w:val="21"/>
          <w:szCs w:val="21"/>
        </w:rPr>
        <w:t>Secretaría.-</w:t>
      </w:r>
      <w:proofErr w:type="gramEnd"/>
      <w:r>
        <w:rPr>
          <w:rFonts w:ascii="Abadi" w:hAnsi="Abadi"/>
          <w:sz w:val="21"/>
          <w:szCs w:val="21"/>
        </w:rPr>
        <w:t xml:space="preserve"> </w:t>
      </w:r>
      <w:r w:rsidRPr="0030088F">
        <w:rPr>
          <w:rFonts w:ascii="Abadi" w:hAnsi="Abadi"/>
          <w:sz w:val="21"/>
          <w:szCs w:val="21"/>
        </w:rPr>
        <w:t xml:space="preserve"> </w:t>
      </w:r>
      <w:r>
        <w:rPr>
          <w:rFonts w:ascii="Abadi" w:hAnsi="Abadi"/>
          <w:sz w:val="21"/>
          <w:szCs w:val="21"/>
        </w:rPr>
        <w:t>E</w:t>
      </w:r>
      <w:r w:rsidRPr="0030088F">
        <w:rPr>
          <w:rFonts w:ascii="Abadi" w:hAnsi="Abadi"/>
          <w:sz w:val="21"/>
          <w:szCs w:val="21"/>
        </w:rPr>
        <w:t>n votación nominal por el sistema electrónico se les pregunta si se aprueba en lo general el dictamen puesto a su consideración</w:t>
      </w:r>
      <w:r>
        <w:rPr>
          <w:rFonts w:ascii="Abadi" w:hAnsi="Abadi"/>
          <w:sz w:val="21"/>
          <w:szCs w:val="21"/>
        </w:rPr>
        <w:t>. ¿</w:t>
      </w:r>
      <w:r w:rsidRPr="0030088F">
        <w:rPr>
          <w:rFonts w:ascii="Abadi" w:hAnsi="Abadi"/>
          <w:sz w:val="21"/>
          <w:szCs w:val="21"/>
        </w:rPr>
        <w:t>diputada Noemí Márquez</w:t>
      </w:r>
      <w:r>
        <w:rPr>
          <w:rFonts w:ascii="Abadi" w:hAnsi="Abadi"/>
          <w:sz w:val="21"/>
          <w:szCs w:val="21"/>
        </w:rPr>
        <w:t>?</w:t>
      </w:r>
    </w:p>
    <w:p w14:paraId="717777B8" w14:textId="77777777" w:rsidR="00786036" w:rsidRDefault="00786036" w:rsidP="00786036">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1030DEFA" w14:textId="77777777" w:rsidR="00786036" w:rsidRDefault="00786036" w:rsidP="00786036">
      <w:pPr>
        <w:jc w:val="both"/>
        <w:rPr>
          <w:rFonts w:ascii="Abadi" w:hAnsi="Abadi"/>
          <w:sz w:val="21"/>
          <w:szCs w:val="21"/>
        </w:rPr>
      </w:pPr>
    </w:p>
    <w:p w14:paraId="0F38CCB3" w14:textId="77777777" w:rsidR="00786036" w:rsidRDefault="00786036" w:rsidP="00786036">
      <w:pPr>
        <w:jc w:val="both"/>
        <w:rPr>
          <w:rFonts w:ascii="Abadi" w:hAnsi="Abadi"/>
          <w:b/>
          <w:bCs/>
          <w:sz w:val="21"/>
          <w:szCs w:val="21"/>
        </w:rPr>
      </w:pPr>
      <w:r w:rsidRPr="008A78BA">
        <w:rPr>
          <w:rFonts w:ascii="Abadi" w:hAnsi="Abadi"/>
          <w:b/>
          <w:bCs/>
          <w:sz w:val="21"/>
          <w:szCs w:val="21"/>
        </w:rPr>
        <w:t>(se cierra el sistema electrónico)</w:t>
      </w:r>
    </w:p>
    <w:p w14:paraId="1111B670" w14:textId="77777777" w:rsidR="00786036" w:rsidRPr="008A78BA" w:rsidRDefault="00786036" w:rsidP="00786036">
      <w:pPr>
        <w:tabs>
          <w:tab w:val="left" w:pos="4536"/>
        </w:tabs>
        <w:jc w:val="both"/>
        <w:rPr>
          <w:rFonts w:ascii="Abadi" w:hAnsi="Abadi"/>
          <w:b/>
          <w:bCs/>
          <w:sz w:val="21"/>
          <w:szCs w:val="21"/>
        </w:rPr>
      </w:pPr>
      <w:r>
        <w:rPr>
          <w:noProof/>
        </w:rPr>
        <w:drawing>
          <wp:inline distT="0" distB="0" distL="0" distR="0" wp14:anchorId="7B3C116E" wp14:editId="630872A1">
            <wp:extent cx="1389554" cy="702432"/>
            <wp:effectExtent l="247650" t="247650" r="248920" b="250190"/>
            <wp:docPr id="1368781140" name="Imagen 136878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781140" name=""/>
                    <pic:cNvPicPr/>
                  </pic:nvPicPr>
                  <pic:blipFill rotWithShape="1">
                    <a:blip r:embed="rId68"/>
                    <a:srcRect b="10125"/>
                    <a:stretch/>
                  </pic:blipFill>
                  <pic:spPr bwMode="auto">
                    <a:xfrm>
                      <a:off x="0" y="0"/>
                      <a:ext cx="1406989" cy="711246"/>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6F909E22" w14:textId="77777777" w:rsidR="00786036" w:rsidRDefault="00786036" w:rsidP="00786036">
      <w:pPr>
        <w:jc w:val="both"/>
        <w:rPr>
          <w:rFonts w:ascii="Abadi" w:hAnsi="Abadi"/>
          <w:sz w:val="21"/>
          <w:szCs w:val="21"/>
        </w:rPr>
      </w:pPr>
      <w:r>
        <w:rPr>
          <w:rFonts w:ascii="Abadi" w:hAnsi="Abadi"/>
          <w:sz w:val="21"/>
          <w:szCs w:val="21"/>
        </w:rPr>
        <w:tab/>
      </w:r>
      <w:r w:rsidRPr="003D29C7">
        <w:rPr>
          <w:rFonts w:ascii="Abadi" w:hAnsi="Abadi"/>
          <w:b/>
          <w:bCs/>
          <w:sz w:val="21"/>
          <w:szCs w:val="21"/>
        </w:rPr>
        <w:t xml:space="preserve">- La </w:t>
      </w:r>
      <w:proofErr w:type="gramStart"/>
      <w:r w:rsidRPr="003D29C7">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residenta le informó que se han registrado 26 votos a favor y 6 votos en contra</w:t>
      </w:r>
      <w:r>
        <w:rPr>
          <w:rFonts w:ascii="Abadi" w:hAnsi="Abadi"/>
          <w:sz w:val="21"/>
          <w:szCs w:val="21"/>
        </w:rPr>
        <w:t>.</w:t>
      </w:r>
    </w:p>
    <w:p w14:paraId="04946C78" w14:textId="77777777" w:rsidR="00786036" w:rsidRDefault="00786036" w:rsidP="00786036">
      <w:pPr>
        <w:jc w:val="both"/>
        <w:rPr>
          <w:rFonts w:ascii="Abadi" w:hAnsi="Abadi"/>
          <w:sz w:val="21"/>
          <w:szCs w:val="21"/>
        </w:rPr>
      </w:pPr>
    </w:p>
    <w:p w14:paraId="1A0F6814" w14:textId="77777777" w:rsidR="00786036" w:rsidRDefault="00786036" w:rsidP="00786036">
      <w:pPr>
        <w:jc w:val="both"/>
        <w:rPr>
          <w:rFonts w:ascii="Abadi" w:hAnsi="Abadi"/>
          <w:sz w:val="21"/>
          <w:szCs w:val="21"/>
        </w:rPr>
      </w:pPr>
      <w:r>
        <w:rPr>
          <w:rFonts w:ascii="Abadi" w:hAnsi="Abadi"/>
          <w:sz w:val="21"/>
          <w:szCs w:val="21"/>
        </w:rPr>
        <w:tab/>
      </w:r>
      <w:r w:rsidRPr="003D29C7">
        <w:rPr>
          <w:rFonts w:ascii="Abadi" w:hAnsi="Abadi"/>
          <w:b/>
          <w:bCs/>
          <w:sz w:val="21"/>
          <w:szCs w:val="21"/>
        </w:rPr>
        <w:t xml:space="preserve">- La </w:t>
      </w:r>
      <w:proofErr w:type="gramStart"/>
      <w:r w:rsidRPr="003D29C7">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 xml:space="preserve">l dictamen ha sido aprobado en lo general por unanimidad </w:t>
      </w:r>
      <w:r>
        <w:rPr>
          <w:rFonts w:ascii="Abadi" w:hAnsi="Abadi"/>
          <w:sz w:val="21"/>
          <w:szCs w:val="21"/>
        </w:rPr>
        <w:t>¡</w:t>
      </w:r>
      <w:r w:rsidRPr="0030088F">
        <w:rPr>
          <w:rFonts w:ascii="Abadi" w:hAnsi="Abadi"/>
          <w:sz w:val="21"/>
          <w:szCs w:val="21"/>
        </w:rPr>
        <w:t>perdón</w:t>
      </w:r>
      <w:r>
        <w:rPr>
          <w:rFonts w:ascii="Abadi" w:hAnsi="Abadi"/>
          <w:sz w:val="21"/>
          <w:szCs w:val="21"/>
        </w:rPr>
        <w:t>!</w:t>
      </w:r>
      <w:r w:rsidRPr="0030088F">
        <w:rPr>
          <w:rFonts w:ascii="Abadi" w:hAnsi="Abadi"/>
          <w:sz w:val="21"/>
          <w:szCs w:val="21"/>
        </w:rPr>
        <w:t xml:space="preserve"> por mayoría</w:t>
      </w:r>
      <w:r>
        <w:rPr>
          <w:rFonts w:ascii="Abadi" w:hAnsi="Abadi"/>
          <w:sz w:val="21"/>
          <w:szCs w:val="21"/>
        </w:rPr>
        <w:t xml:space="preserve">. </w:t>
      </w:r>
    </w:p>
    <w:p w14:paraId="5C188621" w14:textId="77777777" w:rsidR="00786036" w:rsidRDefault="00786036" w:rsidP="00786036">
      <w:pPr>
        <w:jc w:val="both"/>
        <w:rPr>
          <w:rFonts w:ascii="Abadi" w:hAnsi="Abadi"/>
          <w:sz w:val="21"/>
          <w:szCs w:val="21"/>
        </w:rPr>
      </w:pPr>
      <w:r>
        <w:rPr>
          <w:rFonts w:ascii="Abadi" w:hAnsi="Abadi"/>
          <w:sz w:val="21"/>
          <w:szCs w:val="21"/>
        </w:rPr>
        <w:lastRenderedPageBreak/>
        <w:tab/>
        <w:t>- C</w:t>
      </w:r>
      <w:r w:rsidRPr="0030088F">
        <w:rPr>
          <w:rFonts w:ascii="Abadi" w:hAnsi="Abadi"/>
          <w:sz w:val="21"/>
          <w:szCs w:val="21"/>
        </w:rPr>
        <w:t>orresponde someter a discusión el dictamen en lo particular</w:t>
      </w:r>
      <w:r>
        <w:rPr>
          <w:rFonts w:ascii="Abadi" w:hAnsi="Abadi"/>
          <w:sz w:val="21"/>
          <w:szCs w:val="21"/>
        </w:rPr>
        <w:t>,</w:t>
      </w:r>
      <w:r w:rsidRPr="0030088F">
        <w:rPr>
          <w:rFonts w:ascii="Abadi" w:hAnsi="Abadi"/>
          <w:sz w:val="21"/>
          <w:szCs w:val="21"/>
        </w:rPr>
        <w:t xml:space="preserve"> si desean reservar cualquiera de los artículos que contiene</w:t>
      </w:r>
      <w:r>
        <w:rPr>
          <w:rFonts w:ascii="Abadi" w:hAnsi="Abadi"/>
          <w:sz w:val="21"/>
          <w:szCs w:val="21"/>
        </w:rPr>
        <w:t xml:space="preserve"> </w:t>
      </w:r>
      <w:r w:rsidRPr="0030088F">
        <w:rPr>
          <w:rFonts w:ascii="Abadi" w:hAnsi="Abadi"/>
          <w:sz w:val="21"/>
          <w:szCs w:val="21"/>
        </w:rPr>
        <w:t>sírvanse apartarlo en la inteligencia de que los artículos no reservados se tendrán por aprobados</w:t>
      </w:r>
      <w:r>
        <w:rPr>
          <w:rFonts w:ascii="Abadi" w:hAnsi="Abadi"/>
          <w:sz w:val="21"/>
          <w:szCs w:val="21"/>
        </w:rPr>
        <w:t>. E</w:t>
      </w:r>
      <w:r w:rsidRPr="0030088F">
        <w:rPr>
          <w:rFonts w:ascii="Abadi" w:hAnsi="Abadi"/>
          <w:sz w:val="21"/>
          <w:szCs w:val="21"/>
        </w:rPr>
        <w:t>sta presidencia declara tener por aprobados los artículos contenidos en el dictamen</w:t>
      </w:r>
      <w:r>
        <w:rPr>
          <w:rFonts w:ascii="Abadi" w:hAnsi="Abadi"/>
          <w:sz w:val="21"/>
          <w:szCs w:val="21"/>
        </w:rPr>
        <w:t>.</w:t>
      </w:r>
    </w:p>
    <w:p w14:paraId="3F3B5553" w14:textId="77777777" w:rsidR="00786036" w:rsidRDefault="00786036" w:rsidP="00786036">
      <w:pPr>
        <w:jc w:val="both"/>
        <w:rPr>
          <w:rFonts w:ascii="Abadi" w:hAnsi="Abadi"/>
          <w:sz w:val="21"/>
          <w:szCs w:val="21"/>
        </w:rPr>
      </w:pPr>
    </w:p>
    <w:p w14:paraId="33DE890A" w14:textId="77777777" w:rsidR="00786036" w:rsidRPr="003D29C7" w:rsidRDefault="00786036" w:rsidP="00786036">
      <w:pPr>
        <w:ind w:left="993" w:right="992"/>
        <w:jc w:val="both"/>
        <w:rPr>
          <w:rFonts w:ascii="Abadi" w:hAnsi="Abadi"/>
          <w:b/>
          <w:bCs/>
          <w:i/>
          <w:iCs/>
          <w:sz w:val="21"/>
          <w:szCs w:val="21"/>
          <w:u w:val="single"/>
        </w:rPr>
      </w:pPr>
      <w:r w:rsidRPr="003D29C7">
        <w:rPr>
          <w:rFonts w:ascii="Abadi" w:hAnsi="Abadi"/>
          <w:b/>
          <w:bCs/>
          <w:i/>
          <w:iCs/>
          <w:sz w:val="21"/>
          <w:szCs w:val="21"/>
          <w:u w:val="single"/>
        </w:rPr>
        <w:t>Remitase al Ejecutivo del Estado el decreto aprobado para los efectos constitucionales de su competencia.</w:t>
      </w:r>
    </w:p>
    <w:p w14:paraId="56B7E8DF" w14:textId="77777777" w:rsidR="00392AC3" w:rsidRPr="001108A1" w:rsidRDefault="00392AC3" w:rsidP="00D861D8">
      <w:pPr>
        <w:jc w:val="both"/>
        <w:rPr>
          <w:rFonts w:ascii="Abadi" w:hAnsi="Abadi"/>
          <w:sz w:val="21"/>
          <w:szCs w:val="21"/>
          <w:lang w:val="es-ES_tradnl"/>
        </w:rPr>
      </w:pPr>
    </w:p>
    <w:p w14:paraId="3C80C770" w14:textId="77777777" w:rsidR="00374533" w:rsidRPr="00006796" w:rsidRDefault="00374533" w:rsidP="00075BB5">
      <w:pPr>
        <w:autoSpaceDE w:val="0"/>
        <w:autoSpaceDN w:val="0"/>
        <w:adjustRightInd w:val="0"/>
        <w:ind w:left="284"/>
        <w:jc w:val="both"/>
        <w:rPr>
          <w:rFonts w:ascii="Abadi" w:hAnsi="Abadi" w:cs="Arial-ItalicMT"/>
          <w:b/>
          <w:bCs/>
          <w:i/>
          <w:iCs/>
          <w:sz w:val="21"/>
          <w:szCs w:val="21"/>
        </w:rPr>
      </w:pPr>
    </w:p>
    <w:p w14:paraId="22D2DFC9" w14:textId="0B90507B" w:rsidR="009155E0" w:rsidRDefault="00374533" w:rsidP="00C202AD">
      <w:pPr>
        <w:pStyle w:val="Prrafodelista"/>
        <w:numPr>
          <w:ilvl w:val="0"/>
          <w:numId w:val="8"/>
        </w:numPr>
        <w:autoSpaceDE w:val="0"/>
        <w:autoSpaceDN w:val="0"/>
        <w:adjustRightInd w:val="0"/>
        <w:ind w:left="284"/>
        <w:contextualSpacing/>
        <w:jc w:val="both"/>
        <w:rPr>
          <w:rFonts w:ascii="Abadi" w:hAnsi="Abadi" w:cs="Arial-ItalicMT"/>
          <w:b/>
          <w:bCs/>
          <w:i/>
          <w:iCs/>
          <w:sz w:val="21"/>
          <w:szCs w:val="21"/>
        </w:rPr>
      </w:pPr>
      <w:r w:rsidRPr="00B13A21">
        <w:rPr>
          <w:rFonts w:ascii="Abadi" w:hAnsi="Abadi" w:cs="ArialMT"/>
          <w:b/>
          <w:bCs/>
          <w:sz w:val="21"/>
          <w:szCs w:val="21"/>
        </w:rPr>
        <w:t>DISCUSIÓN Y, EN SU CASO, APROBACIÓN DEL DICTAMEN SUSCRITO POR LA COMISIÓN DE HACIENDA Y FISCALIZACIÓN RELATIVO A LA INICIATIVA FORMULADA POR EL GOBERNADOR DEL ESTADO A EFECTO DE QUE SE LE AUTORICE PREVIA DESAFECTACIÓN DEL DOMINIO PÚBLICO DEL ESTADO LA ENAJENACIÓN MEDIANTE LA DONACIÓN DE UN BIEN INMUEBLE DE PROPIEDAD ESTATAL EN FAVOR DEL MUNICIPIO DE IRAPUATO, GTO.</w:t>
      </w:r>
      <w:r w:rsidR="00B13A21" w:rsidRPr="00B13A21">
        <w:rPr>
          <w:rFonts w:ascii="Abadi" w:hAnsi="Abadi" w:cs="ArialMT"/>
          <w:b/>
          <w:bCs/>
          <w:sz w:val="21"/>
          <w:szCs w:val="21"/>
        </w:rPr>
        <w:t xml:space="preserve"> </w:t>
      </w:r>
      <w:r w:rsidRPr="00B13A21">
        <w:rPr>
          <w:rFonts w:ascii="Abadi" w:hAnsi="Abadi" w:cs="Arial-ItalicMT"/>
          <w:b/>
          <w:bCs/>
          <w:i/>
          <w:iCs/>
          <w:sz w:val="21"/>
          <w:szCs w:val="21"/>
        </w:rPr>
        <w:t>(ELD 198/LXV-I).</w:t>
      </w:r>
      <w:r w:rsidR="008C693C">
        <w:rPr>
          <w:rStyle w:val="Refdenotaalpie"/>
          <w:rFonts w:ascii="Abadi" w:hAnsi="Abadi" w:cs="Arial-ItalicMT"/>
          <w:b/>
          <w:bCs/>
          <w:i/>
          <w:iCs/>
          <w:sz w:val="21"/>
          <w:szCs w:val="21"/>
        </w:rPr>
        <w:footnoteReference w:id="215"/>
      </w:r>
    </w:p>
    <w:p w14:paraId="1EE0E92E" w14:textId="77777777" w:rsidR="009155E0" w:rsidRDefault="009155E0" w:rsidP="009155E0">
      <w:pPr>
        <w:pStyle w:val="Prrafodelista"/>
        <w:autoSpaceDE w:val="0"/>
        <w:autoSpaceDN w:val="0"/>
        <w:adjustRightInd w:val="0"/>
        <w:ind w:left="284"/>
        <w:contextualSpacing/>
        <w:jc w:val="both"/>
        <w:rPr>
          <w:rFonts w:ascii="Abadi" w:hAnsi="Abadi" w:cs="ArialMT"/>
          <w:b/>
          <w:bCs/>
          <w:sz w:val="21"/>
          <w:szCs w:val="21"/>
        </w:rPr>
      </w:pPr>
    </w:p>
    <w:p w14:paraId="3186140A" w14:textId="02B618C5" w:rsidR="00C202AD" w:rsidRPr="00C6138E" w:rsidRDefault="00C202AD" w:rsidP="009155E0">
      <w:pPr>
        <w:pStyle w:val="Prrafodelista"/>
        <w:autoSpaceDE w:val="0"/>
        <w:autoSpaceDN w:val="0"/>
        <w:adjustRightInd w:val="0"/>
        <w:ind w:left="0"/>
        <w:contextualSpacing/>
        <w:jc w:val="both"/>
        <w:rPr>
          <w:rFonts w:ascii="Abadi" w:hAnsi="Abadi" w:cs="Arial-ItalicMT"/>
          <w:b/>
          <w:bCs/>
          <w:i/>
          <w:iCs/>
          <w:sz w:val="21"/>
          <w:szCs w:val="21"/>
        </w:rPr>
      </w:pPr>
      <w:r w:rsidRPr="00C6138E">
        <w:rPr>
          <w:rFonts w:ascii="Abadi" w:hAnsi="Abadi" w:cs="Arial"/>
          <w:b/>
          <w:bCs/>
          <w:sz w:val="21"/>
          <w:szCs w:val="21"/>
        </w:rPr>
        <w:t>C. Presidenta del Congreso del Estado</w:t>
      </w:r>
    </w:p>
    <w:p w14:paraId="7FBB9560" w14:textId="77777777" w:rsidR="00C202AD" w:rsidRPr="00D02036" w:rsidRDefault="00C202AD" w:rsidP="00C202AD">
      <w:pPr>
        <w:rPr>
          <w:rFonts w:ascii="Abadi" w:hAnsi="Abadi" w:cs="Arial"/>
          <w:b/>
          <w:sz w:val="21"/>
          <w:szCs w:val="21"/>
        </w:rPr>
      </w:pPr>
      <w:r w:rsidRPr="00D02036">
        <w:rPr>
          <w:rFonts w:ascii="Abadi" w:hAnsi="Abadi" w:cs="Arial"/>
          <w:b/>
          <w:sz w:val="21"/>
          <w:szCs w:val="21"/>
        </w:rPr>
        <w:t>P r e s e n t e.</w:t>
      </w:r>
    </w:p>
    <w:p w14:paraId="5A5E8A98" w14:textId="77777777" w:rsidR="00C202AD" w:rsidRPr="00D02036" w:rsidRDefault="00C202AD" w:rsidP="00C202AD">
      <w:pPr>
        <w:rPr>
          <w:rFonts w:ascii="Abadi" w:hAnsi="Abadi"/>
          <w:b/>
          <w:sz w:val="21"/>
          <w:szCs w:val="21"/>
          <w:lang w:val="es-MX"/>
        </w:rPr>
      </w:pPr>
    </w:p>
    <w:p w14:paraId="77F7D9D5" w14:textId="77777777" w:rsidR="00C202AD" w:rsidRPr="00D02036" w:rsidRDefault="00C202AD" w:rsidP="009155E0">
      <w:pPr>
        <w:jc w:val="both"/>
        <w:rPr>
          <w:rFonts w:ascii="Abadi" w:hAnsi="Abadi"/>
          <w:sz w:val="21"/>
          <w:szCs w:val="21"/>
          <w:lang w:val="es-MX"/>
        </w:rPr>
      </w:pPr>
      <w:r w:rsidRPr="00D02036">
        <w:rPr>
          <w:rFonts w:ascii="Abadi" w:hAnsi="Abadi"/>
          <w:b/>
          <w:sz w:val="21"/>
          <w:szCs w:val="21"/>
          <w:lang w:val="es-MX"/>
        </w:rPr>
        <w:tab/>
      </w:r>
      <w:r w:rsidRPr="00D02036">
        <w:rPr>
          <w:rFonts w:ascii="Abadi" w:hAnsi="Abadi"/>
          <w:sz w:val="21"/>
          <w:szCs w:val="21"/>
          <w:lang w:val="es-MX"/>
        </w:rPr>
        <w:t xml:space="preserve">A esta Comisión de Hacienda y Fiscalización le fue turnada para efectos de su estudio y dictamen, la iniciativa formulada por el Gobernador del Estado, </w:t>
      </w:r>
      <w:bookmarkStart w:id="20" w:name="OLE_LINK2"/>
      <w:r w:rsidRPr="00D02036">
        <w:rPr>
          <w:rFonts w:ascii="Abadi" w:hAnsi="Abadi"/>
          <w:sz w:val="21"/>
          <w:szCs w:val="21"/>
          <w:lang w:val="es-MX"/>
        </w:rPr>
        <w:t xml:space="preserve">para </w:t>
      </w:r>
      <w:bookmarkEnd w:id="20"/>
      <w:r w:rsidRPr="00D02036">
        <w:rPr>
          <w:rFonts w:ascii="Abadi" w:hAnsi="Abadi"/>
          <w:sz w:val="21"/>
          <w:szCs w:val="21"/>
          <w:lang w:val="es-ES_tradnl"/>
        </w:rPr>
        <w:t xml:space="preserve">que se le autorice, previa desafectación del dominio público del Estado, la enajenación mediante la figura de donación de una </w:t>
      </w:r>
      <w:r w:rsidRPr="00D02036">
        <w:rPr>
          <w:rFonts w:ascii="Abadi" w:hAnsi="Abadi"/>
          <w:sz w:val="21"/>
          <w:szCs w:val="21"/>
          <w:lang w:val="es-MX"/>
        </w:rPr>
        <w:t xml:space="preserve">fracción de un bien inmueble en favor del municipio de Irapuato, </w:t>
      </w:r>
      <w:proofErr w:type="spellStart"/>
      <w:r w:rsidRPr="00D02036">
        <w:rPr>
          <w:rFonts w:ascii="Abadi" w:hAnsi="Abadi"/>
          <w:sz w:val="21"/>
          <w:szCs w:val="21"/>
          <w:lang w:val="es-MX"/>
        </w:rPr>
        <w:t>Gto</w:t>
      </w:r>
      <w:proofErr w:type="spellEnd"/>
      <w:r w:rsidRPr="00D02036">
        <w:rPr>
          <w:rFonts w:ascii="Abadi" w:hAnsi="Abadi"/>
          <w:sz w:val="21"/>
          <w:szCs w:val="21"/>
          <w:lang w:val="es-MX"/>
        </w:rPr>
        <w:t>., para destinarlo a la realización de una obra pública. (ELD 198/LXV-I)</w:t>
      </w:r>
    </w:p>
    <w:p w14:paraId="7A6CC0CE" w14:textId="77777777" w:rsidR="00C202AD" w:rsidRPr="00D02036" w:rsidRDefault="00C202AD" w:rsidP="009155E0">
      <w:pPr>
        <w:pStyle w:val="Textoindependiente3"/>
        <w:spacing w:line="240" w:lineRule="auto"/>
        <w:rPr>
          <w:rFonts w:ascii="Abadi" w:hAnsi="Abadi"/>
          <w:sz w:val="21"/>
          <w:szCs w:val="21"/>
        </w:rPr>
      </w:pPr>
    </w:p>
    <w:p w14:paraId="392D8590" w14:textId="77777777" w:rsidR="00C202AD" w:rsidRPr="00DA238D" w:rsidRDefault="00C202AD" w:rsidP="009155E0">
      <w:pPr>
        <w:pStyle w:val="Textoindependiente3"/>
        <w:spacing w:line="240" w:lineRule="auto"/>
        <w:rPr>
          <w:rFonts w:ascii="Abadi" w:hAnsi="Abadi" w:cs="Arial"/>
          <w:b w:val="0"/>
          <w:bCs/>
          <w:iCs/>
          <w:sz w:val="21"/>
          <w:szCs w:val="21"/>
        </w:rPr>
      </w:pPr>
      <w:r w:rsidRPr="00D02036">
        <w:rPr>
          <w:rFonts w:ascii="Abadi" w:hAnsi="Abadi"/>
          <w:sz w:val="21"/>
          <w:szCs w:val="21"/>
        </w:rPr>
        <w:tab/>
      </w:r>
      <w:r w:rsidRPr="00DA238D">
        <w:rPr>
          <w:rFonts w:ascii="Abadi" w:hAnsi="Abadi" w:cs="Arial"/>
          <w:b w:val="0"/>
          <w:bCs/>
          <w:iCs/>
          <w:sz w:val="21"/>
          <w:szCs w:val="21"/>
        </w:rPr>
        <w:t xml:space="preserve">Analizada la iniciativa de referencia, con fundamento en los artículos 75, 89, fracción V, 112, fracciones IV y V y 171 de </w:t>
      </w:r>
      <w:smartTag w:uri="urn:schemas-microsoft-com:office:smarttags" w:element="PersonName">
        <w:smartTagPr>
          <w:attr w:name="ProductID" w:val="LA LEY ORG￁NICA"/>
        </w:smartTagPr>
        <w:r w:rsidRPr="00DA238D">
          <w:rPr>
            <w:rFonts w:ascii="Abadi" w:hAnsi="Abadi" w:cs="Arial"/>
            <w:b w:val="0"/>
            <w:bCs/>
            <w:iCs/>
            <w:sz w:val="21"/>
            <w:szCs w:val="21"/>
          </w:rPr>
          <w:t>la Ley Orgánica</w:t>
        </w:r>
      </w:smartTag>
      <w:r w:rsidRPr="00DA238D">
        <w:rPr>
          <w:rFonts w:ascii="Abadi" w:hAnsi="Abadi" w:cs="Arial"/>
          <w:b w:val="0"/>
          <w:bCs/>
          <w:iCs/>
          <w:sz w:val="21"/>
          <w:szCs w:val="21"/>
        </w:rPr>
        <w:t xml:space="preserve"> del Poder Legislativo del Estado de Guanajuato, nos permitimos rendir el siguiente:</w:t>
      </w:r>
    </w:p>
    <w:p w14:paraId="2269C05A" w14:textId="77777777" w:rsidR="00C202AD" w:rsidRPr="00DA238D" w:rsidRDefault="00C202AD" w:rsidP="009155E0">
      <w:pPr>
        <w:pStyle w:val="Ttulo2"/>
        <w:jc w:val="both"/>
        <w:rPr>
          <w:rFonts w:ascii="Abadi" w:hAnsi="Abadi"/>
          <w:b w:val="0"/>
          <w:sz w:val="21"/>
          <w:szCs w:val="21"/>
        </w:rPr>
      </w:pPr>
    </w:p>
    <w:p w14:paraId="4E050AC5" w14:textId="3BAB84C4" w:rsidR="00C202AD" w:rsidRPr="00D02036" w:rsidRDefault="00C202AD" w:rsidP="00DA238D">
      <w:pPr>
        <w:pStyle w:val="Ttulo2"/>
        <w:rPr>
          <w:rFonts w:ascii="Abadi" w:hAnsi="Abadi"/>
          <w:sz w:val="21"/>
          <w:szCs w:val="21"/>
        </w:rPr>
      </w:pPr>
      <w:r w:rsidRPr="00D02036">
        <w:rPr>
          <w:rFonts w:ascii="Abadi" w:hAnsi="Abadi"/>
          <w:sz w:val="21"/>
          <w:szCs w:val="21"/>
        </w:rPr>
        <w:t>D i c t a m e n</w:t>
      </w:r>
    </w:p>
    <w:p w14:paraId="327B0BBF" w14:textId="77777777" w:rsidR="00C202AD" w:rsidRPr="00D02036" w:rsidRDefault="00C202AD" w:rsidP="00DA238D">
      <w:pPr>
        <w:jc w:val="center"/>
        <w:rPr>
          <w:rFonts w:ascii="Abadi" w:hAnsi="Abadi"/>
          <w:b/>
          <w:sz w:val="21"/>
          <w:szCs w:val="21"/>
          <w:lang w:val="es-MX"/>
        </w:rPr>
      </w:pPr>
    </w:p>
    <w:p w14:paraId="357E729B" w14:textId="77777777" w:rsidR="00C202AD" w:rsidRPr="00D02036" w:rsidRDefault="00C202AD" w:rsidP="009155E0">
      <w:pPr>
        <w:jc w:val="both"/>
        <w:rPr>
          <w:rFonts w:ascii="Abadi" w:hAnsi="Abadi"/>
          <w:sz w:val="21"/>
          <w:szCs w:val="21"/>
          <w:lang w:val="es-MX"/>
        </w:rPr>
      </w:pPr>
      <w:r w:rsidRPr="00D02036">
        <w:rPr>
          <w:rFonts w:ascii="Abadi" w:hAnsi="Abadi"/>
          <w:b/>
          <w:sz w:val="21"/>
          <w:szCs w:val="21"/>
          <w:lang w:val="es-MX"/>
        </w:rPr>
        <w:tab/>
      </w:r>
      <w:r w:rsidRPr="00D02036">
        <w:rPr>
          <w:rFonts w:ascii="Abadi" w:hAnsi="Abadi"/>
          <w:sz w:val="21"/>
          <w:szCs w:val="21"/>
          <w:lang w:val="es-MX"/>
        </w:rPr>
        <w:t xml:space="preserve">El Gobernador del Estado, mediante iniciativa de decreto de fecha 28 de marzo de 2022, solicitó al Congreso del Estado se le autorice, previa desafectación del dominio público, la enajenación mediante la figura de donación de una fracción de un bien inmueble ubicado en el </w:t>
      </w:r>
      <w:r w:rsidRPr="00D02036">
        <w:rPr>
          <w:rFonts w:ascii="Abadi" w:hAnsi="Abadi" w:cs="Arial"/>
          <w:sz w:val="21"/>
          <w:szCs w:val="21"/>
        </w:rPr>
        <w:t xml:space="preserve">Ejido de San José de Jorge López del municipio de </w:t>
      </w:r>
      <w:proofErr w:type="spellStart"/>
      <w:r w:rsidRPr="00D02036">
        <w:rPr>
          <w:rFonts w:ascii="Abadi" w:hAnsi="Abadi" w:cs="Arial"/>
          <w:sz w:val="21"/>
          <w:szCs w:val="21"/>
        </w:rPr>
        <w:t>lrapuato</w:t>
      </w:r>
      <w:proofErr w:type="spellEnd"/>
      <w:r w:rsidRPr="00D02036">
        <w:rPr>
          <w:rFonts w:ascii="Abadi" w:hAnsi="Abadi" w:cs="Arial"/>
          <w:sz w:val="21"/>
          <w:szCs w:val="21"/>
        </w:rPr>
        <w:t xml:space="preserve">, </w:t>
      </w:r>
      <w:proofErr w:type="spellStart"/>
      <w:r w:rsidRPr="00D02036">
        <w:rPr>
          <w:rFonts w:ascii="Abadi" w:hAnsi="Abadi" w:cs="Arial"/>
          <w:sz w:val="21"/>
          <w:szCs w:val="21"/>
        </w:rPr>
        <w:t>Gto</w:t>
      </w:r>
      <w:proofErr w:type="spellEnd"/>
      <w:r w:rsidRPr="00D02036">
        <w:rPr>
          <w:rFonts w:ascii="Abadi" w:hAnsi="Abadi" w:cs="Arial"/>
          <w:sz w:val="21"/>
          <w:szCs w:val="21"/>
        </w:rPr>
        <w:t xml:space="preserve">., </w:t>
      </w:r>
      <w:r w:rsidRPr="00D02036">
        <w:rPr>
          <w:rFonts w:ascii="Abadi" w:hAnsi="Abadi"/>
          <w:sz w:val="21"/>
          <w:szCs w:val="21"/>
          <w:lang w:val="es-MX"/>
        </w:rPr>
        <w:t>en favor de dicho Municipio, para que lo destine</w:t>
      </w:r>
      <w:r w:rsidRPr="00D02036">
        <w:rPr>
          <w:rFonts w:ascii="Abadi" w:hAnsi="Abadi" w:cs="Arial"/>
          <w:bCs/>
          <w:sz w:val="21"/>
          <w:szCs w:val="21"/>
        </w:rPr>
        <w:t xml:space="preserve"> a </w:t>
      </w:r>
      <w:r w:rsidRPr="00D02036">
        <w:rPr>
          <w:rFonts w:ascii="Abadi" w:hAnsi="Abadi"/>
          <w:sz w:val="21"/>
          <w:szCs w:val="21"/>
          <w:lang w:val="es-ES_tradnl"/>
        </w:rPr>
        <w:t xml:space="preserve">la realización de la obra pública denominada </w:t>
      </w:r>
      <w:r w:rsidRPr="00D02036">
        <w:rPr>
          <w:rFonts w:ascii="Abadi" w:hAnsi="Abadi"/>
          <w:i/>
          <w:iCs/>
          <w:sz w:val="21"/>
          <w:szCs w:val="21"/>
          <w:lang w:val="es-ES_tradnl"/>
        </w:rPr>
        <w:t>Urbanización de la calle Prolongación División del Norte (El Atorón) Tramo: Cuarto Cinturón Vial-</w:t>
      </w:r>
      <w:proofErr w:type="spellStart"/>
      <w:r w:rsidRPr="00D02036">
        <w:rPr>
          <w:rFonts w:ascii="Abadi" w:hAnsi="Abadi"/>
          <w:i/>
          <w:iCs/>
          <w:sz w:val="21"/>
          <w:szCs w:val="21"/>
          <w:lang w:val="es-ES_tradnl"/>
        </w:rPr>
        <w:t>Blvd</w:t>
      </w:r>
      <w:proofErr w:type="spellEnd"/>
      <w:r w:rsidRPr="00D02036">
        <w:rPr>
          <w:rFonts w:ascii="Abadi" w:hAnsi="Abadi"/>
          <w:i/>
          <w:iCs/>
          <w:sz w:val="21"/>
          <w:szCs w:val="21"/>
          <w:lang w:val="es-ES_tradnl"/>
        </w:rPr>
        <w:t xml:space="preserve">. Villas de </w:t>
      </w:r>
      <w:proofErr w:type="spellStart"/>
      <w:r w:rsidRPr="00D02036">
        <w:rPr>
          <w:rFonts w:ascii="Abadi" w:hAnsi="Abadi"/>
          <w:i/>
          <w:iCs/>
          <w:sz w:val="21"/>
          <w:szCs w:val="21"/>
          <w:lang w:val="es-ES_tradnl"/>
        </w:rPr>
        <w:t>lrapuato</w:t>
      </w:r>
      <w:proofErr w:type="spellEnd"/>
      <w:r w:rsidRPr="00D02036">
        <w:rPr>
          <w:rFonts w:ascii="Abadi" w:hAnsi="Abadi"/>
          <w:i/>
          <w:iCs/>
          <w:sz w:val="21"/>
          <w:szCs w:val="21"/>
          <w:lang w:val="es-ES_tradnl"/>
        </w:rPr>
        <w:t>.</w:t>
      </w:r>
    </w:p>
    <w:p w14:paraId="4EFF8471" w14:textId="77777777" w:rsidR="00C202AD" w:rsidRPr="00D02036" w:rsidRDefault="00C202AD" w:rsidP="009155E0">
      <w:pPr>
        <w:jc w:val="both"/>
        <w:rPr>
          <w:rFonts w:ascii="Abadi" w:hAnsi="Abadi" w:cs="Arial"/>
          <w:iCs/>
          <w:sz w:val="21"/>
          <w:szCs w:val="21"/>
          <w:lang w:val="es-MX"/>
        </w:rPr>
      </w:pPr>
    </w:p>
    <w:p w14:paraId="3B88BE9D" w14:textId="77777777" w:rsidR="00C202AD" w:rsidRPr="00DA238D" w:rsidRDefault="00C202AD" w:rsidP="009155E0">
      <w:pPr>
        <w:pStyle w:val="Textoindependiente3"/>
        <w:spacing w:line="240" w:lineRule="auto"/>
        <w:rPr>
          <w:rFonts w:ascii="Abadi" w:hAnsi="Abadi"/>
          <w:b w:val="0"/>
          <w:bCs/>
          <w:sz w:val="21"/>
          <w:szCs w:val="21"/>
        </w:rPr>
      </w:pPr>
      <w:r w:rsidRPr="00D02036">
        <w:rPr>
          <w:rFonts w:ascii="Abadi" w:hAnsi="Abadi"/>
          <w:sz w:val="21"/>
          <w:szCs w:val="21"/>
        </w:rPr>
        <w:tab/>
      </w:r>
      <w:r w:rsidRPr="00DA238D">
        <w:rPr>
          <w:rFonts w:ascii="Abadi" w:hAnsi="Abadi"/>
          <w:b w:val="0"/>
          <w:bCs/>
          <w:sz w:val="21"/>
          <w:szCs w:val="21"/>
        </w:rPr>
        <w:t xml:space="preserve">Dicha iniciativa se turnó a esta Comisión de Hacienda y Fiscalización el 31 de marzo de 2022 para su estudio y dictamen, siendo radicada el 5 de abril del mismo año. En dicha fecha también se acordó llevar a cabo una mesa de trabajo con funcionarios de la </w:t>
      </w:r>
      <w:bookmarkStart w:id="21" w:name="_Hlk87713543"/>
      <w:r w:rsidRPr="00DA238D">
        <w:rPr>
          <w:rFonts w:ascii="Abadi" w:hAnsi="Abadi"/>
          <w:b w:val="0"/>
          <w:bCs/>
          <w:sz w:val="21"/>
          <w:szCs w:val="21"/>
        </w:rPr>
        <w:t xml:space="preserve">Secretaría de Finanzas, Inversión y Administración del Estado y de la Coordinación General Jurídica del Gobierno del Estado </w:t>
      </w:r>
      <w:bookmarkEnd w:id="21"/>
      <w:r w:rsidRPr="00DA238D">
        <w:rPr>
          <w:rFonts w:ascii="Abadi" w:hAnsi="Abadi"/>
          <w:b w:val="0"/>
          <w:bCs/>
          <w:sz w:val="21"/>
          <w:szCs w:val="21"/>
        </w:rPr>
        <w:t xml:space="preserve">a fin de que expusieran lo relativo al contenido de la iniciativa. </w:t>
      </w:r>
    </w:p>
    <w:p w14:paraId="08056587" w14:textId="77777777" w:rsidR="00C202AD" w:rsidRPr="00DA238D" w:rsidRDefault="00C202AD" w:rsidP="009155E0">
      <w:pPr>
        <w:pStyle w:val="Sangra2detindependiente"/>
        <w:spacing w:line="240" w:lineRule="auto"/>
        <w:jc w:val="both"/>
        <w:rPr>
          <w:rFonts w:ascii="Abadi" w:hAnsi="Abadi"/>
          <w:bCs/>
          <w:sz w:val="21"/>
          <w:szCs w:val="21"/>
        </w:rPr>
      </w:pPr>
    </w:p>
    <w:p w14:paraId="5214B360" w14:textId="77777777" w:rsidR="00C202AD" w:rsidRPr="00D02036" w:rsidRDefault="00C202AD" w:rsidP="009155E0">
      <w:pPr>
        <w:pStyle w:val="Sangra2detindependiente"/>
        <w:spacing w:line="240" w:lineRule="auto"/>
        <w:jc w:val="both"/>
        <w:rPr>
          <w:rFonts w:ascii="Abadi" w:hAnsi="Abadi"/>
          <w:sz w:val="21"/>
          <w:szCs w:val="21"/>
        </w:rPr>
      </w:pPr>
      <w:r w:rsidRPr="00D02036">
        <w:rPr>
          <w:rFonts w:ascii="Abadi" w:hAnsi="Abadi"/>
          <w:sz w:val="21"/>
          <w:szCs w:val="21"/>
        </w:rPr>
        <w:t xml:space="preserve">La propiedad de la fracción del bien inmueble materia de la donación se acredita mediante copia certificada de la escritura pública número 31,969, de fecha 15 de diciembre de 2014, levantada bajo la fe del licenciado José Aben Amar González Herrera, titular de </w:t>
      </w:r>
      <w:smartTag w:uri="urn:schemas-microsoft-com:office:smarttags" w:element="PersonName">
        <w:smartTagPr>
          <w:attr w:name="ProductID" w:val="la Notar￭a P￺blica"/>
        </w:smartTagPr>
        <w:r w:rsidRPr="00D02036">
          <w:rPr>
            <w:rFonts w:ascii="Abadi" w:hAnsi="Abadi"/>
            <w:sz w:val="21"/>
            <w:szCs w:val="21"/>
          </w:rPr>
          <w:t>la Notaría Pública</w:t>
        </w:r>
      </w:smartTag>
      <w:r w:rsidRPr="00D02036">
        <w:rPr>
          <w:rFonts w:ascii="Abadi" w:hAnsi="Abadi"/>
          <w:sz w:val="21"/>
          <w:szCs w:val="21"/>
        </w:rPr>
        <w:t xml:space="preserve"> número 49, en legal ejercicio en el Partido Judicial de Irapuato, </w:t>
      </w:r>
      <w:proofErr w:type="spellStart"/>
      <w:r w:rsidRPr="00D02036">
        <w:rPr>
          <w:rFonts w:ascii="Abadi" w:hAnsi="Abadi"/>
          <w:sz w:val="21"/>
          <w:szCs w:val="21"/>
        </w:rPr>
        <w:t>Gto</w:t>
      </w:r>
      <w:proofErr w:type="spellEnd"/>
      <w:r w:rsidRPr="00D02036">
        <w:rPr>
          <w:rFonts w:ascii="Abadi" w:hAnsi="Abadi"/>
          <w:sz w:val="21"/>
          <w:szCs w:val="21"/>
        </w:rPr>
        <w:t xml:space="preserve">., y debidamente inscrita en el Registro Público de la Propiedad el 17 de abril de 2015, mediante la que se formalizó la transmisión de bienes inmuebles en favor del Estado a través de la Secretaría de Finanzas, Inversión y Administración; así como el convenio de extinción del contrato de fideicomiso revocable de inversión y administración número 0991-06-29, denominado </w:t>
      </w:r>
      <w:r w:rsidRPr="00D02036">
        <w:rPr>
          <w:rFonts w:ascii="Abadi" w:hAnsi="Abadi"/>
          <w:i/>
          <w:iCs/>
          <w:sz w:val="21"/>
          <w:szCs w:val="21"/>
        </w:rPr>
        <w:t>Fondo para la Construcción del Parque Ecológico de Irapuato</w:t>
      </w:r>
      <w:r w:rsidRPr="00D02036">
        <w:rPr>
          <w:rFonts w:ascii="Abadi" w:hAnsi="Abadi"/>
          <w:sz w:val="21"/>
          <w:szCs w:val="21"/>
        </w:rPr>
        <w:t xml:space="preserve"> celebrado entre el Gobierno del Estado de Guanajuato, el municipio de Irapuato y el Patronato del Parque Ecológico de Irapuato, A.C., como fideicomitentes y el Banco del Bajío, Sociedad Anónima, </w:t>
      </w:r>
      <w:r w:rsidRPr="00D02036">
        <w:rPr>
          <w:rFonts w:ascii="Abadi" w:hAnsi="Abadi"/>
          <w:sz w:val="21"/>
          <w:szCs w:val="21"/>
        </w:rPr>
        <w:lastRenderedPageBreak/>
        <w:t xml:space="preserve">Institución de Banca Múltiple como fiduciaria. </w:t>
      </w:r>
    </w:p>
    <w:p w14:paraId="7F3240B7" w14:textId="77777777" w:rsidR="00C202AD" w:rsidRPr="00D02036" w:rsidRDefault="00C202AD" w:rsidP="009155E0">
      <w:pPr>
        <w:pStyle w:val="Sangra2detindependiente"/>
        <w:spacing w:line="240" w:lineRule="auto"/>
        <w:jc w:val="both"/>
        <w:rPr>
          <w:rFonts w:ascii="Abadi" w:hAnsi="Abadi"/>
          <w:sz w:val="21"/>
          <w:szCs w:val="21"/>
        </w:rPr>
      </w:pPr>
    </w:p>
    <w:p w14:paraId="45E99A53" w14:textId="77777777" w:rsidR="00C202AD" w:rsidRPr="00D02036" w:rsidRDefault="00C202AD" w:rsidP="009155E0">
      <w:pPr>
        <w:pStyle w:val="Sangra2detindependiente"/>
        <w:spacing w:line="240" w:lineRule="auto"/>
        <w:jc w:val="both"/>
        <w:rPr>
          <w:rFonts w:ascii="Abadi" w:hAnsi="Abadi"/>
          <w:sz w:val="21"/>
          <w:szCs w:val="21"/>
        </w:rPr>
      </w:pPr>
      <w:r w:rsidRPr="00D02036">
        <w:rPr>
          <w:rFonts w:ascii="Abadi" w:hAnsi="Abadi"/>
          <w:sz w:val="21"/>
          <w:szCs w:val="21"/>
        </w:rPr>
        <w:t>Se integraron al expediente de la iniciativa, el plano de localización que establece la superficie, medidas y colindancias de la fracción del bien inmueble que se pretende donar; así como los certificados de gravámenes y de historia registral de la misma.</w:t>
      </w:r>
    </w:p>
    <w:p w14:paraId="2DD24715" w14:textId="77777777" w:rsidR="00C202AD" w:rsidRPr="00D02036" w:rsidRDefault="00C202AD" w:rsidP="009155E0">
      <w:pPr>
        <w:pStyle w:val="Sangra2detindependiente"/>
        <w:spacing w:line="240" w:lineRule="auto"/>
        <w:jc w:val="both"/>
        <w:rPr>
          <w:rFonts w:ascii="Abadi" w:hAnsi="Abadi"/>
          <w:sz w:val="21"/>
          <w:szCs w:val="21"/>
        </w:rPr>
      </w:pPr>
    </w:p>
    <w:p w14:paraId="76FDBDCD" w14:textId="77777777" w:rsidR="00C202AD" w:rsidRPr="00D02036" w:rsidRDefault="00C202AD" w:rsidP="009155E0">
      <w:pPr>
        <w:pStyle w:val="Sangra2detindependiente"/>
        <w:spacing w:line="240" w:lineRule="auto"/>
        <w:jc w:val="both"/>
        <w:rPr>
          <w:rFonts w:ascii="Abadi" w:hAnsi="Abadi"/>
          <w:sz w:val="21"/>
          <w:szCs w:val="21"/>
        </w:rPr>
      </w:pPr>
      <w:r w:rsidRPr="00D02036">
        <w:rPr>
          <w:rFonts w:ascii="Abadi" w:hAnsi="Abadi"/>
          <w:sz w:val="21"/>
          <w:szCs w:val="21"/>
        </w:rPr>
        <w:t xml:space="preserve">Obra además en el expediente de la iniciativa, el oficio número PM/180/2019, de fecha 23 de abril de 2019, mediante el cual el entonces presidente municipal de Irapuato, </w:t>
      </w:r>
      <w:proofErr w:type="spellStart"/>
      <w:r w:rsidRPr="00D02036">
        <w:rPr>
          <w:rFonts w:ascii="Abadi" w:hAnsi="Abadi"/>
          <w:sz w:val="21"/>
          <w:szCs w:val="21"/>
        </w:rPr>
        <w:t>Gto</w:t>
      </w:r>
      <w:proofErr w:type="spellEnd"/>
      <w:r w:rsidRPr="00D02036">
        <w:rPr>
          <w:rFonts w:ascii="Abadi" w:hAnsi="Abadi"/>
          <w:sz w:val="21"/>
          <w:szCs w:val="21"/>
        </w:rPr>
        <w:t xml:space="preserve">., solicitó al Gobernador del Estado la donación de la fracción del bien inmueble materia del presente dictamen, en virtud que se requiere una superficie de 128 m² para la realización de la obra pública denominada </w:t>
      </w:r>
      <w:r w:rsidRPr="00D02036">
        <w:rPr>
          <w:rFonts w:ascii="Abadi" w:hAnsi="Abadi"/>
          <w:i/>
          <w:iCs/>
          <w:sz w:val="21"/>
          <w:szCs w:val="21"/>
          <w:lang w:val="es-ES_tradnl"/>
        </w:rPr>
        <w:t>Urbanización de la calle Prolongación División del Norte (El Atorón) Tramo: Cuarto Cinturón Vial-</w:t>
      </w:r>
      <w:proofErr w:type="spellStart"/>
      <w:r w:rsidRPr="00D02036">
        <w:rPr>
          <w:rFonts w:ascii="Abadi" w:hAnsi="Abadi"/>
          <w:i/>
          <w:iCs/>
          <w:sz w:val="21"/>
          <w:szCs w:val="21"/>
          <w:lang w:val="es-ES_tradnl"/>
        </w:rPr>
        <w:t>Blvd</w:t>
      </w:r>
      <w:proofErr w:type="spellEnd"/>
      <w:r w:rsidRPr="00D02036">
        <w:rPr>
          <w:rFonts w:ascii="Abadi" w:hAnsi="Abadi"/>
          <w:i/>
          <w:iCs/>
          <w:sz w:val="21"/>
          <w:szCs w:val="21"/>
          <w:lang w:val="es-ES_tradnl"/>
        </w:rPr>
        <w:t xml:space="preserve">. Villas de </w:t>
      </w:r>
      <w:proofErr w:type="spellStart"/>
      <w:r w:rsidRPr="00D02036">
        <w:rPr>
          <w:rFonts w:ascii="Abadi" w:hAnsi="Abadi"/>
          <w:i/>
          <w:iCs/>
          <w:sz w:val="21"/>
          <w:szCs w:val="21"/>
          <w:lang w:val="es-ES_tradnl"/>
        </w:rPr>
        <w:t>lrapuato</w:t>
      </w:r>
      <w:proofErr w:type="spellEnd"/>
      <w:r w:rsidRPr="00D02036">
        <w:rPr>
          <w:rFonts w:ascii="Abadi" w:hAnsi="Abadi"/>
          <w:i/>
          <w:iCs/>
          <w:sz w:val="21"/>
          <w:szCs w:val="21"/>
          <w:lang w:val="es-ES_tradnl"/>
        </w:rPr>
        <w:t xml:space="preserve">; </w:t>
      </w:r>
      <w:r w:rsidRPr="00D02036">
        <w:rPr>
          <w:rFonts w:ascii="Abadi" w:hAnsi="Abadi"/>
          <w:sz w:val="21"/>
          <w:szCs w:val="21"/>
          <w:lang w:val="es-ES_tradnl"/>
        </w:rPr>
        <w:t xml:space="preserve">señalando que dicha obra </w:t>
      </w:r>
      <w:r w:rsidRPr="00D02036">
        <w:rPr>
          <w:rFonts w:ascii="Abadi" w:hAnsi="Abadi"/>
          <w:sz w:val="21"/>
          <w:szCs w:val="21"/>
        </w:rPr>
        <w:t>beneficiará a los habitantes de la zona norte de la ciudad de Irapuato y contribuirá a desfogar los vehículos que circulan por el Cuarto Cinturón Vial para conectarse con el Boulevard Villas de Irapuato.</w:t>
      </w:r>
    </w:p>
    <w:p w14:paraId="7F67651E" w14:textId="77777777" w:rsidR="00C202AD" w:rsidRPr="00D02036" w:rsidRDefault="00C202AD" w:rsidP="009155E0">
      <w:pPr>
        <w:pStyle w:val="Sangra2detindependiente"/>
        <w:spacing w:line="240" w:lineRule="auto"/>
        <w:jc w:val="both"/>
        <w:rPr>
          <w:rFonts w:ascii="Abadi" w:hAnsi="Abadi"/>
          <w:sz w:val="21"/>
          <w:szCs w:val="21"/>
        </w:rPr>
      </w:pPr>
    </w:p>
    <w:p w14:paraId="3C9F35A5" w14:textId="77777777" w:rsidR="00C202AD" w:rsidRPr="00D02036" w:rsidRDefault="00C202AD" w:rsidP="009155E0">
      <w:pPr>
        <w:pStyle w:val="Sangra2detindependiente"/>
        <w:spacing w:line="240" w:lineRule="auto"/>
        <w:jc w:val="both"/>
        <w:rPr>
          <w:rFonts w:ascii="Abadi" w:hAnsi="Abadi"/>
          <w:sz w:val="21"/>
          <w:szCs w:val="21"/>
        </w:rPr>
      </w:pPr>
      <w:r w:rsidRPr="00D02036">
        <w:rPr>
          <w:rFonts w:ascii="Abadi" w:hAnsi="Abadi"/>
          <w:sz w:val="21"/>
          <w:szCs w:val="21"/>
        </w:rPr>
        <w:t>En la mesa de trabajo celebrada el 13 de junio de 2022, funcionarios de la Secretaría de Finanzas, Inversión y Administración y de la Coordinación General Jurídica del Gobierno del Estado expusieron a quienes integramos esta Comisión lo referente al contenido de la iniciativa.</w:t>
      </w:r>
    </w:p>
    <w:p w14:paraId="42D9DD9F" w14:textId="77777777" w:rsidR="00C202AD" w:rsidRPr="00D02036" w:rsidRDefault="00C202AD" w:rsidP="009155E0">
      <w:pPr>
        <w:ind w:firstLine="708"/>
        <w:jc w:val="both"/>
        <w:rPr>
          <w:rFonts w:ascii="Abadi" w:hAnsi="Abadi" w:cs="Arial"/>
          <w:iCs/>
          <w:sz w:val="21"/>
          <w:szCs w:val="21"/>
          <w:lang w:val="es-MX"/>
        </w:rPr>
      </w:pPr>
    </w:p>
    <w:p w14:paraId="3B17FF11" w14:textId="77777777" w:rsidR="00C202AD" w:rsidRPr="00D02036" w:rsidRDefault="00C202AD" w:rsidP="009155E0">
      <w:pPr>
        <w:ind w:firstLine="708"/>
        <w:jc w:val="both"/>
        <w:rPr>
          <w:rFonts w:ascii="Abadi" w:hAnsi="Abadi" w:cs="Arial"/>
          <w:iCs/>
          <w:sz w:val="21"/>
          <w:szCs w:val="21"/>
          <w:lang w:val="es-MX"/>
        </w:rPr>
      </w:pPr>
      <w:r w:rsidRPr="00D02036">
        <w:rPr>
          <w:rFonts w:ascii="Abadi" w:hAnsi="Abadi" w:cs="Arial"/>
          <w:iCs/>
          <w:sz w:val="21"/>
          <w:szCs w:val="21"/>
          <w:lang w:val="es-MX"/>
        </w:rPr>
        <w:t>En la exposición de motivos de la iniciativa que nos ocupa, se establece que:</w:t>
      </w:r>
    </w:p>
    <w:p w14:paraId="22A11501" w14:textId="77777777" w:rsidR="00C202AD" w:rsidRPr="00D02036" w:rsidRDefault="00C202AD" w:rsidP="00C202AD">
      <w:pPr>
        <w:ind w:firstLine="708"/>
        <w:jc w:val="both"/>
        <w:rPr>
          <w:rFonts w:ascii="Abadi" w:hAnsi="Abadi" w:cs="Arial"/>
          <w:iCs/>
          <w:sz w:val="21"/>
          <w:szCs w:val="21"/>
          <w:lang w:val="es-MX"/>
        </w:rPr>
      </w:pPr>
    </w:p>
    <w:p w14:paraId="18AF9B70" w14:textId="77777777" w:rsidR="00C202AD" w:rsidRPr="00D02036" w:rsidRDefault="00C202AD" w:rsidP="00C202AD">
      <w:pPr>
        <w:ind w:left="709"/>
        <w:jc w:val="both"/>
        <w:rPr>
          <w:rFonts w:ascii="Abadi" w:hAnsi="Abadi" w:cs="Arial"/>
          <w:i/>
          <w:sz w:val="21"/>
          <w:szCs w:val="21"/>
          <w:lang w:val="es-ES_tradnl"/>
        </w:rPr>
      </w:pPr>
      <w:r w:rsidRPr="00D02036">
        <w:rPr>
          <w:rFonts w:ascii="Abadi" w:hAnsi="Abadi" w:cs="Arial"/>
          <w:i/>
          <w:sz w:val="21"/>
          <w:szCs w:val="21"/>
          <w:lang w:val="es-ES_tradnl"/>
        </w:rPr>
        <w:t>«Con la actualización del Programa de Gobierno 2018-2024</w:t>
      </w:r>
      <w:r w:rsidRPr="00D02036">
        <w:rPr>
          <w:rStyle w:val="Refdenotaalpie"/>
          <w:rFonts w:ascii="Abadi" w:hAnsi="Abadi" w:cs="Arial"/>
          <w:i/>
          <w:sz w:val="21"/>
          <w:szCs w:val="21"/>
          <w:lang w:val="es-ES_tradnl"/>
        </w:rPr>
        <w:footnoteReference w:id="216"/>
      </w:r>
      <w:r w:rsidRPr="00D02036">
        <w:rPr>
          <w:rFonts w:ascii="Abadi" w:hAnsi="Abadi" w:cs="Arial"/>
          <w:i/>
          <w:sz w:val="21"/>
          <w:szCs w:val="21"/>
          <w:lang w:val="es-ES_tradnl"/>
        </w:rPr>
        <w:t xml:space="preserve"> se busca tener una visión que contemple las nuevas realidades y proponga acciones que den pauta a la recuperación y el desarrollo sostenible </w:t>
      </w:r>
      <w:r w:rsidRPr="00D02036">
        <w:rPr>
          <w:rFonts w:ascii="Abadi" w:hAnsi="Abadi" w:cs="Arial"/>
          <w:i/>
          <w:sz w:val="21"/>
          <w:szCs w:val="21"/>
          <w:lang w:val="es-ES_tradnl"/>
        </w:rPr>
        <w:t>de los sectores productivos y de la sociedad en general. Parte de nuestra misión es ser un Gobierno que trabaja para impulsar el desarrollo integral de la población con políticas públicas sostenibles, incluyentes e innovadoras que proyectan el liderazgo de Guanajuato y su gente a nivel nacional e internacional.</w:t>
      </w:r>
    </w:p>
    <w:p w14:paraId="23EAC386" w14:textId="77777777" w:rsidR="00C202AD" w:rsidRPr="00D02036" w:rsidRDefault="00C202AD" w:rsidP="00C202AD">
      <w:pPr>
        <w:ind w:left="709"/>
        <w:jc w:val="both"/>
        <w:rPr>
          <w:rFonts w:ascii="Abadi" w:hAnsi="Abadi" w:cs="Arial"/>
          <w:i/>
          <w:sz w:val="21"/>
          <w:szCs w:val="21"/>
          <w:lang w:val="es-ES_tradnl"/>
        </w:rPr>
      </w:pPr>
    </w:p>
    <w:p w14:paraId="005BA920" w14:textId="77777777" w:rsidR="00C202AD" w:rsidRPr="00D02036" w:rsidRDefault="00C202AD" w:rsidP="00C202AD">
      <w:pPr>
        <w:ind w:left="709"/>
        <w:jc w:val="both"/>
        <w:rPr>
          <w:rFonts w:ascii="Abadi" w:hAnsi="Abadi" w:cs="Arial"/>
          <w:i/>
          <w:sz w:val="21"/>
          <w:szCs w:val="21"/>
        </w:rPr>
      </w:pPr>
      <w:r w:rsidRPr="00D02036">
        <w:rPr>
          <w:rFonts w:ascii="Abadi" w:hAnsi="Abadi" w:cs="Arial"/>
          <w:i/>
          <w:sz w:val="21"/>
          <w:szCs w:val="21"/>
        </w:rPr>
        <w:t>En tal sentido, se busca generar las condiciones que contribuyan al desarrollo integral del Estado, mediante el fortalecimiento del tejido social y las instituciones; la implementación de políticas públicas innovadoras e incluyentes; el desempeño de excelencia en un marco de transparencia y honestidad para los habitantes del estado; contribuir a mejorar la calidad de vida, el bienestar social y el desarrollo sostenible, en un marco de Estado de Derecho, paz social y corresponsabilidad global. Además, el «Eje Gobierno Humano y Eficaz», está enfocado al actuar del Gobierno Estatal, con el fin de que este sea lo más asertivo y eficiente posible, pero sin olvidar lo más importante, lo que le da realmente su esencia y misión principal, es decir, servir a la ciudadanía con un enfoque eminentemente humano.</w:t>
      </w:r>
    </w:p>
    <w:p w14:paraId="5773E200" w14:textId="77777777" w:rsidR="00C202AD" w:rsidRPr="00D02036" w:rsidRDefault="00C202AD" w:rsidP="00C202AD">
      <w:pPr>
        <w:ind w:left="709"/>
        <w:jc w:val="both"/>
        <w:rPr>
          <w:rFonts w:ascii="Abadi" w:hAnsi="Abadi" w:cs="Arial"/>
          <w:sz w:val="21"/>
          <w:szCs w:val="21"/>
        </w:rPr>
      </w:pPr>
    </w:p>
    <w:p w14:paraId="13B20EBE" w14:textId="77777777" w:rsidR="00C202AD" w:rsidRPr="00D02036" w:rsidRDefault="00C202AD" w:rsidP="00C202AD">
      <w:pPr>
        <w:autoSpaceDE w:val="0"/>
        <w:autoSpaceDN w:val="0"/>
        <w:adjustRightInd w:val="0"/>
        <w:ind w:left="709"/>
        <w:jc w:val="both"/>
        <w:rPr>
          <w:rFonts w:ascii="Abadi" w:hAnsi="Abadi" w:cs="Arial"/>
          <w:i/>
          <w:iCs/>
          <w:sz w:val="21"/>
          <w:szCs w:val="21"/>
        </w:rPr>
      </w:pPr>
      <w:r w:rsidRPr="00D02036">
        <w:rPr>
          <w:rFonts w:ascii="Abadi" w:hAnsi="Abadi" w:cs="Arial"/>
          <w:i/>
          <w:iCs/>
          <w:sz w:val="21"/>
          <w:szCs w:val="21"/>
        </w:rPr>
        <w:t>…</w:t>
      </w:r>
    </w:p>
    <w:p w14:paraId="30EC50BD" w14:textId="77777777" w:rsidR="00C202AD" w:rsidRPr="00D02036" w:rsidRDefault="00C202AD" w:rsidP="00C202AD">
      <w:pPr>
        <w:autoSpaceDE w:val="0"/>
        <w:autoSpaceDN w:val="0"/>
        <w:adjustRightInd w:val="0"/>
        <w:ind w:left="709"/>
        <w:jc w:val="both"/>
        <w:rPr>
          <w:rFonts w:ascii="Abadi" w:hAnsi="Abadi" w:cs="Arial"/>
          <w:i/>
          <w:iCs/>
          <w:sz w:val="21"/>
          <w:szCs w:val="21"/>
        </w:rPr>
      </w:pPr>
    </w:p>
    <w:p w14:paraId="74E22199" w14:textId="77777777" w:rsidR="00C202AD" w:rsidRPr="00D02036" w:rsidRDefault="00C202AD" w:rsidP="00C202AD">
      <w:pPr>
        <w:autoSpaceDE w:val="0"/>
        <w:autoSpaceDN w:val="0"/>
        <w:adjustRightInd w:val="0"/>
        <w:ind w:left="709"/>
        <w:jc w:val="both"/>
        <w:rPr>
          <w:rFonts w:ascii="Abadi" w:hAnsi="Abadi" w:cs="Arial"/>
          <w:i/>
          <w:iCs/>
          <w:sz w:val="21"/>
          <w:szCs w:val="21"/>
        </w:rPr>
      </w:pPr>
      <w:r w:rsidRPr="00D02036">
        <w:rPr>
          <w:rFonts w:ascii="Abadi" w:hAnsi="Abadi" w:cs="Arial"/>
          <w:i/>
          <w:iCs/>
          <w:sz w:val="21"/>
          <w:szCs w:val="21"/>
        </w:rPr>
        <w:t xml:space="preserve">Así, en razón de que la solicitud realizada por el municipio de </w:t>
      </w:r>
      <w:proofErr w:type="spellStart"/>
      <w:r w:rsidRPr="00D02036">
        <w:rPr>
          <w:rFonts w:ascii="Abadi" w:hAnsi="Abadi" w:cs="Arial"/>
          <w:i/>
          <w:iCs/>
          <w:sz w:val="21"/>
          <w:szCs w:val="21"/>
        </w:rPr>
        <w:t>lrapuato</w:t>
      </w:r>
      <w:proofErr w:type="spellEnd"/>
      <w:r w:rsidRPr="00D02036">
        <w:rPr>
          <w:rFonts w:ascii="Abadi" w:hAnsi="Abadi" w:cs="Arial"/>
          <w:i/>
          <w:iCs/>
          <w:sz w:val="21"/>
          <w:szCs w:val="21"/>
        </w:rPr>
        <w:t>, se inscribe en el marco de los objetivos y metas previstos en los instrumentos de planeación que orientan la actuación de la administración pública estatal, el Ejecutivo del Estado estima pertinente transmitir a favor de dicho municipio, la</w:t>
      </w:r>
      <w:r w:rsidRPr="00D02036">
        <w:rPr>
          <w:rFonts w:ascii="Abadi" w:hAnsi="Abadi"/>
          <w:sz w:val="21"/>
          <w:szCs w:val="21"/>
        </w:rPr>
        <w:t xml:space="preserve"> </w:t>
      </w:r>
      <w:r w:rsidRPr="00D02036">
        <w:rPr>
          <w:rFonts w:ascii="Abadi" w:hAnsi="Abadi" w:cs="Arial"/>
          <w:i/>
          <w:iCs/>
          <w:sz w:val="21"/>
          <w:szCs w:val="21"/>
        </w:rPr>
        <w:t>propiedad de la fracción del inmueble anteriormente enunciada, para la realización de la obra pública denominada «Urbanización de la calle Prolongación División del Norte (El Atorón) Tramo: Cuarto Cinturón Vial-</w:t>
      </w:r>
      <w:proofErr w:type="spellStart"/>
      <w:r w:rsidRPr="00D02036">
        <w:rPr>
          <w:rFonts w:ascii="Abadi" w:hAnsi="Abadi" w:cs="Arial"/>
          <w:i/>
          <w:iCs/>
          <w:sz w:val="21"/>
          <w:szCs w:val="21"/>
        </w:rPr>
        <w:lastRenderedPageBreak/>
        <w:t>Blvd</w:t>
      </w:r>
      <w:proofErr w:type="spellEnd"/>
      <w:r w:rsidRPr="00D02036">
        <w:rPr>
          <w:rFonts w:ascii="Abadi" w:hAnsi="Abadi" w:cs="Arial"/>
          <w:i/>
          <w:iCs/>
          <w:sz w:val="21"/>
          <w:szCs w:val="21"/>
        </w:rPr>
        <w:t xml:space="preserve">. Villas de </w:t>
      </w:r>
      <w:proofErr w:type="spellStart"/>
      <w:r w:rsidRPr="00D02036">
        <w:rPr>
          <w:rFonts w:ascii="Abadi" w:hAnsi="Abadi" w:cs="Arial"/>
          <w:i/>
          <w:iCs/>
          <w:sz w:val="21"/>
          <w:szCs w:val="21"/>
        </w:rPr>
        <w:t>lrapuato</w:t>
      </w:r>
      <w:proofErr w:type="spellEnd"/>
      <w:r w:rsidRPr="00D02036">
        <w:rPr>
          <w:rFonts w:ascii="Abadi" w:hAnsi="Abadi" w:cs="Arial"/>
          <w:i/>
          <w:iCs/>
          <w:sz w:val="21"/>
          <w:szCs w:val="21"/>
        </w:rPr>
        <w:t xml:space="preserve">)), para lo cual se requiere la previa desafectación de la fracción del bien inmueble citada con antelación, la cual cuenta con una superficie de 128.02 m² ciento veintiocho punto cero dos metros cuadrados, para que éste ingrese al dominio privado del Estado y se autorice su enajenación por esa Soberanía. </w:t>
      </w:r>
    </w:p>
    <w:p w14:paraId="222FDA9A" w14:textId="77777777" w:rsidR="00C202AD" w:rsidRPr="00D02036" w:rsidRDefault="00C202AD" w:rsidP="00C202AD">
      <w:pPr>
        <w:autoSpaceDE w:val="0"/>
        <w:autoSpaceDN w:val="0"/>
        <w:adjustRightInd w:val="0"/>
        <w:ind w:left="709"/>
        <w:jc w:val="both"/>
        <w:rPr>
          <w:rFonts w:ascii="Abadi" w:hAnsi="Abadi" w:cs="Arial"/>
          <w:i/>
          <w:iCs/>
          <w:sz w:val="21"/>
          <w:szCs w:val="21"/>
        </w:rPr>
      </w:pPr>
    </w:p>
    <w:p w14:paraId="20E20EB4" w14:textId="77777777" w:rsidR="00C202AD" w:rsidRPr="00D02036" w:rsidRDefault="00C202AD" w:rsidP="00C202AD">
      <w:pPr>
        <w:autoSpaceDE w:val="0"/>
        <w:autoSpaceDN w:val="0"/>
        <w:adjustRightInd w:val="0"/>
        <w:ind w:left="709"/>
        <w:jc w:val="both"/>
        <w:rPr>
          <w:rFonts w:ascii="Abadi" w:hAnsi="Abadi" w:cs="Arial"/>
          <w:i/>
          <w:iCs/>
          <w:sz w:val="21"/>
          <w:szCs w:val="21"/>
        </w:rPr>
      </w:pPr>
      <w:r w:rsidRPr="00D02036">
        <w:rPr>
          <w:rFonts w:ascii="Abadi" w:hAnsi="Abadi" w:cs="Arial"/>
          <w:i/>
          <w:iCs/>
          <w:sz w:val="21"/>
          <w:szCs w:val="21"/>
        </w:rPr>
        <w:t>Finalmente, si bien la evaluación legislativa no pertenece expresamente al rubro de la técnica legislativa (y más bien a la de ciencia de la legislación), existe una relación sumamente estrecha entre ambos; los resultados arrojados por la evaluación legislativa respecto a los productos donde una norma tiene incidencia directa no sólo en el contenido sustantivo de la legislación -qué se legisla- sino también en la plasmación lingüística de la norma -con qué palabras se legisla-, por ello, atendiendo la previsión del artículo 209 de la Ley Orgánica del Poder Legislativo del Estado de Guanajuato, relativo a la evaluación ex ante de la norma, a partir de la evaluación del impacto jurídico, administrativo, presupuestario y social, se manifiesta:</w:t>
      </w:r>
    </w:p>
    <w:p w14:paraId="1B5AD12E" w14:textId="77777777" w:rsidR="00C202AD" w:rsidRPr="00D02036" w:rsidRDefault="00C202AD" w:rsidP="00C202AD">
      <w:pPr>
        <w:autoSpaceDE w:val="0"/>
        <w:autoSpaceDN w:val="0"/>
        <w:adjustRightInd w:val="0"/>
        <w:ind w:left="709"/>
        <w:jc w:val="both"/>
        <w:rPr>
          <w:rFonts w:ascii="Abadi" w:hAnsi="Abadi" w:cs="Arial"/>
          <w:i/>
          <w:iCs/>
          <w:sz w:val="21"/>
          <w:szCs w:val="21"/>
        </w:rPr>
      </w:pPr>
    </w:p>
    <w:p w14:paraId="0617979F" w14:textId="77777777" w:rsidR="00C202AD" w:rsidRPr="00D02036" w:rsidRDefault="00C202AD" w:rsidP="005B68E6">
      <w:pPr>
        <w:pStyle w:val="Prrafodelista"/>
        <w:widowControl w:val="0"/>
        <w:numPr>
          <w:ilvl w:val="0"/>
          <w:numId w:val="31"/>
        </w:numPr>
        <w:autoSpaceDE w:val="0"/>
        <w:autoSpaceDN w:val="0"/>
        <w:adjustRightInd w:val="0"/>
        <w:ind w:left="709" w:firstLine="0"/>
        <w:contextualSpacing/>
        <w:jc w:val="both"/>
        <w:rPr>
          <w:rFonts w:ascii="Abadi" w:hAnsi="Abadi"/>
          <w:b/>
          <w:i/>
          <w:iCs/>
          <w:sz w:val="21"/>
          <w:szCs w:val="21"/>
        </w:rPr>
      </w:pPr>
      <w:r w:rsidRPr="00D02036">
        <w:rPr>
          <w:rFonts w:ascii="Abadi" w:hAnsi="Abadi"/>
          <w:b/>
          <w:i/>
          <w:iCs/>
          <w:sz w:val="21"/>
          <w:szCs w:val="21"/>
        </w:rPr>
        <w:t>Impacto jurídico:</w:t>
      </w:r>
      <w:r w:rsidRPr="00D02036">
        <w:rPr>
          <w:rFonts w:ascii="Abadi" w:hAnsi="Abadi"/>
          <w:i/>
          <w:iCs/>
          <w:sz w:val="21"/>
          <w:szCs w:val="21"/>
        </w:rPr>
        <w:t xml:space="preserve"> se traduce en </w:t>
      </w:r>
      <w:r w:rsidRPr="00D02036">
        <w:rPr>
          <w:rFonts w:ascii="Abadi" w:hAnsi="Abadi"/>
          <w:i/>
          <w:iCs/>
          <w:sz w:val="21"/>
          <w:szCs w:val="21"/>
          <w:lang w:val="es-MX"/>
        </w:rPr>
        <w:t xml:space="preserve">la autorización de ese Congreso para que el Ejecutivo del Estado pueda realizar la donación del inmueble materia de la presente iniciativa, misma que es requerida con fundamento en lo establecido en los artículos 63 fracciones XVI y XVII y 77 fracción XVII de la </w:t>
      </w:r>
      <w:r w:rsidRPr="00D02036">
        <w:rPr>
          <w:rFonts w:ascii="Abadi" w:hAnsi="Abadi"/>
          <w:i/>
          <w:iCs/>
          <w:sz w:val="21"/>
          <w:szCs w:val="21"/>
        </w:rPr>
        <w:t xml:space="preserve">Constitución Política para el Estado de Guanajuato, </w:t>
      </w:r>
      <w:r w:rsidRPr="00D02036">
        <w:rPr>
          <w:rFonts w:ascii="Abadi" w:hAnsi="Abadi" w:cs="Arial"/>
          <w:i/>
          <w:iCs/>
          <w:sz w:val="21"/>
          <w:szCs w:val="21"/>
        </w:rPr>
        <w:t>así como 7, fracción IV, 48, 49 fracción IV y 50 de la Ley del Patrimonio Inmobiliario del Estado</w:t>
      </w:r>
      <w:r w:rsidRPr="00D02036">
        <w:rPr>
          <w:rFonts w:ascii="Abadi" w:hAnsi="Abadi"/>
          <w:i/>
          <w:iCs/>
          <w:sz w:val="21"/>
          <w:szCs w:val="21"/>
        </w:rPr>
        <w:t xml:space="preserve">; </w:t>
      </w:r>
    </w:p>
    <w:p w14:paraId="5220744B" w14:textId="77777777" w:rsidR="00C202AD" w:rsidRPr="00D02036" w:rsidRDefault="00C202AD" w:rsidP="00C202AD">
      <w:pPr>
        <w:pStyle w:val="Prrafodelista"/>
        <w:widowControl w:val="0"/>
        <w:autoSpaceDE w:val="0"/>
        <w:autoSpaceDN w:val="0"/>
        <w:adjustRightInd w:val="0"/>
        <w:ind w:left="709"/>
        <w:contextualSpacing/>
        <w:jc w:val="both"/>
        <w:rPr>
          <w:rFonts w:ascii="Abadi" w:hAnsi="Abadi"/>
          <w:b/>
          <w:i/>
          <w:iCs/>
          <w:sz w:val="21"/>
          <w:szCs w:val="21"/>
        </w:rPr>
      </w:pPr>
    </w:p>
    <w:p w14:paraId="421A50AA" w14:textId="77777777" w:rsidR="00C202AD" w:rsidRPr="00D02036" w:rsidRDefault="00C202AD" w:rsidP="005B68E6">
      <w:pPr>
        <w:pStyle w:val="Prrafodelista"/>
        <w:widowControl w:val="0"/>
        <w:numPr>
          <w:ilvl w:val="0"/>
          <w:numId w:val="31"/>
        </w:numPr>
        <w:autoSpaceDE w:val="0"/>
        <w:autoSpaceDN w:val="0"/>
        <w:adjustRightInd w:val="0"/>
        <w:ind w:left="709" w:firstLine="0"/>
        <w:contextualSpacing/>
        <w:jc w:val="both"/>
        <w:rPr>
          <w:rFonts w:ascii="Abadi" w:hAnsi="Abadi"/>
          <w:i/>
          <w:iCs/>
          <w:sz w:val="21"/>
          <w:szCs w:val="21"/>
        </w:rPr>
      </w:pPr>
      <w:r w:rsidRPr="00D02036">
        <w:rPr>
          <w:rFonts w:ascii="Abadi" w:hAnsi="Abadi"/>
          <w:b/>
          <w:i/>
          <w:iCs/>
          <w:sz w:val="21"/>
          <w:szCs w:val="21"/>
        </w:rPr>
        <w:t>Impacto administrativo:</w:t>
      </w:r>
      <w:r w:rsidRPr="00D02036">
        <w:rPr>
          <w:rFonts w:ascii="Abadi" w:hAnsi="Abadi"/>
          <w:i/>
          <w:iCs/>
          <w:sz w:val="21"/>
          <w:szCs w:val="21"/>
        </w:rPr>
        <w:t xml:space="preserve"> en razón de los alcances y naturaleza de la Iniciativa que se propone, no se actualizan impactos de orden administrativo; </w:t>
      </w:r>
    </w:p>
    <w:p w14:paraId="0695676C" w14:textId="77777777" w:rsidR="00C202AD" w:rsidRPr="00D02036" w:rsidRDefault="00C202AD" w:rsidP="00C202AD">
      <w:pPr>
        <w:pStyle w:val="Prrafodelista"/>
        <w:rPr>
          <w:rFonts w:ascii="Abadi" w:hAnsi="Abadi"/>
          <w:i/>
          <w:iCs/>
          <w:sz w:val="21"/>
          <w:szCs w:val="21"/>
        </w:rPr>
      </w:pPr>
    </w:p>
    <w:p w14:paraId="2CAD4FA9" w14:textId="77777777" w:rsidR="00C202AD" w:rsidRPr="00D02036" w:rsidRDefault="00C202AD" w:rsidP="005B68E6">
      <w:pPr>
        <w:pStyle w:val="Prrafodelista"/>
        <w:widowControl w:val="0"/>
        <w:numPr>
          <w:ilvl w:val="0"/>
          <w:numId w:val="31"/>
        </w:numPr>
        <w:autoSpaceDE w:val="0"/>
        <w:autoSpaceDN w:val="0"/>
        <w:adjustRightInd w:val="0"/>
        <w:ind w:left="709" w:firstLine="0"/>
        <w:contextualSpacing/>
        <w:jc w:val="both"/>
        <w:rPr>
          <w:rFonts w:ascii="Abadi" w:hAnsi="Abadi"/>
          <w:i/>
          <w:iCs/>
          <w:sz w:val="21"/>
          <w:szCs w:val="21"/>
        </w:rPr>
      </w:pPr>
      <w:r w:rsidRPr="00D02036">
        <w:rPr>
          <w:rFonts w:ascii="Abadi" w:hAnsi="Abadi"/>
          <w:b/>
          <w:i/>
          <w:iCs/>
          <w:sz w:val="21"/>
          <w:szCs w:val="21"/>
        </w:rPr>
        <w:t>Impacto presupuestario:</w:t>
      </w:r>
      <w:r w:rsidRPr="00D02036">
        <w:rPr>
          <w:rFonts w:ascii="Abadi" w:hAnsi="Abadi"/>
          <w:i/>
          <w:iCs/>
          <w:sz w:val="21"/>
          <w:szCs w:val="21"/>
        </w:rPr>
        <w:t xml:space="preserve"> no existe; y </w:t>
      </w:r>
    </w:p>
    <w:p w14:paraId="0FD5CD6E" w14:textId="77777777" w:rsidR="00C202AD" w:rsidRPr="00D02036" w:rsidRDefault="00C202AD" w:rsidP="00C202AD">
      <w:pPr>
        <w:pStyle w:val="Prrafodelista"/>
        <w:rPr>
          <w:rFonts w:ascii="Abadi" w:hAnsi="Abadi"/>
          <w:sz w:val="21"/>
          <w:szCs w:val="21"/>
        </w:rPr>
      </w:pPr>
    </w:p>
    <w:p w14:paraId="1836AFEF" w14:textId="77777777" w:rsidR="00C202AD" w:rsidRPr="00D02036" w:rsidRDefault="00C202AD" w:rsidP="005B68E6">
      <w:pPr>
        <w:pStyle w:val="Prrafodelista"/>
        <w:widowControl w:val="0"/>
        <w:numPr>
          <w:ilvl w:val="0"/>
          <w:numId w:val="31"/>
        </w:numPr>
        <w:autoSpaceDE w:val="0"/>
        <w:autoSpaceDN w:val="0"/>
        <w:adjustRightInd w:val="0"/>
        <w:ind w:left="709" w:firstLine="0"/>
        <w:contextualSpacing/>
        <w:jc w:val="both"/>
        <w:rPr>
          <w:rFonts w:ascii="Abadi" w:hAnsi="Abadi"/>
          <w:i/>
          <w:iCs/>
          <w:sz w:val="21"/>
          <w:szCs w:val="21"/>
        </w:rPr>
      </w:pPr>
      <w:r w:rsidRPr="00D02036">
        <w:rPr>
          <w:rFonts w:ascii="Abadi" w:hAnsi="Abadi"/>
          <w:b/>
          <w:i/>
          <w:iCs/>
          <w:sz w:val="21"/>
          <w:szCs w:val="21"/>
        </w:rPr>
        <w:t>Impacto social:</w:t>
      </w:r>
      <w:r w:rsidRPr="00D02036">
        <w:rPr>
          <w:rFonts w:ascii="Abadi" w:hAnsi="Abadi"/>
          <w:i/>
          <w:iCs/>
          <w:sz w:val="21"/>
          <w:szCs w:val="21"/>
        </w:rPr>
        <w:t xml:space="preserve"> se beneficia a la población de </w:t>
      </w:r>
      <w:proofErr w:type="spellStart"/>
      <w:r w:rsidRPr="00D02036">
        <w:rPr>
          <w:rFonts w:ascii="Abadi" w:hAnsi="Abadi"/>
          <w:i/>
          <w:iCs/>
          <w:sz w:val="21"/>
          <w:szCs w:val="21"/>
        </w:rPr>
        <w:t>lrapuato</w:t>
      </w:r>
      <w:proofErr w:type="spellEnd"/>
      <w:r w:rsidRPr="00D02036">
        <w:rPr>
          <w:rFonts w:ascii="Abadi" w:hAnsi="Abadi"/>
          <w:i/>
          <w:iCs/>
          <w:sz w:val="21"/>
          <w:szCs w:val="21"/>
        </w:rPr>
        <w:t xml:space="preserve">, </w:t>
      </w:r>
      <w:proofErr w:type="spellStart"/>
      <w:r w:rsidRPr="00D02036">
        <w:rPr>
          <w:rFonts w:ascii="Abadi" w:hAnsi="Abadi"/>
          <w:i/>
          <w:iCs/>
          <w:sz w:val="21"/>
          <w:szCs w:val="21"/>
        </w:rPr>
        <w:t>Gto</w:t>
      </w:r>
      <w:proofErr w:type="spellEnd"/>
      <w:r w:rsidRPr="00D02036">
        <w:rPr>
          <w:rFonts w:ascii="Abadi" w:hAnsi="Abadi"/>
          <w:i/>
          <w:iCs/>
          <w:sz w:val="21"/>
          <w:szCs w:val="21"/>
        </w:rPr>
        <w:t>., dado que a través de la donación del bien inmueble, se contribuye a que el municipio cuente con la infraestructura adecuada, que permita facilitar su desplazamiento.</w:t>
      </w:r>
      <w:r w:rsidRPr="00D02036">
        <w:rPr>
          <w:rFonts w:ascii="Abadi" w:hAnsi="Abadi" w:cs="Arial"/>
          <w:i/>
          <w:iCs/>
          <w:sz w:val="21"/>
          <w:szCs w:val="21"/>
        </w:rPr>
        <w:t>»</w:t>
      </w:r>
    </w:p>
    <w:p w14:paraId="0508156E" w14:textId="77777777" w:rsidR="00C202AD" w:rsidRPr="00D02036" w:rsidRDefault="00C202AD" w:rsidP="00C202AD">
      <w:pPr>
        <w:ind w:left="709"/>
        <w:jc w:val="both"/>
        <w:rPr>
          <w:rFonts w:ascii="Abadi" w:hAnsi="Abadi" w:cs="Arial"/>
          <w:i/>
          <w:sz w:val="21"/>
          <w:szCs w:val="21"/>
        </w:rPr>
      </w:pPr>
    </w:p>
    <w:p w14:paraId="222AD9E1" w14:textId="77777777" w:rsidR="00C202AD" w:rsidRPr="00D02036" w:rsidRDefault="00C202AD" w:rsidP="00C202AD">
      <w:pPr>
        <w:pStyle w:val="Textoindependiente2"/>
        <w:spacing w:line="240" w:lineRule="auto"/>
        <w:ind w:firstLine="708"/>
        <w:rPr>
          <w:rFonts w:ascii="Abadi" w:hAnsi="Abadi"/>
          <w:sz w:val="21"/>
          <w:szCs w:val="21"/>
          <w:lang w:val="es-MX"/>
        </w:rPr>
      </w:pPr>
      <w:r w:rsidRPr="00D02036">
        <w:rPr>
          <w:rFonts w:ascii="Abadi" w:hAnsi="Abadi"/>
          <w:sz w:val="21"/>
          <w:szCs w:val="21"/>
          <w:lang w:val="es-MX"/>
        </w:rPr>
        <w:t>Al respecto, cabe señalar que el artículo 49, fracción IV de la Ley del Patrimonio Inmobiliario del Estado antes vigente aplicable a la iniciativa materia del presente dictamen establecía que la donación de los bienes inmuebles de dominio privado del Estado podría realizarse en favor de los municipios u organismos autónomos por Ley, para que los destinaran a la prestación de servicios públicos de su competencia, o bien, en fines educativos o de asistencia social.</w:t>
      </w:r>
    </w:p>
    <w:p w14:paraId="60F55A10" w14:textId="77777777" w:rsidR="00C202AD" w:rsidRPr="00D02036" w:rsidRDefault="00C202AD" w:rsidP="00C202AD">
      <w:pPr>
        <w:ind w:firstLine="708"/>
        <w:jc w:val="both"/>
        <w:rPr>
          <w:rFonts w:ascii="Abadi" w:hAnsi="Abadi" w:cs="Arial"/>
          <w:sz w:val="21"/>
          <w:szCs w:val="21"/>
          <w:lang w:val="es-MX"/>
        </w:rPr>
      </w:pPr>
    </w:p>
    <w:p w14:paraId="2E861AE8" w14:textId="77777777" w:rsidR="00C202AD" w:rsidRPr="00D02036" w:rsidRDefault="00C202AD" w:rsidP="00C202AD">
      <w:pPr>
        <w:ind w:firstLine="708"/>
        <w:jc w:val="both"/>
        <w:rPr>
          <w:rFonts w:ascii="Abadi" w:hAnsi="Abadi" w:cs="Arial"/>
          <w:sz w:val="21"/>
          <w:szCs w:val="21"/>
          <w:lang w:val="es-MX"/>
        </w:rPr>
      </w:pPr>
    </w:p>
    <w:p w14:paraId="69C2F6A4" w14:textId="77777777" w:rsidR="00C202AD" w:rsidRPr="00D02036" w:rsidRDefault="00C202AD" w:rsidP="00C202AD">
      <w:pPr>
        <w:ind w:firstLine="708"/>
        <w:jc w:val="both"/>
        <w:rPr>
          <w:rFonts w:ascii="Abadi" w:hAnsi="Abadi" w:cs="Arial"/>
          <w:sz w:val="21"/>
          <w:szCs w:val="21"/>
          <w:lang w:val="es-MX"/>
        </w:rPr>
      </w:pPr>
      <w:r w:rsidRPr="00D02036">
        <w:rPr>
          <w:rFonts w:ascii="Abadi" w:hAnsi="Abadi" w:cs="Arial"/>
          <w:sz w:val="21"/>
          <w:szCs w:val="21"/>
          <w:lang w:val="es-MX"/>
        </w:rPr>
        <w:t xml:space="preserve">No obstante, mediante el oficio número CGJ/SAL/13S2/2023, de fecha 8 de junio del año en curso, la Coordinadora General Jurídica de Gobierno del Estado informó que la presidenta municipal de Irapuato, </w:t>
      </w:r>
      <w:proofErr w:type="spellStart"/>
      <w:r w:rsidRPr="00D02036">
        <w:rPr>
          <w:rFonts w:ascii="Abadi" w:hAnsi="Abadi" w:cs="Arial"/>
          <w:sz w:val="21"/>
          <w:szCs w:val="21"/>
          <w:lang w:val="es-MX"/>
        </w:rPr>
        <w:t>Gto</w:t>
      </w:r>
      <w:proofErr w:type="spellEnd"/>
      <w:r w:rsidRPr="00D02036">
        <w:rPr>
          <w:rFonts w:ascii="Abadi" w:hAnsi="Abadi" w:cs="Arial"/>
          <w:sz w:val="21"/>
          <w:szCs w:val="21"/>
          <w:lang w:val="es-MX"/>
        </w:rPr>
        <w:t xml:space="preserve">., hizo del conocimiento que su administración no tiene contemplado en su programa de inversión la ejecución de la </w:t>
      </w:r>
      <w:r w:rsidRPr="00D02036">
        <w:rPr>
          <w:rFonts w:ascii="Abadi" w:hAnsi="Abadi"/>
          <w:sz w:val="21"/>
          <w:szCs w:val="21"/>
          <w:lang w:val="es-ES_tradnl"/>
        </w:rPr>
        <w:t xml:space="preserve">obra pública denominada </w:t>
      </w:r>
      <w:r w:rsidRPr="00D02036">
        <w:rPr>
          <w:rFonts w:ascii="Abadi" w:hAnsi="Abadi"/>
          <w:i/>
          <w:iCs/>
          <w:sz w:val="21"/>
          <w:szCs w:val="21"/>
          <w:lang w:val="es-ES_tradnl"/>
        </w:rPr>
        <w:t>Urbanización de la calle Prolongación División del Norte (El Atorón) Tramo: Cuarto Cinturón Vial-</w:t>
      </w:r>
      <w:proofErr w:type="spellStart"/>
      <w:r w:rsidRPr="00D02036">
        <w:rPr>
          <w:rFonts w:ascii="Abadi" w:hAnsi="Abadi"/>
          <w:i/>
          <w:iCs/>
          <w:sz w:val="21"/>
          <w:szCs w:val="21"/>
          <w:lang w:val="es-ES_tradnl"/>
        </w:rPr>
        <w:t>Blvd</w:t>
      </w:r>
      <w:proofErr w:type="spellEnd"/>
      <w:r w:rsidRPr="00D02036">
        <w:rPr>
          <w:rFonts w:ascii="Abadi" w:hAnsi="Abadi"/>
          <w:i/>
          <w:iCs/>
          <w:sz w:val="21"/>
          <w:szCs w:val="21"/>
          <w:lang w:val="es-ES_tradnl"/>
        </w:rPr>
        <w:t xml:space="preserve">. Villas de </w:t>
      </w:r>
      <w:proofErr w:type="spellStart"/>
      <w:r w:rsidRPr="00D02036">
        <w:rPr>
          <w:rFonts w:ascii="Abadi" w:hAnsi="Abadi"/>
          <w:i/>
          <w:iCs/>
          <w:sz w:val="21"/>
          <w:szCs w:val="21"/>
          <w:lang w:val="es-ES_tradnl"/>
        </w:rPr>
        <w:t>lrapuato</w:t>
      </w:r>
      <w:proofErr w:type="spellEnd"/>
      <w:r w:rsidRPr="00D02036">
        <w:rPr>
          <w:rFonts w:ascii="Abadi" w:hAnsi="Abadi" w:cs="Arial"/>
          <w:sz w:val="21"/>
          <w:szCs w:val="21"/>
          <w:lang w:val="es-MX"/>
        </w:rPr>
        <w:t xml:space="preserve">, pidiendo dejar sin efecto la solicitud de donación. Se adjuntó copia del oficio número PM/0386/2022, de fecha 27 de julio de 2022, que la presidenta municipal de Irapuato, </w:t>
      </w:r>
      <w:proofErr w:type="spellStart"/>
      <w:r w:rsidRPr="00D02036">
        <w:rPr>
          <w:rFonts w:ascii="Abadi" w:hAnsi="Abadi" w:cs="Arial"/>
          <w:sz w:val="21"/>
          <w:szCs w:val="21"/>
          <w:lang w:val="es-MX"/>
        </w:rPr>
        <w:t>Gto</w:t>
      </w:r>
      <w:proofErr w:type="spellEnd"/>
      <w:r w:rsidRPr="00D02036">
        <w:rPr>
          <w:rFonts w:ascii="Abadi" w:hAnsi="Abadi" w:cs="Arial"/>
          <w:sz w:val="21"/>
          <w:szCs w:val="21"/>
          <w:lang w:val="es-MX"/>
        </w:rPr>
        <w:t>., dirigió al Director de Control Patrimonial de la Secretaría de Finanzas, Inversión y Administración por el que le solicitó dejar sin efecto la donación.</w:t>
      </w:r>
    </w:p>
    <w:p w14:paraId="777CF2E7" w14:textId="77777777" w:rsidR="00C202AD" w:rsidRPr="00D02036" w:rsidRDefault="00C202AD" w:rsidP="00C202AD">
      <w:pPr>
        <w:ind w:firstLine="708"/>
        <w:jc w:val="both"/>
        <w:rPr>
          <w:rFonts w:ascii="Abadi" w:hAnsi="Abadi" w:cs="Arial"/>
          <w:sz w:val="21"/>
          <w:szCs w:val="21"/>
          <w:lang w:val="es-MX"/>
        </w:rPr>
      </w:pPr>
    </w:p>
    <w:p w14:paraId="0F7F7564" w14:textId="77777777" w:rsidR="00C202AD" w:rsidRPr="00D02036" w:rsidRDefault="00C202AD" w:rsidP="00C202AD">
      <w:pPr>
        <w:ind w:firstLine="708"/>
        <w:jc w:val="both"/>
        <w:rPr>
          <w:rFonts w:ascii="Abadi" w:hAnsi="Abadi" w:cs="Arial"/>
          <w:sz w:val="21"/>
          <w:szCs w:val="21"/>
          <w:lang w:val="es-MX"/>
        </w:rPr>
      </w:pPr>
      <w:r w:rsidRPr="00D02036">
        <w:rPr>
          <w:rFonts w:ascii="Abadi" w:hAnsi="Abadi" w:cs="Arial"/>
          <w:sz w:val="21"/>
          <w:szCs w:val="21"/>
          <w:lang w:val="es-MX"/>
        </w:rPr>
        <w:t xml:space="preserve">En razón de lo anterior, y al no existir interés por parte del ayuntamiento de Irapuato, </w:t>
      </w:r>
      <w:proofErr w:type="spellStart"/>
      <w:r w:rsidRPr="00D02036">
        <w:rPr>
          <w:rFonts w:ascii="Abadi" w:hAnsi="Abadi" w:cs="Arial"/>
          <w:sz w:val="21"/>
          <w:szCs w:val="21"/>
          <w:lang w:val="es-MX"/>
        </w:rPr>
        <w:t>Gto</w:t>
      </w:r>
      <w:proofErr w:type="spellEnd"/>
      <w:r w:rsidRPr="00D02036">
        <w:rPr>
          <w:rFonts w:ascii="Abadi" w:hAnsi="Abadi" w:cs="Arial"/>
          <w:sz w:val="21"/>
          <w:szCs w:val="21"/>
          <w:lang w:val="es-MX"/>
        </w:rPr>
        <w:t>., para la donación del bien inmueble materia del presente dictamen, al no tener contemplado en su programa de inversión la ejecución de la obra pública que se pretendía realizar en el mismo, quienes integramos esta Comisión acordamos proponer el archivo definitivo de la iniciativa; sin menoscabo de que posteriormente, se pueda presentar alguna iniciativa con el mismo objeto.</w:t>
      </w:r>
    </w:p>
    <w:p w14:paraId="27C73F57" w14:textId="77777777" w:rsidR="00C202AD" w:rsidRPr="00D02036" w:rsidRDefault="00C202AD" w:rsidP="00C202AD">
      <w:pPr>
        <w:ind w:firstLine="708"/>
        <w:jc w:val="both"/>
        <w:rPr>
          <w:rFonts w:ascii="Abadi" w:hAnsi="Abadi" w:cs="Arial"/>
          <w:sz w:val="21"/>
          <w:szCs w:val="21"/>
          <w:lang w:val="es-MX"/>
        </w:rPr>
      </w:pPr>
    </w:p>
    <w:p w14:paraId="21D5C76C" w14:textId="77777777" w:rsidR="00C202AD" w:rsidRPr="00D02036" w:rsidRDefault="00C202AD" w:rsidP="00C202AD">
      <w:pPr>
        <w:ind w:firstLine="708"/>
        <w:jc w:val="both"/>
        <w:rPr>
          <w:rFonts w:ascii="Abadi" w:hAnsi="Abadi"/>
          <w:sz w:val="21"/>
          <w:szCs w:val="21"/>
          <w:lang w:val="es-MX"/>
        </w:rPr>
      </w:pPr>
      <w:r w:rsidRPr="00D02036">
        <w:rPr>
          <w:rFonts w:ascii="Abadi" w:hAnsi="Abadi"/>
          <w:sz w:val="21"/>
          <w:szCs w:val="21"/>
          <w:lang w:val="es-MX"/>
        </w:rPr>
        <w:lastRenderedPageBreak/>
        <w:t xml:space="preserve">Por lo expuesto y con fundamento en los artículos 63 fracciones XVI y XVII de la Constitución Política Local, </w:t>
      </w:r>
      <w:r w:rsidRPr="00D02036">
        <w:rPr>
          <w:rFonts w:ascii="Abadi" w:hAnsi="Abadi" w:cs="Arial"/>
          <w:sz w:val="21"/>
          <w:szCs w:val="21"/>
          <w:lang w:val="es-MX"/>
        </w:rPr>
        <w:t>7 fracci</w:t>
      </w:r>
      <w:r w:rsidRPr="00D02036">
        <w:rPr>
          <w:rFonts w:ascii="Abadi" w:hAnsi="Abadi"/>
          <w:sz w:val="21"/>
          <w:szCs w:val="21"/>
          <w:lang w:val="es-MX"/>
        </w:rPr>
        <w:t xml:space="preserve">ones II, IV y V y 49, fracción IV de la Ley del Patrimonio Inmobiliario del Estado antes vigente, así como 204 de </w:t>
      </w:r>
      <w:smartTag w:uri="urn:schemas-microsoft-com:office:smarttags" w:element="PersonName">
        <w:smartTagPr>
          <w:attr w:name="ProductID" w:val="la Secretaria"/>
        </w:smartTagPr>
        <w:r w:rsidRPr="00D02036">
          <w:rPr>
            <w:rFonts w:ascii="Abadi" w:hAnsi="Abadi"/>
            <w:sz w:val="21"/>
            <w:szCs w:val="21"/>
            <w:lang w:val="es-MX"/>
          </w:rPr>
          <w:t>la Ley Orgánica</w:t>
        </w:r>
      </w:smartTag>
      <w:r w:rsidRPr="00D02036">
        <w:rPr>
          <w:rFonts w:ascii="Abadi" w:hAnsi="Abadi"/>
          <w:sz w:val="21"/>
          <w:szCs w:val="21"/>
          <w:lang w:val="es-MX"/>
        </w:rPr>
        <w:t xml:space="preserve"> del Poder Legislativo del Estado de Guanajuato, nos permitimos someter a la consideración de la Asamblea la aprobación del siguiente proyecto de:</w:t>
      </w:r>
    </w:p>
    <w:p w14:paraId="5C37CB63" w14:textId="77777777" w:rsidR="00C202AD" w:rsidRPr="00D02036" w:rsidRDefault="00C202AD" w:rsidP="00C202AD">
      <w:pPr>
        <w:pStyle w:val="Textoindependiente"/>
        <w:jc w:val="center"/>
        <w:rPr>
          <w:rFonts w:ascii="Abadi" w:hAnsi="Abadi"/>
          <w:b w:val="0"/>
          <w:bCs w:val="0"/>
          <w:sz w:val="21"/>
          <w:szCs w:val="21"/>
        </w:rPr>
      </w:pPr>
    </w:p>
    <w:p w14:paraId="63826AC2" w14:textId="77777777" w:rsidR="00C202AD" w:rsidRPr="009155E0" w:rsidRDefault="00C202AD" w:rsidP="00C202AD">
      <w:pPr>
        <w:pStyle w:val="Textoindependiente"/>
        <w:jc w:val="center"/>
        <w:rPr>
          <w:rFonts w:ascii="Abadi" w:hAnsi="Abadi"/>
          <w:sz w:val="21"/>
          <w:szCs w:val="21"/>
        </w:rPr>
      </w:pPr>
      <w:r w:rsidRPr="009155E0">
        <w:rPr>
          <w:rFonts w:ascii="Abadi" w:hAnsi="Abadi"/>
          <w:sz w:val="21"/>
          <w:szCs w:val="21"/>
        </w:rPr>
        <w:t>A c u e r d o</w:t>
      </w:r>
    </w:p>
    <w:p w14:paraId="1D466D7E" w14:textId="77777777" w:rsidR="00C202AD" w:rsidRPr="00D02036" w:rsidRDefault="00C202AD" w:rsidP="00C202AD">
      <w:pPr>
        <w:jc w:val="right"/>
        <w:rPr>
          <w:rFonts w:ascii="Abadi" w:hAnsi="Abadi" w:cs="Arial"/>
          <w:b/>
          <w:i/>
          <w:sz w:val="21"/>
          <w:szCs w:val="21"/>
        </w:rPr>
      </w:pPr>
    </w:p>
    <w:p w14:paraId="31E34C85" w14:textId="77777777" w:rsidR="00C202AD" w:rsidRPr="00D02036" w:rsidRDefault="00C202AD" w:rsidP="00C202AD">
      <w:pPr>
        <w:ind w:firstLine="708"/>
        <w:jc w:val="both"/>
        <w:rPr>
          <w:rFonts w:ascii="Abadi" w:hAnsi="Abadi"/>
          <w:sz w:val="21"/>
          <w:szCs w:val="21"/>
          <w:lang w:val="es-MX"/>
        </w:rPr>
      </w:pPr>
      <w:r w:rsidRPr="00D02036">
        <w:rPr>
          <w:rFonts w:ascii="Abadi" w:hAnsi="Abadi"/>
          <w:b/>
          <w:bCs/>
          <w:sz w:val="21"/>
          <w:szCs w:val="21"/>
          <w:lang w:val="es-MX"/>
        </w:rPr>
        <w:t>Único.</w:t>
      </w:r>
      <w:r w:rsidRPr="00D02036">
        <w:rPr>
          <w:rFonts w:ascii="Abadi" w:hAnsi="Abadi" w:cs="Arial"/>
          <w:b/>
          <w:bCs/>
          <w:sz w:val="21"/>
          <w:szCs w:val="21"/>
        </w:rPr>
        <w:t xml:space="preserve"> </w:t>
      </w:r>
      <w:r w:rsidRPr="00D02036">
        <w:rPr>
          <w:rFonts w:ascii="Abadi" w:hAnsi="Abadi"/>
          <w:sz w:val="21"/>
          <w:szCs w:val="21"/>
          <w:lang w:val="es-MX"/>
        </w:rPr>
        <w:t xml:space="preserve">Se instruye el archivo definitivo de la iniciativa formulada por el Gobernador del Estado a efecto de que se le autorice, previa desafectación del dominio público, la enajenación mediante la figura de donación de una fracción de un bien inmueble ubicado en el </w:t>
      </w:r>
      <w:r w:rsidRPr="00D02036">
        <w:rPr>
          <w:rFonts w:ascii="Abadi" w:hAnsi="Abadi" w:cs="Arial"/>
          <w:sz w:val="21"/>
          <w:szCs w:val="21"/>
        </w:rPr>
        <w:t xml:space="preserve">Ejido de San José de Jorge López del municipio de </w:t>
      </w:r>
      <w:proofErr w:type="spellStart"/>
      <w:r w:rsidRPr="00D02036">
        <w:rPr>
          <w:rFonts w:ascii="Abadi" w:hAnsi="Abadi" w:cs="Arial"/>
          <w:sz w:val="21"/>
          <w:szCs w:val="21"/>
        </w:rPr>
        <w:t>lrapuato</w:t>
      </w:r>
      <w:proofErr w:type="spellEnd"/>
      <w:r w:rsidRPr="00D02036">
        <w:rPr>
          <w:rFonts w:ascii="Abadi" w:hAnsi="Abadi" w:cs="Arial"/>
          <w:sz w:val="21"/>
          <w:szCs w:val="21"/>
        </w:rPr>
        <w:t xml:space="preserve">, </w:t>
      </w:r>
      <w:proofErr w:type="spellStart"/>
      <w:r w:rsidRPr="00D02036">
        <w:rPr>
          <w:rFonts w:ascii="Abadi" w:hAnsi="Abadi" w:cs="Arial"/>
          <w:sz w:val="21"/>
          <w:szCs w:val="21"/>
        </w:rPr>
        <w:t>Gto</w:t>
      </w:r>
      <w:proofErr w:type="spellEnd"/>
      <w:r w:rsidRPr="00D02036">
        <w:rPr>
          <w:rFonts w:ascii="Abadi" w:hAnsi="Abadi" w:cs="Arial"/>
          <w:sz w:val="21"/>
          <w:szCs w:val="21"/>
        </w:rPr>
        <w:t xml:space="preserve">., </w:t>
      </w:r>
      <w:r w:rsidRPr="00D02036">
        <w:rPr>
          <w:rFonts w:ascii="Abadi" w:hAnsi="Abadi"/>
          <w:sz w:val="21"/>
          <w:szCs w:val="21"/>
          <w:lang w:val="es-MX"/>
        </w:rPr>
        <w:t>en favor de dicho Municipio, para que lo destine</w:t>
      </w:r>
      <w:r w:rsidRPr="00D02036">
        <w:rPr>
          <w:rFonts w:ascii="Abadi" w:hAnsi="Abadi" w:cs="Arial"/>
          <w:bCs/>
          <w:sz w:val="21"/>
          <w:szCs w:val="21"/>
        </w:rPr>
        <w:t xml:space="preserve"> a </w:t>
      </w:r>
      <w:r w:rsidRPr="00D02036">
        <w:rPr>
          <w:rFonts w:ascii="Abadi" w:hAnsi="Abadi"/>
          <w:sz w:val="21"/>
          <w:szCs w:val="21"/>
          <w:lang w:val="es-ES_tradnl"/>
        </w:rPr>
        <w:t xml:space="preserve">la realización de la obra pública denominada </w:t>
      </w:r>
      <w:r w:rsidRPr="00D02036">
        <w:rPr>
          <w:rFonts w:ascii="Abadi" w:hAnsi="Abadi"/>
          <w:i/>
          <w:iCs/>
          <w:sz w:val="21"/>
          <w:szCs w:val="21"/>
          <w:lang w:val="es-ES_tradnl"/>
        </w:rPr>
        <w:t>Urbanización de la calle Prolongación División del Norte (El Atorón) Tramo: Cuarto Cinturón Vial-</w:t>
      </w:r>
      <w:proofErr w:type="spellStart"/>
      <w:r w:rsidRPr="00D02036">
        <w:rPr>
          <w:rFonts w:ascii="Abadi" w:hAnsi="Abadi"/>
          <w:i/>
          <w:iCs/>
          <w:sz w:val="21"/>
          <w:szCs w:val="21"/>
          <w:lang w:val="es-ES_tradnl"/>
        </w:rPr>
        <w:t>Blvd</w:t>
      </w:r>
      <w:proofErr w:type="spellEnd"/>
      <w:r w:rsidRPr="00D02036">
        <w:rPr>
          <w:rFonts w:ascii="Abadi" w:hAnsi="Abadi"/>
          <w:i/>
          <w:iCs/>
          <w:sz w:val="21"/>
          <w:szCs w:val="21"/>
          <w:lang w:val="es-ES_tradnl"/>
        </w:rPr>
        <w:t xml:space="preserve">. Villas de </w:t>
      </w:r>
      <w:proofErr w:type="spellStart"/>
      <w:r w:rsidRPr="00D02036">
        <w:rPr>
          <w:rFonts w:ascii="Abadi" w:hAnsi="Abadi"/>
          <w:i/>
          <w:iCs/>
          <w:sz w:val="21"/>
          <w:szCs w:val="21"/>
          <w:lang w:val="es-ES_tradnl"/>
        </w:rPr>
        <w:t>lrapuato</w:t>
      </w:r>
      <w:proofErr w:type="spellEnd"/>
      <w:r w:rsidRPr="00D02036">
        <w:rPr>
          <w:rFonts w:ascii="Abadi" w:hAnsi="Abadi"/>
          <w:sz w:val="21"/>
          <w:szCs w:val="21"/>
          <w:lang w:val="es-MX"/>
        </w:rPr>
        <w:t xml:space="preserve">, al no existir interés por parte del ayuntamiento de Irapuato, </w:t>
      </w:r>
      <w:proofErr w:type="spellStart"/>
      <w:r w:rsidRPr="00D02036">
        <w:rPr>
          <w:rFonts w:ascii="Abadi" w:hAnsi="Abadi"/>
          <w:sz w:val="21"/>
          <w:szCs w:val="21"/>
          <w:lang w:val="es-MX"/>
        </w:rPr>
        <w:t>Gto</w:t>
      </w:r>
      <w:proofErr w:type="spellEnd"/>
      <w:r w:rsidRPr="00D02036">
        <w:rPr>
          <w:rFonts w:ascii="Abadi" w:hAnsi="Abadi"/>
          <w:sz w:val="21"/>
          <w:szCs w:val="21"/>
          <w:lang w:val="es-MX"/>
        </w:rPr>
        <w:t xml:space="preserve">. </w:t>
      </w:r>
    </w:p>
    <w:p w14:paraId="77FB6AAC" w14:textId="77777777" w:rsidR="00C202AD" w:rsidRPr="00D02036" w:rsidRDefault="00C202AD" w:rsidP="00C202AD">
      <w:pPr>
        <w:ind w:firstLine="708"/>
        <w:jc w:val="both"/>
        <w:rPr>
          <w:rFonts w:ascii="Abadi" w:hAnsi="Abadi"/>
          <w:sz w:val="21"/>
          <w:szCs w:val="21"/>
          <w:lang w:val="es-MX"/>
        </w:rPr>
      </w:pPr>
    </w:p>
    <w:p w14:paraId="033838F5" w14:textId="77777777" w:rsidR="00C202AD" w:rsidRPr="00D02036" w:rsidRDefault="00C202AD" w:rsidP="00C202AD">
      <w:pPr>
        <w:ind w:firstLine="708"/>
        <w:jc w:val="both"/>
        <w:rPr>
          <w:rFonts w:ascii="Abadi" w:hAnsi="Abadi"/>
          <w:sz w:val="21"/>
          <w:szCs w:val="21"/>
          <w:lang w:val="es-MX"/>
        </w:rPr>
      </w:pPr>
      <w:r w:rsidRPr="00D02036">
        <w:rPr>
          <w:rFonts w:ascii="Abadi" w:hAnsi="Abadi"/>
          <w:sz w:val="21"/>
          <w:szCs w:val="21"/>
          <w:lang w:val="es-MX"/>
        </w:rPr>
        <w:t>Comuníquese el presente acuerdo a la Secretaría General del Congreso del Estado para los efectos conducentes.</w:t>
      </w:r>
    </w:p>
    <w:p w14:paraId="1EEDB4D8" w14:textId="77777777" w:rsidR="00C202AD" w:rsidRPr="00D02036" w:rsidRDefault="00C202AD" w:rsidP="00C202AD">
      <w:pPr>
        <w:jc w:val="center"/>
        <w:rPr>
          <w:rFonts w:ascii="Abadi" w:hAnsi="Abadi" w:cs="Arial"/>
          <w:b/>
          <w:bCs/>
          <w:sz w:val="21"/>
          <w:szCs w:val="21"/>
          <w:lang w:val="es-MX" w:eastAsia="x-none"/>
        </w:rPr>
      </w:pPr>
    </w:p>
    <w:p w14:paraId="203F91E6" w14:textId="77777777" w:rsidR="00C202AD" w:rsidRPr="00D02036" w:rsidRDefault="00C202AD" w:rsidP="00C202AD">
      <w:pPr>
        <w:jc w:val="center"/>
        <w:rPr>
          <w:rFonts w:ascii="Abadi" w:hAnsi="Abadi" w:cs="Arial"/>
          <w:b/>
          <w:bCs/>
          <w:sz w:val="21"/>
          <w:szCs w:val="21"/>
          <w:lang w:val="es-MX" w:eastAsia="x-none"/>
        </w:rPr>
      </w:pPr>
      <w:r w:rsidRPr="00D02036">
        <w:rPr>
          <w:rFonts w:ascii="Abadi" w:hAnsi="Abadi" w:cs="Arial"/>
          <w:b/>
          <w:bCs/>
          <w:sz w:val="21"/>
          <w:szCs w:val="21"/>
          <w:lang w:val="es-MX" w:eastAsia="x-none"/>
        </w:rPr>
        <w:t xml:space="preserve">Guanajuato, </w:t>
      </w:r>
      <w:proofErr w:type="spellStart"/>
      <w:r w:rsidRPr="00D02036">
        <w:rPr>
          <w:rFonts w:ascii="Abadi" w:hAnsi="Abadi" w:cs="Arial"/>
          <w:b/>
          <w:bCs/>
          <w:sz w:val="21"/>
          <w:szCs w:val="21"/>
          <w:lang w:val="es-MX" w:eastAsia="x-none"/>
        </w:rPr>
        <w:t>Gto</w:t>
      </w:r>
      <w:proofErr w:type="spellEnd"/>
      <w:r w:rsidRPr="00D02036">
        <w:rPr>
          <w:rFonts w:ascii="Abadi" w:hAnsi="Abadi" w:cs="Arial"/>
          <w:b/>
          <w:bCs/>
          <w:sz w:val="21"/>
          <w:szCs w:val="21"/>
          <w:lang w:val="es-MX" w:eastAsia="x-none"/>
        </w:rPr>
        <w:t>., 19 de junio de 2023</w:t>
      </w:r>
    </w:p>
    <w:p w14:paraId="41CCDD5A" w14:textId="77777777" w:rsidR="00C202AD" w:rsidRPr="00D02036" w:rsidRDefault="00C202AD" w:rsidP="00C202AD">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D02036">
          <w:rPr>
            <w:rFonts w:ascii="Abadi" w:hAnsi="Abadi" w:cs="Arial"/>
            <w:b/>
            <w:bCs/>
            <w:sz w:val="21"/>
            <w:szCs w:val="21"/>
            <w:lang w:val="es-MX" w:eastAsia="x-none"/>
          </w:rPr>
          <w:t>La Comisión</w:t>
        </w:r>
      </w:smartTag>
      <w:r w:rsidRPr="00D02036">
        <w:rPr>
          <w:rFonts w:ascii="Abadi" w:hAnsi="Abadi" w:cs="Arial"/>
          <w:b/>
          <w:bCs/>
          <w:sz w:val="21"/>
          <w:szCs w:val="21"/>
          <w:lang w:val="es-MX" w:eastAsia="x-none"/>
        </w:rPr>
        <w:t xml:space="preserve"> de Hacienda y Fiscalización</w:t>
      </w:r>
    </w:p>
    <w:p w14:paraId="68154762" w14:textId="77777777" w:rsidR="00C202AD" w:rsidRDefault="00C202AD" w:rsidP="00C202AD">
      <w:pPr>
        <w:jc w:val="center"/>
        <w:rPr>
          <w:rFonts w:ascii="Abadi" w:hAnsi="Abadi"/>
          <w:sz w:val="21"/>
          <w:szCs w:val="21"/>
        </w:rPr>
      </w:pPr>
    </w:p>
    <w:p w14:paraId="5F17A06D" w14:textId="579E1EED" w:rsidR="00C202AD" w:rsidRPr="00D02036" w:rsidRDefault="00C202AD" w:rsidP="00C202AD">
      <w:pPr>
        <w:jc w:val="center"/>
        <w:rPr>
          <w:rFonts w:ascii="Abadi" w:hAnsi="Abadi" w:cs="Arial"/>
          <w:b/>
          <w:sz w:val="21"/>
          <w:szCs w:val="21"/>
        </w:rPr>
      </w:pPr>
      <w:r w:rsidRPr="00D02036">
        <w:rPr>
          <w:rFonts w:ascii="Abadi" w:hAnsi="Abadi" w:cs="Arial"/>
          <w:b/>
          <w:sz w:val="21"/>
          <w:szCs w:val="21"/>
        </w:rPr>
        <w:t>Diputado Víctor Manuel Zanella Huerta</w:t>
      </w:r>
    </w:p>
    <w:p w14:paraId="287262C5" w14:textId="77777777" w:rsidR="00C202AD" w:rsidRPr="00D02036" w:rsidRDefault="00C202AD" w:rsidP="00C202AD">
      <w:pPr>
        <w:jc w:val="both"/>
        <w:rPr>
          <w:rFonts w:ascii="Abadi" w:hAnsi="Abadi" w:cs="Arial"/>
          <w:sz w:val="21"/>
          <w:szCs w:val="21"/>
        </w:rPr>
      </w:pPr>
    </w:p>
    <w:p w14:paraId="7052355B" w14:textId="77777777" w:rsidR="00C202AD" w:rsidRPr="00D02036" w:rsidRDefault="00C202AD" w:rsidP="00C202AD">
      <w:pPr>
        <w:ind w:right="-234"/>
        <w:rPr>
          <w:rFonts w:ascii="Abadi" w:hAnsi="Abadi" w:cs="Calibri"/>
          <w:b/>
          <w:bCs/>
          <w:sz w:val="21"/>
          <w:szCs w:val="21"/>
        </w:rPr>
      </w:pPr>
      <w:r w:rsidRPr="00D02036">
        <w:rPr>
          <w:rFonts w:ascii="Abadi" w:hAnsi="Abadi" w:cs="Calibri"/>
          <w:b/>
          <w:bCs/>
          <w:sz w:val="21"/>
          <w:szCs w:val="21"/>
        </w:rPr>
        <w:t xml:space="preserve">Diputada Ruth Noemí Tiscareño Agoitia                   Diputado Miguel Ángel Salim </w:t>
      </w:r>
      <w:proofErr w:type="spellStart"/>
      <w:r w:rsidRPr="00D02036">
        <w:rPr>
          <w:rFonts w:ascii="Abadi" w:hAnsi="Abadi" w:cs="Calibri"/>
          <w:b/>
          <w:bCs/>
          <w:sz w:val="21"/>
          <w:szCs w:val="21"/>
        </w:rPr>
        <w:t>Alle</w:t>
      </w:r>
      <w:proofErr w:type="spellEnd"/>
    </w:p>
    <w:p w14:paraId="262AEF78" w14:textId="77777777" w:rsidR="00C202AD" w:rsidRPr="00D02036" w:rsidRDefault="00C202AD" w:rsidP="00C202AD">
      <w:pPr>
        <w:ind w:right="-234"/>
        <w:rPr>
          <w:rFonts w:ascii="Abadi" w:hAnsi="Abadi" w:cs="Calibri"/>
          <w:b/>
          <w:bCs/>
          <w:sz w:val="21"/>
          <w:szCs w:val="21"/>
        </w:rPr>
      </w:pPr>
      <w:r w:rsidRPr="00D02036">
        <w:rPr>
          <w:rFonts w:ascii="Abadi" w:hAnsi="Abadi" w:cs="Calibri"/>
          <w:b/>
          <w:bCs/>
          <w:sz w:val="21"/>
          <w:szCs w:val="21"/>
        </w:rPr>
        <w:t>Diputado José Alfonso Borja Pimentel    Diputada Alma Edwviges Alcaraz Hernández</w:t>
      </w:r>
    </w:p>
    <w:p w14:paraId="58318750" w14:textId="77777777" w:rsidR="00C202AD" w:rsidRPr="00D02036" w:rsidRDefault="00C202AD" w:rsidP="00C202AD">
      <w:pPr>
        <w:pStyle w:val="Textoindependiente"/>
        <w:jc w:val="center"/>
        <w:rPr>
          <w:rFonts w:ascii="Abadi" w:hAnsi="Abadi"/>
          <w:b w:val="0"/>
          <w:bCs w:val="0"/>
          <w:sz w:val="21"/>
          <w:szCs w:val="21"/>
        </w:rPr>
      </w:pPr>
    </w:p>
    <w:p w14:paraId="10830194" w14:textId="77777777" w:rsidR="00851546" w:rsidRDefault="00851546" w:rsidP="00C202AD">
      <w:pPr>
        <w:jc w:val="both"/>
        <w:rPr>
          <w:rFonts w:ascii="Abadi" w:hAnsi="Abadi"/>
          <w:sz w:val="21"/>
          <w:szCs w:val="21"/>
          <w:lang w:val="es-ES_tradnl"/>
        </w:rPr>
      </w:pPr>
    </w:p>
    <w:p w14:paraId="47223B8E" w14:textId="44C3A7A5" w:rsidR="00F56683" w:rsidRDefault="00F56683" w:rsidP="00F56683">
      <w:pPr>
        <w:jc w:val="both"/>
        <w:rPr>
          <w:rFonts w:ascii="Abadi" w:hAnsi="Abadi"/>
          <w:b/>
          <w:bCs/>
          <w:sz w:val="21"/>
          <w:szCs w:val="21"/>
        </w:rPr>
      </w:pPr>
      <w:r>
        <w:rPr>
          <w:rFonts w:ascii="Abadi" w:hAnsi="Abadi"/>
          <w:b/>
          <w:bCs/>
          <w:sz w:val="21"/>
          <w:szCs w:val="21"/>
        </w:rPr>
        <w:tab/>
      </w:r>
      <w:r w:rsidRPr="00A15E20">
        <w:rPr>
          <w:rFonts w:ascii="Abadi" w:hAnsi="Abadi"/>
          <w:b/>
          <w:bCs/>
          <w:sz w:val="21"/>
          <w:szCs w:val="21"/>
        </w:rPr>
        <w:t xml:space="preserve">- La </w:t>
      </w:r>
      <w:proofErr w:type="gramStart"/>
      <w:r w:rsidRPr="00A15E20">
        <w:rPr>
          <w:rFonts w:ascii="Abadi" w:hAnsi="Abadi"/>
          <w:b/>
          <w:bCs/>
          <w:sz w:val="21"/>
          <w:szCs w:val="21"/>
        </w:rPr>
        <w:t>Presidencia.-</w:t>
      </w:r>
      <w:proofErr w:type="gramEnd"/>
      <w:r>
        <w:rPr>
          <w:rFonts w:ascii="Abadi" w:hAnsi="Abadi"/>
          <w:sz w:val="21"/>
          <w:szCs w:val="21"/>
        </w:rPr>
        <w:t xml:space="preserve"> P</w:t>
      </w:r>
      <w:r w:rsidRPr="0030088F">
        <w:rPr>
          <w:rFonts w:ascii="Abadi" w:hAnsi="Abadi"/>
          <w:sz w:val="21"/>
          <w:szCs w:val="21"/>
        </w:rPr>
        <w:t xml:space="preserve">rocede someter a discusión el dictamen signado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iscalización correspondiente al punto 30 del orden del día</w:t>
      </w:r>
      <w:r>
        <w:rPr>
          <w:rFonts w:ascii="Abadi" w:hAnsi="Abadi"/>
          <w:sz w:val="21"/>
          <w:szCs w:val="21"/>
        </w:rPr>
        <w:t>.</w:t>
      </w:r>
      <w:r w:rsidRPr="001005E5">
        <w:rPr>
          <w:rFonts w:ascii="Helvetica" w:hAnsi="Helvetica"/>
          <w:color w:val="333333"/>
          <w:sz w:val="21"/>
          <w:szCs w:val="21"/>
          <w:shd w:val="clear" w:color="auto" w:fill="FFFFFF"/>
        </w:rPr>
        <w:t xml:space="preserve"> </w:t>
      </w:r>
      <w:r w:rsidRPr="000C5E87">
        <w:rPr>
          <w:rFonts w:ascii="Abadi" w:hAnsi="Abadi"/>
          <w:b/>
          <w:bCs/>
          <w:sz w:val="21"/>
          <w:szCs w:val="21"/>
        </w:rPr>
        <w:t>(ELD 198/LXV-I).</w:t>
      </w:r>
    </w:p>
    <w:p w14:paraId="16D0F635" w14:textId="77777777" w:rsidR="00F56683" w:rsidRPr="001005E5" w:rsidRDefault="00F56683" w:rsidP="00F56683">
      <w:pPr>
        <w:jc w:val="both"/>
        <w:rPr>
          <w:rFonts w:ascii="Abadi" w:hAnsi="Abadi"/>
          <w:b/>
          <w:bCs/>
          <w:sz w:val="21"/>
          <w:szCs w:val="21"/>
        </w:rPr>
      </w:pPr>
    </w:p>
    <w:p w14:paraId="32E3535E" w14:textId="77777777" w:rsidR="00F56683" w:rsidRDefault="00F56683" w:rsidP="00F56683">
      <w:pPr>
        <w:jc w:val="both"/>
        <w:rPr>
          <w:rFonts w:ascii="Abadi" w:hAnsi="Abadi"/>
          <w:sz w:val="21"/>
          <w:szCs w:val="21"/>
        </w:rPr>
      </w:pPr>
      <w:r>
        <w:rPr>
          <w:rFonts w:ascii="Abadi" w:hAnsi="Abadi"/>
          <w:sz w:val="21"/>
          <w:szCs w:val="21"/>
        </w:rPr>
        <w:tab/>
        <w:t>- S</w:t>
      </w:r>
      <w:r w:rsidRPr="0030088F">
        <w:rPr>
          <w:rFonts w:ascii="Abadi" w:hAnsi="Abadi"/>
          <w:sz w:val="21"/>
          <w:szCs w:val="21"/>
        </w:rPr>
        <w:t>í desean hacer uso de la palabra a favor o en contra manifiésten</w:t>
      </w:r>
      <w:r>
        <w:rPr>
          <w:rFonts w:ascii="Abadi" w:hAnsi="Abadi"/>
          <w:sz w:val="21"/>
          <w:szCs w:val="21"/>
        </w:rPr>
        <w:t>lo</w:t>
      </w:r>
      <w:r w:rsidRPr="0030088F">
        <w:rPr>
          <w:rFonts w:ascii="Abadi" w:hAnsi="Abadi"/>
          <w:sz w:val="21"/>
          <w:szCs w:val="21"/>
        </w:rPr>
        <w:t xml:space="preserve"> indicando el sentido de su participación</w:t>
      </w:r>
      <w:r>
        <w:rPr>
          <w:rFonts w:ascii="Abadi" w:hAnsi="Abadi"/>
          <w:sz w:val="21"/>
          <w:szCs w:val="21"/>
        </w:rPr>
        <w:t>. E</w:t>
      </w:r>
      <w:r w:rsidRPr="0030088F">
        <w:rPr>
          <w:rFonts w:ascii="Abadi" w:hAnsi="Abadi"/>
          <w:sz w:val="21"/>
          <w:szCs w:val="21"/>
        </w:rPr>
        <w:t xml:space="preserve">n virtud de que no hay intervenciones se pide a la secretaría que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el dictamen puesto a su consideración</w:t>
      </w:r>
      <w:r>
        <w:rPr>
          <w:rFonts w:ascii="Abadi" w:hAnsi="Abadi"/>
          <w:sz w:val="21"/>
          <w:szCs w:val="21"/>
        </w:rPr>
        <w:t>.</w:t>
      </w:r>
    </w:p>
    <w:p w14:paraId="28D41E1C" w14:textId="77777777" w:rsidR="00F56683" w:rsidRDefault="00F56683" w:rsidP="00F56683">
      <w:pPr>
        <w:jc w:val="both"/>
        <w:rPr>
          <w:rFonts w:ascii="Abadi" w:hAnsi="Abadi"/>
          <w:sz w:val="21"/>
          <w:szCs w:val="21"/>
        </w:rPr>
      </w:pPr>
    </w:p>
    <w:p w14:paraId="2E8A583C" w14:textId="35F27E48" w:rsidR="00F56683" w:rsidRDefault="00F56683" w:rsidP="00F56683">
      <w:pPr>
        <w:jc w:val="both"/>
        <w:rPr>
          <w:rFonts w:ascii="Abadi" w:hAnsi="Abadi"/>
          <w:b/>
          <w:bCs/>
          <w:sz w:val="21"/>
          <w:szCs w:val="21"/>
        </w:rPr>
      </w:pPr>
      <w:r w:rsidRPr="009067D9">
        <w:rPr>
          <w:rFonts w:ascii="Abadi" w:hAnsi="Abadi"/>
          <w:b/>
          <w:bCs/>
          <w:sz w:val="21"/>
          <w:szCs w:val="21"/>
        </w:rPr>
        <w:t>(se abre el sistema electrónico)</w:t>
      </w:r>
    </w:p>
    <w:p w14:paraId="01455F73" w14:textId="77777777" w:rsidR="00F56683" w:rsidRPr="009067D9" w:rsidRDefault="00F56683" w:rsidP="00F56683">
      <w:pPr>
        <w:jc w:val="both"/>
        <w:rPr>
          <w:rFonts w:ascii="Abadi" w:hAnsi="Abadi"/>
          <w:b/>
          <w:bCs/>
          <w:sz w:val="21"/>
          <w:szCs w:val="21"/>
        </w:rPr>
      </w:pPr>
    </w:p>
    <w:p w14:paraId="0C67B138" w14:textId="77777777" w:rsidR="00F56683" w:rsidRDefault="00F56683" w:rsidP="00F56683">
      <w:pPr>
        <w:jc w:val="both"/>
        <w:rPr>
          <w:rFonts w:ascii="Abadi" w:hAnsi="Abadi"/>
          <w:sz w:val="21"/>
          <w:szCs w:val="21"/>
        </w:rPr>
      </w:pPr>
      <w:r>
        <w:rPr>
          <w:rFonts w:ascii="Abadi" w:hAnsi="Abadi"/>
          <w:sz w:val="21"/>
          <w:szCs w:val="21"/>
        </w:rPr>
        <w:tab/>
      </w:r>
      <w:r w:rsidRPr="009067D9">
        <w:rPr>
          <w:rFonts w:ascii="Abadi" w:hAnsi="Abadi"/>
          <w:b/>
          <w:bCs/>
          <w:sz w:val="21"/>
          <w:szCs w:val="21"/>
        </w:rPr>
        <w:t xml:space="preserve">- La </w:t>
      </w:r>
      <w:proofErr w:type="gramStart"/>
      <w:r w:rsidRPr="009067D9">
        <w:rPr>
          <w:rFonts w:ascii="Abadi" w:hAnsi="Abadi"/>
          <w:b/>
          <w:bCs/>
          <w:sz w:val="21"/>
          <w:szCs w:val="21"/>
        </w:rPr>
        <w:t>Secretaría.-</w:t>
      </w:r>
      <w:proofErr w:type="gramEnd"/>
      <w:r>
        <w:rPr>
          <w:rFonts w:ascii="Abadi" w:hAnsi="Abadi"/>
          <w:sz w:val="21"/>
          <w:szCs w:val="21"/>
        </w:rPr>
        <w:t xml:space="preserve"> E</w:t>
      </w:r>
      <w:r w:rsidRPr="0030088F">
        <w:rPr>
          <w:rFonts w:ascii="Abadi" w:hAnsi="Abadi"/>
          <w:sz w:val="21"/>
          <w:szCs w:val="21"/>
        </w:rPr>
        <w:t>n votación nominal y mediante el sistema electrónico se les pregunta si se aprueba el dictamen que se pone a su consideración</w:t>
      </w:r>
      <w:r>
        <w:rPr>
          <w:rFonts w:ascii="Abadi" w:hAnsi="Abadi"/>
          <w:sz w:val="21"/>
          <w:szCs w:val="21"/>
        </w:rPr>
        <w:t>.</w:t>
      </w:r>
    </w:p>
    <w:p w14:paraId="7D2AC35F" w14:textId="77777777" w:rsidR="00F56683" w:rsidRDefault="00F56683" w:rsidP="00F56683">
      <w:pPr>
        <w:jc w:val="both"/>
        <w:rPr>
          <w:rFonts w:ascii="Abadi" w:hAnsi="Abadi"/>
          <w:sz w:val="21"/>
          <w:szCs w:val="21"/>
        </w:rPr>
      </w:pPr>
    </w:p>
    <w:p w14:paraId="01066666" w14:textId="77777777" w:rsidR="00F56683" w:rsidRDefault="00F56683" w:rsidP="00F56683">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52939B44" w14:textId="77777777" w:rsidR="00F56683" w:rsidRDefault="00F56683" w:rsidP="00F56683">
      <w:pPr>
        <w:jc w:val="both"/>
        <w:rPr>
          <w:rFonts w:ascii="Abadi" w:hAnsi="Abadi"/>
          <w:sz w:val="21"/>
          <w:szCs w:val="21"/>
        </w:rPr>
      </w:pPr>
    </w:p>
    <w:p w14:paraId="6D92FB3E" w14:textId="77777777" w:rsidR="00F56683" w:rsidRDefault="00F56683" w:rsidP="00F56683">
      <w:pPr>
        <w:jc w:val="both"/>
        <w:rPr>
          <w:rFonts w:ascii="Abadi" w:hAnsi="Abadi"/>
          <w:b/>
          <w:bCs/>
          <w:sz w:val="21"/>
          <w:szCs w:val="21"/>
        </w:rPr>
      </w:pPr>
      <w:r w:rsidRPr="009067D9">
        <w:rPr>
          <w:rFonts w:ascii="Abadi" w:hAnsi="Abadi"/>
          <w:b/>
          <w:bCs/>
          <w:sz w:val="21"/>
          <w:szCs w:val="21"/>
        </w:rPr>
        <w:t>(se cierra el sistema electrónico)</w:t>
      </w:r>
    </w:p>
    <w:p w14:paraId="3ABD6F76" w14:textId="77777777" w:rsidR="00F56683" w:rsidRDefault="00F56683" w:rsidP="00F56683">
      <w:pPr>
        <w:jc w:val="both"/>
        <w:rPr>
          <w:rFonts w:ascii="Abadi" w:hAnsi="Abadi"/>
          <w:b/>
          <w:bCs/>
          <w:sz w:val="21"/>
          <w:szCs w:val="21"/>
        </w:rPr>
      </w:pPr>
      <w:r>
        <w:rPr>
          <w:noProof/>
        </w:rPr>
        <w:drawing>
          <wp:inline distT="0" distB="0" distL="0" distR="0" wp14:anchorId="45138339" wp14:editId="228D1DF4">
            <wp:extent cx="1532164" cy="793727"/>
            <wp:effectExtent l="247650" t="247650" r="240030" b="254635"/>
            <wp:docPr id="74279855" name="Imagen 74279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79855" name=""/>
                    <pic:cNvPicPr/>
                  </pic:nvPicPr>
                  <pic:blipFill rotWithShape="1">
                    <a:blip r:embed="rId69"/>
                    <a:srcRect b="7897"/>
                    <a:stretch/>
                  </pic:blipFill>
                  <pic:spPr bwMode="auto">
                    <a:xfrm>
                      <a:off x="0" y="0"/>
                      <a:ext cx="1545820" cy="800801"/>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1069E381" w14:textId="77777777" w:rsidR="00F56683" w:rsidRDefault="00F56683" w:rsidP="00F56683">
      <w:pPr>
        <w:jc w:val="both"/>
        <w:rPr>
          <w:rFonts w:ascii="Abadi" w:hAnsi="Abadi"/>
          <w:sz w:val="21"/>
          <w:szCs w:val="21"/>
        </w:rPr>
      </w:pPr>
      <w:r>
        <w:rPr>
          <w:rFonts w:ascii="Abadi" w:hAnsi="Abadi"/>
          <w:sz w:val="21"/>
          <w:szCs w:val="21"/>
        </w:rPr>
        <w:tab/>
      </w:r>
      <w:r w:rsidRPr="00E90A7C">
        <w:rPr>
          <w:rFonts w:ascii="Abadi" w:hAnsi="Abadi"/>
          <w:b/>
          <w:bCs/>
          <w:sz w:val="21"/>
          <w:szCs w:val="21"/>
        </w:rPr>
        <w:t xml:space="preserve">- La </w:t>
      </w:r>
      <w:proofErr w:type="gramStart"/>
      <w:r w:rsidRPr="00E90A7C">
        <w:rPr>
          <w:rFonts w:ascii="Abadi" w:hAnsi="Abadi"/>
          <w:b/>
          <w:bCs/>
          <w:sz w:val="21"/>
          <w:szCs w:val="21"/>
        </w:rPr>
        <w:t>Secretaría.-</w:t>
      </w:r>
      <w:proofErr w:type="gramEnd"/>
      <w:r>
        <w:rPr>
          <w:rFonts w:ascii="Abadi" w:hAnsi="Abadi"/>
          <w:sz w:val="21"/>
          <w:szCs w:val="21"/>
        </w:rPr>
        <w:t xml:space="preserve"> L</w:t>
      </w:r>
      <w:r w:rsidRPr="0030088F">
        <w:rPr>
          <w:rFonts w:ascii="Abadi" w:hAnsi="Abadi"/>
          <w:sz w:val="21"/>
          <w:szCs w:val="21"/>
        </w:rPr>
        <w:t xml:space="preserve">e informo que se han registrado presidente a 32 votos a favor y </w:t>
      </w:r>
      <w:r>
        <w:rPr>
          <w:rFonts w:ascii="Abadi" w:hAnsi="Abadi"/>
          <w:sz w:val="21"/>
          <w:szCs w:val="21"/>
        </w:rPr>
        <w:t>0</w:t>
      </w:r>
      <w:r w:rsidRPr="0030088F">
        <w:rPr>
          <w:rFonts w:ascii="Abadi" w:hAnsi="Abadi"/>
          <w:sz w:val="21"/>
          <w:szCs w:val="21"/>
        </w:rPr>
        <w:t xml:space="preserve"> votos en contra</w:t>
      </w:r>
      <w:r>
        <w:rPr>
          <w:rFonts w:ascii="Abadi" w:hAnsi="Abadi"/>
          <w:sz w:val="21"/>
          <w:szCs w:val="21"/>
        </w:rPr>
        <w:t>.</w:t>
      </w:r>
    </w:p>
    <w:p w14:paraId="5460E35F" w14:textId="77777777" w:rsidR="00F56683" w:rsidRDefault="00F56683" w:rsidP="00F56683">
      <w:pPr>
        <w:jc w:val="both"/>
        <w:rPr>
          <w:rFonts w:ascii="Abadi" w:hAnsi="Abadi"/>
          <w:sz w:val="21"/>
          <w:szCs w:val="21"/>
        </w:rPr>
      </w:pPr>
    </w:p>
    <w:p w14:paraId="494972FA" w14:textId="77777777" w:rsidR="00F56683" w:rsidRDefault="00F56683" w:rsidP="00F56683">
      <w:pPr>
        <w:jc w:val="both"/>
        <w:rPr>
          <w:rFonts w:ascii="Abadi" w:hAnsi="Abadi"/>
          <w:sz w:val="21"/>
          <w:szCs w:val="21"/>
        </w:rPr>
      </w:pPr>
      <w:r>
        <w:rPr>
          <w:rFonts w:ascii="Abadi" w:hAnsi="Abadi"/>
          <w:sz w:val="21"/>
          <w:szCs w:val="21"/>
        </w:rPr>
        <w:tab/>
      </w:r>
      <w:r w:rsidRPr="008870D4">
        <w:rPr>
          <w:rFonts w:ascii="Abadi" w:hAnsi="Abadi"/>
          <w:b/>
          <w:bCs/>
          <w:sz w:val="21"/>
          <w:szCs w:val="21"/>
        </w:rPr>
        <w:t xml:space="preserve">- La </w:t>
      </w:r>
      <w:proofErr w:type="gramStart"/>
      <w:r w:rsidRPr="008870D4">
        <w:rPr>
          <w:rFonts w:ascii="Abadi" w:hAnsi="Abadi"/>
          <w:b/>
          <w:bCs/>
          <w:sz w:val="21"/>
          <w:szCs w:val="21"/>
        </w:rPr>
        <w:t>Presidencia.-</w:t>
      </w:r>
      <w:proofErr w:type="gramEnd"/>
      <w:r>
        <w:rPr>
          <w:rFonts w:ascii="Abadi" w:hAnsi="Abadi"/>
          <w:sz w:val="21"/>
          <w:szCs w:val="21"/>
        </w:rPr>
        <w:t xml:space="preserve">  E</w:t>
      </w:r>
      <w:r w:rsidRPr="0030088F">
        <w:rPr>
          <w:rFonts w:ascii="Abadi" w:hAnsi="Abadi"/>
          <w:sz w:val="21"/>
          <w:szCs w:val="21"/>
        </w:rPr>
        <w:t>l dictamen ha sido aprobado por unanimidad de votos</w:t>
      </w:r>
      <w:r>
        <w:rPr>
          <w:rFonts w:ascii="Abadi" w:hAnsi="Abadi"/>
          <w:sz w:val="21"/>
          <w:szCs w:val="21"/>
        </w:rPr>
        <w:t>.</w:t>
      </w:r>
    </w:p>
    <w:p w14:paraId="1F2638A0" w14:textId="77777777" w:rsidR="00F56683" w:rsidRDefault="00F56683" w:rsidP="00F56683">
      <w:pPr>
        <w:jc w:val="both"/>
        <w:rPr>
          <w:rFonts w:ascii="Abadi" w:hAnsi="Abadi"/>
          <w:sz w:val="21"/>
          <w:szCs w:val="21"/>
        </w:rPr>
      </w:pPr>
    </w:p>
    <w:p w14:paraId="21CCB39E" w14:textId="77777777" w:rsidR="00F56683" w:rsidRPr="00B736F9" w:rsidRDefault="00F56683" w:rsidP="00F56683">
      <w:pPr>
        <w:ind w:left="851" w:right="709"/>
        <w:jc w:val="both"/>
        <w:rPr>
          <w:rFonts w:ascii="Abadi" w:hAnsi="Abadi"/>
          <w:b/>
          <w:bCs/>
          <w:i/>
          <w:iCs/>
          <w:sz w:val="21"/>
          <w:szCs w:val="21"/>
          <w:u w:val="single"/>
        </w:rPr>
      </w:pPr>
      <w:r w:rsidRPr="00B736F9">
        <w:rPr>
          <w:rFonts w:ascii="Abadi" w:hAnsi="Abadi"/>
          <w:b/>
          <w:bCs/>
          <w:i/>
          <w:iCs/>
          <w:sz w:val="21"/>
          <w:szCs w:val="21"/>
          <w:u w:val="single"/>
        </w:rPr>
        <w:t>En consecuencia se instruye a la Secretaría General para que proceda el archivo definitivo de la iniciativa referida en el dictamen aprobado.</w:t>
      </w:r>
    </w:p>
    <w:p w14:paraId="0FF4B6E4" w14:textId="77777777" w:rsidR="00851546" w:rsidRPr="00D02036" w:rsidRDefault="00851546" w:rsidP="00F56683">
      <w:pPr>
        <w:ind w:right="709"/>
        <w:jc w:val="both"/>
        <w:rPr>
          <w:rFonts w:ascii="Abadi" w:hAnsi="Abadi"/>
          <w:sz w:val="21"/>
          <w:szCs w:val="21"/>
          <w:lang w:val="es-ES_tradnl"/>
        </w:rPr>
      </w:pPr>
    </w:p>
    <w:p w14:paraId="2E69EB5B" w14:textId="77777777" w:rsidR="00C202AD" w:rsidRPr="00D02036" w:rsidRDefault="00C202AD" w:rsidP="00F56683">
      <w:pPr>
        <w:ind w:right="709"/>
        <w:jc w:val="both"/>
        <w:rPr>
          <w:rFonts w:ascii="Abadi" w:hAnsi="Abadi"/>
          <w:sz w:val="21"/>
          <w:szCs w:val="21"/>
          <w:lang w:val="es-ES_tradnl"/>
        </w:rPr>
      </w:pPr>
    </w:p>
    <w:p w14:paraId="23BDF2D1" w14:textId="492BD19C" w:rsidR="00374533" w:rsidRDefault="00374533" w:rsidP="00427BD6">
      <w:pPr>
        <w:pStyle w:val="Prrafodelista"/>
        <w:numPr>
          <w:ilvl w:val="0"/>
          <w:numId w:val="8"/>
        </w:numPr>
        <w:autoSpaceDE w:val="0"/>
        <w:autoSpaceDN w:val="0"/>
        <w:adjustRightInd w:val="0"/>
        <w:ind w:left="284"/>
        <w:contextualSpacing/>
        <w:jc w:val="both"/>
        <w:rPr>
          <w:rFonts w:ascii="Abadi" w:hAnsi="Abadi" w:cs="Arial-ItalicMT"/>
          <w:b/>
          <w:bCs/>
          <w:i/>
          <w:iCs/>
          <w:sz w:val="21"/>
          <w:szCs w:val="21"/>
        </w:rPr>
      </w:pPr>
      <w:r w:rsidRPr="00A23DA0">
        <w:rPr>
          <w:rFonts w:ascii="Abadi" w:hAnsi="Abadi" w:cs="ArialMT"/>
          <w:b/>
          <w:bCs/>
          <w:sz w:val="21"/>
          <w:szCs w:val="21"/>
        </w:rPr>
        <w:t xml:space="preserve">DISCUSIÓN Y, EN SU CASO, APROBACIÓN DEL DICTAMEN SIGNADO POR LA COMISIÓN DE HACIENDA Y FISCALIZACIÓN RELATIVO A LA PROPUESTA DE PUNTO DE ACUERDO FORMULADA POR EL DIPUTADO ERNESTO ALEJANDRO PRIETO GALLARDO, INTEGRANTE DEL GRUPO PARLAMENTARIO DEL PARTIDO MORENA, A EFECTO DE EXHORTAR AL TITULAR DEL PODER EJECUTIVO DEL ESTADO PARA QUE REVISE LA ACTUACIÓN DEL SECRETARIO DE FINANZAS, INVERSIÓN Y ADMINISTRACIÓN EN LA CELEBRACIÓN DEL CONVENIO QUE FIRMÓ CON LA EMPRESA FIERACAPITAL INMOBILIARIA S.A. DE C.V., Y SE DESLINDEN LAS </w:t>
      </w:r>
      <w:r w:rsidRPr="00A23DA0">
        <w:rPr>
          <w:rFonts w:ascii="Abadi" w:hAnsi="Abadi" w:cs="ArialMT"/>
          <w:b/>
          <w:bCs/>
          <w:sz w:val="21"/>
          <w:szCs w:val="21"/>
        </w:rPr>
        <w:lastRenderedPageBreak/>
        <w:t xml:space="preserve">RESPONSABILIDADES A QUE HAYA LUGAR. </w:t>
      </w:r>
      <w:r w:rsidRPr="00A23DA0">
        <w:rPr>
          <w:rFonts w:ascii="Abadi" w:hAnsi="Abadi" w:cs="Arial-ItalicMT"/>
          <w:b/>
          <w:bCs/>
          <w:i/>
          <w:iCs/>
          <w:sz w:val="21"/>
          <w:szCs w:val="21"/>
        </w:rPr>
        <w:t>(ELD 273/LXV-PPA)</w:t>
      </w:r>
      <w:r w:rsidR="00850DBE">
        <w:rPr>
          <w:rStyle w:val="Refdenotaalpie"/>
          <w:rFonts w:ascii="Abadi" w:hAnsi="Abadi" w:cs="Arial-ItalicMT"/>
          <w:b/>
          <w:bCs/>
          <w:i/>
          <w:iCs/>
          <w:sz w:val="21"/>
          <w:szCs w:val="21"/>
        </w:rPr>
        <w:footnoteReference w:id="217"/>
      </w:r>
    </w:p>
    <w:p w14:paraId="39CAF790" w14:textId="77777777" w:rsidR="00145A79" w:rsidRDefault="00145A79" w:rsidP="00145A79">
      <w:pPr>
        <w:autoSpaceDE w:val="0"/>
        <w:autoSpaceDN w:val="0"/>
        <w:adjustRightInd w:val="0"/>
        <w:contextualSpacing/>
        <w:jc w:val="both"/>
        <w:rPr>
          <w:rFonts w:ascii="Abadi" w:hAnsi="Abadi" w:cs="Arial-ItalicMT"/>
          <w:b/>
          <w:bCs/>
          <w:i/>
          <w:iCs/>
          <w:sz w:val="21"/>
          <w:szCs w:val="21"/>
        </w:rPr>
      </w:pPr>
    </w:p>
    <w:p w14:paraId="033A2CB0" w14:textId="77777777" w:rsidR="00145A79" w:rsidRDefault="00145A79" w:rsidP="00145A79">
      <w:pPr>
        <w:autoSpaceDE w:val="0"/>
        <w:autoSpaceDN w:val="0"/>
        <w:adjustRightInd w:val="0"/>
        <w:contextualSpacing/>
        <w:jc w:val="both"/>
        <w:rPr>
          <w:rFonts w:ascii="Abadi" w:hAnsi="Abadi" w:cs="Arial-ItalicMT"/>
          <w:b/>
          <w:bCs/>
          <w:i/>
          <w:iCs/>
          <w:sz w:val="21"/>
          <w:szCs w:val="21"/>
        </w:rPr>
      </w:pPr>
    </w:p>
    <w:p w14:paraId="79E5FFD8" w14:textId="77777777" w:rsidR="00ED70DC" w:rsidRPr="00F019EE" w:rsidRDefault="00ED70DC" w:rsidP="00ED70DC">
      <w:pPr>
        <w:rPr>
          <w:rFonts w:ascii="Abadi" w:hAnsi="Abadi" w:cs="Arial"/>
          <w:b/>
          <w:iCs/>
          <w:smallCaps/>
          <w:sz w:val="21"/>
          <w:szCs w:val="21"/>
        </w:rPr>
      </w:pPr>
      <w:r w:rsidRPr="00F019EE">
        <w:rPr>
          <w:rFonts w:ascii="Abadi" w:hAnsi="Abadi" w:cs="Arial"/>
          <w:b/>
          <w:iCs/>
          <w:smallCaps/>
          <w:sz w:val="21"/>
          <w:szCs w:val="21"/>
        </w:rPr>
        <w:t>C. Presidenta del Congreso del Estado</w:t>
      </w:r>
    </w:p>
    <w:p w14:paraId="0794F191" w14:textId="77777777" w:rsidR="00ED70DC" w:rsidRPr="00F019EE" w:rsidRDefault="00ED70DC" w:rsidP="00ED70DC">
      <w:pPr>
        <w:jc w:val="both"/>
        <w:rPr>
          <w:rFonts w:ascii="Abadi" w:hAnsi="Abadi" w:cs="Arial"/>
          <w:b/>
          <w:iCs/>
          <w:smallCaps/>
          <w:sz w:val="21"/>
          <w:szCs w:val="21"/>
        </w:rPr>
      </w:pPr>
      <w:r w:rsidRPr="00F019EE">
        <w:rPr>
          <w:rFonts w:ascii="Abadi" w:hAnsi="Abadi" w:cs="Arial"/>
          <w:b/>
          <w:iCs/>
          <w:smallCaps/>
          <w:sz w:val="21"/>
          <w:szCs w:val="21"/>
        </w:rPr>
        <w:t>P r e s e n t e.</w:t>
      </w:r>
    </w:p>
    <w:p w14:paraId="7803F0F5" w14:textId="77777777" w:rsidR="00ED70DC" w:rsidRPr="00F019EE" w:rsidRDefault="00ED70DC" w:rsidP="00ED70DC">
      <w:pPr>
        <w:spacing w:line="360" w:lineRule="auto"/>
        <w:jc w:val="both"/>
        <w:rPr>
          <w:rFonts w:ascii="Abadi" w:hAnsi="Abadi" w:cs="Arial"/>
          <w:iCs/>
          <w:sz w:val="21"/>
          <w:szCs w:val="21"/>
        </w:rPr>
      </w:pPr>
    </w:p>
    <w:p w14:paraId="4A3FEA6E" w14:textId="77777777" w:rsidR="00ED70DC" w:rsidRPr="005B2B99" w:rsidRDefault="00ED70DC" w:rsidP="00ED70DC">
      <w:pPr>
        <w:pStyle w:val="Textoindependiente"/>
        <w:rPr>
          <w:rFonts w:ascii="Abadi" w:hAnsi="Abadi"/>
          <w:b w:val="0"/>
          <w:bCs w:val="0"/>
          <w:sz w:val="21"/>
          <w:szCs w:val="21"/>
        </w:rPr>
      </w:pPr>
      <w:r w:rsidRPr="00F019EE">
        <w:rPr>
          <w:rFonts w:ascii="Abadi" w:hAnsi="Abadi"/>
          <w:iCs/>
          <w:sz w:val="21"/>
          <w:szCs w:val="21"/>
        </w:rPr>
        <w:tab/>
      </w:r>
      <w:r w:rsidRPr="005B2B99">
        <w:rPr>
          <w:rFonts w:ascii="Abadi" w:hAnsi="Abadi"/>
          <w:b w:val="0"/>
          <w:bCs w:val="0"/>
          <w:sz w:val="21"/>
          <w:szCs w:val="21"/>
        </w:rPr>
        <w:t xml:space="preserve">A esta Comisión de Hacienda y Fiscalización le fue turnada para efectos de su estudio y dictamen, la propuesta de punto de acuerdo formulada por el diputado Ernesto Alejandro Prieto Gallardo, integrante del Grupo Parlamentario del Partido MORENA, a efecto de a efecto de exhortar al titular del Poder Ejecutivo del Estado para que revise la actuación del Secretario de Finanzas, Inversión y Administración en la celebración del convenio que firmó con la empresa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 S.A. de C.V.</w:t>
      </w:r>
      <w:bookmarkStart w:id="22" w:name="_Hlk134618375"/>
      <w:r w:rsidRPr="005B2B99">
        <w:rPr>
          <w:rFonts w:ascii="Abadi" w:hAnsi="Abadi"/>
          <w:b w:val="0"/>
          <w:bCs w:val="0"/>
          <w:sz w:val="21"/>
          <w:szCs w:val="21"/>
        </w:rPr>
        <w:t xml:space="preserve"> (273/LXV-PPA)</w:t>
      </w:r>
      <w:bookmarkEnd w:id="22"/>
    </w:p>
    <w:p w14:paraId="11114885" w14:textId="77777777" w:rsidR="00ED70DC" w:rsidRPr="005B2B99" w:rsidRDefault="00ED70DC" w:rsidP="00ED70DC">
      <w:pPr>
        <w:jc w:val="both"/>
        <w:rPr>
          <w:rFonts w:ascii="Abadi" w:hAnsi="Abadi"/>
          <w:sz w:val="21"/>
          <w:szCs w:val="21"/>
        </w:rPr>
      </w:pPr>
    </w:p>
    <w:p w14:paraId="50A4D77E" w14:textId="77777777" w:rsidR="00B13A21" w:rsidRDefault="00ED70DC" w:rsidP="00B13A21">
      <w:pPr>
        <w:jc w:val="both"/>
        <w:rPr>
          <w:rFonts w:ascii="Abadi" w:hAnsi="Abadi"/>
          <w:sz w:val="21"/>
          <w:szCs w:val="21"/>
        </w:rPr>
      </w:pPr>
      <w:r w:rsidRPr="005B2B99">
        <w:rPr>
          <w:rFonts w:ascii="Abadi" w:hAnsi="Abadi"/>
          <w:sz w:val="21"/>
          <w:szCs w:val="21"/>
        </w:rPr>
        <w:tab/>
        <w:t xml:space="preserve">Analizada la propuesta de referencia, con fundamento en los artículos 75, 89, fracción V, 112, fracción XV y 171 de </w:t>
      </w:r>
      <w:smartTag w:uri="urn:schemas-microsoft-com:office:smarttags" w:element="PersonName">
        <w:smartTagPr>
          <w:attr w:name="ProductID" w:val="la Ley Org￡nica"/>
        </w:smartTagPr>
        <w:r w:rsidRPr="005B2B99">
          <w:rPr>
            <w:rFonts w:ascii="Abadi" w:hAnsi="Abadi"/>
            <w:sz w:val="21"/>
            <w:szCs w:val="21"/>
          </w:rPr>
          <w:t>la Ley Orgánica</w:t>
        </w:r>
      </w:smartTag>
      <w:r w:rsidRPr="005B2B99">
        <w:rPr>
          <w:rFonts w:ascii="Abadi" w:hAnsi="Abadi"/>
          <w:sz w:val="21"/>
          <w:szCs w:val="21"/>
        </w:rPr>
        <w:t xml:space="preserve"> del Poder Legislativo del Estado de Guanajuato nos permitimos rendir el siguiente:</w:t>
      </w:r>
    </w:p>
    <w:p w14:paraId="1B74F59A" w14:textId="77777777" w:rsidR="00B13A21" w:rsidRDefault="00B13A21" w:rsidP="00B13A21">
      <w:pPr>
        <w:jc w:val="both"/>
        <w:rPr>
          <w:rFonts w:ascii="Abadi" w:hAnsi="Abadi"/>
          <w:sz w:val="21"/>
          <w:szCs w:val="21"/>
        </w:rPr>
      </w:pPr>
    </w:p>
    <w:p w14:paraId="7C2A4892" w14:textId="77777777" w:rsidR="00B13A21" w:rsidRPr="00B13A21" w:rsidRDefault="00ED70DC" w:rsidP="00B13A21">
      <w:pPr>
        <w:jc w:val="both"/>
        <w:rPr>
          <w:rFonts w:ascii="Abadi" w:hAnsi="Abadi"/>
          <w:b/>
          <w:bCs/>
          <w:sz w:val="21"/>
          <w:szCs w:val="21"/>
        </w:rPr>
      </w:pPr>
      <w:r w:rsidRPr="00B13A21">
        <w:rPr>
          <w:rFonts w:ascii="Abadi" w:hAnsi="Abadi"/>
          <w:b/>
          <w:bCs/>
          <w:sz w:val="21"/>
          <w:szCs w:val="21"/>
        </w:rPr>
        <w:t>D i c t a m e n</w:t>
      </w:r>
    </w:p>
    <w:p w14:paraId="1143313E" w14:textId="70FEDB27" w:rsidR="00ED70DC" w:rsidRPr="005B2B99" w:rsidRDefault="00ED70DC" w:rsidP="00B13A21">
      <w:pPr>
        <w:jc w:val="both"/>
        <w:rPr>
          <w:rFonts w:ascii="Abadi" w:hAnsi="Abadi"/>
          <w:sz w:val="21"/>
          <w:szCs w:val="21"/>
        </w:rPr>
      </w:pPr>
      <w:r w:rsidRPr="005B2B99">
        <w:rPr>
          <w:rFonts w:ascii="Abadi" w:hAnsi="Abadi"/>
          <w:sz w:val="21"/>
          <w:szCs w:val="21"/>
        </w:rPr>
        <w:t xml:space="preserve"> </w:t>
      </w:r>
    </w:p>
    <w:p w14:paraId="59C4D8C9" w14:textId="77777777" w:rsidR="00ED70DC" w:rsidRPr="005B2B99" w:rsidRDefault="00ED70DC" w:rsidP="005B68E6">
      <w:pPr>
        <w:numPr>
          <w:ilvl w:val="0"/>
          <w:numId w:val="30"/>
        </w:numPr>
        <w:jc w:val="both"/>
        <w:rPr>
          <w:rFonts w:ascii="Abadi" w:hAnsi="Abadi"/>
          <w:b/>
          <w:bCs/>
          <w:sz w:val="21"/>
          <w:szCs w:val="21"/>
        </w:rPr>
      </w:pPr>
      <w:r w:rsidRPr="005B2B99">
        <w:rPr>
          <w:rFonts w:ascii="Abadi" w:hAnsi="Abadi"/>
          <w:b/>
          <w:bCs/>
          <w:sz w:val="21"/>
          <w:szCs w:val="21"/>
        </w:rPr>
        <w:t>Antecedentes</w:t>
      </w:r>
    </w:p>
    <w:p w14:paraId="6FBD78E0" w14:textId="77777777" w:rsidR="00ED70DC" w:rsidRPr="005B2B99" w:rsidRDefault="00ED70DC" w:rsidP="00ED70DC">
      <w:pPr>
        <w:spacing w:line="360" w:lineRule="auto"/>
        <w:jc w:val="center"/>
        <w:rPr>
          <w:rFonts w:ascii="Abadi" w:hAnsi="Abadi"/>
          <w:b/>
          <w:bCs/>
          <w:sz w:val="21"/>
          <w:szCs w:val="21"/>
        </w:rPr>
      </w:pPr>
    </w:p>
    <w:p w14:paraId="52D30BC1" w14:textId="77777777" w:rsidR="00ED70DC" w:rsidRPr="005B2B99" w:rsidRDefault="00ED70DC" w:rsidP="00ED70DC">
      <w:pPr>
        <w:pStyle w:val="Textoindependiente"/>
        <w:rPr>
          <w:rFonts w:ascii="Abadi" w:hAnsi="Abadi"/>
          <w:b w:val="0"/>
          <w:bCs w:val="0"/>
          <w:sz w:val="21"/>
          <w:szCs w:val="21"/>
        </w:rPr>
      </w:pPr>
      <w:r w:rsidRPr="005B2B99">
        <w:rPr>
          <w:rFonts w:ascii="Abadi" w:hAnsi="Abadi"/>
          <w:sz w:val="21"/>
          <w:szCs w:val="21"/>
        </w:rPr>
        <w:tab/>
      </w:r>
      <w:r w:rsidRPr="005B2B99">
        <w:rPr>
          <w:rFonts w:ascii="Abadi" w:hAnsi="Abadi"/>
          <w:b w:val="0"/>
          <w:bCs w:val="0"/>
          <w:sz w:val="21"/>
          <w:szCs w:val="21"/>
        </w:rPr>
        <w:t xml:space="preserve">El diputado Ernesto Alejandro Prieto Gallardo, integrante del Grupo Parlamentario del Partido MORENA, en sesión ordinaria celebrada el 11 de mayo de 2023 presentó la propuesta de punto de acuerdo a efecto de exhortar al titular del Poder Ejecutivo del Estado para que revise la actuación del Secretario de Finanzas, Inversión y Administración en la celebración del convenio que firmó con la empresa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 S.A. de C.V., y se deslinden las responsabilidades a que haya lugar. </w:t>
      </w:r>
    </w:p>
    <w:p w14:paraId="0576D7FD" w14:textId="77777777" w:rsidR="00ED70DC" w:rsidRPr="005B2B99" w:rsidRDefault="00ED70DC" w:rsidP="00ED70DC">
      <w:pPr>
        <w:pStyle w:val="Textoindependiente"/>
        <w:rPr>
          <w:rFonts w:ascii="Abadi" w:hAnsi="Abadi"/>
          <w:b w:val="0"/>
          <w:bCs w:val="0"/>
          <w:sz w:val="21"/>
          <w:szCs w:val="21"/>
        </w:rPr>
      </w:pPr>
    </w:p>
    <w:p w14:paraId="3B48B577" w14:textId="77777777" w:rsidR="00ED70DC" w:rsidRPr="005B2B99" w:rsidRDefault="00ED70DC" w:rsidP="00ED70DC">
      <w:pPr>
        <w:pStyle w:val="Textoindependiente"/>
        <w:ind w:firstLine="708"/>
        <w:rPr>
          <w:rFonts w:ascii="Abadi" w:hAnsi="Abadi"/>
          <w:b w:val="0"/>
          <w:bCs w:val="0"/>
          <w:sz w:val="21"/>
          <w:szCs w:val="21"/>
        </w:rPr>
      </w:pPr>
      <w:r w:rsidRPr="005B2B99">
        <w:rPr>
          <w:rFonts w:ascii="Abadi" w:hAnsi="Abadi"/>
          <w:b w:val="0"/>
          <w:bCs w:val="0"/>
          <w:sz w:val="21"/>
          <w:szCs w:val="21"/>
        </w:rPr>
        <w:t>La referida propuesta se turnó por la presidencia a esta Comisión de Hacienda y Fiscalización para su estudio y dictamen con fundamento en la fracción XV del artículo 112 de la Ley Orgánica del Poder Legislativo del Estado de Guanajuato, misma que se radicó el 16 de mayo del año en curso.</w:t>
      </w:r>
    </w:p>
    <w:p w14:paraId="6F6664AE" w14:textId="77777777" w:rsidR="00ED70DC" w:rsidRPr="005B2B99" w:rsidRDefault="00ED70DC" w:rsidP="00ED70DC">
      <w:pPr>
        <w:pStyle w:val="Textoindependiente"/>
        <w:ind w:firstLine="708"/>
        <w:rPr>
          <w:rFonts w:ascii="Abadi" w:hAnsi="Abadi"/>
          <w:b w:val="0"/>
          <w:bCs w:val="0"/>
          <w:sz w:val="21"/>
          <w:szCs w:val="21"/>
        </w:rPr>
      </w:pPr>
    </w:p>
    <w:p w14:paraId="463147DE" w14:textId="77777777" w:rsidR="00ED70DC" w:rsidRPr="00B13A21" w:rsidRDefault="00ED70DC" w:rsidP="005B68E6">
      <w:pPr>
        <w:numPr>
          <w:ilvl w:val="0"/>
          <w:numId w:val="30"/>
        </w:numPr>
        <w:jc w:val="both"/>
        <w:rPr>
          <w:rFonts w:ascii="Abadi" w:hAnsi="Abadi"/>
          <w:b/>
          <w:bCs/>
          <w:sz w:val="21"/>
          <w:szCs w:val="21"/>
        </w:rPr>
      </w:pPr>
      <w:r w:rsidRPr="00B13A21">
        <w:rPr>
          <w:rFonts w:ascii="Abadi" w:hAnsi="Abadi"/>
          <w:b/>
          <w:bCs/>
          <w:sz w:val="21"/>
          <w:szCs w:val="21"/>
        </w:rPr>
        <w:t>Consideraciones del proponente</w:t>
      </w:r>
    </w:p>
    <w:p w14:paraId="6B9EF5C6" w14:textId="77777777" w:rsidR="00ED70DC" w:rsidRPr="005B2B99" w:rsidRDefault="00ED70DC" w:rsidP="00ED70DC">
      <w:pPr>
        <w:jc w:val="both"/>
        <w:rPr>
          <w:rFonts w:ascii="Abadi" w:hAnsi="Abadi"/>
          <w:sz w:val="21"/>
          <w:szCs w:val="21"/>
        </w:rPr>
      </w:pPr>
    </w:p>
    <w:p w14:paraId="4C479CDF" w14:textId="77777777" w:rsidR="00ED70DC" w:rsidRPr="005B2B99" w:rsidRDefault="00ED70DC" w:rsidP="00ED70DC">
      <w:pPr>
        <w:pStyle w:val="Textoindependiente"/>
        <w:spacing w:line="360" w:lineRule="auto"/>
        <w:ind w:firstLine="708"/>
        <w:rPr>
          <w:rFonts w:ascii="Abadi" w:hAnsi="Abadi"/>
          <w:b w:val="0"/>
          <w:bCs w:val="0"/>
          <w:sz w:val="21"/>
          <w:szCs w:val="21"/>
        </w:rPr>
      </w:pPr>
      <w:r w:rsidRPr="005B2B99">
        <w:rPr>
          <w:rFonts w:ascii="Abadi" w:hAnsi="Abadi"/>
          <w:b w:val="0"/>
          <w:bCs w:val="0"/>
          <w:sz w:val="21"/>
          <w:szCs w:val="21"/>
        </w:rPr>
        <w:t>En las consideraciones expuestas por el proponente se refiere lo siguiente:</w:t>
      </w:r>
    </w:p>
    <w:p w14:paraId="7259FF3C"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…El inmueble donde se ubica el Nou camp, también conocido como Estadio León, fue adquirido por la asociación civil mediante compraventa que celebró con Gobierno del Estado de Guanajuato, el 10 de junio de 1965, ante la fe del notario público 12, licenciado Luis Ernesto Aranda, de la ciudad de León.</w:t>
      </w:r>
    </w:p>
    <w:p w14:paraId="01A1940A"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Diversos testimonios de los fundadores y adquirentes de palcos y plateas, que se han recogido en notas periodísticas, señalan que fueron aportados recursos públicos para concretar la construcción del estadio, lo que quedó como beneficio directo a favor de la asociación civil, como propietaria del inmueble.</w:t>
      </w:r>
    </w:p>
    <w:p w14:paraId="2EB90532"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La superficie original adquirida por la asociación civil Club Social y Deportivo León, era de 91,234 noventa y un mil doscientos treinta y cuatro metros cuadrados. </w:t>
      </w:r>
    </w:p>
    <w:p w14:paraId="0B092689"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Por afectaciones que sufrió por la construcción en su momento de la avenida Olimpo y los bulevares Adolfo López Mateos y Vasco de Quiroga, en el año 1999, la superficie se redujo a 70,387.03 metros cuadrados, que a su vez se integraban por dos fracciones, una de 54,189.30 metros cuadrados, y otra de 16,197.73 metros cuadrados. </w:t>
      </w:r>
    </w:p>
    <w:p w14:paraId="79180CCD"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En el año 1986 el equipo León tras una mala temporada, descendió a segunda división, generando problemas económicos en su administración. </w:t>
      </w:r>
    </w:p>
    <w:p w14:paraId="2AB0116B"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lastRenderedPageBreak/>
        <w:t xml:space="preserve">En 1989 se crea una sociedad anónima para a través de esta llevar a cabo el manejo y operación del equipo, conservándose el inmueble dentro del patrimonio de la asociación civil Club Social y Deportivo León. </w:t>
      </w:r>
    </w:p>
    <w:p w14:paraId="3F98F82F"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En la década de los 90´s noventas se da la llegada de múltiples presidentes del equipo, que en cortos periodos venden sus derechos, por no ser sostenible y redituable económicamente la inversión, por los resultados desfavorables que tuvo el conjunto verde esmeralda en aquellos años. </w:t>
      </w:r>
    </w:p>
    <w:p w14:paraId="6A75F365"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Uno de estos dueños, es Roberto Zermeño (Padre), quién vende sus derechos a menos de 5 años de haberlos adquirido, y al paso de 6 años vuelve a comprarlos nuevamente, a finales de la década de los 90´s, en medio de dificultades económicas que lo orillan a buscar rápidamente comprador.</w:t>
      </w:r>
    </w:p>
    <w:p w14:paraId="4A075F1B"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Esta segunda adquisición se llevó a cabo a través de la sociedad mercantil denominada “</w:t>
      </w:r>
      <w:proofErr w:type="spellStart"/>
      <w:r w:rsidRPr="005B2B99">
        <w:rPr>
          <w:rFonts w:ascii="Abadi" w:hAnsi="Abadi"/>
          <w:b w:val="0"/>
          <w:bCs w:val="0"/>
          <w:sz w:val="21"/>
          <w:szCs w:val="21"/>
        </w:rPr>
        <w:t>Futt</w:t>
      </w:r>
      <w:proofErr w:type="spellEnd"/>
      <w:r w:rsidRPr="005B2B99">
        <w:rPr>
          <w:rFonts w:ascii="Abadi" w:hAnsi="Abadi"/>
          <w:b w:val="0"/>
          <w:bCs w:val="0"/>
          <w:sz w:val="21"/>
          <w:szCs w:val="21"/>
        </w:rPr>
        <w:t xml:space="preserve"> León”, Sociedad Anónima de Capital Variable, constituida el 28 de julio de 1999, en escritura pública otorgada ante la fe del notario público número 73, licenciado Ernesto Arrache Hernández. </w:t>
      </w:r>
    </w:p>
    <w:p w14:paraId="17D85A7D"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En esas circunstancias adversas, y a falta de encontrar comprador, a poco más de un año de haber adquirido nuevamente el equipo, el 26 de septiembre del año 2000, Roberto Zermeño celebró con el municipio de León, contrato de fideicomiso, mediante el cual ofrece entregar al municipio el inmueble del estadio en forma irrevocable e incorporar al fideicomiso por tres años los derechos del certificado de afiliación o franquicia expedido por la Federación Mexicana de Futbol, trasladando la responsabilidad de invertir y cubrir los gastos ordinarios, a la entidad fiduciaria, </w:t>
      </w:r>
      <w:r w:rsidRPr="005B2B99">
        <w:rPr>
          <w:rFonts w:ascii="Abadi" w:hAnsi="Abadi"/>
          <w:b w:val="0"/>
          <w:bCs w:val="0"/>
          <w:sz w:val="21"/>
          <w:szCs w:val="21"/>
        </w:rPr>
        <w:t xml:space="preserve">cuyos honorarios se pactó fueran a cargo y por cuenta del municipio de León, reservándose Zermeño el uso, disfrute y aprovechamientos del certificado de afiliación. </w:t>
      </w:r>
    </w:p>
    <w:p w14:paraId="6214326B"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Adicionalmente, Roberto Zermeño logró que entre las cláusulas del fideicomiso se estableciera que el municipio aceptaba permitirle dividir el inmueble, reservándose para él, poco más de 10,360 (diez mil trescientos sesenta metros cuadrados), con la condición además, de que se le concedería cambio de uso de suelo, para establecerse como uso comercial, y de esta manera darle plusvalía y vender esa fracción, lo que ocurrió y corresponde al espacio en que se construyó la Plaza </w:t>
      </w:r>
      <w:proofErr w:type="spellStart"/>
      <w:r w:rsidRPr="005B2B99">
        <w:rPr>
          <w:rFonts w:ascii="Abadi" w:hAnsi="Abadi"/>
          <w:b w:val="0"/>
          <w:bCs w:val="0"/>
          <w:sz w:val="21"/>
          <w:szCs w:val="21"/>
        </w:rPr>
        <w:t>Stadium</w:t>
      </w:r>
      <w:proofErr w:type="spellEnd"/>
      <w:r w:rsidRPr="005B2B99">
        <w:rPr>
          <w:rFonts w:ascii="Abadi" w:hAnsi="Abadi"/>
          <w:b w:val="0"/>
          <w:bCs w:val="0"/>
          <w:sz w:val="21"/>
          <w:szCs w:val="21"/>
        </w:rPr>
        <w:t>.</w:t>
      </w:r>
    </w:p>
    <w:p w14:paraId="3BDF17E0"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Además de solicitar Roberto Zermeño apoyo económico al municipio para cubrir los impuestos por concepto de “espectáculos y festejos públicos.” </w:t>
      </w:r>
    </w:p>
    <w:p w14:paraId="78A3C084"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Una vez cumplido el plazo de 3 años en que estaría incorporado el certificado de afiliación del equipo de futbol León, al fideicomiso, nuevamente hubo una serie de compraventas en corto plazo. </w:t>
      </w:r>
    </w:p>
    <w:p w14:paraId="3D1D877B"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Estando vigente el contrato de fideicomiso, en lo que se ha considerado un “error claro y evidente”, la administración municipal encabezada por el fallecido presidente municipal de León, Vicente Guerrero Reynoso, decidió extinguir el fideicomiso y escriturar el estadio, a nombre del municipio. </w:t>
      </w:r>
    </w:p>
    <w:p w14:paraId="30E35985"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Tal situación provocó que Roberto Zermeño y Héctor González demandaran el incumplimiento del contrato de fideicomiso, y obtuviera fallos judiciales favorables que ordenaron le fuera devuelta la propiedad del estadio, que había sido fideicomitido. </w:t>
      </w:r>
    </w:p>
    <w:p w14:paraId="1CEE0302"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La demanda inició en el año 2011, contra el municipio de León, que </w:t>
      </w:r>
      <w:r w:rsidRPr="005B2B99">
        <w:rPr>
          <w:rFonts w:ascii="Abadi" w:hAnsi="Abadi"/>
          <w:b w:val="0"/>
          <w:bCs w:val="0"/>
          <w:sz w:val="21"/>
          <w:szCs w:val="21"/>
        </w:rPr>
        <w:lastRenderedPageBreak/>
        <w:t xml:space="preserve">bajo diferentes administraciones perdió, sucesivamente, en todas las instancias, hasta llegar el año 2018, en donde, después de varios años de litigio, la resolución final y definitiva fue emitida por la Primera Sala de la Suprema Corte de Justicia de la Nación, a favor de Roberto Zermeño y Héctor González, desechándose el amparo solicitado por el municipio y ratificando el fallo del Tribunal Colegiado del Décimo Sexto Circuito en favor de Zermeño y González, donde:  “Se condena al municipio de León, Guanajuato, a devolver a la parte actora el inmueble fideicomitido, en el que se encuentran comprendidas las edificaciones del estadio de futbol Nou Camp, de esta ciudad, área de estacionamiento, oficinas e instalaciones, lo que deberá hacer en el término de treinta días naturales, contados a partir de que la presente resolución sea ejecutable”. </w:t>
      </w:r>
    </w:p>
    <w:p w14:paraId="71F62656"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Por otra parte, el equipo fue adquirido por Jesús Martínez Patiño, identificado públicamente como “Grupo Pachuca”, por ser originario de esa ciudad, del Estado de Hidalgo. </w:t>
      </w:r>
    </w:p>
    <w:p w14:paraId="0B299D71"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Ante la situación en que la propiedad del estadio fue reconocida a favor de Roberto Zermeño y Héctor González, y el equipo por otra parte le pertenece al empresario hidalguense, en el año 2021, este último anunció que había llegado a acuerdos con los primeros, para comprar el estadio. </w:t>
      </w:r>
    </w:p>
    <w:p w14:paraId="5689B69D"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Hace unos días en voz del empresario Jesús Martínez se ha conocido públicamente que, para la compra del estadio, recibió un préstamo de $230´000,000.00 (doscientos treinta millones de pesos), por parte del Gobierno del Estado de Guanajuato, a través de la sociedad mercantil de su propiedad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 S.A. de C.V. </w:t>
      </w:r>
    </w:p>
    <w:p w14:paraId="7C2F9892"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Sin dar una explicación única y creíble sobre este préstamo, en que funcionarios de Gobierno del Estado han señalado diverso origen del monto prestado, se hace necesario requerir información al respecto, por parte de este Congreso.</w:t>
      </w:r>
    </w:p>
    <w:p w14:paraId="48FD1CB0"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Aunque se intente explicar que el préstamo tiene justificación considerando que existe una afición al equipo León, de casi 5 millones de personas, o que se generan 7,534 empleos en torno de esa actividad deportiva, ninguno de estos argumentos está por encima de la responsabilidad que se tiene en el manejo de recursos públicos, que se relaciona directamente con el principio de legalidad, esto es, que el préstamo debe sustentarse en facultades expresas que autoricen o permitan realizar este tipo de empréstitos, de los recursos públicos. </w:t>
      </w:r>
    </w:p>
    <w:p w14:paraId="31426B53"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De múltiples obligaciones que podemos señalar tienen los funcionarios públicos, en este caso específico resulta de especial relevancia y aplicación particular, la Ley para el Ejercicio y Control de los Recursos Públicos para el Estado y los Municipios de Guanajuato. </w:t>
      </w:r>
    </w:p>
    <w:p w14:paraId="5C1C0B65"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El artículo 55 de esta Ley en su párrafo cuarto establece que los ahorros presupuestarios que se tengan como resultado de la aplicación de lineamientos generales de racionalidad, austeridad y disciplina presupuestal “deberán destinarse conforme a lo previsto en el artículo 59, segundo párrafo de esta Ley”. </w:t>
      </w:r>
    </w:p>
    <w:p w14:paraId="3AEDFD08"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Es así que el artículo 59 de esta Ley establece el destino de los ahorros presupuestarios, señalando: </w:t>
      </w:r>
    </w:p>
    <w:p w14:paraId="5710DF7E"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“se destinarán en primer término a corregir desviaciones del balance presupuestario de recursos disponibles negativo, y en segundo lugar a programas prioritarios o a gastos de inversión de conformidad </w:t>
      </w:r>
      <w:r w:rsidRPr="005B2B99">
        <w:rPr>
          <w:rFonts w:ascii="Abadi" w:hAnsi="Abadi"/>
          <w:b w:val="0"/>
          <w:bCs w:val="0"/>
          <w:sz w:val="21"/>
          <w:szCs w:val="21"/>
        </w:rPr>
        <w:lastRenderedPageBreak/>
        <w:t>con las reglas de procedimiento que para el efecto se expidan.”</w:t>
      </w:r>
    </w:p>
    <w:p w14:paraId="3D5AB878"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Esto es, ningún ahorro presupuestario puede ser destinado a préstamo, porque en todo caso debe servir para corregir desviaciones del balance, para programas prioritarios o para gastos de inversión, y en ninguno de estos aspectos se corresponde un empréstito, aunque se señale que es con garantía hipotecaria. </w:t>
      </w:r>
    </w:p>
    <w:p w14:paraId="5C63A94F"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Es claro que existe una violación a la Ley para el Ejercicio y Control de los Recursos Públicos para el Estado y los Municipios de Guanajuato, y consecuentemente este Pleno debe actuar para que se sancione a los funcionarios que autorizaron el préstamo de $230´000,000.00 (doscientos treinta millones de pesos). </w:t>
      </w:r>
    </w:p>
    <w:p w14:paraId="7663341B"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Por otra parte, del contenido de la escritura pública 10,136 del tomo 224, del protocolo del notario público número 27, de la ciudad de León, Guanajuato, licenciado Mariano Hernández Aguado, en que consta el acto mediante el que se entregó la cantidad de $230´000,000.00 (doscientos treinta millones de pesos) a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 mediante un eufemismo el acto jurídico es descrito como “Convenio de apoyo económico recuperable con interés y garantía hipotecaria”, lo que no parece una casualidad, que se haya evitado señalarse en alguna forma jurídica de acuerdo a la naturaleza del acto, que tiene toda la característica de consistir desde un punto de vista mercantil en crédito hipotecario o un crédito simple con garantía hipotecaria, y desde la materia civil, en un mutuo con interés, etc.</w:t>
      </w:r>
    </w:p>
    <w:p w14:paraId="56D2EC0A"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Precisamente sobre lo convenido respecto al interés debe hacerse la observación de que al fijarse en 6% (seis por ciento), es coincidente con el llamado interés legal previsto en </w:t>
      </w:r>
      <w:r w:rsidRPr="005B2B99">
        <w:rPr>
          <w:rFonts w:ascii="Abadi" w:hAnsi="Abadi"/>
          <w:b w:val="0"/>
          <w:bCs w:val="0"/>
          <w:sz w:val="21"/>
          <w:szCs w:val="21"/>
        </w:rPr>
        <w:t xml:space="preserve">el artículo 1570 del Código Civil para el Estado de Guanajuato. </w:t>
      </w:r>
    </w:p>
    <w:p w14:paraId="74B61BC3"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Sin embargo, el interés legal es definido en el artículo 1570 mencionado, como el que se actualiza a falta de pago puntual, es decir, está fijado en 6% como una consecuencia en caso de incumplimiento. </w:t>
      </w:r>
    </w:p>
    <w:p w14:paraId="095409C5"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Por otra parte, el artículo 1895 del mismo Código Civil, que está dentro del capítulo denominado “Del mutuo con interés”, distingue entre el interés legal y el interés convencional, siendo este último el que acuerden las partes, con la restricción de que no debe exceder los montos fijados en el sistema financiero, es decir, que en el caso específico del acto mediante el que se prestaron $230´000,000.00 (doscientos treinta millones de pesos) a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 no puede intentar engañarse con el tema de que se fijó a tasa de interés legal, porque como ya se ha precisado y dejado claro, esa es la que aplica cuando existe incumplimiento, a menos que se reconozca que la intención es solo aplicar interés si se incumple en los pagos, por lo que como tasa que se fijó en ese monto de 6% (seis por ciento), es un interés convencional, que pudiendo fijarse con identidad a las tasas del sistema financiero, se fijó significativamente por debajo de estas, por decisión y voluntad del Secretario de Finanzas, en beneficio de la empresa </w:t>
      </w:r>
      <w:proofErr w:type="spellStart"/>
      <w:r w:rsidRPr="005B2B99">
        <w:rPr>
          <w:rFonts w:ascii="Abadi" w:hAnsi="Abadi"/>
          <w:b w:val="0"/>
          <w:bCs w:val="0"/>
          <w:sz w:val="21"/>
          <w:szCs w:val="21"/>
        </w:rPr>
        <w:t>Fieracapital</w:t>
      </w:r>
      <w:proofErr w:type="spellEnd"/>
      <w:r w:rsidRPr="005B2B99">
        <w:rPr>
          <w:rFonts w:ascii="Abadi" w:hAnsi="Abadi"/>
          <w:b w:val="0"/>
          <w:bCs w:val="0"/>
          <w:sz w:val="21"/>
          <w:szCs w:val="21"/>
        </w:rPr>
        <w:t xml:space="preserve"> inmobiliaria.</w:t>
      </w:r>
    </w:p>
    <w:p w14:paraId="78077CD7"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 xml:space="preserve">Situación que debe ser evaluada como la probable comisión del delito de uso ilícito de atribuciones y facultades, previsto en la fracción III del artículo 253-b del Código Penal del Estado de Guanajuato, que se comete por quien teniendo a su cargo fondos públicos, les da una aplicación distinta de aquella a que están destinados, que como ya se ha analizado y explicado, en los términos de la Ley para el Ejercicio y </w:t>
      </w:r>
      <w:r w:rsidRPr="005B2B99">
        <w:rPr>
          <w:rFonts w:ascii="Abadi" w:hAnsi="Abadi"/>
          <w:b w:val="0"/>
          <w:bCs w:val="0"/>
          <w:sz w:val="21"/>
          <w:szCs w:val="21"/>
        </w:rPr>
        <w:lastRenderedPageBreak/>
        <w:t>Control de los Recursos Públicos para el Estado y los Municipios de Guanajuato, no existe forma de haber destinado ahorros</w:t>
      </w:r>
      <w:r w:rsidRPr="005B2B99">
        <w:rPr>
          <w:rFonts w:ascii="Abadi" w:hAnsi="Abadi"/>
          <w:sz w:val="21"/>
          <w:szCs w:val="21"/>
        </w:rPr>
        <w:t xml:space="preserve"> </w:t>
      </w:r>
      <w:r w:rsidRPr="005B2B99">
        <w:rPr>
          <w:rFonts w:ascii="Abadi" w:hAnsi="Abadi"/>
          <w:b w:val="0"/>
          <w:bCs w:val="0"/>
          <w:sz w:val="21"/>
          <w:szCs w:val="21"/>
        </w:rPr>
        <w:t xml:space="preserve">presupuestarios para préstamo a un particular. </w:t>
      </w:r>
    </w:p>
    <w:p w14:paraId="524D3FBD" w14:textId="77777777" w:rsidR="00ED70DC" w:rsidRPr="005B2B99" w:rsidRDefault="00ED70DC" w:rsidP="00ED70DC">
      <w:pPr>
        <w:pStyle w:val="Textoindependiente"/>
        <w:spacing w:before="188"/>
        <w:ind w:left="709" w:right="161"/>
        <w:rPr>
          <w:rFonts w:ascii="Abadi" w:hAnsi="Abadi"/>
          <w:b w:val="0"/>
          <w:bCs w:val="0"/>
          <w:sz w:val="21"/>
          <w:szCs w:val="21"/>
        </w:rPr>
      </w:pPr>
      <w:r w:rsidRPr="005B2B99">
        <w:rPr>
          <w:rFonts w:ascii="Abadi" w:hAnsi="Abadi"/>
          <w:b w:val="0"/>
          <w:bCs w:val="0"/>
          <w:sz w:val="21"/>
          <w:szCs w:val="21"/>
        </w:rPr>
        <w:t>Así mismo, la situación descrita podría configurar la Falta administrativa grave de Servidor Público, consistente en desvío de recursos públicos, conforme al artículo 54 de la Ley de Responsabilidades Administrativas para el Estado de Guanajuato.</w:t>
      </w:r>
    </w:p>
    <w:p w14:paraId="78930468" w14:textId="77777777" w:rsidR="00ED70DC" w:rsidRPr="005B2B99" w:rsidRDefault="00ED70DC" w:rsidP="00ED70DC">
      <w:pPr>
        <w:pStyle w:val="Textoindependiente"/>
        <w:spacing w:before="188"/>
        <w:ind w:left="709" w:right="161"/>
        <w:rPr>
          <w:rFonts w:ascii="Abadi" w:hAnsi="Abadi"/>
          <w:b w:val="0"/>
          <w:bCs w:val="0"/>
          <w:sz w:val="21"/>
          <w:szCs w:val="21"/>
        </w:rPr>
      </w:pPr>
    </w:p>
    <w:p w14:paraId="3B1D0650" w14:textId="77777777" w:rsidR="00ED70DC" w:rsidRPr="005B2B99" w:rsidRDefault="00ED70DC" w:rsidP="005B68E6">
      <w:pPr>
        <w:numPr>
          <w:ilvl w:val="0"/>
          <w:numId w:val="30"/>
        </w:numPr>
        <w:jc w:val="both"/>
        <w:rPr>
          <w:rFonts w:ascii="Abadi" w:hAnsi="Abadi"/>
          <w:b/>
          <w:bCs/>
          <w:sz w:val="21"/>
          <w:szCs w:val="21"/>
        </w:rPr>
      </w:pPr>
      <w:r w:rsidRPr="005B2B99">
        <w:rPr>
          <w:rFonts w:ascii="Abadi" w:hAnsi="Abadi"/>
          <w:b/>
          <w:bCs/>
          <w:sz w:val="21"/>
          <w:szCs w:val="21"/>
        </w:rPr>
        <w:t>Consideraciones de la Comisión</w:t>
      </w:r>
    </w:p>
    <w:p w14:paraId="638800B4" w14:textId="77777777" w:rsidR="00ED70DC" w:rsidRPr="005B2B99" w:rsidRDefault="00ED70DC" w:rsidP="00ED70DC">
      <w:pPr>
        <w:spacing w:line="360" w:lineRule="auto"/>
        <w:ind w:firstLine="708"/>
        <w:jc w:val="both"/>
        <w:rPr>
          <w:rFonts w:ascii="Abadi" w:hAnsi="Abadi"/>
          <w:sz w:val="21"/>
          <w:szCs w:val="21"/>
        </w:rPr>
      </w:pPr>
    </w:p>
    <w:p w14:paraId="738FEAD4"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 xml:space="preserve">El objetivo de la propuesta materia del presente dictamen es la formulación de un exhorto al Gobernador del Estado para que revise la actuación del Secretario de Finanzas, Inversión y Administración con relación a la celebración del convenio celebrado con la empresa </w:t>
      </w:r>
      <w:proofErr w:type="spellStart"/>
      <w:r w:rsidRPr="005B2B99">
        <w:rPr>
          <w:rFonts w:ascii="Abadi" w:hAnsi="Abadi"/>
          <w:sz w:val="21"/>
          <w:szCs w:val="21"/>
        </w:rPr>
        <w:t>Fieracapital</w:t>
      </w:r>
      <w:proofErr w:type="spellEnd"/>
      <w:r w:rsidRPr="005B2B99">
        <w:rPr>
          <w:rFonts w:ascii="Abadi" w:hAnsi="Abadi"/>
          <w:sz w:val="21"/>
          <w:szCs w:val="21"/>
        </w:rPr>
        <w:t xml:space="preserve"> inmobiliaria S.A. de C.V.</w:t>
      </w:r>
    </w:p>
    <w:p w14:paraId="7330C75D" w14:textId="77777777" w:rsidR="00ED70DC" w:rsidRPr="005B2B99" w:rsidRDefault="00ED70DC" w:rsidP="00ED70DC">
      <w:pPr>
        <w:ind w:firstLine="708"/>
        <w:jc w:val="both"/>
        <w:rPr>
          <w:rFonts w:ascii="Abadi" w:hAnsi="Abadi"/>
          <w:sz w:val="21"/>
          <w:szCs w:val="21"/>
        </w:rPr>
      </w:pPr>
    </w:p>
    <w:p w14:paraId="315D40D5"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 xml:space="preserve">Al respecto, es de señalar que las facultades de este Poder Legislativo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5B2B99">
          <w:rPr>
            <w:rFonts w:ascii="Abadi" w:hAnsi="Abadi"/>
            <w:sz w:val="21"/>
            <w:szCs w:val="21"/>
          </w:rPr>
          <w:t>la Constitución Política</w:t>
        </w:r>
      </w:smartTag>
      <w:r w:rsidRPr="005B2B99">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w:t>
      </w:r>
    </w:p>
    <w:p w14:paraId="618D0391" w14:textId="77777777" w:rsidR="00ED70DC" w:rsidRPr="005B2B99" w:rsidRDefault="00ED70DC" w:rsidP="00ED70DC">
      <w:pPr>
        <w:ind w:firstLine="708"/>
        <w:jc w:val="both"/>
        <w:rPr>
          <w:rFonts w:ascii="Abadi" w:hAnsi="Abadi"/>
          <w:sz w:val="21"/>
          <w:szCs w:val="21"/>
        </w:rPr>
      </w:pPr>
    </w:p>
    <w:p w14:paraId="79CEC9DC"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 xml:space="preserve">Por su parte, el artículo 116 de la Constitución Política de los Estados Unidos Mexicanos señala que las legislaturas de los estados contarán con entidades estatales de </w:t>
      </w:r>
      <w:r w:rsidRPr="005B2B99">
        <w:rPr>
          <w:rFonts w:ascii="Abadi" w:hAnsi="Abadi"/>
          <w:sz w:val="21"/>
          <w:szCs w:val="21"/>
        </w:rPr>
        <w:t xml:space="preserve">fiscalización, las cuales deberán fiscalizar las acciones de Estados y Municipios en materia de fondos, recursos locales y deuda pública. </w:t>
      </w:r>
    </w:p>
    <w:p w14:paraId="0D22E440" w14:textId="77777777" w:rsidR="00ED70DC" w:rsidRPr="005B2B99" w:rsidRDefault="00ED70DC" w:rsidP="00ED70DC">
      <w:pPr>
        <w:ind w:firstLine="708"/>
        <w:jc w:val="both"/>
        <w:rPr>
          <w:rFonts w:ascii="Abadi" w:hAnsi="Abadi"/>
          <w:sz w:val="21"/>
          <w:szCs w:val="21"/>
        </w:rPr>
      </w:pPr>
    </w:p>
    <w:p w14:paraId="0E9B3150" w14:textId="77777777" w:rsidR="00ED70DC" w:rsidRPr="005B2B99" w:rsidRDefault="00ED70DC" w:rsidP="00ED70DC">
      <w:pPr>
        <w:ind w:firstLine="708"/>
        <w:jc w:val="both"/>
        <w:rPr>
          <w:rFonts w:ascii="Abadi" w:hAnsi="Abadi"/>
          <w:sz w:val="21"/>
          <w:szCs w:val="21"/>
        </w:rPr>
      </w:pPr>
    </w:p>
    <w:p w14:paraId="72BF772B"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En tal sentido, la Auditoría Superior del Estado llevó a cabo la revisión de la cuenta pública del Poder Ejecutivo del Estado correspondiente al ejercicio fiscal del año 2021, concluyendo con el informe de resultados que se remitió a este Congreso del Estado.</w:t>
      </w:r>
    </w:p>
    <w:p w14:paraId="364B93CC" w14:textId="77777777" w:rsidR="00ED70DC" w:rsidRPr="005B2B99" w:rsidRDefault="00ED70DC" w:rsidP="00ED70DC">
      <w:pPr>
        <w:ind w:firstLine="708"/>
        <w:jc w:val="both"/>
        <w:rPr>
          <w:rFonts w:ascii="Abadi" w:hAnsi="Abadi"/>
          <w:sz w:val="21"/>
          <w:szCs w:val="21"/>
        </w:rPr>
      </w:pPr>
    </w:p>
    <w:p w14:paraId="0C71D799"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En su momento esta Comisión analizó el referido informe de resultados. Para tal efecto, se solicitó al Auditor Superior del Estado la explicación sobre diversos aspectos, entre los cuales se abordó el convenio materia de la propuesta de punto de acuerdo que se analiza.</w:t>
      </w:r>
    </w:p>
    <w:p w14:paraId="0668BDEF" w14:textId="77777777" w:rsidR="00ED70DC" w:rsidRPr="005B2B99" w:rsidRDefault="00ED70DC" w:rsidP="00ED70DC">
      <w:pPr>
        <w:ind w:firstLine="708"/>
        <w:jc w:val="both"/>
        <w:rPr>
          <w:rFonts w:ascii="Abadi" w:hAnsi="Abadi"/>
          <w:sz w:val="21"/>
          <w:szCs w:val="21"/>
        </w:rPr>
      </w:pPr>
    </w:p>
    <w:p w14:paraId="7B4B39E2"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El Auditor Superior del Estado informó los trabajos de auditoría efectuados por el Órgano Técnico para la revisión del citado convenio en la cuenta pública del ejercicio fiscal 2021, concluyendo que el mismo cumplió con la normatividad jurídica aplicable, razón por la cual no fue materia de observación para incluir en el informe de resultados correspondiente. En esos términos, atendiendo al trabajo realizado por el Órgano Técnico y en respeto a su autonomía, esta Comisión aprobó por mayoría el dictamen relativo al citado informe de resultados. Dicho informe se aprobó por el Pleno del Congreso el 25 de mayo del año en curso.</w:t>
      </w:r>
    </w:p>
    <w:p w14:paraId="0FF89EEC" w14:textId="77777777" w:rsidR="00ED70DC" w:rsidRPr="005B2B99" w:rsidRDefault="00ED70DC" w:rsidP="00ED70DC">
      <w:pPr>
        <w:ind w:firstLine="708"/>
        <w:jc w:val="both"/>
        <w:rPr>
          <w:rFonts w:ascii="Abadi" w:hAnsi="Abadi"/>
          <w:sz w:val="21"/>
          <w:szCs w:val="21"/>
        </w:rPr>
      </w:pPr>
    </w:p>
    <w:p w14:paraId="4FF5751D"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Por tal motivo y atendiendo al principio de definitividad, previsto en el artículo 7 de la Ley de Fiscalización Superior del Estado que debe observar la función de fiscalización como un principio rector de la misma, este Poder Legislativo ya emitió el acuerdo correspondiente mediante el cual declaró revisada la cuenta pública del citado ejercicio, dentro de la cual se verificó por parte del Órgano Técnico de este Poder Legislativo el convenio materia del presente dictamen, por lo que dicho asunto ya fue revisado y sancionado por el Congreso del Estado.</w:t>
      </w:r>
    </w:p>
    <w:p w14:paraId="169AA7EA" w14:textId="77777777" w:rsidR="00ED70DC" w:rsidRPr="005B2B99" w:rsidRDefault="00ED70DC" w:rsidP="00ED70DC">
      <w:pPr>
        <w:ind w:firstLine="708"/>
        <w:jc w:val="both"/>
        <w:rPr>
          <w:rFonts w:ascii="Abadi" w:hAnsi="Abadi"/>
          <w:sz w:val="21"/>
          <w:szCs w:val="21"/>
        </w:rPr>
      </w:pPr>
    </w:p>
    <w:p w14:paraId="46286F55" w14:textId="77777777" w:rsidR="00ED70DC" w:rsidRPr="005B2B99" w:rsidRDefault="00ED70DC" w:rsidP="00ED70DC">
      <w:pPr>
        <w:ind w:firstLine="708"/>
        <w:jc w:val="both"/>
        <w:rPr>
          <w:rFonts w:ascii="Abadi" w:hAnsi="Abadi"/>
          <w:sz w:val="21"/>
          <w:szCs w:val="21"/>
        </w:rPr>
      </w:pPr>
      <w:r w:rsidRPr="005B2B99">
        <w:rPr>
          <w:rFonts w:ascii="Abadi" w:hAnsi="Abadi"/>
          <w:sz w:val="21"/>
          <w:szCs w:val="21"/>
        </w:rPr>
        <w:t xml:space="preserve">Por otra parte, de conformidad con los artículos 2 y 24, fracción I, inciso m de la Ley Orgánica del Poder Ejecutivo para el Estado de Guanajuato; 10 de la Ley para el Ejercicio y Control de los Recursos Públicos para el </w:t>
      </w:r>
      <w:r w:rsidRPr="005B2B99">
        <w:rPr>
          <w:rFonts w:ascii="Abadi" w:hAnsi="Abadi"/>
          <w:sz w:val="21"/>
          <w:szCs w:val="21"/>
        </w:rPr>
        <w:lastRenderedPageBreak/>
        <w:t>Estado y los Municipios de Guanajuato; y el Reglamento Interior de la Secretaría de Finanzas, Inversión y Administración, dicha Secretaría cuenta con facultades para la celebración del convenio que nos ocupa.</w:t>
      </w:r>
    </w:p>
    <w:p w14:paraId="1843F9FB" w14:textId="77777777" w:rsidR="00ED70DC" w:rsidRPr="005B2B99" w:rsidRDefault="00ED70DC" w:rsidP="00ED70DC">
      <w:pPr>
        <w:ind w:firstLine="708"/>
        <w:jc w:val="both"/>
        <w:rPr>
          <w:rFonts w:ascii="Abadi" w:hAnsi="Abadi"/>
          <w:sz w:val="21"/>
          <w:szCs w:val="21"/>
        </w:rPr>
      </w:pPr>
    </w:p>
    <w:p w14:paraId="02D9CD75" w14:textId="77777777" w:rsidR="00ED70DC" w:rsidRPr="005B2B99" w:rsidRDefault="00ED70DC" w:rsidP="00ED70DC">
      <w:pPr>
        <w:ind w:firstLine="720"/>
        <w:jc w:val="both"/>
        <w:rPr>
          <w:rFonts w:ascii="Abadi" w:hAnsi="Abadi"/>
          <w:sz w:val="21"/>
          <w:szCs w:val="21"/>
        </w:rPr>
      </w:pPr>
      <w:r w:rsidRPr="005B2B99">
        <w:rPr>
          <w:rFonts w:ascii="Abadi" w:hAnsi="Abadi"/>
          <w:sz w:val="21"/>
          <w:szCs w:val="21"/>
        </w:rPr>
        <w:t>En razón a lo antes señalado y considerando que la celebración del convenio materia de la propuesta de punto de acuerdo que se dictamina ya fue analizado y sancionado por este Poder Legislativo en la cuenta del Poder Ejecutivo del Estado, correspondiente al ejercicio fiscal 2021, la misma se determina improcedente.</w:t>
      </w:r>
    </w:p>
    <w:p w14:paraId="78ABA89D" w14:textId="77777777" w:rsidR="00ED70DC" w:rsidRPr="005B2B99" w:rsidRDefault="00ED70DC" w:rsidP="00ED70DC">
      <w:pPr>
        <w:ind w:firstLine="720"/>
        <w:jc w:val="both"/>
        <w:rPr>
          <w:rFonts w:ascii="Abadi" w:hAnsi="Abadi"/>
          <w:sz w:val="21"/>
          <w:szCs w:val="21"/>
        </w:rPr>
      </w:pPr>
    </w:p>
    <w:p w14:paraId="6C708832" w14:textId="77777777" w:rsidR="00ED70DC" w:rsidRPr="005B2B99" w:rsidRDefault="00ED70DC" w:rsidP="00ED70DC">
      <w:pPr>
        <w:pStyle w:val="Textoindependiente"/>
        <w:ind w:firstLine="708"/>
        <w:rPr>
          <w:rFonts w:ascii="Abadi" w:hAnsi="Abadi"/>
          <w:b w:val="0"/>
          <w:bCs w:val="0"/>
          <w:sz w:val="21"/>
          <w:szCs w:val="21"/>
        </w:rPr>
      </w:pPr>
      <w:r w:rsidRPr="005B2B99">
        <w:rPr>
          <w:rFonts w:ascii="Abadi" w:hAnsi="Abadi"/>
          <w:b w:val="0"/>
          <w:bCs w:val="0"/>
          <w:sz w:val="21"/>
          <w:szCs w:val="21"/>
        </w:rPr>
        <w:t xml:space="preserve">Por lo expuesto y con fundamento en el artículo 204 de </w:t>
      </w:r>
      <w:smartTag w:uri="urn:schemas-microsoft-com:office:smarttags" w:element="PersonName">
        <w:smartTagPr>
          <w:attr w:name="ProductID" w:val="la Ley Org￡nica"/>
        </w:smartTagPr>
        <w:r w:rsidRPr="005B2B99">
          <w:rPr>
            <w:rFonts w:ascii="Abadi" w:hAnsi="Abadi"/>
            <w:b w:val="0"/>
            <w:bCs w:val="0"/>
            <w:sz w:val="21"/>
            <w:szCs w:val="21"/>
          </w:rPr>
          <w:t>la Ley Orgánica</w:t>
        </w:r>
      </w:smartTag>
      <w:r w:rsidRPr="005B2B99">
        <w:rPr>
          <w:rFonts w:ascii="Abadi" w:hAnsi="Abadi"/>
          <w:b w:val="0"/>
          <w:bCs w:val="0"/>
          <w:sz w:val="21"/>
          <w:szCs w:val="21"/>
        </w:rPr>
        <w:t xml:space="preserve"> del Poder Legislativo del Estado, sometemos a la consideración de </w:t>
      </w:r>
      <w:smartTag w:uri="urn:schemas-microsoft-com:office:smarttags" w:element="PersonName">
        <w:smartTagPr>
          <w:attr w:name="ProductID" w:val="la Asamblea"/>
        </w:smartTagPr>
        <w:r w:rsidRPr="005B2B99">
          <w:rPr>
            <w:rFonts w:ascii="Abadi" w:hAnsi="Abadi"/>
            <w:b w:val="0"/>
            <w:bCs w:val="0"/>
            <w:sz w:val="21"/>
            <w:szCs w:val="21"/>
          </w:rPr>
          <w:t>la Asamblea</w:t>
        </w:r>
      </w:smartTag>
      <w:r w:rsidRPr="005B2B99">
        <w:rPr>
          <w:rFonts w:ascii="Abadi" w:hAnsi="Abadi"/>
          <w:b w:val="0"/>
          <w:bCs w:val="0"/>
          <w:sz w:val="21"/>
          <w:szCs w:val="21"/>
        </w:rPr>
        <w:t>, la aprobación del siguiente:</w:t>
      </w:r>
    </w:p>
    <w:p w14:paraId="3425CBFE" w14:textId="77777777" w:rsidR="00ED70DC" w:rsidRPr="005B2B99" w:rsidRDefault="00ED70DC" w:rsidP="00ED70DC">
      <w:pPr>
        <w:pStyle w:val="Textoindependiente"/>
        <w:ind w:firstLine="708"/>
        <w:rPr>
          <w:rFonts w:ascii="Abadi" w:hAnsi="Abadi"/>
          <w:sz w:val="21"/>
          <w:szCs w:val="21"/>
        </w:rPr>
      </w:pPr>
    </w:p>
    <w:p w14:paraId="23D961C2" w14:textId="77777777" w:rsidR="00ED70DC" w:rsidRPr="00F17F35" w:rsidRDefault="00ED70DC" w:rsidP="00ED70DC">
      <w:pPr>
        <w:pStyle w:val="Textoindependiente"/>
        <w:jc w:val="center"/>
        <w:rPr>
          <w:rFonts w:ascii="Abadi" w:hAnsi="Abadi"/>
          <w:bCs w:val="0"/>
          <w:iCs/>
          <w:sz w:val="21"/>
          <w:szCs w:val="21"/>
        </w:rPr>
      </w:pPr>
      <w:r w:rsidRPr="00F17F35">
        <w:rPr>
          <w:rFonts w:ascii="Abadi" w:hAnsi="Abadi"/>
          <w:bCs w:val="0"/>
          <w:iCs/>
          <w:sz w:val="21"/>
          <w:szCs w:val="21"/>
        </w:rPr>
        <w:t>A c u e r d o</w:t>
      </w:r>
    </w:p>
    <w:p w14:paraId="65881A54" w14:textId="77777777" w:rsidR="00ED70DC" w:rsidRPr="00F17F35" w:rsidRDefault="00ED70DC" w:rsidP="00ED70DC">
      <w:pPr>
        <w:pStyle w:val="Textoindependiente"/>
        <w:jc w:val="center"/>
        <w:rPr>
          <w:rFonts w:ascii="Abadi" w:hAnsi="Abadi"/>
          <w:bCs w:val="0"/>
          <w:iCs/>
          <w:sz w:val="21"/>
          <w:szCs w:val="21"/>
        </w:rPr>
      </w:pPr>
    </w:p>
    <w:p w14:paraId="3166F3F7" w14:textId="77777777" w:rsidR="00ED70DC" w:rsidRPr="00F019EE" w:rsidRDefault="00ED70DC" w:rsidP="00ED70DC">
      <w:pPr>
        <w:ind w:firstLine="708"/>
        <w:jc w:val="both"/>
        <w:rPr>
          <w:rFonts w:ascii="Abadi" w:hAnsi="Abadi" w:cs="Arial"/>
          <w:sz w:val="21"/>
          <w:szCs w:val="21"/>
        </w:rPr>
      </w:pPr>
      <w:r w:rsidRPr="00F019EE">
        <w:rPr>
          <w:rFonts w:ascii="Abadi" w:hAnsi="Abadi" w:cs="Arial"/>
          <w:b/>
          <w:iCs/>
          <w:sz w:val="21"/>
          <w:szCs w:val="21"/>
        </w:rPr>
        <w:t>Único.</w:t>
      </w:r>
      <w:r w:rsidRPr="00F019EE">
        <w:rPr>
          <w:rFonts w:ascii="Abadi" w:hAnsi="Abadi" w:cs="Arial"/>
          <w:b/>
          <w:sz w:val="21"/>
          <w:szCs w:val="21"/>
        </w:rPr>
        <w:t xml:space="preserve"> </w:t>
      </w:r>
      <w:r w:rsidRPr="00F019EE">
        <w:rPr>
          <w:rFonts w:ascii="Abadi" w:hAnsi="Abadi" w:cs="Arial"/>
          <w:sz w:val="21"/>
          <w:szCs w:val="21"/>
        </w:rPr>
        <w:t xml:space="preserve">Se determina improcedente </w:t>
      </w:r>
      <w:r w:rsidRPr="00F019EE">
        <w:rPr>
          <w:rFonts w:ascii="Abadi" w:hAnsi="Abadi"/>
          <w:sz w:val="21"/>
          <w:szCs w:val="21"/>
          <w:lang w:val="es-ES_tradnl"/>
        </w:rPr>
        <w:t xml:space="preserve">la propuesta de punto de acuerdo formulada por el diputado Ernesto Alejandro Prieto Gallardo, integrante del Grupo Parlamentario del Partido MORENA, a efecto de a efecto de exhortar al titular del Poder Ejecutivo del Estado para que revise la actuación del Secretario de Finanzas, Inversión y Administración en la celebración del convenio que firmó con la empresa </w:t>
      </w:r>
      <w:proofErr w:type="spellStart"/>
      <w:r w:rsidRPr="00F019EE">
        <w:rPr>
          <w:rFonts w:ascii="Abadi" w:hAnsi="Abadi"/>
          <w:i/>
          <w:iCs/>
          <w:sz w:val="21"/>
          <w:szCs w:val="21"/>
          <w:lang w:val="es-ES_tradnl"/>
        </w:rPr>
        <w:t>Fieracapital</w:t>
      </w:r>
      <w:proofErr w:type="spellEnd"/>
      <w:r w:rsidRPr="00F019EE">
        <w:rPr>
          <w:rFonts w:ascii="Abadi" w:hAnsi="Abadi"/>
          <w:i/>
          <w:iCs/>
          <w:sz w:val="21"/>
          <w:szCs w:val="21"/>
          <w:lang w:val="es-ES_tradnl"/>
        </w:rPr>
        <w:t xml:space="preserve"> inmobiliaria S.A. de C.V.,</w:t>
      </w:r>
      <w:r w:rsidRPr="00F019EE">
        <w:rPr>
          <w:rFonts w:ascii="Abadi" w:hAnsi="Abadi"/>
          <w:sz w:val="21"/>
          <w:szCs w:val="21"/>
          <w:lang w:val="es-ES_tradnl"/>
        </w:rPr>
        <w:t xml:space="preserve"> y se deslinden las responsabilidades a que haya lugar -273/LXV-PPA-</w:t>
      </w:r>
      <w:r w:rsidRPr="00F019EE">
        <w:rPr>
          <w:rFonts w:ascii="Abadi" w:hAnsi="Abadi" w:cs="Arial"/>
          <w:sz w:val="21"/>
          <w:szCs w:val="21"/>
        </w:rPr>
        <w:t>. En consecuencia, se ordena su archivo definitivo.</w:t>
      </w:r>
    </w:p>
    <w:p w14:paraId="55AA1056" w14:textId="77777777" w:rsidR="00ED70DC" w:rsidRPr="00F019EE" w:rsidRDefault="00ED70DC" w:rsidP="00ED70DC">
      <w:pPr>
        <w:ind w:firstLine="708"/>
        <w:jc w:val="both"/>
        <w:rPr>
          <w:rFonts w:ascii="Abadi" w:hAnsi="Abadi" w:cs="Arial"/>
          <w:sz w:val="21"/>
          <w:szCs w:val="21"/>
        </w:rPr>
      </w:pPr>
    </w:p>
    <w:p w14:paraId="7841A9A0" w14:textId="77777777" w:rsidR="00ED70DC" w:rsidRPr="00F019EE" w:rsidRDefault="00ED70DC" w:rsidP="00ED70DC">
      <w:pPr>
        <w:ind w:firstLine="708"/>
        <w:jc w:val="both"/>
        <w:rPr>
          <w:rFonts w:ascii="Abadi" w:hAnsi="Abadi" w:cs="Arial"/>
          <w:sz w:val="21"/>
          <w:szCs w:val="21"/>
        </w:rPr>
      </w:pPr>
      <w:r w:rsidRPr="00F019EE">
        <w:rPr>
          <w:rFonts w:ascii="Abadi" w:hAnsi="Abadi" w:cs="Arial"/>
          <w:sz w:val="21"/>
          <w:szCs w:val="21"/>
        </w:rPr>
        <w:t xml:space="preserve">Comuníquese el presente acuerdo al Secretario General del Congreso de Estado, para los efectos conducentes. </w:t>
      </w:r>
    </w:p>
    <w:p w14:paraId="0A155F08" w14:textId="77777777" w:rsidR="00ED70DC" w:rsidRPr="00F019EE" w:rsidRDefault="00ED70DC" w:rsidP="00ED70DC">
      <w:pPr>
        <w:ind w:firstLine="708"/>
        <w:jc w:val="both"/>
        <w:rPr>
          <w:rFonts w:ascii="Abadi" w:hAnsi="Abadi" w:cs="Arial"/>
          <w:sz w:val="21"/>
          <w:szCs w:val="21"/>
        </w:rPr>
      </w:pPr>
    </w:p>
    <w:p w14:paraId="70EB6BC7" w14:textId="77777777" w:rsidR="00ED70DC" w:rsidRPr="00F019EE" w:rsidRDefault="00ED70DC" w:rsidP="00ED70DC">
      <w:pPr>
        <w:jc w:val="center"/>
        <w:rPr>
          <w:rFonts w:ascii="Abadi" w:hAnsi="Abadi"/>
          <w:b/>
          <w:bCs/>
          <w:sz w:val="21"/>
          <w:szCs w:val="21"/>
          <w:lang w:eastAsia="x-none"/>
        </w:rPr>
      </w:pPr>
      <w:r w:rsidRPr="00F019EE">
        <w:rPr>
          <w:rFonts w:ascii="Abadi" w:hAnsi="Abadi"/>
          <w:b/>
          <w:bCs/>
          <w:sz w:val="21"/>
          <w:szCs w:val="21"/>
          <w:lang w:eastAsia="x-none"/>
        </w:rPr>
        <w:t xml:space="preserve">Guanajuato, </w:t>
      </w:r>
      <w:proofErr w:type="spellStart"/>
      <w:r w:rsidRPr="00F019EE">
        <w:rPr>
          <w:rFonts w:ascii="Abadi" w:hAnsi="Abadi"/>
          <w:b/>
          <w:bCs/>
          <w:sz w:val="21"/>
          <w:szCs w:val="21"/>
          <w:lang w:eastAsia="x-none"/>
        </w:rPr>
        <w:t>Gto</w:t>
      </w:r>
      <w:proofErr w:type="spellEnd"/>
      <w:r w:rsidRPr="00F019EE">
        <w:rPr>
          <w:rFonts w:ascii="Abadi" w:hAnsi="Abadi"/>
          <w:b/>
          <w:bCs/>
          <w:sz w:val="21"/>
          <w:szCs w:val="21"/>
          <w:lang w:eastAsia="x-none"/>
        </w:rPr>
        <w:t>., 19 de junio de 2023</w:t>
      </w:r>
    </w:p>
    <w:p w14:paraId="1292A223" w14:textId="77777777" w:rsidR="00ED70DC" w:rsidRPr="00F019EE" w:rsidRDefault="00ED70DC" w:rsidP="00ED70DC">
      <w:pPr>
        <w:jc w:val="center"/>
        <w:rPr>
          <w:rFonts w:ascii="Abadi" w:hAnsi="Abadi"/>
          <w:b/>
          <w:bCs/>
          <w:sz w:val="21"/>
          <w:szCs w:val="21"/>
          <w:lang w:eastAsia="x-none"/>
        </w:rPr>
      </w:pPr>
      <w:smartTag w:uri="urn:schemas-microsoft-com:office:smarttags" w:element="PersonName">
        <w:smartTagPr>
          <w:attr w:name="ProductID" w:val="La Comisi￳n"/>
        </w:smartTagPr>
        <w:r w:rsidRPr="00F019EE">
          <w:rPr>
            <w:rFonts w:ascii="Abadi" w:hAnsi="Abadi"/>
            <w:b/>
            <w:bCs/>
            <w:sz w:val="21"/>
            <w:szCs w:val="21"/>
            <w:lang w:eastAsia="x-none"/>
          </w:rPr>
          <w:t>La Comisión</w:t>
        </w:r>
      </w:smartTag>
      <w:r w:rsidRPr="00F019EE">
        <w:rPr>
          <w:rFonts w:ascii="Abadi" w:hAnsi="Abadi"/>
          <w:b/>
          <w:bCs/>
          <w:sz w:val="21"/>
          <w:szCs w:val="21"/>
          <w:lang w:eastAsia="x-none"/>
        </w:rPr>
        <w:t xml:space="preserve"> de Hacienda y Fiscalización</w:t>
      </w:r>
    </w:p>
    <w:p w14:paraId="09DBD50E" w14:textId="77777777" w:rsidR="00591933" w:rsidRDefault="00591933" w:rsidP="00ED70DC">
      <w:pPr>
        <w:jc w:val="center"/>
        <w:rPr>
          <w:rFonts w:ascii="Abadi" w:hAnsi="Abadi"/>
          <w:b/>
          <w:sz w:val="21"/>
          <w:szCs w:val="21"/>
          <w:lang w:eastAsia="x-none"/>
        </w:rPr>
      </w:pPr>
    </w:p>
    <w:p w14:paraId="45D3854B" w14:textId="7BEE8E73" w:rsidR="00ED70DC" w:rsidRPr="00F019EE" w:rsidRDefault="00F17F35" w:rsidP="00ED70DC">
      <w:pPr>
        <w:jc w:val="center"/>
        <w:rPr>
          <w:rFonts w:ascii="Abadi" w:hAnsi="Abadi"/>
          <w:sz w:val="21"/>
          <w:szCs w:val="21"/>
          <w:lang w:val="es-MX"/>
        </w:rPr>
      </w:pPr>
      <w:r>
        <w:rPr>
          <w:rFonts w:ascii="Abadi" w:hAnsi="Abadi"/>
          <w:b/>
          <w:sz w:val="21"/>
          <w:szCs w:val="21"/>
          <w:lang w:eastAsia="x-none"/>
        </w:rPr>
        <w:t>D</w:t>
      </w:r>
      <w:r w:rsidR="00ED70DC" w:rsidRPr="00F019EE">
        <w:rPr>
          <w:rFonts w:ascii="Abadi" w:hAnsi="Abadi"/>
          <w:b/>
          <w:sz w:val="21"/>
          <w:szCs w:val="21"/>
          <w:lang w:eastAsia="x-none"/>
        </w:rPr>
        <w:t>iputado Víctor Manuel Zanella Huerta</w:t>
      </w:r>
    </w:p>
    <w:p w14:paraId="494AF79E" w14:textId="5C1D355F" w:rsidR="00ED70DC" w:rsidRPr="00F019EE" w:rsidRDefault="00ED70DC" w:rsidP="00F17F35">
      <w:pPr>
        <w:rPr>
          <w:rFonts w:ascii="Abadi" w:hAnsi="Abadi"/>
          <w:b/>
          <w:sz w:val="21"/>
          <w:szCs w:val="21"/>
          <w:lang w:eastAsia="x-none"/>
        </w:rPr>
      </w:pPr>
      <w:r w:rsidRPr="00F019EE">
        <w:rPr>
          <w:rFonts w:ascii="Abadi" w:hAnsi="Abadi"/>
          <w:b/>
          <w:sz w:val="21"/>
          <w:szCs w:val="21"/>
          <w:lang w:eastAsia="x-none"/>
        </w:rPr>
        <w:t xml:space="preserve">Diputada Ruth Noemí Tiscareño Agoitia      Diputado Miguel Ángel Salim </w:t>
      </w:r>
      <w:proofErr w:type="spellStart"/>
      <w:r w:rsidRPr="00F019EE">
        <w:rPr>
          <w:rFonts w:ascii="Abadi" w:hAnsi="Abadi"/>
          <w:b/>
          <w:sz w:val="21"/>
          <w:szCs w:val="21"/>
          <w:lang w:eastAsia="x-none"/>
        </w:rPr>
        <w:t>Alle</w:t>
      </w:r>
      <w:proofErr w:type="spellEnd"/>
    </w:p>
    <w:p w14:paraId="404B01B0" w14:textId="503430C8" w:rsidR="00ED70DC" w:rsidRPr="00F019EE" w:rsidRDefault="00ED70DC" w:rsidP="00F17F35">
      <w:pPr>
        <w:rPr>
          <w:rFonts w:ascii="Abadi" w:hAnsi="Abadi"/>
          <w:b/>
          <w:sz w:val="21"/>
          <w:szCs w:val="21"/>
          <w:lang w:eastAsia="x-none"/>
        </w:rPr>
      </w:pPr>
      <w:r w:rsidRPr="00F019EE">
        <w:rPr>
          <w:rFonts w:ascii="Abadi" w:hAnsi="Abadi"/>
          <w:b/>
          <w:sz w:val="21"/>
          <w:szCs w:val="21"/>
          <w:lang w:eastAsia="x-none"/>
        </w:rPr>
        <w:t>Diputado José Alfonso Borja Pimentel    Diputada Alma Edwviges Alcaraz Hernández</w:t>
      </w:r>
    </w:p>
    <w:p w14:paraId="188CA3AB" w14:textId="77777777" w:rsidR="00ED70DC" w:rsidRPr="00F019EE" w:rsidRDefault="00ED70DC" w:rsidP="00ED70DC">
      <w:pPr>
        <w:pStyle w:val="Textoindependiente"/>
        <w:jc w:val="center"/>
        <w:rPr>
          <w:rFonts w:ascii="Abadi" w:hAnsi="Abadi"/>
          <w:b w:val="0"/>
          <w:bCs w:val="0"/>
          <w:sz w:val="21"/>
          <w:szCs w:val="21"/>
        </w:rPr>
      </w:pPr>
    </w:p>
    <w:p w14:paraId="52DBF336" w14:textId="2EB106C7" w:rsidR="00762FFA" w:rsidRDefault="00762FFA" w:rsidP="00762FFA">
      <w:pPr>
        <w:jc w:val="both"/>
        <w:rPr>
          <w:rFonts w:ascii="Helvetica" w:hAnsi="Helvetica"/>
          <w:b/>
          <w:bCs/>
          <w:color w:val="333333"/>
          <w:sz w:val="21"/>
          <w:szCs w:val="21"/>
          <w:shd w:val="clear" w:color="auto" w:fill="F9F9F9"/>
        </w:rPr>
      </w:pPr>
      <w:r>
        <w:rPr>
          <w:rFonts w:ascii="Abadi" w:hAnsi="Abadi"/>
          <w:b/>
          <w:bCs/>
          <w:sz w:val="21"/>
          <w:szCs w:val="21"/>
        </w:rPr>
        <w:tab/>
      </w:r>
      <w:r w:rsidRPr="008870D4">
        <w:rPr>
          <w:rFonts w:ascii="Abadi" w:hAnsi="Abadi"/>
          <w:b/>
          <w:bCs/>
          <w:sz w:val="21"/>
          <w:szCs w:val="21"/>
        </w:rPr>
        <w:t xml:space="preserve">- La </w:t>
      </w:r>
      <w:proofErr w:type="gramStart"/>
      <w:r w:rsidRPr="008870D4">
        <w:rPr>
          <w:rFonts w:ascii="Abadi" w:hAnsi="Abadi"/>
          <w:b/>
          <w:bCs/>
          <w:sz w:val="21"/>
          <w:szCs w:val="21"/>
        </w:rPr>
        <w:t>Presidencia.-</w:t>
      </w:r>
      <w:proofErr w:type="gramEnd"/>
      <w:r>
        <w:rPr>
          <w:rFonts w:ascii="Abadi" w:hAnsi="Abadi"/>
          <w:sz w:val="21"/>
          <w:szCs w:val="21"/>
        </w:rPr>
        <w:t xml:space="preserve"> A</w:t>
      </w:r>
      <w:r w:rsidRPr="0030088F">
        <w:rPr>
          <w:rFonts w:ascii="Abadi" w:hAnsi="Abadi"/>
          <w:sz w:val="21"/>
          <w:szCs w:val="21"/>
        </w:rPr>
        <w:t xml:space="preserve">hora se somete a discusión el dictamen signado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 xml:space="preserve">iscalización referido en el </w:t>
      </w:r>
      <w:r w:rsidRPr="0030088F">
        <w:rPr>
          <w:rFonts w:ascii="Abadi" w:hAnsi="Abadi"/>
          <w:sz w:val="21"/>
          <w:szCs w:val="21"/>
        </w:rPr>
        <w:t>punto 31 del orden del día</w:t>
      </w:r>
      <w:r>
        <w:rPr>
          <w:rFonts w:ascii="Abadi" w:hAnsi="Abadi"/>
          <w:sz w:val="21"/>
          <w:szCs w:val="21"/>
        </w:rPr>
        <w:t xml:space="preserve">. </w:t>
      </w:r>
      <w:r w:rsidRPr="00FE3441">
        <w:rPr>
          <w:rFonts w:ascii="Helvetica" w:hAnsi="Helvetica"/>
          <w:b/>
          <w:bCs/>
          <w:color w:val="333333"/>
          <w:sz w:val="21"/>
          <w:szCs w:val="21"/>
          <w:shd w:val="clear" w:color="auto" w:fill="F9F9F9"/>
        </w:rPr>
        <w:t>(ELD 273/LXV-PPA)</w:t>
      </w:r>
    </w:p>
    <w:p w14:paraId="19781457" w14:textId="77777777" w:rsidR="00762FFA" w:rsidRPr="00FE3441" w:rsidRDefault="00762FFA" w:rsidP="00762FFA">
      <w:pPr>
        <w:jc w:val="both"/>
        <w:rPr>
          <w:rFonts w:ascii="Abadi" w:hAnsi="Abadi"/>
          <w:b/>
          <w:bCs/>
          <w:sz w:val="21"/>
          <w:szCs w:val="21"/>
        </w:rPr>
      </w:pPr>
    </w:p>
    <w:p w14:paraId="5B0E3455" w14:textId="77777777" w:rsidR="00762FFA" w:rsidRDefault="00762FFA" w:rsidP="00762FFA">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desean hacer uso de la palabra a favor o en contra </w:t>
      </w:r>
      <w:r>
        <w:rPr>
          <w:rFonts w:ascii="Abadi" w:hAnsi="Abadi"/>
          <w:sz w:val="21"/>
          <w:szCs w:val="21"/>
        </w:rPr>
        <w:t xml:space="preserve">manifiéstenlo </w:t>
      </w:r>
      <w:r w:rsidRPr="0030088F">
        <w:rPr>
          <w:rFonts w:ascii="Abadi" w:hAnsi="Abadi"/>
          <w:sz w:val="21"/>
          <w:szCs w:val="21"/>
        </w:rPr>
        <w:t>indicando el sentido de su participación</w:t>
      </w:r>
      <w:r>
        <w:rPr>
          <w:rFonts w:ascii="Abadi" w:hAnsi="Abadi"/>
          <w:sz w:val="21"/>
          <w:szCs w:val="21"/>
        </w:rPr>
        <w:t>. No</w:t>
      </w:r>
      <w:r w:rsidRPr="0030088F">
        <w:rPr>
          <w:rFonts w:ascii="Abadi" w:hAnsi="Abadi"/>
          <w:sz w:val="21"/>
          <w:szCs w:val="21"/>
        </w:rPr>
        <w:t xml:space="preserve"> habiendo intervenciones se pide a la secretaría que proceda a recabar votación nominal de la </w:t>
      </w:r>
      <w:r>
        <w:rPr>
          <w:rFonts w:ascii="Abadi" w:hAnsi="Abadi"/>
          <w:sz w:val="21"/>
          <w:szCs w:val="21"/>
        </w:rPr>
        <w:t>A</w:t>
      </w:r>
      <w:r w:rsidRPr="0030088F">
        <w:rPr>
          <w:rFonts w:ascii="Abadi" w:hAnsi="Abadi"/>
          <w:sz w:val="21"/>
          <w:szCs w:val="21"/>
        </w:rPr>
        <w:t>samblea a través del sistema electrónico</w:t>
      </w:r>
      <w:r>
        <w:rPr>
          <w:rFonts w:ascii="Abadi" w:hAnsi="Abadi"/>
          <w:sz w:val="21"/>
          <w:szCs w:val="21"/>
        </w:rPr>
        <w:t>,</w:t>
      </w:r>
      <w:r w:rsidRPr="0030088F">
        <w:rPr>
          <w:rFonts w:ascii="Abadi" w:hAnsi="Abadi"/>
          <w:sz w:val="21"/>
          <w:szCs w:val="21"/>
        </w:rPr>
        <w:t xml:space="preserve"> a efecto de aprobar o no el dictamen puesto a su consideración</w:t>
      </w:r>
      <w:r>
        <w:rPr>
          <w:rFonts w:ascii="Abadi" w:hAnsi="Abadi"/>
          <w:sz w:val="21"/>
          <w:szCs w:val="21"/>
        </w:rPr>
        <w:t xml:space="preserve">. </w:t>
      </w:r>
    </w:p>
    <w:p w14:paraId="7829F8E1" w14:textId="77777777" w:rsidR="00591933" w:rsidRDefault="00591933" w:rsidP="00762FFA">
      <w:pPr>
        <w:jc w:val="both"/>
        <w:rPr>
          <w:rFonts w:ascii="Abadi" w:hAnsi="Abadi"/>
          <w:sz w:val="21"/>
          <w:szCs w:val="21"/>
        </w:rPr>
      </w:pPr>
    </w:p>
    <w:p w14:paraId="4AFA994A" w14:textId="77777777" w:rsidR="00762FFA" w:rsidRDefault="00762FFA" w:rsidP="00762FFA">
      <w:pPr>
        <w:jc w:val="both"/>
        <w:rPr>
          <w:rFonts w:ascii="Abadi" w:hAnsi="Abadi"/>
          <w:b/>
          <w:bCs/>
          <w:sz w:val="21"/>
          <w:szCs w:val="21"/>
        </w:rPr>
      </w:pPr>
      <w:r w:rsidRPr="009067D9">
        <w:rPr>
          <w:rFonts w:ascii="Abadi" w:hAnsi="Abadi"/>
          <w:b/>
          <w:bCs/>
          <w:sz w:val="21"/>
          <w:szCs w:val="21"/>
        </w:rPr>
        <w:t>(Se abre el sistema electrónico)</w:t>
      </w:r>
    </w:p>
    <w:p w14:paraId="212D570E" w14:textId="77777777" w:rsidR="00762FFA" w:rsidRPr="009067D9" w:rsidRDefault="00762FFA" w:rsidP="00762FFA">
      <w:pPr>
        <w:jc w:val="both"/>
        <w:rPr>
          <w:rFonts w:ascii="Abadi" w:hAnsi="Abadi"/>
          <w:b/>
          <w:bCs/>
          <w:sz w:val="21"/>
          <w:szCs w:val="21"/>
        </w:rPr>
      </w:pPr>
    </w:p>
    <w:p w14:paraId="0AD781C1" w14:textId="77777777" w:rsidR="00762FFA" w:rsidRDefault="00762FFA" w:rsidP="00762FFA">
      <w:pPr>
        <w:jc w:val="both"/>
        <w:rPr>
          <w:rFonts w:ascii="Abadi" w:hAnsi="Abadi"/>
          <w:sz w:val="21"/>
          <w:szCs w:val="21"/>
        </w:rPr>
      </w:pPr>
      <w:r>
        <w:rPr>
          <w:rFonts w:ascii="Abadi" w:hAnsi="Abadi"/>
          <w:sz w:val="21"/>
          <w:szCs w:val="21"/>
        </w:rPr>
        <w:tab/>
      </w:r>
      <w:r w:rsidRPr="00FE3441">
        <w:rPr>
          <w:rFonts w:ascii="Abadi" w:hAnsi="Abadi"/>
          <w:b/>
          <w:bCs/>
          <w:sz w:val="21"/>
          <w:szCs w:val="21"/>
        </w:rPr>
        <w:t xml:space="preserve">- La </w:t>
      </w:r>
      <w:proofErr w:type="gramStart"/>
      <w:r w:rsidRPr="00FE3441">
        <w:rPr>
          <w:rFonts w:ascii="Abadi" w:hAnsi="Abadi"/>
          <w:b/>
          <w:bCs/>
          <w:sz w:val="21"/>
          <w:szCs w:val="21"/>
        </w:rPr>
        <w:t>Secretaría.-</w:t>
      </w:r>
      <w:proofErr w:type="gramEnd"/>
      <w:r>
        <w:rPr>
          <w:rFonts w:ascii="Abadi" w:hAnsi="Abadi"/>
          <w:sz w:val="21"/>
          <w:szCs w:val="21"/>
        </w:rPr>
        <w:t xml:space="preserve"> E</w:t>
      </w:r>
      <w:r w:rsidRPr="0030088F">
        <w:rPr>
          <w:rFonts w:ascii="Abadi" w:hAnsi="Abadi"/>
          <w:sz w:val="21"/>
          <w:szCs w:val="21"/>
        </w:rPr>
        <w:t>n votación nominal y mediante el sistema electrónico se les pregunta si se aprueba el dictamen que se pone a su consideración</w:t>
      </w:r>
      <w:r>
        <w:rPr>
          <w:rFonts w:ascii="Abadi" w:hAnsi="Abadi"/>
          <w:sz w:val="21"/>
          <w:szCs w:val="21"/>
        </w:rPr>
        <w:t>. ¿</w:t>
      </w:r>
      <w:r w:rsidRPr="0030088F">
        <w:rPr>
          <w:rFonts w:ascii="Abadi" w:hAnsi="Abadi"/>
          <w:sz w:val="21"/>
          <w:szCs w:val="21"/>
        </w:rPr>
        <w:t>diputado Javier</w:t>
      </w:r>
      <w:r>
        <w:rPr>
          <w:rFonts w:ascii="Abadi" w:hAnsi="Abadi"/>
          <w:sz w:val="21"/>
          <w:szCs w:val="21"/>
        </w:rPr>
        <w:t>?</w:t>
      </w:r>
    </w:p>
    <w:p w14:paraId="620F3F09" w14:textId="77777777" w:rsidR="00762FFA" w:rsidRDefault="00762FFA" w:rsidP="00762FFA">
      <w:pPr>
        <w:jc w:val="both"/>
        <w:rPr>
          <w:rFonts w:ascii="Abadi" w:hAnsi="Abadi"/>
          <w:sz w:val="21"/>
          <w:szCs w:val="21"/>
        </w:rPr>
      </w:pPr>
    </w:p>
    <w:p w14:paraId="089982BD" w14:textId="77777777" w:rsidR="00762FFA" w:rsidRDefault="00762FFA" w:rsidP="00762FFA">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132593E4" w14:textId="77777777" w:rsidR="00762FFA" w:rsidRDefault="00762FFA" w:rsidP="00762FFA">
      <w:pPr>
        <w:jc w:val="both"/>
        <w:rPr>
          <w:rFonts w:ascii="Abadi" w:hAnsi="Abadi"/>
          <w:sz w:val="21"/>
          <w:szCs w:val="21"/>
        </w:rPr>
      </w:pPr>
    </w:p>
    <w:p w14:paraId="043933ED" w14:textId="77777777" w:rsidR="00762FFA" w:rsidRDefault="00762FFA" w:rsidP="00762FFA">
      <w:pPr>
        <w:jc w:val="both"/>
        <w:rPr>
          <w:rFonts w:ascii="Abadi" w:hAnsi="Abadi"/>
          <w:b/>
          <w:bCs/>
          <w:sz w:val="21"/>
          <w:szCs w:val="21"/>
        </w:rPr>
      </w:pPr>
      <w:r w:rsidRPr="002424C7">
        <w:rPr>
          <w:rFonts w:ascii="Abadi" w:hAnsi="Abadi"/>
          <w:b/>
          <w:bCs/>
          <w:sz w:val="21"/>
          <w:szCs w:val="21"/>
        </w:rPr>
        <w:t>(se cierra el sistema electrónico)</w:t>
      </w:r>
    </w:p>
    <w:p w14:paraId="2189C578" w14:textId="77777777" w:rsidR="00762FFA" w:rsidRPr="002424C7" w:rsidRDefault="00762FFA" w:rsidP="00762FFA">
      <w:pPr>
        <w:jc w:val="both"/>
        <w:rPr>
          <w:rFonts w:ascii="Abadi" w:hAnsi="Abadi"/>
          <w:b/>
          <w:bCs/>
          <w:sz w:val="21"/>
          <w:szCs w:val="21"/>
        </w:rPr>
      </w:pPr>
      <w:r>
        <w:rPr>
          <w:noProof/>
        </w:rPr>
        <w:drawing>
          <wp:inline distT="0" distB="0" distL="0" distR="0" wp14:anchorId="33236FA9" wp14:editId="709D6684">
            <wp:extent cx="1487365" cy="768966"/>
            <wp:effectExtent l="247650" t="247650" r="246380" b="241300"/>
            <wp:docPr id="347473683" name="Imagen 347473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473683" name=""/>
                    <pic:cNvPicPr/>
                  </pic:nvPicPr>
                  <pic:blipFill rotWithShape="1">
                    <a:blip r:embed="rId70"/>
                    <a:srcRect b="8082"/>
                    <a:stretch/>
                  </pic:blipFill>
                  <pic:spPr bwMode="auto">
                    <a:xfrm>
                      <a:off x="0" y="0"/>
                      <a:ext cx="1505343" cy="778260"/>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D69532D" w14:textId="77777777" w:rsidR="00762FFA" w:rsidRDefault="00762FFA" w:rsidP="00762FFA">
      <w:pPr>
        <w:jc w:val="both"/>
        <w:rPr>
          <w:rFonts w:ascii="Abadi" w:hAnsi="Abadi"/>
          <w:sz w:val="21"/>
          <w:szCs w:val="21"/>
        </w:rPr>
      </w:pPr>
      <w:r>
        <w:rPr>
          <w:rFonts w:ascii="Abadi" w:hAnsi="Abadi"/>
          <w:sz w:val="21"/>
          <w:szCs w:val="21"/>
        </w:rPr>
        <w:tab/>
      </w:r>
      <w:r w:rsidRPr="00FE3441">
        <w:rPr>
          <w:rFonts w:ascii="Abadi" w:hAnsi="Abadi"/>
          <w:b/>
          <w:bCs/>
          <w:sz w:val="21"/>
          <w:szCs w:val="21"/>
        </w:rPr>
        <w:t xml:space="preserve">- La </w:t>
      </w:r>
      <w:proofErr w:type="gramStart"/>
      <w:r w:rsidRPr="00FE3441">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residenta le informó que se han registrado 24 votos a favor y 8 votos en contra</w:t>
      </w:r>
      <w:r>
        <w:rPr>
          <w:rFonts w:ascii="Abadi" w:hAnsi="Abadi"/>
          <w:sz w:val="21"/>
          <w:szCs w:val="21"/>
        </w:rPr>
        <w:t>.</w:t>
      </w:r>
    </w:p>
    <w:p w14:paraId="4B276344" w14:textId="77777777" w:rsidR="00762FFA" w:rsidRDefault="00762FFA" w:rsidP="00762FFA">
      <w:pPr>
        <w:jc w:val="both"/>
        <w:rPr>
          <w:rFonts w:ascii="Abadi" w:hAnsi="Abadi"/>
          <w:sz w:val="21"/>
          <w:szCs w:val="21"/>
        </w:rPr>
      </w:pPr>
    </w:p>
    <w:p w14:paraId="0CA8C33C" w14:textId="77777777" w:rsidR="00762FFA" w:rsidRDefault="00762FFA" w:rsidP="00762FFA">
      <w:pPr>
        <w:jc w:val="both"/>
        <w:rPr>
          <w:rFonts w:ascii="Abadi" w:hAnsi="Abadi"/>
          <w:sz w:val="21"/>
          <w:szCs w:val="21"/>
        </w:rPr>
      </w:pPr>
      <w:r>
        <w:rPr>
          <w:rFonts w:ascii="Abadi" w:hAnsi="Abadi"/>
          <w:sz w:val="21"/>
          <w:szCs w:val="21"/>
        </w:rPr>
        <w:tab/>
        <w:t>- E</w:t>
      </w:r>
      <w:r w:rsidRPr="0030088F">
        <w:rPr>
          <w:rFonts w:ascii="Abadi" w:hAnsi="Abadi"/>
          <w:sz w:val="21"/>
          <w:szCs w:val="21"/>
        </w:rPr>
        <w:t>l dictamen ha sido aprobado por mayoría de votos</w:t>
      </w:r>
      <w:r>
        <w:rPr>
          <w:rFonts w:ascii="Abadi" w:hAnsi="Abadi"/>
          <w:sz w:val="21"/>
          <w:szCs w:val="21"/>
        </w:rPr>
        <w:t>.</w:t>
      </w:r>
    </w:p>
    <w:p w14:paraId="510CBC37" w14:textId="77777777" w:rsidR="00AB2B4E" w:rsidRDefault="00AB2B4E" w:rsidP="00762FFA">
      <w:pPr>
        <w:jc w:val="both"/>
        <w:rPr>
          <w:rFonts w:ascii="Abadi" w:hAnsi="Abadi"/>
          <w:sz w:val="21"/>
          <w:szCs w:val="21"/>
        </w:rPr>
      </w:pPr>
    </w:p>
    <w:p w14:paraId="41569F20" w14:textId="77777777" w:rsidR="00762FFA" w:rsidRPr="00FE3441" w:rsidRDefault="00762FFA" w:rsidP="00762FFA">
      <w:pPr>
        <w:ind w:left="709" w:right="1183"/>
        <w:jc w:val="both"/>
        <w:rPr>
          <w:rFonts w:ascii="Abadi" w:hAnsi="Abadi"/>
          <w:b/>
          <w:bCs/>
          <w:i/>
          <w:iCs/>
          <w:sz w:val="21"/>
          <w:szCs w:val="21"/>
          <w:u w:val="single"/>
        </w:rPr>
      </w:pPr>
      <w:r w:rsidRPr="00FE3441">
        <w:rPr>
          <w:rFonts w:ascii="Abadi" w:hAnsi="Abadi"/>
          <w:b/>
          <w:bCs/>
          <w:i/>
          <w:iCs/>
          <w:sz w:val="21"/>
          <w:szCs w:val="21"/>
          <w:u w:val="single"/>
        </w:rPr>
        <w:t xml:space="preserve">En consecuencia se instruye a la Secretaría General para que proceda </w:t>
      </w:r>
      <w:r>
        <w:rPr>
          <w:rFonts w:ascii="Abadi" w:hAnsi="Abadi"/>
          <w:b/>
          <w:bCs/>
          <w:i/>
          <w:iCs/>
          <w:sz w:val="21"/>
          <w:szCs w:val="21"/>
          <w:u w:val="single"/>
        </w:rPr>
        <w:t>a</w:t>
      </w:r>
      <w:r w:rsidRPr="00FE3441">
        <w:rPr>
          <w:rFonts w:ascii="Abadi" w:hAnsi="Abadi"/>
          <w:b/>
          <w:bCs/>
          <w:i/>
          <w:iCs/>
          <w:sz w:val="21"/>
          <w:szCs w:val="21"/>
          <w:u w:val="single"/>
        </w:rPr>
        <w:t>l archivo definitivo de la propuesta de punto de acuerdo referido en el dictamen aprobado.</w:t>
      </w:r>
    </w:p>
    <w:p w14:paraId="666F8BB8" w14:textId="77777777" w:rsidR="00ED70DC" w:rsidRDefault="00ED70DC" w:rsidP="00ED70DC">
      <w:pPr>
        <w:rPr>
          <w:rFonts w:ascii="Abadi" w:hAnsi="Abadi" w:cs="Arial"/>
          <w:b/>
          <w:sz w:val="21"/>
          <w:szCs w:val="21"/>
          <w:lang w:eastAsia="x-none"/>
        </w:rPr>
      </w:pPr>
    </w:p>
    <w:p w14:paraId="20F3A3B7" w14:textId="77777777" w:rsidR="004C18BE" w:rsidRDefault="004C18BE" w:rsidP="00ED70DC">
      <w:pPr>
        <w:rPr>
          <w:rFonts w:ascii="Abadi" w:hAnsi="Abadi" w:cs="Arial"/>
          <w:b/>
          <w:sz w:val="21"/>
          <w:szCs w:val="21"/>
          <w:lang w:eastAsia="x-none"/>
        </w:rPr>
      </w:pPr>
    </w:p>
    <w:p w14:paraId="00E7FF71" w14:textId="69018F58" w:rsidR="00374533" w:rsidRPr="00006796" w:rsidRDefault="004C18BE" w:rsidP="0053667E">
      <w:pPr>
        <w:jc w:val="both"/>
        <w:rPr>
          <w:rFonts w:ascii="Abadi" w:hAnsi="Abadi" w:cs="Arial-ItalicMT"/>
          <w:b/>
          <w:bCs/>
          <w:i/>
          <w:iCs/>
          <w:sz w:val="21"/>
          <w:szCs w:val="21"/>
        </w:rPr>
      </w:pPr>
      <w:r>
        <w:rPr>
          <w:rFonts w:ascii="Abadi" w:hAnsi="Abadi"/>
          <w:sz w:val="21"/>
          <w:szCs w:val="21"/>
        </w:rPr>
        <w:tab/>
      </w:r>
    </w:p>
    <w:p w14:paraId="5F3F3005" w14:textId="75B588D9" w:rsidR="00374533"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1716DA">
        <w:rPr>
          <w:rFonts w:ascii="Abadi" w:hAnsi="Abadi" w:cs="ArialMT"/>
          <w:b/>
          <w:bCs/>
          <w:sz w:val="21"/>
          <w:szCs w:val="21"/>
        </w:rPr>
        <w:t xml:space="preserve">DISCUSIÓN Y, EN SU CASO, APROBACIÓN DEL DICTAMEN FORMULADO POR LA COMISIÓN DE HACIENDA Y FISCALIZACIÓN RELATIVO AL INFORME DE RESULTADOS DE LA AUDITORÍA INTEGRAL PRACTICADA POR LA </w:t>
      </w:r>
      <w:r w:rsidRPr="001716DA">
        <w:rPr>
          <w:rFonts w:ascii="Abadi" w:hAnsi="Abadi" w:cs="ArialMT"/>
          <w:b/>
          <w:bCs/>
          <w:sz w:val="21"/>
          <w:szCs w:val="21"/>
        </w:rPr>
        <w:lastRenderedPageBreak/>
        <w:t xml:space="preserve">AUDITORÍA SUPERIOR DEL ESTADO DE GUANAJUATO A LA ADMINISTRACIÓN PÚBLICA MUNICIPAL DE SALAMANCA, GTO.,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1716DA">
        <w:rPr>
          <w:rFonts w:ascii="Abadi" w:hAnsi="Abadi" w:cs="Arial-ItalicMT"/>
          <w:b/>
          <w:bCs/>
          <w:i/>
          <w:iCs/>
          <w:sz w:val="21"/>
          <w:szCs w:val="21"/>
        </w:rPr>
        <w:t>(ELD 260/LXV-IRASEG)</w:t>
      </w:r>
      <w:r w:rsidR="00DA453E">
        <w:rPr>
          <w:rStyle w:val="Refdenotaalpie"/>
          <w:rFonts w:ascii="Abadi" w:hAnsi="Abadi" w:cs="Arial-ItalicMT"/>
          <w:b/>
          <w:bCs/>
          <w:i/>
          <w:iCs/>
          <w:sz w:val="21"/>
          <w:szCs w:val="21"/>
        </w:rPr>
        <w:footnoteReference w:id="218"/>
      </w:r>
    </w:p>
    <w:p w14:paraId="531D091C" w14:textId="77777777" w:rsidR="001716DA" w:rsidRDefault="001716DA" w:rsidP="001716DA">
      <w:pPr>
        <w:autoSpaceDE w:val="0"/>
        <w:autoSpaceDN w:val="0"/>
        <w:adjustRightInd w:val="0"/>
        <w:contextualSpacing/>
        <w:jc w:val="both"/>
        <w:rPr>
          <w:rFonts w:ascii="Abadi" w:hAnsi="Abadi" w:cs="Arial-ItalicMT"/>
          <w:b/>
          <w:bCs/>
          <w:i/>
          <w:iCs/>
          <w:sz w:val="21"/>
          <w:szCs w:val="21"/>
        </w:rPr>
      </w:pPr>
    </w:p>
    <w:p w14:paraId="0D9E11A2" w14:textId="77777777" w:rsidR="001716DA" w:rsidRDefault="001716DA" w:rsidP="001716DA">
      <w:pPr>
        <w:autoSpaceDE w:val="0"/>
        <w:autoSpaceDN w:val="0"/>
        <w:adjustRightInd w:val="0"/>
        <w:contextualSpacing/>
        <w:jc w:val="both"/>
        <w:rPr>
          <w:rFonts w:ascii="Abadi" w:hAnsi="Abadi" w:cs="Arial-ItalicMT"/>
          <w:b/>
          <w:bCs/>
          <w:i/>
          <w:iCs/>
          <w:sz w:val="21"/>
          <w:szCs w:val="21"/>
        </w:rPr>
      </w:pPr>
    </w:p>
    <w:p w14:paraId="6E62BADD" w14:textId="77777777" w:rsidR="003C20B5" w:rsidRPr="00FE73F1" w:rsidRDefault="003C20B5" w:rsidP="003C20B5">
      <w:pPr>
        <w:pStyle w:val="Textoindependiente3"/>
        <w:rPr>
          <w:rFonts w:ascii="Abadi" w:hAnsi="Abadi" w:cs="Arial"/>
          <w:smallCaps/>
          <w:sz w:val="21"/>
          <w:szCs w:val="21"/>
        </w:rPr>
      </w:pPr>
      <w:r w:rsidRPr="00FE73F1">
        <w:rPr>
          <w:rFonts w:ascii="Abadi" w:hAnsi="Abadi" w:cs="Arial"/>
          <w:smallCaps/>
          <w:sz w:val="21"/>
          <w:szCs w:val="21"/>
        </w:rPr>
        <w:t>C. Presidenta del Congreso del Estado</w:t>
      </w:r>
    </w:p>
    <w:p w14:paraId="5CA797D6" w14:textId="77777777" w:rsidR="003C20B5" w:rsidRPr="00FE73F1" w:rsidRDefault="003C20B5" w:rsidP="003C20B5">
      <w:pPr>
        <w:jc w:val="both"/>
        <w:rPr>
          <w:rFonts w:ascii="Abadi" w:hAnsi="Abadi"/>
          <w:b/>
          <w:bCs/>
          <w:smallCaps/>
          <w:sz w:val="21"/>
          <w:szCs w:val="21"/>
        </w:rPr>
      </w:pPr>
      <w:r w:rsidRPr="00FE73F1">
        <w:rPr>
          <w:rFonts w:ascii="Abadi" w:hAnsi="Abadi"/>
          <w:b/>
          <w:bCs/>
          <w:smallCaps/>
          <w:sz w:val="21"/>
          <w:szCs w:val="21"/>
        </w:rPr>
        <w:t>P r e s e n t e.</w:t>
      </w:r>
    </w:p>
    <w:p w14:paraId="2478C7C8" w14:textId="77777777" w:rsidR="003C20B5" w:rsidRPr="00FE73F1" w:rsidRDefault="003C20B5" w:rsidP="003C20B5">
      <w:pPr>
        <w:pStyle w:val="Textoindependiente"/>
        <w:rPr>
          <w:rFonts w:ascii="Abadi" w:hAnsi="Abadi"/>
          <w:sz w:val="21"/>
          <w:szCs w:val="21"/>
        </w:rPr>
      </w:pPr>
    </w:p>
    <w:p w14:paraId="489511BB" w14:textId="77777777" w:rsidR="003C20B5" w:rsidRPr="00FE73F1" w:rsidRDefault="003C20B5" w:rsidP="003C20B5">
      <w:pPr>
        <w:pStyle w:val="Sangra3detindependiente"/>
        <w:spacing w:line="240" w:lineRule="auto"/>
        <w:rPr>
          <w:rFonts w:ascii="Abadi" w:hAnsi="Abadi"/>
          <w:sz w:val="21"/>
          <w:szCs w:val="21"/>
        </w:rPr>
      </w:pPr>
      <w:r w:rsidRPr="00FE73F1">
        <w:rPr>
          <w:rFonts w:ascii="Abadi" w:hAnsi="Abadi"/>
          <w:sz w:val="21"/>
          <w:szCs w:val="21"/>
        </w:rPr>
        <w:t xml:space="preserve">A esta Comisión de Hacienda y Fiscalización le fue turnado para su estudio y dictamen, el informe de resultados de la auditoría integral practicada por la Auditoría Superior del Estado de Guanajuato a la administración pública municipal de Salamanca, </w:t>
      </w:r>
      <w:proofErr w:type="spellStart"/>
      <w:r w:rsidRPr="00FE73F1">
        <w:rPr>
          <w:rFonts w:ascii="Abadi" w:hAnsi="Abadi"/>
          <w:sz w:val="21"/>
          <w:szCs w:val="21"/>
        </w:rPr>
        <w:t>Gto</w:t>
      </w:r>
      <w:proofErr w:type="spellEnd"/>
      <w:r w:rsidRPr="00FE73F1">
        <w:rPr>
          <w:rFonts w:ascii="Abadi" w:hAnsi="Abadi"/>
          <w:sz w:val="21"/>
          <w:szCs w:val="21"/>
        </w:rPr>
        <w:t>.,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en cumplimiento al acuerdo aprobado por el Pleno del Congreso del Estado de Guanajuato el 20 de diciembre de 2021. (ELD 260/LXV-IRASEG)</w:t>
      </w:r>
    </w:p>
    <w:p w14:paraId="19D6171E" w14:textId="77777777" w:rsidR="003C20B5" w:rsidRPr="00FE73F1" w:rsidRDefault="003C20B5" w:rsidP="003C20B5">
      <w:pPr>
        <w:pStyle w:val="Sangra3detindependiente"/>
        <w:spacing w:line="240" w:lineRule="auto"/>
        <w:rPr>
          <w:rFonts w:ascii="Abadi" w:hAnsi="Abadi"/>
          <w:sz w:val="21"/>
          <w:szCs w:val="21"/>
        </w:rPr>
      </w:pPr>
    </w:p>
    <w:p w14:paraId="454187C1" w14:textId="77777777" w:rsidR="003C20B5" w:rsidRPr="00FE73F1" w:rsidRDefault="003C20B5" w:rsidP="003C20B5">
      <w:pPr>
        <w:pStyle w:val="Sangra3detindependiente"/>
        <w:spacing w:line="240" w:lineRule="auto"/>
        <w:rPr>
          <w:rFonts w:ascii="Abadi" w:hAnsi="Abadi"/>
          <w:sz w:val="21"/>
          <w:szCs w:val="21"/>
        </w:rPr>
      </w:pPr>
      <w:r w:rsidRPr="00FE73F1">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FE73F1">
          <w:rPr>
            <w:rFonts w:ascii="Abadi" w:hAnsi="Abadi"/>
            <w:sz w:val="21"/>
            <w:szCs w:val="21"/>
          </w:rPr>
          <w:t>la Ley Orgánica</w:t>
        </w:r>
      </w:smartTag>
      <w:r w:rsidRPr="00FE73F1">
        <w:rPr>
          <w:rFonts w:ascii="Abadi" w:hAnsi="Abadi"/>
          <w:sz w:val="21"/>
          <w:szCs w:val="21"/>
        </w:rPr>
        <w:t xml:space="preserve"> del Poder Legislativo, nos permitimos rendir el siguiente:</w:t>
      </w:r>
    </w:p>
    <w:p w14:paraId="7E01D73E" w14:textId="77777777" w:rsidR="003C20B5" w:rsidRPr="00FE73F1" w:rsidRDefault="003C20B5" w:rsidP="003C20B5">
      <w:pPr>
        <w:pStyle w:val="Sangra3detindependiente"/>
        <w:spacing w:line="240" w:lineRule="auto"/>
        <w:rPr>
          <w:rFonts w:ascii="Abadi" w:hAnsi="Abadi"/>
          <w:sz w:val="21"/>
          <w:szCs w:val="21"/>
        </w:rPr>
      </w:pPr>
    </w:p>
    <w:p w14:paraId="75AC7F6A" w14:textId="77777777" w:rsidR="003C20B5" w:rsidRPr="00FE73F1" w:rsidRDefault="003C20B5" w:rsidP="003C20B5">
      <w:pPr>
        <w:pStyle w:val="Ttulo1"/>
        <w:jc w:val="center"/>
        <w:rPr>
          <w:rFonts w:ascii="Abadi" w:hAnsi="Abadi" w:cs="Arial"/>
          <w:sz w:val="21"/>
          <w:szCs w:val="21"/>
        </w:rPr>
      </w:pPr>
      <w:r w:rsidRPr="00FE73F1">
        <w:rPr>
          <w:rFonts w:ascii="Abadi" w:hAnsi="Abadi" w:cs="Arial"/>
          <w:sz w:val="21"/>
          <w:szCs w:val="21"/>
        </w:rPr>
        <w:t>D i c t a m e n</w:t>
      </w:r>
    </w:p>
    <w:p w14:paraId="75A10123" w14:textId="77777777" w:rsidR="003C20B5" w:rsidRPr="00FE73F1" w:rsidRDefault="003C20B5" w:rsidP="003C20B5">
      <w:pPr>
        <w:jc w:val="both"/>
        <w:rPr>
          <w:rFonts w:ascii="Abadi" w:hAnsi="Abadi"/>
          <w:sz w:val="21"/>
          <w:szCs w:val="21"/>
        </w:rPr>
      </w:pPr>
    </w:p>
    <w:p w14:paraId="3CB590D4" w14:textId="77777777" w:rsidR="003C20B5" w:rsidRPr="00FE73F1" w:rsidRDefault="003C20B5" w:rsidP="003C20B5">
      <w:pPr>
        <w:pStyle w:val="Textoindependiente"/>
        <w:ind w:firstLine="708"/>
        <w:rPr>
          <w:rFonts w:ascii="Abadi" w:hAnsi="Abadi"/>
          <w:sz w:val="21"/>
          <w:szCs w:val="21"/>
        </w:rPr>
      </w:pPr>
      <w:r w:rsidRPr="00FE73F1">
        <w:rPr>
          <w:rFonts w:ascii="Abadi" w:hAnsi="Abadi"/>
          <w:sz w:val="21"/>
          <w:szCs w:val="21"/>
        </w:rPr>
        <w:t>I. Competencia:</w:t>
      </w:r>
    </w:p>
    <w:p w14:paraId="1C81EB43" w14:textId="77777777" w:rsidR="003C20B5" w:rsidRPr="00FE73F1" w:rsidRDefault="003C20B5" w:rsidP="003C20B5">
      <w:pPr>
        <w:pStyle w:val="Textoindependiente"/>
        <w:ind w:firstLine="708"/>
        <w:rPr>
          <w:rFonts w:ascii="Abadi" w:hAnsi="Abadi"/>
          <w:b w:val="0"/>
          <w:bCs w:val="0"/>
          <w:sz w:val="21"/>
          <w:szCs w:val="21"/>
        </w:rPr>
      </w:pPr>
    </w:p>
    <w:p w14:paraId="3F2B1F70"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E73F1">
          <w:rPr>
            <w:rFonts w:ascii="Abadi" w:hAnsi="Abadi"/>
            <w:b w:val="0"/>
            <w:bCs w:val="0"/>
            <w:sz w:val="21"/>
            <w:szCs w:val="21"/>
          </w:rPr>
          <w:t>la Constitución Política</w:t>
        </w:r>
      </w:smartTag>
      <w:r w:rsidRPr="00FE73F1">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461EB11" w14:textId="77777777" w:rsidR="003C20B5" w:rsidRPr="00FE73F1" w:rsidRDefault="003C20B5" w:rsidP="003C20B5">
      <w:pPr>
        <w:pStyle w:val="Textoindependiente"/>
        <w:ind w:firstLine="708"/>
        <w:rPr>
          <w:rFonts w:ascii="Abadi" w:hAnsi="Abadi"/>
          <w:b w:val="0"/>
          <w:bCs w:val="0"/>
          <w:sz w:val="21"/>
          <w:szCs w:val="21"/>
        </w:rPr>
      </w:pPr>
    </w:p>
    <w:p w14:paraId="403A0AC8" w14:textId="77777777" w:rsidR="003C20B5" w:rsidRPr="00FE73F1" w:rsidRDefault="003C20B5" w:rsidP="003C20B5">
      <w:pPr>
        <w:pStyle w:val="Textoindependiente"/>
        <w:ind w:firstLine="708"/>
        <w:rPr>
          <w:rFonts w:ascii="Abadi" w:hAnsi="Abadi"/>
          <w:b w:val="0"/>
          <w:bCs w:val="0"/>
          <w:sz w:val="21"/>
          <w:szCs w:val="21"/>
        </w:rPr>
      </w:pPr>
    </w:p>
    <w:p w14:paraId="0DBC5E52"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E7B2418" w14:textId="77777777" w:rsidR="003C20B5" w:rsidRPr="00FE73F1" w:rsidRDefault="003C20B5" w:rsidP="003C20B5">
      <w:pPr>
        <w:pStyle w:val="Textoindependiente"/>
        <w:ind w:firstLine="708"/>
        <w:rPr>
          <w:rFonts w:ascii="Abadi" w:hAnsi="Abadi"/>
          <w:b w:val="0"/>
          <w:bCs w:val="0"/>
          <w:sz w:val="21"/>
          <w:szCs w:val="21"/>
        </w:rPr>
      </w:pPr>
    </w:p>
    <w:p w14:paraId="252457F4" w14:textId="77777777" w:rsidR="003C20B5" w:rsidRPr="00FE73F1" w:rsidRDefault="003C20B5" w:rsidP="003C20B5">
      <w:pPr>
        <w:ind w:firstLine="708"/>
        <w:jc w:val="both"/>
        <w:rPr>
          <w:rFonts w:ascii="Abadi" w:hAnsi="Abadi"/>
          <w:lang w:eastAsia="x-none"/>
        </w:rPr>
      </w:pPr>
      <w:r w:rsidRPr="00FE73F1">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FE73F1">
          <w:rPr>
            <w:rFonts w:ascii="Abadi" w:hAnsi="Abadi"/>
            <w:sz w:val="21"/>
            <w:szCs w:val="21"/>
            <w:lang w:eastAsia="x-none"/>
          </w:rPr>
          <w:t>la Ley</w:t>
        </w:r>
      </w:smartTag>
      <w:r w:rsidRPr="00FE73F1">
        <w:rPr>
          <w:rFonts w:ascii="Abadi" w:hAnsi="Abadi"/>
          <w:sz w:val="21"/>
          <w:szCs w:val="21"/>
          <w:lang w:eastAsia="x-none"/>
        </w:rPr>
        <w:t xml:space="preserve"> de Fiscalización Superior del Estado de Guanajuato establece como atribución del Auditor Superior, rendir al</w:t>
      </w:r>
      <w:r w:rsidRPr="00FE73F1">
        <w:rPr>
          <w:rFonts w:ascii="Abadi" w:hAnsi="Abadi"/>
          <w:lang w:eastAsia="x-none"/>
        </w:rPr>
        <w:t xml:space="preserve"> Congreso, los informes derivados del ejercicio de la función de fiscalización.</w:t>
      </w:r>
    </w:p>
    <w:p w14:paraId="7E4EFE0F" w14:textId="77777777" w:rsidR="003C20B5" w:rsidRPr="002D10D4" w:rsidRDefault="003C20B5" w:rsidP="003C20B5">
      <w:pPr>
        <w:pStyle w:val="Textoindependiente"/>
        <w:ind w:firstLine="708"/>
        <w:rPr>
          <w:rFonts w:ascii="Abadi" w:hAnsi="Abadi"/>
        </w:rPr>
      </w:pPr>
    </w:p>
    <w:p w14:paraId="37757E29" w14:textId="77777777" w:rsidR="003C20B5" w:rsidRPr="00FE73F1" w:rsidRDefault="003C20B5" w:rsidP="003C20B5">
      <w:pPr>
        <w:pStyle w:val="Textoindependiente"/>
        <w:ind w:firstLine="708"/>
        <w:rPr>
          <w:rFonts w:ascii="Abadi" w:hAnsi="Abadi"/>
          <w:b w:val="0"/>
          <w:bCs w:val="0"/>
        </w:rPr>
      </w:pPr>
      <w:r w:rsidRPr="00FE73F1">
        <w:rPr>
          <w:rFonts w:ascii="Abadi" w:hAnsi="Abadi"/>
          <w:b w:val="0"/>
          <w:bCs w:val="0"/>
        </w:rPr>
        <w:t xml:space="preserve">En razón de lo cual, la Ley de Fiscalización Superior del Estado de Guanajuato contempla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w:t>
      </w:r>
      <w:r w:rsidRPr="00FE73F1">
        <w:rPr>
          <w:rFonts w:ascii="Abadi" w:hAnsi="Abadi"/>
          <w:b w:val="0"/>
          <w:bCs w:val="0"/>
        </w:rPr>
        <w:lastRenderedPageBreak/>
        <w:t>Congreso, cuando no se observen las formalidades esenciales del proceso de fiscalización.</w:t>
      </w:r>
    </w:p>
    <w:p w14:paraId="3175B659" w14:textId="77777777" w:rsidR="003C20B5" w:rsidRPr="00FE73F1" w:rsidRDefault="003C20B5" w:rsidP="003C20B5">
      <w:pPr>
        <w:pStyle w:val="Textoindependiente"/>
        <w:ind w:firstLine="708"/>
        <w:rPr>
          <w:rFonts w:ascii="Abadi" w:hAnsi="Abadi"/>
          <w:b w:val="0"/>
          <w:bCs w:val="0"/>
        </w:rPr>
      </w:pPr>
    </w:p>
    <w:p w14:paraId="0BE14ACE" w14:textId="77777777" w:rsidR="003C20B5" w:rsidRPr="00FE73F1" w:rsidRDefault="003C20B5" w:rsidP="003C20B5">
      <w:pPr>
        <w:pStyle w:val="Textoindependiente"/>
        <w:ind w:firstLine="708"/>
        <w:rPr>
          <w:rFonts w:ascii="Abadi" w:hAnsi="Abadi"/>
          <w:b w:val="0"/>
          <w:bCs w:val="0"/>
        </w:rPr>
      </w:pPr>
      <w:r w:rsidRPr="00FE73F1">
        <w:rPr>
          <w:rFonts w:ascii="Abadi" w:hAnsi="Abadi"/>
          <w:b w:val="0"/>
          <w:bCs w:val="0"/>
        </w:rPr>
        <w:t xml:space="preserve">Con la finalidad de que el Congreso dé cumplimiento a lo señalado en el párrafo anterior, </w:t>
      </w:r>
      <w:smartTag w:uri="urn:schemas-microsoft-com:office:smarttags" w:element="PersonName">
        <w:smartTagPr>
          <w:attr w:name="ProductID" w:val="la Ley Org￡nica"/>
        </w:smartTagPr>
        <w:r w:rsidRPr="00FE73F1">
          <w:rPr>
            <w:rFonts w:ascii="Abadi" w:hAnsi="Abadi"/>
            <w:b w:val="0"/>
            <w:bCs w:val="0"/>
          </w:rPr>
          <w:t>la Ley Orgánica</w:t>
        </w:r>
      </w:smartTag>
      <w:r w:rsidRPr="00FE73F1">
        <w:rPr>
          <w:rFonts w:ascii="Abadi" w:hAnsi="Abadi"/>
          <w:b w:val="0"/>
          <w:bCs w:val="0"/>
        </w:rPr>
        <w:t xml:space="preserve"> del Poder Legislativo del Estado de Guanajuato señala en su artículo 112, fracción XII, primer párrafo que, a esta Comisión de Hacienda y Fiscalización le compete el conocimiento y dictamen de los asuntos relativos a los informes de resultados que emita la Auditoría Superior del Estado. </w:t>
      </w:r>
    </w:p>
    <w:p w14:paraId="5CFF6579" w14:textId="77777777" w:rsidR="003C20B5" w:rsidRPr="00FE73F1" w:rsidRDefault="003C20B5" w:rsidP="003C20B5">
      <w:pPr>
        <w:pStyle w:val="Textoindependiente"/>
        <w:ind w:firstLine="708"/>
        <w:rPr>
          <w:rFonts w:ascii="Abadi" w:hAnsi="Abadi"/>
          <w:b w:val="0"/>
          <w:bCs w:val="0"/>
        </w:rPr>
      </w:pPr>
    </w:p>
    <w:p w14:paraId="4CE4CC57" w14:textId="77777777" w:rsidR="003C20B5" w:rsidRPr="00FE73F1" w:rsidRDefault="003C20B5" w:rsidP="003C20B5">
      <w:pPr>
        <w:pStyle w:val="Textoindependiente"/>
        <w:ind w:firstLine="708"/>
        <w:rPr>
          <w:rFonts w:ascii="Abadi" w:hAnsi="Abadi"/>
          <w:b w:val="0"/>
          <w:bCs w:val="0"/>
        </w:rPr>
      </w:pPr>
      <w:r w:rsidRPr="00FE73F1">
        <w:rPr>
          <w:rFonts w:ascii="Abadi" w:hAnsi="Abadi"/>
          <w:b w:val="0"/>
          <w:bCs w:val="0"/>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0800957" w14:textId="77777777" w:rsidR="003C20B5" w:rsidRPr="00FE73F1" w:rsidRDefault="003C20B5" w:rsidP="003C20B5">
      <w:pPr>
        <w:pStyle w:val="Textoindependiente"/>
        <w:ind w:firstLine="708"/>
        <w:rPr>
          <w:rFonts w:ascii="Abadi" w:hAnsi="Abadi"/>
          <w:b w:val="0"/>
          <w:bCs w:val="0"/>
        </w:rPr>
      </w:pPr>
    </w:p>
    <w:p w14:paraId="2FB9151F" w14:textId="77777777" w:rsidR="003C20B5" w:rsidRPr="002D10D4" w:rsidRDefault="003C20B5" w:rsidP="003C20B5">
      <w:pPr>
        <w:pStyle w:val="Textoindependiente"/>
        <w:ind w:firstLine="708"/>
        <w:rPr>
          <w:rFonts w:ascii="Abadi" w:hAnsi="Abadi"/>
        </w:rPr>
      </w:pPr>
    </w:p>
    <w:p w14:paraId="6A6C05B9" w14:textId="77777777" w:rsidR="003C20B5" w:rsidRPr="00FE73F1" w:rsidRDefault="003C20B5" w:rsidP="003C20B5">
      <w:pPr>
        <w:pStyle w:val="Textoindependiente"/>
        <w:ind w:firstLine="708"/>
        <w:rPr>
          <w:rFonts w:ascii="Abadi" w:hAnsi="Abadi"/>
        </w:rPr>
      </w:pPr>
      <w:r w:rsidRPr="00FE73F1">
        <w:rPr>
          <w:rFonts w:ascii="Abadi" w:hAnsi="Abadi"/>
        </w:rPr>
        <w:t>II. Antecedentes:</w:t>
      </w:r>
    </w:p>
    <w:p w14:paraId="4D2484A4" w14:textId="77777777" w:rsidR="003C20B5" w:rsidRPr="00FE73F1" w:rsidRDefault="003C20B5" w:rsidP="003C20B5">
      <w:pPr>
        <w:pStyle w:val="Textoindependiente"/>
        <w:ind w:firstLine="708"/>
        <w:rPr>
          <w:rFonts w:ascii="Abadi" w:hAnsi="Abadi"/>
        </w:rPr>
      </w:pPr>
    </w:p>
    <w:p w14:paraId="0D0159C7" w14:textId="77777777" w:rsidR="003C20B5" w:rsidRPr="00FE73F1" w:rsidRDefault="003C20B5" w:rsidP="003C20B5">
      <w:pPr>
        <w:ind w:firstLine="708"/>
        <w:jc w:val="both"/>
        <w:rPr>
          <w:rFonts w:ascii="Abadi" w:hAnsi="Abadi" w:cs="Arial"/>
          <w:sz w:val="20"/>
          <w:szCs w:val="20"/>
        </w:rPr>
      </w:pPr>
      <w:r w:rsidRPr="00FE73F1">
        <w:rPr>
          <w:rFonts w:ascii="Abadi" w:hAnsi="Abadi" w:cs="Arial"/>
          <w:sz w:val="20"/>
          <w:szCs w:val="20"/>
        </w:rPr>
        <w:t xml:space="preserve">En la sesión ordinaria celebrada el 20 de diciembre de 2021, el Pleno de esta Sexagésima Quinta Legislatura del Congreso del Estado, con fundamento en los artículos 116, fracción II de la Constitución Política de los Estados Unidos Mexicanos; 57, 63, fracción XXVIII y 66 fracción IV de la Constitución Política para el Estado de Guanajuato; 2, fracción II, 3, fracción I y 82, fracción III de la Ley de Fiscalización Superior del Estado de Guanajuato, acordó ordenar a la Auditoría Superior del Estado la práctica de una auditoría integral a la administración pública municipal de Salamanca, </w:t>
      </w:r>
      <w:proofErr w:type="spellStart"/>
      <w:r w:rsidRPr="00FE73F1">
        <w:rPr>
          <w:rFonts w:ascii="Abadi" w:hAnsi="Abadi" w:cs="Arial"/>
          <w:sz w:val="20"/>
          <w:szCs w:val="20"/>
        </w:rPr>
        <w:t>Gto</w:t>
      </w:r>
      <w:proofErr w:type="spellEnd"/>
      <w:r w:rsidRPr="00FE73F1">
        <w:rPr>
          <w:rFonts w:ascii="Abadi" w:hAnsi="Abadi" w:cs="Arial"/>
          <w:sz w:val="20"/>
          <w:szCs w:val="20"/>
        </w:rPr>
        <w:t>.,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aplicando las normas técnicas que resultaran idóneas para el cumplimiento de dicho mandato, en los términos de las consideraciones del dictamen formulado por la Comisión de Hacienda y Fiscalización.</w:t>
      </w:r>
    </w:p>
    <w:p w14:paraId="07DDE4BD" w14:textId="77777777" w:rsidR="003C20B5" w:rsidRPr="00FE73F1" w:rsidRDefault="003C20B5" w:rsidP="003C20B5">
      <w:pPr>
        <w:ind w:firstLine="708"/>
        <w:jc w:val="both"/>
        <w:rPr>
          <w:rFonts w:ascii="Abadi" w:hAnsi="Abadi" w:cs="Arial"/>
          <w:sz w:val="20"/>
          <w:szCs w:val="20"/>
        </w:rPr>
      </w:pPr>
    </w:p>
    <w:p w14:paraId="669CD809" w14:textId="77777777" w:rsidR="003C20B5" w:rsidRPr="00FE73F1" w:rsidRDefault="003C20B5" w:rsidP="003C20B5">
      <w:pPr>
        <w:ind w:firstLine="708"/>
        <w:jc w:val="both"/>
        <w:rPr>
          <w:rFonts w:ascii="Abadi" w:hAnsi="Abadi" w:cs="Arial"/>
          <w:sz w:val="20"/>
          <w:szCs w:val="20"/>
        </w:rPr>
      </w:pPr>
      <w:r w:rsidRPr="00FE73F1">
        <w:rPr>
          <w:rFonts w:ascii="Abadi" w:hAnsi="Abadi" w:cs="Arial"/>
          <w:sz w:val="20"/>
          <w:szCs w:val="20"/>
        </w:rPr>
        <w:t xml:space="preserve">Al respecto, en el referido dictamen se vierten las siguientes consideraciones en atención a la propuesta de punto de acuerdo formulada por la diputada y el diputado integrantes del Grupo Parlamentario del Partido </w:t>
      </w:r>
      <w:r w:rsidRPr="00FE73F1">
        <w:rPr>
          <w:rFonts w:ascii="Abadi" w:hAnsi="Abadi" w:cs="Arial"/>
          <w:sz w:val="20"/>
          <w:szCs w:val="20"/>
        </w:rPr>
        <w:t>Verde Ecologista de México ante esta Sexagésima Quinta Legislatura:</w:t>
      </w:r>
    </w:p>
    <w:p w14:paraId="2A18C602" w14:textId="77777777" w:rsidR="003C20B5" w:rsidRPr="00FE73F1" w:rsidRDefault="003C20B5" w:rsidP="003C20B5">
      <w:pPr>
        <w:ind w:firstLine="708"/>
        <w:jc w:val="both"/>
        <w:rPr>
          <w:rFonts w:ascii="Abadi" w:hAnsi="Abadi" w:cs="Arial"/>
          <w:sz w:val="20"/>
          <w:szCs w:val="20"/>
        </w:rPr>
      </w:pPr>
    </w:p>
    <w:p w14:paraId="1371146B" w14:textId="77777777" w:rsidR="003C20B5" w:rsidRPr="00FE73F1" w:rsidRDefault="003C20B5" w:rsidP="003C20B5">
      <w:pPr>
        <w:ind w:left="709"/>
        <w:jc w:val="both"/>
        <w:rPr>
          <w:rFonts w:ascii="Abadi" w:hAnsi="Abadi" w:cs="Arial"/>
          <w:sz w:val="20"/>
          <w:szCs w:val="20"/>
        </w:rPr>
      </w:pPr>
      <w:r w:rsidRPr="00FE73F1">
        <w:rPr>
          <w:rFonts w:ascii="Abadi" w:hAnsi="Abadi" w:cs="Arial"/>
          <w:sz w:val="20"/>
          <w:szCs w:val="20"/>
        </w:rPr>
        <w:t xml:space="preserve">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7429109A" w14:textId="77777777" w:rsidR="003C20B5" w:rsidRPr="00FE73F1" w:rsidRDefault="003C20B5" w:rsidP="003C20B5">
      <w:pPr>
        <w:ind w:left="709"/>
        <w:jc w:val="both"/>
        <w:rPr>
          <w:rFonts w:ascii="Abadi" w:hAnsi="Abadi" w:cs="Arial"/>
          <w:sz w:val="20"/>
          <w:szCs w:val="20"/>
        </w:rPr>
      </w:pPr>
    </w:p>
    <w:p w14:paraId="666EEBF0" w14:textId="77777777" w:rsidR="003C20B5" w:rsidRPr="00FE73F1" w:rsidRDefault="003C20B5" w:rsidP="003C20B5">
      <w:pPr>
        <w:ind w:left="709"/>
        <w:jc w:val="both"/>
        <w:rPr>
          <w:rFonts w:ascii="Abadi" w:hAnsi="Abadi" w:cs="Arial"/>
          <w:sz w:val="20"/>
          <w:szCs w:val="20"/>
        </w:rPr>
      </w:pPr>
      <w:r w:rsidRPr="00FE73F1">
        <w:rPr>
          <w:rFonts w:ascii="Abadi" w:hAnsi="Abadi" w:cs="Arial"/>
          <w:sz w:val="20"/>
          <w:szCs w:val="20"/>
        </w:rPr>
        <w:t>La administración, ejercicio, aplicación y control de los recursos públicos tienen que destinarse al sostenimiento y prestación de las funciones y servicios públicos estatuidos por las leyes, las que establecen los 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485E4A1A" w14:textId="77777777" w:rsidR="003C20B5" w:rsidRPr="00FE73F1" w:rsidRDefault="003C20B5" w:rsidP="003C20B5">
      <w:pPr>
        <w:spacing w:line="360" w:lineRule="auto"/>
        <w:jc w:val="both"/>
        <w:rPr>
          <w:rFonts w:ascii="Abadi" w:hAnsi="Abadi" w:cs="Arial"/>
          <w:sz w:val="20"/>
          <w:szCs w:val="20"/>
        </w:rPr>
      </w:pPr>
      <w:r w:rsidRPr="00FE73F1">
        <w:rPr>
          <w:rFonts w:ascii="Abadi" w:hAnsi="Abadi" w:cs="Arial"/>
          <w:sz w:val="20"/>
          <w:szCs w:val="20"/>
        </w:rPr>
        <w:tab/>
      </w:r>
    </w:p>
    <w:p w14:paraId="644DA135" w14:textId="77777777" w:rsidR="003C20B5" w:rsidRPr="002D10D4" w:rsidRDefault="003C20B5" w:rsidP="003C20B5">
      <w:pPr>
        <w:ind w:left="709"/>
        <w:jc w:val="both"/>
        <w:rPr>
          <w:rFonts w:ascii="Abadi" w:hAnsi="Abadi" w:cs="Tahoma"/>
          <w:i/>
          <w:iCs/>
          <w:sz w:val="18"/>
          <w:szCs w:val="18"/>
        </w:rPr>
      </w:pPr>
      <w:r w:rsidRPr="00FE73F1">
        <w:rPr>
          <w:rFonts w:ascii="Abadi" w:hAnsi="Abadi" w:cs="Arial"/>
          <w:sz w:val="20"/>
          <w:szCs w:val="20"/>
        </w:rPr>
        <w:t>El Congreso del Estado cumple con su función de control y de supervisión del manejo y aplicación de los recursos públicos</w:t>
      </w:r>
      <w:r w:rsidRPr="002D10D4">
        <w:rPr>
          <w:rFonts w:ascii="Abadi" w:hAnsi="Abadi" w:cs="Tahoma"/>
          <w:i/>
          <w:iCs/>
          <w:sz w:val="18"/>
          <w:szCs w:val="18"/>
        </w:rPr>
        <w:t xml:space="preserve"> a cargo de los poderes del Estado, los ayuntamientos y los organismos autónomos, a partir de la aprobación de las leyes tributarias que autorizan su obtención y aplicación; y de aquellas leyes que previenen y sancionan el uso indebido que se realice sobre dichos recursos. También lleva a cabo esta función indispensable para el Estado de Derecho, cuando fiscaliza y audita la aplicación de los caudales públicos.</w:t>
      </w:r>
    </w:p>
    <w:p w14:paraId="112E5F53" w14:textId="77777777" w:rsidR="003C20B5" w:rsidRPr="002D10D4" w:rsidRDefault="003C20B5" w:rsidP="003C20B5">
      <w:pPr>
        <w:ind w:left="709"/>
        <w:jc w:val="both"/>
        <w:rPr>
          <w:rFonts w:ascii="Abadi" w:hAnsi="Abadi" w:cs="Tahoma"/>
          <w:i/>
          <w:iCs/>
          <w:sz w:val="18"/>
          <w:szCs w:val="18"/>
        </w:rPr>
      </w:pPr>
    </w:p>
    <w:p w14:paraId="3B0BAA4D"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ab/>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w:t>
      </w:r>
      <w:r w:rsidRPr="002D10D4">
        <w:rPr>
          <w:rFonts w:ascii="Abadi" w:hAnsi="Abadi" w:cs="Tahoma"/>
          <w:i/>
          <w:iCs/>
          <w:sz w:val="18"/>
          <w:szCs w:val="18"/>
        </w:rPr>
        <w:lastRenderedPageBreak/>
        <w:t xml:space="preserve">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499119D3" w14:textId="77777777" w:rsidR="003C20B5" w:rsidRPr="002D10D4" w:rsidRDefault="003C20B5" w:rsidP="003C20B5">
      <w:pPr>
        <w:ind w:left="709"/>
        <w:jc w:val="both"/>
        <w:rPr>
          <w:rFonts w:ascii="Abadi" w:hAnsi="Abadi" w:cs="Tahoma"/>
          <w:i/>
          <w:iCs/>
          <w:sz w:val="18"/>
          <w:szCs w:val="18"/>
        </w:rPr>
      </w:pPr>
    </w:p>
    <w:p w14:paraId="5E9882ED"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para el Estado de Guanajuato, dispone que es facultad del Congreso del Estado acordar con el voto de las dos terceras partes del total de sus integrantes la práctica de auditorías a los sujetos de fiscalización, cuando exista causa justificada para ello. </w:t>
      </w:r>
    </w:p>
    <w:p w14:paraId="1BE39EAF" w14:textId="77777777" w:rsidR="003C20B5" w:rsidRPr="002D10D4" w:rsidRDefault="003C20B5" w:rsidP="003C20B5">
      <w:pPr>
        <w:ind w:firstLine="708"/>
        <w:jc w:val="both"/>
        <w:rPr>
          <w:rFonts w:ascii="Abadi" w:hAnsi="Abadi" w:cs="Tahoma"/>
        </w:rPr>
      </w:pPr>
    </w:p>
    <w:p w14:paraId="064B5839"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13844279" w14:textId="77777777" w:rsidR="003C20B5" w:rsidRPr="002D10D4" w:rsidRDefault="003C20B5" w:rsidP="003C20B5">
      <w:pPr>
        <w:spacing w:line="360" w:lineRule="auto"/>
        <w:ind w:firstLine="708"/>
        <w:jc w:val="both"/>
        <w:rPr>
          <w:rFonts w:ascii="Abadi" w:hAnsi="Abadi" w:cs="Tahoma"/>
        </w:rPr>
      </w:pPr>
    </w:p>
    <w:p w14:paraId="53F6E589"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El ayuntamiento de Salamanca, </w:t>
      </w:r>
      <w:proofErr w:type="spellStart"/>
      <w:r w:rsidRPr="002D10D4">
        <w:rPr>
          <w:rFonts w:ascii="Abadi" w:hAnsi="Abadi" w:cs="Tahoma"/>
          <w:i/>
          <w:iCs/>
          <w:sz w:val="18"/>
          <w:szCs w:val="18"/>
        </w:rPr>
        <w:t>Gto</w:t>
      </w:r>
      <w:proofErr w:type="spellEnd"/>
      <w:r w:rsidRPr="002D10D4">
        <w:rPr>
          <w:rFonts w:ascii="Abadi" w:hAnsi="Abadi" w:cs="Tahoma"/>
          <w:i/>
          <w:iCs/>
          <w:sz w:val="18"/>
          <w:szCs w:val="18"/>
        </w:rPr>
        <w:t>., es sujeto de la función de fiscalización del Congreso del Estado, según se desprende de los artículos 63 fracciones XIX y XXVIII; y 66 de la Constitución Política local y 2, fracción II de la Ley de Fiscalización Superior del Estado de Guanajuato.</w:t>
      </w:r>
    </w:p>
    <w:p w14:paraId="41D0A0D8" w14:textId="77777777" w:rsidR="003C20B5" w:rsidRPr="002D10D4" w:rsidRDefault="003C20B5" w:rsidP="003C20B5">
      <w:pPr>
        <w:ind w:left="709"/>
        <w:jc w:val="both"/>
        <w:rPr>
          <w:rFonts w:ascii="Abadi" w:hAnsi="Abadi" w:cs="Tahoma"/>
          <w:i/>
          <w:iCs/>
          <w:sz w:val="18"/>
          <w:szCs w:val="18"/>
        </w:rPr>
      </w:pPr>
    </w:p>
    <w:p w14:paraId="7BB763C5"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En este orden de ideas, de acuerdo a la información proporcionada por la Auditoría Superior del Estado, durante los ejercicios fiscales 2018, 2019 y 2020 se efectuaron las siguientes revisiones y auditorías a la administración pública de Salamanca, </w:t>
      </w:r>
      <w:proofErr w:type="spellStart"/>
      <w:r w:rsidRPr="002D10D4">
        <w:rPr>
          <w:rFonts w:ascii="Abadi" w:hAnsi="Abadi" w:cs="Tahoma"/>
          <w:i/>
          <w:iCs/>
          <w:sz w:val="18"/>
          <w:szCs w:val="18"/>
        </w:rPr>
        <w:t>Gto</w:t>
      </w:r>
      <w:proofErr w:type="spellEnd"/>
      <w:r w:rsidRPr="002D10D4">
        <w:rPr>
          <w:rFonts w:ascii="Abadi" w:hAnsi="Abadi" w:cs="Tahoma"/>
          <w:i/>
          <w:iCs/>
          <w:sz w:val="18"/>
          <w:szCs w:val="18"/>
        </w:rPr>
        <w:t>:</w:t>
      </w:r>
    </w:p>
    <w:p w14:paraId="457B6C96" w14:textId="77777777" w:rsidR="003C20B5" w:rsidRPr="002D10D4" w:rsidRDefault="003C20B5" w:rsidP="003C20B5">
      <w:pPr>
        <w:spacing w:line="360" w:lineRule="auto"/>
        <w:ind w:firstLine="720"/>
        <w:jc w:val="both"/>
        <w:rPr>
          <w:rFonts w:ascii="Abadi" w:hAnsi="Abadi" w:cs="Tahoma"/>
        </w:rPr>
      </w:pPr>
      <w:r w:rsidRPr="002D10D4">
        <w:rPr>
          <w:rFonts w:ascii="Abadi" w:hAnsi="Abadi" w:cs="Tahoma"/>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283"/>
        <w:gridCol w:w="995"/>
        <w:gridCol w:w="995"/>
      </w:tblGrid>
      <w:tr w:rsidR="003C20B5" w:rsidRPr="002D10D4" w14:paraId="75C5D2EA" w14:textId="77777777" w:rsidTr="001B69F2">
        <w:trPr>
          <w:jc w:val="center"/>
        </w:trPr>
        <w:tc>
          <w:tcPr>
            <w:tcW w:w="1271" w:type="dxa"/>
            <w:shd w:val="clear" w:color="auto" w:fill="auto"/>
          </w:tcPr>
          <w:p w14:paraId="2B017F40" w14:textId="77777777" w:rsidR="003C20B5" w:rsidRPr="002D10D4" w:rsidRDefault="003C20B5" w:rsidP="001B69F2">
            <w:pPr>
              <w:jc w:val="center"/>
              <w:rPr>
                <w:rFonts w:ascii="Abadi" w:hAnsi="Abadi"/>
                <w:b/>
                <w:i/>
                <w:iCs/>
                <w:sz w:val="18"/>
                <w:szCs w:val="18"/>
                <w:lang w:eastAsia="en-US"/>
              </w:rPr>
            </w:pPr>
            <w:r w:rsidRPr="002D10D4">
              <w:rPr>
                <w:rFonts w:ascii="Abadi" w:hAnsi="Abadi"/>
                <w:b/>
                <w:i/>
                <w:iCs/>
                <w:sz w:val="18"/>
                <w:szCs w:val="18"/>
                <w:lang w:eastAsia="en-US"/>
              </w:rPr>
              <w:t>Ejercicio</w:t>
            </w:r>
          </w:p>
        </w:tc>
        <w:tc>
          <w:tcPr>
            <w:tcW w:w="3404" w:type="dxa"/>
            <w:shd w:val="clear" w:color="auto" w:fill="auto"/>
          </w:tcPr>
          <w:p w14:paraId="737B7C09" w14:textId="77777777" w:rsidR="003C20B5" w:rsidRPr="002D10D4" w:rsidRDefault="003C20B5" w:rsidP="001B69F2">
            <w:pPr>
              <w:jc w:val="center"/>
              <w:rPr>
                <w:rFonts w:ascii="Abadi" w:hAnsi="Abadi"/>
                <w:b/>
                <w:i/>
                <w:iCs/>
                <w:sz w:val="18"/>
                <w:szCs w:val="18"/>
                <w:lang w:eastAsia="en-US"/>
              </w:rPr>
            </w:pPr>
            <w:r w:rsidRPr="002D10D4">
              <w:rPr>
                <w:rFonts w:ascii="Abadi" w:hAnsi="Abadi"/>
                <w:b/>
                <w:i/>
                <w:iCs/>
                <w:sz w:val="18"/>
                <w:szCs w:val="18"/>
                <w:lang w:eastAsia="en-US"/>
              </w:rPr>
              <w:t>Tipo de Revisión</w:t>
            </w:r>
          </w:p>
          <w:p w14:paraId="6352518A" w14:textId="77777777" w:rsidR="003C20B5" w:rsidRPr="002D10D4" w:rsidRDefault="003C20B5" w:rsidP="001B69F2">
            <w:pPr>
              <w:jc w:val="center"/>
              <w:rPr>
                <w:rFonts w:ascii="Abadi" w:hAnsi="Abadi"/>
                <w:b/>
                <w:i/>
                <w:iCs/>
                <w:sz w:val="18"/>
                <w:szCs w:val="18"/>
                <w:lang w:eastAsia="en-US"/>
              </w:rPr>
            </w:pPr>
            <w:r w:rsidRPr="002D10D4">
              <w:rPr>
                <w:rFonts w:ascii="Abadi" w:hAnsi="Abadi"/>
                <w:b/>
                <w:i/>
                <w:iCs/>
                <w:sz w:val="18"/>
                <w:szCs w:val="18"/>
                <w:lang w:eastAsia="en-US"/>
              </w:rPr>
              <w:t>/Auditoría</w:t>
            </w:r>
          </w:p>
        </w:tc>
        <w:tc>
          <w:tcPr>
            <w:tcW w:w="1431" w:type="dxa"/>
            <w:shd w:val="clear" w:color="auto" w:fill="auto"/>
          </w:tcPr>
          <w:p w14:paraId="680F071A" w14:textId="77777777" w:rsidR="003C20B5" w:rsidRPr="002D10D4" w:rsidRDefault="003C20B5" w:rsidP="001B69F2">
            <w:pPr>
              <w:jc w:val="center"/>
              <w:rPr>
                <w:rFonts w:ascii="Abadi" w:hAnsi="Abadi"/>
                <w:b/>
                <w:i/>
                <w:iCs/>
                <w:sz w:val="18"/>
                <w:szCs w:val="18"/>
                <w:lang w:eastAsia="en-US"/>
              </w:rPr>
            </w:pPr>
            <w:r w:rsidRPr="002D10D4">
              <w:rPr>
                <w:rFonts w:ascii="Abadi" w:hAnsi="Abadi"/>
                <w:b/>
                <w:i/>
                <w:iCs/>
                <w:sz w:val="18"/>
                <w:szCs w:val="18"/>
                <w:lang w:eastAsia="en-US"/>
              </w:rPr>
              <w:t xml:space="preserve">Porcentaje revisado </w:t>
            </w:r>
            <w:r w:rsidRPr="002D10D4">
              <w:rPr>
                <w:rFonts w:ascii="Abadi" w:hAnsi="Abadi"/>
                <w:b/>
                <w:i/>
                <w:iCs/>
                <w:sz w:val="18"/>
                <w:szCs w:val="18"/>
                <w:lang w:eastAsia="en-US"/>
              </w:rPr>
              <w:t>de ingresos</w:t>
            </w:r>
          </w:p>
        </w:tc>
        <w:tc>
          <w:tcPr>
            <w:tcW w:w="1431" w:type="dxa"/>
            <w:shd w:val="clear" w:color="auto" w:fill="auto"/>
          </w:tcPr>
          <w:p w14:paraId="239066D6" w14:textId="77777777" w:rsidR="003C20B5" w:rsidRPr="002D10D4" w:rsidRDefault="003C20B5" w:rsidP="001B69F2">
            <w:pPr>
              <w:jc w:val="center"/>
              <w:rPr>
                <w:rFonts w:ascii="Abadi" w:hAnsi="Abadi"/>
                <w:b/>
                <w:i/>
                <w:iCs/>
                <w:sz w:val="18"/>
                <w:szCs w:val="18"/>
                <w:lang w:eastAsia="en-US"/>
              </w:rPr>
            </w:pPr>
            <w:r w:rsidRPr="002D10D4">
              <w:rPr>
                <w:rFonts w:ascii="Abadi" w:hAnsi="Abadi"/>
                <w:b/>
                <w:i/>
                <w:iCs/>
                <w:sz w:val="18"/>
                <w:szCs w:val="18"/>
                <w:lang w:eastAsia="en-US"/>
              </w:rPr>
              <w:t>Porcentaje revisado de egresos</w:t>
            </w:r>
          </w:p>
        </w:tc>
      </w:tr>
      <w:tr w:rsidR="003C20B5" w:rsidRPr="002D10D4" w14:paraId="59AD34A0" w14:textId="77777777" w:rsidTr="001B69F2">
        <w:trPr>
          <w:jc w:val="center"/>
        </w:trPr>
        <w:tc>
          <w:tcPr>
            <w:tcW w:w="1271" w:type="dxa"/>
            <w:shd w:val="clear" w:color="auto" w:fill="auto"/>
            <w:vAlign w:val="center"/>
          </w:tcPr>
          <w:p w14:paraId="41395D88"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2018</w:t>
            </w:r>
          </w:p>
        </w:tc>
        <w:tc>
          <w:tcPr>
            <w:tcW w:w="3404" w:type="dxa"/>
            <w:shd w:val="clear" w:color="auto" w:fill="auto"/>
            <w:vAlign w:val="center"/>
          </w:tcPr>
          <w:p w14:paraId="50C6146E" w14:textId="77777777" w:rsidR="003C20B5" w:rsidRPr="002D10D4" w:rsidRDefault="003C20B5" w:rsidP="001B69F2">
            <w:pPr>
              <w:rPr>
                <w:rFonts w:ascii="Abadi" w:hAnsi="Abadi"/>
                <w:bCs/>
                <w:i/>
                <w:iCs/>
                <w:sz w:val="18"/>
                <w:szCs w:val="18"/>
                <w:lang w:eastAsia="en-US"/>
              </w:rPr>
            </w:pPr>
            <w:r w:rsidRPr="002D10D4">
              <w:rPr>
                <w:rFonts w:ascii="Abadi" w:hAnsi="Abadi"/>
                <w:bCs/>
                <w:i/>
                <w:iCs/>
                <w:sz w:val="18"/>
                <w:szCs w:val="18"/>
                <w:lang w:eastAsia="en-US"/>
              </w:rPr>
              <w:t>Auditoría integral</w:t>
            </w:r>
          </w:p>
        </w:tc>
        <w:tc>
          <w:tcPr>
            <w:tcW w:w="1431" w:type="dxa"/>
            <w:shd w:val="clear" w:color="auto" w:fill="auto"/>
            <w:vAlign w:val="center"/>
          </w:tcPr>
          <w:p w14:paraId="5A0A9A9F"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 xml:space="preserve">100% </w:t>
            </w:r>
          </w:p>
        </w:tc>
        <w:tc>
          <w:tcPr>
            <w:tcW w:w="1431" w:type="dxa"/>
            <w:shd w:val="clear" w:color="auto" w:fill="auto"/>
            <w:vAlign w:val="center"/>
          </w:tcPr>
          <w:p w14:paraId="63DABDB8"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81%</w:t>
            </w:r>
          </w:p>
        </w:tc>
      </w:tr>
      <w:tr w:rsidR="003C20B5" w:rsidRPr="002D10D4" w14:paraId="77717C60" w14:textId="77777777" w:rsidTr="001B69F2">
        <w:trPr>
          <w:jc w:val="center"/>
        </w:trPr>
        <w:tc>
          <w:tcPr>
            <w:tcW w:w="1271" w:type="dxa"/>
            <w:shd w:val="clear" w:color="auto" w:fill="auto"/>
            <w:vAlign w:val="center"/>
          </w:tcPr>
          <w:p w14:paraId="64C8D6D5"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2018</w:t>
            </w:r>
          </w:p>
        </w:tc>
        <w:tc>
          <w:tcPr>
            <w:tcW w:w="3404" w:type="dxa"/>
            <w:shd w:val="clear" w:color="auto" w:fill="auto"/>
            <w:vAlign w:val="center"/>
          </w:tcPr>
          <w:p w14:paraId="07E69B20" w14:textId="77777777" w:rsidR="003C20B5" w:rsidRPr="002D10D4" w:rsidRDefault="003C20B5" w:rsidP="001B69F2">
            <w:pPr>
              <w:rPr>
                <w:rFonts w:ascii="Abadi" w:hAnsi="Abadi"/>
                <w:b/>
                <w:i/>
                <w:iCs/>
                <w:sz w:val="18"/>
                <w:szCs w:val="18"/>
                <w:lang w:eastAsia="en-US"/>
              </w:rPr>
            </w:pPr>
            <w:r w:rsidRPr="002D10D4">
              <w:rPr>
                <w:rFonts w:ascii="Abadi" w:hAnsi="Abadi"/>
                <w:bCs/>
                <w:i/>
                <w:iCs/>
                <w:sz w:val="18"/>
                <w:szCs w:val="18"/>
                <w:lang w:eastAsia="en-US"/>
              </w:rPr>
              <w:t>Revisión de cuenta pública</w:t>
            </w:r>
          </w:p>
        </w:tc>
        <w:tc>
          <w:tcPr>
            <w:tcW w:w="1431" w:type="dxa"/>
            <w:shd w:val="clear" w:color="auto" w:fill="auto"/>
            <w:vAlign w:val="center"/>
          </w:tcPr>
          <w:p w14:paraId="34D9C3C3"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63%</w:t>
            </w:r>
          </w:p>
        </w:tc>
        <w:tc>
          <w:tcPr>
            <w:tcW w:w="1431" w:type="dxa"/>
            <w:shd w:val="clear" w:color="auto" w:fill="auto"/>
            <w:vAlign w:val="center"/>
          </w:tcPr>
          <w:p w14:paraId="2137DEF7"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51%</w:t>
            </w:r>
          </w:p>
        </w:tc>
      </w:tr>
      <w:tr w:rsidR="003C20B5" w:rsidRPr="002D10D4" w14:paraId="2D8D848F" w14:textId="77777777" w:rsidTr="001B69F2">
        <w:trPr>
          <w:jc w:val="center"/>
        </w:trPr>
        <w:tc>
          <w:tcPr>
            <w:tcW w:w="1271" w:type="dxa"/>
            <w:shd w:val="clear" w:color="auto" w:fill="auto"/>
            <w:vAlign w:val="center"/>
          </w:tcPr>
          <w:p w14:paraId="57BD5620"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2018</w:t>
            </w:r>
          </w:p>
        </w:tc>
        <w:tc>
          <w:tcPr>
            <w:tcW w:w="3404" w:type="dxa"/>
            <w:shd w:val="clear" w:color="auto" w:fill="auto"/>
            <w:vAlign w:val="center"/>
          </w:tcPr>
          <w:p w14:paraId="159DEF28" w14:textId="77777777" w:rsidR="003C20B5" w:rsidRPr="002D10D4" w:rsidRDefault="003C20B5" w:rsidP="001B69F2">
            <w:pPr>
              <w:jc w:val="both"/>
              <w:rPr>
                <w:rFonts w:ascii="Abadi" w:hAnsi="Abadi"/>
                <w:bCs/>
                <w:i/>
                <w:iCs/>
                <w:sz w:val="18"/>
                <w:szCs w:val="18"/>
                <w:lang w:eastAsia="en-US"/>
              </w:rPr>
            </w:pPr>
            <w:r w:rsidRPr="002D10D4">
              <w:rPr>
                <w:rFonts w:ascii="Abadi" w:hAnsi="Abadi"/>
                <w:bCs/>
                <w:i/>
                <w:iCs/>
                <w:sz w:val="18"/>
                <w:szCs w:val="18"/>
                <w:lang w:eastAsia="en-US"/>
              </w:rPr>
              <w:t>Auditoria de Ramo 33 y obra pública</w:t>
            </w:r>
          </w:p>
        </w:tc>
        <w:tc>
          <w:tcPr>
            <w:tcW w:w="1431" w:type="dxa"/>
            <w:shd w:val="clear" w:color="auto" w:fill="auto"/>
            <w:vAlign w:val="center"/>
          </w:tcPr>
          <w:p w14:paraId="66EC89BA"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c>
          <w:tcPr>
            <w:tcW w:w="1431" w:type="dxa"/>
            <w:shd w:val="clear" w:color="auto" w:fill="auto"/>
            <w:vAlign w:val="center"/>
          </w:tcPr>
          <w:p w14:paraId="1B6C8741"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34%</w:t>
            </w:r>
          </w:p>
        </w:tc>
      </w:tr>
      <w:tr w:rsidR="003C20B5" w:rsidRPr="002D10D4" w14:paraId="143E42BA" w14:textId="77777777" w:rsidTr="001B69F2">
        <w:trPr>
          <w:jc w:val="center"/>
        </w:trPr>
        <w:tc>
          <w:tcPr>
            <w:tcW w:w="1271" w:type="dxa"/>
            <w:shd w:val="clear" w:color="auto" w:fill="auto"/>
            <w:vAlign w:val="center"/>
          </w:tcPr>
          <w:p w14:paraId="2923216A"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2019</w:t>
            </w:r>
          </w:p>
        </w:tc>
        <w:tc>
          <w:tcPr>
            <w:tcW w:w="3404" w:type="dxa"/>
            <w:shd w:val="clear" w:color="auto" w:fill="auto"/>
            <w:vAlign w:val="center"/>
          </w:tcPr>
          <w:p w14:paraId="43C5B394" w14:textId="77777777" w:rsidR="003C20B5" w:rsidRPr="002D10D4" w:rsidRDefault="003C20B5" w:rsidP="001B69F2">
            <w:pPr>
              <w:rPr>
                <w:rFonts w:ascii="Abadi" w:hAnsi="Abadi"/>
                <w:b/>
                <w:i/>
                <w:iCs/>
                <w:sz w:val="18"/>
                <w:szCs w:val="18"/>
                <w:lang w:eastAsia="en-US"/>
              </w:rPr>
            </w:pPr>
            <w:r w:rsidRPr="002D10D4">
              <w:rPr>
                <w:rFonts w:ascii="Abadi" w:hAnsi="Abadi"/>
                <w:bCs/>
                <w:i/>
                <w:iCs/>
                <w:sz w:val="18"/>
                <w:szCs w:val="18"/>
                <w:lang w:eastAsia="en-US"/>
              </w:rPr>
              <w:t>Revisión de cuenta pública</w:t>
            </w:r>
          </w:p>
        </w:tc>
        <w:tc>
          <w:tcPr>
            <w:tcW w:w="1431" w:type="dxa"/>
            <w:shd w:val="clear" w:color="auto" w:fill="auto"/>
            <w:vAlign w:val="center"/>
          </w:tcPr>
          <w:p w14:paraId="128706F7"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66%</w:t>
            </w:r>
          </w:p>
        </w:tc>
        <w:tc>
          <w:tcPr>
            <w:tcW w:w="1431" w:type="dxa"/>
            <w:shd w:val="clear" w:color="auto" w:fill="auto"/>
            <w:vAlign w:val="center"/>
          </w:tcPr>
          <w:p w14:paraId="6122EF2C"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52%</w:t>
            </w:r>
          </w:p>
        </w:tc>
      </w:tr>
      <w:tr w:rsidR="003C20B5" w:rsidRPr="002D10D4" w14:paraId="2D2D2C87" w14:textId="77777777" w:rsidTr="001B69F2">
        <w:trPr>
          <w:jc w:val="center"/>
        </w:trPr>
        <w:tc>
          <w:tcPr>
            <w:tcW w:w="1271" w:type="dxa"/>
            <w:shd w:val="clear" w:color="auto" w:fill="auto"/>
            <w:vAlign w:val="center"/>
          </w:tcPr>
          <w:p w14:paraId="3392A7F2"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2019</w:t>
            </w:r>
          </w:p>
        </w:tc>
        <w:tc>
          <w:tcPr>
            <w:tcW w:w="3404" w:type="dxa"/>
            <w:shd w:val="clear" w:color="auto" w:fill="auto"/>
            <w:vAlign w:val="center"/>
          </w:tcPr>
          <w:p w14:paraId="1C41C89B" w14:textId="77777777" w:rsidR="003C20B5" w:rsidRPr="002D10D4" w:rsidRDefault="003C20B5" w:rsidP="001B69F2">
            <w:pPr>
              <w:rPr>
                <w:rFonts w:ascii="Abadi" w:hAnsi="Abadi"/>
                <w:bCs/>
                <w:i/>
                <w:iCs/>
                <w:sz w:val="18"/>
                <w:szCs w:val="18"/>
                <w:lang w:eastAsia="en-US"/>
              </w:rPr>
            </w:pPr>
            <w:r w:rsidRPr="002D10D4">
              <w:rPr>
                <w:rFonts w:ascii="Abadi" w:hAnsi="Abadi"/>
                <w:bCs/>
                <w:i/>
                <w:iCs/>
                <w:sz w:val="18"/>
                <w:szCs w:val="18"/>
                <w:lang w:eastAsia="en-US"/>
              </w:rPr>
              <w:t>Auditoría concomitante</w:t>
            </w:r>
          </w:p>
          <w:p w14:paraId="22B9A60C" w14:textId="77777777" w:rsidR="003C20B5" w:rsidRPr="002D10D4" w:rsidRDefault="003C20B5" w:rsidP="001B69F2">
            <w:pPr>
              <w:rPr>
                <w:rFonts w:ascii="Abadi" w:hAnsi="Abadi"/>
                <w:bCs/>
                <w:i/>
                <w:iCs/>
                <w:sz w:val="18"/>
                <w:szCs w:val="18"/>
                <w:lang w:eastAsia="en-US"/>
              </w:rPr>
            </w:pPr>
          </w:p>
        </w:tc>
        <w:tc>
          <w:tcPr>
            <w:tcW w:w="1431" w:type="dxa"/>
            <w:shd w:val="clear" w:color="auto" w:fill="auto"/>
            <w:vAlign w:val="center"/>
          </w:tcPr>
          <w:p w14:paraId="4723D5A1"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c>
          <w:tcPr>
            <w:tcW w:w="1431" w:type="dxa"/>
            <w:shd w:val="clear" w:color="auto" w:fill="auto"/>
            <w:vAlign w:val="center"/>
          </w:tcPr>
          <w:p w14:paraId="44C74EF7"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r>
      <w:tr w:rsidR="003C20B5" w:rsidRPr="002D10D4" w14:paraId="6BC359F6" w14:textId="77777777" w:rsidTr="001B69F2">
        <w:trPr>
          <w:jc w:val="center"/>
        </w:trPr>
        <w:tc>
          <w:tcPr>
            <w:tcW w:w="1271" w:type="dxa"/>
            <w:shd w:val="clear" w:color="auto" w:fill="auto"/>
            <w:vAlign w:val="center"/>
          </w:tcPr>
          <w:p w14:paraId="391205DE" w14:textId="77777777" w:rsidR="003C20B5" w:rsidRPr="002D10D4" w:rsidRDefault="003C20B5" w:rsidP="001B69F2">
            <w:pPr>
              <w:jc w:val="center"/>
              <w:rPr>
                <w:rFonts w:ascii="Abadi" w:hAnsi="Abadi"/>
                <w:bCs/>
                <w:i/>
                <w:iCs/>
                <w:sz w:val="18"/>
                <w:szCs w:val="18"/>
                <w:lang w:eastAsia="en-US"/>
              </w:rPr>
            </w:pPr>
          </w:p>
        </w:tc>
        <w:tc>
          <w:tcPr>
            <w:tcW w:w="3404" w:type="dxa"/>
            <w:shd w:val="clear" w:color="auto" w:fill="auto"/>
            <w:vAlign w:val="center"/>
          </w:tcPr>
          <w:p w14:paraId="0377F2CA" w14:textId="77777777" w:rsidR="003C20B5" w:rsidRPr="002D10D4" w:rsidRDefault="003C20B5" w:rsidP="001B69F2">
            <w:pPr>
              <w:jc w:val="both"/>
              <w:rPr>
                <w:rFonts w:ascii="Abadi" w:hAnsi="Abadi"/>
                <w:bCs/>
                <w:i/>
                <w:iCs/>
                <w:sz w:val="18"/>
                <w:szCs w:val="18"/>
                <w:lang w:eastAsia="en-US"/>
              </w:rPr>
            </w:pPr>
            <w:r w:rsidRPr="002D10D4">
              <w:rPr>
                <w:rFonts w:ascii="Abadi" w:hAnsi="Abadi"/>
                <w:bCs/>
                <w:i/>
                <w:iCs/>
                <w:sz w:val="18"/>
                <w:szCs w:val="18"/>
                <w:lang w:eastAsia="en-US"/>
              </w:rPr>
              <w:t>Auditoría específica en cumplimiento a la resolución de denuncia de situación excepcional</w:t>
            </w:r>
          </w:p>
        </w:tc>
        <w:tc>
          <w:tcPr>
            <w:tcW w:w="1431" w:type="dxa"/>
            <w:shd w:val="clear" w:color="auto" w:fill="auto"/>
            <w:vAlign w:val="center"/>
          </w:tcPr>
          <w:p w14:paraId="2BA9DA65"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c>
          <w:tcPr>
            <w:tcW w:w="1431" w:type="dxa"/>
            <w:shd w:val="clear" w:color="auto" w:fill="auto"/>
            <w:vAlign w:val="center"/>
          </w:tcPr>
          <w:p w14:paraId="2E2C1235"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r>
      <w:tr w:rsidR="003C20B5" w:rsidRPr="002D10D4" w14:paraId="6742A958" w14:textId="77777777" w:rsidTr="001B69F2">
        <w:trPr>
          <w:jc w:val="center"/>
        </w:trPr>
        <w:tc>
          <w:tcPr>
            <w:tcW w:w="1271" w:type="dxa"/>
            <w:shd w:val="clear" w:color="auto" w:fill="auto"/>
            <w:vAlign w:val="center"/>
          </w:tcPr>
          <w:p w14:paraId="405F22FC"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2019</w:t>
            </w:r>
          </w:p>
        </w:tc>
        <w:tc>
          <w:tcPr>
            <w:tcW w:w="3404" w:type="dxa"/>
            <w:shd w:val="clear" w:color="auto" w:fill="auto"/>
            <w:vAlign w:val="center"/>
          </w:tcPr>
          <w:p w14:paraId="1CCDF7B0" w14:textId="77777777" w:rsidR="003C20B5" w:rsidRPr="002D10D4" w:rsidRDefault="003C20B5" w:rsidP="001B69F2">
            <w:pPr>
              <w:jc w:val="both"/>
              <w:rPr>
                <w:rFonts w:ascii="Abadi" w:hAnsi="Abadi"/>
                <w:bCs/>
                <w:i/>
                <w:iCs/>
                <w:sz w:val="18"/>
                <w:szCs w:val="18"/>
                <w:lang w:eastAsia="en-US"/>
              </w:rPr>
            </w:pPr>
            <w:r w:rsidRPr="002D10D4">
              <w:rPr>
                <w:rFonts w:ascii="Abadi" w:hAnsi="Abadi"/>
                <w:bCs/>
                <w:i/>
                <w:iCs/>
                <w:sz w:val="18"/>
                <w:szCs w:val="18"/>
                <w:lang w:eastAsia="en-US"/>
              </w:rPr>
              <w:t>Auditoría del Ramo general 33 y obra pública</w:t>
            </w:r>
          </w:p>
        </w:tc>
        <w:tc>
          <w:tcPr>
            <w:tcW w:w="1431" w:type="dxa"/>
            <w:shd w:val="clear" w:color="auto" w:fill="auto"/>
            <w:vAlign w:val="center"/>
          </w:tcPr>
          <w:p w14:paraId="24A3E21F"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100%</w:t>
            </w:r>
          </w:p>
        </w:tc>
        <w:tc>
          <w:tcPr>
            <w:tcW w:w="1431" w:type="dxa"/>
            <w:shd w:val="clear" w:color="auto" w:fill="auto"/>
            <w:vAlign w:val="center"/>
          </w:tcPr>
          <w:p w14:paraId="3E26882B"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42%</w:t>
            </w:r>
          </w:p>
        </w:tc>
      </w:tr>
      <w:tr w:rsidR="003C20B5" w:rsidRPr="002D10D4" w14:paraId="342D78E1" w14:textId="77777777" w:rsidTr="001B69F2">
        <w:trPr>
          <w:jc w:val="center"/>
        </w:trPr>
        <w:tc>
          <w:tcPr>
            <w:tcW w:w="1271" w:type="dxa"/>
            <w:shd w:val="clear" w:color="auto" w:fill="auto"/>
            <w:vAlign w:val="center"/>
          </w:tcPr>
          <w:p w14:paraId="03677901"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2020</w:t>
            </w:r>
          </w:p>
        </w:tc>
        <w:tc>
          <w:tcPr>
            <w:tcW w:w="3404" w:type="dxa"/>
            <w:shd w:val="clear" w:color="auto" w:fill="auto"/>
            <w:vAlign w:val="center"/>
          </w:tcPr>
          <w:p w14:paraId="3399BB49" w14:textId="77777777" w:rsidR="003C20B5" w:rsidRPr="002D10D4" w:rsidRDefault="003C20B5" w:rsidP="001B69F2">
            <w:pPr>
              <w:rPr>
                <w:rFonts w:ascii="Abadi" w:hAnsi="Abadi"/>
                <w:b/>
                <w:i/>
                <w:iCs/>
                <w:sz w:val="18"/>
                <w:szCs w:val="18"/>
                <w:lang w:eastAsia="en-US"/>
              </w:rPr>
            </w:pPr>
            <w:r w:rsidRPr="002D10D4">
              <w:rPr>
                <w:rFonts w:ascii="Abadi" w:hAnsi="Abadi"/>
                <w:bCs/>
                <w:i/>
                <w:iCs/>
                <w:sz w:val="18"/>
                <w:szCs w:val="18"/>
                <w:lang w:eastAsia="en-US"/>
              </w:rPr>
              <w:t>Revisión de cuenta pública</w:t>
            </w:r>
          </w:p>
        </w:tc>
        <w:tc>
          <w:tcPr>
            <w:tcW w:w="1431" w:type="dxa"/>
            <w:shd w:val="clear" w:color="auto" w:fill="auto"/>
            <w:vAlign w:val="center"/>
          </w:tcPr>
          <w:p w14:paraId="2BB2A188"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71%</w:t>
            </w:r>
          </w:p>
        </w:tc>
        <w:tc>
          <w:tcPr>
            <w:tcW w:w="1431" w:type="dxa"/>
            <w:shd w:val="clear" w:color="auto" w:fill="auto"/>
            <w:vAlign w:val="center"/>
          </w:tcPr>
          <w:p w14:paraId="7EEBB937"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37%</w:t>
            </w:r>
          </w:p>
        </w:tc>
      </w:tr>
      <w:tr w:rsidR="003C20B5" w:rsidRPr="002D10D4" w14:paraId="49F7AFA5" w14:textId="77777777" w:rsidTr="001B69F2">
        <w:trPr>
          <w:jc w:val="center"/>
        </w:trPr>
        <w:tc>
          <w:tcPr>
            <w:tcW w:w="1271" w:type="dxa"/>
            <w:shd w:val="clear" w:color="auto" w:fill="auto"/>
            <w:vAlign w:val="center"/>
          </w:tcPr>
          <w:p w14:paraId="4F8319FE" w14:textId="77777777" w:rsidR="003C20B5" w:rsidRPr="002D10D4" w:rsidRDefault="003C20B5" w:rsidP="001B69F2">
            <w:pPr>
              <w:jc w:val="center"/>
              <w:rPr>
                <w:rFonts w:ascii="Abadi" w:hAnsi="Abadi"/>
                <w:bCs/>
                <w:i/>
                <w:iCs/>
                <w:sz w:val="18"/>
                <w:szCs w:val="18"/>
                <w:lang w:eastAsia="en-US"/>
              </w:rPr>
            </w:pPr>
            <w:r w:rsidRPr="002D10D4">
              <w:rPr>
                <w:rFonts w:ascii="Abadi" w:hAnsi="Abadi"/>
                <w:bCs/>
                <w:i/>
                <w:iCs/>
                <w:sz w:val="18"/>
                <w:szCs w:val="18"/>
                <w:lang w:eastAsia="en-US"/>
              </w:rPr>
              <w:t>2020</w:t>
            </w:r>
          </w:p>
        </w:tc>
        <w:tc>
          <w:tcPr>
            <w:tcW w:w="3404" w:type="dxa"/>
            <w:shd w:val="clear" w:color="auto" w:fill="auto"/>
            <w:vAlign w:val="center"/>
          </w:tcPr>
          <w:p w14:paraId="7388FF56" w14:textId="77777777" w:rsidR="003C20B5" w:rsidRPr="002D10D4" w:rsidRDefault="003C20B5" w:rsidP="001B69F2">
            <w:pPr>
              <w:jc w:val="both"/>
              <w:rPr>
                <w:rFonts w:ascii="Abadi" w:hAnsi="Abadi"/>
                <w:bCs/>
                <w:i/>
                <w:iCs/>
                <w:sz w:val="18"/>
                <w:szCs w:val="18"/>
                <w:lang w:eastAsia="en-US"/>
              </w:rPr>
            </w:pPr>
            <w:r w:rsidRPr="002D10D4">
              <w:rPr>
                <w:rFonts w:ascii="Abadi" w:hAnsi="Abadi"/>
                <w:bCs/>
                <w:i/>
                <w:iCs/>
                <w:sz w:val="18"/>
                <w:szCs w:val="18"/>
                <w:lang w:eastAsia="en-US"/>
              </w:rPr>
              <w:t>Auditoría a la infraestructura pública municipal</w:t>
            </w:r>
          </w:p>
        </w:tc>
        <w:tc>
          <w:tcPr>
            <w:tcW w:w="1431" w:type="dxa"/>
            <w:shd w:val="clear" w:color="auto" w:fill="auto"/>
            <w:vAlign w:val="center"/>
          </w:tcPr>
          <w:p w14:paraId="69B86CD1"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100%</w:t>
            </w:r>
          </w:p>
        </w:tc>
        <w:tc>
          <w:tcPr>
            <w:tcW w:w="1431" w:type="dxa"/>
            <w:shd w:val="clear" w:color="auto" w:fill="auto"/>
            <w:vAlign w:val="center"/>
          </w:tcPr>
          <w:p w14:paraId="63338163" w14:textId="77777777" w:rsidR="003C20B5" w:rsidRPr="002D10D4" w:rsidRDefault="003C20B5" w:rsidP="001B69F2">
            <w:pPr>
              <w:jc w:val="center"/>
              <w:rPr>
                <w:rFonts w:ascii="Abadi" w:hAnsi="Abadi"/>
                <w:b/>
                <w:i/>
                <w:iCs/>
                <w:sz w:val="18"/>
                <w:szCs w:val="18"/>
                <w:lang w:eastAsia="en-US"/>
              </w:rPr>
            </w:pPr>
            <w:r w:rsidRPr="002D10D4">
              <w:rPr>
                <w:rFonts w:ascii="Abadi" w:hAnsi="Abadi"/>
                <w:bCs/>
                <w:i/>
                <w:iCs/>
                <w:sz w:val="18"/>
                <w:szCs w:val="18"/>
                <w:lang w:eastAsia="en-US"/>
              </w:rPr>
              <w:t>37%</w:t>
            </w:r>
          </w:p>
        </w:tc>
      </w:tr>
    </w:tbl>
    <w:p w14:paraId="3E1A305F" w14:textId="77777777" w:rsidR="003C20B5" w:rsidRPr="002D10D4" w:rsidRDefault="003C20B5" w:rsidP="003C20B5">
      <w:pPr>
        <w:spacing w:line="360" w:lineRule="auto"/>
        <w:ind w:firstLine="720"/>
        <w:jc w:val="both"/>
        <w:rPr>
          <w:rFonts w:ascii="Abadi" w:hAnsi="Abadi" w:cs="Tahoma"/>
          <w:i/>
          <w:iCs/>
          <w:sz w:val="18"/>
          <w:szCs w:val="18"/>
        </w:rPr>
      </w:pPr>
    </w:p>
    <w:p w14:paraId="0DBE87C7"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En el caso de la revisión practicada a la cuenta pública correspondiente al ejercicio fiscal del año 2018 se revisaron rubros como: Servicio de recolección, traslado y disposición de residuos con el proveedor ASSISTANT ROQUETTE, S.A. DE C.V., arrendamiento de vehículos blindados a </w:t>
      </w:r>
      <w:proofErr w:type="spellStart"/>
      <w:r w:rsidRPr="002D10D4">
        <w:rPr>
          <w:rFonts w:ascii="Abadi" w:hAnsi="Abadi" w:cs="Tahoma"/>
          <w:i/>
          <w:iCs/>
          <w:sz w:val="18"/>
          <w:szCs w:val="18"/>
        </w:rPr>
        <w:t>Rinnovare</w:t>
      </w:r>
      <w:proofErr w:type="spellEnd"/>
      <w:r w:rsidRPr="002D10D4">
        <w:rPr>
          <w:rFonts w:ascii="Abadi" w:hAnsi="Abadi" w:cs="Tahoma"/>
          <w:i/>
          <w:iCs/>
          <w:sz w:val="18"/>
          <w:szCs w:val="18"/>
        </w:rPr>
        <w:t>, S.A. de C.V., donación de equinos, entre otros.</w:t>
      </w:r>
    </w:p>
    <w:p w14:paraId="616B99E9" w14:textId="77777777" w:rsidR="003C20B5" w:rsidRPr="002D10D4" w:rsidRDefault="003C20B5" w:rsidP="003C20B5">
      <w:pPr>
        <w:ind w:left="709"/>
        <w:jc w:val="both"/>
        <w:rPr>
          <w:rFonts w:ascii="Abadi" w:hAnsi="Abadi" w:cs="Tahoma"/>
          <w:i/>
          <w:iCs/>
          <w:sz w:val="18"/>
          <w:szCs w:val="18"/>
        </w:rPr>
      </w:pPr>
    </w:p>
    <w:p w14:paraId="77FC5775"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En cuanto a la auditoría de Ramo 33 y obra pública correspondiente al ejercicio fiscal del año 2018 se revisaron 12 obras y 4 servicios relacionados con obras.</w:t>
      </w:r>
    </w:p>
    <w:p w14:paraId="26B41F36" w14:textId="77777777" w:rsidR="003C20B5" w:rsidRPr="002D10D4" w:rsidRDefault="003C20B5" w:rsidP="003C20B5">
      <w:pPr>
        <w:ind w:left="709"/>
        <w:jc w:val="both"/>
        <w:rPr>
          <w:rFonts w:ascii="Abadi" w:hAnsi="Abadi" w:cs="Tahoma"/>
          <w:i/>
          <w:iCs/>
          <w:sz w:val="18"/>
          <w:szCs w:val="18"/>
        </w:rPr>
      </w:pPr>
    </w:p>
    <w:p w14:paraId="671E3042" w14:textId="77777777" w:rsidR="003C20B5" w:rsidRPr="002D10D4"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En la revisión practicada a la cuenta pública correspondiente al ejercicio fiscal del año 2019 se revisaron rubros por ejemplo: arrendamiento de vehículos blindados a </w:t>
      </w:r>
      <w:proofErr w:type="spellStart"/>
      <w:r w:rsidRPr="002D10D4">
        <w:rPr>
          <w:rFonts w:ascii="Abadi" w:hAnsi="Abadi" w:cs="Tahoma"/>
          <w:i/>
          <w:iCs/>
          <w:sz w:val="18"/>
          <w:szCs w:val="18"/>
        </w:rPr>
        <w:t>Rinnovare</w:t>
      </w:r>
      <w:proofErr w:type="spellEnd"/>
      <w:r w:rsidRPr="002D10D4">
        <w:rPr>
          <w:rFonts w:ascii="Abadi" w:hAnsi="Abadi" w:cs="Tahoma"/>
          <w:i/>
          <w:iCs/>
          <w:sz w:val="18"/>
          <w:szCs w:val="18"/>
        </w:rPr>
        <w:t xml:space="preserve">, S.A. de C.V., adquisiciones de bienes con Soluciones Móviles Hidalgo, S.A. de CV., arrendamiento de maquinaria para el relleno sanitario a Grupo </w:t>
      </w:r>
      <w:proofErr w:type="spellStart"/>
      <w:r w:rsidRPr="002D10D4">
        <w:rPr>
          <w:rFonts w:ascii="Abadi" w:hAnsi="Abadi" w:cs="Tahoma"/>
          <w:i/>
          <w:iCs/>
          <w:sz w:val="18"/>
          <w:szCs w:val="18"/>
        </w:rPr>
        <w:t>Singuas</w:t>
      </w:r>
      <w:proofErr w:type="spellEnd"/>
      <w:r w:rsidRPr="002D10D4">
        <w:rPr>
          <w:rFonts w:ascii="Abadi" w:hAnsi="Abadi" w:cs="Tahoma"/>
          <w:i/>
          <w:iCs/>
          <w:sz w:val="18"/>
          <w:szCs w:val="18"/>
        </w:rPr>
        <w:t xml:space="preserve">, S.A. de C.V., contratos de seguridad privada con </w:t>
      </w:r>
      <w:proofErr w:type="spellStart"/>
      <w:r w:rsidRPr="002D10D4">
        <w:rPr>
          <w:rFonts w:ascii="Abadi" w:hAnsi="Abadi" w:cs="Tahoma"/>
          <w:i/>
          <w:iCs/>
          <w:sz w:val="18"/>
          <w:szCs w:val="18"/>
        </w:rPr>
        <w:t>Centimex</w:t>
      </w:r>
      <w:proofErr w:type="spellEnd"/>
      <w:r w:rsidRPr="002D10D4">
        <w:rPr>
          <w:rFonts w:ascii="Abadi" w:hAnsi="Abadi" w:cs="Tahoma"/>
          <w:i/>
          <w:iCs/>
          <w:sz w:val="18"/>
          <w:szCs w:val="18"/>
        </w:rPr>
        <w:t xml:space="preserve"> S.A. de C.V.</w:t>
      </w:r>
    </w:p>
    <w:p w14:paraId="0C2E456C" w14:textId="77777777" w:rsidR="003C20B5" w:rsidRPr="002D10D4" w:rsidRDefault="003C20B5" w:rsidP="003C20B5">
      <w:pPr>
        <w:ind w:left="709"/>
        <w:jc w:val="both"/>
        <w:rPr>
          <w:rFonts w:ascii="Abadi" w:hAnsi="Abadi" w:cs="Tahoma"/>
          <w:i/>
          <w:iCs/>
          <w:sz w:val="18"/>
          <w:szCs w:val="18"/>
        </w:rPr>
      </w:pPr>
    </w:p>
    <w:p w14:paraId="6629F3DC" w14:textId="77777777" w:rsidR="003C20B5" w:rsidRPr="00280AF6" w:rsidRDefault="003C20B5" w:rsidP="003C20B5">
      <w:pPr>
        <w:ind w:left="709"/>
        <w:jc w:val="both"/>
        <w:rPr>
          <w:rFonts w:ascii="Abadi" w:hAnsi="Abadi" w:cs="Tahoma"/>
          <w:i/>
          <w:iCs/>
          <w:sz w:val="18"/>
          <w:szCs w:val="18"/>
        </w:rPr>
      </w:pPr>
      <w:r w:rsidRPr="002D10D4">
        <w:rPr>
          <w:rFonts w:ascii="Abadi" w:hAnsi="Abadi" w:cs="Tahoma"/>
          <w:i/>
          <w:iCs/>
          <w:sz w:val="18"/>
          <w:szCs w:val="18"/>
        </w:rPr>
        <w:t xml:space="preserve">En la auditoría concomitante se revisó el procedimiento de planeación, programación, </w:t>
      </w:r>
      <w:r w:rsidRPr="002D10D4">
        <w:rPr>
          <w:rFonts w:ascii="Abadi" w:hAnsi="Abadi" w:cs="Tahoma"/>
          <w:i/>
          <w:iCs/>
          <w:sz w:val="18"/>
          <w:szCs w:val="18"/>
        </w:rPr>
        <w:lastRenderedPageBreak/>
        <w:t xml:space="preserve">presupuestación, adjudicación, contratación, ejecución, cumplimiento y demás actos relacionados con el procedimiento de adjudicación que culminó con el contrato número C-RM-15/2019 de fecha 15 de marzo de 2019 y su adendum de fecha 19 de marzo de 2019, para el suministro e instalación de veintidós mil luminarias de tecnología LED en dicho Municipio, así como el contrato de arrendamiento de un vehículo motor. Las operaciones se </w:t>
      </w:r>
      <w:r w:rsidRPr="00280AF6">
        <w:rPr>
          <w:rFonts w:ascii="Abadi" w:hAnsi="Abadi" w:cs="Tahoma"/>
          <w:i/>
          <w:iCs/>
          <w:sz w:val="18"/>
          <w:szCs w:val="18"/>
        </w:rPr>
        <w:t>realizaron con el proveedor Soluciones Móviles Hidalgo, S.A. de C.V.</w:t>
      </w:r>
    </w:p>
    <w:p w14:paraId="727D1E87" w14:textId="77777777" w:rsidR="003C20B5" w:rsidRPr="00280AF6" w:rsidRDefault="003C20B5" w:rsidP="003C20B5">
      <w:pPr>
        <w:ind w:left="709"/>
        <w:jc w:val="both"/>
        <w:rPr>
          <w:rFonts w:ascii="Abadi" w:hAnsi="Abadi" w:cs="Tahoma"/>
          <w:i/>
          <w:iCs/>
          <w:sz w:val="18"/>
          <w:szCs w:val="18"/>
        </w:rPr>
      </w:pPr>
    </w:p>
    <w:p w14:paraId="4509188E"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Por lo que hace a la auditoría del Ramo General 33 y obra pública para el ejercicio fiscal del año 2019, se revisaron 11 obras.</w:t>
      </w:r>
    </w:p>
    <w:p w14:paraId="08FFCEA4" w14:textId="77777777" w:rsidR="003C20B5" w:rsidRPr="00280AF6" w:rsidRDefault="003C20B5" w:rsidP="003C20B5">
      <w:pPr>
        <w:ind w:left="709"/>
        <w:jc w:val="both"/>
        <w:rPr>
          <w:rFonts w:ascii="Abadi" w:hAnsi="Abadi" w:cs="Tahoma"/>
          <w:i/>
          <w:iCs/>
          <w:sz w:val="18"/>
          <w:szCs w:val="18"/>
        </w:rPr>
      </w:pPr>
    </w:p>
    <w:p w14:paraId="58A70EE4"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En cuanto a la auditoría específica practicada en cumplimiento a la resolución de denuncia de investigación de situación excepcional ASEG/DGAJ/DISE/10/2019, se revisaron los procesos de planeación, programación, presupuestación, contratación, ejecución y control del contrato DGOP/LS/LE/RM/MUNICIPAL/035-18 de 27 de julio de 2018, consistente en la terminación de la obra denominada 2DA ETAPA DE CAMINO DE RANCHO NUEVO A CERRO GORDO EN SALAMANCA, GTO., realizada por el contratista Grupo Constructor CEGA, S.A. de C.V., por un importe total de $1’995,489.32 (un millón novecientos noventa y cinco mil cuatrocientos ochenta y nueve pesos 32/100 M.N).</w:t>
      </w:r>
    </w:p>
    <w:p w14:paraId="1BF32C34" w14:textId="77777777" w:rsidR="003C20B5" w:rsidRPr="00280AF6" w:rsidRDefault="003C20B5" w:rsidP="003C20B5">
      <w:pPr>
        <w:ind w:left="709"/>
        <w:jc w:val="both"/>
        <w:rPr>
          <w:rFonts w:ascii="Abadi" w:hAnsi="Abadi" w:cs="Tahoma"/>
          <w:i/>
          <w:iCs/>
          <w:sz w:val="18"/>
          <w:szCs w:val="18"/>
        </w:rPr>
      </w:pPr>
    </w:p>
    <w:p w14:paraId="5AF38588"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 xml:space="preserve">En la revisión practicada a la cuenta pública del ejercicio fiscal del año 2020 se revisaron entre otros rubros: contratos de arrendamiento de camioneta blindada con el proveedor Jaqueline Romero Vázquez, procedimiento de Licitación Restringida No. LR-MSG-001-2020 para la adquisición de una camioneta blindada, servicio de recolección, traslado y disposición de residuos con el proveedor ASSISTANT ROQUETTE, S.A. DE C.V, arrendamiento de maquinaria para el relleno sanitario a Grupo </w:t>
      </w:r>
      <w:proofErr w:type="spellStart"/>
      <w:r w:rsidRPr="00280AF6">
        <w:rPr>
          <w:rFonts w:ascii="Abadi" w:hAnsi="Abadi" w:cs="Tahoma"/>
          <w:i/>
          <w:iCs/>
          <w:sz w:val="18"/>
          <w:szCs w:val="18"/>
        </w:rPr>
        <w:t>Singuas</w:t>
      </w:r>
      <w:proofErr w:type="spellEnd"/>
      <w:r w:rsidRPr="00280AF6">
        <w:rPr>
          <w:rFonts w:ascii="Abadi" w:hAnsi="Abadi" w:cs="Tahoma"/>
          <w:i/>
          <w:iCs/>
          <w:sz w:val="18"/>
          <w:szCs w:val="18"/>
        </w:rPr>
        <w:t xml:space="preserve">, S.A. de C.V, compra de despensas con Comercializadora </w:t>
      </w:r>
      <w:proofErr w:type="spellStart"/>
      <w:r w:rsidRPr="00280AF6">
        <w:rPr>
          <w:rFonts w:ascii="Abadi" w:hAnsi="Abadi" w:cs="Tahoma"/>
          <w:i/>
          <w:iCs/>
          <w:sz w:val="18"/>
          <w:szCs w:val="18"/>
        </w:rPr>
        <w:t>Galisa</w:t>
      </w:r>
      <w:proofErr w:type="spellEnd"/>
      <w:r w:rsidRPr="00280AF6">
        <w:rPr>
          <w:rFonts w:ascii="Abadi" w:hAnsi="Abadi" w:cs="Tahoma"/>
          <w:i/>
          <w:iCs/>
          <w:sz w:val="18"/>
          <w:szCs w:val="18"/>
        </w:rPr>
        <w:t xml:space="preserve"> S.A. de C.V., compra de vestuarios y uniformes con Distribuidora DAFER Textil, S.A. de C.V.</w:t>
      </w:r>
    </w:p>
    <w:p w14:paraId="4B56868D" w14:textId="77777777" w:rsidR="003C20B5" w:rsidRPr="00280AF6" w:rsidRDefault="003C20B5" w:rsidP="003C20B5">
      <w:pPr>
        <w:ind w:left="709"/>
        <w:jc w:val="both"/>
        <w:rPr>
          <w:rFonts w:ascii="Abadi" w:hAnsi="Abadi" w:cs="Tahoma"/>
          <w:i/>
          <w:iCs/>
          <w:sz w:val="18"/>
          <w:szCs w:val="18"/>
        </w:rPr>
      </w:pPr>
    </w:p>
    <w:p w14:paraId="5174A863"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Asimismo, en la auditoría practicada a la infraestructura pública municipal para el ejercicio fiscal 2020, se revisaron 20 obras y 4 servicios relacionados.</w:t>
      </w:r>
    </w:p>
    <w:p w14:paraId="036CBDA7" w14:textId="77777777" w:rsidR="003C20B5" w:rsidRPr="00280AF6" w:rsidRDefault="003C20B5" w:rsidP="003C20B5">
      <w:pPr>
        <w:ind w:left="709"/>
        <w:jc w:val="both"/>
        <w:rPr>
          <w:rFonts w:ascii="Abadi" w:hAnsi="Abadi" w:cs="Tahoma"/>
          <w:i/>
          <w:iCs/>
          <w:sz w:val="18"/>
          <w:szCs w:val="18"/>
        </w:rPr>
      </w:pPr>
    </w:p>
    <w:p w14:paraId="7DB4616B"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 xml:space="preserve">Es así, que si bien se han realizado diversos actos de fiscalización en el periodo cuya revisión es propone, los mismos se han ejecutado bajo procedimientos muestrales de conformidad con las Normas Profesionales de Auditoría del Sistema </w:t>
      </w:r>
      <w:r w:rsidRPr="00280AF6">
        <w:rPr>
          <w:rFonts w:ascii="Abadi" w:hAnsi="Abadi" w:cs="Tahoma"/>
          <w:i/>
          <w:iCs/>
          <w:sz w:val="18"/>
          <w:szCs w:val="18"/>
        </w:rPr>
        <w:t>Nacional de Fiscalización, por lo que resulta procedente ampliar el alcance a través de una auditoría integral que abarque las partidas no revisadas.</w:t>
      </w:r>
    </w:p>
    <w:p w14:paraId="0C0A3717" w14:textId="77777777" w:rsidR="003C20B5" w:rsidRPr="00280AF6" w:rsidRDefault="003C20B5" w:rsidP="003C20B5">
      <w:pPr>
        <w:ind w:left="709"/>
        <w:jc w:val="both"/>
        <w:rPr>
          <w:rFonts w:ascii="Abadi" w:hAnsi="Abadi" w:cs="Tahoma"/>
          <w:i/>
          <w:iCs/>
          <w:sz w:val="18"/>
          <w:szCs w:val="18"/>
        </w:rPr>
      </w:pPr>
    </w:p>
    <w:p w14:paraId="7EF03283" w14:textId="77777777" w:rsidR="003C20B5" w:rsidRPr="00280AF6" w:rsidRDefault="003C20B5" w:rsidP="003C20B5">
      <w:pPr>
        <w:ind w:left="709"/>
        <w:jc w:val="both"/>
        <w:rPr>
          <w:rFonts w:ascii="Abadi" w:hAnsi="Abadi" w:cs="Tahoma"/>
          <w:i/>
          <w:iCs/>
          <w:sz w:val="18"/>
          <w:szCs w:val="18"/>
        </w:rPr>
      </w:pPr>
      <w:r w:rsidRPr="00280AF6">
        <w:rPr>
          <w:rFonts w:ascii="Abadi" w:hAnsi="Abadi" w:cs="Tahoma"/>
          <w:i/>
          <w:iCs/>
          <w:sz w:val="18"/>
          <w:szCs w:val="18"/>
        </w:rPr>
        <w:t xml:space="preserve">En razón a lo antes señalado, en atención a la propuesta presentada por la diputada y el diputado integrantes del Grupo Parlamentario del Partido Verde Ecologista de México y atendiendo a la información presentada por la Auditoría Superior del Estado, consideramos que se cumplen los extremos constitucionales y legales para que se acuerde la práctica de una auditoría integral a la administración pública municipal de Salamanca, </w:t>
      </w:r>
      <w:proofErr w:type="spellStart"/>
      <w:r w:rsidRPr="00280AF6">
        <w:rPr>
          <w:rFonts w:ascii="Abadi" w:hAnsi="Abadi" w:cs="Tahoma"/>
          <w:i/>
          <w:iCs/>
          <w:sz w:val="18"/>
          <w:szCs w:val="18"/>
        </w:rPr>
        <w:t>Gto</w:t>
      </w:r>
      <w:proofErr w:type="spellEnd"/>
      <w:r w:rsidRPr="00280AF6">
        <w:rPr>
          <w:rFonts w:ascii="Abadi" w:hAnsi="Abadi" w:cs="Tahoma"/>
          <w:i/>
          <w:iCs/>
          <w:sz w:val="18"/>
          <w:szCs w:val="18"/>
        </w:rPr>
        <w:t>., por el periodo comprendido del mes de octubre del ejercicio fiscal del año 2018 al mes de octubre del ejercicio fiscal del año 2021 que es el que abarcó la anterior administración municipal, que incluya las partida no revisadas, a fin de que se pueda verificar la gestión financiera de dicha administración y en su caso, estar en posibilidad de deslindar las responsabilidades a que haya lugar…</w:t>
      </w:r>
    </w:p>
    <w:p w14:paraId="5FCEBE87" w14:textId="77777777" w:rsidR="003C20B5" w:rsidRPr="00280AF6" w:rsidRDefault="003C20B5" w:rsidP="003C20B5">
      <w:pPr>
        <w:ind w:firstLine="720"/>
        <w:jc w:val="both"/>
        <w:rPr>
          <w:rFonts w:ascii="Abadi" w:hAnsi="Abadi" w:cs="Tahoma"/>
          <w:sz w:val="18"/>
          <w:szCs w:val="18"/>
        </w:rPr>
      </w:pPr>
    </w:p>
    <w:p w14:paraId="19703376" w14:textId="77777777" w:rsidR="003C20B5" w:rsidRPr="00FE73F1" w:rsidRDefault="003C20B5" w:rsidP="003C20B5">
      <w:pPr>
        <w:ind w:firstLine="708"/>
        <w:jc w:val="both"/>
        <w:rPr>
          <w:rFonts w:ascii="Abadi" w:hAnsi="Abadi" w:cs="Arial"/>
          <w:sz w:val="21"/>
          <w:szCs w:val="21"/>
        </w:rPr>
      </w:pPr>
      <w:r w:rsidRPr="00FE73F1">
        <w:rPr>
          <w:rFonts w:ascii="Abadi" w:hAnsi="Abadi"/>
          <w:sz w:val="21"/>
          <w:szCs w:val="21"/>
          <w:lang w:eastAsia="x-none"/>
        </w:rPr>
        <w:t xml:space="preserve">En cumplimiento al acuerdo del Pleno del Congreso anteriormente referido, la Auditoría Superior del Estado practicó una auditoría </w:t>
      </w:r>
      <w:r w:rsidRPr="00FE73F1">
        <w:rPr>
          <w:rFonts w:ascii="Abadi" w:hAnsi="Abadi"/>
          <w:sz w:val="21"/>
          <w:szCs w:val="21"/>
        </w:rPr>
        <w:t xml:space="preserve">integral a la administración pública municipal de Salamanca, </w:t>
      </w:r>
      <w:proofErr w:type="spellStart"/>
      <w:r w:rsidRPr="00FE73F1">
        <w:rPr>
          <w:rFonts w:ascii="Abadi" w:hAnsi="Abadi"/>
          <w:sz w:val="21"/>
          <w:szCs w:val="21"/>
        </w:rPr>
        <w:t>Gto</w:t>
      </w:r>
      <w:proofErr w:type="spellEnd"/>
      <w:r w:rsidRPr="00FE73F1">
        <w:rPr>
          <w:rFonts w:ascii="Abadi" w:hAnsi="Abadi"/>
          <w:sz w:val="21"/>
          <w:szCs w:val="21"/>
        </w:rPr>
        <w:t xml:space="preserve">., al universo que integra las partidas no revisadas en </w:t>
      </w:r>
      <w:r w:rsidRPr="00FE73F1">
        <w:rPr>
          <w:rFonts w:ascii="Abadi" w:hAnsi="Abadi" w:cs="Arial"/>
          <w:sz w:val="21"/>
          <w:szCs w:val="21"/>
        </w:rPr>
        <w:t xml:space="preserve">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p>
    <w:p w14:paraId="0072F75C" w14:textId="77777777" w:rsidR="003C20B5" w:rsidRPr="00FE73F1" w:rsidRDefault="003C20B5" w:rsidP="003C20B5">
      <w:pPr>
        <w:ind w:firstLine="708"/>
        <w:jc w:val="both"/>
        <w:rPr>
          <w:rFonts w:ascii="Abadi" w:hAnsi="Abadi" w:cs="Arial"/>
          <w:sz w:val="21"/>
          <w:szCs w:val="21"/>
        </w:rPr>
      </w:pPr>
    </w:p>
    <w:p w14:paraId="55882E75" w14:textId="77777777" w:rsidR="003C20B5" w:rsidRPr="00FE73F1" w:rsidRDefault="003C20B5" w:rsidP="003C20B5">
      <w:pPr>
        <w:ind w:firstLine="708"/>
        <w:jc w:val="both"/>
        <w:rPr>
          <w:rFonts w:ascii="Abadi" w:hAnsi="Abadi" w:cs="Arial"/>
          <w:sz w:val="21"/>
          <w:szCs w:val="21"/>
        </w:rPr>
      </w:pPr>
      <w:r w:rsidRPr="00FE73F1">
        <w:rPr>
          <w:rFonts w:ascii="Abadi" w:hAnsi="Abadi" w:cs="Arial"/>
          <w:sz w:val="21"/>
          <w:szCs w:val="21"/>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646B1485" w14:textId="77777777" w:rsidR="003C20B5" w:rsidRPr="00FE73F1" w:rsidRDefault="003C20B5" w:rsidP="003C20B5">
      <w:pPr>
        <w:ind w:firstLine="708"/>
        <w:jc w:val="both"/>
        <w:rPr>
          <w:rFonts w:ascii="Abadi" w:hAnsi="Abadi" w:cs="Arial"/>
          <w:sz w:val="21"/>
          <w:szCs w:val="21"/>
        </w:rPr>
      </w:pPr>
    </w:p>
    <w:p w14:paraId="7AFF2BB2" w14:textId="77777777" w:rsidR="003C20B5" w:rsidRPr="00FE73F1" w:rsidRDefault="003C20B5" w:rsidP="003C20B5">
      <w:pPr>
        <w:pStyle w:val="Textoindependiente"/>
        <w:ind w:firstLine="708"/>
        <w:rPr>
          <w:rFonts w:ascii="Abadi" w:hAnsi="Abadi"/>
          <w:sz w:val="21"/>
          <w:szCs w:val="21"/>
        </w:rPr>
      </w:pPr>
      <w:r w:rsidRPr="00FE73F1">
        <w:rPr>
          <w:rFonts w:ascii="Abadi" w:hAnsi="Abadi"/>
          <w:sz w:val="21"/>
          <w:szCs w:val="21"/>
        </w:rPr>
        <w:t>III. Procedimiento de Auditoría:</w:t>
      </w:r>
    </w:p>
    <w:p w14:paraId="2A3C55C2" w14:textId="77777777" w:rsidR="003C20B5" w:rsidRPr="00FE73F1" w:rsidRDefault="003C20B5" w:rsidP="003C20B5">
      <w:pPr>
        <w:pStyle w:val="Textoindependiente"/>
        <w:ind w:firstLine="708"/>
        <w:rPr>
          <w:rFonts w:ascii="Abadi" w:hAnsi="Abadi"/>
          <w:b w:val="0"/>
          <w:bCs w:val="0"/>
          <w:sz w:val="21"/>
          <w:szCs w:val="21"/>
        </w:rPr>
      </w:pPr>
    </w:p>
    <w:p w14:paraId="67B2C452"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El objetivo de la auditoría, de acuerdo a los principios, conceptos y directrices de las Normas Profesionales de Auditoría del Sistema Nacional de Fiscalización es el siguiente:</w:t>
      </w:r>
    </w:p>
    <w:p w14:paraId="50227D9E" w14:textId="77777777" w:rsidR="003C20B5" w:rsidRPr="00FE73F1" w:rsidRDefault="003C20B5" w:rsidP="003C20B5">
      <w:pPr>
        <w:pStyle w:val="Textoindependiente"/>
        <w:ind w:firstLine="708"/>
        <w:rPr>
          <w:rFonts w:ascii="Abadi" w:hAnsi="Abadi"/>
          <w:b w:val="0"/>
          <w:bCs w:val="0"/>
          <w:sz w:val="21"/>
          <w:szCs w:val="21"/>
        </w:rPr>
      </w:pPr>
    </w:p>
    <w:p w14:paraId="5639EB97" w14:textId="77777777" w:rsidR="003C20B5" w:rsidRPr="00FE73F1" w:rsidRDefault="003C20B5" w:rsidP="003C20B5">
      <w:pPr>
        <w:pStyle w:val="Textoindependiente"/>
        <w:numPr>
          <w:ilvl w:val="0"/>
          <w:numId w:val="10"/>
        </w:numPr>
        <w:autoSpaceDE/>
        <w:autoSpaceDN/>
        <w:ind w:left="426" w:hanging="426"/>
        <w:rPr>
          <w:rFonts w:ascii="Abadi" w:hAnsi="Abadi"/>
          <w:b w:val="0"/>
          <w:bCs w:val="0"/>
          <w:sz w:val="21"/>
          <w:szCs w:val="21"/>
        </w:rPr>
      </w:pPr>
      <w:r w:rsidRPr="00FE73F1">
        <w:rPr>
          <w:rFonts w:ascii="Abadi" w:hAnsi="Abadi"/>
          <w:b w:val="0"/>
          <w:bCs w:val="0"/>
          <w:sz w:val="21"/>
          <w:szCs w:val="21"/>
        </w:rPr>
        <w:t xml:space="preserve">En materia financiera, emitir una opinión sobre si sobre los estados financieros que integran la Cuenta Pública han sido </w:t>
      </w:r>
      <w:r w:rsidRPr="00FE73F1">
        <w:rPr>
          <w:rFonts w:ascii="Abadi" w:hAnsi="Abadi"/>
          <w:b w:val="0"/>
          <w:bCs w:val="0"/>
          <w:sz w:val="21"/>
          <w:szCs w:val="21"/>
        </w:rPr>
        <w:lastRenderedPageBreak/>
        <w:t>preparados en todos los aspectos importantes, de acuerdo con la Ley General de Contabilidad Gubernamental y las normas contables emitidas por el Consejo Nacional de Armonización Contable, así como, con los demás marcos de información financiera aplicables;</w:t>
      </w:r>
    </w:p>
    <w:p w14:paraId="070FEDDB" w14:textId="77777777" w:rsidR="003C20B5" w:rsidRPr="00FE73F1" w:rsidRDefault="003C20B5" w:rsidP="003C20B5">
      <w:pPr>
        <w:pStyle w:val="Textoindependiente"/>
        <w:ind w:left="426"/>
        <w:rPr>
          <w:rFonts w:ascii="Abadi" w:hAnsi="Abadi"/>
          <w:b w:val="0"/>
          <w:bCs w:val="0"/>
          <w:sz w:val="21"/>
          <w:szCs w:val="21"/>
        </w:rPr>
      </w:pPr>
    </w:p>
    <w:p w14:paraId="0924908D" w14:textId="77777777" w:rsidR="003C20B5" w:rsidRPr="00FE73F1" w:rsidRDefault="003C20B5" w:rsidP="003C20B5">
      <w:pPr>
        <w:pStyle w:val="Textoindependiente"/>
        <w:numPr>
          <w:ilvl w:val="0"/>
          <w:numId w:val="10"/>
        </w:numPr>
        <w:autoSpaceDE/>
        <w:autoSpaceDN/>
        <w:ind w:left="426" w:hanging="426"/>
        <w:rPr>
          <w:rFonts w:ascii="Abadi" w:hAnsi="Abadi"/>
          <w:b w:val="0"/>
          <w:bCs w:val="0"/>
          <w:sz w:val="21"/>
          <w:szCs w:val="21"/>
        </w:rPr>
      </w:pPr>
      <w:r w:rsidRPr="00FE73F1">
        <w:rPr>
          <w:rFonts w:ascii="Abadi" w:hAnsi="Abadi"/>
          <w:b w:val="0"/>
          <w:bCs w:val="0"/>
          <w:sz w:val="21"/>
          <w:szCs w:val="21"/>
        </w:rPr>
        <w:t>En materia de cumplimiento,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deban incluir en la cuenta pública; y</w:t>
      </w:r>
    </w:p>
    <w:p w14:paraId="5ACA2838" w14:textId="77777777" w:rsidR="003C20B5" w:rsidRPr="00FE73F1" w:rsidRDefault="003C20B5" w:rsidP="003C20B5">
      <w:pPr>
        <w:pStyle w:val="Prrafodelista"/>
        <w:rPr>
          <w:rFonts w:ascii="Abadi" w:hAnsi="Abadi" w:cs="Arial"/>
          <w:sz w:val="21"/>
          <w:szCs w:val="21"/>
        </w:rPr>
      </w:pPr>
    </w:p>
    <w:p w14:paraId="1875D2A0" w14:textId="77777777" w:rsidR="003C20B5" w:rsidRPr="00FE73F1" w:rsidRDefault="003C20B5" w:rsidP="003C20B5">
      <w:pPr>
        <w:pStyle w:val="Textoindependiente"/>
        <w:numPr>
          <w:ilvl w:val="0"/>
          <w:numId w:val="10"/>
        </w:numPr>
        <w:autoSpaceDE/>
        <w:autoSpaceDN/>
        <w:ind w:left="426" w:hanging="426"/>
        <w:rPr>
          <w:rFonts w:ascii="Abadi" w:hAnsi="Abadi"/>
          <w:b w:val="0"/>
          <w:bCs w:val="0"/>
          <w:sz w:val="21"/>
          <w:szCs w:val="21"/>
        </w:rPr>
      </w:pPr>
      <w:r w:rsidRPr="00FE73F1">
        <w:rPr>
          <w:rFonts w:ascii="Abadi" w:hAnsi="Abadi"/>
          <w:b w:val="0"/>
          <w:bCs w:val="0"/>
          <w:sz w:val="21"/>
          <w:szCs w:val="21"/>
        </w:rPr>
        <w:t>En materia de infraestructura pública, realizar una revisión legal, financiera, técnica, administrativa y contable de las obras, abarcando todas sus etapas.</w:t>
      </w:r>
    </w:p>
    <w:p w14:paraId="7B1DF546" w14:textId="77777777" w:rsidR="003C20B5" w:rsidRPr="00FE73F1" w:rsidRDefault="003C20B5" w:rsidP="003C20B5">
      <w:pPr>
        <w:pStyle w:val="Textoindependiente"/>
        <w:ind w:firstLine="708"/>
        <w:rPr>
          <w:rFonts w:ascii="Abadi" w:hAnsi="Abadi"/>
          <w:b w:val="0"/>
          <w:bCs w:val="0"/>
          <w:sz w:val="21"/>
          <w:szCs w:val="21"/>
        </w:rPr>
      </w:pPr>
    </w:p>
    <w:p w14:paraId="475784A0"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General de Contabilidad Gubernamental, en la Ley de Disciplina Financiera de las Entidades Federativas y los Municipios, en la Ley para el Ejercicio y Control de los Recursos Públicos para el Estado y los Municipios de Guanajuato, en la Ley Orgánica Municipal para el Estado de Guanajuato y en las demás disposiciones normativas federales y locales aplicables y vigentes durante el periodo de la auditoría; así como en el Convenio de Coordinación y Colaboración para la Fiscalización Superior del Gasto Federalizado en el marco del Sistema Nacional de Fiscalización, celebrado entre la Auditoría Superior de la Federación y la Auditoría </w:t>
      </w:r>
      <w:r w:rsidRPr="00FE73F1">
        <w:rPr>
          <w:rFonts w:ascii="Abadi" w:hAnsi="Abadi"/>
          <w:b w:val="0"/>
          <w:bCs w:val="0"/>
          <w:sz w:val="21"/>
          <w:szCs w:val="21"/>
        </w:rPr>
        <w:t>Superior del Estado de Guanajuato y publicado en el Diario Oficial de la Federación y en el Periódico Oficial del Gobierno del Estado, en fechas 25 de enero y 28 de febrero de 2017 respectivamente.</w:t>
      </w:r>
    </w:p>
    <w:p w14:paraId="0387D442" w14:textId="77777777" w:rsidR="003C20B5" w:rsidRPr="00FE73F1" w:rsidRDefault="003C20B5" w:rsidP="003C20B5">
      <w:pPr>
        <w:pStyle w:val="Textoindependiente"/>
        <w:ind w:firstLine="708"/>
        <w:rPr>
          <w:rFonts w:ascii="Abadi" w:hAnsi="Abadi"/>
          <w:b w:val="0"/>
          <w:bCs w:val="0"/>
          <w:sz w:val="21"/>
          <w:szCs w:val="21"/>
        </w:rPr>
      </w:pPr>
    </w:p>
    <w:p w14:paraId="0CE68B32" w14:textId="77777777" w:rsidR="003C20B5" w:rsidRPr="00FE73F1" w:rsidRDefault="003C20B5" w:rsidP="003C20B5">
      <w:pPr>
        <w:pStyle w:val="Textoindependiente"/>
        <w:ind w:firstLine="708"/>
        <w:rPr>
          <w:rFonts w:ascii="Abadi" w:hAnsi="Abadi"/>
          <w:b w:val="0"/>
          <w:bCs w:val="0"/>
          <w:sz w:val="21"/>
          <w:szCs w:val="21"/>
        </w:rPr>
      </w:pPr>
    </w:p>
    <w:p w14:paraId="0376BEE1"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100, 200 y 400, que son aplicables al sector público.</w:t>
      </w:r>
    </w:p>
    <w:p w14:paraId="7D857CAD" w14:textId="77777777" w:rsidR="003C20B5" w:rsidRPr="00FE73F1" w:rsidRDefault="003C20B5" w:rsidP="003C20B5">
      <w:pPr>
        <w:pStyle w:val="Textoindependiente"/>
        <w:ind w:firstLine="708"/>
        <w:rPr>
          <w:rFonts w:ascii="Abadi" w:hAnsi="Abadi"/>
          <w:b w:val="0"/>
          <w:bCs w:val="0"/>
          <w:sz w:val="21"/>
          <w:szCs w:val="21"/>
        </w:rPr>
      </w:pPr>
    </w:p>
    <w:p w14:paraId="050CE8DF"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De igual forma, en la auditoría se realizaron los procedimientos y pruebas selectivas que se estimaron necesarias para obtener evidencia suficiente y adecuada.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B4E5567" w14:textId="77777777" w:rsidR="003C20B5" w:rsidRPr="00FE73F1" w:rsidRDefault="003C20B5" w:rsidP="003C20B5">
      <w:pPr>
        <w:pStyle w:val="Textoindependiente"/>
        <w:ind w:firstLine="708"/>
        <w:rPr>
          <w:rFonts w:ascii="Abadi" w:hAnsi="Abadi"/>
          <w:b w:val="0"/>
          <w:bCs w:val="0"/>
          <w:sz w:val="21"/>
          <w:szCs w:val="21"/>
        </w:rPr>
      </w:pPr>
    </w:p>
    <w:p w14:paraId="672F3891"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FE73F1">
        <w:rPr>
          <w:rFonts w:ascii="Abadi" w:hAnsi="Abadi"/>
          <w:b w:val="0"/>
          <w:bCs w:val="0"/>
          <w:sz w:val="21"/>
          <w:szCs w:val="21"/>
        </w:rPr>
        <w:t>fiscalizado</w:t>
      </w:r>
      <w:proofErr w:type="spellEnd"/>
      <w:r w:rsidRPr="00FE73F1">
        <w:rPr>
          <w:rFonts w:ascii="Abadi" w:hAnsi="Abadi"/>
          <w:b w:val="0"/>
          <w:bCs w:val="0"/>
          <w:sz w:val="21"/>
          <w:szCs w:val="21"/>
        </w:rPr>
        <w:t>, de acuerdo a lo dispuesto por los ordenamientos aplicables en la materia, incluyendo las políticas contables aplicables a la institución, utilizadas de acuerdo a los Postulados Básicos de Contabilidad Gubernamental.</w:t>
      </w:r>
    </w:p>
    <w:p w14:paraId="1999FEF3" w14:textId="77777777" w:rsidR="003C20B5" w:rsidRPr="00FE73F1" w:rsidRDefault="003C20B5" w:rsidP="003C20B5">
      <w:pPr>
        <w:pStyle w:val="Textoindependiente"/>
        <w:ind w:firstLine="708"/>
        <w:rPr>
          <w:rFonts w:ascii="Abadi" w:hAnsi="Abadi"/>
          <w:b w:val="0"/>
          <w:bCs w:val="0"/>
          <w:sz w:val="21"/>
          <w:szCs w:val="21"/>
        </w:rPr>
      </w:pPr>
    </w:p>
    <w:p w14:paraId="43D675D0"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Dicho informe también señala que se practicó la auditoría con el alcance que se refiere en el informe de resultados respecto al rubro de egresos correspondientes al periodo comprendido de octubre a diciembre del ejercicio fiscal de 2018, así como a los ejercicios fiscales de 2019 y 2020; y a los </w:t>
      </w:r>
      <w:r w:rsidRPr="00FE73F1">
        <w:rPr>
          <w:rFonts w:ascii="Abadi" w:hAnsi="Abadi"/>
          <w:b w:val="0"/>
          <w:bCs w:val="0"/>
          <w:sz w:val="21"/>
          <w:szCs w:val="21"/>
        </w:rPr>
        <w:lastRenderedPageBreak/>
        <w:t xml:space="preserve">rubros de ingresos y egresos del periodo comprendido de enero a octubre de 2021. </w:t>
      </w:r>
    </w:p>
    <w:p w14:paraId="1572759F" w14:textId="77777777" w:rsidR="003C20B5" w:rsidRPr="00FE73F1" w:rsidRDefault="003C20B5" w:rsidP="003C20B5">
      <w:pPr>
        <w:pStyle w:val="Textoindependiente"/>
        <w:ind w:firstLine="708"/>
        <w:rPr>
          <w:rFonts w:ascii="Abadi" w:hAnsi="Abadi"/>
          <w:b w:val="0"/>
          <w:bCs w:val="0"/>
          <w:sz w:val="21"/>
          <w:szCs w:val="21"/>
        </w:rPr>
      </w:pPr>
    </w:p>
    <w:p w14:paraId="63170C0F"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El 2 de junio de 2022 se notificó al presidente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la orden de inicio del procedimiento de auditoría.</w:t>
      </w:r>
    </w:p>
    <w:p w14:paraId="06939595" w14:textId="77777777" w:rsidR="003C20B5" w:rsidRPr="00FE73F1" w:rsidRDefault="003C20B5" w:rsidP="003C20B5">
      <w:pPr>
        <w:ind w:firstLine="708"/>
        <w:jc w:val="both"/>
        <w:rPr>
          <w:rFonts w:ascii="Abadi" w:hAnsi="Abadi"/>
          <w:sz w:val="21"/>
          <w:szCs w:val="21"/>
        </w:rPr>
      </w:pPr>
    </w:p>
    <w:p w14:paraId="66DE181E"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El 20 de octubre de 2022, se notificó al presidente y a la ex presidenta municipales, así como al ex presidente municipal provisional de Salamanca, </w:t>
      </w:r>
      <w:proofErr w:type="spellStart"/>
      <w:r w:rsidRPr="00FE73F1">
        <w:rPr>
          <w:rFonts w:ascii="Abadi" w:hAnsi="Abadi"/>
          <w:sz w:val="21"/>
          <w:szCs w:val="21"/>
        </w:rPr>
        <w:t>Gto</w:t>
      </w:r>
      <w:proofErr w:type="spellEnd"/>
      <w:r w:rsidRPr="00FE73F1">
        <w:rPr>
          <w:rFonts w:ascii="Abadi" w:hAnsi="Abadi"/>
          <w:sz w:val="21"/>
          <w:szCs w:val="21"/>
        </w:rPr>
        <w:t xml:space="preserve">., el pliego de observaciones y recomendaciones derivado de la auditoría integral materia del presente dictamen, al cual se dio respuesta el 10 de noviembre de 2022 por parte de la ex presidenta municipal y el 11 de noviembre de 2022 por el presidente y la tesorera municipales de Salamanca, </w:t>
      </w:r>
      <w:proofErr w:type="spellStart"/>
      <w:r w:rsidRPr="00FE73F1">
        <w:rPr>
          <w:rFonts w:ascii="Abadi" w:hAnsi="Abadi"/>
          <w:sz w:val="21"/>
          <w:szCs w:val="21"/>
        </w:rPr>
        <w:t>Gto</w:t>
      </w:r>
      <w:proofErr w:type="spellEnd"/>
      <w:r w:rsidRPr="00FE73F1">
        <w:rPr>
          <w:rFonts w:ascii="Abadi" w:hAnsi="Abadi"/>
          <w:sz w:val="21"/>
          <w:szCs w:val="21"/>
        </w:rPr>
        <w:t>.</w:t>
      </w:r>
    </w:p>
    <w:p w14:paraId="7150306E" w14:textId="77777777" w:rsidR="003C20B5" w:rsidRPr="00FE73F1" w:rsidRDefault="003C20B5" w:rsidP="003C20B5">
      <w:pPr>
        <w:ind w:firstLine="708"/>
        <w:jc w:val="both"/>
        <w:rPr>
          <w:rFonts w:ascii="Abadi" w:hAnsi="Abadi"/>
          <w:sz w:val="21"/>
          <w:szCs w:val="21"/>
        </w:rPr>
      </w:pPr>
    </w:p>
    <w:p w14:paraId="2C5EDDA1"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El 28 de noviembre de 2022 se notificó al presidente municipal de Salamanca, </w:t>
      </w:r>
      <w:proofErr w:type="spellStart"/>
      <w:r w:rsidRPr="00FE73F1">
        <w:rPr>
          <w:rFonts w:ascii="Abadi" w:hAnsi="Abadi"/>
          <w:sz w:val="21"/>
          <w:szCs w:val="21"/>
        </w:rPr>
        <w:t>Gto</w:t>
      </w:r>
      <w:proofErr w:type="spellEnd"/>
      <w:r w:rsidRPr="00FE73F1">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25 de noviembre de 2022.</w:t>
      </w:r>
    </w:p>
    <w:p w14:paraId="4E693218" w14:textId="77777777" w:rsidR="003C20B5" w:rsidRPr="00FE73F1" w:rsidRDefault="003C20B5" w:rsidP="003C20B5">
      <w:pPr>
        <w:ind w:firstLine="708"/>
        <w:jc w:val="both"/>
        <w:rPr>
          <w:rFonts w:ascii="Abadi" w:hAnsi="Abadi"/>
          <w:sz w:val="21"/>
          <w:szCs w:val="21"/>
        </w:rPr>
      </w:pPr>
    </w:p>
    <w:p w14:paraId="34B39CEF"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Asimismo, el informe de resultados se notificó el 28 de noviembre de 2022, al presidente y a la ex presidenta municipales, así como al ex presidente municipal provisional de Salamanca, </w:t>
      </w:r>
      <w:proofErr w:type="spellStart"/>
      <w:r w:rsidRPr="00FE73F1">
        <w:rPr>
          <w:rFonts w:ascii="Abadi" w:hAnsi="Abadi"/>
          <w:sz w:val="21"/>
          <w:szCs w:val="21"/>
        </w:rPr>
        <w:t>Gto</w:t>
      </w:r>
      <w:proofErr w:type="spellEnd"/>
      <w:r w:rsidRPr="00FE73F1">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9984AF9" w14:textId="77777777" w:rsidR="003C20B5" w:rsidRPr="00FE73F1" w:rsidRDefault="003C20B5" w:rsidP="003C20B5">
      <w:pPr>
        <w:pStyle w:val="Textoindependiente"/>
        <w:ind w:firstLine="708"/>
        <w:rPr>
          <w:rFonts w:ascii="Abadi" w:hAnsi="Abadi"/>
          <w:b w:val="0"/>
          <w:bCs w:val="0"/>
          <w:sz w:val="21"/>
          <w:szCs w:val="21"/>
        </w:rPr>
      </w:pPr>
    </w:p>
    <w:p w14:paraId="12811D9C"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El 2 de diciembre de 2022, dentro del plazo que prevé la fracción IV del artículo 37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 la ex presidenta municipal de Salamanca, </w:t>
      </w:r>
      <w:proofErr w:type="spellStart"/>
      <w:r w:rsidRPr="00FE73F1">
        <w:rPr>
          <w:rFonts w:ascii="Abadi" w:hAnsi="Abadi"/>
          <w:sz w:val="21"/>
          <w:szCs w:val="21"/>
        </w:rPr>
        <w:t>Gto</w:t>
      </w:r>
      <w:proofErr w:type="spellEnd"/>
      <w:r w:rsidRPr="00FE73F1">
        <w:rPr>
          <w:rFonts w:ascii="Abadi" w:hAnsi="Abadi"/>
          <w:sz w:val="21"/>
          <w:szCs w:val="21"/>
        </w:rPr>
        <w:t xml:space="preserve">., interpuso recurso de reconsideración en contra del informe de resultados de la auditoría integral practicada a la administración pública municipal de Salamanca, </w:t>
      </w:r>
      <w:proofErr w:type="spellStart"/>
      <w:r w:rsidRPr="00FE73F1">
        <w:rPr>
          <w:rFonts w:ascii="Abadi" w:hAnsi="Abadi"/>
          <w:sz w:val="21"/>
          <w:szCs w:val="21"/>
        </w:rPr>
        <w:t>Gto</w:t>
      </w:r>
      <w:proofErr w:type="spellEnd"/>
      <w:r w:rsidRPr="00FE73F1">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w:t>
      </w:r>
      <w:r w:rsidRPr="00FE73F1">
        <w:rPr>
          <w:rFonts w:ascii="Abadi" w:hAnsi="Abadi"/>
          <w:sz w:val="21"/>
          <w:szCs w:val="21"/>
        </w:rPr>
        <w:t xml:space="preserve">años 2019 y 2020, así como por el periodo comprendido por los meses de enero a octubre del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w:t>
      </w:r>
    </w:p>
    <w:p w14:paraId="7E599367" w14:textId="77777777" w:rsidR="003C20B5" w:rsidRPr="00FE73F1" w:rsidRDefault="003C20B5" w:rsidP="003C20B5">
      <w:pPr>
        <w:ind w:firstLine="708"/>
        <w:jc w:val="both"/>
        <w:rPr>
          <w:rFonts w:ascii="Abadi" w:hAnsi="Abadi"/>
          <w:sz w:val="21"/>
          <w:szCs w:val="21"/>
        </w:rPr>
      </w:pPr>
    </w:p>
    <w:p w14:paraId="4D78DD4A"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Una vez tramitado el recurso, el Auditor Superior el 13 de diciembre de 2022 emitió la resolución correspondiente, a la cual haremos referencia en un apartado posterior, misma que se notificó a la ex presidenta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el 20 de diciembre del mismo año.</w:t>
      </w:r>
    </w:p>
    <w:p w14:paraId="30CE37ED" w14:textId="77777777" w:rsidR="003C20B5" w:rsidRPr="00FE73F1" w:rsidRDefault="003C20B5" w:rsidP="003C20B5">
      <w:pPr>
        <w:ind w:firstLine="708"/>
        <w:jc w:val="both"/>
        <w:rPr>
          <w:rFonts w:ascii="Abadi" w:hAnsi="Abadi"/>
          <w:sz w:val="21"/>
          <w:szCs w:val="21"/>
        </w:rPr>
      </w:pPr>
    </w:p>
    <w:p w14:paraId="724442FB" w14:textId="77777777" w:rsidR="003C20B5" w:rsidRPr="00FE73F1" w:rsidRDefault="003C20B5" w:rsidP="003C20B5">
      <w:pPr>
        <w:ind w:firstLine="708"/>
        <w:jc w:val="both"/>
        <w:rPr>
          <w:rFonts w:ascii="Abadi" w:hAnsi="Abadi"/>
          <w:sz w:val="21"/>
          <w:szCs w:val="21"/>
        </w:rPr>
      </w:pPr>
    </w:p>
    <w:p w14:paraId="3FCA86C1" w14:textId="77777777" w:rsidR="003C20B5" w:rsidRPr="00145A79" w:rsidRDefault="003C20B5" w:rsidP="003C20B5">
      <w:pPr>
        <w:pStyle w:val="Textoindependiente"/>
        <w:ind w:firstLine="708"/>
        <w:rPr>
          <w:rFonts w:ascii="Abadi" w:hAnsi="Abadi"/>
          <w:sz w:val="21"/>
          <w:szCs w:val="21"/>
        </w:rPr>
      </w:pPr>
      <w:r w:rsidRPr="00145A79">
        <w:rPr>
          <w:rFonts w:ascii="Abadi" w:hAnsi="Abadi"/>
          <w:sz w:val="21"/>
          <w:szCs w:val="21"/>
        </w:rPr>
        <w:t>IV. Contenido del Informe de Resultados:</w:t>
      </w:r>
    </w:p>
    <w:p w14:paraId="57A05F6C" w14:textId="77777777" w:rsidR="003C20B5" w:rsidRPr="00145A79" w:rsidRDefault="003C20B5" w:rsidP="003C20B5">
      <w:pPr>
        <w:pStyle w:val="Textoindependiente"/>
        <w:rPr>
          <w:rFonts w:ascii="Abadi" w:hAnsi="Abadi"/>
          <w:sz w:val="21"/>
          <w:szCs w:val="21"/>
        </w:rPr>
      </w:pPr>
    </w:p>
    <w:p w14:paraId="3E798CC0" w14:textId="77777777" w:rsidR="003C20B5" w:rsidRPr="00FE73F1" w:rsidRDefault="003C20B5" w:rsidP="003C20B5">
      <w:pPr>
        <w:pStyle w:val="Textoindependiente"/>
        <w:rPr>
          <w:rFonts w:ascii="Abadi" w:hAnsi="Abadi"/>
          <w:b w:val="0"/>
          <w:bCs w:val="0"/>
          <w:sz w:val="21"/>
          <w:szCs w:val="21"/>
        </w:rPr>
      </w:pPr>
      <w:r w:rsidRPr="00FE73F1">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8196569" w14:textId="77777777" w:rsidR="003C20B5" w:rsidRPr="00FE73F1" w:rsidRDefault="003C20B5" w:rsidP="003C20B5">
      <w:pPr>
        <w:pStyle w:val="Textoindependiente"/>
        <w:rPr>
          <w:rFonts w:ascii="Abadi" w:hAnsi="Abadi"/>
          <w:b w:val="0"/>
          <w:bCs w:val="0"/>
          <w:sz w:val="21"/>
          <w:szCs w:val="21"/>
        </w:rPr>
      </w:pPr>
    </w:p>
    <w:p w14:paraId="615447CE" w14:textId="77777777" w:rsidR="003C20B5" w:rsidRPr="00145A79" w:rsidRDefault="003C20B5" w:rsidP="003C20B5">
      <w:pPr>
        <w:pStyle w:val="Textoindependiente"/>
        <w:numPr>
          <w:ilvl w:val="0"/>
          <w:numId w:val="9"/>
        </w:numPr>
        <w:autoSpaceDE/>
        <w:autoSpaceDN/>
        <w:rPr>
          <w:rFonts w:ascii="Abadi" w:hAnsi="Abadi"/>
          <w:sz w:val="21"/>
          <w:szCs w:val="21"/>
        </w:rPr>
      </w:pPr>
      <w:r w:rsidRPr="00145A79">
        <w:rPr>
          <w:rFonts w:ascii="Abadi" w:hAnsi="Abadi"/>
          <w:sz w:val="21"/>
          <w:szCs w:val="21"/>
        </w:rPr>
        <w:t>Introducción.</w:t>
      </w:r>
    </w:p>
    <w:p w14:paraId="7953A1CB" w14:textId="77777777" w:rsidR="003C20B5" w:rsidRPr="00145A79" w:rsidRDefault="003C20B5" w:rsidP="003C20B5">
      <w:pPr>
        <w:pStyle w:val="Textoindependiente"/>
        <w:ind w:left="705"/>
        <w:rPr>
          <w:rFonts w:ascii="Abadi" w:hAnsi="Abadi"/>
          <w:sz w:val="21"/>
          <w:szCs w:val="21"/>
        </w:rPr>
      </w:pPr>
    </w:p>
    <w:p w14:paraId="1872E189"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Por lo que se refiere a este punto, se establecen el objetivo de la auditoría; los criterios de selección; el alcance de la auditoría, respecto al rubro de egresos correspondientes al periodo comprendido de octubre a diciembre del ejercicio fiscal de 2018, así como a los ejercicios fiscales de 2019 y 2020; y a los rubros de ingresos y egresos del periodo comprendido de enero a octubre de 2021, precisando que el detalle de los alcances de la auditoría se consigna en los Anexos 01 y 02 del informe de resultados. </w:t>
      </w:r>
    </w:p>
    <w:p w14:paraId="0A42F0C2" w14:textId="77777777" w:rsidR="003C20B5" w:rsidRPr="00FE73F1" w:rsidRDefault="003C20B5" w:rsidP="003C20B5">
      <w:pPr>
        <w:pStyle w:val="Textoindependiente"/>
        <w:ind w:firstLine="705"/>
        <w:rPr>
          <w:rFonts w:ascii="Abadi" w:hAnsi="Abadi"/>
          <w:b w:val="0"/>
          <w:bCs w:val="0"/>
          <w:sz w:val="21"/>
          <w:szCs w:val="21"/>
        </w:rPr>
      </w:pPr>
    </w:p>
    <w:p w14:paraId="451AE77E"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Asimismo, se refiere que la cuenta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xml:space="preserve">., correspondiente a los ejercicios fiscales de 2018, 2019, 2020 y 2021 que ya fue revisada se integró con la información que se detalla en el informe de resultados, de conformidad con lo establecido en el artículo 48 de la Ley General de Contabilidad Gubernamental; precisando el detalle de los alcances de las cuentas contables, del periodo comprendido de octubre a diciembre del ejercicio fiscal de 2018, de los ejercicios fiscales de 2019 y 2020 y del periodo comprendido de enero a octubre de 2021 y el </w:t>
      </w:r>
      <w:r w:rsidRPr="00FE73F1">
        <w:rPr>
          <w:rFonts w:ascii="Abadi" w:hAnsi="Abadi"/>
          <w:b w:val="0"/>
          <w:bCs w:val="0"/>
          <w:sz w:val="21"/>
          <w:szCs w:val="21"/>
        </w:rPr>
        <w:lastRenderedPageBreak/>
        <w:t>detalle de alcances las obras que se seleccionaron para muestra.</w:t>
      </w:r>
    </w:p>
    <w:p w14:paraId="342F9C46" w14:textId="77777777" w:rsidR="003C20B5" w:rsidRPr="00FE73F1" w:rsidRDefault="003C20B5" w:rsidP="003C20B5">
      <w:pPr>
        <w:pStyle w:val="Textoindependiente"/>
        <w:ind w:firstLine="705"/>
        <w:rPr>
          <w:rFonts w:ascii="Abadi" w:hAnsi="Abadi"/>
          <w:b w:val="0"/>
          <w:bCs w:val="0"/>
          <w:sz w:val="21"/>
          <w:szCs w:val="21"/>
        </w:rPr>
      </w:pPr>
    </w:p>
    <w:p w14:paraId="218AF88E"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Por otra parte, se señala que, respecto al periodo auditado el Órgano Técnico también llevó a cabo auditorías y revisiones a la administración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xml:space="preserve">., en los ejercicios fiscales de 2018, 2019 y 2020, precisando el porcentaje revisado de ingresos y egresos; estableciendo además que, de manera paralela se realizó una auditoría a la infraestructura pública municipal y la revisión de la cuenta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correspondientes al ejercicio fiscal del año 2021.</w:t>
      </w:r>
    </w:p>
    <w:p w14:paraId="6B6E323B" w14:textId="77777777" w:rsidR="003C20B5" w:rsidRPr="00FE73F1" w:rsidRDefault="003C20B5" w:rsidP="003C20B5">
      <w:pPr>
        <w:pStyle w:val="Textoindependiente"/>
        <w:ind w:firstLine="705"/>
        <w:rPr>
          <w:rFonts w:ascii="Abadi" w:hAnsi="Abadi"/>
          <w:b w:val="0"/>
          <w:bCs w:val="0"/>
          <w:sz w:val="21"/>
          <w:szCs w:val="21"/>
        </w:rPr>
      </w:pPr>
    </w:p>
    <w:p w14:paraId="7D89E8AE"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p>
    <w:p w14:paraId="2EB0671A" w14:textId="77777777" w:rsidR="003C20B5" w:rsidRPr="00FE73F1" w:rsidRDefault="003C20B5" w:rsidP="003C20B5">
      <w:pPr>
        <w:pStyle w:val="Textoindependiente"/>
        <w:ind w:firstLine="708"/>
        <w:rPr>
          <w:rFonts w:ascii="Abadi" w:hAnsi="Abadi"/>
          <w:b w:val="0"/>
          <w:bCs w:val="0"/>
          <w:sz w:val="21"/>
          <w:szCs w:val="21"/>
        </w:rPr>
      </w:pPr>
    </w:p>
    <w:p w14:paraId="40702F14"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lo referente al rubro de análisis de operaciones con Empresas que Facturan Operaciones Simuladas (EFOS) u operaciones inexistentes se refiere que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FE73F1">
        <w:rPr>
          <w:rFonts w:ascii="Abadi" w:hAnsi="Abadi"/>
          <w:b w:val="0"/>
          <w:bCs w:val="0"/>
          <w:i/>
          <w:iCs/>
          <w:sz w:val="21"/>
          <w:szCs w:val="21"/>
        </w:rPr>
        <w:t>«Definitivos»</w:t>
      </w:r>
      <w:r w:rsidRPr="00FE73F1">
        <w:rPr>
          <w:rFonts w:ascii="Abadi" w:hAnsi="Abadi"/>
          <w:b w:val="0"/>
          <w:bCs w:val="0"/>
          <w:sz w:val="21"/>
          <w:szCs w:val="21"/>
        </w:rPr>
        <w:t>, emitidas por el Servicio de Administración Tributaria.</w:t>
      </w:r>
    </w:p>
    <w:p w14:paraId="2ACAFBEB" w14:textId="77777777" w:rsidR="003C20B5" w:rsidRPr="00FE73F1" w:rsidRDefault="003C20B5" w:rsidP="003C20B5">
      <w:pPr>
        <w:pStyle w:val="Textoindependiente"/>
        <w:ind w:firstLine="708"/>
        <w:rPr>
          <w:rFonts w:ascii="Abadi" w:hAnsi="Abadi"/>
          <w:b w:val="0"/>
          <w:bCs w:val="0"/>
          <w:sz w:val="21"/>
          <w:szCs w:val="21"/>
        </w:rPr>
      </w:pPr>
    </w:p>
    <w:p w14:paraId="482F1E31"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sujeto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w:t>
      </w:r>
      <w:r w:rsidRPr="00FE73F1">
        <w:rPr>
          <w:rFonts w:ascii="Abadi" w:hAnsi="Abadi"/>
          <w:b w:val="0"/>
          <w:bCs w:val="0"/>
          <w:sz w:val="21"/>
          <w:szCs w:val="21"/>
        </w:rPr>
        <w:t xml:space="preserve">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FE73F1">
        <w:rPr>
          <w:rFonts w:ascii="Abadi" w:hAnsi="Abadi"/>
          <w:b w:val="0"/>
          <w:bCs w:val="0"/>
          <w:i/>
          <w:iCs/>
          <w:sz w:val="21"/>
          <w:szCs w:val="21"/>
        </w:rPr>
        <w:t>«Definitivos»</w:t>
      </w:r>
      <w:r w:rsidRPr="00FE73F1">
        <w:rPr>
          <w:rFonts w:ascii="Abadi" w:hAnsi="Abadi"/>
          <w:b w:val="0"/>
          <w:bCs w:val="0"/>
          <w:sz w:val="21"/>
          <w:szCs w:val="21"/>
        </w:rPr>
        <w:t xml:space="preserve"> emitidas por el Servicio de Administración Tributaria, con independencia que hayan celebrado o no, operaciones comerciales y/o contractuales con el sujeto fiscalizado.</w:t>
      </w:r>
    </w:p>
    <w:p w14:paraId="52A62401" w14:textId="77777777" w:rsidR="003C20B5" w:rsidRPr="00FE73F1" w:rsidRDefault="003C20B5" w:rsidP="003C20B5">
      <w:pPr>
        <w:pStyle w:val="Textoindependiente"/>
        <w:ind w:firstLine="705"/>
        <w:rPr>
          <w:rFonts w:ascii="Abadi" w:hAnsi="Abadi"/>
          <w:b w:val="0"/>
          <w:bCs w:val="0"/>
          <w:sz w:val="21"/>
          <w:szCs w:val="21"/>
        </w:rPr>
      </w:pPr>
    </w:p>
    <w:p w14:paraId="4AC00AE9" w14:textId="77777777" w:rsidR="003C20B5"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Derivado de lo anterior, se señala que para efectos informativos en la auditoría se identificó y analizó una empresa clasificada como EFOS.</w:t>
      </w:r>
    </w:p>
    <w:p w14:paraId="39DBB160" w14:textId="77777777" w:rsidR="00FE73F1" w:rsidRPr="00FE73F1" w:rsidRDefault="00FE73F1" w:rsidP="003C20B5">
      <w:pPr>
        <w:pStyle w:val="Textoindependiente"/>
        <w:ind w:firstLine="705"/>
        <w:rPr>
          <w:rFonts w:ascii="Abadi" w:hAnsi="Abadi"/>
          <w:b w:val="0"/>
          <w:bCs w:val="0"/>
          <w:sz w:val="21"/>
          <w:szCs w:val="21"/>
        </w:rPr>
      </w:pPr>
    </w:p>
    <w:p w14:paraId="446F7099"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De manera particular y acorde a los</w:t>
      </w:r>
      <w:r w:rsidRPr="00280AF6">
        <w:rPr>
          <w:rFonts w:ascii="Abadi" w:hAnsi="Abadi"/>
          <w:b w:val="0"/>
          <w:bCs w:val="0"/>
        </w:rPr>
        <w:t xml:space="preserve">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280AF6">
        <w:rPr>
          <w:rFonts w:ascii="Abadi" w:hAnsi="Abadi"/>
          <w:b w:val="0"/>
          <w:bCs w:val="0"/>
        </w:rPr>
        <w:t>fiscalizado</w:t>
      </w:r>
      <w:proofErr w:type="spellEnd"/>
      <w:r w:rsidRPr="00280AF6">
        <w:rPr>
          <w:rFonts w:ascii="Abadi" w:hAnsi="Abadi"/>
          <w:b w:val="0"/>
          <w:bCs w:val="0"/>
        </w:rPr>
        <w:t xml:space="preserve">; Registro Civil de la Secretaría de Gobierno del Estado y Registro Nacional de Población e Identificación Personal de la Secretaría de Gobernación Federal, a efecto de identificar posibles relaciones de parentesco de socios de personas </w:t>
      </w:r>
      <w:r w:rsidRPr="00FE73F1">
        <w:rPr>
          <w:rFonts w:ascii="Abadi" w:hAnsi="Abadi"/>
          <w:b w:val="0"/>
          <w:bCs w:val="0"/>
          <w:sz w:val="21"/>
          <w:szCs w:val="21"/>
        </w:rPr>
        <w:t xml:space="preserve">morales que suministraron bienes o prestaron servicios al ente </w:t>
      </w:r>
      <w:proofErr w:type="spellStart"/>
      <w:r w:rsidRPr="00FE73F1">
        <w:rPr>
          <w:rFonts w:ascii="Abadi" w:hAnsi="Abadi"/>
          <w:b w:val="0"/>
          <w:bCs w:val="0"/>
          <w:sz w:val="21"/>
          <w:szCs w:val="21"/>
        </w:rPr>
        <w:t>fiscalizado</w:t>
      </w:r>
      <w:proofErr w:type="spellEnd"/>
      <w:r w:rsidRPr="00FE73F1">
        <w:rPr>
          <w:rFonts w:ascii="Abadi" w:hAnsi="Abadi"/>
          <w:b w:val="0"/>
          <w:bCs w:val="0"/>
          <w:sz w:val="21"/>
          <w:szCs w:val="21"/>
        </w:rPr>
        <w:t>.</w:t>
      </w:r>
    </w:p>
    <w:p w14:paraId="023F8344" w14:textId="77777777" w:rsidR="003C20B5" w:rsidRPr="00FE73F1" w:rsidRDefault="003C20B5" w:rsidP="003C20B5">
      <w:pPr>
        <w:pStyle w:val="Textoindependiente"/>
        <w:ind w:firstLine="705"/>
        <w:rPr>
          <w:rFonts w:ascii="Abadi" w:hAnsi="Abadi"/>
          <w:b w:val="0"/>
          <w:bCs w:val="0"/>
          <w:sz w:val="21"/>
          <w:szCs w:val="21"/>
        </w:rPr>
      </w:pPr>
    </w:p>
    <w:p w14:paraId="599B6779"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Adicionalmente y en atención a los antecedentes y consideraciones señalados en el acuerdo aprobado por el Pleno del Congreso del Estado se analizaron y </w:t>
      </w:r>
      <w:r w:rsidRPr="00FE73F1">
        <w:rPr>
          <w:rFonts w:ascii="Abadi" w:hAnsi="Abadi"/>
          <w:b w:val="0"/>
          <w:bCs w:val="0"/>
          <w:sz w:val="21"/>
          <w:szCs w:val="21"/>
        </w:rPr>
        <w:lastRenderedPageBreak/>
        <w:t>verificaron los siguientes rubros: Financiero; y Bienes Inmuebles, Infraestructura y Construcciones en Proceso. Para tal efecto se realizaron las acciones que se detallan en el informe de resultados.</w:t>
      </w:r>
    </w:p>
    <w:p w14:paraId="39DD6766" w14:textId="77777777" w:rsidR="003C20B5" w:rsidRPr="00FE73F1" w:rsidRDefault="003C20B5" w:rsidP="003C20B5">
      <w:pPr>
        <w:pStyle w:val="Textoindependiente"/>
        <w:ind w:firstLine="708"/>
        <w:rPr>
          <w:rFonts w:ascii="Abadi" w:hAnsi="Abadi"/>
          <w:b w:val="0"/>
          <w:bCs w:val="0"/>
          <w:sz w:val="21"/>
          <w:szCs w:val="21"/>
        </w:rPr>
      </w:pPr>
    </w:p>
    <w:p w14:paraId="7DD487BF"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También se establece que para la integración del expediente y conclusiones determinadas en la auditoría practicada, se consideró documentación obtenida mediante diversos procedimientos de auditoría aplicados en los análisis de información financiera trimestral a la administración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respecto de los periodos comprendidos de enero a junio y de julio a diciembre del 2021, de acuerdo a lo establecido en el artículo 28, primer párrafo de la Ley de Fiscalización Superior del Estado de Guanajuato.</w:t>
      </w:r>
    </w:p>
    <w:p w14:paraId="5D68A677" w14:textId="77777777" w:rsidR="003C20B5" w:rsidRPr="00FE73F1" w:rsidRDefault="003C20B5" w:rsidP="003C20B5">
      <w:pPr>
        <w:pStyle w:val="Textoindependiente"/>
        <w:ind w:firstLine="708"/>
        <w:rPr>
          <w:rFonts w:ascii="Abadi" w:hAnsi="Abadi"/>
          <w:b w:val="0"/>
          <w:bCs w:val="0"/>
          <w:sz w:val="21"/>
          <w:szCs w:val="21"/>
        </w:rPr>
      </w:pPr>
    </w:p>
    <w:p w14:paraId="12C71BA5"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Asimismo, se analizó el informe general del proceso de entrega recepción 2021 de la administración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y en su caso se aplicaron los procedimientos de auditoría correspondientes.</w:t>
      </w:r>
    </w:p>
    <w:p w14:paraId="7B7C3871" w14:textId="77777777" w:rsidR="003C20B5" w:rsidRPr="00FE73F1" w:rsidRDefault="003C20B5" w:rsidP="003C20B5">
      <w:pPr>
        <w:pStyle w:val="Textoindependiente"/>
        <w:ind w:firstLine="708"/>
        <w:rPr>
          <w:rFonts w:ascii="Abadi" w:hAnsi="Abadi"/>
          <w:b w:val="0"/>
          <w:bCs w:val="0"/>
          <w:sz w:val="21"/>
          <w:szCs w:val="21"/>
        </w:rPr>
      </w:pPr>
    </w:p>
    <w:p w14:paraId="678E4D65"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Cabe señalar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autorizado, entre otros supuestos de procedencia. Derivado de lo cual se recibió una solicitud ciudadana, de la que, una vez aplicados los procedimientos de auditoría inherentes no se obtuvieron observaciones o recomendaciones para incluir en el informe de resultados.</w:t>
      </w:r>
    </w:p>
    <w:p w14:paraId="593C0FC1" w14:textId="77777777" w:rsidR="003C20B5" w:rsidRPr="00FE73F1" w:rsidRDefault="003C20B5" w:rsidP="003C20B5">
      <w:pPr>
        <w:ind w:firstLine="705"/>
        <w:jc w:val="both"/>
        <w:rPr>
          <w:rFonts w:ascii="Abadi" w:hAnsi="Abadi"/>
          <w:sz w:val="21"/>
          <w:szCs w:val="21"/>
          <w:lang w:eastAsia="x-none"/>
        </w:rPr>
      </w:pPr>
      <w:r w:rsidRPr="00FE73F1">
        <w:rPr>
          <w:rFonts w:ascii="Abadi" w:hAnsi="Abadi"/>
          <w:sz w:val="21"/>
          <w:szCs w:val="21"/>
          <w:lang w:eastAsia="x-none"/>
        </w:rPr>
        <w:t xml:space="preserve"> </w:t>
      </w:r>
    </w:p>
    <w:p w14:paraId="5EFACDBF"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Asimismo, se establece el dictamen de la auditoría, mismo que contiene los rubros de opinión, fundamento de la opinión, asuntos clave de la auditoría en contexto de la pandemia del virus Sars-Cov2, obligaciones de la administración y responsabilidades del auditor. En cuanto a la primera se refiere que, en términos generales y respecto de la muestra auditada, la materia objeto de auditoría no cumple, en todos los aspectos significativos con las disposiciones normativas aplicables al municipio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w:t>
      </w:r>
    </w:p>
    <w:p w14:paraId="56B4070E" w14:textId="77777777" w:rsidR="003C20B5" w:rsidRPr="00FE73F1" w:rsidRDefault="003C20B5" w:rsidP="003C20B5">
      <w:pPr>
        <w:pStyle w:val="Textoindependiente"/>
        <w:ind w:firstLine="705"/>
        <w:rPr>
          <w:rFonts w:ascii="Abadi" w:hAnsi="Abadi"/>
          <w:b w:val="0"/>
          <w:bCs w:val="0"/>
          <w:sz w:val="21"/>
          <w:szCs w:val="21"/>
        </w:rPr>
      </w:pPr>
    </w:p>
    <w:p w14:paraId="537F88CA"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cuanto al rubro de resultados de la fiscalización efectuada, se contempla el apartado de </w:t>
      </w:r>
      <w:r w:rsidRPr="00FE73F1">
        <w:rPr>
          <w:rFonts w:ascii="Abadi" w:hAnsi="Abadi"/>
          <w:b w:val="0"/>
          <w:bCs w:val="0"/>
          <w:i/>
          <w:iCs/>
          <w:sz w:val="21"/>
          <w:szCs w:val="21"/>
        </w:rPr>
        <w:t xml:space="preserve">Resultado de Evaluación </w:t>
      </w:r>
      <w:r w:rsidRPr="00FE73F1">
        <w:rPr>
          <w:rFonts w:ascii="Abadi" w:hAnsi="Abadi"/>
          <w:b w:val="0"/>
          <w:bCs w:val="0"/>
          <w:sz w:val="21"/>
          <w:szCs w:val="21"/>
        </w:rPr>
        <w:t>del Sistema de Evaluaciones de la Armonización Contable, el cual es la herramienta tecnológica establecida con la finalidad de conocer el grado de avance de los entes públicos del país respecto a los diferentes temas relacionados con la armonización contable. Dicha herramienta se desarrolló en el marco del convenio entre la Asociación Nacional de Organismos de Fiscalización Superior y Control Gubernamental, A.C. y el Consejo Nacional de Armonización Contable.</w:t>
      </w:r>
    </w:p>
    <w:p w14:paraId="5EAF8C04" w14:textId="77777777" w:rsidR="003C20B5" w:rsidRPr="00FE73F1" w:rsidRDefault="003C20B5" w:rsidP="003C20B5">
      <w:pPr>
        <w:pStyle w:val="Textoindependiente"/>
        <w:ind w:firstLine="705"/>
        <w:rPr>
          <w:rFonts w:ascii="Abadi" w:hAnsi="Abadi"/>
          <w:b w:val="0"/>
          <w:bCs w:val="0"/>
          <w:sz w:val="21"/>
          <w:szCs w:val="21"/>
        </w:rPr>
      </w:pPr>
    </w:p>
    <w:p w14:paraId="0F9B5F1B"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Derivado de lo anterior, en el informe de resultados se establece el resultado obtenido por la administración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en la última evaluación realizada durante el periodo auditado, para el ejercicio fiscal 2019; concluyendo que al cuarto trimestre del 2019 y promedio de dicho ejercicio, la administración pública municipal centralizada se encontraba en cumplimiento medio, en comparación con el promedio de las evaluaciones de sus organismos paramunicipales y el promedio de la totalidad de entes públicos evaluados en el Estado de Guanajuato.</w:t>
      </w:r>
    </w:p>
    <w:p w14:paraId="569C46A1" w14:textId="77777777" w:rsidR="003C20B5" w:rsidRPr="00FE73F1" w:rsidRDefault="003C20B5" w:rsidP="003C20B5">
      <w:pPr>
        <w:pStyle w:val="Textoindependiente"/>
        <w:ind w:firstLine="705"/>
        <w:rPr>
          <w:rFonts w:ascii="Abadi" w:hAnsi="Abadi"/>
          <w:b w:val="0"/>
          <w:bCs w:val="0"/>
          <w:sz w:val="21"/>
          <w:szCs w:val="21"/>
        </w:rPr>
      </w:pPr>
    </w:p>
    <w:p w14:paraId="444E74B1"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También se señala un resumen de alcance, naturaleza, procedimientos y conclusiones derivadas de la auditoría, precisando las muestras analizadas.</w:t>
      </w:r>
    </w:p>
    <w:p w14:paraId="10DF7ADA" w14:textId="77777777" w:rsidR="003C20B5" w:rsidRPr="00FE73F1" w:rsidRDefault="003C20B5" w:rsidP="003C20B5">
      <w:pPr>
        <w:pStyle w:val="Textoindependiente"/>
        <w:ind w:firstLine="705"/>
        <w:rPr>
          <w:rFonts w:ascii="Abadi" w:hAnsi="Abadi"/>
          <w:b w:val="0"/>
          <w:bCs w:val="0"/>
          <w:sz w:val="21"/>
          <w:szCs w:val="21"/>
        </w:rPr>
      </w:pPr>
    </w:p>
    <w:p w14:paraId="6878BAC9"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Finalmente, se contempla el rubro correspondiente al Resumen de Observaciones y Recomendaciones, en el cual se establece el estatus que guardan las observaciones y recomendaciones, las cuales se agrupan bajo su respectivo tipo y rubro, señalando que se determinaron 33 observaciones, mismas que no fueron solventadas; precisando los sistemas o procesos en los que incidieron las observaciones no solventadas. </w:t>
      </w:r>
    </w:p>
    <w:p w14:paraId="7AA296B2" w14:textId="77777777" w:rsidR="003C20B5" w:rsidRPr="00FE73F1" w:rsidRDefault="003C20B5" w:rsidP="003C20B5">
      <w:pPr>
        <w:pStyle w:val="Textoindependiente"/>
        <w:ind w:firstLine="705"/>
        <w:rPr>
          <w:rFonts w:ascii="Abadi" w:hAnsi="Abadi"/>
          <w:b w:val="0"/>
          <w:bCs w:val="0"/>
          <w:sz w:val="21"/>
          <w:szCs w:val="21"/>
        </w:rPr>
      </w:pPr>
    </w:p>
    <w:p w14:paraId="4A7C1729" w14:textId="77777777" w:rsidR="003C20B5" w:rsidRPr="00FE73F1" w:rsidRDefault="003C20B5" w:rsidP="003C20B5">
      <w:pPr>
        <w:pStyle w:val="Textoindependiente"/>
        <w:ind w:firstLine="705"/>
        <w:rPr>
          <w:rFonts w:ascii="Abadi" w:hAnsi="Abadi"/>
          <w:b w:val="0"/>
          <w:bCs w:val="0"/>
          <w:sz w:val="21"/>
          <w:szCs w:val="21"/>
        </w:rPr>
      </w:pPr>
    </w:p>
    <w:p w14:paraId="15915A56"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w:t>
      </w:r>
      <w:r w:rsidRPr="00FE73F1">
        <w:rPr>
          <w:rFonts w:ascii="Abadi" w:hAnsi="Abadi"/>
          <w:b w:val="0"/>
          <w:bCs w:val="0"/>
          <w:sz w:val="21"/>
          <w:szCs w:val="21"/>
        </w:rPr>
        <w:lastRenderedPageBreak/>
        <w:t>caso de las observaciones plasmadas en los numerales 003, 004, 006, 015, 016, 017, 020, 021, 022, 029, 031 y 033, existen importes no solventados por la cuantía que ahí se refiere.</w:t>
      </w:r>
    </w:p>
    <w:p w14:paraId="044351F0" w14:textId="77777777" w:rsidR="003C20B5" w:rsidRPr="00FE73F1" w:rsidRDefault="003C20B5" w:rsidP="003C20B5">
      <w:pPr>
        <w:pStyle w:val="Textoindependiente"/>
        <w:ind w:firstLine="705"/>
        <w:rPr>
          <w:rFonts w:ascii="Abadi" w:hAnsi="Abadi"/>
          <w:b w:val="0"/>
          <w:bCs w:val="0"/>
          <w:sz w:val="21"/>
          <w:szCs w:val="21"/>
        </w:rPr>
      </w:pPr>
    </w:p>
    <w:p w14:paraId="25AB1C9C" w14:textId="77777777" w:rsidR="003C20B5" w:rsidRPr="00FE73F1" w:rsidRDefault="003C20B5" w:rsidP="003C20B5">
      <w:pPr>
        <w:pStyle w:val="Textoindependiente"/>
        <w:numPr>
          <w:ilvl w:val="0"/>
          <w:numId w:val="9"/>
        </w:numPr>
        <w:tabs>
          <w:tab w:val="clear" w:pos="1065"/>
          <w:tab w:val="num" w:pos="0"/>
        </w:tabs>
        <w:autoSpaceDE/>
        <w:autoSpaceDN/>
        <w:rPr>
          <w:rFonts w:ascii="Abadi" w:hAnsi="Abadi"/>
          <w:sz w:val="21"/>
          <w:szCs w:val="21"/>
        </w:rPr>
      </w:pPr>
      <w:r w:rsidRPr="00FE73F1">
        <w:rPr>
          <w:rFonts w:ascii="Abadi" w:hAnsi="Abadi"/>
          <w:sz w:val="21"/>
          <w:szCs w:val="21"/>
        </w:rPr>
        <w:t xml:space="preserve">Observaciones y recomendaciones, la respuesta emitida por el sujeto fiscalizado y la valoración correspondiente. </w:t>
      </w:r>
    </w:p>
    <w:p w14:paraId="30755DE5" w14:textId="77777777" w:rsidR="003C20B5" w:rsidRPr="00FE73F1" w:rsidRDefault="003C20B5" w:rsidP="003C20B5">
      <w:pPr>
        <w:pStyle w:val="Textoindependiente"/>
        <w:ind w:left="1065"/>
        <w:rPr>
          <w:rFonts w:ascii="Abadi" w:hAnsi="Abadi"/>
          <w:b w:val="0"/>
          <w:bCs w:val="0"/>
          <w:sz w:val="21"/>
          <w:szCs w:val="21"/>
        </w:rPr>
      </w:pPr>
    </w:p>
    <w:p w14:paraId="219FF023"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esta parte se desglosa la valoración de las observaciones y recomendaciones formuladas por el Órgano Técnico, considerando como no solventadas las observaciones plasmadas en los siguientes apartados: En el de Cumplimiento Financiero, los numerales 001, referente a Programa Anual de Compras y Consolidación; 002, correspondiente a procedimiento de adquisición de vehículos; 003, relativo a pagos sueldos base; 004, referido a pagos remuneraciones para eventuales; 005, referente a modificación de importes contratados; 006, correspondiente a soporte documental; 007, relativo a registro contable de chalecos y cascos balísticos; 008, referido a investigación de mercado; 009, referente a adjudicación de contrato. Contrato C-RM-026/2021; 010, correspondiente a empresas vinculadas; 011, relativo a montos máximos de adquisiciones con recursos federales; 012, referido a adquisición de vestuario y uniformes y prendas de seguridad; 013, referente a servicio de seguridad privada; 014, correspondiente a adjudicación directa </w:t>
      </w:r>
      <w:r w:rsidRPr="00FE73F1">
        <w:rPr>
          <w:rFonts w:ascii="Abadi" w:hAnsi="Abadi"/>
          <w:b w:val="0"/>
          <w:bCs w:val="0"/>
          <w:i/>
          <w:iCs/>
          <w:sz w:val="21"/>
          <w:szCs w:val="21"/>
        </w:rPr>
        <w:t xml:space="preserve">Network </w:t>
      </w:r>
      <w:proofErr w:type="spellStart"/>
      <w:r w:rsidRPr="00FE73F1">
        <w:rPr>
          <w:rFonts w:ascii="Abadi" w:hAnsi="Abadi"/>
          <w:b w:val="0"/>
          <w:bCs w:val="0"/>
          <w:i/>
          <w:iCs/>
          <w:sz w:val="21"/>
          <w:szCs w:val="21"/>
        </w:rPr>
        <w:t>Engineer</w:t>
      </w:r>
      <w:proofErr w:type="spellEnd"/>
      <w:r w:rsidRPr="00FE73F1">
        <w:rPr>
          <w:rFonts w:ascii="Abadi" w:hAnsi="Abadi"/>
          <w:b w:val="0"/>
          <w:bCs w:val="0"/>
          <w:i/>
          <w:iCs/>
          <w:sz w:val="21"/>
          <w:szCs w:val="21"/>
        </w:rPr>
        <w:t xml:space="preserve"> </w:t>
      </w:r>
      <w:proofErr w:type="spellStart"/>
      <w:r w:rsidRPr="00FE73F1">
        <w:rPr>
          <w:rFonts w:ascii="Abadi" w:hAnsi="Abadi"/>
          <w:b w:val="0"/>
          <w:bCs w:val="0"/>
          <w:i/>
          <w:iCs/>
          <w:sz w:val="21"/>
          <w:szCs w:val="21"/>
        </w:rPr>
        <w:t>Specialist</w:t>
      </w:r>
      <w:proofErr w:type="spellEnd"/>
      <w:r w:rsidRPr="00FE73F1">
        <w:rPr>
          <w:rFonts w:ascii="Abadi" w:hAnsi="Abadi"/>
          <w:b w:val="0"/>
          <w:bCs w:val="0"/>
          <w:i/>
          <w:iCs/>
          <w:sz w:val="21"/>
          <w:szCs w:val="21"/>
        </w:rPr>
        <w:t xml:space="preserve">, S.A. de C.V.; </w:t>
      </w:r>
      <w:r w:rsidRPr="00FE73F1">
        <w:rPr>
          <w:rFonts w:ascii="Abadi" w:hAnsi="Abadi"/>
          <w:b w:val="0"/>
          <w:bCs w:val="0"/>
          <w:sz w:val="21"/>
          <w:szCs w:val="21"/>
        </w:rPr>
        <w:t xml:space="preserve">015, relativo a pagos mensuales a </w:t>
      </w:r>
      <w:r w:rsidRPr="00FE73F1">
        <w:rPr>
          <w:rFonts w:ascii="Abadi" w:hAnsi="Abadi"/>
          <w:b w:val="0"/>
          <w:bCs w:val="0"/>
          <w:i/>
          <w:iCs/>
          <w:sz w:val="21"/>
          <w:szCs w:val="21"/>
        </w:rPr>
        <w:t xml:space="preserve">Network </w:t>
      </w:r>
      <w:proofErr w:type="spellStart"/>
      <w:r w:rsidRPr="00FE73F1">
        <w:rPr>
          <w:rFonts w:ascii="Abadi" w:hAnsi="Abadi"/>
          <w:b w:val="0"/>
          <w:bCs w:val="0"/>
          <w:i/>
          <w:iCs/>
          <w:sz w:val="21"/>
          <w:szCs w:val="21"/>
        </w:rPr>
        <w:t>Engineer</w:t>
      </w:r>
      <w:proofErr w:type="spellEnd"/>
      <w:r w:rsidRPr="00FE73F1">
        <w:rPr>
          <w:rFonts w:ascii="Abadi" w:hAnsi="Abadi"/>
          <w:b w:val="0"/>
          <w:bCs w:val="0"/>
          <w:i/>
          <w:iCs/>
          <w:sz w:val="21"/>
          <w:szCs w:val="21"/>
        </w:rPr>
        <w:t xml:space="preserve"> </w:t>
      </w:r>
      <w:proofErr w:type="spellStart"/>
      <w:r w:rsidRPr="00FE73F1">
        <w:rPr>
          <w:rFonts w:ascii="Abadi" w:hAnsi="Abadi"/>
          <w:b w:val="0"/>
          <w:bCs w:val="0"/>
          <w:i/>
          <w:iCs/>
          <w:sz w:val="21"/>
          <w:szCs w:val="21"/>
        </w:rPr>
        <w:t>Specialist</w:t>
      </w:r>
      <w:proofErr w:type="spellEnd"/>
      <w:r w:rsidRPr="00FE73F1">
        <w:rPr>
          <w:rFonts w:ascii="Abadi" w:hAnsi="Abadi"/>
          <w:b w:val="0"/>
          <w:bCs w:val="0"/>
          <w:i/>
          <w:iCs/>
          <w:sz w:val="21"/>
          <w:szCs w:val="21"/>
        </w:rPr>
        <w:t xml:space="preserve">, S.A. de C.V.; </w:t>
      </w:r>
      <w:r w:rsidRPr="00FE73F1">
        <w:rPr>
          <w:rFonts w:ascii="Abadi" w:hAnsi="Abadi"/>
          <w:b w:val="0"/>
          <w:bCs w:val="0"/>
          <w:sz w:val="21"/>
          <w:szCs w:val="21"/>
        </w:rPr>
        <w:t xml:space="preserve">016, referido a </w:t>
      </w:r>
      <w:r w:rsidRPr="00FE73F1">
        <w:rPr>
          <w:rFonts w:ascii="Abadi" w:hAnsi="Abadi"/>
          <w:b w:val="0"/>
          <w:bCs w:val="0"/>
          <w:i/>
          <w:iCs/>
          <w:sz w:val="21"/>
          <w:szCs w:val="21"/>
        </w:rPr>
        <w:t>Soluciones Inteligentes y Tecnológicas S.A. de C.V.</w:t>
      </w:r>
      <w:r w:rsidRPr="00FE73F1">
        <w:rPr>
          <w:rFonts w:ascii="Abadi" w:hAnsi="Abadi"/>
          <w:b w:val="0"/>
          <w:bCs w:val="0"/>
          <w:sz w:val="21"/>
          <w:szCs w:val="21"/>
        </w:rPr>
        <w:t xml:space="preserve"> - Póliza con Mantenimiento Preventivo al Sistema de CCTV Urbano Municipal; 017, referente a soporte documental Tendencia IM S.C.; 018, correspondiente a investigación de mercado Tendencia IM S.C.; 019, relativo a concesión de limpia, recolección, traslado, tratamiento, disposición final y aprovechamiento de residuos; 020, referido a </w:t>
      </w:r>
      <w:proofErr w:type="spellStart"/>
      <w:r w:rsidRPr="00FE73F1">
        <w:rPr>
          <w:rFonts w:ascii="Abadi" w:hAnsi="Abadi"/>
          <w:b w:val="0"/>
          <w:bCs w:val="0"/>
          <w:sz w:val="21"/>
          <w:szCs w:val="21"/>
        </w:rPr>
        <w:t>equiparabilidad</w:t>
      </w:r>
      <w:proofErr w:type="spellEnd"/>
      <w:r w:rsidRPr="00FE73F1">
        <w:rPr>
          <w:rFonts w:ascii="Abadi" w:hAnsi="Abadi"/>
          <w:b w:val="0"/>
          <w:bCs w:val="0"/>
          <w:sz w:val="21"/>
          <w:szCs w:val="21"/>
        </w:rPr>
        <w:t xml:space="preserve"> del servicio de recolección, traslado y disposición de residuos sólidos; 021, referente a pago a </w:t>
      </w:r>
      <w:proofErr w:type="spellStart"/>
      <w:r w:rsidRPr="00FE73F1">
        <w:rPr>
          <w:rFonts w:ascii="Abadi" w:hAnsi="Abadi"/>
          <w:b w:val="0"/>
          <w:bCs w:val="0"/>
          <w:i/>
          <w:iCs/>
          <w:sz w:val="21"/>
          <w:szCs w:val="21"/>
        </w:rPr>
        <w:t>Socialite</w:t>
      </w:r>
      <w:proofErr w:type="spellEnd"/>
      <w:r w:rsidRPr="00FE73F1">
        <w:rPr>
          <w:rFonts w:ascii="Abadi" w:hAnsi="Abadi"/>
          <w:b w:val="0"/>
          <w:bCs w:val="0"/>
          <w:i/>
          <w:iCs/>
          <w:sz w:val="21"/>
          <w:szCs w:val="21"/>
        </w:rPr>
        <w:t xml:space="preserve"> Eventos S.A. de C.V</w:t>
      </w:r>
      <w:r w:rsidRPr="00FE73F1">
        <w:rPr>
          <w:rFonts w:ascii="Abadi" w:hAnsi="Abadi"/>
          <w:b w:val="0"/>
          <w:bCs w:val="0"/>
          <w:sz w:val="21"/>
          <w:szCs w:val="21"/>
        </w:rPr>
        <w:t xml:space="preserve">.; 022, correspondiente a tarjetas de prepago; 023, relativo a procedimiento de adquisición de calentadores solares; 024, referido a reglas de operación calentadores </w:t>
      </w:r>
      <w:r w:rsidRPr="00FE73F1">
        <w:rPr>
          <w:rFonts w:ascii="Abadi" w:hAnsi="Abadi"/>
          <w:b w:val="0"/>
          <w:bCs w:val="0"/>
          <w:sz w:val="21"/>
          <w:szCs w:val="21"/>
        </w:rPr>
        <w:t>solares; y 025, referente a lineamientos para el otorgamiento de ayudas. En el rubro de Obra Pública, los numerales 026, correspondiente a registro contable y pago de estimación. Contrato DGOP/LP/LE/FAISM/054-19; 027, relativo a planeación y calidad de obra. Contrato: DGOP/LS/LE/FAISM042-2020; 028, referido a adjudicación de obra. Contratos DGOP/AD/LE/FORTAMUN/107-2020 y DGOP/AD/LE/FORTAMUN/109-2020; 029, referente a cantidades de obra. Contrato DGOP/LS/LE/RM/043-19; 030, correspondiente a operatividad de la obra y cierre administrativo. Contrato DGOP/LS/LE/RM/MUNICIPAL/084-18; 031, relativo a soporte documental. Contrato DGOP/LS/LE/RM/MUNICIPAL/084-18; 032, referido a operatividad de la obra y cierre administrativo. Contrato DGOP/LS/LE/RE- RM/ESTATAL/016-18; y 033, referente a soporte documental. Contrato DGOP/LS/LE/RE-RM/ESTATAL/016-18.</w:t>
      </w:r>
    </w:p>
    <w:p w14:paraId="0FCC2F4E" w14:textId="77777777" w:rsidR="003C20B5" w:rsidRPr="00FE73F1" w:rsidRDefault="003C20B5" w:rsidP="003C20B5">
      <w:pPr>
        <w:pStyle w:val="Textoindependiente"/>
        <w:ind w:firstLine="705"/>
        <w:rPr>
          <w:rFonts w:ascii="Abadi" w:hAnsi="Abadi"/>
          <w:sz w:val="21"/>
          <w:szCs w:val="21"/>
        </w:rPr>
      </w:pPr>
    </w:p>
    <w:p w14:paraId="273F8CD8"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En el apartado de Recomendaciones, se establece que del proceso de fiscalización efectuado no se desprendieron recomendaciones.</w:t>
      </w:r>
    </w:p>
    <w:p w14:paraId="4C0AF536" w14:textId="77777777" w:rsidR="003C20B5" w:rsidRPr="00FE73F1" w:rsidRDefault="003C20B5" w:rsidP="003C20B5">
      <w:pPr>
        <w:pStyle w:val="Textoindependiente"/>
        <w:ind w:firstLine="705"/>
        <w:rPr>
          <w:rFonts w:ascii="Abadi" w:hAnsi="Abadi"/>
          <w:sz w:val="21"/>
          <w:szCs w:val="21"/>
        </w:rPr>
      </w:pPr>
    </w:p>
    <w:p w14:paraId="5B6E020A" w14:textId="77777777" w:rsidR="003C20B5" w:rsidRPr="00FE73F1" w:rsidRDefault="003C20B5" w:rsidP="003C20B5">
      <w:pPr>
        <w:pStyle w:val="Textoindependiente"/>
        <w:numPr>
          <w:ilvl w:val="0"/>
          <w:numId w:val="9"/>
        </w:numPr>
        <w:autoSpaceDE/>
        <w:autoSpaceDN/>
        <w:rPr>
          <w:rFonts w:ascii="Abadi" w:hAnsi="Abadi"/>
          <w:sz w:val="21"/>
          <w:szCs w:val="21"/>
        </w:rPr>
      </w:pPr>
      <w:r w:rsidRPr="00FE73F1">
        <w:rPr>
          <w:rFonts w:ascii="Abadi" w:hAnsi="Abadi"/>
          <w:sz w:val="21"/>
          <w:szCs w:val="21"/>
        </w:rPr>
        <w:t xml:space="preserve">Promoción del ejercicio de facultades de comprobación fiscal. </w:t>
      </w:r>
    </w:p>
    <w:p w14:paraId="26512947" w14:textId="77777777" w:rsidR="003C20B5" w:rsidRPr="00FE73F1" w:rsidRDefault="003C20B5" w:rsidP="003C20B5">
      <w:pPr>
        <w:pStyle w:val="Textoindependiente"/>
        <w:ind w:firstLine="705"/>
        <w:rPr>
          <w:rFonts w:ascii="Abadi" w:hAnsi="Abadi"/>
          <w:sz w:val="21"/>
          <w:szCs w:val="21"/>
        </w:rPr>
      </w:pPr>
    </w:p>
    <w:p w14:paraId="12A95500"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En esta parte se establece que de acuerdo a lo establecido en los artículos 82, fracción XXXIV de la Ley de Fiscalización Superior del Estado y 23, primer párrafo del</w:t>
      </w:r>
      <w:r w:rsidRPr="00FE73F1">
        <w:rPr>
          <w:rFonts w:ascii="Abadi" w:hAnsi="Abadi"/>
          <w:sz w:val="21"/>
          <w:szCs w:val="21"/>
        </w:rPr>
        <w:t xml:space="preserve"> </w:t>
      </w:r>
      <w:r w:rsidRPr="00FE73F1">
        <w:rPr>
          <w:rFonts w:ascii="Abadi" w:hAnsi="Abadi"/>
          <w:b w:val="0"/>
          <w:bCs w:val="0"/>
          <w:sz w:val="21"/>
          <w:szCs w:val="21"/>
        </w:rPr>
        <w:t>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52E8A11" w14:textId="77777777" w:rsidR="003C20B5" w:rsidRPr="00FE73F1" w:rsidRDefault="003C20B5" w:rsidP="003C20B5">
      <w:pPr>
        <w:pStyle w:val="Textoindependiente"/>
        <w:ind w:firstLine="705"/>
        <w:rPr>
          <w:rFonts w:ascii="Abadi" w:hAnsi="Abadi"/>
          <w:sz w:val="21"/>
          <w:szCs w:val="21"/>
        </w:rPr>
      </w:pPr>
    </w:p>
    <w:p w14:paraId="65734FF7" w14:textId="77777777" w:rsidR="003C20B5" w:rsidRPr="00FE73F1" w:rsidRDefault="003C20B5" w:rsidP="003C20B5">
      <w:pPr>
        <w:pStyle w:val="Textoindependiente"/>
        <w:numPr>
          <w:ilvl w:val="0"/>
          <w:numId w:val="9"/>
        </w:numPr>
        <w:autoSpaceDE/>
        <w:autoSpaceDN/>
        <w:rPr>
          <w:rFonts w:ascii="Abadi" w:hAnsi="Abadi"/>
          <w:sz w:val="21"/>
          <w:szCs w:val="21"/>
        </w:rPr>
      </w:pPr>
      <w:r w:rsidRPr="00FE73F1">
        <w:rPr>
          <w:rFonts w:ascii="Abadi" w:hAnsi="Abadi"/>
          <w:sz w:val="21"/>
          <w:szCs w:val="21"/>
        </w:rPr>
        <w:t>Comunicado ante órganos de control y autoridades que administran padrones de proveedores y contratistas.</w:t>
      </w:r>
    </w:p>
    <w:p w14:paraId="13CFB3DD" w14:textId="77777777" w:rsidR="003C20B5" w:rsidRPr="00FE73F1" w:rsidRDefault="003C20B5" w:rsidP="003C20B5">
      <w:pPr>
        <w:pStyle w:val="Textoindependiente"/>
        <w:ind w:firstLine="705"/>
        <w:rPr>
          <w:rFonts w:ascii="Abadi" w:hAnsi="Abadi"/>
          <w:sz w:val="21"/>
          <w:szCs w:val="21"/>
        </w:rPr>
      </w:pPr>
    </w:p>
    <w:p w14:paraId="2233E5CD"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este punto se señala que de conformidad con lo establecido en los </w:t>
      </w:r>
      <w:r w:rsidRPr="00FE73F1">
        <w:rPr>
          <w:rFonts w:ascii="Abadi" w:hAnsi="Abadi"/>
          <w:b w:val="0"/>
          <w:bCs w:val="0"/>
          <w:sz w:val="21"/>
          <w:szCs w:val="21"/>
        </w:rPr>
        <w:lastRenderedPageBreak/>
        <w:t xml:space="preserve">artículos 3, fracción XI de la Ley de Fiscalización Superior del Estado y 23, segundo párrafo del Reglamento de dicha Ley, una vez que el informe de resultados sea acordado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 la Tesorería municipales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auditoría, precisando los contratistas y los proveedores y las observaciones de las que se desprende su intervención.</w:t>
      </w:r>
    </w:p>
    <w:p w14:paraId="3C03AC02" w14:textId="77777777" w:rsidR="003C20B5" w:rsidRPr="00FE73F1" w:rsidRDefault="003C20B5" w:rsidP="003C20B5">
      <w:pPr>
        <w:pStyle w:val="Textoindependiente"/>
        <w:ind w:firstLine="705"/>
        <w:rPr>
          <w:rFonts w:ascii="Abadi" w:hAnsi="Abadi"/>
          <w:sz w:val="21"/>
          <w:szCs w:val="21"/>
        </w:rPr>
      </w:pPr>
    </w:p>
    <w:p w14:paraId="73EAADF4" w14:textId="77777777" w:rsidR="003C20B5" w:rsidRPr="00FE73F1" w:rsidRDefault="003C20B5" w:rsidP="003C20B5">
      <w:pPr>
        <w:pStyle w:val="Textoindependiente"/>
        <w:numPr>
          <w:ilvl w:val="0"/>
          <w:numId w:val="9"/>
        </w:numPr>
        <w:autoSpaceDE/>
        <w:autoSpaceDN/>
        <w:rPr>
          <w:rFonts w:ascii="Abadi" w:hAnsi="Abadi"/>
          <w:sz w:val="21"/>
          <w:szCs w:val="21"/>
        </w:rPr>
      </w:pPr>
      <w:r w:rsidRPr="00FE73F1">
        <w:rPr>
          <w:rFonts w:ascii="Abadi" w:hAnsi="Abadi"/>
          <w:sz w:val="21"/>
          <w:szCs w:val="21"/>
        </w:rPr>
        <w:t>Seguimiento a recomendaciones de ejercicios anteriores.</w:t>
      </w:r>
    </w:p>
    <w:p w14:paraId="0D2052B2" w14:textId="77777777" w:rsidR="003C20B5" w:rsidRPr="00FE73F1" w:rsidRDefault="003C20B5" w:rsidP="003C20B5">
      <w:pPr>
        <w:pStyle w:val="Textoindependiente"/>
        <w:ind w:firstLine="705"/>
        <w:rPr>
          <w:rFonts w:ascii="Abadi" w:hAnsi="Abadi"/>
          <w:sz w:val="21"/>
          <w:szCs w:val="21"/>
        </w:rPr>
      </w:pPr>
    </w:p>
    <w:p w14:paraId="2C111D41"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este apartado se establece que la Auditoría Superior del Estado en conjunto con los servidores públicos de los sujetos fiscalizados realiza la evaluación, análisis de causas y riesgos de las observaciones y recomendaciones derivadas del proceso de fiscalización en ejercicios de fiscalización anteriores, con el objetivo de promover y establecer compromisos de mejora, también conocidos como Agenda de Mejora, para coadyuvar a fortalecer los esquemas de gestión e intervención pública para asegurar razonablemente la no reincidencia. </w:t>
      </w:r>
    </w:p>
    <w:p w14:paraId="279C0EFF" w14:textId="77777777" w:rsidR="003C20B5" w:rsidRPr="00FE73F1" w:rsidRDefault="003C20B5" w:rsidP="003C20B5">
      <w:pPr>
        <w:pStyle w:val="Textoindependiente"/>
        <w:ind w:firstLine="705"/>
        <w:rPr>
          <w:rFonts w:ascii="Abadi" w:hAnsi="Abadi"/>
          <w:b w:val="0"/>
          <w:bCs w:val="0"/>
          <w:sz w:val="21"/>
          <w:szCs w:val="21"/>
        </w:rPr>
      </w:pPr>
    </w:p>
    <w:p w14:paraId="28F811F2"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En este sentido, en el informe de resultados se establece el enlace en el que se puede consultar el avance en la Agenda de Mejora en materia de las observaciones y recomendaciones derivadas de las revisiones de las cuentas públicas municipales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xml:space="preserve">. </w:t>
      </w:r>
    </w:p>
    <w:p w14:paraId="4FD54B6D" w14:textId="77777777" w:rsidR="003C20B5" w:rsidRPr="00FE73F1" w:rsidRDefault="003C20B5" w:rsidP="003C20B5">
      <w:pPr>
        <w:pStyle w:val="Textoindependiente"/>
        <w:ind w:firstLine="705"/>
        <w:rPr>
          <w:rFonts w:ascii="Abadi" w:hAnsi="Abadi"/>
          <w:b w:val="0"/>
          <w:bCs w:val="0"/>
          <w:sz w:val="21"/>
          <w:szCs w:val="21"/>
        </w:rPr>
      </w:pPr>
    </w:p>
    <w:p w14:paraId="44BB7E9F" w14:textId="77777777" w:rsidR="003C20B5" w:rsidRPr="00FE73F1" w:rsidRDefault="003C20B5" w:rsidP="003C20B5">
      <w:pPr>
        <w:pStyle w:val="Textoindependiente"/>
        <w:numPr>
          <w:ilvl w:val="0"/>
          <w:numId w:val="9"/>
        </w:numPr>
        <w:autoSpaceDE/>
        <w:autoSpaceDN/>
        <w:rPr>
          <w:rFonts w:ascii="Abadi" w:hAnsi="Abadi"/>
          <w:sz w:val="21"/>
          <w:szCs w:val="21"/>
        </w:rPr>
      </w:pPr>
      <w:r w:rsidRPr="00FE73F1">
        <w:rPr>
          <w:rFonts w:ascii="Abadi" w:hAnsi="Abadi"/>
          <w:sz w:val="21"/>
          <w:szCs w:val="21"/>
        </w:rPr>
        <w:t xml:space="preserve">Recurso de Reconsideración. </w:t>
      </w:r>
    </w:p>
    <w:p w14:paraId="67F5746C" w14:textId="77777777" w:rsidR="003C20B5" w:rsidRPr="00FE73F1" w:rsidRDefault="003C20B5" w:rsidP="003C20B5">
      <w:pPr>
        <w:pStyle w:val="Textoindependiente"/>
        <w:ind w:left="705"/>
        <w:rPr>
          <w:rFonts w:ascii="Abadi" w:hAnsi="Abadi"/>
          <w:sz w:val="21"/>
          <w:szCs w:val="21"/>
        </w:rPr>
      </w:pPr>
    </w:p>
    <w:p w14:paraId="4E804B32"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 xml:space="preserve">El 2 de diciembre de 2022, dentro del plazo que prevé la fracción IV del artículo 37 de </w:t>
      </w:r>
      <w:smartTag w:uri="urn:schemas-microsoft-com:office:smarttags" w:element="PersonName">
        <w:smartTagPr>
          <w:attr w:name="ProductID" w:val="la Ley"/>
        </w:smartTagPr>
        <w:r w:rsidRPr="00FE73F1">
          <w:rPr>
            <w:rFonts w:ascii="Abadi" w:hAnsi="Abadi"/>
            <w:b w:val="0"/>
            <w:bCs w:val="0"/>
            <w:sz w:val="21"/>
            <w:szCs w:val="21"/>
          </w:rPr>
          <w:t>la Ley</w:t>
        </w:r>
      </w:smartTag>
      <w:r w:rsidRPr="00FE73F1">
        <w:rPr>
          <w:rFonts w:ascii="Abadi" w:hAnsi="Abadi"/>
          <w:b w:val="0"/>
          <w:bCs w:val="0"/>
          <w:sz w:val="21"/>
          <w:szCs w:val="21"/>
        </w:rPr>
        <w:t xml:space="preserve"> de Fiscalización Superior del Estado de Guanajuato, la ex presidenta municipal de </w:t>
      </w:r>
      <w:r w:rsidRPr="00FE73F1">
        <w:rPr>
          <w:rFonts w:ascii="Abadi" w:hAnsi="Abadi"/>
          <w:b w:val="0"/>
          <w:bCs w:val="0"/>
          <w:sz w:val="21"/>
          <w:szCs w:val="21"/>
        </w:rPr>
        <w:t xml:space="preserve">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xml:space="preserve">., interpuso recurso de reconsideración en contra del informe de resultados la auditoría integral practicada a la administración pública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concretamente en contra de las observaciones contenidas en los numerales 001, referente a Programa Anual de Compras y Consolidación; 002, correspondiente a procedimiento de adquisición de vehículos; 003, relativo a pagos sueldos base; 004, referido a pagos remuneraciones para eventuales; 005, referente a modificación de importes contratados; 006, correspondiente a soporte documental; 007, relativo a registro contable de chalecos y cascos balísticos; 008, referido a investigación de mercado; 009, referente a adjudicación de contrato. Contrato C-RM-026/2021; 010, correspondiente a empresas vinculadas; 011, relativo a montos máximos de adquisiciones con recursos federales; 012, referido a adquisición de vestuario y uniformes y prendas de seguridad; 013, referente a servicio de seguridad privada; 014, correspondiente a adjudicación directa </w:t>
      </w:r>
      <w:r w:rsidRPr="00FE73F1">
        <w:rPr>
          <w:rFonts w:ascii="Abadi" w:hAnsi="Abadi"/>
          <w:b w:val="0"/>
          <w:bCs w:val="0"/>
          <w:i/>
          <w:iCs/>
          <w:sz w:val="21"/>
          <w:szCs w:val="21"/>
        </w:rPr>
        <w:t xml:space="preserve">Network </w:t>
      </w:r>
      <w:proofErr w:type="spellStart"/>
      <w:r w:rsidRPr="00FE73F1">
        <w:rPr>
          <w:rFonts w:ascii="Abadi" w:hAnsi="Abadi"/>
          <w:b w:val="0"/>
          <w:bCs w:val="0"/>
          <w:i/>
          <w:iCs/>
          <w:sz w:val="21"/>
          <w:szCs w:val="21"/>
        </w:rPr>
        <w:t>Engineer</w:t>
      </w:r>
      <w:proofErr w:type="spellEnd"/>
      <w:r w:rsidRPr="00FE73F1">
        <w:rPr>
          <w:rFonts w:ascii="Abadi" w:hAnsi="Abadi"/>
          <w:b w:val="0"/>
          <w:bCs w:val="0"/>
          <w:i/>
          <w:iCs/>
          <w:sz w:val="21"/>
          <w:szCs w:val="21"/>
        </w:rPr>
        <w:t xml:space="preserve"> </w:t>
      </w:r>
      <w:proofErr w:type="spellStart"/>
      <w:r w:rsidRPr="00FE73F1">
        <w:rPr>
          <w:rFonts w:ascii="Abadi" w:hAnsi="Abadi"/>
          <w:b w:val="0"/>
          <w:bCs w:val="0"/>
          <w:i/>
          <w:iCs/>
          <w:sz w:val="21"/>
          <w:szCs w:val="21"/>
        </w:rPr>
        <w:t>Specialist</w:t>
      </w:r>
      <w:proofErr w:type="spellEnd"/>
      <w:r w:rsidRPr="00FE73F1">
        <w:rPr>
          <w:rFonts w:ascii="Abadi" w:hAnsi="Abadi"/>
          <w:b w:val="0"/>
          <w:bCs w:val="0"/>
          <w:i/>
          <w:iCs/>
          <w:sz w:val="21"/>
          <w:szCs w:val="21"/>
        </w:rPr>
        <w:t xml:space="preserve">, S.A. de C.V.; </w:t>
      </w:r>
      <w:r w:rsidRPr="00FE73F1">
        <w:rPr>
          <w:rFonts w:ascii="Abadi" w:hAnsi="Abadi"/>
          <w:b w:val="0"/>
          <w:bCs w:val="0"/>
          <w:sz w:val="21"/>
          <w:szCs w:val="21"/>
        </w:rPr>
        <w:t xml:space="preserve">015, relativo a pagos mensuales a </w:t>
      </w:r>
      <w:r w:rsidRPr="00FE73F1">
        <w:rPr>
          <w:rFonts w:ascii="Abadi" w:hAnsi="Abadi"/>
          <w:b w:val="0"/>
          <w:bCs w:val="0"/>
          <w:i/>
          <w:iCs/>
          <w:sz w:val="21"/>
          <w:szCs w:val="21"/>
        </w:rPr>
        <w:t xml:space="preserve">Network </w:t>
      </w:r>
      <w:proofErr w:type="spellStart"/>
      <w:r w:rsidRPr="00FE73F1">
        <w:rPr>
          <w:rFonts w:ascii="Abadi" w:hAnsi="Abadi"/>
          <w:b w:val="0"/>
          <w:bCs w:val="0"/>
          <w:i/>
          <w:iCs/>
          <w:sz w:val="21"/>
          <w:szCs w:val="21"/>
        </w:rPr>
        <w:t>Engineer</w:t>
      </w:r>
      <w:proofErr w:type="spellEnd"/>
      <w:r w:rsidRPr="00FE73F1">
        <w:rPr>
          <w:rFonts w:ascii="Abadi" w:hAnsi="Abadi"/>
          <w:b w:val="0"/>
          <w:bCs w:val="0"/>
          <w:i/>
          <w:iCs/>
          <w:sz w:val="21"/>
          <w:szCs w:val="21"/>
        </w:rPr>
        <w:t xml:space="preserve"> </w:t>
      </w:r>
      <w:proofErr w:type="spellStart"/>
      <w:r w:rsidRPr="00FE73F1">
        <w:rPr>
          <w:rFonts w:ascii="Abadi" w:hAnsi="Abadi"/>
          <w:b w:val="0"/>
          <w:bCs w:val="0"/>
          <w:i/>
          <w:iCs/>
          <w:sz w:val="21"/>
          <w:szCs w:val="21"/>
        </w:rPr>
        <w:t>Specialist</w:t>
      </w:r>
      <w:proofErr w:type="spellEnd"/>
      <w:r w:rsidRPr="00FE73F1">
        <w:rPr>
          <w:rFonts w:ascii="Abadi" w:hAnsi="Abadi"/>
          <w:b w:val="0"/>
          <w:bCs w:val="0"/>
          <w:i/>
          <w:iCs/>
          <w:sz w:val="21"/>
          <w:szCs w:val="21"/>
        </w:rPr>
        <w:t xml:space="preserve">, S.A. de C.V.; </w:t>
      </w:r>
      <w:r w:rsidRPr="00FE73F1">
        <w:rPr>
          <w:rFonts w:ascii="Abadi" w:hAnsi="Abadi"/>
          <w:b w:val="0"/>
          <w:bCs w:val="0"/>
          <w:sz w:val="21"/>
          <w:szCs w:val="21"/>
        </w:rPr>
        <w:t xml:space="preserve">016, referido a </w:t>
      </w:r>
      <w:r w:rsidRPr="00FE73F1">
        <w:rPr>
          <w:rFonts w:ascii="Abadi" w:hAnsi="Abadi"/>
          <w:b w:val="0"/>
          <w:bCs w:val="0"/>
          <w:i/>
          <w:iCs/>
          <w:sz w:val="21"/>
          <w:szCs w:val="21"/>
        </w:rPr>
        <w:t>Soluciones Inteligentes y Tecnológicas S.A. de C.V.</w:t>
      </w:r>
      <w:r w:rsidRPr="00FE73F1">
        <w:rPr>
          <w:rFonts w:ascii="Abadi" w:hAnsi="Abadi"/>
          <w:b w:val="0"/>
          <w:bCs w:val="0"/>
          <w:sz w:val="21"/>
          <w:szCs w:val="21"/>
        </w:rPr>
        <w:t xml:space="preserve"> - Póliza con Mantenimiento Preventivo al Sistema de CCTV Urbano Municipal; 017, referente a soporte documental Tendencia IM S.C.; 018, correspondiente a investigación de mercado Tendencia IM S.C.; 019, relativo a concesión de limpia, recolección, traslado, tratamiento, disposición final y aprovechamiento de residuos; 020, referido a </w:t>
      </w:r>
      <w:proofErr w:type="spellStart"/>
      <w:r w:rsidRPr="00FE73F1">
        <w:rPr>
          <w:rFonts w:ascii="Abadi" w:hAnsi="Abadi"/>
          <w:b w:val="0"/>
          <w:bCs w:val="0"/>
          <w:sz w:val="21"/>
          <w:szCs w:val="21"/>
        </w:rPr>
        <w:t>equiparabilidad</w:t>
      </w:r>
      <w:proofErr w:type="spellEnd"/>
      <w:r w:rsidRPr="00FE73F1">
        <w:rPr>
          <w:rFonts w:ascii="Abadi" w:hAnsi="Abadi"/>
          <w:b w:val="0"/>
          <w:bCs w:val="0"/>
          <w:sz w:val="21"/>
          <w:szCs w:val="21"/>
        </w:rPr>
        <w:t xml:space="preserve"> del servicio de recolección, traslado y disposición de residuos</w:t>
      </w:r>
      <w:r w:rsidRPr="00FE73F1">
        <w:rPr>
          <w:rFonts w:ascii="Abadi" w:hAnsi="Abadi"/>
          <w:sz w:val="21"/>
          <w:szCs w:val="21"/>
        </w:rPr>
        <w:t xml:space="preserve"> </w:t>
      </w:r>
      <w:r w:rsidRPr="00FE73F1">
        <w:rPr>
          <w:rFonts w:ascii="Abadi" w:hAnsi="Abadi"/>
          <w:b w:val="0"/>
          <w:bCs w:val="0"/>
          <w:sz w:val="21"/>
          <w:szCs w:val="21"/>
        </w:rPr>
        <w:t xml:space="preserve">sólidos; 021, referente a pago a </w:t>
      </w:r>
      <w:proofErr w:type="spellStart"/>
      <w:r w:rsidRPr="00FE73F1">
        <w:rPr>
          <w:rFonts w:ascii="Abadi" w:hAnsi="Abadi"/>
          <w:b w:val="0"/>
          <w:bCs w:val="0"/>
          <w:i/>
          <w:iCs/>
          <w:sz w:val="21"/>
          <w:szCs w:val="21"/>
        </w:rPr>
        <w:t>Socialite</w:t>
      </w:r>
      <w:proofErr w:type="spellEnd"/>
      <w:r w:rsidRPr="00FE73F1">
        <w:rPr>
          <w:rFonts w:ascii="Abadi" w:hAnsi="Abadi"/>
          <w:b w:val="0"/>
          <w:bCs w:val="0"/>
          <w:i/>
          <w:iCs/>
          <w:sz w:val="21"/>
          <w:szCs w:val="21"/>
        </w:rPr>
        <w:t xml:space="preserve"> Eventos S.A. de C.V</w:t>
      </w:r>
      <w:r w:rsidRPr="00FE73F1">
        <w:rPr>
          <w:rFonts w:ascii="Abadi" w:hAnsi="Abadi"/>
          <w:b w:val="0"/>
          <w:bCs w:val="0"/>
          <w:sz w:val="21"/>
          <w:szCs w:val="21"/>
        </w:rPr>
        <w:t xml:space="preserve">.; 022, correspondiente a tarjetas de prepago; 023, relativo a procedimiento de adquisición de calentadores solares; 024, referido a reglas de operación calentadores solares; y 025, referente a lineamientos para el otorgamiento de ayudas. En el rubro de Obra Pública, los numerales 026, correspondiente a registro contable y pago de estimación. Contrato </w:t>
      </w:r>
      <w:r w:rsidRPr="00FE73F1">
        <w:rPr>
          <w:rFonts w:ascii="Abadi" w:hAnsi="Abadi"/>
          <w:b w:val="0"/>
          <w:bCs w:val="0"/>
          <w:sz w:val="21"/>
          <w:szCs w:val="21"/>
        </w:rPr>
        <w:lastRenderedPageBreak/>
        <w:t xml:space="preserve">DGOP/LP/LE/FAISM/054-19; 027, relativo a planeación y calidad de obra. Contrato: DGOP/LS/LE/FAISM042-2020; 028, referido a adjudicación de obra. Contratos DGOP/AD/LE/FORTAMUN/107-2020 y DGOP/AD/LE/FORTAMUN/109-2020; 029, referente a cantidades de obra. Contrato DGOP/LS/LE/RM/043-19; 030, correspondiente a operatividad de la obra y cierre administrativo. Contrato DGOP/LS/LE/RM/MUNICIPAL/084-18; 031, relativo a soporte documental. Contrato DGOP/LS/LE/RM/MUNICIPAL/084-18; 032, referido a operatividad de la obra y cierre administrativo. Contrato DGOP/LS/LE/RE- RM/ESTATAL/016-18; y 033, referente a soporte documental. Contrato DGOP/LS/LE/RE-RM/ESTATAL/016-18mismas que se encuentran relacionadas con el Capítulo II, denominado Observaciones y Recomendaciones; Respuesta Emitida por el Sujeto Fiscalizado y Valoración Correspondiente. </w:t>
      </w:r>
    </w:p>
    <w:p w14:paraId="2AD18F96" w14:textId="77777777" w:rsidR="003C20B5" w:rsidRPr="00FE73F1" w:rsidRDefault="003C20B5" w:rsidP="003C20B5">
      <w:pPr>
        <w:pStyle w:val="Textoindependiente"/>
        <w:ind w:firstLine="705"/>
        <w:rPr>
          <w:rFonts w:ascii="Abadi" w:hAnsi="Abadi"/>
          <w:b w:val="0"/>
          <w:bCs w:val="0"/>
          <w:sz w:val="21"/>
          <w:szCs w:val="21"/>
        </w:rPr>
      </w:pPr>
    </w:p>
    <w:p w14:paraId="447E3FD7"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En tal sentido, mediante acuerdo de fecha 9 de diciembre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FE73F1">
          <w:rPr>
            <w:rFonts w:ascii="Abadi" w:hAnsi="Abadi"/>
            <w:b w:val="0"/>
            <w:bCs w:val="0"/>
            <w:sz w:val="21"/>
            <w:szCs w:val="21"/>
          </w:rPr>
          <w:t>la Ley</w:t>
        </w:r>
      </w:smartTag>
      <w:r w:rsidRPr="00FE73F1">
        <w:rPr>
          <w:rFonts w:ascii="Abadi" w:hAnsi="Abadi"/>
          <w:b w:val="0"/>
          <w:bCs w:val="0"/>
          <w:sz w:val="21"/>
          <w:szCs w:val="21"/>
        </w:rPr>
        <w:t xml:space="preserve"> de Fiscalización Superior del Estado de Guanajuato, instruyendo la formación del expediente respectivo y el registro correspondiente. Asimismo, mediante dicho acuerdo se admitieron algunos medios de prueba ofrecidos por la recurrente, al tratarse de pruebas novedosas y supervenientes; mientras que otros se desecharon al no tener tal carácter.</w:t>
      </w:r>
    </w:p>
    <w:p w14:paraId="3A63E67C" w14:textId="77777777" w:rsidR="003C20B5" w:rsidRPr="00FE73F1" w:rsidRDefault="003C20B5" w:rsidP="003C20B5">
      <w:pPr>
        <w:pStyle w:val="Textoindependiente"/>
        <w:ind w:firstLine="708"/>
        <w:rPr>
          <w:rFonts w:ascii="Abadi" w:hAnsi="Abadi"/>
          <w:b w:val="0"/>
          <w:bCs w:val="0"/>
          <w:sz w:val="21"/>
          <w:szCs w:val="21"/>
        </w:rPr>
      </w:pPr>
    </w:p>
    <w:p w14:paraId="519EB3FC" w14:textId="77777777" w:rsidR="003C20B5" w:rsidRPr="00FE73F1" w:rsidRDefault="003C20B5" w:rsidP="003C20B5">
      <w:pPr>
        <w:pStyle w:val="Textoindependiente"/>
        <w:ind w:firstLine="708"/>
        <w:rPr>
          <w:rFonts w:ascii="Abadi" w:hAnsi="Abadi"/>
          <w:b w:val="0"/>
          <w:bCs w:val="0"/>
          <w:sz w:val="21"/>
          <w:szCs w:val="21"/>
        </w:rPr>
      </w:pPr>
    </w:p>
    <w:p w14:paraId="506B9D31"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Una vez tramitado el recurso, el Auditor Superior del Estado, el 13 de diciembre de 2022 emitió la resolución correspondiente, determinándose respecto a las observaciones plasmadas en los numerales 001, 002, 005, 008, 009, 010, 011, 012, 013, 014, 018, 019, 020, 023, 024, 025, 026, 027 y 028, que los agravios hechos valer por la recurrente resultaron inoperantes e infundados o fundados pero inoperantes, por los argumentos establecidos en el considerando séptimo de la resolución. En razón de lo cual se confirmó el sentido de su valoración como no solventadas, sin acciones </w:t>
      </w:r>
      <w:r w:rsidRPr="00FE73F1">
        <w:rPr>
          <w:rFonts w:ascii="Abadi" w:hAnsi="Abadi"/>
          <w:b w:val="0"/>
          <w:bCs w:val="0"/>
          <w:sz w:val="21"/>
          <w:szCs w:val="21"/>
        </w:rPr>
        <w:t>pendientes de realizar por el sujeto fiscalizado.</w:t>
      </w:r>
    </w:p>
    <w:p w14:paraId="4B7A480D" w14:textId="77777777" w:rsidR="003C20B5" w:rsidRPr="00FE73F1" w:rsidRDefault="003C20B5" w:rsidP="003C20B5">
      <w:pPr>
        <w:pStyle w:val="Textoindependiente"/>
        <w:ind w:firstLine="708"/>
        <w:rPr>
          <w:rFonts w:ascii="Abadi" w:hAnsi="Abadi"/>
          <w:b w:val="0"/>
          <w:bCs w:val="0"/>
          <w:sz w:val="21"/>
          <w:szCs w:val="21"/>
        </w:rPr>
      </w:pPr>
    </w:p>
    <w:p w14:paraId="2D2B001A"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En cuanto a las observaciones contenidas en los numerales 003, 004, 006, 016, 017, 022 y 029, se resolvió que los agravios formulados por la recurrente resultaron inoperantes e infundados, por las razones expresadas en el considerando séptimo de la resolución. En consecuencia, se confirmó el sentido de su valoración como no solventadas, con acciones de impacto económico pendientes de realizar por el sujeto fiscalizado.</w:t>
      </w:r>
    </w:p>
    <w:p w14:paraId="65AFB611" w14:textId="77777777" w:rsidR="003C20B5" w:rsidRPr="00FE73F1" w:rsidRDefault="003C20B5" w:rsidP="003C20B5">
      <w:pPr>
        <w:pStyle w:val="Textoindependiente"/>
        <w:ind w:firstLine="708"/>
        <w:rPr>
          <w:rFonts w:ascii="Abadi" w:hAnsi="Abadi"/>
          <w:b w:val="0"/>
          <w:bCs w:val="0"/>
          <w:sz w:val="21"/>
          <w:szCs w:val="21"/>
        </w:rPr>
      </w:pPr>
    </w:p>
    <w:p w14:paraId="20E8951A"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Por lo que hace a las observaciones establecidas en los numerales 007, 030 y 032, se concluyó que los agravios aducidos por la recurrente resultaron inoperantes e infundados, de acuerdo a lo expresado en el considerando séptimo de la resolución. Por tal motivo se confirmó el sentido de su valoración como no solventadas, con acciones correctivas pendientes de realizar por el sujeto fiscalizado.</w:t>
      </w:r>
    </w:p>
    <w:p w14:paraId="15ACC1A4" w14:textId="77777777" w:rsidR="003C20B5" w:rsidRPr="00FE73F1" w:rsidRDefault="003C20B5" w:rsidP="003C20B5">
      <w:pPr>
        <w:pStyle w:val="Textoindependiente"/>
        <w:ind w:firstLine="708"/>
        <w:rPr>
          <w:rFonts w:ascii="Abadi" w:hAnsi="Abadi"/>
          <w:sz w:val="21"/>
          <w:szCs w:val="21"/>
        </w:rPr>
      </w:pPr>
    </w:p>
    <w:p w14:paraId="1F8D7717"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Finalmente, en el caso de las observaciones plasmadas en los numerales 015, 021, 031 y 033, se determinó que los agravios formulados por la recurrente resultaron inoperantes e infundados, por los argumentos establecidos en el considerando séptimo de la resolución. En consecuencia, se confirmó el sentido de su valoración como no solventadas, con acciones correctivas y de impacto económico pendientes de realizar por el sujeto fiscalizado.</w:t>
      </w:r>
    </w:p>
    <w:p w14:paraId="111E5DEA" w14:textId="77777777" w:rsidR="003C20B5" w:rsidRPr="00FE73F1" w:rsidRDefault="003C20B5" w:rsidP="003C20B5">
      <w:pPr>
        <w:pStyle w:val="Textoindependiente"/>
        <w:ind w:firstLine="708"/>
        <w:rPr>
          <w:rFonts w:ascii="Abadi" w:hAnsi="Abadi"/>
          <w:b w:val="0"/>
          <w:bCs w:val="0"/>
          <w:sz w:val="21"/>
          <w:szCs w:val="21"/>
        </w:rPr>
      </w:pPr>
    </w:p>
    <w:p w14:paraId="55058218" w14:textId="77777777" w:rsidR="003C20B5" w:rsidRPr="00FE73F1" w:rsidRDefault="003C20B5" w:rsidP="003C20B5">
      <w:pPr>
        <w:pStyle w:val="Textoindependiente"/>
        <w:ind w:firstLine="708"/>
        <w:rPr>
          <w:rFonts w:ascii="Abadi" w:hAnsi="Abadi"/>
          <w:b w:val="0"/>
          <w:bCs w:val="0"/>
          <w:sz w:val="21"/>
          <w:szCs w:val="21"/>
        </w:rPr>
      </w:pPr>
      <w:r w:rsidRPr="00FE73F1">
        <w:rPr>
          <w:rFonts w:ascii="Abadi" w:hAnsi="Abadi"/>
          <w:b w:val="0"/>
          <w:bCs w:val="0"/>
          <w:sz w:val="21"/>
          <w:szCs w:val="21"/>
        </w:rPr>
        <w:t xml:space="preserve">La referida resolución se notificó a la ex presidenta municipal de Salamanca, </w:t>
      </w:r>
      <w:proofErr w:type="spellStart"/>
      <w:r w:rsidRPr="00FE73F1">
        <w:rPr>
          <w:rFonts w:ascii="Abadi" w:hAnsi="Abadi"/>
          <w:b w:val="0"/>
          <w:bCs w:val="0"/>
          <w:sz w:val="21"/>
          <w:szCs w:val="21"/>
        </w:rPr>
        <w:t>Gto</w:t>
      </w:r>
      <w:proofErr w:type="spellEnd"/>
      <w:r w:rsidRPr="00FE73F1">
        <w:rPr>
          <w:rFonts w:ascii="Abadi" w:hAnsi="Abadi"/>
          <w:b w:val="0"/>
          <w:bCs w:val="0"/>
          <w:sz w:val="21"/>
          <w:szCs w:val="21"/>
        </w:rPr>
        <w:t>., el 20 de diciembre de 2022.</w:t>
      </w:r>
    </w:p>
    <w:p w14:paraId="4F5CB360" w14:textId="77777777" w:rsidR="003C20B5" w:rsidRPr="00FE73F1" w:rsidRDefault="003C20B5" w:rsidP="003C20B5">
      <w:pPr>
        <w:ind w:firstLine="708"/>
        <w:jc w:val="both"/>
        <w:rPr>
          <w:rFonts w:ascii="Abadi" w:hAnsi="Abadi"/>
          <w:sz w:val="21"/>
          <w:szCs w:val="21"/>
        </w:rPr>
      </w:pPr>
    </w:p>
    <w:p w14:paraId="325A4FDB" w14:textId="77777777" w:rsidR="003C20B5" w:rsidRPr="00FE73F1" w:rsidRDefault="003C20B5" w:rsidP="003C20B5">
      <w:pPr>
        <w:pStyle w:val="Textoindependiente"/>
        <w:numPr>
          <w:ilvl w:val="0"/>
          <w:numId w:val="9"/>
        </w:numPr>
        <w:autoSpaceDE/>
        <w:autoSpaceDN/>
        <w:rPr>
          <w:rFonts w:ascii="Abadi" w:hAnsi="Abadi"/>
          <w:sz w:val="21"/>
          <w:szCs w:val="21"/>
        </w:rPr>
      </w:pPr>
      <w:r w:rsidRPr="00FE73F1">
        <w:rPr>
          <w:rFonts w:ascii="Abadi" w:hAnsi="Abadi"/>
          <w:sz w:val="21"/>
          <w:szCs w:val="21"/>
        </w:rPr>
        <w:t xml:space="preserve">Anexos. </w:t>
      </w:r>
    </w:p>
    <w:p w14:paraId="4DB64033" w14:textId="77777777" w:rsidR="003C20B5" w:rsidRPr="00FE73F1" w:rsidRDefault="003C20B5" w:rsidP="003C20B5">
      <w:pPr>
        <w:pStyle w:val="Textoindependiente"/>
        <w:ind w:firstLine="705"/>
        <w:rPr>
          <w:rFonts w:ascii="Abadi" w:hAnsi="Abadi"/>
          <w:sz w:val="21"/>
          <w:szCs w:val="21"/>
        </w:rPr>
      </w:pPr>
    </w:p>
    <w:p w14:paraId="63C9D4D8" w14:textId="77777777" w:rsidR="003C20B5" w:rsidRPr="00FE73F1" w:rsidRDefault="003C20B5" w:rsidP="003C20B5">
      <w:pPr>
        <w:pStyle w:val="Textoindependiente"/>
        <w:ind w:firstLine="705"/>
        <w:rPr>
          <w:rFonts w:ascii="Abadi" w:hAnsi="Abadi"/>
          <w:b w:val="0"/>
          <w:bCs w:val="0"/>
          <w:sz w:val="21"/>
          <w:szCs w:val="21"/>
        </w:rPr>
      </w:pPr>
      <w:r w:rsidRPr="00FE73F1">
        <w:rPr>
          <w:rFonts w:ascii="Abadi" w:hAnsi="Abadi"/>
          <w:b w:val="0"/>
          <w:bCs w:val="0"/>
          <w:sz w:val="21"/>
          <w:szCs w:val="21"/>
        </w:rPr>
        <w:t>En esta parte, se adjuntan los anexos técnicos derivados de la auditoría practicada.</w:t>
      </w:r>
    </w:p>
    <w:p w14:paraId="50F74706" w14:textId="77777777" w:rsidR="003C20B5" w:rsidRPr="00FE73F1" w:rsidRDefault="003C20B5" w:rsidP="003C20B5">
      <w:pPr>
        <w:pStyle w:val="Textoindependiente"/>
        <w:ind w:firstLine="705"/>
        <w:rPr>
          <w:rFonts w:ascii="Abadi" w:hAnsi="Abadi"/>
          <w:b w:val="0"/>
          <w:bCs w:val="0"/>
          <w:sz w:val="21"/>
          <w:szCs w:val="21"/>
        </w:rPr>
      </w:pPr>
    </w:p>
    <w:p w14:paraId="396C81E1" w14:textId="77777777" w:rsidR="003C20B5" w:rsidRPr="00FE73F1" w:rsidRDefault="003C20B5" w:rsidP="003C20B5">
      <w:pPr>
        <w:pStyle w:val="Textoindependiente"/>
        <w:ind w:firstLine="705"/>
        <w:rPr>
          <w:rFonts w:ascii="Abadi" w:hAnsi="Abadi"/>
          <w:sz w:val="21"/>
          <w:szCs w:val="21"/>
        </w:rPr>
      </w:pPr>
    </w:p>
    <w:p w14:paraId="52DCEE23" w14:textId="77777777" w:rsidR="003C20B5" w:rsidRPr="00FE73F1" w:rsidRDefault="003C20B5" w:rsidP="003C20B5">
      <w:pPr>
        <w:ind w:firstLine="708"/>
        <w:jc w:val="both"/>
        <w:rPr>
          <w:rFonts w:ascii="Abadi" w:hAnsi="Abadi"/>
          <w:b/>
          <w:bCs/>
          <w:sz w:val="21"/>
          <w:szCs w:val="21"/>
        </w:rPr>
      </w:pPr>
      <w:r w:rsidRPr="00FE73F1">
        <w:rPr>
          <w:rFonts w:ascii="Abadi" w:hAnsi="Abadi"/>
          <w:b/>
          <w:bCs/>
          <w:sz w:val="21"/>
          <w:szCs w:val="21"/>
        </w:rPr>
        <w:t>V. Conclusiones:</w:t>
      </w:r>
    </w:p>
    <w:p w14:paraId="00A8A1F7" w14:textId="77777777" w:rsidR="003C20B5" w:rsidRPr="00FE73F1" w:rsidRDefault="003C20B5" w:rsidP="003C20B5">
      <w:pPr>
        <w:jc w:val="both"/>
        <w:rPr>
          <w:rFonts w:ascii="Abadi" w:hAnsi="Abadi"/>
          <w:sz w:val="21"/>
          <w:szCs w:val="21"/>
        </w:rPr>
      </w:pPr>
    </w:p>
    <w:p w14:paraId="605A2DC3" w14:textId="77777777" w:rsidR="003C20B5" w:rsidRPr="00FE73F1" w:rsidRDefault="003C20B5" w:rsidP="003C20B5">
      <w:pPr>
        <w:jc w:val="both"/>
        <w:rPr>
          <w:rFonts w:ascii="Abadi" w:hAnsi="Abadi"/>
          <w:sz w:val="21"/>
          <w:szCs w:val="21"/>
        </w:rPr>
      </w:pPr>
      <w:r w:rsidRPr="00FE73F1">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 establece que los informes de resultados únicamente podrán ser observados </w:t>
      </w:r>
      <w:r w:rsidRPr="00FE73F1">
        <w:rPr>
          <w:rFonts w:ascii="Abadi" w:hAnsi="Abadi"/>
          <w:sz w:val="21"/>
          <w:szCs w:val="21"/>
        </w:rPr>
        <w:lastRenderedPageBreak/>
        <w:t xml:space="preserve">por las dos terceras partes de los diputados integrantes del Congreso, cuando no se observen las formalidades esenciales del proceso de fiscalización. </w:t>
      </w:r>
    </w:p>
    <w:p w14:paraId="7E9A720C" w14:textId="77777777" w:rsidR="003C20B5" w:rsidRPr="00FE73F1" w:rsidRDefault="003C20B5" w:rsidP="003C20B5">
      <w:pPr>
        <w:jc w:val="both"/>
        <w:rPr>
          <w:rFonts w:ascii="Abadi" w:hAnsi="Abadi"/>
          <w:sz w:val="21"/>
          <w:szCs w:val="21"/>
        </w:rPr>
      </w:pPr>
    </w:p>
    <w:p w14:paraId="0616245C" w14:textId="77777777" w:rsidR="003C20B5" w:rsidRPr="00FE73F1" w:rsidRDefault="003C20B5" w:rsidP="003C20B5">
      <w:pPr>
        <w:jc w:val="both"/>
        <w:rPr>
          <w:rFonts w:ascii="Abadi" w:hAnsi="Abadi"/>
          <w:sz w:val="21"/>
          <w:szCs w:val="21"/>
        </w:rPr>
      </w:pPr>
      <w:r w:rsidRPr="00FE73F1">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1A7D836A" w14:textId="77777777" w:rsidR="003C20B5" w:rsidRPr="00FE73F1" w:rsidRDefault="003C20B5" w:rsidP="003C20B5">
      <w:pPr>
        <w:jc w:val="both"/>
        <w:rPr>
          <w:rFonts w:ascii="Abadi" w:hAnsi="Abadi"/>
          <w:sz w:val="21"/>
          <w:szCs w:val="21"/>
        </w:rPr>
      </w:pPr>
      <w:r w:rsidRPr="00FE73F1">
        <w:rPr>
          <w:rFonts w:ascii="Abadi" w:hAnsi="Abadi"/>
          <w:sz w:val="21"/>
          <w:szCs w:val="21"/>
        </w:rPr>
        <w:tab/>
      </w:r>
    </w:p>
    <w:p w14:paraId="5C273081"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 la ex presidenta municipales, así como al ex presidente municipal provisional de Salamanca, </w:t>
      </w:r>
      <w:proofErr w:type="spellStart"/>
      <w:r w:rsidRPr="00FE73F1">
        <w:rPr>
          <w:rFonts w:ascii="Abadi" w:hAnsi="Abadi"/>
          <w:sz w:val="21"/>
          <w:szCs w:val="21"/>
        </w:rPr>
        <w:t>Gto</w:t>
      </w:r>
      <w:proofErr w:type="spellEnd"/>
      <w:r w:rsidRPr="00FE73F1">
        <w:rPr>
          <w:rFonts w:ascii="Abadi" w:hAnsi="Abadi"/>
          <w:sz w:val="21"/>
          <w:szCs w:val="21"/>
        </w:rPr>
        <w:t xml:space="preserve">.,  concediéndoles el plazo que establece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667CAB23" w14:textId="77777777" w:rsidR="003C20B5" w:rsidRPr="00FE73F1" w:rsidRDefault="003C20B5" w:rsidP="003C20B5">
      <w:pPr>
        <w:ind w:firstLine="708"/>
        <w:jc w:val="both"/>
        <w:rPr>
          <w:rFonts w:ascii="Abadi" w:hAnsi="Abadi"/>
          <w:sz w:val="21"/>
          <w:szCs w:val="21"/>
        </w:rPr>
      </w:pPr>
    </w:p>
    <w:p w14:paraId="57BE5B98"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De igual manera, existe en el informe de resultados la constancia de que éste se notificó al presidente y a la ex presidenta municipales, así como al ex presidente municipal provisional de Salamanca, </w:t>
      </w:r>
      <w:proofErr w:type="spellStart"/>
      <w:r w:rsidRPr="00FE73F1">
        <w:rPr>
          <w:rFonts w:ascii="Abadi" w:hAnsi="Abadi"/>
          <w:sz w:val="21"/>
          <w:szCs w:val="21"/>
        </w:rPr>
        <w:t>Gto</w:t>
      </w:r>
      <w:proofErr w:type="spellEnd"/>
      <w:r w:rsidRPr="00FE73F1">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ex presidenta municipal de Salamanca, </w:t>
      </w:r>
      <w:proofErr w:type="spellStart"/>
      <w:r w:rsidRPr="00FE73F1">
        <w:rPr>
          <w:rFonts w:ascii="Abadi" w:hAnsi="Abadi"/>
          <w:sz w:val="21"/>
          <w:szCs w:val="21"/>
        </w:rPr>
        <w:t>Gto</w:t>
      </w:r>
      <w:proofErr w:type="spellEnd"/>
      <w:r w:rsidRPr="00FE73F1">
        <w:rPr>
          <w:rFonts w:ascii="Abadi" w:hAnsi="Abadi"/>
          <w:sz w:val="21"/>
          <w:szCs w:val="21"/>
        </w:rPr>
        <w:t>. En tal virtud, se considera que fue respetado el derecho de audiencia o defensa por parte del Órgano Técnico.</w:t>
      </w:r>
    </w:p>
    <w:p w14:paraId="21E96177" w14:textId="77777777" w:rsidR="003C20B5" w:rsidRPr="00FE73F1" w:rsidRDefault="003C20B5" w:rsidP="003C20B5">
      <w:pPr>
        <w:ind w:firstLine="708"/>
        <w:jc w:val="both"/>
        <w:rPr>
          <w:rFonts w:ascii="Abadi" w:hAnsi="Abadi"/>
          <w:sz w:val="21"/>
          <w:szCs w:val="21"/>
        </w:rPr>
      </w:pPr>
    </w:p>
    <w:p w14:paraId="114CDF69"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Por otra parte, del informe de resultados podemos inferir que el Órgano Técnico en el desarrollo del procedimiento de auditoría dio cumplimiento a las formalidades </w:t>
      </w:r>
      <w:r w:rsidRPr="00FE73F1">
        <w:rPr>
          <w:rFonts w:ascii="Abadi" w:hAnsi="Abadi"/>
          <w:sz w:val="21"/>
          <w:szCs w:val="21"/>
        </w:rPr>
        <w:t>esenciales que la Ley de Fiscalización Superior del Estado de Guanajuato establece para el proceso de fiscalización, al haberse practicado de conformidad con el acuerdo aprobado por el Pleno del Congreso el 20 de diciembre de 2021,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D237611" w14:textId="77777777" w:rsidR="003C20B5" w:rsidRPr="00FE73F1" w:rsidRDefault="003C20B5" w:rsidP="003C20B5">
      <w:pPr>
        <w:ind w:firstLine="708"/>
        <w:jc w:val="both"/>
        <w:rPr>
          <w:rFonts w:ascii="Abadi" w:hAnsi="Abadi"/>
          <w:sz w:val="21"/>
          <w:szCs w:val="21"/>
        </w:rPr>
      </w:pPr>
    </w:p>
    <w:p w14:paraId="6475497C"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290F5B0" w14:textId="77777777" w:rsidR="003C20B5" w:rsidRPr="00FE73F1" w:rsidRDefault="003C20B5" w:rsidP="003C20B5">
      <w:pPr>
        <w:ind w:firstLine="708"/>
        <w:jc w:val="both"/>
        <w:rPr>
          <w:rFonts w:ascii="Abadi" w:hAnsi="Abadi"/>
          <w:sz w:val="21"/>
          <w:szCs w:val="21"/>
        </w:rPr>
      </w:pPr>
    </w:p>
    <w:p w14:paraId="0E2E1A09"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9A98E7C" w14:textId="77777777" w:rsidR="003C20B5" w:rsidRPr="00FE73F1" w:rsidRDefault="003C20B5" w:rsidP="003C20B5">
      <w:pPr>
        <w:jc w:val="both"/>
        <w:rPr>
          <w:rFonts w:ascii="Abadi" w:hAnsi="Abadi"/>
          <w:sz w:val="21"/>
          <w:szCs w:val="21"/>
        </w:rPr>
      </w:pPr>
    </w:p>
    <w:p w14:paraId="3B3E759D" w14:textId="77777777" w:rsidR="003C20B5" w:rsidRPr="00FE73F1" w:rsidRDefault="003C20B5" w:rsidP="003C20B5">
      <w:pPr>
        <w:jc w:val="both"/>
        <w:rPr>
          <w:rFonts w:ascii="Abadi" w:hAnsi="Abadi"/>
          <w:sz w:val="21"/>
          <w:szCs w:val="21"/>
        </w:rPr>
      </w:pPr>
      <w:r w:rsidRPr="00FE73F1">
        <w:rPr>
          <w:rFonts w:ascii="Abadi" w:hAnsi="Abadi"/>
          <w:sz w:val="21"/>
          <w:szCs w:val="21"/>
        </w:rPr>
        <w:tab/>
        <w:t xml:space="preserve">Finalmente, es de destacar que el cumplimiento de los Objetivos del Desarrollo Sostenible de la Agenda 2030 está presente en el dictamen puesto a su consideración, pues el mismo incide de manera directa en el Objetivo 16 denominado Paz, Justicia e </w:t>
      </w:r>
      <w:r w:rsidRPr="00FE73F1">
        <w:rPr>
          <w:rFonts w:ascii="Abadi" w:hAnsi="Abadi"/>
          <w:sz w:val="21"/>
          <w:szCs w:val="21"/>
        </w:rPr>
        <w:lastRenderedPageBreak/>
        <w:t>Instituciones Sólidas. Promover sociedades justas, pacíficas e inclusivas, respecto a la meta 16.6 Crear a todos los niveles instituciones eficaces y transparentes, al abonar a la transparencia y rendición de cuentas.</w:t>
      </w:r>
    </w:p>
    <w:p w14:paraId="6632CD58" w14:textId="77777777" w:rsidR="003C20B5" w:rsidRPr="00FE73F1" w:rsidRDefault="003C20B5" w:rsidP="003C20B5">
      <w:pPr>
        <w:jc w:val="both"/>
        <w:rPr>
          <w:rFonts w:ascii="Abadi" w:hAnsi="Abadi"/>
          <w:sz w:val="21"/>
          <w:szCs w:val="21"/>
        </w:rPr>
      </w:pPr>
    </w:p>
    <w:p w14:paraId="45FC837B" w14:textId="77777777" w:rsidR="003C20B5" w:rsidRPr="00FE73F1" w:rsidRDefault="003C20B5" w:rsidP="003C20B5">
      <w:pPr>
        <w:jc w:val="both"/>
        <w:rPr>
          <w:rFonts w:ascii="Abadi" w:hAnsi="Abadi"/>
          <w:sz w:val="21"/>
          <w:szCs w:val="21"/>
        </w:rPr>
      </w:pPr>
      <w:r w:rsidRPr="00FE73F1">
        <w:rPr>
          <w:rFonts w:ascii="Abadi" w:hAnsi="Abadi"/>
          <w:sz w:val="21"/>
          <w:szCs w:val="21"/>
        </w:rPr>
        <w:tab/>
        <w:t xml:space="preserve">En razón de lo anteriormente señalado, concluimos que el informe de resultados de la auditoría integral practicada a la administración pública municipal de Salamanca, </w:t>
      </w:r>
      <w:proofErr w:type="spellStart"/>
      <w:r w:rsidRPr="00FE73F1">
        <w:rPr>
          <w:rFonts w:ascii="Abadi" w:hAnsi="Abadi"/>
          <w:sz w:val="21"/>
          <w:szCs w:val="21"/>
        </w:rPr>
        <w:t>Gto</w:t>
      </w:r>
      <w:proofErr w:type="spellEnd"/>
      <w:r w:rsidRPr="00FE73F1">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E73F1">
          <w:rPr>
            <w:rFonts w:ascii="Abadi" w:hAnsi="Abadi"/>
            <w:sz w:val="21"/>
            <w:szCs w:val="21"/>
          </w:rPr>
          <w:t>la Ley</w:t>
        </w:r>
      </w:smartTag>
      <w:r w:rsidRPr="00FE73F1">
        <w:rPr>
          <w:rFonts w:ascii="Abadi" w:hAnsi="Abadi"/>
          <w:sz w:val="21"/>
          <w:szCs w:val="21"/>
        </w:rPr>
        <w:t xml:space="preserve"> de Fiscalización Superior del Estado de Guanajuato, razón por la cual no podría ser observado por el Pleno del Congreso.</w:t>
      </w:r>
    </w:p>
    <w:p w14:paraId="034CEFB6" w14:textId="77777777" w:rsidR="003C20B5" w:rsidRPr="00FE73F1" w:rsidRDefault="003C20B5" w:rsidP="003C20B5">
      <w:pPr>
        <w:ind w:firstLine="708"/>
        <w:jc w:val="both"/>
        <w:rPr>
          <w:rFonts w:ascii="Abadi" w:hAnsi="Abadi"/>
          <w:sz w:val="21"/>
          <w:szCs w:val="21"/>
        </w:rPr>
      </w:pPr>
    </w:p>
    <w:p w14:paraId="3994CD6B" w14:textId="77777777" w:rsidR="003C20B5" w:rsidRPr="00FE73F1" w:rsidRDefault="003C20B5" w:rsidP="003C20B5">
      <w:pPr>
        <w:ind w:firstLine="708"/>
        <w:jc w:val="both"/>
        <w:rPr>
          <w:rFonts w:ascii="Abadi" w:hAnsi="Abadi"/>
          <w:sz w:val="21"/>
          <w:szCs w:val="21"/>
        </w:rPr>
      </w:pPr>
      <w:r w:rsidRPr="00FE73F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E73F1">
          <w:rPr>
            <w:rFonts w:ascii="Abadi" w:hAnsi="Abadi"/>
            <w:sz w:val="21"/>
            <w:szCs w:val="21"/>
          </w:rPr>
          <w:t>la Ley Orgánica</w:t>
        </w:r>
      </w:smartTag>
      <w:r w:rsidRPr="00FE73F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E73F1">
          <w:rPr>
            <w:rFonts w:ascii="Abadi" w:hAnsi="Abadi"/>
            <w:sz w:val="21"/>
            <w:szCs w:val="21"/>
          </w:rPr>
          <w:t>la Asamblea</w:t>
        </w:r>
      </w:smartTag>
      <w:r w:rsidRPr="00FE73F1">
        <w:rPr>
          <w:rFonts w:ascii="Abadi" w:hAnsi="Abadi"/>
          <w:sz w:val="21"/>
          <w:szCs w:val="21"/>
        </w:rPr>
        <w:t>, la aprobación del siguiente:</w:t>
      </w:r>
    </w:p>
    <w:p w14:paraId="1C995379" w14:textId="77777777" w:rsidR="003C20B5" w:rsidRPr="00FE73F1" w:rsidRDefault="003C20B5" w:rsidP="003C20B5">
      <w:pPr>
        <w:rPr>
          <w:rFonts w:ascii="Abadi" w:hAnsi="Abadi"/>
          <w:sz w:val="21"/>
          <w:szCs w:val="21"/>
        </w:rPr>
      </w:pPr>
    </w:p>
    <w:p w14:paraId="41240C05" w14:textId="77777777" w:rsidR="003C20B5" w:rsidRPr="00FE73F1" w:rsidRDefault="003C20B5" w:rsidP="003C20B5">
      <w:pPr>
        <w:pStyle w:val="Ttulo1"/>
        <w:jc w:val="center"/>
        <w:rPr>
          <w:rFonts w:ascii="Abadi" w:hAnsi="Abadi" w:cs="Arial"/>
          <w:smallCaps/>
          <w:sz w:val="21"/>
          <w:szCs w:val="21"/>
        </w:rPr>
      </w:pPr>
      <w:r w:rsidRPr="00FE73F1">
        <w:rPr>
          <w:rFonts w:ascii="Abadi" w:hAnsi="Abadi" w:cs="Arial"/>
          <w:smallCaps/>
          <w:sz w:val="21"/>
          <w:szCs w:val="21"/>
        </w:rPr>
        <w:t>A C U E R D O</w:t>
      </w:r>
    </w:p>
    <w:p w14:paraId="1EEDE519" w14:textId="77777777" w:rsidR="003C20B5" w:rsidRPr="00FE73F1" w:rsidRDefault="003C20B5" w:rsidP="003C20B5">
      <w:pPr>
        <w:rPr>
          <w:rFonts w:ascii="Abadi" w:hAnsi="Abadi"/>
          <w:sz w:val="21"/>
          <w:szCs w:val="21"/>
        </w:rPr>
      </w:pPr>
    </w:p>
    <w:p w14:paraId="277ABC49" w14:textId="77777777" w:rsidR="003C20B5" w:rsidRPr="00FE73F1" w:rsidRDefault="003C20B5" w:rsidP="003C20B5">
      <w:pPr>
        <w:pStyle w:val="Sangra3detindependiente"/>
        <w:spacing w:line="240" w:lineRule="auto"/>
        <w:rPr>
          <w:rFonts w:ascii="Abadi" w:hAnsi="Abadi"/>
          <w:sz w:val="21"/>
          <w:szCs w:val="21"/>
        </w:rPr>
      </w:pPr>
      <w:r w:rsidRPr="00FE73F1">
        <w:rPr>
          <w:rFonts w:ascii="Abadi" w:hAnsi="Abadi"/>
          <w:b/>
          <w:sz w:val="21"/>
          <w:szCs w:val="21"/>
          <w:lang w:val="es-MX"/>
        </w:rPr>
        <w:t>Único.</w:t>
      </w:r>
      <w:r w:rsidRPr="00FE73F1">
        <w:rPr>
          <w:rFonts w:ascii="Abadi" w:hAnsi="Abadi"/>
          <w:sz w:val="21"/>
          <w:szCs w:val="21"/>
          <w:lang w:val="es-MX"/>
        </w:rPr>
        <w:t xml:space="preserve"> </w:t>
      </w:r>
      <w:r w:rsidRPr="00FE73F1">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FE73F1">
          <w:rPr>
            <w:rFonts w:ascii="Abadi" w:hAnsi="Abadi"/>
            <w:sz w:val="21"/>
            <w:szCs w:val="21"/>
          </w:rPr>
          <w:t>la Constitución Política</w:t>
        </w:r>
      </w:smartTag>
      <w:r w:rsidRPr="00FE73F1">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integral practicada a la administración pública municipal de Salamanca, </w:t>
      </w:r>
      <w:proofErr w:type="spellStart"/>
      <w:r w:rsidRPr="00FE73F1">
        <w:rPr>
          <w:rFonts w:ascii="Abadi" w:hAnsi="Abadi"/>
          <w:sz w:val="21"/>
          <w:szCs w:val="21"/>
        </w:rPr>
        <w:t>Gto</w:t>
      </w:r>
      <w:proofErr w:type="spellEnd"/>
      <w:r w:rsidRPr="00FE73F1">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en cumplimiento al acuerdo aprobado por el </w:t>
      </w:r>
      <w:r w:rsidRPr="00FE73F1">
        <w:rPr>
          <w:rFonts w:ascii="Abadi" w:hAnsi="Abadi"/>
          <w:sz w:val="21"/>
          <w:szCs w:val="21"/>
        </w:rPr>
        <w:t>Pleno del Congreso del Estado de Guanajuato el 20 de diciembre de 2021.</w:t>
      </w:r>
    </w:p>
    <w:p w14:paraId="59550B12" w14:textId="77777777" w:rsidR="003C20B5" w:rsidRPr="00FE73F1" w:rsidRDefault="003C20B5" w:rsidP="003C20B5">
      <w:pPr>
        <w:pStyle w:val="Sangra3detindependiente"/>
        <w:spacing w:line="240" w:lineRule="auto"/>
        <w:rPr>
          <w:rFonts w:ascii="Abadi" w:hAnsi="Abadi"/>
          <w:sz w:val="21"/>
          <w:szCs w:val="21"/>
        </w:rPr>
      </w:pPr>
      <w:r w:rsidRPr="00FE73F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las observaciones no solventadas contenidas en el informe de resultados.</w:t>
      </w:r>
    </w:p>
    <w:p w14:paraId="5FF7FF36" w14:textId="77777777" w:rsidR="003C20B5" w:rsidRPr="00FE73F1" w:rsidRDefault="003C20B5" w:rsidP="003C20B5">
      <w:pPr>
        <w:pStyle w:val="Sangra3detindependiente"/>
        <w:spacing w:line="240" w:lineRule="auto"/>
        <w:rPr>
          <w:rFonts w:ascii="Abadi" w:hAnsi="Abadi"/>
          <w:sz w:val="21"/>
          <w:szCs w:val="21"/>
        </w:rPr>
      </w:pPr>
      <w:r w:rsidRPr="00FE73F1">
        <w:rPr>
          <w:rFonts w:ascii="Abadi" w:hAnsi="Abadi"/>
          <w:sz w:val="21"/>
          <w:szCs w:val="21"/>
        </w:rPr>
        <w:t>Del proceso de fiscalización no se desprendieron recomendaciones.</w:t>
      </w:r>
    </w:p>
    <w:p w14:paraId="4806A384" w14:textId="77777777" w:rsidR="003C20B5" w:rsidRPr="00FE73F1" w:rsidRDefault="003C20B5" w:rsidP="003C20B5">
      <w:pPr>
        <w:ind w:firstLine="708"/>
        <w:jc w:val="both"/>
        <w:rPr>
          <w:rFonts w:ascii="Abadi" w:hAnsi="Abadi"/>
          <w:sz w:val="21"/>
          <w:szCs w:val="21"/>
        </w:rPr>
      </w:pPr>
    </w:p>
    <w:p w14:paraId="41BBE42E" w14:textId="77777777" w:rsidR="003C20B5" w:rsidRPr="00FE73F1" w:rsidRDefault="003C20B5" w:rsidP="003C20B5">
      <w:pPr>
        <w:pStyle w:val="Sangra3detindependiente"/>
        <w:spacing w:line="240" w:lineRule="auto"/>
        <w:rPr>
          <w:rFonts w:ascii="Abadi" w:hAnsi="Abadi"/>
          <w:sz w:val="21"/>
          <w:szCs w:val="21"/>
          <w:lang w:val="es-MX"/>
        </w:rPr>
      </w:pPr>
      <w:r w:rsidRPr="00FE73F1">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FE73F1">
        <w:rPr>
          <w:rFonts w:ascii="Abadi" w:hAnsi="Abadi"/>
          <w:sz w:val="21"/>
          <w:szCs w:val="21"/>
          <w:lang w:val="es-MX"/>
        </w:rPr>
        <w:t>.</w:t>
      </w:r>
    </w:p>
    <w:p w14:paraId="602DA1C2" w14:textId="77777777" w:rsidR="003C20B5" w:rsidRPr="00FE73F1" w:rsidRDefault="003C20B5" w:rsidP="003C20B5">
      <w:pPr>
        <w:pStyle w:val="Sangra3detindependiente"/>
        <w:spacing w:line="240" w:lineRule="auto"/>
        <w:rPr>
          <w:rFonts w:ascii="Abadi" w:hAnsi="Abadi"/>
          <w:sz w:val="21"/>
          <w:szCs w:val="21"/>
          <w:lang w:val="es-MX"/>
        </w:rPr>
      </w:pPr>
    </w:p>
    <w:p w14:paraId="51A382A4" w14:textId="77777777" w:rsidR="003C20B5" w:rsidRPr="00FE73F1" w:rsidRDefault="003C20B5" w:rsidP="003C20B5">
      <w:pPr>
        <w:jc w:val="center"/>
        <w:rPr>
          <w:rFonts w:ascii="Abadi" w:hAnsi="Abadi"/>
          <w:b/>
          <w:bCs/>
          <w:sz w:val="21"/>
          <w:szCs w:val="21"/>
          <w:lang w:eastAsia="x-none"/>
        </w:rPr>
      </w:pPr>
      <w:r w:rsidRPr="00FE73F1">
        <w:rPr>
          <w:rFonts w:ascii="Abadi" w:hAnsi="Abadi"/>
          <w:b/>
          <w:bCs/>
          <w:sz w:val="21"/>
          <w:szCs w:val="21"/>
          <w:lang w:eastAsia="x-none"/>
        </w:rPr>
        <w:t xml:space="preserve">Guanajuato, </w:t>
      </w:r>
      <w:proofErr w:type="spellStart"/>
      <w:r w:rsidRPr="00FE73F1">
        <w:rPr>
          <w:rFonts w:ascii="Abadi" w:hAnsi="Abadi"/>
          <w:b/>
          <w:bCs/>
          <w:sz w:val="21"/>
          <w:szCs w:val="21"/>
          <w:lang w:eastAsia="x-none"/>
        </w:rPr>
        <w:t>Gto</w:t>
      </w:r>
      <w:proofErr w:type="spellEnd"/>
      <w:r w:rsidRPr="00FE73F1">
        <w:rPr>
          <w:rFonts w:ascii="Abadi" w:hAnsi="Abadi"/>
          <w:b/>
          <w:bCs/>
          <w:sz w:val="21"/>
          <w:szCs w:val="21"/>
          <w:lang w:eastAsia="x-none"/>
        </w:rPr>
        <w:t>., 13 de junio de 2023</w:t>
      </w:r>
    </w:p>
    <w:p w14:paraId="7514E2D1" w14:textId="77777777" w:rsidR="00FE73F1" w:rsidRDefault="003C20B5" w:rsidP="003C20B5">
      <w:pPr>
        <w:jc w:val="center"/>
        <w:rPr>
          <w:rFonts w:ascii="Abadi" w:hAnsi="Abadi"/>
          <w:b/>
          <w:bCs/>
          <w:sz w:val="21"/>
          <w:szCs w:val="21"/>
          <w:lang w:eastAsia="x-none"/>
        </w:rPr>
      </w:pPr>
      <w:r w:rsidRPr="00FE73F1">
        <w:rPr>
          <w:rFonts w:ascii="Abadi" w:hAnsi="Abadi"/>
          <w:b/>
          <w:bCs/>
          <w:sz w:val="21"/>
          <w:szCs w:val="21"/>
          <w:lang w:eastAsia="x-none"/>
        </w:rPr>
        <w:t>La Comisión de Hacienda y Fiscalización</w:t>
      </w:r>
    </w:p>
    <w:p w14:paraId="22235D35" w14:textId="77777777" w:rsidR="00FE73F1" w:rsidRDefault="00FE73F1" w:rsidP="003C20B5">
      <w:pPr>
        <w:jc w:val="center"/>
        <w:rPr>
          <w:rFonts w:ascii="Abadi" w:hAnsi="Abadi"/>
          <w:b/>
          <w:bCs/>
          <w:sz w:val="21"/>
          <w:szCs w:val="21"/>
          <w:lang w:eastAsia="x-none"/>
        </w:rPr>
      </w:pPr>
    </w:p>
    <w:p w14:paraId="31193B8C" w14:textId="28ECDE92" w:rsidR="003C20B5" w:rsidRPr="00FE73F1" w:rsidRDefault="003C20B5" w:rsidP="003C20B5">
      <w:pPr>
        <w:jc w:val="center"/>
        <w:rPr>
          <w:rFonts w:ascii="Abadi" w:hAnsi="Abadi"/>
          <w:b/>
          <w:bCs/>
          <w:sz w:val="21"/>
          <w:szCs w:val="21"/>
          <w:lang w:eastAsia="x-none"/>
        </w:rPr>
      </w:pPr>
      <w:r w:rsidRPr="00FE73F1">
        <w:rPr>
          <w:rFonts w:ascii="Abadi" w:hAnsi="Abadi"/>
          <w:b/>
          <w:sz w:val="21"/>
          <w:szCs w:val="21"/>
          <w:lang w:eastAsia="x-none"/>
        </w:rPr>
        <w:t>Diputado Víctor Manuel Zanella Huerta</w:t>
      </w:r>
    </w:p>
    <w:p w14:paraId="5330DC5E" w14:textId="125647D5" w:rsidR="003C20B5" w:rsidRPr="00FE73F1" w:rsidRDefault="003C20B5" w:rsidP="00C40305">
      <w:pPr>
        <w:rPr>
          <w:rFonts w:ascii="Abadi" w:hAnsi="Abadi"/>
          <w:b/>
          <w:sz w:val="21"/>
          <w:szCs w:val="21"/>
          <w:lang w:eastAsia="x-none"/>
        </w:rPr>
      </w:pPr>
      <w:r w:rsidRPr="00FE73F1">
        <w:rPr>
          <w:rFonts w:ascii="Abadi" w:hAnsi="Abadi"/>
          <w:b/>
          <w:sz w:val="21"/>
          <w:szCs w:val="21"/>
          <w:lang w:eastAsia="x-none"/>
        </w:rPr>
        <w:t xml:space="preserve">Diputada Ruth Noemí Tiscareño Agoitia       Diputado Miguel Ángel Salim </w:t>
      </w:r>
      <w:proofErr w:type="spellStart"/>
      <w:r w:rsidRPr="00FE73F1">
        <w:rPr>
          <w:rFonts w:ascii="Abadi" w:hAnsi="Abadi"/>
          <w:b/>
          <w:sz w:val="21"/>
          <w:szCs w:val="21"/>
          <w:lang w:eastAsia="x-none"/>
        </w:rPr>
        <w:t>Alle</w:t>
      </w:r>
      <w:proofErr w:type="spellEnd"/>
    </w:p>
    <w:p w14:paraId="401160C0" w14:textId="70041F44" w:rsidR="003C20B5" w:rsidRPr="00FE73F1" w:rsidRDefault="003C20B5" w:rsidP="00C40305">
      <w:pPr>
        <w:rPr>
          <w:rFonts w:ascii="Abadi" w:hAnsi="Abadi"/>
          <w:b/>
          <w:sz w:val="21"/>
          <w:szCs w:val="21"/>
          <w:lang w:eastAsia="x-none"/>
        </w:rPr>
      </w:pPr>
      <w:r w:rsidRPr="00FE73F1">
        <w:rPr>
          <w:rFonts w:ascii="Abadi" w:hAnsi="Abadi"/>
          <w:b/>
          <w:sz w:val="21"/>
          <w:szCs w:val="21"/>
          <w:lang w:eastAsia="x-none"/>
        </w:rPr>
        <w:t>Diputado José Alfonso Borja Pimentel    Diputada Alma Edwviges Alcaraz Hernández</w:t>
      </w:r>
    </w:p>
    <w:p w14:paraId="75B97FA9" w14:textId="77777777" w:rsidR="003C20B5" w:rsidRPr="002D10D4" w:rsidRDefault="003C20B5" w:rsidP="003C20B5">
      <w:pPr>
        <w:rPr>
          <w:rFonts w:ascii="Abadi" w:hAnsi="Abadi"/>
          <w:b/>
          <w:lang w:eastAsia="x-none"/>
        </w:rPr>
      </w:pPr>
    </w:p>
    <w:p w14:paraId="4D1693E5" w14:textId="26FE217B" w:rsidR="00DB032A" w:rsidRDefault="00DB032A" w:rsidP="00DB032A">
      <w:pPr>
        <w:jc w:val="both"/>
        <w:rPr>
          <w:rFonts w:ascii="Abadi" w:hAnsi="Abadi"/>
          <w:sz w:val="21"/>
          <w:szCs w:val="21"/>
        </w:rPr>
      </w:pPr>
      <w:r>
        <w:rPr>
          <w:rFonts w:ascii="Abadi" w:hAnsi="Abadi"/>
          <w:b/>
          <w:bCs/>
          <w:sz w:val="21"/>
          <w:szCs w:val="21"/>
        </w:rPr>
        <w:tab/>
      </w:r>
      <w:r w:rsidRPr="00174DA0">
        <w:rPr>
          <w:rFonts w:ascii="Abadi" w:hAnsi="Abadi"/>
          <w:b/>
          <w:bCs/>
          <w:sz w:val="21"/>
          <w:szCs w:val="21"/>
        </w:rPr>
        <w:t xml:space="preserve">- La </w:t>
      </w:r>
      <w:proofErr w:type="gramStart"/>
      <w:r w:rsidRPr="00174DA0">
        <w:rPr>
          <w:rFonts w:ascii="Abadi" w:hAnsi="Abadi"/>
          <w:b/>
          <w:bCs/>
          <w:sz w:val="21"/>
          <w:szCs w:val="21"/>
        </w:rPr>
        <w:t>Presidencia.-</w:t>
      </w:r>
      <w:proofErr w:type="gramEnd"/>
      <w:r>
        <w:rPr>
          <w:rFonts w:ascii="Abadi" w:hAnsi="Abadi"/>
          <w:sz w:val="21"/>
          <w:szCs w:val="21"/>
        </w:rPr>
        <w:t xml:space="preserve"> P</w:t>
      </w:r>
      <w:r w:rsidRPr="0030088F">
        <w:rPr>
          <w:rFonts w:ascii="Abadi" w:hAnsi="Abadi"/>
          <w:sz w:val="21"/>
          <w:szCs w:val="21"/>
        </w:rPr>
        <w:t xml:space="preserve">rocede someter a discusión los dictámenes formulados por la </w:t>
      </w:r>
      <w:r>
        <w:rPr>
          <w:rFonts w:ascii="Abadi" w:hAnsi="Abadi"/>
          <w:sz w:val="21"/>
          <w:szCs w:val="21"/>
        </w:rPr>
        <w:t>C</w:t>
      </w:r>
      <w:r w:rsidRPr="0030088F">
        <w:rPr>
          <w:rFonts w:ascii="Abadi" w:hAnsi="Abadi"/>
          <w:sz w:val="21"/>
          <w:szCs w:val="21"/>
        </w:rPr>
        <w:t xml:space="preserve">omisión de </w:t>
      </w:r>
      <w:r>
        <w:rPr>
          <w:rFonts w:ascii="Abadi" w:hAnsi="Abadi"/>
          <w:sz w:val="21"/>
          <w:szCs w:val="21"/>
        </w:rPr>
        <w:t>H</w:t>
      </w:r>
      <w:r w:rsidRPr="0030088F">
        <w:rPr>
          <w:rFonts w:ascii="Abadi" w:hAnsi="Abadi"/>
          <w:sz w:val="21"/>
          <w:szCs w:val="21"/>
        </w:rPr>
        <w:t xml:space="preserve">acienda y </w:t>
      </w:r>
      <w:r>
        <w:rPr>
          <w:rFonts w:ascii="Abadi" w:hAnsi="Abadi"/>
          <w:sz w:val="21"/>
          <w:szCs w:val="21"/>
        </w:rPr>
        <w:t>F</w:t>
      </w:r>
      <w:r w:rsidRPr="0030088F">
        <w:rPr>
          <w:rFonts w:ascii="Abadi" w:hAnsi="Abadi"/>
          <w:sz w:val="21"/>
          <w:szCs w:val="21"/>
        </w:rPr>
        <w:t>iscalización contenidos en los puntos del 32 al 51 del orden del día</w:t>
      </w:r>
      <w:r>
        <w:rPr>
          <w:rFonts w:ascii="Abadi" w:hAnsi="Abadi"/>
          <w:sz w:val="21"/>
          <w:szCs w:val="21"/>
        </w:rPr>
        <w:t>. S</w:t>
      </w:r>
      <w:r w:rsidRPr="0030088F">
        <w:rPr>
          <w:rFonts w:ascii="Abadi" w:hAnsi="Abadi"/>
          <w:sz w:val="21"/>
          <w:szCs w:val="21"/>
        </w:rPr>
        <w:t>i alguna diputada o diputado desea hacer uso de la palabra a favor en contra manifiést</w:t>
      </w:r>
      <w:r>
        <w:rPr>
          <w:rFonts w:ascii="Abadi" w:hAnsi="Abadi"/>
          <w:sz w:val="21"/>
          <w:szCs w:val="21"/>
        </w:rPr>
        <w:t>enlo</w:t>
      </w:r>
      <w:r w:rsidRPr="0030088F">
        <w:rPr>
          <w:rFonts w:ascii="Abadi" w:hAnsi="Abadi"/>
          <w:sz w:val="21"/>
          <w:szCs w:val="21"/>
        </w:rPr>
        <w:t xml:space="preserve"> indicando el sentido de su participación</w:t>
      </w:r>
      <w:r>
        <w:rPr>
          <w:rFonts w:ascii="Abadi" w:hAnsi="Abadi"/>
          <w:sz w:val="21"/>
          <w:szCs w:val="21"/>
        </w:rPr>
        <w:t>. ¿D</w:t>
      </w:r>
      <w:r w:rsidRPr="0030088F">
        <w:rPr>
          <w:rFonts w:ascii="Abadi" w:hAnsi="Abadi"/>
          <w:sz w:val="21"/>
          <w:szCs w:val="21"/>
        </w:rPr>
        <w:t xml:space="preserve">iputada </w:t>
      </w:r>
      <w:r>
        <w:rPr>
          <w:rFonts w:ascii="Abadi" w:hAnsi="Abadi"/>
          <w:sz w:val="21"/>
          <w:szCs w:val="21"/>
        </w:rPr>
        <w:t>A</w:t>
      </w:r>
      <w:r w:rsidRPr="0030088F">
        <w:rPr>
          <w:rFonts w:ascii="Abadi" w:hAnsi="Abadi"/>
          <w:sz w:val="21"/>
          <w:szCs w:val="21"/>
        </w:rPr>
        <w:t xml:space="preserve">lma </w:t>
      </w:r>
      <w:r>
        <w:rPr>
          <w:rFonts w:ascii="Abadi" w:hAnsi="Abadi"/>
          <w:sz w:val="21"/>
          <w:szCs w:val="21"/>
        </w:rPr>
        <w:t>E</w:t>
      </w:r>
      <w:r w:rsidRPr="0030088F">
        <w:rPr>
          <w:rFonts w:ascii="Abadi" w:hAnsi="Abadi"/>
          <w:sz w:val="21"/>
          <w:szCs w:val="21"/>
        </w:rPr>
        <w:t>d</w:t>
      </w:r>
      <w:r>
        <w:rPr>
          <w:rFonts w:ascii="Abadi" w:hAnsi="Abadi"/>
          <w:sz w:val="21"/>
          <w:szCs w:val="21"/>
        </w:rPr>
        <w:t>wv</w:t>
      </w:r>
      <w:r w:rsidRPr="0030088F">
        <w:rPr>
          <w:rFonts w:ascii="Abadi" w:hAnsi="Abadi"/>
          <w:sz w:val="21"/>
          <w:szCs w:val="21"/>
        </w:rPr>
        <w:t>iges</w:t>
      </w:r>
      <w:r>
        <w:rPr>
          <w:rFonts w:ascii="Abadi" w:hAnsi="Abadi"/>
          <w:sz w:val="21"/>
          <w:szCs w:val="21"/>
        </w:rPr>
        <w:t>?</w:t>
      </w:r>
      <w:r w:rsidRPr="0030088F">
        <w:rPr>
          <w:rFonts w:ascii="Abadi" w:hAnsi="Abadi"/>
          <w:sz w:val="21"/>
          <w:szCs w:val="21"/>
        </w:rPr>
        <w:t xml:space="preserve"> </w:t>
      </w:r>
      <w:r w:rsidRPr="00F97C74">
        <w:rPr>
          <w:rFonts w:ascii="Abadi" w:hAnsi="Abadi"/>
          <w:b/>
          <w:bCs/>
          <w:sz w:val="21"/>
          <w:szCs w:val="21"/>
        </w:rPr>
        <w:t>(Voz) diputada Alma Edwviges,</w:t>
      </w:r>
      <w:r>
        <w:rPr>
          <w:rFonts w:ascii="Abadi" w:hAnsi="Abadi"/>
          <w:sz w:val="21"/>
          <w:szCs w:val="21"/>
        </w:rPr>
        <w:t xml:space="preserve"> sí, para </w:t>
      </w:r>
      <w:r w:rsidRPr="0030088F">
        <w:rPr>
          <w:rFonts w:ascii="Abadi" w:hAnsi="Abadi"/>
          <w:sz w:val="21"/>
          <w:szCs w:val="21"/>
        </w:rPr>
        <w:t xml:space="preserve">hablar </w:t>
      </w:r>
      <w:r>
        <w:rPr>
          <w:rFonts w:ascii="Abadi" w:hAnsi="Abadi"/>
          <w:sz w:val="21"/>
          <w:szCs w:val="21"/>
        </w:rPr>
        <w:t>¡</w:t>
      </w:r>
      <w:r w:rsidRPr="0030088F">
        <w:rPr>
          <w:rFonts w:ascii="Abadi" w:hAnsi="Abadi"/>
          <w:sz w:val="21"/>
          <w:szCs w:val="21"/>
        </w:rPr>
        <w:t>en contra</w:t>
      </w:r>
      <w:r>
        <w:rPr>
          <w:rFonts w:ascii="Abadi" w:hAnsi="Abadi"/>
          <w:sz w:val="21"/>
          <w:szCs w:val="21"/>
        </w:rPr>
        <w:t>!</w:t>
      </w:r>
      <w:r w:rsidRPr="0030088F">
        <w:rPr>
          <w:rFonts w:ascii="Abadi" w:hAnsi="Abadi"/>
          <w:sz w:val="21"/>
          <w:szCs w:val="21"/>
        </w:rPr>
        <w:t xml:space="preserve"> del punto 32 </w:t>
      </w:r>
      <w:r w:rsidRPr="00E069E1">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gracias diputada</w:t>
      </w:r>
      <w:r>
        <w:rPr>
          <w:rFonts w:ascii="Abadi" w:hAnsi="Abadi"/>
          <w:sz w:val="21"/>
          <w:szCs w:val="21"/>
        </w:rPr>
        <w:t>,</w:t>
      </w:r>
      <w:r w:rsidRPr="0030088F">
        <w:rPr>
          <w:rFonts w:ascii="Abadi" w:hAnsi="Abadi"/>
          <w:sz w:val="21"/>
          <w:szCs w:val="21"/>
        </w:rPr>
        <w:t xml:space="preserve"> bien</w:t>
      </w:r>
      <w:r>
        <w:rPr>
          <w:rFonts w:ascii="Abadi" w:hAnsi="Abadi"/>
          <w:sz w:val="21"/>
          <w:szCs w:val="21"/>
        </w:rPr>
        <w:t>,</w:t>
      </w:r>
      <w:r w:rsidRPr="0030088F">
        <w:rPr>
          <w:rFonts w:ascii="Abadi" w:hAnsi="Abadi"/>
          <w:sz w:val="21"/>
          <w:szCs w:val="21"/>
        </w:rPr>
        <w:t xml:space="preserve"> se concede el uso de la voz a la diputada </w:t>
      </w:r>
      <w:r>
        <w:rPr>
          <w:rFonts w:ascii="Abadi" w:hAnsi="Abadi"/>
          <w:sz w:val="21"/>
          <w:szCs w:val="21"/>
        </w:rPr>
        <w:t>A</w:t>
      </w:r>
      <w:r w:rsidRPr="0030088F">
        <w:rPr>
          <w:rFonts w:ascii="Abadi" w:hAnsi="Abadi"/>
          <w:sz w:val="21"/>
          <w:szCs w:val="21"/>
        </w:rPr>
        <w:t xml:space="preserve">lma </w:t>
      </w:r>
      <w:r>
        <w:rPr>
          <w:rFonts w:ascii="Abadi" w:hAnsi="Abadi"/>
          <w:sz w:val="21"/>
          <w:szCs w:val="21"/>
        </w:rPr>
        <w:t>A</w:t>
      </w:r>
      <w:r w:rsidRPr="0030088F">
        <w:rPr>
          <w:rFonts w:ascii="Abadi" w:hAnsi="Abadi"/>
          <w:sz w:val="21"/>
          <w:szCs w:val="21"/>
        </w:rPr>
        <w:t>lcaraz para hablar en contra del dictamen signado en el punto 32 hasta por 10 minutos</w:t>
      </w:r>
      <w:r>
        <w:rPr>
          <w:rFonts w:ascii="Abadi" w:hAnsi="Abadi"/>
          <w:sz w:val="21"/>
          <w:szCs w:val="21"/>
        </w:rPr>
        <w:t>.</w:t>
      </w:r>
    </w:p>
    <w:p w14:paraId="76348883" w14:textId="77777777" w:rsidR="00DB032A" w:rsidRDefault="00DB032A" w:rsidP="00DB032A">
      <w:pPr>
        <w:jc w:val="both"/>
        <w:rPr>
          <w:rFonts w:ascii="Abadi" w:hAnsi="Abadi"/>
          <w:sz w:val="21"/>
          <w:szCs w:val="21"/>
        </w:rPr>
      </w:pPr>
    </w:p>
    <w:p w14:paraId="5865FF00" w14:textId="77777777" w:rsidR="00DB032A" w:rsidRDefault="00DB032A" w:rsidP="00DB032A">
      <w:pPr>
        <w:jc w:val="both"/>
        <w:rPr>
          <w:rFonts w:ascii="Abadi" w:hAnsi="Abadi"/>
          <w:sz w:val="21"/>
          <w:szCs w:val="21"/>
        </w:rPr>
      </w:pPr>
      <w:r>
        <w:rPr>
          <w:rFonts w:ascii="Abadi" w:hAnsi="Abadi"/>
          <w:sz w:val="21"/>
          <w:szCs w:val="21"/>
        </w:rPr>
        <w:t>- A</w:t>
      </w:r>
      <w:r w:rsidRPr="0030088F">
        <w:rPr>
          <w:rFonts w:ascii="Abadi" w:hAnsi="Abadi"/>
          <w:sz w:val="21"/>
          <w:szCs w:val="21"/>
        </w:rPr>
        <w:t>delante</w:t>
      </w:r>
      <w:r>
        <w:rPr>
          <w:rFonts w:ascii="Abadi" w:hAnsi="Abadi"/>
          <w:sz w:val="21"/>
          <w:szCs w:val="21"/>
        </w:rPr>
        <w:t>.</w:t>
      </w:r>
    </w:p>
    <w:p w14:paraId="5BF4951D" w14:textId="77777777" w:rsidR="00DB032A" w:rsidRDefault="00DB032A" w:rsidP="00DB032A">
      <w:pPr>
        <w:jc w:val="both"/>
        <w:rPr>
          <w:rFonts w:ascii="Abadi" w:hAnsi="Abadi"/>
          <w:sz w:val="21"/>
          <w:szCs w:val="21"/>
        </w:rPr>
      </w:pPr>
    </w:p>
    <w:p w14:paraId="1CC71D67" w14:textId="77777777" w:rsidR="00216309" w:rsidRDefault="00216309" w:rsidP="00DB032A">
      <w:pPr>
        <w:jc w:val="both"/>
        <w:rPr>
          <w:rFonts w:ascii="Abadi" w:hAnsi="Abadi"/>
          <w:sz w:val="21"/>
          <w:szCs w:val="21"/>
        </w:rPr>
      </w:pPr>
    </w:p>
    <w:p w14:paraId="6128F436" w14:textId="77777777" w:rsidR="00216309" w:rsidRDefault="00216309" w:rsidP="00DB032A">
      <w:pPr>
        <w:jc w:val="both"/>
        <w:rPr>
          <w:rFonts w:ascii="Abadi" w:hAnsi="Abadi"/>
          <w:sz w:val="21"/>
          <w:szCs w:val="21"/>
        </w:rPr>
      </w:pPr>
    </w:p>
    <w:p w14:paraId="51096BE0" w14:textId="77777777" w:rsidR="00DB032A" w:rsidRDefault="00DB032A" w:rsidP="00DB032A">
      <w:pPr>
        <w:jc w:val="both"/>
        <w:rPr>
          <w:rFonts w:ascii="Abadi" w:hAnsi="Abadi"/>
          <w:b/>
          <w:bCs/>
          <w:sz w:val="21"/>
          <w:szCs w:val="21"/>
        </w:rPr>
      </w:pPr>
      <w:r w:rsidRPr="000365F3">
        <w:rPr>
          <w:rFonts w:ascii="Abadi" w:hAnsi="Abadi"/>
          <w:b/>
          <w:bCs/>
          <w:sz w:val="21"/>
          <w:szCs w:val="21"/>
        </w:rPr>
        <w:lastRenderedPageBreak/>
        <w:t>(Sube a tribuna la diputada Alma Edwviges Alcaraz, para hablar en contra del dictamen en referencia)</w:t>
      </w:r>
    </w:p>
    <w:p w14:paraId="717C5141" w14:textId="77777777" w:rsidR="00DB032A" w:rsidRDefault="00DB032A" w:rsidP="00DB032A">
      <w:pPr>
        <w:jc w:val="both"/>
        <w:rPr>
          <w:rFonts w:ascii="Abadi" w:hAnsi="Abadi"/>
          <w:b/>
          <w:bCs/>
          <w:sz w:val="21"/>
          <w:szCs w:val="21"/>
        </w:rPr>
      </w:pPr>
    </w:p>
    <w:p w14:paraId="4946257F" w14:textId="77777777" w:rsidR="00DB032A" w:rsidRDefault="00DB032A" w:rsidP="00DB032A">
      <w:pPr>
        <w:jc w:val="both"/>
        <w:rPr>
          <w:rFonts w:ascii="Abadi" w:hAnsi="Abadi"/>
          <w:b/>
          <w:bCs/>
          <w:sz w:val="21"/>
          <w:szCs w:val="21"/>
        </w:rPr>
      </w:pPr>
    </w:p>
    <w:p w14:paraId="23194EC8" w14:textId="77777777" w:rsidR="00DB032A" w:rsidRDefault="00DB032A" w:rsidP="00DB032A">
      <w:pPr>
        <w:jc w:val="both"/>
        <w:rPr>
          <w:rFonts w:ascii="Abadi" w:hAnsi="Abadi"/>
          <w:b/>
          <w:bCs/>
          <w:sz w:val="21"/>
          <w:szCs w:val="21"/>
        </w:rPr>
      </w:pPr>
      <w:r>
        <w:rPr>
          <w:noProof/>
        </w:rPr>
        <w:drawing>
          <wp:anchor distT="0" distB="0" distL="114300" distR="114300" simplePos="0" relativeHeight="251678742" behindDoc="1" locked="0" layoutInCell="1" allowOverlap="1" wp14:anchorId="1DC2088C" wp14:editId="37CE9DAE">
            <wp:simplePos x="0" y="0"/>
            <wp:positionH relativeFrom="column">
              <wp:posOffset>574222</wp:posOffset>
            </wp:positionH>
            <wp:positionV relativeFrom="paragraph">
              <wp:posOffset>108767</wp:posOffset>
            </wp:positionV>
            <wp:extent cx="1434084" cy="744415"/>
            <wp:effectExtent l="247650" t="228600" r="242570" b="760730"/>
            <wp:wrapTight wrapText="bothSides">
              <wp:wrapPolygon edited="0">
                <wp:start x="-3731" y="-6635"/>
                <wp:lineTo x="-3731" y="43126"/>
                <wp:lineTo x="24967" y="43126"/>
                <wp:lineTo x="24967" y="30962"/>
                <wp:lineTo x="21236" y="28751"/>
                <wp:lineTo x="20950" y="28751"/>
                <wp:lineTo x="24967" y="26539"/>
                <wp:lineTo x="24967" y="-6635"/>
                <wp:lineTo x="-3731" y="-6635"/>
              </wp:wrapPolygon>
            </wp:wrapTight>
            <wp:docPr id="1085778035" name="Imagen 1085778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778035" name=""/>
                    <pic:cNvPicPr/>
                  </pic:nvPicPr>
                  <pic:blipFill rotWithShape="1">
                    <a:blip r:embed="rId71" cstate="print">
                      <a:extLst>
                        <a:ext uri="{28A0092B-C50C-407E-A947-70E740481C1C}">
                          <a14:useLocalDpi xmlns:a14="http://schemas.microsoft.com/office/drawing/2010/main" val="0"/>
                        </a:ext>
                      </a:extLst>
                    </a:blip>
                    <a:srcRect b="7711"/>
                    <a:stretch/>
                  </pic:blipFill>
                  <pic:spPr bwMode="auto">
                    <a:xfrm>
                      <a:off x="0" y="0"/>
                      <a:ext cx="1434084" cy="7444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CF019BD" w14:textId="77777777" w:rsidR="00DB032A" w:rsidRDefault="00DB032A" w:rsidP="00DB032A">
      <w:pPr>
        <w:jc w:val="both"/>
        <w:rPr>
          <w:rFonts w:ascii="Abadi" w:hAnsi="Abadi"/>
          <w:b/>
          <w:bCs/>
          <w:sz w:val="21"/>
          <w:szCs w:val="21"/>
        </w:rPr>
      </w:pPr>
    </w:p>
    <w:p w14:paraId="42181B49" w14:textId="77777777" w:rsidR="00DB032A" w:rsidRDefault="00DB032A" w:rsidP="00DB032A">
      <w:pPr>
        <w:jc w:val="both"/>
        <w:rPr>
          <w:rFonts w:ascii="Abadi" w:hAnsi="Abadi"/>
          <w:b/>
          <w:bCs/>
          <w:sz w:val="21"/>
          <w:szCs w:val="21"/>
        </w:rPr>
      </w:pPr>
    </w:p>
    <w:p w14:paraId="31DB9F21" w14:textId="77777777" w:rsidR="00DB032A" w:rsidRDefault="00DB032A" w:rsidP="00DB032A">
      <w:pPr>
        <w:jc w:val="both"/>
        <w:rPr>
          <w:rFonts w:ascii="Abadi" w:hAnsi="Abadi"/>
          <w:b/>
          <w:bCs/>
          <w:sz w:val="21"/>
          <w:szCs w:val="21"/>
        </w:rPr>
      </w:pPr>
    </w:p>
    <w:p w14:paraId="51748623" w14:textId="77777777" w:rsidR="00DB032A" w:rsidRDefault="00DB032A" w:rsidP="00DB032A">
      <w:pPr>
        <w:jc w:val="both"/>
        <w:rPr>
          <w:rFonts w:ascii="Abadi" w:hAnsi="Abadi"/>
          <w:b/>
          <w:bCs/>
          <w:sz w:val="21"/>
          <w:szCs w:val="21"/>
        </w:rPr>
      </w:pPr>
    </w:p>
    <w:p w14:paraId="7E4ABBB0" w14:textId="77777777" w:rsidR="00DB032A" w:rsidRDefault="00DB032A" w:rsidP="00DB032A">
      <w:pPr>
        <w:jc w:val="both"/>
        <w:rPr>
          <w:rFonts w:ascii="Abadi" w:hAnsi="Abadi"/>
          <w:b/>
          <w:bCs/>
          <w:sz w:val="21"/>
          <w:szCs w:val="21"/>
        </w:rPr>
      </w:pPr>
    </w:p>
    <w:p w14:paraId="140F3A03" w14:textId="77777777" w:rsidR="00DB032A" w:rsidRDefault="00DB032A" w:rsidP="00DB032A">
      <w:pPr>
        <w:jc w:val="both"/>
        <w:rPr>
          <w:rFonts w:ascii="Abadi" w:hAnsi="Abadi"/>
          <w:b/>
          <w:bCs/>
          <w:sz w:val="21"/>
          <w:szCs w:val="21"/>
        </w:rPr>
      </w:pPr>
    </w:p>
    <w:p w14:paraId="27314E4C" w14:textId="77777777" w:rsidR="00DB032A" w:rsidRDefault="00DB032A" w:rsidP="00DB032A">
      <w:pPr>
        <w:jc w:val="both"/>
        <w:rPr>
          <w:rFonts w:ascii="Abadi" w:hAnsi="Abadi"/>
          <w:b/>
          <w:bCs/>
          <w:sz w:val="21"/>
          <w:szCs w:val="21"/>
        </w:rPr>
      </w:pPr>
    </w:p>
    <w:p w14:paraId="29957ED8" w14:textId="77777777" w:rsidR="00DB032A" w:rsidRDefault="00DB032A" w:rsidP="00DB032A">
      <w:pPr>
        <w:jc w:val="both"/>
        <w:rPr>
          <w:rFonts w:ascii="Abadi" w:hAnsi="Abadi"/>
          <w:b/>
          <w:bCs/>
          <w:sz w:val="21"/>
          <w:szCs w:val="21"/>
        </w:rPr>
      </w:pPr>
    </w:p>
    <w:p w14:paraId="672FF803" w14:textId="77777777" w:rsidR="00DB032A" w:rsidRDefault="00DB032A" w:rsidP="00DB032A">
      <w:pPr>
        <w:jc w:val="both"/>
        <w:rPr>
          <w:rFonts w:ascii="Abadi" w:hAnsi="Abadi"/>
          <w:b/>
          <w:bCs/>
          <w:sz w:val="21"/>
          <w:szCs w:val="21"/>
        </w:rPr>
      </w:pPr>
    </w:p>
    <w:p w14:paraId="364A793C" w14:textId="77777777" w:rsidR="00DB032A" w:rsidRDefault="00DB032A" w:rsidP="00DB032A">
      <w:pPr>
        <w:jc w:val="both"/>
        <w:rPr>
          <w:rFonts w:ascii="Abadi" w:hAnsi="Abadi"/>
          <w:b/>
          <w:bCs/>
          <w:sz w:val="21"/>
          <w:szCs w:val="21"/>
        </w:rPr>
      </w:pPr>
    </w:p>
    <w:p w14:paraId="6219CD15" w14:textId="77777777" w:rsidR="00DB032A" w:rsidRPr="000365F3" w:rsidRDefault="00DB032A" w:rsidP="00DB032A">
      <w:pPr>
        <w:jc w:val="both"/>
        <w:rPr>
          <w:rFonts w:ascii="Abadi" w:hAnsi="Abadi"/>
          <w:b/>
          <w:bCs/>
          <w:sz w:val="21"/>
          <w:szCs w:val="21"/>
        </w:rPr>
      </w:pPr>
    </w:p>
    <w:p w14:paraId="12DD9A1D" w14:textId="77777777" w:rsidR="00DB032A" w:rsidRDefault="00DB032A" w:rsidP="00DB032A">
      <w:pPr>
        <w:jc w:val="both"/>
        <w:rPr>
          <w:rFonts w:ascii="Abadi" w:hAnsi="Abadi"/>
          <w:sz w:val="21"/>
          <w:szCs w:val="21"/>
        </w:rPr>
      </w:pPr>
      <w:r w:rsidRPr="0030088F">
        <w:rPr>
          <w:rFonts w:ascii="Abadi" w:hAnsi="Abadi"/>
          <w:sz w:val="21"/>
          <w:szCs w:val="21"/>
        </w:rPr>
        <w:t xml:space="preserve"> No pues</w:t>
      </w:r>
      <w:r>
        <w:rPr>
          <w:rFonts w:ascii="Abadi" w:hAnsi="Abadi"/>
          <w:sz w:val="21"/>
          <w:szCs w:val="21"/>
        </w:rPr>
        <w:t>,</w:t>
      </w:r>
      <w:r w:rsidRPr="0030088F">
        <w:rPr>
          <w:rFonts w:ascii="Abadi" w:hAnsi="Abadi"/>
          <w:sz w:val="21"/>
          <w:szCs w:val="21"/>
        </w:rPr>
        <w:t xml:space="preserve"> hago uso de esta tribuna nuevamente</w:t>
      </w:r>
      <w:r>
        <w:rPr>
          <w:rFonts w:ascii="Abadi" w:hAnsi="Abadi"/>
          <w:sz w:val="21"/>
          <w:szCs w:val="21"/>
        </w:rPr>
        <w:t>,</w:t>
      </w:r>
      <w:r w:rsidRPr="0030088F">
        <w:rPr>
          <w:rFonts w:ascii="Abadi" w:hAnsi="Abadi"/>
          <w:sz w:val="21"/>
          <w:szCs w:val="21"/>
        </w:rPr>
        <w:t xml:space="preserve"> buena tarde</w:t>
      </w:r>
      <w:r>
        <w:rPr>
          <w:rFonts w:ascii="Abadi" w:hAnsi="Abadi"/>
          <w:sz w:val="21"/>
          <w:szCs w:val="21"/>
        </w:rPr>
        <w:t>,</w:t>
      </w:r>
      <w:r w:rsidRPr="0030088F">
        <w:rPr>
          <w:rFonts w:ascii="Abadi" w:hAnsi="Abadi"/>
          <w:sz w:val="21"/>
          <w:szCs w:val="21"/>
        </w:rPr>
        <w:t xml:space="preserve"> para hablar en contra del punto 32 y de qué se trata el punto 32</w:t>
      </w:r>
      <w:r>
        <w:rPr>
          <w:rFonts w:ascii="Abadi" w:hAnsi="Abadi"/>
          <w:sz w:val="21"/>
          <w:szCs w:val="21"/>
        </w:rPr>
        <w:t>,</w:t>
      </w:r>
      <w:r w:rsidRPr="0030088F">
        <w:rPr>
          <w:rFonts w:ascii="Abadi" w:hAnsi="Abadi"/>
          <w:sz w:val="21"/>
          <w:szCs w:val="21"/>
        </w:rPr>
        <w:t xml:space="preserve"> pues el punto 32</w:t>
      </w:r>
      <w:r>
        <w:rPr>
          <w:rFonts w:ascii="Abadi" w:hAnsi="Abadi"/>
          <w:sz w:val="21"/>
          <w:szCs w:val="21"/>
        </w:rPr>
        <w:t>,</w:t>
      </w:r>
      <w:r w:rsidRPr="0030088F">
        <w:rPr>
          <w:rFonts w:ascii="Abadi" w:hAnsi="Abadi"/>
          <w:sz w:val="21"/>
          <w:szCs w:val="21"/>
        </w:rPr>
        <w:t xml:space="preserve"> se trata de una auditoría que se mandó a hacer a petición de diputados</w:t>
      </w:r>
      <w:r>
        <w:rPr>
          <w:rFonts w:ascii="Abadi" w:hAnsi="Abadi"/>
          <w:sz w:val="21"/>
          <w:szCs w:val="21"/>
        </w:rPr>
        <w:t>,</w:t>
      </w:r>
      <w:r w:rsidRPr="0030088F">
        <w:rPr>
          <w:rFonts w:ascii="Abadi" w:hAnsi="Abadi"/>
          <w:sz w:val="21"/>
          <w:szCs w:val="21"/>
        </w:rPr>
        <w:t xml:space="preserve"> diputadas</w:t>
      </w:r>
      <w:r>
        <w:rPr>
          <w:rFonts w:ascii="Abadi" w:hAnsi="Abadi"/>
          <w:sz w:val="21"/>
          <w:szCs w:val="21"/>
        </w:rPr>
        <w:t>,</w:t>
      </w:r>
      <w:r w:rsidRPr="0030088F">
        <w:rPr>
          <w:rFonts w:ascii="Abadi" w:hAnsi="Abadi"/>
          <w:sz w:val="21"/>
          <w:szCs w:val="21"/>
        </w:rPr>
        <w:t xml:space="preserve"> de este </w:t>
      </w:r>
      <w:r>
        <w:rPr>
          <w:rFonts w:ascii="Abadi" w:hAnsi="Abadi"/>
          <w:sz w:val="21"/>
          <w:szCs w:val="21"/>
        </w:rPr>
        <w:t>C</w:t>
      </w:r>
      <w:r w:rsidRPr="0030088F">
        <w:rPr>
          <w:rFonts w:ascii="Abadi" w:hAnsi="Abadi"/>
          <w:sz w:val="21"/>
          <w:szCs w:val="21"/>
        </w:rPr>
        <w:t xml:space="preserve">ongreso </w:t>
      </w:r>
      <w:r>
        <w:rPr>
          <w:rFonts w:ascii="Abadi" w:hAnsi="Abadi"/>
          <w:sz w:val="21"/>
          <w:szCs w:val="21"/>
        </w:rPr>
        <w:t>L</w:t>
      </w:r>
      <w:r w:rsidRPr="0030088F">
        <w:rPr>
          <w:rFonts w:ascii="Abadi" w:hAnsi="Abadi"/>
          <w:sz w:val="21"/>
          <w:szCs w:val="21"/>
        </w:rPr>
        <w:t xml:space="preserve">ocal al municipio de </w:t>
      </w:r>
      <w:r>
        <w:rPr>
          <w:rFonts w:ascii="Abadi" w:hAnsi="Abadi"/>
          <w:sz w:val="21"/>
          <w:szCs w:val="21"/>
        </w:rPr>
        <w:t>S</w:t>
      </w:r>
      <w:r w:rsidRPr="0030088F">
        <w:rPr>
          <w:rFonts w:ascii="Abadi" w:hAnsi="Abadi"/>
          <w:sz w:val="21"/>
          <w:szCs w:val="21"/>
        </w:rPr>
        <w:t>alamanca donde se solicitó auditar el año 2018</w:t>
      </w:r>
      <w:r>
        <w:rPr>
          <w:rFonts w:ascii="Abadi" w:hAnsi="Abadi"/>
          <w:sz w:val="21"/>
          <w:szCs w:val="21"/>
        </w:rPr>
        <w:t>,</w:t>
      </w:r>
      <w:r w:rsidRPr="0030088F">
        <w:rPr>
          <w:rFonts w:ascii="Abadi" w:hAnsi="Abadi"/>
          <w:sz w:val="21"/>
          <w:szCs w:val="21"/>
        </w:rPr>
        <w:t xml:space="preserve"> 2019</w:t>
      </w:r>
      <w:r>
        <w:rPr>
          <w:rFonts w:ascii="Abadi" w:hAnsi="Abadi"/>
          <w:sz w:val="21"/>
          <w:szCs w:val="21"/>
        </w:rPr>
        <w:t>,</w:t>
      </w:r>
      <w:r w:rsidRPr="0030088F">
        <w:rPr>
          <w:rFonts w:ascii="Abadi" w:hAnsi="Abadi"/>
          <w:sz w:val="21"/>
          <w:szCs w:val="21"/>
        </w:rPr>
        <w:t xml:space="preserve"> 2020</w:t>
      </w:r>
      <w:r>
        <w:rPr>
          <w:rFonts w:ascii="Abadi" w:hAnsi="Abadi"/>
          <w:sz w:val="21"/>
          <w:szCs w:val="21"/>
        </w:rPr>
        <w:t>,</w:t>
      </w:r>
      <w:r w:rsidRPr="0030088F">
        <w:rPr>
          <w:rFonts w:ascii="Abadi" w:hAnsi="Abadi"/>
          <w:sz w:val="21"/>
          <w:szCs w:val="21"/>
        </w:rPr>
        <w:t xml:space="preserve"> incluso hasta el 20 de diciembre esto ocurrió </w:t>
      </w:r>
      <w:r>
        <w:rPr>
          <w:rFonts w:ascii="Abadi" w:hAnsi="Abadi"/>
          <w:sz w:val="21"/>
          <w:szCs w:val="21"/>
        </w:rPr>
        <w:t>¡</w:t>
      </w:r>
      <w:r w:rsidRPr="0030088F">
        <w:rPr>
          <w:rFonts w:ascii="Abadi" w:hAnsi="Abadi"/>
          <w:sz w:val="21"/>
          <w:szCs w:val="21"/>
        </w:rPr>
        <w:t>perdón</w:t>
      </w:r>
      <w:r>
        <w:rPr>
          <w:rFonts w:ascii="Abadi" w:hAnsi="Abadi"/>
          <w:sz w:val="21"/>
          <w:szCs w:val="21"/>
        </w:rPr>
        <w:t>!</w:t>
      </w:r>
      <w:r w:rsidRPr="0030088F">
        <w:rPr>
          <w:rFonts w:ascii="Abadi" w:hAnsi="Abadi"/>
          <w:sz w:val="21"/>
          <w:szCs w:val="21"/>
        </w:rPr>
        <w:t xml:space="preserve"> el 20/12/2021 y también parte del 2021 en aquel momento como se trataba de una propuesta de auditoría a una administración 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pues no tuvieron inconveniente en aprobarla y se aprobó esta auditoría aunque ya se había revisado</w:t>
      </w:r>
      <w:r>
        <w:rPr>
          <w:rFonts w:ascii="Abadi" w:hAnsi="Abadi"/>
          <w:sz w:val="21"/>
          <w:szCs w:val="21"/>
        </w:rPr>
        <w:t>,</w:t>
      </w:r>
      <w:r w:rsidRPr="0030088F">
        <w:rPr>
          <w:rFonts w:ascii="Abadi" w:hAnsi="Abadi"/>
          <w:sz w:val="21"/>
          <w:szCs w:val="21"/>
        </w:rPr>
        <w:t xml:space="preserve"> fíjense bien</w:t>
      </w:r>
      <w:r>
        <w:rPr>
          <w:rFonts w:ascii="Abadi" w:hAnsi="Abadi"/>
          <w:sz w:val="21"/>
          <w:szCs w:val="21"/>
        </w:rPr>
        <w:t>,</w:t>
      </w:r>
      <w:r w:rsidRPr="0030088F">
        <w:rPr>
          <w:rFonts w:ascii="Abadi" w:hAnsi="Abadi"/>
          <w:sz w:val="21"/>
          <w:szCs w:val="21"/>
        </w:rPr>
        <w:t xml:space="preserve"> ya se había revisado el periodo de cada una de ellas e incluso nosotros desde </w:t>
      </w:r>
      <w:r>
        <w:rPr>
          <w:rFonts w:ascii="Abadi" w:hAnsi="Abadi"/>
          <w:sz w:val="21"/>
          <w:szCs w:val="21"/>
        </w:rPr>
        <w:t>M</w:t>
      </w:r>
      <w:r w:rsidRPr="0030088F">
        <w:rPr>
          <w:rFonts w:ascii="Abadi" w:hAnsi="Abadi"/>
          <w:sz w:val="21"/>
          <w:szCs w:val="21"/>
        </w:rPr>
        <w:t xml:space="preserve">orena y por la congruencia con la rendición de cuentas dijimos va a la propuesta ya acompañamos esta </w:t>
      </w:r>
      <w:r>
        <w:rPr>
          <w:rFonts w:ascii="Abadi" w:hAnsi="Abadi"/>
          <w:sz w:val="21"/>
          <w:szCs w:val="21"/>
        </w:rPr>
        <w:t>A</w:t>
      </w:r>
      <w:r w:rsidRPr="0030088F">
        <w:rPr>
          <w:rFonts w:ascii="Abadi" w:hAnsi="Abadi"/>
          <w:sz w:val="21"/>
          <w:szCs w:val="21"/>
        </w:rPr>
        <w:t xml:space="preserve">uditoría </w:t>
      </w:r>
      <w:r>
        <w:rPr>
          <w:rFonts w:ascii="Abadi" w:hAnsi="Abadi"/>
          <w:sz w:val="21"/>
          <w:szCs w:val="21"/>
        </w:rPr>
        <w:t>E</w:t>
      </w:r>
      <w:r w:rsidRPr="0030088F">
        <w:rPr>
          <w:rFonts w:ascii="Abadi" w:hAnsi="Abadi"/>
          <w:sz w:val="21"/>
          <w:szCs w:val="21"/>
        </w:rPr>
        <w:t>specífica de nueva cuenta</w:t>
      </w:r>
      <w:r>
        <w:rPr>
          <w:rFonts w:ascii="Abadi" w:hAnsi="Abadi"/>
          <w:sz w:val="21"/>
          <w:szCs w:val="21"/>
        </w:rPr>
        <w:t>,</w:t>
      </w:r>
      <w:r w:rsidRPr="0030088F">
        <w:rPr>
          <w:rFonts w:ascii="Abadi" w:hAnsi="Abadi"/>
          <w:sz w:val="21"/>
          <w:szCs w:val="21"/>
        </w:rPr>
        <w:t xml:space="preserve"> que se revise lo que se tenga que revisar todo aquello que no se revisó en su momento</w:t>
      </w:r>
      <w:r>
        <w:rPr>
          <w:rFonts w:ascii="Abadi" w:hAnsi="Abadi"/>
          <w:sz w:val="21"/>
          <w:szCs w:val="21"/>
        </w:rPr>
        <w:t>,</w:t>
      </w:r>
      <w:r w:rsidRPr="0030088F">
        <w:rPr>
          <w:rFonts w:ascii="Abadi" w:hAnsi="Abadi"/>
          <w:sz w:val="21"/>
          <w:szCs w:val="21"/>
        </w:rPr>
        <w:t xml:space="preserve"> que se</w:t>
      </w:r>
      <w:r>
        <w:rPr>
          <w:rFonts w:ascii="Abadi" w:hAnsi="Abadi"/>
          <w:sz w:val="21"/>
          <w:szCs w:val="21"/>
        </w:rPr>
        <w:t>,</w:t>
      </w:r>
      <w:r w:rsidRPr="0030088F">
        <w:rPr>
          <w:rFonts w:ascii="Abadi" w:hAnsi="Abadi"/>
          <w:sz w:val="21"/>
          <w:szCs w:val="21"/>
        </w:rPr>
        <w:t xml:space="preserve"> que se vuelva a revisar</w:t>
      </w:r>
      <w:r>
        <w:rPr>
          <w:rFonts w:ascii="Abadi" w:hAnsi="Abadi"/>
          <w:sz w:val="21"/>
          <w:szCs w:val="21"/>
        </w:rPr>
        <w:t>,</w:t>
      </w:r>
      <w:r w:rsidRPr="0030088F">
        <w:rPr>
          <w:rFonts w:ascii="Abadi" w:hAnsi="Abadi"/>
          <w:sz w:val="21"/>
          <w:szCs w:val="21"/>
        </w:rPr>
        <w:t xml:space="preserve"> sin embargo en esta misma sesión en esta sesión del día de hoy el </w:t>
      </w:r>
      <w:r>
        <w:rPr>
          <w:rFonts w:ascii="Abadi" w:hAnsi="Abadi"/>
          <w:sz w:val="21"/>
          <w:szCs w:val="21"/>
        </w:rPr>
        <w:t>P</w:t>
      </w:r>
      <w:r w:rsidRPr="0030088F">
        <w:rPr>
          <w:rFonts w:ascii="Abadi" w:hAnsi="Abadi"/>
          <w:sz w:val="21"/>
          <w:szCs w:val="21"/>
        </w:rPr>
        <w:t xml:space="preserve">artido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 xml:space="preserve">acional mostró de nuevo la incongruencia con la cual se dirigen y se mantienen como en el caso del </w:t>
      </w:r>
      <w:r>
        <w:rPr>
          <w:rFonts w:ascii="Abadi" w:hAnsi="Abadi"/>
          <w:sz w:val="21"/>
          <w:szCs w:val="21"/>
        </w:rPr>
        <w:t xml:space="preserve">FIDESSEG, </w:t>
      </w:r>
      <w:r w:rsidRPr="0030088F">
        <w:rPr>
          <w:rFonts w:ascii="Abadi" w:hAnsi="Abadi"/>
          <w:sz w:val="21"/>
          <w:szCs w:val="21"/>
        </w:rPr>
        <w:t>porque ahora resulta</w:t>
      </w:r>
      <w:r>
        <w:rPr>
          <w:rFonts w:ascii="Abadi" w:hAnsi="Abadi"/>
          <w:sz w:val="21"/>
          <w:szCs w:val="21"/>
        </w:rPr>
        <w:t>,</w:t>
      </w:r>
      <w:r w:rsidRPr="0030088F">
        <w:rPr>
          <w:rFonts w:ascii="Abadi" w:hAnsi="Abadi"/>
          <w:sz w:val="21"/>
          <w:szCs w:val="21"/>
        </w:rPr>
        <w:t xml:space="preserve"> que cuando se trata de una propuesta hacia un fideicomiso opaco</w:t>
      </w:r>
      <w:r>
        <w:rPr>
          <w:rFonts w:ascii="Abadi" w:hAnsi="Abadi"/>
          <w:sz w:val="21"/>
          <w:szCs w:val="21"/>
        </w:rPr>
        <w:t>,</w:t>
      </w:r>
      <w:r w:rsidRPr="0030088F">
        <w:rPr>
          <w:rFonts w:ascii="Abadi" w:hAnsi="Abadi"/>
          <w:sz w:val="21"/>
          <w:szCs w:val="21"/>
        </w:rPr>
        <w:t xml:space="preserve"> justifica su negativa con argumentos inaplicables completamente</w:t>
      </w:r>
      <w:r>
        <w:rPr>
          <w:rFonts w:ascii="Abadi" w:hAnsi="Abadi"/>
          <w:sz w:val="21"/>
          <w:szCs w:val="21"/>
        </w:rPr>
        <w:t>,</w:t>
      </w:r>
      <w:r w:rsidRPr="0030088F">
        <w:rPr>
          <w:rFonts w:ascii="Abadi" w:hAnsi="Abadi"/>
          <w:sz w:val="21"/>
          <w:szCs w:val="21"/>
        </w:rPr>
        <w:t xml:space="preserve"> un en un municipio puede haber salida de recursos públicos</w:t>
      </w:r>
      <w:r>
        <w:rPr>
          <w:rFonts w:ascii="Abadi" w:hAnsi="Abadi"/>
          <w:sz w:val="21"/>
          <w:szCs w:val="21"/>
        </w:rPr>
        <w:t>,</w:t>
      </w:r>
      <w:r w:rsidRPr="0030088F">
        <w:rPr>
          <w:rFonts w:ascii="Abadi" w:hAnsi="Abadi"/>
          <w:sz w:val="21"/>
          <w:szCs w:val="21"/>
        </w:rPr>
        <w:t xml:space="preserve"> </w:t>
      </w:r>
      <w:r>
        <w:rPr>
          <w:rFonts w:ascii="Abadi" w:hAnsi="Abadi"/>
          <w:sz w:val="21"/>
          <w:szCs w:val="21"/>
        </w:rPr>
        <w:t>c</w:t>
      </w:r>
      <w:r w:rsidRPr="0030088F">
        <w:rPr>
          <w:rFonts w:ascii="Abadi" w:hAnsi="Abadi"/>
          <w:sz w:val="21"/>
          <w:szCs w:val="21"/>
        </w:rPr>
        <w:t>laro que puede haber</w:t>
      </w:r>
      <w:r>
        <w:rPr>
          <w:rFonts w:ascii="Abadi" w:hAnsi="Abadi"/>
          <w:sz w:val="21"/>
          <w:szCs w:val="21"/>
        </w:rPr>
        <w:t>,</w:t>
      </w:r>
      <w:r w:rsidRPr="0030088F">
        <w:rPr>
          <w:rFonts w:ascii="Abadi" w:hAnsi="Abadi"/>
          <w:sz w:val="21"/>
          <w:szCs w:val="21"/>
        </w:rPr>
        <w:t xml:space="preserve"> pero en un fideicomiso eso se multiplica a la </w:t>
      </w:r>
      <w:r>
        <w:rPr>
          <w:rFonts w:ascii="Abadi" w:hAnsi="Abadi"/>
          <w:sz w:val="21"/>
          <w:szCs w:val="21"/>
        </w:rPr>
        <w:t>N</w:t>
      </w:r>
      <w:r w:rsidRPr="0030088F">
        <w:rPr>
          <w:rFonts w:ascii="Abadi" w:hAnsi="Abadi"/>
          <w:sz w:val="21"/>
          <w:szCs w:val="21"/>
        </w:rPr>
        <w:t xml:space="preserve"> potencia y no dicho por nosotros</w:t>
      </w:r>
      <w:r>
        <w:rPr>
          <w:rFonts w:ascii="Abadi" w:hAnsi="Abadi"/>
          <w:sz w:val="21"/>
          <w:szCs w:val="21"/>
        </w:rPr>
        <w:t xml:space="preserve">, </w:t>
      </w:r>
      <w:r w:rsidRPr="0030088F">
        <w:rPr>
          <w:rFonts w:ascii="Abadi" w:hAnsi="Abadi"/>
          <w:sz w:val="21"/>
          <w:szCs w:val="21"/>
        </w:rPr>
        <w:t xml:space="preserve">dicho por la </w:t>
      </w:r>
      <w:r>
        <w:rPr>
          <w:rFonts w:ascii="Abadi" w:hAnsi="Abadi"/>
          <w:sz w:val="21"/>
          <w:szCs w:val="21"/>
        </w:rPr>
        <w:t>A</w:t>
      </w:r>
      <w:r w:rsidRPr="0030088F">
        <w:rPr>
          <w:rFonts w:ascii="Abadi" w:hAnsi="Abadi"/>
          <w:sz w:val="21"/>
          <w:szCs w:val="21"/>
        </w:rPr>
        <w:t xml:space="preserve">uditoría </w:t>
      </w:r>
      <w:r>
        <w:rPr>
          <w:rFonts w:ascii="Abadi" w:hAnsi="Abadi"/>
          <w:sz w:val="21"/>
          <w:szCs w:val="21"/>
        </w:rPr>
        <w:t>S</w:t>
      </w:r>
      <w:r w:rsidRPr="0030088F">
        <w:rPr>
          <w:rFonts w:ascii="Abadi" w:hAnsi="Abadi"/>
          <w:sz w:val="21"/>
          <w:szCs w:val="21"/>
        </w:rPr>
        <w:t xml:space="preserve">uperior de la </w:t>
      </w:r>
      <w:r>
        <w:rPr>
          <w:rFonts w:ascii="Abadi" w:hAnsi="Abadi"/>
          <w:sz w:val="21"/>
          <w:szCs w:val="21"/>
        </w:rPr>
        <w:t>F</w:t>
      </w:r>
      <w:r w:rsidRPr="0030088F">
        <w:rPr>
          <w:rFonts w:ascii="Abadi" w:hAnsi="Abadi"/>
          <w:sz w:val="21"/>
          <w:szCs w:val="21"/>
        </w:rPr>
        <w:t>ederación</w:t>
      </w:r>
      <w:r>
        <w:rPr>
          <w:rFonts w:ascii="Abadi" w:hAnsi="Abadi"/>
          <w:sz w:val="21"/>
          <w:szCs w:val="21"/>
        </w:rPr>
        <w:t>,</w:t>
      </w:r>
      <w:r w:rsidRPr="0030088F">
        <w:rPr>
          <w:rFonts w:ascii="Abadi" w:hAnsi="Abadi"/>
          <w:sz w:val="21"/>
          <w:szCs w:val="21"/>
        </w:rPr>
        <w:t xml:space="preserve"> dicho por fundar</w:t>
      </w:r>
      <w:r>
        <w:rPr>
          <w:rFonts w:ascii="Abadi" w:hAnsi="Abadi"/>
          <w:sz w:val="21"/>
          <w:szCs w:val="21"/>
        </w:rPr>
        <w:t>,</w:t>
      </w:r>
      <w:r w:rsidRPr="0030088F">
        <w:rPr>
          <w:rFonts w:ascii="Abadi" w:hAnsi="Abadi"/>
          <w:sz w:val="21"/>
          <w:szCs w:val="21"/>
        </w:rPr>
        <w:t xml:space="preserve"> qué es lo que ha dicho</w:t>
      </w:r>
      <w:r>
        <w:rPr>
          <w:rFonts w:ascii="Abadi" w:hAnsi="Abadi"/>
          <w:sz w:val="21"/>
          <w:szCs w:val="21"/>
        </w:rPr>
        <w:t>,</w:t>
      </w:r>
      <w:r w:rsidRPr="0030088F">
        <w:rPr>
          <w:rFonts w:ascii="Abadi" w:hAnsi="Abadi"/>
          <w:sz w:val="21"/>
          <w:szCs w:val="21"/>
        </w:rPr>
        <w:t xml:space="preserve"> fundar por ejemplo</w:t>
      </w:r>
      <w:r>
        <w:rPr>
          <w:rFonts w:ascii="Abadi" w:hAnsi="Abadi"/>
          <w:sz w:val="21"/>
          <w:szCs w:val="21"/>
        </w:rPr>
        <w:t>,</w:t>
      </w:r>
      <w:r w:rsidRPr="0030088F">
        <w:rPr>
          <w:rFonts w:ascii="Abadi" w:hAnsi="Abadi"/>
          <w:sz w:val="21"/>
          <w:szCs w:val="21"/>
        </w:rPr>
        <w:t xml:space="preserve"> ha dicho que las decisiones del gasto</w:t>
      </w:r>
      <w:r>
        <w:rPr>
          <w:rFonts w:ascii="Abadi" w:hAnsi="Abadi"/>
          <w:sz w:val="21"/>
          <w:szCs w:val="21"/>
        </w:rPr>
        <w:t>,</w:t>
      </w:r>
      <w:r w:rsidRPr="0030088F">
        <w:rPr>
          <w:rFonts w:ascii="Abadi" w:hAnsi="Abadi"/>
          <w:sz w:val="21"/>
          <w:szCs w:val="21"/>
        </w:rPr>
        <w:t xml:space="preserve"> en un fideicomiso suelen</w:t>
      </w:r>
      <w:r>
        <w:rPr>
          <w:rFonts w:ascii="Abadi" w:hAnsi="Abadi"/>
          <w:sz w:val="21"/>
          <w:szCs w:val="21"/>
        </w:rPr>
        <w:t>,</w:t>
      </w:r>
      <w:r w:rsidRPr="0030088F">
        <w:rPr>
          <w:rFonts w:ascii="Abadi" w:hAnsi="Abadi"/>
          <w:sz w:val="21"/>
          <w:szCs w:val="21"/>
        </w:rPr>
        <w:t xml:space="preserve"> concentrarse en comités </w:t>
      </w:r>
      <w:r w:rsidRPr="0030088F">
        <w:rPr>
          <w:rFonts w:ascii="Abadi" w:hAnsi="Abadi"/>
          <w:sz w:val="21"/>
          <w:szCs w:val="21"/>
        </w:rPr>
        <w:t>técnicos que generan espacios de discrecionalidad muy amplios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qué más dice fundar de los fideicomisos</w:t>
      </w:r>
      <w:r>
        <w:rPr>
          <w:rFonts w:ascii="Abadi" w:hAnsi="Abadi"/>
          <w:sz w:val="21"/>
          <w:szCs w:val="21"/>
        </w:rPr>
        <w:t>-</w:t>
      </w:r>
      <w:r w:rsidRPr="0030088F">
        <w:rPr>
          <w:rFonts w:ascii="Abadi" w:hAnsi="Abadi"/>
          <w:sz w:val="21"/>
          <w:szCs w:val="21"/>
        </w:rPr>
        <w:t xml:space="preserve"> que por lo general pues no suelen cumplir con los fines para los que fueron creados los fideicomisos</w:t>
      </w:r>
      <w:r>
        <w:rPr>
          <w:rFonts w:ascii="Abadi" w:hAnsi="Abadi"/>
          <w:sz w:val="21"/>
          <w:szCs w:val="21"/>
        </w:rPr>
        <w:t>-</w:t>
      </w:r>
      <w:r w:rsidRPr="0030088F">
        <w:rPr>
          <w:rFonts w:ascii="Abadi" w:hAnsi="Abadi"/>
          <w:sz w:val="21"/>
          <w:szCs w:val="21"/>
        </w:rPr>
        <w:t xml:space="preserve"> que se puede llegar a tener periodos largos de más de un ejercicio fiscal y no se realiza en gastos</w:t>
      </w:r>
      <w:r>
        <w:rPr>
          <w:rFonts w:ascii="Abadi" w:hAnsi="Abadi"/>
          <w:sz w:val="21"/>
          <w:szCs w:val="21"/>
        </w:rPr>
        <w:t>-</w:t>
      </w:r>
      <w:r w:rsidRPr="0030088F">
        <w:rPr>
          <w:rFonts w:ascii="Abadi" w:hAnsi="Abadi"/>
          <w:sz w:val="21"/>
          <w:szCs w:val="21"/>
        </w:rPr>
        <w:t xml:space="preserve"> como para hacer una bolsita para los momentos especiales de elecciones</w:t>
      </w:r>
      <w:r>
        <w:rPr>
          <w:rFonts w:ascii="Abadi" w:hAnsi="Abadi"/>
          <w:sz w:val="21"/>
          <w:szCs w:val="21"/>
        </w:rPr>
        <w:t>,</w:t>
      </w:r>
      <w:r w:rsidRPr="0030088F">
        <w:rPr>
          <w:rFonts w:ascii="Abadi" w:hAnsi="Abadi"/>
          <w:sz w:val="21"/>
          <w:szCs w:val="21"/>
        </w:rPr>
        <w:t xml:space="preserve"> también dice que suele haber irregularidades en los procesos de contratación</w:t>
      </w:r>
      <w:r>
        <w:rPr>
          <w:rFonts w:ascii="Abadi" w:hAnsi="Abadi"/>
          <w:sz w:val="21"/>
          <w:szCs w:val="21"/>
        </w:rPr>
        <w:t>,</w:t>
      </w:r>
      <w:r w:rsidRPr="0030088F">
        <w:rPr>
          <w:rFonts w:ascii="Abadi" w:hAnsi="Abadi"/>
          <w:sz w:val="21"/>
          <w:szCs w:val="21"/>
        </w:rPr>
        <w:t xml:space="preserve"> también dice que la información de la cuenta pública suele contener únicamente información global de la ejecución de los recursos públicos pues algo muy parecido pues a los informes de aquí</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esto entró esto salió si estamos en ceros y no hay más información y todos estos riesgos pues seguramente no seguramente están acreditados en el </w:t>
      </w:r>
      <w:r>
        <w:rPr>
          <w:rFonts w:ascii="Abadi" w:hAnsi="Abadi"/>
          <w:sz w:val="21"/>
          <w:szCs w:val="21"/>
        </w:rPr>
        <w:t>FIDESSEG</w:t>
      </w:r>
      <w:r w:rsidRPr="0030088F">
        <w:rPr>
          <w:rFonts w:ascii="Abadi" w:hAnsi="Abadi"/>
          <w:sz w:val="21"/>
          <w:szCs w:val="21"/>
        </w:rPr>
        <w:t xml:space="preserve"> por algo nosotros ya pusimos una denuncia penal</w:t>
      </w:r>
      <w:r>
        <w:rPr>
          <w:rFonts w:ascii="Abadi" w:hAnsi="Abadi"/>
          <w:sz w:val="21"/>
          <w:szCs w:val="21"/>
        </w:rPr>
        <w:t>,</w:t>
      </w:r>
      <w:r w:rsidRPr="0030088F">
        <w:rPr>
          <w:rFonts w:ascii="Abadi" w:hAnsi="Abadi"/>
          <w:sz w:val="21"/>
          <w:szCs w:val="21"/>
        </w:rPr>
        <w:t xml:space="preserve"> una denuncia penal donde estamos señalando presuntos actos de abuso de autoridad de peculado</w:t>
      </w:r>
      <w:r>
        <w:rPr>
          <w:rFonts w:ascii="Abadi" w:hAnsi="Abadi"/>
          <w:sz w:val="21"/>
          <w:szCs w:val="21"/>
        </w:rPr>
        <w:t>,</w:t>
      </w:r>
      <w:r w:rsidRPr="0030088F">
        <w:rPr>
          <w:rFonts w:ascii="Abadi" w:hAnsi="Abadi"/>
          <w:sz w:val="21"/>
          <w:szCs w:val="21"/>
        </w:rPr>
        <w:t xml:space="preserve"> de uso ilícito de atribuciones y facultades</w:t>
      </w:r>
      <w:r>
        <w:rPr>
          <w:rFonts w:ascii="Abadi" w:hAnsi="Abadi"/>
          <w:sz w:val="21"/>
          <w:szCs w:val="21"/>
        </w:rPr>
        <w:t>,</w:t>
      </w:r>
      <w:r w:rsidRPr="0030088F">
        <w:rPr>
          <w:rFonts w:ascii="Abadi" w:hAnsi="Abadi"/>
          <w:sz w:val="21"/>
          <w:szCs w:val="21"/>
        </w:rPr>
        <w:t xml:space="preserve"> de fraudes</w:t>
      </w:r>
      <w:r>
        <w:rPr>
          <w:rFonts w:ascii="Abadi" w:hAnsi="Abadi"/>
          <w:sz w:val="21"/>
          <w:szCs w:val="21"/>
        </w:rPr>
        <w:t>,</w:t>
      </w:r>
      <w:r w:rsidRPr="0030088F">
        <w:rPr>
          <w:rFonts w:ascii="Abadi" w:hAnsi="Abadi"/>
          <w:sz w:val="21"/>
          <w:szCs w:val="21"/>
        </w:rPr>
        <w:t xml:space="preserve"> de ejercicio abusivo de funciones</w:t>
      </w:r>
      <w:r>
        <w:rPr>
          <w:rFonts w:ascii="Abadi" w:hAnsi="Abadi"/>
          <w:sz w:val="21"/>
          <w:szCs w:val="21"/>
        </w:rPr>
        <w:t>,</w:t>
      </w:r>
      <w:r w:rsidRPr="0030088F">
        <w:rPr>
          <w:rFonts w:ascii="Abadi" w:hAnsi="Abadi"/>
          <w:sz w:val="21"/>
          <w:szCs w:val="21"/>
        </w:rPr>
        <w:t xml:space="preserve"> de asociación delictuosa</w:t>
      </w:r>
      <w:r>
        <w:rPr>
          <w:rFonts w:ascii="Abadi" w:hAnsi="Abadi"/>
          <w:sz w:val="21"/>
          <w:szCs w:val="21"/>
        </w:rPr>
        <w:t>,</w:t>
      </w:r>
      <w:r w:rsidRPr="0030088F">
        <w:rPr>
          <w:rFonts w:ascii="Abadi" w:hAnsi="Abadi"/>
          <w:sz w:val="21"/>
          <w:szCs w:val="21"/>
        </w:rPr>
        <w:t xml:space="preserve"> de ejercicio ilícito del servicio público todo eso estamos señalando justamente en la denuncia penal</w:t>
      </w:r>
      <w:r>
        <w:rPr>
          <w:rFonts w:ascii="Abadi" w:hAnsi="Abadi"/>
          <w:sz w:val="21"/>
          <w:szCs w:val="21"/>
        </w:rPr>
        <w:t>.</w:t>
      </w:r>
    </w:p>
    <w:p w14:paraId="5A6E0B32" w14:textId="77777777" w:rsidR="00DB032A" w:rsidRDefault="00DB032A" w:rsidP="00DB032A">
      <w:pPr>
        <w:jc w:val="both"/>
        <w:rPr>
          <w:rFonts w:ascii="Abadi" w:hAnsi="Abadi"/>
          <w:sz w:val="21"/>
          <w:szCs w:val="21"/>
        </w:rPr>
      </w:pPr>
    </w:p>
    <w:p w14:paraId="4AB07400" w14:textId="77777777" w:rsidR="00DB032A" w:rsidRDefault="00DB032A" w:rsidP="00DB032A">
      <w:pPr>
        <w:jc w:val="both"/>
        <w:rPr>
          <w:rFonts w:ascii="Abadi" w:hAnsi="Abadi"/>
          <w:sz w:val="21"/>
          <w:szCs w:val="21"/>
        </w:rPr>
      </w:pPr>
      <w:r>
        <w:rPr>
          <w:rFonts w:ascii="Abadi" w:hAnsi="Abadi"/>
          <w:sz w:val="21"/>
          <w:szCs w:val="21"/>
        </w:rPr>
        <w:t>- P</w:t>
      </w:r>
      <w:r w:rsidRPr="0030088F">
        <w:rPr>
          <w:rFonts w:ascii="Abadi" w:hAnsi="Abadi"/>
          <w:sz w:val="21"/>
          <w:szCs w:val="21"/>
        </w:rPr>
        <w:t xml:space="preserve">ero pues así el pan con una mano dicen que les gusta la transparencia pero con la otra su candidata a Libia </w:t>
      </w:r>
      <w:r>
        <w:rPr>
          <w:rFonts w:ascii="Abadi" w:hAnsi="Abadi"/>
          <w:sz w:val="21"/>
          <w:szCs w:val="21"/>
        </w:rPr>
        <w:t>D</w:t>
      </w:r>
      <w:r w:rsidRPr="0030088F">
        <w:rPr>
          <w:rFonts w:ascii="Abadi" w:hAnsi="Abadi"/>
          <w:sz w:val="21"/>
          <w:szCs w:val="21"/>
        </w:rPr>
        <w:t xml:space="preserve">enisse pide reservar la información por 3 años con una mano dicen que quieren rendición de cuentas y hasta proponen una auditoría al </w:t>
      </w:r>
      <w:r>
        <w:rPr>
          <w:rFonts w:ascii="Abadi" w:hAnsi="Abadi"/>
          <w:sz w:val="21"/>
          <w:szCs w:val="21"/>
        </w:rPr>
        <w:t>FIDESSEG</w:t>
      </w:r>
      <w:r w:rsidRPr="0030088F">
        <w:rPr>
          <w:rFonts w:ascii="Abadi" w:hAnsi="Abadi"/>
          <w:sz w:val="21"/>
          <w:szCs w:val="21"/>
        </w:rPr>
        <w:t xml:space="preserve"> del 2022 pero con la otra votan en contra de una auditoría profunda que revise el año 2019</w:t>
      </w:r>
      <w:r>
        <w:rPr>
          <w:rFonts w:ascii="Abadi" w:hAnsi="Abadi"/>
          <w:sz w:val="21"/>
          <w:szCs w:val="21"/>
        </w:rPr>
        <w:t>,</w:t>
      </w:r>
      <w:r w:rsidRPr="0030088F">
        <w:rPr>
          <w:rFonts w:ascii="Abadi" w:hAnsi="Abadi"/>
          <w:sz w:val="21"/>
          <w:szCs w:val="21"/>
        </w:rPr>
        <w:t xml:space="preserve"> el 2020</w:t>
      </w:r>
      <w:r>
        <w:rPr>
          <w:rFonts w:ascii="Abadi" w:hAnsi="Abadi"/>
          <w:sz w:val="21"/>
          <w:szCs w:val="21"/>
        </w:rPr>
        <w:t>,</w:t>
      </w:r>
      <w:r w:rsidRPr="0030088F">
        <w:rPr>
          <w:rFonts w:ascii="Abadi" w:hAnsi="Abadi"/>
          <w:sz w:val="21"/>
          <w:szCs w:val="21"/>
        </w:rPr>
        <w:t xml:space="preserve"> el 2021 y el 2022</w:t>
      </w:r>
      <w:r>
        <w:rPr>
          <w:rFonts w:ascii="Abadi" w:hAnsi="Abadi"/>
          <w:sz w:val="21"/>
          <w:szCs w:val="21"/>
        </w:rPr>
        <w:t>,</w:t>
      </w:r>
      <w:r w:rsidRPr="0030088F">
        <w:rPr>
          <w:rFonts w:ascii="Abadi" w:hAnsi="Abadi"/>
          <w:sz w:val="21"/>
          <w:szCs w:val="21"/>
        </w:rPr>
        <w:t xml:space="preserve"> con una mano dicen que ya van a desclasificar la información reservada</w:t>
      </w:r>
      <w:r>
        <w:rPr>
          <w:rFonts w:ascii="Abadi" w:hAnsi="Abadi"/>
          <w:sz w:val="21"/>
          <w:szCs w:val="21"/>
        </w:rPr>
        <w:t>,</w:t>
      </w:r>
      <w:r w:rsidRPr="0030088F">
        <w:rPr>
          <w:rFonts w:ascii="Abadi" w:hAnsi="Abadi"/>
          <w:sz w:val="21"/>
          <w:szCs w:val="21"/>
        </w:rPr>
        <w:t xml:space="preserve"> pero con la otra piden que se haga solo hasta dentro de varios meses</w:t>
      </w:r>
      <w:r>
        <w:rPr>
          <w:rFonts w:ascii="Abadi" w:hAnsi="Abadi"/>
          <w:sz w:val="21"/>
          <w:szCs w:val="21"/>
        </w:rPr>
        <w:t>,</w:t>
      </w:r>
      <w:r w:rsidRPr="0030088F">
        <w:rPr>
          <w:rFonts w:ascii="Abadi" w:hAnsi="Abadi"/>
          <w:sz w:val="21"/>
          <w:szCs w:val="21"/>
        </w:rPr>
        <w:t xml:space="preserve"> cuando quizá y seguramente ya puedan arreglar ese cochinero que tienen en el </w:t>
      </w:r>
      <w:r>
        <w:rPr>
          <w:rFonts w:ascii="Abadi" w:hAnsi="Abadi"/>
          <w:sz w:val="21"/>
          <w:szCs w:val="21"/>
        </w:rPr>
        <w:t>FIDESSEG</w:t>
      </w:r>
      <w:r w:rsidRPr="0030088F">
        <w:rPr>
          <w:rFonts w:ascii="Abadi" w:hAnsi="Abadi"/>
          <w:sz w:val="21"/>
          <w:szCs w:val="21"/>
        </w:rPr>
        <w:t xml:space="preserve"> lean la propuesta que hicimos en su momento</w:t>
      </w:r>
      <w:r>
        <w:rPr>
          <w:rFonts w:ascii="Abadi" w:hAnsi="Abadi"/>
          <w:sz w:val="21"/>
          <w:szCs w:val="21"/>
        </w:rPr>
        <w:t>,</w:t>
      </w:r>
      <w:r w:rsidRPr="0030088F">
        <w:rPr>
          <w:rFonts w:ascii="Abadi" w:hAnsi="Abadi"/>
          <w:sz w:val="21"/>
          <w:szCs w:val="21"/>
        </w:rPr>
        <w:t xml:space="preserve"> la que subió a decir aquí la diputada </w:t>
      </w:r>
      <w:r>
        <w:rPr>
          <w:rFonts w:ascii="Abadi" w:hAnsi="Abadi"/>
          <w:sz w:val="21"/>
          <w:szCs w:val="21"/>
        </w:rPr>
        <w:t>H</w:t>
      </w:r>
      <w:r w:rsidRPr="0030088F">
        <w:rPr>
          <w:rFonts w:ascii="Abadi" w:hAnsi="Abadi"/>
          <w:sz w:val="21"/>
          <w:szCs w:val="21"/>
        </w:rPr>
        <w:t>ades</w:t>
      </w:r>
      <w:r>
        <w:rPr>
          <w:rFonts w:ascii="Abadi" w:hAnsi="Abadi"/>
          <w:sz w:val="21"/>
          <w:szCs w:val="21"/>
        </w:rPr>
        <w:t>,</w:t>
      </w:r>
      <w:r w:rsidRPr="0030088F">
        <w:rPr>
          <w:rFonts w:ascii="Abadi" w:hAnsi="Abadi"/>
          <w:sz w:val="21"/>
          <w:szCs w:val="21"/>
        </w:rPr>
        <w:t xml:space="preserve"> está muy sencilla</w:t>
      </w:r>
      <w:r>
        <w:rPr>
          <w:rFonts w:ascii="Abadi" w:hAnsi="Abadi"/>
          <w:sz w:val="21"/>
          <w:szCs w:val="21"/>
        </w:rPr>
        <w:t>,</w:t>
      </w:r>
      <w:r w:rsidRPr="0030088F">
        <w:rPr>
          <w:rFonts w:ascii="Abadi" w:hAnsi="Abadi"/>
          <w:sz w:val="21"/>
          <w:szCs w:val="21"/>
        </w:rPr>
        <w:t xml:space="preserve"> está muy parecida</w:t>
      </w:r>
      <w:r>
        <w:rPr>
          <w:rFonts w:ascii="Abadi" w:hAnsi="Abadi"/>
          <w:sz w:val="21"/>
          <w:szCs w:val="21"/>
        </w:rPr>
        <w:t>,</w:t>
      </w:r>
      <w:r w:rsidRPr="0030088F">
        <w:rPr>
          <w:rFonts w:ascii="Abadi" w:hAnsi="Abadi"/>
          <w:sz w:val="21"/>
          <w:szCs w:val="21"/>
        </w:rPr>
        <w:t xml:space="preserve"> a la de </w:t>
      </w:r>
      <w:r>
        <w:rPr>
          <w:rFonts w:ascii="Abadi" w:hAnsi="Abadi"/>
          <w:sz w:val="21"/>
          <w:szCs w:val="21"/>
        </w:rPr>
        <w:t>S</w:t>
      </w:r>
      <w:r w:rsidRPr="0030088F">
        <w:rPr>
          <w:rFonts w:ascii="Abadi" w:hAnsi="Abadi"/>
          <w:sz w:val="21"/>
          <w:szCs w:val="21"/>
        </w:rPr>
        <w:t>alamanca</w:t>
      </w:r>
      <w:r>
        <w:rPr>
          <w:rFonts w:ascii="Abadi" w:hAnsi="Abadi"/>
          <w:sz w:val="21"/>
          <w:szCs w:val="21"/>
        </w:rPr>
        <w:t>,</w:t>
      </w:r>
      <w:r w:rsidRPr="0030088F">
        <w:rPr>
          <w:rFonts w:ascii="Abadi" w:hAnsi="Abadi"/>
          <w:sz w:val="21"/>
          <w:szCs w:val="21"/>
        </w:rPr>
        <w:t xml:space="preserve"> dice así</w:t>
      </w:r>
      <w:r>
        <w:rPr>
          <w:rFonts w:ascii="Abadi" w:hAnsi="Abadi"/>
          <w:sz w:val="21"/>
          <w:szCs w:val="21"/>
        </w:rPr>
        <w:t>,</w:t>
      </w:r>
      <w:r w:rsidRPr="0030088F">
        <w:rPr>
          <w:rFonts w:ascii="Abadi" w:hAnsi="Abadi"/>
          <w:sz w:val="21"/>
          <w:szCs w:val="21"/>
        </w:rPr>
        <w:t xml:space="preserve"> la auditoría al </w:t>
      </w:r>
      <w:r>
        <w:rPr>
          <w:rFonts w:ascii="Abadi" w:hAnsi="Abadi"/>
          <w:sz w:val="21"/>
          <w:szCs w:val="21"/>
        </w:rPr>
        <w:t>FIDESSEG,</w:t>
      </w:r>
      <w:r w:rsidRPr="0030088F">
        <w:rPr>
          <w:rFonts w:ascii="Abadi" w:hAnsi="Abadi"/>
          <w:sz w:val="21"/>
          <w:szCs w:val="21"/>
        </w:rPr>
        <w:t xml:space="preserve"> ese deberá abarcar el 100% de las operaciones no revisadas</w:t>
      </w:r>
      <w:r>
        <w:rPr>
          <w:rFonts w:ascii="Abadi" w:hAnsi="Abadi"/>
          <w:sz w:val="21"/>
          <w:szCs w:val="21"/>
        </w:rPr>
        <w:t>,</w:t>
      </w:r>
      <w:r w:rsidRPr="0030088F">
        <w:rPr>
          <w:rFonts w:ascii="Abadi" w:hAnsi="Abadi"/>
          <w:sz w:val="21"/>
          <w:szCs w:val="21"/>
        </w:rPr>
        <w:t xml:space="preserve"> en procesos de fiscalización superior anteriores</w:t>
      </w:r>
      <w:r>
        <w:rPr>
          <w:rFonts w:ascii="Abadi" w:hAnsi="Abadi"/>
          <w:sz w:val="21"/>
          <w:szCs w:val="21"/>
        </w:rPr>
        <w:t>,</w:t>
      </w:r>
      <w:r w:rsidRPr="0030088F">
        <w:rPr>
          <w:rFonts w:ascii="Abadi" w:hAnsi="Abadi"/>
          <w:sz w:val="21"/>
          <w:szCs w:val="21"/>
        </w:rPr>
        <w:t xml:space="preserve"> cuál es entonces la diferencia con el mandato a esta auditoría de </w:t>
      </w:r>
      <w:r>
        <w:rPr>
          <w:rFonts w:ascii="Abadi" w:hAnsi="Abadi"/>
          <w:sz w:val="21"/>
          <w:szCs w:val="21"/>
        </w:rPr>
        <w:t>S</w:t>
      </w:r>
      <w:r w:rsidRPr="0030088F">
        <w:rPr>
          <w:rFonts w:ascii="Abadi" w:hAnsi="Abadi"/>
          <w:sz w:val="21"/>
          <w:szCs w:val="21"/>
        </w:rPr>
        <w:t>alamanca</w:t>
      </w:r>
      <w:r>
        <w:rPr>
          <w:rFonts w:ascii="Abadi" w:hAnsi="Abadi"/>
          <w:sz w:val="21"/>
          <w:szCs w:val="21"/>
        </w:rPr>
        <w:t>,</w:t>
      </w:r>
      <w:r w:rsidRPr="0030088F">
        <w:rPr>
          <w:rFonts w:ascii="Abadi" w:hAnsi="Abadi"/>
          <w:sz w:val="21"/>
          <w:szCs w:val="21"/>
        </w:rPr>
        <w:t xml:space="preserve"> que se pidió en el 2021</w:t>
      </w:r>
      <w:r>
        <w:rPr>
          <w:rFonts w:ascii="Abadi" w:hAnsi="Abadi"/>
          <w:sz w:val="21"/>
          <w:szCs w:val="21"/>
        </w:rPr>
        <w:t>,</w:t>
      </w:r>
      <w:r w:rsidRPr="0030088F">
        <w:rPr>
          <w:rFonts w:ascii="Abadi" w:hAnsi="Abadi"/>
          <w:sz w:val="21"/>
          <w:szCs w:val="21"/>
        </w:rPr>
        <w:t xml:space="preserve"> a la que se está pidiendo el día de hoy</w:t>
      </w:r>
      <w:r>
        <w:rPr>
          <w:rFonts w:ascii="Abadi" w:hAnsi="Abadi"/>
          <w:sz w:val="21"/>
          <w:szCs w:val="21"/>
        </w:rPr>
        <w:t>,</w:t>
      </w:r>
      <w:r w:rsidRPr="0030088F">
        <w:rPr>
          <w:rFonts w:ascii="Abadi" w:hAnsi="Abadi"/>
          <w:sz w:val="21"/>
          <w:szCs w:val="21"/>
        </w:rPr>
        <w:t xml:space="preserve"> a la que se pidió el día de hoy por parte 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no hay ninguna diferencia se está diciendo casi las mismas palabras el acomodo el sentido es exactamente el mismo</w:t>
      </w:r>
      <w:r>
        <w:rPr>
          <w:rFonts w:ascii="Abadi" w:hAnsi="Abadi"/>
          <w:sz w:val="21"/>
          <w:szCs w:val="21"/>
        </w:rPr>
        <w:t>,</w:t>
      </w:r>
      <w:r w:rsidRPr="0030088F">
        <w:rPr>
          <w:rFonts w:ascii="Abadi" w:hAnsi="Abadi"/>
          <w:sz w:val="21"/>
          <w:szCs w:val="21"/>
        </w:rPr>
        <w:t xml:space="preserve"> exactamente el mismo </w:t>
      </w:r>
      <w:r w:rsidRPr="0030088F">
        <w:rPr>
          <w:rFonts w:ascii="Abadi" w:hAnsi="Abadi"/>
          <w:sz w:val="21"/>
          <w:szCs w:val="21"/>
        </w:rPr>
        <w:lastRenderedPageBreak/>
        <w:t xml:space="preserve">y bueno por parte del </w:t>
      </w:r>
      <w:r>
        <w:rPr>
          <w:rFonts w:ascii="Abadi" w:hAnsi="Abadi"/>
          <w:sz w:val="21"/>
          <w:szCs w:val="21"/>
        </w:rPr>
        <w:t xml:space="preserve">PRI, </w:t>
      </w:r>
      <w:r w:rsidRPr="0030088F">
        <w:rPr>
          <w:rFonts w:ascii="Abadi" w:hAnsi="Abadi"/>
          <w:sz w:val="21"/>
          <w:szCs w:val="21"/>
        </w:rPr>
        <w:t>pues ahora piden que la auditoría trabaje sola y que nadie le mandate nada</w:t>
      </w:r>
      <w:r>
        <w:rPr>
          <w:rFonts w:ascii="Abadi" w:hAnsi="Abadi"/>
          <w:sz w:val="21"/>
          <w:szCs w:val="21"/>
        </w:rPr>
        <w:t>,</w:t>
      </w:r>
      <w:r w:rsidRPr="0030088F">
        <w:rPr>
          <w:rFonts w:ascii="Abadi" w:hAnsi="Abadi"/>
          <w:sz w:val="21"/>
          <w:szCs w:val="21"/>
        </w:rPr>
        <w:t xml:space="preserve"> pero en el 2021</w:t>
      </w:r>
      <w:r>
        <w:rPr>
          <w:rFonts w:ascii="Abadi" w:hAnsi="Abadi"/>
          <w:sz w:val="21"/>
          <w:szCs w:val="21"/>
        </w:rPr>
        <w:t>,</w:t>
      </w:r>
      <w:r w:rsidRPr="0030088F">
        <w:rPr>
          <w:rFonts w:ascii="Abadi" w:hAnsi="Abadi"/>
          <w:sz w:val="21"/>
          <w:szCs w:val="21"/>
        </w:rPr>
        <w:t xml:space="preserve"> también votaron a favor de la auditoría en </w:t>
      </w:r>
      <w:r>
        <w:rPr>
          <w:rFonts w:ascii="Abadi" w:hAnsi="Abadi"/>
          <w:sz w:val="21"/>
          <w:szCs w:val="21"/>
        </w:rPr>
        <w:t>S</w:t>
      </w:r>
      <w:r w:rsidRPr="0030088F">
        <w:rPr>
          <w:rFonts w:ascii="Abadi" w:hAnsi="Abadi"/>
          <w:sz w:val="21"/>
          <w:szCs w:val="21"/>
        </w:rPr>
        <w:t>alamanca</w:t>
      </w:r>
      <w:r>
        <w:rPr>
          <w:rFonts w:ascii="Abadi" w:hAnsi="Abadi"/>
          <w:sz w:val="21"/>
          <w:szCs w:val="21"/>
        </w:rPr>
        <w:t>,</w:t>
      </w:r>
      <w:r w:rsidRPr="0030088F">
        <w:rPr>
          <w:rFonts w:ascii="Abadi" w:hAnsi="Abadi"/>
          <w:sz w:val="21"/>
          <w:szCs w:val="21"/>
        </w:rPr>
        <w:t xml:space="preserve"> en suma lo único que muestra esta sesión pues es a doble cara de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acional y de sus aliados priistas</w:t>
      </w:r>
      <w:r>
        <w:rPr>
          <w:rFonts w:ascii="Abadi" w:hAnsi="Abadi"/>
          <w:sz w:val="21"/>
          <w:szCs w:val="21"/>
        </w:rPr>
        <w:t xml:space="preserve">, </w:t>
      </w:r>
      <w:r w:rsidRPr="0030088F">
        <w:rPr>
          <w:rFonts w:ascii="Abadi" w:hAnsi="Abadi"/>
          <w:sz w:val="21"/>
          <w:szCs w:val="21"/>
        </w:rPr>
        <w:t xml:space="preserve">como ha señalado el presidente de la república Andrés Manuel López </w:t>
      </w:r>
      <w:r>
        <w:rPr>
          <w:rFonts w:ascii="Abadi" w:hAnsi="Abadi"/>
          <w:sz w:val="21"/>
          <w:szCs w:val="21"/>
        </w:rPr>
        <w:t>O</w:t>
      </w:r>
      <w:r w:rsidRPr="0030088F">
        <w:rPr>
          <w:rFonts w:ascii="Abadi" w:hAnsi="Abadi"/>
          <w:sz w:val="21"/>
          <w:szCs w:val="21"/>
        </w:rPr>
        <w:t>brador</w:t>
      </w:r>
      <w:r>
        <w:rPr>
          <w:rFonts w:ascii="Abadi" w:hAnsi="Abadi"/>
          <w:sz w:val="21"/>
          <w:szCs w:val="21"/>
        </w:rPr>
        <w:t>,</w:t>
      </w:r>
      <w:r w:rsidRPr="0030088F">
        <w:rPr>
          <w:rFonts w:ascii="Abadi" w:hAnsi="Abadi"/>
          <w:sz w:val="21"/>
          <w:szCs w:val="21"/>
        </w:rPr>
        <w:t xml:space="preserve"> la única doctrina del </w:t>
      </w:r>
      <w:r>
        <w:rPr>
          <w:rFonts w:ascii="Abadi" w:hAnsi="Abadi"/>
          <w:sz w:val="21"/>
          <w:szCs w:val="21"/>
        </w:rPr>
        <w:t>P</w:t>
      </w:r>
      <w:r w:rsidRPr="0030088F">
        <w:rPr>
          <w:rFonts w:ascii="Abadi" w:hAnsi="Abadi"/>
          <w:sz w:val="21"/>
          <w:szCs w:val="21"/>
        </w:rPr>
        <w:t xml:space="preserve">artido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acional</w:t>
      </w:r>
      <w:r>
        <w:rPr>
          <w:rFonts w:ascii="Abadi" w:hAnsi="Abadi"/>
          <w:sz w:val="21"/>
          <w:szCs w:val="21"/>
        </w:rPr>
        <w:t>,</w:t>
      </w:r>
      <w:r w:rsidRPr="0030088F">
        <w:rPr>
          <w:rFonts w:ascii="Abadi" w:hAnsi="Abadi"/>
          <w:sz w:val="21"/>
          <w:szCs w:val="21"/>
        </w:rPr>
        <w:t xml:space="preserve"> es la hipocresía y por desgracia no se cansan de confirmarlo</w:t>
      </w:r>
      <w:r>
        <w:rPr>
          <w:rFonts w:ascii="Abadi" w:hAnsi="Abadi"/>
          <w:sz w:val="21"/>
          <w:szCs w:val="21"/>
        </w:rPr>
        <w:t>.</w:t>
      </w:r>
    </w:p>
    <w:p w14:paraId="6E5F00FC" w14:textId="77777777" w:rsidR="00DB032A" w:rsidRDefault="00DB032A" w:rsidP="00DB032A">
      <w:pPr>
        <w:jc w:val="both"/>
        <w:rPr>
          <w:rFonts w:ascii="Abadi" w:hAnsi="Abadi"/>
          <w:sz w:val="21"/>
          <w:szCs w:val="21"/>
        </w:rPr>
      </w:pPr>
    </w:p>
    <w:p w14:paraId="4DB5AD58" w14:textId="77777777" w:rsidR="00DB032A" w:rsidRDefault="00DB032A" w:rsidP="00DB032A">
      <w:pPr>
        <w:jc w:val="both"/>
        <w:rPr>
          <w:rFonts w:ascii="Abadi" w:hAnsi="Abadi"/>
          <w:sz w:val="21"/>
          <w:szCs w:val="21"/>
        </w:rPr>
      </w:pPr>
      <w:r>
        <w:rPr>
          <w:rFonts w:ascii="Abadi" w:hAnsi="Abadi"/>
          <w:sz w:val="21"/>
          <w:szCs w:val="21"/>
        </w:rPr>
        <w:t>- E</w:t>
      </w:r>
      <w:r w:rsidRPr="0030088F">
        <w:rPr>
          <w:rFonts w:ascii="Abadi" w:hAnsi="Abadi"/>
          <w:sz w:val="21"/>
          <w:szCs w:val="21"/>
        </w:rPr>
        <w:t>s cuanto diputada presidenta</w:t>
      </w:r>
      <w:r>
        <w:rPr>
          <w:rFonts w:ascii="Abadi" w:hAnsi="Abadi"/>
          <w:sz w:val="21"/>
          <w:szCs w:val="21"/>
        </w:rPr>
        <w:t xml:space="preserve">. </w:t>
      </w:r>
    </w:p>
    <w:p w14:paraId="4DC7F517" w14:textId="77777777" w:rsidR="00DB032A" w:rsidRDefault="00DB032A" w:rsidP="00DB032A">
      <w:pPr>
        <w:jc w:val="both"/>
        <w:rPr>
          <w:rFonts w:ascii="Abadi" w:hAnsi="Abadi"/>
          <w:sz w:val="21"/>
          <w:szCs w:val="21"/>
        </w:rPr>
      </w:pPr>
    </w:p>
    <w:p w14:paraId="0B125152" w14:textId="77777777" w:rsidR="00DB032A" w:rsidRDefault="00DB032A" w:rsidP="00DB032A">
      <w:pPr>
        <w:jc w:val="both"/>
        <w:rPr>
          <w:rFonts w:ascii="Abadi" w:hAnsi="Abadi"/>
          <w:sz w:val="21"/>
          <w:szCs w:val="21"/>
        </w:rPr>
      </w:pPr>
      <w:r>
        <w:rPr>
          <w:rFonts w:ascii="Abadi" w:hAnsi="Abadi"/>
          <w:sz w:val="21"/>
          <w:szCs w:val="21"/>
        </w:rPr>
        <w:tab/>
        <w:t xml:space="preserve">- Bueno y aquí tenemos, </w:t>
      </w:r>
      <w:r w:rsidRPr="0030088F">
        <w:rPr>
          <w:rFonts w:ascii="Abadi" w:hAnsi="Abadi"/>
          <w:sz w:val="21"/>
          <w:szCs w:val="21"/>
        </w:rPr>
        <w:t xml:space="preserve"> tenemos claramente qué es lo que nosotros solicitábamos la suma 18</w:t>
      </w:r>
      <w:r>
        <w:rPr>
          <w:rFonts w:ascii="Abadi" w:hAnsi="Abadi"/>
          <w:sz w:val="21"/>
          <w:szCs w:val="21"/>
        </w:rPr>
        <w:t xml:space="preserve">24 millones de pesos, </w:t>
      </w:r>
      <w:r w:rsidRPr="0030088F">
        <w:rPr>
          <w:rFonts w:ascii="Abadi" w:hAnsi="Abadi"/>
          <w:sz w:val="21"/>
          <w:szCs w:val="21"/>
        </w:rPr>
        <w:t>eso es lo que queremos que se audite</w:t>
      </w:r>
      <w:r>
        <w:rPr>
          <w:rFonts w:ascii="Abadi" w:hAnsi="Abadi"/>
          <w:sz w:val="21"/>
          <w:szCs w:val="21"/>
        </w:rPr>
        <w:t xml:space="preserve">, </w:t>
      </w:r>
      <w:r w:rsidRPr="0030088F">
        <w:rPr>
          <w:rFonts w:ascii="Abadi" w:hAnsi="Abadi"/>
          <w:sz w:val="21"/>
          <w:szCs w:val="21"/>
        </w:rPr>
        <w:t>no nada más lo que traen acumulado hasta el 2022</w:t>
      </w:r>
      <w:r>
        <w:rPr>
          <w:rFonts w:ascii="Abadi" w:hAnsi="Abadi"/>
          <w:sz w:val="21"/>
          <w:szCs w:val="21"/>
        </w:rPr>
        <w:t>,</w:t>
      </w:r>
      <w:r w:rsidRPr="0030088F">
        <w:rPr>
          <w:rFonts w:ascii="Abadi" w:hAnsi="Abadi"/>
          <w:sz w:val="21"/>
          <w:szCs w:val="21"/>
        </w:rPr>
        <w:t xml:space="preserve"> los fideicomisos ya lo dijimos tienen una serie de problemas por su naturaleza y tienen una serie de espacios de opacidad por la misma naturaleza por la que se hace el fideicomiso</w:t>
      </w:r>
      <w:r>
        <w:rPr>
          <w:rFonts w:ascii="Abadi" w:hAnsi="Abadi"/>
          <w:sz w:val="21"/>
          <w:szCs w:val="21"/>
        </w:rPr>
        <w:t>,</w:t>
      </w:r>
      <w:r w:rsidRPr="0030088F">
        <w:rPr>
          <w:rFonts w:ascii="Abadi" w:hAnsi="Abadi"/>
          <w:sz w:val="21"/>
          <w:szCs w:val="21"/>
        </w:rPr>
        <w:t xml:space="preserve"> entonces</w:t>
      </w:r>
      <w:r>
        <w:rPr>
          <w:rFonts w:ascii="Abadi" w:hAnsi="Abadi"/>
          <w:sz w:val="21"/>
          <w:szCs w:val="21"/>
        </w:rPr>
        <w:t>,</w:t>
      </w:r>
      <w:r w:rsidRPr="0030088F">
        <w:rPr>
          <w:rFonts w:ascii="Abadi" w:hAnsi="Abadi"/>
          <w:sz w:val="21"/>
          <w:szCs w:val="21"/>
        </w:rPr>
        <w:t xml:space="preserve"> si nosotros votamos a favor de que auditarán </w:t>
      </w:r>
      <w:r>
        <w:rPr>
          <w:rFonts w:ascii="Abadi" w:hAnsi="Abadi"/>
          <w:sz w:val="21"/>
          <w:szCs w:val="21"/>
        </w:rPr>
        <w:t>S</w:t>
      </w:r>
      <w:r w:rsidRPr="0030088F">
        <w:rPr>
          <w:rFonts w:ascii="Abadi" w:hAnsi="Abadi"/>
          <w:sz w:val="21"/>
          <w:szCs w:val="21"/>
        </w:rPr>
        <w:t>alamanca</w:t>
      </w:r>
      <w:r>
        <w:rPr>
          <w:rFonts w:ascii="Abadi" w:hAnsi="Abadi"/>
          <w:sz w:val="21"/>
          <w:szCs w:val="21"/>
        </w:rPr>
        <w:t>,</w:t>
      </w:r>
      <w:r w:rsidRPr="0030088F">
        <w:rPr>
          <w:rFonts w:ascii="Abadi" w:hAnsi="Abadi"/>
          <w:sz w:val="21"/>
          <w:szCs w:val="21"/>
        </w:rPr>
        <w:t xml:space="preserve"> no entendemos por qué se oponen a auditar el </w:t>
      </w:r>
      <w:r>
        <w:rPr>
          <w:rFonts w:ascii="Abadi" w:hAnsi="Abadi"/>
          <w:sz w:val="21"/>
          <w:szCs w:val="21"/>
        </w:rPr>
        <w:t>FIDESSEG,</w:t>
      </w:r>
      <w:r w:rsidRPr="0030088F">
        <w:rPr>
          <w:rFonts w:ascii="Abadi" w:hAnsi="Abadi"/>
          <w:sz w:val="21"/>
          <w:szCs w:val="21"/>
        </w:rPr>
        <w:t xml:space="preserve"> es las mismas condiciones y peor aún aquí existen evidencias claras</w:t>
      </w:r>
      <w:r>
        <w:rPr>
          <w:rFonts w:ascii="Abadi" w:hAnsi="Abadi"/>
          <w:sz w:val="21"/>
          <w:szCs w:val="21"/>
        </w:rPr>
        <w:t>,</w:t>
      </w:r>
      <w:r w:rsidRPr="0030088F">
        <w:rPr>
          <w:rFonts w:ascii="Abadi" w:hAnsi="Abadi"/>
          <w:sz w:val="21"/>
          <w:szCs w:val="21"/>
        </w:rPr>
        <w:t xml:space="preserve"> porque hay una diferencia</w:t>
      </w:r>
      <w:r>
        <w:rPr>
          <w:rFonts w:ascii="Abadi" w:hAnsi="Abadi"/>
          <w:sz w:val="21"/>
          <w:szCs w:val="21"/>
        </w:rPr>
        <w:t>,</w:t>
      </w:r>
      <w:r w:rsidRPr="0030088F">
        <w:rPr>
          <w:rFonts w:ascii="Abadi" w:hAnsi="Abadi"/>
          <w:sz w:val="21"/>
          <w:szCs w:val="21"/>
        </w:rPr>
        <w:t xml:space="preserve"> de 164</w:t>
      </w:r>
      <w:r>
        <w:rPr>
          <w:rFonts w:ascii="Abadi" w:hAnsi="Abadi"/>
          <w:sz w:val="21"/>
          <w:szCs w:val="21"/>
        </w:rPr>
        <w:t xml:space="preserve"> millones </w:t>
      </w:r>
      <w:r w:rsidRPr="0030088F">
        <w:rPr>
          <w:rFonts w:ascii="Abadi" w:hAnsi="Abadi"/>
          <w:sz w:val="21"/>
          <w:szCs w:val="21"/>
        </w:rPr>
        <w:t>957</w:t>
      </w:r>
      <w:r>
        <w:rPr>
          <w:rFonts w:ascii="Abadi" w:hAnsi="Abadi"/>
          <w:sz w:val="21"/>
          <w:szCs w:val="21"/>
        </w:rPr>
        <w:t xml:space="preserve"> mil </w:t>
      </w:r>
      <w:r w:rsidRPr="0030088F">
        <w:rPr>
          <w:rFonts w:ascii="Abadi" w:hAnsi="Abadi"/>
          <w:sz w:val="21"/>
          <w:szCs w:val="21"/>
        </w:rPr>
        <w:t>158 pesos</w:t>
      </w:r>
      <w:r>
        <w:rPr>
          <w:rFonts w:ascii="Abadi" w:hAnsi="Abadi"/>
          <w:sz w:val="21"/>
          <w:szCs w:val="21"/>
        </w:rPr>
        <w:t>,</w:t>
      </w:r>
      <w:r w:rsidRPr="0030088F">
        <w:rPr>
          <w:rFonts w:ascii="Abadi" w:hAnsi="Abadi"/>
          <w:sz w:val="21"/>
          <w:szCs w:val="21"/>
        </w:rPr>
        <w:t xml:space="preserve"> que no se sabe dónde están</w:t>
      </w:r>
      <w:r>
        <w:rPr>
          <w:rFonts w:ascii="Abadi" w:hAnsi="Abadi"/>
          <w:sz w:val="21"/>
          <w:szCs w:val="21"/>
        </w:rPr>
        <w:t>,</w:t>
      </w:r>
      <w:r w:rsidRPr="0030088F">
        <w:rPr>
          <w:rFonts w:ascii="Abadi" w:hAnsi="Abadi"/>
          <w:sz w:val="21"/>
          <w:szCs w:val="21"/>
        </w:rPr>
        <w:t xml:space="preserve"> que no han dicho en los papeles que se exhiben en las de la cuenta pública y de los informes financieros</w:t>
      </w:r>
      <w:r>
        <w:rPr>
          <w:rFonts w:ascii="Abadi" w:hAnsi="Abadi"/>
          <w:sz w:val="21"/>
          <w:szCs w:val="21"/>
        </w:rPr>
        <w:t>,</w:t>
      </w:r>
      <w:r w:rsidRPr="0030088F">
        <w:rPr>
          <w:rFonts w:ascii="Abadi" w:hAnsi="Abadi"/>
          <w:sz w:val="21"/>
          <w:szCs w:val="21"/>
        </w:rPr>
        <w:t xml:space="preserve"> donde está esta cantidad de recursos y lo que se gastó pues estaba mal gastado</w:t>
      </w:r>
      <w:r>
        <w:rPr>
          <w:rFonts w:ascii="Abadi" w:hAnsi="Abadi"/>
          <w:sz w:val="21"/>
          <w:szCs w:val="21"/>
        </w:rPr>
        <w:t>,</w:t>
      </w:r>
      <w:r w:rsidRPr="0030088F">
        <w:rPr>
          <w:rFonts w:ascii="Abadi" w:hAnsi="Abadi"/>
          <w:sz w:val="21"/>
          <w:szCs w:val="21"/>
        </w:rPr>
        <w:t xml:space="preserve"> eh</w:t>
      </w:r>
      <w:r>
        <w:rPr>
          <w:rFonts w:ascii="Abadi" w:hAnsi="Abadi"/>
          <w:sz w:val="21"/>
          <w:szCs w:val="21"/>
        </w:rPr>
        <w:t>,</w:t>
      </w:r>
      <w:r w:rsidRPr="0030088F">
        <w:rPr>
          <w:rFonts w:ascii="Abadi" w:hAnsi="Abadi"/>
          <w:sz w:val="21"/>
          <w:szCs w:val="21"/>
        </w:rPr>
        <w:t xml:space="preserve"> gran parte de esto estuvo mal gastado y mal ejecutado</w:t>
      </w:r>
      <w:r>
        <w:rPr>
          <w:rFonts w:ascii="Abadi" w:hAnsi="Abadi"/>
          <w:sz w:val="21"/>
          <w:szCs w:val="21"/>
        </w:rPr>
        <w:t>,</w:t>
      </w:r>
      <w:r w:rsidRPr="0030088F">
        <w:rPr>
          <w:rFonts w:ascii="Abadi" w:hAnsi="Abadi"/>
          <w:sz w:val="21"/>
          <w:szCs w:val="21"/>
        </w:rPr>
        <w:t xml:space="preserve"> entonces</w:t>
      </w:r>
      <w:r>
        <w:rPr>
          <w:rFonts w:ascii="Abadi" w:hAnsi="Abadi"/>
          <w:sz w:val="21"/>
          <w:szCs w:val="21"/>
        </w:rPr>
        <w:t>,</w:t>
      </w:r>
      <w:r w:rsidRPr="0030088F">
        <w:rPr>
          <w:rFonts w:ascii="Abadi" w:hAnsi="Abadi"/>
          <w:sz w:val="21"/>
          <w:szCs w:val="21"/>
        </w:rPr>
        <w:t xml:space="preserve"> no entendemos por qué esa diferencia hay que jodernos en los 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pero hay que cubrir a los del partido </w:t>
      </w:r>
      <w:r>
        <w:rPr>
          <w:rFonts w:ascii="Abadi" w:hAnsi="Abadi"/>
          <w:sz w:val="21"/>
          <w:szCs w:val="21"/>
        </w:rPr>
        <w:t>A</w:t>
      </w:r>
      <w:r w:rsidRPr="0030088F">
        <w:rPr>
          <w:rFonts w:ascii="Abadi" w:hAnsi="Abadi"/>
          <w:sz w:val="21"/>
          <w:szCs w:val="21"/>
        </w:rPr>
        <w:t xml:space="preserve">cción </w:t>
      </w:r>
      <w:r>
        <w:rPr>
          <w:rFonts w:ascii="Abadi" w:hAnsi="Abadi"/>
          <w:sz w:val="21"/>
          <w:szCs w:val="21"/>
        </w:rPr>
        <w:t>N</w:t>
      </w:r>
      <w:r w:rsidRPr="0030088F">
        <w:rPr>
          <w:rFonts w:ascii="Abadi" w:hAnsi="Abadi"/>
          <w:sz w:val="21"/>
          <w:szCs w:val="21"/>
        </w:rPr>
        <w:t>acional no se vale compañeros</w:t>
      </w:r>
      <w:r>
        <w:rPr>
          <w:rFonts w:ascii="Abadi" w:hAnsi="Abadi"/>
          <w:sz w:val="21"/>
          <w:szCs w:val="21"/>
        </w:rPr>
        <w:t xml:space="preserve">. </w:t>
      </w:r>
    </w:p>
    <w:p w14:paraId="58C661B9" w14:textId="77777777" w:rsidR="00DB032A" w:rsidRDefault="00DB032A" w:rsidP="00DB032A">
      <w:pPr>
        <w:jc w:val="both"/>
        <w:rPr>
          <w:rFonts w:ascii="Abadi" w:hAnsi="Abadi"/>
          <w:sz w:val="21"/>
          <w:szCs w:val="21"/>
        </w:rPr>
      </w:pPr>
    </w:p>
    <w:p w14:paraId="4D9FD31E" w14:textId="77777777" w:rsidR="00DB032A" w:rsidRDefault="00DB032A" w:rsidP="00DB032A">
      <w:pPr>
        <w:jc w:val="both"/>
        <w:rPr>
          <w:rFonts w:ascii="Abadi" w:hAnsi="Abadi"/>
          <w:sz w:val="21"/>
          <w:szCs w:val="21"/>
        </w:rPr>
      </w:pPr>
      <w:r>
        <w:rPr>
          <w:rFonts w:ascii="Abadi" w:hAnsi="Abadi"/>
          <w:sz w:val="21"/>
          <w:szCs w:val="21"/>
        </w:rPr>
        <w:t>- E</w:t>
      </w:r>
      <w:r w:rsidRPr="0030088F">
        <w:rPr>
          <w:rFonts w:ascii="Abadi" w:hAnsi="Abadi"/>
          <w:sz w:val="21"/>
          <w:szCs w:val="21"/>
        </w:rPr>
        <w:t>s cuánto</w:t>
      </w:r>
      <w:r>
        <w:rPr>
          <w:rFonts w:ascii="Abadi" w:hAnsi="Abadi"/>
          <w:sz w:val="21"/>
          <w:szCs w:val="21"/>
        </w:rPr>
        <w:t xml:space="preserve">, muchas gracias coordinador.  </w:t>
      </w:r>
    </w:p>
    <w:p w14:paraId="077308BC" w14:textId="77777777" w:rsidR="00DB032A" w:rsidRDefault="00DB032A" w:rsidP="00DB032A">
      <w:pPr>
        <w:jc w:val="both"/>
        <w:rPr>
          <w:rFonts w:ascii="Abadi" w:hAnsi="Abadi"/>
          <w:sz w:val="21"/>
          <w:szCs w:val="21"/>
        </w:rPr>
      </w:pPr>
    </w:p>
    <w:p w14:paraId="6322B7D0" w14:textId="77777777" w:rsidR="00DB032A" w:rsidRDefault="00DB032A" w:rsidP="00DB032A">
      <w:pPr>
        <w:jc w:val="both"/>
        <w:rPr>
          <w:rFonts w:ascii="Abadi" w:hAnsi="Abadi"/>
          <w:sz w:val="21"/>
          <w:szCs w:val="21"/>
        </w:rPr>
      </w:pPr>
      <w:r>
        <w:rPr>
          <w:rFonts w:ascii="Abadi" w:hAnsi="Abadi"/>
          <w:sz w:val="21"/>
          <w:szCs w:val="21"/>
        </w:rPr>
        <w:tab/>
        <w:t>- G</w:t>
      </w:r>
      <w:r w:rsidRPr="0030088F">
        <w:rPr>
          <w:rFonts w:ascii="Abadi" w:hAnsi="Abadi"/>
          <w:sz w:val="21"/>
          <w:szCs w:val="21"/>
        </w:rPr>
        <w:t xml:space="preserve">racias diputada agotadas las intervenciones se piden la secretaría que proceda a recabar votación nominal de la </w:t>
      </w:r>
      <w:r>
        <w:rPr>
          <w:rFonts w:ascii="Abadi" w:hAnsi="Abadi"/>
          <w:sz w:val="21"/>
          <w:szCs w:val="21"/>
        </w:rPr>
        <w:t>A</w:t>
      </w:r>
      <w:r w:rsidRPr="0030088F">
        <w:rPr>
          <w:rFonts w:ascii="Abadi" w:hAnsi="Abadi"/>
          <w:sz w:val="21"/>
          <w:szCs w:val="21"/>
        </w:rPr>
        <w:t>samblea a través del sistema electrónico a efecto de aprobar o no los dictámenes puestos a su consideración</w:t>
      </w:r>
      <w:r>
        <w:rPr>
          <w:rFonts w:ascii="Abadi" w:hAnsi="Abadi"/>
          <w:sz w:val="21"/>
          <w:szCs w:val="21"/>
        </w:rPr>
        <w:t xml:space="preserve">. </w:t>
      </w:r>
    </w:p>
    <w:p w14:paraId="45F28426" w14:textId="77777777" w:rsidR="00DB032A" w:rsidRDefault="00DB032A" w:rsidP="00DB032A">
      <w:pPr>
        <w:jc w:val="both"/>
        <w:rPr>
          <w:rFonts w:ascii="Abadi" w:hAnsi="Abadi"/>
          <w:sz w:val="21"/>
          <w:szCs w:val="21"/>
        </w:rPr>
      </w:pPr>
    </w:p>
    <w:p w14:paraId="03C47AA1" w14:textId="77777777" w:rsidR="00DB032A" w:rsidRDefault="00DB032A" w:rsidP="00DB032A">
      <w:pPr>
        <w:jc w:val="both"/>
        <w:rPr>
          <w:rFonts w:ascii="Abadi" w:hAnsi="Abadi"/>
          <w:b/>
          <w:bCs/>
          <w:sz w:val="21"/>
          <w:szCs w:val="21"/>
        </w:rPr>
      </w:pPr>
      <w:r w:rsidRPr="00C83057">
        <w:rPr>
          <w:rFonts w:ascii="Abadi" w:hAnsi="Abadi"/>
          <w:b/>
          <w:bCs/>
          <w:sz w:val="21"/>
          <w:szCs w:val="21"/>
        </w:rPr>
        <w:t>(se abre el sistema electrónico)</w:t>
      </w:r>
    </w:p>
    <w:p w14:paraId="23A11748" w14:textId="77777777" w:rsidR="00DB032A" w:rsidRPr="00C83057" w:rsidRDefault="00DB032A" w:rsidP="00DB032A">
      <w:pPr>
        <w:jc w:val="both"/>
        <w:rPr>
          <w:rFonts w:ascii="Abadi" w:hAnsi="Abadi"/>
          <w:b/>
          <w:bCs/>
          <w:sz w:val="21"/>
          <w:szCs w:val="21"/>
        </w:rPr>
      </w:pPr>
    </w:p>
    <w:p w14:paraId="7606DFBF" w14:textId="77777777" w:rsidR="00DB032A" w:rsidRDefault="00DB032A" w:rsidP="00DB032A">
      <w:pPr>
        <w:jc w:val="both"/>
        <w:rPr>
          <w:rFonts w:ascii="Abadi" w:hAnsi="Abadi"/>
          <w:sz w:val="21"/>
          <w:szCs w:val="21"/>
        </w:rPr>
      </w:pPr>
      <w:r>
        <w:rPr>
          <w:rFonts w:ascii="Abadi" w:hAnsi="Abadi"/>
          <w:sz w:val="21"/>
          <w:szCs w:val="21"/>
        </w:rPr>
        <w:tab/>
      </w:r>
      <w:r w:rsidRPr="00037A79">
        <w:rPr>
          <w:rFonts w:ascii="Abadi" w:hAnsi="Abadi"/>
          <w:b/>
          <w:bCs/>
          <w:sz w:val="21"/>
          <w:szCs w:val="21"/>
        </w:rPr>
        <w:t xml:space="preserve">- La </w:t>
      </w:r>
      <w:proofErr w:type="gramStart"/>
      <w:r w:rsidRPr="00037A79">
        <w:rPr>
          <w:rFonts w:ascii="Abadi" w:hAnsi="Abadi"/>
          <w:b/>
          <w:bCs/>
          <w:sz w:val="21"/>
          <w:szCs w:val="21"/>
        </w:rPr>
        <w:t>Secretaría.-</w:t>
      </w:r>
      <w:proofErr w:type="gramEnd"/>
      <w:r>
        <w:rPr>
          <w:rFonts w:ascii="Abadi" w:hAnsi="Abadi"/>
          <w:sz w:val="21"/>
          <w:szCs w:val="21"/>
        </w:rPr>
        <w:t xml:space="preserve"> P</w:t>
      </w:r>
      <w:r w:rsidRPr="0030088F">
        <w:rPr>
          <w:rFonts w:ascii="Abadi" w:hAnsi="Abadi"/>
          <w:sz w:val="21"/>
          <w:szCs w:val="21"/>
        </w:rPr>
        <w:t xml:space="preserve">or instrucciones de la presidencia en votación nominal y mediante el sistema electrónico se les pregunta si se aprueban los dictámenes que se ponen a su </w:t>
      </w:r>
      <w:r w:rsidRPr="0030088F">
        <w:rPr>
          <w:rFonts w:ascii="Abadi" w:hAnsi="Abadi"/>
          <w:sz w:val="21"/>
          <w:szCs w:val="21"/>
        </w:rPr>
        <w:t>consideración</w:t>
      </w:r>
      <w:r>
        <w:rPr>
          <w:rFonts w:ascii="Abadi" w:hAnsi="Abadi"/>
          <w:sz w:val="21"/>
          <w:szCs w:val="21"/>
        </w:rPr>
        <w:t xml:space="preserve">. ¿Diputado Armando? ¿Diputada Dessire? </w:t>
      </w:r>
    </w:p>
    <w:p w14:paraId="00C2A43E" w14:textId="77777777" w:rsidR="00DB032A" w:rsidRDefault="00DB032A" w:rsidP="00DB032A">
      <w:pPr>
        <w:jc w:val="both"/>
        <w:rPr>
          <w:rFonts w:ascii="Abadi" w:hAnsi="Abadi"/>
          <w:sz w:val="21"/>
          <w:szCs w:val="21"/>
        </w:rPr>
      </w:pPr>
    </w:p>
    <w:p w14:paraId="462389C2" w14:textId="77777777" w:rsidR="00DB032A" w:rsidRDefault="00DB032A" w:rsidP="00DB032A">
      <w:pPr>
        <w:jc w:val="both"/>
        <w:rPr>
          <w:rFonts w:ascii="Abadi" w:hAnsi="Abadi"/>
          <w:sz w:val="21"/>
          <w:szCs w:val="21"/>
        </w:rPr>
      </w:pPr>
      <w:r>
        <w:rPr>
          <w:rFonts w:ascii="Abadi" w:hAnsi="Abadi"/>
          <w:sz w:val="21"/>
          <w:szCs w:val="21"/>
        </w:rPr>
        <w:t>¿</w:t>
      </w:r>
      <w:r w:rsidRPr="0030088F">
        <w:rPr>
          <w:rFonts w:ascii="Abadi" w:hAnsi="Abadi"/>
          <w:sz w:val="21"/>
          <w:szCs w:val="21"/>
        </w:rPr>
        <w:t>falta alguna diputada o diputado por emitir su voto</w:t>
      </w:r>
      <w:r>
        <w:rPr>
          <w:rFonts w:ascii="Abadi" w:hAnsi="Abadi"/>
          <w:sz w:val="21"/>
          <w:szCs w:val="21"/>
        </w:rPr>
        <w:t>?</w:t>
      </w:r>
    </w:p>
    <w:p w14:paraId="5C68A9E6" w14:textId="77777777" w:rsidR="00DB032A" w:rsidRDefault="00DB032A" w:rsidP="00DB032A">
      <w:pPr>
        <w:jc w:val="both"/>
        <w:rPr>
          <w:rFonts w:ascii="Abadi" w:hAnsi="Abadi"/>
          <w:sz w:val="21"/>
          <w:szCs w:val="21"/>
        </w:rPr>
      </w:pPr>
    </w:p>
    <w:p w14:paraId="364ABA5E" w14:textId="77777777" w:rsidR="00DB032A" w:rsidRDefault="00DB032A" w:rsidP="00DB032A">
      <w:pPr>
        <w:jc w:val="both"/>
        <w:rPr>
          <w:rFonts w:ascii="Abadi" w:hAnsi="Abadi"/>
          <w:b/>
          <w:bCs/>
          <w:sz w:val="21"/>
          <w:szCs w:val="21"/>
        </w:rPr>
      </w:pPr>
      <w:r w:rsidRPr="00037A79">
        <w:rPr>
          <w:rFonts w:ascii="Abadi" w:hAnsi="Abadi"/>
          <w:b/>
          <w:bCs/>
          <w:sz w:val="21"/>
          <w:szCs w:val="21"/>
        </w:rPr>
        <w:t>(se cierra el sistema electrónico)</w:t>
      </w:r>
    </w:p>
    <w:p w14:paraId="6BDC6B82" w14:textId="77777777" w:rsidR="00DB032A" w:rsidRPr="00037A79" w:rsidRDefault="00DB032A" w:rsidP="00DB032A">
      <w:pPr>
        <w:jc w:val="both"/>
        <w:rPr>
          <w:rFonts w:ascii="Abadi" w:hAnsi="Abadi"/>
          <w:b/>
          <w:bCs/>
          <w:sz w:val="21"/>
          <w:szCs w:val="21"/>
        </w:rPr>
      </w:pPr>
      <w:r>
        <w:rPr>
          <w:noProof/>
        </w:rPr>
        <w:drawing>
          <wp:inline distT="0" distB="0" distL="0" distR="0" wp14:anchorId="0C83E63E" wp14:editId="3B249DAF">
            <wp:extent cx="1551842" cy="803920"/>
            <wp:effectExtent l="247650" t="247650" r="239395" b="243840"/>
            <wp:docPr id="1896097468" name="Imagen 1896097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097468" name=""/>
                    <pic:cNvPicPr/>
                  </pic:nvPicPr>
                  <pic:blipFill rotWithShape="1">
                    <a:blip r:embed="rId72"/>
                    <a:srcRect b="7897"/>
                    <a:stretch/>
                  </pic:blipFill>
                  <pic:spPr bwMode="auto">
                    <a:xfrm>
                      <a:off x="0" y="0"/>
                      <a:ext cx="1581352" cy="819208"/>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2153F62" w14:textId="77777777" w:rsidR="00DB032A" w:rsidRDefault="00DB032A" w:rsidP="00DB032A">
      <w:pPr>
        <w:jc w:val="both"/>
        <w:rPr>
          <w:rFonts w:ascii="Abadi" w:hAnsi="Abadi"/>
          <w:sz w:val="21"/>
          <w:szCs w:val="21"/>
        </w:rPr>
      </w:pPr>
      <w:r>
        <w:rPr>
          <w:rFonts w:ascii="Abadi" w:hAnsi="Abadi"/>
          <w:sz w:val="21"/>
          <w:szCs w:val="21"/>
        </w:rPr>
        <w:tab/>
      </w:r>
      <w:r w:rsidRPr="0042633C">
        <w:rPr>
          <w:rFonts w:ascii="Abadi" w:hAnsi="Abadi"/>
          <w:b/>
          <w:bCs/>
          <w:sz w:val="21"/>
          <w:szCs w:val="21"/>
        </w:rPr>
        <w:t xml:space="preserve">- La </w:t>
      </w:r>
      <w:proofErr w:type="gramStart"/>
      <w:r w:rsidRPr="0042633C">
        <w:rPr>
          <w:rFonts w:ascii="Abadi" w:hAnsi="Abadi"/>
          <w:b/>
          <w:bCs/>
          <w:sz w:val="21"/>
          <w:szCs w:val="21"/>
        </w:rPr>
        <w:t>Presidencia.-</w:t>
      </w:r>
      <w:proofErr w:type="gramEnd"/>
      <w:r>
        <w:rPr>
          <w:rFonts w:ascii="Abadi" w:hAnsi="Abadi"/>
          <w:sz w:val="21"/>
          <w:szCs w:val="21"/>
        </w:rPr>
        <w:t xml:space="preserve"> ¿D</w:t>
      </w:r>
      <w:r w:rsidRPr="0030088F">
        <w:rPr>
          <w:rFonts w:ascii="Abadi" w:hAnsi="Abadi"/>
          <w:sz w:val="21"/>
          <w:szCs w:val="21"/>
        </w:rPr>
        <w:t>iputado Gerardo Fernández</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para que afectó</w:t>
      </w:r>
      <w:r>
        <w:rPr>
          <w:rFonts w:ascii="Abadi" w:hAnsi="Abadi"/>
          <w:sz w:val="21"/>
          <w:szCs w:val="21"/>
        </w:rPr>
        <w:t>?</w:t>
      </w:r>
      <w:r w:rsidRPr="0030088F">
        <w:rPr>
          <w:rFonts w:ascii="Abadi" w:hAnsi="Abadi"/>
          <w:sz w:val="21"/>
          <w:szCs w:val="21"/>
        </w:rPr>
        <w:t xml:space="preserve"> solamente para dar claridad a mis votos presidenta en todos los casos mi voto es </w:t>
      </w:r>
      <w:r>
        <w:rPr>
          <w:rFonts w:ascii="Abadi" w:hAnsi="Abadi"/>
          <w:sz w:val="21"/>
          <w:szCs w:val="21"/>
        </w:rPr>
        <w:t>¡</w:t>
      </w:r>
      <w:r w:rsidRPr="0030088F">
        <w:rPr>
          <w:rFonts w:ascii="Abadi" w:hAnsi="Abadi"/>
          <w:sz w:val="21"/>
          <w:szCs w:val="21"/>
        </w:rPr>
        <w:t>no</w:t>
      </w:r>
      <w:r>
        <w:rPr>
          <w:rFonts w:ascii="Abadi" w:hAnsi="Abadi"/>
          <w:sz w:val="21"/>
          <w:szCs w:val="21"/>
        </w:rPr>
        <w:t>!</w:t>
      </w:r>
      <w:r w:rsidRPr="0030088F">
        <w:rPr>
          <w:rFonts w:ascii="Abadi" w:hAnsi="Abadi"/>
          <w:sz w:val="21"/>
          <w:szCs w:val="21"/>
        </w:rPr>
        <w:t xml:space="preserve"> excepto por el punto 32 donde mi voto es </w:t>
      </w:r>
      <w:r>
        <w:rPr>
          <w:rFonts w:ascii="Abadi" w:hAnsi="Abadi"/>
          <w:sz w:val="21"/>
          <w:szCs w:val="21"/>
        </w:rPr>
        <w:t xml:space="preserve">¡sí! </w:t>
      </w:r>
      <w:r w:rsidRPr="007548E2">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gracias diputado queda así registrado entonces por favor para la contabilidad</w:t>
      </w:r>
      <w:r>
        <w:rPr>
          <w:rFonts w:ascii="Abadi" w:hAnsi="Abadi"/>
          <w:sz w:val="21"/>
          <w:szCs w:val="21"/>
        </w:rPr>
        <w:t xml:space="preserve"> ¿</w:t>
      </w:r>
      <w:r w:rsidRPr="0030088F">
        <w:rPr>
          <w:rFonts w:ascii="Abadi" w:hAnsi="Abadi"/>
          <w:sz w:val="21"/>
          <w:szCs w:val="21"/>
        </w:rPr>
        <w:t>diputada Martha Lourdes</w:t>
      </w:r>
      <w:r>
        <w:rPr>
          <w:rFonts w:ascii="Abadi" w:hAnsi="Abadi"/>
          <w:sz w:val="21"/>
          <w:szCs w:val="21"/>
        </w:rPr>
        <w:t xml:space="preserve"> O</w:t>
      </w:r>
      <w:r w:rsidRPr="0030088F">
        <w:rPr>
          <w:rFonts w:ascii="Abadi" w:hAnsi="Abadi"/>
          <w:sz w:val="21"/>
          <w:szCs w:val="21"/>
        </w:rPr>
        <w:t>rtega</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para qué efecto</w:t>
      </w:r>
      <w:r w:rsidRPr="001633C7">
        <w:rPr>
          <w:rFonts w:ascii="Abadi" w:hAnsi="Abadi"/>
          <w:b/>
          <w:bCs/>
          <w:sz w:val="21"/>
          <w:szCs w:val="21"/>
        </w:rPr>
        <w:t>? (Voz) diputada Martha Lourdes Ortega,</w:t>
      </w:r>
      <w:r>
        <w:rPr>
          <w:rFonts w:ascii="Abadi" w:hAnsi="Abadi"/>
          <w:sz w:val="21"/>
          <w:szCs w:val="21"/>
        </w:rPr>
        <w:t xml:space="preserve"> </w:t>
      </w:r>
      <w:r w:rsidRPr="0030088F">
        <w:rPr>
          <w:rFonts w:ascii="Abadi" w:hAnsi="Abadi"/>
          <w:sz w:val="21"/>
          <w:szCs w:val="21"/>
        </w:rPr>
        <w:t xml:space="preserve">también presidenta todos los votos en contra excepto el número 32 </w:t>
      </w:r>
      <w:r>
        <w:rPr>
          <w:rFonts w:ascii="Abadi" w:hAnsi="Abadi"/>
          <w:sz w:val="21"/>
          <w:szCs w:val="21"/>
        </w:rPr>
        <w:t xml:space="preserve">a favor, </w:t>
      </w:r>
      <w:r w:rsidRPr="001633C7">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gracias</w:t>
      </w:r>
      <w:r>
        <w:rPr>
          <w:rFonts w:ascii="Abadi" w:hAnsi="Abadi"/>
          <w:sz w:val="21"/>
          <w:szCs w:val="21"/>
        </w:rPr>
        <w:t>.</w:t>
      </w:r>
    </w:p>
    <w:p w14:paraId="042D4E79" w14:textId="77777777" w:rsidR="00DB032A" w:rsidRDefault="00DB032A" w:rsidP="00DB032A">
      <w:pPr>
        <w:jc w:val="both"/>
        <w:rPr>
          <w:rFonts w:ascii="Abadi" w:hAnsi="Abadi"/>
          <w:sz w:val="21"/>
          <w:szCs w:val="21"/>
        </w:rPr>
      </w:pPr>
    </w:p>
    <w:p w14:paraId="59283074" w14:textId="77777777" w:rsidR="00DB032A" w:rsidRDefault="00DB032A" w:rsidP="00DB032A">
      <w:pPr>
        <w:jc w:val="both"/>
        <w:rPr>
          <w:rFonts w:ascii="Abadi" w:hAnsi="Abadi"/>
          <w:sz w:val="21"/>
          <w:szCs w:val="21"/>
        </w:rPr>
      </w:pPr>
      <w:r>
        <w:rPr>
          <w:rFonts w:ascii="Abadi" w:hAnsi="Abadi"/>
          <w:sz w:val="21"/>
          <w:szCs w:val="21"/>
        </w:rPr>
        <w:tab/>
      </w:r>
      <w:r w:rsidRPr="00D20BA8">
        <w:rPr>
          <w:rFonts w:ascii="Abadi" w:hAnsi="Abadi"/>
          <w:b/>
          <w:bCs/>
          <w:sz w:val="21"/>
          <w:szCs w:val="21"/>
        </w:rPr>
        <w:t xml:space="preserve">- La </w:t>
      </w:r>
      <w:proofErr w:type="gramStart"/>
      <w:r w:rsidRPr="00D20BA8">
        <w:rPr>
          <w:rFonts w:ascii="Abadi" w:hAnsi="Abadi"/>
          <w:b/>
          <w:bCs/>
          <w:sz w:val="21"/>
          <w:szCs w:val="21"/>
        </w:rPr>
        <w:t>Secretaría.-</w:t>
      </w:r>
      <w:proofErr w:type="gramEnd"/>
      <w:r w:rsidRPr="00D20BA8">
        <w:rPr>
          <w:rFonts w:ascii="Abadi" w:hAnsi="Abadi"/>
          <w:b/>
          <w:bCs/>
          <w:sz w:val="21"/>
          <w:szCs w:val="21"/>
        </w:rPr>
        <w:t xml:space="preserve"> </w:t>
      </w:r>
      <w:r>
        <w:rPr>
          <w:rFonts w:ascii="Abadi" w:hAnsi="Abadi"/>
          <w:sz w:val="21"/>
          <w:szCs w:val="21"/>
        </w:rPr>
        <w:t>P</w:t>
      </w:r>
      <w:r w:rsidRPr="0030088F">
        <w:rPr>
          <w:rFonts w:ascii="Abadi" w:hAnsi="Abadi"/>
          <w:sz w:val="21"/>
          <w:szCs w:val="21"/>
        </w:rPr>
        <w:t>residente del informó que en lo general se aprobó con 25 votos a favor 8 votos en contra con salvedad el punto 32 donde hubo votos a favor 23 y 10 votos en contra</w:t>
      </w:r>
      <w:r>
        <w:rPr>
          <w:rFonts w:ascii="Abadi" w:hAnsi="Abadi"/>
          <w:sz w:val="21"/>
          <w:szCs w:val="21"/>
        </w:rPr>
        <w:t>.</w:t>
      </w:r>
    </w:p>
    <w:p w14:paraId="75D7C152" w14:textId="77777777" w:rsidR="00DB032A" w:rsidRDefault="00DB032A" w:rsidP="00DB032A">
      <w:pPr>
        <w:jc w:val="both"/>
        <w:rPr>
          <w:rFonts w:ascii="Abadi" w:hAnsi="Abadi"/>
          <w:sz w:val="21"/>
          <w:szCs w:val="21"/>
        </w:rPr>
      </w:pPr>
    </w:p>
    <w:p w14:paraId="71206CFC" w14:textId="77777777" w:rsidR="00DB032A" w:rsidRDefault="00DB032A" w:rsidP="00DB032A">
      <w:pPr>
        <w:jc w:val="both"/>
        <w:rPr>
          <w:rFonts w:ascii="Abadi" w:hAnsi="Abadi"/>
          <w:sz w:val="21"/>
          <w:szCs w:val="21"/>
        </w:rPr>
      </w:pPr>
      <w:r>
        <w:rPr>
          <w:rFonts w:ascii="Abadi" w:hAnsi="Abadi"/>
          <w:b/>
          <w:bCs/>
          <w:sz w:val="21"/>
          <w:szCs w:val="21"/>
        </w:rPr>
        <w:tab/>
      </w:r>
      <w:r w:rsidRPr="0069303C">
        <w:rPr>
          <w:rFonts w:ascii="Abadi" w:hAnsi="Abadi"/>
          <w:b/>
          <w:bCs/>
          <w:sz w:val="21"/>
          <w:szCs w:val="21"/>
        </w:rPr>
        <w:t xml:space="preserve">- La </w:t>
      </w:r>
      <w:proofErr w:type="gramStart"/>
      <w:r w:rsidRPr="0069303C">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 los dictámenes han sido aprobados por mayoría de votos</w:t>
      </w:r>
      <w:r>
        <w:rPr>
          <w:rFonts w:ascii="Abadi" w:hAnsi="Abadi"/>
          <w:sz w:val="21"/>
          <w:szCs w:val="21"/>
        </w:rPr>
        <w:t>.</w:t>
      </w:r>
    </w:p>
    <w:p w14:paraId="0401E5AE" w14:textId="77777777" w:rsidR="00DB032A" w:rsidRDefault="00DB032A" w:rsidP="00DB032A">
      <w:pPr>
        <w:ind w:left="1134" w:right="1467"/>
        <w:jc w:val="both"/>
        <w:rPr>
          <w:rFonts w:ascii="Abadi" w:hAnsi="Abadi"/>
          <w:b/>
          <w:bCs/>
          <w:i/>
          <w:iCs/>
          <w:sz w:val="21"/>
          <w:szCs w:val="21"/>
          <w:u w:val="single"/>
        </w:rPr>
      </w:pPr>
    </w:p>
    <w:p w14:paraId="57D4E780" w14:textId="77777777" w:rsidR="00DB032A" w:rsidRPr="00B939AD" w:rsidRDefault="00DB032A" w:rsidP="00DB032A">
      <w:pPr>
        <w:ind w:left="993" w:right="992"/>
        <w:jc w:val="both"/>
        <w:rPr>
          <w:rFonts w:ascii="Abadi" w:hAnsi="Abadi"/>
          <w:b/>
          <w:bCs/>
          <w:i/>
          <w:iCs/>
          <w:sz w:val="21"/>
          <w:szCs w:val="21"/>
          <w:u w:val="single"/>
        </w:rPr>
      </w:pPr>
      <w:r w:rsidRPr="00B939AD">
        <w:rPr>
          <w:rFonts w:ascii="Abadi" w:hAnsi="Abadi"/>
          <w:b/>
          <w:bCs/>
          <w:i/>
          <w:iCs/>
          <w:sz w:val="21"/>
          <w:szCs w:val="21"/>
          <w:u w:val="single"/>
        </w:rPr>
        <w:t>En consecuencia remítanse los acuerdos aprobados relativos a las cuentas públicas contenidos en los puntos del 37 al 51 del orden del día</w:t>
      </w:r>
      <w:r>
        <w:rPr>
          <w:rFonts w:ascii="Abadi" w:hAnsi="Abadi"/>
          <w:b/>
          <w:bCs/>
          <w:i/>
          <w:iCs/>
          <w:sz w:val="21"/>
          <w:szCs w:val="21"/>
          <w:u w:val="single"/>
        </w:rPr>
        <w:t xml:space="preserve">, </w:t>
      </w:r>
      <w:r w:rsidRPr="00B939AD">
        <w:rPr>
          <w:rFonts w:ascii="Abadi" w:hAnsi="Abadi"/>
          <w:b/>
          <w:bCs/>
          <w:i/>
          <w:iCs/>
          <w:sz w:val="21"/>
          <w:szCs w:val="21"/>
          <w:u w:val="single"/>
        </w:rPr>
        <w:t>al titular del Poder Ejecutivo del Estado para su publicación en el Periódico Oficial del Gobierno del Estado de igual forma con fundamento en el artículo 37 fracción V</w:t>
      </w:r>
      <w:r>
        <w:rPr>
          <w:rFonts w:ascii="Abadi" w:hAnsi="Abadi"/>
          <w:b/>
          <w:bCs/>
          <w:i/>
          <w:iCs/>
          <w:sz w:val="21"/>
          <w:szCs w:val="21"/>
          <w:u w:val="single"/>
        </w:rPr>
        <w:t>I</w:t>
      </w:r>
      <w:r w:rsidRPr="00B939AD">
        <w:rPr>
          <w:rFonts w:ascii="Abadi" w:hAnsi="Abadi"/>
          <w:b/>
          <w:bCs/>
          <w:i/>
          <w:iCs/>
          <w:sz w:val="21"/>
          <w:szCs w:val="21"/>
          <w:u w:val="single"/>
        </w:rPr>
        <w:t xml:space="preserve"> de la Ley de Fiscalización Superior </w:t>
      </w:r>
      <w:r w:rsidRPr="00B939AD">
        <w:rPr>
          <w:rFonts w:ascii="Abadi" w:hAnsi="Abadi"/>
          <w:b/>
          <w:bCs/>
          <w:i/>
          <w:iCs/>
          <w:sz w:val="21"/>
          <w:szCs w:val="21"/>
          <w:u w:val="single"/>
        </w:rPr>
        <w:lastRenderedPageBreak/>
        <w:t>del Estado de Guanajuato, remitase los acuerdos aprobados junto con sus dictámenes y los informes de resultados a la Auditoría Superior del Estado de Guanajuato para efectos de su notificación.</w:t>
      </w:r>
    </w:p>
    <w:p w14:paraId="60483498" w14:textId="77777777" w:rsidR="00DB032A" w:rsidRDefault="00DB032A" w:rsidP="003C20B5">
      <w:pPr>
        <w:pStyle w:val="Textoindependiente2"/>
      </w:pPr>
    </w:p>
    <w:p w14:paraId="369F23B7" w14:textId="7AA47F5F" w:rsidR="00374533" w:rsidRPr="00006796" w:rsidRDefault="00374533" w:rsidP="00427BD6">
      <w:pPr>
        <w:pStyle w:val="Prrafodelista"/>
        <w:numPr>
          <w:ilvl w:val="0"/>
          <w:numId w:val="8"/>
        </w:numPr>
        <w:autoSpaceDE w:val="0"/>
        <w:autoSpaceDN w:val="0"/>
        <w:adjustRightInd w:val="0"/>
        <w:ind w:left="426"/>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AUDITORÍA INTEGRAL PRACTICADA POR LA AUDITORÍA SUPERIOR DEL ESTADO DE GUANAJUATO A LA ADMINISTRACIÓN PÚBLICA MUNICIPAL DE ACÁMBARO, GTO.,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w:t>
      </w:r>
      <w:r w:rsidRPr="00006796">
        <w:rPr>
          <w:rFonts w:ascii="Abadi" w:hAnsi="Abadi" w:cs="Arial-ItalicMT"/>
          <w:b/>
          <w:bCs/>
          <w:i/>
          <w:iCs/>
          <w:sz w:val="21"/>
          <w:szCs w:val="21"/>
        </w:rPr>
        <w:t>(ELD 259/LXV-IRASEG)</w:t>
      </w:r>
      <w:r w:rsidR="006D1D41">
        <w:rPr>
          <w:rStyle w:val="Refdenotaalpie"/>
          <w:rFonts w:ascii="Abadi" w:hAnsi="Abadi" w:cs="Arial-ItalicMT"/>
          <w:b/>
          <w:bCs/>
          <w:i/>
          <w:iCs/>
          <w:sz w:val="21"/>
          <w:szCs w:val="21"/>
        </w:rPr>
        <w:footnoteReference w:id="219"/>
      </w:r>
    </w:p>
    <w:p w14:paraId="1229F142" w14:textId="77777777" w:rsidR="00374533" w:rsidRDefault="00374533" w:rsidP="00374533">
      <w:pPr>
        <w:autoSpaceDE w:val="0"/>
        <w:autoSpaceDN w:val="0"/>
        <w:adjustRightInd w:val="0"/>
        <w:jc w:val="both"/>
        <w:rPr>
          <w:rFonts w:ascii="Abadi" w:hAnsi="Abadi" w:cs="Arial-ItalicMT"/>
          <w:b/>
          <w:bCs/>
          <w:i/>
          <w:iCs/>
          <w:sz w:val="21"/>
          <w:szCs w:val="21"/>
        </w:rPr>
      </w:pPr>
    </w:p>
    <w:p w14:paraId="17C80063" w14:textId="77777777" w:rsidR="0053667E" w:rsidRDefault="0053667E" w:rsidP="00374533">
      <w:pPr>
        <w:autoSpaceDE w:val="0"/>
        <w:autoSpaceDN w:val="0"/>
        <w:adjustRightInd w:val="0"/>
        <w:jc w:val="both"/>
        <w:rPr>
          <w:rFonts w:ascii="Abadi" w:hAnsi="Abadi" w:cs="Arial-ItalicMT"/>
          <w:b/>
          <w:bCs/>
          <w:i/>
          <w:iCs/>
          <w:sz w:val="21"/>
          <w:szCs w:val="21"/>
        </w:rPr>
      </w:pPr>
    </w:p>
    <w:p w14:paraId="12696474" w14:textId="77777777" w:rsidR="007D4805" w:rsidRPr="0033650D" w:rsidRDefault="007D4805" w:rsidP="007D4805">
      <w:pPr>
        <w:pStyle w:val="Textoindependiente3"/>
        <w:rPr>
          <w:rFonts w:ascii="Abadi" w:hAnsi="Abadi" w:cs="Arial"/>
          <w:smallCaps/>
          <w:sz w:val="21"/>
          <w:szCs w:val="21"/>
        </w:rPr>
      </w:pPr>
      <w:r w:rsidRPr="0033650D">
        <w:rPr>
          <w:rFonts w:ascii="Abadi" w:hAnsi="Abadi" w:cs="Arial"/>
          <w:smallCaps/>
          <w:sz w:val="21"/>
          <w:szCs w:val="21"/>
        </w:rPr>
        <w:t>C. Presidenta del Congreso del Estado</w:t>
      </w:r>
    </w:p>
    <w:p w14:paraId="703F71DB" w14:textId="77777777" w:rsidR="007D4805" w:rsidRPr="0033650D" w:rsidRDefault="007D4805" w:rsidP="007D4805">
      <w:pPr>
        <w:jc w:val="both"/>
        <w:rPr>
          <w:rFonts w:ascii="Abadi" w:hAnsi="Abadi"/>
          <w:b/>
          <w:bCs/>
          <w:smallCaps/>
          <w:sz w:val="21"/>
          <w:szCs w:val="21"/>
        </w:rPr>
      </w:pPr>
      <w:r w:rsidRPr="0033650D">
        <w:rPr>
          <w:rFonts w:ascii="Abadi" w:hAnsi="Abadi"/>
          <w:b/>
          <w:bCs/>
          <w:smallCaps/>
          <w:sz w:val="21"/>
          <w:szCs w:val="21"/>
        </w:rPr>
        <w:t>P r e s e n t e.</w:t>
      </w:r>
    </w:p>
    <w:p w14:paraId="4CFFD5D8" w14:textId="77777777" w:rsidR="007D4805" w:rsidRPr="0033650D" w:rsidRDefault="007D4805" w:rsidP="007D4805">
      <w:pPr>
        <w:pStyle w:val="Textoindependiente"/>
        <w:rPr>
          <w:rFonts w:ascii="Abadi" w:hAnsi="Abadi"/>
          <w:sz w:val="21"/>
          <w:szCs w:val="21"/>
        </w:rPr>
      </w:pPr>
    </w:p>
    <w:p w14:paraId="0DBB9FE8" w14:textId="77777777" w:rsidR="007D4805" w:rsidRPr="0033650D" w:rsidRDefault="007D4805" w:rsidP="007D4805">
      <w:pPr>
        <w:pStyle w:val="Sangra3detindependiente"/>
        <w:spacing w:line="240" w:lineRule="auto"/>
        <w:rPr>
          <w:rFonts w:ascii="Abadi" w:hAnsi="Abadi"/>
          <w:sz w:val="21"/>
          <w:szCs w:val="21"/>
        </w:rPr>
      </w:pPr>
      <w:r w:rsidRPr="0033650D">
        <w:rPr>
          <w:rFonts w:ascii="Abadi" w:hAnsi="Abadi"/>
          <w:sz w:val="21"/>
          <w:szCs w:val="21"/>
        </w:rPr>
        <w:t xml:space="preserve">A esta Comisión de Hacienda y Fiscalización le fue turnado para su estudio y dictamen, el informe de resultados de la auditoría integral practicada por la Auditoría Superior del Estado de Guanajuato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w:t>
      </w:r>
      <w:r w:rsidRPr="0033650D">
        <w:rPr>
          <w:rFonts w:ascii="Abadi" w:hAnsi="Abadi"/>
          <w:sz w:val="21"/>
          <w:szCs w:val="21"/>
        </w:rPr>
        <w:t>comprendido por los meses de enero a octubre del ejercicio fiscal del año 2021, en cumplimiento al acuerdo aprobado por el Pleno del Congreso del Estado de Guanajuato el 20 de diciembre de 2021. (ELD 259/LXV-IRASEG)</w:t>
      </w:r>
    </w:p>
    <w:p w14:paraId="71F231FD" w14:textId="77777777" w:rsidR="007D4805" w:rsidRPr="0033650D" w:rsidRDefault="007D4805" w:rsidP="007D4805">
      <w:pPr>
        <w:pStyle w:val="Sangra3detindependiente"/>
        <w:spacing w:line="240" w:lineRule="auto"/>
        <w:rPr>
          <w:rFonts w:ascii="Abadi" w:hAnsi="Abadi"/>
          <w:sz w:val="21"/>
          <w:szCs w:val="21"/>
        </w:rPr>
      </w:pPr>
    </w:p>
    <w:p w14:paraId="7374A547" w14:textId="77777777" w:rsidR="007D4805" w:rsidRPr="0033650D" w:rsidRDefault="007D4805" w:rsidP="007D4805">
      <w:pPr>
        <w:pStyle w:val="Sangra3detindependiente"/>
        <w:spacing w:line="240" w:lineRule="auto"/>
        <w:rPr>
          <w:rFonts w:ascii="Abadi" w:hAnsi="Abadi"/>
          <w:sz w:val="21"/>
          <w:szCs w:val="21"/>
        </w:rPr>
      </w:pPr>
      <w:r w:rsidRPr="0033650D">
        <w:rPr>
          <w:rFonts w:ascii="Abadi" w:hAnsi="Abadi"/>
          <w:sz w:val="21"/>
          <w:szCs w:val="21"/>
        </w:rPr>
        <w:t xml:space="preserve">Una vez analizado el referido informe de resultados, con fundamento en los artículos 112, fracción XII, párrafo primero y 171 de </w:t>
      </w:r>
      <w:smartTag w:uri="urn:schemas-microsoft-com:office:smarttags" w:element="PersonName">
        <w:smartTagPr>
          <w:attr w:name="ProductID" w:val="la Ley Org￡nica"/>
        </w:smartTagPr>
        <w:r w:rsidRPr="0033650D">
          <w:rPr>
            <w:rFonts w:ascii="Abadi" w:hAnsi="Abadi"/>
            <w:sz w:val="21"/>
            <w:szCs w:val="21"/>
          </w:rPr>
          <w:t>la Ley Orgánica</w:t>
        </w:r>
      </w:smartTag>
      <w:r w:rsidRPr="0033650D">
        <w:rPr>
          <w:rFonts w:ascii="Abadi" w:hAnsi="Abadi"/>
          <w:sz w:val="21"/>
          <w:szCs w:val="21"/>
        </w:rPr>
        <w:t xml:space="preserve"> del Poder Legislativo, nos permitimos rendir el siguiente:</w:t>
      </w:r>
    </w:p>
    <w:p w14:paraId="5CF5840F" w14:textId="77777777" w:rsidR="007D4805" w:rsidRPr="0033650D" w:rsidRDefault="007D4805" w:rsidP="007D4805">
      <w:pPr>
        <w:pStyle w:val="Sangra3detindependiente"/>
        <w:spacing w:line="240" w:lineRule="auto"/>
        <w:rPr>
          <w:rFonts w:ascii="Abadi" w:hAnsi="Abadi"/>
          <w:sz w:val="21"/>
          <w:szCs w:val="21"/>
        </w:rPr>
      </w:pPr>
    </w:p>
    <w:p w14:paraId="51D8299C" w14:textId="77777777" w:rsidR="007D4805" w:rsidRPr="0033650D" w:rsidRDefault="007D4805" w:rsidP="007D4805">
      <w:pPr>
        <w:pStyle w:val="Ttulo1"/>
        <w:jc w:val="center"/>
        <w:rPr>
          <w:rFonts w:ascii="Abadi" w:hAnsi="Abadi" w:cs="Arial"/>
          <w:sz w:val="21"/>
          <w:szCs w:val="21"/>
        </w:rPr>
      </w:pPr>
    </w:p>
    <w:p w14:paraId="6CC130AB" w14:textId="77777777" w:rsidR="007D4805" w:rsidRPr="0033650D" w:rsidRDefault="007D4805" w:rsidP="007D4805">
      <w:pPr>
        <w:pStyle w:val="Ttulo1"/>
        <w:jc w:val="center"/>
        <w:rPr>
          <w:rFonts w:ascii="Abadi" w:hAnsi="Abadi" w:cs="Arial"/>
          <w:sz w:val="21"/>
          <w:szCs w:val="21"/>
        </w:rPr>
      </w:pPr>
      <w:r w:rsidRPr="0033650D">
        <w:rPr>
          <w:rFonts w:ascii="Abadi" w:hAnsi="Abadi" w:cs="Arial"/>
          <w:sz w:val="21"/>
          <w:szCs w:val="21"/>
        </w:rPr>
        <w:t>D i c t a m e n</w:t>
      </w:r>
    </w:p>
    <w:p w14:paraId="4A74F8A5" w14:textId="77777777" w:rsidR="007D4805" w:rsidRPr="0033650D" w:rsidRDefault="007D4805" w:rsidP="007D4805">
      <w:pPr>
        <w:jc w:val="both"/>
        <w:rPr>
          <w:rFonts w:ascii="Abadi" w:hAnsi="Abadi"/>
          <w:sz w:val="21"/>
          <w:szCs w:val="21"/>
        </w:rPr>
      </w:pPr>
    </w:p>
    <w:p w14:paraId="0473BAC5" w14:textId="77777777" w:rsidR="007D4805" w:rsidRPr="00472548" w:rsidRDefault="007D4805" w:rsidP="007D4805">
      <w:pPr>
        <w:pStyle w:val="Textoindependiente"/>
        <w:ind w:firstLine="708"/>
        <w:rPr>
          <w:rFonts w:ascii="Abadi" w:hAnsi="Abadi"/>
          <w:sz w:val="21"/>
          <w:szCs w:val="21"/>
        </w:rPr>
      </w:pPr>
      <w:r w:rsidRPr="00472548">
        <w:rPr>
          <w:rFonts w:ascii="Abadi" w:hAnsi="Abadi"/>
          <w:sz w:val="21"/>
          <w:szCs w:val="21"/>
        </w:rPr>
        <w:t>I. Competencia:</w:t>
      </w:r>
    </w:p>
    <w:p w14:paraId="66D0CF76" w14:textId="77777777" w:rsidR="007D4805" w:rsidRPr="0033650D" w:rsidRDefault="007D4805" w:rsidP="007D4805">
      <w:pPr>
        <w:pStyle w:val="Textoindependiente"/>
        <w:ind w:firstLine="708"/>
        <w:rPr>
          <w:rFonts w:ascii="Abadi" w:hAnsi="Abadi"/>
          <w:b w:val="0"/>
          <w:bCs w:val="0"/>
          <w:sz w:val="21"/>
          <w:szCs w:val="21"/>
        </w:rPr>
      </w:pPr>
    </w:p>
    <w:p w14:paraId="73B3CF09"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472548">
          <w:rPr>
            <w:rFonts w:ascii="Abadi" w:hAnsi="Abadi"/>
            <w:b w:val="0"/>
            <w:bCs w:val="0"/>
            <w:sz w:val="21"/>
            <w:szCs w:val="21"/>
          </w:rPr>
          <w:t>la Constitución Política</w:t>
        </w:r>
      </w:smartTag>
      <w:r w:rsidRPr="00472548">
        <w:rPr>
          <w:rFonts w:ascii="Abadi" w:hAnsi="Abadi"/>
          <w:b w:val="0"/>
          <w:bCs w:val="0"/>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41A7F0F" w14:textId="77777777" w:rsidR="007D4805" w:rsidRPr="00472548" w:rsidRDefault="007D4805" w:rsidP="007D4805">
      <w:pPr>
        <w:pStyle w:val="Textoindependiente"/>
        <w:ind w:firstLine="708"/>
        <w:rPr>
          <w:rFonts w:ascii="Abadi" w:hAnsi="Abadi"/>
          <w:b w:val="0"/>
          <w:bCs w:val="0"/>
          <w:sz w:val="21"/>
          <w:szCs w:val="21"/>
        </w:rPr>
      </w:pPr>
    </w:p>
    <w:p w14:paraId="086D2274" w14:textId="77777777" w:rsidR="007D4805" w:rsidRPr="0033650D" w:rsidRDefault="007D4805" w:rsidP="007D4805">
      <w:pPr>
        <w:pStyle w:val="Textoindependiente"/>
        <w:ind w:firstLine="708"/>
        <w:rPr>
          <w:rFonts w:ascii="Abadi" w:hAnsi="Abadi"/>
          <w:sz w:val="21"/>
          <w:szCs w:val="21"/>
        </w:rPr>
      </w:pPr>
    </w:p>
    <w:p w14:paraId="5DCF6DAB"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w:t>
      </w:r>
      <w:r w:rsidRPr="00472548">
        <w:rPr>
          <w:rFonts w:ascii="Abadi" w:hAnsi="Abadi"/>
          <w:b w:val="0"/>
          <w:bCs w:val="0"/>
          <w:sz w:val="21"/>
          <w:szCs w:val="21"/>
        </w:rPr>
        <w:lastRenderedPageBreak/>
        <w:t>observaciones de las auditorías, constituyendo una de las fases del proceso de fiscalización.</w:t>
      </w:r>
    </w:p>
    <w:p w14:paraId="79AF156E" w14:textId="77777777" w:rsidR="007D4805" w:rsidRPr="0033650D" w:rsidRDefault="007D4805" w:rsidP="007D4805">
      <w:pPr>
        <w:pStyle w:val="Textoindependiente"/>
        <w:ind w:firstLine="708"/>
        <w:rPr>
          <w:rFonts w:ascii="Abadi" w:hAnsi="Abadi"/>
          <w:sz w:val="21"/>
          <w:szCs w:val="21"/>
        </w:rPr>
      </w:pPr>
    </w:p>
    <w:p w14:paraId="4CD614C5" w14:textId="77777777" w:rsidR="007D4805" w:rsidRPr="0033650D" w:rsidRDefault="007D4805" w:rsidP="007D4805">
      <w:pPr>
        <w:ind w:firstLine="708"/>
        <w:jc w:val="both"/>
        <w:rPr>
          <w:rFonts w:ascii="Abadi" w:hAnsi="Abadi"/>
          <w:sz w:val="21"/>
          <w:szCs w:val="21"/>
          <w:lang w:eastAsia="x-none"/>
        </w:rPr>
      </w:pPr>
      <w:r w:rsidRPr="0033650D">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33650D">
          <w:rPr>
            <w:rFonts w:ascii="Abadi" w:hAnsi="Abadi"/>
            <w:sz w:val="21"/>
            <w:szCs w:val="21"/>
            <w:lang w:eastAsia="x-none"/>
          </w:rPr>
          <w:t>la Ley</w:t>
        </w:r>
      </w:smartTag>
      <w:r w:rsidRPr="0033650D">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4BE7B47D" w14:textId="77777777" w:rsidR="007D4805" w:rsidRPr="0033650D" w:rsidRDefault="007D4805" w:rsidP="007D4805">
      <w:pPr>
        <w:pStyle w:val="Textoindependiente"/>
        <w:ind w:firstLine="708"/>
        <w:rPr>
          <w:rFonts w:ascii="Abadi" w:hAnsi="Abadi"/>
          <w:sz w:val="21"/>
          <w:szCs w:val="21"/>
        </w:rPr>
      </w:pPr>
    </w:p>
    <w:p w14:paraId="130400F8"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En razón de lo cual, la Ley de Fiscalización Superior del Estado de Guanajuato contempla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BA5F09B" w14:textId="77777777" w:rsidR="007D4805" w:rsidRPr="00472548" w:rsidRDefault="007D4805" w:rsidP="007D4805">
      <w:pPr>
        <w:pStyle w:val="Textoindependiente"/>
        <w:ind w:firstLine="708"/>
        <w:rPr>
          <w:rFonts w:ascii="Abadi" w:hAnsi="Abadi"/>
          <w:b w:val="0"/>
          <w:bCs w:val="0"/>
          <w:sz w:val="21"/>
          <w:szCs w:val="21"/>
        </w:rPr>
      </w:pPr>
    </w:p>
    <w:p w14:paraId="480C1ADD"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72548">
          <w:rPr>
            <w:rFonts w:ascii="Abadi" w:hAnsi="Abadi"/>
            <w:b w:val="0"/>
            <w:bCs w:val="0"/>
            <w:sz w:val="21"/>
            <w:szCs w:val="21"/>
          </w:rPr>
          <w:t>la Ley Orgánica</w:t>
        </w:r>
      </w:smartTag>
      <w:r w:rsidRPr="00472548">
        <w:rPr>
          <w:rFonts w:ascii="Abadi" w:hAnsi="Abadi"/>
          <w:b w:val="0"/>
          <w:bCs w:val="0"/>
          <w:sz w:val="21"/>
          <w:szCs w:val="21"/>
        </w:rPr>
        <w:t xml:space="preserve"> del Poder Legislativo del Estado de Guanajuato señala en su artículo 112, fracción XII, primer párrafo que, a esta Comisión de Hacienda y Fiscalización le compete el conocimiento y dictamen de los asuntos relativos a los informes de resultados que emita la Auditoría Superior del Estado. </w:t>
      </w:r>
    </w:p>
    <w:p w14:paraId="136F5EBD" w14:textId="77777777" w:rsidR="007D4805" w:rsidRPr="00472548" w:rsidRDefault="007D4805" w:rsidP="007D4805">
      <w:pPr>
        <w:pStyle w:val="Textoindependiente"/>
        <w:ind w:firstLine="708"/>
        <w:rPr>
          <w:rFonts w:ascii="Abadi" w:hAnsi="Abadi"/>
          <w:b w:val="0"/>
          <w:bCs w:val="0"/>
          <w:sz w:val="21"/>
          <w:szCs w:val="21"/>
        </w:rPr>
      </w:pPr>
    </w:p>
    <w:p w14:paraId="329232F5"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DAD27EE" w14:textId="77777777" w:rsidR="007D4805" w:rsidRPr="0033650D" w:rsidRDefault="007D4805" w:rsidP="007D4805">
      <w:pPr>
        <w:pStyle w:val="Textoindependiente"/>
        <w:ind w:firstLine="708"/>
        <w:rPr>
          <w:rFonts w:ascii="Abadi" w:hAnsi="Abadi"/>
          <w:sz w:val="21"/>
          <w:szCs w:val="21"/>
        </w:rPr>
      </w:pPr>
    </w:p>
    <w:p w14:paraId="36E1A94E" w14:textId="77777777" w:rsidR="007D4805" w:rsidRPr="0033650D" w:rsidRDefault="007D4805" w:rsidP="007D4805">
      <w:pPr>
        <w:pStyle w:val="Textoindependiente"/>
        <w:ind w:firstLine="708"/>
        <w:rPr>
          <w:rFonts w:ascii="Abadi" w:hAnsi="Abadi"/>
          <w:sz w:val="21"/>
          <w:szCs w:val="21"/>
        </w:rPr>
      </w:pPr>
    </w:p>
    <w:p w14:paraId="0A28F8FF" w14:textId="77777777" w:rsidR="007D4805" w:rsidRPr="00472548" w:rsidRDefault="007D4805" w:rsidP="007D4805">
      <w:pPr>
        <w:pStyle w:val="Textoindependiente"/>
        <w:ind w:firstLine="708"/>
        <w:rPr>
          <w:rFonts w:ascii="Abadi" w:hAnsi="Abadi"/>
          <w:sz w:val="21"/>
          <w:szCs w:val="21"/>
        </w:rPr>
      </w:pPr>
      <w:r w:rsidRPr="00472548">
        <w:rPr>
          <w:rFonts w:ascii="Abadi" w:hAnsi="Abadi"/>
          <w:sz w:val="21"/>
          <w:szCs w:val="21"/>
        </w:rPr>
        <w:t>II. Antecedentes:</w:t>
      </w:r>
    </w:p>
    <w:p w14:paraId="60E4F213" w14:textId="77777777" w:rsidR="007D4805" w:rsidRPr="0033650D" w:rsidRDefault="007D4805" w:rsidP="007D4805">
      <w:pPr>
        <w:pStyle w:val="Textoindependiente"/>
        <w:ind w:firstLine="708"/>
        <w:rPr>
          <w:rFonts w:ascii="Abadi" w:hAnsi="Abadi"/>
          <w:sz w:val="21"/>
          <w:szCs w:val="21"/>
        </w:rPr>
      </w:pPr>
    </w:p>
    <w:p w14:paraId="4A27BFE2"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En la sesión ordinaria celebrada el 20 de diciembre de 2021, el Pleno de esta Sexagésima Quinta Legislatura del Congreso del Estado, con fundamento en los artículos 116, fracción II de la Constitución Política de los Estados Unidos Mexicanos; 57, 63, fracción XXVIII y 66 fracción IV de la Constitución Política para el Estado de Guanajuato; 2, fracción II, 3, fracción I y 82, </w:t>
      </w:r>
      <w:r w:rsidRPr="0033650D">
        <w:rPr>
          <w:rFonts w:ascii="Abadi" w:hAnsi="Abadi"/>
          <w:sz w:val="21"/>
          <w:szCs w:val="21"/>
        </w:rPr>
        <w:t xml:space="preserve">fracción III de la Ley de Fiscalización Superior del Estado de Guanajuato, acordó ordenar a la Auditoría Superior del Estado la práctica de una auditoría integral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aplicando las normas técnicas que resultaran idóneas para el cumplimiento de dicho mandato, en los términos de las consideraciones del dictamen formulado por la Comisión de Hacienda y Fiscalización.</w:t>
      </w:r>
    </w:p>
    <w:p w14:paraId="71F91A0A" w14:textId="77777777" w:rsidR="007D4805" w:rsidRPr="0033650D" w:rsidRDefault="007D4805" w:rsidP="007D4805">
      <w:pPr>
        <w:ind w:firstLine="708"/>
        <w:jc w:val="both"/>
        <w:rPr>
          <w:rFonts w:ascii="Abadi" w:hAnsi="Abadi"/>
          <w:sz w:val="21"/>
          <w:szCs w:val="21"/>
        </w:rPr>
      </w:pPr>
    </w:p>
    <w:p w14:paraId="7C68E2C5"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Al respecto, en el referido dictamen se vierten las siguientes consideraciones en atención a la propuesta presentada por el ayuntamiento de Acámbaro, </w:t>
      </w:r>
      <w:proofErr w:type="spellStart"/>
      <w:r w:rsidRPr="0033650D">
        <w:rPr>
          <w:rFonts w:ascii="Abadi" w:hAnsi="Abadi"/>
          <w:sz w:val="21"/>
          <w:szCs w:val="21"/>
        </w:rPr>
        <w:t>Gto</w:t>
      </w:r>
      <w:proofErr w:type="spellEnd"/>
      <w:r w:rsidRPr="0033650D">
        <w:rPr>
          <w:rFonts w:ascii="Abadi" w:hAnsi="Abadi"/>
          <w:sz w:val="21"/>
          <w:szCs w:val="21"/>
        </w:rPr>
        <w:t>:</w:t>
      </w:r>
    </w:p>
    <w:p w14:paraId="5ED0AA8F" w14:textId="77777777" w:rsidR="007D4805" w:rsidRPr="0033650D" w:rsidRDefault="007D4805" w:rsidP="007D4805">
      <w:pPr>
        <w:ind w:firstLine="708"/>
        <w:jc w:val="both"/>
        <w:rPr>
          <w:rFonts w:ascii="Abadi" w:hAnsi="Abadi"/>
          <w:sz w:val="21"/>
          <w:szCs w:val="21"/>
        </w:rPr>
      </w:pPr>
    </w:p>
    <w:p w14:paraId="062C07B2" w14:textId="77777777" w:rsidR="007D4805" w:rsidRPr="00472548" w:rsidRDefault="007D4805" w:rsidP="007D4805">
      <w:pPr>
        <w:pStyle w:val="Textoindependiente"/>
        <w:ind w:left="709" w:hanging="1"/>
        <w:rPr>
          <w:rFonts w:ascii="Abadi" w:hAnsi="Abadi"/>
          <w:b w:val="0"/>
          <w:bCs w:val="0"/>
          <w:i/>
          <w:iCs/>
          <w:sz w:val="21"/>
          <w:szCs w:val="21"/>
        </w:rPr>
      </w:pPr>
      <w:r w:rsidRPr="00472548">
        <w:rPr>
          <w:rFonts w:ascii="Abadi" w:hAnsi="Abadi"/>
          <w:b w:val="0"/>
          <w:bCs w:val="0"/>
          <w:i/>
          <w:iCs/>
          <w:sz w:val="21"/>
          <w:szCs w:val="21"/>
        </w:rPr>
        <w:t xml:space="preserve">Del contenido del acta de la sesión ordinaria del ayuntamiento de Acámbaro, </w:t>
      </w:r>
      <w:proofErr w:type="spellStart"/>
      <w:r w:rsidRPr="00472548">
        <w:rPr>
          <w:rFonts w:ascii="Abadi" w:hAnsi="Abadi"/>
          <w:b w:val="0"/>
          <w:bCs w:val="0"/>
          <w:i/>
          <w:iCs/>
          <w:sz w:val="21"/>
          <w:szCs w:val="21"/>
        </w:rPr>
        <w:t>Gto</w:t>
      </w:r>
      <w:proofErr w:type="spellEnd"/>
      <w:r w:rsidRPr="00472548">
        <w:rPr>
          <w:rFonts w:ascii="Abadi" w:hAnsi="Abadi"/>
          <w:b w:val="0"/>
          <w:bCs w:val="0"/>
          <w:i/>
          <w:iCs/>
          <w:sz w:val="21"/>
          <w:szCs w:val="21"/>
        </w:rPr>
        <w:t>., celebrada el 10 de octubre de 2021, se desprende que la propuesta materia del presente dictamen tiene por objeto solicitar la realización de una auditoría integral a la administración municipal 2018-2021, con la finalidad de verificar que haya finanzas sanas en el Municipio.</w:t>
      </w:r>
    </w:p>
    <w:p w14:paraId="622FDFAD" w14:textId="77777777" w:rsidR="007D4805" w:rsidRPr="00472548" w:rsidRDefault="007D4805" w:rsidP="007D4805">
      <w:pPr>
        <w:pStyle w:val="Textoindependiente"/>
        <w:ind w:left="709" w:hanging="1"/>
        <w:rPr>
          <w:rFonts w:ascii="Abadi" w:hAnsi="Abadi"/>
          <w:b w:val="0"/>
          <w:bCs w:val="0"/>
          <w:i/>
          <w:iCs/>
          <w:sz w:val="21"/>
          <w:szCs w:val="21"/>
        </w:rPr>
      </w:pPr>
    </w:p>
    <w:p w14:paraId="61A4C989"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Al respecto quienes integramos esta Comisión consideramos que la función de control es uno de los mecanismos que preservan el equilibrio entre los poderes públicos y asegura la vigencia de la ley como un instrumento que somete toda actuación de la autoridad y preserva las garantías y derechos de los ciudadanos. La vigilancia y el control sobre el ejercicio de los recursos públicos encomendados a las autoridades es una de las funciones primordiales que tiene el Poder Legislativo como responsable originario de esa función de control. </w:t>
      </w:r>
    </w:p>
    <w:p w14:paraId="09D476DF" w14:textId="77777777" w:rsidR="007D4805" w:rsidRPr="0033650D" w:rsidRDefault="007D4805" w:rsidP="007D4805">
      <w:pPr>
        <w:ind w:left="709" w:hanging="1"/>
        <w:jc w:val="both"/>
        <w:rPr>
          <w:rFonts w:ascii="Abadi" w:hAnsi="Abadi"/>
          <w:i/>
          <w:iCs/>
          <w:sz w:val="21"/>
          <w:szCs w:val="21"/>
        </w:rPr>
      </w:pPr>
    </w:p>
    <w:p w14:paraId="36E10448"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La administración, ejercicio, aplicación y control de los recursos públicos tienen que destinarse al sostenimiento y prestación de las funciones y servicios públicos estatuidos por las leyes, las que establecen los </w:t>
      </w:r>
      <w:r w:rsidRPr="0033650D">
        <w:rPr>
          <w:rFonts w:ascii="Abadi" w:hAnsi="Abadi"/>
          <w:i/>
          <w:iCs/>
          <w:sz w:val="21"/>
          <w:szCs w:val="21"/>
        </w:rPr>
        <w:lastRenderedPageBreak/>
        <w:t>mecanismos e instrumentos para que se cumplan y cuando tales objetivos no son observados, están creados los instrumentos y las autoridades que aplicarán las acciones preventivas, correctivas y sancionadoras conducentes a restablecer el orden jurídico quebrantado por las acciones u omisiones de los servidores públicos responsables.</w:t>
      </w:r>
    </w:p>
    <w:p w14:paraId="716E0BA1"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ab/>
      </w:r>
    </w:p>
    <w:p w14:paraId="25C118A6" w14:textId="77777777" w:rsidR="007D4805" w:rsidRPr="0033650D" w:rsidRDefault="007D4805" w:rsidP="007D4805">
      <w:pPr>
        <w:ind w:left="709" w:hanging="1"/>
        <w:jc w:val="both"/>
        <w:rPr>
          <w:rFonts w:ascii="Abadi" w:hAnsi="Abadi"/>
          <w:sz w:val="21"/>
          <w:szCs w:val="21"/>
        </w:rPr>
      </w:pPr>
      <w:r w:rsidRPr="0033650D">
        <w:rPr>
          <w:rFonts w:ascii="Abadi" w:hAnsi="Abadi"/>
          <w:i/>
          <w:iCs/>
          <w:sz w:val="21"/>
          <w:szCs w:val="21"/>
        </w:rPr>
        <w:t>El Congreso del Estado cumple con su función de control y de supervisión del manejo y aplicación de los recursos públicos a cargo de los poderes del Estado, los ayuntamientos y los organismos autónomos, a partir de la aprobación de las leyes tributarias que autorizan su obtención y aplicación; y de aquellas leyes que previenen y sancionan el uso indebido que se</w:t>
      </w:r>
      <w:r w:rsidRPr="0033650D">
        <w:rPr>
          <w:rFonts w:ascii="Abadi" w:hAnsi="Abadi"/>
          <w:sz w:val="21"/>
          <w:szCs w:val="21"/>
        </w:rPr>
        <w:t xml:space="preserve"> realice sobre dichos recursos. También lleva a cabo esta función indispensable para el Estado de Derecho, cuando fiscaliza y audita la aplicación de los caudales públicos.</w:t>
      </w:r>
    </w:p>
    <w:p w14:paraId="7BDB6733" w14:textId="77777777" w:rsidR="007D4805" w:rsidRPr="0033650D" w:rsidRDefault="007D4805" w:rsidP="007D4805">
      <w:pPr>
        <w:jc w:val="both"/>
        <w:rPr>
          <w:rFonts w:ascii="Abadi" w:hAnsi="Abadi"/>
          <w:sz w:val="21"/>
          <w:szCs w:val="21"/>
        </w:rPr>
      </w:pPr>
    </w:p>
    <w:p w14:paraId="2B1319FF" w14:textId="77777777" w:rsidR="007D4805" w:rsidRPr="0033650D" w:rsidRDefault="007D4805" w:rsidP="007D4805">
      <w:pPr>
        <w:ind w:left="709" w:hanging="1"/>
        <w:jc w:val="both"/>
        <w:rPr>
          <w:rFonts w:ascii="Abadi" w:hAnsi="Abadi"/>
          <w:i/>
          <w:iCs/>
          <w:sz w:val="21"/>
          <w:szCs w:val="21"/>
        </w:rPr>
      </w:pPr>
      <w:r w:rsidRPr="0033650D">
        <w:rPr>
          <w:rFonts w:ascii="Abadi" w:hAnsi="Abadi"/>
          <w:sz w:val="21"/>
          <w:szCs w:val="21"/>
        </w:rPr>
        <w:tab/>
      </w:r>
      <w:r w:rsidRPr="0033650D">
        <w:rPr>
          <w:rFonts w:ascii="Abadi" w:hAnsi="Abadi"/>
          <w:i/>
          <w:iCs/>
          <w:sz w:val="21"/>
          <w:szCs w:val="21"/>
        </w:rPr>
        <w:t xml:space="preserve">El artículo 116, fracción II, sexto párrafo de la Constitución Política de los Estados Unidos Mexicanos señala que: «Las legislaturas de los estados contarán con entidades estatales de fiscalización, las cuales serán órganos con autonomía técnica y de gestión en el ejercicio de sus atribuciones y para decidir sobre su organización interna, funcionamiento y resoluciones, en los términos que dispongan sus leyes. La función de fiscalización se desarrollará conforme a los principios de legalidad, imparcialidad y confiabilidad. Asimismo, deberán fiscalizar las acciones de Estados y Municipios en materia de fondos, recursos locales y deuda pública. Los informes de auditoría de las entidades estatales de fiscalización tendrán carácter público.» </w:t>
      </w:r>
    </w:p>
    <w:p w14:paraId="16D918E4" w14:textId="77777777" w:rsidR="007D4805" w:rsidRPr="0033650D" w:rsidRDefault="007D4805" w:rsidP="007D4805">
      <w:pPr>
        <w:ind w:left="709" w:hanging="1"/>
        <w:jc w:val="both"/>
        <w:rPr>
          <w:rFonts w:ascii="Abadi" w:hAnsi="Abadi"/>
          <w:i/>
          <w:iCs/>
          <w:sz w:val="21"/>
          <w:szCs w:val="21"/>
        </w:rPr>
      </w:pPr>
    </w:p>
    <w:p w14:paraId="219CA0B9"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Con base en esta previsión constitucional, en nuestro orden jurídico local se contemplan las bases normativas conforme a las cuales el Congreso del Estado de Guanajuato ejerce sus facultades de fiscalización. El artículo 63, fracción XXVIII párrafo primero de la Constitución Política </w:t>
      </w:r>
      <w:r w:rsidRPr="0033650D">
        <w:rPr>
          <w:rFonts w:ascii="Abadi" w:hAnsi="Abadi"/>
          <w:i/>
          <w:iCs/>
          <w:sz w:val="21"/>
          <w:szCs w:val="21"/>
        </w:rPr>
        <w:t xml:space="preserve">para el Estado de Guanajuato, dispone que es facultad del Congreso del Estado acordar con el voto de las dos terceras partes del total de sus integrantes la práctica de auditorías a los sujetos de fiscalización, cuando exista causa justificada para ello. </w:t>
      </w:r>
    </w:p>
    <w:p w14:paraId="10CE8E09" w14:textId="77777777" w:rsidR="007D4805" w:rsidRPr="0033650D" w:rsidRDefault="007D4805" w:rsidP="007D4805">
      <w:pPr>
        <w:ind w:left="709" w:hanging="1"/>
        <w:jc w:val="both"/>
        <w:rPr>
          <w:rFonts w:ascii="Abadi" w:hAnsi="Abadi"/>
          <w:i/>
          <w:iCs/>
          <w:sz w:val="21"/>
          <w:szCs w:val="21"/>
        </w:rPr>
      </w:pPr>
    </w:p>
    <w:p w14:paraId="5F2BA4EB"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La Auditoría Superior del Estado, de conformidad con el artículo 66 de la Constitución Local, tiene autonomía técnica, de gestión y presupuestaria en el ejercicio de sus atribuciones y para decidir sobre su organización interna, funcionamiento y resoluciones, en los términos que disponga la Ley; señalando además que la función de fiscalización será ejercida conforme a los principios de objetividad, independencia, transparencia, legalidad, definitividad, imparcialidad, confiabilidad y profesionalismo; mientras que la fracción IV del mismo precepto establece que la Auditoría Superior del Estado podrá acordar y practicar auditorías conforme a su programa anual y ejecutar las que acuerde el Congreso del Estado en los términos de la fracción XXVIII del artículo 63 antes citado. </w:t>
      </w:r>
    </w:p>
    <w:p w14:paraId="2862A74F" w14:textId="77777777" w:rsidR="007D4805" w:rsidRPr="0033650D" w:rsidRDefault="007D4805" w:rsidP="007D4805">
      <w:pPr>
        <w:ind w:left="709" w:hanging="1"/>
        <w:jc w:val="both"/>
        <w:rPr>
          <w:rFonts w:ascii="Abadi" w:hAnsi="Abadi"/>
          <w:i/>
          <w:iCs/>
          <w:sz w:val="21"/>
          <w:szCs w:val="21"/>
        </w:rPr>
      </w:pPr>
    </w:p>
    <w:p w14:paraId="6BB956AA"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El ayuntamiento de Acámbaro, </w:t>
      </w:r>
      <w:proofErr w:type="spellStart"/>
      <w:r w:rsidRPr="0033650D">
        <w:rPr>
          <w:rFonts w:ascii="Abadi" w:hAnsi="Abadi"/>
          <w:i/>
          <w:iCs/>
          <w:sz w:val="21"/>
          <w:szCs w:val="21"/>
        </w:rPr>
        <w:t>Gto</w:t>
      </w:r>
      <w:proofErr w:type="spellEnd"/>
      <w:r w:rsidRPr="0033650D">
        <w:rPr>
          <w:rFonts w:ascii="Abadi" w:hAnsi="Abadi"/>
          <w:i/>
          <w:iCs/>
          <w:sz w:val="21"/>
          <w:szCs w:val="21"/>
        </w:rPr>
        <w:t>., es sujeto de la función de fiscalización del Congreso del Estado, según se desprende de los artículos 63 fracciones XIX y XXVIII; y 66 de la Constitución Política local y 2, fracción II de la Ley de Fiscalización Superior del Estado de Guanajuato.</w:t>
      </w:r>
    </w:p>
    <w:p w14:paraId="403EB736" w14:textId="77777777" w:rsidR="007D4805" w:rsidRPr="0033650D" w:rsidRDefault="007D4805" w:rsidP="007D4805">
      <w:pPr>
        <w:ind w:left="709" w:hanging="1"/>
        <w:jc w:val="both"/>
        <w:rPr>
          <w:rFonts w:ascii="Abadi" w:hAnsi="Abadi"/>
          <w:i/>
          <w:iCs/>
          <w:sz w:val="21"/>
          <w:szCs w:val="21"/>
        </w:rPr>
      </w:pPr>
    </w:p>
    <w:p w14:paraId="41076B68"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En este orden de ideas, de acuerdo a la información proporcionada por la Auditoría Superior del Estado, durante los ejercicios fiscales 2018, 2019 y 2020 se efectuaron las siguientes revisiones y auditorías a la administración pública de Acámbaro, </w:t>
      </w:r>
      <w:proofErr w:type="spellStart"/>
      <w:r w:rsidRPr="0033650D">
        <w:rPr>
          <w:rFonts w:ascii="Abadi" w:hAnsi="Abadi"/>
          <w:i/>
          <w:iCs/>
          <w:sz w:val="21"/>
          <w:szCs w:val="21"/>
        </w:rPr>
        <w:t>Gto</w:t>
      </w:r>
      <w:proofErr w:type="spellEnd"/>
      <w:r w:rsidRPr="0033650D">
        <w:rPr>
          <w:rFonts w:ascii="Abadi" w:hAnsi="Abadi"/>
          <w:i/>
          <w:iCs/>
          <w:sz w:val="21"/>
          <w:szCs w:val="21"/>
        </w:rPr>
        <w:t>:</w:t>
      </w:r>
    </w:p>
    <w:p w14:paraId="54B057FC" w14:textId="77777777" w:rsidR="007D4805" w:rsidRPr="0033650D" w:rsidRDefault="007D4805" w:rsidP="007D4805">
      <w:pPr>
        <w:rPr>
          <w:rFonts w:ascii="Abadi" w:hAnsi="Abadi"/>
          <w:b/>
          <w:sz w:val="21"/>
          <w:szCs w:val="21"/>
          <w:lang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1283"/>
        <w:gridCol w:w="995"/>
        <w:gridCol w:w="995"/>
      </w:tblGrid>
      <w:tr w:rsidR="007D4805" w:rsidRPr="0033650D" w14:paraId="56A8B927"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hideMark/>
          </w:tcPr>
          <w:p w14:paraId="0C2C4B45" w14:textId="77777777" w:rsidR="007D4805" w:rsidRPr="0033650D" w:rsidRDefault="007D4805" w:rsidP="001B69F2">
            <w:pPr>
              <w:jc w:val="center"/>
              <w:rPr>
                <w:rFonts w:ascii="Abadi" w:hAnsi="Abadi"/>
                <w:b/>
                <w:i/>
                <w:iCs/>
                <w:sz w:val="21"/>
                <w:szCs w:val="21"/>
                <w:lang w:eastAsia="en-US"/>
              </w:rPr>
            </w:pPr>
            <w:r w:rsidRPr="0033650D">
              <w:rPr>
                <w:rFonts w:ascii="Abadi" w:hAnsi="Abadi"/>
                <w:b/>
                <w:i/>
                <w:iCs/>
                <w:sz w:val="21"/>
                <w:szCs w:val="21"/>
                <w:lang w:eastAsia="en-US"/>
              </w:rPr>
              <w:t>Ejercicio</w:t>
            </w:r>
          </w:p>
        </w:tc>
        <w:tc>
          <w:tcPr>
            <w:tcW w:w="3404" w:type="dxa"/>
            <w:tcBorders>
              <w:top w:val="single" w:sz="4" w:space="0" w:color="auto"/>
              <w:left w:val="single" w:sz="4" w:space="0" w:color="auto"/>
              <w:bottom w:val="single" w:sz="4" w:space="0" w:color="auto"/>
              <w:right w:val="single" w:sz="4" w:space="0" w:color="auto"/>
            </w:tcBorders>
            <w:hideMark/>
          </w:tcPr>
          <w:p w14:paraId="1A505F0D" w14:textId="77777777" w:rsidR="007D4805" w:rsidRPr="0033650D" w:rsidRDefault="007D4805" w:rsidP="001B69F2">
            <w:pPr>
              <w:jc w:val="center"/>
              <w:rPr>
                <w:rFonts w:ascii="Abadi" w:hAnsi="Abadi"/>
                <w:b/>
                <w:i/>
                <w:iCs/>
                <w:sz w:val="21"/>
                <w:szCs w:val="21"/>
                <w:lang w:eastAsia="en-US"/>
              </w:rPr>
            </w:pPr>
            <w:r w:rsidRPr="0033650D">
              <w:rPr>
                <w:rFonts w:ascii="Abadi" w:hAnsi="Abadi"/>
                <w:b/>
                <w:i/>
                <w:iCs/>
                <w:sz w:val="21"/>
                <w:szCs w:val="21"/>
                <w:lang w:eastAsia="en-US"/>
              </w:rPr>
              <w:t>Tipo de Revisión</w:t>
            </w:r>
          </w:p>
          <w:p w14:paraId="185B260E" w14:textId="77777777" w:rsidR="007D4805" w:rsidRPr="0033650D" w:rsidRDefault="007D4805" w:rsidP="001B69F2">
            <w:pPr>
              <w:jc w:val="center"/>
              <w:rPr>
                <w:rFonts w:ascii="Abadi" w:hAnsi="Abadi"/>
                <w:b/>
                <w:i/>
                <w:iCs/>
                <w:sz w:val="21"/>
                <w:szCs w:val="21"/>
                <w:lang w:eastAsia="en-US"/>
              </w:rPr>
            </w:pPr>
            <w:r w:rsidRPr="0033650D">
              <w:rPr>
                <w:rFonts w:ascii="Abadi" w:hAnsi="Abadi"/>
                <w:b/>
                <w:i/>
                <w:iCs/>
                <w:sz w:val="21"/>
                <w:szCs w:val="21"/>
                <w:lang w:eastAsia="en-US"/>
              </w:rPr>
              <w:t>/Auditoría</w:t>
            </w:r>
          </w:p>
        </w:tc>
        <w:tc>
          <w:tcPr>
            <w:tcW w:w="996" w:type="dxa"/>
            <w:tcBorders>
              <w:top w:val="single" w:sz="4" w:space="0" w:color="auto"/>
              <w:left w:val="single" w:sz="4" w:space="0" w:color="auto"/>
              <w:bottom w:val="single" w:sz="4" w:space="0" w:color="auto"/>
              <w:right w:val="single" w:sz="4" w:space="0" w:color="auto"/>
            </w:tcBorders>
            <w:hideMark/>
          </w:tcPr>
          <w:p w14:paraId="7BCFA0A1" w14:textId="77777777" w:rsidR="007D4805" w:rsidRPr="0033650D" w:rsidRDefault="007D4805" w:rsidP="001B69F2">
            <w:pPr>
              <w:jc w:val="center"/>
              <w:rPr>
                <w:rFonts w:ascii="Abadi" w:hAnsi="Abadi"/>
                <w:b/>
                <w:i/>
                <w:iCs/>
                <w:sz w:val="21"/>
                <w:szCs w:val="21"/>
                <w:lang w:eastAsia="en-US"/>
              </w:rPr>
            </w:pPr>
            <w:r w:rsidRPr="0033650D">
              <w:rPr>
                <w:rFonts w:ascii="Abadi" w:hAnsi="Abadi"/>
                <w:b/>
                <w:i/>
                <w:iCs/>
                <w:sz w:val="21"/>
                <w:szCs w:val="21"/>
                <w:lang w:eastAsia="en-US"/>
              </w:rPr>
              <w:t>Porcentaje revisado de ingresos</w:t>
            </w:r>
          </w:p>
        </w:tc>
        <w:tc>
          <w:tcPr>
            <w:tcW w:w="1421" w:type="dxa"/>
            <w:tcBorders>
              <w:top w:val="single" w:sz="4" w:space="0" w:color="auto"/>
              <w:left w:val="single" w:sz="4" w:space="0" w:color="auto"/>
              <w:bottom w:val="single" w:sz="4" w:space="0" w:color="auto"/>
              <w:right w:val="single" w:sz="4" w:space="0" w:color="auto"/>
            </w:tcBorders>
            <w:hideMark/>
          </w:tcPr>
          <w:p w14:paraId="67522D82" w14:textId="77777777" w:rsidR="007D4805" w:rsidRPr="0033650D" w:rsidRDefault="007D4805" w:rsidP="001B69F2">
            <w:pPr>
              <w:jc w:val="center"/>
              <w:rPr>
                <w:rFonts w:ascii="Abadi" w:hAnsi="Abadi"/>
                <w:b/>
                <w:i/>
                <w:iCs/>
                <w:sz w:val="21"/>
                <w:szCs w:val="21"/>
                <w:lang w:eastAsia="en-US"/>
              </w:rPr>
            </w:pPr>
            <w:r w:rsidRPr="0033650D">
              <w:rPr>
                <w:rFonts w:ascii="Abadi" w:hAnsi="Abadi"/>
                <w:b/>
                <w:i/>
                <w:iCs/>
                <w:sz w:val="21"/>
                <w:szCs w:val="21"/>
                <w:lang w:eastAsia="en-US"/>
              </w:rPr>
              <w:t>Porcentaje revisado de egresos</w:t>
            </w:r>
          </w:p>
        </w:tc>
      </w:tr>
      <w:tr w:rsidR="007D4805" w:rsidRPr="0033650D" w14:paraId="730644F8"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21D400B6"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lastRenderedPageBreak/>
              <w:t>2018</w:t>
            </w:r>
          </w:p>
        </w:tc>
        <w:tc>
          <w:tcPr>
            <w:tcW w:w="3404" w:type="dxa"/>
            <w:tcBorders>
              <w:top w:val="single" w:sz="4" w:space="0" w:color="auto"/>
              <w:left w:val="single" w:sz="4" w:space="0" w:color="auto"/>
              <w:bottom w:val="single" w:sz="4" w:space="0" w:color="auto"/>
              <w:right w:val="single" w:sz="4" w:space="0" w:color="auto"/>
            </w:tcBorders>
            <w:vAlign w:val="center"/>
            <w:hideMark/>
          </w:tcPr>
          <w:p w14:paraId="5D2BFD0A" w14:textId="77777777" w:rsidR="007D4805" w:rsidRPr="0033650D" w:rsidRDefault="007D4805" w:rsidP="001B69F2">
            <w:pPr>
              <w:rPr>
                <w:rFonts w:ascii="Abadi" w:hAnsi="Abadi"/>
                <w:bCs/>
                <w:i/>
                <w:iCs/>
                <w:sz w:val="21"/>
                <w:szCs w:val="21"/>
                <w:lang w:eastAsia="en-US"/>
              </w:rPr>
            </w:pPr>
            <w:r w:rsidRPr="0033650D">
              <w:rPr>
                <w:rFonts w:ascii="Abadi" w:hAnsi="Abadi"/>
                <w:bCs/>
                <w:i/>
                <w:iCs/>
                <w:sz w:val="21"/>
                <w:szCs w:val="21"/>
                <w:lang w:eastAsia="en-US"/>
              </w:rPr>
              <w:t>Auditoría integral</w:t>
            </w:r>
          </w:p>
        </w:tc>
        <w:tc>
          <w:tcPr>
            <w:tcW w:w="996" w:type="dxa"/>
            <w:tcBorders>
              <w:top w:val="single" w:sz="4" w:space="0" w:color="auto"/>
              <w:left w:val="single" w:sz="4" w:space="0" w:color="auto"/>
              <w:bottom w:val="single" w:sz="4" w:space="0" w:color="auto"/>
              <w:right w:val="single" w:sz="4" w:space="0" w:color="auto"/>
            </w:tcBorders>
            <w:vAlign w:val="center"/>
            <w:hideMark/>
          </w:tcPr>
          <w:p w14:paraId="7B9747F0"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 xml:space="preserve">80% </w:t>
            </w:r>
          </w:p>
        </w:tc>
        <w:tc>
          <w:tcPr>
            <w:tcW w:w="1421" w:type="dxa"/>
            <w:tcBorders>
              <w:top w:val="single" w:sz="4" w:space="0" w:color="auto"/>
              <w:left w:val="single" w:sz="4" w:space="0" w:color="auto"/>
              <w:bottom w:val="single" w:sz="4" w:space="0" w:color="auto"/>
              <w:right w:val="single" w:sz="4" w:space="0" w:color="auto"/>
            </w:tcBorders>
            <w:vAlign w:val="center"/>
            <w:hideMark/>
          </w:tcPr>
          <w:p w14:paraId="75AFC42F"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85%</w:t>
            </w:r>
          </w:p>
        </w:tc>
      </w:tr>
      <w:tr w:rsidR="007D4805" w:rsidRPr="0033650D" w14:paraId="0227B233"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5290CEB6"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2018</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856F642" w14:textId="77777777" w:rsidR="007D4805" w:rsidRPr="0033650D" w:rsidRDefault="007D4805" w:rsidP="001B69F2">
            <w:pPr>
              <w:rPr>
                <w:rFonts w:ascii="Abadi" w:hAnsi="Abadi"/>
                <w:b/>
                <w:i/>
                <w:iCs/>
                <w:sz w:val="21"/>
                <w:szCs w:val="21"/>
                <w:lang w:eastAsia="en-US"/>
              </w:rPr>
            </w:pPr>
            <w:r w:rsidRPr="0033650D">
              <w:rPr>
                <w:rFonts w:ascii="Abadi" w:hAnsi="Abadi"/>
                <w:bCs/>
                <w:i/>
                <w:iCs/>
                <w:sz w:val="21"/>
                <w:szCs w:val="21"/>
                <w:lang w:eastAsia="en-US"/>
              </w:rPr>
              <w:t>Revisión de cuenta pública</w:t>
            </w:r>
          </w:p>
        </w:tc>
        <w:tc>
          <w:tcPr>
            <w:tcW w:w="996" w:type="dxa"/>
            <w:tcBorders>
              <w:top w:val="single" w:sz="4" w:space="0" w:color="auto"/>
              <w:left w:val="single" w:sz="4" w:space="0" w:color="auto"/>
              <w:bottom w:val="single" w:sz="4" w:space="0" w:color="auto"/>
              <w:right w:val="single" w:sz="4" w:space="0" w:color="auto"/>
            </w:tcBorders>
            <w:vAlign w:val="center"/>
            <w:hideMark/>
          </w:tcPr>
          <w:p w14:paraId="5B320928"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76 %</w:t>
            </w:r>
          </w:p>
        </w:tc>
        <w:tc>
          <w:tcPr>
            <w:tcW w:w="1421" w:type="dxa"/>
            <w:tcBorders>
              <w:top w:val="single" w:sz="4" w:space="0" w:color="auto"/>
              <w:left w:val="single" w:sz="4" w:space="0" w:color="auto"/>
              <w:bottom w:val="single" w:sz="4" w:space="0" w:color="auto"/>
              <w:right w:val="single" w:sz="4" w:space="0" w:color="auto"/>
            </w:tcBorders>
            <w:vAlign w:val="center"/>
            <w:hideMark/>
          </w:tcPr>
          <w:p w14:paraId="299632CD"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50%</w:t>
            </w:r>
          </w:p>
        </w:tc>
      </w:tr>
      <w:tr w:rsidR="007D4805" w:rsidRPr="0033650D" w14:paraId="6953BF21"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47EC0C31"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2018</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59CA073" w14:textId="77777777" w:rsidR="007D4805" w:rsidRPr="0033650D" w:rsidRDefault="007D4805" w:rsidP="001B69F2">
            <w:pPr>
              <w:jc w:val="both"/>
              <w:rPr>
                <w:rFonts w:ascii="Abadi" w:hAnsi="Abadi"/>
                <w:bCs/>
                <w:i/>
                <w:iCs/>
                <w:sz w:val="21"/>
                <w:szCs w:val="21"/>
                <w:lang w:eastAsia="en-US"/>
              </w:rPr>
            </w:pPr>
            <w:r w:rsidRPr="0033650D">
              <w:rPr>
                <w:rFonts w:ascii="Abadi" w:hAnsi="Abadi"/>
                <w:bCs/>
                <w:i/>
                <w:iCs/>
                <w:sz w:val="21"/>
                <w:szCs w:val="21"/>
                <w:lang w:eastAsia="en-US"/>
              </w:rPr>
              <w:t>Auditoria de Ramo 33 y obra pública</w:t>
            </w:r>
          </w:p>
        </w:tc>
        <w:tc>
          <w:tcPr>
            <w:tcW w:w="996" w:type="dxa"/>
            <w:tcBorders>
              <w:top w:val="single" w:sz="4" w:space="0" w:color="auto"/>
              <w:left w:val="single" w:sz="4" w:space="0" w:color="auto"/>
              <w:bottom w:val="single" w:sz="4" w:space="0" w:color="auto"/>
              <w:right w:val="single" w:sz="4" w:space="0" w:color="auto"/>
            </w:tcBorders>
            <w:vAlign w:val="center"/>
            <w:hideMark/>
          </w:tcPr>
          <w:p w14:paraId="24C434CB"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100%</w:t>
            </w:r>
          </w:p>
        </w:tc>
        <w:tc>
          <w:tcPr>
            <w:tcW w:w="1421" w:type="dxa"/>
            <w:tcBorders>
              <w:top w:val="single" w:sz="4" w:space="0" w:color="auto"/>
              <w:left w:val="single" w:sz="4" w:space="0" w:color="auto"/>
              <w:bottom w:val="single" w:sz="4" w:space="0" w:color="auto"/>
              <w:right w:val="single" w:sz="4" w:space="0" w:color="auto"/>
            </w:tcBorders>
            <w:vAlign w:val="center"/>
            <w:hideMark/>
          </w:tcPr>
          <w:p w14:paraId="162A217F"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46%</w:t>
            </w:r>
          </w:p>
        </w:tc>
      </w:tr>
      <w:tr w:rsidR="007D4805" w:rsidRPr="0033650D" w14:paraId="4DE7E75D"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4CD84575"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2019</w:t>
            </w:r>
          </w:p>
        </w:tc>
        <w:tc>
          <w:tcPr>
            <w:tcW w:w="3404" w:type="dxa"/>
            <w:tcBorders>
              <w:top w:val="single" w:sz="4" w:space="0" w:color="auto"/>
              <w:left w:val="single" w:sz="4" w:space="0" w:color="auto"/>
              <w:bottom w:val="single" w:sz="4" w:space="0" w:color="auto"/>
              <w:right w:val="single" w:sz="4" w:space="0" w:color="auto"/>
            </w:tcBorders>
            <w:vAlign w:val="center"/>
            <w:hideMark/>
          </w:tcPr>
          <w:p w14:paraId="1FED65A2" w14:textId="77777777" w:rsidR="007D4805" w:rsidRPr="0033650D" w:rsidRDefault="007D4805" w:rsidP="001B69F2">
            <w:pPr>
              <w:rPr>
                <w:rFonts w:ascii="Abadi" w:hAnsi="Abadi"/>
                <w:b/>
                <w:i/>
                <w:iCs/>
                <w:sz w:val="21"/>
                <w:szCs w:val="21"/>
                <w:lang w:eastAsia="en-US"/>
              </w:rPr>
            </w:pPr>
            <w:r w:rsidRPr="0033650D">
              <w:rPr>
                <w:rFonts w:ascii="Abadi" w:hAnsi="Abadi"/>
                <w:bCs/>
                <w:i/>
                <w:iCs/>
                <w:sz w:val="21"/>
                <w:szCs w:val="21"/>
                <w:lang w:eastAsia="en-US"/>
              </w:rPr>
              <w:t>Revisión de cuenta pública</w:t>
            </w:r>
          </w:p>
        </w:tc>
        <w:tc>
          <w:tcPr>
            <w:tcW w:w="996" w:type="dxa"/>
            <w:tcBorders>
              <w:top w:val="single" w:sz="4" w:space="0" w:color="auto"/>
              <w:left w:val="single" w:sz="4" w:space="0" w:color="auto"/>
              <w:bottom w:val="single" w:sz="4" w:space="0" w:color="auto"/>
              <w:right w:val="single" w:sz="4" w:space="0" w:color="auto"/>
            </w:tcBorders>
            <w:vAlign w:val="center"/>
            <w:hideMark/>
          </w:tcPr>
          <w:p w14:paraId="7160C04E"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76%</w:t>
            </w:r>
          </w:p>
        </w:tc>
        <w:tc>
          <w:tcPr>
            <w:tcW w:w="1421" w:type="dxa"/>
            <w:tcBorders>
              <w:top w:val="single" w:sz="4" w:space="0" w:color="auto"/>
              <w:left w:val="single" w:sz="4" w:space="0" w:color="auto"/>
              <w:bottom w:val="single" w:sz="4" w:space="0" w:color="auto"/>
              <w:right w:val="single" w:sz="4" w:space="0" w:color="auto"/>
            </w:tcBorders>
            <w:vAlign w:val="center"/>
            <w:hideMark/>
          </w:tcPr>
          <w:p w14:paraId="27BE62FA"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64%</w:t>
            </w:r>
          </w:p>
        </w:tc>
      </w:tr>
      <w:tr w:rsidR="007D4805" w:rsidRPr="0033650D" w14:paraId="43AECF94"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54A3ACC1"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2019</w:t>
            </w:r>
          </w:p>
        </w:tc>
        <w:tc>
          <w:tcPr>
            <w:tcW w:w="3404" w:type="dxa"/>
            <w:tcBorders>
              <w:top w:val="single" w:sz="4" w:space="0" w:color="auto"/>
              <w:left w:val="single" w:sz="4" w:space="0" w:color="auto"/>
              <w:bottom w:val="single" w:sz="4" w:space="0" w:color="auto"/>
              <w:right w:val="single" w:sz="4" w:space="0" w:color="auto"/>
            </w:tcBorders>
            <w:vAlign w:val="center"/>
            <w:hideMark/>
          </w:tcPr>
          <w:p w14:paraId="26275D61" w14:textId="77777777" w:rsidR="007D4805" w:rsidRPr="0033650D" w:rsidRDefault="007D4805" w:rsidP="001B69F2">
            <w:pPr>
              <w:jc w:val="both"/>
              <w:rPr>
                <w:rFonts w:ascii="Abadi" w:hAnsi="Abadi"/>
                <w:bCs/>
                <w:i/>
                <w:iCs/>
                <w:sz w:val="21"/>
                <w:szCs w:val="21"/>
                <w:lang w:eastAsia="en-US"/>
              </w:rPr>
            </w:pPr>
            <w:r w:rsidRPr="0033650D">
              <w:rPr>
                <w:rFonts w:ascii="Abadi" w:hAnsi="Abadi"/>
                <w:bCs/>
                <w:i/>
                <w:iCs/>
                <w:sz w:val="21"/>
                <w:szCs w:val="21"/>
                <w:lang w:eastAsia="en-US"/>
              </w:rPr>
              <w:t>Auditoría del Ramo general 33 y obra pública</w:t>
            </w:r>
          </w:p>
        </w:tc>
        <w:tc>
          <w:tcPr>
            <w:tcW w:w="996" w:type="dxa"/>
            <w:tcBorders>
              <w:top w:val="single" w:sz="4" w:space="0" w:color="auto"/>
              <w:left w:val="single" w:sz="4" w:space="0" w:color="auto"/>
              <w:bottom w:val="single" w:sz="4" w:space="0" w:color="auto"/>
              <w:right w:val="single" w:sz="4" w:space="0" w:color="auto"/>
            </w:tcBorders>
            <w:vAlign w:val="center"/>
            <w:hideMark/>
          </w:tcPr>
          <w:p w14:paraId="4F360FFB"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100%</w:t>
            </w:r>
          </w:p>
        </w:tc>
        <w:tc>
          <w:tcPr>
            <w:tcW w:w="1421" w:type="dxa"/>
            <w:tcBorders>
              <w:top w:val="single" w:sz="4" w:space="0" w:color="auto"/>
              <w:left w:val="single" w:sz="4" w:space="0" w:color="auto"/>
              <w:bottom w:val="single" w:sz="4" w:space="0" w:color="auto"/>
              <w:right w:val="single" w:sz="4" w:space="0" w:color="auto"/>
            </w:tcBorders>
            <w:vAlign w:val="center"/>
            <w:hideMark/>
          </w:tcPr>
          <w:p w14:paraId="680FDD6F"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39%</w:t>
            </w:r>
          </w:p>
        </w:tc>
      </w:tr>
      <w:tr w:rsidR="007D4805" w:rsidRPr="0033650D" w14:paraId="5B05A908"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245E3BF5"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2020</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E2EDBA7" w14:textId="77777777" w:rsidR="007D4805" w:rsidRPr="0033650D" w:rsidRDefault="007D4805" w:rsidP="001B69F2">
            <w:pPr>
              <w:rPr>
                <w:rFonts w:ascii="Abadi" w:hAnsi="Abadi"/>
                <w:b/>
                <w:i/>
                <w:iCs/>
                <w:sz w:val="21"/>
                <w:szCs w:val="21"/>
                <w:lang w:eastAsia="en-US"/>
              </w:rPr>
            </w:pPr>
            <w:r w:rsidRPr="0033650D">
              <w:rPr>
                <w:rFonts w:ascii="Abadi" w:hAnsi="Abadi"/>
                <w:bCs/>
                <w:i/>
                <w:iCs/>
                <w:sz w:val="21"/>
                <w:szCs w:val="21"/>
                <w:lang w:eastAsia="en-US"/>
              </w:rPr>
              <w:t>Revisión de cuenta pública</w:t>
            </w:r>
          </w:p>
        </w:tc>
        <w:tc>
          <w:tcPr>
            <w:tcW w:w="996" w:type="dxa"/>
            <w:tcBorders>
              <w:top w:val="single" w:sz="4" w:space="0" w:color="auto"/>
              <w:left w:val="single" w:sz="4" w:space="0" w:color="auto"/>
              <w:bottom w:val="single" w:sz="4" w:space="0" w:color="auto"/>
              <w:right w:val="single" w:sz="4" w:space="0" w:color="auto"/>
            </w:tcBorders>
            <w:vAlign w:val="center"/>
            <w:hideMark/>
          </w:tcPr>
          <w:p w14:paraId="76AD719A"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En proceso</w:t>
            </w:r>
          </w:p>
        </w:tc>
        <w:tc>
          <w:tcPr>
            <w:tcW w:w="1421" w:type="dxa"/>
            <w:tcBorders>
              <w:top w:val="single" w:sz="4" w:space="0" w:color="auto"/>
              <w:left w:val="single" w:sz="4" w:space="0" w:color="auto"/>
              <w:bottom w:val="single" w:sz="4" w:space="0" w:color="auto"/>
              <w:right w:val="single" w:sz="4" w:space="0" w:color="auto"/>
            </w:tcBorders>
            <w:vAlign w:val="center"/>
            <w:hideMark/>
          </w:tcPr>
          <w:p w14:paraId="76EC1C46"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En proceso</w:t>
            </w:r>
          </w:p>
        </w:tc>
      </w:tr>
      <w:tr w:rsidR="007D4805" w:rsidRPr="0033650D" w14:paraId="7F2A3064" w14:textId="77777777" w:rsidTr="001B69F2">
        <w:trPr>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03327EA3" w14:textId="77777777" w:rsidR="007D4805" w:rsidRPr="0033650D" w:rsidRDefault="007D4805" w:rsidP="001B69F2">
            <w:pPr>
              <w:jc w:val="center"/>
              <w:rPr>
                <w:rFonts w:ascii="Abadi" w:hAnsi="Abadi"/>
                <w:bCs/>
                <w:i/>
                <w:iCs/>
                <w:sz w:val="21"/>
                <w:szCs w:val="21"/>
                <w:lang w:eastAsia="en-US"/>
              </w:rPr>
            </w:pPr>
            <w:r w:rsidRPr="0033650D">
              <w:rPr>
                <w:rFonts w:ascii="Abadi" w:hAnsi="Abadi"/>
                <w:bCs/>
                <w:i/>
                <w:iCs/>
                <w:sz w:val="21"/>
                <w:szCs w:val="21"/>
                <w:lang w:eastAsia="en-US"/>
              </w:rPr>
              <w:t>2020</w:t>
            </w:r>
          </w:p>
        </w:tc>
        <w:tc>
          <w:tcPr>
            <w:tcW w:w="3404" w:type="dxa"/>
            <w:tcBorders>
              <w:top w:val="single" w:sz="4" w:space="0" w:color="auto"/>
              <w:left w:val="single" w:sz="4" w:space="0" w:color="auto"/>
              <w:bottom w:val="single" w:sz="4" w:space="0" w:color="auto"/>
              <w:right w:val="single" w:sz="4" w:space="0" w:color="auto"/>
            </w:tcBorders>
            <w:vAlign w:val="center"/>
            <w:hideMark/>
          </w:tcPr>
          <w:p w14:paraId="4330E7D1" w14:textId="77777777" w:rsidR="007D4805" w:rsidRPr="0033650D" w:rsidRDefault="007D4805" w:rsidP="001B69F2">
            <w:pPr>
              <w:jc w:val="both"/>
              <w:rPr>
                <w:rFonts w:ascii="Abadi" w:hAnsi="Abadi"/>
                <w:bCs/>
                <w:i/>
                <w:iCs/>
                <w:sz w:val="21"/>
                <w:szCs w:val="21"/>
                <w:lang w:eastAsia="en-US"/>
              </w:rPr>
            </w:pPr>
            <w:r w:rsidRPr="0033650D">
              <w:rPr>
                <w:rFonts w:ascii="Abadi" w:hAnsi="Abadi"/>
                <w:bCs/>
                <w:i/>
                <w:iCs/>
                <w:sz w:val="21"/>
                <w:szCs w:val="21"/>
                <w:lang w:eastAsia="en-US"/>
              </w:rPr>
              <w:t>Auditoría a la infraestructura pública municipal</w:t>
            </w:r>
          </w:p>
        </w:tc>
        <w:tc>
          <w:tcPr>
            <w:tcW w:w="996" w:type="dxa"/>
            <w:tcBorders>
              <w:top w:val="single" w:sz="4" w:space="0" w:color="auto"/>
              <w:left w:val="single" w:sz="4" w:space="0" w:color="auto"/>
              <w:bottom w:val="single" w:sz="4" w:space="0" w:color="auto"/>
              <w:right w:val="single" w:sz="4" w:space="0" w:color="auto"/>
            </w:tcBorders>
            <w:vAlign w:val="center"/>
            <w:hideMark/>
          </w:tcPr>
          <w:p w14:paraId="463A0409"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En proceso</w:t>
            </w:r>
          </w:p>
        </w:tc>
        <w:tc>
          <w:tcPr>
            <w:tcW w:w="1421" w:type="dxa"/>
            <w:tcBorders>
              <w:top w:val="single" w:sz="4" w:space="0" w:color="auto"/>
              <w:left w:val="single" w:sz="4" w:space="0" w:color="auto"/>
              <w:bottom w:val="single" w:sz="4" w:space="0" w:color="auto"/>
              <w:right w:val="single" w:sz="4" w:space="0" w:color="auto"/>
            </w:tcBorders>
            <w:vAlign w:val="center"/>
            <w:hideMark/>
          </w:tcPr>
          <w:p w14:paraId="3AB9A636" w14:textId="77777777" w:rsidR="007D4805" w:rsidRPr="0033650D" w:rsidRDefault="007D4805" w:rsidP="001B69F2">
            <w:pPr>
              <w:jc w:val="center"/>
              <w:rPr>
                <w:rFonts w:ascii="Abadi" w:hAnsi="Abadi"/>
                <w:b/>
                <w:i/>
                <w:iCs/>
                <w:sz w:val="21"/>
                <w:szCs w:val="21"/>
                <w:lang w:eastAsia="en-US"/>
              </w:rPr>
            </w:pPr>
            <w:r w:rsidRPr="0033650D">
              <w:rPr>
                <w:rFonts w:ascii="Abadi" w:hAnsi="Abadi"/>
                <w:bCs/>
                <w:i/>
                <w:iCs/>
                <w:sz w:val="21"/>
                <w:szCs w:val="21"/>
                <w:lang w:eastAsia="en-US"/>
              </w:rPr>
              <w:t>En proceso</w:t>
            </w:r>
          </w:p>
        </w:tc>
      </w:tr>
    </w:tbl>
    <w:p w14:paraId="108F772C" w14:textId="77777777" w:rsidR="007D4805" w:rsidRPr="0033650D" w:rsidRDefault="007D4805" w:rsidP="007D4805">
      <w:pPr>
        <w:rPr>
          <w:rFonts w:ascii="Abadi" w:hAnsi="Abadi"/>
          <w:b/>
          <w:sz w:val="21"/>
          <w:szCs w:val="21"/>
          <w:lang w:eastAsia="en-US"/>
        </w:rPr>
      </w:pPr>
    </w:p>
    <w:p w14:paraId="6ADB9CC9" w14:textId="77777777" w:rsidR="007D4805" w:rsidRPr="0033650D" w:rsidRDefault="007D4805" w:rsidP="007D4805">
      <w:pPr>
        <w:rPr>
          <w:rFonts w:ascii="Abadi" w:hAnsi="Abadi"/>
          <w:b/>
          <w:sz w:val="21"/>
          <w:szCs w:val="21"/>
          <w:lang w:eastAsia="en-US"/>
        </w:rPr>
      </w:pPr>
    </w:p>
    <w:p w14:paraId="061AC801"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En el caso de la auditoría integral correspondiente al ejercicio fiscal 2018 se revisó la administración pública centralizada y la Junta Municipal de Agua Potable y Alcantarillado de Acámbaro, </w:t>
      </w:r>
      <w:proofErr w:type="spellStart"/>
      <w:r w:rsidRPr="0033650D">
        <w:rPr>
          <w:rFonts w:ascii="Abadi" w:hAnsi="Abadi"/>
          <w:i/>
          <w:iCs/>
          <w:sz w:val="21"/>
          <w:szCs w:val="21"/>
        </w:rPr>
        <w:t>Gto</w:t>
      </w:r>
      <w:proofErr w:type="spellEnd"/>
      <w:r w:rsidRPr="0033650D">
        <w:rPr>
          <w:rFonts w:ascii="Abadi" w:hAnsi="Abadi"/>
          <w:i/>
          <w:iCs/>
          <w:sz w:val="21"/>
          <w:szCs w:val="21"/>
        </w:rPr>
        <w:t>., revisando entre otros rubros: venta de vehículos fuera de subasta, suministro de combustible, concesión de alumbrado público con DURCONSA.</w:t>
      </w:r>
    </w:p>
    <w:p w14:paraId="4C7780F0" w14:textId="77777777" w:rsidR="007D4805" w:rsidRPr="0033650D" w:rsidRDefault="007D4805" w:rsidP="007D4805">
      <w:pPr>
        <w:ind w:left="709" w:hanging="1"/>
        <w:jc w:val="both"/>
        <w:rPr>
          <w:rFonts w:ascii="Abadi" w:hAnsi="Abadi"/>
          <w:i/>
          <w:iCs/>
          <w:sz w:val="21"/>
          <w:szCs w:val="21"/>
        </w:rPr>
      </w:pPr>
    </w:p>
    <w:p w14:paraId="1F9A6855"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Respecto a la auditoría de Ramo 33 y Obra Pública, correspondiente al periodo comprendido del 1 de noviembre al 31 de diciembre de 2018 se revisaron tres obras y dos acciones.</w:t>
      </w:r>
    </w:p>
    <w:p w14:paraId="01A14300" w14:textId="77777777" w:rsidR="007D4805" w:rsidRPr="0033650D" w:rsidRDefault="007D4805" w:rsidP="007D4805">
      <w:pPr>
        <w:ind w:left="709" w:hanging="1"/>
        <w:jc w:val="both"/>
        <w:rPr>
          <w:rFonts w:ascii="Abadi" w:hAnsi="Abadi"/>
          <w:i/>
          <w:iCs/>
          <w:sz w:val="21"/>
          <w:szCs w:val="21"/>
        </w:rPr>
      </w:pPr>
    </w:p>
    <w:p w14:paraId="2293FA5E"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Dentro de la revisión practicada a la cuenta pública correspondiente al ejercicio fiscal 2019 se revisó documentalmente el suministro e instalación de luminarias relacionadas con el título de concesión PM/ACA/CONCESION/ALUMBRADO/01/2018, adquisiciones con recurso FORTASEG, seguimiento al suministro de combustible.</w:t>
      </w:r>
    </w:p>
    <w:p w14:paraId="21F8B7CD" w14:textId="77777777" w:rsidR="007D4805" w:rsidRPr="0033650D" w:rsidRDefault="007D4805" w:rsidP="007D4805">
      <w:pPr>
        <w:ind w:left="709" w:hanging="1"/>
        <w:jc w:val="both"/>
        <w:rPr>
          <w:rFonts w:ascii="Abadi" w:hAnsi="Abadi"/>
          <w:i/>
          <w:iCs/>
          <w:sz w:val="21"/>
          <w:szCs w:val="21"/>
        </w:rPr>
      </w:pPr>
    </w:p>
    <w:p w14:paraId="5DAFF5AC" w14:textId="77777777" w:rsidR="007D4805" w:rsidRPr="0033650D" w:rsidRDefault="007D4805" w:rsidP="007D4805">
      <w:pPr>
        <w:ind w:left="709" w:hanging="1"/>
        <w:jc w:val="both"/>
        <w:rPr>
          <w:rFonts w:ascii="Abadi" w:hAnsi="Abadi"/>
          <w:i/>
          <w:iCs/>
          <w:sz w:val="21"/>
          <w:szCs w:val="21"/>
        </w:rPr>
      </w:pPr>
      <w:bookmarkStart w:id="23" w:name="_Hlk87020199"/>
      <w:r w:rsidRPr="0033650D">
        <w:rPr>
          <w:rFonts w:ascii="Abadi" w:hAnsi="Abadi"/>
          <w:i/>
          <w:iCs/>
          <w:sz w:val="21"/>
          <w:szCs w:val="21"/>
        </w:rPr>
        <w:t xml:space="preserve">En la auditoría del Ramo General 33 y obra pública para el ejercicio fiscal 2019 se revisaron 12 obras. </w:t>
      </w:r>
    </w:p>
    <w:p w14:paraId="4270A089" w14:textId="77777777" w:rsidR="007D4805" w:rsidRPr="0033650D" w:rsidRDefault="007D4805" w:rsidP="007D4805">
      <w:pPr>
        <w:ind w:left="709" w:hanging="1"/>
        <w:jc w:val="both"/>
        <w:rPr>
          <w:rFonts w:ascii="Abadi" w:hAnsi="Abadi"/>
          <w:i/>
          <w:iCs/>
          <w:sz w:val="21"/>
          <w:szCs w:val="21"/>
        </w:rPr>
      </w:pPr>
    </w:p>
    <w:bookmarkEnd w:id="23"/>
    <w:p w14:paraId="75CB9037"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En la revisión practicada a la cuenta pública correspondiente al ejercicio fiscal 2020 se están revisando los siguientes rubros: liquidaciones y diversas adquisiciones de bienes.</w:t>
      </w:r>
    </w:p>
    <w:p w14:paraId="1D689621" w14:textId="77777777" w:rsidR="007D4805" w:rsidRPr="0033650D" w:rsidRDefault="007D4805" w:rsidP="007D4805">
      <w:pPr>
        <w:ind w:left="709" w:hanging="1"/>
        <w:jc w:val="both"/>
        <w:rPr>
          <w:rFonts w:ascii="Abadi" w:hAnsi="Abadi"/>
          <w:i/>
          <w:iCs/>
          <w:sz w:val="21"/>
          <w:szCs w:val="21"/>
        </w:rPr>
      </w:pPr>
    </w:p>
    <w:p w14:paraId="5054251D" w14:textId="77777777" w:rsidR="007D4805" w:rsidRPr="0033650D" w:rsidRDefault="007D4805" w:rsidP="007D4805">
      <w:pPr>
        <w:ind w:left="709" w:hanging="1"/>
        <w:jc w:val="both"/>
        <w:rPr>
          <w:rFonts w:ascii="Abadi" w:hAnsi="Abadi"/>
          <w:i/>
          <w:iCs/>
          <w:sz w:val="21"/>
          <w:szCs w:val="21"/>
        </w:rPr>
      </w:pPr>
      <w:bookmarkStart w:id="24" w:name="_Hlk87019959"/>
      <w:r w:rsidRPr="0033650D">
        <w:rPr>
          <w:rFonts w:ascii="Abadi" w:hAnsi="Abadi"/>
          <w:i/>
          <w:iCs/>
          <w:sz w:val="21"/>
          <w:szCs w:val="21"/>
        </w:rPr>
        <w:t xml:space="preserve">Finalmente, en la auditoría practicada a la infraestructura pública municipal para el ejercicio 2020, se están revisando 8 obras y 1 servicio relacionado. </w:t>
      </w:r>
    </w:p>
    <w:p w14:paraId="47209B0F" w14:textId="77777777" w:rsidR="007D4805" w:rsidRPr="0033650D" w:rsidRDefault="007D4805" w:rsidP="007D4805">
      <w:pPr>
        <w:ind w:left="709" w:hanging="1"/>
        <w:jc w:val="both"/>
        <w:rPr>
          <w:rFonts w:ascii="Abadi" w:hAnsi="Abadi"/>
          <w:i/>
          <w:iCs/>
          <w:sz w:val="21"/>
          <w:szCs w:val="21"/>
        </w:rPr>
      </w:pPr>
    </w:p>
    <w:p w14:paraId="48E959E7"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Es así, que si bien se han realizado diversos actos de fiscalización en el periodo cuya revisión es propone, los mismos se han ejecutado bajo procedimientos muestrales de conformidad con las Normas Profesionales de Auditoría del Sistema Nacional de Fiscalización, por lo que resulta procedente ampliar el alcance a través de una auditoría integral que abarque las partidas no revisadas.</w:t>
      </w:r>
    </w:p>
    <w:bookmarkEnd w:id="24"/>
    <w:p w14:paraId="3B2AC963" w14:textId="77777777" w:rsidR="007D4805" w:rsidRPr="0033650D" w:rsidRDefault="007D4805" w:rsidP="007D4805">
      <w:pPr>
        <w:ind w:left="709" w:hanging="1"/>
        <w:jc w:val="both"/>
        <w:rPr>
          <w:rFonts w:ascii="Abadi" w:hAnsi="Abadi"/>
          <w:i/>
          <w:iCs/>
          <w:sz w:val="21"/>
          <w:szCs w:val="21"/>
        </w:rPr>
      </w:pPr>
    </w:p>
    <w:p w14:paraId="737CA5F7" w14:textId="77777777" w:rsidR="007D4805" w:rsidRPr="0033650D" w:rsidRDefault="007D4805" w:rsidP="007D4805">
      <w:pPr>
        <w:ind w:left="709" w:hanging="1"/>
        <w:jc w:val="both"/>
        <w:rPr>
          <w:rFonts w:ascii="Abadi" w:hAnsi="Abadi"/>
          <w:i/>
          <w:iCs/>
          <w:sz w:val="21"/>
          <w:szCs w:val="21"/>
        </w:rPr>
      </w:pPr>
      <w:r w:rsidRPr="0033650D">
        <w:rPr>
          <w:rFonts w:ascii="Abadi" w:hAnsi="Abadi"/>
          <w:i/>
          <w:iCs/>
          <w:sz w:val="21"/>
          <w:szCs w:val="21"/>
        </w:rPr>
        <w:t xml:space="preserve">En razón a lo antes señalado, en atención a la propuesta presentada por el ayuntamiento de Acámbaro, </w:t>
      </w:r>
      <w:proofErr w:type="spellStart"/>
      <w:r w:rsidRPr="0033650D">
        <w:rPr>
          <w:rFonts w:ascii="Abadi" w:hAnsi="Abadi"/>
          <w:i/>
          <w:iCs/>
          <w:sz w:val="21"/>
          <w:szCs w:val="21"/>
        </w:rPr>
        <w:t>Gto</w:t>
      </w:r>
      <w:proofErr w:type="spellEnd"/>
      <w:r w:rsidRPr="0033650D">
        <w:rPr>
          <w:rFonts w:ascii="Abadi" w:hAnsi="Abadi"/>
          <w:i/>
          <w:iCs/>
          <w:sz w:val="21"/>
          <w:szCs w:val="21"/>
        </w:rPr>
        <w:t>., y atendiendo a la información presentada por la Auditoría Superior del Estado, consideramos que se cumplen los extremos constitucionales y legales para que se acuerde la práctica de una auditoría integral a dicha administración pública municipal, por el periodo comprendido del mes de octubre del ejercicio fiscal del año 2018 al mes de octubre del ejercicio fiscal del año 2021 que es el que abarcó la anterior administración municipal, que incluya las partida no revisadas, a fin de que se pueda verificar la gestión financiera de dicha administración y en su caso, estar en posibilidad de deslindar las responsabilidades a que haya lugar…</w:t>
      </w:r>
    </w:p>
    <w:p w14:paraId="0FF7EE1E" w14:textId="77777777" w:rsidR="007D4805" w:rsidRPr="0033650D" w:rsidRDefault="007D4805" w:rsidP="007D4805">
      <w:pPr>
        <w:ind w:firstLine="720"/>
        <w:jc w:val="both"/>
        <w:rPr>
          <w:rFonts w:ascii="Abadi" w:hAnsi="Abadi" w:cs="Tahoma"/>
          <w:sz w:val="21"/>
          <w:szCs w:val="21"/>
        </w:rPr>
      </w:pPr>
    </w:p>
    <w:p w14:paraId="3576B244" w14:textId="77777777" w:rsidR="007D4805" w:rsidRPr="0033650D" w:rsidRDefault="007D4805" w:rsidP="007D4805">
      <w:pPr>
        <w:ind w:firstLine="708"/>
        <w:jc w:val="both"/>
        <w:rPr>
          <w:rFonts w:ascii="Abadi" w:hAnsi="Abadi"/>
          <w:sz w:val="21"/>
          <w:szCs w:val="21"/>
          <w:lang w:eastAsia="x-none"/>
        </w:rPr>
      </w:pPr>
      <w:r w:rsidRPr="0033650D">
        <w:rPr>
          <w:rFonts w:ascii="Abadi" w:hAnsi="Abadi"/>
          <w:sz w:val="21"/>
          <w:szCs w:val="21"/>
          <w:lang w:eastAsia="x-none"/>
        </w:rPr>
        <w:t xml:space="preserve">En cumplimiento al acuerdo del Pleno del Congreso anteriormente referido, la Auditoría Superior del Estado practicó una auditoría </w:t>
      </w:r>
      <w:r w:rsidRPr="0033650D">
        <w:rPr>
          <w:rFonts w:ascii="Abadi" w:hAnsi="Abadi"/>
          <w:sz w:val="21"/>
          <w:szCs w:val="21"/>
        </w:rPr>
        <w:t xml:space="preserve">integral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al universo que </w:t>
      </w:r>
      <w:r w:rsidRPr="0033650D">
        <w:rPr>
          <w:rFonts w:ascii="Abadi" w:hAnsi="Abadi"/>
          <w:sz w:val="21"/>
          <w:szCs w:val="21"/>
        </w:rPr>
        <w:lastRenderedPageBreak/>
        <w:t>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w:t>
      </w:r>
      <w:r w:rsidRPr="0033650D">
        <w:rPr>
          <w:rFonts w:ascii="Abadi" w:hAnsi="Abadi"/>
          <w:sz w:val="21"/>
          <w:szCs w:val="21"/>
          <w:lang w:eastAsia="x-none"/>
        </w:rPr>
        <w:t xml:space="preserve">. </w:t>
      </w:r>
    </w:p>
    <w:p w14:paraId="0F82E03E" w14:textId="77777777" w:rsidR="007D4805" w:rsidRPr="0033650D" w:rsidRDefault="007D4805" w:rsidP="007D4805">
      <w:pPr>
        <w:ind w:firstLine="708"/>
        <w:jc w:val="both"/>
        <w:rPr>
          <w:rFonts w:ascii="Abadi" w:hAnsi="Abadi"/>
          <w:b/>
          <w:bCs/>
          <w:sz w:val="21"/>
          <w:szCs w:val="21"/>
          <w:lang w:eastAsia="x-none"/>
        </w:rPr>
      </w:pPr>
    </w:p>
    <w:p w14:paraId="2AE171C8" w14:textId="77777777" w:rsidR="007D4805" w:rsidRPr="0033650D" w:rsidRDefault="007D4805" w:rsidP="007D4805">
      <w:pPr>
        <w:ind w:firstLine="708"/>
        <w:jc w:val="both"/>
        <w:rPr>
          <w:rFonts w:ascii="Abadi" w:hAnsi="Abadi"/>
          <w:sz w:val="21"/>
          <w:szCs w:val="21"/>
          <w:lang w:eastAsia="x-none"/>
        </w:rPr>
      </w:pPr>
      <w:r w:rsidRPr="0033650D">
        <w:rPr>
          <w:rFonts w:ascii="Abadi" w:hAnsi="Abadi"/>
          <w:sz w:val="21"/>
          <w:szCs w:val="21"/>
          <w:lang w:eastAsia="x-none"/>
        </w:rPr>
        <w:t>La auditoría practicada conforme a lo expresado en los párrafos anteriores concluyó con la elaboración del informe de resultados que se remitió al Congreso, el cual se turnó a esta Comisión de Hacienda y Fiscalización el 5 de enero de 2023 para su estudio y dictamen, siendo radicado el 7 de febrero del año en curso.</w:t>
      </w:r>
    </w:p>
    <w:p w14:paraId="25D6D588" w14:textId="77777777" w:rsidR="007D4805" w:rsidRPr="0033650D" w:rsidRDefault="007D4805" w:rsidP="007D4805">
      <w:pPr>
        <w:ind w:firstLine="708"/>
        <w:jc w:val="both"/>
        <w:rPr>
          <w:rFonts w:ascii="Abadi" w:hAnsi="Abadi"/>
          <w:sz w:val="21"/>
          <w:szCs w:val="21"/>
          <w:lang w:eastAsia="x-none"/>
        </w:rPr>
      </w:pPr>
    </w:p>
    <w:p w14:paraId="3DCA8E02" w14:textId="77777777" w:rsidR="007D4805" w:rsidRPr="00472548" w:rsidRDefault="007D4805" w:rsidP="007D4805">
      <w:pPr>
        <w:pStyle w:val="Textoindependiente"/>
        <w:ind w:firstLine="708"/>
        <w:rPr>
          <w:rFonts w:ascii="Abadi" w:hAnsi="Abadi"/>
          <w:sz w:val="21"/>
          <w:szCs w:val="21"/>
        </w:rPr>
      </w:pPr>
      <w:r w:rsidRPr="00472548">
        <w:rPr>
          <w:rFonts w:ascii="Abadi" w:hAnsi="Abadi"/>
          <w:sz w:val="21"/>
          <w:szCs w:val="21"/>
        </w:rPr>
        <w:t>III. Procedimiento de Auditoría:</w:t>
      </w:r>
    </w:p>
    <w:p w14:paraId="1EB6C722" w14:textId="77777777" w:rsidR="007D4805" w:rsidRPr="0033650D" w:rsidRDefault="007D4805" w:rsidP="007D4805">
      <w:pPr>
        <w:pStyle w:val="Textoindependiente"/>
        <w:ind w:firstLine="708"/>
        <w:rPr>
          <w:rFonts w:ascii="Abadi" w:hAnsi="Abadi"/>
          <w:sz w:val="21"/>
          <w:szCs w:val="21"/>
        </w:rPr>
      </w:pPr>
    </w:p>
    <w:p w14:paraId="6502261C"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El objetivo de la auditoría, de acuerdo a los principios, conceptos y directrices de las Normas Profesionales de Auditoría del Sistema Nacional de Fiscalización es el siguiente:</w:t>
      </w:r>
    </w:p>
    <w:p w14:paraId="1E7CFA4F" w14:textId="77777777" w:rsidR="007D4805" w:rsidRPr="00472548" w:rsidRDefault="007D4805" w:rsidP="007D4805">
      <w:pPr>
        <w:pStyle w:val="Textoindependiente"/>
        <w:ind w:firstLine="708"/>
        <w:rPr>
          <w:rFonts w:ascii="Abadi" w:hAnsi="Abadi"/>
          <w:b w:val="0"/>
          <w:bCs w:val="0"/>
          <w:sz w:val="21"/>
          <w:szCs w:val="21"/>
        </w:rPr>
      </w:pPr>
    </w:p>
    <w:p w14:paraId="3B9B5F06" w14:textId="77777777" w:rsidR="007D4805" w:rsidRPr="00472548" w:rsidRDefault="007D4805" w:rsidP="00427BD6">
      <w:pPr>
        <w:pStyle w:val="Textoindependiente"/>
        <w:numPr>
          <w:ilvl w:val="0"/>
          <w:numId w:val="10"/>
        </w:numPr>
        <w:autoSpaceDE/>
        <w:autoSpaceDN/>
        <w:ind w:left="426" w:hanging="426"/>
        <w:rPr>
          <w:rFonts w:ascii="Abadi" w:hAnsi="Abadi"/>
          <w:b w:val="0"/>
          <w:bCs w:val="0"/>
          <w:sz w:val="21"/>
          <w:szCs w:val="21"/>
        </w:rPr>
      </w:pPr>
      <w:r w:rsidRPr="00472548">
        <w:rPr>
          <w:rFonts w:ascii="Abadi" w:hAnsi="Abadi"/>
          <w:b w:val="0"/>
          <w:bCs w:val="0"/>
          <w:sz w:val="21"/>
          <w:szCs w:val="21"/>
        </w:rPr>
        <w:t>En materia financiera, emitir una opinión sobre si sobre los estados financieros que integran la Cuenta Pública han sido preparados en todos los aspectos importantes, de acuerdo con la Ley General de Contabilidad Gubernamental y las normas contables emitidas por el Consejo Nacional de Armonización Contable, así como, con los demás marcos de información financiera aplicables;</w:t>
      </w:r>
    </w:p>
    <w:p w14:paraId="5299371B" w14:textId="77777777" w:rsidR="007D4805" w:rsidRPr="00472548" w:rsidRDefault="007D4805" w:rsidP="007D4805">
      <w:pPr>
        <w:pStyle w:val="Textoindependiente"/>
        <w:ind w:left="426"/>
        <w:rPr>
          <w:rFonts w:ascii="Abadi" w:hAnsi="Abadi"/>
          <w:b w:val="0"/>
          <w:bCs w:val="0"/>
          <w:sz w:val="21"/>
          <w:szCs w:val="21"/>
        </w:rPr>
      </w:pPr>
    </w:p>
    <w:p w14:paraId="5AE3DD0D" w14:textId="77777777" w:rsidR="007D4805" w:rsidRPr="00472548" w:rsidRDefault="007D4805" w:rsidP="00427BD6">
      <w:pPr>
        <w:pStyle w:val="Textoindependiente"/>
        <w:numPr>
          <w:ilvl w:val="0"/>
          <w:numId w:val="10"/>
        </w:numPr>
        <w:autoSpaceDE/>
        <w:autoSpaceDN/>
        <w:ind w:left="426" w:hanging="426"/>
        <w:rPr>
          <w:rFonts w:ascii="Abadi" w:hAnsi="Abadi"/>
          <w:b w:val="0"/>
          <w:bCs w:val="0"/>
          <w:sz w:val="21"/>
          <w:szCs w:val="21"/>
        </w:rPr>
      </w:pPr>
      <w:r w:rsidRPr="00472548">
        <w:rPr>
          <w:rFonts w:ascii="Abadi" w:hAnsi="Abadi"/>
          <w:b w:val="0"/>
          <w:bCs w:val="0"/>
          <w:sz w:val="21"/>
          <w:szCs w:val="21"/>
        </w:rPr>
        <w:t>En materia de cumplimiento, comprobar que la gestión financiera y no financiera del sujeto fiscalizado fue realizada conforme a las leyes, normas, reglamentos y demás disposiciones que la regulan, y atendiendo al criterio de transparencia, en cuanto a los ingresos y gastos públicos; la deuda pública, incluyendo la revisión del manejo, la custodia y la aplicación de recursos públicos, así como de la demás información financiera, contable, patrimonial, presupuestaria y programática que deban incluir en la cuenta pública; y</w:t>
      </w:r>
    </w:p>
    <w:p w14:paraId="72A4182E" w14:textId="77777777" w:rsidR="007D4805" w:rsidRPr="00472548" w:rsidRDefault="007D4805" w:rsidP="007D4805">
      <w:pPr>
        <w:pStyle w:val="Prrafodelista"/>
        <w:rPr>
          <w:rFonts w:ascii="Abadi" w:hAnsi="Abadi" w:cs="Arial"/>
          <w:sz w:val="21"/>
          <w:szCs w:val="21"/>
        </w:rPr>
      </w:pPr>
    </w:p>
    <w:p w14:paraId="1C40A276" w14:textId="77777777" w:rsidR="007D4805" w:rsidRPr="00472548" w:rsidRDefault="007D4805" w:rsidP="00427BD6">
      <w:pPr>
        <w:pStyle w:val="Textoindependiente"/>
        <w:numPr>
          <w:ilvl w:val="0"/>
          <w:numId w:val="10"/>
        </w:numPr>
        <w:autoSpaceDE/>
        <w:autoSpaceDN/>
        <w:ind w:left="426" w:hanging="426"/>
        <w:rPr>
          <w:rFonts w:ascii="Abadi" w:hAnsi="Abadi"/>
          <w:b w:val="0"/>
          <w:bCs w:val="0"/>
          <w:sz w:val="21"/>
          <w:szCs w:val="21"/>
        </w:rPr>
      </w:pPr>
      <w:r w:rsidRPr="00472548">
        <w:rPr>
          <w:rFonts w:ascii="Abadi" w:hAnsi="Abadi"/>
          <w:b w:val="0"/>
          <w:bCs w:val="0"/>
          <w:sz w:val="21"/>
          <w:szCs w:val="21"/>
        </w:rPr>
        <w:t>En materia de infraestructura pública, realizar una revisión legal, financiera,</w:t>
      </w:r>
      <w:r w:rsidRPr="0033650D">
        <w:rPr>
          <w:rFonts w:ascii="Abadi" w:hAnsi="Abadi"/>
          <w:sz w:val="21"/>
          <w:szCs w:val="21"/>
        </w:rPr>
        <w:t xml:space="preserve"> </w:t>
      </w:r>
      <w:r w:rsidRPr="00472548">
        <w:rPr>
          <w:rFonts w:ascii="Abadi" w:hAnsi="Abadi"/>
          <w:b w:val="0"/>
          <w:bCs w:val="0"/>
          <w:sz w:val="21"/>
          <w:szCs w:val="21"/>
        </w:rPr>
        <w:t>técnica, administrativa y contable de las obras, abarcando todas sus etapas.</w:t>
      </w:r>
    </w:p>
    <w:p w14:paraId="76A5452E" w14:textId="77777777" w:rsidR="007D4805" w:rsidRPr="00472548" w:rsidRDefault="007D4805" w:rsidP="007D4805">
      <w:pPr>
        <w:pStyle w:val="Textoindependiente"/>
        <w:ind w:firstLine="708"/>
        <w:rPr>
          <w:rFonts w:ascii="Abadi" w:hAnsi="Abadi"/>
          <w:b w:val="0"/>
          <w:bCs w:val="0"/>
          <w:sz w:val="21"/>
          <w:szCs w:val="21"/>
        </w:rPr>
      </w:pPr>
    </w:p>
    <w:p w14:paraId="3D5BFE61"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General de Contabilidad Gubernamental, en la Ley de Disciplina Financiera de las Entidades Federativas y los Municipios, en la Ley para el Ejercicio y Control de los Recursos Públicos para el Estado y los Municipios de Guanajuato, en la Ley Orgánica Municipal para el Estado de Guanajuato y en las demás disposiciones normativas federales y locales aplicables y vigentes durante el periodo de la auditoría;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D3AB512" w14:textId="77777777" w:rsidR="007D4805" w:rsidRPr="00472548" w:rsidRDefault="007D4805" w:rsidP="007D4805">
      <w:pPr>
        <w:pStyle w:val="Textoindependiente"/>
        <w:ind w:firstLine="708"/>
        <w:rPr>
          <w:rFonts w:ascii="Abadi" w:hAnsi="Abadi"/>
          <w:b w:val="0"/>
          <w:bCs w:val="0"/>
          <w:sz w:val="21"/>
          <w:szCs w:val="21"/>
        </w:rPr>
      </w:pPr>
    </w:p>
    <w:p w14:paraId="2041213F"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100, 200 y 400, que son aplicables al sector público.</w:t>
      </w:r>
    </w:p>
    <w:p w14:paraId="7DA54014" w14:textId="77777777" w:rsidR="007D4805" w:rsidRPr="00472548" w:rsidRDefault="007D4805" w:rsidP="007D4805">
      <w:pPr>
        <w:pStyle w:val="Textoindependiente"/>
        <w:ind w:firstLine="708"/>
        <w:rPr>
          <w:rFonts w:ascii="Abadi" w:hAnsi="Abadi"/>
          <w:b w:val="0"/>
          <w:bCs w:val="0"/>
          <w:sz w:val="21"/>
          <w:szCs w:val="21"/>
        </w:rPr>
      </w:pPr>
    </w:p>
    <w:p w14:paraId="4798496F"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De igual forma, en la auditoría se realizaron los procedimientos y pruebas selectivas que se estimaron necesarias para obtener evidencia suficiente y adecuada. Los procedimientos seleccionados fueron aplicados por el auditor, con base en la</w:t>
      </w:r>
      <w:r w:rsidRPr="0033650D">
        <w:rPr>
          <w:rFonts w:ascii="Abadi" w:hAnsi="Abadi"/>
          <w:sz w:val="21"/>
          <w:szCs w:val="21"/>
        </w:rPr>
        <w:t xml:space="preserve"> </w:t>
      </w:r>
      <w:r w:rsidRPr="00472548">
        <w:rPr>
          <w:rFonts w:ascii="Abadi" w:hAnsi="Abadi"/>
          <w:b w:val="0"/>
          <w:bCs w:val="0"/>
          <w:sz w:val="21"/>
          <w:szCs w:val="21"/>
        </w:rPr>
        <w:lastRenderedPageBreak/>
        <w:t xml:space="preserve">evaluación de los riesgos de incorrección material. Al realizar las evaluaciones de riesgo, se consideró el control interno con el fin de diseñar procedimientos de auditoría, pero no con la finalidad de expresar una opinión sobre la eficiencia del mismo. </w:t>
      </w:r>
    </w:p>
    <w:p w14:paraId="3845FF11" w14:textId="77777777" w:rsidR="007D4805" w:rsidRPr="00472548" w:rsidRDefault="007D4805" w:rsidP="007D4805">
      <w:pPr>
        <w:pStyle w:val="Textoindependiente"/>
        <w:ind w:firstLine="708"/>
        <w:rPr>
          <w:rFonts w:ascii="Abadi" w:hAnsi="Abadi"/>
          <w:b w:val="0"/>
          <w:bCs w:val="0"/>
          <w:sz w:val="21"/>
          <w:szCs w:val="21"/>
        </w:rPr>
      </w:pPr>
    </w:p>
    <w:p w14:paraId="7056FD8C"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472548">
        <w:rPr>
          <w:rFonts w:ascii="Abadi" w:hAnsi="Abadi"/>
          <w:b w:val="0"/>
          <w:bCs w:val="0"/>
          <w:sz w:val="21"/>
          <w:szCs w:val="21"/>
        </w:rPr>
        <w:t>fiscalizado</w:t>
      </w:r>
      <w:proofErr w:type="spellEnd"/>
      <w:r w:rsidRPr="00472548">
        <w:rPr>
          <w:rFonts w:ascii="Abadi" w:hAnsi="Abadi"/>
          <w:b w:val="0"/>
          <w:bCs w:val="0"/>
          <w:sz w:val="21"/>
          <w:szCs w:val="21"/>
        </w:rPr>
        <w:t>, de acuerdo a lo dispuesto por los ordenamientos aplicables en la materia, incluyendo las políticas contables aplicables a la institución, utilizadas de acuerdo a los Postulados Básicos de Contabilidad Gubernamental.</w:t>
      </w:r>
    </w:p>
    <w:p w14:paraId="5449E3E9" w14:textId="77777777" w:rsidR="007D4805" w:rsidRPr="00472548" w:rsidRDefault="007D4805" w:rsidP="007D4805">
      <w:pPr>
        <w:pStyle w:val="Textoindependiente"/>
        <w:ind w:firstLine="708"/>
        <w:rPr>
          <w:rFonts w:ascii="Abadi" w:hAnsi="Abadi"/>
          <w:b w:val="0"/>
          <w:bCs w:val="0"/>
          <w:sz w:val="21"/>
          <w:szCs w:val="21"/>
        </w:rPr>
      </w:pPr>
    </w:p>
    <w:p w14:paraId="7EE41067" w14:textId="77777777" w:rsidR="007D4805" w:rsidRPr="0033650D" w:rsidRDefault="007D4805" w:rsidP="007D4805">
      <w:pPr>
        <w:pStyle w:val="Textoindependiente"/>
        <w:ind w:firstLine="708"/>
        <w:rPr>
          <w:rFonts w:ascii="Abadi" w:hAnsi="Abadi"/>
          <w:sz w:val="21"/>
          <w:szCs w:val="21"/>
        </w:rPr>
      </w:pPr>
    </w:p>
    <w:p w14:paraId="0E563908"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Dicho informe también señala que se practicó la auditoría con el alcance que se refiere en el informe de resultados respecto a los rubros de ingresos y egresos correspondientes al periodo comprendido de octubre a diciembre del ejercicio fiscal de 2018, así como al rubro egresos de los ejercicios fiscales de 2019 y 2020 y del periodo comprendido de enero a octubre de 2021. </w:t>
      </w:r>
    </w:p>
    <w:p w14:paraId="1CD693E4" w14:textId="77777777" w:rsidR="007D4805" w:rsidRPr="00472548" w:rsidRDefault="007D4805" w:rsidP="007D4805">
      <w:pPr>
        <w:pStyle w:val="Textoindependiente"/>
        <w:ind w:firstLine="708"/>
        <w:rPr>
          <w:rFonts w:ascii="Abadi" w:hAnsi="Abadi"/>
          <w:b w:val="0"/>
          <w:bCs w:val="0"/>
          <w:sz w:val="21"/>
          <w:szCs w:val="21"/>
        </w:rPr>
      </w:pPr>
    </w:p>
    <w:p w14:paraId="6EF45D34"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El 2 de junio de 2022 se notificó a la presidenta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la orden de inicio del procedimiento de auditoría.</w:t>
      </w:r>
    </w:p>
    <w:p w14:paraId="2FA889C1" w14:textId="77777777" w:rsidR="007D4805" w:rsidRPr="00472548" w:rsidRDefault="007D4805" w:rsidP="007D4805">
      <w:pPr>
        <w:pStyle w:val="Textoindependiente"/>
        <w:ind w:firstLine="708"/>
        <w:rPr>
          <w:rFonts w:ascii="Abadi" w:hAnsi="Abadi"/>
          <w:b w:val="0"/>
          <w:bCs w:val="0"/>
          <w:sz w:val="21"/>
          <w:szCs w:val="21"/>
        </w:rPr>
      </w:pPr>
    </w:p>
    <w:p w14:paraId="6FB9804F"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En fechas 14 de octubre de 2022 se notificó a la presidenta municipal y 17 de octubre de 2022 al ex presidente municipal y a la ex presidenta municipal provisional de Acámbaro, </w:t>
      </w:r>
      <w:proofErr w:type="spellStart"/>
      <w:r w:rsidRPr="0033650D">
        <w:rPr>
          <w:rFonts w:ascii="Abadi" w:hAnsi="Abadi"/>
          <w:sz w:val="21"/>
          <w:szCs w:val="21"/>
        </w:rPr>
        <w:t>Gto</w:t>
      </w:r>
      <w:proofErr w:type="spellEnd"/>
      <w:r w:rsidRPr="0033650D">
        <w:rPr>
          <w:rFonts w:ascii="Abadi" w:hAnsi="Abadi"/>
          <w:sz w:val="21"/>
          <w:szCs w:val="21"/>
        </w:rPr>
        <w:t xml:space="preserve">., el pliego de observaciones y recomendaciones derivado de la auditoría integral materia del presente dictamen, al cual se dio respuesta el 7 de noviembre del mismo año por parte de la presidenta y el ex presidente municipales de Acámbaro, </w:t>
      </w:r>
      <w:proofErr w:type="spellStart"/>
      <w:r w:rsidRPr="0033650D">
        <w:rPr>
          <w:rFonts w:ascii="Abadi" w:hAnsi="Abadi"/>
          <w:sz w:val="21"/>
          <w:szCs w:val="21"/>
        </w:rPr>
        <w:t>Gto</w:t>
      </w:r>
      <w:proofErr w:type="spellEnd"/>
      <w:r w:rsidRPr="0033650D">
        <w:rPr>
          <w:rFonts w:ascii="Abadi" w:hAnsi="Abadi"/>
          <w:sz w:val="21"/>
          <w:szCs w:val="21"/>
        </w:rPr>
        <w:t>.</w:t>
      </w:r>
    </w:p>
    <w:p w14:paraId="3A7C56AD" w14:textId="77777777" w:rsidR="007D4805" w:rsidRPr="0033650D" w:rsidRDefault="007D4805" w:rsidP="007D4805">
      <w:pPr>
        <w:ind w:firstLine="708"/>
        <w:jc w:val="both"/>
        <w:rPr>
          <w:rFonts w:ascii="Abadi" w:hAnsi="Abadi"/>
          <w:sz w:val="21"/>
          <w:szCs w:val="21"/>
        </w:rPr>
      </w:pPr>
    </w:p>
    <w:p w14:paraId="4F160DFA"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El 29 de noviembre de 2022 se notificó a la presidenta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la suspensión del plazo de la auditoría materia del presente dictamen, de conformidad con lo establecido en el Acuerdo de Suspensión de Plazos publicado en el </w:t>
      </w:r>
      <w:r w:rsidRPr="0033650D">
        <w:rPr>
          <w:rFonts w:ascii="Abadi" w:hAnsi="Abadi"/>
          <w:sz w:val="21"/>
          <w:szCs w:val="21"/>
        </w:rPr>
        <w:t>Periódico Oficial del Gobierno del Estado de Guanajuato el 25 de noviembre de 2022.</w:t>
      </w:r>
    </w:p>
    <w:p w14:paraId="1C231593" w14:textId="77777777" w:rsidR="007D4805" w:rsidRPr="0033650D" w:rsidRDefault="007D4805" w:rsidP="007D4805">
      <w:pPr>
        <w:ind w:firstLine="708"/>
        <w:jc w:val="both"/>
        <w:rPr>
          <w:rFonts w:ascii="Abadi" w:hAnsi="Abadi"/>
          <w:sz w:val="21"/>
          <w:szCs w:val="21"/>
        </w:rPr>
      </w:pPr>
    </w:p>
    <w:p w14:paraId="08FF7582"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Asimismo, el informe de resultados se notificó el 29 de noviembre de 2022, a la presidenta municipal y a la ex presidenta municipal provisional y el 30 de noviembre de 2022, al ex presidente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B4BAC2E" w14:textId="77777777" w:rsidR="007D4805" w:rsidRPr="0033650D" w:rsidRDefault="007D4805" w:rsidP="007D4805">
      <w:pPr>
        <w:pStyle w:val="Textoindependiente"/>
        <w:ind w:firstLine="708"/>
        <w:rPr>
          <w:rFonts w:ascii="Abadi" w:hAnsi="Abadi"/>
          <w:sz w:val="21"/>
          <w:szCs w:val="21"/>
        </w:rPr>
      </w:pPr>
    </w:p>
    <w:p w14:paraId="31194424"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El 7 de diciembre de 2022, dentro del plazo que prevé la fracción IV del artículo 37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 la tesorera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interpuso recurso de reconsideración en contra del informe de resultados de la auditoría integral practicada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w:t>
      </w:r>
    </w:p>
    <w:p w14:paraId="3157F458" w14:textId="77777777" w:rsidR="007D4805" w:rsidRPr="0033650D" w:rsidRDefault="007D4805" w:rsidP="007D4805">
      <w:pPr>
        <w:ind w:firstLine="708"/>
        <w:jc w:val="both"/>
        <w:rPr>
          <w:rFonts w:ascii="Abadi" w:hAnsi="Abadi"/>
          <w:sz w:val="21"/>
          <w:szCs w:val="21"/>
        </w:rPr>
      </w:pPr>
    </w:p>
    <w:p w14:paraId="16459097"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Una vez tramitado el recurso, el Auditor Superior el 21 de diciembre de 2022 emitió la resolución correspondiente, a la cual haremos referencia en un apartado posterior, misma que se notificó a la tesorera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el 22 de diciembre del mismo año.</w:t>
      </w:r>
    </w:p>
    <w:p w14:paraId="05C8A250" w14:textId="77777777" w:rsidR="007D4805" w:rsidRPr="0033650D" w:rsidRDefault="007D4805" w:rsidP="007D4805">
      <w:pPr>
        <w:ind w:firstLine="708"/>
        <w:jc w:val="both"/>
        <w:rPr>
          <w:rFonts w:ascii="Abadi" w:hAnsi="Abadi"/>
          <w:b/>
          <w:sz w:val="21"/>
          <w:szCs w:val="21"/>
        </w:rPr>
      </w:pPr>
    </w:p>
    <w:p w14:paraId="7D07860A" w14:textId="77777777" w:rsidR="007D4805" w:rsidRPr="00472548" w:rsidRDefault="007D4805" w:rsidP="007D4805">
      <w:pPr>
        <w:pStyle w:val="Textoindependiente"/>
        <w:ind w:firstLine="708"/>
        <w:rPr>
          <w:rFonts w:ascii="Abadi" w:hAnsi="Abadi"/>
          <w:sz w:val="21"/>
          <w:szCs w:val="21"/>
        </w:rPr>
      </w:pPr>
      <w:r w:rsidRPr="00472548">
        <w:rPr>
          <w:rFonts w:ascii="Abadi" w:hAnsi="Abadi"/>
          <w:sz w:val="21"/>
          <w:szCs w:val="21"/>
        </w:rPr>
        <w:t>IV. Contenido del Informe de Resultados:</w:t>
      </w:r>
    </w:p>
    <w:p w14:paraId="24AE2991" w14:textId="77777777" w:rsidR="007D4805" w:rsidRPr="0033650D" w:rsidRDefault="007D4805" w:rsidP="007D4805">
      <w:pPr>
        <w:pStyle w:val="Textoindependiente"/>
        <w:rPr>
          <w:rFonts w:ascii="Abadi" w:hAnsi="Abadi"/>
          <w:b w:val="0"/>
          <w:bCs w:val="0"/>
          <w:sz w:val="21"/>
          <w:szCs w:val="21"/>
        </w:rPr>
      </w:pPr>
    </w:p>
    <w:p w14:paraId="487D63EF" w14:textId="77777777" w:rsidR="007D4805" w:rsidRPr="00472548" w:rsidRDefault="007D4805" w:rsidP="007D4805">
      <w:pPr>
        <w:pStyle w:val="Textoindependiente"/>
        <w:rPr>
          <w:rFonts w:ascii="Abadi" w:hAnsi="Abadi"/>
          <w:b w:val="0"/>
          <w:sz w:val="21"/>
          <w:szCs w:val="21"/>
        </w:rPr>
      </w:pPr>
      <w:r w:rsidRPr="0033650D">
        <w:rPr>
          <w:rFonts w:ascii="Abadi" w:hAnsi="Abadi"/>
          <w:b w:val="0"/>
          <w:bCs w:val="0"/>
          <w:sz w:val="21"/>
          <w:szCs w:val="21"/>
        </w:rPr>
        <w:tab/>
      </w:r>
      <w:r w:rsidRPr="00472548">
        <w:rPr>
          <w:rFonts w:ascii="Abadi" w:hAnsi="Abadi"/>
          <w:b w:val="0"/>
          <w:sz w:val="21"/>
          <w:szCs w:val="21"/>
        </w:rPr>
        <w:t>En cumplimiento a lo establecido por el artículo 37, fracción III de la Ley de Fiscalización Superior del Estado, el informe de resultados contiene los siguientes apartados:</w:t>
      </w:r>
    </w:p>
    <w:p w14:paraId="0D6FB3E0" w14:textId="77777777" w:rsidR="007D4805" w:rsidRPr="00472548" w:rsidRDefault="007D4805" w:rsidP="007D4805">
      <w:pPr>
        <w:pStyle w:val="Textoindependiente"/>
        <w:rPr>
          <w:rFonts w:ascii="Abadi" w:hAnsi="Abadi"/>
          <w:b w:val="0"/>
          <w:sz w:val="21"/>
          <w:szCs w:val="21"/>
        </w:rPr>
      </w:pPr>
    </w:p>
    <w:p w14:paraId="11544902" w14:textId="77777777" w:rsidR="007D4805" w:rsidRPr="00472548" w:rsidRDefault="007D4805" w:rsidP="00427BD6">
      <w:pPr>
        <w:pStyle w:val="Textoindependiente"/>
        <w:numPr>
          <w:ilvl w:val="0"/>
          <w:numId w:val="9"/>
        </w:numPr>
        <w:autoSpaceDE/>
        <w:autoSpaceDN/>
        <w:rPr>
          <w:rFonts w:ascii="Abadi" w:hAnsi="Abadi"/>
          <w:bCs w:val="0"/>
          <w:sz w:val="21"/>
          <w:szCs w:val="21"/>
        </w:rPr>
      </w:pPr>
      <w:r w:rsidRPr="00472548">
        <w:rPr>
          <w:rFonts w:ascii="Abadi" w:hAnsi="Abadi"/>
          <w:bCs w:val="0"/>
          <w:sz w:val="21"/>
          <w:szCs w:val="21"/>
        </w:rPr>
        <w:lastRenderedPageBreak/>
        <w:t>Introducción.</w:t>
      </w:r>
    </w:p>
    <w:p w14:paraId="698180C8" w14:textId="77777777" w:rsidR="007D4805" w:rsidRPr="00472548" w:rsidRDefault="007D4805" w:rsidP="007D4805">
      <w:pPr>
        <w:pStyle w:val="Textoindependiente"/>
        <w:ind w:left="705"/>
        <w:rPr>
          <w:rFonts w:ascii="Abadi" w:hAnsi="Abadi"/>
          <w:b w:val="0"/>
          <w:sz w:val="21"/>
          <w:szCs w:val="21"/>
        </w:rPr>
      </w:pPr>
    </w:p>
    <w:p w14:paraId="28365532" w14:textId="77777777" w:rsidR="007D4805" w:rsidRPr="00472548" w:rsidRDefault="007D4805" w:rsidP="007D4805">
      <w:pPr>
        <w:pStyle w:val="Textoindependiente"/>
        <w:ind w:firstLine="705"/>
        <w:rPr>
          <w:rFonts w:ascii="Abadi" w:hAnsi="Abadi"/>
          <w:b w:val="0"/>
          <w:sz w:val="21"/>
          <w:szCs w:val="21"/>
        </w:rPr>
      </w:pPr>
      <w:r w:rsidRPr="00472548">
        <w:rPr>
          <w:rFonts w:ascii="Abadi" w:hAnsi="Abadi"/>
          <w:b w:val="0"/>
          <w:sz w:val="21"/>
          <w:szCs w:val="21"/>
        </w:rPr>
        <w:t xml:space="preserve">Por lo que se refiere a este punto, se establecen el objetivo de la auditoría; los criterios de selección; el alcance de la auditoría, respecto a los rubros de ingresos y egresos correspondientes al periodo comprendido de octubre a diciembre del ejercicio fiscal de 2018, así como al rubro egresos de los ejercicios fiscales de 2019 y 2020 y del periodo comprendido de enero a octubre de 2021, precisando que el detalle de los alcances de la auditoría se consigna en los Anexos 01 y 02 del informe de resultados. </w:t>
      </w:r>
    </w:p>
    <w:p w14:paraId="476F1F27" w14:textId="77777777" w:rsidR="007D4805" w:rsidRPr="00472548" w:rsidRDefault="007D4805" w:rsidP="007D4805">
      <w:pPr>
        <w:pStyle w:val="Textoindependiente"/>
        <w:ind w:firstLine="705"/>
        <w:rPr>
          <w:rFonts w:ascii="Abadi" w:hAnsi="Abadi"/>
          <w:b w:val="0"/>
          <w:sz w:val="21"/>
          <w:szCs w:val="21"/>
        </w:rPr>
      </w:pPr>
    </w:p>
    <w:p w14:paraId="0D0AF9A8" w14:textId="77777777" w:rsidR="007D4805" w:rsidRPr="00472548" w:rsidRDefault="007D4805" w:rsidP="007D4805">
      <w:pPr>
        <w:pStyle w:val="Textoindependiente"/>
        <w:ind w:firstLine="705"/>
        <w:rPr>
          <w:rFonts w:ascii="Abadi" w:hAnsi="Abadi"/>
          <w:b w:val="0"/>
          <w:sz w:val="21"/>
          <w:szCs w:val="21"/>
        </w:rPr>
      </w:pPr>
      <w:r w:rsidRPr="00472548">
        <w:rPr>
          <w:rFonts w:ascii="Abadi" w:hAnsi="Abadi"/>
          <w:b w:val="0"/>
          <w:sz w:val="21"/>
          <w:szCs w:val="21"/>
        </w:rPr>
        <w:t xml:space="preserve">Asimismo, se refiere que la cuenta pública municipal de Acámbaro, </w:t>
      </w:r>
      <w:proofErr w:type="spellStart"/>
      <w:r w:rsidRPr="00472548">
        <w:rPr>
          <w:rFonts w:ascii="Abadi" w:hAnsi="Abadi"/>
          <w:b w:val="0"/>
          <w:sz w:val="21"/>
          <w:szCs w:val="21"/>
        </w:rPr>
        <w:t>Gto</w:t>
      </w:r>
      <w:proofErr w:type="spellEnd"/>
      <w:r w:rsidRPr="00472548">
        <w:rPr>
          <w:rFonts w:ascii="Abadi" w:hAnsi="Abadi"/>
          <w:b w:val="0"/>
          <w:sz w:val="21"/>
          <w:szCs w:val="21"/>
        </w:rPr>
        <w:t>., correspondiente a los ejercicios fiscales de 2018, 2019, 2020 y 2021 que ya fue revisada se integró con la información que se detalla en el informe de resultados, de conformidad con lo establecido en el artículo 48 de la Ley General de Contabilidad Gubernamental; precisando el detalle de los alcances de las cuentas contables, así como las partidas específicas y rubros de ingresos presupuestales relacionadas revisadas del periodo comprendido de octubre a diciembre del ejercicio fiscal de 2018, de los ejercicios fiscales de 2019 y 2020 y del periodo comprendido de enero a octubre de 2021 y el detalle de alcances las obras que se seleccionaron para muestra.</w:t>
      </w:r>
    </w:p>
    <w:p w14:paraId="79185761" w14:textId="77777777" w:rsidR="007D4805" w:rsidRPr="00472548" w:rsidRDefault="007D4805" w:rsidP="007D4805">
      <w:pPr>
        <w:pStyle w:val="Textoindependiente"/>
        <w:ind w:firstLine="705"/>
        <w:rPr>
          <w:rFonts w:ascii="Abadi" w:hAnsi="Abadi"/>
          <w:b w:val="0"/>
          <w:sz w:val="21"/>
          <w:szCs w:val="21"/>
        </w:rPr>
      </w:pPr>
    </w:p>
    <w:p w14:paraId="1B112C15" w14:textId="77777777" w:rsidR="007D4805" w:rsidRPr="00472548" w:rsidRDefault="007D4805" w:rsidP="007D4805">
      <w:pPr>
        <w:pStyle w:val="Textoindependiente"/>
        <w:ind w:firstLine="705"/>
        <w:rPr>
          <w:rFonts w:ascii="Abadi" w:hAnsi="Abadi"/>
          <w:b w:val="0"/>
          <w:sz w:val="21"/>
          <w:szCs w:val="21"/>
        </w:rPr>
      </w:pPr>
      <w:r w:rsidRPr="00472548">
        <w:rPr>
          <w:rFonts w:ascii="Abadi" w:hAnsi="Abadi"/>
          <w:b w:val="0"/>
          <w:sz w:val="21"/>
          <w:szCs w:val="21"/>
        </w:rPr>
        <w:t xml:space="preserve">Por otra parte, se señala que, respecto al periodo auditado el Órgano Técnico también llevó a cabo auditorías y revisiones a la administración pública municipal de Acámbaro, </w:t>
      </w:r>
      <w:proofErr w:type="spellStart"/>
      <w:r w:rsidRPr="00472548">
        <w:rPr>
          <w:rFonts w:ascii="Abadi" w:hAnsi="Abadi"/>
          <w:b w:val="0"/>
          <w:sz w:val="21"/>
          <w:szCs w:val="21"/>
        </w:rPr>
        <w:t>Gto</w:t>
      </w:r>
      <w:proofErr w:type="spellEnd"/>
      <w:r w:rsidRPr="00472548">
        <w:rPr>
          <w:rFonts w:ascii="Abadi" w:hAnsi="Abadi"/>
          <w:b w:val="0"/>
          <w:sz w:val="21"/>
          <w:szCs w:val="21"/>
        </w:rPr>
        <w:t xml:space="preserve">., en los ejercicios fiscales de 2018, 2019 y 2020, precisando el porcentaje revisado de ingresos y egresos; estableciendo además que, de manera paralela se realizó una auditoría a la infraestructura pública municipal y la revisión de la cuenta pública municipal de Acámbaro, </w:t>
      </w:r>
      <w:proofErr w:type="spellStart"/>
      <w:r w:rsidRPr="00472548">
        <w:rPr>
          <w:rFonts w:ascii="Abadi" w:hAnsi="Abadi"/>
          <w:b w:val="0"/>
          <w:sz w:val="21"/>
          <w:szCs w:val="21"/>
        </w:rPr>
        <w:t>Gto</w:t>
      </w:r>
      <w:proofErr w:type="spellEnd"/>
      <w:r w:rsidRPr="00472548">
        <w:rPr>
          <w:rFonts w:ascii="Abadi" w:hAnsi="Abadi"/>
          <w:b w:val="0"/>
          <w:sz w:val="21"/>
          <w:szCs w:val="21"/>
        </w:rPr>
        <w:t>., correspondientes al ejercicio fiscal del año 2021.</w:t>
      </w:r>
    </w:p>
    <w:p w14:paraId="7CD4DE18" w14:textId="77777777" w:rsidR="007D4805" w:rsidRPr="00472548" w:rsidRDefault="007D4805" w:rsidP="007D4805">
      <w:pPr>
        <w:pStyle w:val="Textoindependiente"/>
        <w:ind w:firstLine="705"/>
        <w:rPr>
          <w:rFonts w:ascii="Abadi" w:hAnsi="Abadi"/>
          <w:b w:val="0"/>
          <w:sz w:val="21"/>
          <w:szCs w:val="21"/>
        </w:rPr>
      </w:pPr>
    </w:p>
    <w:p w14:paraId="0D592EF7"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sz w:val="21"/>
          <w:szCs w:val="21"/>
        </w:rPr>
        <w:t>También en este apartado se precisan los procedimientos de auditoría aplicados en el proceso de fiscalización y mediante los que</w:t>
      </w:r>
      <w:r w:rsidRPr="0033650D">
        <w:rPr>
          <w:rFonts w:ascii="Abadi" w:hAnsi="Abadi"/>
          <w:sz w:val="21"/>
          <w:szCs w:val="21"/>
        </w:rPr>
        <w:t xml:space="preserve"> </w:t>
      </w:r>
      <w:r w:rsidRPr="00472548">
        <w:rPr>
          <w:rFonts w:ascii="Abadi" w:hAnsi="Abadi"/>
          <w:b w:val="0"/>
          <w:bCs w:val="0"/>
          <w:sz w:val="21"/>
          <w:szCs w:val="21"/>
        </w:rPr>
        <w:t>se obtuvo evidencia suficiente y adecuada para sustentar las conclusiones, siento estos: inspección, observación, confirmación externa, recálculo, procedimientos analíticos, re ejecución e indagación.</w:t>
      </w:r>
    </w:p>
    <w:p w14:paraId="316B711B" w14:textId="77777777" w:rsidR="007D4805" w:rsidRPr="00472548" w:rsidRDefault="007D4805" w:rsidP="007D4805">
      <w:pPr>
        <w:pStyle w:val="Textoindependiente"/>
        <w:ind w:firstLine="708"/>
        <w:rPr>
          <w:rFonts w:ascii="Abadi" w:hAnsi="Abadi"/>
          <w:b w:val="0"/>
          <w:bCs w:val="0"/>
          <w:sz w:val="21"/>
          <w:szCs w:val="21"/>
        </w:rPr>
      </w:pPr>
    </w:p>
    <w:p w14:paraId="01DED534"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En lo referente al rubro de análisis de operaciones con Empresas que Facturan Operaciones Simuladas (EFOS) u operaciones inexistentes se refiere que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472548">
        <w:rPr>
          <w:rFonts w:ascii="Abadi" w:hAnsi="Abadi"/>
          <w:b w:val="0"/>
          <w:bCs w:val="0"/>
          <w:i/>
          <w:iCs/>
          <w:sz w:val="21"/>
          <w:szCs w:val="21"/>
        </w:rPr>
        <w:t>«Definitivos»</w:t>
      </w:r>
      <w:r w:rsidRPr="00472548">
        <w:rPr>
          <w:rFonts w:ascii="Abadi" w:hAnsi="Abadi"/>
          <w:b w:val="0"/>
          <w:bCs w:val="0"/>
          <w:sz w:val="21"/>
          <w:szCs w:val="21"/>
        </w:rPr>
        <w:t>, emitidas por el Servicio de Administración Tributaria.</w:t>
      </w:r>
    </w:p>
    <w:p w14:paraId="5CA5EECD" w14:textId="77777777" w:rsidR="007D4805" w:rsidRPr="00472548" w:rsidRDefault="007D4805" w:rsidP="007D4805">
      <w:pPr>
        <w:pStyle w:val="Textoindependiente"/>
        <w:ind w:firstLine="708"/>
        <w:rPr>
          <w:rFonts w:ascii="Abadi" w:hAnsi="Abadi"/>
          <w:b w:val="0"/>
          <w:bCs w:val="0"/>
          <w:sz w:val="21"/>
          <w:szCs w:val="21"/>
        </w:rPr>
      </w:pPr>
    </w:p>
    <w:p w14:paraId="64C7102E"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sujeto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2018 y 2019);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w:t>
      </w:r>
      <w:r w:rsidRPr="00472548">
        <w:rPr>
          <w:rFonts w:ascii="Abadi" w:hAnsi="Abadi"/>
          <w:b w:val="0"/>
          <w:bCs w:val="0"/>
          <w:sz w:val="21"/>
          <w:szCs w:val="21"/>
        </w:rPr>
        <w:lastRenderedPageBreak/>
        <w:t xml:space="preserve">operaciones simuladas o inexistentes con el carácter de </w:t>
      </w:r>
      <w:r w:rsidRPr="00472548">
        <w:rPr>
          <w:rFonts w:ascii="Abadi" w:hAnsi="Abadi"/>
          <w:b w:val="0"/>
          <w:bCs w:val="0"/>
          <w:i/>
          <w:iCs/>
          <w:sz w:val="21"/>
          <w:szCs w:val="21"/>
        </w:rPr>
        <w:t>«Definitivos»</w:t>
      </w:r>
      <w:r w:rsidRPr="00472548">
        <w:rPr>
          <w:rFonts w:ascii="Abadi" w:hAnsi="Abadi"/>
          <w:b w:val="0"/>
          <w:bCs w:val="0"/>
          <w:sz w:val="21"/>
          <w:szCs w:val="21"/>
        </w:rPr>
        <w:t xml:space="preserve"> emitidas por el Servicio de Administración Tributaria, con independencia que hayan celebrado o no, operaciones comerciales y/o contractuales con el sujeto fiscalizado.</w:t>
      </w:r>
    </w:p>
    <w:p w14:paraId="43C4A028" w14:textId="77777777" w:rsidR="007D4805" w:rsidRPr="0033650D" w:rsidRDefault="007D4805" w:rsidP="007D4805">
      <w:pPr>
        <w:pStyle w:val="Textoindependiente"/>
        <w:ind w:firstLine="705"/>
        <w:rPr>
          <w:rFonts w:ascii="Abadi" w:hAnsi="Abadi"/>
          <w:sz w:val="21"/>
          <w:szCs w:val="21"/>
        </w:rPr>
      </w:pPr>
    </w:p>
    <w:p w14:paraId="69410A80"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Adicionalmente y en atención a los antecedentes y consideraciones señalados en el acuerdo aprobado por el Pleno del Congreso del Estado se analizaron y verificaron los siguientes rubros: Tesorería; Cuentas por Pagar a Corto Plazo; </w:t>
      </w:r>
      <w:r w:rsidRPr="00472548">
        <w:rPr>
          <w:rFonts w:ascii="Abadi" w:hAnsi="Abadi"/>
          <w:b w:val="0"/>
          <w:bCs w:val="0"/>
          <w:sz w:val="21"/>
          <w:szCs w:val="21"/>
        </w:rPr>
        <w:tab/>
        <w:t>Ingresos y Otros Beneficios; Adquisiciones de Bienes y Servicios; Sentencias y Resoluciones por Autoridad Competente; Subsidios y Ayudas; Bienes Inmuebles, Infraestructura y Construcciones en Proceso; y Entrega Recepción 2018-2021. Para tal efecto se realizaron las acciones que se detallan en el informe de resultados.</w:t>
      </w:r>
    </w:p>
    <w:p w14:paraId="7F3CC6E2" w14:textId="77777777" w:rsidR="007D4805" w:rsidRPr="0033650D" w:rsidRDefault="007D4805" w:rsidP="007D4805">
      <w:pPr>
        <w:pStyle w:val="Textoindependiente"/>
        <w:ind w:firstLine="705"/>
        <w:rPr>
          <w:rFonts w:ascii="Abadi" w:hAnsi="Abadi"/>
          <w:sz w:val="21"/>
          <w:szCs w:val="21"/>
        </w:rPr>
      </w:pPr>
    </w:p>
    <w:p w14:paraId="59A6CC01"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Asimismo, se establece el dictamen de la auditoría, mismo que contiene los rubros de opinión, fundamento de la opinión, asuntos clave de la auditoría en contexto de la pandemia del virus Sars-Cov2, obligaciones de la administración y responsabilidades del auditor. En cuanto a la primera se refiere que, en términos generales y respecto de la muestra auditada, la materia objeto de auditoría no cumple, en todos los aspectos significativos con las disposiciones normativas aplicables al municipio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w:t>
      </w:r>
    </w:p>
    <w:p w14:paraId="6EED1E99" w14:textId="77777777" w:rsidR="007D4805" w:rsidRPr="0033650D" w:rsidRDefault="007D4805" w:rsidP="007D4805">
      <w:pPr>
        <w:pStyle w:val="Textoindependiente"/>
        <w:ind w:firstLine="705"/>
        <w:rPr>
          <w:rFonts w:ascii="Abadi" w:hAnsi="Abadi"/>
          <w:sz w:val="21"/>
          <w:szCs w:val="21"/>
        </w:rPr>
      </w:pPr>
    </w:p>
    <w:p w14:paraId="19BBC46D"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En cuanto al rubro de resultados de la fiscalización efectuada, se contempla el apartado de </w:t>
      </w:r>
      <w:r w:rsidRPr="00472548">
        <w:rPr>
          <w:rFonts w:ascii="Abadi" w:hAnsi="Abadi"/>
          <w:b w:val="0"/>
          <w:bCs w:val="0"/>
          <w:i/>
          <w:iCs/>
          <w:sz w:val="21"/>
          <w:szCs w:val="21"/>
        </w:rPr>
        <w:t xml:space="preserve">Resultado de Evaluación </w:t>
      </w:r>
      <w:r w:rsidRPr="00472548">
        <w:rPr>
          <w:rFonts w:ascii="Abadi" w:hAnsi="Abadi"/>
          <w:b w:val="0"/>
          <w:bCs w:val="0"/>
          <w:sz w:val="21"/>
          <w:szCs w:val="21"/>
        </w:rPr>
        <w:t>del Sistema de Evaluaciones de la Armonización Contable, el cual es la herramienta tecnológica establecida con la finalidad de conocer el grado de avance de los entes públicos del país respecto a los diferentes temas relacionados con la armonización contable. Dicha herramienta se desarrolló en el marco del convenio entre la Asociación Nacional de Organismos de Fiscalización Superior y Control Gubernamental, A.C. y el Consejo Nacional de Armonización Contable.</w:t>
      </w:r>
    </w:p>
    <w:p w14:paraId="536B525A" w14:textId="77777777" w:rsidR="007D4805" w:rsidRPr="0033650D" w:rsidRDefault="007D4805" w:rsidP="007D4805">
      <w:pPr>
        <w:pStyle w:val="Textoindependiente"/>
        <w:ind w:firstLine="705"/>
        <w:rPr>
          <w:rFonts w:ascii="Abadi" w:hAnsi="Abadi"/>
          <w:sz w:val="21"/>
          <w:szCs w:val="21"/>
        </w:rPr>
      </w:pPr>
    </w:p>
    <w:p w14:paraId="57432ED8" w14:textId="77777777" w:rsidR="007D4805" w:rsidRPr="0033650D" w:rsidRDefault="007D4805" w:rsidP="007D4805">
      <w:pPr>
        <w:pStyle w:val="Textoindependiente"/>
        <w:ind w:firstLine="705"/>
        <w:rPr>
          <w:rFonts w:ascii="Abadi" w:hAnsi="Abadi"/>
          <w:sz w:val="21"/>
          <w:szCs w:val="21"/>
        </w:rPr>
      </w:pPr>
    </w:p>
    <w:p w14:paraId="7FD9AD05"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Derivado de lo anterior, en el informe de resultados se establece el resultado obtenido por la administración pública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xml:space="preserve">., en la última evaluación realizada durante el periodo </w:t>
      </w:r>
      <w:r w:rsidRPr="00472548">
        <w:rPr>
          <w:rFonts w:ascii="Abadi" w:hAnsi="Abadi"/>
          <w:b w:val="0"/>
          <w:bCs w:val="0"/>
          <w:sz w:val="21"/>
          <w:szCs w:val="21"/>
        </w:rPr>
        <w:t>auditado, para el ejercicio fiscal 2019; concluyendo que al cuarto trimestre del 2019 y promedio de dicho ejercicio, dicha administración municipal se encontraba en cumplimiento medio.</w:t>
      </w:r>
    </w:p>
    <w:p w14:paraId="5CCF9AF7" w14:textId="77777777" w:rsidR="007D4805" w:rsidRPr="00472548" w:rsidRDefault="007D4805" w:rsidP="007D4805">
      <w:pPr>
        <w:pStyle w:val="Textoindependiente"/>
        <w:ind w:firstLine="705"/>
        <w:rPr>
          <w:rFonts w:ascii="Abadi" w:hAnsi="Abadi"/>
          <w:b w:val="0"/>
          <w:bCs w:val="0"/>
          <w:sz w:val="21"/>
          <w:szCs w:val="21"/>
        </w:rPr>
      </w:pPr>
    </w:p>
    <w:p w14:paraId="2378E334"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También se señala un resumen de alcance, naturaleza, procedimientos y conclusiones derivadas de la auditoría, precisando las muestras analizadas.</w:t>
      </w:r>
    </w:p>
    <w:p w14:paraId="6FB103D3" w14:textId="77777777" w:rsidR="007D4805" w:rsidRPr="00472548" w:rsidRDefault="007D4805" w:rsidP="007D4805">
      <w:pPr>
        <w:pStyle w:val="Textoindependiente"/>
        <w:ind w:firstLine="705"/>
        <w:rPr>
          <w:rFonts w:ascii="Abadi" w:hAnsi="Abadi"/>
          <w:b w:val="0"/>
          <w:bCs w:val="0"/>
          <w:sz w:val="21"/>
          <w:szCs w:val="21"/>
        </w:rPr>
      </w:pPr>
    </w:p>
    <w:p w14:paraId="74ECAFDC"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Finalmente, se contempla el rubro correspondiente al Resumen de Observaciones y Recomendaciones, en el cual se establece el estatus que guardan las observaciones y recomendaciones, las cuales se agrupan bajo su respectivo tipo y rubro, señalando que se determinaron 28 observaciones, de las cuales 4 se solventaron y 24 no fueron solventadas; precisando los sistemas o procesos en los que incidieron las observaciones no solventadas. Asimismo, se formuló 1 recomendación que no se atendió.</w:t>
      </w:r>
    </w:p>
    <w:p w14:paraId="37236EA7" w14:textId="77777777" w:rsidR="007D4805" w:rsidRPr="0033650D" w:rsidRDefault="007D4805" w:rsidP="007D4805">
      <w:pPr>
        <w:pStyle w:val="Textoindependiente"/>
        <w:ind w:firstLine="705"/>
        <w:rPr>
          <w:rFonts w:ascii="Abadi" w:hAnsi="Abadi"/>
          <w:sz w:val="21"/>
          <w:szCs w:val="21"/>
        </w:rPr>
      </w:pPr>
    </w:p>
    <w:p w14:paraId="6558CD83"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También en dicho apartado se precisa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004, 005, 006, 008, 009, 010, 014, 015, 018, 020, 021, 022, 024, 025 y 027, existen importes no solventados por la cuantía que ahí se refiere.</w:t>
      </w:r>
    </w:p>
    <w:p w14:paraId="1AD11A6C" w14:textId="77777777" w:rsidR="007D4805" w:rsidRPr="0033650D" w:rsidRDefault="007D4805" w:rsidP="007D4805">
      <w:pPr>
        <w:pStyle w:val="Textoindependiente"/>
        <w:ind w:firstLine="705"/>
        <w:rPr>
          <w:rFonts w:ascii="Abadi" w:hAnsi="Abadi"/>
          <w:sz w:val="21"/>
          <w:szCs w:val="21"/>
        </w:rPr>
      </w:pPr>
    </w:p>
    <w:p w14:paraId="62EF5010"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virtud de la resolución recaída al recurso de reconsideración promovido en contra del informe de resultados se modificó el complemento de la valoración de la observación plasmada en el numeral 002, disminuyendo el importe observado, al haberse aclarado una parte del mismo, para quedar en los términos del resolutivo segundo.</w:t>
      </w:r>
    </w:p>
    <w:p w14:paraId="11DF63CF" w14:textId="77777777" w:rsidR="007D4805" w:rsidRPr="0033650D" w:rsidRDefault="007D4805" w:rsidP="007D4805">
      <w:pPr>
        <w:pStyle w:val="Textoindependiente"/>
        <w:ind w:firstLine="705"/>
        <w:rPr>
          <w:rFonts w:ascii="Abadi" w:hAnsi="Abadi"/>
          <w:sz w:val="21"/>
          <w:szCs w:val="21"/>
        </w:rPr>
      </w:pPr>
    </w:p>
    <w:p w14:paraId="4204C88D" w14:textId="77777777" w:rsidR="007D4805" w:rsidRPr="0033650D" w:rsidRDefault="007D4805" w:rsidP="007D4805">
      <w:pPr>
        <w:pStyle w:val="Textoindependiente"/>
        <w:ind w:firstLine="705"/>
        <w:rPr>
          <w:rFonts w:ascii="Abadi" w:hAnsi="Abadi"/>
          <w:sz w:val="21"/>
          <w:szCs w:val="21"/>
        </w:rPr>
      </w:pPr>
    </w:p>
    <w:p w14:paraId="4C8EA695" w14:textId="77777777" w:rsidR="007D4805" w:rsidRPr="0033650D" w:rsidRDefault="007D4805" w:rsidP="007D4805">
      <w:pPr>
        <w:pStyle w:val="Textoindependiente"/>
        <w:ind w:firstLine="705"/>
        <w:rPr>
          <w:rFonts w:ascii="Abadi" w:hAnsi="Abadi"/>
          <w:sz w:val="21"/>
          <w:szCs w:val="21"/>
        </w:rPr>
      </w:pPr>
    </w:p>
    <w:p w14:paraId="17998869" w14:textId="77777777" w:rsidR="007D4805" w:rsidRPr="0033650D" w:rsidRDefault="007D4805" w:rsidP="007D4805">
      <w:pPr>
        <w:pStyle w:val="Textoindependiente"/>
        <w:ind w:firstLine="705"/>
        <w:rPr>
          <w:rFonts w:ascii="Abadi" w:hAnsi="Abadi"/>
          <w:sz w:val="21"/>
          <w:szCs w:val="21"/>
        </w:rPr>
      </w:pPr>
    </w:p>
    <w:p w14:paraId="7812D54B" w14:textId="77777777" w:rsidR="007D4805" w:rsidRPr="0033650D" w:rsidRDefault="007D4805" w:rsidP="007D4805">
      <w:pPr>
        <w:pStyle w:val="Textoindependiente"/>
        <w:ind w:firstLine="705"/>
        <w:rPr>
          <w:rFonts w:ascii="Abadi" w:hAnsi="Abadi"/>
          <w:sz w:val="21"/>
          <w:szCs w:val="21"/>
        </w:rPr>
      </w:pPr>
    </w:p>
    <w:p w14:paraId="2CD1D34B" w14:textId="77777777" w:rsidR="007D4805" w:rsidRPr="00472548" w:rsidRDefault="007D4805" w:rsidP="00427BD6">
      <w:pPr>
        <w:pStyle w:val="Textoindependiente"/>
        <w:numPr>
          <w:ilvl w:val="0"/>
          <w:numId w:val="9"/>
        </w:numPr>
        <w:tabs>
          <w:tab w:val="clear" w:pos="1065"/>
          <w:tab w:val="num" w:pos="0"/>
        </w:tabs>
        <w:autoSpaceDE/>
        <w:autoSpaceDN/>
        <w:rPr>
          <w:rFonts w:ascii="Abadi" w:hAnsi="Abadi"/>
          <w:sz w:val="21"/>
          <w:szCs w:val="21"/>
        </w:rPr>
      </w:pPr>
      <w:r w:rsidRPr="00472548">
        <w:rPr>
          <w:rFonts w:ascii="Abadi" w:hAnsi="Abadi"/>
          <w:sz w:val="21"/>
          <w:szCs w:val="21"/>
        </w:rPr>
        <w:t xml:space="preserve">Observaciones y recomendaciones, la respuesta emitida por el sujeto fiscalizado y la valoración correspondiente. </w:t>
      </w:r>
    </w:p>
    <w:p w14:paraId="08A3A5F6" w14:textId="77777777" w:rsidR="007D4805" w:rsidRPr="0033650D" w:rsidRDefault="007D4805" w:rsidP="007D4805">
      <w:pPr>
        <w:pStyle w:val="Textoindependiente"/>
        <w:ind w:left="1065"/>
        <w:rPr>
          <w:rFonts w:ascii="Abadi" w:hAnsi="Abadi"/>
          <w:b w:val="0"/>
          <w:bCs w:val="0"/>
          <w:sz w:val="21"/>
          <w:szCs w:val="21"/>
        </w:rPr>
      </w:pPr>
    </w:p>
    <w:p w14:paraId="09228D50"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esta parte se desglosa la valoración de las observaciones y recomendaciones formuladas por el Órgano Técnico, considerando como solventadas las observaciones plasmadas en el apartado de Obra Pública, numerales 013, correspondiente a control de calidad. Varios contratos; 016, referente a cantidades de obra. Contrato PM/ACA/OP/SEDESHU/PISBCC/2018-05; 017, relativo a cantidades de obra. Contrato PM/ACA/OP/RXXXIII/2018-36; y 023, referido a cantidades de obra. Contrato: PM/ACA/OP/RXXXIII/2020-03.</w:t>
      </w:r>
    </w:p>
    <w:p w14:paraId="0D93D95B" w14:textId="77777777" w:rsidR="007D4805" w:rsidRPr="0033650D" w:rsidRDefault="007D4805" w:rsidP="007D4805">
      <w:pPr>
        <w:pStyle w:val="Textoindependiente"/>
        <w:ind w:firstLine="705"/>
        <w:rPr>
          <w:rFonts w:ascii="Abadi" w:hAnsi="Abadi"/>
          <w:sz w:val="21"/>
          <w:szCs w:val="21"/>
        </w:rPr>
      </w:pPr>
    </w:p>
    <w:p w14:paraId="7C0640BC"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No se solventaron las observaciones establecidas en los siguientes rubros: En el de Cumplimiento Financiero, los numerales 001, referente a procesos de contratación. Bienes informáticos. (2020); 002, correspondiente a concentradores de oxígeno (2021); 003, relativo a motocicleta. Seguridad pública; 004, referido a infracciones de tránsito; 005, referente a primas de seguro de vida 2019; 006, correspondiente a primas de seguro de vida 2020; 007, relativo a relación socio-representante legal (2019, 2020); 008, referido a aseguramiento de parque vehicular; 009, referente a causal de ejecutoria; y 010, correspondiente a equipo de sanitización (2021). En el apartado de Obra Pública, los numerales 011, relativo a documentación soporte. Contratos varios; 012, referido a especialidad contratista PUC. Varios contratos; 014, referente a apoyo para construcción de puente (2021); 015, correspondiente a cantidades de obra. Contrato: PM/ACA/OP/SEDESHU-ITS/2018-03. (2018); 018, relativo a cantidades de obra. Contrato PM/ACA/OP/SEDESHU-PCISCLB/2019-01; 019, referido a uso adecuado de la vialidad. Contrato PM/ACA/OP/RXXXIII/2019-15. (1 de 2); 020, referente a cantidades de obra. Contrato PM/ACA/OP/RXXXIII/2019-15. (2 de 2); 021, correspondiente a cantidades de</w:t>
      </w:r>
      <w:r w:rsidRPr="0033650D">
        <w:rPr>
          <w:rFonts w:ascii="Abadi" w:hAnsi="Abadi"/>
          <w:sz w:val="21"/>
          <w:szCs w:val="21"/>
        </w:rPr>
        <w:t xml:space="preserve"> </w:t>
      </w:r>
      <w:r w:rsidRPr="00472548">
        <w:rPr>
          <w:rFonts w:ascii="Abadi" w:hAnsi="Abadi"/>
          <w:b w:val="0"/>
          <w:bCs w:val="0"/>
          <w:sz w:val="21"/>
          <w:szCs w:val="21"/>
        </w:rPr>
        <w:t xml:space="preserve">obra. Contrato PM/ACA/OP/RXXXIII/2019-42; 022, relativo a cantidades de obra. Contrato: PM/ACA/OP/RXXXIII/2019-45; 024, referido a cantidades de obra. Contrato: PM/ACA/OP/SEDESHU-PEMC/2020-03. (1 de 2); 025, referente a cantidad de material incluido en precio unitario. Contrato: PM/ACA/OP/SEDESHU-PEMC/2020-03. (2 de 2); 026, correspondiente a calidad de obra. Contrato PM/ACA/OP/RXXXIII/2021-07; 027, </w:t>
      </w:r>
      <w:r w:rsidRPr="00472548">
        <w:rPr>
          <w:rFonts w:ascii="Abadi" w:hAnsi="Abadi"/>
          <w:b w:val="0"/>
          <w:bCs w:val="0"/>
          <w:sz w:val="21"/>
          <w:szCs w:val="21"/>
        </w:rPr>
        <w:t xml:space="preserve">relativo a cantidades de obra. Contrato: PM/ACA/OP/RXXXIII/2021-29. (2021); y 028, referido a proyecto de obra. Contrato PM/ACA/OP/RXXXIII/2020-12 (2020). </w:t>
      </w:r>
    </w:p>
    <w:p w14:paraId="16EE73D8" w14:textId="77777777" w:rsidR="007D4805" w:rsidRPr="00472548" w:rsidRDefault="007D4805" w:rsidP="007D4805">
      <w:pPr>
        <w:pStyle w:val="Textoindependiente"/>
        <w:ind w:firstLine="705"/>
        <w:rPr>
          <w:rFonts w:ascii="Abadi" w:hAnsi="Abadi"/>
          <w:b w:val="0"/>
          <w:bCs w:val="0"/>
          <w:sz w:val="21"/>
          <w:szCs w:val="21"/>
        </w:rPr>
      </w:pPr>
    </w:p>
    <w:p w14:paraId="54DEEF92"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el apartado de Recomendaciones, no se atendió el numeral 001, referente a elaboración investigación de mercado.</w:t>
      </w:r>
    </w:p>
    <w:p w14:paraId="0799A689" w14:textId="77777777" w:rsidR="007D4805" w:rsidRPr="00472548" w:rsidRDefault="007D4805" w:rsidP="007D4805">
      <w:pPr>
        <w:pStyle w:val="Textoindependiente"/>
        <w:ind w:firstLine="705"/>
        <w:rPr>
          <w:rFonts w:ascii="Abadi" w:hAnsi="Abadi"/>
          <w:b w:val="0"/>
          <w:bCs w:val="0"/>
          <w:sz w:val="21"/>
          <w:szCs w:val="21"/>
        </w:rPr>
      </w:pPr>
    </w:p>
    <w:p w14:paraId="2C9677DD" w14:textId="77777777" w:rsidR="007D4805" w:rsidRPr="0033650D" w:rsidRDefault="007D4805" w:rsidP="007D4805">
      <w:pPr>
        <w:pStyle w:val="Textoindependiente"/>
        <w:ind w:firstLine="705"/>
        <w:rPr>
          <w:rFonts w:ascii="Abadi" w:hAnsi="Abadi"/>
          <w:sz w:val="21"/>
          <w:szCs w:val="21"/>
        </w:rPr>
      </w:pPr>
    </w:p>
    <w:p w14:paraId="23812590" w14:textId="77777777" w:rsidR="007D4805" w:rsidRPr="00472548" w:rsidRDefault="007D4805" w:rsidP="00427BD6">
      <w:pPr>
        <w:pStyle w:val="Textoindependiente"/>
        <w:numPr>
          <w:ilvl w:val="0"/>
          <w:numId w:val="9"/>
        </w:numPr>
        <w:autoSpaceDE/>
        <w:autoSpaceDN/>
        <w:rPr>
          <w:rFonts w:ascii="Abadi" w:hAnsi="Abadi"/>
          <w:sz w:val="21"/>
          <w:szCs w:val="21"/>
        </w:rPr>
      </w:pPr>
      <w:r w:rsidRPr="00472548">
        <w:rPr>
          <w:rFonts w:ascii="Abadi" w:hAnsi="Abadi"/>
          <w:sz w:val="21"/>
          <w:szCs w:val="21"/>
        </w:rPr>
        <w:t xml:space="preserve">Promoción del ejercicio de facultades de comprobación fiscal. </w:t>
      </w:r>
    </w:p>
    <w:p w14:paraId="2C8ADBB5" w14:textId="77777777" w:rsidR="007D4805" w:rsidRPr="0033650D" w:rsidRDefault="007D4805" w:rsidP="007D4805">
      <w:pPr>
        <w:pStyle w:val="Textoindependiente"/>
        <w:ind w:firstLine="705"/>
        <w:rPr>
          <w:rFonts w:ascii="Abadi" w:hAnsi="Abadi"/>
          <w:sz w:val="21"/>
          <w:szCs w:val="21"/>
        </w:rPr>
      </w:pPr>
    </w:p>
    <w:p w14:paraId="661B72C9"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esta parte se establece que de acuerdo a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60F8686" w14:textId="77777777" w:rsidR="007D4805" w:rsidRPr="00472548" w:rsidRDefault="007D4805" w:rsidP="007D4805">
      <w:pPr>
        <w:pStyle w:val="Textoindependiente"/>
        <w:ind w:firstLine="705"/>
        <w:rPr>
          <w:rFonts w:ascii="Abadi" w:hAnsi="Abadi"/>
          <w:b w:val="0"/>
          <w:bCs w:val="0"/>
          <w:sz w:val="21"/>
          <w:szCs w:val="21"/>
        </w:rPr>
      </w:pPr>
    </w:p>
    <w:p w14:paraId="5CA8A608" w14:textId="77777777" w:rsidR="007D4805" w:rsidRPr="00472548" w:rsidRDefault="007D4805" w:rsidP="00427BD6">
      <w:pPr>
        <w:pStyle w:val="Textoindependiente"/>
        <w:numPr>
          <w:ilvl w:val="0"/>
          <w:numId w:val="9"/>
        </w:numPr>
        <w:autoSpaceDE/>
        <w:autoSpaceDN/>
        <w:rPr>
          <w:rFonts w:ascii="Abadi" w:hAnsi="Abadi"/>
          <w:sz w:val="21"/>
          <w:szCs w:val="21"/>
        </w:rPr>
      </w:pPr>
      <w:r w:rsidRPr="00472548">
        <w:rPr>
          <w:rFonts w:ascii="Abadi" w:hAnsi="Abadi"/>
          <w:sz w:val="21"/>
          <w:szCs w:val="21"/>
        </w:rPr>
        <w:t>Comunicado ante órganos de control y autoridades que administran padrones de proveedores y contratistas.</w:t>
      </w:r>
    </w:p>
    <w:p w14:paraId="4CF67B90" w14:textId="77777777" w:rsidR="007D4805" w:rsidRPr="00472548" w:rsidRDefault="007D4805" w:rsidP="007D4805">
      <w:pPr>
        <w:pStyle w:val="Textoindependiente"/>
        <w:ind w:firstLine="705"/>
        <w:rPr>
          <w:rFonts w:ascii="Abadi" w:hAnsi="Abadi"/>
          <w:sz w:val="21"/>
          <w:szCs w:val="21"/>
        </w:rPr>
      </w:pPr>
    </w:p>
    <w:p w14:paraId="26EF2A6A"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acordado por el Pleno del Congreso, la Auditoría Superior del Estado pondrá en conocimiento de los órganos de control y de las autoridades estatales o municipales competentes que administren padrones de</w:t>
      </w:r>
      <w:r w:rsidRPr="0033650D">
        <w:rPr>
          <w:rFonts w:ascii="Abadi" w:hAnsi="Abadi"/>
          <w:sz w:val="21"/>
          <w:szCs w:val="21"/>
        </w:rPr>
        <w:t xml:space="preserve"> </w:t>
      </w:r>
      <w:r w:rsidRPr="00472548">
        <w:rPr>
          <w:rFonts w:ascii="Abadi" w:hAnsi="Abadi"/>
          <w:b w:val="0"/>
          <w:bCs w:val="0"/>
          <w:sz w:val="21"/>
          <w:szCs w:val="21"/>
        </w:rPr>
        <w:t xml:space="preserve">proveedores o contratistas, las presuntas irregularidades o incumplimientos de estos en contrataciones públicas, concluyendo que en atención a los resultados de la auditoría, es procedente hacer del conocimiento del Órgano Interno de Control y de la Tesorería municipales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xml:space="preserve">., así como de la Secretaría de Infraestructura, Conectividad y Movilidad del Estado, las presuntas irregularidades o incumplimientos de estos en </w:t>
      </w:r>
      <w:r w:rsidRPr="00472548">
        <w:rPr>
          <w:rFonts w:ascii="Abadi" w:hAnsi="Abadi"/>
          <w:b w:val="0"/>
          <w:bCs w:val="0"/>
          <w:sz w:val="21"/>
          <w:szCs w:val="21"/>
        </w:rPr>
        <w:lastRenderedPageBreak/>
        <w:t>contrataciones públicas detectadas durante la auditoría, precisando los contratistas y los proveedores y las observaciones de las que se desprende su intervención.</w:t>
      </w:r>
    </w:p>
    <w:p w14:paraId="403AFBF3" w14:textId="77777777" w:rsidR="007D4805" w:rsidRPr="0033650D" w:rsidRDefault="007D4805" w:rsidP="007D4805">
      <w:pPr>
        <w:pStyle w:val="Textoindependiente"/>
        <w:ind w:firstLine="705"/>
        <w:rPr>
          <w:rFonts w:ascii="Abadi" w:hAnsi="Abadi"/>
          <w:sz w:val="21"/>
          <w:szCs w:val="21"/>
        </w:rPr>
      </w:pPr>
    </w:p>
    <w:p w14:paraId="31E07225" w14:textId="77777777" w:rsidR="007D4805" w:rsidRPr="00472548" w:rsidRDefault="007D4805" w:rsidP="00427BD6">
      <w:pPr>
        <w:pStyle w:val="Textoindependiente"/>
        <w:numPr>
          <w:ilvl w:val="0"/>
          <w:numId w:val="9"/>
        </w:numPr>
        <w:autoSpaceDE/>
        <w:autoSpaceDN/>
        <w:rPr>
          <w:rFonts w:ascii="Abadi" w:hAnsi="Abadi"/>
          <w:sz w:val="21"/>
          <w:szCs w:val="21"/>
        </w:rPr>
      </w:pPr>
      <w:r w:rsidRPr="00472548">
        <w:rPr>
          <w:rFonts w:ascii="Abadi" w:hAnsi="Abadi"/>
          <w:sz w:val="21"/>
          <w:szCs w:val="21"/>
        </w:rPr>
        <w:t>Seguimiento a recomendaciones de ejercicios anteriores.</w:t>
      </w:r>
    </w:p>
    <w:p w14:paraId="0A87B941" w14:textId="77777777" w:rsidR="007D4805" w:rsidRPr="00472548" w:rsidRDefault="007D4805" w:rsidP="007D4805">
      <w:pPr>
        <w:pStyle w:val="Textoindependiente"/>
        <w:ind w:firstLine="705"/>
        <w:rPr>
          <w:rFonts w:ascii="Abadi" w:hAnsi="Abadi"/>
          <w:sz w:val="21"/>
          <w:szCs w:val="21"/>
        </w:rPr>
      </w:pPr>
    </w:p>
    <w:p w14:paraId="13DAB4DA"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En este apartado se establece que la Auditoría Superior del Estado en conjunto con los servidores públicos de los sujetos fiscalizados realiza la evaluación, análisis de causas y riesgos de las observaciones y recomendaciones derivadas del proceso de fiscalización en ejercicios de fiscalización anteriores, con el objetivo de promover y establecer compromisos de mejora, también conocidos como Agenda de Mejora, para coadyuvar a fortalecer los esquemas de gestión e intervención pública para asegurar razonablemente la no reincidencia. </w:t>
      </w:r>
    </w:p>
    <w:p w14:paraId="7A0643F9" w14:textId="77777777" w:rsidR="00472548" w:rsidRPr="00472548" w:rsidRDefault="00472548" w:rsidP="007D4805">
      <w:pPr>
        <w:pStyle w:val="Textoindependiente"/>
        <w:ind w:firstLine="705"/>
        <w:rPr>
          <w:rFonts w:ascii="Abadi" w:hAnsi="Abadi"/>
          <w:b w:val="0"/>
          <w:bCs w:val="0"/>
          <w:sz w:val="21"/>
          <w:szCs w:val="21"/>
        </w:rPr>
      </w:pPr>
    </w:p>
    <w:p w14:paraId="4858D88D"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En este sentido, en el informe de resultados se establece el enlace en el que se puede consultar el avance en la Agenda de Mejora en materia de las observaciones y recomendaciones derivadas de las revisiones de las cuentas públicas municipales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xml:space="preserve">. </w:t>
      </w:r>
    </w:p>
    <w:p w14:paraId="13786C65" w14:textId="77777777" w:rsidR="007D4805" w:rsidRPr="0033650D" w:rsidRDefault="007D4805" w:rsidP="007D4805">
      <w:pPr>
        <w:pStyle w:val="Textoindependiente"/>
        <w:ind w:firstLine="705"/>
        <w:rPr>
          <w:rFonts w:ascii="Abadi" w:hAnsi="Abadi"/>
          <w:sz w:val="21"/>
          <w:szCs w:val="21"/>
        </w:rPr>
      </w:pPr>
    </w:p>
    <w:p w14:paraId="0DE329FF" w14:textId="77777777" w:rsidR="007D4805" w:rsidRPr="00472548" w:rsidRDefault="007D4805" w:rsidP="00427BD6">
      <w:pPr>
        <w:pStyle w:val="Textoindependiente"/>
        <w:numPr>
          <w:ilvl w:val="0"/>
          <w:numId w:val="9"/>
        </w:numPr>
        <w:autoSpaceDE/>
        <w:autoSpaceDN/>
        <w:rPr>
          <w:rFonts w:ascii="Abadi" w:hAnsi="Abadi"/>
          <w:sz w:val="21"/>
          <w:szCs w:val="21"/>
        </w:rPr>
      </w:pPr>
      <w:r w:rsidRPr="00472548">
        <w:rPr>
          <w:rFonts w:ascii="Abadi" w:hAnsi="Abadi"/>
          <w:sz w:val="21"/>
          <w:szCs w:val="21"/>
        </w:rPr>
        <w:t xml:space="preserve">Recurso de Reconsideración. </w:t>
      </w:r>
    </w:p>
    <w:p w14:paraId="5ECEE42A" w14:textId="77777777" w:rsidR="007D4805" w:rsidRPr="00472548" w:rsidRDefault="007D4805" w:rsidP="007D4805">
      <w:pPr>
        <w:pStyle w:val="Textoindependiente"/>
        <w:ind w:left="705"/>
        <w:rPr>
          <w:rFonts w:ascii="Abadi" w:hAnsi="Abadi"/>
          <w:sz w:val="21"/>
          <w:szCs w:val="21"/>
        </w:rPr>
      </w:pPr>
    </w:p>
    <w:p w14:paraId="421418DE"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 xml:space="preserve">El 7 de diciembre de 2022, dentro del plazo que prevé la fracción IV del artículo 37 de </w:t>
      </w:r>
      <w:smartTag w:uri="urn:schemas-microsoft-com:office:smarttags" w:element="PersonName">
        <w:smartTagPr>
          <w:attr w:name="ProductID" w:val="la Ley"/>
        </w:smartTagPr>
        <w:r w:rsidRPr="00472548">
          <w:rPr>
            <w:rFonts w:ascii="Abadi" w:hAnsi="Abadi"/>
            <w:b w:val="0"/>
            <w:bCs w:val="0"/>
            <w:sz w:val="21"/>
            <w:szCs w:val="21"/>
          </w:rPr>
          <w:t>la Ley</w:t>
        </w:r>
      </w:smartTag>
      <w:r w:rsidRPr="00472548">
        <w:rPr>
          <w:rFonts w:ascii="Abadi" w:hAnsi="Abadi"/>
          <w:b w:val="0"/>
          <w:bCs w:val="0"/>
          <w:sz w:val="21"/>
          <w:szCs w:val="21"/>
        </w:rPr>
        <w:t xml:space="preserve"> de Fiscalización Superior del Estado de Guanajuato, la tesorera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xml:space="preserve">., interpuso recurso de reconsideración en contra del informe de resultados la auditoría integral practicada a la administración pública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al universo que integra las partidas no revisadas en anteriores actos de fiscalización por los meses de octubre, noviembre y diciembre del ejercicio fiscal del año 2018, por los ejercicios fiscales de los años 2019 y 2020, así como por el periodo</w:t>
      </w:r>
      <w:r w:rsidRPr="0033650D">
        <w:rPr>
          <w:rFonts w:ascii="Abadi" w:hAnsi="Abadi"/>
          <w:sz w:val="21"/>
          <w:szCs w:val="21"/>
        </w:rPr>
        <w:t xml:space="preserve"> </w:t>
      </w:r>
      <w:r w:rsidRPr="00472548">
        <w:rPr>
          <w:rFonts w:ascii="Abadi" w:hAnsi="Abadi"/>
          <w:b w:val="0"/>
          <w:bCs w:val="0"/>
          <w:sz w:val="21"/>
          <w:szCs w:val="21"/>
        </w:rPr>
        <w:t xml:space="preserve">comprendido por los meses de enero a octubre del ejercicio fiscal del año 2021, concretamente en contra de la observación contenida en el numeral 002, correspondiente a concentradores de oxígeno (2021), misma que se encuentra relacionada con el Capítulo II, denominado Observaciones y Recomendaciones; Respuesta Emitida por el </w:t>
      </w:r>
      <w:r w:rsidRPr="00472548">
        <w:rPr>
          <w:rFonts w:ascii="Abadi" w:hAnsi="Abadi"/>
          <w:b w:val="0"/>
          <w:bCs w:val="0"/>
          <w:sz w:val="21"/>
          <w:szCs w:val="21"/>
        </w:rPr>
        <w:t xml:space="preserve">Sujeto Fiscalizado y Valoración Correspondiente. </w:t>
      </w:r>
    </w:p>
    <w:p w14:paraId="180ACEEC" w14:textId="77777777" w:rsidR="007D4805" w:rsidRPr="00472548" w:rsidRDefault="007D4805" w:rsidP="007D4805">
      <w:pPr>
        <w:pStyle w:val="Textoindependiente"/>
        <w:ind w:firstLine="705"/>
        <w:rPr>
          <w:rFonts w:ascii="Abadi" w:hAnsi="Abadi"/>
          <w:b w:val="0"/>
          <w:bCs w:val="0"/>
          <w:sz w:val="21"/>
          <w:szCs w:val="21"/>
        </w:rPr>
      </w:pPr>
    </w:p>
    <w:p w14:paraId="71B0F824"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En tal sentido, mediante acuerdo de fecha 13 de diciembre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472548">
          <w:rPr>
            <w:rFonts w:ascii="Abadi" w:hAnsi="Abadi"/>
            <w:b w:val="0"/>
            <w:bCs w:val="0"/>
            <w:sz w:val="21"/>
            <w:szCs w:val="21"/>
          </w:rPr>
          <w:t>la Ley</w:t>
        </w:r>
      </w:smartTag>
      <w:r w:rsidRPr="00472548">
        <w:rPr>
          <w:rFonts w:ascii="Abadi" w:hAnsi="Abadi"/>
          <w:b w:val="0"/>
          <w:bCs w:val="0"/>
          <w:sz w:val="21"/>
          <w:szCs w:val="21"/>
        </w:rPr>
        <w:t xml:space="preserve"> de Fiscalización Superior del Estado de Guanajuato, instruyendo la formación del expediente respectivo y el registro correspondiente. Asimismo, mediante dicho acuerdo se admitieron los medios de prueba ofrecidos por la recurrente, al tratarse de pruebas novedosas y supervenientes. </w:t>
      </w:r>
    </w:p>
    <w:p w14:paraId="2D2C7710" w14:textId="77777777" w:rsidR="007D4805" w:rsidRPr="00472548" w:rsidRDefault="007D4805" w:rsidP="007D4805">
      <w:pPr>
        <w:pStyle w:val="Textoindependiente"/>
        <w:ind w:firstLine="708"/>
        <w:rPr>
          <w:rFonts w:ascii="Abadi" w:hAnsi="Abadi"/>
          <w:b w:val="0"/>
          <w:bCs w:val="0"/>
          <w:sz w:val="21"/>
          <w:szCs w:val="21"/>
        </w:rPr>
      </w:pPr>
    </w:p>
    <w:p w14:paraId="1DE06F91"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Una vez tramitado el recurso, el Auditor Superior del Estado, el 21 de diciembre de 2022 emitió la resolución correspondiente, determinándose respecto a la observación plasmada en el numeral 002, que los argumentos hechos valer y las pruebas documentales aportadas por la recurrente resultaron suficientes para aclarar una parte del importe observado, persistiendo únicamente 46 concentradores de oxígeno sin localizar, de acuerdo a lo expresado en el considerando séptimo de la resolución. En razón de lo cual aun cuando se confirmó el sentido de la valoración de la observación como no solventada, con acciones correctivas y de impacto económico pendientes de realizar por el sujeto fiscalizado, se consideró aclarada una parte del importe observado, para quedar en los términos del resolutivo segundo. </w:t>
      </w:r>
    </w:p>
    <w:p w14:paraId="4624BD7B" w14:textId="77777777" w:rsidR="007D4805" w:rsidRPr="00472548" w:rsidRDefault="007D4805" w:rsidP="007D4805">
      <w:pPr>
        <w:pStyle w:val="Textoindependiente"/>
        <w:ind w:firstLine="708"/>
        <w:rPr>
          <w:rFonts w:ascii="Abadi" w:hAnsi="Abadi"/>
          <w:b w:val="0"/>
          <w:bCs w:val="0"/>
          <w:sz w:val="21"/>
          <w:szCs w:val="21"/>
        </w:rPr>
      </w:pPr>
    </w:p>
    <w:p w14:paraId="0A85ED2E" w14:textId="77777777" w:rsidR="007D4805" w:rsidRPr="00472548" w:rsidRDefault="007D4805" w:rsidP="007D4805">
      <w:pPr>
        <w:pStyle w:val="Textoindependiente"/>
        <w:ind w:firstLine="708"/>
        <w:rPr>
          <w:rFonts w:ascii="Abadi" w:hAnsi="Abadi"/>
          <w:b w:val="0"/>
          <w:bCs w:val="0"/>
          <w:sz w:val="21"/>
          <w:szCs w:val="21"/>
        </w:rPr>
      </w:pPr>
      <w:r w:rsidRPr="00472548">
        <w:rPr>
          <w:rFonts w:ascii="Abadi" w:hAnsi="Abadi"/>
          <w:b w:val="0"/>
          <w:bCs w:val="0"/>
          <w:sz w:val="21"/>
          <w:szCs w:val="21"/>
        </w:rPr>
        <w:t xml:space="preserve">La referida resolución se notificó a la tesorera municipal de Acámbaro, </w:t>
      </w:r>
      <w:proofErr w:type="spellStart"/>
      <w:r w:rsidRPr="00472548">
        <w:rPr>
          <w:rFonts w:ascii="Abadi" w:hAnsi="Abadi"/>
          <w:b w:val="0"/>
          <w:bCs w:val="0"/>
          <w:sz w:val="21"/>
          <w:szCs w:val="21"/>
        </w:rPr>
        <w:t>Gto</w:t>
      </w:r>
      <w:proofErr w:type="spellEnd"/>
      <w:r w:rsidRPr="00472548">
        <w:rPr>
          <w:rFonts w:ascii="Abadi" w:hAnsi="Abadi"/>
          <w:b w:val="0"/>
          <w:bCs w:val="0"/>
          <w:sz w:val="21"/>
          <w:szCs w:val="21"/>
        </w:rPr>
        <w:t>., el 22 de diciembre de 2022.</w:t>
      </w:r>
    </w:p>
    <w:p w14:paraId="4EE8BADA" w14:textId="77777777" w:rsidR="007D4805" w:rsidRPr="00472548" w:rsidRDefault="007D4805" w:rsidP="007D4805">
      <w:pPr>
        <w:ind w:firstLine="708"/>
        <w:jc w:val="both"/>
        <w:rPr>
          <w:rFonts w:ascii="Abadi" w:hAnsi="Abadi"/>
          <w:sz w:val="21"/>
          <w:szCs w:val="21"/>
        </w:rPr>
      </w:pPr>
    </w:p>
    <w:p w14:paraId="51551F6D" w14:textId="77777777" w:rsidR="007D4805" w:rsidRPr="00472548" w:rsidRDefault="007D4805" w:rsidP="00427BD6">
      <w:pPr>
        <w:pStyle w:val="Textoindependiente"/>
        <w:numPr>
          <w:ilvl w:val="0"/>
          <w:numId w:val="9"/>
        </w:numPr>
        <w:autoSpaceDE/>
        <w:autoSpaceDN/>
        <w:rPr>
          <w:rFonts w:ascii="Abadi" w:hAnsi="Abadi"/>
          <w:sz w:val="21"/>
          <w:szCs w:val="21"/>
        </w:rPr>
      </w:pPr>
      <w:r w:rsidRPr="00472548">
        <w:rPr>
          <w:rFonts w:ascii="Abadi" w:hAnsi="Abadi"/>
          <w:sz w:val="21"/>
          <w:szCs w:val="21"/>
        </w:rPr>
        <w:t xml:space="preserve">Anexos. </w:t>
      </w:r>
    </w:p>
    <w:p w14:paraId="49A37775" w14:textId="77777777" w:rsidR="007D4805" w:rsidRPr="0033650D" w:rsidRDefault="007D4805" w:rsidP="007D4805">
      <w:pPr>
        <w:pStyle w:val="Textoindependiente"/>
        <w:ind w:firstLine="705"/>
        <w:rPr>
          <w:rFonts w:ascii="Abadi" w:hAnsi="Abadi"/>
          <w:sz w:val="21"/>
          <w:szCs w:val="21"/>
        </w:rPr>
      </w:pPr>
    </w:p>
    <w:p w14:paraId="1F2A9BB2" w14:textId="77777777" w:rsidR="007D4805" w:rsidRPr="00472548" w:rsidRDefault="007D4805" w:rsidP="007D4805">
      <w:pPr>
        <w:pStyle w:val="Textoindependiente"/>
        <w:ind w:firstLine="705"/>
        <w:rPr>
          <w:rFonts w:ascii="Abadi" w:hAnsi="Abadi"/>
          <w:b w:val="0"/>
          <w:bCs w:val="0"/>
          <w:sz w:val="21"/>
          <w:szCs w:val="21"/>
        </w:rPr>
      </w:pPr>
      <w:r w:rsidRPr="00472548">
        <w:rPr>
          <w:rFonts w:ascii="Abadi" w:hAnsi="Abadi"/>
          <w:b w:val="0"/>
          <w:bCs w:val="0"/>
          <w:sz w:val="21"/>
          <w:szCs w:val="21"/>
        </w:rPr>
        <w:t>En esta parte, se adjuntan los anexos técnicos derivados de la auditoría practicada.</w:t>
      </w:r>
    </w:p>
    <w:p w14:paraId="40A3CD7C" w14:textId="77777777" w:rsidR="007D4805" w:rsidRPr="0033650D" w:rsidRDefault="007D4805" w:rsidP="007D4805">
      <w:pPr>
        <w:pStyle w:val="Textoindependiente"/>
        <w:ind w:firstLine="705"/>
        <w:rPr>
          <w:rFonts w:ascii="Abadi" w:hAnsi="Abadi"/>
          <w:sz w:val="21"/>
          <w:szCs w:val="21"/>
        </w:rPr>
      </w:pPr>
    </w:p>
    <w:p w14:paraId="670EF55F" w14:textId="77777777" w:rsidR="007D4805" w:rsidRPr="0033650D" w:rsidRDefault="007D4805" w:rsidP="007D4805">
      <w:pPr>
        <w:ind w:firstLine="708"/>
        <w:jc w:val="both"/>
        <w:rPr>
          <w:rFonts w:ascii="Abadi" w:hAnsi="Abadi"/>
          <w:b/>
          <w:bCs/>
          <w:sz w:val="21"/>
          <w:szCs w:val="21"/>
        </w:rPr>
      </w:pPr>
      <w:r w:rsidRPr="0033650D">
        <w:rPr>
          <w:rFonts w:ascii="Abadi" w:hAnsi="Abadi"/>
          <w:b/>
          <w:bCs/>
          <w:sz w:val="21"/>
          <w:szCs w:val="21"/>
        </w:rPr>
        <w:t>V. Conclusiones:</w:t>
      </w:r>
    </w:p>
    <w:p w14:paraId="43E829DC" w14:textId="77777777" w:rsidR="007D4805" w:rsidRPr="0033650D" w:rsidRDefault="007D4805" w:rsidP="007D4805">
      <w:pPr>
        <w:jc w:val="both"/>
        <w:rPr>
          <w:rFonts w:ascii="Abadi" w:hAnsi="Abadi"/>
          <w:sz w:val="21"/>
          <w:szCs w:val="21"/>
        </w:rPr>
      </w:pPr>
    </w:p>
    <w:p w14:paraId="3C9AA96D" w14:textId="77777777" w:rsidR="007D4805" w:rsidRPr="0033650D" w:rsidRDefault="007D4805" w:rsidP="007D4805">
      <w:pPr>
        <w:jc w:val="both"/>
        <w:rPr>
          <w:rFonts w:ascii="Abadi" w:hAnsi="Abadi"/>
          <w:sz w:val="21"/>
          <w:szCs w:val="21"/>
        </w:rPr>
      </w:pPr>
      <w:r w:rsidRPr="0033650D">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 establece que los informes de resultados únicamente podrán ser observados por las dos terceras partes de los diputados </w:t>
      </w:r>
      <w:r w:rsidRPr="0033650D">
        <w:rPr>
          <w:rFonts w:ascii="Abadi" w:hAnsi="Abadi"/>
          <w:sz w:val="21"/>
          <w:szCs w:val="21"/>
        </w:rPr>
        <w:lastRenderedPageBreak/>
        <w:t xml:space="preserve">integrantes del Congreso, cuando no se observen las formalidades esenciales del proceso de fiscalización. </w:t>
      </w:r>
    </w:p>
    <w:p w14:paraId="14627F89" w14:textId="77777777" w:rsidR="007D4805" w:rsidRPr="0033650D" w:rsidRDefault="007D4805" w:rsidP="007D4805">
      <w:pPr>
        <w:jc w:val="both"/>
        <w:rPr>
          <w:rFonts w:ascii="Abadi" w:hAnsi="Abadi"/>
          <w:sz w:val="21"/>
          <w:szCs w:val="21"/>
        </w:rPr>
      </w:pPr>
    </w:p>
    <w:p w14:paraId="21C36272" w14:textId="77777777" w:rsidR="007D4805" w:rsidRPr="0033650D" w:rsidRDefault="007D4805" w:rsidP="007D4805">
      <w:pPr>
        <w:jc w:val="both"/>
        <w:rPr>
          <w:rFonts w:ascii="Abadi" w:hAnsi="Abadi"/>
          <w:sz w:val="21"/>
          <w:szCs w:val="21"/>
        </w:rPr>
      </w:pPr>
      <w:r w:rsidRPr="0033650D">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FA46151" w14:textId="77777777" w:rsidR="007D4805" w:rsidRPr="0033650D" w:rsidRDefault="007D4805" w:rsidP="007D4805">
      <w:pPr>
        <w:jc w:val="both"/>
        <w:rPr>
          <w:rFonts w:ascii="Abadi" w:hAnsi="Abadi"/>
          <w:sz w:val="21"/>
          <w:szCs w:val="21"/>
        </w:rPr>
      </w:pPr>
      <w:r w:rsidRPr="0033650D">
        <w:rPr>
          <w:rFonts w:ascii="Abadi" w:hAnsi="Abadi"/>
          <w:sz w:val="21"/>
          <w:szCs w:val="21"/>
        </w:rPr>
        <w:tab/>
      </w:r>
    </w:p>
    <w:p w14:paraId="40363937"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 la presidenta y al ex presidente municipales, así como a la ex presidenta municipal provisional de Acámbaro, </w:t>
      </w:r>
      <w:proofErr w:type="spellStart"/>
      <w:r w:rsidRPr="0033650D">
        <w:rPr>
          <w:rFonts w:ascii="Abadi" w:hAnsi="Abadi"/>
          <w:sz w:val="21"/>
          <w:szCs w:val="21"/>
        </w:rPr>
        <w:t>Gto</w:t>
      </w:r>
      <w:proofErr w:type="spellEnd"/>
      <w:r w:rsidRPr="0033650D">
        <w:rPr>
          <w:rFonts w:ascii="Abadi" w:hAnsi="Abadi"/>
          <w:sz w:val="21"/>
          <w:szCs w:val="21"/>
        </w:rPr>
        <w:t xml:space="preserve">.,  concediéndoles el plazo que establece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efectuadas.</w:t>
      </w:r>
    </w:p>
    <w:p w14:paraId="7B3DD62F" w14:textId="77777777" w:rsidR="007D4805" w:rsidRPr="0033650D" w:rsidRDefault="007D4805" w:rsidP="007D4805">
      <w:pPr>
        <w:ind w:firstLine="708"/>
        <w:jc w:val="both"/>
        <w:rPr>
          <w:rFonts w:ascii="Abadi" w:hAnsi="Abadi"/>
          <w:sz w:val="21"/>
          <w:szCs w:val="21"/>
        </w:rPr>
      </w:pPr>
    </w:p>
    <w:p w14:paraId="3DF986AB"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De igual manera, existe en el informe de resultados la constancia de que éste se notificó a la presidenta y al ex presidente municipales, así como a la ex presidenta municipal provisional de Acámbaro, </w:t>
      </w:r>
      <w:proofErr w:type="spellStart"/>
      <w:r w:rsidRPr="0033650D">
        <w:rPr>
          <w:rFonts w:ascii="Abadi" w:hAnsi="Abadi"/>
          <w:sz w:val="21"/>
          <w:szCs w:val="21"/>
        </w:rPr>
        <w:t>Gto</w:t>
      </w:r>
      <w:proofErr w:type="spellEnd"/>
      <w:r w:rsidRPr="0033650D">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tesorera municipal de Acámbaro, </w:t>
      </w:r>
      <w:proofErr w:type="spellStart"/>
      <w:r w:rsidRPr="0033650D">
        <w:rPr>
          <w:rFonts w:ascii="Abadi" w:hAnsi="Abadi"/>
          <w:sz w:val="21"/>
          <w:szCs w:val="21"/>
        </w:rPr>
        <w:t>Gto</w:t>
      </w:r>
      <w:proofErr w:type="spellEnd"/>
      <w:r w:rsidRPr="0033650D">
        <w:rPr>
          <w:rFonts w:ascii="Abadi" w:hAnsi="Abadi"/>
          <w:sz w:val="21"/>
          <w:szCs w:val="21"/>
        </w:rPr>
        <w:t>. En tal virtud, se considera que fue respetado el derecho de audiencia o defensa por parte del Órgano Técnico.</w:t>
      </w:r>
    </w:p>
    <w:p w14:paraId="28B0275D" w14:textId="77777777" w:rsidR="007D4805" w:rsidRPr="0033650D" w:rsidRDefault="007D4805" w:rsidP="007D4805">
      <w:pPr>
        <w:ind w:firstLine="708"/>
        <w:jc w:val="both"/>
        <w:rPr>
          <w:rFonts w:ascii="Abadi" w:hAnsi="Abadi"/>
          <w:sz w:val="21"/>
          <w:szCs w:val="21"/>
        </w:rPr>
      </w:pPr>
    </w:p>
    <w:p w14:paraId="08E2DB14"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Por otra parte, del informe de resultados podemos inferir que el Órgano Técnico en el desarrollo del procedimiento de auditoría dio cumplimiento a las formalidades </w:t>
      </w:r>
      <w:r w:rsidRPr="0033650D">
        <w:rPr>
          <w:rFonts w:ascii="Abadi" w:hAnsi="Abadi"/>
          <w:sz w:val="21"/>
          <w:szCs w:val="21"/>
        </w:rPr>
        <w:t>esenciales que la Ley de Fiscalización Superior del Estado de Guanajuato establece para el proceso de fiscalización, al haberse practicado de conformidad con el acuerdo aprobado por el Pleno del Congreso el 20 de diciembre de 2021,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1FB3BE7" w14:textId="77777777" w:rsidR="007D4805" w:rsidRPr="0033650D" w:rsidRDefault="007D4805" w:rsidP="007D4805">
      <w:pPr>
        <w:ind w:firstLine="708"/>
        <w:jc w:val="both"/>
        <w:rPr>
          <w:rFonts w:ascii="Abadi" w:hAnsi="Abadi"/>
          <w:sz w:val="21"/>
          <w:szCs w:val="21"/>
        </w:rPr>
      </w:pPr>
    </w:p>
    <w:p w14:paraId="1E35B1C9"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CF22D96" w14:textId="77777777" w:rsidR="007D4805" w:rsidRPr="0033650D" w:rsidRDefault="007D4805" w:rsidP="007D4805">
      <w:pPr>
        <w:ind w:firstLine="708"/>
        <w:jc w:val="both"/>
        <w:rPr>
          <w:rFonts w:ascii="Abadi" w:hAnsi="Abadi"/>
          <w:sz w:val="21"/>
          <w:szCs w:val="21"/>
        </w:rPr>
      </w:pPr>
    </w:p>
    <w:p w14:paraId="6FE9A4F6"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recomendación no atendida y a las observaciones no solventadas contenidas en el informe de resultados.</w:t>
      </w:r>
    </w:p>
    <w:p w14:paraId="716A60C8" w14:textId="77777777" w:rsidR="007D4805" w:rsidRPr="0033650D" w:rsidRDefault="007D4805" w:rsidP="007D4805">
      <w:pPr>
        <w:jc w:val="both"/>
        <w:rPr>
          <w:rFonts w:ascii="Abadi" w:hAnsi="Abadi"/>
          <w:sz w:val="21"/>
          <w:szCs w:val="21"/>
        </w:rPr>
      </w:pPr>
    </w:p>
    <w:p w14:paraId="190FDCC2" w14:textId="77777777" w:rsidR="007D4805" w:rsidRPr="0033650D" w:rsidRDefault="007D4805" w:rsidP="007D4805">
      <w:pPr>
        <w:jc w:val="both"/>
        <w:rPr>
          <w:rFonts w:ascii="Abadi" w:hAnsi="Abadi"/>
          <w:sz w:val="21"/>
          <w:szCs w:val="21"/>
        </w:rPr>
      </w:pPr>
      <w:r w:rsidRPr="0033650D">
        <w:rPr>
          <w:rFonts w:ascii="Abadi" w:hAnsi="Abadi"/>
          <w:sz w:val="21"/>
          <w:szCs w:val="21"/>
        </w:rPr>
        <w:tab/>
        <w:t xml:space="preserve">Finalmente, es de destacar que el cumplimiento de los Objetivos del Desarrollo Sostenible de la Agenda 2030 está presente en el dictamen puesto a su consideración, pues el mismo incide de manera directa en el Objetivo 16 denominado Paz, Justicia e </w:t>
      </w:r>
      <w:r w:rsidRPr="0033650D">
        <w:rPr>
          <w:rFonts w:ascii="Abadi" w:hAnsi="Abadi"/>
          <w:sz w:val="21"/>
          <w:szCs w:val="21"/>
        </w:rPr>
        <w:lastRenderedPageBreak/>
        <w:t>Instituciones Sólidas. Promover sociedades justas, pacíficas e inclusivas, respecto a la meta 16.6 Crear a todos los niveles instituciones eficaces y transparentes, al abonar a la transparencia y rendición de cuentas.</w:t>
      </w:r>
    </w:p>
    <w:p w14:paraId="1094BAF2" w14:textId="77777777" w:rsidR="007D4805" w:rsidRPr="0033650D" w:rsidRDefault="007D4805" w:rsidP="007D4805">
      <w:pPr>
        <w:jc w:val="both"/>
        <w:rPr>
          <w:rFonts w:ascii="Abadi" w:hAnsi="Abadi"/>
          <w:sz w:val="21"/>
          <w:szCs w:val="21"/>
        </w:rPr>
      </w:pPr>
    </w:p>
    <w:p w14:paraId="34D49FCB" w14:textId="77777777" w:rsidR="007D4805" w:rsidRPr="0033650D" w:rsidRDefault="007D4805" w:rsidP="007D4805">
      <w:pPr>
        <w:jc w:val="both"/>
        <w:rPr>
          <w:rFonts w:ascii="Abadi" w:hAnsi="Abadi"/>
          <w:sz w:val="21"/>
          <w:szCs w:val="21"/>
        </w:rPr>
      </w:pPr>
      <w:r w:rsidRPr="0033650D">
        <w:rPr>
          <w:rFonts w:ascii="Abadi" w:hAnsi="Abadi"/>
          <w:sz w:val="21"/>
          <w:szCs w:val="21"/>
        </w:rPr>
        <w:tab/>
        <w:t xml:space="preserve">En razón de lo anteriormente señalado, concluimos que el informe de resultados de la auditoría integral practicada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3650D">
          <w:rPr>
            <w:rFonts w:ascii="Abadi" w:hAnsi="Abadi"/>
            <w:sz w:val="21"/>
            <w:szCs w:val="21"/>
          </w:rPr>
          <w:t>la Ley</w:t>
        </w:r>
      </w:smartTag>
      <w:r w:rsidRPr="0033650D">
        <w:rPr>
          <w:rFonts w:ascii="Abadi" w:hAnsi="Abadi"/>
          <w:sz w:val="21"/>
          <w:szCs w:val="21"/>
        </w:rPr>
        <w:t xml:space="preserve"> de Fiscalización Superior del Estado de Guanajuato, razón por la cual no podría ser observado por el Pleno del Congreso.</w:t>
      </w:r>
    </w:p>
    <w:p w14:paraId="5C030C55" w14:textId="77777777" w:rsidR="007D4805" w:rsidRPr="0033650D" w:rsidRDefault="007D4805" w:rsidP="007D4805">
      <w:pPr>
        <w:ind w:firstLine="708"/>
        <w:jc w:val="both"/>
        <w:rPr>
          <w:rFonts w:ascii="Abadi" w:hAnsi="Abadi"/>
          <w:sz w:val="21"/>
          <w:szCs w:val="21"/>
        </w:rPr>
      </w:pPr>
    </w:p>
    <w:p w14:paraId="7BFCEDB2" w14:textId="77777777" w:rsidR="007D4805" w:rsidRPr="0033650D" w:rsidRDefault="007D4805" w:rsidP="007D4805">
      <w:pPr>
        <w:ind w:firstLine="708"/>
        <w:jc w:val="both"/>
        <w:rPr>
          <w:rFonts w:ascii="Abadi" w:hAnsi="Abadi"/>
          <w:sz w:val="21"/>
          <w:szCs w:val="21"/>
        </w:rPr>
      </w:pPr>
      <w:r w:rsidRPr="0033650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3650D">
          <w:rPr>
            <w:rFonts w:ascii="Abadi" w:hAnsi="Abadi"/>
            <w:sz w:val="21"/>
            <w:szCs w:val="21"/>
          </w:rPr>
          <w:t>la Ley Orgánica</w:t>
        </w:r>
      </w:smartTag>
      <w:r w:rsidRPr="0033650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3650D">
          <w:rPr>
            <w:rFonts w:ascii="Abadi" w:hAnsi="Abadi"/>
            <w:sz w:val="21"/>
            <w:szCs w:val="21"/>
          </w:rPr>
          <w:t>la Asamblea</w:t>
        </w:r>
      </w:smartTag>
      <w:r w:rsidRPr="0033650D">
        <w:rPr>
          <w:rFonts w:ascii="Abadi" w:hAnsi="Abadi"/>
          <w:sz w:val="21"/>
          <w:szCs w:val="21"/>
        </w:rPr>
        <w:t>, la aprobación del siguiente:</w:t>
      </w:r>
    </w:p>
    <w:p w14:paraId="19A745D8" w14:textId="77777777" w:rsidR="007D4805" w:rsidRPr="0033650D" w:rsidRDefault="007D4805" w:rsidP="007D4805">
      <w:pPr>
        <w:rPr>
          <w:rFonts w:ascii="Abadi" w:hAnsi="Abadi"/>
          <w:sz w:val="21"/>
          <w:szCs w:val="21"/>
        </w:rPr>
      </w:pPr>
    </w:p>
    <w:p w14:paraId="412F4197" w14:textId="77777777" w:rsidR="007D4805" w:rsidRPr="0033650D" w:rsidRDefault="007D4805" w:rsidP="007D4805">
      <w:pPr>
        <w:pStyle w:val="Ttulo1"/>
        <w:jc w:val="center"/>
        <w:rPr>
          <w:rFonts w:ascii="Abadi" w:hAnsi="Abadi" w:cs="Arial"/>
          <w:smallCaps/>
          <w:sz w:val="21"/>
          <w:szCs w:val="21"/>
        </w:rPr>
      </w:pPr>
      <w:r w:rsidRPr="0033650D">
        <w:rPr>
          <w:rFonts w:ascii="Abadi" w:hAnsi="Abadi" w:cs="Arial"/>
          <w:smallCaps/>
          <w:sz w:val="21"/>
          <w:szCs w:val="21"/>
        </w:rPr>
        <w:t>A C U E R D O</w:t>
      </w:r>
    </w:p>
    <w:p w14:paraId="4CF41AB1" w14:textId="77777777" w:rsidR="007D4805" w:rsidRPr="0033650D" w:rsidRDefault="007D4805" w:rsidP="007D4805">
      <w:pPr>
        <w:rPr>
          <w:rFonts w:ascii="Abadi" w:hAnsi="Abadi"/>
          <w:sz w:val="21"/>
          <w:szCs w:val="21"/>
        </w:rPr>
      </w:pPr>
    </w:p>
    <w:p w14:paraId="4BB0D42A" w14:textId="77777777" w:rsidR="007D4805" w:rsidRPr="0033650D" w:rsidRDefault="007D4805" w:rsidP="007D4805">
      <w:pPr>
        <w:rPr>
          <w:rFonts w:ascii="Abadi" w:hAnsi="Abadi"/>
          <w:sz w:val="21"/>
          <w:szCs w:val="21"/>
        </w:rPr>
      </w:pPr>
    </w:p>
    <w:p w14:paraId="59C81D42" w14:textId="77777777" w:rsidR="007D4805" w:rsidRPr="0033650D" w:rsidRDefault="007D4805" w:rsidP="007D4805">
      <w:pPr>
        <w:pStyle w:val="Sangra3detindependiente"/>
        <w:spacing w:line="240" w:lineRule="auto"/>
        <w:rPr>
          <w:rFonts w:ascii="Abadi" w:hAnsi="Abadi"/>
          <w:sz w:val="21"/>
          <w:szCs w:val="21"/>
        </w:rPr>
      </w:pPr>
      <w:r w:rsidRPr="0033650D">
        <w:rPr>
          <w:rFonts w:ascii="Abadi" w:hAnsi="Abadi"/>
          <w:b/>
          <w:sz w:val="21"/>
          <w:szCs w:val="21"/>
          <w:lang w:val="es-MX"/>
        </w:rPr>
        <w:t>Único.</w:t>
      </w:r>
      <w:r w:rsidRPr="0033650D">
        <w:rPr>
          <w:rFonts w:ascii="Abadi" w:hAnsi="Abadi"/>
          <w:sz w:val="21"/>
          <w:szCs w:val="21"/>
          <w:lang w:val="es-MX"/>
        </w:rPr>
        <w:t xml:space="preserve"> </w:t>
      </w:r>
      <w:r w:rsidRPr="0033650D">
        <w:rPr>
          <w:rFonts w:ascii="Abadi" w:hAnsi="Abadi"/>
          <w:sz w:val="21"/>
          <w:szCs w:val="21"/>
        </w:rPr>
        <w:t xml:space="preserve">Con fundamento en el artículo 63 fracción XIX de </w:t>
      </w:r>
      <w:smartTag w:uri="urn:schemas-microsoft-com:office:smarttags" w:element="PersonName">
        <w:smartTagPr>
          <w:attr w:name="ProductID" w:val="la Constituci￳n Pol￭tica"/>
        </w:smartTagPr>
        <w:r w:rsidRPr="0033650D">
          <w:rPr>
            <w:rFonts w:ascii="Abadi" w:hAnsi="Abadi"/>
            <w:sz w:val="21"/>
            <w:szCs w:val="21"/>
          </w:rPr>
          <w:t>la Constitución Política</w:t>
        </w:r>
      </w:smartTag>
      <w:r w:rsidRPr="0033650D">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integral practicada a la administración pública municipal de Acámbaro, </w:t>
      </w:r>
      <w:proofErr w:type="spellStart"/>
      <w:r w:rsidRPr="0033650D">
        <w:rPr>
          <w:rFonts w:ascii="Abadi" w:hAnsi="Abadi"/>
          <w:sz w:val="21"/>
          <w:szCs w:val="21"/>
        </w:rPr>
        <w:t>Gto</w:t>
      </w:r>
      <w:proofErr w:type="spellEnd"/>
      <w:r w:rsidRPr="0033650D">
        <w:rPr>
          <w:rFonts w:ascii="Abadi" w:hAnsi="Abadi"/>
          <w:sz w:val="21"/>
          <w:szCs w:val="21"/>
        </w:rPr>
        <w:t xml:space="preserve">., al universo que integra las partidas no revisadas en anteriores actos de fiscalización por los meses de octubre, noviembre y diciembre del ejercicio fiscal del año 2018, por los ejercicios fiscales de los años 2019 y 2020, así como por el periodo comprendido por los meses de enero a octubre del ejercicio fiscal del año 2021, en cumplimiento al acuerdo aprobado por el </w:t>
      </w:r>
      <w:r w:rsidRPr="0033650D">
        <w:rPr>
          <w:rFonts w:ascii="Abadi" w:hAnsi="Abadi"/>
          <w:sz w:val="21"/>
          <w:szCs w:val="21"/>
        </w:rPr>
        <w:t>Pleno del Congreso del Estado de Guanajuato el 20 de diciembre de 2021.</w:t>
      </w:r>
    </w:p>
    <w:p w14:paraId="65A4DEAD" w14:textId="77777777" w:rsidR="007D4805" w:rsidRPr="0033650D" w:rsidRDefault="007D4805" w:rsidP="007D4805">
      <w:pPr>
        <w:pStyle w:val="Sangra3detindependiente"/>
        <w:spacing w:line="240" w:lineRule="auto"/>
        <w:rPr>
          <w:rFonts w:ascii="Abadi" w:hAnsi="Abadi"/>
          <w:sz w:val="21"/>
          <w:szCs w:val="21"/>
        </w:rPr>
      </w:pPr>
      <w:r w:rsidRPr="0033650D">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Asimismo, dará seguimiento a la recomendación no atendida y a las observaciones no solventadas contenidas en el informe de resultados.</w:t>
      </w:r>
    </w:p>
    <w:p w14:paraId="5DF3CFDD" w14:textId="77777777" w:rsidR="007D4805" w:rsidRPr="0033650D" w:rsidRDefault="007D4805" w:rsidP="007D4805">
      <w:pPr>
        <w:pStyle w:val="Sangra3detindependiente"/>
        <w:spacing w:line="240" w:lineRule="auto"/>
        <w:rPr>
          <w:rFonts w:ascii="Abadi" w:hAnsi="Abadi"/>
          <w:sz w:val="21"/>
          <w:szCs w:val="21"/>
        </w:rPr>
      </w:pPr>
      <w:r w:rsidRPr="0033650D">
        <w:rPr>
          <w:rFonts w:ascii="Abadi" w:hAnsi="Abadi"/>
          <w:sz w:val="21"/>
          <w:szCs w:val="21"/>
        </w:rPr>
        <w:t xml:space="preserve">Se ordena dar vista del informe de resultados al ayuntamiento del municipio de Acámbaro, </w:t>
      </w:r>
      <w:proofErr w:type="spellStart"/>
      <w:r w:rsidRPr="0033650D">
        <w:rPr>
          <w:rFonts w:ascii="Abadi" w:hAnsi="Abadi"/>
          <w:sz w:val="21"/>
          <w:szCs w:val="21"/>
        </w:rPr>
        <w:t>Gto</w:t>
      </w:r>
      <w:proofErr w:type="spellEnd"/>
      <w:r w:rsidRPr="0033650D">
        <w:rPr>
          <w:rFonts w:ascii="Abadi" w:hAnsi="Abadi"/>
          <w:sz w:val="21"/>
          <w:szCs w:val="21"/>
        </w:rPr>
        <w:t>.,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100FCB7D" w14:textId="77777777" w:rsidR="007D4805" w:rsidRPr="0033650D" w:rsidRDefault="007D4805" w:rsidP="007D4805">
      <w:pPr>
        <w:ind w:firstLine="708"/>
        <w:jc w:val="both"/>
        <w:rPr>
          <w:rFonts w:ascii="Abadi" w:hAnsi="Abadi"/>
          <w:sz w:val="21"/>
          <w:szCs w:val="21"/>
        </w:rPr>
      </w:pPr>
    </w:p>
    <w:p w14:paraId="48FE2472" w14:textId="77777777" w:rsidR="007D4805" w:rsidRPr="0033650D" w:rsidRDefault="007D4805" w:rsidP="007D4805">
      <w:pPr>
        <w:pStyle w:val="Sangra3detindependiente"/>
        <w:spacing w:line="240" w:lineRule="auto"/>
        <w:rPr>
          <w:rFonts w:ascii="Abadi" w:hAnsi="Abadi"/>
          <w:sz w:val="21"/>
          <w:szCs w:val="21"/>
          <w:lang w:val="es-MX"/>
        </w:rPr>
      </w:pPr>
      <w:r w:rsidRPr="0033650D">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33650D">
        <w:rPr>
          <w:rFonts w:ascii="Abadi" w:hAnsi="Abadi"/>
          <w:sz w:val="21"/>
          <w:szCs w:val="21"/>
          <w:lang w:val="es-MX"/>
        </w:rPr>
        <w:t>.</w:t>
      </w:r>
    </w:p>
    <w:p w14:paraId="58C8FF6E" w14:textId="77777777" w:rsidR="007D4805" w:rsidRPr="0033650D" w:rsidRDefault="007D4805" w:rsidP="007D4805">
      <w:pPr>
        <w:pStyle w:val="Sangra3detindependiente"/>
        <w:spacing w:line="240" w:lineRule="auto"/>
        <w:rPr>
          <w:rFonts w:ascii="Abadi" w:hAnsi="Abadi"/>
          <w:sz w:val="21"/>
          <w:szCs w:val="21"/>
          <w:lang w:val="es-MX"/>
        </w:rPr>
      </w:pPr>
    </w:p>
    <w:p w14:paraId="31FC0CE2" w14:textId="77777777" w:rsidR="007D4805" w:rsidRPr="0033650D" w:rsidRDefault="007D4805" w:rsidP="007D4805">
      <w:pPr>
        <w:jc w:val="center"/>
        <w:rPr>
          <w:rFonts w:ascii="Abadi" w:hAnsi="Abadi"/>
          <w:b/>
          <w:bCs/>
          <w:sz w:val="21"/>
          <w:szCs w:val="21"/>
          <w:lang w:eastAsia="x-none"/>
        </w:rPr>
      </w:pPr>
      <w:r w:rsidRPr="0033650D">
        <w:rPr>
          <w:rFonts w:ascii="Abadi" w:hAnsi="Abadi"/>
          <w:b/>
          <w:bCs/>
          <w:sz w:val="21"/>
          <w:szCs w:val="21"/>
          <w:lang w:eastAsia="x-none"/>
        </w:rPr>
        <w:t xml:space="preserve">Guanajuato, </w:t>
      </w:r>
      <w:proofErr w:type="spellStart"/>
      <w:r w:rsidRPr="0033650D">
        <w:rPr>
          <w:rFonts w:ascii="Abadi" w:hAnsi="Abadi"/>
          <w:b/>
          <w:bCs/>
          <w:sz w:val="21"/>
          <w:szCs w:val="21"/>
          <w:lang w:eastAsia="x-none"/>
        </w:rPr>
        <w:t>Gto</w:t>
      </w:r>
      <w:proofErr w:type="spellEnd"/>
      <w:r w:rsidRPr="0033650D">
        <w:rPr>
          <w:rFonts w:ascii="Abadi" w:hAnsi="Abadi"/>
          <w:b/>
          <w:bCs/>
          <w:sz w:val="21"/>
          <w:szCs w:val="21"/>
          <w:lang w:eastAsia="x-none"/>
        </w:rPr>
        <w:t>., 19 de junio de 2023</w:t>
      </w:r>
    </w:p>
    <w:p w14:paraId="2D86FF7D" w14:textId="77777777" w:rsidR="007D4805" w:rsidRPr="0033650D" w:rsidRDefault="007D4805" w:rsidP="007D4805">
      <w:pPr>
        <w:jc w:val="center"/>
        <w:rPr>
          <w:rFonts w:ascii="Abadi" w:hAnsi="Abadi"/>
          <w:b/>
          <w:bCs/>
          <w:sz w:val="21"/>
          <w:szCs w:val="21"/>
          <w:lang w:eastAsia="x-none"/>
        </w:rPr>
      </w:pPr>
      <w:r w:rsidRPr="0033650D">
        <w:rPr>
          <w:rFonts w:ascii="Abadi" w:hAnsi="Abadi"/>
          <w:b/>
          <w:bCs/>
          <w:sz w:val="21"/>
          <w:szCs w:val="21"/>
          <w:lang w:eastAsia="x-none"/>
        </w:rPr>
        <w:t>La Comisión de Hacienda y Fiscalización</w:t>
      </w:r>
    </w:p>
    <w:p w14:paraId="2F041988" w14:textId="77777777" w:rsidR="007D4805" w:rsidRPr="0033650D" w:rsidRDefault="007D4805" w:rsidP="007D4805">
      <w:pPr>
        <w:jc w:val="center"/>
        <w:rPr>
          <w:rFonts w:ascii="Abadi" w:hAnsi="Abadi"/>
          <w:sz w:val="21"/>
          <w:szCs w:val="21"/>
        </w:rPr>
      </w:pPr>
    </w:p>
    <w:p w14:paraId="4B5435F2" w14:textId="77777777" w:rsidR="007D4805" w:rsidRPr="0033650D" w:rsidRDefault="007D4805" w:rsidP="007D4805">
      <w:pPr>
        <w:jc w:val="center"/>
        <w:rPr>
          <w:rFonts w:ascii="Abadi" w:hAnsi="Abadi"/>
          <w:sz w:val="21"/>
          <w:szCs w:val="21"/>
        </w:rPr>
      </w:pPr>
    </w:p>
    <w:p w14:paraId="78A65FF3" w14:textId="77777777" w:rsidR="007D4805" w:rsidRPr="0033650D" w:rsidRDefault="007D4805" w:rsidP="007D4805">
      <w:pPr>
        <w:rPr>
          <w:rFonts w:ascii="Abadi" w:hAnsi="Abadi"/>
          <w:sz w:val="21"/>
          <w:szCs w:val="21"/>
        </w:rPr>
      </w:pPr>
      <w:r w:rsidRPr="0033650D">
        <w:rPr>
          <w:rFonts w:ascii="Abadi" w:hAnsi="Abadi"/>
          <w:b/>
          <w:sz w:val="21"/>
          <w:szCs w:val="21"/>
          <w:lang w:eastAsia="x-none"/>
        </w:rPr>
        <w:t>Diputado Víctor Manuel Zanella Huerta</w:t>
      </w:r>
    </w:p>
    <w:p w14:paraId="27819AF4" w14:textId="77777777" w:rsidR="007D4805" w:rsidRPr="0033650D" w:rsidRDefault="007D4805" w:rsidP="007D4805">
      <w:pPr>
        <w:rPr>
          <w:rFonts w:ascii="Abadi" w:hAnsi="Abadi"/>
          <w:b/>
          <w:sz w:val="21"/>
          <w:szCs w:val="21"/>
          <w:lang w:eastAsia="x-none"/>
        </w:rPr>
      </w:pPr>
      <w:r w:rsidRPr="0033650D">
        <w:rPr>
          <w:rFonts w:ascii="Abadi" w:hAnsi="Abadi"/>
          <w:b/>
          <w:sz w:val="21"/>
          <w:szCs w:val="21"/>
          <w:lang w:eastAsia="x-none"/>
        </w:rPr>
        <w:t xml:space="preserve">Diputada Ruth Noemí Tiscareño Agoitia      </w:t>
      </w:r>
    </w:p>
    <w:p w14:paraId="221AD6D3" w14:textId="5735078E" w:rsidR="007D4805" w:rsidRPr="0033650D" w:rsidRDefault="007D4805" w:rsidP="007D4805">
      <w:pPr>
        <w:rPr>
          <w:rFonts w:ascii="Abadi" w:hAnsi="Abadi"/>
          <w:b/>
          <w:sz w:val="21"/>
          <w:szCs w:val="21"/>
          <w:lang w:eastAsia="x-none"/>
        </w:rPr>
      </w:pPr>
      <w:r w:rsidRPr="0033650D">
        <w:rPr>
          <w:rFonts w:ascii="Abadi" w:hAnsi="Abadi"/>
          <w:b/>
          <w:sz w:val="21"/>
          <w:szCs w:val="21"/>
          <w:lang w:eastAsia="x-none"/>
        </w:rPr>
        <w:t xml:space="preserve">Diputado Miguel Ángel Salim </w:t>
      </w:r>
      <w:proofErr w:type="spellStart"/>
      <w:r w:rsidRPr="0033650D">
        <w:rPr>
          <w:rFonts w:ascii="Abadi" w:hAnsi="Abadi"/>
          <w:b/>
          <w:sz w:val="21"/>
          <w:szCs w:val="21"/>
          <w:lang w:eastAsia="x-none"/>
        </w:rPr>
        <w:t>Alle</w:t>
      </w:r>
      <w:proofErr w:type="spellEnd"/>
    </w:p>
    <w:p w14:paraId="2258B6B1" w14:textId="77777777" w:rsidR="007D4805" w:rsidRPr="0033650D" w:rsidRDefault="007D4805" w:rsidP="007D4805">
      <w:pPr>
        <w:rPr>
          <w:rFonts w:ascii="Abadi" w:hAnsi="Abadi"/>
          <w:b/>
          <w:sz w:val="21"/>
          <w:szCs w:val="21"/>
          <w:lang w:eastAsia="x-none"/>
        </w:rPr>
      </w:pPr>
      <w:r w:rsidRPr="0033650D">
        <w:rPr>
          <w:rFonts w:ascii="Abadi" w:hAnsi="Abadi"/>
          <w:b/>
          <w:sz w:val="21"/>
          <w:szCs w:val="21"/>
          <w:lang w:eastAsia="x-none"/>
        </w:rPr>
        <w:t xml:space="preserve">Diputado José Alfonso Borja Pimentel    </w:t>
      </w:r>
    </w:p>
    <w:p w14:paraId="699FBC9E" w14:textId="77777777" w:rsidR="007D4805" w:rsidRPr="0033650D" w:rsidRDefault="007D4805" w:rsidP="007D4805">
      <w:pPr>
        <w:rPr>
          <w:rFonts w:ascii="Abadi" w:hAnsi="Abadi"/>
          <w:b/>
          <w:sz w:val="21"/>
          <w:szCs w:val="21"/>
          <w:lang w:eastAsia="x-none"/>
        </w:rPr>
      </w:pPr>
      <w:r w:rsidRPr="0033650D">
        <w:rPr>
          <w:rFonts w:ascii="Abadi" w:hAnsi="Abadi"/>
          <w:b/>
          <w:sz w:val="21"/>
          <w:szCs w:val="21"/>
          <w:lang w:eastAsia="x-none"/>
        </w:rPr>
        <w:t>Diputada Alma Edwviges Alcaraz Hernández</w:t>
      </w:r>
    </w:p>
    <w:p w14:paraId="3013ED04" w14:textId="77777777" w:rsidR="007D4805" w:rsidRPr="0033650D" w:rsidRDefault="007D4805" w:rsidP="007D4805">
      <w:pPr>
        <w:rPr>
          <w:rFonts w:ascii="Abadi" w:hAnsi="Abadi"/>
          <w:b/>
          <w:sz w:val="21"/>
          <w:szCs w:val="21"/>
          <w:lang w:eastAsia="x-none"/>
        </w:rPr>
      </w:pPr>
    </w:p>
    <w:p w14:paraId="6E193948" w14:textId="22C25707"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A23DA0">
        <w:rPr>
          <w:rFonts w:ascii="Abadi" w:hAnsi="Abadi" w:cs="ArialMT"/>
          <w:b/>
          <w:bCs/>
          <w:sz w:val="21"/>
          <w:szCs w:val="21"/>
        </w:rPr>
        <w:t xml:space="preserve">DISCUSIÓN Y, EN SU CASO, APROBACIÓN DEL DICTAMEN PRESENTADO POR LA COMISIÓN DE HACIENDA Y FISCALIZACIÓN RELATIVO AL INFORME DE RESULTADOS DE LA AUDITORÍA PRACTICADA POR LA AUDITORÍA SUPERIOR DEL ESTADO DE GUANAJUATO, A LA INFRAESTRUCTURA PÚBLICA </w:t>
      </w:r>
      <w:r w:rsidRPr="00A23DA0">
        <w:rPr>
          <w:rFonts w:ascii="Abadi" w:hAnsi="Abadi" w:cs="ArialMT"/>
          <w:b/>
          <w:bCs/>
          <w:sz w:val="21"/>
          <w:szCs w:val="21"/>
        </w:rPr>
        <w:lastRenderedPageBreak/>
        <w:t xml:space="preserve">MUNICIPAL RESPECTO DE LAS OPERACIONES REALIZADAS POR LA ADMINISTRACIÓN PÚBLICA MUNICIPAL DE DOLORES HIDALGO CUNA DE LA INDEPENDENCIA NACIONAL, GTO., CORRESPONDIENTES AL PERIODO COMPRENDIDO DEL 1 DE ENERO AL 31 DE DICIEMBRE DEL EJERCICIO FISCAL DEL AÑO 2021. </w:t>
      </w:r>
      <w:r w:rsidRPr="00A23DA0">
        <w:rPr>
          <w:rFonts w:ascii="Abadi" w:hAnsi="Abadi" w:cs="Arial-ItalicMT"/>
          <w:b/>
          <w:bCs/>
          <w:i/>
          <w:iCs/>
          <w:sz w:val="21"/>
          <w:szCs w:val="21"/>
        </w:rPr>
        <w:t>(ELD 313/LXV-IRASEG)</w:t>
      </w:r>
      <w:r w:rsidR="00EC0F98">
        <w:rPr>
          <w:rStyle w:val="Refdenotaalpie"/>
          <w:rFonts w:ascii="Abadi" w:hAnsi="Abadi" w:cs="Arial-ItalicMT"/>
          <w:b/>
          <w:bCs/>
          <w:i/>
          <w:iCs/>
          <w:sz w:val="21"/>
          <w:szCs w:val="21"/>
        </w:rPr>
        <w:footnoteReference w:id="220"/>
      </w:r>
    </w:p>
    <w:p w14:paraId="3BAA42E3" w14:textId="77777777" w:rsidR="005739AC" w:rsidRDefault="005739AC" w:rsidP="005739AC">
      <w:pPr>
        <w:pStyle w:val="Prrafodelista"/>
        <w:rPr>
          <w:rFonts w:ascii="Abadi" w:hAnsi="Abadi" w:cs="Arial-ItalicMT"/>
          <w:b/>
          <w:bCs/>
          <w:i/>
          <w:iCs/>
          <w:sz w:val="21"/>
          <w:szCs w:val="21"/>
        </w:rPr>
      </w:pPr>
    </w:p>
    <w:p w14:paraId="0D6E45A8" w14:textId="77777777" w:rsidR="00CE023F" w:rsidRPr="005739AC" w:rsidRDefault="00CE023F" w:rsidP="005739AC">
      <w:pPr>
        <w:pStyle w:val="Prrafodelista"/>
        <w:rPr>
          <w:rFonts w:ascii="Abadi" w:hAnsi="Abadi" w:cs="Arial-ItalicMT"/>
          <w:b/>
          <w:bCs/>
          <w:i/>
          <w:iCs/>
          <w:sz w:val="21"/>
          <w:szCs w:val="21"/>
        </w:rPr>
      </w:pPr>
    </w:p>
    <w:p w14:paraId="681D0088" w14:textId="77777777" w:rsidR="005739AC" w:rsidRPr="005739AC" w:rsidRDefault="005739AC" w:rsidP="005739AC">
      <w:pPr>
        <w:autoSpaceDE w:val="0"/>
        <w:autoSpaceDN w:val="0"/>
        <w:adjustRightInd w:val="0"/>
        <w:contextualSpacing/>
        <w:jc w:val="both"/>
        <w:rPr>
          <w:rFonts w:ascii="Abadi" w:hAnsi="Abadi" w:cs="Arial-ItalicMT"/>
          <w:b/>
          <w:bCs/>
          <w:i/>
          <w:iCs/>
          <w:sz w:val="21"/>
          <w:szCs w:val="21"/>
        </w:rPr>
      </w:pPr>
    </w:p>
    <w:p w14:paraId="05446474" w14:textId="77777777" w:rsidR="00CE023F" w:rsidRPr="00A570CB" w:rsidRDefault="00CE023F" w:rsidP="00CE023F">
      <w:pPr>
        <w:pStyle w:val="Textoindependiente3"/>
        <w:rPr>
          <w:rFonts w:ascii="Abadi" w:hAnsi="Abadi" w:cs="Arial"/>
          <w:smallCaps/>
          <w:sz w:val="21"/>
          <w:szCs w:val="21"/>
        </w:rPr>
      </w:pPr>
      <w:r w:rsidRPr="00A570CB">
        <w:rPr>
          <w:rFonts w:ascii="Abadi" w:hAnsi="Abadi" w:cs="Arial"/>
          <w:smallCaps/>
          <w:sz w:val="21"/>
          <w:szCs w:val="21"/>
        </w:rPr>
        <w:t>C. Presidenta del Congreso del Estado</w:t>
      </w:r>
    </w:p>
    <w:p w14:paraId="2BCE61D3" w14:textId="77777777" w:rsidR="00CE023F" w:rsidRPr="00A570CB" w:rsidRDefault="00CE023F" w:rsidP="00CE023F">
      <w:pPr>
        <w:jc w:val="both"/>
        <w:rPr>
          <w:rFonts w:ascii="Abadi" w:hAnsi="Abadi"/>
          <w:b/>
          <w:bCs/>
          <w:smallCaps/>
          <w:sz w:val="21"/>
          <w:szCs w:val="21"/>
        </w:rPr>
      </w:pPr>
      <w:r w:rsidRPr="00A570CB">
        <w:rPr>
          <w:rFonts w:ascii="Abadi" w:hAnsi="Abadi"/>
          <w:b/>
          <w:bCs/>
          <w:smallCaps/>
          <w:sz w:val="21"/>
          <w:szCs w:val="21"/>
        </w:rPr>
        <w:t>P r e s e n t e.</w:t>
      </w:r>
    </w:p>
    <w:p w14:paraId="278BB186" w14:textId="77777777" w:rsidR="00CE023F" w:rsidRPr="00A570CB" w:rsidRDefault="00CE023F" w:rsidP="00CE023F">
      <w:pPr>
        <w:pStyle w:val="Textoindependiente"/>
        <w:rPr>
          <w:rFonts w:ascii="Abadi" w:hAnsi="Abadi"/>
          <w:sz w:val="21"/>
          <w:szCs w:val="21"/>
        </w:rPr>
      </w:pPr>
    </w:p>
    <w:p w14:paraId="35261B4D" w14:textId="77777777" w:rsidR="00CE023F" w:rsidRPr="00A570CB" w:rsidRDefault="00CE023F" w:rsidP="00CE023F">
      <w:pPr>
        <w:pStyle w:val="Sangra3detindependiente"/>
        <w:spacing w:line="240" w:lineRule="auto"/>
        <w:rPr>
          <w:rFonts w:ascii="Abadi" w:hAnsi="Abadi"/>
          <w:sz w:val="21"/>
          <w:szCs w:val="21"/>
        </w:rPr>
      </w:pPr>
      <w:r w:rsidRPr="00A570CB">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correspondientes al periodo comprendido del 1 de enero al 31 de diciembre del ejercicio fiscal del año 2021. (ELD 313/LXV-IRASEG)</w:t>
      </w:r>
    </w:p>
    <w:p w14:paraId="11F2269A" w14:textId="77777777" w:rsidR="00CE023F" w:rsidRPr="00A570CB" w:rsidRDefault="00CE023F" w:rsidP="00CE023F">
      <w:pPr>
        <w:pStyle w:val="Sangra3detindependiente"/>
        <w:spacing w:line="240" w:lineRule="auto"/>
        <w:rPr>
          <w:rFonts w:ascii="Abadi" w:hAnsi="Abadi"/>
          <w:sz w:val="21"/>
          <w:szCs w:val="21"/>
        </w:rPr>
      </w:pPr>
    </w:p>
    <w:p w14:paraId="11BF9C51" w14:textId="77777777" w:rsidR="00CE023F" w:rsidRPr="00A570CB" w:rsidRDefault="00CE023F" w:rsidP="00CE023F">
      <w:pPr>
        <w:pStyle w:val="Sangra3detindependiente"/>
        <w:spacing w:line="240" w:lineRule="auto"/>
        <w:rPr>
          <w:rFonts w:ascii="Abadi" w:hAnsi="Abadi"/>
          <w:sz w:val="21"/>
          <w:szCs w:val="21"/>
        </w:rPr>
      </w:pPr>
      <w:r w:rsidRPr="00A570CB">
        <w:rPr>
          <w:rFonts w:ascii="Abadi" w:hAnsi="Abadi"/>
          <w:sz w:val="21"/>
          <w:szCs w:val="21"/>
        </w:rPr>
        <w:t>Una vez analizado el referido informe de resultados, con fundamento en lo dispuesto por los artículos 112, fracción XII</w:t>
      </w:r>
      <w:r w:rsidRPr="00A570CB">
        <w:rPr>
          <w:rFonts w:ascii="Abadi" w:hAnsi="Abadi"/>
          <w:sz w:val="21"/>
          <w:szCs w:val="21"/>
          <w:lang w:val="es-MX"/>
        </w:rPr>
        <w:t>, primer párrafo</w:t>
      </w:r>
      <w:r w:rsidRPr="00A570CB">
        <w:rPr>
          <w:rFonts w:ascii="Abadi" w:hAnsi="Abadi"/>
          <w:sz w:val="21"/>
          <w:szCs w:val="21"/>
        </w:rPr>
        <w:t xml:space="preserve"> y 171 de </w:t>
      </w:r>
      <w:smartTag w:uri="urn:schemas-microsoft-com:office:smarttags" w:element="PersonName">
        <w:smartTagPr>
          <w:attr w:name="ProductID" w:val="la Ley Org￡nica"/>
        </w:smartTagPr>
        <w:r w:rsidRPr="00A570CB">
          <w:rPr>
            <w:rFonts w:ascii="Abadi" w:hAnsi="Abadi"/>
            <w:sz w:val="21"/>
            <w:szCs w:val="21"/>
          </w:rPr>
          <w:t>la Ley Orgánica</w:t>
        </w:r>
      </w:smartTag>
      <w:r w:rsidRPr="00A570CB">
        <w:rPr>
          <w:rFonts w:ascii="Abadi" w:hAnsi="Abadi"/>
          <w:sz w:val="21"/>
          <w:szCs w:val="21"/>
        </w:rPr>
        <w:t xml:space="preserve"> del Poder Legislativo, nos permitimos rendir el siguiente:</w:t>
      </w:r>
    </w:p>
    <w:p w14:paraId="7EDC9601" w14:textId="77777777" w:rsidR="00CE023F" w:rsidRPr="00A570CB" w:rsidRDefault="00CE023F" w:rsidP="00CE023F">
      <w:pPr>
        <w:pStyle w:val="Textoindependiente"/>
        <w:ind w:firstLine="708"/>
        <w:rPr>
          <w:rFonts w:ascii="Abadi" w:hAnsi="Abadi"/>
          <w:sz w:val="21"/>
          <w:szCs w:val="21"/>
        </w:rPr>
      </w:pPr>
    </w:p>
    <w:p w14:paraId="6F73A89C" w14:textId="77777777" w:rsidR="00CE023F" w:rsidRPr="00A570CB" w:rsidRDefault="00CE023F" w:rsidP="00CE023F">
      <w:pPr>
        <w:pStyle w:val="Ttulo1"/>
        <w:jc w:val="center"/>
        <w:rPr>
          <w:rFonts w:ascii="Abadi" w:hAnsi="Abadi" w:cs="Arial"/>
          <w:sz w:val="21"/>
          <w:szCs w:val="21"/>
        </w:rPr>
      </w:pPr>
      <w:r w:rsidRPr="00A570CB">
        <w:rPr>
          <w:rFonts w:ascii="Abadi" w:hAnsi="Abadi" w:cs="Arial"/>
          <w:sz w:val="21"/>
          <w:szCs w:val="21"/>
        </w:rPr>
        <w:t>D i c t a m e n</w:t>
      </w:r>
    </w:p>
    <w:p w14:paraId="43185970" w14:textId="77777777" w:rsidR="00CE023F" w:rsidRPr="00A570CB" w:rsidRDefault="00CE023F" w:rsidP="00CE023F">
      <w:pPr>
        <w:jc w:val="both"/>
        <w:rPr>
          <w:rFonts w:ascii="Abadi" w:hAnsi="Abadi"/>
          <w:sz w:val="21"/>
          <w:szCs w:val="21"/>
        </w:rPr>
      </w:pPr>
    </w:p>
    <w:p w14:paraId="182C05C4" w14:textId="77777777" w:rsidR="00CE023F" w:rsidRPr="00CE023F" w:rsidRDefault="00CE023F" w:rsidP="00CE023F">
      <w:pPr>
        <w:pStyle w:val="Textoindependiente"/>
        <w:ind w:firstLine="708"/>
        <w:rPr>
          <w:rFonts w:ascii="Abadi" w:hAnsi="Abadi"/>
          <w:sz w:val="21"/>
          <w:szCs w:val="21"/>
        </w:rPr>
      </w:pPr>
      <w:r w:rsidRPr="00CE023F">
        <w:rPr>
          <w:rFonts w:ascii="Abadi" w:hAnsi="Abadi"/>
          <w:sz w:val="21"/>
          <w:szCs w:val="21"/>
        </w:rPr>
        <w:t>I. Competencia:</w:t>
      </w:r>
    </w:p>
    <w:p w14:paraId="6BE5EF24" w14:textId="77777777" w:rsidR="00CE023F" w:rsidRPr="00A570CB" w:rsidRDefault="00CE023F" w:rsidP="00CE023F">
      <w:pPr>
        <w:pStyle w:val="Textoindependiente"/>
        <w:ind w:firstLine="708"/>
        <w:rPr>
          <w:rFonts w:ascii="Abadi" w:hAnsi="Abadi"/>
          <w:b w:val="0"/>
          <w:bCs w:val="0"/>
          <w:sz w:val="21"/>
          <w:szCs w:val="21"/>
        </w:rPr>
      </w:pPr>
    </w:p>
    <w:p w14:paraId="6F142818"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A570CB">
          <w:rPr>
            <w:rFonts w:ascii="Abadi" w:hAnsi="Abadi"/>
            <w:sz w:val="21"/>
            <w:szCs w:val="21"/>
          </w:rPr>
          <w:t>la Constitución Política</w:t>
        </w:r>
      </w:smartTag>
      <w:r w:rsidRPr="00A570CB">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w:t>
      </w:r>
      <w:r w:rsidRPr="00A570CB">
        <w:rPr>
          <w:rFonts w:ascii="Abadi" w:hAnsi="Abadi"/>
          <w:sz w:val="21"/>
          <w:szCs w:val="21"/>
        </w:rPr>
        <w:t xml:space="preserve">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73530FD6" w14:textId="77777777" w:rsidR="00CE023F" w:rsidRPr="00A570CB" w:rsidRDefault="00CE023F" w:rsidP="00CE023F">
      <w:pPr>
        <w:ind w:firstLine="708"/>
        <w:jc w:val="both"/>
        <w:rPr>
          <w:rFonts w:ascii="Abadi" w:hAnsi="Abadi"/>
          <w:sz w:val="21"/>
          <w:szCs w:val="21"/>
        </w:rPr>
      </w:pPr>
    </w:p>
    <w:p w14:paraId="54936CF7"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El artículo 49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36C8330C" w14:textId="77777777" w:rsidR="00CE023F" w:rsidRPr="00A570CB" w:rsidRDefault="00CE023F" w:rsidP="00CE023F">
      <w:pPr>
        <w:ind w:firstLine="708"/>
        <w:jc w:val="both"/>
        <w:rPr>
          <w:rFonts w:ascii="Abadi" w:hAnsi="Abadi"/>
          <w:sz w:val="21"/>
          <w:szCs w:val="21"/>
        </w:rPr>
      </w:pPr>
    </w:p>
    <w:p w14:paraId="08C05065"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54D8F65A" w14:textId="77777777" w:rsidR="00CE023F" w:rsidRPr="00A570CB" w:rsidRDefault="00CE023F" w:rsidP="00CE023F">
      <w:pPr>
        <w:ind w:firstLine="708"/>
        <w:jc w:val="both"/>
        <w:rPr>
          <w:rFonts w:ascii="Abadi" w:hAnsi="Abadi"/>
          <w:sz w:val="21"/>
          <w:szCs w:val="21"/>
        </w:rPr>
      </w:pPr>
    </w:p>
    <w:p w14:paraId="226FB55C"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28D5C05" w14:textId="77777777" w:rsidR="00CE023F" w:rsidRPr="00A570CB" w:rsidRDefault="00CE023F" w:rsidP="00CE023F">
      <w:pPr>
        <w:pStyle w:val="Textoindependiente"/>
        <w:ind w:firstLine="708"/>
        <w:rPr>
          <w:rFonts w:ascii="Abadi" w:hAnsi="Abadi"/>
          <w:sz w:val="21"/>
          <w:szCs w:val="21"/>
        </w:rPr>
      </w:pPr>
    </w:p>
    <w:p w14:paraId="740FFE3C" w14:textId="77777777" w:rsidR="00CE023F" w:rsidRPr="00A570CB" w:rsidRDefault="00CE023F" w:rsidP="00CE023F">
      <w:pPr>
        <w:ind w:firstLine="708"/>
        <w:jc w:val="both"/>
        <w:rPr>
          <w:rFonts w:ascii="Abadi" w:hAnsi="Abadi"/>
          <w:sz w:val="21"/>
          <w:szCs w:val="21"/>
          <w:lang w:eastAsia="x-none"/>
        </w:rPr>
      </w:pPr>
      <w:r w:rsidRPr="00A570CB">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A570CB">
          <w:rPr>
            <w:rFonts w:ascii="Abadi" w:hAnsi="Abadi"/>
            <w:sz w:val="21"/>
            <w:szCs w:val="21"/>
            <w:lang w:eastAsia="x-none"/>
          </w:rPr>
          <w:t>la Ley</w:t>
        </w:r>
      </w:smartTag>
      <w:r w:rsidRPr="00A570CB">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24993C82" w14:textId="77777777" w:rsidR="00CE023F" w:rsidRPr="00A570CB" w:rsidRDefault="00CE023F" w:rsidP="00CE023F">
      <w:pPr>
        <w:ind w:firstLine="708"/>
        <w:jc w:val="both"/>
        <w:rPr>
          <w:rFonts w:ascii="Abadi" w:hAnsi="Abadi"/>
          <w:sz w:val="21"/>
          <w:szCs w:val="21"/>
        </w:rPr>
      </w:pPr>
    </w:p>
    <w:p w14:paraId="25B312AE"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En razón de lo cual, la Ley de Fiscalización Superior del Estado de Guanajuato establece que la Auditoría Superior debe remitir los informes de </w:t>
      </w:r>
      <w:r w:rsidRPr="00CE023F">
        <w:rPr>
          <w:rFonts w:ascii="Abadi" w:hAnsi="Abadi"/>
          <w:b w:val="0"/>
          <w:bCs w:val="0"/>
          <w:sz w:val="21"/>
          <w:szCs w:val="21"/>
        </w:rPr>
        <w:lastRenderedPageBreak/>
        <w:t>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1E073AD" w14:textId="77777777" w:rsidR="00CE023F" w:rsidRPr="00CE023F" w:rsidRDefault="00CE023F" w:rsidP="00CE023F">
      <w:pPr>
        <w:pStyle w:val="Textoindependiente"/>
        <w:ind w:firstLine="708"/>
        <w:rPr>
          <w:rFonts w:ascii="Abadi" w:hAnsi="Abadi"/>
          <w:b w:val="0"/>
          <w:bCs w:val="0"/>
          <w:sz w:val="21"/>
          <w:szCs w:val="21"/>
        </w:rPr>
      </w:pPr>
    </w:p>
    <w:p w14:paraId="7AC2A536"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E023F">
          <w:rPr>
            <w:rFonts w:ascii="Abadi" w:hAnsi="Abadi"/>
            <w:b w:val="0"/>
            <w:bCs w:val="0"/>
            <w:sz w:val="21"/>
            <w:szCs w:val="21"/>
          </w:rPr>
          <w:t>la Ley Orgánica</w:t>
        </w:r>
      </w:smartTag>
      <w:r w:rsidRPr="00CE023F">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8490201" w14:textId="77777777" w:rsidR="00CE023F" w:rsidRPr="00A570CB" w:rsidRDefault="00CE023F" w:rsidP="00CE023F">
      <w:pPr>
        <w:pStyle w:val="Textoindependiente"/>
        <w:ind w:firstLine="708"/>
        <w:rPr>
          <w:rFonts w:ascii="Abadi" w:hAnsi="Abadi"/>
          <w:sz w:val="21"/>
          <w:szCs w:val="21"/>
        </w:rPr>
      </w:pPr>
    </w:p>
    <w:p w14:paraId="43DE9DBB"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E55DFB5" w14:textId="77777777" w:rsidR="00CE023F" w:rsidRPr="00A570CB" w:rsidRDefault="00CE023F" w:rsidP="00CE023F">
      <w:pPr>
        <w:ind w:firstLine="708"/>
        <w:jc w:val="both"/>
        <w:rPr>
          <w:rFonts w:ascii="Abadi" w:hAnsi="Abadi"/>
          <w:b/>
          <w:bCs/>
          <w:sz w:val="21"/>
          <w:szCs w:val="21"/>
        </w:rPr>
      </w:pPr>
    </w:p>
    <w:p w14:paraId="3E143CA1" w14:textId="77777777" w:rsidR="00CE023F" w:rsidRPr="00A570CB" w:rsidRDefault="00CE023F" w:rsidP="00CE023F">
      <w:pPr>
        <w:ind w:firstLine="708"/>
        <w:jc w:val="both"/>
        <w:rPr>
          <w:rFonts w:ascii="Abadi" w:hAnsi="Abadi"/>
          <w:b/>
          <w:bCs/>
          <w:sz w:val="21"/>
          <w:szCs w:val="21"/>
        </w:rPr>
      </w:pPr>
      <w:r w:rsidRPr="00A570CB">
        <w:rPr>
          <w:rFonts w:ascii="Abadi" w:hAnsi="Abadi"/>
          <w:b/>
          <w:bCs/>
          <w:sz w:val="21"/>
          <w:szCs w:val="21"/>
        </w:rPr>
        <w:t>II. Antecedentes:</w:t>
      </w:r>
    </w:p>
    <w:p w14:paraId="2966D0E5" w14:textId="77777777" w:rsidR="00CE023F" w:rsidRPr="00A570CB" w:rsidRDefault="00CE023F" w:rsidP="00CE023F">
      <w:pPr>
        <w:ind w:firstLine="708"/>
        <w:jc w:val="both"/>
        <w:rPr>
          <w:rFonts w:ascii="Abadi" w:hAnsi="Abadi"/>
          <w:sz w:val="21"/>
          <w:szCs w:val="21"/>
        </w:rPr>
      </w:pPr>
    </w:p>
    <w:p w14:paraId="6868A3F3"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A570CB">
          <w:rPr>
            <w:rFonts w:ascii="Abadi" w:hAnsi="Abadi"/>
            <w:sz w:val="21"/>
            <w:szCs w:val="21"/>
          </w:rPr>
          <w:t>la Constitución Política</w:t>
        </w:r>
      </w:smartTag>
      <w:r w:rsidRPr="00A570CB">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11669B6A" w14:textId="77777777" w:rsidR="00CE023F" w:rsidRPr="00A570CB" w:rsidRDefault="00CE023F" w:rsidP="00CE023F">
      <w:pPr>
        <w:ind w:firstLine="708"/>
        <w:jc w:val="both"/>
        <w:rPr>
          <w:rFonts w:ascii="Abadi" w:hAnsi="Abadi"/>
          <w:sz w:val="21"/>
          <w:szCs w:val="21"/>
        </w:rPr>
      </w:pPr>
    </w:p>
    <w:p w14:paraId="2864E7D5"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21EA44E" w14:textId="77777777" w:rsidR="00CE023F" w:rsidRPr="00A570CB" w:rsidRDefault="00CE023F" w:rsidP="00CE023F">
      <w:pPr>
        <w:ind w:firstLine="708"/>
        <w:jc w:val="both"/>
        <w:rPr>
          <w:rFonts w:ascii="Abadi" w:hAnsi="Abadi"/>
          <w:sz w:val="21"/>
          <w:szCs w:val="21"/>
        </w:rPr>
      </w:pPr>
    </w:p>
    <w:p w14:paraId="2C921A94"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En ejercicio de esta función, el Auditor Superior del Estado aprobó el Programa General de Fiscalización 2022 de la Auditoría Superior del Estado de Guanajuato. En dicho </w:t>
      </w:r>
      <w:r w:rsidRPr="00CE023F">
        <w:rPr>
          <w:rFonts w:ascii="Abadi" w:hAnsi="Abadi"/>
          <w:b w:val="0"/>
          <w:bCs w:val="0"/>
          <w:sz w:val="21"/>
          <w:szCs w:val="21"/>
        </w:rPr>
        <w:t xml:space="preserve">Programa se contempló la práctica de una auditoría a la infraestructura pública municipal respecto de las operaciones realizadas por la administración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correspondientes al periodo comprendido del 1 de enero al 31 de diciembre del ejercicio fiscal del año 2021.</w:t>
      </w:r>
    </w:p>
    <w:p w14:paraId="7C127C39" w14:textId="77777777" w:rsidR="00CE023F" w:rsidRPr="00CE023F" w:rsidRDefault="00CE023F" w:rsidP="00CE023F">
      <w:pPr>
        <w:pStyle w:val="Textoindependiente"/>
        <w:ind w:firstLine="708"/>
        <w:rPr>
          <w:rFonts w:ascii="Abadi" w:hAnsi="Abadi"/>
          <w:b w:val="0"/>
          <w:bCs w:val="0"/>
          <w:sz w:val="21"/>
          <w:szCs w:val="21"/>
        </w:rPr>
      </w:pPr>
    </w:p>
    <w:p w14:paraId="6C349C74"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13 de abril de 2023, para su estudio y</w:t>
      </w:r>
      <w:r w:rsidRPr="00A570CB">
        <w:rPr>
          <w:rFonts w:ascii="Abadi" w:hAnsi="Abadi"/>
          <w:sz w:val="21"/>
          <w:szCs w:val="21"/>
        </w:rPr>
        <w:t xml:space="preserve"> </w:t>
      </w:r>
      <w:r w:rsidRPr="00CE023F">
        <w:rPr>
          <w:rFonts w:ascii="Abadi" w:hAnsi="Abadi"/>
          <w:b w:val="0"/>
          <w:bCs w:val="0"/>
          <w:sz w:val="21"/>
          <w:szCs w:val="21"/>
        </w:rPr>
        <w:t>dictamen, siendo radicado el 18 de abril del año en curso.</w:t>
      </w:r>
    </w:p>
    <w:p w14:paraId="3962F0D2" w14:textId="77777777" w:rsidR="00CE023F" w:rsidRPr="00A570CB" w:rsidRDefault="00CE023F" w:rsidP="00CE023F">
      <w:pPr>
        <w:pStyle w:val="Textoindependiente"/>
        <w:ind w:firstLine="708"/>
        <w:rPr>
          <w:rFonts w:ascii="Abadi" w:hAnsi="Abadi"/>
          <w:sz w:val="21"/>
          <w:szCs w:val="21"/>
        </w:rPr>
      </w:pPr>
    </w:p>
    <w:p w14:paraId="23BD8AAC" w14:textId="77777777" w:rsidR="00CE023F" w:rsidRPr="00CE023F" w:rsidRDefault="00CE023F" w:rsidP="00CE023F">
      <w:pPr>
        <w:pStyle w:val="Textoindependiente"/>
        <w:ind w:firstLine="708"/>
        <w:rPr>
          <w:rFonts w:ascii="Abadi" w:hAnsi="Abadi"/>
          <w:sz w:val="21"/>
          <w:szCs w:val="21"/>
        </w:rPr>
      </w:pPr>
      <w:r w:rsidRPr="00CE023F">
        <w:rPr>
          <w:rFonts w:ascii="Abadi" w:hAnsi="Abadi"/>
          <w:sz w:val="21"/>
          <w:szCs w:val="21"/>
        </w:rPr>
        <w:t>III. Procedimiento de Auditoría:</w:t>
      </w:r>
    </w:p>
    <w:p w14:paraId="397DAEEB" w14:textId="77777777" w:rsidR="00CE023F" w:rsidRPr="00CE023F" w:rsidRDefault="00CE023F" w:rsidP="00CE023F">
      <w:pPr>
        <w:pStyle w:val="Textoindependiente"/>
        <w:ind w:firstLine="708"/>
        <w:rPr>
          <w:rFonts w:ascii="Abadi" w:hAnsi="Abadi"/>
          <w:sz w:val="21"/>
          <w:szCs w:val="21"/>
        </w:rPr>
      </w:pPr>
    </w:p>
    <w:p w14:paraId="25AC3D52"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La auditoría practicada a la infraestructura pública municipal respecto de las operaciones realizadas por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BB9455C" w14:textId="77777777" w:rsidR="00CE023F" w:rsidRPr="00CE023F" w:rsidRDefault="00CE023F" w:rsidP="00CE023F">
      <w:pPr>
        <w:pStyle w:val="Textoindependiente"/>
        <w:ind w:firstLine="708"/>
        <w:rPr>
          <w:rFonts w:ascii="Abadi" w:hAnsi="Abadi"/>
          <w:b w:val="0"/>
          <w:bCs w:val="0"/>
          <w:sz w:val="21"/>
          <w:szCs w:val="21"/>
        </w:rPr>
      </w:pPr>
    </w:p>
    <w:p w14:paraId="6DA6BAB4" w14:textId="77777777" w:rsidR="00CE023F" w:rsidRPr="00CE023F" w:rsidRDefault="00CE023F" w:rsidP="00CE023F">
      <w:pPr>
        <w:pStyle w:val="Textoindependiente"/>
        <w:ind w:firstLine="708"/>
        <w:rPr>
          <w:rFonts w:ascii="Abadi" w:hAnsi="Abadi"/>
          <w:b w:val="0"/>
          <w:bCs w:val="0"/>
          <w:sz w:val="21"/>
          <w:szCs w:val="21"/>
        </w:rPr>
      </w:pPr>
    </w:p>
    <w:p w14:paraId="305574E4"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59721F13" w14:textId="77777777" w:rsidR="00CE023F" w:rsidRPr="00CE023F" w:rsidRDefault="00CE023F" w:rsidP="00CE023F">
      <w:pPr>
        <w:pStyle w:val="Textoindependiente"/>
        <w:ind w:firstLine="708"/>
        <w:rPr>
          <w:rFonts w:ascii="Abadi" w:hAnsi="Abadi"/>
          <w:b w:val="0"/>
          <w:bCs w:val="0"/>
          <w:sz w:val="21"/>
          <w:szCs w:val="21"/>
        </w:rPr>
      </w:pPr>
    </w:p>
    <w:p w14:paraId="0A1F0A5A"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Por otra parte, la auditoría se efectuó observando las disposiciones contenidas en la </w:t>
      </w:r>
      <w:r w:rsidRPr="00CE023F">
        <w:rPr>
          <w:rFonts w:ascii="Abadi" w:hAnsi="Abadi"/>
          <w:b w:val="0"/>
          <w:bCs w:val="0"/>
          <w:sz w:val="21"/>
          <w:szCs w:val="21"/>
        </w:rPr>
        <w:lastRenderedPageBreak/>
        <w:t>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3DCC821" w14:textId="77777777" w:rsidR="00CE023F" w:rsidRPr="00CE023F" w:rsidRDefault="00CE023F" w:rsidP="00CE023F">
      <w:pPr>
        <w:pStyle w:val="Textoindependiente"/>
        <w:ind w:firstLine="708"/>
        <w:rPr>
          <w:rFonts w:ascii="Abadi" w:hAnsi="Abadi"/>
          <w:b w:val="0"/>
          <w:bCs w:val="0"/>
          <w:sz w:val="21"/>
          <w:szCs w:val="21"/>
        </w:rPr>
      </w:pPr>
    </w:p>
    <w:p w14:paraId="27F684FD"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758A013" w14:textId="77777777" w:rsidR="00CE023F" w:rsidRPr="00CE023F" w:rsidRDefault="00CE023F" w:rsidP="00CE023F">
      <w:pPr>
        <w:pStyle w:val="Textoindependiente"/>
        <w:ind w:firstLine="708"/>
        <w:rPr>
          <w:rFonts w:ascii="Abadi" w:hAnsi="Abadi"/>
          <w:b w:val="0"/>
          <w:bCs w:val="0"/>
          <w:sz w:val="21"/>
          <w:szCs w:val="21"/>
        </w:rPr>
      </w:pPr>
    </w:p>
    <w:p w14:paraId="2B26B9D9" w14:textId="77777777" w:rsidR="00CE023F" w:rsidRPr="00A570CB" w:rsidRDefault="00CE023F" w:rsidP="00CE023F">
      <w:pPr>
        <w:autoSpaceDE w:val="0"/>
        <w:autoSpaceDN w:val="0"/>
        <w:adjustRightInd w:val="0"/>
        <w:ind w:firstLine="708"/>
        <w:jc w:val="both"/>
        <w:rPr>
          <w:rFonts w:ascii="Abadi" w:hAnsi="Abadi"/>
          <w:sz w:val="21"/>
          <w:szCs w:val="21"/>
        </w:rPr>
      </w:pPr>
      <w:r w:rsidRPr="00A570CB">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w:t>
      </w:r>
      <w:r w:rsidRPr="00A570CB">
        <w:rPr>
          <w:rFonts w:ascii="Abadi" w:hAnsi="Abadi"/>
          <w:sz w:val="21"/>
          <w:szCs w:val="21"/>
        </w:rPr>
        <w:t>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7B47B53" w14:textId="77777777" w:rsidR="00CE023F" w:rsidRPr="00A570CB" w:rsidRDefault="00CE023F" w:rsidP="00CE023F">
      <w:pPr>
        <w:autoSpaceDE w:val="0"/>
        <w:autoSpaceDN w:val="0"/>
        <w:adjustRightInd w:val="0"/>
        <w:ind w:firstLine="708"/>
        <w:jc w:val="both"/>
        <w:rPr>
          <w:rFonts w:ascii="Abadi" w:hAnsi="Abadi"/>
          <w:sz w:val="21"/>
          <w:szCs w:val="21"/>
        </w:rPr>
      </w:pPr>
    </w:p>
    <w:p w14:paraId="31EBC930"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A570CB">
        <w:rPr>
          <w:rFonts w:ascii="Abadi" w:hAnsi="Abadi"/>
          <w:sz w:val="21"/>
          <w:szCs w:val="21"/>
        </w:rPr>
        <w:t>fiscalizado</w:t>
      </w:r>
      <w:proofErr w:type="spellEnd"/>
      <w:r w:rsidRPr="00A570CB">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3D920C75" w14:textId="77777777" w:rsidR="00CE023F" w:rsidRPr="00A570CB" w:rsidRDefault="00CE023F" w:rsidP="00CE023F">
      <w:pPr>
        <w:ind w:firstLine="708"/>
        <w:jc w:val="both"/>
        <w:rPr>
          <w:rFonts w:ascii="Abadi" w:hAnsi="Abadi"/>
          <w:sz w:val="21"/>
          <w:szCs w:val="21"/>
        </w:rPr>
      </w:pPr>
    </w:p>
    <w:p w14:paraId="26F4AC10"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El 30 de junio de 2022 se notificó al presidente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la orden de inicio del procedimiento de auditoría.</w:t>
      </w:r>
    </w:p>
    <w:p w14:paraId="1379A733" w14:textId="77777777" w:rsidR="00CE023F" w:rsidRPr="00A570CB" w:rsidRDefault="00CE023F" w:rsidP="00CE023F">
      <w:pPr>
        <w:ind w:firstLine="708"/>
        <w:jc w:val="both"/>
        <w:rPr>
          <w:rFonts w:ascii="Abadi" w:hAnsi="Abadi"/>
          <w:sz w:val="21"/>
          <w:szCs w:val="21"/>
        </w:rPr>
      </w:pPr>
    </w:p>
    <w:p w14:paraId="3D100AA5"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El 16 de diciembre de 2022 se notificó al presidente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2B7541D8" w14:textId="77777777" w:rsidR="00CE023F" w:rsidRPr="00A570CB" w:rsidRDefault="00CE023F" w:rsidP="00CE023F">
      <w:pPr>
        <w:ind w:firstLine="708"/>
        <w:jc w:val="both"/>
        <w:rPr>
          <w:rFonts w:ascii="Abadi" w:hAnsi="Abadi"/>
          <w:sz w:val="21"/>
          <w:szCs w:val="21"/>
        </w:rPr>
      </w:pPr>
    </w:p>
    <w:p w14:paraId="4C6BD682"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Posteriormente, el 7 de febrero de 2023, se notificó al presidente municipal y a la ex presidenta municipal interina y el 8 de febrero de 2023, se notificó al ex presidente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el pliego de observaciones y recomendaciones derivado de la auditoría practicada a la infraestructura pública municipal respecto de las operaciones </w:t>
      </w:r>
      <w:r w:rsidRPr="00A570CB">
        <w:rPr>
          <w:rFonts w:ascii="Abadi" w:hAnsi="Abadi"/>
          <w:sz w:val="21"/>
          <w:szCs w:val="21"/>
        </w:rPr>
        <w:lastRenderedPageBreak/>
        <w:t xml:space="preserve">realizadas por dicha administración municipal, correspondientes al ejercicio fiscal del año 2021, al cual se dio respuesta en fechas 27 de febrero de 2023 por parte del presidente municipal, 28 de febrero y 1 de marzo de 2023 por parte de la ex presidenta municipal interina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w:t>
      </w:r>
    </w:p>
    <w:p w14:paraId="6011074D" w14:textId="77777777" w:rsidR="00CE023F" w:rsidRPr="00A570CB" w:rsidRDefault="00CE023F" w:rsidP="00CE023F">
      <w:pPr>
        <w:ind w:firstLine="708"/>
        <w:jc w:val="both"/>
        <w:rPr>
          <w:rFonts w:ascii="Abadi" w:hAnsi="Abadi"/>
          <w:sz w:val="21"/>
          <w:szCs w:val="21"/>
        </w:rPr>
      </w:pPr>
    </w:p>
    <w:p w14:paraId="0851F928"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El 16 de marzo de 2023, el informe de resultados se notificó al presidente y a la ex presidenta municipal interina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y el 17 de marzo de 2023, al ex presidente municipal de dicha localidad, para que, en su caso, hicieran valer el recurso de reconsideración previsto por los artículos del 48 al 55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BD02163" w14:textId="77777777" w:rsidR="00CE023F" w:rsidRPr="00A570CB" w:rsidRDefault="00CE023F" w:rsidP="00CE023F">
      <w:pPr>
        <w:ind w:firstLine="708"/>
        <w:jc w:val="both"/>
        <w:rPr>
          <w:rFonts w:ascii="Abadi" w:hAnsi="Abadi"/>
          <w:sz w:val="21"/>
          <w:szCs w:val="21"/>
        </w:rPr>
      </w:pPr>
    </w:p>
    <w:p w14:paraId="0A9DB31A"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El 24 de marzo de 2023, dentro del plazo que prevé la fracción IV del artículo 37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 el presidente y el tesorero municipales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interpusieron recurso de reconsideración en contra del informe de resultados de la auditoría practicada a la infraestructura pública municipal respecto de las operaciones realizadas por la administración pública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correspondientes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w:t>
      </w:r>
    </w:p>
    <w:p w14:paraId="5EECA1A5" w14:textId="77777777" w:rsidR="00CE023F" w:rsidRPr="00A570CB" w:rsidRDefault="00CE023F" w:rsidP="00CE023F">
      <w:pPr>
        <w:ind w:firstLine="708"/>
        <w:jc w:val="both"/>
        <w:rPr>
          <w:rFonts w:ascii="Abadi" w:hAnsi="Abadi"/>
          <w:sz w:val="21"/>
          <w:szCs w:val="21"/>
        </w:rPr>
      </w:pPr>
    </w:p>
    <w:p w14:paraId="37020F6F"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Una vez tramitado el recurso, el Auditor Superior el 29 de marzo de 2023 emitió la resolución correspondiente, a la cual haremos referencia en un apartado posterior, misma que se notificó al presidente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el 30 de marzo de 2023.</w:t>
      </w:r>
    </w:p>
    <w:p w14:paraId="6516DCA7" w14:textId="77777777" w:rsidR="00CE023F" w:rsidRPr="00A570CB" w:rsidRDefault="00CE023F" w:rsidP="00CE023F">
      <w:pPr>
        <w:ind w:firstLine="708"/>
        <w:jc w:val="both"/>
        <w:rPr>
          <w:rFonts w:ascii="Abadi" w:hAnsi="Abadi"/>
          <w:sz w:val="21"/>
          <w:szCs w:val="21"/>
        </w:rPr>
      </w:pPr>
    </w:p>
    <w:p w14:paraId="391BEFE0" w14:textId="77777777" w:rsidR="00CE023F" w:rsidRPr="00CE023F" w:rsidRDefault="00CE023F" w:rsidP="00CE023F">
      <w:pPr>
        <w:pStyle w:val="Textoindependiente"/>
        <w:ind w:firstLine="708"/>
        <w:rPr>
          <w:rFonts w:ascii="Abadi" w:hAnsi="Abadi"/>
          <w:sz w:val="21"/>
          <w:szCs w:val="21"/>
        </w:rPr>
      </w:pPr>
      <w:r w:rsidRPr="00CE023F">
        <w:rPr>
          <w:rFonts w:ascii="Abadi" w:hAnsi="Abadi"/>
          <w:sz w:val="21"/>
          <w:szCs w:val="21"/>
        </w:rPr>
        <w:t>IV. Contenido del Informe de Resultados:</w:t>
      </w:r>
    </w:p>
    <w:p w14:paraId="7FCE2BDA" w14:textId="77777777" w:rsidR="00CE023F" w:rsidRPr="00CE023F" w:rsidRDefault="00CE023F" w:rsidP="00CE023F">
      <w:pPr>
        <w:pStyle w:val="Textoindependiente"/>
        <w:rPr>
          <w:rFonts w:ascii="Abadi" w:hAnsi="Abadi"/>
          <w:sz w:val="21"/>
          <w:szCs w:val="21"/>
        </w:rPr>
      </w:pPr>
    </w:p>
    <w:p w14:paraId="23755557" w14:textId="77777777" w:rsidR="00CE023F" w:rsidRPr="00CE023F" w:rsidRDefault="00CE023F" w:rsidP="00CE023F">
      <w:pPr>
        <w:pStyle w:val="Textoindependiente"/>
        <w:rPr>
          <w:rFonts w:ascii="Abadi" w:hAnsi="Abadi"/>
          <w:b w:val="0"/>
          <w:sz w:val="21"/>
          <w:szCs w:val="21"/>
        </w:rPr>
      </w:pPr>
      <w:r w:rsidRPr="00A570CB">
        <w:rPr>
          <w:rFonts w:ascii="Abadi" w:hAnsi="Abadi"/>
          <w:b w:val="0"/>
          <w:bCs w:val="0"/>
          <w:sz w:val="21"/>
          <w:szCs w:val="21"/>
        </w:rPr>
        <w:tab/>
      </w:r>
      <w:r w:rsidRPr="00CE023F">
        <w:rPr>
          <w:rFonts w:ascii="Abadi" w:hAnsi="Abadi"/>
          <w:b w:val="0"/>
          <w:sz w:val="21"/>
          <w:szCs w:val="21"/>
        </w:rPr>
        <w:t>En cumplimiento a lo establecido por el artículo 37, fracción III de la Ley de Fiscalización Superior del Estado, el informe de resultados contiene los siguientes apartados:</w:t>
      </w:r>
    </w:p>
    <w:p w14:paraId="6757A9EB" w14:textId="77777777" w:rsidR="00CE023F" w:rsidRPr="00CE023F" w:rsidRDefault="00CE023F" w:rsidP="00CE023F">
      <w:pPr>
        <w:pStyle w:val="Textoindependiente"/>
        <w:rPr>
          <w:rFonts w:ascii="Abadi" w:hAnsi="Abadi"/>
          <w:b w:val="0"/>
          <w:sz w:val="21"/>
          <w:szCs w:val="21"/>
        </w:rPr>
      </w:pPr>
    </w:p>
    <w:p w14:paraId="291E88DE" w14:textId="77777777" w:rsidR="00CE023F" w:rsidRPr="00CE023F" w:rsidRDefault="00CE023F" w:rsidP="00427BD6">
      <w:pPr>
        <w:pStyle w:val="Textoindependiente"/>
        <w:numPr>
          <w:ilvl w:val="0"/>
          <w:numId w:val="9"/>
        </w:numPr>
        <w:autoSpaceDE/>
        <w:autoSpaceDN/>
        <w:rPr>
          <w:rFonts w:ascii="Abadi" w:hAnsi="Abadi"/>
          <w:sz w:val="21"/>
          <w:szCs w:val="21"/>
        </w:rPr>
      </w:pPr>
      <w:r w:rsidRPr="00CE023F">
        <w:rPr>
          <w:rFonts w:ascii="Abadi" w:hAnsi="Abadi"/>
          <w:sz w:val="21"/>
          <w:szCs w:val="21"/>
        </w:rPr>
        <w:t>Introducción.</w:t>
      </w:r>
    </w:p>
    <w:p w14:paraId="13758717" w14:textId="77777777" w:rsidR="00CE023F" w:rsidRPr="00A570CB" w:rsidRDefault="00CE023F" w:rsidP="00CE023F">
      <w:pPr>
        <w:pStyle w:val="Textoindependiente"/>
        <w:ind w:left="705"/>
        <w:rPr>
          <w:rFonts w:ascii="Abadi" w:hAnsi="Abadi"/>
          <w:sz w:val="21"/>
          <w:szCs w:val="21"/>
        </w:rPr>
      </w:pPr>
    </w:p>
    <w:p w14:paraId="1ECC3A0D"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Por lo que se refiere a este punto, se establecen los criterios de selección; el objetivo de la auditoría; el alcance de la auditoría respecto a los apartados de ingresos</w:t>
      </w:r>
      <w:r w:rsidRPr="00A570CB">
        <w:rPr>
          <w:rFonts w:ascii="Abadi" w:hAnsi="Abadi"/>
          <w:sz w:val="21"/>
          <w:szCs w:val="21"/>
        </w:rPr>
        <w:t xml:space="preserve"> </w:t>
      </w:r>
      <w:r w:rsidRPr="00CE023F">
        <w:rPr>
          <w:rFonts w:ascii="Abadi" w:hAnsi="Abadi"/>
          <w:b w:val="0"/>
          <w:bCs w:val="0"/>
          <w:sz w:val="21"/>
          <w:szCs w:val="21"/>
        </w:rPr>
        <w:t>y egresos, precisando que el detalle de los alcances de la auditoría se consigna en el Anexo 001 del informe de resultados.</w:t>
      </w:r>
    </w:p>
    <w:p w14:paraId="48E157ED" w14:textId="77777777" w:rsidR="00CE023F" w:rsidRPr="00CE023F" w:rsidRDefault="00CE023F" w:rsidP="00CE023F">
      <w:pPr>
        <w:pStyle w:val="Textoindependiente"/>
        <w:ind w:firstLine="705"/>
        <w:rPr>
          <w:rFonts w:ascii="Abadi" w:hAnsi="Abadi"/>
          <w:b w:val="0"/>
          <w:bCs w:val="0"/>
          <w:sz w:val="21"/>
          <w:szCs w:val="21"/>
        </w:rPr>
      </w:pPr>
    </w:p>
    <w:p w14:paraId="1BDBBD25"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57F405AA" w14:textId="77777777" w:rsidR="00CE023F" w:rsidRPr="00CE023F" w:rsidRDefault="00CE023F" w:rsidP="00CE023F">
      <w:pPr>
        <w:pStyle w:val="Textoindependiente"/>
        <w:ind w:firstLine="705"/>
        <w:rPr>
          <w:rFonts w:ascii="Abadi" w:hAnsi="Abadi"/>
          <w:b w:val="0"/>
          <w:bCs w:val="0"/>
          <w:sz w:val="21"/>
          <w:szCs w:val="21"/>
        </w:rPr>
      </w:pPr>
    </w:p>
    <w:p w14:paraId="478A20B3"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91559FB" w14:textId="77777777" w:rsidR="00CE023F" w:rsidRPr="00CE023F" w:rsidRDefault="00CE023F" w:rsidP="00CE023F">
      <w:pPr>
        <w:jc w:val="both"/>
        <w:rPr>
          <w:rFonts w:ascii="Abadi" w:hAnsi="Abadi"/>
          <w:i/>
          <w:iCs/>
          <w:sz w:val="21"/>
          <w:szCs w:val="21"/>
          <w:lang w:eastAsia="x-none"/>
        </w:rPr>
      </w:pPr>
    </w:p>
    <w:p w14:paraId="6329BBB0" w14:textId="77777777" w:rsidR="00CE023F" w:rsidRPr="00A570CB" w:rsidRDefault="00CE023F" w:rsidP="00CE023F">
      <w:pPr>
        <w:jc w:val="both"/>
        <w:rPr>
          <w:rFonts w:ascii="Abadi" w:hAnsi="Abadi"/>
          <w:i/>
          <w:iCs/>
          <w:sz w:val="21"/>
          <w:szCs w:val="21"/>
          <w:lang w:eastAsia="x-none"/>
        </w:rPr>
      </w:pPr>
      <w:r w:rsidRPr="00A570CB">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312300B" w14:textId="77777777" w:rsidR="00CE023F" w:rsidRPr="00A570CB" w:rsidRDefault="00CE023F" w:rsidP="00CE023F">
      <w:pPr>
        <w:rPr>
          <w:rFonts w:ascii="Abadi" w:hAnsi="Abadi"/>
          <w:i/>
          <w:iCs/>
          <w:sz w:val="21"/>
          <w:szCs w:val="21"/>
          <w:lang w:eastAsia="x-none"/>
        </w:rPr>
      </w:pPr>
    </w:p>
    <w:p w14:paraId="7BC9FF6B" w14:textId="77777777" w:rsidR="00CE023F" w:rsidRPr="00A570CB" w:rsidRDefault="00CE023F" w:rsidP="00CE023F">
      <w:pPr>
        <w:jc w:val="both"/>
        <w:rPr>
          <w:rFonts w:ascii="Abadi" w:hAnsi="Abadi"/>
          <w:i/>
          <w:iCs/>
          <w:sz w:val="21"/>
          <w:szCs w:val="21"/>
          <w:lang w:eastAsia="x-none"/>
        </w:rPr>
      </w:pPr>
      <w:r w:rsidRPr="00A570CB">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0F589B84" w14:textId="77777777" w:rsidR="00CE023F" w:rsidRPr="00A570CB" w:rsidRDefault="00CE023F" w:rsidP="00CE023F">
      <w:pPr>
        <w:jc w:val="both"/>
        <w:rPr>
          <w:rFonts w:ascii="Abadi" w:hAnsi="Abadi"/>
          <w:i/>
          <w:iCs/>
          <w:sz w:val="21"/>
          <w:szCs w:val="21"/>
          <w:lang w:eastAsia="x-none"/>
        </w:rPr>
      </w:pPr>
    </w:p>
    <w:p w14:paraId="5552E34E" w14:textId="77777777" w:rsidR="00CE023F" w:rsidRPr="00A570CB" w:rsidRDefault="00CE023F" w:rsidP="00CE023F">
      <w:pPr>
        <w:jc w:val="both"/>
        <w:rPr>
          <w:rFonts w:ascii="Abadi" w:hAnsi="Abadi"/>
          <w:i/>
          <w:iCs/>
          <w:sz w:val="21"/>
          <w:szCs w:val="21"/>
          <w:lang w:eastAsia="x-none"/>
        </w:rPr>
      </w:pPr>
      <w:r w:rsidRPr="00A570CB">
        <w:rPr>
          <w:rFonts w:ascii="Abadi" w:hAnsi="Abadi"/>
          <w:i/>
          <w:iCs/>
          <w:sz w:val="21"/>
          <w:szCs w:val="21"/>
          <w:lang w:eastAsia="x-none"/>
        </w:rPr>
        <w:t xml:space="preserve">Con ello, la Auditoría Superior del Estado de Guanajuato asume plenamente el compromiso del Congreso del Estado, para transparentar el </w:t>
      </w:r>
      <w:r w:rsidRPr="00A570CB">
        <w:rPr>
          <w:rFonts w:ascii="Abadi" w:hAnsi="Abadi"/>
          <w:i/>
          <w:iCs/>
          <w:sz w:val="21"/>
          <w:szCs w:val="21"/>
          <w:lang w:eastAsia="x-none"/>
        </w:rPr>
        <w:lastRenderedPageBreak/>
        <w:t>ejercicio y aplicación de los recursos públicos por los entes gubernamentales y la rendición de cuentas a la ciudadanía».</w:t>
      </w:r>
    </w:p>
    <w:p w14:paraId="67E704B2" w14:textId="77777777" w:rsidR="00CE023F" w:rsidRPr="00A570CB" w:rsidRDefault="00CE023F" w:rsidP="00CE023F">
      <w:pPr>
        <w:pStyle w:val="Textoindependiente"/>
        <w:ind w:firstLine="705"/>
        <w:rPr>
          <w:rFonts w:ascii="Abadi" w:hAnsi="Abadi"/>
          <w:sz w:val="21"/>
          <w:szCs w:val="21"/>
        </w:rPr>
      </w:pPr>
    </w:p>
    <w:p w14:paraId="24AC06F1"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w:t>
      </w:r>
      <w:r w:rsidRPr="00A570CB">
        <w:rPr>
          <w:rFonts w:ascii="Abadi" w:hAnsi="Abadi"/>
          <w:sz w:val="21"/>
          <w:szCs w:val="21"/>
        </w:rPr>
        <w:t xml:space="preserve"> </w:t>
      </w:r>
      <w:r w:rsidRPr="00CE023F">
        <w:rPr>
          <w:rFonts w:ascii="Abadi" w:hAnsi="Abadi"/>
          <w:b w:val="0"/>
          <w:bCs w:val="0"/>
          <w:sz w:val="21"/>
          <w:szCs w:val="21"/>
        </w:rPr>
        <w:t>carácter de «Definitivos», emitidas por el Servicio de Administración Tributaria.</w:t>
      </w:r>
    </w:p>
    <w:p w14:paraId="76932310" w14:textId="77777777" w:rsidR="00CE023F" w:rsidRPr="00CE023F" w:rsidRDefault="00CE023F" w:rsidP="00CE023F">
      <w:pPr>
        <w:pStyle w:val="Textoindependiente"/>
        <w:ind w:firstLine="705"/>
        <w:rPr>
          <w:rFonts w:ascii="Abadi" w:hAnsi="Abadi"/>
          <w:b w:val="0"/>
          <w:bCs w:val="0"/>
          <w:sz w:val="21"/>
          <w:szCs w:val="21"/>
        </w:rPr>
      </w:pPr>
    </w:p>
    <w:p w14:paraId="05B52303"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CE023F">
        <w:rPr>
          <w:rFonts w:ascii="Abadi" w:hAnsi="Abadi"/>
          <w:b w:val="0"/>
          <w:bCs w:val="0"/>
          <w:sz w:val="21"/>
          <w:szCs w:val="21"/>
        </w:rPr>
        <w:t>fiscalizado</w:t>
      </w:r>
      <w:proofErr w:type="spellEnd"/>
      <w:r w:rsidRPr="00CE023F">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w:t>
      </w:r>
      <w:r w:rsidRPr="00CE023F">
        <w:rPr>
          <w:rFonts w:ascii="Abadi" w:hAnsi="Abadi"/>
          <w:b w:val="0"/>
          <w:bCs w:val="0"/>
          <w:sz w:val="21"/>
          <w:szCs w:val="21"/>
        </w:rPr>
        <w:t>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110CE9DB" w14:textId="77777777" w:rsidR="00CE023F" w:rsidRPr="00A570CB" w:rsidRDefault="00CE023F" w:rsidP="00CE023F">
      <w:pPr>
        <w:pStyle w:val="Textoindependiente"/>
        <w:ind w:firstLine="705"/>
        <w:rPr>
          <w:rFonts w:ascii="Abadi" w:hAnsi="Abadi"/>
          <w:sz w:val="21"/>
          <w:szCs w:val="21"/>
        </w:rPr>
      </w:pPr>
    </w:p>
    <w:p w14:paraId="37744024"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También se establece que para la integración del expediente y conclusiones determinadas en la auditoría, se consideró documentación obtenida mediante diversos procedimientos de auditoría aplicados en los</w:t>
      </w:r>
      <w:r w:rsidRPr="00A570CB">
        <w:rPr>
          <w:rFonts w:ascii="Abadi" w:hAnsi="Abadi"/>
          <w:sz w:val="21"/>
          <w:szCs w:val="21"/>
        </w:rPr>
        <w:t xml:space="preserve"> </w:t>
      </w:r>
      <w:r w:rsidRPr="00CE023F">
        <w:rPr>
          <w:rFonts w:ascii="Abadi" w:hAnsi="Abadi"/>
          <w:b w:val="0"/>
          <w:bCs w:val="0"/>
          <w:sz w:val="21"/>
          <w:szCs w:val="21"/>
        </w:rPr>
        <w:t xml:space="preserve">análisis de información financiera trimestral a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respecto de los periodos comprendidos de enero a junio y de julio a diciembre del 2021, de acuerdo a lo establecido en el artículo 28, primer párrafo de la Ley de Fiscalización Superior del Estado de Guanajuato.</w:t>
      </w:r>
    </w:p>
    <w:p w14:paraId="01CD66CB" w14:textId="77777777" w:rsidR="00CE023F" w:rsidRPr="00CE023F" w:rsidRDefault="00CE023F" w:rsidP="00CE023F">
      <w:pPr>
        <w:pStyle w:val="Textoindependiente"/>
        <w:ind w:firstLine="705"/>
        <w:rPr>
          <w:rFonts w:ascii="Abadi" w:hAnsi="Abadi"/>
          <w:b w:val="0"/>
          <w:bCs w:val="0"/>
          <w:sz w:val="21"/>
          <w:szCs w:val="21"/>
        </w:rPr>
      </w:pPr>
    </w:p>
    <w:p w14:paraId="3FED38B0"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Adicionalmente, se analizó el informe general del proceso de entrega recepción 2021 de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y en su caso se aplicaron los procedimientos de auditoría correspondientes.</w:t>
      </w:r>
    </w:p>
    <w:p w14:paraId="0AA48199" w14:textId="77777777" w:rsidR="00CE023F" w:rsidRPr="00CE023F" w:rsidRDefault="00CE023F" w:rsidP="00CE023F">
      <w:pPr>
        <w:pStyle w:val="Textoindependiente"/>
        <w:ind w:firstLine="705"/>
        <w:rPr>
          <w:rFonts w:ascii="Abadi" w:hAnsi="Abadi"/>
          <w:b w:val="0"/>
          <w:bCs w:val="0"/>
          <w:sz w:val="21"/>
          <w:szCs w:val="21"/>
        </w:rPr>
      </w:pPr>
    </w:p>
    <w:p w14:paraId="640C83E6"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no cumplió con las disposiciones normativas aplicables, como se precisa en el informe de resultados.</w:t>
      </w:r>
    </w:p>
    <w:p w14:paraId="4F2D0D08" w14:textId="77777777" w:rsidR="00CE023F" w:rsidRPr="00CE023F" w:rsidRDefault="00CE023F" w:rsidP="00CE023F">
      <w:pPr>
        <w:pStyle w:val="Textoindependiente"/>
        <w:ind w:firstLine="705"/>
        <w:rPr>
          <w:rFonts w:ascii="Abadi" w:hAnsi="Abadi"/>
          <w:b w:val="0"/>
          <w:bCs w:val="0"/>
          <w:sz w:val="21"/>
          <w:szCs w:val="21"/>
        </w:rPr>
      </w:pPr>
    </w:p>
    <w:p w14:paraId="0E59DD20" w14:textId="77777777" w:rsidR="00CE023F" w:rsidRPr="00A570CB" w:rsidRDefault="00CE023F" w:rsidP="00CE023F">
      <w:pPr>
        <w:pStyle w:val="Textoindependiente"/>
        <w:ind w:firstLine="705"/>
        <w:rPr>
          <w:rFonts w:ascii="Abadi" w:hAnsi="Abadi"/>
          <w:sz w:val="21"/>
          <w:szCs w:val="21"/>
        </w:rPr>
      </w:pPr>
    </w:p>
    <w:p w14:paraId="2884D9B6"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12 observaciones, de las cuales 1 se solventó y 11 no fueron solventadas. </w:t>
      </w:r>
    </w:p>
    <w:p w14:paraId="0BA0E0BB" w14:textId="77777777" w:rsidR="00CE023F" w:rsidRPr="00A570CB" w:rsidRDefault="00CE023F" w:rsidP="00CE023F">
      <w:pPr>
        <w:pStyle w:val="Textoindependiente"/>
        <w:ind w:firstLine="705"/>
        <w:rPr>
          <w:rFonts w:ascii="Abadi" w:hAnsi="Abadi"/>
          <w:sz w:val="21"/>
          <w:szCs w:val="21"/>
        </w:rPr>
      </w:pPr>
    </w:p>
    <w:p w14:paraId="35DA0F98"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También en dicho apartado se establece el impacto de las irregularidades </w:t>
      </w:r>
      <w:r w:rsidRPr="00CE023F">
        <w:rPr>
          <w:rFonts w:ascii="Abadi" w:hAnsi="Abadi"/>
          <w:b w:val="0"/>
          <w:bCs w:val="0"/>
          <w:sz w:val="21"/>
          <w:szCs w:val="21"/>
        </w:rPr>
        <w:lastRenderedPageBreak/>
        <w:t>detectadas que persistieron después de la valoración de la respuesta al pliego de observaciones y recomendaciones, destacando la cuantificación monetaria de las observaciones y recomendaciones, señalando que, en el caso de las observaciones plasmadas en los numerales 001, 003, 004, 005 y 007, existen importes no solventados por la cuantía que ahí se refiere. Mediante la resolución recaída al recurso de reconsideración promovido en contra del informe de resultados, se modificó el importe observado derivado de la observación</w:t>
      </w:r>
      <w:r w:rsidRPr="00A570CB">
        <w:rPr>
          <w:rFonts w:ascii="Abadi" w:hAnsi="Abadi"/>
          <w:sz w:val="21"/>
          <w:szCs w:val="21"/>
        </w:rPr>
        <w:t xml:space="preserve"> </w:t>
      </w:r>
      <w:r w:rsidRPr="00CE023F">
        <w:rPr>
          <w:rFonts w:ascii="Abadi" w:hAnsi="Abadi"/>
          <w:b w:val="0"/>
          <w:bCs w:val="0"/>
          <w:sz w:val="21"/>
          <w:szCs w:val="21"/>
        </w:rPr>
        <w:t>establecida en el numeral 007, para quedar en los términos del resolutivo segundo de la citada resolución.</w:t>
      </w:r>
    </w:p>
    <w:p w14:paraId="099513C3" w14:textId="77777777" w:rsidR="00CE023F" w:rsidRPr="00CE023F" w:rsidRDefault="00CE023F" w:rsidP="00CE023F">
      <w:pPr>
        <w:pStyle w:val="Textoindependiente"/>
        <w:ind w:firstLine="705"/>
        <w:rPr>
          <w:rFonts w:ascii="Abadi" w:hAnsi="Abadi"/>
          <w:b w:val="0"/>
          <w:bCs w:val="0"/>
          <w:sz w:val="21"/>
          <w:szCs w:val="21"/>
        </w:rPr>
      </w:pPr>
    </w:p>
    <w:p w14:paraId="3723D5A4"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CE023F">
        <w:rPr>
          <w:rFonts w:ascii="Abadi" w:hAnsi="Abadi"/>
          <w:b w:val="0"/>
          <w:bCs w:val="0"/>
          <w:i/>
          <w:iCs/>
          <w:sz w:val="21"/>
          <w:szCs w:val="21"/>
        </w:rPr>
        <w:t>Definitivos»</w:t>
      </w:r>
      <w:r w:rsidRPr="00CE023F">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w:t>
      </w:r>
      <w:r w:rsidRPr="00A570CB">
        <w:rPr>
          <w:rFonts w:ascii="Abadi" w:hAnsi="Abadi"/>
          <w:sz w:val="21"/>
          <w:szCs w:val="21"/>
        </w:rPr>
        <w:t xml:space="preserve"> </w:t>
      </w:r>
      <w:r w:rsidRPr="00CE023F">
        <w:rPr>
          <w:rFonts w:ascii="Abadi" w:hAnsi="Abadi"/>
          <w:b w:val="0"/>
          <w:bCs w:val="0"/>
          <w:sz w:val="21"/>
          <w:szCs w:val="21"/>
        </w:rPr>
        <w:t>EFOS.</w:t>
      </w:r>
    </w:p>
    <w:p w14:paraId="74C7B816" w14:textId="77777777" w:rsidR="00CE023F" w:rsidRPr="00A570CB" w:rsidRDefault="00CE023F" w:rsidP="00CE023F">
      <w:pPr>
        <w:pStyle w:val="Textoindependiente"/>
        <w:ind w:firstLine="705"/>
        <w:rPr>
          <w:rFonts w:ascii="Abadi" w:hAnsi="Abadi"/>
          <w:sz w:val="21"/>
          <w:szCs w:val="21"/>
        </w:rPr>
      </w:pPr>
    </w:p>
    <w:p w14:paraId="2CEE1715" w14:textId="77777777" w:rsidR="00CE023F" w:rsidRPr="00CE023F" w:rsidRDefault="00CE023F" w:rsidP="00427BD6">
      <w:pPr>
        <w:pStyle w:val="Textoindependiente"/>
        <w:numPr>
          <w:ilvl w:val="0"/>
          <w:numId w:val="9"/>
        </w:numPr>
        <w:tabs>
          <w:tab w:val="clear" w:pos="1065"/>
          <w:tab w:val="num" w:pos="0"/>
        </w:tabs>
        <w:autoSpaceDE/>
        <w:autoSpaceDN/>
        <w:rPr>
          <w:rFonts w:ascii="Abadi" w:hAnsi="Abadi"/>
          <w:sz w:val="21"/>
          <w:szCs w:val="21"/>
        </w:rPr>
      </w:pPr>
      <w:r w:rsidRPr="00CE023F">
        <w:rPr>
          <w:rFonts w:ascii="Abadi" w:hAnsi="Abadi"/>
          <w:sz w:val="21"/>
          <w:szCs w:val="21"/>
        </w:rPr>
        <w:t xml:space="preserve">Observaciones y recomendaciones, la respuesta emitida por el sujeto fiscalizado y la valoración correspondiente. </w:t>
      </w:r>
    </w:p>
    <w:p w14:paraId="44F85A78" w14:textId="77777777" w:rsidR="00CE023F" w:rsidRPr="00A570CB" w:rsidRDefault="00CE023F" w:rsidP="00CE023F">
      <w:pPr>
        <w:pStyle w:val="Textoindependiente"/>
        <w:ind w:left="1065"/>
        <w:rPr>
          <w:rFonts w:ascii="Abadi" w:hAnsi="Abadi"/>
          <w:b w:val="0"/>
          <w:bCs w:val="0"/>
          <w:sz w:val="21"/>
          <w:szCs w:val="21"/>
        </w:rPr>
      </w:pPr>
    </w:p>
    <w:p w14:paraId="06B37F45"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En esta parte se desglosa la valoración de las observaciones y recomendaciones formuladas por el Órgano Técnico, considerando como solventada la observación establecida en el numeral 009, referido a expediente técnico. Contrato: MDH/DIC/R33/SDAYR/2021/UB-04. (2 de 2).</w:t>
      </w:r>
    </w:p>
    <w:p w14:paraId="2F262D18" w14:textId="77777777" w:rsidR="00CE023F" w:rsidRPr="00CE023F" w:rsidRDefault="00CE023F" w:rsidP="00CE023F">
      <w:pPr>
        <w:pStyle w:val="Textoindependiente"/>
        <w:ind w:firstLine="705"/>
        <w:rPr>
          <w:rFonts w:ascii="Abadi" w:hAnsi="Abadi"/>
          <w:b w:val="0"/>
          <w:bCs w:val="0"/>
          <w:sz w:val="21"/>
          <w:szCs w:val="21"/>
        </w:rPr>
      </w:pPr>
    </w:p>
    <w:p w14:paraId="0F47D61A" w14:textId="77777777" w:rsidR="00CE023F" w:rsidRPr="00CE023F" w:rsidRDefault="00CE023F" w:rsidP="00CE023F">
      <w:pPr>
        <w:pStyle w:val="Textoindependiente"/>
        <w:ind w:firstLine="705"/>
        <w:rPr>
          <w:rFonts w:ascii="Abadi" w:hAnsi="Abadi"/>
          <w:b w:val="0"/>
          <w:bCs w:val="0"/>
          <w:sz w:val="21"/>
          <w:szCs w:val="21"/>
        </w:rPr>
      </w:pPr>
    </w:p>
    <w:p w14:paraId="51ED5DF7"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No se solventaron las observaciones plasmadas en los siguientes numerales: 001, referente a cantidades de obra. Contrato </w:t>
      </w:r>
      <w:r w:rsidRPr="00CE023F">
        <w:rPr>
          <w:rFonts w:ascii="Abadi" w:hAnsi="Abadi"/>
          <w:b w:val="0"/>
          <w:bCs w:val="0"/>
          <w:sz w:val="21"/>
          <w:szCs w:val="21"/>
        </w:rPr>
        <w:t>MDH/DIC/INGRESOS PROPIOS/2020/S5-03. (1 de 3); 002, correspondiente a especialidad de obra. Contrato DH/DIC/INGRESOSPROPIOS/2020/S5-03. (2 de 3); 003, relativo a precio unitario. Contrato MDH/DIC/INGRESOS PROPIOS/2020/S5-03. (3 de 3); 004, referido a cantidades de obra. Contrato MDH/DIC/R33/2021/S5-01. (1 de 3); 005, referente a precio unitario. Contrato MDH/DIC/R33/2021/S5-01. (2 de 3); 006, correspondiente a finiquito y acta de entrega-recepción. Contrato MDH/DIC/R33/2021/S5-01d. (3 de 3); 007, relativo a cantidades de</w:t>
      </w:r>
      <w:r w:rsidRPr="00A570CB">
        <w:rPr>
          <w:rFonts w:ascii="Abadi" w:hAnsi="Abadi"/>
          <w:sz w:val="21"/>
          <w:szCs w:val="21"/>
        </w:rPr>
        <w:t xml:space="preserve"> </w:t>
      </w:r>
      <w:r w:rsidRPr="00CE023F">
        <w:rPr>
          <w:rFonts w:ascii="Abadi" w:hAnsi="Abadi"/>
          <w:b w:val="0"/>
          <w:bCs w:val="0"/>
          <w:sz w:val="21"/>
          <w:szCs w:val="21"/>
        </w:rPr>
        <w:t>obra. Contrato MDH/DIC/R33/2021/SE-17; 008, referido a bitácora. Contrato: MDH/DIC/R33/SDAYR/2021/UB-04. (1 de 2); 010, referente a bitácora. Contrato: MDH/DIC/R33/2021/UB-06; 011, correspondiente a tipo de contrato. Contrato MDH/DIC/FIBIR/R33/2021/TG-01; y 012, relativo a especialidad de obra. Contrato MDH/DIC/SEDESHU-PVEMC/2021/5D-09.</w:t>
      </w:r>
    </w:p>
    <w:p w14:paraId="1A3AA141" w14:textId="77777777" w:rsidR="00CE023F" w:rsidRPr="00CE023F" w:rsidRDefault="00CE023F" w:rsidP="00CE023F">
      <w:pPr>
        <w:pStyle w:val="Textoindependiente"/>
        <w:ind w:firstLine="705"/>
        <w:rPr>
          <w:rFonts w:ascii="Abadi" w:hAnsi="Abadi"/>
          <w:b w:val="0"/>
          <w:bCs w:val="0"/>
          <w:sz w:val="21"/>
          <w:szCs w:val="21"/>
        </w:rPr>
      </w:pPr>
    </w:p>
    <w:p w14:paraId="5648E9E4" w14:textId="77777777" w:rsidR="00CE023F" w:rsidRPr="00CE023F" w:rsidRDefault="00CE023F" w:rsidP="00CE023F">
      <w:pPr>
        <w:pStyle w:val="Textoindependiente"/>
        <w:ind w:firstLine="705"/>
        <w:rPr>
          <w:rFonts w:ascii="Abadi" w:hAnsi="Abadi" w:cs="ArialNarrow"/>
          <w:b w:val="0"/>
          <w:bCs w:val="0"/>
          <w:sz w:val="21"/>
          <w:szCs w:val="21"/>
          <w:lang w:eastAsia="es-MX"/>
        </w:rPr>
      </w:pPr>
      <w:r w:rsidRPr="00CE023F">
        <w:rPr>
          <w:rFonts w:ascii="Abadi" w:hAnsi="Abadi"/>
          <w:b w:val="0"/>
          <w:bCs w:val="0"/>
          <w:sz w:val="21"/>
          <w:szCs w:val="21"/>
        </w:rPr>
        <w:t xml:space="preserve">En el apartado de Recomendaciones Generales, se establece que </w:t>
      </w:r>
      <w:r w:rsidRPr="00CE023F">
        <w:rPr>
          <w:rFonts w:ascii="Abadi" w:hAnsi="Abadi" w:cs="ArialNarrow"/>
          <w:b w:val="0"/>
          <w:bCs w:val="0"/>
          <w:sz w:val="21"/>
          <w:szCs w:val="21"/>
          <w:lang w:eastAsia="es-MX"/>
        </w:rPr>
        <w:t>del proceso de fiscalización efectuado no se desprendieron recomendaciones.</w:t>
      </w:r>
    </w:p>
    <w:p w14:paraId="4641C145" w14:textId="77777777" w:rsidR="00CE023F" w:rsidRPr="00CE023F" w:rsidRDefault="00CE023F" w:rsidP="00CE023F">
      <w:pPr>
        <w:pStyle w:val="Textoindependiente"/>
        <w:ind w:firstLine="705"/>
        <w:rPr>
          <w:rFonts w:ascii="Abadi" w:hAnsi="Abadi"/>
          <w:b w:val="0"/>
          <w:bCs w:val="0"/>
          <w:sz w:val="21"/>
          <w:szCs w:val="21"/>
        </w:rPr>
      </w:pPr>
    </w:p>
    <w:p w14:paraId="63A04E0E" w14:textId="77777777" w:rsidR="00CE023F" w:rsidRPr="00CE023F" w:rsidRDefault="00CE023F" w:rsidP="00427BD6">
      <w:pPr>
        <w:pStyle w:val="Textoindependiente"/>
        <w:numPr>
          <w:ilvl w:val="0"/>
          <w:numId w:val="9"/>
        </w:numPr>
        <w:autoSpaceDE/>
        <w:autoSpaceDN/>
        <w:rPr>
          <w:rFonts w:ascii="Abadi" w:hAnsi="Abadi"/>
          <w:sz w:val="21"/>
          <w:szCs w:val="21"/>
        </w:rPr>
      </w:pPr>
      <w:r w:rsidRPr="00CE023F">
        <w:rPr>
          <w:rFonts w:ascii="Abadi" w:hAnsi="Abadi"/>
          <w:sz w:val="21"/>
          <w:szCs w:val="21"/>
        </w:rPr>
        <w:t xml:space="preserve">Promoción del ejercicio de facultades de comprobación fiscal. </w:t>
      </w:r>
    </w:p>
    <w:p w14:paraId="17DF4EB2" w14:textId="77777777" w:rsidR="00CE023F" w:rsidRPr="00A570CB" w:rsidRDefault="00CE023F" w:rsidP="00CE023F">
      <w:pPr>
        <w:pStyle w:val="Textoindependiente"/>
        <w:ind w:firstLine="705"/>
        <w:rPr>
          <w:rFonts w:ascii="Abadi" w:hAnsi="Abadi"/>
          <w:sz w:val="21"/>
          <w:szCs w:val="21"/>
        </w:rPr>
      </w:pPr>
    </w:p>
    <w:p w14:paraId="6CDAD3CF"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21FCA18A" w14:textId="77777777" w:rsidR="00CE023F" w:rsidRPr="00A570CB" w:rsidRDefault="00CE023F" w:rsidP="00CE023F">
      <w:pPr>
        <w:pStyle w:val="Textoindependiente"/>
        <w:ind w:firstLine="705"/>
        <w:rPr>
          <w:rFonts w:ascii="Abadi" w:hAnsi="Abadi"/>
          <w:sz w:val="21"/>
          <w:szCs w:val="21"/>
        </w:rPr>
      </w:pPr>
    </w:p>
    <w:p w14:paraId="73CDEFFD" w14:textId="77777777" w:rsidR="00CE023F" w:rsidRPr="00CE023F" w:rsidRDefault="00CE023F" w:rsidP="00427BD6">
      <w:pPr>
        <w:pStyle w:val="Textoindependiente"/>
        <w:numPr>
          <w:ilvl w:val="0"/>
          <w:numId w:val="9"/>
        </w:numPr>
        <w:autoSpaceDE/>
        <w:autoSpaceDN/>
        <w:rPr>
          <w:rFonts w:ascii="Abadi" w:hAnsi="Abadi"/>
          <w:sz w:val="21"/>
          <w:szCs w:val="21"/>
        </w:rPr>
      </w:pPr>
      <w:r w:rsidRPr="00CE023F">
        <w:rPr>
          <w:rFonts w:ascii="Abadi" w:hAnsi="Abadi"/>
          <w:sz w:val="21"/>
          <w:szCs w:val="21"/>
        </w:rPr>
        <w:t>Comunicado ante órganos de control y autoridades que administran padrones de proveedores y contratistas.</w:t>
      </w:r>
    </w:p>
    <w:p w14:paraId="3E7CBA57" w14:textId="77777777" w:rsidR="00CE023F" w:rsidRPr="00CE023F" w:rsidRDefault="00CE023F" w:rsidP="00CE023F">
      <w:pPr>
        <w:pStyle w:val="Textoindependiente"/>
        <w:ind w:firstLine="705"/>
        <w:rPr>
          <w:rFonts w:ascii="Abadi" w:hAnsi="Abadi"/>
          <w:sz w:val="21"/>
          <w:szCs w:val="21"/>
        </w:rPr>
      </w:pPr>
    </w:p>
    <w:p w14:paraId="52057824"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En este punto se señala que de conformidad con lo establecido en los artículos 3, fracción XI de la Ley de </w:t>
      </w:r>
      <w:r w:rsidRPr="00CE023F">
        <w:rPr>
          <w:rFonts w:ascii="Abadi" w:hAnsi="Abadi"/>
          <w:b w:val="0"/>
          <w:bCs w:val="0"/>
          <w:sz w:val="21"/>
          <w:szCs w:val="21"/>
        </w:rPr>
        <w:lastRenderedPageBreak/>
        <w:t xml:space="preserve">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6DEE36E" w14:textId="77777777" w:rsidR="00CE023F" w:rsidRPr="00CE023F" w:rsidRDefault="00CE023F" w:rsidP="00CE023F">
      <w:pPr>
        <w:pStyle w:val="Textoindependiente"/>
        <w:ind w:firstLine="705"/>
        <w:rPr>
          <w:rFonts w:ascii="Abadi" w:hAnsi="Abadi"/>
          <w:b w:val="0"/>
          <w:bCs w:val="0"/>
          <w:sz w:val="21"/>
          <w:szCs w:val="21"/>
        </w:rPr>
      </w:pPr>
    </w:p>
    <w:p w14:paraId="1FC7D173" w14:textId="77777777" w:rsidR="00CE023F" w:rsidRPr="00CE023F" w:rsidRDefault="00CE023F" w:rsidP="00427BD6">
      <w:pPr>
        <w:pStyle w:val="Textoindependiente"/>
        <w:numPr>
          <w:ilvl w:val="0"/>
          <w:numId w:val="9"/>
        </w:numPr>
        <w:autoSpaceDE/>
        <w:autoSpaceDN/>
        <w:rPr>
          <w:rFonts w:ascii="Abadi" w:hAnsi="Abadi"/>
          <w:sz w:val="21"/>
          <w:szCs w:val="21"/>
        </w:rPr>
      </w:pPr>
      <w:r w:rsidRPr="00CE023F">
        <w:rPr>
          <w:rFonts w:ascii="Abadi" w:hAnsi="Abadi"/>
          <w:sz w:val="21"/>
          <w:szCs w:val="21"/>
        </w:rPr>
        <w:t xml:space="preserve">Recurso de Reconsideración. </w:t>
      </w:r>
    </w:p>
    <w:p w14:paraId="4FBADE20" w14:textId="77777777" w:rsidR="00CE023F" w:rsidRPr="00A570CB" w:rsidRDefault="00CE023F" w:rsidP="00CE023F">
      <w:pPr>
        <w:pStyle w:val="Textoindependiente"/>
        <w:ind w:left="705"/>
        <w:rPr>
          <w:rFonts w:ascii="Abadi" w:hAnsi="Abadi"/>
          <w:b w:val="0"/>
          <w:bCs w:val="0"/>
          <w:sz w:val="21"/>
          <w:szCs w:val="21"/>
        </w:rPr>
      </w:pPr>
    </w:p>
    <w:p w14:paraId="4EE8580D"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El 24 de marzo de 2023, dentro del plazo que prevé la fracción IV del artículo 37 de </w:t>
      </w:r>
      <w:smartTag w:uri="urn:schemas-microsoft-com:office:smarttags" w:element="PersonName">
        <w:smartTagPr>
          <w:attr w:name="ProductID" w:val="la Ley"/>
        </w:smartTagPr>
        <w:r w:rsidRPr="00CE023F">
          <w:rPr>
            <w:rFonts w:ascii="Abadi" w:hAnsi="Abadi"/>
            <w:b w:val="0"/>
            <w:bCs w:val="0"/>
            <w:sz w:val="21"/>
            <w:szCs w:val="21"/>
          </w:rPr>
          <w:t>la Ley</w:t>
        </w:r>
      </w:smartTag>
      <w:r w:rsidRPr="00CE023F">
        <w:rPr>
          <w:rFonts w:ascii="Abadi" w:hAnsi="Abadi"/>
          <w:b w:val="0"/>
          <w:bCs w:val="0"/>
          <w:sz w:val="21"/>
          <w:szCs w:val="21"/>
        </w:rPr>
        <w:t xml:space="preserve"> de Fiscalización Superior del Estado de Guanajuato, el presidente y el tesorero municipales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xml:space="preserve">., interpusieron recurso de reconsideración en contra del informe de resultados de la auditoría practicada a la infraestructura pública municipal respecto de las operaciones realizadas por la administración pública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xml:space="preserve">., correspondientes al periodo comprendido del 1 de enero al 31 de diciembre del ejercicio fiscal del año 2021, concretamente en contra de la observación plasmada en el numeral 007, relativo a cantidades de obra. Contrato MDH/DIC/R33/2021/SE-17, misma que se encuentra relacionada con el Capítulo II, denominado Observaciones y Recomendaciones; Respuesta Emitida por el Sujeto Fiscalizado y Valoración Correspondiente. </w:t>
      </w:r>
    </w:p>
    <w:p w14:paraId="4286D02D" w14:textId="77777777" w:rsidR="00CE023F" w:rsidRPr="00CE023F" w:rsidRDefault="00CE023F" w:rsidP="00CE023F">
      <w:pPr>
        <w:pStyle w:val="Textoindependiente"/>
        <w:ind w:firstLine="705"/>
        <w:rPr>
          <w:rFonts w:ascii="Abadi" w:hAnsi="Abadi"/>
          <w:b w:val="0"/>
          <w:bCs w:val="0"/>
          <w:sz w:val="21"/>
          <w:szCs w:val="21"/>
        </w:rPr>
      </w:pPr>
    </w:p>
    <w:p w14:paraId="48ED25F0"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 xml:space="preserve">En tal sentido, mediante el acuerdo de fecha 28 de marzo de 2023, emitido por el Director General de Asuntos Jurídicos de la Auditoría Superior del Estado, se admitió el recurso de reconsideración, al colmarse los </w:t>
      </w:r>
      <w:r w:rsidRPr="00CE023F">
        <w:rPr>
          <w:rFonts w:ascii="Abadi" w:hAnsi="Abadi"/>
          <w:b w:val="0"/>
          <w:bCs w:val="0"/>
          <w:sz w:val="21"/>
          <w:szCs w:val="21"/>
        </w:rPr>
        <w:t xml:space="preserve">requisitos de procedibilidad previstos por el artículo 51 de </w:t>
      </w:r>
      <w:smartTag w:uri="urn:schemas-microsoft-com:office:smarttags" w:element="PersonName">
        <w:smartTagPr>
          <w:attr w:name="ProductID" w:val="la Ley"/>
        </w:smartTagPr>
        <w:r w:rsidRPr="00CE023F">
          <w:rPr>
            <w:rFonts w:ascii="Abadi" w:hAnsi="Abadi"/>
            <w:b w:val="0"/>
            <w:bCs w:val="0"/>
            <w:sz w:val="21"/>
            <w:szCs w:val="21"/>
          </w:rPr>
          <w:t>la Ley</w:t>
        </w:r>
      </w:smartTag>
      <w:r w:rsidRPr="00CE023F">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los recurrentes al tratarse de pruebas novedosas y supervenientes.</w:t>
      </w:r>
    </w:p>
    <w:p w14:paraId="4CD54EFD" w14:textId="77777777" w:rsidR="00CE023F" w:rsidRPr="00A570CB" w:rsidRDefault="00CE023F" w:rsidP="00CE023F">
      <w:pPr>
        <w:pStyle w:val="Textoindependiente"/>
        <w:ind w:firstLine="708"/>
        <w:rPr>
          <w:rFonts w:ascii="Abadi" w:hAnsi="Abadi"/>
          <w:sz w:val="21"/>
          <w:szCs w:val="21"/>
        </w:rPr>
      </w:pPr>
    </w:p>
    <w:p w14:paraId="2E4421D8" w14:textId="77777777" w:rsidR="00CE023F" w:rsidRPr="00CE023F" w:rsidRDefault="00CE023F" w:rsidP="00CE023F">
      <w:pPr>
        <w:pStyle w:val="Textoindependiente"/>
        <w:ind w:firstLine="708"/>
        <w:rPr>
          <w:rFonts w:ascii="Abadi" w:hAnsi="Abadi"/>
          <w:b w:val="0"/>
          <w:bCs w:val="0"/>
          <w:sz w:val="21"/>
          <w:szCs w:val="21"/>
        </w:rPr>
      </w:pPr>
      <w:r w:rsidRPr="00CE023F">
        <w:rPr>
          <w:rFonts w:ascii="Abadi" w:hAnsi="Abadi"/>
          <w:b w:val="0"/>
          <w:bCs w:val="0"/>
          <w:sz w:val="21"/>
          <w:szCs w:val="21"/>
        </w:rPr>
        <w:t>Una vez tramitado el recurso, el Auditor Superior del Estado, el 29 de marzo de 2023 emitió la resolución correspondiente, determinándose respecto a la observación establecida en el numeral 007, que los agravios hechos valer por los recurrentes resultaron infundados, por los argumentos referidos en el considerando séptimo. Sin embargo, las pruebas documentales aportadas resultaron suficientes para acreditar el reintegro de una parte del importe observado. En razón de lo cual, aun cuando se confirmó el sentido de la valoración de la observación como no solventada, con acciones de impacto económico pendientes de realizar por el sujeto fiscalizado, se modificó el importe observado, para quedar en los términos del resolutivo segundo.</w:t>
      </w:r>
    </w:p>
    <w:p w14:paraId="06D31E75" w14:textId="77777777" w:rsidR="00CE023F" w:rsidRPr="00CE023F" w:rsidRDefault="00CE023F" w:rsidP="00CE023F">
      <w:pPr>
        <w:pStyle w:val="Textoindependiente"/>
        <w:ind w:firstLine="708"/>
        <w:rPr>
          <w:rFonts w:ascii="Abadi" w:hAnsi="Abadi"/>
          <w:b w:val="0"/>
          <w:bCs w:val="0"/>
          <w:sz w:val="21"/>
          <w:szCs w:val="21"/>
        </w:rPr>
      </w:pPr>
    </w:p>
    <w:p w14:paraId="6C4430D0"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 xml:space="preserve">La referida resolución se notificó al presidente municipal de Dolores Hidalgo Cuna de la Independencia Nacional, </w:t>
      </w:r>
      <w:proofErr w:type="spellStart"/>
      <w:r w:rsidRPr="00CE023F">
        <w:rPr>
          <w:rFonts w:ascii="Abadi" w:hAnsi="Abadi"/>
          <w:b w:val="0"/>
          <w:bCs w:val="0"/>
          <w:sz w:val="21"/>
          <w:szCs w:val="21"/>
        </w:rPr>
        <w:t>Gto</w:t>
      </w:r>
      <w:proofErr w:type="spellEnd"/>
      <w:r w:rsidRPr="00CE023F">
        <w:rPr>
          <w:rFonts w:ascii="Abadi" w:hAnsi="Abadi"/>
          <w:b w:val="0"/>
          <w:bCs w:val="0"/>
          <w:sz w:val="21"/>
          <w:szCs w:val="21"/>
        </w:rPr>
        <w:t>., el 30 de marzo de 2023.</w:t>
      </w:r>
    </w:p>
    <w:p w14:paraId="0F119241" w14:textId="77777777" w:rsidR="00CE023F" w:rsidRPr="00A570CB" w:rsidRDefault="00CE023F" w:rsidP="00CE023F">
      <w:pPr>
        <w:pStyle w:val="Textoindependiente"/>
        <w:ind w:firstLine="705"/>
        <w:rPr>
          <w:rFonts w:ascii="Abadi" w:hAnsi="Abadi"/>
          <w:sz w:val="21"/>
          <w:szCs w:val="21"/>
        </w:rPr>
      </w:pPr>
    </w:p>
    <w:p w14:paraId="3024704D" w14:textId="77777777" w:rsidR="00CE023F" w:rsidRPr="00CE023F" w:rsidRDefault="00CE023F" w:rsidP="00427BD6">
      <w:pPr>
        <w:pStyle w:val="Textoindependiente"/>
        <w:numPr>
          <w:ilvl w:val="0"/>
          <w:numId w:val="9"/>
        </w:numPr>
        <w:autoSpaceDE/>
        <w:autoSpaceDN/>
        <w:rPr>
          <w:rFonts w:ascii="Abadi" w:hAnsi="Abadi"/>
          <w:sz w:val="21"/>
          <w:szCs w:val="21"/>
        </w:rPr>
      </w:pPr>
      <w:r w:rsidRPr="00CE023F">
        <w:rPr>
          <w:rFonts w:ascii="Abadi" w:hAnsi="Abadi"/>
          <w:sz w:val="21"/>
          <w:szCs w:val="21"/>
        </w:rPr>
        <w:t xml:space="preserve">Anexos. </w:t>
      </w:r>
    </w:p>
    <w:p w14:paraId="00F505A8" w14:textId="77777777" w:rsidR="00CE023F" w:rsidRPr="00A570CB" w:rsidRDefault="00CE023F" w:rsidP="00CE023F">
      <w:pPr>
        <w:pStyle w:val="Textoindependiente"/>
        <w:ind w:firstLine="705"/>
        <w:rPr>
          <w:rFonts w:ascii="Abadi" w:hAnsi="Abadi"/>
          <w:sz w:val="21"/>
          <w:szCs w:val="21"/>
        </w:rPr>
      </w:pPr>
    </w:p>
    <w:p w14:paraId="52E69CAD" w14:textId="77777777" w:rsidR="00CE023F" w:rsidRPr="00CE023F" w:rsidRDefault="00CE023F" w:rsidP="00CE023F">
      <w:pPr>
        <w:pStyle w:val="Textoindependiente"/>
        <w:ind w:firstLine="705"/>
        <w:rPr>
          <w:rFonts w:ascii="Abadi" w:hAnsi="Abadi"/>
          <w:b w:val="0"/>
          <w:bCs w:val="0"/>
          <w:sz w:val="21"/>
          <w:szCs w:val="21"/>
        </w:rPr>
      </w:pPr>
      <w:r w:rsidRPr="00CE023F">
        <w:rPr>
          <w:rFonts w:ascii="Abadi" w:hAnsi="Abadi"/>
          <w:b w:val="0"/>
          <w:bCs w:val="0"/>
          <w:sz w:val="21"/>
          <w:szCs w:val="21"/>
        </w:rPr>
        <w:t>En esta parte, se adjuntan los anexos técnicos derivados de la auditoría.</w:t>
      </w:r>
    </w:p>
    <w:p w14:paraId="74157DD9" w14:textId="77777777" w:rsidR="00CE023F" w:rsidRPr="00A570CB" w:rsidRDefault="00CE023F" w:rsidP="00CE023F">
      <w:pPr>
        <w:pStyle w:val="Textoindependiente"/>
        <w:ind w:firstLine="705"/>
        <w:rPr>
          <w:rFonts w:ascii="Abadi" w:hAnsi="Abadi"/>
          <w:sz w:val="21"/>
          <w:szCs w:val="21"/>
        </w:rPr>
      </w:pPr>
    </w:p>
    <w:p w14:paraId="7789F3CD" w14:textId="77777777" w:rsidR="00CE023F" w:rsidRPr="00A570CB" w:rsidRDefault="00CE023F" w:rsidP="00CE023F">
      <w:pPr>
        <w:ind w:firstLine="708"/>
        <w:jc w:val="both"/>
        <w:rPr>
          <w:rFonts w:ascii="Abadi" w:hAnsi="Abadi"/>
          <w:b/>
          <w:bCs/>
          <w:sz w:val="21"/>
          <w:szCs w:val="21"/>
        </w:rPr>
      </w:pPr>
      <w:r w:rsidRPr="00A570CB">
        <w:rPr>
          <w:rFonts w:ascii="Abadi" w:hAnsi="Abadi"/>
          <w:b/>
          <w:bCs/>
          <w:sz w:val="21"/>
          <w:szCs w:val="21"/>
        </w:rPr>
        <w:t>V. Conclusiones:</w:t>
      </w:r>
    </w:p>
    <w:p w14:paraId="025AF6FD" w14:textId="77777777" w:rsidR="00CE023F" w:rsidRPr="00A570CB" w:rsidRDefault="00CE023F" w:rsidP="00CE023F">
      <w:pPr>
        <w:jc w:val="both"/>
        <w:rPr>
          <w:rFonts w:ascii="Abadi" w:hAnsi="Abadi"/>
          <w:sz w:val="21"/>
          <w:szCs w:val="21"/>
        </w:rPr>
      </w:pPr>
    </w:p>
    <w:p w14:paraId="76C1F098" w14:textId="77777777" w:rsidR="00CE023F" w:rsidRPr="00A570CB" w:rsidRDefault="00CE023F" w:rsidP="00CE023F">
      <w:pPr>
        <w:jc w:val="both"/>
        <w:rPr>
          <w:rFonts w:ascii="Abadi" w:hAnsi="Abadi"/>
          <w:sz w:val="21"/>
          <w:szCs w:val="21"/>
        </w:rPr>
      </w:pPr>
      <w:r w:rsidRPr="00A570CB">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937E944" w14:textId="77777777" w:rsidR="00CE023F" w:rsidRPr="00A570CB" w:rsidRDefault="00CE023F" w:rsidP="00CE023F">
      <w:pPr>
        <w:jc w:val="both"/>
        <w:rPr>
          <w:rFonts w:ascii="Abadi" w:hAnsi="Abadi"/>
          <w:sz w:val="21"/>
          <w:szCs w:val="21"/>
        </w:rPr>
      </w:pPr>
    </w:p>
    <w:p w14:paraId="40FC8B6D" w14:textId="77777777" w:rsidR="00CE023F" w:rsidRPr="00A570CB" w:rsidRDefault="00CE023F" w:rsidP="00CE023F">
      <w:pPr>
        <w:jc w:val="both"/>
        <w:rPr>
          <w:rFonts w:ascii="Abadi" w:hAnsi="Abadi"/>
          <w:sz w:val="21"/>
          <w:szCs w:val="21"/>
        </w:rPr>
      </w:pPr>
      <w:r w:rsidRPr="00A570CB">
        <w:rPr>
          <w:rFonts w:ascii="Abadi" w:hAnsi="Abadi"/>
          <w:sz w:val="21"/>
          <w:szCs w:val="21"/>
        </w:rPr>
        <w:tab/>
        <w:t xml:space="preserve">En este sentido, quienes integramos esta Comisión analizamos el informe de resultados materia del presente dictamen, </w:t>
      </w:r>
      <w:r w:rsidRPr="00A570CB">
        <w:rPr>
          <w:rFonts w:ascii="Abadi" w:hAnsi="Abadi"/>
          <w:sz w:val="21"/>
          <w:szCs w:val="21"/>
        </w:rPr>
        <w:lastRenderedPageBreak/>
        <w:t>considerando la hipótesis referida en el precepto anteriormente señalado.</w:t>
      </w:r>
    </w:p>
    <w:p w14:paraId="337DB781" w14:textId="77777777" w:rsidR="00CE023F" w:rsidRPr="00A570CB" w:rsidRDefault="00CE023F" w:rsidP="00CE023F">
      <w:pPr>
        <w:jc w:val="both"/>
        <w:rPr>
          <w:rFonts w:ascii="Abadi" w:hAnsi="Abadi"/>
          <w:sz w:val="21"/>
          <w:szCs w:val="21"/>
        </w:rPr>
      </w:pPr>
    </w:p>
    <w:p w14:paraId="78F5A0B5"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al ex presidente municipales, así como a la ex presidenta municipal interina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concediéndoles el plazo que establece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02233F96" w14:textId="77777777" w:rsidR="00CE023F" w:rsidRPr="00A570CB" w:rsidRDefault="00CE023F" w:rsidP="00CE023F">
      <w:pPr>
        <w:jc w:val="both"/>
        <w:rPr>
          <w:rFonts w:ascii="Abadi" w:hAnsi="Abadi"/>
          <w:sz w:val="21"/>
          <w:szCs w:val="21"/>
        </w:rPr>
      </w:pPr>
    </w:p>
    <w:p w14:paraId="1D4B0C7A"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De igual manera, existe en el informe de resultados la constancia de que este se notificó al presidente y al ex presidente municipales, así como a la ex presidenta municipal interina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En tal virtud, se considera que fue respetado el derecho de audiencia o defensa por parte del Órgano Técnico.</w:t>
      </w:r>
    </w:p>
    <w:p w14:paraId="632A5387" w14:textId="77777777" w:rsidR="00CE023F" w:rsidRPr="00A570CB" w:rsidRDefault="00CE023F" w:rsidP="00CE023F">
      <w:pPr>
        <w:ind w:firstLine="708"/>
        <w:jc w:val="both"/>
        <w:rPr>
          <w:rFonts w:ascii="Abadi" w:hAnsi="Abadi"/>
          <w:sz w:val="21"/>
          <w:szCs w:val="21"/>
        </w:rPr>
      </w:pPr>
    </w:p>
    <w:p w14:paraId="69D33D27"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w:t>
      </w:r>
      <w:r w:rsidRPr="00A570CB">
        <w:rPr>
          <w:rFonts w:ascii="Abadi" w:hAnsi="Abadi"/>
          <w:sz w:val="21"/>
          <w:szCs w:val="21"/>
        </w:rPr>
        <w:t>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7DDFC93" w14:textId="77777777" w:rsidR="00CE023F" w:rsidRPr="00A570CB" w:rsidRDefault="00CE023F" w:rsidP="00CE023F">
      <w:pPr>
        <w:ind w:firstLine="708"/>
        <w:jc w:val="both"/>
        <w:rPr>
          <w:rFonts w:ascii="Abadi" w:hAnsi="Abadi"/>
          <w:sz w:val="21"/>
          <w:szCs w:val="21"/>
        </w:rPr>
      </w:pPr>
    </w:p>
    <w:p w14:paraId="4A2F7376"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96D4A77" w14:textId="77777777" w:rsidR="00CE023F" w:rsidRPr="00A570CB" w:rsidRDefault="00CE023F" w:rsidP="00CE023F">
      <w:pPr>
        <w:ind w:firstLine="708"/>
        <w:jc w:val="both"/>
        <w:rPr>
          <w:rFonts w:ascii="Abadi" w:hAnsi="Abadi"/>
          <w:sz w:val="21"/>
          <w:szCs w:val="21"/>
        </w:rPr>
      </w:pPr>
    </w:p>
    <w:p w14:paraId="10CE6D7B"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4276020" w14:textId="77777777" w:rsidR="00CE023F" w:rsidRPr="00A570CB" w:rsidRDefault="00CE023F" w:rsidP="00CE023F">
      <w:pPr>
        <w:ind w:firstLine="708"/>
        <w:jc w:val="both"/>
        <w:rPr>
          <w:rFonts w:ascii="Abadi" w:hAnsi="Abadi"/>
          <w:sz w:val="21"/>
          <w:szCs w:val="21"/>
        </w:rPr>
      </w:pPr>
    </w:p>
    <w:p w14:paraId="759F6D1C"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029C1F0" w14:textId="77777777" w:rsidR="00CE023F" w:rsidRPr="00A570CB" w:rsidRDefault="00CE023F" w:rsidP="00CE023F">
      <w:pPr>
        <w:ind w:firstLine="708"/>
        <w:jc w:val="both"/>
        <w:rPr>
          <w:rFonts w:ascii="Abadi" w:hAnsi="Abadi"/>
          <w:sz w:val="21"/>
          <w:szCs w:val="21"/>
        </w:rPr>
      </w:pPr>
    </w:p>
    <w:p w14:paraId="5D01C3EA"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lastRenderedPageBreak/>
        <w:t xml:space="preserve">En razón de lo anteriormente señalado, concluimos que el informe de resultados de la auditoría practicada a la infraestructura pública municipal respecto de las operaciones realizadas por la administración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A570CB">
          <w:rPr>
            <w:rFonts w:ascii="Abadi" w:hAnsi="Abadi"/>
            <w:sz w:val="21"/>
            <w:szCs w:val="21"/>
          </w:rPr>
          <w:t>la Ley</w:t>
        </w:r>
      </w:smartTag>
      <w:r w:rsidRPr="00A570CB">
        <w:rPr>
          <w:rFonts w:ascii="Abadi" w:hAnsi="Abadi"/>
          <w:sz w:val="21"/>
          <w:szCs w:val="21"/>
        </w:rPr>
        <w:t xml:space="preserve"> de Fiscalización Superior del Estado de Guanajuato, razón por la cual no podría ser observado por el Pleno del Congreso.</w:t>
      </w:r>
    </w:p>
    <w:p w14:paraId="27C5DCE6" w14:textId="77777777" w:rsidR="00CE023F" w:rsidRPr="00A570CB" w:rsidRDefault="00CE023F" w:rsidP="00CE023F">
      <w:pPr>
        <w:ind w:firstLine="708"/>
        <w:jc w:val="both"/>
        <w:rPr>
          <w:rFonts w:ascii="Abadi" w:hAnsi="Abadi"/>
          <w:sz w:val="21"/>
          <w:szCs w:val="21"/>
        </w:rPr>
      </w:pPr>
    </w:p>
    <w:p w14:paraId="6CB83333" w14:textId="77777777" w:rsidR="00CE023F" w:rsidRPr="00A570CB" w:rsidRDefault="00CE023F" w:rsidP="00CE023F">
      <w:pPr>
        <w:ind w:firstLine="708"/>
        <w:jc w:val="both"/>
        <w:rPr>
          <w:rFonts w:ascii="Abadi" w:hAnsi="Abadi"/>
          <w:sz w:val="21"/>
          <w:szCs w:val="21"/>
        </w:rPr>
      </w:pPr>
      <w:r w:rsidRPr="00A570CB">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A570CB">
          <w:rPr>
            <w:rFonts w:ascii="Abadi" w:hAnsi="Abadi"/>
            <w:sz w:val="21"/>
            <w:szCs w:val="21"/>
          </w:rPr>
          <w:t>la Ley Orgánica</w:t>
        </w:r>
      </w:smartTag>
      <w:r w:rsidRPr="00A570CB">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A570CB">
          <w:rPr>
            <w:rFonts w:ascii="Abadi" w:hAnsi="Abadi"/>
            <w:sz w:val="21"/>
            <w:szCs w:val="21"/>
          </w:rPr>
          <w:t>la Asamblea</w:t>
        </w:r>
      </w:smartTag>
      <w:r w:rsidRPr="00A570CB">
        <w:rPr>
          <w:rFonts w:ascii="Abadi" w:hAnsi="Abadi"/>
          <w:sz w:val="21"/>
          <w:szCs w:val="21"/>
        </w:rPr>
        <w:t>, la aprobación del siguiente:</w:t>
      </w:r>
    </w:p>
    <w:p w14:paraId="71912EF3" w14:textId="77777777" w:rsidR="00CE023F" w:rsidRPr="00A570CB" w:rsidRDefault="00CE023F" w:rsidP="00CE023F">
      <w:pPr>
        <w:pStyle w:val="Ttulo1"/>
        <w:jc w:val="center"/>
        <w:rPr>
          <w:rFonts w:ascii="Abadi" w:hAnsi="Abadi" w:cs="Arial"/>
          <w:smallCaps/>
          <w:sz w:val="21"/>
          <w:szCs w:val="21"/>
        </w:rPr>
      </w:pPr>
    </w:p>
    <w:p w14:paraId="69C31131" w14:textId="77777777" w:rsidR="00CE023F" w:rsidRPr="00A570CB" w:rsidRDefault="00CE023F" w:rsidP="00CE023F">
      <w:pPr>
        <w:pStyle w:val="Ttulo1"/>
        <w:jc w:val="center"/>
        <w:rPr>
          <w:rFonts w:ascii="Abadi" w:hAnsi="Abadi" w:cs="Arial"/>
          <w:smallCaps/>
          <w:sz w:val="21"/>
          <w:szCs w:val="21"/>
        </w:rPr>
      </w:pPr>
      <w:r w:rsidRPr="00A570CB">
        <w:rPr>
          <w:rFonts w:ascii="Abadi" w:hAnsi="Abadi" w:cs="Arial"/>
          <w:smallCaps/>
          <w:sz w:val="21"/>
          <w:szCs w:val="21"/>
        </w:rPr>
        <w:t>A C U E R D O</w:t>
      </w:r>
    </w:p>
    <w:p w14:paraId="7B777ACF" w14:textId="77777777" w:rsidR="00CE023F" w:rsidRPr="00A570CB" w:rsidRDefault="00CE023F" w:rsidP="00CE023F">
      <w:pPr>
        <w:rPr>
          <w:rFonts w:ascii="Abadi" w:hAnsi="Abadi"/>
          <w:sz w:val="21"/>
          <w:szCs w:val="21"/>
        </w:rPr>
      </w:pPr>
    </w:p>
    <w:p w14:paraId="31AF5AA0" w14:textId="77777777" w:rsidR="00CE023F" w:rsidRPr="00A570CB" w:rsidRDefault="00CE023F" w:rsidP="00CE023F">
      <w:pPr>
        <w:ind w:firstLine="708"/>
        <w:jc w:val="both"/>
        <w:rPr>
          <w:rFonts w:ascii="Abadi" w:hAnsi="Abadi"/>
          <w:sz w:val="21"/>
          <w:szCs w:val="21"/>
        </w:rPr>
      </w:pPr>
      <w:r w:rsidRPr="00A570CB">
        <w:rPr>
          <w:rFonts w:ascii="Abadi" w:hAnsi="Abadi"/>
          <w:b/>
          <w:sz w:val="21"/>
          <w:szCs w:val="21"/>
        </w:rPr>
        <w:t>Único.</w:t>
      </w:r>
      <w:r w:rsidRPr="00A570CB">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A570CB">
          <w:rPr>
            <w:rFonts w:ascii="Abadi" w:hAnsi="Abadi"/>
            <w:sz w:val="21"/>
            <w:szCs w:val="21"/>
          </w:rPr>
          <w:t>la Constitución Política</w:t>
        </w:r>
      </w:smartTag>
      <w:r w:rsidRPr="00A570CB">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Dolores Hidalgo Cuna de la Independencia Nacional, </w:t>
      </w:r>
      <w:proofErr w:type="spellStart"/>
      <w:r w:rsidRPr="00A570CB">
        <w:rPr>
          <w:rFonts w:ascii="Abadi" w:hAnsi="Abadi"/>
          <w:sz w:val="21"/>
          <w:szCs w:val="21"/>
        </w:rPr>
        <w:t>Gto</w:t>
      </w:r>
      <w:proofErr w:type="spellEnd"/>
      <w:r w:rsidRPr="00A570CB">
        <w:rPr>
          <w:rFonts w:ascii="Abadi" w:hAnsi="Abadi"/>
          <w:sz w:val="21"/>
          <w:szCs w:val="21"/>
        </w:rPr>
        <w:t>., correspondientes al periodo comprendido del 1 de enero al 31 de diciembre del ejercicio fiscal del año 2021.</w:t>
      </w:r>
    </w:p>
    <w:p w14:paraId="2F3476AE" w14:textId="77777777" w:rsidR="00CE023F" w:rsidRPr="00A570CB" w:rsidRDefault="00CE023F" w:rsidP="00CE023F">
      <w:pPr>
        <w:ind w:firstLine="708"/>
        <w:jc w:val="both"/>
        <w:rPr>
          <w:rFonts w:ascii="Abadi" w:hAnsi="Abadi"/>
          <w:sz w:val="21"/>
          <w:szCs w:val="21"/>
        </w:rPr>
      </w:pPr>
    </w:p>
    <w:p w14:paraId="0AB9C0CA" w14:textId="77777777" w:rsidR="00CE023F" w:rsidRPr="00A570CB" w:rsidRDefault="00CE023F" w:rsidP="00CE023F">
      <w:pPr>
        <w:pStyle w:val="Sangra3detindependiente"/>
        <w:spacing w:line="240" w:lineRule="auto"/>
        <w:rPr>
          <w:rFonts w:ascii="Abadi" w:hAnsi="Abadi"/>
          <w:sz w:val="21"/>
          <w:szCs w:val="21"/>
          <w:lang w:val="es-MX"/>
        </w:rPr>
      </w:pPr>
      <w:r w:rsidRPr="00A570CB">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A570CB">
        <w:rPr>
          <w:rFonts w:ascii="Abadi" w:hAnsi="Abadi"/>
          <w:sz w:val="21"/>
          <w:szCs w:val="21"/>
          <w:lang w:val="es-MX"/>
        </w:rPr>
        <w:t>.</w:t>
      </w:r>
      <w:r w:rsidRPr="00A570CB">
        <w:rPr>
          <w:rFonts w:ascii="Abadi" w:hAnsi="Abadi"/>
          <w:sz w:val="21"/>
          <w:szCs w:val="21"/>
        </w:rPr>
        <w:t xml:space="preserve"> </w:t>
      </w:r>
      <w:r w:rsidRPr="00A570CB">
        <w:rPr>
          <w:rFonts w:ascii="Abadi" w:hAnsi="Abadi"/>
          <w:sz w:val="21"/>
          <w:szCs w:val="21"/>
          <w:lang w:val="es-MX"/>
        </w:rPr>
        <w:t>Asimismo, dará</w:t>
      </w:r>
      <w:r w:rsidRPr="00A570CB">
        <w:rPr>
          <w:rFonts w:ascii="Abadi" w:hAnsi="Abadi"/>
          <w:sz w:val="21"/>
          <w:szCs w:val="21"/>
        </w:rPr>
        <w:t xml:space="preserve"> seguimiento a las observaciones no </w:t>
      </w:r>
      <w:r w:rsidRPr="00A570CB">
        <w:rPr>
          <w:rFonts w:ascii="Abadi" w:hAnsi="Abadi"/>
          <w:sz w:val="21"/>
          <w:szCs w:val="21"/>
        </w:rPr>
        <w:t>solventadas contenidas en el informe de resultados</w:t>
      </w:r>
      <w:r w:rsidRPr="00A570CB">
        <w:rPr>
          <w:rFonts w:ascii="Abadi" w:hAnsi="Abadi"/>
          <w:sz w:val="21"/>
          <w:szCs w:val="21"/>
          <w:lang w:val="es-MX"/>
        </w:rPr>
        <w:t>.</w:t>
      </w:r>
    </w:p>
    <w:p w14:paraId="1325B51D" w14:textId="77777777" w:rsidR="00CE023F" w:rsidRPr="00A570CB" w:rsidRDefault="00CE023F" w:rsidP="00CE023F">
      <w:pPr>
        <w:pStyle w:val="Sangra3detindependiente"/>
        <w:spacing w:line="240" w:lineRule="auto"/>
        <w:rPr>
          <w:rFonts w:ascii="Abadi" w:hAnsi="Abadi"/>
          <w:sz w:val="21"/>
          <w:szCs w:val="21"/>
        </w:rPr>
      </w:pPr>
      <w:r w:rsidRPr="00A570CB">
        <w:rPr>
          <w:rFonts w:ascii="Abadi" w:hAnsi="Abadi"/>
          <w:sz w:val="21"/>
          <w:szCs w:val="21"/>
        </w:rPr>
        <w:t>Del proceso de fiscalización no se desprendieron recomendaciones.</w:t>
      </w:r>
    </w:p>
    <w:p w14:paraId="28A1E810" w14:textId="77777777" w:rsidR="00CE023F" w:rsidRPr="00A570CB" w:rsidRDefault="00CE023F" w:rsidP="00CE023F">
      <w:pPr>
        <w:pStyle w:val="Sangra3detindependiente"/>
        <w:spacing w:line="240" w:lineRule="auto"/>
        <w:rPr>
          <w:rFonts w:ascii="Abadi" w:hAnsi="Abadi"/>
          <w:sz w:val="21"/>
          <w:szCs w:val="21"/>
        </w:rPr>
      </w:pPr>
    </w:p>
    <w:p w14:paraId="66506F13" w14:textId="77777777" w:rsidR="00CE023F" w:rsidRPr="00A570CB" w:rsidRDefault="00CE023F" w:rsidP="00CE023F">
      <w:pPr>
        <w:pStyle w:val="Sangra3detindependiente"/>
        <w:spacing w:line="240" w:lineRule="auto"/>
        <w:rPr>
          <w:rFonts w:ascii="Abadi" w:hAnsi="Abadi"/>
          <w:sz w:val="21"/>
          <w:szCs w:val="21"/>
          <w:lang w:val="es-MX"/>
        </w:rPr>
      </w:pPr>
      <w:r w:rsidRPr="00A570CB">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A570CB">
        <w:rPr>
          <w:rFonts w:ascii="Abadi" w:hAnsi="Abadi"/>
          <w:sz w:val="21"/>
          <w:szCs w:val="21"/>
          <w:lang w:val="es-MX"/>
        </w:rPr>
        <w:t>.</w:t>
      </w:r>
    </w:p>
    <w:p w14:paraId="36C20DC2" w14:textId="77777777" w:rsidR="00CE023F" w:rsidRPr="00A570CB" w:rsidRDefault="00CE023F" w:rsidP="00CE023F">
      <w:pPr>
        <w:pStyle w:val="Sangra3detindependiente"/>
        <w:spacing w:line="240" w:lineRule="auto"/>
        <w:rPr>
          <w:rFonts w:ascii="Abadi" w:hAnsi="Abadi"/>
          <w:sz w:val="21"/>
          <w:szCs w:val="21"/>
          <w:lang w:val="es-MX"/>
        </w:rPr>
      </w:pPr>
    </w:p>
    <w:p w14:paraId="4D96ADDB" w14:textId="77777777" w:rsidR="00CE023F" w:rsidRPr="00A570CB" w:rsidRDefault="00CE023F" w:rsidP="00CE023F">
      <w:pPr>
        <w:jc w:val="center"/>
        <w:rPr>
          <w:rFonts w:ascii="Abadi" w:hAnsi="Abadi"/>
          <w:b/>
          <w:bCs/>
          <w:sz w:val="21"/>
          <w:szCs w:val="21"/>
          <w:lang w:eastAsia="x-none"/>
        </w:rPr>
      </w:pPr>
      <w:r w:rsidRPr="00A570CB">
        <w:rPr>
          <w:rFonts w:ascii="Abadi" w:hAnsi="Abadi"/>
          <w:b/>
          <w:bCs/>
          <w:sz w:val="21"/>
          <w:szCs w:val="21"/>
          <w:lang w:eastAsia="x-none"/>
        </w:rPr>
        <w:t xml:space="preserve">Guanajuato, </w:t>
      </w:r>
      <w:proofErr w:type="spellStart"/>
      <w:r w:rsidRPr="00A570CB">
        <w:rPr>
          <w:rFonts w:ascii="Abadi" w:hAnsi="Abadi"/>
          <w:b/>
          <w:bCs/>
          <w:sz w:val="21"/>
          <w:szCs w:val="21"/>
          <w:lang w:eastAsia="x-none"/>
        </w:rPr>
        <w:t>Gto</w:t>
      </w:r>
      <w:proofErr w:type="spellEnd"/>
      <w:r w:rsidRPr="00A570CB">
        <w:rPr>
          <w:rFonts w:ascii="Abadi" w:hAnsi="Abadi"/>
          <w:b/>
          <w:bCs/>
          <w:sz w:val="21"/>
          <w:szCs w:val="21"/>
          <w:lang w:eastAsia="x-none"/>
        </w:rPr>
        <w:t>., 13 de junio de 2023</w:t>
      </w:r>
    </w:p>
    <w:p w14:paraId="2898975B" w14:textId="77777777" w:rsidR="00CE023F" w:rsidRPr="00A570CB" w:rsidRDefault="00CE023F" w:rsidP="00CE023F">
      <w:pPr>
        <w:jc w:val="center"/>
        <w:rPr>
          <w:rFonts w:ascii="Abadi" w:hAnsi="Abadi"/>
          <w:b/>
          <w:bCs/>
          <w:sz w:val="21"/>
          <w:szCs w:val="21"/>
          <w:lang w:eastAsia="x-none"/>
        </w:rPr>
      </w:pPr>
      <w:smartTag w:uri="urn:schemas-microsoft-com:office:smarttags" w:element="PersonName">
        <w:smartTagPr>
          <w:attr w:name="ProductID" w:val="La Comisi￳n"/>
        </w:smartTagPr>
        <w:r w:rsidRPr="00A570CB">
          <w:rPr>
            <w:rFonts w:ascii="Abadi" w:hAnsi="Abadi"/>
            <w:b/>
            <w:bCs/>
            <w:sz w:val="21"/>
            <w:szCs w:val="21"/>
            <w:lang w:eastAsia="x-none"/>
          </w:rPr>
          <w:t>La Comisión</w:t>
        </w:r>
      </w:smartTag>
      <w:r w:rsidRPr="00A570CB">
        <w:rPr>
          <w:rFonts w:ascii="Abadi" w:hAnsi="Abadi"/>
          <w:b/>
          <w:bCs/>
          <w:sz w:val="21"/>
          <w:szCs w:val="21"/>
          <w:lang w:eastAsia="x-none"/>
        </w:rPr>
        <w:t xml:space="preserve"> de Hacienda y Fiscalización</w:t>
      </w:r>
    </w:p>
    <w:p w14:paraId="00F34E03" w14:textId="77777777" w:rsidR="00CE023F" w:rsidRPr="00A570CB" w:rsidRDefault="00CE023F" w:rsidP="00CE023F">
      <w:pPr>
        <w:jc w:val="center"/>
        <w:rPr>
          <w:rFonts w:ascii="Abadi" w:hAnsi="Abadi"/>
          <w:sz w:val="21"/>
          <w:szCs w:val="21"/>
        </w:rPr>
      </w:pPr>
    </w:p>
    <w:p w14:paraId="1104754D" w14:textId="77777777" w:rsidR="00CE023F" w:rsidRPr="00A570CB" w:rsidRDefault="00CE023F" w:rsidP="00CE023F">
      <w:pPr>
        <w:jc w:val="center"/>
        <w:rPr>
          <w:rFonts w:ascii="Abadi" w:hAnsi="Abadi"/>
          <w:sz w:val="21"/>
          <w:szCs w:val="21"/>
        </w:rPr>
      </w:pPr>
    </w:p>
    <w:p w14:paraId="7314C4E4" w14:textId="77777777" w:rsidR="00CE023F" w:rsidRPr="00A570CB" w:rsidRDefault="00CE023F" w:rsidP="00CE023F">
      <w:pPr>
        <w:rPr>
          <w:rFonts w:ascii="Abadi" w:hAnsi="Abadi"/>
          <w:sz w:val="21"/>
          <w:szCs w:val="21"/>
        </w:rPr>
      </w:pPr>
      <w:r w:rsidRPr="00A570CB">
        <w:rPr>
          <w:rFonts w:ascii="Abadi" w:hAnsi="Abadi"/>
          <w:b/>
          <w:sz w:val="21"/>
          <w:szCs w:val="21"/>
          <w:lang w:eastAsia="x-none"/>
        </w:rPr>
        <w:t>Diputado Víctor Manuel Zanella Huerta</w:t>
      </w:r>
    </w:p>
    <w:p w14:paraId="6204AB82" w14:textId="77777777" w:rsidR="00CE023F" w:rsidRPr="00A570CB" w:rsidRDefault="00CE023F" w:rsidP="00CE023F">
      <w:pPr>
        <w:rPr>
          <w:rFonts w:ascii="Abadi" w:hAnsi="Abadi"/>
          <w:b/>
          <w:sz w:val="21"/>
          <w:szCs w:val="21"/>
          <w:lang w:eastAsia="x-none"/>
        </w:rPr>
      </w:pPr>
      <w:r w:rsidRPr="00A570CB">
        <w:rPr>
          <w:rFonts w:ascii="Abadi" w:hAnsi="Abadi"/>
          <w:b/>
          <w:sz w:val="21"/>
          <w:szCs w:val="21"/>
          <w:lang w:eastAsia="x-none"/>
        </w:rPr>
        <w:t xml:space="preserve">Diputada Ruth Noemí Tiscareño Agoitia      </w:t>
      </w:r>
    </w:p>
    <w:p w14:paraId="223C78CA" w14:textId="08600FE9" w:rsidR="00CE023F" w:rsidRPr="00A570CB" w:rsidRDefault="00CE023F" w:rsidP="00CE023F">
      <w:pPr>
        <w:rPr>
          <w:rFonts w:ascii="Abadi" w:hAnsi="Abadi"/>
          <w:b/>
          <w:sz w:val="21"/>
          <w:szCs w:val="21"/>
          <w:lang w:eastAsia="x-none"/>
        </w:rPr>
      </w:pPr>
      <w:r w:rsidRPr="00A570CB">
        <w:rPr>
          <w:rFonts w:ascii="Abadi" w:hAnsi="Abadi"/>
          <w:b/>
          <w:sz w:val="21"/>
          <w:szCs w:val="21"/>
          <w:lang w:eastAsia="x-none"/>
        </w:rPr>
        <w:t xml:space="preserve">Diputado Miguel Ángel Salim </w:t>
      </w:r>
      <w:proofErr w:type="spellStart"/>
      <w:r w:rsidRPr="00A570CB">
        <w:rPr>
          <w:rFonts w:ascii="Abadi" w:hAnsi="Abadi"/>
          <w:b/>
          <w:sz w:val="21"/>
          <w:szCs w:val="21"/>
          <w:lang w:eastAsia="x-none"/>
        </w:rPr>
        <w:t>Alle</w:t>
      </w:r>
      <w:proofErr w:type="spellEnd"/>
    </w:p>
    <w:p w14:paraId="68CE980A" w14:textId="77777777" w:rsidR="00CE023F" w:rsidRPr="00A570CB" w:rsidRDefault="00CE023F" w:rsidP="00CE023F">
      <w:pPr>
        <w:rPr>
          <w:rFonts w:ascii="Abadi" w:hAnsi="Abadi"/>
          <w:b/>
          <w:sz w:val="21"/>
          <w:szCs w:val="21"/>
          <w:lang w:eastAsia="x-none"/>
        </w:rPr>
      </w:pPr>
      <w:r w:rsidRPr="00A570CB">
        <w:rPr>
          <w:rFonts w:ascii="Abadi" w:hAnsi="Abadi"/>
          <w:b/>
          <w:sz w:val="21"/>
          <w:szCs w:val="21"/>
          <w:lang w:eastAsia="x-none"/>
        </w:rPr>
        <w:t xml:space="preserve">Diputado José Alfonso Borja Pimentel    </w:t>
      </w:r>
    </w:p>
    <w:p w14:paraId="4AA0C38E" w14:textId="77777777" w:rsidR="00CE023F" w:rsidRPr="00A570CB" w:rsidRDefault="00CE023F" w:rsidP="00CE023F">
      <w:pPr>
        <w:rPr>
          <w:rFonts w:ascii="Abadi" w:hAnsi="Abadi"/>
          <w:b/>
          <w:sz w:val="21"/>
          <w:szCs w:val="21"/>
          <w:lang w:eastAsia="x-none"/>
        </w:rPr>
      </w:pPr>
      <w:r w:rsidRPr="00A570CB">
        <w:rPr>
          <w:rFonts w:ascii="Abadi" w:hAnsi="Abadi"/>
          <w:b/>
          <w:sz w:val="21"/>
          <w:szCs w:val="21"/>
          <w:lang w:eastAsia="x-none"/>
        </w:rPr>
        <w:t>Diputada Alma Edwviges Alcaraz Hernández</w:t>
      </w:r>
    </w:p>
    <w:p w14:paraId="58B763DC" w14:textId="77777777" w:rsidR="00374533" w:rsidRPr="00006796" w:rsidRDefault="00374533" w:rsidP="00374533">
      <w:pPr>
        <w:jc w:val="both"/>
        <w:rPr>
          <w:rFonts w:ascii="Abadi" w:hAnsi="Abadi" w:cs="Arial-ItalicMT"/>
          <w:b/>
          <w:bCs/>
          <w:i/>
          <w:iCs/>
          <w:sz w:val="21"/>
          <w:szCs w:val="21"/>
        </w:rPr>
      </w:pPr>
    </w:p>
    <w:p w14:paraId="0E7ECD8F" w14:textId="77777777" w:rsidR="00374533" w:rsidRPr="00A23DA0" w:rsidRDefault="00374533" w:rsidP="00427BD6">
      <w:pPr>
        <w:pStyle w:val="Prrafodelista"/>
        <w:numPr>
          <w:ilvl w:val="0"/>
          <w:numId w:val="8"/>
        </w:numPr>
        <w:autoSpaceDE w:val="0"/>
        <w:autoSpaceDN w:val="0"/>
        <w:adjustRightInd w:val="0"/>
        <w:contextualSpacing/>
        <w:jc w:val="both"/>
        <w:rPr>
          <w:rFonts w:ascii="Abadi" w:hAnsi="Abadi" w:cs="ArialMT"/>
          <w:b/>
          <w:bCs/>
          <w:sz w:val="21"/>
          <w:szCs w:val="21"/>
        </w:rPr>
      </w:pPr>
      <w:r w:rsidRPr="00A23DA0">
        <w:rPr>
          <w:rFonts w:ascii="Abadi" w:hAnsi="Abadi" w:cs="ArialMT"/>
          <w:b/>
          <w:bCs/>
          <w:sz w:val="21"/>
          <w:szCs w:val="21"/>
        </w:rPr>
        <w:t>DISCUSIÓN Y, EN SU CASO, APROBACIÓN DEL DICTAMEN SIGNADO POR LA COMISIÓN DE HACIENDA Y FISCALIZACIÓN RELATIVO AL INFORME DE RESULTADOS DE LA AUDITORÍA PRACTICADA POR LA AUDITORÍA SUPERIOR DEL ESTADO DE GUANAJUATO, A LA INFRAESTRUCTURA PÚBLICA MUNICIPAL RESPECTO DE LAS OPERACIONES REALIZADAS POR LA ADMINISTRACIÓN PÚBLICA MUNICIPAL DE SAN MIGUEL DE ALLENDE, GTO., CORRESPONDIENTES AL PERIODO COMPRENDIDO DEL 1 DE ENERO AL 31 DE DICIEMBRE</w:t>
      </w:r>
    </w:p>
    <w:p w14:paraId="31A0AA3C" w14:textId="10D17478" w:rsidR="00374533" w:rsidRDefault="00374533" w:rsidP="00374533">
      <w:pPr>
        <w:pStyle w:val="Prrafodelista"/>
        <w:autoSpaceDE w:val="0"/>
        <w:autoSpaceDN w:val="0"/>
        <w:adjustRightInd w:val="0"/>
        <w:ind w:left="720"/>
        <w:jc w:val="both"/>
        <w:rPr>
          <w:rFonts w:ascii="Abadi" w:hAnsi="Abadi" w:cs="Arial-ItalicMT"/>
          <w:b/>
          <w:bCs/>
          <w:i/>
          <w:iCs/>
          <w:sz w:val="21"/>
          <w:szCs w:val="21"/>
        </w:rPr>
      </w:pPr>
      <w:r w:rsidRPr="00006796">
        <w:rPr>
          <w:rFonts w:ascii="Abadi" w:hAnsi="Abadi" w:cs="ArialMT"/>
          <w:b/>
          <w:bCs/>
          <w:sz w:val="21"/>
          <w:szCs w:val="21"/>
        </w:rPr>
        <w:t xml:space="preserve">DEL EJERCICIO FISCAL DEL AÑO 2021. </w:t>
      </w:r>
      <w:r w:rsidRPr="00006796">
        <w:rPr>
          <w:rFonts w:ascii="Abadi" w:hAnsi="Abadi" w:cs="Arial-ItalicMT"/>
          <w:b/>
          <w:bCs/>
          <w:i/>
          <w:iCs/>
          <w:sz w:val="21"/>
          <w:szCs w:val="21"/>
        </w:rPr>
        <w:t>(ELD 314/LXV-IRASEG)</w:t>
      </w:r>
      <w:r w:rsidR="005127C5">
        <w:rPr>
          <w:rStyle w:val="Refdenotaalpie"/>
          <w:rFonts w:ascii="Abadi" w:hAnsi="Abadi" w:cs="Arial-ItalicMT"/>
          <w:b/>
          <w:bCs/>
          <w:i/>
          <w:iCs/>
          <w:sz w:val="21"/>
          <w:szCs w:val="21"/>
        </w:rPr>
        <w:footnoteReference w:id="221"/>
      </w:r>
    </w:p>
    <w:p w14:paraId="39933316" w14:textId="77777777" w:rsidR="00C3786A" w:rsidRDefault="00C3786A" w:rsidP="00374533">
      <w:pPr>
        <w:pStyle w:val="Prrafodelista"/>
        <w:autoSpaceDE w:val="0"/>
        <w:autoSpaceDN w:val="0"/>
        <w:adjustRightInd w:val="0"/>
        <w:ind w:left="720"/>
        <w:jc w:val="both"/>
        <w:rPr>
          <w:rFonts w:ascii="Abadi" w:hAnsi="Abadi" w:cs="Arial-ItalicMT"/>
          <w:b/>
          <w:bCs/>
          <w:i/>
          <w:iCs/>
          <w:sz w:val="21"/>
          <w:szCs w:val="21"/>
        </w:rPr>
      </w:pPr>
    </w:p>
    <w:p w14:paraId="075392C7" w14:textId="77777777" w:rsidR="00AE36C3" w:rsidRPr="001B74AA" w:rsidRDefault="00AE36C3" w:rsidP="00AE36C3">
      <w:pPr>
        <w:pStyle w:val="Textoindependiente3"/>
        <w:rPr>
          <w:rFonts w:ascii="Abadi" w:hAnsi="Abadi" w:cs="Arial"/>
          <w:smallCaps/>
          <w:sz w:val="21"/>
          <w:szCs w:val="21"/>
        </w:rPr>
      </w:pPr>
      <w:r w:rsidRPr="001B74AA">
        <w:rPr>
          <w:rFonts w:ascii="Abadi" w:hAnsi="Abadi" w:cs="Arial"/>
          <w:smallCaps/>
          <w:sz w:val="21"/>
          <w:szCs w:val="21"/>
        </w:rPr>
        <w:t>C. Presidenta del Congreso del Estado</w:t>
      </w:r>
    </w:p>
    <w:p w14:paraId="2C3296E3" w14:textId="77777777" w:rsidR="00AE36C3" w:rsidRPr="001B74AA" w:rsidRDefault="00AE36C3" w:rsidP="00AE36C3">
      <w:pPr>
        <w:jc w:val="both"/>
        <w:rPr>
          <w:rFonts w:ascii="Abadi" w:hAnsi="Abadi"/>
          <w:b/>
          <w:bCs/>
          <w:smallCaps/>
          <w:sz w:val="21"/>
          <w:szCs w:val="21"/>
        </w:rPr>
      </w:pPr>
      <w:r w:rsidRPr="001B74AA">
        <w:rPr>
          <w:rFonts w:ascii="Abadi" w:hAnsi="Abadi"/>
          <w:b/>
          <w:bCs/>
          <w:smallCaps/>
          <w:sz w:val="21"/>
          <w:szCs w:val="21"/>
        </w:rPr>
        <w:t>P r e s e n t e.</w:t>
      </w:r>
    </w:p>
    <w:p w14:paraId="2BD35DF4" w14:textId="77777777" w:rsidR="00AE36C3" w:rsidRPr="001B74AA" w:rsidRDefault="00AE36C3" w:rsidP="00AE36C3">
      <w:pPr>
        <w:pStyle w:val="Textoindependiente"/>
        <w:rPr>
          <w:rFonts w:ascii="Abadi" w:hAnsi="Abadi"/>
          <w:sz w:val="21"/>
          <w:szCs w:val="21"/>
        </w:rPr>
      </w:pPr>
    </w:p>
    <w:p w14:paraId="66C82B29" w14:textId="77777777" w:rsidR="00AE36C3" w:rsidRPr="001B74AA" w:rsidRDefault="00AE36C3" w:rsidP="00AE36C3">
      <w:pPr>
        <w:pStyle w:val="Sangra3detindependiente"/>
        <w:spacing w:line="240" w:lineRule="auto"/>
        <w:rPr>
          <w:rFonts w:ascii="Abadi" w:hAnsi="Abadi"/>
          <w:sz w:val="21"/>
          <w:szCs w:val="21"/>
        </w:rPr>
      </w:pPr>
      <w:r w:rsidRPr="001B74AA">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w:t>
      </w:r>
      <w:r w:rsidRPr="001B74AA">
        <w:rPr>
          <w:rFonts w:ascii="Abadi" w:hAnsi="Abadi"/>
          <w:sz w:val="21"/>
          <w:szCs w:val="21"/>
        </w:rPr>
        <w:lastRenderedPageBreak/>
        <w:t xml:space="preserve">pública municipal respecto de las operaciones realizadas por la administración pública municipal de San Miguel de Allende, </w:t>
      </w:r>
      <w:proofErr w:type="spellStart"/>
      <w:r w:rsidRPr="001B74AA">
        <w:rPr>
          <w:rFonts w:ascii="Abadi" w:hAnsi="Abadi"/>
          <w:sz w:val="21"/>
          <w:szCs w:val="21"/>
        </w:rPr>
        <w:t>Gto</w:t>
      </w:r>
      <w:proofErr w:type="spellEnd"/>
      <w:r w:rsidRPr="001B74AA">
        <w:rPr>
          <w:rFonts w:ascii="Abadi" w:hAnsi="Abadi"/>
          <w:sz w:val="21"/>
          <w:szCs w:val="21"/>
        </w:rPr>
        <w:t>., correspondientes al periodo comprendido del 1 de enero al 31 de diciembre del ejercicio fiscal del año 2021. (ELD 314/LXV-IRASEG)</w:t>
      </w:r>
    </w:p>
    <w:p w14:paraId="282CB5B6" w14:textId="77777777" w:rsidR="00AE36C3" w:rsidRPr="001B74AA" w:rsidRDefault="00AE36C3" w:rsidP="00AE36C3">
      <w:pPr>
        <w:pStyle w:val="Sangra3detindependiente"/>
        <w:spacing w:line="240" w:lineRule="auto"/>
        <w:rPr>
          <w:rFonts w:ascii="Abadi" w:hAnsi="Abadi"/>
          <w:sz w:val="21"/>
          <w:szCs w:val="21"/>
        </w:rPr>
      </w:pPr>
    </w:p>
    <w:p w14:paraId="5643DD95" w14:textId="77777777" w:rsidR="00AE36C3" w:rsidRPr="001B74AA" w:rsidRDefault="00AE36C3" w:rsidP="00AE36C3">
      <w:pPr>
        <w:pStyle w:val="Sangra3detindependiente"/>
        <w:spacing w:line="240" w:lineRule="auto"/>
        <w:rPr>
          <w:rFonts w:ascii="Abadi" w:hAnsi="Abadi"/>
          <w:sz w:val="21"/>
          <w:szCs w:val="21"/>
        </w:rPr>
      </w:pPr>
      <w:r w:rsidRPr="001B74AA">
        <w:rPr>
          <w:rFonts w:ascii="Abadi" w:hAnsi="Abadi"/>
          <w:sz w:val="21"/>
          <w:szCs w:val="21"/>
        </w:rPr>
        <w:t>Una vez analizado el referido informe de resultados, con fundamento en lo dispuesto por los artículos 112, fracción XII</w:t>
      </w:r>
      <w:r w:rsidRPr="001B74AA">
        <w:rPr>
          <w:rFonts w:ascii="Abadi" w:hAnsi="Abadi"/>
          <w:sz w:val="21"/>
          <w:szCs w:val="21"/>
          <w:lang w:val="es-MX"/>
        </w:rPr>
        <w:t>, primer párrafo</w:t>
      </w:r>
      <w:r w:rsidRPr="001B74AA">
        <w:rPr>
          <w:rFonts w:ascii="Abadi" w:hAnsi="Abadi"/>
          <w:sz w:val="21"/>
          <w:szCs w:val="21"/>
        </w:rPr>
        <w:t xml:space="preserve"> y 171 de </w:t>
      </w:r>
      <w:smartTag w:uri="urn:schemas-microsoft-com:office:smarttags" w:element="PersonName">
        <w:smartTagPr>
          <w:attr w:name="ProductID" w:val="la Ley Org￡nica"/>
        </w:smartTagPr>
        <w:r w:rsidRPr="001B74AA">
          <w:rPr>
            <w:rFonts w:ascii="Abadi" w:hAnsi="Abadi"/>
            <w:sz w:val="21"/>
            <w:szCs w:val="21"/>
          </w:rPr>
          <w:t>la Ley Orgánica</w:t>
        </w:r>
      </w:smartTag>
      <w:r w:rsidRPr="001B74AA">
        <w:rPr>
          <w:rFonts w:ascii="Abadi" w:hAnsi="Abadi"/>
          <w:sz w:val="21"/>
          <w:szCs w:val="21"/>
        </w:rPr>
        <w:t xml:space="preserve"> del Poder Legislativo, nos permitimos rendir el siguiente:</w:t>
      </w:r>
    </w:p>
    <w:p w14:paraId="04988E80" w14:textId="77777777" w:rsidR="00AE36C3" w:rsidRPr="001B74AA" w:rsidRDefault="00AE36C3" w:rsidP="00AE36C3">
      <w:pPr>
        <w:pStyle w:val="Textoindependiente"/>
        <w:ind w:firstLine="708"/>
        <w:rPr>
          <w:rFonts w:ascii="Abadi" w:hAnsi="Abadi"/>
          <w:sz w:val="21"/>
          <w:szCs w:val="21"/>
        </w:rPr>
      </w:pPr>
    </w:p>
    <w:p w14:paraId="6B9F7128" w14:textId="77777777" w:rsidR="00AE36C3" w:rsidRPr="001B74AA" w:rsidRDefault="00AE36C3" w:rsidP="00AE36C3">
      <w:pPr>
        <w:pStyle w:val="Ttulo1"/>
        <w:jc w:val="center"/>
        <w:rPr>
          <w:rFonts w:ascii="Abadi" w:hAnsi="Abadi" w:cs="Arial"/>
          <w:sz w:val="21"/>
          <w:szCs w:val="21"/>
        </w:rPr>
      </w:pPr>
      <w:r w:rsidRPr="001B74AA">
        <w:rPr>
          <w:rFonts w:ascii="Abadi" w:hAnsi="Abadi" w:cs="Arial"/>
          <w:sz w:val="21"/>
          <w:szCs w:val="21"/>
        </w:rPr>
        <w:t>D i c t a m e n</w:t>
      </w:r>
    </w:p>
    <w:p w14:paraId="5EC4EF42" w14:textId="77777777" w:rsidR="00AE36C3" w:rsidRPr="001B74AA" w:rsidRDefault="00AE36C3" w:rsidP="00AE36C3">
      <w:pPr>
        <w:jc w:val="both"/>
        <w:rPr>
          <w:rFonts w:ascii="Abadi" w:hAnsi="Abadi"/>
          <w:sz w:val="21"/>
          <w:szCs w:val="21"/>
        </w:rPr>
      </w:pPr>
    </w:p>
    <w:p w14:paraId="441BAE30" w14:textId="77777777" w:rsidR="00AE36C3" w:rsidRPr="005739AC" w:rsidRDefault="00AE36C3" w:rsidP="00AE36C3">
      <w:pPr>
        <w:pStyle w:val="Textoindependiente"/>
        <w:ind w:firstLine="708"/>
        <w:rPr>
          <w:rFonts w:ascii="Abadi" w:hAnsi="Abadi"/>
          <w:sz w:val="21"/>
          <w:szCs w:val="21"/>
        </w:rPr>
      </w:pPr>
      <w:r w:rsidRPr="005739AC">
        <w:rPr>
          <w:rFonts w:ascii="Abadi" w:hAnsi="Abadi"/>
          <w:sz w:val="21"/>
          <w:szCs w:val="21"/>
        </w:rPr>
        <w:t>I. Competencia:</w:t>
      </w:r>
    </w:p>
    <w:p w14:paraId="74F640E6" w14:textId="77777777" w:rsidR="00AE36C3" w:rsidRPr="001B74AA" w:rsidRDefault="00AE36C3" w:rsidP="00AE36C3">
      <w:pPr>
        <w:pStyle w:val="Textoindependiente"/>
        <w:ind w:firstLine="708"/>
        <w:rPr>
          <w:rFonts w:ascii="Abadi" w:hAnsi="Abadi"/>
          <w:b w:val="0"/>
          <w:bCs w:val="0"/>
          <w:sz w:val="21"/>
          <w:szCs w:val="21"/>
        </w:rPr>
      </w:pPr>
    </w:p>
    <w:p w14:paraId="2624B31D"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1B74AA">
          <w:rPr>
            <w:rFonts w:ascii="Abadi" w:hAnsi="Abadi"/>
            <w:sz w:val="21"/>
            <w:szCs w:val="21"/>
          </w:rPr>
          <w:t>la Constitución Política</w:t>
        </w:r>
      </w:smartTag>
      <w:r w:rsidRPr="001B74AA">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68F8273D" w14:textId="77777777" w:rsidR="00AE36C3" w:rsidRPr="001B74AA" w:rsidRDefault="00AE36C3" w:rsidP="00AE36C3">
      <w:pPr>
        <w:ind w:firstLine="708"/>
        <w:jc w:val="both"/>
        <w:rPr>
          <w:rFonts w:ascii="Abadi" w:hAnsi="Abadi"/>
          <w:sz w:val="21"/>
          <w:szCs w:val="21"/>
        </w:rPr>
      </w:pPr>
    </w:p>
    <w:p w14:paraId="130648D9"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El artículo 49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3255FB5" w14:textId="77777777" w:rsidR="00AE36C3" w:rsidRPr="001B74AA" w:rsidRDefault="00AE36C3" w:rsidP="00AE36C3">
      <w:pPr>
        <w:ind w:firstLine="708"/>
        <w:jc w:val="both"/>
        <w:rPr>
          <w:rFonts w:ascii="Abadi" w:hAnsi="Abadi"/>
          <w:sz w:val="21"/>
          <w:szCs w:val="21"/>
        </w:rPr>
      </w:pPr>
    </w:p>
    <w:p w14:paraId="4A052EED" w14:textId="77777777" w:rsidR="00AE36C3" w:rsidRPr="001B74AA" w:rsidRDefault="00AE36C3" w:rsidP="00AE36C3">
      <w:pPr>
        <w:ind w:firstLine="708"/>
        <w:jc w:val="both"/>
        <w:rPr>
          <w:rFonts w:ascii="Abadi" w:hAnsi="Abadi"/>
          <w:sz w:val="21"/>
          <w:szCs w:val="21"/>
        </w:rPr>
      </w:pPr>
    </w:p>
    <w:p w14:paraId="43E61356"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Dicho artículo también señala que, cuando las entidades de fiscalización de los poderes legislativos locales detecten que los recursos de los fondos de aportaciones no se han destinado a los fines establecidos en </w:t>
      </w:r>
      <w:r w:rsidRPr="001B74AA">
        <w:rPr>
          <w:rFonts w:ascii="Abadi" w:hAnsi="Abadi"/>
          <w:sz w:val="21"/>
          <w:szCs w:val="21"/>
        </w:rPr>
        <w:t>dicha Ley, deberán hacerlo del conocimiento inmediato de la Auditoría Superior de la Federación.</w:t>
      </w:r>
    </w:p>
    <w:p w14:paraId="6C80B0E4" w14:textId="77777777" w:rsidR="00AE36C3" w:rsidRPr="001B74AA" w:rsidRDefault="00AE36C3" w:rsidP="00AE36C3">
      <w:pPr>
        <w:ind w:firstLine="708"/>
        <w:jc w:val="both"/>
        <w:rPr>
          <w:rFonts w:ascii="Abadi" w:hAnsi="Abadi"/>
          <w:sz w:val="21"/>
          <w:szCs w:val="21"/>
        </w:rPr>
      </w:pPr>
    </w:p>
    <w:p w14:paraId="200F1530"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DAC9DBD" w14:textId="77777777" w:rsidR="00AE36C3" w:rsidRPr="001B74AA" w:rsidRDefault="00AE36C3" w:rsidP="00AE36C3">
      <w:pPr>
        <w:pStyle w:val="Textoindependiente"/>
        <w:ind w:firstLine="708"/>
        <w:rPr>
          <w:rFonts w:ascii="Abadi" w:hAnsi="Abadi"/>
          <w:sz w:val="21"/>
          <w:szCs w:val="21"/>
        </w:rPr>
      </w:pPr>
    </w:p>
    <w:p w14:paraId="622C4A8D" w14:textId="77777777" w:rsidR="00AE36C3" w:rsidRPr="001B74AA" w:rsidRDefault="00AE36C3" w:rsidP="00AE36C3">
      <w:pPr>
        <w:ind w:firstLine="708"/>
        <w:jc w:val="both"/>
        <w:rPr>
          <w:rFonts w:ascii="Abadi" w:hAnsi="Abadi"/>
          <w:sz w:val="21"/>
          <w:szCs w:val="21"/>
          <w:lang w:eastAsia="x-none"/>
        </w:rPr>
      </w:pPr>
      <w:r w:rsidRPr="001B74AA">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1B74AA">
          <w:rPr>
            <w:rFonts w:ascii="Abadi" w:hAnsi="Abadi"/>
            <w:sz w:val="21"/>
            <w:szCs w:val="21"/>
            <w:lang w:eastAsia="x-none"/>
          </w:rPr>
          <w:t>la Ley</w:t>
        </w:r>
      </w:smartTag>
      <w:r w:rsidRPr="001B74AA">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5834FCD5" w14:textId="77777777" w:rsidR="00AE36C3" w:rsidRPr="001B74AA" w:rsidRDefault="00AE36C3" w:rsidP="00AE36C3">
      <w:pPr>
        <w:ind w:firstLine="708"/>
        <w:jc w:val="both"/>
        <w:rPr>
          <w:rFonts w:ascii="Abadi" w:hAnsi="Abadi"/>
          <w:sz w:val="21"/>
          <w:szCs w:val="21"/>
        </w:rPr>
      </w:pPr>
    </w:p>
    <w:p w14:paraId="03D449A7"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w:t>
      </w:r>
      <w:r w:rsidRPr="001B74AA">
        <w:rPr>
          <w:rFonts w:ascii="Abadi" w:hAnsi="Abadi"/>
          <w:sz w:val="21"/>
          <w:szCs w:val="21"/>
        </w:rPr>
        <w:t xml:space="preserve"> </w:t>
      </w:r>
      <w:r w:rsidRPr="005739AC">
        <w:rPr>
          <w:rFonts w:ascii="Abadi" w:hAnsi="Abadi"/>
          <w:b w:val="0"/>
          <w:bCs w:val="0"/>
          <w:sz w:val="21"/>
          <w:szCs w:val="21"/>
        </w:rPr>
        <w:t>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21A5015" w14:textId="77777777" w:rsidR="00AE36C3" w:rsidRPr="005739AC" w:rsidRDefault="00AE36C3" w:rsidP="00AE36C3">
      <w:pPr>
        <w:pStyle w:val="Textoindependiente"/>
        <w:ind w:firstLine="708"/>
        <w:rPr>
          <w:rFonts w:ascii="Abadi" w:hAnsi="Abadi"/>
          <w:b w:val="0"/>
          <w:bCs w:val="0"/>
          <w:sz w:val="21"/>
          <w:szCs w:val="21"/>
        </w:rPr>
      </w:pPr>
    </w:p>
    <w:p w14:paraId="467EE2E3"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5739AC">
          <w:rPr>
            <w:rFonts w:ascii="Abadi" w:hAnsi="Abadi"/>
            <w:b w:val="0"/>
            <w:bCs w:val="0"/>
            <w:sz w:val="21"/>
            <w:szCs w:val="21"/>
          </w:rPr>
          <w:t>la Ley Orgánica</w:t>
        </w:r>
      </w:smartTag>
      <w:r w:rsidRPr="005739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CD2ED38" w14:textId="77777777" w:rsidR="00AE36C3" w:rsidRPr="001B74AA" w:rsidRDefault="00AE36C3" w:rsidP="00AE36C3">
      <w:pPr>
        <w:pStyle w:val="Textoindependiente"/>
        <w:ind w:firstLine="708"/>
        <w:rPr>
          <w:rFonts w:ascii="Abadi" w:hAnsi="Abadi"/>
          <w:sz w:val="21"/>
          <w:szCs w:val="21"/>
        </w:rPr>
      </w:pPr>
    </w:p>
    <w:p w14:paraId="12E34427"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2955CD48" w14:textId="77777777" w:rsidR="00AE36C3" w:rsidRPr="001B74AA" w:rsidRDefault="00AE36C3" w:rsidP="00AE36C3">
      <w:pPr>
        <w:ind w:firstLine="708"/>
        <w:jc w:val="both"/>
        <w:rPr>
          <w:rFonts w:ascii="Abadi" w:hAnsi="Abadi"/>
          <w:b/>
          <w:bCs/>
          <w:sz w:val="21"/>
          <w:szCs w:val="21"/>
        </w:rPr>
      </w:pPr>
    </w:p>
    <w:p w14:paraId="5BB1149A" w14:textId="77777777" w:rsidR="00AE36C3" w:rsidRPr="001B74AA" w:rsidRDefault="00AE36C3" w:rsidP="00AE36C3">
      <w:pPr>
        <w:ind w:firstLine="708"/>
        <w:jc w:val="both"/>
        <w:rPr>
          <w:rFonts w:ascii="Abadi" w:hAnsi="Abadi"/>
          <w:b/>
          <w:bCs/>
          <w:sz w:val="21"/>
          <w:szCs w:val="21"/>
        </w:rPr>
      </w:pPr>
      <w:r w:rsidRPr="001B74AA">
        <w:rPr>
          <w:rFonts w:ascii="Abadi" w:hAnsi="Abadi"/>
          <w:b/>
          <w:bCs/>
          <w:sz w:val="21"/>
          <w:szCs w:val="21"/>
        </w:rPr>
        <w:lastRenderedPageBreak/>
        <w:t>II. Antecedentes:</w:t>
      </w:r>
    </w:p>
    <w:p w14:paraId="337042CB" w14:textId="77777777" w:rsidR="00AE36C3" w:rsidRPr="001B74AA" w:rsidRDefault="00AE36C3" w:rsidP="00AE36C3">
      <w:pPr>
        <w:ind w:firstLine="708"/>
        <w:jc w:val="both"/>
        <w:rPr>
          <w:rFonts w:ascii="Abadi" w:hAnsi="Abadi"/>
          <w:sz w:val="21"/>
          <w:szCs w:val="21"/>
        </w:rPr>
      </w:pPr>
    </w:p>
    <w:p w14:paraId="74BF4055"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1B74AA">
          <w:rPr>
            <w:rFonts w:ascii="Abadi" w:hAnsi="Abadi"/>
            <w:sz w:val="21"/>
            <w:szCs w:val="21"/>
          </w:rPr>
          <w:t>la Constitución Política</w:t>
        </w:r>
      </w:smartTag>
      <w:r w:rsidRPr="001B74AA">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813EDDE" w14:textId="77777777" w:rsidR="00AE36C3" w:rsidRPr="001B74AA" w:rsidRDefault="00AE36C3" w:rsidP="00AE36C3">
      <w:pPr>
        <w:ind w:firstLine="708"/>
        <w:jc w:val="both"/>
        <w:rPr>
          <w:rFonts w:ascii="Abadi" w:hAnsi="Abadi"/>
          <w:sz w:val="21"/>
          <w:szCs w:val="21"/>
        </w:rPr>
      </w:pPr>
    </w:p>
    <w:p w14:paraId="5F995A8D"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1933CB8F" w14:textId="77777777" w:rsidR="00AE36C3" w:rsidRPr="001B74AA" w:rsidRDefault="00AE36C3" w:rsidP="00AE36C3">
      <w:pPr>
        <w:ind w:firstLine="708"/>
        <w:jc w:val="both"/>
        <w:rPr>
          <w:rFonts w:ascii="Abadi" w:hAnsi="Abadi"/>
          <w:sz w:val="21"/>
          <w:szCs w:val="21"/>
        </w:rPr>
      </w:pPr>
    </w:p>
    <w:p w14:paraId="7314FBD9" w14:textId="77777777" w:rsidR="00AE36C3" w:rsidRPr="005739AC" w:rsidRDefault="00AE36C3" w:rsidP="00AE36C3">
      <w:pPr>
        <w:pStyle w:val="Textoindependiente"/>
        <w:ind w:firstLine="708"/>
        <w:rPr>
          <w:rFonts w:ascii="Abadi" w:hAnsi="Abadi"/>
          <w:b w:val="0"/>
          <w:bCs w:val="0"/>
          <w:sz w:val="21"/>
          <w:szCs w:val="21"/>
        </w:rPr>
      </w:pPr>
      <w:r w:rsidRPr="001B74AA">
        <w:rPr>
          <w:rFonts w:ascii="Abadi" w:hAnsi="Abadi"/>
          <w:sz w:val="21"/>
          <w:szCs w:val="21"/>
        </w:rPr>
        <w:t xml:space="preserve">En ejercicio de esta función, el Auditor Superior del Estado aprobó el Programa General de Fiscalización 2022 de la Auditoría Superior del Estado de Guanajuato. En dicho Programa se contempló la práctica de una </w:t>
      </w:r>
      <w:r w:rsidRPr="005739AC">
        <w:rPr>
          <w:rFonts w:ascii="Abadi" w:hAnsi="Abadi"/>
          <w:b w:val="0"/>
          <w:bCs w:val="0"/>
          <w:sz w:val="21"/>
          <w:szCs w:val="21"/>
        </w:rPr>
        <w:t xml:space="preserve">auditoría a la infraestructura pública municipal respecto de las operaciones realizadas por la administración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correspondientes al periodo comprendido del 1 de enero al 31 de diciembre del ejercicio fiscal del año 2021.</w:t>
      </w:r>
    </w:p>
    <w:p w14:paraId="070E97F1" w14:textId="77777777" w:rsidR="00AE36C3" w:rsidRPr="005739AC" w:rsidRDefault="00AE36C3" w:rsidP="00AE36C3">
      <w:pPr>
        <w:pStyle w:val="Textoindependiente"/>
        <w:ind w:firstLine="708"/>
        <w:rPr>
          <w:rFonts w:ascii="Abadi" w:hAnsi="Abadi"/>
          <w:b w:val="0"/>
          <w:bCs w:val="0"/>
          <w:sz w:val="21"/>
          <w:szCs w:val="21"/>
        </w:rPr>
      </w:pPr>
    </w:p>
    <w:p w14:paraId="55E79F70"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13 de abril de 2023, para su estudio y dictamen, siendo radicado el 18 de abril del año en curso.</w:t>
      </w:r>
    </w:p>
    <w:p w14:paraId="31DC6FF1" w14:textId="77777777" w:rsidR="00AE36C3" w:rsidRPr="001B74AA" w:rsidRDefault="00AE36C3" w:rsidP="00AE36C3">
      <w:pPr>
        <w:pStyle w:val="Textoindependiente"/>
        <w:ind w:firstLine="708"/>
        <w:rPr>
          <w:rFonts w:ascii="Abadi" w:hAnsi="Abadi"/>
          <w:sz w:val="21"/>
          <w:szCs w:val="21"/>
        </w:rPr>
      </w:pPr>
    </w:p>
    <w:p w14:paraId="70BF4BBC" w14:textId="77777777" w:rsidR="00AE36C3" w:rsidRPr="005739AC" w:rsidRDefault="00AE36C3" w:rsidP="00AE36C3">
      <w:pPr>
        <w:pStyle w:val="Textoindependiente"/>
        <w:ind w:firstLine="708"/>
        <w:rPr>
          <w:rFonts w:ascii="Abadi" w:hAnsi="Abadi"/>
          <w:sz w:val="21"/>
          <w:szCs w:val="21"/>
        </w:rPr>
      </w:pPr>
      <w:r w:rsidRPr="005739AC">
        <w:rPr>
          <w:rFonts w:ascii="Abadi" w:hAnsi="Abadi"/>
          <w:sz w:val="21"/>
          <w:szCs w:val="21"/>
        </w:rPr>
        <w:t>III. Procedimiento de Auditoría:</w:t>
      </w:r>
    </w:p>
    <w:p w14:paraId="75C96DAB" w14:textId="77777777" w:rsidR="00AE36C3" w:rsidRPr="005739AC" w:rsidRDefault="00AE36C3" w:rsidP="00AE36C3">
      <w:pPr>
        <w:pStyle w:val="Textoindependiente"/>
        <w:ind w:firstLine="708"/>
        <w:rPr>
          <w:rFonts w:ascii="Abadi" w:hAnsi="Abadi"/>
          <w:sz w:val="21"/>
          <w:szCs w:val="21"/>
        </w:rPr>
      </w:pPr>
    </w:p>
    <w:p w14:paraId="4B813B6C"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 xml:space="preserve">La auditoría practicada a la infraestructura pública municipal respecto de las operaciones realizadas por la 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xml:space="preserve">., correspondientes al ejercicio fiscal del año 2021, tuvo por objetivo, de acuerdo a los principios, conceptos y directrices de las Normas Profesionales de Auditoría del Sistema Nacional de Fiscalización, en su tercer nivel, </w:t>
      </w:r>
      <w:r w:rsidRPr="005739AC">
        <w:rPr>
          <w:rFonts w:ascii="Abadi" w:hAnsi="Abadi"/>
          <w:b w:val="0"/>
          <w:bCs w:val="0"/>
          <w:sz w:val="21"/>
          <w:szCs w:val="21"/>
        </w:rPr>
        <w:t>evaluar si los procesos operativos, contables, presupuestales y programáticos cumplen en todos los aspectos significativos, con las disposiciones legales y normativas que rigen al ente público auditado.</w:t>
      </w:r>
    </w:p>
    <w:p w14:paraId="37D17347" w14:textId="77777777" w:rsidR="00AE36C3" w:rsidRPr="005739AC" w:rsidRDefault="00AE36C3" w:rsidP="00AE36C3">
      <w:pPr>
        <w:pStyle w:val="Textoindependiente"/>
        <w:ind w:firstLine="708"/>
        <w:rPr>
          <w:rFonts w:ascii="Abadi" w:hAnsi="Abadi"/>
          <w:b w:val="0"/>
          <w:bCs w:val="0"/>
          <w:sz w:val="21"/>
          <w:szCs w:val="21"/>
        </w:rPr>
      </w:pPr>
    </w:p>
    <w:p w14:paraId="79404AD9" w14:textId="77777777" w:rsidR="00AE36C3" w:rsidRPr="001B74AA" w:rsidRDefault="00AE36C3" w:rsidP="00AE36C3">
      <w:pPr>
        <w:pStyle w:val="Textoindependiente"/>
        <w:ind w:firstLine="708"/>
        <w:rPr>
          <w:rFonts w:ascii="Abadi" w:hAnsi="Abadi"/>
          <w:sz w:val="21"/>
          <w:szCs w:val="21"/>
        </w:rPr>
      </w:pPr>
    </w:p>
    <w:p w14:paraId="328461CA"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1BA85F12" w14:textId="77777777" w:rsidR="00AE36C3" w:rsidRPr="001B74AA" w:rsidRDefault="00AE36C3" w:rsidP="00AE36C3">
      <w:pPr>
        <w:pStyle w:val="Textoindependiente"/>
        <w:ind w:firstLine="708"/>
        <w:rPr>
          <w:rFonts w:ascii="Abadi" w:hAnsi="Abadi"/>
          <w:sz w:val="21"/>
          <w:szCs w:val="21"/>
        </w:rPr>
      </w:pPr>
    </w:p>
    <w:p w14:paraId="25540377"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315C27A" w14:textId="77777777" w:rsidR="00AE36C3" w:rsidRPr="005739AC" w:rsidRDefault="00AE36C3" w:rsidP="00AE36C3">
      <w:pPr>
        <w:pStyle w:val="Textoindependiente"/>
        <w:ind w:firstLine="708"/>
        <w:rPr>
          <w:rFonts w:ascii="Abadi" w:hAnsi="Abadi"/>
          <w:b w:val="0"/>
          <w:bCs w:val="0"/>
          <w:sz w:val="21"/>
          <w:szCs w:val="21"/>
        </w:rPr>
      </w:pPr>
    </w:p>
    <w:p w14:paraId="14D2786C"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 xml:space="preserve">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w:t>
      </w:r>
      <w:r w:rsidRPr="005739AC">
        <w:rPr>
          <w:rFonts w:ascii="Abadi" w:hAnsi="Abadi"/>
          <w:b w:val="0"/>
          <w:bCs w:val="0"/>
          <w:sz w:val="21"/>
          <w:szCs w:val="21"/>
        </w:rPr>
        <w:lastRenderedPageBreak/>
        <w:t>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9628041" w14:textId="77777777" w:rsidR="00AE36C3" w:rsidRPr="001B74AA" w:rsidRDefault="00AE36C3" w:rsidP="00AE36C3">
      <w:pPr>
        <w:pStyle w:val="Textoindependiente"/>
        <w:ind w:firstLine="708"/>
        <w:rPr>
          <w:rFonts w:ascii="Abadi" w:hAnsi="Abadi"/>
          <w:sz w:val="21"/>
          <w:szCs w:val="21"/>
        </w:rPr>
      </w:pPr>
    </w:p>
    <w:p w14:paraId="75580F97" w14:textId="77777777" w:rsidR="00AE36C3" w:rsidRPr="001B74AA" w:rsidRDefault="00AE36C3" w:rsidP="00AE36C3">
      <w:pPr>
        <w:autoSpaceDE w:val="0"/>
        <w:autoSpaceDN w:val="0"/>
        <w:adjustRightInd w:val="0"/>
        <w:ind w:firstLine="708"/>
        <w:jc w:val="both"/>
        <w:rPr>
          <w:rFonts w:ascii="Abadi" w:hAnsi="Abadi"/>
          <w:sz w:val="21"/>
          <w:szCs w:val="21"/>
        </w:rPr>
      </w:pPr>
      <w:r w:rsidRPr="001B74AA">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4E5B06DF" w14:textId="77777777" w:rsidR="00AE36C3" w:rsidRPr="001B74AA" w:rsidRDefault="00AE36C3" w:rsidP="00AE36C3">
      <w:pPr>
        <w:autoSpaceDE w:val="0"/>
        <w:autoSpaceDN w:val="0"/>
        <w:adjustRightInd w:val="0"/>
        <w:ind w:firstLine="708"/>
        <w:jc w:val="both"/>
        <w:rPr>
          <w:rFonts w:ascii="Abadi" w:hAnsi="Abadi"/>
          <w:sz w:val="21"/>
          <w:szCs w:val="21"/>
        </w:rPr>
      </w:pPr>
    </w:p>
    <w:p w14:paraId="15236BF6"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1B74AA">
        <w:rPr>
          <w:rFonts w:ascii="Abadi" w:hAnsi="Abadi"/>
          <w:sz w:val="21"/>
          <w:szCs w:val="21"/>
        </w:rPr>
        <w:t>fiscalizado</w:t>
      </w:r>
      <w:proofErr w:type="spellEnd"/>
      <w:r w:rsidRPr="001B74AA">
        <w:rPr>
          <w:rFonts w:ascii="Abadi" w:hAnsi="Abadi"/>
          <w:sz w:val="21"/>
          <w:szCs w:val="21"/>
        </w:rPr>
        <w:t xml:space="preserve">, de acuerdo a lo dispuesto por los ordenamientos aplicables en la materia, incluyendo las políticas contables aplicables a la institución, utilizadas de </w:t>
      </w:r>
      <w:r w:rsidRPr="001B74AA">
        <w:rPr>
          <w:rFonts w:ascii="Abadi" w:hAnsi="Abadi"/>
          <w:sz w:val="21"/>
          <w:szCs w:val="21"/>
        </w:rPr>
        <w:t>conformidad con los Postulados Básicos de Contabilidad Gubernamental.</w:t>
      </w:r>
    </w:p>
    <w:p w14:paraId="0AF172C5" w14:textId="77777777" w:rsidR="00AE36C3" w:rsidRPr="001B74AA" w:rsidRDefault="00AE36C3" w:rsidP="00AE36C3">
      <w:pPr>
        <w:ind w:firstLine="708"/>
        <w:jc w:val="both"/>
        <w:rPr>
          <w:rFonts w:ascii="Abadi" w:hAnsi="Abadi"/>
          <w:sz w:val="21"/>
          <w:szCs w:val="21"/>
        </w:rPr>
      </w:pPr>
    </w:p>
    <w:p w14:paraId="6BCC9E18"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El 30 de junio de 2022 se notificó al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la orden de inicio del procedimiento de auditoría.</w:t>
      </w:r>
    </w:p>
    <w:p w14:paraId="23D9F735" w14:textId="77777777" w:rsidR="00AE36C3" w:rsidRPr="001B74AA" w:rsidRDefault="00AE36C3" w:rsidP="00AE36C3">
      <w:pPr>
        <w:ind w:firstLine="708"/>
        <w:jc w:val="both"/>
        <w:rPr>
          <w:rFonts w:ascii="Abadi" w:hAnsi="Abadi"/>
          <w:sz w:val="21"/>
          <w:szCs w:val="21"/>
        </w:rPr>
      </w:pPr>
    </w:p>
    <w:p w14:paraId="7BED62B9"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El 16 de diciembre de 2022 se notificó al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5CF1556E" w14:textId="77777777" w:rsidR="00AE36C3" w:rsidRPr="001B74AA" w:rsidRDefault="00AE36C3" w:rsidP="00AE36C3">
      <w:pPr>
        <w:ind w:firstLine="708"/>
        <w:jc w:val="both"/>
        <w:rPr>
          <w:rFonts w:ascii="Abadi" w:hAnsi="Abadi"/>
          <w:sz w:val="21"/>
          <w:szCs w:val="21"/>
        </w:rPr>
      </w:pPr>
    </w:p>
    <w:p w14:paraId="3167517A"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Posteriormente, el 20 de febrero de 2023, se notificó al presidente municipal y al ex presidente municipal interino y el 21 de febrero de 2023, se notificó al ex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10, 13 y 14 de marzo de 2023 por parte del presidente municipal, 14 de marzo de 2023, por parte del ex presidente municipal y el ex director de Infraestructura y Obras Públicas, 13 de marzo de 2023, por parte del ex presidente municipal interino, así como 28 de febrero y 13 de marzo de 2023, por parte del ex director de Infraestructura y Obras Públicas de San Miguel de Allende, </w:t>
      </w:r>
      <w:proofErr w:type="spellStart"/>
      <w:r w:rsidRPr="001B74AA">
        <w:rPr>
          <w:rFonts w:ascii="Abadi" w:hAnsi="Abadi"/>
          <w:sz w:val="21"/>
          <w:szCs w:val="21"/>
        </w:rPr>
        <w:t>Gto</w:t>
      </w:r>
      <w:proofErr w:type="spellEnd"/>
      <w:r w:rsidRPr="001B74AA">
        <w:rPr>
          <w:rFonts w:ascii="Abadi" w:hAnsi="Abadi"/>
          <w:sz w:val="21"/>
          <w:szCs w:val="21"/>
        </w:rPr>
        <w:t>.</w:t>
      </w:r>
    </w:p>
    <w:p w14:paraId="63AD7A1A" w14:textId="77777777" w:rsidR="00AE36C3" w:rsidRPr="001B74AA" w:rsidRDefault="00AE36C3" w:rsidP="00AE36C3">
      <w:pPr>
        <w:ind w:firstLine="708"/>
        <w:jc w:val="both"/>
        <w:rPr>
          <w:rFonts w:ascii="Abadi" w:hAnsi="Abadi"/>
          <w:sz w:val="21"/>
          <w:szCs w:val="21"/>
        </w:rPr>
      </w:pPr>
    </w:p>
    <w:p w14:paraId="11322DE9"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El informe de resultados se notificó en fechas 17 de marzo de 2023 al presidente municipal y 21 de marzo de 2023 al ex presidente municipal y al ex presidente municipal interino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D17FDCA" w14:textId="77777777" w:rsidR="00AE36C3" w:rsidRPr="001B74AA" w:rsidRDefault="00AE36C3" w:rsidP="00AE36C3">
      <w:pPr>
        <w:ind w:firstLine="708"/>
        <w:jc w:val="both"/>
        <w:rPr>
          <w:rFonts w:ascii="Abadi" w:hAnsi="Abadi"/>
          <w:sz w:val="21"/>
          <w:szCs w:val="21"/>
        </w:rPr>
      </w:pPr>
    </w:p>
    <w:p w14:paraId="2C70066D"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w:t>
      </w:r>
      <w:r w:rsidRPr="001B74AA">
        <w:rPr>
          <w:rFonts w:ascii="Abadi" w:hAnsi="Abadi"/>
          <w:sz w:val="21"/>
          <w:szCs w:val="21"/>
        </w:rPr>
        <w:lastRenderedPageBreak/>
        <w:t xml:space="preserve">de Guanajuato, el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interpuso recurso de reconsideración en contra del informe de resultados de la auditoría practicada a la infraestructura pública municipal respecto de las operaciones realizadas por la administración pública municipal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correspondientes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w:t>
      </w:r>
    </w:p>
    <w:p w14:paraId="60B3477B" w14:textId="77777777" w:rsidR="00AE36C3" w:rsidRPr="001B74AA" w:rsidRDefault="00AE36C3" w:rsidP="00AE36C3">
      <w:pPr>
        <w:ind w:firstLine="708"/>
        <w:jc w:val="both"/>
        <w:rPr>
          <w:rFonts w:ascii="Abadi" w:hAnsi="Abadi"/>
          <w:sz w:val="21"/>
          <w:szCs w:val="21"/>
        </w:rPr>
      </w:pPr>
    </w:p>
    <w:p w14:paraId="58CA2940"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Una vez tramitado el recurso, el Auditor Superior el 29 de marzo de 2023 emitió la resolución correspondiente, a la cual haremos referencia en un apartado posterior, misma que se notificó al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el 30 de marzo de 2023.</w:t>
      </w:r>
    </w:p>
    <w:p w14:paraId="5E9D67D8" w14:textId="77777777" w:rsidR="00AE36C3" w:rsidRPr="001B74AA" w:rsidRDefault="00AE36C3" w:rsidP="00AE36C3">
      <w:pPr>
        <w:ind w:firstLine="708"/>
        <w:jc w:val="both"/>
        <w:rPr>
          <w:rFonts w:ascii="Abadi" w:hAnsi="Abadi"/>
          <w:sz w:val="21"/>
          <w:szCs w:val="21"/>
        </w:rPr>
      </w:pPr>
    </w:p>
    <w:p w14:paraId="57A5C360" w14:textId="77777777" w:rsidR="00AE36C3" w:rsidRPr="005739AC" w:rsidRDefault="00AE36C3" w:rsidP="00AE36C3">
      <w:pPr>
        <w:pStyle w:val="Textoindependiente"/>
        <w:ind w:firstLine="708"/>
        <w:rPr>
          <w:rFonts w:ascii="Abadi" w:hAnsi="Abadi"/>
          <w:sz w:val="21"/>
          <w:szCs w:val="21"/>
        </w:rPr>
      </w:pPr>
      <w:r w:rsidRPr="005739AC">
        <w:rPr>
          <w:rFonts w:ascii="Abadi" w:hAnsi="Abadi"/>
          <w:sz w:val="21"/>
          <w:szCs w:val="21"/>
        </w:rPr>
        <w:t>IV. Contenido del Informe de Resultados:</w:t>
      </w:r>
    </w:p>
    <w:p w14:paraId="0D452806" w14:textId="77777777" w:rsidR="00AE36C3" w:rsidRPr="001B74AA" w:rsidRDefault="00AE36C3" w:rsidP="00AE36C3">
      <w:pPr>
        <w:pStyle w:val="Textoindependiente"/>
        <w:rPr>
          <w:rFonts w:ascii="Abadi" w:hAnsi="Abadi"/>
          <w:b w:val="0"/>
          <w:bCs w:val="0"/>
          <w:sz w:val="21"/>
          <w:szCs w:val="21"/>
        </w:rPr>
      </w:pPr>
    </w:p>
    <w:p w14:paraId="311D221B" w14:textId="77777777" w:rsidR="00AE36C3" w:rsidRPr="005739AC" w:rsidRDefault="00AE36C3" w:rsidP="00AE36C3">
      <w:pPr>
        <w:pStyle w:val="Textoindependiente"/>
        <w:rPr>
          <w:rFonts w:ascii="Abadi" w:hAnsi="Abadi"/>
          <w:b w:val="0"/>
          <w:sz w:val="21"/>
          <w:szCs w:val="21"/>
        </w:rPr>
      </w:pPr>
      <w:r w:rsidRPr="001B74AA">
        <w:rPr>
          <w:rFonts w:ascii="Abadi" w:hAnsi="Abadi"/>
          <w:b w:val="0"/>
          <w:bCs w:val="0"/>
          <w:sz w:val="21"/>
          <w:szCs w:val="21"/>
        </w:rPr>
        <w:tab/>
      </w:r>
      <w:r w:rsidRPr="005739AC">
        <w:rPr>
          <w:rFonts w:ascii="Abadi" w:hAnsi="Abadi"/>
          <w:b w:val="0"/>
          <w:sz w:val="21"/>
          <w:szCs w:val="21"/>
        </w:rPr>
        <w:t>En cumplimiento a lo establecido por el artículo 37, fracción III de la Ley de Fiscalización Superior del Estado, el informe de resultados contiene los siguientes apartados:</w:t>
      </w:r>
    </w:p>
    <w:p w14:paraId="45B23AED" w14:textId="77777777" w:rsidR="00AE36C3" w:rsidRPr="001B74AA" w:rsidRDefault="00AE36C3" w:rsidP="00AE36C3">
      <w:pPr>
        <w:pStyle w:val="Textoindependiente"/>
        <w:rPr>
          <w:rFonts w:ascii="Abadi" w:hAnsi="Abadi"/>
          <w:sz w:val="21"/>
          <w:szCs w:val="21"/>
        </w:rPr>
      </w:pPr>
    </w:p>
    <w:p w14:paraId="618B7D1F" w14:textId="77777777" w:rsidR="00AE36C3" w:rsidRPr="005739AC" w:rsidRDefault="00AE36C3" w:rsidP="00427BD6">
      <w:pPr>
        <w:pStyle w:val="Textoindependiente"/>
        <w:numPr>
          <w:ilvl w:val="0"/>
          <w:numId w:val="9"/>
        </w:numPr>
        <w:autoSpaceDE/>
        <w:autoSpaceDN/>
        <w:rPr>
          <w:rFonts w:ascii="Abadi" w:hAnsi="Abadi"/>
          <w:sz w:val="21"/>
          <w:szCs w:val="21"/>
        </w:rPr>
      </w:pPr>
      <w:r w:rsidRPr="005739AC">
        <w:rPr>
          <w:rFonts w:ascii="Abadi" w:hAnsi="Abadi"/>
          <w:sz w:val="21"/>
          <w:szCs w:val="21"/>
        </w:rPr>
        <w:t>Introducción.</w:t>
      </w:r>
    </w:p>
    <w:p w14:paraId="3F4C0519" w14:textId="77777777" w:rsidR="00AE36C3" w:rsidRPr="001B74AA" w:rsidRDefault="00AE36C3" w:rsidP="00AE36C3">
      <w:pPr>
        <w:pStyle w:val="Textoindependiente"/>
        <w:ind w:left="705"/>
        <w:rPr>
          <w:rFonts w:ascii="Abadi" w:hAnsi="Abadi"/>
          <w:sz w:val="21"/>
          <w:szCs w:val="21"/>
        </w:rPr>
      </w:pPr>
    </w:p>
    <w:p w14:paraId="626C6D11"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001 del informe de resultados.</w:t>
      </w:r>
    </w:p>
    <w:p w14:paraId="74A10EF9" w14:textId="77777777" w:rsidR="00AE36C3" w:rsidRPr="005739AC" w:rsidRDefault="00AE36C3" w:rsidP="00AE36C3">
      <w:pPr>
        <w:pStyle w:val="Textoindependiente"/>
        <w:ind w:firstLine="705"/>
        <w:rPr>
          <w:rFonts w:ascii="Abadi" w:hAnsi="Abadi"/>
          <w:b w:val="0"/>
          <w:bCs w:val="0"/>
          <w:sz w:val="21"/>
          <w:szCs w:val="21"/>
        </w:rPr>
      </w:pPr>
    </w:p>
    <w:p w14:paraId="61C85294"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5D14D5CD" w14:textId="77777777" w:rsidR="00AE36C3" w:rsidRPr="005739AC" w:rsidRDefault="00AE36C3" w:rsidP="00AE36C3">
      <w:pPr>
        <w:pStyle w:val="Textoindependiente"/>
        <w:ind w:firstLine="705"/>
        <w:rPr>
          <w:rFonts w:ascii="Abadi" w:hAnsi="Abadi"/>
          <w:b w:val="0"/>
          <w:bCs w:val="0"/>
          <w:sz w:val="21"/>
          <w:szCs w:val="21"/>
        </w:rPr>
      </w:pPr>
    </w:p>
    <w:p w14:paraId="035AF1BE"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52F8B873" w14:textId="77777777" w:rsidR="00AE36C3" w:rsidRPr="001B74AA" w:rsidRDefault="00AE36C3" w:rsidP="00AE36C3">
      <w:pPr>
        <w:jc w:val="both"/>
        <w:rPr>
          <w:rFonts w:ascii="Abadi" w:hAnsi="Abadi"/>
          <w:i/>
          <w:iCs/>
          <w:sz w:val="21"/>
          <w:szCs w:val="21"/>
          <w:lang w:eastAsia="x-none"/>
        </w:rPr>
      </w:pPr>
    </w:p>
    <w:p w14:paraId="2AC8F6FC" w14:textId="77777777" w:rsidR="00AE36C3" w:rsidRPr="001B74AA" w:rsidRDefault="00AE36C3" w:rsidP="00AE36C3">
      <w:pPr>
        <w:jc w:val="both"/>
        <w:rPr>
          <w:rFonts w:ascii="Abadi" w:hAnsi="Abadi"/>
          <w:i/>
          <w:iCs/>
          <w:sz w:val="21"/>
          <w:szCs w:val="21"/>
          <w:lang w:eastAsia="x-none"/>
        </w:rPr>
      </w:pPr>
      <w:r w:rsidRPr="001B74AA">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7AB7E7E7" w14:textId="77777777" w:rsidR="00AE36C3" w:rsidRPr="001B74AA" w:rsidRDefault="00AE36C3" w:rsidP="00AE36C3">
      <w:pPr>
        <w:rPr>
          <w:rFonts w:ascii="Abadi" w:hAnsi="Abadi"/>
          <w:i/>
          <w:iCs/>
          <w:sz w:val="21"/>
          <w:szCs w:val="21"/>
          <w:lang w:eastAsia="x-none"/>
        </w:rPr>
      </w:pPr>
    </w:p>
    <w:p w14:paraId="7C487842" w14:textId="77777777" w:rsidR="00AE36C3" w:rsidRPr="001B74AA" w:rsidRDefault="00AE36C3" w:rsidP="00AE36C3">
      <w:pPr>
        <w:jc w:val="both"/>
        <w:rPr>
          <w:rFonts w:ascii="Abadi" w:hAnsi="Abadi"/>
          <w:i/>
          <w:iCs/>
          <w:sz w:val="21"/>
          <w:szCs w:val="21"/>
          <w:lang w:eastAsia="x-none"/>
        </w:rPr>
      </w:pPr>
      <w:r w:rsidRPr="001B74AA">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033A7930" w14:textId="77777777" w:rsidR="00AE36C3" w:rsidRPr="001B74AA" w:rsidRDefault="00AE36C3" w:rsidP="00AE36C3">
      <w:pPr>
        <w:jc w:val="both"/>
        <w:rPr>
          <w:rFonts w:ascii="Abadi" w:hAnsi="Abadi"/>
          <w:i/>
          <w:iCs/>
          <w:sz w:val="21"/>
          <w:szCs w:val="21"/>
          <w:lang w:eastAsia="x-none"/>
        </w:rPr>
      </w:pPr>
    </w:p>
    <w:p w14:paraId="7547C7A1" w14:textId="77777777" w:rsidR="00AE36C3" w:rsidRPr="001B74AA" w:rsidRDefault="00AE36C3" w:rsidP="00AE36C3">
      <w:pPr>
        <w:jc w:val="both"/>
        <w:rPr>
          <w:rFonts w:ascii="Abadi" w:hAnsi="Abadi"/>
          <w:i/>
          <w:iCs/>
          <w:sz w:val="21"/>
          <w:szCs w:val="21"/>
          <w:lang w:eastAsia="x-none"/>
        </w:rPr>
      </w:pPr>
      <w:r w:rsidRPr="001B74AA">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DC2573C" w14:textId="77777777" w:rsidR="00AE36C3" w:rsidRPr="001B74AA" w:rsidRDefault="00AE36C3" w:rsidP="00AE36C3">
      <w:pPr>
        <w:pStyle w:val="Textoindependiente"/>
        <w:ind w:firstLine="705"/>
        <w:rPr>
          <w:rFonts w:ascii="Abadi" w:hAnsi="Abadi"/>
          <w:sz w:val="21"/>
          <w:szCs w:val="21"/>
        </w:rPr>
      </w:pPr>
    </w:p>
    <w:p w14:paraId="0399915C"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356A33DD" w14:textId="77777777" w:rsidR="00AE36C3" w:rsidRPr="005739AC" w:rsidRDefault="00AE36C3" w:rsidP="00AE36C3">
      <w:pPr>
        <w:pStyle w:val="Textoindependiente"/>
        <w:ind w:firstLine="705"/>
        <w:rPr>
          <w:rFonts w:ascii="Abadi" w:hAnsi="Abadi"/>
          <w:b w:val="0"/>
          <w:bCs w:val="0"/>
          <w:sz w:val="21"/>
          <w:szCs w:val="21"/>
        </w:rPr>
      </w:pPr>
    </w:p>
    <w:p w14:paraId="46547D07"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5739AC">
        <w:rPr>
          <w:rFonts w:ascii="Abadi" w:hAnsi="Abadi"/>
          <w:b w:val="0"/>
          <w:bCs w:val="0"/>
          <w:sz w:val="21"/>
          <w:szCs w:val="21"/>
        </w:rPr>
        <w:t>fiscalizado</w:t>
      </w:r>
      <w:proofErr w:type="spellEnd"/>
      <w:r w:rsidRPr="005739AC">
        <w:rPr>
          <w:rFonts w:ascii="Abadi" w:hAnsi="Abadi"/>
          <w:b w:val="0"/>
          <w:bCs w:val="0"/>
          <w:sz w:val="21"/>
          <w:szCs w:val="21"/>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w:t>
      </w:r>
      <w:r w:rsidRPr="005739AC">
        <w:rPr>
          <w:rFonts w:ascii="Abadi" w:hAnsi="Abadi"/>
          <w:b w:val="0"/>
          <w:bCs w:val="0"/>
          <w:sz w:val="21"/>
          <w:szCs w:val="21"/>
        </w:rPr>
        <w:lastRenderedPageBreak/>
        <w:t>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w:t>
      </w:r>
      <w:r w:rsidRPr="001B74AA">
        <w:rPr>
          <w:rFonts w:ascii="Abadi" w:hAnsi="Abadi"/>
          <w:sz w:val="21"/>
          <w:szCs w:val="21"/>
        </w:rPr>
        <w:t xml:space="preserve"> </w:t>
      </w:r>
      <w:r w:rsidRPr="005739AC">
        <w:rPr>
          <w:rFonts w:ascii="Abadi" w:hAnsi="Abadi"/>
          <w:b w:val="0"/>
          <w:bCs w:val="0"/>
          <w:sz w:val="21"/>
          <w:szCs w:val="21"/>
        </w:rPr>
        <w:t>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324D43EB" w14:textId="77777777" w:rsidR="00AE36C3" w:rsidRPr="001B74AA" w:rsidRDefault="00AE36C3" w:rsidP="00AE36C3">
      <w:pPr>
        <w:pStyle w:val="Textoindependiente"/>
        <w:ind w:firstLine="705"/>
        <w:rPr>
          <w:rFonts w:ascii="Abadi" w:hAnsi="Abadi"/>
          <w:sz w:val="21"/>
          <w:szCs w:val="21"/>
        </w:rPr>
      </w:pPr>
    </w:p>
    <w:p w14:paraId="5933680F"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Asimismo, se verificó el cumplimiento de la calidad de los materiales empleados y de los procedimientos constructivos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de la observación establecida en el numeral 002.</w:t>
      </w:r>
    </w:p>
    <w:p w14:paraId="242BF18D" w14:textId="77777777" w:rsidR="00AE36C3" w:rsidRPr="001B74AA" w:rsidRDefault="00AE36C3" w:rsidP="00AE36C3">
      <w:pPr>
        <w:pStyle w:val="Textoindependiente"/>
        <w:ind w:firstLine="705"/>
        <w:rPr>
          <w:rFonts w:ascii="Abadi" w:hAnsi="Abadi"/>
          <w:sz w:val="21"/>
          <w:szCs w:val="21"/>
        </w:rPr>
      </w:pPr>
    </w:p>
    <w:p w14:paraId="44DE697E"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Adicionalmente, se analizó el informe general del proceso de entrega recepción 2021 de la 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y en su caso se aplicaron los procedimientos de auditoría correspondientes.</w:t>
      </w:r>
    </w:p>
    <w:p w14:paraId="2381D440" w14:textId="77777777" w:rsidR="00AE36C3" w:rsidRPr="001B74AA" w:rsidRDefault="00AE36C3" w:rsidP="00AE36C3">
      <w:pPr>
        <w:ind w:firstLine="705"/>
        <w:jc w:val="both"/>
        <w:rPr>
          <w:rFonts w:ascii="Abadi" w:hAnsi="Abadi"/>
          <w:sz w:val="21"/>
          <w:szCs w:val="21"/>
          <w:lang w:eastAsia="x-none"/>
        </w:rPr>
      </w:pPr>
    </w:p>
    <w:p w14:paraId="46B86E0C"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También se establece que para la integración del expediente y conclusiones </w:t>
      </w:r>
      <w:r w:rsidRPr="005739AC">
        <w:rPr>
          <w:rFonts w:ascii="Abadi" w:hAnsi="Abadi"/>
          <w:b w:val="0"/>
          <w:bCs w:val="0"/>
          <w:sz w:val="21"/>
          <w:szCs w:val="21"/>
        </w:rPr>
        <w:t xml:space="preserve">determinadas en la auditoría, se consideró documentación obtenida mediante diversos procedimientos de auditoría aplicados en los análisis de información financiera trimestral a la 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respecto de los periodos comprendidos de enero a junio y de julio a diciembre del 2021, de acuerdo a lo establecido en el artículo 28, primer párrafo de la Ley de Fiscalización Superior del Estado de Guanajuato.</w:t>
      </w:r>
    </w:p>
    <w:p w14:paraId="2C62912F" w14:textId="77777777" w:rsidR="00AE36C3" w:rsidRPr="001B74AA" w:rsidRDefault="00AE36C3" w:rsidP="00AE36C3">
      <w:pPr>
        <w:pStyle w:val="Textoindependiente"/>
        <w:ind w:firstLine="705"/>
        <w:rPr>
          <w:rFonts w:ascii="Abadi" w:hAnsi="Abadi"/>
          <w:sz w:val="21"/>
          <w:szCs w:val="21"/>
        </w:rPr>
      </w:pPr>
    </w:p>
    <w:p w14:paraId="5C689535" w14:textId="77777777" w:rsidR="00AE36C3" w:rsidRPr="001B74AA" w:rsidRDefault="00AE36C3" w:rsidP="00AE36C3">
      <w:pPr>
        <w:pStyle w:val="Textoindependiente"/>
        <w:ind w:firstLine="705"/>
        <w:rPr>
          <w:rFonts w:ascii="Abadi" w:hAnsi="Abadi"/>
          <w:sz w:val="21"/>
          <w:szCs w:val="21"/>
        </w:rPr>
      </w:pPr>
    </w:p>
    <w:p w14:paraId="333109FE"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w:t>
      </w:r>
      <w:r w:rsidRPr="001B74AA">
        <w:rPr>
          <w:rFonts w:ascii="Abadi" w:hAnsi="Abadi"/>
          <w:sz w:val="21"/>
          <w:szCs w:val="21"/>
        </w:rPr>
        <w:t xml:space="preserve"> </w:t>
      </w:r>
      <w:r w:rsidRPr="005739AC">
        <w:rPr>
          <w:rFonts w:ascii="Abadi" w:hAnsi="Abadi"/>
          <w:b w:val="0"/>
          <w:bCs w:val="0"/>
          <w:sz w:val="21"/>
          <w:szCs w:val="21"/>
        </w:rPr>
        <w:t xml:space="preserve">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no cumplió con las disposiciones normativas aplicables, como se precisa en el informe de resultados.</w:t>
      </w:r>
    </w:p>
    <w:p w14:paraId="7B5912C9" w14:textId="77777777" w:rsidR="00AE36C3" w:rsidRPr="005739AC" w:rsidRDefault="00AE36C3" w:rsidP="00AE36C3">
      <w:pPr>
        <w:pStyle w:val="Textoindependiente"/>
        <w:ind w:firstLine="705"/>
        <w:rPr>
          <w:rFonts w:ascii="Abadi" w:hAnsi="Abadi"/>
          <w:b w:val="0"/>
          <w:bCs w:val="0"/>
          <w:sz w:val="21"/>
          <w:szCs w:val="21"/>
        </w:rPr>
      </w:pPr>
    </w:p>
    <w:p w14:paraId="2332AE18"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14 observaciones, mismas que no se solventaron. Asimismo, se formularon 2 recomendaciones que no fueron atendidas. </w:t>
      </w:r>
    </w:p>
    <w:p w14:paraId="6A4D98F8" w14:textId="77777777" w:rsidR="00AE36C3" w:rsidRPr="005739AC" w:rsidRDefault="00AE36C3" w:rsidP="00AE36C3">
      <w:pPr>
        <w:pStyle w:val="Textoindependiente"/>
        <w:ind w:firstLine="705"/>
        <w:rPr>
          <w:rFonts w:ascii="Abadi" w:hAnsi="Abadi"/>
          <w:b w:val="0"/>
          <w:bCs w:val="0"/>
          <w:sz w:val="21"/>
          <w:szCs w:val="21"/>
        </w:rPr>
      </w:pPr>
    </w:p>
    <w:p w14:paraId="3DF26285"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004, 005, 006, 008, 009 y 012, existen importes no solventados por la cuantía que ahí se refiere. </w:t>
      </w:r>
    </w:p>
    <w:p w14:paraId="16BA6EE5" w14:textId="77777777" w:rsidR="00AE36C3" w:rsidRPr="005739AC" w:rsidRDefault="00AE36C3" w:rsidP="00AE36C3">
      <w:pPr>
        <w:pStyle w:val="Textoindependiente"/>
        <w:ind w:firstLine="705"/>
        <w:rPr>
          <w:rFonts w:ascii="Abadi" w:hAnsi="Abadi"/>
          <w:b w:val="0"/>
          <w:bCs w:val="0"/>
          <w:sz w:val="21"/>
          <w:szCs w:val="21"/>
        </w:rPr>
      </w:pPr>
    </w:p>
    <w:p w14:paraId="093D1439"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xml:space="preserve">., celebró operaciones; </w:t>
      </w:r>
      <w:r w:rsidRPr="005739AC">
        <w:rPr>
          <w:rFonts w:ascii="Abadi" w:hAnsi="Abadi"/>
          <w:b w:val="0"/>
          <w:bCs w:val="0"/>
          <w:sz w:val="21"/>
          <w:szCs w:val="21"/>
        </w:rPr>
        <w:lastRenderedPageBreak/>
        <w:t>entre los procedimientos expuestos, se verificó que estas no se encontraran en el listado de Empresas que Facturan Operaciones Simuladas (EFOS) u operaciones inexistentes con el carácter de «</w:t>
      </w:r>
      <w:r w:rsidRPr="005739AC">
        <w:rPr>
          <w:rFonts w:ascii="Abadi" w:hAnsi="Abadi"/>
          <w:b w:val="0"/>
          <w:bCs w:val="0"/>
          <w:i/>
          <w:iCs/>
          <w:sz w:val="21"/>
          <w:szCs w:val="21"/>
        </w:rPr>
        <w:t>Definitivos»</w:t>
      </w:r>
      <w:r w:rsidRPr="005739AC">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73D77B2" w14:textId="77777777" w:rsidR="00AE36C3" w:rsidRPr="001B74AA" w:rsidRDefault="00AE36C3" w:rsidP="00AE36C3">
      <w:pPr>
        <w:pStyle w:val="Textoindependiente"/>
        <w:ind w:firstLine="705"/>
        <w:rPr>
          <w:rFonts w:ascii="Abadi" w:hAnsi="Abadi"/>
          <w:sz w:val="21"/>
          <w:szCs w:val="21"/>
        </w:rPr>
      </w:pPr>
    </w:p>
    <w:p w14:paraId="5C25A8DA" w14:textId="77777777" w:rsidR="00AE36C3" w:rsidRPr="005739AC" w:rsidRDefault="00AE36C3" w:rsidP="00427BD6">
      <w:pPr>
        <w:pStyle w:val="Textoindependiente"/>
        <w:numPr>
          <w:ilvl w:val="0"/>
          <w:numId w:val="9"/>
        </w:numPr>
        <w:tabs>
          <w:tab w:val="clear" w:pos="1065"/>
          <w:tab w:val="num" w:pos="0"/>
        </w:tabs>
        <w:autoSpaceDE/>
        <w:autoSpaceDN/>
        <w:rPr>
          <w:rFonts w:ascii="Abadi" w:hAnsi="Abadi"/>
          <w:sz w:val="21"/>
          <w:szCs w:val="21"/>
        </w:rPr>
      </w:pPr>
      <w:r w:rsidRPr="005739AC">
        <w:rPr>
          <w:rFonts w:ascii="Abadi" w:hAnsi="Abadi"/>
          <w:sz w:val="21"/>
          <w:szCs w:val="21"/>
        </w:rPr>
        <w:t xml:space="preserve">Observaciones y recomendaciones, la respuesta emitida por el sujeto fiscalizado y la valoración correspondiente. </w:t>
      </w:r>
    </w:p>
    <w:p w14:paraId="2BCB8E16" w14:textId="77777777" w:rsidR="00AE36C3" w:rsidRPr="001B74AA" w:rsidRDefault="00AE36C3" w:rsidP="00AE36C3">
      <w:pPr>
        <w:pStyle w:val="Textoindependiente"/>
        <w:ind w:left="1065"/>
        <w:rPr>
          <w:rFonts w:ascii="Abadi" w:hAnsi="Abadi"/>
          <w:b w:val="0"/>
          <w:bCs w:val="0"/>
          <w:sz w:val="21"/>
          <w:szCs w:val="21"/>
        </w:rPr>
      </w:pPr>
    </w:p>
    <w:p w14:paraId="3B16A222" w14:textId="77777777" w:rsidR="00AE36C3" w:rsidRPr="001B74AA" w:rsidRDefault="00AE36C3" w:rsidP="00AE36C3">
      <w:pPr>
        <w:pStyle w:val="Textoindependiente"/>
        <w:ind w:firstLine="705"/>
        <w:rPr>
          <w:rFonts w:ascii="Abadi" w:hAnsi="Abadi"/>
          <w:sz w:val="21"/>
          <w:szCs w:val="21"/>
        </w:rPr>
      </w:pPr>
      <w:r w:rsidRPr="005739AC">
        <w:rPr>
          <w:rFonts w:ascii="Abadi" w:hAnsi="Abadi"/>
          <w:b w:val="0"/>
          <w:bCs w:val="0"/>
          <w:sz w:val="21"/>
          <w:szCs w:val="21"/>
        </w:rPr>
        <w:t>En esta parte se desglosa la valoración de las observaciones y recomendaciones formuladas por el Órgano Técnico,</w:t>
      </w:r>
      <w:r w:rsidRPr="001B74AA">
        <w:rPr>
          <w:rFonts w:ascii="Abadi" w:hAnsi="Abadi"/>
          <w:sz w:val="21"/>
          <w:szCs w:val="21"/>
        </w:rPr>
        <w:t xml:space="preserve"> </w:t>
      </w:r>
      <w:r w:rsidRPr="005739AC">
        <w:rPr>
          <w:rFonts w:ascii="Abadi" w:hAnsi="Abadi"/>
          <w:b w:val="0"/>
          <w:bCs w:val="0"/>
          <w:sz w:val="21"/>
          <w:szCs w:val="21"/>
        </w:rPr>
        <w:t>considerando como no solventadas las observaciones plasmadas en los siguientes numerales: 001, referente a precio unitario. Contrato: DIOP-OC/RECURSOMUNICIPAL2021/006-022021. (1 de 3); 002, correspondiente a planeación, adjudicación, ejecución y entrega - recepción. Contrato: DIOP-OC/RECURSOMUNICIPAL2021/006-022021. (2 de 3); 003, relativo a integración de costos indirectos</w:t>
      </w:r>
      <w:r w:rsidRPr="005739AC">
        <w:rPr>
          <w:rFonts w:ascii="Abadi" w:hAnsi="Abadi"/>
          <w:b w:val="0"/>
          <w:bCs w:val="0"/>
          <w:smallCaps/>
          <w:sz w:val="21"/>
          <w:szCs w:val="21"/>
        </w:rPr>
        <w:t xml:space="preserve">. </w:t>
      </w:r>
      <w:r w:rsidRPr="005739AC">
        <w:rPr>
          <w:rFonts w:ascii="Abadi" w:hAnsi="Abadi"/>
          <w:b w:val="0"/>
          <w:bCs w:val="0"/>
          <w:sz w:val="21"/>
          <w:szCs w:val="21"/>
        </w:rPr>
        <w:t>Contrato</w:t>
      </w:r>
      <w:r w:rsidRPr="005739AC">
        <w:rPr>
          <w:rFonts w:ascii="Abadi" w:hAnsi="Abadi"/>
          <w:b w:val="0"/>
          <w:bCs w:val="0"/>
          <w:smallCaps/>
          <w:sz w:val="21"/>
          <w:szCs w:val="21"/>
        </w:rPr>
        <w:t xml:space="preserve">: </w:t>
      </w:r>
      <w:r w:rsidRPr="005739AC">
        <w:rPr>
          <w:rFonts w:ascii="Abadi" w:hAnsi="Abadi"/>
          <w:b w:val="0"/>
          <w:bCs w:val="0"/>
          <w:sz w:val="21"/>
          <w:szCs w:val="21"/>
        </w:rPr>
        <w:t xml:space="preserve">DIOP-OC/RECURSOMUNICIPAL2021/006-022021. (3 de 3); 004, referido a precio Unitario. Contrato: DIOP-OC/SEDESHU/GTO/PEMC/093-122020; 005, referente a cantidades de obra. Contrato: DIOP-OC/SEDESHU/GTO/PSBGTO/FAISM2021/041-062021. (1 de 2); 006, correspondiente a integración de costos indirectos y soporte documental. Contrato: DIOP-OC/SEDESHU/GTO/PSBGTO/FAISM2021/041-062021. (2 de 2); 007, relativo a integración de costos indirectos. Contrato: DIOP-OC/SEDESHU/GTO/PEMC/FAISM2021/035-062021; 008, referido a cantidades de obra. Contrato: DIOP-OC/SEDESHU/PEMC/RECURSOMUNICIPAL2020/066-082020. (1 de 2); 009, referente a precio unitario. Contrato: DIOP-OC/SEDESHU/PEMC/RECURSOMUNICIPAL2020/066-082020. (2 de 2); 010, correspondiente a elaboración de bitácora. Contrato DIOP-OC/CODE/004-022021 (1 de 3); 011, relativo a integración de costos </w:t>
      </w:r>
      <w:r w:rsidRPr="005739AC">
        <w:rPr>
          <w:rFonts w:ascii="Abadi" w:hAnsi="Abadi"/>
          <w:b w:val="0"/>
          <w:bCs w:val="0"/>
          <w:sz w:val="21"/>
          <w:szCs w:val="21"/>
        </w:rPr>
        <w:t>indirectos. Contrato DIOP-OC/CODE/004-022021. (2 de 3); 012, referido a cantidades de obra, Contrato DIOP-OC/CODE/004-022021.  (3 de 3); 013, referente a integración de costos indirectos. Contrato DIOP-OC/RECURSOMUNICIPAL2021/007-022021; y 014, correspondiente a integración de costos indirectos. Contrato DIOP-OC/SAERNASR/FAISM2021/023-</w:t>
      </w:r>
      <w:r w:rsidRPr="001B74AA">
        <w:rPr>
          <w:rFonts w:ascii="Abadi" w:hAnsi="Abadi"/>
          <w:sz w:val="21"/>
          <w:szCs w:val="21"/>
        </w:rPr>
        <w:t xml:space="preserve">052021. </w:t>
      </w:r>
    </w:p>
    <w:p w14:paraId="6E56B868" w14:textId="77777777" w:rsidR="00AE36C3" w:rsidRPr="001B74AA" w:rsidRDefault="00AE36C3" w:rsidP="00AE36C3">
      <w:pPr>
        <w:pStyle w:val="Textoindependiente"/>
        <w:ind w:firstLine="705"/>
        <w:rPr>
          <w:rFonts w:ascii="Abadi" w:hAnsi="Abadi"/>
          <w:sz w:val="21"/>
          <w:szCs w:val="21"/>
        </w:rPr>
      </w:pPr>
    </w:p>
    <w:p w14:paraId="0FED679E"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En el apartado de Recomendaciones Generales, no se atendieron los numerales 001, relativo a cantidades de obra. Contrato: DIOP-OC/SEDESHU/GTO/PSBGTO/FAISM2021/041-062021. (1 de 2); y 002, referido a integración de costos indirectos. Contrato: DIOP-OC/SEDESHU/GTO/PSBGTO/FAISM2021/041-062021. (2 de 2).</w:t>
      </w:r>
    </w:p>
    <w:p w14:paraId="21ACD95D" w14:textId="77777777" w:rsidR="00AE36C3" w:rsidRPr="001B74AA" w:rsidRDefault="00AE36C3" w:rsidP="00AE36C3">
      <w:pPr>
        <w:pStyle w:val="Textoindependiente"/>
        <w:ind w:firstLine="705"/>
        <w:rPr>
          <w:rFonts w:ascii="Abadi" w:hAnsi="Abadi"/>
          <w:sz w:val="21"/>
          <w:szCs w:val="21"/>
        </w:rPr>
      </w:pPr>
    </w:p>
    <w:p w14:paraId="7F1B8AC4" w14:textId="77777777" w:rsidR="00AE36C3" w:rsidRPr="005739AC" w:rsidRDefault="00AE36C3" w:rsidP="00427BD6">
      <w:pPr>
        <w:pStyle w:val="Textoindependiente"/>
        <w:numPr>
          <w:ilvl w:val="0"/>
          <w:numId w:val="9"/>
        </w:numPr>
        <w:autoSpaceDE/>
        <w:autoSpaceDN/>
        <w:rPr>
          <w:rFonts w:ascii="Abadi" w:hAnsi="Abadi"/>
          <w:sz w:val="21"/>
          <w:szCs w:val="21"/>
        </w:rPr>
      </w:pPr>
      <w:r w:rsidRPr="005739AC">
        <w:rPr>
          <w:rFonts w:ascii="Abadi" w:hAnsi="Abadi"/>
          <w:sz w:val="21"/>
          <w:szCs w:val="21"/>
        </w:rPr>
        <w:t xml:space="preserve">Promoción del ejercicio de facultades de comprobación fiscal. </w:t>
      </w:r>
    </w:p>
    <w:p w14:paraId="5EA77411" w14:textId="77777777" w:rsidR="00AE36C3" w:rsidRPr="005739AC" w:rsidRDefault="00AE36C3" w:rsidP="00AE36C3">
      <w:pPr>
        <w:pStyle w:val="Textoindependiente"/>
        <w:ind w:firstLine="705"/>
        <w:rPr>
          <w:rFonts w:ascii="Abadi" w:hAnsi="Abadi"/>
          <w:b w:val="0"/>
          <w:bCs w:val="0"/>
          <w:sz w:val="21"/>
          <w:szCs w:val="21"/>
        </w:rPr>
      </w:pPr>
    </w:p>
    <w:p w14:paraId="591C9B8C"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9882EDD" w14:textId="77777777" w:rsidR="00AE36C3" w:rsidRPr="001B74AA" w:rsidRDefault="00AE36C3" w:rsidP="00AE36C3">
      <w:pPr>
        <w:pStyle w:val="Textoindependiente"/>
        <w:ind w:firstLine="705"/>
        <w:rPr>
          <w:rFonts w:ascii="Abadi" w:hAnsi="Abadi"/>
          <w:sz w:val="21"/>
          <w:szCs w:val="21"/>
        </w:rPr>
      </w:pPr>
    </w:p>
    <w:p w14:paraId="387AA86E" w14:textId="77777777" w:rsidR="00AE36C3" w:rsidRPr="005739AC" w:rsidRDefault="00AE36C3" w:rsidP="00427BD6">
      <w:pPr>
        <w:pStyle w:val="Textoindependiente"/>
        <w:numPr>
          <w:ilvl w:val="0"/>
          <w:numId w:val="9"/>
        </w:numPr>
        <w:autoSpaceDE/>
        <w:autoSpaceDN/>
        <w:rPr>
          <w:rFonts w:ascii="Abadi" w:hAnsi="Abadi"/>
          <w:sz w:val="21"/>
          <w:szCs w:val="21"/>
        </w:rPr>
      </w:pPr>
      <w:r w:rsidRPr="005739AC">
        <w:rPr>
          <w:rFonts w:ascii="Abadi" w:hAnsi="Abadi"/>
          <w:sz w:val="21"/>
          <w:szCs w:val="21"/>
        </w:rPr>
        <w:t>Comunicado ante órganos de control y autoridades que administran padrones de proveedores y contratistas.</w:t>
      </w:r>
    </w:p>
    <w:p w14:paraId="549C5D20" w14:textId="77777777" w:rsidR="00AE36C3" w:rsidRPr="001B74AA" w:rsidRDefault="00AE36C3" w:rsidP="00AE36C3">
      <w:pPr>
        <w:pStyle w:val="Textoindependiente"/>
        <w:ind w:firstLine="705"/>
        <w:rPr>
          <w:rFonts w:ascii="Abadi" w:hAnsi="Abadi"/>
          <w:sz w:val="21"/>
          <w:szCs w:val="21"/>
        </w:rPr>
      </w:pPr>
    </w:p>
    <w:p w14:paraId="0DAD7450"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w:t>
      </w:r>
      <w:r w:rsidRPr="005739AC">
        <w:rPr>
          <w:rFonts w:ascii="Abadi" w:hAnsi="Abadi"/>
          <w:b w:val="0"/>
          <w:bCs w:val="0"/>
          <w:sz w:val="21"/>
          <w:szCs w:val="21"/>
        </w:rPr>
        <w:lastRenderedPageBreak/>
        <w:t xml:space="preserve">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del municipio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5253D2D0" w14:textId="77777777" w:rsidR="00AE36C3" w:rsidRPr="001B74AA" w:rsidRDefault="00AE36C3" w:rsidP="00AE36C3">
      <w:pPr>
        <w:pStyle w:val="Textoindependiente"/>
        <w:ind w:firstLine="705"/>
        <w:rPr>
          <w:rFonts w:ascii="Abadi" w:hAnsi="Abadi"/>
          <w:sz w:val="21"/>
          <w:szCs w:val="21"/>
        </w:rPr>
      </w:pPr>
    </w:p>
    <w:p w14:paraId="74CB66C7" w14:textId="77777777" w:rsidR="00AE36C3" w:rsidRPr="005739AC" w:rsidRDefault="00AE36C3" w:rsidP="00427BD6">
      <w:pPr>
        <w:pStyle w:val="Textoindependiente"/>
        <w:numPr>
          <w:ilvl w:val="0"/>
          <w:numId w:val="9"/>
        </w:numPr>
        <w:autoSpaceDE/>
        <w:autoSpaceDN/>
        <w:rPr>
          <w:rFonts w:ascii="Abadi" w:hAnsi="Abadi"/>
          <w:sz w:val="21"/>
          <w:szCs w:val="21"/>
        </w:rPr>
      </w:pPr>
      <w:r w:rsidRPr="005739AC">
        <w:rPr>
          <w:rFonts w:ascii="Abadi" w:hAnsi="Abadi"/>
          <w:sz w:val="21"/>
          <w:szCs w:val="21"/>
        </w:rPr>
        <w:t xml:space="preserve">Recurso de Reconsideración. </w:t>
      </w:r>
    </w:p>
    <w:p w14:paraId="3A32CBBE" w14:textId="77777777" w:rsidR="00AE36C3" w:rsidRPr="001B74AA" w:rsidRDefault="00AE36C3" w:rsidP="00AE36C3">
      <w:pPr>
        <w:pStyle w:val="Textoindependiente"/>
        <w:ind w:left="705"/>
        <w:rPr>
          <w:rFonts w:ascii="Abadi" w:hAnsi="Abadi"/>
          <w:b w:val="0"/>
          <w:bCs w:val="0"/>
          <w:sz w:val="21"/>
          <w:szCs w:val="21"/>
        </w:rPr>
      </w:pPr>
    </w:p>
    <w:p w14:paraId="49BEFDC8"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5739AC">
          <w:rPr>
            <w:rFonts w:ascii="Abadi" w:hAnsi="Abadi"/>
            <w:b w:val="0"/>
            <w:bCs w:val="0"/>
            <w:sz w:val="21"/>
            <w:szCs w:val="21"/>
          </w:rPr>
          <w:t>la Ley</w:t>
        </w:r>
      </w:smartTag>
      <w:r w:rsidRPr="005739AC">
        <w:rPr>
          <w:rFonts w:ascii="Abadi" w:hAnsi="Abadi"/>
          <w:b w:val="0"/>
          <w:bCs w:val="0"/>
          <w:sz w:val="21"/>
          <w:szCs w:val="21"/>
        </w:rPr>
        <w:t xml:space="preserve"> de Fiscalización Superior del Estado de Guanajuato, el presidente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xml:space="preserve">., interpuso recurso de reconsideración en contra del informe de resultados de la auditoría practicada a la infraestructura pública municipal respecto de las operaciones realizadas por la administración pública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correspondientes al periodo comprendido del 1 de enero al 31 de diciembre del ejercicio fiscal del año 2021, concretamente en contra de las observaciones plasmadas en los numerales 004, referido a precio Unitario. Contrato: DIOP-OC/SEDESHU/GTO/PEMC/093-122020; 005, referente a cantidades de obra. Contrato: DIOP-OC/SEDESHU/GTO/PSBGTO/FAISM2021/041-062021. (1 de 2); 006, correspondiente a integración de costos indirectos y soporte documental. Contrato: DIOP-OC/SEDESHU/GTO/PSBGTO/FAISM2021/041-062021. (2 de 2); 008, relativo a cantidades de obra. Contrato: DIOP-OC/SEDESHU/PEMC/RECURSOMUNICIPAL2020/066-082020. (1 de 2); 009, referido a precio unitario. Contrato: DIOP-OC/SEDESHU/PEMC/RECURSOMUNICIPAL2020/066-082020. (2 de 2); y 012, referente a cantidades de obra, Contrato DIOP-OC/CODE/004-022021.  (3 de 3), así como de la recomendación contenida en el numeral 001, correspondiente a cantidades de obra. Contrato: DIOP-</w:t>
      </w:r>
      <w:r w:rsidRPr="005739AC">
        <w:rPr>
          <w:rFonts w:ascii="Abadi" w:hAnsi="Abadi"/>
          <w:b w:val="0"/>
          <w:bCs w:val="0"/>
          <w:sz w:val="21"/>
          <w:szCs w:val="21"/>
        </w:rPr>
        <w:t xml:space="preserve">OC/SEDESHU/GTO/PSBGTO/FAISM2021/041-062021. (1 de 2), mismas que se encuentran relacionadas con el Capítulo II, denominado Observaciones y Recomendaciones; Respuesta Emitida por el Sujeto Fiscalizado y Valoración Correspondiente. </w:t>
      </w:r>
    </w:p>
    <w:p w14:paraId="3F1ABF9E" w14:textId="77777777" w:rsidR="00AE36C3" w:rsidRPr="005739AC" w:rsidRDefault="00AE36C3" w:rsidP="00AE36C3">
      <w:pPr>
        <w:pStyle w:val="Textoindependiente"/>
        <w:ind w:firstLine="705"/>
        <w:rPr>
          <w:rFonts w:ascii="Abadi" w:hAnsi="Abadi"/>
          <w:b w:val="0"/>
          <w:bCs w:val="0"/>
          <w:sz w:val="21"/>
          <w:szCs w:val="21"/>
        </w:rPr>
      </w:pPr>
    </w:p>
    <w:p w14:paraId="0035E1B3"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 xml:space="preserve">En tal sentido, mediante el acuerdo de fecha 28 de marzo de 2023,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5739AC">
          <w:rPr>
            <w:rFonts w:ascii="Abadi" w:hAnsi="Abadi"/>
            <w:b w:val="0"/>
            <w:bCs w:val="0"/>
            <w:sz w:val="21"/>
            <w:szCs w:val="21"/>
          </w:rPr>
          <w:t>la Ley</w:t>
        </w:r>
      </w:smartTag>
      <w:r w:rsidRPr="005739AC">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los medios de prueba ofrecidos por los recurrentes al tratarse de pruebas novedosas y supervenientes.</w:t>
      </w:r>
    </w:p>
    <w:p w14:paraId="2E204694" w14:textId="77777777" w:rsidR="00AE36C3" w:rsidRPr="005739AC" w:rsidRDefault="00AE36C3" w:rsidP="00AE36C3">
      <w:pPr>
        <w:pStyle w:val="Textoindependiente"/>
        <w:ind w:firstLine="708"/>
        <w:rPr>
          <w:rFonts w:ascii="Abadi" w:hAnsi="Abadi"/>
          <w:b w:val="0"/>
          <w:bCs w:val="0"/>
          <w:sz w:val="21"/>
          <w:szCs w:val="21"/>
        </w:rPr>
      </w:pPr>
    </w:p>
    <w:p w14:paraId="2740583C"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Una vez tramitado el recurso, el Auditor Superior del Estado, el 29 de marzo de 2023 emitió la resolución correspondiente, determinándose respecto a las observaciones plasmadas en los numerales 004, 005, 006, 008, 009 y 012, que las pruebas documentales aportadas por el recurrente resultaron insuficientes para modificar el sentido de su valoración, al no acreditar el reintegro de los importes observados, por los argumentos expresados en el considerando séptimo. En razón de lo cual, se confirmó el sentido de la valoración de las observaciones como no solventadas, con acciones de impacto económico pendientes de realizar por el sujeto fiscalizado.</w:t>
      </w:r>
    </w:p>
    <w:p w14:paraId="6A85CE0F" w14:textId="77777777" w:rsidR="00AE36C3" w:rsidRPr="001B74AA" w:rsidRDefault="00AE36C3" w:rsidP="00AE36C3">
      <w:pPr>
        <w:pStyle w:val="Textoindependiente"/>
        <w:ind w:firstLine="708"/>
        <w:rPr>
          <w:rFonts w:ascii="Abadi" w:hAnsi="Abadi"/>
          <w:sz w:val="21"/>
          <w:szCs w:val="21"/>
        </w:rPr>
      </w:pPr>
    </w:p>
    <w:p w14:paraId="2A3F149B" w14:textId="77777777" w:rsidR="00AE36C3" w:rsidRPr="005739AC" w:rsidRDefault="00AE36C3" w:rsidP="00AE36C3">
      <w:pPr>
        <w:pStyle w:val="Textoindependiente"/>
        <w:ind w:firstLine="708"/>
        <w:rPr>
          <w:rFonts w:ascii="Abadi" w:hAnsi="Abadi"/>
          <w:b w:val="0"/>
          <w:bCs w:val="0"/>
          <w:sz w:val="21"/>
          <w:szCs w:val="21"/>
        </w:rPr>
      </w:pPr>
      <w:r w:rsidRPr="005739AC">
        <w:rPr>
          <w:rFonts w:ascii="Abadi" w:hAnsi="Abadi"/>
          <w:b w:val="0"/>
          <w:bCs w:val="0"/>
          <w:sz w:val="21"/>
          <w:szCs w:val="21"/>
        </w:rPr>
        <w:t>Finalmente, respecto a la recomendación contenida en el numeral 001, se concluyó que las pruebas aportadas por el recurrente resultaron insuficientes para modificar el sentido de su valoración, de acuerdo a lo expresado en el considerando séptimo. En consecuencia, se confirmó su valoración como no atendida.</w:t>
      </w:r>
    </w:p>
    <w:p w14:paraId="51063B26" w14:textId="77777777" w:rsidR="00AE36C3" w:rsidRPr="005739AC" w:rsidRDefault="00AE36C3" w:rsidP="00AE36C3">
      <w:pPr>
        <w:pStyle w:val="Textoindependiente"/>
        <w:ind w:firstLine="708"/>
        <w:rPr>
          <w:rFonts w:ascii="Abadi" w:hAnsi="Abadi"/>
          <w:b w:val="0"/>
          <w:bCs w:val="0"/>
          <w:sz w:val="21"/>
          <w:szCs w:val="21"/>
        </w:rPr>
      </w:pPr>
    </w:p>
    <w:p w14:paraId="77180D86"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t xml:space="preserve">La referida resolución se notificó al presidente municipal de San Miguel de Allende, </w:t>
      </w:r>
      <w:proofErr w:type="spellStart"/>
      <w:r w:rsidRPr="005739AC">
        <w:rPr>
          <w:rFonts w:ascii="Abadi" w:hAnsi="Abadi"/>
          <w:b w:val="0"/>
          <w:bCs w:val="0"/>
          <w:sz w:val="21"/>
          <w:szCs w:val="21"/>
        </w:rPr>
        <w:t>Gto</w:t>
      </w:r>
      <w:proofErr w:type="spellEnd"/>
      <w:r w:rsidRPr="005739AC">
        <w:rPr>
          <w:rFonts w:ascii="Abadi" w:hAnsi="Abadi"/>
          <w:b w:val="0"/>
          <w:bCs w:val="0"/>
          <w:sz w:val="21"/>
          <w:szCs w:val="21"/>
        </w:rPr>
        <w:t>., el 30 de marzo de 2023.</w:t>
      </w:r>
    </w:p>
    <w:p w14:paraId="70CBBD05" w14:textId="77777777" w:rsidR="00AE36C3" w:rsidRPr="001B74AA" w:rsidRDefault="00AE36C3" w:rsidP="00AE36C3">
      <w:pPr>
        <w:pStyle w:val="Textoindependiente"/>
        <w:ind w:firstLine="705"/>
        <w:rPr>
          <w:rFonts w:ascii="Abadi" w:hAnsi="Abadi"/>
          <w:sz w:val="21"/>
          <w:szCs w:val="21"/>
        </w:rPr>
      </w:pPr>
    </w:p>
    <w:p w14:paraId="531F6605" w14:textId="77777777" w:rsidR="00AE36C3" w:rsidRPr="001B74AA" w:rsidRDefault="00AE36C3" w:rsidP="00427BD6">
      <w:pPr>
        <w:pStyle w:val="Textoindependiente"/>
        <w:numPr>
          <w:ilvl w:val="0"/>
          <w:numId w:val="9"/>
        </w:numPr>
        <w:autoSpaceDE/>
        <w:autoSpaceDN/>
        <w:rPr>
          <w:rFonts w:ascii="Abadi" w:hAnsi="Abadi"/>
          <w:b w:val="0"/>
          <w:bCs w:val="0"/>
          <w:sz w:val="21"/>
          <w:szCs w:val="21"/>
        </w:rPr>
      </w:pPr>
      <w:r w:rsidRPr="001B74AA">
        <w:rPr>
          <w:rFonts w:ascii="Abadi" w:hAnsi="Abadi"/>
          <w:b w:val="0"/>
          <w:bCs w:val="0"/>
          <w:sz w:val="21"/>
          <w:szCs w:val="21"/>
        </w:rPr>
        <w:t xml:space="preserve">Anexos. </w:t>
      </w:r>
    </w:p>
    <w:p w14:paraId="7699BBBC" w14:textId="77777777" w:rsidR="00AE36C3" w:rsidRPr="001B74AA" w:rsidRDefault="00AE36C3" w:rsidP="00AE36C3">
      <w:pPr>
        <w:pStyle w:val="Textoindependiente"/>
        <w:ind w:firstLine="705"/>
        <w:rPr>
          <w:rFonts w:ascii="Abadi" w:hAnsi="Abadi"/>
          <w:sz w:val="21"/>
          <w:szCs w:val="21"/>
        </w:rPr>
      </w:pPr>
    </w:p>
    <w:p w14:paraId="02C4070C" w14:textId="77777777" w:rsidR="00AE36C3" w:rsidRPr="005739AC" w:rsidRDefault="00AE36C3" w:rsidP="00AE36C3">
      <w:pPr>
        <w:pStyle w:val="Textoindependiente"/>
        <w:ind w:firstLine="705"/>
        <w:rPr>
          <w:rFonts w:ascii="Abadi" w:hAnsi="Abadi"/>
          <w:b w:val="0"/>
          <w:bCs w:val="0"/>
          <w:sz w:val="21"/>
          <w:szCs w:val="21"/>
        </w:rPr>
      </w:pPr>
      <w:r w:rsidRPr="005739AC">
        <w:rPr>
          <w:rFonts w:ascii="Abadi" w:hAnsi="Abadi"/>
          <w:b w:val="0"/>
          <w:bCs w:val="0"/>
          <w:sz w:val="21"/>
          <w:szCs w:val="21"/>
        </w:rPr>
        <w:lastRenderedPageBreak/>
        <w:t>En esta parte, se adjuntan los anexos técnicos derivados de la auditoría.</w:t>
      </w:r>
    </w:p>
    <w:p w14:paraId="354F12A1" w14:textId="77777777" w:rsidR="00AE36C3" w:rsidRPr="005739AC" w:rsidRDefault="00AE36C3" w:rsidP="00AE36C3">
      <w:pPr>
        <w:pStyle w:val="Textoindependiente"/>
        <w:ind w:firstLine="705"/>
        <w:rPr>
          <w:rFonts w:ascii="Abadi" w:hAnsi="Abadi"/>
          <w:b w:val="0"/>
          <w:bCs w:val="0"/>
          <w:sz w:val="21"/>
          <w:szCs w:val="21"/>
        </w:rPr>
      </w:pPr>
    </w:p>
    <w:p w14:paraId="7204AF29" w14:textId="77777777" w:rsidR="00AE36C3" w:rsidRPr="001B74AA" w:rsidRDefault="00AE36C3" w:rsidP="00AE36C3">
      <w:pPr>
        <w:pStyle w:val="Textoindependiente"/>
        <w:ind w:firstLine="705"/>
        <w:rPr>
          <w:rFonts w:ascii="Abadi" w:hAnsi="Abadi"/>
          <w:sz w:val="21"/>
          <w:szCs w:val="21"/>
        </w:rPr>
      </w:pPr>
    </w:p>
    <w:p w14:paraId="38C0BC38" w14:textId="77777777" w:rsidR="00AE36C3" w:rsidRPr="001B74AA" w:rsidRDefault="00AE36C3" w:rsidP="00AE36C3">
      <w:pPr>
        <w:ind w:firstLine="708"/>
        <w:jc w:val="both"/>
        <w:rPr>
          <w:rFonts w:ascii="Abadi" w:hAnsi="Abadi"/>
          <w:b/>
          <w:bCs/>
          <w:sz w:val="21"/>
          <w:szCs w:val="21"/>
        </w:rPr>
      </w:pPr>
      <w:r w:rsidRPr="001B74AA">
        <w:rPr>
          <w:rFonts w:ascii="Abadi" w:hAnsi="Abadi"/>
          <w:b/>
          <w:bCs/>
          <w:sz w:val="21"/>
          <w:szCs w:val="21"/>
        </w:rPr>
        <w:t>V. Conclusiones:</w:t>
      </w:r>
    </w:p>
    <w:p w14:paraId="550181CA" w14:textId="77777777" w:rsidR="00AE36C3" w:rsidRPr="001B74AA" w:rsidRDefault="00AE36C3" w:rsidP="00AE36C3">
      <w:pPr>
        <w:jc w:val="both"/>
        <w:rPr>
          <w:rFonts w:ascii="Abadi" w:hAnsi="Abadi"/>
          <w:sz w:val="21"/>
          <w:szCs w:val="21"/>
        </w:rPr>
      </w:pPr>
    </w:p>
    <w:p w14:paraId="35DD0D3B" w14:textId="77777777" w:rsidR="00AE36C3" w:rsidRPr="001B74AA" w:rsidRDefault="00AE36C3" w:rsidP="00AE36C3">
      <w:pPr>
        <w:jc w:val="both"/>
        <w:rPr>
          <w:rFonts w:ascii="Abadi" w:hAnsi="Abadi"/>
          <w:sz w:val="21"/>
          <w:szCs w:val="21"/>
        </w:rPr>
      </w:pPr>
      <w:r w:rsidRPr="001B74AA">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C516B05" w14:textId="77777777" w:rsidR="00AE36C3" w:rsidRPr="001B74AA" w:rsidRDefault="00AE36C3" w:rsidP="00AE36C3">
      <w:pPr>
        <w:jc w:val="both"/>
        <w:rPr>
          <w:rFonts w:ascii="Abadi" w:hAnsi="Abadi"/>
          <w:sz w:val="21"/>
          <w:szCs w:val="21"/>
        </w:rPr>
      </w:pPr>
    </w:p>
    <w:p w14:paraId="5A838FCF" w14:textId="77777777" w:rsidR="00AE36C3" w:rsidRPr="001B74AA" w:rsidRDefault="00AE36C3" w:rsidP="00AE36C3">
      <w:pPr>
        <w:jc w:val="both"/>
        <w:rPr>
          <w:rFonts w:ascii="Abadi" w:hAnsi="Abadi"/>
          <w:sz w:val="21"/>
          <w:szCs w:val="21"/>
        </w:rPr>
      </w:pPr>
      <w:r w:rsidRPr="001B74AA">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0430CEBF" w14:textId="77777777" w:rsidR="00AE36C3" w:rsidRPr="001B74AA" w:rsidRDefault="00AE36C3" w:rsidP="00AE36C3">
      <w:pPr>
        <w:jc w:val="both"/>
        <w:rPr>
          <w:rFonts w:ascii="Abadi" w:hAnsi="Abadi"/>
          <w:sz w:val="21"/>
          <w:szCs w:val="21"/>
        </w:rPr>
      </w:pPr>
    </w:p>
    <w:p w14:paraId="5F7820FE"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al presidente y al ex presidente municipales, así como al ex presidente municipal interino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concediéndoles el plazo que establece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formuladas.</w:t>
      </w:r>
    </w:p>
    <w:p w14:paraId="1E96A58A" w14:textId="77777777" w:rsidR="00AE36C3" w:rsidRPr="001B74AA" w:rsidRDefault="00AE36C3" w:rsidP="00AE36C3">
      <w:pPr>
        <w:jc w:val="both"/>
        <w:rPr>
          <w:rFonts w:ascii="Abadi" w:hAnsi="Abadi"/>
          <w:sz w:val="21"/>
          <w:szCs w:val="21"/>
        </w:rPr>
      </w:pPr>
    </w:p>
    <w:p w14:paraId="14595CE0"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De igual manera, existe en el informe de resultados la constancia de que este se notificó al presidente y al ex presidente municipales, así como al ex presidente municipal interino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w:t>
      </w:r>
      <w:r w:rsidRPr="001B74AA">
        <w:rPr>
          <w:rFonts w:ascii="Abadi" w:hAnsi="Abadi"/>
          <w:sz w:val="21"/>
          <w:szCs w:val="21"/>
        </w:rPr>
        <w:t xml:space="preserve">correspondiente, misma que consideramos se encuentra suficientemente fundada y motivada y que en su oportunidad se notificó al presidente municipal de San Miguel de Allende, </w:t>
      </w:r>
      <w:proofErr w:type="spellStart"/>
      <w:r w:rsidRPr="001B74AA">
        <w:rPr>
          <w:rFonts w:ascii="Abadi" w:hAnsi="Abadi"/>
          <w:sz w:val="21"/>
          <w:szCs w:val="21"/>
        </w:rPr>
        <w:t>Gto</w:t>
      </w:r>
      <w:proofErr w:type="spellEnd"/>
      <w:r w:rsidRPr="001B74AA">
        <w:rPr>
          <w:rFonts w:ascii="Abadi" w:hAnsi="Abadi"/>
          <w:sz w:val="21"/>
          <w:szCs w:val="21"/>
        </w:rPr>
        <w:t>. En tal virtud, se considera que fue respetado el derecho de audiencia o defensa por parte del Órgano Técnico.</w:t>
      </w:r>
    </w:p>
    <w:p w14:paraId="434CCAA0" w14:textId="77777777" w:rsidR="00AE36C3" w:rsidRPr="001B74AA" w:rsidRDefault="00AE36C3" w:rsidP="00AE36C3">
      <w:pPr>
        <w:ind w:firstLine="708"/>
        <w:jc w:val="both"/>
        <w:rPr>
          <w:rFonts w:ascii="Abadi" w:hAnsi="Abadi"/>
          <w:sz w:val="21"/>
          <w:szCs w:val="21"/>
        </w:rPr>
      </w:pPr>
    </w:p>
    <w:p w14:paraId="7B10C5AE" w14:textId="77777777" w:rsidR="00AE36C3" w:rsidRPr="001B74AA" w:rsidRDefault="00AE36C3" w:rsidP="00AE36C3">
      <w:pPr>
        <w:ind w:firstLine="708"/>
        <w:jc w:val="both"/>
        <w:rPr>
          <w:rFonts w:ascii="Abadi" w:hAnsi="Abadi"/>
          <w:sz w:val="21"/>
          <w:szCs w:val="21"/>
        </w:rPr>
      </w:pPr>
    </w:p>
    <w:p w14:paraId="4D7CAD7B"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3181888" w14:textId="77777777" w:rsidR="00AE36C3" w:rsidRPr="001B74AA" w:rsidRDefault="00AE36C3" w:rsidP="00AE36C3">
      <w:pPr>
        <w:ind w:firstLine="708"/>
        <w:jc w:val="both"/>
        <w:rPr>
          <w:rFonts w:ascii="Abadi" w:hAnsi="Abadi"/>
          <w:sz w:val="21"/>
          <w:szCs w:val="21"/>
        </w:rPr>
      </w:pPr>
    </w:p>
    <w:p w14:paraId="0E71F2E0"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47F2A35" w14:textId="77777777" w:rsidR="00AE36C3" w:rsidRPr="001B74AA" w:rsidRDefault="00AE36C3" w:rsidP="00AE36C3">
      <w:pPr>
        <w:ind w:firstLine="708"/>
        <w:jc w:val="both"/>
        <w:rPr>
          <w:rFonts w:ascii="Abadi" w:hAnsi="Abadi"/>
          <w:sz w:val="21"/>
          <w:szCs w:val="21"/>
        </w:rPr>
      </w:pPr>
    </w:p>
    <w:p w14:paraId="5D82FAE2"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w:t>
      </w:r>
      <w:r w:rsidRPr="001B74AA">
        <w:rPr>
          <w:rFonts w:ascii="Abadi" w:hAnsi="Abadi"/>
          <w:sz w:val="21"/>
          <w:szCs w:val="21"/>
        </w:rPr>
        <w:lastRenderedPageBreak/>
        <w:t>de la referida Ley, deberá realizar el seguimiento a las observaciones no solventadas y a las recomendaciones no atendidas contenidas en el informe de resultados.</w:t>
      </w:r>
    </w:p>
    <w:p w14:paraId="04DFA2D2" w14:textId="77777777" w:rsidR="00AE36C3" w:rsidRPr="001B74AA" w:rsidRDefault="00AE36C3" w:rsidP="00AE36C3">
      <w:pPr>
        <w:ind w:firstLine="708"/>
        <w:jc w:val="both"/>
        <w:rPr>
          <w:rFonts w:ascii="Abadi" w:hAnsi="Abadi"/>
          <w:sz w:val="21"/>
          <w:szCs w:val="21"/>
        </w:rPr>
      </w:pPr>
    </w:p>
    <w:p w14:paraId="1276094A"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54F1BCC" w14:textId="77777777" w:rsidR="00AE36C3" w:rsidRPr="001B74AA" w:rsidRDefault="00AE36C3" w:rsidP="00AE36C3">
      <w:pPr>
        <w:ind w:firstLine="708"/>
        <w:jc w:val="both"/>
        <w:rPr>
          <w:rFonts w:ascii="Abadi" w:hAnsi="Abadi"/>
          <w:sz w:val="21"/>
          <w:szCs w:val="21"/>
        </w:rPr>
      </w:pPr>
    </w:p>
    <w:p w14:paraId="56EA38A0" w14:textId="77777777" w:rsidR="00AE36C3" w:rsidRPr="001B74AA" w:rsidRDefault="00AE36C3" w:rsidP="00AE36C3">
      <w:pPr>
        <w:ind w:firstLine="708"/>
        <w:jc w:val="both"/>
        <w:rPr>
          <w:rFonts w:ascii="Abadi" w:hAnsi="Abadi"/>
          <w:sz w:val="21"/>
          <w:szCs w:val="21"/>
        </w:rPr>
      </w:pPr>
    </w:p>
    <w:p w14:paraId="728B31F5"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 razón por la cual no podría ser observado por el Pleno del Congreso.</w:t>
      </w:r>
    </w:p>
    <w:p w14:paraId="61086A0E" w14:textId="77777777" w:rsidR="00AE36C3" w:rsidRPr="001B74AA" w:rsidRDefault="00AE36C3" w:rsidP="00AE36C3">
      <w:pPr>
        <w:ind w:firstLine="708"/>
        <w:jc w:val="both"/>
        <w:rPr>
          <w:rFonts w:ascii="Abadi" w:hAnsi="Abadi"/>
          <w:sz w:val="21"/>
          <w:szCs w:val="21"/>
        </w:rPr>
      </w:pPr>
    </w:p>
    <w:p w14:paraId="1AD98437" w14:textId="77777777" w:rsidR="00AE36C3" w:rsidRPr="001B74AA" w:rsidRDefault="00AE36C3" w:rsidP="00AE36C3">
      <w:pPr>
        <w:ind w:firstLine="708"/>
        <w:jc w:val="both"/>
        <w:rPr>
          <w:rFonts w:ascii="Abadi" w:hAnsi="Abadi"/>
          <w:sz w:val="21"/>
          <w:szCs w:val="21"/>
        </w:rPr>
      </w:pPr>
      <w:r w:rsidRPr="001B74A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B74AA">
          <w:rPr>
            <w:rFonts w:ascii="Abadi" w:hAnsi="Abadi"/>
            <w:sz w:val="21"/>
            <w:szCs w:val="21"/>
          </w:rPr>
          <w:t>la Ley Orgánica</w:t>
        </w:r>
      </w:smartTag>
      <w:r w:rsidRPr="001B74A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B74AA">
          <w:rPr>
            <w:rFonts w:ascii="Abadi" w:hAnsi="Abadi"/>
            <w:sz w:val="21"/>
            <w:szCs w:val="21"/>
          </w:rPr>
          <w:t>la Asamblea</w:t>
        </w:r>
      </w:smartTag>
      <w:r w:rsidRPr="001B74AA">
        <w:rPr>
          <w:rFonts w:ascii="Abadi" w:hAnsi="Abadi"/>
          <w:sz w:val="21"/>
          <w:szCs w:val="21"/>
        </w:rPr>
        <w:t>, la aprobación del siguiente:</w:t>
      </w:r>
    </w:p>
    <w:p w14:paraId="25B1DF64" w14:textId="77777777" w:rsidR="00AE36C3" w:rsidRPr="001B74AA" w:rsidRDefault="00AE36C3" w:rsidP="00AE36C3">
      <w:pPr>
        <w:pStyle w:val="Ttulo1"/>
        <w:jc w:val="center"/>
        <w:rPr>
          <w:rFonts w:ascii="Abadi" w:hAnsi="Abadi" w:cs="Arial"/>
          <w:smallCaps/>
          <w:sz w:val="21"/>
          <w:szCs w:val="21"/>
        </w:rPr>
      </w:pPr>
    </w:p>
    <w:p w14:paraId="33D3B5A7" w14:textId="77777777" w:rsidR="00AE36C3" w:rsidRPr="001B74AA" w:rsidRDefault="00AE36C3" w:rsidP="00AE36C3">
      <w:pPr>
        <w:pStyle w:val="Ttulo1"/>
        <w:jc w:val="center"/>
        <w:rPr>
          <w:rFonts w:ascii="Abadi" w:hAnsi="Abadi" w:cs="Arial"/>
          <w:smallCaps/>
          <w:sz w:val="21"/>
          <w:szCs w:val="21"/>
        </w:rPr>
      </w:pPr>
      <w:r w:rsidRPr="001B74AA">
        <w:rPr>
          <w:rFonts w:ascii="Abadi" w:hAnsi="Abadi" w:cs="Arial"/>
          <w:smallCaps/>
          <w:sz w:val="21"/>
          <w:szCs w:val="21"/>
        </w:rPr>
        <w:t>A C U E R D O</w:t>
      </w:r>
    </w:p>
    <w:p w14:paraId="5BEC9598" w14:textId="77777777" w:rsidR="00AE36C3" w:rsidRPr="001B74AA" w:rsidRDefault="00AE36C3" w:rsidP="00AE36C3">
      <w:pPr>
        <w:rPr>
          <w:rFonts w:ascii="Abadi" w:hAnsi="Abadi"/>
          <w:sz w:val="21"/>
          <w:szCs w:val="21"/>
        </w:rPr>
      </w:pPr>
    </w:p>
    <w:p w14:paraId="1E33BE77" w14:textId="77777777" w:rsidR="00AE36C3" w:rsidRPr="001B74AA" w:rsidRDefault="00AE36C3" w:rsidP="00AE36C3">
      <w:pPr>
        <w:ind w:firstLine="708"/>
        <w:jc w:val="both"/>
        <w:rPr>
          <w:rFonts w:ascii="Abadi" w:hAnsi="Abadi"/>
          <w:sz w:val="21"/>
          <w:szCs w:val="21"/>
        </w:rPr>
      </w:pPr>
      <w:r w:rsidRPr="001B74AA">
        <w:rPr>
          <w:rFonts w:ascii="Abadi" w:hAnsi="Abadi"/>
          <w:b/>
          <w:sz w:val="21"/>
          <w:szCs w:val="21"/>
        </w:rPr>
        <w:t>Único.</w:t>
      </w:r>
      <w:r w:rsidRPr="001B74AA">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1B74AA">
          <w:rPr>
            <w:rFonts w:ascii="Abadi" w:hAnsi="Abadi"/>
            <w:sz w:val="21"/>
            <w:szCs w:val="21"/>
          </w:rPr>
          <w:t>la Constitución Política</w:t>
        </w:r>
      </w:smartTag>
      <w:r w:rsidRPr="001B74AA">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correspondientes al </w:t>
      </w:r>
      <w:r w:rsidRPr="001B74AA">
        <w:rPr>
          <w:rFonts w:ascii="Abadi" w:hAnsi="Abadi"/>
          <w:sz w:val="21"/>
          <w:szCs w:val="21"/>
        </w:rPr>
        <w:t>periodo comprendido del 1 de enero al 31 de diciembre del ejercicio fiscal del año 2021.</w:t>
      </w:r>
    </w:p>
    <w:p w14:paraId="421E9154" w14:textId="77777777" w:rsidR="00AE36C3" w:rsidRPr="001B74AA" w:rsidRDefault="00AE36C3" w:rsidP="00AE36C3">
      <w:pPr>
        <w:ind w:firstLine="708"/>
        <w:jc w:val="both"/>
        <w:rPr>
          <w:rFonts w:ascii="Abadi" w:hAnsi="Abadi"/>
          <w:sz w:val="21"/>
          <w:szCs w:val="21"/>
        </w:rPr>
      </w:pPr>
    </w:p>
    <w:p w14:paraId="29BA22E7" w14:textId="77777777" w:rsidR="00AE36C3" w:rsidRPr="001B74AA" w:rsidRDefault="00AE36C3" w:rsidP="00AE36C3">
      <w:pPr>
        <w:pStyle w:val="Sangra3detindependiente"/>
        <w:spacing w:line="240" w:lineRule="auto"/>
        <w:rPr>
          <w:rFonts w:ascii="Abadi" w:hAnsi="Abadi"/>
          <w:sz w:val="21"/>
          <w:szCs w:val="21"/>
          <w:lang w:val="es-MX"/>
        </w:rPr>
      </w:pPr>
      <w:r w:rsidRPr="001B74A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B74AA">
        <w:rPr>
          <w:rFonts w:ascii="Abadi" w:hAnsi="Abadi"/>
          <w:sz w:val="21"/>
          <w:szCs w:val="21"/>
          <w:lang w:val="es-MX"/>
        </w:rPr>
        <w:t>.</w:t>
      </w:r>
      <w:r w:rsidRPr="001B74AA">
        <w:rPr>
          <w:rFonts w:ascii="Abadi" w:hAnsi="Abadi"/>
          <w:sz w:val="21"/>
          <w:szCs w:val="21"/>
        </w:rPr>
        <w:t xml:space="preserve"> </w:t>
      </w:r>
      <w:r w:rsidRPr="001B74AA">
        <w:rPr>
          <w:rFonts w:ascii="Abadi" w:hAnsi="Abadi"/>
          <w:sz w:val="21"/>
          <w:szCs w:val="21"/>
          <w:lang w:val="es-MX"/>
        </w:rPr>
        <w:t>Asimismo, dará</w:t>
      </w:r>
      <w:r w:rsidRPr="001B74AA">
        <w:rPr>
          <w:rFonts w:ascii="Abadi" w:hAnsi="Abadi"/>
          <w:sz w:val="21"/>
          <w:szCs w:val="21"/>
        </w:rPr>
        <w:t xml:space="preserve"> seguimiento a las observaciones no solventadas y a las recomendaciones no atendidas contenidas en el informe de resultados</w:t>
      </w:r>
      <w:r w:rsidRPr="001B74AA">
        <w:rPr>
          <w:rFonts w:ascii="Abadi" w:hAnsi="Abadi"/>
          <w:sz w:val="21"/>
          <w:szCs w:val="21"/>
          <w:lang w:val="es-MX"/>
        </w:rPr>
        <w:t>.</w:t>
      </w:r>
    </w:p>
    <w:p w14:paraId="64D9B429" w14:textId="77777777" w:rsidR="00AE36C3" w:rsidRPr="001B74AA" w:rsidRDefault="00AE36C3" w:rsidP="00AE36C3">
      <w:pPr>
        <w:pStyle w:val="Sangra3detindependiente"/>
        <w:spacing w:line="240" w:lineRule="auto"/>
        <w:rPr>
          <w:rFonts w:ascii="Abadi" w:hAnsi="Abadi"/>
          <w:sz w:val="21"/>
          <w:szCs w:val="21"/>
          <w:lang w:val="es-MX"/>
        </w:rPr>
      </w:pPr>
    </w:p>
    <w:p w14:paraId="0EE1643C" w14:textId="77777777" w:rsidR="00AE36C3" w:rsidRPr="001B74AA" w:rsidRDefault="00AE36C3" w:rsidP="00AE36C3">
      <w:pPr>
        <w:pStyle w:val="Sangra3detindependiente"/>
        <w:spacing w:line="240" w:lineRule="auto"/>
        <w:rPr>
          <w:rFonts w:ascii="Abadi" w:hAnsi="Abadi"/>
          <w:sz w:val="21"/>
          <w:szCs w:val="21"/>
        </w:rPr>
      </w:pPr>
      <w:r w:rsidRPr="001B74AA">
        <w:rPr>
          <w:rFonts w:ascii="Abadi" w:hAnsi="Abadi"/>
          <w:sz w:val="21"/>
          <w:szCs w:val="21"/>
        </w:rPr>
        <w:t xml:space="preserve">Se ordena dar vista del informe de resultados al ayuntamiento del municipio de San Miguel de Allende, </w:t>
      </w:r>
      <w:proofErr w:type="spellStart"/>
      <w:r w:rsidRPr="001B74AA">
        <w:rPr>
          <w:rFonts w:ascii="Abadi" w:hAnsi="Abadi"/>
          <w:sz w:val="21"/>
          <w:szCs w:val="21"/>
        </w:rPr>
        <w:t>Gto</w:t>
      </w:r>
      <w:proofErr w:type="spellEnd"/>
      <w:r w:rsidRPr="001B74AA">
        <w:rPr>
          <w:rFonts w:ascii="Abadi" w:hAnsi="Abadi"/>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1B74AA">
          <w:rPr>
            <w:rFonts w:ascii="Abadi" w:hAnsi="Abadi"/>
            <w:sz w:val="21"/>
            <w:szCs w:val="21"/>
          </w:rPr>
          <w:t>la Ley</w:t>
        </w:r>
      </w:smartTag>
      <w:r w:rsidRPr="001B74AA">
        <w:rPr>
          <w:rFonts w:ascii="Abadi" w:hAnsi="Abadi"/>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77CF1561" w14:textId="77777777" w:rsidR="00AE36C3" w:rsidRPr="001B74AA" w:rsidRDefault="00AE36C3" w:rsidP="00AE36C3">
      <w:pPr>
        <w:pStyle w:val="Sangra3detindependiente"/>
        <w:spacing w:line="240" w:lineRule="auto"/>
        <w:rPr>
          <w:rFonts w:ascii="Abadi" w:hAnsi="Abadi"/>
          <w:sz w:val="21"/>
          <w:szCs w:val="21"/>
        </w:rPr>
      </w:pPr>
    </w:p>
    <w:p w14:paraId="5E74244C" w14:textId="77777777" w:rsidR="00AE36C3" w:rsidRPr="001B74AA" w:rsidRDefault="00AE36C3" w:rsidP="00AE36C3">
      <w:pPr>
        <w:pStyle w:val="Sangra3detindependiente"/>
        <w:spacing w:line="240" w:lineRule="auto"/>
        <w:rPr>
          <w:rFonts w:ascii="Abadi" w:hAnsi="Abadi"/>
          <w:sz w:val="21"/>
          <w:szCs w:val="21"/>
          <w:lang w:val="es-MX"/>
        </w:rPr>
      </w:pPr>
      <w:r w:rsidRPr="001B74A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1B74AA">
        <w:rPr>
          <w:rFonts w:ascii="Abadi" w:hAnsi="Abadi"/>
          <w:sz w:val="21"/>
          <w:szCs w:val="21"/>
          <w:lang w:val="es-MX"/>
        </w:rPr>
        <w:t>.</w:t>
      </w:r>
    </w:p>
    <w:p w14:paraId="28A14D67" w14:textId="77777777" w:rsidR="00AE36C3" w:rsidRPr="001B74AA" w:rsidRDefault="00AE36C3" w:rsidP="00AE36C3">
      <w:pPr>
        <w:pStyle w:val="Sangra3detindependiente"/>
        <w:spacing w:line="240" w:lineRule="auto"/>
        <w:rPr>
          <w:rFonts w:ascii="Abadi" w:hAnsi="Abadi"/>
          <w:sz w:val="21"/>
          <w:szCs w:val="21"/>
          <w:lang w:val="es-MX"/>
        </w:rPr>
      </w:pPr>
    </w:p>
    <w:p w14:paraId="4F23416F" w14:textId="77777777" w:rsidR="00AE36C3" w:rsidRPr="001B74AA" w:rsidRDefault="00AE36C3" w:rsidP="00AE36C3">
      <w:pPr>
        <w:jc w:val="center"/>
        <w:rPr>
          <w:rFonts w:ascii="Abadi" w:hAnsi="Abadi"/>
          <w:b/>
          <w:bCs/>
          <w:sz w:val="21"/>
          <w:szCs w:val="21"/>
          <w:lang w:eastAsia="x-none"/>
        </w:rPr>
      </w:pPr>
      <w:r w:rsidRPr="001B74AA">
        <w:rPr>
          <w:rFonts w:ascii="Abadi" w:hAnsi="Abadi"/>
          <w:b/>
          <w:bCs/>
          <w:sz w:val="21"/>
          <w:szCs w:val="21"/>
          <w:lang w:eastAsia="x-none"/>
        </w:rPr>
        <w:t xml:space="preserve">Guanajuato, </w:t>
      </w:r>
      <w:proofErr w:type="spellStart"/>
      <w:r w:rsidRPr="001B74AA">
        <w:rPr>
          <w:rFonts w:ascii="Abadi" w:hAnsi="Abadi"/>
          <w:b/>
          <w:bCs/>
          <w:sz w:val="21"/>
          <w:szCs w:val="21"/>
          <w:lang w:eastAsia="x-none"/>
        </w:rPr>
        <w:t>Gto</w:t>
      </w:r>
      <w:proofErr w:type="spellEnd"/>
      <w:r w:rsidRPr="001B74AA">
        <w:rPr>
          <w:rFonts w:ascii="Abadi" w:hAnsi="Abadi"/>
          <w:b/>
          <w:bCs/>
          <w:sz w:val="21"/>
          <w:szCs w:val="21"/>
          <w:lang w:eastAsia="x-none"/>
        </w:rPr>
        <w:t>., 13 de junio de 2023</w:t>
      </w:r>
    </w:p>
    <w:p w14:paraId="16921113" w14:textId="77777777" w:rsidR="00AE36C3" w:rsidRPr="001B74AA" w:rsidRDefault="00AE36C3" w:rsidP="00AE36C3">
      <w:pPr>
        <w:jc w:val="center"/>
        <w:rPr>
          <w:rFonts w:ascii="Abadi" w:hAnsi="Abadi"/>
          <w:b/>
          <w:bCs/>
          <w:sz w:val="21"/>
          <w:szCs w:val="21"/>
          <w:lang w:eastAsia="x-none"/>
        </w:rPr>
      </w:pPr>
      <w:smartTag w:uri="urn:schemas-microsoft-com:office:smarttags" w:element="PersonName">
        <w:smartTagPr>
          <w:attr w:name="ProductID" w:val="La Comisi￳n"/>
        </w:smartTagPr>
        <w:r w:rsidRPr="001B74AA">
          <w:rPr>
            <w:rFonts w:ascii="Abadi" w:hAnsi="Abadi"/>
            <w:b/>
            <w:bCs/>
            <w:sz w:val="21"/>
            <w:szCs w:val="21"/>
            <w:lang w:eastAsia="x-none"/>
          </w:rPr>
          <w:t>La Comisión</w:t>
        </w:r>
      </w:smartTag>
      <w:r w:rsidRPr="001B74AA">
        <w:rPr>
          <w:rFonts w:ascii="Abadi" w:hAnsi="Abadi"/>
          <w:b/>
          <w:bCs/>
          <w:sz w:val="21"/>
          <w:szCs w:val="21"/>
          <w:lang w:eastAsia="x-none"/>
        </w:rPr>
        <w:t xml:space="preserve"> de Hacienda y Fiscalización</w:t>
      </w:r>
    </w:p>
    <w:p w14:paraId="7CA5BFE5" w14:textId="77777777" w:rsidR="00AE36C3" w:rsidRPr="001B74AA" w:rsidRDefault="00AE36C3" w:rsidP="00AE36C3">
      <w:pPr>
        <w:jc w:val="center"/>
        <w:rPr>
          <w:rFonts w:ascii="Abadi" w:hAnsi="Abadi"/>
          <w:sz w:val="21"/>
          <w:szCs w:val="21"/>
        </w:rPr>
      </w:pPr>
    </w:p>
    <w:p w14:paraId="7DBFA4A8" w14:textId="77777777" w:rsidR="00AE36C3" w:rsidRPr="001B74AA" w:rsidRDefault="00AE36C3" w:rsidP="00AE36C3">
      <w:pPr>
        <w:jc w:val="center"/>
        <w:rPr>
          <w:rFonts w:ascii="Abadi" w:hAnsi="Abadi"/>
          <w:sz w:val="21"/>
          <w:szCs w:val="21"/>
        </w:rPr>
      </w:pPr>
    </w:p>
    <w:p w14:paraId="3C1CB399" w14:textId="77777777" w:rsidR="00AE36C3" w:rsidRPr="001B74AA" w:rsidRDefault="00AE36C3" w:rsidP="00AE36C3">
      <w:pPr>
        <w:rPr>
          <w:rFonts w:ascii="Abadi" w:hAnsi="Abadi"/>
          <w:sz w:val="21"/>
          <w:szCs w:val="21"/>
        </w:rPr>
      </w:pPr>
      <w:r w:rsidRPr="001B74AA">
        <w:rPr>
          <w:rFonts w:ascii="Abadi" w:hAnsi="Abadi"/>
          <w:b/>
          <w:sz w:val="21"/>
          <w:szCs w:val="21"/>
          <w:lang w:eastAsia="x-none"/>
        </w:rPr>
        <w:t>Diputado Víctor Manuel Zanella Huerta</w:t>
      </w:r>
    </w:p>
    <w:p w14:paraId="242D46C3" w14:textId="77777777" w:rsidR="00AE36C3" w:rsidRPr="001B74AA" w:rsidRDefault="00AE36C3" w:rsidP="00AE36C3">
      <w:pPr>
        <w:rPr>
          <w:rFonts w:ascii="Abadi" w:hAnsi="Abadi"/>
          <w:b/>
          <w:sz w:val="21"/>
          <w:szCs w:val="21"/>
          <w:lang w:eastAsia="x-none"/>
        </w:rPr>
      </w:pPr>
      <w:r w:rsidRPr="001B74AA">
        <w:rPr>
          <w:rFonts w:ascii="Abadi" w:hAnsi="Abadi"/>
          <w:b/>
          <w:sz w:val="21"/>
          <w:szCs w:val="21"/>
          <w:lang w:eastAsia="x-none"/>
        </w:rPr>
        <w:t xml:space="preserve">Diputada Ruth Noemí Tiscareño Agoitia      </w:t>
      </w:r>
    </w:p>
    <w:p w14:paraId="63744DF9" w14:textId="10B10CBC" w:rsidR="00AE36C3" w:rsidRPr="001B74AA" w:rsidRDefault="00AE36C3" w:rsidP="00AE36C3">
      <w:pPr>
        <w:rPr>
          <w:rFonts w:ascii="Abadi" w:hAnsi="Abadi"/>
          <w:b/>
          <w:sz w:val="21"/>
          <w:szCs w:val="21"/>
          <w:lang w:eastAsia="x-none"/>
        </w:rPr>
      </w:pPr>
      <w:r w:rsidRPr="001B74AA">
        <w:rPr>
          <w:rFonts w:ascii="Abadi" w:hAnsi="Abadi"/>
          <w:b/>
          <w:sz w:val="21"/>
          <w:szCs w:val="21"/>
          <w:lang w:eastAsia="x-none"/>
        </w:rPr>
        <w:t xml:space="preserve">Diputado Miguel Ángel Salim </w:t>
      </w:r>
      <w:proofErr w:type="spellStart"/>
      <w:r w:rsidRPr="001B74AA">
        <w:rPr>
          <w:rFonts w:ascii="Abadi" w:hAnsi="Abadi"/>
          <w:b/>
          <w:sz w:val="21"/>
          <w:szCs w:val="21"/>
          <w:lang w:eastAsia="x-none"/>
        </w:rPr>
        <w:t>Alle</w:t>
      </w:r>
      <w:proofErr w:type="spellEnd"/>
    </w:p>
    <w:p w14:paraId="5851A2C4" w14:textId="77777777" w:rsidR="00AE36C3" w:rsidRPr="001B74AA" w:rsidRDefault="00AE36C3" w:rsidP="00AE36C3">
      <w:pPr>
        <w:rPr>
          <w:rFonts w:ascii="Abadi" w:hAnsi="Abadi"/>
          <w:b/>
          <w:sz w:val="21"/>
          <w:szCs w:val="21"/>
          <w:lang w:eastAsia="x-none"/>
        </w:rPr>
      </w:pPr>
      <w:r w:rsidRPr="001B74AA">
        <w:rPr>
          <w:rFonts w:ascii="Abadi" w:hAnsi="Abadi"/>
          <w:b/>
          <w:sz w:val="21"/>
          <w:szCs w:val="21"/>
          <w:lang w:eastAsia="x-none"/>
        </w:rPr>
        <w:t xml:space="preserve">Diputado José Alfonso Borja Pimentel    </w:t>
      </w:r>
    </w:p>
    <w:p w14:paraId="6EF6A788" w14:textId="77777777" w:rsidR="00AE36C3" w:rsidRPr="001B74AA" w:rsidRDefault="00AE36C3" w:rsidP="00AE36C3">
      <w:pPr>
        <w:rPr>
          <w:rFonts w:ascii="Abadi" w:hAnsi="Abadi"/>
          <w:b/>
          <w:sz w:val="21"/>
          <w:szCs w:val="21"/>
          <w:lang w:eastAsia="x-none"/>
        </w:rPr>
      </w:pPr>
      <w:r w:rsidRPr="001B74AA">
        <w:rPr>
          <w:rFonts w:ascii="Abadi" w:hAnsi="Abadi"/>
          <w:b/>
          <w:sz w:val="21"/>
          <w:szCs w:val="21"/>
          <w:lang w:eastAsia="x-none"/>
        </w:rPr>
        <w:t>Diputada Alma Edwviges Alcaraz Hernández</w:t>
      </w:r>
    </w:p>
    <w:p w14:paraId="0786039F" w14:textId="77777777" w:rsidR="00AE36C3" w:rsidRPr="001B74AA" w:rsidRDefault="00AE36C3" w:rsidP="00AE36C3">
      <w:pPr>
        <w:pStyle w:val="Textoindependiente2"/>
        <w:rPr>
          <w:rFonts w:ascii="Abadi" w:hAnsi="Abadi"/>
          <w:sz w:val="21"/>
          <w:szCs w:val="21"/>
        </w:rPr>
      </w:pPr>
    </w:p>
    <w:p w14:paraId="1B4C8C63" w14:textId="2F4EAAAA"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A23DA0">
        <w:rPr>
          <w:rFonts w:ascii="Abadi" w:hAnsi="Abadi" w:cs="ArialMT"/>
          <w:b/>
          <w:bCs/>
          <w:sz w:val="21"/>
          <w:szCs w:val="21"/>
        </w:rPr>
        <w:t xml:space="preserve">DISCUSIÓN Y, EN SU CASO, APROBACIÓN DEL DICTAMEN EMITIDO POR LA COMISIÓN DE HACIENDA Y FISCALIZACIÓN RELATIVO AL INFORME DE RESULTADOS DE LA AUDITORÍA </w:t>
      </w:r>
      <w:r w:rsidRPr="00A23DA0">
        <w:rPr>
          <w:rFonts w:ascii="Abadi" w:hAnsi="Abadi" w:cs="ArialMT"/>
          <w:b/>
          <w:bCs/>
          <w:sz w:val="21"/>
          <w:szCs w:val="21"/>
        </w:rPr>
        <w:lastRenderedPageBreak/>
        <w:t xml:space="preserve">PRACTICADA POR LA AUDITORÍA SUPERIOR DEL ESTADO DE GUANAJUATO, A LA INFRAESTRUCTURA PÚBLICA MUNICIPAL RESPECTO DE LAS OPERACIONES REALIZADAS POR LA ADMINISTRACIÓN PÚBLICA MUNICIPAL DE LEÓN, GTO., CORRESPONDIENTES AL PERIODO COMPRENDIDO DEL 1 DE ENERO AL 31 DE DICIEMBRE DEL EJERCICIO FISCAL DEL AÑO 2021. </w:t>
      </w:r>
      <w:r w:rsidRPr="00A23DA0">
        <w:rPr>
          <w:rFonts w:ascii="Abadi" w:hAnsi="Abadi" w:cs="Arial-ItalicMT"/>
          <w:b/>
          <w:bCs/>
          <w:i/>
          <w:iCs/>
          <w:sz w:val="21"/>
          <w:szCs w:val="21"/>
        </w:rPr>
        <w:t>(ELD 318/LXV-IRASEG)</w:t>
      </w:r>
      <w:r w:rsidR="005A11AB">
        <w:rPr>
          <w:rStyle w:val="Refdenotaalpie"/>
          <w:rFonts w:ascii="Abadi" w:hAnsi="Abadi" w:cs="Arial-ItalicMT"/>
          <w:b/>
          <w:bCs/>
          <w:i/>
          <w:iCs/>
          <w:sz w:val="21"/>
          <w:szCs w:val="21"/>
        </w:rPr>
        <w:footnoteReference w:id="222"/>
      </w:r>
    </w:p>
    <w:p w14:paraId="0A0543B2" w14:textId="77777777" w:rsidR="00FA64C8" w:rsidRPr="00A23DA0" w:rsidRDefault="00FA64C8" w:rsidP="004E6634">
      <w:pPr>
        <w:pStyle w:val="Prrafodelista"/>
        <w:autoSpaceDE w:val="0"/>
        <w:autoSpaceDN w:val="0"/>
        <w:adjustRightInd w:val="0"/>
        <w:ind w:left="720"/>
        <w:contextualSpacing/>
        <w:jc w:val="both"/>
        <w:rPr>
          <w:rFonts w:ascii="Abadi" w:hAnsi="Abadi" w:cs="Arial-ItalicMT"/>
          <w:b/>
          <w:bCs/>
          <w:i/>
          <w:iCs/>
          <w:sz w:val="21"/>
          <w:szCs w:val="21"/>
        </w:rPr>
      </w:pPr>
    </w:p>
    <w:p w14:paraId="62B28283" w14:textId="77777777" w:rsidR="00374533" w:rsidRDefault="00374533" w:rsidP="00374533">
      <w:pPr>
        <w:autoSpaceDE w:val="0"/>
        <w:autoSpaceDN w:val="0"/>
        <w:adjustRightInd w:val="0"/>
        <w:jc w:val="both"/>
        <w:rPr>
          <w:rFonts w:ascii="Abadi" w:hAnsi="Abadi" w:cs="Arial-ItalicMT"/>
          <w:b/>
          <w:bCs/>
          <w:i/>
          <w:iCs/>
          <w:sz w:val="21"/>
          <w:szCs w:val="21"/>
        </w:rPr>
      </w:pPr>
    </w:p>
    <w:p w14:paraId="547B0E94" w14:textId="77777777" w:rsidR="00D20CE5" w:rsidRPr="00655F77" w:rsidRDefault="00D20CE5" w:rsidP="00D20CE5">
      <w:pPr>
        <w:pStyle w:val="Textoindependiente3"/>
        <w:rPr>
          <w:rFonts w:ascii="Abadi" w:hAnsi="Abadi" w:cs="Arial"/>
          <w:smallCaps/>
          <w:sz w:val="21"/>
          <w:szCs w:val="21"/>
        </w:rPr>
      </w:pPr>
      <w:r w:rsidRPr="00655F77">
        <w:rPr>
          <w:rFonts w:ascii="Abadi" w:hAnsi="Abadi" w:cs="Arial"/>
          <w:smallCaps/>
          <w:sz w:val="21"/>
          <w:szCs w:val="21"/>
        </w:rPr>
        <w:t>C. Presidenta del Congreso del Estado</w:t>
      </w:r>
    </w:p>
    <w:p w14:paraId="0FEB1451" w14:textId="77777777" w:rsidR="00D20CE5" w:rsidRPr="00655F77" w:rsidRDefault="00D20CE5" w:rsidP="00D20CE5">
      <w:pPr>
        <w:jc w:val="both"/>
        <w:rPr>
          <w:rFonts w:ascii="Abadi" w:hAnsi="Abadi"/>
          <w:b/>
          <w:bCs/>
          <w:smallCaps/>
          <w:sz w:val="21"/>
          <w:szCs w:val="21"/>
        </w:rPr>
      </w:pPr>
      <w:r w:rsidRPr="00655F77">
        <w:rPr>
          <w:rFonts w:ascii="Abadi" w:hAnsi="Abadi"/>
          <w:b/>
          <w:bCs/>
          <w:smallCaps/>
          <w:sz w:val="21"/>
          <w:szCs w:val="21"/>
        </w:rPr>
        <w:t>P r e s e n t e.</w:t>
      </w:r>
    </w:p>
    <w:p w14:paraId="48772504" w14:textId="77777777" w:rsidR="00D20CE5" w:rsidRPr="00655F77" w:rsidRDefault="00D20CE5" w:rsidP="00D20CE5">
      <w:pPr>
        <w:pStyle w:val="Textoindependiente"/>
        <w:rPr>
          <w:rFonts w:ascii="Abadi" w:hAnsi="Abadi"/>
          <w:sz w:val="21"/>
          <w:szCs w:val="21"/>
        </w:rPr>
      </w:pPr>
    </w:p>
    <w:p w14:paraId="1DD3F022" w14:textId="77777777" w:rsidR="00D20CE5" w:rsidRPr="00655F77" w:rsidRDefault="00D20CE5" w:rsidP="00D20CE5">
      <w:pPr>
        <w:pStyle w:val="Sangra3detindependiente"/>
        <w:spacing w:line="240" w:lineRule="auto"/>
        <w:rPr>
          <w:rFonts w:ascii="Abadi" w:hAnsi="Abadi"/>
          <w:sz w:val="21"/>
          <w:szCs w:val="21"/>
        </w:rPr>
      </w:pPr>
      <w:r w:rsidRPr="00655F77">
        <w:rPr>
          <w:rFonts w:ascii="Abadi" w:hAnsi="Abadi"/>
          <w:sz w:val="21"/>
          <w:szCs w:val="21"/>
        </w:rPr>
        <w:t xml:space="preserve">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León, </w:t>
      </w:r>
      <w:proofErr w:type="spellStart"/>
      <w:r w:rsidRPr="00655F77">
        <w:rPr>
          <w:rFonts w:ascii="Abadi" w:hAnsi="Abadi"/>
          <w:sz w:val="21"/>
          <w:szCs w:val="21"/>
        </w:rPr>
        <w:t>Gto</w:t>
      </w:r>
      <w:proofErr w:type="spellEnd"/>
      <w:r w:rsidRPr="00655F77">
        <w:rPr>
          <w:rFonts w:ascii="Abadi" w:hAnsi="Abadi"/>
          <w:sz w:val="21"/>
          <w:szCs w:val="21"/>
        </w:rPr>
        <w:t>., correspondientes al periodo comprendido del 1 de enero al 31 de diciembre del ejercicio fiscal del año 2021. (ELD 318/LXV-IRASEG)</w:t>
      </w:r>
    </w:p>
    <w:p w14:paraId="66B00E7B" w14:textId="77777777" w:rsidR="00D20CE5" w:rsidRPr="00655F77" w:rsidRDefault="00D20CE5" w:rsidP="00D20CE5">
      <w:pPr>
        <w:pStyle w:val="Sangra3detindependiente"/>
        <w:spacing w:line="240" w:lineRule="auto"/>
        <w:rPr>
          <w:rFonts w:ascii="Abadi" w:hAnsi="Abadi"/>
          <w:sz w:val="21"/>
          <w:szCs w:val="21"/>
        </w:rPr>
      </w:pPr>
    </w:p>
    <w:p w14:paraId="0B28857D" w14:textId="77777777" w:rsidR="00D20CE5" w:rsidRPr="00655F77" w:rsidRDefault="00D20CE5" w:rsidP="00D20CE5">
      <w:pPr>
        <w:pStyle w:val="Sangra3detindependiente"/>
        <w:spacing w:line="240" w:lineRule="auto"/>
        <w:rPr>
          <w:rFonts w:ascii="Abadi" w:hAnsi="Abadi"/>
          <w:sz w:val="21"/>
          <w:szCs w:val="21"/>
        </w:rPr>
      </w:pPr>
      <w:r w:rsidRPr="00655F77">
        <w:rPr>
          <w:rFonts w:ascii="Abadi" w:hAnsi="Abadi"/>
          <w:sz w:val="21"/>
          <w:szCs w:val="21"/>
        </w:rPr>
        <w:t>Una vez analizado el referido informe de resultados, con fundamento en lo dispuesto por los artículos 112, fracción XII</w:t>
      </w:r>
      <w:r w:rsidRPr="00655F77">
        <w:rPr>
          <w:rFonts w:ascii="Abadi" w:hAnsi="Abadi"/>
          <w:sz w:val="21"/>
          <w:szCs w:val="21"/>
          <w:lang w:val="es-MX"/>
        </w:rPr>
        <w:t>, primer párrafo</w:t>
      </w:r>
      <w:r w:rsidRPr="00655F77">
        <w:rPr>
          <w:rFonts w:ascii="Abadi" w:hAnsi="Abadi"/>
          <w:sz w:val="21"/>
          <w:szCs w:val="21"/>
        </w:rPr>
        <w:t xml:space="preserve"> y 171 de </w:t>
      </w:r>
      <w:smartTag w:uri="urn:schemas-microsoft-com:office:smarttags" w:element="PersonName">
        <w:smartTagPr>
          <w:attr w:name="ProductID" w:val="la Ley Org￡nica"/>
        </w:smartTagPr>
        <w:r w:rsidRPr="00655F77">
          <w:rPr>
            <w:rFonts w:ascii="Abadi" w:hAnsi="Abadi"/>
            <w:sz w:val="21"/>
            <w:szCs w:val="21"/>
          </w:rPr>
          <w:t>la Ley Orgánica</w:t>
        </w:r>
      </w:smartTag>
      <w:r w:rsidRPr="00655F77">
        <w:rPr>
          <w:rFonts w:ascii="Abadi" w:hAnsi="Abadi"/>
          <w:sz w:val="21"/>
          <w:szCs w:val="21"/>
        </w:rPr>
        <w:t xml:space="preserve"> del Poder Legislativo, nos permitimos rendir el siguiente:</w:t>
      </w:r>
    </w:p>
    <w:p w14:paraId="2C95C91B" w14:textId="77777777" w:rsidR="00D20CE5" w:rsidRPr="00655F77" w:rsidRDefault="00D20CE5" w:rsidP="00D20CE5">
      <w:pPr>
        <w:pStyle w:val="Textoindependiente"/>
        <w:ind w:firstLine="708"/>
        <w:rPr>
          <w:rFonts w:ascii="Abadi" w:hAnsi="Abadi"/>
          <w:sz w:val="21"/>
          <w:szCs w:val="21"/>
        </w:rPr>
      </w:pPr>
    </w:p>
    <w:p w14:paraId="0950C93C" w14:textId="77777777" w:rsidR="00D20CE5" w:rsidRPr="00655F77" w:rsidRDefault="00D20CE5" w:rsidP="00D20CE5">
      <w:pPr>
        <w:pStyle w:val="Ttulo1"/>
        <w:jc w:val="center"/>
        <w:rPr>
          <w:rFonts w:ascii="Abadi" w:hAnsi="Abadi" w:cs="Arial"/>
          <w:sz w:val="21"/>
          <w:szCs w:val="21"/>
        </w:rPr>
      </w:pPr>
      <w:r w:rsidRPr="00655F77">
        <w:rPr>
          <w:rFonts w:ascii="Abadi" w:hAnsi="Abadi" w:cs="Arial"/>
          <w:sz w:val="21"/>
          <w:szCs w:val="21"/>
        </w:rPr>
        <w:t>D i c t a m e n</w:t>
      </w:r>
    </w:p>
    <w:p w14:paraId="7B44ADA7" w14:textId="77777777" w:rsidR="00D20CE5" w:rsidRPr="00655F77" w:rsidRDefault="00D20CE5" w:rsidP="00D20CE5">
      <w:pPr>
        <w:jc w:val="both"/>
        <w:rPr>
          <w:rFonts w:ascii="Abadi" w:hAnsi="Abadi"/>
          <w:sz w:val="21"/>
          <w:szCs w:val="21"/>
        </w:rPr>
      </w:pPr>
    </w:p>
    <w:p w14:paraId="14C6DBFA" w14:textId="77777777" w:rsidR="00D20CE5" w:rsidRPr="00337484" w:rsidRDefault="00D20CE5" w:rsidP="00D20CE5">
      <w:pPr>
        <w:pStyle w:val="Textoindependiente"/>
        <w:ind w:firstLine="708"/>
        <w:rPr>
          <w:rFonts w:ascii="Abadi" w:hAnsi="Abadi"/>
          <w:sz w:val="21"/>
          <w:szCs w:val="21"/>
        </w:rPr>
      </w:pPr>
      <w:r w:rsidRPr="00337484">
        <w:rPr>
          <w:rFonts w:ascii="Abadi" w:hAnsi="Abadi"/>
          <w:sz w:val="21"/>
          <w:szCs w:val="21"/>
        </w:rPr>
        <w:t>I. Competencia:</w:t>
      </w:r>
    </w:p>
    <w:p w14:paraId="2BF1C67C" w14:textId="77777777" w:rsidR="00D20CE5" w:rsidRPr="00655F77" w:rsidRDefault="00D20CE5" w:rsidP="00D20CE5">
      <w:pPr>
        <w:pStyle w:val="Textoindependiente"/>
        <w:ind w:firstLine="708"/>
        <w:rPr>
          <w:rFonts w:ascii="Abadi" w:hAnsi="Abadi"/>
          <w:b w:val="0"/>
          <w:bCs w:val="0"/>
          <w:sz w:val="21"/>
          <w:szCs w:val="21"/>
        </w:rPr>
      </w:pPr>
    </w:p>
    <w:p w14:paraId="75585384"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655F77">
          <w:rPr>
            <w:rFonts w:ascii="Abadi" w:hAnsi="Abadi"/>
            <w:sz w:val="21"/>
            <w:szCs w:val="21"/>
          </w:rPr>
          <w:t>la Constitución Política</w:t>
        </w:r>
      </w:smartTag>
      <w:r w:rsidRPr="00655F77">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w:t>
      </w:r>
      <w:r w:rsidRPr="00655F77">
        <w:rPr>
          <w:rFonts w:ascii="Abadi" w:hAnsi="Abadi"/>
          <w:sz w:val="21"/>
          <w:szCs w:val="21"/>
        </w:rPr>
        <w:t xml:space="preserve">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888F24D" w14:textId="77777777" w:rsidR="00D20CE5" w:rsidRPr="00655F77" w:rsidRDefault="00D20CE5" w:rsidP="00D20CE5">
      <w:pPr>
        <w:ind w:firstLine="708"/>
        <w:jc w:val="both"/>
        <w:rPr>
          <w:rFonts w:ascii="Abadi" w:hAnsi="Abadi"/>
          <w:sz w:val="21"/>
          <w:szCs w:val="21"/>
        </w:rPr>
      </w:pPr>
    </w:p>
    <w:p w14:paraId="18C45DD9"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El artículo 49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40511A8F" w14:textId="77777777" w:rsidR="00D20CE5" w:rsidRPr="00655F77" w:rsidRDefault="00D20CE5" w:rsidP="00D20CE5">
      <w:pPr>
        <w:ind w:firstLine="708"/>
        <w:jc w:val="both"/>
        <w:rPr>
          <w:rFonts w:ascii="Abadi" w:hAnsi="Abadi"/>
          <w:sz w:val="21"/>
          <w:szCs w:val="21"/>
        </w:rPr>
      </w:pPr>
    </w:p>
    <w:p w14:paraId="53084C0E" w14:textId="77777777" w:rsidR="00D20CE5" w:rsidRPr="00655F77" w:rsidRDefault="00D20CE5" w:rsidP="00D20CE5">
      <w:pPr>
        <w:ind w:firstLine="708"/>
        <w:jc w:val="both"/>
        <w:rPr>
          <w:rFonts w:ascii="Abadi" w:hAnsi="Abadi"/>
          <w:sz w:val="21"/>
          <w:szCs w:val="21"/>
        </w:rPr>
      </w:pPr>
    </w:p>
    <w:p w14:paraId="005A8E7B"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2D18C38D" w14:textId="77777777" w:rsidR="00D20CE5" w:rsidRPr="00655F77" w:rsidRDefault="00D20CE5" w:rsidP="00D20CE5">
      <w:pPr>
        <w:ind w:firstLine="708"/>
        <w:jc w:val="both"/>
        <w:rPr>
          <w:rFonts w:ascii="Abadi" w:hAnsi="Abadi"/>
          <w:sz w:val="21"/>
          <w:szCs w:val="21"/>
        </w:rPr>
      </w:pPr>
    </w:p>
    <w:p w14:paraId="2A12BAE9"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Asimismo, el artículo 66, fracción VIII de nuestro Ordenamiento Constitucional Local establece que la Auditoría Superior del Estado</w:t>
      </w:r>
      <w:r w:rsidRPr="00655F77">
        <w:rPr>
          <w:rFonts w:ascii="Abadi" w:hAnsi="Abadi"/>
          <w:sz w:val="21"/>
          <w:szCs w:val="21"/>
        </w:rPr>
        <w:t xml:space="preserve"> </w:t>
      </w:r>
      <w:r w:rsidRPr="00337484">
        <w:rPr>
          <w:rFonts w:ascii="Abadi" w:hAnsi="Abadi"/>
          <w:b w:val="0"/>
          <w:bCs w:val="0"/>
          <w:sz w:val="21"/>
          <w:szCs w:val="21"/>
        </w:rPr>
        <w:t>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B9957D5" w14:textId="77777777" w:rsidR="00D20CE5" w:rsidRPr="00337484" w:rsidRDefault="00D20CE5" w:rsidP="00D20CE5">
      <w:pPr>
        <w:pStyle w:val="Textoindependiente"/>
        <w:ind w:firstLine="708"/>
        <w:rPr>
          <w:rFonts w:ascii="Abadi" w:hAnsi="Abadi"/>
          <w:b w:val="0"/>
          <w:bCs w:val="0"/>
          <w:sz w:val="21"/>
          <w:szCs w:val="21"/>
        </w:rPr>
      </w:pPr>
    </w:p>
    <w:p w14:paraId="34CB6264" w14:textId="77777777" w:rsidR="00D20CE5" w:rsidRPr="00655F77" w:rsidRDefault="00D20CE5" w:rsidP="00D20CE5">
      <w:pPr>
        <w:ind w:firstLine="708"/>
        <w:jc w:val="both"/>
        <w:rPr>
          <w:rFonts w:ascii="Abadi" w:hAnsi="Abadi"/>
          <w:sz w:val="21"/>
          <w:szCs w:val="21"/>
          <w:lang w:eastAsia="x-none"/>
        </w:rPr>
      </w:pPr>
      <w:r w:rsidRPr="00655F77">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655F77">
          <w:rPr>
            <w:rFonts w:ascii="Abadi" w:hAnsi="Abadi"/>
            <w:sz w:val="21"/>
            <w:szCs w:val="21"/>
            <w:lang w:eastAsia="x-none"/>
          </w:rPr>
          <w:t>la Ley</w:t>
        </w:r>
      </w:smartTag>
      <w:r w:rsidRPr="00655F77">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798A7243" w14:textId="77777777" w:rsidR="00D20CE5" w:rsidRPr="00655F77" w:rsidRDefault="00D20CE5" w:rsidP="00D20CE5">
      <w:pPr>
        <w:ind w:firstLine="708"/>
        <w:jc w:val="both"/>
        <w:rPr>
          <w:rFonts w:ascii="Abadi" w:hAnsi="Abadi"/>
          <w:sz w:val="21"/>
          <w:szCs w:val="21"/>
        </w:rPr>
      </w:pPr>
    </w:p>
    <w:p w14:paraId="4F4E6FAC"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lastRenderedPageBreak/>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F1EF2BA" w14:textId="77777777" w:rsidR="00D20CE5" w:rsidRPr="00337484" w:rsidRDefault="00D20CE5" w:rsidP="00D20CE5">
      <w:pPr>
        <w:pStyle w:val="Textoindependiente"/>
        <w:ind w:firstLine="708"/>
        <w:rPr>
          <w:rFonts w:ascii="Abadi" w:hAnsi="Abadi"/>
          <w:b w:val="0"/>
          <w:bCs w:val="0"/>
          <w:sz w:val="21"/>
          <w:szCs w:val="21"/>
        </w:rPr>
      </w:pPr>
    </w:p>
    <w:p w14:paraId="315289DC"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337484">
          <w:rPr>
            <w:rFonts w:ascii="Abadi" w:hAnsi="Abadi"/>
            <w:b w:val="0"/>
            <w:bCs w:val="0"/>
            <w:sz w:val="21"/>
            <w:szCs w:val="21"/>
          </w:rPr>
          <w:t>la Ley Orgánica</w:t>
        </w:r>
      </w:smartTag>
      <w:r w:rsidRPr="0033748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67F90EB" w14:textId="77777777" w:rsidR="00D20CE5" w:rsidRPr="00337484" w:rsidRDefault="00D20CE5" w:rsidP="00D20CE5">
      <w:pPr>
        <w:pStyle w:val="Textoindependiente"/>
        <w:ind w:firstLine="708"/>
        <w:rPr>
          <w:rFonts w:ascii="Abadi" w:hAnsi="Abadi"/>
          <w:b w:val="0"/>
          <w:bCs w:val="0"/>
          <w:sz w:val="21"/>
          <w:szCs w:val="21"/>
        </w:rPr>
      </w:pPr>
    </w:p>
    <w:p w14:paraId="26E7529A"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13589F83" w14:textId="77777777" w:rsidR="00D20CE5" w:rsidRPr="00337484" w:rsidRDefault="00D20CE5" w:rsidP="00D20CE5">
      <w:pPr>
        <w:ind w:firstLine="708"/>
        <w:jc w:val="both"/>
        <w:rPr>
          <w:rFonts w:ascii="Abadi" w:hAnsi="Abadi"/>
          <w:sz w:val="21"/>
          <w:szCs w:val="21"/>
        </w:rPr>
      </w:pPr>
    </w:p>
    <w:p w14:paraId="49EC1598" w14:textId="77777777" w:rsidR="00D20CE5" w:rsidRPr="00337484" w:rsidRDefault="00D20CE5" w:rsidP="00D20CE5">
      <w:pPr>
        <w:ind w:firstLine="708"/>
        <w:jc w:val="both"/>
        <w:rPr>
          <w:rFonts w:ascii="Abadi" w:hAnsi="Abadi"/>
          <w:sz w:val="21"/>
          <w:szCs w:val="21"/>
        </w:rPr>
      </w:pPr>
    </w:p>
    <w:p w14:paraId="3FA713DD" w14:textId="77777777" w:rsidR="00D20CE5" w:rsidRPr="00337484" w:rsidRDefault="00D20CE5" w:rsidP="00D20CE5">
      <w:pPr>
        <w:ind w:firstLine="708"/>
        <w:jc w:val="both"/>
        <w:rPr>
          <w:rFonts w:ascii="Abadi" w:hAnsi="Abadi"/>
          <w:sz w:val="21"/>
          <w:szCs w:val="21"/>
        </w:rPr>
      </w:pPr>
      <w:r w:rsidRPr="00337484">
        <w:rPr>
          <w:rFonts w:ascii="Abadi" w:hAnsi="Abadi"/>
          <w:sz w:val="21"/>
          <w:szCs w:val="21"/>
        </w:rPr>
        <w:t>II. Antecedentes:</w:t>
      </w:r>
    </w:p>
    <w:p w14:paraId="07B1E51F" w14:textId="77777777" w:rsidR="00D20CE5" w:rsidRPr="00337484" w:rsidRDefault="00D20CE5" w:rsidP="00D20CE5">
      <w:pPr>
        <w:ind w:firstLine="708"/>
        <w:jc w:val="both"/>
        <w:rPr>
          <w:rFonts w:ascii="Abadi" w:hAnsi="Abadi"/>
          <w:sz w:val="21"/>
          <w:szCs w:val="21"/>
        </w:rPr>
      </w:pPr>
    </w:p>
    <w:p w14:paraId="4EAF95F3" w14:textId="77777777" w:rsidR="00D20CE5" w:rsidRPr="00337484" w:rsidRDefault="00D20CE5" w:rsidP="00D20CE5">
      <w:pPr>
        <w:ind w:firstLine="708"/>
        <w:jc w:val="both"/>
        <w:rPr>
          <w:rFonts w:ascii="Abadi" w:hAnsi="Abadi"/>
          <w:sz w:val="21"/>
          <w:szCs w:val="21"/>
        </w:rPr>
      </w:pPr>
      <w:r w:rsidRPr="00337484">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337484">
          <w:rPr>
            <w:rFonts w:ascii="Abadi" w:hAnsi="Abadi"/>
            <w:sz w:val="21"/>
            <w:szCs w:val="21"/>
          </w:rPr>
          <w:t>la Constitución Política</w:t>
        </w:r>
      </w:smartTag>
      <w:r w:rsidRPr="00337484">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41187441" w14:textId="77777777" w:rsidR="00D20CE5" w:rsidRPr="00337484" w:rsidRDefault="00D20CE5" w:rsidP="00D20CE5">
      <w:pPr>
        <w:ind w:firstLine="708"/>
        <w:jc w:val="both"/>
        <w:rPr>
          <w:rFonts w:ascii="Abadi" w:hAnsi="Abadi"/>
          <w:sz w:val="21"/>
          <w:szCs w:val="21"/>
        </w:rPr>
      </w:pPr>
    </w:p>
    <w:p w14:paraId="6230A772" w14:textId="77777777" w:rsidR="00D20CE5" w:rsidRPr="00337484" w:rsidRDefault="00D20CE5" w:rsidP="00D20CE5">
      <w:pPr>
        <w:ind w:firstLine="708"/>
        <w:jc w:val="both"/>
        <w:rPr>
          <w:rFonts w:ascii="Abadi" w:hAnsi="Abadi"/>
          <w:sz w:val="21"/>
          <w:szCs w:val="21"/>
        </w:rPr>
      </w:pPr>
      <w:r w:rsidRPr="00337484">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7F94A557" w14:textId="77777777" w:rsidR="00D20CE5" w:rsidRPr="00337484" w:rsidRDefault="00D20CE5" w:rsidP="00D20CE5">
      <w:pPr>
        <w:ind w:firstLine="708"/>
        <w:jc w:val="both"/>
        <w:rPr>
          <w:rFonts w:ascii="Abadi" w:hAnsi="Abadi"/>
          <w:sz w:val="21"/>
          <w:szCs w:val="21"/>
        </w:rPr>
      </w:pPr>
    </w:p>
    <w:p w14:paraId="0497EE26"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 xml:space="preserve">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correspondientes al periodo comprendido del 1 de enero al 31 de diciembre del ejercicio fiscal del año 2021.</w:t>
      </w:r>
    </w:p>
    <w:p w14:paraId="5397DEE0" w14:textId="77777777" w:rsidR="00D20CE5" w:rsidRPr="00337484" w:rsidRDefault="00D20CE5" w:rsidP="00D20CE5">
      <w:pPr>
        <w:pStyle w:val="Textoindependiente"/>
        <w:ind w:firstLine="708"/>
        <w:rPr>
          <w:rFonts w:ascii="Abadi" w:hAnsi="Abadi"/>
          <w:b w:val="0"/>
          <w:bCs w:val="0"/>
          <w:sz w:val="21"/>
          <w:szCs w:val="21"/>
        </w:rPr>
      </w:pPr>
    </w:p>
    <w:p w14:paraId="044E24A0"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La auditoría practicada conforme a lo expresado en los párrafos anteriores concluyó con la elaboración del informe de resultados que se remitió al Congreso, el cual se turnó a esta Comisión de Hacienda y Fiscalización el 4 de mayo de 2023, para su estudio y dictamen, siendo radicado el 9 de mayo del año en curso.</w:t>
      </w:r>
    </w:p>
    <w:p w14:paraId="44DFBB28" w14:textId="77777777" w:rsidR="00D20CE5" w:rsidRPr="00337484" w:rsidRDefault="00D20CE5" w:rsidP="00D20CE5">
      <w:pPr>
        <w:pStyle w:val="Textoindependiente"/>
        <w:ind w:firstLine="708"/>
        <w:rPr>
          <w:rFonts w:ascii="Abadi" w:hAnsi="Abadi"/>
          <w:b w:val="0"/>
          <w:bCs w:val="0"/>
          <w:sz w:val="21"/>
          <w:szCs w:val="21"/>
        </w:rPr>
      </w:pPr>
    </w:p>
    <w:p w14:paraId="561BCDBD" w14:textId="77777777" w:rsidR="00D20CE5" w:rsidRPr="00337484" w:rsidRDefault="00D20CE5" w:rsidP="00D20CE5">
      <w:pPr>
        <w:pStyle w:val="Textoindependiente"/>
        <w:ind w:firstLine="708"/>
        <w:rPr>
          <w:rFonts w:ascii="Abadi" w:hAnsi="Abadi"/>
          <w:sz w:val="21"/>
          <w:szCs w:val="21"/>
        </w:rPr>
      </w:pPr>
      <w:r w:rsidRPr="00337484">
        <w:rPr>
          <w:rFonts w:ascii="Abadi" w:hAnsi="Abadi"/>
          <w:sz w:val="21"/>
          <w:szCs w:val="21"/>
        </w:rPr>
        <w:t>III. Procedimiento de Auditoría:</w:t>
      </w:r>
    </w:p>
    <w:p w14:paraId="03B0AE32" w14:textId="77777777" w:rsidR="00D20CE5" w:rsidRPr="00337484" w:rsidRDefault="00D20CE5" w:rsidP="00D20CE5">
      <w:pPr>
        <w:pStyle w:val="Textoindependiente"/>
        <w:ind w:firstLine="708"/>
        <w:rPr>
          <w:rFonts w:ascii="Abadi" w:hAnsi="Abadi"/>
          <w:sz w:val="21"/>
          <w:szCs w:val="21"/>
        </w:rPr>
      </w:pPr>
    </w:p>
    <w:p w14:paraId="2C17622C"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i/>
          <w:iCs/>
          <w:sz w:val="21"/>
          <w:szCs w:val="21"/>
        </w:rPr>
        <w:t xml:space="preserve">La auditoría practicada a la infraestructura pública municipal respecto de las operaciones realizadas por la administración pública municipal de León, </w:t>
      </w:r>
      <w:proofErr w:type="spellStart"/>
      <w:r w:rsidRPr="00337484">
        <w:rPr>
          <w:rFonts w:ascii="Abadi" w:hAnsi="Abadi"/>
          <w:b w:val="0"/>
          <w:bCs w:val="0"/>
          <w:i/>
          <w:iCs/>
          <w:sz w:val="21"/>
          <w:szCs w:val="21"/>
        </w:rPr>
        <w:t>Gto</w:t>
      </w:r>
      <w:proofErr w:type="spellEnd"/>
      <w:r w:rsidRPr="00337484">
        <w:rPr>
          <w:rFonts w:ascii="Abadi" w:hAnsi="Abadi"/>
          <w:b w:val="0"/>
          <w:bCs w:val="0"/>
          <w:i/>
          <w:iCs/>
          <w:sz w:val="21"/>
          <w:szCs w:val="21"/>
        </w:rPr>
        <w:t>.,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w:t>
      </w:r>
      <w:r w:rsidRPr="00337484">
        <w:rPr>
          <w:rFonts w:ascii="Abadi" w:hAnsi="Abadi"/>
          <w:b w:val="0"/>
          <w:bCs w:val="0"/>
          <w:sz w:val="21"/>
          <w:szCs w:val="21"/>
        </w:rPr>
        <w:t xml:space="preserve"> con las disposiciones legales y normativas que rigen al ente público auditado.</w:t>
      </w:r>
    </w:p>
    <w:p w14:paraId="181DF9B2" w14:textId="77777777" w:rsidR="00D20CE5" w:rsidRPr="00337484" w:rsidRDefault="00D20CE5" w:rsidP="00D20CE5">
      <w:pPr>
        <w:pStyle w:val="Textoindependiente"/>
        <w:ind w:firstLine="708"/>
        <w:rPr>
          <w:rFonts w:ascii="Abadi" w:hAnsi="Abadi"/>
          <w:b w:val="0"/>
          <w:bCs w:val="0"/>
          <w:sz w:val="21"/>
          <w:szCs w:val="21"/>
        </w:rPr>
      </w:pPr>
    </w:p>
    <w:p w14:paraId="5100CE9F" w14:textId="77777777" w:rsidR="00D20CE5" w:rsidRPr="00337484" w:rsidRDefault="00D20CE5" w:rsidP="00D20CE5">
      <w:pPr>
        <w:pStyle w:val="Textoindependiente"/>
        <w:ind w:firstLine="708"/>
        <w:rPr>
          <w:rFonts w:ascii="Abadi" w:hAnsi="Abadi"/>
          <w:b w:val="0"/>
          <w:bCs w:val="0"/>
          <w:sz w:val="21"/>
          <w:szCs w:val="21"/>
        </w:rPr>
      </w:pPr>
    </w:p>
    <w:p w14:paraId="27038301"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4CC57DA7" w14:textId="77777777" w:rsidR="00D20CE5" w:rsidRPr="00337484" w:rsidRDefault="00D20CE5" w:rsidP="00D20CE5">
      <w:pPr>
        <w:pStyle w:val="Textoindependiente"/>
        <w:ind w:firstLine="708"/>
        <w:rPr>
          <w:rFonts w:ascii="Abadi" w:hAnsi="Abadi"/>
          <w:b w:val="0"/>
          <w:bCs w:val="0"/>
          <w:sz w:val="21"/>
          <w:szCs w:val="21"/>
        </w:rPr>
      </w:pPr>
    </w:p>
    <w:p w14:paraId="4F7243A9"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D9A9BFC" w14:textId="77777777" w:rsidR="00D20CE5" w:rsidRPr="00655F77" w:rsidRDefault="00D20CE5" w:rsidP="00D20CE5">
      <w:pPr>
        <w:pStyle w:val="Textoindependiente"/>
        <w:ind w:firstLine="708"/>
        <w:rPr>
          <w:rFonts w:ascii="Abadi" w:hAnsi="Abadi"/>
          <w:sz w:val="21"/>
          <w:szCs w:val="21"/>
        </w:rPr>
      </w:pPr>
    </w:p>
    <w:p w14:paraId="5F5EFA79"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w:t>
      </w:r>
      <w:r w:rsidRPr="00655F77">
        <w:rPr>
          <w:rFonts w:ascii="Abadi" w:hAnsi="Abadi"/>
          <w:sz w:val="21"/>
          <w:szCs w:val="21"/>
        </w:rPr>
        <w:t xml:space="preserve"> </w:t>
      </w:r>
      <w:r w:rsidRPr="00337484">
        <w:rPr>
          <w:rFonts w:ascii="Abadi" w:hAnsi="Abadi"/>
          <w:b w:val="0"/>
          <w:bCs w:val="0"/>
          <w:sz w:val="21"/>
          <w:szCs w:val="21"/>
        </w:rPr>
        <w:t>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9BBCB66" w14:textId="77777777" w:rsidR="00D20CE5" w:rsidRPr="00337484" w:rsidRDefault="00D20CE5" w:rsidP="00D20CE5">
      <w:pPr>
        <w:pStyle w:val="Textoindependiente"/>
        <w:ind w:firstLine="708"/>
        <w:rPr>
          <w:rFonts w:ascii="Abadi" w:hAnsi="Abadi"/>
          <w:b w:val="0"/>
          <w:bCs w:val="0"/>
          <w:sz w:val="21"/>
          <w:szCs w:val="21"/>
        </w:rPr>
      </w:pPr>
    </w:p>
    <w:p w14:paraId="5DD97A6F" w14:textId="77777777" w:rsidR="00D20CE5" w:rsidRPr="00655F77" w:rsidRDefault="00D20CE5" w:rsidP="00D20CE5">
      <w:pPr>
        <w:autoSpaceDE w:val="0"/>
        <w:autoSpaceDN w:val="0"/>
        <w:adjustRightInd w:val="0"/>
        <w:ind w:firstLine="708"/>
        <w:jc w:val="both"/>
        <w:rPr>
          <w:rFonts w:ascii="Abadi" w:hAnsi="Abadi"/>
          <w:sz w:val="21"/>
          <w:szCs w:val="21"/>
        </w:rPr>
      </w:pPr>
      <w:r w:rsidRPr="00655F77">
        <w:rPr>
          <w:rFonts w:ascii="Abadi" w:hAnsi="Abadi"/>
          <w:sz w:val="21"/>
          <w:szCs w:val="21"/>
        </w:rPr>
        <w:t xml:space="preserve">De igual forma, en la auditoría se realizaron los procedimientos y pruebas selectivas que se estimaron necesarias para obtener evidencia suficiente y adecuada, respecto a si las cifras y revelaciones de los procesos y reportes operativos, contables, </w:t>
      </w:r>
      <w:r w:rsidRPr="00655F77">
        <w:rPr>
          <w:rFonts w:ascii="Abadi" w:hAnsi="Abadi"/>
          <w:sz w:val="21"/>
          <w:szCs w:val="21"/>
        </w:rPr>
        <w:t>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B3AEDDB" w14:textId="77777777" w:rsidR="00D20CE5" w:rsidRPr="00655F77" w:rsidRDefault="00D20CE5" w:rsidP="00D20CE5">
      <w:pPr>
        <w:autoSpaceDE w:val="0"/>
        <w:autoSpaceDN w:val="0"/>
        <w:adjustRightInd w:val="0"/>
        <w:ind w:firstLine="708"/>
        <w:jc w:val="both"/>
        <w:rPr>
          <w:rFonts w:ascii="Abadi" w:hAnsi="Abadi"/>
          <w:sz w:val="21"/>
          <w:szCs w:val="21"/>
        </w:rPr>
      </w:pPr>
    </w:p>
    <w:p w14:paraId="1EC3DC3A"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655F77">
        <w:rPr>
          <w:rFonts w:ascii="Abadi" w:hAnsi="Abadi"/>
          <w:sz w:val="21"/>
          <w:szCs w:val="21"/>
        </w:rPr>
        <w:t>fiscalizado</w:t>
      </w:r>
      <w:proofErr w:type="spellEnd"/>
      <w:r w:rsidRPr="00655F77">
        <w:rPr>
          <w:rFonts w:ascii="Abadi" w:hAnsi="Abadi"/>
          <w:sz w:val="21"/>
          <w:szCs w:val="21"/>
        </w:rPr>
        <w:t>, de acuerdo a lo dispuesto por los ordenamientos aplicables en la materia, incluyendo las políticas contables aplicables a la institución, utilizadas de conformidad con los Postulados Básicos de Contabilidad Gubernamental.</w:t>
      </w:r>
    </w:p>
    <w:p w14:paraId="5AE465AD" w14:textId="77777777" w:rsidR="00D20CE5" w:rsidRPr="00655F77" w:rsidRDefault="00D20CE5" w:rsidP="00D20CE5">
      <w:pPr>
        <w:ind w:firstLine="708"/>
        <w:jc w:val="both"/>
        <w:rPr>
          <w:rFonts w:ascii="Abadi" w:hAnsi="Abadi"/>
          <w:sz w:val="21"/>
          <w:szCs w:val="21"/>
        </w:rPr>
      </w:pPr>
    </w:p>
    <w:p w14:paraId="071D7811"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El 30 de junio de 2022 se notificó a la presidenta municipal de León, </w:t>
      </w:r>
      <w:proofErr w:type="spellStart"/>
      <w:r w:rsidRPr="00655F77">
        <w:rPr>
          <w:rFonts w:ascii="Abadi" w:hAnsi="Abadi"/>
          <w:sz w:val="21"/>
          <w:szCs w:val="21"/>
        </w:rPr>
        <w:t>Gto</w:t>
      </w:r>
      <w:proofErr w:type="spellEnd"/>
      <w:r w:rsidRPr="00655F77">
        <w:rPr>
          <w:rFonts w:ascii="Abadi" w:hAnsi="Abadi"/>
          <w:sz w:val="21"/>
          <w:szCs w:val="21"/>
        </w:rPr>
        <w:t>., la orden de inicio del procedimiento de auditoría.</w:t>
      </w:r>
    </w:p>
    <w:p w14:paraId="1093CBF7" w14:textId="77777777" w:rsidR="00D20CE5" w:rsidRPr="00655F77" w:rsidRDefault="00D20CE5" w:rsidP="00D20CE5">
      <w:pPr>
        <w:ind w:firstLine="708"/>
        <w:jc w:val="both"/>
        <w:rPr>
          <w:rFonts w:ascii="Abadi" w:hAnsi="Abadi"/>
          <w:sz w:val="21"/>
          <w:szCs w:val="21"/>
        </w:rPr>
      </w:pPr>
    </w:p>
    <w:p w14:paraId="11048785"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El 16 de diciembre de 2022 se notificó a la presidenta municipal de León, </w:t>
      </w:r>
      <w:proofErr w:type="spellStart"/>
      <w:r w:rsidRPr="00655F77">
        <w:rPr>
          <w:rFonts w:ascii="Abadi" w:hAnsi="Abadi"/>
          <w:sz w:val="21"/>
          <w:szCs w:val="21"/>
        </w:rPr>
        <w:t>Gto</w:t>
      </w:r>
      <w:proofErr w:type="spellEnd"/>
      <w:r w:rsidRPr="00655F77">
        <w:rPr>
          <w:rFonts w:ascii="Abadi" w:hAnsi="Abadi"/>
          <w:sz w:val="21"/>
          <w:szCs w:val="21"/>
        </w:rPr>
        <w:t>., la suspensión del plazo de la auditoría materia del presente dictamen, de conformidad con lo establecido en el Acuerdo de Suspensión de Plazos publicado en el Periódico Oficial del Gobierno del Estado de Guanajuato el 8 de diciembre de 2022.</w:t>
      </w:r>
    </w:p>
    <w:p w14:paraId="75CFA30C" w14:textId="77777777" w:rsidR="00D20CE5" w:rsidRPr="00655F77" w:rsidRDefault="00D20CE5" w:rsidP="00D20CE5">
      <w:pPr>
        <w:ind w:firstLine="708"/>
        <w:jc w:val="both"/>
        <w:rPr>
          <w:rFonts w:ascii="Abadi" w:hAnsi="Abadi"/>
          <w:sz w:val="21"/>
          <w:szCs w:val="21"/>
        </w:rPr>
      </w:pPr>
    </w:p>
    <w:p w14:paraId="39AF0A3B"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Posteriormente, en fechas 17 y 20 de febrero de 2023 respectivamente, se notificó al ex presidente y a la presidenta municipales de León, </w:t>
      </w:r>
      <w:proofErr w:type="spellStart"/>
      <w:r w:rsidRPr="00655F77">
        <w:rPr>
          <w:rFonts w:ascii="Abadi" w:hAnsi="Abadi"/>
          <w:sz w:val="21"/>
          <w:szCs w:val="21"/>
        </w:rPr>
        <w:t>Gto</w:t>
      </w:r>
      <w:proofErr w:type="spellEnd"/>
      <w:r w:rsidRPr="00655F77">
        <w:rPr>
          <w:rFonts w:ascii="Abadi" w:hAnsi="Abadi"/>
          <w:sz w:val="21"/>
          <w:szCs w:val="21"/>
        </w:rPr>
        <w:t xml:space="preserve">., el pliego de observaciones y recomendaciones derivado de la auditoría practicada a la infraestructura pública municipal respecto de las operaciones realizadas por dicha administración municipal, </w:t>
      </w:r>
      <w:r w:rsidRPr="00655F77">
        <w:rPr>
          <w:rFonts w:ascii="Abadi" w:hAnsi="Abadi"/>
          <w:sz w:val="21"/>
          <w:szCs w:val="21"/>
        </w:rPr>
        <w:lastRenderedPageBreak/>
        <w:t xml:space="preserve">correspondientes al ejercicio fiscal del año 2021, al cual se dio respuesta el 13 de marzo de 2023, por parte de la presidenta y del ex presidente municipales de León, </w:t>
      </w:r>
      <w:proofErr w:type="spellStart"/>
      <w:r w:rsidRPr="00655F77">
        <w:rPr>
          <w:rFonts w:ascii="Abadi" w:hAnsi="Abadi"/>
          <w:sz w:val="21"/>
          <w:szCs w:val="21"/>
        </w:rPr>
        <w:t>Gto</w:t>
      </w:r>
      <w:proofErr w:type="spellEnd"/>
      <w:r w:rsidRPr="00655F77">
        <w:rPr>
          <w:rFonts w:ascii="Abadi" w:hAnsi="Abadi"/>
          <w:sz w:val="21"/>
          <w:szCs w:val="21"/>
        </w:rPr>
        <w:t>.</w:t>
      </w:r>
    </w:p>
    <w:p w14:paraId="0B28517A" w14:textId="77777777" w:rsidR="00D20CE5" w:rsidRPr="00655F77" w:rsidRDefault="00D20CE5" w:rsidP="00D20CE5">
      <w:pPr>
        <w:ind w:firstLine="708"/>
        <w:jc w:val="both"/>
        <w:rPr>
          <w:rFonts w:ascii="Abadi" w:hAnsi="Abadi"/>
          <w:sz w:val="21"/>
          <w:szCs w:val="21"/>
        </w:rPr>
      </w:pPr>
    </w:p>
    <w:p w14:paraId="24CA7935"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El 21 de marzo de 2023, el informe de resultados se notificó a la presidenta y al ex presidente municipales de León, </w:t>
      </w:r>
      <w:proofErr w:type="spellStart"/>
      <w:r w:rsidRPr="00655F77">
        <w:rPr>
          <w:rFonts w:ascii="Abadi" w:hAnsi="Abadi"/>
          <w:sz w:val="21"/>
          <w:szCs w:val="21"/>
        </w:rPr>
        <w:t>Gto</w:t>
      </w:r>
      <w:proofErr w:type="spellEnd"/>
      <w:r w:rsidRPr="00655F77">
        <w:rPr>
          <w:rFonts w:ascii="Abadi" w:hAnsi="Abadi"/>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698AF76" w14:textId="77777777" w:rsidR="00D20CE5" w:rsidRPr="00655F77" w:rsidRDefault="00D20CE5" w:rsidP="00D20CE5">
      <w:pPr>
        <w:ind w:firstLine="708"/>
        <w:jc w:val="both"/>
        <w:rPr>
          <w:rFonts w:ascii="Abadi" w:hAnsi="Abadi"/>
          <w:sz w:val="21"/>
          <w:szCs w:val="21"/>
        </w:rPr>
      </w:pPr>
    </w:p>
    <w:p w14:paraId="2A90071A"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 la presidenta municipal de León, </w:t>
      </w:r>
      <w:proofErr w:type="spellStart"/>
      <w:r w:rsidRPr="00655F77">
        <w:rPr>
          <w:rFonts w:ascii="Abadi" w:hAnsi="Abadi"/>
          <w:sz w:val="21"/>
          <w:szCs w:val="21"/>
        </w:rPr>
        <w:t>Gto</w:t>
      </w:r>
      <w:proofErr w:type="spellEnd"/>
      <w:r w:rsidRPr="00655F77">
        <w:rPr>
          <w:rFonts w:ascii="Abadi" w:hAnsi="Abadi"/>
          <w:sz w:val="21"/>
          <w:szCs w:val="21"/>
        </w:rPr>
        <w:t xml:space="preserve">., interpuso recurso de reconsideración en contra del informe de resultados de la auditoría practicada a la infraestructura pública municipal respecto de las operaciones realizadas por la administración pública municipal de León, </w:t>
      </w:r>
      <w:proofErr w:type="spellStart"/>
      <w:r w:rsidRPr="00655F77">
        <w:rPr>
          <w:rFonts w:ascii="Abadi" w:hAnsi="Abadi"/>
          <w:sz w:val="21"/>
          <w:szCs w:val="21"/>
        </w:rPr>
        <w:t>Gto</w:t>
      </w:r>
      <w:proofErr w:type="spellEnd"/>
      <w:r w:rsidRPr="00655F77">
        <w:rPr>
          <w:rFonts w:ascii="Abadi" w:hAnsi="Abadi"/>
          <w:sz w:val="21"/>
          <w:szCs w:val="21"/>
        </w:rPr>
        <w:t xml:space="preserve">., correspondientes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w:t>
      </w:r>
    </w:p>
    <w:p w14:paraId="726D43FD" w14:textId="77777777" w:rsidR="00D20CE5" w:rsidRPr="00655F77" w:rsidRDefault="00D20CE5" w:rsidP="00D20CE5">
      <w:pPr>
        <w:ind w:firstLine="708"/>
        <w:jc w:val="both"/>
        <w:rPr>
          <w:rFonts w:ascii="Abadi" w:hAnsi="Abadi"/>
          <w:sz w:val="21"/>
          <w:szCs w:val="21"/>
        </w:rPr>
      </w:pPr>
    </w:p>
    <w:p w14:paraId="64D62F0E"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Una vez tramitado el recurso, el Auditor Superior el 24 de abril de 2023 emitió la resolución correspondiente, a la cual haremos referencia en un apartado posterior, misma que se notificó a la presidenta municipal de León, </w:t>
      </w:r>
      <w:proofErr w:type="spellStart"/>
      <w:r w:rsidRPr="00655F77">
        <w:rPr>
          <w:rFonts w:ascii="Abadi" w:hAnsi="Abadi"/>
          <w:sz w:val="21"/>
          <w:szCs w:val="21"/>
        </w:rPr>
        <w:t>Gto</w:t>
      </w:r>
      <w:proofErr w:type="spellEnd"/>
      <w:r w:rsidRPr="00655F77">
        <w:rPr>
          <w:rFonts w:ascii="Abadi" w:hAnsi="Abadi"/>
          <w:sz w:val="21"/>
          <w:szCs w:val="21"/>
        </w:rPr>
        <w:t>., el 25 de abril de 2023.</w:t>
      </w:r>
    </w:p>
    <w:p w14:paraId="07D80687" w14:textId="77777777" w:rsidR="00D20CE5" w:rsidRPr="00655F77" w:rsidRDefault="00D20CE5" w:rsidP="00D20CE5">
      <w:pPr>
        <w:ind w:firstLine="708"/>
        <w:jc w:val="both"/>
        <w:rPr>
          <w:rFonts w:ascii="Abadi" w:hAnsi="Abadi"/>
          <w:sz w:val="21"/>
          <w:szCs w:val="21"/>
        </w:rPr>
      </w:pPr>
    </w:p>
    <w:p w14:paraId="057F25BD" w14:textId="77777777" w:rsidR="00D20CE5" w:rsidRPr="00337484" w:rsidRDefault="00D20CE5" w:rsidP="00D20CE5">
      <w:pPr>
        <w:pStyle w:val="Textoindependiente"/>
        <w:ind w:firstLine="708"/>
        <w:rPr>
          <w:rFonts w:ascii="Abadi" w:hAnsi="Abadi"/>
          <w:sz w:val="21"/>
          <w:szCs w:val="21"/>
        </w:rPr>
      </w:pPr>
      <w:r w:rsidRPr="00337484">
        <w:rPr>
          <w:rFonts w:ascii="Abadi" w:hAnsi="Abadi"/>
          <w:sz w:val="21"/>
          <w:szCs w:val="21"/>
        </w:rPr>
        <w:t>IV. Contenido del Informe de Resultados:</w:t>
      </w:r>
    </w:p>
    <w:p w14:paraId="79D77C14" w14:textId="77777777" w:rsidR="00D20CE5" w:rsidRPr="00655F77" w:rsidRDefault="00D20CE5" w:rsidP="00D20CE5">
      <w:pPr>
        <w:pStyle w:val="Textoindependiente"/>
        <w:rPr>
          <w:rFonts w:ascii="Abadi" w:hAnsi="Abadi"/>
          <w:b w:val="0"/>
          <w:bCs w:val="0"/>
          <w:sz w:val="21"/>
          <w:szCs w:val="21"/>
        </w:rPr>
      </w:pPr>
    </w:p>
    <w:p w14:paraId="5AC002DA" w14:textId="77777777" w:rsidR="00D20CE5" w:rsidRPr="00337484" w:rsidRDefault="00D20CE5" w:rsidP="00D20CE5">
      <w:pPr>
        <w:pStyle w:val="Textoindependiente"/>
        <w:rPr>
          <w:rFonts w:ascii="Abadi" w:hAnsi="Abadi"/>
          <w:b w:val="0"/>
          <w:sz w:val="21"/>
          <w:szCs w:val="21"/>
        </w:rPr>
      </w:pPr>
      <w:r w:rsidRPr="00655F77">
        <w:rPr>
          <w:rFonts w:ascii="Abadi" w:hAnsi="Abadi"/>
          <w:b w:val="0"/>
          <w:bCs w:val="0"/>
          <w:sz w:val="21"/>
          <w:szCs w:val="21"/>
        </w:rPr>
        <w:tab/>
      </w:r>
      <w:r w:rsidRPr="00337484">
        <w:rPr>
          <w:rFonts w:ascii="Abadi" w:hAnsi="Abadi"/>
          <w:b w:val="0"/>
          <w:sz w:val="21"/>
          <w:szCs w:val="21"/>
        </w:rPr>
        <w:t>En cumplimiento a lo establecido por el artículo 37, fracción III de la Ley de Fiscalización Superior del Estado, el informe de resultados contiene los siguientes apartados:</w:t>
      </w:r>
    </w:p>
    <w:p w14:paraId="133A3B24" w14:textId="77777777" w:rsidR="00D20CE5" w:rsidRPr="00337484" w:rsidRDefault="00D20CE5" w:rsidP="00D20CE5">
      <w:pPr>
        <w:pStyle w:val="Textoindependiente"/>
        <w:rPr>
          <w:rFonts w:ascii="Abadi" w:hAnsi="Abadi"/>
          <w:b w:val="0"/>
          <w:sz w:val="21"/>
          <w:szCs w:val="21"/>
        </w:rPr>
      </w:pPr>
    </w:p>
    <w:p w14:paraId="3BFB94AB" w14:textId="77777777" w:rsidR="00D20CE5" w:rsidRPr="00337484" w:rsidRDefault="00D20CE5" w:rsidP="00427BD6">
      <w:pPr>
        <w:pStyle w:val="Textoindependiente"/>
        <w:numPr>
          <w:ilvl w:val="0"/>
          <w:numId w:val="9"/>
        </w:numPr>
        <w:autoSpaceDE/>
        <w:autoSpaceDN/>
        <w:rPr>
          <w:rFonts w:ascii="Abadi" w:hAnsi="Abadi"/>
          <w:sz w:val="21"/>
          <w:szCs w:val="21"/>
        </w:rPr>
      </w:pPr>
      <w:r w:rsidRPr="00337484">
        <w:rPr>
          <w:rFonts w:ascii="Abadi" w:hAnsi="Abadi"/>
          <w:sz w:val="21"/>
          <w:szCs w:val="21"/>
        </w:rPr>
        <w:t>Introducción.</w:t>
      </w:r>
    </w:p>
    <w:p w14:paraId="3D832DA0" w14:textId="77777777" w:rsidR="00D20CE5" w:rsidRPr="00655F77" w:rsidRDefault="00D20CE5" w:rsidP="00D20CE5">
      <w:pPr>
        <w:pStyle w:val="Textoindependiente"/>
        <w:ind w:left="705"/>
        <w:rPr>
          <w:rFonts w:ascii="Abadi" w:hAnsi="Abadi"/>
          <w:sz w:val="21"/>
          <w:szCs w:val="21"/>
        </w:rPr>
      </w:pPr>
    </w:p>
    <w:p w14:paraId="6C7A343B"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Por lo que se refiere a este punto, se establecen los criterios de selección; el </w:t>
      </w:r>
      <w:r w:rsidRPr="00337484">
        <w:rPr>
          <w:rFonts w:ascii="Abadi" w:hAnsi="Abadi"/>
          <w:b w:val="0"/>
          <w:bCs w:val="0"/>
          <w:sz w:val="21"/>
          <w:szCs w:val="21"/>
        </w:rPr>
        <w:t>objetivo de la auditoría; el alcance de la auditoría respecto a los apartados de ingresos y egresos, precisando que el detalle de los alcances de la auditoría se consigna en el Anexo 01 del informe de resultados.</w:t>
      </w:r>
    </w:p>
    <w:p w14:paraId="2732A4DC" w14:textId="77777777" w:rsidR="00D20CE5" w:rsidRPr="00337484" w:rsidRDefault="00D20CE5" w:rsidP="00D20CE5">
      <w:pPr>
        <w:pStyle w:val="Textoindependiente"/>
        <w:ind w:firstLine="705"/>
        <w:rPr>
          <w:rFonts w:ascii="Abadi" w:hAnsi="Abadi"/>
          <w:b w:val="0"/>
          <w:bCs w:val="0"/>
          <w:sz w:val="21"/>
          <w:szCs w:val="21"/>
        </w:rPr>
      </w:pPr>
    </w:p>
    <w:p w14:paraId="5CEB5546"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En este apartado además se precisan los procedimientos de auditoría aplicados, siendo estos: inspección, observación, confirmación externa, recálculo, procedimientos analíticos, re ejecución e indagación.</w:t>
      </w:r>
    </w:p>
    <w:p w14:paraId="4B3357F7" w14:textId="77777777" w:rsidR="00D20CE5" w:rsidRPr="00337484" w:rsidRDefault="00D20CE5" w:rsidP="00D20CE5">
      <w:pPr>
        <w:pStyle w:val="Textoindependiente"/>
        <w:ind w:firstLine="705"/>
        <w:rPr>
          <w:rFonts w:ascii="Abadi" w:hAnsi="Abadi"/>
          <w:b w:val="0"/>
          <w:bCs w:val="0"/>
          <w:sz w:val="21"/>
          <w:szCs w:val="21"/>
        </w:rPr>
      </w:pPr>
    </w:p>
    <w:p w14:paraId="0BC26A09"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3C6AA3CD" w14:textId="77777777" w:rsidR="00D20CE5" w:rsidRPr="00655F77" w:rsidRDefault="00D20CE5" w:rsidP="00D20CE5">
      <w:pPr>
        <w:jc w:val="both"/>
        <w:rPr>
          <w:rFonts w:ascii="Abadi" w:hAnsi="Abadi"/>
          <w:i/>
          <w:iCs/>
          <w:sz w:val="21"/>
          <w:szCs w:val="21"/>
          <w:lang w:eastAsia="x-none"/>
        </w:rPr>
      </w:pPr>
    </w:p>
    <w:p w14:paraId="621AC2B7" w14:textId="77777777" w:rsidR="00D20CE5" w:rsidRPr="00655F77" w:rsidRDefault="00D20CE5" w:rsidP="00D20CE5">
      <w:pPr>
        <w:jc w:val="both"/>
        <w:rPr>
          <w:rFonts w:ascii="Abadi" w:hAnsi="Abadi"/>
          <w:i/>
          <w:iCs/>
          <w:sz w:val="21"/>
          <w:szCs w:val="21"/>
          <w:lang w:eastAsia="x-none"/>
        </w:rPr>
      </w:pPr>
      <w:r w:rsidRPr="00655F77">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37ACDF1E" w14:textId="77777777" w:rsidR="00D20CE5" w:rsidRPr="00655F77" w:rsidRDefault="00D20CE5" w:rsidP="00D20CE5">
      <w:pPr>
        <w:rPr>
          <w:rFonts w:ascii="Abadi" w:hAnsi="Abadi"/>
          <w:i/>
          <w:iCs/>
          <w:sz w:val="21"/>
          <w:szCs w:val="21"/>
          <w:lang w:eastAsia="x-none"/>
        </w:rPr>
      </w:pPr>
    </w:p>
    <w:p w14:paraId="7DF8464E" w14:textId="77777777" w:rsidR="00D20CE5" w:rsidRPr="00655F77" w:rsidRDefault="00D20CE5" w:rsidP="00D20CE5">
      <w:pPr>
        <w:jc w:val="both"/>
        <w:rPr>
          <w:rFonts w:ascii="Abadi" w:hAnsi="Abadi"/>
          <w:i/>
          <w:iCs/>
          <w:sz w:val="21"/>
          <w:szCs w:val="21"/>
          <w:lang w:eastAsia="x-none"/>
        </w:rPr>
      </w:pPr>
      <w:r w:rsidRPr="00655F77">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8AE1852" w14:textId="77777777" w:rsidR="00D20CE5" w:rsidRPr="00655F77" w:rsidRDefault="00D20CE5" w:rsidP="00D20CE5">
      <w:pPr>
        <w:jc w:val="both"/>
        <w:rPr>
          <w:rFonts w:ascii="Abadi" w:hAnsi="Abadi"/>
          <w:i/>
          <w:iCs/>
          <w:sz w:val="21"/>
          <w:szCs w:val="21"/>
          <w:lang w:eastAsia="x-none"/>
        </w:rPr>
      </w:pPr>
    </w:p>
    <w:p w14:paraId="09E7D08B" w14:textId="77777777" w:rsidR="00D20CE5" w:rsidRPr="00655F77" w:rsidRDefault="00D20CE5" w:rsidP="00D20CE5">
      <w:pPr>
        <w:jc w:val="both"/>
        <w:rPr>
          <w:rFonts w:ascii="Abadi" w:hAnsi="Abadi"/>
          <w:i/>
          <w:iCs/>
          <w:sz w:val="21"/>
          <w:szCs w:val="21"/>
          <w:lang w:eastAsia="x-none"/>
        </w:rPr>
      </w:pPr>
      <w:r w:rsidRPr="00655F77">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D38144E" w14:textId="77777777" w:rsidR="00D20CE5" w:rsidRPr="00655F77" w:rsidRDefault="00D20CE5" w:rsidP="00D20CE5">
      <w:pPr>
        <w:pStyle w:val="Textoindependiente"/>
        <w:ind w:firstLine="705"/>
        <w:rPr>
          <w:rFonts w:ascii="Abadi" w:hAnsi="Abadi"/>
          <w:sz w:val="21"/>
          <w:szCs w:val="21"/>
        </w:rPr>
      </w:pPr>
    </w:p>
    <w:p w14:paraId="0B6FA378"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Derivado de lo anterior, en el proceso de auditoría se inspeccionó que los comprobantes fiscales que soportan las erogaciones del sujeto fiscalizado, no correspondan a contribuyentes que se encuentren en los supuestos previstos del artículo 69-B del Código Fiscal de la </w:t>
      </w:r>
      <w:r w:rsidRPr="00337484">
        <w:rPr>
          <w:rFonts w:ascii="Abadi" w:hAnsi="Abadi"/>
          <w:b w:val="0"/>
          <w:bCs w:val="0"/>
          <w:sz w:val="21"/>
          <w:szCs w:val="21"/>
        </w:rPr>
        <w:lastRenderedPageBreak/>
        <w:t>Federación, empresas que facturan operaciones simuladas o inexistentes con el carácter de «Definitivos», emitidas por el Servicio de Administración Tributaria.</w:t>
      </w:r>
    </w:p>
    <w:p w14:paraId="54DEEFBC" w14:textId="77777777" w:rsidR="00D20CE5" w:rsidRPr="00337484" w:rsidRDefault="00D20CE5" w:rsidP="00D20CE5">
      <w:pPr>
        <w:pStyle w:val="Textoindependiente"/>
        <w:ind w:firstLine="705"/>
        <w:rPr>
          <w:rFonts w:ascii="Abadi" w:hAnsi="Abadi"/>
          <w:b w:val="0"/>
          <w:bCs w:val="0"/>
          <w:sz w:val="21"/>
          <w:szCs w:val="21"/>
        </w:rPr>
      </w:pPr>
    </w:p>
    <w:p w14:paraId="079FE188"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proofErr w:type="spellStart"/>
      <w:r w:rsidRPr="00337484">
        <w:rPr>
          <w:rFonts w:ascii="Abadi" w:hAnsi="Abadi"/>
          <w:b w:val="0"/>
          <w:bCs w:val="0"/>
          <w:sz w:val="21"/>
          <w:szCs w:val="21"/>
        </w:rPr>
        <w:t>fiscalizado</w:t>
      </w:r>
      <w:proofErr w:type="spellEnd"/>
      <w:r w:rsidRPr="00337484">
        <w:rPr>
          <w:rFonts w:ascii="Abadi" w:hAnsi="Abadi"/>
          <w:b w:val="0"/>
          <w:bCs w:val="0"/>
          <w:sz w:val="21"/>
          <w:szCs w:val="21"/>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1B9BD6E8" w14:textId="77777777" w:rsidR="00D20CE5" w:rsidRPr="00337484" w:rsidRDefault="00D20CE5" w:rsidP="00D20CE5">
      <w:pPr>
        <w:pStyle w:val="Textoindependiente"/>
        <w:ind w:firstLine="705"/>
        <w:rPr>
          <w:rFonts w:ascii="Abadi" w:hAnsi="Abadi"/>
          <w:b w:val="0"/>
          <w:bCs w:val="0"/>
          <w:sz w:val="21"/>
          <w:szCs w:val="21"/>
        </w:rPr>
      </w:pPr>
    </w:p>
    <w:p w14:paraId="4490341C"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Adicionalmente, se analizó el informe general del proceso de entrega recepción 2021 de la administración pública municipal </w:t>
      </w:r>
      <w:r w:rsidRPr="00337484">
        <w:rPr>
          <w:rFonts w:ascii="Abadi" w:hAnsi="Abadi"/>
          <w:b w:val="0"/>
          <w:bCs w:val="0"/>
          <w:sz w:val="21"/>
          <w:szCs w:val="21"/>
        </w:rPr>
        <w:t xml:space="preserve">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y en su caso se aplicaron los procedimientos de auditoría correspondientes.</w:t>
      </w:r>
    </w:p>
    <w:p w14:paraId="6B2BE7FE" w14:textId="77777777" w:rsidR="00D20CE5" w:rsidRPr="00337484" w:rsidRDefault="00D20CE5" w:rsidP="00D20CE5">
      <w:pPr>
        <w:ind w:firstLine="705"/>
        <w:jc w:val="both"/>
        <w:rPr>
          <w:rFonts w:ascii="Abadi" w:hAnsi="Abadi"/>
          <w:sz w:val="21"/>
          <w:szCs w:val="21"/>
          <w:lang w:eastAsia="x-none"/>
        </w:rPr>
      </w:pPr>
    </w:p>
    <w:p w14:paraId="0E6FE29A"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cumplió con las disposiciones normativas aplicables, excepto por los resultados que se precisan en el informe de resultados.</w:t>
      </w:r>
    </w:p>
    <w:p w14:paraId="7554F400" w14:textId="77777777" w:rsidR="00D20CE5" w:rsidRPr="00337484" w:rsidRDefault="00D20CE5" w:rsidP="00D20CE5">
      <w:pPr>
        <w:pStyle w:val="Textoindependiente"/>
        <w:ind w:firstLine="705"/>
        <w:rPr>
          <w:rFonts w:ascii="Abadi" w:hAnsi="Abadi"/>
          <w:b w:val="0"/>
          <w:bCs w:val="0"/>
          <w:sz w:val="21"/>
          <w:szCs w:val="21"/>
        </w:rPr>
      </w:pPr>
    </w:p>
    <w:p w14:paraId="57219DD5"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En cuanto al rubro de resultados de la fiscalización efectuada, se establece el estatus que guardan las observaciones formuladas, las cuales se agrupan bajo su respectivo tipo y rubro, señalando que se determinaron 14 observaciones, mismas que no fueron solventadas. </w:t>
      </w:r>
    </w:p>
    <w:p w14:paraId="3FB0DBB5" w14:textId="77777777" w:rsidR="00D20CE5" w:rsidRPr="00337484" w:rsidRDefault="00D20CE5" w:rsidP="00D20CE5">
      <w:pPr>
        <w:pStyle w:val="Textoindependiente"/>
        <w:ind w:firstLine="705"/>
        <w:rPr>
          <w:rFonts w:ascii="Abadi" w:hAnsi="Abadi"/>
          <w:b w:val="0"/>
          <w:bCs w:val="0"/>
          <w:sz w:val="21"/>
          <w:szCs w:val="21"/>
        </w:rPr>
      </w:pPr>
    </w:p>
    <w:p w14:paraId="7EE974BC"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w:t>
      </w:r>
      <w:r w:rsidRPr="00655F77">
        <w:rPr>
          <w:rFonts w:ascii="Abadi" w:hAnsi="Abadi"/>
          <w:sz w:val="21"/>
          <w:szCs w:val="21"/>
        </w:rPr>
        <w:t xml:space="preserve"> </w:t>
      </w:r>
      <w:r w:rsidRPr="00337484">
        <w:rPr>
          <w:rFonts w:ascii="Abadi" w:hAnsi="Abadi"/>
          <w:b w:val="0"/>
          <w:bCs w:val="0"/>
          <w:sz w:val="21"/>
          <w:szCs w:val="21"/>
        </w:rPr>
        <w:t xml:space="preserve">observaciones y recomendaciones, señalando que, en el caso de las observaciones plasmadas en los numerales 003, 005, 010, 011, 012 y 014, existen importes no solventados por la cuantía que ahí se refiere. No obstante, mediante la resolución recaída al recurso de reconsideración promovido en contra del informe de resultados, se modificó el complemento de la valoración de las observaciones establecidas en los numerales 003, 010 y 011, para quedar sin acciones pendientes de realizar por el sujeto fiscalizado. </w:t>
      </w:r>
    </w:p>
    <w:p w14:paraId="1F740937" w14:textId="77777777" w:rsidR="00337484" w:rsidRPr="00655F77" w:rsidRDefault="00337484" w:rsidP="00D20CE5">
      <w:pPr>
        <w:pStyle w:val="Textoindependiente"/>
        <w:ind w:firstLine="705"/>
        <w:rPr>
          <w:rFonts w:ascii="Abadi" w:hAnsi="Abadi"/>
          <w:sz w:val="21"/>
          <w:szCs w:val="21"/>
        </w:rPr>
      </w:pPr>
    </w:p>
    <w:p w14:paraId="5D304329"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xml:space="preserve">., celebró operaciones; entre los procedimientos expuestos, se verificó que estas no se encontraran en el listado de </w:t>
      </w:r>
      <w:r w:rsidRPr="00337484">
        <w:rPr>
          <w:rFonts w:ascii="Abadi" w:hAnsi="Abadi"/>
          <w:b w:val="0"/>
          <w:bCs w:val="0"/>
          <w:sz w:val="21"/>
          <w:szCs w:val="21"/>
        </w:rPr>
        <w:lastRenderedPageBreak/>
        <w:t>Empresas que Facturan Operaciones Simuladas (EFOS) u operaciones inexistentes con el carácter de «</w:t>
      </w:r>
      <w:r w:rsidRPr="00337484">
        <w:rPr>
          <w:rFonts w:ascii="Abadi" w:hAnsi="Abadi"/>
          <w:b w:val="0"/>
          <w:bCs w:val="0"/>
          <w:i/>
          <w:iCs/>
          <w:sz w:val="21"/>
          <w:szCs w:val="21"/>
        </w:rPr>
        <w:t>Definitivos»</w:t>
      </w:r>
      <w:r w:rsidRPr="00337484">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F8D6745" w14:textId="77777777" w:rsidR="00D20CE5" w:rsidRPr="00655F77" w:rsidRDefault="00D20CE5" w:rsidP="00D20CE5">
      <w:pPr>
        <w:pStyle w:val="Textoindependiente"/>
        <w:ind w:firstLine="705"/>
        <w:rPr>
          <w:rFonts w:ascii="Abadi" w:hAnsi="Abadi"/>
          <w:sz w:val="21"/>
          <w:szCs w:val="21"/>
        </w:rPr>
      </w:pPr>
    </w:p>
    <w:p w14:paraId="0EBF80B6" w14:textId="77777777" w:rsidR="00D20CE5" w:rsidRPr="00337484" w:rsidRDefault="00D20CE5" w:rsidP="00427BD6">
      <w:pPr>
        <w:pStyle w:val="Textoindependiente"/>
        <w:numPr>
          <w:ilvl w:val="0"/>
          <w:numId w:val="9"/>
        </w:numPr>
        <w:tabs>
          <w:tab w:val="clear" w:pos="1065"/>
          <w:tab w:val="num" w:pos="0"/>
        </w:tabs>
        <w:autoSpaceDE/>
        <w:autoSpaceDN/>
        <w:rPr>
          <w:rFonts w:ascii="Abadi" w:hAnsi="Abadi"/>
          <w:sz w:val="21"/>
          <w:szCs w:val="21"/>
        </w:rPr>
      </w:pPr>
      <w:r w:rsidRPr="00337484">
        <w:rPr>
          <w:rFonts w:ascii="Abadi" w:hAnsi="Abadi"/>
          <w:sz w:val="21"/>
          <w:szCs w:val="21"/>
        </w:rPr>
        <w:t xml:space="preserve">Observaciones y recomendaciones, la respuesta emitida por el sujeto fiscalizado y la valoración correspondiente. </w:t>
      </w:r>
    </w:p>
    <w:p w14:paraId="63B973E6" w14:textId="77777777" w:rsidR="00D20CE5" w:rsidRPr="00655F77" w:rsidRDefault="00D20CE5" w:rsidP="00D20CE5">
      <w:pPr>
        <w:pStyle w:val="Textoindependiente"/>
        <w:ind w:left="1065"/>
        <w:rPr>
          <w:rFonts w:ascii="Abadi" w:hAnsi="Abadi"/>
          <w:b w:val="0"/>
          <w:bCs w:val="0"/>
          <w:sz w:val="21"/>
          <w:szCs w:val="21"/>
        </w:rPr>
      </w:pPr>
    </w:p>
    <w:p w14:paraId="5CA017B8"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En esta parte se desglosa la valoración de las observaciones y recomendaciones formuladas por el Órgano Técnico, considerando como no solventadas las observaciones plasmadas en los siguientes numerales: 001, referente a cantidades de obra. Contrato A-2510-K100193-61401-D/0002/2021; 002, correspondiente a financiamiento. Contrato A-2410-K100212-61401-D/0405/2021; 003, relativo a cantidades de obra. Contrato A-2110-K100228-61401-D/0558/2020; 004, referido a cantidades de obra. Contrato G-2510-K100213-61401-D/0006/2021. (1 de 2); 005, referente a cantidades de insumos incluidos en análisis de precio unitario. Contrato G-2510-K100213-61401-D/0006/2021. (2 de 2); 006, correspondiente a cantidades de obra. Contrato G-2510-K100213-61401-D/0362/2020; 007, relativo a cantidades de obra. Contrato G-2510-K100213-61401-D/0485/2020; 008, referido a cantidades de obra. Contrato C-5051-K100213-61401-D/0134/2021; 009, referente a cantidades de obra. Contrato C-5051-K100213-61401-D/0135/2021; 010, correspondiente a cantidades de obra. Contrato A-1510-K100198-62201-E/0164/2021. (1 de 2); 011, relativo a precio unitario. Contrato A-1510-K100198-62201-E/0164/2021. (2 de 2); 012, referido a cantidades de obra. Contrato G-1816-K100200-62201-E/0336/2020; 013, referente a cantidades de obra. Contrato G-1816-K100200-62201-E/0373/2020; y 014, correspondiente a servicios de supervisión externa. Varios contratos.</w:t>
      </w:r>
    </w:p>
    <w:p w14:paraId="04BACD88" w14:textId="77777777" w:rsidR="00D20CE5" w:rsidRPr="00337484" w:rsidRDefault="00D20CE5" w:rsidP="00D20CE5">
      <w:pPr>
        <w:pStyle w:val="Textoindependiente"/>
        <w:ind w:firstLine="705"/>
        <w:rPr>
          <w:rFonts w:ascii="Abadi" w:hAnsi="Abadi"/>
          <w:b w:val="0"/>
          <w:bCs w:val="0"/>
          <w:sz w:val="21"/>
          <w:szCs w:val="21"/>
        </w:rPr>
      </w:pPr>
    </w:p>
    <w:p w14:paraId="0D6B8C29" w14:textId="77777777" w:rsidR="00D20CE5" w:rsidRPr="00337484" w:rsidRDefault="00D20CE5" w:rsidP="00D20CE5">
      <w:pPr>
        <w:pStyle w:val="Textoindependiente"/>
        <w:ind w:firstLine="705"/>
        <w:rPr>
          <w:rFonts w:ascii="Abadi" w:hAnsi="Abadi" w:cs="ArialNarrow"/>
          <w:b w:val="0"/>
          <w:bCs w:val="0"/>
          <w:sz w:val="21"/>
          <w:szCs w:val="21"/>
          <w:lang w:eastAsia="es-MX"/>
        </w:rPr>
      </w:pPr>
      <w:r w:rsidRPr="00337484">
        <w:rPr>
          <w:rFonts w:ascii="Abadi" w:hAnsi="Abadi"/>
          <w:b w:val="0"/>
          <w:bCs w:val="0"/>
          <w:sz w:val="21"/>
          <w:szCs w:val="21"/>
        </w:rPr>
        <w:t xml:space="preserve">En el apartado de Recomendaciones Generales, se establece que </w:t>
      </w:r>
      <w:r w:rsidRPr="00337484">
        <w:rPr>
          <w:rFonts w:ascii="Abadi" w:hAnsi="Abadi" w:cs="ArialNarrow"/>
          <w:b w:val="0"/>
          <w:bCs w:val="0"/>
          <w:sz w:val="21"/>
          <w:szCs w:val="21"/>
          <w:lang w:eastAsia="es-MX"/>
        </w:rPr>
        <w:t xml:space="preserve">del proceso de </w:t>
      </w:r>
      <w:r w:rsidRPr="00337484">
        <w:rPr>
          <w:rFonts w:ascii="Abadi" w:hAnsi="Abadi" w:cs="ArialNarrow"/>
          <w:b w:val="0"/>
          <w:bCs w:val="0"/>
          <w:sz w:val="21"/>
          <w:szCs w:val="21"/>
          <w:lang w:eastAsia="es-MX"/>
        </w:rPr>
        <w:t>fiscalización efectuado no se desprendieron recomendaciones.</w:t>
      </w:r>
    </w:p>
    <w:p w14:paraId="71ECCBBF" w14:textId="77777777" w:rsidR="00D20CE5" w:rsidRPr="00655F77" w:rsidRDefault="00D20CE5" w:rsidP="00D20CE5">
      <w:pPr>
        <w:pStyle w:val="Textoindependiente"/>
        <w:ind w:firstLine="705"/>
        <w:rPr>
          <w:rFonts w:ascii="Abadi" w:hAnsi="Abadi"/>
          <w:sz w:val="21"/>
          <w:szCs w:val="21"/>
        </w:rPr>
      </w:pPr>
    </w:p>
    <w:p w14:paraId="200B7876" w14:textId="77777777" w:rsidR="00D20CE5" w:rsidRPr="00337484" w:rsidRDefault="00D20CE5" w:rsidP="00427BD6">
      <w:pPr>
        <w:pStyle w:val="Textoindependiente"/>
        <w:numPr>
          <w:ilvl w:val="0"/>
          <w:numId w:val="9"/>
        </w:numPr>
        <w:autoSpaceDE/>
        <w:autoSpaceDN/>
        <w:rPr>
          <w:rFonts w:ascii="Abadi" w:hAnsi="Abadi"/>
          <w:sz w:val="21"/>
          <w:szCs w:val="21"/>
        </w:rPr>
      </w:pPr>
      <w:r w:rsidRPr="00337484">
        <w:rPr>
          <w:rFonts w:ascii="Abadi" w:hAnsi="Abadi"/>
          <w:sz w:val="21"/>
          <w:szCs w:val="21"/>
        </w:rPr>
        <w:t xml:space="preserve">Promoción del ejercicio de facultades de comprobación fiscal. </w:t>
      </w:r>
    </w:p>
    <w:p w14:paraId="73191829" w14:textId="77777777" w:rsidR="00D20CE5" w:rsidRPr="00337484" w:rsidRDefault="00D20CE5" w:rsidP="00D20CE5">
      <w:pPr>
        <w:pStyle w:val="Textoindependiente"/>
        <w:ind w:firstLine="705"/>
        <w:rPr>
          <w:rFonts w:ascii="Abadi" w:hAnsi="Abadi"/>
          <w:sz w:val="21"/>
          <w:szCs w:val="21"/>
        </w:rPr>
      </w:pPr>
    </w:p>
    <w:p w14:paraId="24C0E02C"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664B474" w14:textId="77777777" w:rsidR="00D20CE5" w:rsidRPr="00655F77" w:rsidRDefault="00D20CE5" w:rsidP="00D20CE5">
      <w:pPr>
        <w:pStyle w:val="Textoindependiente"/>
        <w:ind w:firstLine="705"/>
        <w:rPr>
          <w:rFonts w:ascii="Abadi" w:hAnsi="Abadi"/>
          <w:sz w:val="21"/>
          <w:szCs w:val="21"/>
        </w:rPr>
      </w:pPr>
    </w:p>
    <w:p w14:paraId="306B9005" w14:textId="77777777" w:rsidR="00D20CE5" w:rsidRPr="00337484" w:rsidRDefault="00D20CE5" w:rsidP="00427BD6">
      <w:pPr>
        <w:pStyle w:val="Textoindependiente"/>
        <w:numPr>
          <w:ilvl w:val="0"/>
          <w:numId w:val="9"/>
        </w:numPr>
        <w:autoSpaceDE/>
        <w:autoSpaceDN/>
        <w:rPr>
          <w:rFonts w:ascii="Abadi" w:hAnsi="Abadi"/>
          <w:sz w:val="21"/>
          <w:szCs w:val="21"/>
        </w:rPr>
      </w:pPr>
      <w:r w:rsidRPr="00337484">
        <w:rPr>
          <w:rFonts w:ascii="Abadi" w:hAnsi="Abadi"/>
          <w:sz w:val="21"/>
          <w:szCs w:val="21"/>
        </w:rPr>
        <w:t>Comunicado ante órganos de control y autoridades que administran padrones de proveedores y contratistas.</w:t>
      </w:r>
    </w:p>
    <w:p w14:paraId="2980ED67" w14:textId="77777777" w:rsidR="00D20CE5" w:rsidRPr="00655F77" w:rsidRDefault="00D20CE5" w:rsidP="00D20CE5">
      <w:pPr>
        <w:pStyle w:val="Textoindependiente"/>
        <w:ind w:firstLine="705"/>
        <w:rPr>
          <w:rFonts w:ascii="Abadi" w:hAnsi="Abadi"/>
          <w:sz w:val="21"/>
          <w:szCs w:val="21"/>
        </w:rPr>
      </w:pPr>
    </w:p>
    <w:p w14:paraId="52205D3C"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t>En este punto se señala que de conformidad con lo establecido en los</w:t>
      </w:r>
      <w:r w:rsidRPr="00655F77">
        <w:rPr>
          <w:rFonts w:ascii="Abadi" w:hAnsi="Abadi"/>
          <w:sz w:val="21"/>
          <w:szCs w:val="21"/>
        </w:rPr>
        <w:t xml:space="preserve"> </w:t>
      </w:r>
      <w:r w:rsidRPr="00337484">
        <w:rPr>
          <w:rFonts w:ascii="Abadi" w:hAnsi="Abadi"/>
          <w:b w:val="0"/>
          <w:bCs w:val="0"/>
          <w:sz w:val="21"/>
          <w:szCs w:val="21"/>
        </w:rPr>
        <w:t xml:space="preserve">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3EA5B850" w14:textId="77777777" w:rsidR="00D20CE5" w:rsidRPr="00655F77" w:rsidRDefault="00D20CE5" w:rsidP="00D20CE5">
      <w:pPr>
        <w:pStyle w:val="Textoindependiente"/>
        <w:ind w:firstLine="705"/>
        <w:rPr>
          <w:rFonts w:ascii="Abadi" w:hAnsi="Abadi"/>
          <w:sz w:val="21"/>
          <w:szCs w:val="21"/>
        </w:rPr>
      </w:pPr>
    </w:p>
    <w:p w14:paraId="769CB604" w14:textId="77777777" w:rsidR="00D20CE5" w:rsidRPr="00337484" w:rsidRDefault="00D20CE5" w:rsidP="00427BD6">
      <w:pPr>
        <w:pStyle w:val="Textoindependiente"/>
        <w:numPr>
          <w:ilvl w:val="0"/>
          <w:numId w:val="9"/>
        </w:numPr>
        <w:autoSpaceDE/>
        <w:autoSpaceDN/>
        <w:rPr>
          <w:rFonts w:ascii="Abadi" w:hAnsi="Abadi"/>
          <w:sz w:val="21"/>
          <w:szCs w:val="21"/>
        </w:rPr>
      </w:pPr>
      <w:r w:rsidRPr="00337484">
        <w:rPr>
          <w:rFonts w:ascii="Abadi" w:hAnsi="Abadi"/>
          <w:sz w:val="21"/>
          <w:szCs w:val="21"/>
        </w:rPr>
        <w:t xml:space="preserve">Recurso de Reconsideración. </w:t>
      </w:r>
    </w:p>
    <w:p w14:paraId="74FFB94D" w14:textId="77777777" w:rsidR="00D20CE5" w:rsidRPr="00655F77" w:rsidRDefault="00D20CE5" w:rsidP="00D20CE5">
      <w:pPr>
        <w:pStyle w:val="Textoindependiente"/>
        <w:ind w:left="705"/>
        <w:rPr>
          <w:rFonts w:ascii="Abadi" w:hAnsi="Abadi"/>
          <w:b w:val="0"/>
          <w:bCs w:val="0"/>
          <w:sz w:val="21"/>
          <w:szCs w:val="21"/>
        </w:rPr>
      </w:pPr>
    </w:p>
    <w:p w14:paraId="1174B6F0" w14:textId="77777777" w:rsidR="00D20CE5" w:rsidRPr="00337484" w:rsidRDefault="00D20CE5" w:rsidP="00D20CE5">
      <w:pPr>
        <w:pStyle w:val="Textoindependiente"/>
        <w:ind w:firstLine="705"/>
        <w:rPr>
          <w:rFonts w:ascii="Abadi" w:hAnsi="Abadi"/>
          <w:b w:val="0"/>
          <w:bCs w:val="0"/>
          <w:sz w:val="21"/>
          <w:szCs w:val="21"/>
        </w:rPr>
      </w:pPr>
      <w:r w:rsidRPr="00337484">
        <w:rPr>
          <w:rFonts w:ascii="Abadi" w:hAnsi="Abadi"/>
          <w:b w:val="0"/>
          <w:bCs w:val="0"/>
          <w:sz w:val="21"/>
          <w:szCs w:val="21"/>
        </w:rPr>
        <w:lastRenderedPageBreak/>
        <w:t xml:space="preserve">El 28 de marzo de 2023, dentro del plazo que prevé la fracción IV del artículo 37 de </w:t>
      </w:r>
      <w:smartTag w:uri="urn:schemas-microsoft-com:office:smarttags" w:element="PersonName">
        <w:smartTagPr>
          <w:attr w:name="ProductID" w:val="la Ley"/>
        </w:smartTagPr>
        <w:r w:rsidRPr="00337484">
          <w:rPr>
            <w:rFonts w:ascii="Abadi" w:hAnsi="Abadi"/>
            <w:b w:val="0"/>
            <w:bCs w:val="0"/>
            <w:sz w:val="21"/>
            <w:szCs w:val="21"/>
          </w:rPr>
          <w:t>la Ley</w:t>
        </w:r>
      </w:smartTag>
      <w:r w:rsidRPr="00337484">
        <w:rPr>
          <w:rFonts w:ascii="Abadi" w:hAnsi="Abadi"/>
          <w:b w:val="0"/>
          <w:bCs w:val="0"/>
          <w:sz w:val="21"/>
          <w:szCs w:val="21"/>
        </w:rPr>
        <w:t xml:space="preserve"> de Fiscalización Superior del Estado de Guanajuato, la presidenta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xml:space="preserve">., interpuso recurso de reconsideración en contra del informe de resultados de la auditoría practicada a la infraestructura pública municipal respecto de las operaciones realizadas por la administración pública municipal de León, </w:t>
      </w:r>
      <w:proofErr w:type="spellStart"/>
      <w:r w:rsidRPr="00337484">
        <w:rPr>
          <w:rFonts w:ascii="Abadi" w:hAnsi="Abadi"/>
          <w:b w:val="0"/>
          <w:bCs w:val="0"/>
          <w:sz w:val="21"/>
          <w:szCs w:val="21"/>
        </w:rPr>
        <w:t>Gto</w:t>
      </w:r>
      <w:proofErr w:type="spellEnd"/>
      <w:r w:rsidRPr="00337484">
        <w:rPr>
          <w:rFonts w:ascii="Abadi" w:hAnsi="Abadi"/>
          <w:b w:val="0"/>
          <w:bCs w:val="0"/>
          <w:sz w:val="21"/>
          <w:szCs w:val="21"/>
        </w:rPr>
        <w:t>., correspondientes al periodo comprendido del 1 de enero al 31 de diciembre del ejercicio fiscal del año 2021, concretamente en contra de las observaciones plasmadas en los numerales 001, referente a cantidades de obra. Contrato A-2510-K100193-61401-D/0002/2021; 002, correspondiente a financiamiento. Contrato A-2410-K100212-61401-D/0405/2021; 003, relativo a cantidades de obra. Contrato A-2110-K100228-61401-D/0558/2020; 004, referido a cantidades de obra. Contrato G-2510-K100213-61401-D/0006/2021. (1 de 2); 005, referente a cantidades de insumos incluidos en análisis de precio unitario. Contrato G-2510-K100213-61401-D/0006/2021. (2 de 2); 006, correspondiente a cantidades de obra. Contrato G-2510-K100213-61401-D/0362/2020; 007, relativo a cantidades de</w:t>
      </w:r>
      <w:r w:rsidRPr="00655F77">
        <w:rPr>
          <w:rFonts w:ascii="Abadi" w:hAnsi="Abadi"/>
          <w:sz w:val="21"/>
          <w:szCs w:val="21"/>
        </w:rPr>
        <w:t xml:space="preserve"> </w:t>
      </w:r>
      <w:r w:rsidRPr="00337484">
        <w:rPr>
          <w:rFonts w:ascii="Abadi" w:hAnsi="Abadi"/>
          <w:b w:val="0"/>
          <w:bCs w:val="0"/>
          <w:sz w:val="21"/>
          <w:szCs w:val="21"/>
        </w:rPr>
        <w:t xml:space="preserve">obra. Contrato G-2510-K100213-61401-D/0485/2020; 008, referido a cantidades de obra. Contrato C-5051-K100213-61401-D/0134/2021; 009, referente a cantidades de obra. Contrato C-5051-K100213-61401-D/0135/2021; 010, correspondiente a cantidades de obra. Contrato A-1510-K100198-62201-E/0164/2021. (1 de 2); 011, relativo a precio unitario. Contrato A-1510-K100198-62201-E/0164/2021. (2 de 2); 012, referido a cantidades de obra. Contrato G-1816-K100200-62201-E/0336/2020; 013, referente a cantidades de obra. Contrato G-1816-K100200-62201-E/0373/2020; y 014, correspondiente a servicios de supervisión externa. Varios contratos, mismas que se encuentran relacionadas con el Capítulo II, denominado Observaciones y Recomendaciones; Respuesta Emitida por el Sujeto Fiscalizado y Valoración Correspondiente. </w:t>
      </w:r>
    </w:p>
    <w:p w14:paraId="459AC152" w14:textId="77777777" w:rsidR="00D20CE5" w:rsidRPr="00337484" w:rsidRDefault="00D20CE5" w:rsidP="00D20CE5">
      <w:pPr>
        <w:pStyle w:val="Textoindependiente"/>
        <w:ind w:firstLine="705"/>
        <w:rPr>
          <w:rFonts w:ascii="Abadi" w:hAnsi="Abadi"/>
          <w:b w:val="0"/>
          <w:bCs w:val="0"/>
          <w:sz w:val="21"/>
          <w:szCs w:val="21"/>
        </w:rPr>
      </w:pPr>
    </w:p>
    <w:p w14:paraId="5CF7401A"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 xml:space="preserve">En tal sentido, mediante el acuerdo de fecha 30 de marzo de 2023, emitido por el Director General de Asuntos Jurídicos de la Auditoría Superior del Estado, se admitió el </w:t>
      </w:r>
      <w:r w:rsidRPr="00337484">
        <w:rPr>
          <w:rFonts w:ascii="Abadi" w:hAnsi="Abadi"/>
          <w:b w:val="0"/>
          <w:bCs w:val="0"/>
          <w:sz w:val="21"/>
          <w:szCs w:val="21"/>
        </w:rPr>
        <w:t xml:space="preserve">recurso de reconsideración, al colmarse los requisitos de procedibilidad previstos por el artículo 51 de </w:t>
      </w:r>
      <w:smartTag w:uri="urn:schemas-microsoft-com:office:smarttags" w:element="PersonName">
        <w:smartTagPr>
          <w:attr w:name="ProductID" w:val="la Ley"/>
        </w:smartTagPr>
        <w:r w:rsidRPr="00337484">
          <w:rPr>
            <w:rFonts w:ascii="Abadi" w:hAnsi="Abadi"/>
            <w:b w:val="0"/>
            <w:bCs w:val="0"/>
            <w:sz w:val="21"/>
            <w:szCs w:val="21"/>
          </w:rPr>
          <w:t>la Ley</w:t>
        </w:r>
      </w:smartTag>
      <w:r w:rsidRPr="00337484">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algunos medios de prueba ofrecidos por la recurrente al tratarse de pruebas novedosas y supervenientes, mientras que otros se desecharon al no tener tal carácter. También a través de dicho acuerdo se suspendió el plazo establecido en el artículo 55 de la Ley de Fiscalización Superior del Estado de Guanajuato por un término de hasta quince días hábiles, con la finalidad de realizar la debida ponderación de los argumentos en concatenación con las pruebas presentadas por la recurrente.</w:t>
      </w:r>
    </w:p>
    <w:p w14:paraId="14631312" w14:textId="77777777" w:rsidR="00D20CE5" w:rsidRPr="00337484" w:rsidRDefault="00D20CE5" w:rsidP="00D20CE5">
      <w:pPr>
        <w:pStyle w:val="Textoindependiente"/>
        <w:ind w:firstLine="708"/>
        <w:rPr>
          <w:rFonts w:ascii="Abadi" w:hAnsi="Abadi"/>
          <w:b w:val="0"/>
          <w:bCs w:val="0"/>
          <w:sz w:val="21"/>
          <w:szCs w:val="21"/>
        </w:rPr>
      </w:pPr>
    </w:p>
    <w:p w14:paraId="37DF430D"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Una vez tramitado el recurso, el Auditor Superior del Estado, el 24 de abril de 2023 emitió la resolución correspondiente, determinándose respecto a las observaciones plasmadas en los numerales 001, 004, 006, 008, 009 y 013, que los agravios hechos valer por la recurrente resultaron inoperantes e infundados, por los argumentos señalados en el considerando séptimo; asimismo, la documental aportada resultó insuficiente para</w:t>
      </w:r>
      <w:r w:rsidRPr="00655F77">
        <w:rPr>
          <w:rFonts w:ascii="Abadi" w:hAnsi="Abadi"/>
          <w:sz w:val="21"/>
          <w:szCs w:val="21"/>
        </w:rPr>
        <w:t xml:space="preserve"> </w:t>
      </w:r>
      <w:r w:rsidRPr="00337484">
        <w:rPr>
          <w:rFonts w:ascii="Abadi" w:hAnsi="Abadi"/>
          <w:b w:val="0"/>
          <w:bCs w:val="0"/>
          <w:sz w:val="21"/>
          <w:szCs w:val="21"/>
        </w:rPr>
        <w:t>desvirtuar el incumplimiento normativo. En razón de lo cual, se confirmó el sentido de la valoración de las observaciones como no solventadas, sin acciones pendientes de realizar por el sujeto fiscalizado.</w:t>
      </w:r>
    </w:p>
    <w:p w14:paraId="3349C346" w14:textId="77777777" w:rsidR="00337484" w:rsidRPr="00337484" w:rsidRDefault="00337484" w:rsidP="00D20CE5">
      <w:pPr>
        <w:pStyle w:val="Textoindependiente"/>
        <w:ind w:firstLine="708"/>
        <w:rPr>
          <w:rFonts w:ascii="Abadi" w:hAnsi="Abadi"/>
          <w:b w:val="0"/>
          <w:bCs w:val="0"/>
          <w:sz w:val="21"/>
          <w:szCs w:val="21"/>
        </w:rPr>
      </w:pPr>
    </w:p>
    <w:p w14:paraId="0B1C1554"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 xml:space="preserve">En el caso de las observaciones contenidas en los numerales 002, 003, 007 y 010, se concluyó que los agravios formulados por la recurrente resultaron infundados, por las razones expuestas en el considerando séptimo. No obstante, las pruebas aportadas resultaron suficientes para acreditar el reintegro o la recuperación de los importes observados. En virtud de lo anterior, aun cuando se confirmó el sentido de la valoración de las observaciones como no solventadas, se modificó su complemento para quedar sin acciones pendientes de realizar por el sujeto fiscalizado. </w:t>
      </w:r>
    </w:p>
    <w:p w14:paraId="4F6AF58E" w14:textId="77777777" w:rsidR="00D20CE5" w:rsidRPr="00337484" w:rsidRDefault="00D20CE5" w:rsidP="00D20CE5">
      <w:pPr>
        <w:pStyle w:val="Textoindependiente"/>
        <w:ind w:firstLine="708"/>
        <w:rPr>
          <w:rFonts w:ascii="Abadi" w:hAnsi="Abadi"/>
          <w:b w:val="0"/>
          <w:bCs w:val="0"/>
          <w:sz w:val="21"/>
          <w:szCs w:val="21"/>
        </w:rPr>
      </w:pPr>
    </w:p>
    <w:p w14:paraId="555B31B6" w14:textId="77777777" w:rsidR="00D20CE5" w:rsidRPr="00337484" w:rsidRDefault="00D20CE5" w:rsidP="00D20CE5">
      <w:pPr>
        <w:pStyle w:val="Textoindependiente"/>
        <w:ind w:firstLine="708"/>
        <w:rPr>
          <w:rFonts w:ascii="Abadi" w:hAnsi="Abadi"/>
          <w:b w:val="0"/>
          <w:bCs w:val="0"/>
          <w:sz w:val="21"/>
          <w:szCs w:val="21"/>
        </w:rPr>
      </w:pPr>
      <w:r w:rsidRPr="00337484">
        <w:rPr>
          <w:rFonts w:ascii="Abadi" w:hAnsi="Abadi"/>
          <w:b w:val="0"/>
          <w:bCs w:val="0"/>
          <w:sz w:val="21"/>
          <w:szCs w:val="21"/>
        </w:rPr>
        <w:t xml:space="preserve">Por lo que hace a la observación consignada en el numeral 011, se determinó que las pruebas aportadas por la recurrente resultaron suficientes para acreditar el reintegro del importe observado. En razón de </w:t>
      </w:r>
      <w:r w:rsidRPr="00337484">
        <w:rPr>
          <w:rFonts w:ascii="Abadi" w:hAnsi="Abadi"/>
          <w:b w:val="0"/>
          <w:bCs w:val="0"/>
          <w:sz w:val="21"/>
          <w:szCs w:val="21"/>
        </w:rPr>
        <w:lastRenderedPageBreak/>
        <w:t xml:space="preserve">lo cual, aun cuando se confirmó el sentido de la valoración de la observación como no solventada, se modificó su complemento para quedar sin acciones pendientes de realizar por el sujeto fiscalizado. </w:t>
      </w:r>
    </w:p>
    <w:p w14:paraId="268EE6E4" w14:textId="77777777" w:rsidR="00D20CE5" w:rsidRPr="00655F77" w:rsidRDefault="00D20CE5" w:rsidP="00D20CE5">
      <w:pPr>
        <w:pStyle w:val="Textoindependiente"/>
        <w:ind w:firstLine="708"/>
        <w:rPr>
          <w:rFonts w:ascii="Abadi" w:hAnsi="Abadi"/>
          <w:sz w:val="21"/>
          <w:szCs w:val="21"/>
        </w:rPr>
      </w:pPr>
    </w:p>
    <w:p w14:paraId="533C6F26" w14:textId="77777777" w:rsidR="00D20CE5" w:rsidRPr="00D20CE5" w:rsidRDefault="00D20CE5" w:rsidP="00D20CE5">
      <w:pPr>
        <w:pStyle w:val="Textoindependiente"/>
        <w:ind w:firstLine="708"/>
        <w:rPr>
          <w:rFonts w:ascii="Abadi" w:hAnsi="Abadi"/>
          <w:b w:val="0"/>
          <w:bCs w:val="0"/>
          <w:sz w:val="21"/>
          <w:szCs w:val="21"/>
        </w:rPr>
      </w:pPr>
      <w:r w:rsidRPr="00D20CE5">
        <w:rPr>
          <w:rFonts w:ascii="Abadi" w:hAnsi="Abadi"/>
          <w:b w:val="0"/>
          <w:bCs w:val="0"/>
          <w:sz w:val="21"/>
          <w:szCs w:val="21"/>
        </w:rPr>
        <w:t>En cuanto a la observación establecida en el numeral 005, se resolvió que las probanzas aportadas por la recurrente resultaron insuficientes, para su solventación, al no acreditar el reintegro de la cantidad observada. En consecuencia, se confirmó, el sentido de la valoración de la observación como no solventada, con acciones de impacto económico pendientes de realizar por el sujeto fiscalizado.</w:t>
      </w:r>
    </w:p>
    <w:p w14:paraId="5080F918" w14:textId="77777777" w:rsidR="00D20CE5" w:rsidRPr="00D20CE5" w:rsidRDefault="00D20CE5" w:rsidP="00D20CE5">
      <w:pPr>
        <w:pStyle w:val="Textoindependiente"/>
        <w:ind w:firstLine="708"/>
        <w:rPr>
          <w:rFonts w:ascii="Abadi" w:hAnsi="Abadi"/>
          <w:b w:val="0"/>
          <w:bCs w:val="0"/>
          <w:sz w:val="21"/>
          <w:szCs w:val="21"/>
        </w:rPr>
      </w:pPr>
    </w:p>
    <w:p w14:paraId="7EE0E3F5" w14:textId="77777777" w:rsidR="00D20CE5" w:rsidRPr="00D20CE5" w:rsidRDefault="00D20CE5" w:rsidP="00D20CE5">
      <w:pPr>
        <w:pStyle w:val="Textoindependiente"/>
        <w:ind w:firstLine="708"/>
        <w:rPr>
          <w:rFonts w:ascii="Abadi" w:hAnsi="Abadi"/>
          <w:b w:val="0"/>
          <w:bCs w:val="0"/>
          <w:sz w:val="21"/>
          <w:szCs w:val="21"/>
        </w:rPr>
      </w:pPr>
      <w:r w:rsidRPr="00D20CE5">
        <w:rPr>
          <w:rFonts w:ascii="Abadi" w:hAnsi="Abadi"/>
          <w:b w:val="0"/>
          <w:bCs w:val="0"/>
          <w:sz w:val="21"/>
          <w:szCs w:val="21"/>
        </w:rPr>
        <w:t>Finalmente, respecto a las observaciones referidas en los numerales 012 y 014, se determinó que los agravios hechos valer por la recurrente resultaron infundados o inoperantes, de acuerdo a lo expresado en el considerando séptimo. De igual forma, las pruebas aportadas resultaron insuficientes para acreditar el reintegro o recuperación de los importes observados. En razón de lo anterior, se confirmó el sentido de la valoración de las observaciones como no solventadas, con acciones de impacto económico pendientes de realizar por el sujeto fiscalizado.</w:t>
      </w:r>
    </w:p>
    <w:p w14:paraId="149630D5" w14:textId="77777777" w:rsidR="00D20CE5" w:rsidRPr="00655F77" w:rsidRDefault="00D20CE5" w:rsidP="00D20CE5">
      <w:pPr>
        <w:pStyle w:val="Textoindependiente"/>
        <w:ind w:firstLine="708"/>
        <w:rPr>
          <w:rFonts w:ascii="Abadi" w:hAnsi="Abadi"/>
          <w:sz w:val="21"/>
          <w:szCs w:val="21"/>
        </w:rPr>
      </w:pPr>
    </w:p>
    <w:p w14:paraId="60DC148C" w14:textId="77777777" w:rsidR="00D20CE5" w:rsidRPr="00655F77" w:rsidRDefault="00D20CE5" w:rsidP="00D20CE5">
      <w:pPr>
        <w:pStyle w:val="Textoindependiente"/>
        <w:ind w:firstLine="708"/>
        <w:rPr>
          <w:rFonts w:ascii="Abadi" w:hAnsi="Abadi"/>
          <w:sz w:val="21"/>
          <w:szCs w:val="21"/>
        </w:rPr>
      </w:pPr>
      <w:r w:rsidRPr="00655F77">
        <w:rPr>
          <w:rFonts w:ascii="Abadi" w:hAnsi="Abadi"/>
          <w:sz w:val="21"/>
          <w:szCs w:val="21"/>
        </w:rPr>
        <w:t xml:space="preserve">La referida resolución se notificó a la presidenta municipal de León, </w:t>
      </w:r>
      <w:proofErr w:type="spellStart"/>
      <w:r w:rsidRPr="00655F77">
        <w:rPr>
          <w:rFonts w:ascii="Abadi" w:hAnsi="Abadi"/>
          <w:sz w:val="21"/>
          <w:szCs w:val="21"/>
        </w:rPr>
        <w:t>Gto</w:t>
      </w:r>
      <w:proofErr w:type="spellEnd"/>
      <w:r w:rsidRPr="00655F77">
        <w:rPr>
          <w:rFonts w:ascii="Abadi" w:hAnsi="Abadi"/>
          <w:sz w:val="21"/>
          <w:szCs w:val="21"/>
        </w:rPr>
        <w:t>., el 25 de abril de 2023.</w:t>
      </w:r>
    </w:p>
    <w:p w14:paraId="760D2F66" w14:textId="77777777" w:rsidR="00D20CE5" w:rsidRPr="00655F77" w:rsidRDefault="00D20CE5" w:rsidP="00D20CE5">
      <w:pPr>
        <w:pStyle w:val="Textoindependiente"/>
        <w:ind w:firstLine="705"/>
        <w:rPr>
          <w:rFonts w:ascii="Abadi" w:hAnsi="Abadi"/>
          <w:sz w:val="21"/>
          <w:szCs w:val="21"/>
        </w:rPr>
      </w:pPr>
    </w:p>
    <w:p w14:paraId="72E05583" w14:textId="77777777" w:rsidR="00D20CE5" w:rsidRPr="00655F77" w:rsidRDefault="00D20CE5" w:rsidP="00427BD6">
      <w:pPr>
        <w:pStyle w:val="Textoindependiente"/>
        <w:numPr>
          <w:ilvl w:val="0"/>
          <w:numId w:val="9"/>
        </w:numPr>
        <w:autoSpaceDE/>
        <w:autoSpaceDN/>
        <w:rPr>
          <w:rFonts w:ascii="Abadi" w:hAnsi="Abadi"/>
          <w:b w:val="0"/>
          <w:bCs w:val="0"/>
          <w:sz w:val="21"/>
          <w:szCs w:val="21"/>
        </w:rPr>
      </w:pPr>
      <w:r w:rsidRPr="00655F77">
        <w:rPr>
          <w:rFonts w:ascii="Abadi" w:hAnsi="Abadi"/>
          <w:b w:val="0"/>
          <w:bCs w:val="0"/>
          <w:sz w:val="21"/>
          <w:szCs w:val="21"/>
        </w:rPr>
        <w:t xml:space="preserve">Anexos. </w:t>
      </w:r>
    </w:p>
    <w:p w14:paraId="233D6D5D" w14:textId="77777777" w:rsidR="00D20CE5" w:rsidRPr="00655F77" w:rsidRDefault="00D20CE5" w:rsidP="00D20CE5">
      <w:pPr>
        <w:pStyle w:val="Textoindependiente"/>
        <w:ind w:firstLine="705"/>
        <w:rPr>
          <w:rFonts w:ascii="Abadi" w:hAnsi="Abadi"/>
          <w:sz w:val="21"/>
          <w:szCs w:val="21"/>
        </w:rPr>
      </w:pPr>
    </w:p>
    <w:p w14:paraId="06995C7C" w14:textId="77777777" w:rsidR="00D20CE5" w:rsidRPr="00D20CE5" w:rsidRDefault="00D20CE5" w:rsidP="00D20CE5">
      <w:pPr>
        <w:pStyle w:val="Textoindependiente"/>
        <w:ind w:firstLine="705"/>
        <w:rPr>
          <w:rFonts w:ascii="Abadi" w:hAnsi="Abadi"/>
          <w:b w:val="0"/>
          <w:bCs w:val="0"/>
          <w:sz w:val="21"/>
          <w:szCs w:val="21"/>
        </w:rPr>
      </w:pPr>
      <w:r w:rsidRPr="00D20CE5">
        <w:rPr>
          <w:rFonts w:ascii="Abadi" w:hAnsi="Abadi"/>
          <w:b w:val="0"/>
          <w:bCs w:val="0"/>
          <w:sz w:val="21"/>
          <w:szCs w:val="21"/>
        </w:rPr>
        <w:t>En esta parte, se adjuntan los anexos técnicos derivados de la auditoría.</w:t>
      </w:r>
    </w:p>
    <w:p w14:paraId="447DB067" w14:textId="77777777" w:rsidR="00D20CE5" w:rsidRPr="00655F77" w:rsidRDefault="00D20CE5" w:rsidP="00D20CE5">
      <w:pPr>
        <w:pStyle w:val="Textoindependiente"/>
        <w:ind w:firstLine="705"/>
        <w:rPr>
          <w:rFonts w:ascii="Abadi" w:hAnsi="Abadi"/>
          <w:sz w:val="21"/>
          <w:szCs w:val="21"/>
        </w:rPr>
      </w:pPr>
    </w:p>
    <w:p w14:paraId="24E53177" w14:textId="77777777" w:rsidR="00D20CE5" w:rsidRPr="00655F77" w:rsidRDefault="00D20CE5" w:rsidP="00D20CE5">
      <w:pPr>
        <w:pStyle w:val="Textoindependiente"/>
        <w:ind w:firstLine="705"/>
        <w:rPr>
          <w:rFonts w:ascii="Abadi" w:hAnsi="Abadi"/>
          <w:sz w:val="21"/>
          <w:szCs w:val="21"/>
        </w:rPr>
      </w:pPr>
    </w:p>
    <w:p w14:paraId="07A7781A" w14:textId="77777777" w:rsidR="00D20CE5" w:rsidRPr="00655F77" w:rsidRDefault="00D20CE5" w:rsidP="00D20CE5">
      <w:pPr>
        <w:ind w:firstLine="708"/>
        <w:jc w:val="both"/>
        <w:rPr>
          <w:rFonts w:ascii="Abadi" w:hAnsi="Abadi"/>
          <w:b/>
          <w:bCs/>
          <w:sz w:val="21"/>
          <w:szCs w:val="21"/>
        </w:rPr>
      </w:pPr>
      <w:r w:rsidRPr="00655F77">
        <w:rPr>
          <w:rFonts w:ascii="Abadi" w:hAnsi="Abadi"/>
          <w:b/>
          <w:bCs/>
          <w:sz w:val="21"/>
          <w:szCs w:val="21"/>
        </w:rPr>
        <w:t>V. Conclusiones:</w:t>
      </w:r>
    </w:p>
    <w:p w14:paraId="3EB73711" w14:textId="77777777" w:rsidR="00D20CE5" w:rsidRPr="00655F77" w:rsidRDefault="00D20CE5" w:rsidP="00D20CE5">
      <w:pPr>
        <w:jc w:val="both"/>
        <w:rPr>
          <w:rFonts w:ascii="Abadi" w:hAnsi="Abadi"/>
          <w:sz w:val="21"/>
          <w:szCs w:val="21"/>
        </w:rPr>
      </w:pPr>
    </w:p>
    <w:p w14:paraId="15C854CE" w14:textId="77777777" w:rsidR="00D20CE5" w:rsidRPr="00655F77" w:rsidRDefault="00D20CE5" w:rsidP="00D20CE5">
      <w:pPr>
        <w:jc w:val="both"/>
        <w:rPr>
          <w:rFonts w:ascii="Abadi" w:hAnsi="Abadi"/>
          <w:sz w:val="21"/>
          <w:szCs w:val="21"/>
        </w:rPr>
      </w:pPr>
      <w:r w:rsidRPr="00655F77">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16A1D35" w14:textId="77777777" w:rsidR="00D20CE5" w:rsidRPr="00655F77" w:rsidRDefault="00D20CE5" w:rsidP="00D20CE5">
      <w:pPr>
        <w:jc w:val="both"/>
        <w:rPr>
          <w:rFonts w:ascii="Abadi" w:hAnsi="Abadi"/>
          <w:sz w:val="21"/>
          <w:szCs w:val="21"/>
        </w:rPr>
      </w:pPr>
    </w:p>
    <w:p w14:paraId="1EEF40D7" w14:textId="77777777" w:rsidR="00D20CE5" w:rsidRPr="00655F77" w:rsidRDefault="00D20CE5" w:rsidP="00D20CE5">
      <w:pPr>
        <w:jc w:val="both"/>
        <w:rPr>
          <w:rFonts w:ascii="Abadi" w:hAnsi="Abadi"/>
          <w:sz w:val="21"/>
          <w:szCs w:val="21"/>
        </w:rPr>
      </w:pPr>
      <w:r w:rsidRPr="00655F77">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5B972FA0" w14:textId="77777777" w:rsidR="00D20CE5" w:rsidRPr="00655F77" w:rsidRDefault="00D20CE5" w:rsidP="00D20CE5">
      <w:pPr>
        <w:jc w:val="both"/>
        <w:rPr>
          <w:rFonts w:ascii="Abadi" w:hAnsi="Abadi"/>
          <w:sz w:val="21"/>
          <w:szCs w:val="21"/>
        </w:rPr>
      </w:pPr>
    </w:p>
    <w:p w14:paraId="520AFDD1"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 la presidenta y al ex presidente municipales de León, </w:t>
      </w:r>
      <w:proofErr w:type="spellStart"/>
      <w:r w:rsidRPr="00655F77">
        <w:rPr>
          <w:rFonts w:ascii="Abadi" w:hAnsi="Abadi"/>
          <w:sz w:val="21"/>
          <w:szCs w:val="21"/>
        </w:rPr>
        <w:t>Gto</w:t>
      </w:r>
      <w:proofErr w:type="spellEnd"/>
      <w:r w:rsidRPr="00655F77">
        <w:rPr>
          <w:rFonts w:ascii="Abadi" w:hAnsi="Abadi"/>
          <w:sz w:val="21"/>
          <w:szCs w:val="21"/>
        </w:rPr>
        <w:t xml:space="preserve">., concediéndoles el plazo que establece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0AB81BF6" w14:textId="77777777" w:rsidR="00D20CE5" w:rsidRPr="00655F77" w:rsidRDefault="00D20CE5" w:rsidP="00D20CE5">
      <w:pPr>
        <w:jc w:val="both"/>
        <w:rPr>
          <w:rFonts w:ascii="Abadi" w:hAnsi="Abadi"/>
          <w:sz w:val="21"/>
          <w:szCs w:val="21"/>
        </w:rPr>
      </w:pPr>
    </w:p>
    <w:p w14:paraId="54156875"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De igual manera, existe en el informe de resultados la constancia de que este se notificó a la presidenta y al ex presidente municipales de León, </w:t>
      </w:r>
      <w:proofErr w:type="spellStart"/>
      <w:r w:rsidRPr="00655F77">
        <w:rPr>
          <w:rFonts w:ascii="Abadi" w:hAnsi="Abadi"/>
          <w:sz w:val="21"/>
          <w:szCs w:val="21"/>
        </w:rPr>
        <w:t>Gto</w:t>
      </w:r>
      <w:proofErr w:type="spellEnd"/>
      <w:r w:rsidRPr="00655F77">
        <w:rPr>
          <w:rFonts w:ascii="Abadi" w:hAnsi="Abadi"/>
          <w:sz w:val="21"/>
          <w:szCs w:val="21"/>
        </w:rPr>
        <w:t xml:space="preserve">., concediéndoles el término señalado en el artículo 37, fracción IV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León, </w:t>
      </w:r>
      <w:proofErr w:type="spellStart"/>
      <w:r w:rsidRPr="00655F77">
        <w:rPr>
          <w:rFonts w:ascii="Abadi" w:hAnsi="Abadi"/>
          <w:sz w:val="21"/>
          <w:szCs w:val="21"/>
        </w:rPr>
        <w:t>Gto</w:t>
      </w:r>
      <w:proofErr w:type="spellEnd"/>
      <w:r w:rsidRPr="00655F77">
        <w:rPr>
          <w:rFonts w:ascii="Abadi" w:hAnsi="Abadi"/>
          <w:sz w:val="21"/>
          <w:szCs w:val="21"/>
        </w:rPr>
        <w:t>. En tal virtud, se considera que fue respetado el derecho de audiencia o defensa por parte del Órgano Técnico.</w:t>
      </w:r>
    </w:p>
    <w:p w14:paraId="54554444" w14:textId="77777777" w:rsidR="00D20CE5" w:rsidRPr="00655F77" w:rsidRDefault="00D20CE5" w:rsidP="00D20CE5">
      <w:pPr>
        <w:ind w:firstLine="708"/>
        <w:jc w:val="both"/>
        <w:rPr>
          <w:rFonts w:ascii="Abadi" w:hAnsi="Abadi"/>
          <w:sz w:val="21"/>
          <w:szCs w:val="21"/>
        </w:rPr>
      </w:pPr>
    </w:p>
    <w:p w14:paraId="6628D6E4"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w:t>
      </w:r>
      <w:r w:rsidRPr="00655F77">
        <w:rPr>
          <w:rFonts w:ascii="Abadi" w:hAnsi="Abadi"/>
          <w:sz w:val="21"/>
          <w:szCs w:val="21"/>
        </w:rPr>
        <w:lastRenderedPageBreak/>
        <w:t>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7C8E223" w14:textId="77777777" w:rsidR="00D20CE5" w:rsidRPr="00655F77" w:rsidRDefault="00D20CE5" w:rsidP="00D20CE5">
      <w:pPr>
        <w:ind w:firstLine="708"/>
        <w:jc w:val="both"/>
        <w:rPr>
          <w:rFonts w:ascii="Abadi" w:hAnsi="Abadi"/>
          <w:sz w:val="21"/>
          <w:szCs w:val="21"/>
        </w:rPr>
      </w:pPr>
    </w:p>
    <w:p w14:paraId="0098357B"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A485E36" w14:textId="77777777" w:rsidR="00D20CE5" w:rsidRPr="00655F77" w:rsidRDefault="00D20CE5" w:rsidP="00D20CE5">
      <w:pPr>
        <w:ind w:firstLine="708"/>
        <w:jc w:val="both"/>
        <w:rPr>
          <w:rFonts w:ascii="Abadi" w:hAnsi="Abadi"/>
          <w:sz w:val="21"/>
          <w:szCs w:val="21"/>
        </w:rPr>
      </w:pPr>
    </w:p>
    <w:p w14:paraId="7553361A"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44F6BC0" w14:textId="77777777" w:rsidR="00D20CE5" w:rsidRPr="00655F77" w:rsidRDefault="00D20CE5" w:rsidP="00D20CE5">
      <w:pPr>
        <w:ind w:firstLine="708"/>
        <w:jc w:val="both"/>
        <w:rPr>
          <w:rFonts w:ascii="Abadi" w:hAnsi="Abadi"/>
          <w:sz w:val="21"/>
          <w:szCs w:val="21"/>
        </w:rPr>
      </w:pPr>
    </w:p>
    <w:p w14:paraId="45E5523B"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9908518" w14:textId="77777777" w:rsidR="00D20CE5" w:rsidRPr="00655F77" w:rsidRDefault="00D20CE5" w:rsidP="00D20CE5">
      <w:pPr>
        <w:ind w:firstLine="708"/>
        <w:jc w:val="both"/>
        <w:rPr>
          <w:rFonts w:ascii="Abadi" w:hAnsi="Abadi"/>
          <w:sz w:val="21"/>
          <w:szCs w:val="21"/>
        </w:rPr>
      </w:pPr>
    </w:p>
    <w:p w14:paraId="084E8D2A"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En razón de lo anteriormente señalado, concluimos que el informe de resultados de la auditoría practicada a la infraestructura pública municipal respecto de </w:t>
      </w:r>
      <w:r w:rsidRPr="00655F77">
        <w:rPr>
          <w:rFonts w:ascii="Abadi" w:hAnsi="Abadi"/>
          <w:sz w:val="21"/>
          <w:szCs w:val="21"/>
        </w:rPr>
        <w:t xml:space="preserve">las operaciones realizadas por la administración municipal de León, </w:t>
      </w:r>
      <w:proofErr w:type="spellStart"/>
      <w:r w:rsidRPr="00655F77">
        <w:rPr>
          <w:rFonts w:ascii="Abadi" w:hAnsi="Abadi"/>
          <w:sz w:val="21"/>
          <w:szCs w:val="21"/>
        </w:rPr>
        <w:t>Gto</w:t>
      </w:r>
      <w:proofErr w:type="spellEnd"/>
      <w:r w:rsidRPr="00655F77">
        <w:rPr>
          <w:rFonts w:ascii="Abadi" w:hAnsi="Abadi"/>
          <w:sz w:val="21"/>
          <w:szCs w:val="21"/>
        </w:rPr>
        <w:t xml:space="preserve">.,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55F77">
          <w:rPr>
            <w:rFonts w:ascii="Abadi" w:hAnsi="Abadi"/>
            <w:sz w:val="21"/>
            <w:szCs w:val="21"/>
          </w:rPr>
          <w:t>la Ley</w:t>
        </w:r>
      </w:smartTag>
      <w:r w:rsidRPr="00655F77">
        <w:rPr>
          <w:rFonts w:ascii="Abadi" w:hAnsi="Abadi"/>
          <w:sz w:val="21"/>
          <w:szCs w:val="21"/>
        </w:rPr>
        <w:t xml:space="preserve"> de Fiscalización Superior del Estado de Guanajuato, razón por la cual no podría ser observado por el Pleno del Congreso.</w:t>
      </w:r>
    </w:p>
    <w:p w14:paraId="790D5E87" w14:textId="77777777" w:rsidR="00D20CE5" w:rsidRPr="00655F77" w:rsidRDefault="00D20CE5" w:rsidP="00D20CE5">
      <w:pPr>
        <w:ind w:firstLine="708"/>
        <w:jc w:val="both"/>
        <w:rPr>
          <w:rFonts w:ascii="Abadi" w:hAnsi="Abadi"/>
          <w:sz w:val="21"/>
          <w:szCs w:val="21"/>
        </w:rPr>
      </w:pPr>
    </w:p>
    <w:p w14:paraId="10F05230" w14:textId="77777777" w:rsidR="00D20CE5" w:rsidRPr="00655F77" w:rsidRDefault="00D20CE5" w:rsidP="00D20CE5">
      <w:pPr>
        <w:ind w:firstLine="708"/>
        <w:jc w:val="both"/>
        <w:rPr>
          <w:rFonts w:ascii="Abadi" w:hAnsi="Abadi"/>
          <w:sz w:val="21"/>
          <w:szCs w:val="21"/>
        </w:rPr>
      </w:pPr>
    </w:p>
    <w:p w14:paraId="6E8DB9B3" w14:textId="77777777" w:rsidR="00D20CE5" w:rsidRPr="00655F77" w:rsidRDefault="00D20CE5" w:rsidP="00D20CE5">
      <w:pPr>
        <w:ind w:firstLine="708"/>
        <w:jc w:val="both"/>
        <w:rPr>
          <w:rFonts w:ascii="Abadi" w:hAnsi="Abadi"/>
          <w:sz w:val="21"/>
          <w:szCs w:val="21"/>
        </w:rPr>
      </w:pPr>
      <w:r w:rsidRPr="00655F7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655F77">
          <w:rPr>
            <w:rFonts w:ascii="Abadi" w:hAnsi="Abadi"/>
            <w:sz w:val="21"/>
            <w:szCs w:val="21"/>
          </w:rPr>
          <w:t>la Ley Orgánica</w:t>
        </w:r>
      </w:smartTag>
      <w:r w:rsidRPr="00655F7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655F77">
          <w:rPr>
            <w:rFonts w:ascii="Abadi" w:hAnsi="Abadi"/>
            <w:sz w:val="21"/>
            <w:szCs w:val="21"/>
          </w:rPr>
          <w:t>la Asamblea</w:t>
        </w:r>
      </w:smartTag>
      <w:r w:rsidRPr="00655F77">
        <w:rPr>
          <w:rFonts w:ascii="Abadi" w:hAnsi="Abadi"/>
          <w:sz w:val="21"/>
          <w:szCs w:val="21"/>
        </w:rPr>
        <w:t>, la aprobación del siguiente:</w:t>
      </w:r>
    </w:p>
    <w:p w14:paraId="4E1A060E" w14:textId="77777777" w:rsidR="00D20CE5" w:rsidRPr="00655F77" w:rsidRDefault="00D20CE5" w:rsidP="00D20CE5">
      <w:pPr>
        <w:ind w:firstLine="708"/>
        <w:jc w:val="both"/>
        <w:rPr>
          <w:rFonts w:ascii="Abadi" w:hAnsi="Abadi"/>
          <w:sz w:val="21"/>
          <w:szCs w:val="21"/>
        </w:rPr>
      </w:pPr>
    </w:p>
    <w:p w14:paraId="57673501" w14:textId="77777777" w:rsidR="00D20CE5" w:rsidRPr="00655F77" w:rsidRDefault="00D20CE5" w:rsidP="00D20CE5">
      <w:pPr>
        <w:pStyle w:val="Ttulo1"/>
        <w:jc w:val="center"/>
        <w:rPr>
          <w:rFonts w:ascii="Abadi" w:hAnsi="Abadi" w:cs="Arial"/>
          <w:smallCaps/>
          <w:sz w:val="21"/>
          <w:szCs w:val="21"/>
        </w:rPr>
      </w:pPr>
    </w:p>
    <w:p w14:paraId="2D69531D" w14:textId="77777777" w:rsidR="00D20CE5" w:rsidRPr="00655F77" w:rsidRDefault="00D20CE5" w:rsidP="00D20CE5">
      <w:pPr>
        <w:pStyle w:val="Ttulo1"/>
        <w:jc w:val="center"/>
        <w:rPr>
          <w:rFonts w:ascii="Abadi" w:hAnsi="Abadi" w:cs="Arial"/>
          <w:smallCaps/>
          <w:sz w:val="21"/>
          <w:szCs w:val="21"/>
        </w:rPr>
      </w:pPr>
      <w:r w:rsidRPr="00655F77">
        <w:rPr>
          <w:rFonts w:ascii="Abadi" w:hAnsi="Abadi" w:cs="Arial"/>
          <w:smallCaps/>
          <w:sz w:val="21"/>
          <w:szCs w:val="21"/>
        </w:rPr>
        <w:t>A C U E R D O</w:t>
      </w:r>
    </w:p>
    <w:p w14:paraId="3CA63AA7" w14:textId="77777777" w:rsidR="00D20CE5" w:rsidRPr="00655F77" w:rsidRDefault="00D20CE5" w:rsidP="00D20CE5">
      <w:pPr>
        <w:rPr>
          <w:rFonts w:ascii="Abadi" w:hAnsi="Abadi"/>
          <w:sz w:val="21"/>
          <w:szCs w:val="21"/>
        </w:rPr>
      </w:pPr>
    </w:p>
    <w:p w14:paraId="5D278757" w14:textId="77777777" w:rsidR="00D20CE5" w:rsidRPr="00655F77" w:rsidRDefault="00D20CE5" w:rsidP="00D20CE5">
      <w:pPr>
        <w:ind w:firstLine="708"/>
        <w:jc w:val="both"/>
        <w:rPr>
          <w:rFonts w:ascii="Abadi" w:hAnsi="Abadi"/>
          <w:sz w:val="21"/>
          <w:szCs w:val="21"/>
        </w:rPr>
      </w:pPr>
      <w:r w:rsidRPr="00655F77">
        <w:rPr>
          <w:rFonts w:ascii="Abadi" w:hAnsi="Abadi"/>
          <w:b/>
          <w:sz w:val="21"/>
          <w:szCs w:val="21"/>
        </w:rPr>
        <w:t>Único.</w:t>
      </w:r>
      <w:r w:rsidRPr="00655F77">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655F77">
          <w:rPr>
            <w:rFonts w:ascii="Abadi" w:hAnsi="Abadi"/>
            <w:sz w:val="21"/>
            <w:szCs w:val="21"/>
          </w:rPr>
          <w:t>la Constitución Política</w:t>
        </w:r>
      </w:smartTag>
      <w:r w:rsidRPr="00655F77">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León, </w:t>
      </w:r>
      <w:proofErr w:type="spellStart"/>
      <w:r w:rsidRPr="00655F77">
        <w:rPr>
          <w:rFonts w:ascii="Abadi" w:hAnsi="Abadi"/>
          <w:sz w:val="21"/>
          <w:szCs w:val="21"/>
        </w:rPr>
        <w:t>Gto</w:t>
      </w:r>
      <w:proofErr w:type="spellEnd"/>
      <w:r w:rsidRPr="00655F77">
        <w:rPr>
          <w:rFonts w:ascii="Abadi" w:hAnsi="Abadi"/>
          <w:sz w:val="21"/>
          <w:szCs w:val="21"/>
        </w:rPr>
        <w:t>., correspondientes al periodo comprendido del 1 de enero al 31 de diciembre del ejercicio fiscal del año 2021.</w:t>
      </w:r>
    </w:p>
    <w:p w14:paraId="507FF8C9" w14:textId="77777777" w:rsidR="00D20CE5" w:rsidRPr="00655F77" w:rsidRDefault="00D20CE5" w:rsidP="00D20CE5">
      <w:pPr>
        <w:ind w:firstLine="708"/>
        <w:jc w:val="both"/>
        <w:rPr>
          <w:rFonts w:ascii="Abadi" w:hAnsi="Abadi"/>
          <w:sz w:val="21"/>
          <w:szCs w:val="21"/>
        </w:rPr>
      </w:pPr>
    </w:p>
    <w:p w14:paraId="020F2FD0" w14:textId="77777777" w:rsidR="00D20CE5" w:rsidRPr="00655F77" w:rsidRDefault="00D20CE5" w:rsidP="00D20CE5">
      <w:pPr>
        <w:pStyle w:val="Sangra3detindependiente"/>
        <w:spacing w:line="240" w:lineRule="auto"/>
        <w:rPr>
          <w:rFonts w:ascii="Abadi" w:hAnsi="Abadi"/>
          <w:sz w:val="21"/>
          <w:szCs w:val="21"/>
          <w:lang w:val="es-MX"/>
        </w:rPr>
      </w:pPr>
      <w:r w:rsidRPr="00655F7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55F77">
        <w:rPr>
          <w:rFonts w:ascii="Abadi" w:hAnsi="Abadi"/>
          <w:sz w:val="21"/>
          <w:szCs w:val="21"/>
          <w:lang w:val="es-MX"/>
        </w:rPr>
        <w:t>.</w:t>
      </w:r>
      <w:r w:rsidRPr="00655F77">
        <w:rPr>
          <w:rFonts w:ascii="Abadi" w:hAnsi="Abadi"/>
          <w:sz w:val="21"/>
          <w:szCs w:val="21"/>
        </w:rPr>
        <w:t xml:space="preserve"> </w:t>
      </w:r>
      <w:r w:rsidRPr="00655F77">
        <w:rPr>
          <w:rFonts w:ascii="Abadi" w:hAnsi="Abadi"/>
          <w:sz w:val="21"/>
          <w:szCs w:val="21"/>
          <w:lang w:val="es-MX"/>
        </w:rPr>
        <w:t>Asimismo, dará</w:t>
      </w:r>
      <w:r w:rsidRPr="00655F77">
        <w:rPr>
          <w:rFonts w:ascii="Abadi" w:hAnsi="Abadi"/>
          <w:sz w:val="21"/>
          <w:szCs w:val="21"/>
        </w:rPr>
        <w:t xml:space="preserve"> seguimiento a las observaciones no solventadas contenidas en el informe de resultados</w:t>
      </w:r>
      <w:r w:rsidRPr="00655F77">
        <w:rPr>
          <w:rFonts w:ascii="Abadi" w:hAnsi="Abadi"/>
          <w:sz w:val="21"/>
          <w:szCs w:val="21"/>
          <w:lang w:val="es-MX"/>
        </w:rPr>
        <w:t>.</w:t>
      </w:r>
    </w:p>
    <w:p w14:paraId="63E99A71" w14:textId="77777777" w:rsidR="00D20CE5" w:rsidRPr="00655F77" w:rsidRDefault="00D20CE5" w:rsidP="00D20CE5">
      <w:pPr>
        <w:pStyle w:val="Sangra3detindependiente"/>
        <w:spacing w:line="240" w:lineRule="auto"/>
        <w:rPr>
          <w:rFonts w:ascii="Abadi" w:hAnsi="Abadi"/>
          <w:sz w:val="21"/>
          <w:szCs w:val="21"/>
        </w:rPr>
      </w:pPr>
      <w:r w:rsidRPr="00655F77">
        <w:rPr>
          <w:rFonts w:ascii="Abadi" w:hAnsi="Abadi"/>
          <w:sz w:val="21"/>
          <w:szCs w:val="21"/>
        </w:rPr>
        <w:t>Del proceso de fiscalización no se desprendieron recomendaciones.</w:t>
      </w:r>
    </w:p>
    <w:p w14:paraId="40233B3D" w14:textId="77777777" w:rsidR="00D20CE5" w:rsidRPr="00655F77" w:rsidRDefault="00D20CE5" w:rsidP="00D20CE5">
      <w:pPr>
        <w:pStyle w:val="Sangra3detindependiente"/>
        <w:spacing w:line="240" w:lineRule="auto"/>
        <w:rPr>
          <w:rFonts w:ascii="Abadi" w:hAnsi="Abadi"/>
          <w:sz w:val="21"/>
          <w:szCs w:val="21"/>
          <w:lang w:val="es-MX"/>
        </w:rPr>
      </w:pPr>
      <w:r w:rsidRPr="00655F77">
        <w:rPr>
          <w:rFonts w:ascii="Abadi" w:hAnsi="Abadi"/>
          <w:sz w:val="21"/>
          <w:szCs w:val="21"/>
        </w:rPr>
        <w:t xml:space="preserve">De conformidad con el artículo 37, fracción VI de la Ley de Fiscalización Superior del Estado de Guanajuato, remítase el </w:t>
      </w:r>
      <w:r w:rsidRPr="00655F77">
        <w:rPr>
          <w:rFonts w:ascii="Abadi" w:hAnsi="Abadi"/>
          <w:sz w:val="21"/>
          <w:szCs w:val="21"/>
        </w:rPr>
        <w:lastRenderedPageBreak/>
        <w:t>presente acuerdo junto con su dictamen y el informe de resultados a la Auditoría Superior del Estado, para efectos de su notificación</w:t>
      </w:r>
      <w:r w:rsidRPr="00655F77">
        <w:rPr>
          <w:rFonts w:ascii="Abadi" w:hAnsi="Abadi"/>
          <w:sz w:val="21"/>
          <w:szCs w:val="21"/>
          <w:lang w:val="es-MX"/>
        </w:rPr>
        <w:t>.</w:t>
      </w:r>
    </w:p>
    <w:p w14:paraId="22A47372" w14:textId="77777777" w:rsidR="00D20CE5" w:rsidRPr="00655F77" w:rsidRDefault="00D20CE5" w:rsidP="00D20CE5">
      <w:pPr>
        <w:pStyle w:val="Sangra3detindependiente"/>
        <w:spacing w:line="240" w:lineRule="auto"/>
        <w:rPr>
          <w:rFonts w:ascii="Abadi" w:hAnsi="Abadi"/>
          <w:sz w:val="21"/>
          <w:szCs w:val="21"/>
          <w:lang w:val="es-MX"/>
        </w:rPr>
      </w:pPr>
    </w:p>
    <w:p w14:paraId="19ED9F8D" w14:textId="77777777" w:rsidR="00D20CE5" w:rsidRPr="00655F77" w:rsidRDefault="00D20CE5" w:rsidP="00D20CE5">
      <w:pPr>
        <w:jc w:val="center"/>
        <w:rPr>
          <w:rFonts w:ascii="Abadi" w:hAnsi="Abadi"/>
          <w:b/>
          <w:bCs/>
          <w:sz w:val="21"/>
          <w:szCs w:val="21"/>
          <w:lang w:eastAsia="x-none"/>
        </w:rPr>
      </w:pPr>
      <w:r w:rsidRPr="00655F77">
        <w:rPr>
          <w:rFonts w:ascii="Abadi" w:hAnsi="Abadi"/>
          <w:b/>
          <w:bCs/>
          <w:sz w:val="21"/>
          <w:szCs w:val="21"/>
          <w:lang w:eastAsia="x-none"/>
        </w:rPr>
        <w:t xml:space="preserve">Guanajuato, </w:t>
      </w:r>
      <w:proofErr w:type="spellStart"/>
      <w:r w:rsidRPr="00655F77">
        <w:rPr>
          <w:rFonts w:ascii="Abadi" w:hAnsi="Abadi"/>
          <w:b/>
          <w:bCs/>
          <w:sz w:val="21"/>
          <w:szCs w:val="21"/>
          <w:lang w:eastAsia="x-none"/>
        </w:rPr>
        <w:t>Gto</w:t>
      </w:r>
      <w:proofErr w:type="spellEnd"/>
      <w:r w:rsidRPr="00655F77">
        <w:rPr>
          <w:rFonts w:ascii="Abadi" w:hAnsi="Abadi"/>
          <w:b/>
          <w:bCs/>
          <w:sz w:val="21"/>
          <w:szCs w:val="21"/>
          <w:lang w:eastAsia="x-none"/>
        </w:rPr>
        <w:t>., 13 de junio de 2023</w:t>
      </w:r>
    </w:p>
    <w:p w14:paraId="4C0EB478" w14:textId="77777777" w:rsidR="00D20CE5" w:rsidRPr="00655F77" w:rsidRDefault="00D20CE5" w:rsidP="00D20CE5">
      <w:pPr>
        <w:jc w:val="center"/>
        <w:rPr>
          <w:rFonts w:ascii="Abadi" w:hAnsi="Abadi"/>
          <w:b/>
          <w:bCs/>
          <w:sz w:val="21"/>
          <w:szCs w:val="21"/>
          <w:lang w:eastAsia="x-none"/>
        </w:rPr>
      </w:pPr>
      <w:smartTag w:uri="urn:schemas-microsoft-com:office:smarttags" w:element="PersonName">
        <w:smartTagPr>
          <w:attr w:name="ProductID" w:val="La Comisi￳n"/>
        </w:smartTagPr>
        <w:r w:rsidRPr="00655F77">
          <w:rPr>
            <w:rFonts w:ascii="Abadi" w:hAnsi="Abadi"/>
            <w:b/>
            <w:bCs/>
            <w:sz w:val="21"/>
            <w:szCs w:val="21"/>
            <w:lang w:eastAsia="x-none"/>
          </w:rPr>
          <w:t>La Comisión</w:t>
        </w:r>
      </w:smartTag>
      <w:r w:rsidRPr="00655F77">
        <w:rPr>
          <w:rFonts w:ascii="Abadi" w:hAnsi="Abadi"/>
          <w:b/>
          <w:bCs/>
          <w:sz w:val="21"/>
          <w:szCs w:val="21"/>
          <w:lang w:eastAsia="x-none"/>
        </w:rPr>
        <w:t xml:space="preserve"> de Hacienda y Fiscalización</w:t>
      </w:r>
    </w:p>
    <w:p w14:paraId="6B2E4E09" w14:textId="77777777" w:rsidR="00D20CE5" w:rsidRPr="00655F77" w:rsidRDefault="00D20CE5" w:rsidP="00D20CE5">
      <w:pPr>
        <w:jc w:val="center"/>
        <w:rPr>
          <w:rFonts w:ascii="Abadi" w:hAnsi="Abadi"/>
          <w:sz w:val="21"/>
          <w:szCs w:val="21"/>
        </w:rPr>
      </w:pPr>
    </w:p>
    <w:p w14:paraId="6A74A56E" w14:textId="77777777" w:rsidR="00D20CE5" w:rsidRPr="00655F77" w:rsidRDefault="00D20CE5" w:rsidP="00D20CE5">
      <w:pPr>
        <w:jc w:val="center"/>
        <w:rPr>
          <w:rFonts w:ascii="Abadi" w:hAnsi="Abadi"/>
          <w:sz w:val="21"/>
          <w:szCs w:val="21"/>
        </w:rPr>
      </w:pPr>
    </w:p>
    <w:p w14:paraId="17FB5809" w14:textId="77777777" w:rsidR="00D20CE5" w:rsidRPr="00655F77" w:rsidRDefault="00D20CE5" w:rsidP="00D20CE5">
      <w:pPr>
        <w:jc w:val="center"/>
        <w:rPr>
          <w:rFonts w:ascii="Abadi" w:hAnsi="Abadi"/>
          <w:sz w:val="21"/>
          <w:szCs w:val="21"/>
        </w:rPr>
      </w:pPr>
      <w:r w:rsidRPr="00655F77">
        <w:rPr>
          <w:rFonts w:ascii="Abadi" w:hAnsi="Abadi"/>
          <w:b/>
          <w:sz w:val="21"/>
          <w:szCs w:val="21"/>
          <w:lang w:eastAsia="x-none"/>
        </w:rPr>
        <w:t>Diputado Víctor Manuel Zanella Huerta</w:t>
      </w:r>
    </w:p>
    <w:p w14:paraId="206D1A67" w14:textId="77777777" w:rsidR="00D20CE5" w:rsidRPr="00655F77" w:rsidRDefault="00D20CE5" w:rsidP="00D20CE5">
      <w:pPr>
        <w:jc w:val="both"/>
        <w:rPr>
          <w:rFonts w:ascii="Abadi" w:hAnsi="Abadi"/>
          <w:sz w:val="21"/>
          <w:szCs w:val="21"/>
          <w:lang w:eastAsia="x-none"/>
        </w:rPr>
      </w:pPr>
    </w:p>
    <w:p w14:paraId="149A9FB0" w14:textId="77777777" w:rsidR="00D20CE5" w:rsidRPr="00655F77" w:rsidRDefault="00D20CE5" w:rsidP="00D20CE5">
      <w:pPr>
        <w:rPr>
          <w:rFonts w:ascii="Abadi" w:hAnsi="Abadi"/>
          <w:b/>
          <w:bCs/>
          <w:sz w:val="21"/>
          <w:szCs w:val="21"/>
          <w:lang w:eastAsia="x-none"/>
        </w:rPr>
      </w:pPr>
    </w:p>
    <w:p w14:paraId="0AECD43E" w14:textId="77777777" w:rsidR="00D20CE5" w:rsidRPr="00655F77" w:rsidRDefault="00D20CE5" w:rsidP="00D20CE5">
      <w:pPr>
        <w:rPr>
          <w:rFonts w:ascii="Abadi" w:hAnsi="Abadi"/>
          <w:b/>
          <w:sz w:val="21"/>
          <w:szCs w:val="21"/>
          <w:lang w:eastAsia="x-none"/>
        </w:rPr>
      </w:pPr>
      <w:r w:rsidRPr="00655F77">
        <w:rPr>
          <w:rFonts w:ascii="Abadi" w:hAnsi="Abadi"/>
          <w:b/>
          <w:sz w:val="21"/>
          <w:szCs w:val="21"/>
          <w:lang w:eastAsia="x-none"/>
        </w:rPr>
        <w:t xml:space="preserve">Diputada Ruth Noemí Tiscareño Agoitia      </w:t>
      </w:r>
    </w:p>
    <w:p w14:paraId="660925CA" w14:textId="51647065" w:rsidR="00D20CE5" w:rsidRPr="00655F77" w:rsidRDefault="00D20CE5" w:rsidP="00D20CE5">
      <w:pPr>
        <w:rPr>
          <w:rFonts w:ascii="Abadi" w:hAnsi="Abadi"/>
          <w:b/>
          <w:sz w:val="21"/>
          <w:szCs w:val="21"/>
          <w:lang w:eastAsia="x-none"/>
        </w:rPr>
      </w:pPr>
      <w:r w:rsidRPr="00655F77">
        <w:rPr>
          <w:rFonts w:ascii="Abadi" w:hAnsi="Abadi"/>
          <w:b/>
          <w:sz w:val="21"/>
          <w:szCs w:val="21"/>
          <w:lang w:eastAsia="x-none"/>
        </w:rPr>
        <w:t xml:space="preserve">Diputado Miguel Ángel Salim </w:t>
      </w:r>
      <w:proofErr w:type="spellStart"/>
      <w:r w:rsidRPr="00655F77">
        <w:rPr>
          <w:rFonts w:ascii="Abadi" w:hAnsi="Abadi"/>
          <w:b/>
          <w:sz w:val="21"/>
          <w:szCs w:val="21"/>
          <w:lang w:eastAsia="x-none"/>
        </w:rPr>
        <w:t>Alle</w:t>
      </w:r>
      <w:proofErr w:type="spellEnd"/>
    </w:p>
    <w:p w14:paraId="5A8AB8D9" w14:textId="77777777" w:rsidR="00D20CE5" w:rsidRPr="00655F77" w:rsidRDefault="00D20CE5" w:rsidP="00D20CE5">
      <w:pPr>
        <w:rPr>
          <w:rFonts w:ascii="Abadi" w:hAnsi="Abadi"/>
          <w:b/>
          <w:sz w:val="21"/>
          <w:szCs w:val="21"/>
          <w:lang w:eastAsia="x-none"/>
        </w:rPr>
      </w:pPr>
      <w:r w:rsidRPr="00655F77">
        <w:rPr>
          <w:rFonts w:ascii="Abadi" w:hAnsi="Abadi"/>
          <w:b/>
          <w:sz w:val="21"/>
          <w:szCs w:val="21"/>
          <w:lang w:eastAsia="x-none"/>
        </w:rPr>
        <w:t xml:space="preserve">Diputado José Alfonso Borja Pimentel    </w:t>
      </w:r>
    </w:p>
    <w:p w14:paraId="3339CCA6" w14:textId="77777777" w:rsidR="00D20CE5" w:rsidRPr="00655F77" w:rsidRDefault="00D20CE5" w:rsidP="00D20CE5">
      <w:pPr>
        <w:rPr>
          <w:rFonts w:ascii="Abadi" w:hAnsi="Abadi"/>
          <w:b/>
          <w:sz w:val="21"/>
          <w:szCs w:val="21"/>
          <w:lang w:eastAsia="x-none"/>
        </w:rPr>
      </w:pPr>
      <w:r w:rsidRPr="00655F77">
        <w:rPr>
          <w:rFonts w:ascii="Abadi" w:hAnsi="Abadi"/>
          <w:b/>
          <w:sz w:val="21"/>
          <w:szCs w:val="21"/>
          <w:lang w:eastAsia="x-none"/>
        </w:rPr>
        <w:t>Diputada Alma Edwviges Alcaraz Hernández</w:t>
      </w:r>
    </w:p>
    <w:p w14:paraId="3698E9A8" w14:textId="77777777" w:rsidR="00D20CE5" w:rsidRPr="00655F77" w:rsidRDefault="00D20CE5" w:rsidP="00D20CE5">
      <w:pPr>
        <w:pStyle w:val="Textoindependiente2"/>
        <w:rPr>
          <w:rFonts w:ascii="Abadi" w:hAnsi="Abadi"/>
          <w:sz w:val="21"/>
          <w:szCs w:val="21"/>
        </w:rPr>
      </w:pPr>
    </w:p>
    <w:p w14:paraId="2BA783E1" w14:textId="77777777" w:rsidR="00D20CE5" w:rsidRPr="00006796" w:rsidRDefault="00D20CE5" w:rsidP="00374533">
      <w:pPr>
        <w:autoSpaceDE w:val="0"/>
        <w:autoSpaceDN w:val="0"/>
        <w:adjustRightInd w:val="0"/>
        <w:jc w:val="both"/>
        <w:rPr>
          <w:rFonts w:ascii="Abadi" w:hAnsi="Abadi" w:cs="Arial-ItalicMT"/>
          <w:b/>
          <w:bCs/>
          <w:i/>
          <w:iCs/>
          <w:sz w:val="21"/>
          <w:szCs w:val="21"/>
        </w:rPr>
      </w:pPr>
    </w:p>
    <w:p w14:paraId="7545BF8B" w14:textId="4537F098"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SAN DIEGO DE LA UNIÓN, GTO., CORRESPONDIENTE AL EJERCICIO FISCAL DEL AÑO 2021. </w:t>
      </w:r>
      <w:r w:rsidRPr="00006796">
        <w:rPr>
          <w:rFonts w:ascii="Abadi" w:hAnsi="Abadi" w:cs="Arial-ItalicMT"/>
          <w:b/>
          <w:bCs/>
          <w:i/>
          <w:iCs/>
          <w:sz w:val="21"/>
          <w:szCs w:val="21"/>
        </w:rPr>
        <w:t>(ELD 275/LXV-IRASEG)</w:t>
      </w:r>
      <w:r w:rsidR="007C2B71">
        <w:rPr>
          <w:rStyle w:val="Refdenotaalpie"/>
          <w:rFonts w:ascii="Abadi" w:hAnsi="Abadi" w:cs="Arial-ItalicMT"/>
          <w:b/>
          <w:bCs/>
          <w:i/>
          <w:iCs/>
          <w:sz w:val="21"/>
          <w:szCs w:val="21"/>
        </w:rPr>
        <w:footnoteReference w:id="223"/>
      </w:r>
    </w:p>
    <w:p w14:paraId="409AD917" w14:textId="77777777" w:rsidR="002E02F0" w:rsidRDefault="002E02F0" w:rsidP="002E02F0">
      <w:pPr>
        <w:autoSpaceDE w:val="0"/>
        <w:autoSpaceDN w:val="0"/>
        <w:adjustRightInd w:val="0"/>
        <w:contextualSpacing/>
        <w:jc w:val="both"/>
        <w:rPr>
          <w:rFonts w:ascii="Abadi" w:hAnsi="Abadi" w:cs="Arial-ItalicMT"/>
          <w:b/>
          <w:bCs/>
          <w:i/>
          <w:iCs/>
          <w:sz w:val="21"/>
          <w:szCs w:val="21"/>
        </w:rPr>
      </w:pPr>
    </w:p>
    <w:p w14:paraId="1FF40776" w14:textId="77777777" w:rsidR="002E02F0" w:rsidRPr="001957DB" w:rsidRDefault="002E02F0" w:rsidP="002E02F0">
      <w:pPr>
        <w:pStyle w:val="Textoindependiente3"/>
        <w:rPr>
          <w:rFonts w:ascii="Abadi" w:hAnsi="Abadi" w:cs="Arial"/>
          <w:smallCaps/>
          <w:sz w:val="21"/>
          <w:szCs w:val="21"/>
        </w:rPr>
      </w:pPr>
      <w:r w:rsidRPr="001957DB">
        <w:rPr>
          <w:rFonts w:ascii="Abadi" w:hAnsi="Abadi" w:cs="Arial"/>
          <w:smallCaps/>
          <w:sz w:val="21"/>
          <w:szCs w:val="21"/>
        </w:rPr>
        <w:t>C. Presidenta del Congreso del Estado</w:t>
      </w:r>
    </w:p>
    <w:p w14:paraId="6FCF0EE9" w14:textId="77777777" w:rsidR="002E02F0" w:rsidRPr="001957DB" w:rsidRDefault="002E02F0" w:rsidP="002E02F0">
      <w:pPr>
        <w:jc w:val="both"/>
        <w:rPr>
          <w:rFonts w:ascii="Abadi" w:hAnsi="Abadi" w:cs="Arial"/>
          <w:b/>
          <w:bCs/>
          <w:smallCaps/>
          <w:sz w:val="21"/>
          <w:szCs w:val="21"/>
        </w:rPr>
      </w:pPr>
      <w:r w:rsidRPr="001957DB">
        <w:rPr>
          <w:rFonts w:ascii="Abadi" w:hAnsi="Abadi" w:cs="Arial"/>
          <w:b/>
          <w:bCs/>
          <w:smallCaps/>
          <w:sz w:val="21"/>
          <w:szCs w:val="21"/>
        </w:rPr>
        <w:t>P r e s e n t e.</w:t>
      </w:r>
    </w:p>
    <w:p w14:paraId="757BE0B3" w14:textId="77777777" w:rsidR="002E02F0" w:rsidRPr="001957DB" w:rsidRDefault="002E02F0" w:rsidP="002E02F0">
      <w:pPr>
        <w:pStyle w:val="Textoindependiente"/>
        <w:rPr>
          <w:rFonts w:ascii="Abadi" w:hAnsi="Abadi"/>
          <w:sz w:val="21"/>
          <w:szCs w:val="21"/>
        </w:rPr>
      </w:pPr>
    </w:p>
    <w:p w14:paraId="2C682E23" w14:textId="77777777" w:rsidR="002E02F0" w:rsidRPr="001957DB" w:rsidRDefault="002E02F0" w:rsidP="002E02F0">
      <w:pPr>
        <w:pStyle w:val="Sangra3detindependiente"/>
        <w:spacing w:line="240" w:lineRule="auto"/>
        <w:rPr>
          <w:rFonts w:ascii="Abadi" w:hAnsi="Abadi"/>
          <w:sz w:val="21"/>
          <w:szCs w:val="21"/>
        </w:rPr>
      </w:pPr>
      <w:r w:rsidRPr="001957DB">
        <w:rPr>
          <w:rFonts w:ascii="Abadi" w:hAnsi="Abadi"/>
          <w:sz w:val="21"/>
          <w:szCs w:val="21"/>
        </w:rPr>
        <w:t xml:space="preserve">A </w:t>
      </w:r>
      <w:r w:rsidRPr="001957DB">
        <w:rPr>
          <w:rFonts w:ascii="Abadi" w:hAnsi="Abadi"/>
          <w:sz w:val="21"/>
          <w:szCs w:val="21"/>
          <w:lang w:val="es-MX"/>
        </w:rPr>
        <w:t>esta</w:t>
      </w:r>
      <w:r w:rsidRPr="001957DB">
        <w:rPr>
          <w:rFonts w:ascii="Abadi" w:hAnsi="Abadi"/>
          <w:sz w:val="21"/>
          <w:szCs w:val="21"/>
        </w:rPr>
        <w:t xml:space="preserve"> Comisión de Hacienda y Fiscalización</w:t>
      </w:r>
      <w:r w:rsidRPr="001957DB">
        <w:rPr>
          <w:rFonts w:ascii="Abadi" w:hAnsi="Abadi"/>
          <w:sz w:val="21"/>
          <w:szCs w:val="21"/>
          <w:lang w:val="es-MX"/>
        </w:rPr>
        <w:t xml:space="preserve">, </w:t>
      </w:r>
      <w:r w:rsidRPr="001957DB">
        <w:rPr>
          <w:rFonts w:ascii="Abadi" w:hAnsi="Abadi"/>
          <w:sz w:val="21"/>
          <w:szCs w:val="21"/>
        </w:rPr>
        <w:t xml:space="preserve">le fue turnado para su estudio y dictamen, el informe de resultados de la revisión practicada por </w:t>
      </w:r>
      <w:r w:rsidRPr="001957DB">
        <w:rPr>
          <w:rFonts w:ascii="Abadi" w:hAnsi="Abadi"/>
          <w:sz w:val="21"/>
          <w:szCs w:val="21"/>
          <w:lang w:val="es-MX"/>
        </w:rPr>
        <w:t xml:space="preserve">la </w:t>
      </w:r>
      <w:r w:rsidRPr="001957DB">
        <w:rPr>
          <w:rFonts w:ascii="Abadi" w:hAnsi="Abadi"/>
          <w:sz w:val="21"/>
          <w:szCs w:val="21"/>
        </w:rPr>
        <w:t xml:space="preserve">Auditoría Superior del Estado de Guanajuato, a la cuenta pública municipal de </w:t>
      </w:r>
      <w:r w:rsidRPr="001957DB">
        <w:rPr>
          <w:rFonts w:ascii="Abadi" w:hAnsi="Abadi"/>
          <w:sz w:val="21"/>
          <w:szCs w:val="21"/>
          <w:lang w:val="es-MX"/>
        </w:rPr>
        <w:t>San Diego de la Unión</w:t>
      </w:r>
      <w:r w:rsidRPr="001957DB">
        <w:rPr>
          <w:rFonts w:ascii="Abadi" w:hAnsi="Abadi"/>
          <w:sz w:val="21"/>
          <w:szCs w:val="21"/>
        </w:rPr>
        <w:t xml:space="preserve">, </w:t>
      </w:r>
      <w:proofErr w:type="spellStart"/>
      <w:r w:rsidRPr="001957DB">
        <w:rPr>
          <w:rFonts w:ascii="Abadi" w:hAnsi="Abadi"/>
          <w:sz w:val="21"/>
          <w:szCs w:val="21"/>
        </w:rPr>
        <w:t>Gto</w:t>
      </w:r>
      <w:proofErr w:type="spellEnd"/>
      <w:r w:rsidRPr="001957DB">
        <w:rPr>
          <w:rFonts w:ascii="Abadi" w:hAnsi="Abadi"/>
          <w:sz w:val="21"/>
          <w:szCs w:val="21"/>
        </w:rPr>
        <w:t>., correspondiente al ejercicio fiscal del año 2021. (ELD 2</w:t>
      </w:r>
      <w:r w:rsidRPr="001957DB">
        <w:rPr>
          <w:rFonts w:ascii="Abadi" w:hAnsi="Abadi"/>
          <w:sz w:val="21"/>
          <w:szCs w:val="21"/>
          <w:lang w:val="es-MX"/>
        </w:rPr>
        <w:t>75</w:t>
      </w:r>
      <w:r w:rsidRPr="001957DB">
        <w:rPr>
          <w:rFonts w:ascii="Abadi" w:hAnsi="Abadi"/>
          <w:sz w:val="21"/>
          <w:szCs w:val="21"/>
        </w:rPr>
        <w:t>/LXV-IRASEG)</w:t>
      </w:r>
    </w:p>
    <w:p w14:paraId="33BEB8FA" w14:textId="77777777" w:rsidR="002E02F0" w:rsidRPr="001957DB" w:rsidRDefault="002E02F0" w:rsidP="002E02F0">
      <w:pPr>
        <w:pStyle w:val="Sangra3detindependiente"/>
        <w:spacing w:line="240" w:lineRule="auto"/>
        <w:rPr>
          <w:rFonts w:ascii="Abadi" w:hAnsi="Abadi"/>
          <w:sz w:val="21"/>
          <w:szCs w:val="21"/>
        </w:rPr>
      </w:pPr>
    </w:p>
    <w:p w14:paraId="36CB1481" w14:textId="77777777" w:rsidR="002E02F0" w:rsidRPr="001957DB" w:rsidRDefault="002E02F0" w:rsidP="002E02F0">
      <w:pPr>
        <w:pStyle w:val="Sangra3detindependiente"/>
        <w:spacing w:line="240" w:lineRule="auto"/>
        <w:rPr>
          <w:rFonts w:ascii="Abadi" w:hAnsi="Abadi"/>
          <w:sz w:val="21"/>
          <w:szCs w:val="21"/>
        </w:rPr>
      </w:pPr>
      <w:r w:rsidRPr="001957DB">
        <w:rPr>
          <w:rFonts w:ascii="Abadi" w:hAnsi="Abadi"/>
          <w:sz w:val="21"/>
          <w:szCs w:val="21"/>
        </w:rPr>
        <w:t>Una vez analizado el referido informe de resultados, con fundamento en lo dispuesto por los artículos 112, fracción XII</w:t>
      </w:r>
      <w:r w:rsidRPr="001957DB">
        <w:rPr>
          <w:rFonts w:ascii="Abadi" w:hAnsi="Abadi"/>
          <w:sz w:val="21"/>
          <w:szCs w:val="21"/>
          <w:lang w:val="es-MX"/>
        </w:rPr>
        <w:t>, primer párrafo</w:t>
      </w:r>
      <w:r w:rsidRPr="001957DB">
        <w:rPr>
          <w:rFonts w:ascii="Abadi" w:hAnsi="Abadi"/>
          <w:sz w:val="21"/>
          <w:szCs w:val="21"/>
        </w:rPr>
        <w:t xml:space="preserve"> y 171 de </w:t>
      </w:r>
      <w:smartTag w:uri="urn:schemas-microsoft-com:office:smarttags" w:element="PersonName">
        <w:smartTagPr>
          <w:attr w:name="ProductID" w:val="la Ley Org￡nica"/>
        </w:smartTagPr>
        <w:r w:rsidRPr="001957DB">
          <w:rPr>
            <w:rFonts w:ascii="Abadi" w:hAnsi="Abadi"/>
            <w:sz w:val="21"/>
            <w:szCs w:val="21"/>
          </w:rPr>
          <w:t>la Ley Orgánica</w:t>
        </w:r>
      </w:smartTag>
      <w:r w:rsidRPr="001957DB">
        <w:rPr>
          <w:rFonts w:ascii="Abadi" w:hAnsi="Abadi"/>
          <w:sz w:val="21"/>
          <w:szCs w:val="21"/>
        </w:rPr>
        <w:t xml:space="preserve"> del Poder Legislativo, nos permitimos rendir el siguiente:</w:t>
      </w:r>
    </w:p>
    <w:p w14:paraId="27DE6FDB" w14:textId="77777777" w:rsidR="002E02F0" w:rsidRPr="001957DB" w:rsidRDefault="002E02F0" w:rsidP="002E02F0">
      <w:pPr>
        <w:pStyle w:val="Sangra3detindependiente"/>
        <w:spacing w:line="240" w:lineRule="auto"/>
        <w:rPr>
          <w:rFonts w:ascii="Abadi" w:hAnsi="Abadi"/>
          <w:sz w:val="21"/>
          <w:szCs w:val="21"/>
        </w:rPr>
      </w:pPr>
    </w:p>
    <w:p w14:paraId="1B75F9FB" w14:textId="77777777" w:rsidR="002E02F0" w:rsidRPr="001957DB" w:rsidRDefault="002E02F0" w:rsidP="002E02F0">
      <w:pPr>
        <w:pStyle w:val="Ttulo1"/>
        <w:jc w:val="center"/>
        <w:rPr>
          <w:rFonts w:ascii="Abadi" w:hAnsi="Abadi" w:cs="Arial"/>
          <w:sz w:val="21"/>
          <w:szCs w:val="21"/>
        </w:rPr>
      </w:pPr>
      <w:r w:rsidRPr="001957DB">
        <w:rPr>
          <w:rFonts w:ascii="Abadi" w:hAnsi="Abadi" w:cs="Arial"/>
          <w:sz w:val="21"/>
          <w:szCs w:val="21"/>
        </w:rPr>
        <w:t>D i c t a m e n</w:t>
      </w:r>
    </w:p>
    <w:p w14:paraId="1A73343A" w14:textId="77777777" w:rsidR="004E6634" w:rsidRDefault="004E6634" w:rsidP="002E02F0">
      <w:pPr>
        <w:pStyle w:val="Textoindependiente"/>
        <w:ind w:firstLine="708"/>
        <w:rPr>
          <w:rFonts w:ascii="Abadi" w:hAnsi="Abadi"/>
          <w:b w:val="0"/>
          <w:bCs w:val="0"/>
          <w:sz w:val="21"/>
          <w:szCs w:val="21"/>
        </w:rPr>
      </w:pPr>
    </w:p>
    <w:p w14:paraId="1803C85C" w14:textId="28F6ADB8" w:rsidR="002E02F0" w:rsidRPr="00D20CE5" w:rsidRDefault="002E02F0" w:rsidP="002E02F0">
      <w:pPr>
        <w:pStyle w:val="Textoindependiente"/>
        <w:ind w:firstLine="708"/>
        <w:rPr>
          <w:rFonts w:ascii="Abadi" w:hAnsi="Abadi"/>
          <w:sz w:val="21"/>
          <w:szCs w:val="21"/>
        </w:rPr>
      </w:pPr>
      <w:r w:rsidRPr="00D20CE5">
        <w:rPr>
          <w:rFonts w:ascii="Abadi" w:hAnsi="Abadi"/>
          <w:sz w:val="21"/>
          <w:szCs w:val="21"/>
        </w:rPr>
        <w:t>I. Competencia:</w:t>
      </w:r>
    </w:p>
    <w:p w14:paraId="642A3169" w14:textId="77777777" w:rsidR="002E02F0" w:rsidRPr="004E6634" w:rsidRDefault="002E02F0" w:rsidP="002E02F0">
      <w:pPr>
        <w:pStyle w:val="Textoindependiente"/>
        <w:ind w:firstLine="708"/>
        <w:rPr>
          <w:rFonts w:ascii="Abadi" w:hAnsi="Abadi"/>
          <w:b w:val="0"/>
          <w:bCs w:val="0"/>
          <w:sz w:val="21"/>
          <w:szCs w:val="21"/>
        </w:rPr>
      </w:pPr>
    </w:p>
    <w:p w14:paraId="41B667A1"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4E6634">
          <w:rPr>
            <w:rFonts w:ascii="Abadi" w:hAnsi="Abadi" w:cs="Arial"/>
            <w:sz w:val="21"/>
            <w:szCs w:val="21"/>
            <w:lang w:val="es-MX" w:eastAsia="x-none"/>
          </w:rPr>
          <w:t>la Constitución Política</w:t>
        </w:r>
      </w:smartTag>
      <w:r w:rsidRPr="004E6634">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DB26734" w14:textId="77777777" w:rsidR="002E02F0" w:rsidRPr="004E6634" w:rsidRDefault="002E02F0" w:rsidP="002E02F0">
      <w:pPr>
        <w:ind w:firstLine="708"/>
        <w:jc w:val="both"/>
        <w:rPr>
          <w:rFonts w:ascii="Abadi" w:hAnsi="Abadi" w:cs="Arial"/>
          <w:sz w:val="21"/>
          <w:szCs w:val="21"/>
          <w:lang w:val="es-MX" w:eastAsia="x-none"/>
        </w:rPr>
      </w:pPr>
    </w:p>
    <w:p w14:paraId="102DF5F5"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E417718" w14:textId="77777777" w:rsidR="002E02F0" w:rsidRPr="004E6634" w:rsidRDefault="002E02F0" w:rsidP="002E02F0">
      <w:pPr>
        <w:ind w:firstLine="708"/>
        <w:jc w:val="both"/>
        <w:rPr>
          <w:rFonts w:ascii="Abadi" w:hAnsi="Abadi" w:cs="Arial"/>
          <w:sz w:val="21"/>
          <w:szCs w:val="21"/>
          <w:lang w:val="es-MX" w:eastAsia="x-none"/>
        </w:rPr>
      </w:pPr>
    </w:p>
    <w:p w14:paraId="4082AB4F" w14:textId="77777777" w:rsidR="002E02F0" w:rsidRPr="004E6634" w:rsidRDefault="002E02F0" w:rsidP="002E02F0">
      <w:pPr>
        <w:ind w:firstLine="708"/>
        <w:jc w:val="both"/>
        <w:rPr>
          <w:rFonts w:ascii="Abadi" w:hAnsi="Abadi" w:cs="Arial"/>
          <w:sz w:val="21"/>
          <w:szCs w:val="21"/>
          <w:lang w:val="es-MX" w:eastAsia="x-none"/>
        </w:rPr>
      </w:pPr>
    </w:p>
    <w:p w14:paraId="6FF2DC80" w14:textId="77777777" w:rsidR="002E02F0" w:rsidRPr="004E6634" w:rsidRDefault="002E02F0" w:rsidP="002E02F0">
      <w:pPr>
        <w:ind w:firstLine="708"/>
        <w:jc w:val="both"/>
        <w:rPr>
          <w:rFonts w:ascii="Abadi" w:hAnsi="Abadi" w:cs="Arial"/>
          <w:sz w:val="21"/>
          <w:szCs w:val="21"/>
          <w:lang w:val="es-MX" w:eastAsia="x-none"/>
        </w:rPr>
      </w:pPr>
    </w:p>
    <w:p w14:paraId="5301FC6E" w14:textId="77777777" w:rsidR="002E02F0" w:rsidRPr="004E6634" w:rsidRDefault="002E02F0" w:rsidP="002E02F0">
      <w:pPr>
        <w:ind w:firstLine="708"/>
        <w:jc w:val="both"/>
        <w:rPr>
          <w:rFonts w:ascii="Abadi" w:hAnsi="Abadi" w:cs="Arial"/>
          <w:sz w:val="21"/>
          <w:szCs w:val="21"/>
          <w:lang w:val="es-MX" w:eastAsia="x-none"/>
        </w:rPr>
      </w:pPr>
    </w:p>
    <w:p w14:paraId="0E3DF163" w14:textId="77777777" w:rsidR="002E02F0" w:rsidRPr="004E6634" w:rsidRDefault="002E02F0" w:rsidP="002E02F0">
      <w:pPr>
        <w:ind w:firstLine="708"/>
        <w:jc w:val="both"/>
        <w:rPr>
          <w:rFonts w:ascii="Abadi" w:hAnsi="Abadi" w:cs="Arial"/>
          <w:sz w:val="21"/>
          <w:szCs w:val="21"/>
          <w:lang w:val="es-MX" w:eastAsia="x-none"/>
        </w:rPr>
      </w:pPr>
    </w:p>
    <w:p w14:paraId="79622C3E" w14:textId="77777777" w:rsidR="002E02F0" w:rsidRPr="004E6634" w:rsidRDefault="002E02F0" w:rsidP="002E02F0">
      <w:pPr>
        <w:ind w:firstLine="708"/>
        <w:jc w:val="both"/>
        <w:rPr>
          <w:rFonts w:ascii="Abadi" w:hAnsi="Abadi" w:cs="Arial"/>
          <w:sz w:val="21"/>
          <w:szCs w:val="21"/>
          <w:lang w:val="es-MX" w:eastAsia="x-none"/>
        </w:rPr>
      </w:pPr>
    </w:p>
    <w:p w14:paraId="46483917"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4E6634">
          <w:rPr>
            <w:rFonts w:ascii="Abadi" w:hAnsi="Abadi" w:cs="Arial"/>
            <w:sz w:val="21"/>
            <w:szCs w:val="21"/>
            <w:lang w:val="es-MX" w:eastAsia="x-none"/>
          </w:rPr>
          <w:t>la Constitución Política</w:t>
        </w:r>
      </w:smartTag>
      <w:r w:rsidRPr="004E6634">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w:t>
      </w:r>
      <w:r w:rsidRPr="004E6634">
        <w:rPr>
          <w:rFonts w:ascii="Abadi" w:hAnsi="Abadi" w:cs="Arial"/>
          <w:sz w:val="21"/>
          <w:szCs w:val="21"/>
          <w:lang w:val="es-MX" w:eastAsia="x-none"/>
        </w:rPr>
        <w:lastRenderedPageBreak/>
        <w:t>ingresos obtenidos o en los gastos realizados, se determinarán las responsabilidades de acuerdo con la Ley.</w:t>
      </w:r>
    </w:p>
    <w:p w14:paraId="5BC2F6DA" w14:textId="77777777" w:rsidR="002E02F0" w:rsidRPr="004E6634" w:rsidRDefault="002E02F0" w:rsidP="002E02F0">
      <w:pPr>
        <w:ind w:firstLine="708"/>
        <w:jc w:val="both"/>
        <w:rPr>
          <w:rFonts w:ascii="Abadi" w:hAnsi="Abadi" w:cs="Arial"/>
          <w:sz w:val="21"/>
          <w:szCs w:val="21"/>
          <w:lang w:val="es-MX" w:eastAsia="x-none"/>
        </w:rPr>
      </w:pPr>
    </w:p>
    <w:p w14:paraId="6184FEAE"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62B5238" w14:textId="77777777" w:rsidR="002E02F0" w:rsidRPr="004E6634" w:rsidRDefault="002E02F0" w:rsidP="002E02F0">
      <w:pPr>
        <w:ind w:firstLine="708"/>
        <w:jc w:val="both"/>
        <w:rPr>
          <w:rFonts w:ascii="Abadi" w:hAnsi="Abadi" w:cs="Arial"/>
          <w:sz w:val="21"/>
          <w:szCs w:val="21"/>
          <w:lang w:val="es-MX" w:eastAsia="x-none"/>
        </w:rPr>
      </w:pPr>
    </w:p>
    <w:p w14:paraId="06FE1599"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4E6634">
          <w:rPr>
            <w:rFonts w:ascii="Abadi" w:hAnsi="Abadi"/>
            <w:b w:val="0"/>
            <w:bCs w:val="0"/>
            <w:sz w:val="21"/>
            <w:szCs w:val="21"/>
          </w:rPr>
          <w:t>la Ley</w:t>
        </w:r>
      </w:smartTag>
      <w:r w:rsidRPr="004E6634">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C8F4D98" w14:textId="77777777" w:rsidR="002E02F0" w:rsidRPr="004E6634" w:rsidRDefault="002E02F0" w:rsidP="002E02F0">
      <w:pPr>
        <w:pStyle w:val="Textoindependiente"/>
        <w:ind w:firstLine="708"/>
        <w:rPr>
          <w:rFonts w:ascii="Abadi" w:hAnsi="Abadi"/>
          <w:b w:val="0"/>
          <w:bCs w:val="0"/>
          <w:sz w:val="21"/>
          <w:szCs w:val="21"/>
        </w:rPr>
      </w:pPr>
    </w:p>
    <w:p w14:paraId="00A0B736"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0A130D1" w14:textId="77777777" w:rsidR="002E02F0" w:rsidRPr="004E6634" w:rsidRDefault="002E02F0" w:rsidP="002E02F0">
      <w:pPr>
        <w:pStyle w:val="Textoindependiente"/>
        <w:ind w:firstLine="708"/>
        <w:rPr>
          <w:rFonts w:ascii="Abadi" w:hAnsi="Abadi"/>
          <w:b w:val="0"/>
          <w:bCs w:val="0"/>
          <w:sz w:val="21"/>
          <w:szCs w:val="21"/>
        </w:rPr>
      </w:pPr>
    </w:p>
    <w:p w14:paraId="32DA7D1F"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E6634">
          <w:rPr>
            <w:rFonts w:ascii="Abadi" w:hAnsi="Abadi"/>
            <w:b w:val="0"/>
            <w:bCs w:val="0"/>
            <w:sz w:val="21"/>
            <w:szCs w:val="21"/>
          </w:rPr>
          <w:t>la Ley Orgánica</w:t>
        </w:r>
      </w:smartTag>
      <w:r w:rsidRPr="004E663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2FEE046" w14:textId="77777777" w:rsidR="002E02F0" w:rsidRPr="004E6634" w:rsidRDefault="002E02F0" w:rsidP="002E02F0">
      <w:pPr>
        <w:pStyle w:val="Textoindependiente"/>
        <w:ind w:firstLine="708"/>
        <w:rPr>
          <w:rFonts w:ascii="Abadi" w:hAnsi="Abadi"/>
          <w:b w:val="0"/>
          <w:bCs w:val="0"/>
          <w:sz w:val="21"/>
          <w:szCs w:val="21"/>
        </w:rPr>
      </w:pPr>
    </w:p>
    <w:p w14:paraId="06EE9CA3"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AFBC1B8"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II. Antecedentes:</w:t>
      </w:r>
    </w:p>
    <w:p w14:paraId="77436DE9" w14:textId="77777777" w:rsidR="002E02F0" w:rsidRPr="004E6634" w:rsidRDefault="002E02F0" w:rsidP="002E02F0">
      <w:pPr>
        <w:ind w:firstLine="708"/>
        <w:jc w:val="both"/>
        <w:rPr>
          <w:rFonts w:ascii="Abadi" w:hAnsi="Abadi" w:cs="Arial"/>
          <w:sz w:val="21"/>
          <w:szCs w:val="21"/>
          <w:lang w:val="es-MX" w:eastAsia="x-none"/>
        </w:rPr>
      </w:pPr>
    </w:p>
    <w:p w14:paraId="70DC742D"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E6634">
          <w:rPr>
            <w:rFonts w:ascii="Abadi" w:hAnsi="Abadi" w:cs="Arial"/>
            <w:sz w:val="21"/>
            <w:szCs w:val="21"/>
            <w:lang w:val="es-MX" w:eastAsia="x-none"/>
          </w:rPr>
          <w:t>la Constitución Política</w:t>
        </w:r>
      </w:smartTag>
      <w:r w:rsidRPr="004E6634">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461CCAC" w14:textId="77777777" w:rsidR="002E02F0" w:rsidRPr="004E6634" w:rsidRDefault="002E02F0" w:rsidP="002E02F0">
      <w:pPr>
        <w:ind w:firstLine="708"/>
        <w:jc w:val="both"/>
        <w:rPr>
          <w:rFonts w:ascii="Abadi" w:hAnsi="Abadi" w:cs="Arial"/>
          <w:sz w:val="21"/>
          <w:szCs w:val="21"/>
          <w:lang w:val="es-MX" w:eastAsia="x-none"/>
        </w:rPr>
      </w:pPr>
    </w:p>
    <w:p w14:paraId="46F5B2BC"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AD69E60" w14:textId="77777777" w:rsidR="002E02F0" w:rsidRPr="004E6634" w:rsidRDefault="002E02F0" w:rsidP="002E02F0">
      <w:pPr>
        <w:pStyle w:val="Textoindependiente"/>
        <w:ind w:firstLine="708"/>
        <w:rPr>
          <w:rFonts w:ascii="Abadi" w:hAnsi="Abadi"/>
          <w:b w:val="0"/>
          <w:bCs w:val="0"/>
          <w:sz w:val="21"/>
          <w:szCs w:val="21"/>
        </w:rPr>
      </w:pPr>
    </w:p>
    <w:p w14:paraId="7686BF09"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4E6634">
          <w:rPr>
            <w:rFonts w:ascii="Abadi" w:hAnsi="Abadi"/>
            <w:b w:val="0"/>
            <w:bCs w:val="0"/>
            <w:sz w:val="21"/>
            <w:szCs w:val="21"/>
          </w:rPr>
          <w:t>la Ley</w:t>
        </w:r>
      </w:smartTag>
      <w:r w:rsidRPr="004E6634">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A5BA745" w14:textId="77777777" w:rsidR="002E02F0" w:rsidRPr="004E6634" w:rsidRDefault="002E02F0" w:rsidP="002E02F0">
      <w:pPr>
        <w:pStyle w:val="Textoindependiente"/>
        <w:ind w:firstLine="708"/>
        <w:rPr>
          <w:rFonts w:ascii="Abadi" w:hAnsi="Abadi"/>
          <w:b w:val="0"/>
          <w:bCs w:val="0"/>
          <w:sz w:val="21"/>
          <w:szCs w:val="21"/>
        </w:rPr>
      </w:pPr>
    </w:p>
    <w:p w14:paraId="192CC43B"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570CDD1" w14:textId="77777777" w:rsidR="002E02F0" w:rsidRPr="004E6634" w:rsidRDefault="002E02F0" w:rsidP="002E02F0">
      <w:pPr>
        <w:pStyle w:val="Textoindependiente"/>
        <w:ind w:firstLine="708"/>
        <w:rPr>
          <w:rFonts w:ascii="Abadi" w:hAnsi="Abadi"/>
          <w:b w:val="0"/>
          <w:bCs w:val="0"/>
          <w:sz w:val="21"/>
          <w:szCs w:val="21"/>
        </w:rPr>
      </w:pPr>
    </w:p>
    <w:p w14:paraId="3394C895"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6DDFC70E" w14:textId="77777777" w:rsidR="002E02F0" w:rsidRPr="001957DB" w:rsidRDefault="002E02F0" w:rsidP="002E02F0">
      <w:pPr>
        <w:ind w:firstLine="708"/>
        <w:jc w:val="both"/>
        <w:rPr>
          <w:rFonts w:ascii="Abadi" w:hAnsi="Abadi" w:cs="Arial"/>
          <w:sz w:val="21"/>
          <w:szCs w:val="21"/>
          <w:lang w:val="es-MX" w:eastAsia="x-none"/>
        </w:rPr>
      </w:pPr>
    </w:p>
    <w:p w14:paraId="3CE45681" w14:textId="77777777" w:rsidR="002E02F0" w:rsidRPr="001957DB" w:rsidRDefault="002E02F0" w:rsidP="002E02F0">
      <w:pPr>
        <w:ind w:firstLine="708"/>
        <w:jc w:val="both"/>
        <w:rPr>
          <w:rFonts w:ascii="Abadi" w:hAnsi="Abadi" w:cs="Arial"/>
          <w:sz w:val="21"/>
          <w:szCs w:val="21"/>
          <w:lang w:val="es-MX" w:eastAsia="x-none"/>
        </w:rPr>
      </w:pPr>
      <w:r w:rsidRPr="001957DB">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1957DB">
          <w:rPr>
            <w:rFonts w:ascii="Abadi" w:hAnsi="Abadi" w:cs="Arial"/>
            <w:sz w:val="21"/>
            <w:szCs w:val="21"/>
            <w:lang w:val="es-MX" w:eastAsia="x-none"/>
          </w:rPr>
          <w:t>la Ley Orgánica</w:t>
        </w:r>
      </w:smartTag>
      <w:r w:rsidRPr="001957DB">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67DFE618" w14:textId="77777777" w:rsidR="002E02F0" w:rsidRPr="001957DB" w:rsidRDefault="002E02F0" w:rsidP="002E02F0">
      <w:pPr>
        <w:ind w:firstLine="708"/>
        <w:jc w:val="both"/>
        <w:rPr>
          <w:rFonts w:ascii="Abadi" w:hAnsi="Abadi" w:cs="Arial"/>
          <w:sz w:val="21"/>
          <w:szCs w:val="21"/>
          <w:lang w:val="es-MX" w:eastAsia="x-none"/>
        </w:rPr>
      </w:pPr>
    </w:p>
    <w:p w14:paraId="138B19F6" w14:textId="77777777" w:rsidR="002E02F0" w:rsidRPr="001957DB" w:rsidRDefault="002E02F0" w:rsidP="002E02F0">
      <w:pPr>
        <w:ind w:right="60" w:firstLine="709"/>
        <w:jc w:val="both"/>
        <w:rPr>
          <w:rFonts w:ascii="Abadi" w:hAnsi="Abadi" w:cs="Arial"/>
          <w:sz w:val="21"/>
          <w:szCs w:val="21"/>
          <w:lang w:val="es-MX" w:eastAsia="x-none"/>
        </w:rPr>
      </w:pPr>
      <w:r w:rsidRPr="001957DB">
        <w:rPr>
          <w:rFonts w:ascii="Abadi" w:hAnsi="Abadi" w:cs="Arial"/>
          <w:sz w:val="21"/>
          <w:szCs w:val="21"/>
          <w:lang w:val="es-MX" w:eastAsia="x-none"/>
        </w:rPr>
        <w:t xml:space="preserve">De acuerdo a lo previsto por el artículo 21 de la Ley de Fiscalización Superior </w:t>
      </w:r>
      <w:r w:rsidRPr="001957DB">
        <w:rPr>
          <w:rFonts w:ascii="Abadi" w:hAnsi="Abadi" w:cs="Arial"/>
          <w:sz w:val="21"/>
          <w:szCs w:val="21"/>
          <w:lang w:val="es-MX" w:eastAsia="x-none"/>
        </w:rPr>
        <w:lastRenderedPageBreak/>
        <w:t>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5A6FB3C7" w14:textId="77777777" w:rsidR="002E02F0" w:rsidRPr="001957DB" w:rsidRDefault="002E02F0" w:rsidP="002E02F0">
      <w:pPr>
        <w:ind w:right="58" w:firstLine="709"/>
        <w:jc w:val="both"/>
        <w:rPr>
          <w:rFonts w:ascii="Abadi" w:eastAsia="DejaVu Sans" w:hAnsi="Abadi" w:cs="Tahoma"/>
          <w:iCs/>
          <w:kern w:val="1"/>
          <w:sz w:val="21"/>
          <w:szCs w:val="21"/>
          <w:lang w:eastAsia="ar-SA"/>
        </w:rPr>
      </w:pPr>
    </w:p>
    <w:p w14:paraId="0A50C917" w14:textId="77777777" w:rsidR="002E02F0" w:rsidRPr="001957DB" w:rsidRDefault="002E02F0" w:rsidP="002E02F0">
      <w:pPr>
        <w:ind w:firstLine="708"/>
        <w:jc w:val="both"/>
        <w:rPr>
          <w:rFonts w:ascii="Abadi" w:hAnsi="Abadi" w:cs="Arial"/>
          <w:sz w:val="21"/>
          <w:szCs w:val="21"/>
          <w:lang w:val="es-MX" w:eastAsia="x-none"/>
        </w:rPr>
      </w:pPr>
      <w:r w:rsidRPr="001957DB">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583F2B21" w14:textId="77777777" w:rsidR="002E02F0" w:rsidRPr="001957DB" w:rsidRDefault="002E02F0" w:rsidP="002E02F0">
      <w:pPr>
        <w:pStyle w:val="Textoindependiente"/>
        <w:ind w:firstLine="708"/>
        <w:rPr>
          <w:rFonts w:ascii="Abadi" w:hAnsi="Abadi"/>
          <w:sz w:val="21"/>
          <w:szCs w:val="21"/>
        </w:rPr>
      </w:pPr>
    </w:p>
    <w:p w14:paraId="0A667E89"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91116AD" w14:textId="77777777" w:rsidR="002E02F0" w:rsidRPr="004E6634" w:rsidRDefault="002E02F0" w:rsidP="002E02F0">
      <w:pPr>
        <w:pStyle w:val="Textoindependiente"/>
        <w:ind w:firstLine="708"/>
        <w:rPr>
          <w:rFonts w:ascii="Abadi" w:hAnsi="Abadi"/>
          <w:b w:val="0"/>
          <w:bCs w:val="0"/>
          <w:sz w:val="21"/>
          <w:szCs w:val="21"/>
        </w:rPr>
      </w:pPr>
    </w:p>
    <w:p w14:paraId="3F9FBA92" w14:textId="77777777" w:rsidR="002E02F0" w:rsidRPr="001957DB" w:rsidRDefault="002E02F0" w:rsidP="002E02F0">
      <w:pPr>
        <w:ind w:right="60" w:firstLine="709"/>
        <w:jc w:val="both"/>
        <w:rPr>
          <w:rFonts w:ascii="Abadi" w:hAnsi="Abadi" w:cs="Arial"/>
          <w:sz w:val="21"/>
          <w:szCs w:val="21"/>
          <w:lang w:val="es-MX" w:eastAsia="x-none"/>
        </w:rPr>
      </w:pPr>
      <w:r w:rsidRPr="001957DB">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DC55711" w14:textId="77777777" w:rsidR="002E02F0" w:rsidRPr="001957DB" w:rsidRDefault="002E02F0" w:rsidP="002E02F0">
      <w:pPr>
        <w:pStyle w:val="Textoindependiente"/>
        <w:ind w:firstLine="708"/>
        <w:rPr>
          <w:rFonts w:ascii="Abadi" w:hAnsi="Abadi"/>
          <w:sz w:val="21"/>
          <w:szCs w:val="21"/>
        </w:rPr>
      </w:pPr>
    </w:p>
    <w:p w14:paraId="46AA13D2"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5C747D1" w14:textId="77777777" w:rsidR="002E02F0" w:rsidRPr="001957DB" w:rsidRDefault="002E02F0" w:rsidP="002E02F0">
      <w:pPr>
        <w:pStyle w:val="Textoindependiente"/>
        <w:ind w:firstLine="708"/>
        <w:rPr>
          <w:rFonts w:ascii="Abadi" w:hAnsi="Abadi"/>
          <w:sz w:val="21"/>
          <w:szCs w:val="21"/>
        </w:rPr>
      </w:pPr>
    </w:p>
    <w:p w14:paraId="491ADF50" w14:textId="77777777" w:rsidR="002E02F0" w:rsidRPr="001957DB" w:rsidRDefault="002E02F0" w:rsidP="002E02F0">
      <w:pPr>
        <w:tabs>
          <w:tab w:val="left" w:pos="709"/>
        </w:tabs>
        <w:jc w:val="both"/>
        <w:rPr>
          <w:rFonts w:ascii="Abadi" w:hAnsi="Abadi" w:cs="Arial"/>
          <w:sz w:val="21"/>
          <w:szCs w:val="21"/>
          <w:lang w:val="es-MX" w:eastAsia="x-none"/>
        </w:rPr>
      </w:pPr>
      <w:r w:rsidRPr="001957DB">
        <w:rPr>
          <w:rFonts w:ascii="Abadi" w:hAnsi="Abadi" w:cs="Arial"/>
          <w:sz w:val="21"/>
          <w:szCs w:val="21"/>
        </w:rPr>
        <w:tab/>
        <w:t xml:space="preserve">El citado artículo también refiere </w:t>
      </w:r>
      <w:r w:rsidRPr="001957DB">
        <w:rPr>
          <w:rFonts w:ascii="Abadi" w:hAnsi="Abadi" w:cs="Arial"/>
          <w:sz w:val="21"/>
          <w:szCs w:val="21"/>
          <w:lang w:val="es-MX" w:eastAsia="x-none"/>
        </w:rPr>
        <w:t xml:space="preserve">que la cuenta pública e informes trimestrales </w:t>
      </w:r>
      <w:r w:rsidRPr="001957DB">
        <w:rPr>
          <w:rFonts w:ascii="Abadi" w:hAnsi="Abadi" w:cs="Arial"/>
          <w:sz w:val="21"/>
          <w:szCs w:val="21"/>
          <w:lang w:val="es-MX" w:eastAsia="x-none"/>
        </w:rPr>
        <w:t xml:space="preserve">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26F5D75B" w14:textId="77777777" w:rsidR="002E02F0" w:rsidRPr="001957DB" w:rsidRDefault="002E02F0" w:rsidP="002E02F0">
      <w:pPr>
        <w:tabs>
          <w:tab w:val="left" w:pos="709"/>
        </w:tabs>
        <w:jc w:val="both"/>
        <w:rPr>
          <w:rFonts w:ascii="Abadi" w:hAnsi="Abadi" w:cs="Arial"/>
          <w:sz w:val="21"/>
          <w:szCs w:val="21"/>
          <w:lang w:val="es-MX" w:eastAsia="x-none"/>
        </w:rPr>
      </w:pPr>
      <w:r w:rsidRPr="001957DB">
        <w:rPr>
          <w:rFonts w:ascii="Abadi" w:hAnsi="Abadi" w:cs="Arial"/>
          <w:sz w:val="21"/>
          <w:szCs w:val="21"/>
          <w:lang w:val="es-MX" w:eastAsia="x-none"/>
        </w:rPr>
        <w:tab/>
        <w:t xml:space="preserve">En términos del numeral 23 de la </w:t>
      </w:r>
      <w:r w:rsidRPr="001957DB">
        <w:rPr>
          <w:rFonts w:ascii="Abadi" w:hAnsi="Abadi" w:cs="Arial"/>
          <w:sz w:val="21"/>
          <w:szCs w:val="21"/>
        </w:rPr>
        <w:t>Ley de Fiscalización Superior del Estado de Guanajuato, p</w:t>
      </w:r>
      <w:r w:rsidRPr="001957DB">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05388FD" w14:textId="77777777" w:rsidR="002E02F0" w:rsidRPr="001957DB" w:rsidRDefault="002E02F0" w:rsidP="002E02F0">
      <w:pPr>
        <w:tabs>
          <w:tab w:val="left" w:pos="709"/>
        </w:tabs>
        <w:jc w:val="both"/>
        <w:rPr>
          <w:rFonts w:ascii="Abadi" w:hAnsi="Abadi" w:cs="Arial"/>
          <w:sz w:val="21"/>
          <w:szCs w:val="21"/>
          <w:lang w:val="es-MX" w:eastAsia="x-none"/>
        </w:rPr>
      </w:pPr>
    </w:p>
    <w:p w14:paraId="5FBB1DF6" w14:textId="77777777" w:rsidR="002E02F0" w:rsidRPr="001957DB" w:rsidRDefault="002E02F0" w:rsidP="002E02F0">
      <w:pPr>
        <w:pStyle w:val="Texto"/>
        <w:spacing w:after="0" w:line="240" w:lineRule="auto"/>
        <w:ind w:firstLine="708"/>
        <w:rPr>
          <w:rFonts w:ascii="Abadi" w:hAnsi="Abadi" w:cs="Arial"/>
          <w:sz w:val="21"/>
          <w:szCs w:val="21"/>
          <w:lang w:val="es-MX"/>
        </w:rPr>
      </w:pPr>
      <w:r w:rsidRPr="001957DB">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28794E38" w14:textId="77777777" w:rsidR="002E02F0" w:rsidRPr="001957DB" w:rsidRDefault="002E02F0" w:rsidP="002E02F0">
      <w:pPr>
        <w:pStyle w:val="Texto"/>
        <w:spacing w:after="0" w:line="240" w:lineRule="auto"/>
        <w:ind w:firstLine="708"/>
        <w:rPr>
          <w:rFonts w:ascii="Abadi" w:hAnsi="Abadi" w:cs="Arial"/>
          <w:sz w:val="21"/>
          <w:szCs w:val="21"/>
          <w:lang w:val="es-MX"/>
        </w:rPr>
      </w:pPr>
    </w:p>
    <w:p w14:paraId="50BA8ABE" w14:textId="77777777" w:rsidR="002E02F0" w:rsidRPr="001957DB" w:rsidRDefault="002E02F0" w:rsidP="002E02F0">
      <w:pPr>
        <w:pStyle w:val="Texto"/>
        <w:spacing w:after="0" w:line="240" w:lineRule="auto"/>
        <w:ind w:firstLine="708"/>
        <w:rPr>
          <w:rFonts w:ascii="Abadi" w:hAnsi="Abadi" w:cs="Arial"/>
          <w:sz w:val="21"/>
          <w:szCs w:val="21"/>
          <w:lang w:val="es-MX"/>
        </w:rPr>
      </w:pPr>
      <w:r w:rsidRPr="001957DB">
        <w:rPr>
          <w:rFonts w:ascii="Abadi" w:hAnsi="Abadi" w:cs="Arial"/>
          <w:sz w:val="21"/>
          <w:szCs w:val="21"/>
          <w:lang w:val="es-MX"/>
        </w:rPr>
        <w:t xml:space="preserve">En cumplimiento a los citados preceptos, en su oportunidad se remitió a este Congreso del Estado, la cuenta pública municipal de San Diego de la Unión, </w:t>
      </w:r>
      <w:proofErr w:type="spellStart"/>
      <w:r w:rsidRPr="001957DB">
        <w:rPr>
          <w:rFonts w:ascii="Abadi" w:hAnsi="Abadi" w:cs="Arial"/>
          <w:sz w:val="21"/>
          <w:szCs w:val="21"/>
          <w:lang w:val="es-MX"/>
        </w:rPr>
        <w:t>Gto</w:t>
      </w:r>
      <w:proofErr w:type="spellEnd"/>
      <w:r w:rsidRPr="001957DB">
        <w:rPr>
          <w:rFonts w:ascii="Abadi" w:hAnsi="Abadi" w:cs="Arial"/>
          <w:sz w:val="21"/>
          <w:szCs w:val="21"/>
          <w:lang w:val="es-MX"/>
        </w:rPr>
        <w:t>., correspondiente al ejercicio fiscal del año 2021, turnándose a la Auditoría Superior del Estado para su revisión.</w:t>
      </w:r>
    </w:p>
    <w:p w14:paraId="1F69710B" w14:textId="77777777" w:rsidR="002E02F0" w:rsidRPr="001957DB" w:rsidRDefault="002E02F0" w:rsidP="002E02F0">
      <w:pPr>
        <w:pStyle w:val="Textoindependiente"/>
        <w:ind w:firstLine="708"/>
        <w:rPr>
          <w:rFonts w:ascii="Abadi" w:hAnsi="Abadi"/>
          <w:sz w:val="21"/>
          <w:szCs w:val="21"/>
        </w:rPr>
      </w:pPr>
    </w:p>
    <w:p w14:paraId="2B227A8E"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64C45EF8" w14:textId="77777777" w:rsidR="002E02F0" w:rsidRPr="004E6634" w:rsidRDefault="002E02F0" w:rsidP="002E02F0">
      <w:pPr>
        <w:pStyle w:val="Textoindependiente"/>
        <w:ind w:firstLine="708"/>
        <w:rPr>
          <w:rFonts w:ascii="Abadi" w:hAnsi="Abadi"/>
          <w:b w:val="0"/>
          <w:bCs w:val="0"/>
          <w:sz w:val="21"/>
          <w:szCs w:val="21"/>
        </w:rPr>
      </w:pPr>
    </w:p>
    <w:p w14:paraId="5C7C3193"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lastRenderedPageBreak/>
        <w:t xml:space="preserve">En ejercicio de esta función, el Auditor Superior del Estado aprobó el Programa General de Fiscalización 2022. En dicho Programa se contempló la revisión de la cuenta pública municipal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correspondiente al ejercicio fiscal del año 2021.</w:t>
      </w:r>
    </w:p>
    <w:p w14:paraId="2386BA4F" w14:textId="77777777" w:rsidR="002E02F0" w:rsidRPr="004E6634" w:rsidRDefault="002E02F0" w:rsidP="002E02F0">
      <w:pPr>
        <w:ind w:firstLine="708"/>
        <w:jc w:val="both"/>
        <w:rPr>
          <w:rFonts w:ascii="Abadi" w:hAnsi="Abadi" w:cs="Arial"/>
          <w:sz w:val="21"/>
          <w:szCs w:val="21"/>
          <w:lang w:val="es-MX" w:eastAsia="x-none"/>
        </w:rPr>
      </w:pPr>
    </w:p>
    <w:p w14:paraId="02A61D61" w14:textId="77777777" w:rsidR="002E02F0" w:rsidRPr="001957DB" w:rsidRDefault="002E02F0" w:rsidP="002E02F0">
      <w:pPr>
        <w:ind w:firstLine="708"/>
        <w:jc w:val="both"/>
        <w:rPr>
          <w:rFonts w:ascii="Abadi" w:hAnsi="Abadi" w:cs="Arial"/>
          <w:sz w:val="21"/>
          <w:szCs w:val="21"/>
          <w:lang w:val="es-MX" w:eastAsia="x-none"/>
        </w:rPr>
      </w:pPr>
      <w:r w:rsidRPr="001957DB">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1957DB">
        <w:rPr>
          <w:rFonts w:ascii="Abadi" w:hAnsi="Abadi" w:cs="Arial"/>
          <w:bCs/>
          <w:sz w:val="21"/>
          <w:szCs w:val="21"/>
          <w:lang w:val="es-MX" w:eastAsia="x-none"/>
        </w:rPr>
        <w:t>el 2 de marzo de 2023,</w:t>
      </w:r>
      <w:r w:rsidRPr="001957DB">
        <w:rPr>
          <w:rFonts w:ascii="Abadi" w:hAnsi="Abadi" w:cs="Arial"/>
          <w:sz w:val="21"/>
          <w:szCs w:val="21"/>
          <w:lang w:val="es-MX" w:eastAsia="x-none"/>
        </w:rPr>
        <w:t xml:space="preserve"> para su estudio y dictamen,</w:t>
      </w:r>
      <w:r w:rsidRPr="001957DB">
        <w:rPr>
          <w:rFonts w:ascii="Abadi" w:hAnsi="Abadi" w:cs="Arial"/>
          <w:b/>
          <w:sz w:val="21"/>
          <w:szCs w:val="21"/>
          <w:lang w:val="es-MX" w:eastAsia="x-none"/>
        </w:rPr>
        <w:t xml:space="preserve"> </w:t>
      </w:r>
      <w:r w:rsidRPr="001957DB">
        <w:rPr>
          <w:rFonts w:ascii="Abadi" w:hAnsi="Abadi" w:cs="Arial"/>
          <w:sz w:val="21"/>
          <w:szCs w:val="21"/>
          <w:lang w:val="es-MX" w:eastAsia="x-none"/>
        </w:rPr>
        <w:t>siendo radicado el 7 de marzo del año en curso.</w:t>
      </w:r>
    </w:p>
    <w:p w14:paraId="39C1B9F3" w14:textId="77777777" w:rsidR="002E02F0" w:rsidRPr="001957DB" w:rsidRDefault="002E02F0" w:rsidP="002E02F0">
      <w:pPr>
        <w:ind w:firstLine="708"/>
        <w:jc w:val="both"/>
        <w:rPr>
          <w:rFonts w:ascii="Abadi" w:hAnsi="Abadi" w:cs="Arial"/>
          <w:sz w:val="21"/>
          <w:szCs w:val="21"/>
          <w:lang w:val="es-MX" w:eastAsia="x-none"/>
        </w:rPr>
      </w:pPr>
    </w:p>
    <w:p w14:paraId="58078375" w14:textId="77777777" w:rsidR="002E02F0" w:rsidRPr="004E6634" w:rsidRDefault="002E02F0" w:rsidP="002E02F0">
      <w:pPr>
        <w:ind w:firstLine="708"/>
        <w:jc w:val="both"/>
        <w:rPr>
          <w:rFonts w:ascii="Abadi" w:hAnsi="Abadi" w:cs="Arial"/>
          <w:b/>
          <w:bCs/>
          <w:sz w:val="21"/>
          <w:szCs w:val="21"/>
          <w:lang w:val="es-MX" w:eastAsia="x-none"/>
        </w:rPr>
      </w:pPr>
    </w:p>
    <w:p w14:paraId="334B0ABA" w14:textId="77777777" w:rsidR="002E02F0" w:rsidRPr="004E6634" w:rsidRDefault="002E02F0" w:rsidP="002E02F0">
      <w:pPr>
        <w:pStyle w:val="Textoindependiente"/>
        <w:ind w:firstLine="708"/>
        <w:rPr>
          <w:rFonts w:ascii="Abadi" w:hAnsi="Abadi"/>
          <w:sz w:val="21"/>
          <w:szCs w:val="21"/>
        </w:rPr>
      </w:pPr>
      <w:r w:rsidRPr="004E6634">
        <w:rPr>
          <w:rFonts w:ascii="Abadi" w:hAnsi="Abadi"/>
          <w:sz w:val="21"/>
          <w:szCs w:val="21"/>
        </w:rPr>
        <w:t>III. Procedimiento de Revisión:</w:t>
      </w:r>
    </w:p>
    <w:p w14:paraId="60E758A3" w14:textId="77777777" w:rsidR="002E02F0" w:rsidRPr="001957DB" w:rsidRDefault="002E02F0" w:rsidP="002E02F0">
      <w:pPr>
        <w:pStyle w:val="Textoindependiente"/>
        <w:ind w:firstLine="708"/>
        <w:rPr>
          <w:rFonts w:ascii="Abadi" w:hAnsi="Abadi"/>
          <w:sz w:val="21"/>
          <w:szCs w:val="21"/>
        </w:rPr>
      </w:pPr>
    </w:p>
    <w:p w14:paraId="2640419A"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La revisión de la cuenta pública municipal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A21895D" w14:textId="77777777" w:rsidR="002E02F0" w:rsidRPr="004E6634" w:rsidRDefault="002E02F0" w:rsidP="002E02F0">
      <w:pPr>
        <w:pStyle w:val="Textoindependiente"/>
        <w:ind w:firstLine="708"/>
        <w:rPr>
          <w:rFonts w:ascii="Abadi" w:hAnsi="Abadi"/>
          <w:b w:val="0"/>
          <w:bCs w:val="0"/>
          <w:sz w:val="21"/>
          <w:szCs w:val="21"/>
        </w:rPr>
      </w:pPr>
    </w:p>
    <w:p w14:paraId="439F7526"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75E0DC4" w14:textId="77777777" w:rsidR="002E02F0" w:rsidRPr="004E6634" w:rsidRDefault="002E02F0" w:rsidP="002E02F0">
      <w:pPr>
        <w:pStyle w:val="Textoindependiente"/>
        <w:ind w:firstLine="708"/>
        <w:rPr>
          <w:rFonts w:ascii="Abadi" w:hAnsi="Abadi"/>
          <w:b w:val="0"/>
          <w:bCs w:val="0"/>
          <w:sz w:val="21"/>
          <w:szCs w:val="21"/>
        </w:rPr>
      </w:pPr>
    </w:p>
    <w:p w14:paraId="4E4305AC"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w:t>
      </w:r>
      <w:r w:rsidRPr="004E6634">
        <w:rPr>
          <w:rFonts w:ascii="Abadi" w:hAnsi="Abadi"/>
          <w:b w:val="0"/>
          <w:bCs w:val="0"/>
          <w:sz w:val="21"/>
          <w:szCs w:val="21"/>
        </w:rPr>
        <w:t>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C3D7FC8" w14:textId="77777777" w:rsidR="002E02F0" w:rsidRPr="004E6634" w:rsidRDefault="002E02F0" w:rsidP="002E02F0">
      <w:pPr>
        <w:pStyle w:val="Textoindependiente"/>
        <w:ind w:firstLine="708"/>
        <w:rPr>
          <w:rFonts w:ascii="Abadi" w:hAnsi="Abadi"/>
          <w:b w:val="0"/>
          <w:bCs w:val="0"/>
          <w:sz w:val="21"/>
          <w:szCs w:val="21"/>
        </w:rPr>
      </w:pPr>
    </w:p>
    <w:p w14:paraId="0F4B3E89" w14:textId="77777777" w:rsidR="002E02F0" w:rsidRPr="004E6634" w:rsidRDefault="002E02F0" w:rsidP="002E02F0">
      <w:pPr>
        <w:pStyle w:val="Textoindependiente"/>
        <w:ind w:firstLine="708"/>
        <w:rPr>
          <w:rFonts w:ascii="Abadi" w:hAnsi="Abadi"/>
          <w:b w:val="0"/>
          <w:bCs w:val="0"/>
          <w:sz w:val="21"/>
          <w:szCs w:val="21"/>
        </w:rPr>
      </w:pPr>
    </w:p>
    <w:p w14:paraId="54AAB747"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44610C3" w14:textId="77777777" w:rsidR="002E02F0" w:rsidRPr="004E6634" w:rsidRDefault="002E02F0" w:rsidP="002E02F0">
      <w:pPr>
        <w:pStyle w:val="Textoindependiente"/>
        <w:ind w:firstLine="708"/>
        <w:rPr>
          <w:rFonts w:ascii="Abadi" w:hAnsi="Abadi"/>
          <w:b w:val="0"/>
          <w:bCs w:val="0"/>
          <w:sz w:val="21"/>
          <w:szCs w:val="21"/>
        </w:rPr>
      </w:pPr>
    </w:p>
    <w:p w14:paraId="7EFDC6E1"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El informe de resultados establece que se practicó la revisión de la cuenta pública respecto de las operaciones realizadas por la administración pública municipal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correspondientes al ejercicio fiscal 2021, en lo referente a los apartados de ingresos y egresos.</w:t>
      </w:r>
    </w:p>
    <w:p w14:paraId="68C38EDC" w14:textId="77777777" w:rsidR="002E02F0" w:rsidRPr="004E6634" w:rsidRDefault="002E02F0" w:rsidP="002E02F0">
      <w:pPr>
        <w:pStyle w:val="Textoindependiente"/>
        <w:ind w:firstLine="705"/>
        <w:rPr>
          <w:rFonts w:ascii="Abadi" w:hAnsi="Abadi"/>
          <w:b w:val="0"/>
          <w:bCs w:val="0"/>
          <w:sz w:val="21"/>
          <w:szCs w:val="21"/>
        </w:rPr>
      </w:pPr>
    </w:p>
    <w:p w14:paraId="314C8822" w14:textId="77777777" w:rsidR="002E02F0" w:rsidRPr="004E6634" w:rsidRDefault="002E02F0" w:rsidP="002E02F0">
      <w:pPr>
        <w:autoSpaceDE w:val="0"/>
        <w:autoSpaceDN w:val="0"/>
        <w:adjustRightInd w:val="0"/>
        <w:ind w:firstLine="708"/>
        <w:jc w:val="both"/>
        <w:rPr>
          <w:rFonts w:ascii="Abadi" w:hAnsi="Abadi" w:cs="Arial"/>
          <w:sz w:val="21"/>
          <w:szCs w:val="21"/>
          <w:lang w:val="es-MX" w:eastAsia="x-none"/>
        </w:rPr>
      </w:pPr>
      <w:r w:rsidRPr="004E6634">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w:t>
      </w:r>
      <w:r w:rsidRPr="004E6634">
        <w:rPr>
          <w:rFonts w:ascii="Abadi" w:hAnsi="Abadi" w:cs="Arial"/>
          <w:sz w:val="21"/>
          <w:szCs w:val="21"/>
          <w:lang w:val="es-MX" w:eastAsia="x-none"/>
        </w:rPr>
        <w:lastRenderedPageBreak/>
        <w:t xml:space="preserve">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00F3DA4" w14:textId="77777777" w:rsidR="002E02F0" w:rsidRPr="004E6634" w:rsidRDefault="002E02F0" w:rsidP="002E02F0">
      <w:pPr>
        <w:autoSpaceDE w:val="0"/>
        <w:autoSpaceDN w:val="0"/>
        <w:adjustRightInd w:val="0"/>
        <w:ind w:firstLine="708"/>
        <w:jc w:val="both"/>
        <w:rPr>
          <w:rFonts w:ascii="Abadi" w:hAnsi="Abadi" w:cs="Arial"/>
          <w:sz w:val="21"/>
          <w:szCs w:val="21"/>
          <w:lang w:val="es-MX" w:eastAsia="x-none"/>
        </w:rPr>
      </w:pPr>
    </w:p>
    <w:p w14:paraId="0FC02A82" w14:textId="77777777" w:rsidR="002E02F0" w:rsidRPr="004E6634" w:rsidRDefault="002E02F0" w:rsidP="002E02F0">
      <w:pPr>
        <w:ind w:firstLine="708"/>
        <w:jc w:val="both"/>
        <w:rPr>
          <w:rFonts w:ascii="Abadi" w:hAnsi="Abadi" w:cs="Arial"/>
          <w:sz w:val="21"/>
          <w:szCs w:val="21"/>
          <w:lang w:val="es-MX" w:eastAsia="x-none"/>
        </w:rPr>
      </w:pPr>
    </w:p>
    <w:p w14:paraId="5A2B74AC" w14:textId="77777777" w:rsidR="002E02F0" w:rsidRPr="004E6634" w:rsidRDefault="002E02F0" w:rsidP="002E02F0">
      <w:pPr>
        <w:ind w:firstLine="708"/>
        <w:jc w:val="both"/>
        <w:rPr>
          <w:rFonts w:ascii="Abadi" w:hAnsi="Abadi" w:cs="Arial"/>
          <w:sz w:val="21"/>
          <w:szCs w:val="21"/>
          <w:lang w:val="es-MX" w:eastAsia="x-none"/>
        </w:rPr>
      </w:pPr>
      <w:r w:rsidRPr="004E6634">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4E6634">
        <w:rPr>
          <w:rFonts w:ascii="Abadi" w:hAnsi="Abadi" w:cs="Arial"/>
          <w:sz w:val="21"/>
          <w:szCs w:val="21"/>
          <w:lang w:val="es-MX" w:eastAsia="x-none"/>
        </w:rPr>
        <w:t>fiscalizado</w:t>
      </w:r>
      <w:proofErr w:type="spellEnd"/>
      <w:r w:rsidRPr="004E6634">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5027D435" w14:textId="77777777" w:rsidR="002E02F0" w:rsidRPr="004E6634" w:rsidRDefault="002E02F0" w:rsidP="002E02F0">
      <w:pPr>
        <w:ind w:firstLine="708"/>
        <w:jc w:val="both"/>
        <w:rPr>
          <w:rFonts w:ascii="Abadi" w:hAnsi="Abadi" w:cs="Arial"/>
          <w:sz w:val="21"/>
          <w:szCs w:val="21"/>
          <w:lang w:val="es-MX" w:eastAsia="x-none"/>
        </w:rPr>
      </w:pPr>
    </w:p>
    <w:p w14:paraId="2304DA69" w14:textId="77777777" w:rsidR="002E02F0" w:rsidRPr="004E6634" w:rsidRDefault="002E02F0" w:rsidP="002E02F0">
      <w:pPr>
        <w:ind w:firstLine="708"/>
        <w:jc w:val="both"/>
        <w:rPr>
          <w:rFonts w:ascii="Abadi" w:hAnsi="Abadi" w:cs="Arial"/>
          <w:sz w:val="21"/>
          <w:szCs w:val="21"/>
        </w:rPr>
      </w:pPr>
      <w:r w:rsidRPr="004E6634">
        <w:rPr>
          <w:rFonts w:ascii="Abadi" w:hAnsi="Abadi" w:cs="Arial"/>
          <w:sz w:val="21"/>
          <w:szCs w:val="21"/>
        </w:rPr>
        <w:t xml:space="preserve">El 30 de junio de 2022 se notificó al presidente municipal de San Diego de la Unión, </w:t>
      </w:r>
      <w:proofErr w:type="spellStart"/>
      <w:r w:rsidRPr="004E6634">
        <w:rPr>
          <w:rFonts w:ascii="Abadi" w:hAnsi="Abadi" w:cs="Arial"/>
          <w:sz w:val="21"/>
          <w:szCs w:val="21"/>
        </w:rPr>
        <w:t>Gto</w:t>
      </w:r>
      <w:proofErr w:type="spellEnd"/>
      <w:r w:rsidRPr="004E6634">
        <w:rPr>
          <w:rFonts w:ascii="Abadi" w:hAnsi="Abadi" w:cs="Arial"/>
          <w:sz w:val="21"/>
          <w:szCs w:val="21"/>
        </w:rPr>
        <w:t>., la orden de inicio del procedimiento de revisión de la cuenta pública.</w:t>
      </w:r>
    </w:p>
    <w:p w14:paraId="0C3BA9DE" w14:textId="77777777" w:rsidR="002E02F0" w:rsidRPr="004E6634" w:rsidRDefault="002E02F0" w:rsidP="002E02F0">
      <w:pPr>
        <w:ind w:firstLine="708"/>
        <w:jc w:val="both"/>
        <w:rPr>
          <w:rFonts w:ascii="Abadi" w:hAnsi="Abadi" w:cs="Arial"/>
          <w:sz w:val="21"/>
          <w:szCs w:val="21"/>
        </w:rPr>
      </w:pPr>
    </w:p>
    <w:p w14:paraId="67F05435" w14:textId="77777777" w:rsidR="002E02F0" w:rsidRPr="004E6634" w:rsidRDefault="002E02F0" w:rsidP="002E02F0">
      <w:pPr>
        <w:ind w:firstLine="708"/>
        <w:jc w:val="both"/>
        <w:rPr>
          <w:rFonts w:ascii="Abadi" w:hAnsi="Abadi" w:cs="Arial"/>
          <w:sz w:val="21"/>
          <w:szCs w:val="21"/>
        </w:rPr>
      </w:pPr>
      <w:r w:rsidRPr="004E6634">
        <w:rPr>
          <w:rFonts w:ascii="Abadi" w:hAnsi="Abadi" w:cs="Arial"/>
          <w:sz w:val="21"/>
          <w:szCs w:val="21"/>
        </w:rPr>
        <w:t xml:space="preserve">El 28 de noviembre de 2022 se notificó al presidente municipal de San Diego de la Unión, </w:t>
      </w:r>
      <w:proofErr w:type="spellStart"/>
      <w:r w:rsidRPr="004E6634">
        <w:rPr>
          <w:rFonts w:ascii="Abadi" w:hAnsi="Abadi" w:cs="Arial"/>
          <w:sz w:val="21"/>
          <w:szCs w:val="21"/>
        </w:rPr>
        <w:t>Gto</w:t>
      </w:r>
      <w:proofErr w:type="spellEnd"/>
      <w:r w:rsidRPr="004E6634">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09DB55B1" w14:textId="77777777" w:rsidR="002E02F0" w:rsidRPr="004E6634" w:rsidRDefault="002E02F0" w:rsidP="002E02F0">
      <w:pPr>
        <w:ind w:firstLine="708"/>
        <w:jc w:val="both"/>
        <w:rPr>
          <w:rFonts w:ascii="Abadi" w:hAnsi="Abadi" w:cs="Arial"/>
          <w:sz w:val="21"/>
          <w:szCs w:val="21"/>
        </w:rPr>
      </w:pPr>
    </w:p>
    <w:p w14:paraId="3E731203" w14:textId="77777777" w:rsidR="002E02F0" w:rsidRPr="004E6634" w:rsidRDefault="002E02F0" w:rsidP="002E02F0">
      <w:pPr>
        <w:ind w:firstLine="708"/>
        <w:jc w:val="both"/>
        <w:rPr>
          <w:rFonts w:ascii="Abadi" w:hAnsi="Abadi" w:cs="Arial"/>
          <w:sz w:val="21"/>
          <w:szCs w:val="21"/>
        </w:rPr>
      </w:pPr>
      <w:r w:rsidRPr="004E6634">
        <w:rPr>
          <w:rFonts w:ascii="Abadi" w:hAnsi="Abadi" w:cs="Arial"/>
          <w:sz w:val="21"/>
          <w:szCs w:val="21"/>
        </w:rPr>
        <w:t xml:space="preserve">Posteriormente, en fechas 12 de enero de 2023, se notificó al presidente municipal y al ex presidente municipal interino de San Diego de la Unión, </w:t>
      </w:r>
      <w:proofErr w:type="spellStart"/>
      <w:r w:rsidRPr="004E6634">
        <w:rPr>
          <w:rFonts w:ascii="Abadi" w:hAnsi="Abadi" w:cs="Arial"/>
          <w:sz w:val="21"/>
          <w:szCs w:val="21"/>
        </w:rPr>
        <w:t>Gto</w:t>
      </w:r>
      <w:proofErr w:type="spellEnd"/>
      <w:r w:rsidRPr="004E6634">
        <w:rPr>
          <w:rFonts w:ascii="Abadi" w:hAnsi="Abadi" w:cs="Arial"/>
          <w:sz w:val="21"/>
          <w:szCs w:val="21"/>
        </w:rPr>
        <w:t xml:space="preserve">., y 13 de enero de 2023 al ex presidente municipal de dicha localidad, el pliego de observaciones y recomendaciones derivado de la revisión practicada a la cuenta pública municipal de </w:t>
      </w:r>
      <w:r w:rsidRPr="004E6634">
        <w:rPr>
          <w:rFonts w:ascii="Abadi" w:hAnsi="Abadi" w:cs="Arial"/>
          <w:sz w:val="21"/>
          <w:szCs w:val="21"/>
        </w:rPr>
        <w:t xml:space="preserve">San Diego de la Unión, </w:t>
      </w:r>
      <w:proofErr w:type="spellStart"/>
      <w:r w:rsidRPr="004E6634">
        <w:rPr>
          <w:rFonts w:ascii="Abadi" w:hAnsi="Abadi" w:cs="Arial"/>
          <w:sz w:val="21"/>
          <w:szCs w:val="21"/>
        </w:rPr>
        <w:t>Gto</w:t>
      </w:r>
      <w:proofErr w:type="spellEnd"/>
      <w:r w:rsidRPr="004E6634">
        <w:rPr>
          <w:rFonts w:ascii="Abadi" w:hAnsi="Abadi" w:cs="Arial"/>
          <w:sz w:val="21"/>
          <w:szCs w:val="21"/>
        </w:rPr>
        <w:t xml:space="preserve">., correspondiente al ejercicio fiscal del año 2021, al cual se dio respuesta los día 1 y 3 de febrero de 2023, respectivamente, por parte del presidente y del ex presidente municipales de San Diego de la Unión, </w:t>
      </w:r>
      <w:proofErr w:type="spellStart"/>
      <w:r w:rsidRPr="004E6634">
        <w:rPr>
          <w:rFonts w:ascii="Abadi" w:hAnsi="Abadi" w:cs="Arial"/>
          <w:sz w:val="21"/>
          <w:szCs w:val="21"/>
        </w:rPr>
        <w:t>Gto</w:t>
      </w:r>
      <w:proofErr w:type="spellEnd"/>
      <w:r w:rsidRPr="004E6634">
        <w:rPr>
          <w:rFonts w:ascii="Abadi" w:hAnsi="Abadi" w:cs="Arial"/>
          <w:sz w:val="21"/>
          <w:szCs w:val="21"/>
        </w:rPr>
        <w:t>.</w:t>
      </w:r>
    </w:p>
    <w:p w14:paraId="5F86C518" w14:textId="77777777" w:rsidR="002E02F0" w:rsidRPr="004E6634" w:rsidRDefault="002E02F0" w:rsidP="002E02F0">
      <w:pPr>
        <w:ind w:firstLine="708"/>
        <w:jc w:val="both"/>
        <w:rPr>
          <w:rFonts w:ascii="Abadi" w:hAnsi="Abadi" w:cs="Arial"/>
          <w:sz w:val="21"/>
          <w:szCs w:val="21"/>
        </w:rPr>
      </w:pPr>
    </w:p>
    <w:p w14:paraId="504418E9"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 xml:space="preserve">El informe de resultados se notificó al presidente municipal y al ex presidente municipal interino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xml:space="preserve">., el 15 de febrero de 2023; y al ex presidente municipal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xml:space="preserve">., el 16 de febrero de 2023, para que, en su caso, hicieran valer el recurso de reconsideración previsto por los artículos del 48 al 55 de </w:t>
      </w:r>
      <w:smartTag w:uri="urn:schemas-microsoft-com:office:smarttags" w:element="PersonName">
        <w:smartTagPr>
          <w:attr w:name="ProductID" w:val="la Ley"/>
        </w:smartTagPr>
        <w:r w:rsidRPr="004E6634">
          <w:rPr>
            <w:rFonts w:ascii="Abadi" w:hAnsi="Abadi"/>
            <w:b w:val="0"/>
            <w:bCs w:val="0"/>
            <w:sz w:val="21"/>
            <w:szCs w:val="21"/>
          </w:rPr>
          <w:t>la Ley</w:t>
        </w:r>
      </w:smartTag>
      <w:r w:rsidRPr="004E6634">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7B9839D" w14:textId="77777777" w:rsidR="002E02F0" w:rsidRPr="004E6634" w:rsidRDefault="002E02F0" w:rsidP="002E02F0">
      <w:pPr>
        <w:pStyle w:val="Textoindependiente"/>
        <w:ind w:firstLine="708"/>
        <w:rPr>
          <w:rFonts w:ascii="Abadi" w:hAnsi="Abadi"/>
          <w:b w:val="0"/>
          <w:bCs w:val="0"/>
          <w:sz w:val="21"/>
          <w:szCs w:val="21"/>
        </w:rPr>
      </w:pPr>
    </w:p>
    <w:p w14:paraId="72FAC0B9" w14:textId="77777777" w:rsidR="002E02F0" w:rsidRPr="004E6634" w:rsidRDefault="002E02F0" w:rsidP="002E02F0">
      <w:pPr>
        <w:pStyle w:val="Textoindependiente"/>
        <w:ind w:firstLine="708"/>
        <w:rPr>
          <w:rFonts w:ascii="Abadi" w:hAnsi="Abadi"/>
          <w:b w:val="0"/>
          <w:bCs w:val="0"/>
          <w:sz w:val="21"/>
          <w:szCs w:val="21"/>
        </w:rPr>
      </w:pPr>
      <w:r w:rsidRPr="004E6634">
        <w:rPr>
          <w:rFonts w:ascii="Abadi" w:hAnsi="Abadi"/>
          <w:b w:val="0"/>
          <w:bCs w:val="0"/>
          <w:sz w:val="21"/>
          <w:szCs w:val="21"/>
        </w:rPr>
        <w:t>Este término transcurrió sin que, dentro del mismo, se hubiere promovido el recurso de reconsideración, como consta en la razón levantada por el Auditor Superior del Estado el 24 de febrero de 2023, en la que se realiza el cómputo del término para la interposición del recurso, contado a partir del día hábil siguiente al de la notificación del informe de resultados.</w:t>
      </w:r>
    </w:p>
    <w:p w14:paraId="18C07D3C" w14:textId="77777777" w:rsidR="002E02F0" w:rsidRPr="001957DB" w:rsidRDefault="002E02F0" w:rsidP="002E02F0">
      <w:pPr>
        <w:ind w:firstLine="708"/>
        <w:jc w:val="both"/>
        <w:rPr>
          <w:rFonts w:ascii="Abadi" w:hAnsi="Abadi" w:cs="Arial"/>
          <w:bCs/>
          <w:sz w:val="21"/>
          <w:szCs w:val="21"/>
        </w:rPr>
      </w:pPr>
    </w:p>
    <w:p w14:paraId="2B911C5F" w14:textId="77777777" w:rsidR="002E02F0" w:rsidRPr="004E6634" w:rsidRDefault="002E02F0" w:rsidP="002E02F0">
      <w:pPr>
        <w:pStyle w:val="Textoindependiente"/>
        <w:ind w:firstLine="708"/>
        <w:rPr>
          <w:rFonts w:ascii="Abadi" w:hAnsi="Abadi"/>
          <w:sz w:val="21"/>
          <w:szCs w:val="21"/>
        </w:rPr>
      </w:pPr>
      <w:r w:rsidRPr="004E6634">
        <w:rPr>
          <w:rFonts w:ascii="Abadi" w:hAnsi="Abadi"/>
          <w:sz w:val="21"/>
          <w:szCs w:val="21"/>
        </w:rPr>
        <w:t>IV. Contenido del Informe de Resultados:</w:t>
      </w:r>
    </w:p>
    <w:p w14:paraId="78FA3D7A" w14:textId="77777777" w:rsidR="002E02F0" w:rsidRPr="001957DB" w:rsidRDefault="002E02F0" w:rsidP="002E02F0">
      <w:pPr>
        <w:pStyle w:val="Textoindependiente"/>
        <w:rPr>
          <w:rFonts w:ascii="Abadi" w:hAnsi="Abadi"/>
          <w:b w:val="0"/>
          <w:bCs w:val="0"/>
          <w:sz w:val="21"/>
          <w:szCs w:val="21"/>
        </w:rPr>
      </w:pPr>
    </w:p>
    <w:p w14:paraId="331570C6" w14:textId="77777777" w:rsidR="002E02F0" w:rsidRPr="004E6634" w:rsidRDefault="002E02F0" w:rsidP="002E02F0">
      <w:pPr>
        <w:pStyle w:val="Textoindependiente"/>
        <w:rPr>
          <w:rFonts w:ascii="Abadi" w:hAnsi="Abadi"/>
          <w:b w:val="0"/>
          <w:sz w:val="21"/>
          <w:szCs w:val="21"/>
        </w:rPr>
      </w:pPr>
      <w:r w:rsidRPr="001957DB">
        <w:rPr>
          <w:rFonts w:ascii="Abadi" w:hAnsi="Abadi"/>
          <w:b w:val="0"/>
          <w:bCs w:val="0"/>
          <w:sz w:val="21"/>
          <w:szCs w:val="21"/>
        </w:rPr>
        <w:tab/>
      </w:r>
      <w:r w:rsidRPr="004E6634">
        <w:rPr>
          <w:rFonts w:ascii="Abadi" w:hAnsi="Abadi"/>
          <w:b w:val="0"/>
          <w:sz w:val="21"/>
          <w:szCs w:val="21"/>
        </w:rPr>
        <w:t>En cumplimiento a lo establecido por el artículo 37, fracción III de la Ley de Fiscalización Superior del Estado, el informe de resultados contiene los siguientes apartados:</w:t>
      </w:r>
    </w:p>
    <w:p w14:paraId="589434B8" w14:textId="77777777" w:rsidR="002E02F0" w:rsidRPr="004E6634" w:rsidRDefault="002E02F0" w:rsidP="002E02F0">
      <w:pPr>
        <w:pStyle w:val="Textoindependiente"/>
        <w:rPr>
          <w:rFonts w:ascii="Abadi" w:hAnsi="Abadi"/>
          <w:b w:val="0"/>
          <w:sz w:val="21"/>
          <w:szCs w:val="21"/>
        </w:rPr>
      </w:pPr>
    </w:p>
    <w:p w14:paraId="48B75A0C" w14:textId="77777777" w:rsidR="002E02F0" w:rsidRPr="004E6634" w:rsidRDefault="002E02F0" w:rsidP="00427BD6">
      <w:pPr>
        <w:pStyle w:val="Textoindependiente"/>
        <w:numPr>
          <w:ilvl w:val="0"/>
          <w:numId w:val="9"/>
        </w:numPr>
        <w:autoSpaceDE/>
        <w:autoSpaceDN/>
        <w:rPr>
          <w:rFonts w:ascii="Abadi" w:hAnsi="Abadi"/>
          <w:sz w:val="21"/>
          <w:szCs w:val="21"/>
        </w:rPr>
      </w:pPr>
      <w:r w:rsidRPr="004E6634">
        <w:rPr>
          <w:rFonts w:ascii="Abadi" w:hAnsi="Abadi"/>
          <w:sz w:val="21"/>
          <w:szCs w:val="21"/>
        </w:rPr>
        <w:t>Introducción.</w:t>
      </w:r>
    </w:p>
    <w:p w14:paraId="3D066B15" w14:textId="77777777" w:rsidR="002E02F0" w:rsidRPr="004E6634" w:rsidRDefault="002E02F0" w:rsidP="002E02F0">
      <w:pPr>
        <w:pStyle w:val="Textoindependiente"/>
        <w:ind w:left="705"/>
        <w:rPr>
          <w:rFonts w:ascii="Abadi" w:hAnsi="Abadi"/>
          <w:sz w:val="21"/>
          <w:szCs w:val="21"/>
        </w:rPr>
      </w:pPr>
    </w:p>
    <w:p w14:paraId="3A46CD9C"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001 del informe de resultados.</w:t>
      </w:r>
    </w:p>
    <w:p w14:paraId="494AB05D" w14:textId="77777777" w:rsidR="002E02F0" w:rsidRPr="004E6634" w:rsidRDefault="002E02F0" w:rsidP="002E02F0">
      <w:pPr>
        <w:pStyle w:val="Textoindependiente"/>
        <w:ind w:firstLine="705"/>
        <w:rPr>
          <w:rFonts w:ascii="Abadi" w:hAnsi="Abadi"/>
          <w:b w:val="0"/>
          <w:bCs w:val="0"/>
          <w:sz w:val="21"/>
          <w:szCs w:val="21"/>
        </w:rPr>
      </w:pPr>
    </w:p>
    <w:p w14:paraId="515CBFB1"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Por otra parte, en este apartado se precisan los procedimientos de auditoría aplicados, siendo estos: inspección, observación, confirmación externa, recálculo, </w:t>
      </w:r>
      <w:r w:rsidRPr="004E6634">
        <w:rPr>
          <w:rFonts w:ascii="Abadi" w:hAnsi="Abadi"/>
          <w:b w:val="0"/>
          <w:bCs w:val="0"/>
          <w:sz w:val="21"/>
          <w:szCs w:val="21"/>
        </w:rPr>
        <w:lastRenderedPageBreak/>
        <w:t>procedimientos analíticos, re ejecución e indagación.</w:t>
      </w:r>
    </w:p>
    <w:p w14:paraId="6E32D652" w14:textId="77777777" w:rsidR="002E02F0" w:rsidRPr="004E6634" w:rsidRDefault="002E02F0" w:rsidP="002E02F0">
      <w:pPr>
        <w:pStyle w:val="Textoindependiente"/>
        <w:ind w:firstLine="705"/>
        <w:rPr>
          <w:rFonts w:ascii="Abadi" w:hAnsi="Abadi"/>
          <w:b w:val="0"/>
          <w:bCs w:val="0"/>
          <w:sz w:val="21"/>
          <w:szCs w:val="21"/>
        </w:rPr>
      </w:pPr>
    </w:p>
    <w:p w14:paraId="2F54ECA5"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8073C4C" w14:textId="77777777" w:rsidR="002E02F0" w:rsidRPr="001957DB" w:rsidRDefault="002E02F0" w:rsidP="002E02F0">
      <w:pPr>
        <w:pStyle w:val="Textoindependiente"/>
        <w:ind w:firstLine="705"/>
        <w:rPr>
          <w:rFonts w:ascii="Abadi" w:hAnsi="Abadi"/>
          <w:sz w:val="21"/>
          <w:szCs w:val="21"/>
        </w:rPr>
      </w:pPr>
    </w:p>
    <w:p w14:paraId="78A11EF3" w14:textId="77777777" w:rsidR="002E02F0" w:rsidRPr="001957DB" w:rsidRDefault="002E02F0" w:rsidP="002E02F0">
      <w:pPr>
        <w:jc w:val="both"/>
        <w:rPr>
          <w:rFonts w:ascii="Abadi" w:hAnsi="Abadi" w:cs="Arial"/>
          <w:i/>
          <w:iCs/>
          <w:sz w:val="21"/>
          <w:szCs w:val="21"/>
          <w:lang w:eastAsia="x-none"/>
        </w:rPr>
      </w:pPr>
      <w:r w:rsidRPr="001957DB">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82D4D55" w14:textId="77777777" w:rsidR="002E02F0" w:rsidRPr="001957DB" w:rsidRDefault="002E02F0" w:rsidP="002E02F0">
      <w:pPr>
        <w:rPr>
          <w:rFonts w:ascii="Abadi" w:hAnsi="Abadi" w:cs="Arial"/>
          <w:i/>
          <w:iCs/>
          <w:sz w:val="21"/>
          <w:szCs w:val="21"/>
          <w:lang w:eastAsia="x-none"/>
        </w:rPr>
      </w:pPr>
    </w:p>
    <w:p w14:paraId="5CFC95DC" w14:textId="77777777" w:rsidR="002E02F0" w:rsidRPr="001957DB" w:rsidRDefault="002E02F0" w:rsidP="002E02F0">
      <w:pPr>
        <w:jc w:val="both"/>
        <w:rPr>
          <w:rFonts w:ascii="Abadi" w:hAnsi="Abadi" w:cs="Arial"/>
          <w:i/>
          <w:iCs/>
          <w:sz w:val="21"/>
          <w:szCs w:val="21"/>
          <w:lang w:eastAsia="x-none"/>
        </w:rPr>
      </w:pPr>
      <w:r w:rsidRPr="001957DB">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10E0CE9" w14:textId="77777777" w:rsidR="002E02F0" w:rsidRPr="001957DB" w:rsidRDefault="002E02F0" w:rsidP="002E02F0">
      <w:pPr>
        <w:jc w:val="both"/>
        <w:rPr>
          <w:rFonts w:ascii="Abadi" w:hAnsi="Abadi" w:cs="Arial"/>
          <w:i/>
          <w:iCs/>
          <w:sz w:val="21"/>
          <w:szCs w:val="21"/>
          <w:lang w:eastAsia="x-none"/>
        </w:rPr>
      </w:pPr>
    </w:p>
    <w:p w14:paraId="73122760" w14:textId="77777777" w:rsidR="002E02F0" w:rsidRPr="001957DB" w:rsidRDefault="002E02F0" w:rsidP="002E02F0">
      <w:pPr>
        <w:jc w:val="both"/>
        <w:rPr>
          <w:rFonts w:ascii="Abadi" w:hAnsi="Abadi" w:cs="Arial"/>
          <w:i/>
          <w:iCs/>
          <w:sz w:val="21"/>
          <w:szCs w:val="21"/>
          <w:lang w:eastAsia="x-none"/>
        </w:rPr>
      </w:pPr>
      <w:r w:rsidRPr="001957DB">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A7D7AD3" w14:textId="77777777" w:rsidR="002E02F0" w:rsidRPr="001957DB" w:rsidRDefault="002E02F0" w:rsidP="002E02F0">
      <w:pPr>
        <w:jc w:val="both"/>
        <w:rPr>
          <w:rFonts w:ascii="Abadi" w:hAnsi="Abadi" w:cs="Arial"/>
          <w:i/>
          <w:iCs/>
          <w:sz w:val="21"/>
          <w:szCs w:val="21"/>
          <w:lang w:eastAsia="x-none"/>
        </w:rPr>
      </w:pPr>
    </w:p>
    <w:p w14:paraId="5ADDA853" w14:textId="77777777" w:rsidR="002E02F0" w:rsidRPr="001957DB" w:rsidRDefault="002E02F0" w:rsidP="002E02F0">
      <w:pPr>
        <w:ind w:firstLine="705"/>
        <w:jc w:val="both"/>
        <w:rPr>
          <w:rFonts w:ascii="Abadi" w:hAnsi="Abadi" w:cs="Arial"/>
          <w:sz w:val="21"/>
          <w:szCs w:val="21"/>
          <w:lang w:eastAsia="x-none"/>
        </w:rPr>
      </w:pPr>
      <w:r w:rsidRPr="001957DB">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1957DB">
        <w:rPr>
          <w:rFonts w:ascii="Abadi" w:hAnsi="Abadi" w:cs="Arial"/>
          <w:sz w:val="21"/>
          <w:szCs w:val="21"/>
          <w:lang w:eastAsia="x-none"/>
        </w:rPr>
        <w:t>fiscalizado</w:t>
      </w:r>
      <w:proofErr w:type="spellEnd"/>
      <w:r w:rsidRPr="001957DB">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1957DB">
        <w:rPr>
          <w:rFonts w:ascii="Abadi" w:hAnsi="Abadi" w:cs="Arial"/>
          <w:i/>
          <w:iCs/>
          <w:sz w:val="21"/>
          <w:szCs w:val="21"/>
          <w:lang w:eastAsia="x-none"/>
        </w:rPr>
        <w:t>«Definitivos»,</w:t>
      </w:r>
      <w:r w:rsidRPr="001957DB">
        <w:rPr>
          <w:rFonts w:ascii="Abadi" w:hAnsi="Abadi" w:cs="Arial"/>
          <w:sz w:val="21"/>
          <w:szCs w:val="21"/>
          <w:lang w:eastAsia="x-none"/>
        </w:rPr>
        <w:t xml:space="preserve"> emitidas por el Servicio de Administración Tributaria.</w:t>
      </w:r>
    </w:p>
    <w:p w14:paraId="048F506C" w14:textId="77777777" w:rsidR="002E02F0" w:rsidRPr="001957DB" w:rsidRDefault="002E02F0" w:rsidP="002E02F0">
      <w:pPr>
        <w:pStyle w:val="Textoindependiente"/>
        <w:ind w:firstLine="705"/>
        <w:rPr>
          <w:rFonts w:ascii="Abadi" w:hAnsi="Abadi"/>
          <w:sz w:val="21"/>
          <w:szCs w:val="21"/>
        </w:rPr>
      </w:pPr>
    </w:p>
    <w:p w14:paraId="090CF1AA" w14:textId="77777777" w:rsidR="002E02F0" w:rsidRPr="001957DB" w:rsidRDefault="002E02F0" w:rsidP="002E02F0">
      <w:pPr>
        <w:ind w:firstLine="705"/>
        <w:jc w:val="both"/>
        <w:rPr>
          <w:rFonts w:ascii="Abadi" w:hAnsi="Abadi" w:cs="Arial"/>
          <w:sz w:val="21"/>
          <w:szCs w:val="21"/>
          <w:lang w:eastAsia="x-none"/>
        </w:rPr>
      </w:pPr>
      <w:r w:rsidRPr="001957DB">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w:t>
      </w:r>
      <w:r w:rsidRPr="001957DB">
        <w:rPr>
          <w:rFonts w:ascii="Abadi" w:hAnsi="Abadi" w:cs="Arial"/>
          <w:sz w:val="21"/>
          <w:szCs w:val="21"/>
          <w:lang w:eastAsia="x-none"/>
        </w:rPr>
        <w:t xml:space="preserve">contractuales con el sujeto fiscalizado se establecen las siguientes acciones realizadas: Se inspeccionó que los comprobantes fiscales que soportan las erogaciones del ente </w:t>
      </w:r>
      <w:proofErr w:type="spellStart"/>
      <w:r w:rsidRPr="001957DB">
        <w:rPr>
          <w:rFonts w:ascii="Abadi" w:hAnsi="Abadi" w:cs="Arial"/>
          <w:sz w:val="21"/>
          <w:szCs w:val="21"/>
          <w:lang w:eastAsia="x-none"/>
        </w:rPr>
        <w:t>fiscalizado</w:t>
      </w:r>
      <w:proofErr w:type="spellEnd"/>
      <w:r w:rsidRPr="001957DB">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09FC399" w14:textId="77777777" w:rsidR="002E02F0" w:rsidRPr="001957DB" w:rsidRDefault="002E02F0" w:rsidP="002E02F0">
      <w:pPr>
        <w:ind w:firstLine="705"/>
        <w:jc w:val="both"/>
        <w:rPr>
          <w:rFonts w:ascii="Abadi" w:hAnsi="Abadi" w:cs="Arial"/>
          <w:sz w:val="21"/>
          <w:szCs w:val="21"/>
          <w:lang w:eastAsia="x-none"/>
        </w:rPr>
      </w:pPr>
    </w:p>
    <w:p w14:paraId="1C1FB14E" w14:textId="77777777" w:rsidR="002E02F0" w:rsidRPr="001957DB" w:rsidRDefault="002E02F0" w:rsidP="002E02F0">
      <w:pPr>
        <w:ind w:firstLine="705"/>
        <w:jc w:val="both"/>
        <w:rPr>
          <w:rFonts w:ascii="Abadi" w:hAnsi="Abadi" w:cs="Arial"/>
          <w:sz w:val="21"/>
          <w:szCs w:val="21"/>
          <w:lang w:eastAsia="x-none"/>
        </w:rPr>
      </w:pPr>
    </w:p>
    <w:p w14:paraId="06E1C652" w14:textId="77777777" w:rsidR="002E02F0" w:rsidRPr="001957DB" w:rsidRDefault="002E02F0" w:rsidP="002E02F0">
      <w:pPr>
        <w:ind w:firstLine="705"/>
        <w:jc w:val="both"/>
        <w:rPr>
          <w:rFonts w:ascii="Abadi" w:hAnsi="Abadi" w:cs="Arial"/>
          <w:sz w:val="21"/>
          <w:szCs w:val="21"/>
          <w:lang w:val="es-MX" w:eastAsia="x-none"/>
        </w:rPr>
      </w:pPr>
      <w:r w:rsidRPr="001957DB">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1957DB">
        <w:rPr>
          <w:rFonts w:ascii="Abadi" w:hAnsi="Abadi" w:cs="Arial"/>
          <w:sz w:val="21"/>
          <w:szCs w:val="21"/>
          <w:lang w:val="es-MX" w:eastAsia="x-none"/>
        </w:rPr>
        <w:t>fiscalizado</w:t>
      </w:r>
      <w:proofErr w:type="spellEnd"/>
      <w:r w:rsidRPr="001957DB">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w:t>
      </w:r>
      <w:r w:rsidRPr="001957DB">
        <w:rPr>
          <w:rFonts w:ascii="Abadi" w:hAnsi="Abadi" w:cs="Arial"/>
          <w:sz w:val="21"/>
          <w:szCs w:val="21"/>
          <w:lang w:val="es-MX" w:eastAsia="x-none"/>
        </w:rPr>
        <w:lastRenderedPageBreak/>
        <w:t xml:space="preserve">posibles relaciones de parentesco de socios de personas morales que suministraron bienes o prestaron servicios al ente </w:t>
      </w:r>
      <w:proofErr w:type="spellStart"/>
      <w:r w:rsidRPr="001957DB">
        <w:rPr>
          <w:rFonts w:ascii="Abadi" w:hAnsi="Abadi" w:cs="Arial"/>
          <w:sz w:val="21"/>
          <w:szCs w:val="21"/>
          <w:lang w:val="es-MX" w:eastAsia="x-none"/>
        </w:rPr>
        <w:t>fiscalizado</w:t>
      </w:r>
      <w:proofErr w:type="spellEnd"/>
      <w:r w:rsidRPr="001957DB">
        <w:rPr>
          <w:rFonts w:ascii="Abadi" w:hAnsi="Abadi" w:cs="Arial"/>
          <w:sz w:val="21"/>
          <w:szCs w:val="21"/>
          <w:lang w:val="es-MX" w:eastAsia="x-none"/>
        </w:rPr>
        <w:t>.</w:t>
      </w:r>
    </w:p>
    <w:p w14:paraId="1E81E81F" w14:textId="77777777" w:rsidR="002E02F0" w:rsidRPr="001957DB" w:rsidRDefault="002E02F0" w:rsidP="002E02F0">
      <w:pPr>
        <w:ind w:firstLine="705"/>
        <w:jc w:val="both"/>
        <w:rPr>
          <w:rFonts w:ascii="Abadi" w:hAnsi="Abadi" w:cs="Arial"/>
          <w:sz w:val="21"/>
          <w:szCs w:val="21"/>
          <w:lang w:val="es-MX" w:eastAsia="x-none"/>
        </w:rPr>
      </w:pPr>
    </w:p>
    <w:p w14:paraId="78B2A6CE" w14:textId="77777777" w:rsidR="002E02F0" w:rsidRPr="001957DB" w:rsidRDefault="002E02F0" w:rsidP="002E02F0">
      <w:pPr>
        <w:ind w:firstLine="705"/>
        <w:jc w:val="both"/>
        <w:rPr>
          <w:rFonts w:ascii="Abadi" w:hAnsi="Abadi" w:cs="Arial"/>
          <w:sz w:val="21"/>
          <w:szCs w:val="21"/>
          <w:lang w:val="es-MX" w:eastAsia="x-none"/>
        </w:rPr>
      </w:pPr>
      <w:r w:rsidRPr="001957DB">
        <w:rPr>
          <w:rFonts w:ascii="Abadi" w:hAnsi="Abadi" w:cs="Arial"/>
          <w:sz w:val="21"/>
          <w:szCs w:val="21"/>
          <w:lang w:val="es-MX" w:eastAsia="x-none"/>
        </w:rPr>
        <w:t xml:space="preserve">Adicionalmente, se analizó el informe general del proceso de entrega recepción 2021 de la administración pública municipal de San Diego de la Unión, </w:t>
      </w:r>
      <w:proofErr w:type="spellStart"/>
      <w:r w:rsidRPr="001957DB">
        <w:rPr>
          <w:rFonts w:ascii="Abadi" w:hAnsi="Abadi" w:cs="Arial"/>
          <w:sz w:val="21"/>
          <w:szCs w:val="21"/>
          <w:lang w:val="es-MX" w:eastAsia="x-none"/>
        </w:rPr>
        <w:t>Gto</w:t>
      </w:r>
      <w:proofErr w:type="spellEnd"/>
      <w:r w:rsidRPr="001957DB">
        <w:rPr>
          <w:rFonts w:ascii="Abadi" w:hAnsi="Abadi" w:cs="Arial"/>
          <w:sz w:val="21"/>
          <w:szCs w:val="21"/>
          <w:lang w:val="es-MX" w:eastAsia="x-none"/>
        </w:rPr>
        <w:t>., y en su caso se aplicaron los procedimientos de auditoría correspondientes.</w:t>
      </w:r>
    </w:p>
    <w:p w14:paraId="78B619DA" w14:textId="77777777" w:rsidR="002E02F0" w:rsidRPr="001957DB" w:rsidRDefault="002E02F0" w:rsidP="002E02F0">
      <w:pPr>
        <w:ind w:firstLine="705"/>
        <w:jc w:val="both"/>
        <w:rPr>
          <w:rFonts w:ascii="Abadi" w:hAnsi="Abadi" w:cs="Arial"/>
          <w:sz w:val="21"/>
          <w:szCs w:val="21"/>
          <w:lang w:val="es-MX" w:eastAsia="x-none"/>
        </w:rPr>
      </w:pPr>
    </w:p>
    <w:p w14:paraId="7D0ACB7C" w14:textId="77777777" w:rsidR="002E02F0" w:rsidRPr="001957DB" w:rsidRDefault="002E02F0" w:rsidP="002E02F0">
      <w:pPr>
        <w:ind w:firstLine="705"/>
        <w:jc w:val="both"/>
        <w:rPr>
          <w:rFonts w:ascii="Abadi" w:hAnsi="Abadi" w:cs="Arial"/>
          <w:sz w:val="21"/>
          <w:szCs w:val="21"/>
          <w:lang w:val="es-MX" w:eastAsia="x-none"/>
        </w:rPr>
      </w:pPr>
      <w:r w:rsidRPr="001957DB">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Diego de la Unión, </w:t>
      </w:r>
      <w:proofErr w:type="spellStart"/>
      <w:r w:rsidRPr="001957DB">
        <w:rPr>
          <w:rFonts w:ascii="Abadi" w:hAnsi="Abadi" w:cs="Arial"/>
          <w:sz w:val="21"/>
          <w:szCs w:val="21"/>
          <w:lang w:val="es-MX" w:eastAsia="x-none"/>
        </w:rPr>
        <w:t>Gto</w:t>
      </w:r>
      <w:proofErr w:type="spellEnd"/>
      <w:r w:rsidRPr="001957DB">
        <w:rPr>
          <w:rFonts w:ascii="Abadi" w:hAnsi="Abadi" w:cs="Arial"/>
          <w:sz w:val="21"/>
          <w:szCs w:val="21"/>
          <w:lang w:val="es-MX" w:eastAsia="x-none"/>
        </w:rPr>
        <w:t>., no cumplió con las disposiciones normativas aplicables, como se precisa en el informe de resultados.</w:t>
      </w:r>
    </w:p>
    <w:p w14:paraId="222D47AA" w14:textId="77777777" w:rsidR="002E02F0" w:rsidRPr="001957DB" w:rsidRDefault="002E02F0" w:rsidP="002E02F0">
      <w:pPr>
        <w:ind w:firstLine="705"/>
        <w:jc w:val="both"/>
        <w:rPr>
          <w:rFonts w:ascii="Abadi" w:hAnsi="Abadi" w:cs="Arial"/>
          <w:sz w:val="21"/>
          <w:szCs w:val="21"/>
          <w:lang w:val="es-MX" w:eastAsia="x-none"/>
        </w:rPr>
      </w:pPr>
    </w:p>
    <w:p w14:paraId="3E2302B9"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9 observaciones, las cuales no fueron solventadas. Asimismo, se formularon 2 recomendaciones que no se atendieron. </w:t>
      </w:r>
    </w:p>
    <w:p w14:paraId="602C555D" w14:textId="77777777" w:rsidR="002E02F0" w:rsidRPr="004E6634" w:rsidRDefault="002E02F0" w:rsidP="002E02F0">
      <w:pPr>
        <w:pStyle w:val="Textoindependiente"/>
        <w:ind w:firstLine="705"/>
        <w:rPr>
          <w:rFonts w:ascii="Abadi" w:hAnsi="Abadi"/>
          <w:b w:val="0"/>
          <w:bCs w:val="0"/>
          <w:sz w:val="21"/>
          <w:szCs w:val="21"/>
        </w:rPr>
      </w:pPr>
    </w:p>
    <w:p w14:paraId="1FD3A8AE"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004, 005, 007, 008 y 009, existen importes no solventados por la cuantía que ahí se refiere. </w:t>
      </w:r>
    </w:p>
    <w:p w14:paraId="15FAD12A" w14:textId="77777777" w:rsidR="002E02F0" w:rsidRPr="001957DB" w:rsidRDefault="002E02F0" w:rsidP="002E02F0">
      <w:pPr>
        <w:pStyle w:val="Textoindependiente"/>
        <w:ind w:firstLine="705"/>
        <w:rPr>
          <w:rFonts w:ascii="Abadi" w:hAnsi="Abadi"/>
          <w:sz w:val="21"/>
          <w:szCs w:val="21"/>
        </w:rPr>
      </w:pPr>
    </w:p>
    <w:p w14:paraId="67252DDA" w14:textId="77777777" w:rsidR="002E02F0" w:rsidRPr="001957DB" w:rsidRDefault="002E02F0" w:rsidP="002E02F0">
      <w:pPr>
        <w:pStyle w:val="Textoindependiente"/>
        <w:ind w:firstLine="705"/>
        <w:rPr>
          <w:rFonts w:ascii="Abadi" w:hAnsi="Abadi"/>
          <w:sz w:val="21"/>
          <w:szCs w:val="21"/>
        </w:rPr>
      </w:pPr>
    </w:p>
    <w:p w14:paraId="185CFC88"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xml:space="preserve">., celebró operaciones; entre los procedimientos expuestos, se </w:t>
      </w:r>
      <w:r w:rsidRPr="004E6634">
        <w:rPr>
          <w:rFonts w:ascii="Abadi" w:hAnsi="Abadi"/>
          <w:b w:val="0"/>
          <w:bCs w:val="0"/>
          <w:sz w:val="21"/>
          <w:szCs w:val="21"/>
        </w:rPr>
        <w:t>verificó que estas no se encontraran en el listado de Empresas que Facturan Operaciones Simuladas (EFOS) u operaciones inexistentes con el carácter de «</w:t>
      </w:r>
      <w:r w:rsidRPr="004E6634">
        <w:rPr>
          <w:rFonts w:ascii="Abadi" w:hAnsi="Abadi"/>
          <w:b w:val="0"/>
          <w:bCs w:val="0"/>
          <w:i/>
          <w:iCs/>
          <w:sz w:val="21"/>
          <w:szCs w:val="21"/>
        </w:rPr>
        <w:t>Definitivos»</w:t>
      </w:r>
      <w:r w:rsidRPr="004E6634">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4250BC4E" w14:textId="77777777" w:rsidR="002E02F0" w:rsidRPr="001957DB" w:rsidRDefault="002E02F0" w:rsidP="002E02F0">
      <w:pPr>
        <w:pStyle w:val="Textoindependiente"/>
        <w:ind w:firstLine="705"/>
        <w:rPr>
          <w:rFonts w:ascii="Abadi" w:hAnsi="Abadi"/>
          <w:sz w:val="21"/>
          <w:szCs w:val="21"/>
        </w:rPr>
      </w:pPr>
    </w:p>
    <w:p w14:paraId="2E54E071" w14:textId="77777777" w:rsidR="002E02F0" w:rsidRPr="004E6634" w:rsidRDefault="002E02F0" w:rsidP="00427BD6">
      <w:pPr>
        <w:pStyle w:val="Textoindependiente"/>
        <w:numPr>
          <w:ilvl w:val="0"/>
          <w:numId w:val="9"/>
        </w:numPr>
        <w:tabs>
          <w:tab w:val="clear" w:pos="1065"/>
          <w:tab w:val="num" w:pos="0"/>
        </w:tabs>
        <w:autoSpaceDE/>
        <w:autoSpaceDN/>
        <w:rPr>
          <w:rFonts w:ascii="Abadi" w:hAnsi="Abadi"/>
          <w:sz w:val="21"/>
          <w:szCs w:val="21"/>
        </w:rPr>
      </w:pPr>
      <w:r w:rsidRPr="004E6634">
        <w:rPr>
          <w:rFonts w:ascii="Abadi" w:hAnsi="Abadi"/>
          <w:sz w:val="21"/>
          <w:szCs w:val="21"/>
        </w:rPr>
        <w:t xml:space="preserve">Observaciones y recomendaciones, la respuesta emitida por el sujeto fiscalizado y la valoración correspondiente. </w:t>
      </w:r>
    </w:p>
    <w:p w14:paraId="09331C4E" w14:textId="77777777" w:rsidR="002E02F0" w:rsidRPr="001957DB" w:rsidRDefault="002E02F0" w:rsidP="002E02F0">
      <w:pPr>
        <w:pStyle w:val="Textoindependiente"/>
        <w:ind w:left="1065"/>
        <w:rPr>
          <w:rFonts w:ascii="Abadi" w:hAnsi="Abadi"/>
          <w:b w:val="0"/>
          <w:bCs w:val="0"/>
          <w:sz w:val="21"/>
          <w:szCs w:val="21"/>
        </w:rPr>
      </w:pPr>
    </w:p>
    <w:p w14:paraId="08D19A3B" w14:textId="77777777" w:rsidR="002E02F0" w:rsidRPr="001957DB" w:rsidRDefault="002E02F0" w:rsidP="002E02F0">
      <w:pPr>
        <w:pStyle w:val="Textoindependiente"/>
        <w:ind w:firstLine="705"/>
        <w:rPr>
          <w:rFonts w:ascii="Abadi" w:hAnsi="Abadi"/>
          <w:sz w:val="21"/>
          <w:szCs w:val="21"/>
        </w:rPr>
      </w:pPr>
      <w:r w:rsidRPr="004E6634">
        <w:rPr>
          <w:rFonts w:ascii="Abadi" w:hAnsi="Abadi"/>
          <w:b w:val="0"/>
          <w:bCs w:val="0"/>
          <w:sz w:val="21"/>
          <w:szCs w:val="21"/>
        </w:rPr>
        <w:t>En esta parte se desglosa la valoración de las observaciones formuladas por el Órgano Técnico, considerando como no</w:t>
      </w:r>
      <w:r w:rsidRPr="001957DB">
        <w:rPr>
          <w:rFonts w:ascii="Abadi" w:hAnsi="Abadi"/>
          <w:sz w:val="21"/>
          <w:szCs w:val="21"/>
        </w:rPr>
        <w:t xml:space="preserve"> </w:t>
      </w:r>
      <w:r w:rsidRPr="004E6634">
        <w:rPr>
          <w:rFonts w:ascii="Abadi" w:hAnsi="Abadi"/>
          <w:b w:val="0"/>
          <w:bCs w:val="0"/>
          <w:sz w:val="21"/>
          <w:szCs w:val="21"/>
        </w:rPr>
        <w:t>solventadas las observaciones plasmadas en los siguientes numerales: 001, referente a información financiera; 002, correspondiente a procedimiento de contratación programa «Mi Ganado Productivo 2021»; 003, relativo a enajenación de bienes muebles; 004, referido a sueldo y prestaciones; 005, referente a honorarios asimilables a sueldos; 006, correspondiente a registros contables de gasto; 007, relativo a prima de antigüedad; 008, referido a servicios legales; y 009, referente a digitalización de documentos.</w:t>
      </w:r>
    </w:p>
    <w:p w14:paraId="6C167E41" w14:textId="77777777" w:rsidR="002E02F0" w:rsidRPr="001957DB" w:rsidRDefault="002E02F0" w:rsidP="002E02F0">
      <w:pPr>
        <w:pStyle w:val="Textoindependiente"/>
        <w:ind w:firstLine="705"/>
        <w:rPr>
          <w:rFonts w:ascii="Abadi" w:hAnsi="Abadi"/>
          <w:sz w:val="21"/>
          <w:szCs w:val="21"/>
        </w:rPr>
      </w:pPr>
    </w:p>
    <w:p w14:paraId="35F685FD"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En el apartado de Recomendaciones Generales, no se atendieron los numerales 001, correspondiente a Reglamento para Establecimientos Comerciales sin Venta de Alcohol para el Municipio de San Diego de la Unión,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y 002, relativo a emisión de comprobantes fiscales digitales (CFDI).</w:t>
      </w:r>
    </w:p>
    <w:p w14:paraId="4D7F16D9" w14:textId="77777777" w:rsidR="002E02F0" w:rsidRPr="001957DB" w:rsidRDefault="002E02F0" w:rsidP="002E02F0">
      <w:pPr>
        <w:pStyle w:val="Textoindependiente"/>
        <w:ind w:firstLine="705"/>
        <w:rPr>
          <w:rFonts w:ascii="Abadi" w:hAnsi="Abadi"/>
          <w:sz w:val="21"/>
          <w:szCs w:val="21"/>
        </w:rPr>
      </w:pPr>
    </w:p>
    <w:p w14:paraId="1F9C57CE" w14:textId="77777777" w:rsidR="002E02F0" w:rsidRPr="004E6634" w:rsidRDefault="002E02F0" w:rsidP="00427BD6">
      <w:pPr>
        <w:pStyle w:val="Textoindependiente"/>
        <w:numPr>
          <w:ilvl w:val="0"/>
          <w:numId w:val="9"/>
        </w:numPr>
        <w:autoSpaceDE/>
        <w:autoSpaceDN/>
        <w:rPr>
          <w:rFonts w:ascii="Abadi" w:hAnsi="Abadi"/>
          <w:sz w:val="21"/>
          <w:szCs w:val="21"/>
        </w:rPr>
      </w:pPr>
      <w:r w:rsidRPr="004E6634">
        <w:rPr>
          <w:rFonts w:ascii="Abadi" w:hAnsi="Abadi"/>
          <w:sz w:val="21"/>
          <w:szCs w:val="21"/>
        </w:rPr>
        <w:t xml:space="preserve">Promoción del ejercicio de facultades de comprobación fiscal. </w:t>
      </w:r>
    </w:p>
    <w:p w14:paraId="4BE12C90" w14:textId="77777777" w:rsidR="002E02F0" w:rsidRPr="001957DB" w:rsidRDefault="002E02F0" w:rsidP="002E02F0">
      <w:pPr>
        <w:pStyle w:val="Textoindependiente"/>
        <w:ind w:firstLine="705"/>
        <w:rPr>
          <w:rFonts w:ascii="Abadi" w:hAnsi="Abadi"/>
          <w:sz w:val="21"/>
          <w:szCs w:val="21"/>
        </w:rPr>
      </w:pPr>
    </w:p>
    <w:p w14:paraId="18776908"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w:t>
      </w:r>
      <w:r w:rsidRPr="004E6634">
        <w:rPr>
          <w:rFonts w:ascii="Abadi" w:hAnsi="Abadi"/>
          <w:b w:val="0"/>
          <w:bCs w:val="0"/>
          <w:sz w:val="21"/>
          <w:szCs w:val="21"/>
        </w:rPr>
        <w:lastRenderedPageBreak/>
        <w:t>correspondiente, del cual se concluyó que no es procedente la promoción del ejercicio de facultades de comprobación fiscal.</w:t>
      </w:r>
    </w:p>
    <w:p w14:paraId="38050DC8" w14:textId="77777777" w:rsidR="002E02F0" w:rsidRPr="001957DB" w:rsidRDefault="002E02F0" w:rsidP="002E02F0">
      <w:pPr>
        <w:pStyle w:val="Textoindependiente"/>
        <w:ind w:firstLine="705"/>
        <w:rPr>
          <w:rFonts w:ascii="Abadi" w:hAnsi="Abadi"/>
          <w:sz w:val="21"/>
          <w:szCs w:val="21"/>
        </w:rPr>
      </w:pPr>
    </w:p>
    <w:p w14:paraId="34EE7C23" w14:textId="77777777" w:rsidR="002E02F0" w:rsidRPr="004E6634" w:rsidRDefault="002E02F0" w:rsidP="00427BD6">
      <w:pPr>
        <w:pStyle w:val="Textoindependiente"/>
        <w:numPr>
          <w:ilvl w:val="0"/>
          <w:numId w:val="9"/>
        </w:numPr>
        <w:autoSpaceDE/>
        <w:autoSpaceDN/>
        <w:rPr>
          <w:rFonts w:ascii="Abadi" w:hAnsi="Abadi"/>
          <w:sz w:val="21"/>
          <w:szCs w:val="21"/>
        </w:rPr>
      </w:pPr>
      <w:r w:rsidRPr="004E6634">
        <w:rPr>
          <w:rFonts w:ascii="Abadi" w:hAnsi="Abadi"/>
          <w:sz w:val="21"/>
          <w:szCs w:val="21"/>
        </w:rPr>
        <w:t>Comunicado ante órganos de control y autoridades que administran padrones de proveedores y contratistas.</w:t>
      </w:r>
    </w:p>
    <w:p w14:paraId="3C1D1352" w14:textId="77777777" w:rsidR="002E02F0" w:rsidRPr="001957DB" w:rsidRDefault="002E02F0" w:rsidP="002E02F0">
      <w:pPr>
        <w:pStyle w:val="Textoindependiente"/>
        <w:ind w:firstLine="705"/>
        <w:rPr>
          <w:rFonts w:ascii="Abadi" w:hAnsi="Abadi"/>
          <w:sz w:val="21"/>
          <w:szCs w:val="21"/>
        </w:rPr>
      </w:pPr>
    </w:p>
    <w:p w14:paraId="427B0B01"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w:t>
      </w:r>
      <w:r w:rsidRPr="001957DB">
        <w:rPr>
          <w:rFonts w:ascii="Abadi" w:hAnsi="Abadi"/>
          <w:sz w:val="21"/>
          <w:szCs w:val="21"/>
        </w:rPr>
        <w:t xml:space="preserve"> </w:t>
      </w:r>
      <w:r w:rsidRPr="004E6634">
        <w:rPr>
          <w:rFonts w:ascii="Abadi" w:hAnsi="Abadi"/>
          <w:b w:val="0"/>
          <w:bCs w:val="0"/>
          <w:sz w:val="21"/>
          <w:szCs w:val="21"/>
        </w:rPr>
        <w:t xml:space="preserve">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del Comité de Adquisiciones, Enajenaciones, Arrendamientos y Contratación de Servicios del municipio de San Diego de la Unión, Guanajuato, </w:t>
      </w:r>
      <w:proofErr w:type="spellStart"/>
      <w:r w:rsidRPr="004E6634">
        <w:rPr>
          <w:rFonts w:ascii="Abadi" w:hAnsi="Abadi"/>
          <w:b w:val="0"/>
          <w:bCs w:val="0"/>
          <w:sz w:val="21"/>
          <w:szCs w:val="21"/>
        </w:rPr>
        <w:t>Gto</w:t>
      </w:r>
      <w:proofErr w:type="spellEnd"/>
      <w:r w:rsidRPr="004E6634">
        <w:rPr>
          <w:rFonts w:ascii="Abadi" w:hAnsi="Abadi"/>
          <w:b w:val="0"/>
          <w:bCs w:val="0"/>
          <w:sz w:val="21"/>
          <w:szCs w:val="21"/>
        </w:rPr>
        <w:t>., las presuntas irregularidades o incumplimientos de estos en contrataciones públicas detectadas durante la revisión, precisando los proveedores y las observaciones de las que se desprende su intervención.</w:t>
      </w:r>
    </w:p>
    <w:p w14:paraId="0561F384" w14:textId="77777777" w:rsidR="002E02F0" w:rsidRPr="004E6634" w:rsidRDefault="002E02F0" w:rsidP="002E02F0">
      <w:pPr>
        <w:pStyle w:val="Textoindependiente"/>
        <w:ind w:firstLine="705"/>
        <w:rPr>
          <w:rFonts w:ascii="Abadi" w:hAnsi="Abadi"/>
          <w:b w:val="0"/>
          <w:bCs w:val="0"/>
          <w:sz w:val="21"/>
          <w:szCs w:val="21"/>
        </w:rPr>
      </w:pPr>
    </w:p>
    <w:p w14:paraId="19C7D3BD" w14:textId="77777777" w:rsidR="002E02F0" w:rsidRPr="004E6634" w:rsidRDefault="002E02F0" w:rsidP="00427BD6">
      <w:pPr>
        <w:pStyle w:val="Textoindependiente"/>
        <w:numPr>
          <w:ilvl w:val="0"/>
          <w:numId w:val="9"/>
        </w:numPr>
        <w:autoSpaceDE/>
        <w:autoSpaceDN/>
        <w:rPr>
          <w:rFonts w:ascii="Abadi" w:hAnsi="Abadi"/>
          <w:sz w:val="21"/>
          <w:szCs w:val="21"/>
        </w:rPr>
      </w:pPr>
      <w:r w:rsidRPr="004E6634">
        <w:rPr>
          <w:rFonts w:ascii="Abadi" w:hAnsi="Abadi"/>
          <w:sz w:val="21"/>
          <w:szCs w:val="21"/>
        </w:rPr>
        <w:t xml:space="preserve">Anexos. </w:t>
      </w:r>
    </w:p>
    <w:p w14:paraId="2212C9C3" w14:textId="77777777" w:rsidR="002E02F0" w:rsidRPr="001957DB" w:rsidRDefault="002E02F0" w:rsidP="002E02F0">
      <w:pPr>
        <w:pStyle w:val="Textoindependiente"/>
        <w:ind w:firstLine="705"/>
        <w:rPr>
          <w:rFonts w:ascii="Abadi" w:hAnsi="Abadi"/>
          <w:sz w:val="21"/>
          <w:szCs w:val="21"/>
        </w:rPr>
      </w:pPr>
    </w:p>
    <w:p w14:paraId="45D2F7FC" w14:textId="77777777" w:rsidR="002E02F0" w:rsidRPr="004E6634" w:rsidRDefault="002E02F0" w:rsidP="002E02F0">
      <w:pPr>
        <w:pStyle w:val="Textoindependiente"/>
        <w:ind w:firstLine="705"/>
        <w:rPr>
          <w:rFonts w:ascii="Abadi" w:hAnsi="Abadi"/>
          <w:b w:val="0"/>
          <w:bCs w:val="0"/>
          <w:sz w:val="21"/>
          <w:szCs w:val="21"/>
        </w:rPr>
      </w:pPr>
      <w:r w:rsidRPr="004E6634">
        <w:rPr>
          <w:rFonts w:ascii="Abadi" w:hAnsi="Abadi"/>
          <w:b w:val="0"/>
          <w:bCs w:val="0"/>
          <w:sz w:val="21"/>
          <w:szCs w:val="21"/>
        </w:rPr>
        <w:t>En esta parte, se adjuntan los anexos técnicos derivados de la revisión practicada.</w:t>
      </w:r>
    </w:p>
    <w:p w14:paraId="49805696" w14:textId="77777777" w:rsidR="002E02F0" w:rsidRPr="001957DB" w:rsidRDefault="002E02F0" w:rsidP="002E02F0">
      <w:pPr>
        <w:pStyle w:val="Textoindependiente"/>
        <w:ind w:firstLine="705"/>
        <w:rPr>
          <w:rFonts w:ascii="Abadi" w:hAnsi="Abadi"/>
          <w:sz w:val="21"/>
          <w:szCs w:val="21"/>
        </w:rPr>
      </w:pPr>
    </w:p>
    <w:p w14:paraId="5B86A2BD" w14:textId="77777777" w:rsidR="002E02F0" w:rsidRPr="004E6634" w:rsidRDefault="002E02F0" w:rsidP="002E02F0">
      <w:pPr>
        <w:ind w:firstLine="708"/>
        <w:jc w:val="both"/>
        <w:rPr>
          <w:rFonts w:ascii="Abadi" w:hAnsi="Abadi" w:cs="Arial"/>
          <w:sz w:val="21"/>
          <w:szCs w:val="21"/>
        </w:rPr>
      </w:pPr>
      <w:r w:rsidRPr="004E6634">
        <w:rPr>
          <w:rFonts w:ascii="Abadi" w:hAnsi="Abadi" w:cs="Arial"/>
          <w:sz w:val="21"/>
          <w:szCs w:val="21"/>
        </w:rPr>
        <w:t>V. Conclusiones:</w:t>
      </w:r>
    </w:p>
    <w:p w14:paraId="571E1C3A" w14:textId="77777777" w:rsidR="002E02F0" w:rsidRPr="001957DB" w:rsidRDefault="002E02F0" w:rsidP="002E02F0">
      <w:pPr>
        <w:jc w:val="both"/>
        <w:rPr>
          <w:rFonts w:ascii="Abadi" w:hAnsi="Abadi" w:cs="Arial"/>
          <w:sz w:val="21"/>
          <w:szCs w:val="21"/>
        </w:rPr>
      </w:pPr>
    </w:p>
    <w:p w14:paraId="392DC8AB" w14:textId="77777777" w:rsidR="002E02F0" w:rsidRPr="001957DB" w:rsidRDefault="002E02F0" w:rsidP="002E02F0">
      <w:pPr>
        <w:jc w:val="both"/>
        <w:rPr>
          <w:rFonts w:ascii="Abadi" w:hAnsi="Abadi" w:cs="Arial"/>
          <w:sz w:val="21"/>
          <w:szCs w:val="21"/>
        </w:rPr>
      </w:pPr>
      <w:r w:rsidRPr="001957DB">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957DB">
          <w:rPr>
            <w:rFonts w:ascii="Abadi" w:hAnsi="Abadi" w:cs="Arial"/>
            <w:sz w:val="21"/>
            <w:szCs w:val="21"/>
          </w:rPr>
          <w:t>la Ley</w:t>
        </w:r>
      </w:smartTag>
      <w:r w:rsidRPr="001957DB">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C781BAB" w14:textId="77777777" w:rsidR="002E02F0" w:rsidRPr="001957DB" w:rsidRDefault="002E02F0" w:rsidP="002E02F0">
      <w:pPr>
        <w:jc w:val="both"/>
        <w:rPr>
          <w:rFonts w:ascii="Abadi" w:hAnsi="Abadi" w:cs="Arial"/>
          <w:sz w:val="21"/>
          <w:szCs w:val="21"/>
        </w:rPr>
      </w:pPr>
    </w:p>
    <w:p w14:paraId="16CA36E8" w14:textId="77777777" w:rsidR="002E02F0" w:rsidRPr="001957DB" w:rsidRDefault="002E02F0" w:rsidP="002E02F0">
      <w:pPr>
        <w:jc w:val="both"/>
        <w:rPr>
          <w:rFonts w:ascii="Abadi" w:hAnsi="Abadi" w:cs="Arial"/>
          <w:sz w:val="21"/>
          <w:szCs w:val="21"/>
        </w:rPr>
      </w:pPr>
      <w:r w:rsidRPr="001957DB">
        <w:rPr>
          <w:rFonts w:ascii="Abadi" w:hAnsi="Abadi" w:cs="Arial"/>
          <w:sz w:val="21"/>
          <w:szCs w:val="21"/>
        </w:rPr>
        <w:tab/>
        <w:t xml:space="preserve">En este sentido, quienes integramos esta Comisión analizamos el informe de </w:t>
      </w:r>
      <w:r w:rsidRPr="001957DB">
        <w:rPr>
          <w:rFonts w:ascii="Abadi" w:hAnsi="Abadi" w:cs="Arial"/>
          <w:sz w:val="21"/>
          <w:szCs w:val="21"/>
        </w:rPr>
        <w:t>resultados materia del presente dictamen, considerando la hipótesis referida en el precepto anteriormente señalado.</w:t>
      </w:r>
    </w:p>
    <w:p w14:paraId="66A91634" w14:textId="77777777" w:rsidR="002E02F0" w:rsidRPr="001957DB" w:rsidRDefault="002E02F0" w:rsidP="002E02F0">
      <w:pPr>
        <w:ind w:firstLine="708"/>
        <w:jc w:val="both"/>
        <w:rPr>
          <w:rFonts w:ascii="Abadi" w:hAnsi="Abadi" w:cs="Arial"/>
          <w:sz w:val="21"/>
          <w:szCs w:val="21"/>
        </w:rPr>
      </w:pPr>
    </w:p>
    <w:p w14:paraId="69280C2A"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así como al ex presidente municipal interino de San Diego de la Unión, </w:t>
      </w:r>
      <w:proofErr w:type="spellStart"/>
      <w:r w:rsidRPr="001957DB">
        <w:rPr>
          <w:rFonts w:ascii="Abadi" w:hAnsi="Abadi" w:cs="Arial"/>
          <w:sz w:val="21"/>
          <w:szCs w:val="21"/>
        </w:rPr>
        <w:t>Gto</w:t>
      </w:r>
      <w:proofErr w:type="spellEnd"/>
      <w:r w:rsidRPr="001957DB">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1957DB">
          <w:rPr>
            <w:rFonts w:ascii="Abadi" w:hAnsi="Abadi" w:cs="Arial"/>
            <w:sz w:val="21"/>
            <w:szCs w:val="21"/>
          </w:rPr>
          <w:t>la Ley</w:t>
        </w:r>
      </w:smartTag>
      <w:r w:rsidRPr="001957DB">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40678CF0" w14:textId="77777777" w:rsidR="002E02F0" w:rsidRPr="001957DB" w:rsidRDefault="002E02F0" w:rsidP="002E02F0">
      <w:pPr>
        <w:ind w:firstLine="708"/>
        <w:jc w:val="both"/>
        <w:rPr>
          <w:rFonts w:ascii="Abadi" w:hAnsi="Abadi" w:cs="Arial"/>
          <w:sz w:val="21"/>
          <w:szCs w:val="21"/>
        </w:rPr>
      </w:pPr>
    </w:p>
    <w:p w14:paraId="5F969952"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 xml:space="preserve">De igual manera, existe en el informe de resultados la constancia de que este se notificó al presidente y al ex presidente municipales, así como al ex presidente municipal interino de San Diego de la Unión, </w:t>
      </w:r>
      <w:proofErr w:type="spellStart"/>
      <w:r w:rsidRPr="001957DB">
        <w:rPr>
          <w:rFonts w:ascii="Abadi" w:hAnsi="Abadi" w:cs="Arial"/>
          <w:sz w:val="21"/>
          <w:szCs w:val="21"/>
        </w:rPr>
        <w:t>Gto</w:t>
      </w:r>
      <w:proofErr w:type="spellEnd"/>
      <w:r w:rsidRPr="001957DB">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1957DB">
          <w:rPr>
            <w:rFonts w:ascii="Abadi" w:hAnsi="Abadi" w:cs="Arial"/>
            <w:sz w:val="21"/>
            <w:szCs w:val="21"/>
          </w:rPr>
          <w:t>la Ley</w:t>
        </w:r>
      </w:smartTag>
      <w:r w:rsidRPr="001957DB">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2F84B93B" w14:textId="77777777" w:rsidR="002E02F0" w:rsidRPr="001957DB" w:rsidRDefault="002E02F0" w:rsidP="002E02F0">
      <w:pPr>
        <w:ind w:firstLine="708"/>
        <w:jc w:val="both"/>
        <w:rPr>
          <w:rFonts w:ascii="Abadi" w:hAnsi="Abadi" w:cs="Arial"/>
          <w:sz w:val="21"/>
          <w:szCs w:val="21"/>
        </w:rPr>
      </w:pPr>
    </w:p>
    <w:p w14:paraId="11C2C921"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w:t>
      </w:r>
      <w:r w:rsidRPr="001957DB">
        <w:rPr>
          <w:rFonts w:ascii="Abadi" w:hAnsi="Abadi" w:cs="Arial"/>
          <w:sz w:val="21"/>
          <w:szCs w:val="21"/>
        </w:rPr>
        <w:lastRenderedPageBreak/>
        <w:t>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8AAAF68" w14:textId="77777777" w:rsidR="002E02F0" w:rsidRPr="001957DB" w:rsidRDefault="002E02F0" w:rsidP="002E02F0">
      <w:pPr>
        <w:ind w:firstLine="708"/>
        <w:jc w:val="both"/>
        <w:rPr>
          <w:rFonts w:ascii="Abadi" w:hAnsi="Abadi" w:cs="Arial"/>
          <w:sz w:val="21"/>
          <w:szCs w:val="21"/>
        </w:rPr>
      </w:pPr>
    </w:p>
    <w:p w14:paraId="4718205E" w14:textId="77777777" w:rsidR="002E02F0" w:rsidRPr="001957DB" w:rsidRDefault="002E02F0" w:rsidP="002E02F0">
      <w:pPr>
        <w:ind w:firstLine="708"/>
        <w:jc w:val="both"/>
        <w:rPr>
          <w:rFonts w:ascii="Abadi" w:hAnsi="Abadi" w:cs="Arial"/>
          <w:sz w:val="21"/>
          <w:szCs w:val="21"/>
        </w:rPr>
      </w:pPr>
    </w:p>
    <w:p w14:paraId="039E8C18" w14:textId="77777777" w:rsidR="002E02F0" w:rsidRPr="001957DB" w:rsidRDefault="002E02F0" w:rsidP="002E02F0">
      <w:pPr>
        <w:ind w:firstLine="708"/>
        <w:jc w:val="both"/>
        <w:rPr>
          <w:rFonts w:ascii="Abadi" w:hAnsi="Abadi" w:cs="Arial"/>
          <w:sz w:val="21"/>
          <w:szCs w:val="21"/>
        </w:rPr>
      </w:pPr>
    </w:p>
    <w:p w14:paraId="7471354E" w14:textId="77777777" w:rsidR="002E02F0" w:rsidRPr="001957DB" w:rsidRDefault="002E02F0" w:rsidP="002E02F0">
      <w:pPr>
        <w:ind w:firstLine="708"/>
        <w:jc w:val="both"/>
        <w:rPr>
          <w:rFonts w:ascii="Abadi" w:hAnsi="Abadi" w:cs="Arial"/>
          <w:sz w:val="21"/>
          <w:szCs w:val="21"/>
        </w:rPr>
      </w:pPr>
    </w:p>
    <w:p w14:paraId="3616E134" w14:textId="77777777" w:rsidR="002E02F0" w:rsidRPr="001957DB" w:rsidRDefault="002E02F0" w:rsidP="002E02F0">
      <w:pPr>
        <w:ind w:firstLine="708"/>
        <w:jc w:val="both"/>
        <w:rPr>
          <w:rFonts w:ascii="Abadi" w:hAnsi="Abadi" w:cs="Arial"/>
          <w:sz w:val="21"/>
          <w:szCs w:val="21"/>
        </w:rPr>
      </w:pPr>
    </w:p>
    <w:p w14:paraId="26CA6913" w14:textId="77777777" w:rsidR="002E02F0" w:rsidRPr="001957DB" w:rsidRDefault="002E02F0" w:rsidP="002E02F0">
      <w:pPr>
        <w:ind w:firstLine="708"/>
        <w:jc w:val="both"/>
        <w:rPr>
          <w:rFonts w:ascii="Abadi" w:hAnsi="Abadi" w:cs="Arial"/>
          <w:sz w:val="21"/>
          <w:szCs w:val="21"/>
        </w:rPr>
      </w:pPr>
    </w:p>
    <w:p w14:paraId="3E2DC7EF" w14:textId="77777777" w:rsidR="002E02F0" w:rsidRPr="001957DB" w:rsidRDefault="002E02F0" w:rsidP="002E02F0">
      <w:pPr>
        <w:ind w:firstLine="708"/>
        <w:jc w:val="both"/>
        <w:rPr>
          <w:rFonts w:ascii="Abadi" w:hAnsi="Abadi" w:cs="Arial"/>
          <w:sz w:val="21"/>
          <w:szCs w:val="21"/>
        </w:rPr>
      </w:pPr>
    </w:p>
    <w:p w14:paraId="7D5BE0FB"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8D2F020" w14:textId="77777777" w:rsidR="002E02F0" w:rsidRPr="001957DB" w:rsidRDefault="002E02F0" w:rsidP="002E02F0">
      <w:pPr>
        <w:jc w:val="both"/>
        <w:rPr>
          <w:rFonts w:ascii="Abadi" w:hAnsi="Abadi" w:cs="Arial"/>
          <w:sz w:val="21"/>
          <w:szCs w:val="21"/>
        </w:rPr>
      </w:pPr>
    </w:p>
    <w:p w14:paraId="5F52C7AD"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05C31FB4" w14:textId="77777777" w:rsidR="002E02F0" w:rsidRPr="001957DB" w:rsidRDefault="002E02F0" w:rsidP="002E02F0">
      <w:pPr>
        <w:ind w:firstLine="708"/>
        <w:jc w:val="both"/>
        <w:rPr>
          <w:rFonts w:ascii="Abadi" w:hAnsi="Abadi" w:cs="Arial"/>
          <w:sz w:val="21"/>
          <w:szCs w:val="21"/>
        </w:rPr>
      </w:pPr>
    </w:p>
    <w:p w14:paraId="29A3E66D"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w:t>
      </w:r>
      <w:r w:rsidRPr="001957DB">
        <w:rPr>
          <w:rFonts w:ascii="Abadi" w:hAnsi="Abadi" w:cs="Arial"/>
          <w:sz w:val="21"/>
          <w:szCs w:val="21"/>
        </w:rPr>
        <w:t>instituciones eficaces y transparentes, al abonar a la transparencia y rendición de cuentas.</w:t>
      </w:r>
    </w:p>
    <w:p w14:paraId="0FCBB99E" w14:textId="77777777" w:rsidR="002E02F0" w:rsidRPr="001957DB" w:rsidRDefault="002E02F0" w:rsidP="002E02F0">
      <w:pPr>
        <w:ind w:firstLine="708"/>
        <w:jc w:val="both"/>
        <w:rPr>
          <w:rFonts w:ascii="Abadi" w:hAnsi="Abadi" w:cs="Arial"/>
          <w:sz w:val="21"/>
          <w:szCs w:val="21"/>
        </w:rPr>
      </w:pPr>
    </w:p>
    <w:p w14:paraId="159CA9F5"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 xml:space="preserve">En razón de lo anteriormente señalado, concluimos que el informe de resultados de la revisión practicada a la cuenta pública municipal de San Diego de la Unión, </w:t>
      </w:r>
      <w:proofErr w:type="spellStart"/>
      <w:r w:rsidRPr="001957DB">
        <w:rPr>
          <w:rFonts w:ascii="Abadi" w:hAnsi="Abadi" w:cs="Arial"/>
          <w:sz w:val="21"/>
          <w:szCs w:val="21"/>
        </w:rPr>
        <w:t>Gto</w:t>
      </w:r>
      <w:proofErr w:type="spellEnd"/>
      <w:r w:rsidRPr="001957DB">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957DB">
          <w:rPr>
            <w:rFonts w:ascii="Abadi" w:hAnsi="Abadi" w:cs="Arial"/>
            <w:sz w:val="21"/>
            <w:szCs w:val="21"/>
          </w:rPr>
          <w:t>la Ley</w:t>
        </w:r>
      </w:smartTag>
      <w:r w:rsidRPr="001957DB">
        <w:rPr>
          <w:rFonts w:ascii="Abadi" w:hAnsi="Abadi" w:cs="Arial"/>
          <w:sz w:val="21"/>
          <w:szCs w:val="21"/>
        </w:rPr>
        <w:t xml:space="preserve"> de Fiscalización Superior del Estado de Guanajuato, razón por la cual no podría ser observado por el Pleno del Congreso.</w:t>
      </w:r>
    </w:p>
    <w:p w14:paraId="3630E163" w14:textId="77777777" w:rsidR="002E02F0" w:rsidRPr="001957DB" w:rsidRDefault="002E02F0" w:rsidP="002E02F0">
      <w:pPr>
        <w:ind w:firstLine="708"/>
        <w:jc w:val="both"/>
        <w:rPr>
          <w:rFonts w:ascii="Abadi" w:hAnsi="Abadi" w:cs="Arial"/>
          <w:sz w:val="21"/>
          <w:szCs w:val="21"/>
        </w:rPr>
      </w:pPr>
    </w:p>
    <w:p w14:paraId="601A981E" w14:textId="77777777" w:rsidR="002E02F0" w:rsidRPr="001957DB" w:rsidRDefault="002E02F0" w:rsidP="002E02F0">
      <w:pPr>
        <w:pStyle w:val="Sangra3detindependiente"/>
        <w:spacing w:line="240" w:lineRule="auto"/>
        <w:rPr>
          <w:rFonts w:ascii="Abadi" w:hAnsi="Abadi"/>
          <w:sz w:val="21"/>
          <w:szCs w:val="21"/>
        </w:rPr>
      </w:pPr>
      <w:r w:rsidRPr="001957DB">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957DB">
          <w:rPr>
            <w:rFonts w:ascii="Abadi" w:hAnsi="Abadi"/>
            <w:sz w:val="21"/>
            <w:szCs w:val="21"/>
          </w:rPr>
          <w:t>la Ley Orgánica</w:t>
        </w:r>
      </w:smartTag>
      <w:r w:rsidRPr="001957DB">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957DB">
          <w:rPr>
            <w:rFonts w:ascii="Abadi" w:hAnsi="Abadi"/>
            <w:sz w:val="21"/>
            <w:szCs w:val="21"/>
          </w:rPr>
          <w:t>la Asamblea</w:t>
        </w:r>
      </w:smartTag>
      <w:r w:rsidRPr="001957DB">
        <w:rPr>
          <w:rFonts w:ascii="Abadi" w:hAnsi="Abadi"/>
          <w:sz w:val="21"/>
          <w:szCs w:val="21"/>
        </w:rPr>
        <w:t>, la aprobación del siguiente:</w:t>
      </w:r>
    </w:p>
    <w:p w14:paraId="774A9275" w14:textId="77777777" w:rsidR="002E02F0" w:rsidRPr="001957DB" w:rsidRDefault="002E02F0" w:rsidP="002E02F0">
      <w:pPr>
        <w:pStyle w:val="Sangra3detindependiente"/>
        <w:spacing w:line="240" w:lineRule="auto"/>
        <w:rPr>
          <w:rFonts w:ascii="Abadi" w:hAnsi="Abadi"/>
          <w:sz w:val="21"/>
          <w:szCs w:val="21"/>
        </w:rPr>
      </w:pPr>
    </w:p>
    <w:p w14:paraId="02E1915D" w14:textId="77777777" w:rsidR="002E02F0" w:rsidRPr="001957DB" w:rsidRDefault="002E02F0" w:rsidP="002E02F0">
      <w:pPr>
        <w:pStyle w:val="Ttulo1"/>
        <w:jc w:val="center"/>
        <w:rPr>
          <w:rFonts w:ascii="Abadi" w:hAnsi="Abadi" w:cs="Arial"/>
          <w:smallCaps/>
          <w:sz w:val="21"/>
          <w:szCs w:val="21"/>
        </w:rPr>
      </w:pPr>
      <w:r w:rsidRPr="001957DB">
        <w:rPr>
          <w:rFonts w:ascii="Abadi" w:hAnsi="Abadi" w:cs="Arial"/>
          <w:smallCaps/>
          <w:sz w:val="21"/>
          <w:szCs w:val="21"/>
        </w:rPr>
        <w:t>A c u e r d o</w:t>
      </w:r>
    </w:p>
    <w:p w14:paraId="22923DD5" w14:textId="77777777" w:rsidR="002E02F0" w:rsidRPr="001957DB" w:rsidRDefault="002E02F0" w:rsidP="002E02F0">
      <w:pPr>
        <w:rPr>
          <w:rFonts w:ascii="Abadi" w:hAnsi="Abadi"/>
          <w:sz w:val="21"/>
          <w:szCs w:val="21"/>
        </w:rPr>
      </w:pPr>
    </w:p>
    <w:p w14:paraId="5F5ACBD4" w14:textId="77777777" w:rsidR="002E02F0" w:rsidRPr="001957DB" w:rsidRDefault="002E02F0" w:rsidP="002E02F0">
      <w:pPr>
        <w:rPr>
          <w:rFonts w:ascii="Abadi" w:hAnsi="Abadi"/>
          <w:sz w:val="21"/>
          <w:szCs w:val="21"/>
        </w:rPr>
      </w:pPr>
    </w:p>
    <w:p w14:paraId="394A5E61" w14:textId="77777777" w:rsidR="002E02F0" w:rsidRPr="001957DB" w:rsidRDefault="002E02F0" w:rsidP="002E02F0">
      <w:pPr>
        <w:ind w:firstLine="708"/>
        <w:jc w:val="both"/>
        <w:rPr>
          <w:rFonts w:ascii="Abadi" w:hAnsi="Abadi" w:cs="Arial"/>
          <w:sz w:val="21"/>
          <w:szCs w:val="21"/>
        </w:rPr>
      </w:pPr>
      <w:r w:rsidRPr="001957DB">
        <w:rPr>
          <w:rFonts w:ascii="Abadi" w:hAnsi="Abadi" w:cs="Arial"/>
          <w:b/>
          <w:bCs/>
          <w:sz w:val="21"/>
          <w:szCs w:val="21"/>
        </w:rPr>
        <w:t xml:space="preserve">Único. </w:t>
      </w:r>
      <w:r w:rsidRPr="001957DB">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1957DB">
          <w:rPr>
            <w:rFonts w:ascii="Abadi" w:hAnsi="Abadi" w:cs="Arial"/>
            <w:sz w:val="21"/>
            <w:szCs w:val="21"/>
          </w:rPr>
          <w:t>la Constitución Política</w:t>
        </w:r>
      </w:smartTag>
      <w:r w:rsidRPr="001957DB">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 Diego de la Unión, </w:t>
      </w:r>
      <w:proofErr w:type="spellStart"/>
      <w:r w:rsidRPr="001957DB">
        <w:rPr>
          <w:rFonts w:ascii="Abadi" w:hAnsi="Abadi" w:cs="Arial"/>
          <w:sz w:val="21"/>
          <w:szCs w:val="21"/>
        </w:rPr>
        <w:t>Gto</w:t>
      </w:r>
      <w:proofErr w:type="spellEnd"/>
      <w:r w:rsidRPr="001957DB">
        <w:rPr>
          <w:rFonts w:ascii="Abadi" w:hAnsi="Abadi" w:cs="Arial"/>
          <w:sz w:val="21"/>
          <w:szCs w:val="21"/>
        </w:rPr>
        <w:t>., correspondiente al ejercicio fiscal del año 2021, con base en el informe de resultados formulado por la Auditoría Superior del Estado de Guanajuato.</w:t>
      </w:r>
    </w:p>
    <w:p w14:paraId="09D4D210" w14:textId="77777777" w:rsidR="002E02F0" w:rsidRPr="001957DB" w:rsidRDefault="002E02F0" w:rsidP="002E02F0">
      <w:pPr>
        <w:ind w:firstLine="708"/>
        <w:jc w:val="both"/>
        <w:rPr>
          <w:rFonts w:ascii="Abadi" w:hAnsi="Abadi" w:cs="Arial"/>
          <w:sz w:val="21"/>
          <w:szCs w:val="21"/>
        </w:rPr>
      </w:pPr>
    </w:p>
    <w:p w14:paraId="448B5A4C" w14:textId="77777777" w:rsidR="002E02F0" w:rsidRPr="001957DB" w:rsidRDefault="002E02F0" w:rsidP="002E02F0">
      <w:pPr>
        <w:pStyle w:val="Sangra3detindependiente"/>
        <w:spacing w:line="240" w:lineRule="auto"/>
        <w:rPr>
          <w:rFonts w:ascii="Abadi" w:hAnsi="Abadi"/>
          <w:sz w:val="21"/>
          <w:szCs w:val="21"/>
          <w:lang w:val="es-MX"/>
        </w:rPr>
      </w:pPr>
      <w:r w:rsidRPr="001957DB">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957DB">
        <w:rPr>
          <w:rFonts w:ascii="Abadi" w:hAnsi="Abadi"/>
          <w:sz w:val="21"/>
          <w:szCs w:val="21"/>
          <w:lang w:val="es-MX"/>
        </w:rPr>
        <w:t>.</w:t>
      </w:r>
      <w:r w:rsidRPr="001957DB">
        <w:rPr>
          <w:rFonts w:ascii="Abadi" w:hAnsi="Abadi"/>
          <w:sz w:val="21"/>
          <w:szCs w:val="21"/>
        </w:rPr>
        <w:t xml:space="preserve"> </w:t>
      </w:r>
      <w:r w:rsidRPr="001957DB">
        <w:rPr>
          <w:rFonts w:ascii="Abadi" w:hAnsi="Abadi"/>
          <w:sz w:val="21"/>
          <w:szCs w:val="21"/>
          <w:lang w:val="es-MX"/>
        </w:rPr>
        <w:t>Asimismo, dará</w:t>
      </w:r>
      <w:r w:rsidRPr="001957DB">
        <w:rPr>
          <w:rFonts w:ascii="Abadi" w:hAnsi="Abadi"/>
          <w:sz w:val="21"/>
          <w:szCs w:val="21"/>
        </w:rPr>
        <w:t xml:space="preserve"> seguimiento a la</w:t>
      </w:r>
      <w:r w:rsidRPr="001957DB">
        <w:rPr>
          <w:rFonts w:ascii="Abadi" w:hAnsi="Abadi"/>
          <w:sz w:val="21"/>
          <w:szCs w:val="21"/>
          <w:lang w:val="es-MX"/>
        </w:rPr>
        <w:t>s</w:t>
      </w:r>
      <w:r w:rsidRPr="001957DB">
        <w:rPr>
          <w:rFonts w:ascii="Abadi" w:hAnsi="Abadi"/>
          <w:sz w:val="21"/>
          <w:szCs w:val="21"/>
        </w:rPr>
        <w:t xml:space="preserve"> </w:t>
      </w:r>
      <w:proofErr w:type="spellStart"/>
      <w:r w:rsidRPr="001957DB">
        <w:rPr>
          <w:rFonts w:ascii="Abadi" w:hAnsi="Abadi"/>
          <w:sz w:val="21"/>
          <w:szCs w:val="21"/>
        </w:rPr>
        <w:t>observaci</w:t>
      </w:r>
      <w:r w:rsidRPr="001957DB">
        <w:rPr>
          <w:rFonts w:ascii="Abadi" w:hAnsi="Abadi"/>
          <w:sz w:val="21"/>
          <w:szCs w:val="21"/>
          <w:lang w:val="es-MX"/>
        </w:rPr>
        <w:t>ones</w:t>
      </w:r>
      <w:proofErr w:type="spellEnd"/>
      <w:r w:rsidRPr="001957DB">
        <w:rPr>
          <w:rFonts w:ascii="Abadi" w:hAnsi="Abadi"/>
          <w:sz w:val="21"/>
          <w:szCs w:val="21"/>
        </w:rPr>
        <w:t xml:space="preserve"> no solventada</w:t>
      </w:r>
      <w:r w:rsidRPr="001957DB">
        <w:rPr>
          <w:rFonts w:ascii="Abadi" w:hAnsi="Abadi"/>
          <w:sz w:val="21"/>
          <w:szCs w:val="21"/>
          <w:lang w:val="es-MX"/>
        </w:rPr>
        <w:t>s</w:t>
      </w:r>
      <w:r w:rsidRPr="001957DB">
        <w:rPr>
          <w:rFonts w:ascii="Abadi" w:hAnsi="Abadi"/>
          <w:sz w:val="21"/>
          <w:szCs w:val="21"/>
        </w:rPr>
        <w:t xml:space="preserve"> </w:t>
      </w:r>
      <w:r w:rsidRPr="001957DB">
        <w:rPr>
          <w:rFonts w:ascii="Abadi" w:hAnsi="Abadi"/>
          <w:sz w:val="21"/>
          <w:szCs w:val="21"/>
          <w:lang w:val="es-MX"/>
        </w:rPr>
        <w:t xml:space="preserve">y a las recomendaciones no atendidas </w:t>
      </w:r>
      <w:r w:rsidRPr="001957DB">
        <w:rPr>
          <w:rFonts w:ascii="Abadi" w:hAnsi="Abadi"/>
          <w:sz w:val="21"/>
          <w:szCs w:val="21"/>
        </w:rPr>
        <w:t>contenidas en el informe de resultados</w:t>
      </w:r>
      <w:r w:rsidRPr="001957DB">
        <w:rPr>
          <w:rFonts w:ascii="Abadi" w:hAnsi="Abadi"/>
          <w:sz w:val="21"/>
          <w:szCs w:val="21"/>
          <w:lang w:val="es-MX"/>
        </w:rPr>
        <w:t>.</w:t>
      </w:r>
    </w:p>
    <w:p w14:paraId="3113EF13" w14:textId="77777777" w:rsidR="002E02F0" w:rsidRPr="001957DB" w:rsidRDefault="002E02F0" w:rsidP="002E02F0">
      <w:pPr>
        <w:pStyle w:val="Sangra3detindependiente"/>
        <w:spacing w:line="240" w:lineRule="auto"/>
        <w:rPr>
          <w:rFonts w:ascii="Abadi" w:hAnsi="Abadi"/>
          <w:sz w:val="21"/>
          <w:szCs w:val="21"/>
          <w:lang w:val="es-MX"/>
        </w:rPr>
      </w:pPr>
    </w:p>
    <w:p w14:paraId="54B063B6"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lastRenderedPageBreak/>
        <w:t xml:space="preserve">Se ordena dar vista del informe de resultados al ayuntamiento del municipio de </w:t>
      </w:r>
      <w:r w:rsidRPr="001957DB">
        <w:rPr>
          <w:rFonts w:ascii="Abadi" w:hAnsi="Abadi" w:cs="Arial"/>
          <w:sz w:val="21"/>
          <w:szCs w:val="21"/>
          <w:lang w:val="es-MX"/>
        </w:rPr>
        <w:t>San Diego de la Unión,</w:t>
      </w:r>
      <w:r w:rsidRPr="001957DB">
        <w:rPr>
          <w:rFonts w:ascii="Abadi" w:hAnsi="Abadi" w:cs="Arial"/>
          <w:sz w:val="21"/>
          <w:szCs w:val="21"/>
        </w:rPr>
        <w:t xml:space="preserve"> </w:t>
      </w:r>
      <w:proofErr w:type="spellStart"/>
      <w:r w:rsidRPr="001957DB">
        <w:rPr>
          <w:rFonts w:ascii="Abadi" w:hAnsi="Abadi" w:cs="Arial"/>
          <w:sz w:val="21"/>
          <w:szCs w:val="21"/>
        </w:rPr>
        <w:t>Gto</w:t>
      </w:r>
      <w:proofErr w:type="spellEnd"/>
      <w:r w:rsidRPr="001957DB">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1957DB">
          <w:rPr>
            <w:rFonts w:ascii="Abadi" w:hAnsi="Abadi" w:cs="Arial"/>
            <w:sz w:val="21"/>
            <w:szCs w:val="21"/>
          </w:rPr>
          <w:t>la Ley</w:t>
        </w:r>
      </w:smartTag>
      <w:r w:rsidRPr="001957DB">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DEE2FD6" w14:textId="77777777" w:rsidR="002E02F0" w:rsidRPr="001957DB" w:rsidRDefault="002E02F0" w:rsidP="002E02F0">
      <w:pPr>
        <w:ind w:firstLine="708"/>
        <w:jc w:val="both"/>
        <w:rPr>
          <w:rFonts w:ascii="Abadi" w:hAnsi="Abadi" w:cs="Arial"/>
          <w:sz w:val="21"/>
          <w:szCs w:val="21"/>
        </w:rPr>
      </w:pPr>
    </w:p>
    <w:p w14:paraId="05ADDBBE" w14:textId="77777777" w:rsidR="002E02F0" w:rsidRPr="001957DB" w:rsidRDefault="002E02F0" w:rsidP="002E02F0">
      <w:pPr>
        <w:ind w:firstLine="708"/>
        <w:jc w:val="both"/>
        <w:rPr>
          <w:rFonts w:ascii="Abadi" w:hAnsi="Abadi" w:cs="Arial"/>
          <w:sz w:val="21"/>
          <w:szCs w:val="21"/>
        </w:rPr>
      </w:pPr>
    </w:p>
    <w:p w14:paraId="79D3C7EF" w14:textId="77777777" w:rsidR="002E02F0" w:rsidRPr="001957DB" w:rsidRDefault="002E02F0" w:rsidP="002E02F0">
      <w:pPr>
        <w:ind w:firstLine="708"/>
        <w:jc w:val="both"/>
        <w:rPr>
          <w:rFonts w:ascii="Abadi" w:hAnsi="Abadi" w:cs="Arial"/>
          <w:sz w:val="21"/>
          <w:szCs w:val="21"/>
        </w:rPr>
      </w:pPr>
      <w:r w:rsidRPr="001957DB">
        <w:rPr>
          <w:rFonts w:ascii="Abadi" w:hAnsi="Abadi" w:cs="Arial"/>
          <w:sz w:val="21"/>
          <w:szCs w:val="21"/>
        </w:rPr>
        <w:t>Remítase el presente acuerdo al titular del Poder Ejecutivo del Estado para su publicación en el Periódico Oficial del Gobierno del Estado.</w:t>
      </w:r>
    </w:p>
    <w:p w14:paraId="4CAA19B4" w14:textId="77777777" w:rsidR="002E02F0" w:rsidRPr="001957DB" w:rsidRDefault="002E02F0" w:rsidP="002E02F0">
      <w:pPr>
        <w:ind w:firstLine="708"/>
        <w:jc w:val="both"/>
        <w:rPr>
          <w:rFonts w:ascii="Abadi" w:hAnsi="Abadi" w:cs="Arial"/>
          <w:sz w:val="21"/>
          <w:szCs w:val="21"/>
        </w:rPr>
      </w:pPr>
    </w:p>
    <w:p w14:paraId="42EC8974" w14:textId="77777777" w:rsidR="002E02F0" w:rsidRPr="001957DB" w:rsidRDefault="002E02F0" w:rsidP="002E02F0">
      <w:pPr>
        <w:pStyle w:val="Sangra3detindependiente"/>
        <w:spacing w:line="240" w:lineRule="auto"/>
        <w:rPr>
          <w:rFonts w:ascii="Abadi" w:hAnsi="Abadi"/>
          <w:sz w:val="21"/>
          <w:szCs w:val="21"/>
        </w:rPr>
      </w:pPr>
      <w:r w:rsidRPr="001957DB">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0761ECFA" w14:textId="77777777" w:rsidR="002E02F0" w:rsidRPr="001957DB" w:rsidRDefault="002E02F0" w:rsidP="002E02F0">
      <w:pPr>
        <w:jc w:val="center"/>
        <w:rPr>
          <w:rFonts w:ascii="Abadi" w:hAnsi="Abadi" w:cs="Arial"/>
          <w:b/>
          <w:bCs/>
          <w:sz w:val="21"/>
          <w:szCs w:val="21"/>
          <w:lang w:eastAsia="x-none"/>
        </w:rPr>
      </w:pPr>
    </w:p>
    <w:p w14:paraId="52CCF162" w14:textId="77777777" w:rsidR="002E02F0" w:rsidRPr="001957DB" w:rsidRDefault="002E02F0" w:rsidP="002E02F0">
      <w:pPr>
        <w:jc w:val="center"/>
        <w:rPr>
          <w:rFonts w:ascii="Abadi" w:hAnsi="Abadi" w:cs="Arial"/>
          <w:b/>
          <w:bCs/>
          <w:sz w:val="21"/>
          <w:szCs w:val="21"/>
          <w:lang w:eastAsia="x-none"/>
        </w:rPr>
      </w:pPr>
      <w:r w:rsidRPr="001957DB">
        <w:rPr>
          <w:rFonts w:ascii="Abadi" w:hAnsi="Abadi" w:cs="Arial"/>
          <w:b/>
          <w:bCs/>
          <w:sz w:val="21"/>
          <w:szCs w:val="21"/>
          <w:lang w:eastAsia="x-none"/>
        </w:rPr>
        <w:t xml:space="preserve">Guanajuato, </w:t>
      </w:r>
      <w:proofErr w:type="spellStart"/>
      <w:r w:rsidRPr="001957DB">
        <w:rPr>
          <w:rFonts w:ascii="Abadi" w:hAnsi="Abadi" w:cs="Arial"/>
          <w:b/>
          <w:bCs/>
          <w:sz w:val="21"/>
          <w:szCs w:val="21"/>
          <w:lang w:eastAsia="x-none"/>
        </w:rPr>
        <w:t>Gto</w:t>
      </w:r>
      <w:proofErr w:type="spellEnd"/>
      <w:r w:rsidRPr="001957DB">
        <w:rPr>
          <w:rFonts w:ascii="Abadi" w:hAnsi="Abadi" w:cs="Arial"/>
          <w:b/>
          <w:bCs/>
          <w:sz w:val="21"/>
          <w:szCs w:val="21"/>
          <w:lang w:eastAsia="x-none"/>
        </w:rPr>
        <w:t>., 13 de junio de 2023</w:t>
      </w:r>
    </w:p>
    <w:p w14:paraId="1B553025" w14:textId="77777777" w:rsidR="002E02F0" w:rsidRPr="001957DB" w:rsidRDefault="002E02F0" w:rsidP="002E02F0">
      <w:pPr>
        <w:jc w:val="center"/>
        <w:rPr>
          <w:rFonts w:ascii="Abadi" w:hAnsi="Abadi" w:cs="Arial"/>
          <w:b/>
          <w:bCs/>
          <w:sz w:val="21"/>
          <w:szCs w:val="21"/>
          <w:lang w:eastAsia="x-none"/>
        </w:rPr>
      </w:pPr>
      <w:smartTag w:uri="urn:schemas-microsoft-com:office:smarttags" w:element="PersonName">
        <w:smartTagPr>
          <w:attr w:name="ProductID" w:val="La Comisi￳n"/>
        </w:smartTagPr>
        <w:r w:rsidRPr="001957DB">
          <w:rPr>
            <w:rFonts w:ascii="Abadi" w:hAnsi="Abadi" w:cs="Arial"/>
            <w:b/>
            <w:bCs/>
            <w:sz w:val="21"/>
            <w:szCs w:val="21"/>
            <w:lang w:eastAsia="x-none"/>
          </w:rPr>
          <w:t>La Comisión</w:t>
        </w:r>
      </w:smartTag>
      <w:r w:rsidRPr="001957DB">
        <w:rPr>
          <w:rFonts w:ascii="Abadi" w:hAnsi="Abadi" w:cs="Arial"/>
          <w:b/>
          <w:bCs/>
          <w:sz w:val="21"/>
          <w:szCs w:val="21"/>
          <w:lang w:eastAsia="x-none"/>
        </w:rPr>
        <w:t xml:space="preserve"> de Hacienda y Fiscalización</w:t>
      </w:r>
    </w:p>
    <w:p w14:paraId="2E24B25E" w14:textId="77777777" w:rsidR="002E02F0" w:rsidRPr="001957DB" w:rsidRDefault="002E02F0" w:rsidP="002E02F0">
      <w:pPr>
        <w:jc w:val="center"/>
        <w:rPr>
          <w:rFonts w:ascii="Abadi" w:hAnsi="Abadi" w:cs="Arial"/>
          <w:sz w:val="21"/>
          <w:szCs w:val="21"/>
        </w:rPr>
      </w:pPr>
    </w:p>
    <w:p w14:paraId="50DB7918" w14:textId="77777777" w:rsidR="002E02F0" w:rsidRPr="001957DB" w:rsidRDefault="002E02F0" w:rsidP="002E02F0">
      <w:pPr>
        <w:jc w:val="center"/>
        <w:rPr>
          <w:rFonts w:ascii="Abadi" w:hAnsi="Abadi" w:cs="Arial"/>
          <w:sz w:val="21"/>
          <w:szCs w:val="21"/>
        </w:rPr>
      </w:pPr>
    </w:p>
    <w:p w14:paraId="0EC1695C" w14:textId="77777777" w:rsidR="002E02F0" w:rsidRPr="001957DB" w:rsidRDefault="002E02F0" w:rsidP="002E02F0">
      <w:pPr>
        <w:rPr>
          <w:rFonts w:ascii="Abadi" w:hAnsi="Abadi" w:cs="Arial"/>
          <w:sz w:val="21"/>
          <w:szCs w:val="21"/>
        </w:rPr>
      </w:pPr>
      <w:r w:rsidRPr="001957DB">
        <w:rPr>
          <w:rFonts w:ascii="Abadi" w:hAnsi="Abadi" w:cs="Arial"/>
          <w:b/>
          <w:sz w:val="21"/>
          <w:szCs w:val="21"/>
          <w:lang w:eastAsia="x-none"/>
        </w:rPr>
        <w:t>Diputado Víctor Manuel Zanella Huerta</w:t>
      </w:r>
    </w:p>
    <w:p w14:paraId="3D58944D" w14:textId="77777777" w:rsidR="002E02F0" w:rsidRPr="001957DB" w:rsidRDefault="002E02F0" w:rsidP="002E02F0">
      <w:pPr>
        <w:rPr>
          <w:rFonts w:ascii="Abadi" w:hAnsi="Abadi" w:cs="Arial"/>
          <w:b/>
          <w:sz w:val="21"/>
          <w:szCs w:val="21"/>
          <w:lang w:eastAsia="x-none"/>
        </w:rPr>
      </w:pPr>
      <w:r w:rsidRPr="001957DB">
        <w:rPr>
          <w:rFonts w:ascii="Abadi" w:hAnsi="Abadi" w:cs="Arial"/>
          <w:b/>
          <w:sz w:val="21"/>
          <w:szCs w:val="21"/>
          <w:lang w:eastAsia="x-none"/>
        </w:rPr>
        <w:t xml:space="preserve">Diputada Ruth Noemí Tiscareño Agoitia      </w:t>
      </w:r>
    </w:p>
    <w:p w14:paraId="76BB034A" w14:textId="56716B0F" w:rsidR="002E02F0" w:rsidRPr="001957DB" w:rsidRDefault="002E02F0" w:rsidP="004E6634">
      <w:pPr>
        <w:rPr>
          <w:rFonts w:ascii="Abadi" w:hAnsi="Abadi" w:cs="Arial"/>
          <w:b/>
          <w:sz w:val="21"/>
          <w:szCs w:val="21"/>
          <w:lang w:eastAsia="x-none"/>
        </w:rPr>
      </w:pPr>
      <w:r w:rsidRPr="001957DB">
        <w:rPr>
          <w:rFonts w:ascii="Abadi" w:hAnsi="Abadi" w:cs="Arial"/>
          <w:b/>
          <w:sz w:val="21"/>
          <w:szCs w:val="21"/>
          <w:lang w:eastAsia="x-none"/>
        </w:rPr>
        <w:t xml:space="preserve">Diputado Miguel Ángel Salim </w:t>
      </w:r>
      <w:proofErr w:type="spellStart"/>
      <w:r w:rsidRPr="001957DB">
        <w:rPr>
          <w:rFonts w:ascii="Abadi" w:hAnsi="Abadi" w:cs="Arial"/>
          <w:b/>
          <w:sz w:val="21"/>
          <w:szCs w:val="21"/>
          <w:lang w:eastAsia="x-none"/>
        </w:rPr>
        <w:t>Alle</w:t>
      </w:r>
      <w:proofErr w:type="spellEnd"/>
    </w:p>
    <w:p w14:paraId="61FEB995" w14:textId="77777777" w:rsidR="002E02F0" w:rsidRPr="001957DB" w:rsidRDefault="002E02F0" w:rsidP="002E02F0">
      <w:pPr>
        <w:rPr>
          <w:rFonts w:ascii="Abadi" w:hAnsi="Abadi" w:cs="Arial"/>
          <w:b/>
          <w:sz w:val="21"/>
          <w:szCs w:val="21"/>
          <w:lang w:eastAsia="x-none"/>
        </w:rPr>
      </w:pPr>
      <w:r w:rsidRPr="001957DB">
        <w:rPr>
          <w:rFonts w:ascii="Abadi" w:hAnsi="Abadi" w:cs="Arial"/>
          <w:b/>
          <w:sz w:val="21"/>
          <w:szCs w:val="21"/>
          <w:lang w:eastAsia="x-none"/>
        </w:rPr>
        <w:t xml:space="preserve">Diputado José Alfonso Borja Pimentel    </w:t>
      </w:r>
    </w:p>
    <w:p w14:paraId="1B26A9E4" w14:textId="77777777" w:rsidR="002E02F0" w:rsidRPr="001957DB" w:rsidRDefault="002E02F0" w:rsidP="004E6634">
      <w:pPr>
        <w:rPr>
          <w:rFonts w:ascii="Abadi" w:hAnsi="Abadi" w:cs="Arial"/>
          <w:b/>
          <w:sz w:val="21"/>
          <w:szCs w:val="21"/>
          <w:lang w:eastAsia="x-none"/>
        </w:rPr>
      </w:pPr>
      <w:r w:rsidRPr="001957DB">
        <w:rPr>
          <w:rFonts w:ascii="Abadi" w:hAnsi="Abadi" w:cs="Arial"/>
          <w:b/>
          <w:sz w:val="21"/>
          <w:szCs w:val="21"/>
          <w:lang w:eastAsia="x-none"/>
        </w:rPr>
        <w:t>Diputada Alma Edwviges Alcaraz Hernández</w:t>
      </w:r>
    </w:p>
    <w:p w14:paraId="35505630" w14:textId="77777777" w:rsidR="002E02F0" w:rsidRPr="001957DB" w:rsidRDefault="002E02F0" w:rsidP="002E02F0">
      <w:pPr>
        <w:rPr>
          <w:rFonts w:ascii="Abadi" w:hAnsi="Abadi"/>
          <w:b/>
          <w:sz w:val="21"/>
          <w:szCs w:val="21"/>
          <w:lang w:eastAsia="x-none"/>
        </w:rPr>
      </w:pPr>
    </w:p>
    <w:p w14:paraId="5418C640" w14:textId="77777777" w:rsidR="002E02F0" w:rsidRPr="001957DB" w:rsidRDefault="002E02F0" w:rsidP="002E02F0">
      <w:pPr>
        <w:pStyle w:val="Textoindependiente2"/>
        <w:rPr>
          <w:rFonts w:ascii="Abadi" w:hAnsi="Abadi"/>
          <w:sz w:val="21"/>
          <w:szCs w:val="21"/>
        </w:rPr>
      </w:pPr>
    </w:p>
    <w:p w14:paraId="0AB60D8F" w14:textId="09FAE66A"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SILAO DE LA VICTORIA, GTO., CORRESPONDIENTE AL EJERCICIO FISCAL DEL AÑO 2021. </w:t>
      </w:r>
      <w:r w:rsidRPr="00006796">
        <w:rPr>
          <w:rFonts w:ascii="Abadi" w:hAnsi="Abadi" w:cs="Arial-ItalicMT"/>
          <w:b/>
          <w:bCs/>
          <w:i/>
          <w:iCs/>
          <w:sz w:val="21"/>
          <w:szCs w:val="21"/>
        </w:rPr>
        <w:t>(ELD 278/LXV-IRASEG)</w:t>
      </w:r>
      <w:r w:rsidR="0009633E">
        <w:rPr>
          <w:rStyle w:val="Refdenotaalpie"/>
          <w:rFonts w:ascii="Abadi" w:hAnsi="Abadi" w:cs="Arial-ItalicMT"/>
          <w:b/>
          <w:bCs/>
          <w:i/>
          <w:iCs/>
          <w:sz w:val="21"/>
          <w:szCs w:val="21"/>
        </w:rPr>
        <w:footnoteReference w:id="224"/>
      </w:r>
    </w:p>
    <w:p w14:paraId="03721CC0" w14:textId="77777777" w:rsidR="00EB31D2" w:rsidRDefault="00EB31D2" w:rsidP="00EB31D2">
      <w:pPr>
        <w:autoSpaceDE w:val="0"/>
        <w:autoSpaceDN w:val="0"/>
        <w:adjustRightInd w:val="0"/>
        <w:contextualSpacing/>
        <w:jc w:val="both"/>
        <w:rPr>
          <w:rFonts w:ascii="Abadi" w:hAnsi="Abadi" w:cs="Arial-ItalicMT"/>
          <w:b/>
          <w:bCs/>
          <w:i/>
          <w:iCs/>
          <w:sz w:val="21"/>
          <w:szCs w:val="21"/>
        </w:rPr>
      </w:pPr>
    </w:p>
    <w:p w14:paraId="351BC9AC" w14:textId="77777777" w:rsidR="00076F07" w:rsidRPr="00FC12D2" w:rsidRDefault="00076F07" w:rsidP="00076F07">
      <w:pPr>
        <w:pStyle w:val="Textoindependiente3"/>
        <w:rPr>
          <w:rFonts w:ascii="Abadi" w:hAnsi="Abadi" w:cs="Arial"/>
          <w:smallCaps/>
          <w:sz w:val="21"/>
          <w:szCs w:val="21"/>
        </w:rPr>
      </w:pPr>
      <w:r w:rsidRPr="00FC12D2">
        <w:rPr>
          <w:rFonts w:ascii="Abadi" w:hAnsi="Abadi" w:cs="Arial"/>
          <w:smallCaps/>
          <w:sz w:val="21"/>
          <w:szCs w:val="21"/>
        </w:rPr>
        <w:t>C. Presidenta del Congreso del Estado</w:t>
      </w:r>
    </w:p>
    <w:p w14:paraId="0614ADDE" w14:textId="77777777" w:rsidR="00076F07" w:rsidRPr="00FC12D2" w:rsidRDefault="00076F07" w:rsidP="00076F07">
      <w:pPr>
        <w:jc w:val="both"/>
        <w:rPr>
          <w:rFonts w:ascii="Abadi" w:hAnsi="Abadi" w:cs="Arial"/>
          <w:b/>
          <w:bCs/>
          <w:smallCaps/>
          <w:sz w:val="21"/>
          <w:szCs w:val="21"/>
        </w:rPr>
      </w:pPr>
      <w:r w:rsidRPr="00FC12D2">
        <w:rPr>
          <w:rFonts w:ascii="Abadi" w:hAnsi="Abadi" w:cs="Arial"/>
          <w:b/>
          <w:bCs/>
          <w:smallCaps/>
          <w:sz w:val="21"/>
          <w:szCs w:val="21"/>
        </w:rPr>
        <w:t>P r e s e n t e.</w:t>
      </w:r>
    </w:p>
    <w:p w14:paraId="625EE414" w14:textId="77777777" w:rsidR="00076F07" w:rsidRPr="00FC12D2" w:rsidRDefault="00076F07" w:rsidP="00076F07">
      <w:pPr>
        <w:pStyle w:val="Textoindependiente"/>
        <w:rPr>
          <w:rFonts w:ascii="Abadi" w:hAnsi="Abadi"/>
          <w:sz w:val="21"/>
          <w:szCs w:val="21"/>
        </w:rPr>
      </w:pPr>
    </w:p>
    <w:p w14:paraId="6D60C993" w14:textId="77777777" w:rsidR="00076F07" w:rsidRPr="00FC12D2" w:rsidRDefault="00076F07" w:rsidP="00076F07">
      <w:pPr>
        <w:pStyle w:val="Sangra3detindependiente"/>
        <w:spacing w:line="240" w:lineRule="auto"/>
        <w:rPr>
          <w:rFonts w:ascii="Abadi" w:hAnsi="Abadi"/>
          <w:sz w:val="21"/>
          <w:szCs w:val="21"/>
        </w:rPr>
      </w:pPr>
      <w:r w:rsidRPr="00FC12D2">
        <w:rPr>
          <w:rFonts w:ascii="Abadi" w:hAnsi="Abadi"/>
          <w:sz w:val="21"/>
          <w:szCs w:val="21"/>
        </w:rPr>
        <w:t xml:space="preserve">A </w:t>
      </w:r>
      <w:r w:rsidRPr="00FC12D2">
        <w:rPr>
          <w:rFonts w:ascii="Abadi" w:hAnsi="Abadi"/>
          <w:sz w:val="21"/>
          <w:szCs w:val="21"/>
          <w:lang w:val="es-MX"/>
        </w:rPr>
        <w:t>esta</w:t>
      </w:r>
      <w:r w:rsidRPr="00FC12D2">
        <w:rPr>
          <w:rFonts w:ascii="Abadi" w:hAnsi="Abadi"/>
          <w:sz w:val="21"/>
          <w:szCs w:val="21"/>
        </w:rPr>
        <w:t xml:space="preserve"> Comisión de Hacienda y Fiscalización</w:t>
      </w:r>
      <w:r w:rsidRPr="00FC12D2">
        <w:rPr>
          <w:rFonts w:ascii="Abadi" w:hAnsi="Abadi"/>
          <w:sz w:val="21"/>
          <w:szCs w:val="21"/>
          <w:lang w:val="es-MX"/>
        </w:rPr>
        <w:t xml:space="preserve">, </w:t>
      </w:r>
      <w:r w:rsidRPr="00FC12D2">
        <w:rPr>
          <w:rFonts w:ascii="Abadi" w:hAnsi="Abadi"/>
          <w:sz w:val="21"/>
          <w:szCs w:val="21"/>
        </w:rPr>
        <w:t xml:space="preserve">le fue turnado para su estudio y dictamen, el informe de resultados de la revisión practicada por </w:t>
      </w:r>
      <w:r w:rsidRPr="00FC12D2">
        <w:rPr>
          <w:rFonts w:ascii="Abadi" w:hAnsi="Abadi"/>
          <w:sz w:val="21"/>
          <w:szCs w:val="21"/>
          <w:lang w:val="es-MX"/>
        </w:rPr>
        <w:t xml:space="preserve">la </w:t>
      </w:r>
      <w:r w:rsidRPr="00FC12D2">
        <w:rPr>
          <w:rFonts w:ascii="Abadi" w:hAnsi="Abadi"/>
          <w:sz w:val="21"/>
          <w:szCs w:val="21"/>
        </w:rPr>
        <w:t xml:space="preserve">Auditoría Superior del Estado de Guanajuato, a la cuenta pública municipal de </w:t>
      </w:r>
      <w:r w:rsidRPr="00FC12D2">
        <w:rPr>
          <w:rFonts w:ascii="Abadi" w:hAnsi="Abadi"/>
          <w:sz w:val="21"/>
          <w:szCs w:val="21"/>
          <w:lang w:val="es-MX"/>
        </w:rPr>
        <w:t>Silao de la Victoria</w:t>
      </w:r>
      <w:r w:rsidRPr="00FC12D2">
        <w:rPr>
          <w:rFonts w:ascii="Abadi" w:hAnsi="Abadi"/>
          <w:sz w:val="21"/>
          <w:szCs w:val="21"/>
        </w:rPr>
        <w:t xml:space="preserve">, </w:t>
      </w:r>
      <w:proofErr w:type="spellStart"/>
      <w:r w:rsidRPr="00FC12D2">
        <w:rPr>
          <w:rFonts w:ascii="Abadi" w:hAnsi="Abadi"/>
          <w:sz w:val="21"/>
          <w:szCs w:val="21"/>
        </w:rPr>
        <w:t>Gto</w:t>
      </w:r>
      <w:proofErr w:type="spellEnd"/>
      <w:r w:rsidRPr="00FC12D2">
        <w:rPr>
          <w:rFonts w:ascii="Abadi" w:hAnsi="Abadi"/>
          <w:sz w:val="21"/>
          <w:szCs w:val="21"/>
        </w:rPr>
        <w:t>., correspondiente al ejercicio fiscal del año 2021. (ELD 2</w:t>
      </w:r>
      <w:r w:rsidRPr="00FC12D2">
        <w:rPr>
          <w:rFonts w:ascii="Abadi" w:hAnsi="Abadi"/>
          <w:sz w:val="21"/>
          <w:szCs w:val="21"/>
          <w:lang w:val="es-MX"/>
        </w:rPr>
        <w:t>78</w:t>
      </w:r>
      <w:r w:rsidRPr="00FC12D2">
        <w:rPr>
          <w:rFonts w:ascii="Abadi" w:hAnsi="Abadi"/>
          <w:sz w:val="21"/>
          <w:szCs w:val="21"/>
        </w:rPr>
        <w:t>/LXV-IRASEG)</w:t>
      </w:r>
    </w:p>
    <w:p w14:paraId="35220556" w14:textId="77777777" w:rsidR="00076F07" w:rsidRPr="00FC12D2" w:rsidRDefault="00076F07" w:rsidP="00076F07">
      <w:pPr>
        <w:pStyle w:val="Sangra3detindependiente"/>
        <w:spacing w:line="240" w:lineRule="auto"/>
        <w:rPr>
          <w:rFonts w:ascii="Abadi" w:hAnsi="Abadi"/>
          <w:sz w:val="21"/>
          <w:szCs w:val="21"/>
        </w:rPr>
      </w:pPr>
    </w:p>
    <w:p w14:paraId="753394AC" w14:textId="77777777" w:rsidR="00076F07" w:rsidRPr="00FC12D2" w:rsidRDefault="00076F07" w:rsidP="00076F07">
      <w:pPr>
        <w:pStyle w:val="Sangra3detindependiente"/>
        <w:spacing w:line="240" w:lineRule="auto"/>
        <w:rPr>
          <w:rFonts w:ascii="Abadi" w:hAnsi="Abadi"/>
          <w:sz w:val="21"/>
          <w:szCs w:val="21"/>
        </w:rPr>
      </w:pPr>
      <w:r w:rsidRPr="00FC12D2">
        <w:rPr>
          <w:rFonts w:ascii="Abadi" w:hAnsi="Abadi"/>
          <w:sz w:val="21"/>
          <w:szCs w:val="21"/>
        </w:rPr>
        <w:t>Una vez analizado el referido informe de resultados, con fundamento en lo dispuesto por los artículos 112, fracción XII</w:t>
      </w:r>
      <w:r w:rsidRPr="00FC12D2">
        <w:rPr>
          <w:rFonts w:ascii="Abadi" w:hAnsi="Abadi"/>
          <w:sz w:val="21"/>
          <w:szCs w:val="21"/>
          <w:lang w:val="es-MX"/>
        </w:rPr>
        <w:t>, primer párrafo</w:t>
      </w:r>
      <w:r w:rsidRPr="00FC12D2">
        <w:rPr>
          <w:rFonts w:ascii="Abadi" w:hAnsi="Abadi"/>
          <w:sz w:val="21"/>
          <w:szCs w:val="21"/>
        </w:rPr>
        <w:t xml:space="preserve"> y 171 de </w:t>
      </w:r>
      <w:smartTag w:uri="urn:schemas-microsoft-com:office:smarttags" w:element="PersonName">
        <w:smartTagPr>
          <w:attr w:name="ProductID" w:val="la Ley Org￡nica"/>
        </w:smartTagPr>
        <w:r w:rsidRPr="00FC12D2">
          <w:rPr>
            <w:rFonts w:ascii="Abadi" w:hAnsi="Abadi"/>
            <w:sz w:val="21"/>
            <w:szCs w:val="21"/>
          </w:rPr>
          <w:t>la Ley Orgánica</w:t>
        </w:r>
      </w:smartTag>
      <w:r w:rsidRPr="00FC12D2">
        <w:rPr>
          <w:rFonts w:ascii="Abadi" w:hAnsi="Abadi"/>
          <w:sz w:val="21"/>
          <w:szCs w:val="21"/>
        </w:rPr>
        <w:t xml:space="preserve"> del Poder Legislativo, nos permitimos rendir el siguiente:</w:t>
      </w:r>
    </w:p>
    <w:p w14:paraId="56DB81EB" w14:textId="77777777" w:rsidR="00076F07" w:rsidRPr="00FC12D2" w:rsidRDefault="00076F07" w:rsidP="00076F07">
      <w:pPr>
        <w:pStyle w:val="Sangra3detindependiente"/>
        <w:spacing w:line="240" w:lineRule="auto"/>
        <w:rPr>
          <w:rFonts w:ascii="Abadi" w:hAnsi="Abadi"/>
          <w:sz w:val="21"/>
          <w:szCs w:val="21"/>
        </w:rPr>
      </w:pPr>
    </w:p>
    <w:p w14:paraId="3E1402E4" w14:textId="77777777" w:rsidR="00076F07" w:rsidRPr="00FC12D2" w:rsidRDefault="00076F07" w:rsidP="00076F07">
      <w:pPr>
        <w:pStyle w:val="Ttulo1"/>
        <w:jc w:val="center"/>
        <w:rPr>
          <w:rFonts w:ascii="Abadi" w:hAnsi="Abadi" w:cs="Arial"/>
          <w:sz w:val="21"/>
          <w:szCs w:val="21"/>
        </w:rPr>
      </w:pPr>
      <w:r w:rsidRPr="00FC12D2">
        <w:rPr>
          <w:rFonts w:ascii="Abadi" w:hAnsi="Abadi" w:cs="Arial"/>
          <w:sz w:val="21"/>
          <w:szCs w:val="21"/>
        </w:rPr>
        <w:t>D i c t a m e n</w:t>
      </w:r>
    </w:p>
    <w:p w14:paraId="1F6D7694" w14:textId="77777777" w:rsidR="009258D2" w:rsidRDefault="009258D2" w:rsidP="00076F07">
      <w:pPr>
        <w:pStyle w:val="Textoindependiente"/>
        <w:ind w:firstLine="708"/>
        <w:rPr>
          <w:rFonts w:ascii="Abadi" w:hAnsi="Abadi"/>
          <w:b w:val="0"/>
          <w:bCs w:val="0"/>
          <w:sz w:val="21"/>
          <w:szCs w:val="21"/>
        </w:rPr>
      </w:pPr>
    </w:p>
    <w:p w14:paraId="20BFBB99" w14:textId="2B02A47F" w:rsidR="00076F07" w:rsidRPr="009258D2" w:rsidRDefault="00076F07" w:rsidP="00076F07">
      <w:pPr>
        <w:pStyle w:val="Textoindependiente"/>
        <w:ind w:firstLine="708"/>
        <w:rPr>
          <w:rFonts w:ascii="Abadi" w:hAnsi="Abadi"/>
          <w:sz w:val="21"/>
          <w:szCs w:val="21"/>
        </w:rPr>
      </w:pPr>
      <w:r w:rsidRPr="009258D2">
        <w:rPr>
          <w:rFonts w:ascii="Abadi" w:hAnsi="Abadi"/>
          <w:sz w:val="21"/>
          <w:szCs w:val="21"/>
        </w:rPr>
        <w:t>I. Competencia:</w:t>
      </w:r>
    </w:p>
    <w:p w14:paraId="768C9D18" w14:textId="77777777" w:rsidR="00076F07" w:rsidRPr="00FC12D2" w:rsidRDefault="00076F07" w:rsidP="00076F07">
      <w:pPr>
        <w:pStyle w:val="Textoindependiente"/>
        <w:ind w:firstLine="708"/>
        <w:rPr>
          <w:rFonts w:ascii="Abadi" w:hAnsi="Abadi"/>
          <w:b w:val="0"/>
          <w:bCs w:val="0"/>
          <w:sz w:val="21"/>
          <w:szCs w:val="21"/>
        </w:rPr>
      </w:pPr>
    </w:p>
    <w:p w14:paraId="0B738A9F"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FC12D2">
          <w:rPr>
            <w:rFonts w:ascii="Abadi" w:hAnsi="Abadi" w:cs="Arial"/>
            <w:sz w:val="21"/>
            <w:szCs w:val="21"/>
            <w:lang w:val="es-MX" w:eastAsia="x-none"/>
          </w:rPr>
          <w:t>la Constitución Política</w:t>
        </w:r>
      </w:smartTag>
      <w:r w:rsidRPr="00FC12D2">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A99B4A0" w14:textId="77777777" w:rsidR="00076F07" w:rsidRPr="00FC12D2" w:rsidRDefault="00076F07" w:rsidP="00076F07">
      <w:pPr>
        <w:ind w:firstLine="708"/>
        <w:jc w:val="both"/>
        <w:rPr>
          <w:rFonts w:ascii="Abadi" w:hAnsi="Abadi" w:cs="Arial"/>
          <w:sz w:val="21"/>
          <w:szCs w:val="21"/>
          <w:lang w:val="es-MX" w:eastAsia="x-none"/>
        </w:rPr>
      </w:pPr>
    </w:p>
    <w:p w14:paraId="25B3472D"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w:t>
      </w:r>
      <w:r w:rsidRPr="00FC12D2">
        <w:rPr>
          <w:rFonts w:ascii="Abadi" w:hAnsi="Abadi" w:cs="Arial"/>
          <w:sz w:val="21"/>
          <w:szCs w:val="21"/>
          <w:lang w:val="es-MX" w:eastAsia="x-none"/>
        </w:rPr>
        <w:lastRenderedPageBreak/>
        <w:t>en la presentación de los informes financieros trimestrales y la cuenta pública informarán al Congreso de la ejecución de su presupuesto, asimismo sobre la situación económica y las finanzas públicas del ejercicio.</w:t>
      </w:r>
    </w:p>
    <w:p w14:paraId="69BE5626" w14:textId="77777777" w:rsidR="00076F07" w:rsidRPr="00FC12D2" w:rsidRDefault="00076F07" w:rsidP="00076F07">
      <w:pPr>
        <w:ind w:firstLine="708"/>
        <w:jc w:val="both"/>
        <w:rPr>
          <w:rFonts w:ascii="Abadi" w:hAnsi="Abadi" w:cs="Arial"/>
          <w:sz w:val="21"/>
          <w:szCs w:val="21"/>
          <w:lang w:val="es-MX" w:eastAsia="x-none"/>
        </w:rPr>
      </w:pPr>
    </w:p>
    <w:p w14:paraId="78938EB8" w14:textId="77777777" w:rsidR="00076F07" w:rsidRPr="00FC12D2" w:rsidRDefault="00076F07" w:rsidP="00076F07">
      <w:pPr>
        <w:ind w:firstLine="708"/>
        <w:jc w:val="both"/>
        <w:rPr>
          <w:rFonts w:ascii="Abadi" w:hAnsi="Abadi" w:cs="Arial"/>
          <w:sz w:val="21"/>
          <w:szCs w:val="21"/>
          <w:lang w:val="es-MX" w:eastAsia="x-none"/>
        </w:rPr>
      </w:pPr>
    </w:p>
    <w:p w14:paraId="4FD71D0F"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FC12D2">
          <w:rPr>
            <w:rFonts w:ascii="Abadi" w:hAnsi="Abadi" w:cs="Arial"/>
            <w:sz w:val="21"/>
            <w:szCs w:val="21"/>
            <w:lang w:val="es-MX" w:eastAsia="x-none"/>
          </w:rPr>
          <w:t>la Constitución Política</w:t>
        </w:r>
      </w:smartTag>
      <w:r w:rsidRPr="00FC12D2">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A8297CD" w14:textId="77777777" w:rsidR="00076F07" w:rsidRPr="00FC12D2" w:rsidRDefault="00076F07" w:rsidP="00076F07">
      <w:pPr>
        <w:ind w:firstLine="708"/>
        <w:jc w:val="both"/>
        <w:rPr>
          <w:rFonts w:ascii="Abadi" w:hAnsi="Abadi" w:cs="Arial"/>
          <w:sz w:val="21"/>
          <w:szCs w:val="21"/>
          <w:lang w:val="es-MX" w:eastAsia="x-none"/>
        </w:rPr>
      </w:pPr>
    </w:p>
    <w:p w14:paraId="4F0654A9"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0EAB248" w14:textId="77777777" w:rsidR="00076F07" w:rsidRPr="009258D2" w:rsidRDefault="00076F07" w:rsidP="00076F07">
      <w:pPr>
        <w:ind w:firstLine="708"/>
        <w:jc w:val="both"/>
        <w:rPr>
          <w:rFonts w:ascii="Abadi" w:hAnsi="Abadi" w:cs="Arial"/>
          <w:sz w:val="21"/>
          <w:szCs w:val="21"/>
          <w:lang w:val="es-MX" w:eastAsia="x-none"/>
        </w:rPr>
      </w:pPr>
    </w:p>
    <w:p w14:paraId="06C65AA9"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0290CB75" w14:textId="77777777" w:rsidR="00076F07" w:rsidRPr="009258D2" w:rsidRDefault="00076F07" w:rsidP="00076F07">
      <w:pPr>
        <w:pStyle w:val="Textoindependiente"/>
        <w:ind w:firstLine="708"/>
        <w:rPr>
          <w:rFonts w:ascii="Abadi" w:hAnsi="Abadi"/>
          <w:b w:val="0"/>
          <w:bCs w:val="0"/>
          <w:sz w:val="21"/>
          <w:szCs w:val="21"/>
        </w:rPr>
      </w:pPr>
    </w:p>
    <w:p w14:paraId="07D9F49D"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En razón de lo cual, la Ley de Fiscalización Superior del Estado de</w:t>
      </w:r>
      <w:r w:rsidRPr="00FC12D2">
        <w:rPr>
          <w:rFonts w:ascii="Abadi" w:hAnsi="Abadi"/>
          <w:sz w:val="21"/>
          <w:szCs w:val="21"/>
        </w:rPr>
        <w:t xml:space="preserve"> Guanajuato establece que la Auditoría Superior debe remitir los informes de resultados al Congreso del Estado, a efecto de que este realice la declaratoria </w:t>
      </w:r>
      <w:r w:rsidRPr="009258D2">
        <w:rPr>
          <w:rFonts w:ascii="Abadi" w:hAnsi="Abadi"/>
          <w:b w:val="0"/>
          <w:bCs w:val="0"/>
          <w:sz w:val="21"/>
          <w:szCs w:val="21"/>
        </w:rPr>
        <w:t>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F89EBDA" w14:textId="77777777" w:rsidR="00076F07" w:rsidRPr="009258D2" w:rsidRDefault="00076F07" w:rsidP="00076F07">
      <w:pPr>
        <w:pStyle w:val="Textoindependiente"/>
        <w:ind w:firstLine="708"/>
        <w:rPr>
          <w:rFonts w:ascii="Abadi" w:hAnsi="Abadi"/>
          <w:b w:val="0"/>
          <w:bCs w:val="0"/>
          <w:sz w:val="21"/>
          <w:szCs w:val="21"/>
        </w:rPr>
      </w:pPr>
    </w:p>
    <w:p w14:paraId="7929D93B"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258D2">
          <w:rPr>
            <w:rFonts w:ascii="Abadi" w:hAnsi="Abadi"/>
            <w:b w:val="0"/>
            <w:bCs w:val="0"/>
            <w:sz w:val="21"/>
            <w:szCs w:val="21"/>
          </w:rPr>
          <w:t>la Ley Orgánica</w:t>
        </w:r>
      </w:smartTag>
      <w:r w:rsidRPr="009258D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57FB58D" w14:textId="77777777" w:rsidR="00076F07" w:rsidRPr="009258D2" w:rsidRDefault="00076F07" w:rsidP="00076F07">
      <w:pPr>
        <w:pStyle w:val="Textoindependiente"/>
        <w:ind w:firstLine="708"/>
        <w:rPr>
          <w:rFonts w:ascii="Abadi" w:hAnsi="Abadi"/>
          <w:b w:val="0"/>
          <w:bCs w:val="0"/>
          <w:sz w:val="21"/>
          <w:szCs w:val="21"/>
        </w:rPr>
      </w:pPr>
    </w:p>
    <w:p w14:paraId="1F64CBA6"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8E56895" w14:textId="77777777" w:rsidR="00076F07" w:rsidRDefault="00076F07" w:rsidP="00076F07">
      <w:pPr>
        <w:ind w:firstLine="708"/>
        <w:jc w:val="both"/>
        <w:rPr>
          <w:rFonts w:ascii="Abadi" w:hAnsi="Abadi" w:cs="Arial"/>
          <w:b/>
          <w:bCs/>
          <w:sz w:val="21"/>
          <w:szCs w:val="21"/>
          <w:lang w:val="es-MX" w:eastAsia="x-none"/>
        </w:rPr>
      </w:pPr>
    </w:p>
    <w:p w14:paraId="13EA0EB3" w14:textId="77777777" w:rsidR="00076F07" w:rsidRPr="00FC12D2" w:rsidRDefault="00076F07" w:rsidP="00076F07">
      <w:pPr>
        <w:ind w:firstLine="708"/>
        <w:jc w:val="both"/>
        <w:rPr>
          <w:rFonts w:ascii="Abadi" w:hAnsi="Abadi" w:cs="Arial"/>
          <w:b/>
          <w:bCs/>
          <w:sz w:val="21"/>
          <w:szCs w:val="21"/>
          <w:lang w:val="es-MX" w:eastAsia="x-none"/>
        </w:rPr>
      </w:pPr>
      <w:r w:rsidRPr="00FC12D2">
        <w:rPr>
          <w:rFonts w:ascii="Abadi" w:hAnsi="Abadi" w:cs="Arial"/>
          <w:b/>
          <w:bCs/>
          <w:sz w:val="21"/>
          <w:szCs w:val="21"/>
          <w:lang w:val="es-MX" w:eastAsia="x-none"/>
        </w:rPr>
        <w:t>II. Antecedentes:</w:t>
      </w:r>
    </w:p>
    <w:p w14:paraId="1542922A" w14:textId="77777777" w:rsidR="00076F07" w:rsidRPr="00FC12D2" w:rsidRDefault="00076F07" w:rsidP="00076F07">
      <w:pPr>
        <w:ind w:firstLine="708"/>
        <w:jc w:val="both"/>
        <w:rPr>
          <w:rFonts w:ascii="Abadi" w:hAnsi="Abadi" w:cs="Arial"/>
          <w:sz w:val="21"/>
          <w:szCs w:val="21"/>
          <w:lang w:val="es-MX" w:eastAsia="x-none"/>
        </w:rPr>
      </w:pPr>
    </w:p>
    <w:p w14:paraId="35EE2462"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FC12D2">
          <w:rPr>
            <w:rFonts w:ascii="Abadi" w:hAnsi="Abadi" w:cs="Arial"/>
            <w:sz w:val="21"/>
            <w:szCs w:val="21"/>
            <w:lang w:val="es-MX" w:eastAsia="x-none"/>
          </w:rPr>
          <w:t>la Constitución Política</w:t>
        </w:r>
      </w:smartTag>
      <w:r w:rsidRPr="00FC12D2">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BF69640" w14:textId="77777777" w:rsidR="00076F07" w:rsidRPr="009258D2" w:rsidRDefault="00076F07" w:rsidP="00076F07">
      <w:pPr>
        <w:ind w:firstLine="708"/>
        <w:jc w:val="both"/>
        <w:rPr>
          <w:rFonts w:ascii="Abadi" w:hAnsi="Abadi" w:cs="Arial"/>
          <w:sz w:val="21"/>
          <w:szCs w:val="21"/>
          <w:lang w:val="es-MX" w:eastAsia="x-none"/>
        </w:rPr>
      </w:pPr>
    </w:p>
    <w:p w14:paraId="0DEED624"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E99E218" w14:textId="77777777" w:rsidR="00076F07" w:rsidRPr="009258D2" w:rsidRDefault="00076F07" w:rsidP="00076F07">
      <w:pPr>
        <w:pStyle w:val="Textoindependiente"/>
        <w:ind w:firstLine="708"/>
        <w:rPr>
          <w:rFonts w:ascii="Abadi" w:hAnsi="Abadi"/>
          <w:b w:val="0"/>
          <w:bCs w:val="0"/>
          <w:sz w:val="21"/>
          <w:szCs w:val="21"/>
        </w:rPr>
      </w:pPr>
    </w:p>
    <w:p w14:paraId="10838358"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0528B88" w14:textId="77777777" w:rsidR="00076F07" w:rsidRPr="00FC12D2" w:rsidRDefault="00076F07" w:rsidP="00076F07">
      <w:pPr>
        <w:pStyle w:val="Textoindependiente"/>
        <w:ind w:firstLine="708"/>
        <w:rPr>
          <w:rFonts w:ascii="Abadi" w:hAnsi="Abadi"/>
          <w:sz w:val="21"/>
          <w:szCs w:val="21"/>
        </w:rPr>
      </w:pPr>
    </w:p>
    <w:p w14:paraId="19BF9B9A"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6C12973" w14:textId="77777777" w:rsidR="00076F07" w:rsidRPr="009258D2" w:rsidRDefault="00076F07" w:rsidP="00076F07">
      <w:pPr>
        <w:pStyle w:val="Textoindependiente"/>
        <w:ind w:firstLine="708"/>
        <w:rPr>
          <w:rFonts w:ascii="Abadi" w:hAnsi="Abadi"/>
          <w:b w:val="0"/>
          <w:bCs w:val="0"/>
          <w:sz w:val="21"/>
          <w:szCs w:val="21"/>
        </w:rPr>
      </w:pPr>
    </w:p>
    <w:p w14:paraId="1B601E0F"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516DF3E6" w14:textId="77777777" w:rsidR="00076F07" w:rsidRPr="009258D2" w:rsidRDefault="00076F07" w:rsidP="00076F07">
      <w:pPr>
        <w:ind w:firstLine="708"/>
        <w:jc w:val="both"/>
        <w:rPr>
          <w:rFonts w:ascii="Abadi" w:hAnsi="Abadi" w:cs="Arial"/>
          <w:sz w:val="21"/>
          <w:szCs w:val="21"/>
          <w:lang w:val="es-MX" w:eastAsia="x-none"/>
        </w:rPr>
      </w:pPr>
    </w:p>
    <w:p w14:paraId="02329F37" w14:textId="77777777" w:rsidR="00076F07" w:rsidRPr="009258D2" w:rsidRDefault="00076F07" w:rsidP="00076F07">
      <w:pPr>
        <w:ind w:firstLine="708"/>
        <w:jc w:val="both"/>
        <w:rPr>
          <w:rFonts w:ascii="Abadi" w:hAnsi="Abadi" w:cs="Arial"/>
          <w:sz w:val="21"/>
          <w:szCs w:val="21"/>
          <w:lang w:val="es-MX" w:eastAsia="x-none"/>
        </w:rPr>
      </w:pPr>
      <w:r w:rsidRPr="009258D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258D2">
          <w:rPr>
            <w:rFonts w:ascii="Abadi" w:hAnsi="Abadi" w:cs="Arial"/>
            <w:sz w:val="21"/>
            <w:szCs w:val="21"/>
            <w:lang w:val="es-MX" w:eastAsia="x-none"/>
          </w:rPr>
          <w:t>la Ley Orgánica</w:t>
        </w:r>
      </w:smartTag>
      <w:r w:rsidRPr="009258D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6B12C098" w14:textId="77777777" w:rsidR="00076F07" w:rsidRPr="009258D2" w:rsidRDefault="00076F07" w:rsidP="00076F07">
      <w:pPr>
        <w:ind w:firstLine="708"/>
        <w:jc w:val="both"/>
        <w:rPr>
          <w:rFonts w:ascii="Abadi" w:hAnsi="Abadi" w:cs="Arial"/>
          <w:sz w:val="21"/>
          <w:szCs w:val="21"/>
          <w:lang w:val="es-MX" w:eastAsia="x-none"/>
        </w:rPr>
      </w:pPr>
    </w:p>
    <w:p w14:paraId="5F45865B" w14:textId="77777777" w:rsidR="00076F07" w:rsidRPr="009258D2" w:rsidRDefault="00076F07" w:rsidP="00076F07">
      <w:pPr>
        <w:ind w:right="60" w:firstLine="709"/>
        <w:jc w:val="both"/>
        <w:rPr>
          <w:rFonts w:ascii="Abadi" w:hAnsi="Abadi" w:cs="Arial"/>
          <w:sz w:val="21"/>
          <w:szCs w:val="21"/>
          <w:lang w:val="es-MX" w:eastAsia="x-none"/>
        </w:rPr>
      </w:pPr>
      <w:r w:rsidRPr="009258D2">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09404221" w14:textId="77777777" w:rsidR="00076F07" w:rsidRPr="009258D2" w:rsidRDefault="00076F07" w:rsidP="00076F07">
      <w:pPr>
        <w:ind w:right="58" w:firstLine="709"/>
        <w:jc w:val="both"/>
        <w:rPr>
          <w:rFonts w:ascii="Abadi" w:eastAsia="DejaVu Sans" w:hAnsi="Abadi" w:cs="Tahoma"/>
          <w:iCs/>
          <w:kern w:val="1"/>
          <w:sz w:val="21"/>
          <w:szCs w:val="21"/>
          <w:lang w:eastAsia="ar-SA"/>
        </w:rPr>
      </w:pPr>
    </w:p>
    <w:p w14:paraId="0135A324" w14:textId="77777777" w:rsidR="00076F07" w:rsidRPr="009258D2" w:rsidRDefault="00076F07" w:rsidP="00076F07">
      <w:pPr>
        <w:ind w:firstLine="708"/>
        <w:jc w:val="both"/>
        <w:rPr>
          <w:rFonts w:ascii="Abadi" w:hAnsi="Abadi" w:cs="Arial"/>
          <w:sz w:val="21"/>
          <w:szCs w:val="21"/>
          <w:lang w:val="es-MX" w:eastAsia="x-none"/>
        </w:rPr>
      </w:pPr>
      <w:r w:rsidRPr="009258D2">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01C04392" w14:textId="77777777" w:rsidR="00076F07" w:rsidRPr="009258D2" w:rsidRDefault="00076F07" w:rsidP="00076F07">
      <w:pPr>
        <w:pStyle w:val="Textoindependiente"/>
        <w:ind w:firstLine="708"/>
        <w:rPr>
          <w:rFonts w:ascii="Abadi" w:hAnsi="Abadi"/>
          <w:b w:val="0"/>
          <w:bCs w:val="0"/>
          <w:sz w:val="21"/>
          <w:szCs w:val="21"/>
        </w:rPr>
      </w:pPr>
    </w:p>
    <w:p w14:paraId="47ECE0F3"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657EB65B" w14:textId="77777777" w:rsidR="00076F07" w:rsidRPr="009258D2" w:rsidRDefault="00076F07" w:rsidP="00076F07">
      <w:pPr>
        <w:pStyle w:val="Textoindependiente"/>
        <w:ind w:firstLine="708"/>
        <w:rPr>
          <w:rFonts w:ascii="Abadi" w:hAnsi="Abadi"/>
          <w:b w:val="0"/>
          <w:bCs w:val="0"/>
          <w:sz w:val="21"/>
          <w:szCs w:val="21"/>
        </w:rPr>
      </w:pPr>
    </w:p>
    <w:p w14:paraId="4926BE1D" w14:textId="77777777" w:rsidR="00076F07" w:rsidRPr="00FC12D2" w:rsidRDefault="00076F07" w:rsidP="00076F07">
      <w:pPr>
        <w:ind w:right="60" w:firstLine="709"/>
        <w:jc w:val="both"/>
        <w:rPr>
          <w:rFonts w:ascii="Abadi" w:hAnsi="Abadi" w:cs="Arial"/>
          <w:sz w:val="21"/>
          <w:szCs w:val="21"/>
          <w:lang w:val="es-MX" w:eastAsia="x-none"/>
        </w:rPr>
      </w:pPr>
      <w:r w:rsidRPr="00FC12D2">
        <w:rPr>
          <w:rFonts w:ascii="Abadi" w:hAnsi="Abadi" w:cs="Arial"/>
          <w:sz w:val="21"/>
          <w:szCs w:val="21"/>
          <w:lang w:val="es-MX" w:eastAsia="x-none"/>
        </w:rPr>
        <w:t xml:space="preserve">Por su parte, el artículo 10 de los Lineamientos Generales para la Integración de la Cuenta Pública del Estado y los </w:t>
      </w:r>
      <w:r w:rsidRPr="00FC12D2">
        <w:rPr>
          <w:rFonts w:ascii="Abadi" w:hAnsi="Abadi" w:cs="Arial"/>
          <w:sz w:val="21"/>
          <w:szCs w:val="21"/>
          <w:lang w:val="es-MX" w:eastAsia="x-none"/>
        </w:rPr>
        <w:t>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E583E71" w14:textId="77777777" w:rsidR="00076F07" w:rsidRPr="009258D2" w:rsidRDefault="00076F07" w:rsidP="00076F07">
      <w:pPr>
        <w:pStyle w:val="Textoindependiente"/>
        <w:ind w:firstLine="708"/>
        <w:rPr>
          <w:rFonts w:ascii="Abadi" w:hAnsi="Abadi"/>
          <w:b w:val="0"/>
          <w:bCs w:val="0"/>
          <w:sz w:val="21"/>
          <w:szCs w:val="21"/>
        </w:rPr>
      </w:pPr>
    </w:p>
    <w:p w14:paraId="4A606212"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E9F3177" w14:textId="77777777" w:rsidR="00076F07" w:rsidRPr="00FC12D2" w:rsidRDefault="00076F07" w:rsidP="00076F07">
      <w:pPr>
        <w:pStyle w:val="Textoindependiente"/>
        <w:ind w:firstLine="708"/>
        <w:rPr>
          <w:rFonts w:ascii="Abadi" w:hAnsi="Abadi"/>
          <w:sz w:val="21"/>
          <w:szCs w:val="21"/>
        </w:rPr>
      </w:pPr>
    </w:p>
    <w:p w14:paraId="6C3995C4" w14:textId="77777777" w:rsidR="00076F07" w:rsidRPr="00FC12D2" w:rsidRDefault="00076F07" w:rsidP="00076F07">
      <w:pPr>
        <w:tabs>
          <w:tab w:val="left" w:pos="709"/>
        </w:tabs>
        <w:jc w:val="both"/>
        <w:rPr>
          <w:rFonts w:ascii="Abadi" w:hAnsi="Abadi" w:cs="Arial"/>
          <w:sz w:val="21"/>
          <w:szCs w:val="21"/>
          <w:lang w:val="es-MX" w:eastAsia="x-none"/>
        </w:rPr>
      </w:pPr>
      <w:r w:rsidRPr="00FC12D2">
        <w:rPr>
          <w:rFonts w:ascii="Abadi" w:hAnsi="Abadi" w:cs="Arial"/>
          <w:sz w:val="21"/>
          <w:szCs w:val="21"/>
        </w:rPr>
        <w:tab/>
        <w:t xml:space="preserve">El citado artículo también refiere </w:t>
      </w:r>
      <w:r w:rsidRPr="00FC12D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8338400" w14:textId="77777777" w:rsidR="00076F07" w:rsidRPr="00FC12D2" w:rsidRDefault="00076F07" w:rsidP="00076F07">
      <w:pPr>
        <w:tabs>
          <w:tab w:val="left" w:pos="709"/>
        </w:tabs>
        <w:jc w:val="both"/>
        <w:rPr>
          <w:rFonts w:ascii="Abadi" w:hAnsi="Abadi" w:cs="Arial"/>
          <w:sz w:val="21"/>
          <w:szCs w:val="21"/>
          <w:lang w:val="es-MX" w:eastAsia="x-none"/>
        </w:rPr>
      </w:pPr>
      <w:r w:rsidRPr="00FC12D2">
        <w:rPr>
          <w:rFonts w:ascii="Abadi" w:hAnsi="Abadi" w:cs="Arial"/>
          <w:sz w:val="21"/>
          <w:szCs w:val="21"/>
          <w:lang w:val="es-MX" w:eastAsia="x-none"/>
        </w:rPr>
        <w:tab/>
        <w:t xml:space="preserve">En términos del numeral 23 de la </w:t>
      </w:r>
      <w:r w:rsidRPr="00FC12D2">
        <w:rPr>
          <w:rFonts w:ascii="Abadi" w:hAnsi="Abadi" w:cs="Arial"/>
          <w:sz w:val="21"/>
          <w:szCs w:val="21"/>
        </w:rPr>
        <w:t>Ley de Fiscalización Superior del Estado de Guanajuato, p</w:t>
      </w:r>
      <w:r w:rsidRPr="00FC12D2">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B5BE151" w14:textId="77777777" w:rsidR="00076F07" w:rsidRPr="00FC12D2" w:rsidRDefault="00076F07" w:rsidP="00076F07">
      <w:pPr>
        <w:tabs>
          <w:tab w:val="left" w:pos="709"/>
        </w:tabs>
        <w:jc w:val="both"/>
        <w:rPr>
          <w:rFonts w:ascii="Abadi" w:hAnsi="Abadi" w:cs="Arial"/>
          <w:sz w:val="21"/>
          <w:szCs w:val="21"/>
          <w:lang w:val="es-MX" w:eastAsia="x-none"/>
        </w:rPr>
      </w:pPr>
    </w:p>
    <w:p w14:paraId="3EDFE13A" w14:textId="77777777" w:rsidR="00076F07" w:rsidRPr="00FC12D2" w:rsidRDefault="00076F07" w:rsidP="00076F07">
      <w:pPr>
        <w:pStyle w:val="Texto"/>
        <w:spacing w:after="0" w:line="240" w:lineRule="auto"/>
        <w:ind w:firstLine="708"/>
        <w:rPr>
          <w:rFonts w:ascii="Abadi" w:hAnsi="Abadi" w:cs="Arial"/>
          <w:sz w:val="21"/>
          <w:szCs w:val="21"/>
          <w:lang w:val="es-MX"/>
        </w:rPr>
      </w:pPr>
      <w:r w:rsidRPr="00FC12D2">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w:t>
      </w:r>
      <w:r w:rsidRPr="00FC12D2">
        <w:rPr>
          <w:rFonts w:ascii="Abadi" w:hAnsi="Abadi" w:cs="Arial"/>
          <w:sz w:val="21"/>
          <w:szCs w:val="21"/>
          <w:lang w:val="es-MX"/>
        </w:rPr>
        <w:lastRenderedPageBreak/>
        <w:t xml:space="preserve">la base de devengado y, adicionalmente, se presentarán en flujo de efectivo. </w:t>
      </w:r>
    </w:p>
    <w:p w14:paraId="2DD05134" w14:textId="77777777" w:rsidR="00076F07" w:rsidRPr="00FC12D2" w:rsidRDefault="00076F07" w:rsidP="00076F07">
      <w:pPr>
        <w:pStyle w:val="Texto"/>
        <w:spacing w:after="0" w:line="240" w:lineRule="auto"/>
        <w:ind w:firstLine="708"/>
        <w:rPr>
          <w:rFonts w:ascii="Abadi" w:hAnsi="Abadi" w:cs="Arial"/>
          <w:sz w:val="21"/>
          <w:szCs w:val="21"/>
          <w:lang w:val="es-MX"/>
        </w:rPr>
      </w:pPr>
    </w:p>
    <w:p w14:paraId="2BC7F748" w14:textId="77777777" w:rsidR="00076F07" w:rsidRPr="00FC12D2" w:rsidRDefault="00076F07" w:rsidP="00076F07">
      <w:pPr>
        <w:pStyle w:val="Texto"/>
        <w:spacing w:after="0" w:line="240" w:lineRule="auto"/>
        <w:ind w:firstLine="708"/>
        <w:rPr>
          <w:rFonts w:ascii="Abadi" w:hAnsi="Abadi" w:cs="Arial"/>
          <w:sz w:val="21"/>
          <w:szCs w:val="21"/>
          <w:lang w:val="es-MX"/>
        </w:rPr>
      </w:pPr>
      <w:r w:rsidRPr="00FC12D2">
        <w:rPr>
          <w:rFonts w:ascii="Abadi" w:hAnsi="Abadi" w:cs="Arial"/>
          <w:sz w:val="21"/>
          <w:szCs w:val="21"/>
          <w:lang w:val="es-MX"/>
        </w:rPr>
        <w:t xml:space="preserve">En cumplimiento a los citados preceptos, en su oportunidad se remitió a este Congreso del Estado, la cuenta pública municipal de Silao de la Victoria, </w:t>
      </w:r>
      <w:proofErr w:type="spellStart"/>
      <w:r w:rsidRPr="00FC12D2">
        <w:rPr>
          <w:rFonts w:ascii="Abadi" w:hAnsi="Abadi" w:cs="Arial"/>
          <w:sz w:val="21"/>
          <w:szCs w:val="21"/>
          <w:lang w:val="es-MX"/>
        </w:rPr>
        <w:t>Gto</w:t>
      </w:r>
      <w:proofErr w:type="spellEnd"/>
      <w:r w:rsidRPr="00FC12D2">
        <w:rPr>
          <w:rFonts w:ascii="Abadi" w:hAnsi="Abadi" w:cs="Arial"/>
          <w:sz w:val="21"/>
          <w:szCs w:val="21"/>
          <w:lang w:val="es-MX"/>
        </w:rPr>
        <w:t>., correspondiente al ejercicio fiscal del año 2021, turnándose a la Auditoría Superior del Estado para su revisión.</w:t>
      </w:r>
    </w:p>
    <w:p w14:paraId="31665242" w14:textId="77777777" w:rsidR="00076F07" w:rsidRPr="00FC12D2" w:rsidRDefault="00076F07" w:rsidP="00076F07">
      <w:pPr>
        <w:pStyle w:val="Textoindependiente"/>
        <w:ind w:firstLine="708"/>
        <w:rPr>
          <w:rFonts w:ascii="Abadi" w:hAnsi="Abadi"/>
          <w:sz w:val="21"/>
          <w:szCs w:val="21"/>
        </w:rPr>
      </w:pPr>
    </w:p>
    <w:p w14:paraId="3D6E844B"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53D614AD" w14:textId="77777777" w:rsidR="00076F07" w:rsidRPr="009258D2" w:rsidRDefault="00076F07" w:rsidP="00076F07">
      <w:pPr>
        <w:pStyle w:val="Textoindependiente"/>
        <w:ind w:firstLine="708"/>
        <w:rPr>
          <w:rFonts w:ascii="Abadi" w:hAnsi="Abadi"/>
          <w:b w:val="0"/>
          <w:bCs w:val="0"/>
          <w:sz w:val="21"/>
          <w:szCs w:val="21"/>
        </w:rPr>
      </w:pPr>
    </w:p>
    <w:p w14:paraId="56E40C1C"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correspondiente al ejercicio fiscal del año 2021.</w:t>
      </w:r>
    </w:p>
    <w:p w14:paraId="05B17128" w14:textId="77777777" w:rsidR="00076F07" w:rsidRPr="00FC12D2" w:rsidRDefault="00076F07" w:rsidP="00076F07">
      <w:pPr>
        <w:ind w:firstLine="708"/>
        <w:jc w:val="both"/>
        <w:rPr>
          <w:rFonts w:ascii="Abadi" w:hAnsi="Abadi" w:cs="Arial"/>
          <w:sz w:val="21"/>
          <w:szCs w:val="21"/>
          <w:lang w:val="es-MX" w:eastAsia="x-none"/>
        </w:rPr>
      </w:pPr>
    </w:p>
    <w:p w14:paraId="034EBCFD"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FC12D2">
        <w:rPr>
          <w:rFonts w:ascii="Abadi" w:hAnsi="Abadi" w:cs="Arial"/>
          <w:bCs/>
          <w:sz w:val="21"/>
          <w:szCs w:val="21"/>
          <w:lang w:val="es-MX" w:eastAsia="x-none"/>
        </w:rPr>
        <w:t>el 2 de marzo de 2023,</w:t>
      </w:r>
      <w:r w:rsidRPr="00FC12D2">
        <w:rPr>
          <w:rFonts w:ascii="Abadi" w:hAnsi="Abadi" w:cs="Arial"/>
          <w:sz w:val="21"/>
          <w:szCs w:val="21"/>
          <w:lang w:val="es-MX" w:eastAsia="x-none"/>
        </w:rPr>
        <w:t xml:space="preserve"> para su estudio y dictamen,</w:t>
      </w:r>
      <w:r w:rsidRPr="00FC12D2">
        <w:rPr>
          <w:rFonts w:ascii="Abadi" w:hAnsi="Abadi" w:cs="Arial"/>
          <w:b/>
          <w:sz w:val="21"/>
          <w:szCs w:val="21"/>
          <w:lang w:val="es-MX" w:eastAsia="x-none"/>
        </w:rPr>
        <w:t xml:space="preserve"> </w:t>
      </w:r>
      <w:r w:rsidRPr="00FC12D2">
        <w:rPr>
          <w:rFonts w:ascii="Abadi" w:hAnsi="Abadi" w:cs="Arial"/>
          <w:sz w:val="21"/>
          <w:szCs w:val="21"/>
          <w:lang w:val="es-MX" w:eastAsia="x-none"/>
        </w:rPr>
        <w:t>siendo radicado el 7 de marzo del año en curso.</w:t>
      </w:r>
    </w:p>
    <w:p w14:paraId="7EB4E4E3" w14:textId="77777777" w:rsidR="00076F07" w:rsidRPr="00FC12D2" w:rsidRDefault="00076F07" w:rsidP="00076F07">
      <w:pPr>
        <w:ind w:firstLine="708"/>
        <w:jc w:val="both"/>
        <w:rPr>
          <w:rFonts w:ascii="Abadi" w:hAnsi="Abadi" w:cs="Arial"/>
          <w:sz w:val="21"/>
          <w:szCs w:val="21"/>
          <w:lang w:val="es-MX" w:eastAsia="x-none"/>
        </w:rPr>
      </w:pPr>
    </w:p>
    <w:p w14:paraId="7CBDD465" w14:textId="77777777" w:rsidR="00076F07" w:rsidRPr="00FC12D2" w:rsidRDefault="00076F07" w:rsidP="00076F07">
      <w:pPr>
        <w:ind w:firstLine="708"/>
        <w:jc w:val="both"/>
        <w:rPr>
          <w:rFonts w:ascii="Abadi" w:hAnsi="Abadi" w:cs="Arial"/>
          <w:sz w:val="21"/>
          <w:szCs w:val="21"/>
          <w:lang w:val="es-MX" w:eastAsia="x-none"/>
        </w:rPr>
      </w:pPr>
    </w:p>
    <w:p w14:paraId="198A283F" w14:textId="77777777" w:rsidR="00076F07" w:rsidRPr="009258D2" w:rsidRDefault="00076F07" w:rsidP="00076F07">
      <w:pPr>
        <w:pStyle w:val="Textoindependiente"/>
        <w:ind w:firstLine="708"/>
        <w:rPr>
          <w:rFonts w:ascii="Abadi" w:hAnsi="Abadi"/>
          <w:sz w:val="21"/>
          <w:szCs w:val="21"/>
        </w:rPr>
      </w:pPr>
      <w:r w:rsidRPr="009258D2">
        <w:rPr>
          <w:rFonts w:ascii="Abadi" w:hAnsi="Abadi"/>
          <w:sz w:val="21"/>
          <w:szCs w:val="21"/>
        </w:rPr>
        <w:t>III. Procedimiento de Revisión:</w:t>
      </w:r>
    </w:p>
    <w:p w14:paraId="6436AE9C" w14:textId="77777777" w:rsidR="00076F07" w:rsidRPr="00FC12D2" w:rsidRDefault="00076F07" w:rsidP="00076F07">
      <w:pPr>
        <w:pStyle w:val="Textoindependiente"/>
        <w:ind w:firstLine="708"/>
        <w:rPr>
          <w:rFonts w:ascii="Abadi" w:hAnsi="Abadi"/>
          <w:sz w:val="21"/>
          <w:szCs w:val="21"/>
        </w:rPr>
      </w:pPr>
    </w:p>
    <w:p w14:paraId="20D57994"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La revisión de la cuenta pública municipal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8A5F39D" w14:textId="77777777" w:rsidR="00076F07" w:rsidRPr="009258D2" w:rsidRDefault="00076F07" w:rsidP="00076F07">
      <w:pPr>
        <w:pStyle w:val="Textoindependiente"/>
        <w:ind w:firstLine="708"/>
        <w:rPr>
          <w:rFonts w:ascii="Abadi" w:hAnsi="Abadi"/>
          <w:b w:val="0"/>
          <w:bCs w:val="0"/>
          <w:sz w:val="21"/>
          <w:szCs w:val="21"/>
        </w:rPr>
      </w:pPr>
    </w:p>
    <w:p w14:paraId="517FA780"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Asimismo, dentro del objetivo de la revisión también se encuentra el de comprobar que la gestión financiera del sujeto fiscalizado fue realizada con transparencia y </w:t>
      </w:r>
      <w:r w:rsidRPr="009258D2">
        <w:rPr>
          <w:rFonts w:ascii="Abadi" w:hAnsi="Abadi"/>
          <w:b w:val="0"/>
          <w:bCs w:val="0"/>
          <w:sz w:val="21"/>
          <w:szCs w:val="21"/>
        </w:rPr>
        <w:t>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949AEB2" w14:textId="77777777" w:rsidR="00076F07" w:rsidRPr="009258D2" w:rsidRDefault="00076F07" w:rsidP="00076F07">
      <w:pPr>
        <w:pStyle w:val="Textoindependiente"/>
        <w:ind w:firstLine="708"/>
        <w:rPr>
          <w:rFonts w:ascii="Abadi" w:hAnsi="Abadi"/>
          <w:b w:val="0"/>
          <w:bCs w:val="0"/>
          <w:sz w:val="21"/>
          <w:szCs w:val="21"/>
        </w:rPr>
      </w:pPr>
    </w:p>
    <w:p w14:paraId="0ABFAA4D"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5F4F1F5" w14:textId="77777777" w:rsidR="00076F07" w:rsidRPr="009258D2" w:rsidRDefault="00076F07" w:rsidP="00076F07">
      <w:pPr>
        <w:pStyle w:val="Textoindependiente"/>
        <w:ind w:firstLine="708"/>
        <w:rPr>
          <w:rFonts w:ascii="Abadi" w:hAnsi="Abadi"/>
          <w:b w:val="0"/>
          <w:bCs w:val="0"/>
          <w:sz w:val="21"/>
          <w:szCs w:val="21"/>
        </w:rPr>
      </w:pPr>
    </w:p>
    <w:p w14:paraId="50F347BA" w14:textId="77777777" w:rsidR="00076F07" w:rsidRPr="00FC12D2" w:rsidRDefault="00076F07" w:rsidP="00076F07">
      <w:pPr>
        <w:pStyle w:val="Textoindependiente"/>
        <w:ind w:firstLine="708"/>
        <w:rPr>
          <w:rFonts w:ascii="Abadi" w:hAnsi="Abadi"/>
          <w:sz w:val="21"/>
          <w:szCs w:val="21"/>
        </w:rPr>
      </w:pPr>
    </w:p>
    <w:p w14:paraId="20139100" w14:textId="77777777" w:rsidR="00076F07" w:rsidRPr="00FC12D2" w:rsidRDefault="00076F07" w:rsidP="00076F07">
      <w:pPr>
        <w:pStyle w:val="Textoindependiente"/>
        <w:ind w:firstLine="708"/>
        <w:rPr>
          <w:rFonts w:ascii="Abadi" w:hAnsi="Abadi"/>
          <w:sz w:val="21"/>
          <w:szCs w:val="21"/>
        </w:rPr>
      </w:pPr>
    </w:p>
    <w:p w14:paraId="29AE6C17" w14:textId="77777777" w:rsidR="00076F07" w:rsidRPr="00FC12D2" w:rsidRDefault="00076F07" w:rsidP="00076F07">
      <w:pPr>
        <w:pStyle w:val="Textoindependiente"/>
        <w:ind w:firstLine="708"/>
        <w:rPr>
          <w:rFonts w:ascii="Abadi" w:hAnsi="Abadi"/>
          <w:sz w:val="21"/>
          <w:szCs w:val="21"/>
        </w:rPr>
      </w:pPr>
    </w:p>
    <w:p w14:paraId="237585F3" w14:textId="77777777" w:rsidR="00076F07" w:rsidRPr="00FC12D2" w:rsidRDefault="00076F07" w:rsidP="00076F07">
      <w:pPr>
        <w:pStyle w:val="Textoindependiente"/>
        <w:ind w:firstLine="708"/>
        <w:rPr>
          <w:rFonts w:ascii="Abadi" w:hAnsi="Abadi"/>
          <w:sz w:val="21"/>
          <w:szCs w:val="21"/>
        </w:rPr>
      </w:pPr>
    </w:p>
    <w:p w14:paraId="6EA07BB7" w14:textId="77777777" w:rsidR="00076F07" w:rsidRPr="00FC12D2" w:rsidRDefault="00076F07" w:rsidP="00076F07">
      <w:pPr>
        <w:pStyle w:val="Textoindependiente"/>
        <w:ind w:firstLine="708"/>
        <w:rPr>
          <w:rFonts w:ascii="Abadi" w:hAnsi="Abadi"/>
          <w:sz w:val="21"/>
          <w:szCs w:val="21"/>
        </w:rPr>
      </w:pPr>
    </w:p>
    <w:p w14:paraId="1DB6FD6A" w14:textId="77777777" w:rsidR="00076F07" w:rsidRPr="00FC12D2" w:rsidRDefault="00076F07" w:rsidP="00076F07">
      <w:pPr>
        <w:pStyle w:val="Textoindependiente"/>
        <w:ind w:firstLine="708"/>
        <w:rPr>
          <w:rFonts w:ascii="Abadi" w:hAnsi="Abadi"/>
          <w:sz w:val="21"/>
          <w:szCs w:val="21"/>
        </w:rPr>
      </w:pPr>
    </w:p>
    <w:p w14:paraId="10248E92"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w:t>
      </w:r>
      <w:r w:rsidRPr="009258D2">
        <w:rPr>
          <w:rFonts w:ascii="Abadi" w:hAnsi="Abadi"/>
          <w:b w:val="0"/>
          <w:bCs w:val="0"/>
          <w:sz w:val="21"/>
          <w:szCs w:val="21"/>
        </w:rPr>
        <w:lastRenderedPageBreak/>
        <w:t>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657E4051" w14:textId="77777777" w:rsidR="00076F07" w:rsidRPr="009258D2" w:rsidRDefault="00076F07" w:rsidP="00076F07">
      <w:pPr>
        <w:pStyle w:val="Textoindependiente"/>
        <w:ind w:firstLine="708"/>
        <w:rPr>
          <w:rFonts w:ascii="Abadi" w:hAnsi="Abadi"/>
          <w:b w:val="0"/>
          <w:bCs w:val="0"/>
          <w:sz w:val="21"/>
          <w:szCs w:val="21"/>
        </w:rPr>
      </w:pPr>
    </w:p>
    <w:p w14:paraId="377655FE"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El informe de resultados establece que se practicó la revisión de la cuenta pública respecto de las operaciones realizadas por la administración pública municipal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correspondientes al ejercicio fiscal 2021, en lo referente a los apartados de ingresos y egresos.</w:t>
      </w:r>
    </w:p>
    <w:p w14:paraId="51CDC0B2" w14:textId="77777777" w:rsidR="00076F07" w:rsidRPr="00FC12D2" w:rsidRDefault="00076F07" w:rsidP="00076F07">
      <w:pPr>
        <w:pStyle w:val="Textoindependiente"/>
        <w:ind w:firstLine="705"/>
        <w:rPr>
          <w:rFonts w:ascii="Abadi" w:hAnsi="Abadi"/>
          <w:sz w:val="21"/>
          <w:szCs w:val="21"/>
        </w:rPr>
      </w:pPr>
    </w:p>
    <w:p w14:paraId="5D665B2F" w14:textId="77777777" w:rsidR="00076F07" w:rsidRPr="00FC12D2" w:rsidRDefault="00076F07" w:rsidP="00076F07">
      <w:pPr>
        <w:autoSpaceDE w:val="0"/>
        <w:autoSpaceDN w:val="0"/>
        <w:adjustRightInd w:val="0"/>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AC4F0D8" w14:textId="77777777" w:rsidR="00076F07" w:rsidRPr="00FC12D2" w:rsidRDefault="00076F07" w:rsidP="00076F07">
      <w:pPr>
        <w:autoSpaceDE w:val="0"/>
        <w:autoSpaceDN w:val="0"/>
        <w:adjustRightInd w:val="0"/>
        <w:ind w:firstLine="708"/>
        <w:jc w:val="both"/>
        <w:rPr>
          <w:rFonts w:ascii="Abadi" w:hAnsi="Abadi" w:cs="Arial"/>
          <w:sz w:val="21"/>
          <w:szCs w:val="21"/>
          <w:lang w:val="es-MX" w:eastAsia="x-none"/>
        </w:rPr>
      </w:pPr>
    </w:p>
    <w:p w14:paraId="4D2ECCE0" w14:textId="77777777" w:rsidR="00076F07" w:rsidRPr="00FC12D2" w:rsidRDefault="00076F07" w:rsidP="00076F07">
      <w:pPr>
        <w:ind w:firstLine="708"/>
        <w:jc w:val="both"/>
        <w:rPr>
          <w:rFonts w:ascii="Abadi" w:hAnsi="Abadi" w:cs="Arial"/>
          <w:sz w:val="21"/>
          <w:szCs w:val="21"/>
          <w:lang w:val="es-MX" w:eastAsia="x-none"/>
        </w:rPr>
      </w:pPr>
      <w:r w:rsidRPr="00FC12D2">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FC12D2">
        <w:rPr>
          <w:rFonts w:ascii="Abadi" w:hAnsi="Abadi" w:cs="Arial"/>
          <w:sz w:val="21"/>
          <w:szCs w:val="21"/>
          <w:lang w:val="es-MX" w:eastAsia="x-none"/>
        </w:rPr>
        <w:t>fiscalizado</w:t>
      </w:r>
      <w:proofErr w:type="spellEnd"/>
      <w:r w:rsidRPr="00FC12D2">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17769E72" w14:textId="77777777" w:rsidR="00076F07" w:rsidRPr="00FC12D2" w:rsidRDefault="00076F07" w:rsidP="00076F07">
      <w:pPr>
        <w:ind w:firstLine="708"/>
        <w:jc w:val="both"/>
        <w:rPr>
          <w:rFonts w:ascii="Abadi" w:hAnsi="Abadi" w:cs="Arial"/>
          <w:sz w:val="21"/>
          <w:szCs w:val="21"/>
          <w:lang w:val="es-MX" w:eastAsia="x-none"/>
        </w:rPr>
      </w:pPr>
    </w:p>
    <w:p w14:paraId="3CA93290"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El 30 de junio de 2022 se notificó al presidente municipal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la orden de inicio del procedimiento de revisión de la cuenta pública.</w:t>
      </w:r>
    </w:p>
    <w:p w14:paraId="42058C2A" w14:textId="77777777" w:rsidR="00076F07" w:rsidRPr="00FC12D2" w:rsidRDefault="00076F07" w:rsidP="00076F07">
      <w:pPr>
        <w:ind w:firstLine="708"/>
        <w:jc w:val="both"/>
        <w:rPr>
          <w:rFonts w:ascii="Abadi" w:hAnsi="Abadi" w:cs="Arial"/>
          <w:sz w:val="21"/>
          <w:szCs w:val="21"/>
        </w:rPr>
      </w:pPr>
    </w:p>
    <w:p w14:paraId="69DEF688"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El 28 de noviembre de 2022 se notificó al presidente municipal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29A49FFE" w14:textId="77777777" w:rsidR="00076F07" w:rsidRPr="00FC12D2" w:rsidRDefault="00076F07" w:rsidP="00076F07">
      <w:pPr>
        <w:ind w:firstLine="708"/>
        <w:jc w:val="both"/>
        <w:rPr>
          <w:rFonts w:ascii="Abadi" w:hAnsi="Abadi" w:cs="Arial"/>
          <w:sz w:val="21"/>
          <w:szCs w:val="21"/>
        </w:rPr>
      </w:pPr>
    </w:p>
    <w:p w14:paraId="2B9A8BEC"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Posteriormente, el 19 de enero de 2023, se notificó al presidente y al ex presidente municipales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xml:space="preserve">., el pliego de observaciones y recomendaciones derivado de la revisión practicada a la cuenta pública municipal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xml:space="preserve">., correspondiente al ejercicio fiscal del año 2021, al cual se dio respuesta en fechas 9 y 10 de febrero de 2023 respectivamente, por parte del ex presidente y del presidente municipales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w:t>
      </w:r>
    </w:p>
    <w:p w14:paraId="62F69C7F" w14:textId="77777777" w:rsidR="00076F07" w:rsidRPr="00FC12D2" w:rsidRDefault="00076F07" w:rsidP="00076F07">
      <w:pPr>
        <w:ind w:firstLine="708"/>
        <w:jc w:val="both"/>
        <w:rPr>
          <w:rFonts w:ascii="Abadi" w:hAnsi="Abadi" w:cs="Arial"/>
          <w:sz w:val="21"/>
          <w:szCs w:val="21"/>
        </w:rPr>
      </w:pPr>
    </w:p>
    <w:p w14:paraId="29DEA415"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El 17 de febrero de 2023, el informe de resultados se notificó al presidente y al ex presidente municipales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para que, en su caso, hicieran valer el recurso de reconsideración previsto por los</w:t>
      </w:r>
      <w:r w:rsidRPr="00FC12D2">
        <w:rPr>
          <w:rFonts w:ascii="Abadi" w:hAnsi="Abadi"/>
          <w:sz w:val="21"/>
          <w:szCs w:val="21"/>
        </w:rPr>
        <w:t xml:space="preserve"> </w:t>
      </w:r>
      <w:r w:rsidRPr="009258D2">
        <w:rPr>
          <w:rFonts w:ascii="Abadi" w:hAnsi="Abadi"/>
          <w:b w:val="0"/>
          <w:bCs w:val="0"/>
          <w:sz w:val="21"/>
          <w:szCs w:val="21"/>
        </w:rPr>
        <w:t xml:space="preserve">artículos del 48 al 55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D497B57" w14:textId="77777777" w:rsidR="00076F07" w:rsidRPr="009258D2" w:rsidRDefault="00076F07" w:rsidP="00076F07">
      <w:pPr>
        <w:pStyle w:val="Textoindependiente"/>
        <w:ind w:firstLine="708"/>
        <w:rPr>
          <w:rFonts w:ascii="Abadi" w:hAnsi="Abadi"/>
          <w:b w:val="0"/>
          <w:bCs w:val="0"/>
          <w:sz w:val="21"/>
          <w:szCs w:val="21"/>
        </w:rPr>
      </w:pPr>
    </w:p>
    <w:p w14:paraId="670D9DE8"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El 24 de febrero de 2023, dentro del plazo que prevé la fracción IV del artículo 37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el ex presidente y el presidente municipales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w:t>
      </w:r>
    </w:p>
    <w:p w14:paraId="106FBD4D" w14:textId="77777777" w:rsidR="00076F07" w:rsidRPr="009258D2" w:rsidRDefault="00076F07" w:rsidP="00076F07">
      <w:pPr>
        <w:ind w:firstLine="708"/>
        <w:jc w:val="both"/>
        <w:rPr>
          <w:rFonts w:ascii="Abadi" w:hAnsi="Abadi"/>
          <w:sz w:val="21"/>
          <w:szCs w:val="21"/>
        </w:rPr>
      </w:pPr>
    </w:p>
    <w:p w14:paraId="29BDFBA8"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lastRenderedPageBreak/>
        <w:t xml:space="preserve">Una vez tramitados los recursos, el Auditor Superior el 27 de febrero de 2023 emitió la resolución correspondiente, a la cual haremos referencia en un apartado posterior, misma que se notificó al presidente y al ex presidente municipales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en la misma fecha.</w:t>
      </w:r>
    </w:p>
    <w:p w14:paraId="786C16D9" w14:textId="77777777" w:rsidR="00076F07" w:rsidRPr="00FC12D2" w:rsidRDefault="00076F07" w:rsidP="00076F07">
      <w:pPr>
        <w:ind w:firstLine="708"/>
        <w:jc w:val="both"/>
        <w:rPr>
          <w:rFonts w:ascii="Abadi" w:hAnsi="Abadi" w:cs="Arial"/>
          <w:bCs/>
          <w:sz w:val="21"/>
          <w:szCs w:val="21"/>
        </w:rPr>
      </w:pPr>
    </w:p>
    <w:p w14:paraId="65B57339" w14:textId="77777777" w:rsidR="00076F07" w:rsidRPr="009258D2" w:rsidRDefault="00076F07" w:rsidP="00076F07">
      <w:pPr>
        <w:pStyle w:val="Textoindependiente"/>
        <w:ind w:firstLine="708"/>
        <w:rPr>
          <w:rFonts w:ascii="Abadi" w:hAnsi="Abadi"/>
          <w:sz w:val="21"/>
          <w:szCs w:val="21"/>
        </w:rPr>
      </w:pPr>
      <w:r w:rsidRPr="009258D2">
        <w:rPr>
          <w:rFonts w:ascii="Abadi" w:hAnsi="Abadi"/>
          <w:sz w:val="21"/>
          <w:szCs w:val="21"/>
        </w:rPr>
        <w:t>IV. Contenido del Informe de Resultados:</w:t>
      </w:r>
    </w:p>
    <w:p w14:paraId="7D123D3A" w14:textId="77777777" w:rsidR="00076F07" w:rsidRPr="00FC12D2" w:rsidRDefault="00076F07" w:rsidP="00076F07">
      <w:pPr>
        <w:pStyle w:val="Textoindependiente"/>
        <w:rPr>
          <w:rFonts w:ascii="Abadi" w:hAnsi="Abadi"/>
          <w:b w:val="0"/>
          <w:bCs w:val="0"/>
          <w:sz w:val="21"/>
          <w:szCs w:val="21"/>
        </w:rPr>
      </w:pPr>
    </w:p>
    <w:p w14:paraId="3FC3CD03" w14:textId="77777777" w:rsidR="00076F07" w:rsidRPr="009258D2" w:rsidRDefault="00076F07" w:rsidP="00076F07">
      <w:pPr>
        <w:pStyle w:val="Textoindependiente"/>
        <w:rPr>
          <w:rFonts w:ascii="Abadi" w:hAnsi="Abadi"/>
          <w:b w:val="0"/>
          <w:sz w:val="21"/>
          <w:szCs w:val="21"/>
        </w:rPr>
      </w:pPr>
      <w:r w:rsidRPr="00FC12D2">
        <w:rPr>
          <w:rFonts w:ascii="Abadi" w:hAnsi="Abadi"/>
          <w:b w:val="0"/>
          <w:bCs w:val="0"/>
          <w:sz w:val="21"/>
          <w:szCs w:val="21"/>
        </w:rPr>
        <w:tab/>
      </w:r>
      <w:r w:rsidRPr="009258D2">
        <w:rPr>
          <w:rFonts w:ascii="Abadi" w:hAnsi="Abadi"/>
          <w:b w:val="0"/>
          <w:sz w:val="21"/>
          <w:szCs w:val="21"/>
        </w:rPr>
        <w:t>En cumplimiento a lo establecido por el artículo 37, fracción III de la Ley de Fiscalización Superior del Estado, el informe de resultados contiene los siguientes apartados:</w:t>
      </w:r>
    </w:p>
    <w:p w14:paraId="559CB824" w14:textId="77777777" w:rsidR="00076F07" w:rsidRPr="009258D2" w:rsidRDefault="00076F07" w:rsidP="00076F07">
      <w:pPr>
        <w:pStyle w:val="Textoindependiente"/>
        <w:rPr>
          <w:rFonts w:ascii="Abadi" w:hAnsi="Abadi"/>
          <w:b w:val="0"/>
          <w:sz w:val="21"/>
          <w:szCs w:val="21"/>
        </w:rPr>
      </w:pPr>
    </w:p>
    <w:p w14:paraId="785124ED" w14:textId="77777777" w:rsidR="00076F07" w:rsidRPr="009258D2" w:rsidRDefault="00076F07" w:rsidP="00427BD6">
      <w:pPr>
        <w:pStyle w:val="Textoindependiente"/>
        <w:numPr>
          <w:ilvl w:val="0"/>
          <w:numId w:val="9"/>
        </w:numPr>
        <w:autoSpaceDE/>
        <w:autoSpaceDN/>
        <w:rPr>
          <w:rFonts w:ascii="Abadi" w:hAnsi="Abadi"/>
          <w:sz w:val="21"/>
          <w:szCs w:val="21"/>
        </w:rPr>
      </w:pPr>
      <w:r w:rsidRPr="009258D2">
        <w:rPr>
          <w:rFonts w:ascii="Abadi" w:hAnsi="Abadi"/>
          <w:sz w:val="21"/>
          <w:szCs w:val="21"/>
        </w:rPr>
        <w:t>Introducción.</w:t>
      </w:r>
    </w:p>
    <w:p w14:paraId="5C028EDC" w14:textId="77777777" w:rsidR="00076F07" w:rsidRPr="00FC12D2" w:rsidRDefault="00076F07" w:rsidP="00076F07">
      <w:pPr>
        <w:pStyle w:val="Textoindependiente"/>
        <w:ind w:left="705"/>
        <w:rPr>
          <w:rFonts w:ascii="Abadi" w:hAnsi="Abadi"/>
          <w:b w:val="0"/>
          <w:bCs w:val="0"/>
          <w:sz w:val="21"/>
          <w:szCs w:val="21"/>
        </w:rPr>
      </w:pPr>
    </w:p>
    <w:p w14:paraId="692F6403"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5A1CBBFA" w14:textId="77777777" w:rsidR="00076F07" w:rsidRPr="009258D2" w:rsidRDefault="00076F07" w:rsidP="00076F07">
      <w:pPr>
        <w:pStyle w:val="Textoindependiente"/>
        <w:ind w:firstLine="705"/>
        <w:rPr>
          <w:rFonts w:ascii="Abadi" w:hAnsi="Abadi"/>
          <w:b w:val="0"/>
          <w:bCs w:val="0"/>
          <w:sz w:val="21"/>
          <w:szCs w:val="21"/>
        </w:rPr>
      </w:pPr>
    </w:p>
    <w:p w14:paraId="1B644D73"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71FBF045" w14:textId="77777777" w:rsidR="00076F07" w:rsidRPr="00FC12D2" w:rsidRDefault="00076F07" w:rsidP="00076F07">
      <w:pPr>
        <w:pStyle w:val="Textoindependiente"/>
        <w:ind w:firstLine="705"/>
        <w:rPr>
          <w:rFonts w:ascii="Abadi" w:hAnsi="Abadi"/>
          <w:sz w:val="21"/>
          <w:szCs w:val="21"/>
        </w:rPr>
      </w:pPr>
    </w:p>
    <w:p w14:paraId="693D6972"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74032748" w14:textId="77777777" w:rsidR="00076F07" w:rsidRPr="009258D2" w:rsidRDefault="00076F07" w:rsidP="00076F07">
      <w:pPr>
        <w:jc w:val="both"/>
        <w:rPr>
          <w:rFonts w:ascii="Abadi" w:hAnsi="Abadi" w:cs="Arial"/>
          <w:i/>
          <w:iCs/>
          <w:sz w:val="21"/>
          <w:szCs w:val="21"/>
          <w:lang w:eastAsia="x-none"/>
        </w:rPr>
      </w:pPr>
    </w:p>
    <w:p w14:paraId="3806F270" w14:textId="77777777" w:rsidR="00076F07" w:rsidRPr="00FC12D2" w:rsidRDefault="00076F07" w:rsidP="00076F07">
      <w:pPr>
        <w:jc w:val="both"/>
        <w:rPr>
          <w:rFonts w:ascii="Abadi" w:hAnsi="Abadi" w:cs="Arial"/>
          <w:i/>
          <w:iCs/>
          <w:sz w:val="21"/>
          <w:szCs w:val="21"/>
          <w:lang w:eastAsia="x-none"/>
        </w:rPr>
      </w:pPr>
      <w:r w:rsidRPr="00FC12D2">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7D8F8122" w14:textId="77777777" w:rsidR="00076F07" w:rsidRPr="00FC12D2" w:rsidRDefault="00076F07" w:rsidP="00076F07">
      <w:pPr>
        <w:rPr>
          <w:rFonts w:ascii="Abadi" w:hAnsi="Abadi" w:cs="Arial"/>
          <w:i/>
          <w:iCs/>
          <w:sz w:val="21"/>
          <w:szCs w:val="21"/>
          <w:lang w:eastAsia="x-none"/>
        </w:rPr>
      </w:pPr>
    </w:p>
    <w:p w14:paraId="0559FC60" w14:textId="77777777" w:rsidR="00076F07" w:rsidRPr="00FC12D2" w:rsidRDefault="00076F07" w:rsidP="00076F07">
      <w:pPr>
        <w:jc w:val="both"/>
        <w:rPr>
          <w:rFonts w:ascii="Abadi" w:hAnsi="Abadi" w:cs="Arial"/>
          <w:i/>
          <w:iCs/>
          <w:sz w:val="21"/>
          <w:szCs w:val="21"/>
          <w:lang w:eastAsia="x-none"/>
        </w:rPr>
      </w:pPr>
      <w:r w:rsidRPr="00FC12D2">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833AEA3" w14:textId="77777777" w:rsidR="00076F07" w:rsidRPr="00FC12D2" w:rsidRDefault="00076F07" w:rsidP="00076F07">
      <w:pPr>
        <w:jc w:val="both"/>
        <w:rPr>
          <w:rFonts w:ascii="Abadi" w:hAnsi="Abadi" w:cs="Arial"/>
          <w:i/>
          <w:iCs/>
          <w:sz w:val="21"/>
          <w:szCs w:val="21"/>
          <w:lang w:eastAsia="x-none"/>
        </w:rPr>
      </w:pPr>
    </w:p>
    <w:p w14:paraId="21BF9329" w14:textId="77777777" w:rsidR="00076F07" w:rsidRPr="00FC12D2" w:rsidRDefault="00076F07" w:rsidP="00076F07">
      <w:pPr>
        <w:jc w:val="both"/>
        <w:rPr>
          <w:rFonts w:ascii="Abadi" w:hAnsi="Abadi" w:cs="Arial"/>
          <w:i/>
          <w:iCs/>
          <w:sz w:val="21"/>
          <w:szCs w:val="21"/>
          <w:lang w:eastAsia="x-none"/>
        </w:rPr>
      </w:pPr>
      <w:r w:rsidRPr="00FC12D2">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D7D4D9B" w14:textId="77777777" w:rsidR="00076F07" w:rsidRPr="00FC12D2" w:rsidRDefault="00076F07" w:rsidP="00076F07">
      <w:pPr>
        <w:jc w:val="both"/>
        <w:rPr>
          <w:rFonts w:ascii="Abadi" w:hAnsi="Abadi" w:cs="Arial"/>
          <w:i/>
          <w:iCs/>
          <w:sz w:val="21"/>
          <w:szCs w:val="21"/>
          <w:lang w:eastAsia="x-none"/>
        </w:rPr>
      </w:pPr>
    </w:p>
    <w:p w14:paraId="5B17189C" w14:textId="77777777" w:rsidR="00076F07" w:rsidRPr="00FC12D2" w:rsidRDefault="00076F07" w:rsidP="00076F07">
      <w:pPr>
        <w:ind w:firstLine="705"/>
        <w:jc w:val="both"/>
        <w:rPr>
          <w:rFonts w:ascii="Abadi" w:hAnsi="Abadi" w:cs="Arial"/>
          <w:sz w:val="21"/>
          <w:szCs w:val="21"/>
          <w:lang w:eastAsia="x-none"/>
        </w:rPr>
      </w:pPr>
      <w:r w:rsidRPr="00FC12D2">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FC12D2">
        <w:rPr>
          <w:rFonts w:ascii="Abadi" w:hAnsi="Abadi" w:cs="Arial"/>
          <w:sz w:val="21"/>
          <w:szCs w:val="21"/>
          <w:lang w:eastAsia="x-none"/>
        </w:rPr>
        <w:t>fiscalizado</w:t>
      </w:r>
      <w:proofErr w:type="spellEnd"/>
      <w:r w:rsidRPr="00FC12D2">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FC12D2">
        <w:rPr>
          <w:rFonts w:ascii="Abadi" w:hAnsi="Abadi" w:cs="Arial"/>
          <w:i/>
          <w:iCs/>
          <w:sz w:val="21"/>
          <w:szCs w:val="21"/>
          <w:lang w:eastAsia="x-none"/>
        </w:rPr>
        <w:t>«Definitivos»,</w:t>
      </w:r>
      <w:r w:rsidRPr="00FC12D2">
        <w:rPr>
          <w:rFonts w:ascii="Abadi" w:hAnsi="Abadi" w:cs="Arial"/>
          <w:sz w:val="21"/>
          <w:szCs w:val="21"/>
          <w:lang w:eastAsia="x-none"/>
        </w:rPr>
        <w:t xml:space="preserve"> emitidas por el Servicio de Administración Tributaria.</w:t>
      </w:r>
    </w:p>
    <w:p w14:paraId="201808B1" w14:textId="77777777" w:rsidR="00076F07" w:rsidRPr="00FC12D2" w:rsidRDefault="00076F07" w:rsidP="00076F07">
      <w:pPr>
        <w:pStyle w:val="Textoindependiente"/>
        <w:ind w:firstLine="705"/>
        <w:rPr>
          <w:rFonts w:ascii="Abadi" w:hAnsi="Abadi"/>
          <w:sz w:val="21"/>
          <w:szCs w:val="21"/>
        </w:rPr>
      </w:pPr>
    </w:p>
    <w:p w14:paraId="551236FB" w14:textId="77777777" w:rsidR="00076F07" w:rsidRPr="00FC12D2" w:rsidRDefault="00076F07" w:rsidP="00076F07">
      <w:pPr>
        <w:ind w:firstLine="705"/>
        <w:jc w:val="both"/>
        <w:rPr>
          <w:rFonts w:ascii="Abadi" w:hAnsi="Abadi" w:cs="Arial"/>
          <w:sz w:val="21"/>
          <w:szCs w:val="21"/>
          <w:lang w:eastAsia="x-none"/>
        </w:rPr>
      </w:pPr>
      <w:r w:rsidRPr="00FC12D2">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FC12D2">
        <w:rPr>
          <w:rFonts w:ascii="Abadi" w:hAnsi="Abadi" w:cs="Arial"/>
          <w:sz w:val="21"/>
          <w:szCs w:val="21"/>
          <w:lang w:eastAsia="x-none"/>
        </w:rPr>
        <w:t>fiscalizado</w:t>
      </w:r>
      <w:proofErr w:type="spellEnd"/>
      <w:r w:rsidRPr="00FC12D2">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w:t>
      </w:r>
      <w:r w:rsidRPr="00FC12D2">
        <w:rPr>
          <w:rFonts w:ascii="Abadi" w:hAnsi="Abadi" w:cs="Arial"/>
          <w:sz w:val="21"/>
          <w:szCs w:val="21"/>
          <w:lang w:eastAsia="x-none"/>
        </w:rPr>
        <w:lastRenderedPageBreak/>
        <w:t>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6D41C5E" w14:textId="77777777" w:rsidR="00076F07" w:rsidRPr="00FC12D2" w:rsidRDefault="00076F07" w:rsidP="00076F07">
      <w:pPr>
        <w:ind w:firstLine="705"/>
        <w:jc w:val="both"/>
        <w:rPr>
          <w:rFonts w:ascii="Abadi" w:hAnsi="Abadi" w:cs="Arial"/>
          <w:sz w:val="21"/>
          <w:szCs w:val="21"/>
          <w:lang w:eastAsia="x-none"/>
        </w:rPr>
      </w:pPr>
    </w:p>
    <w:p w14:paraId="02510C2F" w14:textId="77777777" w:rsidR="00076F07" w:rsidRPr="00FC12D2" w:rsidRDefault="00076F07" w:rsidP="00076F07">
      <w:pPr>
        <w:ind w:firstLine="705"/>
        <w:jc w:val="both"/>
        <w:rPr>
          <w:rFonts w:ascii="Abadi" w:hAnsi="Abadi" w:cs="Arial"/>
          <w:sz w:val="21"/>
          <w:szCs w:val="21"/>
          <w:lang w:val="es-MX" w:eastAsia="x-none"/>
        </w:rPr>
      </w:pPr>
      <w:r w:rsidRPr="00FC12D2">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FC12D2">
        <w:rPr>
          <w:rFonts w:ascii="Abadi" w:hAnsi="Abadi" w:cs="Arial"/>
          <w:sz w:val="21"/>
          <w:szCs w:val="21"/>
          <w:lang w:val="es-MX" w:eastAsia="x-none"/>
        </w:rPr>
        <w:t>fiscalizado</w:t>
      </w:r>
      <w:proofErr w:type="spellEnd"/>
      <w:r w:rsidRPr="00FC12D2">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FC12D2">
        <w:rPr>
          <w:rFonts w:ascii="Abadi" w:hAnsi="Abadi" w:cs="Arial"/>
          <w:sz w:val="21"/>
          <w:szCs w:val="21"/>
          <w:lang w:val="es-MX" w:eastAsia="x-none"/>
        </w:rPr>
        <w:t>fiscalizado</w:t>
      </w:r>
      <w:proofErr w:type="spellEnd"/>
      <w:r w:rsidRPr="00FC12D2">
        <w:rPr>
          <w:rFonts w:ascii="Abadi" w:hAnsi="Abadi" w:cs="Arial"/>
          <w:sz w:val="21"/>
          <w:szCs w:val="21"/>
          <w:lang w:val="es-MX" w:eastAsia="x-none"/>
        </w:rPr>
        <w:t>.</w:t>
      </w:r>
    </w:p>
    <w:p w14:paraId="7A4D05DE" w14:textId="77777777" w:rsidR="00076F07" w:rsidRPr="00FC12D2" w:rsidRDefault="00076F07" w:rsidP="00076F07">
      <w:pPr>
        <w:ind w:firstLine="705"/>
        <w:jc w:val="both"/>
        <w:rPr>
          <w:rFonts w:ascii="Abadi" w:hAnsi="Abadi" w:cs="Arial"/>
          <w:sz w:val="21"/>
          <w:szCs w:val="21"/>
          <w:lang w:val="es-MX" w:eastAsia="x-none"/>
        </w:rPr>
      </w:pPr>
    </w:p>
    <w:p w14:paraId="77E70896" w14:textId="77777777" w:rsidR="00076F07" w:rsidRPr="00FC12D2" w:rsidRDefault="00076F07" w:rsidP="00076F07">
      <w:pPr>
        <w:ind w:firstLine="705"/>
        <w:jc w:val="both"/>
        <w:rPr>
          <w:rFonts w:ascii="Abadi" w:hAnsi="Abadi" w:cs="Arial"/>
          <w:sz w:val="21"/>
          <w:szCs w:val="21"/>
          <w:lang w:val="es-MX" w:eastAsia="x-none"/>
        </w:rPr>
      </w:pPr>
      <w:r w:rsidRPr="00FC12D2">
        <w:rPr>
          <w:rFonts w:ascii="Abadi" w:hAnsi="Abadi" w:cs="Arial"/>
          <w:sz w:val="21"/>
          <w:szCs w:val="21"/>
          <w:lang w:val="es-MX" w:eastAsia="x-none"/>
        </w:rPr>
        <w:t xml:space="preserve">Adicionalmente, se analizó el informe general del proceso de entrega recepción 2021 de la administración pública municipal de Silao de la Victoria, </w:t>
      </w:r>
      <w:proofErr w:type="spellStart"/>
      <w:r w:rsidRPr="00FC12D2">
        <w:rPr>
          <w:rFonts w:ascii="Abadi" w:hAnsi="Abadi" w:cs="Arial"/>
          <w:sz w:val="21"/>
          <w:szCs w:val="21"/>
          <w:lang w:val="es-MX" w:eastAsia="x-none"/>
        </w:rPr>
        <w:t>Gto</w:t>
      </w:r>
      <w:proofErr w:type="spellEnd"/>
      <w:r w:rsidRPr="00FC12D2">
        <w:rPr>
          <w:rFonts w:ascii="Abadi" w:hAnsi="Abadi" w:cs="Arial"/>
          <w:sz w:val="21"/>
          <w:szCs w:val="21"/>
          <w:lang w:val="es-MX" w:eastAsia="x-none"/>
        </w:rPr>
        <w:t>., y en su caso se aplicaron los procedimientos de auditoría correspondientes.</w:t>
      </w:r>
    </w:p>
    <w:p w14:paraId="75416BD5" w14:textId="77777777" w:rsidR="00076F07" w:rsidRPr="00FC12D2" w:rsidRDefault="00076F07" w:rsidP="00076F07">
      <w:pPr>
        <w:ind w:firstLine="705"/>
        <w:jc w:val="both"/>
        <w:rPr>
          <w:rFonts w:ascii="Abadi" w:hAnsi="Abadi" w:cs="Arial"/>
          <w:sz w:val="21"/>
          <w:szCs w:val="21"/>
          <w:lang w:val="es-MX" w:eastAsia="x-none"/>
        </w:rPr>
      </w:pPr>
    </w:p>
    <w:p w14:paraId="69D2C8A1" w14:textId="77777777" w:rsidR="00076F07" w:rsidRPr="00FC12D2" w:rsidRDefault="00076F07" w:rsidP="00076F07">
      <w:pPr>
        <w:ind w:firstLine="705"/>
        <w:jc w:val="both"/>
        <w:rPr>
          <w:rFonts w:ascii="Abadi" w:hAnsi="Abadi" w:cs="Arial"/>
          <w:sz w:val="21"/>
          <w:szCs w:val="21"/>
          <w:lang w:val="es-MX" w:eastAsia="x-none"/>
        </w:rPr>
      </w:pPr>
      <w:r w:rsidRPr="00FC12D2">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Silao de la Victoria, </w:t>
      </w:r>
      <w:proofErr w:type="spellStart"/>
      <w:r w:rsidRPr="00FC12D2">
        <w:rPr>
          <w:rFonts w:ascii="Abadi" w:hAnsi="Abadi" w:cs="Arial"/>
          <w:sz w:val="21"/>
          <w:szCs w:val="21"/>
          <w:lang w:val="es-MX" w:eastAsia="x-none"/>
        </w:rPr>
        <w:t>Gto</w:t>
      </w:r>
      <w:proofErr w:type="spellEnd"/>
      <w:r w:rsidRPr="00FC12D2">
        <w:rPr>
          <w:rFonts w:ascii="Abadi" w:hAnsi="Abadi" w:cs="Arial"/>
          <w:sz w:val="21"/>
          <w:szCs w:val="21"/>
          <w:lang w:val="es-MX" w:eastAsia="x-none"/>
        </w:rPr>
        <w:t>., no cumplió con las disposiciones normativas aplicables, como se precisa en el informe de resultados.</w:t>
      </w:r>
    </w:p>
    <w:p w14:paraId="5667CB3D" w14:textId="77777777" w:rsidR="00076F07" w:rsidRPr="00FC12D2" w:rsidRDefault="00076F07" w:rsidP="00076F07">
      <w:pPr>
        <w:ind w:firstLine="705"/>
        <w:jc w:val="both"/>
        <w:rPr>
          <w:rFonts w:ascii="Abadi" w:hAnsi="Abadi" w:cs="Arial"/>
          <w:sz w:val="21"/>
          <w:szCs w:val="21"/>
          <w:lang w:val="es-MX" w:eastAsia="x-none"/>
        </w:rPr>
      </w:pPr>
    </w:p>
    <w:p w14:paraId="66ECBB93"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16 observaciones, mismas que no fueron solventadas. Asimismo, se formularon 2 recomendaciones, las cuales no se atendieron. </w:t>
      </w:r>
    </w:p>
    <w:p w14:paraId="22E4DD22" w14:textId="77777777" w:rsidR="00076F07" w:rsidRPr="009258D2" w:rsidRDefault="00076F07" w:rsidP="00076F07">
      <w:pPr>
        <w:pStyle w:val="Textoindependiente"/>
        <w:ind w:firstLine="705"/>
        <w:rPr>
          <w:rFonts w:ascii="Abadi" w:hAnsi="Abadi"/>
          <w:b w:val="0"/>
          <w:bCs w:val="0"/>
          <w:sz w:val="21"/>
          <w:szCs w:val="21"/>
        </w:rPr>
      </w:pPr>
    </w:p>
    <w:p w14:paraId="410415F4"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003, 006, 007, 009, 011, 013 y 016, existen importes no solventados por la cuantía que ahí se refiere. No obstante, mediante la resolución recaída al recurso de reconsideración promovido en contra del informe de resultados, se modificó el complemento de la valoración de la observación contenida en el numeral 006, para quedar sin acciones pendientes de realizar por el sujeto fiscalizado. </w:t>
      </w:r>
    </w:p>
    <w:p w14:paraId="54CAF8BF" w14:textId="77777777" w:rsidR="00076F07" w:rsidRPr="009258D2" w:rsidRDefault="00076F07" w:rsidP="00076F07">
      <w:pPr>
        <w:pStyle w:val="Textoindependiente"/>
        <w:ind w:firstLine="705"/>
        <w:rPr>
          <w:rFonts w:ascii="Abadi" w:hAnsi="Abadi"/>
          <w:b w:val="0"/>
          <w:bCs w:val="0"/>
          <w:sz w:val="21"/>
          <w:szCs w:val="21"/>
        </w:rPr>
      </w:pPr>
    </w:p>
    <w:p w14:paraId="09B59FB1" w14:textId="77777777" w:rsidR="00076F07" w:rsidRPr="00FC12D2" w:rsidRDefault="00076F07" w:rsidP="00076F07">
      <w:pPr>
        <w:pStyle w:val="Textoindependiente"/>
        <w:ind w:firstLine="705"/>
        <w:rPr>
          <w:rFonts w:ascii="Abadi" w:hAnsi="Abadi"/>
          <w:sz w:val="21"/>
          <w:szCs w:val="21"/>
        </w:rPr>
      </w:pPr>
    </w:p>
    <w:p w14:paraId="17BBF6C9" w14:textId="77777777" w:rsidR="00076F07" w:rsidRPr="00FC12D2" w:rsidRDefault="00076F07" w:rsidP="00076F07">
      <w:pPr>
        <w:pStyle w:val="Textoindependiente"/>
        <w:ind w:firstLine="705"/>
        <w:rPr>
          <w:rFonts w:ascii="Abadi" w:hAnsi="Abadi"/>
          <w:sz w:val="21"/>
          <w:szCs w:val="21"/>
        </w:rPr>
      </w:pPr>
    </w:p>
    <w:p w14:paraId="20F73A50" w14:textId="77777777" w:rsidR="00076F07" w:rsidRPr="00FC12D2" w:rsidRDefault="00076F07" w:rsidP="00076F07">
      <w:pPr>
        <w:pStyle w:val="Textoindependiente"/>
        <w:ind w:firstLine="705"/>
        <w:rPr>
          <w:rFonts w:ascii="Abadi" w:hAnsi="Abadi"/>
          <w:sz w:val="21"/>
          <w:szCs w:val="21"/>
        </w:rPr>
      </w:pPr>
    </w:p>
    <w:p w14:paraId="4784D8DE" w14:textId="77777777" w:rsidR="00076F07" w:rsidRPr="00FC12D2" w:rsidRDefault="00076F07" w:rsidP="00076F07">
      <w:pPr>
        <w:pStyle w:val="Textoindependiente"/>
        <w:ind w:firstLine="705"/>
        <w:rPr>
          <w:rFonts w:ascii="Abadi" w:hAnsi="Abadi"/>
          <w:sz w:val="21"/>
          <w:szCs w:val="21"/>
        </w:rPr>
      </w:pPr>
    </w:p>
    <w:p w14:paraId="4E809344" w14:textId="77777777" w:rsidR="00076F07" w:rsidRPr="00FC12D2" w:rsidRDefault="00076F07" w:rsidP="00076F07">
      <w:pPr>
        <w:pStyle w:val="Textoindependiente"/>
        <w:ind w:firstLine="705"/>
        <w:rPr>
          <w:rFonts w:ascii="Abadi" w:hAnsi="Abadi"/>
          <w:sz w:val="21"/>
          <w:szCs w:val="21"/>
        </w:rPr>
      </w:pPr>
    </w:p>
    <w:p w14:paraId="359E70A5"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9258D2">
        <w:rPr>
          <w:rFonts w:ascii="Abadi" w:hAnsi="Abadi"/>
          <w:b w:val="0"/>
          <w:bCs w:val="0"/>
          <w:i/>
          <w:iCs/>
          <w:sz w:val="21"/>
          <w:szCs w:val="21"/>
        </w:rPr>
        <w:t>Definitivos»</w:t>
      </w:r>
      <w:r w:rsidRPr="009258D2">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A5434B9" w14:textId="77777777" w:rsidR="00076F07" w:rsidRPr="00FC12D2" w:rsidRDefault="00076F07" w:rsidP="00076F07">
      <w:pPr>
        <w:pStyle w:val="Textoindependiente"/>
        <w:ind w:firstLine="705"/>
        <w:rPr>
          <w:rFonts w:ascii="Abadi" w:hAnsi="Abadi"/>
          <w:sz w:val="21"/>
          <w:szCs w:val="21"/>
        </w:rPr>
      </w:pPr>
    </w:p>
    <w:p w14:paraId="2B775B53" w14:textId="77777777" w:rsidR="00076F07" w:rsidRPr="009258D2" w:rsidRDefault="00076F07" w:rsidP="00427BD6">
      <w:pPr>
        <w:pStyle w:val="Textoindependiente"/>
        <w:numPr>
          <w:ilvl w:val="0"/>
          <w:numId w:val="9"/>
        </w:numPr>
        <w:tabs>
          <w:tab w:val="clear" w:pos="1065"/>
          <w:tab w:val="num" w:pos="0"/>
        </w:tabs>
        <w:autoSpaceDE/>
        <w:autoSpaceDN/>
        <w:rPr>
          <w:rFonts w:ascii="Abadi" w:hAnsi="Abadi"/>
          <w:sz w:val="21"/>
          <w:szCs w:val="21"/>
        </w:rPr>
      </w:pPr>
      <w:r w:rsidRPr="009258D2">
        <w:rPr>
          <w:rFonts w:ascii="Abadi" w:hAnsi="Abadi"/>
          <w:sz w:val="21"/>
          <w:szCs w:val="21"/>
        </w:rPr>
        <w:lastRenderedPageBreak/>
        <w:t xml:space="preserve">Observaciones y recomendaciones, la respuesta emitida por el sujeto fiscalizado y la valoración correspondiente. </w:t>
      </w:r>
    </w:p>
    <w:p w14:paraId="1CF748E2" w14:textId="77777777" w:rsidR="00076F07" w:rsidRPr="00FC12D2" w:rsidRDefault="00076F07" w:rsidP="00076F07">
      <w:pPr>
        <w:pStyle w:val="Textoindependiente"/>
        <w:ind w:left="1065"/>
        <w:rPr>
          <w:rFonts w:ascii="Abadi" w:hAnsi="Abadi"/>
          <w:b w:val="0"/>
          <w:bCs w:val="0"/>
          <w:sz w:val="21"/>
          <w:szCs w:val="21"/>
        </w:rPr>
      </w:pPr>
    </w:p>
    <w:p w14:paraId="55B3D5C0"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En esta parte se desglosa la valoración de las observaciones formuladas por el Órgano Técnico, considerando como no solventadas las observaciones plasmadas en los siguientes numerales: 001, referente a procedimiento de contratación de transformadores; 002, correspondiente a instalación y uso de transformador tipo pedestal de 150 KVA 13200-220/127 operación anillo; 003, relativo a servicio de conexión de bomba de acero inoxidable; 004, referido a revista mecánica; 005, referente a vida útil vehículos de transporte urbano y suburbano en ruta fija; 006, correspondiente a pago de remuneraciones; 007, relativo a remuneraciones para eventuales; 008, referido a materiales de seguridad; 009, referente a </w:t>
      </w:r>
      <w:bookmarkStart w:id="25" w:name="_Hlk113631119"/>
      <w:r w:rsidRPr="009258D2">
        <w:rPr>
          <w:rFonts w:ascii="Abadi" w:hAnsi="Abadi"/>
          <w:b w:val="0"/>
          <w:bCs w:val="0"/>
          <w:sz w:val="21"/>
          <w:szCs w:val="21"/>
        </w:rPr>
        <w:t>avalúos de regularización 2021</w:t>
      </w:r>
      <w:bookmarkEnd w:id="25"/>
      <w:r w:rsidRPr="009258D2">
        <w:rPr>
          <w:rFonts w:ascii="Abadi" w:hAnsi="Abadi"/>
          <w:b w:val="0"/>
          <w:bCs w:val="0"/>
          <w:sz w:val="21"/>
          <w:szCs w:val="21"/>
        </w:rPr>
        <w:t>; 010, correspondiente a convenio modificatorio del servicio público concesionado de limpia; 011, relativo a barrido del servicio público concesionado de limpia; 012, referido a recolección del servicio público concesionado de limpia; 013, referente a tarifas del servicio público concesionado de limpia; 014, correspondiente a mecánica operativa del Programa Insumos Agrícolas 2021; 015, relativo a requisitos de acceso y criterios de elegibilidad del Programa</w:t>
      </w:r>
      <w:r w:rsidRPr="00FC12D2">
        <w:rPr>
          <w:rFonts w:ascii="Abadi" w:hAnsi="Abadi"/>
          <w:sz w:val="21"/>
          <w:szCs w:val="21"/>
        </w:rPr>
        <w:t xml:space="preserve"> </w:t>
      </w:r>
      <w:r w:rsidRPr="009258D2">
        <w:rPr>
          <w:rFonts w:ascii="Abadi" w:hAnsi="Abadi"/>
          <w:b w:val="0"/>
          <w:bCs w:val="0"/>
          <w:sz w:val="21"/>
          <w:szCs w:val="21"/>
        </w:rPr>
        <w:t>Insumos Agrícolas 2021; y 016, referido a distribución de insumos agrícolas.</w:t>
      </w:r>
    </w:p>
    <w:p w14:paraId="6F1C03CF" w14:textId="77777777" w:rsidR="00076F07" w:rsidRPr="009258D2" w:rsidRDefault="00076F07" w:rsidP="00076F07">
      <w:pPr>
        <w:pStyle w:val="Textoindependiente"/>
        <w:ind w:firstLine="705"/>
        <w:rPr>
          <w:rFonts w:ascii="Abadi" w:hAnsi="Abadi"/>
          <w:b w:val="0"/>
          <w:bCs w:val="0"/>
          <w:sz w:val="21"/>
          <w:szCs w:val="21"/>
        </w:rPr>
      </w:pPr>
    </w:p>
    <w:p w14:paraId="20CB0CF8"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En el apartado de Recomendaciones Generales, no se atendieron los numerales 001, referente a vehículo para el transporte de personas (Ambulancia); y 002, correspondiente a convenio para el cumplimiento de la sentencia definitiva dictada en el juicio administrativo 5.450/03, del 31 de marzo de 2014.</w:t>
      </w:r>
    </w:p>
    <w:p w14:paraId="28BD47CF" w14:textId="77777777" w:rsidR="00076F07" w:rsidRPr="00FC12D2" w:rsidRDefault="00076F07" w:rsidP="00076F07">
      <w:pPr>
        <w:pStyle w:val="Textoindependiente"/>
        <w:ind w:firstLine="705"/>
        <w:rPr>
          <w:rFonts w:ascii="Abadi" w:hAnsi="Abadi"/>
          <w:sz w:val="21"/>
          <w:szCs w:val="21"/>
        </w:rPr>
      </w:pPr>
    </w:p>
    <w:p w14:paraId="2C1821BC" w14:textId="77777777" w:rsidR="00076F07" w:rsidRPr="00FC12D2" w:rsidRDefault="00076F07" w:rsidP="00076F07">
      <w:pPr>
        <w:pStyle w:val="Textoindependiente"/>
        <w:ind w:firstLine="705"/>
        <w:rPr>
          <w:rFonts w:ascii="Abadi" w:hAnsi="Abadi"/>
          <w:sz w:val="21"/>
          <w:szCs w:val="21"/>
        </w:rPr>
      </w:pPr>
    </w:p>
    <w:p w14:paraId="34D2F1FB" w14:textId="77777777" w:rsidR="00076F07" w:rsidRPr="009258D2" w:rsidRDefault="00076F07" w:rsidP="00427BD6">
      <w:pPr>
        <w:pStyle w:val="Textoindependiente"/>
        <w:numPr>
          <w:ilvl w:val="0"/>
          <w:numId w:val="9"/>
        </w:numPr>
        <w:autoSpaceDE/>
        <w:autoSpaceDN/>
        <w:rPr>
          <w:rFonts w:ascii="Abadi" w:hAnsi="Abadi"/>
          <w:sz w:val="21"/>
          <w:szCs w:val="21"/>
        </w:rPr>
      </w:pPr>
      <w:r w:rsidRPr="009258D2">
        <w:rPr>
          <w:rFonts w:ascii="Abadi" w:hAnsi="Abadi"/>
          <w:sz w:val="21"/>
          <w:szCs w:val="21"/>
        </w:rPr>
        <w:t xml:space="preserve">Promoción del ejercicio de facultades de comprobación fiscal. </w:t>
      </w:r>
    </w:p>
    <w:p w14:paraId="1B99F082" w14:textId="77777777" w:rsidR="00076F07" w:rsidRPr="009258D2" w:rsidRDefault="00076F07" w:rsidP="00076F07">
      <w:pPr>
        <w:pStyle w:val="Textoindependiente"/>
        <w:ind w:firstLine="705"/>
        <w:rPr>
          <w:rFonts w:ascii="Abadi" w:hAnsi="Abadi"/>
          <w:sz w:val="21"/>
          <w:szCs w:val="21"/>
        </w:rPr>
      </w:pPr>
    </w:p>
    <w:p w14:paraId="7BAC5D8A"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w:t>
      </w:r>
      <w:r w:rsidRPr="009258D2">
        <w:rPr>
          <w:rFonts w:ascii="Abadi" w:hAnsi="Abadi"/>
          <w:b w:val="0"/>
          <w:bCs w:val="0"/>
          <w:sz w:val="21"/>
          <w:szCs w:val="21"/>
        </w:rPr>
        <w:t>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E8D6312" w14:textId="77777777" w:rsidR="00076F07" w:rsidRPr="00FC12D2" w:rsidRDefault="00076F07" w:rsidP="00076F07">
      <w:pPr>
        <w:pStyle w:val="Textoindependiente"/>
        <w:ind w:firstLine="705"/>
        <w:rPr>
          <w:rFonts w:ascii="Abadi" w:hAnsi="Abadi"/>
          <w:sz w:val="21"/>
          <w:szCs w:val="21"/>
        </w:rPr>
      </w:pPr>
    </w:p>
    <w:p w14:paraId="311E6303" w14:textId="77777777" w:rsidR="00076F07" w:rsidRPr="009258D2" w:rsidRDefault="00076F07" w:rsidP="00427BD6">
      <w:pPr>
        <w:pStyle w:val="Textoindependiente"/>
        <w:numPr>
          <w:ilvl w:val="0"/>
          <w:numId w:val="9"/>
        </w:numPr>
        <w:autoSpaceDE/>
        <w:autoSpaceDN/>
        <w:rPr>
          <w:rFonts w:ascii="Abadi" w:hAnsi="Abadi"/>
          <w:sz w:val="21"/>
          <w:szCs w:val="21"/>
        </w:rPr>
      </w:pPr>
      <w:r w:rsidRPr="009258D2">
        <w:rPr>
          <w:rFonts w:ascii="Abadi" w:hAnsi="Abadi"/>
          <w:sz w:val="21"/>
          <w:szCs w:val="21"/>
        </w:rPr>
        <w:t>Comunicado ante órganos de control y autoridades que administran padrones de proveedores y contratistas.</w:t>
      </w:r>
    </w:p>
    <w:p w14:paraId="75C929C7" w14:textId="77777777" w:rsidR="00076F07" w:rsidRPr="009258D2" w:rsidRDefault="00076F07" w:rsidP="00076F07">
      <w:pPr>
        <w:pStyle w:val="Textoindependiente"/>
        <w:ind w:firstLine="705"/>
        <w:rPr>
          <w:rFonts w:ascii="Abadi" w:hAnsi="Abadi"/>
          <w:sz w:val="21"/>
          <w:szCs w:val="21"/>
        </w:rPr>
      </w:pPr>
    </w:p>
    <w:p w14:paraId="4154A045"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y de la Tesorería municipales de</w:t>
      </w:r>
      <w:r w:rsidRPr="00FC12D2">
        <w:rPr>
          <w:rFonts w:ascii="Abadi" w:hAnsi="Abadi"/>
          <w:sz w:val="21"/>
          <w:szCs w:val="21"/>
        </w:rPr>
        <w:t xml:space="preserve"> </w:t>
      </w:r>
      <w:r w:rsidRPr="009258D2">
        <w:rPr>
          <w:rFonts w:ascii="Abadi" w:hAnsi="Abadi"/>
          <w:b w:val="0"/>
          <w:bCs w:val="0"/>
          <w:sz w:val="21"/>
          <w:szCs w:val="21"/>
        </w:rPr>
        <w:t xml:space="preserve">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las presuntas irregularidades o incumplimientos de estos en contrataciones públicas detectadas durante la revisión, precisando el proveedor y la observación de la que se desprende su intervención.</w:t>
      </w:r>
    </w:p>
    <w:p w14:paraId="66953CF9" w14:textId="77777777" w:rsidR="00076F07" w:rsidRPr="00FC12D2" w:rsidRDefault="00076F07" w:rsidP="00076F07">
      <w:pPr>
        <w:pStyle w:val="Textoindependiente"/>
        <w:ind w:firstLine="705"/>
        <w:rPr>
          <w:rFonts w:ascii="Abadi" w:hAnsi="Abadi"/>
          <w:sz w:val="21"/>
          <w:szCs w:val="21"/>
        </w:rPr>
      </w:pPr>
    </w:p>
    <w:p w14:paraId="0651085C" w14:textId="77777777" w:rsidR="00076F07" w:rsidRPr="00FC12D2" w:rsidRDefault="00076F07" w:rsidP="00427BD6">
      <w:pPr>
        <w:pStyle w:val="Textoindependiente"/>
        <w:numPr>
          <w:ilvl w:val="0"/>
          <w:numId w:val="9"/>
        </w:numPr>
        <w:autoSpaceDE/>
        <w:autoSpaceDN/>
        <w:rPr>
          <w:rFonts w:ascii="Abadi" w:hAnsi="Abadi"/>
          <w:b w:val="0"/>
          <w:bCs w:val="0"/>
          <w:sz w:val="21"/>
          <w:szCs w:val="21"/>
        </w:rPr>
      </w:pPr>
      <w:r w:rsidRPr="009258D2">
        <w:rPr>
          <w:rFonts w:ascii="Abadi" w:hAnsi="Abadi"/>
          <w:sz w:val="21"/>
          <w:szCs w:val="21"/>
        </w:rPr>
        <w:t>Recurso de Reconsideración</w:t>
      </w:r>
      <w:r w:rsidRPr="00FC12D2">
        <w:rPr>
          <w:rFonts w:ascii="Abadi" w:hAnsi="Abadi"/>
          <w:b w:val="0"/>
          <w:bCs w:val="0"/>
          <w:sz w:val="21"/>
          <w:szCs w:val="21"/>
        </w:rPr>
        <w:t xml:space="preserve">. </w:t>
      </w:r>
    </w:p>
    <w:p w14:paraId="6DBA541C" w14:textId="77777777" w:rsidR="00076F07" w:rsidRPr="00FC12D2" w:rsidRDefault="00076F07" w:rsidP="00076F07">
      <w:pPr>
        <w:pStyle w:val="Textoindependiente"/>
        <w:ind w:left="705"/>
        <w:rPr>
          <w:rFonts w:ascii="Abadi" w:hAnsi="Abadi"/>
          <w:b w:val="0"/>
          <w:bCs w:val="0"/>
          <w:sz w:val="21"/>
          <w:szCs w:val="21"/>
        </w:rPr>
      </w:pPr>
    </w:p>
    <w:p w14:paraId="2039BA33"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 xml:space="preserve">El 24 de febrero de 2023, dentro del plazo que prevé la fracción IV del artículo 37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el ex presidente y el presidente municipales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concretamente en contra de las observaciones establecidas en los numerales  002, correspondiente a instalación y uso de transformador tipo pedestal de 150 KVA </w:t>
      </w:r>
      <w:r w:rsidRPr="009258D2">
        <w:rPr>
          <w:rFonts w:ascii="Abadi" w:hAnsi="Abadi"/>
          <w:b w:val="0"/>
          <w:bCs w:val="0"/>
          <w:sz w:val="21"/>
          <w:szCs w:val="21"/>
        </w:rPr>
        <w:lastRenderedPageBreak/>
        <w:t xml:space="preserve">13200-220/127 operación anillo; 006, relativo a pago de remuneraciones; 009, referido a avalúos de regularización 2021; 011, referente a barrido del servicio público concesionado de limpia; y 013, correspondiente a tarifas del servicio público concesionado de limpia, mismas que se encuentran relacionadas con el Capítulo II, denominado Observaciones y Recomendaciones; Respuesta Emitida por el Sujeto Fiscalizado y Valoración Correspondiente. </w:t>
      </w:r>
    </w:p>
    <w:p w14:paraId="61A8EC19" w14:textId="77777777" w:rsidR="00076F07" w:rsidRPr="009258D2" w:rsidRDefault="00076F07" w:rsidP="00076F07">
      <w:pPr>
        <w:pStyle w:val="Textoindependiente"/>
        <w:ind w:firstLine="705"/>
        <w:rPr>
          <w:rFonts w:ascii="Abadi" w:hAnsi="Abadi"/>
          <w:b w:val="0"/>
          <w:bCs w:val="0"/>
          <w:sz w:val="21"/>
          <w:szCs w:val="21"/>
        </w:rPr>
      </w:pPr>
    </w:p>
    <w:p w14:paraId="2876766A"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En tal sentido, mediante los acuerdos de fecha 24 de febrero de 2023, emitidos por el Director General de Asuntos Jurídicos de la Auditoría Superior del Estado de Guanajuato, se admitieron los recursos de reconsideración, al colmarse los requisitos de procedibilidad previstos por el artículo 51 de </w:t>
      </w:r>
      <w:smartTag w:uri="urn:schemas-microsoft-com:office:smarttags" w:element="PersonName">
        <w:smartTagPr>
          <w:attr w:name="ProductID" w:val="la Ley"/>
        </w:smartTagPr>
        <w:r w:rsidRPr="009258D2">
          <w:rPr>
            <w:rFonts w:ascii="Abadi" w:hAnsi="Abadi"/>
            <w:b w:val="0"/>
            <w:bCs w:val="0"/>
            <w:sz w:val="21"/>
            <w:szCs w:val="21"/>
          </w:rPr>
          <w:t>la Ley</w:t>
        </w:r>
      </w:smartTag>
      <w:r w:rsidRPr="009258D2">
        <w:rPr>
          <w:rFonts w:ascii="Abadi" w:hAnsi="Abadi"/>
          <w:b w:val="0"/>
          <w:bCs w:val="0"/>
          <w:sz w:val="21"/>
          <w:szCs w:val="21"/>
        </w:rPr>
        <w:t xml:space="preserve"> de Fiscalización Superior del Estado de Guanajuato, instruyendo la integración de los respectivos expedientes y el registro correspondiente. Asimismo, mediante uno de dichos acuerdos se admitieron los medios de prueba ofrecidos por el presidente municipal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al tratarse de pruebas novedosas y supervenientes.</w:t>
      </w:r>
    </w:p>
    <w:p w14:paraId="63A99998" w14:textId="77777777" w:rsidR="00076F07" w:rsidRPr="009258D2" w:rsidRDefault="00076F07" w:rsidP="00076F07">
      <w:pPr>
        <w:pStyle w:val="Textoindependiente"/>
        <w:ind w:firstLine="708"/>
        <w:rPr>
          <w:rFonts w:ascii="Abadi" w:hAnsi="Abadi"/>
          <w:b w:val="0"/>
          <w:bCs w:val="0"/>
          <w:sz w:val="21"/>
          <w:szCs w:val="21"/>
        </w:rPr>
      </w:pPr>
    </w:p>
    <w:p w14:paraId="7C765B4B"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A través del acuerdo de fecha 24 de febrero de 2023, el Director General de Asuntos Jurídicos de la Auditoría Superior del Estado ordenó la acumulación de los</w:t>
      </w:r>
      <w:r w:rsidRPr="00FC12D2">
        <w:rPr>
          <w:rFonts w:ascii="Abadi" w:hAnsi="Abadi"/>
          <w:sz w:val="21"/>
          <w:szCs w:val="21"/>
        </w:rPr>
        <w:t xml:space="preserve"> </w:t>
      </w:r>
      <w:r w:rsidRPr="009258D2">
        <w:rPr>
          <w:rFonts w:ascii="Abadi" w:hAnsi="Abadi"/>
          <w:b w:val="0"/>
          <w:bCs w:val="0"/>
          <w:sz w:val="21"/>
          <w:szCs w:val="21"/>
        </w:rPr>
        <w:t>expedientes integrados con motivo de la interposición de los recursos de reconsideración, al vincularse de manera directa.</w:t>
      </w:r>
    </w:p>
    <w:p w14:paraId="63994ED8" w14:textId="77777777" w:rsidR="00076F07" w:rsidRPr="00FC12D2" w:rsidRDefault="00076F07" w:rsidP="00076F07">
      <w:pPr>
        <w:pStyle w:val="Textoindependiente"/>
        <w:ind w:firstLine="708"/>
        <w:rPr>
          <w:rFonts w:ascii="Abadi" w:hAnsi="Abadi"/>
          <w:sz w:val="21"/>
          <w:szCs w:val="21"/>
        </w:rPr>
      </w:pPr>
    </w:p>
    <w:p w14:paraId="0B72A564"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Una vez tramitados los recursos, el Auditor Superior del Estado, el 27 de febrero de 2023 emitió la resolución correspondiente, determinándose respecto a las observaciones plasmadas en los numerales 002, 011 y 013, que las pruebas aportadas por el recurrente resultaron insuficientes para modificar el sentido de su valoración, por los argumentos señalados en el considerando séptimo de la resolución. En razón de lo cual, se confirmó el sentido de la valoración de las observaciones como no solventadas, con acciones de impacto económico pendientes de realizar por el sujeto fiscalizado.</w:t>
      </w:r>
    </w:p>
    <w:p w14:paraId="483F968A" w14:textId="77777777" w:rsidR="00076F07" w:rsidRPr="009258D2" w:rsidRDefault="00076F07" w:rsidP="00076F07">
      <w:pPr>
        <w:pStyle w:val="Textoindependiente"/>
        <w:ind w:firstLine="708"/>
        <w:rPr>
          <w:rFonts w:ascii="Abadi" w:hAnsi="Abadi"/>
          <w:b w:val="0"/>
          <w:bCs w:val="0"/>
          <w:sz w:val="21"/>
          <w:szCs w:val="21"/>
        </w:rPr>
      </w:pPr>
    </w:p>
    <w:p w14:paraId="4A7F023A"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En el caso de la observación planteada en el numeral 006, se concluyó que las pruebas aportadas por el recurrente </w:t>
      </w:r>
      <w:r w:rsidRPr="009258D2">
        <w:rPr>
          <w:rFonts w:ascii="Abadi" w:hAnsi="Abadi"/>
          <w:b w:val="0"/>
          <w:bCs w:val="0"/>
          <w:sz w:val="21"/>
          <w:szCs w:val="21"/>
        </w:rPr>
        <w:t>resultaron suficientes para acreditar el reintegro del importe observado y en consecuencia, modificar el complemento de su valoración. En atención a ello, aun cuando se confirmó el sentido de la valoración de la observación como no solventada, se modificó su complemento, para quedar sin acciones pendientes de realizar por el sujeto fiscalizado.</w:t>
      </w:r>
    </w:p>
    <w:p w14:paraId="05853999" w14:textId="77777777" w:rsidR="00076F07" w:rsidRPr="00FC12D2" w:rsidRDefault="00076F07" w:rsidP="00076F07">
      <w:pPr>
        <w:pStyle w:val="Textoindependiente"/>
        <w:ind w:firstLine="708"/>
        <w:rPr>
          <w:rFonts w:ascii="Abadi" w:hAnsi="Abadi"/>
          <w:sz w:val="21"/>
          <w:szCs w:val="21"/>
        </w:rPr>
      </w:pPr>
    </w:p>
    <w:p w14:paraId="419C4747" w14:textId="77777777" w:rsidR="00076F07" w:rsidRPr="00FC12D2" w:rsidRDefault="00076F07" w:rsidP="00076F07">
      <w:pPr>
        <w:pStyle w:val="Textoindependiente"/>
        <w:ind w:firstLine="708"/>
        <w:rPr>
          <w:rFonts w:ascii="Abadi" w:hAnsi="Abadi"/>
          <w:sz w:val="21"/>
          <w:szCs w:val="21"/>
        </w:rPr>
      </w:pPr>
    </w:p>
    <w:p w14:paraId="236745B6"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En cuanto a la observación contenida en el numeral 009, se resolvió que los agravios formulados por el recurrente resultaron infundados e inoperantes, por las razones expresadas en el considerando séptimo de la resolución. En consecuencia, se confirmó el sentido de su valoración como no solventada, con acciones de impacto económico pendientes de realizar por el sujeto fiscalizado.</w:t>
      </w:r>
    </w:p>
    <w:p w14:paraId="4BEA2591" w14:textId="77777777" w:rsidR="00076F07" w:rsidRPr="00FC12D2" w:rsidRDefault="00076F07" w:rsidP="00076F07">
      <w:pPr>
        <w:pStyle w:val="Textoindependiente"/>
        <w:ind w:firstLine="708"/>
        <w:rPr>
          <w:rFonts w:ascii="Abadi" w:hAnsi="Abadi"/>
          <w:sz w:val="21"/>
          <w:szCs w:val="21"/>
        </w:rPr>
      </w:pPr>
    </w:p>
    <w:p w14:paraId="70B00C55" w14:textId="77777777" w:rsidR="00076F07" w:rsidRPr="009258D2" w:rsidRDefault="00076F07" w:rsidP="00076F07">
      <w:pPr>
        <w:pStyle w:val="Textoindependiente"/>
        <w:ind w:firstLine="708"/>
        <w:rPr>
          <w:rFonts w:ascii="Abadi" w:hAnsi="Abadi"/>
          <w:b w:val="0"/>
          <w:bCs w:val="0"/>
          <w:sz w:val="21"/>
          <w:szCs w:val="21"/>
        </w:rPr>
      </w:pPr>
      <w:r w:rsidRPr="009258D2">
        <w:rPr>
          <w:rFonts w:ascii="Abadi" w:hAnsi="Abadi"/>
          <w:b w:val="0"/>
          <w:bCs w:val="0"/>
          <w:sz w:val="21"/>
          <w:szCs w:val="21"/>
        </w:rPr>
        <w:t xml:space="preserve">La referida resolución se notificó al presidente y al ex presidente municipales de Silao de la Victoria, </w:t>
      </w:r>
      <w:proofErr w:type="spellStart"/>
      <w:r w:rsidRPr="009258D2">
        <w:rPr>
          <w:rFonts w:ascii="Abadi" w:hAnsi="Abadi"/>
          <w:b w:val="0"/>
          <w:bCs w:val="0"/>
          <w:sz w:val="21"/>
          <w:szCs w:val="21"/>
        </w:rPr>
        <w:t>Gto</w:t>
      </w:r>
      <w:proofErr w:type="spellEnd"/>
      <w:r w:rsidRPr="009258D2">
        <w:rPr>
          <w:rFonts w:ascii="Abadi" w:hAnsi="Abadi"/>
          <w:b w:val="0"/>
          <w:bCs w:val="0"/>
          <w:sz w:val="21"/>
          <w:szCs w:val="21"/>
        </w:rPr>
        <w:t>., el 27 de febrero de 2023.</w:t>
      </w:r>
    </w:p>
    <w:p w14:paraId="2CD5FEDC" w14:textId="77777777" w:rsidR="00076F07" w:rsidRPr="00FC12D2" w:rsidRDefault="00076F07" w:rsidP="00076F07">
      <w:pPr>
        <w:pStyle w:val="Textoindependiente"/>
        <w:ind w:firstLine="705"/>
        <w:rPr>
          <w:rFonts w:ascii="Abadi" w:hAnsi="Abadi"/>
          <w:sz w:val="21"/>
          <w:szCs w:val="21"/>
        </w:rPr>
      </w:pPr>
    </w:p>
    <w:p w14:paraId="289EF9A4" w14:textId="77777777" w:rsidR="00076F07" w:rsidRPr="009258D2" w:rsidRDefault="00076F07" w:rsidP="00427BD6">
      <w:pPr>
        <w:pStyle w:val="Textoindependiente"/>
        <w:numPr>
          <w:ilvl w:val="0"/>
          <w:numId w:val="9"/>
        </w:numPr>
        <w:autoSpaceDE/>
        <w:autoSpaceDN/>
        <w:rPr>
          <w:rFonts w:ascii="Abadi" w:hAnsi="Abadi"/>
          <w:sz w:val="21"/>
          <w:szCs w:val="21"/>
        </w:rPr>
      </w:pPr>
      <w:r w:rsidRPr="009258D2">
        <w:rPr>
          <w:rFonts w:ascii="Abadi" w:hAnsi="Abadi"/>
          <w:sz w:val="21"/>
          <w:szCs w:val="21"/>
        </w:rPr>
        <w:t xml:space="preserve">Anexos. </w:t>
      </w:r>
    </w:p>
    <w:p w14:paraId="75DBD97F" w14:textId="77777777" w:rsidR="00076F07" w:rsidRPr="00FC12D2" w:rsidRDefault="00076F07" w:rsidP="00076F07">
      <w:pPr>
        <w:pStyle w:val="Textoindependiente"/>
        <w:ind w:firstLine="705"/>
        <w:rPr>
          <w:rFonts w:ascii="Abadi" w:hAnsi="Abadi"/>
          <w:sz w:val="21"/>
          <w:szCs w:val="21"/>
        </w:rPr>
      </w:pPr>
    </w:p>
    <w:p w14:paraId="0E33E3F0" w14:textId="77777777" w:rsidR="00076F07" w:rsidRPr="009258D2" w:rsidRDefault="00076F07" w:rsidP="00076F07">
      <w:pPr>
        <w:pStyle w:val="Textoindependiente"/>
        <w:ind w:firstLine="705"/>
        <w:rPr>
          <w:rFonts w:ascii="Abadi" w:hAnsi="Abadi"/>
          <w:b w:val="0"/>
          <w:bCs w:val="0"/>
          <w:sz w:val="21"/>
          <w:szCs w:val="21"/>
        </w:rPr>
      </w:pPr>
      <w:r w:rsidRPr="009258D2">
        <w:rPr>
          <w:rFonts w:ascii="Abadi" w:hAnsi="Abadi"/>
          <w:b w:val="0"/>
          <w:bCs w:val="0"/>
          <w:sz w:val="21"/>
          <w:szCs w:val="21"/>
        </w:rPr>
        <w:t>En esta parte, se adjuntan los anexos técnicos derivados de la revisión practicada.</w:t>
      </w:r>
    </w:p>
    <w:p w14:paraId="77BC18F8" w14:textId="77777777" w:rsidR="00076F07" w:rsidRPr="00FC12D2" w:rsidRDefault="00076F07" w:rsidP="00076F07">
      <w:pPr>
        <w:pStyle w:val="Textoindependiente"/>
        <w:ind w:firstLine="705"/>
        <w:rPr>
          <w:rFonts w:ascii="Abadi" w:hAnsi="Abadi"/>
          <w:sz w:val="21"/>
          <w:szCs w:val="21"/>
        </w:rPr>
      </w:pPr>
    </w:p>
    <w:p w14:paraId="0616D76F" w14:textId="77777777" w:rsidR="00076F07" w:rsidRPr="00FC12D2" w:rsidRDefault="00076F07" w:rsidP="00076F07">
      <w:pPr>
        <w:ind w:firstLine="708"/>
        <w:jc w:val="both"/>
        <w:rPr>
          <w:rFonts w:ascii="Abadi" w:hAnsi="Abadi" w:cs="Arial"/>
          <w:b/>
          <w:bCs/>
          <w:sz w:val="21"/>
          <w:szCs w:val="21"/>
        </w:rPr>
      </w:pPr>
      <w:r w:rsidRPr="00FC12D2">
        <w:rPr>
          <w:rFonts w:ascii="Abadi" w:hAnsi="Abadi" w:cs="Arial"/>
          <w:b/>
          <w:bCs/>
          <w:sz w:val="21"/>
          <w:szCs w:val="21"/>
        </w:rPr>
        <w:t>V. Conclusiones:</w:t>
      </w:r>
    </w:p>
    <w:p w14:paraId="3553822F" w14:textId="77777777" w:rsidR="00076F07" w:rsidRPr="00FC12D2" w:rsidRDefault="00076F07" w:rsidP="00076F07">
      <w:pPr>
        <w:jc w:val="both"/>
        <w:rPr>
          <w:rFonts w:ascii="Abadi" w:hAnsi="Abadi" w:cs="Arial"/>
          <w:sz w:val="21"/>
          <w:szCs w:val="21"/>
        </w:rPr>
      </w:pPr>
    </w:p>
    <w:p w14:paraId="5FB61C24" w14:textId="77777777" w:rsidR="00076F07" w:rsidRPr="00FC12D2" w:rsidRDefault="00076F07" w:rsidP="00076F07">
      <w:pPr>
        <w:jc w:val="both"/>
        <w:rPr>
          <w:rFonts w:ascii="Abadi" w:hAnsi="Abadi" w:cs="Arial"/>
          <w:sz w:val="21"/>
          <w:szCs w:val="21"/>
        </w:rPr>
      </w:pPr>
      <w:r w:rsidRPr="00FC12D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FC12D2">
          <w:rPr>
            <w:rFonts w:ascii="Abadi" w:hAnsi="Abadi" w:cs="Arial"/>
            <w:sz w:val="21"/>
            <w:szCs w:val="21"/>
          </w:rPr>
          <w:t>la Ley</w:t>
        </w:r>
      </w:smartTag>
      <w:r w:rsidRPr="00FC12D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8626D76" w14:textId="77777777" w:rsidR="00076F07" w:rsidRPr="00FC12D2" w:rsidRDefault="00076F07" w:rsidP="00076F07">
      <w:pPr>
        <w:jc w:val="both"/>
        <w:rPr>
          <w:rFonts w:ascii="Abadi" w:hAnsi="Abadi" w:cs="Arial"/>
          <w:sz w:val="21"/>
          <w:szCs w:val="21"/>
        </w:rPr>
      </w:pPr>
    </w:p>
    <w:p w14:paraId="230E46A6" w14:textId="77777777" w:rsidR="00076F07" w:rsidRPr="00FC12D2" w:rsidRDefault="00076F07" w:rsidP="00076F07">
      <w:pPr>
        <w:jc w:val="both"/>
        <w:rPr>
          <w:rFonts w:ascii="Abadi" w:hAnsi="Abadi" w:cs="Arial"/>
          <w:sz w:val="21"/>
          <w:szCs w:val="21"/>
        </w:rPr>
      </w:pPr>
      <w:r w:rsidRPr="00FC12D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5B90EAA" w14:textId="77777777" w:rsidR="00076F07" w:rsidRPr="00FC12D2" w:rsidRDefault="00076F07" w:rsidP="00076F07">
      <w:pPr>
        <w:ind w:firstLine="708"/>
        <w:jc w:val="both"/>
        <w:rPr>
          <w:rFonts w:ascii="Abadi" w:hAnsi="Abadi" w:cs="Arial"/>
          <w:sz w:val="21"/>
          <w:szCs w:val="21"/>
        </w:rPr>
      </w:pPr>
    </w:p>
    <w:p w14:paraId="57749115"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w:t>
      </w:r>
      <w:r w:rsidRPr="00FC12D2">
        <w:rPr>
          <w:rFonts w:ascii="Abadi" w:hAnsi="Abadi" w:cs="Arial"/>
          <w:sz w:val="21"/>
          <w:szCs w:val="21"/>
        </w:rPr>
        <w:lastRenderedPageBreak/>
        <w:t xml:space="preserve">observaciones y recomendaciones derivadas de la revisión al presidente y al ex presidente municipales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FC12D2">
          <w:rPr>
            <w:rFonts w:ascii="Abadi" w:hAnsi="Abadi" w:cs="Arial"/>
            <w:sz w:val="21"/>
            <w:szCs w:val="21"/>
          </w:rPr>
          <w:t>la Ley</w:t>
        </w:r>
      </w:smartTag>
      <w:r w:rsidRPr="00FC12D2">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2DEEC040" w14:textId="77777777" w:rsidR="00076F07" w:rsidRPr="00FC12D2" w:rsidRDefault="00076F07" w:rsidP="00076F07">
      <w:pPr>
        <w:ind w:firstLine="708"/>
        <w:jc w:val="both"/>
        <w:rPr>
          <w:rFonts w:ascii="Abadi" w:hAnsi="Abadi" w:cs="Arial"/>
          <w:sz w:val="21"/>
          <w:szCs w:val="21"/>
        </w:rPr>
      </w:pPr>
    </w:p>
    <w:p w14:paraId="08717E16"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De igual manera, existe en el informe de resultados la constancia de que este se notificó al presidente y al ex presidente municipales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FC12D2">
          <w:rPr>
            <w:rFonts w:ascii="Abadi" w:hAnsi="Abadi" w:cs="Arial"/>
            <w:sz w:val="21"/>
            <w:szCs w:val="21"/>
          </w:rPr>
          <w:t>la Ley</w:t>
        </w:r>
      </w:smartTag>
      <w:r w:rsidRPr="00FC12D2">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al ex presidente municipales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En tal virtud, se considera que fue respetado el derecho de audiencia o defensa por parte del Órgano Técnico.</w:t>
      </w:r>
    </w:p>
    <w:p w14:paraId="04FEBF67" w14:textId="77777777" w:rsidR="00076F07" w:rsidRPr="00FC12D2" w:rsidRDefault="00076F07" w:rsidP="00076F07">
      <w:pPr>
        <w:ind w:firstLine="708"/>
        <w:jc w:val="both"/>
        <w:rPr>
          <w:rFonts w:ascii="Abadi" w:hAnsi="Abadi" w:cs="Arial"/>
          <w:sz w:val="21"/>
          <w:szCs w:val="21"/>
        </w:rPr>
      </w:pPr>
    </w:p>
    <w:p w14:paraId="3C0188BE"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w:t>
      </w:r>
      <w:r w:rsidRPr="00FC12D2">
        <w:rPr>
          <w:rFonts w:ascii="Abadi" w:hAnsi="Abadi" w:cs="Arial"/>
          <w:sz w:val="21"/>
          <w:szCs w:val="21"/>
        </w:rPr>
        <w:t>los Principios Fundamentales de la Auditoría de las Normas Profesionales de Auditoría del Sistema Nacional de Fiscalización.</w:t>
      </w:r>
    </w:p>
    <w:p w14:paraId="21E7AEF3" w14:textId="77777777" w:rsidR="00076F07" w:rsidRPr="00FC12D2" w:rsidRDefault="00076F07" w:rsidP="00076F07">
      <w:pPr>
        <w:ind w:firstLine="708"/>
        <w:jc w:val="both"/>
        <w:rPr>
          <w:rFonts w:ascii="Abadi" w:hAnsi="Abadi" w:cs="Arial"/>
          <w:sz w:val="21"/>
          <w:szCs w:val="21"/>
        </w:rPr>
      </w:pPr>
    </w:p>
    <w:p w14:paraId="502F7685"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7E2A8C7" w14:textId="77777777" w:rsidR="00076F07" w:rsidRPr="00FC12D2" w:rsidRDefault="00076F07" w:rsidP="00076F07">
      <w:pPr>
        <w:jc w:val="both"/>
        <w:rPr>
          <w:rFonts w:ascii="Abadi" w:hAnsi="Abadi" w:cs="Arial"/>
          <w:sz w:val="21"/>
          <w:szCs w:val="21"/>
        </w:rPr>
      </w:pPr>
    </w:p>
    <w:p w14:paraId="5D71B9AD"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6EED0473" w14:textId="77777777" w:rsidR="00076F07" w:rsidRPr="00FC12D2" w:rsidRDefault="00076F07" w:rsidP="00076F07">
      <w:pPr>
        <w:ind w:firstLine="708"/>
        <w:jc w:val="both"/>
        <w:rPr>
          <w:rFonts w:ascii="Abadi" w:hAnsi="Abadi" w:cs="Arial"/>
          <w:sz w:val="21"/>
          <w:szCs w:val="21"/>
        </w:rPr>
      </w:pPr>
    </w:p>
    <w:p w14:paraId="15D0B17B"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2357F59" w14:textId="77777777" w:rsidR="00076F07" w:rsidRPr="00FC12D2" w:rsidRDefault="00076F07" w:rsidP="00076F07">
      <w:pPr>
        <w:ind w:firstLine="708"/>
        <w:jc w:val="both"/>
        <w:rPr>
          <w:rFonts w:ascii="Abadi" w:hAnsi="Abadi" w:cs="Arial"/>
          <w:sz w:val="21"/>
          <w:szCs w:val="21"/>
        </w:rPr>
      </w:pPr>
    </w:p>
    <w:p w14:paraId="59632DA1"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En razón de lo anteriormente señalado, concluimos que el informe de resultados de la revisión practicada a la cuenta pública municipal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w:t>
      </w:r>
      <w:r w:rsidRPr="00FC12D2">
        <w:rPr>
          <w:rFonts w:ascii="Abadi" w:hAnsi="Abadi" w:cs="Arial"/>
          <w:sz w:val="21"/>
          <w:szCs w:val="21"/>
        </w:rPr>
        <w:lastRenderedPageBreak/>
        <w:t xml:space="preserve">el supuesto contenido en el artículo 38 de </w:t>
      </w:r>
      <w:smartTag w:uri="urn:schemas-microsoft-com:office:smarttags" w:element="PersonName">
        <w:smartTagPr>
          <w:attr w:name="ProductID" w:val="la Ley"/>
        </w:smartTagPr>
        <w:r w:rsidRPr="00FC12D2">
          <w:rPr>
            <w:rFonts w:ascii="Abadi" w:hAnsi="Abadi" w:cs="Arial"/>
            <w:sz w:val="21"/>
            <w:szCs w:val="21"/>
          </w:rPr>
          <w:t>la Ley</w:t>
        </w:r>
      </w:smartTag>
      <w:r w:rsidRPr="00FC12D2">
        <w:rPr>
          <w:rFonts w:ascii="Abadi" w:hAnsi="Abadi" w:cs="Arial"/>
          <w:sz w:val="21"/>
          <w:szCs w:val="21"/>
        </w:rPr>
        <w:t xml:space="preserve"> de Fiscalización Superior del Estado de Guanajuato, razón por la cual no podría ser observado por el Pleno del Congreso.</w:t>
      </w:r>
    </w:p>
    <w:p w14:paraId="4CDA7173" w14:textId="77777777" w:rsidR="00076F07" w:rsidRPr="00FC12D2" w:rsidRDefault="00076F07" w:rsidP="00076F07">
      <w:pPr>
        <w:ind w:firstLine="708"/>
        <w:jc w:val="both"/>
        <w:rPr>
          <w:rFonts w:ascii="Abadi" w:hAnsi="Abadi" w:cs="Arial"/>
          <w:sz w:val="21"/>
          <w:szCs w:val="21"/>
        </w:rPr>
      </w:pPr>
    </w:p>
    <w:p w14:paraId="733F3233" w14:textId="77777777" w:rsidR="00076F07" w:rsidRPr="00FC12D2" w:rsidRDefault="00076F07" w:rsidP="00076F07">
      <w:pPr>
        <w:pStyle w:val="Sangra3detindependiente"/>
        <w:spacing w:line="240" w:lineRule="auto"/>
        <w:rPr>
          <w:rFonts w:ascii="Abadi" w:hAnsi="Abadi"/>
          <w:sz w:val="21"/>
          <w:szCs w:val="21"/>
        </w:rPr>
      </w:pPr>
      <w:r w:rsidRPr="00FC12D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C12D2">
          <w:rPr>
            <w:rFonts w:ascii="Abadi" w:hAnsi="Abadi"/>
            <w:sz w:val="21"/>
            <w:szCs w:val="21"/>
          </w:rPr>
          <w:t>la Ley Orgánica</w:t>
        </w:r>
      </w:smartTag>
      <w:r w:rsidRPr="00FC12D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C12D2">
          <w:rPr>
            <w:rFonts w:ascii="Abadi" w:hAnsi="Abadi"/>
            <w:sz w:val="21"/>
            <w:szCs w:val="21"/>
          </w:rPr>
          <w:t>la Asamblea</w:t>
        </w:r>
      </w:smartTag>
      <w:r w:rsidRPr="00FC12D2">
        <w:rPr>
          <w:rFonts w:ascii="Abadi" w:hAnsi="Abadi"/>
          <w:sz w:val="21"/>
          <w:szCs w:val="21"/>
        </w:rPr>
        <w:t>, la aprobación del siguiente:</w:t>
      </w:r>
    </w:p>
    <w:p w14:paraId="5A75BE2B" w14:textId="77777777" w:rsidR="00076F07" w:rsidRPr="00FC12D2" w:rsidRDefault="00076F07" w:rsidP="00076F07">
      <w:pPr>
        <w:pStyle w:val="Ttulo1"/>
        <w:jc w:val="center"/>
        <w:rPr>
          <w:rFonts w:ascii="Abadi" w:hAnsi="Abadi" w:cs="Arial"/>
          <w:smallCaps/>
          <w:sz w:val="21"/>
          <w:szCs w:val="21"/>
        </w:rPr>
      </w:pPr>
      <w:r w:rsidRPr="00FC12D2">
        <w:rPr>
          <w:rFonts w:ascii="Abadi" w:hAnsi="Abadi" w:cs="Arial"/>
          <w:smallCaps/>
          <w:sz w:val="21"/>
          <w:szCs w:val="21"/>
        </w:rPr>
        <w:t>A c u e r d o</w:t>
      </w:r>
    </w:p>
    <w:p w14:paraId="720D6A55" w14:textId="77777777" w:rsidR="00076F07" w:rsidRPr="00FC12D2" w:rsidRDefault="00076F07" w:rsidP="00076F07">
      <w:pPr>
        <w:rPr>
          <w:rFonts w:ascii="Abadi" w:hAnsi="Abadi"/>
          <w:sz w:val="21"/>
          <w:szCs w:val="21"/>
        </w:rPr>
      </w:pPr>
    </w:p>
    <w:p w14:paraId="07B5429B" w14:textId="77777777" w:rsidR="00076F07" w:rsidRPr="00FC12D2" w:rsidRDefault="00076F07" w:rsidP="00076F07">
      <w:pPr>
        <w:rPr>
          <w:rFonts w:ascii="Abadi" w:hAnsi="Abadi"/>
          <w:sz w:val="21"/>
          <w:szCs w:val="21"/>
        </w:rPr>
      </w:pPr>
    </w:p>
    <w:p w14:paraId="4FC8F45F" w14:textId="77777777" w:rsidR="00076F07" w:rsidRPr="00FC12D2" w:rsidRDefault="00076F07" w:rsidP="00076F07">
      <w:pPr>
        <w:ind w:firstLine="708"/>
        <w:jc w:val="both"/>
        <w:rPr>
          <w:rFonts w:ascii="Abadi" w:hAnsi="Abadi" w:cs="Arial"/>
          <w:sz w:val="21"/>
          <w:szCs w:val="21"/>
        </w:rPr>
      </w:pPr>
      <w:r w:rsidRPr="00FC12D2">
        <w:rPr>
          <w:rFonts w:ascii="Abadi" w:hAnsi="Abadi" w:cs="Arial"/>
          <w:b/>
          <w:bCs/>
          <w:sz w:val="21"/>
          <w:szCs w:val="21"/>
        </w:rPr>
        <w:t xml:space="preserve">Único. </w:t>
      </w:r>
      <w:r w:rsidRPr="00FC12D2">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FC12D2">
          <w:rPr>
            <w:rFonts w:ascii="Abadi" w:hAnsi="Abadi" w:cs="Arial"/>
            <w:sz w:val="21"/>
            <w:szCs w:val="21"/>
          </w:rPr>
          <w:t>la Constitución Política</w:t>
        </w:r>
      </w:smartTag>
      <w:r w:rsidRPr="00FC12D2">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Silao de la Victoria, </w:t>
      </w:r>
      <w:proofErr w:type="spellStart"/>
      <w:r w:rsidRPr="00FC12D2">
        <w:rPr>
          <w:rFonts w:ascii="Abadi" w:hAnsi="Abadi" w:cs="Arial"/>
          <w:sz w:val="21"/>
          <w:szCs w:val="21"/>
        </w:rPr>
        <w:t>Gto</w:t>
      </w:r>
      <w:proofErr w:type="spellEnd"/>
      <w:r w:rsidRPr="00FC12D2">
        <w:rPr>
          <w:rFonts w:ascii="Abadi" w:hAnsi="Abadi" w:cs="Arial"/>
          <w:sz w:val="21"/>
          <w:szCs w:val="21"/>
        </w:rPr>
        <w:t>., correspondiente al ejercicio fiscal del año 2021, con base en el informe de resultados formulado por la Auditoría Superior del Estado de Guanajuato.</w:t>
      </w:r>
    </w:p>
    <w:p w14:paraId="6B53C5F6" w14:textId="77777777" w:rsidR="00076F07" w:rsidRPr="00FC12D2" w:rsidRDefault="00076F07" w:rsidP="00076F07">
      <w:pPr>
        <w:ind w:firstLine="708"/>
        <w:jc w:val="both"/>
        <w:rPr>
          <w:rFonts w:ascii="Abadi" w:hAnsi="Abadi" w:cs="Arial"/>
          <w:sz w:val="21"/>
          <w:szCs w:val="21"/>
        </w:rPr>
      </w:pPr>
    </w:p>
    <w:p w14:paraId="07DE6C53" w14:textId="77777777" w:rsidR="00076F07" w:rsidRPr="00FC12D2" w:rsidRDefault="00076F07" w:rsidP="00076F07">
      <w:pPr>
        <w:pStyle w:val="Sangra3detindependiente"/>
        <w:spacing w:line="240" w:lineRule="auto"/>
        <w:rPr>
          <w:rFonts w:ascii="Abadi" w:hAnsi="Abadi"/>
          <w:sz w:val="21"/>
          <w:szCs w:val="21"/>
          <w:lang w:val="es-MX"/>
        </w:rPr>
      </w:pPr>
      <w:r w:rsidRPr="00FC12D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FC12D2">
        <w:rPr>
          <w:rFonts w:ascii="Abadi" w:hAnsi="Abadi"/>
          <w:sz w:val="21"/>
          <w:szCs w:val="21"/>
          <w:lang w:val="es-MX"/>
        </w:rPr>
        <w:t>.</w:t>
      </w:r>
      <w:r w:rsidRPr="00FC12D2">
        <w:rPr>
          <w:rFonts w:ascii="Abadi" w:hAnsi="Abadi"/>
          <w:sz w:val="21"/>
          <w:szCs w:val="21"/>
        </w:rPr>
        <w:t xml:space="preserve"> </w:t>
      </w:r>
      <w:r w:rsidRPr="00FC12D2">
        <w:rPr>
          <w:rFonts w:ascii="Abadi" w:hAnsi="Abadi"/>
          <w:sz w:val="21"/>
          <w:szCs w:val="21"/>
          <w:lang w:val="es-MX"/>
        </w:rPr>
        <w:t>Asimismo, dará</w:t>
      </w:r>
      <w:r w:rsidRPr="00FC12D2">
        <w:rPr>
          <w:rFonts w:ascii="Abadi" w:hAnsi="Abadi"/>
          <w:sz w:val="21"/>
          <w:szCs w:val="21"/>
        </w:rPr>
        <w:t xml:space="preserve"> seguimiento a la</w:t>
      </w:r>
      <w:r w:rsidRPr="00FC12D2">
        <w:rPr>
          <w:rFonts w:ascii="Abadi" w:hAnsi="Abadi"/>
          <w:sz w:val="21"/>
          <w:szCs w:val="21"/>
          <w:lang w:val="es-MX"/>
        </w:rPr>
        <w:t>s</w:t>
      </w:r>
      <w:r w:rsidRPr="00FC12D2">
        <w:rPr>
          <w:rFonts w:ascii="Abadi" w:hAnsi="Abadi"/>
          <w:sz w:val="21"/>
          <w:szCs w:val="21"/>
        </w:rPr>
        <w:t xml:space="preserve"> </w:t>
      </w:r>
      <w:proofErr w:type="spellStart"/>
      <w:r w:rsidRPr="00FC12D2">
        <w:rPr>
          <w:rFonts w:ascii="Abadi" w:hAnsi="Abadi"/>
          <w:sz w:val="21"/>
          <w:szCs w:val="21"/>
        </w:rPr>
        <w:t>observaci</w:t>
      </w:r>
      <w:r w:rsidRPr="00FC12D2">
        <w:rPr>
          <w:rFonts w:ascii="Abadi" w:hAnsi="Abadi"/>
          <w:sz w:val="21"/>
          <w:szCs w:val="21"/>
          <w:lang w:val="es-MX"/>
        </w:rPr>
        <w:t>ones</w:t>
      </w:r>
      <w:proofErr w:type="spellEnd"/>
      <w:r w:rsidRPr="00FC12D2">
        <w:rPr>
          <w:rFonts w:ascii="Abadi" w:hAnsi="Abadi"/>
          <w:sz w:val="21"/>
          <w:szCs w:val="21"/>
        </w:rPr>
        <w:t xml:space="preserve"> no solventada</w:t>
      </w:r>
      <w:r w:rsidRPr="00FC12D2">
        <w:rPr>
          <w:rFonts w:ascii="Abadi" w:hAnsi="Abadi"/>
          <w:sz w:val="21"/>
          <w:szCs w:val="21"/>
          <w:lang w:val="es-MX"/>
        </w:rPr>
        <w:t>s</w:t>
      </w:r>
      <w:r w:rsidRPr="00FC12D2">
        <w:rPr>
          <w:rFonts w:ascii="Abadi" w:hAnsi="Abadi"/>
          <w:sz w:val="21"/>
          <w:szCs w:val="21"/>
        </w:rPr>
        <w:t xml:space="preserve"> </w:t>
      </w:r>
      <w:r w:rsidRPr="00FC12D2">
        <w:rPr>
          <w:rFonts w:ascii="Abadi" w:hAnsi="Abadi"/>
          <w:sz w:val="21"/>
          <w:szCs w:val="21"/>
          <w:lang w:val="es-MX"/>
        </w:rPr>
        <w:t xml:space="preserve">y a las recomendaciones no atendidas </w:t>
      </w:r>
      <w:r w:rsidRPr="00FC12D2">
        <w:rPr>
          <w:rFonts w:ascii="Abadi" w:hAnsi="Abadi"/>
          <w:sz w:val="21"/>
          <w:szCs w:val="21"/>
        </w:rPr>
        <w:t>contenidas en el informe de resultados</w:t>
      </w:r>
      <w:r w:rsidRPr="00FC12D2">
        <w:rPr>
          <w:rFonts w:ascii="Abadi" w:hAnsi="Abadi"/>
          <w:sz w:val="21"/>
          <w:szCs w:val="21"/>
          <w:lang w:val="es-MX"/>
        </w:rPr>
        <w:t>.</w:t>
      </w:r>
    </w:p>
    <w:p w14:paraId="7AEE6CAA" w14:textId="77777777" w:rsidR="00076F07" w:rsidRPr="00FC12D2" w:rsidRDefault="00076F07" w:rsidP="00076F07">
      <w:pPr>
        <w:pStyle w:val="Sangra3detindependiente"/>
        <w:spacing w:line="240" w:lineRule="auto"/>
        <w:rPr>
          <w:rFonts w:ascii="Abadi" w:hAnsi="Abadi"/>
          <w:sz w:val="21"/>
          <w:szCs w:val="21"/>
          <w:lang w:val="es-MX"/>
        </w:rPr>
      </w:pPr>
    </w:p>
    <w:p w14:paraId="27CB9EA9"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 xml:space="preserve">Se ordena dar vista del informe de resultados al ayuntamiento del municipio de </w:t>
      </w:r>
      <w:r w:rsidRPr="00FC12D2">
        <w:rPr>
          <w:rFonts w:ascii="Abadi" w:hAnsi="Abadi" w:cs="Arial"/>
          <w:sz w:val="21"/>
          <w:szCs w:val="21"/>
          <w:lang w:val="es-MX"/>
        </w:rPr>
        <w:t>Silao de la Victoria,</w:t>
      </w:r>
      <w:r w:rsidRPr="00FC12D2">
        <w:rPr>
          <w:rFonts w:ascii="Abadi" w:hAnsi="Abadi" w:cs="Arial"/>
          <w:sz w:val="21"/>
          <w:szCs w:val="21"/>
        </w:rPr>
        <w:t xml:space="preserve"> </w:t>
      </w:r>
      <w:proofErr w:type="spellStart"/>
      <w:r w:rsidRPr="00FC12D2">
        <w:rPr>
          <w:rFonts w:ascii="Abadi" w:hAnsi="Abadi" w:cs="Arial"/>
          <w:sz w:val="21"/>
          <w:szCs w:val="21"/>
        </w:rPr>
        <w:t>Gto</w:t>
      </w:r>
      <w:proofErr w:type="spellEnd"/>
      <w:r w:rsidRPr="00FC12D2">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FC12D2">
          <w:rPr>
            <w:rFonts w:ascii="Abadi" w:hAnsi="Abadi" w:cs="Arial"/>
            <w:sz w:val="21"/>
            <w:szCs w:val="21"/>
          </w:rPr>
          <w:t>la Ley</w:t>
        </w:r>
      </w:smartTag>
      <w:r w:rsidRPr="00FC12D2">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9927842" w14:textId="77777777" w:rsidR="00076F07" w:rsidRPr="00FC12D2" w:rsidRDefault="00076F07" w:rsidP="00076F07">
      <w:pPr>
        <w:ind w:firstLine="708"/>
        <w:jc w:val="both"/>
        <w:rPr>
          <w:rFonts w:ascii="Abadi" w:hAnsi="Abadi" w:cs="Arial"/>
          <w:sz w:val="21"/>
          <w:szCs w:val="21"/>
        </w:rPr>
      </w:pPr>
    </w:p>
    <w:p w14:paraId="131C6507" w14:textId="77777777" w:rsidR="00076F07" w:rsidRPr="00FC12D2" w:rsidRDefault="00076F07" w:rsidP="00076F07">
      <w:pPr>
        <w:ind w:firstLine="708"/>
        <w:jc w:val="both"/>
        <w:rPr>
          <w:rFonts w:ascii="Abadi" w:hAnsi="Abadi" w:cs="Arial"/>
          <w:sz w:val="21"/>
          <w:szCs w:val="21"/>
        </w:rPr>
      </w:pPr>
      <w:r w:rsidRPr="00FC12D2">
        <w:rPr>
          <w:rFonts w:ascii="Abadi" w:hAnsi="Abadi" w:cs="Arial"/>
          <w:sz w:val="21"/>
          <w:szCs w:val="21"/>
        </w:rPr>
        <w:t>Remítase el presente acuerdo al titular del Poder Ejecutivo del Estado para su publicación en el Periódico Oficial del Gobierno del Estado.</w:t>
      </w:r>
    </w:p>
    <w:p w14:paraId="435C8A58" w14:textId="77777777" w:rsidR="00076F07" w:rsidRPr="00FC12D2" w:rsidRDefault="00076F07" w:rsidP="00076F07">
      <w:pPr>
        <w:ind w:firstLine="708"/>
        <w:jc w:val="both"/>
        <w:rPr>
          <w:rFonts w:ascii="Abadi" w:hAnsi="Abadi" w:cs="Arial"/>
          <w:sz w:val="21"/>
          <w:szCs w:val="21"/>
        </w:rPr>
      </w:pPr>
    </w:p>
    <w:p w14:paraId="503432C7" w14:textId="77777777" w:rsidR="00076F07" w:rsidRPr="00FC12D2" w:rsidRDefault="00076F07" w:rsidP="00076F07">
      <w:pPr>
        <w:pStyle w:val="Sangra3detindependiente"/>
        <w:spacing w:line="240" w:lineRule="auto"/>
        <w:rPr>
          <w:rFonts w:ascii="Abadi" w:hAnsi="Abadi"/>
          <w:sz w:val="21"/>
          <w:szCs w:val="21"/>
        </w:rPr>
      </w:pPr>
      <w:r w:rsidRPr="00FC12D2">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D8CC9D7" w14:textId="77777777" w:rsidR="00076F07" w:rsidRPr="00FC12D2" w:rsidRDefault="00076F07" w:rsidP="00076F07">
      <w:pPr>
        <w:jc w:val="center"/>
        <w:rPr>
          <w:rFonts w:ascii="Abadi" w:hAnsi="Abadi" w:cs="Arial"/>
          <w:b/>
          <w:bCs/>
          <w:sz w:val="21"/>
          <w:szCs w:val="21"/>
          <w:lang w:eastAsia="x-none"/>
        </w:rPr>
      </w:pPr>
    </w:p>
    <w:p w14:paraId="1D283D3C" w14:textId="77777777" w:rsidR="00076F07" w:rsidRPr="00FC12D2" w:rsidRDefault="00076F07" w:rsidP="00076F07">
      <w:pPr>
        <w:jc w:val="center"/>
        <w:rPr>
          <w:rFonts w:ascii="Abadi" w:hAnsi="Abadi" w:cs="Arial"/>
          <w:b/>
          <w:bCs/>
          <w:sz w:val="21"/>
          <w:szCs w:val="21"/>
          <w:lang w:eastAsia="x-none"/>
        </w:rPr>
      </w:pPr>
      <w:r w:rsidRPr="00FC12D2">
        <w:rPr>
          <w:rFonts w:ascii="Abadi" w:hAnsi="Abadi" w:cs="Arial"/>
          <w:b/>
          <w:bCs/>
          <w:sz w:val="21"/>
          <w:szCs w:val="21"/>
          <w:lang w:eastAsia="x-none"/>
        </w:rPr>
        <w:t xml:space="preserve">Guanajuato, </w:t>
      </w:r>
      <w:proofErr w:type="spellStart"/>
      <w:r w:rsidRPr="00FC12D2">
        <w:rPr>
          <w:rFonts w:ascii="Abadi" w:hAnsi="Abadi" w:cs="Arial"/>
          <w:b/>
          <w:bCs/>
          <w:sz w:val="21"/>
          <w:szCs w:val="21"/>
          <w:lang w:eastAsia="x-none"/>
        </w:rPr>
        <w:t>Gto</w:t>
      </w:r>
      <w:proofErr w:type="spellEnd"/>
      <w:r w:rsidRPr="00FC12D2">
        <w:rPr>
          <w:rFonts w:ascii="Abadi" w:hAnsi="Abadi" w:cs="Arial"/>
          <w:b/>
          <w:bCs/>
          <w:sz w:val="21"/>
          <w:szCs w:val="21"/>
          <w:lang w:eastAsia="x-none"/>
        </w:rPr>
        <w:t>., 13 de junio de 2023</w:t>
      </w:r>
    </w:p>
    <w:p w14:paraId="2BC1F1A7" w14:textId="77777777" w:rsidR="00076F07" w:rsidRPr="00FC12D2" w:rsidRDefault="00076F07" w:rsidP="00076F07">
      <w:pPr>
        <w:jc w:val="center"/>
        <w:rPr>
          <w:rFonts w:ascii="Abadi" w:hAnsi="Abadi" w:cs="Arial"/>
          <w:b/>
          <w:bCs/>
          <w:sz w:val="21"/>
          <w:szCs w:val="21"/>
          <w:lang w:eastAsia="x-none"/>
        </w:rPr>
      </w:pPr>
      <w:smartTag w:uri="urn:schemas-microsoft-com:office:smarttags" w:element="PersonName">
        <w:smartTagPr>
          <w:attr w:name="ProductID" w:val="La Comisi￳n"/>
        </w:smartTagPr>
        <w:r w:rsidRPr="00FC12D2">
          <w:rPr>
            <w:rFonts w:ascii="Abadi" w:hAnsi="Abadi" w:cs="Arial"/>
            <w:b/>
            <w:bCs/>
            <w:sz w:val="21"/>
            <w:szCs w:val="21"/>
            <w:lang w:eastAsia="x-none"/>
          </w:rPr>
          <w:t>La Comisión</w:t>
        </w:r>
      </w:smartTag>
      <w:r w:rsidRPr="00FC12D2">
        <w:rPr>
          <w:rFonts w:ascii="Abadi" w:hAnsi="Abadi" w:cs="Arial"/>
          <w:b/>
          <w:bCs/>
          <w:sz w:val="21"/>
          <w:szCs w:val="21"/>
          <w:lang w:eastAsia="x-none"/>
        </w:rPr>
        <w:t xml:space="preserve"> de Hacienda y Fiscalización</w:t>
      </w:r>
    </w:p>
    <w:p w14:paraId="6D39A9B8" w14:textId="77777777" w:rsidR="00076F07" w:rsidRPr="00FC12D2" w:rsidRDefault="00076F07" w:rsidP="00076F07">
      <w:pPr>
        <w:jc w:val="center"/>
        <w:rPr>
          <w:rFonts w:ascii="Abadi" w:hAnsi="Abadi" w:cs="Arial"/>
          <w:sz w:val="21"/>
          <w:szCs w:val="21"/>
        </w:rPr>
      </w:pPr>
    </w:p>
    <w:p w14:paraId="5830EE3B" w14:textId="77777777" w:rsidR="00076F07" w:rsidRPr="00FC12D2" w:rsidRDefault="00076F07" w:rsidP="001A78E2">
      <w:pPr>
        <w:rPr>
          <w:rFonts w:ascii="Abadi" w:hAnsi="Abadi" w:cs="Arial"/>
          <w:sz w:val="21"/>
          <w:szCs w:val="21"/>
        </w:rPr>
      </w:pPr>
      <w:r w:rsidRPr="00FC12D2">
        <w:rPr>
          <w:rFonts w:ascii="Abadi" w:hAnsi="Abadi" w:cs="Arial"/>
          <w:b/>
          <w:sz w:val="21"/>
          <w:szCs w:val="21"/>
          <w:lang w:eastAsia="x-none"/>
        </w:rPr>
        <w:t>Diputado Víctor Manuel Zanella Huerta</w:t>
      </w:r>
    </w:p>
    <w:p w14:paraId="174D6F29" w14:textId="77777777" w:rsidR="00076F07" w:rsidRPr="00FC12D2" w:rsidRDefault="00076F07" w:rsidP="00076F07">
      <w:pPr>
        <w:rPr>
          <w:rFonts w:ascii="Abadi" w:hAnsi="Abadi" w:cs="Arial"/>
          <w:b/>
          <w:sz w:val="21"/>
          <w:szCs w:val="21"/>
          <w:lang w:eastAsia="x-none"/>
        </w:rPr>
      </w:pPr>
      <w:r w:rsidRPr="00FC12D2">
        <w:rPr>
          <w:rFonts w:ascii="Abadi" w:hAnsi="Abadi" w:cs="Arial"/>
          <w:b/>
          <w:sz w:val="21"/>
          <w:szCs w:val="21"/>
          <w:lang w:eastAsia="x-none"/>
        </w:rPr>
        <w:t xml:space="preserve">Diputada Ruth Noemí Tiscareño Agoitia      </w:t>
      </w:r>
    </w:p>
    <w:p w14:paraId="04C2AD30" w14:textId="70598050" w:rsidR="00076F07" w:rsidRPr="00FC12D2" w:rsidRDefault="00076F07" w:rsidP="001A78E2">
      <w:pPr>
        <w:rPr>
          <w:rFonts w:ascii="Abadi" w:hAnsi="Abadi" w:cs="Arial"/>
          <w:b/>
          <w:sz w:val="21"/>
          <w:szCs w:val="21"/>
          <w:lang w:eastAsia="x-none"/>
        </w:rPr>
      </w:pPr>
      <w:r w:rsidRPr="00FC12D2">
        <w:rPr>
          <w:rFonts w:ascii="Abadi" w:hAnsi="Abadi" w:cs="Arial"/>
          <w:b/>
          <w:sz w:val="21"/>
          <w:szCs w:val="21"/>
          <w:lang w:eastAsia="x-none"/>
        </w:rPr>
        <w:t xml:space="preserve">Diputado Miguel Ángel Salim </w:t>
      </w:r>
      <w:proofErr w:type="spellStart"/>
      <w:r w:rsidRPr="00FC12D2">
        <w:rPr>
          <w:rFonts w:ascii="Abadi" w:hAnsi="Abadi" w:cs="Arial"/>
          <w:b/>
          <w:sz w:val="21"/>
          <w:szCs w:val="21"/>
          <w:lang w:eastAsia="x-none"/>
        </w:rPr>
        <w:t>Alle</w:t>
      </w:r>
      <w:proofErr w:type="spellEnd"/>
    </w:p>
    <w:p w14:paraId="5558F041" w14:textId="77777777" w:rsidR="00076F07" w:rsidRPr="00FC12D2" w:rsidRDefault="00076F07" w:rsidP="00076F07">
      <w:pPr>
        <w:rPr>
          <w:rFonts w:ascii="Abadi" w:hAnsi="Abadi" w:cs="Arial"/>
          <w:b/>
          <w:sz w:val="21"/>
          <w:szCs w:val="21"/>
          <w:lang w:eastAsia="x-none"/>
        </w:rPr>
      </w:pPr>
      <w:r w:rsidRPr="00FC12D2">
        <w:rPr>
          <w:rFonts w:ascii="Abadi" w:hAnsi="Abadi" w:cs="Arial"/>
          <w:b/>
          <w:sz w:val="21"/>
          <w:szCs w:val="21"/>
          <w:lang w:eastAsia="x-none"/>
        </w:rPr>
        <w:t xml:space="preserve">Diputado José Alfonso Borja Pimentel    </w:t>
      </w:r>
    </w:p>
    <w:p w14:paraId="4C627717" w14:textId="77777777" w:rsidR="00076F07" w:rsidRPr="00FC12D2" w:rsidRDefault="00076F07" w:rsidP="001A78E2">
      <w:pPr>
        <w:rPr>
          <w:rFonts w:ascii="Abadi" w:hAnsi="Abadi" w:cs="Arial"/>
          <w:b/>
          <w:sz w:val="21"/>
          <w:szCs w:val="21"/>
          <w:lang w:eastAsia="x-none"/>
        </w:rPr>
      </w:pPr>
      <w:r w:rsidRPr="00FC12D2">
        <w:rPr>
          <w:rFonts w:ascii="Abadi" w:hAnsi="Abadi" w:cs="Arial"/>
          <w:b/>
          <w:sz w:val="21"/>
          <w:szCs w:val="21"/>
          <w:lang w:eastAsia="x-none"/>
        </w:rPr>
        <w:t>Diputada Alma Edwviges Alcaraz Hernández</w:t>
      </w:r>
    </w:p>
    <w:p w14:paraId="790C84C8" w14:textId="77777777" w:rsidR="00076F07" w:rsidRPr="00FC12D2" w:rsidRDefault="00076F07" w:rsidP="00076F07">
      <w:pPr>
        <w:pStyle w:val="Textoindependiente2"/>
        <w:rPr>
          <w:rFonts w:ascii="Abadi" w:hAnsi="Abadi"/>
          <w:sz w:val="21"/>
          <w:szCs w:val="21"/>
        </w:rPr>
      </w:pPr>
    </w:p>
    <w:p w14:paraId="0C14AC36" w14:textId="5DC48FD0" w:rsidR="00374533" w:rsidRPr="00006796"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PÉNJAMO, GTO., CORRESPONDIENTE AL EJERCICIO FISCAL DEL AÑO 2021. </w:t>
      </w:r>
      <w:r w:rsidRPr="00006796">
        <w:rPr>
          <w:rFonts w:ascii="Abadi" w:hAnsi="Abadi" w:cs="Arial-ItalicMT"/>
          <w:b/>
          <w:bCs/>
          <w:i/>
          <w:iCs/>
          <w:sz w:val="21"/>
          <w:szCs w:val="21"/>
        </w:rPr>
        <w:t>(ELD 285/LXV-IRASEG)</w:t>
      </w:r>
      <w:r w:rsidR="00147C35">
        <w:rPr>
          <w:rStyle w:val="Refdenotaalpie"/>
          <w:rFonts w:ascii="Abadi" w:hAnsi="Abadi" w:cs="Arial-ItalicMT"/>
          <w:b/>
          <w:bCs/>
          <w:i/>
          <w:iCs/>
          <w:sz w:val="21"/>
          <w:szCs w:val="21"/>
        </w:rPr>
        <w:footnoteReference w:id="225"/>
      </w:r>
    </w:p>
    <w:p w14:paraId="101F4C6B" w14:textId="77777777" w:rsidR="00374533" w:rsidRDefault="00374533" w:rsidP="00374533">
      <w:pPr>
        <w:autoSpaceDE w:val="0"/>
        <w:autoSpaceDN w:val="0"/>
        <w:adjustRightInd w:val="0"/>
        <w:jc w:val="both"/>
        <w:rPr>
          <w:rFonts w:ascii="Abadi" w:hAnsi="Abadi" w:cs="Arial-ItalicMT"/>
          <w:b/>
          <w:bCs/>
          <w:i/>
          <w:iCs/>
          <w:sz w:val="21"/>
          <w:szCs w:val="21"/>
        </w:rPr>
      </w:pPr>
    </w:p>
    <w:p w14:paraId="0D61620B" w14:textId="77777777" w:rsidR="00CB45AC" w:rsidRDefault="00CB45AC" w:rsidP="00374533">
      <w:pPr>
        <w:autoSpaceDE w:val="0"/>
        <w:autoSpaceDN w:val="0"/>
        <w:adjustRightInd w:val="0"/>
        <w:jc w:val="both"/>
        <w:rPr>
          <w:rFonts w:ascii="Abadi" w:hAnsi="Abadi" w:cs="Arial-ItalicMT"/>
          <w:b/>
          <w:bCs/>
          <w:i/>
          <w:iCs/>
          <w:sz w:val="21"/>
          <w:szCs w:val="21"/>
        </w:rPr>
      </w:pPr>
    </w:p>
    <w:p w14:paraId="340EF601" w14:textId="77777777" w:rsidR="00DB7454" w:rsidRPr="00142C86" w:rsidRDefault="00DB7454" w:rsidP="00DB7454">
      <w:pPr>
        <w:pStyle w:val="Textoindependiente3"/>
        <w:rPr>
          <w:rFonts w:ascii="Abadi" w:hAnsi="Abadi" w:cs="Arial"/>
          <w:smallCaps/>
          <w:sz w:val="21"/>
          <w:szCs w:val="21"/>
        </w:rPr>
      </w:pPr>
      <w:r w:rsidRPr="00142C86">
        <w:rPr>
          <w:rFonts w:ascii="Abadi" w:hAnsi="Abadi" w:cs="Arial"/>
          <w:smallCaps/>
          <w:sz w:val="21"/>
          <w:szCs w:val="21"/>
        </w:rPr>
        <w:t>C. Presidenta del Congreso del Estado</w:t>
      </w:r>
    </w:p>
    <w:p w14:paraId="3D005F8D" w14:textId="77777777" w:rsidR="00DB7454" w:rsidRPr="00142C86" w:rsidRDefault="00DB7454" w:rsidP="00DB7454">
      <w:pPr>
        <w:jc w:val="both"/>
        <w:rPr>
          <w:rFonts w:ascii="Abadi" w:hAnsi="Abadi" w:cs="Arial"/>
          <w:b/>
          <w:bCs/>
          <w:smallCaps/>
          <w:sz w:val="21"/>
          <w:szCs w:val="21"/>
        </w:rPr>
      </w:pPr>
      <w:r w:rsidRPr="00142C86">
        <w:rPr>
          <w:rFonts w:ascii="Abadi" w:hAnsi="Abadi" w:cs="Arial"/>
          <w:b/>
          <w:bCs/>
          <w:smallCaps/>
          <w:sz w:val="21"/>
          <w:szCs w:val="21"/>
        </w:rPr>
        <w:t>P r e s e n t e.</w:t>
      </w:r>
    </w:p>
    <w:p w14:paraId="525E803C" w14:textId="77777777" w:rsidR="00DB7454" w:rsidRPr="00142C86" w:rsidRDefault="00DB7454" w:rsidP="00DB7454">
      <w:pPr>
        <w:pStyle w:val="Textoindependiente"/>
        <w:rPr>
          <w:rFonts w:ascii="Abadi" w:hAnsi="Abadi"/>
          <w:sz w:val="21"/>
          <w:szCs w:val="21"/>
        </w:rPr>
      </w:pPr>
    </w:p>
    <w:p w14:paraId="0E6A59BD" w14:textId="77777777" w:rsidR="00DB7454" w:rsidRPr="00142C86" w:rsidRDefault="00DB7454" w:rsidP="00DB7454">
      <w:pPr>
        <w:pStyle w:val="Sangra3detindependiente"/>
        <w:spacing w:line="240" w:lineRule="auto"/>
        <w:rPr>
          <w:rFonts w:ascii="Abadi" w:hAnsi="Abadi"/>
          <w:sz w:val="21"/>
          <w:szCs w:val="21"/>
        </w:rPr>
      </w:pPr>
      <w:r w:rsidRPr="00142C86">
        <w:rPr>
          <w:rFonts w:ascii="Abadi" w:hAnsi="Abadi"/>
          <w:sz w:val="21"/>
          <w:szCs w:val="21"/>
        </w:rPr>
        <w:t xml:space="preserve">A </w:t>
      </w:r>
      <w:r w:rsidRPr="00142C86">
        <w:rPr>
          <w:rFonts w:ascii="Abadi" w:hAnsi="Abadi"/>
          <w:sz w:val="21"/>
          <w:szCs w:val="21"/>
          <w:lang w:val="es-MX"/>
        </w:rPr>
        <w:t>esta</w:t>
      </w:r>
      <w:r w:rsidRPr="00142C86">
        <w:rPr>
          <w:rFonts w:ascii="Abadi" w:hAnsi="Abadi"/>
          <w:sz w:val="21"/>
          <w:szCs w:val="21"/>
        </w:rPr>
        <w:t xml:space="preserve"> Comisión de Hacienda y Fiscalización</w:t>
      </w:r>
      <w:r w:rsidRPr="00142C86">
        <w:rPr>
          <w:rFonts w:ascii="Abadi" w:hAnsi="Abadi"/>
          <w:sz w:val="21"/>
          <w:szCs w:val="21"/>
          <w:lang w:val="es-MX"/>
        </w:rPr>
        <w:t xml:space="preserve">, </w:t>
      </w:r>
      <w:r w:rsidRPr="00142C86">
        <w:rPr>
          <w:rFonts w:ascii="Abadi" w:hAnsi="Abadi"/>
          <w:sz w:val="21"/>
          <w:szCs w:val="21"/>
        </w:rPr>
        <w:t xml:space="preserve">le fue turnado para su estudio y dictamen, el informe de resultados de la revisión practicada por </w:t>
      </w:r>
      <w:r w:rsidRPr="00142C86">
        <w:rPr>
          <w:rFonts w:ascii="Abadi" w:hAnsi="Abadi"/>
          <w:sz w:val="21"/>
          <w:szCs w:val="21"/>
          <w:lang w:val="es-MX"/>
        </w:rPr>
        <w:t xml:space="preserve">la </w:t>
      </w:r>
      <w:r w:rsidRPr="00142C86">
        <w:rPr>
          <w:rFonts w:ascii="Abadi" w:hAnsi="Abadi"/>
          <w:sz w:val="21"/>
          <w:szCs w:val="21"/>
        </w:rPr>
        <w:t xml:space="preserve">Auditoría Superior del Estado de Guanajuato, a la cuenta pública municipal de </w:t>
      </w:r>
      <w:r w:rsidRPr="00142C86">
        <w:rPr>
          <w:rFonts w:ascii="Abadi" w:hAnsi="Abadi"/>
          <w:sz w:val="21"/>
          <w:szCs w:val="21"/>
          <w:lang w:val="es-MX"/>
        </w:rPr>
        <w:t>Pénjamo</w:t>
      </w:r>
      <w:r w:rsidRPr="00142C86">
        <w:rPr>
          <w:rFonts w:ascii="Abadi" w:hAnsi="Abadi"/>
          <w:sz w:val="21"/>
          <w:szCs w:val="21"/>
        </w:rPr>
        <w:t xml:space="preserve">, </w:t>
      </w:r>
      <w:proofErr w:type="spellStart"/>
      <w:r w:rsidRPr="00142C86">
        <w:rPr>
          <w:rFonts w:ascii="Abadi" w:hAnsi="Abadi"/>
          <w:sz w:val="21"/>
          <w:szCs w:val="21"/>
        </w:rPr>
        <w:t>Gto</w:t>
      </w:r>
      <w:proofErr w:type="spellEnd"/>
      <w:r w:rsidRPr="00142C86">
        <w:rPr>
          <w:rFonts w:ascii="Abadi" w:hAnsi="Abadi"/>
          <w:sz w:val="21"/>
          <w:szCs w:val="21"/>
        </w:rPr>
        <w:t>., correspondiente al ejercicio fiscal del año 2021. (ELD 2</w:t>
      </w:r>
      <w:r w:rsidRPr="00142C86">
        <w:rPr>
          <w:rFonts w:ascii="Abadi" w:hAnsi="Abadi"/>
          <w:sz w:val="21"/>
          <w:szCs w:val="21"/>
          <w:lang w:val="es-MX"/>
        </w:rPr>
        <w:t>85</w:t>
      </w:r>
      <w:r w:rsidRPr="00142C86">
        <w:rPr>
          <w:rFonts w:ascii="Abadi" w:hAnsi="Abadi"/>
          <w:sz w:val="21"/>
          <w:szCs w:val="21"/>
        </w:rPr>
        <w:t>/LXV-IRASEG)</w:t>
      </w:r>
    </w:p>
    <w:p w14:paraId="21015645" w14:textId="77777777" w:rsidR="00DB7454" w:rsidRPr="00142C86" w:rsidRDefault="00DB7454" w:rsidP="00DB7454">
      <w:pPr>
        <w:pStyle w:val="Sangra3detindependiente"/>
        <w:spacing w:line="240" w:lineRule="auto"/>
        <w:rPr>
          <w:rFonts w:ascii="Abadi" w:hAnsi="Abadi"/>
          <w:sz w:val="21"/>
          <w:szCs w:val="21"/>
        </w:rPr>
      </w:pPr>
    </w:p>
    <w:p w14:paraId="4B5747CB" w14:textId="77777777" w:rsidR="00DB7454" w:rsidRPr="00142C86" w:rsidRDefault="00DB7454" w:rsidP="00DB7454">
      <w:pPr>
        <w:pStyle w:val="Sangra3detindependiente"/>
        <w:spacing w:line="240" w:lineRule="auto"/>
        <w:rPr>
          <w:rFonts w:ascii="Abadi" w:hAnsi="Abadi"/>
          <w:sz w:val="21"/>
          <w:szCs w:val="21"/>
        </w:rPr>
      </w:pPr>
      <w:r w:rsidRPr="00142C86">
        <w:rPr>
          <w:rFonts w:ascii="Abadi" w:hAnsi="Abadi"/>
          <w:sz w:val="21"/>
          <w:szCs w:val="21"/>
        </w:rPr>
        <w:lastRenderedPageBreak/>
        <w:t>Una vez analizado el referido informe de resultados, con fundamento en lo dispuesto por los artículos 112, fracción XII</w:t>
      </w:r>
      <w:r w:rsidRPr="00142C86">
        <w:rPr>
          <w:rFonts w:ascii="Abadi" w:hAnsi="Abadi"/>
          <w:sz w:val="21"/>
          <w:szCs w:val="21"/>
          <w:lang w:val="es-MX"/>
        </w:rPr>
        <w:t>, primer párrafo</w:t>
      </w:r>
      <w:r w:rsidRPr="00142C86">
        <w:rPr>
          <w:rFonts w:ascii="Abadi" w:hAnsi="Abadi"/>
          <w:sz w:val="21"/>
          <w:szCs w:val="21"/>
        </w:rPr>
        <w:t xml:space="preserve"> y 171 de </w:t>
      </w:r>
      <w:smartTag w:uri="urn:schemas-microsoft-com:office:smarttags" w:element="PersonName">
        <w:smartTagPr>
          <w:attr w:name="ProductID" w:val="la Ley Org￡nica"/>
        </w:smartTagPr>
        <w:r w:rsidRPr="00142C86">
          <w:rPr>
            <w:rFonts w:ascii="Abadi" w:hAnsi="Abadi"/>
            <w:sz w:val="21"/>
            <w:szCs w:val="21"/>
          </w:rPr>
          <w:t>la Ley Orgánica</w:t>
        </w:r>
      </w:smartTag>
      <w:r w:rsidRPr="00142C86">
        <w:rPr>
          <w:rFonts w:ascii="Abadi" w:hAnsi="Abadi"/>
          <w:sz w:val="21"/>
          <w:szCs w:val="21"/>
        </w:rPr>
        <w:t xml:space="preserve"> del Poder Legislativo, nos permitimos rendir el siguiente:</w:t>
      </w:r>
    </w:p>
    <w:p w14:paraId="6E6A0F75" w14:textId="77777777" w:rsidR="00DB7454" w:rsidRPr="00142C86" w:rsidRDefault="00DB7454" w:rsidP="00DB7454">
      <w:pPr>
        <w:pStyle w:val="Sangra3detindependiente"/>
        <w:spacing w:line="240" w:lineRule="auto"/>
        <w:rPr>
          <w:rFonts w:ascii="Abadi" w:hAnsi="Abadi"/>
          <w:sz w:val="21"/>
          <w:szCs w:val="21"/>
        </w:rPr>
      </w:pPr>
    </w:p>
    <w:p w14:paraId="75DFFE1A" w14:textId="77777777" w:rsidR="00DB7454" w:rsidRPr="00142C86" w:rsidRDefault="00DB7454" w:rsidP="00DB7454">
      <w:pPr>
        <w:pStyle w:val="Ttulo1"/>
        <w:jc w:val="center"/>
        <w:rPr>
          <w:rFonts w:ascii="Abadi" w:hAnsi="Abadi" w:cs="Arial"/>
          <w:sz w:val="21"/>
          <w:szCs w:val="21"/>
        </w:rPr>
      </w:pPr>
      <w:r w:rsidRPr="00142C86">
        <w:rPr>
          <w:rFonts w:ascii="Abadi" w:hAnsi="Abadi" w:cs="Arial"/>
          <w:sz w:val="21"/>
          <w:szCs w:val="21"/>
        </w:rPr>
        <w:t>D i c t a m e n</w:t>
      </w:r>
    </w:p>
    <w:p w14:paraId="2EA4EF3C" w14:textId="77777777" w:rsidR="00076F07" w:rsidRDefault="00076F07" w:rsidP="00DB7454">
      <w:pPr>
        <w:pStyle w:val="Textoindependiente"/>
        <w:ind w:firstLine="708"/>
        <w:rPr>
          <w:rFonts w:ascii="Abadi" w:hAnsi="Abadi"/>
          <w:b w:val="0"/>
          <w:bCs w:val="0"/>
          <w:sz w:val="21"/>
          <w:szCs w:val="21"/>
        </w:rPr>
      </w:pPr>
    </w:p>
    <w:p w14:paraId="2D241C5D" w14:textId="122EF620" w:rsidR="00DB7454" w:rsidRPr="00076F07" w:rsidRDefault="00DB7454" w:rsidP="00DB7454">
      <w:pPr>
        <w:pStyle w:val="Textoindependiente"/>
        <w:ind w:firstLine="708"/>
        <w:rPr>
          <w:rFonts w:ascii="Abadi" w:hAnsi="Abadi"/>
          <w:sz w:val="21"/>
          <w:szCs w:val="21"/>
        </w:rPr>
      </w:pPr>
      <w:r w:rsidRPr="00076F07">
        <w:rPr>
          <w:rFonts w:ascii="Abadi" w:hAnsi="Abadi"/>
          <w:sz w:val="21"/>
          <w:szCs w:val="21"/>
        </w:rPr>
        <w:t>I. Competencia:</w:t>
      </w:r>
    </w:p>
    <w:p w14:paraId="5D60EB6F" w14:textId="77777777" w:rsidR="00DB7454" w:rsidRPr="00142C86" w:rsidRDefault="00DB7454" w:rsidP="00DB7454">
      <w:pPr>
        <w:pStyle w:val="Textoindependiente"/>
        <w:ind w:firstLine="708"/>
        <w:rPr>
          <w:rFonts w:ascii="Abadi" w:hAnsi="Abadi"/>
          <w:b w:val="0"/>
          <w:bCs w:val="0"/>
          <w:sz w:val="21"/>
          <w:szCs w:val="21"/>
        </w:rPr>
      </w:pPr>
    </w:p>
    <w:p w14:paraId="6A34DE62"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142C86">
          <w:rPr>
            <w:rFonts w:ascii="Abadi" w:hAnsi="Abadi" w:cs="Arial"/>
            <w:sz w:val="21"/>
            <w:szCs w:val="21"/>
            <w:lang w:val="es-MX" w:eastAsia="x-none"/>
          </w:rPr>
          <w:t>la Constitución Política</w:t>
        </w:r>
      </w:smartTag>
      <w:r w:rsidRPr="00142C86">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944465F" w14:textId="77777777" w:rsidR="00DB7454" w:rsidRPr="00142C86" w:rsidRDefault="00DB7454" w:rsidP="00DB7454">
      <w:pPr>
        <w:ind w:firstLine="708"/>
        <w:jc w:val="both"/>
        <w:rPr>
          <w:rFonts w:ascii="Abadi" w:hAnsi="Abadi" w:cs="Arial"/>
          <w:sz w:val="21"/>
          <w:szCs w:val="21"/>
          <w:lang w:val="es-MX" w:eastAsia="x-none"/>
        </w:rPr>
      </w:pPr>
    </w:p>
    <w:p w14:paraId="1B4C6C27"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5DDDCC23" w14:textId="77777777" w:rsidR="00DB7454" w:rsidRPr="00142C86" w:rsidRDefault="00DB7454" w:rsidP="00DB7454">
      <w:pPr>
        <w:ind w:firstLine="708"/>
        <w:jc w:val="both"/>
        <w:rPr>
          <w:rFonts w:ascii="Abadi" w:hAnsi="Abadi" w:cs="Arial"/>
          <w:sz w:val="21"/>
          <w:szCs w:val="21"/>
          <w:lang w:val="es-MX" w:eastAsia="x-none"/>
        </w:rPr>
      </w:pPr>
    </w:p>
    <w:p w14:paraId="3168A339" w14:textId="77777777" w:rsidR="00DB7454" w:rsidRPr="00142C86" w:rsidRDefault="00DB7454" w:rsidP="00DB7454">
      <w:pPr>
        <w:ind w:firstLine="708"/>
        <w:jc w:val="both"/>
        <w:rPr>
          <w:rFonts w:ascii="Abadi" w:hAnsi="Abadi" w:cs="Arial"/>
          <w:sz w:val="21"/>
          <w:szCs w:val="21"/>
          <w:lang w:val="es-MX" w:eastAsia="x-none"/>
        </w:rPr>
      </w:pPr>
    </w:p>
    <w:p w14:paraId="164A8080"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42C86">
          <w:rPr>
            <w:rFonts w:ascii="Abadi" w:hAnsi="Abadi" w:cs="Arial"/>
            <w:sz w:val="21"/>
            <w:szCs w:val="21"/>
            <w:lang w:val="es-MX" w:eastAsia="x-none"/>
          </w:rPr>
          <w:t>la Constitución Política</w:t>
        </w:r>
      </w:smartTag>
      <w:r w:rsidRPr="00142C86">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w:t>
      </w:r>
      <w:r w:rsidRPr="00142C86">
        <w:rPr>
          <w:rFonts w:ascii="Abadi" w:hAnsi="Abadi" w:cs="Arial"/>
          <w:sz w:val="21"/>
          <w:szCs w:val="21"/>
          <w:lang w:val="es-MX" w:eastAsia="x-none"/>
        </w:rPr>
        <w:t>ingresos obtenidos o en los gastos realizados, se determinarán las responsabilidades de acuerdo con la Ley.</w:t>
      </w:r>
    </w:p>
    <w:p w14:paraId="43306A38" w14:textId="77777777" w:rsidR="00DB7454" w:rsidRPr="00142C86" w:rsidRDefault="00DB7454" w:rsidP="00DB7454">
      <w:pPr>
        <w:ind w:firstLine="708"/>
        <w:jc w:val="both"/>
        <w:rPr>
          <w:rFonts w:ascii="Abadi" w:hAnsi="Abadi" w:cs="Arial"/>
          <w:sz w:val="21"/>
          <w:szCs w:val="21"/>
          <w:lang w:val="es-MX" w:eastAsia="x-none"/>
        </w:rPr>
      </w:pPr>
    </w:p>
    <w:p w14:paraId="3367B744"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CEE8C23" w14:textId="77777777" w:rsidR="00DB7454" w:rsidRPr="00142C86" w:rsidRDefault="00DB7454" w:rsidP="00DB7454">
      <w:pPr>
        <w:ind w:firstLine="708"/>
        <w:jc w:val="both"/>
        <w:rPr>
          <w:rFonts w:ascii="Abadi" w:hAnsi="Abadi" w:cs="Arial"/>
          <w:sz w:val="21"/>
          <w:szCs w:val="21"/>
          <w:lang w:val="es-MX" w:eastAsia="x-none"/>
        </w:rPr>
      </w:pPr>
    </w:p>
    <w:p w14:paraId="5682EBC9"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EB31D2">
          <w:rPr>
            <w:rFonts w:ascii="Abadi" w:hAnsi="Abadi"/>
            <w:b w:val="0"/>
            <w:bCs w:val="0"/>
            <w:sz w:val="21"/>
            <w:szCs w:val="21"/>
          </w:rPr>
          <w:t>la Ley</w:t>
        </w:r>
      </w:smartTag>
      <w:r w:rsidRPr="00EB31D2">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779C6C63" w14:textId="77777777" w:rsidR="00DB7454" w:rsidRPr="00EB31D2" w:rsidRDefault="00DB7454" w:rsidP="00DB7454">
      <w:pPr>
        <w:pStyle w:val="Textoindependiente"/>
        <w:ind w:firstLine="708"/>
        <w:rPr>
          <w:rFonts w:ascii="Abadi" w:hAnsi="Abadi"/>
          <w:b w:val="0"/>
          <w:bCs w:val="0"/>
          <w:sz w:val="21"/>
          <w:szCs w:val="21"/>
        </w:rPr>
      </w:pPr>
    </w:p>
    <w:p w14:paraId="46F70129"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CF44AA7" w14:textId="77777777" w:rsidR="00DB7454" w:rsidRPr="00EB31D2" w:rsidRDefault="00DB7454" w:rsidP="00DB7454">
      <w:pPr>
        <w:pStyle w:val="Textoindependiente"/>
        <w:ind w:firstLine="708"/>
        <w:rPr>
          <w:rFonts w:ascii="Abadi" w:hAnsi="Abadi"/>
          <w:b w:val="0"/>
          <w:bCs w:val="0"/>
          <w:sz w:val="21"/>
          <w:szCs w:val="21"/>
        </w:rPr>
      </w:pPr>
    </w:p>
    <w:p w14:paraId="12E0AA75"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EB31D2">
          <w:rPr>
            <w:rFonts w:ascii="Abadi" w:hAnsi="Abadi"/>
            <w:b w:val="0"/>
            <w:bCs w:val="0"/>
            <w:sz w:val="21"/>
            <w:szCs w:val="21"/>
          </w:rPr>
          <w:t>la Ley Orgánica</w:t>
        </w:r>
      </w:smartTag>
      <w:r w:rsidRPr="00EB31D2">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FF81069" w14:textId="77777777" w:rsidR="00DB7454" w:rsidRPr="00EB31D2" w:rsidRDefault="00DB7454" w:rsidP="00DB7454">
      <w:pPr>
        <w:pStyle w:val="Textoindependiente"/>
        <w:ind w:firstLine="708"/>
        <w:rPr>
          <w:rFonts w:ascii="Abadi" w:hAnsi="Abadi"/>
          <w:b w:val="0"/>
          <w:bCs w:val="0"/>
          <w:sz w:val="21"/>
          <w:szCs w:val="21"/>
        </w:rPr>
      </w:pPr>
    </w:p>
    <w:p w14:paraId="7A9A780A"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B70FB4E" w14:textId="77777777" w:rsidR="00EB31D2" w:rsidRDefault="00EB31D2" w:rsidP="00DB7454">
      <w:pPr>
        <w:ind w:firstLine="708"/>
        <w:jc w:val="both"/>
        <w:rPr>
          <w:rFonts w:ascii="Abadi" w:hAnsi="Abadi" w:cs="Arial"/>
          <w:b/>
          <w:bCs/>
          <w:sz w:val="21"/>
          <w:szCs w:val="21"/>
          <w:lang w:val="es-MX" w:eastAsia="x-none"/>
        </w:rPr>
      </w:pPr>
    </w:p>
    <w:p w14:paraId="12FC070E" w14:textId="7D972B9C" w:rsidR="00DB7454" w:rsidRPr="00142C86" w:rsidRDefault="00DB7454" w:rsidP="00DB7454">
      <w:pPr>
        <w:ind w:firstLine="708"/>
        <w:jc w:val="both"/>
        <w:rPr>
          <w:rFonts w:ascii="Abadi" w:hAnsi="Abadi" w:cs="Arial"/>
          <w:b/>
          <w:bCs/>
          <w:sz w:val="21"/>
          <w:szCs w:val="21"/>
          <w:lang w:val="es-MX" w:eastAsia="x-none"/>
        </w:rPr>
      </w:pPr>
      <w:r w:rsidRPr="00142C86">
        <w:rPr>
          <w:rFonts w:ascii="Abadi" w:hAnsi="Abadi" w:cs="Arial"/>
          <w:b/>
          <w:bCs/>
          <w:sz w:val="21"/>
          <w:szCs w:val="21"/>
          <w:lang w:val="es-MX" w:eastAsia="x-none"/>
        </w:rPr>
        <w:lastRenderedPageBreak/>
        <w:t>II. Antecedentes:</w:t>
      </w:r>
    </w:p>
    <w:p w14:paraId="69A75B75" w14:textId="77777777" w:rsidR="00DB7454" w:rsidRPr="00142C86" w:rsidRDefault="00DB7454" w:rsidP="00DB7454">
      <w:pPr>
        <w:ind w:firstLine="708"/>
        <w:jc w:val="both"/>
        <w:rPr>
          <w:rFonts w:ascii="Abadi" w:hAnsi="Abadi" w:cs="Arial"/>
          <w:sz w:val="21"/>
          <w:szCs w:val="21"/>
          <w:lang w:val="es-MX" w:eastAsia="x-none"/>
        </w:rPr>
      </w:pPr>
    </w:p>
    <w:p w14:paraId="546C7A42"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142C86">
          <w:rPr>
            <w:rFonts w:ascii="Abadi" w:hAnsi="Abadi" w:cs="Arial"/>
            <w:sz w:val="21"/>
            <w:szCs w:val="21"/>
            <w:lang w:val="es-MX" w:eastAsia="x-none"/>
          </w:rPr>
          <w:t>la Constitución Política</w:t>
        </w:r>
      </w:smartTag>
      <w:r w:rsidRPr="00142C86">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609B1F40" w14:textId="77777777" w:rsidR="00DB7454" w:rsidRPr="00142C86" w:rsidRDefault="00DB7454" w:rsidP="00DB7454">
      <w:pPr>
        <w:ind w:firstLine="708"/>
        <w:jc w:val="both"/>
        <w:rPr>
          <w:rFonts w:ascii="Abadi" w:hAnsi="Abadi" w:cs="Arial"/>
          <w:sz w:val="21"/>
          <w:szCs w:val="21"/>
          <w:lang w:val="es-MX" w:eastAsia="x-none"/>
        </w:rPr>
      </w:pPr>
    </w:p>
    <w:p w14:paraId="3A0ABBF5"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Por su parte, el artículo 66 de la Constitución Política Local, establece que los sujetos de fiscalización presentarán al</w:t>
      </w:r>
      <w:r w:rsidRPr="00142C86">
        <w:rPr>
          <w:rFonts w:ascii="Abadi" w:hAnsi="Abadi"/>
          <w:sz w:val="21"/>
          <w:szCs w:val="21"/>
        </w:rPr>
        <w:t xml:space="preserve"> </w:t>
      </w:r>
      <w:r w:rsidRPr="00EB31D2">
        <w:rPr>
          <w:rFonts w:ascii="Abadi" w:hAnsi="Abadi"/>
          <w:b w:val="0"/>
          <w:bCs w:val="0"/>
          <w:sz w:val="21"/>
          <w:szCs w:val="21"/>
        </w:rPr>
        <w:t>Congreso del Estado los informes financieros y su cuenta pública con la periodicidad, forma y términos que establezca la Ley.</w:t>
      </w:r>
    </w:p>
    <w:p w14:paraId="48D97A73" w14:textId="77777777" w:rsidR="00DB7454" w:rsidRPr="00EB31D2" w:rsidRDefault="00DB7454" w:rsidP="00DB7454">
      <w:pPr>
        <w:pStyle w:val="Textoindependiente"/>
        <w:ind w:firstLine="708"/>
        <w:rPr>
          <w:rFonts w:ascii="Abadi" w:hAnsi="Abadi"/>
          <w:b w:val="0"/>
          <w:bCs w:val="0"/>
          <w:sz w:val="21"/>
          <w:szCs w:val="21"/>
        </w:rPr>
      </w:pPr>
    </w:p>
    <w:p w14:paraId="5A3B5C73"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EB31D2">
          <w:rPr>
            <w:rFonts w:ascii="Abadi" w:hAnsi="Abadi"/>
            <w:b w:val="0"/>
            <w:bCs w:val="0"/>
            <w:sz w:val="21"/>
            <w:szCs w:val="21"/>
          </w:rPr>
          <w:t>la Ley</w:t>
        </w:r>
      </w:smartTag>
      <w:r w:rsidRPr="00EB31D2">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2569D57" w14:textId="77777777" w:rsidR="00DB7454" w:rsidRPr="00EB31D2" w:rsidRDefault="00DB7454" w:rsidP="00DB7454">
      <w:pPr>
        <w:pStyle w:val="Textoindependiente"/>
        <w:ind w:firstLine="708"/>
        <w:rPr>
          <w:rFonts w:ascii="Abadi" w:hAnsi="Abadi"/>
          <w:b w:val="0"/>
          <w:bCs w:val="0"/>
          <w:sz w:val="21"/>
          <w:szCs w:val="21"/>
        </w:rPr>
      </w:pPr>
    </w:p>
    <w:p w14:paraId="3FDEEC38"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6190379" w14:textId="77777777" w:rsidR="00DB7454" w:rsidRPr="00EB31D2" w:rsidRDefault="00DB7454" w:rsidP="00DB7454">
      <w:pPr>
        <w:pStyle w:val="Textoindependiente"/>
        <w:ind w:firstLine="708"/>
        <w:rPr>
          <w:rFonts w:ascii="Abadi" w:hAnsi="Abadi"/>
          <w:b w:val="0"/>
          <w:bCs w:val="0"/>
          <w:sz w:val="21"/>
          <w:szCs w:val="21"/>
        </w:rPr>
      </w:pPr>
    </w:p>
    <w:p w14:paraId="68A71EB5"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6E51F937" w14:textId="77777777" w:rsidR="00DB7454" w:rsidRPr="00EB31D2" w:rsidRDefault="00DB7454" w:rsidP="00DB7454">
      <w:pPr>
        <w:ind w:firstLine="708"/>
        <w:jc w:val="both"/>
        <w:rPr>
          <w:rFonts w:ascii="Abadi" w:hAnsi="Abadi" w:cs="Arial"/>
          <w:sz w:val="21"/>
          <w:szCs w:val="21"/>
          <w:lang w:val="es-MX" w:eastAsia="x-none"/>
        </w:rPr>
      </w:pPr>
    </w:p>
    <w:p w14:paraId="59D2AFA9" w14:textId="77777777" w:rsidR="00DB7454" w:rsidRPr="00142C86" w:rsidRDefault="00DB7454" w:rsidP="00DB7454">
      <w:pPr>
        <w:ind w:firstLine="708"/>
        <w:jc w:val="both"/>
        <w:rPr>
          <w:rFonts w:ascii="Abadi" w:hAnsi="Abadi" w:cs="Arial"/>
          <w:sz w:val="21"/>
          <w:szCs w:val="21"/>
          <w:lang w:val="es-MX" w:eastAsia="x-none"/>
        </w:rPr>
      </w:pPr>
      <w:r w:rsidRPr="00EB31D2">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B31D2">
          <w:rPr>
            <w:rFonts w:ascii="Abadi" w:hAnsi="Abadi" w:cs="Arial"/>
            <w:sz w:val="21"/>
            <w:szCs w:val="21"/>
            <w:lang w:val="es-MX" w:eastAsia="x-none"/>
          </w:rPr>
          <w:t>la Ley Orgánica</w:t>
        </w:r>
      </w:smartTag>
      <w:r w:rsidRPr="00EB31D2">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w:t>
      </w:r>
      <w:r w:rsidRPr="00142C86">
        <w:rPr>
          <w:rFonts w:ascii="Abadi" w:hAnsi="Abadi" w:cs="Arial"/>
          <w:sz w:val="21"/>
          <w:szCs w:val="21"/>
          <w:lang w:val="es-MX" w:eastAsia="x-none"/>
        </w:rPr>
        <w:t xml:space="preserve"> y Cuenta Pública en el Ayuntamiento.</w:t>
      </w:r>
    </w:p>
    <w:p w14:paraId="32A08B49" w14:textId="77777777" w:rsidR="00DB7454" w:rsidRPr="00142C86" w:rsidRDefault="00DB7454" w:rsidP="00DB7454">
      <w:pPr>
        <w:ind w:firstLine="708"/>
        <w:jc w:val="both"/>
        <w:rPr>
          <w:rFonts w:ascii="Abadi" w:hAnsi="Abadi" w:cs="Arial"/>
          <w:sz w:val="21"/>
          <w:szCs w:val="21"/>
          <w:lang w:val="es-MX" w:eastAsia="x-none"/>
        </w:rPr>
      </w:pPr>
    </w:p>
    <w:p w14:paraId="540C4CE1" w14:textId="77777777" w:rsidR="00DB7454" w:rsidRPr="00142C86" w:rsidRDefault="00DB7454" w:rsidP="00DB7454">
      <w:pPr>
        <w:ind w:right="60" w:firstLine="709"/>
        <w:jc w:val="both"/>
        <w:rPr>
          <w:rFonts w:ascii="Abadi" w:hAnsi="Abadi" w:cs="Arial"/>
          <w:sz w:val="21"/>
          <w:szCs w:val="21"/>
          <w:lang w:val="es-MX" w:eastAsia="x-none"/>
        </w:rPr>
      </w:pPr>
      <w:r w:rsidRPr="00142C86">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6EE3A03" w14:textId="77777777" w:rsidR="00DB7454" w:rsidRPr="00142C86" w:rsidRDefault="00DB7454" w:rsidP="00DB7454">
      <w:pPr>
        <w:ind w:right="58" w:firstLine="709"/>
        <w:jc w:val="both"/>
        <w:rPr>
          <w:rFonts w:ascii="Abadi" w:eastAsia="DejaVu Sans" w:hAnsi="Abadi" w:cs="Tahoma"/>
          <w:iCs/>
          <w:kern w:val="1"/>
          <w:sz w:val="21"/>
          <w:szCs w:val="21"/>
          <w:lang w:eastAsia="ar-SA"/>
        </w:rPr>
      </w:pPr>
    </w:p>
    <w:p w14:paraId="2C3482F9"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759143ED" w14:textId="77777777" w:rsidR="00DB7454" w:rsidRPr="00142C86" w:rsidRDefault="00DB7454" w:rsidP="00DB7454">
      <w:pPr>
        <w:pStyle w:val="Textoindependiente"/>
        <w:ind w:firstLine="708"/>
        <w:rPr>
          <w:rFonts w:ascii="Abadi" w:hAnsi="Abadi"/>
          <w:sz w:val="21"/>
          <w:szCs w:val="21"/>
        </w:rPr>
      </w:pPr>
    </w:p>
    <w:p w14:paraId="60E7C126"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5E9B7EE" w14:textId="77777777" w:rsidR="00DB7454" w:rsidRPr="00EB31D2" w:rsidRDefault="00DB7454" w:rsidP="00DB7454">
      <w:pPr>
        <w:pStyle w:val="Textoindependiente"/>
        <w:ind w:firstLine="708"/>
        <w:rPr>
          <w:rFonts w:ascii="Abadi" w:hAnsi="Abadi"/>
          <w:b w:val="0"/>
          <w:bCs w:val="0"/>
          <w:sz w:val="21"/>
          <w:szCs w:val="21"/>
        </w:rPr>
      </w:pPr>
    </w:p>
    <w:p w14:paraId="6241F93B" w14:textId="77777777" w:rsidR="00DB7454" w:rsidRPr="00142C86" w:rsidRDefault="00DB7454" w:rsidP="00DB7454">
      <w:pPr>
        <w:ind w:right="60" w:firstLine="709"/>
        <w:jc w:val="both"/>
        <w:rPr>
          <w:rFonts w:ascii="Abadi" w:hAnsi="Abadi" w:cs="Arial"/>
          <w:sz w:val="21"/>
          <w:szCs w:val="21"/>
          <w:lang w:val="es-MX" w:eastAsia="x-none"/>
        </w:rPr>
      </w:pPr>
      <w:r w:rsidRPr="00142C8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803291F" w14:textId="77777777" w:rsidR="00DB7454" w:rsidRPr="00142C86" w:rsidRDefault="00DB7454" w:rsidP="00DB7454">
      <w:pPr>
        <w:pStyle w:val="Textoindependiente"/>
        <w:ind w:firstLine="708"/>
        <w:rPr>
          <w:rFonts w:ascii="Abadi" w:hAnsi="Abadi"/>
          <w:sz w:val="21"/>
          <w:szCs w:val="21"/>
        </w:rPr>
      </w:pPr>
    </w:p>
    <w:p w14:paraId="4C4D5830"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E3CFFAE" w14:textId="77777777" w:rsidR="00DB7454" w:rsidRPr="00EB31D2" w:rsidRDefault="00DB7454" w:rsidP="00DB7454">
      <w:pPr>
        <w:pStyle w:val="Textoindependiente"/>
        <w:ind w:firstLine="708"/>
        <w:rPr>
          <w:rFonts w:ascii="Abadi" w:hAnsi="Abadi"/>
          <w:b w:val="0"/>
          <w:bCs w:val="0"/>
          <w:sz w:val="21"/>
          <w:szCs w:val="21"/>
        </w:rPr>
      </w:pPr>
    </w:p>
    <w:p w14:paraId="152992AD" w14:textId="77777777" w:rsidR="00DB7454" w:rsidRDefault="00DB7454" w:rsidP="00DB7454">
      <w:pPr>
        <w:tabs>
          <w:tab w:val="left" w:pos="709"/>
        </w:tabs>
        <w:jc w:val="both"/>
        <w:rPr>
          <w:rFonts w:ascii="Abadi" w:hAnsi="Abadi" w:cs="Arial"/>
          <w:sz w:val="21"/>
          <w:szCs w:val="21"/>
          <w:lang w:val="es-MX" w:eastAsia="x-none"/>
        </w:rPr>
      </w:pPr>
      <w:r w:rsidRPr="00142C86">
        <w:rPr>
          <w:rFonts w:ascii="Abadi" w:hAnsi="Abadi" w:cs="Arial"/>
          <w:sz w:val="21"/>
          <w:szCs w:val="21"/>
        </w:rPr>
        <w:lastRenderedPageBreak/>
        <w:tab/>
        <w:t xml:space="preserve">El citado artículo también refiere </w:t>
      </w:r>
      <w:r w:rsidRPr="00142C8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FDB5D4D" w14:textId="77777777" w:rsidR="00EB31D2" w:rsidRPr="00142C86" w:rsidRDefault="00EB31D2" w:rsidP="00DB7454">
      <w:pPr>
        <w:tabs>
          <w:tab w:val="left" w:pos="709"/>
        </w:tabs>
        <w:jc w:val="both"/>
        <w:rPr>
          <w:rFonts w:ascii="Abadi" w:hAnsi="Abadi" w:cs="Arial"/>
          <w:sz w:val="21"/>
          <w:szCs w:val="21"/>
          <w:lang w:val="es-MX" w:eastAsia="x-none"/>
        </w:rPr>
      </w:pPr>
    </w:p>
    <w:p w14:paraId="76ECAFDD" w14:textId="77777777" w:rsidR="00DB7454" w:rsidRPr="00142C86" w:rsidRDefault="00DB7454" w:rsidP="00DB7454">
      <w:pPr>
        <w:tabs>
          <w:tab w:val="left" w:pos="709"/>
        </w:tabs>
        <w:jc w:val="both"/>
        <w:rPr>
          <w:rFonts w:ascii="Abadi" w:hAnsi="Abadi" w:cs="Arial"/>
          <w:sz w:val="21"/>
          <w:szCs w:val="21"/>
          <w:lang w:val="es-MX" w:eastAsia="x-none"/>
        </w:rPr>
      </w:pPr>
      <w:r w:rsidRPr="00142C86">
        <w:rPr>
          <w:rFonts w:ascii="Abadi" w:hAnsi="Abadi" w:cs="Arial"/>
          <w:sz w:val="21"/>
          <w:szCs w:val="21"/>
          <w:lang w:val="es-MX" w:eastAsia="x-none"/>
        </w:rPr>
        <w:tab/>
        <w:t xml:space="preserve">En términos del numeral 23 de la </w:t>
      </w:r>
      <w:r w:rsidRPr="00142C86">
        <w:rPr>
          <w:rFonts w:ascii="Abadi" w:hAnsi="Abadi" w:cs="Arial"/>
          <w:sz w:val="21"/>
          <w:szCs w:val="21"/>
        </w:rPr>
        <w:t>Ley de Fiscalización Superior del Estado de Guanajuato, p</w:t>
      </w:r>
      <w:r w:rsidRPr="00142C8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123BA40" w14:textId="77777777" w:rsidR="00DB7454" w:rsidRPr="00142C86" w:rsidRDefault="00DB7454" w:rsidP="00DB7454">
      <w:pPr>
        <w:tabs>
          <w:tab w:val="left" w:pos="709"/>
        </w:tabs>
        <w:jc w:val="both"/>
        <w:rPr>
          <w:rFonts w:ascii="Abadi" w:hAnsi="Abadi" w:cs="Arial"/>
          <w:sz w:val="21"/>
          <w:szCs w:val="21"/>
          <w:lang w:val="es-MX" w:eastAsia="x-none"/>
        </w:rPr>
      </w:pPr>
    </w:p>
    <w:p w14:paraId="02AD2AF4" w14:textId="77777777" w:rsidR="00DB7454" w:rsidRPr="00142C86" w:rsidRDefault="00DB7454" w:rsidP="00DB7454">
      <w:pPr>
        <w:pStyle w:val="Texto"/>
        <w:spacing w:after="0" w:line="240" w:lineRule="auto"/>
        <w:ind w:firstLine="708"/>
        <w:rPr>
          <w:rFonts w:ascii="Abadi" w:hAnsi="Abadi" w:cs="Arial"/>
          <w:sz w:val="21"/>
          <w:szCs w:val="21"/>
          <w:lang w:val="es-MX"/>
        </w:rPr>
      </w:pPr>
      <w:r w:rsidRPr="00142C86">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4855964D" w14:textId="77777777" w:rsidR="00DB7454" w:rsidRPr="00142C86" w:rsidRDefault="00DB7454" w:rsidP="00DB7454">
      <w:pPr>
        <w:pStyle w:val="Texto"/>
        <w:spacing w:after="0" w:line="240" w:lineRule="auto"/>
        <w:ind w:firstLine="708"/>
        <w:rPr>
          <w:rFonts w:ascii="Abadi" w:hAnsi="Abadi" w:cs="Arial"/>
          <w:sz w:val="21"/>
          <w:szCs w:val="21"/>
          <w:lang w:val="es-MX"/>
        </w:rPr>
      </w:pPr>
    </w:p>
    <w:p w14:paraId="1673E2A4" w14:textId="77777777" w:rsidR="00DB7454" w:rsidRPr="00142C86" w:rsidRDefault="00DB7454" w:rsidP="00DB7454">
      <w:pPr>
        <w:pStyle w:val="Texto"/>
        <w:spacing w:after="0" w:line="240" w:lineRule="auto"/>
        <w:ind w:firstLine="708"/>
        <w:rPr>
          <w:rFonts w:ascii="Abadi" w:hAnsi="Abadi" w:cs="Arial"/>
          <w:sz w:val="21"/>
          <w:szCs w:val="21"/>
          <w:lang w:val="es-MX"/>
        </w:rPr>
      </w:pPr>
      <w:r w:rsidRPr="00142C86">
        <w:rPr>
          <w:rFonts w:ascii="Abadi" w:hAnsi="Abadi" w:cs="Arial"/>
          <w:sz w:val="21"/>
          <w:szCs w:val="21"/>
          <w:lang w:val="es-MX"/>
        </w:rPr>
        <w:t xml:space="preserve">En cumplimiento a los citados preceptos, en su oportunidad se remitió a este Congreso del Estado, la cuenta pública municipal de Pénjamo, </w:t>
      </w:r>
      <w:proofErr w:type="spellStart"/>
      <w:r w:rsidRPr="00142C86">
        <w:rPr>
          <w:rFonts w:ascii="Abadi" w:hAnsi="Abadi" w:cs="Arial"/>
          <w:sz w:val="21"/>
          <w:szCs w:val="21"/>
          <w:lang w:val="es-MX"/>
        </w:rPr>
        <w:t>Gto</w:t>
      </w:r>
      <w:proofErr w:type="spellEnd"/>
      <w:r w:rsidRPr="00142C86">
        <w:rPr>
          <w:rFonts w:ascii="Abadi" w:hAnsi="Abadi" w:cs="Arial"/>
          <w:sz w:val="21"/>
          <w:szCs w:val="21"/>
          <w:lang w:val="es-MX"/>
        </w:rPr>
        <w:t>., correspondiente al ejercicio fiscal del año 2021, turnándose a la Auditoría Superior del Estado para su revisión.</w:t>
      </w:r>
    </w:p>
    <w:p w14:paraId="76CA6FD0" w14:textId="77777777" w:rsidR="00DB7454" w:rsidRPr="00142C86" w:rsidRDefault="00DB7454" w:rsidP="00DB7454">
      <w:pPr>
        <w:pStyle w:val="Textoindependiente"/>
        <w:ind w:firstLine="708"/>
        <w:rPr>
          <w:rFonts w:ascii="Abadi" w:hAnsi="Abadi"/>
          <w:sz w:val="21"/>
          <w:szCs w:val="21"/>
        </w:rPr>
      </w:pPr>
    </w:p>
    <w:p w14:paraId="4F306E48"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Por otra parte, el artículo 16 de la Ley de Fiscalización Superior del Estado señala que la Auditoría Superior establecerá un Programa General de Fiscalización, precisando los actos y sujetos de fiscalización, los que serán objeto de auditoría o revisión conforme </w:t>
      </w:r>
      <w:r w:rsidRPr="00EB31D2">
        <w:rPr>
          <w:rFonts w:ascii="Abadi" w:hAnsi="Abadi"/>
          <w:b w:val="0"/>
          <w:bCs w:val="0"/>
          <w:sz w:val="21"/>
          <w:szCs w:val="21"/>
        </w:rPr>
        <w:t>a los criterios y normas que se establezcan en el Reglamento de dicha ley.</w:t>
      </w:r>
    </w:p>
    <w:p w14:paraId="10039368" w14:textId="77777777" w:rsidR="00DB7454" w:rsidRPr="00EB31D2" w:rsidRDefault="00DB7454" w:rsidP="00DB7454">
      <w:pPr>
        <w:pStyle w:val="Textoindependiente"/>
        <w:ind w:firstLine="708"/>
        <w:rPr>
          <w:rFonts w:ascii="Abadi" w:hAnsi="Abadi"/>
          <w:b w:val="0"/>
          <w:bCs w:val="0"/>
          <w:sz w:val="21"/>
          <w:szCs w:val="21"/>
        </w:rPr>
      </w:pPr>
    </w:p>
    <w:p w14:paraId="743AA8B0"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Pénjamo, </w:t>
      </w:r>
      <w:proofErr w:type="spellStart"/>
      <w:r w:rsidRPr="00EB31D2">
        <w:rPr>
          <w:rFonts w:ascii="Abadi" w:hAnsi="Abadi"/>
          <w:b w:val="0"/>
          <w:bCs w:val="0"/>
          <w:sz w:val="21"/>
          <w:szCs w:val="21"/>
        </w:rPr>
        <w:t>Gto</w:t>
      </w:r>
      <w:proofErr w:type="spellEnd"/>
      <w:r w:rsidRPr="00EB31D2">
        <w:rPr>
          <w:rFonts w:ascii="Abadi" w:hAnsi="Abadi"/>
          <w:b w:val="0"/>
          <w:bCs w:val="0"/>
          <w:sz w:val="21"/>
          <w:szCs w:val="21"/>
        </w:rPr>
        <w:t>., correspondiente al ejercicio fiscal del año 2021.</w:t>
      </w:r>
    </w:p>
    <w:p w14:paraId="096652B7" w14:textId="77777777" w:rsidR="00DB7454" w:rsidRPr="00142C86" w:rsidRDefault="00DB7454" w:rsidP="00DB7454">
      <w:pPr>
        <w:ind w:firstLine="708"/>
        <w:jc w:val="both"/>
        <w:rPr>
          <w:rFonts w:ascii="Abadi" w:hAnsi="Abadi" w:cs="Arial"/>
          <w:sz w:val="21"/>
          <w:szCs w:val="21"/>
          <w:lang w:val="es-MX" w:eastAsia="x-none"/>
        </w:rPr>
      </w:pPr>
    </w:p>
    <w:p w14:paraId="357FE3D0"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142C86">
        <w:rPr>
          <w:rFonts w:ascii="Abadi" w:hAnsi="Abadi" w:cs="Arial"/>
          <w:bCs/>
          <w:sz w:val="21"/>
          <w:szCs w:val="21"/>
          <w:lang w:val="es-MX" w:eastAsia="x-none"/>
        </w:rPr>
        <w:t>el 9 de marzo de 2023,</w:t>
      </w:r>
      <w:r w:rsidRPr="00142C86">
        <w:rPr>
          <w:rFonts w:ascii="Abadi" w:hAnsi="Abadi" w:cs="Arial"/>
          <w:sz w:val="21"/>
          <w:szCs w:val="21"/>
          <w:lang w:val="es-MX" w:eastAsia="x-none"/>
        </w:rPr>
        <w:t xml:space="preserve"> para su estudio y dictamen,</w:t>
      </w:r>
      <w:r w:rsidRPr="00142C86">
        <w:rPr>
          <w:rFonts w:ascii="Abadi" w:hAnsi="Abadi" w:cs="Arial"/>
          <w:b/>
          <w:sz w:val="21"/>
          <w:szCs w:val="21"/>
          <w:lang w:val="es-MX" w:eastAsia="x-none"/>
        </w:rPr>
        <w:t xml:space="preserve"> </w:t>
      </w:r>
      <w:r w:rsidRPr="00142C86">
        <w:rPr>
          <w:rFonts w:ascii="Abadi" w:hAnsi="Abadi" w:cs="Arial"/>
          <w:sz w:val="21"/>
          <w:szCs w:val="21"/>
          <w:lang w:val="es-MX" w:eastAsia="x-none"/>
        </w:rPr>
        <w:t>siendo radicado el 14 de marzo del año en curso.</w:t>
      </w:r>
    </w:p>
    <w:p w14:paraId="06537849" w14:textId="77777777" w:rsidR="00DB7454" w:rsidRPr="00142C86" w:rsidRDefault="00DB7454" w:rsidP="00DB7454">
      <w:pPr>
        <w:ind w:firstLine="708"/>
        <w:jc w:val="both"/>
        <w:rPr>
          <w:rFonts w:ascii="Abadi" w:hAnsi="Abadi" w:cs="Arial"/>
          <w:sz w:val="21"/>
          <w:szCs w:val="21"/>
          <w:lang w:val="es-MX" w:eastAsia="x-none"/>
        </w:rPr>
      </w:pPr>
    </w:p>
    <w:p w14:paraId="4B3A3434" w14:textId="77777777" w:rsidR="00DB7454" w:rsidRPr="00142C86" w:rsidRDefault="00DB7454" w:rsidP="00DB7454">
      <w:pPr>
        <w:ind w:firstLine="708"/>
        <w:jc w:val="both"/>
        <w:rPr>
          <w:rFonts w:ascii="Abadi" w:hAnsi="Abadi" w:cs="Arial"/>
          <w:sz w:val="21"/>
          <w:szCs w:val="21"/>
          <w:lang w:val="es-MX" w:eastAsia="x-none"/>
        </w:rPr>
      </w:pPr>
    </w:p>
    <w:p w14:paraId="12F184C3" w14:textId="77777777" w:rsidR="00DB7454" w:rsidRPr="00EB31D2" w:rsidRDefault="00DB7454" w:rsidP="00DB7454">
      <w:pPr>
        <w:pStyle w:val="Textoindependiente"/>
        <w:ind w:firstLine="708"/>
        <w:rPr>
          <w:rFonts w:ascii="Abadi" w:hAnsi="Abadi"/>
          <w:sz w:val="21"/>
          <w:szCs w:val="21"/>
        </w:rPr>
      </w:pPr>
      <w:r w:rsidRPr="00EB31D2">
        <w:rPr>
          <w:rFonts w:ascii="Abadi" w:hAnsi="Abadi"/>
          <w:sz w:val="21"/>
          <w:szCs w:val="21"/>
        </w:rPr>
        <w:t>III. Procedimiento de Revisión:</w:t>
      </w:r>
    </w:p>
    <w:p w14:paraId="567EE675" w14:textId="77777777" w:rsidR="00DB7454" w:rsidRPr="00142C86" w:rsidRDefault="00DB7454" w:rsidP="00DB7454">
      <w:pPr>
        <w:pStyle w:val="Textoindependiente"/>
        <w:ind w:firstLine="708"/>
        <w:rPr>
          <w:rFonts w:ascii="Abadi" w:hAnsi="Abadi"/>
          <w:sz w:val="21"/>
          <w:szCs w:val="21"/>
        </w:rPr>
      </w:pPr>
    </w:p>
    <w:p w14:paraId="5D5C0A7E"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La revisión de la cuenta pública municipal de Pénjamo, </w:t>
      </w:r>
      <w:proofErr w:type="spellStart"/>
      <w:r w:rsidRPr="00EB31D2">
        <w:rPr>
          <w:rFonts w:ascii="Abadi" w:hAnsi="Abadi"/>
          <w:b w:val="0"/>
          <w:bCs w:val="0"/>
          <w:sz w:val="21"/>
          <w:szCs w:val="21"/>
        </w:rPr>
        <w:t>Gto</w:t>
      </w:r>
      <w:proofErr w:type="spellEnd"/>
      <w:r w:rsidRPr="00EB31D2">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F0B6482" w14:textId="77777777" w:rsidR="00DB7454" w:rsidRPr="00EB31D2" w:rsidRDefault="00DB7454" w:rsidP="00DB7454">
      <w:pPr>
        <w:pStyle w:val="Textoindependiente"/>
        <w:ind w:firstLine="708"/>
        <w:rPr>
          <w:rFonts w:ascii="Abadi" w:hAnsi="Abadi"/>
          <w:b w:val="0"/>
          <w:bCs w:val="0"/>
          <w:sz w:val="21"/>
          <w:szCs w:val="21"/>
        </w:rPr>
      </w:pPr>
    </w:p>
    <w:p w14:paraId="631B95CF" w14:textId="77777777" w:rsidR="00DB7454" w:rsidRPr="00EB31D2"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44F0416" w14:textId="77777777" w:rsidR="00DB7454" w:rsidRPr="00EB31D2" w:rsidRDefault="00DB7454" w:rsidP="00DB7454">
      <w:pPr>
        <w:pStyle w:val="Textoindependiente"/>
        <w:ind w:firstLine="708"/>
        <w:rPr>
          <w:rFonts w:ascii="Abadi" w:hAnsi="Abadi"/>
          <w:b w:val="0"/>
          <w:bCs w:val="0"/>
          <w:sz w:val="21"/>
          <w:szCs w:val="21"/>
        </w:rPr>
      </w:pPr>
    </w:p>
    <w:p w14:paraId="565C8A52" w14:textId="77777777" w:rsidR="00DB7454" w:rsidRPr="00847B0F" w:rsidRDefault="00DB7454" w:rsidP="00DB7454">
      <w:pPr>
        <w:pStyle w:val="Textoindependiente"/>
        <w:ind w:firstLine="708"/>
        <w:rPr>
          <w:rFonts w:ascii="Abadi" w:hAnsi="Abadi"/>
          <w:b w:val="0"/>
          <w:bCs w:val="0"/>
          <w:sz w:val="21"/>
          <w:szCs w:val="21"/>
        </w:rPr>
      </w:pPr>
      <w:r w:rsidRPr="00EB31D2">
        <w:rPr>
          <w:rFonts w:ascii="Abadi" w:hAnsi="Abadi"/>
          <w:b w:val="0"/>
          <w:bCs w:val="0"/>
          <w:sz w:val="21"/>
          <w:szCs w:val="21"/>
        </w:rPr>
        <w:t xml:space="preserve">Por otra parte, la revisión se efectuó observando las disposiciones contenidas en la Constitución Política de los Estados Unidos </w:t>
      </w:r>
      <w:r w:rsidRPr="00EB31D2">
        <w:rPr>
          <w:rFonts w:ascii="Abadi" w:hAnsi="Abadi"/>
          <w:b w:val="0"/>
          <w:bCs w:val="0"/>
          <w:sz w:val="21"/>
          <w:szCs w:val="21"/>
        </w:rPr>
        <w:lastRenderedPageBreak/>
        <w:t>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w:t>
      </w:r>
      <w:r w:rsidRPr="00142C86">
        <w:rPr>
          <w:rFonts w:ascii="Abadi" w:hAnsi="Abadi"/>
          <w:sz w:val="21"/>
          <w:szCs w:val="21"/>
        </w:rPr>
        <w:t xml:space="preserve"> </w:t>
      </w:r>
      <w:r w:rsidRPr="00847B0F">
        <w:rPr>
          <w:rFonts w:ascii="Abadi" w:hAnsi="Abadi"/>
          <w:b w:val="0"/>
          <w:bCs w:val="0"/>
          <w:sz w:val="21"/>
          <w:szCs w:val="21"/>
        </w:rPr>
        <w:t>la Auditoría Superior del Estado de Guanajuato y publicado en el Diario Oficial de la Federación y en el Periódico Oficial del Gobierno del Estado, en fechas 25 de enero y 28 de febrero de 2017 respectivamente.</w:t>
      </w:r>
    </w:p>
    <w:p w14:paraId="37334CD2" w14:textId="77777777" w:rsidR="00DB7454" w:rsidRPr="00847B0F" w:rsidRDefault="00DB7454" w:rsidP="00DB7454">
      <w:pPr>
        <w:pStyle w:val="Textoindependiente"/>
        <w:ind w:firstLine="708"/>
        <w:rPr>
          <w:rFonts w:ascii="Abadi" w:hAnsi="Abadi"/>
          <w:b w:val="0"/>
          <w:bCs w:val="0"/>
          <w:sz w:val="21"/>
          <w:szCs w:val="21"/>
        </w:rPr>
      </w:pPr>
    </w:p>
    <w:p w14:paraId="58D4B3F2" w14:textId="77777777" w:rsidR="00DB7454" w:rsidRPr="00142C86" w:rsidRDefault="00DB7454" w:rsidP="00DB7454">
      <w:pPr>
        <w:pStyle w:val="Textoindependiente"/>
        <w:ind w:firstLine="708"/>
        <w:rPr>
          <w:rFonts w:ascii="Abadi" w:hAnsi="Abadi"/>
          <w:sz w:val="21"/>
          <w:szCs w:val="21"/>
        </w:rPr>
      </w:pPr>
    </w:p>
    <w:p w14:paraId="73082B0B"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B6846ED" w14:textId="77777777" w:rsidR="00DB7454" w:rsidRPr="00847B0F" w:rsidRDefault="00DB7454" w:rsidP="00DB7454">
      <w:pPr>
        <w:pStyle w:val="Textoindependiente"/>
        <w:ind w:firstLine="708"/>
        <w:rPr>
          <w:rFonts w:ascii="Abadi" w:hAnsi="Abadi"/>
          <w:b w:val="0"/>
          <w:bCs w:val="0"/>
          <w:sz w:val="21"/>
          <w:szCs w:val="21"/>
        </w:rPr>
      </w:pPr>
    </w:p>
    <w:p w14:paraId="0A75A461"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 xml:space="preserve">El informe de resultados establece que se practicó la revisión de la cuenta pública respecto de las operaciones realizadas por la administración pública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correspondientes al ejercicio fiscal 2021, en lo referente a los apartados de ingresos y egresos.</w:t>
      </w:r>
    </w:p>
    <w:p w14:paraId="5E2FCC24" w14:textId="77777777" w:rsidR="00DB7454" w:rsidRPr="00142C86" w:rsidRDefault="00DB7454" w:rsidP="00DB7454">
      <w:pPr>
        <w:pStyle w:val="Textoindependiente"/>
        <w:ind w:firstLine="705"/>
        <w:rPr>
          <w:rFonts w:ascii="Abadi" w:hAnsi="Abadi"/>
          <w:sz w:val="21"/>
          <w:szCs w:val="21"/>
        </w:rPr>
      </w:pPr>
    </w:p>
    <w:p w14:paraId="6AB7760A" w14:textId="77777777" w:rsidR="00DB7454" w:rsidRPr="00142C86" w:rsidRDefault="00DB7454" w:rsidP="00DB7454">
      <w:pPr>
        <w:autoSpaceDE w:val="0"/>
        <w:autoSpaceDN w:val="0"/>
        <w:adjustRightInd w:val="0"/>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w:t>
      </w:r>
      <w:r w:rsidRPr="00142C86">
        <w:rPr>
          <w:rFonts w:ascii="Abadi" w:hAnsi="Abadi" w:cs="Arial"/>
          <w:sz w:val="21"/>
          <w:szCs w:val="21"/>
          <w:lang w:val="es-MX" w:eastAsia="x-none"/>
        </w:rPr>
        <w:t xml:space="preserve">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1B384C3B" w14:textId="77777777" w:rsidR="00DB7454" w:rsidRPr="00142C86" w:rsidRDefault="00DB7454" w:rsidP="00DB7454">
      <w:pPr>
        <w:autoSpaceDE w:val="0"/>
        <w:autoSpaceDN w:val="0"/>
        <w:adjustRightInd w:val="0"/>
        <w:ind w:firstLine="708"/>
        <w:jc w:val="both"/>
        <w:rPr>
          <w:rFonts w:ascii="Abadi" w:hAnsi="Abadi" w:cs="Arial"/>
          <w:sz w:val="21"/>
          <w:szCs w:val="21"/>
          <w:lang w:val="es-MX" w:eastAsia="x-none"/>
        </w:rPr>
      </w:pPr>
    </w:p>
    <w:p w14:paraId="44212D08" w14:textId="77777777" w:rsidR="00DB7454" w:rsidRPr="00142C86" w:rsidRDefault="00DB7454" w:rsidP="00DB7454">
      <w:pPr>
        <w:ind w:firstLine="708"/>
        <w:jc w:val="both"/>
        <w:rPr>
          <w:rFonts w:ascii="Abadi" w:hAnsi="Abadi" w:cs="Arial"/>
          <w:sz w:val="21"/>
          <w:szCs w:val="21"/>
          <w:lang w:val="es-MX" w:eastAsia="x-none"/>
        </w:rPr>
      </w:pPr>
    </w:p>
    <w:p w14:paraId="47C96598" w14:textId="77777777" w:rsidR="00DB7454" w:rsidRPr="00142C86" w:rsidRDefault="00DB7454" w:rsidP="00DB7454">
      <w:pPr>
        <w:ind w:firstLine="708"/>
        <w:jc w:val="both"/>
        <w:rPr>
          <w:rFonts w:ascii="Abadi" w:hAnsi="Abadi" w:cs="Arial"/>
          <w:sz w:val="21"/>
          <w:szCs w:val="21"/>
          <w:lang w:val="es-MX" w:eastAsia="x-none"/>
        </w:rPr>
      </w:pPr>
      <w:r w:rsidRPr="00142C86">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142C86">
        <w:rPr>
          <w:rFonts w:ascii="Abadi" w:hAnsi="Abadi" w:cs="Arial"/>
          <w:sz w:val="21"/>
          <w:szCs w:val="21"/>
          <w:lang w:val="es-MX" w:eastAsia="x-none"/>
        </w:rPr>
        <w:t>fiscalizado</w:t>
      </w:r>
      <w:proofErr w:type="spellEnd"/>
      <w:r w:rsidRPr="00142C86">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144B6252" w14:textId="77777777" w:rsidR="00DB7454" w:rsidRPr="00142C86" w:rsidRDefault="00DB7454" w:rsidP="00DB7454">
      <w:pPr>
        <w:ind w:firstLine="708"/>
        <w:jc w:val="both"/>
        <w:rPr>
          <w:rFonts w:ascii="Abadi" w:hAnsi="Abadi" w:cs="Arial"/>
          <w:sz w:val="21"/>
          <w:szCs w:val="21"/>
          <w:lang w:val="es-MX" w:eastAsia="x-none"/>
        </w:rPr>
      </w:pPr>
    </w:p>
    <w:p w14:paraId="2B079F0F"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El 30 de junio de 2022 se notificó al presidente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la orden de inicio del procedimiento de revisión de la cuenta pública.</w:t>
      </w:r>
    </w:p>
    <w:p w14:paraId="5E6DCFEC" w14:textId="77777777" w:rsidR="00DB7454" w:rsidRPr="00142C86" w:rsidRDefault="00DB7454" w:rsidP="00DB7454">
      <w:pPr>
        <w:ind w:firstLine="708"/>
        <w:jc w:val="both"/>
        <w:rPr>
          <w:rFonts w:ascii="Abadi" w:hAnsi="Abadi" w:cs="Arial"/>
          <w:sz w:val="21"/>
          <w:szCs w:val="21"/>
        </w:rPr>
      </w:pPr>
    </w:p>
    <w:p w14:paraId="35CE89E5"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El 28 de noviembre de 2022 se notificó al presidente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4F8CE504" w14:textId="77777777" w:rsidR="00DB7454" w:rsidRPr="00142C86" w:rsidRDefault="00DB7454" w:rsidP="00DB7454">
      <w:pPr>
        <w:ind w:firstLine="708"/>
        <w:jc w:val="both"/>
        <w:rPr>
          <w:rFonts w:ascii="Abadi" w:hAnsi="Abadi" w:cs="Arial"/>
          <w:sz w:val="21"/>
          <w:szCs w:val="21"/>
        </w:rPr>
      </w:pPr>
    </w:p>
    <w:p w14:paraId="6B3AA796"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lastRenderedPageBreak/>
        <w:t xml:space="preserve">Posteriormente, el 24 de enero de 2023, se notificó al presidente y al ex presidente municipales de Pénjamo, </w:t>
      </w:r>
      <w:proofErr w:type="spellStart"/>
      <w:r w:rsidRPr="00142C86">
        <w:rPr>
          <w:rFonts w:ascii="Abadi" w:hAnsi="Abadi" w:cs="Arial"/>
          <w:sz w:val="21"/>
          <w:szCs w:val="21"/>
        </w:rPr>
        <w:t>Gto</w:t>
      </w:r>
      <w:proofErr w:type="spellEnd"/>
      <w:r w:rsidRPr="00142C86">
        <w:rPr>
          <w:rFonts w:ascii="Abadi" w:hAnsi="Abadi" w:cs="Arial"/>
          <w:sz w:val="21"/>
          <w:szCs w:val="21"/>
        </w:rPr>
        <w:t xml:space="preserve">., el pliego de observaciones y recomendaciones derivado de la revisión practicada a la cuenta pública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xml:space="preserve">., correspondiente al ejercicio fiscal del año 2021, al cual se dio respuesta en fechas 15 y 16 de febrero de 2023 respectivamente, por parte del tesorero municipal y del ex presidente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w:t>
      </w:r>
    </w:p>
    <w:p w14:paraId="443C1D3A" w14:textId="77777777" w:rsidR="00DB7454" w:rsidRPr="00142C86" w:rsidRDefault="00DB7454" w:rsidP="00DB7454">
      <w:pPr>
        <w:ind w:firstLine="708"/>
        <w:jc w:val="both"/>
        <w:rPr>
          <w:rFonts w:ascii="Abadi" w:hAnsi="Abadi" w:cs="Arial"/>
          <w:sz w:val="21"/>
          <w:szCs w:val="21"/>
        </w:rPr>
      </w:pPr>
    </w:p>
    <w:p w14:paraId="513A1E19"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 xml:space="preserve">El 21 de febrero de 2023, el informe de resultados se notificó al presidente y al ex presidente municipales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847B0F">
          <w:rPr>
            <w:rFonts w:ascii="Abadi" w:hAnsi="Abadi"/>
            <w:b w:val="0"/>
            <w:bCs w:val="0"/>
            <w:sz w:val="21"/>
            <w:szCs w:val="21"/>
          </w:rPr>
          <w:t>la Ley</w:t>
        </w:r>
      </w:smartTag>
      <w:r w:rsidRPr="00847B0F">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DA191BB" w14:textId="77777777" w:rsidR="00DB7454" w:rsidRPr="00847B0F" w:rsidRDefault="00DB7454" w:rsidP="00DB7454">
      <w:pPr>
        <w:pStyle w:val="Textoindependiente"/>
        <w:ind w:firstLine="708"/>
        <w:rPr>
          <w:rFonts w:ascii="Abadi" w:hAnsi="Abadi"/>
          <w:b w:val="0"/>
          <w:bCs w:val="0"/>
          <w:sz w:val="21"/>
          <w:szCs w:val="21"/>
        </w:rPr>
      </w:pPr>
    </w:p>
    <w:p w14:paraId="31BF5F02" w14:textId="77777777" w:rsidR="00DB7454" w:rsidRPr="00847B0F" w:rsidRDefault="00DB7454" w:rsidP="00DB7454">
      <w:pPr>
        <w:pStyle w:val="Textoindependiente"/>
        <w:ind w:firstLine="708"/>
        <w:rPr>
          <w:rFonts w:ascii="Abadi" w:hAnsi="Abadi"/>
          <w:b w:val="0"/>
          <w:bCs w:val="0"/>
          <w:sz w:val="21"/>
          <w:szCs w:val="21"/>
        </w:rPr>
      </w:pPr>
    </w:p>
    <w:p w14:paraId="15AC9410"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 xml:space="preserve">El 28 de febrero de 2023, dentro del plazo que prevé la fracción IV del artículo 37 de </w:t>
      </w:r>
      <w:smartTag w:uri="urn:schemas-microsoft-com:office:smarttags" w:element="PersonName">
        <w:smartTagPr>
          <w:attr w:name="ProductID" w:val="la Ley"/>
        </w:smartTagPr>
        <w:r w:rsidRPr="00847B0F">
          <w:rPr>
            <w:rFonts w:ascii="Abadi" w:hAnsi="Abadi"/>
            <w:b w:val="0"/>
            <w:bCs w:val="0"/>
            <w:sz w:val="21"/>
            <w:szCs w:val="21"/>
          </w:rPr>
          <w:t>la Ley</w:t>
        </w:r>
      </w:smartTag>
      <w:r w:rsidRPr="00847B0F">
        <w:rPr>
          <w:rFonts w:ascii="Abadi" w:hAnsi="Abadi"/>
          <w:b w:val="0"/>
          <w:bCs w:val="0"/>
          <w:sz w:val="21"/>
          <w:szCs w:val="21"/>
        </w:rPr>
        <w:t xml:space="preserve"> de Fiscalización Superior del Estado de Guanajuato, el ex presidente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847B0F">
          <w:rPr>
            <w:rFonts w:ascii="Abadi" w:hAnsi="Abadi"/>
            <w:b w:val="0"/>
            <w:bCs w:val="0"/>
            <w:sz w:val="21"/>
            <w:szCs w:val="21"/>
          </w:rPr>
          <w:t>la Ley</w:t>
        </w:r>
      </w:smartTag>
      <w:r w:rsidRPr="00847B0F">
        <w:rPr>
          <w:rFonts w:ascii="Abadi" w:hAnsi="Abadi"/>
          <w:b w:val="0"/>
          <w:bCs w:val="0"/>
          <w:sz w:val="21"/>
          <w:szCs w:val="21"/>
        </w:rPr>
        <w:t xml:space="preserve"> de Fiscalización Superior del Estado de Guanajuato.</w:t>
      </w:r>
    </w:p>
    <w:p w14:paraId="18B8F678" w14:textId="77777777" w:rsidR="00DB7454" w:rsidRPr="00847B0F" w:rsidRDefault="00DB7454" w:rsidP="00DB7454">
      <w:pPr>
        <w:ind w:firstLine="708"/>
        <w:jc w:val="both"/>
        <w:rPr>
          <w:rFonts w:ascii="Abadi" w:hAnsi="Abadi"/>
          <w:sz w:val="21"/>
          <w:szCs w:val="21"/>
        </w:rPr>
      </w:pPr>
    </w:p>
    <w:p w14:paraId="0AD4061B"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 xml:space="preserve">Una vez tramitado el recurso, el Auditor Superior el 1 de marzo de 2023 emitió la resolución correspondiente, a la cual haremos referencia en un apartado posterior, misma que se notificó al ex presidente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el 2 de marzo de 2023.</w:t>
      </w:r>
    </w:p>
    <w:p w14:paraId="02FAE93E" w14:textId="77777777" w:rsidR="00DB7454" w:rsidRPr="00142C86" w:rsidRDefault="00DB7454" w:rsidP="00DB7454">
      <w:pPr>
        <w:ind w:firstLine="708"/>
        <w:jc w:val="both"/>
        <w:rPr>
          <w:rFonts w:ascii="Abadi" w:hAnsi="Abadi" w:cs="Arial"/>
          <w:bCs/>
          <w:sz w:val="21"/>
          <w:szCs w:val="21"/>
        </w:rPr>
      </w:pPr>
    </w:p>
    <w:p w14:paraId="6ED2A22C" w14:textId="77777777" w:rsidR="00DB7454" w:rsidRPr="00847B0F" w:rsidRDefault="00DB7454" w:rsidP="00DB7454">
      <w:pPr>
        <w:pStyle w:val="Textoindependiente"/>
        <w:ind w:firstLine="708"/>
        <w:rPr>
          <w:rFonts w:ascii="Abadi" w:hAnsi="Abadi"/>
          <w:sz w:val="21"/>
          <w:szCs w:val="21"/>
        </w:rPr>
      </w:pPr>
      <w:r w:rsidRPr="00847B0F">
        <w:rPr>
          <w:rFonts w:ascii="Abadi" w:hAnsi="Abadi"/>
          <w:sz w:val="21"/>
          <w:szCs w:val="21"/>
        </w:rPr>
        <w:t>IV. Contenido del Informe de Resultados:</w:t>
      </w:r>
    </w:p>
    <w:p w14:paraId="21A46A19" w14:textId="77777777" w:rsidR="00DB7454" w:rsidRPr="00142C86" w:rsidRDefault="00DB7454" w:rsidP="00DB7454">
      <w:pPr>
        <w:pStyle w:val="Textoindependiente"/>
        <w:rPr>
          <w:rFonts w:ascii="Abadi" w:hAnsi="Abadi"/>
          <w:b w:val="0"/>
          <w:bCs w:val="0"/>
          <w:sz w:val="21"/>
          <w:szCs w:val="21"/>
        </w:rPr>
      </w:pPr>
    </w:p>
    <w:p w14:paraId="3B871215" w14:textId="77777777" w:rsidR="00DB7454" w:rsidRPr="00847B0F" w:rsidRDefault="00DB7454" w:rsidP="00DB7454">
      <w:pPr>
        <w:pStyle w:val="Textoindependiente"/>
        <w:rPr>
          <w:rFonts w:ascii="Abadi" w:hAnsi="Abadi"/>
          <w:b w:val="0"/>
          <w:sz w:val="21"/>
          <w:szCs w:val="21"/>
        </w:rPr>
      </w:pPr>
      <w:r w:rsidRPr="00142C86">
        <w:rPr>
          <w:rFonts w:ascii="Abadi" w:hAnsi="Abadi"/>
          <w:b w:val="0"/>
          <w:bCs w:val="0"/>
          <w:sz w:val="21"/>
          <w:szCs w:val="21"/>
        </w:rPr>
        <w:tab/>
      </w:r>
      <w:r w:rsidRPr="00847B0F">
        <w:rPr>
          <w:rFonts w:ascii="Abadi" w:hAnsi="Abadi"/>
          <w:b w:val="0"/>
          <w:sz w:val="21"/>
          <w:szCs w:val="21"/>
        </w:rPr>
        <w:t>En cumplimiento a lo establecido por el artículo 37, fracción III de la Ley de Fiscalización Superior del Estado, el informe de resultados contiene los siguientes apartados:</w:t>
      </w:r>
    </w:p>
    <w:p w14:paraId="47CD70AB" w14:textId="77777777" w:rsidR="00DB7454" w:rsidRPr="00142C86" w:rsidRDefault="00DB7454" w:rsidP="00DB7454">
      <w:pPr>
        <w:pStyle w:val="Textoindependiente"/>
        <w:rPr>
          <w:rFonts w:ascii="Abadi" w:hAnsi="Abadi"/>
          <w:sz w:val="21"/>
          <w:szCs w:val="21"/>
        </w:rPr>
      </w:pPr>
    </w:p>
    <w:p w14:paraId="2F681D13" w14:textId="77777777" w:rsidR="00DB7454" w:rsidRPr="00142C86" w:rsidRDefault="00DB7454" w:rsidP="00427BD6">
      <w:pPr>
        <w:pStyle w:val="Textoindependiente"/>
        <w:numPr>
          <w:ilvl w:val="0"/>
          <w:numId w:val="9"/>
        </w:numPr>
        <w:autoSpaceDE/>
        <w:autoSpaceDN/>
        <w:rPr>
          <w:rFonts w:ascii="Abadi" w:hAnsi="Abadi"/>
          <w:b w:val="0"/>
          <w:bCs w:val="0"/>
          <w:sz w:val="21"/>
          <w:szCs w:val="21"/>
        </w:rPr>
      </w:pPr>
      <w:r w:rsidRPr="00142C86">
        <w:rPr>
          <w:rFonts w:ascii="Abadi" w:hAnsi="Abadi"/>
          <w:b w:val="0"/>
          <w:bCs w:val="0"/>
          <w:sz w:val="21"/>
          <w:szCs w:val="21"/>
        </w:rPr>
        <w:t>Introducción.</w:t>
      </w:r>
    </w:p>
    <w:p w14:paraId="48302A48" w14:textId="77777777" w:rsidR="00DB7454" w:rsidRPr="00142C86" w:rsidRDefault="00DB7454" w:rsidP="00DB7454">
      <w:pPr>
        <w:pStyle w:val="Textoindependiente"/>
        <w:ind w:left="705"/>
        <w:rPr>
          <w:rFonts w:ascii="Abadi" w:hAnsi="Abadi"/>
          <w:b w:val="0"/>
          <w:bCs w:val="0"/>
          <w:sz w:val="21"/>
          <w:szCs w:val="21"/>
        </w:rPr>
      </w:pPr>
    </w:p>
    <w:p w14:paraId="7AD2F7D3"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001 del informe de resultados.</w:t>
      </w:r>
    </w:p>
    <w:p w14:paraId="0A7A5A88" w14:textId="77777777" w:rsidR="00DB7454" w:rsidRPr="00847B0F" w:rsidRDefault="00DB7454" w:rsidP="00DB7454">
      <w:pPr>
        <w:pStyle w:val="Textoindependiente"/>
        <w:ind w:firstLine="705"/>
        <w:rPr>
          <w:rFonts w:ascii="Abadi" w:hAnsi="Abadi"/>
          <w:b w:val="0"/>
          <w:bCs w:val="0"/>
          <w:sz w:val="21"/>
          <w:szCs w:val="21"/>
        </w:rPr>
      </w:pPr>
    </w:p>
    <w:p w14:paraId="12EFD712"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161A81D8" w14:textId="77777777" w:rsidR="00DB7454" w:rsidRPr="00847B0F" w:rsidRDefault="00DB7454" w:rsidP="00DB7454">
      <w:pPr>
        <w:pStyle w:val="Textoindependiente"/>
        <w:ind w:firstLine="705"/>
        <w:rPr>
          <w:rFonts w:ascii="Abadi" w:hAnsi="Abadi"/>
          <w:b w:val="0"/>
          <w:bCs w:val="0"/>
          <w:sz w:val="21"/>
          <w:szCs w:val="21"/>
        </w:rPr>
      </w:pPr>
    </w:p>
    <w:p w14:paraId="11F3E6B5"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54E659D0" w14:textId="77777777" w:rsidR="00DB7454" w:rsidRPr="00142C86" w:rsidRDefault="00DB7454" w:rsidP="00DB7454">
      <w:pPr>
        <w:jc w:val="both"/>
        <w:rPr>
          <w:rFonts w:ascii="Abadi" w:hAnsi="Abadi" w:cs="Arial"/>
          <w:i/>
          <w:iCs/>
          <w:sz w:val="21"/>
          <w:szCs w:val="21"/>
          <w:lang w:eastAsia="x-none"/>
        </w:rPr>
      </w:pPr>
    </w:p>
    <w:p w14:paraId="241052E9" w14:textId="77777777" w:rsidR="00DB7454" w:rsidRPr="00142C86" w:rsidRDefault="00DB7454" w:rsidP="00DB7454">
      <w:pPr>
        <w:jc w:val="both"/>
        <w:rPr>
          <w:rFonts w:ascii="Abadi" w:hAnsi="Abadi" w:cs="Arial"/>
          <w:i/>
          <w:iCs/>
          <w:sz w:val="21"/>
          <w:szCs w:val="21"/>
          <w:lang w:eastAsia="x-none"/>
        </w:rPr>
      </w:pPr>
      <w:r w:rsidRPr="00142C86">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1498006" w14:textId="77777777" w:rsidR="00DB7454" w:rsidRPr="00142C86" w:rsidRDefault="00DB7454" w:rsidP="00DB7454">
      <w:pPr>
        <w:rPr>
          <w:rFonts w:ascii="Abadi" w:hAnsi="Abadi" w:cs="Arial"/>
          <w:i/>
          <w:iCs/>
          <w:sz w:val="21"/>
          <w:szCs w:val="21"/>
          <w:lang w:eastAsia="x-none"/>
        </w:rPr>
      </w:pPr>
    </w:p>
    <w:p w14:paraId="1BC135AE" w14:textId="77777777" w:rsidR="00DB7454" w:rsidRPr="00142C86" w:rsidRDefault="00DB7454" w:rsidP="00DB7454">
      <w:pPr>
        <w:jc w:val="both"/>
        <w:rPr>
          <w:rFonts w:ascii="Abadi" w:hAnsi="Abadi" w:cs="Arial"/>
          <w:i/>
          <w:iCs/>
          <w:sz w:val="21"/>
          <w:szCs w:val="21"/>
          <w:lang w:eastAsia="x-none"/>
        </w:rPr>
      </w:pPr>
      <w:r w:rsidRPr="00142C86">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E352355" w14:textId="77777777" w:rsidR="00DB7454" w:rsidRPr="00142C86" w:rsidRDefault="00DB7454" w:rsidP="00DB7454">
      <w:pPr>
        <w:jc w:val="both"/>
        <w:rPr>
          <w:rFonts w:ascii="Abadi" w:hAnsi="Abadi" w:cs="Arial"/>
          <w:i/>
          <w:iCs/>
          <w:sz w:val="21"/>
          <w:szCs w:val="21"/>
          <w:lang w:eastAsia="x-none"/>
        </w:rPr>
      </w:pPr>
    </w:p>
    <w:p w14:paraId="37996CE4" w14:textId="77777777" w:rsidR="00DB7454" w:rsidRPr="00142C86" w:rsidRDefault="00DB7454" w:rsidP="00DB7454">
      <w:pPr>
        <w:jc w:val="both"/>
        <w:rPr>
          <w:rFonts w:ascii="Abadi" w:hAnsi="Abadi" w:cs="Arial"/>
          <w:i/>
          <w:iCs/>
          <w:sz w:val="21"/>
          <w:szCs w:val="21"/>
          <w:lang w:eastAsia="x-none"/>
        </w:rPr>
      </w:pPr>
      <w:r w:rsidRPr="00142C86">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3F327B8" w14:textId="77777777" w:rsidR="00DB7454" w:rsidRPr="00142C86" w:rsidRDefault="00DB7454" w:rsidP="00DB7454">
      <w:pPr>
        <w:jc w:val="both"/>
        <w:rPr>
          <w:rFonts w:ascii="Abadi" w:hAnsi="Abadi" w:cs="Arial"/>
          <w:i/>
          <w:iCs/>
          <w:sz w:val="21"/>
          <w:szCs w:val="21"/>
          <w:lang w:eastAsia="x-none"/>
        </w:rPr>
      </w:pPr>
    </w:p>
    <w:p w14:paraId="72477CDB" w14:textId="77777777" w:rsidR="00DB7454" w:rsidRPr="00142C86" w:rsidRDefault="00DB7454" w:rsidP="00DB7454">
      <w:pPr>
        <w:ind w:firstLine="705"/>
        <w:jc w:val="both"/>
        <w:rPr>
          <w:rFonts w:ascii="Abadi" w:hAnsi="Abadi" w:cs="Arial"/>
          <w:sz w:val="21"/>
          <w:szCs w:val="21"/>
          <w:lang w:eastAsia="x-none"/>
        </w:rPr>
      </w:pPr>
      <w:r w:rsidRPr="00142C86">
        <w:rPr>
          <w:rFonts w:ascii="Abadi" w:hAnsi="Abadi" w:cs="Arial"/>
          <w:sz w:val="21"/>
          <w:szCs w:val="21"/>
          <w:lang w:eastAsia="x-none"/>
        </w:rPr>
        <w:t xml:space="preserve">Derivado de lo anterior, en el proceso de auditoría se inspeccionó que los </w:t>
      </w:r>
      <w:r w:rsidRPr="00142C86">
        <w:rPr>
          <w:rFonts w:ascii="Abadi" w:hAnsi="Abadi" w:cs="Arial"/>
          <w:sz w:val="21"/>
          <w:szCs w:val="21"/>
          <w:lang w:eastAsia="x-none"/>
        </w:rPr>
        <w:lastRenderedPageBreak/>
        <w:t xml:space="preserve">comprobantes fiscales que soportan las erogaciones del ente </w:t>
      </w:r>
      <w:proofErr w:type="spellStart"/>
      <w:r w:rsidRPr="00142C86">
        <w:rPr>
          <w:rFonts w:ascii="Abadi" w:hAnsi="Abadi" w:cs="Arial"/>
          <w:sz w:val="21"/>
          <w:szCs w:val="21"/>
          <w:lang w:eastAsia="x-none"/>
        </w:rPr>
        <w:t>fiscalizado</w:t>
      </w:r>
      <w:proofErr w:type="spellEnd"/>
      <w:r w:rsidRPr="00142C86">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142C86">
        <w:rPr>
          <w:rFonts w:ascii="Abadi" w:hAnsi="Abadi" w:cs="Arial"/>
          <w:i/>
          <w:iCs/>
          <w:sz w:val="21"/>
          <w:szCs w:val="21"/>
          <w:lang w:eastAsia="x-none"/>
        </w:rPr>
        <w:t>«Definitivos»,</w:t>
      </w:r>
      <w:r w:rsidRPr="00142C86">
        <w:rPr>
          <w:rFonts w:ascii="Abadi" w:hAnsi="Abadi" w:cs="Arial"/>
          <w:sz w:val="21"/>
          <w:szCs w:val="21"/>
          <w:lang w:eastAsia="x-none"/>
        </w:rPr>
        <w:t xml:space="preserve"> emitidas por el Servicio de Administración Tributaria.</w:t>
      </w:r>
    </w:p>
    <w:p w14:paraId="3B8DD48C" w14:textId="77777777" w:rsidR="00DB7454" w:rsidRPr="00142C86" w:rsidRDefault="00DB7454" w:rsidP="00DB7454">
      <w:pPr>
        <w:pStyle w:val="Textoindependiente"/>
        <w:ind w:firstLine="705"/>
        <w:rPr>
          <w:rFonts w:ascii="Abadi" w:hAnsi="Abadi"/>
          <w:sz w:val="21"/>
          <w:szCs w:val="21"/>
        </w:rPr>
      </w:pPr>
    </w:p>
    <w:p w14:paraId="4B1FC36B" w14:textId="77777777" w:rsidR="00DB7454" w:rsidRPr="00142C86" w:rsidRDefault="00DB7454" w:rsidP="00DB7454">
      <w:pPr>
        <w:ind w:firstLine="705"/>
        <w:jc w:val="both"/>
        <w:rPr>
          <w:rFonts w:ascii="Abadi" w:hAnsi="Abadi" w:cs="Arial"/>
          <w:sz w:val="21"/>
          <w:szCs w:val="21"/>
          <w:lang w:eastAsia="x-none"/>
        </w:rPr>
      </w:pPr>
      <w:r w:rsidRPr="00142C86">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142C86">
        <w:rPr>
          <w:rFonts w:ascii="Abadi" w:hAnsi="Abadi" w:cs="Arial"/>
          <w:sz w:val="21"/>
          <w:szCs w:val="21"/>
          <w:lang w:eastAsia="x-none"/>
        </w:rPr>
        <w:t>fiscalizado</w:t>
      </w:r>
      <w:proofErr w:type="spellEnd"/>
      <w:r w:rsidRPr="00142C86">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w:t>
      </w:r>
      <w:r w:rsidRPr="00142C86">
        <w:rPr>
          <w:rFonts w:ascii="Abadi" w:hAnsi="Abadi" w:cs="Arial"/>
          <w:sz w:val="21"/>
          <w:szCs w:val="21"/>
          <w:lang w:eastAsia="x-none"/>
        </w:rPr>
        <w:t>operaciones comerciales o contractuales con el sujeto fiscalizado.</w:t>
      </w:r>
    </w:p>
    <w:p w14:paraId="1C98C16E" w14:textId="77777777" w:rsidR="00DB7454" w:rsidRPr="00142C86" w:rsidRDefault="00DB7454" w:rsidP="00DB7454">
      <w:pPr>
        <w:ind w:firstLine="705"/>
        <w:jc w:val="both"/>
        <w:rPr>
          <w:rFonts w:ascii="Abadi" w:hAnsi="Abadi" w:cs="Arial"/>
          <w:sz w:val="21"/>
          <w:szCs w:val="21"/>
          <w:lang w:eastAsia="x-none"/>
        </w:rPr>
      </w:pPr>
    </w:p>
    <w:p w14:paraId="2B415F78" w14:textId="77777777" w:rsidR="00DB7454" w:rsidRPr="00142C86" w:rsidRDefault="00DB7454" w:rsidP="00DB7454">
      <w:pPr>
        <w:ind w:firstLine="705"/>
        <w:jc w:val="both"/>
        <w:rPr>
          <w:rFonts w:ascii="Abadi" w:hAnsi="Abadi" w:cs="Arial"/>
          <w:sz w:val="21"/>
          <w:szCs w:val="21"/>
          <w:lang w:val="es-MX" w:eastAsia="x-none"/>
        </w:rPr>
      </w:pPr>
      <w:r w:rsidRPr="00142C86">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142C86">
        <w:rPr>
          <w:rFonts w:ascii="Abadi" w:hAnsi="Abadi" w:cs="Arial"/>
          <w:sz w:val="21"/>
          <w:szCs w:val="21"/>
          <w:lang w:val="es-MX" w:eastAsia="x-none"/>
        </w:rPr>
        <w:t>fiscalizado</w:t>
      </w:r>
      <w:proofErr w:type="spellEnd"/>
      <w:r w:rsidRPr="00142C86">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142C86">
        <w:rPr>
          <w:rFonts w:ascii="Abadi" w:hAnsi="Abadi" w:cs="Arial"/>
          <w:sz w:val="21"/>
          <w:szCs w:val="21"/>
          <w:lang w:val="es-MX" w:eastAsia="x-none"/>
        </w:rPr>
        <w:t>fiscalizado</w:t>
      </w:r>
      <w:proofErr w:type="spellEnd"/>
      <w:r w:rsidRPr="00142C86">
        <w:rPr>
          <w:rFonts w:ascii="Abadi" w:hAnsi="Abadi" w:cs="Arial"/>
          <w:sz w:val="21"/>
          <w:szCs w:val="21"/>
          <w:lang w:val="es-MX" w:eastAsia="x-none"/>
        </w:rPr>
        <w:t>.</w:t>
      </w:r>
    </w:p>
    <w:p w14:paraId="05F85584" w14:textId="77777777" w:rsidR="00DB7454" w:rsidRPr="00142C86" w:rsidRDefault="00DB7454" w:rsidP="00DB7454">
      <w:pPr>
        <w:ind w:firstLine="705"/>
        <w:jc w:val="both"/>
        <w:rPr>
          <w:rFonts w:ascii="Abadi" w:hAnsi="Abadi" w:cs="Arial"/>
          <w:sz w:val="21"/>
          <w:szCs w:val="21"/>
          <w:lang w:val="es-MX" w:eastAsia="x-none"/>
        </w:rPr>
      </w:pPr>
    </w:p>
    <w:p w14:paraId="22F5510B" w14:textId="77777777" w:rsidR="00DB7454" w:rsidRPr="00142C86" w:rsidRDefault="00DB7454" w:rsidP="00DB7454">
      <w:pPr>
        <w:ind w:firstLine="705"/>
        <w:jc w:val="both"/>
        <w:rPr>
          <w:rFonts w:ascii="Abadi" w:hAnsi="Abadi" w:cs="Arial"/>
          <w:sz w:val="21"/>
          <w:szCs w:val="21"/>
          <w:lang w:val="es-MX" w:eastAsia="x-none"/>
        </w:rPr>
      </w:pPr>
      <w:r w:rsidRPr="00142C86">
        <w:rPr>
          <w:rFonts w:ascii="Abadi" w:hAnsi="Abadi" w:cs="Arial"/>
          <w:sz w:val="21"/>
          <w:szCs w:val="21"/>
          <w:lang w:val="es-MX" w:eastAsia="x-none"/>
        </w:rPr>
        <w:t xml:space="preserve">Adicionalmente, se analizó el informe general del proceso de entrega recepción 2021 de la administración pública municipal de Pénjamo, </w:t>
      </w:r>
      <w:proofErr w:type="spellStart"/>
      <w:r w:rsidRPr="00142C86">
        <w:rPr>
          <w:rFonts w:ascii="Abadi" w:hAnsi="Abadi" w:cs="Arial"/>
          <w:sz w:val="21"/>
          <w:szCs w:val="21"/>
          <w:lang w:val="es-MX" w:eastAsia="x-none"/>
        </w:rPr>
        <w:t>Gto</w:t>
      </w:r>
      <w:proofErr w:type="spellEnd"/>
      <w:r w:rsidRPr="00142C86">
        <w:rPr>
          <w:rFonts w:ascii="Abadi" w:hAnsi="Abadi" w:cs="Arial"/>
          <w:sz w:val="21"/>
          <w:szCs w:val="21"/>
          <w:lang w:val="es-MX" w:eastAsia="x-none"/>
        </w:rPr>
        <w:t>., y en su caso se aplicaron los procedimientos de auditoría correspondientes.</w:t>
      </w:r>
    </w:p>
    <w:p w14:paraId="3832CD4B" w14:textId="77777777" w:rsidR="00DB7454" w:rsidRPr="00142C86" w:rsidRDefault="00DB7454" w:rsidP="00DB7454">
      <w:pPr>
        <w:ind w:firstLine="705"/>
        <w:jc w:val="both"/>
        <w:rPr>
          <w:rFonts w:ascii="Abadi" w:hAnsi="Abadi" w:cs="Arial"/>
          <w:sz w:val="21"/>
          <w:szCs w:val="21"/>
          <w:lang w:val="es-MX" w:eastAsia="x-none"/>
        </w:rPr>
      </w:pPr>
    </w:p>
    <w:p w14:paraId="0FFA75DD" w14:textId="77777777" w:rsidR="00DB7454" w:rsidRPr="00142C86" w:rsidRDefault="00DB7454" w:rsidP="00DB7454">
      <w:pPr>
        <w:ind w:firstLine="705"/>
        <w:jc w:val="both"/>
        <w:rPr>
          <w:rFonts w:ascii="Abadi" w:hAnsi="Abadi" w:cs="Arial"/>
          <w:sz w:val="21"/>
          <w:szCs w:val="21"/>
          <w:lang w:val="es-MX" w:eastAsia="x-none"/>
        </w:rPr>
      </w:pPr>
      <w:r w:rsidRPr="00142C86">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Pénjamo, </w:t>
      </w:r>
      <w:proofErr w:type="spellStart"/>
      <w:r w:rsidRPr="00142C86">
        <w:rPr>
          <w:rFonts w:ascii="Abadi" w:hAnsi="Abadi" w:cs="Arial"/>
          <w:sz w:val="21"/>
          <w:szCs w:val="21"/>
          <w:lang w:val="es-MX" w:eastAsia="x-none"/>
        </w:rPr>
        <w:t>Gto</w:t>
      </w:r>
      <w:proofErr w:type="spellEnd"/>
      <w:r w:rsidRPr="00142C86">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16885AEE" w14:textId="77777777" w:rsidR="00DB7454" w:rsidRPr="00142C86" w:rsidRDefault="00DB7454" w:rsidP="00DB7454">
      <w:pPr>
        <w:ind w:firstLine="705"/>
        <w:jc w:val="both"/>
        <w:rPr>
          <w:rFonts w:ascii="Abadi" w:hAnsi="Abadi" w:cs="Arial"/>
          <w:sz w:val="21"/>
          <w:szCs w:val="21"/>
          <w:lang w:val="es-MX" w:eastAsia="x-none"/>
        </w:rPr>
      </w:pPr>
    </w:p>
    <w:p w14:paraId="0815266B" w14:textId="77777777" w:rsidR="00DB7454" w:rsidRPr="00142C86" w:rsidRDefault="00DB7454" w:rsidP="00DB7454">
      <w:pPr>
        <w:ind w:firstLine="705"/>
        <w:jc w:val="both"/>
        <w:rPr>
          <w:rFonts w:ascii="Abadi" w:hAnsi="Abadi" w:cs="Arial"/>
          <w:sz w:val="21"/>
          <w:szCs w:val="21"/>
          <w:lang w:val="es-MX" w:eastAsia="x-none"/>
        </w:rPr>
      </w:pPr>
      <w:r w:rsidRPr="00142C86">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Pénjamo, </w:t>
      </w:r>
      <w:proofErr w:type="spellStart"/>
      <w:r w:rsidRPr="00142C86">
        <w:rPr>
          <w:rFonts w:ascii="Abadi" w:hAnsi="Abadi" w:cs="Arial"/>
          <w:sz w:val="21"/>
          <w:szCs w:val="21"/>
          <w:lang w:val="es-MX" w:eastAsia="x-none"/>
        </w:rPr>
        <w:t>Gto</w:t>
      </w:r>
      <w:proofErr w:type="spellEnd"/>
      <w:r w:rsidRPr="00142C86">
        <w:rPr>
          <w:rFonts w:ascii="Abadi" w:hAnsi="Abadi" w:cs="Arial"/>
          <w:sz w:val="21"/>
          <w:szCs w:val="21"/>
          <w:lang w:val="es-MX" w:eastAsia="x-none"/>
        </w:rPr>
        <w:t>., no cumplió con las disposiciones normativas aplicables, como se precisa en el informe de resultados.</w:t>
      </w:r>
    </w:p>
    <w:p w14:paraId="2E6F9510" w14:textId="77777777" w:rsidR="00DB7454" w:rsidRPr="00142C86" w:rsidRDefault="00DB7454" w:rsidP="00DB7454">
      <w:pPr>
        <w:ind w:firstLine="705"/>
        <w:jc w:val="both"/>
        <w:rPr>
          <w:rFonts w:ascii="Abadi" w:hAnsi="Abadi" w:cs="Arial"/>
          <w:sz w:val="21"/>
          <w:szCs w:val="21"/>
          <w:lang w:val="es-MX" w:eastAsia="x-none"/>
        </w:rPr>
      </w:pPr>
    </w:p>
    <w:p w14:paraId="09B65784"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cuanto al rubro de resultados de la fiscalización efectuada, se establece el estatus</w:t>
      </w:r>
      <w:r w:rsidRPr="00142C86">
        <w:rPr>
          <w:rFonts w:ascii="Abadi" w:hAnsi="Abadi"/>
          <w:sz w:val="21"/>
          <w:szCs w:val="21"/>
        </w:rPr>
        <w:t xml:space="preserve"> </w:t>
      </w:r>
      <w:r w:rsidRPr="00847B0F">
        <w:rPr>
          <w:rFonts w:ascii="Abadi" w:hAnsi="Abadi"/>
          <w:b w:val="0"/>
          <w:bCs w:val="0"/>
          <w:sz w:val="21"/>
          <w:szCs w:val="21"/>
        </w:rPr>
        <w:t xml:space="preserve">que guardan las observaciones y </w:t>
      </w:r>
      <w:r w:rsidRPr="00847B0F">
        <w:rPr>
          <w:rFonts w:ascii="Abadi" w:hAnsi="Abadi"/>
          <w:b w:val="0"/>
          <w:bCs w:val="0"/>
          <w:sz w:val="21"/>
          <w:szCs w:val="21"/>
        </w:rPr>
        <w:lastRenderedPageBreak/>
        <w:t xml:space="preserve">recomendaciones, las cuales se agrupan bajo su respectivo tipo y rubro, señalando que se determinaron 10 observaciones, mismas que no fueron solventadas. Asimismo, se formularon 6 recomendaciones, de las cuales 1 se atendió y 5 no se atendieron. </w:t>
      </w:r>
    </w:p>
    <w:p w14:paraId="3348081E" w14:textId="77777777" w:rsidR="00DB7454" w:rsidRPr="00847B0F" w:rsidRDefault="00DB7454" w:rsidP="00DB7454">
      <w:pPr>
        <w:pStyle w:val="Textoindependiente"/>
        <w:ind w:firstLine="705"/>
        <w:rPr>
          <w:rFonts w:ascii="Abadi" w:hAnsi="Abadi"/>
          <w:b w:val="0"/>
          <w:bCs w:val="0"/>
          <w:sz w:val="21"/>
          <w:szCs w:val="21"/>
        </w:rPr>
      </w:pPr>
    </w:p>
    <w:p w14:paraId="6D6C4455"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006, 007, 008, 009 y 010, existen importes no solventados por la cuantía que ahí se refiere. </w:t>
      </w:r>
    </w:p>
    <w:p w14:paraId="6D865E1F" w14:textId="77777777" w:rsidR="00DB7454" w:rsidRPr="00847B0F" w:rsidRDefault="00DB7454" w:rsidP="00DB7454">
      <w:pPr>
        <w:pStyle w:val="Textoindependiente"/>
        <w:ind w:firstLine="705"/>
        <w:rPr>
          <w:rFonts w:ascii="Abadi" w:hAnsi="Abadi"/>
          <w:b w:val="0"/>
          <w:bCs w:val="0"/>
          <w:sz w:val="21"/>
          <w:szCs w:val="21"/>
        </w:rPr>
      </w:pPr>
    </w:p>
    <w:p w14:paraId="56D5C52B"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847B0F">
        <w:rPr>
          <w:rFonts w:ascii="Abadi" w:hAnsi="Abadi"/>
          <w:b w:val="0"/>
          <w:bCs w:val="0"/>
          <w:i/>
          <w:iCs/>
          <w:sz w:val="21"/>
          <w:szCs w:val="21"/>
        </w:rPr>
        <w:t>Definitivos»</w:t>
      </w:r>
      <w:r w:rsidRPr="00847B0F">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61F9F0D7" w14:textId="77777777" w:rsidR="00DB7454" w:rsidRPr="00142C86" w:rsidRDefault="00DB7454" w:rsidP="00DB7454">
      <w:pPr>
        <w:pStyle w:val="Textoindependiente"/>
        <w:ind w:firstLine="705"/>
        <w:rPr>
          <w:rFonts w:ascii="Abadi" w:hAnsi="Abadi"/>
          <w:sz w:val="21"/>
          <w:szCs w:val="21"/>
        </w:rPr>
      </w:pPr>
    </w:p>
    <w:p w14:paraId="4C99495D" w14:textId="77777777" w:rsidR="00DB7454" w:rsidRPr="00847B0F" w:rsidRDefault="00DB7454" w:rsidP="00427BD6">
      <w:pPr>
        <w:pStyle w:val="Textoindependiente"/>
        <w:numPr>
          <w:ilvl w:val="0"/>
          <w:numId w:val="9"/>
        </w:numPr>
        <w:tabs>
          <w:tab w:val="clear" w:pos="1065"/>
          <w:tab w:val="num" w:pos="0"/>
        </w:tabs>
        <w:autoSpaceDE/>
        <w:autoSpaceDN/>
        <w:rPr>
          <w:rFonts w:ascii="Abadi" w:hAnsi="Abadi"/>
          <w:sz w:val="21"/>
          <w:szCs w:val="21"/>
        </w:rPr>
      </w:pPr>
      <w:r w:rsidRPr="00847B0F">
        <w:rPr>
          <w:rFonts w:ascii="Abadi" w:hAnsi="Abadi"/>
          <w:sz w:val="21"/>
          <w:szCs w:val="21"/>
        </w:rPr>
        <w:t xml:space="preserve">Observaciones y recomendaciones, la respuesta emitida por el sujeto fiscalizado y la valoración correspondiente. </w:t>
      </w:r>
    </w:p>
    <w:p w14:paraId="2FA045C9" w14:textId="77777777" w:rsidR="00DB7454" w:rsidRPr="00142C86" w:rsidRDefault="00DB7454" w:rsidP="00DB7454">
      <w:pPr>
        <w:pStyle w:val="Textoindependiente"/>
        <w:ind w:left="1065"/>
        <w:rPr>
          <w:rFonts w:ascii="Abadi" w:hAnsi="Abadi"/>
          <w:b w:val="0"/>
          <w:bCs w:val="0"/>
          <w:sz w:val="21"/>
          <w:szCs w:val="21"/>
        </w:rPr>
      </w:pPr>
    </w:p>
    <w:p w14:paraId="32A1F10F"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esta parte se desglosa la valoración de las observaciones formuladas por el Órgano Técnico, considerando como no solventadas las observaciones plasmadas en los siguientes numerales: 001, referente a montos de anticipos de nómina. (1 de 3); 002, correspondiente a recuperación de anticipos de nómina. (2 de 3); 003, relativo a traspasos FAISM 2021; 004, referido a primas de seguro de vida. Contrato de prestación de</w:t>
      </w:r>
      <w:r w:rsidRPr="00142C86">
        <w:rPr>
          <w:rFonts w:ascii="Abadi" w:hAnsi="Abadi"/>
          <w:sz w:val="21"/>
          <w:szCs w:val="21"/>
        </w:rPr>
        <w:t xml:space="preserve"> </w:t>
      </w:r>
      <w:r w:rsidRPr="00847B0F">
        <w:rPr>
          <w:rFonts w:ascii="Abadi" w:hAnsi="Abadi"/>
          <w:b w:val="0"/>
          <w:bCs w:val="0"/>
          <w:sz w:val="21"/>
          <w:szCs w:val="21"/>
        </w:rPr>
        <w:t xml:space="preserve">servicios PMP/OMYSA/CPS/022/2021 </w:t>
      </w:r>
      <w:r w:rsidRPr="00847B0F">
        <w:rPr>
          <w:rFonts w:ascii="Abadi" w:hAnsi="Abadi"/>
          <w:b w:val="0"/>
          <w:bCs w:val="0"/>
          <w:sz w:val="21"/>
          <w:szCs w:val="21"/>
        </w:rPr>
        <w:t>«Seguro de Vida en Grupo»; 005, referente a adjudicación de póliza de seguro de parque vehicular. (1 de 3); 006, correspondiente a aseguramiento de parque vehicular. (2 de 3); 007, relativo a servicios profesionales reglamentos entregables; 008, referido a servicios profesionales independientes. Contrato PMP/DJP/CPSPI/025/2021; 009, referente a pago de recargos; y 010, correspondiente a servicio telefonía celular. (1 de 2).</w:t>
      </w:r>
    </w:p>
    <w:p w14:paraId="09A99967" w14:textId="77777777" w:rsidR="00DB7454" w:rsidRPr="00847B0F" w:rsidRDefault="00DB7454" w:rsidP="00DB7454">
      <w:pPr>
        <w:pStyle w:val="Textoindependiente"/>
        <w:ind w:firstLine="705"/>
        <w:rPr>
          <w:rFonts w:ascii="Abadi" w:hAnsi="Abadi"/>
          <w:b w:val="0"/>
          <w:bCs w:val="0"/>
          <w:sz w:val="21"/>
          <w:szCs w:val="21"/>
        </w:rPr>
      </w:pPr>
    </w:p>
    <w:p w14:paraId="4A6ECCCC"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el apartado de Recomendaciones Generales, se atendió el numeral 006, relativo a cumplimiento de resolución. (3 de 3); y no se atendieron los numerales 001, referido a anticipos de nómina de ejercicios anteriores al 2021. (3 de 3); 002, referente a corrección y actualización de cuentas contables; 003, correspondiente a apoyo de representación y gestión; 004, relativo a ayudas sociales; y 005, referido a resguardos de equipos celulares. (2 de 2).</w:t>
      </w:r>
    </w:p>
    <w:p w14:paraId="364DBF1B" w14:textId="77777777" w:rsidR="00847B0F" w:rsidRPr="00847B0F" w:rsidRDefault="00847B0F" w:rsidP="00DB7454">
      <w:pPr>
        <w:pStyle w:val="Textoindependiente"/>
        <w:ind w:firstLine="705"/>
        <w:rPr>
          <w:rFonts w:ascii="Abadi" w:hAnsi="Abadi"/>
          <w:b w:val="0"/>
          <w:bCs w:val="0"/>
          <w:sz w:val="21"/>
          <w:szCs w:val="21"/>
        </w:rPr>
      </w:pPr>
    </w:p>
    <w:p w14:paraId="17B399C9" w14:textId="77777777" w:rsidR="00DB7454" w:rsidRPr="00847B0F" w:rsidRDefault="00DB7454" w:rsidP="00427BD6">
      <w:pPr>
        <w:pStyle w:val="Textoindependiente"/>
        <w:numPr>
          <w:ilvl w:val="0"/>
          <w:numId w:val="9"/>
        </w:numPr>
        <w:autoSpaceDE/>
        <w:autoSpaceDN/>
        <w:rPr>
          <w:rFonts w:ascii="Abadi" w:hAnsi="Abadi"/>
          <w:sz w:val="21"/>
          <w:szCs w:val="21"/>
        </w:rPr>
      </w:pPr>
      <w:r w:rsidRPr="00847B0F">
        <w:rPr>
          <w:rFonts w:ascii="Abadi" w:hAnsi="Abadi"/>
          <w:sz w:val="21"/>
          <w:szCs w:val="21"/>
        </w:rPr>
        <w:t xml:space="preserve">Promoción del ejercicio de facultades de comprobación fiscal. </w:t>
      </w:r>
    </w:p>
    <w:p w14:paraId="601F682B" w14:textId="77777777" w:rsidR="00DB7454" w:rsidRPr="00142C86" w:rsidRDefault="00DB7454" w:rsidP="00DB7454">
      <w:pPr>
        <w:pStyle w:val="Textoindependiente"/>
        <w:ind w:firstLine="705"/>
        <w:rPr>
          <w:rFonts w:ascii="Abadi" w:hAnsi="Abadi"/>
          <w:sz w:val="21"/>
          <w:szCs w:val="21"/>
        </w:rPr>
      </w:pPr>
    </w:p>
    <w:p w14:paraId="2FEC23A5"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11204B9C" w14:textId="77777777" w:rsidR="00DB7454" w:rsidRPr="00142C86" w:rsidRDefault="00DB7454" w:rsidP="00DB7454">
      <w:pPr>
        <w:pStyle w:val="Textoindependiente"/>
        <w:ind w:firstLine="705"/>
        <w:rPr>
          <w:rFonts w:ascii="Abadi" w:hAnsi="Abadi"/>
          <w:sz w:val="21"/>
          <w:szCs w:val="21"/>
        </w:rPr>
      </w:pPr>
    </w:p>
    <w:p w14:paraId="1F014AE8" w14:textId="77777777" w:rsidR="00DB7454" w:rsidRPr="00847B0F" w:rsidRDefault="00DB7454" w:rsidP="00427BD6">
      <w:pPr>
        <w:pStyle w:val="Textoindependiente"/>
        <w:numPr>
          <w:ilvl w:val="0"/>
          <w:numId w:val="9"/>
        </w:numPr>
        <w:autoSpaceDE/>
        <w:autoSpaceDN/>
        <w:rPr>
          <w:rFonts w:ascii="Abadi" w:hAnsi="Abadi"/>
          <w:sz w:val="21"/>
          <w:szCs w:val="21"/>
        </w:rPr>
      </w:pPr>
      <w:r w:rsidRPr="00847B0F">
        <w:rPr>
          <w:rFonts w:ascii="Abadi" w:hAnsi="Abadi"/>
          <w:sz w:val="21"/>
          <w:szCs w:val="21"/>
        </w:rPr>
        <w:t>Comunicado ante órganos de control y autoridades que administran padrones de proveedores y contratistas.</w:t>
      </w:r>
    </w:p>
    <w:p w14:paraId="0FA378B5" w14:textId="77777777" w:rsidR="00DB7454" w:rsidRPr="00847B0F" w:rsidRDefault="00DB7454" w:rsidP="00DB7454">
      <w:pPr>
        <w:pStyle w:val="Textoindependiente"/>
        <w:ind w:firstLine="705"/>
        <w:rPr>
          <w:rFonts w:ascii="Abadi" w:hAnsi="Abadi"/>
          <w:sz w:val="21"/>
          <w:szCs w:val="21"/>
        </w:rPr>
      </w:pPr>
    </w:p>
    <w:p w14:paraId="0D5A63BE"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w:t>
      </w:r>
      <w:r w:rsidRPr="00142C86">
        <w:rPr>
          <w:rFonts w:ascii="Abadi" w:hAnsi="Abadi"/>
          <w:sz w:val="21"/>
          <w:szCs w:val="21"/>
        </w:rPr>
        <w:t xml:space="preserve"> </w:t>
      </w:r>
      <w:r w:rsidRPr="00847B0F">
        <w:rPr>
          <w:rFonts w:ascii="Abadi" w:hAnsi="Abadi"/>
          <w:b w:val="0"/>
          <w:bCs w:val="0"/>
          <w:sz w:val="21"/>
          <w:szCs w:val="21"/>
        </w:rPr>
        <w:lastRenderedPageBreak/>
        <w:t xml:space="preserve">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y de la Tesorería municipales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las presuntas irregularidades o incumplimientos de estos en contrataciones públicas detectadas durante la revisión, precisando los proveedores y las observaciones de las que se desprende su intervención.</w:t>
      </w:r>
    </w:p>
    <w:p w14:paraId="5FB11509" w14:textId="77777777" w:rsidR="00DB7454" w:rsidRPr="00142C86" w:rsidRDefault="00DB7454" w:rsidP="00DB7454">
      <w:pPr>
        <w:pStyle w:val="Textoindependiente"/>
        <w:ind w:firstLine="705"/>
        <w:rPr>
          <w:rFonts w:ascii="Abadi" w:hAnsi="Abadi"/>
          <w:sz w:val="21"/>
          <w:szCs w:val="21"/>
        </w:rPr>
      </w:pPr>
    </w:p>
    <w:p w14:paraId="2780F022" w14:textId="77777777" w:rsidR="00DB7454" w:rsidRPr="00142C86" w:rsidRDefault="00DB7454" w:rsidP="00427BD6">
      <w:pPr>
        <w:pStyle w:val="Textoindependiente"/>
        <w:numPr>
          <w:ilvl w:val="0"/>
          <w:numId w:val="9"/>
        </w:numPr>
        <w:autoSpaceDE/>
        <w:autoSpaceDN/>
        <w:rPr>
          <w:rFonts w:ascii="Abadi" w:hAnsi="Abadi"/>
          <w:b w:val="0"/>
          <w:bCs w:val="0"/>
          <w:sz w:val="21"/>
          <w:szCs w:val="21"/>
        </w:rPr>
      </w:pPr>
      <w:r w:rsidRPr="00142C86">
        <w:rPr>
          <w:rFonts w:ascii="Abadi" w:hAnsi="Abadi"/>
          <w:b w:val="0"/>
          <w:bCs w:val="0"/>
          <w:sz w:val="21"/>
          <w:szCs w:val="21"/>
        </w:rPr>
        <w:t xml:space="preserve">Recurso de Reconsideración. </w:t>
      </w:r>
    </w:p>
    <w:p w14:paraId="1889177B" w14:textId="77777777" w:rsidR="00DB7454" w:rsidRPr="00142C86" w:rsidRDefault="00DB7454" w:rsidP="00DB7454">
      <w:pPr>
        <w:pStyle w:val="Textoindependiente"/>
        <w:ind w:left="705"/>
        <w:rPr>
          <w:rFonts w:ascii="Abadi" w:hAnsi="Abadi"/>
          <w:b w:val="0"/>
          <w:bCs w:val="0"/>
          <w:sz w:val="21"/>
          <w:szCs w:val="21"/>
        </w:rPr>
      </w:pPr>
    </w:p>
    <w:p w14:paraId="5E5675F7"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 xml:space="preserve">El 28 de febrero de 2023, dentro del plazo que prevé la fracción IV del artículo 37 de </w:t>
      </w:r>
      <w:smartTag w:uri="urn:schemas-microsoft-com:office:smarttags" w:element="PersonName">
        <w:smartTagPr>
          <w:attr w:name="ProductID" w:val="la Ley"/>
        </w:smartTagPr>
        <w:r w:rsidRPr="00847B0F">
          <w:rPr>
            <w:rFonts w:ascii="Abadi" w:hAnsi="Abadi"/>
            <w:b w:val="0"/>
            <w:bCs w:val="0"/>
            <w:sz w:val="21"/>
            <w:szCs w:val="21"/>
          </w:rPr>
          <w:t>la Ley</w:t>
        </w:r>
      </w:smartTag>
      <w:r w:rsidRPr="00847B0F">
        <w:rPr>
          <w:rFonts w:ascii="Abadi" w:hAnsi="Abadi"/>
          <w:b w:val="0"/>
          <w:bCs w:val="0"/>
          <w:sz w:val="21"/>
          <w:szCs w:val="21"/>
        </w:rPr>
        <w:t xml:space="preserve"> de Fiscalización Superior del Estado de Guanajuato, el ex presidente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006, correspondiente a aseguramiento de parque vehicular. (2 de 3); y 008, referido a servicios profesionales independientes. Contrato PMP/DJP/CPSPI/025/2021, mismas que se encuentran relacionadas con el Capítulo II, denominado Observaciones y Recomendaciones; Respuesta Emitida por el Sujeto Fiscalizado y Valoración Correspondiente. </w:t>
      </w:r>
    </w:p>
    <w:p w14:paraId="52F7D45D" w14:textId="77777777" w:rsidR="00847B0F" w:rsidRPr="00142C86" w:rsidRDefault="00847B0F" w:rsidP="00DB7454">
      <w:pPr>
        <w:pStyle w:val="Textoindependiente"/>
        <w:ind w:firstLine="705"/>
        <w:rPr>
          <w:rFonts w:ascii="Abadi" w:hAnsi="Abadi"/>
          <w:sz w:val="21"/>
          <w:szCs w:val="21"/>
        </w:rPr>
      </w:pPr>
    </w:p>
    <w:p w14:paraId="35F86BFC"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 xml:space="preserve">En tal sentido, mediante acuerdo de fecha 28 de febrero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847B0F">
          <w:rPr>
            <w:rFonts w:ascii="Abadi" w:hAnsi="Abadi"/>
            <w:b w:val="0"/>
            <w:bCs w:val="0"/>
            <w:sz w:val="21"/>
            <w:szCs w:val="21"/>
          </w:rPr>
          <w:t>la Ley</w:t>
        </w:r>
      </w:smartTag>
      <w:r w:rsidRPr="00847B0F">
        <w:rPr>
          <w:rFonts w:ascii="Abadi" w:hAnsi="Abadi"/>
          <w:b w:val="0"/>
          <w:bCs w:val="0"/>
          <w:sz w:val="21"/>
          <w:szCs w:val="21"/>
        </w:rPr>
        <w:t xml:space="preserve"> de Fiscalización Superior del Estado de Guanajuato, instruyendo la integración del expediente y el registro correspondiente. Asimismo, mediante dicho acuerdo se admitió el medio de prueba ofrecido por el recurrente, al tratarse de una prueba novedosa y superveniente.</w:t>
      </w:r>
    </w:p>
    <w:p w14:paraId="16536190" w14:textId="77777777" w:rsidR="00DB7454" w:rsidRPr="00847B0F" w:rsidRDefault="00DB7454" w:rsidP="00DB7454">
      <w:pPr>
        <w:pStyle w:val="Textoindependiente"/>
        <w:ind w:firstLine="708"/>
        <w:rPr>
          <w:rFonts w:ascii="Abadi" w:hAnsi="Abadi"/>
          <w:b w:val="0"/>
          <w:bCs w:val="0"/>
          <w:sz w:val="21"/>
          <w:szCs w:val="21"/>
        </w:rPr>
      </w:pPr>
    </w:p>
    <w:p w14:paraId="17D2A1F0"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Una vez tramitado el recurso, el Auditor Superior del Estado, el 1 de marzo de 2023 emitió la resolución correspondiente, determinándose respecto a las observaciones plasmadas en los numerales 006 y 008, que los agravios hechos valer por el recurrente resultaron inoperantes e infundados, por los argumentos señalados en el considerando séptimo de la resolución. En razón de lo cual, se confirmó el sentido de la valoración de las observaciones como no solventadas, con acciones de impacto económico pendientes de realizar por el sujeto fiscalizado.</w:t>
      </w:r>
    </w:p>
    <w:p w14:paraId="069B38C0" w14:textId="77777777" w:rsidR="00DB7454" w:rsidRPr="00142C86" w:rsidRDefault="00DB7454" w:rsidP="00DB7454">
      <w:pPr>
        <w:pStyle w:val="Textoindependiente"/>
        <w:ind w:firstLine="708"/>
        <w:rPr>
          <w:rFonts w:ascii="Abadi" w:hAnsi="Abadi"/>
          <w:sz w:val="21"/>
          <w:szCs w:val="21"/>
        </w:rPr>
      </w:pPr>
    </w:p>
    <w:p w14:paraId="0BDCD8F2" w14:textId="77777777" w:rsidR="00DB7454" w:rsidRPr="00847B0F" w:rsidRDefault="00DB7454" w:rsidP="00DB7454">
      <w:pPr>
        <w:pStyle w:val="Textoindependiente"/>
        <w:ind w:firstLine="708"/>
        <w:rPr>
          <w:rFonts w:ascii="Abadi" w:hAnsi="Abadi"/>
          <w:b w:val="0"/>
          <w:bCs w:val="0"/>
          <w:sz w:val="21"/>
          <w:szCs w:val="21"/>
        </w:rPr>
      </w:pPr>
      <w:r w:rsidRPr="00847B0F">
        <w:rPr>
          <w:rFonts w:ascii="Abadi" w:hAnsi="Abadi"/>
          <w:b w:val="0"/>
          <w:bCs w:val="0"/>
          <w:sz w:val="21"/>
          <w:szCs w:val="21"/>
        </w:rPr>
        <w:t xml:space="preserve">La referida resolución se notificó al ex presidente municipal de Pénjamo, </w:t>
      </w:r>
      <w:proofErr w:type="spellStart"/>
      <w:r w:rsidRPr="00847B0F">
        <w:rPr>
          <w:rFonts w:ascii="Abadi" w:hAnsi="Abadi"/>
          <w:b w:val="0"/>
          <w:bCs w:val="0"/>
          <w:sz w:val="21"/>
          <w:szCs w:val="21"/>
        </w:rPr>
        <w:t>Gto</w:t>
      </w:r>
      <w:proofErr w:type="spellEnd"/>
      <w:r w:rsidRPr="00847B0F">
        <w:rPr>
          <w:rFonts w:ascii="Abadi" w:hAnsi="Abadi"/>
          <w:b w:val="0"/>
          <w:bCs w:val="0"/>
          <w:sz w:val="21"/>
          <w:szCs w:val="21"/>
        </w:rPr>
        <w:t>., el 2 de marzo de 2023.</w:t>
      </w:r>
    </w:p>
    <w:p w14:paraId="327B826C" w14:textId="77777777" w:rsidR="00DB7454" w:rsidRPr="00142C86" w:rsidRDefault="00DB7454" w:rsidP="00DB7454">
      <w:pPr>
        <w:pStyle w:val="Textoindependiente"/>
        <w:ind w:firstLine="705"/>
        <w:rPr>
          <w:rFonts w:ascii="Abadi" w:hAnsi="Abadi"/>
          <w:sz w:val="21"/>
          <w:szCs w:val="21"/>
        </w:rPr>
      </w:pPr>
    </w:p>
    <w:p w14:paraId="47474027" w14:textId="77777777" w:rsidR="00DB7454" w:rsidRPr="00847B0F" w:rsidRDefault="00DB7454" w:rsidP="00427BD6">
      <w:pPr>
        <w:pStyle w:val="Textoindependiente"/>
        <w:numPr>
          <w:ilvl w:val="0"/>
          <w:numId w:val="9"/>
        </w:numPr>
        <w:autoSpaceDE/>
        <w:autoSpaceDN/>
        <w:rPr>
          <w:rFonts w:ascii="Abadi" w:hAnsi="Abadi"/>
          <w:sz w:val="21"/>
          <w:szCs w:val="21"/>
        </w:rPr>
      </w:pPr>
      <w:r w:rsidRPr="00847B0F">
        <w:rPr>
          <w:rFonts w:ascii="Abadi" w:hAnsi="Abadi"/>
          <w:sz w:val="21"/>
          <w:szCs w:val="21"/>
        </w:rPr>
        <w:t xml:space="preserve">Anexos. </w:t>
      </w:r>
    </w:p>
    <w:p w14:paraId="1374E69F" w14:textId="77777777" w:rsidR="00DB7454" w:rsidRPr="00847B0F" w:rsidRDefault="00DB7454" w:rsidP="00DB7454">
      <w:pPr>
        <w:pStyle w:val="Textoindependiente"/>
        <w:ind w:firstLine="705"/>
        <w:rPr>
          <w:rFonts w:ascii="Abadi" w:hAnsi="Abadi"/>
          <w:sz w:val="21"/>
          <w:szCs w:val="21"/>
        </w:rPr>
      </w:pPr>
    </w:p>
    <w:p w14:paraId="06C01C0F" w14:textId="77777777" w:rsidR="00DB7454" w:rsidRPr="00847B0F" w:rsidRDefault="00DB7454" w:rsidP="00DB7454">
      <w:pPr>
        <w:pStyle w:val="Textoindependiente"/>
        <w:ind w:firstLine="705"/>
        <w:rPr>
          <w:rFonts w:ascii="Abadi" w:hAnsi="Abadi"/>
          <w:b w:val="0"/>
          <w:bCs w:val="0"/>
          <w:sz w:val="21"/>
          <w:szCs w:val="21"/>
        </w:rPr>
      </w:pPr>
      <w:r w:rsidRPr="00847B0F">
        <w:rPr>
          <w:rFonts w:ascii="Abadi" w:hAnsi="Abadi"/>
          <w:b w:val="0"/>
          <w:bCs w:val="0"/>
          <w:sz w:val="21"/>
          <w:szCs w:val="21"/>
        </w:rPr>
        <w:t>En esta parte, se adjuntan los anexos técnicos derivados de la revisión practicada.</w:t>
      </w:r>
    </w:p>
    <w:p w14:paraId="13012B11" w14:textId="77777777" w:rsidR="00DB7454" w:rsidRPr="00847B0F" w:rsidRDefault="00DB7454" w:rsidP="00DB7454">
      <w:pPr>
        <w:pStyle w:val="Textoindependiente"/>
        <w:ind w:firstLine="705"/>
        <w:rPr>
          <w:rFonts w:ascii="Abadi" w:hAnsi="Abadi"/>
          <w:b w:val="0"/>
          <w:bCs w:val="0"/>
          <w:sz w:val="21"/>
          <w:szCs w:val="21"/>
        </w:rPr>
      </w:pPr>
    </w:p>
    <w:p w14:paraId="2EDDE6D2" w14:textId="77777777" w:rsidR="00DB7454" w:rsidRPr="00142C86" w:rsidRDefault="00DB7454" w:rsidP="00DB7454">
      <w:pPr>
        <w:ind w:firstLine="708"/>
        <w:jc w:val="both"/>
        <w:rPr>
          <w:rFonts w:ascii="Abadi" w:hAnsi="Abadi" w:cs="Arial"/>
          <w:b/>
          <w:bCs/>
          <w:sz w:val="21"/>
          <w:szCs w:val="21"/>
        </w:rPr>
      </w:pPr>
      <w:r w:rsidRPr="00142C86">
        <w:rPr>
          <w:rFonts w:ascii="Abadi" w:hAnsi="Abadi" w:cs="Arial"/>
          <w:b/>
          <w:bCs/>
          <w:sz w:val="21"/>
          <w:szCs w:val="21"/>
        </w:rPr>
        <w:t>V. Conclusiones:</w:t>
      </w:r>
    </w:p>
    <w:p w14:paraId="11ECD03F" w14:textId="77777777" w:rsidR="00DB7454" w:rsidRPr="00142C86" w:rsidRDefault="00DB7454" w:rsidP="00DB7454">
      <w:pPr>
        <w:jc w:val="both"/>
        <w:rPr>
          <w:rFonts w:ascii="Abadi" w:hAnsi="Abadi" w:cs="Arial"/>
          <w:sz w:val="21"/>
          <w:szCs w:val="21"/>
        </w:rPr>
      </w:pPr>
    </w:p>
    <w:p w14:paraId="44FDBF14" w14:textId="77777777" w:rsidR="00DB7454" w:rsidRPr="00142C86" w:rsidRDefault="00DB7454" w:rsidP="00DB7454">
      <w:pPr>
        <w:jc w:val="both"/>
        <w:rPr>
          <w:rFonts w:ascii="Abadi" w:hAnsi="Abadi" w:cs="Arial"/>
          <w:sz w:val="21"/>
          <w:szCs w:val="21"/>
        </w:rPr>
      </w:pPr>
      <w:r w:rsidRPr="00142C86">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42C86">
          <w:rPr>
            <w:rFonts w:ascii="Abadi" w:hAnsi="Abadi" w:cs="Arial"/>
            <w:sz w:val="21"/>
            <w:szCs w:val="21"/>
          </w:rPr>
          <w:t>la Ley</w:t>
        </w:r>
      </w:smartTag>
      <w:r w:rsidRPr="00142C86">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59832F6" w14:textId="77777777" w:rsidR="00DB7454" w:rsidRPr="00142C86" w:rsidRDefault="00DB7454" w:rsidP="00DB7454">
      <w:pPr>
        <w:jc w:val="both"/>
        <w:rPr>
          <w:rFonts w:ascii="Abadi" w:hAnsi="Abadi" w:cs="Arial"/>
          <w:sz w:val="21"/>
          <w:szCs w:val="21"/>
        </w:rPr>
      </w:pPr>
    </w:p>
    <w:p w14:paraId="4AE7F942" w14:textId="77777777" w:rsidR="00DB7454" w:rsidRPr="00142C86" w:rsidRDefault="00DB7454" w:rsidP="00DB7454">
      <w:pPr>
        <w:jc w:val="both"/>
        <w:rPr>
          <w:rFonts w:ascii="Abadi" w:hAnsi="Abadi" w:cs="Arial"/>
          <w:sz w:val="21"/>
          <w:szCs w:val="21"/>
        </w:rPr>
      </w:pPr>
      <w:r w:rsidRPr="00142C8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052366A" w14:textId="77777777" w:rsidR="00DB7454" w:rsidRPr="00142C86" w:rsidRDefault="00DB7454" w:rsidP="00DB7454">
      <w:pPr>
        <w:ind w:firstLine="708"/>
        <w:jc w:val="both"/>
        <w:rPr>
          <w:rFonts w:ascii="Abadi" w:hAnsi="Abadi" w:cs="Arial"/>
          <w:sz w:val="21"/>
          <w:szCs w:val="21"/>
        </w:rPr>
      </w:pPr>
    </w:p>
    <w:p w14:paraId="2CFE4764" w14:textId="77777777" w:rsidR="00DB7454" w:rsidRPr="00142C86" w:rsidRDefault="00DB7454" w:rsidP="00DB7454">
      <w:pPr>
        <w:ind w:firstLine="708"/>
        <w:jc w:val="both"/>
        <w:rPr>
          <w:rFonts w:ascii="Abadi" w:hAnsi="Abadi" w:cs="Arial"/>
          <w:sz w:val="21"/>
          <w:szCs w:val="21"/>
        </w:rPr>
      </w:pPr>
    </w:p>
    <w:p w14:paraId="32059AB9"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de Pénjamo, </w:t>
      </w:r>
      <w:proofErr w:type="spellStart"/>
      <w:r w:rsidRPr="00142C86">
        <w:rPr>
          <w:rFonts w:ascii="Abadi" w:hAnsi="Abadi" w:cs="Arial"/>
          <w:sz w:val="21"/>
          <w:szCs w:val="21"/>
        </w:rPr>
        <w:t>Gto</w:t>
      </w:r>
      <w:proofErr w:type="spellEnd"/>
      <w:r w:rsidRPr="00142C86">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142C86">
          <w:rPr>
            <w:rFonts w:ascii="Abadi" w:hAnsi="Abadi" w:cs="Arial"/>
            <w:sz w:val="21"/>
            <w:szCs w:val="21"/>
          </w:rPr>
          <w:t>la Ley</w:t>
        </w:r>
      </w:smartTag>
      <w:r w:rsidRPr="00142C86">
        <w:rPr>
          <w:rFonts w:ascii="Abadi" w:hAnsi="Abadi" w:cs="Arial"/>
          <w:sz w:val="21"/>
          <w:szCs w:val="21"/>
        </w:rPr>
        <w:t xml:space="preserve"> para aclarar, atender o solventar documentalmente las observaciones determinadas y las recomendaciones formuladas por el Órgano Técnico. Al respecto se presentó la </w:t>
      </w:r>
      <w:r w:rsidRPr="00142C86">
        <w:rPr>
          <w:rFonts w:ascii="Abadi" w:hAnsi="Abadi" w:cs="Arial"/>
          <w:sz w:val="21"/>
          <w:szCs w:val="21"/>
        </w:rPr>
        <w:lastRenderedPageBreak/>
        <w:t>información y documentación que se consideró suficiente para aclarar y en su caso, solventar las observaciones determinadas y atender las recomendaciones efectuadas.</w:t>
      </w:r>
    </w:p>
    <w:p w14:paraId="1C0D8B6B" w14:textId="77777777" w:rsidR="00DB7454" w:rsidRPr="00142C86" w:rsidRDefault="00DB7454" w:rsidP="00DB7454">
      <w:pPr>
        <w:ind w:firstLine="708"/>
        <w:jc w:val="both"/>
        <w:rPr>
          <w:rFonts w:ascii="Abadi" w:hAnsi="Abadi" w:cs="Arial"/>
          <w:sz w:val="21"/>
          <w:szCs w:val="21"/>
        </w:rPr>
      </w:pPr>
    </w:p>
    <w:p w14:paraId="4EAA440A"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De igual manera, existe en el informe de resultados la constancia de que este se notificó al presidente y al ex presidente municipales de Pénjamo, </w:t>
      </w:r>
      <w:proofErr w:type="spellStart"/>
      <w:r w:rsidRPr="00142C86">
        <w:rPr>
          <w:rFonts w:ascii="Abadi" w:hAnsi="Abadi" w:cs="Arial"/>
          <w:sz w:val="21"/>
          <w:szCs w:val="21"/>
        </w:rPr>
        <w:t>Gto</w:t>
      </w:r>
      <w:proofErr w:type="spellEnd"/>
      <w:r w:rsidRPr="00142C86">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142C86">
          <w:rPr>
            <w:rFonts w:ascii="Abadi" w:hAnsi="Abadi" w:cs="Arial"/>
            <w:sz w:val="21"/>
            <w:szCs w:val="21"/>
          </w:rPr>
          <w:t>la Ley</w:t>
        </w:r>
      </w:smartTag>
      <w:r w:rsidRPr="00142C86">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 presidente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En tal virtud, se considera que fue respetado el derecho de audiencia o defensa por parte del Órgano Técnico.</w:t>
      </w:r>
    </w:p>
    <w:p w14:paraId="75010800" w14:textId="77777777" w:rsidR="00DB7454" w:rsidRPr="00142C86" w:rsidRDefault="00DB7454" w:rsidP="00DB7454">
      <w:pPr>
        <w:ind w:firstLine="708"/>
        <w:jc w:val="both"/>
        <w:rPr>
          <w:rFonts w:ascii="Abadi" w:hAnsi="Abadi" w:cs="Arial"/>
          <w:sz w:val="21"/>
          <w:szCs w:val="21"/>
        </w:rPr>
      </w:pPr>
    </w:p>
    <w:p w14:paraId="439CD612"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49B860F" w14:textId="77777777" w:rsidR="00DB7454" w:rsidRPr="00142C86" w:rsidRDefault="00DB7454" w:rsidP="00DB7454">
      <w:pPr>
        <w:ind w:firstLine="708"/>
        <w:jc w:val="both"/>
        <w:rPr>
          <w:rFonts w:ascii="Abadi" w:hAnsi="Abadi" w:cs="Arial"/>
          <w:sz w:val="21"/>
          <w:szCs w:val="21"/>
        </w:rPr>
      </w:pPr>
    </w:p>
    <w:p w14:paraId="4D72B528"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w:t>
      </w:r>
      <w:r w:rsidRPr="00142C86">
        <w:rPr>
          <w:rFonts w:ascii="Abadi" w:hAnsi="Abadi" w:cs="Arial"/>
          <w:sz w:val="21"/>
          <w:szCs w:val="21"/>
        </w:rPr>
        <w:t>resultados, cuyo contenido es acorde con lo que establece la fracción III del citado artículo 37.</w:t>
      </w:r>
    </w:p>
    <w:p w14:paraId="449C92DA" w14:textId="77777777" w:rsidR="00DB7454" w:rsidRPr="00142C86" w:rsidRDefault="00DB7454" w:rsidP="00DB7454">
      <w:pPr>
        <w:jc w:val="both"/>
        <w:rPr>
          <w:rFonts w:ascii="Abadi" w:hAnsi="Abadi" w:cs="Arial"/>
          <w:sz w:val="21"/>
          <w:szCs w:val="21"/>
        </w:rPr>
      </w:pPr>
    </w:p>
    <w:p w14:paraId="45BA8E6F"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20F71EFA" w14:textId="77777777" w:rsidR="00DB7454" w:rsidRPr="00142C86" w:rsidRDefault="00DB7454" w:rsidP="00DB7454">
      <w:pPr>
        <w:ind w:firstLine="708"/>
        <w:jc w:val="both"/>
        <w:rPr>
          <w:rFonts w:ascii="Abadi" w:hAnsi="Abadi" w:cs="Arial"/>
          <w:sz w:val="21"/>
          <w:szCs w:val="21"/>
        </w:rPr>
      </w:pPr>
    </w:p>
    <w:p w14:paraId="436C30D1"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8998D28" w14:textId="77777777" w:rsidR="00DB7454" w:rsidRPr="00142C86" w:rsidRDefault="00DB7454" w:rsidP="00DB7454">
      <w:pPr>
        <w:ind w:firstLine="708"/>
        <w:jc w:val="both"/>
        <w:rPr>
          <w:rFonts w:ascii="Abadi" w:hAnsi="Abadi" w:cs="Arial"/>
          <w:sz w:val="21"/>
          <w:szCs w:val="21"/>
        </w:rPr>
      </w:pPr>
    </w:p>
    <w:p w14:paraId="25C8F918"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En razón de lo anteriormente señalado, concluimos que el informe de resultados de la revisión practicada a la cuenta pública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42C86">
          <w:rPr>
            <w:rFonts w:ascii="Abadi" w:hAnsi="Abadi" w:cs="Arial"/>
            <w:sz w:val="21"/>
            <w:szCs w:val="21"/>
          </w:rPr>
          <w:t>la Ley</w:t>
        </w:r>
      </w:smartTag>
      <w:r w:rsidRPr="00142C86">
        <w:rPr>
          <w:rFonts w:ascii="Abadi" w:hAnsi="Abadi" w:cs="Arial"/>
          <w:sz w:val="21"/>
          <w:szCs w:val="21"/>
        </w:rPr>
        <w:t xml:space="preserve"> de Fiscalización Superior del Estado de Guanajuato, razón por la cual no podría ser observado por el Pleno del Congreso.</w:t>
      </w:r>
    </w:p>
    <w:p w14:paraId="2A08E516" w14:textId="77777777" w:rsidR="00DB7454" w:rsidRPr="00142C86" w:rsidRDefault="00DB7454" w:rsidP="00DB7454">
      <w:pPr>
        <w:ind w:firstLine="708"/>
        <w:jc w:val="both"/>
        <w:rPr>
          <w:rFonts w:ascii="Abadi" w:hAnsi="Abadi" w:cs="Arial"/>
          <w:sz w:val="21"/>
          <w:szCs w:val="21"/>
        </w:rPr>
      </w:pPr>
    </w:p>
    <w:p w14:paraId="32494EE4" w14:textId="77777777" w:rsidR="00DB7454" w:rsidRPr="00142C86" w:rsidRDefault="00DB7454" w:rsidP="00DB7454">
      <w:pPr>
        <w:pStyle w:val="Sangra3detindependiente"/>
        <w:spacing w:line="240" w:lineRule="auto"/>
        <w:rPr>
          <w:rFonts w:ascii="Abadi" w:hAnsi="Abadi"/>
          <w:sz w:val="21"/>
          <w:szCs w:val="21"/>
        </w:rPr>
      </w:pPr>
      <w:r w:rsidRPr="00142C8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42C86">
          <w:rPr>
            <w:rFonts w:ascii="Abadi" w:hAnsi="Abadi"/>
            <w:sz w:val="21"/>
            <w:szCs w:val="21"/>
          </w:rPr>
          <w:t>la Ley Orgánica</w:t>
        </w:r>
      </w:smartTag>
      <w:r w:rsidRPr="00142C86">
        <w:rPr>
          <w:rFonts w:ascii="Abadi" w:hAnsi="Abadi"/>
          <w:sz w:val="21"/>
          <w:szCs w:val="21"/>
        </w:rPr>
        <w:t xml:space="preserve"> del Poder Legislativo, nos permitimos someter a la </w:t>
      </w:r>
      <w:r w:rsidRPr="00142C86">
        <w:rPr>
          <w:rFonts w:ascii="Abadi" w:hAnsi="Abadi"/>
          <w:sz w:val="21"/>
          <w:szCs w:val="21"/>
        </w:rPr>
        <w:lastRenderedPageBreak/>
        <w:t xml:space="preserve">consideración de </w:t>
      </w:r>
      <w:smartTag w:uri="urn:schemas-microsoft-com:office:smarttags" w:element="PersonName">
        <w:smartTagPr>
          <w:attr w:name="ProductID" w:val="la Asamblea"/>
        </w:smartTagPr>
        <w:r w:rsidRPr="00142C86">
          <w:rPr>
            <w:rFonts w:ascii="Abadi" w:hAnsi="Abadi"/>
            <w:sz w:val="21"/>
            <w:szCs w:val="21"/>
          </w:rPr>
          <w:t>la Asamblea</w:t>
        </w:r>
      </w:smartTag>
      <w:r w:rsidRPr="00142C86">
        <w:rPr>
          <w:rFonts w:ascii="Abadi" w:hAnsi="Abadi"/>
          <w:sz w:val="21"/>
          <w:szCs w:val="21"/>
        </w:rPr>
        <w:t>, la aprobación del siguiente:</w:t>
      </w:r>
    </w:p>
    <w:p w14:paraId="416448C2" w14:textId="77777777" w:rsidR="00DB7454" w:rsidRPr="00142C86" w:rsidRDefault="00DB7454" w:rsidP="00DB7454">
      <w:pPr>
        <w:pStyle w:val="Sangra3detindependiente"/>
        <w:spacing w:line="240" w:lineRule="auto"/>
        <w:rPr>
          <w:rFonts w:ascii="Abadi" w:hAnsi="Abadi"/>
          <w:sz w:val="21"/>
          <w:szCs w:val="21"/>
        </w:rPr>
      </w:pPr>
    </w:p>
    <w:p w14:paraId="0EC26E08" w14:textId="77777777" w:rsidR="00DB7454" w:rsidRPr="00142C86" w:rsidRDefault="00DB7454" w:rsidP="00DB7454">
      <w:pPr>
        <w:pStyle w:val="Ttulo1"/>
        <w:jc w:val="center"/>
        <w:rPr>
          <w:rFonts w:ascii="Abadi" w:hAnsi="Abadi" w:cs="Arial"/>
          <w:smallCaps/>
          <w:sz w:val="21"/>
          <w:szCs w:val="21"/>
        </w:rPr>
      </w:pPr>
      <w:r w:rsidRPr="00142C86">
        <w:rPr>
          <w:rFonts w:ascii="Abadi" w:hAnsi="Abadi" w:cs="Arial"/>
          <w:smallCaps/>
          <w:sz w:val="21"/>
          <w:szCs w:val="21"/>
        </w:rPr>
        <w:t>A c u e r d o</w:t>
      </w:r>
    </w:p>
    <w:p w14:paraId="5403F1D0" w14:textId="77777777" w:rsidR="00DB7454" w:rsidRPr="00142C86" w:rsidRDefault="00DB7454" w:rsidP="00DB7454">
      <w:pPr>
        <w:rPr>
          <w:rFonts w:ascii="Abadi" w:hAnsi="Abadi"/>
          <w:sz w:val="21"/>
          <w:szCs w:val="21"/>
        </w:rPr>
      </w:pPr>
    </w:p>
    <w:p w14:paraId="3660884A" w14:textId="77777777" w:rsidR="00DB7454" w:rsidRPr="00142C86" w:rsidRDefault="00DB7454" w:rsidP="00DB7454">
      <w:pPr>
        <w:rPr>
          <w:rFonts w:ascii="Abadi" w:hAnsi="Abadi"/>
          <w:sz w:val="21"/>
          <w:szCs w:val="21"/>
        </w:rPr>
      </w:pPr>
    </w:p>
    <w:p w14:paraId="30593C8D" w14:textId="77777777" w:rsidR="00DB7454" w:rsidRPr="00142C86" w:rsidRDefault="00DB7454" w:rsidP="00DB7454">
      <w:pPr>
        <w:ind w:firstLine="708"/>
        <w:jc w:val="both"/>
        <w:rPr>
          <w:rFonts w:ascii="Abadi" w:hAnsi="Abadi" w:cs="Arial"/>
          <w:sz w:val="21"/>
          <w:szCs w:val="21"/>
        </w:rPr>
      </w:pPr>
      <w:r w:rsidRPr="00142C86">
        <w:rPr>
          <w:rFonts w:ascii="Abadi" w:hAnsi="Abadi" w:cs="Arial"/>
          <w:b/>
          <w:bCs/>
          <w:sz w:val="21"/>
          <w:szCs w:val="21"/>
        </w:rPr>
        <w:t xml:space="preserve">Único. </w:t>
      </w:r>
      <w:r w:rsidRPr="00142C86">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142C86">
          <w:rPr>
            <w:rFonts w:ascii="Abadi" w:hAnsi="Abadi" w:cs="Arial"/>
            <w:sz w:val="21"/>
            <w:szCs w:val="21"/>
          </w:rPr>
          <w:t>la Constitución Política</w:t>
        </w:r>
      </w:smartTag>
      <w:r w:rsidRPr="00142C86">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Pénjamo, </w:t>
      </w:r>
      <w:proofErr w:type="spellStart"/>
      <w:r w:rsidRPr="00142C86">
        <w:rPr>
          <w:rFonts w:ascii="Abadi" w:hAnsi="Abadi" w:cs="Arial"/>
          <w:sz w:val="21"/>
          <w:szCs w:val="21"/>
        </w:rPr>
        <w:t>Gto</w:t>
      </w:r>
      <w:proofErr w:type="spellEnd"/>
      <w:r w:rsidRPr="00142C86">
        <w:rPr>
          <w:rFonts w:ascii="Abadi" w:hAnsi="Abadi" w:cs="Arial"/>
          <w:sz w:val="21"/>
          <w:szCs w:val="21"/>
        </w:rPr>
        <w:t>., correspondiente al ejercicio fiscal del año 2021, con base en el informe de resultados formulado por la Auditoría Superior del Estado de Guanajuato.</w:t>
      </w:r>
    </w:p>
    <w:p w14:paraId="6A74B381" w14:textId="77777777" w:rsidR="00DB7454" w:rsidRPr="00142C86" w:rsidRDefault="00DB7454" w:rsidP="00DB7454">
      <w:pPr>
        <w:ind w:firstLine="708"/>
        <w:jc w:val="both"/>
        <w:rPr>
          <w:rFonts w:ascii="Abadi" w:hAnsi="Abadi" w:cs="Arial"/>
          <w:sz w:val="21"/>
          <w:szCs w:val="21"/>
        </w:rPr>
      </w:pPr>
    </w:p>
    <w:p w14:paraId="09A1B2FA" w14:textId="77777777" w:rsidR="00DB7454" w:rsidRPr="00142C86" w:rsidRDefault="00DB7454" w:rsidP="00DB7454">
      <w:pPr>
        <w:pStyle w:val="Sangra3detindependiente"/>
        <w:spacing w:line="240" w:lineRule="auto"/>
        <w:rPr>
          <w:rFonts w:ascii="Abadi" w:hAnsi="Abadi"/>
          <w:sz w:val="21"/>
          <w:szCs w:val="21"/>
          <w:lang w:val="es-MX"/>
        </w:rPr>
      </w:pPr>
      <w:r w:rsidRPr="00142C8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142C86">
        <w:rPr>
          <w:rFonts w:ascii="Abadi" w:hAnsi="Abadi"/>
          <w:sz w:val="21"/>
          <w:szCs w:val="21"/>
          <w:lang w:val="es-MX"/>
        </w:rPr>
        <w:t>.</w:t>
      </w:r>
      <w:r w:rsidRPr="00142C86">
        <w:rPr>
          <w:rFonts w:ascii="Abadi" w:hAnsi="Abadi"/>
          <w:sz w:val="21"/>
          <w:szCs w:val="21"/>
        </w:rPr>
        <w:t xml:space="preserve"> </w:t>
      </w:r>
      <w:r w:rsidRPr="00142C86">
        <w:rPr>
          <w:rFonts w:ascii="Abadi" w:hAnsi="Abadi"/>
          <w:sz w:val="21"/>
          <w:szCs w:val="21"/>
          <w:lang w:val="es-MX"/>
        </w:rPr>
        <w:t>Asimismo, dará</w:t>
      </w:r>
      <w:r w:rsidRPr="00142C86">
        <w:rPr>
          <w:rFonts w:ascii="Abadi" w:hAnsi="Abadi"/>
          <w:sz w:val="21"/>
          <w:szCs w:val="21"/>
        </w:rPr>
        <w:t xml:space="preserve"> seguimiento a la</w:t>
      </w:r>
      <w:r w:rsidRPr="00142C86">
        <w:rPr>
          <w:rFonts w:ascii="Abadi" w:hAnsi="Abadi"/>
          <w:sz w:val="21"/>
          <w:szCs w:val="21"/>
          <w:lang w:val="es-MX"/>
        </w:rPr>
        <w:t>s</w:t>
      </w:r>
      <w:r w:rsidRPr="00142C86">
        <w:rPr>
          <w:rFonts w:ascii="Abadi" w:hAnsi="Abadi"/>
          <w:sz w:val="21"/>
          <w:szCs w:val="21"/>
        </w:rPr>
        <w:t xml:space="preserve"> </w:t>
      </w:r>
      <w:proofErr w:type="spellStart"/>
      <w:r w:rsidRPr="00142C86">
        <w:rPr>
          <w:rFonts w:ascii="Abadi" w:hAnsi="Abadi"/>
          <w:sz w:val="21"/>
          <w:szCs w:val="21"/>
        </w:rPr>
        <w:t>observaci</w:t>
      </w:r>
      <w:r w:rsidRPr="00142C86">
        <w:rPr>
          <w:rFonts w:ascii="Abadi" w:hAnsi="Abadi"/>
          <w:sz w:val="21"/>
          <w:szCs w:val="21"/>
          <w:lang w:val="es-MX"/>
        </w:rPr>
        <w:t>ones</w:t>
      </w:r>
      <w:proofErr w:type="spellEnd"/>
      <w:r w:rsidRPr="00142C86">
        <w:rPr>
          <w:rFonts w:ascii="Abadi" w:hAnsi="Abadi"/>
          <w:sz w:val="21"/>
          <w:szCs w:val="21"/>
        </w:rPr>
        <w:t xml:space="preserve"> no solventada</w:t>
      </w:r>
      <w:r w:rsidRPr="00142C86">
        <w:rPr>
          <w:rFonts w:ascii="Abadi" w:hAnsi="Abadi"/>
          <w:sz w:val="21"/>
          <w:szCs w:val="21"/>
          <w:lang w:val="es-MX"/>
        </w:rPr>
        <w:t>s</w:t>
      </w:r>
      <w:r w:rsidRPr="00142C86">
        <w:rPr>
          <w:rFonts w:ascii="Abadi" w:hAnsi="Abadi"/>
          <w:sz w:val="21"/>
          <w:szCs w:val="21"/>
        </w:rPr>
        <w:t xml:space="preserve"> </w:t>
      </w:r>
      <w:r w:rsidRPr="00142C86">
        <w:rPr>
          <w:rFonts w:ascii="Abadi" w:hAnsi="Abadi"/>
          <w:sz w:val="21"/>
          <w:szCs w:val="21"/>
          <w:lang w:val="es-MX"/>
        </w:rPr>
        <w:t xml:space="preserve">y a las recomendaciones no atendidas </w:t>
      </w:r>
      <w:r w:rsidRPr="00142C86">
        <w:rPr>
          <w:rFonts w:ascii="Abadi" w:hAnsi="Abadi"/>
          <w:sz w:val="21"/>
          <w:szCs w:val="21"/>
        </w:rPr>
        <w:t>contenidas en el informe de resultados</w:t>
      </w:r>
      <w:r w:rsidRPr="00142C86">
        <w:rPr>
          <w:rFonts w:ascii="Abadi" w:hAnsi="Abadi"/>
          <w:sz w:val="21"/>
          <w:szCs w:val="21"/>
          <w:lang w:val="es-MX"/>
        </w:rPr>
        <w:t>.</w:t>
      </w:r>
    </w:p>
    <w:p w14:paraId="2DC6AF74" w14:textId="77777777" w:rsidR="00DB7454" w:rsidRPr="00142C86" w:rsidRDefault="00DB7454" w:rsidP="00DB7454">
      <w:pPr>
        <w:pStyle w:val="Sangra3detindependiente"/>
        <w:spacing w:line="240" w:lineRule="auto"/>
        <w:rPr>
          <w:rFonts w:ascii="Abadi" w:hAnsi="Abadi"/>
          <w:sz w:val="21"/>
          <w:szCs w:val="21"/>
          <w:lang w:val="es-MX"/>
        </w:rPr>
      </w:pPr>
    </w:p>
    <w:p w14:paraId="3A45C83D"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 xml:space="preserve">Se ordena dar vista del informe de resultados al ayuntamiento del municipio de </w:t>
      </w:r>
      <w:r w:rsidRPr="00142C86">
        <w:rPr>
          <w:rFonts w:ascii="Abadi" w:hAnsi="Abadi" w:cs="Arial"/>
          <w:sz w:val="21"/>
          <w:szCs w:val="21"/>
          <w:lang w:val="es-MX"/>
        </w:rPr>
        <w:t>Pénjamo,</w:t>
      </w:r>
      <w:r w:rsidRPr="00142C86">
        <w:rPr>
          <w:rFonts w:ascii="Abadi" w:hAnsi="Abadi" w:cs="Arial"/>
          <w:sz w:val="21"/>
          <w:szCs w:val="21"/>
        </w:rPr>
        <w:t xml:space="preserve"> </w:t>
      </w:r>
      <w:proofErr w:type="spellStart"/>
      <w:r w:rsidRPr="00142C86">
        <w:rPr>
          <w:rFonts w:ascii="Abadi" w:hAnsi="Abadi" w:cs="Arial"/>
          <w:sz w:val="21"/>
          <w:szCs w:val="21"/>
        </w:rPr>
        <w:t>Gto</w:t>
      </w:r>
      <w:proofErr w:type="spellEnd"/>
      <w:r w:rsidRPr="00142C86">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142C86">
          <w:rPr>
            <w:rFonts w:ascii="Abadi" w:hAnsi="Abadi" w:cs="Arial"/>
            <w:sz w:val="21"/>
            <w:szCs w:val="21"/>
          </w:rPr>
          <w:t>la Ley</w:t>
        </w:r>
      </w:smartTag>
      <w:r w:rsidRPr="00142C86">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221F907F" w14:textId="77777777" w:rsidR="00DB7454" w:rsidRPr="00142C86" w:rsidRDefault="00DB7454" w:rsidP="00DB7454">
      <w:pPr>
        <w:ind w:firstLine="708"/>
        <w:jc w:val="both"/>
        <w:rPr>
          <w:rFonts w:ascii="Abadi" w:hAnsi="Abadi" w:cs="Arial"/>
          <w:sz w:val="21"/>
          <w:szCs w:val="21"/>
        </w:rPr>
      </w:pPr>
    </w:p>
    <w:p w14:paraId="2FF724CA" w14:textId="77777777" w:rsidR="00DB7454" w:rsidRPr="00142C86" w:rsidRDefault="00DB7454" w:rsidP="00DB7454">
      <w:pPr>
        <w:ind w:firstLine="708"/>
        <w:jc w:val="both"/>
        <w:rPr>
          <w:rFonts w:ascii="Abadi" w:hAnsi="Abadi" w:cs="Arial"/>
          <w:sz w:val="21"/>
          <w:szCs w:val="21"/>
        </w:rPr>
      </w:pPr>
    </w:p>
    <w:p w14:paraId="374B2C41" w14:textId="77777777" w:rsidR="00DB7454" w:rsidRPr="00142C86" w:rsidRDefault="00DB7454" w:rsidP="00DB7454">
      <w:pPr>
        <w:ind w:firstLine="708"/>
        <w:jc w:val="both"/>
        <w:rPr>
          <w:rFonts w:ascii="Abadi" w:hAnsi="Abadi" w:cs="Arial"/>
          <w:sz w:val="21"/>
          <w:szCs w:val="21"/>
        </w:rPr>
      </w:pPr>
      <w:r w:rsidRPr="00142C86">
        <w:rPr>
          <w:rFonts w:ascii="Abadi" w:hAnsi="Abadi" w:cs="Arial"/>
          <w:sz w:val="21"/>
          <w:szCs w:val="21"/>
        </w:rPr>
        <w:t>Remítase el presente acuerdo al titular del Poder Ejecutivo del Estado para su publicación en el Periódico Oficial del Gobierno del Estado.</w:t>
      </w:r>
    </w:p>
    <w:p w14:paraId="7DDC8A85" w14:textId="77777777" w:rsidR="00DB7454" w:rsidRPr="00142C86" w:rsidRDefault="00DB7454" w:rsidP="00DB7454">
      <w:pPr>
        <w:ind w:firstLine="708"/>
        <w:jc w:val="both"/>
        <w:rPr>
          <w:rFonts w:ascii="Abadi" w:hAnsi="Abadi" w:cs="Arial"/>
          <w:sz w:val="21"/>
          <w:szCs w:val="21"/>
        </w:rPr>
      </w:pPr>
    </w:p>
    <w:p w14:paraId="10BB061B" w14:textId="77777777" w:rsidR="00DB7454" w:rsidRPr="00142C86" w:rsidRDefault="00DB7454" w:rsidP="00DB7454">
      <w:pPr>
        <w:pStyle w:val="Sangra3detindependiente"/>
        <w:spacing w:line="240" w:lineRule="auto"/>
        <w:rPr>
          <w:rFonts w:ascii="Abadi" w:hAnsi="Abadi"/>
          <w:sz w:val="21"/>
          <w:szCs w:val="21"/>
        </w:rPr>
      </w:pPr>
      <w:r w:rsidRPr="00142C86">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1E601F6" w14:textId="77777777" w:rsidR="00DB7454" w:rsidRPr="00142C86" w:rsidRDefault="00DB7454" w:rsidP="00DB7454">
      <w:pPr>
        <w:jc w:val="center"/>
        <w:rPr>
          <w:rFonts w:ascii="Abadi" w:hAnsi="Abadi" w:cs="Arial"/>
          <w:b/>
          <w:bCs/>
          <w:sz w:val="21"/>
          <w:szCs w:val="21"/>
          <w:lang w:eastAsia="x-none"/>
        </w:rPr>
      </w:pPr>
    </w:p>
    <w:p w14:paraId="1FE63780" w14:textId="77777777" w:rsidR="00DB7454" w:rsidRPr="00142C86" w:rsidRDefault="00DB7454" w:rsidP="00DB7454">
      <w:pPr>
        <w:jc w:val="center"/>
        <w:rPr>
          <w:rFonts w:ascii="Abadi" w:hAnsi="Abadi" w:cs="Arial"/>
          <w:b/>
          <w:bCs/>
          <w:sz w:val="21"/>
          <w:szCs w:val="21"/>
          <w:lang w:eastAsia="x-none"/>
        </w:rPr>
      </w:pPr>
      <w:r w:rsidRPr="00142C86">
        <w:rPr>
          <w:rFonts w:ascii="Abadi" w:hAnsi="Abadi" w:cs="Arial"/>
          <w:b/>
          <w:bCs/>
          <w:sz w:val="21"/>
          <w:szCs w:val="21"/>
          <w:lang w:eastAsia="x-none"/>
        </w:rPr>
        <w:t xml:space="preserve">Guanajuato, </w:t>
      </w:r>
      <w:proofErr w:type="spellStart"/>
      <w:r w:rsidRPr="00142C86">
        <w:rPr>
          <w:rFonts w:ascii="Abadi" w:hAnsi="Abadi" w:cs="Arial"/>
          <w:b/>
          <w:bCs/>
          <w:sz w:val="21"/>
          <w:szCs w:val="21"/>
          <w:lang w:eastAsia="x-none"/>
        </w:rPr>
        <w:t>Gto</w:t>
      </w:r>
      <w:proofErr w:type="spellEnd"/>
      <w:r w:rsidRPr="00142C86">
        <w:rPr>
          <w:rFonts w:ascii="Abadi" w:hAnsi="Abadi" w:cs="Arial"/>
          <w:b/>
          <w:bCs/>
          <w:sz w:val="21"/>
          <w:szCs w:val="21"/>
          <w:lang w:eastAsia="x-none"/>
        </w:rPr>
        <w:t>., 13 de junio de 2023</w:t>
      </w:r>
    </w:p>
    <w:p w14:paraId="5DEBEA29" w14:textId="77777777" w:rsidR="00DB7454" w:rsidRPr="00142C86" w:rsidRDefault="00DB7454" w:rsidP="00DB7454">
      <w:pPr>
        <w:jc w:val="center"/>
        <w:rPr>
          <w:rFonts w:ascii="Abadi" w:hAnsi="Abadi" w:cs="Arial"/>
          <w:b/>
          <w:bCs/>
          <w:sz w:val="21"/>
          <w:szCs w:val="21"/>
          <w:lang w:eastAsia="x-none"/>
        </w:rPr>
      </w:pPr>
      <w:smartTag w:uri="urn:schemas-microsoft-com:office:smarttags" w:element="PersonName">
        <w:smartTagPr>
          <w:attr w:name="ProductID" w:val="La Comisi￳n"/>
        </w:smartTagPr>
        <w:r w:rsidRPr="00142C86">
          <w:rPr>
            <w:rFonts w:ascii="Abadi" w:hAnsi="Abadi" w:cs="Arial"/>
            <w:b/>
            <w:bCs/>
            <w:sz w:val="21"/>
            <w:szCs w:val="21"/>
            <w:lang w:eastAsia="x-none"/>
          </w:rPr>
          <w:t>La Comisión</w:t>
        </w:r>
      </w:smartTag>
      <w:r w:rsidRPr="00142C86">
        <w:rPr>
          <w:rFonts w:ascii="Abadi" w:hAnsi="Abadi" w:cs="Arial"/>
          <w:b/>
          <w:bCs/>
          <w:sz w:val="21"/>
          <w:szCs w:val="21"/>
          <w:lang w:eastAsia="x-none"/>
        </w:rPr>
        <w:t xml:space="preserve"> de Hacienda y Fiscalización</w:t>
      </w:r>
    </w:p>
    <w:p w14:paraId="3E831DBB" w14:textId="77777777" w:rsidR="00DB7454" w:rsidRPr="00142C86" w:rsidRDefault="00DB7454" w:rsidP="00DB7454">
      <w:pPr>
        <w:jc w:val="center"/>
        <w:rPr>
          <w:rFonts w:ascii="Abadi" w:hAnsi="Abadi" w:cs="Arial"/>
          <w:sz w:val="21"/>
          <w:szCs w:val="21"/>
        </w:rPr>
      </w:pPr>
    </w:p>
    <w:p w14:paraId="47186BEB" w14:textId="77777777" w:rsidR="00DB7454" w:rsidRPr="00142C86" w:rsidRDefault="00DB7454" w:rsidP="00DB7454">
      <w:pPr>
        <w:jc w:val="center"/>
        <w:rPr>
          <w:rFonts w:ascii="Abadi" w:hAnsi="Abadi" w:cs="Arial"/>
          <w:sz w:val="21"/>
          <w:szCs w:val="21"/>
        </w:rPr>
      </w:pPr>
    </w:p>
    <w:p w14:paraId="0EF1002C" w14:textId="77777777" w:rsidR="00DB7454" w:rsidRPr="00142C86" w:rsidRDefault="00DB7454" w:rsidP="00DB7454">
      <w:pPr>
        <w:rPr>
          <w:rFonts w:ascii="Abadi" w:hAnsi="Abadi" w:cs="Arial"/>
          <w:sz w:val="21"/>
          <w:szCs w:val="21"/>
        </w:rPr>
      </w:pPr>
      <w:r w:rsidRPr="00142C86">
        <w:rPr>
          <w:rFonts w:ascii="Abadi" w:hAnsi="Abadi" w:cs="Arial"/>
          <w:b/>
          <w:sz w:val="21"/>
          <w:szCs w:val="21"/>
          <w:lang w:eastAsia="x-none"/>
        </w:rPr>
        <w:t>Diputado Víctor Manuel Zanella Huerta</w:t>
      </w:r>
    </w:p>
    <w:p w14:paraId="79415674" w14:textId="77777777" w:rsidR="00DB7454" w:rsidRPr="00142C86" w:rsidRDefault="00DB7454" w:rsidP="00DB7454">
      <w:pPr>
        <w:rPr>
          <w:rFonts w:ascii="Abadi" w:hAnsi="Abadi" w:cs="Arial"/>
          <w:b/>
          <w:sz w:val="21"/>
          <w:szCs w:val="21"/>
          <w:lang w:eastAsia="x-none"/>
        </w:rPr>
      </w:pPr>
      <w:r w:rsidRPr="00142C86">
        <w:rPr>
          <w:rFonts w:ascii="Abadi" w:hAnsi="Abadi" w:cs="Arial"/>
          <w:b/>
          <w:sz w:val="21"/>
          <w:szCs w:val="21"/>
          <w:lang w:eastAsia="x-none"/>
        </w:rPr>
        <w:t xml:space="preserve">Diputada Ruth Noemí Tiscareño Agoitia      </w:t>
      </w:r>
    </w:p>
    <w:p w14:paraId="0F1EA850" w14:textId="4D49F8E7" w:rsidR="00DB7454" w:rsidRPr="00142C86" w:rsidRDefault="00DB7454" w:rsidP="00847B0F">
      <w:pPr>
        <w:rPr>
          <w:rFonts w:ascii="Abadi" w:hAnsi="Abadi" w:cs="Arial"/>
          <w:b/>
          <w:sz w:val="21"/>
          <w:szCs w:val="21"/>
          <w:lang w:eastAsia="x-none"/>
        </w:rPr>
      </w:pPr>
      <w:r w:rsidRPr="00142C86">
        <w:rPr>
          <w:rFonts w:ascii="Abadi" w:hAnsi="Abadi" w:cs="Arial"/>
          <w:b/>
          <w:sz w:val="21"/>
          <w:szCs w:val="21"/>
          <w:lang w:eastAsia="x-none"/>
        </w:rPr>
        <w:t xml:space="preserve">Diputado Miguel Ángel Salim </w:t>
      </w:r>
      <w:proofErr w:type="spellStart"/>
      <w:r w:rsidRPr="00142C86">
        <w:rPr>
          <w:rFonts w:ascii="Abadi" w:hAnsi="Abadi" w:cs="Arial"/>
          <w:b/>
          <w:sz w:val="21"/>
          <w:szCs w:val="21"/>
          <w:lang w:eastAsia="x-none"/>
        </w:rPr>
        <w:t>Alle</w:t>
      </w:r>
      <w:proofErr w:type="spellEnd"/>
    </w:p>
    <w:p w14:paraId="277D1337" w14:textId="77777777" w:rsidR="00DB7454" w:rsidRPr="00142C86" w:rsidRDefault="00DB7454" w:rsidP="00DB7454">
      <w:pPr>
        <w:rPr>
          <w:rFonts w:ascii="Abadi" w:hAnsi="Abadi" w:cs="Arial"/>
          <w:b/>
          <w:sz w:val="21"/>
          <w:szCs w:val="21"/>
          <w:lang w:eastAsia="x-none"/>
        </w:rPr>
      </w:pPr>
      <w:r w:rsidRPr="00142C86">
        <w:rPr>
          <w:rFonts w:ascii="Abadi" w:hAnsi="Abadi" w:cs="Arial"/>
          <w:b/>
          <w:sz w:val="21"/>
          <w:szCs w:val="21"/>
          <w:lang w:eastAsia="x-none"/>
        </w:rPr>
        <w:t xml:space="preserve">Diputado José Alfonso Borja Pimentel    </w:t>
      </w:r>
    </w:p>
    <w:p w14:paraId="551F849E" w14:textId="77777777" w:rsidR="00DB7454" w:rsidRPr="00142C86" w:rsidRDefault="00DB7454" w:rsidP="00847B0F">
      <w:pPr>
        <w:rPr>
          <w:rFonts w:ascii="Abadi" w:hAnsi="Abadi" w:cs="Arial"/>
          <w:b/>
          <w:sz w:val="21"/>
          <w:szCs w:val="21"/>
          <w:lang w:eastAsia="x-none"/>
        </w:rPr>
      </w:pPr>
      <w:r w:rsidRPr="00142C86">
        <w:rPr>
          <w:rFonts w:ascii="Abadi" w:hAnsi="Abadi" w:cs="Arial"/>
          <w:b/>
          <w:sz w:val="21"/>
          <w:szCs w:val="21"/>
          <w:lang w:eastAsia="x-none"/>
        </w:rPr>
        <w:t>Diputada Alma Edwviges Alcaraz Hernández</w:t>
      </w:r>
    </w:p>
    <w:p w14:paraId="352F7638" w14:textId="77777777" w:rsidR="00DB7454" w:rsidRPr="00142C86" w:rsidRDefault="00DB7454" w:rsidP="00DB7454">
      <w:pPr>
        <w:pStyle w:val="Textoindependiente2"/>
        <w:rPr>
          <w:rFonts w:ascii="Abadi" w:hAnsi="Abadi"/>
          <w:sz w:val="21"/>
          <w:szCs w:val="21"/>
        </w:rPr>
      </w:pPr>
    </w:p>
    <w:p w14:paraId="1BC34C36" w14:textId="1033FD11"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MUNICIPAL DE IRAPUATO, GTO., CORRESPONDIENTE AL EJERCICIO FISCAL DEL AÑO 2021. </w:t>
      </w:r>
      <w:r w:rsidRPr="00006796">
        <w:rPr>
          <w:rFonts w:ascii="Abadi" w:hAnsi="Abadi" w:cs="Arial-ItalicMT"/>
          <w:b/>
          <w:bCs/>
          <w:i/>
          <w:iCs/>
          <w:sz w:val="21"/>
          <w:szCs w:val="21"/>
        </w:rPr>
        <w:t>(ELD 301/LXV-IRASEG)</w:t>
      </w:r>
      <w:r w:rsidR="00CA2A81">
        <w:rPr>
          <w:rStyle w:val="Refdenotaalpie"/>
          <w:rFonts w:ascii="Abadi" w:hAnsi="Abadi" w:cs="Arial-ItalicMT"/>
          <w:b/>
          <w:bCs/>
          <w:i/>
          <w:iCs/>
          <w:sz w:val="21"/>
          <w:szCs w:val="21"/>
        </w:rPr>
        <w:footnoteReference w:id="226"/>
      </w:r>
    </w:p>
    <w:p w14:paraId="4FEC5C98" w14:textId="77777777" w:rsidR="00DA5E44" w:rsidRPr="00DA5E44" w:rsidRDefault="00DA5E44" w:rsidP="00DA5E44">
      <w:pPr>
        <w:pStyle w:val="Prrafodelista"/>
        <w:rPr>
          <w:rFonts w:ascii="Abadi" w:hAnsi="Abadi" w:cs="Arial-ItalicMT"/>
          <w:b/>
          <w:bCs/>
          <w:i/>
          <w:iCs/>
          <w:sz w:val="21"/>
          <w:szCs w:val="21"/>
        </w:rPr>
      </w:pPr>
    </w:p>
    <w:p w14:paraId="4757C1AB" w14:textId="77777777" w:rsidR="000C0F71" w:rsidRPr="00E203FA" w:rsidRDefault="000C0F71" w:rsidP="000C0F71">
      <w:pPr>
        <w:pStyle w:val="Textoindependiente3"/>
        <w:rPr>
          <w:rFonts w:ascii="Abadi" w:hAnsi="Abadi" w:cs="Arial"/>
          <w:smallCaps/>
          <w:sz w:val="21"/>
          <w:szCs w:val="21"/>
        </w:rPr>
      </w:pPr>
      <w:r w:rsidRPr="00E203FA">
        <w:rPr>
          <w:rFonts w:ascii="Abadi" w:hAnsi="Abadi" w:cs="Arial"/>
          <w:smallCaps/>
          <w:sz w:val="21"/>
          <w:szCs w:val="21"/>
        </w:rPr>
        <w:t>C. Presidenta del Congreso del Estado</w:t>
      </w:r>
    </w:p>
    <w:p w14:paraId="0CAD8ECC" w14:textId="77777777" w:rsidR="000C0F71" w:rsidRPr="00E203FA" w:rsidRDefault="000C0F71" w:rsidP="000C0F71">
      <w:pPr>
        <w:jc w:val="both"/>
        <w:rPr>
          <w:rFonts w:ascii="Abadi" w:hAnsi="Abadi" w:cs="Arial"/>
          <w:b/>
          <w:bCs/>
          <w:smallCaps/>
          <w:sz w:val="21"/>
          <w:szCs w:val="21"/>
        </w:rPr>
      </w:pPr>
      <w:r w:rsidRPr="00E203FA">
        <w:rPr>
          <w:rFonts w:ascii="Abadi" w:hAnsi="Abadi" w:cs="Arial"/>
          <w:b/>
          <w:bCs/>
          <w:smallCaps/>
          <w:sz w:val="21"/>
          <w:szCs w:val="21"/>
        </w:rPr>
        <w:t>P r e s e n t e.</w:t>
      </w:r>
    </w:p>
    <w:p w14:paraId="794BDB22" w14:textId="77777777" w:rsidR="000C0F71" w:rsidRPr="00E203FA" w:rsidRDefault="000C0F71" w:rsidP="000C0F71">
      <w:pPr>
        <w:pStyle w:val="Textoindependiente"/>
        <w:rPr>
          <w:rFonts w:ascii="Abadi" w:hAnsi="Abadi"/>
          <w:sz w:val="21"/>
          <w:szCs w:val="21"/>
        </w:rPr>
      </w:pPr>
    </w:p>
    <w:p w14:paraId="6E229BF0" w14:textId="77777777" w:rsidR="000C0F71" w:rsidRPr="00E203FA" w:rsidRDefault="000C0F71" w:rsidP="000C0F71">
      <w:pPr>
        <w:pStyle w:val="Sangra3detindependiente"/>
        <w:spacing w:line="240" w:lineRule="auto"/>
        <w:rPr>
          <w:rFonts w:ascii="Abadi" w:hAnsi="Abadi"/>
          <w:sz w:val="21"/>
          <w:szCs w:val="21"/>
        </w:rPr>
      </w:pPr>
      <w:r w:rsidRPr="00E203FA">
        <w:rPr>
          <w:rFonts w:ascii="Abadi" w:hAnsi="Abadi"/>
          <w:sz w:val="21"/>
          <w:szCs w:val="21"/>
        </w:rPr>
        <w:t xml:space="preserve">A </w:t>
      </w:r>
      <w:r w:rsidRPr="00E203FA">
        <w:rPr>
          <w:rFonts w:ascii="Abadi" w:hAnsi="Abadi"/>
          <w:sz w:val="21"/>
          <w:szCs w:val="21"/>
          <w:lang w:val="es-MX"/>
        </w:rPr>
        <w:t>esta</w:t>
      </w:r>
      <w:r w:rsidRPr="00E203FA">
        <w:rPr>
          <w:rFonts w:ascii="Abadi" w:hAnsi="Abadi"/>
          <w:sz w:val="21"/>
          <w:szCs w:val="21"/>
        </w:rPr>
        <w:t xml:space="preserve"> Comisión de Hacienda y Fiscalización</w:t>
      </w:r>
      <w:r w:rsidRPr="00E203FA">
        <w:rPr>
          <w:rFonts w:ascii="Abadi" w:hAnsi="Abadi"/>
          <w:sz w:val="21"/>
          <w:szCs w:val="21"/>
          <w:lang w:val="es-MX"/>
        </w:rPr>
        <w:t xml:space="preserve">, </w:t>
      </w:r>
      <w:r w:rsidRPr="00E203FA">
        <w:rPr>
          <w:rFonts w:ascii="Abadi" w:hAnsi="Abadi"/>
          <w:sz w:val="21"/>
          <w:szCs w:val="21"/>
        </w:rPr>
        <w:t xml:space="preserve">le fue turnado para su estudio y dictamen, el informe de resultados de la revisión practicada por </w:t>
      </w:r>
      <w:r w:rsidRPr="00E203FA">
        <w:rPr>
          <w:rFonts w:ascii="Abadi" w:hAnsi="Abadi"/>
          <w:sz w:val="21"/>
          <w:szCs w:val="21"/>
          <w:lang w:val="es-MX"/>
        </w:rPr>
        <w:t xml:space="preserve">la </w:t>
      </w:r>
      <w:r w:rsidRPr="00E203FA">
        <w:rPr>
          <w:rFonts w:ascii="Abadi" w:hAnsi="Abadi"/>
          <w:sz w:val="21"/>
          <w:szCs w:val="21"/>
        </w:rPr>
        <w:t xml:space="preserve">Auditoría Superior del Estado de Guanajuato, a la cuenta pública municipal de </w:t>
      </w:r>
      <w:r w:rsidRPr="00E203FA">
        <w:rPr>
          <w:rFonts w:ascii="Abadi" w:hAnsi="Abadi"/>
          <w:sz w:val="21"/>
          <w:szCs w:val="21"/>
          <w:lang w:val="es-MX"/>
        </w:rPr>
        <w:t>Irapuato</w:t>
      </w:r>
      <w:r w:rsidRPr="00E203FA">
        <w:rPr>
          <w:rFonts w:ascii="Abadi" w:hAnsi="Abadi"/>
          <w:sz w:val="21"/>
          <w:szCs w:val="21"/>
        </w:rPr>
        <w:t xml:space="preserve">, </w:t>
      </w:r>
      <w:proofErr w:type="spellStart"/>
      <w:r w:rsidRPr="00E203FA">
        <w:rPr>
          <w:rFonts w:ascii="Abadi" w:hAnsi="Abadi"/>
          <w:sz w:val="21"/>
          <w:szCs w:val="21"/>
        </w:rPr>
        <w:t>Gto</w:t>
      </w:r>
      <w:proofErr w:type="spellEnd"/>
      <w:r w:rsidRPr="00E203FA">
        <w:rPr>
          <w:rFonts w:ascii="Abadi" w:hAnsi="Abadi"/>
          <w:sz w:val="21"/>
          <w:szCs w:val="21"/>
        </w:rPr>
        <w:t xml:space="preserve">., correspondiente al ejercicio fiscal del año 2021. (ELD </w:t>
      </w:r>
      <w:r w:rsidRPr="00E203FA">
        <w:rPr>
          <w:rFonts w:ascii="Abadi" w:hAnsi="Abadi"/>
          <w:sz w:val="21"/>
          <w:szCs w:val="21"/>
          <w:lang w:val="es-MX"/>
        </w:rPr>
        <w:t>301</w:t>
      </w:r>
      <w:r w:rsidRPr="00E203FA">
        <w:rPr>
          <w:rFonts w:ascii="Abadi" w:hAnsi="Abadi"/>
          <w:sz w:val="21"/>
          <w:szCs w:val="21"/>
        </w:rPr>
        <w:t>/LXV-IRASEG)</w:t>
      </w:r>
    </w:p>
    <w:p w14:paraId="40C5384E" w14:textId="77777777" w:rsidR="000C0F71" w:rsidRPr="00E203FA" w:rsidRDefault="000C0F71" w:rsidP="000C0F71">
      <w:pPr>
        <w:pStyle w:val="Sangra3detindependiente"/>
        <w:spacing w:line="240" w:lineRule="auto"/>
        <w:rPr>
          <w:rFonts w:ascii="Abadi" w:hAnsi="Abadi"/>
          <w:sz w:val="21"/>
          <w:szCs w:val="21"/>
        </w:rPr>
      </w:pPr>
    </w:p>
    <w:p w14:paraId="690DD463" w14:textId="77777777" w:rsidR="000C0F71" w:rsidRPr="00E203FA" w:rsidRDefault="000C0F71" w:rsidP="000C0F71">
      <w:pPr>
        <w:pStyle w:val="Sangra3detindependiente"/>
        <w:spacing w:line="240" w:lineRule="auto"/>
        <w:rPr>
          <w:rFonts w:ascii="Abadi" w:hAnsi="Abadi"/>
          <w:sz w:val="21"/>
          <w:szCs w:val="21"/>
        </w:rPr>
      </w:pPr>
      <w:r w:rsidRPr="00E203FA">
        <w:rPr>
          <w:rFonts w:ascii="Abadi" w:hAnsi="Abadi"/>
          <w:sz w:val="21"/>
          <w:szCs w:val="21"/>
        </w:rPr>
        <w:t>Una vez analizado el referido informe de resultados, con fundamento en lo dispuesto por los artículos 112, fracción XII</w:t>
      </w:r>
      <w:r w:rsidRPr="00E203FA">
        <w:rPr>
          <w:rFonts w:ascii="Abadi" w:hAnsi="Abadi"/>
          <w:sz w:val="21"/>
          <w:szCs w:val="21"/>
          <w:lang w:val="es-MX"/>
        </w:rPr>
        <w:t>, primer párrafo</w:t>
      </w:r>
      <w:r w:rsidRPr="00E203FA">
        <w:rPr>
          <w:rFonts w:ascii="Abadi" w:hAnsi="Abadi"/>
          <w:sz w:val="21"/>
          <w:szCs w:val="21"/>
        </w:rPr>
        <w:t xml:space="preserve"> y 171 de </w:t>
      </w:r>
      <w:smartTag w:uri="urn:schemas-microsoft-com:office:smarttags" w:element="PersonName">
        <w:smartTagPr>
          <w:attr w:name="ProductID" w:val="la Ley Org￡nica"/>
        </w:smartTagPr>
        <w:r w:rsidRPr="00E203FA">
          <w:rPr>
            <w:rFonts w:ascii="Abadi" w:hAnsi="Abadi"/>
            <w:sz w:val="21"/>
            <w:szCs w:val="21"/>
          </w:rPr>
          <w:t>la Ley Orgánica</w:t>
        </w:r>
      </w:smartTag>
      <w:r w:rsidRPr="00E203FA">
        <w:rPr>
          <w:rFonts w:ascii="Abadi" w:hAnsi="Abadi"/>
          <w:sz w:val="21"/>
          <w:szCs w:val="21"/>
        </w:rPr>
        <w:t xml:space="preserve"> del Poder Legislativo, nos permitimos rendir el siguiente:</w:t>
      </w:r>
    </w:p>
    <w:p w14:paraId="5299C1D1" w14:textId="77777777" w:rsidR="000C0F71" w:rsidRPr="00E203FA" w:rsidRDefault="000C0F71" w:rsidP="000C0F71">
      <w:pPr>
        <w:pStyle w:val="Sangra3detindependiente"/>
        <w:spacing w:line="240" w:lineRule="auto"/>
        <w:rPr>
          <w:rFonts w:ascii="Abadi" w:hAnsi="Abadi"/>
          <w:sz w:val="21"/>
          <w:szCs w:val="21"/>
        </w:rPr>
      </w:pPr>
    </w:p>
    <w:p w14:paraId="6FAD3F52" w14:textId="77777777" w:rsidR="000C0F71" w:rsidRPr="00E203FA" w:rsidRDefault="000C0F71" w:rsidP="000C0F71">
      <w:pPr>
        <w:pStyle w:val="Ttulo1"/>
        <w:jc w:val="center"/>
        <w:rPr>
          <w:rFonts w:ascii="Abadi" w:hAnsi="Abadi" w:cs="Arial"/>
          <w:sz w:val="21"/>
          <w:szCs w:val="21"/>
        </w:rPr>
      </w:pPr>
      <w:r w:rsidRPr="00E203FA">
        <w:rPr>
          <w:rFonts w:ascii="Abadi" w:hAnsi="Abadi" w:cs="Arial"/>
          <w:sz w:val="21"/>
          <w:szCs w:val="21"/>
        </w:rPr>
        <w:t>D i c t a m e n</w:t>
      </w:r>
    </w:p>
    <w:p w14:paraId="39F31068" w14:textId="77777777" w:rsidR="00CB45AC" w:rsidRDefault="00CB45AC" w:rsidP="000C0F71">
      <w:pPr>
        <w:pStyle w:val="Textoindependiente"/>
        <w:ind w:firstLine="708"/>
        <w:rPr>
          <w:rFonts w:ascii="Abadi" w:hAnsi="Abadi"/>
          <w:b w:val="0"/>
          <w:bCs w:val="0"/>
          <w:sz w:val="21"/>
          <w:szCs w:val="21"/>
        </w:rPr>
      </w:pPr>
    </w:p>
    <w:p w14:paraId="6463292B" w14:textId="6B1FB1C0" w:rsidR="000C0F71" w:rsidRPr="00CB45AC" w:rsidRDefault="000C0F71" w:rsidP="000C0F71">
      <w:pPr>
        <w:pStyle w:val="Textoindependiente"/>
        <w:ind w:firstLine="708"/>
        <w:rPr>
          <w:rFonts w:ascii="Abadi" w:hAnsi="Abadi"/>
          <w:sz w:val="21"/>
          <w:szCs w:val="21"/>
        </w:rPr>
      </w:pPr>
      <w:r w:rsidRPr="00CB45AC">
        <w:rPr>
          <w:rFonts w:ascii="Abadi" w:hAnsi="Abadi"/>
          <w:sz w:val="21"/>
          <w:szCs w:val="21"/>
        </w:rPr>
        <w:t>I. Competencia:</w:t>
      </w:r>
    </w:p>
    <w:p w14:paraId="4B2F448A" w14:textId="77777777" w:rsidR="000C0F71" w:rsidRPr="00CB45AC" w:rsidRDefault="000C0F71" w:rsidP="000C0F71">
      <w:pPr>
        <w:pStyle w:val="Textoindependiente"/>
        <w:ind w:firstLine="708"/>
        <w:rPr>
          <w:rFonts w:ascii="Abadi" w:hAnsi="Abadi"/>
          <w:sz w:val="21"/>
          <w:szCs w:val="21"/>
        </w:rPr>
      </w:pPr>
    </w:p>
    <w:p w14:paraId="6F654DE1"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E203FA">
          <w:rPr>
            <w:rFonts w:ascii="Abadi" w:hAnsi="Abadi" w:cs="Arial"/>
            <w:sz w:val="21"/>
            <w:szCs w:val="21"/>
            <w:lang w:val="es-MX" w:eastAsia="x-none"/>
          </w:rPr>
          <w:t>la Constitución Política</w:t>
        </w:r>
      </w:smartTag>
      <w:r w:rsidRPr="00E203FA">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C699239" w14:textId="77777777" w:rsidR="000C0F71" w:rsidRPr="00E203FA" w:rsidRDefault="000C0F71" w:rsidP="000C0F71">
      <w:pPr>
        <w:ind w:firstLine="708"/>
        <w:jc w:val="both"/>
        <w:rPr>
          <w:rFonts w:ascii="Abadi" w:hAnsi="Abadi" w:cs="Arial"/>
          <w:sz w:val="21"/>
          <w:szCs w:val="21"/>
          <w:lang w:val="es-MX" w:eastAsia="x-none"/>
        </w:rPr>
      </w:pPr>
    </w:p>
    <w:p w14:paraId="191B5453"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87EAFCC" w14:textId="77777777" w:rsidR="000C0F71" w:rsidRPr="00E203FA" w:rsidRDefault="000C0F71" w:rsidP="000C0F71">
      <w:pPr>
        <w:ind w:firstLine="708"/>
        <w:jc w:val="both"/>
        <w:rPr>
          <w:rFonts w:ascii="Abadi" w:hAnsi="Abadi" w:cs="Arial"/>
          <w:sz w:val="21"/>
          <w:szCs w:val="21"/>
          <w:lang w:val="es-MX" w:eastAsia="x-none"/>
        </w:rPr>
      </w:pPr>
    </w:p>
    <w:p w14:paraId="612571B1"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E203FA">
          <w:rPr>
            <w:rFonts w:ascii="Abadi" w:hAnsi="Abadi" w:cs="Arial"/>
            <w:sz w:val="21"/>
            <w:szCs w:val="21"/>
            <w:lang w:val="es-MX" w:eastAsia="x-none"/>
          </w:rPr>
          <w:t>la Constitución Política</w:t>
        </w:r>
      </w:smartTag>
      <w:r w:rsidRPr="00E203FA">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4878D6E" w14:textId="77777777" w:rsidR="000C0F71" w:rsidRPr="00E203FA" w:rsidRDefault="000C0F71" w:rsidP="000C0F71">
      <w:pPr>
        <w:ind w:firstLine="708"/>
        <w:jc w:val="both"/>
        <w:rPr>
          <w:rFonts w:ascii="Abadi" w:hAnsi="Abadi" w:cs="Arial"/>
          <w:sz w:val="21"/>
          <w:szCs w:val="21"/>
          <w:lang w:val="es-MX" w:eastAsia="x-none"/>
        </w:rPr>
      </w:pPr>
    </w:p>
    <w:p w14:paraId="0F49B804"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w:t>
      </w:r>
      <w:r w:rsidRPr="00E203FA">
        <w:rPr>
          <w:rFonts w:ascii="Abadi" w:hAnsi="Abadi" w:cs="Arial"/>
          <w:sz w:val="21"/>
          <w:szCs w:val="21"/>
          <w:lang w:val="es-MX" w:eastAsia="x-none"/>
        </w:rPr>
        <w:t>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A251918" w14:textId="77777777" w:rsidR="000C0F71" w:rsidRPr="00E203FA" w:rsidRDefault="000C0F71" w:rsidP="000C0F71">
      <w:pPr>
        <w:ind w:firstLine="708"/>
        <w:jc w:val="both"/>
        <w:rPr>
          <w:rFonts w:ascii="Abadi" w:hAnsi="Abadi" w:cs="Arial"/>
          <w:sz w:val="21"/>
          <w:szCs w:val="21"/>
          <w:lang w:val="es-MX" w:eastAsia="x-none"/>
        </w:rPr>
      </w:pPr>
    </w:p>
    <w:p w14:paraId="1C406492"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D5EE704" w14:textId="77777777" w:rsidR="000C0F71" w:rsidRPr="00CB45AC" w:rsidRDefault="000C0F71" w:rsidP="000C0F71">
      <w:pPr>
        <w:pStyle w:val="Textoindependiente"/>
        <w:ind w:firstLine="708"/>
        <w:rPr>
          <w:rFonts w:ascii="Abadi" w:hAnsi="Abadi"/>
          <w:b w:val="0"/>
          <w:bCs w:val="0"/>
          <w:sz w:val="21"/>
          <w:szCs w:val="21"/>
        </w:rPr>
      </w:pPr>
    </w:p>
    <w:p w14:paraId="6CD16436"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7FE4ADA" w14:textId="77777777" w:rsidR="000C0F71" w:rsidRPr="00CB45AC" w:rsidRDefault="000C0F71" w:rsidP="000C0F71">
      <w:pPr>
        <w:pStyle w:val="Textoindependiente"/>
        <w:ind w:firstLine="708"/>
        <w:rPr>
          <w:rFonts w:ascii="Abadi" w:hAnsi="Abadi"/>
          <w:b w:val="0"/>
          <w:bCs w:val="0"/>
          <w:sz w:val="21"/>
          <w:szCs w:val="21"/>
        </w:rPr>
      </w:pPr>
    </w:p>
    <w:p w14:paraId="318A61F1"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B45AC">
          <w:rPr>
            <w:rFonts w:ascii="Abadi" w:hAnsi="Abadi"/>
            <w:b w:val="0"/>
            <w:bCs w:val="0"/>
            <w:sz w:val="21"/>
            <w:szCs w:val="21"/>
          </w:rPr>
          <w:t>la Ley Orgánica</w:t>
        </w:r>
      </w:smartTag>
      <w:r w:rsidRPr="00CB45AC">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4DC1EBD" w14:textId="77777777" w:rsidR="000C0F71" w:rsidRPr="00CB45AC" w:rsidRDefault="000C0F71" w:rsidP="000C0F71">
      <w:pPr>
        <w:pStyle w:val="Textoindependiente"/>
        <w:ind w:firstLine="708"/>
        <w:rPr>
          <w:rFonts w:ascii="Abadi" w:hAnsi="Abadi"/>
          <w:b w:val="0"/>
          <w:bCs w:val="0"/>
          <w:sz w:val="21"/>
          <w:szCs w:val="21"/>
        </w:rPr>
      </w:pPr>
    </w:p>
    <w:p w14:paraId="2B93F760"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685F8FC" w14:textId="77777777" w:rsidR="000C0F71" w:rsidRPr="00CB45AC" w:rsidRDefault="000C0F71" w:rsidP="000C0F71">
      <w:pPr>
        <w:ind w:firstLine="708"/>
        <w:jc w:val="both"/>
        <w:rPr>
          <w:rFonts w:ascii="Abadi" w:hAnsi="Abadi" w:cs="Arial"/>
          <w:sz w:val="21"/>
          <w:szCs w:val="21"/>
          <w:lang w:val="es-MX" w:eastAsia="x-none"/>
        </w:rPr>
      </w:pPr>
      <w:r w:rsidRPr="00CB45AC">
        <w:rPr>
          <w:rFonts w:ascii="Abadi" w:hAnsi="Abadi" w:cs="Arial"/>
          <w:sz w:val="21"/>
          <w:szCs w:val="21"/>
          <w:lang w:val="es-MX" w:eastAsia="x-none"/>
        </w:rPr>
        <w:t>II. Antecedentes:</w:t>
      </w:r>
    </w:p>
    <w:p w14:paraId="3CADD6F4" w14:textId="77777777" w:rsidR="000C0F71" w:rsidRPr="00CB45AC" w:rsidRDefault="000C0F71" w:rsidP="000C0F71">
      <w:pPr>
        <w:ind w:firstLine="708"/>
        <w:jc w:val="both"/>
        <w:rPr>
          <w:rFonts w:ascii="Abadi" w:hAnsi="Abadi" w:cs="Arial"/>
          <w:sz w:val="21"/>
          <w:szCs w:val="21"/>
          <w:lang w:val="es-MX" w:eastAsia="x-none"/>
        </w:rPr>
      </w:pPr>
    </w:p>
    <w:p w14:paraId="741C2EB2" w14:textId="77777777" w:rsidR="000C0F71" w:rsidRPr="00E203FA" w:rsidRDefault="000C0F71" w:rsidP="000C0F71">
      <w:pPr>
        <w:ind w:firstLine="708"/>
        <w:jc w:val="both"/>
        <w:rPr>
          <w:rFonts w:ascii="Abadi" w:hAnsi="Abadi" w:cs="Arial"/>
          <w:sz w:val="21"/>
          <w:szCs w:val="21"/>
          <w:lang w:val="es-MX" w:eastAsia="x-none"/>
        </w:rPr>
      </w:pPr>
      <w:r w:rsidRPr="00CB45AC">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CB45AC">
          <w:rPr>
            <w:rFonts w:ascii="Abadi" w:hAnsi="Abadi" w:cs="Arial"/>
            <w:sz w:val="21"/>
            <w:szCs w:val="21"/>
            <w:lang w:val="es-MX" w:eastAsia="x-none"/>
          </w:rPr>
          <w:t>la Constitución Política</w:t>
        </w:r>
      </w:smartTag>
      <w:r w:rsidRPr="00CB45AC">
        <w:rPr>
          <w:rFonts w:ascii="Abadi" w:hAnsi="Abadi" w:cs="Arial"/>
          <w:sz w:val="21"/>
          <w:szCs w:val="21"/>
          <w:lang w:val="es-MX" w:eastAsia="x-none"/>
        </w:rPr>
        <w:t xml:space="preserve"> Local establece como obligación de los ayuntamien</w:t>
      </w:r>
      <w:r w:rsidRPr="00E203FA">
        <w:rPr>
          <w:rFonts w:ascii="Abadi" w:hAnsi="Abadi" w:cs="Arial"/>
          <w:sz w:val="21"/>
          <w:szCs w:val="21"/>
          <w:lang w:val="es-MX" w:eastAsia="x-none"/>
        </w:rPr>
        <w:t xml:space="preserve">tos presentar al Congreso del Estado, la información financiera y la cuenta pública del Municipio, con la periodicidad, forma y términos que </w:t>
      </w:r>
      <w:r w:rsidRPr="00E203FA">
        <w:rPr>
          <w:rFonts w:ascii="Abadi" w:hAnsi="Abadi" w:cs="Arial"/>
          <w:sz w:val="21"/>
          <w:szCs w:val="21"/>
          <w:lang w:val="es-MX" w:eastAsia="x-none"/>
        </w:rPr>
        <w:lastRenderedPageBreak/>
        <w:t>establezcan las disposiciones aplicables y la Ley.</w:t>
      </w:r>
    </w:p>
    <w:p w14:paraId="78385D9E" w14:textId="77777777" w:rsidR="000C0F71" w:rsidRPr="00E203FA" w:rsidRDefault="000C0F71" w:rsidP="000C0F71">
      <w:pPr>
        <w:ind w:firstLine="708"/>
        <w:jc w:val="both"/>
        <w:rPr>
          <w:rFonts w:ascii="Abadi" w:hAnsi="Abadi" w:cs="Arial"/>
          <w:sz w:val="21"/>
          <w:szCs w:val="21"/>
          <w:lang w:val="es-MX" w:eastAsia="x-none"/>
        </w:rPr>
      </w:pPr>
    </w:p>
    <w:p w14:paraId="256C7973"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D7BFEC7" w14:textId="77777777" w:rsidR="000C0F71" w:rsidRPr="00CB45AC" w:rsidRDefault="000C0F71" w:rsidP="000C0F71">
      <w:pPr>
        <w:pStyle w:val="Textoindependiente"/>
        <w:ind w:firstLine="708"/>
        <w:rPr>
          <w:rFonts w:ascii="Abadi" w:hAnsi="Abadi"/>
          <w:b w:val="0"/>
          <w:bCs w:val="0"/>
          <w:sz w:val="21"/>
          <w:szCs w:val="21"/>
        </w:rPr>
      </w:pPr>
    </w:p>
    <w:p w14:paraId="28E9F581"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27C2E34" w14:textId="77777777" w:rsidR="000C0F71" w:rsidRPr="00CB45AC" w:rsidRDefault="000C0F71" w:rsidP="000C0F71">
      <w:pPr>
        <w:pStyle w:val="Textoindependiente"/>
        <w:ind w:firstLine="708"/>
        <w:rPr>
          <w:rFonts w:ascii="Abadi" w:hAnsi="Abadi"/>
          <w:b w:val="0"/>
          <w:bCs w:val="0"/>
          <w:sz w:val="21"/>
          <w:szCs w:val="21"/>
        </w:rPr>
      </w:pPr>
    </w:p>
    <w:p w14:paraId="610560A6"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6599F64" w14:textId="77777777" w:rsidR="000C0F71" w:rsidRPr="00CB45AC" w:rsidRDefault="000C0F71" w:rsidP="000C0F71">
      <w:pPr>
        <w:pStyle w:val="Textoindependiente"/>
        <w:ind w:firstLine="708"/>
        <w:rPr>
          <w:rFonts w:ascii="Abadi" w:hAnsi="Abadi"/>
          <w:b w:val="0"/>
          <w:bCs w:val="0"/>
          <w:sz w:val="21"/>
          <w:szCs w:val="21"/>
        </w:rPr>
      </w:pPr>
    </w:p>
    <w:p w14:paraId="5744860F"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AD7D945" w14:textId="77777777" w:rsidR="000C0F71" w:rsidRPr="00E203FA" w:rsidRDefault="000C0F71" w:rsidP="000C0F71">
      <w:pPr>
        <w:ind w:firstLine="708"/>
        <w:jc w:val="both"/>
        <w:rPr>
          <w:rFonts w:ascii="Abadi" w:hAnsi="Abadi" w:cs="Arial"/>
          <w:sz w:val="21"/>
          <w:szCs w:val="21"/>
          <w:lang w:val="es-MX" w:eastAsia="x-none"/>
        </w:rPr>
      </w:pPr>
    </w:p>
    <w:p w14:paraId="45B71484"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203FA">
          <w:rPr>
            <w:rFonts w:ascii="Abadi" w:hAnsi="Abadi" w:cs="Arial"/>
            <w:sz w:val="21"/>
            <w:szCs w:val="21"/>
            <w:lang w:val="es-MX" w:eastAsia="x-none"/>
          </w:rPr>
          <w:t>la Ley Orgánica</w:t>
        </w:r>
      </w:smartTag>
      <w:r w:rsidRPr="00E203FA">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B9AEDE3" w14:textId="77777777" w:rsidR="000C0F71" w:rsidRPr="00E203FA" w:rsidRDefault="000C0F71" w:rsidP="000C0F71">
      <w:pPr>
        <w:ind w:firstLine="708"/>
        <w:jc w:val="both"/>
        <w:rPr>
          <w:rFonts w:ascii="Abadi" w:hAnsi="Abadi" w:cs="Arial"/>
          <w:sz w:val="21"/>
          <w:szCs w:val="21"/>
          <w:lang w:val="es-MX" w:eastAsia="x-none"/>
        </w:rPr>
      </w:pPr>
    </w:p>
    <w:p w14:paraId="21A4E074" w14:textId="77777777" w:rsidR="000C0F71" w:rsidRPr="00E203FA" w:rsidRDefault="000C0F71" w:rsidP="000C0F71">
      <w:pPr>
        <w:ind w:firstLine="708"/>
        <w:jc w:val="both"/>
        <w:rPr>
          <w:rFonts w:ascii="Abadi" w:hAnsi="Abadi" w:cs="Arial"/>
          <w:sz w:val="21"/>
          <w:szCs w:val="21"/>
          <w:lang w:val="es-MX" w:eastAsia="x-none"/>
        </w:rPr>
      </w:pPr>
    </w:p>
    <w:p w14:paraId="4D438474" w14:textId="77777777" w:rsidR="000C0F71" w:rsidRPr="00E203FA" w:rsidRDefault="000C0F71" w:rsidP="000C0F71">
      <w:pPr>
        <w:ind w:firstLine="708"/>
        <w:jc w:val="both"/>
        <w:rPr>
          <w:rFonts w:ascii="Abadi" w:hAnsi="Abadi" w:cs="Arial"/>
          <w:sz w:val="21"/>
          <w:szCs w:val="21"/>
          <w:lang w:val="es-MX" w:eastAsia="x-none"/>
        </w:rPr>
      </w:pPr>
    </w:p>
    <w:p w14:paraId="323D2677" w14:textId="77777777" w:rsidR="000C0F71" w:rsidRPr="00E203FA" w:rsidRDefault="000C0F71" w:rsidP="000C0F71">
      <w:pPr>
        <w:ind w:firstLine="708"/>
        <w:jc w:val="both"/>
        <w:rPr>
          <w:rFonts w:ascii="Abadi" w:hAnsi="Abadi" w:cs="Arial"/>
          <w:sz w:val="21"/>
          <w:szCs w:val="21"/>
          <w:lang w:val="es-MX" w:eastAsia="x-none"/>
        </w:rPr>
      </w:pPr>
    </w:p>
    <w:p w14:paraId="6EF97247" w14:textId="77777777" w:rsidR="000C0F71" w:rsidRPr="00E203FA" w:rsidRDefault="000C0F71" w:rsidP="000C0F71">
      <w:pPr>
        <w:ind w:firstLine="708"/>
        <w:jc w:val="both"/>
        <w:rPr>
          <w:rFonts w:ascii="Abadi" w:hAnsi="Abadi" w:cs="Arial"/>
          <w:sz w:val="21"/>
          <w:szCs w:val="21"/>
          <w:lang w:val="es-MX" w:eastAsia="x-none"/>
        </w:rPr>
      </w:pPr>
    </w:p>
    <w:p w14:paraId="72A1FFD5" w14:textId="77777777" w:rsidR="000C0F71" w:rsidRPr="00E203FA" w:rsidRDefault="000C0F71" w:rsidP="000C0F71">
      <w:pPr>
        <w:ind w:right="60" w:firstLine="709"/>
        <w:jc w:val="both"/>
        <w:rPr>
          <w:rFonts w:ascii="Abadi" w:hAnsi="Abadi" w:cs="Arial"/>
          <w:sz w:val="21"/>
          <w:szCs w:val="21"/>
          <w:lang w:val="es-MX" w:eastAsia="x-none"/>
        </w:rPr>
      </w:pPr>
      <w:r w:rsidRPr="00E203FA">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w:t>
      </w:r>
      <w:r w:rsidRPr="00E203FA">
        <w:rPr>
          <w:rFonts w:ascii="Abadi" w:hAnsi="Abadi" w:cs="Arial"/>
          <w:sz w:val="21"/>
          <w:szCs w:val="21"/>
          <w:lang w:val="es-MX" w:eastAsia="x-none"/>
        </w:rPr>
        <w:t>trimestral que hayan presentado; y en el supuesto de adecuaciones o ajustes, estos deberán expresarse en la cuenta pública o en la información financiera del trimestre en que se hayan detectado.</w:t>
      </w:r>
    </w:p>
    <w:p w14:paraId="4BE079E7" w14:textId="77777777" w:rsidR="000C0F71" w:rsidRPr="00E203FA" w:rsidRDefault="000C0F71" w:rsidP="000C0F71">
      <w:pPr>
        <w:ind w:right="58" w:firstLine="709"/>
        <w:jc w:val="both"/>
        <w:rPr>
          <w:rFonts w:ascii="Abadi" w:eastAsia="DejaVu Sans" w:hAnsi="Abadi" w:cs="Tahoma"/>
          <w:iCs/>
          <w:kern w:val="1"/>
          <w:sz w:val="21"/>
          <w:szCs w:val="21"/>
          <w:lang w:eastAsia="ar-SA"/>
        </w:rPr>
      </w:pPr>
    </w:p>
    <w:p w14:paraId="7DB15F91"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18AC36EA" w14:textId="77777777" w:rsidR="000C0F71" w:rsidRPr="00E203FA" w:rsidRDefault="000C0F71" w:rsidP="000C0F71">
      <w:pPr>
        <w:pStyle w:val="Textoindependiente"/>
        <w:ind w:firstLine="708"/>
        <w:rPr>
          <w:rFonts w:ascii="Abadi" w:hAnsi="Abadi"/>
          <w:sz w:val="21"/>
          <w:szCs w:val="21"/>
        </w:rPr>
      </w:pPr>
    </w:p>
    <w:p w14:paraId="21C35E97"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F108771" w14:textId="77777777" w:rsidR="000C0F71" w:rsidRPr="00CB45AC" w:rsidRDefault="000C0F71" w:rsidP="000C0F71">
      <w:pPr>
        <w:pStyle w:val="Textoindependiente"/>
        <w:ind w:firstLine="708"/>
        <w:rPr>
          <w:rFonts w:ascii="Abadi" w:hAnsi="Abadi"/>
          <w:b w:val="0"/>
          <w:bCs w:val="0"/>
          <w:sz w:val="21"/>
          <w:szCs w:val="21"/>
        </w:rPr>
      </w:pPr>
    </w:p>
    <w:p w14:paraId="1828E9EC" w14:textId="77777777" w:rsidR="000C0F71" w:rsidRPr="00E203FA" w:rsidRDefault="000C0F71" w:rsidP="000C0F71">
      <w:pPr>
        <w:ind w:right="60" w:firstLine="709"/>
        <w:jc w:val="both"/>
        <w:rPr>
          <w:rFonts w:ascii="Abadi" w:hAnsi="Abadi" w:cs="Arial"/>
          <w:sz w:val="21"/>
          <w:szCs w:val="21"/>
          <w:lang w:val="es-MX" w:eastAsia="x-none"/>
        </w:rPr>
      </w:pPr>
      <w:r w:rsidRPr="00CB45AC">
        <w:rPr>
          <w:rFonts w:ascii="Abadi" w:hAnsi="Abadi" w:cs="Arial"/>
          <w:sz w:val="21"/>
          <w:szCs w:val="21"/>
          <w:lang w:val="es-MX" w:eastAsia="x-none"/>
        </w:rPr>
        <w:t>Por su parte, el</w:t>
      </w:r>
      <w:r w:rsidRPr="00E203FA">
        <w:rPr>
          <w:rFonts w:ascii="Abadi" w:hAnsi="Abadi" w:cs="Arial"/>
          <w:sz w:val="21"/>
          <w:szCs w:val="21"/>
          <w:lang w:val="es-MX" w:eastAsia="x-none"/>
        </w:rPr>
        <w:t xml:space="preserve">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4A2BD7A" w14:textId="77777777" w:rsidR="000C0F71" w:rsidRPr="00E203FA" w:rsidRDefault="000C0F71" w:rsidP="000C0F71">
      <w:pPr>
        <w:pStyle w:val="Textoindependiente"/>
        <w:ind w:firstLine="708"/>
        <w:rPr>
          <w:rFonts w:ascii="Abadi" w:hAnsi="Abadi"/>
          <w:sz w:val="21"/>
          <w:szCs w:val="21"/>
        </w:rPr>
      </w:pPr>
    </w:p>
    <w:p w14:paraId="224BDABF"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w:t>
      </w:r>
      <w:r w:rsidRPr="00E203FA">
        <w:rPr>
          <w:rFonts w:ascii="Abadi" w:hAnsi="Abadi"/>
          <w:sz w:val="21"/>
          <w:szCs w:val="21"/>
        </w:rPr>
        <w:t xml:space="preserve"> </w:t>
      </w:r>
      <w:r w:rsidRPr="00CB45AC">
        <w:rPr>
          <w:rFonts w:ascii="Abadi" w:hAnsi="Abadi"/>
          <w:b w:val="0"/>
          <w:bCs w:val="0"/>
          <w:sz w:val="21"/>
          <w:szCs w:val="21"/>
        </w:rPr>
        <w:t>haciendo uso del sistema informático que instrumente y difunda la Auditoría Superior.</w:t>
      </w:r>
    </w:p>
    <w:p w14:paraId="53139ABE" w14:textId="77777777" w:rsidR="000C0F71" w:rsidRPr="00E203FA" w:rsidRDefault="000C0F71" w:rsidP="000C0F71">
      <w:pPr>
        <w:pStyle w:val="Textoindependiente"/>
        <w:ind w:firstLine="708"/>
        <w:rPr>
          <w:rFonts w:ascii="Abadi" w:hAnsi="Abadi"/>
          <w:sz w:val="21"/>
          <w:szCs w:val="21"/>
        </w:rPr>
      </w:pPr>
    </w:p>
    <w:p w14:paraId="32243E32" w14:textId="77777777" w:rsidR="000C0F71" w:rsidRPr="00E203FA" w:rsidRDefault="000C0F71" w:rsidP="000C0F71">
      <w:pPr>
        <w:tabs>
          <w:tab w:val="left" w:pos="709"/>
        </w:tabs>
        <w:jc w:val="both"/>
        <w:rPr>
          <w:rFonts w:ascii="Abadi" w:hAnsi="Abadi" w:cs="Arial"/>
          <w:sz w:val="21"/>
          <w:szCs w:val="21"/>
          <w:lang w:val="es-MX" w:eastAsia="x-none"/>
        </w:rPr>
      </w:pPr>
      <w:r w:rsidRPr="00E203FA">
        <w:rPr>
          <w:rFonts w:ascii="Abadi" w:hAnsi="Abadi" w:cs="Arial"/>
          <w:sz w:val="21"/>
          <w:szCs w:val="21"/>
        </w:rPr>
        <w:tab/>
        <w:t xml:space="preserve">El citado artículo también refiere </w:t>
      </w:r>
      <w:r w:rsidRPr="00E203FA">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w:t>
      </w:r>
      <w:r w:rsidRPr="00E203FA">
        <w:rPr>
          <w:rFonts w:ascii="Abadi" w:hAnsi="Abadi" w:cs="Arial"/>
          <w:sz w:val="21"/>
          <w:szCs w:val="21"/>
          <w:lang w:val="es-MX" w:eastAsia="x-none"/>
        </w:rPr>
        <w:lastRenderedPageBreak/>
        <w:t xml:space="preserve">a la Auditoría Superior. También podrán presentarse de forma impresa, cuando exista causa justificada para ello y no se haya suscrito el convenio respectivo. </w:t>
      </w:r>
    </w:p>
    <w:p w14:paraId="3372CF78" w14:textId="77777777" w:rsidR="000C0F71" w:rsidRPr="00E203FA" w:rsidRDefault="000C0F71" w:rsidP="000C0F71">
      <w:pPr>
        <w:tabs>
          <w:tab w:val="left" w:pos="709"/>
        </w:tabs>
        <w:jc w:val="both"/>
        <w:rPr>
          <w:rFonts w:ascii="Abadi" w:hAnsi="Abadi" w:cs="Arial"/>
          <w:sz w:val="21"/>
          <w:szCs w:val="21"/>
          <w:lang w:val="es-MX" w:eastAsia="x-none"/>
        </w:rPr>
      </w:pPr>
      <w:r w:rsidRPr="00E203FA">
        <w:rPr>
          <w:rFonts w:ascii="Abadi" w:hAnsi="Abadi" w:cs="Arial"/>
          <w:sz w:val="21"/>
          <w:szCs w:val="21"/>
          <w:lang w:val="es-MX" w:eastAsia="x-none"/>
        </w:rPr>
        <w:tab/>
        <w:t xml:space="preserve">En términos del numeral 23 de la </w:t>
      </w:r>
      <w:r w:rsidRPr="00E203FA">
        <w:rPr>
          <w:rFonts w:ascii="Abadi" w:hAnsi="Abadi" w:cs="Arial"/>
          <w:sz w:val="21"/>
          <w:szCs w:val="21"/>
        </w:rPr>
        <w:t>Ley de Fiscalización Superior del Estado de Guanajuato, p</w:t>
      </w:r>
      <w:r w:rsidRPr="00E203FA">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68DF720" w14:textId="77777777" w:rsidR="000C0F71" w:rsidRPr="00E203FA" w:rsidRDefault="000C0F71" w:rsidP="000C0F71">
      <w:pPr>
        <w:tabs>
          <w:tab w:val="left" w:pos="709"/>
        </w:tabs>
        <w:jc w:val="both"/>
        <w:rPr>
          <w:rFonts w:ascii="Abadi" w:hAnsi="Abadi" w:cs="Arial"/>
          <w:sz w:val="21"/>
          <w:szCs w:val="21"/>
          <w:lang w:val="es-MX" w:eastAsia="x-none"/>
        </w:rPr>
      </w:pPr>
    </w:p>
    <w:p w14:paraId="1F4E59DF" w14:textId="77777777" w:rsidR="000C0F71" w:rsidRPr="00E203FA" w:rsidRDefault="000C0F71" w:rsidP="000C0F71">
      <w:pPr>
        <w:pStyle w:val="Texto"/>
        <w:spacing w:after="0" w:line="240" w:lineRule="auto"/>
        <w:ind w:firstLine="708"/>
        <w:rPr>
          <w:rFonts w:ascii="Abadi" w:hAnsi="Abadi" w:cs="Arial"/>
          <w:sz w:val="21"/>
          <w:szCs w:val="21"/>
          <w:lang w:val="es-MX"/>
        </w:rPr>
      </w:pPr>
      <w:r w:rsidRPr="00E203FA">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1BDA9249" w14:textId="77777777" w:rsidR="000C0F71" w:rsidRPr="00E203FA" w:rsidRDefault="000C0F71" w:rsidP="000C0F71">
      <w:pPr>
        <w:pStyle w:val="Texto"/>
        <w:spacing w:after="0" w:line="240" w:lineRule="auto"/>
        <w:ind w:firstLine="708"/>
        <w:rPr>
          <w:rFonts w:ascii="Abadi" w:hAnsi="Abadi" w:cs="Arial"/>
          <w:sz w:val="21"/>
          <w:szCs w:val="21"/>
          <w:lang w:val="es-MX"/>
        </w:rPr>
      </w:pPr>
    </w:p>
    <w:p w14:paraId="2B2ABEEE" w14:textId="77777777" w:rsidR="000C0F71" w:rsidRPr="00E203FA" w:rsidRDefault="000C0F71" w:rsidP="000C0F71">
      <w:pPr>
        <w:pStyle w:val="Texto"/>
        <w:spacing w:after="0" w:line="240" w:lineRule="auto"/>
        <w:ind w:firstLine="708"/>
        <w:rPr>
          <w:rFonts w:ascii="Abadi" w:hAnsi="Abadi" w:cs="Arial"/>
          <w:sz w:val="21"/>
          <w:szCs w:val="21"/>
          <w:lang w:val="es-MX"/>
        </w:rPr>
      </w:pPr>
      <w:r w:rsidRPr="00E203FA">
        <w:rPr>
          <w:rFonts w:ascii="Abadi" w:hAnsi="Abadi" w:cs="Arial"/>
          <w:sz w:val="21"/>
          <w:szCs w:val="21"/>
          <w:lang w:val="es-MX"/>
        </w:rPr>
        <w:t xml:space="preserve">En cumplimiento a los citados preceptos, en su oportunidad se remitió a este Congreso del Estado, la cuenta pública municipal de Irapuato, </w:t>
      </w:r>
      <w:proofErr w:type="spellStart"/>
      <w:r w:rsidRPr="00E203FA">
        <w:rPr>
          <w:rFonts w:ascii="Abadi" w:hAnsi="Abadi" w:cs="Arial"/>
          <w:sz w:val="21"/>
          <w:szCs w:val="21"/>
          <w:lang w:val="es-MX"/>
        </w:rPr>
        <w:t>Gto</w:t>
      </w:r>
      <w:proofErr w:type="spellEnd"/>
      <w:r w:rsidRPr="00E203FA">
        <w:rPr>
          <w:rFonts w:ascii="Abadi" w:hAnsi="Abadi" w:cs="Arial"/>
          <w:sz w:val="21"/>
          <w:szCs w:val="21"/>
          <w:lang w:val="es-MX"/>
        </w:rPr>
        <w:t>., correspondiente al ejercicio fiscal del año 2021, turnándose a la Auditoría Superior del Estado para su revisión.</w:t>
      </w:r>
    </w:p>
    <w:p w14:paraId="21EB8415" w14:textId="77777777" w:rsidR="000C0F71" w:rsidRPr="00E203FA" w:rsidRDefault="000C0F71" w:rsidP="000C0F71">
      <w:pPr>
        <w:pStyle w:val="Textoindependiente"/>
        <w:ind w:firstLine="708"/>
        <w:rPr>
          <w:rFonts w:ascii="Abadi" w:hAnsi="Abadi"/>
          <w:sz w:val="21"/>
          <w:szCs w:val="21"/>
        </w:rPr>
      </w:pPr>
    </w:p>
    <w:p w14:paraId="6336E860"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4C7DA768" w14:textId="77777777" w:rsidR="000C0F71" w:rsidRPr="00CB45AC" w:rsidRDefault="000C0F71" w:rsidP="000C0F71">
      <w:pPr>
        <w:pStyle w:val="Textoindependiente"/>
        <w:ind w:firstLine="708"/>
        <w:rPr>
          <w:rFonts w:ascii="Abadi" w:hAnsi="Abadi"/>
          <w:b w:val="0"/>
          <w:bCs w:val="0"/>
          <w:sz w:val="21"/>
          <w:szCs w:val="21"/>
        </w:rPr>
      </w:pPr>
    </w:p>
    <w:p w14:paraId="0B8C1647"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En ejercicio de esta función, el Auditor Superior del Estado aprobó el Programa General de Fiscalización 2022. En dicho Programa se contempló la revisión de la </w:t>
      </w:r>
      <w:r w:rsidRPr="00CB45AC">
        <w:rPr>
          <w:rFonts w:ascii="Abadi" w:hAnsi="Abadi"/>
          <w:b w:val="0"/>
          <w:bCs w:val="0"/>
          <w:sz w:val="21"/>
          <w:szCs w:val="21"/>
        </w:rPr>
        <w:t xml:space="preserve">cuenta pública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correspondiente al ejercicio fiscal del año 2021.</w:t>
      </w:r>
    </w:p>
    <w:p w14:paraId="183F5EF0" w14:textId="77777777" w:rsidR="000C0F71" w:rsidRPr="00CB45AC" w:rsidRDefault="000C0F71" w:rsidP="000C0F71">
      <w:pPr>
        <w:ind w:firstLine="708"/>
        <w:jc w:val="both"/>
        <w:rPr>
          <w:rFonts w:ascii="Abadi" w:hAnsi="Abadi" w:cs="Arial"/>
          <w:sz w:val="21"/>
          <w:szCs w:val="21"/>
          <w:lang w:val="es-MX" w:eastAsia="x-none"/>
        </w:rPr>
      </w:pPr>
    </w:p>
    <w:p w14:paraId="5229D90E" w14:textId="77777777" w:rsidR="000C0F71" w:rsidRPr="00CB45AC" w:rsidRDefault="000C0F71" w:rsidP="000C0F71">
      <w:pPr>
        <w:ind w:firstLine="708"/>
        <w:jc w:val="both"/>
        <w:rPr>
          <w:rFonts w:ascii="Abadi" w:hAnsi="Abadi" w:cs="Arial"/>
          <w:sz w:val="21"/>
          <w:szCs w:val="21"/>
          <w:lang w:val="es-MX" w:eastAsia="x-none"/>
        </w:rPr>
      </w:pPr>
      <w:r w:rsidRPr="00CB45AC">
        <w:rPr>
          <w:rFonts w:ascii="Abadi" w:hAnsi="Abadi" w:cs="Arial"/>
          <w:sz w:val="21"/>
          <w:szCs w:val="21"/>
          <w:lang w:val="es-MX" w:eastAsia="x-none"/>
        </w:rPr>
        <w:t>La revisión concluyó con la elaboración del informe de resultados materia del presente dictamen, remitiéndose al Congreso, el cual se turnó a esta Comisión el 30 de marzo de 2023, para su estudio y dictamen, siendo radicado el 11 de abril del año en curso.</w:t>
      </w:r>
    </w:p>
    <w:p w14:paraId="2A78CCF2" w14:textId="77777777" w:rsidR="000C0F71" w:rsidRPr="00CB45AC" w:rsidRDefault="000C0F71" w:rsidP="000C0F71">
      <w:pPr>
        <w:ind w:firstLine="708"/>
        <w:jc w:val="both"/>
        <w:rPr>
          <w:rFonts w:ascii="Abadi" w:hAnsi="Abadi" w:cs="Arial"/>
          <w:sz w:val="21"/>
          <w:szCs w:val="21"/>
          <w:lang w:val="es-MX" w:eastAsia="x-none"/>
        </w:rPr>
      </w:pPr>
    </w:p>
    <w:p w14:paraId="775B381A" w14:textId="77777777" w:rsidR="000C0F71" w:rsidRPr="00CB45AC" w:rsidRDefault="000C0F71" w:rsidP="000C0F71">
      <w:pPr>
        <w:ind w:firstLine="708"/>
        <w:jc w:val="both"/>
        <w:rPr>
          <w:rFonts w:ascii="Abadi" w:hAnsi="Abadi" w:cs="Arial"/>
          <w:sz w:val="21"/>
          <w:szCs w:val="21"/>
          <w:lang w:val="es-MX" w:eastAsia="x-none"/>
        </w:rPr>
      </w:pPr>
    </w:p>
    <w:p w14:paraId="018435A2" w14:textId="77777777" w:rsidR="000C0F71" w:rsidRPr="00CB45AC" w:rsidRDefault="000C0F71" w:rsidP="000C0F71">
      <w:pPr>
        <w:pStyle w:val="Textoindependiente"/>
        <w:ind w:firstLine="708"/>
        <w:rPr>
          <w:rFonts w:ascii="Abadi" w:hAnsi="Abadi"/>
          <w:sz w:val="21"/>
          <w:szCs w:val="21"/>
        </w:rPr>
      </w:pPr>
      <w:r w:rsidRPr="00CB45AC">
        <w:rPr>
          <w:rFonts w:ascii="Abadi" w:hAnsi="Abadi"/>
          <w:sz w:val="21"/>
          <w:szCs w:val="21"/>
        </w:rPr>
        <w:t>III. Procedimiento de Revisión:</w:t>
      </w:r>
    </w:p>
    <w:p w14:paraId="480A48D0" w14:textId="77777777" w:rsidR="000C0F71" w:rsidRPr="00CB45AC" w:rsidRDefault="000C0F71" w:rsidP="000C0F71">
      <w:pPr>
        <w:pStyle w:val="Textoindependiente"/>
        <w:ind w:firstLine="708"/>
        <w:rPr>
          <w:rFonts w:ascii="Abadi" w:hAnsi="Abadi"/>
          <w:b w:val="0"/>
          <w:bCs w:val="0"/>
          <w:sz w:val="21"/>
          <w:szCs w:val="21"/>
        </w:rPr>
      </w:pPr>
    </w:p>
    <w:p w14:paraId="4D983FE9"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La revisión de la cuenta pública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4D8A59C" w14:textId="77777777" w:rsidR="000C0F71" w:rsidRPr="00CB45AC" w:rsidRDefault="000C0F71" w:rsidP="000C0F71">
      <w:pPr>
        <w:pStyle w:val="Textoindependiente"/>
        <w:ind w:firstLine="708"/>
        <w:rPr>
          <w:rFonts w:ascii="Abadi" w:hAnsi="Abadi"/>
          <w:b w:val="0"/>
          <w:bCs w:val="0"/>
          <w:sz w:val="21"/>
          <w:szCs w:val="21"/>
        </w:rPr>
      </w:pPr>
    </w:p>
    <w:p w14:paraId="665634F3"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43A41F8" w14:textId="77777777" w:rsidR="000C0F71" w:rsidRPr="00CB45AC" w:rsidRDefault="000C0F71" w:rsidP="000C0F71">
      <w:pPr>
        <w:pStyle w:val="Textoindependiente"/>
        <w:ind w:firstLine="708"/>
        <w:rPr>
          <w:rFonts w:ascii="Abadi" w:hAnsi="Abadi"/>
          <w:b w:val="0"/>
          <w:bCs w:val="0"/>
          <w:sz w:val="21"/>
          <w:szCs w:val="21"/>
        </w:rPr>
      </w:pPr>
    </w:p>
    <w:p w14:paraId="1A018BF5"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Por otra parte, la revisión se efectuó observando las disposiciones contenidas en la</w:t>
      </w:r>
      <w:r w:rsidRPr="00E203FA">
        <w:rPr>
          <w:rFonts w:ascii="Abadi" w:hAnsi="Abadi"/>
          <w:sz w:val="21"/>
          <w:szCs w:val="21"/>
        </w:rPr>
        <w:t xml:space="preserve"> </w:t>
      </w:r>
      <w:r w:rsidRPr="00CB45AC">
        <w:rPr>
          <w:rFonts w:ascii="Abadi" w:hAnsi="Abadi"/>
          <w:b w:val="0"/>
          <w:bCs w:val="0"/>
          <w:sz w:val="21"/>
          <w:szCs w:val="21"/>
        </w:rPr>
        <w:t xml:space="preserve">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CB45AC">
        <w:rPr>
          <w:rFonts w:ascii="Abadi" w:hAnsi="Abadi"/>
          <w:b w:val="0"/>
          <w:bCs w:val="0"/>
          <w:sz w:val="21"/>
          <w:szCs w:val="21"/>
        </w:rPr>
        <w:lastRenderedPageBreak/>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216FF8B" w14:textId="77777777" w:rsidR="000C0F71" w:rsidRPr="00CB45AC" w:rsidRDefault="000C0F71" w:rsidP="000C0F71">
      <w:pPr>
        <w:pStyle w:val="Textoindependiente"/>
        <w:ind w:firstLine="708"/>
        <w:rPr>
          <w:rFonts w:ascii="Abadi" w:hAnsi="Abadi"/>
          <w:b w:val="0"/>
          <w:bCs w:val="0"/>
          <w:sz w:val="21"/>
          <w:szCs w:val="21"/>
        </w:rPr>
      </w:pPr>
    </w:p>
    <w:p w14:paraId="67564B57"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4952C42" w14:textId="77777777" w:rsidR="000C0F71" w:rsidRPr="00CB45AC" w:rsidRDefault="000C0F71" w:rsidP="000C0F71">
      <w:pPr>
        <w:pStyle w:val="Textoindependiente"/>
        <w:ind w:firstLine="708"/>
        <w:rPr>
          <w:rFonts w:ascii="Abadi" w:hAnsi="Abadi"/>
          <w:b w:val="0"/>
          <w:bCs w:val="0"/>
          <w:sz w:val="21"/>
          <w:szCs w:val="21"/>
        </w:rPr>
      </w:pPr>
    </w:p>
    <w:p w14:paraId="19CFD026"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 xml:space="preserve">El informe de resultados establece que se practicó la revisión de la cuenta pública respecto de las operaciones realizadas por la administración pública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correspondientes al ejercicio fiscal 2021, en lo referente a los apartados de ingresos y egresos; así como a las operaciones realizadas</w:t>
      </w:r>
      <w:r w:rsidRPr="00E203FA">
        <w:rPr>
          <w:rFonts w:ascii="Abadi" w:hAnsi="Abadi"/>
          <w:sz w:val="21"/>
          <w:szCs w:val="21"/>
        </w:rPr>
        <w:t xml:space="preserve"> </w:t>
      </w:r>
      <w:r w:rsidRPr="00CB45AC">
        <w:rPr>
          <w:rFonts w:ascii="Abadi" w:hAnsi="Abadi"/>
          <w:b w:val="0"/>
          <w:bCs w:val="0"/>
          <w:sz w:val="21"/>
          <w:szCs w:val="21"/>
        </w:rPr>
        <w:t>por la Junta Municipal de Agua Potable, Drenaje, Alcantarillado y Saneamiento, en los rubros de ingresos y egresos.</w:t>
      </w:r>
    </w:p>
    <w:p w14:paraId="5470F222" w14:textId="77777777" w:rsidR="000C0F71" w:rsidRPr="00E203FA" w:rsidRDefault="000C0F71" w:rsidP="000C0F71">
      <w:pPr>
        <w:pStyle w:val="Textoindependiente"/>
        <w:ind w:firstLine="705"/>
        <w:rPr>
          <w:rFonts w:ascii="Abadi" w:hAnsi="Abadi"/>
          <w:sz w:val="21"/>
          <w:szCs w:val="21"/>
        </w:rPr>
      </w:pPr>
    </w:p>
    <w:p w14:paraId="0C05E243" w14:textId="77777777" w:rsidR="000C0F71" w:rsidRPr="00E203FA" w:rsidRDefault="000C0F71" w:rsidP="000C0F71">
      <w:pPr>
        <w:autoSpaceDE w:val="0"/>
        <w:autoSpaceDN w:val="0"/>
        <w:adjustRightInd w:val="0"/>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w:t>
      </w:r>
      <w:r w:rsidRPr="00E203FA">
        <w:rPr>
          <w:rFonts w:ascii="Abadi" w:hAnsi="Abadi" w:cs="Arial"/>
          <w:sz w:val="21"/>
          <w:szCs w:val="21"/>
          <w:lang w:val="es-MX" w:eastAsia="x-none"/>
        </w:rPr>
        <w:t xml:space="preserve">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6D41332" w14:textId="77777777" w:rsidR="000C0F71" w:rsidRPr="00E203FA" w:rsidRDefault="000C0F71" w:rsidP="000C0F71">
      <w:pPr>
        <w:ind w:firstLine="708"/>
        <w:jc w:val="both"/>
        <w:rPr>
          <w:rFonts w:ascii="Abadi" w:hAnsi="Abadi" w:cs="Arial"/>
          <w:sz w:val="21"/>
          <w:szCs w:val="21"/>
          <w:lang w:val="es-MX" w:eastAsia="x-none"/>
        </w:rPr>
      </w:pPr>
    </w:p>
    <w:p w14:paraId="20F14CF1" w14:textId="77777777" w:rsidR="000C0F71" w:rsidRPr="00E203FA" w:rsidRDefault="000C0F71" w:rsidP="000C0F71">
      <w:pPr>
        <w:ind w:firstLine="708"/>
        <w:jc w:val="both"/>
        <w:rPr>
          <w:rFonts w:ascii="Abadi" w:hAnsi="Abadi" w:cs="Arial"/>
          <w:sz w:val="21"/>
          <w:szCs w:val="21"/>
          <w:lang w:val="es-MX" w:eastAsia="x-none"/>
        </w:rPr>
      </w:pPr>
    </w:p>
    <w:p w14:paraId="642182FB" w14:textId="77777777" w:rsidR="000C0F71" w:rsidRPr="00E203FA" w:rsidRDefault="000C0F71" w:rsidP="000C0F71">
      <w:pPr>
        <w:ind w:firstLine="708"/>
        <w:jc w:val="both"/>
        <w:rPr>
          <w:rFonts w:ascii="Abadi" w:hAnsi="Abadi" w:cs="Arial"/>
          <w:sz w:val="21"/>
          <w:szCs w:val="21"/>
          <w:lang w:val="es-MX" w:eastAsia="x-none"/>
        </w:rPr>
      </w:pPr>
      <w:r w:rsidRPr="00E203FA">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203FA">
        <w:rPr>
          <w:rFonts w:ascii="Abadi" w:hAnsi="Abadi" w:cs="Arial"/>
          <w:sz w:val="21"/>
          <w:szCs w:val="21"/>
          <w:lang w:val="es-MX" w:eastAsia="x-none"/>
        </w:rPr>
        <w:t>fiscalizado</w:t>
      </w:r>
      <w:proofErr w:type="spellEnd"/>
      <w:r w:rsidRPr="00E203FA">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w:t>
      </w:r>
      <w:r w:rsidRPr="00E203FA">
        <w:rPr>
          <w:rFonts w:ascii="Abadi" w:hAnsi="Abadi" w:cs="Arial"/>
          <w:sz w:val="21"/>
          <w:szCs w:val="21"/>
        </w:rPr>
        <w:t xml:space="preserve"> la evidencia de auditoría obtenida fue suficiente y adecuada para proporcionar una base razonable para sustentar el dictamen de la revisión</w:t>
      </w:r>
      <w:r w:rsidRPr="00E203FA">
        <w:rPr>
          <w:rFonts w:ascii="Abadi" w:hAnsi="Abadi" w:cs="Arial"/>
          <w:sz w:val="21"/>
          <w:szCs w:val="21"/>
          <w:lang w:val="es-MX" w:eastAsia="x-none"/>
        </w:rPr>
        <w:t>, que se refiere sólo a las operaciones revisadas.</w:t>
      </w:r>
    </w:p>
    <w:p w14:paraId="74AAB152" w14:textId="77777777" w:rsidR="000C0F71" w:rsidRPr="00E203FA" w:rsidRDefault="000C0F71" w:rsidP="000C0F71">
      <w:pPr>
        <w:ind w:firstLine="708"/>
        <w:jc w:val="both"/>
        <w:rPr>
          <w:rFonts w:ascii="Abadi" w:hAnsi="Abadi" w:cs="Arial"/>
          <w:sz w:val="21"/>
          <w:szCs w:val="21"/>
          <w:lang w:val="es-MX" w:eastAsia="x-none"/>
        </w:rPr>
      </w:pPr>
    </w:p>
    <w:p w14:paraId="53618455"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El 30 de junio de 2022 se notificó a la presidenta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la orden de inicio del procedimiento de revisión de la cuenta pública.</w:t>
      </w:r>
    </w:p>
    <w:p w14:paraId="5F1EA04C" w14:textId="77777777" w:rsidR="000C0F71" w:rsidRPr="00E203FA" w:rsidRDefault="000C0F71" w:rsidP="000C0F71">
      <w:pPr>
        <w:ind w:firstLine="708"/>
        <w:jc w:val="both"/>
        <w:rPr>
          <w:rFonts w:ascii="Abadi" w:hAnsi="Abadi" w:cs="Arial"/>
          <w:sz w:val="21"/>
          <w:szCs w:val="21"/>
        </w:rPr>
      </w:pPr>
    </w:p>
    <w:p w14:paraId="34F86145"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El 28 de noviembre de 2022 se notificó a la presidenta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37B86FDB" w14:textId="77777777" w:rsidR="000C0F71" w:rsidRPr="00E203FA" w:rsidRDefault="000C0F71" w:rsidP="000C0F71">
      <w:pPr>
        <w:ind w:firstLine="708"/>
        <w:jc w:val="both"/>
        <w:rPr>
          <w:rFonts w:ascii="Abadi" w:hAnsi="Abadi" w:cs="Arial"/>
          <w:sz w:val="21"/>
          <w:szCs w:val="21"/>
        </w:rPr>
      </w:pPr>
    </w:p>
    <w:p w14:paraId="39A7EB97"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Posteriormente, el 2 de febrero de 2023, se notificó a la presidenta y al ex presidente municipales de Irapuato, </w:t>
      </w:r>
      <w:proofErr w:type="spellStart"/>
      <w:r w:rsidRPr="00E203FA">
        <w:rPr>
          <w:rFonts w:ascii="Abadi" w:hAnsi="Abadi" w:cs="Arial"/>
          <w:sz w:val="21"/>
          <w:szCs w:val="21"/>
        </w:rPr>
        <w:t>Gto</w:t>
      </w:r>
      <w:proofErr w:type="spellEnd"/>
      <w:r w:rsidRPr="00E203FA">
        <w:rPr>
          <w:rFonts w:ascii="Abadi" w:hAnsi="Abadi" w:cs="Arial"/>
          <w:sz w:val="21"/>
          <w:szCs w:val="21"/>
        </w:rPr>
        <w:t xml:space="preserve">., el pliego de observaciones y recomendaciones derivado de la revisión practicada a la cuenta pública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xml:space="preserve">., </w:t>
      </w:r>
      <w:r w:rsidRPr="00E203FA">
        <w:rPr>
          <w:rFonts w:ascii="Abadi" w:hAnsi="Abadi" w:cs="Arial"/>
          <w:sz w:val="21"/>
          <w:szCs w:val="21"/>
        </w:rPr>
        <w:lastRenderedPageBreak/>
        <w:t xml:space="preserve">correspondiente al ejercicio fiscal del año 2021, al cual se dio respuesta el 24 de febrero de 2023, por parte del tesorero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w:t>
      </w:r>
    </w:p>
    <w:p w14:paraId="7A05E12F" w14:textId="77777777" w:rsidR="000C0F71" w:rsidRPr="00E203FA" w:rsidRDefault="000C0F71" w:rsidP="000C0F71">
      <w:pPr>
        <w:ind w:firstLine="708"/>
        <w:jc w:val="both"/>
        <w:rPr>
          <w:rFonts w:ascii="Abadi" w:hAnsi="Abadi" w:cs="Arial"/>
          <w:sz w:val="21"/>
          <w:szCs w:val="21"/>
        </w:rPr>
      </w:pPr>
    </w:p>
    <w:p w14:paraId="4E9CC667"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El 8 de marzo de 2023, el informe de resultados se notificó a la presidenta y al ex presidente municipales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F7440D8" w14:textId="77777777" w:rsidR="000C0F71" w:rsidRPr="00E203FA" w:rsidRDefault="000C0F71" w:rsidP="000C0F71">
      <w:pPr>
        <w:pStyle w:val="Textoindependiente"/>
        <w:ind w:firstLine="708"/>
        <w:rPr>
          <w:rFonts w:ascii="Abadi" w:hAnsi="Abadi"/>
          <w:sz w:val="21"/>
          <w:szCs w:val="21"/>
        </w:rPr>
      </w:pPr>
    </w:p>
    <w:p w14:paraId="1831B996" w14:textId="77777777" w:rsidR="000C0F71" w:rsidRPr="00E203FA" w:rsidRDefault="000C0F71" w:rsidP="000C0F71">
      <w:pPr>
        <w:pStyle w:val="Textoindependiente"/>
        <w:ind w:firstLine="708"/>
        <w:rPr>
          <w:rFonts w:ascii="Abadi" w:hAnsi="Abadi"/>
          <w:sz w:val="21"/>
          <w:szCs w:val="21"/>
        </w:rPr>
      </w:pPr>
    </w:p>
    <w:p w14:paraId="46A97C98"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El 15 de marzo de 2023, dentro del plazo que prevé la fracción IV del artículo 37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 el tesorero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w:t>
      </w:r>
    </w:p>
    <w:p w14:paraId="6F1DA989" w14:textId="77777777" w:rsidR="000C0F71" w:rsidRPr="00CB45AC" w:rsidRDefault="000C0F71" w:rsidP="000C0F71">
      <w:pPr>
        <w:ind w:firstLine="708"/>
        <w:jc w:val="both"/>
        <w:rPr>
          <w:rFonts w:ascii="Abadi" w:hAnsi="Abadi"/>
          <w:sz w:val="21"/>
          <w:szCs w:val="21"/>
        </w:rPr>
      </w:pPr>
    </w:p>
    <w:p w14:paraId="5FFDD033"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Una vez tramitado el recurso, el Auditor Superior el 22 de marzo de 2023 emitió la resolución correspondiente, a la cual haremos referencia en un apartado posterior, misma que se notificó al tesorero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el 23 de marzo de 2023.</w:t>
      </w:r>
    </w:p>
    <w:p w14:paraId="27290FDE" w14:textId="77777777" w:rsidR="000C0F71" w:rsidRPr="00E203FA" w:rsidRDefault="000C0F71" w:rsidP="000C0F71">
      <w:pPr>
        <w:pStyle w:val="Textoindependiente"/>
        <w:ind w:firstLine="708"/>
        <w:rPr>
          <w:rFonts w:ascii="Abadi" w:hAnsi="Abadi"/>
          <w:sz w:val="21"/>
          <w:szCs w:val="21"/>
        </w:rPr>
      </w:pPr>
    </w:p>
    <w:p w14:paraId="6D527B3B" w14:textId="77777777" w:rsidR="000C0F71" w:rsidRPr="00CB45AC" w:rsidRDefault="000C0F71" w:rsidP="000C0F71">
      <w:pPr>
        <w:pStyle w:val="Textoindependiente"/>
        <w:ind w:firstLine="708"/>
        <w:rPr>
          <w:rFonts w:ascii="Abadi" w:hAnsi="Abadi"/>
          <w:sz w:val="21"/>
          <w:szCs w:val="21"/>
        </w:rPr>
      </w:pPr>
      <w:r w:rsidRPr="00CB45AC">
        <w:rPr>
          <w:rFonts w:ascii="Abadi" w:hAnsi="Abadi"/>
          <w:sz w:val="21"/>
          <w:szCs w:val="21"/>
        </w:rPr>
        <w:t>IV. Contenido del Informe de Resultados:</w:t>
      </w:r>
    </w:p>
    <w:p w14:paraId="104E807F" w14:textId="77777777" w:rsidR="000C0F71" w:rsidRPr="00E203FA" w:rsidRDefault="000C0F71" w:rsidP="000C0F71">
      <w:pPr>
        <w:pStyle w:val="Textoindependiente"/>
        <w:rPr>
          <w:rFonts w:ascii="Abadi" w:hAnsi="Abadi"/>
          <w:b w:val="0"/>
          <w:bCs w:val="0"/>
          <w:sz w:val="21"/>
          <w:szCs w:val="21"/>
        </w:rPr>
      </w:pPr>
    </w:p>
    <w:p w14:paraId="2EA43791" w14:textId="77777777" w:rsidR="000C0F71" w:rsidRPr="00CB45AC" w:rsidRDefault="000C0F71" w:rsidP="000C0F71">
      <w:pPr>
        <w:pStyle w:val="Textoindependiente"/>
        <w:rPr>
          <w:rFonts w:ascii="Abadi" w:hAnsi="Abadi"/>
          <w:b w:val="0"/>
          <w:sz w:val="21"/>
          <w:szCs w:val="21"/>
        </w:rPr>
      </w:pPr>
      <w:r w:rsidRPr="00E203FA">
        <w:rPr>
          <w:rFonts w:ascii="Abadi" w:hAnsi="Abadi"/>
          <w:b w:val="0"/>
          <w:bCs w:val="0"/>
          <w:sz w:val="21"/>
          <w:szCs w:val="21"/>
        </w:rPr>
        <w:tab/>
      </w:r>
      <w:r w:rsidRPr="00CB45AC">
        <w:rPr>
          <w:rFonts w:ascii="Abadi" w:hAnsi="Abadi"/>
          <w:b w:val="0"/>
          <w:sz w:val="21"/>
          <w:szCs w:val="21"/>
        </w:rPr>
        <w:t>En cumplimiento a lo establecido por el artículo 37, fracción III de la Ley de Fiscalización Superior del Estado, el informe de resultados contiene los siguientes apartados:</w:t>
      </w:r>
    </w:p>
    <w:p w14:paraId="6CF48EB0" w14:textId="77777777" w:rsidR="000C0F71" w:rsidRPr="00E203FA" w:rsidRDefault="000C0F71" w:rsidP="000C0F71">
      <w:pPr>
        <w:pStyle w:val="Textoindependiente"/>
        <w:rPr>
          <w:rFonts w:ascii="Abadi" w:hAnsi="Abadi"/>
          <w:sz w:val="21"/>
          <w:szCs w:val="21"/>
        </w:rPr>
      </w:pPr>
    </w:p>
    <w:p w14:paraId="7D12EE0B" w14:textId="77777777" w:rsidR="000C0F71" w:rsidRPr="00CB45AC" w:rsidRDefault="000C0F71" w:rsidP="00427BD6">
      <w:pPr>
        <w:pStyle w:val="Textoindependiente"/>
        <w:numPr>
          <w:ilvl w:val="0"/>
          <w:numId w:val="9"/>
        </w:numPr>
        <w:autoSpaceDE/>
        <w:autoSpaceDN/>
        <w:rPr>
          <w:rFonts w:ascii="Abadi" w:hAnsi="Abadi"/>
          <w:sz w:val="21"/>
          <w:szCs w:val="21"/>
        </w:rPr>
      </w:pPr>
      <w:r w:rsidRPr="00CB45AC">
        <w:rPr>
          <w:rFonts w:ascii="Abadi" w:hAnsi="Abadi"/>
          <w:sz w:val="21"/>
          <w:szCs w:val="21"/>
        </w:rPr>
        <w:t>Introducción.</w:t>
      </w:r>
    </w:p>
    <w:p w14:paraId="5A4322CA" w14:textId="77777777" w:rsidR="000C0F71" w:rsidRPr="00CB45AC" w:rsidRDefault="000C0F71" w:rsidP="000C0F71">
      <w:pPr>
        <w:pStyle w:val="Textoindependiente"/>
        <w:ind w:left="705"/>
        <w:rPr>
          <w:rFonts w:ascii="Abadi" w:hAnsi="Abadi"/>
          <w:sz w:val="21"/>
          <w:szCs w:val="21"/>
        </w:rPr>
      </w:pPr>
    </w:p>
    <w:p w14:paraId="5C9A96E4"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 xml:space="preserve">Por lo que se refiere a este punto, se establecen los criterios de selección; el objetivo de la revisión; el alcance de la revisión respecto de las operaciones realizadas por la administración pública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en lo referente a los apartados de ingresos y egresos; así como a las operaciones realizadas por la Junta Municipal de Agua Potable, Drenaje, Alcantarillado y Saneamiento, en los rubros de ingresos y egresos, precisando que el detalle de los alcances de la revisión se consigna en los Anexos 01 y 02 del informe de resultados.</w:t>
      </w:r>
    </w:p>
    <w:p w14:paraId="319B9E2B" w14:textId="77777777" w:rsidR="000C0F71" w:rsidRPr="00CB45AC" w:rsidRDefault="000C0F71" w:rsidP="000C0F71">
      <w:pPr>
        <w:pStyle w:val="Textoindependiente"/>
        <w:ind w:firstLine="705"/>
        <w:rPr>
          <w:rFonts w:ascii="Abadi" w:hAnsi="Abadi"/>
          <w:b w:val="0"/>
          <w:bCs w:val="0"/>
          <w:sz w:val="21"/>
          <w:szCs w:val="21"/>
        </w:rPr>
      </w:pPr>
    </w:p>
    <w:p w14:paraId="3A0F9C55"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03ED3203" w14:textId="77777777" w:rsidR="000C0F71" w:rsidRPr="00CB45AC" w:rsidRDefault="000C0F71" w:rsidP="000C0F71">
      <w:pPr>
        <w:pStyle w:val="Textoindependiente"/>
        <w:ind w:firstLine="705"/>
        <w:rPr>
          <w:rFonts w:ascii="Abadi" w:hAnsi="Abadi"/>
          <w:b w:val="0"/>
          <w:bCs w:val="0"/>
          <w:sz w:val="21"/>
          <w:szCs w:val="21"/>
        </w:rPr>
      </w:pPr>
    </w:p>
    <w:p w14:paraId="3DA45B5B"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55189B9" w14:textId="77777777" w:rsidR="000C0F71" w:rsidRPr="00E203FA" w:rsidRDefault="000C0F71" w:rsidP="000C0F71">
      <w:pPr>
        <w:pStyle w:val="Textoindependiente"/>
        <w:ind w:firstLine="705"/>
        <w:rPr>
          <w:rFonts w:ascii="Abadi" w:hAnsi="Abadi"/>
          <w:sz w:val="21"/>
          <w:szCs w:val="21"/>
        </w:rPr>
      </w:pPr>
    </w:p>
    <w:p w14:paraId="041D6BFB" w14:textId="77777777" w:rsidR="000C0F71" w:rsidRPr="00E203FA" w:rsidRDefault="000C0F71" w:rsidP="000C0F71">
      <w:pPr>
        <w:pStyle w:val="Textoindependiente"/>
        <w:ind w:firstLine="705"/>
        <w:rPr>
          <w:rFonts w:ascii="Abadi" w:hAnsi="Abadi"/>
          <w:sz w:val="21"/>
          <w:szCs w:val="21"/>
        </w:rPr>
      </w:pPr>
    </w:p>
    <w:p w14:paraId="77C433A1" w14:textId="77777777" w:rsidR="000C0F71" w:rsidRPr="00E203FA" w:rsidRDefault="000C0F71" w:rsidP="000C0F71">
      <w:pPr>
        <w:jc w:val="both"/>
        <w:rPr>
          <w:rFonts w:ascii="Abadi" w:hAnsi="Abadi" w:cs="Arial"/>
          <w:i/>
          <w:iCs/>
          <w:sz w:val="21"/>
          <w:szCs w:val="21"/>
          <w:lang w:eastAsia="x-none"/>
        </w:rPr>
      </w:pPr>
      <w:r w:rsidRPr="00E203FA">
        <w:rPr>
          <w:rFonts w:ascii="Abadi" w:hAnsi="Abadi" w:cs="Arial"/>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3CFD9136" w14:textId="77777777" w:rsidR="000C0F71" w:rsidRPr="00E203FA" w:rsidRDefault="000C0F71" w:rsidP="000C0F71">
      <w:pPr>
        <w:rPr>
          <w:rFonts w:ascii="Abadi" w:hAnsi="Abadi" w:cs="Arial"/>
          <w:i/>
          <w:iCs/>
          <w:sz w:val="21"/>
          <w:szCs w:val="21"/>
          <w:lang w:eastAsia="x-none"/>
        </w:rPr>
      </w:pPr>
    </w:p>
    <w:p w14:paraId="66B8A9D8" w14:textId="77777777" w:rsidR="000C0F71" w:rsidRPr="00E203FA" w:rsidRDefault="000C0F71" w:rsidP="000C0F71">
      <w:pPr>
        <w:jc w:val="both"/>
        <w:rPr>
          <w:rFonts w:ascii="Abadi" w:hAnsi="Abadi" w:cs="Arial"/>
          <w:i/>
          <w:iCs/>
          <w:sz w:val="21"/>
          <w:szCs w:val="21"/>
          <w:lang w:eastAsia="x-none"/>
        </w:rPr>
      </w:pPr>
      <w:r w:rsidRPr="00E203FA">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558AC84" w14:textId="77777777" w:rsidR="000C0F71" w:rsidRPr="00E203FA" w:rsidRDefault="000C0F71" w:rsidP="000C0F71">
      <w:pPr>
        <w:jc w:val="both"/>
        <w:rPr>
          <w:rFonts w:ascii="Abadi" w:hAnsi="Abadi" w:cs="Arial"/>
          <w:i/>
          <w:iCs/>
          <w:sz w:val="21"/>
          <w:szCs w:val="21"/>
          <w:lang w:eastAsia="x-none"/>
        </w:rPr>
      </w:pPr>
    </w:p>
    <w:p w14:paraId="45DF371E" w14:textId="77777777" w:rsidR="000C0F71" w:rsidRPr="00E203FA" w:rsidRDefault="000C0F71" w:rsidP="000C0F71">
      <w:pPr>
        <w:jc w:val="both"/>
        <w:rPr>
          <w:rFonts w:ascii="Abadi" w:hAnsi="Abadi" w:cs="Arial"/>
          <w:i/>
          <w:iCs/>
          <w:sz w:val="21"/>
          <w:szCs w:val="21"/>
          <w:lang w:eastAsia="x-none"/>
        </w:rPr>
      </w:pPr>
      <w:r w:rsidRPr="00E203FA">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F525AB5" w14:textId="77777777" w:rsidR="000C0F71" w:rsidRPr="00E203FA" w:rsidRDefault="000C0F71" w:rsidP="000C0F71">
      <w:pPr>
        <w:jc w:val="both"/>
        <w:rPr>
          <w:rFonts w:ascii="Abadi" w:hAnsi="Abadi" w:cs="Arial"/>
          <w:i/>
          <w:iCs/>
          <w:sz w:val="21"/>
          <w:szCs w:val="21"/>
          <w:lang w:eastAsia="x-none"/>
        </w:rPr>
      </w:pPr>
    </w:p>
    <w:p w14:paraId="356E9F4E" w14:textId="77777777" w:rsidR="000C0F71" w:rsidRPr="00E203FA" w:rsidRDefault="000C0F71" w:rsidP="000C0F71">
      <w:pPr>
        <w:ind w:firstLine="705"/>
        <w:jc w:val="both"/>
        <w:rPr>
          <w:rFonts w:ascii="Abadi" w:hAnsi="Abadi" w:cs="Arial"/>
          <w:sz w:val="21"/>
          <w:szCs w:val="21"/>
          <w:lang w:eastAsia="x-none"/>
        </w:rPr>
      </w:pPr>
      <w:r w:rsidRPr="00E203FA">
        <w:rPr>
          <w:rFonts w:ascii="Abadi" w:hAnsi="Abadi" w:cs="Arial"/>
          <w:sz w:val="21"/>
          <w:szCs w:val="21"/>
          <w:lang w:eastAsia="x-none"/>
        </w:rPr>
        <w:t xml:space="preserve">Derivado de lo anterior, en el proceso de auditoría se inspeccionó que los comprobantes fiscales que soportan las </w:t>
      </w:r>
      <w:r w:rsidRPr="00E203FA">
        <w:rPr>
          <w:rFonts w:ascii="Abadi" w:hAnsi="Abadi" w:cs="Arial"/>
          <w:sz w:val="21"/>
          <w:szCs w:val="21"/>
          <w:lang w:eastAsia="x-none"/>
        </w:rPr>
        <w:lastRenderedPageBreak/>
        <w:t xml:space="preserve">erogaciones del ente </w:t>
      </w:r>
      <w:proofErr w:type="spellStart"/>
      <w:r w:rsidRPr="00E203FA">
        <w:rPr>
          <w:rFonts w:ascii="Abadi" w:hAnsi="Abadi" w:cs="Arial"/>
          <w:sz w:val="21"/>
          <w:szCs w:val="21"/>
          <w:lang w:eastAsia="x-none"/>
        </w:rPr>
        <w:t>fiscalizado</w:t>
      </w:r>
      <w:proofErr w:type="spellEnd"/>
      <w:r w:rsidRPr="00E203FA">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E203FA">
        <w:rPr>
          <w:rFonts w:ascii="Abadi" w:hAnsi="Abadi" w:cs="Arial"/>
          <w:i/>
          <w:iCs/>
          <w:sz w:val="21"/>
          <w:szCs w:val="21"/>
          <w:lang w:eastAsia="x-none"/>
        </w:rPr>
        <w:t>«Definitivos»,</w:t>
      </w:r>
      <w:r w:rsidRPr="00E203FA">
        <w:rPr>
          <w:rFonts w:ascii="Abadi" w:hAnsi="Abadi" w:cs="Arial"/>
          <w:sz w:val="21"/>
          <w:szCs w:val="21"/>
          <w:lang w:eastAsia="x-none"/>
        </w:rPr>
        <w:t xml:space="preserve"> emitidas por el Servicio de Administración Tributaria.</w:t>
      </w:r>
    </w:p>
    <w:p w14:paraId="6FE24D19" w14:textId="77777777" w:rsidR="000C0F71" w:rsidRPr="00E203FA" w:rsidRDefault="000C0F71" w:rsidP="000C0F71">
      <w:pPr>
        <w:pStyle w:val="Textoindependiente"/>
        <w:ind w:firstLine="705"/>
        <w:rPr>
          <w:rFonts w:ascii="Abadi" w:hAnsi="Abadi"/>
          <w:sz w:val="21"/>
          <w:szCs w:val="21"/>
        </w:rPr>
      </w:pPr>
    </w:p>
    <w:p w14:paraId="57B4A926" w14:textId="77777777" w:rsidR="000C0F71" w:rsidRPr="00E203FA" w:rsidRDefault="000C0F71" w:rsidP="000C0F71">
      <w:pPr>
        <w:ind w:firstLine="705"/>
        <w:jc w:val="both"/>
        <w:rPr>
          <w:rFonts w:ascii="Abadi" w:hAnsi="Abadi" w:cs="Arial"/>
          <w:sz w:val="21"/>
          <w:szCs w:val="21"/>
          <w:lang w:eastAsia="x-none"/>
        </w:rPr>
      </w:pPr>
      <w:r w:rsidRPr="00E203FA">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E203FA">
        <w:rPr>
          <w:rFonts w:ascii="Abadi" w:hAnsi="Abadi" w:cs="Arial"/>
          <w:sz w:val="21"/>
          <w:szCs w:val="21"/>
          <w:lang w:eastAsia="x-none"/>
        </w:rPr>
        <w:t>fiscalizado</w:t>
      </w:r>
      <w:proofErr w:type="spellEnd"/>
      <w:r w:rsidRPr="00E203FA">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48C9F464" w14:textId="77777777" w:rsidR="000C0F71" w:rsidRPr="00E203FA" w:rsidRDefault="000C0F71" w:rsidP="000C0F71">
      <w:pPr>
        <w:ind w:firstLine="705"/>
        <w:jc w:val="both"/>
        <w:rPr>
          <w:rFonts w:ascii="Abadi" w:hAnsi="Abadi" w:cs="Arial"/>
          <w:sz w:val="21"/>
          <w:szCs w:val="21"/>
          <w:lang w:eastAsia="x-none"/>
        </w:rPr>
      </w:pPr>
    </w:p>
    <w:p w14:paraId="06B17527" w14:textId="77777777" w:rsidR="000C0F71" w:rsidRPr="00E203FA" w:rsidRDefault="000C0F71" w:rsidP="000C0F71">
      <w:pPr>
        <w:ind w:firstLine="705"/>
        <w:jc w:val="both"/>
        <w:rPr>
          <w:rFonts w:ascii="Abadi" w:hAnsi="Abadi" w:cs="Arial"/>
          <w:sz w:val="21"/>
          <w:szCs w:val="21"/>
          <w:lang w:val="es-MX" w:eastAsia="x-none"/>
        </w:rPr>
      </w:pPr>
      <w:r w:rsidRPr="00E203FA">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203FA">
        <w:rPr>
          <w:rFonts w:ascii="Abadi" w:hAnsi="Abadi" w:cs="Arial"/>
          <w:sz w:val="21"/>
          <w:szCs w:val="21"/>
          <w:lang w:val="es-MX" w:eastAsia="x-none"/>
        </w:rPr>
        <w:t>fiscalizado</w:t>
      </w:r>
      <w:proofErr w:type="spellEnd"/>
      <w:r w:rsidRPr="00E203FA">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203FA">
        <w:rPr>
          <w:rFonts w:ascii="Abadi" w:hAnsi="Abadi" w:cs="Arial"/>
          <w:sz w:val="21"/>
          <w:szCs w:val="21"/>
          <w:lang w:val="es-MX" w:eastAsia="x-none"/>
        </w:rPr>
        <w:t>fiscalizado</w:t>
      </w:r>
      <w:proofErr w:type="spellEnd"/>
      <w:r w:rsidRPr="00E203FA">
        <w:rPr>
          <w:rFonts w:ascii="Abadi" w:hAnsi="Abadi" w:cs="Arial"/>
          <w:sz w:val="21"/>
          <w:szCs w:val="21"/>
          <w:lang w:val="es-MX" w:eastAsia="x-none"/>
        </w:rPr>
        <w:t>.</w:t>
      </w:r>
    </w:p>
    <w:p w14:paraId="60E7FDF5" w14:textId="77777777" w:rsidR="000C0F71" w:rsidRPr="00E203FA" w:rsidRDefault="000C0F71" w:rsidP="000C0F71">
      <w:pPr>
        <w:ind w:firstLine="705"/>
        <w:jc w:val="both"/>
        <w:rPr>
          <w:rFonts w:ascii="Abadi" w:hAnsi="Abadi" w:cs="Arial"/>
          <w:sz w:val="21"/>
          <w:szCs w:val="21"/>
          <w:lang w:val="es-MX" w:eastAsia="x-none"/>
        </w:rPr>
      </w:pPr>
    </w:p>
    <w:p w14:paraId="3F0680F6" w14:textId="77777777" w:rsidR="000C0F71" w:rsidRPr="00E203FA" w:rsidRDefault="000C0F71" w:rsidP="000C0F71">
      <w:pPr>
        <w:ind w:firstLine="705"/>
        <w:jc w:val="both"/>
        <w:rPr>
          <w:rFonts w:ascii="Abadi" w:hAnsi="Abadi" w:cs="Arial"/>
          <w:sz w:val="21"/>
          <w:szCs w:val="21"/>
          <w:lang w:val="es-MX" w:eastAsia="x-none"/>
        </w:rPr>
      </w:pPr>
      <w:r w:rsidRPr="00E203FA">
        <w:rPr>
          <w:rFonts w:ascii="Abadi" w:hAnsi="Abadi" w:cs="Arial"/>
          <w:sz w:val="21"/>
          <w:szCs w:val="21"/>
          <w:lang w:val="es-MX" w:eastAsia="x-none"/>
        </w:rPr>
        <w:t xml:space="preserve">Adicionalmente, se analizó el informe general del proceso de entrega recepción 2021 de la administración pública municipal de Irapuato, </w:t>
      </w:r>
      <w:proofErr w:type="spellStart"/>
      <w:r w:rsidRPr="00E203FA">
        <w:rPr>
          <w:rFonts w:ascii="Abadi" w:hAnsi="Abadi" w:cs="Arial"/>
          <w:sz w:val="21"/>
          <w:szCs w:val="21"/>
          <w:lang w:val="es-MX" w:eastAsia="x-none"/>
        </w:rPr>
        <w:t>Gto</w:t>
      </w:r>
      <w:proofErr w:type="spellEnd"/>
      <w:r w:rsidRPr="00E203FA">
        <w:rPr>
          <w:rFonts w:ascii="Abadi" w:hAnsi="Abadi" w:cs="Arial"/>
          <w:sz w:val="21"/>
          <w:szCs w:val="21"/>
          <w:lang w:val="es-MX" w:eastAsia="x-none"/>
        </w:rPr>
        <w:t>., y en su caso se aplicaron los procedimientos de auditoría correspondientes.</w:t>
      </w:r>
    </w:p>
    <w:p w14:paraId="778E38DA" w14:textId="77777777" w:rsidR="000C0F71" w:rsidRPr="00E203FA" w:rsidRDefault="000C0F71" w:rsidP="000C0F71">
      <w:pPr>
        <w:ind w:firstLine="705"/>
        <w:jc w:val="both"/>
        <w:rPr>
          <w:rFonts w:ascii="Abadi" w:hAnsi="Abadi" w:cs="Arial"/>
          <w:sz w:val="21"/>
          <w:szCs w:val="21"/>
          <w:lang w:val="es-MX" w:eastAsia="x-none"/>
        </w:rPr>
      </w:pPr>
    </w:p>
    <w:p w14:paraId="2627FB15" w14:textId="77777777" w:rsidR="000C0F71" w:rsidRPr="00E203FA" w:rsidRDefault="000C0F71" w:rsidP="000C0F71">
      <w:pPr>
        <w:ind w:firstLine="705"/>
        <w:jc w:val="both"/>
        <w:rPr>
          <w:rFonts w:ascii="Abadi" w:hAnsi="Abadi" w:cs="Arial"/>
          <w:sz w:val="21"/>
          <w:szCs w:val="21"/>
          <w:lang w:val="es-MX" w:eastAsia="x-none"/>
        </w:rPr>
      </w:pPr>
      <w:r w:rsidRPr="00E203FA">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Irapuato, </w:t>
      </w:r>
      <w:proofErr w:type="spellStart"/>
      <w:r w:rsidRPr="00E203FA">
        <w:rPr>
          <w:rFonts w:ascii="Abadi" w:hAnsi="Abadi" w:cs="Arial"/>
          <w:sz w:val="21"/>
          <w:szCs w:val="21"/>
          <w:lang w:val="es-MX" w:eastAsia="x-none"/>
        </w:rPr>
        <w:t>Gto</w:t>
      </w:r>
      <w:proofErr w:type="spellEnd"/>
      <w:r w:rsidRPr="00E203FA">
        <w:rPr>
          <w:rFonts w:ascii="Abadi" w:hAnsi="Abadi" w:cs="Arial"/>
          <w:sz w:val="21"/>
          <w:szCs w:val="21"/>
          <w:lang w:val="es-MX" w:eastAsia="x-none"/>
        </w:rPr>
        <w:t>., cumplió con las disposiciones normativas aplicables, excepto por los resultados precisados en el informe de resultados.</w:t>
      </w:r>
    </w:p>
    <w:p w14:paraId="66D82014" w14:textId="77777777" w:rsidR="000C0F71" w:rsidRPr="00E203FA" w:rsidRDefault="000C0F71" w:rsidP="000C0F71">
      <w:pPr>
        <w:ind w:firstLine="705"/>
        <w:jc w:val="both"/>
        <w:rPr>
          <w:rFonts w:ascii="Abadi" w:hAnsi="Abadi" w:cs="Arial"/>
          <w:sz w:val="21"/>
          <w:szCs w:val="21"/>
          <w:lang w:val="es-MX" w:eastAsia="x-none"/>
        </w:rPr>
      </w:pPr>
    </w:p>
    <w:p w14:paraId="0C539C1A"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las cuales no fueron solventadas. Asimismo, se formuló 1 recomendación que se atendió. </w:t>
      </w:r>
    </w:p>
    <w:p w14:paraId="7E983615" w14:textId="77777777" w:rsidR="000C0F71" w:rsidRPr="00CB45AC" w:rsidRDefault="000C0F71" w:rsidP="000C0F71">
      <w:pPr>
        <w:pStyle w:val="Textoindependiente"/>
        <w:ind w:firstLine="705"/>
        <w:rPr>
          <w:rFonts w:ascii="Abadi" w:hAnsi="Abadi"/>
          <w:b w:val="0"/>
          <w:bCs w:val="0"/>
          <w:sz w:val="21"/>
          <w:szCs w:val="21"/>
        </w:rPr>
      </w:pPr>
    </w:p>
    <w:p w14:paraId="5178F44F"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xml:space="preserve">., celebró operaciones; entre los procedimientos expuestos, se verificó que </w:t>
      </w:r>
      <w:r w:rsidRPr="00CB45AC">
        <w:rPr>
          <w:rFonts w:ascii="Abadi" w:hAnsi="Abadi"/>
          <w:b w:val="0"/>
          <w:bCs w:val="0"/>
          <w:sz w:val="21"/>
          <w:szCs w:val="21"/>
        </w:rPr>
        <w:lastRenderedPageBreak/>
        <w:t>estas no se encontraran en el listado de Empresas que Facturan Operaciones Simuladas (EFOS) u operaciones inexistentes con el carácter de «</w:t>
      </w:r>
      <w:r w:rsidRPr="00CB45AC">
        <w:rPr>
          <w:rFonts w:ascii="Abadi" w:hAnsi="Abadi"/>
          <w:b w:val="0"/>
          <w:bCs w:val="0"/>
          <w:i/>
          <w:iCs/>
          <w:sz w:val="21"/>
          <w:szCs w:val="21"/>
        </w:rPr>
        <w:t>Definitivos»</w:t>
      </w:r>
      <w:r w:rsidRPr="00CB45AC">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8415404" w14:textId="77777777" w:rsidR="000C0F71" w:rsidRPr="00CB45AC" w:rsidRDefault="000C0F71" w:rsidP="000C0F71">
      <w:pPr>
        <w:pStyle w:val="Textoindependiente"/>
        <w:ind w:firstLine="705"/>
        <w:rPr>
          <w:rFonts w:ascii="Abadi" w:hAnsi="Abadi"/>
          <w:b w:val="0"/>
          <w:bCs w:val="0"/>
          <w:sz w:val="21"/>
          <w:szCs w:val="21"/>
        </w:rPr>
      </w:pPr>
    </w:p>
    <w:p w14:paraId="6D40E4B5" w14:textId="77777777" w:rsidR="000C0F71" w:rsidRPr="00CB45AC" w:rsidRDefault="000C0F71" w:rsidP="00427BD6">
      <w:pPr>
        <w:pStyle w:val="Textoindependiente"/>
        <w:numPr>
          <w:ilvl w:val="0"/>
          <w:numId w:val="9"/>
        </w:numPr>
        <w:tabs>
          <w:tab w:val="clear" w:pos="1065"/>
          <w:tab w:val="num" w:pos="0"/>
        </w:tabs>
        <w:autoSpaceDE/>
        <w:autoSpaceDN/>
        <w:rPr>
          <w:rFonts w:ascii="Abadi" w:hAnsi="Abadi"/>
          <w:sz w:val="21"/>
          <w:szCs w:val="21"/>
        </w:rPr>
      </w:pPr>
      <w:r w:rsidRPr="00CB45AC">
        <w:rPr>
          <w:rFonts w:ascii="Abadi" w:hAnsi="Abadi"/>
          <w:sz w:val="21"/>
          <w:szCs w:val="21"/>
        </w:rPr>
        <w:t xml:space="preserve">Observaciones y recomendaciones, la respuesta emitida por el sujeto fiscalizado y la valoración correspondiente. </w:t>
      </w:r>
    </w:p>
    <w:p w14:paraId="6D92E9FD" w14:textId="77777777" w:rsidR="000C0F71" w:rsidRPr="00E203FA" w:rsidRDefault="000C0F71" w:rsidP="000C0F71">
      <w:pPr>
        <w:pStyle w:val="Textoindependiente"/>
        <w:ind w:left="1065"/>
        <w:rPr>
          <w:rFonts w:ascii="Abadi" w:hAnsi="Abadi"/>
          <w:b w:val="0"/>
          <w:bCs w:val="0"/>
          <w:sz w:val="21"/>
          <w:szCs w:val="21"/>
        </w:rPr>
      </w:pPr>
    </w:p>
    <w:p w14:paraId="38278107"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En esta parte se desglosa la valoración de las observaciones formuladas por el Órgano Técnico, considerando como no solventadas las observaciones plasmadas en el apartado de Administración Pública Centralizada, numerales 01, referente a estados analíticos presupuestales; 02, correspondiente a partidas sobre ejercidas; 03, relativo a garantía de cumplimiento del contrato; y 04, referido a servicio integral de asesoría y consultoría.</w:t>
      </w:r>
    </w:p>
    <w:p w14:paraId="5E8DB598" w14:textId="77777777" w:rsidR="000C0F71" w:rsidRPr="00CB45AC" w:rsidRDefault="000C0F71" w:rsidP="000C0F71">
      <w:pPr>
        <w:pStyle w:val="Textoindependiente"/>
        <w:ind w:firstLine="705"/>
        <w:rPr>
          <w:rFonts w:ascii="Abadi" w:hAnsi="Abadi"/>
          <w:b w:val="0"/>
          <w:bCs w:val="0"/>
          <w:sz w:val="21"/>
          <w:szCs w:val="21"/>
        </w:rPr>
      </w:pPr>
    </w:p>
    <w:p w14:paraId="7D7C7011" w14:textId="77777777" w:rsidR="000C0F71" w:rsidRPr="00E203FA" w:rsidRDefault="000C0F71" w:rsidP="000C0F71">
      <w:pPr>
        <w:pStyle w:val="Textoindependiente"/>
        <w:ind w:firstLine="705"/>
        <w:rPr>
          <w:rFonts w:ascii="Abadi" w:hAnsi="Abadi"/>
          <w:sz w:val="21"/>
          <w:szCs w:val="21"/>
        </w:rPr>
      </w:pPr>
      <w:r w:rsidRPr="00CB45AC">
        <w:rPr>
          <w:rFonts w:ascii="Abadi" w:hAnsi="Abadi"/>
          <w:b w:val="0"/>
          <w:bCs w:val="0"/>
          <w:sz w:val="21"/>
          <w:szCs w:val="21"/>
        </w:rPr>
        <w:t>En el apartado de Recomendaciones Generales, se atendió el numeral 01,</w:t>
      </w:r>
      <w:r w:rsidRPr="00E203FA">
        <w:rPr>
          <w:rFonts w:ascii="Abadi" w:hAnsi="Abadi"/>
          <w:sz w:val="21"/>
          <w:szCs w:val="21"/>
        </w:rPr>
        <w:t xml:space="preserve"> </w:t>
      </w:r>
      <w:r w:rsidRPr="00CB45AC">
        <w:rPr>
          <w:rFonts w:ascii="Abadi" w:hAnsi="Abadi"/>
          <w:b w:val="0"/>
          <w:bCs w:val="0"/>
          <w:sz w:val="21"/>
          <w:szCs w:val="21"/>
        </w:rPr>
        <w:t>correspondiente a normativa en materia de contrataciones de servicios.</w:t>
      </w:r>
    </w:p>
    <w:p w14:paraId="29E432F0" w14:textId="77777777" w:rsidR="000C0F71" w:rsidRPr="00E203FA" w:rsidRDefault="000C0F71" w:rsidP="000C0F71">
      <w:pPr>
        <w:pStyle w:val="Textoindependiente"/>
        <w:ind w:firstLine="705"/>
        <w:rPr>
          <w:rFonts w:ascii="Abadi" w:hAnsi="Abadi"/>
          <w:sz w:val="21"/>
          <w:szCs w:val="21"/>
        </w:rPr>
      </w:pPr>
    </w:p>
    <w:p w14:paraId="3282F748" w14:textId="77777777" w:rsidR="000C0F71" w:rsidRPr="00CB45AC" w:rsidRDefault="000C0F71" w:rsidP="00427BD6">
      <w:pPr>
        <w:pStyle w:val="Textoindependiente"/>
        <w:numPr>
          <w:ilvl w:val="0"/>
          <w:numId w:val="9"/>
        </w:numPr>
        <w:autoSpaceDE/>
        <w:autoSpaceDN/>
        <w:rPr>
          <w:rFonts w:ascii="Abadi" w:hAnsi="Abadi"/>
          <w:sz w:val="21"/>
          <w:szCs w:val="21"/>
        </w:rPr>
      </w:pPr>
      <w:r w:rsidRPr="00CB45AC">
        <w:rPr>
          <w:rFonts w:ascii="Abadi" w:hAnsi="Abadi"/>
          <w:sz w:val="21"/>
          <w:szCs w:val="21"/>
        </w:rPr>
        <w:t xml:space="preserve">Promoción del ejercicio de facultades de comprobación fiscal. </w:t>
      </w:r>
    </w:p>
    <w:p w14:paraId="655553AE" w14:textId="77777777" w:rsidR="000C0F71" w:rsidRPr="00E203FA" w:rsidRDefault="000C0F71" w:rsidP="000C0F71">
      <w:pPr>
        <w:pStyle w:val="Textoindependiente"/>
        <w:ind w:firstLine="705"/>
        <w:rPr>
          <w:rFonts w:ascii="Abadi" w:hAnsi="Abadi"/>
          <w:sz w:val="21"/>
          <w:szCs w:val="21"/>
        </w:rPr>
      </w:pPr>
    </w:p>
    <w:p w14:paraId="157821D7"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B28B434" w14:textId="77777777" w:rsidR="000C0F71" w:rsidRPr="00E203FA" w:rsidRDefault="000C0F71" w:rsidP="000C0F71">
      <w:pPr>
        <w:pStyle w:val="Textoindependiente"/>
        <w:ind w:firstLine="705"/>
        <w:rPr>
          <w:rFonts w:ascii="Abadi" w:hAnsi="Abadi"/>
          <w:sz w:val="21"/>
          <w:szCs w:val="21"/>
        </w:rPr>
      </w:pPr>
    </w:p>
    <w:p w14:paraId="639627D3" w14:textId="77777777" w:rsidR="000C0F71" w:rsidRPr="00E203FA" w:rsidRDefault="000C0F71" w:rsidP="000C0F71">
      <w:pPr>
        <w:pStyle w:val="Textoindependiente"/>
        <w:ind w:firstLine="705"/>
        <w:rPr>
          <w:rFonts w:ascii="Abadi" w:hAnsi="Abadi"/>
          <w:sz w:val="21"/>
          <w:szCs w:val="21"/>
        </w:rPr>
      </w:pPr>
    </w:p>
    <w:p w14:paraId="1282AA17" w14:textId="77777777" w:rsidR="000C0F71" w:rsidRPr="00CB45AC" w:rsidRDefault="000C0F71" w:rsidP="00427BD6">
      <w:pPr>
        <w:pStyle w:val="Textoindependiente"/>
        <w:numPr>
          <w:ilvl w:val="0"/>
          <w:numId w:val="9"/>
        </w:numPr>
        <w:autoSpaceDE/>
        <w:autoSpaceDN/>
        <w:rPr>
          <w:rFonts w:ascii="Abadi" w:hAnsi="Abadi"/>
          <w:sz w:val="21"/>
          <w:szCs w:val="21"/>
        </w:rPr>
      </w:pPr>
      <w:r w:rsidRPr="00CB45AC">
        <w:rPr>
          <w:rFonts w:ascii="Abadi" w:hAnsi="Abadi"/>
          <w:sz w:val="21"/>
          <w:szCs w:val="21"/>
        </w:rPr>
        <w:t xml:space="preserve">Comunicado ante órganos de control y autoridades que </w:t>
      </w:r>
      <w:r w:rsidRPr="00CB45AC">
        <w:rPr>
          <w:rFonts w:ascii="Abadi" w:hAnsi="Abadi"/>
          <w:sz w:val="21"/>
          <w:szCs w:val="21"/>
        </w:rPr>
        <w:t>administran padrones de proveedores y contratistas.</w:t>
      </w:r>
    </w:p>
    <w:p w14:paraId="39C3DF11" w14:textId="77777777" w:rsidR="000C0F71" w:rsidRPr="00E203FA" w:rsidRDefault="000C0F71" w:rsidP="000C0F71">
      <w:pPr>
        <w:pStyle w:val="Textoindependiente"/>
        <w:ind w:firstLine="705"/>
        <w:rPr>
          <w:rFonts w:ascii="Abadi" w:hAnsi="Abadi"/>
          <w:sz w:val="21"/>
          <w:szCs w:val="21"/>
        </w:rPr>
      </w:pPr>
    </w:p>
    <w:p w14:paraId="2A51572F"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D8A6EE8" w14:textId="77777777" w:rsidR="000C0F71" w:rsidRPr="00E203FA" w:rsidRDefault="000C0F71" w:rsidP="000C0F71">
      <w:pPr>
        <w:pStyle w:val="Textoindependiente"/>
        <w:ind w:firstLine="705"/>
        <w:rPr>
          <w:rFonts w:ascii="Abadi" w:hAnsi="Abadi"/>
          <w:sz w:val="21"/>
          <w:szCs w:val="21"/>
        </w:rPr>
      </w:pPr>
    </w:p>
    <w:p w14:paraId="12CD830A" w14:textId="77777777" w:rsidR="000C0F71" w:rsidRPr="00E203FA" w:rsidRDefault="000C0F71" w:rsidP="00427BD6">
      <w:pPr>
        <w:pStyle w:val="Textoindependiente"/>
        <w:numPr>
          <w:ilvl w:val="0"/>
          <w:numId w:val="9"/>
        </w:numPr>
        <w:autoSpaceDE/>
        <w:autoSpaceDN/>
        <w:rPr>
          <w:rFonts w:ascii="Abadi" w:hAnsi="Abadi"/>
          <w:b w:val="0"/>
          <w:bCs w:val="0"/>
          <w:sz w:val="21"/>
          <w:szCs w:val="21"/>
        </w:rPr>
      </w:pPr>
      <w:r w:rsidRPr="00E203FA">
        <w:rPr>
          <w:rFonts w:ascii="Abadi" w:hAnsi="Abadi"/>
          <w:b w:val="0"/>
          <w:bCs w:val="0"/>
          <w:sz w:val="21"/>
          <w:szCs w:val="21"/>
        </w:rPr>
        <w:t xml:space="preserve">Recurso de Reconsideración. </w:t>
      </w:r>
    </w:p>
    <w:p w14:paraId="7128D86B" w14:textId="77777777" w:rsidR="000C0F71" w:rsidRPr="00E203FA" w:rsidRDefault="000C0F71" w:rsidP="000C0F71">
      <w:pPr>
        <w:pStyle w:val="Textoindependiente"/>
        <w:ind w:left="705"/>
        <w:rPr>
          <w:rFonts w:ascii="Abadi" w:hAnsi="Abadi"/>
          <w:b w:val="0"/>
          <w:bCs w:val="0"/>
          <w:sz w:val="21"/>
          <w:szCs w:val="21"/>
        </w:rPr>
      </w:pPr>
    </w:p>
    <w:p w14:paraId="47036D24"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 xml:space="preserve">El 15 de marzo de 2023, dentro del plazo que prevé la fracción IV del artículo 37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Guanajuato, el tesorero municipal de Irapuato, </w:t>
      </w:r>
      <w:proofErr w:type="spellStart"/>
      <w:r w:rsidRPr="00CB45AC">
        <w:rPr>
          <w:rFonts w:ascii="Abadi" w:hAnsi="Abadi"/>
          <w:b w:val="0"/>
          <w:bCs w:val="0"/>
          <w:sz w:val="21"/>
          <w:szCs w:val="21"/>
        </w:rPr>
        <w:t>Gto</w:t>
      </w:r>
      <w:proofErr w:type="spellEnd"/>
      <w:r w:rsidRPr="00CB45A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01, referente a estados analíticos presupuestales; 02, correspondiente a partidas sobre ejercidas; 03, relativo a garantía de cumplimiento del contrato; y 04, referido a servicio integral de asesoría y consultoría, mismas que se encuentran relacionadas con el Capítulo II, denominado Observaciones y Recomendaciones; Respuesta Emitida por el Sujeto Fiscalizado y Valoración Correspondiente. </w:t>
      </w:r>
    </w:p>
    <w:p w14:paraId="697EEA0C" w14:textId="77777777" w:rsidR="000C0F71" w:rsidRPr="00CB45AC" w:rsidRDefault="000C0F71" w:rsidP="000C0F71">
      <w:pPr>
        <w:pStyle w:val="Textoindependiente"/>
        <w:ind w:firstLine="705"/>
        <w:rPr>
          <w:rFonts w:ascii="Abadi" w:hAnsi="Abadi"/>
          <w:b w:val="0"/>
          <w:bCs w:val="0"/>
          <w:sz w:val="21"/>
          <w:szCs w:val="21"/>
        </w:rPr>
      </w:pPr>
    </w:p>
    <w:p w14:paraId="44E5C4BF" w14:textId="77777777" w:rsidR="000C0F71" w:rsidRPr="00CB45AC" w:rsidRDefault="000C0F71" w:rsidP="000C0F71">
      <w:pPr>
        <w:pStyle w:val="Textoindependiente"/>
        <w:ind w:firstLine="708"/>
        <w:rPr>
          <w:rFonts w:ascii="Abadi" w:hAnsi="Abadi"/>
          <w:b w:val="0"/>
          <w:bCs w:val="0"/>
          <w:sz w:val="21"/>
          <w:szCs w:val="21"/>
        </w:rPr>
      </w:pPr>
      <w:r w:rsidRPr="00CB45AC">
        <w:rPr>
          <w:rFonts w:ascii="Abadi" w:hAnsi="Abadi"/>
          <w:b w:val="0"/>
          <w:bCs w:val="0"/>
          <w:sz w:val="21"/>
          <w:szCs w:val="21"/>
        </w:rPr>
        <w:t xml:space="preserve">En tal sentido, mediante acuerdo de fecha 17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CB45AC">
          <w:rPr>
            <w:rFonts w:ascii="Abadi" w:hAnsi="Abadi"/>
            <w:b w:val="0"/>
            <w:bCs w:val="0"/>
            <w:sz w:val="21"/>
            <w:szCs w:val="21"/>
          </w:rPr>
          <w:t>la Ley</w:t>
        </w:r>
      </w:smartTag>
      <w:r w:rsidRPr="00CB45AC">
        <w:rPr>
          <w:rFonts w:ascii="Abadi" w:hAnsi="Abadi"/>
          <w:b w:val="0"/>
          <w:bCs w:val="0"/>
          <w:sz w:val="21"/>
          <w:szCs w:val="21"/>
        </w:rPr>
        <w:t xml:space="preserve"> de Fiscalización Superior del Estado de </w:t>
      </w:r>
      <w:r w:rsidRPr="00CB45AC">
        <w:rPr>
          <w:rFonts w:ascii="Abadi" w:hAnsi="Abadi"/>
          <w:b w:val="0"/>
          <w:bCs w:val="0"/>
          <w:sz w:val="21"/>
          <w:szCs w:val="21"/>
        </w:rPr>
        <w:lastRenderedPageBreak/>
        <w:t xml:space="preserve">Guanajuato, instruyendo la integración del expediente y el registro correspondiente. </w:t>
      </w:r>
    </w:p>
    <w:p w14:paraId="3DB9ACED" w14:textId="77777777" w:rsidR="000C0F71" w:rsidRPr="00E203FA" w:rsidRDefault="000C0F71" w:rsidP="000C0F71">
      <w:pPr>
        <w:pStyle w:val="Textoindependiente"/>
        <w:ind w:firstLine="708"/>
        <w:rPr>
          <w:rFonts w:ascii="Abadi" w:hAnsi="Abadi"/>
          <w:sz w:val="21"/>
          <w:szCs w:val="21"/>
        </w:rPr>
      </w:pPr>
    </w:p>
    <w:p w14:paraId="172BDC43" w14:textId="77777777" w:rsidR="000C0F71" w:rsidRPr="00E203FA" w:rsidRDefault="000C0F71" w:rsidP="000C0F71">
      <w:pPr>
        <w:pStyle w:val="Textoindependiente"/>
        <w:ind w:firstLine="708"/>
        <w:rPr>
          <w:rFonts w:ascii="Abadi" w:hAnsi="Abadi"/>
          <w:sz w:val="21"/>
          <w:szCs w:val="21"/>
        </w:rPr>
      </w:pPr>
    </w:p>
    <w:p w14:paraId="5359B393" w14:textId="77777777" w:rsidR="000C0F71" w:rsidRPr="002F4F21" w:rsidRDefault="000C0F71" w:rsidP="000C0F71">
      <w:pPr>
        <w:pStyle w:val="Textoindependiente"/>
        <w:ind w:firstLine="708"/>
        <w:rPr>
          <w:rFonts w:ascii="Abadi" w:hAnsi="Abadi"/>
          <w:b w:val="0"/>
          <w:bCs w:val="0"/>
          <w:sz w:val="21"/>
          <w:szCs w:val="21"/>
        </w:rPr>
      </w:pPr>
      <w:r w:rsidRPr="002F4F21">
        <w:rPr>
          <w:rFonts w:ascii="Abadi" w:hAnsi="Abadi"/>
          <w:b w:val="0"/>
          <w:bCs w:val="0"/>
          <w:sz w:val="21"/>
          <w:szCs w:val="21"/>
        </w:rPr>
        <w:t>Una vez tramitado el recurso, el Auditor Superior del Estado, el 22 de marzo de 2023 emitió la resolución correspondiente, determinándose respecto a las observaciones plasmadas en los numerales 01, 02, 03 y 04, que los agravios hechos valer por el recurrente resultaron infundados e inoperantes o fundados pero inoperantes, por los argumentos señalados en el considerando séptimo de la resolución. En razón de lo cual, se confirmó el sentido de la valoración de las observaciones como no solventadas, sin acciones pendientes de realizar por el sujeto fiscalizado.</w:t>
      </w:r>
    </w:p>
    <w:p w14:paraId="334AE013" w14:textId="77777777" w:rsidR="000C0F71" w:rsidRPr="002F4F21" w:rsidRDefault="000C0F71" w:rsidP="000C0F71">
      <w:pPr>
        <w:pStyle w:val="Textoindependiente"/>
        <w:ind w:firstLine="708"/>
        <w:rPr>
          <w:rFonts w:ascii="Abadi" w:hAnsi="Abadi"/>
          <w:b w:val="0"/>
          <w:bCs w:val="0"/>
          <w:sz w:val="21"/>
          <w:szCs w:val="21"/>
        </w:rPr>
      </w:pPr>
    </w:p>
    <w:p w14:paraId="5A83124A" w14:textId="77777777" w:rsidR="000C0F71" w:rsidRPr="002F4F21" w:rsidRDefault="000C0F71" w:rsidP="000C0F71">
      <w:pPr>
        <w:pStyle w:val="Textoindependiente"/>
        <w:ind w:firstLine="708"/>
        <w:rPr>
          <w:rFonts w:ascii="Abadi" w:hAnsi="Abadi"/>
          <w:b w:val="0"/>
          <w:bCs w:val="0"/>
          <w:sz w:val="21"/>
          <w:szCs w:val="21"/>
        </w:rPr>
      </w:pPr>
      <w:r w:rsidRPr="002F4F21">
        <w:rPr>
          <w:rFonts w:ascii="Abadi" w:hAnsi="Abadi"/>
          <w:b w:val="0"/>
          <w:bCs w:val="0"/>
          <w:sz w:val="21"/>
          <w:szCs w:val="21"/>
        </w:rPr>
        <w:t xml:space="preserve">La referida resolución se notificó al tesorero municipal de Irapuato, </w:t>
      </w:r>
      <w:proofErr w:type="spellStart"/>
      <w:r w:rsidRPr="002F4F21">
        <w:rPr>
          <w:rFonts w:ascii="Abadi" w:hAnsi="Abadi"/>
          <w:b w:val="0"/>
          <w:bCs w:val="0"/>
          <w:sz w:val="21"/>
          <w:szCs w:val="21"/>
        </w:rPr>
        <w:t>Gto</w:t>
      </w:r>
      <w:proofErr w:type="spellEnd"/>
      <w:r w:rsidRPr="002F4F21">
        <w:rPr>
          <w:rFonts w:ascii="Abadi" w:hAnsi="Abadi"/>
          <w:b w:val="0"/>
          <w:bCs w:val="0"/>
          <w:sz w:val="21"/>
          <w:szCs w:val="21"/>
        </w:rPr>
        <w:t>., el 23 de marzo de 2023.</w:t>
      </w:r>
    </w:p>
    <w:p w14:paraId="71619578" w14:textId="77777777" w:rsidR="000C0F71" w:rsidRPr="002F4F21" w:rsidRDefault="000C0F71" w:rsidP="000C0F71">
      <w:pPr>
        <w:pStyle w:val="Textoindependiente"/>
        <w:ind w:firstLine="705"/>
        <w:rPr>
          <w:rFonts w:ascii="Abadi" w:hAnsi="Abadi"/>
          <w:b w:val="0"/>
          <w:bCs w:val="0"/>
          <w:sz w:val="21"/>
          <w:szCs w:val="21"/>
        </w:rPr>
      </w:pPr>
    </w:p>
    <w:p w14:paraId="47B00EB6" w14:textId="77777777" w:rsidR="000C0F71" w:rsidRPr="002F4F21" w:rsidRDefault="000C0F71" w:rsidP="00427BD6">
      <w:pPr>
        <w:pStyle w:val="Textoindependiente"/>
        <w:numPr>
          <w:ilvl w:val="0"/>
          <w:numId w:val="9"/>
        </w:numPr>
        <w:autoSpaceDE/>
        <w:autoSpaceDN/>
        <w:rPr>
          <w:rFonts w:ascii="Abadi" w:hAnsi="Abadi"/>
          <w:sz w:val="21"/>
          <w:szCs w:val="21"/>
        </w:rPr>
      </w:pPr>
      <w:r w:rsidRPr="002F4F21">
        <w:rPr>
          <w:rFonts w:ascii="Abadi" w:hAnsi="Abadi"/>
          <w:sz w:val="21"/>
          <w:szCs w:val="21"/>
        </w:rPr>
        <w:t xml:space="preserve">Anexos. </w:t>
      </w:r>
    </w:p>
    <w:p w14:paraId="4831282B" w14:textId="77777777" w:rsidR="000C0F71" w:rsidRPr="00E203FA" w:rsidRDefault="000C0F71" w:rsidP="000C0F71">
      <w:pPr>
        <w:pStyle w:val="Textoindependiente"/>
        <w:ind w:firstLine="705"/>
        <w:rPr>
          <w:rFonts w:ascii="Abadi" w:hAnsi="Abadi"/>
          <w:sz w:val="21"/>
          <w:szCs w:val="21"/>
        </w:rPr>
      </w:pPr>
    </w:p>
    <w:p w14:paraId="20DEE179" w14:textId="77777777" w:rsidR="000C0F71" w:rsidRPr="00CB45AC" w:rsidRDefault="000C0F71" w:rsidP="000C0F71">
      <w:pPr>
        <w:pStyle w:val="Textoindependiente"/>
        <w:ind w:firstLine="705"/>
        <w:rPr>
          <w:rFonts w:ascii="Abadi" w:hAnsi="Abadi"/>
          <w:b w:val="0"/>
          <w:bCs w:val="0"/>
          <w:sz w:val="21"/>
          <w:szCs w:val="21"/>
        </w:rPr>
      </w:pPr>
      <w:r w:rsidRPr="00CB45AC">
        <w:rPr>
          <w:rFonts w:ascii="Abadi" w:hAnsi="Abadi"/>
          <w:b w:val="0"/>
          <w:bCs w:val="0"/>
          <w:sz w:val="21"/>
          <w:szCs w:val="21"/>
        </w:rPr>
        <w:t>En esta parte, se adjuntan los anexos técnicos derivados de la revisión practicada.</w:t>
      </w:r>
    </w:p>
    <w:p w14:paraId="217CAF5B" w14:textId="77777777" w:rsidR="000C0F71" w:rsidRPr="00E203FA" w:rsidRDefault="000C0F71" w:rsidP="000C0F71">
      <w:pPr>
        <w:pStyle w:val="Textoindependiente"/>
        <w:ind w:firstLine="705"/>
        <w:rPr>
          <w:rFonts w:ascii="Abadi" w:hAnsi="Abadi"/>
          <w:sz w:val="21"/>
          <w:szCs w:val="21"/>
        </w:rPr>
      </w:pPr>
    </w:p>
    <w:p w14:paraId="47600C13" w14:textId="77777777" w:rsidR="000C0F71" w:rsidRPr="00E203FA" w:rsidRDefault="000C0F71" w:rsidP="000C0F71">
      <w:pPr>
        <w:ind w:firstLine="708"/>
        <w:jc w:val="both"/>
        <w:rPr>
          <w:rFonts w:ascii="Abadi" w:hAnsi="Abadi" w:cs="Arial"/>
          <w:b/>
          <w:bCs/>
          <w:sz w:val="21"/>
          <w:szCs w:val="21"/>
        </w:rPr>
      </w:pPr>
      <w:r w:rsidRPr="00E203FA">
        <w:rPr>
          <w:rFonts w:ascii="Abadi" w:hAnsi="Abadi" w:cs="Arial"/>
          <w:b/>
          <w:bCs/>
          <w:sz w:val="21"/>
          <w:szCs w:val="21"/>
        </w:rPr>
        <w:t>V. Conclusiones:</w:t>
      </w:r>
    </w:p>
    <w:p w14:paraId="4ABC22D2" w14:textId="77777777" w:rsidR="000C0F71" w:rsidRPr="00E203FA" w:rsidRDefault="000C0F71" w:rsidP="000C0F71">
      <w:pPr>
        <w:jc w:val="both"/>
        <w:rPr>
          <w:rFonts w:ascii="Abadi" w:hAnsi="Abadi" w:cs="Arial"/>
          <w:sz w:val="21"/>
          <w:szCs w:val="21"/>
        </w:rPr>
      </w:pPr>
    </w:p>
    <w:p w14:paraId="2E90BE0A" w14:textId="77777777" w:rsidR="000C0F71" w:rsidRPr="00E203FA" w:rsidRDefault="000C0F71" w:rsidP="000C0F71">
      <w:pPr>
        <w:jc w:val="both"/>
        <w:rPr>
          <w:rFonts w:ascii="Abadi" w:hAnsi="Abadi" w:cs="Arial"/>
          <w:sz w:val="21"/>
          <w:szCs w:val="21"/>
        </w:rPr>
      </w:pPr>
      <w:r w:rsidRPr="00E203FA">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203FA">
          <w:rPr>
            <w:rFonts w:ascii="Abadi" w:hAnsi="Abadi" w:cs="Arial"/>
            <w:sz w:val="21"/>
            <w:szCs w:val="21"/>
          </w:rPr>
          <w:t>la Ley</w:t>
        </w:r>
      </w:smartTag>
      <w:r w:rsidRPr="00E203FA">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1D740C1" w14:textId="77777777" w:rsidR="000C0F71" w:rsidRPr="00E203FA" w:rsidRDefault="000C0F71" w:rsidP="000C0F71">
      <w:pPr>
        <w:jc w:val="both"/>
        <w:rPr>
          <w:rFonts w:ascii="Abadi" w:hAnsi="Abadi" w:cs="Arial"/>
          <w:sz w:val="21"/>
          <w:szCs w:val="21"/>
        </w:rPr>
      </w:pPr>
    </w:p>
    <w:p w14:paraId="39DBEBA7" w14:textId="77777777" w:rsidR="000C0F71" w:rsidRPr="00E203FA" w:rsidRDefault="000C0F71" w:rsidP="000C0F71">
      <w:pPr>
        <w:jc w:val="both"/>
        <w:rPr>
          <w:rFonts w:ascii="Abadi" w:hAnsi="Abadi" w:cs="Arial"/>
          <w:sz w:val="21"/>
          <w:szCs w:val="21"/>
        </w:rPr>
      </w:pPr>
      <w:r w:rsidRPr="00E203FA">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4EC40B5" w14:textId="77777777" w:rsidR="000C0F71" w:rsidRPr="00E203FA" w:rsidRDefault="000C0F71" w:rsidP="000C0F71">
      <w:pPr>
        <w:ind w:firstLine="708"/>
        <w:jc w:val="both"/>
        <w:rPr>
          <w:rFonts w:ascii="Abadi" w:hAnsi="Abadi" w:cs="Arial"/>
          <w:sz w:val="21"/>
          <w:szCs w:val="21"/>
        </w:rPr>
      </w:pPr>
    </w:p>
    <w:p w14:paraId="367B44D5"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 presidente municipales de Irapuato, </w:t>
      </w:r>
      <w:proofErr w:type="spellStart"/>
      <w:r w:rsidRPr="00E203FA">
        <w:rPr>
          <w:rFonts w:ascii="Abadi" w:hAnsi="Abadi" w:cs="Arial"/>
          <w:sz w:val="21"/>
          <w:szCs w:val="21"/>
        </w:rPr>
        <w:t>Gto</w:t>
      </w:r>
      <w:proofErr w:type="spellEnd"/>
      <w:r w:rsidRPr="00E203FA">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E203FA">
          <w:rPr>
            <w:rFonts w:ascii="Abadi" w:hAnsi="Abadi" w:cs="Arial"/>
            <w:sz w:val="21"/>
            <w:szCs w:val="21"/>
          </w:rPr>
          <w:t>la Ley</w:t>
        </w:r>
      </w:smartTag>
      <w:r w:rsidRPr="00E203FA">
        <w:rPr>
          <w:rFonts w:ascii="Abadi" w:hAnsi="Abadi" w:cs="Arial"/>
          <w:sz w:val="21"/>
          <w:szCs w:val="21"/>
        </w:rPr>
        <w:t xml:space="preserve"> para aclarar, </w:t>
      </w:r>
      <w:r w:rsidRPr="00E203FA">
        <w:rPr>
          <w:rFonts w:ascii="Abadi" w:hAnsi="Abadi" w:cs="Arial"/>
          <w:sz w:val="21"/>
          <w:szCs w:val="21"/>
        </w:rPr>
        <w:t>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320C7A7E" w14:textId="77777777" w:rsidR="000C0F71" w:rsidRPr="00E203FA" w:rsidRDefault="000C0F71" w:rsidP="000C0F71">
      <w:pPr>
        <w:ind w:firstLine="708"/>
        <w:jc w:val="both"/>
        <w:rPr>
          <w:rFonts w:ascii="Abadi" w:hAnsi="Abadi" w:cs="Arial"/>
          <w:sz w:val="21"/>
          <w:szCs w:val="21"/>
        </w:rPr>
      </w:pPr>
    </w:p>
    <w:p w14:paraId="23C408D2"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De igual manera, existe en el informe de resultados la constancia de que este se notificó a la presidenta y al ex presidente municipales de Irapuato, </w:t>
      </w:r>
      <w:proofErr w:type="spellStart"/>
      <w:r w:rsidRPr="00E203FA">
        <w:rPr>
          <w:rFonts w:ascii="Abadi" w:hAnsi="Abadi" w:cs="Arial"/>
          <w:sz w:val="21"/>
          <w:szCs w:val="21"/>
        </w:rPr>
        <w:t>Gto</w:t>
      </w:r>
      <w:proofErr w:type="spellEnd"/>
      <w:r w:rsidRPr="00E203FA">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E203FA">
          <w:rPr>
            <w:rFonts w:ascii="Abadi" w:hAnsi="Abadi" w:cs="Arial"/>
            <w:sz w:val="21"/>
            <w:szCs w:val="21"/>
          </w:rPr>
          <w:t>la Ley</w:t>
        </w:r>
      </w:smartTag>
      <w:r w:rsidRPr="00E203FA">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En tal virtud, se considera que fue respetado el derecho de audiencia o defensa por parte del Órgano Técnico.</w:t>
      </w:r>
    </w:p>
    <w:p w14:paraId="329319FC" w14:textId="77777777" w:rsidR="000C0F71" w:rsidRPr="00E203FA" w:rsidRDefault="000C0F71" w:rsidP="000C0F71">
      <w:pPr>
        <w:ind w:firstLine="708"/>
        <w:jc w:val="both"/>
        <w:rPr>
          <w:rFonts w:ascii="Abadi" w:hAnsi="Abadi" w:cs="Arial"/>
          <w:sz w:val="21"/>
          <w:szCs w:val="21"/>
        </w:rPr>
      </w:pPr>
    </w:p>
    <w:p w14:paraId="5058AD24"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4F71AB0" w14:textId="77777777" w:rsidR="000C0F71" w:rsidRPr="00E203FA" w:rsidRDefault="000C0F71" w:rsidP="000C0F71">
      <w:pPr>
        <w:ind w:firstLine="708"/>
        <w:jc w:val="both"/>
        <w:rPr>
          <w:rFonts w:ascii="Abadi" w:hAnsi="Abadi" w:cs="Arial"/>
          <w:sz w:val="21"/>
          <w:szCs w:val="21"/>
        </w:rPr>
      </w:pPr>
    </w:p>
    <w:p w14:paraId="46C7BF42"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También, se dio cumplimiento de manera puntual a las fases que se establecen </w:t>
      </w:r>
      <w:r w:rsidRPr="00E203FA">
        <w:rPr>
          <w:rFonts w:ascii="Abadi" w:hAnsi="Abadi" w:cs="Arial"/>
          <w:sz w:val="21"/>
          <w:szCs w:val="21"/>
        </w:rPr>
        <w:lastRenderedPageBreak/>
        <w:t>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8012169" w14:textId="77777777" w:rsidR="000C0F71" w:rsidRPr="00E203FA" w:rsidRDefault="000C0F71" w:rsidP="000C0F71">
      <w:pPr>
        <w:jc w:val="both"/>
        <w:rPr>
          <w:rFonts w:ascii="Abadi" w:hAnsi="Abadi" w:cs="Arial"/>
          <w:sz w:val="21"/>
          <w:szCs w:val="21"/>
        </w:rPr>
      </w:pPr>
    </w:p>
    <w:p w14:paraId="5E6BC290"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6713ED3F" w14:textId="77777777" w:rsidR="000C0F71" w:rsidRPr="00E203FA" w:rsidRDefault="000C0F71" w:rsidP="000C0F71">
      <w:pPr>
        <w:ind w:firstLine="708"/>
        <w:jc w:val="both"/>
        <w:rPr>
          <w:rFonts w:ascii="Abadi" w:hAnsi="Abadi" w:cs="Arial"/>
          <w:sz w:val="21"/>
          <w:szCs w:val="21"/>
        </w:rPr>
      </w:pPr>
    </w:p>
    <w:p w14:paraId="0281690D"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9A7BF10" w14:textId="77777777" w:rsidR="000C0F71" w:rsidRPr="00E203FA" w:rsidRDefault="000C0F71" w:rsidP="000C0F71">
      <w:pPr>
        <w:ind w:firstLine="708"/>
        <w:jc w:val="both"/>
        <w:rPr>
          <w:rFonts w:ascii="Abadi" w:hAnsi="Abadi" w:cs="Arial"/>
          <w:sz w:val="21"/>
          <w:szCs w:val="21"/>
        </w:rPr>
      </w:pPr>
    </w:p>
    <w:p w14:paraId="73598A26"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 xml:space="preserve">En razón de lo anteriormente señalado, concluimos que el informe de resultados de la revisión practicada a la cuenta pública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203FA">
          <w:rPr>
            <w:rFonts w:ascii="Abadi" w:hAnsi="Abadi" w:cs="Arial"/>
            <w:sz w:val="21"/>
            <w:szCs w:val="21"/>
          </w:rPr>
          <w:t>la Ley</w:t>
        </w:r>
      </w:smartTag>
      <w:r w:rsidRPr="00E203FA">
        <w:rPr>
          <w:rFonts w:ascii="Abadi" w:hAnsi="Abadi" w:cs="Arial"/>
          <w:sz w:val="21"/>
          <w:szCs w:val="21"/>
        </w:rPr>
        <w:t xml:space="preserve"> de Fiscalización Superior del Estado de Guanajuato, razón por la cual no podría ser observado por el Pleno del Congreso.</w:t>
      </w:r>
    </w:p>
    <w:p w14:paraId="4D15D3A2" w14:textId="77777777" w:rsidR="000C0F71" w:rsidRPr="00E203FA" w:rsidRDefault="000C0F71" w:rsidP="000C0F71">
      <w:pPr>
        <w:ind w:firstLine="708"/>
        <w:jc w:val="both"/>
        <w:rPr>
          <w:rFonts w:ascii="Abadi" w:hAnsi="Abadi" w:cs="Arial"/>
          <w:sz w:val="21"/>
          <w:szCs w:val="21"/>
        </w:rPr>
      </w:pPr>
    </w:p>
    <w:p w14:paraId="5964C332" w14:textId="77777777" w:rsidR="000C0F71" w:rsidRPr="00E203FA" w:rsidRDefault="000C0F71" w:rsidP="000C0F71">
      <w:pPr>
        <w:pStyle w:val="Sangra3detindependiente"/>
        <w:spacing w:line="240" w:lineRule="auto"/>
        <w:rPr>
          <w:rFonts w:ascii="Abadi" w:hAnsi="Abadi"/>
          <w:sz w:val="21"/>
          <w:szCs w:val="21"/>
        </w:rPr>
      </w:pPr>
      <w:r w:rsidRPr="00E203FA">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E203FA">
          <w:rPr>
            <w:rFonts w:ascii="Abadi" w:hAnsi="Abadi"/>
            <w:sz w:val="21"/>
            <w:szCs w:val="21"/>
          </w:rPr>
          <w:t>la Ley Orgánica</w:t>
        </w:r>
      </w:smartTag>
      <w:r w:rsidRPr="00E203FA">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203FA">
          <w:rPr>
            <w:rFonts w:ascii="Abadi" w:hAnsi="Abadi"/>
            <w:sz w:val="21"/>
            <w:szCs w:val="21"/>
          </w:rPr>
          <w:t>la Asamblea</w:t>
        </w:r>
      </w:smartTag>
      <w:r w:rsidRPr="00E203FA">
        <w:rPr>
          <w:rFonts w:ascii="Abadi" w:hAnsi="Abadi"/>
          <w:sz w:val="21"/>
          <w:szCs w:val="21"/>
        </w:rPr>
        <w:t>, la aprobación del siguiente:</w:t>
      </w:r>
    </w:p>
    <w:p w14:paraId="09A12ABC" w14:textId="77777777" w:rsidR="000C0F71" w:rsidRPr="00E203FA" w:rsidRDefault="000C0F71" w:rsidP="000C0F71">
      <w:pPr>
        <w:pStyle w:val="Sangra3detindependiente"/>
        <w:spacing w:line="240" w:lineRule="auto"/>
        <w:rPr>
          <w:rFonts w:ascii="Abadi" w:hAnsi="Abadi"/>
          <w:sz w:val="21"/>
          <w:szCs w:val="21"/>
        </w:rPr>
      </w:pPr>
    </w:p>
    <w:p w14:paraId="06F13269" w14:textId="77777777" w:rsidR="000C0F71" w:rsidRPr="00E203FA" w:rsidRDefault="000C0F71" w:rsidP="000C0F71">
      <w:pPr>
        <w:pStyle w:val="Ttulo1"/>
        <w:jc w:val="center"/>
        <w:rPr>
          <w:rFonts w:ascii="Abadi" w:hAnsi="Abadi" w:cs="Arial"/>
          <w:smallCaps/>
          <w:sz w:val="21"/>
          <w:szCs w:val="21"/>
        </w:rPr>
      </w:pPr>
      <w:r w:rsidRPr="00E203FA">
        <w:rPr>
          <w:rFonts w:ascii="Abadi" w:hAnsi="Abadi" w:cs="Arial"/>
          <w:smallCaps/>
          <w:sz w:val="21"/>
          <w:szCs w:val="21"/>
        </w:rPr>
        <w:t>A c u e r d o</w:t>
      </w:r>
    </w:p>
    <w:p w14:paraId="6E279DE4" w14:textId="77777777" w:rsidR="000C0F71" w:rsidRPr="00E203FA" w:rsidRDefault="000C0F71" w:rsidP="000C0F71">
      <w:pPr>
        <w:rPr>
          <w:rFonts w:ascii="Abadi" w:hAnsi="Abadi"/>
          <w:sz w:val="21"/>
          <w:szCs w:val="21"/>
        </w:rPr>
      </w:pPr>
    </w:p>
    <w:p w14:paraId="00E11311" w14:textId="77777777" w:rsidR="000C0F71" w:rsidRPr="00E203FA" w:rsidRDefault="000C0F71" w:rsidP="000C0F71">
      <w:pPr>
        <w:ind w:firstLine="708"/>
        <w:jc w:val="both"/>
        <w:rPr>
          <w:rFonts w:ascii="Abadi" w:hAnsi="Abadi" w:cs="Arial"/>
          <w:sz w:val="21"/>
          <w:szCs w:val="21"/>
        </w:rPr>
      </w:pPr>
      <w:r w:rsidRPr="00E203FA">
        <w:rPr>
          <w:rFonts w:ascii="Abadi" w:hAnsi="Abadi" w:cs="Arial"/>
          <w:b/>
          <w:bCs/>
          <w:sz w:val="21"/>
          <w:szCs w:val="21"/>
        </w:rPr>
        <w:t xml:space="preserve">Único. </w:t>
      </w:r>
      <w:r w:rsidRPr="00E203FA">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E203FA">
          <w:rPr>
            <w:rFonts w:ascii="Abadi" w:hAnsi="Abadi" w:cs="Arial"/>
            <w:sz w:val="21"/>
            <w:szCs w:val="21"/>
          </w:rPr>
          <w:t>la Constitución Política</w:t>
        </w:r>
      </w:smartTag>
      <w:r w:rsidRPr="00E203FA">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Irapuato, </w:t>
      </w:r>
      <w:proofErr w:type="spellStart"/>
      <w:r w:rsidRPr="00E203FA">
        <w:rPr>
          <w:rFonts w:ascii="Abadi" w:hAnsi="Abadi" w:cs="Arial"/>
          <w:sz w:val="21"/>
          <w:szCs w:val="21"/>
        </w:rPr>
        <w:t>Gto</w:t>
      </w:r>
      <w:proofErr w:type="spellEnd"/>
      <w:r w:rsidRPr="00E203FA">
        <w:rPr>
          <w:rFonts w:ascii="Abadi" w:hAnsi="Abadi" w:cs="Arial"/>
          <w:sz w:val="21"/>
          <w:szCs w:val="21"/>
        </w:rPr>
        <w:t>., correspondiente al ejercicio fiscal del año 2021, con base en el informe de resultados formulado por la Auditoría Superior del Estado de Guanajuato.</w:t>
      </w:r>
    </w:p>
    <w:p w14:paraId="55A5218E" w14:textId="77777777" w:rsidR="000C0F71" w:rsidRPr="00E203FA" w:rsidRDefault="000C0F71" w:rsidP="000C0F71">
      <w:pPr>
        <w:ind w:firstLine="708"/>
        <w:jc w:val="both"/>
        <w:rPr>
          <w:rFonts w:ascii="Abadi" w:hAnsi="Abadi" w:cs="Arial"/>
          <w:sz w:val="21"/>
          <w:szCs w:val="21"/>
        </w:rPr>
      </w:pPr>
    </w:p>
    <w:p w14:paraId="3B052F23" w14:textId="77777777" w:rsidR="000C0F71" w:rsidRPr="00E203FA" w:rsidRDefault="000C0F71" w:rsidP="000C0F71">
      <w:pPr>
        <w:pStyle w:val="Sangra3detindependiente"/>
        <w:spacing w:line="240" w:lineRule="auto"/>
        <w:rPr>
          <w:rFonts w:ascii="Abadi" w:hAnsi="Abadi"/>
          <w:sz w:val="21"/>
          <w:szCs w:val="21"/>
          <w:lang w:val="es-MX"/>
        </w:rPr>
      </w:pPr>
      <w:r w:rsidRPr="00E203FA">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E203FA">
        <w:rPr>
          <w:rFonts w:ascii="Abadi" w:hAnsi="Abadi"/>
          <w:sz w:val="21"/>
          <w:szCs w:val="21"/>
          <w:lang w:val="es-MX"/>
        </w:rPr>
        <w:t>.</w:t>
      </w:r>
      <w:r w:rsidRPr="00E203FA">
        <w:rPr>
          <w:rFonts w:ascii="Abadi" w:hAnsi="Abadi"/>
          <w:sz w:val="21"/>
          <w:szCs w:val="21"/>
        </w:rPr>
        <w:t xml:space="preserve"> </w:t>
      </w:r>
      <w:r w:rsidRPr="00E203FA">
        <w:rPr>
          <w:rFonts w:ascii="Abadi" w:hAnsi="Abadi"/>
          <w:sz w:val="21"/>
          <w:szCs w:val="21"/>
          <w:lang w:val="es-MX"/>
        </w:rPr>
        <w:t>Asimismo, dará</w:t>
      </w:r>
      <w:r w:rsidRPr="00E203FA">
        <w:rPr>
          <w:rFonts w:ascii="Abadi" w:hAnsi="Abadi"/>
          <w:sz w:val="21"/>
          <w:szCs w:val="21"/>
        </w:rPr>
        <w:t xml:space="preserve"> seguimiento a la</w:t>
      </w:r>
      <w:r w:rsidRPr="00E203FA">
        <w:rPr>
          <w:rFonts w:ascii="Abadi" w:hAnsi="Abadi"/>
          <w:sz w:val="21"/>
          <w:szCs w:val="21"/>
          <w:lang w:val="es-MX"/>
        </w:rPr>
        <w:t>s</w:t>
      </w:r>
      <w:r w:rsidRPr="00E203FA">
        <w:rPr>
          <w:rFonts w:ascii="Abadi" w:hAnsi="Abadi"/>
          <w:sz w:val="21"/>
          <w:szCs w:val="21"/>
        </w:rPr>
        <w:t xml:space="preserve"> </w:t>
      </w:r>
      <w:proofErr w:type="spellStart"/>
      <w:r w:rsidRPr="00E203FA">
        <w:rPr>
          <w:rFonts w:ascii="Abadi" w:hAnsi="Abadi"/>
          <w:sz w:val="21"/>
          <w:szCs w:val="21"/>
        </w:rPr>
        <w:t>observaci</w:t>
      </w:r>
      <w:r w:rsidRPr="00E203FA">
        <w:rPr>
          <w:rFonts w:ascii="Abadi" w:hAnsi="Abadi"/>
          <w:sz w:val="21"/>
          <w:szCs w:val="21"/>
          <w:lang w:val="es-MX"/>
        </w:rPr>
        <w:t>ones</w:t>
      </w:r>
      <w:proofErr w:type="spellEnd"/>
      <w:r w:rsidRPr="00E203FA">
        <w:rPr>
          <w:rFonts w:ascii="Abadi" w:hAnsi="Abadi"/>
          <w:sz w:val="21"/>
          <w:szCs w:val="21"/>
        </w:rPr>
        <w:t xml:space="preserve"> no solventada</w:t>
      </w:r>
      <w:r w:rsidRPr="00E203FA">
        <w:rPr>
          <w:rFonts w:ascii="Abadi" w:hAnsi="Abadi"/>
          <w:sz w:val="21"/>
          <w:szCs w:val="21"/>
          <w:lang w:val="es-MX"/>
        </w:rPr>
        <w:t>s</w:t>
      </w:r>
      <w:r w:rsidRPr="00E203FA">
        <w:rPr>
          <w:rFonts w:ascii="Abadi" w:hAnsi="Abadi"/>
          <w:sz w:val="21"/>
          <w:szCs w:val="21"/>
        </w:rPr>
        <w:t xml:space="preserve"> contenidas en el informe de resultados</w:t>
      </w:r>
      <w:r w:rsidRPr="00E203FA">
        <w:rPr>
          <w:rFonts w:ascii="Abadi" w:hAnsi="Abadi"/>
          <w:sz w:val="21"/>
          <w:szCs w:val="21"/>
          <w:lang w:val="es-MX"/>
        </w:rPr>
        <w:t>.</w:t>
      </w:r>
    </w:p>
    <w:p w14:paraId="50EE1BE5" w14:textId="77777777" w:rsidR="000C0F71" w:rsidRPr="00E203FA" w:rsidRDefault="000C0F71" w:rsidP="000C0F71">
      <w:pPr>
        <w:pStyle w:val="Sangra3detindependiente"/>
        <w:spacing w:line="240" w:lineRule="auto"/>
        <w:rPr>
          <w:rFonts w:ascii="Abadi" w:hAnsi="Abadi"/>
          <w:sz w:val="21"/>
          <w:szCs w:val="21"/>
          <w:lang w:val="es-MX"/>
        </w:rPr>
      </w:pPr>
    </w:p>
    <w:p w14:paraId="59B0F349"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Se tiene por atendida la recomendación contenida en el informe de resultados.</w:t>
      </w:r>
    </w:p>
    <w:p w14:paraId="74722237" w14:textId="77777777" w:rsidR="000C0F71" w:rsidRPr="00E203FA" w:rsidRDefault="000C0F71" w:rsidP="000C0F71">
      <w:pPr>
        <w:ind w:firstLine="708"/>
        <w:jc w:val="both"/>
        <w:rPr>
          <w:rFonts w:ascii="Abadi" w:hAnsi="Abadi" w:cs="Arial"/>
          <w:sz w:val="21"/>
          <w:szCs w:val="21"/>
        </w:rPr>
      </w:pPr>
    </w:p>
    <w:p w14:paraId="59978AFF" w14:textId="77777777" w:rsidR="000C0F71" w:rsidRPr="00E203FA" w:rsidRDefault="000C0F71" w:rsidP="000C0F71">
      <w:pPr>
        <w:ind w:firstLine="708"/>
        <w:jc w:val="both"/>
        <w:rPr>
          <w:rFonts w:ascii="Abadi" w:hAnsi="Abadi" w:cs="Arial"/>
          <w:sz w:val="21"/>
          <w:szCs w:val="21"/>
        </w:rPr>
      </w:pPr>
      <w:r w:rsidRPr="00E203FA">
        <w:rPr>
          <w:rFonts w:ascii="Abadi" w:hAnsi="Abadi" w:cs="Arial"/>
          <w:sz w:val="21"/>
          <w:szCs w:val="21"/>
        </w:rPr>
        <w:t>Remítase el presente acuerdo al titular del Poder Ejecutivo del Estado para su publicación en el Periódico Oficial del Gobierno del Estado.</w:t>
      </w:r>
    </w:p>
    <w:p w14:paraId="25BC2B96" w14:textId="77777777" w:rsidR="000C0F71" w:rsidRPr="00E203FA" w:rsidRDefault="000C0F71" w:rsidP="000C0F71">
      <w:pPr>
        <w:ind w:firstLine="708"/>
        <w:jc w:val="both"/>
        <w:rPr>
          <w:rFonts w:ascii="Abadi" w:hAnsi="Abadi" w:cs="Arial"/>
          <w:sz w:val="21"/>
          <w:szCs w:val="21"/>
        </w:rPr>
      </w:pPr>
    </w:p>
    <w:p w14:paraId="3EE0CFE4" w14:textId="77777777" w:rsidR="000C0F71" w:rsidRPr="00E203FA" w:rsidRDefault="000C0F71" w:rsidP="000C0F71">
      <w:pPr>
        <w:pStyle w:val="Sangra3detindependiente"/>
        <w:spacing w:line="240" w:lineRule="auto"/>
        <w:rPr>
          <w:rFonts w:ascii="Abadi" w:hAnsi="Abadi"/>
          <w:sz w:val="21"/>
          <w:szCs w:val="21"/>
        </w:rPr>
      </w:pPr>
      <w:r w:rsidRPr="00E203FA">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19432B9" w14:textId="77777777" w:rsidR="000C0F71" w:rsidRPr="00E203FA" w:rsidRDefault="000C0F71" w:rsidP="000C0F71">
      <w:pPr>
        <w:jc w:val="center"/>
        <w:rPr>
          <w:rFonts w:ascii="Abadi" w:hAnsi="Abadi" w:cs="Arial"/>
          <w:b/>
          <w:bCs/>
          <w:sz w:val="21"/>
          <w:szCs w:val="21"/>
          <w:lang w:eastAsia="x-none"/>
        </w:rPr>
      </w:pPr>
    </w:p>
    <w:p w14:paraId="3D6AB554" w14:textId="77777777" w:rsidR="000C0F71" w:rsidRPr="00E203FA" w:rsidRDefault="000C0F71" w:rsidP="000C0F71">
      <w:pPr>
        <w:jc w:val="center"/>
        <w:rPr>
          <w:rFonts w:ascii="Abadi" w:hAnsi="Abadi" w:cs="Arial"/>
          <w:b/>
          <w:bCs/>
          <w:sz w:val="21"/>
          <w:szCs w:val="21"/>
          <w:lang w:eastAsia="x-none"/>
        </w:rPr>
      </w:pPr>
      <w:r w:rsidRPr="00E203FA">
        <w:rPr>
          <w:rFonts w:ascii="Abadi" w:hAnsi="Abadi" w:cs="Arial"/>
          <w:b/>
          <w:bCs/>
          <w:sz w:val="21"/>
          <w:szCs w:val="21"/>
          <w:lang w:eastAsia="x-none"/>
        </w:rPr>
        <w:t xml:space="preserve">Guanajuato, </w:t>
      </w:r>
      <w:proofErr w:type="spellStart"/>
      <w:r w:rsidRPr="00E203FA">
        <w:rPr>
          <w:rFonts w:ascii="Abadi" w:hAnsi="Abadi" w:cs="Arial"/>
          <w:b/>
          <w:bCs/>
          <w:sz w:val="21"/>
          <w:szCs w:val="21"/>
          <w:lang w:eastAsia="x-none"/>
        </w:rPr>
        <w:t>Gto</w:t>
      </w:r>
      <w:proofErr w:type="spellEnd"/>
      <w:r w:rsidRPr="00E203FA">
        <w:rPr>
          <w:rFonts w:ascii="Abadi" w:hAnsi="Abadi" w:cs="Arial"/>
          <w:b/>
          <w:bCs/>
          <w:sz w:val="21"/>
          <w:szCs w:val="21"/>
          <w:lang w:eastAsia="x-none"/>
        </w:rPr>
        <w:t>., 13 de junio de 2023</w:t>
      </w:r>
    </w:p>
    <w:p w14:paraId="41BB345A" w14:textId="77777777" w:rsidR="000C0F71" w:rsidRPr="00E203FA" w:rsidRDefault="000C0F71" w:rsidP="000C0F71">
      <w:pPr>
        <w:jc w:val="center"/>
        <w:rPr>
          <w:rFonts w:ascii="Abadi" w:hAnsi="Abadi" w:cs="Arial"/>
          <w:b/>
          <w:bCs/>
          <w:sz w:val="21"/>
          <w:szCs w:val="21"/>
          <w:lang w:eastAsia="x-none"/>
        </w:rPr>
      </w:pPr>
      <w:smartTag w:uri="urn:schemas-microsoft-com:office:smarttags" w:element="PersonName">
        <w:smartTagPr>
          <w:attr w:name="ProductID" w:val="La Comisi￳n"/>
        </w:smartTagPr>
        <w:r w:rsidRPr="00E203FA">
          <w:rPr>
            <w:rFonts w:ascii="Abadi" w:hAnsi="Abadi" w:cs="Arial"/>
            <w:b/>
            <w:bCs/>
            <w:sz w:val="21"/>
            <w:szCs w:val="21"/>
            <w:lang w:eastAsia="x-none"/>
          </w:rPr>
          <w:t>La Comisión</w:t>
        </w:r>
      </w:smartTag>
      <w:r w:rsidRPr="00E203FA">
        <w:rPr>
          <w:rFonts w:ascii="Abadi" w:hAnsi="Abadi" w:cs="Arial"/>
          <w:b/>
          <w:bCs/>
          <w:sz w:val="21"/>
          <w:szCs w:val="21"/>
          <w:lang w:eastAsia="x-none"/>
        </w:rPr>
        <w:t xml:space="preserve"> de Hacienda y Fiscalización</w:t>
      </w:r>
    </w:p>
    <w:p w14:paraId="45D43C8F" w14:textId="77777777" w:rsidR="000C0F71" w:rsidRPr="00E203FA" w:rsidRDefault="000C0F71" w:rsidP="000C0F71">
      <w:pPr>
        <w:jc w:val="center"/>
        <w:rPr>
          <w:rFonts w:ascii="Abadi" w:hAnsi="Abadi" w:cs="Arial"/>
          <w:sz w:val="21"/>
          <w:szCs w:val="21"/>
        </w:rPr>
      </w:pPr>
    </w:p>
    <w:p w14:paraId="7A2407F2" w14:textId="77777777" w:rsidR="000C0F71" w:rsidRPr="00E203FA" w:rsidRDefault="000C0F71" w:rsidP="000C0F71">
      <w:pPr>
        <w:jc w:val="center"/>
        <w:rPr>
          <w:rFonts w:ascii="Abadi" w:hAnsi="Abadi" w:cs="Arial"/>
          <w:sz w:val="21"/>
          <w:szCs w:val="21"/>
        </w:rPr>
      </w:pPr>
    </w:p>
    <w:p w14:paraId="5351D27D" w14:textId="77777777" w:rsidR="000C0F71" w:rsidRPr="00E203FA" w:rsidRDefault="000C0F71" w:rsidP="002F4F21">
      <w:pPr>
        <w:rPr>
          <w:rFonts w:ascii="Abadi" w:hAnsi="Abadi" w:cs="Arial"/>
          <w:sz w:val="21"/>
          <w:szCs w:val="21"/>
        </w:rPr>
      </w:pPr>
      <w:r w:rsidRPr="00E203FA">
        <w:rPr>
          <w:rFonts w:ascii="Abadi" w:hAnsi="Abadi" w:cs="Arial"/>
          <w:b/>
          <w:sz w:val="21"/>
          <w:szCs w:val="21"/>
          <w:lang w:eastAsia="x-none"/>
        </w:rPr>
        <w:t>Diputado Víctor Manuel Zanella Huerta</w:t>
      </w:r>
    </w:p>
    <w:p w14:paraId="7D7953CB" w14:textId="77777777" w:rsidR="000C0F71" w:rsidRPr="00E203FA" w:rsidRDefault="000C0F71" w:rsidP="000C0F71">
      <w:pPr>
        <w:rPr>
          <w:rFonts w:ascii="Abadi" w:hAnsi="Abadi" w:cs="Arial"/>
          <w:b/>
          <w:sz w:val="21"/>
          <w:szCs w:val="21"/>
          <w:lang w:eastAsia="x-none"/>
        </w:rPr>
      </w:pPr>
      <w:r w:rsidRPr="00E203FA">
        <w:rPr>
          <w:rFonts w:ascii="Abadi" w:hAnsi="Abadi" w:cs="Arial"/>
          <w:b/>
          <w:sz w:val="21"/>
          <w:szCs w:val="21"/>
          <w:lang w:eastAsia="x-none"/>
        </w:rPr>
        <w:lastRenderedPageBreak/>
        <w:t xml:space="preserve">Diputada Ruth Noemí Tiscareño Agoitia      </w:t>
      </w:r>
    </w:p>
    <w:p w14:paraId="7D54B246" w14:textId="2874A86B" w:rsidR="000C0F71" w:rsidRPr="00E203FA" w:rsidRDefault="000C0F71" w:rsidP="002F4F21">
      <w:pPr>
        <w:rPr>
          <w:rFonts w:ascii="Abadi" w:hAnsi="Abadi" w:cs="Arial"/>
          <w:b/>
          <w:sz w:val="21"/>
          <w:szCs w:val="21"/>
          <w:lang w:eastAsia="x-none"/>
        </w:rPr>
      </w:pPr>
      <w:r w:rsidRPr="00E203FA">
        <w:rPr>
          <w:rFonts w:ascii="Abadi" w:hAnsi="Abadi" w:cs="Arial"/>
          <w:b/>
          <w:sz w:val="21"/>
          <w:szCs w:val="21"/>
          <w:lang w:eastAsia="x-none"/>
        </w:rPr>
        <w:t xml:space="preserve">Diputado Miguel Ángel Salim </w:t>
      </w:r>
      <w:proofErr w:type="spellStart"/>
      <w:r w:rsidRPr="00E203FA">
        <w:rPr>
          <w:rFonts w:ascii="Abadi" w:hAnsi="Abadi" w:cs="Arial"/>
          <w:b/>
          <w:sz w:val="21"/>
          <w:szCs w:val="21"/>
          <w:lang w:eastAsia="x-none"/>
        </w:rPr>
        <w:t>Alle</w:t>
      </w:r>
      <w:proofErr w:type="spellEnd"/>
    </w:p>
    <w:p w14:paraId="63D1E870" w14:textId="77777777" w:rsidR="000C0F71" w:rsidRPr="00E203FA" w:rsidRDefault="000C0F71" w:rsidP="000C0F71">
      <w:pPr>
        <w:rPr>
          <w:rFonts w:ascii="Abadi" w:hAnsi="Abadi" w:cs="Arial"/>
          <w:b/>
          <w:sz w:val="21"/>
          <w:szCs w:val="21"/>
          <w:lang w:eastAsia="x-none"/>
        </w:rPr>
      </w:pPr>
      <w:r w:rsidRPr="00E203FA">
        <w:rPr>
          <w:rFonts w:ascii="Abadi" w:hAnsi="Abadi" w:cs="Arial"/>
          <w:b/>
          <w:sz w:val="21"/>
          <w:szCs w:val="21"/>
          <w:lang w:eastAsia="x-none"/>
        </w:rPr>
        <w:t xml:space="preserve">Diputado José Alfonso Borja Pimentel    </w:t>
      </w:r>
    </w:p>
    <w:p w14:paraId="3A381858" w14:textId="77777777" w:rsidR="000C0F71" w:rsidRPr="00E203FA" w:rsidRDefault="000C0F71" w:rsidP="002F4F21">
      <w:pPr>
        <w:rPr>
          <w:rFonts w:ascii="Abadi" w:hAnsi="Abadi" w:cs="Arial"/>
          <w:b/>
          <w:sz w:val="21"/>
          <w:szCs w:val="21"/>
          <w:lang w:eastAsia="x-none"/>
        </w:rPr>
      </w:pPr>
      <w:r w:rsidRPr="00E203FA">
        <w:rPr>
          <w:rFonts w:ascii="Abadi" w:hAnsi="Abadi" w:cs="Arial"/>
          <w:b/>
          <w:sz w:val="21"/>
          <w:szCs w:val="21"/>
          <w:lang w:eastAsia="x-none"/>
        </w:rPr>
        <w:t>Diputada Alma Edwviges Alcaraz Hernández</w:t>
      </w:r>
    </w:p>
    <w:p w14:paraId="150AC508" w14:textId="77777777" w:rsidR="000C0F71" w:rsidRPr="00E203FA" w:rsidRDefault="000C0F71" w:rsidP="000C0F71">
      <w:pPr>
        <w:rPr>
          <w:rFonts w:ascii="Abadi" w:hAnsi="Abadi"/>
          <w:b/>
          <w:sz w:val="21"/>
          <w:szCs w:val="21"/>
          <w:lang w:eastAsia="x-none"/>
        </w:rPr>
      </w:pPr>
    </w:p>
    <w:p w14:paraId="487AFEA3" w14:textId="77777777" w:rsidR="000C0F71" w:rsidRPr="00E203FA" w:rsidRDefault="000C0F71" w:rsidP="000C0F71">
      <w:pPr>
        <w:pStyle w:val="Textoindependiente2"/>
        <w:rPr>
          <w:rFonts w:ascii="Abadi" w:hAnsi="Abadi"/>
          <w:sz w:val="21"/>
          <w:szCs w:val="21"/>
        </w:rPr>
      </w:pPr>
    </w:p>
    <w:p w14:paraId="39469D77" w14:textId="4F78D5E9"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PURÍSIMA DEL RINCÓN, GTO., CORRESPONDIENTE AL EJERCICIO FISCAL DEL AÑO 2021. </w:t>
      </w:r>
      <w:r w:rsidRPr="00006796">
        <w:rPr>
          <w:rFonts w:ascii="Abadi" w:hAnsi="Abadi" w:cs="Arial-ItalicMT"/>
          <w:b/>
          <w:bCs/>
          <w:i/>
          <w:iCs/>
          <w:sz w:val="21"/>
          <w:szCs w:val="21"/>
        </w:rPr>
        <w:t>(ELD 303/LXV-IRASEG)</w:t>
      </w:r>
      <w:r w:rsidR="00113452">
        <w:rPr>
          <w:rStyle w:val="Refdenotaalpie"/>
          <w:rFonts w:ascii="Abadi" w:hAnsi="Abadi" w:cs="Arial-ItalicMT"/>
          <w:b/>
          <w:bCs/>
          <w:i/>
          <w:iCs/>
          <w:sz w:val="21"/>
          <w:szCs w:val="21"/>
        </w:rPr>
        <w:footnoteReference w:id="227"/>
      </w:r>
    </w:p>
    <w:p w14:paraId="7A675D1F" w14:textId="77777777" w:rsidR="000369CA" w:rsidRPr="000369CA" w:rsidRDefault="000369CA" w:rsidP="000369CA">
      <w:pPr>
        <w:pStyle w:val="Prrafodelista"/>
        <w:rPr>
          <w:rFonts w:ascii="Abadi" w:hAnsi="Abadi" w:cs="Arial-ItalicMT"/>
          <w:b/>
          <w:bCs/>
          <w:i/>
          <w:iCs/>
          <w:sz w:val="21"/>
          <w:szCs w:val="21"/>
        </w:rPr>
      </w:pPr>
    </w:p>
    <w:p w14:paraId="62387C22" w14:textId="77777777" w:rsidR="00970E21" w:rsidRPr="00B05937" w:rsidRDefault="00970E21" w:rsidP="00970E21">
      <w:pPr>
        <w:pStyle w:val="Textoindependiente3"/>
        <w:rPr>
          <w:rFonts w:ascii="Abadi" w:hAnsi="Abadi" w:cs="Arial"/>
          <w:smallCaps/>
          <w:sz w:val="21"/>
          <w:szCs w:val="21"/>
        </w:rPr>
      </w:pPr>
      <w:r w:rsidRPr="00B05937">
        <w:rPr>
          <w:rFonts w:ascii="Abadi" w:hAnsi="Abadi" w:cs="Arial"/>
          <w:smallCaps/>
          <w:sz w:val="21"/>
          <w:szCs w:val="21"/>
        </w:rPr>
        <w:t>C. Presidenta del Congreso del Estado</w:t>
      </w:r>
    </w:p>
    <w:p w14:paraId="2BFF1139" w14:textId="77777777" w:rsidR="00970E21" w:rsidRPr="00B05937" w:rsidRDefault="00970E21" w:rsidP="00970E21">
      <w:pPr>
        <w:jc w:val="both"/>
        <w:rPr>
          <w:rFonts w:ascii="Abadi" w:hAnsi="Abadi" w:cs="Arial"/>
          <w:b/>
          <w:bCs/>
          <w:smallCaps/>
          <w:sz w:val="21"/>
          <w:szCs w:val="21"/>
        </w:rPr>
      </w:pPr>
      <w:r w:rsidRPr="00B05937">
        <w:rPr>
          <w:rFonts w:ascii="Abadi" w:hAnsi="Abadi" w:cs="Arial"/>
          <w:b/>
          <w:bCs/>
          <w:smallCaps/>
          <w:sz w:val="21"/>
          <w:szCs w:val="21"/>
        </w:rPr>
        <w:t>P r e s e n t e.</w:t>
      </w:r>
    </w:p>
    <w:p w14:paraId="73448E9F" w14:textId="77777777" w:rsidR="00970E21" w:rsidRPr="00B05937" w:rsidRDefault="00970E21" w:rsidP="00970E21">
      <w:pPr>
        <w:pStyle w:val="Textoindependiente"/>
        <w:rPr>
          <w:rFonts w:ascii="Abadi" w:hAnsi="Abadi"/>
          <w:sz w:val="21"/>
          <w:szCs w:val="21"/>
        </w:rPr>
      </w:pPr>
    </w:p>
    <w:p w14:paraId="28205E94" w14:textId="77777777" w:rsidR="00970E21" w:rsidRPr="00B05937" w:rsidRDefault="00970E21" w:rsidP="00970E21">
      <w:pPr>
        <w:pStyle w:val="Sangra3detindependiente"/>
        <w:spacing w:line="240" w:lineRule="auto"/>
        <w:rPr>
          <w:rFonts w:ascii="Abadi" w:hAnsi="Abadi"/>
          <w:sz w:val="21"/>
          <w:szCs w:val="21"/>
        </w:rPr>
      </w:pPr>
      <w:r w:rsidRPr="00B05937">
        <w:rPr>
          <w:rFonts w:ascii="Abadi" w:hAnsi="Abadi"/>
          <w:sz w:val="21"/>
          <w:szCs w:val="21"/>
        </w:rPr>
        <w:t xml:space="preserve">A </w:t>
      </w:r>
      <w:r w:rsidRPr="00B05937">
        <w:rPr>
          <w:rFonts w:ascii="Abadi" w:hAnsi="Abadi"/>
          <w:sz w:val="21"/>
          <w:szCs w:val="21"/>
          <w:lang w:val="es-MX"/>
        </w:rPr>
        <w:t>esta</w:t>
      </w:r>
      <w:r w:rsidRPr="00B05937">
        <w:rPr>
          <w:rFonts w:ascii="Abadi" w:hAnsi="Abadi"/>
          <w:sz w:val="21"/>
          <w:szCs w:val="21"/>
        </w:rPr>
        <w:t xml:space="preserve"> Comisión de Hacienda y Fiscalización</w:t>
      </w:r>
      <w:r w:rsidRPr="00B05937">
        <w:rPr>
          <w:rFonts w:ascii="Abadi" w:hAnsi="Abadi"/>
          <w:sz w:val="21"/>
          <w:szCs w:val="21"/>
          <w:lang w:val="es-MX"/>
        </w:rPr>
        <w:t xml:space="preserve">, </w:t>
      </w:r>
      <w:r w:rsidRPr="00B05937">
        <w:rPr>
          <w:rFonts w:ascii="Abadi" w:hAnsi="Abadi"/>
          <w:sz w:val="21"/>
          <w:szCs w:val="21"/>
        </w:rPr>
        <w:t xml:space="preserve">le fue turnado para su estudio y dictamen, el informe de resultados de la revisión practicada por </w:t>
      </w:r>
      <w:r w:rsidRPr="00B05937">
        <w:rPr>
          <w:rFonts w:ascii="Abadi" w:hAnsi="Abadi"/>
          <w:sz w:val="21"/>
          <w:szCs w:val="21"/>
          <w:lang w:val="es-MX"/>
        </w:rPr>
        <w:t xml:space="preserve">la </w:t>
      </w:r>
      <w:r w:rsidRPr="00B05937">
        <w:rPr>
          <w:rFonts w:ascii="Abadi" w:hAnsi="Abadi"/>
          <w:sz w:val="21"/>
          <w:szCs w:val="21"/>
        </w:rPr>
        <w:t xml:space="preserve">Auditoría Superior del Estado de Guanajuato, a la cuenta pública municipal de </w:t>
      </w:r>
      <w:r w:rsidRPr="00B05937">
        <w:rPr>
          <w:rFonts w:ascii="Abadi" w:hAnsi="Abadi"/>
          <w:sz w:val="21"/>
          <w:szCs w:val="21"/>
          <w:lang w:val="es-MX"/>
        </w:rPr>
        <w:t>Purísima del Rincón</w:t>
      </w:r>
      <w:r w:rsidRPr="00B05937">
        <w:rPr>
          <w:rFonts w:ascii="Abadi" w:hAnsi="Abadi"/>
          <w:sz w:val="21"/>
          <w:szCs w:val="21"/>
        </w:rPr>
        <w:t xml:space="preserve">, </w:t>
      </w:r>
      <w:proofErr w:type="spellStart"/>
      <w:r w:rsidRPr="00B05937">
        <w:rPr>
          <w:rFonts w:ascii="Abadi" w:hAnsi="Abadi"/>
          <w:sz w:val="21"/>
          <w:szCs w:val="21"/>
        </w:rPr>
        <w:t>Gto</w:t>
      </w:r>
      <w:proofErr w:type="spellEnd"/>
      <w:r w:rsidRPr="00B05937">
        <w:rPr>
          <w:rFonts w:ascii="Abadi" w:hAnsi="Abadi"/>
          <w:sz w:val="21"/>
          <w:szCs w:val="21"/>
        </w:rPr>
        <w:t xml:space="preserve">., correspondiente al ejercicio fiscal del año 2021. (ELD </w:t>
      </w:r>
      <w:r w:rsidRPr="00B05937">
        <w:rPr>
          <w:rFonts w:ascii="Abadi" w:hAnsi="Abadi"/>
          <w:sz w:val="21"/>
          <w:szCs w:val="21"/>
          <w:lang w:val="es-MX"/>
        </w:rPr>
        <w:t>303</w:t>
      </w:r>
      <w:r w:rsidRPr="00B05937">
        <w:rPr>
          <w:rFonts w:ascii="Abadi" w:hAnsi="Abadi"/>
          <w:sz w:val="21"/>
          <w:szCs w:val="21"/>
        </w:rPr>
        <w:t>/LXV-IRASEG)</w:t>
      </w:r>
    </w:p>
    <w:p w14:paraId="7CD90E22" w14:textId="77777777" w:rsidR="00970E21" w:rsidRPr="00B05937" w:rsidRDefault="00970E21" w:rsidP="00970E21">
      <w:pPr>
        <w:pStyle w:val="Sangra3detindependiente"/>
        <w:spacing w:line="240" w:lineRule="auto"/>
        <w:rPr>
          <w:rFonts w:ascii="Abadi" w:hAnsi="Abadi"/>
          <w:sz w:val="21"/>
          <w:szCs w:val="21"/>
        </w:rPr>
      </w:pPr>
    </w:p>
    <w:p w14:paraId="2E001B4C" w14:textId="77777777" w:rsidR="00970E21" w:rsidRPr="00B05937" w:rsidRDefault="00970E21" w:rsidP="00970E21">
      <w:pPr>
        <w:pStyle w:val="Sangra3detindependiente"/>
        <w:spacing w:line="240" w:lineRule="auto"/>
        <w:rPr>
          <w:rFonts w:ascii="Abadi" w:hAnsi="Abadi"/>
          <w:sz w:val="21"/>
          <w:szCs w:val="21"/>
        </w:rPr>
      </w:pPr>
      <w:r w:rsidRPr="00B05937">
        <w:rPr>
          <w:rFonts w:ascii="Abadi" w:hAnsi="Abadi"/>
          <w:sz w:val="21"/>
          <w:szCs w:val="21"/>
        </w:rPr>
        <w:t>Una vez analizado el referido informe de resultados, con fundamento en lo dispuesto por los artículos 112, fracción XII</w:t>
      </w:r>
      <w:r w:rsidRPr="00B05937">
        <w:rPr>
          <w:rFonts w:ascii="Abadi" w:hAnsi="Abadi"/>
          <w:sz w:val="21"/>
          <w:szCs w:val="21"/>
          <w:lang w:val="es-MX"/>
        </w:rPr>
        <w:t>, primer párrafo</w:t>
      </w:r>
      <w:r w:rsidRPr="00B05937">
        <w:rPr>
          <w:rFonts w:ascii="Abadi" w:hAnsi="Abadi"/>
          <w:sz w:val="21"/>
          <w:szCs w:val="21"/>
        </w:rPr>
        <w:t xml:space="preserve"> y 171 de </w:t>
      </w:r>
      <w:smartTag w:uri="urn:schemas-microsoft-com:office:smarttags" w:element="PersonName">
        <w:smartTagPr>
          <w:attr w:name="ProductID" w:val="la Ley Org￡nica"/>
        </w:smartTagPr>
        <w:r w:rsidRPr="00B05937">
          <w:rPr>
            <w:rFonts w:ascii="Abadi" w:hAnsi="Abadi"/>
            <w:sz w:val="21"/>
            <w:szCs w:val="21"/>
          </w:rPr>
          <w:t>la Ley Orgánica</w:t>
        </w:r>
      </w:smartTag>
      <w:r w:rsidRPr="00B05937">
        <w:rPr>
          <w:rFonts w:ascii="Abadi" w:hAnsi="Abadi"/>
          <w:sz w:val="21"/>
          <w:szCs w:val="21"/>
        </w:rPr>
        <w:t xml:space="preserve"> del Poder Legislativo, nos permitimos rendir el siguiente:</w:t>
      </w:r>
    </w:p>
    <w:p w14:paraId="552410A5" w14:textId="77777777" w:rsidR="00970E21" w:rsidRPr="00B05937" w:rsidRDefault="00970E21" w:rsidP="00970E21">
      <w:pPr>
        <w:pStyle w:val="Sangra3detindependiente"/>
        <w:spacing w:line="240" w:lineRule="auto"/>
        <w:rPr>
          <w:rFonts w:ascii="Abadi" w:hAnsi="Abadi"/>
          <w:sz w:val="21"/>
          <w:szCs w:val="21"/>
        </w:rPr>
      </w:pPr>
    </w:p>
    <w:p w14:paraId="639F6235" w14:textId="77777777" w:rsidR="00970E21" w:rsidRPr="00B05937" w:rsidRDefault="00970E21" w:rsidP="00970E21">
      <w:pPr>
        <w:pStyle w:val="Ttulo1"/>
        <w:jc w:val="center"/>
        <w:rPr>
          <w:rFonts w:ascii="Abadi" w:hAnsi="Abadi" w:cs="Arial"/>
          <w:sz w:val="21"/>
          <w:szCs w:val="21"/>
        </w:rPr>
      </w:pPr>
      <w:r w:rsidRPr="00B05937">
        <w:rPr>
          <w:rFonts w:ascii="Abadi" w:hAnsi="Abadi" w:cs="Arial"/>
          <w:sz w:val="21"/>
          <w:szCs w:val="21"/>
        </w:rPr>
        <w:t>D i c t a m e n</w:t>
      </w:r>
    </w:p>
    <w:p w14:paraId="3CB027DD" w14:textId="77777777" w:rsidR="007C2894" w:rsidRDefault="007C2894" w:rsidP="00970E21">
      <w:pPr>
        <w:pStyle w:val="Textoindependiente"/>
        <w:ind w:firstLine="708"/>
        <w:rPr>
          <w:rFonts w:ascii="Abadi" w:hAnsi="Abadi"/>
          <w:b w:val="0"/>
          <w:bCs w:val="0"/>
          <w:sz w:val="21"/>
          <w:szCs w:val="21"/>
        </w:rPr>
      </w:pPr>
    </w:p>
    <w:p w14:paraId="7487640B" w14:textId="0854EA60" w:rsidR="00970E21" w:rsidRPr="007C2894" w:rsidRDefault="00970E21" w:rsidP="00970E21">
      <w:pPr>
        <w:pStyle w:val="Textoindependiente"/>
        <w:ind w:firstLine="708"/>
        <w:rPr>
          <w:rFonts w:ascii="Abadi" w:hAnsi="Abadi"/>
          <w:sz w:val="21"/>
          <w:szCs w:val="21"/>
        </w:rPr>
      </w:pPr>
      <w:r w:rsidRPr="007C2894">
        <w:rPr>
          <w:rFonts w:ascii="Abadi" w:hAnsi="Abadi"/>
          <w:sz w:val="21"/>
          <w:szCs w:val="21"/>
        </w:rPr>
        <w:t>I. Competencia:</w:t>
      </w:r>
    </w:p>
    <w:p w14:paraId="0915DD34" w14:textId="77777777" w:rsidR="00970E21" w:rsidRPr="007C2894" w:rsidRDefault="00970E21" w:rsidP="00970E21">
      <w:pPr>
        <w:pStyle w:val="Textoindependiente"/>
        <w:ind w:firstLine="708"/>
        <w:rPr>
          <w:rFonts w:ascii="Abadi" w:hAnsi="Abadi"/>
          <w:sz w:val="21"/>
          <w:szCs w:val="21"/>
        </w:rPr>
      </w:pPr>
    </w:p>
    <w:p w14:paraId="26D3DA40"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B05937">
          <w:rPr>
            <w:rFonts w:ascii="Abadi" w:hAnsi="Abadi" w:cs="Arial"/>
            <w:sz w:val="21"/>
            <w:szCs w:val="21"/>
            <w:lang w:val="es-MX" w:eastAsia="x-none"/>
          </w:rPr>
          <w:t>la Constitución Política</w:t>
        </w:r>
      </w:smartTag>
      <w:r w:rsidRPr="00B05937">
        <w:rPr>
          <w:rFonts w:ascii="Abadi" w:hAnsi="Abadi" w:cs="Arial"/>
          <w:sz w:val="21"/>
          <w:szCs w:val="21"/>
          <w:lang w:val="es-MX" w:eastAsia="x-none"/>
        </w:rPr>
        <w:t xml:space="preserve"> para el Estado, las que establecen que el Congreso del Estado tiene la facultad de fiscalizar las </w:t>
      </w:r>
      <w:r w:rsidRPr="00B05937">
        <w:rPr>
          <w:rFonts w:ascii="Abadi" w:hAnsi="Abadi" w:cs="Arial"/>
          <w:sz w:val="21"/>
          <w:szCs w:val="21"/>
          <w:lang w:val="es-MX" w:eastAsia="x-none"/>
        </w:rPr>
        <w:t xml:space="preserve">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868923B" w14:textId="77777777" w:rsidR="00970E21" w:rsidRPr="00B05937" w:rsidRDefault="00970E21" w:rsidP="00970E21">
      <w:pPr>
        <w:ind w:firstLine="708"/>
        <w:jc w:val="both"/>
        <w:rPr>
          <w:rFonts w:ascii="Abadi" w:hAnsi="Abadi" w:cs="Arial"/>
          <w:sz w:val="21"/>
          <w:szCs w:val="21"/>
          <w:lang w:val="es-MX" w:eastAsia="x-none"/>
        </w:rPr>
      </w:pPr>
    </w:p>
    <w:p w14:paraId="4EBEB820"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5AA8389" w14:textId="77777777" w:rsidR="00970E21" w:rsidRPr="00B05937" w:rsidRDefault="00970E21" w:rsidP="00970E21">
      <w:pPr>
        <w:ind w:firstLine="708"/>
        <w:jc w:val="both"/>
        <w:rPr>
          <w:rFonts w:ascii="Abadi" w:hAnsi="Abadi" w:cs="Arial"/>
          <w:sz w:val="21"/>
          <w:szCs w:val="21"/>
          <w:lang w:val="es-MX" w:eastAsia="x-none"/>
        </w:rPr>
      </w:pPr>
    </w:p>
    <w:p w14:paraId="7984E56C" w14:textId="77777777" w:rsidR="00970E21" w:rsidRPr="00B05937" w:rsidRDefault="00970E21" w:rsidP="00970E21">
      <w:pPr>
        <w:ind w:firstLine="708"/>
        <w:jc w:val="both"/>
        <w:rPr>
          <w:rFonts w:ascii="Abadi" w:hAnsi="Abadi" w:cs="Arial"/>
          <w:sz w:val="21"/>
          <w:szCs w:val="21"/>
          <w:lang w:val="es-MX" w:eastAsia="x-none"/>
        </w:rPr>
      </w:pPr>
    </w:p>
    <w:p w14:paraId="13225F40" w14:textId="77777777" w:rsidR="00970E21" w:rsidRPr="00B05937" w:rsidRDefault="00970E21" w:rsidP="00970E21">
      <w:pPr>
        <w:ind w:firstLine="708"/>
        <w:jc w:val="both"/>
        <w:rPr>
          <w:rFonts w:ascii="Abadi" w:hAnsi="Abadi" w:cs="Arial"/>
          <w:sz w:val="21"/>
          <w:szCs w:val="21"/>
          <w:lang w:val="es-MX" w:eastAsia="x-none"/>
        </w:rPr>
      </w:pPr>
    </w:p>
    <w:p w14:paraId="28ACCFAD"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B05937">
          <w:rPr>
            <w:rFonts w:ascii="Abadi" w:hAnsi="Abadi" w:cs="Arial"/>
            <w:sz w:val="21"/>
            <w:szCs w:val="21"/>
            <w:lang w:val="es-MX" w:eastAsia="x-none"/>
          </w:rPr>
          <w:t>la Constitución Política</w:t>
        </w:r>
      </w:smartTag>
      <w:r w:rsidRPr="00B05937">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8A7E6E2" w14:textId="77777777" w:rsidR="00970E21" w:rsidRPr="00B05937" w:rsidRDefault="00970E21" w:rsidP="00970E21">
      <w:pPr>
        <w:ind w:firstLine="708"/>
        <w:jc w:val="both"/>
        <w:rPr>
          <w:rFonts w:ascii="Abadi" w:hAnsi="Abadi" w:cs="Arial"/>
          <w:sz w:val="21"/>
          <w:szCs w:val="21"/>
          <w:lang w:val="es-MX" w:eastAsia="x-none"/>
        </w:rPr>
      </w:pPr>
    </w:p>
    <w:p w14:paraId="2C512712"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054B581" w14:textId="77777777" w:rsidR="00970E21" w:rsidRPr="00B05937" w:rsidRDefault="00970E21" w:rsidP="00970E21">
      <w:pPr>
        <w:ind w:firstLine="708"/>
        <w:jc w:val="both"/>
        <w:rPr>
          <w:rFonts w:ascii="Abadi" w:hAnsi="Abadi" w:cs="Arial"/>
          <w:sz w:val="21"/>
          <w:szCs w:val="21"/>
          <w:lang w:val="es-MX" w:eastAsia="x-none"/>
        </w:rPr>
      </w:pPr>
    </w:p>
    <w:p w14:paraId="0CC3F926"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539CDC4" w14:textId="77777777" w:rsidR="00970E21" w:rsidRPr="007C2894" w:rsidRDefault="00970E21" w:rsidP="00970E21">
      <w:pPr>
        <w:pStyle w:val="Textoindependiente"/>
        <w:ind w:firstLine="708"/>
        <w:rPr>
          <w:rFonts w:ascii="Abadi" w:hAnsi="Abadi"/>
          <w:b w:val="0"/>
          <w:bCs w:val="0"/>
          <w:sz w:val="21"/>
          <w:szCs w:val="21"/>
        </w:rPr>
      </w:pPr>
    </w:p>
    <w:p w14:paraId="2597C36D"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A3103AA" w14:textId="77777777" w:rsidR="00970E21" w:rsidRPr="007C2894" w:rsidRDefault="00970E21" w:rsidP="00970E21">
      <w:pPr>
        <w:pStyle w:val="Textoindependiente"/>
        <w:ind w:firstLine="708"/>
        <w:rPr>
          <w:rFonts w:ascii="Abadi" w:hAnsi="Abadi"/>
          <w:b w:val="0"/>
          <w:bCs w:val="0"/>
          <w:sz w:val="21"/>
          <w:szCs w:val="21"/>
        </w:rPr>
      </w:pPr>
    </w:p>
    <w:p w14:paraId="55666D25"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C2894">
          <w:rPr>
            <w:rFonts w:ascii="Abadi" w:hAnsi="Abadi"/>
            <w:b w:val="0"/>
            <w:bCs w:val="0"/>
            <w:sz w:val="21"/>
            <w:szCs w:val="21"/>
          </w:rPr>
          <w:t>la Ley Orgánica</w:t>
        </w:r>
      </w:smartTag>
      <w:r w:rsidRPr="007C2894">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575FCDB" w14:textId="77777777" w:rsidR="00970E21" w:rsidRPr="007C2894" w:rsidRDefault="00970E21" w:rsidP="00970E21">
      <w:pPr>
        <w:pStyle w:val="Textoindependiente"/>
        <w:ind w:firstLine="708"/>
        <w:rPr>
          <w:rFonts w:ascii="Abadi" w:hAnsi="Abadi"/>
          <w:b w:val="0"/>
          <w:bCs w:val="0"/>
          <w:sz w:val="21"/>
          <w:szCs w:val="21"/>
        </w:rPr>
      </w:pPr>
    </w:p>
    <w:p w14:paraId="2A724449"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8837831" w14:textId="77777777" w:rsidR="007C2894" w:rsidRDefault="007C2894" w:rsidP="00970E21">
      <w:pPr>
        <w:ind w:firstLine="708"/>
        <w:jc w:val="both"/>
        <w:rPr>
          <w:rFonts w:ascii="Abadi" w:hAnsi="Abadi" w:cs="Arial"/>
          <w:sz w:val="21"/>
          <w:szCs w:val="21"/>
          <w:lang w:val="es-MX" w:eastAsia="x-none"/>
        </w:rPr>
      </w:pPr>
    </w:p>
    <w:p w14:paraId="7CB27F7B" w14:textId="291D6A4B" w:rsidR="00970E21" w:rsidRPr="007C2894" w:rsidRDefault="00970E21" w:rsidP="00970E21">
      <w:pPr>
        <w:ind w:firstLine="708"/>
        <w:jc w:val="both"/>
        <w:rPr>
          <w:rFonts w:ascii="Abadi" w:hAnsi="Abadi" w:cs="Arial"/>
          <w:b/>
          <w:bCs/>
          <w:sz w:val="21"/>
          <w:szCs w:val="21"/>
          <w:lang w:val="es-MX" w:eastAsia="x-none"/>
        </w:rPr>
      </w:pPr>
      <w:r w:rsidRPr="007C2894">
        <w:rPr>
          <w:rFonts w:ascii="Abadi" w:hAnsi="Abadi" w:cs="Arial"/>
          <w:b/>
          <w:bCs/>
          <w:sz w:val="21"/>
          <w:szCs w:val="21"/>
          <w:lang w:val="es-MX" w:eastAsia="x-none"/>
        </w:rPr>
        <w:t>II. Antecedentes:</w:t>
      </w:r>
    </w:p>
    <w:p w14:paraId="66D17F27" w14:textId="77777777" w:rsidR="00970E21" w:rsidRPr="007C2894" w:rsidRDefault="00970E21" w:rsidP="00970E21">
      <w:pPr>
        <w:ind w:firstLine="708"/>
        <w:jc w:val="both"/>
        <w:rPr>
          <w:rFonts w:ascii="Abadi" w:hAnsi="Abadi" w:cs="Arial"/>
          <w:b/>
          <w:bCs/>
          <w:sz w:val="21"/>
          <w:szCs w:val="21"/>
          <w:lang w:val="es-MX" w:eastAsia="x-none"/>
        </w:rPr>
      </w:pPr>
    </w:p>
    <w:p w14:paraId="0E07E38C" w14:textId="77777777" w:rsidR="00970E21" w:rsidRPr="007C2894" w:rsidRDefault="00970E21" w:rsidP="00970E21">
      <w:pPr>
        <w:ind w:firstLine="708"/>
        <w:jc w:val="both"/>
        <w:rPr>
          <w:rFonts w:ascii="Abadi" w:hAnsi="Abadi" w:cs="Arial"/>
          <w:sz w:val="21"/>
          <w:szCs w:val="21"/>
          <w:lang w:val="es-MX" w:eastAsia="x-none"/>
        </w:rPr>
      </w:pPr>
      <w:r w:rsidRPr="007C2894">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C2894">
          <w:rPr>
            <w:rFonts w:ascii="Abadi" w:hAnsi="Abadi" w:cs="Arial"/>
            <w:sz w:val="21"/>
            <w:szCs w:val="21"/>
            <w:lang w:val="es-MX" w:eastAsia="x-none"/>
          </w:rPr>
          <w:t>la Constitución Política</w:t>
        </w:r>
      </w:smartTag>
      <w:r w:rsidRPr="007C2894">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FB1264F" w14:textId="77777777" w:rsidR="00970E21" w:rsidRPr="007C2894" w:rsidRDefault="00970E21" w:rsidP="00970E21">
      <w:pPr>
        <w:ind w:firstLine="708"/>
        <w:jc w:val="both"/>
        <w:rPr>
          <w:rFonts w:ascii="Abadi" w:hAnsi="Abadi" w:cs="Arial"/>
          <w:sz w:val="21"/>
          <w:szCs w:val="21"/>
          <w:lang w:val="es-MX" w:eastAsia="x-none"/>
        </w:rPr>
      </w:pPr>
    </w:p>
    <w:p w14:paraId="2A17843C"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Por su parte, el artículo 66 de la Constitución Política Local, establece que los sujetos de fiscalización presentarán al Congreso del Estado los informes financieros </w:t>
      </w:r>
      <w:r w:rsidRPr="007C2894">
        <w:rPr>
          <w:rFonts w:ascii="Abadi" w:hAnsi="Abadi"/>
          <w:b w:val="0"/>
          <w:bCs w:val="0"/>
          <w:sz w:val="21"/>
          <w:szCs w:val="21"/>
        </w:rPr>
        <w:t>y su cuenta pública con la periodicidad, forma y términos que establezca la Ley.</w:t>
      </w:r>
    </w:p>
    <w:p w14:paraId="6338BBF9" w14:textId="77777777" w:rsidR="00970E21" w:rsidRPr="007C2894" w:rsidRDefault="00970E21" w:rsidP="00970E21">
      <w:pPr>
        <w:pStyle w:val="Textoindependiente"/>
        <w:ind w:firstLine="708"/>
        <w:rPr>
          <w:rFonts w:ascii="Abadi" w:hAnsi="Abadi"/>
          <w:b w:val="0"/>
          <w:bCs w:val="0"/>
          <w:sz w:val="21"/>
          <w:szCs w:val="21"/>
        </w:rPr>
      </w:pPr>
    </w:p>
    <w:p w14:paraId="129038EB"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1E453B5" w14:textId="77777777" w:rsidR="00970E21" w:rsidRPr="007C2894" w:rsidRDefault="00970E21" w:rsidP="00970E21">
      <w:pPr>
        <w:pStyle w:val="Textoindependiente"/>
        <w:ind w:firstLine="708"/>
        <w:rPr>
          <w:rFonts w:ascii="Abadi" w:hAnsi="Abadi"/>
          <w:b w:val="0"/>
          <w:bCs w:val="0"/>
          <w:sz w:val="21"/>
          <w:szCs w:val="21"/>
        </w:rPr>
      </w:pPr>
    </w:p>
    <w:p w14:paraId="6F6C1367"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0314FA7" w14:textId="77777777" w:rsidR="00970E21" w:rsidRPr="007C2894" w:rsidRDefault="00970E21" w:rsidP="00970E21">
      <w:pPr>
        <w:pStyle w:val="Textoindependiente"/>
        <w:ind w:firstLine="708"/>
        <w:rPr>
          <w:rFonts w:ascii="Abadi" w:hAnsi="Abadi"/>
          <w:b w:val="0"/>
          <w:bCs w:val="0"/>
          <w:sz w:val="21"/>
          <w:szCs w:val="21"/>
        </w:rPr>
      </w:pPr>
    </w:p>
    <w:p w14:paraId="1EC98F9D"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35973AA0" w14:textId="77777777" w:rsidR="00970E21" w:rsidRPr="00B05937" w:rsidRDefault="00970E21" w:rsidP="00970E21">
      <w:pPr>
        <w:ind w:firstLine="708"/>
        <w:jc w:val="both"/>
        <w:rPr>
          <w:rFonts w:ascii="Abadi" w:hAnsi="Abadi" w:cs="Arial"/>
          <w:sz w:val="21"/>
          <w:szCs w:val="21"/>
          <w:lang w:val="es-MX" w:eastAsia="x-none"/>
        </w:rPr>
      </w:pPr>
    </w:p>
    <w:p w14:paraId="05B0D5A2"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B05937">
          <w:rPr>
            <w:rFonts w:ascii="Abadi" w:hAnsi="Abadi" w:cs="Arial"/>
            <w:sz w:val="21"/>
            <w:szCs w:val="21"/>
            <w:lang w:val="es-MX" w:eastAsia="x-none"/>
          </w:rPr>
          <w:t>la Ley Orgánica</w:t>
        </w:r>
      </w:smartTag>
      <w:r w:rsidRPr="00B05937">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715AF1C" w14:textId="77777777" w:rsidR="00970E21" w:rsidRPr="00B05937" w:rsidRDefault="00970E21" w:rsidP="00970E21">
      <w:pPr>
        <w:ind w:firstLine="708"/>
        <w:jc w:val="both"/>
        <w:rPr>
          <w:rFonts w:ascii="Abadi" w:hAnsi="Abadi" w:cs="Arial"/>
          <w:sz w:val="21"/>
          <w:szCs w:val="21"/>
          <w:lang w:val="es-MX" w:eastAsia="x-none"/>
        </w:rPr>
      </w:pPr>
    </w:p>
    <w:p w14:paraId="75EB9BA3" w14:textId="77777777" w:rsidR="00970E21" w:rsidRPr="00B05937" w:rsidRDefault="00970E21" w:rsidP="00970E21">
      <w:pPr>
        <w:ind w:right="60" w:firstLine="709"/>
        <w:jc w:val="both"/>
        <w:rPr>
          <w:rFonts w:ascii="Abadi" w:hAnsi="Abadi" w:cs="Arial"/>
          <w:sz w:val="21"/>
          <w:szCs w:val="21"/>
          <w:lang w:val="es-MX" w:eastAsia="x-none"/>
        </w:rPr>
      </w:pPr>
      <w:r w:rsidRPr="00B05937">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6ABEAD94" w14:textId="77777777" w:rsidR="00970E21" w:rsidRPr="00B05937" w:rsidRDefault="00970E21" w:rsidP="00970E21">
      <w:pPr>
        <w:ind w:right="58" w:firstLine="709"/>
        <w:jc w:val="both"/>
        <w:rPr>
          <w:rFonts w:ascii="Abadi" w:eastAsia="DejaVu Sans" w:hAnsi="Abadi" w:cs="Tahoma"/>
          <w:iCs/>
          <w:kern w:val="1"/>
          <w:sz w:val="21"/>
          <w:szCs w:val="21"/>
          <w:lang w:eastAsia="ar-SA"/>
        </w:rPr>
      </w:pPr>
    </w:p>
    <w:p w14:paraId="3016003A"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w:t>
      </w:r>
      <w:r w:rsidRPr="00B05937">
        <w:rPr>
          <w:rFonts w:ascii="Abadi" w:hAnsi="Abadi" w:cs="Arial"/>
          <w:sz w:val="21"/>
          <w:szCs w:val="21"/>
          <w:lang w:val="es-MX" w:eastAsia="x-none"/>
        </w:rPr>
        <w:lastRenderedPageBreak/>
        <w:t xml:space="preserve">del Poder Ejecutivo, del Poder Judicial, de los Organismos Autónomos y de los municipios. </w:t>
      </w:r>
    </w:p>
    <w:p w14:paraId="57137567" w14:textId="77777777" w:rsidR="00970E21" w:rsidRPr="00B05937" w:rsidRDefault="00970E21" w:rsidP="00970E21">
      <w:pPr>
        <w:pStyle w:val="Textoindependiente"/>
        <w:ind w:firstLine="708"/>
        <w:rPr>
          <w:rFonts w:ascii="Abadi" w:hAnsi="Abadi"/>
          <w:sz w:val="21"/>
          <w:szCs w:val="21"/>
        </w:rPr>
      </w:pPr>
    </w:p>
    <w:p w14:paraId="208BE36F"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1A0EC32" w14:textId="77777777" w:rsidR="00970E21" w:rsidRPr="007C2894" w:rsidRDefault="00970E21" w:rsidP="00970E21">
      <w:pPr>
        <w:pStyle w:val="Textoindependiente"/>
        <w:ind w:firstLine="708"/>
        <w:rPr>
          <w:rFonts w:ascii="Abadi" w:hAnsi="Abadi"/>
          <w:b w:val="0"/>
          <w:bCs w:val="0"/>
          <w:sz w:val="21"/>
          <w:szCs w:val="21"/>
        </w:rPr>
      </w:pPr>
    </w:p>
    <w:p w14:paraId="05920FF6" w14:textId="77777777" w:rsidR="00970E21" w:rsidRPr="00B05937" w:rsidRDefault="00970E21" w:rsidP="00970E21">
      <w:pPr>
        <w:ind w:right="60" w:firstLine="709"/>
        <w:jc w:val="both"/>
        <w:rPr>
          <w:rFonts w:ascii="Abadi" w:hAnsi="Abadi" w:cs="Arial"/>
          <w:sz w:val="21"/>
          <w:szCs w:val="21"/>
          <w:lang w:val="es-MX" w:eastAsia="x-none"/>
        </w:rPr>
      </w:pPr>
      <w:r w:rsidRPr="00B05937">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F7B0305" w14:textId="77777777" w:rsidR="00970E21" w:rsidRPr="00B05937" w:rsidRDefault="00970E21" w:rsidP="00970E21">
      <w:pPr>
        <w:pStyle w:val="Textoindependiente"/>
        <w:ind w:firstLine="708"/>
        <w:rPr>
          <w:rFonts w:ascii="Abadi" w:hAnsi="Abadi"/>
          <w:sz w:val="21"/>
          <w:szCs w:val="21"/>
        </w:rPr>
      </w:pPr>
    </w:p>
    <w:p w14:paraId="3D2FA890"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8627CAB" w14:textId="77777777" w:rsidR="00970E21" w:rsidRPr="00B05937" w:rsidRDefault="00970E21" w:rsidP="00970E21">
      <w:pPr>
        <w:pStyle w:val="Textoindependiente"/>
        <w:ind w:firstLine="708"/>
        <w:rPr>
          <w:rFonts w:ascii="Abadi" w:hAnsi="Abadi"/>
          <w:sz w:val="21"/>
          <w:szCs w:val="21"/>
        </w:rPr>
      </w:pPr>
    </w:p>
    <w:p w14:paraId="25559C97" w14:textId="77777777" w:rsidR="00970E21" w:rsidRPr="00B05937" w:rsidRDefault="00970E21" w:rsidP="00970E21">
      <w:pPr>
        <w:tabs>
          <w:tab w:val="left" w:pos="709"/>
        </w:tabs>
        <w:jc w:val="both"/>
        <w:rPr>
          <w:rFonts w:ascii="Abadi" w:hAnsi="Abadi" w:cs="Arial"/>
          <w:sz w:val="21"/>
          <w:szCs w:val="21"/>
          <w:lang w:val="es-MX" w:eastAsia="x-none"/>
        </w:rPr>
      </w:pPr>
      <w:r w:rsidRPr="00B05937">
        <w:rPr>
          <w:rFonts w:ascii="Abadi" w:hAnsi="Abadi" w:cs="Arial"/>
          <w:sz w:val="21"/>
          <w:szCs w:val="21"/>
        </w:rPr>
        <w:tab/>
        <w:t xml:space="preserve">El citado artículo también refiere </w:t>
      </w:r>
      <w:r w:rsidRPr="00B05937">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06518FB" w14:textId="77777777" w:rsidR="00970E21" w:rsidRPr="00B05937" w:rsidRDefault="00970E21" w:rsidP="00970E21">
      <w:pPr>
        <w:tabs>
          <w:tab w:val="left" w:pos="709"/>
        </w:tabs>
        <w:jc w:val="both"/>
        <w:rPr>
          <w:rFonts w:ascii="Abadi" w:hAnsi="Abadi" w:cs="Arial"/>
          <w:sz w:val="21"/>
          <w:szCs w:val="21"/>
          <w:lang w:val="es-MX" w:eastAsia="x-none"/>
        </w:rPr>
      </w:pPr>
      <w:r w:rsidRPr="00B05937">
        <w:rPr>
          <w:rFonts w:ascii="Abadi" w:hAnsi="Abadi" w:cs="Arial"/>
          <w:sz w:val="21"/>
          <w:szCs w:val="21"/>
          <w:lang w:val="es-MX" w:eastAsia="x-none"/>
        </w:rPr>
        <w:tab/>
        <w:t xml:space="preserve">En términos del numeral 23 de la </w:t>
      </w:r>
      <w:r w:rsidRPr="00B05937">
        <w:rPr>
          <w:rFonts w:ascii="Abadi" w:hAnsi="Abadi" w:cs="Arial"/>
          <w:sz w:val="21"/>
          <w:szCs w:val="21"/>
        </w:rPr>
        <w:t>Ley de Fiscalización Superior del Estado de Guanajuato, p</w:t>
      </w:r>
      <w:r w:rsidRPr="00B05937">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sujetos de fiscalización en el análisis de la </w:t>
      </w:r>
      <w:r w:rsidRPr="00B05937">
        <w:rPr>
          <w:rFonts w:ascii="Abadi" w:hAnsi="Abadi" w:cs="Arial"/>
          <w:sz w:val="21"/>
          <w:szCs w:val="21"/>
          <w:lang w:val="es-MX" w:eastAsia="x-none"/>
        </w:rPr>
        <w:t>información financiera trimestral y la evidencia que las sustenta.</w:t>
      </w:r>
    </w:p>
    <w:p w14:paraId="217C4401" w14:textId="77777777" w:rsidR="00970E21" w:rsidRPr="00B05937" w:rsidRDefault="00970E21" w:rsidP="00970E21">
      <w:pPr>
        <w:tabs>
          <w:tab w:val="left" w:pos="709"/>
        </w:tabs>
        <w:jc w:val="both"/>
        <w:rPr>
          <w:rFonts w:ascii="Abadi" w:hAnsi="Abadi" w:cs="Arial"/>
          <w:sz w:val="21"/>
          <w:szCs w:val="21"/>
          <w:lang w:val="es-MX" w:eastAsia="x-none"/>
        </w:rPr>
      </w:pPr>
    </w:p>
    <w:p w14:paraId="3749A6A4" w14:textId="77777777" w:rsidR="00970E21" w:rsidRPr="00B05937" w:rsidRDefault="00970E21" w:rsidP="00970E21">
      <w:pPr>
        <w:pStyle w:val="Texto"/>
        <w:spacing w:after="0" w:line="240" w:lineRule="auto"/>
        <w:ind w:firstLine="708"/>
        <w:rPr>
          <w:rFonts w:ascii="Abadi" w:hAnsi="Abadi" w:cs="Arial"/>
          <w:sz w:val="21"/>
          <w:szCs w:val="21"/>
          <w:lang w:val="es-MX"/>
        </w:rPr>
      </w:pPr>
      <w:r w:rsidRPr="00B05937">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1F8AB7F9" w14:textId="77777777" w:rsidR="00970E21" w:rsidRPr="00B05937" w:rsidRDefault="00970E21" w:rsidP="00970E21">
      <w:pPr>
        <w:pStyle w:val="Texto"/>
        <w:spacing w:after="0" w:line="240" w:lineRule="auto"/>
        <w:ind w:firstLine="708"/>
        <w:rPr>
          <w:rFonts w:ascii="Abadi" w:hAnsi="Abadi" w:cs="Arial"/>
          <w:sz w:val="21"/>
          <w:szCs w:val="21"/>
          <w:lang w:val="es-MX"/>
        </w:rPr>
      </w:pPr>
    </w:p>
    <w:p w14:paraId="27C08F7E" w14:textId="77777777" w:rsidR="00970E21" w:rsidRPr="00B05937" w:rsidRDefault="00970E21" w:rsidP="00970E21">
      <w:pPr>
        <w:pStyle w:val="Texto"/>
        <w:spacing w:after="0" w:line="240" w:lineRule="auto"/>
        <w:ind w:firstLine="708"/>
        <w:rPr>
          <w:rFonts w:ascii="Abadi" w:hAnsi="Abadi" w:cs="Arial"/>
          <w:sz w:val="21"/>
          <w:szCs w:val="21"/>
          <w:lang w:val="es-MX"/>
        </w:rPr>
      </w:pPr>
      <w:r w:rsidRPr="00B05937">
        <w:rPr>
          <w:rFonts w:ascii="Abadi" w:hAnsi="Abadi" w:cs="Arial"/>
          <w:sz w:val="21"/>
          <w:szCs w:val="21"/>
          <w:lang w:val="es-MX"/>
        </w:rPr>
        <w:t xml:space="preserve">En cumplimiento a los citados preceptos, en su oportunidad se remitió a este Congreso del Estado, la cuenta pública municipal de Purísima del Rincón, </w:t>
      </w:r>
      <w:proofErr w:type="spellStart"/>
      <w:r w:rsidRPr="00B05937">
        <w:rPr>
          <w:rFonts w:ascii="Abadi" w:hAnsi="Abadi" w:cs="Arial"/>
          <w:sz w:val="21"/>
          <w:szCs w:val="21"/>
          <w:lang w:val="es-MX"/>
        </w:rPr>
        <w:t>Gto</w:t>
      </w:r>
      <w:proofErr w:type="spellEnd"/>
      <w:r w:rsidRPr="00B05937">
        <w:rPr>
          <w:rFonts w:ascii="Abadi" w:hAnsi="Abadi" w:cs="Arial"/>
          <w:sz w:val="21"/>
          <w:szCs w:val="21"/>
          <w:lang w:val="es-MX"/>
        </w:rPr>
        <w:t>., correspondiente al ejercicio fiscal del año 2021, turnándose a la Auditoría Superior del Estado para su revisión.</w:t>
      </w:r>
    </w:p>
    <w:p w14:paraId="214DABEB" w14:textId="77777777" w:rsidR="00970E21" w:rsidRPr="00B05937" w:rsidRDefault="00970E21" w:rsidP="00970E21">
      <w:pPr>
        <w:pStyle w:val="Textoindependiente"/>
        <w:ind w:firstLine="708"/>
        <w:rPr>
          <w:rFonts w:ascii="Abadi" w:hAnsi="Abadi"/>
          <w:sz w:val="21"/>
          <w:szCs w:val="21"/>
        </w:rPr>
      </w:pPr>
    </w:p>
    <w:p w14:paraId="3BC9135D"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2BF8AB15" w14:textId="77777777" w:rsidR="00970E21" w:rsidRPr="007C2894" w:rsidRDefault="00970E21" w:rsidP="00970E21">
      <w:pPr>
        <w:pStyle w:val="Textoindependiente"/>
        <w:ind w:firstLine="708"/>
        <w:rPr>
          <w:rFonts w:ascii="Abadi" w:hAnsi="Abadi"/>
          <w:b w:val="0"/>
          <w:bCs w:val="0"/>
          <w:sz w:val="21"/>
          <w:szCs w:val="21"/>
        </w:rPr>
      </w:pPr>
    </w:p>
    <w:p w14:paraId="7DC8055D"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correspondiente al ejercicio fiscal del año 2021.</w:t>
      </w:r>
    </w:p>
    <w:p w14:paraId="7D82BE96" w14:textId="77777777" w:rsidR="00970E21" w:rsidRPr="00B05937" w:rsidRDefault="00970E21" w:rsidP="00970E21">
      <w:pPr>
        <w:ind w:firstLine="708"/>
        <w:jc w:val="both"/>
        <w:rPr>
          <w:rFonts w:ascii="Abadi" w:hAnsi="Abadi" w:cs="Arial"/>
          <w:sz w:val="21"/>
          <w:szCs w:val="21"/>
          <w:lang w:val="es-MX" w:eastAsia="x-none"/>
        </w:rPr>
      </w:pPr>
    </w:p>
    <w:p w14:paraId="1BD67FCC"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B05937">
        <w:rPr>
          <w:rFonts w:ascii="Abadi" w:hAnsi="Abadi" w:cs="Arial"/>
          <w:bCs/>
          <w:sz w:val="21"/>
          <w:szCs w:val="21"/>
          <w:lang w:val="es-MX" w:eastAsia="x-none"/>
        </w:rPr>
        <w:t>el 30 de marzo de 2023,</w:t>
      </w:r>
      <w:r w:rsidRPr="00B05937">
        <w:rPr>
          <w:rFonts w:ascii="Abadi" w:hAnsi="Abadi" w:cs="Arial"/>
          <w:sz w:val="21"/>
          <w:szCs w:val="21"/>
          <w:lang w:val="es-MX" w:eastAsia="x-none"/>
        </w:rPr>
        <w:t xml:space="preserve"> para su estudio y dictamen,</w:t>
      </w:r>
      <w:r w:rsidRPr="00B05937">
        <w:rPr>
          <w:rFonts w:ascii="Abadi" w:hAnsi="Abadi" w:cs="Arial"/>
          <w:b/>
          <w:sz w:val="21"/>
          <w:szCs w:val="21"/>
          <w:lang w:val="es-MX" w:eastAsia="x-none"/>
        </w:rPr>
        <w:t xml:space="preserve"> </w:t>
      </w:r>
      <w:r w:rsidRPr="00B05937">
        <w:rPr>
          <w:rFonts w:ascii="Abadi" w:hAnsi="Abadi" w:cs="Arial"/>
          <w:sz w:val="21"/>
          <w:szCs w:val="21"/>
          <w:lang w:val="es-MX" w:eastAsia="x-none"/>
        </w:rPr>
        <w:t>siendo radicado el 11 de abril del año en curso.</w:t>
      </w:r>
    </w:p>
    <w:p w14:paraId="0EF17FF7" w14:textId="77777777" w:rsidR="00970E21" w:rsidRPr="00B05937" w:rsidRDefault="00970E21" w:rsidP="00970E21">
      <w:pPr>
        <w:ind w:firstLine="708"/>
        <w:jc w:val="both"/>
        <w:rPr>
          <w:rFonts w:ascii="Abadi" w:hAnsi="Abadi" w:cs="Arial"/>
          <w:sz w:val="21"/>
          <w:szCs w:val="21"/>
          <w:lang w:val="es-MX" w:eastAsia="x-none"/>
        </w:rPr>
      </w:pPr>
    </w:p>
    <w:p w14:paraId="61C6EBD0" w14:textId="77777777" w:rsidR="00970E21" w:rsidRPr="00B05937" w:rsidRDefault="00970E21" w:rsidP="00970E21">
      <w:pPr>
        <w:ind w:firstLine="708"/>
        <w:jc w:val="both"/>
        <w:rPr>
          <w:rFonts w:ascii="Abadi" w:hAnsi="Abadi" w:cs="Arial"/>
          <w:sz w:val="21"/>
          <w:szCs w:val="21"/>
          <w:lang w:val="es-MX" w:eastAsia="x-none"/>
        </w:rPr>
      </w:pPr>
    </w:p>
    <w:p w14:paraId="27517689" w14:textId="77777777" w:rsidR="00970E21" w:rsidRPr="007C2894" w:rsidRDefault="00970E21" w:rsidP="00970E21">
      <w:pPr>
        <w:pStyle w:val="Textoindependiente"/>
        <w:ind w:firstLine="708"/>
        <w:rPr>
          <w:rFonts w:ascii="Abadi" w:hAnsi="Abadi"/>
          <w:sz w:val="21"/>
          <w:szCs w:val="21"/>
        </w:rPr>
      </w:pPr>
      <w:r w:rsidRPr="007C2894">
        <w:rPr>
          <w:rFonts w:ascii="Abadi" w:hAnsi="Abadi"/>
          <w:sz w:val="21"/>
          <w:szCs w:val="21"/>
        </w:rPr>
        <w:t>III. Procedimiento de Revisión:</w:t>
      </w:r>
    </w:p>
    <w:p w14:paraId="7B3D35CA" w14:textId="77777777" w:rsidR="00970E21" w:rsidRPr="007C2894" w:rsidRDefault="00970E21" w:rsidP="00970E21">
      <w:pPr>
        <w:pStyle w:val="Textoindependiente"/>
        <w:ind w:firstLine="708"/>
        <w:rPr>
          <w:rFonts w:ascii="Abadi" w:hAnsi="Abadi"/>
          <w:b w:val="0"/>
          <w:bCs w:val="0"/>
          <w:sz w:val="21"/>
          <w:szCs w:val="21"/>
        </w:rPr>
      </w:pPr>
    </w:p>
    <w:p w14:paraId="76458648"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La revisión de la cuenta pública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43D7AC1" w14:textId="77777777" w:rsidR="00970E21" w:rsidRPr="007C2894" w:rsidRDefault="00970E21" w:rsidP="00970E21">
      <w:pPr>
        <w:pStyle w:val="Textoindependiente"/>
        <w:ind w:firstLine="708"/>
        <w:rPr>
          <w:rFonts w:ascii="Abadi" w:hAnsi="Abadi"/>
          <w:b w:val="0"/>
          <w:bCs w:val="0"/>
          <w:sz w:val="21"/>
          <w:szCs w:val="21"/>
        </w:rPr>
      </w:pPr>
    </w:p>
    <w:p w14:paraId="259B2F08"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w:t>
      </w:r>
      <w:r w:rsidRPr="00B05937">
        <w:rPr>
          <w:rFonts w:ascii="Abadi" w:hAnsi="Abadi"/>
          <w:sz w:val="21"/>
          <w:szCs w:val="21"/>
        </w:rPr>
        <w:t xml:space="preserve"> </w:t>
      </w:r>
      <w:r w:rsidRPr="007C2894">
        <w:rPr>
          <w:rFonts w:ascii="Abadi" w:hAnsi="Abadi"/>
          <w:b w:val="0"/>
          <w:bCs w:val="0"/>
          <w:sz w:val="21"/>
          <w:szCs w:val="21"/>
        </w:rPr>
        <w:t>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4D68157B" w14:textId="77777777" w:rsidR="00970E21" w:rsidRPr="00B05937" w:rsidRDefault="00970E21" w:rsidP="00970E21">
      <w:pPr>
        <w:pStyle w:val="Textoindependiente"/>
        <w:ind w:firstLine="708"/>
        <w:rPr>
          <w:rFonts w:ascii="Abadi" w:hAnsi="Abadi"/>
          <w:sz w:val="21"/>
          <w:szCs w:val="21"/>
        </w:rPr>
      </w:pPr>
    </w:p>
    <w:p w14:paraId="2D0CE5C7"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2D7D1D1" w14:textId="77777777" w:rsidR="00970E21" w:rsidRPr="00B05937" w:rsidRDefault="00970E21" w:rsidP="00970E21">
      <w:pPr>
        <w:pStyle w:val="Textoindependiente"/>
        <w:ind w:firstLine="708"/>
        <w:rPr>
          <w:rFonts w:ascii="Abadi" w:hAnsi="Abadi"/>
          <w:sz w:val="21"/>
          <w:szCs w:val="21"/>
        </w:rPr>
      </w:pPr>
    </w:p>
    <w:p w14:paraId="17FFE93F" w14:textId="77777777" w:rsidR="00970E21" w:rsidRPr="00B05937" w:rsidRDefault="00970E21" w:rsidP="00970E21">
      <w:pPr>
        <w:pStyle w:val="Textoindependiente"/>
        <w:ind w:firstLine="708"/>
        <w:rPr>
          <w:rFonts w:ascii="Abadi" w:hAnsi="Abadi"/>
          <w:sz w:val="21"/>
          <w:szCs w:val="21"/>
        </w:rPr>
      </w:pPr>
    </w:p>
    <w:p w14:paraId="4FA3CFCE"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A67FB55" w14:textId="77777777" w:rsidR="00970E21" w:rsidRPr="00B05937" w:rsidRDefault="00970E21" w:rsidP="00970E21">
      <w:pPr>
        <w:pStyle w:val="Textoindependiente"/>
        <w:ind w:firstLine="708"/>
        <w:rPr>
          <w:rFonts w:ascii="Abadi" w:hAnsi="Abadi"/>
          <w:sz w:val="21"/>
          <w:szCs w:val="21"/>
        </w:rPr>
      </w:pPr>
    </w:p>
    <w:p w14:paraId="6221E27D"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 xml:space="preserve">El informe de resultados establece que se practicó la revisión de la cuenta pública respecto de las operaciones realizadas por la administración pública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correspondientes al ejercicio fiscal 2021, en lo referente a los apartados de ingresos y egresos.</w:t>
      </w:r>
    </w:p>
    <w:p w14:paraId="48FAC3DB" w14:textId="77777777" w:rsidR="00970E21" w:rsidRPr="00B05937" w:rsidRDefault="00970E21" w:rsidP="00970E21">
      <w:pPr>
        <w:pStyle w:val="Textoindependiente"/>
        <w:ind w:firstLine="705"/>
        <w:rPr>
          <w:rFonts w:ascii="Abadi" w:hAnsi="Abadi"/>
          <w:sz w:val="21"/>
          <w:szCs w:val="21"/>
        </w:rPr>
      </w:pPr>
    </w:p>
    <w:p w14:paraId="5738785B" w14:textId="77777777" w:rsidR="00970E21" w:rsidRPr="00B05937" w:rsidRDefault="00970E21" w:rsidP="00970E21">
      <w:pPr>
        <w:autoSpaceDE w:val="0"/>
        <w:autoSpaceDN w:val="0"/>
        <w:adjustRightInd w:val="0"/>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w:t>
      </w:r>
      <w:r w:rsidRPr="00B05937">
        <w:rPr>
          <w:rFonts w:ascii="Abadi" w:hAnsi="Abadi" w:cs="Arial"/>
          <w:sz w:val="21"/>
          <w:szCs w:val="21"/>
          <w:lang w:val="es-MX" w:eastAsia="x-none"/>
        </w:rPr>
        <w:lastRenderedPageBreak/>
        <w:t xml:space="preserve">con la finalidad de expresar una opinión sobre la eficiencia del mismo. </w:t>
      </w:r>
    </w:p>
    <w:p w14:paraId="2C6E260F" w14:textId="77777777" w:rsidR="00970E21" w:rsidRPr="00B05937" w:rsidRDefault="00970E21" w:rsidP="00970E21">
      <w:pPr>
        <w:autoSpaceDE w:val="0"/>
        <w:autoSpaceDN w:val="0"/>
        <w:adjustRightInd w:val="0"/>
        <w:ind w:firstLine="708"/>
        <w:jc w:val="both"/>
        <w:rPr>
          <w:rFonts w:ascii="Abadi" w:hAnsi="Abadi" w:cs="Arial"/>
          <w:sz w:val="21"/>
          <w:szCs w:val="21"/>
          <w:lang w:val="es-MX" w:eastAsia="x-none"/>
        </w:rPr>
      </w:pPr>
    </w:p>
    <w:p w14:paraId="65708DA9" w14:textId="77777777" w:rsidR="00970E21" w:rsidRPr="00B05937" w:rsidRDefault="00970E21" w:rsidP="00970E21">
      <w:pPr>
        <w:ind w:firstLine="708"/>
        <w:jc w:val="both"/>
        <w:rPr>
          <w:rFonts w:ascii="Abadi" w:hAnsi="Abadi" w:cs="Arial"/>
          <w:sz w:val="21"/>
          <w:szCs w:val="21"/>
          <w:lang w:val="es-MX" w:eastAsia="x-none"/>
        </w:rPr>
      </w:pPr>
    </w:p>
    <w:p w14:paraId="29F788C7" w14:textId="77777777" w:rsidR="00970E21" w:rsidRPr="00B05937" w:rsidRDefault="00970E21" w:rsidP="00970E21">
      <w:pPr>
        <w:ind w:firstLine="708"/>
        <w:jc w:val="both"/>
        <w:rPr>
          <w:rFonts w:ascii="Abadi" w:hAnsi="Abadi" w:cs="Arial"/>
          <w:sz w:val="21"/>
          <w:szCs w:val="21"/>
          <w:lang w:val="es-MX" w:eastAsia="x-none"/>
        </w:rPr>
      </w:pPr>
      <w:r w:rsidRPr="00B05937">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B05937">
        <w:rPr>
          <w:rFonts w:ascii="Abadi" w:hAnsi="Abadi" w:cs="Arial"/>
          <w:sz w:val="21"/>
          <w:szCs w:val="21"/>
          <w:lang w:val="es-MX" w:eastAsia="x-none"/>
        </w:rPr>
        <w:t>fiscalizado</w:t>
      </w:r>
      <w:proofErr w:type="spellEnd"/>
      <w:r w:rsidRPr="00B05937">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184701DA" w14:textId="77777777" w:rsidR="00970E21" w:rsidRPr="00B05937" w:rsidRDefault="00970E21" w:rsidP="00970E21">
      <w:pPr>
        <w:ind w:firstLine="708"/>
        <w:jc w:val="both"/>
        <w:rPr>
          <w:rFonts w:ascii="Abadi" w:hAnsi="Abadi" w:cs="Arial"/>
          <w:sz w:val="21"/>
          <w:szCs w:val="21"/>
          <w:lang w:val="es-MX" w:eastAsia="x-none"/>
        </w:rPr>
      </w:pPr>
    </w:p>
    <w:p w14:paraId="771ECD93"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El 30 de junio de 2022 se notificó al presidente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la orden de inicio del procedimiento de revisión de la cuenta pública.</w:t>
      </w:r>
    </w:p>
    <w:p w14:paraId="73C1883F" w14:textId="77777777" w:rsidR="00970E21" w:rsidRPr="00B05937" w:rsidRDefault="00970E21" w:rsidP="00970E21">
      <w:pPr>
        <w:ind w:firstLine="708"/>
        <w:jc w:val="both"/>
        <w:rPr>
          <w:rFonts w:ascii="Abadi" w:hAnsi="Abadi" w:cs="Arial"/>
          <w:sz w:val="21"/>
          <w:szCs w:val="21"/>
        </w:rPr>
      </w:pPr>
    </w:p>
    <w:p w14:paraId="6294BEDD"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El 28 de noviembre de 2022 se notificó al presidente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7F6B065D" w14:textId="77777777" w:rsidR="00970E21" w:rsidRPr="00B05937" w:rsidRDefault="00970E21" w:rsidP="00970E21">
      <w:pPr>
        <w:ind w:firstLine="708"/>
        <w:jc w:val="both"/>
        <w:rPr>
          <w:rFonts w:ascii="Abadi" w:hAnsi="Abadi" w:cs="Arial"/>
          <w:sz w:val="21"/>
          <w:szCs w:val="21"/>
        </w:rPr>
      </w:pPr>
    </w:p>
    <w:p w14:paraId="47E01512"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Posteriormente, el 22 de febrero de 2023, se notificó al presidente y al ex presidente municipales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xml:space="preserve">., el pliego de observaciones y recomendaciones derivado de la revisión practicada a la cuenta pública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xml:space="preserve">., correspondiente al ejercicio fiscal del año 2021, al cual se dio respuesta el 15 de marzo de 2023, por parte del presidente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w:t>
      </w:r>
    </w:p>
    <w:p w14:paraId="7A9533F8" w14:textId="77777777" w:rsidR="00970E21" w:rsidRPr="00B05937" w:rsidRDefault="00970E21" w:rsidP="00970E21">
      <w:pPr>
        <w:ind w:firstLine="708"/>
        <w:jc w:val="both"/>
        <w:rPr>
          <w:rFonts w:ascii="Abadi" w:hAnsi="Abadi" w:cs="Arial"/>
          <w:sz w:val="21"/>
          <w:szCs w:val="21"/>
        </w:rPr>
      </w:pPr>
    </w:p>
    <w:p w14:paraId="48F7A887"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El 16 de marzo de 2023, el informe de resultados se notificó al presidente y al ex presidente municipales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0093190" w14:textId="77777777" w:rsidR="00970E21" w:rsidRPr="007C2894" w:rsidRDefault="00970E21" w:rsidP="00970E21">
      <w:pPr>
        <w:pStyle w:val="Textoindependiente"/>
        <w:ind w:firstLine="708"/>
        <w:rPr>
          <w:rFonts w:ascii="Abadi" w:hAnsi="Abadi"/>
          <w:b w:val="0"/>
          <w:bCs w:val="0"/>
          <w:sz w:val="21"/>
          <w:szCs w:val="21"/>
        </w:rPr>
      </w:pPr>
    </w:p>
    <w:p w14:paraId="5BBF3814"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El 24 de marzo de 2023, dentro del plazo que prevé la fracción IV del artículo 37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 el presidente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w:t>
      </w:r>
    </w:p>
    <w:p w14:paraId="51D73E24" w14:textId="77777777" w:rsidR="00970E21" w:rsidRPr="00B05937" w:rsidRDefault="00970E21" w:rsidP="00970E21">
      <w:pPr>
        <w:ind w:firstLine="708"/>
        <w:jc w:val="both"/>
        <w:rPr>
          <w:rFonts w:ascii="Abadi" w:hAnsi="Abadi"/>
          <w:sz w:val="21"/>
          <w:szCs w:val="21"/>
        </w:rPr>
      </w:pPr>
    </w:p>
    <w:p w14:paraId="4977D3FA"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Una vez tramitado el recurso, el Auditor Superior el 27 de marzo de 2023 emitió la resolución correspondiente, a la cual haremos referencia en un apartado posterior, misma que se notificó al presidente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el 28 de marzo de 2023.</w:t>
      </w:r>
    </w:p>
    <w:p w14:paraId="150C030D" w14:textId="77777777" w:rsidR="00970E21" w:rsidRPr="007C2894" w:rsidRDefault="00970E21" w:rsidP="00970E21">
      <w:pPr>
        <w:pStyle w:val="Textoindependiente"/>
        <w:ind w:firstLine="708"/>
        <w:rPr>
          <w:rFonts w:ascii="Abadi" w:hAnsi="Abadi"/>
          <w:b w:val="0"/>
          <w:bCs w:val="0"/>
          <w:sz w:val="21"/>
          <w:szCs w:val="21"/>
        </w:rPr>
      </w:pPr>
    </w:p>
    <w:p w14:paraId="08DDCC6A" w14:textId="77777777" w:rsidR="00970E21" w:rsidRPr="007C2894" w:rsidRDefault="00970E21" w:rsidP="00970E21">
      <w:pPr>
        <w:pStyle w:val="Textoindependiente"/>
        <w:ind w:firstLine="708"/>
        <w:rPr>
          <w:rFonts w:ascii="Abadi" w:hAnsi="Abadi"/>
          <w:sz w:val="21"/>
          <w:szCs w:val="21"/>
        </w:rPr>
      </w:pPr>
      <w:r w:rsidRPr="007C2894">
        <w:rPr>
          <w:rFonts w:ascii="Abadi" w:hAnsi="Abadi"/>
          <w:sz w:val="21"/>
          <w:szCs w:val="21"/>
        </w:rPr>
        <w:t>IV. Contenido del Informe de Resultados:</w:t>
      </w:r>
    </w:p>
    <w:p w14:paraId="3FF7A4F2" w14:textId="77777777" w:rsidR="00970E21" w:rsidRPr="007C2894" w:rsidRDefault="00970E21" w:rsidP="00970E21">
      <w:pPr>
        <w:pStyle w:val="Textoindependiente"/>
        <w:rPr>
          <w:rFonts w:ascii="Abadi" w:hAnsi="Abadi"/>
          <w:sz w:val="21"/>
          <w:szCs w:val="21"/>
        </w:rPr>
      </w:pPr>
    </w:p>
    <w:p w14:paraId="1A7FB8B9" w14:textId="77777777" w:rsidR="00970E21" w:rsidRPr="007C2894" w:rsidRDefault="00970E21" w:rsidP="00970E21">
      <w:pPr>
        <w:pStyle w:val="Textoindependiente"/>
        <w:rPr>
          <w:rFonts w:ascii="Abadi" w:hAnsi="Abadi"/>
          <w:b w:val="0"/>
          <w:sz w:val="21"/>
          <w:szCs w:val="21"/>
        </w:rPr>
      </w:pPr>
      <w:r w:rsidRPr="00B05937">
        <w:rPr>
          <w:rFonts w:ascii="Abadi" w:hAnsi="Abadi"/>
          <w:b w:val="0"/>
          <w:bCs w:val="0"/>
          <w:sz w:val="21"/>
          <w:szCs w:val="21"/>
        </w:rPr>
        <w:tab/>
      </w:r>
      <w:r w:rsidRPr="007C2894">
        <w:rPr>
          <w:rFonts w:ascii="Abadi" w:hAnsi="Abadi"/>
          <w:b w:val="0"/>
          <w:sz w:val="21"/>
          <w:szCs w:val="21"/>
        </w:rPr>
        <w:t>En cumplimiento a lo establecido por el artículo 37, fracción III de la Ley de Fiscalización Superior del Estado, el informe de resultados contiene los siguientes apartados:</w:t>
      </w:r>
    </w:p>
    <w:p w14:paraId="30DE5EC2" w14:textId="77777777" w:rsidR="00970E21" w:rsidRPr="00B05937" w:rsidRDefault="00970E21" w:rsidP="00970E21">
      <w:pPr>
        <w:pStyle w:val="Textoindependiente"/>
        <w:rPr>
          <w:rFonts w:ascii="Abadi" w:hAnsi="Abadi"/>
          <w:sz w:val="21"/>
          <w:szCs w:val="21"/>
        </w:rPr>
      </w:pPr>
    </w:p>
    <w:p w14:paraId="5DE6123D" w14:textId="77777777" w:rsidR="00970E21" w:rsidRPr="007C2894" w:rsidRDefault="00970E21" w:rsidP="00427BD6">
      <w:pPr>
        <w:pStyle w:val="Textoindependiente"/>
        <w:numPr>
          <w:ilvl w:val="0"/>
          <w:numId w:val="9"/>
        </w:numPr>
        <w:autoSpaceDE/>
        <w:autoSpaceDN/>
        <w:rPr>
          <w:rFonts w:ascii="Abadi" w:hAnsi="Abadi"/>
          <w:sz w:val="21"/>
          <w:szCs w:val="21"/>
        </w:rPr>
      </w:pPr>
      <w:r w:rsidRPr="007C2894">
        <w:rPr>
          <w:rFonts w:ascii="Abadi" w:hAnsi="Abadi"/>
          <w:sz w:val="21"/>
          <w:szCs w:val="21"/>
        </w:rPr>
        <w:t>Introducción.</w:t>
      </w:r>
    </w:p>
    <w:p w14:paraId="5E569F3A" w14:textId="77777777" w:rsidR="00970E21" w:rsidRPr="007C2894" w:rsidRDefault="00970E21" w:rsidP="00970E21">
      <w:pPr>
        <w:pStyle w:val="Textoindependiente"/>
        <w:ind w:left="705"/>
        <w:rPr>
          <w:rFonts w:ascii="Abadi" w:hAnsi="Abadi"/>
          <w:b w:val="0"/>
          <w:bCs w:val="0"/>
          <w:sz w:val="21"/>
          <w:szCs w:val="21"/>
        </w:rPr>
      </w:pPr>
    </w:p>
    <w:p w14:paraId="3C275195"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4B718EFB" w14:textId="77777777" w:rsidR="00970E21" w:rsidRPr="007C2894" w:rsidRDefault="00970E21" w:rsidP="00970E21">
      <w:pPr>
        <w:pStyle w:val="Textoindependiente"/>
        <w:ind w:firstLine="705"/>
        <w:rPr>
          <w:rFonts w:ascii="Abadi" w:hAnsi="Abadi"/>
          <w:b w:val="0"/>
          <w:bCs w:val="0"/>
          <w:sz w:val="21"/>
          <w:szCs w:val="21"/>
        </w:rPr>
      </w:pPr>
    </w:p>
    <w:p w14:paraId="5E870275"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7C762315" w14:textId="77777777" w:rsidR="00970E21" w:rsidRPr="007C2894" w:rsidRDefault="00970E21" w:rsidP="00970E21">
      <w:pPr>
        <w:pStyle w:val="Textoindependiente"/>
        <w:ind w:firstLine="705"/>
        <w:rPr>
          <w:rFonts w:ascii="Abadi" w:hAnsi="Abadi"/>
          <w:b w:val="0"/>
          <w:bCs w:val="0"/>
          <w:sz w:val="21"/>
          <w:szCs w:val="21"/>
        </w:rPr>
      </w:pPr>
    </w:p>
    <w:p w14:paraId="5B2CE200"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3E70020" w14:textId="77777777" w:rsidR="00970E21" w:rsidRPr="007C2894" w:rsidRDefault="00970E21" w:rsidP="00970E21">
      <w:pPr>
        <w:pStyle w:val="Textoindependiente"/>
        <w:ind w:firstLine="705"/>
        <w:rPr>
          <w:rFonts w:ascii="Abadi" w:hAnsi="Abadi"/>
          <w:b w:val="0"/>
          <w:bCs w:val="0"/>
          <w:sz w:val="21"/>
          <w:szCs w:val="21"/>
        </w:rPr>
      </w:pPr>
    </w:p>
    <w:p w14:paraId="2FFCBB92" w14:textId="77777777" w:rsidR="00970E21" w:rsidRPr="00B05937" w:rsidRDefault="00970E21" w:rsidP="00970E21">
      <w:pPr>
        <w:jc w:val="both"/>
        <w:rPr>
          <w:rFonts w:ascii="Abadi" w:hAnsi="Abadi" w:cs="Arial"/>
          <w:i/>
          <w:iCs/>
          <w:sz w:val="21"/>
          <w:szCs w:val="21"/>
          <w:lang w:eastAsia="x-none"/>
        </w:rPr>
      </w:pPr>
      <w:r w:rsidRPr="00B05937">
        <w:rPr>
          <w:rFonts w:ascii="Abadi" w:hAnsi="Abadi" w:cs="Arial"/>
          <w:i/>
          <w:iCs/>
          <w:sz w:val="21"/>
          <w:szCs w:val="21"/>
          <w:lang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0DB491C1" w14:textId="77777777" w:rsidR="00970E21" w:rsidRPr="00B05937" w:rsidRDefault="00970E21" w:rsidP="00970E21">
      <w:pPr>
        <w:rPr>
          <w:rFonts w:ascii="Abadi" w:hAnsi="Abadi" w:cs="Arial"/>
          <w:i/>
          <w:iCs/>
          <w:sz w:val="21"/>
          <w:szCs w:val="21"/>
          <w:lang w:eastAsia="x-none"/>
        </w:rPr>
      </w:pPr>
    </w:p>
    <w:p w14:paraId="6348580D" w14:textId="77777777" w:rsidR="00970E21" w:rsidRPr="00B05937" w:rsidRDefault="00970E21" w:rsidP="00970E21">
      <w:pPr>
        <w:jc w:val="both"/>
        <w:rPr>
          <w:rFonts w:ascii="Abadi" w:hAnsi="Abadi" w:cs="Arial"/>
          <w:i/>
          <w:iCs/>
          <w:sz w:val="21"/>
          <w:szCs w:val="21"/>
          <w:lang w:eastAsia="x-none"/>
        </w:rPr>
      </w:pPr>
      <w:r w:rsidRPr="00B05937">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966DABD" w14:textId="77777777" w:rsidR="00970E21" w:rsidRPr="00B05937" w:rsidRDefault="00970E21" w:rsidP="00970E21">
      <w:pPr>
        <w:jc w:val="both"/>
        <w:rPr>
          <w:rFonts w:ascii="Abadi" w:hAnsi="Abadi" w:cs="Arial"/>
          <w:i/>
          <w:iCs/>
          <w:sz w:val="21"/>
          <w:szCs w:val="21"/>
          <w:lang w:eastAsia="x-none"/>
        </w:rPr>
      </w:pPr>
    </w:p>
    <w:p w14:paraId="29E273B5" w14:textId="77777777" w:rsidR="00970E21" w:rsidRPr="00B05937" w:rsidRDefault="00970E21" w:rsidP="00970E21">
      <w:pPr>
        <w:jc w:val="both"/>
        <w:rPr>
          <w:rFonts w:ascii="Abadi" w:hAnsi="Abadi" w:cs="Arial"/>
          <w:i/>
          <w:iCs/>
          <w:sz w:val="21"/>
          <w:szCs w:val="21"/>
          <w:lang w:eastAsia="x-none"/>
        </w:rPr>
      </w:pPr>
      <w:r w:rsidRPr="00B05937">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F7DA192" w14:textId="77777777" w:rsidR="00970E21" w:rsidRPr="00B05937" w:rsidRDefault="00970E21" w:rsidP="00970E21">
      <w:pPr>
        <w:jc w:val="both"/>
        <w:rPr>
          <w:rFonts w:ascii="Abadi" w:hAnsi="Abadi" w:cs="Arial"/>
          <w:i/>
          <w:iCs/>
          <w:sz w:val="21"/>
          <w:szCs w:val="21"/>
          <w:lang w:eastAsia="x-none"/>
        </w:rPr>
      </w:pPr>
    </w:p>
    <w:p w14:paraId="41AC4E6F" w14:textId="77777777" w:rsidR="00970E21" w:rsidRPr="00B05937" w:rsidRDefault="00970E21" w:rsidP="00970E21">
      <w:pPr>
        <w:ind w:firstLine="705"/>
        <w:jc w:val="both"/>
        <w:rPr>
          <w:rFonts w:ascii="Abadi" w:hAnsi="Abadi" w:cs="Arial"/>
          <w:sz w:val="21"/>
          <w:szCs w:val="21"/>
          <w:lang w:eastAsia="x-none"/>
        </w:rPr>
      </w:pPr>
      <w:r w:rsidRPr="00B05937">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B05937">
        <w:rPr>
          <w:rFonts w:ascii="Abadi" w:hAnsi="Abadi" w:cs="Arial"/>
          <w:sz w:val="21"/>
          <w:szCs w:val="21"/>
          <w:lang w:eastAsia="x-none"/>
        </w:rPr>
        <w:t>fiscalizado</w:t>
      </w:r>
      <w:proofErr w:type="spellEnd"/>
      <w:r w:rsidRPr="00B05937">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B05937">
        <w:rPr>
          <w:rFonts w:ascii="Abadi" w:hAnsi="Abadi" w:cs="Arial"/>
          <w:i/>
          <w:iCs/>
          <w:sz w:val="21"/>
          <w:szCs w:val="21"/>
          <w:lang w:eastAsia="x-none"/>
        </w:rPr>
        <w:t>«Definitivos»,</w:t>
      </w:r>
      <w:r w:rsidRPr="00B05937">
        <w:rPr>
          <w:rFonts w:ascii="Abadi" w:hAnsi="Abadi" w:cs="Arial"/>
          <w:sz w:val="21"/>
          <w:szCs w:val="21"/>
          <w:lang w:eastAsia="x-none"/>
        </w:rPr>
        <w:t xml:space="preserve"> emitidas por el Servicio de Administración Tributaria.</w:t>
      </w:r>
    </w:p>
    <w:p w14:paraId="0A49BD7D" w14:textId="77777777" w:rsidR="00970E21" w:rsidRPr="00B05937" w:rsidRDefault="00970E21" w:rsidP="00970E21">
      <w:pPr>
        <w:pStyle w:val="Textoindependiente"/>
        <w:ind w:firstLine="705"/>
        <w:rPr>
          <w:rFonts w:ascii="Abadi" w:hAnsi="Abadi"/>
          <w:sz w:val="21"/>
          <w:szCs w:val="21"/>
        </w:rPr>
      </w:pPr>
    </w:p>
    <w:p w14:paraId="49F70AA0" w14:textId="77777777" w:rsidR="00970E21" w:rsidRPr="00B05937" w:rsidRDefault="00970E21" w:rsidP="00970E21">
      <w:pPr>
        <w:ind w:firstLine="705"/>
        <w:jc w:val="both"/>
        <w:rPr>
          <w:rFonts w:ascii="Abadi" w:hAnsi="Abadi" w:cs="Arial"/>
          <w:sz w:val="21"/>
          <w:szCs w:val="21"/>
          <w:lang w:eastAsia="x-none"/>
        </w:rPr>
      </w:pPr>
      <w:r w:rsidRPr="00B05937">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B05937">
        <w:rPr>
          <w:rFonts w:ascii="Abadi" w:hAnsi="Abadi" w:cs="Arial"/>
          <w:sz w:val="21"/>
          <w:szCs w:val="21"/>
          <w:lang w:eastAsia="x-none"/>
        </w:rPr>
        <w:t>fiscalizado</w:t>
      </w:r>
      <w:proofErr w:type="spellEnd"/>
      <w:r w:rsidRPr="00B05937">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w:t>
      </w:r>
      <w:r w:rsidRPr="00B05937">
        <w:rPr>
          <w:rFonts w:ascii="Abadi" w:hAnsi="Abadi" w:cs="Arial"/>
          <w:sz w:val="21"/>
          <w:szCs w:val="21"/>
          <w:lang w:eastAsia="x-none"/>
        </w:rPr>
        <w:t>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55F6808" w14:textId="77777777" w:rsidR="00970E21" w:rsidRPr="00B05937" w:rsidRDefault="00970E21" w:rsidP="00970E21">
      <w:pPr>
        <w:ind w:firstLine="705"/>
        <w:jc w:val="both"/>
        <w:rPr>
          <w:rFonts w:ascii="Abadi" w:hAnsi="Abadi" w:cs="Arial"/>
          <w:sz w:val="21"/>
          <w:szCs w:val="21"/>
          <w:lang w:eastAsia="x-none"/>
        </w:rPr>
      </w:pPr>
    </w:p>
    <w:p w14:paraId="5826AE75" w14:textId="77777777" w:rsidR="00970E21" w:rsidRPr="00B05937" w:rsidRDefault="00970E21" w:rsidP="00970E21">
      <w:pPr>
        <w:ind w:firstLine="705"/>
        <w:jc w:val="both"/>
        <w:rPr>
          <w:rFonts w:ascii="Abadi" w:hAnsi="Abadi" w:cs="Arial"/>
          <w:sz w:val="21"/>
          <w:szCs w:val="21"/>
          <w:lang w:val="es-MX" w:eastAsia="x-none"/>
        </w:rPr>
      </w:pPr>
      <w:r w:rsidRPr="00B05937">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B05937">
        <w:rPr>
          <w:rFonts w:ascii="Abadi" w:hAnsi="Abadi" w:cs="Arial"/>
          <w:sz w:val="21"/>
          <w:szCs w:val="21"/>
          <w:lang w:val="es-MX" w:eastAsia="x-none"/>
        </w:rPr>
        <w:t>fiscalizado</w:t>
      </w:r>
      <w:proofErr w:type="spellEnd"/>
      <w:r w:rsidRPr="00B05937">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B05937">
        <w:rPr>
          <w:rFonts w:ascii="Abadi" w:hAnsi="Abadi" w:cs="Arial"/>
          <w:sz w:val="21"/>
          <w:szCs w:val="21"/>
          <w:lang w:val="es-MX" w:eastAsia="x-none"/>
        </w:rPr>
        <w:t>fiscalizado</w:t>
      </w:r>
      <w:proofErr w:type="spellEnd"/>
      <w:r w:rsidRPr="00B05937">
        <w:rPr>
          <w:rFonts w:ascii="Abadi" w:hAnsi="Abadi" w:cs="Arial"/>
          <w:sz w:val="21"/>
          <w:szCs w:val="21"/>
          <w:lang w:val="es-MX" w:eastAsia="x-none"/>
        </w:rPr>
        <w:t>.</w:t>
      </w:r>
    </w:p>
    <w:p w14:paraId="5EFF9724" w14:textId="77777777" w:rsidR="00970E21" w:rsidRPr="00B05937" w:rsidRDefault="00970E21" w:rsidP="00970E21">
      <w:pPr>
        <w:ind w:firstLine="705"/>
        <w:jc w:val="both"/>
        <w:rPr>
          <w:rFonts w:ascii="Abadi" w:hAnsi="Abadi" w:cs="Arial"/>
          <w:sz w:val="21"/>
          <w:szCs w:val="21"/>
          <w:lang w:val="es-MX" w:eastAsia="x-none"/>
        </w:rPr>
      </w:pPr>
    </w:p>
    <w:p w14:paraId="0E563BB7" w14:textId="77777777" w:rsidR="00970E21" w:rsidRPr="00B05937" w:rsidRDefault="00970E21" w:rsidP="00970E21">
      <w:pPr>
        <w:ind w:firstLine="705"/>
        <w:jc w:val="both"/>
        <w:rPr>
          <w:rFonts w:ascii="Abadi" w:hAnsi="Abadi" w:cs="Arial"/>
          <w:sz w:val="21"/>
          <w:szCs w:val="21"/>
          <w:lang w:val="es-MX" w:eastAsia="x-none"/>
        </w:rPr>
      </w:pPr>
      <w:r w:rsidRPr="00B05937">
        <w:rPr>
          <w:rFonts w:ascii="Abadi" w:hAnsi="Abadi" w:cs="Arial"/>
          <w:sz w:val="21"/>
          <w:szCs w:val="21"/>
          <w:lang w:val="es-MX" w:eastAsia="x-none"/>
        </w:rPr>
        <w:t xml:space="preserve">Cabe señalar que, a fin de fomentar la participación ciudadana, la Auditoría Superior del Estado cuenta con diversos mecanismos para recibir solicitudes, opiniones y quejas, relacionadas con hechos presuntamente irregulares en la captación, manejo y utilización de los recursos públicos, desvío de </w:t>
      </w:r>
      <w:r w:rsidRPr="00B05937">
        <w:rPr>
          <w:rFonts w:ascii="Abadi" w:hAnsi="Abadi" w:cs="Arial"/>
          <w:sz w:val="21"/>
          <w:szCs w:val="21"/>
          <w:lang w:val="es-MX" w:eastAsia="x-none"/>
        </w:rPr>
        <w:lastRenderedPageBreak/>
        <w:t>recursos hacia fines distintos a lo autorizado, entre otros supuestos de procedencia. Derivado de lo cual no se recibieron solicitudes ciudadanas.</w:t>
      </w:r>
    </w:p>
    <w:p w14:paraId="1D3D83B8" w14:textId="77777777" w:rsidR="00970E21" w:rsidRPr="00B05937" w:rsidRDefault="00970E21" w:rsidP="00970E21">
      <w:pPr>
        <w:ind w:firstLine="705"/>
        <w:jc w:val="both"/>
        <w:rPr>
          <w:rFonts w:ascii="Abadi" w:hAnsi="Abadi" w:cs="Arial"/>
          <w:sz w:val="21"/>
          <w:szCs w:val="21"/>
          <w:lang w:val="es-MX" w:eastAsia="x-none"/>
        </w:rPr>
      </w:pPr>
    </w:p>
    <w:p w14:paraId="5BF2F213" w14:textId="77777777" w:rsidR="00970E21" w:rsidRPr="00B05937" w:rsidRDefault="00970E21" w:rsidP="00970E21">
      <w:pPr>
        <w:ind w:firstLine="705"/>
        <w:jc w:val="both"/>
        <w:rPr>
          <w:rFonts w:ascii="Abadi" w:hAnsi="Abadi" w:cs="Arial"/>
          <w:sz w:val="21"/>
          <w:szCs w:val="21"/>
          <w:lang w:val="es-MX" w:eastAsia="x-none"/>
        </w:rPr>
      </w:pPr>
      <w:r w:rsidRPr="00B05937">
        <w:rPr>
          <w:rFonts w:ascii="Abadi" w:hAnsi="Abadi" w:cs="Arial"/>
          <w:sz w:val="21"/>
          <w:szCs w:val="21"/>
          <w:lang w:val="es-MX" w:eastAsia="x-none"/>
        </w:rPr>
        <w:t xml:space="preserve">Adicionalmente, se analizó el informe general del proceso de entrega recepción 2021 de la administración pública municipal de Purísima del Rincón, </w:t>
      </w:r>
      <w:proofErr w:type="spellStart"/>
      <w:r w:rsidRPr="00B05937">
        <w:rPr>
          <w:rFonts w:ascii="Abadi" w:hAnsi="Abadi" w:cs="Arial"/>
          <w:sz w:val="21"/>
          <w:szCs w:val="21"/>
          <w:lang w:val="es-MX" w:eastAsia="x-none"/>
        </w:rPr>
        <w:t>Gto</w:t>
      </w:r>
      <w:proofErr w:type="spellEnd"/>
      <w:r w:rsidRPr="00B05937">
        <w:rPr>
          <w:rFonts w:ascii="Abadi" w:hAnsi="Abadi" w:cs="Arial"/>
          <w:sz w:val="21"/>
          <w:szCs w:val="21"/>
          <w:lang w:val="es-MX" w:eastAsia="x-none"/>
        </w:rPr>
        <w:t>., y en su caso se aplicaron los procedimientos de auditoría correspondientes.</w:t>
      </w:r>
    </w:p>
    <w:p w14:paraId="123DA0A4" w14:textId="77777777" w:rsidR="00970E21" w:rsidRPr="00B05937" w:rsidRDefault="00970E21" w:rsidP="00970E21">
      <w:pPr>
        <w:ind w:firstLine="705"/>
        <w:jc w:val="both"/>
        <w:rPr>
          <w:rFonts w:ascii="Abadi" w:hAnsi="Abadi" w:cs="Arial"/>
          <w:sz w:val="21"/>
          <w:szCs w:val="21"/>
          <w:lang w:val="es-MX" w:eastAsia="x-none"/>
        </w:rPr>
      </w:pPr>
    </w:p>
    <w:p w14:paraId="61486FF8" w14:textId="77777777" w:rsidR="00970E21" w:rsidRPr="00B05937" w:rsidRDefault="00970E21" w:rsidP="00970E21">
      <w:pPr>
        <w:ind w:firstLine="705"/>
        <w:jc w:val="both"/>
        <w:rPr>
          <w:rFonts w:ascii="Abadi" w:hAnsi="Abadi" w:cs="Arial"/>
          <w:sz w:val="21"/>
          <w:szCs w:val="21"/>
          <w:lang w:val="es-MX" w:eastAsia="x-none"/>
        </w:rPr>
      </w:pPr>
      <w:r w:rsidRPr="00B05937">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Purísima del Rincón, </w:t>
      </w:r>
      <w:proofErr w:type="spellStart"/>
      <w:r w:rsidRPr="00B05937">
        <w:rPr>
          <w:rFonts w:ascii="Abadi" w:hAnsi="Abadi" w:cs="Arial"/>
          <w:sz w:val="21"/>
          <w:szCs w:val="21"/>
          <w:lang w:val="es-MX" w:eastAsia="x-none"/>
        </w:rPr>
        <w:t>Gto</w:t>
      </w:r>
      <w:proofErr w:type="spellEnd"/>
      <w:r w:rsidRPr="00B05937">
        <w:rPr>
          <w:rFonts w:ascii="Abadi" w:hAnsi="Abadi" w:cs="Arial"/>
          <w:sz w:val="21"/>
          <w:szCs w:val="21"/>
          <w:lang w:val="es-MX" w:eastAsia="x-none"/>
        </w:rPr>
        <w:t>., respecto de los periodos comprendidos de enero a junio y de julio a diciembre del 2021, de acuerdo a lo establecido en el artículo 28, primer párrafo de la Ley de Fiscalización Superior del Estado de Guanajuato.</w:t>
      </w:r>
    </w:p>
    <w:p w14:paraId="32FC665E" w14:textId="77777777" w:rsidR="00970E21" w:rsidRPr="00B05937" w:rsidRDefault="00970E21" w:rsidP="00970E21">
      <w:pPr>
        <w:ind w:firstLine="705"/>
        <w:jc w:val="both"/>
        <w:rPr>
          <w:rFonts w:ascii="Abadi" w:hAnsi="Abadi" w:cs="Arial"/>
          <w:sz w:val="21"/>
          <w:szCs w:val="21"/>
          <w:lang w:val="es-MX" w:eastAsia="x-none"/>
        </w:rPr>
      </w:pPr>
    </w:p>
    <w:p w14:paraId="17F005DC" w14:textId="77777777" w:rsidR="00970E21" w:rsidRPr="00B05937" w:rsidRDefault="00970E21" w:rsidP="00970E21">
      <w:pPr>
        <w:ind w:firstLine="705"/>
        <w:jc w:val="both"/>
        <w:rPr>
          <w:rFonts w:ascii="Abadi" w:hAnsi="Abadi" w:cs="Arial"/>
          <w:sz w:val="21"/>
          <w:szCs w:val="21"/>
          <w:lang w:val="es-MX" w:eastAsia="x-none"/>
        </w:rPr>
      </w:pPr>
      <w:r w:rsidRPr="00B05937">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Purísima del Rincón, </w:t>
      </w:r>
      <w:proofErr w:type="spellStart"/>
      <w:r w:rsidRPr="00B05937">
        <w:rPr>
          <w:rFonts w:ascii="Abadi" w:hAnsi="Abadi" w:cs="Arial"/>
          <w:sz w:val="21"/>
          <w:szCs w:val="21"/>
          <w:lang w:val="es-MX" w:eastAsia="x-none"/>
        </w:rPr>
        <w:t>Gto</w:t>
      </w:r>
      <w:proofErr w:type="spellEnd"/>
      <w:r w:rsidRPr="00B05937">
        <w:rPr>
          <w:rFonts w:ascii="Abadi" w:hAnsi="Abadi" w:cs="Arial"/>
          <w:sz w:val="21"/>
          <w:szCs w:val="21"/>
          <w:lang w:val="es-MX" w:eastAsia="x-none"/>
        </w:rPr>
        <w:t>., cumplió con las disposiciones normativas aplicables, excepto por los resultados precisados en el informe de resultados.</w:t>
      </w:r>
    </w:p>
    <w:p w14:paraId="6E1D7700" w14:textId="77777777" w:rsidR="00970E21" w:rsidRPr="00B05937" w:rsidRDefault="00970E21" w:rsidP="00970E21">
      <w:pPr>
        <w:ind w:firstLine="705"/>
        <w:jc w:val="both"/>
        <w:rPr>
          <w:rFonts w:ascii="Abadi" w:hAnsi="Abadi" w:cs="Arial"/>
          <w:sz w:val="21"/>
          <w:szCs w:val="21"/>
          <w:lang w:val="es-MX" w:eastAsia="x-none"/>
        </w:rPr>
      </w:pPr>
    </w:p>
    <w:p w14:paraId="7B6B3009"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determinó 1 observación, la cual no fue solventada. </w:t>
      </w:r>
    </w:p>
    <w:p w14:paraId="5A1EBEFB" w14:textId="77777777" w:rsidR="00970E21" w:rsidRPr="007C2894" w:rsidRDefault="00970E21" w:rsidP="00970E21">
      <w:pPr>
        <w:pStyle w:val="Textoindependiente"/>
        <w:ind w:firstLine="705"/>
        <w:rPr>
          <w:rFonts w:ascii="Abadi" w:hAnsi="Abadi"/>
          <w:b w:val="0"/>
          <w:bCs w:val="0"/>
          <w:sz w:val="21"/>
          <w:szCs w:val="21"/>
        </w:rPr>
      </w:pPr>
    </w:p>
    <w:p w14:paraId="68918ACF"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También, en dicho apartado se establece el impacto de las irregularidades detectadas que persistieron después de la valoración de la respuesta al pliego de observaciones y recomendaciones.</w:t>
      </w:r>
    </w:p>
    <w:p w14:paraId="3287090F" w14:textId="77777777" w:rsidR="00970E21" w:rsidRPr="007C2894" w:rsidRDefault="00970E21" w:rsidP="00970E21">
      <w:pPr>
        <w:pStyle w:val="Textoindependiente"/>
        <w:ind w:firstLine="705"/>
        <w:rPr>
          <w:rFonts w:ascii="Abadi" w:hAnsi="Abadi"/>
          <w:b w:val="0"/>
          <w:bCs w:val="0"/>
          <w:sz w:val="21"/>
          <w:szCs w:val="21"/>
        </w:rPr>
      </w:pPr>
    </w:p>
    <w:p w14:paraId="01734079" w14:textId="77777777" w:rsidR="00970E21" w:rsidRPr="00B05937" w:rsidRDefault="00970E21" w:rsidP="00970E21">
      <w:pPr>
        <w:pStyle w:val="Textoindependiente"/>
        <w:ind w:firstLine="705"/>
        <w:rPr>
          <w:rFonts w:ascii="Abadi" w:hAnsi="Abadi"/>
          <w:sz w:val="21"/>
          <w:szCs w:val="21"/>
        </w:rPr>
      </w:pPr>
    </w:p>
    <w:p w14:paraId="3D7D0207" w14:textId="77777777" w:rsidR="00970E21" w:rsidRPr="00B05937" w:rsidRDefault="00970E21" w:rsidP="00970E21">
      <w:pPr>
        <w:pStyle w:val="Textoindependiente"/>
        <w:ind w:firstLine="705"/>
        <w:rPr>
          <w:rFonts w:ascii="Abadi" w:hAnsi="Abadi"/>
          <w:sz w:val="21"/>
          <w:szCs w:val="21"/>
        </w:rPr>
      </w:pPr>
      <w:r w:rsidRPr="007C2894">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celebró operaciones; entre los procedimientos expuestos, se verificó que estas no se encontraran en el listado de Empresas que Facturan Operaciones Simuladas (EFOS) u operaciones inexistentes</w:t>
      </w:r>
      <w:r w:rsidRPr="00B05937">
        <w:rPr>
          <w:rFonts w:ascii="Abadi" w:hAnsi="Abadi"/>
          <w:sz w:val="21"/>
          <w:szCs w:val="21"/>
        </w:rPr>
        <w:t xml:space="preserve"> </w:t>
      </w:r>
      <w:r w:rsidRPr="007C2894">
        <w:rPr>
          <w:rFonts w:ascii="Abadi" w:hAnsi="Abadi"/>
          <w:b w:val="0"/>
          <w:bCs w:val="0"/>
          <w:sz w:val="21"/>
          <w:szCs w:val="21"/>
        </w:rPr>
        <w:t>con el carácter de «</w:t>
      </w:r>
      <w:r w:rsidRPr="007C2894">
        <w:rPr>
          <w:rFonts w:ascii="Abadi" w:hAnsi="Abadi"/>
          <w:b w:val="0"/>
          <w:bCs w:val="0"/>
          <w:i/>
          <w:iCs/>
          <w:sz w:val="21"/>
          <w:szCs w:val="21"/>
        </w:rPr>
        <w:t>Definitivos»</w:t>
      </w:r>
      <w:r w:rsidRPr="007C2894">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7FC3967D" w14:textId="77777777" w:rsidR="00970E21" w:rsidRPr="00B05937" w:rsidRDefault="00970E21" w:rsidP="00970E21">
      <w:pPr>
        <w:pStyle w:val="Textoindependiente"/>
        <w:ind w:firstLine="705"/>
        <w:rPr>
          <w:rFonts w:ascii="Abadi" w:hAnsi="Abadi"/>
          <w:sz w:val="21"/>
          <w:szCs w:val="21"/>
        </w:rPr>
      </w:pPr>
    </w:p>
    <w:p w14:paraId="0D713DD0" w14:textId="77777777" w:rsidR="00970E21" w:rsidRPr="007C2894" w:rsidRDefault="00970E21" w:rsidP="00427BD6">
      <w:pPr>
        <w:pStyle w:val="Textoindependiente"/>
        <w:numPr>
          <w:ilvl w:val="0"/>
          <w:numId w:val="9"/>
        </w:numPr>
        <w:tabs>
          <w:tab w:val="clear" w:pos="1065"/>
          <w:tab w:val="num" w:pos="0"/>
        </w:tabs>
        <w:autoSpaceDE/>
        <w:autoSpaceDN/>
        <w:rPr>
          <w:rFonts w:ascii="Abadi" w:hAnsi="Abadi"/>
          <w:sz w:val="21"/>
          <w:szCs w:val="21"/>
        </w:rPr>
      </w:pPr>
      <w:r w:rsidRPr="007C2894">
        <w:rPr>
          <w:rFonts w:ascii="Abadi" w:hAnsi="Abadi"/>
          <w:sz w:val="21"/>
          <w:szCs w:val="21"/>
        </w:rPr>
        <w:t xml:space="preserve">Observaciones y recomendaciones, la respuesta emitida por el sujeto fiscalizado y la valoración correspondiente. </w:t>
      </w:r>
    </w:p>
    <w:p w14:paraId="4C5D068A" w14:textId="77777777" w:rsidR="00970E21" w:rsidRPr="00B05937" w:rsidRDefault="00970E21" w:rsidP="00970E21">
      <w:pPr>
        <w:pStyle w:val="Textoindependiente"/>
        <w:ind w:left="1065"/>
        <w:rPr>
          <w:rFonts w:ascii="Abadi" w:hAnsi="Abadi"/>
          <w:b w:val="0"/>
          <w:bCs w:val="0"/>
          <w:sz w:val="21"/>
          <w:szCs w:val="21"/>
        </w:rPr>
      </w:pPr>
    </w:p>
    <w:p w14:paraId="27D0BBE5"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En esta parte se desglosa la valoración de la observación formulada por el Órgano Técnico, considerando como no solventada la observación establecida en el numeral 001, referente a registro contable baja de bien inmueble.</w:t>
      </w:r>
    </w:p>
    <w:p w14:paraId="0DC4F8EA" w14:textId="77777777" w:rsidR="00970E21" w:rsidRPr="007C2894" w:rsidRDefault="00970E21" w:rsidP="00970E21">
      <w:pPr>
        <w:pStyle w:val="Textoindependiente"/>
        <w:ind w:firstLine="705"/>
        <w:rPr>
          <w:rFonts w:ascii="Abadi" w:hAnsi="Abadi"/>
          <w:b w:val="0"/>
          <w:bCs w:val="0"/>
          <w:sz w:val="21"/>
          <w:szCs w:val="21"/>
        </w:rPr>
      </w:pPr>
    </w:p>
    <w:p w14:paraId="588DEFBD" w14:textId="77777777" w:rsidR="00970E21" w:rsidRPr="007C2894" w:rsidRDefault="00970E21" w:rsidP="00970E21">
      <w:pPr>
        <w:pStyle w:val="Textoindependiente"/>
        <w:ind w:firstLine="705"/>
        <w:rPr>
          <w:rFonts w:ascii="Abadi" w:hAnsi="Abadi" w:cs="ArialNarrow"/>
          <w:b w:val="0"/>
          <w:bCs w:val="0"/>
          <w:sz w:val="21"/>
          <w:szCs w:val="21"/>
          <w:lang w:eastAsia="es-MX"/>
        </w:rPr>
      </w:pPr>
      <w:r w:rsidRPr="007C2894">
        <w:rPr>
          <w:rFonts w:ascii="Abadi" w:hAnsi="Abadi"/>
          <w:b w:val="0"/>
          <w:bCs w:val="0"/>
          <w:sz w:val="21"/>
          <w:szCs w:val="21"/>
        </w:rPr>
        <w:t xml:space="preserve">En el apartado de Recomendaciones Generales, se establece que </w:t>
      </w:r>
      <w:r w:rsidRPr="007C2894">
        <w:rPr>
          <w:rFonts w:ascii="Abadi" w:hAnsi="Abadi" w:cs="ArialNarrow"/>
          <w:b w:val="0"/>
          <w:bCs w:val="0"/>
          <w:sz w:val="21"/>
          <w:szCs w:val="21"/>
          <w:lang w:eastAsia="es-MX"/>
        </w:rPr>
        <w:t>del proceso de fiscalización efectuado no se desprendieron recomendaciones.</w:t>
      </w:r>
    </w:p>
    <w:p w14:paraId="5833117B" w14:textId="77777777" w:rsidR="00970E21" w:rsidRPr="00B05937" w:rsidRDefault="00970E21" w:rsidP="00970E21">
      <w:pPr>
        <w:pStyle w:val="Textoindependiente"/>
        <w:ind w:firstLine="705"/>
        <w:rPr>
          <w:rFonts w:ascii="Abadi" w:hAnsi="Abadi"/>
          <w:sz w:val="21"/>
          <w:szCs w:val="21"/>
        </w:rPr>
      </w:pPr>
    </w:p>
    <w:p w14:paraId="3A328422" w14:textId="77777777" w:rsidR="00970E21" w:rsidRPr="007C2894" w:rsidRDefault="00970E21" w:rsidP="00427BD6">
      <w:pPr>
        <w:pStyle w:val="Textoindependiente"/>
        <w:numPr>
          <w:ilvl w:val="0"/>
          <w:numId w:val="9"/>
        </w:numPr>
        <w:autoSpaceDE/>
        <w:autoSpaceDN/>
        <w:rPr>
          <w:rFonts w:ascii="Abadi" w:hAnsi="Abadi"/>
          <w:sz w:val="21"/>
          <w:szCs w:val="21"/>
        </w:rPr>
      </w:pPr>
      <w:r w:rsidRPr="007C2894">
        <w:rPr>
          <w:rFonts w:ascii="Abadi" w:hAnsi="Abadi"/>
          <w:sz w:val="21"/>
          <w:szCs w:val="21"/>
        </w:rPr>
        <w:t xml:space="preserve">Promoción del ejercicio de facultades de comprobación fiscal. </w:t>
      </w:r>
    </w:p>
    <w:p w14:paraId="3F03EE22" w14:textId="77777777" w:rsidR="00970E21" w:rsidRPr="007C2894" w:rsidRDefault="00970E21" w:rsidP="00970E21">
      <w:pPr>
        <w:pStyle w:val="Textoindependiente"/>
        <w:ind w:firstLine="705"/>
        <w:rPr>
          <w:rFonts w:ascii="Abadi" w:hAnsi="Abadi"/>
          <w:sz w:val="21"/>
          <w:szCs w:val="21"/>
        </w:rPr>
      </w:pPr>
    </w:p>
    <w:p w14:paraId="14D369C4"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D8D4EC3" w14:textId="77777777" w:rsidR="00970E21" w:rsidRPr="007C2894" w:rsidRDefault="00970E21" w:rsidP="00970E21">
      <w:pPr>
        <w:pStyle w:val="Textoindependiente"/>
        <w:ind w:firstLine="705"/>
        <w:rPr>
          <w:rFonts w:ascii="Abadi" w:hAnsi="Abadi"/>
          <w:b w:val="0"/>
          <w:bCs w:val="0"/>
          <w:sz w:val="21"/>
          <w:szCs w:val="21"/>
        </w:rPr>
      </w:pPr>
    </w:p>
    <w:p w14:paraId="1848EEDF" w14:textId="77777777" w:rsidR="00970E21" w:rsidRPr="00B05937" w:rsidRDefault="00970E21" w:rsidP="00970E21">
      <w:pPr>
        <w:pStyle w:val="Textoindependiente"/>
        <w:ind w:firstLine="705"/>
        <w:rPr>
          <w:rFonts w:ascii="Abadi" w:hAnsi="Abadi"/>
          <w:sz w:val="21"/>
          <w:szCs w:val="21"/>
        </w:rPr>
      </w:pPr>
    </w:p>
    <w:p w14:paraId="4100947D" w14:textId="77777777" w:rsidR="00970E21" w:rsidRPr="007C2894" w:rsidRDefault="00970E21" w:rsidP="00427BD6">
      <w:pPr>
        <w:pStyle w:val="Textoindependiente"/>
        <w:numPr>
          <w:ilvl w:val="0"/>
          <w:numId w:val="9"/>
        </w:numPr>
        <w:autoSpaceDE/>
        <w:autoSpaceDN/>
        <w:rPr>
          <w:rFonts w:ascii="Abadi" w:hAnsi="Abadi"/>
          <w:sz w:val="21"/>
          <w:szCs w:val="21"/>
        </w:rPr>
      </w:pPr>
      <w:r w:rsidRPr="007C2894">
        <w:rPr>
          <w:rFonts w:ascii="Abadi" w:hAnsi="Abadi"/>
          <w:sz w:val="21"/>
          <w:szCs w:val="21"/>
        </w:rPr>
        <w:t>Comunicado ante órganos de control y autoridades que administran padrones de proveedores y contratistas.</w:t>
      </w:r>
    </w:p>
    <w:p w14:paraId="4E4D5115" w14:textId="77777777" w:rsidR="00970E21" w:rsidRPr="00B05937" w:rsidRDefault="00970E21" w:rsidP="00970E21">
      <w:pPr>
        <w:pStyle w:val="Textoindependiente"/>
        <w:ind w:firstLine="705"/>
        <w:rPr>
          <w:rFonts w:ascii="Abadi" w:hAnsi="Abadi"/>
          <w:sz w:val="21"/>
          <w:szCs w:val="21"/>
        </w:rPr>
      </w:pPr>
    </w:p>
    <w:p w14:paraId="072C6C06"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En este punto se señala que de conformidad con lo establecido en los artículos 3, fracción XI de la Ley de</w:t>
      </w:r>
      <w:r w:rsidRPr="00B05937">
        <w:rPr>
          <w:rFonts w:ascii="Abadi" w:hAnsi="Abadi"/>
          <w:sz w:val="21"/>
          <w:szCs w:val="21"/>
        </w:rPr>
        <w:t xml:space="preserve"> </w:t>
      </w:r>
      <w:r w:rsidRPr="007C2894">
        <w:rPr>
          <w:rFonts w:ascii="Abadi" w:hAnsi="Abadi"/>
          <w:b w:val="0"/>
          <w:bCs w:val="0"/>
          <w:sz w:val="21"/>
          <w:szCs w:val="21"/>
        </w:rPr>
        <w:t>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4E38CA0A" w14:textId="77777777" w:rsidR="00970E21" w:rsidRPr="007C2894" w:rsidRDefault="00970E21" w:rsidP="00970E21">
      <w:pPr>
        <w:pStyle w:val="Textoindependiente"/>
        <w:ind w:firstLine="705"/>
        <w:rPr>
          <w:rFonts w:ascii="Abadi" w:hAnsi="Abadi"/>
          <w:b w:val="0"/>
          <w:bCs w:val="0"/>
          <w:sz w:val="21"/>
          <w:szCs w:val="21"/>
        </w:rPr>
      </w:pPr>
    </w:p>
    <w:p w14:paraId="73ABD3BF" w14:textId="77777777" w:rsidR="00970E21" w:rsidRPr="007C2894" w:rsidRDefault="00970E21" w:rsidP="00427BD6">
      <w:pPr>
        <w:pStyle w:val="Textoindependiente"/>
        <w:numPr>
          <w:ilvl w:val="0"/>
          <w:numId w:val="9"/>
        </w:numPr>
        <w:autoSpaceDE/>
        <w:autoSpaceDN/>
        <w:rPr>
          <w:rFonts w:ascii="Abadi" w:hAnsi="Abadi"/>
          <w:sz w:val="21"/>
          <w:szCs w:val="21"/>
        </w:rPr>
      </w:pPr>
      <w:r w:rsidRPr="007C2894">
        <w:rPr>
          <w:rFonts w:ascii="Abadi" w:hAnsi="Abadi"/>
          <w:sz w:val="21"/>
          <w:szCs w:val="21"/>
        </w:rPr>
        <w:t xml:space="preserve">Recurso de Reconsideración. </w:t>
      </w:r>
    </w:p>
    <w:p w14:paraId="21E738BB" w14:textId="77777777" w:rsidR="00970E21" w:rsidRPr="00B05937" w:rsidRDefault="00970E21" w:rsidP="00970E21">
      <w:pPr>
        <w:pStyle w:val="Textoindependiente"/>
        <w:ind w:left="705"/>
        <w:rPr>
          <w:rFonts w:ascii="Abadi" w:hAnsi="Abadi"/>
          <w:b w:val="0"/>
          <w:bCs w:val="0"/>
          <w:sz w:val="21"/>
          <w:szCs w:val="21"/>
        </w:rPr>
      </w:pPr>
    </w:p>
    <w:p w14:paraId="3E78189A"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 xml:space="preserve">El 24 de marzo de 2023, dentro del plazo que prevé la fracción IV del artículo 37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Guanajuato, el presidente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 observación establecida en el numeral 001, referente a registro contable baja de bien inmueble, misma que se encuentra relacionada con el Capítulo II, denominado Observaciones y Recomendaciones; Respuesta Emitida por el Sujeto Fiscalizado y Valoración Correspondiente. </w:t>
      </w:r>
    </w:p>
    <w:p w14:paraId="2054AE67" w14:textId="77777777" w:rsidR="00970E21" w:rsidRPr="00B05937" w:rsidRDefault="00970E21" w:rsidP="00970E21">
      <w:pPr>
        <w:pStyle w:val="Textoindependiente"/>
        <w:ind w:firstLine="705"/>
        <w:rPr>
          <w:rFonts w:ascii="Abadi" w:hAnsi="Abadi"/>
          <w:sz w:val="21"/>
          <w:szCs w:val="21"/>
        </w:rPr>
      </w:pPr>
    </w:p>
    <w:p w14:paraId="6BB372D1"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En tal sentido, mediante acuerdo de fecha 24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7C2894">
          <w:rPr>
            <w:rFonts w:ascii="Abadi" w:hAnsi="Abadi"/>
            <w:b w:val="0"/>
            <w:bCs w:val="0"/>
            <w:sz w:val="21"/>
            <w:szCs w:val="21"/>
          </w:rPr>
          <w:t>la Ley</w:t>
        </w:r>
      </w:smartTag>
      <w:r w:rsidRPr="007C2894">
        <w:rPr>
          <w:rFonts w:ascii="Abadi" w:hAnsi="Abadi"/>
          <w:b w:val="0"/>
          <w:bCs w:val="0"/>
          <w:sz w:val="21"/>
          <w:szCs w:val="21"/>
        </w:rPr>
        <w:t xml:space="preserve"> de Fiscalización Superior del Estado de </w:t>
      </w:r>
      <w:r w:rsidRPr="007C2894">
        <w:rPr>
          <w:rFonts w:ascii="Abadi" w:hAnsi="Abadi"/>
          <w:b w:val="0"/>
          <w:bCs w:val="0"/>
          <w:sz w:val="21"/>
          <w:szCs w:val="21"/>
        </w:rPr>
        <w:t>Guanajuato, instruyendo la integración del expediente y el registro correspondiente. Asimismo, mediante dicho acuerdo se admitieron los medios de prueba ofrecidos por el recurrente, al tratarse de pruebas novedosas y supervenientes, a excepción de una que no tenía tal carácter.</w:t>
      </w:r>
    </w:p>
    <w:p w14:paraId="5E48AE1D" w14:textId="77777777" w:rsidR="00970E21" w:rsidRPr="00B05937" w:rsidRDefault="00970E21" w:rsidP="00970E21">
      <w:pPr>
        <w:pStyle w:val="Textoindependiente"/>
        <w:ind w:firstLine="708"/>
        <w:rPr>
          <w:rFonts w:ascii="Abadi" w:hAnsi="Abadi"/>
          <w:sz w:val="21"/>
          <w:szCs w:val="21"/>
        </w:rPr>
      </w:pPr>
    </w:p>
    <w:p w14:paraId="254C87D9" w14:textId="77777777" w:rsidR="00970E21" w:rsidRPr="00B05937" w:rsidRDefault="00970E21" w:rsidP="00970E21">
      <w:pPr>
        <w:pStyle w:val="Textoindependiente"/>
        <w:ind w:firstLine="708"/>
        <w:rPr>
          <w:rFonts w:ascii="Abadi" w:hAnsi="Abadi"/>
          <w:sz w:val="21"/>
          <w:szCs w:val="21"/>
        </w:rPr>
      </w:pPr>
    </w:p>
    <w:p w14:paraId="0404463C" w14:textId="77777777" w:rsidR="00970E21" w:rsidRPr="00B05937" w:rsidRDefault="00970E21" w:rsidP="00970E21">
      <w:pPr>
        <w:pStyle w:val="Textoindependiente"/>
        <w:ind w:firstLine="708"/>
        <w:rPr>
          <w:rFonts w:ascii="Abadi" w:hAnsi="Abadi"/>
          <w:sz w:val="21"/>
          <w:szCs w:val="21"/>
        </w:rPr>
      </w:pPr>
    </w:p>
    <w:p w14:paraId="33071A54" w14:textId="77777777" w:rsidR="00970E21" w:rsidRPr="00B05937" w:rsidRDefault="00970E21" w:rsidP="00970E21">
      <w:pPr>
        <w:pStyle w:val="Textoindependiente"/>
        <w:ind w:firstLine="708"/>
        <w:rPr>
          <w:rFonts w:ascii="Abadi" w:hAnsi="Abadi"/>
          <w:sz w:val="21"/>
          <w:szCs w:val="21"/>
        </w:rPr>
      </w:pPr>
    </w:p>
    <w:p w14:paraId="3289DAA3"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Una vez tramitado el recurso, el Auditor Superior del Estado, el 27 de marzo de 2023 emitió la resolución correspondiente, determinándose respecto a la observación plasmada en el numeral 001, que las pruebas aportadas por el recurrente resultaron insuficientes para modificar su valoración, pero suficientes para modificar su complemento, por los argumentos señalados en el considerando séptimo de la resolución. En razón de lo cual, aun cuando se confirmó el sentido de la valoración de la observación como no solventada, se modificó su complemento para quedar sin acciones pendientes de realizar por el sujeto fiscalizado.</w:t>
      </w:r>
    </w:p>
    <w:p w14:paraId="6D957C0C" w14:textId="77777777" w:rsidR="00970E21" w:rsidRPr="007C2894" w:rsidRDefault="00970E21" w:rsidP="00970E21">
      <w:pPr>
        <w:pStyle w:val="Textoindependiente"/>
        <w:ind w:firstLine="708"/>
        <w:rPr>
          <w:rFonts w:ascii="Abadi" w:hAnsi="Abadi"/>
          <w:b w:val="0"/>
          <w:bCs w:val="0"/>
          <w:sz w:val="21"/>
          <w:szCs w:val="21"/>
        </w:rPr>
      </w:pPr>
    </w:p>
    <w:p w14:paraId="1AC4DA96" w14:textId="77777777" w:rsidR="00970E21" w:rsidRPr="007C2894" w:rsidRDefault="00970E21" w:rsidP="00970E21">
      <w:pPr>
        <w:pStyle w:val="Textoindependiente"/>
        <w:ind w:firstLine="708"/>
        <w:rPr>
          <w:rFonts w:ascii="Abadi" w:hAnsi="Abadi"/>
          <w:b w:val="0"/>
          <w:bCs w:val="0"/>
          <w:sz w:val="21"/>
          <w:szCs w:val="21"/>
        </w:rPr>
      </w:pPr>
      <w:r w:rsidRPr="007C2894">
        <w:rPr>
          <w:rFonts w:ascii="Abadi" w:hAnsi="Abadi"/>
          <w:b w:val="0"/>
          <w:bCs w:val="0"/>
          <w:sz w:val="21"/>
          <w:szCs w:val="21"/>
        </w:rPr>
        <w:t xml:space="preserve">La referida resolución se notificó al presidente municipal de Purísima del Rincón, </w:t>
      </w:r>
      <w:proofErr w:type="spellStart"/>
      <w:r w:rsidRPr="007C2894">
        <w:rPr>
          <w:rFonts w:ascii="Abadi" w:hAnsi="Abadi"/>
          <w:b w:val="0"/>
          <w:bCs w:val="0"/>
          <w:sz w:val="21"/>
          <w:szCs w:val="21"/>
        </w:rPr>
        <w:t>Gto</w:t>
      </w:r>
      <w:proofErr w:type="spellEnd"/>
      <w:r w:rsidRPr="007C2894">
        <w:rPr>
          <w:rFonts w:ascii="Abadi" w:hAnsi="Abadi"/>
          <w:b w:val="0"/>
          <w:bCs w:val="0"/>
          <w:sz w:val="21"/>
          <w:szCs w:val="21"/>
        </w:rPr>
        <w:t>., el 28 de marzo de 2023.</w:t>
      </w:r>
    </w:p>
    <w:p w14:paraId="0D027AA5" w14:textId="77777777" w:rsidR="00970E21" w:rsidRPr="00B05937" w:rsidRDefault="00970E21" w:rsidP="00970E21">
      <w:pPr>
        <w:pStyle w:val="Textoindependiente"/>
        <w:ind w:firstLine="705"/>
        <w:rPr>
          <w:rFonts w:ascii="Abadi" w:hAnsi="Abadi"/>
          <w:sz w:val="21"/>
          <w:szCs w:val="21"/>
        </w:rPr>
      </w:pPr>
    </w:p>
    <w:p w14:paraId="3327D0BA" w14:textId="77777777" w:rsidR="00970E21" w:rsidRPr="00B05937" w:rsidRDefault="00970E21" w:rsidP="00427BD6">
      <w:pPr>
        <w:pStyle w:val="Textoindependiente"/>
        <w:numPr>
          <w:ilvl w:val="0"/>
          <w:numId w:val="9"/>
        </w:numPr>
        <w:autoSpaceDE/>
        <w:autoSpaceDN/>
        <w:rPr>
          <w:rFonts w:ascii="Abadi" w:hAnsi="Abadi"/>
          <w:b w:val="0"/>
          <w:bCs w:val="0"/>
          <w:sz w:val="21"/>
          <w:szCs w:val="21"/>
        </w:rPr>
      </w:pPr>
      <w:r w:rsidRPr="00B05937">
        <w:rPr>
          <w:rFonts w:ascii="Abadi" w:hAnsi="Abadi"/>
          <w:b w:val="0"/>
          <w:bCs w:val="0"/>
          <w:sz w:val="21"/>
          <w:szCs w:val="21"/>
        </w:rPr>
        <w:t xml:space="preserve">Anexos. </w:t>
      </w:r>
    </w:p>
    <w:p w14:paraId="197F3FAC" w14:textId="77777777" w:rsidR="00970E21" w:rsidRPr="00B05937" w:rsidRDefault="00970E21" w:rsidP="00970E21">
      <w:pPr>
        <w:pStyle w:val="Textoindependiente"/>
        <w:ind w:firstLine="705"/>
        <w:rPr>
          <w:rFonts w:ascii="Abadi" w:hAnsi="Abadi"/>
          <w:sz w:val="21"/>
          <w:szCs w:val="21"/>
        </w:rPr>
      </w:pPr>
    </w:p>
    <w:p w14:paraId="41BA63A1" w14:textId="77777777" w:rsidR="00970E21" w:rsidRPr="007C2894" w:rsidRDefault="00970E21" w:rsidP="00970E21">
      <w:pPr>
        <w:pStyle w:val="Textoindependiente"/>
        <w:ind w:firstLine="705"/>
        <w:rPr>
          <w:rFonts w:ascii="Abadi" w:hAnsi="Abadi"/>
          <w:b w:val="0"/>
          <w:bCs w:val="0"/>
          <w:sz w:val="21"/>
          <w:szCs w:val="21"/>
        </w:rPr>
      </w:pPr>
      <w:r w:rsidRPr="007C2894">
        <w:rPr>
          <w:rFonts w:ascii="Abadi" w:hAnsi="Abadi"/>
          <w:b w:val="0"/>
          <w:bCs w:val="0"/>
          <w:sz w:val="21"/>
          <w:szCs w:val="21"/>
        </w:rPr>
        <w:t>En esta parte, se adjuntan los anexos técnicos derivados de la revisión practicada.</w:t>
      </w:r>
    </w:p>
    <w:p w14:paraId="268CEF88" w14:textId="77777777" w:rsidR="00970E21" w:rsidRPr="00B05937" w:rsidRDefault="00970E21" w:rsidP="00970E21">
      <w:pPr>
        <w:pStyle w:val="Textoindependiente"/>
        <w:ind w:firstLine="705"/>
        <w:rPr>
          <w:rFonts w:ascii="Abadi" w:hAnsi="Abadi"/>
          <w:sz w:val="21"/>
          <w:szCs w:val="21"/>
        </w:rPr>
      </w:pPr>
    </w:p>
    <w:p w14:paraId="07CDF84C" w14:textId="77777777" w:rsidR="00970E21" w:rsidRPr="00B05937" w:rsidRDefault="00970E21" w:rsidP="00970E21">
      <w:pPr>
        <w:ind w:firstLine="708"/>
        <w:jc w:val="both"/>
        <w:rPr>
          <w:rFonts w:ascii="Abadi" w:hAnsi="Abadi" w:cs="Arial"/>
          <w:b/>
          <w:bCs/>
          <w:sz w:val="21"/>
          <w:szCs w:val="21"/>
        </w:rPr>
      </w:pPr>
      <w:r w:rsidRPr="00B05937">
        <w:rPr>
          <w:rFonts w:ascii="Abadi" w:hAnsi="Abadi" w:cs="Arial"/>
          <w:b/>
          <w:bCs/>
          <w:sz w:val="21"/>
          <w:szCs w:val="21"/>
        </w:rPr>
        <w:t>V. Conclusiones:</w:t>
      </w:r>
    </w:p>
    <w:p w14:paraId="03BB1E74" w14:textId="77777777" w:rsidR="00970E21" w:rsidRPr="00B05937" w:rsidRDefault="00970E21" w:rsidP="00970E21">
      <w:pPr>
        <w:jc w:val="both"/>
        <w:rPr>
          <w:rFonts w:ascii="Abadi" w:hAnsi="Abadi" w:cs="Arial"/>
          <w:sz w:val="21"/>
          <w:szCs w:val="21"/>
        </w:rPr>
      </w:pPr>
    </w:p>
    <w:p w14:paraId="3C8C0D60" w14:textId="77777777" w:rsidR="00970E21" w:rsidRPr="00B05937" w:rsidRDefault="00970E21" w:rsidP="00970E21">
      <w:pPr>
        <w:jc w:val="both"/>
        <w:rPr>
          <w:rFonts w:ascii="Abadi" w:hAnsi="Abadi" w:cs="Arial"/>
          <w:sz w:val="21"/>
          <w:szCs w:val="21"/>
        </w:rPr>
      </w:pPr>
      <w:r w:rsidRPr="00B05937">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B05937">
          <w:rPr>
            <w:rFonts w:ascii="Abadi" w:hAnsi="Abadi" w:cs="Arial"/>
            <w:sz w:val="21"/>
            <w:szCs w:val="21"/>
          </w:rPr>
          <w:t>la Ley</w:t>
        </w:r>
      </w:smartTag>
      <w:r w:rsidRPr="00B05937">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3E9EF6B" w14:textId="77777777" w:rsidR="00970E21" w:rsidRPr="00B05937" w:rsidRDefault="00970E21" w:rsidP="00970E21">
      <w:pPr>
        <w:jc w:val="both"/>
        <w:rPr>
          <w:rFonts w:ascii="Abadi" w:hAnsi="Abadi" w:cs="Arial"/>
          <w:sz w:val="21"/>
          <w:szCs w:val="21"/>
        </w:rPr>
      </w:pPr>
    </w:p>
    <w:p w14:paraId="2092CA05" w14:textId="77777777" w:rsidR="00970E21" w:rsidRPr="00B05937" w:rsidRDefault="00970E21" w:rsidP="00970E21">
      <w:pPr>
        <w:jc w:val="both"/>
        <w:rPr>
          <w:rFonts w:ascii="Abadi" w:hAnsi="Abadi" w:cs="Arial"/>
          <w:sz w:val="21"/>
          <w:szCs w:val="21"/>
        </w:rPr>
      </w:pPr>
      <w:r w:rsidRPr="00B05937">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A5CD5BE" w14:textId="77777777" w:rsidR="00970E21" w:rsidRPr="00B05937" w:rsidRDefault="00970E21" w:rsidP="00970E21">
      <w:pPr>
        <w:ind w:firstLine="708"/>
        <w:jc w:val="both"/>
        <w:rPr>
          <w:rFonts w:ascii="Abadi" w:hAnsi="Abadi" w:cs="Arial"/>
          <w:sz w:val="21"/>
          <w:szCs w:val="21"/>
        </w:rPr>
      </w:pPr>
    </w:p>
    <w:p w14:paraId="1680AF25"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lastRenderedPageBreak/>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B05937">
          <w:rPr>
            <w:rFonts w:ascii="Abadi" w:hAnsi="Abadi" w:cs="Arial"/>
            <w:sz w:val="21"/>
            <w:szCs w:val="21"/>
          </w:rPr>
          <w:t>la Ley</w:t>
        </w:r>
      </w:smartTag>
      <w:r w:rsidRPr="00B05937">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61CBDF1A" w14:textId="77777777" w:rsidR="00970E21" w:rsidRPr="00B05937" w:rsidRDefault="00970E21" w:rsidP="00970E21">
      <w:pPr>
        <w:ind w:firstLine="708"/>
        <w:jc w:val="both"/>
        <w:rPr>
          <w:rFonts w:ascii="Abadi" w:hAnsi="Abadi" w:cs="Arial"/>
          <w:sz w:val="21"/>
          <w:szCs w:val="21"/>
        </w:rPr>
      </w:pPr>
    </w:p>
    <w:p w14:paraId="653ADF48"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De igual manera, existe en el informe de resultados la constancia de que este se notificó al presidente y al ex presidente municipales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B05937">
          <w:rPr>
            <w:rFonts w:ascii="Abadi" w:hAnsi="Abadi" w:cs="Arial"/>
            <w:sz w:val="21"/>
            <w:szCs w:val="21"/>
          </w:rPr>
          <w:t>la Ley</w:t>
        </w:r>
      </w:smartTag>
      <w:r w:rsidRPr="00B05937">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En tal virtud, se considera que fue respetado el derecho de audiencia o defensa por parte del Órgano Técnico.</w:t>
      </w:r>
    </w:p>
    <w:p w14:paraId="1E94AA25" w14:textId="77777777" w:rsidR="00970E21" w:rsidRPr="00B05937" w:rsidRDefault="00970E21" w:rsidP="00970E21">
      <w:pPr>
        <w:ind w:firstLine="708"/>
        <w:jc w:val="both"/>
        <w:rPr>
          <w:rFonts w:ascii="Abadi" w:hAnsi="Abadi" w:cs="Arial"/>
          <w:sz w:val="21"/>
          <w:szCs w:val="21"/>
        </w:rPr>
      </w:pPr>
    </w:p>
    <w:p w14:paraId="485010E0"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w:t>
      </w:r>
      <w:r w:rsidRPr="00B05937">
        <w:rPr>
          <w:rFonts w:ascii="Abadi" w:hAnsi="Abadi" w:cs="Arial"/>
          <w:sz w:val="21"/>
          <w:szCs w:val="21"/>
        </w:rPr>
        <w:t>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2A44D7F" w14:textId="77777777" w:rsidR="00970E21" w:rsidRPr="00B05937" w:rsidRDefault="00970E21" w:rsidP="00970E21">
      <w:pPr>
        <w:ind w:firstLine="708"/>
        <w:jc w:val="both"/>
        <w:rPr>
          <w:rFonts w:ascii="Abadi" w:hAnsi="Abadi" w:cs="Arial"/>
          <w:sz w:val="21"/>
          <w:szCs w:val="21"/>
        </w:rPr>
      </w:pPr>
    </w:p>
    <w:p w14:paraId="343DDF19"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44A49361" w14:textId="77777777" w:rsidR="00970E21" w:rsidRPr="00B05937" w:rsidRDefault="00970E21" w:rsidP="00970E21">
      <w:pPr>
        <w:jc w:val="both"/>
        <w:rPr>
          <w:rFonts w:ascii="Abadi" w:hAnsi="Abadi" w:cs="Arial"/>
          <w:sz w:val="21"/>
          <w:szCs w:val="21"/>
        </w:rPr>
      </w:pPr>
    </w:p>
    <w:p w14:paraId="78B6CD25"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observación no solventada contenida en el informe de resultados.</w:t>
      </w:r>
    </w:p>
    <w:p w14:paraId="17E90DA3" w14:textId="77777777" w:rsidR="00970E21" w:rsidRPr="00B05937" w:rsidRDefault="00970E21" w:rsidP="00970E21">
      <w:pPr>
        <w:ind w:firstLine="708"/>
        <w:jc w:val="both"/>
        <w:rPr>
          <w:rFonts w:ascii="Abadi" w:hAnsi="Abadi" w:cs="Arial"/>
          <w:sz w:val="21"/>
          <w:szCs w:val="21"/>
        </w:rPr>
      </w:pPr>
    </w:p>
    <w:p w14:paraId="62BCF02B"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556862E" w14:textId="77777777" w:rsidR="00970E21" w:rsidRPr="00B05937" w:rsidRDefault="00970E21" w:rsidP="00970E21">
      <w:pPr>
        <w:ind w:firstLine="708"/>
        <w:jc w:val="both"/>
        <w:rPr>
          <w:rFonts w:ascii="Abadi" w:hAnsi="Abadi" w:cs="Arial"/>
          <w:sz w:val="21"/>
          <w:szCs w:val="21"/>
        </w:rPr>
      </w:pPr>
    </w:p>
    <w:p w14:paraId="63663D0B"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 xml:space="preserve">En razón de lo anteriormente señalado, concluimos que el informe de resultados de la revisión practicada a la cuenta pública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xml:space="preserve">., correspondiente al ejercicio fiscal del año 2021, debe sancionarse por el Congreso en los términos formulados por la Auditoría </w:t>
      </w:r>
      <w:r w:rsidRPr="00B05937">
        <w:rPr>
          <w:rFonts w:ascii="Abadi" w:hAnsi="Abadi" w:cs="Arial"/>
          <w:sz w:val="21"/>
          <w:szCs w:val="21"/>
        </w:rPr>
        <w:lastRenderedPageBreak/>
        <w:t xml:space="preserve">Superior del Estado y proceder a su aprobación, considerando que no se presenta el supuesto contenido en el artículo 38 de </w:t>
      </w:r>
      <w:smartTag w:uri="urn:schemas-microsoft-com:office:smarttags" w:element="PersonName">
        <w:smartTagPr>
          <w:attr w:name="ProductID" w:val="la Ley"/>
        </w:smartTagPr>
        <w:r w:rsidRPr="00B05937">
          <w:rPr>
            <w:rFonts w:ascii="Abadi" w:hAnsi="Abadi" w:cs="Arial"/>
            <w:sz w:val="21"/>
            <w:szCs w:val="21"/>
          </w:rPr>
          <w:t>la Ley</w:t>
        </w:r>
      </w:smartTag>
      <w:r w:rsidRPr="00B05937">
        <w:rPr>
          <w:rFonts w:ascii="Abadi" w:hAnsi="Abadi" w:cs="Arial"/>
          <w:sz w:val="21"/>
          <w:szCs w:val="21"/>
        </w:rPr>
        <w:t xml:space="preserve"> de Fiscalización Superior del Estado de Guanajuato, razón por la cual no podría ser observado por el Pleno del Congreso.</w:t>
      </w:r>
    </w:p>
    <w:p w14:paraId="6440C0E3" w14:textId="77777777" w:rsidR="00970E21" w:rsidRPr="00B05937" w:rsidRDefault="00970E21" w:rsidP="00970E21">
      <w:pPr>
        <w:ind w:firstLine="708"/>
        <w:jc w:val="both"/>
        <w:rPr>
          <w:rFonts w:ascii="Abadi" w:hAnsi="Abadi" w:cs="Arial"/>
          <w:sz w:val="21"/>
          <w:szCs w:val="21"/>
        </w:rPr>
      </w:pPr>
    </w:p>
    <w:p w14:paraId="2334A1E7" w14:textId="77777777" w:rsidR="00970E21" w:rsidRPr="00B05937" w:rsidRDefault="00970E21" w:rsidP="00970E21">
      <w:pPr>
        <w:pStyle w:val="Sangra3detindependiente"/>
        <w:spacing w:line="240" w:lineRule="auto"/>
        <w:rPr>
          <w:rFonts w:ascii="Abadi" w:hAnsi="Abadi"/>
          <w:sz w:val="21"/>
          <w:szCs w:val="21"/>
        </w:rPr>
      </w:pPr>
      <w:r w:rsidRPr="00B05937">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B05937">
          <w:rPr>
            <w:rFonts w:ascii="Abadi" w:hAnsi="Abadi"/>
            <w:sz w:val="21"/>
            <w:szCs w:val="21"/>
          </w:rPr>
          <w:t>la Ley Orgánica</w:t>
        </w:r>
      </w:smartTag>
      <w:r w:rsidRPr="00B05937">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B05937">
          <w:rPr>
            <w:rFonts w:ascii="Abadi" w:hAnsi="Abadi"/>
            <w:sz w:val="21"/>
            <w:szCs w:val="21"/>
          </w:rPr>
          <w:t>la Asamblea</w:t>
        </w:r>
      </w:smartTag>
      <w:r w:rsidRPr="00B05937">
        <w:rPr>
          <w:rFonts w:ascii="Abadi" w:hAnsi="Abadi"/>
          <w:sz w:val="21"/>
          <w:szCs w:val="21"/>
        </w:rPr>
        <w:t>, la aprobación del siguiente:</w:t>
      </w:r>
    </w:p>
    <w:p w14:paraId="3533E1CD" w14:textId="77777777" w:rsidR="00970E21" w:rsidRPr="00B05937" w:rsidRDefault="00970E21" w:rsidP="00970E21">
      <w:pPr>
        <w:pStyle w:val="Sangra3detindependiente"/>
        <w:spacing w:line="240" w:lineRule="auto"/>
        <w:rPr>
          <w:rFonts w:ascii="Abadi" w:hAnsi="Abadi"/>
          <w:sz w:val="21"/>
          <w:szCs w:val="21"/>
        </w:rPr>
      </w:pPr>
    </w:p>
    <w:p w14:paraId="226A48DF" w14:textId="77777777" w:rsidR="00970E21" w:rsidRPr="00B05937" w:rsidRDefault="00970E21" w:rsidP="00970E21">
      <w:pPr>
        <w:pStyle w:val="Ttulo1"/>
        <w:jc w:val="center"/>
        <w:rPr>
          <w:rFonts w:ascii="Abadi" w:hAnsi="Abadi" w:cs="Arial"/>
          <w:smallCaps/>
          <w:sz w:val="21"/>
          <w:szCs w:val="21"/>
        </w:rPr>
      </w:pPr>
      <w:r w:rsidRPr="00B05937">
        <w:rPr>
          <w:rFonts w:ascii="Abadi" w:hAnsi="Abadi" w:cs="Arial"/>
          <w:smallCaps/>
          <w:sz w:val="21"/>
          <w:szCs w:val="21"/>
        </w:rPr>
        <w:t>A c u e r d o</w:t>
      </w:r>
    </w:p>
    <w:p w14:paraId="627A4CDB" w14:textId="77777777" w:rsidR="00970E21" w:rsidRPr="00B05937" w:rsidRDefault="00970E21" w:rsidP="00970E21">
      <w:pPr>
        <w:rPr>
          <w:rFonts w:ascii="Abadi" w:hAnsi="Abadi"/>
          <w:sz w:val="21"/>
          <w:szCs w:val="21"/>
        </w:rPr>
      </w:pPr>
    </w:p>
    <w:p w14:paraId="08E35018" w14:textId="77777777" w:rsidR="00970E21" w:rsidRPr="00B05937" w:rsidRDefault="00970E21" w:rsidP="00970E21">
      <w:pPr>
        <w:ind w:firstLine="708"/>
        <w:jc w:val="both"/>
        <w:rPr>
          <w:rFonts w:ascii="Abadi" w:hAnsi="Abadi" w:cs="Arial"/>
          <w:sz w:val="21"/>
          <w:szCs w:val="21"/>
        </w:rPr>
      </w:pPr>
      <w:r w:rsidRPr="00B05937">
        <w:rPr>
          <w:rFonts w:ascii="Abadi" w:hAnsi="Abadi" w:cs="Arial"/>
          <w:b/>
          <w:bCs/>
          <w:sz w:val="21"/>
          <w:szCs w:val="21"/>
        </w:rPr>
        <w:t xml:space="preserve">Único. </w:t>
      </w:r>
      <w:r w:rsidRPr="00B05937">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B05937">
          <w:rPr>
            <w:rFonts w:ascii="Abadi" w:hAnsi="Abadi" w:cs="Arial"/>
            <w:sz w:val="21"/>
            <w:szCs w:val="21"/>
          </w:rPr>
          <w:t>la Constitución Política</w:t>
        </w:r>
      </w:smartTag>
      <w:r w:rsidRPr="00B05937">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Purísima del Rincón, </w:t>
      </w:r>
      <w:proofErr w:type="spellStart"/>
      <w:r w:rsidRPr="00B05937">
        <w:rPr>
          <w:rFonts w:ascii="Abadi" w:hAnsi="Abadi" w:cs="Arial"/>
          <w:sz w:val="21"/>
          <w:szCs w:val="21"/>
        </w:rPr>
        <w:t>Gto</w:t>
      </w:r>
      <w:proofErr w:type="spellEnd"/>
      <w:r w:rsidRPr="00B05937">
        <w:rPr>
          <w:rFonts w:ascii="Abadi" w:hAnsi="Abadi" w:cs="Arial"/>
          <w:sz w:val="21"/>
          <w:szCs w:val="21"/>
        </w:rPr>
        <w:t>., correspondiente al ejercicio fiscal del año 2021, con base en el informe de resultados formulado por la Auditoría Superior del Estado de Guanajuato.</w:t>
      </w:r>
    </w:p>
    <w:p w14:paraId="138456BA" w14:textId="77777777" w:rsidR="00970E21" w:rsidRPr="00B05937" w:rsidRDefault="00970E21" w:rsidP="00970E21">
      <w:pPr>
        <w:ind w:firstLine="708"/>
        <w:jc w:val="both"/>
        <w:rPr>
          <w:rFonts w:ascii="Abadi" w:hAnsi="Abadi" w:cs="Arial"/>
          <w:sz w:val="21"/>
          <w:szCs w:val="21"/>
        </w:rPr>
      </w:pPr>
    </w:p>
    <w:p w14:paraId="56FFE547" w14:textId="77777777" w:rsidR="00970E21" w:rsidRPr="00B05937" w:rsidRDefault="00970E21" w:rsidP="00970E21">
      <w:pPr>
        <w:pStyle w:val="Sangra3detindependiente"/>
        <w:spacing w:line="240" w:lineRule="auto"/>
        <w:rPr>
          <w:rFonts w:ascii="Abadi" w:hAnsi="Abadi"/>
          <w:sz w:val="21"/>
          <w:szCs w:val="21"/>
          <w:lang w:val="es-MX"/>
        </w:rPr>
      </w:pPr>
      <w:r w:rsidRPr="00B05937">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05937">
        <w:rPr>
          <w:rFonts w:ascii="Abadi" w:hAnsi="Abadi"/>
          <w:sz w:val="21"/>
          <w:szCs w:val="21"/>
          <w:lang w:val="es-MX"/>
        </w:rPr>
        <w:t>.</w:t>
      </w:r>
      <w:r w:rsidRPr="00B05937">
        <w:rPr>
          <w:rFonts w:ascii="Abadi" w:hAnsi="Abadi"/>
          <w:sz w:val="21"/>
          <w:szCs w:val="21"/>
        </w:rPr>
        <w:t xml:space="preserve"> </w:t>
      </w:r>
      <w:r w:rsidRPr="00B05937">
        <w:rPr>
          <w:rFonts w:ascii="Abadi" w:hAnsi="Abadi"/>
          <w:sz w:val="21"/>
          <w:szCs w:val="21"/>
          <w:lang w:val="es-MX"/>
        </w:rPr>
        <w:t>Asimismo, dará</w:t>
      </w:r>
      <w:r w:rsidRPr="00B05937">
        <w:rPr>
          <w:rFonts w:ascii="Abadi" w:hAnsi="Abadi"/>
          <w:sz w:val="21"/>
          <w:szCs w:val="21"/>
        </w:rPr>
        <w:t xml:space="preserve"> seguimiento a la </w:t>
      </w:r>
      <w:proofErr w:type="spellStart"/>
      <w:r w:rsidRPr="00B05937">
        <w:rPr>
          <w:rFonts w:ascii="Abadi" w:hAnsi="Abadi"/>
          <w:sz w:val="21"/>
          <w:szCs w:val="21"/>
        </w:rPr>
        <w:t>observaci</w:t>
      </w:r>
      <w:r w:rsidRPr="00B05937">
        <w:rPr>
          <w:rFonts w:ascii="Abadi" w:hAnsi="Abadi"/>
          <w:sz w:val="21"/>
          <w:szCs w:val="21"/>
          <w:lang w:val="es-MX"/>
        </w:rPr>
        <w:t>ón</w:t>
      </w:r>
      <w:proofErr w:type="spellEnd"/>
      <w:r w:rsidRPr="00B05937">
        <w:rPr>
          <w:rFonts w:ascii="Abadi" w:hAnsi="Abadi"/>
          <w:sz w:val="21"/>
          <w:szCs w:val="21"/>
        </w:rPr>
        <w:t xml:space="preserve"> no solventada contenida en el informe de resultados</w:t>
      </w:r>
      <w:r w:rsidRPr="00B05937">
        <w:rPr>
          <w:rFonts w:ascii="Abadi" w:hAnsi="Abadi"/>
          <w:sz w:val="21"/>
          <w:szCs w:val="21"/>
          <w:lang w:val="es-MX"/>
        </w:rPr>
        <w:t>.</w:t>
      </w:r>
    </w:p>
    <w:p w14:paraId="320BA81D" w14:textId="77777777" w:rsidR="00970E21" w:rsidRPr="00B05937" w:rsidRDefault="00970E21" w:rsidP="00970E21">
      <w:pPr>
        <w:pStyle w:val="Sangra3detindependiente"/>
        <w:spacing w:line="240" w:lineRule="auto"/>
        <w:rPr>
          <w:rFonts w:ascii="Abadi" w:hAnsi="Abadi"/>
          <w:sz w:val="21"/>
          <w:szCs w:val="21"/>
          <w:lang w:val="es-MX"/>
        </w:rPr>
      </w:pPr>
    </w:p>
    <w:p w14:paraId="043D39C7" w14:textId="77777777" w:rsidR="00970E21" w:rsidRPr="00B05937" w:rsidRDefault="00970E21" w:rsidP="00970E21">
      <w:pPr>
        <w:pStyle w:val="Sangra3detindependiente"/>
        <w:spacing w:line="240" w:lineRule="auto"/>
        <w:rPr>
          <w:rFonts w:ascii="Abadi" w:hAnsi="Abadi"/>
          <w:sz w:val="21"/>
          <w:szCs w:val="21"/>
        </w:rPr>
      </w:pPr>
      <w:r w:rsidRPr="00B05937">
        <w:rPr>
          <w:rFonts w:ascii="Abadi" w:hAnsi="Abadi"/>
          <w:sz w:val="21"/>
          <w:szCs w:val="21"/>
        </w:rPr>
        <w:t>Del proceso de fiscalización no se desprendieron recomendaciones.</w:t>
      </w:r>
    </w:p>
    <w:p w14:paraId="3BDE4795" w14:textId="77777777" w:rsidR="00970E21" w:rsidRPr="00B05937" w:rsidRDefault="00970E21" w:rsidP="00970E21">
      <w:pPr>
        <w:ind w:firstLine="708"/>
        <w:jc w:val="both"/>
        <w:rPr>
          <w:rFonts w:ascii="Abadi" w:hAnsi="Abadi" w:cs="Arial"/>
          <w:sz w:val="21"/>
          <w:szCs w:val="21"/>
        </w:rPr>
      </w:pPr>
    </w:p>
    <w:p w14:paraId="596CF31F" w14:textId="77777777" w:rsidR="00970E21" w:rsidRPr="00B05937" w:rsidRDefault="00970E21" w:rsidP="00970E21">
      <w:pPr>
        <w:ind w:firstLine="708"/>
        <w:jc w:val="both"/>
        <w:rPr>
          <w:rFonts w:ascii="Abadi" w:hAnsi="Abadi" w:cs="Arial"/>
          <w:sz w:val="21"/>
          <w:szCs w:val="21"/>
        </w:rPr>
      </w:pPr>
      <w:r w:rsidRPr="00B05937">
        <w:rPr>
          <w:rFonts w:ascii="Abadi" w:hAnsi="Abadi" w:cs="Arial"/>
          <w:sz w:val="21"/>
          <w:szCs w:val="21"/>
        </w:rPr>
        <w:t>Remítase el presente acuerdo al titular del Poder Ejecutivo del Estado para su publicación en el Periódico Oficial del Gobierno del Estado.</w:t>
      </w:r>
    </w:p>
    <w:p w14:paraId="43B7DDDA" w14:textId="77777777" w:rsidR="00970E21" w:rsidRPr="00B05937" w:rsidRDefault="00970E21" w:rsidP="00970E21">
      <w:pPr>
        <w:ind w:firstLine="708"/>
        <w:jc w:val="both"/>
        <w:rPr>
          <w:rFonts w:ascii="Abadi" w:hAnsi="Abadi" w:cs="Arial"/>
          <w:sz w:val="21"/>
          <w:szCs w:val="21"/>
        </w:rPr>
      </w:pPr>
    </w:p>
    <w:p w14:paraId="7FC6DC1E" w14:textId="77777777" w:rsidR="00970E21" w:rsidRPr="00B05937" w:rsidRDefault="00970E21" w:rsidP="00970E21">
      <w:pPr>
        <w:pStyle w:val="Sangra3detindependiente"/>
        <w:spacing w:line="240" w:lineRule="auto"/>
        <w:rPr>
          <w:rFonts w:ascii="Abadi" w:hAnsi="Abadi"/>
          <w:sz w:val="21"/>
          <w:szCs w:val="21"/>
        </w:rPr>
      </w:pPr>
      <w:r w:rsidRPr="00B05937">
        <w:rPr>
          <w:rFonts w:ascii="Abadi" w:hAnsi="Abadi"/>
          <w:sz w:val="21"/>
          <w:szCs w:val="21"/>
        </w:rPr>
        <w:t xml:space="preserve">De conformidad con el artículo 37, fracción VI de la Ley de Fiscalización Superior </w:t>
      </w:r>
      <w:r w:rsidRPr="00B05937">
        <w:rPr>
          <w:rFonts w:ascii="Abadi" w:hAnsi="Abadi"/>
          <w:sz w:val="21"/>
          <w:szCs w:val="21"/>
        </w:rPr>
        <w:t>del Estado de Guanajuato, remítase el presente acuerdo junto con su dictamen y el informe de resultados a la Auditoría Superior del Estado, para efectos de su notificación.</w:t>
      </w:r>
    </w:p>
    <w:p w14:paraId="0AF768A2" w14:textId="77777777" w:rsidR="00970E21" w:rsidRPr="00B05937" w:rsidRDefault="00970E21" w:rsidP="00970E21">
      <w:pPr>
        <w:jc w:val="center"/>
        <w:rPr>
          <w:rFonts w:ascii="Abadi" w:hAnsi="Abadi" w:cs="Arial"/>
          <w:b/>
          <w:bCs/>
          <w:sz w:val="21"/>
          <w:szCs w:val="21"/>
          <w:lang w:eastAsia="x-none"/>
        </w:rPr>
      </w:pPr>
    </w:p>
    <w:p w14:paraId="5075BA89" w14:textId="77777777" w:rsidR="00970E21" w:rsidRPr="00B05937" w:rsidRDefault="00970E21" w:rsidP="00970E21">
      <w:pPr>
        <w:jc w:val="center"/>
        <w:rPr>
          <w:rFonts w:ascii="Abadi" w:hAnsi="Abadi" w:cs="Arial"/>
          <w:b/>
          <w:bCs/>
          <w:sz w:val="21"/>
          <w:szCs w:val="21"/>
          <w:lang w:eastAsia="x-none"/>
        </w:rPr>
      </w:pPr>
      <w:r w:rsidRPr="00B05937">
        <w:rPr>
          <w:rFonts w:ascii="Abadi" w:hAnsi="Abadi" w:cs="Arial"/>
          <w:b/>
          <w:bCs/>
          <w:sz w:val="21"/>
          <w:szCs w:val="21"/>
          <w:lang w:eastAsia="x-none"/>
        </w:rPr>
        <w:t xml:space="preserve">Guanajuato, </w:t>
      </w:r>
      <w:proofErr w:type="spellStart"/>
      <w:r w:rsidRPr="00B05937">
        <w:rPr>
          <w:rFonts w:ascii="Abadi" w:hAnsi="Abadi" w:cs="Arial"/>
          <w:b/>
          <w:bCs/>
          <w:sz w:val="21"/>
          <w:szCs w:val="21"/>
          <w:lang w:eastAsia="x-none"/>
        </w:rPr>
        <w:t>Gto</w:t>
      </w:r>
      <w:proofErr w:type="spellEnd"/>
      <w:r w:rsidRPr="00B05937">
        <w:rPr>
          <w:rFonts w:ascii="Abadi" w:hAnsi="Abadi" w:cs="Arial"/>
          <w:b/>
          <w:bCs/>
          <w:sz w:val="21"/>
          <w:szCs w:val="21"/>
          <w:lang w:eastAsia="x-none"/>
        </w:rPr>
        <w:t>., 13 de junio de 2023</w:t>
      </w:r>
    </w:p>
    <w:p w14:paraId="4F81EFA3" w14:textId="77777777" w:rsidR="00970E21" w:rsidRPr="00B05937" w:rsidRDefault="00970E21" w:rsidP="00970E21">
      <w:pPr>
        <w:jc w:val="center"/>
        <w:rPr>
          <w:rFonts w:ascii="Abadi" w:hAnsi="Abadi" w:cs="Arial"/>
          <w:b/>
          <w:bCs/>
          <w:sz w:val="21"/>
          <w:szCs w:val="21"/>
          <w:lang w:eastAsia="x-none"/>
        </w:rPr>
      </w:pPr>
      <w:smartTag w:uri="urn:schemas-microsoft-com:office:smarttags" w:element="PersonName">
        <w:smartTagPr>
          <w:attr w:name="ProductID" w:val="La Comisi￳n"/>
        </w:smartTagPr>
        <w:r w:rsidRPr="00B05937">
          <w:rPr>
            <w:rFonts w:ascii="Abadi" w:hAnsi="Abadi" w:cs="Arial"/>
            <w:b/>
            <w:bCs/>
            <w:sz w:val="21"/>
            <w:szCs w:val="21"/>
            <w:lang w:eastAsia="x-none"/>
          </w:rPr>
          <w:t>La Comisión</w:t>
        </w:r>
      </w:smartTag>
      <w:r w:rsidRPr="00B05937">
        <w:rPr>
          <w:rFonts w:ascii="Abadi" w:hAnsi="Abadi" w:cs="Arial"/>
          <w:b/>
          <w:bCs/>
          <w:sz w:val="21"/>
          <w:szCs w:val="21"/>
          <w:lang w:eastAsia="x-none"/>
        </w:rPr>
        <w:t xml:space="preserve"> de Hacienda y Fiscalización</w:t>
      </w:r>
    </w:p>
    <w:p w14:paraId="46D32033" w14:textId="77777777" w:rsidR="00970E21" w:rsidRPr="00B05937" w:rsidRDefault="00970E21" w:rsidP="00970E21">
      <w:pPr>
        <w:jc w:val="center"/>
        <w:rPr>
          <w:rFonts w:ascii="Abadi" w:hAnsi="Abadi" w:cs="Arial"/>
          <w:sz w:val="21"/>
          <w:szCs w:val="21"/>
        </w:rPr>
      </w:pPr>
    </w:p>
    <w:p w14:paraId="2C871228" w14:textId="77777777" w:rsidR="00970E21" w:rsidRPr="00B05937" w:rsidRDefault="00970E21" w:rsidP="00970E21">
      <w:pPr>
        <w:jc w:val="center"/>
        <w:rPr>
          <w:rFonts w:ascii="Abadi" w:hAnsi="Abadi" w:cs="Arial"/>
          <w:sz w:val="21"/>
          <w:szCs w:val="21"/>
        </w:rPr>
      </w:pPr>
    </w:p>
    <w:p w14:paraId="54D042E6" w14:textId="77777777" w:rsidR="00970E21" w:rsidRPr="00B05937" w:rsidRDefault="00970E21" w:rsidP="00970E21">
      <w:pPr>
        <w:jc w:val="center"/>
        <w:rPr>
          <w:rFonts w:ascii="Abadi" w:hAnsi="Abadi" w:cs="Arial"/>
          <w:sz w:val="21"/>
          <w:szCs w:val="21"/>
        </w:rPr>
      </w:pPr>
      <w:r w:rsidRPr="00B05937">
        <w:rPr>
          <w:rFonts w:ascii="Abadi" w:hAnsi="Abadi" w:cs="Arial"/>
          <w:b/>
          <w:sz w:val="21"/>
          <w:szCs w:val="21"/>
          <w:lang w:eastAsia="x-none"/>
        </w:rPr>
        <w:t>Diputado Víctor Manuel Zanella Huerta</w:t>
      </w:r>
    </w:p>
    <w:p w14:paraId="54A35E80" w14:textId="77777777" w:rsidR="00970E21" w:rsidRPr="00B05937" w:rsidRDefault="00970E21" w:rsidP="00970E21">
      <w:pPr>
        <w:jc w:val="both"/>
        <w:rPr>
          <w:rFonts w:ascii="Abadi" w:hAnsi="Abadi" w:cs="Arial"/>
          <w:sz w:val="21"/>
          <w:szCs w:val="21"/>
          <w:lang w:eastAsia="x-none"/>
        </w:rPr>
      </w:pPr>
    </w:p>
    <w:p w14:paraId="1A6D3263" w14:textId="77777777" w:rsidR="00970E21" w:rsidRPr="00B05937" w:rsidRDefault="00970E21" w:rsidP="00970E21">
      <w:pPr>
        <w:jc w:val="both"/>
        <w:rPr>
          <w:rFonts w:ascii="Abadi" w:hAnsi="Abadi" w:cs="Arial"/>
          <w:sz w:val="21"/>
          <w:szCs w:val="21"/>
          <w:lang w:eastAsia="x-none"/>
        </w:rPr>
      </w:pPr>
    </w:p>
    <w:p w14:paraId="6A32CA4B" w14:textId="77777777" w:rsidR="00970E21" w:rsidRPr="00B05937" w:rsidRDefault="00970E21" w:rsidP="00970E21">
      <w:pPr>
        <w:rPr>
          <w:rFonts w:ascii="Abadi" w:hAnsi="Abadi" w:cs="Arial"/>
          <w:b/>
          <w:bCs/>
          <w:sz w:val="21"/>
          <w:szCs w:val="21"/>
          <w:lang w:eastAsia="x-none"/>
        </w:rPr>
      </w:pPr>
    </w:p>
    <w:p w14:paraId="39878047" w14:textId="77777777" w:rsidR="00970E21" w:rsidRPr="00B05937" w:rsidRDefault="00970E21" w:rsidP="00970E21">
      <w:pPr>
        <w:rPr>
          <w:rFonts w:ascii="Abadi" w:hAnsi="Abadi" w:cs="Arial"/>
          <w:b/>
          <w:sz w:val="21"/>
          <w:szCs w:val="21"/>
          <w:lang w:eastAsia="x-none"/>
        </w:rPr>
      </w:pPr>
      <w:r w:rsidRPr="00B05937">
        <w:rPr>
          <w:rFonts w:ascii="Abadi" w:hAnsi="Abadi" w:cs="Arial"/>
          <w:b/>
          <w:sz w:val="21"/>
          <w:szCs w:val="21"/>
          <w:lang w:eastAsia="x-none"/>
        </w:rPr>
        <w:t xml:space="preserve">Diputada Ruth Noemí Tiscareño Agoitia      </w:t>
      </w:r>
    </w:p>
    <w:p w14:paraId="5E2BDC7E" w14:textId="31278CFF" w:rsidR="00970E21" w:rsidRPr="00B05937" w:rsidRDefault="00970E21" w:rsidP="007C2894">
      <w:pPr>
        <w:rPr>
          <w:rFonts w:ascii="Abadi" w:hAnsi="Abadi" w:cs="Arial"/>
          <w:b/>
          <w:sz w:val="21"/>
          <w:szCs w:val="21"/>
          <w:lang w:eastAsia="x-none"/>
        </w:rPr>
      </w:pPr>
      <w:r w:rsidRPr="00B05937">
        <w:rPr>
          <w:rFonts w:ascii="Abadi" w:hAnsi="Abadi" w:cs="Arial"/>
          <w:b/>
          <w:sz w:val="21"/>
          <w:szCs w:val="21"/>
          <w:lang w:eastAsia="x-none"/>
        </w:rPr>
        <w:t xml:space="preserve">Diputado Miguel Ángel Salim </w:t>
      </w:r>
      <w:proofErr w:type="spellStart"/>
      <w:r w:rsidRPr="00B05937">
        <w:rPr>
          <w:rFonts w:ascii="Abadi" w:hAnsi="Abadi" w:cs="Arial"/>
          <w:b/>
          <w:sz w:val="21"/>
          <w:szCs w:val="21"/>
          <w:lang w:eastAsia="x-none"/>
        </w:rPr>
        <w:t>Alle</w:t>
      </w:r>
      <w:proofErr w:type="spellEnd"/>
    </w:p>
    <w:p w14:paraId="74A5CA38" w14:textId="77777777" w:rsidR="00970E21" w:rsidRPr="00B05937" w:rsidRDefault="00970E21" w:rsidP="00970E21">
      <w:pPr>
        <w:rPr>
          <w:rFonts w:ascii="Abadi" w:hAnsi="Abadi" w:cs="Arial"/>
          <w:b/>
          <w:sz w:val="21"/>
          <w:szCs w:val="21"/>
          <w:lang w:eastAsia="x-none"/>
        </w:rPr>
      </w:pPr>
      <w:r w:rsidRPr="00B05937">
        <w:rPr>
          <w:rFonts w:ascii="Abadi" w:hAnsi="Abadi" w:cs="Arial"/>
          <w:b/>
          <w:sz w:val="21"/>
          <w:szCs w:val="21"/>
          <w:lang w:eastAsia="x-none"/>
        </w:rPr>
        <w:t xml:space="preserve">Diputado José Alfonso Borja Pimentel    </w:t>
      </w:r>
    </w:p>
    <w:p w14:paraId="1208320F" w14:textId="77777777" w:rsidR="00970E21" w:rsidRPr="00B05937" w:rsidRDefault="00970E21" w:rsidP="007C2894">
      <w:pPr>
        <w:rPr>
          <w:rFonts w:ascii="Abadi" w:hAnsi="Abadi" w:cs="Arial"/>
          <w:b/>
          <w:sz w:val="21"/>
          <w:szCs w:val="21"/>
          <w:lang w:eastAsia="x-none"/>
        </w:rPr>
      </w:pPr>
      <w:r w:rsidRPr="00B05937">
        <w:rPr>
          <w:rFonts w:ascii="Abadi" w:hAnsi="Abadi" w:cs="Arial"/>
          <w:b/>
          <w:sz w:val="21"/>
          <w:szCs w:val="21"/>
          <w:lang w:eastAsia="x-none"/>
        </w:rPr>
        <w:t>Diputada Alma Edwviges Alcaraz Hernández</w:t>
      </w:r>
    </w:p>
    <w:p w14:paraId="5F753773" w14:textId="77777777" w:rsidR="00970E21" w:rsidRPr="00B05937" w:rsidRDefault="00970E21" w:rsidP="00970E21">
      <w:pPr>
        <w:rPr>
          <w:rFonts w:ascii="Abadi" w:hAnsi="Abadi"/>
          <w:b/>
          <w:sz w:val="21"/>
          <w:szCs w:val="21"/>
          <w:lang w:eastAsia="x-none"/>
        </w:rPr>
      </w:pPr>
    </w:p>
    <w:p w14:paraId="6513BC7D"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4132F495" w14:textId="668A854E"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TIERRA BLANCA, GTO., CORRESPONDIENTE AL EJERCICIO FISCAL DEL AÑO 2021. </w:t>
      </w:r>
      <w:r w:rsidRPr="00006796">
        <w:rPr>
          <w:rFonts w:ascii="Abadi" w:hAnsi="Abadi" w:cs="Arial-ItalicMT"/>
          <w:b/>
          <w:bCs/>
          <w:i/>
          <w:iCs/>
          <w:sz w:val="21"/>
          <w:szCs w:val="21"/>
        </w:rPr>
        <w:t>(ELD 304/LXV-IRASEG)</w:t>
      </w:r>
      <w:r w:rsidR="008D343D">
        <w:rPr>
          <w:rStyle w:val="Refdenotaalpie"/>
          <w:rFonts w:ascii="Abadi" w:hAnsi="Abadi" w:cs="Arial-ItalicMT"/>
          <w:b/>
          <w:bCs/>
          <w:i/>
          <w:iCs/>
          <w:sz w:val="21"/>
          <w:szCs w:val="21"/>
        </w:rPr>
        <w:footnoteReference w:id="228"/>
      </w:r>
    </w:p>
    <w:p w14:paraId="13225F67" w14:textId="77777777" w:rsidR="000352B6" w:rsidRPr="000352B6" w:rsidRDefault="000352B6" w:rsidP="000352B6">
      <w:pPr>
        <w:pStyle w:val="Prrafodelista"/>
        <w:rPr>
          <w:rFonts w:ascii="Abadi" w:hAnsi="Abadi" w:cs="Arial-ItalicMT"/>
          <w:b/>
          <w:bCs/>
          <w:i/>
          <w:iCs/>
          <w:sz w:val="21"/>
          <w:szCs w:val="21"/>
        </w:rPr>
      </w:pPr>
    </w:p>
    <w:p w14:paraId="21551B94" w14:textId="77777777" w:rsidR="003B2D2A" w:rsidRPr="003B65C0" w:rsidRDefault="003B2D2A" w:rsidP="003B2D2A">
      <w:pPr>
        <w:pStyle w:val="Textoindependiente3"/>
        <w:rPr>
          <w:rFonts w:ascii="Abadi" w:hAnsi="Abadi" w:cs="Arial"/>
          <w:smallCaps/>
          <w:sz w:val="21"/>
          <w:szCs w:val="21"/>
        </w:rPr>
      </w:pPr>
      <w:r w:rsidRPr="003B65C0">
        <w:rPr>
          <w:rFonts w:ascii="Abadi" w:hAnsi="Abadi" w:cs="Arial"/>
          <w:smallCaps/>
          <w:sz w:val="21"/>
          <w:szCs w:val="21"/>
        </w:rPr>
        <w:t>C. Presidenta del Congreso del Estado</w:t>
      </w:r>
    </w:p>
    <w:p w14:paraId="590FD302" w14:textId="77777777" w:rsidR="003B2D2A" w:rsidRPr="003B65C0" w:rsidRDefault="003B2D2A" w:rsidP="003B2D2A">
      <w:pPr>
        <w:jc w:val="both"/>
        <w:rPr>
          <w:rFonts w:ascii="Abadi" w:hAnsi="Abadi" w:cs="Arial"/>
          <w:b/>
          <w:bCs/>
          <w:smallCaps/>
          <w:sz w:val="21"/>
          <w:szCs w:val="21"/>
        </w:rPr>
      </w:pPr>
      <w:r w:rsidRPr="003B65C0">
        <w:rPr>
          <w:rFonts w:ascii="Abadi" w:hAnsi="Abadi" w:cs="Arial"/>
          <w:b/>
          <w:bCs/>
          <w:smallCaps/>
          <w:sz w:val="21"/>
          <w:szCs w:val="21"/>
        </w:rPr>
        <w:t>P r e s e n t e.</w:t>
      </w:r>
    </w:p>
    <w:p w14:paraId="4F1ED030" w14:textId="77777777" w:rsidR="003B2D2A" w:rsidRPr="003B65C0" w:rsidRDefault="003B2D2A" w:rsidP="003B2D2A">
      <w:pPr>
        <w:pStyle w:val="Textoindependiente"/>
        <w:rPr>
          <w:rFonts w:ascii="Abadi" w:hAnsi="Abadi"/>
          <w:sz w:val="21"/>
          <w:szCs w:val="21"/>
        </w:rPr>
      </w:pPr>
    </w:p>
    <w:p w14:paraId="6C25A0D2" w14:textId="77777777" w:rsidR="003B2D2A" w:rsidRPr="003B65C0" w:rsidRDefault="003B2D2A" w:rsidP="003B2D2A">
      <w:pPr>
        <w:pStyle w:val="Sangra3detindependiente"/>
        <w:spacing w:line="240" w:lineRule="auto"/>
        <w:rPr>
          <w:rFonts w:ascii="Abadi" w:hAnsi="Abadi"/>
          <w:sz w:val="21"/>
          <w:szCs w:val="21"/>
        </w:rPr>
      </w:pPr>
      <w:r w:rsidRPr="003B65C0">
        <w:rPr>
          <w:rFonts w:ascii="Abadi" w:hAnsi="Abadi"/>
          <w:sz w:val="21"/>
          <w:szCs w:val="21"/>
        </w:rPr>
        <w:t xml:space="preserve">A </w:t>
      </w:r>
      <w:r w:rsidRPr="003B65C0">
        <w:rPr>
          <w:rFonts w:ascii="Abadi" w:hAnsi="Abadi"/>
          <w:sz w:val="21"/>
          <w:szCs w:val="21"/>
          <w:lang w:val="es-MX"/>
        </w:rPr>
        <w:t>esta</w:t>
      </w:r>
      <w:r w:rsidRPr="003B65C0">
        <w:rPr>
          <w:rFonts w:ascii="Abadi" w:hAnsi="Abadi"/>
          <w:sz w:val="21"/>
          <w:szCs w:val="21"/>
        </w:rPr>
        <w:t xml:space="preserve"> Comisión de Hacienda y Fiscalización</w:t>
      </w:r>
      <w:r w:rsidRPr="003B65C0">
        <w:rPr>
          <w:rFonts w:ascii="Abadi" w:hAnsi="Abadi"/>
          <w:sz w:val="21"/>
          <w:szCs w:val="21"/>
          <w:lang w:val="es-MX"/>
        </w:rPr>
        <w:t xml:space="preserve">, </w:t>
      </w:r>
      <w:r w:rsidRPr="003B65C0">
        <w:rPr>
          <w:rFonts w:ascii="Abadi" w:hAnsi="Abadi"/>
          <w:sz w:val="21"/>
          <w:szCs w:val="21"/>
        </w:rPr>
        <w:t xml:space="preserve">le fue turnado para su estudio y dictamen, el informe de resultados de la revisión practicada por </w:t>
      </w:r>
      <w:r w:rsidRPr="003B65C0">
        <w:rPr>
          <w:rFonts w:ascii="Abadi" w:hAnsi="Abadi"/>
          <w:sz w:val="21"/>
          <w:szCs w:val="21"/>
          <w:lang w:val="es-MX"/>
        </w:rPr>
        <w:t xml:space="preserve">la </w:t>
      </w:r>
      <w:r w:rsidRPr="003B65C0">
        <w:rPr>
          <w:rFonts w:ascii="Abadi" w:hAnsi="Abadi"/>
          <w:sz w:val="21"/>
          <w:szCs w:val="21"/>
        </w:rPr>
        <w:t xml:space="preserve">Auditoría Superior del Estado de Guanajuato, a la cuenta pública municipal de </w:t>
      </w:r>
      <w:r w:rsidRPr="003B65C0">
        <w:rPr>
          <w:rFonts w:ascii="Abadi" w:hAnsi="Abadi"/>
          <w:sz w:val="21"/>
          <w:szCs w:val="21"/>
          <w:lang w:val="es-MX"/>
        </w:rPr>
        <w:t>Tierra Blanca</w:t>
      </w:r>
      <w:r w:rsidRPr="003B65C0">
        <w:rPr>
          <w:rFonts w:ascii="Abadi" w:hAnsi="Abadi"/>
          <w:sz w:val="21"/>
          <w:szCs w:val="21"/>
        </w:rPr>
        <w:t xml:space="preserve">, </w:t>
      </w:r>
      <w:proofErr w:type="spellStart"/>
      <w:r w:rsidRPr="003B65C0">
        <w:rPr>
          <w:rFonts w:ascii="Abadi" w:hAnsi="Abadi"/>
          <w:sz w:val="21"/>
          <w:szCs w:val="21"/>
        </w:rPr>
        <w:t>Gto</w:t>
      </w:r>
      <w:proofErr w:type="spellEnd"/>
      <w:r w:rsidRPr="003B65C0">
        <w:rPr>
          <w:rFonts w:ascii="Abadi" w:hAnsi="Abadi"/>
          <w:sz w:val="21"/>
          <w:szCs w:val="21"/>
        </w:rPr>
        <w:t xml:space="preserve">., correspondiente al ejercicio fiscal del año 2021. (ELD </w:t>
      </w:r>
      <w:r w:rsidRPr="003B65C0">
        <w:rPr>
          <w:rFonts w:ascii="Abadi" w:hAnsi="Abadi"/>
          <w:sz w:val="21"/>
          <w:szCs w:val="21"/>
          <w:lang w:val="es-MX"/>
        </w:rPr>
        <w:t>304</w:t>
      </w:r>
      <w:r w:rsidRPr="003B65C0">
        <w:rPr>
          <w:rFonts w:ascii="Abadi" w:hAnsi="Abadi"/>
          <w:sz w:val="21"/>
          <w:szCs w:val="21"/>
        </w:rPr>
        <w:t>/LXV-IRASEG)</w:t>
      </w:r>
    </w:p>
    <w:p w14:paraId="7A977AE4" w14:textId="77777777" w:rsidR="003B2D2A" w:rsidRPr="003B65C0" w:rsidRDefault="003B2D2A" w:rsidP="003B2D2A">
      <w:pPr>
        <w:pStyle w:val="Sangra3detindependiente"/>
        <w:spacing w:line="240" w:lineRule="auto"/>
        <w:rPr>
          <w:rFonts w:ascii="Abadi" w:hAnsi="Abadi"/>
          <w:sz w:val="21"/>
          <w:szCs w:val="21"/>
        </w:rPr>
      </w:pPr>
    </w:p>
    <w:p w14:paraId="20527E88" w14:textId="77777777" w:rsidR="003B2D2A" w:rsidRPr="003B65C0" w:rsidRDefault="003B2D2A" w:rsidP="003B2D2A">
      <w:pPr>
        <w:pStyle w:val="Sangra3detindependiente"/>
        <w:spacing w:line="240" w:lineRule="auto"/>
        <w:rPr>
          <w:rFonts w:ascii="Abadi" w:hAnsi="Abadi"/>
          <w:sz w:val="21"/>
          <w:szCs w:val="21"/>
        </w:rPr>
      </w:pPr>
      <w:r w:rsidRPr="003B65C0">
        <w:rPr>
          <w:rFonts w:ascii="Abadi" w:hAnsi="Abadi"/>
          <w:sz w:val="21"/>
          <w:szCs w:val="21"/>
        </w:rPr>
        <w:t>Una vez analizado el referido informe de resultados, con fundamento en lo dispuesto por los artículos 112, fracción XII</w:t>
      </w:r>
      <w:r w:rsidRPr="003B65C0">
        <w:rPr>
          <w:rFonts w:ascii="Abadi" w:hAnsi="Abadi"/>
          <w:sz w:val="21"/>
          <w:szCs w:val="21"/>
          <w:lang w:val="es-MX"/>
        </w:rPr>
        <w:t>, primer párrafo</w:t>
      </w:r>
      <w:r w:rsidRPr="003B65C0">
        <w:rPr>
          <w:rFonts w:ascii="Abadi" w:hAnsi="Abadi"/>
          <w:sz w:val="21"/>
          <w:szCs w:val="21"/>
        </w:rPr>
        <w:t xml:space="preserve"> y 171 de </w:t>
      </w:r>
      <w:smartTag w:uri="urn:schemas-microsoft-com:office:smarttags" w:element="PersonName">
        <w:smartTagPr>
          <w:attr w:name="ProductID" w:val="la Ley Org￡nica"/>
        </w:smartTagPr>
        <w:r w:rsidRPr="003B65C0">
          <w:rPr>
            <w:rFonts w:ascii="Abadi" w:hAnsi="Abadi"/>
            <w:sz w:val="21"/>
            <w:szCs w:val="21"/>
          </w:rPr>
          <w:t>la Ley Orgánica</w:t>
        </w:r>
      </w:smartTag>
      <w:r w:rsidRPr="003B65C0">
        <w:rPr>
          <w:rFonts w:ascii="Abadi" w:hAnsi="Abadi"/>
          <w:sz w:val="21"/>
          <w:szCs w:val="21"/>
        </w:rPr>
        <w:t xml:space="preserve"> del </w:t>
      </w:r>
      <w:r w:rsidRPr="003B65C0">
        <w:rPr>
          <w:rFonts w:ascii="Abadi" w:hAnsi="Abadi"/>
          <w:sz w:val="21"/>
          <w:szCs w:val="21"/>
        </w:rPr>
        <w:lastRenderedPageBreak/>
        <w:t>Poder Legislativo, nos permitimos rendir el siguiente:</w:t>
      </w:r>
    </w:p>
    <w:p w14:paraId="17CCEB12" w14:textId="77777777" w:rsidR="003B2D2A" w:rsidRPr="003B65C0" w:rsidRDefault="003B2D2A" w:rsidP="003B2D2A">
      <w:pPr>
        <w:pStyle w:val="Sangra3detindependiente"/>
        <w:spacing w:line="240" w:lineRule="auto"/>
        <w:rPr>
          <w:rFonts w:ascii="Abadi" w:hAnsi="Abadi"/>
          <w:sz w:val="21"/>
          <w:szCs w:val="21"/>
        </w:rPr>
      </w:pPr>
    </w:p>
    <w:p w14:paraId="2B62C5D7" w14:textId="77777777" w:rsidR="003B2D2A" w:rsidRPr="003B65C0" w:rsidRDefault="003B2D2A" w:rsidP="003B2D2A">
      <w:pPr>
        <w:pStyle w:val="Ttulo1"/>
        <w:jc w:val="center"/>
        <w:rPr>
          <w:rFonts w:ascii="Abadi" w:hAnsi="Abadi" w:cs="Arial"/>
          <w:sz w:val="21"/>
          <w:szCs w:val="21"/>
        </w:rPr>
      </w:pPr>
      <w:r w:rsidRPr="003B65C0">
        <w:rPr>
          <w:rFonts w:ascii="Abadi" w:hAnsi="Abadi" w:cs="Arial"/>
          <w:sz w:val="21"/>
          <w:szCs w:val="21"/>
        </w:rPr>
        <w:t>D i c t a m e n</w:t>
      </w:r>
    </w:p>
    <w:p w14:paraId="000B4C0B" w14:textId="77777777" w:rsidR="000369CA" w:rsidRDefault="000369CA" w:rsidP="003B2D2A">
      <w:pPr>
        <w:pStyle w:val="Textoindependiente"/>
        <w:ind w:firstLine="708"/>
        <w:rPr>
          <w:rFonts w:ascii="Abadi" w:hAnsi="Abadi"/>
          <w:b w:val="0"/>
          <w:bCs w:val="0"/>
          <w:sz w:val="21"/>
          <w:szCs w:val="21"/>
        </w:rPr>
      </w:pPr>
    </w:p>
    <w:p w14:paraId="074C9AB5" w14:textId="395EAC78" w:rsidR="003B2D2A" w:rsidRPr="003B65C0" w:rsidRDefault="003B2D2A" w:rsidP="003B2D2A">
      <w:pPr>
        <w:pStyle w:val="Textoindependiente"/>
        <w:ind w:firstLine="708"/>
        <w:rPr>
          <w:rFonts w:ascii="Abadi" w:hAnsi="Abadi"/>
          <w:b w:val="0"/>
          <w:bCs w:val="0"/>
          <w:sz w:val="21"/>
          <w:szCs w:val="21"/>
        </w:rPr>
      </w:pPr>
      <w:r w:rsidRPr="003B65C0">
        <w:rPr>
          <w:rFonts w:ascii="Abadi" w:hAnsi="Abadi"/>
          <w:b w:val="0"/>
          <w:bCs w:val="0"/>
          <w:sz w:val="21"/>
          <w:szCs w:val="21"/>
        </w:rPr>
        <w:t>I. Competencia:</w:t>
      </w:r>
    </w:p>
    <w:p w14:paraId="20D7BDD0" w14:textId="77777777" w:rsidR="003B2D2A" w:rsidRPr="003B65C0" w:rsidRDefault="003B2D2A" w:rsidP="003B2D2A">
      <w:pPr>
        <w:pStyle w:val="Textoindependiente"/>
        <w:ind w:firstLine="708"/>
        <w:rPr>
          <w:rFonts w:ascii="Abadi" w:hAnsi="Abadi"/>
          <w:b w:val="0"/>
          <w:bCs w:val="0"/>
          <w:sz w:val="21"/>
          <w:szCs w:val="21"/>
        </w:rPr>
      </w:pPr>
    </w:p>
    <w:p w14:paraId="0F99A6E9"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3B65C0">
          <w:rPr>
            <w:rFonts w:ascii="Abadi" w:hAnsi="Abadi" w:cs="Arial"/>
            <w:sz w:val="21"/>
            <w:szCs w:val="21"/>
            <w:lang w:val="es-MX" w:eastAsia="x-none"/>
          </w:rPr>
          <w:t>la Constitución Política</w:t>
        </w:r>
      </w:smartTag>
      <w:r w:rsidRPr="003B65C0">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4A50406" w14:textId="77777777" w:rsidR="003B2D2A" w:rsidRPr="003B65C0" w:rsidRDefault="003B2D2A" w:rsidP="003B2D2A">
      <w:pPr>
        <w:ind w:firstLine="708"/>
        <w:jc w:val="both"/>
        <w:rPr>
          <w:rFonts w:ascii="Abadi" w:hAnsi="Abadi" w:cs="Arial"/>
          <w:sz w:val="21"/>
          <w:szCs w:val="21"/>
          <w:lang w:val="es-MX" w:eastAsia="x-none"/>
        </w:rPr>
      </w:pPr>
    </w:p>
    <w:p w14:paraId="199829AE"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38300E3" w14:textId="77777777" w:rsidR="003B2D2A" w:rsidRPr="003B65C0" w:rsidRDefault="003B2D2A" w:rsidP="003B2D2A">
      <w:pPr>
        <w:ind w:firstLine="708"/>
        <w:jc w:val="both"/>
        <w:rPr>
          <w:rFonts w:ascii="Abadi" w:hAnsi="Abadi" w:cs="Arial"/>
          <w:sz w:val="21"/>
          <w:szCs w:val="21"/>
          <w:lang w:val="es-MX" w:eastAsia="x-none"/>
        </w:rPr>
      </w:pPr>
    </w:p>
    <w:p w14:paraId="02A9E7A0" w14:textId="77777777" w:rsidR="003B2D2A" w:rsidRPr="003B65C0" w:rsidRDefault="003B2D2A" w:rsidP="003B2D2A">
      <w:pPr>
        <w:ind w:firstLine="708"/>
        <w:jc w:val="both"/>
        <w:rPr>
          <w:rFonts w:ascii="Abadi" w:hAnsi="Abadi" w:cs="Arial"/>
          <w:sz w:val="21"/>
          <w:szCs w:val="21"/>
          <w:lang w:val="es-MX" w:eastAsia="x-none"/>
        </w:rPr>
      </w:pPr>
    </w:p>
    <w:p w14:paraId="4B279CCC"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3B65C0">
          <w:rPr>
            <w:rFonts w:ascii="Abadi" w:hAnsi="Abadi" w:cs="Arial"/>
            <w:sz w:val="21"/>
            <w:szCs w:val="21"/>
            <w:lang w:val="es-MX" w:eastAsia="x-none"/>
          </w:rPr>
          <w:t>la Constitución Política</w:t>
        </w:r>
      </w:smartTag>
      <w:r w:rsidRPr="003B65C0">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49B71661" w14:textId="77777777" w:rsidR="003B2D2A" w:rsidRPr="003B65C0" w:rsidRDefault="003B2D2A" w:rsidP="003B2D2A">
      <w:pPr>
        <w:ind w:firstLine="708"/>
        <w:jc w:val="both"/>
        <w:rPr>
          <w:rFonts w:ascii="Abadi" w:hAnsi="Abadi" w:cs="Arial"/>
          <w:sz w:val="21"/>
          <w:szCs w:val="21"/>
          <w:lang w:val="es-MX" w:eastAsia="x-none"/>
        </w:rPr>
      </w:pPr>
    </w:p>
    <w:p w14:paraId="0FE250AC"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83D8A42" w14:textId="77777777" w:rsidR="003B2D2A" w:rsidRPr="003B65C0" w:rsidRDefault="003B2D2A" w:rsidP="003B2D2A">
      <w:pPr>
        <w:ind w:firstLine="708"/>
        <w:jc w:val="both"/>
        <w:rPr>
          <w:rFonts w:ascii="Abadi" w:hAnsi="Abadi" w:cs="Arial"/>
          <w:sz w:val="21"/>
          <w:szCs w:val="21"/>
          <w:lang w:val="es-MX" w:eastAsia="x-none"/>
        </w:rPr>
      </w:pPr>
    </w:p>
    <w:p w14:paraId="6BEDF385"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2A424BD" w14:textId="77777777" w:rsidR="003B2D2A" w:rsidRPr="000369CA" w:rsidRDefault="003B2D2A" w:rsidP="003B2D2A">
      <w:pPr>
        <w:pStyle w:val="Textoindependiente"/>
        <w:ind w:firstLine="708"/>
        <w:rPr>
          <w:rFonts w:ascii="Abadi" w:hAnsi="Abadi"/>
          <w:b w:val="0"/>
          <w:bCs w:val="0"/>
          <w:sz w:val="21"/>
          <w:szCs w:val="21"/>
        </w:rPr>
      </w:pPr>
    </w:p>
    <w:p w14:paraId="0E221E09"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4DE6FBA9" w14:textId="77777777" w:rsidR="003B2D2A" w:rsidRPr="000369CA" w:rsidRDefault="003B2D2A" w:rsidP="003B2D2A">
      <w:pPr>
        <w:pStyle w:val="Textoindependiente"/>
        <w:ind w:firstLine="708"/>
        <w:rPr>
          <w:rFonts w:ascii="Abadi" w:hAnsi="Abadi"/>
          <w:b w:val="0"/>
          <w:bCs w:val="0"/>
          <w:sz w:val="21"/>
          <w:szCs w:val="21"/>
        </w:rPr>
      </w:pPr>
    </w:p>
    <w:p w14:paraId="31516BAC"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0369CA">
          <w:rPr>
            <w:rFonts w:ascii="Abadi" w:hAnsi="Abadi"/>
            <w:b w:val="0"/>
            <w:bCs w:val="0"/>
            <w:sz w:val="21"/>
            <w:szCs w:val="21"/>
          </w:rPr>
          <w:t>la Ley Orgánica</w:t>
        </w:r>
      </w:smartTag>
      <w:r w:rsidRPr="000369C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9C60D5" w14:textId="77777777" w:rsidR="003B2D2A" w:rsidRPr="003B65C0" w:rsidRDefault="003B2D2A" w:rsidP="003B2D2A">
      <w:pPr>
        <w:pStyle w:val="Textoindependiente"/>
        <w:ind w:firstLine="708"/>
        <w:rPr>
          <w:rFonts w:ascii="Abadi" w:hAnsi="Abadi"/>
          <w:sz w:val="21"/>
          <w:szCs w:val="21"/>
        </w:rPr>
      </w:pPr>
    </w:p>
    <w:p w14:paraId="593B7975"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EB463A0" w14:textId="77777777" w:rsidR="000369CA" w:rsidRDefault="000369CA" w:rsidP="003B2D2A">
      <w:pPr>
        <w:ind w:firstLine="708"/>
        <w:jc w:val="both"/>
        <w:rPr>
          <w:rFonts w:ascii="Abadi" w:hAnsi="Abadi" w:cs="Arial"/>
          <w:b/>
          <w:bCs/>
          <w:sz w:val="21"/>
          <w:szCs w:val="21"/>
          <w:lang w:val="es-MX" w:eastAsia="x-none"/>
        </w:rPr>
      </w:pPr>
    </w:p>
    <w:p w14:paraId="59AF728A" w14:textId="271FEC2E" w:rsidR="003B2D2A" w:rsidRPr="003B65C0" w:rsidRDefault="003B2D2A" w:rsidP="003B2D2A">
      <w:pPr>
        <w:ind w:firstLine="708"/>
        <w:jc w:val="both"/>
        <w:rPr>
          <w:rFonts w:ascii="Abadi" w:hAnsi="Abadi" w:cs="Arial"/>
          <w:b/>
          <w:bCs/>
          <w:sz w:val="21"/>
          <w:szCs w:val="21"/>
          <w:lang w:val="es-MX" w:eastAsia="x-none"/>
        </w:rPr>
      </w:pPr>
      <w:r w:rsidRPr="003B65C0">
        <w:rPr>
          <w:rFonts w:ascii="Abadi" w:hAnsi="Abadi" w:cs="Arial"/>
          <w:b/>
          <w:bCs/>
          <w:sz w:val="21"/>
          <w:szCs w:val="21"/>
          <w:lang w:val="es-MX" w:eastAsia="x-none"/>
        </w:rPr>
        <w:t>II. Antecedentes:</w:t>
      </w:r>
    </w:p>
    <w:p w14:paraId="3ACA0DB2" w14:textId="77777777" w:rsidR="003B2D2A" w:rsidRPr="003B65C0" w:rsidRDefault="003B2D2A" w:rsidP="003B2D2A">
      <w:pPr>
        <w:ind w:firstLine="708"/>
        <w:jc w:val="both"/>
        <w:rPr>
          <w:rFonts w:ascii="Abadi" w:hAnsi="Abadi" w:cs="Arial"/>
          <w:sz w:val="21"/>
          <w:szCs w:val="21"/>
          <w:lang w:val="es-MX" w:eastAsia="x-none"/>
        </w:rPr>
      </w:pPr>
    </w:p>
    <w:p w14:paraId="747C3F47"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3B65C0">
          <w:rPr>
            <w:rFonts w:ascii="Abadi" w:hAnsi="Abadi" w:cs="Arial"/>
            <w:sz w:val="21"/>
            <w:szCs w:val="21"/>
            <w:lang w:val="es-MX" w:eastAsia="x-none"/>
          </w:rPr>
          <w:t>la Constitución Política</w:t>
        </w:r>
      </w:smartTag>
      <w:r w:rsidRPr="003B65C0">
        <w:rPr>
          <w:rFonts w:ascii="Abadi" w:hAnsi="Abadi" w:cs="Arial"/>
          <w:sz w:val="21"/>
          <w:szCs w:val="21"/>
          <w:lang w:val="es-MX" w:eastAsia="x-none"/>
        </w:rPr>
        <w:t xml:space="preserve"> Local establece como </w:t>
      </w:r>
      <w:r w:rsidRPr="003B65C0">
        <w:rPr>
          <w:rFonts w:ascii="Abadi" w:hAnsi="Abadi" w:cs="Arial"/>
          <w:sz w:val="21"/>
          <w:szCs w:val="21"/>
          <w:lang w:val="es-MX" w:eastAsia="x-none"/>
        </w:rPr>
        <w:lastRenderedPageBreak/>
        <w:t>obligación de los ayuntamientos presentar al Congreso del Estado, la información financiera y la cuenta pública del Municipio, con la periodicidad, forma y términos que establezcan las disposiciones aplicables y la Ley.</w:t>
      </w:r>
    </w:p>
    <w:p w14:paraId="5D9469EC" w14:textId="77777777" w:rsidR="003B2D2A" w:rsidRPr="003B65C0" w:rsidRDefault="003B2D2A" w:rsidP="003B2D2A">
      <w:pPr>
        <w:ind w:firstLine="708"/>
        <w:jc w:val="both"/>
        <w:rPr>
          <w:rFonts w:ascii="Abadi" w:hAnsi="Abadi" w:cs="Arial"/>
          <w:sz w:val="21"/>
          <w:szCs w:val="21"/>
          <w:lang w:val="es-MX" w:eastAsia="x-none"/>
        </w:rPr>
      </w:pPr>
    </w:p>
    <w:p w14:paraId="21B06890"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7A83063" w14:textId="77777777" w:rsidR="003B2D2A" w:rsidRPr="000369CA" w:rsidRDefault="003B2D2A" w:rsidP="003B2D2A">
      <w:pPr>
        <w:pStyle w:val="Textoindependiente"/>
        <w:ind w:firstLine="708"/>
        <w:rPr>
          <w:rFonts w:ascii="Abadi" w:hAnsi="Abadi"/>
          <w:b w:val="0"/>
          <w:bCs w:val="0"/>
          <w:sz w:val="21"/>
          <w:szCs w:val="21"/>
        </w:rPr>
      </w:pPr>
    </w:p>
    <w:p w14:paraId="5A54F1CC"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7CD02EB" w14:textId="77777777" w:rsidR="003B2D2A" w:rsidRPr="000369CA" w:rsidRDefault="003B2D2A" w:rsidP="003B2D2A">
      <w:pPr>
        <w:pStyle w:val="Textoindependiente"/>
        <w:ind w:firstLine="708"/>
        <w:rPr>
          <w:rFonts w:ascii="Abadi" w:hAnsi="Abadi"/>
          <w:b w:val="0"/>
          <w:bCs w:val="0"/>
          <w:sz w:val="21"/>
          <w:szCs w:val="21"/>
        </w:rPr>
      </w:pPr>
    </w:p>
    <w:p w14:paraId="5EF5A2BF"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En cuanto a la presentación, el artículo 20 de la Ley de Fiscalización Superior del</w:t>
      </w:r>
      <w:r w:rsidRPr="003B65C0">
        <w:rPr>
          <w:rFonts w:ascii="Abadi" w:hAnsi="Abadi"/>
          <w:sz w:val="21"/>
          <w:szCs w:val="21"/>
        </w:rPr>
        <w:t xml:space="preserve"> </w:t>
      </w:r>
      <w:r w:rsidRPr="000369CA">
        <w:rPr>
          <w:rFonts w:ascii="Abadi" w:hAnsi="Abadi"/>
          <w:b w:val="0"/>
          <w:bCs w:val="0"/>
          <w:sz w:val="21"/>
          <w:szCs w:val="21"/>
        </w:rPr>
        <w:t>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0716E21" w14:textId="77777777" w:rsidR="003B2D2A" w:rsidRPr="000369CA" w:rsidRDefault="003B2D2A" w:rsidP="003B2D2A">
      <w:pPr>
        <w:pStyle w:val="Textoindependiente"/>
        <w:ind w:firstLine="708"/>
        <w:rPr>
          <w:rFonts w:ascii="Abadi" w:hAnsi="Abadi"/>
          <w:b w:val="0"/>
          <w:bCs w:val="0"/>
          <w:sz w:val="21"/>
          <w:szCs w:val="21"/>
        </w:rPr>
      </w:pPr>
    </w:p>
    <w:p w14:paraId="6A9A9B50"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8453629" w14:textId="77777777" w:rsidR="003B2D2A" w:rsidRPr="000369CA" w:rsidRDefault="003B2D2A" w:rsidP="003B2D2A">
      <w:pPr>
        <w:ind w:firstLine="708"/>
        <w:jc w:val="both"/>
        <w:rPr>
          <w:rFonts w:ascii="Abadi" w:hAnsi="Abadi" w:cs="Arial"/>
          <w:sz w:val="21"/>
          <w:szCs w:val="21"/>
          <w:lang w:val="es-MX" w:eastAsia="x-none"/>
        </w:rPr>
      </w:pPr>
    </w:p>
    <w:p w14:paraId="223BA487"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3B65C0">
          <w:rPr>
            <w:rFonts w:ascii="Abadi" w:hAnsi="Abadi" w:cs="Arial"/>
            <w:sz w:val="21"/>
            <w:szCs w:val="21"/>
            <w:lang w:val="es-MX" w:eastAsia="x-none"/>
          </w:rPr>
          <w:t>la Ley Orgánica</w:t>
        </w:r>
      </w:smartTag>
      <w:r w:rsidRPr="003B65C0">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02F94D53" w14:textId="77777777" w:rsidR="003B2D2A" w:rsidRPr="003B65C0" w:rsidRDefault="003B2D2A" w:rsidP="003B2D2A">
      <w:pPr>
        <w:ind w:firstLine="708"/>
        <w:jc w:val="both"/>
        <w:rPr>
          <w:rFonts w:ascii="Abadi" w:hAnsi="Abadi" w:cs="Arial"/>
          <w:sz w:val="21"/>
          <w:szCs w:val="21"/>
          <w:lang w:val="es-MX" w:eastAsia="x-none"/>
        </w:rPr>
      </w:pPr>
    </w:p>
    <w:p w14:paraId="311826AB" w14:textId="77777777" w:rsidR="003B2D2A" w:rsidRPr="003B65C0" w:rsidRDefault="003B2D2A" w:rsidP="003B2D2A">
      <w:pPr>
        <w:ind w:right="60" w:firstLine="709"/>
        <w:jc w:val="both"/>
        <w:rPr>
          <w:rFonts w:ascii="Abadi" w:hAnsi="Abadi" w:cs="Arial"/>
          <w:sz w:val="21"/>
          <w:szCs w:val="21"/>
          <w:lang w:val="es-MX" w:eastAsia="x-none"/>
        </w:rPr>
      </w:pPr>
      <w:r w:rsidRPr="003B65C0">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w:t>
      </w:r>
      <w:r w:rsidRPr="003B65C0">
        <w:rPr>
          <w:rFonts w:ascii="Abadi" w:hAnsi="Abadi" w:cs="Arial"/>
          <w:sz w:val="21"/>
          <w:szCs w:val="21"/>
          <w:lang w:val="es-MX" w:eastAsia="x-none"/>
        </w:rPr>
        <w:t>trimestral que hayan presentado; y en el supuesto de adecuaciones o ajustes, estos deberán expresarse en la cuenta pública o en la información financiera del trimestre en que se hayan detectado.</w:t>
      </w:r>
    </w:p>
    <w:p w14:paraId="06904CD6" w14:textId="77777777" w:rsidR="003B2D2A" w:rsidRPr="003B65C0" w:rsidRDefault="003B2D2A" w:rsidP="003B2D2A">
      <w:pPr>
        <w:ind w:right="58" w:firstLine="709"/>
        <w:jc w:val="both"/>
        <w:rPr>
          <w:rFonts w:ascii="Abadi" w:eastAsia="DejaVu Sans" w:hAnsi="Abadi" w:cs="Tahoma"/>
          <w:iCs/>
          <w:kern w:val="1"/>
          <w:sz w:val="21"/>
          <w:szCs w:val="21"/>
          <w:lang w:eastAsia="ar-SA"/>
        </w:rPr>
      </w:pPr>
    </w:p>
    <w:p w14:paraId="68E068A2"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041B0637" w14:textId="77777777" w:rsidR="003B2D2A" w:rsidRPr="003B65C0" w:rsidRDefault="003B2D2A" w:rsidP="003B2D2A">
      <w:pPr>
        <w:pStyle w:val="Textoindependiente"/>
        <w:ind w:firstLine="708"/>
        <w:rPr>
          <w:rFonts w:ascii="Abadi" w:hAnsi="Abadi"/>
          <w:sz w:val="21"/>
          <w:szCs w:val="21"/>
        </w:rPr>
      </w:pPr>
    </w:p>
    <w:p w14:paraId="1BCA2D05"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62DE5C5" w14:textId="77777777" w:rsidR="003B2D2A" w:rsidRPr="003B65C0" w:rsidRDefault="003B2D2A" w:rsidP="003B2D2A">
      <w:pPr>
        <w:pStyle w:val="Textoindependiente"/>
        <w:ind w:firstLine="708"/>
        <w:rPr>
          <w:rFonts w:ascii="Abadi" w:hAnsi="Abadi"/>
          <w:sz w:val="21"/>
          <w:szCs w:val="21"/>
        </w:rPr>
      </w:pPr>
    </w:p>
    <w:p w14:paraId="19D47EF3" w14:textId="77777777" w:rsidR="003B2D2A" w:rsidRPr="003B65C0" w:rsidRDefault="003B2D2A" w:rsidP="003B2D2A">
      <w:pPr>
        <w:ind w:right="60" w:firstLine="709"/>
        <w:jc w:val="both"/>
        <w:rPr>
          <w:rFonts w:ascii="Abadi" w:hAnsi="Abadi" w:cs="Arial"/>
          <w:sz w:val="21"/>
          <w:szCs w:val="21"/>
          <w:lang w:val="es-MX" w:eastAsia="x-none"/>
        </w:rPr>
      </w:pPr>
      <w:r w:rsidRPr="003B65C0">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816F597" w14:textId="77777777" w:rsidR="003B2D2A" w:rsidRPr="003B65C0" w:rsidRDefault="003B2D2A" w:rsidP="003B2D2A">
      <w:pPr>
        <w:pStyle w:val="Textoindependiente"/>
        <w:ind w:firstLine="708"/>
        <w:rPr>
          <w:rFonts w:ascii="Abadi" w:hAnsi="Abadi"/>
          <w:sz w:val="21"/>
          <w:szCs w:val="21"/>
        </w:rPr>
      </w:pPr>
    </w:p>
    <w:p w14:paraId="73D85601"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D684E63" w14:textId="77777777" w:rsidR="003B2D2A" w:rsidRPr="003B65C0" w:rsidRDefault="003B2D2A" w:rsidP="003B2D2A">
      <w:pPr>
        <w:pStyle w:val="Textoindependiente"/>
        <w:ind w:firstLine="708"/>
        <w:rPr>
          <w:rFonts w:ascii="Abadi" w:hAnsi="Abadi"/>
          <w:sz w:val="21"/>
          <w:szCs w:val="21"/>
        </w:rPr>
      </w:pPr>
    </w:p>
    <w:p w14:paraId="359406B4" w14:textId="77777777" w:rsidR="003B2D2A" w:rsidRPr="003B65C0" w:rsidRDefault="003B2D2A" w:rsidP="003B2D2A">
      <w:pPr>
        <w:tabs>
          <w:tab w:val="left" w:pos="709"/>
        </w:tabs>
        <w:jc w:val="both"/>
        <w:rPr>
          <w:rFonts w:ascii="Abadi" w:hAnsi="Abadi" w:cs="Arial"/>
          <w:sz w:val="21"/>
          <w:szCs w:val="21"/>
          <w:lang w:val="es-MX" w:eastAsia="x-none"/>
        </w:rPr>
      </w:pPr>
      <w:r w:rsidRPr="003B65C0">
        <w:rPr>
          <w:rFonts w:ascii="Abadi" w:hAnsi="Abadi" w:cs="Arial"/>
          <w:sz w:val="21"/>
          <w:szCs w:val="21"/>
        </w:rPr>
        <w:tab/>
        <w:t xml:space="preserve">El citado artículo también refiere </w:t>
      </w:r>
      <w:r w:rsidRPr="003B65C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w:t>
      </w:r>
      <w:r w:rsidRPr="003B65C0">
        <w:rPr>
          <w:rFonts w:ascii="Abadi" w:hAnsi="Abadi" w:cs="Arial"/>
          <w:sz w:val="21"/>
          <w:szCs w:val="21"/>
          <w:lang w:val="es-MX" w:eastAsia="x-none"/>
        </w:rPr>
        <w:lastRenderedPageBreak/>
        <w:t xml:space="preserve">a la Auditoría Superior. También podrán presentarse de forma impresa, cuando exista causa justificada para ello y no se haya suscrito el convenio respectivo. </w:t>
      </w:r>
    </w:p>
    <w:p w14:paraId="0AD1FFF6" w14:textId="77777777" w:rsidR="003B2D2A" w:rsidRPr="003B65C0" w:rsidRDefault="003B2D2A" w:rsidP="003B2D2A">
      <w:pPr>
        <w:tabs>
          <w:tab w:val="left" w:pos="709"/>
        </w:tabs>
        <w:jc w:val="both"/>
        <w:rPr>
          <w:rFonts w:ascii="Abadi" w:hAnsi="Abadi" w:cs="Arial"/>
          <w:sz w:val="21"/>
          <w:szCs w:val="21"/>
          <w:lang w:val="es-MX" w:eastAsia="x-none"/>
        </w:rPr>
      </w:pPr>
      <w:r w:rsidRPr="003B65C0">
        <w:rPr>
          <w:rFonts w:ascii="Abadi" w:hAnsi="Abadi" w:cs="Arial"/>
          <w:sz w:val="21"/>
          <w:szCs w:val="21"/>
          <w:lang w:val="es-MX" w:eastAsia="x-none"/>
        </w:rPr>
        <w:tab/>
        <w:t xml:space="preserve">En términos del numeral 23 de la </w:t>
      </w:r>
      <w:r w:rsidRPr="003B65C0">
        <w:rPr>
          <w:rFonts w:ascii="Abadi" w:hAnsi="Abadi" w:cs="Arial"/>
          <w:sz w:val="21"/>
          <w:szCs w:val="21"/>
        </w:rPr>
        <w:t>Ley de Fiscalización Superior del Estado de Guanajuato, p</w:t>
      </w:r>
      <w:r w:rsidRPr="003B65C0">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555284E" w14:textId="77777777" w:rsidR="003B2D2A" w:rsidRPr="003B65C0" w:rsidRDefault="003B2D2A" w:rsidP="003B2D2A">
      <w:pPr>
        <w:tabs>
          <w:tab w:val="left" w:pos="709"/>
        </w:tabs>
        <w:jc w:val="both"/>
        <w:rPr>
          <w:rFonts w:ascii="Abadi" w:hAnsi="Abadi" w:cs="Arial"/>
          <w:sz w:val="21"/>
          <w:szCs w:val="21"/>
          <w:lang w:val="es-MX" w:eastAsia="x-none"/>
        </w:rPr>
      </w:pPr>
    </w:p>
    <w:p w14:paraId="1EF80B0F" w14:textId="77777777" w:rsidR="003B2D2A" w:rsidRPr="003B65C0" w:rsidRDefault="003B2D2A" w:rsidP="003B2D2A">
      <w:pPr>
        <w:pStyle w:val="Texto"/>
        <w:spacing w:after="0" w:line="240" w:lineRule="auto"/>
        <w:ind w:firstLine="708"/>
        <w:rPr>
          <w:rFonts w:ascii="Abadi" w:hAnsi="Abadi" w:cs="Arial"/>
          <w:sz w:val="21"/>
          <w:szCs w:val="21"/>
          <w:lang w:val="es-MX"/>
        </w:rPr>
      </w:pPr>
      <w:r w:rsidRPr="003B65C0">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2CCD064F" w14:textId="77777777" w:rsidR="003B2D2A" w:rsidRPr="003B65C0" w:rsidRDefault="003B2D2A" w:rsidP="003B2D2A">
      <w:pPr>
        <w:pStyle w:val="Texto"/>
        <w:spacing w:after="0" w:line="240" w:lineRule="auto"/>
        <w:ind w:firstLine="708"/>
        <w:rPr>
          <w:rFonts w:ascii="Abadi" w:hAnsi="Abadi" w:cs="Arial"/>
          <w:sz w:val="21"/>
          <w:szCs w:val="21"/>
          <w:lang w:val="es-MX"/>
        </w:rPr>
      </w:pPr>
    </w:p>
    <w:p w14:paraId="5077BF98" w14:textId="77777777" w:rsidR="003B2D2A" w:rsidRPr="003B65C0" w:rsidRDefault="003B2D2A" w:rsidP="003B2D2A">
      <w:pPr>
        <w:pStyle w:val="Texto"/>
        <w:spacing w:after="0" w:line="240" w:lineRule="auto"/>
        <w:ind w:firstLine="708"/>
        <w:rPr>
          <w:rFonts w:ascii="Abadi" w:hAnsi="Abadi" w:cs="Arial"/>
          <w:sz w:val="21"/>
          <w:szCs w:val="21"/>
          <w:lang w:val="es-MX"/>
        </w:rPr>
      </w:pPr>
      <w:r w:rsidRPr="003B65C0">
        <w:rPr>
          <w:rFonts w:ascii="Abadi" w:hAnsi="Abadi" w:cs="Arial"/>
          <w:sz w:val="21"/>
          <w:szCs w:val="21"/>
          <w:lang w:val="es-MX"/>
        </w:rPr>
        <w:t xml:space="preserve">En cumplimiento a los citados preceptos, en su oportunidad se remitió a este Congreso del Estado, la cuenta pública municipal de Tierra Blanca, </w:t>
      </w:r>
      <w:proofErr w:type="spellStart"/>
      <w:r w:rsidRPr="003B65C0">
        <w:rPr>
          <w:rFonts w:ascii="Abadi" w:hAnsi="Abadi" w:cs="Arial"/>
          <w:sz w:val="21"/>
          <w:szCs w:val="21"/>
          <w:lang w:val="es-MX"/>
        </w:rPr>
        <w:t>Gto</w:t>
      </w:r>
      <w:proofErr w:type="spellEnd"/>
      <w:r w:rsidRPr="003B65C0">
        <w:rPr>
          <w:rFonts w:ascii="Abadi" w:hAnsi="Abadi" w:cs="Arial"/>
          <w:sz w:val="21"/>
          <w:szCs w:val="21"/>
          <w:lang w:val="es-MX"/>
        </w:rPr>
        <w:t>., correspondiente al ejercicio fiscal del año 2021, turnándose a la Auditoría Superior del Estado para su revisión.</w:t>
      </w:r>
    </w:p>
    <w:p w14:paraId="1CFDFB38" w14:textId="77777777" w:rsidR="003B2D2A" w:rsidRPr="000369CA" w:rsidRDefault="003B2D2A" w:rsidP="003B2D2A">
      <w:pPr>
        <w:pStyle w:val="Textoindependiente"/>
        <w:ind w:firstLine="708"/>
        <w:rPr>
          <w:rFonts w:ascii="Abadi" w:hAnsi="Abadi"/>
          <w:b w:val="0"/>
          <w:bCs w:val="0"/>
          <w:sz w:val="21"/>
          <w:szCs w:val="21"/>
        </w:rPr>
      </w:pPr>
    </w:p>
    <w:p w14:paraId="569B5461"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2001008E" w14:textId="77777777" w:rsidR="003B2D2A" w:rsidRPr="000369CA" w:rsidRDefault="003B2D2A" w:rsidP="003B2D2A">
      <w:pPr>
        <w:pStyle w:val="Textoindependiente"/>
        <w:ind w:firstLine="708"/>
        <w:rPr>
          <w:rFonts w:ascii="Abadi" w:hAnsi="Abadi"/>
          <w:b w:val="0"/>
          <w:bCs w:val="0"/>
          <w:sz w:val="21"/>
          <w:szCs w:val="21"/>
        </w:rPr>
      </w:pPr>
    </w:p>
    <w:p w14:paraId="617F0FF7"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En ejercicio de esta función, el Auditor Superior del Estado aprobó el Programa General de Fiscalización 2022. En dicho Programa se contempló la revisión de la </w:t>
      </w:r>
      <w:r w:rsidRPr="000369CA">
        <w:rPr>
          <w:rFonts w:ascii="Abadi" w:hAnsi="Abadi"/>
          <w:b w:val="0"/>
          <w:bCs w:val="0"/>
          <w:sz w:val="21"/>
          <w:szCs w:val="21"/>
        </w:rPr>
        <w:t xml:space="preserve">cuenta pública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correspondiente al ejercicio fiscal del año 2021.</w:t>
      </w:r>
    </w:p>
    <w:p w14:paraId="62946267" w14:textId="77777777" w:rsidR="003B2D2A" w:rsidRPr="003B65C0" w:rsidRDefault="003B2D2A" w:rsidP="003B2D2A">
      <w:pPr>
        <w:ind w:firstLine="708"/>
        <w:jc w:val="both"/>
        <w:rPr>
          <w:rFonts w:ascii="Abadi" w:hAnsi="Abadi" w:cs="Arial"/>
          <w:sz w:val="21"/>
          <w:szCs w:val="21"/>
          <w:lang w:val="es-MX" w:eastAsia="x-none"/>
        </w:rPr>
      </w:pPr>
    </w:p>
    <w:p w14:paraId="718FE3EE"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3B65C0">
        <w:rPr>
          <w:rFonts w:ascii="Abadi" w:hAnsi="Abadi" w:cs="Arial"/>
          <w:bCs/>
          <w:sz w:val="21"/>
          <w:szCs w:val="21"/>
          <w:lang w:val="es-MX" w:eastAsia="x-none"/>
        </w:rPr>
        <w:t>el 30 de marzo de 2023,</w:t>
      </w:r>
      <w:r w:rsidRPr="003B65C0">
        <w:rPr>
          <w:rFonts w:ascii="Abadi" w:hAnsi="Abadi" w:cs="Arial"/>
          <w:sz w:val="21"/>
          <w:szCs w:val="21"/>
          <w:lang w:val="es-MX" w:eastAsia="x-none"/>
        </w:rPr>
        <w:t xml:space="preserve"> para su estudio y dictamen,</w:t>
      </w:r>
      <w:r w:rsidRPr="003B65C0">
        <w:rPr>
          <w:rFonts w:ascii="Abadi" w:hAnsi="Abadi" w:cs="Arial"/>
          <w:b/>
          <w:sz w:val="21"/>
          <w:szCs w:val="21"/>
          <w:lang w:val="es-MX" w:eastAsia="x-none"/>
        </w:rPr>
        <w:t xml:space="preserve"> </w:t>
      </w:r>
      <w:r w:rsidRPr="003B65C0">
        <w:rPr>
          <w:rFonts w:ascii="Abadi" w:hAnsi="Abadi" w:cs="Arial"/>
          <w:sz w:val="21"/>
          <w:szCs w:val="21"/>
          <w:lang w:val="es-MX" w:eastAsia="x-none"/>
        </w:rPr>
        <w:t>siendo radicado el 11 de abril del año en curso.</w:t>
      </w:r>
    </w:p>
    <w:p w14:paraId="38280B7C" w14:textId="77777777" w:rsidR="003B2D2A" w:rsidRPr="003B65C0" w:rsidRDefault="003B2D2A" w:rsidP="003B2D2A">
      <w:pPr>
        <w:ind w:firstLine="708"/>
        <w:jc w:val="both"/>
        <w:rPr>
          <w:rFonts w:ascii="Abadi" w:hAnsi="Abadi" w:cs="Arial"/>
          <w:sz w:val="21"/>
          <w:szCs w:val="21"/>
          <w:lang w:val="es-MX" w:eastAsia="x-none"/>
        </w:rPr>
      </w:pPr>
    </w:p>
    <w:p w14:paraId="734D6EC8" w14:textId="77777777" w:rsidR="003B2D2A" w:rsidRPr="003B65C0" w:rsidRDefault="003B2D2A" w:rsidP="003B2D2A">
      <w:pPr>
        <w:ind w:firstLine="708"/>
        <w:jc w:val="both"/>
        <w:rPr>
          <w:rFonts w:ascii="Abadi" w:hAnsi="Abadi" w:cs="Arial"/>
          <w:sz w:val="21"/>
          <w:szCs w:val="21"/>
          <w:lang w:val="es-MX" w:eastAsia="x-none"/>
        </w:rPr>
      </w:pPr>
    </w:p>
    <w:p w14:paraId="7C9FED95" w14:textId="77777777" w:rsidR="003B2D2A" w:rsidRPr="000369CA" w:rsidRDefault="003B2D2A" w:rsidP="003B2D2A">
      <w:pPr>
        <w:pStyle w:val="Textoindependiente"/>
        <w:ind w:firstLine="708"/>
        <w:rPr>
          <w:rFonts w:ascii="Abadi" w:hAnsi="Abadi"/>
          <w:sz w:val="21"/>
          <w:szCs w:val="21"/>
        </w:rPr>
      </w:pPr>
      <w:r w:rsidRPr="000369CA">
        <w:rPr>
          <w:rFonts w:ascii="Abadi" w:hAnsi="Abadi"/>
          <w:sz w:val="21"/>
          <w:szCs w:val="21"/>
        </w:rPr>
        <w:t>III. Procedimiento de Revisión:</w:t>
      </w:r>
    </w:p>
    <w:p w14:paraId="1E6A61F2" w14:textId="77777777" w:rsidR="003B2D2A" w:rsidRPr="003B65C0" w:rsidRDefault="003B2D2A" w:rsidP="003B2D2A">
      <w:pPr>
        <w:pStyle w:val="Textoindependiente"/>
        <w:ind w:firstLine="708"/>
        <w:rPr>
          <w:rFonts w:ascii="Abadi" w:hAnsi="Abadi"/>
          <w:sz w:val="21"/>
          <w:szCs w:val="21"/>
        </w:rPr>
      </w:pPr>
    </w:p>
    <w:p w14:paraId="723C3B48"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La revisión de la cuenta pública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correspondiente al ejercicio fiscal del año 2021, tuvo por objetivo, de acuerdo a los</w:t>
      </w:r>
      <w:r w:rsidRPr="003B65C0">
        <w:rPr>
          <w:rFonts w:ascii="Abadi" w:hAnsi="Abadi"/>
          <w:sz w:val="21"/>
          <w:szCs w:val="21"/>
        </w:rPr>
        <w:t xml:space="preserve"> </w:t>
      </w:r>
      <w:r w:rsidRPr="000369CA">
        <w:rPr>
          <w:rFonts w:ascii="Abadi" w:hAnsi="Abadi"/>
          <w:b w:val="0"/>
          <w:bCs w:val="0"/>
          <w:sz w:val="21"/>
          <w:szCs w:val="21"/>
        </w:rPr>
        <w:t>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BBB261B" w14:textId="77777777" w:rsidR="003B2D2A" w:rsidRPr="000369CA" w:rsidRDefault="003B2D2A" w:rsidP="003B2D2A">
      <w:pPr>
        <w:pStyle w:val="Textoindependiente"/>
        <w:ind w:firstLine="708"/>
        <w:rPr>
          <w:rFonts w:ascii="Abadi" w:hAnsi="Abadi"/>
          <w:b w:val="0"/>
          <w:bCs w:val="0"/>
          <w:sz w:val="21"/>
          <w:szCs w:val="21"/>
        </w:rPr>
      </w:pPr>
    </w:p>
    <w:p w14:paraId="25B1917B"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826F3F3" w14:textId="77777777" w:rsidR="003B2D2A" w:rsidRPr="000369CA" w:rsidRDefault="003B2D2A" w:rsidP="003B2D2A">
      <w:pPr>
        <w:pStyle w:val="Textoindependiente"/>
        <w:ind w:firstLine="708"/>
        <w:rPr>
          <w:rFonts w:ascii="Abadi" w:hAnsi="Abadi"/>
          <w:b w:val="0"/>
          <w:bCs w:val="0"/>
          <w:sz w:val="21"/>
          <w:szCs w:val="21"/>
        </w:rPr>
      </w:pPr>
    </w:p>
    <w:p w14:paraId="79698A10"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w:t>
      </w:r>
      <w:r w:rsidRPr="000369CA">
        <w:rPr>
          <w:rFonts w:ascii="Abadi" w:hAnsi="Abadi"/>
          <w:b w:val="0"/>
          <w:bCs w:val="0"/>
          <w:sz w:val="21"/>
          <w:szCs w:val="21"/>
        </w:rPr>
        <w:lastRenderedPageBreak/>
        <w:t>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0E29161" w14:textId="77777777" w:rsidR="003B2D2A" w:rsidRPr="003B65C0" w:rsidRDefault="003B2D2A" w:rsidP="003B2D2A">
      <w:pPr>
        <w:pStyle w:val="Textoindependiente"/>
        <w:ind w:firstLine="708"/>
        <w:rPr>
          <w:rFonts w:ascii="Abadi" w:hAnsi="Abadi"/>
          <w:sz w:val="21"/>
          <w:szCs w:val="21"/>
        </w:rPr>
      </w:pPr>
    </w:p>
    <w:p w14:paraId="6EF022F5" w14:textId="77777777" w:rsidR="003B2D2A" w:rsidRPr="003B65C0" w:rsidRDefault="003B2D2A" w:rsidP="003B2D2A">
      <w:pPr>
        <w:pStyle w:val="Textoindependiente"/>
        <w:ind w:firstLine="708"/>
        <w:rPr>
          <w:rFonts w:ascii="Abadi" w:hAnsi="Abadi"/>
          <w:sz w:val="21"/>
          <w:szCs w:val="21"/>
        </w:rPr>
      </w:pPr>
    </w:p>
    <w:p w14:paraId="0D7A005A" w14:textId="77777777" w:rsidR="003B2D2A" w:rsidRPr="003B65C0" w:rsidRDefault="003B2D2A" w:rsidP="003B2D2A">
      <w:pPr>
        <w:pStyle w:val="Textoindependiente"/>
        <w:ind w:firstLine="708"/>
        <w:rPr>
          <w:rFonts w:ascii="Abadi" w:hAnsi="Abadi"/>
          <w:sz w:val="21"/>
          <w:szCs w:val="21"/>
        </w:rPr>
      </w:pPr>
    </w:p>
    <w:p w14:paraId="1C6C2D2D" w14:textId="77777777" w:rsidR="003B2D2A" w:rsidRPr="003B65C0" w:rsidRDefault="003B2D2A" w:rsidP="003B2D2A">
      <w:pPr>
        <w:pStyle w:val="Textoindependiente"/>
        <w:ind w:firstLine="708"/>
        <w:rPr>
          <w:rFonts w:ascii="Abadi" w:hAnsi="Abadi"/>
          <w:sz w:val="21"/>
          <w:szCs w:val="21"/>
        </w:rPr>
      </w:pPr>
    </w:p>
    <w:p w14:paraId="7D0DDED3" w14:textId="77777777" w:rsidR="003B2D2A" w:rsidRPr="003B65C0" w:rsidRDefault="003B2D2A" w:rsidP="003B2D2A">
      <w:pPr>
        <w:pStyle w:val="Textoindependiente"/>
        <w:ind w:firstLine="708"/>
        <w:rPr>
          <w:rFonts w:ascii="Abadi" w:hAnsi="Abadi"/>
          <w:sz w:val="21"/>
          <w:szCs w:val="21"/>
        </w:rPr>
      </w:pPr>
    </w:p>
    <w:p w14:paraId="182A4FCC" w14:textId="77777777" w:rsidR="003B2D2A" w:rsidRPr="003B65C0" w:rsidRDefault="003B2D2A" w:rsidP="003B2D2A">
      <w:pPr>
        <w:pStyle w:val="Textoindependiente"/>
        <w:ind w:firstLine="708"/>
        <w:rPr>
          <w:rFonts w:ascii="Abadi" w:hAnsi="Abadi"/>
          <w:sz w:val="21"/>
          <w:szCs w:val="21"/>
        </w:rPr>
      </w:pPr>
    </w:p>
    <w:p w14:paraId="2A44046D" w14:textId="77777777" w:rsidR="003B2D2A" w:rsidRPr="003B65C0" w:rsidRDefault="003B2D2A" w:rsidP="003B2D2A">
      <w:pPr>
        <w:pStyle w:val="Textoindependiente"/>
        <w:ind w:firstLine="708"/>
        <w:rPr>
          <w:rFonts w:ascii="Abadi" w:hAnsi="Abadi"/>
          <w:sz w:val="21"/>
          <w:szCs w:val="21"/>
        </w:rPr>
      </w:pPr>
    </w:p>
    <w:p w14:paraId="0E6A8FBC"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918D360" w14:textId="77777777" w:rsidR="003B2D2A" w:rsidRPr="000369CA" w:rsidRDefault="003B2D2A" w:rsidP="003B2D2A">
      <w:pPr>
        <w:pStyle w:val="Textoindependiente"/>
        <w:ind w:firstLine="708"/>
        <w:rPr>
          <w:rFonts w:ascii="Abadi" w:hAnsi="Abadi"/>
          <w:b w:val="0"/>
          <w:bCs w:val="0"/>
          <w:sz w:val="21"/>
          <w:szCs w:val="21"/>
        </w:rPr>
      </w:pPr>
    </w:p>
    <w:p w14:paraId="3871C691"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El informe de resultados establece que se practicó la revisión de la cuenta pública respecto de las operaciones realizadas por la administración pública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correspondientes al ejercicio fiscal 2021, en lo referente a los apartados de ingresos y egresos.</w:t>
      </w:r>
    </w:p>
    <w:p w14:paraId="7FDB8775" w14:textId="77777777" w:rsidR="003B2D2A" w:rsidRPr="000369CA" w:rsidRDefault="003B2D2A" w:rsidP="003B2D2A">
      <w:pPr>
        <w:pStyle w:val="Textoindependiente"/>
        <w:ind w:firstLine="705"/>
        <w:rPr>
          <w:rFonts w:ascii="Abadi" w:hAnsi="Abadi"/>
          <w:b w:val="0"/>
          <w:bCs w:val="0"/>
          <w:sz w:val="21"/>
          <w:szCs w:val="21"/>
        </w:rPr>
      </w:pPr>
    </w:p>
    <w:p w14:paraId="23E88B17" w14:textId="77777777" w:rsidR="003B2D2A" w:rsidRPr="003B65C0" w:rsidRDefault="003B2D2A" w:rsidP="003B2D2A">
      <w:pPr>
        <w:autoSpaceDE w:val="0"/>
        <w:autoSpaceDN w:val="0"/>
        <w:adjustRightInd w:val="0"/>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w:t>
      </w:r>
      <w:r w:rsidRPr="003B65C0">
        <w:rPr>
          <w:rFonts w:ascii="Abadi" w:hAnsi="Abadi" w:cs="Arial"/>
          <w:sz w:val="21"/>
          <w:szCs w:val="21"/>
          <w:lang w:val="es-MX" w:eastAsia="x-none"/>
        </w:rPr>
        <w:t xml:space="preserve">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B2CC74D" w14:textId="77777777" w:rsidR="003B2D2A" w:rsidRPr="003B65C0" w:rsidRDefault="003B2D2A" w:rsidP="003B2D2A">
      <w:pPr>
        <w:autoSpaceDE w:val="0"/>
        <w:autoSpaceDN w:val="0"/>
        <w:adjustRightInd w:val="0"/>
        <w:ind w:firstLine="708"/>
        <w:jc w:val="both"/>
        <w:rPr>
          <w:rFonts w:ascii="Abadi" w:hAnsi="Abadi" w:cs="Arial"/>
          <w:sz w:val="21"/>
          <w:szCs w:val="21"/>
          <w:lang w:val="es-MX" w:eastAsia="x-none"/>
        </w:rPr>
      </w:pPr>
    </w:p>
    <w:p w14:paraId="6F332BA8" w14:textId="77777777" w:rsidR="003B2D2A" w:rsidRPr="003B65C0" w:rsidRDefault="003B2D2A" w:rsidP="003B2D2A">
      <w:pPr>
        <w:ind w:firstLine="708"/>
        <w:jc w:val="both"/>
        <w:rPr>
          <w:rFonts w:ascii="Abadi" w:hAnsi="Abadi" w:cs="Arial"/>
          <w:sz w:val="21"/>
          <w:szCs w:val="21"/>
          <w:lang w:val="es-MX" w:eastAsia="x-none"/>
        </w:rPr>
      </w:pPr>
      <w:r w:rsidRPr="003B65C0">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3B65C0">
        <w:rPr>
          <w:rFonts w:ascii="Abadi" w:hAnsi="Abadi" w:cs="Arial"/>
          <w:sz w:val="21"/>
          <w:szCs w:val="21"/>
          <w:lang w:val="es-MX" w:eastAsia="x-none"/>
        </w:rPr>
        <w:t>fiscalizado</w:t>
      </w:r>
      <w:proofErr w:type="spellEnd"/>
      <w:r w:rsidRPr="003B65C0">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191EB66F" w14:textId="77777777" w:rsidR="003B2D2A" w:rsidRPr="003B65C0" w:rsidRDefault="003B2D2A" w:rsidP="003B2D2A">
      <w:pPr>
        <w:ind w:firstLine="708"/>
        <w:jc w:val="both"/>
        <w:rPr>
          <w:rFonts w:ascii="Abadi" w:hAnsi="Abadi" w:cs="Arial"/>
          <w:sz w:val="21"/>
          <w:szCs w:val="21"/>
          <w:lang w:val="es-MX" w:eastAsia="x-none"/>
        </w:rPr>
      </w:pPr>
    </w:p>
    <w:p w14:paraId="4A49711A"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El 30 de junio de 2022 se notificó al presidente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 la orden de inicio del procedimiento de revisión de la cuenta pública.</w:t>
      </w:r>
    </w:p>
    <w:p w14:paraId="7E84D5CC" w14:textId="77777777" w:rsidR="003B2D2A" w:rsidRPr="003B65C0" w:rsidRDefault="003B2D2A" w:rsidP="003B2D2A">
      <w:pPr>
        <w:ind w:firstLine="708"/>
        <w:jc w:val="both"/>
        <w:rPr>
          <w:rFonts w:ascii="Abadi" w:hAnsi="Abadi" w:cs="Arial"/>
          <w:sz w:val="21"/>
          <w:szCs w:val="21"/>
        </w:rPr>
      </w:pPr>
    </w:p>
    <w:p w14:paraId="490AEDC4"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El 28 de noviembre de 2022 se notificó al presidente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43505F61" w14:textId="77777777" w:rsidR="003B2D2A" w:rsidRPr="003B65C0" w:rsidRDefault="003B2D2A" w:rsidP="003B2D2A">
      <w:pPr>
        <w:ind w:firstLine="708"/>
        <w:jc w:val="both"/>
        <w:rPr>
          <w:rFonts w:ascii="Abadi" w:hAnsi="Abadi" w:cs="Arial"/>
          <w:sz w:val="21"/>
          <w:szCs w:val="21"/>
        </w:rPr>
      </w:pPr>
    </w:p>
    <w:p w14:paraId="7D67EAA5"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Posteriormente, el 3 de febrero de 2023, se notificó al presidente y al ex presidente municipales de Tierra Blanca, </w:t>
      </w:r>
      <w:proofErr w:type="spellStart"/>
      <w:r w:rsidRPr="003B65C0">
        <w:rPr>
          <w:rFonts w:ascii="Abadi" w:hAnsi="Abadi" w:cs="Arial"/>
          <w:sz w:val="21"/>
          <w:szCs w:val="21"/>
        </w:rPr>
        <w:t>Gto</w:t>
      </w:r>
      <w:proofErr w:type="spellEnd"/>
      <w:r w:rsidRPr="003B65C0">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10 y 17 de febrero de </w:t>
      </w:r>
      <w:r w:rsidRPr="003B65C0">
        <w:rPr>
          <w:rFonts w:ascii="Abadi" w:hAnsi="Abadi" w:cs="Arial"/>
          <w:sz w:val="21"/>
          <w:szCs w:val="21"/>
        </w:rPr>
        <w:lastRenderedPageBreak/>
        <w:t xml:space="preserve">2023 por parte del presidente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w:t>
      </w:r>
    </w:p>
    <w:p w14:paraId="16A1B70D" w14:textId="77777777" w:rsidR="003B2D2A" w:rsidRPr="003B65C0" w:rsidRDefault="003B2D2A" w:rsidP="003B2D2A">
      <w:pPr>
        <w:ind w:firstLine="708"/>
        <w:jc w:val="both"/>
        <w:rPr>
          <w:rFonts w:ascii="Abadi" w:hAnsi="Abadi" w:cs="Arial"/>
          <w:sz w:val="21"/>
          <w:szCs w:val="21"/>
        </w:rPr>
      </w:pPr>
    </w:p>
    <w:p w14:paraId="54F831FB"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El 3 de marzo de 2023, el informe de resultados se notificó al presidente y al ex presidente municipales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haciéndoles saber que contaban con un término de cinco días hábiles para tal efecto.</w:t>
      </w:r>
      <w:r w:rsidRPr="003B65C0">
        <w:rPr>
          <w:rFonts w:ascii="Abadi" w:hAnsi="Abadi"/>
          <w:sz w:val="21"/>
          <w:szCs w:val="21"/>
        </w:rPr>
        <w:t xml:space="preserve"> </w:t>
      </w:r>
      <w:r w:rsidRPr="000369CA">
        <w:rPr>
          <w:rFonts w:ascii="Abadi" w:hAnsi="Abadi"/>
          <w:b w:val="0"/>
          <w:bCs w:val="0"/>
          <w:sz w:val="21"/>
          <w:szCs w:val="21"/>
        </w:rPr>
        <w:t>Con lo anterior, se dio cumplimiento a la fracción IV del artículo 37 de la citada Ley.</w:t>
      </w:r>
    </w:p>
    <w:p w14:paraId="50A2563B" w14:textId="77777777" w:rsidR="003B2D2A" w:rsidRPr="000369CA" w:rsidRDefault="003B2D2A" w:rsidP="003B2D2A">
      <w:pPr>
        <w:pStyle w:val="Textoindependiente"/>
        <w:ind w:firstLine="708"/>
        <w:rPr>
          <w:rFonts w:ascii="Abadi" w:hAnsi="Abadi"/>
          <w:b w:val="0"/>
          <w:bCs w:val="0"/>
          <w:sz w:val="21"/>
          <w:szCs w:val="21"/>
        </w:rPr>
      </w:pPr>
    </w:p>
    <w:p w14:paraId="7ED2EC6C"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El 10 de marzo de 2023, dentro del plazo que prevé la fracción IV del artículo 37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el ex presidente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w:t>
      </w:r>
    </w:p>
    <w:p w14:paraId="7CC4E703" w14:textId="77777777" w:rsidR="003B2D2A" w:rsidRPr="000369CA" w:rsidRDefault="003B2D2A" w:rsidP="003B2D2A">
      <w:pPr>
        <w:ind w:firstLine="708"/>
        <w:jc w:val="both"/>
        <w:rPr>
          <w:rFonts w:ascii="Abadi" w:hAnsi="Abadi"/>
          <w:sz w:val="21"/>
          <w:szCs w:val="21"/>
        </w:rPr>
      </w:pPr>
    </w:p>
    <w:p w14:paraId="28DF60FE" w14:textId="77777777" w:rsidR="003B2D2A" w:rsidRPr="003B65C0" w:rsidRDefault="003B2D2A" w:rsidP="003B2D2A">
      <w:pPr>
        <w:pStyle w:val="Textoindependiente"/>
        <w:ind w:firstLine="708"/>
        <w:rPr>
          <w:rFonts w:ascii="Abadi" w:hAnsi="Abadi"/>
          <w:sz w:val="21"/>
          <w:szCs w:val="21"/>
        </w:rPr>
      </w:pPr>
      <w:r w:rsidRPr="000369CA">
        <w:rPr>
          <w:rFonts w:ascii="Abadi" w:hAnsi="Abadi"/>
          <w:b w:val="0"/>
          <w:bCs w:val="0"/>
          <w:sz w:val="21"/>
          <w:szCs w:val="21"/>
        </w:rPr>
        <w:t xml:space="preserve">Una vez tramitado el recurso, el Auditor Superior el 17 de marzo de 2023 emitió la resolución correspondiente, a la cual haremos referencia en un apartado posterior, misma que se notificó al ex presidente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el 21 de marzo de 2023.</w:t>
      </w:r>
    </w:p>
    <w:p w14:paraId="1C98B057" w14:textId="77777777" w:rsidR="003B2D2A" w:rsidRPr="003B65C0" w:rsidRDefault="003B2D2A" w:rsidP="003B2D2A">
      <w:pPr>
        <w:ind w:firstLine="708"/>
        <w:jc w:val="both"/>
        <w:rPr>
          <w:rFonts w:ascii="Abadi" w:hAnsi="Abadi" w:cs="Arial"/>
          <w:bCs/>
          <w:sz w:val="21"/>
          <w:szCs w:val="21"/>
        </w:rPr>
      </w:pPr>
    </w:p>
    <w:p w14:paraId="28B1B8B2" w14:textId="77777777" w:rsidR="003B2D2A" w:rsidRPr="000369CA" w:rsidRDefault="003B2D2A" w:rsidP="003B2D2A">
      <w:pPr>
        <w:pStyle w:val="Textoindependiente"/>
        <w:ind w:firstLine="708"/>
        <w:rPr>
          <w:rFonts w:ascii="Abadi" w:hAnsi="Abadi"/>
          <w:sz w:val="21"/>
          <w:szCs w:val="21"/>
        </w:rPr>
      </w:pPr>
      <w:r w:rsidRPr="000369CA">
        <w:rPr>
          <w:rFonts w:ascii="Abadi" w:hAnsi="Abadi"/>
          <w:sz w:val="21"/>
          <w:szCs w:val="21"/>
        </w:rPr>
        <w:t>IV. Contenido del Informe de Resultados:</w:t>
      </w:r>
    </w:p>
    <w:p w14:paraId="45075C41" w14:textId="77777777" w:rsidR="003B2D2A" w:rsidRPr="003B65C0" w:rsidRDefault="003B2D2A" w:rsidP="003B2D2A">
      <w:pPr>
        <w:pStyle w:val="Textoindependiente"/>
        <w:rPr>
          <w:rFonts w:ascii="Abadi" w:hAnsi="Abadi"/>
          <w:b w:val="0"/>
          <w:bCs w:val="0"/>
          <w:sz w:val="21"/>
          <w:szCs w:val="21"/>
        </w:rPr>
      </w:pPr>
    </w:p>
    <w:p w14:paraId="466B106A" w14:textId="77777777" w:rsidR="003B2D2A" w:rsidRPr="000369CA" w:rsidRDefault="003B2D2A" w:rsidP="003B2D2A">
      <w:pPr>
        <w:pStyle w:val="Textoindependiente"/>
        <w:rPr>
          <w:rFonts w:ascii="Abadi" w:hAnsi="Abadi"/>
          <w:b w:val="0"/>
          <w:sz w:val="21"/>
          <w:szCs w:val="21"/>
        </w:rPr>
      </w:pPr>
      <w:r w:rsidRPr="003B65C0">
        <w:rPr>
          <w:rFonts w:ascii="Abadi" w:hAnsi="Abadi"/>
          <w:b w:val="0"/>
          <w:bCs w:val="0"/>
          <w:sz w:val="21"/>
          <w:szCs w:val="21"/>
        </w:rPr>
        <w:tab/>
      </w:r>
      <w:r w:rsidRPr="000369CA">
        <w:rPr>
          <w:rFonts w:ascii="Abadi" w:hAnsi="Abadi"/>
          <w:b w:val="0"/>
          <w:sz w:val="21"/>
          <w:szCs w:val="21"/>
        </w:rPr>
        <w:t>En cumplimiento a lo establecido por el artículo 37, fracción III de la Ley de Fiscalización Superior del Estado, el informe de resultados contiene los siguientes apartados:</w:t>
      </w:r>
    </w:p>
    <w:p w14:paraId="14619471" w14:textId="77777777" w:rsidR="003B2D2A" w:rsidRPr="003B65C0" w:rsidRDefault="003B2D2A" w:rsidP="003B2D2A">
      <w:pPr>
        <w:pStyle w:val="Textoindependiente"/>
        <w:rPr>
          <w:rFonts w:ascii="Abadi" w:hAnsi="Abadi"/>
          <w:sz w:val="21"/>
          <w:szCs w:val="21"/>
        </w:rPr>
      </w:pPr>
    </w:p>
    <w:p w14:paraId="7E887608" w14:textId="77777777" w:rsidR="003B2D2A" w:rsidRPr="000369CA" w:rsidRDefault="003B2D2A" w:rsidP="00427BD6">
      <w:pPr>
        <w:pStyle w:val="Textoindependiente"/>
        <w:numPr>
          <w:ilvl w:val="0"/>
          <w:numId w:val="9"/>
        </w:numPr>
        <w:autoSpaceDE/>
        <w:autoSpaceDN/>
        <w:rPr>
          <w:rFonts w:ascii="Abadi" w:hAnsi="Abadi"/>
          <w:sz w:val="21"/>
          <w:szCs w:val="21"/>
        </w:rPr>
      </w:pPr>
      <w:r w:rsidRPr="000369CA">
        <w:rPr>
          <w:rFonts w:ascii="Abadi" w:hAnsi="Abadi"/>
          <w:sz w:val="21"/>
          <w:szCs w:val="21"/>
        </w:rPr>
        <w:t>Introducción.</w:t>
      </w:r>
    </w:p>
    <w:p w14:paraId="54251FF2" w14:textId="77777777" w:rsidR="003B2D2A" w:rsidRPr="003B65C0" w:rsidRDefault="003B2D2A" w:rsidP="003B2D2A">
      <w:pPr>
        <w:pStyle w:val="Textoindependiente"/>
        <w:ind w:left="705"/>
        <w:rPr>
          <w:rFonts w:ascii="Abadi" w:hAnsi="Abadi"/>
          <w:b w:val="0"/>
          <w:bCs w:val="0"/>
          <w:sz w:val="21"/>
          <w:szCs w:val="21"/>
        </w:rPr>
      </w:pPr>
    </w:p>
    <w:p w14:paraId="2F475750"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5EED6E14" w14:textId="77777777" w:rsidR="003B2D2A" w:rsidRPr="000369CA" w:rsidRDefault="003B2D2A" w:rsidP="003B2D2A">
      <w:pPr>
        <w:pStyle w:val="Textoindependiente"/>
        <w:ind w:firstLine="705"/>
        <w:rPr>
          <w:rFonts w:ascii="Abadi" w:hAnsi="Abadi"/>
          <w:b w:val="0"/>
          <w:bCs w:val="0"/>
          <w:sz w:val="21"/>
          <w:szCs w:val="21"/>
        </w:rPr>
      </w:pPr>
    </w:p>
    <w:p w14:paraId="55A4E32F"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31AC6DD3" w14:textId="77777777" w:rsidR="003B2D2A" w:rsidRPr="000369CA" w:rsidRDefault="003B2D2A" w:rsidP="003B2D2A">
      <w:pPr>
        <w:pStyle w:val="Textoindependiente"/>
        <w:ind w:firstLine="705"/>
        <w:rPr>
          <w:rFonts w:ascii="Abadi" w:hAnsi="Abadi"/>
          <w:b w:val="0"/>
          <w:bCs w:val="0"/>
          <w:sz w:val="21"/>
          <w:szCs w:val="21"/>
        </w:rPr>
      </w:pPr>
    </w:p>
    <w:p w14:paraId="3EFDF2C5"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Cabe apuntar que en el Programa General de Fiscalización 2022 de la Auditoría Superior del Estado de Guanajuato, en el apartado de seguimiento a mejores prácticas</w:t>
      </w:r>
      <w:r w:rsidRPr="003B65C0">
        <w:rPr>
          <w:rFonts w:ascii="Abadi" w:hAnsi="Abadi"/>
          <w:sz w:val="21"/>
          <w:szCs w:val="21"/>
        </w:rPr>
        <w:t xml:space="preserve"> </w:t>
      </w:r>
      <w:r w:rsidRPr="000369CA">
        <w:rPr>
          <w:rFonts w:ascii="Abadi" w:hAnsi="Abadi"/>
          <w:b w:val="0"/>
          <w:bCs w:val="0"/>
          <w:sz w:val="21"/>
          <w:szCs w:val="21"/>
        </w:rPr>
        <w:t>de fiscalización ejecutadas durante el ejercicio 2021 y prospectiva estratégica para la programación 2022, se estableció:</w:t>
      </w:r>
    </w:p>
    <w:p w14:paraId="2F575578" w14:textId="77777777" w:rsidR="003B2D2A" w:rsidRPr="000369CA" w:rsidRDefault="003B2D2A" w:rsidP="003B2D2A">
      <w:pPr>
        <w:jc w:val="both"/>
        <w:rPr>
          <w:rFonts w:ascii="Abadi" w:hAnsi="Abadi" w:cs="Arial"/>
          <w:i/>
          <w:iCs/>
          <w:sz w:val="21"/>
          <w:szCs w:val="21"/>
          <w:lang w:eastAsia="x-none"/>
        </w:rPr>
      </w:pPr>
    </w:p>
    <w:p w14:paraId="4476B7A2" w14:textId="77777777" w:rsidR="003B2D2A" w:rsidRPr="003B65C0" w:rsidRDefault="003B2D2A" w:rsidP="003B2D2A">
      <w:pPr>
        <w:jc w:val="both"/>
        <w:rPr>
          <w:rFonts w:ascii="Abadi" w:hAnsi="Abadi" w:cs="Arial"/>
          <w:i/>
          <w:iCs/>
          <w:sz w:val="21"/>
          <w:szCs w:val="21"/>
          <w:lang w:eastAsia="x-none"/>
        </w:rPr>
      </w:pPr>
      <w:r w:rsidRPr="003B65C0">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196F8FEE" w14:textId="77777777" w:rsidR="003B2D2A" w:rsidRPr="003B65C0" w:rsidRDefault="003B2D2A" w:rsidP="003B2D2A">
      <w:pPr>
        <w:rPr>
          <w:rFonts w:ascii="Abadi" w:hAnsi="Abadi" w:cs="Arial"/>
          <w:i/>
          <w:iCs/>
          <w:sz w:val="21"/>
          <w:szCs w:val="21"/>
          <w:lang w:eastAsia="x-none"/>
        </w:rPr>
      </w:pPr>
    </w:p>
    <w:p w14:paraId="67F15B46" w14:textId="77777777" w:rsidR="003B2D2A" w:rsidRPr="003B65C0" w:rsidRDefault="003B2D2A" w:rsidP="003B2D2A">
      <w:pPr>
        <w:jc w:val="both"/>
        <w:rPr>
          <w:rFonts w:ascii="Abadi" w:hAnsi="Abadi" w:cs="Arial"/>
          <w:i/>
          <w:iCs/>
          <w:sz w:val="21"/>
          <w:szCs w:val="21"/>
          <w:lang w:eastAsia="x-none"/>
        </w:rPr>
      </w:pPr>
      <w:r w:rsidRPr="003B65C0">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1478703" w14:textId="77777777" w:rsidR="003B2D2A" w:rsidRPr="003B65C0" w:rsidRDefault="003B2D2A" w:rsidP="003B2D2A">
      <w:pPr>
        <w:jc w:val="both"/>
        <w:rPr>
          <w:rFonts w:ascii="Abadi" w:hAnsi="Abadi" w:cs="Arial"/>
          <w:i/>
          <w:iCs/>
          <w:sz w:val="21"/>
          <w:szCs w:val="21"/>
          <w:lang w:eastAsia="x-none"/>
        </w:rPr>
      </w:pPr>
    </w:p>
    <w:p w14:paraId="20135E3A" w14:textId="77777777" w:rsidR="003B2D2A" w:rsidRPr="003B65C0" w:rsidRDefault="003B2D2A" w:rsidP="003B2D2A">
      <w:pPr>
        <w:jc w:val="both"/>
        <w:rPr>
          <w:rFonts w:ascii="Abadi" w:hAnsi="Abadi" w:cs="Arial"/>
          <w:i/>
          <w:iCs/>
          <w:sz w:val="21"/>
          <w:szCs w:val="21"/>
          <w:lang w:eastAsia="x-none"/>
        </w:rPr>
      </w:pPr>
      <w:r w:rsidRPr="003B65C0">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2128C46" w14:textId="77777777" w:rsidR="003B2D2A" w:rsidRPr="003B65C0" w:rsidRDefault="003B2D2A" w:rsidP="003B2D2A">
      <w:pPr>
        <w:jc w:val="both"/>
        <w:rPr>
          <w:rFonts w:ascii="Abadi" w:hAnsi="Abadi" w:cs="Arial"/>
          <w:i/>
          <w:iCs/>
          <w:sz w:val="21"/>
          <w:szCs w:val="21"/>
          <w:lang w:eastAsia="x-none"/>
        </w:rPr>
      </w:pPr>
    </w:p>
    <w:p w14:paraId="3C9C0B8F" w14:textId="77777777" w:rsidR="003B2D2A" w:rsidRPr="003B65C0" w:rsidRDefault="003B2D2A" w:rsidP="003B2D2A">
      <w:pPr>
        <w:ind w:firstLine="705"/>
        <w:jc w:val="both"/>
        <w:rPr>
          <w:rFonts w:ascii="Abadi" w:hAnsi="Abadi" w:cs="Arial"/>
          <w:sz w:val="21"/>
          <w:szCs w:val="21"/>
          <w:lang w:eastAsia="x-none"/>
        </w:rPr>
      </w:pPr>
      <w:r w:rsidRPr="003B65C0">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3B65C0">
        <w:rPr>
          <w:rFonts w:ascii="Abadi" w:hAnsi="Abadi" w:cs="Arial"/>
          <w:sz w:val="21"/>
          <w:szCs w:val="21"/>
          <w:lang w:eastAsia="x-none"/>
        </w:rPr>
        <w:t>fiscalizado</w:t>
      </w:r>
      <w:proofErr w:type="spellEnd"/>
      <w:r w:rsidRPr="003B65C0">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3B65C0">
        <w:rPr>
          <w:rFonts w:ascii="Abadi" w:hAnsi="Abadi" w:cs="Arial"/>
          <w:i/>
          <w:iCs/>
          <w:sz w:val="21"/>
          <w:szCs w:val="21"/>
          <w:lang w:eastAsia="x-none"/>
        </w:rPr>
        <w:t>«Definitivos»,</w:t>
      </w:r>
      <w:r w:rsidRPr="003B65C0">
        <w:rPr>
          <w:rFonts w:ascii="Abadi" w:hAnsi="Abadi" w:cs="Arial"/>
          <w:sz w:val="21"/>
          <w:szCs w:val="21"/>
          <w:lang w:eastAsia="x-none"/>
        </w:rPr>
        <w:t xml:space="preserve"> emitidas por el Servicio de Administración Tributaria.</w:t>
      </w:r>
    </w:p>
    <w:p w14:paraId="49743448" w14:textId="77777777" w:rsidR="003B2D2A" w:rsidRPr="003B65C0" w:rsidRDefault="003B2D2A" w:rsidP="003B2D2A">
      <w:pPr>
        <w:pStyle w:val="Textoindependiente"/>
        <w:ind w:firstLine="705"/>
        <w:rPr>
          <w:rFonts w:ascii="Abadi" w:hAnsi="Abadi"/>
          <w:sz w:val="21"/>
          <w:szCs w:val="21"/>
        </w:rPr>
      </w:pPr>
    </w:p>
    <w:p w14:paraId="0A068500" w14:textId="77777777" w:rsidR="003B2D2A" w:rsidRPr="003B65C0" w:rsidRDefault="003B2D2A" w:rsidP="003B2D2A">
      <w:pPr>
        <w:ind w:firstLine="705"/>
        <w:jc w:val="both"/>
        <w:rPr>
          <w:rFonts w:ascii="Abadi" w:hAnsi="Abadi" w:cs="Arial"/>
          <w:sz w:val="21"/>
          <w:szCs w:val="21"/>
          <w:lang w:eastAsia="x-none"/>
        </w:rPr>
      </w:pPr>
      <w:r w:rsidRPr="003B65C0">
        <w:rPr>
          <w:rFonts w:ascii="Abadi" w:hAnsi="Abadi" w:cs="Arial"/>
          <w:sz w:val="21"/>
          <w:szCs w:val="21"/>
          <w:lang w:eastAsia="x-none"/>
        </w:rPr>
        <w:lastRenderedPageBreak/>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3B65C0">
        <w:rPr>
          <w:rFonts w:ascii="Abadi" w:hAnsi="Abadi" w:cs="Arial"/>
          <w:sz w:val="21"/>
          <w:szCs w:val="21"/>
          <w:lang w:eastAsia="x-none"/>
        </w:rPr>
        <w:t>fiscalizado</w:t>
      </w:r>
      <w:proofErr w:type="spellEnd"/>
      <w:r w:rsidRPr="003B65C0">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729187C" w14:textId="77777777" w:rsidR="003B2D2A" w:rsidRPr="003B65C0" w:rsidRDefault="003B2D2A" w:rsidP="003B2D2A">
      <w:pPr>
        <w:ind w:firstLine="705"/>
        <w:jc w:val="both"/>
        <w:rPr>
          <w:rFonts w:ascii="Abadi" w:hAnsi="Abadi" w:cs="Arial"/>
          <w:sz w:val="21"/>
          <w:szCs w:val="21"/>
          <w:lang w:eastAsia="x-none"/>
        </w:rPr>
      </w:pPr>
    </w:p>
    <w:p w14:paraId="3E9D0B76" w14:textId="77777777" w:rsidR="003B2D2A" w:rsidRPr="003B65C0" w:rsidRDefault="003B2D2A" w:rsidP="003B2D2A">
      <w:pPr>
        <w:ind w:firstLine="705"/>
        <w:jc w:val="both"/>
        <w:rPr>
          <w:rFonts w:ascii="Abadi" w:hAnsi="Abadi" w:cs="Arial"/>
          <w:sz w:val="21"/>
          <w:szCs w:val="21"/>
          <w:lang w:val="es-MX" w:eastAsia="x-none"/>
        </w:rPr>
      </w:pPr>
      <w:r w:rsidRPr="003B65C0">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3B65C0">
        <w:rPr>
          <w:rFonts w:ascii="Abadi" w:hAnsi="Abadi" w:cs="Arial"/>
          <w:sz w:val="21"/>
          <w:szCs w:val="21"/>
          <w:lang w:val="es-MX" w:eastAsia="x-none"/>
        </w:rPr>
        <w:t>fiscalizado</w:t>
      </w:r>
      <w:proofErr w:type="spellEnd"/>
      <w:r w:rsidRPr="003B65C0">
        <w:rPr>
          <w:rFonts w:ascii="Abadi" w:hAnsi="Abadi" w:cs="Arial"/>
          <w:sz w:val="21"/>
          <w:szCs w:val="21"/>
          <w:lang w:val="es-MX" w:eastAsia="x-none"/>
        </w:rPr>
        <w:t xml:space="preserve">; </w:t>
      </w:r>
      <w:r w:rsidRPr="003B65C0">
        <w:rPr>
          <w:rFonts w:ascii="Abadi" w:hAnsi="Abadi" w:cs="Arial"/>
          <w:sz w:val="21"/>
          <w:szCs w:val="21"/>
          <w:lang w:val="es-MX" w:eastAsia="x-none"/>
        </w:rPr>
        <w:t xml:space="preserve">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3B65C0">
        <w:rPr>
          <w:rFonts w:ascii="Abadi" w:hAnsi="Abadi" w:cs="Arial"/>
          <w:sz w:val="21"/>
          <w:szCs w:val="21"/>
          <w:lang w:val="es-MX" w:eastAsia="x-none"/>
        </w:rPr>
        <w:t>fiscalizado</w:t>
      </w:r>
      <w:proofErr w:type="spellEnd"/>
      <w:r w:rsidRPr="003B65C0">
        <w:rPr>
          <w:rFonts w:ascii="Abadi" w:hAnsi="Abadi" w:cs="Arial"/>
          <w:sz w:val="21"/>
          <w:szCs w:val="21"/>
          <w:lang w:val="es-MX" w:eastAsia="x-none"/>
        </w:rPr>
        <w:t>.</w:t>
      </w:r>
    </w:p>
    <w:p w14:paraId="29CD9379" w14:textId="77777777" w:rsidR="003B2D2A" w:rsidRPr="003B65C0" w:rsidRDefault="003B2D2A" w:rsidP="003B2D2A">
      <w:pPr>
        <w:ind w:firstLine="705"/>
        <w:jc w:val="both"/>
        <w:rPr>
          <w:rFonts w:ascii="Abadi" w:hAnsi="Abadi" w:cs="Arial"/>
          <w:sz w:val="21"/>
          <w:szCs w:val="21"/>
          <w:lang w:val="es-MX" w:eastAsia="x-none"/>
        </w:rPr>
      </w:pPr>
    </w:p>
    <w:p w14:paraId="4E9F481F" w14:textId="77777777" w:rsidR="003B2D2A" w:rsidRPr="003B65C0" w:rsidRDefault="003B2D2A" w:rsidP="003B2D2A">
      <w:pPr>
        <w:ind w:firstLine="705"/>
        <w:jc w:val="both"/>
        <w:rPr>
          <w:rFonts w:ascii="Abadi" w:hAnsi="Abadi" w:cs="Arial"/>
          <w:sz w:val="21"/>
          <w:szCs w:val="21"/>
          <w:lang w:val="es-MX" w:eastAsia="x-none"/>
        </w:rPr>
      </w:pPr>
      <w:r w:rsidRPr="003B65C0">
        <w:rPr>
          <w:rFonts w:ascii="Abadi" w:hAnsi="Abadi" w:cs="Arial"/>
          <w:sz w:val="21"/>
          <w:szCs w:val="21"/>
          <w:lang w:val="es-MX" w:eastAsia="x-none"/>
        </w:rPr>
        <w:t xml:space="preserve">Adicionalmente, la Auditoría Superior del Estado de Guanajuato aplicó procedimientos sustantivos y de cumplimiento a efecto de analizar el informe de entrega recepción previsto en la Ley Orgánica Municipal para el Estado de Guanajuato; y en su caso a las irregularidades detectadas, dando alcance a las mismas en la revisión de la cuenta pública.  </w:t>
      </w:r>
    </w:p>
    <w:p w14:paraId="4F9EABD2" w14:textId="77777777" w:rsidR="003B2D2A" w:rsidRPr="003B65C0" w:rsidRDefault="003B2D2A" w:rsidP="003B2D2A">
      <w:pPr>
        <w:ind w:firstLine="705"/>
        <w:jc w:val="both"/>
        <w:rPr>
          <w:rFonts w:ascii="Abadi" w:hAnsi="Abadi" w:cs="Arial"/>
          <w:sz w:val="21"/>
          <w:szCs w:val="21"/>
          <w:lang w:val="es-MX" w:eastAsia="x-none"/>
        </w:rPr>
      </w:pPr>
    </w:p>
    <w:p w14:paraId="153279F9" w14:textId="77777777" w:rsidR="003B2D2A" w:rsidRPr="003B65C0" w:rsidRDefault="003B2D2A" w:rsidP="003B2D2A">
      <w:pPr>
        <w:ind w:firstLine="705"/>
        <w:jc w:val="both"/>
        <w:rPr>
          <w:rFonts w:ascii="Abadi" w:hAnsi="Abadi" w:cs="Arial"/>
          <w:sz w:val="21"/>
          <w:szCs w:val="21"/>
          <w:lang w:val="es-MX" w:eastAsia="x-none"/>
        </w:rPr>
      </w:pPr>
      <w:r w:rsidRPr="003B65C0">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Tierra Blanca, </w:t>
      </w:r>
      <w:proofErr w:type="spellStart"/>
      <w:r w:rsidRPr="003B65C0">
        <w:rPr>
          <w:rFonts w:ascii="Abadi" w:hAnsi="Abadi" w:cs="Arial"/>
          <w:sz w:val="21"/>
          <w:szCs w:val="21"/>
          <w:lang w:val="es-MX" w:eastAsia="x-none"/>
        </w:rPr>
        <w:t>Gto</w:t>
      </w:r>
      <w:proofErr w:type="spellEnd"/>
      <w:r w:rsidRPr="003B65C0">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4C7E0166" w14:textId="77777777" w:rsidR="003B2D2A" w:rsidRPr="003B65C0" w:rsidRDefault="003B2D2A" w:rsidP="003B2D2A">
      <w:pPr>
        <w:ind w:firstLine="705"/>
        <w:jc w:val="both"/>
        <w:rPr>
          <w:rFonts w:ascii="Abadi" w:hAnsi="Abadi" w:cs="Arial"/>
          <w:sz w:val="21"/>
          <w:szCs w:val="21"/>
          <w:lang w:val="es-MX" w:eastAsia="x-none"/>
        </w:rPr>
      </w:pPr>
    </w:p>
    <w:p w14:paraId="19088BE3" w14:textId="77777777" w:rsidR="003B2D2A" w:rsidRPr="003B65C0" w:rsidRDefault="003B2D2A" w:rsidP="003B2D2A">
      <w:pPr>
        <w:ind w:firstLine="705"/>
        <w:jc w:val="both"/>
        <w:rPr>
          <w:rFonts w:ascii="Abadi" w:hAnsi="Abadi" w:cs="Arial"/>
          <w:sz w:val="21"/>
          <w:szCs w:val="21"/>
          <w:lang w:val="es-MX" w:eastAsia="x-none"/>
        </w:rPr>
      </w:pPr>
      <w:r w:rsidRPr="003B65C0">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Tierra Blanca, </w:t>
      </w:r>
      <w:proofErr w:type="spellStart"/>
      <w:r w:rsidRPr="003B65C0">
        <w:rPr>
          <w:rFonts w:ascii="Abadi" w:hAnsi="Abadi" w:cs="Arial"/>
          <w:sz w:val="21"/>
          <w:szCs w:val="21"/>
          <w:lang w:val="es-MX" w:eastAsia="x-none"/>
        </w:rPr>
        <w:t>Gto</w:t>
      </w:r>
      <w:proofErr w:type="spellEnd"/>
      <w:r w:rsidRPr="003B65C0">
        <w:rPr>
          <w:rFonts w:ascii="Abadi" w:hAnsi="Abadi" w:cs="Arial"/>
          <w:sz w:val="21"/>
          <w:szCs w:val="21"/>
          <w:lang w:val="es-MX" w:eastAsia="x-none"/>
        </w:rPr>
        <w:t>., no cumplió con las disposiciones normativas aplicables, como se precisa en el informe de resultados. Asimismo, se refiere que se presentaron limitantes al alcance de la revisión que se refiere a la aplicación de los procedimientos de aplazamiento en la realización de inspecciones físicas, confirmaciones y actas circunstanciadas de hechos.</w:t>
      </w:r>
    </w:p>
    <w:p w14:paraId="77EB312B" w14:textId="77777777" w:rsidR="003B2D2A" w:rsidRPr="003B65C0" w:rsidRDefault="003B2D2A" w:rsidP="003B2D2A">
      <w:pPr>
        <w:ind w:firstLine="705"/>
        <w:jc w:val="both"/>
        <w:rPr>
          <w:rFonts w:ascii="Abadi" w:hAnsi="Abadi" w:cs="Arial"/>
          <w:sz w:val="21"/>
          <w:szCs w:val="21"/>
          <w:lang w:val="es-MX" w:eastAsia="x-none"/>
        </w:rPr>
      </w:pPr>
    </w:p>
    <w:p w14:paraId="14CA372F"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w:t>
      </w:r>
      <w:r w:rsidRPr="000369CA">
        <w:rPr>
          <w:rFonts w:ascii="Abadi" w:hAnsi="Abadi"/>
          <w:b w:val="0"/>
          <w:bCs w:val="0"/>
          <w:sz w:val="21"/>
          <w:szCs w:val="21"/>
        </w:rPr>
        <w:lastRenderedPageBreak/>
        <w:t xml:space="preserve">determinaron 7 observaciones, mismas que no fueron solventadas. Asimismo, se formuló 1 recomendación que no se atendió. </w:t>
      </w:r>
    </w:p>
    <w:p w14:paraId="2CB3C398" w14:textId="77777777" w:rsidR="003B2D2A" w:rsidRPr="000369CA" w:rsidRDefault="003B2D2A" w:rsidP="003B2D2A">
      <w:pPr>
        <w:pStyle w:val="Textoindependiente"/>
        <w:ind w:firstLine="705"/>
        <w:rPr>
          <w:rFonts w:ascii="Abadi" w:hAnsi="Abadi"/>
          <w:b w:val="0"/>
          <w:bCs w:val="0"/>
          <w:sz w:val="21"/>
          <w:szCs w:val="21"/>
        </w:rPr>
      </w:pPr>
    </w:p>
    <w:p w14:paraId="17074142" w14:textId="77777777" w:rsidR="003B2D2A" w:rsidRPr="003B65C0" w:rsidRDefault="003B2D2A" w:rsidP="003B2D2A">
      <w:pPr>
        <w:pStyle w:val="Textoindependiente"/>
        <w:ind w:firstLine="705"/>
        <w:rPr>
          <w:rFonts w:ascii="Abadi" w:hAnsi="Abadi"/>
          <w:sz w:val="21"/>
          <w:szCs w:val="21"/>
        </w:rPr>
      </w:pPr>
    </w:p>
    <w:p w14:paraId="0C5F4E02"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w:t>
      </w:r>
      <w:r w:rsidRPr="003B65C0">
        <w:rPr>
          <w:rFonts w:ascii="Abadi" w:hAnsi="Abadi"/>
          <w:sz w:val="21"/>
          <w:szCs w:val="21"/>
        </w:rPr>
        <w:t xml:space="preserve"> </w:t>
      </w:r>
      <w:r w:rsidRPr="000369CA">
        <w:rPr>
          <w:rFonts w:ascii="Abadi" w:hAnsi="Abadi"/>
          <w:b w:val="0"/>
          <w:bCs w:val="0"/>
          <w:sz w:val="21"/>
          <w:szCs w:val="21"/>
        </w:rPr>
        <w:t>que, en el caso de las observaciones plasmadas en los numerales 001, 006 y 007, existen importes no solventados por la cuantía que ahí se refiere. No obstante, derivado de la resolución recaída al recurso de reconsideración promovido en contra del informe de resultados, se disminuyó la cuantía del importe observado derivado de la observación contenida en el numeral 006, para quedar en los términos del resolutivo segundo de la citada resolución.</w:t>
      </w:r>
    </w:p>
    <w:p w14:paraId="3F404BB6" w14:textId="77777777" w:rsidR="003B2D2A" w:rsidRPr="003B65C0" w:rsidRDefault="003B2D2A" w:rsidP="003B2D2A">
      <w:pPr>
        <w:pStyle w:val="Textoindependiente"/>
        <w:ind w:firstLine="705"/>
        <w:rPr>
          <w:rFonts w:ascii="Abadi" w:hAnsi="Abadi"/>
          <w:sz w:val="21"/>
          <w:szCs w:val="21"/>
        </w:rPr>
      </w:pPr>
    </w:p>
    <w:p w14:paraId="20A56CAC"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0369CA">
        <w:rPr>
          <w:rFonts w:ascii="Abadi" w:hAnsi="Abadi"/>
          <w:b w:val="0"/>
          <w:bCs w:val="0"/>
          <w:i/>
          <w:iCs/>
          <w:sz w:val="21"/>
          <w:szCs w:val="21"/>
        </w:rPr>
        <w:t>Definitivos»</w:t>
      </w:r>
      <w:r w:rsidRPr="000369CA">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546B703" w14:textId="77777777" w:rsidR="003B2D2A" w:rsidRPr="003B65C0" w:rsidRDefault="003B2D2A" w:rsidP="003B2D2A">
      <w:pPr>
        <w:pStyle w:val="Textoindependiente"/>
        <w:ind w:firstLine="705"/>
        <w:rPr>
          <w:rFonts w:ascii="Abadi" w:hAnsi="Abadi"/>
          <w:sz w:val="21"/>
          <w:szCs w:val="21"/>
        </w:rPr>
      </w:pPr>
    </w:p>
    <w:p w14:paraId="04E7AE3B" w14:textId="77777777" w:rsidR="003B2D2A" w:rsidRPr="000369CA" w:rsidRDefault="003B2D2A" w:rsidP="00427BD6">
      <w:pPr>
        <w:pStyle w:val="Textoindependiente"/>
        <w:numPr>
          <w:ilvl w:val="0"/>
          <w:numId w:val="9"/>
        </w:numPr>
        <w:tabs>
          <w:tab w:val="clear" w:pos="1065"/>
          <w:tab w:val="num" w:pos="0"/>
        </w:tabs>
        <w:autoSpaceDE/>
        <w:autoSpaceDN/>
        <w:rPr>
          <w:rFonts w:ascii="Abadi" w:hAnsi="Abadi"/>
          <w:sz w:val="21"/>
          <w:szCs w:val="21"/>
        </w:rPr>
      </w:pPr>
      <w:r w:rsidRPr="000369CA">
        <w:rPr>
          <w:rFonts w:ascii="Abadi" w:hAnsi="Abadi"/>
          <w:sz w:val="21"/>
          <w:szCs w:val="21"/>
        </w:rPr>
        <w:t xml:space="preserve">Observaciones y recomendaciones, la respuesta emitida por el sujeto fiscalizado y la valoración correspondiente. </w:t>
      </w:r>
    </w:p>
    <w:p w14:paraId="4713D37E" w14:textId="77777777" w:rsidR="003B2D2A" w:rsidRPr="003B65C0" w:rsidRDefault="003B2D2A" w:rsidP="003B2D2A">
      <w:pPr>
        <w:pStyle w:val="Textoindependiente"/>
        <w:ind w:left="1065"/>
        <w:rPr>
          <w:rFonts w:ascii="Abadi" w:hAnsi="Abadi"/>
          <w:b w:val="0"/>
          <w:bCs w:val="0"/>
          <w:sz w:val="21"/>
          <w:szCs w:val="21"/>
        </w:rPr>
      </w:pPr>
    </w:p>
    <w:p w14:paraId="5EA55C3E"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En esta parte se desglosa la valoración de las observaciones formuladas por el Órgano Técnico, considerando como no solventadas las observaciones plasmadas en los siguientes apartados: En el de Administración Pública Centralizada, los </w:t>
      </w:r>
      <w:r w:rsidRPr="000369CA">
        <w:rPr>
          <w:rFonts w:ascii="Abadi" w:hAnsi="Abadi"/>
          <w:b w:val="0"/>
          <w:bCs w:val="0"/>
          <w:sz w:val="21"/>
          <w:szCs w:val="21"/>
        </w:rPr>
        <w:t>numerales: 001, referente a pago de impuestos; 002, correspondiente a comprobación reintegro; 003, relativo a Programa Anual de Adquisiciones; 004, referido a evidencia gastos por comprobar; y 005, referente a evidencia programación de entrega de apoyos. En el rubro de Administración Pública Descentralizada, los numerales 006, correspondiente a evidencia de operaciones efectuadas; y 007, relativo a pago de impuestos DIF.</w:t>
      </w:r>
    </w:p>
    <w:p w14:paraId="08D09DB4" w14:textId="77777777" w:rsidR="003B2D2A" w:rsidRPr="000369CA" w:rsidRDefault="003B2D2A" w:rsidP="003B2D2A">
      <w:pPr>
        <w:pStyle w:val="Textoindependiente"/>
        <w:ind w:firstLine="705"/>
        <w:rPr>
          <w:rFonts w:ascii="Abadi" w:hAnsi="Abadi"/>
          <w:b w:val="0"/>
          <w:bCs w:val="0"/>
          <w:sz w:val="21"/>
          <w:szCs w:val="21"/>
        </w:rPr>
      </w:pPr>
    </w:p>
    <w:p w14:paraId="463EBA70"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En el apartado de Recomendaciones Generales no se atendió el numeral 001, referido a hallazgos informe entrega recepción.</w:t>
      </w:r>
    </w:p>
    <w:p w14:paraId="6F832F6E" w14:textId="77777777" w:rsidR="003B2D2A" w:rsidRPr="003B65C0" w:rsidRDefault="003B2D2A" w:rsidP="003B2D2A">
      <w:pPr>
        <w:pStyle w:val="Textoindependiente"/>
        <w:ind w:firstLine="705"/>
        <w:rPr>
          <w:rFonts w:ascii="Abadi" w:hAnsi="Abadi"/>
          <w:sz w:val="21"/>
          <w:szCs w:val="21"/>
        </w:rPr>
      </w:pPr>
    </w:p>
    <w:p w14:paraId="16BF7983" w14:textId="77777777" w:rsidR="003B2D2A" w:rsidRPr="003B65C0" w:rsidRDefault="003B2D2A" w:rsidP="003B2D2A">
      <w:pPr>
        <w:pStyle w:val="Textoindependiente"/>
        <w:ind w:firstLine="705"/>
        <w:rPr>
          <w:rFonts w:ascii="Abadi" w:hAnsi="Abadi"/>
          <w:sz w:val="21"/>
          <w:szCs w:val="21"/>
        </w:rPr>
      </w:pPr>
    </w:p>
    <w:p w14:paraId="43CC2C31" w14:textId="77777777" w:rsidR="003B2D2A" w:rsidRPr="000369CA" w:rsidRDefault="003B2D2A" w:rsidP="00427BD6">
      <w:pPr>
        <w:pStyle w:val="Textoindependiente"/>
        <w:numPr>
          <w:ilvl w:val="0"/>
          <w:numId w:val="9"/>
        </w:numPr>
        <w:autoSpaceDE/>
        <w:autoSpaceDN/>
        <w:rPr>
          <w:rFonts w:ascii="Abadi" w:hAnsi="Abadi"/>
          <w:sz w:val="21"/>
          <w:szCs w:val="21"/>
        </w:rPr>
      </w:pPr>
      <w:r w:rsidRPr="000369CA">
        <w:rPr>
          <w:rFonts w:ascii="Abadi" w:hAnsi="Abadi"/>
          <w:sz w:val="21"/>
          <w:szCs w:val="21"/>
        </w:rPr>
        <w:t xml:space="preserve">Promoción del ejercicio de facultades de comprobación fiscal. </w:t>
      </w:r>
    </w:p>
    <w:p w14:paraId="0AC8209B" w14:textId="77777777" w:rsidR="003B2D2A" w:rsidRPr="003B65C0" w:rsidRDefault="003B2D2A" w:rsidP="003B2D2A">
      <w:pPr>
        <w:pStyle w:val="Textoindependiente"/>
        <w:ind w:firstLine="705"/>
        <w:rPr>
          <w:rFonts w:ascii="Abadi" w:hAnsi="Abadi"/>
          <w:sz w:val="21"/>
          <w:szCs w:val="21"/>
        </w:rPr>
      </w:pPr>
    </w:p>
    <w:p w14:paraId="3A9794C1"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4327DAA" w14:textId="77777777" w:rsidR="003B2D2A" w:rsidRPr="003B65C0" w:rsidRDefault="003B2D2A" w:rsidP="003B2D2A">
      <w:pPr>
        <w:pStyle w:val="Textoindependiente"/>
        <w:ind w:firstLine="705"/>
        <w:rPr>
          <w:rFonts w:ascii="Abadi" w:hAnsi="Abadi"/>
          <w:sz w:val="21"/>
          <w:szCs w:val="21"/>
        </w:rPr>
      </w:pPr>
    </w:p>
    <w:p w14:paraId="000BBC87" w14:textId="77777777" w:rsidR="003B2D2A" w:rsidRPr="000369CA" w:rsidRDefault="003B2D2A" w:rsidP="00427BD6">
      <w:pPr>
        <w:pStyle w:val="Textoindependiente"/>
        <w:numPr>
          <w:ilvl w:val="0"/>
          <w:numId w:val="9"/>
        </w:numPr>
        <w:autoSpaceDE/>
        <w:autoSpaceDN/>
        <w:rPr>
          <w:rFonts w:ascii="Abadi" w:hAnsi="Abadi"/>
          <w:sz w:val="21"/>
          <w:szCs w:val="21"/>
        </w:rPr>
      </w:pPr>
      <w:r w:rsidRPr="000369CA">
        <w:rPr>
          <w:rFonts w:ascii="Abadi" w:hAnsi="Abadi"/>
          <w:sz w:val="21"/>
          <w:szCs w:val="21"/>
        </w:rPr>
        <w:t>Comunicado ante órganos de control y autoridades que administran padrones de proveedores y contratistas.</w:t>
      </w:r>
    </w:p>
    <w:p w14:paraId="5D4C2B62" w14:textId="77777777" w:rsidR="003B2D2A" w:rsidRPr="003B65C0" w:rsidRDefault="003B2D2A" w:rsidP="003B2D2A">
      <w:pPr>
        <w:pStyle w:val="Textoindependiente"/>
        <w:ind w:firstLine="705"/>
        <w:rPr>
          <w:rFonts w:ascii="Abadi" w:hAnsi="Abadi"/>
          <w:sz w:val="21"/>
          <w:szCs w:val="21"/>
        </w:rPr>
      </w:pPr>
    </w:p>
    <w:p w14:paraId="4E292C1D"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w:t>
      </w:r>
      <w:r w:rsidRPr="000369CA">
        <w:rPr>
          <w:rFonts w:ascii="Abadi" w:hAnsi="Abadi"/>
          <w:b w:val="0"/>
          <w:bCs w:val="0"/>
          <w:sz w:val="21"/>
          <w:szCs w:val="21"/>
        </w:rPr>
        <w:lastRenderedPageBreak/>
        <w:t>contrataciones públicas, concluyendo que no se identificaron presuntas irregularidades o incumplimientos de proveedores y contratistas que se tengan que hacer de conocimiento a órganos de control y autoridades que administran padrones.</w:t>
      </w:r>
    </w:p>
    <w:p w14:paraId="1C8E3006" w14:textId="77777777" w:rsidR="003B2D2A" w:rsidRPr="000369CA" w:rsidRDefault="003B2D2A" w:rsidP="003B2D2A">
      <w:pPr>
        <w:pStyle w:val="Textoindependiente"/>
        <w:ind w:firstLine="705"/>
        <w:rPr>
          <w:rFonts w:ascii="Abadi" w:hAnsi="Abadi"/>
          <w:b w:val="0"/>
          <w:bCs w:val="0"/>
          <w:sz w:val="21"/>
          <w:szCs w:val="21"/>
        </w:rPr>
      </w:pPr>
    </w:p>
    <w:p w14:paraId="15D527B4" w14:textId="77777777" w:rsidR="003B2D2A" w:rsidRPr="000369CA" w:rsidRDefault="003B2D2A" w:rsidP="00427BD6">
      <w:pPr>
        <w:pStyle w:val="Textoindependiente"/>
        <w:numPr>
          <w:ilvl w:val="0"/>
          <w:numId w:val="9"/>
        </w:numPr>
        <w:autoSpaceDE/>
        <w:autoSpaceDN/>
        <w:rPr>
          <w:rFonts w:ascii="Abadi" w:hAnsi="Abadi"/>
          <w:sz w:val="21"/>
          <w:szCs w:val="21"/>
        </w:rPr>
      </w:pPr>
      <w:r w:rsidRPr="000369CA">
        <w:rPr>
          <w:rFonts w:ascii="Abadi" w:hAnsi="Abadi"/>
          <w:sz w:val="21"/>
          <w:szCs w:val="21"/>
        </w:rPr>
        <w:t xml:space="preserve">Recurso de Reconsideración. </w:t>
      </w:r>
    </w:p>
    <w:p w14:paraId="2D60EFD8" w14:textId="77777777" w:rsidR="003B2D2A" w:rsidRPr="003B65C0" w:rsidRDefault="003B2D2A" w:rsidP="003B2D2A">
      <w:pPr>
        <w:pStyle w:val="Textoindependiente"/>
        <w:ind w:left="705"/>
        <w:rPr>
          <w:rFonts w:ascii="Abadi" w:hAnsi="Abadi"/>
          <w:b w:val="0"/>
          <w:bCs w:val="0"/>
          <w:sz w:val="21"/>
          <w:szCs w:val="21"/>
        </w:rPr>
      </w:pPr>
    </w:p>
    <w:p w14:paraId="7ADE07EF"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El 10 de marzo de 2023, dentro del plazo que prevé la fracción IV del artículo 37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el ex presidente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interpuso recurso de reconsideración en contra del informe de resultados de la revisión practicada a la cuenta pública de dicho Municipio, correspondiente al ejercicio fiscal del año 2021, concretamente en contra de la observación establecida en el numeral 006, correspondiente a evidencia de operaciones efectuadas, misma que se encuentra relacionada con el Capítulo II, denominado Observaciones y Recomendaciones; Respuesta Emitida por el Sujeto Fiscalizado y Valoración Correspondiente.</w:t>
      </w:r>
    </w:p>
    <w:p w14:paraId="32E34D31" w14:textId="77777777" w:rsidR="003B2D2A" w:rsidRPr="000369CA" w:rsidRDefault="003B2D2A" w:rsidP="003B2D2A">
      <w:pPr>
        <w:pStyle w:val="Textoindependiente"/>
        <w:ind w:firstLine="705"/>
        <w:rPr>
          <w:rFonts w:ascii="Abadi" w:hAnsi="Abadi"/>
          <w:b w:val="0"/>
          <w:bCs w:val="0"/>
          <w:sz w:val="21"/>
          <w:szCs w:val="21"/>
        </w:rPr>
      </w:pPr>
    </w:p>
    <w:p w14:paraId="551523E5"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 xml:space="preserve"> </w:t>
      </w:r>
    </w:p>
    <w:p w14:paraId="270EF2E4"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En tal sentido, mediante acuerdo de fecha 13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0369CA">
          <w:rPr>
            <w:rFonts w:ascii="Abadi" w:hAnsi="Abadi"/>
            <w:b w:val="0"/>
            <w:bCs w:val="0"/>
            <w:sz w:val="21"/>
            <w:szCs w:val="21"/>
          </w:rPr>
          <w:t>la Ley</w:t>
        </w:r>
      </w:smartTag>
      <w:r w:rsidRPr="000369CA">
        <w:rPr>
          <w:rFonts w:ascii="Abadi" w:hAnsi="Abadi"/>
          <w:b w:val="0"/>
          <w:bCs w:val="0"/>
          <w:sz w:val="21"/>
          <w:szCs w:val="21"/>
        </w:rPr>
        <w:t xml:space="preserve"> de Fiscalización Superior del Estado de Guanajuato, instruyendo la integración del expediente y el registro correspondiente. Asimismo, mediante dicho acuerdo se admitieron los medios de prueba ofrecidos por el recurrente, al tratarse de pruebas novedosas y supervenientes.</w:t>
      </w:r>
    </w:p>
    <w:p w14:paraId="0388E17C" w14:textId="77777777" w:rsidR="003B2D2A" w:rsidRPr="000369CA" w:rsidRDefault="003B2D2A" w:rsidP="003B2D2A">
      <w:pPr>
        <w:pStyle w:val="Textoindependiente"/>
        <w:ind w:firstLine="708"/>
        <w:rPr>
          <w:rFonts w:ascii="Abadi" w:hAnsi="Abadi"/>
          <w:b w:val="0"/>
          <w:bCs w:val="0"/>
          <w:sz w:val="21"/>
          <w:szCs w:val="21"/>
        </w:rPr>
      </w:pPr>
    </w:p>
    <w:p w14:paraId="353EFE8E"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Una vez tramitado el recurso, el Auditor Superior del Estado, el 17 de marzo de 2023 emitió la resolución correspondiente, determinándose respecto a la observación plasmada en el numeral 006, que las pruebas aportadas por el recurrente resultaron insuficientes para solventar la observación, al haber acreditado solamente total o parcialmente algunas operaciones realizadas con transferencias, pero no las operaciones pagadas con cheques. En razón de lo cual, se confirmó el sentido de la valoración de la </w:t>
      </w:r>
      <w:r w:rsidRPr="000369CA">
        <w:rPr>
          <w:rFonts w:ascii="Abadi" w:hAnsi="Abadi"/>
          <w:b w:val="0"/>
          <w:bCs w:val="0"/>
          <w:sz w:val="21"/>
          <w:szCs w:val="21"/>
        </w:rPr>
        <w:t>observación como no solventada, con acciones correctivas y de impacto económico pendientes de realizar por el sujeto fiscalizado. Sin embargo, se disminuyó la cuantía, relacionada con las operaciones pagadas mediante transferencia electrónica, para quedar en los términos del resolutivo segundo.</w:t>
      </w:r>
    </w:p>
    <w:p w14:paraId="4CB86361" w14:textId="77777777" w:rsidR="003B2D2A" w:rsidRPr="003B65C0" w:rsidRDefault="003B2D2A" w:rsidP="003B2D2A">
      <w:pPr>
        <w:pStyle w:val="Textoindependiente"/>
        <w:ind w:firstLine="708"/>
        <w:rPr>
          <w:rFonts w:ascii="Abadi" w:hAnsi="Abadi"/>
          <w:sz w:val="21"/>
          <w:szCs w:val="21"/>
        </w:rPr>
      </w:pPr>
    </w:p>
    <w:p w14:paraId="58C95940" w14:textId="77777777" w:rsidR="003B2D2A" w:rsidRPr="000369CA" w:rsidRDefault="003B2D2A" w:rsidP="003B2D2A">
      <w:pPr>
        <w:pStyle w:val="Textoindependiente"/>
        <w:ind w:firstLine="708"/>
        <w:rPr>
          <w:rFonts w:ascii="Abadi" w:hAnsi="Abadi"/>
          <w:b w:val="0"/>
          <w:bCs w:val="0"/>
          <w:sz w:val="21"/>
          <w:szCs w:val="21"/>
        </w:rPr>
      </w:pPr>
      <w:r w:rsidRPr="000369CA">
        <w:rPr>
          <w:rFonts w:ascii="Abadi" w:hAnsi="Abadi"/>
          <w:b w:val="0"/>
          <w:bCs w:val="0"/>
          <w:sz w:val="21"/>
          <w:szCs w:val="21"/>
        </w:rPr>
        <w:t xml:space="preserve">La referida resolución se notificó al ex presidente municipal de Tierra Blanca, </w:t>
      </w:r>
      <w:proofErr w:type="spellStart"/>
      <w:r w:rsidRPr="000369CA">
        <w:rPr>
          <w:rFonts w:ascii="Abadi" w:hAnsi="Abadi"/>
          <w:b w:val="0"/>
          <w:bCs w:val="0"/>
          <w:sz w:val="21"/>
          <w:szCs w:val="21"/>
        </w:rPr>
        <w:t>Gto</w:t>
      </w:r>
      <w:proofErr w:type="spellEnd"/>
      <w:r w:rsidRPr="000369CA">
        <w:rPr>
          <w:rFonts w:ascii="Abadi" w:hAnsi="Abadi"/>
          <w:b w:val="0"/>
          <w:bCs w:val="0"/>
          <w:sz w:val="21"/>
          <w:szCs w:val="21"/>
        </w:rPr>
        <w:t>., el 21 de marzo de 2023.</w:t>
      </w:r>
    </w:p>
    <w:p w14:paraId="3F71E45C" w14:textId="77777777" w:rsidR="003B2D2A" w:rsidRPr="000369CA" w:rsidRDefault="003B2D2A" w:rsidP="003B2D2A">
      <w:pPr>
        <w:pStyle w:val="Textoindependiente"/>
        <w:ind w:firstLine="705"/>
        <w:rPr>
          <w:rFonts w:ascii="Abadi" w:hAnsi="Abadi"/>
          <w:b w:val="0"/>
          <w:bCs w:val="0"/>
          <w:sz w:val="21"/>
          <w:szCs w:val="21"/>
        </w:rPr>
      </w:pPr>
    </w:p>
    <w:p w14:paraId="0F527DC8" w14:textId="77777777" w:rsidR="003B2D2A" w:rsidRPr="000369CA" w:rsidRDefault="003B2D2A" w:rsidP="00427BD6">
      <w:pPr>
        <w:pStyle w:val="Textoindependiente"/>
        <w:numPr>
          <w:ilvl w:val="0"/>
          <w:numId w:val="9"/>
        </w:numPr>
        <w:autoSpaceDE/>
        <w:autoSpaceDN/>
        <w:rPr>
          <w:rFonts w:ascii="Abadi" w:hAnsi="Abadi"/>
          <w:sz w:val="21"/>
          <w:szCs w:val="21"/>
        </w:rPr>
      </w:pPr>
      <w:r w:rsidRPr="000369CA">
        <w:rPr>
          <w:rFonts w:ascii="Abadi" w:hAnsi="Abadi"/>
          <w:sz w:val="21"/>
          <w:szCs w:val="21"/>
        </w:rPr>
        <w:t xml:space="preserve">Anexos. </w:t>
      </w:r>
    </w:p>
    <w:p w14:paraId="6AB02BC2" w14:textId="77777777" w:rsidR="003B2D2A" w:rsidRPr="000369CA" w:rsidRDefault="003B2D2A" w:rsidP="003B2D2A">
      <w:pPr>
        <w:pStyle w:val="Textoindependiente"/>
        <w:ind w:firstLine="705"/>
        <w:rPr>
          <w:rFonts w:ascii="Abadi" w:hAnsi="Abadi"/>
          <w:sz w:val="21"/>
          <w:szCs w:val="21"/>
        </w:rPr>
      </w:pPr>
    </w:p>
    <w:p w14:paraId="038BA3F9" w14:textId="77777777" w:rsidR="003B2D2A" w:rsidRPr="000369CA" w:rsidRDefault="003B2D2A" w:rsidP="003B2D2A">
      <w:pPr>
        <w:pStyle w:val="Textoindependiente"/>
        <w:ind w:firstLine="705"/>
        <w:rPr>
          <w:rFonts w:ascii="Abadi" w:hAnsi="Abadi"/>
          <w:b w:val="0"/>
          <w:bCs w:val="0"/>
          <w:sz w:val="21"/>
          <w:szCs w:val="21"/>
        </w:rPr>
      </w:pPr>
      <w:r w:rsidRPr="000369CA">
        <w:rPr>
          <w:rFonts w:ascii="Abadi" w:hAnsi="Abadi"/>
          <w:b w:val="0"/>
          <w:bCs w:val="0"/>
          <w:sz w:val="21"/>
          <w:szCs w:val="21"/>
        </w:rPr>
        <w:t>En esta parte, se adjuntan los anexos técnicos derivados de la revisión practicada.</w:t>
      </w:r>
    </w:p>
    <w:p w14:paraId="1F1E298D" w14:textId="77777777" w:rsidR="003B2D2A" w:rsidRPr="003B65C0" w:rsidRDefault="003B2D2A" w:rsidP="003B2D2A">
      <w:pPr>
        <w:pStyle w:val="Textoindependiente"/>
        <w:ind w:firstLine="705"/>
        <w:rPr>
          <w:rFonts w:ascii="Abadi" w:hAnsi="Abadi"/>
          <w:sz w:val="21"/>
          <w:szCs w:val="21"/>
        </w:rPr>
      </w:pPr>
    </w:p>
    <w:p w14:paraId="632CD27F" w14:textId="77777777" w:rsidR="003B2D2A" w:rsidRPr="003B65C0" w:rsidRDefault="003B2D2A" w:rsidP="003B2D2A">
      <w:pPr>
        <w:ind w:firstLine="708"/>
        <w:jc w:val="both"/>
        <w:rPr>
          <w:rFonts w:ascii="Abadi" w:hAnsi="Abadi" w:cs="Arial"/>
          <w:b/>
          <w:bCs/>
          <w:sz w:val="21"/>
          <w:szCs w:val="21"/>
        </w:rPr>
      </w:pPr>
      <w:r w:rsidRPr="003B65C0">
        <w:rPr>
          <w:rFonts w:ascii="Abadi" w:hAnsi="Abadi" w:cs="Arial"/>
          <w:b/>
          <w:bCs/>
          <w:sz w:val="21"/>
          <w:szCs w:val="21"/>
        </w:rPr>
        <w:t>V. Conclusiones:</w:t>
      </w:r>
    </w:p>
    <w:p w14:paraId="49944EE4" w14:textId="77777777" w:rsidR="003B2D2A" w:rsidRPr="003B65C0" w:rsidRDefault="003B2D2A" w:rsidP="003B2D2A">
      <w:pPr>
        <w:jc w:val="both"/>
        <w:rPr>
          <w:rFonts w:ascii="Abadi" w:hAnsi="Abadi" w:cs="Arial"/>
          <w:sz w:val="21"/>
          <w:szCs w:val="21"/>
        </w:rPr>
      </w:pPr>
    </w:p>
    <w:p w14:paraId="59A36B3A" w14:textId="77777777" w:rsidR="003B2D2A" w:rsidRPr="003B65C0" w:rsidRDefault="003B2D2A" w:rsidP="003B2D2A">
      <w:pPr>
        <w:jc w:val="both"/>
        <w:rPr>
          <w:rFonts w:ascii="Abadi" w:hAnsi="Abadi" w:cs="Arial"/>
          <w:sz w:val="21"/>
          <w:szCs w:val="21"/>
        </w:rPr>
      </w:pPr>
      <w:r w:rsidRPr="003B65C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3B65C0">
          <w:rPr>
            <w:rFonts w:ascii="Abadi" w:hAnsi="Abadi" w:cs="Arial"/>
            <w:sz w:val="21"/>
            <w:szCs w:val="21"/>
          </w:rPr>
          <w:t>la Ley</w:t>
        </w:r>
      </w:smartTag>
      <w:r w:rsidRPr="003B65C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D556736" w14:textId="77777777" w:rsidR="003B2D2A" w:rsidRPr="003B65C0" w:rsidRDefault="003B2D2A" w:rsidP="003B2D2A">
      <w:pPr>
        <w:jc w:val="both"/>
        <w:rPr>
          <w:rFonts w:ascii="Abadi" w:hAnsi="Abadi" w:cs="Arial"/>
          <w:sz w:val="21"/>
          <w:szCs w:val="21"/>
        </w:rPr>
      </w:pPr>
    </w:p>
    <w:p w14:paraId="006565FA" w14:textId="77777777" w:rsidR="003B2D2A" w:rsidRPr="003B65C0" w:rsidRDefault="003B2D2A" w:rsidP="003B2D2A">
      <w:pPr>
        <w:jc w:val="both"/>
        <w:rPr>
          <w:rFonts w:ascii="Abadi" w:hAnsi="Abadi" w:cs="Arial"/>
          <w:sz w:val="21"/>
          <w:szCs w:val="21"/>
        </w:rPr>
      </w:pPr>
      <w:r w:rsidRPr="003B65C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D05D5E7"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de Tierra Blanca, </w:t>
      </w:r>
      <w:proofErr w:type="spellStart"/>
      <w:r w:rsidRPr="003B65C0">
        <w:rPr>
          <w:rFonts w:ascii="Abadi" w:hAnsi="Abadi" w:cs="Arial"/>
          <w:sz w:val="21"/>
          <w:szCs w:val="21"/>
        </w:rPr>
        <w:t>Gto</w:t>
      </w:r>
      <w:proofErr w:type="spellEnd"/>
      <w:r w:rsidRPr="003B65C0">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3B65C0">
          <w:rPr>
            <w:rFonts w:ascii="Abadi" w:hAnsi="Abadi" w:cs="Arial"/>
            <w:sz w:val="21"/>
            <w:szCs w:val="21"/>
          </w:rPr>
          <w:t>la Ley</w:t>
        </w:r>
      </w:smartTag>
      <w:r w:rsidRPr="003B65C0">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73EBCD97" w14:textId="77777777" w:rsidR="003B2D2A" w:rsidRPr="003B65C0" w:rsidRDefault="003B2D2A" w:rsidP="003B2D2A">
      <w:pPr>
        <w:ind w:firstLine="708"/>
        <w:jc w:val="both"/>
        <w:rPr>
          <w:rFonts w:ascii="Abadi" w:hAnsi="Abadi" w:cs="Arial"/>
          <w:sz w:val="21"/>
          <w:szCs w:val="21"/>
        </w:rPr>
      </w:pPr>
    </w:p>
    <w:p w14:paraId="383B1DCE"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lastRenderedPageBreak/>
        <w:t xml:space="preserve">De igual manera, existe en el informe de resultados la constancia de que este se notificó al presidente y al ex presidente municipales de Tierra Blanca, </w:t>
      </w:r>
      <w:proofErr w:type="spellStart"/>
      <w:r w:rsidRPr="003B65C0">
        <w:rPr>
          <w:rFonts w:ascii="Abadi" w:hAnsi="Abadi" w:cs="Arial"/>
          <w:sz w:val="21"/>
          <w:szCs w:val="21"/>
        </w:rPr>
        <w:t>Gto</w:t>
      </w:r>
      <w:proofErr w:type="spellEnd"/>
      <w:r w:rsidRPr="003B65C0">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3B65C0">
          <w:rPr>
            <w:rFonts w:ascii="Abadi" w:hAnsi="Abadi" w:cs="Arial"/>
            <w:sz w:val="21"/>
            <w:szCs w:val="21"/>
          </w:rPr>
          <w:t>la Ley</w:t>
        </w:r>
      </w:smartTag>
      <w:r w:rsidRPr="003B65C0">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 presidente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 En tal virtud, se considera que fue respetado el derecho de audiencia o defensa por parte del Órgano Técnico.</w:t>
      </w:r>
    </w:p>
    <w:p w14:paraId="4EF33CBB" w14:textId="77777777" w:rsidR="003B2D2A" w:rsidRPr="003B65C0" w:rsidRDefault="003B2D2A" w:rsidP="003B2D2A">
      <w:pPr>
        <w:ind w:firstLine="708"/>
        <w:jc w:val="both"/>
        <w:rPr>
          <w:rFonts w:ascii="Abadi" w:hAnsi="Abadi" w:cs="Arial"/>
          <w:sz w:val="21"/>
          <w:szCs w:val="21"/>
        </w:rPr>
      </w:pPr>
    </w:p>
    <w:p w14:paraId="646DA40E"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F038E56" w14:textId="77777777" w:rsidR="003B2D2A" w:rsidRPr="003B65C0" w:rsidRDefault="003B2D2A" w:rsidP="003B2D2A">
      <w:pPr>
        <w:ind w:firstLine="708"/>
        <w:jc w:val="both"/>
        <w:rPr>
          <w:rFonts w:ascii="Abadi" w:hAnsi="Abadi" w:cs="Arial"/>
          <w:sz w:val="21"/>
          <w:szCs w:val="21"/>
        </w:rPr>
      </w:pPr>
    </w:p>
    <w:p w14:paraId="467877F3"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169E75AE" w14:textId="77777777" w:rsidR="003B2D2A" w:rsidRPr="003B65C0" w:rsidRDefault="003B2D2A" w:rsidP="003B2D2A">
      <w:pPr>
        <w:jc w:val="both"/>
        <w:rPr>
          <w:rFonts w:ascii="Abadi" w:hAnsi="Abadi" w:cs="Arial"/>
          <w:sz w:val="21"/>
          <w:szCs w:val="21"/>
        </w:rPr>
      </w:pPr>
    </w:p>
    <w:p w14:paraId="581543DD"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42D96335" w14:textId="77777777" w:rsidR="003B2D2A" w:rsidRPr="003B65C0" w:rsidRDefault="003B2D2A" w:rsidP="003B2D2A">
      <w:pPr>
        <w:ind w:firstLine="708"/>
        <w:jc w:val="both"/>
        <w:rPr>
          <w:rFonts w:ascii="Abadi" w:hAnsi="Abadi" w:cs="Arial"/>
          <w:sz w:val="21"/>
          <w:szCs w:val="21"/>
        </w:rPr>
      </w:pPr>
    </w:p>
    <w:p w14:paraId="28BFADA4"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C7527B2" w14:textId="77777777" w:rsidR="003B2D2A" w:rsidRPr="003B65C0" w:rsidRDefault="003B2D2A" w:rsidP="003B2D2A">
      <w:pPr>
        <w:ind w:firstLine="708"/>
        <w:jc w:val="both"/>
        <w:rPr>
          <w:rFonts w:ascii="Abadi" w:hAnsi="Abadi" w:cs="Arial"/>
          <w:sz w:val="21"/>
          <w:szCs w:val="21"/>
        </w:rPr>
      </w:pPr>
    </w:p>
    <w:p w14:paraId="1580BD92"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En razón de lo anteriormente señalado, concluimos que el informe de resultados de la revisión practicada a la cuenta pública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B65C0">
          <w:rPr>
            <w:rFonts w:ascii="Abadi" w:hAnsi="Abadi" w:cs="Arial"/>
            <w:sz w:val="21"/>
            <w:szCs w:val="21"/>
          </w:rPr>
          <w:t>la Ley</w:t>
        </w:r>
      </w:smartTag>
      <w:r w:rsidRPr="003B65C0">
        <w:rPr>
          <w:rFonts w:ascii="Abadi" w:hAnsi="Abadi" w:cs="Arial"/>
          <w:sz w:val="21"/>
          <w:szCs w:val="21"/>
        </w:rPr>
        <w:t xml:space="preserve"> de Fiscalización Superior del Estado de Guanajuato, razón por la cual no podría ser observado por el Pleno del Congreso.</w:t>
      </w:r>
    </w:p>
    <w:p w14:paraId="06F53EB8" w14:textId="77777777" w:rsidR="003B2D2A" w:rsidRPr="003B65C0" w:rsidRDefault="003B2D2A" w:rsidP="003B2D2A">
      <w:pPr>
        <w:ind w:firstLine="708"/>
        <w:jc w:val="both"/>
        <w:rPr>
          <w:rFonts w:ascii="Abadi" w:hAnsi="Abadi" w:cs="Arial"/>
          <w:sz w:val="21"/>
          <w:szCs w:val="21"/>
        </w:rPr>
      </w:pPr>
    </w:p>
    <w:p w14:paraId="0973C08F" w14:textId="77777777" w:rsidR="003B2D2A" w:rsidRPr="003B65C0" w:rsidRDefault="003B2D2A" w:rsidP="003B2D2A">
      <w:pPr>
        <w:pStyle w:val="Sangra3detindependiente"/>
        <w:spacing w:line="240" w:lineRule="auto"/>
        <w:rPr>
          <w:rFonts w:ascii="Abadi" w:hAnsi="Abadi"/>
          <w:sz w:val="21"/>
          <w:szCs w:val="21"/>
        </w:rPr>
      </w:pPr>
      <w:r w:rsidRPr="003B65C0">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B65C0">
          <w:rPr>
            <w:rFonts w:ascii="Abadi" w:hAnsi="Abadi"/>
            <w:sz w:val="21"/>
            <w:szCs w:val="21"/>
          </w:rPr>
          <w:t>la Ley Orgánica</w:t>
        </w:r>
      </w:smartTag>
      <w:r w:rsidRPr="003B65C0">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B65C0">
          <w:rPr>
            <w:rFonts w:ascii="Abadi" w:hAnsi="Abadi"/>
            <w:sz w:val="21"/>
            <w:szCs w:val="21"/>
          </w:rPr>
          <w:t>la Asamblea</w:t>
        </w:r>
      </w:smartTag>
      <w:r w:rsidRPr="003B65C0">
        <w:rPr>
          <w:rFonts w:ascii="Abadi" w:hAnsi="Abadi"/>
          <w:sz w:val="21"/>
          <w:szCs w:val="21"/>
        </w:rPr>
        <w:t>, la aprobación del siguiente:</w:t>
      </w:r>
    </w:p>
    <w:p w14:paraId="38AEEBC4" w14:textId="77777777" w:rsidR="003B2D2A" w:rsidRPr="003B65C0" w:rsidRDefault="003B2D2A" w:rsidP="003B2D2A">
      <w:pPr>
        <w:pStyle w:val="Sangra3detindependiente"/>
        <w:spacing w:line="240" w:lineRule="auto"/>
        <w:rPr>
          <w:rFonts w:ascii="Abadi" w:hAnsi="Abadi"/>
          <w:sz w:val="21"/>
          <w:szCs w:val="21"/>
        </w:rPr>
      </w:pPr>
    </w:p>
    <w:p w14:paraId="1EE03135" w14:textId="77777777" w:rsidR="003B2D2A" w:rsidRPr="003B65C0" w:rsidRDefault="003B2D2A" w:rsidP="003B2D2A">
      <w:pPr>
        <w:pStyle w:val="Ttulo1"/>
        <w:jc w:val="center"/>
        <w:rPr>
          <w:rFonts w:ascii="Abadi" w:hAnsi="Abadi" w:cs="Arial"/>
          <w:smallCaps/>
          <w:sz w:val="21"/>
          <w:szCs w:val="21"/>
        </w:rPr>
      </w:pPr>
      <w:r w:rsidRPr="003B65C0">
        <w:rPr>
          <w:rFonts w:ascii="Abadi" w:hAnsi="Abadi" w:cs="Arial"/>
          <w:smallCaps/>
          <w:sz w:val="21"/>
          <w:szCs w:val="21"/>
        </w:rPr>
        <w:t>A c u e r d o</w:t>
      </w:r>
    </w:p>
    <w:p w14:paraId="19CC85BD" w14:textId="77777777" w:rsidR="003B2D2A" w:rsidRPr="003B65C0" w:rsidRDefault="003B2D2A" w:rsidP="003B2D2A">
      <w:pPr>
        <w:rPr>
          <w:rFonts w:ascii="Abadi" w:hAnsi="Abadi"/>
          <w:sz w:val="21"/>
          <w:szCs w:val="21"/>
        </w:rPr>
      </w:pPr>
    </w:p>
    <w:p w14:paraId="56336213" w14:textId="77777777" w:rsidR="003B2D2A" w:rsidRPr="003B65C0" w:rsidRDefault="003B2D2A" w:rsidP="003B2D2A">
      <w:pPr>
        <w:rPr>
          <w:rFonts w:ascii="Abadi" w:hAnsi="Abadi"/>
          <w:sz w:val="21"/>
          <w:szCs w:val="21"/>
        </w:rPr>
      </w:pPr>
    </w:p>
    <w:p w14:paraId="0C465882" w14:textId="77777777" w:rsidR="003B2D2A" w:rsidRPr="003B65C0" w:rsidRDefault="003B2D2A" w:rsidP="003B2D2A">
      <w:pPr>
        <w:ind w:firstLine="708"/>
        <w:jc w:val="both"/>
        <w:rPr>
          <w:rFonts w:ascii="Abadi" w:hAnsi="Abadi" w:cs="Arial"/>
          <w:sz w:val="21"/>
          <w:szCs w:val="21"/>
        </w:rPr>
      </w:pPr>
      <w:r w:rsidRPr="003B65C0">
        <w:rPr>
          <w:rFonts w:ascii="Abadi" w:hAnsi="Abadi" w:cs="Arial"/>
          <w:b/>
          <w:bCs/>
          <w:sz w:val="21"/>
          <w:szCs w:val="21"/>
        </w:rPr>
        <w:lastRenderedPageBreak/>
        <w:t xml:space="preserve">Único. </w:t>
      </w:r>
      <w:r w:rsidRPr="003B65C0">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3B65C0">
          <w:rPr>
            <w:rFonts w:ascii="Abadi" w:hAnsi="Abadi" w:cs="Arial"/>
            <w:sz w:val="21"/>
            <w:szCs w:val="21"/>
          </w:rPr>
          <w:t>la Constitución Política</w:t>
        </w:r>
      </w:smartTag>
      <w:r w:rsidRPr="003B65C0">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Tierra Blanca, </w:t>
      </w:r>
      <w:proofErr w:type="spellStart"/>
      <w:r w:rsidRPr="003B65C0">
        <w:rPr>
          <w:rFonts w:ascii="Abadi" w:hAnsi="Abadi" w:cs="Arial"/>
          <w:sz w:val="21"/>
          <w:szCs w:val="21"/>
        </w:rPr>
        <w:t>Gto</w:t>
      </w:r>
      <w:proofErr w:type="spellEnd"/>
      <w:r w:rsidRPr="003B65C0">
        <w:rPr>
          <w:rFonts w:ascii="Abadi" w:hAnsi="Abadi" w:cs="Arial"/>
          <w:sz w:val="21"/>
          <w:szCs w:val="21"/>
        </w:rPr>
        <w:t>., correspondiente al ejercicio fiscal del año 2021, con base en el informe de resultados formulado por la Auditoría Superior del Estado de Guanajuato.</w:t>
      </w:r>
    </w:p>
    <w:p w14:paraId="2DE85B26" w14:textId="77777777" w:rsidR="003B2D2A" w:rsidRPr="003B65C0" w:rsidRDefault="003B2D2A" w:rsidP="003B2D2A">
      <w:pPr>
        <w:pStyle w:val="Sangra3detindependiente"/>
        <w:spacing w:line="240" w:lineRule="auto"/>
        <w:rPr>
          <w:rFonts w:ascii="Abadi" w:hAnsi="Abadi"/>
          <w:sz w:val="21"/>
          <w:szCs w:val="21"/>
          <w:lang w:val="es-MX"/>
        </w:rPr>
      </w:pPr>
      <w:r w:rsidRPr="003B65C0">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3B65C0">
        <w:rPr>
          <w:rFonts w:ascii="Abadi" w:hAnsi="Abadi"/>
          <w:sz w:val="21"/>
          <w:szCs w:val="21"/>
          <w:lang w:val="es-MX"/>
        </w:rPr>
        <w:t>.</w:t>
      </w:r>
      <w:r w:rsidRPr="003B65C0">
        <w:rPr>
          <w:rFonts w:ascii="Abadi" w:hAnsi="Abadi"/>
          <w:sz w:val="21"/>
          <w:szCs w:val="21"/>
        </w:rPr>
        <w:t xml:space="preserve"> </w:t>
      </w:r>
      <w:r w:rsidRPr="003B65C0">
        <w:rPr>
          <w:rFonts w:ascii="Abadi" w:hAnsi="Abadi"/>
          <w:sz w:val="21"/>
          <w:szCs w:val="21"/>
          <w:lang w:val="es-MX"/>
        </w:rPr>
        <w:t>Asimismo, dará</w:t>
      </w:r>
      <w:r w:rsidRPr="003B65C0">
        <w:rPr>
          <w:rFonts w:ascii="Abadi" w:hAnsi="Abadi"/>
          <w:sz w:val="21"/>
          <w:szCs w:val="21"/>
        </w:rPr>
        <w:t xml:space="preserve"> seguimiento a la</w:t>
      </w:r>
      <w:r w:rsidRPr="003B65C0">
        <w:rPr>
          <w:rFonts w:ascii="Abadi" w:hAnsi="Abadi"/>
          <w:sz w:val="21"/>
          <w:szCs w:val="21"/>
          <w:lang w:val="es-MX"/>
        </w:rPr>
        <w:t>s</w:t>
      </w:r>
      <w:r w:rsidRPr="003B65C0">
        <w:rPr>
          <w:rFonts w:ascii="Abadi" w:hAnsi="Abadi"/>
          <w:sz w:val="21"/>
          <w:szCs w:val="21"/>
        </w:rPr>
        <w:t xml:space="preserve"> </w:t>
      </w:r>
      <w:proofErr w:type="spellStart"/>
      <w:r w:rsidRPr="003B65C0">
        <w:rPr>
          <w:rFonts w:ascii="Abadi" w:hAnsi="Abadi"/>
          <w:sz w:val="21"/>
          <w:szCs w:val="21"/>
        </w:rPr>
        <w:t>observaci</w:t>
      </w:r>
      <w:r w:rsidRPr="003B65C0">
        <w:rPr>
          <w:rFonts w:ascii="Abadi" w:hAnsi="Abadi"/>
          <w:sz w:val="21"/>
          <w:szCs w:val="21"/>
          <w:lang w:val="es-MX"/>
        </w:rPr>
        <w:t>ones</w:t>
      </w:r>
      <w:proofErr w:type="spellEnd"/>
      <w:r w:rsidRPr="003B65C0">
        <w:rPr>
          <w:rFonts w:ascii="Abadi" w:hAnsi="Abadi"/>
          <w:sz w:val="21"/>
          <w:szCs w:val="21"/>
        </w:rPr>
        <w:t xml:space="preserve"> no solventada</w:t>
      </w:r>
      <w:r w:rsidRPr="003B65C0">
        <w:rPr>
          <w:rFonts w:ascii="Abadi" w:hAnsi="Abadi"/>
          <w:sz w:val="21"/>
          <w:szCs w:val="21"/>
          <w:lang w:val="es-MX"/>
        </w:rPr>
        <w:t>s</w:t>
      </w:r>
      <w:r w:rsidRPr="003B65C0">
        <w:rPr>
          <w:rFonts w:ascii="Abadi" w:hAnsi="Abadi"/>
          <w:sz w:val="21"/>
          <w:szCs w:val="21"/>
        </w:rPr>
        <w:t xml:space="preserve"> </w:t>
      </w:r>
      <w:r w:rsidRPr="003B65C0">
        <w:rPr>
          <w:rFonts w:ascii="Abadi" w:hAnsi="Abadi"/>
          <w:sz w:val="21"/>
          <w:szCs w:val="21"/>
          <w:lang w:val="es-MX"/>
        </w:rPr>
        <w:t xml:space="preserve">y a la recomendación no atendida </w:t>
      </w:r>
      <w:r w:rsidRPr="003B65C0">
        <w:rPr>
          <w:rFonts w:ascii="Abadi" w:hAnsi="Abadi"/>
          <w:sz w:val="21"/>
          <w:szCs w:val="21"/>
        </w:rPr>
        <w:t>contenidas en el informe de resultados</w:t>
      </w:r>
      <w:r w:rsidRPr="003B65C0">
        <w:rPr>
          <w:rFonts w:ascii="Abadi" w:hAnsi="Abadi"/>
          <w:sz w:val="21"/>
          <w:szCs w:val="21"/>
          <w:lang w:val="es-MX"/>
        </w:rPr>
        <w:t>.</w:t>
      </w:r>
    </w:p>
    <w:p w14:paraId="2C1A0983" w14:textId="77777777" w:rsidR="003B2D2A" w:rsidRPr="003B65C0" w:rsidRDefault="003B2D2A" w:rsidP="003B2D2A">
      <w:pPr>
        <w:pStyle w:val="Sangra3detindependiente"/>
        <w:spacing w:line="240" w:lineRule="auto"/>
        <w:rPr>
          <w:rFonts w:ascii="Abadi" w:hAnsi="Abadi"/>
          <w:sz w:val="21"/>
          <w:szCs w:val="21"/>
          <w:lang w:val="es-MX"/>
        </w:rPr>
      </w:pPr>
    </w:p>
    <w:p w14:paraId="7DEBBB7B"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 xml:space="preserve">Se ordena dar vista del informe de resultados al ayuntamiento del municipio de </w:t>
      </w:r>
      <w:r w:rsidRPr="003B65C0">
        <w:rPr>
          <w:rFonts w:ascii="Abadi" w:hAnsi="Abadi" w:cs="Arial"/>
          <w:sz w:val="21"/>
          <w:szCs w:val="21"/>
          <w:lang w:val="es-MX"/>
        </w:rPr>
        <w:t>Tierra Blanca,</w:t>
      </w:r>
      <w:r w:rsidRPr="003B65C0">
        <w:rPr>
          <w:rFonts w:ascii="Abadi" w:hAnsi="Abadi" w:cs="Arial"/>
          <w:sz w:val="21"/>
          <w:szCs w:val="21"/>
        </w:rPr>
        <w:t xml:space="preserve"> </w:t>
      </w:r>
      <w:proofErr w:type="spellStart"/>
      <w:r w:rsidRPr="003B65C0">
        <w:rPr>
          <w:rFonts w:ascii="Abadi" w:hAnsi="Abadi" w:cs="Arial"/>
          <w:sz w:val="21"/>
          <w:szCs w:val="21"/>
        </w:rPr>
        <w:t>Gto</w:t>
      </w:r>
      <w:proofErr w:type="spellEnd"/>
      <w:r w:rsidRPr="003B65C0">
        <w:rPr>
          <w:rFonts w:ascii="Abadi" w:hAnsi="Abadi" w:cs="Arial"/>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3B65C0">
          <w:rPr>
            <w:rFonts w:ascii="Abadi" w:hAnsi="Abadi" w:cs="Arial"/>
            <w:sz w:val="21"/>
            <w:szCs w:val="21"/>
          </w:rPr>
          <w:t>la Ley</w:t>
        </w:r>
      </w:smartTag>
      <w:r w:rsidRPr="003B65C0">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5784562B" w14:textId="77777777" w:rsidR="003B2D2A" w:rsidRPr="003B65C0" w:rsidRDefault="003B2D2A" w:rsidP="003B2D2A">
      <w:pPr>
        <w:ind w:firstLine="708"/>
        <w:jc w:val="both"/>
        <w:rPr>
          <w:rFonts w:ascii="Abadi" w:hAnsi="Abadi" w:cs="Arial"/>
          <w:sz w:val="21"/>
          <w:szCs w:val="21"/>
        </w:rPr>
      </w:pPr>
    </w:p>
    <w:p w14:paraId="631B405D" w14:textId="77777777" w:rsidR="003B2D2A" w:rsidRPr="003B65C0" w:rsidRDefault="003B2D2A" w:rsidP="003B2D2A">
      <w:pPr>
        <w:ind w:firstLine="708"/>
        <w:jc w:val="both"/>
        <w:rPr>
          <w:rFonts w:ascii="Abadi" w:hAnsi="Abadi" w:cs="Arial"/>
          <w:sz w:val="21"/>
          <w:szCs w:val="21"/>
        </w:rPr>
      </w:pPr>
      <w:r w:rsidRPr="003B65C0">
        <w:rPr>
          <w:rFonts w:ascii="Abadi" w:hAnsi="Abadi" w:cs="Arial"/>
          <w:sz w:val="21"/>
          <w:szCs w:val="21"/>
        </w:rPr>
        <w:t>Remítase el presente acuerdo al titular del Poder Ejecutivo del Estado para su publicación en el Periódico Oficial del Gobierno del Estado.</w:t>
      </w:r>
    </w:p>
    <w:p w14:paraId="27812427" w14:textId="77777777" w:rsidR="003B2D2A" w:rsidRPr="003B65C0" w:rsidRDefault="003B2D2A" w:rsidP="003B2D2A">
      <w:pPr>
        <w:ind w:firstLine="708"/>
        <w:jc w:val="both"/>
        <w:rPr>
          <w:rFonts w:ascii="Abadi" w:hAnsi="Abadi" w:cs="Arial"/>
          <w:sz w:val="21"/>
          <w:szCs w:val="21"/>
        </w:rPr>
      </w:pPr>
    </w:p>
    <w:p w14:paraId="1210AF8D" w14:textId="77777777" w:rsidR="003B2D2A" w:rsidRPr="003B65C0" w:rsidRDefault="003B2D2A" w:rsidP="003B2D2A">
      <w:pPr>
        <w:pStyle w:val="Sangra3detindependiente"/>
        <w:spacing w:line="240" w:lineRule="auto"/>
        <w:rPr>
          <w:rFonts w:ascii="Abadi" w:hAnsi="Abadi"/>
          <w:sz w:val="21"/>
          <w:szCs w:val="21"/>
        </w:rPr>
      </w:pPr>
      <w:r w:rsidRPr="003B65C0">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52B7663" w14:textId="77777777" w:rsidR="003B2D2A" w:rsidRPr="003B65C0" w:rsidRDefault="003B2D2A" w:rsidP="003B2D2A">
      <w:pPr>
        <w:jc w:val="center"/>
        <w:rPr>
          <w:rFonts w:ascii="Abadi" w:hAnsi="Abadi" w:cs="Arial"/>
          <w:b/>
          <w:bCs/>
          <w:sz w:val="21"/>
          <w:szCs w:val="21"/>
          <w:lang w:eastAsia="x-none"/>
        </w:rPr>
      </w:pPr>
    </w:p>
    <w:p w14:paraId="0F69765B" w14:textId="77777777" w:rsidR="003B2D2A" w:rsidRPr="003B65C0" w:rsidRDefault="003B2D2A" w:rsidP="003B2D2A">
      <w:pPr>
        <w:jc w:val="center"/>
        <w:rPr>
          <w:rFonts w:ascii="Abadi" w:hAnsi="Abadi" w:cs="Arial"/>
          <w:b/>
          <w:bCs/>
          <w:sz w:val="21"/>
          <w:szCs w:val="21"/>
          <w:lang w:eastAsia="x-none"/>
        </w:rPr>
      </w:pPr>
      <w:r w:rsidRPr="003B65C0">
        <w:rPr>
          <w:rFonts w:ascii="Abadi" w:hAnsi="Abadi" w:cs="Arial"/>
          <w:b/>
          <w:bCs/>
          <w:sz w:val="21"/>
          <w:szCs w:val="21"/>
          <w:lang w:eastAsia="x-none"/>
        </w:rPr>
        <w:t xml:space="preserve">Guanajuato, </w:t>
      </w:r>
      <w:proofErr w:type="spellStart"/>
      <w:r w:rsidRPr="003B65C0">
        <w:rPr>
          <w:rFonts w:ascii="Abadi" w:hAnsi="Abadi" w:cs="Arial"/>
          <w:b/>
          <w:bCs/>
          <w:sz w:val="21"/>
          <w:szCs w:val="21"/>
          <w:lang w:eastAsia="x-none"/>
        </w:rPr>
        <w:t>Gto</w:t>
      </w:r>
      <w:proofErr w:type="spellEnd"/>
      <w:r w:rsidRPr="003B65C0">
        <w:rPr>
          <w:rFonts w:ascii="Abadi" w:hAnsi="Abadi" w:cs="Arial"/>
          <w:b/>
          <w:bCs/>
          <w:sz w:val="21"/>
          <w:szCs w:val="21"/>
          <w:lang w:eastAsia="x-none"/>
        </w:rPr>
        <w:t>., 13 de junio de 2023</w:t>
      </w:r>
    </w:p>
    <w:p w14:paraId="5BEE31FC" w14:textId="77777777" w:rsidR="003B2D2A" w:rsidRPr="003B65C0" w:rsidRDefault="003B2D2A" w:rsidP="003B2D2A">
      <w:pPr>
        <w:jc w:val="center"/>
        <w:rPr>
          <w:rFonts w:ascii="Abadi" w:hAnsi="Abadi" w:cs="Arial"/>
          <w:b/>
          <w:bCs/>
          <w:sz w:val="21"/>
          <w:szCs w:val="21"/>
          <w:lang w:eastAsia="x-none"/>
        </w:rPr>
      </w:pPr>
      <w:smartTag w:uri="urn:schemas-microsoft-com:office:smarttags" w:element="PersonName">
        <w:smartTagPr>
          <w:attr w:name="ProductID" w:val="La Comisi￳n"/>
        </w:smartTagPr>
        <w:r w:rsidRPr="003B65C0">
          <w:rPr>
            <w:rFonts w:ascii="Abadi" w:hAnsi="Abadi" w:cs="Arial"/>
            <w:b/>
            <w:bCs/>
            <w:sz w:val="21"/>
            <w:szCs w:val="21"/>
            <w:lang w:eastAsia="x-none"/>
          </w:rPr>
          <w:t>La Comisión</w:t>
        </w:r>
      </w:smartTag>
      <w:r w:rsidRPr="003B65C0">
        <w:rPr>
          <w:rFonts w:ascii="Abadi" w:hAnsi="Abadi" w:cs="Arial"/>
          <w:b/>
          <w:bCs/>
          <w:sz w:val="21"/>
          <w:szCs w:val="21"/>
          <w:lang w:eastAsia="x-none"/>
        </w:rPr>
        <w:t xml:space="preserve"> de Hacienda y Fiscalización</w:t>
      </w:r>
    </w:p>
    <w:p w14:paraId="5C0081D6" w14:textId="77777777" w:rsidR="003B2D2A" w:rsidRPr="003B65C0" w:rsidRDefault="003B2D2A" w:rsidP="003B2D2A">
      <w:pPr>
        <w:jc w:val="center"/>
        <w:rPr>
          <w:rFonts w:ascii="Abadi" w:hAnsi="Abadi" w:cs="Arial"/>
          <w:sz w:val="21"/>
          <w:szCs w:val="21"/>
        </w:rPr>
      </w:pPr>
    </w:p>
    <w:p w14:paraId="1A81E129" w14:textId="77777777" w:rsidR="003B2D2A" w:rsidRPr="003B65C0" w:rsidRDefault="003B2D2A" w:rsidP="003B2D2A">
      <w:pPr>
        <w:jc w:val="center"/>
        <w:rPr>
          <w:rFonts w:ascii="Abadi" w:hAnsi="Abadi" w:cs="Arial"/>
          <w:sz w:val="21"/>
          <w:szCs w:val="21"/>
        </w:rPr>
      </w:pPr>
    </w:p>
    <w:p w14:paraId="03A7A363" w14:textId="77777777" w:rsidR="003B2D2A" w:rsidRPr="003B65C0" w:rsidRDefault="003B2D2A" w:rsidP="003B2D2A">
      <w:pPr>
        <w:rPr>
          <w:rFonts w:ascii="Abadi" w:hAnsi="Abadi" w:cs="Arial"/>
          <w:sz w:val="21"/>
          <w:szCs w:val="21"/>
        </w:rPr>
      </w:pPr>
      <w:r w:rsidRPr="003B65C0">
        <w:rPr>
          <w:rFonts w:ascii="Abadi" w:hAnsi="Abadi" w:cs="Arial"/>
          <w:b/>
          <w:sz w:val="21"/>
          <w:szCs w:val="21"/>
          <w:lang w:eastAsia="x-none"/>
        </w:rPr>
        <w:t>Diputado Víctor Manuel Zanella Huerta</w:t>
      </w:r>
    </w:p>
    <w:p w14:paraId="241BCC43" w14:textId="77777777" w:rsidR="003B2D2A" w:rsidRPr="003B65C0" w:rsidRDefault="003B2D2A" w:rsidP="003B2D2A">
      <w:pPr>
        <w:rPr>
          <w:rFonts w:ascii="Abadi" w:hAnsi="Abadi" w:cs="Arial"/>
          <w:b/>
          <w:sz w:val="21"/>
          <w:szCs w:val="21"/>
          <w:lang w:eastAsia="x-none"/>
        </w:rPr>
      </w:pPr>
      <w:r w:rsidRPr="003B65C0">
        <w:rPr>
          <w:rFonts w:ascii="Abadi" w:hAnsi="Abadi" w:cs="Arial"/>
          <w:b/>
          <w:sz w:val="21"/>
          <w:szCs w:val="21"/>
          <w:lang w:eastAsia="x-none"/>
        </w:rPr>
        <w:t xml:space="preserve">Diputada Ruth Noemí Tiscareño Agoitia      </w:t>
      </w:r>
    </w:p>
    <w:p w14:paraId="67112B68" w14:textId="390FDB5D" w:rsidR="003B2D2A" w:rsidRPr="003B65C0" w:rsidRDefault="003B2D2A" w:rsidP="004503CC">
      <w:pPr>
        <w:rPr>
          <w:rFonts w:ascii="Abadi" w:hAnsi="Abadi" w:cs="Arial"/>
          <w:b/>
          <w:sz w:val="21"/>
          <w:szCs w:val="21"/>
          <w:lang w:eastAsia="x-none"/>
        </w:rPr>
      </w:pPr>
      <w:r w:rsidRPr="003B65C0">
        <w:rPr>
          <w:rFonts w:ascii="Abadi" w:hAnsi="Abadi" w:cs="Arial"/>
          <w:b/>
          <w:sz w:val="21"/>
          <w:szCs w:val="21"/>
          <w:lang w:eastAsia="x-none"/>
        </w:rPr>
        <w:t xml:space="preserve">Diputado Miguel Ángel Salim </w:t>
      </w:r>
      <w:proofErr w:type="spellStart"/>
      <w:r w:rsidRPr="003B65C0">
        <w:rPr>
          <w:rFonts w:ascii="Abadi" w:hAnsi="Abadi" w:cs="Arial"/>
          <w:b/>
          <w:sz w:val="21"/>
          <w:szCs w:val="21"/>
          <w:lang w:eastAsia="x-none"/>
        </w:rPr>
        <w:t>Alle</w:t>
      </w:r>
      <w:proofErr w:type="spellEnd"/>
    </w:p>
    <w:p w14:paraId="428608F7" w14:textId="77777777" w:rsidR="003B2D2A" w:rsidRPr="003B65C0" w:rsidRDefault="003B2D2A" w:rsidP="003B2D2A">
      <w:pPr>
        <w:rPr>
          <w:rFonts w:ascii="Abadi" w:hAnsi="Abadi" w:cs="Arial"/>
          <w:b/>
          <w:sz w:val="21"/>
          <w:szCs w:val="21"/>
          <w:lang w:eastAsia="x-none"/>
        </w:rPr>
      </w:pPr>
      <w:r w:rsidRPr="003B65C0">
        <w:rPr>
          <w:rFonts w:ascii="Abadi" w:hAnsi="Abadi" w:cs="Arial"/>
          <w:b/>
          <w:sz w:val="21"/>
          <w:szCs w:val="21"/>
          <w:lang w:eastAsia="x-none"/>
        </w:rPr>
        <w:t xml:space="preserve">Diputado José Alfonso Borja Pimentel    </w:t>
      </w:r>
    </w:p>
    <w:p w14:paraId="76BB70B4" w14:textId="77777777" w:rsidR="003B2D2A" w:rsidRPr="003B65C0" w:rsidRDefault="003B2D2A" w:rsidP="004503CC">
      <w:pPr>
        <w:rPr>
          <w:rFonts w:ascii="Abadi" w:hAnsi="Abadi" w:cs="Arial"/>
          <w:b/>
          <w:sz w:val="21"/>
          <w:szCs w:val="21"/>
          <w:lang w:eastAsia="x-none"/>
        </w:rPr>
      </w:pPr>
      <w:r w:rsidRPr="003B65C0">
        <w:rPr>
          <w:rFonts w:ascii="Abadi" w:hAnsi="Abadi" w:cs="Arial"/>
          <w:b/>
          <w:sz w:val="21"/>
          <w:szCs w:val="21"/>
          <w:lang w:eastAsia="x-none"/>
        </w:rPr>
        <w:t>Diputada Alma Edwviges Alcaraz Hernández</w:t>
      </w:r>
    </w:p>
    <w:p w14:paraId="5ADDC48E"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08CA5FEB" w14:textId="26F9C0CC" w:rsidR="00374533" w:rsidRPr="00902A84"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902A84">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XICHÚ, GTO., CORRESPONDIENTE AL EJERCICIO FISCAL DEL AÑO 2021. </w:t>
      </w:r>
      <w:r w:rsidRPr="00902A84">
        <w:rPr>
          <w:rFonts w:ascii="Abadi" w:hAnsi="Abadi" w:cs="Arial-ItalicMT"/>
          <w:b/>
          <w:bCs/>
          <w:i/>
          <w:iCs/>
          <w:sz w:val="21"/>
          <w:szCs w:val="21"/>
        </w:rPr>
        <w:t>(ELD 305/LXV-IRASEG)</w:t>
      </w:r>
      <w:r w:rsidR="00313205">
        <w:rPr>
          <w:rStyle w:val="Refdenotaalpie"/>
          <w:rFonts w:ascii="Abadi" w:hAnsi="Abadi" w:cs="Arial-ItalicMT"/>
          <w:b/>
          <w:bCs/>
          <w:i/>
          <w:iCs/>
          <w:sz w:val="21"/>
          <w:szCs w:val="21"/>
        </w:rPr>
        <w:footnoteReference w:id="229"/>
      </w:r>
    </w:p>
    <w:p w14:paraId="38CC97F6" w14:textId="77777777" w:rsidR="00461B13" w:rsidRPr="00461B13" w:rsidRDefault="00461B13" w:rsidP="00461B13">
      <w:pPr>
        <w:pStyle w:val="Prrafodelista"/>
        <w:rPr>
          <w:rFonts w:ascii="Abadi" w:hAnsi="Abadi" w:cs="Arial-ItalicMT"/>
          <w:b/>
          <w:bCs/>
          <w:i/>
          <w:iCs/>
          <w:sz w:val="21"/>
          <w:szCs w:val="21"/>
        </w:rPr>
      </w:pPr>
    </w:p>
    <w:p w14:paraId="1C8F46BB" w14:textId="77777777" w:rsidR="001E4B86" w:rsidRPr="00D148DC" w:rsidRDefault="001E4B86" w:rsidP="001E4B86">
      <w:pPr>
        <w:pStyle w:val="Textoindependiente3"/>
        <w:rPr>
          <w:rFonts w:ascii="Abadi" w:hAnsi="Abadi" w:cs="Arial"/>
          <w:smallCaps/>
          <w:sz w:val="21"/>
          <w:szCs w:val="21"/>
        </w:rPr>
      </w:pPr>
      <w:r w:rsidRPr="00D148DC">
        <w:rPr>
          <w:rFonts w:ascii="Abadi" w:hAnsi="Abadi" w:cs="Arial"/>
          <w:smallCaps/>
          <w:sz w:val="21"/>
          <w:szCs w:val="21"/>
        </w:rPr>
        <w:t>C. Presidenta del Congreso del Estado</w:t>
      </w:r>
    </w:p>
    <w:p w14:paraId="3F993905" w14:textId="77777777" w:rsidR="001E4B86" w:rsidRPr="00D148DC" w:rsidRDefault="001E4B86" w:rsidP="001E4B86">
      <w:pPr>
        <w:jc w:val="both"/>
        <w:rPr>
          <w:rFonts w:ascii="Abadi" w:hAnsi="Abadi" w:cs="Arial"/>
          <w:b/>
          <w:bCs/>
          <w:smallCaps/>
          <w:sz w:val="21"/>
          <w:szCs w:val="21"/>
        </w:rPr>
      </w:pPr>
      <w:r w:rsidRPr="00D148DC">
        <w:rPr>
          <w:rFonts w:ascii="Abadi" w:hAnsi="Abadi" w:cs="Arial"/>
          <w:b/>
          <w:bCs/>
          <w:smallCaps/>
          <w:sz w:val="21"/>
          <w:szCs w:val="21"/>
        </w:rPr>
        <w:t>P r e s e n t e.</w:t>
      </w:r>
    </w:p>
    <w:p w14:paraId="742D3A6C" w14:textId="77777777" w:rsidR="001E4B86" w:rsidRPr="00D148DC" w:rsidRDefault="001E4B86" w:rsidP="001E4B86">
      <w:pPr>
        <w:pStyle w:val="Textoindependiente"/>
        <w:rPr>
          <w:rFonts w:ascii="Abadi" w:hAnsi="Abadi"/>
          <w:sz w:val="21"/>
          <w:szCs w:val="21"/>
        </w:rPr>
      </w:pPr>
    </w:p>
    <w:p w14:paraId="062737A0" w14:textId="77777777" w:rsidR="001E4B86" w:rsidRPr="00D148DC" w:rsidRDefault="001E4B86" w:rsidP="001E4B86">
      <w:pPr>
        <w:pStyle w:val="Sangra3detindependiente"/>
        <w:spacing w:line="240" w:lineRule="auto"/>
        <w:rPr>
          <w:rFonts w:ascii="Abadi" w:hAnsi="Abadi"/>
          <w:sz w:val="21"/>
          <w:szCs w:val="21"/>
        </w:rPr>
      </w:pPr>
      <w:r w:rsidRPr="00D148DC">
        <w:rPr>
          <w:rFonts w:ascii="Abadi" w:hAnsi="Abadi"/>
          <w:sz w:val="21"/>
          <w:szCs w:val="21"/>
        </w:rPr>
        <w:t xml:space="preserve">A </w:t>
      </w:r>
      <w:r w:rsidRPr="00D148DC">
        <w:rPr>
          <w:rFonts w:ascii="Abadi" w:hAnsi="Abadi"/>
          <w:sz w:val="21"/>
          <w:szCs w:val="21"/>
          <w:lang w:val="es-MX"/>
        </w:rPr>
        <w:t>esta</w:t>
      </w:r>
      <w:r w:rsidRPr="00D148DC">
        <w:rPr>
          <w:rFonts w:ascii="Abadi" w:hAnsi="Abadi"/>
          <w:sz w:val="21"/>
          <w:szCs w:val="21"/>
        </w:rPr>
        <w:t xml:space="preserve"> Comisión de Hacienda y Fiscalización</w:t>
      </w:r>
      <w:r w:rsidRPr="00D148DC">
        <w:rPr>
          <w:rFonts w:ascii="Abadi" w:hAnsi="Abadi"/>
          <w:sz w:val="21"/>
          <w:szCs w:val="21"/>
          <w:lang w:val="es-MX"/>
        </w:rPr>
        <w:t xml:space="preserve">, </w:t>
      </w:r>
      <w:r w:rsidRPr="00D148DC">
        <w:rPr>
          <w:rFonts w:ascii="Abadi" w:hAnsi="Abadi"/>
          <w:sz w:val="21"/>
          <w:szCs w:val="21"/>
        </w:rPr>
        <w:t xml:space="preserve">le fue turnado para su estudio y dictamen, el informe de resultados de la revisión practicada por </w:t>
      </w:r>
      <w:r w:rsidRPr="00D148DC">
        <w:rPr>
          <w:rFonts w:ascii="Abadi" w:hAnsi="Abadi"/>
          <w:sz w:val="21"/>
          <w:szCs w:val="21"/>
          <w:lang w:val="es-MX"/>
        </w:rPr>
        <w:t xml:space="preserve">la </w:t>
      </w:r>
      <w:r w:rsidRPr="00D148DC">
        <w:rPr>
          <w:rFonts w:ascii="Abadi" w:hAnsi="Abadi"/>
          <w:sz w:val="21"/>
          <w:szCs w:val="21"/>
        </w:rPr>
        <w:t xml:space="preserve">Auditoría Superior del Estado de Guanajuato, a la cuenta pública municipal de </w:t>
      </w:r>
      <w:r w:rsidRPr="00D148DC">
        <w:rPr>
          <w:rFonts w:ascii="Abadi" w:hAnsi="Abadi"/>
          <w:sz w:val="21"/>
          <w:szCs w:val="21"/>
          <w:lang w:val="es-MX"/>
        </w:rPr>
        <w:t>Xichú</w:t>
      </w:r>
      <w:r w:rsidRPr="00D148DC">
        <w:rPr>
          <w:rFonts w:ascii="Abadi" w:hAnsi="Abadi"/>
          <w:sz w:val="21"/>
          <w:szCs w:val="21"/>
        </w:rPr>
        <w:t xml:space="preserve">, </w:t>
      </w:r>
      <w:proofErr w:type="spellStart"/>
      <w:r w:rsidRPr="00D148DC">
        <w:rPr>
          <w:rFonts w:ascii="Abadi" w:hAnsi="Abadi"/>
          <w:sz w:val="21"/>
          <w:szCs w:val="21"/>
        </w:rPr>
        <w:t>Gto</w:t>
      </w:r>
      <w:proofErr w:type="spellEnd"/>
      <w:r w:rsidRPr="00D148DC">
        <w:rPr>
          <w:rFonts w:ascii="Abadi" w:hAnsi="Abadi"/>
          <w:sz w:val="21"/>
          <w:szCs w:val="21"/>
        </w:rPr>
        <w:t xml:space="preserve">., correspondiente al ejercicio fiscal del año 2021. (ELD </w:t>
      </w:r>
      <w:r w:rsidRPr="00D148DC">
        <w:rPr>
          <w:rFonts w:ascii="Abadi" w:hAnsi="Abadi"/>
          <w:sz w:val="21"/>
          <w:szCs w:val="21"/>
          <w:lang w:val="es-MX"/>
        </w:rPr>
        <w:t>305</w:t>
      </w:r>
      <w:r w:rsidRPr="00D148DC">
        <w:rPr>
          <w:rFonts w:ascii="Abadi" w:hAnsi="Abadi"/>
          <w:sz w:val="21"/>
          <w:szCs w:val="21"/>
        </w:rPr>
        <w:t>/LXV-IRASEG)</w:t>
      </w:r>
    </w:p>
    <w:p w14:paraId="298DA84D" w14:textId="77777777" w:rsidR="001E4B86" w:rsidRPr="00D148DC" w:rsidRDefault="001E4B86" w:rsidP="001E4B86">
      <w:pPr>
        <w:pStyle w:val="Sangra3detindependiente"/>
        <w:spacing w:line="240" w:lineRule="auto"/>
        <w:rPr>
          <w:rFonts w:ascii="Abadi" w:hAnsi="Abadi"/>
          <w:sz w:val="21"/>
          <w:szCs w:val="21"/>
        </w:rPr>
      </w:pPr>
    </w:p>
    <w:p w14:paraId="3A7E6E23" w14:textId="77777777" w:rsidR="001E4B86" w:rsidRPr="00D148DC" w:rsidRDefault="001E4B86" w:rsidP="001E4B86">
      <w:pPr>
        <w:pStyle w:val="Sangra3detindependiente"/>
        <w:spacing w:line="240" w:lineRule="auto"/>
        <w:rPr>
          <w:rFonts w:ascii="Abadi" w:hAnsi="Abadi"/>
          <w:sz w:val="21"/>
          <w:szCs w:val="21"/>
        </w:rPr>
      </w:pPr>
      <w:r w:rsidRPr="00D148DC">
        <w:rPr>
          <w:rFonts w:ascii="Abadi" w:hAnsi="Abadi"/>
          <w:sz w:val="21"/>
          <w:szCs w:val="21"/>
        </w:rPr>
        <w:t>Una vez analizado el referido informe de resultados, con fundamento en lo dispuesto por los artículos 112, fracción XII</w:t>
      </w:r>
      <w:r w:rsidRPr="00D148DC">
        <w:rPr>
          <w:rFonts w:ascii="Abadi" w:hAnsi="Abadi"/>
          <w:sz w:val="21"/>
          <w:szCs w:val="21"/>
          <w:lang w:val="es-MX"/>
        </w:rPr>
        <w:t>, primer párrafo</w:t>
      </w:r>
      <w:r w:rsidRPr="00D148DC">
        <w:rPr>
          <w:rFonts w:ascii="Abadi" w:hAnsi="Abadi"/>
          <w:sz w:val="21"/>
          <w:szCs w:val="21"/>
        </w:rPr>
        <w:t xml:space="preserve"> y 171 de </w:t>
      </w:r>
      <w:smartTag w:uri="urn:schemas-microsoft-com:office:smarttags" w:element="PersonName">
        <w:smartTagPr>
          <w:attr w:name="ProductID" w:val="la Ley Org￡nica"/>
        </w:smartTagPr>
        <w:r w:rsidRPr="00D148DC">
          <w:rPr>
            <w:rFonts w:ascii="Abadi" w:hAnsi="Abadi"/>
            <w:sz w:val="21"/>
            <w:szCs w:val="21"/>
          </w:rPr>
          <w:t>la Ley Orgánica</w:t>
        </w:r>
      </w:smartTag>
      <w:r w:rsidRPr="00D148DC">
        <w:rPr>
          <w:rFonts w:ascii="Abadi" w:hAnsi="Abadi"/>
          <w:sz w:val="21"/>
          <w:szCs w:val="21"/>
        </w:rPr>
        <w:t xml:space="preserve"> del Poder Legislativo, nos permitimos rendir el siguiente:</w:t>
      </w:r>
    </w:p>
    <w:p w14:paraId="1F53F83A" w14:textId="77777777" w:rsidR="001E4B86" w:rsidRPr="00D148DC" w:rsidRDefault="001E4B86" w:rsidP="001E4B86">
      <w:pPr>
        <w:pStyle w:val="Sangra3detindependiente"/>
        <w:spacing w:line="240" w:lineRule="auto"/>
        <w:rPr>
          <w:rFonts w:ascii="Abadi" w:hAnsi="Abadi"/>
          <w:sz w:val="21"/>
          <w:szCs w:val="21"/>
        </w:rPr>
      </w:pPr>
    </w:p>
    <w:p w14:paraId="736695CB" w14:textId="77777777" w:rsidR="001E4B86" w:rsidRPr="00D148DC" w:rsidRDefault="001E4B86" w:rsidP="001E4B86">
      <w:pPr>
        <w:pStyle w:val="Ttulo1"/>
        <w:jc w:val="center"/>
        <w:rPr>
          <w:rFonts w:ascii="Abadi" w:hAnsi="Abadi" w:cs="Arial"/>
          <w:sz w:val="21"/>
          <w:szCs w:val="21"/>
        </w:rPr>
      </w:pPr>
      <w:r w:rsidRPr="00D148DC">
        <w:rPr>
          <w:rFonts w:ascii="Abadi" w:hAnsi="Abadi" w:cs="Arial"/>
          <w:sz w:val="21"/>
          <w:szCs w:val="21"/>
        </w:rPr>
        <w:t>D i c t a m e n</w:t>
      </w:r>
    </w:p>
    <w:p w14:paraId="3C60A407" w14:textId="77777777" w:rsidR="000352B6" w:rsidRDefault="000352B6" w:rsidP="001E4B86">
      <w:pPr>
        <w:pStyle w:val="Textoindependiente"/>
        <w:ind w:firstLine="708"/>
        <w:rPr>
          <w:rFonts w:ascii="Abadi" w:hAnsi="Abadi"/>
          <w:b w:val="0"/>
          <w:bCs w:val="0"/>
          <w:sz w:val="21"/>
          <w:szCs w:val="21"/>
        </w:rPr>
      </w:pPr>
    </w:p>
    <w:p w14:paraId="418D8CF3" w14:textId="6F481BD5" w:rsidR="001E4B86" w:rsidRPr="00D148DC" w:rsidRDefault="001E4B86" w:rsidP="001E4B86">
      <w:pPr>
        <w:pStyle w:val="Textoindependiente"/>
        <w:ind w:firstLine="708"/>
        <w:rPr>
          <w:rFonts w:ascii="Abadi" w:hAnsi="Abadi"/>
          <w:b w:val="0"/>
          <w:bCs w:val="0"/>
          <w:sz w:val="21"/>
          <w:szCs w:val="21"/>
        </w:rPr>
      </w:pPr>
      <w:r w:rsidRPr="00D148DC">
        <w:rPr>
          <w:rFonts w:ascii="Abadi" w:hAnsi="Abadi"/>
          <w:b w:val="0"/>
          <w:bCs w:val="0"/>
          <w:sz w:val="21"/>
          <w:szCs w:val="21"/>
        </w:rPr>
        <w:t>I. Competencia:</w:t>
      </w:r>
    </w:p>
    <w:p w14:paraId="6E651806" w14:textId="77777777" w:rsidR="001E4B86" w:rsidRPr="00D148DC" w:rsidRDefault="001E4B86" w:rsidP="001E4B86">
      <w:pPr>
        <w:pStyle w:val="Textoindependiente"/>
        <w:ind w:firstLine="708"/>
        <w:rPr>
          <w:rFonts w:ascii="Abadi" w:hAnsi="Abadi"/>
          <w:b w:val="0"/>
          <w:bCs w:val="0"/>
          <w:sz w:val="21"/>
          <w:szCs w:val="21"/>
        </w:rPr>
      </w:pPr>
    </w:p>
    <w:p w14:paraId="37577E8A"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w:t>
      </w:r>
      <w:r w:rsidRPr="00D148DC">
        <w:rPr>
          <w:rFonts w:ascii="Abadi" w:hAnsi="Abadi" w:cs="Arial"/>
          <w:sz w:val="21"/>
          <w:szCs w:val="21"/>
          <w:lang w:val="es-MX" w:eastAsia="x-none"/>
        </w:rPr>
        <w:lastRenderedPageBreak/>
        <w:t xml:space="preserve">XXVIII de </w:t>
      </w:r>
      <w:smartTag w:uri="urn:schemas-microsoft-com:office:smarttags" w:element="PersonName">
        <w:smartTagPr>
          <w:attr w:name="ProductID" w:val="la Constituci￳n Pol￭tica"/>
        </w:smartTagPr>
        <w:r w:rsidRPr="00D148DC">
          <w:rPr>
            <w:rFonts w:ascii="Abadi" w:hAnsi="Abadi" w:cs="Arial"/>
            <w:sz w:val="21"/>
            <w:szCs w:val="21"/>
            <w:lang w:val="es-MX" w:eastAsia="x-none"/>
          </w:rPr>
          <w:t>la Constitución Política</w:t>
        </w:r>
      </w:smartTag>
      <w:r w:rsidRPr="00D148DC">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329E3E63" w14:textId="77777777" w:rsidR="001E4B86" w:rsidRPr="00D148DC" w:rsidRDefault="001E4B86" w:rsidP="001E4B86">
      <w:pPr>
        <w:ind w:firstLine="708"/>
        <w:jc w:val="both"/>
        <w:rPr>
          <w:rFonts w:ascii="Abadi" w:hAnsi="Abadi" w:cs="Arial"/>
          <w:sz w:val="21"/>
          <w:szCs w:val="21"/>
          <w:lang w:val="es-MX" w:eastAsia="x-none"/>
        </w:rPr>
      </w:pPr>
    </w:p>
    <w:p w14:paraId="7BCC3606"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D7025A4" w14:textId="77777777" w:rsidR="001E4B86" w:rsidRPr="00D148DC" w:rsidRDefault="001E4B86" w:rsidP="001E4B86">
      <w:pPr>
        <w:ind w:firstLine="708"/>
        <w:jc w:val="both"/>
        <w:rPr>
          <w:rFonts w:ascii="Abadi" w:hAnsi="Abadi" w:cs="Arial"/>
          <w:sz w:val="21"/>
          <w:szCs w:val="21"/>
          <w:lang w:val="es-MX" w:eastAsia="x-none"/>
        </w:rPr>
      </w:pPr>
    </w:p>
    <w:p w14:paraId="4260C132" w14:textId="77777777" w:rsidR="001E4B86" w:rsidRPr="00D148DC" w:rsidRDefault="001E4B86" w:rsidP="001E4B86">
      <w:pPr>
        <w:ind w:firstLine="708"/>
        <w:jc w:val="both"/>
        <w:rPr>
          <w:rFonts w:ascii="Abadi" w:hAnsi="Abadi" w:cs="Arial"/>
          <w:sz w:val="21"/>
          <w:szCs w:val="21"/>
          <w:lang w:val="es-MX" w:eastAsia="x-none"/>
        </w:rPr>
      </w:pPr>
    </w:p>
    <w:p w14:paraId="14E072FC"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D148DC">
          <w:rPr>
            <w:rFonts w:ascii="Abadi" w:hAnsi="Abadi" w:cs="Arial"/>
            <w:sz w:val="21"/>
            <w:szCs w:val="21"/>
            <w:lang w:val="es-MX" w:eastAsia="x-none"/>
          </w:rPr>
          <w:t>la Constitución Política</w:t>
        </w:r>
      </w:smartTag>
      <w:r w:rsidRPr="00D148DC">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1A7DC88" w14:textId="77777777" w:rsidR="001E4B86" w:rsidRPr="00D148DC" w:rsidRDefault="001E4B86" w:rsidP="001E4B86">
      <w:pPr>
        <w:ind w:firstLine="708"/>
        <w:jc w:val="both"/>
        <w:rPr>
          <w:rFonts w:ascii="Abadi" w:hAnsi="Abadi" w:cs="Arial"/>
          <w:sz w:val="21"/>
          <w:szCs w:val="21"/>
          <w:lang w:val="es-MX" w:eastAsia="x-none"/>
        </w:rPr>
      </w:pPr>
    </w:p>
    <w:p w14:paraId="1FC3FC9D"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CBED726" w14:textId="77777777" w:rsidR="001E4B86" w:rsidRPr="00D148DC" w:rsidRDefault="001E4B86" w:rsidP="001E4B86">
      <w:pPr>
        <w:ind w:firstLine="708"/>
        <w:jc w:val="both"/>
        <w:rPr>
          <w:rFonts w:ascii="Abadi" w:hAnsi="Abadi" w:cs="Arial"/>
          <w:sz w:val="21"/>
          <w:szCs w:val="21"/>
          <w:lang w:val="es-MX" w:eastAsia="x-none"/>
        </w:rPr>
      </w:pPr>
    </w:p>
    <w:p w14:paraId="0050900F"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0352B6">
          <w:rPr>
            <w:rFonts w:ascii="Abadi" w:hAnsi="Abadi"/>
            <w:b w:val="0"/>
            <w:bCs w:val="0"/>
            <w:sz w:val="21"/>
            <w:szCs w:val="21"/>
          </w:rPr>
          <w:t>la Ley</w:t>
        </w:r>
      </w:smartTag>
      <w:r w:rsidRPr="000352B6">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2DB33092" w14:textId="77777777" w:rsidR="001E4B86" w:rsidRPr="000352B6" w:rsidRDefault="001E4B86" w:rsidP="001E4B86">
      <w:pPr>
        <w:pStyle w:val="Textoindependiente"/>
        <w:ind w:firstLine="708"/>
        <w:rPr>
          <w:rFonts w:ascii="Abadi" w:hAnsi="Abadi"/>
          <w:b w:val="0"/>
          <w:bCs w:val="0"/>
          <w:sz w:val="21"/>
          <w:szCs w:val="21"/>
        </w:rPr>
      </w:pPr>
    </w:p>
    <w:p w14:paraId="4E5B0F75"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66CC922" w14:textId="77777777" w:rsidR="001E4B86" w:rsidRPr="00D148DC" w:rsidRDefault="001E4B86" w:rsidP="001E4B86">
      <w:pPr>
        <w:pStyle w:val="Textoindependiente"/>
        <w:ind w:firstLine="708"/>
        <w:rPr>
          <w:rFonts w:ascii="Abadi" w:hAnsi="Abadi"/>
          <w:sz w:val="21"/>
          <w:szCs w:val="21"/>
        </w:rPr>
      </w:pPr>
    </w:p>
    <w:p w14:paraId="666CD7B8"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0352B6">
          <w:rPr>
            <w:rFonts w:ascii="Abadi" w:hAnsi="Abadi"/>
            <w:b w:val="0"/>
            <w:bCs w:val="0"/>
            <w:sz w:val="21"/>
            <w:szCs w:val="21"/>
          </w:rPr>
          <w:t>la Ley Orgánica</w:t>
        </w:r>
      </w:smartTag>
      <w:r w:rsidRPr="000352B6">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89C9AC9" w14:textId="77777777" w:rsidR="001E4B86" w:rsidRPr="000352B6" w:rsidRDefault="001E4B86" w:rsidP="001E4B86">
      <w:pPr>
        <w:pStyle w:val="Textoindependiente"/>
        <w:ind w:firstLine="708"/>
        <w:rPr>
          <w:rFonts w:ascii="Abadi" w:hAnsi="Abadi"/>
          <w:b w:val="0"/>
          <w:bCs w:val="0"/>
          <w:sz w:val="21"/>
          <w:szCs w:val="21"/>
        </w:rPr>
      </w:pPr>
    </w:p>
    <w:p w14:paraId="2AEB1545"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35998D0" w14:textId="77777777" w:rsidR="000352B6" w:rsidRDefault="000352B6" w:rsidP="001E4B86">
      <w:pPr>
        <w:ind w:firstLine="708"/>
        <w:jc w:val="both"/>
        <w:rPr>
          <w:rFonts w:ascii="Abadi" w:hAnsi="Abadi" w:cs="Arial"/>
          <w:sz w:val="21"/>
          <w:szCs w:val="21"/>
          <w:lang w:val="es-MX" w:eastAsia="x-none"/>
        </w:rPr>
      </w:pPr>
    </w:p>
    <w:p w14:paraId="179BC279" w14:textId="659EACD7" w:rsidR="001E4B86" w:rsidRPr="000352B6" w:rsidRDefault="001E4B86" w:rsidP="001E4B86">
      <w:pPr>
        <w:ind w:firstLine="708"/>
        <w:jc w:val="both"/>
        <w:rPr>
          <w:rFonts w:ascii="Abadi" w:hAnsi="Abadi" w:cs="Arial"/>
          <w:b/>
          <w:bCs/>
          <w:sz w:val="21"/>
          <w:szCs w:val="21"/>
          <w:lang w:val="es-MX" w:eastAsia="x-none"/>
        </w:rPr>
      </w:pPr>
      <w:r w:rsidRPr="000352B6">
        <w:rPr>
          <w:rFonts w:ascii="Abadi" w:hAnsi="Abadi" w:cs="Arial"/>
          <w:b/>
          <w:bCs/>
          <w:sz w:val="21"/>
          <w:szCs w:val="21"/>
          <w:lang w:val="es-MX" w:eastAsia="x-none"/>
        </w:rPr>
        <w:t>II. Antecedentes:</w:t>
      </w:r>
    </w:p>
    <w:p w14:paraId="4D805D98" w14:textId="77777777" w:rsidR="001E4B86" w:rsidRPr="000352B6" w:rsidRDefault="001E4B86" w:rsidP="001E4B86">
      <w:pPr>
        <w:ind w:firstLine="708"/>
        <w:jc w:val="both"/>
        <w:rPr>
          <w:rFonts w:ascii="Abadi" w:hAnsi="Abadi" w:cs="Arial"/>
          <w:b/>
          <w:bCs/>
          <w:sz w:val="21"/>
          <w:szCs w:val="21"/>
          <w:lang w:val="es-MX" w:eastAsia="x-none"/>
        </w:rPr>
      </w:pPr>
    </w:p>
    <w:p w14:paraId="50936E8E" w14:textId="77777777" w:rsidR="001E4B86" w:rsidRPr="00D148DC" w:rsidRDefault="001E4B86" w:rsidP="001E4B86">
      <w:pPr>
        <w:ind w:firstLine="708"/>
        <w:jc w:val="both"/>
        <w:rPr>
          <w:rFonts w:ascii="Abadi" w:hAnsi="Abadi" w:cs="Arial"/>
          <w:sz w:val="21"/>
          <w:szCs w:val="21"/>
          <w:lang w:val="es-MX" w:eastAsia="x-none"/>
        </w:rPr>
      </w:pPr>
      <w:r w:rsidRPr="000352B6">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0352B6">
          <w:rPr>
            <w:rFonts w:ascii="Abadi" w:hAnsi="Abadi" w:cs="Arial"/>
            <w:sz w:val="21"/>
            <w:szCs w:val="21"/>
            <w:lang w:val="es-MX" w:eastAsia="x-none"/>
          </w:rPr>
          <w:t>la Constitución Política</w:t>
        </w:r>
      </w:smartTag>
      <w:r w:rsidRPr="000352B6">
        <w:rPr>
          <w:rFonts w:ascii="Abadi" w:hAnsi="Abadi" w:cs="Arial"/>
          <w:sz w:val="21"/>
          <w:szCs w:val="21"/>
          <w:lang w:val="es-MX" w:eastAsia="x-none"/>
        </w:rPr>
        <w:t xml:space="preserve"> Local establece</w:t>
      </w:r>
      <w:r w:rsidRPr="00D148DC">
        <w:rPr>
          <w:rFonts w:ascii="Abadi" w:hAnsi="Abadi" w:cs="Arial"/>
          <w:sz w:val="21"/>
          <w:szCs w:val="21"/>
          <w:lang w:val="es-MX" w:eastAsia="x-none"/>
        </w:rPr>
        <w:t xml:space="preserve"> como obligación de los ayuntamientos presentar al Congreso del Estado, la información financiera y la cuenta pública del Municipio, con la periodicidad, forma y términos que establezcan las disposiciones aplicables y la Ley.</w:t>
      </w:r>
    </w:p>
    <w:p w14:paraId="43050B5D" w14:textId="77777777" w:rsidR="001E4B86" w:rsidRPr="00D148DC" w:rsidRDefault="001E4B86" w:rsidP="001E4B86">
      <w:pPr>
        <w:ind w:firstLine="708"/>
        <w:jc w:val="both"/>
        <w:rPr>
          <w:rFonts w:ascii="Abadi" w:hAnsi="Abadi" w:cs="Arial"/>
          <w:sz w:val="21"/>
          <w:szCs w:val="21"/>
          <w:lang w:val="es-MX" w:eastAsia="x-none"/>
        </w:rPr>
      </w:pPr>
    </w:p>
    <w:p w14:paraId="3391B718"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Por su parte, el artículo 66 de la Constitución Política Local, establece que los sujetos de fiscalización presentarán al</w:t>
      </w:r>
      <w:r w:rsidRPr="00D148DC">
        <w:rPr>
          <w:rFonts w:ascii="Abadi" w:hAnsi="Abadi"/>
          <w:sz w:val="21"/>
          <w:szCs w:val="21"/>
        </w:rPr>
        <w:t xml:space="preserve"> </w:t>
      </w:r>
      <w:r w:rsidRPr="000352B6">
        <w:rPr>
          <w:rFonts w:ascii="Abadi" w:hAnsi="Abadi"/>
          <w:b w:val="0"/>
          <w:bCs w:val="0"/>
          <w:sz w:val="21"/>
          <w:szCs w:val="21"/>
        </w:rPr>
        <w:t xml:space="preserve">Congreso del Estado los informes financieros </w:t>
      </w:r>
      <w:r w:rsidRPr="000352B6">
        <w:rPr>
          <w:rFonts w:ascii="Abadi" w:hAnsi="Abadi"/>
          <w:b w:val="0"/>
          <w:bCs w:val="0"/>
          <w:sz w:val="21"/>
          <w:szCs w:val="21"/>
        </w:rPr>
        <w:lastRenderedPageBreak/>
        <w:t>y su cuenta pública con la periodicidad, forma y términos que establezca la Ley.</w:t>
      </w:r>
    </w:p>
    <w:p w14:paraId="7829D20E" w14:textId="77777777" w:rsidR="001E4B86" w:rsidRPr="000352B6" w:rsidRDefault="001E4B86" w:rsidP="001E4B86">
      <w:pPr>
        <w:pStyle w:val="Textoindependiente"/>
        <w:ind w:firstLine="708"/>
        <w:rPr>
          <w:rFonts w:ascii="Abadi" w:hAnsi="Abadi"/>
          <w:b w:val="0"/>
          <w:bCs w:val="0"/>
          <w:sz w:val="21"/>
          <w:szCs w:val="21"/>
        </w:rPr>
      </w:pPr>
    </w:p>
    <w:p w14:paraId="776C6815"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0352B6">
          <w:rPr>
            <w:rFonts w:ascii="Abadi" w:hAnsi="Abadi"/>
            <w:b w:val="0"/>
            <w:bCs w:val="0"/>
            <w:sz w:val="21"/>
            <w:szCs w:val="21"/>
          </w:rPr>
          <w:t>la Ley</w:t>
        </w:r>
      </w:smartTag>
      <w:r w:rsidRPr="000352B6">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4E1D75B" w14:textId="77777777" w:rsidR="001E4B86" w:rsidRPr="000352B6" w:rsidRDefault="001E4B86" w:rsidP="001E4B86">
      <w:pPr>
        <w:pStyle w:val="Textoindependiente"/>
        <w:ind w:firstLine="708"/>
        <w:rPr>
          <w:rFonts w:ascii="Abadi" w:hAnsi="Abadi"/>
          <w:b w:val="0"/>
          <w:bCs w:val="0"/>
          <w:sz w:val="21"/>
          <w:szCs w:val="21"/>
        </w:rPr>
      </w:pPr>
    </w:p>
    <w:p w14:paraId="370F7CED"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83852C8" w14:textId="77777777" w:rsidR="001E4B86" w:rsidRPr="000352B6" w:rsidRDefault="001E4B86" w:rsidP="001E4B86">
      <w:pPr>
        <w:pStyle w:val="Textoindependiente"/>
        <w:ind w:firstLine="708"/>
        <w:rPr>
          <w:rFonts w:ascii="Abadi" w:hAnsi="Abadi"/>
          <w:b w:val="0"/>
          <w:bCs w:val="0"/>
          <w:sz w:val="21"/>
          <w:szCs w:val="21"/>
        </w:rPr>
      </w:pPr>
    </w:p>
    <w:p w14:paraId="53CCB5D2"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6F681A18" w14:textId="77777777" w:rsidR="001E4B86" w:rsidRPr="000352B6" w:rsidRDefault="001E4B86" w:rsidP="001E4B86">
      <w:pPr>
        <w:ind w:firstLine="708"/>
        <w:jc w:val="both"/>
        <w:rPr>
          <w:rFonts w:ascii="Abadi" w:hAnsi="Abadi" w:cs="Arial"/>
          <w:sz w:val="21"/>
          <w:szCs w:val="21"/>
          <w:lang w:val="es-MX" w:eastAsia="x-none"/>
        </w:rPr>
      </w:pPr>
    </w:p>
    <w:p w14:paraId="07BDFEA3"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D148DC">
          <w:rPr>
            <w:rFonts w:ascii="Abadi" w:hAnsi="Abadi" w:cs="Arial"/>
            <w:sz w:val="21"/>
            <w:szCs w:val="21"/>
            <w:lang w:val="es-MX" w:eastAsia="x-none"/>
          </w:rPr>
          <w:t>la Ley Orgánica</w:t>
        </w:r>
      </w:smartTag>
      <w:r w:rsidRPr="00D148DC">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5D75C34" w14:textId="77777777" w:rsidR="001E4B86" w:rsidRPr="00D148DC" w:rsidRDefault="001E4B86" w:rsidP="001E4B86">
      <w:pPr>
        <w:ind w:firstLine="708"/>
        <w:jc w:val="both"/>
        <w:rPr>
          <w:rFonts w:ascii="Abadi" w:hAnsi="Abadi" w:cs="Arial"/>
          <w:sz w:val="21"/>
          <w:szCs w:val="21"/>
          <w:lang w:val="es-MX" w:eastAsia="x-none"/>
        </w:rPr>
      </w:pPr>
    </w:p>
    <w:p w14:paraId="01F902DF" w14:textId="77777777" w:rsidR="001E4B86" w:rsidRPr="00D148DC" w:rsidRDefault="001E4B86" w:rsidP="001E4B86">
      <w:pPr>
        <w:ind w:right="60" w:firstLine="709"/>
        <w:jc w:val="both"/>
        <w:rPr>
          <w:rFonts w:ascii="Abadi" w:hAnsi="Abadi" w:cs="Arial"/>
          <w:sz w:val="21"/>
          <w:szCs w:val="21"/>
          <w:lang w:val="es-MX" w:eastAsia="x-none"/>
        </w:rPr>
      </w:pPr>
      <w:r w:rsidRPr="00D148DC">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8EFDF88" w14:textId="77777777" w:rsidR="001E4B86" w:rsidRPr="00D148DC" w:rsidRDefault="001E4B86" w:rsidP="001E4B86">
      <w:pPr>
        <w:ind w:right="58" w:firstLine="709"/>
        <w:jc w:val="both"/>
        <w:rPr>
          <w:rFonts w:ascii="Abadi" w:eastAsia="DejaVu Sans" w:hAnsi="Abadi" w:cs="Tahoma"/>
          <w:iCs/>
          <w:kern w:val="1"/>
          <w:sz w:val="21"/>
          <w:szCs w:val="21"/>
          <w:lang w:eastAsia="ar-SA"/>
        </w:rPr>
      </w:pPr>
    </w:p>
    <w:p w14:paraId="355F38EE"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w:t>
      </w:r>
      <w:r w:rsidRPr="00D148DC">
        <w:rPr>
          <w:rFonts w:ascii="Abadi" w:hAnsi="Abadi" w:cs="Arial"/>
          <w:sz w:val="21"/>
          <w:szCs w:val="21"/>
          <w:lang w:val="es-MX" w:eastAsia="x-none"/>
        </w:rPr>
        <w:t xml:space="preserve">del Poder Ejecutivo, del Poder Judicial, de los Organismos Autónomos y de los municipios. </w:t>
      </w:r>
    </w:p>
    <w:p w14:paraId="2117C8BF" w14:textId="77777777" w:rsidR="001E4B86" w:rsidRPr="00D148DC" w:rsidRDefault="001E4B86" w:rsidP="001E4B86">
      <w:pPr>
        <w:pStyle w:val="Textoindependiente"/>
        <w:ind w:firstLine="708"/>
        <w:rPr>
          <w:rFonts w:ascii="Abadi" w:hAnsi="Abadi"/>
          <w:sz w:val="21"/>
          <w:szCs w:val="21"/>
        </w:rPr>
      </w:pPr>
    </w:p>
    <w:p w14:paraId="287D0966"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FDE68DE" w14:textId="77777777" w:rsidR="001E4B86" w:rsidRPr="00D148DC" w:rsidRDefault="001E4B86" w:rsidP="001E4B86">
      <w:pPr>
        <w:pStyle w:val="Textoindependiente"/>
        <w:ind w:firstLine="708"/>
        <w:rPr>
          <w:rFonts w:ascii="Abadi" w:hAnsi="Abadi"/>
          <w:sz w:val="21"/>
          <w:szCs w:val="21"/>
        </w:rPr>
      </w:pPr>
    </w:p>
    <w:p w14:paraId="7269EC2E" w14:textId="77777777" w:rsidR="001E4B86" w:rsidRPr="00D148DC" w:rsidRDefault="001E4B86" w:rsidP="001E4B86">
      <w:pPr>
        <w:ind w:right="60" w:firstLine="709"/>
        <w:jc w:val="both"/>
        <w:rPr>
          <w:rFonts w:ascii="Abadi" w:hAnsi="Abadi" w:cs="Arial"/>
          <w:sz w:val="21"/>
          <w:szCs w:val="21"/>
          <w:lang w:val="es-MX" w:eastAsia="x-none"/>
        </w:rPr>
      </w:pPr>
      <w:r w:rsidRPr="00D148DC">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4969140" w14:textId="77777777" w:rsidR="001E4B86" w:rsidRPr="00D148DC" w:rsidRDefault="001E4B86" w:rsidP="001E4B86">
      <w:pPr>
        <w:pStyle w:val="Textoindependiente"/>
        <w:ind w:firstLine="708"/>
        <w:rPr>
          <w:rFonts w:ascii="Abadi" w:hAnsi="Abadi"/>
          <w:sz w:val="21"/>
          <w:szCs w:val="21"/>
        </w:rPr>
      </w:pPr>
    </w:p>
    <w:p w14:paraId="7F4F3DDB"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1E04F332" w14:textId="77777777" w:rsidR="001E4B86" w:rsidRPr="000352B6" w:rsidRDefault="001E4B86" w:rsidP="001E4B86">
      <w:pPr>
        <w:pStyle w:val="Textoindependiente"/>
        <w:ind w:firstLine="708"/>
        <w:rPr>
          <w:rFonts w:ascii="Abadi" w:hAnsi="Abadi"/>
          <w:b w:val="0"/>
          <w:bCs w:val="0"/>
          <w:sz w:val="21"/>
          <w:szCs w:val="21"/>
        </w:rPr>
      </w:pPr>
    </w:p>
    <w:p w14:paraId="3EF289B9" w14:textId="77777777" w:rsidR="001E4B86" w:rsidRPr="00D148DC" w:rsidRDefault="001E4B86" w:rsidP="001E4B86">
      <w:pPr>
        <w:tabs>
          <w:tab w:val="left" w:pos="709"/>
        </w:tabs>
        <w:jc w:val="both"/>
        <w:rPr>
          <w:rFonts w:ascii="Abadi" w:hAnsi="Abadi" w:cs="Arial"/>
          <w:sz w:val="21"/>
          <w:szCs w:val="21"/>
          <w:lang w:val="es-MX" w:eastAsia="x-none"/>
        </w:rPr>
      </w:pPr>
      <w:r w:rsidRPr="00D148DC">
        <w:rPr>
          <w:rFonts w:ascii="Abadi" w:hAnsi="Abadi" w:cs="Arial"/>
          <w:sz w:val="21"/>
          <w:szCs w:val="21"/>
        </w:rPr>
        <w:tab/>
        <w:t xml:space="preserve">El citado artículo también refiere </w:t>
      </w:r>
      <w:r w:rsidRPr="00D148DC">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99A5FC3" w14:textId="77777777" w:rsidR="001E4B86" w:rsidRPr="00D148DC" w:rsidRDefault="001E4B86" w:rsidP="001E4B86">
      <w:pPr>
        <w:tabs>
          <w:tab w:val="left" w:pos="709"/>
        </w:tabs>
        <w:jc w:val="both"/>
        <w:rPr>
          <w:rFonts w:ascii="Abadi" w:hAnsi="Abadi" w:cs="Arial"/>
          <w:sz w:val="21"/>
          <w:szCs w:val="21"/>
          <w:lang w:val="es-MX" w:eastAsia="x-none"/>
        </w:rPr>
      </w:pPr>
      <w:r w:rsidRPr="00D148DC">
        <w:rPr>
          <w:rFonts w:ascii="Abadi" w:hAnsi="Abadi" w:cs="Arial"/>
          <w:sz w:val="21"/>
          <w:szCs w:val="21"/>
          <w:lang w:val="es-MX" w:eastAsia="x-none"/>
        </w:rPr>
        <w:tab/>
        <w:t xml:space="preserve">En términos del numeral 23 de la </w:t>
      </w:r>
      <w:r w:rsidRPr="00D148DC">
        <w:rPr>
          <w:rFonts w:ascii="Abadi" w:hAnsi="Abadi" w:cs="Arial"/>
          <w:sz w:val="21"/>
          <w:szCs w:val="21"/>
        </w:rPr>
        <w:t>Ley de Fiscalización Superior del Estado de Guanajuato, p</w:t>
      </w:r>
      <w:r w:rsidRPr="00D148DC">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sujetos de fiscalización en el análisis de la </w:t>
      </w:r>
      <w:r w:rsidRPr="00D148DC">
        <w:rPr>
          <w:rFonts w:ascii="Abadi" w:hAnsi="Abadi" w:cs="Arial"/>
          <w:sz w:val="21"/>
          <w:szCs w:val="21"/>
          <w:lang w:val="es-MX" w:eastAsia="x-none"/>
        </w:rPr>
        <w:lastRenderedPageBreak/>
        <w:t>información financiera trimestral y la evidencia que las sustenta.</w:t>
      </w:r>
    </w:p>
    <w:p w14:paraId="3258A8B6" w14:textId="77777777" w:rsidR="001E4B86" w:rsidRPr="00D148DC" w:rsidRDefault="001E4B86" w:rsidP="001E4B86">
      <w:pPr>
        <w:tabs>
          <w:tab w:val="left" w:pos="709"/>
        </w:tabs>
        <w:jc w:val="both"/>
        <w:rPr>
          <w:rFonts w:ascii="Abadi" w:hAnsi="Abadi" w:cs="Arial"/>
          <w:sz w:val="21"/>
          <w:szCs w:val="21"/>
          <w:lang w:val="es-MX" w:eastAsia="x-none"/>
        </w:rPr>
      </w:pPr>
    </w:p>
    <w:p w14:paraId="0E4D251D" w14:textId="77777777" w:rsidR="001E4B86" w:rsidRPr="00D148DC" w:rsidRDefault="001E4B86" w:rsidP="001E4B86">
      <w:pPr>
        <w:pStyle w:val="Texto"/>
        <w:spacing w:after="0" w:line="240" w:lineRule="auto"/>
        <w:ind w:firstLine="708"/>
        <w:rPr>
          <w:rFonts w:ascii="Abadi" w:hAnsi="Abadi" w:cs="Arial"/>
          <w:sz w:val="21"/>
          <w:szCs w:val="21"/>
          <w:lang w:val="es-MX"/>
        </w:rPr>
      </w:pPr>
      <w:r w:rsidRPr="00D148DC">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40957897" w14:textId="77777777" w:rsidR="001E4B86" w:rsidRPr="00D148DC" w:rsidRDefault="001E4B86" w:rsidP="001E4B86">
      <w:pPr>
        <w:pStyle w:val="Texto"/>
        <w:spacing w:after="0" w:line="240" w:lineRule="auto"/>
        <w:ind w:firstLine="708"/>
        <w:rPr>
          <w:rFonts w:ascii="Abadi" w:hAnsi="Abadi" w:cs="Arial"/>
          <w:sz w:val="21"/>
          <w:szCs w:val="21"/>
          <w:lang w:val="es-MX"/>
        </w:rPr>
      </w:pPr>
    </w:p>
    <w:p w14:paraId="41401564" w14:textId="77777777" w:rsidR="001E4B86" w:rsidRPr="00D148DC" w:rsidRDefault="001E4B86" w:rsidP="001E4B86">
      <w:pPr>
        <w:pStyle w:val="Texto"/>
        <w:spacing w:after="0" w:line="240" w:lineRule="auto"/>
        <w:ind w:firstLine="708"/>
        <w:rPr>
          <w:rFonts w:ascii="Abadi" w:hAnsi="Abadi" w:cs="Arial"/>
          <w:sz w:val="21"/>
          <w:szCs w:val="21"/>
          <w:lang w:val="es-MX"/>
        </w:rPr>
      </w:pPr>
      <w:r w:rsidRPr="00D148DC">
        <w:rPr>
          <w:rFonts w:ascii="Abadi" w:hAnsi="Abadi" w:cs="Arial"/>
          <w:sz w:val="21"/>
          <w:szCs w:val="21"/>
          <w:lang w:val="es-MX"/>
        </w:rPr>
        <w:t xml:space="preserve">En cumplimiento a los citados preceptos, en su oportunidad se remitió a este Congreso del Estado, la cuenta pública municipal de Xichú, </w:t>
      </w:r>
      <w:proofErr w:type="spellStart"/>
      <w:r w:rsidRPr="00D148DC">
        <w:rPr>
          <w:rFonts w:ascii="Abadi" w:hAnsi="Abadi" w:cs="Arial"/>
          <w:sz w:val="21"/>
          <w:szCs w:val="21"/>
          <w:lang w:val="es-MX"/>
        </w:rPr>
        <w:t>Gto</w:t>
      </w:r>
      <w:proofErr w:type="spellEnd"/>
      <w:r w:rsidRPr="00D148DC">
        <w:rPr>
          <w:rFonts w:ascii="Abadi" w:hAnsi="Abadi" w:cs="Arial"/>
          <w:sz w:val="21"/>
          <w:szCs w:val="21"/>
          <w:lang w:val="es-MX"/>
        </w:rPr>
        <w:t>., correspondiente al ejercicio fiscal del año 2021, turnándose a la Auditoría Superior del Estado para su revisión.</w:t>
      </w:r>
    </w:p>
    <w:p w14:paraId="528183AE" w14:textId="77777777" w:rsidR="001E4B86" w:rsidRPr="00D148DC" w:rsidRDefault="001E4B86" w:rsidP="001E4B86">
      <w:pPr>
        <w:pStyle w:val="Textoindependiente"/>
        <w:ind w:firstLine="708"/>
        <w:rPr>
          <w:rFonts w:ascii="Abadi" w:hAnsi="Abadi"/>
          <w:sz w:val="21"/>
          <w:szCs w:val="21"/>
        </w:rPr>
      </w:pPr>
    </w:p>
    <w:p w14:paraId="4DA588B2"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6279F060" w14:textId="77777777" w:rsidR="001E4B86" w:rsidRPr="000352B6" w:rsidRDefault="001E4B86" w:rsidP="001E4B86">
      <w:pPr>
        <w:pStyle w:val="Textoindependiente"/>
        <w:ind w:firstLine="708"/>
        <w:rPr>
          <w:rFonts w:ascii="Abadi" w:hAnsi="Abadi"/>
          <w:b w:val="0"/>
          <w:bCs w:val="0"/>
          <w:sz w:val="21"/>
          <w:szCs w:val="21"/>
        </w:rPr>
      </w:pPr>
    </w:p>
    <w:p w14:paraId="7B07794C"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Xichú, </w:t>
      </w:r>
      <w:proofErr w:type="spellStart"/>
      <w:r w:rsidRPr="000352B6">
        <w:rPr>
          <w:rFonts w:ascii="Abadi" w:hAnsi="Abadi"/>
          <w:b w:val="0"/>
          <w:bCs w:val="0"/>
          <w:sz w:val="21"/>
          <w:szCs w:val="21"/>
        </w:rPr>
        <w:t>Gto</w:t>
      </w:r>
      <w:proofErr w:type="spellEnd"/>
      <w:r w:rsidRPr="000352B6">
        <w:rPr>
          <w:rFonts w:ascii="Abadi" w:hAnsi="Abadi"/>
          <w:b w:val="0"/>
          <w:bCs w:val="0"/>
          <w:sz w:val="21"/>
          <w:szCs w:val="21"/>
        </w:rPr>
        <w:t>., correspondiente al ejercicio fiscal del año 2021.</w:t>
      </w:r>
    </w:p>
    <w:p w14:paraId="68C5646C" w14:textId="77777777" w:rsidR="001E4B86" w:rsidRPr="00D148DC" w:rsidRDefault="001E4B86" w:rsidP="001E4B86">
      <w:pPr>
        <w:ind w:firstLine="708"/>
        <w:jc w:val="both"/>
        <w:rPr>
          <w:rFonts w:ascii="Abadi" w:hAnsi="Abadi" w:cs="Arial"/>
          <w:sz w:val="21"/>
          <w:szCs w:val="21"/>
          <w:lang w:val="es-MX" w:eastAsia="x-none"/>
        </w:rPr>
      </w:pPr>
    </w:p>
    <w:p w14:paraId="77AA8156"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D148DC">
        <w:rPr>
          <w:rFonts w:ascii="Abadi" w:hAnsi="Abadi" w:cs="Arial"/>
          <w:bCs/>
          <w:sz w:val="21"/>
          <w:szCs w:val="21"/>
          <w:lang w:val="es-MX" w:eastAsia="x-none"/>
        </w:rPr>
        <w:t>el 30 de marzo de 2023,</w:t>
      </w:r>
      <w:r w:rsidRPr="00D148DC">
        <w:rPr>
          <w:rFonts w:ascii="Abadi" w:hAnsi="Abadi" w:cs="Arial"/>
          <w:sz w:val="21"/>
          <w:szCs w:val="21"/>
          <w:lang w:val="es-MX" w:eastAsia="x-none"/>
        </w:rPr>
        <w:t xml:space="preserve"> para su estudio y dictamen,</w:t>
      </w:r>
      <w:r w:rsidRPr="00D148DC">
        <w:rPr>
          <w:rFonts w:ascii="Abadi" w:hAnsi="Abadi" w:cs="Arial"/>
          <w:b/>
          <w:sz w:val="21"/>
          <w:szCs w:val="21"/>
          <w:lang w:val="es-MX" w:eastAsia="x-none"/>
        </w:rPr>
        <w:t xml:space="preserve"> </w:t>
      </w:r>
      <w:r w:rsidRPr="00D148DC">
        <w:rPr>
          <w:rFonts w:ascii="Abadi" w:hAnsi="Abadi" w:cs="Arial"/>
          <w:sz w:val="21"/>
          <w:szCs w:val="21"/>
          <w:lang w:val="es-MX" w:eastAsia="x-none"/>
        </w:rPr>
        <w:t>siendo radicado el 11 de abril del año en curso.</w:t>
      </w:r>
    </w:p>
    <w:p w14:paraId="6330B4FB" w14:textId="77777777" w:rsidR="001E4B86" w:rsidRPr="00D148DC" w:rsidRDefault="001E4B86" w:rsidP="001E4B86">
      <w:pPr>
        <w:ind w:firstLine="708"/>
        <w:jc w:val="both"/>
        <w:rPr>
          <w:rFonts w:ascii="Abadi" w:hAnsi="Abadi" w:cs="Arial"/>
          <w:sz w:val="21"/>
          <w:szCs w:val="21"/>
          <w:lang w:val="es-MX" w:eastAsia="x-none"/>
        </w:rPr>
      </w:pPr>
    </w:p>
    <w:p w14:paraId="5E9BDB05" w14:textId="77777777" w:rsidR="001E4B86" w:rsidRPr="00D148DC" w:rsidRDefault="001E4B86" w:rsidP="001E4B86">
      <w:pPr>
        <w:ind w:firstLine="708"/>
        <w:jc w:val="both"/>
        <w:rPr>
          <w:rFonts w:ascii="Abadi" w:hAnsi="Abadi" w:cs="Arial"/>
          <w:sz w:val="21"/>
          <w:szCs w:val="21"/>
          <w:lang w:val="es-MX" w:eastAsia="x-none"/>
        </w:rPr>
      </w:pPr>
    </w:p>
    <w:p w14:paraId="1C2E46DB" w14:textId="77777777" w:rsidR="001E4B86" w:rsidRPr="000352B6" w:rsidRDefault="001E4B86" w:rsidP="001E4B86">
      <w:pPr>
        <w:pStyle w:val="Textoindependiente"/>
        <w:ind w:firstLine="708"/>
        <w:rPr>
          <w:rFonts w:ascii="Abadi" w:hAnsi="Abadi"/>
          <w:sz w:val="21"/>
          <w:szCs w:val="21"/>
        </w:rPr>
      </w:pPr>
      <w:r w:rsidRPr="000352B6">
        <w:rPr>
          <w:rFonts w:ascii="Abadi" w:hAnsi="Abadi"/>
          <w:sz w:val="21"/>
          <w:szCs w:val="21"/>
        </w:rPr>
        <w:t>III. Procedimiento de Revisión:</w:t>
      </w:r>
    </w:p>
    <w:p w14:paraId="3660F296" w14:textId="77777777" w:rsidR="001E4B86" w:rsidRPr="000352B6" w:rsidRDefault="001E4B86" w:rsidP="001E4B86">
      <w:pPr>
        <w:pStyle w:val="Textoindependiente"/>
        <w:ind w:firstLine="708"/>
        <w:rPr>
          <w:rFonts w:ascii="Abadi" w:hAnsi="Abadi"/>
          <w:sz w:val="21"/>
          <w:szCs w:val="21"/>
        </w:rPr>
      </w:pPr>
    </w:p>
    <w:p w14:paraId="404732B8"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La revisión de la cuenta pública municipal de Xichú, </w:t>
      </w:r>
      <w:proofErr w:type="spellStart"/>
      <w:r w:rsidRPr="000352B6">
        <w:rPr>
          <w:rFonts w:ascii="Abadi" w:hAnsi="Abadi"/>
          <w:b w:val="0"/>
          <w:bCs w:val="0"/>
          <w:sz w:val="21"/>
          <w:szCs w:val="21"/>
        </w:rPr>
        <w:t>Gto</w:t>
      </w:r>
      <w:proofErr w:type="spellEnd"/>
      <w:r w:rsidRPr="000352B6">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671889A" w14:textId="77777777" w:rsidR="001E4B86" w:rsidRPr="000352B6" w:rsidRDefault="001E4B86" w:rsidP="001E4B86">
      <w:pPr>
        <w:pStyle w:val="Textoindependiente"/>
        <w:ind w:firstLine="708"/>
        <w:rPr>
          <w:rFonts w:ascii="Abadi" w:hAnsi="Abadi"/>
          <w:b w:val="0"/>
          <w:bCs w:val="0"/>
          <w:sz w:val="21"/>
          <w:szCs w:val="21"/>
        </w:rPr>
      </w:pPr>
    </w:p>
    <w:p w14:paraId="4C92218F"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1D1E4BD5" w14:textId="77777777" w:rsidR="001E4B86" w:rsidRPr="00D148DC" w:rsidRDefault="001E4B86" w:rsidP="001E4B86">
      <w:pPr>
        <w:pStyle w:val="Textoindependiente"/>
        <w:ind w:firstLine="708"/>
        <w:rPr>
          <w:rFonts w:ascii="Abadi" w:hAnsi="Abadi"/>
          <w:sz w:val="21"/>
          <w:szCs w:val="21"/>
        </w:rPr>
      </w:pPr>
    </w:p>
    <w:p w14:paraId="2E4FFEE6"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w:t>
      </w:r>
      <w:r w:rsidRPr="00D148DC">
        <w:rPr>
          <w:rFonts w:ascii="Abadi" w:hAnsi="Abadi"/>
          <w:sz w:val="21"/>
          <w:szCs w:val="21"/>
        </w:rPr>
        <w:t xml:space="preserve">Guanajuato y </w:t>
      </w:r>
      <w:r w:rsidRPr="000352B6">
        <w:rPr>
          <w:rFonts w:ascii="Abadi" w:hAnsi="Abadi"/>
          <w:b w:val="0"/>
          <w:bCs w:val="0"/>
          <w:sz w:val="21"/>
          <w:szCs w:val="21"/>
        </w:rPr>
        <w:t>publicado en el Diario Oficial de la Federación y en el Periódico Oficial del Gobierno del Estado, en fechas 25 de enero y 28 de febrero de 2017 respectivamente.</w:t>
      </w:r>
    </w:p>
    <w:p w14:paraId="51B0F082" w14:textId="77777777" w:rsidR="001E4B86" w:rsidRPr="00D148DC" w:rsidRDefault="001E4B86" w:rsidP="001E4B86">
      <w:pPr>
        <w:pStyle w:val="Textoindependiente"/>
        <w:ind w:firstLine="708"/>
        <w:rPr>
          <w:rFonts w:ascii="Abadi" w:hAnsi="Abadi"/>
          <w:sz w:val="21"/>
          <w:szCs w:val="21"/>
        </w:rPr>
      </w:pPr>
    </w:p>
    <w:p w14:paraId="0C07928F" w14:textId="77777777" w:rsidR="001E4B86" w:rsidRPr="00D148DC" w:rsidRDefault="001E4B86" w:rsidP="001E4B86">
      <w:pPr>
        <w:pStyle w:val="Textoindependiente"/>
        <w:ind w:firstLine="708"/>
        <w:rPr>
          <w:rFonts w:ascii="Abadi" w:hAnsi="Abadi"/>
          <w:sz w:val="21"/>
          <w:szCs w:val="21"/>
        </w:rPr>
      </w:pPr>
    </w:p>
    <w:p w14:paraId="198E2E93" w14:textId="77777777" w:rsidR="001E4B86" w:rsidRPr="000352B6" w:rsidRDefault="001E4B86" w:rsidP="001E4B86">
      <w:pPr>
        <w:pStyle w:val="Textoindependiente"/>
        <w:ind w:firstLine="708"/>
        <w:rPr>
          <w:rFonts w:ascii="Abadi" w:hAnsi="Abadi"/>
          <w:b w:val="0"/>
          <w:bCs w:val="0"/>
          <w:sz w:val="21"/>
          <w:szCs w:val="21"/>
        </w:rPr>
      </w:pPr>
      <w:r w:rsidRPr="000352B6">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E9D80D6" w14:textId="77777777" w:rsidR="001E4B86" w:rsidRPr="00D148DC" w:rsidRDefault="001E4B86" w:rsidP="001E4B86">
      <w:pPr>
        <w:pStyle w:val="Textoindependiente"/>
        <w:ind w:firstLine="708"/>
        <w:rPr>
          <w:rFonts w:ascii="Abadi" w:hAnsi="Abadi"/>
          <w:sz w:val="21"/>
          <w:szCs w:val="21"/>
        </w:rPr>
      </w:pPr>
    </w:p>
    <w:p w14:paraId="7B647DDC" w14:textId="77777777" w:rsidR="001E4B86" w:rsidRPr="000352B6" w:rsidRDefault="001E4B86" w:rsidP="001E4B86">
      <w:pPr>
        <w:pStyle w:val="Textoindependiente"/>
        <w:ind w:firstLine="705"/>
        <w:rPr>
          <w:rFonts w:ascii="Abadi" w:hAnsi="Abadi"/>
          <w:b w:val="0"/>
          <w:bCs w:val="0"/>
          <w:sz w:val="21"/>
          <w:szCs w:val="21"/>
        </w:rPr>
      </w:pPr>
      <w:r w:rsidRPr="000352B6">
        <w:rPr>
          <w:rFonts w:ascii="Abadi" w:hAnsi="Abadi"/>
          <w:b w:val="0"/>
          <w:bCs w:val="0"/>
          <w:sz w:val="21"/>
          <w:szCs w:val="21"/>
        </w:rPr>
        <w:t xml:space="preserve">El informe de resultados establece que se practicó la revisión de la cuenta pública respecto de las operaciones realizadas por la administración pública municipal de Xichú, </w:t>
      </w:r>
      <w:proofErr w:type="spellStart"/>
      <w:r w:rsidRPr="000352B6">
        <w:rPr>
          <w:rFonts w:ascii="Abadi" w:hAnsi="Abadi"/>
          <w:b w:val="0"/>
          <w:bCs w:val="0"/>
          <w:sz w:val="21"/>
          <w:szCs w:val="21"/>
        </w:rPr>
        <w:t>Gto</w:t>
      </w:r>
      <w:proofErr w:type="spellEnd"/>
      <w:r w:rsidRPr="000352B6">
        <w:rPr>
          <w:rFonts w:ascii="Abadi" w:hAnsi="Abadi"/>
          <w:b w:val="0"/>
          <w:bCs w:val="0"/>
          <w:sz w:val="21"/>
          <w:szCs w:val="21"/>
        </w:rPr>
        <w:t>., correspondientes al ejercicio fiscal 2021, en lo referente a los apartados de ingresos y egresos.</w:t>
      </w:r>
    </w:p>
    <w:p w14:paraId="593D6552" w14:textId="77777777" w:rsidR="001E4B86" w:rsidRPr="00D148DC" w:rsidRDefault="001E4B86" w:rsidP="001E4B86">
      <w:pPr>
        <w:pStyle w:val="Textoindependiente"/>
        <w:ind w:firstLine="705"/>
        <w:rPr>
          <w:rFonts w:ascii="Abadi" w:hAnsi="Abadi"/>
          <w:sz w:val="21"/>
          <w:szCs w:val="21"/>
        </w:rPr>
      </w:pPr>
    </w:p>
    <w:p w14:paraId="2364D322" w14:textId="77777777" w:rsidR="001E4B86" w:rsidRPr="00D148DC" w:rsidRDefault="001E4B86" w:rsidP="001E4B86">
      <w:pPr>
        <w:autoSpaceDE w:val="0"/>
        <w:autoSpaceDN w:val="0"/>
        <w:adjustRightInd w:val="0"/>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w:t>
      </w:r>
      <w:r w:rsidRPr="00D148DC">
        <w:rPr>
          <w:rFonts w:ascii="Abadi" w:hAnsi="Abadi" w:cs="Arial"/>
          <w:sz w:val="21"/>
          <w:szCs w:val="21"/>
          <w:lang w:val="es-MX" w:eastAsia="x-none"/>
        </w:rPr>
        <w:t xml:space="preserve">con la finalidad de expresar una opinión sobre la eficiencia del mismo. </w:t>
      </w:r>
    </w:p>
    <w:p w14:paraId="6E0478BF" w14:textId="77777777" w:rsidR="001E4B86" w:rsidRPr="00D148DC" w:rsidRDefault="001E4B86" w:rsidP="001E4B86">
      <w:pPr>
        <w:autoSpaceDE w:val="0"/>
        <w:autoSpaceDN w:val="0"/>
        <w:adjustRightInd w:val="0"/>
        <w:ind w:firstLine="708"/>
        <w:jc w:val="both"/>
        <w:rPr>
          <w:rFonts w:ascii="Abadi" w:hAnsi="Abadi" w:cs="Arial"/>
          <w:sz w:val="21"/>
          <w:szCs w:val="21"/>
          <w:lang w:val="es-MX" w:eastAsia="x-none"/>
        </w:rPr>
      </w:pPr>
    </w:p>
    <w:p w14:paraId="0FF9A4A2" w14:textId="77777777" w:rsidR="001E4B86" w:rsidRPr="00D148DC" w:rsidRDefault="001E4B86" w:rsidP="001E4B86">
      <w:pPr>
        <w:ind w:firstLine="708"/>
        <w:jc w:val="both"/>
        <w:rPr>
          <w:rFonts w:ascii="Abadi" w:hAnsi="Abadi" w:cs="Arial"/>
          <w:sz w:val="21"/>
          <w:szCs w:val="21"/>
          <w:lang w:val="es-MX" w:eastAsia="x-none"/>
        </w:rPr>
      </w:pPr>
    </w:p>
    <w:p w14:paraId="772D85EF" w14:textId="77777777" w:rsidR="001E4B86" w:rsidRPr="00D148DC" w:rsidRDefault="001E4B86" w:rsidP="001E4B86">
      <w:pPr>
        <w:ind w:firstLine="708"/>
        <w:jc w:val="both"/>
        <w:rPr>
          <w:rFonts w:ascii="Abadi" w:hAnsi="Abadi" w:cs="Arial"/>
          <w:sz w:val="21"/>
          <w:szCs w:val="21"/>
          <w:lang w:val="es-MX" w:eastAsia="x-none"/>
        </w:rPr>
      </w:pPr>
      <w:r w:rsidRPr="00D148DC">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D148DC">
        <w:rPr>
          <w:rFonts w:ascii="Abadi" w:hAnsi="Abadi" w:cs="Arial"/>
          <w:sz w:val="21"/>
          <w:szCs w:val="21"/>
          <w:lang w:val="es-MX" w:eastAsia="x-none"/>
        </w:rPr>
        <w:t>fiscalizado</w:t>
      </w:r>
      <w:proofErr w:type="spellEnd"/>
      <w:r w:rsidRPr="00D148DC">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28780CAC" w14:textId="77777777" w:rsidR="001E4B86" w:rsidRPr="00D148DC" w:rsidRDefault="001E4B86" w:rsidP="001E4B86">
      <w:pPr>
        <w:ind w:firstLine="708"/>
        <w:jc w:val="both"/>
        <w:rPr>
          <w:rFonts w:ascii="Abadi" w:hAnsi="Abadi" w:cs="Arial"/>
          <w:sz w:val="21"/>
          <w:szCs w:val="21"/>
          <w:lang w:val="es-MX" w:eastAsia="x-none"/>
        </w:rPr>
      </w:pPr>
    </w:p>
    <w:p w14:paraId="208AFD3A"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El 30 de junio de 2022 se notificó al presidente municipal de Xichú, </w:t>
      </w:r>
      <w:proofErr w:type="spellStart"/>
      <w:r w:rsidRPr="00D148DC">
        <w:rPr>
          <w:rFonts w:ascii="Abadi" w:hAnsi="Abadi" w:cs="Arial"/>
          <w:sz w:val="21"/>
          <w:szCs w:val="21"/>
        </w:rPr>
        <w:t>Gto</w:t>
      </w:r>
      <w:proofErr w:type="spellEnd"/>
      <w:r w:rsidRPr="00D148DC">
        <w:rPr>
          <w:rFonts w:ascii="Abadi" w:hAnsi="Abadi" w:cs="Arial"/>
          <w:sz w:val="21"/>
          <w:szCs w:val="21"/>
        </w:rPr>
        <w:t>., la orden de inicio del procedimiento de revisión de la cuenta pública.</w:t>
      </w:r>
    </w:p>
    <w:p w14:paraId="0F214C47" w14:textId="77777777" w:rsidR="001E4B86" w:rsidRPr="00D148DC" w:rsidRDefault="001E4B86" w:rsidP="001E4B86">
      <w:pPr>
        <w:ind w:firstLine="708"/>
        <w:jc w:val="both"/>
        <w:rPr>
          <w:rFonts w:ascii="Abadi" w:hAnsi="Abadi" w:cs="Arial"/>
          <w:sz w:val="21"/>
          <w:szCs w:val="21"/>
        </w:rPr>
      </w:pPr>
    </w:p>
    <w:p w14:paraId="0B77E7BC"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El 28 de noviembre de 2022 se notificó al presidente municipal de Xichú, </w:t>
      </w:r>
      <w:proofErr w:type="spellStart"/>
      <w:r w:rsidRPr="00D148DC">
        <w:rPr>
          <w:rFonts w:ascii="Abadi" w:hAnsi="Abadi" w:cs="Arial"/>
          <w:sz w:val="21"/>
          <w:szCs w:val="21"/>
        </w:rPr>
        <w:t>Gto</w:t>
      </w:r>
      <w:proofErr w:type="spellEnd"/>
      <w:r w:rsidRPr="00D148DC">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1201C3A8" w14:textId="77777777" w:rsidR="001E4B86" w:rsidRPr="00D148DC" w:rsidRDefault="001E4B86" w:rsidP="001E4B86">
      <w:pPr>
        <w:ind w:firstLine="708"/>
        <w:jc w:val="both"/>
        <w:rPr>
          <w:rFonts w:ascii="Abadi" w:hAnsi="Abadi" w:cs="Arial"/>
          <w:sz w:val="21"/>
          <w:szCs w:val="21"/>
        </w:rPr>
      </w:pPr>
    </w:p>
    <w:p w14:paraId="68BBCBE3"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Posteriormente, el 8 de febrero de 2023, se notificó al presidente y a la ex presidenta municipales de Xichú, </w:t>
      </w:r>
      <w:proofErr w:type="spellStart"/>
      <w:r w:rsidRPr="00D148DC">
        <w:rPr>
          <w:rFonts w:ascii="Abadi" w:hAnsi="Abadi" w:cs="Arial"/>
          <w:sz w:val="21"/>
          <w:szCs w:val="21"/>
        </w:rPr>
        <w:t>Gto</w:t>
      </w:r>
      <w:proofErr w:type="spellEnd"/>
      <w:r w:rsidRPr="00D148DC">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28 de febrero y 1 de marzo de 2023 respectivamente, por parte del presidente y la ex presidenta municipales de Xichú, </w:t>
      </w:r>
      <w:proofErr w:type="spellStart"/>
      <w:r w:rsidRPr="00D148DC">
        <w:rPr>
          <w:rFonts w:ascii="Abadi" w:hAnsi="Abadi" w:cs="Arial"/>
          <w:sz w:val="21"/>
          <w:szCs w:val="21"/>
        </w:rPr>
        <w:t>Gto</w:t>
      </w:r>
      <w:proofErr w:type="spellEnd"/>
      <w:r w:rsidRPr="00D148DC">
        <w:rPr>
          <w:rFonts w:ascii="Abadi" w:hAnsi="Abadi" w:cs="Arial"/>
          <w:sz w:val="21"/>
          <w:szCs w:val="21"/>
        </w:rPr>
        <w:t>.</w:t>
      </w:r>
    </w:p>
    <w:p w14:paraId="0789A4BA" w14:textId="77777777" w:rsidR="001E4B86" w:rsidRPr="00D148DC" w:rsidRDefault="001E4B86" w:rsidP="001E4B86">
      <w:pPr>
        <w:ind w:firstLine="708"/>
        <w:jc w:val="both"/>
        <w:rPr>
          <w:rFonts w:ascii="Abadi" w:hAnsi="Abadi" w:cs="Arial"/>
          <w:sz w:val="21"/>
          <w:szCs w:val="21"/>
        </w:rPr>
      </w:pPr>
    </w:p>
    <w:p w14:paraId="46811E34" w14:textId="77777777" w:rsidR="001E4B86" w:rsidRPr="000352B6" w:rsidRDefault="001E4B86" w:rsidP="001E4B86">
      <w:pPr>
        <w:pStyle w:val="Textoindependiente"/>
        <w:ind w:firstLine="708"/>
        <w:rPr>
          <w:rFonts w:ascii="Abadi" w:hAnsi="Abadi"/>
          <w:b w:val="0"/>
          <w:bCs w:val="0"/>
          <w:sz w:val="21"/>
          <w:szCs w:val="21"/>
        </w:rPr>
      </w:pPr>
      <w:r w:rsidRPr="00D148DC">
        <w:rPr>
          <w:rFonts w:ascii="Abadi" w:hAnsi="Abadi"/>
          <w:sz w:val="21"/>
          <w:szCs w:val="21"/>
        </w:rPr>
        <w:t xml:space="preserve">El 7 de marzo de 2023, el informe de resultados se notificó al presidente y a la ex presidenta municipales de Xichú, </w:t>
      </w:r>
      <w:proofErr w:type="spellStart"/>
      <w:r w:rsidRPr="00D148DC">
        <w:rPr>
          <w:rFonts w:ascii="Abadi" w:hAnsi="Abadi"/>
          <w:sz w:val="21"/>
          <w:szCs w:val="21"/>
        </w:rPr>
        <w:t>Gto</w:t>
      </w:r>
      <w:proofErr w:type="spellEnd"/>
      <w:r w:rsidRPr="00D148DC">
        <w:rPr>
          <w:rFonts w:ascii="Abadi" w:hAnsi="Abadi"/>
          <w:sz w:val="21"/>
          <w:szCs w:val="21"/>
        </w:rPr>
        <w:t xml:space="preserve">., para </w:t>
      </w:r>
      <w:r w:rsidRPr="000352B6">
        <w:rPr>
          <w:rFonts w:ascii="Abadi" w:hAnsi="Abadi"/>
          <w:b w:val="0"/>
          <w:bCs w:val="0"/>
          <w:sz w:val="21"/>
          <w:szCs w:val="21"/>
        </w:rPr>
        <w:t xml:space="preserve">que, en su caso, hicieran valer el recurso de reconsideración previsto por los artículos del 48 al 55 de </w:t>
      </w:r>
      <w:smartTag w:uri="urn:schemas-microsoft-com:office:smarttags" w:element="PersonName">
        <w:smartTagPr>
          <w:attr w:name="ProductID" w:val="la Ley"/>
        </w:smartTagPr>
        <w:r w:rsidRPr="000352B6">
          <w:rPr>
            <w:rFonts w:ascii="Abadi" w:hAnsi="Abadi"/>
            <w:b w:val="0"/>
            <w:bCs w:val="0"/>
            <w:sz w:val="21"/>
            <w:szCs w:val="21"/>
          </w:rPr>
          <w:t>la Ley</w:t>
        </w:r>
      </w:smartTag>
      <w:r w:rsidRPr="000352B6">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270984A" w14:textId="77777777" w:rsidR="001E4B86" w:rsidRPr="00D148DC" w:rsidRDefault="001E4B86" w:rsidP="001E4B86">
      <w:pPr>
        <w:pStyle w:val="Textoindependiente"/>
        <w:ind w:firstLine="708"/>
        <w:rPr>
          <w:rFonts w:ascii="Abadi" w:hAnsi="Abadi"/>
          <w:sz w:val="21"/>
          <w:szCs w:val="21"/>
        </w:rPr>
      </w:pPr>
    </w:p>
    <w:p w14:paraId="148F4233" w14:textId="77777777"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lastRenderedPageBreak/>
        <w:t xml:space="preserve">El 14 de marzo de 2023, dentro del plazo que prevé la fracción IV del artículo 37 de </w:t>
      </w:r>
      <w:smartTag w:uri="urn:schemas-microsoft-com:office:smarttags" w:element="PersonName">
        <w:smartTagPr>
          <w:attr w:name="ProductID" w:val="la Ley"/>
        </w:smartTagPr>
        <w:r w:rsidRPr="009A32BC">
          <w:rPr>
            <w:rFonts w:ascii="Abadi" w:hAnsi="Abadi"/>
            <w:b w:val="0"/>
            <w:bCs w:val="0"/>
            <w:sz w:val="21"/>
            <w:szCs w:val="21"/>
          </w:rPr>
          <w:t>la Ley</w:t>
        </w:r>
      </w:smartTag>
      <w:r w:rsidRPr="009A32BC">
        <w:rPr>
          <w:rFonts w:ascii="Abadi" w:hAnsi="Abadi"/>
          <w:b w:val="0"/>
          <w:bCs w:val="0"/>
          <w:sz w:val="21"/>
          <w:szCs w:val="21"/>
        </w:rPr>
        <w:t xml:space="preserve"> de Fiscalización Superior del Estado de Guanajuato, la ex presidenta municipal de Xichú, </w:t>
      </w:r>
      <w:proofErr w:type="spellStart"/>
      <w:r w:rsidRPr="009A32BC">
        <w:rPr>
          <w:rFonts w:ascii="Abadi" w:hAnsi="Abadi"/>
          <w:b w:val="0"/>
          <w:bCs w:val="0"/>
          <w:sz w:val="21"/>
          <w:szCs w:val="21"/>
        </w:rPr>
        <w:t>Gto</w:t>
      </w:r>
      <w:proofErr w:type="spellEnd"/>
      <w:r w:rsidRPr="009A32B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9A32BC">
          <w:rPr>
            <w:rFonts w:ascii="Abadi" w:hAnsi="Abadi"/>
            <w:b w:val="0"/>
            <w:bCs w:val="0"/>
            <w:sz w:val="21"/>
            <w:szCs w:val="21"/>
          </w:rPr>
          <w:t>la Ley</w:t>
        </w:r>
      </w:smartTag>
      <w:r w:rsidRPr="009A32BC">
        <w:rPr>
          <w:rFonts w:ascii="Abadi" w:hAnsi="Abadi"/>
          <w:b w:val="0"/>
          <w:bCs w:val="0"/>
          <w:sz w:val="21"/>
          <w:szCs w:val="21"/>
        </w:rPr>
        <w:t xml:space="preserve"> de Fiscalización Superior del Estado de Guanajuato.</w:t>
      </w:r>
    </w:p>
    <w:p w14:paraId="56EB66E8" w14:textId="77777777" w:rsidR="001E4B86" w:rsidRPr="009A32BC" w:rsidRDefault="001E4B86" w:rsidP="001E4B86">
      <w:pPr>
        <w:ind w:firstLine="708"/>
        <w:jc w:val="both"/>
        <w:rPr>
          <w:rFonts w:ascii="Abadi" w:hAnsi="Abadi"/>
          <w:sz w:val="21"/>
          <w:szCs w:val="21"/>
        </w:rPr>
      </w:pPr>
    </w:p>
    <w:p w14:paraId="1FD7BDF5" w14:textId="77777777"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t xml:space="preserve">Una vez tramitado el recurso, el Auditor Superior el 17 de marzo de 2023 emitió la resolución correspondiente, a la cual haremos referencia en un apartado posterior, misma que se notificó a la ex presidenta municipal de Xichú, </w:t>
      </w:r>
      <w:proofErr w:type="spellStart"/>
      <w:r w:rsidRPr="009A32BC">
        <w:rPr>
          <w:rFonts w:ascii="Abadi" w:hAnsi="Abadi"/>
          <w:b w:val="0"/>
          <w:bCs w:val="0"/>
          <w:sz w:val="21"/>
          <w:szCs w:val="21"/>
        </w:rPr>
        <w:t>Gto</w:t>
      </w:r>
      <w:proofErr w:type="spellEnd"/>
      <w:r w:rsidRPr="009A32BC">
        <w:rPr>
          <w:rFonts w:ascii="Abadi" w:hAnsi="Abadi"/>
          <w:b w:val="0"/>
          <w:bCs w:val="0"/>
          <w:sz w:val="21"/>
          <w:szCs w:val="21"/>
        </w:rPr>
        <w:t>., el 28 de marzo de 2023.</w:t>
      </w:r>
    </w:p>
    <w:p w14:paraId="329F1428" w14:textId="77777777" w:rsidR="001E4B86" w:rsidRPr="00D148DC" w:rsidRDefault="001E4B86" w:rsidP="001E4B86">
      <w:pPr>
        <w:ind w:firstLine="708"/>
        <w:jc w:val="both"/>
        <w:rPr>
          <w:rFonts w:ascii="Abadi" w:hAnsi="Abadi" w:cs="Arial"/>
          <w:bCs/>
          <w:sz w:val="21"/>
          <w:szCs w:val="21"/>
        </w:rPr>
      </w:pPr>
    </w:p>
    <w:p w14:paraId="1BD50632" w14:textId="77777777" w:rsidR="001E4B86" w:rsidRPr="009A32BC" w:rsidRDefault="001E4B86" w:rsidP="001E4B86">
      <w:pPr>
        <w:pStyle w:val="Textoindependiente"/>
        <w:ind w:firstLine="708"/>
        <w:rPr>
          <w:rFonts w:ascii="Abadi" w:hAnsi="Abadi"/>
          <w:sz w:val="21"/>
          <w:szCs w:val="21"/>
        </w:rPr>
      </w:pPr>
      <w:r w:rsidRPr="009A32BC">
        <w:rPr>
          <w:rFonts w:ascii="Abadi" w:hAnsi="Abadi"/>
          <w:sz w:val="21"/>
          <w:szCs w:val="21"/>
        </w:rPr>
        <w:t>IV. Contenido del Informe de Resultados:</w:t>
      </w:r>
    </w:p>
    <w:p w14:paraId="565B6077" w14:textId="77777777" w:rsidR="001E4B86" w:rsidRPr="009A32BC" w:rsidRDefault="001E4B86" w:rsidP="001E4B86">
      <w:pPr>
        <w:pStyle w:val="Textoindependiente"/>
        <w:rPr>
          <w:rFonts w:ascii="Abadi" w:hAnsi="Abadi"/>
          <w:sz w:val="21"/>
          <w:szCs w:val="21"/>
        </w:rPr>
      </w:pPr>
    </w:p>
    <w:p w14:paraId="0A9086D5" w14:textId="77777777" w:rsidR="001E4B86" w:rsidRPr="009A32BC" w:rsidRDefault="001E4B86" w:rsidP="001E4B86">
      <w:pPr>
        <w:pStyle w:val="Textoindependiente"/>
        <w:rPr>
          <w:rFonts w:ascii="Abadi" w:hAnsi="Abadi"/>
          <w:b w:val="0"/>
          <w:sz w:val="21"/>
          <w:szCs w:val="21"/>
        </w:rPr>
      </w:pPr>
      <w:r w:rsidRPr="00D148DC">
        <w:rPr>
          <w:rFonts w:ascii="Abadi" w:hAnsi="Abadi"/>
          <w:b w:val="0"/>
          <w:bCs w:val="0"/>
          <w:sz w:val="21"/>
          <w:szCs w:val="21"/>
        </w:rPr>
        <w:tab/>
      </w:r>
      <w:r w:rsidRPr="009A32BC">
        <w:rPr>
          <w:rFonts w:ascii="Abadi" w:hAnsi="Abadi"/>
          <w:b w:val="0"/>
          <w:sz w:val="21"/>
          <w:szCs w:val="21"/>
        </w:rPr>
        <w:t>En cumplimiento a lo establecido por el artículo 37, fracción III de la Ley de Fiscalización Superior del Estado, el informe de resultados contiene los siguientes apartados:</w:t>
      </w:r>
    </w:p>
    <w:p w14:paraId="6591456F" w14:textId="77777777" w:rsidR="001E4B86" w:rsidRPr="00D148DC" w:rsidRDefault="001E4B86" w:rsidP="001E4B86">
      <w:pPr>
        <w:pStyle w:val="Textoindependiente"/>
        <w:rPr>
          <w:rFonts w:ascii="Abadi" w:hAnsi="Abadi"/>
          <w:sz w:val="21"/>
          <w:szCs w:val="21"/>
        </w:rPr>
      </w:pPr>
    </w:p>
    <w:p w14:paraId="1121AC09" w14:textId="77777777" w:rsidR="001E4B86" w:rsidRPr="009A32BC" w:rsidRDefault="001E4B86" w:rsidP="00427BD6">
      <w:pPr>
        <w:pStyle w:val="Textoindependiente"/>
        <w:numPr>
          <w:ilvl w:val="0"/>
          <w:numId w:val="9"/>
        </w:numPr>
        <w:autoSpaceDE/>
        <w:autoSpaceDN/>
        <w:rPr>
          <w:rFonts w:ascii="Abadi" w:hAnsi="Abadi"/>
          <w:sz w:val="21"/>
          <w:szCs w:val="21"/>
        </w:rPr>
      </w:pPr>
      <w:r w:rsidRPr="009A32BC">
        <w:rPr>
          <w:rFonts w:ascii="Abadi" w:hAnsi="Abadi"/>
          <w:sz w:val="21"/>
          <w:szCs w:val="21"/>
        </w:rPr>
        <w:t>Introducción.</w:t>
      </w:r>
    </w:p>
    <w:p w14:paraId="53D1A0A6" w14:textId="77777777" w:rsidR="001E4B86" w:rsidRPr="00D148DC" w:rsidRDefault="001E4B86" w:rsidP="001E4B86">
      <w:pPr>
        <w:pStyle w:val="Textoindependiente"/>
        <w:ind w:left="705"/>
        <w:rPr>
          <w:rFonts w:ascii="Abadi" w:hAnsi="Abadi"/>
          <w:b w:val="0"/>
          <w:bCs w:val="0"/>
          <w:sz w:val="21"/>
          <w:szCs w:val="21"/>
        </w:rPr>
      </w:pPr>
    </w:p>
    <w:p w14:paraId="2C0CCFCE"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028CE0F7" w14:textId="77777777" w:rsidR="001E4B86" w:rsidRPr="00D148DC" w:rsidRDefault="001E4B86" w:rsidP="001E4B86">
      <w:pPr>
        <w:pStyle w:val="Textoindependiente"/>
        <w:ind w:firstLine="705"/>
        <w:rPr>
          <w:rFonts w:ascii="Abadi" w:hAnsi="Abadi"/>
          <w:sz w:val="21"/>
          <w:szCs w:val="21"/>
        </w:rPr>
      </w:pPr>
    </w:p>
    <w:p w14:paraId="719F1003"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7E362A57" w14:textId="77777777" w:rsidR="001E4B86" w:rsidRPr="009A32BC" w:rsidRDefault="001E4B86" w:rsidP="001E4B86">
      <w:pPr>
        <w:pStyle w:val="Textoindependiente"/>
        <w:ind w:firstLine="705"/>
        <w:rPr>
          <w:rFonts w:ascii="Abadi" w:hAnsi="Abadi"/>
          <w:b w:val="0"/>
          <w:bCs w:val="0"/>
          <w:sz w:val="21"/>
          <w:szCs w:val="21"/>
        </w:rPr>
      </w:pPr>
    </w:p>
    <w:p w14:paraId="7F03480F"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3BF05C6A" w14:textId="77777777" w:rsidR="001E4B86" w:rsidRPr="009A32BC" w:rsidRDefault="001E4B86" w:rsidP="001E4B86">
      <w:pPr>
        <w:jc w:val="both"/>
        <w:rPr>
          <w:rFonts w:ascii="Abadi" w:hAnsi="Abadi" w:cs="Arial"/>
          <w:i/>
          <w:iCs/>
          <w:sz w:val="21"/>
          <w:szCs w:val="21"/>
          <w:lang w:eastAsia="x-none"/>
        </w:rPr>
      </w:pPr>
    </w:p>
    <w:p w14:paraId="0F1616D1" w14:textId="77777777" w:rsidR="001E4B86" w:rsidRPr="00D148DC" w:rsidRDefault="001E4B86" w:rsidP="001E4B86">
      <w:pPr>
        <w:jc w:val="both"/>
        <w:rPr>
          <w:rFonts w:ascii="Abadi" w:hAnsi="Abadi" w:cs="Arial"/>
          <w:i/>
          <w:iCs/>
          <w:sz w:val="21"/>
          <w:szCs w:val="21"/>
          <w:lang w:eastAsia="x-none"/>
        </w:rPr>
      </w:pPr>
      <w:r w:rsidRPr="00D148DC">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D760E44" w14:textId="77777777" w:rsidR="001E4B86" w:rsidRPr="00D148DC" w:rsidRDefault="001E4B86" w:rsidP="001E4B86">
      <w:pPr>
        <w:rPr>
          <w:rFonts w:ascii="Abadi" w:hAnsi="Abadi" w:cs="Arial"/>
          <w:i/>
          <w:iCs/>
          <w:sz w:val="21"/>
          <w:szCs w:val="21"/>
          <w:lang w:eastAsia="x-none"/>
        </w:rPr>
      </w:pPr>
    </w:p>
    <w:p w14:paraId="150E2557" w14:textId="77777777" w:rsidR="001E4B86" w:rsidRPr="00D148DC" w:rsidRDefault="001E4B86" w:rsidP="001E4B86">
      <w:pPr>
        <w:jc w:val="both"/>
        <w:rPr>
          <w:rFonts w:ascii="Abadi" w:hAnsi="Abadi" w:cs="Arial"/>
          <w:i/>
          <w:iCs/>
          <w:sz w:val="21"/>
          <w:szCs w:val="21"/>
          <w:lang w:eastAsia="x-none"/>
        </w:rPr>
      </w:pPr>
      <w:r w:rsidRPr="00D148DC">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ABB3DE4" w14:textId="77777777" w:rsidR="001E4B86" w:rsidRPr="00D148DC" w:rsidRDefault="001E4B86" w:rsidP="001E4B86">
      <w:pPr>
        <w:jc w:val="both"/>
        <w:rPr>
          <w:rFonts w:ascii="Abadi" w:hAnsi="Abadi" w:cs="Arial"/>
          <w:i/>
          <w:iCs/>
          <w:sz w:val="21"/>
          <w:szCs w:val="21"/>
          <w:lang w:eastAsia="x-none"/>
        </w:rPr>
      </w:pPr>
    </w:p>
    <w:p w14:paraId="5C423203" w14:textId="77777777" w:rsidR="001E4B86" w:rsidRPr="00D148DC" w:rsidRDefault="001E4B86" w:rsidP="001E4B86">
      <w:pPr>
        <w:jc w:val="both"/>
        <w:rPr>
          <w:rFonts w:ascii="Abadi" w:hAnsi="Abadi" w:cs="Arial"/>
          <w:i/>
          <w:iCs/>
          <w:sz w:val="21"/>
          <w:szCs w:val="21"/>
          <w:lang w:eastAsia="x-none"/>
        </w:rPr>
      </w:pPr>
      <w:r w:rsidRPr="00D148DC">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285834A" w14:textId="77777777" w:rsidR="001E4B86" w:rsidRPr="00D148DC" w:rsidRDefault="001E4B86" w:rsidP="001E4B86">
      <w:pPr>
        <w:jc w:val="both"/>
        <w:rPr>
          <w:rFonts w:ascii="Abadi" w:hAnsi="Abadi" w:cs="Arial"/>
          <w:i/>
          <w:iCs/>
          <w:sz w:val="21"/>
          <w:szCs w:val="21"/>
          <w:lang w:eastAsia="x-none"/>
        </w:rPr>
      </w:pPr>
    </w:p>
    <w:p w14:paraId="070AA4CC" w14:textId="77777777" w:rsidR="001E4B86" w:rsidRPr="00D148DC" w:rsidRDefault="001E4B86" w:rsidP="001E4B86">
      <w:pPr>
        <w:ind w:firstLine="705"/>
        <w:jc w:val="both"/>
        <w:rPr>
          <w:rFonts w:ascii="Abadi" w:hAnsi="Abadi" w:cs="Arial"/>
          <w:sz w:val="21"/>
          <w:szCs w:val="21"/>
          <w:lang w:eastAsia="x-none"/>
        </w:rPr>
      </w:pPr>
      <w:r w:rsidRPr="00D148DC">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D148DC">
        <w:rPr>
          <w:rFonts w:ascii="Abadi" w:hAnsi="Abadi" w:cs="Arial"/>
          <w:sz w:val="21"/>
          <w:szCs w:val="21"/>
          <w:lang w:eastAsia="x-none"/>
        </w:rPr>
        <w:t>fiscalizado</w:t>
      </w:r>
      <w:proofErr w:type="spellEnd"/>
      <w:r w:rsidRPr="00D148DC">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D148DC">
        <w:rPr>
          <w:rFonts w:ascii="Abadi" w:hAnsi="Abadi" w:cs="Arial"/>
          <w:i/>
          <w:iCs/>
          <w:sz w:val="21"/>
          <w:szCs w:val="21"/>
          <w:lang w:eastAsia="x-none"/>
        </w:rPr>
        <w:t>«Definitivos»,</w:t>
      </w:r>
      <w:r w:rsidRPr="00D148DC">
        <w:rPr>
          <w:rFonts w:ascii="Abadi" w:hAnsi="Abadi" w:cs="Arial"/>
          <w:sz w:val="21"/>
          <w:szCs w:val="21"/>
          <w:lang w:eastAsia="x-none"/>
        </w:rPr>
        <w:t xml:space="preserve"> emitidas por el Servicio de Administración Tributaria.</w:t>
      </w:r>
    </w:p>
    <w:p w14:paraId="3E60E3C7" w14:textId="77777777" w:rsidR="001E4B86" w:rsidRPr="00D148DC" w:rsidRDefault="001E4B86" w:rsidP="001E4B86">
      <w:pPr>
        <w:pStyle w:val="Textoindependiente"/>
        <w:ind w:firstLine="705"/>
        <w:rPr>
          <w:rFonts w:ascii="Abadi" w:hAnsi="Abadi"/>
          <w:sz w:val="21"/>
          <w:szCs w:val="21"/>
        </w:rPr>
      </w:pPr>
    </w:p>
    <w:p w14:paraId="260F0F94" w14:textId="77777777" w:rsidR="001E4B86" w:rsidRPr="00D148DC" w:rsidRDefault="001E4B86" w:rsidP="001E4B86">
      <w:pPr>
        <w:ind w:firstLine="705"/>
        <w:jc w:val="both"/>
        <w:rPr>
          <w:rFonts w:ascii="Abadi" w:hAnsi="Abadi" w:cs="Arial"/>
          <w:sz w:val="21"/>
          <w:szCs w:val="21"/>
          <w:lang w:eastAsia="x-none"/>
        </w:rPr>
      </w:pPr>
      <w:r w:rsidRPr="00D148DC">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D148DC">
        <w:rPr>
          <w:rFonts w:ascii="Abadi" w:hAnsi="Abadi" w:cs="Arial"/>
          <w:sz w:val="21"/>
          <w:szCs w:val="21"/>
          <w:lang w:eastAsia="x-none"/>
        </w:rPr>
        <w:t>fiscalizado</w:t>
      </w:r>
      <w:proofErr w:type="spellEnd"/>
      <w:r w:rsidRPr="00D148DC">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w:t>
      </w:r>
      <w:r w:rsidRPr="00D148DC">
        <w:rPr>
          <w:rFonts w:ascii="Abadi" w:hAnsi="Abadi" w:cs="Arial"/>
          <w:sz w:val="21"/>
          <w:szCs w:val="21"/>
          <w:lang w:eastAsia="x-none"/>
        </w:rPr>
        <w:lastRenderedPageBreak/>
        <w:t>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AD562C7" w14:textId="77777777" w:rsidR="001E4B86" w:rsidRPr="00D148DC" w:rsidRDefault="001E4B86" w:rsidP="001E4B86">
      <w:pPr>
        <w:ind w:firstLine="705"/>
        <w:jc w:val="both"/>
        <w:rPr>
          <w:rFonts w:ascii="Abadi" w:hAnsi="Abadi" w:cs="Arial"/>
          <w:sz w:val="21"/>
          <w:szCs w:val="21"/>
          <w:lang w:eastAsia="x-none"/>
        </w:rPr>
      </w:pPr>
    </w:p>
    <w:p w14:paraId="573B471B" w14:textId="77777777" w:rsidR="001E4B86" w:rsidRPr="00D148DC" w:rsidRDefault="001E4B86" w:rsidP="001E4B86">
      <w:pPr>
        <w:ind w:firstLine="705"/>
        <w:jc w:val="both"/>
        <w:rPr>
          <w:rFonts w:ascii="Abadi" w:hAnsi="Abadi" w:cs="Arial"/>
          <w:sz w:val="21"/>
          <w:szCs w:val="21"/>
          <w:lang w:val="es-MX" w:eastAsia="x-none"/>
        </w:rPr>
      </w:pPr>
      <w:r w:rsidRPr="00D148DC">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D148DC">
        <w:rPr>
          <w:rFonts w:ascii="Abadi" w:hAnsi="Abadi" w:cs="Arial"/>
          <w:sz w:val="21"/>
          <w:szCs w:val="21"/>
          <w:lang w:val="es-MX" w:eastAsia="x-none"/>
        </w:rPr>
        <w:t>fiscalizado</w:t>
      </w:r>
      <w:proofErr w:type="spellEnd"/>
      <w:r w:rsidRPr="00D148DC">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D148DC">
        <w:rPr>
          <w:rFonts w:ascii="Abadi" w:hAnsi="Abadi" w:cs="Arial"/>
          <w:sz w:val="21"/>
          <w:szCs w:val="21"/>
          <w:lang w:val="es-MX" w:eastAsia="x-none"/>
        </w:rPr>
        <w:t>fiscalizado</w:t>
      </w:r>
      <w:proofErr w:type="spellEnd"/>
      <w:r w:rsidRPr="00D148DC">
        <w:rPr>
          <w:rFonts w:ascii="Abadi" w:hAnsi="Abadi" w:cs="Arial"/>
          <w:sz w:val="21"/>
          <w:szCs w:val="21"/>
          <w:lang w:val="es-MX" w:eastAsia="x-none"/>
        </w:rPr>
        <w:t>.</w:t>
      </w:r>
    </w:p>
    <w:p w14:paraId="1823B658" w14:textId="77777777" w:rsidR="001E4B86" w:rsidRPr="00D148DC" w:rsidRDefault="001E4B86" w:rsidP="001E4B86">
      <w:pPr>
        <w:ind w:firstLine="705"/>
        <w:jc w:val="both"/>
        <w:rPr>
          <w:rFonts w:ascii="Abadi" w:hAnsi="Abadi" w:cs="Arial"/>
          <w:sz w:val="21"/>
          <w:szCs w:val="21"/>
          <w:lang w:val="es-MX" w:eastAsia="x-none"/>
        </w:rPr>
      </w:pPr>
    </w:p>
    <w:p w14:paraId="2D171826" w14:textId="77777777" w:rsidR="001E4B86" w:rsidRPr="00D148DC" w:rsidRDefault="001E4B86" w:rsidP="001E4B86">
      <w:pPr>
        <w:ind w:firstLine="705"/>
        <w:jc w:val="both"/>
        <w:rPr>
          <w:rFonts w:ascii="Abadi" w:hAnsi="Abadi" w:cs="Arial"/>
          <w:sz w:val="21"/>
          <w:szCs w:val="21"/>
          <w:lang w:val="es-MX" w:eastAsia="x-none"/>
        </w:rPr>
      </w:pPr>
      <w:r w:rsidRPr="00D148DC">
        <w:rPr>
          <w:rFonts w:ascii="Abadi" w:hAnsi="Abadi" w:cs="Arial"/>
          <w:sz w:val="21"/>
          <w:szCs w:val="21"/>
          <w:lang w:val="es-MX" w:eastAsia="x-none"/>
        </w:rPr>
        <w:t xml:space="preserve">Cabe señalar que, a fin de fomentar la participación ciudadana, la Auditoría Superior del Estado cuenta con diversos mecanismos para recibir solicitudes, opiniones y quejas, relacionadas con hechos presuntamente irregulares en la captación, manejo y utilización de los recursos públicos, desvío de </w:t>
      </w:r>
      <w:r w:rsidRPr="00D148DC">
        <w:rPr>
          <w:rFonts w:ascii="Abadi" w:hAnsi="Abadi" w:cs="Arial"/>
          <w:sz w:val="21"/>
          <w:szCs w:val="21"/>
          <w:lang w:val="es-MX" w:eastAsia="x-none"/>
        </w:rPr>
        <w:t>recursos hacia fines distintos a lo autorizado, entre otros supuestos de procedencia. Derivado de lo cual no se recibieron solicitudes ciudadanas.</w:t>
      </w:r>
    </w:p>
    <w:p w14:paraId="6A063CE6" w14:textId="77777777" w:rsidR="001E4B86" w:rsidRPr="00D148DC" w:rsidRDefault="001E4B86" w:rsidP="001E4B86">
      <w:pPr>
        <w:ind w:firstLine="705"/>
        <w:jc w:val="both"/>
        <w:rPr>
          <w:rFonts w:ascii="Abadi" w:hAnsi="Abadi" w:cs="Arial"/>
          <w:sz w:val="21"/>
          <w:szCs w:val="21"/>
          <w:lang w:val="es-MX" w:eastAsia="x-none"/>
        </w:rPr>
      </w:pPr>
    </w:p>
    <w:p w14:paraId="0C5B2E42" w14:textId="77777777" w:rsidR="001E4B86" w:rsidRPr="00D148DC" w:rsidRDefault="001E4B86" w:rsidP="001E4B86">
      <w:pPr>
        <w:ind w:firstLine="705"/>
        <w:jc w:val="both"/>
        <w:rPr>
          <w:rFonts w:ascii="Abadi" w:hAnsi="Abadi" w:cs="Arial"/>
          <w:sz w:val="21"/>
          <w:szCs w:val="21"/>
          <w:lang w:val="es-MX" w:eastAsia="x-none"/>
        </w:rPr>
      </w:pPr>
      <w:r w:rsidRPr="00D148DC">
        <w:rPr>
          <w:rFonts w:ascii="Abadi" w:hAnsi="Abadi" w:cs="Arial"/>
          <w:sz w:val="21"/>
          <w:szCs w:val="21"/>
          <w:lang w:val="es-MX" w:eastAsia="x-none"/>
        </w:rPr>
        <w:t xml:space="preserve">Adicionalmente, se analizó el informe general del proceso de entrega recepción 2021 de la administración pública municipal de Xichú, </w:t>
      </w:r>
      <w:proofErr w:type="spellStart"/>
      <w:r w:rsidRPr="00D148DC">
        <w:rPr>
          <w:rFonts w:ascii="Abadi" w:hAnsi="Abadi" w:cs="Arial"/>
          <w:sz w:val="21"/>
          <w:szCs w:val="21"/>
          <w:lang w:val="es-MX" w:eastAsia="x-none"/>
        </w:rPr>
        <w:t>Gto</w:t>
      </w:r>
      <w:proofErr w:type="spellEnd"/>
      <w:r w:rsidRPr="00D148DC">
        <w:rPr>
          <w:rFonts w:ascii="Abadi" w:hAnsi="Abadi" w:cs="Arial"/>
          <w:sz w:val="21"/>
          <w:szCs w:val="21"/>
          <w:lang w:val="es-MX" w:eastAsia="x-none"/>
        </w:rPr>
        <w:t>., y en su caso se aplicaron los procedimientos de auditoría correspondientes.</w:t>
      </w:r>
    </w:p>
    <w:p w14:paraId="210A4044" w14:textId="77777777" w:rsidR="001E4B86" w:rsidRPr="00D148DC" w:rsidRDefault="001E4B86" w:rsidP="001E4B86">
      <w:pPr>
        <w:ind w:firstLine="705"/>
        <w:jc w:val="both"/>
        <w:rPr>
          <w:rFonts w:ascii="Abadi" w:hAnsi="Abadi" w:cs="Arial"/>
          <w:sz w:val="21"/>
          <w:szCs w:val="21"/>
          <w:lang w:val="es-MX" w:eastAsia="x-none"/>
        </w:rPr>
      </w:pPr>
    </w:p>
    <w:p w14:paraId="21504393" w14:textId="77777777" w:rsidR="001E4B86" w:rsidRPr="00D148DC" w:rsidRDefault="001E4B86" w:rsidP="001E4B86">
      <w:pPr>
        <w:ind w:firstLine="705"/>
        <w:jc w:val="both"/>
        <w:rPr>
          <w:rFonts w:ascii="Abadi" w:hAnsi="Abadi" w:cs="Arial"/>
          <w:sz w:val="21"/>
          <w:szCs w:val="21"/>
          <w:lang w:val="es-MX" w:eastAsia="x-none"/>
        </w:rPr>
      </w:pPr>
      <w:r w:rsidRPr="00D148DC">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Xichú, </w:t>
      </w:r>
      <w:proofErr w:type="spellStart"/>
      <w:r w:rsidRPr="00D148DC">
        <w:rPr>
          <w:rFonts w:ascii="Abadi" w:hAnsi="Abadi" w:cs="Arial"/>
          <w:sz w:val="21"/>
          <w:szCs w:val="21"/>
          <w:lang w:val="es-MX" w:eastAsia="x-none"/>
        </w:rPr>
        <w:t>Gto</w:t>
      </w:r>
      <w:proofErr w:type="spellEnd"/>
      <w:r w:rsidRPr="00D148DC">
        <w:rPr>
          <w:rFonts w:ascii="Abadi" w:hAnsi="Abadi" w:cs="Arial"/>
          <w:sz w:val="21"/>
          <w:szCs w:val="21"/>
          <w:lang w:val="es-MX" w:eastAsia="x-none"/>
        </w:rPr>
        <w:t>., respecto de los periodos comprendidos de enero a junio y de julio a diciembre del 2021, de acuerdo a lo establecido en el artículo 28, primer párrafo de la Ley de Fiscalización Superior del Estado de Guanajuato.</w:t>
      </w:r>
    </w:p>
    <w:p w14:paraId="1F3D3433" w14:textId="77777777" w:rsidR="001E4B86" w:rsidRPr="00D148DC" w:rsidRDefault="001E4B86" w:rsidP="001E4B86">
      <w:pPr>
        <w:ind w:firstLine="705"/>
        <w:jc w:val="both"/>
        <w:rPr>
          <w:rFonts w:ascii="Abadi" w:hAnsi="Abadi" w:cs="Arial"/>
          <w:sz w:val="21"/>
          <w:szCs w:val="21"/>
          <w:lang w:val="es-MX" w:eastAsia="x-none"/>
        </w:rPr>
      </w:pPr>
    </w:p>
    <w:p w14:paraId="0A083B2F" w14:textId="77777777" w:rsidR="001E4B86" w:rsidRPr="00D148DC" w:rsidRDefault="001E4B86" w:rsidP="001E4B86">
      <w:pPr>
        <w:ind w:firstLine="705"/>
        <w:jc w:val="both"/>
        <w:rPr>
          <w:rFonts w:ascii="Abadi" w:hAnsi="Abadi" w:cs="Arial"/>
          <w:sz w:val="21"/>
          <w:szCs w:val="21"/>
          <w:lang w:val="es-MX" w:eastAsia="x-none"/>
        </w:rPr>
      </w:pPr>
      <w:r w:rsidRPr="00D148DC">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Xichú, </w:t>
      </w:r>
      <w:proofErr w:type="spellStart"/>
      <w:r w:rsidRPr="00D148DC">
        <w:rPr>
          <w:rFonts w:ascii="Abadi" w:hAnsi="Abadi" w:cs="Arial"/>
          <w:sz w:val="21"/>
          <w:szCs w:val="21"/>
          <w:lang w:val="es-MX" w:eastAsia="x-none"/>
        </w:rPr>
        <w:t>Gto</w:t>
      </w:r>
      <w:proofErr w:type="spellEnd"/>
      <w:r w:rsidRPr="00D148DC">
        <w:rPr>
          <w:rFonts w:ascii="Abadi" w:hAnsi="Abadi" w:cs="Arial"/>
          <w:sz w:val="21"/>
          <w:szCs w:val="21"/>
          <w:lang w:val="es-MX" w:eastAsia="x-none"/>
        </w:rPr>
        <w:t xml:space="preserve">., no cumplió con las disposiciones normativas aplicables, como se precisa en el informe de resultados. </w:t>
      </w:r>
    </w:p>
    <w:p w14:paraId="78D32574" w14:textId="77777777" w:rsidR="001E4B86" w:rsidRPr="00D148DC" w:rsidRDefault="001E4B86" w:rsidP="001E4B86">
      <w:pPr>
        <w:ind w:firstLine="705"/>
        <w:jc w:val="both"/>
        <w:rPr>
          <w:rFonts w:ascii="Abadi" w:hAnsi="Abadi" w:cs="Arial"/>
          <w:sz w:val="21"/>
          <w:szCs w:val="21"/>
          <w:lang w:val="es-MX" w:eastAsia="x-none"/>
        </w:rPr>
      </w:pPr>
    </w:p>
    <w:p w14:paraId="5750D9DC"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mismas que no fueron solventadas. Asimismo, se formularon 2 recomendaciones que no se atendieron. </w:t>
      </w:r>
    </w:p>
    <w:p w14:paraId="53C2BD8A" w14:textId="77777777" w:rsidR="001E4B86" w:rsidRPr="009A32BC" w:rsidRDefault="001E4B86" w:rsidP="001E4B86">
      <w:pPr>
        <w:pStyle w:val="Textoindependiente"/>
        <w:ind w:firstLine="705"/>
        <w:rPr>
          <w:rFonts w:ascii="Abadi" w:hAnsi="Abadi"/>
          <w:b w:val="0"/>
          <w:bCs w:val="0"/>
          <w:sz w:val="21"/>
          <w:szCs w:val="21"/>
        </w:rPr>
      </w:pPr>
    </w:p>
    <w:p w14:paraId="0C9B1321"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w:t>
      </w:r>
      <w:r w:rsidRPr="009A32BC">
        <w:rPr>
          <w:rFonts w:ascii="Abadi" w:hAnsi="Abadi"/>
          <w:b w:val="0"/>
          <w:bCs w:val="0"/>
          <w:sz w:val="21"/>
          <w:szCs w:val="21"/>
        </w:rPr>
        <w:lastRenderedPageBreak/>
        <w:t xml:space="preserve">plasmadas en los numerales 003, 004 y 005, existen importes no solventados por la cuantía que ahí se refiere. </w:t>
      </w:r>
    </w:p>
    <w:p w14:paraId="34398905" w14:textId="77777777" w:rsidR="001E4B86" w:rsidRPr="009A32BC" w:rsidRDefault="001E4B86" w:rsidP="001E4B86">
      <w:pPr>
        <w:pStyle w:val="Textoindependiente"/>
        <w:ind w:firstLine="705"/>
        <w:rPr>
          <w:rFonts w:ascii="Abadi" w:hAnsi="Abadi"/>
          <w:b w:val="0"/>
          <w:bCs w:val="0"/>
          <w:sz w:val="21"/>
          <w:szCs w:val="21"/>
        </w:rPr>
      </w:pPr>
    </w:p>
    <w:p w14:paraId="1E4A48DB"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Xichú, </w:t>
      </w:r>
      <w:proofErr w:type="spellStart"/>
      <w:r w:rsidRPr="009A32BC">
        <w:rPr>
          <w:rFonts w:ascii="Abadi" w:hAnsi="Abadi"/>
          <w:b w:val="0"/>
          <w:bCs w:val="0"/>
          <w:sz w:val="21"/>
          <w:szCs w:val="21"/>
        </w:rPr>
        <w:t>Gto</w:t>
      </w:r>
      <w:proofErr w:type="spellEnd"/>
      <w:r w:rsidRPr="009A32BC">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9A32BC">
        <w:rPr>
          <w:rFonts w:ascii="Abadi" w:hAnsi="Abadi"/>
          <w:b w:val="0"/>
          <w:bCs w:val="0"/>
          <w:i/>
          <w:iCs/>
          <w:sz w:val="21"/>
          <w:szCs w:val="21"/>
        </w:rPr>
        <w:t>Definitivos»</w:t>
      </w:r>
      <w:r w:rsidRPr="009A32BC">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2D9AA57" w14:textId="77777777" w:rsidR="001E4B86" w:rsidRPr="009A32BC" w:rsidRDefault="001E4B86" w:rsidP="001E4B86">
      <w:pPr>
        <w:pStyle w:val="Textoindependiente"/>
        <w:ind w:firstLine="705"/>
        <w:rPr>
          <w:rFonts w:ascii="Abadi" w:hAnsi="Abadi"/>
          <w:b w:val="0"/>
          <w:bCs w:val="0"/>
          <w:sz w:val="21"/>
          <w:szCs w:val="21"/>
        </w:rPr>
      </w:pPr>
    </w:p>
    <w:p w14:paraId="1368889A" w14:textId="77777777" w:rsidR="001E4B86" w:rsidRPr="009A32BC" w:rsidRDefault="001E4B86" w:rsidP="00427BD6">
      <w:pPr>
        <w:pStyle w:val="Textoindependiente"/>
        <w:numPr>
          <w:ilvl w:val="0"/>
          <w:numId w:val="9"/>
        </w:numPr>
        <w:tabs>
          <w:tab w:val="clear" w:pos="1065"/>
          <w:tab w:val="num" w:pos="0"/>
        </w:tabs>
        <w:autoSpaceDE/>
        <w:autoSpaceDN/>
        <w:rPr>
          <w:rFonts w:ascii="Abadi" w:hAnsi="Abadi"/>
          <w:sz w:val="21"/>
          <w:szCs w:val="21"/>
        </w:rPr>
      </w:pPr>
      <w:r w:rsidRPr="009A32BC">
        <w:rPr>
          <w:rFonts w:ascii="Abadi" w:hAnsi="Abadi"/>
          <w:sz w:val="21"/>
          <w:szCs w:val="21"/>
        </w:rPr>
        <w:t xml:space="preserve">Observaciones y recomendaciones, la respuesta emitida por el sujeto fiscalizado y la valoración correspondiente. </w:t>
      </w:r>
    </w:p>
    <w:p w14:paraId="2C4D29E1" w14:textId="77777777" w:rsidR="001E4B86" w:rsidRPr="009A32BC" w:rsidRDefault="001E4B86" w:rsidP="001E4B86">
      <w:pPr>
        <w:pStyle w:val="Textoindependiente"/>
        <w:ind w:left="1065"/>
        <w:rPr>
          <w:rFonts w:ascii="Abadi" w:hAnsi="Abadi"/>
          <w:b w:val="0"/>
          <w:bCs w:val="0"/>
          <w:sz w:val="21"/>
          <w:szCs w:val="21"/>
        </w:rPr>
      </w:pPr>
    </w:p>
    <w:p w14:paraId="274C5D7A"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registros contables; 002, correspondiente a adquisición de terreno (1 de 2); 003, relativo a pago de 20 días por año laborado; 004, referido a</w:t>
      </w:r>
      <w:r w:rsidRPr="00D148DC">
        <w:rPr>
          <w:rFonts w:ascii="Abadi" w:hAnsi="Abadi"/>
          <w:sz w:val="21"/>
          <w:szCs w:val="21"/>
        </w:rPr>
        <w:t xml:space="preserve"> </w:t>
      </w:r>
      <w:r w:rsidRPr="009A32BC">
        <w:rPr>
          <w:rFonts w:ascii="Abadi" w:hAnsi="Abadi"/>
          <w:b w:val="0"/>
          <w:bCs w:val="0"/>
          <w:sz w:val="21"/>
          <w:szCs w:val="21"/>
        </w:rPr>
        <w:t xml:space="preserve">compensación a elementos de Seguridad Pública; y 005, referente a comisiones bancarias. </w:t>
      </w:r>
    </w:p>
    <w:p w14:paraId="37AAE8C3" w14:textId="77777777" w:rsidR="001E4B86" w:rsidRPr="00D148DC" w:rsidRDefault="001E4B86" w:rsidP="001E4B86">
      <w:pPr>
        <w:pStyle w:val="Textoindependiente"/>
        <w:ind w:firstLine="705"/>
        <w:rPr>
          <w:rFonts w:ascii="Abadi" w:hAnsi="Abadi"/>
          <w:sz w:val="21"/>
          <w:szCs w:val="21"/>
        </w:rPr>
      </w:pPr>
    </w:p>
    <w:p w14:paraId="32B059B5"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En el apartado de Recomendaciones Generales no se atendieron los numerales 001, correspondiente a emisión y timbrado de CFDI; y 002, relativo a trazo, deslinde y cercado de terreno (2 de 2).</w:t>
      </w:r>
    </w:p>
    <w:p w14:paraId="326E3891" w14:textId="77777777" w:rsidR="001E4B86" w:rsidRPr="00D148DC" w:rsidRDefault="001E4B86" w:rsidP="001E4B86">
      <w:pPr>
        <w:pStyle w:val="Textoindependiente"/>
        <w:ind w:firstLine="705"/>
        <w:rPr>
          <w:rFonts w:ascii="Abadi" w:hAnsi="Abadi"/>
          <w:sz w:val="21"/>
          <w:szCs w:val="21"/>
        </w:rPr>
      </w:pPr>
    </w:p>
    <w:p w14:paraId="497CD4EA" w14:textId="77777777" w:rsidR="001E4B86" w:rsidRPr="009A32BC" w:rsidRDefault="001E4B86" w:rsidP="00427BD6">
      <w:pPr>
        <w:pStyle w:val="Textoindependiente"/>
        <w:numPr>
          <w:ilvl w:val="0"/>
          <w:numId w:val="9"/>
        </w:numPr>
        <w:autoSpaceDE/>
        <w:autoSpaceDN/>
        <w:rPr>
          <w:rFonts w:ascii="Abadi" w:hAnsi="Abadi"/>
          <w:sz w:val="21"/>
          <w:szCs w:val="21"/>
        </w:rPr>
      </w:pPr>
      <w:r w:rsidRPr="009A32BC">
        <w:rPr>
          <w:rFonts w:ascii="Abadi" w:hAnsi="Abadi"/>
          <w:sz w:val="21"/>
          <w:szCs w:val="21"/>
        </w:rPr>
        <w:t xml:space="preserve">Promoción del ejercicio de facultades de comprobación fiscal. </w:t>
      </w:r>
    </w:p>
    <w:p w14:paraId="5500DE5D" w14:textId="77777777" w:rsidR="001E4B86" w:rsidRPr="00D148DC" w:rsidRDefault="001E4B86" w:rsidP="001E4B86">
      <w:pPr>
        <w:pStyle w:val="Textoindependiente"/>
        <w:ind w:firstLine="705"/>
        <w:rPr>
          <w:rFonts w:ascii="Abadi" w:hAnsi="Abadi"/>
          <w:sz w:val="21"/>
          <w:szCs w:val="21"/>
        </w:rPr>
      </w:pPr>
    </w:p>
    <w:p w14:paraId="1D5F68F5"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w:t>
      </w:r>
      <w:r w:rsidRPr="009A32BC">
        <w:rPr>
          <w:rFonts w:ascii="Abadi" w:hAnsi="Abadi"/>
          <w:b w:val="0"/>
          <w:bCs w:val="0"/>
          <w:sz w:val="21"/>
          <w:szCs w:val="21"/>
        </w:rPr>
        <w:t>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04A4A4E" w14:textId="77777777" w:rsidR="001E4B86" w:rsidRPr="00D148DC" w:rsidRDefault="001E4B86" w:rsidP="001E4B86">
      <w:pPr>
        <w:pStyle w:val="Textoindependiente"/>
        <w:ind w:firstLine="705"/>
        <w:rPr>
          <w:rFonts w:ascii="Abadi" w:hAnsi="Abadi"/>
          <w:sz w:val="21"/>
          <w:szCs w:val="21"/>
        </w:rPr>
      </w:pPr>
    </w:p>
    <w:p w14:paraId="6D11813A" w14:textId="77777777" w:rsidR="001E4B86" w:rsidRPr="009A32BC" w:rsidRDefault="001E4B86" w:rsidP="00427BD6">
      <w:pPr>
        <w:pStyle w:val="Textoindependiente"/>
        <w:numPr>
          <w:ilvl w:val="0"/>
          <w:numId w:val="9"/>
        </w:numPr>
        <w:autoSpaceDE/>
        <w:autoSpaceDN/>
        <w:rPr>
          <w:rFonts w:ascii="Abadi" w:hAnsi="Abadi"/>
          <w:sz w:val="21"/>
          <w:szCs w:val="21"/>
        </w:rPr>
      </w:pPr>
      <w:r w:rsidRPr="009A32BC">
        <w:rPr>
          <w:rFonts w:ascii="Abadi" w:hAnsi="Abadi"/>
          <w:sz w:val="21"/>
          <w:szCs w:val="21"/>
        </w:rPr>
        <w:t>Comunicado ante órganos de control y autoridades que administran padrones de proveedores y contratistas.</w:t>
      </w:r>
    </w:p>
    <w:p w14:paraId="539787AE" w14:textId="77777777" w:rsidR="001E4B86" w:rsidRPr="00D148DC" w:rsidRDefault="001E4B86" w:rsidP="001E4B86">
      <w:pPr>
        <w:pStyle w:val="Textoindependiente"/>
        <w:ind w:firstLine="705"/>
        <w:rPr>
          <w:rFonts w:ascii="Abadi" w:hAnsi="Abadi"/>
          <w:sz w:val="21"/>
          <w:szCs w:val="21"/>
        </w:rPr>
      </w:pPr>
    </w:p>
    <w:p w14:paraId="773CF08E"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77E56953" w14:textId="77777777" w:rsidR="001E4B86" w:rsidRPr="00D148DC" w:rsidRDefault="001E4B86" w:rsidP="001E4B86">
      <w:pPr>
        <w:pStyle w:val="Textoindependiente"/>
        <w:ind w:firstLine="705"/>
        <w:rPr>
          <w:rFonts w:ascii="Abadi" w:hAnsi="Abadi"/>
          <w:sz w:val="21"/>
          <w:szCs w:val="21"/>
        </w:rPr>
      </w:pPr>
    </w:p>
    <w:p w14:paraId="37068B2A" w14:textId="77777777" w:rsidR="001E4B86" w:rsidRPr="009A32BC" w:rsidRDefault="001E4B86" w:rsidP="00427BD6">
      <w:pPr>
        <w:pStyle w:val="Textoindependiente"/>
        <w:numPr>
          <w:ilvl w:val="0"/>
          <w:numId w:val="9"/>
        </w:numPr>
        <w:autoSpaceDE/>
        <w:autoSpaceDN/>
        <w:rPr>
          <w:rFonts w:ascii="Abadi" w:hAnsi="Abadi"/>
          <w:sz w:val="21"/>
          <w:szCs w:val="21"/>
        </w:rPr>
      </w:pPr>
      <w:r w:rsidRPr="009A32BC">
        <w:rPr>
          <w:rFonts w:ascii="Abadi" w:hAnsi="Abadi"/>
          <w:sz w:val="21"/>
          <w:szCs w:val="21"/>
        </w:rPr>
        <w:t xml:space="preserve">Recurso de Reconsideración. </w:t>
      </w:r>
    </w:p>
    <w:p w14:paraId="1115A766" w14:textId="77777777" w:rsidR="001E4B86" w:rsidRPr="00D148DC" w:rsidRDefault="001E4B86" w:rsidP="001E4B86">
      <w:pPr>
        <w:pStyle w:val="Textoindependiente"/>
        <w:ind w:left="705"/>
        <w:rPr>
          <w:rFonts w:ascii="Abadi" w:hAnsi="Abadi"/>
          <w:b w:val="0"/>
          <w:bCs w:val="0"/>
          <w:sz w:val="21"/>
          <w:szCs w:val="21"/>
        </w:rPr>
      </w:pPr>
    </w:p>
    <w:p w14:paraId="06C39F11"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El 14 de marzo de 2023, dentro del plazo que prevé la fracción IV del artículo 37 de </w:t>
      </w:r>
      <w:smartTag w:uri="urn:schemas-microsoft-com:office:smarttags" w:element="PersonName">
        <w:smartTagPr>
          <w:attr w:name="ProductID" w:val="la Ley"/>
        </w:smartTagPr>
        <w:r w:rsidRPr="009A32BC">
          <w:rPr>
            <w:rFonts w:ascii="Abadi" w:hAnsi="Abadi"/>
            <w:b w:val="0"/>
            <w:bCs w:val="0"/>
            <w:sz w:val="21"/>
            <w:szCs w:val="21"/>
          </w:rPr>
          <w:t>la Ley</w:t>
        </w:r>
      </w:smartTag>
      <w:r w:rsidRPr="009A32BC">
        <w:rPr>
          <w:rFonts w:ascii="Abadi" w:hAnsi="Abadi"/>
          <w:b w:val="0"/>
          <w:bCs w:val="0"/>
          <w:sz w:val="21"/>
          <w:szCs w:val="21"/>
        </w:rPr>
        <w:t xml:space="preserve"> de Fiscalización Superior del Estado de Guanajuato, la ex presidenta municipal de Xichú, </w:t>
      </w:r>
      <w:proofErr w:type="spellStart"/>
      <w:r w:rsidRPr="009A32BC">
        <w:rPr>
          <w:rFonts w:ascii="Abadi" w:hAnsi="Abadi"/>
          <w:b w:val="0"/>
          <w:bCs w:val="0"/>
          <w:sz w:val="21"/>
          <w:szCs w:val="21"/>
        </w:rPr>
        <w:t>Gto</w:t>
      </w:r>
      <w:proofErr w:type="spellEnd"/>
      <w:r w:rsidRPr="009A32BC">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002, correspondiente a adquisición de terreno (1 de 2); y 004, referido a compensación a elementos de Seguridad Pública; así como de la recomendación contenida en el numeral  002, relativo a trazo, deslinde y cercado de terreno (2 de 2), mismas que se encuentran </w:t>
      </w:r>
      <w:r w:rsidRPr="009A32BC">
        <w:rPr>
          <w:rFonts w:ascii="Abadi" w:hAnsi="Abadi"/>
          <w:b w:val="0"/>
          <w:bCs w:val="0"/>
          <w:sz w:val="21"/>
          <w:szCs w:val="21"/>
        </w:rPr>
        <w:lastRenderedPageBreak/>
        <w:t>relacionadas con el Capítulo II, denominado Observaciones y Recomendaciones; Respuesta Emitida por el Sujeto Fiscalizado y Valoración Correspondiente.</w:t>
      </w:r>
    </w:p>
    <w:p w14:paraId="19BA0CB2" w14:textId="77777777" w:rsidR="001E4B86" w:rsidRPr="009A32BC" w:rsidRDefault="001E4B86" w:rsidP="001E4B86">
      <w:pPr>
        <w:pStyle w:val="Textoindependiente"/>
        <w:ind w:firstLine="705"/>
        <w:rPr>
          <w:rFonts w:ascii="Abadi" w:hAnsi="Abadi"/>
          <w:b w:val="0"/>
          <w:bCs w:val="0"/>
          <w:sz w:val="21"/>
          <w:szCs w:val="21"/>
        </w:rPr>
      </w:pPr>
    </w:p>
    <w:p w14:paraId="1185C103"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 xml:space="preserve"> En tal sentido, mediante acuerdo de fecha 15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9A32BC">
          <w:rPr>
            <w:rFonts w:ascii="Abadi" w:hAnsi="Abadi"/>
            <w:b w:val="0"/>
            <w:bCs w:val="0"/>
            <w:sz w:val="21"/>
            <w:szCs w:val="21"/>
          </w:rPr>
          <w:t>la Ley</w:t>
        </w:r>
      </w:smartTag>
      <w:r w:rsidRPr="009A32BC">
        <w:rPr>
          <w:rFonts w:ascii="Abadi" w:hAnsi="Abadi"/>
          <w:b w:val="0"/>
          <w:bCs w:val="0"/>
          <w:sz w:val="21"/>
          <w:szCs w:val="21"/>
        </w:rPr>
        <w:t xml:space="preserve"> de Fiscalización Superior del Estado de Guanajuato, instruyendo la integración del expediente y el registro correspondiente. Asimismo, mediante dicho acuerdo se admitieron los medios de prueba ofrecidos por la recurrente, al tratarse de pruebas novedosas y supervenientes.</w:t>
      </w:r>
    </w:p>
    <w:p w14:paraId="79A09A5B" w14:textId="77777777" w:rsidR="009A32BC" w:rsidRPr="009A32BC" w:rsidRDefault="009A32BC" w:rsidP="001E4B86">
      <w:pPr>
        <w:pStyle w:val="Textoindependiente"/>
        <w:ind w:firstLine="708"/>
        <w:rPr>
          <w:rFonts w:ascii="Abadi" w:hAnsi="Abadi"/>
          <w:b w:val="0"/>
          <w:bCs w:val="0"/>
          <w:sz w:val="21"/>
          <w:szCs w:val="21"/>
        </w:rPr>
      </w:pPr>
    </w:p>
    <w:p w14:paraId="534A5A58" w14:textId="54C3E121"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t>Una vez tramitado el recurso, el Auditor Superior del Estado, el 17 de marzo de 2023 emitió la resolución correspondiente, determinándose respecto a la observación plasmada en el numeral 002, que las pruebas aportadas y las manifestaciones realizadas resultaron inoperantes por insuficientes, por los argumentos referidos en el considerando séptimo. En razón de lo cual se confirmó el sentido de la valoración de la observación como no solventada, con acciones correctivas pendientes de realizar por el sujeto fiscalizado.</w:t>
      </w:r>
    </w:p>
    <w:p w14:paraId="6678BC08" w14:textId="77777777" w:rsidR="001E4B86" w:rsidRPr="009A32BC" w:rsidRDefault="001E4B86" w:rsidP="001E4B86">
      <w:pPr>
        <w:pStyle w:val="Textoindependiente"/>
        <w:ind w:firstLine="708"/>
        <w:rPr>
          <w:rFonts w:ascii="Abadi" w:hAnsi="Abadi"/>
          <w:b w:val="0"/>
          <w:bCs w:val="0"/>
          <w:sz w:val="21"/>
          <w:szCs w:val="21"/>
        </w:rPr>
      </w:pPr>
    </w:p>
    <w:p w14:paraId="40D2657C" w14:textId="77777777"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t>En cuanto a la observación establecida en el numeral 004, se resolvió que las probanzas aportadas y las manifestaciones realizadas resultaron insuficientes, de acuerdo a lo expresado en el considerando séptimo. En</w:t>
      </w:r>
      <w:r w:rsidRPr="00D148DC">
        <w:rPr>
          <w:rFonts w:ascii="Abadi" w:hAnsi="Abadi"/>
          <w:sz w:val="21"/>
          <w:szCs w:val="21"/>
        </w:rPr>
        <w:t xml:space="preserve"> </w:t>
      </w:r>
      <w:r w:rsidRPr="009A32BC">
        <w:rPr>
          <w:rFonts w:ascii="Abadi" w:hAnsi="Abadi"/>
          <w:b w:val="0"/>
          <w:bCs w:val="0"/>
          <w:sz w:val="21"/>
          <w:szCs w:val="21"/>
        </w:rPr>
        <w:t>consecuencia, se confirmó el sentido de la valoración de la observación como no solventada, con acciones de impacto económico pendientes de realizar por el sujeto fiscalizado.</w:t>
      </w:r>
    </w:p>
    <w:p w14:paraId="628C1312" w14:textId="77777777" w:rsidR="001E4B86" w:rsidRPr="009A32BC" w:rsidRDefault="001E4B86" w:rsidP="001E4B86">
      <w:pPr>
        <w:pStyle w:val="Textoindependiente"/>
        <w:ind w:firstLine="708"/>
        <w:rPr>
          <w:rFonts w:ascii="Abadi" w:hAnsi="Abadi"/>
          <w:b w:val="0"/>
          <w:bCs w:val="0"/>
          <w:sz w:val="21"/>
          <w:szCs w:val="21"/>
        </w:rPr>
      </w:pPr>
    </w:p>
    <w:p w14:paraId="32C48F41" w14:textId="77777777"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t>Finalmente, por lo que hace a la recomendación contenida en el numeral 002, se concluyó que los agravios hechos valer por la recurrente resultaron inoperantes, en razón de no guardar relación con dicha recomendación. Por lo anterior, se confirmó el sentido de la valoración de la recomendación como no atendida.</w:t>
      </w:r>
    </w:p>
    <w:p w14:paraId="39B871CD" w14:textId="77777777" w:rsidR="001E4B86" w:rsidRPr="009A32BC" w:rsidRDefault="001E4B86" w:rsidP="001E4B86">
      <w:pPr>
        <w:pStyle w:val="Textoindependiente"/>
        <w:ind w:firstLine="708"/>
        <w:rPr>
          <w:rFonts w:ascii="Abadi" w:hAnsi="Abadi"/>
          <w:b w:val="0"/>
          <w:bCs w:val="0"/>
          <w:sz w:val="21"/>
          <w:szCs w:val="21"/>
        </w:rPr>
      </w:pPr>
    </w:p>
    <w:p w14:paraId="73F2A05C" w14:textId="77777777" w:rsidR="001E4B86" w:rsidRPr="009A32BC" w:rsidRDefault="001E4B86" w:rsidP="001E4B86">
      <w:pPr>
        <w:pStyle w:val="Textoindependiente"/>
        <w:ind w:firstLine="708"/>
        <w:rPr>
          <w:rFonts w:ascii="Abadi" w:hAnsi="Abadi"/>
          <w:b w:val="0"/>
          <w:bCs w:val="0"/>
          <w:sz w:val="21"/>
          <w:szCs w:val="21"/>
        </w:rPr>
      </w:pPr>
      <w:r w:rsidRPr="009A32BC">
        <w:rPr>
          <w:rFonts w:ascii="Abadi" w:hAnsi="Abadi"/>
          <w:b w:val="0"/>
          <w:bCs w:val="0"/>
          <w:sz w:val="21"/>
          <w:szCs w:val="21"/>
        </w:rPr>
        <w:t xml:space="preserve">La referida resolución se notificó a la ex presidenta municipal de Xichú, </w:t>
      </w:r>
      <w:proofErr w:type="spellStart"/>
      <w:r w:rsidRPr="009A32BC">
        <w:rPr>
          <w:rFonts w:ascii="Abadi" w:hAnsi="Abadi"/>
          <w:b w:val="0"/>
          <w:bCs w:val="0"/>
          <w:sz w:val="21"/>
          <w:szCs w:val="21"/>
        </w:rPr>
        <w:t>Gto</w:t>
      </w:r>
      <w:proofErr w:type="spellEnd"/>
      <w:r w:rsidRPr="009A32BC">
        <w:rPr>
          <w:rFonts w:ascii="Abadi" w:hAnsi="Abadi"/>
          <w:b w:val="0"/>
          <w:bCs w:val="0"/>
          <w:sz w:val="21"/>
          <w:szCs w:val="21"/>
        </w:rPr>
        <w:t>., el 28 de marzo de 2023.</w:t>
      </w:r>
    </w:p>
    <w:p w14:paraId="3DFECFED" w14:textId="77777777" w:rsidR="001E4B86" w:rsidRPr="009A32BC" w:rsidRDefault="001E4B86" w:rsidP="001E4B86">
      <w:pPr>
        <w:pStyle w:val="Textoindependiente"/>
        <w:ind w:firstLine="705"/>
        <w:rPr>
          <w:rFonts w:ascii="Abadi" w:hAnsi="Abadi"/>
          <w:b w:val="0"/>
          <w:bCs w:val="0"/>
          <w:sz w:val="21"/>
          <w:szCs w:val="21"/>
        </w:rPr>
      </w:pPr>
    </w:p>
    <w:p w14:paraId="737B7D27" w14:textId="77777777" w:rsidR="001E4B86" w:rsidRPr="009A32BC" w:rsidRDefault="001E4B86" w:rsidP="00427BD6">
      <w:pPr>
        <w:pStyle w:val="Textoindependiente"/>
        <w:numPr>
          <w:ilvl w:val="0"/>
          <w:numId w:val="9"/>
        </w:numPr>
        <w:autoSpaceDE/>
        <w:autoSpaceDN/>
        <w:rPr>
          <w:rFonts w:ascii="Abadi" w:hAnsi="Abadi"/>
          <w:sz w:val="21"/>
          <w:szCs w:val="21"/>
        </w:rPr>
      </w:pPr>
      <w:r w:rsidRPr="009A32BC">
        <w:rPr>
          <w:rFonts w:ascii="Abadi" w:hAnsi="Abadi"/>
          <w:sz w:val="21"/>
          <w:szCs w:val="21"/>
        </w:rPr>
        <w:t xml:space="preserve">Anexos. </w:t>
      </w:r>
    </w:p>
    <w:p w14:paraId="637D3B00" w14:textId="77777777" w:rsidR="001E4B86" w:rsidRPr="00D148DC" w:rsidRDefault="001E4B86" w:rsidP="001E4B86">
      <w:pPr>
        <w:pStyle w:val="Textoindependiente"/>
        <w:ind w:firstLine="705"/>
        <w:rPr>
          <w:rFonts w:ascii="Abadi" w:hAnsi="Abadi"/>
          <w:sz w:val="21"/>
          <w:szCs w:val="21"/>
        </w:rPr>
      </w:pPr>
    </w:p>
    <w:p w14:paraId="564D5653" w14:textId="77777777" w:rsidR="001E4B86" w:rsidRPr="009A32BC" w:rsidRDefault="001E4B86" w:rsidP="001E4B86">
      <w:pPr>
        <w:pStyle w:val="Textoindependiente"/>
        <w:ind w:firstLine="705"/>
        <w:rPr>
          <w:rFonts w:ascii="Abadi" w:hAnsi="Abadi"/>
          <w:b w:val="0"/>
          <w:bCs w:val="0"/>
          <w:sz w:val="21"/>
          <w:szCs w:val="21"/>
        </w:rPr>
      </w:pPr>
      <w:r w:rsidRPr="009A32BC">
        <w:rPr>
          <w:rFonts w:ascii="Abadi" w:hAnsi="Abadi"/>
          <w:b w:val="0"/>
          <w:bCs w:val="0"/>
          <w:sz w:val="21"/>
          <w:szCs w:val="21"/>
        </w:rPr>
        <w:t>En esta parte, se adjuntan los anexos técnicos derivados de la revisión practicada.</w:t>
      </w:r>
    </w:p>
    <w:p w14:paraId="6FF59A7F" w14:textId="77777777" w:rsidR="001E4B86" w:rsidRPr="00D148DC" w:rsidRDefault="001E4B86" w:rsidP="001E4B86">
      <w:pPr>
        <w:pStyle w:val="Textoindependiente"/>
        <w:ind w:firstLine="705"/>
        <w:rPr>
          <w:rFonts w:ascii="Abadi" w:hAnsi="Abadi"/>
          <w:sz w:val="21"/>
          <w:szCs w:val="21"/>
        </w:rPr>
      </w:pPr>
    </w:p>
    <w:p w14:paraId="3C34ED01" w14:textId="77777777" w:rsidR="001E4B86" w:rsidRPr="00D148DC" w:rsidRDefault="001E4B86" w:rsidP="001E4B86">
      <w:pPr>
        <w:ind w:firstLine="708"/>
        <w:jc w:val="both"/>
        <w:rPr>
          <w:rFonts w:ascii="Abadi" w:hAnsi="Abadi" w:cs="Arial"/>
          <w:b/>
          <w:bCs/>
          <w:sz w:val="21"/>
          <w:szCs w:val="21"/>
        </w:rPr>
      </w:pPr>
      <w:r w:rsidRPr="00D148DC">
        <w:rPr>
          <w:rFonts w:ascii="Abadi" w:hAnsi="Abadi" w:cs="Arial"/>
          <w:b/>
          <w:bCs/>
          <w:sz w:val="21"/>
          <w:szCs w:val="21"/>
        </w:rPr>
        <w:t>V. Conclusiones:</w:t>
      </w:r>
    </w:p>
    <w:p w14:paraId="5575045F" w14:textId="77777777" w:rsidR="001E4B86" w:rsidRPr="00D148DC" w:rsidRDefault="001E4B86" w:rsidP="001E4B86">
      <w:pPr>
        <w:jc w:val="both"/>
        <w:rPr>
          <w:rFonts w:ascii="Abadi" w:hAnsi="Abadi" w:cs="Arial"/>
          <w:sz w:val="21"/>
          <w:szCs w:val="21"/>
        </w:rPr>
      </w:pPr>
    </w:p>
    <w:p w14:paraId="05359585" w14:textId="77777777" w:rsidR="001E4B86" w:rsidRPr="00D148DC" w:rsidRDefault="001E4B86" w:rsidP="001E4B86">
      <w:pPr>
        <w:jc w:val="both"/>
        <w:rPr>
          <w:rFonts w:ascii="Abadi" w:hAnsi="Abadi" w:cs="Arial"/>
          <w:sz w:val="21"/>
          <w:szCs w:val="21"/>
        </w:rPr>
      </w:pPr>
      <w:r w:rsidRPr="00D148DC">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D148DC">
          <w:rPr>
            <w:rFonts w:ascii="Abadi" w:hAnsi="Abadi" w:cs="Arial"/>
            <w:sz w:val="21"/>
            <w:szCs w:val="21"/>
          </w:rPr>
          <w:t>la Ley</w:t>
        </w:r>
      </w:smartTag>
      <w:r w:rsidRPr="00D148D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3B5BD18" w14:textId="77777777" w:rsidR="001E4B86" w:rsidRPr="00D148DC" w:rsidRDefault="001E4B86" w:rsidP="001E4B86">
      <w:pPr>
        <w:jc w:val="both"/>
        <w:rPr>
          <w:rFonts w:ascii="Abadi" w:hAnsi="Abadi" w:cs="Arial"/>
          <w:sz w:val="21"/>
          <w:szCs w:val="21"/>
        </w:rPr>
      </w:pPr>
    </w:p>
    <w:p w14:paraId="1E244140" w14:textId="77777777" w:rsidR="001E4B86" w:rsidRPr="00D148DC" w:rsidRDefault="001E4B86" w:rsidP="001E4B86">
      <w:pPr>
        <w:jc w:val="both"/>
        <w:rPr>
          <w:rFonts w:ascii="Abadi" w:hAnsi="Abadi" w:cs="Arial"/>
          <w:sz w:val="21"/>
          <w:szCs w:val="21"/>
        </w:rPr>
      </w:pPr>
      <w:r w:rsidRPr="00D148D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FE7EDB8" w14:textId="77777777" w:rsidR="001E4B86" w:rsidRPr="00D148DC" w:rsidRDefault="001E4B86" w:rsidP="001E4B86">
      <w:pPr>
        <w:jc w:val="both"/>
        <w:rPr>
          <w:rFonts w:ascii="Abadi" w:hAnsi="Abadi" w:cs="Arial"/>
          <w:sz w:val="21"/>
          <w:szCs w:val="21"/>
        </w:rPr>
      </w:pPr>
    </w:p>
    <w:p w14:paraId="2F9791E6"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 la ex presidenta municipales de Xichú, </w:t>
      </w:r>
      <w:proofErr w:type="spellStart"/>
      <w:r w:rsidRPr="00D148DC">
        <w:rPr>
          <w:rFonts w:ascii="Abadi" w:hAnsi="Abadi" w:cs="Arial"/>
          <w:sz w:val="21"/>
          <w:szCs w:val="21"/>
        </w:rPr>
        <w:t>Gto</w:t>
      </w:r>
      <w:proofErr w:type="spellEnd"/>
      <w:r w:rsidRPr="00D148DC">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D148DC">
          <w:rPr>
            <w:rFonts w:ascii="Abadi" w:hAnsi="Abadi" w:cs="Arial"/>
            <w:sz w:val="21"/>
            <w:szCs w:val="21"/>
          </w:rPr>
          <w:t>la Ley</w:t>
        </w:r>
      </w:smartTag>
      <w:r w:rsidRPr="00D148DC">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64C4E750" w14:textId="77777777" w:rsidR="001E4B86" w:rsidRPr="00D148DC" w:rsidRDefault="001E4B86" w:rsidP="001E4B86">
      <w:pPr>
        <w:ind w:firstLine="708"/>
        <w:jc w:val="both"/>
        <w:rPr>
          <w:rFonts w:ascii="Abadi" w:hAnsi="Abadi" w:cs="Arial"/>
          <w:sz w:val="21"/>
          <w:szCs w:val="21"/>
        </w:rPr>
      </w:pPr>
    </w:p>
    <w:p w14:paraId="70EAE231"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De igual manera, existe en el informe de resultados la constancia de que este se notificó al presidente y a la ex presidenta municipales de Xichú, </w:t>
      </w:r>
      <w:proofErr w:type="spellStart"/>
      <w:r w:rsidRPr="00D148DC">
        <w:rPr>
          <w:rFonts w:ascii="Abadi" w:hAnsi="Abadi" w:cs="Arial"/>
          <w:sz w:val="21"/>
          <w:szCs w:val="21"/>
        </w:rPr>
        <w:t>Gto</w:t>
      </w:r>
      <w:proofErr w:type="spellEnd"/>
      <w:r w:rsidRPr="00D148DC">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D148DC">
          <w:rPr>
            <w:rFonts w:ascii="Abadi" w:hAnsi="Abadi" w:cs="Arial"/>
            <w:sz w:val="21"/>
            <w:szCs w:val="21"/>
          </w:rPr>
          <w:t>la Ley</w:t>
        </w:r>
      </w:smartTag>
      <w:r w:rsidRPr="00D148D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w:t>
      </w:r>
      <w:r w:rsidRPr="00D148DC">
        <w:rPr>
          <w:rFonts w:ascii="Abadi" w:hAnsi="Abadi" w:cs="Arial"/>
          <w:sz w:val="21"/>
          <w:szCs w:val="21"/>
        </w:rPr>
        <w:lastRenderedPageBreak/>
        <w:t xml:space="preserve">medio de impugnación, el cual fue tramitado por el Órgano Técnico, emitiéndose por parte del Auditor Superior del Estado la resolución correspondiente, misma que consideramos se encuentra suficientemente fundada y motivada y que en su oportunidad se notificó a la ex presidenta municipal de Xichú, </w:t>
      </w:r>
      <w:proofErr w:type="spellStart"/>
      <w:r w:rsidRPr="00D148DC">
        <w:rPr>
          <w:rFonts w:ascii="Abadi" w:hAnsi="Abadi" w:cs="Arial"/>
          <w:sz w:val="21"/>
          <w:szCs w:val="21"/>
        </w:rPr>
        <w:t>Gto</w:t>
      </w:r>
      <w:proofErr w:type="spellEnd"/>
      <w:r w:rsidRPr="00D148DC">
        <w:rPr>
          <w:rFonts w:ascii="Abadi" w:hAnsi="Abadi" w:cs="Arial"/>
          <w:sz w:val="21"/>
          <w:szCs w:val="21"/>
        </w:rPr>
        <w:t>. En tal virtud, se considera que fue respetado el derecho de audiencia o defensa por parte del Órgano Técnico.</w:t>
      </w:r>
    </w:p>
    <w:p w14:paraId="7DF474D9" w14:textId="77777777" w:rsidR="001E4B86" w:rsidRPr="00D148DC" w:rsidRDefault="001E4B86" w:rsidP="001E4B86">
      <w:pPr>
        <w:ind w:firstLine="708"/>
        <w:jc w:val="both"/>
        <w:rPr>
          <w:rFonts w:ascii="Abadi" w:hAnsi="Abadi" w:cs="Arial"/>
          <w:sz w:val="21"/>
          <w:szCs w:val="21"/>
        </w:rPr>
      </w:pPr>
    </w:p>
    <w:p w14:paraId="26339D33"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32B51F3" w14:textId="77777777" w:rsidR="001E4B86" w:rsidRPr="00D148DC" w:rsidRDefault="001E4B86" w:rsidP="001E4B86">
      <w:pPr>
        <w:ind w:firstLine="708"/>
        <w:jc w:val="both"/>
        <w:rPr>
          <w:rFonts w:ascii="Abadi" w:hAnsi="Abadi" w:cs="Arial"/>
          <w:sz w:val="21"/>
          <w:szCs w:val="21"/>
        </w:rPr>
      </w:pPr>
    </w:p>
    <w:p w14:paraId="2FF39A7D"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F7A84A1" w14:textId="77777777" w:rsidR="001E4B86" w:rsidRPr="00D148DC" w:rsidRDefault="001E4B86" w:rsidP="001E4B86">
      <w:pPr>
        <w:jc w:val="both"/>
        <w:rPr>
          <w:rFonts w:ascii="Abadi" w:hAnsi="Abadi" w:cs="Arial"/>
          <w:sz w:val="21"/>
          <w:szCs w:val="21"/>
        </w:rPr>
      </w:pPr>
    </w:p>
    <w:p w14:paraId="0A3EEF74"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w:t>
      </w:r>
      <w:r w:rsidRPr="00D148DC">
        <w:rPr>
          <w:rFonts w:ascii="Abadi" w:hAnsi="Abadi" w:cs="Arial"/>
          <w:sz w:val="21"/>
          <w:szCs w:val="21"/>
        </w:rPr>
        <w:t>de Responsabilidades Administrativas para el Estado de Guanajuato. Asimismo, en términos de la referida Ley, deberá realizar el seguimiento a las observaciones no solventadas y a las recomendaciones no atendidas contenidas en el informe de resultados.</w:t>
      </w:r>
    </w:p>
    <w:p w14:paraId="2B74FC40" w14:textId="77777777" w:rsidR="001E4B86" w:rsidRPr="00D148DC" w:rsidRDefault="001E4B86" w:rsidP="001E4B86">
      <w:pPr>
        <w:ind w:firstLine="708"/>
        <w:jc w:val="both"/>
        <w:rPr>
          <w:rFonts w:ascii="Abadi" w:hAnsi="Abadi" w:cs="Arial"/>
          <w:sz w:val="21"/>
          <w:szCs w:val="21"/>
        </w:rPr>
      </w:pPr>
    </w:p>
    <w:p w14:paraId="41FDE530"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444E3648" w14:textId="77777777" w:rsidR="001E4B86" w:rsidRPr="00D148DC" w:rsidRDefault="001E4B86" w:rsidP="001E4B86">
      <w:pPr>
        <w:ind w:firstLine="708"/>
        <w:jc w:val="both"/>
        <w:rPr>
          <w:rFonts w:ascii="Abadi" w:hAnsi="Abadi" w:cs="Arial"/>
          <w:sz w:val="21"/>
          <w:szCs w:val="21"/>
        </w:rPr>
      </w:pPr>
    </w:p>
    <w:p w14:paraId="07854BD1"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En razón de lo anteriormente señalado, concluimos que el informe de resultados de la revisión practicada a la cuenta pública municipal de Xichú, </w:t>
      </w:r>
      <w:proofErr w:type="spellStart"/>
      <w:r w:rsidRPr="00D148DC">
        <w:rPr>
          <w:rFonts w:ascii="Abadi" w:hAnsi="Abadi" w:cs="Arial"/>
          <w:sz w:val="21"/>
          <w:szCs w:val="21"/>
        </w:rPr>
        <w:t>Gto</w:t>
      </w:r>
      <w:proofErr w:type="spellEnd"/>
      <w:r w:rsidRPr="00D148DC">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148DC">
          <w:rPr>
            <w:rFonts w:ascii="Abadi" w:hAnsi="Abadi" w:cs="Arial"/>
            <w:sz w:val="21"/>
            <w:szCs w:val="21"/>
          </w:rPr>
          <w:t>la Ley</w:t>
        </w:r>
      </w:smartTag>
      <w:r w:rsidRPr="00D148DC">
        <w:rPr>
          <w:rFonts w:ascii="Abadi" w:hAnsi="Abadi" w:cs="Arial"/>
          <w:sz w:val="21"/>
          <w:szCs w:val="21"/>
        </w:rPr>
        <w:t xml:space="preserve"> de Fiscalización Superior del Estado de Guanajuato, razón por la cual no podría ser observado por el Pleno del Congreso.</w:t>
      </w:r>
    </w:p>
    <w:p w14:paraId="1FBA345F" w14:textId="77777777" w:rsidR="001E4B86" w:rsidRPr="00D148DC" w:rsidRDefault="001E4B86" w:rsidP="001E4B86">
      <w:pPr>
        <w:pStyle w:val="Sangra3detindependiente"/>
        <w:spacing w:line="240" w:lineRule="auto"/>
        <w:rPr>
          <w:rFonts w:ascii="Abadi" w:hAnsi="Abadi"/>
          <w:sz w:val="21"/>
          <w:szCs w:val="21"/>
        </w:rPr>
      </w:pPr>
    </w:p>
    <w:p w14:paraId="4577D0C4" w14:textId="77777777" w:rsidR="001E4B86" w:rsidRPr="00D148DC" w:rsidRDefault="001E4B86" w:rsidP="001E4B86">
      <w:pPr>
        <w:pStyle w:val="Sangra3detindependiente"/>
        <w:spacing w:line="240" w:lineRule="auto"/>
        <w:rPr>
          <w:rFonts w:ascii="Abadi" w:hAnsi="Abadi"/>
          <w:sz w:val="21"/>
          <w:szCs w:val="21"/>
        </w:rPr>
      </w:pPr>
      <w:r w:rsidRPr="00D148DC">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D148DC">
          <w:rPr>
            <w:rFonts w:ascii="Abadi" w:hAnsi="Abadi"/>
            <w:sz w:val="21"/>
            <w:szCs w:val="21"/>
          </w:rPr>
          <w:t>la Ley Orgánica</w:t>
        </w:r>
      </w:smartTag>
      <w:r w:rsidRPr="00D148DC">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D148DC">
          <w:rPr>
            <w:rFonts w:ascii="Abadi" w:hAnsi="Abadi"/>
            <w:sz w:val="21"/>
            <w:szCs w:val="21"/>
          </w:rPr>
          <w:t>la Asamblea</w:t>
        </w:r>
      </w:smartTag>
      <w:r w:rsidRPr="00D148DC">
        <w:rPr>
          <w:rFonts w:ascii="Abadi" w:hAnsi="Abadi"/>
          <w:sz w:val="21"/>
          <w:szCs w:val="21"/>
        </w:rPr>
        <w:t>, la aprobación del siguiente:</w:t>
      </w:r>
    </w:p>
    <w:p w14:paraId="56D78ED2" w14:textId="77777777" w:rsidR="001E4B86" w:rsidRPr="00D148DC" w:rsidRDefault="001E4B86" w:rsidP="001E4B86">
      <w:pPr>
        <w:pStyle w:val="Ttulo1"/>
        <w:jc w:val="center"/>
        <w:rPr>
          <w:rFonts w:ascii="Abadi" w:hAnsi="Abadi" w:cs="Arial"/>
          <w:smallCaps/>
          <w:sz w:val="21"/>
          <w:szCs w:val="21"/>
        </w:rPr>
      </w:pPr>
    </w:p>
    <w:p w14:paraId="268EFE75" w14:textId="77777777" w:rsidR="001E4B86" w:rsidRPr="00D148DC" w:rsidRDefault="001E4B86" w:rsidP="001E4B86">
      <w:pPr>
        <w:pStyle w:val="Ttulo1"/>
        <w:jc w:val="center"/>
        <w:rPr>
          <w:rFonts w:ascii="Abadi" w:hAnsi="Abadi" w:cs="Arial"/>
          <w:smallCaps/>
          <w:sz w:val="21"/>
          <w:szCs w:val="21"/>
        </w:rPr>
      </w:pPr>
      <w:r w:rsidRPr="00D148DC">
        <w:rPr>
          <w:rFonts w:ascii="Abadi" w:hAnsi="Abadi" w:cs="Arial"/>
          <w:smallCaps/>
          <w:sz w:val="21"/>
          <w:szCs w:val="21"/>
        </w:rPr>
        <w:t>A c u e r d o</w:t>
      </w:r>
    </w:p>
    <w:p w14:paraId="56C4A51F" w14:textId="77777777" w:rsidR="001E4B86" w:rsidRPr="00D148DC" w:rsidRDefault="001E4B86" w:rsidP="001E4B86">
      <w:pPr>
        <w:rPr>
          <w:rFonts w:ascii="Abadi" w:hAnsi="Abadi"/>
          <w:sz w:val="21"/>
          <w:szCs w:val="21"/>
        </w:rPr>
      </w:pPr>
    </w:p>
    <w:p w14:paraId="50FF6F33" w14:textId="77777777" w:rsidR="001E4B86" w:rsidRPr="00D148DC" w:rsidRDefault="001E4B86" w:rsidP="001E4B86">
      <w:pPr>
        <w:rPr>
          <w:rFonts w:ascii="Abadi" w:hAnsi="Abadi"/>
          <w:sz w:val="21"/>
          <w:szCs w:val="21"/>
        </w:rPr>
      </w:pPr>
    </w:p>
    <w:p w14:paraId="7259E8AB" w14:textId="77777777" w:rsidR="001E4B86" w:rsidRPr="00D148DC" w:rsidRDefault="001E4B86" w:rsidP="001E4B86">
      <w:pPr>
        <w:ind w:firstLine="708"/>
        <w:jc w:val="both"/>
        <w:rPr>
          <w:rFonts w:ascii="Abadi" w:hAnsi="Abadi" w:cs="Arial"/>
          <w:sz w:val="21"/>
          <w:szCs w:val="21"/>
        </w:rPr>
      </w:pPr>
      <w:r w:rsidRPr="00D148DC">
        <w:rPr>
          <w:rFonts w:ascii="Abadi" w:hAnsi="Abadi" w:cs="Arial"/>
          <w:b/>
          <w:bCs/>
          <w:sz w:val="21"/>
          <w:szCs w:val="21"/>
        </w:rPr>
        <w:t xml:space="preserve">Único. </w:t>
      </w:r>
      <w:r w:rsidRPr="00D148DC">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D148DC">
          <w:rPr>
            <w:rFonts w:ascii="Abadi" w:hAnsi="Abadi" w:cs="Arial"/>
            <w:sz w:val="21"/>
            <w:szCs w:val="21"/>
          </w:rPr>
          <w:t>la Constitución Política</w:t>
        </w:r>
      </w:smartTag>
      <w:r w:rsidRPr="00D148DC">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Xichú, </w:t>
      </w:r>
      <w:proofErr w:type="spellStart"/>
      <w:r w:rsidRPr="00D148DC">
        <w:rPr>
          <w:rFonts w:ascii="Abadi" w:hAnsi="Abadi" w:cs="Arial"/>
          <w:sz w:val="21"/>
          <w:szCs w:val="21"/>
        </w:rPr>
        <w:t>Gto</w:t>
      </w:r>
      <w:proofErr w:type="spellEnd"/>
      <w:r w:rsidRPr="00D148DC">
        <w:rPr>
          <w:rFonts w:ascii="Abadi" w:hAnsi="Abadi" w:cs="Arial"/>
          <w:sz w:val="21"/>
          <w:szCs w:val="21"/>
        </w:rPr>
        <w:t>., correspondiente al ejercicio fiscal del año 2021, con base en el informe de resultados formulado por la Auditoría Superior del Estado de Guanajuato.</w:t>
      </w:r>
    </w:p>
    <w:p w14:paraId="7E3FCC99" w14:textId="77777777" w:rsidR="001E4B86" w:rsidRPr="00D148DC" w:rsidRDefault="001E4B86" w:rsidP="001E4B86">
      <w:pPr>
        <w:ind w:firstLine="708"/>
        <w:jc w:val="both"/>
        <w:rPr>
          <w:rFonts w:ascii="Abadi" w:hAnsi="Abadi" w:cs="Arial"/>
          <w:sz w:val="21"/>
          <w:szCs w:val="21"/>
        </w:rPr>
      </w:pPr>
    </w:p>
    <w:p w14:paraId="7098F9BF" w14:textId="77777777" w:rsidR="001E4B86" w:rsidRPr="00D148DC" w:rsidRDefault="001E4B86" w:rsidP="001E4B86">
      <w:pPr>
        <w:ind w:firstLine="708"/>
        <w:jc w:val="both"/>
        <w:rPr>
          <w:rFonts w:ascii="Abadi" w:hAnsi="Abadi" w:cs="Arial"/>
          <w:sz w:val="21"/>
          <w:szCs w:val="21"/>
        </w:rPr>
      </w:pPr>
    </w:p>
    <w:p w14:paraId="37B21171" w14:textId="77777777" w:rsidR="001E4B86" w:rsidRPr="00D148DC" w:rsidRDefault="001E4B86" w:rsidP="001E4B86">
      <w:pPr>
        <w:pStyle w:val="Sangra3detindependiente"/>
        <w:spacing w:line="240" w:lineRule="auto"/>
        <w:rPr>
          <w:rFonts w:ascii="Abadi" w:hAnsi="Abadi"/>
          <w:sz w:val="21"/>
          <w:szCs w:val="21"/>
          <w:lang w:val="es-MX"/>
        </w:rPr>
      </w:pPr>
      <w:r w:rsidRPr="00D148DC">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D148DC">
        <w:rPr>
          <w:rFonts w:ascii="Abadi" w:hAnsi="Abadi"/>
          <w:sz w:val="21"/>
          <w:szCs w:val="21"/>
          <w:lang w:val="es-MX"/>
        </w:rPr>
        <w:t>.</w:t>
      </w:r>
      <w:r w:rsidRPr="00D148DC">
        <w:rPr>
          <w:rFonts w:ascii="Abadi" w:hAnsi="Abadi"/>
          <w:sz w:val="21"/>
          <w:szCs w:val="21"/>
        </w:rPr>
        <w:t xml:space="preserve"> </w:t>
      </w:r>
      <w:r w:rsidRPr="00D148DC">
        <w:rPr>
          <w:rFonts w:ascii="Abadi" w:hAnsi="Abadi"/>
          <w:sz w:val="21"/>
          <w:szCs w:val="21"/>
          <w:lang w:val="es-MX"/>
        </w:rPr>
        <w:t>Asimismo, dará</w:t>
      </w:r>
      <w:r w:rsidRPr="00D148DC">
        <w:rPr>
          <w:rFonts w:ascii="Abadi" w:hAnsi="Abadi"/>
          <w:sz w:val="21"/>
          <w:szCs w:val="21"/>
        </w:rPr>
        <w:t xml:space="preserve"> seguimiento a la</w:t>
      </w:r>
      <w:r w:rsidRPr="00D148DC">
        <w:rPr>
          <w:rFonts w:ascii="Abadi" w:hAnsi="Abadi"/>
          <w:sz w:val="21"/>
          <w:szCs w:val="21"/>
          <w:lang w:val="es-MX"/>
        </w:rPr>
        <w:t>s</w:t>
      </w:r>
      <w:r w:rsidRPr="00D148DC">
        <w:rPr>
          <w:rFonts w:ascii="Abadi" w:hAnsi="Abadi"/>
          <w:sz w:val="21"/>
          <w:szCs w:val="21"/>
        </w:rPr>
        <w:t xml:space="preserve"> </w:t>
      </w:r>
      <w:proofErr w:type="spellStart"/>
      <w:r w:rsidRPr="00D148DC">
        <w:rPr>
          <w:rFonts w:ascii="Abadi" w:hAnsi="Abadi"/>
          <w:sz w:val="21"/>
          <w:szCs w:val="21"/>
        </w:rPr>
        <w:t>observaci</w:t>
      </w:r>
      <w:r w:rsidRPr="00D148DC">
        <w:rPr>
          <w:rFonts w:ascii="Abadi" w:hAnsi="Abadi"/>
          <w:sz w:val="21"/>
          <w:szCs w:val="21"/>
          <w:lang w:val="es-MX"/>
        </w:rPr>
        <w:t>ones</w:t>
      </w:r>
      <w:proofErr w:type="spellEnd"/>
      <w:r w:rsidRPr="00D148DC">
        <w:rPr>
          <w:rFonts w:ascii="Abadi" w:hAnsi="Abadi"/>
          <w:sz w:val="21"/>
          <w:szCs w:val="21"/>
        </w:rPr>
        <w:t xml:space="preserve"> no solventada</w:t>
      </w:r>
      <w:r w:rsidRPr="00D148DC">
        <w:rPr>
          <w:rFonts w:ascii="Abadi" w:hAnsi="Abadi"/>
          <w:sz w:val="21"/>
          <w:szCs w:val="21"/>
          <w:lang w:val="es-MX"/>
        </w:rPr>
        <w:t>s</w:t>
      </w:r>
      <w:r w:rsidRPr="00D148DC">
        <w:rPr>
          <w:rFonts w:ascii="Abadi" w:hAnsi="Abadi"/>
          <w:sz w:val="21"/>
          <w:szCs w:val="21"/>
        </w:rPr>
        <w:t xml:space="preserve"> </w:t>
      </w:r>
      <w:r w:rsidRPr="00D148DC">
        <w:rPr>
          <w:rFonts w:ascii="Abadi" w:hAnsi="Abadi"/>
          <w:sz w:val="21"/>
          <w:szCs w:val="21"/>
          <w:lang w:val="es-MX"/>
        </w:rPr>
        <w:t xml:space="preserve">y a las recomendaciones no atendidas </w:t>
      </w:r>
      <w:r w:rsidRPr="00D148DC">
        <w:rPr>
          <w:rFonts w:ascii="Abadi" w:hAnsi="Abadi"/>
          <w:sz w:val="21"/>
          <w:szCs w:val="21"/>
        </w:rPr>
        <w:t>contenidas en el informe de resultados</w:t>
      </w:r>
      <w:r w:rsidRPr="00D148DC">
        <w:rPr>
          <w:rFonts w:ascii="Abadi" w:hAnsi="Abadi"/>
          <w:sz w:val="21"/>
          <w:szCs w:val="21"/>
          <w:lang w:val="es-MX"/>
        </w:rPr>
        <w:t>.</w:t>
      </w:r>
    </w:p>
    <w:p w14:paraId="4553FC09" w14:textId="77777777" w:rsidR="001E4B86" w:rsidRPr="00D148DC" w:rsidRDefault="001E4B86" w:rsidP="001E4B86">
      <w:pPr>
        <w:pStyle w:val="Sangra3detindependiente"/>
        <w:spacing w:line="240" w:lineRule="auto"/>
        <w:rPr>
          <w:rFonts w:ascii="Abadi" w:hAnsi="Abadi"/>
          <w:sz w:val="21"/>
          <w:szCs w:val="21"/>
          <w:lang w:val="es-MX"/>
        </w:rPr>
      </w:pPr>
    </w:p>
    <w:p w14:paraId="7CF3DBEC"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 xml:space="preserve">Se ordena dar vista del informe de resultados al ayuntamiento del municipio de </w:t>
      </w:r>
      <w:r w:rsidRPr="00D148DC">
        <w:rPr>
          <w:rFonts w:ascii="Abadi" w:hAnsi="Abadi" w:cs="Arial"/>
          <w:sz w:val="21"/>
          <w:szCs w:val="21"/>
          <w:lang w:val="es-MX"/>
        </w:rPr>
        <w:t>Xichú,</w:t>
      </w:r>
      <w:r w:rsidRPr="00D148DC">
        <w:rPr>
          <w:rFonts w:ascii="Abadi" w:hAnsi="Abadi" w:cs="Arial"/>
          <w:sz w:val="21"/>
          <w:szCs w:val="21"/>
        </w:rPr>
        <w:t xml:space="preserve"> </w:t>
      </w:r>
      <w:proofErr w:type="spellStart"/>
      <w:r w:rsidRPr="00D148DC">
        <w:rPr>
          <w:rFonts w:ascii="Abadi" w:hAnsi="Abadi" w:cs="Arial"/>
          <w:sz w:val="21"/>
          <w:szCs w:val="21"/>
        </w:rPr>
        <w:t>Gto</w:t>
      </w:r>
      <w:proofErr w:type="spellEnd"/>
      <w:r w:rsidRPr="00D148DC">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D148DC">
          <w:rPr>
            <w:rFonts w:ascii="Abadi" w:hAnsi="Abadi" w:cs="Arial"/>
            <w:sz w:val="21"/>
            <w:szCs w:val="21"/>
          </w:rPr>
          <w:t>la Ley</w:t>
        </w:r>
      </w:smartTag>
      <w:r w:rsidRPr="00D148DC">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3248D9AE" w14:textId="77777777" w:rsidR="001E4B86" w:rsidRPr="00D148DC" w:rsidRDefault="001E4B86" w:rsidP="001E4B86">
      <w:pPr>
        <w:ind w:firstLine="708"/>
        <w:jc w:val="both"/>
        <w:rPr>
          <w:rFonts w:ascii="Abadi" w:hAnsi="Abadi" w:cs="Arial"/>
          <w:sz w:val="21"/>
          <w:szCs w:val="21"/>
        </w:rPr>
      </w:pPr>
    </w:p>
    <w:p w14:paraId="2FD3C63F" w14:textId="77777777" w:rsidR="001E4B86" w:rsidRPr="00D148DC" w:rsidRDefault="001E4B86" w:rsidP="001E4B86">
      <w:pPr>
        <w:ind w:firstLine="708"/>
        <w:jc w:val="both"/>
        <w:rPr>
          <w:rFonts w:ascii="Abadi" w:hAnsi="Abadi" w:cs="Arial"/>
          <w:sz w:val="21"/>
          <w:szCs w:val="21"/>
        </w:rPr>
      </w:pPr>
    </w:p>
    <w:p w14:paraId="6A693726" w14:textId="77777777" w:rsidR="001E4B86" w:rsidRPr="00D148DC" w:rsidRDefault="001E4B86" w:rsidP="001E4B86">
      <w:pPr>
        <w:ind w:firstLine="708"/>
        <w:jc w:val="both"/>
        <w:rPr>
          <w:rFonts w:ascii="Abadi" w:hAnsi="Abadi" w:cs="Arial"/>
          <w:sz w:val="21"/>
          <w:szCs w:val="21"/>
        </w:rPr>
      </w:pPr>
      <w:r w:rsidRPr="00D148DC">
        <w:rPr>
          <w:rFonts w:ascii="Abadi" w:hAnsi="Abadi" w:cs="Arial"/>
          <w:sz w:val="21"/>
          <w:szCs w:val="21"/>
        </w:rPr>
        <w:t>Remítase el presente acuerdo al titular del Poder Ejecutivo del Estado para su publicación en el Periódico Oficial del Gobierno del Estado.</w:t>
      </w:r>
    </w:p>
    <w:p w14:paraId="67C33EE2" w14:textId="77777777" w:rsidR="001E4B86" w:rsidRPr="00D148DC" w:rsidRDefault="001E4B86" w:rsidP="001E4B86">
      <w:pPr>
        <w:pStyle w:val="Sangra3detindependiente"/>
        <w:spacing w:line="240" w:lineRule="auto"/>
        <w:rPr>
          <w:rFonts w:ascii="Abadi" w:hAnsi="Abadi"/>
          <w:sz w:val="21"/>
          <w:szCs w:val="21"/>
        </w:rPr>
      </w:pPr>
      <w:r w:rsidRPr="00D148DC">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8505E4F" w14:textId="77777777" w:rsidR="001E4B86" w:rsidRPr="00D148DC" w:rsidRDefault="001E4B86" w:rsidP="001E4B86">
      <w:pPr>
        <w:jc w:val="center"/>
        <w:rPr>
          <w:rFonts w:ascii="Abadi" w:hAnsi="Abadi" w:cs="Arial"/>
          <w:b/>
          <w:bCs/>
          <w:sz w:val="21"/>
          <w:szCs w:val="21"/>
          <w:lang w:eastAsia="x-none"/>
        </w:rPr>
      </w:pPr>
    </w:p>
    <w:p w14:paraId="4E3EE05A" w14:textId="77777777" w:rsidR="001E4B86" w:rsidRPr="00D148DC" w:rsidRDefault="001E4B86" w:rsidP="001E4B86">
      <w:pPr>
        <w:jc w:val="center"/>
        <w:rPr>
          <w:rFonts w:ascii="Abadi" w:hAnsi="Abadi" w:cs="Arial"/>
          <w:b/>
          <w:bCs/>
          <w:sz w:val="21"/>
          <w:szCs w:val="21"/>
          <w:lang w:eastAsia="x-none"/>
        </w:rPr>
      </w:pPr>
      <w:r w:rsidRPr="00D148DC">
        <w:rPr>
          <w:rFonts w:ascii="Abadi" w:hAnsi="Abadi" w:cs="Arial"/>
          <w:b/>
          <w:bCs/>
          <w:sz w:val="21"/>
          <w:szCs w:val="21"/>
          <w:lang w:eastAsia="x-none"/>
        </w:rPr>
        <w:t xml:space="preserve">Guanajuato, </w:t>
      </w:r>
      <w:proofErr w:type="spellStart"/>
      <w:r w:rsidRPr="00D148DC">
        <w:rPr>
          <w:rFonts w:ascii="Abadi" w:hAnsi="Abadi" w:cs="Arial"/>
          <w:b/>
          <w:bCs/>
          <w:sz w:val="21"/>
          <w:szCs w:val="21"/>
          <w:lang w:eastAsia="x-none"/>
        </w:rPr>
        <w:t>Gto</w:t>
      </w:r>
      <w:proofErr w:type="spellEnd"/>
      <w:r w:rsidRPr="00D148DC">
        <w:rPr>
          <w:rFonts w:ascii="Abadi" w:hAnsi="Abadi" w:cs="Arial"/>
          <w:b/>
          <w:bCs/>
          <w:sz w:val="21"/>
          <w:szCs w:val="21"/>
          <w:lang w:eastAsia="x-none"/>
        </w:rPr>
        <w:t>., 19 de junio de 2023</w:t>
      </w:r>
    </w:p>
    <w:p w14:paraId="5D31CCDD" w14:textId="77777777" w:rsidR="001E4B86" w:rsidRPr="00D148DC" w:rsidRDefault="001E4B86" w:rsidP="001E4B86">
      <w:pPr>
        <w:jc w:val="center"/>
        <w:rPr>
          <w:rFonts w:ascii="Abadi" w:hAnsi="Abadi" w:cs="Arial"/>
          <w:b/>
          <w:bCs/>
          <w:sz w:val="21"/>
          <w:szCs w:val="21"/>
          <w:lang w:eastAsia="x-none"/>
        </w:rPr>
      </w:pPr>
      <w:smartTag w:uri="urn:schemas-microsoft-com:office:smarttags" w:element="PersonName">
        <w:smartTagPr>
          <w:attr w:name="ProductID" w:val="La Comisi￳n"/>
        </w:smartTagPr>
        <w:r w:rsidRPr="00D148DC">
          <w:rPr>
            <w:rFonts w:ascii="Abadi" w:hAnsi="Abadi" w:cs="Arial"/>
            <w:b/>
            <w:bCs/>
            <w:sz w:val="21"/>
            <w:szCs w:val="21"/>
            <w:lang w:eastAsia="x-none"/>
          </w:rPr>
          <w:t>La Comisión</w:t>
        </w:r>
      </w:smartTag>
      <w:r w:rsidRPr="00D148DC">
        <w:rPr>
          <w:rFonts w:ascii="Abadi" w:hAnsi="Abadi" w:cs="Arial"/>
          <w:b/>
          <w:bCs/>
          <w:sz w:val="21"/>
          <w:szCs w:val="21"/>
          <w:lang w:eastAsia="x-none"/>
        </w:rPr>
        <w:t xml:space="preserve"> de Hacienda y Fiscalización</w:t>
      </w:r>
    </w:p>
    <w:p w14:paraId="5A8D10E7" w14:textId="77777777" w:rsidR="001E4B86" w:rsidRPr="00D148DC" w:rsidRDefault="001E4B86" w:rsidP="001E4B86">
      <w:pPr>
        <w:jc w:val="center"/>
        <w:rPr>
          <w:rFonts w:ascii="Abadi" w:hAnsi="Abadi" w:cs="Arial"/>
          <w:sz w:val="21"/>
          <w:szCs w:val="21"/>
        </w:rPr>
      </w:pPr>
    </w:p>
    <w:p w14:paraId="70CE46DB" w14:textId="77777777" w:rsidR="001E4B86" w:rsidRPr="00D148DC" w:rsidRDefault="001E4B86" w:rsidP="001E4B86">
      <w:pPr>
        <w:jc w:val="center"/>
        <w:rPr>
          <w:rFonts w:ascii="Abadi" w:hAnsi="Abadi" w:cs="Arial"/>
          <w:sz w:val="21"/>
          <w:szCs w:val="21"/>
        </w:rPr>
      </w:pPr>
    </w:p>
    <w:p w14:paraId="348130B4" w14:textId="77777777" w:rsidR="001E4B86" w:rsidRPr="00D148DC" w:rsidRDefault="001E4B86" w:rsidP="00E85FFF">
      <w:pPr>
        <w:rPr>
          <w:rFonts w:ascii="Abadi" w:hAnsi="Abadi" w:cs="Arial"/>
          <w:sz w:val="21"/>
          <w:szCs w:val="21"/>
        </w:rPr>
      </w:pPr>
      <w:r w:rsidRPr="00D148DC">
        <w:rPr>
          <w:rFonts w:ascii="Abadi" w:hAnsi="Abadi" w:cs="Arial"/>
          <w:b/>
          <w:sz w:val="21"/>
          <w:szCs w:val="21"/>
          <w:lang w:eastAsia="x-none"/>
        </w:rPr>
        <w:t>Diputado Víctor Manuel Zanella Huerta</w:t>
      </w:r>
    </w:p>
    <w:p w14:paraId="42115921" w14:textId="3B4A5E68" w:rsidR="001E4B86" w:rsidRPr="00D148DC" w:rsidRDefault="001E4B86" w:rsidP="00E85FFF">
      <w:pPr>
        <w:rPr>
          <w:rFonts w:ascii="Abadi" w:hAnsi="Abadi" w:cs="Arial"/>
          <w:b/>
          <w:sz w:val="21"/>
          <w:szCs w:val="21"/>
          <w:lang w:eastAsia="x-none"/>
        </w:rPr>
      </w:pPr>
      <w:r w:rsidRPr="00D148DC">
        <w:rPr>
          <w:rFonts w:ascii="Abadi" w:hAnsi="Abadi" w:cs="Arial"/>
          <w:b/>
          <w:sz w:val="21"/>
          <w:szCs w:val="21"/>
          <w:lang w:eastAsia="x-none"/>
        </w:rPr>
        <w:t xml:space="preserve">Diputada Ruth Noemí Tiscareño Agoitia       Diputado Miguel Ángel Salim </w:t>
      </w:r>
      <w:proofErr w:type="spellStart"/>
      <w:r w:rsidRPr="00D148DC">
        <w:rPr>
          <w:rFonts w:ascii="Abadi" w:hAnsi="Abadi" w:cs="Arial"/>
          <w:b/>
          <w:sz w:val="21"/>
          <w:szCs w:val="21"/>
          <w:lang w:eastAsia="x-none"/>
        </w:rPr>
        <w:t>Alle</w:t>
      </w:r>
      <w:proofErr w:type="spellEnd"/>
    </w:p>
    <w:p w14:paraId="04703907" w14:textId="77777777" w:rsidR="001E4B86" w:rsidRPr="00D148DC" w:rsidRDefault="001E4B86" w:rsidP="001E4B86">
      <w:pPr>
        <w:rPr>
          <w:rFonts w:ascii="Abadi" w:hAnsi="Abadi" w:cs="Arial"/>
          <w:b/>
          <w:sz w:val="21"/>
          <w:szCs w:val="21"/>
          <w:lang w:eastAsia="x-none"/>
        </w:rPr>
      </w:pPr>
      <w:r w:rsidRPr="00D148DC">
        <w:rPr>
          <w:rFonts w:ascii="Abadi" w:hAnsi="Abadi" w:cs="Arial"/>
          <w:b/>
          <w:sz w:val="21"/>
          <w:szCs w:val="21"/>
          <w:lang w:eastAsia="x-none"/>
        </w:rPr>
        <w:t xml:space="preserve">Diputado José Alfonso Borja Pimentel    </w:t>
      </w:r>
    </w:p>
    <w:p w14:paraId="571C5A2F" w14:textId="77777777" w:rsidR="001E4B86" w:rsidRPr="00D148DC" w:rsidRDefault="001E4B86" w:rsidP="00E85FFF">
      <w:pPr>
        <w:rPr>
          <w:rFonts w:ascii="Abadi" w:hAnsi="Abadi" w:cs="Arial"/>
          <w:b/>
          <w:sz w:val="21"/>
          <w:szCs w:val="21"/>
          <w:lang w:eastAsia="x-none"/>
        </w:rPr>
      </w:pPr>
      <w:r w:rsidRPr="00D148DC">
        <w:rPr>
          <w:rFonts w:ascii="Abadi" w:hAnsi="Abadi" w:cs="Arial"/>
          <w:b/>
          <w:sz w:val="21"/>
          <w:szCs w:val="21"/>
          <w:lang w:eastAsia="x-none"/>
        </w:rPr>
        <w:t>Diputada Alma Edwviges Alcaraz Hernández</w:t>
      </w:r>
    </w:p>
    <w:p w14:paraId="75BC9C74" w14:textId="77777777" w:rsidR="001E4B86" w:rsidRPr="00D148DC" w:rsidRDefault="001E4B86" w:rsidP="001E4B86">
      <w:pPr>
        <w:pStyle w:val="Textoindependiente2"/>
        <w:rPr>
          <w:rFonts w:ascii="Abadi" w:hAnsi="Abadi"/>
          <w:sz w:val="21"/>
          <w:szCs w:val="21"/>
        </w:rPr>
      </w:pPr>
    </w:p>
    <w:p w14:paraId="49980126" w14:textId="262ED2A5"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FORMULADO POR LA COMISIÓN DE HACIENDA Y FISCALIZACIÓN RELATIVO AL INFORME DE RESULTADOS DE LA REVISIÓN PRACTICADA POR LA AUDITORÍA SUPERIOR DEL ESTADO DE GUANAJUATO, A LA CUENTA PÚBLICA MUNICIPAL DE DOLORES HIDALGO CUNA DE LA INDEPENDENCIA NACIONAL, GTO., CORRESPONDIENTE AL EJERCICIO FISCAL DEL AÑO 2021. </w:t>
      </w:r>
      <w:r w:rsidRPr="00006796">
        <w:rPr>
          <w:rFonts w:ascii="Abadi" w:hAnsi="Abadi" w:cs="Arial-ItalicMT"/>
          <w:b/>
          <w:bCs/>
          <w:i/>
          <w:iCs/>
          <w:sz w:val="21"/>
          <w:szCs w:val="21"/>
        </w:rPr>
        <w:t>(ELD 311/LXVIRASEG)</w:t>
      </w:r>
      <w:r w:rsidR="006228E9">
        <w:rPr>
          <w:rStyle w:val="Refdenotaalpie"/>
          <w:rFonts w:ascii="Abadi" w:hAnsi="Abadi" w:cs="Arial-ItalicMT"/>
          <w:b/>
          <w:bCs/>
          <w:i/>
          <w:iCs/>
          <w:sz w:val="21"/>
          <w:szCs w:val="21"/>
        </w:rPr>
        <w:footnoteReference w:id="230"/>
      </w:r>
    </w:p>
    <w:p w14:paraId="7D7ED699" w14:textId="77777777" w:rsidR="001163FD" w:rsidRPr="001163FD" w:rsidRDefault="001163FD" w:rsidP="001163FD">
      <w:pPr>
        <w:pStyle w:val="Prrafodelista"/>
        <w:rPr>
          <w:rFonts w:ascii="Abadi" w:hAnsi="Abadi" w:cs="Arial-ItalicMT"/>
          <w:b/>
          <w:bCs/>
          <w:i/>
          <w:iCs/>
          <w:sz w:val="21"/>
          <w:szCs w:val="21"/>
        </w:rPr>
      </w:pPr>
    </w:p>
    <w:p w14:paraId="70941F3A" w14:textId="77777777" w:rsidR="001163FD" w:rsidRDefault="001163FD" w:rsidP="001163FD">
      <w:pPr>
        <w:autoSpaceDE w:val="0"/>
        <w:autoSpaceDN w:val="0"/>
        <w:adjustRightInd w:val="0"/>
        <w:contextualSpacing/>
        <w:jc w:val="both"/>
        <w:rPr>
          <w:rFonts w:ascii="Abadi" w:hAnsi="Abadi" w:cs="Arial-ItalicMT"/>
          <w:b/>
          <w:bCs/>
          <w:i/>
          <w:iCs/>
          <w:sz w:val="21"/>
          <w:szCs w:val="21"/>
        </w:rPr>
      </w:pPr>
    </w:p>
    <w:p w14:paraId="5BFEAA1D" w14:textId="77777777" w:rsidR="00A2390D" w:rsidRPr="009E77D1" w:rsidRDefault="00A2390D" w:rsidP="00A2390D">
      <w:pPr>
        <w:pStyle w:val="Textoindependiente3"/>
        <w:rPr>
          <w:rFonts w:ascii="Abadi" w:hAnsi="Abadi" w:cs="Arial"/>
          <w:smallCaps/>
          <w:sz w:val="21"/>
          <w:szCs w:val="21"/>
        </w:rPr>
      </w:pPr>
      <w:r w:rsidRPr="009E77D1">
        <w:rPr>
          <w:rFonts w:ascii="Abadi" w:hAnsi="Abadi" w:cs="Arial"/>
          <w:smallCaps/>
          <w:sz w:val="21"/>
          <w:szCs w:val="21"/>
        </w:rPr>
        <w:t>C. Presidenta del Congreso del Estado</w:t>
      </w:r>
    </w:p>
    <w:p w14:paraId="53D0F486" w14:textId="77777777" w:rsidR="00A2390D" w:rsidRPr="009E77D1" w:rsidRDefault="00A2390D" w:rsidP="00A2390D">
      <w:pPr>
        <w:jc w:val="both"/>
        <w:rPr>
          <w:rFonts w:ascii="Abadi" w:hAnsi="Abadi" w:cs="Arial"/>
          <w:b/>
          <w:bCs/>
          <w:smallCaps/>
          <w:sz w:val="21"/>
          <w:szCs w:val="21"/>
        </w:rPr>
      </w:pPr>
      <w:r w:rsidRPr="009E77D1">
        <w:rPr>
          <w:rFonts w:ascii="Abadi" w:hAnsi="Abadi" w:cs="Arial"/>
          <w:b/>
          <w:bCs/>
          <w:smallCaps/>
          <w:sz w:val="21"/>
          <w:szCs w:val="21"/>
        </w:rPr>
        <w:t>P r e s e n t e.</w:t>
      </w:r>
    </w:p>
    <w:p w14:paraId="1241984B" w14:textId="77777777" w:rsidR="00A2390D" w:rsidRPr="009E77D1" w:rsidRDefault="00A2390D" w:rsidP="00A2390D">
      <w:pPr>
        <w:pStyle w:val="Textoindependiente"/>
        <w:rPr>
          <w:rFonts w:ascii="Abadi" w:hAnsi="Abadi"/>
          <w:sz w:val="21"/>
          <w:szCs w:val="21"/>
        </w:rPr>
      </w:pPr>
    </w:p>
    <w:p w14:paraId="797C2007" w14:textId="77777777" w:rsidR="00A2390D" w:rsidRPr="009E77D1" w:rsidRDefault="00A2390D" w:rsidP="00A2390D">
      <w:pPr>
        <w:pStyle w:val="Sangra3detindependiente"/>
        <w:spacing w:line="240" w:lineRule="auto"/>
        <w:rPr>
          <w:rFonts w:ascii="Abadi" w:hAnsi="Abadi"/>
          <w:sz w:val="21"/>
          <w:szCs w:val="21"/>
        </w:rPr>
      </w:pPr>
      <w:r w:rsidRPr="009E77D1">
        <w:rPr>
          <w:rFonts w:ascii="Abadi" w:hAnsi="Abadi"/>
          <w:sz w:val="21"/>
          <w:szCs w:val="21"/>
        </w:rPr>
        <w:t xml:space="preserve">A </w:t>
      </w:r>
      <w:r w:rsidRPr="009E77D1">
        <w:rPr>
          <w:rFonts w:ascii="Abadi" w:hAnsi="Abadi"/>
          <w:sz w:val="21"/>
          <w:szCs w:val="21"/>
          <w:lang w:val="es-MX"/>
        </w:rPr>
        <w:t>esta</w:t>
      </w:r>
      <w:r w:rsidRPr="009E77D1">
        <w:rPr>
          <w:rFonts w:ascii="Abadi" w:hAnsi="Abadi"/>
          <w:sz w:val="21"/>
          <w:szCs w:val="21"/>
        </w:rPr>
        <w:t xml:space="preserve"> Comisión de Hacienda y Fiscalización</w:t>
      </w:r>
      <w:r w:rsidRPr="009E77D1">
        <w:rPr>
          <w:rFonts w:ascii="Abadi" w:hAnsi="Abadi"/>
          <w:sz w:val="21"/>
          <w:szCs w:val="21"/>
          <w:lang w:val="es-MX"/>
        </w:rPr>
        <w:t xml:space="preserve">, </w:t>
      </w:r>
      <w:r w:rsidRPr="009E77D1">
        <w:rPr>
          <w:rFonts w:ascii="Abadi" w:hAnsi="Abadi"/>
          <w:sz w:val="21"/>
          <w:szCs w:val="21"/>
        </w:rPr>
        <w:t xml:space="preserve">le fue turnado para su estudio y dictamen, el informe de resultados de la revisión practicada por </w:t>
      </w:r>
      <w:r w:rsidRPr="009E77D1">
        <w:rPr>
          <w:rFonts w:ascii="Abadi" w:hAnsi="Abadi"/>
          <w:sz w:val="21"/>
          <w:szCs w:val="21"/>
          <w:lang w:val="es-MX"/>
        </w:rPr>
        <w:t xml:space="preserve">la </w:t>
      </w:r>
      <w:r w:rsidRPr="009E77D1">
        <w:rPr>
          <w:rFonts w:ascii="Abadi" w:hAnsi="Abadi"/>
          <w:sz w:val="21"/>
          <w:szCs w:val="21"/>
        </w:rPr>
        <w:t xml:space="preserve">Auditoría Superior del Estado de Guanajuato, a la cuenta pública municipal de </w:t>
      </w:r>
      <w:r w:rsidRPr="009E77D1">
        <w:rPr>
          <w:rFonts w:ascii="Abadi" w:hAnsi="Abadi"/>
          <w:sz w:val="21"/>
          <w:szCs w:val="21"/>
          <w:lang w:val="es-MX"/>
        </w:rPr>
        <w:t>Dolores Hidalgo Cuna de la Independencia Nacional</w:t>
      </w:r>
      <w:r w:rsidRPr="009E77D1">
        <w:rPr>
          <w:rFonts w:ascii="Abadi" w:hAnsi="Abadi"/>
          <w:sz w:val="21"/>
          <w:szCs w:val="21"/>
        </w:rPr>
        <w:t xml:space="preserve">, </w:t>
      </w:r>
      <w:proofErr w:type="spellStart"/>
      <w:r w:rsidRPr="009E77D1">
        <w:rPr>
          <w:rFonts w:ascii="Abadi" w:hAnsi="Abadi"/>
          <w:sz w:val="21"/>
          <w:szCs w:val="21"/>
        </w:rPr>
        <w:t>Gto</w:t>
      </w:r>
      <w:proofErr w:type="spellEnd"/>
      <w:r w:rsidRPr="009E77D1">
        <w:rPr>
          <w:rFonts w:ascii="Abadi" w:hAnsi="Abadi"/>
          <w:sz w:val="21"/>
          <w:szCs w:val="21"/>
        </w:rPr>
        <w:t xml:space="preserve">., correspondiente al ejercicio fiscal del año 2021. (ELD </w:t>
      </w:r>
      <w:r w:rsidRPr="009E77D1">
        <w:rPr>
          <w:rFonts w:ascii="Abadi" w:hAnsi="Abadi"/>
          <w:sz w:val="21"/>
          <w:szCs w:val="21"/>
          <w:lang w:val="es-MX"/>
        </w:rPr>
        <w:t>311</w:t>
      </w:r>
      <w:r w:rsidRPr="009E77D1">
        <w:rPr>
          <w:rFonts w:ascii="Abadi" w:hAnsi="Abadi"/>
          <w:sz w:val="21"/>
          <w:szCs w:val="21"/>
        </w:rPr>
        <w:t>/LXV-IRASEG)</w:t>
      </w:r>
    </w:p>
    <w:p w14:paraId="29E5A1E2" w14:textId="77777777" w:rsidR="00A2390D" w:rsidRPr="009E77D1" w:rsidRDefault="00A2390D" w:rsidP="00A2390D">
      <w:pPr>
        <w:pStyle w:val="Sangra3detindependiente"/>
        <w:spacing w:line="240" w:lineRule="auto"/>
        <w:rPr>
          <w:rFonts w:ascii="Abadi" w:hAnsi="Abadi"/>
          <w:sz w:val="21"/>
          <w:szCs w:val="21"/>
        </w:rPr>
      </w:pPr>
    </w:p>
    <w:p w14:paraId="69801FF5" w14:textId="77777777" w:rsidR="00A2390D" w:rsidRPr="009E77D1" w:rsidRDefault="00A2390D" w:rsidP="00A2390D">
      <w:pPr>
        <w:pStyle w:val="Sangra3detindependiente"/>
        <w:spacing w:line="240" w:lineRule="auto"/>
        <w:rPr>
          <w:rFonts w:ascii="Abadi" w:hAnsi="Abadi"/>
          <w:sz w:val="21"/>
          <w:szCs w:val="21"/>
        </w:rPr>
      </w:pPr>
      <w:r w:rsidRPr="009E77D1">
        <w:rPr>
          <w:rFonts w:ascii="Abadi" w:hAnsi="Abadi"/>
          <w:sz w:val="21"/>
          <w:szCs w:val="21"/>
        </w:rPr>
        <w:t>Una vez analizado el referido informe de resultados, con fundamento en lo dispuesto por los artículos 112, fracción XII</w:t>
      </w:r>
      <w:r w:rsidRPr="009E77D1">
        <w:rPr>
          <w:rFonts w:ascii="Abadi" w:hAnsi="Abadi"/>
          <w:sz w:val="21"/>
          <w:szCs w:val="21"/>
          <w:lang w:val="es-MX"/>
        </w:rPr>
        <w:t>, primer párrafo</w:t>
      </w:r>
      <w:r w:rsidRPr="009E77D1">
        <w:rPr>
          <w:rFonts w:ascii="Abadi" w:hAnsi="Abadi"/>
          <w:sz w:val="21"/>
          <w:szCs w:val="21"/>
        </w:rPr>
        <w:t xml:space="preserve"> y 171 de </w:t>
      </w:r>
      <w:smartTag w:uri="urn:schemas-microsoft-com:office:smarttags" w:element="PersonName">
        <w:smartTagPr>
          <w:attr w:name="ProductID" w:val="la Ley Org￡nica"/>
        </w:smartTagPr>
        <w:r w:rsidRPr="009E77D1">
          <w:rPr>
            <w:rFonts w:ascii="Abadi" w:hAnsi="Abadi"/>
            <w:sz w:val="21"/>
            <w:szCs w:val="21"/>
          </w:rPr>
          <w:t>la Ley Orgánica</w:t>
        </w:r>
      </w:smartTag>
      <w:r w:rsidRPr="009E77D1">
        <w:rPr>
          <w:rFonts w:ascii="Abadi" w:hAnsi="Abadi"/>
          <w:sz w:val="21"/>
          <w:szCs w:val="21"/>
        </w:rPr>
        <w:t xml:space="preserve"> del Poder Legislativo, nos permitimos rendir el siguiente:</w:t>
      </w:r>
    </w:p>
    <w:p w14:paraId="7356F76E" w14:textId="77777777" w:rsidR="00A2390D" w:rsidRPr="009E77D1" w:rsidRDefault="00A2390D" w:rsidP="00A2390D">
      <w:pPr>
        <w:pStyle w:val="Sangra3detindependiente"/>
        <w:spacing w:line="240" w:lineRule="auto"/>
        <w:rPr>
          <w:rFonts w:ascii="Abadi" w:hAnsi="Abadi"/>
          <w:sz w:val="21"/>
          <w:szCs w:val="21"/>
        </w:rPr>
      </w:pPr>
    </w:p>
    <w:p w14:paraId="6A5F39B5" w14:textId="77777777" w:rsidR="00A2390D" w:rsidRPr="009E77D1" w:rsidRDefault="00A2390D" w:rsidP="00A2390D">
      <w:pPr>
        <w:pStyle w:val="Ttulo1"/>
        <w:jc w:val="center"/>
        <w:rPr>
          <w:rFonts w:ascii="Abadi" w:hAnsi="Abadi" w:cs="Arial"/>
          <w:sz w:val="21"/>
          <w:szCs w:val="21"/>
        </w:rPr>
      </w:pPr>
      <w:r w:rsidRPr="009E77D1">
        <w:rPr>
          <w:rFonts w:ascii="Abadi" w:hAnsi="Abadi" w:cs="Arial"/>
          <w:sz w:val="21"/>
          <w:szCs w:val="21"/>
        </w:rPr>
        <w:t>D i c t a m e n</w:t>
      </w:r>
    </w:p>
    <w:p w14:paraId="5F1FF9EE" w14:textId="77777777" w:rsidR="009A32BC" w:rsidRDefault="009A32BC" w:rsidP="00A2390D">
      <w:pPr>
        <w:pStyle w:val="Textoindependiente"/>
        <w:ind w:firstLine="708"/>
        <w:rPr>
          <w:rFonts w:ascii="Abadi" w:hAnsi="Abadi"/>
          <w:b w:val="0"/>
          <w:bCs w:val="0"/>
          <w:sz w:val="21"/>
          <w:szCs w:val="21"/>
        </w:rPr>
      </w:pPr>
    </w:p>
    <w:p w14:paraId="6235D39B" w14:textId="09FD8D3C" w:rsidR="00A2390D" w:rsidRPr="009E77D1" w:rsidRDefault="00A2390D" w:rsidP="00A2390D">
      <w:pPr>
        <w:pStyle w:val="Textoindependiente"/>
        <w:ind w:firstLine="708"/>
        <w:rPr>
          <w:rFonts w:ascii="Abadi" w:hAnsi="Abadi"/>
          <w:b w:val="0"/>
          <w:bCs w:val="0"/>
          <w:sz w:val="21"/>
          <w:szCs w:val="21"/>
        </w:rPr>
      </w:pPr>
      <w:r w:rsidRPr="009E77D1">
        <w:rPr>
          <w:rFonts w:ascii="Abadi" w:hAnsi="Abadi"/>
          <w:b w:val="0"/>
          <w:bCs w:val="0"/>
          <w:sz w:val="21"/>
          <w:szCs w:val="21"/>
        </w:rPr>
        <w:t>I. Competencia:</w:t>
      </w:r>
    </w:p>
    <w:p w14:paraId="4603CF01" w14:textId="77777777" w:rsidR="00A2390D" w:rsidRPr="009E77D1" w:rsidRDefault="00A2390D" w:rsidP="00A2390D">
      <w:pPr>
        <w:pStyle w:val="Textoindependiente"/>
        <w:ind w:firstLine="708"/>
        <w:rPr>
          <w:rFonts w:ascii="Abadi" w:hAnsi="Abadi"/>
          <w:b w:val="0"/>
          <w:bCs w:val="0"/>
          <w:sz w:val="21"/>
          <w:szCs w:val="21"/>
        </w:rPr>
      </w:pPr>
    </w:p>
    <w:p w14:paraId="1B293035"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E77D1">
          <w:rPr>
            <w:rFonts w:ascii="Abadi" w:hAnsi="Abadi" w:cs="Arial"/>
            <w:sz w:val="21"/>
            <w:szCs w:val="21"/>
            <w:lang w:val="es-MX" w:eastAsia="x-none"/>
          </w:rPr>
          <w:t>la Constitución Política</w:t>
        </w:r>
      </w:smartTag>
      <w:r w:rsidRPr="009E77D1">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w:t>
      </w:r>
      <w:r w:rsidRPr="009E77D1">
        <w:rPr>
          <w:rFonts w:ascii="Abadi" w:hAnsi="Abadi" w:cs="Arial"/>
          <w:sz w:val="21"/>
          <w:szCs w:val="21"/>
          <w:lang w:val="es-MX" w:eastAsia="x-none"/>
        </w:rPr>
        <w:lastRenderedPageBreak/>
        <w:t xml:space="preserve">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62B28BD" w14:textId="77777777" w:rsidR="00A2390D" w:rsidRPr="009E77D1" w:rsidRDefault="00A2390D" w:rsidP="00A2390D">
      <w:pPr>
        <w:ind w:firstLine="708"/>
        <w:jc w:val="both"/>
        <w:rPr>
          <w:rFonts w:ascii="Abadi" w:hAnsi="Abadi" w:cs="Arial"/>
          <w:sz w:val="21"/>
          <w:szCs w:val="21"/>
          <w:lang w:val="es-MX" w:eastAsia="x-none"/>
        </w:rPr>
      </w:pPr>
    </w:p>
    <w:p w14:paraId="10C69914"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0BAD017" w14:textId="77777777" w:rsidR="00A2390D" w:rsidRPr="009E77D1" w:rsidRDefault="00A2390D" w:rsidP="00A2390D">
      <w:pPr>
        <w:ind w:firstLine="708"/>
        <w:jc w:val="both"/>
        <w:rPr>
          <w:rFonts w:ascii="Abadi" w:hAnsi="Abadi" w:cs="Arial"/>
          <w:sz w:val="21"/>
          <w:szCs w:val="21"/>
          <w:lang w:val="es-MX" w:eastAsia="x-none"/>
        </w:rPr>
      </w:pPr>
    </w:p>
    <w:p w14:paraId="69CDABF0"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E77D1">
          <w:rPr>
            <w:rFonts w:ascii="Abadi" w:hAnsi="Abadi" w:cs="Arial"/>
            <w:sz w:val="21"/>
            <w:szCs w:val="21"/>
            <w:lang w:val="es-MX" w:eastAsia="x-none"/>
          </w:rPr>
          <w:t>la Constitución Política</w:t>
        </w:r>
      </w:smartTag>
      <w:r w:rsidRPr="009E77D1">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24A0F20" w14:textId="77777777" w:rsidR="00A2390D" w:rsidRPr="009E77D1" w:rsidRDefault="00A2390D" w:rsidP="00A2390D">
      <w:pPr>
        <w:ind w:firstLine="708"/>
        <w:jc w:val="both"/>
        <w:rPr>
          <w:rFonts w:ascii="Abadi" w:hAnsi="Abadi" w:cs="Arial"/>
          <w:sz w:val="21"/>
          <w:szCs w:val="21"/>
          <w:lang w:val="es-MX" w:eastAsia="x-none"/>
        </w:rPr>
      </w:pPr>
    </w:p>
    <w:p w14:paraId="3E32F88C"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475D5FF" w14:textId="77777777" w:rsidR="00A2390D" w:rsidRPr="009E77D1" w:rsidRDefault="00A2390D" w:rsidP="00A2390D">
      <w:pPr>
        <w:ind w:firstLine="708"/>
        <w:jc w:val="both"/>
        <w:rPr>
          <w:rFonts w:ascii="Abadi" w:hAnsi="Abadi" w:cs="Arial"/>
          <w:sz w:val="21"/>
          <w:szCs w:val="21"/>
          <w:lang w:val="es-MX" w:eastAsia="x-none"/>
        </w:rPr>
      </w:pPr>
    </w:p>
    <w:p w14:paraId="779F67E2"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961378C" w14:textId="77777777" w:rsidR="00A2390D" w:rsidRPr="009E77D1" w:rsidRDefault="00A2390D" w:rsidP="00A2390D">
      <w:pPr>
        <w:pStyle w:val="Textoindependiente"/>
        <w:ind w:firstLine="708"/>
        <w:rPr>
          <w:rFonts w:ascii="Abadi" w:hAnsi="Abadi"/>
          <w:sz w:val="21"/>
          <w:szCs w:val="21"/>
        </w:rPr>
      </w:pPr>
    </w:p>
    <w:p w14:paraId="619CC5CE"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565D68C5" w14:textId="77777777" w:rsidR="00A2390D" w:rsidRPr="00461B13" w:rsidRDefault="00A2390D" w:rsidP="00A2390D">
      <w:pPr>
        <w:pStyle w:val="Textoindependiente"/>
        <w:ind w:firstLine="708"/>
        <w:rPr>
          <w:rFonts w:ascii="Abadi" w:hAnsi="Abadi"/>
          <w:b w:val="0"/>
          <w:bCs w:val="0"/>
          <w:sz w:val="21"/>
          <w:szCs w:val="21"/>
        </w:rPr>
      </w:pPr>
    </w:p>
    <w:p w14:paraId="58892DD9"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61B13">
          <w:rPr>
            <w:rFonts w:ascii="Abadi" w:hAnsi="Abadi"/>
            <w:b w:val="0"/>
            <w:bCs w:val="0"/>
            <w:sz w:val="21"/>
            <w:szCs w:val="21"/>
          </w:rPr>
          <w:t>la Ley Orgánica</w:t>
        </w:r>
      </w:smartTag>
      <w:r w:rsidRPr="00461B13">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1B0C755" w14:textId="77777777" w:rsidR="00A2390D" w:rsidRPr="00461B13" w:rsidRDefault="00A2390D" w:rsidP="00A2390D">
      <w:pPr>
        <w:pStyle w:val="Textoindependiente"/>
        <w:ind w:firstLine="708"/>
        <w:rPr>
          <w:rFonts w:ascii="Abadi" w:hAnsi="Abadi"/>
          <w:b w:val="0"/>
          <w:bCs w:val="0"/>
          <w:sz w:val="21"/>
          <w:szCs w:val="21"/>
        </w:rPr>
      </w:pPr>
    </w:p>
    <w:p w14:paraId="15DBD821"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w:t>
      </w:r>
      <w:r w:rsidRPr="009E77D1">
        <w:rPr>
          <w:rFonts w:ascii="Abadi" w:hAnsi="Abadi"/>
          <w:sz w:val="21"/>
          <w:szCs w:val="21"/>
        </w:rPr>
        <w:t xml:space="preserve"> </w:t>
      </w:r>
      <w:r w:rsidRPr="00461B13">
        <w:rPr>
          <w:rFonts w:ascii="Abadi" w:hAnsi="Abadi"/>
          <w:b w:val="0"/>
          <w:bCs w:val="0"/>
          <w:sz w:val="21"/>
          <w:szCs w:val="21"/>
        </w:rPr>
        <w:t>ocupará exclusivamente de los aspectos que la propia Ley señala y por los cuales podría ser observado o no, el informe de resultados.</w:t>
      </w:r>
    </w:p>
    <w:p w14:paraId="097C4D08" w14:textId="77777777" w:rsidR="00461B13" w:rsidRDefault="00461B13" w:rsidP="00A2390D">
      <w:pPr>
        <w:ind w:firstLine="708"/>
        <w:jc w:val="both"/>
        <w:rPr>
          <w:rFonts w:ascii="Abadi" w:hAnsi="Abadi" w:cs="Arial"/>
          <w:b/>
          <w:bCs/>
          <w:sz w:val="21"/>
          <w:szCs w:val="21"/>
          <w:lang w:val="es-MX" w:eastAsia="x-none"/>
        </w:rPr>
      </w:pPr>
    </w:p>
    <w:p w14:paraId="2DFF3212" w14:textId="5A299D16" w:rsidR="00A2390D" w:rsidRPr="009E77D1" w:rsidRDefault="00A2390D" w:rsidP="00A2390D">
      <w:pPr>
        <w:ind w:firstLine="708"/>
        <w:jc w:val="both"/>
        <w:rPr>
          <w:rFonts w:ascii="Abadi" w:hAnsi="Abadi" w:cs="Arial"/>
          <w:b/>
          <w:bCs/>
          <w:sz w:val="21"/>
          <w:szCs w:val="21"/>
          <w:lang w:val="es-MX" w:eastAsia="x-none"/>
        </w:rPr>
      </w:pPr>
      <w:r w:rsidRPr="009E77D1">
        <w:rPr>
          <w:rFonts w:ascii="Abadi" w:hAnsi="Abadi" w:cs="Arial"/>
          <w:b/>
          <w:bCs/>
          <w:sz w:val="21"/>
          <w:szCs w:val="21"/>
          <w:lang w:val="es-MX" w:eastAsia="x-none"/>
        </w:rPr>
        <w:t>II. Antecedentes:</w:t>
      </w:r>
    </w:p>
    <w:p w14:paraId="3230AC57" w14:textId="77777777" w:rsidR="00A2390D" w:rsidRPr="009E77D1" w:rsidRDefault="00A2390D" w:rsidP="00A2390D">
      <w:pPr>
        <w:ind w:firstLine="708"/>
        <w:jc w:val="both"/>
        <w:rPr>
          <w:rFonts w:ascii="Abadi" w:hAnsi="Abadi" w:cs="Arial"/>
          <w:sz w:val="21"/>
          <w:szCs w:val="21"/>
          <w:lang w:val="es-MX" w:eastAsia="x-none"/>
        </w:rPr>
      </w:pPr>
    </w:p>
    <w:p w14:paraId="10504A3E"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E77D1">
          <w:rPr>
            <w:rFonts w:ascii="Abadi" w:hAnsi="Abadi" w:cs="Arial"/>
            <w:sz w:val="21"/>
            <w:szCs w:val="21"/>
            <w:lang w:val="es-MX" w:eastAsia="x-none"/>
          </w:rPr>
          <w:t>la Constitución Política</w:t>
        </w:r>
      </w:smartTag>
      <w:r w:rsidRPr="009E77D1">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33CEEAF" w14:textId="77777777" w:rsidR="00A2390D" w:rsidRPr="009E77D1" w:rsidRDefault="00A2390D" w:rsidP="00A2390D">
      <w:pPr>
        <w:ind w:firstLine="708"/>
        <w:jc w:val="both"/>
        <w:rPr>
          <w:rFonts w:ascii="Abadi" w:hAnsi="Abadi" w:cs="Arial"/>
          <w:sz w:val="21"/>
          <w:szCs w:val="21"/>
          <w:lang w:val="es-MX" w:eastAsia="x-none"/>
        </w:rPr>
      </w:pPr>
    </w:p>
    <w:p w14:paraId="039D9854"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4FE97F98" w14:textId="77777777" w:rsidR="00A2390D" w:rsidRPr="00461B13" w:rsidRDefault="00A2390D" w:rsidP="00A2390D">
      <w:pPr>
        <w:pStyle w:val="Textoindependiente"/>
        <w:ind w:firstLine="708"/>
        <w:rPr>
          <w:rFonts w:ascii="Abadi" w:hAnsi="Abadi"/>
          <w:b w:val="0"/>
          <w:bCs w:val="0"/>
          <w:sz w:val="21"/>
          <w:szCs w:val="21"/>
        </w:rPr>
      </w:pPr>
    </w:p>
    <w:p w14:paraId="4BD0C315"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señala que la Auditoría Superior del Estado será competente para fiscalizar la </w:t>
      </w:r>
      <w:r w:rsidRPr="00461B13">
        <w:rPr>
          <w:rFonts w:ascii="Abadi" w:hAnsi="Abadi"/>
          <w:b w:val="0"/>
          <w:bCs w:val="0"/>
          <w:sz w:val="21"/>
          <w:szCs w:val="21"/>
        </w:rPr>
        <w:lastRenderedPageBreak/>
        <w:t>gestión financiera de los sujetos de fiscalización, a través de sus cuentas públicas.</w:t>
      </w:r>
    </w:p>
    <w:p w14:paraId="22D8E6CE" w14:textId="77777777" w:rsidR="00A2390D" w:rsidRPr="00461B13" w:rsidRDefault="00A2390D" w:rsidP="00A2390D">
      <w:pPr>
        <w:pStyle w:val="Textoindependiente"/>
        <w:ind w:firstLine="708"/>
        <w:rPr>
          <w:rFonts w:ascii="Abadi" w:hAnsi="Abadi"/>
          <w:b w:val="0"/>
          <w:bCs w:val="0"/>
          <w:sz w:val="21"/>
          <w:szCs w:val="21"/>
        </w:rPr>
      </w:pPr>
    </w:p>
    <w:p w14:paraId="761B2F12"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BE9B543" w14:textId="77777777" w:rsidR="00A2390D" w:rsidRPr="009E77D1" w:rsidRDefault="00A2390D" w:rsidP="00A2390D">
      <w:pPr>
        <w:pStyle w:val="Textoindependiente"/>
        <w:ind w:firstLine="708"/>
        <w:rPr>
          <w:rFonts w:ascii="Abadi" w:hAnsi="Abadi"/>
          <w:sz w:val="21"/>
          <w:szCs w:val="21"/>
        </w:rPr>
      </w:pPr>
    </w:p>
    <w:p w14:paraId="1FDB7839"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19FF4FB" w14:textId="77777777" w:rsidR="00A2390D" w:rsidRPr="00461B13" w:rsidRDefault="00A2390D" w:rsidP="00A2390D">
      <w:pPr>
        <w:ind w:firstLine="708"/>
        <w:jc w:val="both"/>
        <w:rPr>
          <w:rFonts w:ascii="Abadi" w:hAnsi="Abadi" w:cs="Arial"/>
          <w:sz w:val="21"/>
          <w:szCs w:val="21"/>
          <w:lang w:val="es-MX" w:eastAsia="x-none"/>
        </w:rPr>
      </w:pPr>
    </w:p>
    <w:p w14:paraId="30860598"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E77D1">
          <w:rPr>
            <w:rFonts w:ascii="Abadi" w:hAnsi="Abadi" w:cs="Arial"/>
            <w:sz w:val="21"/>
            <w:szCs w:val="21"/>
            <w:lang w:val="es-MX" w:eastAsia="x-none"/>
          </w:rPr>
          <w:t>la Ley Orgánica</w:t>
        </w:r>
      </w:smartTag>
      <w:r w:rsidRPr="009E77D1">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0916BD7" w14:textId="77777777" w:rsidR="00A2390D" w:rsidRPr="009E77D1" w:rsidRDefault="00A2390D" w:rsidP="00A2390D">
      <w:pPr>
        <w:ind w:firstLine="708"/>
        <w:jc w:val="both"/>
        <w:rPr>
          <w:rFonts w:ascii="Abadi" w:hAnsi="Abadi" w:cs="Arial"/>
          <w:sz w:val="21"/>
          <w:szCs w:val="21"/>
          <w:lang w:val="es-MX" w:eastAsia="x-none"/>
        </w:rPr>
      </w:pPr>
    </w:p>
    <w:p w14:paraId="2FD2BF87" w14:textId="77777777" w:rsidR="00A2390D" w:rsidRPr="009E77D1" w:rsidRDefault="00A2390D" w:rsidP="00A2390D">
      <w:pPr>
        <w:ind w:right="60" w:firstLine="709"/>
        <w:jc w:val="both"/>
        <w:rPr>
          <w:rFonts w:ascii="Abadi" w:hAnsi="Abadi" w:cs="Arial"/>
          <w:sz w:val="21"/>
          <w:szCs w:val="21"/>
          <w:lang w:val="es-MX" w:eastAsia="x-none"/>
        </w:rPr>
      </w:pPr>
      <w:r w:rsidRPr="009E77D1">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30A78C8" w14:textId="77777777" w:rsidR="00A2390D" w:rsidRPr="009E77D1" w:rsidRDefault="00A2390D" w:rsidP="00A2390D">
      <w:pPr>
        <w:ind w:right="58" w:firstLine="709"/>
        <w:jc w:val="both"/>
        <w:rPr>
          <w:rFonts w:ascii="Abadi" w:eastAsia="DejaVu Sans" w:hAnsi="Abadi" w:cs="Tahoma"/>
          <w:iCs/>
          <w:kern w:val="1"/>
          <w:sz w:val="21"/>
          <w:szCs w:val="21"/>
          <w:lang w:eastAsia="ar-SA"/>
        </w:rPr>
      </w:pPr>
    </w:p>
    <w:p w14:paraId="03C8693A"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3A797E02" w14:textId="77777777" w:rsidR="00A2390D" w:rsidRPr="009E77D1" w:rsidRDefault="00A2390D" w:rsidP="00A2390D">
      <w:pPr>
        <w:pStyle w:val="Textoindependiente"/>
        <w:ind w:firstLine="708"/>
        <w:rPr>
          <w:rFonts w:ascii="Abadi" w:hAnsi="Abadi"/>
          <w:sz w:val="21"/>
          <w:szCs w:val="21"/>
        </w:rPr>
      </w:pPr>
    </w:p>
    <w:p w14:paraId="61E3E572"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Asimismo, el artículo 19 de la Ley de Fiscalización Superior del Estado prevé que la información financiera y la cuenta pública deberá organizarse, integrarse, </w:t>
      </w:r>
      <w:r w:rsidRPr="00461B13">
        <w:rPr>
          <w:rFonts w:ascii="Abadi" w:hAnsi="Abadi"/>
          <w:b w:val="0"/>
          <w:bCs w:val="0"/>
          <w:sz w:val="21"/>
          <w:szCs w:val="21"/>
        </w:rPr>
        <w:t>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EE634A1" w14:textId="77777777" w:rsidR="00A2390D" w:rsidRPr="00461B13" w:rsidRDefault="00A2390D" w:rsidP="00A2390D">
      <w:pPr>
        <w:pStyle w:val="Textoindependiente"/>
        <w:ind w:firstLine="708"/>
        <w:rPr>
          <w:rFonts w:ascii="Abadi" w:hAnsi="Abadi"/>
          <w:b w:val="0"/>
          <w:bCs w:val="0"/>
          <w:sz w:val="21"/>
          <w:szCs w:val="21"/>
        </w:rPr>
      </w:pPr>
    </w:p>
    <w:p w14:paraId="607E0C1B" w14:textId="77777777" w:rsidR="00A2390D" w:rsidRPr="009E77D1" w:rsidRDefault="00A2390D" w:rsidP="00A2390D">
      <w:pPr>
        <w:ind w:right="60" w:firstLine="709"/>
        <w:jc w:val="both"/>
        <w:rPr>
          <w:rFonts w:ascii="Abadi" w:hAnsi="Abadi" w:cs="Arial"/>
          <w:sz w:val="21"/>
          <w:szCs w:val="21"/>
          <w:lang w:val="es-MX" w:eastAsia="x-none"/>
        </w:rPr>
      </w:pPr>
      <w:r w:rsidRPr="00461B13">
        <w:rPr>
          <w:rFonts w:ascii="Abadi" w:hAnsi="Abadi" w:cs="Arial"/>
          <w:sz w:val="21"/>
          <w:szCs w:val="21"/>
          <w:lang w:val="es-MX" w:eastAsia="x-none"/>
        </w:rPr>
        <w:t>Por</w:t>
      </w:r>
      <w:r w:rsidRPr="009E77D1">
        <w:rPr>
          <w:rFonts w:ascii="Abadi" w:hAnsi="Abadi" w:cs="Arial"/>
          <w:sz w:val="21"/>
          <w:szCs w:val="21"/>
          <w:lang w:val="es-MX" w:eastAsia="x-none"/>
        </w:rPr>
        <w:t xml:space="preserve">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5EA35F51" w14:textId="77777777" w:rsidR="00A2390D" w:rsidRPr="009E77D1" w:rsidRDefault="00A2390D" w:rsidP="00A2390D">
      <w:pPr>
        <w:pStyle w:val="Textoindependiente"/>
        <w:ind w:firstLine="708"/>
        <w:rPr>
          <w:rFonts w:ascii="Abadi" w:hAnsi="Abadi"/>
          <w:sz w:val="21"/>
          <w:szCs w:val="21"/>
        </w:rPr>
      </w:pPr>
    </w:p>
    <w:p w14:paraId="3C8C9BC4"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En cuanto a la presentación de la cuenta pública, el artículo 17 del Reglamento</w:t>
      </w:r>
      <w:r w:rsidRPr="009E77D1">
        <w:rPr>
          <w:rFonts w:ascii="Abadi" w:hAnsi="Abadi"/>
          <w:sz w:val="21"/>
          <w:szCs w:val="21"/>
        </w:rPr>
        <w:t xml:space="preserve"> de la Ley de Fiscalización Superior del Estado de Guanajuato señala que la misma se remitirá por los sujetos fiscalizados al Congreso del Estado a través de medios electrónicos, </w:t>
      </w:r>
      <w:r w:rsidRPr="00461B13">
        <w:rPr>
          <w:rFonts w:ascii="Abadi" w:hAnsi="Abadi"/>
          <w:b w:val="0"/>
          <w:bCs w:val="0"/>
          <w:sz w:val="21"/>
          <w:szCs w:val="21"/>
        </w:rPr>
        <w:t>haciendo uso del sistema informático que instrumente y difunda la Auditoría Superior.</w:t>
      </w:r>
    </w:p>
    <w:p w14:paraId="794072E9" w14:textId="77777777" w:rsidR="00A2390D" w:rsidRPr="009E77D1" w:rsidRDefault="00A2390D" w:rsidP="00A2390D">
      <w:pPr>
        <w:pStyle w:val="Textoindependiente"/>
        <w:ind w:firstLine="708"/>
        <w:rPr>
          <w:rFonts w:ascii="Abadi" w:hAnsi="Abadi"/>
          <w:sz w:val="21"/>
          <w:szCs w:val="21"/>
        </w:rPr>
      </w:pPr>
    </w:p>
    <w:p w14:paraId="38854423" w14:textId="77777777" w:rsidR="00A2390D" w:rsidRPr="009E77D1" w:rsidRDefault="00A2390D" w:rsidP="00A2390D">
      <w:pPr>
        <w:tabs>
          <w:tab w:val="left" w:pos="709"/>
        </w:tabs>
        <w:jc w:val="both"/>
        <w:rPr>
          <w:rFonts w:ascii="Abadi" w:hAnsi="Abadi" w:cs="Arial"/>
          <w:sz w:val="21"/>
          <w:szCs w:val="21"/>
          <w:lang w:val="es-MX" w:eastAsia="x-none"/>
        </w:rPr>
      </w:pPr>
      <w:r w:rsidRPr="009E77D1">
        <w:rPr>
          <w:rFonts w:ascii="Abadi" w:hAnsi="Abadi" w:cs="Arial"/>
          <w:sz w:val="21"/>
          <w:szCs w:val="21"/>
        </w:rPr>
        <w:tab/>
        <w:t xml:space="preserve">El citado artículo también refiere </w:t>
      </w:r>
      <w:r w:rsidRPr="009E77D1">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B93D757" w14:textId="77777777" w:rsidR="00A2390D" w:rsidRPr="009E77D1" w:rsidRDefault="00A2390D" w:rsidP="00A2390D">
      <w:pPr>
        <w:tabs>
          <w:tab w:val="left" w:pos="709"/>
        </w:tabs>
        <w:jc w:val="both"/>
        <w:rPr>
          <w:rFonts w:ascii="Abadi" w:hAnsi="Abadi" w:cs="Arial"/>
          <w:sz w:val="21"/>
          <w:szCs w:val="21"/>
          <w:lang w:val="es-MX" w:eastAsia="x-none"/>
        </w:rPr>
      </w:pPr>
      <w:r w:rsidRPr="009E77D1">
        <w:rPr>
          <w:rFonts w:ascii="Abadi" w:hAnsi="Abadi" w:cs="Arial"/>
          <w:sz w:val="21"/>
          <w:szCs w:val="21"/>
          <w:lang w:val="es-MX" w:eastAsia="x-none"/>
        </w:rPr>
        <w:tab/>
        <w:t xml:space="preserve">En términos del numeral 23 de la </w:t>
      </w:r>
      <w:r w:rsidRPr="009E77D1">
        <w:rPr>
          <w:rFonts w:ascii="Abadi" w:hAnsi="Abadi" w:cs="Arial"/>
          <w:sz w:val="21"/>
          <w:szCs w:val="21"/>
        </w:rPr>
        <w:t>Ley de Fiscalización Superior del Estado de Guanajuato, p</w:t>
      </w:r>
      <w:r w:rsidRPr="009E77D1">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1B922A3" w14:textId="77777777" w:rsidR="00A2390D" w:rsidRPr="009E77D1" w:rsidRDefault="00A2390D" w:rsidP="00A2390D">
      <w:pPr>
        <w:tabs>
          <w:tab w:val="left" w:pos="709"/>
        </w:tabs>
        <w:jc w:val="both"/>
        <w:rPr>
          <w:rFonts w:ascii="Abadi" w:hAnsi="Abadi" w:cs="Arial"/>
          <w:sz w:val="21"/>
          <w:szCs w:val="21"/>
          <w:lang w:val="es-MX" w:eastAsia="x-none"/>
        </w:rPr>
      </w:pPr>
    </w:p>
    <w:p w14:paraId="56728EC5" w14:textId="77777777" w:rsidR="00A2390D" w:rsidRPr="009E77D1" w:rsidRDefault="00A2390D" w:rsidP="00A2390D">
      <w:pPr>
        <w:pStyle w:val="Texto"/>
        <w:spacing w:after="0" w:line="240" w:lineRule="auto"/>
        <w:ind w:firstLine="708"/>
        <w:rPr>
          <w:rFonts w:ascii="Abadi" w:hAnsi="Abadi" w:cs="Arial"/>
          <w:sz w:val="21"/>
          <w:szCs w:val="21"/>
          <w:lang w:val="es-MX"/>
        </w:rPr>
      </w:pPr>
      <w:r w:rsidRPr="009E77D1">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w:t>
      </w:r>
      <w:r w:rsidRPr="009E77D1">
        <w:rPr>
          <w:rFonts w:ascii="Abadi" w:hAnsi="Abadi" w:cs="Arial"/>
          <w:sz w:val="21"/>
          <w:szCs w:val="21"/>
          <w:lang w:val="es-MX"/>
        </w:rPr>
        <w:lastRenderedPageBreak/>
        <w:t xml:space="preserve">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03DC0751" w14:textId="77777777" w:rsidR="00A2390D" w:rsidRPr="009E77D1" w:rsidRDefault="00A2390D" w:rsidP="00A2390D">
      <w:pPr>
        <w:pStyle w:val="Texto"/>
        <w:spacing w:after="0" w:line="240" w:lineRule="auto"/>
        <w:ind w:firstLine="708"/>
        <w:rPr>
          <w:rFonts w:ascii="Abadi" w:hAnsi="Abadi" w:cs="Arial"/>
          <w:sz w:val="21"/>
          <w:szCs w:val="21"/>
          <w:lang w:val="es-MX"/>
        </w:rPr>
      </w:pPr>
    </w:p>
    <w:p w14:paraId="2B11698C" w14:textId="77777777" w:rsidR="00A2390D" w:rsidRPr="009E77D1" w:rsidRDefault="00A2390D" w:rsidP="00A2390D">
      <w:pPr>
        <w:pStyle w:val="Texto"/>
        <w:spacing w:after="0" w:line="240" w:lineRule="auto"/>
        <w:ind w:firstLine="708"/>
        <w:rPr>
          <w:rFonts w:ascii="Abadi" w:hAnsi="Abadi" w:cs="Arial"/>
          <w:sz w:val="21"/>
          <w:szCs w:val="21"/>
          <w:lang w:val="es-MX"/>
        </w:rPr>
      </w:pPr>
      <w:r w:rsidRPr="009E77D1">
        <w:rPr>
          <w:rFonts w:ascii="Abadi" w:hAnsi="Abadi" w:cs="Arial"/>
          <w:sz w:val="21"/>
          <w:szCs w:val="21"/>
          <w:lang w:val="es-MX"/>
        </w:rPr>
        <w:t xml:space="preserve">En cumplimiento a los citados preceptos, en su oportunidad se remitió a este Congreso del Estado, la cuenta pública municipal de Dolores Hidalgo Cuna de la Independencia Nacional, </w:t>
      </w:r>
      <w:proofErr w:type="spellStart"/>
      <w:r w:rsidRPr="009E77D1">
        <w:rPr>
          <w:rFonts w:ascii="Abadi" w:hAnsi="Abadi" w:cs="Arial"/>
          <w:sz w:val="21"/>
          <w:szCs w:val="21"/>
          <w:lang w:val="es-MX"/>
        </w:rPr>
        <w:t>Gto</w:t>
      </w:r>
      <w:proofErr w:type="spellEnd"/>
      <w:r w:rsidRPr="009E77D1">
        <w:rPr>
          <w:rFonts w:ascii="Abadi" w:hAnsi="Abadi" w:cs="Arial"/>
          <w:sz w:val="21"/>
          <w:szCs w:val="21"/>
          <w:lang w:val="es-MX"/>
        </w:rPr>
        <w:t>., correspondiente al ejercicio fiscal del año 2021, turnándose a la Auditoría Superior del Estado para su revisión.</w:t>
      </w:r>
    </w:p>
    <w:p w14:paraId="560ADF66" w14:textId="77777777" w:rsidR="00A2390D" w:rsidRPr="009E77D1" w:rsidRDefault="00A2390D" w:rsidP="00A2390D">
      <w:pPr>
        <w:pStyle w:val="Textoindependiente"/>
        <w:ind w:firstLine="708"/>
        <w:rPr>
          <w:rFonts w:ascii="Abadi" w:hAnsi="Abadi"/>
          <w:sz w:val="21"/>
          <w:szCs w:val="21"/>
        </w:rPr>
      </w:pPr>
    </w:p>
    <w:p w14:paraId="7A292717"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17CD91CC" w14:textId="77777777" w:rsidR="00A2390D" w:rsidRPr="00461B13" w:rsidRDefault="00A2390D" w:rsidP="00A2390D">
      <w:pPr>
        <w:pStyle w:val="Textoindependiente"/>
        <w:ind w:firstLine="708"/>
        <w:rPr>
          <w:rFonts w:ascii="Abadi" w:hAnsi="Abadi"/>
          <w:b w:val="0"/>
          <w:bCs w:val="0"/>
          <w:sz w:val="21"/>
          <w:szCs w:val="21"/>
        </w:rPr>
      </w:pPr>
    </w:p>
    <w:p w14:paraId="445EFD13"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correspondiente al ejercicio fiscal del año 2021.</w:t>
      </w:r>
    </w:p>
    <w:p w14:paraId="0B1FA410" w14:textId="77777777" w:rsidR="00A2390D" w:rsidRPr="00461B13" w:rsidRDefault="00A2390D" w:rsidP="00A2390D">
      <w:pPr>
        <w:ind w:firstLine="708"/>
        <w:jc w:val="both"/>
        <w:rPr>
          <w:rFonts w:ascii="Abadi" w:hAnsi="Abadi" w:cs="Arial"/>
          <w:sz w:val="21"/>
          <w:szCs w:val="21"/>
          <w:lang w:val="es-MX" w:eastAsia="x-none"/>
        </w:rPr>
      </w:pPr>
    </w:p>
    <w:p w14:paraId="57E5AB57"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9E77D1">
        <w:rPr>
          <w:rFonts w:ascii="Abadi" w:hAnsi="Abadi" w:cs="Arial"/>
          <w:bCs/>
          <w:sz w:val="21"/>
          <w:szCs w:val="21"/>
          <w:lang w:val="es-MX" w:eastAsia="x-none"/>
        </w:rPr>
        <w:t>el 13 de abril de 2023,</w:t>
      </w:r>
      <w:r w:rsidRPr="009E77D1">
        <w:rPr>
          <w:rFonts w:ascii="Abadi" w:hAnsi="Abadi" w:cs="Arial"/>
          <w:sz w:val="21"/>
          <w:szCs w:val="21"/>
          <w:lang w:val="es-MX" w:eastAsia="x-none"/>
        </w:rPr>
        <w:t xml:space="preserve"> para su estudio y dictamen,</w:t>
      </w:r>
      <w:r w:rsidRPr="009E77D1">
        <w:rPr>
          <w:rFonts w:ascii="Abadi" w:hAnsi="Abadi" w:cs="Arial"/>
          <w:b/>
          <w:sz w:val="21"/>
          <w:szCs w:val="21"/>
          <w:lang w:val="es-MX" w:eastAsia="x-none"/>
        </w:rPr>
        <w:t xml:space="preserve"> </w:t>
      </w:r>
      <w:r w:rsidRPr="009E77D1">
        <w:rPr>
          <w:rFonts w:ascii="Abadi" w:hAnsi="Abadi" w:cs="Arial"/>
          <w:sz w:val="21"/>
          <w:szCs w:val="21"/>
          <w:lang w:val="es-MX" w:eastAsia="x-none"/>
        </w:rPr>
        <w:t>siendo radicado el 18 de abril del año en curso.</w:t>
      </w:r>
    </w:p>
    <w:p w14:paraId="20EB04EB" w14:textId="77777777" w:rsidR="00A2390D" w:rsidRPr="009E77D1" w:rsidRDefault="00A2390D" w:rsidP="00A2390D">
      <w:pPr>
        <w:ind w:firstLine="708"/>
        <w:jc w:val="both"/>
        <w:rPr>
          <w:rFonts w:ascii="Abadi" w:hAnsi="Abadi" w:cs="Arial"/>
          <w:sz w:val="21"/>
          <w:szCs w:val="21"/>
          <w:lang w:val="es-MX" w:eastAsia="x-none"/>
        </w:rPr>
      </w:pPr>
    </w:p>
    <w:p w14:paraId="73287CD1" w14:textId="77777777" w:rsidR="00A2390D" w:rsidRPr="009E77D1" w:rsidRDefault="00A2390D" w:rsidP="00A2390D">
      <w:pPr>
        <w:ind w:firstLine="708"/>
        <w:jc w:val="both"/>
        <w:rPr>
          <w:rFonts w:ascii="Abadi" w:hAnsi="Abadi" w:cs="Arial"/>
          <w:sz w:val="21"/>
          <w:szCs w:val="21"/>
          <w:lang w:val="es-MX" w:eastAsia="x-none"/>
        </w:rPr>
      </w:pPr>
    </w:p>
    <w:p w14:paraId="734948C5" w14:textId="77777777" w:rsidR="00A2390D" w:rsidRPr="00461B13" w:rsidRDefault="00A2390D" w:rsidP="00A2390D">
      <w:pPr>
        <w:pStyle w:val="Textoindependiente"/>
        <w:ind w:firstLine="708"/>
        <w:rPr>
          <w:rFonts w:ascii="Abadi" w:hAnsi="Abadi"/>
          <w:sz w:val="21"/>
          <w:szCs w:val="21"/>
        </w:rPr>
      </w:pPr>
      <w:r w:rsidRPr="00461B13">
        <w:rPr>
          <w:rFonts w:ascii="Abadi" w:hAnsi="Abadi"/>
          <w:sz w:val="21"/>
          <w:szCs w:val="21"/>
        </w:rPr>
        <w:t>III. Procedimiento de Revisión:</w:t>
      </w:r>
    </w:p>
    <w:p w14:paraId="5D79AEAB" w14:textId="77777777" w:rsidR="00A2390D" w:rsidRPr="009E77D1" w:rsidRDefault="00A2390D" w:rsidP="00A2390D">
      <w:pPr>
        <w:pStyle w:val="Textoindependiente"/>
        <w:ind w:firstLine="708"/>
        <w:rPr>
          <w:rFonts w:ascii="Abadi" w:hAnsi="Abadi"/>
          <w:sz w:val="21"/>
          <w:szCs w:val="21"/>
        </w:rPr>
      </w:pPr>
    </w:p>
    <w:p w14:paraId="202EAEC3"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La revisión de la cuenta pública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9F3441C" w14:textId="77777777" w:rsidR="00A2390D" w:rsidRPr="00461B13" w:rsidRDefault="00A2390D" w:rsidP="00A2390D">
      <w:pPr>
        <w:pStyle w:val="Textoindependiente"/>
        <w:ind w:firstLine="708"/>
        <w:rPr>
          <w:rFonts w:ascii="Abadi" w:hAnsi="Abadi"/>
          <w:b w:val="0"/>
          <w:bCs w:val="0"/>
          <w:sz w:val="21"/>
          <w:szCs w:val="21"/>
        </w:rPr>
      </w:pPr>
    </w:p>
    <w:p w14:paraId="4488B4C6"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w:t>
      </w:r>
      <w:r w:rsidRPr="009E77D1">
        <w:rPr>
          <w:rFonts w:ascii="Abadi" w:hAnsi="Abadi"/>
          <w:sz w:val="21"/>
          <w:szCs w:val="21"/>
        </w:rPr>
        <w:t xml:space="preserve"> </w:t>
      </w:r>
      <w:r w:rsidRPr="00461B13">
        <w:rPr>
          <w:rFonts w:ascii="Abadi" w:hAnsi="Abadi"/>
          <w:b w:val="0"/>
          <w:bCs w:val="0"/>
          <w:sz w:val="21"/>
          <w:szCs w:val="21"/>
        </w:rPr>
        <w:t>información financiera, contable, patrimonial, presupuestaria y programática que deban incluir en la cuenta pública, conforme a las disposiciones aplicables.</w:t>
      </w:r>
    </w:p>
    <w:p w14:paraId="4B8BD829" w14:textId="77777777" w:rsidR="00A2390D" w:rsidRPr="00461B13" w:rsidRDefault="00A2390D" w:rsidP="00A2390D">
      <w:pPr>
        <w:pStyle w:val="Textoindependiente"/>
        <w:ind w:firstLine="708"/>
        <w:rPr>
          <w:rFonts w:ascii="Abadi" w:hAnsi="Abadi"/>
          <w:b w:val="0"/>
          <w:bCs w:val="0"/>
          <w:sz w:val="21"/>
          <w:szCs w:val="21"/>
        </w:rPr>
      </w:pPr>
    </w:p>
    <w:p w14:paraId="4EF07AA1"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9D553E" w14:textId="77777777" w:rsidR="00A2390D" w:rsidRPr="00461B13" w:rsidRDefault="00A2390D" w:rsidP="00A2390D">
      <w:pPr>
        <w:pStyle w:val="Textoindependiente"/>
        <w:ind w:firstLine="708"/>
        <w:rPr>
          <w:rFonts w:ascii="Abadi" w:hAnsi="Abadi"/>
          <w:b w:val="0"/>
          <w:bCs w:val="0"/>
          <w:sz w:val="21"/>
          <w:szCs w:val="21"/>
        </w:rPr>
      </w:pPr>
    </w:p>
    <w:p w14:paraId="00DC14CD" w14:textId="77777777" w:rsidR="00A2390D" w:rsidRPr="00461B13" w:rsidRDefault="00A2390D" w:rsidP="00A2390D">
      <w:pPr>
        <w:pStyle w:val="Textoindependiente"/>
        <w:ind w:firstLine="708"/>
        <w:rPr>
          <w:rFonts w:ascii="Abadi" w:hAnsi="Abadi"/>
          <w:b w:val="0"/>
          <w:bCs w:val="0"/>
          <w:sz w:val="21"/>
          <w:szCs w:val="21"/>
        </w:rPr>
      </w:pPr>
    </w:p>
    <w:p w14:paraId="7A105452"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lastRenderedPageBreak/>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F7FD8B4" w14:textId="77777777" w:rsidR="00A2390D" w:rsidRPr="009E77D1" w:rsidRDefault="00A2390D" w:rsidP="00A2390D">
      <w:pPr>
        <w:pStyle w:val="Textoindependiente"/>
        <w:ind w:firstLine="708"/>
        <w:rPr>
          <w:rFonts w:ascii="Abadi" w:hAnsi="Abadi"/>
          <w:sz w:val="21"/>
          <w:szCs w:val="21"/>
        </w:rPr>
      </w:pPr>
    </w:p>
    <w:p w14:paraId="46A9689A"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El informe de resultados establece que se practicó la revisión de la cuenta pública respecto de las operaciones realizadas por la administración pública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correspondientes al ejercicio fiscal 2021, en lo referente a los apartados de ingresos y egresos.</w:t>
      </w:r>
    </w:p>
    <w:p w14:paraId="6C1EB568" w14:textId="77777777" w:rsidR="00A2390D" w:rsidRPr="00461B13" w:rsidRDefault="00A2390D" w:rsidP="00A2390D">
      <w:pPr>
        <w:pStyle w:val="Textoindependiente"/>
        <w:ind w:firstLine="705"/>
        <w:rPr>
          <w:rFonts w:ascii="Abadi" w:hAnsi="Abadi"/>
          <w:b w:val="0"/>
          <w:bCs w:val="0"/>
          <w:sz w:val="21"/>
          <w:szCs w:val="21"/>
        </w:rPr>
      </w:pPr>
    </w:p>
    <w:p w14:paraId="71225256" w14:textId="77777777" w:rsidR="00A2390D" w:rsidRPr="009E77D1" w:rsidRDefault="00A2390D" w:rsidP="00A2390D">
      <w:pPr>
        <w:autoSpaceDE w:val="0"/>
        <w:autoSpaceDN w:val="0"/>
        <w:adjustRightInd w:val="0"/>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w:t>
      </w:r>
      <w:r w:rsidRPr="009E77D1">
        <w:rPr>
          <w:rFonts w:ascii="Abadi" w:hAnsi="Abadi" w:cs="Arial"/>
          <w:sz w:val="21"/>
          <w:szCs w:val="21"/>
          <w:lang w:val="es-MX" w:eastAsia="x-none"/>
        </w:rPr>
        <w:t xml:space="preserve">con la finalidad de expresar una opinión sobre la eficiencia del mismo. </w:t>
      </w:r>
    </w:p>
    <w:p w14:paraId="4CBD9B50" w14:textId="77777777" w:rsidR="00A2390D" w:rsidRPr="009E77D1" w:rsidRDefault="00A2390D" w:rsidP="00A2390D">
      <w:pPr>
        <w:autoSpaceDE w:val="0"/>
        <w:autoSpaceDN w:val="0"/>
        <w:adjustRightInd w:val="0"/>
        <w:ind w:firstLine="708"/>
        <w:jc w:val="both"/>
        <w:rPr>
          <w:rFonts w:ascii="Abadi" w:hAnsi="Abadi" w:cs="Arial"/>
          <w:sz w:val="21"/>
          <w:szCs w:val="21"/>
          <w:lang w:val="es-MX" w:eastAsia="x-none"/>
        </w:rPr>
      </w:pPr>
    </w:p>
    <w:p w14:paraId="6DB9DAF4" w14:textId="77777777" w:rsidR="00A2390D" w:rsidRPr="009E77D1" w:rsidRDefault="00A2390D" w:rsidP="00A2390D">
      <w:pPr>
        <w:ind w:firstLine="708"/>
        <w:jc w:val="both"/>
        <w:rPr>
          <w:rFonts w:ascii="Abadi" w:hAnsi="Abadi" w:cs="Arial"/>
          <w:sz w:val="21"/>
          <w:szCs w:val="21"/>
          <w:lang w:val="es-MX" w:eastAsia="x-none"/>
        </w:rPr>
      </w:pPr>
    </w:p>
    <w:p w14:paraId="0E11A939" w14:textId="77777777" w:rsidR="00A2390D" w:rsidRPr="009E77D1" w:rsidRDefault="00A2390D" w:rsidP="00A2390D">
      <w:pPr>
        <w:ind w:firstLine="708"/>
        <w:jc w:val="both"/>
        <w:rPr>
          <w:rFonts w:ascii="Abadi" w:hAnsi="Abadi" w:cs="Arial"/>
          <w:sz w:val="21"/>
          <w:szCs w:val="21"/>
          <w:lang w:val="es-MX" w:eastAsia="x-none"/>
        </w:rPr>
      </w:pPr>
      <w:r w:rsidRPr="009E77D1">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9E77D1">
        <w:rPr>
          <w:rFonts w:ascii="Abadi" w:hAnsi="Abadi" w:cs="Arial"/>
          <w:sz w:val="21"/>
          <w:szCs w:val="21"/>
          <w:lang w:val="es-MX" w:eastAsia="x-none"/>
        </w:rPr>
        <w:t>fiscalizado</w:t>
      </w:r>
      <w:proofErr w:type="spellEnd"/>
      <w:r w:rsidRPr="009E77D1">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56959672" w14:textId="77777777" w:rsidR="00A2390D" w:rsidRPr="009E77D1" w:rsidRDefault="00A2390D" w:rsidP="00A2390D">
      <w:pPr>
        <w:ind w:firstLine="708"/>
        <w:jc w:val="both"/>
        <w:rPr>
          <w:rFonts w:ascii="Abadi" w:hAnsi="Abadi" w:cs="Arial"/>
          <w:sz w:val="21"/>
          <w:szCs w:val="21"/>
          <w:lang w:val="es-MX" w:eastAsia="x-none"/>
        </w:rPr>
      </w:pPr>
    </w:p>
    <w:p w14:paraId="43B969BB"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El 30 de junio de 2022 se notificó al presidente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la orden de inicio del procedimiento de revisión de la cuenta pública.</w:t>
      </w:r>
    </w:p>
    <w:p w14:paraId="3B1A0E5D" w14:textId="77777777" w:rsidR="00A2390D" w:rsidRPr="009E77D1" w:rsidRDefault="00A2390D" w:rsidP="00A2390D">
      <w:pPr>
        <w:ind w:firstLine="708"/>
        <w:jc w:val="both"/>
        <w:rPr>
          <w:rFonts w:ascii="Abadi" w:hAnsi="Abadi" w:cs="Arial"/>
          <w:sz w:val="21"/>
          <w:szCs w:val="21"/>
        </w:rPr>
      </w:pPr>
    </w:p>
    <w:p w14:paraId="71A5E10C"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El 28 de noviembre de 2022 se notificó al presidente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03B76C58" w14:textId="77777777" w:rsidR="00A2390D" w:rsidRPr="009E77D1" w:rsidRDefault="00A2390D" w:rsidP="00A2390D">
      <w:pPr>
        <w:ind w:firstLine="708"/>
        <w:jc w:val="both"/>
        <w:rPr>
          <w:rFonts w:ascii="Abadi" w:hAnsi="Abadi" w:cs="Arial"/>
          <w:sz w:val="21"/>
          <w:szCs w:val="21"/>
        </w:rPr>
      </w:pPr>
    </w:p>
    <w:p w14:paraId="2EC41D7F"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Posteriormente, el 17 de febrero de 2023, se notificó al presidente municipal y a la ex presidenta municipal interina y el 20 de febrero de 2023 se notificó al ex presidente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9 y 13 de marzo de 2023 por parte del presidente municipal y el 10 de marzo por parte del ex presidente municipal y la ex presidenta municipal interina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w:t>
      </w:r>
    </w:p>
    <w:p w14:paraId="34AC6D73" w14:textId="77777777" w:rsidR="00A2390D" w:rsidRPr="00461B13" w:rsidRDefault="00A2390D" w:rsidP="00A2390D">
      <w:pPr>
        <w:ind w:firstLine="708"/>
        <w:jc w:val="both"/>
        <w:rPr>
          <w:rFonts w:ascii="Abadi" w:hAnsi="Abadi" w:cs="Arial"/>
          <w:sz w:val="21"/>
          <w:szCs w:val="21"/>
        </w:rPr>
      </w:pPr>
    </w:p>
    <w:p w14:paraId="55EFA639"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El informe de resultados se notificó el 17 de marzo de 2023 al presidente y a la ex presidenta municipal interina y el 21 de marzo de 2023 al ex presidente municipal de Dolores Hidalgo Cuna de la Independencia </w:t>
      </w:r>
      <w:r w:rsidRPr="00461B13">
        <w:rPr>
          <w:rFonts w:ascii="Abadi" w:hAnsi="Abadi"/>
          <w:b w:val="0"/>
          <w:bCs w:val="0"/>
          <w:sz w:val="21"/>
          <w:szCs w:val="21"/>
        </w:rPr>
        <w:lastRenderedPageBreak/>
        <w:t xml:space="preserve">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65C8C38E" w14:textId="77777777" w:rsidR="00A2390D" w:rsidRPr="009E77D1" w:rsidRDefault="00A2390D" w:rsidP="00A2390D">
      <w:pPr>
        <w:pStyle w:val="Textoindependiente"/>
        <w:ind w:firstLine="708"/>
        <w:rPr>
          <w:rFonts w:ascii="Abadi" w:hAnsi="Abadi"/>
          <w:sz w:val="21"/>
          <w:szCs w:val="21"/>
        </w:rPr>
      </w:pPr>
    </w:p>
    <w:p w14:paraId="6202F92C" w14:textId="77777777" w:rsidR="00A2390D" w:rsidRPr="009E77D1" w:rsidRDefault="00A2390D" w:rsidP="00A2390D">
      <w:pPr>
        <w:pStyle w:val="Textoindependiente"/>
        <w:ind w:firstLine="708"/>
        <w:rPr>
          <w:rFonts w:ascii="Abadi" w:hAnsi="Abadi"/>
          <w:sz w:val="21"/>
          <w:szCs w:val="21"/>
        </w:rPr>
      </w:pPr>
    </w:p>
    <w:p w14:paraId="271DFDFA"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el presidente y el tesorero municipales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xml:space="preserve">., interpusieron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w:t>
      </w:r>
    </w:p>
    <w:p w14:paraId="44A5365D" w14:textId="77777777" w:rsidR="00A2390D" w:rsidRPr="00461B13" w:rsidRDefault="00A2390D" w:rsidP="00A2390D">
      <w:pPr>
        <w:ind w:firstLine="708"/>
        <w:jc w:val="both"/>
        <w:rPr>
          <w:rFonts w:ascii="Abadi" w:hAnsi="Abadi"/>
          <w:sz w:val="21"/>
          <w:szCs w:val="21"/>
        </w:rPr>
      </w:pPr>
    </w:p>
    <w:p w14:paraId="11235FC3"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Una vez tramitado el recurso, el Auditor Superior el 29 de marzo de 2023 emitió la resolución correspondiente, a la cual haremos referencia en un apartado posterior, misma que se notificó al presidente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el 30 de marzo de 2023.</w:t>
      </w:r>
    </w:p>
    <w:p w14:paraId="151D6461" w14:textId="77777777" w:rsidR="00A2390D" w:rsidRPr="00461B13" w:rsidRDefault="00A2390D" w:rsidP="00A2390D">
      <w:pPr>
        <w:ind w:firstLine="708"/>
        <w:jc w:val="both"/>
        <w:rPr>
          <w:rFonts w:ascii="Abadi" w:hAnsi="Abadi" w:cs="Arial"/>
          <w:sz w:val="21"/>
          <w:szCs w:val="21"/>
        </w:rPr>
      </w:pPr>
    </w:p>
    <w:p w14:paraId="23A09AFB" w14:textId="77777777" w:rsidR="00A2390D" w:rsidRPr="00461B13" w:rsidRDefault="00A2390D" w:rsidP="00A2390D">
      <w:pPr>
        <w:pStyle w:val="Textoindependiente"/>
        <w:ind w:firstLine="708"/>
        <w:rPr>
          <w:rFonts w:ascii="Abadi" w:hAnsi="Abadi"/>
          <w:sz w:val="21"/>
          <w:szCs w:val="21"/>
        </w:rPr>
      </w:pPr>
      <w:r w:rsidRPr="00461B13">
        <w:rPr>
          <w:rFonts w:ascii="Abadi" w:hAnsi="Abadi"/>
          <w:sz w:val="21"/>
          <w:szCs w:val="21"/>
        </w:rPr>
        <w:t>IV. Contenido del Informe de Resultados:</w:t>
      </w:r>
    </w:p>
    <w:p w14:paraId="63665C6F" w14:textId="77777777" w:rsidR="00A2390D" w:rsidRPr="009E77D1" w:rsidRDefault="00A2390D" w:rsidP="00A2390D">
      <w:pPr>
        <w:pStyle w:val="Textoindependiente"/>
        <w:rPr>
          <w:rFonts w:ascii="Abadi" w:hAnsi="Abadi"/>
          <w:b w:val="0"/>
          <w:bCs w:val="0"/>
          <w:sz w:val="21"/>
          <w:szCs w:val="21"/>
        </w:rPr>
      </w:pPr>
    </w:p>
    <w:p w14:paraId="68F4F293" w14:textId="77777777" w:rsidR="00A2390D" w:rsidRPr="00461B13" w:rsidRDefault="00A2390D" w:rsidP="00A2390D">
      <w:pPr>
        <w:pStyle w:val="Textoindependiente"/>
        <w:rPr>
          <w:rFonts w:ascii="Abadi" w:hAnsi="Abadi"/>
          <w:b w:val="0"/>
          <w:sz w:val="21"/>
          <w:szCs w:val="21"/>
        </w:rPr>
      </w:pPr>
      <w:r w:rsidRPr="009E77D1">
        <w:rPr>
          <w:rFonts w:ascii="Abadi" w:hAnsi="Abadi"/>
          <w:b w:val="0"/>
          <w:bCs w:val="0"/>
          <w:sz w:val="21"/>
          <w:szCs w:val="21"/>
        </w:rPr>
        <w:tab/>
      </w:r>
      <w:r w:rsidRPr="00461B13">
        <w:rPr>
          <w:rFonts w:ascii="Abadi" w:hAnsi="Abadi"/>
          <w:b w:val="0"/>
          <w:sz w:val="21"/>
          <w:szCs w:val="21"/>
        </w:rPr>
        <w:t>En cumplimiento a lo establecido por el artículo 37, fracción III de la Ley de Fiscalización Superior del Estado, el informe de resultados contiene los siguientes apartados:</w:t>
      </w:r>
    </w:p>
    <w:p w14:paraId="180AF2F5" w14:textId="77777777" w:rsidR="00A2390D" w:rsidRPr="009E77D1" w:rsidRDefault="00A2390D" w:rsidP="00A2390D">
      <w:pPr>
        <w:pStyle w:val="Textoindependiente"/>
        <w:rPr>
          <w:rFonts w:ascii="Abadi" w:hAnsi="Abadi"/>
          <w:sz w:val="21"/>
          <w:szCs w:val="21"/>
        </w:rPr>
      </w:pPr>
    </w:p>
    <w:p w14:paraId="771756A6" w14:textId="77777777" w:rsidR="00A2390D" w:rsidRPr="00461B13" w:rsidRDefault="00A2390D" w:rsidP="00427BD6">
      <w:pPr>
        <w:pStyle w:val="Textoindependiente"/>
        <w:numPr>
          <w:ilvl w:val="0"/>
          <w:numId w:val="9"/>
        </w:numPr>
        <w:autoSpaceDE/>
        <w:autoSpaceDN/>
        <w:rPr>
          <w:rFonts w:ascii="Abadi" w:hAnsi="Abadi"/>
          <w:sz w:val="21"/>
          <w:szCs w:val="21"/>
        </w:rPr>
      </w:pPr>
      <w:r w:rsidRPr="00461B13">
        <w:rPr>
          <w:rFonts w:ascii="Abadi" w:hAnsi="Abadi"/>
          <w:sz w:val="21"/>
          <w:szCs w:val="21"/>
        </w:rPr>
        <w:t>Introducción.</w:t>
      </w:r>
    </w:p>
    <w:p w14:paraId="5564209B" w14:textId="77777777" w:rsidR="00A2390D" w:rsidRPr="009E77D1" w:rsidRDefault="00A2390D" w:rsidP="00A2390D">
      <w:pPr>
        <w:pStyle w:val="Textoindependiente"/>
        <w:ind w:left="705"/>
        <w:rPr>
          <w:rFonts w:ascii="Abadi" w:hAnsi="Abadi"/>
          <w:b w:val="0"/>
          <w:bCs w:val="0"/>
          <w:sz w:val="21"/>
          <w:szCs w:val="21"/>
        </w:rPr>
      </w:pPr>
    </w:p>
    <w:p w14:paraId="7D43AF59"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001 del informe de resultados.</w:t>
      </w:r>
    </w:p>
    <w:p w14:paraId="28AAEFC1" w14:textId="77777777" w:rsidR="00A2390D" w:rsidRPr="00461B13" w:rsidRDefault="00A2390D" w:rsidP="00A2390D">
      <w:pPr>
        <w:pStyle w:val="Textoindependiente"/>
        <w:ind w:firstLine="705"/>
        <w:rPr>
          <w:rFonts w:ascii="Abadi" w:hAnsi="Abadi"/>
          <w:b w:val="0"/>
          <w:bCs w:val="0"/>
          <w:sz w:val="21"/>
          <w:szCs w:val="21"/>
        </w:rPr>
      </w:pPr>
    </w:p>
    <w:p w14:paraId="40BC93DC"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Por otra parte, en este apartado se precisan los procedimientos de auditoría </w:t>
      </w:r>
      <w:r w:rsidRPr="00461B13">
        <w:rPr>
          <w:rFonts w:ascii="Abadi" w:hAnsi="Abadi"/>
          <w:b w:val="0"/>
          <w:bCs w:val="0"/>
          <w:sz w:val="21"/>
          <w:szCs w:val="21"/>
        </w:rPr>
        <w:t>aplicados, siendo estos: inspección, observación, confirmación externa, recálculo, procedimientos analíticos, re ejecución e indagación.</w:t>
      </w:r>
    </w:p>
    <w:p w14:paraId="1D81231C" w14:textId="77777777" w:rsidR="00A2390D" w:rsidRPr="00461B13" w:rsidRDefault="00A2390D" w:rsidP="00A2390D">
      <w:pPr>
        <w:pStyle w:val="Textoindependiente"/>
        <w:ind w:firstLine="705"/>
        <w:rPr>
          <w:rFonts w:ascii="Abadi" w:hAnsi="Abadi"/>
          <w:b w:val="0"/>
          <w:bCs w:val="0"/>
          <w:sz w:val="21"/>
          <w:szCs w:val="21"/>
        </w:rPr>
      </w:pPr>
    </w:p>
    <w:p w14:paraId="7E2CA7E2"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FC52D91" w14:textId="77777777" w:rsidR="00A2390D" w:rsidRPr="009E77D1" w:rsidRDefault="00A2390D" w:rsidP="00A2390D">
      <w:pPr>
        <w:jc w:val="both"/>
        <w:rPr>
          <w:rFonts w:ascii="Abadi" w:hAnsi="Abadi" w:cs="Arial"/>
          <w:i/>
          <w:iCs/>
          <w:sz w:val="21"/>
          <w:szCs w:val="21"/>
          <w:lang w:eastAsia="x-none"/>
        </w:rPr>
      </w:pPr>
    </w:p>
    <w:p w14:paraId="05DEAB93" w14:textId="77777777" w:rsidR="00A2390D" w:rsidRPr="009E77D1" w:rsidRDefault="00A2390D" w:rsidP="00A2390D">
      <w:pPr>
        <w:jc w:val="both"/>
        <w:rPr>
          <w:rFonts w:ascii="Abadi" w:hAnsi="Abadi" w:cs="Arial"/>
          <w:i/>
          <w:iCs/>
          <w:sz w:val="21"/>
          <w:szCs w:val="21"/>
          <w:lang w:eastAsia="x-none"/>
        </w:rPr>
      </w:pPr>
      <w:r w:rsidRPr="009E77D1">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4A68DD53" w14:textId="77777777" w:rsidR="00A2390D" w:rsidRPr="009E77D1" w:rsidRDefault="00A2390D" w:rsidP="00A2390D">
      <w:pPr>
        <w:rPr>
          <w:rFonts w:ascii="Abadi" w:hAnsi="Abadi" w:cs="Arial"/>
          <w:i/>
          <w:iCs/>
          <w:sz w:val="21"/>
          <w:szCs w:val="21"/>
          <w:lang w:eastAsia="x-none"/>
        </w:rPr>
      </w:pPr>
    </w:p>
    <w:p w14:paraId="33FF9876" w14:textId="77777777" w:rsidR="00A2390D" w:rsidRPr="009E77D1" w:rsidRDefault="00A2390D" w:rsidP="00A2390D">
      <w:pPr>
        <w:jc w:val="both"/>
        <w:rPr>
          <w:rFonts w:ascii="Abadi" w:hAnsi="Abadi" w:cs="Arial"/>
          <w:i/>
          <w:iCs/>
          <w:sz w:val="21"/>
          <w:szCs w:val="21"/>
          <w:lang w:eastAsia="x-none"/>
        </w:rPr>
      </w:pPr>
      <w:r w:rsidRPr="009E77D1">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F88C280" w14:textId="77777777" w:rsidR="00A2390D" w:rsidRPr="009E77D1" w:rsidRDefault="00A2390D" w:rsidP="00A2390D">
      <w:pPr>
        <w:jc w:val="both"/>
        <w:rPr>
          <w:rFonts w:ascii="Abadi" w:hAnsi="Abadi" w:cs="Arial"/>
          <w:i/>
          <w:iCs/>
          <w:sz w:val="21"/>
          <w:szCs w:val="21"/>
          <w:lang w:eastAsia="x-none"/>
        </w:rPr>
      </w:pPr>
    </w:p>
    <w:p w14:paraId="6C9AAE52" w14:textId="77777777" w:rsidR="00A2390D" w:rsidRPr="009E77D1" w:rsidRDefault="00A2390D" w:rsidP="00A2390D">
      <w:pPr>
        <w:jc w:val="both"/>
        <w:rPr>
          <w:rFonts w:ascii="Abadi" w:hAnsi="Abadi" w:cs="Arial"/>
          <w:i/>
          <w:iCs/>
          <w:sz w:val="21"/>
          <w:szCs w:val="21"/>
          <w:lang w:eastAsia="x-none"/>
        </w:rPr>
      </w:pPr>
      <w:r w:rsidRPr="009E77D1">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51E6984" w14:textId="77777777" w:rsidR="00A2390D" w:rsidRPr="009E77D1" w:rsidRDefault="00A2390D" w:rsidP="00A2390D">
      <w:pPr>
        <w:jc w:val="both"/>
        <w:rPr>
          <w:rFonts w:ascii="Abadi" w:hAnsi="Abadi" w:cs="Arial"/>
          <w:i/>
          <w:iCs/>
          <w:sz w:val="21"/>
          <w:szCs w:val="21"/>
          <w:lang w:eastAsia="x-none"/>
        </w:rPr>
      </w:pPr>
    </w:p>
    <w:p w14:paraId="7AC2ABD1" w14:textId="77777777" w:rsidR="00A2390D" w:rsidRPr="009E77D1" w:rsidRDefault="00A2390D" w:rsidP="00A2390D">
      <w:pPr>
        <w:ind w:firstLine="705"/>
        <w:jc w:val="both"/>
        <w:rPr>
          <w:rFonts w:ascii="Abadi" w:hAnsi="Abadi" w:cs="Arial"/>
          <w:sz w:val="21"/>
          <w:szCs w:val="21"/>
          <w:lang w:eastAsia="x-none"/>
        </w:rPr>
      </w:pPr>
      <w:r w:rsidRPr="009E77D1">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9E77D1">
        <w:rPr>
          <w:rFonts w:ascii="Abadi" w:hAnsi="Abadi" w:cs="Arial"/>
          <w:sz w:val="21"/>
          <w:szCs w:val="21"/>
          <w:lang w:eastAsia="x-none"/>
        </w:rPr>
        <w:t>fiscalizado</w:t>
      </w:r>
      <w:proofErr w:type="spellEnd"/>
      <w:r w:rsidRPr="009E77D1">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9E77D1">
        <w:rPr>
          <w:rFonts w:ascii="Abadi" w:hAnsi="Abadi" w:cs="Arial"/>
          <w:i/>
          <w:iCs/>
          <w:sz w:val="21"/>
          <w:szCs w:val="21"/>
          <w:lang w:eastAsia="x-none"/>
        </w:rPr>
        <w:t>«Definitivos»,</w:t>
      </w:r>
      <w:r w:rsidRPr="009E77D1">
        <w:rPr>
          <w:rFonts w:ascii="Abadi" w:hAnsi="Abadi" w:cs="Arial"/>
          <w:sz w:val="21"/>
          <w:szCs w:val="21"/>
          <w:lang w:eastAsia="x-none"/>
        </w:rPr>
        <w:t xml:space="preserve"> emitidas por el Servicio de Administración Tributaria.</w:t>
      </w:r>
    </w:p>
    <w:p w14:paraId="194659FA" w14:textId="77777777" w:rsidR="00A2390D" w:rsidRPr="009E77D1" w:rsidRDefault="00A2390D" w:rsidP="00A2390D">
      <w:pPr>
        <w:pStyle w:val="Textoindependiente"/>
        <w:ind w:firstLine="705"/>
        <w:rPr>
          <w:rFonts w:ascii="Abadi" w:hAnsi="Abadi"/>
          <w:sz w:val="21"/>
          <w:szCs w:val="21"/>
        </w:rPr>
      </w:pPr>
    </w:p>
    <w:p w14:paraId="3AF698C6" w14:textId="77777777" w:rsidR="00A2390D" w:rsidRPr="009E77D1" w:rsidRDefault="00A2390D" w:rsidP="00A2390D">
      <w:pPr>
        <w:ind w:firstLine="705"/>
        <w:jc w:val="both"/>
        <w:rPr>
          <w:rFonts w:ascii="Abadi" w:hAnsi="Abadi" w:cs="Arial"/>
          <w:sz w:val="21"/>
          <w:szCs w:val="21"/>
          <w:lang w:eastAsia="x-none"/>
        </w:rPr>
      </w:pPr>
      <w:r w:rsidRPr="009E77D1">
        <w:rPr>
          <w:rFonts w:ascii="Abadi" w:hAnsi="Abadi" w:cs="Arial"/>
          <w:sz w:val="21"/>
          <w:szCs w:val="21"/>
          <w:lang w:eastAsia="x-none"/>
        </w:rPr>
        <w:t xml:space="preserve">Por otra parte, en el apartado correspondiente a los análisis previos de planeación relativos a la facturación </w:t>
      </w:r>
      <w:r w:rsidRPr="009E77D1">
        <w:rPr>
          <w:rFonts w:ascii="Abadi" w:hAnsi="Abadi" w:cs="Arial"/>
          <w:sz w:val="21"/>
          <w:szCs w:val="21"/>
          <w:lang w:eastAsia="x-none"/>
        </w:rPr>
        <w:lastRenderedPageBreak/>
        <w:t xml:space="preserve">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9E77D1">
        <w:rPr>
          <w:rFonts w:ascii="Abadi" w:hAnsi="Abadi" w:cs="Arial"/>
          <w:sz w:val="21"/>
          <w:szCs w:val="21"/>
          <w:lang w:eastAsia="x-none"/>
        </w:rPr>
        <w:t>fiscalizado</w:t>
      </w:r>
      <w:proofErr w:type="spellEnd"/>
      <w:r w:rsidRPr="009E77D1">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14FAC50" w14:textId="77777777" w:rsidR="00A2390D" w:rsidRPr="009E77D1" w:rsidRDefault="00A2390D" w:rsidP="00A2390D">
      <w:pPr>
        <w:ind w:firstLine="705"/>
        <w:jc w:val="both"/>
        <w:rPr>
          <w:rFonts w:ascii="Abadi" w:hAnsi="Abadi" w:cs="Arial"/>
          <w:sz w:val="21"/>
          <w:szCs w:val="21"/>
          <w:lang w:eastAsia="x-none"/>
        </w:rPr>
      </w:pPr>
    </w:p>
    <w:p w14:paraId="08923E60" w14:textId="77777777" w:rsidR="00A2390D" w:rsidRPr="009E77D1" w:rsidRDefault="00A2390D" w:rsidP="00A2390D">
      <w:pPr>
        <w:ind w:firstLine="705"/>
        <w:jc w:val="both"/>
        <w:rPr>
          <w:rFonts w:ascii="Abadi" w:hAnsi="Abadi" w:cs="Arial"/>
          <w:sz w:val="21"/>
          <w:szCs w:val="21"/>
          <w:lang w:val="es-MX" w:eastAsia="x-none"/>
        </w:rPr>
      </w:pPr>
      <w:r w:rsidRPr="009E77D1">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9E77D1">
        <w:rPr>
          <w:rFonts w:ascii="Abadi" w:hAnsi="Abadi" w:cs="Arial"/>
          <w:sz w:val="21"/>
          <w:szCs w:val="21"/>
          <w:lang w:val="es-MX" w:eastAsia="x-none"/>
        </w:rPr>
        <w:t>fiscalizado</w:t>
      </w:r>
      <w:proofErr w:type="spellEnd"/>
      <w:r w:rsidRPr="009E77D1">
        <w:rPr>
          <w:rFonts w:ascii="Abadi" w:hAnsi="Abadi" w:cs="Arial"/>
          <w:sz w:val="21"/>
          <w:szCs w:val="21"/>
          <w:lang w:val="es-MX" w:eastAsia="x-none"/>
        </w:rPr>
        <w:t xml:space="preserve">; Registro Civil de la Secretaría de Gobierno del Estado y Registro Nacional de Población e Identificación Personal de la Secretaría de </w:t>
      </w:r>
      <w:r w:rsidRPr="009E77D1">
        <w:rPr>
          <w:rFonts w:ascii="Abadi" w:hAnsi="Abadi" w:cs="Arial"/>
          <w:sz w:val="21"/>
          <w:szCs w:val="21"/>
          <w:lang w:val="es-MX" w:eastAsia="x-none"/>
        </w:rPr>
        <w:t xml:space="preserve">Gobernación Federal, a efecto de identificar posibles relaciones de parentesco de socios de personas morales que suministraron bienes o prestaron servicios al ente </w:t>
      </w:r>
      <w:proofErr w:type="spellStart"/>
      <w:r w:rsidRPr="009E77D1">
        <w:rPr>
          <w:rFonts w:ascii="Abadi" w:hAnsi="Abadi" w:cs="Arial"/>
          <w:sz w:val="21"/>
          <w:szCs w:val="21"/>
          <w:lang w:val="es-MX" w:eastAsia="x-none"/>
        </w:rPr>
        <w:t>fiscalizado</w:t>
      </w:r>
      <w:proofErr w:type="spellEnd"/>
      <w:r w:rsidRPr="009E77D1">
        <w:rPr>
          <w:rFonts w:ascii="Abadi" w:hAnsi="Abadi" w:cs="Arial"/>
          <w:sz w:val="21"/>
          <w:szCs w:val="21"/>
          <w:lang w:val="es-MX" w:eastAsia="x-none"/>
        </w:rPr>
        <w:t>.</w:t>
      </w:r>
    </w:p>
    <w:p w14:paraId="6D6F9D06" w14:textId="77777777" w:rsidR="00A2390D" w:rsidRPr="009E77D1" w:rsidRDefault="00A2390D" w:rsidP="00A2390D">
      <w:pPr>
        <w:ind w:firstLine="705"/>
        <w:jc w:val="both"/>
        <w:rPr>
          <w:rFonts w:ascii="Abadi" w:hAnsi="Abadi" w:cs="Arial"/>
          <w:sz w:val="21"/>
          <w:szCs w:val="21"/>
          <w:lang w:val="es-MX" w:eastAsia="x-none"/>
        </w:rPr>
      </w:pPr>
    </w:p>
    <w:p w14:paraId="6DE7D933" w14:textId="77777777" w:rsidR="00A2390D" w:rsidRPr="009E77D1" w:rsidRDefault="00A2390D" w:rsidP="00A2390D">
      <w:pPr>
        <w:ind w:firstLine="705"/>
        <w:jc w:val="both"/>
        <w:rPr>
          <w:rFonts w:ascii="Abadi" w:hAnsi="Abadi" w:cs="Arial"/>
          <w:sz w:val="21"/>
          <w:szCs w:val="21"/>
          <w:lang w:val="es-MX" w:eastAsia="x-none"/>
        </w:rPr>
      </w:pPr>
      <w:r w:rsidRPr="009E77D1">
        <w:rPr>
          <w:rFonts w:ascii="Abadi" w:hAnsi="Abadi" w:cs="Arial"/>
          <w:sz w:val="21"/>
          <w:szCs w:val="21"/>
          <w:lang w:val="es-MX" w:eastAsia="x-none"/>
        </w:rPr>
        <w:t xml:space="preserve">Adicionalmente, se analizó el informe general del proceso de entrega recepción 2021 de la administración pública municipal de Dolores Hidalgo Cuna de la Independencia Nacional, </w:t>
      </w:r>
      <w:proofErr w:type="spellStart"/>
      <w:r w:rsidRPr="009E77D1">
        <w:rPr>
          <w:rFonts w:ascii="Abadi" w:hAnsi="Abadi" w:cs="Arial"/>
          <w:sz w:val="21"/>
          <w:szCs w:val="21"/>
          <w:lang w:val="es-MX" w:eastAsia="x-none"/>
        </w:rPr>
        <w:t>Gto</w:t>
      </w:r>
      <w:proofErr w:type="spellEnd"/>
      <w:r w:rsidRPr="009E77D1">
        <w:rPr>
          <w:rFonts w:ascii="Abadi" w:hAnsi="Abadi" w:cs="Arial"/>
          <w:sz w:val="21"/>
          <w:szCs w:val="21"/>
          <w:lang w:val="es-MX" w:eastAsia="x-none"/>
        </w:rPr>
        <w:t>., y en su caso se aplicaron los procedimientos de auditoría correspondientes.</w:t>
      </w:r>
    </w:p>
    <w:p w14:paraId="72847AA0" w14:textId="77777777" w:rsidR="00A2390D" w:rsidRPr="009E77D1" w:rsidRDefault="00A2390D" w:rsidP="00A2390D">
      <w:pPr>
        <w:ind w:firstLine="705"/>
        <w:jc w:val="both"/>
        <w:rPr>
          <w:rFonts w:ascii="Abadi" w:hAnsi="Abadi" w:cs="Arial"/>
          <w:sz w:val="21"/>
          <w:szCs w:val="21"/>
          <w:lang w:val="es-MX" w:eastAsia="x-none"/>
        </w:rPr>
      </w:pPr>
    </w:p>
    <w:p w14:paraId="5F614B20" w14:textId="77777777" w:rsidR="00A2390D" w:rsidRPr="009E77D1" w:rsidRDefault="00A2390D" w:rsidP="00A2390D">
      <w:pPr>
        <w:ind w:firstLine="705"/>
        <w:jc w:val="both"/>
        <w:rPr>
          <w:rFonts w:ascii="Abadi" w:hAnsi="Abadi" w:cs="Arial"/>
          <w:sz w:val="21"/>
          <w:szCs w:val="21"/>
          <w:lang w:val="es-MX" w:eastAsia="x-none"/>
        </w:rPr>
      </w:pPr>
      <w:r w:rsidRPr="009E77D1">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Dolores Hidalgo Cuna de la Independencia Nacional, </w:t>
      </w:r>
      <w:proofErr w:type="spellStart"/>
      <w:r w:rsidRPr="009E77D1">
        <w:rPr>
          <w:rFonts w:ascii="Abadi" w:hAnsi="Abadi" w:cs="Arial"/>
          <w:sz w:val="21"/>
          <w:szCs w:val="21"/>
          <w:lang w:val="es-MX" w:eastAsia="x-none"/>
        </w:rPr>
        <w:t>Gto</w:t>
      </w:r>
      <w:proofErr w:type="spellEnd"/>
      <w:r w:rsidRPr="009E77D1">
        <w:rPr>
          <w:rFonts w:ascii="Abadi" w:hAnsi="Abadi" w:cs="Arial"/>
          <w:sz w:val="21"/>
          <w:szCs w:val="21"/>
          <w:lang w:val="es-MX" w:eastAsia="x-none"/>
        </w:rPr>
        <w:t xml:space="preserve">., no cumplió con las disposiciones normativas aplicables, como se precisa en el informe de resultados. </w:t>
      </w:r>
    </w:p>
    <w:p w14:paraId="328C0655" w14:textId="77777777" w:rsidR="00A2390D" w:rsidRPr="009E77D1" w:rsidRDefault="00A2390D" w:rsidP="00A2390D">
      <w:pPr>
        <w:ind w:firstLine="705"/>
        <w:jc w:val="both"/>
        <w:rPr>
          <w:rFonts w:ascii="Abadi" w:hAnsi="Abadi" w:cs="Arial"/>
          <w:sz w:val="21"/>
          <w:szCs w:val="21"/>
          <w:lang w:val="es-MX" w:eastAsia="x-none"/>
        </w:rPr>
      </w:pPr>
    </w:p>
    <w:p w14:paraId="40DBC073"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de las cuales 1 se solventó y 4 no fueron solventadas. Asimismo, se formuló 1 recomendación que no se atendió. </w:t>
      </w:r>
    </w:p>
    <w:p w14:paraId="4972BFE3" w14:textId="77777777" w:rsidR="00A2390D" w:rsidRPr="00461B13" w:rsidRDefault="00A2390D" w:rsidP="00A2390D">
      <w:pPr>
        <w:pStyle w:val="Textoindependiente"/>
        <w:ind w:firstLine="705"/>
        <w:rPr>
          <w:rFonts w:ascii="Abadi" w:hAnsi="Abadi"/>
          <w:b w:val="0"/>
          <w:bCs w:val="0"/>
          <w:sz w:val="21"/>
          <w:szCs w:val="21"/>
        </w:rPr>
      </w:pPr>
    </w:p>
    <w:p w14:paraId="3915FCE2"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y 005, existen importes no solventados por la cuantía que ahí se refiere. No obstante, derivado de la resolución recaída al recurso de reconsideración promovido en contra del informe de resultados, se modificó el complemento de la valoración de dichas observaciones, para quedar sin acciones pendientes de realizar por el sujeto fiscalizado.</w:t>
      </w:r>
    </w:p>
    <w:p w14:paraId="1B934DAF" w14:textId="77777777" w:rsidR="00A2390D" w:rsidRPr="00461B13" w:rsidRDefault="00A2390D" w:rsidP="00A2390D">
      <w:pPr>
        <w:pStyle w:val="Textoindependiente"/>
        <w:ind w:firstLine="705"/>
        <w:rPr>
          <w:rFonts w:ascii="Abadi" w:hAnsi="Abadi"/>
          <w:b w:val="0"/>
          <w:bCs w:val="0"/>
          <w:sz w:val="21"/>
          <w:szCs w:val="21"/>
        </w:rPr>
      </w:pPr>
    </w:p>
    <w:p w14:paraId="7D17F568"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lastRenderedPageBreak/>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461B13">
        <w:rPr>
          <w:rFonts w:ascii="Abadi" w:hAnsi="Abadi"/>
          <w:b w:val="0"/>
          <w:bCs w:val="0"/>
          <w:i/>
          <w:iCs/>
          <w:sz w:val="21"/>
          <w:szCs w:val="21"/>
        </w:rPr>
        <w:t>Definitivos»</w:t>
      </w:r>
      <w:r w:rsidRPr="00461B13">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B2E97E3" w14:textId="77777777" w:rsidR="00A2390D" w:rsidRPr="009E77D1" w:rsidRDefault="00A2390D" w:rsidP="00A2390D">
      <w:pPr>
        <w:pStyle w:val="Textoindependiente"/>
        <w:ind w:firstLine="705"/>
        <w:rPr>
          <w:rFonts w:ascii="Abadi" w:hAnsi="Abadi"/>
          <w:sz w:val="21"/>
          <w:szCs w:val="21"/>
        </w:rPr>
      </w:pPr>
    </w:p>
    <w:p w14:paraId="658591BD" w14:textId="77777777" w:rsidR="00A2390D" w:rsidRPr="00461B13" w:rsidRDefault="00A2390D" w:rsidP="00427BD6">
      <w:pPr>
        <w:pStyle w:val="Textoindependiente"/>
        <w:numPr>
          <w:ilvl w:val="0"/>
          <w:numId w:val="9"/>
        </w:numPr>
        <w:tabs>
          <w:tab w:val="clear" w:pos="1065"/>
          <w:tab w:val="num" w:pos="0"/>
        </w:tabs>
        <w:autoSpaceDE/>
        <w:autoSpaceDN/>
        <w:rPr>
          <w:rFonts w:ascii="Abadi" w:hAnsi="Abadi"/>
          <w:sz w:val="21"/>
          <w:szCs w:val="21"/>
        </w:rPr>
      </w:pPr>
      <w:r w:rsidRPr="00461B13">
        <w:rPr>
          <w:rFonts w:ascii="Abadi" w:hAnsi="Abadi"/>
          <w:sz w:val="21"/>
          <w:szCs w:val="21"/>
        </w:rPr>
        <w:t xml:space="preserve">Observaciones y recomendaciones, la respuesta emitida por el sujeto fiscalizado y la valoración correspondiente. </w:t>
      </w:r>
    </w:p>
    <w:p w14:paraId="5034FB4B" w14:textId="77777777" w:rsidR="00A2390D" w:rsidRPr="009E77D1" w:rsidRDefault="00A2390D" w:rsidP="00A2390D">
      <w:pPr>
        <w:pStyle w:val="Textoindependiente"/>
        <w:ind w:left="1065"/>
        <w:rPr>
          <w:rFonts w:ascii="Abadi" w:hAnsi="Abadi"/>
          <w:b w:val="0"/>
          <w:bCs w:val="0"/>
          <w:sz w:val="21"/>
          <w:szCs w:val="21"/>
        </w:rPr>
      </w:pPr>
    </w:p>
    <w:p w14:paraId="1B993AD9"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En esta parte se desglosa la valoración de las observaciones formuladas por el Órgano Técnico, considerando como solventada la observación establecida en el numeral 004, referente a informes mensuales de prestación de servicios.</w:t>
      </w:r>
    </w:p>
    <w:p w14:paraId="60735F10" w14:textId="77777777" w:rsidR="00A2390D" w:rsidRPr="00461B13" w:rsidRDefault="00A2390D" w:rsidP="00A2390D">
      <w:pPr>
        <w:pStyle w:val="Textoindependiente"/>
        <w:ind w:firstLine="705"/>
        <w:rPr>
          <w:rFonts w:ascii="Abadi" w:hAnsi="Abadi"/>
          <w:b w:val="0"/>
          <w:bCs w:val="0"/>
          <w:sz w:val="21"/>
          <w:szCs w:val="21"/>
        </w:rPr>
      </w:pPr>
    </w:p>
    <w:p w14:paraId="4512C68C"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No se solventaron las observaciones plasmadas en los numerales 001, correspondiente a adquisición de bien inmueble; 002, relativo a prima de antigüedad; 003, referido a gastos médicos; y 005, referente a recargos y multas SAT.</w:t>
      </w:r>
    </w:p>
    <w:p w14:paraId="7C57CB9D" w14:textId="77777777" w:rsidR="00A2390D" w:rsidRPr="00461B13" w:rsidRDefault="00A2390D" w:rsidP="00A2390D">
      <w:pPr>
        <w:pStyle w:val="Textoindependiente"/>
        <w:ind w:firstLine="705"/>
        <w:rPr>
          <w:rFonts w:ascii="Abadi" w:hAnsi="Abadi"/>
          <w:b w:val="0"/>
          <w:bCs w:val="0"/>
          <w:sz w:val="21"/>
          <w:szCs w:val="21"/>
        </w:rPr>
      </w:pPr>
    </w:p>
    <w:p w14:paraId="4F2B2F4F"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En el apartado de Recomendaciones Generales no se atendió el numeral 001, correspondiente a adquisición de oxímetros.</w:t>
      </w:r>
    </w:p>
    <w:p w14:paraId="46C2CB7B" w14:textId="77777777" w:rsidR="00A2390D" w:rsidRPr="009E77D1" w:rsidRDefault="00A2390D" w:rsidP="00A2390D">
      <w:pPr>
        <w:pStyle w:val="Textoindependiente"/>
        <w:ind w:firstLine="705"/>
        <w:rPr>
          <w:rFonts w:ascii="Abadi" w:hAnsi="Abadi"/>
          <w:sz w:val="21"/>
          <w:szCs w:val="21"/>
        </w:rPr>
      </w:pPr>
    </w:p>
    <w:p w14:paraId="6E3ACEA2" w14:textId="77777777" w:rsidR="00A2390D" w:rsidRPr="009E77D1" w:rsidRDefault="00A2390D" w:rsidP="00A2390D">
      <w:pPr>
        <w:pStyle w:val="Textoindependiente"/>
        <w:ind w:firstLine="705"/>
        <w:rPr>
          <w:rFonts w:ascii="Abadi" w:hAnsi="Abadi"/>
          <w:sz w:val="21"/>
          <w:szCs w:val="21"/>
        </w:rPr>
      </w:pPr>
    </w:p>
    <w:p w14:paraId="611612C9" w14:textId="77777777" w:rsidR="00A2390D" w:rsidRPr="00461B13" w:rsidRDefault="00A2390D" w:rsidP="00427BD6">
      <w:pPr>
        <w:pStyle w:val="Textoindependiente"/>
        <w:numPr>
          <w:ilvl w:val="0"/>
          <w:numId w:val="9"/>
        </w:numPr>
        <w:autoSpaceDE/>
        <w:autoSpaceDN/>
        <w:rPr>
          <w:rFonts w:ascii="Abadi" w:hAnsi="Abadi"/>
          <w:sz w:val="21"/>
          <w:szCs w:val="21"/>
        </w:rPr>
      </w:pPr>
      <w:r w:rsidRPr="00461B13">
        <w:rPr>
          <w:rFonts w:ascii="Abadi" w:hAnsi="Abadi"/>
          <w:sz w:val="21"/>
          <w:szCs w:val="21"/>
        </w:rPr>
        <w:t xml:space="preserve">Promoción del ejercicio de facultades de comprobación fiscal. </w:t>
      </w:r>
    </w:p>
    <w:p w14:paraId="26DBA5A1" w14:textId="77777777" w:rsidR="00A2390D" w:rsidRPr="009E77D1" w:rsidRDefault="00A2390D" w:rsidP="00A2390D">
      <w:pPr>
        <w:pStyle w:val="Textoindependiente"/>
        <w:ind w:firstLine="705"/>
        <w:rPr>
          <w:rFonts w:ascii="Abadi" w:hAnsi="Abadi"/>
          <w:sz w:val="21"/>
          <w:szCs w:val="21"/>
        </w:rPr>
      </w:pPr>
    </w:p>
    <w:p w14:paraId="536DC796"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w:t>
      </w:r>
      <w:r w:rsidRPr="00461B13">
        <w:rPr>
          <w:rFonts w:ascii="Abadi" w:hAnsi="Abadi"/>
          <w:b w:val="0"/>
          <w:bCs w:val="0"/>
          <w:sz w:val="21"/>
          <w:szCs w:val="21"/>
        </w:rPr>
        <w:t>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58EA4E0" w14:textId="77777777" w:rsidR="00A2390D" w:rsidRPr="009E77D1" w:rsidRDefault="00A2390D" w:rsidP="00A2390D">
      <w:pPr>
        <w:pStyle w:val="Textoindependiente"/>
        <w:ind w:firstLine="705"/>
        <w:rPr>
          <w:rFonts w:ascii="Abadi" w:hAnsi="Abadi"/>
          <w:sz w:val="21"/>
          <w:szCs w:val="21"/>
        </w:rPr>
      </w:pPr>
    </w:p>
    <w:p w14:paraId="3C5807FB" w14:textId="77777777" w:rsidR="00A2390D" w:rsidRPr="00461B13" w:rsidRDefault="00A2390D" w:rsidP="00427BD6">
      <w:pPr>
        <w:pStyle w:val="Textoindependiente"/>
        <w:numPr>
          <w:ilvl w:val="0"/>
          <w:numId w:val="9"/>
        </w:numPr>
        <w:autoSpaceDE/>
        <w:autoSpaceDN/>
        <w:rPr>
          <w:rFonts w:ascii="Abadi" w:hAnsi="Abadi"/>
          <w:sz w:val="21"/>
          <w:szCs w:val="21"/>
        </w:rPr>
      </w:pPr>
      <w:r w:rsidRPr="00461B13">
        <w:rPr>
          <w:rFonts w:ascii="Abadi" w:hAnsi="Abadi"/>
          <w:sz w:val="21"/>
          <w:szCs w:val="21"/>
        </w:rPr>
        <w:t>Comunicado ante órganos de control y autoridades que administran padrones de proveedores y contratistas.</w:t>
      </w:r>
    </w:p>
    <w:p w14:paraId="18370386" w14:textId="77777777" w:rsidR="00A2390D" w:rsidRPr="00461B13" w:rsidRDefault="00A2390D" w:rsidP="00A2390D">
      <w:pPr>
        <w:pStyle w:val="Textoindependiente"/>
        <w:ind w:firstLine="705"/>
        <w:rPr>
          <w:rFonts w:ascii="Abadi" w:hAnsi="Abadi"/>
          <w:sz w:val="21"/>
          <w:szCs w:val="21"/>
        </w:rPr>
      </w:pPr>
    </w:p>
    <w:p w14:paraId="118EEF45"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337DD766" w14:textId="77777777" w:rsidR="00A2390D" w:rsidRPr="00461B13" w:rsidRDefault="00A2390D" w:rsidP="00A2390D">
      <w:pPr>
        <w:pStyle w:val="Textoindependiente"/>
        <w:ind w:firstLine="705"/>
        <w:rPr>
          <w:rFonts w:ascii="Abadi" w:hAnsi="Abadi"/>
          <w:b w:val="0"/>
          <w:bCs w:val="0"/>
          <w:sz w:val="21"/>
          <w:szCs w:val="21"/>
        </w:rPr>
      </w:pPr>
    </w:p>
    <w:p w14:paraId="7DBD39C5" w14:textId="77777777" w:rsidR="00A2390D" w:rsidRPr="00461B13" w:rsidRDefault="00A2390D" w:rsidP="00427BD6">
      <w:pPr>
        <w:pStyle w:val="Textoindependiente"/>
        <w:numPr>
          <w:ilvl w:val="0"/>
          <w:numId w:val="9"/>
        </w:numPr>
        <w:autoSpaceDE/>
        <w:autoSpaceDN/>
        <w:rPr>
          <w:rFonts w:ascii="Abadi" w:hAnsi="Abadi"/>
          <w:sz w:val="21"/>
          <w:szCs w:val="21"/>
        </w:rPr>
      </w:pPr>
      <w:r w:rsidRPr="00461B13">
        <w:rPr>
          <w:rFonts w:ascii="Abadi" w:hAnsi="Abadi"/>
          <w:sz w:val="21"/>
          <w:szCs w:val="21"/>
        </w:rPr>
        <w:t xml:space="preserve">Recurso de Reconsideración. </w:t>
      </w:r>
    </w:p>
    <w:p w14:paraId="5F5E32F9" w14:textId="77777777" w:rsidR="00A2390D" w:rsidRPr="00461B13" w:rsidRDefault="00A2390D" w:rsidP="00A2390D">
      <w:pPr>
        <w:pStyle w:val="Textoindependiente"/>
        <w:ind w:left="705"/>
        <w:rPr>
          <w:rFonts w:ascii="Abadi" w:hAnsi="Abadi"/>
          <w:sz w:val="21"/>
          <w:szCs w:val="21"/>
        </w:rPr>
      </w:pPr>
    </w:p>
    <w:p w14:paraId="3BD676C3"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el presidente y el tesorero municipales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xml:space="preserve">., interpusieron recurso de reconsideración en contra del informe de resultados de la revisión practicada a la cuenta pública de dicho Municipio, correspondiente al ejercicio fiscal del año 2021, concretamente en contra de las observaciones establecidas en los numerales 002, relativo a prima de antigüedad; y 005, referente a recargos y multas SAT; así como de la recomendación contenida en el numeral  001, correspondiente a adquisición de oxímetros, mismas que se encuentran relacionadas con el Capítulo II, denominado Observaciones y Recomendaciones; Respuesta </w:t>
      </w:r>
      <w:r w:rsidRPr="00461B13">
        <w:rPr>
          <w:rFonts w:ascii="Abadi" w:hAnsi="Abadi"/>
          <w:b w:val="0"/>
          <w:bCs w:val="0"/>
          <w:sz w:val="21"/>
          <w:szCs w:val="21"/>
        </w:rPr>
        <w:lastRenderedPageBreak/>
        <w:t>Emitida por el Sujeto Fiscalizado y Valoración Correspondiente.</w:t>
      </w:r>
    </w:p>
    <w:p w14:paraId="2D96FDCB"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 xml:space="preserve"> En tal sentido, mediante acuerdo de fecha 28 de marzo de 2023, emitido por el Director General de Asuntos Jurídicos de la 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461B13">
          <w:rPr>
            <w:rFonts w:ascii="Abadi" w:hAnsi="Abadi"/>
            <w:b w:val="0"/>
            <w:bCs w:val="0"/>
            <w:sz w:val="21"/>
            <w:szCs w:val="21"/>
          </w:rPr>
          <w:t>la Ley</w:t>
        </w:r>
      </w:smartTag>
      <w:r w:rsidRPr="00461B13">
        <w:rPr>
          <w:rFonts w:ascii="Abadi" w:hAnsi="Abadi"/>
          <w:b w:val="0"/>
          <w:bCs w:val="0"/>
          <w:sz w:val="21"/>
          <w:szCs w:val="21"/>
        </w:rPr>
        <w:t xml:space="preserve"> de Fiscalización Superior del Estado de Guanajuato, instruyendo la integración del expediente y el registro correspondiente. Asimismo, mediante dicho acuerdo se admitieron los medios de prueba ofrecidos por los recurrentes, al tratarse de pruebas novedosas y supervenientes.</w:t>
      </w:r>
    </w:p>
    <w:p w14:paraId="14931E41" w14:textId="77777777" w:rsidR="00A2390D" w:rsidRPr="00461B13" w:rsidRDefault="00A2390D" w:rsidP="00A2390D">
      <w:pPr>
        <w:pStyle w:val="Textoindependiente"/>
        <w:ind w:firstLine="708"/>
        <w:rPr>
          <w:rFonts w:ascii="Abadi" w:hAnsi="Abadi"/>
          <w:b w:val="0"/>
          <w:bCs w:val="0"/>
          <w:sz w:val="21"/>
          <w:szCs w:val="21"/>
        </w:rPr>
      </w:pPr>
    </w:p>
    <w:p w14:paraId="6AFC5E5B"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Una vez tramitado el recurso, el Auditor Superior del Estado, el 29 de marzo de 2023 emitió la resolución correspondiente, determinándose respecto a la observación establecida en el numeral 002, que las probanzas aportadas por los recurrentes resultaron suficientes para acreditar las acciones emprendidas para corregir la situación observada y recuperar el importe correspondiente. En razón de lo cual aun cuando se confirmó el sentido de la valoración de la observación como no solventada, se modificó su complemento para quedar sin acciones pendientes de realizar por el sujeto fiscalizado.</w:t>
      </w:r>
    </w:p>
    <w:p w14:paraId="6EBCB27B" w14:textId="77777777" w:rsidR="00A2390D" w:rsidRPr="00461B13" w:rsidRDefault="00A2390D" w:rsidP="00A2390D">
      <w:pPr>
        <w:pStyle w:val="Textoindependiente"/>
        <w:ind w:firstLine="708"/>
        <w:rPr>
          <w:rFonts w:ascii="Abadi" w:hAnsi="Abadi"/>
          <w:b w:val="0"/>
          <w:bCs w:val="0"/>
          <w:sz w:val="21"/>
          <w:szCs w:val="21"/>
        </w:rPr>
      </w:pPr>
    </w:p>
    <w:p w14:paraId="58180867"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En cuanto a la observación plasmada en el numeral 005, se concluyó que lo expuesto por los recurrentes resultó inoperante, por los argumentos referidos en el considerando séptimo. Por otra parte, las pruebas aportadas por los recurrentes resultaron suficientes para acreditar las acciones emprendidas para corregir la situación observada y recuperar el importe respectivo. En consecuencia, aun cuando se confirmó el sentido de la valoración de la observación como no solventada, se modificó su complemento para quedar sin acciones pendientes de realizar por el sujeto fiscalizado. </w:t>
      </w:r>
    </w:p>
    <w:p w14:paraId="2D072AAA" w14:textId="77777777" w:rsidR="00A2390D" w:rsidRPr="00461B13" w:rsidRDefault="00A2390D" w:rsidP="00A2390D">
      <w:pPr>
        <w:pStyle w:val="Textoindependiente"/>
        <w:ind w:firstLine="708"/>
        <w:rPr>
          <w:rFonts w:ascii="Abadi" w:hAnsi="Abadi"/>
          <w:b w:val="0"/>
          <w:bCs w:val="0"/>
          <w:sz w:val="21"/>
          <w:szCs w:val="21"/>
        </w:rPr>
      </w:pPr>
    </w:p>
    <w:p w14:paraId="06FC8E08"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Finalmente, por lo que hace a la recomendación contenida en el numeral 001, se resolvió que las pruebas aportadas resultaron insuficientes para acreditar las acciones y gestiones realizadas, de conformidad con lo establecido en el considerando séptimo. Por lo anterior, se </w:t>
      </w:r>
      <w:r w:rsidRPr="00461B13">
        <w:rPr>
          <w:rFonts w:ascii="Abadi" w:hAnsi="Abadi"/>
          <w:b w:val="0"/>
          <w:bCs w:val="0"/>
          <w:sz w:val="21"/>
          <w:szCs w:val="21"/>
        </w:rPr>
        <w:t>confirmó el sentido de la valoración de la recomendación como no atendida.</w:t>
      </w:r>
    </w:p>
    <w:p w14:paraId="21E18D51" w14:textId="77777777" w:rsidR="00A2390D" w:rsidRPr="00461B13" w:rsidRDefault="00A2390D" w:rsidP="00A2390D">
      <w:pPr>
        <w:pStyle w:val="Textoindependiente"/>
        <w:ind w:firstLine="708"/>
        <w:rPr>
          <w:rFonts w:ascii="Abadi" w:hAnsi="Abadi"/>
          <w:b w:val="0"/>
          <w:bCs w:val="0"/>
          <w:sz w:val="21"/>
          <w:szCs w:val="21"/>
        </w:rPr>
      </w:pPr>
    </w:p>
    <w:p w14:paraId="64F7300B" w14:textId="77777777" w:rsidR="00A2390D" w:rsidRPr="00461B13" w:rsidRDefault="00A2390D" w:rsidP="00A2390D">
      <w:pPr>
        <w:pStyle w:val="Textoindependiente"/>
        <w:ind w:firstLine="708"/>
        <w:rPr>
          <w:rFonts w:ascii="Abadi" w:hAnsi="Abadi"/>
          <w:b w:val="0"/>
          <w:bCs w:val="0"/>
          <w:sz w:val="21"/>
          <w:szCs w:val="21"/>
        </w:rPr>
      </w:pPr>
      <w:r w:rsidRPr="00461B13">
        <w:rPr>
          <w:rFonts w:ascii="Abadi" w:hAnsi="Abadi"/>
          <w:b w:val="0"/>
          <w:bCs w:val="0"/>
          <w:sz w:val="21"/>
          <w:szCs w:val="21"/>
        </w:rPr>
        <w:t xml:space="preserve">La referida resolución se notificó al presidente municipal de Dolores Hidalgo Cuna de la Independencia Nacional, </w:t>
      </w:r>
      <w:proofErr w:type="spellStart"/>
      <w:r w:rsidRPr="00461B13">
        <w:rPr>
          <w:rFonts w:ascii="Abadi" w:hAnsi="Abadi"/>
          <w:b w:val="0"/>
          <w:bCs w:val="0"/>
          <w:sz w:val="21"/>
          <w:szCs w:val="21"/>
        </w:rPr>
        <w:t>Gto</w:t>
      </w:r>
      <w:proofErr w:type="spellEnd"/>
      <w:r w:rsidRPr="00461B13">
        <w:rPr>
          <w:rFonts w:ascii="Abadi" w:hAnsi="Abadi"/>
          <w:b w:val="0"/>
          <w:bCs w:val="0"/>
          <w:sz w:val="21"/>
          <w:szCs w:val="21"/>
        </w:rPr>
        <w:t>., el 30 de marzo de 2023.</w:t>
      </w:r>
    </w:p>
    <w:p w14:paraId="79FB0B1B" w14:textId="77777777" w:rsidR="00A2390D" w:rsidRPr="009E77D1" w:rsidRDefault="00A2390D" w:rsidP="00A2390D">
      <w:pPr>
        <w:pStyle w:val="Textoindependiente"/>
        <w:ind w:firstLine="705"/>
        <w:rPr>
          <w:rFonts w:ascii="Abadi" w:hAnsi="Abadi"/>
          <w:sz w:val="21"/>
          <w:szCs w:val="21"/>
        </w:rPr>
      </w:pPr>
    </w:p>
    <w:p w14:paraId="2EE60757" w14:textId="77777777" w:rsidR="00A2390D" w:rsidRPr="00461B13" w:rsidRDefault="00A2390D" w:rsidP="00427BD6">
      <w:pPr>
        <w:pStyle w:val="Textoindependiente"/>
        <w:numPr>
          <w:ilvl w:val="0"/>
          <w:numId w:val="9"/>
        </w:numPr>
        <w:autoSpaceDE/>
        <w:autoSpaceDN/>
        <w:rPr>
          <w:rFonts w:ascii="Abadi" w:hAnsi="Abadi"/>
          <w:sz w:val="21"/>
          <w:szCs w:val="21"/>
        </w:rPr>
      </w:pPr>
      <w:r w:rsidRPr="00461B13">
        <w:rPr>
          <w:rFonts w:ascii="Abadi" w:hAnsi="Abadi"/>
          <w:sz w:val="21"/>
          <w:szCs w:val="21"/>
        </w:rPr>
        <w:t xml:space="preserve">Anexos. </w:t>
      </w:r>
    </w:p>
    <w:p w14:paraId="49B46A40" w14:textId="77777777" w:rsidR="00A2390D" w:rsidRPr="009E77D1" w:rsidRDefault="00A2390D" w:rsidP="00A2390D">
      <w:pPr>
        <w:pStyle w:val="Textoindependiente"/>
        <w:ind w:firstLine="705"/>
        <w:rPr>
          <w:rFonts w:ascii="Abadi" w:hAnsi="Abadi"/>
          <w:sz w:val="21"/>
          <w:szCs w:val="21"/>
        </w:rPr>
      </w:pPr>
    </w:p>
    <w:p w14:paraId="295CE454" w14:textId="77777777" w:rsidR="00A2390D" w:rsidRPr="00461B13" w:rsidRDefault="00A2390D" w:rsidP="00A2390D">
      <w:pPr>
        <w:pStyle w:val="Textoindependiente"/>
        <w:ind w:firstLine="705"/>
        <w:rPr>
          <w:rFonts w:ascii="Abadi" w:hAnsi="Abadi"/>
          <w:b w:val="0"/>
          <w:bCs w:val="0"/>
          <w:sz w:val="21"/>
          <w:szCs w:val="21"/>
        </w:rPr>
      </w:pPr>
      <w:r w:rsidRPr="00461B13">
        <w:rPr>
          <w:rFonts w:ascii="Abadi" w:hAnsi="Abadi"/>
          <w:b w:val="0"/>
          <w:bCs w:val="0"/>
          <w:sz w:val="21"/>
          <w:szCs w:val="21"/>
        </w:rPr>
        <w:t>En esta parte, se adjuntan los anexos técnicos derivados de la revisión practicada.</w:t>
      </w:r>
    </w:p>
    <w:p w14:paraId="3CC13107" w14:textId="77777777" w:rsidR="00461B13" w:rsidRDefault="00461B13" w:rsidP="00A2390D">
      <w:pPr>
        <w:ind w:firstLine="708"/>
        <w:jc w:val="both"/>
        <w:rPr>
          <w:rFonts w:ascii="Abadi" w:hAnsi="Abadi" w:cs="Arial"/>
          <w:b/>
          <w:bCs/>
          <w:sz w:val="21"/>
          <w:szCs w:val="21"/>
        </w:rPr>
      </w:pPr>
    </w:p>
    <w:p w14:paraId="6BB04481" w14:textId="3B8A1E82" w:rsidR="00A2390D" w:rsidRPr="009E77D1" w:rsidRDefault="00A2390D" w:rsidP="00A2390D">
      <w:pPr>
        <w:ind w:firstLine="708"/>
        <w:jc w:val="both"/>
        <w:rPr>
          <w:rFonts w:ascii="Abadi" w:hAnsi="Abadi" w:cs="Arial"/>
          <w:b/>
          <w:bCs/>
          <w:sz w:val="21"/>
          <w:szCs w:val="21"/>
        </w:rPr>
      </w:pPr>
      <w:r w:rsidRPr="009E77D1">
        <w:rPr>
          <w:rFonts w:ascii="Abadi" w:hAnsi="Abadi" w:cs="Arial"/>
          <w:b/>
          <w:bCs/>
          <w:sz w:val="21"/>
          <w:szCs w:val="21"/>
        </w:rPr>
        <w:t>V. Conclusiones:</w:t>
      </w:r>
    </w:p>
    <w:p w14:paraId="6440E878" w14:textId="77777777" w:rsidR="00A2390D" w:rsidRPr="009E77D1" w:rsidRDefault="00A2390D" w:rsidP="00A2390D">
      <w:pPr>
        <w:jc w:val="both"/>
        <w:rPr>
          <w:rFonts w:ascii="Abadi" w:hAnsi="Abadi" w:cs="Arial"/>
          <w:sz w:val="21"/>
          <w:szCs w:val="21"/>
        </w:rPr>
      </w:pPr>
    </w:p>
    <w:p w14:paraId="29233B1B" w14:textId="77777777" w:rsidR="00A2390D" w:rsidRPr="009E77D1" w:rsidRDefault="00A2390D" w:rsidP="00A2390D">
      <w:pPr>
        <w:jc w:val="both"/>
        <w:rPr>
          <w:rFonts w:ascii="Abadi" w:hAnsi="Abadi" w:cs="Arial"/>
          <w:sz w:val="21"/>
          <w:szCs w:val="21"/>
        </w:rPr>
      </w:pPr>
      <w:r w:rsidRPr="009E77D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E77D1">
          <w:rPr>
            <w:rFonts w:ascii="Abadi" w:hAnsi="Abadi" w:cs="Arial"/>
            <w:sz w:val="21"/>
            <w:szCs w:val="21"/>
          </w:rPr>
          <w:t>la Ley</w:t>
        </w:r>
      </w:smartTag>
      <w:r w:rsidRPr="009E77D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79F49C8" w14:textId="77777777" w:rsidR="00A2390D" w:rsidRPr="009E77D1" w:rsidRDefault="00A2390D" w:rsidP="00A2390D">
      <w:pPr>
        <w:jc w:val="both"/>
        <w:rPr>
          <w:rFonts w:ascii="Abadi" w:hAnsi="Abadi" w:cs="Arial"/>
          <w:sz w:val="21"/>
          <w:szCs w:val="21"/>
        </w:rPr>
      </w:pPr>
    </w:p>
    <w:p w14:paraId="44DE68BB" w14:textId="77777777" w:rsidR="00A2390D" w:rsidRPr="009E77D1" w:rsidRDefault="00A2390D" w:rsidP="00A2390D">
      <w:pPr>
        <w:jc w:val="both"/>
        <w:rPr>
          <w:rFonts w:ascii="Abadi" w:hAnsi="Abadi" w:cs="Arial"/>
          <w:sz w:val="21"/>
          <w:szCs w:val="21"/>
        </w:rPr>
      </w:pPr>
      <w:r w:rsidRPr="009E77D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3649711" w14:textId="77777777" w:rsidR="00A2390D" w:rsidRPr="009E77D1" w:rsidRDefault="00A2390D" w:rsidP="00A2390D">
      <w:pPr>
        <w:jc w:val="both"/>
        <w:rPr>
          <w:rFonts w:ascii="Abadi" w:hAnsi="Abadi" w:cs="Arial"/>
          <w:sz w:val="21"/>
          <w:szCs w:val="21"/>
        </w:rPr>
      </w:pPr>
    </w:p>
    <w:p w14:paraId="65042570"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al ex presidente municipales, así como a la ex presidenta municipal interina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9E77D1">
          <w:rPr>
            <w:rFonts w:ascii="Abadi" w:hAnsi="Abadi" w:cs="Arial"/>
            <w:sz w:val="21"/>
            <w:szCs w:val="21"/>
          </w:rPr>
          <w:t>la Ley</w:t>
        </w:r>
      </w:smartTag>
      <w:r w:rsidRPr="009E77D1">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6B1D37B7" w14:textId="77777777" w:rsidR="00A2390D" w:rsidRPr="009E77D1" w:rsidRDefault="00A2390D" w:rsidP="00A2390D">
      <w:pPr>
        <w:ind w:firstLine="708"/>
        <w:jc w:val="both"/>
        <w:rPr>
          <w:rFonts w:ascii="Abadi" w:hAnsi="Abadi" w:cs="Arial"/>
          <w:sz w:val="21"/>
          <w:szCs w:val="21"/>
        </w:rPr>
      </w:pPr>
    </w:p>
    <w:p w14:paraId="5AEF5540"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De igual manera, existe en el informe de resultados la constancia de que este se notificó al presidente y al ex presidente </w:t>
      </w:r>
      <w:r w:rsidRPr="009E77D1">
        <w:rPr>
          <w:rFonts w:ascii="Abadi" w:hAnsi="Abadi" w:cs="Arial"/>
          <w:sz w:val="21"/>
          <w:szCs w:val="21"/>
        </w:rPr>
        <w:lastRenderedPageBreak/>
        <w:t xml:space="preserve">municipales, así como a la ex presidenta municipal interina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9E77D1">
          <w:rPr>
            <w:rFonts w:ascii="Abadi" w:hAnsi="Abadi" w:cs="Arial"/>
            <w:sz w:val="21"/>
            <w:szCs w:val="21"/>
          </w:rPr>
          <w:t>la Ley</w:t>
        </w:r>
      </w:smartTag>
      <w:r w:rsidRPr="009E77D1">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En tal virtud, se considera que fue respetado el derecho de audiencia o defensa por parte del Órgano Técnico.</w:t>
      </w:r>
    </w:p>
    <w:p w14:paraId="2AA65623" w14:textId="77777777" w:rsidR="00A2390D" w:rsidRPr="009E77D1" w:rsidRDefault="00A2390D" w:rsidP="00A2390D">
      <w:pPr>
        <w:ind w:firstLine="708"/>
        <w:jc w:val="both"/>
        <w:rPr>
          <w:rFonts w:ascii="Abadi" w:hAnsi="Abadi" w:cs="Arial"/>
          <w:sz w:val="21"/>
          <w:szCs w:val="21"/>
        </w:rPr>
      </w:pPr>
    </w:p>
    <w:p w14:paraId="12095208"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A9CB901" w14:textId="77777777" w:rsidR="00A2390D" w:rsidRPr="009E77D1" w:rsidRDefault="00A2390D" w:rsidP="00A2390D">
      <w:pPr>
        <w:ind w:firstLine="708"/>
        <w:jc w:val="both"/>
        <w:rPr>
          <w:rFonts w:ascii="Abadi" w:hAnsi="Abadi" w:cs="Arial"/>
          <w:sz w:val="21"/>
          <w:szCs w:val="21"/>
        </w:rPr>
      </w:pPr>
    </w:p>
    <w:p w14:paraId="39720267"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5D2F53E" w14:textId="77777777" w:rsidR="00A2390D" w:rsidRPr="009E77D1" w:rsidRDefault="00A2390D" w:rsidP="00A2390D">
      <w:pPr>
        <w:jc w:val="both"/>
        <w:rPr>
          <w:rFonts w:ascii="Abadi" w:hAnsi="Abadi" w:cs="Arial"/>
          <w:sz w:val="21"/>
          <w:szCs w:val="21"/>
        </w:rPr>
      </w:pPr>
    </w:p>
    <w:p w14:paraId="691744D5"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3CB87C24" w14:textId="77777777" w:rsidR="00A2390D" w:rsidRPr="009E77D1" w:rsidRDefault="00A2390D" w:rsidP="00A2390D">
      <w:pPr>
        <w:ind w:firstLine="708"/>
        <w:jc w:val="both"/>
        <w:rPr>
          <w:rFonts w:ascii="Abadi" w:hAnsi="Abadi" w:cs="Arial"/>
          <w:sz w:val="21"/>
          <w:szCs w:val="21"/>
        </w:rPr>
      </w:pPr>
    </w:p>
    <w:p w14:paraId="0C7F45FA"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E43919A" w14:textId="77777777" w:rsidR="00A2390D" w:rsidRPr="009E77D1" w:rsidRDefault="00A2390D" w:rsidP="00A2390D">
      <w:pPr>
        <w:ind w:firstLine="708"/>
        <w:jc w:val="both"/>
        <w:rPr>
          <w:rFonts w:ascii="Abadi" w:hAnsi="Abadi" w:cs="Arial"/>
          <w:sz w:val="21"/>
          <w:szCs w:val="21"/>
        </w:rPr>
      </w:pPr>
    </w:p>
    <w:p w14:paraId="71359CCE"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En razón de lo anteriormente señalado, concluimos que el informe de resultados de la revisión practicada a la cuenta pública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E77D1">
          <w:rPr>
            <w:rFonts w:ascii="Abadi" w:hAnsi="Abadi" w:cs="Arial"/>
            <w:sz w:val="21"/>
            <w:szCs w:val="21"/>
          </w:rPr>
          <w:t>la Ley</w:t>
        </w:r>
      </w:smartTag>
      <w:r w:rsidRPr="009E77D1">
        <w:rPr>
          <w:rFonts w:ascii="Abadi" w:hAnsi="Abadi" w:cs="Arial"/>
          <w:sz w:val="21"/>
          <w:szCs w:val="21"/>
        </w:rPr>
        <w:t xml:space="preserve"> de Fiscalización Superior del Estado de Guanajuato, razón por la cual no podría ser observado por el Pleno del Congreso.</w:t>
      </w:r>
    </w:p>
    <w:p w14:paraId="30CD7F33" w14:textId="77777777" w:rsidR="00A2390D" w:rsidRPr="009E77D1" w:rsidRDefault="00A2390D" w:rsidP="00A2390D">
      <w:pPr>
        <w:pStyle w:val="Sangra3detindependiente"/>
        <w:spacing w:line="240" w:lineRule="auto"/>
        <w:rPr>
          <w:rFonts w:ascii="Abadi" w:hAnsi="Abadi"/>
          <w:sz w:val="21"/>
          <w:szCs w:val="21"/>
        </w:rPr>
      </w:pPr>
    </w:p>
    <w:p w14:paraId="5695A4D0" w14:textId="77777777" w:rsidR="00A2390D" w:rsidRPr="009E77D1" w:rsidRDefault="00A2390D" w:rsidP="00A2390D">
      <w:pPr>
        <w:pStyle w:val="Sangra3detindependiente"/>
        <w:spacing w:line="240" w:lineRule="auto"/>
        <w:rPr>
          <w:rFonts w:ascii="Abadi" w:hAnsi="Abadi"/>
          <w:sz w:val="21"/>
          <w:szCs w:val="21"/>
        </w:rPr>
      </w:pPr>
      <w:r w:rsidRPr="009E77D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E77D1">
          <w:rPr>
            <w:rFonts w:ascii="Abadi" w:hAnsi="Abadi"/>
            <w:sz w:val="21"/>
            <w:szCs w:val="21"/>
          </w:rPr>
          <w:t>la Ley Orgánica</w:t>
        </w:r>
      </w:smartTag>
      <w:r w:rsidRPr="009E77D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E77D1">
          <w:rPr>
            <w:rFonts w:ascii="Abadi" w:hAnsi="Abadi"/>
            <w:sz w:val="21"/>
            <w:szCs w:val="21"/>
          </w:rPr>
          <w:t>la Asamblea</w:t>
        </w:r>
      </w:smartTag>
      <w:r w:rsidRPr="009E77D1">
        <w:rPr>
          <w:rFonts w:ascii="Abadi" w:hAnsi="Abadi"/>
          <w:sz w:val="21"/>
          <w:szCs w:val="21"/>
        </w:rPr>
        <w:t>, la aprobación del siguiente:</w:t>
      </w:r>
    </w:p>
    <w:p w14:paraId="45E09EDF" w14:textId="77777777" w:rsidR="00A2390D" w:rsidRPr="009E77D1" w:rsidRDefault="00A2390D" w:rsidP="00A2390D">
      <w:pPr>
        <w:pStyle w:val="Ttulo1"/>
        <w:jc w:val="center"/>
        <w:rPr>
          <w:rFonts w:ascii="Abadi" w:hAnsi="Abadi" w:cs="Arial"/>
          <w:smallCaps/>
          <w:sz w:val="21"/>
          <w:szCs w:val="21"/>
        </w:rPr>
      </w:pPr>
    </w:p>
    <w:p w14:paraId="553BACA6" w14:textId="77777777" w:rsidR="00A2390D" w:rsidRPr="009E77D1" w:rsidRDefault="00A2390D" w:rsidP="00A2390D">
      <w:pPr>
        <w:pStyle w:val="Ttulo1"/>
        <w:jc w:val="center"/>
        <w:rPr>
          <w:rFonts w:ascii="Abadi" w:hAnsi="Abadi" w:cs="Arial"/>
          <w:smallCaps/>
          <w:sz w:val="21"/>
          <w:szCs w:val="21"/>
        </w:rPr>
      </w:pPr>
      <w:r w:rsidRPr="009E77D1">
        <w:rPr>
          <w:rFonts w:ascii="Abadi" w:hAnsi="Abadi" w:cs="Arial"/>
          <w:smallCaps/>
          <w:sz w:val="21"/>
          <w:szCs w:val="21"/>
        </w:rPr>
        <w:t>A c u e r d o</w:t>
      </w:r>
    </w:p>
    <w:p w14:paraId="6D5B3BC3" w14:textId="77777777" w:rsidR="00A2390D" w:rsidRPr="009E77D1" w:rsidRDefault="00A2390D" w:rsidP="00A2390D">
      <w:pPr>
        <w:rPr>
          <w:rFonts w:ascii="Abadi" w:hAnsi="Abadi"/>
          <w:sz w:val="21"/>
          <w:szCs w:val="21"/>
        </w:rPr>
      </w:pPr>
    </w:p>
    <w:p w14:paraId="6010916A" w14:textId="77777777" w:rsidR="00A2390D" w:rsidRPr="009E77D1" w:rsidRDefault="00A2390D" w:rsidP="00A2390D">
      <w:pPr>
        <w:ind w:firstLine="708"/>
        <w:jc w:val="both"/>
        <w:rPr>
          <w:rFonts w:ascii="Abadi" w:hAnsi="Abadi" w:cs="Arial"/>
          <w:sz w:val="21"/>
          <w:szCs w:val="21"/>
        </w:rPr>
      </w:pPr>
      <w:r w:rsidRPr="009E77D1">
        <w:rPr>
          <w:rFonts w:ascii="Abadi" w:hAnsi="Abadi" w:cs="Arial"/>
          <w:b/>
          <w:bCs/>
          <w:sz w:val="21"/>
          <w:szCs w:val="21"/>
        </w:rPr>
        <w:lastRenderedPageBreak/>
        <w:t xml:space="preserve">Único. </w:t>
      </w:r>
      <w:r w:rsidRPr="009E77D1">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9E77D1">
          <w:rPr>
            <w:rFonts w:ascii="Abadi" w:hAnsi="Abadi" w:cs="Arial"/>
            <w:sz w:val="21"/>
            <w:szCs w:val="21"/>
          </w:rPr>
          <w:t>la Constitución Política</w:t>
        </w:r>
      </w:smartTag>
      <w:r w:rsidRPr="009E77D1">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Dolores Hidalgo Cuna de la Independencia Nacional, </w:t>
      </w:r>
      <w:proofErr w:type="spellStart"/>
      <w:r w:rsidRPr="009E77D1">
        <w:rPr>
          <w:rFonts w:ascii="Abadi" w:hAnsi="Abadi" w:cs="Arial"/>
          <w:sz w:val="21"/>
          <w:szCs w:val="21"/>
        </w:rPr>
        <w:t>Gto</w:t>
      </w:r>
      <w:proofErr w:type="spellEnd"/>
      <w:r w:rsidRPr="009E77D1">
        <w:rPr>
          <w:rFonts w:ascii="Abadi" w:hAnsi="Abadi" w:cs="Arial"/>
          <w:sz w:val="21"/>
          <w:szCs w:val="21"/>
        </w:rPr>
        <w:t>., correspondiente al ejercicio fiscal del año 2021, con base en el informe de resultados formulado por la Auditoría Superior del Estado de Guanajuato.</w:t>
      </w:r>
    </w:p>
    <w:p w14:paraId="76A766CC" w14:textId="77777777" w:rsidR="00A2390D" w:rsidRPr="009E77D1" w:rsidRDefault="00A2390D" w:rsidP="00A2390D">
      <w:pPr>
        <w:ind w:firstLine="708"/>
        <w:jc w:val="both"/>
        <w:rPr>
          <w:rFonts w:ascii="Abadi" w:hAnsi="Abadi" w:cs="Arial"/>
          <w:sz w:val="21"/>
          <w:szCs w:val="21"/>
        </w:rPr>
      </w:pPr>
    </w:p>
    <w:p w14:paraId="0F1F9167" w14:textId="77777777" w:rsidR="00A2390D" w:rsidRPr="009E77D1" w:rsidRDefault="00A2390D" w:rsidP="00A2390D">
      <w:pPr>
        <w:pStyle w:val="Sangra3detindependiente"/>
        <w:spacing w:line="240" w:lineRule="auto"/>
        <w:rPr>
          <w:rFonts w:ascii="Abadi" w:hAnsi="Abadi"/>
          <w:sz w:val="21"/>
          <w:szCs w:val="21"/>
          <w:lang w:val="es-MX"/>
        </w:rPr>
      </w:pPr>
      <w:r w:rsidRPr="009E77D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E77D1">
        <w:rPr>
          <w:rFonts w:ascii="Abadi" w:hAnsi="Abadi"/>
          <w:sz w:val="21"/>
          <w:szCs w:val="21"/>
          <w:lang w:val="es-MX"/>
        </w:rPr>
        <w:t>.</w:t>
      </w:r>
      <w:r w:rsidRPr="009E77D1">
        <w:rPr>
          <w:rFonts w:ascii="Abadi" w:hAnsi="Abadi"/>
          <w:sz w:val="21"/>
          <w:szCs w:val="21"/>
        </w:rPr>
        <w:t xml:space="preserve"> </w:t>
      </w:r>
      <w:r w:rsidRPr="009E77D1">
        <w:rPr>
          <w:rFonts w:ascii="Abadi" w:hAnsi="Abadi"/>
          <w:sz w:val="21"/>
          <w:szCs w:val="21"/>
          <w:lang w:val="es-MX"/>
        </w:rPr>
        <w:t>Asimismo, dará</w:t>
      </w:r>
      <w:r w:rsidRPr="009E77D1">
        <w:rPr>
          <w:rFonts w:ascii="Abadi" w:hAnsi="Abadi"/>
          <w:sz w:val="21"/>
          <w:szCs w:val="21"/>
        </w:rPr>
        <w:t xml:space="preserve"> seguimiento a la</w:t>
      </w:r>
      <w:r w:rsidRPr="009E77D1">
        <w:rPr>
          <w:rFonts w:ascii="Abadi" w:hAnsi="Abadi"/>
          <w:sz w:val="21"/>
          <w:szCs w:val="21"/>
          <w:lang w:val="es-MX"/>
        </w:rPr>
        <w:t>s</w:t>
      </w:r>
      <w:r w:rsidRPr="009E77D1">
        <w:rPr>
          <w:rFonts w:ascii="Abadi" w:hAnsi="Abadi"/>
          <w:sz w:val="21"/>
          <w:szCs w:val="21"/>
        </w:rPr>
        <w:t xml:space="preserve"> </w:t>
      </w:r>
      <w:proofErr w:type="spellStart"/>
      <w:r w:rsidRPr="009E77D1">
        <w:rPr>
          <w:rFonts w:ascii="Abadi" w:hAnsi="Abadi"/>
          <w:sz w:val="21"/>
          <w:szCs w:val="21"/>
        </w:rPr>
        <w:t>observaci</w:t>
      </w:r>
      <w:r w:rsidRPr="009E77D1">
        <w:rPr>
          <w:rFonts w:ascii="Abadi" w:hAnsi="Abadi"/>
          <w:sz w:val="21"/>
          <w:szCs w:val="21"/>
          <w:lang w:val="es-MX"/>
        </w:rPr>
        <w:t>ones</w:t>
      </w:r>
      <w:proofErr w:type="spellEnd"/>
      <w:r w:rsidRPr="009E77D1">
        <w:rPr>
          <w:rFonts w:ascii="Abadi" w:hAnsi="Abadi"/>
          <w:sz w:val="21"/>
          <w:szCs w:val="21"/>
        </w:rPr>
        <w:t xml:space="preserve"> no solventada</w:t>
      </w:r>
      <w:r w:rsidRPr="009E77D1">
        <w:rPr>
          <w:rFonts w:ascii="Abadi" w:hAnsi="Abadi"/>
          <w:sz w:val="21"/>
          <w:szCs w:val="21"/>
          <w:lang w:val="es-MX"/>
        </w:rPr>
        <w:t>s</w:t>
      </w:r>
      <w:r w:rsidRPr="009E77D1">
        <w:rPr>
          <w:rFonts w:ascii="Abadi" w:hAnsi="Abadi"/>
          <w:sz w:val="21"/>
          <w:szCs w:val="21"/>
        </w:rPr>
        <w:t xml:space="preserve"> </w:t>
      </w:r>
      <w:r w:rsidRPr="009E77D1">
        <w:rPr>
          <w:rFonts w:ascii="Abadi" w:hAnsi="Abadi"/>
          <w:sz w:val="21"/>
          <w:szCs w:val="21"/>
          <w:lang w:val="es-MX"/>
        </w:rPr>
        <w:t xml:space="preserve">y a la recomendación no atendida </w:t>
      </w:r>
      <w:r w:rsidRPr="009E77D1">
        <w:rPr>
          <w:rFonts w:ascii="Abadi" w:hAnsi="Abadi"/>
          <w:sz w:val="21"/>
          <w:szCs w:val="21"/>
        </w:rPr>
        <w:t>contenidas en el informe de resultados</w:t>
      </w:r>
      <w:r w:rsidRPr="009E77D1">
        <w:rPr>
          <w:rFonts w:ascii="Abadi" w:hAnsi="Abadi"/>
          <w:sz w:val="21"/>
          <w:szCs w:val="21"/>
          <w:lang w:val="es-MX"/>
        </w:rPr>
        <w:t>.</w:t>
      </w:r>
    </w:p>
    <w:p w14:paraId="4919E878" w14:textId="77777777" w:rsidR="00A2390D" w:rsidRPr="009E77D1" w:rsidRDefault="00A2390D" w:rsidP="00A2390D">
      <w:pPr>
        <w:pStyle w:val="Sangra3detindependiente"/>
        <w:spacing w:line="240" w:lineRule="auto"/>
        <w:rPr>
          <w:rFonts w:ascii="Abadi" w:hAnsi="Abadi"/>
          <w:sz w:val="21"/>
          <w:szCs w:val="21"/>
          <w:lang w:val="es-MX"/>
        </w:rPr>
      </w:pPr>
    </w:p>
    <w:p w14:paraId="01F82B73"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 xml:space="preserve">Se ordena dar vista del informe de resultados al ayuntamiento del municipio de </w:t>
      </w:r>
      <w:r w:rsidRPr="009E77D1">
        <w:rPr>
          <w:rFonts w:ascii="Abadi" w:hAnsi="Abadi" w:cs="Arial"/>
          <w:sz w:val="21"/>
          <w:szCs w:val="21"/>
          <w:lang w:val="es-MX"/>
        </w:rPr>
        <w:t>Dolores Hidalgo Cuna de la Independencia Nacional,</w:t>
      </w:r>
      <w:r w:rsidRPr="009E77D1">
        <w:rPr>
          <w:rFonts w:ascii="Abadi" w:hAnsi="Abadi" w:cs="Arial"/>
          <w:sz w:val="21"/>
          <w:szCs w:val="21"/>
        </w:rPr>
        <w:t xml:space="preserve"> </w:t>
      </w:r>
      <w:proofErr w:type="spellStart"/>
      <w:r w:rsidRPr="009E77D1">
        <w:rPr>
          <w:rFonts w:ascii="Abadi" w:hAnsi="Abadi" w:cs="Arial"/>
          <w:sz w:val="21"/>
          <w:szCs w:val="21"/>
        </w:rPr>
        <w:t>Gto</w:t>
      </w:r>
      <w:proofErr w:type="spellEnd"/>
      <w:r w:rsidRPr="009E77D1">
        <w:rPr>
          <w:rFonts w:ascii="Abadi" w:hAnsi="Abadi" w:cs="Arial"/>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9E77D1">
          <w:rPr>
            <w:rFonts w:ascii="Abadi" w:hAnsi="Abadi" w:cs="Arial"/>
            <w:sz w:val="21"/>
            <w:szCs w:val="21"/>
          </w:rPr>
          <w:t>la Ley</w:t>
        </w:r>
      </w:smartTag>
      <w:r w:rsidRPr="009E77D1">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28A784D0" w14:textId="77777777" w:rsidR="00A2390D" w:rsidRPr="009E77D1" w:rsidRDefault="00A2390D" w:rsidP="00A2390D">
      <w:pPr>
        <w:ind w:firstLine="708"/>
        <w:jc w:val="both"/>
        <w:rPr>
          <w:rFonts w:ascii="Abadi" w:hAnsi="Abadi" w:cs="Arial"/>
          <w:sz w:val="21"/>
          <w:szCs w:val="21"/>
        </w:rPr>
      </w:pPr>
    </w:p>
    <w:p w14:paraId="3D9EF595" w14:textId="77777777" w:rsidR="00A2390D" w:rsidRPr="009E77D1" w:rsidRDefault="00A2390D" w:rsidP="00A2390D">
      <w:pPr>
        <w:ind w:firstLine="708"/>
        <w:jc w:val="both"/>
        <w:rPr>
          <w:rFonts w:ascii="Abadi" w:hAnsi="Abadi" w:cs="Arial"/>
          <w:sz w:val="21"/>
          <w:szCs w:val="21"/>
        </w:rPr>
      </w:pPr>
    </w:p>
    <w:p w14:paraId="164033B1" w14:textId="77777777" w:rsidR="00A2390D" w:rsidRPr="009E77D1" w:rsidRDefault="00A2390D" w:rsidP="00A2390D">
      <w:pPr>
        <w:ind w:firstLine="708"/>
        <w:jc w:val="both"/>
        <w:rPr>
          <w:rFonts w:ascii="Abadi" w:hAnsi="Abadi" w:cs="Arial"/>
          <w:sz w:val="21"/>
          <w:szCs w:val="21"/>
        </w:rPr>
      </w:pPr>
      <w:r w:rsidRPr="009E77D1">
        <w:rPr>
          <w:rFonts w:ascii="Abadi" w:hAnsi="Abadi" w:cs="Arial"/>
          <w:sz w:val="21"/>
          <w:szCs w:val="21"/>
        </w:rPr>
        <w:t>Remítase el presente acuerdo al titular del Poder Ejecutivo del Estado para su publicación en el Periódico Oficial del Gobierno del Estado.</w:t>
      </w:r>
    </w:p>
    <w:p w14:paraId="380BC99E" w14:textId="77777777" w:rsidR="00A2390D" w:rsidRPr="009E77D1" w:rsidRDefault="00A2390D" w:rsidP="00A2390D">
      <w:pPr>
        <w:ind w:firstLine="708"/>
        <w:jc w:val="both"/>
        <w:rPr>
          <w:rFonts w:ascii="Abadi" w:hAnsi="Abadi" w:cs="Arial"/>
          <w:sz w:val="21"/>
          <w:szCs w:val="21"/>
        </w:rPr>
      </w:pPr>
    </w:p>
    <w:p w14:paraId="374294B5" w14:textId="77777777" w:rsidR="00A2390D" w:rsidRPr="009E77D1" w:rsidRDefault="00A2390D" w:rsidP="00A2390D">
      <w:pPr>
        <w:pStyle w:val="Sangra3detindependiente"/>
        <w:spacing w:line="240" w:lineRule="auto"/>
        <w:rPr>
          <w:rFonts w:ascii="Abadi" w:hAnsi="Abadi"/>
          <w:sz w:val="21"/>
          <w:szCs w:val="21"/>
        </w:rPr>
      </w:pPr>
      <w:r w:rsidRPr="009E77D1">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104FA339" w14:textId="77777777" w:rsidR="00A2390D" w:rsidRPr="009E77D1" w:rsidRDefault="00A2390D" w:rsidP="00A2390D">
      <w:pPr>
        <w:jc w:val="center"/>
        <w:rPr>
          <w:rFonts w:ascii="Abadi" w:hAnsi="Abadi" w:cs="Arial"/>
          <w:b/>
          <w:bCs/>
          <w:sz w:val="21"/>
          <w:szCs w:val="21"/>
          <w:lang w:eastAsia="x-none"/>
        </w:rPr>
      </w:pPr>
    </w:p>
    <w:p w14:paraId="5A356F69" w14:textId="77777777" w:rsidR="00A2390D" w:rsidRPr="009E77D1" w:rsidRDefault="00A2390D" w:rsidP="00A2390D">
      <w:pPr>
        <w:jc w:val="center"/>
        <w:rPr>
          <w:rFonts w:ascii="Abadi" w:hAnsi="Abadi" w:cs="Arial"/>
          <w:b/>
          <w:bCs/>
          <w:sz w:val="21"/>
          <w:szCs w:val="21"/>
          <w:lang w:eastAsia="x-none"/>
        </w:rPr>
      </w:pPr>
      <w:r w:rsidRPr="009E77D1">
        <w:rPr>
          <w:rFonts w:ascii="Abadi" w:hAnsi="Abadi" w:cs="Arial"/>
          <w:b/>
          <w:bCs/>
          <w:sz w:val="21"/>
          <w:szCs w:val="21"/>
          <w:lang w:eastAsia="x-none"/>
        </w:rPr>
        <w:t xml:space="preserve">Guanajuato, </w:t>
      </w:r>
      <w:proofErr w:type="spellStart"/>
      <w:r w:rsidRPr="009E77D1">
        <w:rPr>
          <w:rFonts w:ascii="Abadi" w:hAnsi="Abadi" w:cs="Arial"/>
          <w:b/>
          <w:bCs/>
          <w:sz w:val="21"/>
          <w:szCs w:val="21"/>
          <w:lang w:eastAsia="x-none"/>
        </w:rPr>
        <w:t>Gto</w:t>
      </w:r>
      <w:proofErr w:type="spellEnd"/>
      <w:r w:rsidRPr="009E77D1">
        <w:rPr>
          <w:rFonts w:ascii="Abadi" w:hAnsi="Abadi" w:cs="Arial"/>
          <w:b/>
          <w:bCs/>
          <w:sz w:val="21"/>
          <w:szCs w:val="21"/>
          <w:lang w:eastAsia="x-none"/>
        </w:rPr>
        <w:t>., 19 de junio de 2023</w:t>
      </w:r>
    </w:p>
    <w:p w14:paraId="4F0007B4" w14:textId="77777777" w:rsidR="00A2390D" w:rsidRPr="009E77D1" w:rsidRDefault="00A2390D" w:rsidP="00A2390D">
      <w:pPr>
        <w:jc w:val="center"/>
        <w:rPr>
          <w:rFonts w:ascii="Abadi" w:hAnsi="Abadi" w:cs="Arial"/>
          <w:b/>
          <w:bCs/>
          <w:sz w:val="21"/>
          <w:szCs w:val="21"/>
          <w:lang w:eastAsia="x-none"/>
        </w:rPr>
      </w:pPr>
      <w:smartTag w:uri="urn:schemas-microsoft-com:office:smarttags" w:element="PersonName">
        <w:smartTagPr>
          <w:attr w:name="ProductID" w:val="La Comisi￳n"/>
        </w:smartTagPr>
        <w:r w:rsidRPr="009E77D1">
          <w:rPr>
            <w:rFonts w:ascii="Abadi" w:hAnsi="Abadi" w:cs="Arial"/>
            <w:b/>
            <w:bCs/>
            <w:sz w:val="21"/>
            <w:szCs w:val="21"/>
            <w:lang w:eastAsia="x-none"/>
          </w:rPr>
          <w:t>La Comisión</w:t>
        </w:r>
      </w:smartTag>
      <w:r w:rsidRPr="009E77D1">
        <w:rPr>
          <w:rFonts w:ascii="Abadi" w:hAnsi="Abadi" w:cs="Arial"/>
          <w:b/>
          <w:bCs/>
          <w:sz w:val="21"/>
          <w:szCs w:val="21"/>
          <w:lang w:eastAsia="x-none"/>
        </w:rPr>
        <w:t xml:space="preserve"> de Hacienda y Fiscalización</w:t>
      </w:r>
    </w:p>
    <w:p w14:paraId="4F346832" w14:textId="77777777" w:rsidR="00A2390D" w:rsidRPr="009E77D1" w:rsidRDefault="00A2390D" w:rsidP="00A2390D">
      <w:pPr>
        <w:jc w:val="center"/>
        <w:rPr>
          <w:rFonts w:ascii="Abadi" w:hAnsi="Abadi" w:cs="Arial"/>
          <w:sz w:val="21"/>
          <w:szCs w:val="21"/>
        </w:rPr>
      </w:pPr>
    </w:p>
    <w:p w14:paraId="288E1DE8" w14:textId="77777777" w:rsidR="00A2390D" w:rsidRPr="009E77D1" w:rsidRDefault="00A2390D" w:rsidP="00A2390D">
      <w:pPr>
        <w:jc w:val="center"/>
        <w:rPr>
          <w:rFonts w:ascii="Abadi" w:hAnsi="Abadi" w:cs="Arial"/>
          <w:sz w:val="21"/>
          <w:szCs w:val="21"/>
        </w:rPr>
      </w:pPr>
    </w:p>
    <w:p w14:paraId="6F1E1BA7" w14:textId="77777777" w:rsidR="00A2390D" w:rsidRPr="009E77D1" w:rsidRDefault="00A2390D" w:rsidP="00461B13">
      <w:pPr>
        <w:rPr>
          <w:rFonts w:ascii="Abadi" w:hAnsi="Abadi" w:cs="Arial"/>
          <w:sz w:val="21"/>
          <w:szCs w:val="21"/>
        </w:rPr>
      </w:pPr>
      <w:r w:rsidRPr="009E77D1">
        <w:rPr>
          <w:rFonts w:ascii="Abadi" w:hAnsi="Abadi" w:cs="Arial"/>
          <w:b/>
          <w:sz w:val="21"/>
          <w:szCs w:val="21"/>
          <w:lang w:eastAsia="x-none"/>
        </w:rPr>
        <w:t>Diputado Víctor Manuel Zanella Huerta</w:t>
      </w:r>
    </w:p>
    <w:p w14:paraId="072F5A37" w14:textId="2CABF381" w:rsidR="00A2390D" w:rsidRPr="009E77D1" w:rsidRDefault="00A2390D" w:rsidP="00461B13">
      <w:pPr>
        <w:rPr>
          <w:rFonts w:ascii="Abadi" w:hAnsi="Abadi" w:cs="Arial"/>
          <w:b/>
          <w:sz w:val="21"/>
          <w:szCs w:val="21"/>
          <w:lang w:eastAsia="x-none"/>
        </w:rPr>
      </w:pPr>
      <w:r w:rsidRPr="009E77D1">
        <w:rPr>
          <w:rFonts w:ascii="Abadi" w:hAnsi="Abadi" w:cs="Arial"/>
          <w:b/>
          <w:sz w:val="21"/>
          <w:szCs w:val="21"/>
          <w:lang w:eastAsia="x-none"/>
        </w:rPr>
        <w:t xml:space="preserve">Diputada Ruth Noemí Tiscareño Agoitia       Diputado Miguel Ángel Salim </w:t>
      </w:r>
      <w:proofErr w:type="spellStart"/>
      <w:r w:rsidRPr="009E77D1">
        <w:rPr>
          <w:rFonts w:ascii="Abadi" w:hAnsi="Abadi" w:cs="Arial"/>
          <w:b/>
          <w:sz w:val="21"/>
          <w:szCs w:val="21"/>
          <w:lang w:eastAsia="x-none"/>
        </w:rPr>
        <w:t>Alle</w:t>
      </w:r>
      <w:proofErr w:type="spellEnd"/>
    </w:p>
    <w:p w14:paraId="1B6E0F28" w14:textId="77777777" w:rsidR="00A2390D" w:rsidRPr="009E77D1" w:rsidRDefault="00A2390D" w:rsidP="00A2390D">
      <w:pPr>
        <w:rPr>
          <w:rFonts w:ascii="Abadi" w:hAnsi="Abadi" w:cs="Arial"/>
          <w:b/>
          <w:sz w:val="21"/>
          <w:szCs w:val="21"/>
          <w:lang w:eastAsia="x-none"/>
        </w:rPr>
      </w:pPr>
      <w:r w:rsidRPr="009E77D1">
        <w:rPr>
          <w:rFonts w:ascii="Abadi" w:hAnsi="Abadi" w:cs="Arial"/>
          <w:b/>
          <w:sz w:val="21"/>
          <w:szCs w:val="21"/>
          <w:lang w:eastAsia="x-none"/>
        </w:rPr>
        <w:t xml:space="preserve">Diputado José Alfonso Borja Pimentel    </w:t>
      </w:r>
    </w:p>
    <w:p w14:paraId="3FD05C6E" w14:textId="77777777" w:rsidR="00A2390D" w:rsidRPr="009E77D1" w:rsidRDefault="00A2390D" w:rsidP="00461B13">
      <w:pPr>
        <w:rPr>
          <w:rFonts w:ascii="Abadi" w:hAnsi="Abadi" w:cs="Arial"/>
          <w:b/>
          <w:sz w:val="21"/>
          <w:szCs w:val="21"/>
          <w:lang w:eastAsia="x-none"/>
        </w:rPr>
      </w:pPr>
      <w:r w:rsidRPr="009E77D1">
        <w:rPr>
          <w:rFonts w:ascii="Abadi" w:hAnsi="Abadi" w:cs="Arial"/>
          <w:b/>
          <w:sz w:val="21"/>
          <w:szCs w:val="21"/>
          <w:lang w:eastAsia="x-none"/>
        </w:rPr>
        <w:t>Diputada Alma Edwviges Alcaraz Hernández</w:t>
      </w:r>
    </w:p>
    <w:p w14:paraId="3776B2D1" w14:textId="77777777" w:rsidR="00A2390D" w:rsidRPr="009E77D1" w:rsidRDefault="00A2390D" w:rsidP="00A2390D">
      <w:pPr>
        <w:pStyle w:val="Textoindependiente2"/>
        <w:rPr>
          <w:rFonts w:ascii="Abadi" w:hAnsi="Abadi"/>
          <w:sz w:val="21"/>
          <w:szCs w:val="21"/>
        </w:rPr>
      </w:pPr>
    </w:p>
    <w:p w14:paraId="6770EB1D"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71F8AF58" w14:textId="47CCDB65"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SANTA CRUZ DE JUVENTINO ROSAS, GTO., CORRESPONDIENTE AL EJERCICIO FISCAL DEL AÑO 2021. </w:t>
      </w:r>
      <w:r w:rsidRPr="00006796">
        <w:rPr>
          <w:rFonts w:ascii="Abadi" w:hAnsi="Abadi" w:cs="Arial-ItalicMT"/>
          <w:b/>
          <w:bCs/>
          <w:i/>
          <w:iCs/>
          <w:sz w:val="21"/>
          <w:szCs w:val="21"/>
        </w:rPr>
        <w:t>(ELD 312/LXV-IRASEG)</w:t>
      </w:r>
      <w:r w:rsidR="00EC33D7">
        <w:rPr>
          <w:rStyle w:val="Refdenotaalpie"/>
          <w:rFonts w:ascii="Abadi" w:hAnsi="Abadi" w:cs="Arial-ItalicMT"/>
          <w:b/>
          <w:bCs/>
          <w:i/>
          <w:iCs/>
          <w:sz w:val="21"/>
          <w:szCs w:val="21"/>
        </w:rPr>
        <w:footnoteReference w:id="231"/>
      </w:r>
    </w:p>
    <w:p w14:paraId="023DB89E" w14:textId="77777777" w:rsidR="00BE29B9" w:rsidRDefault="00BE29B9" w:rsidP="00BE29B9">
      <w:pPr>
        <w:autoSpaceDE w:val="0"/>
        <w:autoSpaceDN w:val="0"/>
        <w:adjustRightInd w:val="0"/>
        <w:contextualSpacing/>
        <w:jc w:val="both"/>
        <w:rPr>
          <w:rFonts w:ascii="Abadi" w:hAnsi="Abadi" w:cs="Arial-ItalicMT"/>
          <w:b/>
          <w:bCs/>
          <w:i/>
          <w:iCs/>
          <w:sz w:val="21"/>
          <w:szCs w:val="21"/>
        </w:rPr>
      </w:pPr>
    </w:p>
    <w:p w14:paraId="7F6217CD" w14:textId="77777777" w:rsidR="00BE29B9" w:rsidRPr="009F3E65" w:rsidRDefault="00BE29B9" w:rsidP="00BE29B9">
      <w:pPr>
        <w:pStyle w:val="Textoindependiente3"/>
        <w:rPr>
          <w:rFonts w:ascii="Abadi" w:hAnsi="Abadi" w:cs="Arial"/>
          <w:smallCaps/>
          <w:sz w:val="21"/>
          <w:szCs w:val="21"/>
        </w:rPr>
      </w:pPr>
      <w:r w:rsidRPr="009F3E65">
        <w:rPr>
          <w:rFonts w:ascii="Abadi" w:hAnsi="Abadi" w:cs="Arial"/>
          <w:smallCaps/>
          <w:sz w:val="21"/>
          <w:szCs w:val="21"/>
        </w:rPr>
        <w:t>C. Presidenta del Congreso del Estado</w:t>
      </w:r>
    </w:p>
    <w:p w14:paraId="71381073" w14:textId="77777777" w:rsidR="00BE29B9" w:rsidRPr="009F3E65" w:rsidRDefault="00BE29B9" w:rsidP="00BE29B9">
      <w:pPr>
        <w:jc w:val="both"/>
        <w:rPr>
          <w:rFonts w:ascii="Abadi" w:hAnsi="Abadi" w:cs="Arial"/>
          <w:b/>
          <w:bCs/>
          <w:smallCaps/>
          <w:sz w:val="21"/>
          <w:szCs w:val="21"/>
        </w:rPr>
      </w:pPr>
      <w:r w:rsidRPr="009F3E65">
        <w:rPr>
          <w:rFonts w:ascii="Abadi" w:hAnsi="Abadi" w:cs="Arial"/>
          <w:b/>
          <w:bCs/>
          <w:smallCaps/>
          <w:sz w:val="21"/>
          <w:szCs w:val="21"/>
        </w:rPr>
        <w:t>P r e s e n t e.</w:t>
      </w:r>
    </w:p>
    <w:p w14:paraId="0EDC0B15" w14:textId="77777777" w:rsidR="00BE29B9" w:rsidRPr="009F3E65" w:rsidRDefault="00BE29B9" w:rsidP="00BE29B9">
      <w:pPr>
        <w:pStyle w:val="Textoindependiente"/>
        <w:rPr>
          <w:rFonts w:ascii="Abadi" w:hAnsi="Abadi"/>
          <w:sz w:val="21"/>
          <w:szCs w:val="21"/>
        </w:rPr>
      </w:pPr>
    </w:p>
    <w:p w14:paraId="2AA1EF7C" w14:textId="77777777" w:rsidR="00BE29B9" w:rsidRPr="009F3E65" w:rsidRDefault="00BE29B9" w:rsidP="00BE29B9">
      <w:pPr>
        <w:pStyle w:val="Sangra3detindependiente"/>
        <w:spacing w:line="240" w:lineRule="auto"/>
        <w:rPr>
          <w:rFonts w:ascii="Abadi" w:hAnsi="Abadi"/>
          <w:sz w:val="21"/>
          <w:szCs w:val="21"/>
        </w:rPr>
      </w:pPr>
      <w:r w:rsidRPr="009F3E65">
        <w:rPr>
          <w:rFonts w:ascii="Abadi" w:hAnsi="Abadi"/>
          <w:sz w:val="21"/>
          <w:szCs w:val="21"/>
        </w:rPr>
        <w:t xml:space="preserve">A </w:t>
      </w:r>
      <w:r w:rsidRPr="009F3E65">
        <w:rPr>
          <w:rFonts w:ascii="Abadi" w:hAnsi="Abadi"/>
          <w:sz w:val="21"/>
          <w:szCs w:val="21"/>
          <w:lang w:val="es-MX"/>
        </w:rPr>
        <w:t>esta</w:t>
      </w:r>
      <w:r w:rsidRPr="009F3E65">
        <w:rPr>
          <w:rFonts w:ascii="Abadi" w:hAnsi="Abadi"/>
          <w:sz w:val="21"/>
          <w:szCs w:val="21"/>
        </w:rPr>
        <w:t xml:space="preserve"> Comisión de Hacienda y Fiscalización</w:t>
      </w:r>
      <w:r w:rsidRPr="009F3E65">
        <w:rPr>
          <w:rFonts w:ascii="Abadi" w:hAnsi="Abadi"/>
          <w:sz w:val="21"/>
          <w:szCs w:val="21"/>
          <w:lang w:val="es-MX"/>
        </w:rPr>
        <w:t xml:space="preserve">, </w:t>
      </w:r>
      <w:r w:rsidRPr="009F3E65">
        <w:rPr>
          <w:rFonts w:ascii="Abadi" w:hAnsi="Abadi"/>
          <w:sz w:val="21"/>
          <w:szCs w:val="21"/>
        </w:rPr>
        <w:t xml:space="preserve">le fue turnado para su estudio y dictamen, el informe de resultados de la revisión practicada por </w:t>
      </w:r>
      <w:r w:rsidRPr="009F3E65">
        <w:rPr>
          <w:rFonts w:ascii="Abadi" w:hAnsi="Abadi"/>
          <w:sz w:val="21"/>
          <w:szCs w:val="21"/>
          <w:lang w:val="es-MX"/>
        </w:rPr>
        <w:t xml:space="preserve">la </w:t>
      </w:r>
      <w:r w:rsidRPr="009F3E65">
        <w:rPr>
          <w:rFonts w:ascii="Abadi" w:hAnsi="Abadi"/>
          <w:sz w:val="21"/>
          <w:szCs w:val="21"/>
        </w:rPr>
        <w:t xml:space="preserve">Auditoría Superior del Estado de Guanajuato, a la cuenta pública municipal de </w:t>
      </w:r>
      <w:r w:rsidRPr="009F3E65">
        <w:rPr>
          <w:rFonts w:ascii="Abadi" w:hAnsi="Abadi"/>
          <w:sz w:val="21"/>
          <w:szCs w:val="21"/>
          <w:lang w:val="es-MX"/>
        </w:rPr>
        <w:t>Santa Cruz de Juventino Rosas</w:t>
      </w:r>
      <w:r w:rsidRPr="009F3E65">
        <w:rPr>
          <w:rFonts w:ascii="Abadi" w:hAnsi="Abadi"/>
          <w:sz w:val="21"/>
          <w:szCs w:val="21"/>
        </w:rPr>
        <w:t xml:space="preserve">, </w:t>
      </w:r>
      <w:proofErr w:type="spellStart"/>
      <w:r w:rsidRPr="009F3E65">
        <w:rPr>
          <w:rFonts w:ascii="Abadi" w:hAnsi="Abadi"/>
          <w:sz w:val="21"/>
          <w:szCs w:val="21"/>
        </w:rPr>
        <w:t>Gto</w:t>
      </w:r>
      <w:proofErr w:type="spellEnd"/>
      <w:r w:rsidRPr="009F3E65">
        <w:rPr>
          <w:rFonts w:ascii="Abadi" w:hAnsi="Abadi"/>
          <w:sz w:val="21"/>
          <w:szCs w:val="21"/>
        </w:rPr>
        <w:t xml:space="preserve">., correspondiente al ejercicio fiscal del año 2021. (ELD </w:t>
      </w:r>
      <w:r w:rsidRPr="009F3E65">
        <w:rPr>
          <w:rFonts w:ascii="Abadi" w:hAnsi="Abadi"/>
          <w:sz w:val="21"/>
          <w:szCs w:val="21"/>
          <w:lang w:val="es-MX"/>
        </w:rPr>
        <w:t>312</w:t>
      </w:r>
      <w:r w:rsidRPr="009F3E65">
        <w:rPr>
          <w:rFonts w:ascii="Abadi" w:hAnsi="Abadi"/>
          <w:sz w:val="21"/>
          <w:szCs w:val="21"/>
        </w:rPr>
        <w:t>/LXV-IRASEG)</w:t>
      </w:r>
    </w:p>
    <w:p w14:paraId="216D2D22" w14:textId="77777777" w:rsidR="00BE29B9" w:rsidRPr="009F3E65" w:rsidRDefault="00BE29B9" w:rsidP="00BE29B9">
      <w:pPr>
        <w:pStyle w:val="Sangra3detindependiente"/>
        <w:spacing w:line="240" w:lineRule="auto"/>
        <w:rPr>
          <w:rFonts w:ascii="Abadi" w:hAnsi="Abadi"/>
          <w:sz w:val="21"/>
          <w:szCs w:val="21"/>
        </w:rPr>
      </w:pPr>
    </w:p>
    <w:p w14:paraId="746936F5" w14:textId="77777777" w:rsidR="00BE29B9" w:rsidRPr="009F3E65" w:rsidRDefault="00BE29B9" w:rsidP="00BE29B9">
      <w:pPr>
        <w:pStyle w:val="Sangra3detindependiente"/>
        <w:spacing w:line="240" w:lineRule="auto"/>
        <w:rPr>
          <w:rFonts w:ascii="Abadi" w:hAnsi="Abadi"/>
          <w:sz w:val="21"/>
          <w:szCs w:val="21"/>
        </w:rPr>
      </w:pPr>
      <w:r w:rsidRPr="009F3E65">
        <w:rPr>
          <w:rFonts w:ascii="Abadi" w:hAnsi="Abadi"/>
          <w:sz w:val="21"/>
          <w:szCs w:val="21"/>
        </w:rPr>
        <w:t>Una vez analizado el referido informe de resultados, con fundamento en lo dispuesto por los artículos 112, fracción XII</w:t>
      </w:r>
      <w:r w:rsidRPr="009F3E65">
        <w:rPr>
          <w:rFonts w:ascii="Abadi" w:hAnsi="Abadi"/>
          <w:sz w:val="21"/>
          <w:szCs w:val="21"/>
          <w:lang w:val="es-MX"/>
        </w:rPr>
        <w:t>, primer párrafo</w:t>
      </w:r>
      <w:r w:rsidRPr="009F3E65">
        <w:rPr>
          <w:rFonts w:ascii="Abadi" w:hAnsi="Abadi"/>
          <w:sz w:val="21"/>
          <w:szCs w:val="21"/>
        </w:rPr>
        <w:t xml:space="preserve"> y 171 de </w:t>
      </w:r>
      <w:smartTag w:uri="urn:schemas-microsoft-com:office:smarttags" w:element="PersonName">
        <w:smartTagPr>
          <w:attr w:name="ProductID" w:val="la Ley Org￡nica"/>
        </w:smartTagPr>
        <w:r w:rsidRPr="009F3E65">
          <w:rPr>
            <w:rFonts w:ascii="Abadi" w:hAnsi="Abadi"/>
            <w:sz w:val="21"/>
            <w:szCs w:val="21"/>
          </w:rPr>
          <w:t>la Ley Orgánica</w:t>
        </w:r>
      </w:smartTag>
      <w:r w:rsidRPr="009F3E65">
        <w:rPr>
          <w:rFonts w:ascii="Abadi" w:hAnsi="Abadi"/>
          <w:sz w:val="21"/>
          <w:szCs w:val="21"/>
        </w:rPr>
        <w:t xml:space="preserve"> del Poder Legislativo, nos permitimos rendir el siguiente:</w:t>
      </w:r>
    </w:p>
    <w:p w14:paraId="036E4B65" w14:textId="77777777" w:rsidR="00BE29B9" w:rsidRPr="009F3E65" w:rsidRDefault="00BE29B9" w:rsidP="00BE29B9">
      <w:pPr>
        <w:pStyle w:val="Sangra3detindependiente"/>
        <w:spacing w:line="240" w:lineRule="auto"/>
        <w:rPr>
          <w:rFonts w:ascii="Abadi" w:hAnsi="Abadi"/>
          <w:sz w:val="21"/>
          <w:szCs w:val="21"/>
        </w:rPr>
      </w:pPr>
    </w:p>
    <w:p w14:paraId="394F14DE" w14:textId="77777777" w:rsidR="00BE29B9" w:rsidRPr="009F3E65" w:rsidRDefault="00BE29B9" w:rsidP="00BE29B9">
      <w:pPr>
        <w:pStyle w:val="Ttulo1"/>
        <w:jc w:val="center"/>
        <w:rPr>
          <w:rFonts w:ascii="Abadi" w:hAnsi="Abadi" w:cs="Arial"/>
          <w:sz w:val="21"/>
          <w:szCs w:val="21"/>
        </w:rPr>
      </w:pPr>
      <w:r w:rsidRPr="009F3E65">
        <w:rPr>
          <w:rFonts w:ascii="Abadi" w:hAnsi="Abadi" w:cs="Arial"/>
          <w:sz w:val="21"/>
          <w:szCs w:val="21"/>
        </w:rPr>
        <w:t>D i c t a m e n</w:t>
      </w:r>
    </w:p>
    <w:p w14:paraId="29E064D0" w14:textId="77777777" w:rsidR="00BE29B9" w:rsidRPr="007C501A" w:rsidRDefault="00BE29B9" w:rsidP="00BE29B9">
      <w:pPr>
        <w:pStyle w:val="Textoindependiente"/>
        <w:ind w:firstLine="708"/>
        <w:rPr>
          <w:rFonts w:ascii="Abadi" w:hAnsi="Abadi"/>
          <w:sz w:val="21"/>
          <w:szCs w:val="21"/>
        </w:rPr>
      </w:pPr>
      <w:r w:rsidRPr="007C501A">
        <w:rPr>
          <w:rFonts w:ascii="Abadi" w:hAnsi="Abadi"/>
          <w:sz w:val="21"/>
          <w:szCs w:val="21"/>
        </w:rPr>
        <w:t>I. Competencia:</w:t>
      </w:r>
    </w:p>
    <w:p w14:paraId="20884313" w14:textId="77777777" w:rsidR="00BE29B9" w:rsidRPr="009F3E65" w:rsidRDefault="00BE29B9" w:rsidP="00BE29B9">
      <w:pPr>
        <w:pStyle w:val="Textoindependiente"/>
        <w:ind w:firstLine="708"/>
        <w:rPr>
          <w:rFonts w:ascii="Abadi" w:hAnsi="Abadi"/>
          <w:b w:val="0"/>
          <w:bCs w:val="0"/>
          <w:sz w:val="21"/>
          <w:szCs w:val="21"/>
        </w:rPr>
      </w:pPr>
    </w:p>
    <w:p w14:paraId="2681FCA1"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lastRenderedPageBreak/>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9F3E65">
          <w:rPr>
            <w:rFonts w:ascii="Abadi" w:hAnsi="Abadi" w:cs="Arial"/>
            <w:sz w:val="21"/>
            <w:szCs w:val="21"/>
            <w:lang w:val="es-MX" w:eastAsia="x-none"/>
          </w:rPr>
          <w:t>la Constitución Política</w:t>
        </w:r>
      </w:smartTag>
      <w:r w:rsidRPr="009F3E65">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63C58653" w14:textId="77777777" w:rsidR="00BE29B9" w:rsidRPr="009F3E65" w:rsidRDefault="00BE29B9" w:rsidP="00BE29B9">
      <w:pPr>
        <w:ind w:firstLine="708"/>
        <w:jc w:val="both"/>
        <w:rPr>
          <w:rFonts w:ascii="Abadi" w:hAnsi="Abadi" w:cs="Arial"/>
          <w:sz w:val="21"/>
          <w:szCs w:val="21"/>
          <w:lang w:val="es-MX" w:eastAsia="x-none"/>
        </w:rPr>
      </w:pPr>
    </w:p>
    <w:p w14:paraId="2BBF1630"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B981E60" w14:textId="77777777" w:rsidR="00BE29B9" w:rsidRPr="009F3E65" w:rsidRDefault="00BE29B9" w:rsidP="00BE29B9">
      <w:pPr>
        <w:ind w:firstLine="708"/>
        <w:jc w:val="both"/>
        <w:rPr>
          <w:rFonts w:ascii="Abadi" w:hAnsi="Abadi" w:cs="Arial"/>
          <w:sz w:val="21"/>
          <w:szCs w:val="21"/>
          <w:lang w:val="es-MX" w:eastAsia="x-none"/>
        </w:rPr>
      </w:pPr>
    </w:p>
    <w:p w14:paraId="35D1FF20"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F3E65">
          <w:rPr>
            <w:rFonts w:ascii="Abadi" w:hAnsi="Abadi" w:cs="Arial"/>
            <w:sz w:val="21"/>
            <w:szCs w:val="21"/>
            <w:lang w:val="es-MX" w:eastAsia="x-none"/>
          </w:rPr>
          <w:t>la Constitución Política</w:t>
        </w:r>
      </w:smartTag>
      <w:r w:rsidRPr="009F3E65">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4353595" w14:textId="77777777" w:rsidR="00BE29B9" w:rsidRPr="009F3E65" w:rsidRDefault="00BE29B9" w:rsidP="00BE29B9">
      <w:pPr>
        <w:ind w:firstLine="708"/>
        <w:jc w:val="both"/>
        <w:rPr>
          <w:rFonts w:ascii="Abadi" w:hAnsi="Abadi" w:cs="Arial"/>
          <w:sz w:val="21"/>
          <w:szCs w:val="21"/>
          <w:lang w:val="es-MX" w:eastAsia="x-none"/>
        </w:rPr>
      </w:pPr>
    </w:p>
    <w:p w14:paraId="18556F7F"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w:t>
      </w:r>
      <w:r w:rsidRPr="009F3E65">
        <w:rPr>
          <w:rFonts w:ascii="Abadi" w:hAnsi="Abadi" w:cs="Arial"/>
          <w:sz w:val="21"/>
          <w:szCs w:val="21"/>
          <w:lang w:val="es-MX" w:eastAsia="x-none"/>
        </w:rPr>
        <w:t>constituyendo una de las fases del proceso de fiscalización.</w:t>
      </w:r>
    </w:p>
    <w:p w14:paraId="20A310DD" w14:textId="77777777" w:rsidR="00BE29B9" w:rsidRPr="009F3E65" w:rsidRDefault="00BE29B9" w:rsidP="00BE29B9">
      <w:pPr>
        <w:ind w:firstLine="708"/>
        <w:jc w:val="both"/>
        <w:rPr>
          <w:rFonts w:ascii="Abadi" w:hAnsi="Abadi" w:cs="Arial"/>
          <w:sz w:val="21"/>
          <w:szCs w:val="21"/>
          <w:lang w:val="es-MX" w:eastAsia="x-none"/>
        </w:rPr>
      </w:pPr>
    </w:p>
    <w:p w14:paraId="2ACAAAD4"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3C0857DD" w14:textId="77777777" w:rsidR="00BE29B9" w:rsidRPr="007C501A" w:rsidRDefault="00BE29B9" w:rsidP="00BE29B9">
      <w:pPr>
        <w:pStyle w:val="Textoindependiente"/>
        <w:ind w:firstLine="708"/>
        <w:rPr>
          <w:rFonts w:ascii="Abadi" w:hAnsi="Abadi"/>
          <w:b w:val="0"/>
          <w:bCs w:val="0"/>
          <w:sz w:val="21"/>
          <w:szCs w:val="21"/>
        </w:rPr>
      </w:pPr>
    </w:p>
    <w:p w14:paraId="271F92C0"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14DA4F3" w14:textId="77777777" w:rsidR="00BE29B9" w:rsidRPr="007C501A" w:rsidRDefault="00BE29B9" w:rsidP="00BE29B9">
      <w:pPr>
        <w:pStyle w:val="Textoindependiente"/>
        <w:ind w:firstLine="708"/>
        <w:rPr>
          <w:rFonts w:ascii="Abadi" w:hAnsi="Abadi"/>
          <w:b w:val="0"/>
          <w:bCs w:val="0"/>
          <w:sz w:val="21"/>
          <w:szCs w:val="21"/>
        </w:rPr>
      </w:pPr>
    </w:p>
    <w:p w14:paraId="1ABD9F8C"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7C501A">
          <w:rPr>
            <w:rFonts w:ascii="Abadi" w:hAnsi="Abadi"/>
            <w:b w:val="0"/>
            <w:bCs w:val="0"/>
            <w:sz w:val="21"/>
            <w:szCs w:val="21"/>
          </w:rPr>
          <w:t>la Ley Orgánica</w:t>
        </w:r>
      </w:smartTag>
      <w:r w:rsidRPr="007C501A">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79E8A36" w14:textId="77777777" w:rsidR="00BE29B9" w:rsidRPr="007C501A" w:rsidRDefault="00BE29B9" w:rsidP="00BE29B9">
      <w:pPr>
        <w:pStyle w:val="Textoindependiente"/>
        <w:ind w:firstLine="708"/>
        <w:rPr>
          <w:rFonts w:ascii="Abadi" w:hAnsi="Abadi"/>
          <w:b w:val="0"/>
          <w:bCs w:val="0"/>
          <w:sz w:val="21"/>
          <w:szCs w:val="21"/>
        </w:rPr>
      </w:pPr>
    </w:p>
    <w:p w14:paraId="1829227B"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D1C9748" w14:textId="77777777" w:rsidR="00BE29B9" w:rsidRPr="007C501A" w:rsidRDefault="00BE29B9" w:rsidP="00BE29B9">
      <w:pPr>
        <w:ind w:firstLine="708"/>
        <w:jc w:val="both"/>
        <w:rPr>
          <w:rFonts w:ascii="Abadi" w:hAnsi="Abadi" w:cs="Arial"/>
          <w:sz w:val="21"/>
          <w:szCs w:val="21"/>
          <w:lang w:val="es-MX" w:eastAsia="x-none"/>
        </w:rPr>
      </w:pPr>
      <w:r w:rsidRPr="007C501A">
        <w:rPr>
          <w:rFonts w:ascii="Abadi" w:hAnsi="Abadi" w:cs="Arial"/>
          <w:sz w:val="21"/>
          <w:szCs w:val="21"/>
          <w:lang w:val="es-MX" w:eastAsia="x-none"/>
        </w:rPr>
        <w:t>II. Antecedentes:</w:t>
      </w:r>
    </w:p>
    <w:p w14:paraId="4CE493C0" w14:textId="77777777" w:rsidR="00BE29B9" w:rsidRPr="007C501A" w:rsidRDefault="00BE29B9" w:rsidP="00BE29B9">
      <w:pPr>
        <w:ind w:firstLine="708"/>
        <w:jc w:val="both"/>
        <w:rPr>
          <w:rFonts w:ascii="Abadi" w:hAnsi="Abadi" w:cs="Arial"/>
          <w:sz w:val="21"/>
          <w:szCs w:val="21"/>
          <w:lang w:val="es-MX" w:eastAsia="x-none"/>
        </w:rPr>
      </w:pPr>
    </w:p>
    <w:p w14:paraId="78050A7B" w14:textId="77777777" w:rsidR="00BE29B9" w:rsidRPr="007C501A" w:rsidRDefault="00BE29B9" w:rsidP="00BE29B9">
      <w:pPr>
        <w:ind w:firstLine="708"/>
        <w:jc w:val="both"/>
        <w:rPr>
          <w:rFonts w:ascii="Abadi" w:hAnsi="Abadi" w:cs="Arial"/>
          <w:sz w:val="21"/>
          <w:szCs w:val="21"/>
          <w:lang w:val="es-MX" w:eastAsia="x-none"/>
        </w:rPr>
      </w:pPr>
      <w:r w:rsidRPr="007C501A">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7C501A">
          <w:rPr>
            <w:rFonts w:ascii="Abadi" w:hAnsi="Abadi" w:cs="Arial"/>
            <w:sz w:val="21"/>
            <w:szCs w:val="21"/>
            <w:lang w:val="es-MX" w:eastAsia="x-none"/>
          </w:rPr>
          <w:t>la Constitución Política</w:t>
        </w:r>
      </w:smartTag>
      <w:r w:rsidRPr="007C501A">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47019CD" w14:textId="77777777" w:rsidR="00BE29B9" w:rsidRPr="007C501A" w:rsidRDefault="00BE29B9" w:rsidP="00BE29B9">
      <w:pPr>
        <w:ind w:firstLine="708"/>
        <w:jc w:val="both"/>
        <w:rPr>
          <w:rFonts w:ascii="Abadi" w:hAnsi="Abadi" w:cs="Arial"/>
          <w:sz w:val="21"/>
          <w:szCs w:val="21"/>
          <w:lang w:val="es-MX" w:eastAsia="x-none"/>
        </w:rPr>
      </w:pPr>
    </w:p>
    <w:p w14:paraId="0B9AB6E6"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Por su parte, el artículo 66 de la Constitución Política Local, establece que los sujetos de fiscalización presentarán al </w:t>
      </w:r>
      <w:r w:rsidRPr="007C501A">
        <w:rPr>
          <w:rFonts w:ascii="Abadi" w:hAnsi="Abadi"/>
          <w:b w:val="0"/>
          <w:bCs w:val="0"/>
          <w:sz w:val="21"/>
          <w:szCs w:val="21"/>
        </w:rPr>
        <w:lastRenderedPageBreak/>
        <w:t>Congreso del Estado los informes financieros y su cuenta pública con la periodicidad, forma y términos que establezca la Ley.</w:t>
      </w:r>
    </w:p>
    <w:p w14:paraId="49675EE9" w14:textId="77777777" w:rsidR="00BE29B9" w:rsidRPr="007C501A" w:rsidRDefault="00BE29B9" w:rsidP="00BE29B9">
      <w:pPr>
        <w:pStyle w:val="Textoindependiente"/>
        <w:ind w:firstLine="708"/>
        <w:rPr>
          <w:rFonts w:ascii="Abadi" w:hAnsi="Abadi"/>
          <w:b w:val="0"/>
          <w:bCs w:val="0"/>
          <w:sz w:val="21"/>
          <w:szCs w:val="21"/>
        </w:rPr>
      </w:pPr>
    </w:p>
    <w:p w14:paraId="1DB0E3D1"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620943B" w14:textId="77777777" w:rsidR="00BE29B9" w:rsidRPr="007C501A" w:rsidRDefault="00BE29B9" w:rsidP="00BE29B9">
      <w:pPr>
        <w:pStyle w:val="Textoindependiente"/>
        <w:ind w:firstLine="708"/>
        <w:rPr>
          <w:rFonts w:ascii="Abadi" w:hAnsi="Abadi"/>
          <w:b w:val="0"/>
          <w:bCs w:val="0"/>
          <w:sz w:val="21"/>
          <w:szCs w:val="21"/>
        </w:rPr>
      </w:pPr>
    </w:p>
    <w:p w14:paraId="4AE363F7"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w:t>
      </w:r>
      <w:r w:rsidRPr="009F3E65">
        <w:rPr>
          <w:rFonts w:ascii="Abadi" w:hAnsi="Abadi"/>
          <w:sz w:val="21"/>
          <w:szCs w:val="21"/>
        </w:rPr>
        <w:t xml:space="preserve"> </w:t>
      </w:r>
      <w:r w:rsidRPr="007C501A">
        <w:rPr>
          <w:rFonts w:ascii="Abadi" w:hAnsi="Abadi"/>
          <w:b w:val="0"/>
          <w:bCs w:val="0"/>
          <w:sz w:val="21"/>
          <w:szCs w:val="21"/>
        </w:rPr>
        <w:t>páginas de internet de los sujetos de fiscalización.</w:t>
      </w:r>
    </w:p>
    <w:p w14:paraId="107ECDFB" w14:textId="77777777" w:rsidR="00BE29B9" w:rsidRPr="007C501A" w:rsidRDefault="00BE29B9" w:rsidP="00BE29B9">
      <w:pPr>
        <w:pStyle w:val="Textoindependiente"/>
        <w:ind w:firstLine="708"/>
        <w:rPr>
          <w:rFonts w:ascii="Abadi" w:hAnsi="Abadi"/>
          <w:b w:val="0"/>
          <w:bCs w:val="0"/>
          <w:sz w:val="21"/>
          <w:szCs w:val="21"/>
        </w:rPr>
      </w:pPr>
    </w:p>
    <w:p w14:paraId="6BB0C217"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7712D720" w14:textId="77777777" w:rsidR="00BE29B9" w:rsidRPr="009F3E65" w:rsidRDefault="00BE29B9" w:rsidP="00BE29B9">
      <w:pPr>
        <w:ind w:firstLine="708"/>
        <w:jc w:val="both"/>
        <w:rPr>
          <w:rFonts w:ascii="Abadi" w:hAnsi="Abadi" w:cs="Arial"/>
          <w:sz w:val="21"/>
          <w:szCs w:val="21"/>
          <w:lang w:val="es-MX" w:eastAsia="x-none"/>
        </w:rPr>
      </w:pPr>
    </w:p>
    <w:p w14:paraId="28D3E0AF"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9F3E65">
          <w:rPr>
            <w:rFonts w:ascii="Abadi" w:hAnsi="Abadi" w:cs="Arial"/>
            <w:sz w:val="21"/>
            <w:szCs w:val="21"/>
            <w:lang w:val="es-MX" w:eastAsia="x-none"/>
          </w:rPr>
          <w:t>la Ley Orgánica</w:t>
        </w:r>
      </w:smartTag>
      <w:r w:rsidRPr="009F3E65">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503C04F" w14:textId="77777777" w:rsidR="00BE29B9" w:rsidRPr="009F3E65" w:rsidRDefault="00BE29B9" w:rsidP="00BE29B9">
      <w:pPr>
        <w:ind w:firstLine="708"/>
        <w:jc w:val="both"/>
        <w:rPr>
          <w:rFonts w:ascii="Abadi" w:hAnsi="Abadi" w:cs="Arial"/>
          <w:sz w:val="21"/>
          <w:szCs w:val="21"/>
          <w:lang w:val="es-MX" w:eastAsia="x-none"/>
        </w:rPr>
      </w:pPr>
    </w:p>
    <w:p w14:paraId="0BF58931" w14:textId="77777777" w:rsidR="00BE29B9" w:rsidRPr="009F3E65" w:rsidRDefault="00BE29B9" w:rsidP="00BE29B9">
      <w:pPr>
        <w:ind w:right="60" w:firstLine="709"/>
        <w:jc w:val="both"/>
        <w:rPr>
          <w:rFonts w:ascii="Abadi" w:hAnsi="Abadi" w:cs="Arial"/>
          <w:sz w:val="21"/>
          <w:szCs w:val="21"/>
          <w:lang w:val="es-MX" w:eastAsia="x-none"/>
        </w:rPr>
      </w:pPr>
      <w:r w:rsidRPr="009F3E65">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659CE541" w14:textId="77777777" w:rsidR="00BE29B9" w:rsidRPr="009F3E65" w:rsidRDefault="00BE29B9" w:rsidP="00BE29B9">
      <w:pPr>
        <w:ind w:right="58" w:firstLine="709"/>
        <w:jc w:val="both"/>
        <w:rPr>
          <w:rFonts w:ascii="Abadi" w:eastAsia="DejaVu Sans" w:hAnsi="Abadi" w:cs="Tahoma"/>
          <w:iCs/>
          <w:kern w:val="1"/>
          <w:sz w:val="21"/>
          <w:szCs w:val="21"/>
          <w:lang w:eastAsia="ar-SA"/>
        </w:rPr>
      </w:pPr>
    </w:p>
    <w:p w14:paraId="4F13E141"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w:t>
      </w:r>
      <w:r w:rsidRPr="009F3E65">
        <w:rPr>
          <w:rFonts w:ascii="Abadi" w:hAnsi="Abadi" w:cs="Arial"/>
          <w:sz w:val="21"/>
          <w:szCs w:val="21"/>
          <w:lang w:val="es-MX" w:eastAsia="x-none"/>
        </w:rPr>
        <w:t xml:space="preserve">lineamientos para integrar la cuenta pública del Poder Ejecutivo, del Poder Judicial, de los Organismos Autónomos y de los municipios. </w:t>
      </w:r>
    </w:p>
    <w:p w14:paraId="48B55101" w14:textId="77777777" w:rsidR="00BE29B9" w:rsidRPr="009F3E65" w:rsidRDefault="00BE29B9" w:rsidP="00BE29B9">
      <w:pPr>
        <w:pStyle w:val="Textoindependiente"/>
        <w:ind w:firstLine="708"/>
        <w:rPr>
          <w:rFonts w:ascii="Abadi" w:hAnsi="Abadi"/>
          <w:sz w:val="21"/>
          <w:szCs w:val="21"/>
        </w:rPr>
      </w:pPr>
    </w:p>
    <w:p w14:paraId="6EF17DC2" w14:textId="77777777" w:rsidR="00BE29B9" w:rsidRPr="009F3E65" w:rsidRDefault="00BE29B9" w:rsidP="00BE29B9">
      <w:pPr>
        <w:pStyle w:val="Textoindependiente"/>
        <w:ind w:firstLine="708"/>
        <w:rPr>
          <w:rFonts w:ascii="Abadi" w:hAnsi="Abadi"/>
          <w:sz w:val="21"/>
          <w:szCs w:val="21"/>
        </w:rPr>
      </w:pPr>
      <w:r w:rsidRPr="007C501A">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w:t>
      </w:r>
      <w:r w:rsidRPr="009F3E65">
        <w:rPr>
          <w:rFonts w:ascii="Abadi" w:hAnsi="Abadi"/>
          <w:sz w:val="21"/>
          <w:szCs w:val="21"/>
        </w:rPr>
        <w:t xml:space="preserve"> y los lineamientos que para tal efecto emita el Congreso.</w:t>
      </w:r>
    </w:p>
    <w:p w14:paraId="417278FB" w14:textId="77777777" w:rsidR="00BE29B9" w:rsidRPr="009F3E65" w:rsidRDefault="00BE29B9" w:rsidP="00BE29B9">
      <w:pPr>
        <w:pStyle w:val="Textoindependiente"/>
        <w:ind w:firstLine="708"/>
        <w:rPr>
          <w:rFonts w:ascii="Abadi" w:hAnsi="Abadi"/>
          <w:sz w:val="21"/>
          <w:szCs w:val="21"/>
        </w:rPr>
      </w:pPr>
    </w:p>
    <w:p w14:paraId="5F98189D" w14:textId="77777777" w:rsidR="00BE29B9" w:rsidRPr="009F3E65" w:rsidRDefault="00BE29B9" w:rsidP="00BE29B9">
      <w:pPr>
        <w:ind w:right="60" w:firstLine="709"/>
        <w:jc w:val="both"/>
        <w:rPr>
          <w:rFonts w:ascii="Abadi" w:hAnsi="Abadi" w:cs="Arial"/>
          <w:sz w:val="21"/>
          <w:szCs w:val="21"/>
          <w:lang w:val="es-MX" w:eastAsia="x-none"/>
        </w:rPr>
      </w:pPr>
      <w:r w:rsidRPr="009F3E65">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8F51A4C" w14:textId="77777777" w:rsidR="00BE29B9" w:rsidRPr="007C501A" w:rsidRDefault="00BE29B9" w:rsidP="00BE29B9">
      <w:pPr>
        <w:pStyle w:val="Textoindependiente"/>
        <w:ind w:firstLine="708"/>
        <w:rPr>
          <w:rFonts w:ascii="Abadi" w:hAnsi="Abadi"/>
          <w:b w:val="0"/>
          <w:bCs w:val="0"/>
          <w:sz w:val="21"/>
          <w:szCs w:val="21"/>
        </w:rPr>
      </w:pPr>
    </w:p>
    <w:p w14:paraId="1DFEB898"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4FFC50AC" w14:textId="77777777" w:rsidR="00BE29B9" w:rsidRPr="007C501A" w:rsidRDefault="00BE29B9" w:rsidP="00BE29B9">
      <w:pPr>
        <w:pStyle w:val="Textoindependiente"/>
        <w:ind w:firstLine="708"/>
        <w:rPr>
          <w:rFonts w:ascii="Abadi" w:hAnsi="Abadi"/>
          <w:b w:val="0"/>
          <w:bCs w:val="0"/>
          <w:sz w:val="21"/>
          <w:szCs w:val="21"/>
        </w:rPr>
      </w:pPr>
    </w:p>
    <w:p w14:paraId="1DAFABD5" w14:textId="77777777" w:rsidR="00BE29B9" w:rsidRPr="009F3E65" w:rsidRDefault="00BE29B9" w:rsidP="00BE29B9">
      <w:pPr>
        <w:tabs>
          <w:tab w:val="left" w:pos="709"/>
        </w:tabs>
        <w:jc w:val="both"/>
        <w:rPr>
          <w:rFonts w:ascii="Abadi" w:hAnsi="Abadi" w:cs="Arial"/>
          <w:sz w:val="21"/>
          <w:szCs w:val="21"/>
          <w:lang w:val="es-MX" w:eastAsia="x-none"/>
        </w:rPr>
      </w:pPr>
      <w:r w:rsidRPr="009F3E65">
        <w:rPr>
          <w:rFonts w:ascii="Abadi" w:hAnsi="Abadi" w:cs="Arial"/>
          <w:sz w:val="21"/>
          <w:szCs w:val="21"/>
        </w:rPr>
        <w:tab/>
        <w:t xml:space="preserve">El citado artículo también refiere </w:t>
      </w:r>
      <w:r w:rsidRPr="009F3E65">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75FB995" w14:textId="77777777" w:rsidR="00BE29B9" w:rsidRPr="009F3E65" w:rsidRDefault="00BE29B9" w:rsidP="00BE29B9">
      <w:pPr>
        <w:tabs>
          <w:tab w:val="left" w:pos="709"/>
        </w:tabs>
        <w:jc w:val="both"/>
        <w:rPr>
          <w:rFonts w:ascii="Abadi" w:hAnsi="Abadi" w:cs="Arial"/>
          <w:sz w:val="21"/>
          <w:szCs w:val="21"/>
          <w:lang w:val="es-MX" w:eastAsia="x-none"/>
        </w:rPr>
      </w:pPr>
      <w:r w:rsidRPr="009F3E65">
        <w:rPr>
          <w:rFonts w:ascii="Abadi" w:hAnsi="Abadi" w:cs="Arial"/>
          <w:sz w:val="21"/>
          <w:szCs w:val="21"/>
          <w:lang w:val="es-MX" w:eastAsia="x-none"/>
        </w:rPr>
        <w:tab/>
        <w:t xml:space="preserve">En términos del numeral 23 de la </w:t>
      </w:r>
      <w:r w:rsidRPr="009F3E65">
        <w:rPr>
          <w:rFonts w:ascii="Abadi" w:hAnsi="Abadi" w:cs="Arial"/>
          <w:sz w:val="21"/>
          <w:szCs w:val="21"/>
        </w:rPr>
        <w:t>Ley de Fiscalización Superior del Estado de Guanajuato, p</w:t>
      </w:r>
      <w:r w:rsidRPr="009F3E65">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w:t>
      </w:r>
      <w:r w:rsidRPr="009F3E65">
        <w:rPr>
          <w:rFonts w:ascii="Abadi" w:hAnsi="Abadi" w:cs="Arial"/>
          <w:sz w:val="21"/>
          <w:szCs w:val="21"/>
          <w:lang w:val="es-MX" w:eastAsia="x-none"/>
        </w:rPr>
        <w:lastRenderedPageBreak/>
        <w:t>sujetos de fiscalización en el análisis de la información financiera trimestral y la evidencia que las sustenta.</w:t>
      </w:r>
    </w:p>
    <w:p w14:paraId="2E5F739A" w14:textId="77777777" w:rsidR="00BE29B9" w:rsidRPr="009F3E65" w:rsidRDefault="00BE29B9" w:rsidP="00BE29B9">
      <w:pPr>
        <w:tabs>
          <w:tab w:val="left" w:pos="709"/>
        </w:tabs>
        <w:jc w:val="both"/>
        <w:rPr>
          <w:rFonts w:ascii="Abadi" w:hAnsi="Abadi" w:cs="Arial"/>
          <w:sz w:val="21"/>
          <w:szCs w:val="21"/>
          <w:lang w:val="es-MX" w:eastAsia="x-none"/>
        </w:rPr>
      </w:pPr>
    </w:p>
    <w:p w14:paraId="1EE2B922" w14:textId="77777777" w:rsidR="00BE29B9" w:rsidRPr="009F3E65" w:rsidRDefault="00BE29B9" w:rsidP="00BE29B9">
      <w:pPr>
        <w:pStyle w:val="Texto"/>
        <w:spacing w:after="0" w:line="240" w:lineRule="auto"/>
        <w:ind w:firstLine="708"/>
        <w:rPr>
          <w:rFonts w:ascii="Abadi" w:hAnsi="Abadi" w:cs="Arial"/>
          <w:sz w:val="21"/>
          <w:szCs w:val="21"/>
          <w:lang w:val="es-MX"/>
        </w:rPr>
      </w:pPr>
      <w:r w:rsidRPr="009F3E65">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7AE50D30" w14:textId="77777777" w:rsidR="00BE29B9" w:rsidRPr="009F3E65" w:rsidRDefault="00BE29B9" w:rsidP="00BE29B9">
      <w:pPr>
        <w:pStyle w:val="Texto"/>
        <w:spacing w:after="0" w:line="240" w:lineRule="auto"/>
        <w:ind w:firstLine="708"/>
        <w:rPr>
          <w:rFonts w:ascii="Abadi" w:hAnsi="Abadi" w:cs="Arial"/>
          <w:sz w:val="21"/>
          <w:szCs w:val="21"/>
          <w:lang w:val="es-MX"/>
        </w:rPr>
      </w:pPr>
    </w:p>
    <w:p w14:paraId="4037E159" w14:textId="77777777" w:rsidR="00BE29B9" w:rsidRPr="009F3E65" w:rsidRDefault="00BE29B9" w:rsidP="00BE29B9">
      <w:pPr>
        <w:pStyle w:val="Texto"/>
        <w:spacing w:after="0" w:line="240" w:lineRule="auto"/>
        <w:ind w:firstLine="708"/>
        <w:rPr>
          <w:rFonts w:ascii="Abadi" w:hAnsi="Abadi" w:cs="Arial"/>
          <w:sz w:val="21"/>
          <w:szCs w:val="21"/>
          <w:lang w:val="es-MX"/>
        </w:rPr>
      </w:pPr>
      <w:r w:rsidRPr="009F3E65">
        <w:rPr>
          <w:rFonts w:ascii="Abadi" w:hAnsi="Abadi" w:cs="Arial"/>
          <w:sz w:val="21"/>
          <w:szCs w:val="21"/>
          <w:lang w:val="es-MX"/>
        </w:rPr>
        <w:t xml:space="preserve">En cumplimiento a los citados preceptos, en su oportunidad se remitió a este Congreso del Estado, la cuenta pública municipal de Santa Cruz de Juventino Rosas, </w:t>
      </w:r>
      <w:proofErr w:type="spellStart"/>
      <w:r w:rsidRPr="009F3E65">
        <w:rPr>
          <w:rFonts w:ascii="Abadi" w:hAnsi="Abadi" w:cs="Arial"/>
          <w:sz w:val="21"/>
          <w:szCs w:val="21"/>
          <w:lang w:val="es-MX"/>
        </w:rPr>
        <w:t>Gto</w:t>
      </w:r>
      <w:proofErr w:type="spellEnd"/>
      <w:r w:rsidRPr="009F3E65">
        <w:rPr>
          <w:rFonts w:ascii="Abadi" w:hAnsi="Abadi" w:cs="Arial"/>
          <w:sz w:val="21"/>
          <w:szCs w:val="21"/>
          <w:lang w:val="es-MX"/>
        </w:rPr>
        <w:t>., correspondiente al ejercicio fiscal del año 2021, turnándose a la Auditoría Superior del Estado para su revisión.</w:t>
      </w:r>
    </w:p>
    <w:p w14:paraId="3ACCF75D" w14:textId="77777777" w:rsidR="00BE29B9" w:rsidRPr="009F3E65" w:rsidRDefault="00BE29B9" w:rsidP="00BE29B9">
      <w:pPr>
        <w:pStyle w:val="Textoindependiente"/>
        <w:ind w:firstLine="708"/>
        <w:rPr>
          <w:rFonts w:ascii="Abadi" w:hAnsi="Abadi"/>
          <w:sz w:val="21"/>
          <w:szCs w:val="21"/>
        </w:rPr>
      </w:pPr>
    </w:p>
    <w:p w14:paraId="643A7111"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110818D" w14:textId="77777777" w:rsidR="00BE29B9" w:rsidRPr="007C501A" w:rsidRDefault="00BE29B9" w:rsidP="00BE29B9">
      <w:pPr>
        <w:pStyle w:val="Textoindependiente"/>
        <w:ind w:firstLine="708"/>
        <w:rPr>
          <w:rFonts w:ascii="Abadi" w:hAnsi="Abadi"/>
          <w:b w:val="0"/>
          <w:bCs w:val="0"/>
          <w:sz w:val="21"/>
          <w:szCs w:val="21"/>
        </w:rPr>
      </w:pPr>
    </w:p>
    <w:p w14:paraId="6146D909"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correspondiente al ejercicio fiscal del año 2021.</w:t>
      </w:r>
    </w:p>
    <w:p w14:paraId="76010DCD" w14:textId="77777777" w:rsidR="00BE29B9" w:rsidRPr="007C501A" w:rsidRDefault="00BE29B9" w:rsidP="00BE29B9">
      <w:pPr>
        <w:ind w:firstLine="708"/>
        <w:jc w:val="both"/>
        <w:rPr>
          <w:rFonts w:ascii="Abadi" w:hAnsi="Abadi" w:cs="Arial"/>
          <w:sz w:val="21"/>
          <w:szCs w:val="21"/>
          <w:lang w:val="es-MX" w:eastAsia="x-none"/>
        </w:rPr>
      </w:pPr>
    </w:p>
    <w:p w14:paraId="217B6204" w14:textId="77777777" w:rsidR="00BE29B9" w:rsidRPr="009F3E65" w:rsidRDefault="00BE29B9" w:rsidP="00BE29B9">
      <w:pPr>
        <w:ind w:firstLine="708"/>
        <w:jc w:val="both"/>
        <w:rPr>
          <w:rFonts w:ascii="Abadi" w:hAnsi="Abadi" w:cs="Arial"/>
          <w:sz w:val="21"/>
          <w:szCs w:val="21"/>
          <w:lang w:val="es-MX" w:eastAsia="x-none"/>
        </w:rPr>
      </w:pPr>
      <w:r w:rsidRPr="007C501A">
        <w:rPr>
          <w:rFonts w:ascii="Abadi" w:hAnsi="Abadi" w:cs="Arial"/>
          <w:sz w:val="21"/>
          <w:szCs w:val="21"/>
          <w:lang w:val="es-MX" w:eastAsia="x-none"/>
        </w:rPr>
        <w:t>La revisión concluyó</w:t>
      </w:r>
      <w:r w:rsidRPr="009F3E65">
        <w:rPr>
          <w:rFonts w:ascii="Abadi" w:hAnsi="Abadi" w:cs="Arial"/>
          <w:sz w:val="21"/>
          <w:szCs w:val="21"/>
          <w:lang w:val="es-MX" w:eastAsia="x-none"/>
        </w:rPr>
        <w:t xml:space="preserve"> con la elaboración del informe de resultados materia del presente dictamen, remitiéndose al Congreso, el cual se turnó a esta Comisión </w:t>
      </w:r>
      <w:r w:rsidRPr="009F3E65">
        <w:rPr>
          <w:rFonts w:ascii="Abadi" w:hAnsi="Abadi" w:cs="Arial"/>
          <w:bCs/>
          <w:sz w:val="21"/>
          <w:szCs w:val="21"/>
          <w:lang w:val="es-MX" w:eastAsia="x-none"/>
        </w:rPr>
        <w:t>el 13 de abril de 2023,</w:t>
      </w:r>
      <w:r w:rsidRPr="009F3E65">
        <w:rPr>
          <w:rFonts w:ascii="Abadi" w:hAnsi="Abadi" w:cs="Arial"/>
          <w:sz w:val="21"/>
          <w:szCs w:val="21"/>
          <w:lang w:val="es-MX" w:eastAsia="x-none"/>
        </w:rPr>
        <w:t xml:space="preserve"> para su estudio y </w:t>
      </w:r>
      <w:r w:rsidRPr="009F3E65">
        <w:rPr>
          <w:rFonts w:ascii="Abadi" w:hAnsi="Abadi" w:cs="Arial"/>
          <w:sz w:val="21"/>
          <w:szCs w:val="21"/>
          <w:lang w:val="es-MX" w:eastAsia="x-none"/>
        </w:rPr>
        <w:t>dictamen,</w:t>
      </w:r>
      <w:r w:rsidRPr="009F3E65">
        <w:rPr>
          <w:rFonts w:ascii="Abadi" w:hAnsi="Abadi" w:cs="Arial"/>
          <w:b/>
          <w:sz w:val="21"/>
          <w:szCs w:val="21"/>
          <w:lang w:val="es-MX" w:eastAsia="x-none"/>
        </w:rPr>
        <w:t xml:space="preserve"> </w:t>
      </w:r>
      <w:r w:rsidRPr="009F3E65">
        <w:rPr>
          <w:rFonts w:ascii="Abadi" w:hAnsi="Abadi" w:cs="Arial"/>
          <w:sz w:val="21"/>
          <w:szCs w:val="21"/>
          <w:lang w:val="es-MX" w:eastAsia="x-none"/>
        </w:rPr>
        <w:t>siendo radicado el 18 de abril del año en curso.</w:t>
      </w:r>
    </w:p>
    <w:p w14:paraId="156C06B4" w14:textId="77777777" w:rsidR="00BE29B9" w:rsidRPr="009F3E65" w:rsidRDefault="00BE29B9" w:rsidP="00BE29B9">
      <w:pPr>
        <w:ind w:firstLine="708"/>
        <w:jc w:val="both"/>
        <w:rPr>
          <w:rFonts w:ascii="Abadi" w:hAnsi="Abadi" w:cs="Arial"/>
          <w:sz w:val="21"/>
          <w:szCs w:val="21"/>
          <w:lang w:val="es-MX" w:eastAsia="x-none"/>
        </w:rPr>
      </w:pPr>
    </w:p>
    <w:p w14:paraId="6C49D34C" w14:textId="77777777" w:rsidR="00BE29B9" w:rsidRPr="009F3E65" w:rsidRDefault="00BE29B9" w:rsidP="00BE29B9">
      <w:pPr>
        <w:ind w:firstLine="708"/>
        <w:jc w:val="both"/>
        <w:rPr>
          <w:rFonts w:ascii="Abadi" w:hAnsi="Abadi" w:cs="Arial"/>
          <w:sz w:val="21"/>
          <w:szCs w:val="21"/>
          <w:lang w:val="es-MX" w:eastAsia="x-none"/>
        </w:rPr>
      </w:pPr>
    </w:p>
    <w:p w14:paraId="673BF561" w14:textId="77777777" w:rsidR="00BE29B9" w:rsidRPr="007C501A" w:rsidRDefault="00BE29B9" w:rsidP="00BE29B9">
      <w:pPr>
        <w:pStyle w:val="Textoindependiente"/>
        <w:ind w:firstLine="708"/>
        <w:rPr>
          <w:rFonts w:ascii="Abadi" w:hAnsi="Abadi"/>
          <w:sz w:val="21"/>
          <w:szCs w:val="21"/>
        </w:rPr>
      </w:pPr>
      <w:r w:rsidRPr="007C501A">
        <w:rPr>
          <w:rFonts w:ascii="Abadi" w:hAnsi="Abadi"/>
          <w:sz w:val="21"/>
          <w:szCs w:val="21"/>
        </w:rPr>
        <w:t>III. Procedimiento de Revisión:</w:t>
      </w:r>
    </w:p>
    <w:p w14:paraId="0241844D" w14:textId="77777777" w:rsidR="00BE29B9" w:rsidRPr="009F3E65" w:rsidRDefault="00BE29B9" w:rsidP="00BE29B9">
      <w:pPr>
        <w:pStyle w:val="Textoindependiente"/>
        <w:ind w:firstLine="708"/>
        <w:rPr>
          <w:rFonts w:ascii="Abadi" w:hAnsi="Abadi"/>
          <w:sz w:val="21"/>
          <w:szCs w:val="21"/>
        </w:rPr>
      </w:pPr>
    </w:p>
    <w:p w14:paraId="267D2D54"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La revisión de la cuenta pública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B40C191" w14:textId="77777777" w:rsidR="00BE29B9" w:rsidRPr="009F3E65" w:rsidRDefault="00BE29B9" w:rsidP="00BE29B9">
      <w:pPr>
        <w:pStyle w:val="Textoindependiente"/>
        <w:ind w:firstLine="708"/>
        <w:rPr>
          <w:rFonts w:ascii="Abadi" w:hAnsi="Abadi"/>
          <w:sz w:val="21"/>
          <w:szCs w:val="21"/>
        </w:rPr>
      </w:pPr>
    </w:p>
    <w:p w14:paraId="6E4E9E2E"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91747FD" w14:textId="77777777" w:rsidR="00BE29B9" w:rsidRPr="007C501A" w:rsidRDefault="00BE29B9" w:rsidP="00BE29B9">
      <w:pPr>
        <w:pStyle w:val="Textoindependiente"/>
        <w:ind w:firstLine="708"/>
        <w:rPr>
          <w:rFonts w:ascii="Abadi" w:hAnsi="Abadi"/>
          <w:b w:val="0"/>
          <w:bCs w:val="0"/>
          <w:sz w:val="21"/>
          <w:szCs w:val="21"/>
        </w:rPr>
      </w:pPr>
    </w:p>
    <w:p w14:paraId="6D31A9B9"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w:t>
      </w:r>
      <w:r w:rsidRPr="007C501A">
        <w:rPr>
          <w:rFonts w:ascii="Abadi" w:hAnsi="Abadi"/>
          <w:b w:val="0"/>
          <w:bCs w:val="0"/>
          <w:sz w:val="21"/>
          <w:szCs w:val="21"/>
        </w:rPr>
        <w:lastRenderedPageBreak/>
        <w:t>Estado, en fechas 25 de enero y 28 de febrero de 2017 respectivamente.</w:t>
      </w:r>
    </w:p>
    <w:p w14:paraId="2548FEDE" w14:textId="77777777" w:rsidR="00BE29B9" w:rsidRPr="009F3E65" w:rsidRDefault="00BE29B9" w:rsidP="00BE29B9">
      <w:pPr>
        <w:pStyle w:val="Textoindependiente"/>
        <w:ind w:firstLine="708"/>
        <w:rPr>
          <w:rFonts w:ascii="Abadi" w:hAnsi="Abadi"/>
          <w:sz w:val="21"/>
          <w:szCs w:val="21"/>
        </w:rPr>
      </w:pPr>
    </w:p>
    <w:p w14:paraId="14C7F163"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w:t>
      </w:r>
      <w:r w:rsidRPr="009F3E65">
        <w:rPr>
          <w:rFonts w:ascii="Abadi" w:hAnsi="Abadi"/>
          <w:sz w:val="21"/>
          <w:szCs w:val="21"/>
        </w:rPr>
        <w:t xml:space="preserve"> </w:t>
      </w:r>
      <w:r w:rsidRPr="007C501A">
        <w:rPr>
          <w:rFonts w:ascii="Abadi" w:hAnsi="Abadi"/>
          <w:b w:val="0"/>
          <w:bCs w:val="0"/>
          <w:sz w:val="21"/>
          <w:szCs w:val="21"/>
        </w:rPr>
        <w:t>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5841E62" w14:textId="77777777" w:rsidR="00BE29B9" w:rsidRPr="009F3E65" w:rsidRDefault="00BE29B9" w:rsidP="00BE29B9">
      <w:pPr>
        <w:pStyle w:val="Textoindependiente"/>
        <w:ind w:firstLine="708"/>
        <w:rPr>
          <w:rFonts w:ascii="Abadi" w:hAnsi="Abadi"/>
          <w:sz w:val="21"/>
          <w:szCs w:val="21"/>
        </w:rPr>
      </w:pPr>
    </w:p>
    <w:p w14:paraId="488E7104"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El informe de resultados establece que se practicó la revisión de la cuenta pública respecto de las operaciones realizadas por la administración pública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correspondientes al ejercicio fiscal 2021, en lo referente a los apartados de ingresos y egresos.</w:t>
      </w:r>
    </w:p>
    <w:p w14:paraId="1B927102" w14:textId="77777777" w:rsidR="00BE29B9" w:rsidRPr="007C501A" w:rsidRDefault="00BE29B9" w:rsidP="00BE29B9">
      <w:pPr>
        <w:pStyle w:val="Textoindependiente"/>
        <w:ind w:firstLine="705"/>
        <w:rPr>
          <w:rFonts w:ascii="Abadi" w:hAnsi="Abadi"/>
          <w:b w:val="0"/>
          <w:bCs w:val="0"/>
          <w:sz w:val="21"/>
          <w:szCs w:val="21"/>
        </w:rPr>
      </w:pPr>
    </w:p>
    <w:p w14:paraId="5C06294D" w14:textId="77777777" w:rsidR="00BE29B9" w:rsidRPr="009F3E65" w:rsidRDefault="00BE29B9" w:rsidP="00BE29B9">
      <w:pPr>
        <w:autoSpaceDE w:val="0"/>
        <w:autoSpaceDN w:val="0"/>
        <w:adjustRightInd w:val="0"/>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w:t>
      </w:r>
      <w:r w:rsidRPr="009F3E65">
        <w:rPr>
          <w:rFonts w:ascii="Abadi" w:hAnsi="Abadi" w:cs="Arial"/>
          <w:sz w:val="21"/>
          <w:szCs w:val="21"/>
          <w:lang w:val="es-MX" w:eastAsia="x-none"/>
        </w:rPr>
        <w:t xml:space="preserve">se consideró el control interno con el fin de diseñar procedimientos de auditoría, pero no con la finalidad de expresar una opinión sobre la eficiencia del mismo. </w:t>
      </w:r>
    </w:p>
    <w:p w14:paraId="736B4510" w14:textId="77777777" w:rsidR="00BE29B9" w:rsidRPr="009F3E65" w:rsidRDefault="00BE29B9" w:rsidP="00BE29B9">
      <w:pPr>
        <w:autoSpaceDE w:val="0"/>
        <w:autoSpaceDN w:val="0"/>
        <w:adjustRightInd w:val="0"/>
        <w:ind w:firstLine="708"/>
        <w:jc w:val="both"/>
        <w:rPr>
          <w:rFonts w:ascii="Abadi" w:hAnsi="Abadi" w:cs="Arial"/>
          <w:sz w:val="21"/>
          <w:szCs w:val="21"/>
          <w:lang w:val="es-MX" w:eastAsia="x-none"/>
        </w:rPr>
      </w:pPr>
    </w:p>
    <w:p w14:paraId="75456BB3" w14:textId="77777777" w:rsidR="00BE29B9" w:rsidRPr="009F3E65" w:rsidRDefault="00BE29B9" w:rsidP="00BE29B9">
      <w:pPr>
        <w:autoSpaceDE w:val="0"/>
        <w:autoSpaceDN w:val="0"/>
        <w:adjustRightInd w:val="0"/>
        <w:ind w:firstLine="708"/>
        <w:jc w:val="both"/>
        <w:rPr>
          <w:rFonts w:ascii="Abadi" w:hAnsi="Abadi" w:cs="Arial"/>
          <w:sz w:val="21"/>
          <w:szCs w:val="21"/>
          <w:lang w:val="es-MX" w:eastAsia="x-none"/>
        </w:rPr>
      </w:pPr>
    </w:p>
    <w:p w14:paraId="034199A8" w14:textId="77777777" w:rsidR="00BE29B9" w:rsidRPr="009F3E65" w:rsidRDefault="00BE29B9" w:rsidP="00BE29B9">
      <w:pPr>
        <w:ind w:firstLine="708"/>
        <w:jc w:val="both"/>
        <w:rPr>
          <w:rFonts w:ascii="Abadi" w:hAnsi="Abadi" w:cs="Arial"/>
          <w:sz w:val="21"/>
          <w:szCs w:val="21"/>
          <w:lang w:val="es-MX" w:eastAsia="x-none"/>
        </w:rPr>
      </w:pPr>
    </w:p>
    <w:p w14:paraId="06B07D9A" w14:textId="77777777" w:rsidR="00BE29B9" w:rsidRPr="009F3E65" w:rsidRDefault="00BE29B9" w:rsidP="00BE29B9">
      <w:pPr>
        <w:ind w:firstLine="708"/>
        <w:jc w:val="both"/>
        <w:rPr>
          <w:rFonts w:ascii="Abadi" w:hAnsi="Abadi" w:cs="Arial"/>
          <w:sz w:val="21"/>
          <w:szCs w:val="21"/>
          <w:lang w:val="es-MX" w:eastAsia="x-none"/>
        </w:rPr>
      </w:pPr>
    </w:p>
    <w:p w14:paraId="3BCF3FEF" w14:textId="77777777" w:rsidR="00BE29B9" w:rsidRPr="009F3E65" w:rsidRDefault="00BE29B9" w:rsidP="00BE29B9">
      <w:pPr>
        <w:ind w:firstLine="708"/>
        <w:jc w:val="both"/>
        <w:rPr>
          <w:rFonts w:ascii="Abadi" w:hAnsi="Abadi" w:cs="Arial"/>
          <w:sz w:val="21"/>
          <w:szCs w:val="21"/>
          <w:lang w:val="es-MX" w:eastAsia="x-none"/>
        </w:rPr>
      </w:pPr>
    </w:p>
    <w:p w14:paraId="18D48D22" w14:textId="77777777" w:rsidR="00BE29B9" w:rsidRPr="009F3E65" w:rsidRDefault="00BE29B9" w:rsidP="00BE29B9">
      <w:pPr>
        <w:ind w:firstLine="708"/>
        <w:jc w:val="both"/>
        <w:rPr>
          <w:rFonts w:ascii="Abadi" w:hAnsi="Abadi" w:cs="Arial"/>
          <w:sz w:val="21"/>
          <w:szCs w:val="21"/>
          <w:lang w:val="es-MX" w:eastAsia="x-none"/>
        </w:rPr>
      </w:pPr>
    </w:p>
    <w:p w14:paraId="2D370953" w14:textId="77777777" w:rsidR="00BE29B9" w:rsidRPr="009F3E65" w:rsidRDefault="00BE29B9" w:rsidP="00BE29B9">
      <w:pPr>
        <w:ind w:firstLine="708"/>
        <w:jc w:val="both"/>
        <w:rPr>
          <w:rFonts w:ascii="Abadi" w:hAnsi="Abadi" w:cs="Arial"/>
          <w:sz w:val="21"/>
          <w:szCs w:val="21"/>
          <w:lang w:val="es-MX" w:eastAsia="x-none"/>
        </w:rPr>
      </w:pPr>
    </w:p>
    <w:p w14:paraId="336D82EE" w14:textId="77777777" w:rsidR="00BE29B9" w:rsidRPr="009F3E65" w:rsidRDefault="00BE29B9" w:rsidP="00BE29B9">
      <w:pPr>
        <w:ind w:firstLine="708"/>
        <w:jc w:val="both"/>
        <w:rPr>
          <w:rFonts w:ascii="Abadi" w:hAnsi="Abadi" w:cs="Arial"/>
          <w:sz w:val="21"/>
          <w:szCs w:val="21"/>
          <w:lang w:val="es-MX" w:eastAsia="x-none"/>
        </w:rPr>
      </w:pPr>
    </w:p>
    <w:p w14:paraId="0B44ACC5" w14:textId="77777777" w:rsidR="00BE29B9" w:rsidRPr="009F3E65" w:rsidRDefault="00BE29B9" w:rsidP="00BE29B9">
      <w:pPr>
        <w:ind w:firstLine="708"/>
        <w:jc w:val="both"/>
        <w:rPr>
          <w:rFonts w:ascii="Abadi" w:hAnsi="Abadi" w:cs="Arial"/>
          <w:sz w:val="21"/>
          <w:szCs w:val="21"/>
          <w:lang w:val="es-MX" w:eastAsia="x-none"/>
        </w:rPr>
      </w:pPr>
      <w:r w:rsidRPr="009F3E65">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9F3E65">
        <w:rPr>
          <w:rFonts w:ascii="Abadi" w:hAnsi="Abadi" w:cs="Arial"/>
          <w:sz w:val="21"/>
          <w:szCs w:val="21"/>
          <w:lang w:val="es-MX" w:eastAsia="x-none"/>
        </w:rPr>
        <w:t>fiscalizado</w:t>
      </w:r>
      <w:proofErr w:type="spellEnd"/>
      <w:r w:rsidRPr="009F3E65">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64A4BFE8" w14:textId="77777777" w:rsidR="00BE29B9" w:rsidRPr="009F3E65" w:rsidRDefault="00BE29B9" w:rsidP="00BE29B9">
      <w:pPr>
        <w:ind w:firstLine="708"/>
        <w:jc w:val="both"/>
        <w:rPr>
          <w:rFonts w:ascii="Abadi" w:hAnsi="Abadi" w:cs="Arial"/>
          <w:sz w:val="21"/>
          <w:szCs w:val="21"/>
          <w:lang w:val="es-MX" w:eastAsia="x-none"/>
        </w:rPr>
      </w:pPr>
    </w:p>
    <w:p w14:paraId="1F6305EB"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El 30 de junio de 2022 se notificó al presidente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la orden de inicio del procedimiento de revisión de la cuenta pública.</w:t>
      </w:r>
    </w:p>
    <w:p w14:paraId="34E6CBA8" w14:textId="77777777" w:rsidR="00BE29B9" w:rsidRPr="009F3E65" w:rsidRDefault="00BE29B9" w:rsidP="00BE29B9">
      <w:pPr>
        <w:ind w:firstLine="708"/>
        <w:jc w:val="both"/>
        <w:rPr>
          <w:rFonts w:ascii="Abadi" w:hAnsi="Abadi" w:cs="Arial"/>
          <w:sz w:val="21"/>
          <w:szCs w:val="21"/>
        </w:rPr>
      </w:pPr>
    </w:p>
    <w:p w14:paraId="151FCA38"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El 29 de noviembre de 2022 se notificó al presidente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7F9D862E" w14:textId="77777777" w:rsidR="00BE29B9" w:rsidRPr="009F3E65" w:rsidRDefault="00BE29B9" w:rsidP="00BE29B9">
      <w:pPr>
        <w:ind w:firstLine="708"/>
        <w:jc w:val="both"/>
        <w:rPr>
          <w:rFonts w:ascii="Abadi" w:hAnsi="Abadi" w:cs="Arial"/>
          <w:sz w:val="21"/>
          <w:szCs w:val="21"/>
        </w:rPr>
      </w:pPr>
    </w:p>
    <w:p w14:paraId="5931899F"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Posteriormente, el 20 de febrero de 2023, se notificó al presidente y al ex presidente municipales y el 21 de febrero de 2023, se notificó a la ex presidenta municipal provisional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13 y 14 de marzo de 2023 por parte del tesorero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w:t>
      </w:r>
    </w:p>
    <w:p w14:paraId="5C797CCA" w14:textId="77777777" w:rsidR="00BE29B9" w:rsidRPr="009F3E65" w:rsidRDefault="00BE29B9" w:rsidP="00BE29B9">
      <w:pPr>
        <w:ind w:firstLine="708"/>
        <w:jc w:val="both"/>
        <w:rPr>
          <w:rFonts w:ascii="Abadi" w:hAnsi="Abadi" w:cs="Arial"/>
          <w:sz w:val="21"/>
          <w:szCs w:val="21"/>
        </w:rPr>
      </w:pPr>
    </w:p>
    <w:p w14:paraId="3BB53E08"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lastRenderedPageBreak/>
        <w:t xml:space="preserve">El 17 de marzo de 2023, el informe de resultados se notificó al presidente y al ex presidente municipales, así como a la ex presidenta municipal provisional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haciéndoles saber que contaban con un término de cinco días hábiles para tal efecto. Con lo anterior, se dio</w:t>
      </w:r>
      <w:r w:rsidRPr="009F3E65">
        <w:rPr>
          <w:rFonts w:ascii="Abadi" w:hAnsi="Abadi"/>
          <w:sz w:val="21"/>
          <w:szCs w:val="21"/>
        </w:rPr>
        <w:t xml:space="preserve"> </w:t>
      </w:r>
      <w:r w:rsidRPr="007C501A">
        <w:rPr>
          <w:rFonts w:ascii="Abadi" w:hAnsi="Abadi"/>
          <w:b w:val="0"/>
          <w:bCs w:val="0"/>
          <w:sz w:val="21"/>
          <w:szCs w:val="21"/>
        </w:rPr>
        <w:t>cumplimiento a la fracción IV del artículo 37 de la citada Ley.</w:t>
      </w:r>
    </w:p>
    <w:p w14:paraId="33197AEB" w14:textId="77777777" w:rsidR="00BE29B9" w:rsidRPr="007C501A" w:rsidRDefault="00BE29B9" w:rsidP="00BE29B9">
      <w:pPr>
        <w:pStyle w:val="Textoindependiente"/>
        <w:ind w:firstLine="708"/>
        <w:rPr>
          <w:rFonts w:ascii="Abadi" w:hAnsi="Abadi"/>
          <w:b w:val="0"/>
          <w:bCs w:val="0"/>
          <w:sz w:val="21"/>
          <w:szCs w:val="21"/>
        </w:rPr>
      </w:pPr>
    </w:p>
    <w:p w14:paraId="738D642E"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el tesorero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w:t>
      </w:r>
    </w:p>
    <w:p w14:paraId="12493E9C" w14:textId="77777777" w:rsidR="00BE29B9" w:rsidRPr="007C501A" w:rsidRDefault="00BE29B9" w:rsidP="00BE29B9">
      <w:pPr>
        <w:ind w:firstLine="708"/>
        <w:jc w:val="both"/>
        <w:rPr>
          <w:rFonts w:ascii="Abadi" w:hAnsi="Abadi"/>
          <w:sz w:val="21"/>
          <w:szCs w:val="21"/>
        </w:rPr>
      </w:pPr>
    </w:p>
    <w:p w14:paraId="1EF3B0EE"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Una vez tramitado el recurso, el Auditor Superior el 28 de marzo de 2023 emitió la resolución correspondiente, a la cual haremos referencia en un apartado posterior, misma que se notificó al tesorero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el 29 de marzo de 2023.</w:t>
      </w:r>
    </w:p>
    <w:p w14:paraId="05D74E2A" w14:textId="77777777" w:rsidR="00BE29B9" w:rsidRPr="007C501A" w:rsidRDefault="00BE29B9" w:rsidP="00BE29B9">
      <w:pPr>
        <w:ind w:firstLine="708"/>
        <w:jc w:val="both"/>
        <w:rPr>
          <w:rFonts w:ascii="Abadi" w:hAnsi="Abadi" w:cs="Arial"/>
          <w:sz w:val="21"/>
          <w:szCs w:val="21"/>
        </w:rPr>
      </w:pPr>
    </w:p>
    <w:p w14:paraId="2FDE6179" w14:textId="77777777" w:rsidR="00BE29B9" w:rsidRPr="007C501A" w:rsidRDefault="00BE29B9" w:rsidP="00BE29B9">
      <w:pPr>
        <w:pStyle w:val="Textoindependiente"/>
        <w:ind w:firstLine="708"/>
        <w:rPr>
          <w:rFonts w:ascii="Abadi" w:hAnsi="Abadi"/>
          <w:sz w:val="21"/>
          <w:szCs w:val="21"/>
        </w:rPr>
      </w:pPr>
      <w:r w:rsidRPr="007C501A">
        <w:rPr>
          <w:rFonts w:ascii="Abadi" w:hAnsi="Abadi"/>
          <w:sz w:val="21"/>
          <w:szCs w:val="21"/>
        </w:rPr>
        <w:t>IV. Contenido del Informe de Resultados:</w:t>
      </w:r>
    </w:p>
    <w:p w14:paraId="014E2BFD" w14:textId="77777777" w:rsidR="00BE29B9" w:rsidRPr="007C501A" w:rsidRDefault="00BE29B9" w:rsidP="00BE29B9">
      <w:pPr>
        <w:pStyle w:val="Textoindependiente"/>
        <w:rPr>
          <w:rFonts w:ascii="Abadi" w:hAnsi="Abadi"/>
          <w:sz w:val="21"/>
          <w:szCs w:val="21"/>
        </w:rPr>
      </w:pPr>
    </w:p>
    <w:p w14:paraId="2EFA31E6" w14:textId="77777777" w:rsidR="00BE29B9" w:rsidRPr="007C501A" w:rsidRDefault="00BE29B9" w:rsidP="00BE29B9">
      <w:pPr>
        <w:pStyle w:val="Textoindependiente"/>
        <w:rPr>
          <w:rFonts w:ascii="Abadi" w:hAnsi="Abadi"/>
          <w:b w:val="0"/>
          <w:bCs w:val="0"/>
          <w:sz w:val="21"/>
          <w:szCs w:val="21"/>
        </w:rPr>
      </w:pPr>
      <w:r w:rsidRPr="007C501A">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4F5905BE" w14:textId="77777777" w:rsidR="00BE29B9" w:rsidRPr="007C501A" w:rsidRDefault="00BE29B9" w:rsidP="00BE29B9">
      <w:pPr>
        <w:pStyle w:val="Textoindependiente"/>
        <w:rPr>
          <w:rFonts w:ascii="Abadi" w:hAnsi="Abadi"/>
          <w:b w:val="0"/>
          <w:bCs w:val="0"/>
          <w:sz w:val="21"/>
          <w:szCs w:val="21"/>
        </w:rPr>
      </w:pPr>
    </w:p>
    <w:p w14:paraId="253E306A" w14:textId="77777777" w:rsidR="00BE29B9" w:rsidRPr="007C501A" w:rsidRDefault="00BE29B9" w:rsidP="00427BD6">
      <w:pPr>
        <w:pStyle w:val="Textoindependiente"/>
        <w:numPr>
          <w:ilvl w:val="0"/>
          <w:numId w:val="9"/>
        </w:numPr>
        <w:autoSpaceDE/>
        <w:autoSpaceDN/>
        <w:rPr>
          <w:rFonts w:ascii="Abadi" w:hAnsi="Abadi"/>
          <w:sz w:val="21"/>
          <w:szCs w:val="21"/>
        </w:rPr>
      </w:pPr>
      <w:r w:rsidRPr="007C501A">
        <w:rPr>
          <w:rFonts w:ascii="Abadi" w:hAnsi="Abadi"/>
          <w:sz w:val="21"/>
          <w:szCs w:val="21"/>
        </w:rPr>
        <w:t>Introducción.</w:t>
      </w:r>
    </w:p>
    <w:p w14:paraId="5DD42155" w14:textId="77777777" w:rsidR="00BE29B9" w:rsidRPr="007C501A" w:rsidRDefault="00BE29B9" w:rsidP="00BE29B9">
      <w:pPr>
        <w:pStyle w:val="Textoindependiente"/>
        <w:ind w:left="705"/>
        <w:rPr>
          <w:rFonts w:ascii="Abadi" w:hAnsi="Abadi"/>
          <w:b w:val="0"/>
          <w:bCs w:val="0"/>
          <w:sz w:val="21"/>
          <w:szCs w:val="21"/>
        </w:rPr>
      </w:pPr>
    </w:p>
    <w:p w14:paraId="2E0F9704"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272145D4" w14:textId="77777777" w:rsidR="00BE29B9" w:rsidRPr="007C501A" w:rsidRDefault="00BE29B9" w:rsidP="00BE29B9">
      <w:pPr>
        <w:pStyle w:val="Textoindependiente"/>
        <w:ind w:firstLine="705"/>
        <w:rPr>
          <w:rFonts w:ascii="Abadi" w:hAnsi="Abadi"/>
          <w:b w:val="0"/>
          <w:bCs w:val="0"/>
          <w:sz w:val="21"/>
          <w:szCs w:val="21"/>
        </w:rPr>
      </w:pPr>
    </w:p>
    <w:p w14:paraId="42809388"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59A8A71D" w14:textId="77777777" w:rsidR="00BE29B9" w:rsidRPr="007C501A" w:rsidRDefault="00BE29B9" w:rsidP="00BE29B9">
      <w:pPr>
        <w:pStyle w:val="Textoindependiente"/>
        <w:ind w:firstLine="705"/>
        <w:rPr>
          <w:rFonts w:ascii="Abadi" w:hAnsi="Abadi"/>
          <w:b w:val="0"/>
          <w:bCs w:val="0"/>
          <w:sz w:val="21"/>
          <w:szCs w:val="21"/>
        </w:rPr>
      </w:pPr>
    </w:p>
    <w:p w14:paraId="361FF427"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02E6563C" w14:textId="77777777" w:rsidR="00BE29B9" w:rsidRPr="009F3E65" w:rsidRDefault="00BE29B9" w:rsidP="00BE29B9">
      <w:pPr>
        <w:jc w:val="both"/>
        <w:rPr>
          <w:rFonts w:ascii="Abadi" w:hAnsi="Abadi" w:cs="Arial"/>
          <w:i/>
          <w:iCs/>
          <w:sz w:val="21"/>
          <w:szCs w:val="21"/>
          <w:lang w:eastAsia="x-none"/>
        </w:rPr>
      </w:pPr>
    </w:p>
    <w:p w14:paraId="5986FC02" w14:textId="77777777" w:rsidR="00BE29B9" w:rsidRPr="009F3E65" w:rsidRDefault="00BE29B9" w:rsidP="00BE29B9">
      <w:pPr>
        <w:jc w:val="both"/>
        <w:rPr>
          <w:rFonts w:ascii="Abadi" w:hAnsi="Abadi" w:cs="Arial"/>
          <w:i/>
          <w:iCs/>
          <w:sz w:val="21"/>
          <w:szCs w:val="21"/>
          <w:lang w:eastAsia="x-none"/>
        </w:rPr>
      </w:pPr>
      <w:r w:rsidRPr="009F3E65">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A7ECC1F" w14:textId="77777777" w:rsidR="00BE29B9" w:rsidRPr="009F3E65" w:rsidRDefault="00BE29B9" w:rsidP="00BE29B9">
      <w:pPr>
        <w:rPr>
          <w:rFonts w:ascii="Abadi" w:hAnsi="Abadi" w:cs="Arial"/>
          <w:i/>
          <w:iCs/>
          <w:sz w:val="21"/>
          <w:szCs w:val="21"/>
          <w:lang w:eastAsia="x-none"/>
        </w:rPr>
      </w:pPr>
    </w:p>
    <w:p w14:paraId="5D698140" w14:textId="77777777" w:rsidR="00BE29B9" w:rsidRPr="009F3E65" w:rsidRDefault="00BE29B9" w:rsidP="00BE29B9">
      <w:pPr>
        <w:jc w:val="both"/>
        <w:rPr>
          <w:rFonts w:ascii="Abadi" w:hAnsi="Abadi" w:cs="Arial"/>
          <w:i/>
          <w:iCs/>
          <w:sz w:val="21"/>
          <w:szCs w:val="21"/>
          <w:lang w:eastAsia="x-none"/>
        </w:rPr>
      </w:pPr>
      <w:r w:rsidRPr="009F3E65">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39052BC" w14:textId="77777777" w:rsidR="00BE29B9" w:rsidRPr="009F3E65" w:rsidRDefault="00BE29B9" w:rsidP="00BE29B9">
      <w:pPr>
        <w:jc w:val="both"/>
        <w:rPr>
          <w:rFonts w:ascii="Abadi" w:hAnsi="Abadi" w:cs="Arial"/>
          <w:i/>
          <w:iCs/>
          <w:sz w:val="21"/>
          <w:szCs w:val="21"/>
          <w:lang w:eastAsia="x-none"/>
        </w:rPr>
      </w:pPr>
    </w:p>
    <w:p w14:paraId="42C2D202" w14:textId="77777777" w:rsidR="00BE29B9" w:rsidRPr="009F3E65" w:rsidRDefault="00BE29B9" w:rsidP="00BE29B9">
      <w:pPr>
        <w:jc w:val="both"/>
        <w:rPr>
          <w:rFonts w:ascii="Abadi" w:hAnsi="Abadi" w:cs="Arial"/>
          <w:i/>
          <w:iCs/>
          <w:sz w:val="21"/>
          <w:szCs w:val="21"/>
          <w:lang w:eastAsia="x-none"/>
        </w:rPr>
      </w:pPr>
      <w:r w:rsidRPr="009F3E65">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6FF7D27" w14:textId="77777777" w:rsidR="00BE29B9" w:rsidRPr="009F3E65" w:rsidRDefault="00BE29B9" w:rsidP="00BE29B9">
      <w:pPr>
        <w:jc w:val="both"/>
        <w:rPr>
          <w:rFonts w:ascii="Abadi" w:hAnsi="Abadi" w:cs="Arial"/>
          <w:i/>
          <w:iCs/>
          <w:sz w:val="21"/>
          <w:szCs w:val="21"/>
          <w:lang w:eastAsia="x-none"/>
        </w:rPr>
      </w:pPr>
    </w:p>
    <w:p w14:paraId="5271269F" w14:textId="77777777" w:rsidR="00BE29B9" w:rsidRPr="009F3E65" w:rsidRDefault="00BE29B9" w:rsidP="00BE29B9">
      <w:pPr>
        <w:ind w:firstLine="705"/>
        <w:jc w:val="both"/>
        <w:rPr>
          <w:rFonts w:ascii="Abadi" w:hAnsi="Abadi" w:cs="Arial"/>
          <w:sz w:val="21"/>
          <w:szCs w:val="21"/>
          <w:lang w:eastAsia="x-none"/>
        </w:rPr>
      </w:pPr>
      <w:r w:rsidRPr="009F3E65">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9F3E65">
        <w:rPr>
          <w:rFonts w:ascii="Abadi" w:hAnsi="Abadi" w:cs="Arial"/>
          <w:sz w:val="21"/>
          <w:szCs w:val="21"/>
          <w:lang w:eastAsia="x-none"/>
        </w:rPr>
        <w:t>fiscalizado</w:t>
      </w:r>
      <w:proofErr w:type="spellEnd"/>
      <w:r w:rsidRPr="009F3E65">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9F3E65">
        <w:rPr>
          <w:rFonts w:ascii="Abadi" w:hAnsi="Abadi" w:cs="Arial"/>
          <w:i/>
          <w:iCs/>
          <w:sz w:val="21"/>
          <w:szCs w:val="21"/>
          <w:lang w:eastAsia="x-none"/>
        </w:rPr>
        <w:t>«Definitivos»,</w:t>
      </w:r>
      <w:r w:rsidRPr="009F3E65">
        <w:rPr>
          <w:rFonts w:ascii="Abadi" w:hAnsi="Abadi" w:cs="Arial"/>
          <w:sz w:val="21"/>
          <w:szCs w:val="21"/>
          <w:lang w:eastAsia="x-none"/>
        </w:rPr>
        <w:t xml:space="preserve"> emitidas por el Servicio de Administración Tributaria.</w:t>
      </w:r>
    </w:p>
    <w:p w14:paraId="59E3795A" w14:textId="77777777" w:rsidR="00BE29B9" w:rsidRPr="009F3E65" w:rsidRDefault="00BE29B9" w:rsidP="00BE29B9">
      <w:pPr>
        <w:pStyle w:val="Textoindependiente"/>
        <w:ind w:firstLine="705"/>
        <w:rPr>
          <w:rFonts w:ascii="Abadi" w:hAnsi="Abadi"/>
          <w:sz w:val="21"/>
          <w:szCs w:val="21"/>
        </w:rPr>
      </w:pPr>
    </w:p>
    <w:p w14:paraId="06B35880" w14:textId="77777777" w:rsidR="00BE29B9" w:rsidRPr="009F3E65" w:rsidRDefault="00BE29B9" w:rsidP="00BE29B9">
      <w:pPr>
        <w:ind w:firstLine="705"/>
        <w:jc w:val="both"/>
        <w:rPr>
          <w:rFonts w:ascii="Abadi" w:hAnsi="Abadi" w:cs="Arial"/>
          <w:sz w:val="21"/>
          <w:szCs w:val="21"/>
          <w:lang w:eastAsia="x-none"/>
        </w:rPr>
      </w:pPr>
      <w:r w:rsidRPr="009F3E65">
        <w:rPr>
          <w:rFonts w:ascii="Abadi" w:hAnsi="Abadi" w:cs="Arial"/>
          <w:sz w:val="21"/>
          <w:szCs w:val="21"/>
          <w:lang w:eastAsia="x-none"/>
        </w:rPr>
        <w:lastRenderedPageBreak/>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9F3E65">
        <w:rPr>
          <w:rFonts w:ascii="Abadi" w:hAnsi="Abadi" w:cs="Arial"/>
          <w:sz w:val="21"/>
          <w:szCs w:val="21"/>
          <w:lang w:eastAsia="x-none"/>
        </w:rPr>
        <w:t>fiscalizado</w:t>
      </w:r>
      <w:proofErr w:type="spellEnd"/>
      <w:r w:rsidRPr="009F3E65">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956E212" w14:textId="77777777" w:rsidR="00BE29B9" w:rsidRPr="009F3E65" w:rsidRDefault="00BE29B9" w:rsidP="00BE29B9">
      <w:pPr>
        <w:ind w:firstLine="705"/>
        <w:jc w:val="both"/>
        <w:rPr>
          <w:rFonts w:ascii="Abadi" w:hAnsi="Abadi" w:cs="Arial"/>
          <w:sz w:val="21"/>
          <w:szCs w:val="21"/>
          <w:lang w:eastAsia="x-none"/>
        </w:rPr>
      </w:pPr>
    </w:p>
    <w:p w14:paraId="052B8F87" w14:textId="77777777" w:rsidR="00BE29B9" w:rsidRPr="009F3E65" w:rsidRDefault="00BE29B9" w:rsidP="00BE29B9">
      <w:pPr>
        <w:ind w:firstLine="705"/>
        <w:jc w:val="both"/>
        <w:rPr>
          <w:rFonts w:ascii="Abadi" w:hAnsi="Abadi" w:cs="Arial"/>
          <w:sz w:val="21"/>
          <w:szCs w:val="21"/>
          <w:lang w:eastAsia="x-none"/>
        </w:rPr>
      </w:pPr>
    </w:p>
    <w:p w14:paraId="732DF05A" w14:textId="77777777" w:rsidR="00BE29B9" w:rsidRPr="009F3E65" w:rsidRDefault="00BE29B9" w:rsidP="00BE29B9">
      <w:pPr>
        <w:ind w:firstLine="705"/>
        <w:jc w:val="both"/>
        <w:rPr>
          <w:rFonts w:ascii="Abadi" w:hAnsi="Abadi" w:cs="Arial"/>
          <w:sz w:val="21"/>
          <w:szCs w:val="21"/>
          <w:lang w:val="es-MX" w:eastAsia="x-none"/>
        </w:rPr>
      </w:pPr>
      <w:r w:rsidRPr="009F3E65">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w:t>
      </w:r>
      <w:r w:rsidRPr="009F3E65">
        <w:rPr>
          <w:rFonts w:ascii="Abadi" w:hAnsi="Abadi" w:cs="Arial"/>
          <w:sz w:val="21"/>
          <w:szCs w:val="21"/>
          <w:lang w:val="es-MX" w:eastAsia="x-none"/>
        </w:rPr>
        <w:t xml:space="preserve">prestaron servicios al ente </w:t>
      </w:r>
      <w:proofErr w:type="spellStart"/>
      <w:r w:rsidRPr="009F3E65">
        <w:rPr>
          <w:rFonts w:ascii="Abadi" w:hAnsi="Abadi" w:cs="Arial"/>
          <w:sz w:val="21"/>
          <w:szCs w:val="21"/>
          <w:lang w:val="es-MX" w:eastAsia="x-none"/>
        </w:rPr>
        <w:t>fiscalizado</w:t>
      </w:r>
      <w:proofErr w:type="spellEnd"/>
      <w:r w:rsidRPr="009F3E65">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9F3E65">
        <w:rPr>
          <w:rFonts w:ascii="Abadi" w:hAnsi="Abadi" w:cs="Arial"/>
          <w:sz w:val="21"/>
          <w:szCs w:val="21"/>
          <w:lang w:val="es-MX" w:eastAsia="x-none"/>
        </w:rPr>
        <w:t>fiscalizado</w:t>
      </w:r>
      <w:proofErr w:type="spellEnd"/>
      <w:r w:rsidRPr="009F3E65">
        <w:rPr>
          <w:rFonts w:ascii="Abadi" w:hAnsi="Abadi" w:cs="Arial"/>
          <w:sz w:val="21"/>
          <w:szCs w:val="21"/>
          <w:lang w:val="es-MX" w:eastAsia="x-none"/>
        </w:rPr>
        <w:t>.</w:t>
      </w:r>
    </w:p>
    <w:p w14:paraId="446AA362" w14:textId="77777777" w:rsidR="00BE29B9" w:rsidRPr="009F3E65" w:rsidRDefault="00BE29B9" w:rsidP="00BE29B9">
      <w:pPr>
        <w:ind w:firstLine="705"/>
        <w:jc w:val="both"/>
        <w:rPr>
          <w:rFonts w:ascii="Abadi" w:hAnsi="Abadi" w:cs="Arial"/>
          <w:sz w:val="21"/>
          <w:szCs w:val="21"/>
          <w:lang w:val="es-MX" w:eastAsia="x-none"/>
        </w:rPr>
      </w:pPr>
    </w:p>
    <w:p w14:paraId="4A0AB5A7" w14:textId="77777777" w:rsidR="00BE29B9" w:rsidRPr="009F3E65" w:rsidRDefault="00BE29B9" w:rsidP="00BE29B9">
      <w:pPr>
        <w:ind w:firstLine="705"/>
        <w:jc w:val="both"/>
        <w:rPr>
          <w:rFonts w:ascii="Abadi" w:hAnsi="Abadi" w:cs="Arial"/>
          <w:sz w:val="21"/>
          <w:szCs w:val="21"/>
          <w:lang w:val="es-MX" w:eastAsia="x-none"/>
        </w:rPr>
      </w:pPr>
      <w:r w:rsidRPr="009F3E65">
        <w:rPr>
          <w:rFonts w:ascii="Abadi" w:hAnsi="Abadi" w:cs="Arial"/>
          <w:sz w:val="21"/>
          <w:szCs w:val="21"/>
          <w:lang w:val="es-MX" w:eastAsia="x-none"/>
        </w:rPr>
        <w:t xml:space="preserve">Adicionalmente, se analizó el informe general del proceso de entrega recepción 2021 de la administración pública municipal de Santa Cruz de Juventino Rosas, </w:t>
      </w:r>
      <w:proofErr w:type="spellStart"/>
      <w:r w:rsidRPr="009F3E65">
        <w:rPr>
          <w:rFonts w:ascii="Abadi" w:hAnsi="Abadi" w:cs="Arial"/>
          <w:sz w:val="21"/>
          <w:szCs w:val="21"/>
          <w:lang w:val="es-MX" w:eastAsia="x-none"/>
        </w:rPr>
        <w:t>Gto</w:t>
      </w:r>
      <w:proofErr w:type="spellEnd"/>
      <w:r w:rsidRPr="009F3E65">
        <w:rPr>
          <w:rFonts w:ascii="Abadi" w:hAnsi="Abadi" w:cs="Arial"/>
          <w:sz w:val="21"/>
          <w:szCs w:val="21"/>
          <w:lang w:val="es-MX" w:eastAsia="x-none"/>
        </w:rPr>
        <w:t xml:space="preserve">., y en su caso se aplicaron los procedimientos de auditoría correspondientes.  </w:t>
      </w:r>
    </w:p>
    <w:p w14:paraId="17E79359" w14:textId="77777777" w:rsidR="00BE29B9" w:rsidRPr="009F3E65" w:rsidRDefault="00BE29B9" w:rsidP="00BE29B9">
      <w:pPr>
        <w:ind w:firstLine="705"/>
        <w:jc w:val="both"/>
        <w:rPr>
          <w:rFonts w:ascii="Abadi" w:hAnsi="Abadi" w:cs="Arial"/>
          <w:sz w:val="21"/>
          <w:szCs w:val="21"/>
          <w:lang w:val="es-MX" w:eastAsia="x-none"/>
        </w:rPr>
      </w:pPr>
    </w:p>
    <w:p w14:paraId="2A0C8258" w14:textId="77777777" w:rsidR="00BE29B9" w:rsidRPr="009F3E65" w:rsidRDefault="00BE29B9" w:rsidP="00BE29B9">
      <w:pPr>
        <w:ind w:firstLine="705"/>
        <w:jc w:val="both"/>
        <w:rPr>
          <w:rFonts w:ascii="Abadi" w:hAnsi="Abadi" w:cs="Arial"/>
          <w:sz w:val="21"/>
          <w:szCs w:val="21"/>
          <w:lang w:val="es-MX" w:eastAsia="x-none"/>
        </w:rPr>
      </w:pPr>
      <w:r w:rsidRPr="009F3E65">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Santa Cruz de Juventino Rosas, </w:t>
      </w:r>
      <w:proofErr w:type="spellStart"/>
      <w:r w:rsidRPr="009F3E65">
        <w:rPr>
          <w:rFonts w:ascii="Abadi" w:hAnsi="Abadi" w:cs="Arial"/>
          <w:sz w:val="21"/>
          <w:szCs w:val="21"/>
          <w:lang w:val="es-MX" w:eastAsia="x-none"/>
        </w:rPr>
        <w:t>Gto</w:t>
      </w:r>
      <w:proofErr w:type="spellEnd"/>
      <w:r w:rsidRPr="009F3E65">
        <w:rPr>
          <w:rFonts w:ascii="Abadi" w:hAnsi="Abadi" w:cs="Arial"/>
          <w:sz w:val="21"/>
          <w:szCs w:val="21"/>
          <w:lang w:val="es-MX" w:eastAsia="x-none"/>
        </w:rPr>
        <w:t>., cumplió con las disposiciones normativas aplicables, excepto por los resultados que se precisan en el informe de resultados. Asimismo, se refiere que se presentaron limitantes al alcance de la revisión que se refiere a la aplicación de los procedimientos de aplazamiento en la realización de inspecciones físicas, confirmaciones y actas circunstanciadas de hechos.</w:t>
      </w:r>
    </w:p>
    <w:p w14:paraId="3CF1289C" w14:textId="77777777" w:rsidR="00BE29B9" w:rsidRPr="009F3E65" w:rsidRDefault="00BE29B9" w:rsidP="00BE29B9">
      <w:pPr>
        <w:ind w:firstLine="705"/>
        <w:jc w:val="both"/>
        <w:rPr>
          <w:rFonts w:ascii="Abadi" w:hAnsi="Abadi" w:cs="Arial"/>
          <w:sz w:val="21"/>
          <w:szCs w:val="21"/>
          <w:lang w:val="es-MX" w:eastAsia="x-none"/>
        </w:rPr>
      </w:pPr>
    </w:p>
    <w:p w14:paraId="0AAFBCD2"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mismas que no fueron solventadas. </w:t>
      </w:r>
    </w:p>
    <w:p w14:paraId="12EB7718" w14:textId="77777777" w:rsidR="00BE29B9" w:rsidRPr="007C501A" w:rsidRDefault="00BE29B9" w:rsidP="00BE29B9">
      <w:pPr>
        <w:pStyle w:val="Textoindependiente"/>
        <w:ind w:firstLine="705"/>
        <w:rPr>
          <w:rFonts w:ascii="Abadi" w:hAnsi="Abadi"/>
          <w:b w:val="0"/>
          <w:bCs w:val="0"/>
          <w:sz w:val="21"/>
          <w:szCs w:val="21"/>
        </w:rPr>
      </w:pPr>
    </w:p>
    <w:p w14:paraId="6E448D09"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003, existe un importe no solventado por la cuantía que ahí se refiere. </w:t>
      </w:r>
    </w:p>
    <w:p w14:paraId="7334E09A" w14:textId="77777777" w:rsidR="00BE29B9" w:rsidRPr="009F3E65" w:rsidRDefault="00BE29B9" w:rsidP="00BE29B9">
      <w:pPr>
        <w:pStyle w:val="Textoindependiente"/>
        <w:ind w:firstLine="705"/>
        <w:rPr>
          <w:rFonts w:ascii="Abadi" w:hAnsi="Abadi"/>
          <w:sz w:val="21"/>
          <w:szCs w:val="21"/>
        </w:rPr>
      </w:pPr>
    </w:p>
    <w:p w14:paraId="4E995F64"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lastRenderedPageBreak/>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7C501A">
        <w:rPr>
          <w:rFonts w:ascii="Abadi" w:hAnsi="Abadi"/>
          <w:b w:val="0"/>
          <w:bCs w:val="0"/>
          <w:i/>
          <w:iCs/>
          <w:sz w:val="21"/>
          <w:szCs w:val="21"/>
        </w:rPr>
        <w:t>Definitivos»</w:t>
      </w:r>
      <w:r w:rsidRPr="007C501A">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6CED6B72" w14:textId="77777777" w:rsidR="00BE29B9" w:rsidRPr="009F3E65" w:rsidRDefault="00BE29B9" w:rsidP="00BE29B9">
      <w:pPr>
        <w:pStyle w:val="Textoindependiente"/>
        <w:ind w:firstLine="705"/>
        <w:rPr>
          <w:rFonts w:ascii="Abadi" w:hAnsi="Abadi"/>
          <w:sz w:val="21"/>
          <w:szCs w:val="21"/>
        </w:rPr>
      </w:pPr>
    </w:p>
    <w:p w14:paraId="6B3FF8BC" w14:textId="77777777" w:rsidR="00BE29B9" w:rsidRPr="009F3E65" w:rsidRDefault="00BE29B9" w:rsidP="00427BD6">
      <w:pPr>
        <w:pStyle w:val="Textoindependiente"/>
        <w:numPr>
          <w:ilvl w:val="0"/>
          <w:numId w:val="9"/>
        </w:numPr>
        <w:tabs>
          <w:tab w:val="clear" w:pos="1065"/>
          <w:tab w:val="num" w:pos="0"/>
        </w:tabs>
        <w:autoSpaceDE/>
        <w:autoSpaceDN/>
        <w:rPr>
          <w:rFonts w:ascii="Abadi" w:hAnsi="Abadi"/>
          <w:b w:val="0"/>
          <w:bCs w:val="0"/>
          <w:sz w:val="21"/>
          <w:szCs w:val="21"/>
        </w:rPr>
      </w:pPr>
      <w:r w:rsidRPr="007C501A">
        <w:rPr>
          <w:rFonts w:ascii="Abadi" w:hAnsi="Abadi"/>
          <w:sz w:val="21"/>
          <w:szCs w:val="21"/>
        </w:rPr>
        <w:t>Observaciones y recomendaciones, la respuesta emitida por el sujeto fiscalizado y la valoración correspondiente</w:t>
      </w:r>
      <w:r w:rsidRPr="009F3E65">
        <w:rPr>
          <w:rFonts w:ascii="Abadi" w:hAnsi="Abadi"/>
          <w:b w:val="0"/>
          <w:bCs w:val="0"/>
          <w:sz w:val="21"/>
          <w:szCs w:val="21"/>
        </w:rPr>
        <w:t xml:space="preserve">. </w:t>
      </w:r>
    </w:p>
    <w:p w14:paraId="10363C1C" w14:textId="77777777" w:rsidR="00BE29B9" w:rsidRPr="009F3E65" w:rsidRDefault="00BE29B9" w:rsidP="00BE29B9">
      <w:pPr>
        <w:pStyle w:val="Textoindependiente"/>
        <w:ind w:left="1065"/>
        <w:rPr>
          <w:rFonts w:ascii="Abadi" w:hAnsi="Abadi"/>
          <w:b w:val="0"/>
          <w:bCs w:val="0"/>
          <w:sz w:val="21"/>
          <w:szCs w:val="21"/>
        </w:rPr>
      </w:pPr>
    </w:p>
    <w:p w14:paraId="0BACC2BC"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En esta parte se desglosa la valoración de las observaciones formuladas por el Órgano Técnico, considerando como no solventadas las observaciones plasmadas en los numerales 001, referente a adquisición de camión tanque pipa; 002, correspondiente a adquisición de vehículos; y 003, relativo a contrato de prestación de servicios profesionales </w:t>
      </w:r>
      <w:bookmarkStart w:id="26" w:name="_Hlk125462946"/>
      <w:r w:rsidRPr="007C501A">
        <w:rPr>
          <w:rFonts w:ascii="Abadi" w:hAnsi="Abadi"/>
          <w:b w:val="0"/>
          <w:bCs w:val="0"/>
          <w:sz w:val="21"/>
          <w:szCs w:val="21"/>
        </w:rPr>
        <w:t>AJ/2021-038</w:t>
      </w:r>
      <w:bookmarkEnd w:id="26"/>
      <w:r w:rsidRPr="007C501A">
        <w:rPr>
          <w:rFonts w:ascii="Abadi" w:hAnsi="Abadi"/>
          <w:b w:val="0"/>
          <w:bCs w:val="0"/>
          <w:sz w:val="21"/>
          <w:szCs w:val="21"/>
        </w:rPr>
        <w:t>.</w:t>
      </w:r>
    </w:p>
    <w:p w14:paraId="7DB7617D" w14:textId="77777777" w:rsidR="00BE29B9" w:rsidRPr="009F3E65" w:rsidRDefault="00BE29B9" w:rsidP="00BE29B9">
      <w:pPr>
        <w:pStyle w:val="Textoindependiente"/>
        <w:ind w:firstLine="705"/>
        <w:rPr>
          <w:rFonts w:ascii="Abadi" w:hAnsi="Abadi"/>
          <w:sz w:val="21"/>
          <w:szCs w:val="21"/>
        </w:rPr>
      </w:pPr>
    </w:p>
    <w:p w14:paraId="7F23E547" w14:textId="77777777" w:rsidR="00BE29B9" w:rsidRPr="007C501A" w:rsidRDefault="00BE29B9" w:rsidP="00BE29B9">
      <w:pPr>
        <w:pStyle w:val="Textoindependiente"/>
        <w:ind w:firstLine="705"/>
        <w:rPr>
          <w:rFonts w:ascii="Abadi" w:hAnsi="Abadi" w:cs="ArialNarrow"/>
          <w:b w:val="0"/>
          <w:bCs w:val="0"/>
          <w:sz w:val="21"/>
          <w:szCs w:val="21"/>
          <w:lang w:eastAsia="es-MX"/>
        </w:rPr>
      </w:pPr>
      <w:r w:rsidRPr="007C501A">
        <w:rPr>
          <w:rFonts w:ascii="Abadi" w:hAnsi="Abadi"/>
          <w:b w:val="0"/>
          <w:bCs w:val="0"/>
          <w:sz w:val="21"/>
          <w:szCs w:val="21"/>
        </w:rPr>
        <w:t xml:space="preserve">En el apartado de Recomendaciones Generales, se establece que </w:t>
      </w:r>
      <w:r w:rsidRPr="007C501A">
        <w:rPr>
          <w:rFonts w:ascii="Abadi" w:hAnsi="Abadi" w:cs="ArialNarrow"/>
          <w:b w:val="0"/>
          <w:bCs w:val="0"/>
          <w:sz w:val="21"/>
          <w:szCs w:val="21"/>
          <w:lang w:eastAsia="es-MX"/>
        </w:rPr>
        <w:t>del proceso de fiscalización efectuado no se desprendieron recomendaciones.</w:t>
      </w:r>
    </w:p>
    <w:p w14:paraId="1F1FD226" w14:textId="77777777" w:rsidR="00BE29B9" w:rsidRPr="009F3E65" w:rsidRDefault="00BE29B9" w:rsidP="00BE29B9">
      <w:pPr>
        <w:pStyle w:val="Textoindependiente"/>
        <w:ind w:firstLine="705"/>
        <w:rPr>
          <w:rFonts w:ascii="Abadi" w:hAnsi="Abadi"/>
          <w:sz w:val="21"/>
          <w:szCs w:val="21"/>
        </w:rPr>
      </w:pPr>
    </w:p>
    <w:p w14:paraId="22CDD14D" w14:textId="77777777" w:rsidR="00BE29B9" w:rsidRPr="007C501A" w:rsidRDefault="00BE29B9" w:rsidP="00427BD6">
      <w:pPr>
        <w:pStyle w:val="Textoindependiente"/>
        <w:numPr>
          <w:ilvl w:val="0"/>
          <w:numId w:val="9"/>
        </w:numPr>
        <w:autoSpaceDE/>
        <w:autoSpaceDN/>
        <w:rPr>
          <w:rFonts w:ascii="Abadi" w:hAnsi="Abadi"/>
          <w:sz w:val="21"/>
          <w:szCs w:val="21"/>
        </w:rPr>
      </w:pPr>
      <w:r w:rsidRPr="007C501A">
        <w:rPr>
          <w:rFonts w:ascii="Abadi" w:hAnsi="Abadi"/>
          <w:sz w:val="21"/>
          <w:szCs w:val="21"/>
        </w:rPr>
        <w:t xml:space="preserve">Promoción del ejercicio de facultades de comprobación fiscal. </w:t>
      </w:r>
    </w:p>
    <w:p w14:paraId="4CE3341D" w14:textId="77777777" w:rsidR="00BE29B9" w:rsidRPr="009F3E65" w:rsidRDefault="00BE29B9" w:rsidP="00BE29B9">
      <w:pPr>
        <w:pStyle w:val="Textoindependiente"/>
        <w:ind w:firstLine="705"/>
        <w:rPr>
          <w:rFonts w:ascii="Abadi" w:hAnsi="Abadi"/>
          <w:sz w:val="21"/>
          <w:szCs w:val="21"/>
        </w:rPr>
      </w:pPr>
    </w:p>
    <w:p w14:paraId="43531EC4"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w:t>
      </w:r>
      <w:r w:rsidRPr="007C501A">
        <w:rPr>
          <w:rFonts w:ascii="Abadi" w:hAnsi="Abadi"/>
          <w:b w:val="0"/>
          <w:bCs w:val="0"/>
          <w:sz w:val="21"/>
          <w:szCs w:val="21"/>
        </w:rPr>
        <w:t>Superior del Estado realizó el análisis correspondiente, del cual se concluyó que no es procedente la promoción del ejercicio de facultades de comprobación fiscal.</w:t>
      </w:r>
    </w:p>
    <w:p w14:paraId="66D0240F" w14:textId="77777777" w:rsidR="00BE29B9" w:rsidRPr="007C501A" w:rsidRDefault="00BE29B9" w:rsidP="00BE29B9">
      <w:pPr>
        <w:pStyle w:val="Textoindependiente"/>
        <w:ind w:firstLine="705"/>
        <w:rPr>
          <w:rFonts w:ascii="Abadi" w:hAnsi="Abadi"/>
          <w:b w:val="0"/>
          <w:bCs w:val="0"/>
          <w:sz w:val="21"/>
          <w:szCs w:val="21"/>
        </w:rPr>
      </w:pPr>
    </w:p>
    <w:p w14:paraId="77B37179" w14:textId="77777777" w:rsidR="00BE29B9" w:rsidRPr="009F3E65" w:rsidRDefault="00BE29B9" w:rsidP="00BE29B9">
      <w:pPr>
        <w:pStyle w:val="Textoindependiente"/>
        <w:ind w:firstLine="705"/>
        <w:rPr>
          <w:rFonts w:ascii="Abadi" w:hAnsi="Abadi"/>
          <w:sz w:val="21"/>
          <w:szCs w:val="21"/>
        </w:rPr>
      </w:pPr>
    </w:p>
    <w:p w14:paraId="3A1528CB" w14:textId="77777777" w:rsidR="00BE29B9" w:rsidRPr="007C501A" w:rsidRDefault="00BE29B9" w:rsidP="00427BD6">
      <w:pPr>
        <w:pStyle w:val="Textoindependiente"/>
        <w:numPr>
          <w:ilvl w:val="0"/>
          <w:numId w:val="9"/>
        </w:numPr>
        <w:autoSpaceDE/>
        <w:autoSpaceDN/>
        <w:rPr>
          <w:rFonts w:ascii="Abadi" w:hAnsi="Abadi"/>
          <w:sz w:val="21"/>
          <w:szCs w:val="21"/>
        </w:rPr>
      </w:pPr>
      <w:r w:rsidRPr="007C501A">
        <w:rPr>
          <w:rFonts w:ascii="Abadi" w:hAnsi="Abadi"/>
          <w:sz w:val="21"/>
          <w:szCs w:val="21"/>
        </w:rPr>
        <w:t>Comunicado ante órganos de control y autoridades que administran padrones de proveedores y contratistas.</w:t>
      </w:r>
    </w:p>
    <w:p w14:paraId="58CAB4B5" w14:textId="77777777" w:rsidR="00BE29B9" w:rsidRPr="009F3E65" w:rsidRDefault="00BE29B9" w:rsidP="00BE29B9">
      <w:pPr>
        <w:pStyle w:val="Textoindependiente"/>
        <w:ind w:firstLine="705"/>
        <w:rPr>
          <w:rFonts w:ascii="Abadi" w:hAnsi="Abadi"/>
          <w:sz w:val="21"/>
          <w:szCs w:val="21"/>
        </w:rPr>
      </w:pPr>
    </w:p>
    <w:p w14:paraId="73837019"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147061F3" w14:textId="77777777" w:rsidR="00BE29B9" w:rsidRPr="007C501A" w:rsidRDefault="00BE29B9" w:rsidP="00BE29B9">
      <w:pPr>
        <w:pStyle w:val="Textoindependiente"/>
        <w:ind w:firstLine="705"/>
        <w:rPr>
          <w:rFonts w:ascii="Abadi" w:hAnsi="Abadi"/>
          <w:b w:val="0"/>
          <w:bCs w:val="0"/>
          <w:sz w:val="21"/>
          <w:szCs w:val="21"/>
        </w:rPr>
      </w:pPr>
    </w:p>
    <w:p w14:paraId="366A6C4A" w14:textId="77777777" w:rsidR="00BE29B9" w:rsidRPr="007C501A" w:rsidRDefault="00BE29B9" w:rsidP="00427BD6">
      <w:pPr>
        <w:pStyle w:val="Textoindependiente"/>
        <w:numPr>
          <w:ilvl w:val="0"/>
          <w:numId w:val="9"/>
        </w:numPr>
        <w:autoSpaceDE/>
        <w:autoSpaceDN/>
        <w:rPr>
          <w:rFonts w:ascii="Abadi" w:hAnsi="Abadi"/>
          <w:sz w:val="21"/>
          <w:szCs w:val="21"/>
        </w:rPr>
      </w:pPr>
      <w:r w:rsidRPr="007C501A">
        <w:rPr>
          <w:rFonts w:ascii="Abadi" w:hAnsi="Abadi"/>
          <w:sz w:val="21"/>
          <w:szCs w:val="21"/>
        </w:rPr>
        <w:t xml:space="preserve">Recurso de Reconsideración. </w:t>
      </w:r>
    </w:p>
    <w:p w14:paraId="2BC91186" w14:textId="77777777" w:rsidR="00BE29B9" w:rsidRPr="009F3E65" w:rsidRDefault="00BE29B9" w:rsidP="00BE29B9">
      <w:pPr>
        <w:pStyle w:val="Textoindependiente"/>
        <w:ind w:left="705"/>
        <w:rPr>
          <w:rFonts w:ascii="Abadi" w:hAnsi="Abadi"/>
          <w:b w:val="0"/>
          <w:bCs w:val="0"/>
          <w:sz w:val="21"/>
          <w:szCs w:val="21"/>
        </w:rPr>
      </w:pPr>
    </w:p>
    <w:p w14:paraId="5BB215D3"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 xml:space="preserve">El 27 de marzo de 2023, dentro del plazo que prevé la fracción IV del artículo 37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el tesorero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interpuso recurso de reconsideración en contra del informe de resultados de la revisión practicada a la cuenta pública de dicho Municipio, correspondiente al ejercicio fiscal del año 2021, concretamente en contra de las observaciones establecidas en los numerales 001, referente a adquisición de camión tanque pipa; y 002, correspondiente a adquisición de vehículos, mismas que se encuentran relacionadas con el Capítulo II, denominado Observaciones y Recomendaciones; Respuesta Emitida por el Sujeto Fiscalizado y Valoración Correspondiente.</w:t>
      </w:r>
    </w:p>
    <w:p w14:paraId="59FC18D1" w14:textId="77777777" w:rsidR="00BE29B9" w:rsidRPr="009F3E65" w:rsidRDefault="00BE29B9" w:rsidP="00BE29B9">
      <w:pPr>
        <w:pStyle w:val="Textoindependiente"/>
        <w:ind w:firstLine="705"/>
        <w:rPr>
          <w:rFonts w:ascii="Abadi" w:hAnsi="Abadi"/>
          <w:sz w:val="21"/>
          <w:szCs w:val="21"/>
        </w:rPr>
      </w:pPr>
    </w:p>
    <w:p w14:paraId="3750E99C"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En tal sentido, mediante acuerdo de fecha 27 de marzo de 2023, emitido por el Director General de Asuntos Jurídicos de la </w:t>
      </w:r>
      <w:r w:rsidRPr="007C501A">
        <w:rPr>
          <w:rFonts w:ascii="Abadi" w:hAnsi="Abadi"/>
          <w:b w:val="0"/>
          <w:bCs w:val="0"/>
          <w:sz w:val="21"/>
          <w:szCs w:val="21"/>
        </w:rPr>
        <w:lastRenderedPageBreak/>
        <w:t xml:space="preserve">Auditoría Superior del Estado de Guanajuato, se admitió el recurso de reconsideración, al colmarse los requisitos de procedibilidad previstos por el artículo 51 de </w:t>
      </w:r>
      <w:smartTag w:uri="urn:schemas-microsoft-com:office:smarttags" w:element="PersonName">
        <w:smartTagPr>
          <w:attr w:name="ProductID" w:val="la Ley"/>
        </w:smartTagPr>
        <w:r w:rsidRPr="007C501A">
          <w:rPr>
            <w:rFonts w:ascii="Abadi" w:hAnsi="Abadi"/>
            <w:b w:val="0"/>
            <w:bCs w:val="0"/>
            <w:sz w:val="21"/>
            <w:szCs w:val="21"/>
          </w:rPr>
          <w:t>la Ley</w:t>
        </w:r>
      </w:smartTag>
      <w:r w:rsidRPr="007C501A">
        <w:rPr>
          <w:rFonts w:ascii="Abadi" w:hAnsi="Abadi"/>
          <w:b w:val="0"/>
          <w:bCs w:val="0"/>
          <w:sz w:val="21"/>
          <w:szCs w:val="21"/>
        </w:rPr>
        <w:t xml:space="preserve"> de Fiscalización Superior del Estado de Guanajuato, instruyendo la integración del expediente y el registro correspondiente. </w:t>
      </w:r>
    </w:p>
    <w:p w14:paraId="361EDDCA" w14:textId="77777777" w:rsidR="00BE29B9" w:rsidRPr="009F3E65" w:rsidRDefault="00BE29B9" w:rsidP="00BE29B9">
      <w:pPr>
        <w:pStyle w:val="Textoindependiente"/>
        <w:ind w:firstLine="708"/>
        <w:rPr>
          <w:rFonts w:ascii="Abadi" w:hAnsi="Abadi"/>
          <w:sz w:val="21"/>
          <w:szCs w:val="21"/>
        </w:rPr>
      </w:pPr>
    </w:p>
    <w:p w14:paraId="50EF126F"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Una vez tramitado el recurso, el Auditor Superior del Estado, el 28 de marzo de 2023 emitió la resolución correspondiente, determinándose respecto a las observaciones plasmadas en los numerales 001 y 002, que los agravios hechos valer por el recurrente resultaron inoperantes por insuficientes, por los argumentos señalados en el considerando séptimo. En razón de lo cual, se confirmó el sentido de la valoración de las observaciones como no solventadas, sin acciones pendientes de realizar por el sujeto fiscalizado.</w:t>
      </w:r>
    </w:p>
    <w:p w14:paraId="7EA3087C" w14:textId="77777777" w:rsidR="00BE29B9" w:rsidRPr="007C501A" w:rsidRDefault="00BE29B9" w:rsidP="00BE29B9">
      <w:pPr>
        <w:pStyle w:val="Textoindependiente"/>
        <w:ind w:firstLine="708"/>
        <w:rPr>
          <w:rFonts w:ascii="Abadi" w:hAnsi="Abadi"/>
          <w:b w:val="0"/>
          <w:bCs w:val="0"/>
          <w:sz w:val="21"/>
          <w:szCs w:val="21"/>
        </w:rPr>
      </w:pPr>
    </w:p>
    <w:p w14:paraId="4F8966EC" w14:textId="77777777" w:rsidR="00BE29B9" w:rsidRPr="007C501A" w:rsidRDefault="00BE29B9" w:rsidP="00BE29B9">
      <w:pPr>
        <w:pStyle w:val="Textoindependiente"/>
        <w:ind w:firstLine="708"/>
        <w:rPr>
          <w:rFonts w:ascii="Abadi" w:hAnsi="Abadi"/>
          <w:b w:val="0"/>
          <w:bCs w:val="0"/>
          <w:sz w:val="21"/>
          <w:szCs w:val="21"/>
        </w:rPr>
      </w:pPr>
      <w:r w:rsidRPr="007C501A">
        <w:rPr>
          <w:rFonts w:ascii="Abadi" w:hAnsi="Abadi"/>
          <w:b w:val="0"/>
          <w:bCs w:val="0"/>
          <w:sz w:val="21"/>
          <w:szCs w:val="21"/>
        </w:rPr>
        <w:t xml:space="preserve">La referida resolución se notificó al tesorero municipal de Santa Cruz de Juventino Rosas, </w:t>
      </w:r>
      <w:proofErr w:type="spellStart"/>
      <w:r w:rsidRPr="007C501A">
        <w:rPr>
          <w:rFonts w:ascii="Abadi" w:hAnsi="Abadi"/>
          <w:b w:val="0"/>
          <w:bCs w:val="0"/>
          <w:sz w:val="21"/>
          <w:szCs w:val="21"/>
        </w:rPr>
        <w:t>Gto</w:t>
      </w:r>
      <w:proofErr w:type="spellEnd"/>
      <w:r w:rsidRPr="007C501A">
        <w:rPr>
          <w:rFonts w:ascii="Abadi" w:hAnsi="Abadi"/>
          <w:b w:val="0"/>
          <w:bCs w:val="0"/>
          <w:sz w:val="21"/>
          <w:szCs w:val="21"/>
        </w:rPr>
        <w:t>., el 29 de marzo de 2023.</w:t>
      </w:r>
    </w:p>
    <w:p w14:paraId="653E3889" w14:textId="77777777" w:rsidR="00BE29B9" w:rsidRPr="009F3E65" w:rsidRDefault="00BE29B9" w:rsidP="00BE29B9">
      <w:pPr>
        <w:pStyle w:val="Textoindependiente"/>
        <w:ind w:firstLine="705"/>
        <w:rPr>
          <w:rFonts w:ascii="Abadi" w:hAnsi="Abadi"/>
          <w:sz w:val="21"/>
          <w:szCs w:val="21"/>
        </w:rPr>
      </w:pPr>
    </w:p>
    <w:p w14:paraId="1F0BC094" w14:textId="77777777" w:rsidR="00BE29B9" w:rsidRPr="007C501A" w:rsidRDefault="00BE29B9" w:rsidP="00427BD6">
      <w:pPr>
        <w:pStyle w:val="Textoindependiente"/>
        <w:numPr>
          <w:ilvl w:val="0"/>
          <w:numId w:val="9"/>
        </w:numPr>
        <w:autoSpaceDE/>
        <w:autoSpaceDN/>
        <w:rPr>
          <w:rFonts w:ascii="Abadi" w:hAnsi="Abadi"/>
          <w:sz w:val="21"/>
          <w:szCs w:val="21"/>
        </w:rPr>
      </w:pPr>
      <w:r w:rsidRPr="007C501A">
        <w:rPr>
          <w:rFonts w:ascii="Abadi" w:hAnsi="Abadi"/>
          <w:sz w:val="21"/>
          <w:szCs w:val="21"/>
        </w:rPr>
        <w:t xml:space="preserve">Anexos. </w:t>
      </w:r>
    </w:p>
    <w:p w14:paraId="20E7BB52" w14:textId="77777777" w:rsidR="00BE29B9" w:rsidRPr="009F3E65" w:rsidRDefault="00BE29B9" w:rsidP="00BE29B9">
      <w:pPr>
        <w:pStyle w:val="Textoindependiente"/>
        <w:ind w:firstLine="705"/>
        <w:rPr>
          <w:rFonts w:ascii="Abadi" w:hAnsi="Abadi"/>
          <w:sz w:val="21"/>
          <w:szCs w:val="21"/>
        </w:rPr>
      </w:pPr>
    </w:p>
    <w:p w14:paraId="7509EC30" w14:textId="77777777" w:rsidR="00BE29B9" w:rsidRPr="007C501A" w:rsidRDefault="00BE29B9" w:rsidP="00BE29B9">
      <w:pPr>
        <w:pStyle w:val="Textoindependiente"/>
        <w:ind w:firstLine="705"/>
        <w:rPr>
          <w:rFonts w:ascii="Abadi" w:hAnsi="Abadi"/>
          <w:b w:val="0"/>
          <w:bCs w:val="0"/>
          <w:sz w:val="21"/>
          <w:szCs w:val="21"/>
        </w:rPr>
      </w:pPr>
      <w:r w:rsidRPr="007C501A">
        <w:rPr>
          <w:rFonts w:ascii="Abadi" w:hAnsi="Abadi"/>
          <w:b w:val="0"/>
          <w:bCs w:val="0"/>
          <w:sz w:val="21"/>
          <w:szCs w:val="21"/>
        </w:rPr>
        <w:t>En esta parte, se adjuntan los anexos técnicos derivados de la revisión practicada.</w:t>
      </w:r>
    </w:p>
    <w:p w14:paraId="18B6DE82" w14:textId="77777777" w:rsidR="00BE29B9" w:rsidRPr="009F3E65" w:rsidRDefault="00BE29B9" w:rsidP="00BE29B9">
      <w:pPr>
        <w:pStyle w:val="Textoindependiente"/>
        <w:ind w:firstLine="705"/>
        <w:rPr>
          <w:rFonts w:ascii="Abadi" w:hAnsi="Abadi"/>
          <w:sz w:val="21"/>
          <w:szCs w:val="21"/>
        </w:rPr>
      </w:pPr>
    </w:p>
    <w:p w14:paraId="3A82D873" w14:textId="77777777" w:rsidR="00BE29B9" w:rsidRPr="009F3E65" w:rsidRDefault="00BE29B9" w:rsidP="00BE29B9">
      <w:pPr>
        <w:ind w:firstLine="708"/>
        <w:jc w:val="both"/>
        <w:rPr>
          <w:rFonts w:ascii="Abadi" w:hAnsi="Abadi" w:cs="Arial"/>
          <w:b/>
          <w:bCs/>
          <w:sz w:val="21"/>
          <w:szCs w:val="21"/>
        </w:rPr>
      </w:pPr>
      <w:r w:rsidRPr="009F3E65">
        <w:rPr>
          <w:rFonts w:ascii="Abadi" w:hAnsi="Abadi" w:cs="Arial"/>
          <w:b/>
          <w:bCs/>
          <w:sz w:val="21"/>
          <w:szCs w:val="21"/>
        </w:rPr>
        <w:t>V. Conclusiones:</w:t>
      </w:r>
    </w:p>
    <w:p w14:paraId="48B68899" w14:textId="77777777" w:rsidR="00BE29B9" w:rsidRPr="009F3E65" w:rsidRDefault="00BE29B9" w:rsidP="00BE29B9">
      <w:pPr>
        <w:jc w:val="both"/>
        <w:rPr>
          <w:rFonts w:ascii="Abadi" w:hAnsi="Abadi" w:cs="Arial"/>
          <w:sz w:val="21"/>
          <w:szCs w:val="21"/>
        </w:rPr>
      </w:pPr>
    </w:p>
    <w:p w14:paraId="1DA320BD" w14:textId="77777777" w:rsidR="00BE29B9" w:rsidRPr="009F3E65" w:rsidRDefault="00BE29B9" w:rsidP="00BE29B9">
      <w:pPr>
        <w:jc w:val="both"/>
        <w:rPr>
          <w:rFonts w:ascii="Abadi" w:hAnsi="Abadi" w:cs="Arial"/>
          <w:sz w:val="21"/>
          <w:szCs w:val="21"/>
        </w:rPr>
      </w:pPr>
      <w:r w:rsidRPr="009F3E65">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F3E65">
          <w:rPr>
            <w:rFonts w:ascii="Abadi" w:hAnsi="Abadi" w:cs="Arial"/>
            <w:sz w:val="21"/>
            <w:szCs w:val="21"/>
          </w:rPr>
          <w:t>la Ley</w:t>
        </w:r>
      </w:smartTag>
      <w:r w:rsidRPr="009F3E65">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62BAD42" w14:textId="77777777" w:rsidR="00BE29B9" w:rsidRPr="009F3E65" w:rsidRDefault="00BE29B9" w:rsidP="00BE29B9">
      <w:pPr>
        <w:jc w:val="both"/>
        <w:rPr>
          <w:rFonts w:ascii="Abadi" w:hAnsi="Abadi" w:cs="Arial"/>
          <w:sz w:val="21"/>
          <w:szCs w:val="21"/>
        </w:rPr>
      </w:pPr>
    </w:p>
    <w:p w14:paraId="24A2721A" w14:textId="77777777" w:rsidR="00BE29B9" w:rsidRPr="009F3E65" w:rsidRDefault="00BE29B9" w:rsidP="00BE29B9">
      <w:pPr>
        <w:jc w:val="both"/>
        <w:rPr>
          <w:rFonts w:ascii="Abadi" w:hAnsi="Abadi" w:cs="Arial"/>
          <w:sz w:val="21"/>
          <w:szCs w:val="21"/>
        </w:rPr>
      </w:pPr>
      <w:r w:rsidRPr="009F3E65">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70020F9" w14:textId="77777777" w:rsidR="00BE29B9" w:rsidRPr="009F3E65" w:rsidRDefault="00BE29B9" w:rsidP="00BE29B9">
      <w:pPr>
        <w:jc w:val="both"/>
        <w:rPr>
          <w:rFonts w:ascii="Abadi" w:hAnsi="Abadi" w:cs="Arial"/>
          <w:sz w:val="21"/>
          <w:szCs w:val="21"/>
        </w:rPr>
      </w:pPr>
    </w:p>
    <w:p w14:paraId="2AFD958C"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al presidente y al ex presidente municipales, así </w:t>
      </w:r>
      <w:r w:rsidRPr="009F3E65">
        <w:rPr>
          <w:rFonts w:ascii="Abadi" w:hAnsi="Abadi" w:cs="Arial"/>
          <w:sz w:val="21"/>
          <w:szCs w:val="21"/>
        </w:rPr>
        <w:t xml:space="preserve">como a la ex presidenta municipal provisional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9F3E65">
          <w:rPr>
            <w:rFonts w:ascii="Abadi" w:hAnsi="Abadi" w:cs="Arial"/>
            <w:sz w:val="21"/>
            <w:szCs w:val="21"/>
          </w:rPr>
          <w:t>la Ley</w:t>
        </w:r>
      </w:smartTag>
      <w:r w:rsidRPr="009F3E65">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1E834B85" w14:textId="77777777" w:rsidR="00BE29B9" w:rsidRPr="009F3E65" w:rsidRDefault="00BE29B9" w:rsidP="00BE29B9">
      <w:pPr>
        <w:ind w:firstLine="708"/>
        <w:jc w:val="both"/>
        <w:rPr>
          <w:rFonts w:ascii="Abadi" w:hAnsi="Abadi" w:cs="Arial"/>
          <w:sz w:val="21"/>
          <w:szCs w:val="21"/>
        </w:rPr>
      </w:pPr>
    </w:p>
    <w:p w14:paraId="2DF50057"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De igual manera, existe en el informe de resultados la constancia de que este se notificó al presidente y al ex presidente municipales, así como a la ex presidenta municipal provisional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9F3E65">
          <w:rPr>
            <w:rFonts w:ascii="Abadi" w:hAnsi="Abadi" w:cs="Arial"/>
            <w:sz w:val="21"/>
            <w:szCs w:val="21"/>
          </w:rPr>
          <w:t>la Ley</w:t>
        </w:r>
      </w:smartTag>
      <w:r w:rsidRPr="009F3E65">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tesorero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En tal virtud, se considera que fue respetado el derecho de audiencia o defensa por parte del Órgano Técnico.</w:t>
      </w:r>
    </w:p>
    <w:p w14:paraId="2B1AC6F9" w14:textId="77777777" w:rsidR="00BE29B9" w:rsidRPr="009F3E65" w:rsidRDefault="00BE29B9" w:rsidP="00BE29B9">
      <w:pPr>
        <w:ind w:firstLine="708"/>
        <w:jc w:val="both"/>
        <w:rPr>
          <w:rFonts w:ascii="Abadi" w:hAnsi="Abadi" w:cs="Arial"/>
          <w:sz w:val="21"/>
          <w:szCs w:val="21"/>
        </w:rPr>
      </w:pPr>
    </w:p>
    <w:p w14:paraId="3D500F3B"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3651CEE" w14:textId="77777777" w:rsidR="00BE29B9" w:rsidRPr="009F3E65" w:rsidRDefault="00BE29B9" w:rsidP="00BE29B9">
      <w:pPr>
        <w:ind w:firstLine="708"/>
        <w:jc w:val="both"/>
        <w:rPr>
          <w:rFonts w:ascii="Abadi" w:hAnsi="Abadi" w:cs="Arial"/>
          <w:sz w:val="21"/>
          <w:szCs w:val="21"/>
        </w:rPr>
      </w:pPr>
    </w:p>
    <w:p w14:paraId="1913AFC7"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34B2C8D" w14:textId="77777777" w:rsidR="00BE29B9" w:rsidRPr="009F3E65" w:rsidRDefault="00BE29B9" w:rsidP="00BE29B9">
      <w:pPr>
        <w:jc w:val="both"/>
        <w:rPr>
          <w:rFonts w:ascii="Abadi" w:hAnsi="Abadi" w:cs="Arial"/>
          <w:sz w:val="21"/>
          <w:szCs w:val="21"/>
        </w:rPr>
      </w:pPr>
    </w:p>
    <w:p w14:paraId="15F8ED19"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09ACA3B0" w14:textId="77777777" w:rsidR="00BE29B9" w:rsidRPr="009F3E65" w:rsidRDefault="00BE29B9" w:rsidP="00BE29B9">
      <w:pPr>
        <w:ind w:firstLine="708"/>
        <w:jc w:val="both"/>
        <w:rPr>
          <w:rFonts w:ascii="Abadi" w:hAnsi="Abadi" w:cs="Arial"/>
          <w:sz w:val="21"/>
          <w:szCs w:val="21"/>
        </w:rPr>
      </w:pPr>
    </w:p>
    <w:p w14:paraId="3F1054FA"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098E3F1" w14:textId="77777777" w:rsidR="00BE29B9" w:rsidRPr="009F3E65" w:rsidRDefault="00BE29B9" w:rsidP="00BE29B9">
      <w:pPr>
        <w:ind w:firstLine="708"/>
        <w:jc w:val="both"/>
        <w:rPr>
          <w:rFonts w:ascii="Abadi" w:hAnsi="Abadi" w:cs="Arial"/>
          <w:sz w:val="21"/>
          <w:szCs w:val="21"/>
        </w:rPr>
      </w:pPr>
    </w:p>
    <w:p w14:paraId="346D8EAF"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 xml:space="preserve">En razón de lo anteriormente señalado, concluimos que el informe de resultados de la revisión practicada a la cuenta pública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F3E65">
          <w:rPr>
            <w:rFonts w:ascii="Abadi" w:hAnsi="Abadi" w:cs="Arial"/>
            <w:sz w:val="21"/>
            <w:szCs w:val="21"/>
          </w:rPr>
          <w:t>la Ley</w:t>
        </w:r>
      </w:smartTag>
      <w:r w:rsidRPr="009F3E65">
        <w:rPr>
          <w:rFonts w:ascii="Abadi" w:hAnsi="Abadi" w:cs="Arial"/>
          <w:sz w:val="21"/>
          <w:szCs w:val="21"/>
        </w:rPr>
        <w:t xml:space="preserve"> de Fiscalización Superior del Estado de Guanajuato, razón por la cual no podría ser observado por el Pleno del Congreso.</w:t>
      </w:r>
    </w:p>
    <w:p w14:paraId="6A07AC68" w14:textId="77777777" w:rsidR="00BE29B9" w:rsidRPr="009F3E65" w:rsidRDefault="00BE29B9" w:rsidP="00BE29B9">
      <w:pPr>
        <w:ind w:firstLine="708"/>
        <w:jc w:val="both"/>
        <w:rPr>
          <w:rFonts w:ascii="Abadi" w:hAnsi="Abadi" w:cs="Arial"/>
          <w:sz w:val="21"/>
          <w:szCs w:val="21"/>
        </w:rPr>
      </w:pPr>
    </w:p>
    <w:p w14:paraId="436E1402" w14:textId="77777777" w:rsidR="00BE29B9" w:rsidRPr="009F3E65" w:rsidRDefault="00BE29B9" w:rsidP="00BE29B9">
      <w:pPr>
        <w:pStyle w:val="Sangra3detindependiente"/>
        <w:spacing w:line="240" w:lineRule="auto"/>
        <w:rPr>
          <w:rFonts w:ascii="Abadi" w:hAnsi="Abadi"/>
          <w:sz w:val="21"/>
          <w:szCs w:val="21"/>
        </w:rPr>
      </w:pPr>
      <w:r w:rsidRPr="009F3E65">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F3E65">
          <w:rPr>
            <w:rFonts w:ascii="Abadi" w:hAnsi="Abadi"/>
            <w:sz w:val="21"/>
            <w:szCs w:val="21"/>
          </w:rPr>
          <w:t>la Ley Orgánica</w:t>
        </w:r>
      </w:smartTag>
      <w:r w:rsidRPr="009F3E65">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F3E65">
          <w:rPr>
            <w:rFonts w:ascii="Abadi" w:hAnsi="Abadi"/>
            <w:sz w:val="21"/>
            <w:szCs w:val="21"/>
          </w:rPr>
          <w:t>la Asamblea</w:t>
        </w:r>
      </w:smartTag>
      <w:r w:rsidRPr="009F3E65">
        <w:rPr>
          <w:rFonts w:ascii="Abadi" w:hAnsi="Abadi"/>
          <w:sz w:val="21"/>
          <w:szCs w:val="21"/>
        </w:rPr>
        <w:t>, la aprobación del siguiente:</w:t>
      </w:r>
    </w:p>
    <w:p w14:paraId="71025EB9" w14:textId="77777777" w:rsidR="00BE29B9" w:rsidRPr="009F3E65" w:rsidRDefault="00BE29B9" w:rsidP="00BE29B9">
      <w:pPr>
        <w:pStyle w:val="Ttulo1"/>
        <w:jc w:val="center"/>
        <w:rPr>
          <w:rFonts w:ascii="Abadi" w:hAnsi="Abadi" w:cs="Arial"/>
          <w:smallCaps/>
          <w:sz w:val="21"/>
          <w:szCs w:val="21"/>
        </w:rPr>
      </w:pPr>
    </w:p>
    <w:p w14:paraId="02F8E2C9" w14:textId="77777777" w:rsidR="00BE29B9" w:rsidRPr="009F3E65" w:rsidRDefault="00BE29B9" w:rsidP="00BE29B9">
      <w:pPr>
        <w:pStyle w:val="Ttulo1"/>
        <w:jc w:val="center"/>
        <w:rPr>
          <w:rFonts w:ascii="Abadi" w:hAnsi="Abadi" w:cs="Arial"/>
          <w:smallCaps/>
          <w:sz w:val="21"/>
          <w:szCs w:val="21"/>
        </w:rPr>
      </w:pPr>
      <w:r w:rsidRPr="009F3E65">
        <w:rPr>
          <w:rFonts w:ascii="Abadi" w:hAnsi="Abadi" w:cs="Arial"/>
          <w:smallCaps/>
          <w:sz w:val="21"/>
          <w:szCs w:val="21"/>
        </w:rPr>
        <w:t>A c u e r d o</w:t>
      </w:r>
    </w:p>
    <w:p w14:paraId="2120EB00" w14:textId="77777777" w:rsidR="00BE29B9" w:rsidRPr="009F3E65" w:rsidRDefault="00BE29B9" w:rsidP="00BE29B9">
      <w:pPr>
        <w:rPr>
          <w:rFonts w:ascii="Abadi" w:hAnsi="Abadi"/>
          <w:sz w:val="21"/>
          <w:szCs w:val="21"/>
        </w:rPr>
      </w:pPr>
    </w:p>
    <w:p w14:paraId="06E41867" w14:textId="77777777" w:rsidR="00BE29B9" w:rsidRPr="009F3E65" w:rsidRDefault="00BE29B9" w:rsidP="00BE29B9">
      <w:pPr>
        <w:ind w:firstLine="708"/>
        <w:jc w:val="both"/>
        <w:rPr>
          <w:rFonts w:ascii="Abadi" w:hAnsi="Abadi" w:cs="Arial"/>
          <w:sz w:val="21"/>
          <w:szCs w:val="21"/>
        </w:rPr>
      </w:pPr>
      <w:r w:rsidRPr="009F3E65">
        <w:rPr>
          <w:rFonts w:ascii="Abadi" w:hAnsi="Abadi" w:cs="Arial"/>
          <w:b/>
          <w:bCs/>
          <w:sz w:val="21"/>
          <w:szCs w:val="21"/>
        </w:rPr>
        <w:t xml:space="preserve">Único. </w:t>
      </w:r>
      <w:r w:rsidRPr="009F3E65">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9F3E65">
          <w:rPr>
            <w:rFonts w:ascii="Abadi" w:hAnsi="Abadi" w:cs="Arial"/>
            <w:sz w:val="21"/>
            <w:szCs w:val="21"/>
          </w:rPr>
          <w:t>la Constitución Política</w:t>
        </w:r>
      </w:smartTag>
      <w:r w:rsidRPr="009F3E65">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Santa Cruz de Juventino Rosas, </w:t>
      </w:r>
      <w:proofErr w:type="spellStart"/>
      <w:r w:rsidRPr="009F3E65">
        <w:rPr>
          <w:rFonts w:ascii="Abadi" w:hAnsi="Abadi" w:cs="Arial"/>
          <w:sz w:val="21"/>
          <w:szCs w:val="21"/>
        </w:rPr>
        <w:t>Gto</w:t>
      </w:r>
      <w:proofErr w:type="spellEnd"/>
      <w:r w:rsidRPr="009F3E65">
        <w:rPr>
          <w:rFonts w:ascii="Abadi" w:hAnsi="Abadi" w:cs="Arial"/>
          <w:sz w:val="21"/>
          <w:szCs w:val="21"/>
        </w:rPr>
        <w:t>., correspondiente al ejercicio fiscal del año 2021, con base en el informe de resultados formulado por la Auditoría Superior del Estado de Guanajuato.</w:t>
      </w:r>
    </w:p>
    <w:p w14:paraId="7788D0C6" w14:textId="77777777" w:rsidR="00BE29B9" w:rsidRPr="009F3E65" w:rsidRDefault="00BE29B9" w:rsidP="00BE29B9">
      <w:pPr>
        <w:ind w:firstLine="708"/>
        <w:jc w:val="both"/>
        <w:rPr>
          <w:rFonts w:ascii="Abadi" w:hAnsi="Abadi" w:cs="Arial"/>
          <w:sz w:val="21"/>
          <w:szCs w:val="21"/>
        </w:rPr>
      </w:pPr>
    </w:p>
    <w:p w14:paraId="56BE4652" w14:textId="77777777" w:rsidR="00BE29B9" w:rsidRPr="009F3E65" w:rsidRDefault="00BE29B9" w:rsidP="00BE29B9">
      <w:pPr>
        <w:pStyle w:val="Sangra3detindependiente"/>
        <w:spacing w:line="240" w:lineRule="auto"/>
        <w:rPr>
          <w:rFonts w:ascii="Abadi" w:hAnsi="Abadi"/>
          <w:sz w:val="21"/>
          <w:szCs w:val="21"/>
          <w:lang w:val="es-MX"/>
        </w:rPr>
      </w:pPr>
      <w:r w:rsidRPr="009F3E65">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F3E65">
        <w:rPr>
          <w:rFonts w:ascii="Abadi" w:hAnsi="Abadi"/>
          <w:sz w:val="21"/>
          <w:szCs w:val="21"/>
          <w:lang w:val="es-MX"/>
        </w:rPr>
        <w:t>.</w:t>
      </w:r>
      <w:r w:rsidRPr="009F3E65">
        <w:rPr>
          <w:rFonts w:ascii="Abadi" w:hAnsi="Abadi"/>
          <w:sz w:val="21"/>
          <w:szCs w:val="21"/>
        </w:rPr>
        <w:t xml:space="preserve"> </w:t>
      </w:r>
      <w:r w:rsidRPr="009F3E65">
        <w:rPr>
          <w:rFonts w:ascii="Abadi" w:hAnsi="Abadi"/>
          <w:sz w:val="21"/>
          <w:szCs w:val="21"/>
          <w:lang w:val="es-MX"/>
        </w:rPr>
        <w:t>Asimismo, dará</w:t>
      </w:r>
      <w:r w:rsidRPr="009F3E65">
        <w:rPr>
          <w:rFonts w:ascii="Abadi" w:hAnsi="Abadi"/>
          <w:sz w:val="21"/>
          <w:szCs w:val="21"/>
        </w:rPr>
        <w:t xml:space="preserve"> seguimiento a la</w:t>
      </w:r>
      <w:r w:rsidRPr="009F3E65">
        <w:rPr>
          <w:rFonts w:ascii="Abadi" w:hAnsi="Abadi"/>
          <w:sz w:val="21"/>
          <w:szCs w:val="21"/>
          <w:lang w:val="es-MX"/>
        </w:rPr>
        <w:t>s</w:t>
      </w:r>
      <w:r w:rsidRPr="009F3E65">
        <w:rPr>
          <w:rFonts w:ascii="Abadi" w:hAnsi="Abadi"/>
          <w:sz w:val="21"/>
          <w:szCs w:val="21"/>
        </w:rPr>
        <w:t xml:space="preserve"> </w:t>
      </w:r>
      <w:proofErr w:type="spellStart"/>
      <w:r w:rsidRPr="009F3E65">
        <w:rPr>
          <w:rFonts w:ascii="Abadi" w:hAnsi="Abadi"/>
          <w:sz w:val="21"/>
          <w:szCs w:val="21"/>
        </w:rPr>
        <w:t>observaci</w:t>
      </w:r>
      <w:r w:rsidRPr="009F3E65">
        <w:rPr>
          <w:rFonts w:ascii="Abadi" w:hAnsi="Abadi"/>
          <w:sz w:val="21"/>
          <w:szCs w:val="21"/>
          <w:lang w:val="es-MX"/>
        </w:rPr>
        <w:t>ones</w:t>
      </w:r>
      <w:proofErr w:type="spellEnd"/>
      <w:r w:rsidRPr="009F3E65">
        <w:rPr>
          <w:rFonts w:ascii="Abadi" w:hAnsi="Abadi"/>
          <w:sz w:val="21"/>
          <w:szCs w:val="21"/>
        </w:rPr>
        <w:t xml:space="preserve"> no solventada</w:t>
      </w:r>
      <w:r w:rsidRPr="009F3E65">
        <w:rPr>
          <w:rFonts w:ascii="Abadi" w:hAnsi="Abadi"/>
          <w:sz w:val="21"/>
          <w:szCs w:val="21"/>
          <w:lang w:val="es-MX"/>
        </w:rPr>
        <w:t>s</w:t>
      </w:r>
      <w:r w:rsidRPr="009F3E65">
        <w:rPr>
          <w:rFonts w:ascii="Abadi" w:hAnsi="Abadi"/>
          <w:sz w:val="21"/>
          <w:szCs w:val="21"/>
        </w:rPr>
        <w:t xml:space="preserve"> contenidas en el informe de resultados</w:t>
      </w:r>
      <w:r w:rsidRPr="009F3E65">
        <w:rPr>
          <w:rFonts w:ascii="Abadi" w:hAnsi="Abadi"/>
          <w:sz w:val="21"/>
          <w:szCs w:val="21"/>
          <w:lang w:val="es-MX"/>
        </w:rPr>
        <w:t>.</w:t>
      </w:r>
    </w:p>
    <w:p w14:paraId="5C9CA482" w14:textId="77777777" w:rsidR="00BE29B9" w:rsidRPr="009F3E65" w:rsidRDefault="00BE29B9" w:rsidP="00BE29B9">
      <w:pPr>
        <w:pStyle w:val="Sangra3detindependiente"/>
        <w:spacing w:line="240" w:lineRule="auto"/>
        <w:rPr>
          <w:rFonts w:ascii="Abadi" w:hAnsi="Abadi"/>
          <w:sz w:val="21"/>
          <w:szCs w:val="21"/>
          <w:lang w:val="es-MX"/>
        </w:rPr>
      </w:pPr>
    </w:p>
    <w:p w14:paraId="005FFE93" w14:textId="77777777" w:rsidR="00BE29B9" w:rsidRPr="009F3E65" w:rsidRDefault="00BE29B9" w:rsidP="00BE29B9">
      <w:pPr>
        <w:pStyle w:val="Sangra3detindependiente"/>
        <w:spacing w:line="240" w:lineRule="auto"/>
        <w:rPr>
          <w:rFonts w:ascii="Abadi" w:hAnsi="Abadi"/>
          <w:sz w:val="21"/>
          <w:szCs w:val="21"/>
        </w:rPr>
      </w:pPr>
      <w:r w:rsidRPr="009F3E65">
        <w:rPr>
          <w:rFonts w:ascii="Abadi" w:hAnsi="Abadi"/>
          <w:sz w:val="21"/>
          <w:szCs w:val="21"/>
        </w:rPr>
        <w:t>Del proceso de fiscalización no se desprendieron recomendaciones.</w:t>
      </w:r>
    </w:p>
    <w:p w14:paraId="7DB5FDBA" w14:textId="77777777" w:rsidR="00BE29B9" w:rsidRPr="009F3E65" w:rsidRDefault="00BE29B9" w:rsidP="00BE29B9">
      <w:pPr>
        <w:ind w:firstLine="708"/>
        <w:jc w:val="both"/>
        <w:rPr>
          <w:rFonts w:ascii="Abadi" w:hAnsi="Abadi" w:cs="Arial"/>
          <w:sz w:val="21"/>
          <w:szCs w:val="21"/>
        </w:rPr>
      </w:pPr>
    </w:p>
    <w:p w14:paraId="49D3CED8" w14:textId="77777777" w:rsidR="00BE29B9" w:rsidRPr="009F3E65" w:rsidRDefault="00BE29B9" w:rsidP="00BE29B9">
      <w:pPr>
        <w:ind w:firstLine="708"/>
        <w:jc w:val="both"/>
        <w:rPr>
          <w:rFonts w:ascii="Abadi" w:hAnsi="Abadi" w:cs="Arial"/>
          <w:sz w:val="21"/>
          <w:szCs w:val="21"/>
        </w:rPr>
      </w:pPr>
      <w:r w:rsidRPr="009F3E65">
        <w:rPr>
          <w:rFonts w:ascii="Abadi" w:hAnsi="Abadi" w:cs="Arial"/>
          <w:sz w:val="21"/>
          <w:szCs w:val="21"/>
        </w:rPr>
        <w:t>Remítase el presente acuerdo al titular del Poder Ejecutivo del Estado para su publicación en el Periódico Oficial del Gobierno del Estado.</w:t>
      </w:r>
    </w:p>
    <w:p w14:paraId="5DB30983" w14:textId="77777777" w:rsidR="00BE29B9" w:rsidRPr="009F3E65" w:rsidRDefault="00BE29B9" w:rsidP="00BE29B9">
      <w:pPr>
        <w:ind w:firstLine="708"/>
        <w:jc w:val="both"/>
        <w:rPr>
          <w:rFonts w:ascii="Abadi" w:hAnsi="Abadi" w:cs="Arial"/>
          <w:sz w:val="21"/>
          <w:szCs w:val="21"/>
        </w:rPr>
      </w:pPr>
    </w:p>
    <w:p w14:paraId="3880C6A6" w14:textId="77777777" w:rsidR="00BE29B9" w:rsidRPr="009F3E65" w:rsidRDefault="00BE29B9" w:rsidP="00BE29B9">
      <w:pPr>
        <w:pStyle w:val="Sangra3detindependiente"/>
        <w:spacing w:line="240" w:lineRule="auto"/>
        <w:rPr>
          <w:rFonts w:ascii="Abadi" w:hAnsi="Abadi"/>
          <w:sz w:val="21"/>
          <w:szCs w:val="21"/>
        </w:rPr>
      </w:pPr>
      <w:r w:rsidRPr="009F3E65">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F51A2E6" w14:textId="77777777" w:rsidR="00BE29B9" w:rsidRPr="009F3E65" w:rsidRDefault="00BE29B9" w:rsidP="00BE29B9">
      <w:pPr>
        <w:jc w:val="center"/>
        <w:rPr>
          <w:rFonts w:ascii="Abadi" w:hAnsi="Abadi" w:cs="Arial"/>
          <w:b/>
          <w:bCs/>
          <w:sz w:val="21"/>
          <w:szCs w:val="21"/>
          <w:lang w:eastAsia="x-none"/>
        </w:rPr>
      </w:pPr>
    </w:p>
    <w:p w14:paraId="39E32E2B" w14:textId="77777777" w:rsidR="00BE29B9" w:rsidRPr="009F3E65" w:rsidRDefault="00BE29B9" w:rsidP="00BE29B9">
      <w:pPr>
        <w:jc w:val="center"/>
        <w:rPr>
          <w:rFonts w:ascii="Abadi" w:hAnsi="Abadi" w:cs="Arial"/>
          <w:b/>
          <w:bCs/>
          <w:sz w:val="21"/>
          <w:szCs w:val="21"/>
          <w:lang w:eastAsia="x-none"/>
        </w:rPr>
      </w:pPr>
      <w:r w:rsidRPr="009F3E65">
        <w:rPr>
          <w:rFonts w:ascii="Abadi" w:hAnsi="Abadi" w:cs="Arial"/>
          <w:b/>
          <w:bCs/>
          <w:sz w:val="21"/>
          <w:szCs w:val="21"/>
          <w:lang w:eastAsia="x-none"/>
        </w:rPr>
        <w:t xml:space="preserve">Guanajuato, </w:t>
      </w:r>
      <w:proofErr w:type="spellStart"/>
      <w:r w:rsidRPr="009F3E65">
        <w:rPr>
          <w:rFonts w:ascii="Abadi" w:hAnsi="Abadi" w:cs="Arial"/>
          <w:b/>
          <w:bCs/>
          <w:sz w:val="21"/>
          <w:szCs w:val="21"/>
          <w:lang w:eastAsia="x-none"/>
        </w:rPr>
        <w:t>Gto</w:t>
      </w:r>
      <w:proofErr w:type="spellEnd"/>
      <w:r w:rsidRPr="009F3E65">
        <w:rPr>
          <w:rFonts w:ascii="Abadi" w:hAnsi="Abadi" w:cs="Arial"/>
          <w:b/>
          <w:bCs/>
          <w:sz w:val="21"/>
          <w:szCs w:val="21"/>
          <w:lang w:eastAsia="x-none"/>
        </w:rPr>
        <w:t>., 19 de junio de 2023</w:t>
      </w:r>
    </w:p>
    <w:p w14:paraId="5B6EEE94" w14:textId="77777777" w:rsidR="00BE29B9" w:rsidRPr="009F3E65" w:rsidRDefault="00BE29B9" w:rsidP="00BE29B9">
      <w:pPr>
        <w:jc w:val="center"/>
        <w:rPr>
          <w:rFonts w:ascii="Abadi" w:hAnsi="Abadi" w:cs="Arial"/>
          <w:b/>
          <w:bCs/>
          <w:sz w:val="21"/>
          <w:szCs w:val="21"/>
          <w:lang w:eastAsia="x-none"/>
        </w:rPr>
      </w:pPr>
      <w:smartTag w:uri="urn:schemas-microsoft-com:office:smarttags" w:element="PersonName">
        <w:smartTagPr>
          <w:attr w:name="ProductID" w:val="La Comisi￳n"/>
        </w:smartTagPr>
        <w:r w:rsidRPr="009F3E65">
          <w:rPr>
            <w:rFonts w:ascii="Abadi" w:hAnsi="Abadi" w:cs="Arial"/>
            <w:b/>
            <w:bCs/>
            <w:sz w:val="21"/>
            <w:szCs w:val="21"/>
            <w:lang w:eastAsia="x-none"/>
          </w:rPr>
          <w:t>La Comisión</w:t>
        </w:r>
      </w:smartTag>
      <w:r w:rsidRPr="009F3E65">
        <w:rPr>
          <w:rFonts w:ascii="Abadi" w:hAnsi="Abadi" w:cs="Arial"/>
          <w:b/>
          <w:bCs/>
          <w:sz w:val="21"/>
          <w:szCs w:val="21"/>
          <w:lang w:eastAsia="x-none"/>
        </w:rPr>
        <w:t xml:space="preserve"> de Hacienda y Fiscalización</w:t>
      </w:r>
    </w:p>
    <w:p w14:paraId="49C37E21" w14:textId="77777777" w:rsidR="00BE29B9" w:rsidRPr="009F3E65" w:rsidRDefault="00BE29B9" w:rsidP="00BE29B9">
      <w:pPr>
        <w:jc w:val="center"/>
        <w:rPr>
          <w:rFonts w:ascii="Abadi" w:hAnsi="Abadi" w:cs="Arial"/>
          <w:sz w:val="21"/>
          <w:szCs w:val="21"/>
        </w:rPr>
      </w:pPr>
    </w:p>
    <w:p w14:paraId="6BCA9413" w14:textId="77777777" w:rsidR="00BE29B9" w:rsidRPr="009F3E65" w:rsidRDefault="00BE29B9" w:rsidP="00BE29B9">
      <w:pPr>
        <w:jc w:val="center"/>
        <w:rPr>
          <w:rFonts w:ascii="Abadi" w:hAnsi="Abadi" w:cs="Arial"/>
          <w:sz w:val="21"/>
          <w:szCs w:val="21"/>
        </w:rPr>
      </w:pPr>
    </w:p>
    <w:p w14:paraId="559F7FCF" w14:textId="77777777" w:rsidR="00BE29B9" w:rsidRPr="009F3E65" w:rsidRDefault="00BE29B9" w:rsidP="00BE29B9">
      <w:pPr>
        <w:rPr>
          <w:rFonts w:ascii="Abadi" w:hAnsi="Abadi" w:cs="Arial"/>
          <w:sz w:val="21"/>
          <w:szCs w:val="21"/>
        </w:rPr>
      </w:pPr>
      <w:r w:rsidRPr="009F3E65">
        <w:rPr>
          <w:rFonts w:ascii="Abadi" w:hAnsi="Abadi" w:cs="Arial"/>
          <w:b/>
          <w:sz w:val="21"/>
          <w:szCs w:val="21"/>
          <w:lang w:eastAsia="x-none"/>
        </w:rPr>
        <w:t>Diputado Víctor Manuel Zanella Huerta</w:t>
      </w:r>
    </w:p>
    <w:p w14:paraId="62F6F90C" w14:textId="77777777" w:rsidR="00BE29B9" w:rsidRPr="009F3E65" w:rsidRDefault="00BE29B9" w:rsidP="00BE29B9">
      <w:pPr>
        <w:jc w:val="both"/>
        <w:rPr>
          <w:rFonts w:ascii="Abadi" w:hAnsi="Abadi" w:cs="Arial"/>
          <w:sz w:val="21"/>
          <w:szCs w:val="21"/>
          <w:lang w:eastAsia="x-none"/>
        </w:rPr>
      </w:pPr>
    </w:p>
    <w:p w14:paraId="59107D76" w14:textId="77777777" w:rsidR="00BE29B9" w:rsidRPr="009F3E65" w:rsidRDefault="00BE29B9" w:rsidP="00BE29B9">
      <w:pPr>
        <w:rPr>
          <w:rFonts w:ascii="Abadi" w:hAnsi="Abadi" w:cs="Arial"/>
          <w:b/>
          <w:sz w:val="21"/>
          <w:szCs w:val="21"/>
          <w:lang w:eastAsia="x-none"/>
        </w:rPr>
      </w:pPr>
      <w:r w:rsidRPr="009F3E65">
        <w:rPr>
          <w:rFonts w:ascii="Abadi" w:hAnsi="Abadi" w:cs="Arial"/>
          <w:b/>
          <w:sz w:val="21"/>
          <w:szCs w:val="21"/>
          <w:lang w:eastAsia="x-none"/>
        </w:rPr>
        <w:t xml:space="preserve">Diputada Ruth Noemí Tiscareño Agoitia      </w:t>
      </w:r>
    </w:p>
    <w:p w14:paraId="5E64D37D" w14:textId="509F428B" w:rsidR="00BE29B9" w:rsidRPr="009F3E65" w:rsidRDefault="00BE29B9" w:rsidP="007C501A">
      <w:pPr>
        <w:rPr>
          <w:rFonts w:ascii="Abadi" w:hAnsi="Abadi" w:cs="Arial"/>
          <w:b/>
          <w:sz w:val="21"/>
          <w:szCs w:val="21"/>
          <w:lang w:eastAsia="x-none"/>
        </w:rPr>
      </w:pPr>
      <w:r w:rsidRPr="009F3E65">
        <w:rPr>
          <w:rFonts w:ascii="Abadi" w:hAnsi="Abadi" w:cs="Arial"/>
          <w:b/>
          <w:sz w:val="21"/>
          <w:szCs w:val="21"/>
          <w:lang w:eastAsia="x-none"/>
        </w:rPr>
        <w:t xml:space="preserve">Diputado Miguel Ángel Salim </w:t>
      </w:r>
      <w:proofErr w:type="spellStart"/>
      <w:r w:rsidRPr="009F3E65">
        <w:rPr>
          <w:rFonts w:ascii="Abadi" w:hAnsi="Abadi" w:cs="Arial"/>
          <w:b/>
          <w:sz w:val="21"/>
          <w:szCs w:val="21"/>
          <w:lang w:eastAsia="x-none"/>
        </w:rPr>
        <w:t>Alle</w:t>
      </w:r>
      <w:proofErr w:type="spellEnd"/>
    </w:p>
    <w:p w14:paraId="1509C4FA" w14:textId="77777777" w:rsidR="00BE29B9" w:rsidRPr="009F3E65" w:rsidRDefault="00BE29B9" w:rsidP="00BE29B9">
      <w:pPr>
        <w:rPr>
          <w:rFonts w:ascii="Abadi" w:hAnsi="Abadi" w:cs="Arial"/>
          <w:b/>
          <w:sz w:val="21"/>
          <w:szCs w:val="21"/>
          <w:lang w:eastAsia="x-none"/>
        </w:rPr>
      </w:pPr>
      <w:r w:rsidRPr="009F3E65">
        <w:rPr>
          <w:rFonts w:ascii="Abadi" w:hAnsi="Abadi" w:cs="Arial"/>
          <w:b/>
          <w:sz w:val="21"/>
          <w:szCs w:val="21"/>
          <w:lang w:eastAsia="x-none"/>
        </w:rPr>
        <w:t xml:space="preserve">Diputado José Alfonso Borja Pimentel    </w:t>
      </w:r>
    </w:p>
    <w:p w14:paraId="114C1EBA" w14:textId="77777777" w:rsidR="00BE29B9" w:rsidRPr="009F3E65" w:rsidRDefault="00BE29B9" w:rsidP="007C501A">
      <w:pPr>
        <w:rPr>
          <w:rFonts w:ascii="Abadi" w:hAnsi="Abadi" w:cs="Arial"/>
          <w:b/>
          <w:sz w:val="21"/>
          <w:szCs w:val="21"/>
          <w:lang w:eastAsia="x-none"/>
        </w:rPr>
      </w:pPr>
      <w:r w:rsidRPr="009F3E65">
        <w:rPr>
          <w:rFonts w:ascii="Abadi" w:hAnsi="Abadi" w:cs="Arial"/>
          <w:b/>
          <w:sz w:val="21"/>
          <w:szCs w:val="21"/>
          <w:lang w:eastAsia="x-none"/>
        </w:rPr>
        <w:t>Diputada Alma Edwviges Alcaraz Hernández</w:t>
      </w:r>
    </w:p>
    <w:p w14:paraId="30438423" w14:textId="77777777" w:rsidR="00BE29B9" w:rsidRPr="009F3E65" w:rsidRDefault="00BE29B9" w:rsidP="00BE29B9">
      <w:pPr>
        <w:pStyle w:val="Textoindependiente2"/>
        <w:rPr>
          <w:rFonts w:ascii="Abadi" w:hAnsi="Abadi"/>
          <w:sz w:val="21"/>
          <w:szCs w:val="21"/>
        </w:rPr>
      </w:pPr>
    </w:p>
    <w:p w14:paraId="6C6BADD0"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79F805A9" w14:textId="075BD8C1"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ABASOLO, GTO., CORRESPONDIENTE AL EJERCICIO FISCAL DEL AÑO 2021. </w:t>
      </w:r>
      <w:r w:rsidRPr="00006796">
        <w:rPr>
          <w:rFonts w:ascii="Abadi" w:hAnsi="Abadi" w:cs="Arial-ItalicMT"/>
          <w:b/>
          <w:bCs/>
          <w:i/>
          <w:iCs/>
          <w:sz w:val="21"/>
          <w:szCs w:val="21"/>
        </w:rPr>
        <w:t>(ELD 315/LXV-IRASEG)</w:t>
      </w:r>
      <w:r w:rsidR="001848CF">
        <w:rPr>
          <w:rStyle w:val="Refdenotaalpie"/>
          <w:rFonts w:ascii="Abadi" w:hAnsi="Abadi" w:cs="Arial-ItalicMT"/>
          <w:b/>
          <w:bCs/>
          <w:i/>
          <w:iCs/>
          <w:sz w:val="21"/>
          <w:szCs w:val="21"/>
        </w:rPr>
        <w:footnoteReference w:id="232"/>
      </w:r>
    </w:p>
    <w:p w14:paraId="36281627" w14:textId="77777777" w:rsidR="00CD1A9F" w:rsidRPr="00CD1A9F" w:rsidRDefault="00CD1A9F" w:rsidP="00CD1A9F">
      <w:pPr>
        <w:pStyle w:val="Prrafodelista"/>
        <w:rPr>
          <w:rFonts w:ascii="Abadi" w:hAnsi="Abadi" w:cs="Arial-ItalicMT"/>
          <w:b/>
          <w:bCs/>
          <w:i/>
          <w:iCs/>
          <w:sz w:val="21"/>
          <w:szCs w:val="21"/>
        </w:rPr>
      </w:pPr>
    </w:p>
    <w:p w14:paraId="27FA0BF0" w14:textId="77777777" w:rsidR="00F93F3C" w:rsidRPr="003B065D" w:rsidRDefault="00F93F3C" w:rsidP="00F93F3C">
      <w:pPr>
        <w:pStyle w:val="Textoindependiente3"/>
        <w:rPr>
          <w:rFonts w:ascii="Abadi" w:hAnsi="Abadi" w:cs="Arial"/>
          <w:smallCaps/>
          <w:sz w:val="21"/>
          <w:szCs w:val="21"/>
        </w:rPr>
      </w:pPr>
      <w:r w:rsidRPr="003B065D">
        <w:rPr>
          <w:rFonts w:ascii="Abadi" w:hAnsi="Abadi" w:cs="Arial"/>
          <w:smallCaps/>
          <w:sz w:val="21"/>
          <w:szCs w:val="21"/>
        </w:rPr>
        <w:t>C. Presidenta del Congreso del Estado</w:t>
      </w:r>
    </w:p>
    <w:p w14:paraId="3EA8C144" w14:textId="77777777" w:rsidR="00F93F3C" w:rsidRPr="003B065D" w:rsidRDefault="00F93F3C" w:rsidP="00F93F3C">
      <w:pPr>
        <w:jc w:val="both"/>
        <w:rPr>
          <w:rFonts w:ascii="Abadi" w:hAnsi="Abadi" w:cs="Arial"/>
          <w:b/>
          <w:bCs/>
          <w:smallCaps/>
          <w:sz w:val="21"/>
          <w:szCs w:val="21"/>
        </w:rPr>
      </w:pPr>
      <w:r w:rsidRPr="003B065D">
        <w:rPr>
          <w:rFonts w:ascii="Abadi" w:hAnsi="Abadi" w:cs="Arial"/>
          <w:b/>
          <w:bCs/>
          <w:smallCaps/>
          <w:sz w:val="21"/>
          <w:szCs w:val="21"/>
        </w:rPr>
        <w:t>P r e s e n t e.</w:t>
      </w:r>
    </w:p>
    <w:p w14:paraId="6B0B27B1" w14:textId="77777777" w:rsidR="00F93F3C" w:rsidRPr="003B065D" w:rsidRDefault="00F93F3C" w:rsidP="00F93F3C">
      <w:pPr>
        <w:pStyle w:val="Textoindependiente"/>
        <w:rPr>
          <w:rFonts w:ascii="Abadi" w:hAnsi="Abadi"/>
          <w:sz w:val="21"/>
          <w:szCs w:val="21"/>
        </w:rPr>
      </w:pPr>
    </w:p>
    <w:p w14:paraId="25FE90E9" w14:textId="77777777" w:rsidR="00F93F3C" w:rsidRPr="003B065D" w:rsidRDefault="00F93F3C" w:rsidP="00F93F3C">
      <w:pPr>
        <w:pStyle w:val="Sangra3detindependiente"/>
        <w:spacing w:line="240" w:lineRule="auto"/>
        <w:rPr>
          <w:rFonts w:ascii="Abadi" w:hAnsi="Abadi"/>
          <w:sz w:val="21"/>
          <w:szCs w:val="21"/>
        </w:rPr>
      </w:pPr>
      <w:r w:rsidRPr="003B065D">
        <w:rPr>
          <w:rFonts w:ascii="Abadi" w:hAnsi="Abadi"/>
          <w:sz w:val="21"/>
          <w:szCs w:val="21"/>
        </w:rPr>
        <w:t xml:space="preserve">A </w:t>
      </w:r>
      <w:r w:rsidRPr="003B065D">
        <w:rPr>
          <w:rFonts w:ascii="Abadi" w:hAnsi="Abadi"/>
          <w:sz w:val="21"/>
          <w:szCs w:val="21"/>
          <w:lang w:val="es-MX"/>
        </w:rPr>
        <w:t>esta</w:t>
      </w:r>
      <w:r w:rsidRPr="003B065D">
        <w:rPr>
          <w:rFonts w:ascii="Abadi" w:hAnsi="Abadi"/>
          <w:sz w:val="21"/>
          <w:szCs w:val="21"/>
        </w:rPr>
        <w:t xml:space="preserve"> Comisión de Hacienda y Fiscalización</w:t>
      </w:r>
      <w:r w:rsidRPr="003B065D">
        <w:rPr>
          <w:rFonts w:ascii="Abadi" w:hAnsi="Abadi"/>
          <w:sz w:val="21"/>
          <w:szCs w:val="21"/>
          <w:lang w:val="es-MX"/>
        </w:rPr>
        <w:t xml:space="preserve">, </w:t>
      </w:r>
      <w:r w:rsidRPr="003B065D">
        <w:rPr>
          <w:rFonts w:ascii="Abadi" w:hAnsi="Abadi"/>
          <w:sz w:val="21"/>
          <w:szCs w:val="21"/>
        </w:rPr>
        <w:t xml:space="preserve">le fue turnado para su estudio y dictamen, el informe de resultados de la revisión practicada por </w:t>
      </w:r>
      <w:r w:rsidRPr="003B065D">
        <w:rPr>
          <w:rFonts w:ascii="Abadi" w:hAnsi="Abadi"/>
          <w:sz w:val="21"/>
          <w:szCs w:val="21"/>
          <w:lang w:val="es-MX"/>
        </w:rPr>
        <w:t xml:space="preserve">la </w:t>
      </w:r>
      <w:r w:rsidRPr="003B065D">
        <w:rPr>
          <w:rFonts w:ascii="Abadi" w:hAnsi="Abadi"/>
          <w:sz w:val="21"/>
          <w:szCs w:val="21"/>
        </w:rPr>
        <w:t xml:space="preserve">Auditoría Superior del Estado de Guanajuato, a la cuenta pública municipal de </w:t>
      </w:r>
      <w:r w:rsidRPr="003B065D">
        <w:rPr>
          <w:rFonts w:ascii="Abadi" w:hAnsi="Abadi"/>
          <w:sz w:val="21"/>
          <w:szCs w:val="21"/>
          <w:lang w:val="es-MX"/>
        </w:rPr>
        <w:t>Abasolo</w:t>
      </w:r>
      <w:r w:rsidRPr="003B065D">
        <w:rPr>
          <w:rFonts w:ascii="Abadi" w:hAnsi="Abadi"/>
          <w:sz w:val="21"/>
          <w:szCs w:val="21"/>
        </w:rPr>
        <w:t xml:space="preserve">, </w:t>
      </w:r>
      <w:proofErr w:type="spellStart"/>
      <w:r w:rsidRPr="003B065D">
        <w:rPr>
          <w:rFonts w:ascii="Abadi" w:hAnsi="Abadi"/>
          <w:sz w:val="21"/>
          <w:szCs w:val="21"/>
        </w:rPr>
        <w:t>Gto</w:t>
      </w:r>
      <w:proofErr w:type="spellEnd"/>
      <w:r w:rsidRPr="003B065D">
        <w:rPr>
          <w:rFonts w:ascii="Abadi" w:hAnsi="Abadi"/>
          <w:sz w:val="21"/>
          <w:szCs w:val="21"/>
        </w:rPr>
        <w:t xml:space="preserve">., correspondiente al ejercicio fiscal del año 2021. (ELD </w:t>
      </w:r>
      <w:r w:rsidRPr="003B065D">
        <w:rPr>
          <w:rFonts w:ascii="Abadi" w:hAnsi="Abadi"/>
          <w:sz w:val="21"/>
          <w:szCs w:val="21"/>
          <w:lang w:val="es-MX"/>
        </w:rPr>
        <w:t>315</w:t>
      </w:r>
      <w:r w:rsidRPr="003B065D">
        <w:rPr>
          <w:rFonts w:ascii="Abadi" w:hAnsi="Abadi"/>
          <w:sz w:val="21"/>
          <w:szCs w:val="21"/>
        </w:rPr>
        <w:t>/LXV-IRASEG)</w:t>
      </w:r>
    </w:p>
    <w:p w14:paraId="320A0BCB" w14:textId="77777777" w:rsidR="00F93F3C" w:rsidRPr="003B065D" w:rsidRDefault="00F93F3C" w:rsidP="00F93F3C">
      <w:pPr>
        <w:pStyle w:val="Sangra3detindependiente"/>
        <w:spacing w:line="240" w:lineRule="auto"/>
        <w:rPr>
          <w:rFonts w:ascii="Abadi" w:hAnsi="Abadi"/>
          <w:sz w:val="21"/>
          <w:szCs w:val="21"/>
        </w:rPr>
      </w:pPr>
    </w:p>
    <w:p w14:paraId="467339B8" w14:textId="77777777" w:rsidR="00F93F3C" w:rsidRPr="003B065D" w:rsidRDefault="00F93F3C" w:rsidP="00F93F3C">
      <w:pPr>
        <w:pStyle w:val="Sangra3detindependiente"/>
        <w:spacing w:line="240" w:lineRule="auto"/>
        <w:rPr>
          <w:rFonts w:ascii="Abadi" w:hAnsi="Abadi"/>
          <w:sz w:val="21"/>
          <w:szCs w:val="21"/>
        </w:rPr>
      </w:pPr>
      <w:r w:rsidRPr="003B065D">
        <w:rPr>
          <w:rFonts w:ascii="Abadi" w:hAnsi="Abadi"/>
          <w:sz w:val="21"/>
          <w:szCs w:val="21"/>
        </w:rPr>
        <w:t>Una vez analizado el referido informe de resultados, con fundamento en lo dispuesto por los artículos 112, fracción XII</w:t>
      </w:r>
      <w:r w:rsidRPr="003B065D">
        <w:rPr>
          <w:rFonts w:ascii="Abadi" w:hAnsi="Abadi"/>
          <w:sz w:val="21"/>
          <w:szCs w:val="21"/>
          <w:lang w:val="es-MX"/>
        </w:rPr>
        <w:t>, primer párrafo</w:t>
      </w:r>
      <w:r w:rsidRPr="003B065D">
        <w:rPr>
          <w:rFonts w:ascii="Abadi" w:hAnsi="Abadi"/>
          <w:sz w:val="21"/>
          <w:szCs w:val="21"/>
        </w:rPr>
        <w:t xml:space="preserve"> y 171 de </w:t>
      </w:r>
      <w:smartTag w:uri="urn:schemas-microsoft-com:office:smarttags" w:element="PersonName">
        <w:smartTagPr>
          <w:attr w:name="ProductID" w:val="la Ley Org￡nica"/>
        </w:smartTagPr>
        <w:r w:rsidRPr="003B065D">
          <w:rPr>
            <w:rFonts w:ascii="Abadi" w:hAnsi="Abadi"/>
            <w:sz w:val="21"/>
            <w:szCs w:val="21"/>
          </w:rPr>
          <w:t>la Ley Orgánica</w:t>
        </w:r>
      </w:smartTag>
      <w:r w:rsidRPr="003B065D">
        <w:rPr>
          <w:rFonts w:ascii="Abadi" w:hAnsi="Abadi"/>
          <w:sz w:val="21"/>
          <w:szCs w:val="21"/>
        </w:rPr>
        <w:t xml:space="preserve"> del Poder Legislativo, nos permitimos rendir el siguiente:</w:t>
      </w:r>
    </w:p>
    <w:p w14:paraId="4D7A32EA" w14:textId="77777777" w:rsidR="00F93F3C" w:rsidRPr="003B065D" w:rsidRDefault="00F93F3C" w:rsidP="00F93F3C">
      <w:pPr>
        <w:pStyle w:val="Sangra3detindependiente"/>
        <w:spacing w:line="240" w:lineRule="auto"/>
        <w:rPr>
          <w:rFonts w:ascii="Abadi" w:hAnsi="Abadi"/>
          <w:sz w:val="21"/>
          <w:szCs w:val="21"/>
        </w:rPr>
      </w:pPr>
    </w:p>
    <w:p w14:paraId="64002A80" w14:textId="77777777" w:rsidR="00F93F3C" w:rsidRPr="003B065D" w:rsidRDefault="00F93F3C" w:rsidP="00F93F3C">
      <w:pPr>
        <w:pStyle w:val="Ttulo1"/>
        <w:jc w:val="center"/>
        <w:rPr>
          <w:rFonts w:ascii="Abadi" w:hAnsi="Abadi" w:cs="Arial"/>
          <w:sz w:val="21"/>
          <w:szCs w:val="21"/>
        </w:rPr>
      </w:pPr>
      <w:r w:rsidRPr="003B065D">
        <w:rPr>
          <w:rFonts w:ascii="Abadi" w:hAnsi="Abadi" w:cs="Arial"/>
          <w:sz w:val="21"/>
          <w:szCs w:val="21"/>
        </w:rPr>
        <w:t>D i c t a m e n</w:t>
      </w:r>
    </w:p>
    <w:p w14:paraId="756B5520" w14:textId="77777777" w:rsidR="00F93F3C" w:rsidRPr="004B3C28" w:rsidRDefault="00F93F3C" w:rsidP="00F93F3C">
      <w:pPr>
        <w:pStyle w:val="Textoindependiente"/>
        <w:ind w:firstLine="708"/>
        <w:rPr>
          <w:rFonts w:ascii="Abadi" w:hAnsi="Abadi"/>
          <w:sz w:val="21"/>
          <w:szCs w:val="21"/>
        </w:rPr>
      </w:pPr>
      <w:r w:rsidRPr="004B3C28">
        <w:rPr>
          <w:rFonts w:ascii="Abadi" w:hAnsi="Abadi"/>
          <w:sz w:val="21"/>
          <w:szCs w:val="21"/>
        </w:rPr>
        <w:t>I. Competencia:</w:t>
      </w:r>
    </w:p>
    <w:p w14:paraId="31ADAAA8" w14:textId="77777777" w:rsidR="00F93F3C" w:rsidRPr="003B065D" w:rsidRDefault="00F93F3C" w:rsidP="00F93F3C">
      <w:pPr>
        <w:pStyle w:val="Textoindependiente"/>
        <w:ind w:firstLine="708"/>
        <w:rPr>
          <w:rFonts w:ascii="Abadi" w:hAnsi="Abadi"/>
          <w:b w:val="0"/>
          <w:bCs w:val="0"/>
          <w:sz w:val="21"/>
          <w:szCs w:val="21"/>
        </w:rPr>
      </w:pPr>
    </w:p>
    <w:p w14:paraId="6E78B696" w14:textId="77777777" w:rsidR="00F93F3C" w:rsidRPr="003B065D" w:rsidRDefault="00F93F3C" w:rsidP="00F93F3C">
      <w:pPr>
        <w:ind w:firstLine="708"/>
        <w:jc w:val="both"/>
        <w:rPr>
          <w:rFonts w:ascii="Abadi" w:hAnsi="Abadi" w:cs="Arial"/>
          <w:sz w:val="21"/>
          <w:szCs w:val="21"/>
          <w:lang w:val="es-MX" w:eastAsia="x-none"/>
        </w:rPr>
      </w:pPr>
      <w:r w:rsidRPr="003B065D">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w:t>
      </w:r>
      <w:r w:rsidRPr="003B065D">
        <w:rPr>
          <w:rFonts w:ascii="Abadi" w:hAnsi="Abadi" w:cs="Arial"/>
          <w:sz w:val="21"/>
          <w:szCs w:val="21"/>
          <w:lang w:val="es-MX" w:eastAsia="x-none"/>
        </w:rPr>
        <w:t xml:space="preserve">XXVIII de </w:t>
      </w:r>
      <w:smartTag w:uri="urn:schemas-microsoft-com:office:smarttags" w:element="PersonName">
        <w:smartTagPr>
          <w:attr w:name="ProductID" w:val="la Constituci￳n Pol￭tica"/>
        </w:smartTagPr>
        <w:r w:rsidRPr="003B065D">
          <w:rPr>
            <w:rFonts w:ascii="Abadi" w:hAnsi="Abadi" w:cs="Arial"/>
            <w:sz w:val="21"/>
            <w:szCs w:val="21"/>
            <w:lang w:val="es-MX" w:eastAsia="x-none"/>
          </w:rPr>
          <w:t>la Constitución Política</w:t>
        </w:r>
      </w:smartTag>
      <w:r w:rsidRPr="003B065D">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801843E" w14:textId="77777777" w:rsidR="00F93F3C" w:rsidRPr="003B065D" w:rsidRDefault="00F93F3C" w:rsidP="00F93F3C">
      <w:pPr>
        <w:ind w:firstLine="708"/>
        <w:jc w:val="both"/>
        <w:rPr>
          <w:rFonts w:ascii="Abadi" w:hAnsi="Abadi" w:cs="Arial"/>
          <w:sz w:val="21"/>
          <w:szCs w:val="21"/>
          <w:lang w:val="es-MX" w:eastAsia="x-none"/>
        </w:rPr>
      </w:pPr>
    </w:p>
    <w:p w14:paraId="5D3AF9CA" w14:textId="77777777" w:rsidR="00F93F3C" w:rsidRPr="003B065D" w:rsidRDefault="00F93F3C" w:rsidP="00F93F3C">
      <w:pPr>
        <w:ind w:firstLine="708"/>
        <w:jc w:val="both"/>
        <w:rPr>
          <w:rFonts w:ascii="Abadi" w:hAnsi="Abadi" w:cs="Arial"/>
          <w:sz w:val="21"/>
          <w:szCs w:val="21"/>
          <w:lang w:val="es-MX" w:eastAsia="x-none"/>
        </w:rPr>
      </w:pPr>
      <w:r w:rsidRPr="003B065D">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A8DAE39" w14:textId="77777777" w:rsidR="00F93F3C" w:rsidRPr="003B065D" w:rsidRDefault="00F93F3C" w:rsidP="00F93F3C">
      <w:pPr>
        <w:ind w:firstLine="708"/>
        <w:jc w:val="both"/>
        <w:rPr>
          <w:rFonts w:ascii="Abadi" w:hAnsi="Abadi" w:cs="Arial"/>
          <w:sz w:val="21"/>
          <w:szCs w:val="21"/>
          <w:lang w:val="es-MX" w:eastAsia="x-none"/>
        </w:rPr>
      </w:pPr>
    </w:p>
    <w:p w14:paraId="65A2D14F" w14:textId="77777777" w:rsidR="00F93F3C" w:rsidRPr="003B065D" w:rsidRDefault="00F93F3C" w:rsidP="00F93F3C">
      <w:pPr>
        <w:ind w:firstLine="708"/>
        <w:jc w:val="both"/>
        <w:rPr>
          <w:rFonts w:ascii="Abadi" w:hAnsi="Abadi" w:cs="Arial"/>
          <w:sz w:val="21"/>
          <w:szCs w:val="21"/>
          <w:lang w:val="es-MX" w:eastAsia="x-none"/>
        </w:rPr>
      </w:pPr>
    </w:p>
    <w:p w14:paraId="3244BFB5" w14:textId="77777777" w:rsidR="00F93F3C" w:rsidRPr="003B065D" w:rsidRDefault="00F93F3C" w:rsidP="00F93F3C">
      <w:pPr>
        <w:ind w:firstLine="708"/>
        <w:jc w:val="both"/>
        <w:rPr>
          <w:rFonts w:ascii="Abadi" w:hAnsi="Abadi" w:cs="Arial"/>
          <w:sz w:val="21"/>
          <w:szCs w:val="21"/>
          <w:lang w:val="es-MX" w:eastAsia="x-none"/>
        </w:rPr>
      </w:pPr>
      <w:r w:rsidRPr="003B065D">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3B065D">
          <w:rPr>
            <w:rFonts w:ascii="Abadi" w:hAnsi="Abadi" w:cs="Arial"/>
            <w:sz w:val="21"/>
            <w:szCs w:val="21"/>
            <w:lang w:val="es-MX" w:eastAsia="x-none"/>
          </w:rPr>
          <w:t>la Constitución Política</w:t>
        </w:r>
      </w:smartTag>
      <w:r w:rsidRPr="003B065D">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127B4DD6" w14:textId="77777777" w:rsidR="00F93F3C" w:rsidRPr="003B065D" w:rsidRDefault="00F93F3C" w:rsidP="00F93F3C">
      <w:pPr>
        <w:ind w:firstLine="708"/>
        <w:jc w:val="both"/>
        <w:rPr>
          <w:rFonts w:ascii="Abadi" w:hAnsi="Abadi" w:cs="Arial"/>
          <w:sz w:val="21"/>
          <w:szCs w:val="21"/>
          <w:lang w:val="es-MX" w:eastAsia="x-none"/>
        </w:rPr>
      </w:pPr>
    </w:p>
    <w:p w14:paraId="1F65BE5F" w14:textId="77777777" w:rsidR="00F93F3C" w:rsidRPr="003B065D" w:rsidRDefault="00F93F3C" w:rsidP="00F93F3C">
      <w:pPr>
        <w:ind w:firstLine="708"/>
        <w:jc w:val="both"/>
        <w:rPr>
          <w:rFonts w:ascii="Abadi" w:hAnsi="Abadi" w:cs="Arial"/>
          <w:sz w:val="21"/>
          <w:szCs w:val="21"/>
          <w:lang w:val="es-MX" w:eastAsia="x-none"/>
        </w:rPr>
      </w:pPr>
      <w:r w:rsidRPr="003B065D">
        <w:rPr>
          <w:rFonts w:ascii="Abadi" w:hAnsi="Abadi" w:cs="Arial"/>
          <w:sz w:val="21"/>
          <w:szCs w:val="21"/>
          <w:lang w:val="es-MX" w:eastAsia="x-none"/>
        </w:rPr>
        <w:t xml:space="preserve">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w:t>
      </w:r>
      <w:r w:rsidRPr="003B065D">
        <w:rPr>
          <w:rFonts w:ascii="Abadi" w:hAnsi="Abadi" w:cs="Arial"/>
          <w:sz w:val="21"/>
          <w:szCs w:val="21"/>
          <w:lang w:val="es-MX" w:eastAsia="x-none"/>
        </w:rPr>
        <w:lastRenderedPageBreak/>
        <w:t>observaciones de las auditorías, constituyendo una de las fases del proceso de fiscalización.</w:t>
      </w:r>
    </w:p>
    <w:p w14:paraId="1D44FBC2" w14:textId="77777777" w:rsidR="00F93F3C" w:rsidRPr="003B065D" w:rsidRDefault="00F93F3C" w:rsidP="00F93F3C">
      <w:pPr>
        <w:ind w:firstLine="708"/>
        <w:jc w:val="both"/>
        <w:rPr>
          <w:rFonts w:ascii="Abadi" w:hAnsi="Abadi" w:cs="Arial"/>
          <w:sz w:val="21"/>
          <w:szCs w:val="21"/>
          <w:lang w:val="es-MX" w:eastAsia="x-none"/>
        </w:rPr>
      </w:pPr>
    </w:p>
    <w:p w14:paraId="7A7B129F"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5E865319" w14:textId="77777777" w:rsidR="00F93F3C" w:rsidRPr="004B3C28" w:rsidRDefault="00F93F3C" w:rsidP="00F93F3C">
      <w:pPr>
        <w:pStyle w:val="Textoindependiente"/>
        <w:ind w:firstLine="708"/>
        <w:rPr>
          <w:rFonts w:ascii="Abadi" w:hAnsi="Abadi"/>
          <w:b w:val="0"/>
          <w:bCs w:val="0"/>
          <w:sz w:val="21"/>
          <w:szCs w:val="21"/>
        </w:rPr>
      </w:pPr>
    </w:p>
    <w:p w14:paraId="622ED14D"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w:t>
      </w:r>
      <w:r w:rsidRPr="003B065D">
        <w:rPr>
          <w:rFonts w:ascii="Abadi" w:hAnsi="Abadi"/>
          <w:sz w:val="21"/>
          <w:szCs w:val="21"/>
        </w:rPr>
        <w:t xml:space="preserve"> </w:t>
      </w:r>
      <w:r w:rsidRPr="004B3C28">
        <w:rPr>
          <w:rFonts w:ascii="Abadi" w:hAnsi="Abadi"/>
          <w:b w:val="0"/>
          <w:bCs w:val="0"/>
          <w:sz w:val="21"/>
          <w:szCs w:val="21"/>
        </w:rPr>
        <w:t>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9207467" w14:textId="77777777" w:rsidR="00F93F3C" w:rsidRPr="004B3C28" w:rsidRDefault="00F93F3C" w:rsidP="00F93F3C">
      <w:pPr>
        <w:pStyle w:val="Textoindependiente"/>
        <w:ind w:firstLine="708"/>
        <w:rPr>
          <w:rFonts w:ascii="Abadi" w:hAnsi="Abadi"/>
          <w:b w:val="0"/>
          <w:bCs w:val="0"/>
          <w:sz w:val="21"/>
          <w:szCs w:val="21"/>
        </w:rPr>
      </w:pPr>
    </w:p>
    <w:p w14:paraId="2D1E6FCE"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4B3C28">
          <w:rPr>
            <w:rFonts w:ascii="Abadi" w:hAnsi="Abadi"/>
            <w:b w:val="0"/>
            <w:bCs w:val="0"/>
            <w:sz w:val="21"/>
            <w:szCs w:val="21"/>
          </w:rPr>
          <w:t>la Ley Orgánica</w:t>
        </w:r>
      </w:smartTag>
      <w:r w:rsidRPr="004B3C28">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3B40A41" w14:textId="77777777" w:rsidR="00F93F3C" w:rsidRPr="004B3C28" w:rsidRDefault="00F93F3C" w:rsidP="00F93F3C">
      <w:pPr>
        <w:pStyle w:val="Textoindependiente"/>
        <w:ind w:firstLine="708"/>
        <w:rPr>
          <w:rFonts w:ascii="Abadi" w:hAnsi="Abadi"/>
          <w:b w:val="0"/>
          <w:bCs w:val="0"/>
          <w:sz w:val="21"/>
          <w:szCs w:val="21"/>
        </w:rPr>
      </w:pPr>
    </w:p>
    <w:p w14:paraId="2CFA1FFA"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2A994C9" w14:textId="77777777" w:rsidR="00F93F3C" w:rsidRPr="004B3C28" w:rsidRDefault="00F93F3C" w:rsidP="00F93F3C">
      <w:pPr>
        <w:ind w:firstLine="708"/>
        <w:jc w:val="both"/>
        <w:rPr>
          <w:rFonts w:ascii="Abadi" w:hAnsi="Abadi" w:cs="Arial"/>
          <w:sz w:val="21"/>
          <w:szCs w:val="21"/>
          <w:lang w:val="es-MX" w:eastAsia="x-none"/>
        </w:rPr>
      </w:pPr>
      <w:r w:rsidRPr="004B3C28">
        <w:rPr>
          <w:rFonts w:ascii="Abadi" w:hAnsi="Abadi" w:cs="Arial"/>
          <w:sz w:val="21"/>
          <w:szCs w:val="21"/>
          <w:lang w:val="es-MX" w:eastAsia="x-none"/>
        </w:rPr>
        <w:t>II. Antecedentes:</w:t>
      </w:r>
    </w:p>
    <w:p w14:paraId="0EBDAA21" w14:textId="77777777" w:rsidR="00F93F3C" w:rsidRPr="004B3C28" w:rsidRDefault="00F93F3C" w:rsidP="00F93F3C">
      <w:pPr>
        <w:ind w:firstLine="708"/>
        <w:jc w:val="both"/>
        <w:rPr>
          <w:rFonts w:ascii="Abadi" w:hAnsi="Abadi" w:cs="Arial"/>
          <w:sz w:val="21"/>
          <w:szCs w:val="21"/>
          <w:lang w:val="es-MX" w:eastAsia="x-none"/>
        </w:rPr>
      </w:pPr>
    </w:p>
    <w:p w14:paraId="1D3475ED" w14:textId="77777777" w:rsidR="00F93F3C" w:rsidRPr="004B3C28" w:rsidRDefault="00F93F3C" w:rsidP="00F93F3C">
      <w:pPr>
        <w:ind w:firstLine="708"/>
        <w:jc w:val="both"/>
        <w:rPr>
          <w:rFonts w:ascii="Abadi" w:hAnsi="Abadi" w:cs="Arial"/>
          <w:sz w:val="21"/>
          <w:szCs w:val="21"/>
          <w:lang w:val="es-MX" w:eastAsia="x-none"/>
        </w:rPr>
      </w:pPr>
      <w:r w:rsidRPr="004B3C2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4B3C28">
          <w:rPr>
            <w:rFonts w:ascii="Abadi" w:hAnsi="Abadi" w:cs="Arial"/>
            <w:sz w:val="21"/>
            <w:szCs w:val="21"/>
            <w:lang w:val="es-MX" w:eastAsia="x-none"/>
          </w:rPr>
          <w:t>la Constitución Política</w:t>
        </w:r>
      </w:smartTag>
      <w:r w:rsidRPr="004B3C2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09CD8F2" w14:textId="77777777" w:rsidR="00F93F3C" w:rsidRPr="004B3C28" w:rsidRDefault="00F93F3C" w:rsidP="00F93F3C">
      <w:pPr>
        <w:ind w:firstLine="708"/>
        <w:jc w:val="both"/>
        <w:rPr>
          <w:rFonts w:ascii="Abadi" w:hAnsi="Abadi" w:cs="Arial"/>
          <w:sz w:val="21"/>
          <w:szCs w:val="21"/>
          <w:lang w:val="es-MX" w:eastAsia="x-none"/>
        </w:rPr>
      </w:pPr>
    </w:p>
    <w:p w14:paraId="1C3B7935"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Por su parte, el artículo 66 de la Constitución Política Local, establece que los </w:t>
      </w:r>
      <w:r w:rsidRPr="004B3C28">
        <w:rPr>
          <w:rFonts w:ascii="Abadi" w:hAnsi="Abadi"/>
          <w:b w:val="0"/>
          <w:bCs w:val="0"/>
          <w:sz w:val="21"/>
          <w:szCs w:val="21"/>
        </w:rPr>
        <w:t>sujetos de fiscalización presentarán al Congreso del Estado los informes financieros y su cuenta pública con la periodicidad, forma y términos que establezca la Ley.</w:t>
      </w:r>
    </w:p>
    <w:p w14:paraId="30A5B010" w14:textId="77777777" w:rsidR="00F93F3C" w:rsidRPr="004B3C28" w:rsidRDefault="00F93F3C" w:rsidP="00F93F3C">
      <w:pPr>
        <w:pStyle w:val="Textoindependiente"/>
        <w:ind w:firstLine="708"/>
        <w:rPr>
          <w:rFonts w:ascii="Abadi" w:hAnsi="Abadi"/>
          <w:b w:val="0"/>
          <w:bCs w:val="0"/>
          <w:sz w:val="21"/>
          <w:szCs w:val="21"/>
        </w:rPr>
      </w:pPr>
    </w:p>
    <w:p w14:paraId="5F601191"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038ECF45" w14:textId="77777777" w:rsidR="00F93F3C" w:rsidRPr="004B3C28" w:rsidRDefault="00F93F3C" w:rsidP="00F93F3C">
      <w:pPr>
        <w:pStyle w:val="Textoindependiente"/>
        <w:ind w:firstLine="708"/>
        <w:rPr>
          <w:rFonts w:ascii="Abadi" w:hAnsi="Abadi"/>
          <w:b w:val="0"/>
          <w:bCs w:val="0"/>
          <w:sz w:val="21"/>
          <w:szCs w:val="21"/>
        </w:rPr>
      </w:pPr>
    </w:p>
    <w:p w14:paraId="18B22EEF"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6BF4864" w14:textId="77777777" w:rsidR="00F93F3C" w:rsidRPr="004B3C28" w:rsidRDefault="00F93F3C" w:rsidP="00F93F3C">
      <w:pPr>
        <w:pStyle w:val="Textoindependiente"/>
        <w:ind w:firstLine="708"/>
        <w:rPr>
          <w:rFonts w:ascii="Abadi" w:hAnsi="Abadi"/>
          <w:b w:val="0"/>
          <w:bCs w:val="0"/>
          <w:sz w:val="21"/>
          <w:szCs w:val="21"/>
        </w:rPr>
      </w:pPr>
    </w:p>
    <w:p w14:paraId="7348D554"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C2CEFC6" w14:textId="77777777" w:rsidR="00F93F3C" w:rsidRPr="004B3C28" w:rsidRDefault="00F93F3C" w:rsidP="00F93F3C">
      <w:pPr>
        <w:ind w:firstLine="708"/>
        <w:jc w:val="both"/>
        <w:rPr>
          <w:rFonts w:ascii="Abadi" w:hAnsi="Abadi" w:cs="Arial"/>
          <w:sz w:val="21"/>
          <w:szCs w:val="21"/>
          <w:lang w:val="es-MX" w:eastAsia="x-none"/>
        </w:rPr>
      </w:pPr>
    </w:p>
    <w:p w14:paraId="72F76D4C" w14:textId="77777777" w:rsidR="00F93F3C" w:rsidRPr="004B3C28" w:rsidRDefault="00F93F3C" w:rsidP="00F93F3C">
      <w:pPr>
        <w:ind w:firstLine="708"/>
        <w:jc w:val="both"/>
        <w:rPr>
          <w:rFonts w:ascii="Abadi" w:hAnsi="Abadi" w:cs="Arial"/>
          <w:sz w:val="21"/>
          <w:szCs w:val="21"/>
          <w:lang w:val="es-MX" w:eastAsia="x-none"/>
        </w:rPr>
      </w:pPr>
      <w:r w:rsidRPr="004B3C28">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4B3C28">
          <w:rPr>
            <w:rFonts w:ascii="Abadi" w:hAnsi="Abadi" w:cs="Arial"/>
            <w:sz w:val="21"/>
            <w:szCs w:val="21"/>
            <w:lang w:val="es-MX" w:eastAsia="x-none"/>
          </w:rPr>
          <w:t>la Ley Orgánica</w:t>
        </w:r>
      </w:smartTag>
      <w:r w:rsidRPr="004B3C28">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1928EBCE" w14:textId="77777777" w:rsidR="00F93F3C" w:rsidRPr="004B3C28" w:rsidRDefault="00F93F3C" w:rsidP="00F93F3C">
      <w:pPr>
        <w:ind w:firstLine="708"/>
        <w:jc w:val="both"/>
        <w:rPr>
          <w:rFonts w:ascii="Abadi" w:hAnsi="Abadi" w:cs="Arial"/>
          <w:sz w:val="21"/>
          <w:szCs w:val="21"/>
          <w:lang w:val="es-MX" w:eastAsia="x-none"/>
        </w:rPr>
      </w:pPr>
    </w:p>
    <w:p w14:paraId="34A96DCE" w14:textId="77777777" w:rsidR="00F93F3C" w:rsidRPr="004B3C28" w:rsidRDefault="00F93F3C" w:rsidP="00F93F3C">
      <w:pPr>
        <w:ind w:right="60" w:firstLine="709"/>
        <w:jc w:val="both"/>
        <w:rPr>
          <w:rFonts w:ascii="Abadi" w:hAnsi="Abadi" w:cs="Arial"/>
          <w:sz w:val="21"/>
          <w:szCs w:val="21"/>
          <w:lang w:val="es-MX" w:eastAsia="x-none"/>
        </w:rPr>
      </w:pPr>
      <w:r w:rsidRPr="004B3C28">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62E6557F" w14:textId="77777777" w:rsidR="00F93F3C" w:rsidRPr="004B3C28" w:rsidRDefault="00F93F3C" w:rsidP="00F93F3C">
      <w:pPr>
        <w:ind w:right="58" w:firstLine="709"/>
        <w:jc w:val="both"/>
        <w:rPr>
          <w:rFonts w:ascii="Abadi" w:eastAsia="DejaVu Sans" w:hAnsi="Abadi" w:cs="Tahoma"/>
          <w:iCs/>
          <w:kern w:val="1"/>
          <w:sz w:val="21"/>
          <w:szCs w:val="21"/>
          <w:lang w:eastAsia="ar-SA"/>
        </w:rPr>
      </w:pPr>
    </w:p>
    <w:p w14:paraId="396AC4ED" w14:textId="77777777" w:rsidR="00F93F3C" w:rsidRPr="004B3C28" w:rsidRDefault="00F93F3C" w:rsidP="00F93F3C">
      <w:pPr>
        <w:ind w:firstLine="708"/>
        <w:jc w:val="both"/>
        <w:rPr>
          <w:rFonts w:ascii="Abadi" w:hAnsi="Abadi" w:cs="Arial"/>
          <w:sz w:val="21"/>
          <w:szCs w:val="21"/>
          <w:lang w:val="es-MX" w:eastAsia="x-none"/>
        </w:rPr>
      </w:pPr>
      <w:r w:rsidRPr="004B3C28">
        <w:rPr>
          <w:rFonts w:ascii="Abadi" w:hAnsi="Abadi" w:cs="Arial"/>
          <w:sz w:val="21"/>
          <w:szCs w:val="21"/>
          <w:lang w:val="es-MX" w:eastAsia="x-none"/>
        </w:rPr>
        <w:t xml:space="preserve">El artículo 74 de la Ley para el Ejercicio y Control de los Recursos Públicos para el Estado y los Municipios de Guanajuato </w:t>
      </w:r>
      <w:r w:rsidRPr="004B3C28">
        <w:rPr>
          <w:rFonts w:ascii="Abadi" w:hAnsi="Abadi" w:cs="Arial"/>
          <w:sz w:val="21"/>
          <w:szCs w:val="21"/>
          <w:lang w:val="es-MX" w:eastAsia="x-none"/>
        </w:rPr>
        <w:lastRenderedPageBreak/>
        <w:t xml:space="preserve">señala que el Congreso establecerá los lineamientos para integrar la cuenta pública del Poder Ejecutivo, del Poder Judicial, de los Organismos Autónomos y de los municipios. </w:t>
      </w:r>
    </w:p>
    <w:p w14:paraId="50117F21" w14:textId="77777777" w:rsidR="00F93F3C" w:rsidRPr="004B3C28" w:rsidRDefault="00F93F3C" w:rsidP="00F93F3C">
      <w:pPr>
        <w:pStyle w:val="Textoindependiente"/>
        <w:ind w:firstLine="708"/>
        <w:rPr>
          <w:rFonts w:ascii="Abadi" w:hAnsi="Abadi"/>
          <w:b w:val="0"/>
          <w:bCs w:val="0"/>
          <w:sz w:val="21"/>
          <w:szCs w:val="21"/>
        </w:rPr>
      </w:pPr>
    </w:p>
    <w:p w14:paraId="4A46F652"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F647FC2" w14:textId="77777777" w:rsidR="00F93F3C" w:rsidRPr="004B3C28" w:rsidRDefault="00F93F3C" w:rsidP="00F93F3C">
      <w:pPr>
        <w:pStyle w:val="Textoindependiente"/>
        <w:ind w:firstLine="708"/>
        <w:rPr>
          <w:rFonts w:ascii="Abadi" w:hAnsi="Abadi"/>
          <w:b w:val="0"/>
          <w:bCs w:val="0"/>
          <w:sz w:val="21"/>
          <w:szCs w:val="21"/>
        </w:rPr>
      </w:pPr>
    </w:p>
    <w:p w14:paraId="6D85F264" w14:textId="77777777" w:rsidR="00F93F3C" w:rsidRPr="004B3C28" w:rsidRDefault="00F93F3C" w:rsidP="00F93F3C">
      <w:pPr>
        <w:ind w:right="60" w:firstLine="709"/>
        <w:jc w:val="both"/>
        <w:rPr>
          <w:rFonts w:ascii="Abadi" w:hAnsi="Abadi" w:cs="Arial"/>
          <w:sz w:val="21"/>
          <w:szCs w:val="21"/>
          <w:lang w:val="es-MX" w:eastAsia="x-none"/>
        </w:rPr>
      </w:pPr>
      <w:r w:rsidRPr="004B3C28">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6B0DA04" w14:textId="77777777" w:rsidR="00F93F3C" w:rsidRPr="004B3C28" w:rsidRDefault="00F93F3C" w:rsidP="00F93F3C">
      <w:pPr>
        <w:pStyle w:val="Textoindependiente"/>
        <w:ind w:firstLine="708"/>
        <w:rPr>
          <w:rFonts w:ascii="Abadi" w:hAnsi="Abadi"/>
          <w:b w:val="0"/>
          <w:bCs w:val="0"/>
          <w:sz w:val="21"/>
          <w:szCs w:val="21"/>
        </w:rPr>
      </w:pPr>
    </w:p>
    <w:p w14:paraId="09A8B6AE"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2874E1EB" w14:textId="77777777" w:rsidR="00F93F3C" w:rsidRPr="004B3C28" w:rsidRDefault="00F93F3C" w:rsidP="00F93F3C">
      <w:pPr>
        <w:pStyle w:val="Textoindependiente"/>
        <w:ind w:firstLine="708"/>
        <w:rPr>
          <w:rFonts w:ascii="Abadi" w:hAnsi="Abadi"/>
          <w:b w:val="0"/>
          <w:bCs w:val="0"/>
          <w:sz w:val="21"/>
          <w:szCs w:val="21"/>
        </w:rPr>
      </w:pPr>
    </w:p>
    <w:p w14:paraId="270BAA65" w14:textId="77777777" w:rsidR="00F93F3C" w:rsidRPr="004B3C28" w:rsidRDefault="00F93F3C" w:rsidP="00F93F3C">
      <w:pPr>
        <w:tabs>
          <w:tab w:val="left" w:pos="709"/>
        </w:tabs>
        <w:jc w:val="both"/>
        <w:rPr>
          <w:rFonts w:ascii="Abadi" w:hAnsi="Abadi" w:cs="Arial"/>
          <w:sz w:val="21"/>
          <w:szCs w:val="21"/>
          <w:lang w:val="es-MX" w:eastAsia="x-none"/>
        </w:rPr>
      </w:pPr>
      <w:r w:rsidRPr="004B3C28">
        <w:rPr>
          <w:rFonts w:ascii="Abadi" w:hAnsi="Abadi" w:cs="Arial"/>
          <w:sz w:val="21"/>
          <w:szCs w:val="21"/>
        </w:rPr>
        <w:tab/>
        <w:t xml:space="preserve">El citado artículo también refiere </w:t>
      </w:r>
      <w:r w:rsidRPr="004B3C28">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594BD1C" w14:textId="77777777" w:rsidR="00F93F3C" w:rsidRPr="004B3C28" w:rsidRDefault="00F93F3C" w:rsidP="00F93F3C">
      <w:pPr>
        <w:tabs>
          <w:tab w:val="left" w:pos="709"/>
        </w:tabs>
        <w:jc w:val="both"/>
        <w:rPr>
          <w:rFonts w:ascii="Abadi" w:hAnsi="Abadi" w:cs="Arial"/>
          <w:sz w:val="21"/>
          <w:szCs w:val="21"/>
          <w:lang w:val="es-MX" w:eastAsia="x-none"/>
        </w:rPr>
      </w:pPr>
      <w:r w:rsidRPr="004B3C28">
        <w:rPr>
          <w:rFonts w:ascii="Abadi" w:hAnsi="Abadi" w:cs="Arial"/>
          <w:sz w:val="21"/>
          <w:szCs w:val="21"/>
          <w:lang w:val="es-MX" w:eastAsia="x-none"/>
        </w:rPr>
        <w:tab/>
        <w:t xml:space="preserve">En términos del numeral 23 de la </w:t>
      </w:r>
      <w:r w:rsidRPr="004B3C28">
        <w:rPr>
          <w:rFonts w:ascii="Abadi" w:hAnsi="Abadi" w:cs="Arial"/>
          <w:sz w:val="21"/>
          <w:szCs w:val="21"/>
        </w:rPr>
        <w:t>Ley de Fiscalización Superior del Estado de Guanajuato, p</w:t>
      </w:r>
      <w:r w:rsidRPr="004B3C28">
        <w:rPr>
          <w:rFonts w:ascii="Abadi" w:hAnsi="Abadi" w:cs="Arial"/>
          <w:sz w:val="21"/>
          <w:szCs w:val="21"/>
          <w:lang w:val="es-MX" w:eastAsia="x-none"/>
        </w:rPr>
        <w:t xml:space="preserve">ara efecto de la revisión de la cuenta pública, la Auditoría Superior podrá considerar el contenido de las cédulas de </w:t>
      </w:r>
      <w:r w:rsidRPr="004B3C28">
        <w:rPr>
          <w:rFonts w:ascii="Abadi" w:hAnsi="Abadi" w:cs="Arial"/>
          <w:sz w:val="21"/>
          <w:szCs w:val="21"/>
          <w:lang w:val="es-MX" w:eastAsia="x-none"/>
        </w:rPr>
        <w:t>resultados que se dieron a conocer a los sujetos de fiscalización en el análisis de la información financiera trimestral y la evidencia que las sustenta.</w:t>
      </w:r>
    </w:p>
    <w:p w14:paraId="36279B89" w14:textId="77777777" w:rsidR="00F93F3C" w:rsidRPr="004B3C28" w:rsidRDefault="00F93F3C" w:rsidP="00F93F3C">
      <w:pPr>
        <w:tabs>
          <w:tab w:val="left" w:pos="709"/>
        </w:tabs>
        <w:jc w:val="both"/>
        <w:rPr>
          <w:rFonts w:ascii="Abadi" w:hAnsi="Abadi" w:cs="Arial"/>
          <w:sz w:val="21"/>
          <w:szCs w:val="21"/>
          <w:lang w:val="es-MX" w:eastAsia="x-none"/>
        </w:rPr>
      </w:pPr>
    </w:p>
    <w:p w14:paraId="2886B1BC" w14:textId="77777777" w:rsidR="00F93F3C" w:rsidRPr="004B3C28" w:rsidRDefault="00F93F3C" w:rsidP="00F93F3C">
      <w:pPr>
        <w:pStyle w:val="Texto"/>
        <w:spacing w:after="0" w:line="240" w:lineRule="auto"/>
        <w:ind w:firstLine="708"/>
        <w:rPr>
          <w:rFonts w:ascii="Abadi" w:hAnsi="Abadi" w:cs="Arial"/>
          <w:sz w:val="21"/>
          <w:szCs w:val="21"/>
          <w:lang w:val="es-MX"/>
        </w:rPr>
      </w:pPr>
      <w:r w:rsidRPr="004B3C28">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525D4067" w14:textId="77777777" w:rsidR="00F93F3C" w:rsidRPr="004B3C28" w:rsidRDefault="00F93F3C" w:rsidP="00F93F3C">
      <w:pPr>
        <w:pStyle w:val="Texto"/>
        <w:spacing w:after="0" w:line="240" w:lineRule="auto"/>
        <w:ind w:firstLine="708"/>
        <w:rPr>
          <w:rFonts w:ascii="Abadi" w:hAnsi="Abadi" w:cs="Arial"/>
          <w:sz w:val="21"/>
          <w:szCs w:val="21"/>
          <w:lang w:val="es-MX"/>
        </w:rPr>
      </w:pPr>
    </w:p>
    <w:p w14:paraId="5E7C97B7" w14:textId="77777777" w:rsidR="00F93F3C" w:rsidRPr="004B3C28" w:rsidRDefault="00F93F3C" w:rsidP="00F93F3C">
      <w:pPr>
        <w:pStyle w:val="Texto"/>
        <w:spacing w:after="0" w:line="240" w:lineRule="auto"/>
        <w:ind w:firstLine="708"/>
        <w:rPr>
          <w:rFonts w:ascii="Abadi" w:hAnsi="Abadi" w:cs="Arial"/>
          <w:sz w:val="21"/>
          <w:szCs w:val="21"/>
          <w:lang w:val="es-MX"/>
        </w:rPr>
      </w:pPr>
      <w:r w:rsidRPr="004B3C28">
        <w:rPr>
          <w:rFonts w:ascii="Abadi" w:hAnsi="Abadi" w:cs="Arial"/>
          <w:sz w:val="21"/>
          <w:szCs w:val="21"/>
          <w:lang w:val="es-MX"/>
        </w:rPr>
        <w:t xml:space="preserve">En cumplimiento a los citados preceptos, en su oportunidad se remitió a este Congreso del Estado, la cuenta pública municipal de Abasolo, </w:t>
      </w:r>
      <w:proofErr w:type="spellStart"/>
      <w:r w:rsidRPr="004B3C28">
        <w:rPr>
          <w:rFonts w:ascii="Abadi" w:hAnsi="Abadi" w:cs="Arial"/>
          <w:sz w:val="21"/>
          <w:szCs w:val="21"/>
          <w:lang w:val="es-MX"/>
        </w:rPr>
        <w:t>Gto</w:t>
      </w:r>
      <w:proofErr w:type="spellEnd"/>
      <w:r w:rsidRPr="004B3C28">
        <w:rPr>
          <w:rFonts w:ascii="Abadi" w:hAnsi="Abadi" w:cs="Arial"/>
          <w:sz w:val="21"/>
          <w:szCs w:val="21"/>
          <w:lang w:val="es-MX"/>
        </w:rPr>
        <w:t>., correspondiente al ejercicio fiscal del año 2021, turnándose a la Auditoría Superior del Estado para su revisión.</w:t>
      </w:r>
    </w:p>
    <w:p w14:paraId="6CD541B0" w14:textId="77777777" w:rsidR="00F93F3C" w:rsidRPr="004B3C28" w:rsidRDefault="00F93F3C" w:rsidP="00F93F3C">
      <w:pPr>
        <w:pStyle w:val="Textoindependiente"/>
        <w:ind w:firstLine="708"/>
        <w:rPr>
          <w:rFonts w:ascii="Abadi" w:hAnsi="Abadi"/>
          <w:b w:val="0"/>
          <w:bCs w:val="0"/>
          <w:sz w:val="21"/>
          <w:szCs w:val="21"/>
        </w:rPr>
      </w:pPr>
    </w:p>
    <w:p w14:paraId="4C45E097"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2FC5F12D" w14:textId="77777777" w:rsidR="00F93F3C" w:rsidRPr="004B3C28" w:rsidRDefault="00F93F3C" w:rsidP="00F93F3C">
      <w:pPr>
        <w:pStyle w:val="Textoindependiente"/>
        <w:ind w:firstLine="708"/>
        <w:rPr>
          <w:rFonts w:ascii="Abadi" w:hAnsi="Abadi"/>
          <w:b w:val="0"/>
          <w:bCs w:val="0"/>
          <w:sz w:val="21"/>
          <w:szCs w:val="21"/>
        </w:rPr>
      </w:pPr>
    </w:p>
    <w:p w14:paraId="57C20989"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correspondiente al ejercicio fiscal del año 2021.</w:t>
      </w:r>
    </w:p>
    <w:p w14:paraId="49F4C3D5" w14:textId="77777777" w:rsidR="00F93F3C" w:rsidRPr="004B3C28" w:rsidRDefault="00F93F3C" w:rsidP="00F93F3C">
      <w:pPr>
        <w:ind w:firstLine="708"/>
        <w:jc w:val="both"/>
        <w:rPr>
          <w:rFonts w:ascii="Abadi" w:hAnsi="Abadi" w:cs="Arial"/>
          <w:sz w:val="21"/>
          <w:szCs w:val="21"/>
          <w:lang w:val="es-MX" w:eastAsia="x-none"/>
        </w:rPr>
      </w:pPr>
    </w:p>
    <w:p w14:paraId="4E098DE8" w14:textId="77777777" w:rsidR="00F93F3C" w:rsidRPr="004B3C28" w:rsidRDefault="00F93F3C" w:rsidP="00F93F3C">
      <w:pPr>
        <w:ind w:firstLine="708"/>
        <w:jc w:val="both"/>
        <w:rPr>
          <w:rFonts w:ascii="Abadi" w:hAnsi="Abadi" w:cs="Arial"/>
          <w:sz w:val="21"/>
          <w:szCs w:val="21"/>
          <w:lang w:val="es-MX" w:eastAsia="x-none"/>
        </w:rPr>
      </w:pPr>
      <w:r w:rsidRPr="004B3C28">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el 20 de abril de 2023, para su estudio y </w:t>
      </w:r>
      <w:r w:rsidRPr="004B3C28">
        <w:rPr>
          <w:rFonts w:ascii="Abadi" w:hAnsi="Abadi" w:cs="Arial"/>
          <w:sz w:val="21"/>
          <w:szCs w:val="21"/>
          <w:lang w:val="es-MX" w:eastAsia="x-none"/>
        </w:rPr>
        <w:lastRenderedPageBreak/>
        <w:t>dictamen, siendo radicado el 2 de mayo del año en curso.</w:t>
      </w:r>
    </w:p>
    <w:p w14:paraId="5F95DAB7" w14:textId="77777777" w:rsidR="00F93F3C" w:rsidRPr="004B3C28" w:rsidRDefault="00F93F3C" w:rsidP="00F93F3C">
      <w:pPr>
        <w:ind w:firstLine="708"/>
        <w:jc w:val="both"/>
        <w:rPr>
          <w:rFonts w:ascii="Abadi" w:hAnsi="Abadi" w:cs="Arial"/>
          <w:sz w:val="21"/>
          <w:szCs w:val="21"/>
          <w:lang w:val="es-MX" w:eastAsia="x-none"/>
        </w:rPr>
      </w:pPr>
    </w:p>
    <w:p w14:paraId="12F48BBB" w14:textId="77777777" w:rsidR="00F93F3C" w:rsidRPr="004B3C28" w:rsidRDefault="00F93F3C" w:rsidP="00F93F3C">
      <w:pPr>
        <w:ind w:firstLine="708"/>
        <w:jc w:val="both"/>
        <w:rPr>
          <w:rFonts w:ascii="Abadi" w:hAnsi="Abadi" w:cs="Arial"/>
          <w:b/>
          <w:bCs/>
          <w:sz w:val="21"/>
          <w:szCs w:val="21"/>
          <w:lang w:val="es-MX" w:eastAsia="x-none"/>
        </w:rPr>
      </w:pPr>
    </w:p>
    <w:p w14:paraId="4AA131F7" w14:textId="77777777" w:rsidR="00F93F3C" w:rsidRPr="004B3C28" w:rsidRDefault="00F93F3C" w:rsidP="00F93F3C">
      <w:pPr>
        <w:pStyle w:val="Textoindependiente"/>
        <w:ind w:firstLine="708"/>
        <w:rPr>
          <w:rFonts w:ascii="Abadi" w:hAnsi="Abadi"/>
          <w:sz w:val="21"/>
          <w:szCs w:val="21"/>
        </w:rPr>
      </w:pPr>
      <w:r w:rsidRPr="004B3C28">
        <w:rPr>
          <w:rFonts w:ascii="Abadi" w:hAnsi="Abadi"/>
          <w:sz w:val="21"/>
          <w:szCs w:val="21"/>
        </w:rPr>
        <w:t>III. Procedimiento de Revisión:</w:t>
      </w:r>
    </w:p>
    <w:p w14:paraId="2506B0F1" w14:textId="77777777" w:rsidR="00F93F3C" w:rsidRPr="004B3C28" w:rsidRDefault="00F93F3C" w:rsidP="00F93F3C">
      <w:pPr>
        <w:pStyle w:val="Textoindependiente"/>
        <w:ind w:firstLine="708"/>
        <w:rPr>
          <w:rFonts w:ascii="Abadi" w:hAnsi="Abadi"/>
          <w:sz w:val="21"/>
          <w:szCs w:val="21"/>
        </w:rPr>
      </w:pPr>
    </w:p>
    <w:p w14:paraId="0CBEC9B9"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La revisión de la cuenta pública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E4D6C37" w14:textId="77777777" w:rsidR="00F93F3C" w:rsidRPr="004B3C28" w:rsidRDefault="00F93F3C" w:rsidP="00F93F3C">
      <w:pPr>
        <w:pStyle w:val="Textoindependiente"/>
        <w:ind w:firstLine="708"/>
        <w:rPr>
          <w:rFonts w:ascii="Abadi" w:hAnsi="Abadi"/>
          <w:b w:val="0"/>
          <w:bCs w:val="0"/>
          <w:sz w:val="21"/>
          <w:szCs w:val="21"/>
        </w:rPr>
      </w:pPr>
    </w:p>
    <w:p w14:paraId="4B3D41B0"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80DD043" w14:textId="77777777" w:rsidR="00F93F3C" w:rsidRPr="004B3C28" w:rsidRDefault="00F93F3C" w:rsidP="00F93F3C">
      <w:pPr>
        <w:pStyle w:val="Textoindependiente"/>
        <w:ind w:firstLine="708"/>
        <w:rPr>
          <w:rFonts w:ascii="Abadi" w:hAnsi="Abadi"/>
          <w:b w:val="0"/>
          <w:bCs w:val="0"/>
          <w:sz w:val="21"/>
          <w:szCs w:val="21"/>
        </w:rPr>
      </w:pPr>
    </w:p>
    <w:p w14:paraId="14FB4D38"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w:t>
      </w:r>
      <w:r w:rsidRPr="004B3C28">
        <w:rPr>
          <w:rFonts w:ascii="Abadi" w:hAnsi="Abadi"/>
          <w:b w:val="0"/>
          <w:bCs w:val="0"/>
          <w:sz w:val="21"/>
          <w:szCs w:val="21"/>
        </w:rPr>
        <w:t>Estado, en fechas 25 de enero y 28 de febrero de 2017 respectivamente.</w:t>
      </w:r>
    </w:p>
    <w:p w14:paraId="07CE1DA3" w14:textId="77777777" w:rsidR="00F93F3C" w:rsidRPr="004B3C28" w:rsidRDefault="00F93F3C" w:rsidP="00F93F3C">
      <w:pPr>
        <w:pStyle w:val="Textoindependiente"/>
        <w:ind w:firstLine="708"/>
        <w:rPr>
          <w:rFonts w:ascii="Abadi" w:hAnsi="Abadi"/>
          <w:b w:val="0"/>
          <w:bCs w:val="0"/>
          <w:sz w:val="21"/>
          <w:szCs w:val="21"/>
        </w:rPr>
      </w:pPr>
    </w:p>
    <w:p w14:paraId="4380DE7C"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1E407EC" w14:textId="77777777" w:rsidR="00F93F3C" w:rsidRPr="004B3C28" w:rsidRDefault="00F93F3C" w:rsidP="00F93F3C">
      <w:pPr>
        <w:pStyle w:val="Textoindependiente"/>
        <w:ind w:firstLine="708"/>
        <w:rPr>
          <w:rFonts w:ascii="Abadi" w:hAnsi="Abadi"/>
          <w:b w:val="0"/>
          <w:bCs w:val="0"/>
          <w:sz w:val="21"/>
          <w:szCs w:val="21"/>
        </w:rPr>
      </w:pPr>
    </w:p>
    <w:p w14:paraId="6410D082"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El informe de resultados establece que se practicó la revisión de la cuenta pública respecto de las operaciones realizadas por la administración pública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correspondientes al ejercicio fiscal 2021, en lo referente a los apartados de ingresos y egresos.</w:t>
      </w:r>
    </w:p>
    <w:p w14:paraId="741BFB04" w14:textId="77777777" w:rsidR="00F93F3C" w:rsidRPr="004B3C28" w:rsidRDefault="00F93F3C" w:rsidP="00F93F3C">
      <w:pPr>
        <w:pStyle w:val="Textoindependiente"/>
        <w:ind w:firstLine="705"/>
        <w:rPr>
          <w:rFonts w:ascii="Abadi" w:hAnsi="Abadi"/>
          <w:b w:val="0"/>
          <w:bCs w:val="0"/>
          <w:sz w:val="21"/>
          <w:szCs w:val="21"/>
        </w:rPr>
      </w:pPr>
    </w:p>
    <w:p w14:paraId="7079C8F4" w14:textId="77777777" w:rsidR="00F93F3C" w:rsidRPr="003B065D" w:rsidRDefault="00F93F3C" w:rsidP="00F93F3C">
      <w:pPr>
        <w:autoSpaceDE w:val="0"/>
        <w:autoSpaceDN w:val="0"/>
        <w:adjustRightInd w:val="0"/>
        <w:ind w:firstLine="708"/>
        <w:jc w:val="both"/>
        <w:rPr>
          <w:rFonts w:ascii="Abadi" w:hAnsi="Abadi" w:cs="Arial"/>
          <w:sz w:val="21"/>
          <w:szCs w:val="21"/>
          <w:lang w:val="es-MX" w:eastAsia="x-none"/>
        </w:rPr>
      </w:pPr>
      <w:r w:rsidRPr="003B065D">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w:t>
      </w:r>
      <w:r w:rsidRPr="003B065D">
        <w:rPr>
          <w:rFonts w:ascii="Abadi" w:hAnsi="Abadi" w:cs="Arial"/>
          <w:sz w:val="21"/>
          <w:szCs w:val="21"/>
          <w:lang w:val="es-MX" w:eastAsia="x-none"/>
        </w:rPr>
        <w:lastRenderedPageBreak/>
        <w:t xml:space="preserve">diseñar procedimientos de auditoría, pero no con la finalidad de expresar una opinión sobre la eficiencia del mismo. </w:t>
      </w:r>
    </w:p>
    <w:p w14:paraId="0B1F2644" w14:textId="77777777" w:rsidR="00F93F3C" w:rsidRPr="003B065D" w:rsidRDefault="00F93F3C" w:rsidP="00F93F3C">
      <w:pPr>
        <w:autoSpaceDE w:val="0"/>
        <w:autoSpaceDN w:val="0"/>
        <w:adjustRightInd w:val="0"/>
        <w:ind w:firstLine="708"/>
        <w:jc w:val="both"/>
        <w:rPr>
          <w:rFonts w:ascii="Abadi" w:hAnsi="Abadi" w:cs="Arial"/>
          <w:sz w:val="21"/>
          <w:szCs w:val="21"/>
          <w:lang w:val="es-MX" w:eastAsia="x-none"/>
        </w:rPr>
      </w:pPr>
    </w:p>
    <w:p w14:paraId="313C0AA1" w14:textId="77777777" w:rsidR="00F93F3C" w:rsidRPr="003B065D" w:rsidRDefault="00F93F3C" w:rsidP="00F93F3C">
      <w:pPr>
        <w:ind w:firstLine="708"/>
        <w:jc w:val="both"/>
        <w:rPr>
          <w:rFonts w:ascii="Abadi" w:hAnsi="Abadi" w:cs="Arial"/>
          <w:sz w:val="21"/>
          <w:szCs w:val="21"/>
          <w:lang w:val="es-MX" w:eastAsia="x-none"/>
        </w:rPr>
      </w:pPr>
    </w:p>
    <w:p w14:paraId="67708A91" w14:textId="77777777" w:rsidR="00F93F3C" w:rsidRPr="003B065D" w:rsidRDefault="00F93F3C" w:rsidP="00F93F3C">
      <w:pPr>
        <w:ind w:firstLine="708"/>
        <w:jc w:val="both"/>
        <w:rPr>
          <w:rFonts w:ascii="Abadi" w:hAnsi="Abadi" w:cs="Arial"/>
          <w:sz w:val="21"/>
          <w:szCs w:val="21"/>
          <w:lang w:val="es-MX" w:eastAsia="x-none"/>
        </w:rPr>
      </w:pPr>
      <w:r w:rsidRPr="003B065D">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3B065D">
        <w:rPr>
          <w:rFonts w:ascii="Abadi" w:hAnsi="Abadi" w:cs="Arial"/>
          <w:sz w:val="21"/>
          <w:szCs w:val="21"/>
          <w:lang w:val="es-MX" w:eastAsia="x-none"/>
        </w:rPr>
        <w:t>fiscalizado</w:t>
      </w:r>
      <w:proofErr w:type="spellEnd"/>
      <w:r w:rsidRPr="003B065D">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6380D2D6" w14:textId="77777777" w:rsidR="00F93F3C" w:rsidRPr="003B065D" w:rsidRDefault="00F93F3C" w:rsidP="00F93F3C">
      <w:pPr>
        <w:ind w:firstLine="708"/>
        <w:jc w:val="both"/>
        <w:rPr>
          <w:rFonts w:ascii="Abadi" w:hAnsi="Abadi" w:cs="Arial"/>
          <w:sz w:val="21"/>
          <w:szCs w:val="21"/>
          <w:lang w:val="es-MX" w:eastAsia="x-none"/>
        </w:rPr>
      </w:pPr>
    </w:p>
    <w:p w14:paraId="602546BD"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El 30 de junio de 2022 se notificó a la presidenta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 la orden de inicio del procedimiento de revisión de la cuenta pública.</w:t>
      </w:r>
    </w:p>
    <w:p w14:paraId="1117A930" w14:textId="77777777" w:rsidR="00F93F3C" w:rsidRPr="003B065D" w:rsidRDefault="00F93F3C" w:rsidP="00F93F3C">
      <w:pPr>
        <w:ind w:firstLine="708"/>
        <w:jc w:val="both"/>
        <w:rPr>
          <w:rFonts w:ascii="Abadi" w:hAnsi="Abadi" w:cs="Arial"/>
          <w:sz w:val="21"/>
          <w:szCs w:val="21"/>
        </w:rPr>
      </w:pPr>
    </w:p>
    <w:p w14:paraId="53C258D3"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El 29 de noviembre de 2022 se notificó a la presidenta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61D66DF1" w14:textId="77777777" w:rsidR="00F93F3C" w:rsidRPr="003B065D" w:rsidRDefault="00F93F3C" w:rsidP="00F93F3C">
      <w:pPr>
        <w:ind w:firstLine="708"/>
        <w:jc w:val="both"/>
        <w:rPr>
          <w:rFonts w:ascii="Abadi" w:hAnsi="Abadi" w:cs="Arial"/>
          <w:sz w:val="21"/>
          <w:szCs w:val="21"/>
        </w:rPr>
      </w:pPr>
    </w:p>
    <w:p w14:paraId="7A44A7D7"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Posteriormente, el 20 de febrero de 2023, se notificó a la presidenta y al ex presidente municipales de Abasolo, </w:t>
      </w:r>
      <w:proofErr w:type="spellStart"/>
      <w:r w:rsidRPr="003B065D">
        <w:rPr>
          <w:rFonts w:ascii="Abadi" w:hAnsi="Abadi" w:cs="Arial"/>
          <w:sz w:val="21"/>
          <w:szCs w:val="21"/>
        </w:rPr>
        <w:t>Gto</w:t>
      </w:r>
      <w:proofErr w:type="spellEnd"/>
      <w:r w:rsidRPr="003B065D">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el 13 de marzo de 2023 por parte de la presidenta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w:t>
      </w:r>
    </w:p>
    <w:p w14:paraId="36E7D586" w14:textId="77777777" w:rsidR="00F93F3C" w:rsidRPr="003B065D" w:rsidRDefault="00F93F3C" w:rsidP="00F93F3C">
      <w:pPr>
        <w:ind w:firstLine="708"/>
        <w:jc w:val="both"/>
        <w:rPr>
          <w:rFonts w:ascii="Abadi" w:hAnsi="Abadi" w:cs="Arial"/>
          <w:sz w:val="21"/>
          <w:szCs w:val="21"/>
        </w:rPr>
      </w:pPr>
    </w:p>
    <w:p w14:paraId="76F7373D"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El 21 de marzo de 2023, el informe de resultados se notificó a la presidenta y al ex presidente municipales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50F1CE5" w14:textId="77777777" w:rsidR="00F93F3C" w:rsidRPr="004B3C28" w:rsidRDefault="00F93F3C" w:rsidP="00F93F3C">
      <w:pPr>
        <w:pStyle w:val="Textoindependiente"/>
        <w:ind w:firstLine="708"/>
        <w:rPr>
          <w:rFonts w:ascii="Abadi" w:hAnsi="Abadi"/>
          <w:b w:val="0"/>
          <w:bCs w:val="0"/>
          <w:sz w:val="21"/>
          <w:szCs w:val="21"/>
        </w:rPr>
      </w:pPr>
    </w:p>
    <w:p w14:paraId="2FD428E0"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la presidenta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w:t>
      </w:r>
    </w:p>
    <w:p w14:paraId="7930EF3D" w14:textId="77777777" w:rsidR="00F93F3C" w:rsidRPr="004B3C28" w:rsidRDefault="00F93F3C" w:rsidP="00F93F3C">
      <w:pPr>
        <w:ind w:firstLine="708"/>
        <w:jc w:val="both"/>
        <w:rPr>
          <w:rFonts w:ascii="Abadi" w:hAnsi="Abadi"/>
          <w:sz w:val="21"/>
          <w:szCs w:val="21"/>
        </w:rPr>
      </w:pPr>
    </w:p>
    <w:p w14:paraId="6556FD81" w14:textId="77777777" w:rsidR="00F93F3C" w:rsidRPr="004B3C28" w:rsidRDefault="00F93F3C" w:rsidP="00F93F3C">
      <w:pPr>
        <w:ind w:firstLine="708"/>
        <w:jc w:val="both"/>
        <w:rPr>
          <w:rFonts w:ascii="Abadi" w:hAnsi="Abadi"/>
          <w:sz w:val="21"/>
          <w:szCs w:val="21"/>
        </w:rPr>
      </w:pPr>
    </w:p>
    <w:p w14:paraId="554831ED"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Una vez tramitado el recurso, el Auditor Superior el 13 de abril de 2023</w:t>
      </w:r>
      <w:r w:rsidRPr="003B065D">
        <w:rPr>
          <w:rFonts w:ascii="Abadi" w:hAnsi="Abadi"/>
          <w:sz w:val="21"/>
          <w:szCs w:val="21"/>
        </w:rPr>
        <w:t xml:space="preserve"> </w:t>
      </w:r>
      <w:r w:rsidRPr="004B3C28">
        <w:rPr>
          <w:rFonts w:ascii="Abadi" w:hAnsi="Abadi"/>
          <w:b w:val="0"/>
          <w:bCs w:val="0"/>
          <w:sz w:val="21"/>
          <w:szCs w:val="21"/>
        </w:rPr>
        <w:t xml:space="preserve">emitió la resolución correspondiente, a la cual haremos referencia en un apartado posterior, misma que se notificó a la presidenta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el 14 de abril de 2023.</w:t>
      </w:r>
    </w:p>
    <w:p w14:paraId="4DB038CC" w14:textId="77777777" w:rsidR="00F93F3C" w:rsidRPr="003B065D" w:rsidRDefault="00F93F3C" w:rsidP="00F93F3C">
      <w:pPr>
        <w:ind w:firstLine="708"/>
        <w:jc w:val="both"/>
        <w:rPr>
          <w:rFonts w:ascii="Abadi" w:hAnsi="Abadi" w:cs="Arial"/>
          <w:bCs/>
          <w:sz w:val="21"/>
          <w:szCs w:val="21"/>
        </w:rPr>
      </w:pPr>
    </w:p>
    <w:p w14:paraId="7C7FD2EE" w14:textId="77777777" w:rsidR="00F93F3C" w:rsidRPr="004B3C28" w:rsidRDefault="00F93F3C" w:rsidP="00F93F3C">
      <w:pPr>
        <w:pStyle w:val="Textoindependiente"/>
        <w:ind w:firstLine="708"/>
        <w:rPr>
          <w:rFonts w:ascii="Abadi" w:hAnsi="Abadi"/>
          <w:sz w:val="21"/>
          <w:szCs w:val="21"/>
        </w:rPr>
      </w:pPr>
      <w:r w:rsidRPr="004B3C28">
        <w:rPr>
          <w:rFonts w:ascii="Abadi" w:hAnsi="Abadi"/>
          <w:sz w:val="21"/>
          <w:szCs w:val="21"/>
        </w:rPr>
        <w:t>IV. Contenido del Informe de Resultados:</w:t>
      </w:r>
    </w:p>
    <w:p w14:paraId="4ECBF915" w14:textId="77777777" w:rsidR="00F93F3C" w:rsidRPr="003B065D" w:rsidRDefault="00F93F3C" w:rsidP="00F93F3C">
      <w:pPr>
        <w:pStyle w:val="Textoindependiente"/>
        <w:rPr>
          <w:rFonts w:ascii="Abadi" w:hAnsi="Abadi"/>
          <w:b w:val="0"/>
          <w:bCs w:val="0"/>
          <w:sz w:val="21"/>
          <w:szCs w:val="21"/>
        </w:rPr>
      </w:pPr>
    </w:p>
    <w:p w14:paraId="021F87F4" w14:textId="77777777" w:rsidR="00F93F3C" w:rsidRPr="004B3C28" w:rsidRDefault="00F93F3C" w:rsidP="00F93F3C">
      <w:pPr>
        <w:pStyle w:val="Textoindependiente"/>
        <w:rPr>
          <w:rFonts w:ascii="Abadi" w:hAnsi="Abadi"/>
          <w:b w:val="0"/>
          <w:sz w:val="21"/>
          <w:szCs w:val="21"/>
        </w:rPr>
      </w:pPr>
      <w:r w:rsidRPr="003B065D">
        <w:rPr>
          <w:rFonts w:ascii="Abadi" w:hAnsi="Abadi"/>
          <w:b w:val="0"/>
          <w:bCs w:val="0"/>
          <w:sz w:val="21"/>
          <w:szCs w:val="21"/>
        </w:rPr>
        <w:tab/>
      </w:r>
      <w:r w:rsidRPr="004B3C28">
        <w:rPr>
          <w:rFonts w:ascii="Abadi" w:hAnsi="Abadi"/>
          <w:b w:val="0"/>
          <w:sz w:val="21"/>
          <w:szCs w:val="21"/>
        </w:rPr>
        <w:t>En cumplimiento a lo establecido por el artículo 37, fracción III de la Ley de Fiscalización Superior del Estado, el informe de resultados contiene los siguientes apartados:</w:t>
      </w:r>
    </w:p>
    <w:p w14:paraId="0EAF4FA5" w14:textId="77777777" w:rsidR="00F93F3C" w:rsidRPr="003B065D" w:rsidRDefault="00F93F3C" w:rsidP="00F93F3C">
      <w:pPr>
        <w:pStyle w:val="Textoindependiente"/>
        <w:rPr>
          <w:rFonts w:ascii="Abadi" w:hAnsi="Abadi"/>
          <w:sz w:val="21"/>
          <w:szCs w:val="21"/>
        </w:rPr>
      </w:pPr>
    </w:p>
    <w:p w14:paraId="768F22AA" w14:textId="77777777" w:rsidR="00F93F3C" w:rsidRPr="004B3C28" w:rsidRDefault="00F93F3C" w:rsidP="00427BD6">
      <w:pPr>
        <w:pStyle w:val="Textoindependiente"/>
        <w:numPr>
          <w:ilvl w:val="0"/>
          <w:numId w:val="9"/>
        </w:numPr>
        <w:autoSpaceDE/>
        <w:autoSpaceDN/>
        <w:rPr>
          <w:rFonts w:ascii="Abadi" w:hAnsi="Abadi"/>
          <w:sz w:val="21"/>
          <w:szCs w:val="21"/>
        </w:rPr>
      </w:pPr>
      <w:r w:rsidRPr="004B3C28">
        <w:rPr>
          <w:rFonts w:ascii="Abadi" w:hAnsi="Abadi"/>
          <w:sz w:val="21"/>
          <w:szCs w:val="21"/>
        </w:rPr>
        <w:t>Introducción.</w:t>
      </w:r>
    </w:p>
    <w:p w14:paraId="6C31CDAA" w14:textId="77777777" w:rsidR="00F93F3C" w:rsidRPr="004B3C28" w:rsidRDefault="00F93F3C" w:rsidP="00F93F3C">
      <w:pPr>
        <w:pStyle w:val="Textoindependiente"/>
        <w:ind w:left="705"/>
        <w:rPr>
          <w:rFonts w:ascii="Abadi" w:hAnsi="Abadi"/>
          <w:sz w:val="21"/>
          <w:szCs w:val="21"/>
        </w:rPr>
      </w:pPr>
    </w:p>
    <w:p w14:paraId="4DABE0FA"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55E2B827" w14:textId="77777777" w:rsidR="00F93F3C" w:rsidRPr="004B3C28" w:rsidRDefault="00F93F3C" w:rsidP="00F93F3C">
      <w:pPr>
        <w:pStyle w:val="Textoindependiente"/>
        <w:ind w:firstLine="705"/>
        <w:rPr>
          <w:rFonts w:ascii="Abadi" w:hAnsi="Abadi"/>
          <w:b w:val="0"/>
          <w:bCs w:val="0"/>
          <w:sz w:val="21"/>
          <w:szCs w:val="21"/>
        </w:rPr>
      </w:pPr>
    </w:p>
    <w:p w14:paraId="75BF8821"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4FD663A2" w14:textId="77777777" w:rsidR="00F93F3C" w:rsidRPr="004B3C28" w:rsidRDefault="00F93F3C" w:rsidP="00F93F3C">
      <w:pPr>
        <w:pStyle w:val="Textoindependiente"/>
        <w:ind w:firstLine="705"/>
        <w:rPr>
          <w:rFonts w:ascii="Abadi" w:hAnsi="Abadi"/>
          <w:b w:val="0"/>
          <w:bCs w:val="0"/>
          <w:sz w:val="21"/>
          <w:szCs w:val="21"/>
        </w:rPr>
      </w:pPr>
    </w:p>
    <w:p w14:paraId="6EB90B40"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Cabe apuntar que en el Programa General de Fiscalización 2022 de la Auditoría Superior del Estado de Guanajuato, en el apartado de seguimiento a mejores prácticas de fiscalización ejecutadas durante el ejercicio </w:t>
      </w:r>
      <w:r w:rsidRPr="004B3C28">
        <w:rPr>
          <w:rFonts w:ascii="Abadi" w:hAnsi="Abadi"/>
          <w:b w:val="0"/>
          <w:bCs w:val="0"/>
          <w:sz w:val="21"/>
          <w:szCs w:val="21"/>
        </w:rPr>
        <w:lastRenderedPageBreak/>
        <w:t>2021 y prospectiva estratégica para la programación 2022, se estableció:</w:t>
      </w:r>
    </w:p>
    <w:p w14:paraId="4BF18871" w14:textId="77777777" w:rsidR="00F93F3C" w:rsidRPr="004B3C28" w:rsidRDefault="00F93F3C" w:rsidP="00F93F3C">
      <w:pPr>
        <w:jc w:val="both"/>
        <w:rPr>
          <w:rFonts w:ascii="Abadi" w:hAnsi="Abadi" w:cs="Arial"/>
          <w:i/>
          <w:iCs/>
          <w:sz w:val="21"/>
          <w:szCs w:val="21"/>
          <w:lang w:eastAsia="x-none"/>
        </w:rPr>
      </w:pPr>
    </w:p>
    <w:p w14:paraId="0C0C2A00" w14:textId="77777777" w:rsidR="00F93F3C" w:rsidRPr="003B065D" w:rsidRDefault="00F93F3C" w:rsidP="00F93F3C">
      <w:pPr>
        <w:jc w:val="both"/>
        <w:rPr>
          <w:rFonts w:ascii="Abadi" w:hAnsi="Abadi" w:cs="Arial"/>
          <w:i/>
          <w:iCs/>
          <w:sz w:val="21"/>
          <w:szCs w:val="21"/>
          <w:lang w:eastAsia="x-none"/>
        </w:rPr>
      </w:pPr>
      <w:r w:rsidRPr="003B065D">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49B3F866" w14:textId="77777777" w:rsidR="00F93F3C" w:rsidRPr="003B065D" w:rsidRDefault="00F93F3C" w:rsidP="00F93F3C">
      <w:pPr>
        <w:rPr>
          <w:rFonts w:ascii="Abadi" w:hAnsi="Abadi" w:cs="Arial"/>
          <w:i/>
          <w:iCs/>
          <w:sz w:val="21"/>
          <w:szCs w:val="21"/>
          <w:lang w:eastAsia="x-none"/>
        </w:rPr>
      </w:pPr>
    </w:p>
    <w:p w14:paraId="184D35F4" w14:textId="77777777" w:rsidR="00F93F3C" w:rsidRPr="003B065D" w:rsidRDefault="00F93F3C" w:rsidP="00F93F3C">
      <w:pPr>
        <w:jc w:val="both"/>
        <w:rPr>
          <w:rFonts w:ascii="Abadi" w:hAnsi="Abadi" w:cs="Arial"/>
          <w:i/>
          <w:iCs/>
          <w:sz w:val="21"/>
          <w:szCs w:val="21"/>
          <w:lang w:eastAsia="x-none"/>
        </w:rPr>
      </w:pPr>
      <w:r w:rsidRPr="003B065D">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651B7D66" w14:textId="77777777" w:rsidR="00F93F3C" w:rsidRPr="003B065D" w:rsidRDefault="00F93F3C" w:rsidP="00F93F3C">
      <w:pPr>
        <w:jc w:val="both"/>
        <w:rPr>
          <w:rFonts w:ascii="Abadi" w:hAnsi="Abadi" w:cs="Arial"/>
          <w:i/>
          <w:iCs/>
          <w:sz w:val="21"/>
          <w:szCs w:val="21"/>
          <w:lang w:eastAsia="x-none"/>
        </w:rPr>
      </w:pPr>
    </w:p>
    <w:p w14:paraId="6AA68EE3" w14:textId="77777777" w:rsidR="00F93F3C" w:rsidRDefault="00F93F3C" w:rsidP="00F93F3C">
      <w:pPr>
        <w:jc w:val="both"/>
        <w:rPr>
          <w:rFonts w:ascii="Abadi" w:hAnsi="Abadi" w:cs="Arial"/>
          <w:i/>
          <w:iCs/>
          <w:sz w:val="21"/>
          <w:szCs w:val="21"/>
          <w:lang w:eastAsia="x-none"/>
        </w:rPr>
      </w:pPr>
      <w:r w:rsidRPr="003B065D">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AE24AFA" w14:textId="77777777" w:rsidR="004B3C28" w:rsidRPr="003B065D" w:rsidRDefault="004B3C28" w:rsidP="00F93F3C">
      <w:pPr>
        <w:jc w:val="both"/>
        <w:rPr>
          <w:rFonts w:ascii="Abadi" w:hAnsi="Abadi" w:cs="Arial"/>
          <w:i/>
          <w:iCs/>
          <w:sz w:val="21"/>
          <w:szCs w:val="21"/>
          <w:lang w:eastAsia="x-none"/>
        </w:rPr>
      </w:pPr>
    </w:p>
    <w:p w14:paraId="12C49CB1" w14:textId="77777777" w:rsidR="00F93F3C" w:rsidRPr="003B065D" w:rsidRDefault="00F93F3C" w:rsidP="00F93F3C">
      <w:pPr>
        <w:ind w:firstLine="705"/>
        <w:jc w:val="both"/>
        <w:rPr>
          <w:rFonts w:ascii="Abadi" w:hAnsi="Abadi" w:cs="Arial"/>
          <w:sz w:val="21"/>
          <w:szCs w:val="21"/>
          <w:lang w:eastAsia="x-none"/>
        </w:rPr>
      </w:pPr>
      <w:r w:rsidRPr="003B065D">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3B065D">
        <w:rPr>
          <w:rFonts w:ascii="Abadi" w:hAnsi="Abadi" w:cs="Arial"/>
          <w:sz w:val="21"/>
          <w:szCs w:val="21"/>
          <w:lang w:eastAsia="x-none"/>
        </w:rPr>
        <w:t>fiscalizado</w:t>
      </w:r>
      <w:proofErr w:type="spellEnd"/>
      <w:r w:rsidRPr="003B065D">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3B065D">
        <w:rPr>
          <w:rFonts w:ascii="Abadi" w:hAnsi="Abadi" w:cs="Arial"/>
          <w:i/>
          <w:iCs/>
          <w:sz w:val="21"/>
          <w:szCs w:val="21"/>
          <w:lang w:eastAsia="x-none"/>
        </w:rPr>
        <w:t>«Definitivos»,</w:t>
      </w:r>
      <w:r w:rsidRPr="003B065D">
        <w:rPr>
          <w:rFonts w:ascii="Abadi" w:hAnsi="Abadi" w:cs="Arial"/>
          <w:sz w:val="21"/>
          <w:szCs w:val="21"/>
          <w:lang w:eastAsia="x-none"/>
        </w:rPr>
        <w:t xml:space="preserve"> emitidas por el Servicio de Administración Tributaria.</w:t>
      </w:r>
    </w:p>
    <w:p w14:paraId="1BBC004E" w14:textId="77777777" w:rsidR="00F93F3C" w:rsidRPr="003B065D" w:rsidRDefault="00F93F3C" w:rsidP="00F93F3C">
      <w:pPr>
        <w:pStyle w:val="Textoindependiente"/>
        <w:ind w:firstLine="705"/>
        <w:rPr>
          <w:rFonts w:ascii="Abadi" w:hAnsi="Abadi"/>
          <w:sz w:val="21"/>
          <w:szCs w:val="21"/>
        </w:rPr>
      </w:pPr>
    </w:p>
    <w:p w14:paraId="16646730" w14:textId="77777777" w:rsidR="00F93F3C" w:rsidRPr="003B065D" w:rsidRDefault="00F93F3C" w:rsidP="00F93F3C">
      <w:pPr>
        <w:ind w:firstLine="705"/>
        <w:jc w:val="both"/>
        <w:rPr>
          <w:rFonts w:ascii="Abadi" w:hAnsi="Abadi" w:cs="Arial"/>
          <w:sz w:val="21"/>
          <w:szCs w:val="21"/>
          <w:lang w:eastAsia="x-none"/>
        </w:rPr>
      </w:pPr>
      <w:r w:rsidRPr="003B065D">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3B065D">
        <w:rPr>
          <w:rFonts w:ascii="Abadi" w:hAnsi="Abadi" w:cs="Arial"/>
          <w:sz w:val="21"/>
          <w:szCs w:val="21"/>
          <w:lang w:eastAsia="x-none"/>
        </w:rPr>
        <w:t>fiscalizado</w:t>
      </w:r>
      <w:proofErr w:type="spellEnd"/>
      <w:r w:rsidRPr="003B065D">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w:t>
      </w:r>
      <w:r w:rsidRPr="003B065D">
        <w:rPr>
          <w:rFonts w:ascii="Abadi" w:hAnsi="Abadi" w:cs="Arial"/>
          <w:sz w:val="21"/>
          <w:szCs w:val="21"/>
          <w:lang w:eastAsia="x-none"/>
        </w:rPr>
        <w:t>incumplidos o no localizados, determinados por el Servicio de Administración Tributaria; se inspeccionó que la facturación recibida por el sujeto fiscalizado de contribuyentes personas morales no correspondiese a empresas cuya fecha de creación fuese reciente (ejercicios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24D74E6B" w14:textId="77777777" w:rsidR="00F93F3C" w:rsidRPr="003B065D" w:rsidRDefault="00F93F3C" w:rsidP="00F93F3C">
      <w:pPr>
        <w:ind w:firstLine="705"/>
        <w:jc w:val="both"/>
        <w:rPr>
          <w:rFonts w:ascii="Abadi" w:hAnsi="Abadi" w:cs="Arial"/>
          <w:sz w:val="21"/>
          <w:szCs w:val="21"/>
          <w:lang w:eastAsia="x-none"/>
        </w:rPr>
      </w:pPr>
    </w:p>
    <w:p w14:paraId="72E81843" w14:textId="77777777" w:rsidR="00F93F3C" w:rsidRPr="003B065D" w:rsidRDefault="00F93F3C" w:rsidP="00F93F3C">
      <w:pPr>
        <w:ind w:firstLine="705"/>
        <w:jc w:val="both"/>
        <w:rPr>
          <w:rFonts w:ascii="Abadi" w:hAnsi="Abadi" w:cs="Arial"/>
          <w:sz w:val="21"/>
          <w:szCs w:val="21"/>
          <w:lang w:val="es-MX" w:eastAsia="x-none"/>
        </w:rPr>
      </w:pPr>
      <w:r w:rsidRPr="003B065D">
        <w:rPr>
          <w:rFonts w:ascii="Abadi" w:hAnsi="Abadi" w:cs="Arial"/>
          <w:sz w:val="21"/>
          <w:szCs w:val="21"/>
          <w:lang w:val="es-MX" w:eastAsia="x-none"/>
        </w:rPr>
        <w:t xml:space="preserve">De manera particular y acorde a los riesgos identificados en la planeación, se realizaron consultas en las siguientes plataformas: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3B065D">
        <w:rPr>
          <w:rFonts w:ascii="Abadi" w:hAnsi="Abadi" w:cs="Arial"/>
          <w:sz w:val="21"/>
          <w:szCs w:val="21"/>
          <w:lang w:val="es-MX" w:eastAsia="x-none"/>
        </w:rPr>
        <w:t>fiscalizado</w:t>
      </w:r>
      <w:proofErr w:type="spellEnd"/>
      <w:r w:rsidRPr="003B065D">
        <w:rPr>
          <w:rFonts w:ascii="Abadi" w:hAnsi="Abadi" w:cs="Arial"/>
          <w:sz w:val="21"/>
          <w:szCs w:val="21"/>
          <w:lang w:val="es-MX" w:eastAsia="x-none"/>
        </w:rPr>
        <w:t>.</w:t>
      </w:r>
    </w:p>
    <w:p w14:paraId="4CF7C7C9" w14:textId="77777777" w:rsidR="00F93F3C" w:rsidRPr="003B065D" w:rsidRDefault="00F93F3C" w:rsidP="00F93F3C">
      <w:pPr>
        <w:ind w:firstLine="705"/>
        <w:jc w:val="both"/>
        <w:rPr>
          <w:rFonts w:ascii="Abadi" w:hAnsi="Abadi" w:cs="Arial"/>
          <w:sz w:val="21"/>
          <w:szCs w:val="21"/>
          <w:lang w:val="es-MX" w:eastAsia="x-none"/>
        </w:rPr>
      </w:pPr>
    </w:p>
    <w:p w14:paraId="58B85730" w14:textId="77777777" w:rsidR="00F93F3C" w:rsidRPr="003B065D" w:rsidRDefault="00F93F3C" w:rsidP="00F93F3C">
      <w:pPr>
        <w:ind w:firstLine="705"/>
        <w:jc w:val="both"/>
        <w:rPr>
          <w:rFonts w:ascii="Abadi" w:hAnsi="Abadi" w:cs="Arial"/>
          <w:sz w:val="21"/>
          <w:szCs w:val="21"/>
          <w:lang w:val="es-MX" w:eastAsia="x-none"/>
        </w:rPr>
      </w:pPr>
      <w:r w:rsidRPr="003B065D">
        <w:rPr>
          <w:rFonts w:ascii="Abadi" w:hAnsi="Abadi" w:cs="Arial"/>
          <w:sz w:val="21"/>
          <w:szCs w:val="21"/>
          <w:lang w:val="es-MX" w:eastAsia="x-none"/>
        </w:rPr>
        <w:t xml:space="preserve">Adicionalmente, se analizó el informe general del proceso de entrega recepción 2021 de la administración pública municipal de Abasolo, </w:t>
      </w:r>
      <w:proofErr w:type="spellStart"/>
      <w:r w:rsidRPr="003B065D">
        <w:rPr>
          <w:rFonts w:ascii="Abadi" w:hAnsi="Abadi" w:cs="Arial"/>
          <w:sz w:val="21"/>
          <w:szCs w:val="21"/>
          <w:lang w:val="es-MX" w:eastAsia="x-none"/>
        </w:rPr>
        <w:t>Gto</w:t>
      </w:r>
      <w:proofErr w:type="spellEnd"/>
      <w:r w:rsidRPr="003B065D">
        <w:rPr>
          <w:rFonts w:ascii="Abadi" w:hAnsi="Abadi" w:cs="Arial"/>
          <w:sz w:val="21"/>
          <w:szCs w:val="21"/>
          <w:lang w:val="es-MX" w:eastAsia="x-none"/>
        </w:rPr>
        <w:t>., y en su caso se aplicaron los procedimientos de auditoría correspondientes.</w:t>
      </w:r>
    </w:p>
    <w:p w14:paraId="32F5BF3B" w14:textId="77777777" w:rsidR="00F93F3C" w:rsidRPr="003B065D" w:rsidRDefault="00F93F3C" w:rsidP="00F93F3C">
      <w:pPr>
        <w:ind w:firstLine="705"/>
        <w:jc w:val="both"/>
        <w:rPr>
          <w:rFonts w:ascii="Abadi" w:hAnsi="Abadi" w:cs="Arial"/>
          <w:sz w:val="21"/>
          <w:szCs w:val="21"/>
          <w:lang w:val="es-MX" w:eastAsia="x-none"/>
        </w:rPr>
      </w:pPr>
    </w:p>
    <w:p w14:paraId="18B5F867" w14:textId="77777777" w:rsidR="00F93F3C" w:rsidRPr="003B065D" w:rsidRDefault="00F93F3C" w:rsidP="00F93F3C">
      <w:pPr>
        <w:ind w:firstLine="705"/>
        <w:jc w:val="both"/>
        <w:rPr>
          <w:rFonts w:ascii="Abadi" w:hAnsi="Abadi" w:cs="Arial"/>
          <w:sz w:val="21"/>
          <w:szCs w:val="21"/>
          <w:lang w:val="es-MX" w:eastAsia="x-none"/>
        </w:rPr>
      </w:pPr>
      <w:r w:rsidRPr="003B065D">
        <w:rPr>
          <w:rFonts w:ascii="Abadi" w:hAnsi="Abadi" w:cs="Arial"/>
          <w:sz w:val="21"/>
          <w:szCs w:val="21"/>
          <w:lang w:val="es-MX" w:eastAsia="x-none"/>
        </w:rPr>
        <w:t xml:space="preserve">También se establece que para la integración del expediente y conclusiones </w:t>
      </w:r>
      <w:r w:rsidRPr="003B065D">
        <w:rPr>
          <w:rFonts w:ascii="Abadi" w:hAnsi="Abadi" w:cs="Arial"/>
          <w:sz w:val="21"/>
          <w:szCs w:val="21"/>
          <w:lang w:val="es-MX" w:eastAsia="x-none"/>
        </w:rPr>
        <w:lastRenderedPageBreak/>
        <w:t xml:space="preserve">determinadas en la revisión practicada, se consideró documentación obtenida mediante diversos procedimientos de auditoría aplicados en los análisis de información financiera trimestral a la administración pública municipal de Abasolo, </w:t>
      </w:r>
      <w:proofErr w:type="spellStart"/>
      <w:r w:rsidRPr="003B065D">
        <w:rPr>
          <w:rFonts w:ascii="Abadi" w:hAnsi="Abadi" w:cs="Arial"/>
          <w:sz w:val="21"/>
          <w:szCs w:val="21"/>
          <w:lang w:val="es-MX" w:eastAsia="x-none"/>
        </w:rPr>
        <w:t>Gto</w:t>
      </w:r>
      <w:proofErr w:type="spellEnd"/>
      <w:r w:rsidRPr="003B065D">
        <w:rPr>
          <w:rFonts w:ascii="Abadi" w:hAnsi="Abadi" w:cs="Arial"/>
          <w:sz w:val="21"/>
          <w:szCs w:val="21"/>
          <w:lang w:val="es-MX" w:eastAsia="x-none"/>
        </w:rPr>
        <w:t>., respecto de los periodos comprendidos de enero a junio y de julio a diciembre del 2021, de acuerdo a lo establecido en el artículo 28, primer párrafo de la Ley de Fiscalización Superior del Estado de Guanajuato.</w:t>
      </w:r>
    </w:p>
    <w:p w14:paraId="18074337" w14:textId="77777777" w:rsidR="00F93F3C" w:rsidRPr="003B065D" w:rsidRDefault="00F93F3C" w:rsidP="00F93F3C">
      <w:pPr>
        <w:ind w:firstLine="705"/>
        <w:jc w:val="both"/>
        <w:rPr>
          <w:rFonts w:ascii="Abadi" w:hAnsi="Abadi" w:cs="Arial"/>
          <w:sz w:val="21"/>
          <w:szCs w:val="21"/>
          <w:lang w:val="es-MX" w:eastAsia="x-none"/>
        </w:rPr>
      </w:pPr>
    </w:p>
    <w:p w14:paraId="69AA4681" w14:textId="77777777" w:rsidR="00F93F3C" w:rsidRPr="003B065D" w:rsidRDefault="00F93F3C" w:rsidP="00F93F3C">
      <w:pPr>
        <w:ind w:firstLine="705"/>
        <w:jc w:val="both"/>
        <w:rPr>
          <w:rFonts w:ascii="Abadi" w:hAnsi="Abadi" w:cs="Arial"/>
          <w:sz w:val="21"/>
          <w:szCs w:val="21"/>
          <w:lang w:val="es-MX" w:eastAsia="x-none"/>
        </w:rPr>
      </w:pPr>
      <w:r w:rsidRPr="003B065D">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Abasolo, </w:t>
      </w:r>
      <w:proofErr w:type="spellStart"/>
      <w:r w:rsidRPr="003B065D">
        <w:rPr>
          <w:rFonts w:ascii="Abadi" w:hAnsi="Abadi" w:cs="Arial"/>
          <w:sz w:val="21"/>
          <w:szCs w:val="21"/>
          <w:lang w:val="es-MX" w:eastAsia="x-none"/>
        </w:rPr>
        <w:t>Gto</w:t>
      </w:r>
      <w:proofErr w:type="spellEnd"/>
      <w:r w:rsidRPr="003B065D">
        <w:rPr>
          <w:rFonts w:ascii="Abadi" w:hAnsi="Abadi" w:cs="Arial"/>
          <w:sz w:val="21"/>
          <w:szCs w:val="21"/>
          <w:lang w:val="es-MX" w:eastAsia="x-none"/>
        </w:rPr>
        <w:t xml:space="preserve">., no cumplió con las disposiciones normativas aplicables, como se precisa en el informe de resultados. </w:t>
      </w:r>
    </w:p>
    <w:p w14:paraId="445FC58A" w14:textId="77777777" w:rsidR="00F93F3C" w:rsidRPr="003B065D" w:rsidRDefault="00F93F3C" w:rsidP="00F93F3C">
      <w:pPr>
        <w:ind w:firstLine="705"/>
        <w:jc w:val="both"/>
        <w:rPr>
          <w:rFonts w:ascii="Abadi" w:hAnsi="Abadi" w:cs="Arial"/>
          <w:sz w:val="21"/>
          <w:szCs w:val="21"/>
          <w:lang w:val="es-MX" w:eastAsia="x-none"/>
        </w:rPr>
      </w:pPr>
    </w:p>
    <w:p w14:paraId="292A1095"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3 observaciones, mismas que no fueron solventadas. Asimismo, se formularon 2 recomendaciones que no se atendieron. </w:t>
      </w:r>
    </w:p>
    <w:p w14:paraId="4DCAE89D" w14:textId="77777777" w:rsidR="00F93F3C" w:rsidRPr="004B3C28" w:rsidRDefault="00F93F3C" w:rsidP="00F93F3C">
      <w:pPr>
        <w:pStyle w:val="Textoindependiente"/>
        <w:ind w:firstLine="705"/>
        <w:rPr>
          <w:rFonts w:ascii="Abadi" w:hAnsi="Abadi"/>
          <w:b w:val="0"/>
          <w:bCs w:val="0"/>
          <w:sz w:val="21"/>
          <w:szCs w:val="21"/>
        </w:rPr>
      </w:pPr>
    </w:p>
    <w:p w14:paraId="7C4AA99F"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y 003, existen importes no solventados por la cuantía que ahí se refiere. </w:t>
      </w:r>
    </w:p>
    <w:p w14:paraId="575A29C1" w14:textId="77777777" w:rsidR="00F93F3C" w:rsidRPr="004B3C28" w:rsidRDefault="00F93F3C" w:rsidP="00F93F3C">
      <w:pPr>
        <w:pStyle w:val="Textoindependiente"/>
        <w:ind w:firstLine="705"/>
        <w:rPr>
          <w:rFonts w:ascii="Abadi" w:hAnsi="Abadi"/>
          <w:b w:val="0"/>
          <w:bCs w:val="0"/>
          <w:sz w:val="21"/>
          <w:szCs w:val="21"/>
        </w:rPr>
      </w:pPr>
    </w:p>
    <w:p w14:paraId="3900A7A8"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xml:space="preserve">., celebró operaciones; entre los procedimientos expuestos, se verificó que </w:t>
      </w:r>
      <w:r w:rsidRPr="004B3C28">
        <w:rPr>
          <w:rFonts w:ascii="Abadi" w:hAnsi="Abadi"/>
          <w:b w:val="0"/>
          <w:bCs w:val="0"/>
          <w:sz w:val="21"/>
          <w:szCs w:val="21"/>
        </w:rPr>
        <w:t>estas no se encontraran en el listado de Empresas que Facturan Operaciones Simuladas (EFOS) u operaciones inexistentes con el carácter de «</w:t>
      </w:r>
      <w:r w:rsidRPr="004B3C28">
        <w:rPr>
          <w:rFonts w:ascii="Abadi" w:hAnsi="Abadi"/>
          <w:b w:val="0"/>
          <w:bCs w:val="0"/>
          <w:i/>
          <w:iCs/>
          <w:sz w:val="21"/>
          <w:szCs w:val="21"/>
        </w:rPr>
        <w:t>Definitivos»</w:t>
      </w:r>
      <w:r w:rsidRPr="004B3C28">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692CAA00" w14:textId="77777777" w:rsidR="00F93F3C" w:rsidRPr="003B065D" w:rsidRDefault="00F93F3C" w:rsidP="00F93F3C">
      <w:pPr>
        <w:pStyle w:val="Textoindependiente"/>
        <w:ind w:firstLine="705"/>
        <w:rPr>
          <w:rFonts w:ascii="Abadi" w:hAnsi="Abadi"/>
          <w:sz w:val="21"/>
          <w:szCs w:val="21"/>
        </w:rPr>
      </w:pPr>
    </w:p>
    <w:p w14:paraId="7182B743" w14:textId="77777777" w:rsidR="00F93F3C" w:rsidRPr="004B3C28" w:rsidRDefault="00F93F3C" w:rsidP="00427BD6">
      <w:pPr>
        <w:pStyle w:val="Textoindependiente"/>
        <w:numPr>
          <w:ilvl w:val="0"/>
          <w:numId w:val="9"/>
        </w:numPr>
        <w:tabs>
          <w:tab w:val="clear" w:pos="1065"/>
          <w:tab w:val="num" w:pos="0"/>
        </w:tabs>
        <w:autoSpaceDE/>
        <w:autoSpaceDN/>
        <w:rPr>
          <w:rFonts w:ascii="Abadi" w:hAnsi="Abadi"/>
          <w:sz w:val="21"/>
          <w:szCs w:val="21"/>
        </w:rPr>
      </w:pPr>
      <w:r w:rsidRPr="004B3C28">
        <w:rPr>
          <w:rFonts w:ascii="Abadi" w:hAnsi="Abadi"/>
          <w:sz w:val="21"/>
          <w:szCs w:val="21"/>
        </w:rPr>
        <w:t xml:space="preserve">Observaciones y recomendaciones, la respuesta emitida por el sujeto fiscalizado y la valoración correspondiente. </w:t>
      </w:r>
    </w:p>
    <w:p w14:paraId="3EBD6972" w14:textId="77777777" w:rsidR="00F93F3C" w:rsidRPr="003B065D" w:rsidRDefault="00F93F3C" w:rsidP="00F93F3C">
      <w:pPr>
        <w:pStyle w:val="Textoindependiente"/>
        <w:ind w:left="1065"/>
        <w:rPr>
          <w:rFonts w:ascii="Abadi" w:hAnsi="Abadi"/>
          <w:b w:val="0"/>
          <w:bCs w:val="0"/>
          <w:sz w:val="21"/>
          <w:szCs w:val="21"/>
        </w:rPr>
      </w:pPr>
    </w:p>
    <w:p w14:paraId="038307AB"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En esta parte se desglosa la valoración de las observaciones formuladas por el Órgano Técnico, considerando como no solventadas las observaciones plasmadas en el apartado de Administración Pública Centralizada, numerales 001, referente a multas; 002, correspondiente a costo de financiamiento </w:t>
      </w:r>
      <w:proofErr w:type="spellStart"/>
      <w:r w:rsidRPr="004B3C28">
        <w:rPr>
          <w:rFonts w:ascii="Abadi" w:hAnsi="Abadi"/>
          <w:b w:val="0"/>
          <w:bCs w:val="0"/>
          <w:sz w:val="21"/>
          <w:szCs w:val="21"/>
        </w:rPr>
        <w:t>Exp</w:t>
      </w:r>
      <w:proofErr w:type="spellEnd"/>
      <w:r w:rsidRPr="004B3C28">
        <w:rPr>
          <w:rFonts w:ascii="Abadi" w:hAnsi="Abadi"/>
          <w:b w:val="0"/>
          <w:bCs w:val="0"/>
          <w:sz w:val="21"/>
          <w:szCs w:val="21"/>
        </w:rPr>
        <w:t xml:space="preserve">. 425/3aSALA/2014; y 003, relativo a costo de financiamiento </w:t>
      </w:r>
      <w:proofErr w:type="spellStart"/>
      <w:r w:rsidRPr="004B3C28">
        <w:rPr>
          <w:rFonts w:ascii="Abadi" w:hAnsi="Abadi"/>
          <w:b w:val="0"/>
          <w:bCs w:val="0"/>
          <w:sz w:val="21"/>
          <w:szCs w:val="21"/>
        </w:rPr>
        <w:t>Exp</w:t>
      </w:r>
      <w:proofErr w:type="spellEnd"/>
      <w:r w:rsidRPr="004B3C28">
        <w:rPr>
          <w:rFonts w:ascii="Abadi" w:hAnsi="Abadi"/>
          <w:b w:val="0"/>
          <w:bCs w:val="0"/>
          <w:sz w:val="21"/>
          <w:szCs w:val="21"/>
        </w:rPr>
        <w:t xml:space="preserve">. 1225/3aSALA/2012. </w:t>
      </w:r>
    </w:p>
    <w:p w14:paraId="54C9E903" w14:textId="77777777" w:rsidR="00F93F3C" w:rsidRPr="004B3C28" w:rsidRDefault="00F93F3C" w:rsidP="00F93F3C">
      <w:pPr>
        <w:pStyle w:val="Textoindependiente"/>
        <w:ind w:firstLine="705"/>
        <w:rPr>
          <w:rFonts w:ascii="Abadi" w:hAnsi="Abadi"/>
          <w:b w:val="0"/>
          <w:bCs w:val="0"/>
          <w:sz w:val="21"/>
          <w:szCs w:val="21"/>
        </w:rPr>
      </w:pPr>
    </w:p>
    <w:p w14:paraId="60FCF347"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En el apartado de Recomendaciones Generales de la Administración Pública Centralizada, no se atendieron los numerales 001, referido a funcionario prestador de servicios; y 002, referente a contenido contratos de prestación de servicios.</w:t>
      </w:r>
    </w:p>
    <w:p w14:paraId="630DC6CE" w14:textId="77777777" w:rsidR="00F93F3C" w:rsidRPr="004B3C28" w:rsidRDefault="00F93F3C" w:rsidP="00F93F3C">
      <w:pPr>
        <w:pStyle w:val="Textoindependiente"/>
        <w:ind w:firstLine="705"/>
        <w:rPr>
          <w:rFonts w:ascii="Abadi" w:hAnsi="Abadi"/>
          <w:b w:val="0"/>
          <w:bCs w:val="0"/>
          <w:sz w:val="21"/>
          <w:szCs w:val="21"/>
        </w:rPr>
      </w:pPr>
    </w:p>
    <w:p w14:paraId="2290A8C6" w14:textId="77777777" w:rsidR="00F93F3C" w:rsidRPr="004B3C28" w:rsidRDefault="00F93F3C" w:rsidP="00427BD6">
      <w:pPr>
        <w:pStyle w:val="Textoindependiente"/>
        <w:numPr>
          <w:ilvl w:val="0"/>
          <w:numId w:val="9"/>
        </w:numPr>
        <w:autoSpaceDE/>
        <w:autoSpaceDN/>
        <w:rPr>
          <w:rFonts w:ascii="Abadi" w:hAnsi="Abadi"/>
          <w:sz w:val="21"/>
          <w:szCs w:val="21"/>
        </w:rPr>
      </w:pPr>
      <w:r w:rsidRPr="004B3C28">
        <w:rPr>
          <w:rFonts w:ascii="Abadi" w:hAnsi="Abadi"/>
          <w:sz w:val="21"/>
          <w:szCs w:val="21"/>
        </w:rPr>
        <w:t xml:space="preserve">Promoción del ejercicio de facultades de comprobación fiscal. </w:t>
      </w:r>
    </w:p>
    <w:p w14:paraId="22A788E7" w14:textId="77777777" w:rsidR="00F93F3C" w:rsidRPr="004B3C28" w:rsidRDefault="00F93F3C" w:rsidP="00F93F3C">
      <w:pPr>
        <w:pStyle w:val="Textoindependiente"/>
        <w:ind w:firstLine="705"/>
        <w:rPr>
          <w:rFonts w:ascii="Abadi" w:hAnsi="Abadi"/>
          <w:b w:val="0"/>
          <w:bCs w:val="0"/>
          <w:sz w:val="21"/>
          <w:szCs w:val="21"/>
        </w:rPr>
      </w:pPr>
    </w:p>
    <w:p w14:paraId="103BB8A6"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E276AA8" w14:textId="77777777" w:rsidR="00F93F3C" w:rsidRPr="004B3C28" w:rsidRDefault="00F93F3C" w:rsidP="00F93F3C">
      <w:pPr>
        <w:pStyle w:val="Textoindependiente"/>
        <w:ind w:firstLine="705"/>
        <w:rPr>
          <w:rFonts w:ascii="Abadi" w:hAnsi="Abadi"/>
          <w:b w:val="0"/>
          <w:bCs w:val="0"/>
          <w:sz w:val="21"/>
          <w:szCs w:val="21"/>
        </w:rPr>
      </w:pPr>
    </w:p>
    <w:p w14:paraId="29338B45" w14:textId="77777777" w:rsidR="00F93F3C" w:rsidRPr="004B3C28" w:rsidRDefault="00F93F3C" w:rsidP="00427BD6">
      <w:pPr>
        <w:pStyle w:val="Textoindependiente"/>
        <w:numPr>
          <w:ilvl w:val="0"/>
          <w:numId w:val="9"/>
        </w:numPr>
        <w:autoSpaceDE/>
        <w:autoSpaceDN/>
        <w:rPr>
          <w:rFonts w:ascii="Abadi" w:hAnsi="Abadi"/>
          <w:sz w:val="21"/>
          <w:szCs w:val="21"/>
        </w:rPr>
      </w:pPr>
      <w:r w:rsidRPr="004B3C28">
        <w:rPr>
          <w:rFonts w:ascii="Abadi" w:hAnsi="Abadi"/>
          <w:sz w:val="21"/>
          <w:szCs w:val="21"/>
        </w:rPr>
        <w:t xml:space="preserve">Comunicado ante órganos de control y autoridades que </w:t>
      </w:r>
      <w:r w:rsidRPr="004B3C28">
        <w:rPr>
          <w:rFonts w:ascii="Abadi" w:hAnsi="Abadi"/>
          <w:sz w:val="21"/>
          <w:szCs w:val="21"/>
        </w:rPr>
        <w:lastRenderedPageBreak/>
        <w:t>administran padrones de proveedores y contratistas.</w:t>
      </w:r>
    </w:p>
    <w:p w14:paraId="3972A08C" w14:textId="77777777" w:rsidR="00F93F3C" w:rsidRPr="004B3C28" w:rsidRDefault="00F93F3C" w:rsidP="00F93F3C">
      <w:pPr>
        <w:pStyle w:val="Textoindependiente"/>
        <w:ind w:firstLine="705"/>
        <w:rPr>
          <w:rFonts w:ascii="Abadi" w:hAnsi="Abadi"/>
          <w:sz w:val="21"/>
          <w:szCs w:val="21"/>
        </w:rPr>
      </w:pPr>
    </w:p>
    <w:p w14:paraId="7D85E376"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y de la Tesorería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las presuntas irregularidades o incumplimientos de estos en contrataciones públicas detectadas durante la revisión, precisando el proveedor y la observación de la que se desprende su intervención.</w:t>
      </w:r>
    </w:p>
    <w:p w14:paraId="14742672" w14:textId="77777777" w:rsidR="00F93F3C" w:rsidRPr="004B3C28" w:rsidRDefault="00F93F3C" w:rsidP="00F93F3C">
      <w:pPr>
        <w:pStyle w:val="Textoindependiente"/>
        <w:ind w:firstLine="705"/>
        <w:rPr>
          <w:rFonts w:ascii="Abadi" w:hAnsi="Abadi"/>
          <w:b w:val="0"/>
          <w:bCs w:val="0"/>
          <w:sz w:val="21"/>
          <w:szCs w:val="21"/>
        </w:rPr>
      </w:pPr>
    </w:p>
    <w:p w14:paraId="46F3B190" w14:textId="77777777" w:rsidR="00F93F3C" w:rsidRPr="004B3C28" w:rsidRDefault="00F93F3C" w:rsidP="00427BD6">
      <w:pPr>
        <w:pStyle w:val="Textoindependiente"/>
        <w:numPr>
          <w:ilvl w:val="0"/>
          <w:numId w:val="9"/>
        </w:numPr>
        <w:autoSpaceDE/>
        <w:autoSpaceDN/>
        <w:rPr>
          <w:rFonts w:ascii="Abadi" w:hAnsi="Abadi"/>
          <w:sz w:val="21"/>
          <w:szCs w:val="21"/>
        </w:rPr>
      </w:pPr>
      <w:r w:rsidRPr="004B3C28">
        <w:rPr>
          <w:rFonts w:ascii="Abadi" w:hAnsi="Abadi"/>
          <w:sz w:val="21"/>
          <w:szCs w:val="21"/>
        </w:rPr>
        <w:t xml:space="preserve">Recurso de Reconsideración. </w:t>
      </w:r>
    </w:p>
    <w:p w14:paraId="0DEFCC77" w14:textId="77777777" w:rsidR="00F93F3C" w:rsidRPr="004B3C28" w:rsidRDefault="00F93F3C" w:rsidP="00F93F3C">
      <w:pPr>
        <w:pStyle w:val="Textoindependiente"/>
        <w:ind w:left="705"/>
        <w:rPr>
          <w:rFonts w:ascii="Abadi" w:hAnsi="Abadi"/>
          <w:b w:val="0"/>
          <w:bCs w:val="0"/>
          <w:sz w:val="21"/>
          <w:szCs w:val="21"/>
        </w:rPr>
      </w:pPr>
    </w:p>
    <w:p w14:paraId="43839AF7"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la presidenta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001, referente a multas; 002, correspondiente a costo de financiamiento </w:t>
      </w:r>
      <w:proofErr w:type="spellStart"/>
      <w:r w:rsidRPr="004B3C28">
        <w:rPr>
          <w:rFonts w:ascii="Abadi" w:hAnsi="Abadi"/>
          <w:b w:val="0"/>
          <w:bCs w:val="0"/>
          <w:sz w:val="21"/>
          <w:szCs w:val="21"/>
        </w:rPr>
        <w:t>Exp</w:t>
      </w:r>
      <w:proofErr w:type="spellEnd"/>
      <w:r w:rsidRPr="004B3C28">
        <w:rPr>
          <w:rFonts w:ascii="Abadi" w:hAnsi="Abadi"/>
          <w:b w:val="0"/>
          <w:bCs w:val="0"/>
          <w:sz w:val="21"/>
          <w:szCs w:val="21"/>
        </w:rPr>
        <w:t xml:space="preserve">. 425/3aSALA/2014; y 003, relativo a costo de financiamiento </w:t>
      </w:r>
      <w:proofErr w:type="spellStart"/>
      <w:r w:rsidRPr="004B3C28">
        <w:rPr>
          <w:rFonts w:ascii="Abadi" w:hAnsi="Abadi"/>
          <w:b w:val="0"/>
          <w:bCs w:val="0"/>
          <w:sz w:val="21"/>
          <w:szCs w:val="21"/>
        </w:rPr>
        <w:t>Exp</w:t>
      </w:r>
      <w:proofErr w:type="spellEnd"/>
      <w:r w:rsidRPr="004B3C28">
        <w:rPr>
          <w:rFonts w:ascii="Abadi" w:hAnsi="Abadi"/>
          <w:b w:val="0"/>
          <w:bCs w:val="0"/>
          <w:sz w:val="21"/>
          <w:szCs w:val="21"/>
        </w:rPr>
        <w:t>. 1225/3aSALA/2012, mismas que se encuentran relacionadas con el Capítulo II, denominado Observaciones y Recomendaciones; Respuesta Emitida por el Sujeto Fiscalizado y Valoración Correspondiente.</w:t>
      </w:r>
    </w:p>
    <w:p w14:paraId="2ADCD63D" w14:textId="77777777" w:rsidR="00F93F3C" w:rsidRPr="004B3C28" w:rsidRDefault="00F93F3C" w:rsidP="00F93F3C">
      <w:pPr>
        <w:pStyle w:val="Textoindependiente"/>
        <w:ind w:firstLine="705"/>
        <w:rPr>
          <w:rFonts w:ascii="Abadi" w:hAnsi="Abadi"/>
          <w:b w:val="0"/>
          <w:bCs w:val="0"/>
          <w:sz w:val="21"/>
          <w:szCs w:val="21"/>
        </w:rPr>
      </w:pPr>
    </w:p>
    <w:p w14:paraId="7513BA33"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 xml:space="preserve"> En tal sentido, mediante acuerdo de fecha 30 de marzo de 2023, emitido por el Director General de Asuntos Jurídicos de la Auditoría Superior del Estado de Guanajuato, se admitió el recurso de reconsideración, al </w:t>
      </w:r>
      <w:r w:rsidRPr="004B3C28">
        <w:rPr>
          <w:rFonts w:ascii="Abadi" w:hAnsi="Abadi"/>
          <w:b w:val="0"/>
          <w:bCs w:val="0"/>
          <w:sz w:val="21"/>
          <w:szCs w:val="21"/>
        </w:rPr>
        <w:t xml:space="preserve">colmarse los requisitos de procedibilidad previstos por el artículo 51 de </w:t>
      </w:r>
      <w:smartTag w:uri="urn:schemas-microsoft-com:office:smarttags" w:element="PersonName">
        <w:smartTagPr>
          <w:attr w:name="ProductID" w:val="la Ley"/>
        </w:smartTagPr>
        <w:r w:rsidRPr="004B3C28">
          <w:rPr>
            <w:rFonts w:ascii="Abadi" w:hAnsi="Abadi"/>
            <w:b w:val="0"/>
            <w:bCs w:val="0"/>
            <w:sz w:val="21"/>
            <w:szCs w:val="21"/>
          </w:rPr>
          <w:t>la Ley</w:t>
        </w:r>
      </w:smartTag>
      <w:r w:rsidRPr="004B3C28">
        <w:rPr>
          <w:rFonts w:ascii="Abadi" w:hAnsi="Abadi"/>
          <w:b w:val="0"/>
          <w:bCs w:val="0"/>
          <w:sz w:val="21"/>
          <w:szCs w:val="21"/>
        </w:rPr>
        <w:t xml:space="preserve"> de Fiscalización Superior del Estado de Guanajuato, instruyendo la integración del expediente y el registro correspondiente. Asimismo, mediante dicho acuerdo se suspendió el plazo establecido en el artículo 55 de la Ley de Fiscalización Superior del Estado de Guanajuato por un término de hasta siete días hábiles.</w:t>
      </w:r>
    </w:p>
    <w:p w14:paraId="10DB20C7" w14:textId="77777777" w:rsidR="00F93F3C" w:rsidRPr="004B3C28" w:rsidRDefault="00F93F3C" w:rsidP="00F93F3C">
      <w:pPr>
        <w:pStyle w:val="Textoindependiente"/>
        <w:ind w:firstLine="705"/>
        <w:rPr>
          <w:rFonts w:ascii="Abadi" w:hAnsi="Abadi"/>
          <w:b w:val="0"/>
          <w:bCs w:val="0"/>
          <w:sz w:val="21"/>
          <w:szCs w:val="21"/>
        </w:rPr>
      </w:pPr>
    </w:p>
    <w:p w14:paraId="41853BA6"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Una vez tramitado el recurso, el Auditor Superior del Estado, el 13 de abril de 2023 emitió la resolución correspondiente, determinándose respecto a la observación plasmada en el numeral 001, que los agravios hechos valer por la recurrente resultaron infundados e inoperantes, por las razones expresadas en el considerando séptimo. En razón de lo cual se confirmó el sentido de la valoración de la observación como no solventada, sin acciones pendientes de realizar por el sujeto fiscalizado.</w:t>
      </w:r>
    </w:p>
    <w:p w14:paraId="2F4E227A" w14:textId="77777777" w:rsidR="00F93F3C" w:rsidRPr="004B3C28" w:rsidRDefault="00F93F3C" w:rsidP="00F93F3C">
      <w:pPr>
        <w:pStyle w:val="Textoindependiente"/>
        <w:ind w:firstLine="708"/>
        <w:rPr>
          <w:rFonts w:ascii="Abadi" w:hAnsi="Abadi"/>
          <w:b w:val="0"/>
          <w:bCs w:val="0"/>
          <w:sz w:val="21"/>
          <w:szCs w:val="21"/>
        </w:rPr>
      </w:pPr>
    </w:p>
    <w:p w14:paraId="638D6D9F"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En cuanto a las observaciones establecidas en los numerales 002 y 003, se resolvió que los agravios formulados por la recurrente resultaron infundados e inoperantes, de acuerdo a lo señalado en el considerando séptimo. En consecuencia, se confirmó el sentido de la valoración de las observaciones como no solventadas, con acciones de impacto económico pendientes de realizar por el sujeto fiscalizado.</w:t>
      </w:r>
    </w:p>
    <w:p w14:paraId="43B35BA8" w14:textId="77777777" w:rsidR="00F93F3C" w:rsidRPr="004B3C28" w:rsidRDefault="00F93F3C" w:rsidP="00F93F3C">
      <w:pPr>
        <w:pStyle w:val="Textoindependiente"/>
        <w:ind w:firstLine="708"/>
        <w:rPr>
          <w:rFonts w:ascii="Abadi" w:hAnsi="Abadi"/>
          <w:b w:val="0"/>
          <w:bCs w:val="0"/>
          <w:sz w:val="21"/>
          <w:szCs w:val="21"/>
        </w:rPr>
      </w:pPr>
    </w:p>
    <w:p w14:paraId="52D00F47" w14:textId="77777777" w:rsidR="00F93F3C" w:rsidRPr="004B3C28" w:rsidRDefault="00F93F3C" w:rsidP="00F93F3C">
      <w:pPr>
        <w:pStyle w:val="Textoindependiente"/>
        <w:ind w:firstLine="708"/>
        <w:rPr>
          <w:rFonts w:ascii="Abadi" w:hAnsi="Abadi"/>
          <w:b w:val="0"/>
          <w:bCs w:val="0"/>
          <w:sz w:val="21"/>
          <w:szCs w:val="21"/>
        </w:rPr>
      </w:pPr>
      <w:r w:rsidRPr="004B3C28">
        <w:rPr>
          <w:rFonts w:ascii="Abadi" w:hAnsi="Abadi"/>
          <w:b w:val="0"/>
          <w:bCs w:val="0"/>
          <w:sz w:val="21"/>
          <w:szCs w:val="21"/>
        </w:rPr>
        <w:t xml:space="preserve">La referida resolución se notificó a la presidenta municipal de Abasolo, </w:t>
      </w:r>
      <w:proofErr w:type="spellStart"/>
      <w:r w:rsidRPr="004B3C28">
        <w:rPr>
          <w:rFonts w:ascii="Abadi" w:hAnsi="Abadi"/>
          <w:b w:val="0"/>
          <w:bCs w:val="0"/>
          <w:sz w:val="21"/>
          <w:szCs w:val="21"/>
        </w:rPr>
        <w:t>Gto</w:t>
      </w:r>
      <w:proofErr w:type="spellEnd"/>
      <w:r w:rsidRPr="004B3C28">
        <w:rPr>
          <w:rFonts w:ascii="Abadi" w:hAnsi="Abadi"/>
          <w:b w:val="0"/>
          <w:bCs w:val="0"/>
          <w:sz w:val="21"/>
          <w:szCs w:val="21"/>
        </w:rPr>
        <w:t>., el 14 de abril de 2023.</w:t>
      </w:r>
    </w:p>
    <w:p w14:paraId="12E6E911" w14:textId="77777777" w:rsidR="00F93F3C" w:rsidRPr="004B3C28" w:rsidRDefault="00F93F3C" w:rsidP="00F93F3C">
      <w:pPr>
        <w:pStyle w:val="Textoindependiente"/>
        <w:ind w:firstLine="705"/>
        <w:rPr>
          <w:rFonts w:ascii="Abadi" w:hAnsi="Abadi"/>
          <w:b w:val="0"/>
          <w:bCs w:val="0"/>
          <w:sz w:val="21"/>
          <w:szCs w:val="21"/>
        </w:rPr>
      </w:pPr>
    </w:p>
    <w:p w14:paraId="3F87F596" w14:textId="77777777" w:rsidR="00F93F3C" w:rsidRPr="004B3C28" w:rsidRDefault="00F93F3C" w:rsidP="00427BD6">
      <w:pPr>
        <w:pStyle w:val="Textoindependiente"/>
        <w:numPr>
          <w:ilvl w:val="0"/>
          <w:numId w:val="9"/>
        </w:numPr>
        <w:autoSpaceDE/>
        <w:autoSpaceDN/>
        <w:rPr>
          <w:rFonts w:ascii="Abadi" w:hAnsi="Abadi"/>
          <w:sz w:val="21"/>
          <w:szCs w:val="21"/>
        </w:rPr>
      </w:pPr>
      <w:r w:rsidRPr="004B3C28">
        <w:rPr>
          <w:rFonts w:ascii="Abadi" w:hAnsi="Abadi"/>
          <w:sz w:val="21"/>
          <w:szCs w:val="21"/>
        </w:rPr>
        <w:t xml:space="preserve">Anexos. </w:t>
      </w:r>
    </w:p>
    <w:p w14:paraId="5DE54F1C" w14:textId="77777777" w:rsidR="00F93F3C" w:rsidRPr="004B3C28" w:rsidRDefault="00F93F3C" w:rsidP="00F93F3C">
      <w:pPr>
        <w:pStyle w:val="Textoindependiente"/>
        <w:ind w:firstLine="705"/>
        <w:rPr>
          <w:rFonts w:ascii="Abadi" w:hAnsi="Abadi"/>
          <w:b w:val="0"/>
          <w:bCs w:val="0"/>
          <w:sz w:val="21"/>
          <w:szCs w:val="21"/>
        </w:rPr>
      </w:pPr>
    </w:p>
    <w:p w14:paraId="4118DA49" w14:textId="77777777" w:rsidR="00F93F3C" w:rsidRPr="004B3C28" w:rsidRDefault="00F93F3C" w:rsidP="00F93F3C">
      <w:pPr>
        <w:pStyle w:val="Textoindependiente"/>
        <w:ind w:firstLine="705"/>
        <w:rPr>
          <w:rFonts w:ascii="Abadi" w:hAnsi="Abadi"/>
          <w:b w:val="0"/>
          <w:bCs w:val="0"/>
          <w:sz w:val="21"/>
          <w:szCs w:val="21"/>
        </w:rPr>
      </w:pPr>
      <w:r w:rsidRPr="004B3C28">
        <w:rPr>
          <w:rFonts w:ascii="Abadi" w:hAnsi="Abadi"/>
          <w:b w:val="0"/>
          <w:bCs w:val="0"/>
          <w:sz w:val="21"/>
          <w:szCs w:val="21"/>
        </w:rPr>
        <w:t>En esta parte, se adjuntan los anexos técnicos derivados de la revisión practicada.</w:t>
      </w:r>
    </w:p>
    <w:p w14:paraId="717AF8AF" w14:textId="77777777" w:rsidR="00F93F3C" w:rsidRPr="004B3C28" w:rsidRDefault="00F93F3C" w:rsidP="00F93F3C">
      <w:pPr>
        <w:pStyle w:val="Textoindependiente"/>
        <w:ind w:firstLine="705"/>
        <w:rPr>
          <w:rFonts w:ascii="Abadi" w:hAnsi="Abadi"/>
          <w:b w:val="0"/>
          <w:bCs w:val="0"/>
          <w:sz w:val="21"/>
          <w:szCs w:val="21"/>
        </w:rPr>
      </w:pPr>
    </w:p>
    <w:p w14:paraId="15A34D6F" w14:textId="77777777" w:rsidR="00F93F3C" w:rsidRPr="004B3C28" w:rsidRDefault="00F93F3C" w:rsidP="00F93F3C">
      <w:pPr>
        <w:ind w:firstLine="708"/>
        <w:jc w:val="both"/>
        <w:rPr>
          <w:rFonts w:ascii="Abadi" w:hAnsi="Abadi" w:cs="Arial"/>
          <w:b/>
          <w:bCs/>
          <w:sz w:val="21"/>
          <w:szCs w:val="21"/>
        </w:rPr>
      </w:pPr>
      <w:r w:rsidRPr="004B3C28">
        <w:rPr>
          <w:rFonts w:ascii="Abadi" w:hAnsi="Abadi" w:cs="Arial"/>
          <w:b/>
          <w:bCs/>
          <w:sz w:val="21"/>
          <w:szCs w:val="21"/>
        </w:rPr>
        <w:t>V. Conclusiones:</w:t>
      </w:r>
    </w:p>
    <w:p w14:paraId="34DE588B" w14:textId="77777777" w:rsidR="00F93F3C" w:rsidRPr="004B3C28" w:rsidRDefault="00F93F3C" w:rsidP="00F93F3C">
      <w:pPr>
        <w:jc w:val="both"/>
        <w:rPr>
          <w:rFonts w:ascii="Abadi" w:hAnsi="Abadi" w:cs="Arial"/>
          <w:sz w:val="21"/>
          <w:szCs w:val="21"/>
        </w:rPr>
      </w:pPr>
    </w:p>
    <w:p w14:paraId="50F78F55" w14:textId="77777777" w:rsidR="00F93F3C" w:rsidRPr="004B3C28" w:rsidRDefault="00F93F3C" w:rsidP="00F93F3C">
      <w:pPr>
        <w:jc w:val="both"/>
        <w:rPr>
          <w:rFonts w:ascii="Abadi" w:hAnsi="Abadi" w:cs="Arial"/>
          <w:sz w:val="21"/>
          <w:szCs w:val="21"/>
        </w:rPr>
      </w:pPr>
      <w:r w:rsidRPr="004B3C28">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4B3C28">
          <w:rPr>
            <w:rFonts w:ascii="Abadi" w:hAnsi="Abadi" w:cs="Arial"/>
            <w:sz w:val="21"/>
            <w:szCs w:val="21"/>
          </w:rPr>
          <w:t>la Ley</w:t>
        </w:r>
      </w:smartTag>
      <w:r w:rsidRPr="004B3C28">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4428A9E" w14:textId="77777777" w:rsidR="00F93F3C" w:rsidRPr="004B3C28" w:rsidRDefault="00F93F3C" w:rsidP="00F93F3C">
      <w:pPr>
        <w:jc w:val="both"/>
        <w:rPr>
          <w:rFonts w:ascii="Abadi" w:hAnsi="Abadi" w:cs="Arial"/>
          <w:sz w:val="21"/>
          <w:szCs w:val="21"/>
        </w:rPr>
      </w:pPr>
    </w:p>
    <w:p w14:paraId="47CCA7F7" w14:textId="77777777" w:rsidR="00F93F3C" w:rsidRPr="004B3C28" w:rsidRDefault="00F93F3C" w:rsidP="00F93F3C">
      <w:pPr>
        <w:jc w:val="both"/>
        <w:rPr>
          <w:rFonts w:ascii="Abadi" w:hAnsi="Abadi" w:cs="Arial"/>
          <w:sz w:val="21"/>
          <w:szCs w:val="21"/>
        </w:rPr>
      </w:pPr>
      <w:r w:rsidRPr="004B3C28">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11547D09" w14:textId="77777777" w:rsidR="00F93F3C" w:rsidRPr="004B3C28" w:rsidRDefault="00F93F3C" w:rsidP="00F93F3C">
      <w:pPr>
        <w:jc w:val="both"/>
        <w:rPr>
          <w:rFonts w:ascii="Abadi" w:hAnsi="Abadi" w:cs="Arial"/>
          <w:sz w:val="21"/>
          <w:szCs w:val="21"/>
        </w:rPr>
      </w:pPr>
    </w:p>
    <w:p w14:paraId="714D6EA0" w14:textId="77777777" w:rsidR="00F93F3C" w:rsidRPr="003B065D" w:rsidRDefault="00F93F3C" w:rsidP="00F93F3C">
      <w:pPr>
        <w:ind w:firstLine="708"/>
        <w:jc w:val="both"/>
        <w:rPr>
          <w:rFonts w:ascii="Abadi" w:hAnsi="Abadi" w:cs="Arial"/>
          <w:sz w:val="21"/>
          <w:szCs w:val="21"/>
        </w:rPr>
      </w:pPr>
      <w:r w:rsidRPr="004B3C28">
        <w:rPr>
          <w:rFonts w:ascii="Abadi" w:hAnsi="Abadi" w:cs="Arial"/>
          <w:sz w:val="21"/>
          <w:szCs w:val="21"/>
        </w:rPr>
        <w:t>Como se desprende del informe de resultados, el Órgano Técnico dio</w:t>
      </w:r>
      <w:r w:rsidRPr="003B065D">
        <w:rPr>
          <w:rFonts w:ascii="Abadi" w:hAnsi="Abadi" w:cs="Arial"/>
          <w:sz w:val="21"/>
          <w:szCs w:val="21"/>
        </w:rPr>
        <w:t xml:space="preserve"> cumplimiento al artículo 37, fracción II de la Ley de Fiscalización Superior del Estado de Guanajuato, al haberse notificado las observaciones y recomendaciones derivadas de la revisión a la presidenta y al ex presidente municipales de Abasolo, </w:t>
      </w:r>
      <w:proofErr w:type="spellStart"/>
      <w:r w:rsidRPr="003B065D">
        <w:rPr>
          <w:rFonts w:ascii="Abadi" w:hAnsi="Abadi" w:cs="Arial"/>
          <w:sz w:val="21"/>
          <w:szCs w:val="21"/>
        </w:rPr>
        <w:t>Gto</w:t>
      </w:r>
      <w:proofErr w:type="spellEnd"/>
      <w:r w:rsidRPr="003B065D">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3B065D">
          <w:rPr>
            <w:rFonts w:ascii="Abadi" w:hAnsi="Abadi" w:cs="Arial"/>
            <w:sz w:val="21"/>
            <w:szCs w:val="21"/>
          </w:rPr>
          <w:t>la Ley</w:t>
        </w:r>
      </w:smartTag>
      <w:r w:rsidRPr="003B065D">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efectuadas.</w:t>
      </w:r>
    </w:p>
    <w:p w14:paraId="4299DE58" w14:textId="77777777" w:rsidR="00F93F3C" w:rsidRPr="003B065D" w:rsidRDefault="00F93F3C" w:rsidP="00F93F3C">
      <w:pPr>
        <w:ind w:firstLine="708"/>
        <w:jc w:val="both"/>
        <w:rPr>
          <w:rFonts w:ascii="Abadi" w:hAnsi="Abadi" w:cs="Arial"/>
          <w:sz w:val="21"/>
          <w:szCs w:val="21"/>
        </w:rPr>
      </w:pPr>
    </w:p>
    <w:p w14:paraId="23F3B74D" w14:textId="77777777" w:rsidR="00F93F3C" w:rsidRPr="003B065D" w:rsidRDefault="00F93F3C" w:rsidP="00F93F3C">
      <w:pPr>
        <w:ind w:firstLine="708"/>
        <w:jc w:val="both"/>
        <w:rPr>
          <w:rFonts w:ascii="Abadi" w:hAnsi="Abadi" w:cs="Arial"/>
          <w:sz w:val="21"/>
          <w:szCs w:val="21"/>
        </w:rPr>
      </w:pPr>
    </w:p>
    <w:p w14:paraId="57CBDCF0"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De igual manera, existe en el informe de resultados la constancia de que este se notificó a la presidenta y al ex presidente municipales de Abasolo, </w:t>
      </w:r>
      <w:proofErr w:type="spellStart"/>
      <w:r w:rsidRPr="003B065D">
        <w:rPr>
          <w:rFonts w:ascii="Abadi" w:hAnsi="Abadi" w:cs="Arial"/>
          <w:sz w:val="21"/>
          <w:szCs w:val="21"/>
        </w:rPr>
        <w:t>Gto</w:t>
      </w:r>
      <w:proofErr w:type="spellEnd"/>
      <w:r w:rsidRPr="003B065D">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3B065D">
          <w:rPr>
            <w:rFonts w:ascii="Abadi" w:hAnsi="Abadi" w:cs="Arial"/>
            <w:sz w:val="21"/>
            <w:szCs w:val="21"/>
          </w:rPr>
          <w:t>la Ley</w:t>
        </w:r>
      </w:smartTag>
      <w:r w:rsidRPr="003B065D">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 En tal virtud, se considera que fue respetado el derecho de audiencia o defensa por parte del Órgano Técnico.</w:t>
      </w:r>
    </w:p>
    <w:p w14:paraId="42E7C678" w14:textId="77777777" w:rsidR="00F93F3C" w:rsidRPr="003B065D" w:rsidRDefault="00F93F3C" w:rsidP="00F93F3C">
      <w:pPr>
        <w:ind w:firstLine="708"/>
        <w:jc w:val="both"/>
        <w:rPr>
          <w:rFonts w:ascii="Abadi" w:hAnsi="Abadi" w:cs="Arial"/>
          <w:sz w:val="21"/>
          <w:szCs w:val="21"/>
        </w:rPr>
      </w:pPr>
    </w:p>
    <w:p w14:paraId="50B5B6EB"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w:t>
      </w:r>
      <w:r w:rsidRPr="003B065D">
        <w:rPr>
          <w:rFonts w:ascii="Abadi" w:hAnsi="Abadi" w:cs="Arial"/>
          <w:sz w:val="21"/>
          <w:szCs w:val="21"/>
        </w:rPr>
        <w:t>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6374097" w14:textId="77777777" w:rsidR="00F93F3C" w:rsidRPr="003B065D" w:rsidRDefault="00F93F3C" w:rsidP="00F93F3C">
      <w:pPr>
        <w:ind w:firstLine="708"/>
        <w:jc w:val="both"/>
        <w:rPr>
          <w:rFonts w:ascii="Abadi" w:hAnsi="Abadi" w:cs="Arial"/>
          <w:sz w:val="21"/>
          <w:szCs w:val="21"/>
        </w:rPr>
      </w:pPr>
    </w:p>
    <w:p w14:paraId="70B5DE48"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C1D72E9" w14:textId="77777777" w:rsidR="00F93F3C" w:rsidRPr="003B065D" w:rsidRDefault="00F93F3C" w:rsidP="00F93F3C">
      <w:pPr>
        <w:jc w:val="both"/>
        <w:rPr>
          <w:rFonts w:ascii="Abadi" w:hAnsi="Abadi" w:cs="Arial"/>
          <w:sz w:val="21"/>
          <w:szCs w:val="21"/>
        </w:rPr>
      </w:pPr>
    </w:p>
    <w:p w14:paraId="60CE06C5"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5AE6A143" w14:textId="77777777" w:rsidR="00F93F3C" w:rsidRPr="003B065D" w:rsidRDefault="00F93F3C" w:rsidP="00F93F3C">
      <w:pPr>
        <w:ind w:firstLine="708"/>
        <w:jc w:val="both"/>
        <w:rPr>
          <w:rFonts w:ascii="Abadi" w:hAnsi="Abadi" w:cs="Arial"/>
          <w:sz w:val="21"/>
          <w:szCs w:val="21"/>
        </w:rPr>
      </w:pPr>
    </w:p>
    <w:p w14:paraId="5CC55E2E"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w:t>
      </w:r>
      <w:r w:rsidRPr="003B065D">
        <w:rPr>
          <w:rFonts w:ascii="Abadi" w:hAnsi="Abadi" w:cs="Arial"/>
          <w:sz w:val="21"/>
          <w:szCs w:val="21"/>
        </w:rPr>
        <w:lastRenderedPageBreak/>
        <w:t>abonar a la transparencia y rendición de cuentas.</w:t>
      </w:r>
    </w:p>
    <w:p w14:paraId="1ABAF88F" w14:textId="77777777" w:rsidR="00F93F3C" w:rsidRPr="003B065D" w:rsidRDefault="00F93F3C" w:rsidP="00F93F3C">
      <w:pPr>
        <w:ind w:firstLine="708"/>
        <w:jc w:val="both"/>
        <w:rPr>
          <w:rFonts w:ascii="Abadi" w:hAnsi="Abadi" w:cs="Arial"/>
          <w:sz w:val="21"/>
          <w:szCs w:val="21"/>
        </w:rPr>
      </w:pPr>
    </w:p>
    <w:p w14:paraId="11DE445E"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En razón de lo anteriormente señalado, concluimos que el informe de resultados de la revisión practicada a la cuenta pública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B065D">
          <w:rPr>
            <w:rFonts w:ascii="Abadi" w:hAnsi="Abadi" w:cs="Arial"/>
            <w:sz w:val="21"/>
            <w:szCs w:val="21"/>
          </w:rPr>
          <w:t>la Ley</w:t>
        </w:r>
      </w:smartTag>
      <w:r w:rsidRPr="003B065D">
        <w:rPr>
          <w:rFonts w:ascii="Abadi" w:hAnsi="Abadi" w:cs="Arial"/>
          <w:sz w:val="21"/>
          <w:szCs w:val="21"/>
        </w:rPr>
        <w:t xml:space="preserve"> de Fiscalización Superior del Estado de Guanajuato, razón por la cual no podría ser observado por el Pleno del Congreso.</w:t>
      </w:r>
    </w:p>
    <w:p w14:paraId="16F18964" w14:textId="77777777" w:rsidR="00F93F3C" w:rsidRPr="003B065D" w:rsidRDefault="00F93F3C" w:rsidP="00F93F3C">
      <w:pPr>
        <w:pStyle w:val="Sangra3detindependiente"/>
        <w:spacing w:line="240" w:lineRule="auto"/>
        <w:rPr>
          <w:rFonts w:ascii="Abadi" w:hAnsi="Abadi"/>
          <w:sz w:val="21"/>
          <w:szCs w:val="21"/>
        </w:rPr>
      </w:pPr>
    </w:p>
    <w:p w14:paraId="4B30807E" w14:textId="77777777" w:rsidR="00F93F3C" w:rsidRPr="003B065D" w:rsidRDefault="00F93F3C" w:rsidP="00F93F3C">
      <w:pPr>
        <w:pStyle w:val="Sangra3detindependiente"/>
        <w:spacing w:line="240" w:lineRule="auto"/>
        <w:rPr>
          <w:rFonts w:ascii="Abadi" w:hAnsi="Abadi"/>
          <w:sz w:val="21"/>
          <w:szCs w:val="21"/>
        </w:rPr>
      </w:pPr>
      <w:r w:rsidRPr="003B065D">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B065D">
          <w:rPr>
            <w:rFonts w:ascii="Abadi" w:hAnsi="Abadi"/>
            <w:sz w:val="21"/>
            <w:szCs w:val="21"/>
          </w:rPr>
          <w:t>la Ley Orgánica</w:t>
        </w:r>
      </w:smartTag>
      <w:r w:rsidRPr="003B065D">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B065D">
          <w:rPr>
            <w:rFonts w:ascii="Abadi" w:hAnsi="Abadi"/>
            <w:sz w:val="21"/>
            <w:szCs w:val="21"/>
          </w:rPr>
          <w:t>la Asamblea</w:t>
        </w:r>
      </w:smartTag>
      <w:r w:rsidRPr="003B065D">
        <w:rPr>
          <w:rFonts w:ascii="Abadi" w:hAnsi="Abadi"/>
          <w:sz w:val="21"/>
          <w:szCs w:val="21"/>
        </w:rPr>
        <w:t>, la aprobación del siguiente:</w:t>
      </w:r>
    </w:p>
    <w:p w14:paraId="1EBE4056" w14:textId="77777777" w:rsidR="00F93F3C" w:rsidRPr="003B065D" w:rsidRDefault="00F93F3C" w:rsidP="00F93F3C">
      <w:pPr>
        <w:pStyle w:val="Ttulo1"/>
        <w:jc w:val="center"/>
        <w:rPr>
          <w:rFonts w:ascii="Abadi" w:hAnsi="Abadi" w:cs="Arial"/>
          <w:smallCaps/>
          <w:sz w:val="21"/>
          <w:szCs w:val="21"/>
        </w:rPr>
      </w:pPr>
    </w:p>
    <w:p w14:paraId="03B6DF90" w14:textId="77777777" w:rsidR="00F93F3C" w:rsidRPr="003B065D" w:rsidRDefault="00F93F3C" w:rsidP="00F93F3C">
      <w:pPr>
        <w:pStyle w:val="Ttulo1"/>
        <w:jc w:val="center"/>
        <w:rPr>
          <w:rFonts w:ascii="Abadi" w:hAnsi="Abadi" w:cs="Arial"/>
          <w:smallCaps/>
          <w:sz w:val="21"/>
          <w:szCs w:val="21"/>
        </w:rPr>
      </w:pPr>
      <w:r w:rsidRPr="003B065D">
        <w:rPr>
          <w:rFonts w:ascii="Abadi" w:hAnsi="Abadi" w:cs="Arial"/>
          <w:smallCaps/>
          <w:sz w:val="21"/>
          <w:szCs w:val="21"/>
        </w:rPr>
        <w:t>A c u e r d o</w:t>
      </w:r>
    </w:p>
    <w:p w14:paraId="19AB5342" w14:textId="77777777" w:rsidR="00F93F3C" w:rsidRPr="003B065D" w:rsidRDefault="00F93F3C" w:rsidP="00F93F3C">
      <w:pPr>
        <w:rPr>
          <w:rFonts w:ascii="Abadi" w:hAnsi="Abadi"/>
          <w:sz w:val="21"/>
          <w:szCs w:val="21"/>
        </w:rPr>
      </w:pPr>
    </w:p>
    <w:p w14:paraId="5CA5CA70" w14:textId="77777777" w:rsidR="00F93F3C" w:rsidRPr="003B065D" w:rsidRDefault="00F93F3C" w:rsidP="00F93F3C">
      <w:pPr>
        <w:ind w:firstLine="708"/>
        <w:jc w:val="both"/>
        <w:rPr>
          <w:rFonts w:ascii="Abadi" w:hAnsi="Abadi" w:cs="Arial"/>
          <w:sz w:val="21"/>
          <w:szCs w:val="21"/>
        </w:rPr>
      </w:pPr>
      <w:r w:rsidRPr="003B065D">
        <w:rPr>
          <w:rFonts w:ascii="Abadi" w:hAnsi="Abadi" w:cs="Arial"/>
          <w:b/>
          <w:bCs/>
          <w:sz w:val="21"/>
          <w:szCs w:val="21"/>
        </w:rPr>
        <w:t xml:space="preserve">Único. </w:t>
      </w:r>
      <w:r w:rsidRPr="003B065D">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3B065D">
          <w:rPr>
            <w:rFonts w:ascii="Abadi" w:hAnsi="Abadi" w:cs="Arial"/>
            <w:sz w:val="21"/>
            <w:szCs w:val="21"/>
          </w:rPr>
          <w:t>la Constitución Política</w:t>
        </w:r>
      </w:smartTag>
      <w:r w:rsidRPr="003B065D">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Abasolo, </w:t>
      </w:r>
      <w:proofErr w:type="spellStart"/>
      <w:r w:rsidRPr="003B065D">
        <w:rPr>
          <w:rFonts w:ascii="Abadi" w:hAnsi="Abadi" w:cs="Arial"/>
          <w:sz w:val="21"/>
          <w:szCs w:val="21"/>
        </w:rPr>
        <w:t>Gto</w:t>
      </w:r>
      <w:proofErr w:type="spellEnd"/>
      <w:r w:rsidRPr="003B065D">
        <w:rPr>
          <w:rFonts w:ascii="Abadi" w:hAnsi="Abadi" w:cs="Arial"/>
          <w:sz w:val="21"/>
          <w:szCs w:val="21"/>
        </w:rPr>
        <w:t>., correspondiente al ejercicio fiscal del año 2021, con base en el informe de resultados formulado por la Auditoría Superior del Estado de Guanajuato.</w:t>
      </w:r>
    </w:p>
    <w:p w14:paraId="5F54251E" w14:textId="77777777" w:rsidR="00F93F3C" w:rsidRPr="003B065D" w:rsidRDefault="00F93F3C" w:rsidP="00F93F3C">
      <w:pPr>
        <w:ind w:firstLine="708"/>
        <w:jc w:val="both"/>
        <w:rPr>
          <w:rFonts w:ascii="Abadi" w:hAnsi="Abadi" w:cs="Arial"/>
          <w:sz w:val="21"/>
          <w:szCs w:val="21"/>
        </w:rPr>
      </w:pPr>
    </w:p>
    <w:p w14:paraId="3A20E875" w14:textId="77777777" w:rsidR="00F93F3C" w:rsidRPr="003B065D" w:rsidRDefault="00F93F3C" w:rsidP="00F93F3C">
      <w:pPr>
        <w:pStyle w:val="Sangra3detindependiente"/>
        <w:spacing w:line="240" w:lineRule="auto"/>
        <w:rPr>
          <w:rFonts w:ascii="Abadi" w:hAnsi="Abadi"/>
          <w:sz w:val="21"/>
          <w:szCs w:val="21"/>
          <w:lang w:val="es-MX"/>
        </w:rPr>
      </w:pPr>
      <w:r w:rsidRPr="003B065D">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3B065D">
        <w:rPr>
          <w:rFonts w:ascii="Abadi" w:hAnsi="Abadi"/>
          <w:sz w:val="21"/>
          <w:szCs w:val="21"/>
          <w:lang w:val="es-MX"/>
        </w:rPr>
        <w:t>.</w:t>
      </w:r>
      <w:r w:rsidRPr="003B065D">
        <w:rPr>
          <w:rFonts w:ascii="Abadi" w:hAnsi="Abadi"/>
          <w:sz w:val="21"/>
          <w:szCs w:val="21"/>
        </w:rPr>
        <w:t xml:space="preserve"> </w:t>
      </w:r>
      <w:r w:rsidRPr="003B065D">
        <w:rPr>
          <w:rFonts w:ascii="Abadi" w:hAnsi="Abadi"/>
          <w:sz w:val="21"/>
          <w:szCs w:val="21"/>
          <w:lang w:val="es-MX"/>
        </w:rPr>
        <w:t>Asimismo, dará</w:t>
      </w:r>
      <w:r w:rsidRPr="003B065D">
        <w:rPr>
          <w:rFonts w:ascii="Abadi" w:hAnsi="Abadi"/>
          <w:sz w:val="21"/>
          <w:szCs w:val="21"/>
        </w:rPr>
        <w:t xml:space="preserve"> seguimiento a la</w:t>
      </w:r>
      <w:r w:rsidRPr="003B065D">
        <w:rPr>
          <w:rFonts w:ascii="Abadi" w:hAnsi="Abadi"/>
          <w:sz w:val="21"/>
          <w:szCs w:val="21"/>
          <w:lang w:val="es-MX"/>
        </w:rPr>
        <w:t>s</w:t>
      </w:r>
      <w:r w:rsidRPr="003B065D">
        <w:rPr>
          <w:rFonts w:ascii="Abadi" w:hAnsi="Abadi"/>
          <w:sz w:val="21"/>
          <w:szCs w:val="21"/>
        </w:rPr>
        <w:t xml:space="preserve"> </w:t>
      </w:r>
      <w:proofErr w:type="spellStart"/>
      <w:r w:rsidRPr="003B065D">
        <w:rPr>
          <w:rFonts w:ascii="Abadi" w:hAnsi="Abadi"/>
          <w:sz w:val="21"/>
          <w:szCs w:val="21"/>
        </w:rPr>
        <w:t>observaci</w:t>
      </w:r>
      <w:r w:rsidRPr="003B065D">
        <w:rPr>
          <w:rFonts w:ascii="Abadi" w:hAnsi="Abadi"/>
          <w:sz w:val="21"/>
          <w:szCs w:val="21"/>
          <w:lang w:val="es-MX"/>
        </w:rPr>
        <w:t>ones</w:t>
      </w:r>
      <w:proofErr w:type="spellEnd"/>
      <w:r w:rsidRPr="003B065D">
        <w:rPr>
          <w:rFonts w:ascii="Abadi" w:hAnsi="Abadi"/>
          <w:sz w:val="21"/>
          <w:szCs w:val="21"/>
        </w:rPr>
        <w:t xml:space="preserve"> no solventada</w:t>
      </w:r>
      <w:r w:rsidRPr="003B065D">
        <w:rPr>
          <w:rFonts w:ascii="Abadi" w:hAnsi="Abadi"/>
          <w:sz w:val="21"/>
          <w:szCs w:val="21"/>
          <w:lang w:val="es-MX"/>
        </w:rPr>
        <w:t>s</w:t>
      </w:r>
      <w:r w:rsidRPr="003B065D">
        <w:rPr>
          <w:rFonts w:ascii="Abadi" w:hAnsi="Abadi"/>
          <w:sz w:val="21"/>
          <w:szCs w:val="21"/>
        </w:rPr>
        <w:t xml:space="preserve"> </w:t>
      </w:r>
      <w:r w:rsidRPr="003B065D">
        <w:rPr>
          <w:rFonts w:ascii="Abadi" w:hAnsi="Abadi"/>
          <w:sz w:val="21"/>
          <w:szCs w:val="21"/>
          <w:lang w:val="es-MX"/>
        </w:rPr>
        <w:t xml:space="preserve">y a las recomendaciones no atendidas </w:t>
      </w:r>
      <w:r w:rsidRPr="003B065D">
        <w:rPr>
          <w:rFonts w:ascii="Abadi" w:hAnsi="Abadi"/>
          <w:sz w:val="21"/>
          <w:szCs w:val="21"/>
        </w:rPr>
        <w:t>contenidas en el informe de resultados</w:t>
      </w:r>
      <w:r w:rsidRPr="003B065D">
        <w:rPr>
          <w:rFonts w:ascii="Abadi" w:hAnsi="Abadi"/>
          <w:sz w:val="21"/>
          <w:szCs w:val="21"/>
          <w:lang w:val="es-MX"/>
        </w:rPr>
        <w:t>.</w:t>
      </w:r>
    </w:p>
    <w:p w14:paraId="1B82B450" w14:textId="77777777" w:rsidR="00F93F3C" w:rsidRPr="003B065D" w:rsidRDefault="00F93F3C" w:rsidP="00F93F3C">
      <w:pPr>
        <w:pStyle w:val="Sangra3detindependiente"/>
        <w:spacing w:line="240" w:lineRule="auto"/>
        <w:rPr>
          <w:rFonts w:ascii="Abadi" w:hAnsi="Abadi"/>
          <w:sz w:val="21"/>
          <w:szCs w:val="21"/>
          <w:lang w:val="es-MX"/>
        </w:rPr>
      </w:pPr>
    </w:p>
    <w:p w14:paraId="004C1272"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 xml:space="preserve">Se ordena dar vista del informe de resultados al ayuntamiento del municipio de </w:t>
      </w:r>
      <w:r w:rsidRPr="003B065D">
        <w:rPr>
          <w:rFonts w:ascii="Abadi" w:hAnsi="Abadi" w:cs="Arial"/>
          <w:sz w:val="21"/>
          <w:szCs w:val="21"/>
          <w:lang w:val="es-MX"/>
        </w:rPr>
        <w:t>Abasolo,</w:t>
      </w:r>
      <w:r w:rsidRPr="003B065D">
        <w:rPr>
          <w:rFonts w:ascii="Abadi" w:hAnsi="Abadi" w:cs="Arial"/>
          <w:sz w:val="21"/>
          <w:szCs w:val="21"/>
        </w:rPr>
        <w:t xml:space="preserve"> </w:t>
      </w:r>
      <w:proofErr w:type="spellStart"/>
      <w:r w:rsidRPr="003B065D">
        <w:rPr>
          <w:rFonts w:ascii="Abadi" w:hAnsi="Abadi" w:cs="Arial"/>
          <w:sz w:val="21"/>
          <w:szCs w:val="21"/>
        </w:rPr>
        <w:t>Gto</w:t>
      </w:r>
      <w:proofErr w:type="spellEnd"/>
      <w:r w:rsidRPr="003B065D">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3B065D">
          <w:rPr>
            <w:rFonts w:ascii="Abadi" w:hAnsi="Abadi" w:cs="Arial"/>
            <w:sz w:val="21"/>
            <w:szCs w:val="21"/>
          </w:rPr>
          <w:t>la Ley</w:t>
        </w:r>
      </w:smartTag>
      <w:r w:rsidRPr="003B065D">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16C476E" w14:textId="77777777" w:rsidR="00F93F3C" w:rsidRPr="003B065D" w:rsidRDefault="00F93F3C" w:rsidP="00F93F3C">
      <w:pPr>
        <w:ind w:firstLine="708"/>
        <w:jc w:val="both"/>
        <w:rPr>
          <w:rFonts w:ascii="Abadi" w:hAnsi="Abadi" w:cs="Arial"/>
          <w:sz w:val="21"/>
          <w:szCs w:val="21"/>
        </w:rPr>
      </w:pPr>
    </w:p>
    <w:p w14:paraId="31FCFA4A" w14:textId="77777777" w:rsidR="00F93F3C" w:rsidRPr="003B065D" w:rsidRDefault="00F93F3C" w:rsidP="00F93F3C">
      <w:pPr>
        <w:ind w:firstLine="708"/>
        <w:jc w:val="both"/>
        <w:rPr>
          <w:rFonts w:ascii="Abadi" w:hAnsi="Abadi" w:cs="Arial"/>
          <w:sz w:val="21"/>
          <w:szCs w:val="21"/>
        </w:rPr>
      </w:pPr>
      <w:r w:rsidRPr="003B065D">
        <w:rPr>
          <w:rFonts w:ascii="Abadi" w:hAnsi="Abadi" w:cs="Arial"/>
          <w:sz w:val="21"/>
          <w:szCs w:val="21"/>
        </w:rPr>
        <w:t>Remítase el presente acuerdo al titular del Poder Ejecutivo del Estado para su publicación en el Periódico Oficial del Gobierno del Estado.</w:t>
      </w:r>
    </w:p>
    <w:p w14:paraId="511ABAFE" w14:textId="77777777" w:rsidR="00F93F3C" w:rsidRPr="003B065D" w:rsidRDefault="00F93F3C" w:rsidP="00F93F3C">
      <w:pPr>
        <w:ind w:firstLine="708"/>
        <w:jc w:val="both"/>
        <w:rPr>
          <w:rFonts w:ascii="Abadi" w:hAnsi="Abadi" w:cs="Arial"/>
          <w:sz w:val="21"/>
          <w:szCs w:val="21"/>
        </w:rPr>
      </w:pPr>
    </w:p>
    <w:p w14:paraId="098473B9" w14:textId="77777777" w:rsidR="00F93F3C" w:rsidRPr="003B065D" w:rsidRDefault="00F93F3C" w:rsidP="00F93F3C">
      <w:pPr>
        <w:pStyle w:val="Sangra3detindependiente"/>
        <w:spacing w:line="240" w:lineRule="auto"/>
        <w:rPr>
          <w:rFonts w:ascii="Abadi" w:hAnsi="Abadi"/>
          <w:sz w:val="21"/>
          <w:szCs w:val="21"/>
        </w:rPr>
      </w:pPr>
      <w:r w:rsidRPr="003B065D">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95844B1" w14:textId="77777777" w:rsidR="00F93F3C" w:rsidRPr="003B065D" w:rsidRDefault="00F93F3C" w:rsidP="00F93F3C">
      <w:pPr>
        <w:jc w:val="center"/>
        <w:rPr>
          <w:rFonts w:ascii="Abadi" w:hAnsi="Abadi" w:cs="Arial"/>
          <w:b/>
          <w:bCs/>
          <w:sz w:val="21"/>
          <w:szCs w:val="21"/>
          <w:lang w:eastAsia="x-none"/>
        </w:rPr>
      </w:pPr>
    </w:p>
    <w:p w14:paraId="0A5014E5" w14:textId="77777777" w:rsidR="00F93F3C" w:rsidRPr="003B065D" w:rsidRDefault="00F93F3C" w:rsidP="00F93F3C">
      <w:pPr>
        <w:jc w:val="center"/>
        <w:rPr>
          <w:rFonts w:ascii="Abadi" w:hAnsi="Abadi" w:cs="Arial"/>
          <w:b/>
          <w:bCs/>
          <w:sz w:val="21"/>
          <w:szCs w:val="21"/>
          <w:lang w:eastAsia="x-none"/>
        </w:rPr>
      </w:pPr>
      <w:r w:rsidRPr="003B065D">
        <w:rPr>
          <w:rFonts w:ascii="Abadi" w:hAnsi="Abadi" w:cs="Arial"/>
          <w:b/>
          <w:bCs/>
          <w:sz w:val="21"/>
          <w:szCs w:val="21"/>
          <w:lang w:eastAsia="x-none"/>
        </w:rPr>
        <w:t xml:space="preserve">Guanajuato, </w:t>
      </w:r>
      <w:proofErr w:type="spellStart"/>
      <w:r w:rsidRPr="003B065D">
        <w:rPr>
          <w:rFonts w:ascii="Abadi" w:hAnsi="Abadi" w:cs="Arial"/>
          <w:b/>
          <w:bCs/>
          <w:sz w:val="21"/>
          <w:szCs w:val="21"/>
          <w:lang w:eastAsia="x-none"/>
        </w:rPr>
        <w:t>Gto</w:t>
      </w:r>
      <w:proofErr w:type="spellEnd"/>
      <w:r w:rsidRPr="003B065D">
        <w:rPr>
          <w:rFonts w:ascii="Abadi" w:hAnsi="Abadi" w:cs="Arial"/>
          <w:b/>
          <w:bCs/>
          <w:sz w:val="21"/>
          <w:szCs w:val="21"/>
          <w:lang w:eastAsia="x-none"/>
        </w:rPr>
        <w:t>., 19 de junio de 2023</w:t>
      </w:r>
    </w:p>
    <w:p w14:paraId="3D3E3975" w14:textId="77777777" w:rsidR="00F93F3C" w:rsidRPr="003B065D" w:rsidRDefault="00F93F3C" w:rsidP="00F93F3C">
      <w:pPr>
        <w:jc w:val="center"/>
        <w:rPr>
          <w:rFonts w:ascii="Abadi" w:hAnsi="Abadi" w:cs="Arial"/>
          <w:b/>
          <w:bCs/>
          <w:sz w:val="21"/>
          <w:szCs w:val="21"/>
          <w:lang w:eastAsia="x-none"/>
        </w:rPr>
      </w:pPr>
      <w:smartTag w:uri="urn:schemas-microsoft-com:office:smarttags" w:element="PersonName">
        <w:smartTagPr>
          <w:attr w:name="ProductID" w:val="La Comisi￳n"/>
        </w:smartTagPr>
        <w:r w:rsidRPr="003B065D">
          <w:rPr>
            <w:rFonts w:ascii="Abadi" w:hAnsi="Abadi" w:cs="Arial"/>
            <w:b/>
            <w:bCs/>
            <w:sz w:val="21"/>
            <w:szCs w:val="21"/>
            <w:lang w:eastAsia="x-none"/>
          </w:rPr>
          <w:t>La Comisión</w:t>
        </w:r>
      </w:smartTag>
      <w:r w:rsidRPr="003B065D">
        <w:rPr>
          <w:rFonts w:ascii="Abadi" w:hAnsi="Abadi" w:cs="Arial"/>
          <w:b/>
          <w:bCs/>
          <w:sz w:val="21"/>
          <w:szCs w:val="21"/>
          <w:lang w:eastAsia="x-none"/>
        </w:rPr>
        <w:t xml:space="preserve"> de Hacienda y Fiscalización</w:t>
      </w:r>
    </w:p>
    <w:p w14:paraId="172F140D" w14:textId="77777777" w:rsidR="00F93F3C" w:rsidRPr="003B065D" w:rsidRDefault="00F93F3C" w:rsidP="00F93F3C">
      <w:pPr>
        <w:jc w:val="center"/>
        <w:rPr>
          <w:rFonts w:ascii="Abadi" w:hAnsi="Abadi" w:cs="Arial"/>
          <w:sz w:val="21"/>
          <w:szCs w:val="21"/>
        </w:rPr>
      </w:pPr>
    </w:p>
    <w:p w14:paraId="0420E256" w14:textId="77777777" w:rsidR="00F93F3C" w:rsidRPr="003B065D" w:rsidRDefault="00F93F3C" w:rsidP="00F93F3C">
      <w:pPr>
        <w:jc w:val="center"/>
        <w:rPr>
          <w:rFonts w:ascii="Abadi" w:hAnsi="Abadi" w:cs="Arial"/>
          <w:sz w:val="21"/>
          <w:szCs w:val="21"/>
        </w:rPr>
      </w:pPr>
    </w:p>
    <w:p w14:paraId="7C97A5C6" w14:textId="77777777" w:rsidR="00F93F3C" w:rsidRPr="003B065D" w:rsidRDefault="00F93F3C" w:rsidP="004B3C28">
      <w:pPr>
        <w:rPr>
          <w:rFonts w:ascii="Abadi" w:hAnsi="Abadi" w:cs="Arial"/>
          <w:sz w:val="21"/>
          <w:szCs w:val="21"/>
        </w:rPr>
      </w:pPr>
      <w:r w:rsidRPr="003B065D">
        <w:rPr>
          <w:rFonts w:ascii="Abadi" w:hAnsi="Abadi" w:cs="Arial"/>
          <w:b/>
          <w:sz w:val="21"/>
          <w:szCs w:val="21"/>
          <w:lang w:eastAsia="x-none"/>
        </w:rPr>
        <w:t>Diputado Víctor Manuel Zanella Huerta</w:t>
      </w:r>
    </w:p>
    <w:p w14:paraId="4B8AC90B" w14:textId="77777777" w:rsidR="00F93F3C" w:rsidRPr="003B065D" w:rsidRDefault="00F93F3C" w:rsidP="00F93F3C">
      <w:pPr>
        <w:rPr>
          <w:rFonts w:ascii="Abadi" w:hAnsi="Abadi" w:cs="Arial"/>
          <w:b/>
          <w:sz w:val="21"/>
          <w:szCs w:val="21"/>
          <w:lang w:eastAsia="x-none"/>
        </w:rPr>
      </w:pPr>
      <w:r w:rsidRPr="003B065D">
        <w:rPr>
          <w:rFonts w:ascii="Abadi" w:hAnsi="Abadi" w:cs="Arial"/>
          <w:b/>
          <w:sz w:val="21"/>
          <w:szCs w:val="21"/>
          <w:lang w:eastAsia="x-none"/>
        </w:rPr>
        <w:t xml:space="preserve">Diputada Ruth Noemí Tiscareño Agoitia      </w:t>
      </w:r>
    </w:p>
    <w:p w14:paraId="53FB33AA" w14:textId="080FD3C6" w:rsidR="00F93F3C" w:rsidRPr="003B065D" w:rsidRDefault="00F93F3C" w:rsidP="00433AFD">
      <w:pPr>
        <w:rPr>
          <w:rFonts w:ascii="Abadi" w:hAnsi="Abadi" w:cs="Arial"/>
          <w:b/>
          <w:sz w:val="21"/>
          <w:szCs w:val="21"/>
          <w:lang w:eastAsia="x-none"/>
        </w:rPr>
      </w:pPr>
      <w:r w:rsidRPr="003B065D">
        <w:rPr>
          <w:rFonts w:ascii="Abadi" w:hAnsi="Abadi" w:cs="Arial"/>
          <w:b/>
          <w:sz w:val="21"/>
          <w:szCs w:val="21"/>
          <w:lang w:eastAsia="x-none"/>
        </w:rPr>
        <w:t xml:space="preserve">Diputado Miguel Ángel Salim </w:t>
      </w:r>
      <w:proofErr w:type="spellStart"/>
      <w:r w:rsidRPr="003B065D">
        <w:rPr>
          <w:rFonts w:ascii="Abadi" w:hAnsi="Abadi" w:cs="Arial"/>
          <w:b/>
          <w:sz w:val="21"/>
          <w:szCs w:val="21"/>
          <w:lang w:eastAsia="x-none"/>
        </w:rPr>
        <w:t>Alle</w:t>
      </w:r>
      <w:proofErr w:type="spellEnd"/>
    </w:p>
    <w:p w14:paraId="3BAA411C" w14:textId="77777777" w:rsidR="00F93F3C" w:rsidRPr="003B065D" w:rsidRDefault="00F93F3C" w:rsidP="00F93F3C">
      <w:pPr>
        <w:rPr>
          <w:rFonts w:ascii="Abadi" w:hAnsi="Abadi" w:cs="Arial"/>
          <w:b/>
          <w:sz w:val="21"/>
          <w:szCs w:val="21"/>
          <w:lang w:eastAsia="x-none"/>
        </w:rPr>
      </w:pPr>
      <w:r w:rsidRPr="003B065D">
        <w:rPr>
          <w:rFonts w:ascii="Abadi" w:hAnsi="Abadi" w:cs="Arial"/>
          <w:b/>
          <w:sz w:val="21"/>
          <w:szCs w:val="21"/>
          <w:lang w:eastAsia="x-none"/>
        </w:rPr>
        <w:t xml:space="preserve">Diputado José Alfonso Borja Pimentel    </w:t>
      </w:r>
    </w:p>
    <w:p w14:paraId="3A3AB3BB" w14:textId="77777777" w:rsidR="00F93F3C" w:rsidRPr="003B065D" w:rsidRDefault="00F93F3C" w:rsidP="00433AFD">
      <w:pPr>
        <w:rPr>
          <w:rFonts w:ascii="Abadi" w:hAnsi="Abadi" w:cs="Arial"/>
          <w:b/>
          <w:sz w:val="21"/>
          <w:szCs w:val="21"/>
          <w:lang w:eastAsia="x-none"/>
        </w:rPr>
      </w:pPr>
      <w:r w:rsidRPr="003B065D">
        <w:rPr>
          <w:rFonts w:ascii="Abadi" w:hAnsi="Abadi" w:cs="Arial"/>
          <w:b/>
          <w:sz w:val="21"/>
          <w:szCs w:val="21"/>
          <w:lang w:eastAsia="x-none"/>
        </w:rPr>
        <w:t>Diputada Alma Edwviges Alcaraz Hernández</w:t>
      </w:r>
    </w:p>
    <w:p w14:paraId="3AFE2366"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42A0D566" w14:textId="75B1FBFD"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PUEBLO NUEVO, GTO., CORRESPONDIENTE AL EJERCICIO FISCAL DEL AÑO 2021. </w:t>
      </w:r>
      <w:r w:rsidRPr="00006796">
        <w:rPr>
          <w:rFonts w:ascii="Abadi" w:hAnsi="Abadi" w:cs="Arial-ItalicMT"/>
          <w:b/>
          <w:bCs/>
          <w:i/>
          <w:iCs/>
          <w:sz w:val="21"/>
          <w:szCs w:val="21"/>
        </w:rPr>
        <w:t>(ELD 316/LXV-IRASEG)</w:t>
      </w:r>
      <w:r w:rsidR="00DD55E5">
        <w:rPr>
          <w:rStyle w:val="Refdenotaalpie"/>
          <w:rFonts w:ascii="Abadi" w:hAnsi="Abadi" w:cs="Arial-ItalicMT"/>
          <w:b/>
          <w:bCs/>
          <w:i/>
          <w:iCs/>
          <w:sz w:val="21"/>
          <w:szCs w:val="21"/>
        </w:rPr>
        <w:footnoteReference w:id="233"/>
      </w:r>
    </w:p>
    <w:p w14:paraId="529C4320" w14:textId="77777777" w:rsidR="008F2F9E" w:rsidRPr="008F2F9E" w:rsidRDefault="008F2F9E" w:rsidP="008F2F9E">
      <w:pPr>
        <w:pStyle w:val="Prrafodelista"/>
        <w:rPr>
          <w:rFonts w:ascii="Abadi" w:hAnsi="Abadi" w:cs="Arial-ItalicMT"/>
          <w:b/>
          <w:bCs/>
          <w:i/>
          <w:iCs/>
          <w:sz w:val="21"/>
          <w:szCs w:val="21"/>
        </w:rPr>
      </w:pPr>
    </w:p>
    <w:p w14:paraId="179BE491" w14:textId="77777777" w:rsidR="008F2F9E" w:rsidRDefault="008F2F9E" w:rsidP="008F2F9E">
      <w:pPr>
        <w:autoSpaceDE w:val="0"/>
        <w:autoSpaceDN w:val="0"/>
        <w:adjustRightInd w:val="0"/>
        <w:contextualSpacing/>
        <w:jc w:val="both"/>
        <w:rPr>
          <w:rFonts w:ascii="Abadi" w:hAnsi="Abadi" w:cs="Arial-ItalicMT"/>
          <w:b/>
          <w:bCs/>
          <w:i/>
          <w:iCs/>
          <w:sz w:val="21"/>
          <w:szCs w:val="21"/>
        </w:rPr>
      </w:pPr>
    </w:p>
    <w:p w14:paraId="6799A35F" w14:textId="77777777" w:rsidR="00AE2C77" w:rsidRPr="00F024AF" w:rsidRDefault="00AE2C77" w:rsidP="00AE2C77">
      <w:pPr>
        <w:pStyle w:val="Textoindependiente3"/>
        <w:rPr>
          <w:rFonts w:ascii="Abadi" w:hAnsi="Abadi" w:cs="Arial"/>
          <w:smallCaps/>
          <w:sz w:val="21"/>
          <w:szCs w:val="21"/>
        </w:rPr>
      </w:pPr>
      <w:r w:rsidRPr="00F024AF">
        <w:rPr>
          <w:rFonts w:ascii="Abadi" w:hAnsi="Abadi" w:cs="Arial"/>
          <w:smallCaps/>
          <w:sz w:val="21"/>
          <w:szCs w:val="21"/>
        </w:rPr>
        <w:t>C. Presidenta del Congreso del Estado</w:t>
      </w:r>
    </w:p>
    <w:p w14:paraId="0C1D73DE" w14:textId="77777777" w:rsidR="00AE2C77" w:rsidRPr="00F024AF" w:rsidRDefault="00AE2C77" w:rsidP="00AE2C77">
      <w:pPr>
        <w:jc w:val="both"/>
        <w:rPr>
          <w:rFonts w:ascii="Abadi" w:hAnsi="Abadi" w:cs="Arial"/>
          <w:b/>
          <w:bCs/>
          <w:smallCaps/>
          <w:sz w:val="21"/>
          <w:szCs w:val="21"/>
        </w:rPr>
      </w:pPr>
      <w:r w:rsidRPr="00F024AF">
        <w:rPr>
          <w:rFonts w:ascii="Abadi" w:hAnsi="Abadi" w:cs="Arial"/>
          <w:b/>
          <w:bCs/>
          <w:smallCaps/>
          <w:sz w:val="21"/>
          <w:szCs w:val="21"/>
        </w:rPr>
        <w:t>P r e s e n t e.</w:t>
      </w:r>
    </w:p>
    <w:p w14:paraId="60F2C4E4" w14:textId="77777777" w:rsidR="00AE2C77" w:rsidRPr="00F024AF" w:rsidRDefault="00AE2C77" w:rsidP="00AE2C77">
      <w:pPr>
        <w:pStyle w:val="Textoindependiente"/>
        <w:rPr>
          <w:rFonts w:ascii="Abadi" w:hAnsi="Abadi"/>
          <w:sz w:val="21"/>
          <w:szCs w:val="21"/>
        </w:rPr>
      </w:pPr>
    </w:p>
    <w:p w14:paraId="5C785656" w14:textId="77777777" w:rsidR="00AE2C77" w:rsidRPr="00F024AF" w:rsidRDefault="00AE2C77" w:rsidP="00AE2C77">
      <w:pPr>
        <w:pStyle w:val="Sangra3detindependiente"/>
        <w:spacing w:line="240" w:lineRule="auto"/>
        <w:rPr>
          <w:rFonts w:ascii="Abadi" w:hAnsi="Abadi"/>
          <w:sz w:val="21"/>
          <w:szCs w:val="21"/>
        </w:rPr>
      </w:pPr>
      <w:r w:rsidRPr="00F024AF">
        <w:rPr>
          <w:rFonts w:ascii="Abadi" w:hAnsi="Abadi"/>
          <w:sz w:val="21"/>
          <w:szCs w:val="21"/>
        </w:rPr>
        <w:lastRenderedPageBreak/>
        <w:t xml:space="preserve">A </w:t>
      </w:r>
      <w:r w:rsidRPr="00F024AF">
        <w:rPr>
          <w:rFonts w:ascii="Abadi" w:hAnsi="Abadi"/>
          <w:sz w:val="21"/>
          <w:szCs w:val="21"/>
          <w:lang w:val="es-MX"/>
        </w:rPr>
        <w:t>esta</w:t>
      </w:r>
      <w:r w:rsidRPr="00F024AF">
        <w:rPr>
          <w:rFonts w:ascii="Abadi" w:hAnsi="Abadi"/>
          <w:sz w:val="21"/>
          <w:szCs w:val="21"/>
        </w:rPr>
        <w:t xml:space="preserve"> Comisión de Hacienda y Fiscalización</w:t>
      </w:r>
      <w:r w:rsidRPr="00F024AF">
        <w:rPr>
          <w:rFonts w:ascii="Abadi" w:hAnsi="Abadi"/>
          <w:sz w:val="21"/>
          <w:szCs w:val="21"/>
          <w:lang w:val="es-MX"/>
        </w:rPr>
        <w:t xml:space="preserve">, </w:t>
      </w:r>
      <w:r w:rsidRPr="00F024AF">
        <w:rPr>
          <w:rFonts w:ascii="Abadi" w:hAnsi="Abadi"/>
          <w:sz w:val="21"/>
          <w:szCs w:val="21"/>
        </w:rPr>
        <w:t xml:space="preserve">le fue turnado para su estudio y dictamen, el informe de resultados de la revisión practicada por </w:t>
      </w:r>
      <w:r w:rsidRPr="00F024AF">
        <w:rPr>
          <w:rFonts w:ascii="Abadi" w:hAnsi="Abadi"/>
          <w:sz w:val="21"/>
          <w:szCs w:val="21"/>
          <w:lang w:val="es-MX"/>
        </w:rPr>
        <w:t xml:space="preserve">la </w:t>
      </w:r>
      <w:r w:rsidRPr="00F024AF">
        <w:rPr>
          <w:rFonts w:ascii="Abadi" w:hAnsi="Abadi"/>
          <w:sz w:val="21"/>
          <w:szCs w:val="21"/>
        </w:rPr>
        <w:t xml:space="preserve">Auditoría Superior del Estado de Guanajuato, a la cuenta pública municipal de </w:t>
      </w:r>
      <w:r w:rsidRPr="00F024AF">
        <w:rPr>
          <w:rFonts w:ascii="Abadi" w:hAnsi="Abadi"/>
          <w:sz w:val="21"/>
          <w:szCs w:val="21"/>
          <w:lang w:val="es-MX"/>
        </w:rPr>
        <w:t>Pueblo Nuevo</w:t>
      </w:r>
      <w:r w:rsidRPr="00F024AF">
        <w:rPr>
          <w:rFonts w:ascii="Abadi" w:hAnsi="Abadi"/>
          <w:sz w:val="21"/>
          <w:szCs w:val="21"/>
        </w:rPr>
        <w:t xml:space="preserve">, </w:t>
      </w:r>
      <w:proofErr w:type="spellStart"/>
      <w:r w:rsidRPr="00F024AF">
        <w:rPr>
          <w:rFonts w:ascii="Abadi" w:hAnsi="Abadi"/>
          <w:sz w:val="21"/>
          <w:szCs w:val="21"/>
        </w:rPr>
        <w:t>Gto</w:t>
      </w:r>
      <w:proofErr w:type="spellEnd"/>
      <w:r w:rsidRPr="00F024AF">
        <w:rPr>
          <w:rFonts w:ascii="Abadi" w:hAnsi="Abadi"/>
          <w:sz w:val="21"/>
          <w:szCs w:val="21"/>
        </w:rPr>
        <w:t xml:space="preserve">., correspondiente al ejercicio fiscal del año 2021. (ELD </w:t>
      </w:r>
      <w:r w:rsidRPr="00F024AF">
        <w:rPr>
          <w:rFonts w:ascii="Abadi" w:hAnsi="Abadi"/>
          <w:sz w:val="21"/>
          <w:szCs w:val="21"/>
          <w:lang w:val="es-MX"/>
        </w:rPr>
        <w:t>316</w:t>
      </w:r>
      <w:r w:rsidRPr="00F024AF">
        <w:rPr>
          <w:rFonts w:ascii="Abadi" w:hAnsi="Abadi"/>
          <w:sz w:val="21"/>
          <w:szCs w:val="21"/>
        </w:rPr>
        <w:t>/LXV-IRASEG)</w:t>
      </w:r>
    </w:p>
    <w:p w14:paraId="0F951695" w14:textId="77777777" w:rsidR="00AE2C77" w:rsidRPr="00F024AF" w:rsidRDefault="00AE2C77" w:rsidP="00AE2C77">
      <w:pPr>
        <w:pStyle w:val="Sangra3detindependiente"/>
        <w:spacing w:line="240" w:lineRule="auto"/>
        <w:rPr>
          <w:rFonts w:ascii="Abadi" w:hAnsi="Abadi"/>
          <w:sz w:val="21"/>
          <w:szCs w:val="21"/>
        </w:rPr>
      </w:pPr>
    </w:p>
    <w:p w14:paraId="659016D6" w14:textId="77777777" w:rsidR="00AE2C77" w:rsidRPr="00F024AF" w:rsidRDefault="00AE2C77" w:rsidP="00AE2C77">
      <w:pPr>
        <w:pStyle w:val="Sangra3detindependiente"/>
        <w:spacing w:line="240" w:lineRule="auto"/>
        <w:rPr>
          <w:rFonts w:ascii="Abadi" w:hAnsi="Abadi"/>
          <w:sz w:val="21"/>
          <w:szCs w:val="21"/>
        </w:rPr>
      </w:pPr>
      <w:r w:rsidRPr="00F024AF">
        <w:rPr>
          <w:rFonts w:ascii="Abadi" w:hAnsi="Abadi"/>
          <w:sz w:val="21"/>
          <w:szCs w:val="21"/>
        </w:rPr>
        <w:t>Una vez analizado el referido informe de resultados, con fundamento en lo dispuesto por los artículos 112, fracción XII</w:t>
      </w:r>
      <w:r w:rsidRPr="00F024AF">
        <w:rPr>
          <w:rFonts w:ascii="Abadi" w:hAnsi="Abadi"/>
          <w:sz w:val="21"/>
          <w:szCs w:val="21"/>
          <w:lang w:val="es-MX"/>
        </w:rPr>
        <w:t>, primer párrafo</w:t>
      </w:r>
      <w:r w:rsidRPr="00F024AF">
        <w:rPr>
          <w:rFonts w:ascii="Abadi" w:hAnsi="Abadi"/>
          <w:sz w:val="21"/>
          <w:szCs w:val="21"/>
        </w:rPr>
        <w:t xml:space="preserve"> y 171 de </w:t>
      </w:r>
      <w:smartTag w:uri="urn:schemas-microsoft-com:office:smarttags" w:element="PersonName">
        <w:smartTagPr>
          <w:attr w:name="ProductID" w:val="la Ley Org￡nica"/>
        </w:smartTagPr>
        <w:r w:rsidRPr="00F024AF">
          <w:rPr>
            <w:rFonts w:ascii="Abadi" w:hAnsi="Abadi"/>
            <w:sz w:val="21"/>
            <w:szCs w:val="21"/>
          </w:rPr>
          <w:t>la Ley Orgánica</w:t>
        </w:r>
      </w:smartTag>
      <w:r w:rsidRPr="00F024AF">
        <w:rPr>
          <w:rFonts w:ascii="Abadi" w:hAnsi="Abadi"/>
          <w:sz w:val="21"/>
          <w:szCs w:val="21"/>
        </w:rPr>
        <w:t xml:space="preserve"> del Poder Legislativo, nos permitimos rendir el siguiente:</w:t>
      </w:r>
    </w:p>
    <w:p w14:paraId="63C8FF3C" w14:textId="77777777" w:rsidR="00AE2C77" w:rsidRPr="00F024AF" w:rsidRDefault="00AE2C77" w:rsidP="00AE2C77">
      <w:pPr>
        <w:pStyle w:val="Sangra3detindependiente"/>
        <w:spacing w:line="240" w:lineRule="auto"/>
        <w:rPr>
          <w:rFonts w:ascii="Abadi" w:hAnsi="Abadi"/>
          <w:sz w:val="21"/>
          <w:szCs w:val="21"/>
        </w:rPr>
      </w:pPr>
    </w:p>
    <w:p w14:paraId="30F4856D" w14:textId="77777777" w:rsidR="00AE2C77" w:rsidRPr="00F024AF" w:rsidRDefault="00AE2C77" w:rsidP="00AE2C77">
      <w:pPr>
        <w:pStyle w:val="Ttulo1"/>
        <w:jc w:val="center"/>
        <w:rPr>
          <w:rFonts w:ascii="Abadi" w:hAnsi="Abadi" w:cs="Arial"/>
          <w:sz w:val="21"/>
          <w:szCs w:val="21"/>
        </w:rPr>
      </w:pPr>
      <w:r w:rsidRPr="00F024AF">
        <w:rPr>
          <w:rFonts w:ascii="Abadi" w:hAnsi="Abadi" w:cs="Arial"/>
          <w:sz w:val="21"/>
          <w:szCs w:val="21"/>
        </w:rPr>
        <w:t>D i c t a m e n</w:t>
      </w:r>
    </w:p>
    <w:p w14:paraId="09046D7E" w14:textId="77777777" w:rsidR="00CD1A9F" w:rsidRDefault="00CD1A9F" w:rsidP="00AE2C77">
      <w:pPr>
        <w:pStyle w:val="Textoindependiente"/>
        <w:ind w:firstLine="708"/>
        <w:rPr>
          <w:rFonts w:ascii="Abadi" w:hAnsi="Abadi"/>
          <w:b w:val="0"/>
          <w:bCs w:val="0"/>
          <w:sz w:val="21"/>
          <w:szCs w:val="21"/>
        </w:rPr>
      </w:pPr>
    </w:p>
    <w:p w14:paraId="2FAF7E44" w14:textId="369EE6AE" w:rsidR="00AE2C77" w:rsidRPr="00F024AF" w:rsidRDefault="00AE2C77" w:rsidP="00AE2C77">
      <w:pPr>
        <w:pStyle w:val="Textoindependiente"/>
        <w:ind w:firstLine="708"/>
        <w:rPr>
          <w:rFonts w:ascii="Abadi" w:hAnsi="Abadi"/>
          <w:b w:val="0"/>
          <w:bCs w:val="0"/>
          <w:sz w:val="21"/>
          <w:szCs w:val="21"/>
        </w:rPr>
      </w:pPr>
      <w:r w:rsidRPr="00F024AF">
        <w:rPr>
          <w:rFonts w:ascii="Abadi" w:hAnsi="Abadi"/>
          <w:b w:val="0"/>
          <w:bCs w:val="0"/>
          <w:sz w:val="21"/>
          <w:szCs w:val="21"/>
        </w:rPr>
        <w:t>I. Competencia:</w:t>
      </w:r>
    </w:p>
    <w:p w14:paraId="7A8BBE1B" w14:textId="77777777" w:rsidR="00AE2C77" w:rsidRPr="00F024AF" w:rsidRDefault="00AE2C77" w:rsidP="00AE2C77">
      <w:pPr>
        <w:pStyle w:val="Textoindependiente"/>
        <w:ind w:firstLine="708"/>
        <w:rPr>
          <w:rFonts w:ascii="Abadi" w:hAnsi="Abadi"/>
          <w:b w:val="0"/>
          <w:bCs w:val="0"/>
          <w:sz w:val="21"/>
          <w:szCs w:val="21"/>
        </w:rPr>
      </w:pPr>
    </w:p>
    <w:p w14:paraId="5E0915FB"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F024AF">
          <w:rPr>
            <w:rFonts w:ascii="Abadi" w:hAnsi="Abadi" w:cs="Arial"/>
            <w:sz w:val="21"/>
            <w:szCs w:val="21"/>
            <w:lang w:val="es-MX" w:eastAsia="x-none"/>
          </w:rPr>
          <w:t>la Constitución Política</w:t>
        </w:r>
      </w:smartTag>
      <w:r w:rsidRPr="00F024AF">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1D9D27E9" w14:textId="77777777" w:rsidR="00AE2C77" w:rsidRPr="00F024AF" w:rsidRDefault="00AE2C77" w:rsidP="00AE2C77">
      <w:pPr>
        <w:ind w:firstLine="708"/>
        <w:jc w:val="both"/>
        <w:rPr>
          <w:rFonts w:ascii="Abadi" w:hAnsi="Abadi" w:cs="Arial"/>
          <w:sz w:val="21"/>
          <w:szCs w:val="21"/>
          <w:lang w:val="es-MX" w:eastAsia="x-none"/>
        </w:rPr>
      </w:pPr>
    </w:p>
    <w:p w14:paraId="3110D470"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6DB28867" w14:textId="77777777" w:rsidR="00AE2C77" w:rsidRPr="00F024AF" w:rsidRDefault="00AE2C77" w:rsidP="00AE2C77">
      <w:pPr>
        <w:ind w:firstLine="708"/>
        <w:jc w:val="both"/>
        <w:rPr>
          <w:rFonts w:ascii="Abadi" w:hAnsi="Abadi" w:cs="Arial"/>
          <w:sz w:val="21"/>
          <w:szCs w:val="21"/>
          <w:lang w:val="es-MX" w:eastAsia="x-none"/>
        </w:rPr>
      </w:pPr>
    </w:p>
    <w:p w14:paraId="7527CEB3" w14:textId="77777777" w:rsidR="00AE2C77" w:rsidRPr="00F024AF" w:rsidRDefault="00AE2C77" w:rsidP="00AE2C77">
      <w:pPr>
        <w:ind w:firstLine="708"/>
        <w:jc w:val="both"/>
        <w:rPr>
          <w:rFonts w:ascii="Abadi" w:hAnsi="Abadi" w:cs="Arial"/>
          <w:sz w:val="21"/>
          <w:szCs w:val="21"/>
          <w:lang w:val="es-MX" w:eastAsia="x-none"/>
        </w:rPr>
      </w:pPr>
    </w:p>
    <w:p w14:paraId="1331AFD4"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F024AF">
          <w:rPr>
            <w:rFonts w:ascii="Abadi" w:hAnsi="Abadi" w:cs="Arial"/>
            <w:sz w:val="21"/>
            <w:szCs w:val="21"/>
            <w:lang w:val="es-MX" w:eastAsia="x-none"/>
          </w:rPr>
          <w:t>la Constitución Política</w:t>
        </w:r>
      </w:smartTag>
      <w:r w:rsidRPr="00F024AF">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743302CC" w14:textId="77777777" w:rsidR="00AE2C77" w:rsidRPr="00F024AF" w:rsidRDefault="00AE2C77" w:rsidP="00AE2C77">
      <w:pPr>
        <w:ind w:firstLine="708"/>
        <w:jc w:val="both"/>
        <w:rPr>
          <w:rFonts w:ascii="Abadi" w:hAnsi="Abadi" w:cs="Arial"/>
          <w:sz w:val="21"/>
          <w:szCs w:val="21"/>
          <w:lang w:val="es-MX" w:eastAsia="x-none"/>
        </w:rPr>
      </w:pPr>
    </w:p>
    <w:p w14:paraId="63FF4172"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527E9DA3" w14:textId="77777777" w:rsidR="00AE2C77" w:rsidRPr="00F024AF" w:rsidRDefault="00AE2C77" w:rsidP="00AE2C77">
      <w:pPr>
        <w:ind w:firstLine="708"/>
        <w:jc w:val="both"/>
        <w:rPr>
          <w:rFonts w:ascii="Abadi" w:hAnsi="Abadi" w:cs="Arial"/>
          <w:sz w:val="21"/>
          <w:szCs w:val="21"/>
          <w:lang w:val="es-MX" w:eastAsia="x-none"/>
        </w:rPr>
      </w:pPr>
    </w:p>
    <w:p w14:paraId="5E724D48"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20B9F8B" w14:textId="77777777" w:rsidR="00AE2C77" w:rsidRPr="00CD1A9F" w:rsidRDefault="00AE2C77" w:rsidP="00AE2C77">
      <w:pPr>
        <w:pStyle w:val="Textoindependiente"/>
        <w:ind w:firstLine="708"/>
        <w:rPr>
          <w:rFonts w:ascii="Abadi" w:hAnsi="Abadi"/>
          <w:b w:val="0"/>
          <w:bCs w:val="0"/>
          <w:sz w:val="21"/>
          <w:szCs w:val="21"/>
        </w:rPr>
      </w:pPr>
    </w:p>
    <w:p w14:paraId="72F46FE9"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6762460" w14:textId="77777777" w:rsidR="00AE2C77" w:rsidRPr="00CD1A9F" w:rsidRDefault="00AE2C77" w:rsidP="00AE2C77">
      <w:pPr>
        <w:pStyle w:val="Textoindependiente"/>
        <w:ind w:firstLine="708"/>
        <w:rPr>
          <w:rFonts w:ascii="Abadi" w:hAnsi="Abadi"/>
          <w:b w:val="0"/>
          <w:bCs w:val="0"/>
          <w:sz w:val="21"/>
          <w:szCs w:val="21"/>
        </w:rPr>
      </w:pPr>
    </w:p>
    <w:p w14:paraId="1D5E2B8D"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CD1A9F">
          <w:rPr>
            <w:rFonts w:ascii="Abadi" w:hAnsi="Abadi"/>
            <w:b w:val="0"/>
            <w:bCs w:val="0"/>
            <w:sz w:val="21"/>
            <w:szCs w:val="21"/>
          </w:rPr>
          <w:t>la Ley Orgánica</w:t>
        </w:r>
      </w:smartTag>
      <w:r w:rsidRPr="00CD1A9F">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w:t>
      </w:r>
      <w:r w:rsidRPr="00CD1A9F">
        <w:rPr>
          <w:rFonts w:ascii="Abadi" w:hAnsi="Abadi"/>
          <w:b w:val="0"/>
          <w:bCs w:val="0"/>
          <w:sz w:val="21"/>
          <w:szCs w:val="21"/>
        </w:rPr>
        <w:lastRenderedPageBreak/>
        <w:t xml:space="preserve">asuntos relativos a los informes de resultados que emita la Auditoría Superior del Estado. </w:t>
      </w:r>
    </w:p>
    <w:p w14:paraId="40B98E4C" w14:textId="77777777" w:rsidR="00AE2C77" w:rsidRPr="00CD1A9F" w:rsidRDefault="00AE2C77" w:rsidP="00AE2C77">
      <w:pPr>
        <w:pStyle w:val="Textoindependiente"/>
        <w:ind w:firstLine="708"/>
        <w:rPr>
          <w:rFonts w:ascii="Abadi" w:hAnsi="Abadi"/>
          <w:b w:val="0"/>
          <w:bCs w:val="0"/>
          <w:sz w:val="21"/>
          <w:szCs w:val="21"/>
        </w:rPr>
      </w:pPr>
    </w:p>
    <w:p w14:paraId="2994DDCA"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49B4CDF" w14:textId="77777777" w:rsidR="00CD1A9F" w:rsidRDefault="00CD1A9F" w:rsidP="00AE2C77">
      <w:pPr>
        <w:ind w:firstLine="708"/>
        <w:jc w:val="both"/>
        <w:rPr>
          <w:rFonts w:ascii="Abadi" w:hAnsi="Abadi" w:cs="Arial"/>
          <w:b/>
          <w:bCs/>
          <w:sz w:val="21"/>
          <w:szCs w:val="21"/>
          <w:lang w:val="es-MX" w:eastAsia="x-none"/>
        </w:rPr>
      </w:pPr>
    </w:p>
    <w:p w14:paraId="4F0D629A" w14:textId="568AC458" w:rsidR="00AE2C77" w:rsidRPr="00F024AF" w:rsidRDefault="00AE2C77" w:rsidP="00AE2C77">
      <w:pPr>
        <w:ind w:firstLine="708"/>
        <w:jc w:val="both"/>
        <w:rPr>
          <w:rFonts w:ascii="Abadi" w:hAnsi="Abadi" w:cs="Arial"/>
          <w:b/>
          <w:bCs/>
          <w:sz w:val="21"/>
          <w:szCs w:val="21"/>
          <w:lang w:val="es-MX" w:eastAsia="x-none"/>
        </w:rPr>
      </w:pPr>
      <w:r w:rsidRPr="00F024AF">
        <w:rPr>
          <w:rFonts w:ascii="Abadi" w:hAnsi="Abadi" w:cs="Arial"/>
          <w:b/>
          <w:bCs/>
          <w:sz w:val="21"/>
          <w:szCs w:val="21"/>
          <w:lang w:val="es-MX" w:eastAsia="x-none"/>
        </w:rPr>
        <w:t>II. Antecedentes:</w:t>
      </w:r>
    </w:p>
    <w:p w14:paraId="4F8C8E14" w14:textId="77777777" w:rsidR="00AE2C77" w:rsidRPr="00F024AF" w:rsidRDefault="00AE2C77" w:rsidP="00AE2C77">
      <w:pPr>
        <w:ind w:firstLine="708"/>
        <w:jc w:val="both"/>
        <w:rPr>
          <w:rFonts w:ascii="Abadi" w:hAnsi="Abadi" w:cs="Arial"/>
          <w:sz w:val="21"/>
          <w:szCs w:val="21"/>
          <w:lang w:val="es-MX" w:eastAsia="x-none"/>
        </w:rPr>
      </w:pPr>
    </w:p>
    <w:p w14:paraId="5E3370D4"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F024AF">
          <w:rPr>
            <w:rFonts w:ascii="Abadi" w:hAnsi="Abadi" w:cs="Arial"/>
            <w:sz w:val="21"/>
            <w:szCs w:val="21"/>
            <w:lang w:val="es-MX" w:eastAsia="x-none"/>
          </w:rPr>
          <w:t>la Constitución Política</w:t>
        </w:r>
      </w:smartTag>
      <w:r w:rsidRPr="00F024AF">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767C4D81" w14:textId="77777777" w:rsidR="00AE2C77" w:rsidRPr="00F024AF" w:rsidRDefault="00AE2C77" w:rsidP="00AE2C77">
      <w:pPr>
        <w:ind w:firstLine="708"/>
        <w:jc w:val="both"/>
        <w:rPr>
          <w:rFonts w:ascii="Abadi" w:hAnsi="Abadi" w:cs="Arial"/>
          <w:sz w:val="21"/>
          <w:szCs w:val="21"/>
          <w:lang w:val="es-MX" w:eastAsia="x-none"/>
        </w:rPr>
      </w:pPr>
    </w:p>
    <w:p w14:paraId="19B63B90"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Por su parte, el artículo 66 de la Constitución Política Local, establece que los</w:t>
      </w:r>
      <w:r w:rsidRPr="00F024AF">
        <w:rPr>
          <w:rFonts w:ascii="Abadi" w:hAnsi="Abadi"/>
          <w:sz w:val="21"/>
          <w:szCs w:val="21"/>
        </w:rPr>
        <w:t xml:space="preserve"> </w:t>
      </w:r>
      <w:r w:rsidRPr="00CD1A9F">
        <w:rPr>
          <w:rFonts w:ascii="Abadi" w:hAnsi="Abadi"/>
          <w:b w:val="0"/>
          <w:bCs w:val="0"/>
          <w:sz w:val="21"/>
          <w:szCs w:val="21"/>
        </w:rPr>
        <w:t>sujetos de fiscalización presentarán al Congreso del Estado los informes financieros y su cuenta pública con la periodicidad, forma y términos que establezca la Ley.</w:t>
      </w:r>
    </w:p>
    <w:p w14:paraId="7F17B3CA" w14:textId="77777777" w:rsidR="00AE2C77" w:rsidRPr="00CD1A9F" w:rsidRDefault="00AE2C77" w:rsidP="00AE2C77">
      <w:pPr>
        <w:pStyle w:val="Textoindependiente"/>
        <w:ind w:firstLine="708"/>
        <w:rPr>
          <w:rFonts w:ascii="Abadi" w:hAnsi="Abadi"/>
          <w:b w:val="0"/>
          <w:bCs w:val="0"/>
          <w:sz w:val="21"/>
          <w:szCs w:val="21"/>
        </w:rPr>
      </w:pPr>
    </w:p>
    <w:p w14:paraId="4B593A3A"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391BA800" w14:textId="77777777" w:rsidR="00AE2C77" w:rsidRPr="00CD1A9F" w:rsidRDefault="00AE2C77" w:rsidP="00AE2C77">
      <w:pPr>
        <w:pStyle w:val="Textoindependiente"/>
        <w:ind w:firstLine="708"/>
        <w:rPr>
          <w:rFonts w:ascii="Abadi" w:hAnsi="Abadi"/>
          <w:b w:val="0"/>
          <w:bCs w:val="0"/>
          <w:sz w:val="21"/>
          <w:szCs w:val="21"/>
        </w:rPr>
      </w:pPr>
    </w:p>
    <w:p w14:paraId="7508D52C"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6EE6FCA1" w14:textId="77777777" w:rsidR="00AE2C77" w:rsidRPr="00CD1A9F" w:rsidRDefault="00AE2C77" w:rsidP="00AE2C77">
      <w:pPr>
        <w:pStyle w:val="Textoindependiente"/>
        <w:ind w:firstLine="708"/>
        <w:rPr>
          <w:rFonts w:ascii="Abadi" w:hAnsi="Abadi"/>
          <w:b w:val="0"/>
          <w:bCs w:val="0"/>
          <w:sz w:val="21"/>
          <w:szCs w:val="21"/>
        </w:rPr>
      </w:pPr>
    </w:p>
    <w:p w14:paraId="2E76B23D"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1AA08A7B" w14:textId="77777777" w:rsidR="00AE2C77" w:rsidRPr="00F024AF" w:rsidRDefault="00AE2C77" w:rsidP="00AE2C77">
      <w:pPr>
        <w:ind w:firstLine="708"/>
        <w:jc w:val="both"/>
        <w:rPr>
          <w:rFonts w:ascii="Abadi" w:hAnsi="Abadi" w:cs="Arial"/>
          <w:sz w:val="21"/>
          <w:szCs w:val="21"/>
          <w:lang w:val="es-MX" w:eastAsia="x-none"/>
        </w:rPr>
      </w:pPr>
    </w:p>
    <w:p w14:paraId="1BED4CA1"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F024AF">
          <w:rPr>
            <w:rFonts w:ascii="Abadi" w:hAnsi="Abadi" w:cs="Arial"/>
            <w:sz w:val="21"/>
            <w:szCs w:val="21"/>
            <w:lang w:val="es-MX" w:eastAsia="x-none"/>
          </w:rPr>
          <w:t>la Ley Orgánica</w:t>
        </w:r>
      </w:smartTag>
      <w:r w:rsidRPr="00F024AF">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9A17BF3" w14:textId="77777777" w:rsidR="00AE2C77" w:rsidRPr="00F024AF" w:rsidRDefault="00AE2C77" w:rsidP="00AE2C77">
      <w:pPr>
        <w:ind w:firstLine="708"/>
        <w:jc w:val="both"/>
        <w:rPr>
          <w:rFonts w:ascii="Abadi" w:hAnsi="Abadi" w:cs="Arial"/>
          <w:sz w:val="21"/>
          <w:szCs w:val="21"/>
          <w:lang w:val="es-MX" w:eastAsia="x-none"/>
        </w:rPr>
      </w:pPr>
    </w:p>
    <w:p w14:paraId="431D13B6" w14:textId="77777777" w:rsidR="00AE2C77" w:rsidRPr="00F024AF" w:rsidRDefault="00AE2C77" w:rsidP="00AE2C77">
      <w:pPr>
        <w:ind w:firstLine="708"/>
        <w:jc w:val="both"/>
        <w:rPr>
          <w:rFonts w:ascii="Abadi" w:hAnsi="Abadi" w:cs="Arial"/>
          <w:sz w:val="21"/>
          <w:szCs w:val="21"/>
          <w:lang w:val="es-MX" w:eastAsia="x-none"/>
        </w:rPr>
      </w:pPr>
    </w:p>
    <w:p w14:paraId="4D89FF76" w14:textId="77777777" w:rsidR="00AE2C77" w:rsidRPr="00F024AF" w:rsidRDefault="00AE2C77" w:rsidP="00AE2C77">
      <w:pPr>
        <w:ind w:right="60" w:firstLine="709"/>
        <w:jc w:val="both"/>
        <w:rPr>
          <w:rFonts w:ascii="Abadi" w:hAnsi="Abadi" w:cs="Arial"/>
          <w:sz w:val="21"/>
          <w:szCs w:val="21"/>
          <w:lang w:val="es-MX" w:eastAsia="x-none"/>
        </w:rPr>
      </w:pPr>
      <w:r w:rsidRPr="00F024AF">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421A439C" w14:textId="77777777" w:rsidR="00AE2C77" w:rsidRPr="00F024AF" w:rsidRDefault="00AE2C77" w:rsidP="00AE2C77">
      <w:pPr>
        <w:ind w:right="58" w:firstLine="709"/>
        <w:jc w:val="both"/>
        <w:rPr>
          <w:rFonts w:ascii="Abadi" w:eastAsia="DejaVu Sans" w:hAnsi="Abadi" w:cs="Tahoma"/>
          <w:iCs/>
          <w:kern w:val="1"/>
          <w:sz w:val="21"/>
          <w:szCs w:val="21"/>
          <w:lang w:eastAsia="ar-SA"/>
        </w:rPr>
      </w:pPr>
    </w:p>
    <w:p w14:paraId="04A0872D"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1D6E721C" w14:textId="77777777" w:rsidR="00AE2C77" w:rsidRPr="00F024AF" w:rsidRDefault="00AE2C77" w:rsidP="00AE2C77">
      <w:pPr>
        <w:pStyle w:val="Textoindependiente"/>
        <w:ind w:firstLine="708"/>
        <w:rPr>
          <w:rFonts w:ascii="Abadi" w:hAnsi="Abadi"/>
          <w:sz w:val="21"/>
          <w:szCs w:val="21"/>
        </w:rPr>
      </w:pPr>
    </w:p>
    <w:p w14:paraId="311C6ED2"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AD42F2E" w14:textId="77777777" w:rsidR="00AE2C77" w:rsidRPr="00F024AF" w:rsidRDefault="00AE2C77" w:rsidP="00AE2C77">
      <w:pPr>
        <w:pStyle w:val="Textoindependiente"/>
        <w:ind w:firstLine="708"/>
        <w:rPr>
          <w:rFonts w:ascii="Abadi" w:hAnsi="Abadi"/>
          <w:sz w:val="21"/>
          <w:szCs w:val="21"/>
        </w:rPr>
      </w:pPr>
    </w:p>
    <w:p w14:paraId="2922B6BA" w14:textId="77777777" w:rsidR="00AE2C77" w:rsidRPr="00F024AF" w:rsidRDefault="00AE2C77" w:rsidP="00AE2C77">
      <w:pPr>
        <w:ind w:right="60" w:firstLine="709"/>
        <w:jc w:val="both"/>
        <w:rPr>
          <w:rFonts w:ascii="Abadi" w:hAnsi="Abadi" w:cs="Arial"/>
          <w:sz w:val="21"/>
          <w:szCs w:val="21"/>
          <w:lang w:val="es-MX" w:eastAsia="x-none"/>
        </w:rPr>
      </w:pPr>
      <w:r w:rsidRPr="00F024AF">
        <w:rPr>
          <w:rFonts w:ascii="Abadi" w:hAnsi="Abadi" w:cs="Arial"/>
          <w:sz w:val="21"/>
          <w:szCs w:val="21"/>
          <w:lang w:val="es-MX" w:eastAsia="x-none"/>
        </w:rPr>
        <w:t xml:space="preserve">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w:t>
      </w:r>
      <w:r w:rsidRPr="00F024AF">
        <w:rPr>
          <w:rFonts w:ascii="Abadi" w:hAnsi="Abadi" w:cs="Arial"/>
          <w:sz w:val="21"/>
          <w:szCs w:val="21"/>
          <w:lang w:val="es-MX" w:eastAsia="x-none"/>
        </w:rPr>
        <w:lastRenderedPageBreak/>
        <w:t>cuenta pública en su página de Internet, de manera inmediata a su presentación.</w:t>
      </w:r>
    </w:p>
    <w:p w14:paraId="33C8CE32" w14:textId="77777777" w:rsidR="00AE2C77" w:rsidRPr="00F024AF" w:rsidRDefault="00AE2C77" w:rsidP="00AE2C77">
      <w:pPr>
        <w:pStyle w:val="Textoindependiente"/>
        <w:ind w:firstLine="708"/>
        <w:rPr>
          <w:rFonts w:ascii="Abadi" w:hAnsi="Abadi"/>
          <w:sz w:val="21"/>
          <w:szCs w:val="21"/>
        </w:rPr>
      </w:pPr>
    </w:p>
    <w:p w14:paraId="399B18B9"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0E1052C4" w14:textId="77777777" w:rsidR="00AE2C77" w:rsidRPr="00CD1A9F" w:rsidRDefault="00AE2C77" w:rsidP="00AE2C77">
      <w:pPr>
        <w:pStyle w:val="Textoindependiente"/>
        <w:ind w:firstLine="708"/>
        <w:rPr>
          <w:rFonts w:ascii="Abadi" w:hAnsi="Abadi"/>
          <w:b w:val="0"/>
          <w:bCs w:val="0"/>
          <w:sz w:val="21"/>
          <w:szCs w:val="21"/>
        </w:rPr>
      </w:pPr>
    </w:p>
    <w:p w14:paraId="2343EFB6" w14:textId="77777777" w:rsidR="00AE2C77" w:rsidRPr="00F024AF" w:rsidRDefault="00AE2C77" w:rsidP="00AE2C77">
      <w:pPr>
        <w:tabs>
          <w:tab w:val="left" w:pos="709"/>
        </w:tabs>
        <w:jc w:val="both"/>
        <w:rPr>
          <w:rFonts w:ascii="Abadi" w:hAnsi="Abadi" w:cs="Arial"/>
          <w:sz w:val="21"/>
          <w:szCs w:val="21"/>
          <w:lang w:val="es-MX" w:eastAsia="x-none"/>
        </w:rPr>
      </w:pPr>
      <w:r w:rsidRPr="00F024AF">
        <w:rPr>
          <w:rFonts w:ascii="Abadi" w:hAnsi="Abadi" w:cs="Arial"/>
          <w:sz w:val="21"/>
          <w:szCs w:val="21"/>
        </w:rPr>
        <w:tab/>
        <w:t xml:space="preserve">El citado artículo también refiere </w:t>
      </w:r>
      <w:r w:rsidRPr="00F024AF">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004FF00A" w14:textId="77777777" w:rsidR="00AE2C77" w:rsidRPr="00F024AF" w:rsidRDefault="00AE2C77" w:rsidP="00AE2C77">
      <w:pPr>
        <w:tabs>
          <w:tab w:val="left" w:pos="709"/>
        </w:tabs>
        <w:jc w:val="both"/>
        <w:rPr>
          <w:rFonts w:ascii="Abadi" w:hAnsi="Abadi" w:cs="Arial"/>
          <w:sz w:val="21"/>
          <w:szCs w:val="21"/>
          <w:lang w:val="es-MX" w:eastAsia="x-none"/>
        </w:rPr>
      </w:pPr>
      <w:r w:rsidRPr="00F024AF">
        <w:rPr>
          <w:rFonts w:ascii="Abadi" w:hAnsi="Abadi" w:cs="Arial"/>
          <w:sz w:val="21"/>
          <w:szCs w:val="21"/>
          <w:lang w:val="es-MX" w:eastAsia="x-none"/>
        </w:rPr>
        <w:tab/>
        <w:t xml:space="preserve">En términos del numeral 23 de la </w:t>
      </w:r>
      <w:r w:rsidRPr="00F024AF">
        <w:rPr>
          <w:rFonts w:ascii="Abadi" w:hAnsi="Abadi" w:cs="Arial"/>
          <w:sz w:val="21"/>
          <w:szCs w:val="21"/>
        </w:rPr>
        <w:t>Ley de Fiscalización Superior del Estado de Guanajuato, p</w:t>
      </w:r>
      <w:r w:rsidRPr="00F024AF">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15B857B9" w14:textId="77777777" w:rsidR="00AE2C77" w:rsidRPr="00F024AF" w:rsidRDefault="00AE2C77" w:rsidP="00AE2C77">
      <w:pPr>
        <w:tabs>
          <w:tab w:val="left" w:pos="709"/>
        </w:tabs>
        <w:jc w:val="both"/>
        <w:rPr>
          <w:rFonts w:ascii="Abadi" w:hAnsi="Abadi" w:cs="Arial"/>
          <w:sz w:val="21"/>
          <w:szCs w:val="21"/>
          <w:lang w:val="es-MX" w:eastAsia="x-none"/>
        </w:rPr>
      </w:pPr>
    </w:p>
    <w:p w14:paraId="5C0A0E80" w14:textId="77777777" w:rsidR="00AE2C77" w:rsidRPr="00CD1A9F" w:rsidRDefault="00AE2C77" w:rsidP="00AE2C77">
      <w:pPr>
        <w:pStyle w:val="Texto"/>
        <w:spacing w:after="0" w:line="240" w:lineRule="auto"/>
        <w:ind w:firstLine="708"/>
        <w:rPr>
          <w:rFonts w:ascii="Abadi" w:hAnsi="Abadi" w:cs="Arial"/>
          <w:sz w:val="21"/>
          <w:szCs w:val="21"/>
          <w:lang w:val="es-MX"/>
        </w:rPr>
      </w:pPr>
      <w:r w:rsidRPr="00F024AF">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w:t>
      </w:r>
      <w:r w:rsidRPr="00CD1A9F">
        <w:rPr>
          <w:rFonts w:ascii="Abadi" w:hAnsi="Abadi" w:cs="Arial"/>
          <w:sz w:val="21"/>
          <w:szCs w:val="21"/>
          <w:lang w:val="es-MX"/>
        </w:rPr>
        <w:t xml:space="preserve">correspondientes a los ingresos y gastos públicos presupuestarios se elaborarán sobre la base de devengado y, adicionalmente, se presentarán en flujo de efectivo. </w:t>
      </w:r>
    </w:p>
    <w:p w14:paraId="08DB38D9" w14:textId="77777777" w:rsidR="00AE2C77" w:rsidRPr="00CD1A9F" w:rsidRDefault="00AE2C77" w:rsidP="00AE2C77">
      <w:pPr>
        <w:pStyle w:val="Texto"/>
        <w:spacing w:after="0" w:line="240" w:lineRule="auto"/>
        <w:ind w:firstLine="708"/>
        <w:rPr>
          <w:rFonts w:ascii="Abadi" w:hAnsi="Abadi" w:cs="Arial"/>
          <w:sz w:val="21"/>
          <w:szCs w:val="21"/>
          <w:lang w:val="es-MX"/>
        </w:rPr>
      </w:pPr>
    </w:p>
    <w:p w14:paraId="5D209B8C" w14:textId="77777777" w:rsidR="00AE2C77" w:rsidRPr="00CD1A9F" w:rsidRDefault="00AE2C77" w:rsidP="00AE2C77">
      <w:pPr>
        <w:pStyle w:val="Texto"/>
        <w:spacing w:after="0" w:line="240" w:lineRule="auto"/>
        <w:ind w:firstLine="708"/>
        <w:rPr>
          <w:rFonts w:ascii="Abadi" w:hAnsi="Abadi" w:cs="Arial"/>
          <w:sz w:val="21"/>
          <w:szCs w:val="21"/>
          <w:lang w:val="es-MX"/>
        </w:rPr>
      </w:pPr>
      <w:r w:rsidRPr="00CD1A9F">
        <w:rPr>
          <w:rFonts w:ascii="Abadi" w:hAnsi="Abadi" w:cs="Arial"/>
          <w:sz w:val="21"/>
          <w:szCs w:val="21"/>
          <w:lang w:val="es-MX"/>
        </w:rPr>
        <w:t xml:space="preserve">En cumplimiento a los citados preceptos, en su oportunidad se remitió a este Congreso del Estado, la cuenta pública municipal de Pueblo Nuevo, </w:t>
      </w:r>
      <w:proofErr w:type="spellStart"/>
      <w:r w:rsidRPr="00CD1A9F">
        <w:rPr>
          <w:rFonts w:ascii="Abadi" w:hAnsi="Abadi" w:cs="Arial"/>
          <w:sz w:val="21"/>
          <w:szCs w:val="21"/>
          <w:lang w:val="es-MX"/>
        </w:rPr>
        <w:t>Gto</w:t>
      </w:r>
      <w:proofErr w:type="spellEnd"/>
      <w:r w:rsidRPr="00CD1A9F">
        <w:rPr>
          <w:rFonts w:ascii="Abadi" w:hAnsi="Abadi" w:cs="Arial"/>
          <w:sz w:val="21"/>
          <w:szCs w:val="21"/>
          <w:lang w:val="es-MX"/>
        </w:rPr>
        <w:t xml:space="preserve">., </w:t>
      </w:r>
      <w:r w:rsidRPr="00CD1A9F">
        <w:rPr>
          <w:rFonts w:ascii="Abadi" w:hAnsi="Abadi" w:cs="Arial"/>
          <w:sz w:val="21"/>
          <w:szCs w:val="21"/>
          <w:lang w:val="es-MX"/>
        </w:rPr>
        <w:t>correspondiente al ejercicio fiscal del año 2021, turnándose a la Auditoría Superior del Estado para su revisión.</w:t>
      </w:r>
    </w:p>
    <w:p w14:paraId="46FC24F9" w14:textId="77777777" w:rsidR="00AE2C77" w:rsidRPr="00CD1A9F" w:rsidRDefault="00AE2C77" w:rsidP="00AE2C77">
      <w:pPr>
        <w:pStyle w:val="Textoindependiente"/>
        <w:ind w:firstLine="708"/>
        <w:rPr>
          <w:rFonts w:ascii="Abadi" w:hAnsi="Abadi"/>
          <w:b w:val="0"/>
          <w:bCs w:val="0"/>
          <w:sz w:val="21"/>
          <w:szCs w:val="21"/>
        </w:rPr>
      </w:pPr>
    </w:p>
    <w:p w14:paraId="52233980"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2C61C38F" w14:textId="77777777" w:rsidR="00AE2C77" w:rsidRPr="00CD1A9F" w:rsidRDefault="00AE2C77" w:rsidP="00AE2C77">
      <w:pPr>
        <w:pStyle w:val="Textoindependiente"/>
        <w:ind w:firstLine="708"/>
        <w:rPr>
          <w:rFonts w:ascii="Abadi" w:hAnsi="Abadi"/>
          <w:b w:val="0"/>
          <w:bCs w:val="0"/>
          <w:sz w:val="21"/>
          <w:szCs w:val="21"/>
        </w:rPr>
      </w:pPr>
    </w:p>
    <w:p w14:paraId="3D98198B"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correspondiente al ejercicio fiscal del año 2021.</w:t>
      </w:r>
    </w:p>
    <w:p w14:paraId="0F18C61C" w14:textId="77777777" w:rsidR="00AE2C77" w:rsidRPr="00CD1A9F" w:rsidRDefault="00AE2C77" w:rsidP="00AE2C77">
      <w:pPr>
        <w:ind w:firstLine="708"/>
        <w:jc w:val="both"/>
        <w:rPr>
          <w:rFonts w:ascii="Abadi" w:hAnsi="Abadi" w:cs="Arial"/>
          <w:sz w:val="21"/>
          <w:szCs w:val="21"/>
          <w:lang w:val="es-MX" w:eastAsia="x-none"/>
        </w:rPr>
      </w:pPr>
    </w:p>
    <w:p w14:paraId="4474E721" w14:textId="77777777" w:rsidR="00AE2C77" w:rsidRPr="00CD1A9F" w:rsidRDefault="00AE2C77" w:rsidP="00AE2C77">
      <w:pPr>
        <w:ind w:firstLine="708"/>
        <w:jc w:val="both"/>
        <w:rPr>
          <w:rFonts w:ascii="Abadi" w:hAnsi="Abadi" w:cs="Arial"/>
          <w:sz w:val="21"/>
          <w:szCs w:val="21"/>
          <w:lang w:val="es-MX" w:eastAsia="x-none"/>
        </w:rPr>
      </w:pPr>
      <w:r w:rsidRPr="00CD1A9F">
        <w:rPr>
          <w:rFonts w:ascii="Abadi" w:hAnsi="Abadi" w:cs="Arial"/>
          <w:sz w:val="21"/>
          <w:szCs w:val="21"/>
          <w:lang w:val="es-MX" w:eastAsia="x-none"/>
        </w:rPr>
        <w:t>La revisión concluyó con la elaboración del informe de resultados materia del presente dictamen, remitiéndose al Congreso, el cual se turnó a esta Comisión el 20 de abril de 2023, para su estudio y dictamen, siendo radicado el 2 de mayo del año en curso.</w:t>
      </w:r>
    </w:p>
    <w:p w14:paraId="53D3B75A" w14:textId="77777777" w:rsidR="00AE2C77" w:rsidRPr="00CD1A9F" w:rsidRDefault="00AE2C77" w:rsidP="00AE2C77">
      <w:pPr>
        <w:ind w:firstLine="708"/>
        <w:jc w:val="both"/>
        <w:rPr>
          <w:rFonts w:ascii="Abadi" w:hAnsi="Abadi" w:cs="Arial"/>
          <w:sz w:val="21"/>
          <w:szCs w:val="21"/>
          <w:lang w:val="es-MX" w:eastAsia="x-none"/>
        </w:rPr>
      </w:pPr>
    </w:p>
    <w:p w14:paraId="7C2DD3C7" w14:textId="77777777" w:rsidR="00AE2C77" w:rsidRPr="00CD1A9F" w:rsidRDefault="00AE2C77" w:rsidP="00AE2C77">
      <w:pPr>
        <w:ind w:firstLine="708"/>
        <w:jc w:val="both"/>
        <w:rPr>
          <w:rFonts w:ascii="Abadi" w:hAnsi="Abadi" w:cs="Arial"/>
          <w:sz w:val="21"/>
          <w:szCs w:val="21"/>
          <w:lang w:val="es-MX" w:eastAsia="x-none"/>
        </w:rPr>
      </w:pPr>
    </w:p>
    <w:p w14:paraId="05228291" w14:textId="77777777" w:rsidR="00AE2C77" w:rsidRPr="00CD1A9F" w:rsidRDefault="00AE2C77" w:rsidP="00AE2C77">
      <w:pPr>
        <w:pStyle w:val="Textoindependiente"/>
        <w:ind w:firstLine="708"/>
        <w:rPr>
          <w:rFonts w:ascii="Abadi" w:hAnsi="Abadi"/>
          <w:sz w:val="21"/>
          <w:szCs w:val="21"/>
        </w:rPr>
      </w:pPr>
      <w:r w:rsidRPr="00CD1A9F">
        <w:rPr>
          <w:rFonts w:ascii="Abadi" w:hAnsi="Abadi"/>
          <w:sz w:val="21"/>
          <w:szCs w:val="21"/>
        </w:rPr>
        <w:t>III. Procedimiento de Revisión:</w:t>
      </w:r>
    </w:p>
    <w:p w14:paraId="17F79F2A" w14:textId="77777777" w:rsidR="00AE2C77" w:rsidRPr="00CD1A9F" w:rsidRDefault="00AE2C77" w:rsidP="00AE2C77">
      <w:pPr>
        <w:pStyle w:val="Textoindependiente"/>
        <w:ind w:firstLine="708"/>
        <w:rPr>
          <w:rFonts w:ascii="Abadi" w:hAnsi="Abadi"/>
          <w:b w:val="0"/>
          <w:bCs w:val="0"/>
          <w:sz w:val="21"/>
          <w:szCs w:val="21"/>
        </w:rPr>
      </w:pPr>
    </w:p>
    <w:p w14:paraId="11A1C15D"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La revisión de la cuenta pública municipal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583BB9F" w14:textId="77777777" w:rsidR="00AE2C77" w:rsidRPr="00CD1A9F" w:rsidRDefault="00AE2C77" w:rsidP="00AE2C77">
      <w:pPr>
        <w:pStyle w:val="Textoindependiente"/>
        <w:ind w:firstLine="708"/>
        <w:rPr>
          <w:rFonts w:ascii="Abadi" w:hAnsi="Abadi"/>
          <w:b w:val="0"/>
          <w:bCs w:val="0"/>
          <w:sz w:val="21"/>
          <w:szCs w:val="21"/>
        </w:rPr>
      </w:pPr>
    </w:p>
    <w:p w14:paraId="29C16408"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w:t>
      </w:r>
      <w:r w:rsidRPr="00CD1A9F">
        <w:rPr>
          <w:rFonts w:ascii="Abadi" w:hAnsi="Abadi"/>
          <w:b w:val="0"/>
          <w:bCs w:val="0"/>
          <w:sz w:val="21"/>
          <w:szCs w:val="21"/>
        </w:rPr>
        <w:lastRenderedPageBreak/>
        <w:t>revisión del manejo, la custodia y la aplicación de recursos públicos, así como la demás información financiera, contable, patrimonial, presupuestaria y programática que deban incluir en la cuenta pública, conforme a las disposiciones aplicables.</w:t>
      </w:r>
    </w:p>
    <w:p w14:paraId="7B275341" w14:textId="77777777" w:rsidR="00AE2C77" w:rsidRPr="00CD1A9F" w:rsidRDefault="00AE2C77" w:rsidP="00AE2C77">
      <w:pPr>
        <w:pStyle w:val="Textoindependiente"/>
        <w:ind w:firstLine="708"/>
        <w:rPr>
          <w:rFonts w:ascii="Abadi" w:hAnsi="Abadi"/>
          <w:b w:val="0"/>
          <w:bCs w:val="0"/>
          <w:sz w:val="21"/>
          <w:szCs w:val="21"/>
        </w:rPr>
      </w:pPr>
    </w:p>
    <w:p w14:paraId="2EB1E857"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A2B11AA" w14:textId="77777777" w:rsidR="00AE2C77" w:rsidRPr="00CD1A9F" w:rsidRDefault="00AE2C77" w:rsidP="00AE2C77">
      <w:pPr>
        <w:pStyle w:val="Textoindependiente"/>
        <w:ind w:firstLine="708"/>
        <w:rPr>
          <w:rFonts w:ascii="Abadi" w:hAnsi="Abadi"/>
          <w:b w:val="0"/>
          <w:bCs w:val="0"/>
          <w:sz w:val="21"/>
          <w:szCs w:val="21"/>
        </w:rPr>
      </w:pPr>
    </w:p>
    <w:p w14:paraId="6151B293" w14:textId="77777777" w:rsidR="00AE2C77" w:rsidRPr="00CD1A9F" w:rsidRDefault="00AE2C77" w:rsidP="00AE2C77">
      <w:pPr>
        <w:pStyle w:val="Textoindependiente"/>
        <w:ind w:firstLine="708"/>
        <w:rPr>
          <w:rFonts w:ascii="Abadi" w:hAnsi="Abadi"/>
          <w:b w:val="0"/>
          <w:bCs w:val="0"/>
          <w:sz w:val="21"/>
          <w:szCs w:val="21"/>
        </w:rPr>
      </w:pPr>
    </w:p>
    <w:p w14:paraId="163C8925"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2B661ED1" w14:textId="77777777" w:rsidR="00AE2C77" w:rsidRPr="00CD1A9F" w:rsidRDefault="00AE2C77" w:rsidP="00AE2C77">
      <w:pPr>
        <w:pStyle w:val="Textoindependiente"/>
        <w:ind w:firstLine="708"/>
        <w:rPr>
          <w:rFonts w:ascii="Abadi" w:hAnsi="Abadi"/>
          <w:b w:val="0"/>
          <w:bCs w:val="0"/>
          <w:sz w:val="21"/>
          <w:szCs w:val="21"/>
        </w:rPr>
      </w:pPr>
    </w:p>
    <w:p w14:paraId="07B9119E"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El informe de resultados establece que se practicó la revisión de la cuenta pública respecto de las operaciones realizadas por la </w:t>
      </w:r>
      <w:r w:rsidRPr="00CD1A9F">
        <w:rPr>
          <w:rFonts w:ascii="Abadi" w:hAnsi="Abadi"/>
          <w:b w:val="0"/>
          <w:bCs w:val="0"/>
          <w:sz w:val="21"/>
          <w:szCs w:val="21"/>
        </w:rPr>
        <w:t xml:space="preserve">administración pública municipal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correspondientes al ejercicio fiscal 2021, en lo referente a los apartados de ingresos y egresos.</w:t>
      </w:r>
    </w:p>
    <w:p w14:paraId="61E59E22" w14:textId="77777777" w:rsidR="00AE2C77" w:rsidRPr="00F024AF" w:rsidRDefault="00AE2C77" w:rsidP="00AE2C77">
      <w:pPr>
        <w:pStyle w:val="Textoindependiente"/>
        <w:ind w:firstLine="705"/>
        <w:rPr>
          <w:rFonts w:ascii="Abadi" w:hAnsi="Abadi"/>
          <w:sz w:val="21"/>
          <w:szCs w:val="21"/>
        </w:rPr>
      </w:pPr>
    </w:p>
    <w:p w14:paraId="40F05FFC" w14:textId="77777777" w:rsidR="00AE2C77" w:rsidRPr="00F024AF" w:rsidRDefault="00AE2C77" w:rsidP="00AE2C77">
      <w:pPr>
        <w:autoSpaceDE w:val="0"/>
        <w:autoSpaceDN w:val="0"/>
        <w:adjustRightInd w:val="0"/>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609F1405" w14:textId="77777777" w:rsidR="00AE2C77" w:rsidRPr="00F024AF" w:rsidRDefault="00AE2C77" w:rsidP="00AE2C77">
      <w:pPr>
        <w:autoSpaceDE w:val="0"/>
        <w:autoSpaceDN w:val="0"/>
        <w:adjustRightInd w:val="0"/>
        <w:ind w:firstLine="708"/>
        <w:jc w:val="both"/>
        <w:rPr>
          <w:rFonts w:ascii="Abadi" w:hAnsi="Abadi" w:cs="Arial"/>
          <w:sz w:val="21"/>
          <w:szCs w:val="21"/>
          <w:lang w:val="es-MX" w:eastAsia="x-none"/>
        </w:rPr>
      </w:pPr>
    </w:p>
    <w:p w14:paraId="487AC4A3" w14:textId="77777777" w:rsidR="00AE2C77" w:rsidRPr="00F024AF" w:rsidRDefault="00AE2C77" w:rsidP="00AE2C77">
      <w:pPr>
        <w:ind w:firstLine="708"/>
        <w:jc w:val="both"/>
        <w:rPr>
          <w:rFonts w:ascii="Abadi" w:hAnsi="Abadi" w:cs="Arial"/>
          <w:sz w:val="21"/>
          <w:szCs w:val="21"/>
          <w:lang w:val="es-MX" w:eastAsia="x-none"/>
        </w:rPr>
      </w:pPr>
    </w:p>
    <w:p w14:paraId="28D68519" w14:textId="77777777" w:rsidR="00AE2C77" w:rsidRPr="00F024AF" w:rsidRDefault="00AE2C77" w:rsidP="00AE2C77">
      <w:pPr>
        <w:ind w:firstLine="708"/>
        <w:jc w:val="both"/>
        <w:rPr>
          <w:rFonts w:ascii="Abadi" w:hAnsi="Abadi" w:cs="Arial"/>
          <w:sz w:val="21"/>
          <w:szCs w:val="21"/>
          <w:lang w:val="es-MX" w:eastAsia="x-none"/>
        </w:rPr>
      </w:pPr>
      <w:r w:rsidRPr="00F024AF">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F024AF">
        <w:rPr>
          <w:rFonts w:ascii="Abadi" w:hAnsi="Abadi" w:cs="Arial"/>
          <w:sz w:val="21"/>
          <w:szCs w:val="21"/>
          <w:lang w:val="es-MX" w:eastAsia="x-none"/>
        </w:rPr>
        <w:t>fiscalizado</w:t>
      </w:r>
      <w:proofErr w:type="spellEnd"/>
      <w:r w:rsidRPr="00F024AF">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48BCC86E" w14:textId="77777777" w:rsidR="00AE2C77" w:rsidRPr="00F024AF" w:rsidRDefault="00AE2C77" w:rsidP="00AE2C77">
      <w:pPr>
        <w:ind w:firstLine="708"/>
        <w:jc w:val="both"/>
        <w:rPr>
          <w:rFonts w:ascii="Abadi" w:hAnsi="Abadi" w:cs="Arial"/>
          <w:sz w:val="21"/>
          <w:szCs w:val="21"/>
          <w:lang w:val="es-MX" w:eastAsia="x-none"/>
        </w:rPr>
      </w:pPr>
    </w:p>
    <w:p w14:paraId="0D61EE38"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El 30 de junio de 2022 se notificó al presidente municipal de Pueblo Nuevo, </w:t>
      </w:r>
      <w:proofErr w:type="spellStart"/>
      <w:r w:rsidRPr="00F024AF">
        <w:rPr>
          <w:rFonts w:ascii="Abadi" w:hAnsi="Abadi" w:cs="Arial"/>
          <w:sz w:val="21"/>
          <w:szCs w:val="21"/>
        </w:rPr>
        <w:t>Gto</w:t>
      </w:r>
      <w:proofErr w:type="spellEnd"/>
      <w:r w:rsidRPr="00F024AF">
        <w:rPr>
          <w:rFonts w:ascii="Abadi" w:hAnsi="Abadi" w:cs="Arial"/>
          <w:sz w:val="21"/>
          <w:szCs w:val="21"/>
        </w:rPr>
        <w:t>., la orden de inicio del procedimiento de revisión de la cuenta pública.</w:t>
      </w:r>
    </w:p>
    <w:p w14:paraId="00FC8E0C" w14:textId="77777777" w:rsidR="00AE2C77" w:rsidRPr="00F024AF" w:rsidRDefault="00AE2C77" w:rsidP="00AE2C77">
      <w:pPr>
        <w:ind w:firstLine="708"/>
        <w:jc w:val="both"/>
        <w:rPr>
          <w:rFonts w:ascii="Abadi" w:hAnsi="Abadi" w:cs="Arial"/>
          <w:sz w:val="21"/>
          <w:szCs w:val="21"/>
        </w:rPr>
      </w:pPr>
    </w:p>
    <w:p w14:paraId="73E22292"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El 28 de noviembre de 2022 se notificó al presidente municipal de Pueblo Nuevo, </w:t>
      </w:r>
      <w:proofErr w:type="spellStart"/>
      <w:r w:rsidRPr="00F024AF">
        <w:rPr>
          <w:rFonts w:ascii="Abadi" w:hAnsi="Abadi" w:cs="Arial"/>
          <w:sz w:val="21"/>
          <w:szCs w:val="21"/>
        </w:rPr>
        <w:t>Gto</w:t>
      </w:r>
      <w:proofErr w:type="spellEnd"/>
      <w:r w:rsidRPr="00F024AF">
        <w:rPr>
          <w:rFonts w:ascii="Abadi" w:hAnsi="Abadi" w:cs="Arial"/>
          <w:sz w:val="21"/>
          <w:szCs w:val="21"/>
        </w:rPr>
        <w:t xml:space="preserve">., la suspensión del plazo de la revisión materia del presente dictamen, de conformidad con lo establecido en el Acuerdo </w:t>
      </w:r>
      <w:r w:rsidRPr="00F024AF">
        <w:rPr>
          <w:rFonts w:ascii="Abadi" w:hAnsi="Abadi" w:cs="Arial"/>
          <w:sz w:val="21"/>
          <w:szCs w:val="21"/>
        </w:rPr>
        <w:lastRenderedPageBreak/>
        <w:t>de Suspensión de Plazos publicado en el Periódico Oficial del Gobierno del Estado de Guanajuato el 24 de noviembre de 2022.</w:t>
      </w:r>
    </w:p>
    <w:p w14:paraId="45552E6E" w14:textId="77777777" w:rsidR="00AE2C77" w:rsidRPr="00F024AF" w:rsidRDefault="00AE2C77" w:rsidP="00AE2C77">
      <w:pPr>
        <w:ind w:firstLine="708"/>
        <w:jc w:val="both"/>
        <w:rPr>
          <w:rFonts w:ascii="Abadi" w:hAnsi="Abadi" w:cs="Arial"/>
          <w:sz w:val="21"/>
          <w:szCs w:val="21"/>
        </w:rPr>
      </w:pPr>
    </w:p>
    <w:p w14:paraId="6FE30CD9"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Posteriormente, el 20 de febrero de 2023, se notificó al presidente y a la ex presidenta municipales de Pueblo Nuevo, </w:t>
      </w:r>
      <w:proofErr w:type="spellStart"/>
      <w:r w:rsidRPr="00F024AF">
        <w:rPr>
          <w:rFonts w:ascii="Abadi" w:hAnsi="Abadi" w:cs="Arial"/>
          <w:sz w:val="21"/>
          <w:szCs w:val="21"/>
        </w:rPr>
        <w:t>Gto</w:t>
      </w:r>
      <w:proofErr w:type="spellEnd"/>
      <w:r w:rsidRPr="00F024AF">
        <w:rPr>
          <w:rFonts w:ascii="Abadi" w:hAnsi="Abadi" w:cs="Arial"/>
          <w:sz w:val="21"/>
          <w:szCs w:val="21"/>
        </w:rPr>
        <w:t>., el pliego de observaciones y recomendaciones derivado de la revisión practicada a la cuenta pública de dicho Municipio, correspondiente al ejercicio fiscal del año 2021, al cual no se dio respuesta, por parte del sujeto fiscalizado.</w:t>
      </w:r>
    </w:p>
    <w:p w14:paraId="7470C755" w14:textId="77777777" w:rsidR="00AE2C77" w:rsidRPr="00F024AF" w:rsidRDefault="00AE2C77" w:rsidP="00AE2C77">
      <w:pPr>
        <w:ind w:firstLine="708"/>
        <w:jc w:val="both"/>
        <w:rPr>
          <w:rFonts w:ascii="Abadi" w:hAnsi="Abadi" w:cs="Arial"/>
          <w:sz w:val="21"/>
          <w:szCs w:val="21"/>
        </w:rPr>
      </w:pPr>
    </w:p>
    <w:p w14:paraId="259BF44D"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En fechas 16 y 22 de marzo de 2023 respectivamente, el informe de resultados se notificó al presidente y a la ex presidenta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haciéndoles saber que contaban con un término de cinco días</w:t>
      </w:r>
      <w:r w:rsidRPr="00F024AF">
        <w:rPr>
          <w:rFonts w:ascii="Abadi" w:hAnsi="Abadi"/>
          <w:sz w:val="21"/>
          <w:szCs w:val="21"/>
        </w:rPr>
        <w:t xml:space="preserve"> </w:t>
      </w:r>
      <w:r w:rsidRPr="00CD1A9F">
        <w:rPr>
          <w:rFonts w:ascii="Abadi" w:hAnsi="Abadi"/>
          <w:b w:val="0"/>
          <w:bCs w:val="0"/>
          <w:sz w:val="21"/>
          <w:szCs w:val="21"/>
        </w:rPr>
        <w:t>hábiles para tal efecto. Con lo anterior, se dio cumplimiento a la fracción IV del artículo 37 de la citada Ley.</w:t>
      </w:r>
    </w:p>
    <w:p w14:paraId="6AF80184" w14:textId="77777777" w:rsidR="00AE2C77" w:rsidRPr="00CD1A9F" w:rsidRDefault="00AE2C77" w:rsidP="00AE2C77">
      <w:pPr>
        <w:pStyle w:val="Textoindependiente"/>
        <w:ind w:firstLine="708"/>
        <w:rPr>
          <w:rFonts w:ascii="Abadi" w:hAnsi="Abadi"/>
          <w:b w:val="0"/>
          <w:bCs w:val="0"/>
          <w:sz w:val="21"/>
          <w:szCs w:val="21"/>
        </w:rPr>
      </w:pPr>
    </w:p>
    <w:p w14:paraId="475F1319"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Los días 24 y 28 de marzo de 2023 respectivamente, dentro del plazo que prevé la fracción IV del artículo 37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el presidente y la ex presidenta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w:t>
      </w:r>
    </w:p>
    <w:p w14:paraId="256C8086" w14:textId="77777777" w:rsidR="00AE2C77" w:rsidRPr="00CD1A9F" w:rsidRDefault="00AE2C77" w:rsidP="00AE2C77">
      <w:pPr>
        <w:ind w:firstLine="708"/>
        <w:jc w:val="both"/>
        <w:rPr>
          <w:rFonts w:ascii="Abadi" w:hAnsi="Abadi"/>
          <w:sz w:val="21"/>
          <w:szCs w:val="21"/>
        </w:rPr>
      </w:pPr>
    </w:p>
    <w:p w14:paraId="4E8B515F" w14:textId="77777777" w:rsidR="00AE2C77" w:rsidRPr="00CD1A9F" w:rsidRDefault="00AE2C77" w:rsidP="00AE2C77">
      <w:pPr>
        <w:ind w:firstLine="708"/>
        <w:jc w:val="both"/>
        <w:rPr>
          <w:rFonts w:ascii="Abadi" w:hAnsi="Abadi"/>
          <w:sz w:val="21"/>
          <w:szCs w:val="21"/>
        </w:rPr>
      </w:pPr>
    </w:p>
    <w:p w14:paraId="51BD884C"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Una vez tramitados los recursos, el Auditor Superior el 12 de abril de 2023 emitió la resolución correspondiente, a la cual haremos referencia en un apartado posterior, misma que se notificó al presidente y a la ex presidenta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el 13 de abril de 2023.</w:t>
      </w:r>
    </w:p>
    <w:p w14:paraId="6F229CD4" w14:textId="77777777" w:rsidR="00AE2C77" w:rsidRPr="00CD1A9F" w:rsidRDefault="00AE2C77" w:rsidP="00AE2C77">
      <w:pPr>
        <w:ind w:firstLine="708"/>
        <w:jc w:val="both"/>
        <w:rPr>
          <w:rFonts w:ascii="Abadi" w:hAnsi="Abadi" w:cs="Arial"/>
          <w:sz w:val="21"/>
          <w:szCs w:val="21"/>
        </w:rPr>
      </w:pPr>
    </w:p>
    <w:p w14:paraId="1DE76D53" w14:textId="77777777" w:rsidR="00AE2C77" w:rsidRPr="00CD1A9F" w:rsidRDefault="00AE2C77" w:rsidP="00AE2C77">
      <w:pPr>
        <w:pStyle w:val="Textoindependiente"/>
        <w:ind w:firstLine="708"/>
        <w:rPr>
          <w:rFonts w:ascii="Abadi" w:hAnsi="Abadi"/>
          <w:sz w:val="21"/>
          <w:szCs w:val="21"/>
        </w:rPr>
      </w:pPr>
      <w:r w:rsidRPr="00CD1A9F">
        <w:rPr>
          <w:rFonts w:ascii="Abadi" w:hAnsi="Abadi"/>
          <w:sz w:val="21"/>
          <w:szCs w:val="21"/>
        </w:rPr>
        <w:t>IV. Contenido del Informe de Resultados:</w:t>
      </w:r>
    </w:p>
    <w:p w14:paraId="5259C9D1" w14:textId="77777777" w:rsidR="00AE2C77" w:rsidRPr="00CD1A9F" w:rsidRDefault="00AE2C77" w:rsidP="00AE2C77">
      <w:pPr>
        <w:pStyle w:val="Textoindependiente"/>
        <w:rPr>
          <w:rFonts w:ascii="Abadi" w:hAnsi="Abadi"/>
          <w:sz w:val="21"/>
          <w:szCs w:val="21"/>
        </w:rPr>
      </w:pPr>
    </w:p>
    <w:p w14:paraId="59A02766" w14:textId="77777777" w:rsidR="00AE2C77" w:rsidRPr="00CD1A9F" w:rsidRDefault="00AE2C77" w:rsidP="00AE2C77">
      <w:pPr>
        <w:pStyle w:val="Textoindependiente"/>
        <w:rPr>
          <w:rFonts w:ascii="Abadi" w:hAnsi="Abadi"/>
          <w:b w:val="0"/>
          <w:bCs w:val="0"/>
          <w:sz w:val="21"/>
          <w:szCs w:val="21"/>
        </w:rPr>
      </w:pPr>
      <w:r w:rsidRPr="00CD1A9F">
        <w:rPr>
          <w:rFonts w:ascii="Abadi" w:hAnsi="Abadi"/>
          <w:b w:val="0"/>
          <w:bCs w:val="0"/>
          <w:sz w:val="21"/>
          <w:szCs w:val="21"/>
        </w:rPr>
        <w:tab/>
        <w:t xml:space="preserve">En cumplimiento a lo establecido por el artículo 37, fracción III de la Ley de </w:t>
      </w:r>
      <w:r w:rsidRPr="00CD1A9F">
        <w:rPr>
          <w:rFonts w:ascii="Abadi" w:hAnsi="Abadi"/>
          <w:b w:val="0"/>
          <w:bCs w:val="0"/>
          <w:sz w:val="21"/>
          <w:szCs w:val="21"/>
        </w:rPr>
        <w:t>Fiscalización Superior del Estado, el informe de resultados contiene los siguientes apartados:</w:t>
      </w:r>
    </w:p>
    <w:p w14:paraId="7014510A" w14:textId="77777777" w:rsidR="00AE2C77" w:rsidRPr="00CD1A9F" w:rsidRDefault="00AE2C77" w:rsidP="00AE2C77">
      <w:pPr>
        <w:pStyle w:val="Textoindependiente"/>
        <w:rPr>
          <w:rFonts w:ascii="Abadi" w:hAnsi="Abadi"/>
          <w:b w:val="0"/>
          <w:bCs w:val="0"/>
          <w:sz w:val="21"/>
          <w:szCs w:val="21"/>
        </w:rPr>
      </w:pPr>
    </w:p>
    <w:p w14:paraId="5675D66E" w14:textId="77777777" w:rsidR="00AE2C77" w:rsidRPr="00CD1A9F" w:rsidRDefault="00AE2C77" w:rsidP="00427BD6">
      <w:pPr>
        <w:pStyle w:val="Textoindependiente"/>
        <w:numPr>
          <w:ilvl w:val="0"/>
          <w:numId w:val="9"/>
        </w:numPr>
        <w:autoSpaceDE/>
        <w:autoSpaceDN/>
        <w:rPr>
          <w:rFonts w:ascii="Abadi" w:hAnsi="Abadi"/>
          <w:sz w:val="21"/>
          <w:szCs w:val="21"/>
        </w:rPr>
      </w:pPr>
      <w:r w:rsidRPr="00CD1A9F">
        <w:rPr>
          <w:rFonts w:ascii="Abadi" w:hAnsi="Abadi"/>
          <w:sz w:val="21"/>
          <w:szCs w:val="21"/>
        </w:rPr>
        <w:t>Introducción.</w:t>
      </w:r>
    </w:p>
    <w:p w14:paraId="01B02616" w14:textId="77777777" w:rsidR="00AE2C77" w:rsidRPr="00CD1A9F" w:rsidRDefault="00AE2C77" w:rsidP="00AE2C77">
      <w:pPr>
        <w:pStyle w:val="Textoindependiente"/>
        <w:ind w:left="705"/>
        <w:rPr>
          <w:rFonts w:ascii="Abadi" w:hAnsi="Abadi"/>
          <w:b w:val="0"/>
          <w:bCs w:val="0"/>
          <w:sz w:val="21"/>
          <w:szCs w:val="21"/>
        </w:rPr>
      </w:pPr>
    </w:p>
    <w:p w14:paraId="5DB1D196"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09C25F29" w14:textId="77777777" w:rsidR="00AE2C77" w:rsidRPr="00CD1A9F" w:rsidRDefault="00AE2C77" w:rsidP="00AE2C77">
      <w:pPr>
        <w:pStyle w:val="Textoindependiente"/>
        <w:ind w:firstLine="705"/>
        <w:rPr>
          <w:rFonts w:ascii="Abadi" w:hAnsi="Abadi"/>
          <w:b w:val="0"/>
          <w:bCs w:val="0"/>
          <w:sz w:val="21"/>
          <w:szCs w:val="21"/>
        </w:rPr>
      </w:pPr>
    </w:p>
    <w:p w14:paraId="00C94F16"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45EBB265" w14:textId="77777777" w:rsidR="00AE2C77" w:rsidRPr="00F024AF" w:rsidRDefault="00AE2C77" w:rsidP="00AE2C77">
      <w:pPr>
        <w:pStyle w:val="Textoindependiente"/>
        <w:ind w:firstLine="705"/>
        <w:rPr>
          <w:rFonts w:ascii="Abadi" w:hAnsi="Abadi"/>
          <w:sz w:val="21"/>
          <w:szCs w:val="21"/>
        </w:rPr>
      </w:pPr>
    </w:p>
    <w:p w14:paraId="7E279765"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FE7E6AA" w14:textId="77777777" w:rsidR="00AE2C77" w:rsidRPr="00F024AF" w:rsidRDefault="00AE2C77" w:rsidP="00AE2C77">
      <w:pPr>
        <w:jc w:val="both"/>
        <w:rPr>
          <w:rFonts w:ascii="Abadi" w:hAnsi="Abadi" w:cs="Arial"/>
          <w:i/>
          <w:iCs/>
          <w:sz w:val="21"/>
          <w:szCs w:val="21"/>
          <w:lang w:eastAsia="x-none"/>
        </w:rPr>
      </w:pPr>
    </w:p>
    <w:p w14:paraId="0E88F408" w14:textId="77777777" w:rsidR="00AE2C77" w:rsidRPr="00F024AF" w:rsidRDefault="00AE2C77" w:rsidP="00AE2C77">
      <w:pPr>
        <w:jc w:val="both"/>
        <w:rPr>
          <w:rFonts w:ascii="Abadi" w:hAnsi="Abadi" w:cs="Arial"/>
          <w:i/>
          <w:iCs/>
          <w:sz w:val="21"/>
          <w:szCs w:val="21"/>
          <w:lang w:eastAsia="x-none"/>
        </w:rPr>
      </w:pPr>
      <w:r w:rsidRPr="00F024AF">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37069C71" w14:textId="77777777" w:rsidR="00AE2C77" w:rsidRPr="00F024AF" w:rsidRDefault="00AE2C77" w:rsidP="00AE2C77">
      <w:pPr>
        <w:rPr>
          <w:rFonts w:ascii="Abadi" w:hAnsi="Abadi" w:cs="Arial"/>
          <w:i/>
          <w:iCs/>
          <w:sz w:val="21"/>
          <w:szCs w:val="21"/>
          <w:lang w:eastAsia="x-none"/>
        </w:rPr>
      </w:pPr>
    </w:p>
    <w:p w14:paraId="13AC641C" w14:textId="77777777" w:rsidR="00AE2C77" w:rsidRPr="00F024AF" w:rsidRDefault="00AE2C77" w:rsidP="00AE2C77">
      <w:pPr>
        <w:jc w:val="both"/>
        <w:rPr>
          <w:rFonts w:ascii="Abadi" w:hAnsi="Abadi" w:cs="Arial"/>
          <w:i/>
          <w:iCs/>
          <w:sz w:val="21"/>
          <w:szCs w:val="21"/>
          <w:lang w:eastAsia="x-none"/>
        </w:rPr>
      </w:pPr>
      <w:r w:rsidRPr="00F024AF">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7893D78" w14:textId="77777777" w:rsidR="00AE2C77" w:rsidRPr="00F024AF" w:rsidRDefault="00AE2C77" w:rsidP="00AE2C77">
      <w:pPr>
        <w:jc w:val="both"/>
        <w:rPr>
          <w:rFonts w:ascii="Abadi" w:hAnsi="Abadi" w:cs="Arial"/>
          <w:i/>
          <w:iCs/>
          <w:sz w:val="21"/>
          <w:szCs w:val="21"/>
          <w:lang w:eastAsia="x-none"/>
        </w:rPr>
      </w:pPr>
    </w:p>
    <w:p w14:paraId="47080061" w14:textId="77777777" w:rsidR="00AE2C77" w:rsidRPr="00F024AF" w:rsidRDefault="00AE2C77" w:rsidP="00AE2C77">
      <w:pPr>
        <w:jc w:val="both"/>
        <w:rPr>
          <w:rFonts w:ascii="Abadi" w:hAnsi="Abadi" w:cs="Arial"/>
          <w:i/>
          <w:iCs/>
          <w:sz w:val="21"/>
          <w:szCs w:val="21"/>
          <w:lang w:eastAsia="x-none"/>
        </w:rPr>
      </w:pPr>
      <w:r w:rsidRPr="00F024AF">
        <w:rPr>
          <w:rFonts w:ascii="Abadi" w:hAnsi="Abadi" w:cs="Arial"/>
          <w:i/>
          <w:iCs/>
          <w:sz w:val="21"/>
          <w:szCs w:val="21"/>
          <w:lang w:eastAsia="x-none"/>
        </w:rPr>
        <w:t xml:space="preserve">Con ello, la Auditoría Superior del Estado de Guanajuato asume plenamente el compromiso del Congreso del Estado, para transparentar el ejercicio y aplicación de los recursos públicos </w:t>
      </w:r>
      <w:r w:rsidRPr="00F024AF">
        <w:rPr>
          <w:rFonts w:ascii="Abadi" w:hAnsi="Abadi" w:cs="Arial"/>
          <w:i/>
          <w:iCs/>
          <w:sz w:val="21"/>
          <w:szCs w:val="21"/>
          <w:lang w:eastAsia="x-none"/>
        </w:rPr>
        <w:lastRenderedPageBreak/>
        <w:t>por los entes gubernamentales y la rendición de cuentas a la ciudadanía».</w:t>
      </w:r>
    </w:p>
    <w:p w14:paraId="190376A3" w14:textId="77777777" w:rsidR="00AE2C77" w:rsidRPr="00F024AF" w:rsidRDefault="00AE2C77" w:rsidP="00AE2C77">
      <w:pPr>
        <w:jc w:val="both"/>
        <w:rPr>
          <w:rFonts w:ascii="Abadi" w:hAnsi="Abadi" w:cs="Arial"/>
          <w:i/>
          <w:iCs/>
          <w:sz w:val="21"/>
          <w:szCs w:val="21"/>
          <w:lang w:eastAsia="x-none"/>
        </w:rPr>
      </w:pPr>
    </w:p>
    <w:p w14:paraId="34EB062F" w14:textId="77777777" w:rsidR="00AE2C77" w:rsidRPr="00F024AF" w:rsidRDefault="00AE2C77" w:rsidP="00AE2C77">
      <w:pPr>
        <w:ind w:firstLine="705"/>
        <w:jc w:val="both"/>
        <w:rPr>
          <w:rFonts w:ascii="Abadi" w:hAnsi="Abadi" w:cs="Arial"/>
          <w:sz w:val="21"/>
          <w:szCs w:val="21"/>
          <w:lang w:eastAsia="x-none"/>
        </w:rPr>
      </w:pPr>
      <w:r w:rsidRPr="00F024AF">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F024AF">
        <w:rPr>
          <w:rFonts w:ascii="Abadi" w:hAnsi="Abadi" w:cs="Arial"/>
          <w:sz w:val="21"/>
          <w:szCs w:val="21"/>
          <w:lang w:eastAsia="x-none"/>
        </w:rPr>
        <w:t>fiscalizado</w:t>
      </w:r>
      <w:proofErr w:type="spellEnd"/>
      <w:r w:rsidRPr="00F024AF">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F024AF">
        <w:rPr>
          <w:rFonts w:ascii="Abadi" w:hAnsi="Abadi" w:cs="Arial"/>
          <w:i/>
          <w:iCs/>
          <w:sz w:val="21"/>
          <w:szCs w:val="21"/>
          <w:lang w:eastAsia="x-none"/>
        </w:rPr>
        <w:t>«Definitivos»,</w:t>
      </w:r>
      <w:r w:rsidRPr="00F024AF">
        <w:rPr>
          <w:rFonts w:ascii="Abadi" w:hAnsi="Abadi" w:cs="Arial"/>
          <w:sz w:val="21"/>
          <w:szCs w:val="21"/>
          <w:lang w:eastAsia="x-none"/>
        </w:rPr>
        <w:t xml:space="preserve"> emitidas por el Servicio de Administración Tributaria.</w:t>
      </w:r>
    </w:p>
    <w:p w14:paraId="3759110A" w14:textId="77777777" w:rsidR="00AE2C77" w:rsidRPr="00F024AF" w:rsidRDefault="00AE2C77" w:rsidP="00AE2C77">
      <w:pPr>
        <w:pStyle w:val="Textoindependiente"/>
        <w:ind w:firstLine="705"/>
        <w:rPr>
          <w:rFonts w:ascii="Abadi" w:hAnsi="Abadi"/>
          <w:sz w:val="21"/>
          <w:szCs w:val="21"/>
        </w:rPr>
      </w:pPr>
    </w:p>
    <w:p w14:paraId="6EEF8FE9" w14:textId="77777777" w:rsidR="00AE2C77" w:rsidRPr="00F024AF" w:rsidRDefault="00AE2C77" w:rsidP="00AE2C77">
      <w:pPr>
        <w:ind w:firstLine="705"/>
        <w:jc w:val="both"/>
        <w:rPr>
          <w:rFonts w:ascii="Abadi" w:hAnsi="Abadi" w:cs="Arial"/>
          <w:sz w:val="21"/>
          <w:szCs w:val="21"/>
          <w:lang w:eastAsia="x-none"/>
        </w:rPr>
      </w:pPr>
      <w:r w:rsidRPr="00F024AF">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F024AF">
        <w:rPr>
          <w:rFonts w:ascii="Abadi" w:hAnsi="Abadi" w:cs="Arial"/>
          <w:sz w:val="21"/>
          <w:szCs w:val="21"/>
          <w:lang w:eastAsia="x-none"/>
        </w:rPr>
        <w:t>fiscalizado</w:t>
      </w:r>
      <w:proofErr w:type="spellEnd"/>
      <w:r w:rsidRPr="00F024AF">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y 2020);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w:t>
      </w:r>
      <w:r w:rsidRPr="00F024AF">
        <w:rPr>
          <w:rFonts w:ascii="Abadi" w:hAnsi="Abadi" w:cs="Arial"/>
          <w:sz w:val="21"/>
          <w:szCs w:val="21"/>
          <w:lang w:eastAsia="x-none"/>
        </w:rPr>
        <w:t>operaciones simuladas o inexistentes con el carácter de «Definitivos» emitidas por el Servicio de Administración Tributaria, con independencia que hayan celebrado o no, operaciones comerciales o contractuales con el sujeto fiscalizado.</w:t>
      </w:r>
    </w:p>
    <w:p w14:paraId="7770D155" w14:textId="77777777" w:rsidR="00AE2C77" w:rsidRPr="00F024AF" w:rsidRDefault="00AE2C77" w:rsidP="00AE2C77">
      <w:pPr>
        <w:ind w:firstLine="705"/>
        <w:jc w:val="both"/>
        <w:rPr>
          <w:rFonts w:ascii="Abadi" w:hAnsi="Abadi" w:cs="Arial"/>
          <w:sz w:val="21"/>
          <w:szCs w:val="21"/>
          <w:lang w:eastAsia="x-none"/>
        </w:rPr>
      </w:pPr>
    </w:p>
    <w:p w14:paraId="3E1B951A" w14:textId="77777777" w:rsidR="00AE2C77" w:rsidRPr="00F024AF" w:rsidRDefault="00AE2C77" w:rsidP="00AE2C77">
      <w:pPr>
        <w:ind w:firstLine="705"/>
        <w:jc w:val="both"/>
        <w:rPr>
          <w:rFonts w:ascii="Abadi" w:hAnsi="Abadi" w:cs="Arial"/>
          <w:sz w:val="21"/>
          <w:szCs w:val="21"/>
          <w:lang w:val="es-MX" w:eastAsia="x-none"/>
        </w:rPr>
      </w:pPr>
    </w:p>
    <w:p w14:paraId="4333DD96" w14:textId="77777777" w:rsidR="00AE2C77" w:rsidRPr="00F024AF" w:rsidRDefault="00AE2C77" w:rsidP="00AE2C77">
      <w:pPr>
        <w:ind w:firstLine="705"/>
        <w:jc w:val="both"/>
        <w:rPr>
          <w:rFonts w:ascii="Abadi" w:hAnsi="Abadi" w:cs="Arial"/>
          <w:sz w:val="21"/>
          <w:szCs w:val="21"/>
          <w:lang w:val="es-MX" w:eastAsia="x-none"/>
        </w:rPr>
      </w:pPr>
      <w:r w:rsidRPr="00F024AF">
        <w:rPr>
          <w:rFonts w:ascii="Abadi" w:hAnsi="Abadi" w:cs="Arial"/>
          <w:sz w:val="21"/>
          <w:szCs w:val="21"/>
          <w:lang w:val="es-MX" w:eastAsia="x-none"/>
        </w:rPr>
        <w:t>La Auditoría Superior del Estado de Guanajuato aplicó procedimientos sustantivos y de cumplimiento a efecto de analizar el informe de entrega recepción establecido en la Ley Orgánica Municipal para el Estado de Guanajuato, sin detectar irregularidades para seguimiento en el informe de resultados.</w:t>
      </w:r>
    </w:p>
    <w:p w14:paraId="37C8A6D9" w14:textId="77777777" w:rsidR="00AE2C77" w:rsidRPr="00F024AF" w:rsidRDefault="00AE2C77" w:rsidP="00AE2C77">
      <w:pPr>
        <w:ind w:firstLine="705"/>
        <w:jc w:val="both"/>
        <w:rPr>
          <w:rFonts w:ascii="Abadi" w:hAnsi="Abadi" w:cs="Arial"/>
          <w:sz w:val="21"/>
          <w:szCs w:val="21"/>
          <w:lang w:val="es-MX" w:eastAsia="x-none"/>
        </w:rPr>
      </w:pPr>
    </w:p>
    <w:p w14:paraId="27B5A721" w14:textId="77777777" w:rsidR="00AE2C77" w:rsidRPr="00F024AF" w:rsidRDefault="00AE2C77" w:rsidP="00AE2C77">
      <w:pPr>
        <w:ind w:firstLine="705"/>
        <w:jc w:val="both"/>
        <w:rPr>
          <w:rFonts w:ascii="Abadi" w:hAnsi="Abadi" w:cs="Arial"/>
          <w:sz w:val="21"/>
          <w:szCs w:val="21"/>
          <w:lang w:val="es-MX" w:eastAsia="x-none"/>
        </w:rPr>
      </w:pPr>
      <w:r w:rsidRPr="00F024AF">
        <w:rPr>
          <w:rFonts w:ascii="Abadi" w:hAnsi="Abadi" w:cs="Arial"/>
          <w:sz w:val="21"/>
          <w:szCs w:val="21"/>
          <w:lang w:val="es-MX" w:eastAsia="x-none"/>
        </w:rPr>
        <w:t xml:space="preserve">También se establece que para la integración del expediente y conclusiones determinadas en la revisión practicada, se consideró documentación obtenida mediante diversos procedimientos de auditoría aplicados en los análisis de información financiera trimestral a la administración pública municipal de Pueblo Nuevo, </w:t>
      </w:r>
      <w:proofErr w:type="spellStart"/>
      <w:r w:rsidRPr="00F024AF">
        <w:rPr>
          <w:rFonts w:ascii="Abadi" w:hAnsi="Abadi" w:cs="Arial"/>
          <w:sz w:val="21"/>
          <w:szCs w:val="21"/>
          <w:lang w:val="es-MX" w:eastAsia="x-none"/>
        </w:rPr>
        <w:t>Gto</w:t>
      </w:r>
      <w:proofErr w:type="spellEnd"/>
      <w:r w:rsidRPr="00F024AF">
        <w:rPr>
          <w:rFonts w:ascii="Abadi" w:hAnsi="Abadi" w:cs="Arial"/>
          <w:sz w:val="21"/>
          <w:szCs w:val="21"/>
          <w:lang w:val="es-MX" w:eastAsia="x-none"/>
        </w:rPr>
        <w:t>., respecto de los periodos comprendidos de enero a junio y de julio a diciembre del 2021, de acuerdo a lo establecido en los artículos 23 y 28, primer párrafo de la Ley de Fiscalización Superior del Estado de Guanajuato.</w:t>
      </w:r>
    </w:p>
    <w:p w14:paraId="7ED95DB9" w14:textId="77777777" w:rsidR="00AE2C77" w:rsidRPr="00F024AF" w:rsidRDefault="00AE2C77" w:rsidP="00AE2C77">
      <w:pPr>
        <w:ind w:firstLine="705"/>
        <w:jc w:val="both"/>
        <w:rPr>
          <w:rFonts w:ascii="Abadi" w:hAnsi="Abadi" w:cs="Arial"/>
          <w:sz w:val="21"/>
          <w:szCs w:val="21"/>
          <w:lang w:val="es-MX" w:eastAsia="x-none"/>
        </w:rPr>
      </w:pPr>
    </w:p>
    <w:p w14:paraId="73ED8002" w14:textId="77777777" w:rsidR="00AE2C77" w:rsidRPr="00F024AF" w:rsidRDefault="00AE2C77" w:rsidP="00AE2C77">
      <w:pPr>
        <w:ind w:firstLine="705"/>
        <w:jc w:val="both"/>
        <w:rPr>
          <w:rFonts w:ascii="Abadi" w:hAnsi="Abadi" w:cs="Arial"/>
          <w:sz w:val="21"/>
          <w:szCs w:val="21"/>
          <w:lang w:val="es-MX" w:eastAsia="x-none"/>
        </w:rPr>
      </w:pPr>
      <w:r w:rsidRPr="00F024AF">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Pueblo Nuevo, </w:t>
      </w:r>
      <w:proofErr w:type="spellStart"/>
      <w:r w:rsidRPr="00F024AF">
        <w:rPr>
          <w:rFonts w:ascii="Abadi" w:hAnsi="Abadi" w:cs="Arial"/>
          <w:sz w:val="21"/>
          <w:szCs w:val="21"/>
          <w:lang w:val="es-MX" w:eastAsia="x-none"/>
        </w:rPr>
        <w:t>Gto</w:t>
      </w:r>
      <w:proofErr w:type="spellEnd"/>
      <w:r w:rsidRPr="00F024AF">
        <w:rPr>
          <w:rFonts w:ascii="Abadi" w:hAnsi="Abadi" w:cs="Arial"/>
          <w:sz w:val="21"/>
          <w:szCs w:val="21"/>
          <w:lang w:val="es-MX" w:eastAsia="x-none"/>
        </w:rPr>
        <w:t xml:space="preserve">., no cumplió con las disposiciones normativas aplicables, como se precisa en el informe de resultados. </w:t>
      </w:r>
    </w:p>
    <w:p w14:paraId="7954CC07" w14:textId="77777777" w:rsidR="00AE2C77" w:rsidRPr="00F024AF" w:rsidRDefault="00AE2C77" w:rsidP="00AE2C77">
      <w:pPr>
        <w:ind w:firstLine="705"/>
        <w:jc w:val="both"/>
        <w:rPr>
          <w:rFonts w:ascii="Abadi" w:hAnsi="Abadi" w:cs="Arial"/>
          <w:sz w:val="21"/>
          <w:szCs w:val="21"/>
          <w:lang w:val="es-MX" w:eastAsia="x-none"/>
        </w:rPr>
      </w:pPr>
    </w:p>
    <w:p w14:paraId="452419C2"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11 observaciones, mismas que no fueron solventadas. Asimismo, se formularon 3 recomendaciones que no se atendieron. </w:t>
      </w:r>
    </w:p>
    <w:p w14:paraId="14FD1300" w14:textId="77777777" w:rsidR="00AE2C77" w:rsidRPr="00CD1A9F" w:rsidRDefault="00AE2C77" w:rsidP="00AE2C77">
      <w:pPr>
        <w:pStyle w:val="Textoindependiente"/>
        <w:ind w:firstLine="705"/>
        <w:rPr>
          <w:rFonts w:ascii="Abadi" w:hAnsi="Abadi"/>
          <w:b w:val="0"/>
          <w:bCs w:val="0"/>
          <w:sz w:val="21"/>
          <w:szCs w:val="21"/>
        </w:rPr>
      </w:pPr>
    </w:p>
    <w:p w14:paraId="4BCEB394"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También, en dicho apartado se establece el impacto de las irregularidades detectadas que persistieron después de la </w:t>
      </w:r>
      <w:r w:rsidRPr="00CD1A9F">
        <w:rPr>
          <w:rFonts w:ascii="Abadi" w:hAnsi="Abadi"/>
          <w:b w:val="0"/>
          <w:bCs w:val="0"/>
          <w:sz w:val="21"/>
          <w:szCs w:val="21"/>
        </w:rPr>
        <w:lastRenderedPageBreak/>
        <w:t xml:space="preserve">valoración de la respuesta al pliego de observaciones y recomendaciones, destacando la cuantificación monetaria de las observaciones y recomendaciones, precisando que, en el caso de las observaciones plasmadas en los numerales 006, 008 y 009, existen importes no solventados por la cuantía que ahí se refiere. No obstante, mediante la resolución recaída al recurso de reconsideración promovido en contra del informe de resultados, se modificó el complemento de la valoración de la observación contenida en el numeral 009, para quedar únicamente con acciones correctivas pendientes de realizar por el sujeto fiscalizado. </w:t>
      </w:r>
    </w:p>
    <w:p w14:paraId="53CC00AB" w14:textId="77777777" w:rsidR="00AE2C77" w:rsidRPr="00CD1A9F" w:rsidRDefault="00AE2C77" w:rsidP="00AE2C77">
      <w:pPr>
        <w:pStyle w:val="Textoindependiente"/>
        <w:ind w:firstLine="705"/>
        <w:rPr>
          <w:rFonts w:ascii="Abadi" w:hAnsi="Abadi"/>
          <w:b w:val="0"/>
          <w:bCs w:val="0"/>
          <w:sz w:val="21"/>
          <w:szCs w:val="21"/>
        </w:rPr>
      </w:pPr>
    </w:p>
    <w:p w14:paraId="54427A09" w14:textId="77777777" w:rsidR="00AE2C77" w:rsidRPr="00CD1A9F" w:rsidRDefault="00AE2C77" w:rsidP="00AE2C77">
      <w:pPr>
        <w:pStyle w:val="Textoindependiente"/>
        <w:ind w:firstLine="705"/>
        <w:rPr>
          <w:rFonts w:ascii="Abadi" w:hAnsi="Abadi"/>
          <w:b w:val="0"/>
          <w:bCs w:val="0"/>
          <w:sz w:val="21"/>
          <w:szCs w:val="21"/>
        </w:rPr>
      </w:pPr>
    </w:p>
    <w:p w14:paraId="155083EA"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En lo referente al rubro de identificación de operaciones con Empresas que Facturan Operaciones Simuladas (EFOS) u operaciones inexistentes se refiere que como parte de la planeación de la revisión se</w:t>
      </w:r>
      <w:r w:rsidRPr="00F024AF">
        <w:rPr>
          <w:rFonts w:ascii="Abadi" w:hAnsi="Abadi"/>
          <w:sz w:val="21"/>
          <w:szCs w:val="21"/>
        </w:rPr>
        <w:t xml:space="preserve"> </w:t>
      </w:r>
      <w:r w:rsidRPr="00CD1A9F">
        <w:rPr>
          <w:rFonts w:ascii="Abadi" w:hAnsi="Abadi"/>
          <w:b w:val="0"/>
          <w:bCs w:val="0"/>
          <w:sz w:val="21"/>
          <w:szCs w:val="21"/>
        </w:rPr>
        <w:t xml:space="preserve">realizaron procedimientos analíticos a las personas físicas o morales con las que la administración pública municipal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CD1A9F">
        <w:rPr>
          <w:rFonts w:ascii="Abadi" w:hAnsi="Abadi"/>
          <w:b w:val="0"/>
          <w:bCs w:val="0"/>
          <w:i/>
          <w:iCs/>
          <w:sz w:val="21"/>
          <w:szCs w:val="21"/>
        </w:rPr>
        <w:t>Definitivos»</w:t>
      </w:r>
      <w:r w:rsidRPr="00CD1A9F">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4CE156EA" w14:textId="77777777" w:rsidR="00AE2C77" w:rsidRPr="00F024AF" w:rsidRDefault="00AE2C77" w:rsidP="00AE2C77">
      <w:pPr>
        <w:pStyle w:val="Textoindependiente"/>
        <w:ind w:firstLine="705"/>
        <w:rPr>
          <w:rFonts w:ascii="Abadi" w:hAnsi="Abadi"/>
          <w:sz w:val="21"/>
          <w:szCs w:val="21"/>
        </w:rPr>
      </w:pPr>
    </w:p>
    <w:p w14:paraId="7BD01D9B" w14:textId="77777777" w:rsidR="00AE2C77" w:rsidRPr="00CD1A9F" w:rsidRDefault="00AE2C77" w:rsidP="00427BD6">
      <w:pPr>
        <w:pStyle w:val="Textoindependiente"/>
        <w:numPr>
          <w:ilvl w:val="0"/>
          <w:numId w:val="9"/>
        </w:numPr>
        <w:tabs>
          <w:tab w:val="clear" w:pos="1065"/>
          <w:tab w:val="num" w:pos="0"/>
        </w:tabs>
        <w:autoSpaceDE/>
        <w:autoSpaceDN/>
        <w:rPr>
          <w:rFonts w:ascii="Abadi" w:hAnsi="Abadi"/>
          <w:sz w:val="21"/>
          <w:szCs w:val="21"/>
        </w:rPr>
      </w:pPr>
      <w:r w:rsidRPr="00CD1A9F">
        <w:rPr>
          <w:rFonts w:ascii="Abadi" w:hAnsi="Abadi"/>
          <w:sz w:val="21"/>
          <w:szCs w:val="21"/>
        </w:rPr>
        <w:t xml:space="preserve">Observaciones y recomendaciones, la respuesta emitida por el sujeto fiscalizado y la valoración correspondiente. </w:t>
      </w:r>
    </w:p>
    <w:p w14:paraId="7A0CB1E6" w14:textId="77777777" w:rsidR="00AE2C77" w:rsidRPr="00F024AF" w:rsidRDefault="00AE2C77" w:rsidP="00AE2C77">
      <w:pPr>
        <w:pStyle w:val="Textoindependiente"/>
        <w:ind w:left="1065"/>
        <w:rPr>
          <w:rFonts w:ascii="Abadi" w:hAnsi="Abadi"/>
          <w:b w:val="0"/>
          <w:bCs w:val="0"/>
          <w:sz w:val="21"/>
          <w:szCs w:val="21"/>
        </w:rPr>
      </w:pPr>
    </w:p>
    <w:p w14:paraId="5411C8A7"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En esta parte se desglosa la valoración de las observaciones formuladas por el Órgano Técnico, considerando como no solventadas las observaciones plasmadas en los siguientes numerales: 001, referente a Programa Anual de Adquisiciones, Arrendamientos y Servicios; 002, correspondiente a investigación de mercado; 003, relativo a contratos de adquisiciones; 004, referido a proceso de adjudicación; 005, referente a especificaciones contrato de prestación de servicios; 006, correspondiente </w:t>
      </w:r>
      <w:r w:rsidRPr="00CD1A9F">
        <w:rPr>
          <w:rFonts w:ascii="Abadi" w:hAnsi="Abadi"/>
          <w:b w:val="0"/>
          <w:bCs w:val="0"/>
          <w:sz w:val="21"/>
          <w:szCs w:val="21"/>
        </w:rPr>
        <w:t>a recargos CONAGUA; 007, relativo a contabilización de pago derecho y aprovechamiento de aguas nacionales; 008, referido a pago de finiquito; 009, referente a comprobación de retiros bancarios; 010, correspondiente a contabilización de retiros bancarios; y 011, relativo a contabilización depósitos del banco pendientes de corresponder.</w:t>
      </w:r>
    </w:p>
    <w:p w14:paraId="494B9180" w14:textId="77777777" w:rsidR="00AE2C77" w:rsidRPr="00CD1A9F" w:rsidRDefault="00AE2C77" w:rsidP="00AE2C77">
      <w:pPr>
        <w:pStyle w:val="Textoindependiente"/>
        <w:ind w:firstLine="705"/>
        <w:rPr>
          <w:rFonts w:ascii="Abadi" w:hAnsi="Abadi"/>
          <w:b w:val="0"/>
          <w:bCs w:val="0"/>
          <w:sz w:val="21"/>
          <w:szCs w:val="21"/>
        </w:rPr>
      </w:pPr>
    </w:p>
    <w:p w14:paraId="7319A560"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En el apartado de Recomendaciones Generales, no se atendieron los numerales 001, referido a finiquitos; 002, referente a prestaciones laborales; y 003, correspondiente a manejo de fondo fijo (caja chica).</w:t>
      </w:r>
    </w:p>
    <w:p w14:paraId="39EA57D3" w14:textId="77777777" w:rsidR="00AE2C77" w:rsidRPr="00F024AF" w:rsidRDefault="00AE2C77" w:rsidP="00AE2C77">
      <w:pPr>
        <w:pStyle w:val="Textoindependiente"/>
        <w:ind w:firstLine="705"/>
        <w:rPr>
          <w:rFonts w:ascii="Abadi" w:hAnsi="Abadi"/>
          <w:sz w:val="21"/>
          <w:szCs w:val="21"/>
        </w:rPr>
      </w:pPr>
    </w:p>
    <w:p w14:paraId="6E380E8B" w14:textId="77777777" w:rsidR="00AE2C77" w:rsidRPr="00CD1A9F" w:rsidRDefault="00AE2C77" w:rsidP="00427BD6">
      <w:pPr>
        <w:pStyle w:val="Textoindependiente"/>
        <w:numPr>
          <w:ilvl w:val="0"/>
          <w:numId w:val="9"/>
        </w:numPr>
        <w:autoSpaceDE/>
        <w:autoSpaceDN/>
        <w:rPr>
          <w:rFonts w:ascii="Abadi" w:hAnsi="Abadi"/>
          <w:sz w:val="21"/>
          <w:szCs w:val="21"/>
        </w:rPr>
      </w:pPr>
      <w:r w:rsidRPr="00CD1A9F">
        <w:rPr>
          <w:rFonts w:ascii="Abadi" w:hAnsi="Abadi"/>
          <w:sz w:val="21"/>
          <w:szCs w:val="21"/>
        </w:rPr>
        <w:t xml:space="preserve">Promoción del ejercicio de facultades de comprobación fiscal. </w:t>
      </w:r>
    </w:p>
    <w:p w14:paraId="7792E2FA" w14:textId="77777777" w:rsidR="00AE2C77" w:rsidRPr="00F024AF" w:rsidRDefault="00AE2C77" w:rsidP="00AE2C77">
      <w:pPr>
        <w:pStyle w:val="Textoindependiente"/>
        <w:ind w:firstLine="705"/>
        <w:rPr>
          <w:rFonts w:ascii="Abadi" w:hAnsi="Abadi"/>
          <w:sz w:val="21"/>
          <w:szCs w:val="21"/>
        </w:rPr>
      </w:pPr>
    </w:p>
    <w:p w14:paraId="591A9405" w14:textId="77777777" w:rsidR="00AE2C77" w:rsidRPr="00F024AF" w:rsidRDefault="00AE2C77" w:rsidP="00AE2C77">
      <w:pPr>
        <w:pStyle w:val="Textoindependiente"/>
        <w:ind w:firstLine="705"/>
        <w:rPr>
          <w:rFonts w:ascii="Abadi" w:hAnsi="Abadi"/>
          <w:sz w:val="21"/>
          <w:szCs w:val="21"/>
        </w:rPr>
      </w:pPr>
      <w:r w:rsidRPr="00CD1A9F">
        <w:rPr>
          <w:rFonts w:ascii="Abadi" w:hAnsi="Abadi"/>
          <w:b w:val="0"/>
          <w:bCs w:val="0"/>
          <w:sz w:val="21"/>
          <w:szCs w:val="21"/>
        </w:rPr>
        <w:t>En esta parte se establece que de conformidad con lo establecido en los artículos 82, fracción XXXIV de la Ley de</w:t>
      </w:r>
      <w:r w:rsidRPr="00F024AF">
        <w:rPr>
          <w:rFonts w:ascii="Abadi" w:hAnsi="Abadi"/>
          <w:sz w:val="21"/>
          <w:szCs w:val="21"/>
        </w:rPr>
        <w:t xml:space="preserve"> </w:t>
      </w:r>
      <w:r w:rsidRPr="00CD1A9F">
        <w:rPr>
          <w:rFonts w:ascii="Abadi" w:hAnsi="Abadi"/>
          <w:b w:val="0"/>
          <w:bCs w:val="0"/>
          <w:sz w:val="21"/>
          <w:szCs w:val="21"/>
        </w:rPr>
        <w:t>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BAD5FC0" w14:textId="77777777" w:rsidR="00AE2C77" w:rsidRPr="00F024AF" w:rsidRDefault="00AE2C77" w:rsidP="00AE2C77">
      <w:pPr>
        <w:pStyle w:val="Textoindependiente"/>
        <w:ind w:firstLine="705"/>
        <w:rPr>
          <w:rFonts w:ascii="Abadi" w:hAnsi="Abadi"/>
          <w:sz w:val="21"/>
          <w:szCs w:val="21"/>
        </w:rPr>
      </w:pPr>
    </w:p>
    <w:p w14:paraId="753F4414" w14:textId="77777777" w:rsidR="00AE2C77" w:rsidRPr="00CD1A9F" w:rsidRDefault="00AE2C77" w:rsidP="00427BD6">
      <w:pPr>
        <w:pStyle w:val="Textoindependiente"/>
        <w:numPr>
          <w:ilvl w:val="0"/>
          <w:numId w:val="9"/>
        </w:numPr>
        <w:autoSpaceDE/>
        <w:autoSpaceDN/>
        <w:rPr>
          <w:rFonts w:ascii="Abadi" w:hAnsi="Abadi"/>
          <w:sz w:val="21"/>
          <w:szCs w:val="21"/>
        </w:rPr>
      </w:pPr>
      <w:r w:rsidRPr="00CD1A9F">
        <w:rPr>
          <w:rFonts w:ascii="Abadi" w:hAnsi="Abadi"/>
          <w:sz w:val="21"/>
          <w:szCs w:val="21"/>
        </w:rPr>
        <w:t>Comunicado ante órganos de control y autoridades que administran padrones de proveedores y contratistas.</w:t>
      </w:r>
    </w:p>
    <w:p w14:paraId="1723B2DF" w14:textId="77777777" w:rsidR="00AE2C77" w:rsidRPr="00CD1A9F" w:rsidRDefault="00AE2C77" w:rsidP="00AE2C77">
      <w:pPr>
        <w:pStyle w:val="Textoindependiente"/>
        <w:ind w:firstLine="705"/>
        <w:rPr>
          <w:rFonts w:ascii="Abadi" w:hAnsi="Abadi"/>
          <w:sz w:val="21"/>
          <w:szCs w:val="21"/>
        </w:rPr>
      </w:pPr>
    </w:p>
    <w:p w14:paraId="4F91D560"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w:t>
      </w:r>
      <w:r w:rsidRPr="00CD1A9F">
        <w:rPr>
          <w:rFonts w:ascii="Abadi" w:hAnsi="Abadi"/>
          <w:b w:val="0"/>
          <w:bCs w:val="0"/>
          <w:sz w:val="21"/>
          <w:szCs w:val="21"/>
        </w:rPr>
        <w:lastRenderedPageBreak/>
        <w:t xml:space="preserve">atención a los resultados de la auditoría, es procedente hacer del conocimiento de la Contraloría y de la Tesorería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las presuntas irregularidades o incumplimientos de estos en contrataciones públicas detectadas durante la revisión, precisando el proveedor y la observación de la que se desprende su intervención.</w:t>
      </w:r>
    </w:p>
    <w:p w14:paraId="28B39ED7" w14:textId="77777777" w:rsidR="00AE2C77" w:rsidRPr="00F024AF" w:rsidRDefault="00AE2C77" w:rsidP="00AE2C77">
      <w:pPr>
        <w:pStyle w:val="Textoindependiente"/>
        <w:ind w:firstLine="705"/>
        <w:rPr>
          <w:rFonts w:ascii="Abadi" w:hAnsi="Abadi"/>
          <w:sz w:val="21"/>
          <w:szCs w:val="21"/>
        </w:rPr>
      </w:pPr>
    </w:p>
    <w:p w14:paraId="0DE16537" w14:textId="77777777" w:rsidR="00AE2C77" w:rsidRPr="00CD1A9F" w:rsidRDefault="00AE2C77" w:rsidP="00427BD6">
      <w:pPr>
        <w:pStyle w:val="Textoindependiente"/>
        <w:numPr>
          <w:ilvl w:val="0"/>
          <w:numId w:val="9"/>
        </w:numPr>
        <w:autoSpaceDE/>
        <w:autoSpaceDN/>
        <w:rPr>
          <w:rFonts w:ascii="Abadi" w:hAnsi="Abadi"/>
          <w:sz w:val="21"/>
          <w:szCs w:val="21"/>
        </w:rPr>
      </w:pPr>
      <w:r w:rsidRPr="00CD1A9F">
        <w:rPr>
          <w:rFonts w:ascii="Abadi" w:hAnsi="Abadi"/>
          <w:sz w:val="21"/>
          <w:szCs w:val="21"/>
        </w:rPr>
        <w:t xml:space="preserve">Recurso de Reconsideración. </w:t>
      </w:r>
    </w:p>
    <w:p w14:paraId="1AF4B0EC" w14:textId="77777777" w:rsidR="00AE2C77" w:rsidRPr="00F024AF" w:rsidRDefault="00AE2C77" w:rsidP="00AE2C77">
      <w:pPr>
        <w:pStyle w:val="Textoindependiente"/>
        <w:ind w:left="705"/>
        <w:rPr>
          <w:rFonts w:ascii="Abadi" w:hAnsi="Abadi"/>
          <w:b w:val="0"/>
          <w:bCs w:val="0"/>
          <w:sz w:val="21"/>
          <w:szCs w:val="21"/>
        </w:rPr>
      </w:pPr>
    </w:p>
    <w:p w14:paraId="3833FB37"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 xml:space="preserve">En fechas 24 y 28 de marzo de 2023 respectivamente, dentro del plazo que prevé la fracción IV del artículo 37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el presidente y la ex presidenta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interpusieron recursos de reconsideración en contra del informe de resultados de la revisión practicada a la cuenta pública de dicho Municipio, correspondiente al ejercicio fiscal del año 2021, concretamente en contra de las</w:t>
      </w:r>
      <w:r w:rsidRPr="00F024AF">
        <w:rPr>
          <w:rFonts w:ascii="Abadi" w:hAnsi="Abadi"/>
          <w:sz w:val="21"/>
          <w:szCs w:val="21"/>
        </w:rPr>
        <w:t xml:space="preserve"> </w:t>
      </w:r>
      <w:r w:rsidRPr="00CD1A9F">
        <w:rPr>
          <w:rFonts w:ascii="Abadi" w:hAnsi="Abadi"/>
          <w:b w:val="0"/>
          <w:bCs w:val="0"/>
          <w:sz w:val="21"/>
          <w:szCs w:val="21"/>
        </w:rPr>
        <w:t xml:space="preserve">observaciones establecidas en los numerales  001, referente a Programa Anual de Adquisiciones, Arrendamientos y Servicios; 002, correspondiente a investigación de mercado; 003, relativo a contratos de adquisiciones; 004, referido a proceso de adjudicación; 005, referente a especificaciones contrato de prestación de servicios; 006, correspondiente a recargos CONAGUA; 007, relativo a contabilización de pago derecho y aprovechamiento de aguas nacionales; 008, referido a pago de finiquito; 009, referente a comprobación de retiros bancarios; 010, correspondiente a contabilización de retiros bancarios; y 011, relativo a contabilización depósitos del banco pendientes de corresponder; así como de las recomendaciones contenidas en los numerales 001, referido a finiquitos; 002, referente a prestaciones laborales; y 003, correspondiente a manejo de fondo fijo (caja chica), mismas que se encuentran relacionadas con el Capítulo II, denominado Observaciones y Recomendaciones; Respuesta Emitida por el Sujeto Fiscalizado y Valoración Correspondiente. </w:t>
      </w:r>
    </w:p>
    <w:p w14:paraId="3D3950A3" w14:textId="77777777" w:rsidR="00AE2C77" w:rsidRPr="00CD1A9F" w:rsidRDefault="00AE2C77" w:rsidP="00AE2C77">
      <w:pPr>
        <w:pStyle w:val="Textoindependiente"/>
        <w:ind w:firstLine="705"/>
        <w:rPr>
          <w:rFonts w:ascii="Abadi" w:hAnsi="Abadi"/>
          <w:b w:val="0"/>
          <w:bCs w:val="0"/>
          <w:sz w:val="21"/>
          <w:szCs w:val="21"/>
        </w:rPr>
      </w:pPr>
    </w:p>
    <w:p w14:paraId="5AD74705"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En tal sentido, mediante los acuerdos de fecha 30 de marzo de 2023, emitidos por el Director General de Asuntos Jurídicos de la Auditoría Superior del Estado de Guanajuato, se admitieron los recursos de reconsideración, </w:t>
      </w:r>
      <w:r w:rsidRPr="00CD1A9F">
        <w:rPr>
          <w:rFonts w:ascii="Abadi" w:hAnsi="Abadi"/>
          <w:b w:val="0"/>
          <w:bCs w:val="0"/>
          <w:sz w:val="21"/>
          <w:szCs w:val="21"/>
        </w:rPr>
        <w:t xml:space="preserve">al colmarse los requisitos de procedibilidad previstos por el artículo 51 de </w:t>
      </w:r>
      <w:smartTag w:uri="urn:schemas-microsoft-com:office:smarttags" w:element="PersonName">
        <w:smartTagPr>
          <w:attr w:name="ProductID" w:val="la Ley"/>
        </w:smartTagPr>
        <w:r w:rsidRPr="00CD1A9F">
          <w:rPr>
            <w:rFonts w:ascii="Abadi" w:hAnsi="Abadi"/>
            <w:b w:val="0"/>
            <w:bCs w:val="0"/>
            <w:sz w:val="21"/>
            <w:szCs w:val="21"/>
          </w:rPr>
          <w:t>la Ley</w:t>
        </w:r>
      </w:smartTag>
      <w:r w:rsidRPr="00CD1A9F">
        <w:rPr>
          <w:rFonts w:ascii="Abadi" w:hAnsi="Abadi"/>
          <w:b w:val="0"/>
          <w:bCs w:val="0"/>
          <w:sz w:val="21"/>
          <w:szCs w:val="21"/>
        </w:rPr>
        <w:t xml:space="preserve"> de Fiscalización Superior del Estado de Guanajuato, instruyendo la integración de los respectivos expedientes y el registro correspondiente. Asimismo, mediante dichos acuerdos se admitieron algunos medios de prueba ofrecidos por los recurrentes al tratarse de pruebas novedosas y supervenientes y otros se desecharon al ya haber sido presentados y valorados. También a través de dichos acuerdos se suspendió el plazo establecido en el artículo 55 de la Ley de Fiscalización Superior del Estado de Guanajuato por un término de hasta siete días hábiles.</w:t>
      </w:r>
    </w:p>
    <w:p w14:paraId="0FCC6170" w14:textId="77777777" w:rsidR="00AE2C77" w:rsidRPr="00CD1A9F" w:rsidRDefault="00AE2C77" w:rsidP="00AE2C77">
      <w:pPr>
        <w:pStyle w:val="Textoindependiente"/>
        <w:ind w:firstLine="708"/>
        <w:rPr>
          <w:rFonts w:ascii="Abadi" w:hAnsi="Abadi"/>
          <w:b w:val="0"/>
          <w:bCs w:val="0"/>
          <w:sz w:val="21"/>
          <w:szCs w:val="21"/>
        </w:rPr>
      </w:pPr>
    </w:p>
    <w:p w14:paraId="2EC2B844"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A través del acuerdo de fecha 10 de abril de 2023, el Director General de Asuntos Jurídicos de la Auditoría Superior del Estado ordenó la acumulación de los expedientes integrados con motivo de la interposición de los recursos de reconsideración, al vincularse de manera directa.</w:t>
      </w:r>
    </w:p>
    <w:p w14:paraId="7F23D37A" w14:textId="77777777" w:rsidR="00AE2C77" w:rsidRPr="00CD1A9F" w:rsidRDefault="00AE2C77" w:rsidP="00AE2C77">
      <w:pPr>
        <w:pStyle w:val="Textoindependiente"/>
        <w:ind w:firstLine="705"/>
        <w:rPr>
          <w:rFonts w:ascii="Abadi" w:hAnsi="Abadi"/>
          <w:b w:val="0"/>
          <w:bCs w:val="0"/>
          <w:sz w:val="21"/>
          <w:szCs w:val="21"/>
        </w:rPr>
      </w:pPr>
    </w:p>
    <w:p w14:paraId="1C74FA2A"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Una vez tramitados los recursos, el Auditor Superior del Estado, el 12 de abril de 2023 emitió la resolución correspondiente, determinándose respecto a las observaciones plasmadas en los numerales 001, 002, 003 y 004, que las pruebas documentales aportadas por los recurrentes resultaron insuficientes para su solventación, por las razones expresadas en el considerando séptimo. En razón de lo cual se confirmó el sentido de la valoración de las observaciones como no solventadas, sin acciones pendientes de realizar por el sujeto fiscalizado.</w:t>
      </w:r>
    </w:p>
    <w:p w14:paraId="4EADE710" w14:textId="77777777" w:rsidR="00AE2C77" w:rsidRPr="00CD1A9F" w:rsidRDefault="00AE2C77" w:rsidP="00AE2C77">
      <w:pPr>
        <w:pStyle w:val="Textoindependiente"/>
        <w:ind w:firstLine="708"/>
        <w:rPr>
          <w:rFonts w:ascii="Abadi" w:hAnsi="Abadi"/>
          <w:b w:val="0"/>
          <w:bCs w:val="0"/>
          <w:sz w:val="21"/>
          <w:szCs w:val="21"/>
        </w:rPr>
      </w:pPr>
    </w:p>
    <w:p w14:paraId="0086276F"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cuanto a las observaciones contenidas en los numerales 005, 007, 010 y 011, se resolvió que las probanzas aportadas por los recurrentes resultaron insuficientes para su solventación, de acuerdo a lo señalado en el considerando séptimo. En consecuencia, se confirmó el sentido de la valoración de las observaciones como no solventadas, con acciones correctivas pendientes de realizar por el sujeto fiscalizado.</w:t>
      </w:r>
    </w:p>
    <w:p w14:paraId="35A37FE7" w14:textId="77777777" w:rsidR="00AE2C77" w:rsidRPr="00CD1A9F" w:rsidRDefault="00AE2C77" w:rsidP="00AE2C77">
      <w:pPr>
        <w:pStyle w:val="Textoindependiente"/>
        <w:ind w:firstLine="708"/>
        <w:rPr>
          <w:rFonts w:ascii="Abadi" w:hAnsi="Abadi"/>
          <w:b w:val="0"/>
          <w:bCs w:val="0"/>
          <w:sz w:val="21"/>
          <w:szCs w:val="21"/>
        </w:rPr>
      </w:pPr>
    </w:p>
    <w:p w14:paraId="5C6E8BB2" w14:textId="77777777" w:rsidR="00AE2C77" w:rsidRPr="00CD1A9F" w:rsidRDefault="00AE2C77" w:rsidP="00AE2C77">
      <w:pPr>
        <w:pStyle w:val="Textoindependiente"/>
        <w:ind w:firstLine="708"/>
        <w:rPr>
          <w:rFonts w:ascii="Abadi" w:hAnsi="Abadi"/>
          <w:b w:val="0"/>
          <w:bCs w:val="0"/>
          <w:sz w:val="21"/>
          <w:szCs w:val="21"/>
        </w:rPr>
      </w:pPr>
    </w:p>
    <w:p w14:paraId="17F21B9C"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 xml:space="preserve">Por lo que hace a la observación establecida en el numeral 006, se concluyó que las documentales aportadas por los recurrentes resultaron insuficientes para su solventación, por los argumentos referidos en </w:t>
      </w:r>
      <w:r w:rsidRPr="00CD1A9F">
        <w:rPr>
          <w:rFonts w:ascii="Abadi" w:hAnsi="Abadi"/>
          <w:b w:val="0"/>
          <w:bCs w:val="0"/>
          <w:sz w:val="21"/>
          <w:szCs w:val="21"/>
        </w:rPr>
        <w:lastRenderedPageBreak/>
        <w:t>el considerando séptimo. En tal virtud, se confirmó el sentido de la valoración de la observación como no solventada, con acciones de impacto económico pendientes de realizar por el sujeto fiscalizado.</w:t>
      </w:r>
    </w:p>
    <w:p w14:paraId="3E19F162" w14:textId="77777777" w:rsidR="00AE2C77" w:rsidRPr="00CD1A9F" w:rsidRDefault="00AE2C77" w:rsidP="00AE2C77">
      <w:pPr>
        <w:pStyle w:val="Textoindependiente"/>
        <w:ind w:firstLine="708"/>
        <w:rPr>
          <w:rFonts w:ascii="Abadi" w:hAnsi="Abadi"/>
          <w:b w:val="0"/>
          <w:bCs w:val="0"/>
          <w:sz w:val="21"/>
          <w:szCs w:val="21"/>
        </w:rPr>
      </w:pPr>
    </w:p>
    <w:p w14:paraId="044E21E9" w14:textId="77777777" w:rsidR="00AE2C77" w:rsidRPr="00CD1A9F" w:rsidRDefault="00AE2C77" w:rsidP="00AE2C77">
      <w:pPr>
        <w:pStyle w:val="Textoindependiente"/>
        <w:ind w:firstLine="708"/>
        <w:rPr>
          <w:rFonts w:ascii="Abadi" w:hAnsi="Abadi"/>
          <w:b w:val="0"/>
          <w:bCs w:val="0"/>
          <w:sz w:val="21"/>
          <w:szCs w:val="21"/>
        </w:rPr>
      </w:pPr>
      <w:r w:rsidRPr="00CD1A9F">
        <w:rPr>
          <w:rFonts w:ascii="Abadi" w:hAnsi="Abadi"/>
          <w:b w:val="0"/>
          <w:bCs w:val="0"/>
          <w:sz w:val="21"/>
          <w:szCs w:val="21"/>
        </w:rPr>
        <w:t>En relación a la observación plasmada en el numeral 008, se determinó que los agravios hechos valer por los recurrentes resultaron infundados e inoperantes, por las razones expresadas en el considerando séptimo. En razón de lo cual se confirmó el sentido de la valoración de la observación como no solventada, con acciones de impacto económico pendientes de realizar por el sujeto fiscalizado.</w:t>
      </w:r>
    </w:p>
    <w:p w14:paraId="44778AF0" w14:textId="77777777" w:rsidR="00AE2C77" w:rsidRPr="00CD1A9F" w:rsidRDefault="00AE2C77" w:rsidP="00AE2C77">
      <w:pPr>
        <w:pStyle w:val="Textoindependiente"/>
        <w:ind w:firstLine="708"/>
        <w:rPr>
          <w:rFonts w:ascii="Abadi" w:hAnsi="Abadi"/>
          <w:b w:val="0"/>
          <w:bCs w:val="0"/>
          <w:sz w:val="21"/>
          <w:szCs w:val="21"/>
        </w:rPr>
      </w:pPr>
    </w:p>
    <w:p w14:paraId="67A16007" w14:textId="111AEBA5" w:rsidR="00CD1A9F" w:rsidRPr="00CD1A9F" w:rsidRDefault="00AE2C77" w:rsidP="00CD1A9F">
      <w:pPr>
        <w:pStyle w:val="Textoindependiente"/>
        <w:ind w:firstLine="708"/>
        <w:rPr>
          <w:rFonts w:ascii="Abadi" w:hAnsi="Abadi"/>
          <w:b w:val="0"/>
          <w:bCs w:val="0"/>
          <w:sz w:val="21"/>
          <w:szCs w:val="21"/>
        </w:rPr>
      </w:pPr>
      <w:r w:rsidRPr="00CD1A9F">
        <w:rPr>
          <w:rFonts w:ascii="Abadi" w:hAnsi="Abadi"/>
          <w:b w:val="0"/>
          <w:bCs w:val="0"/>
          <w:sz w:val="21"/>
          <w:szCs w:val="21"/>
        </w:rPr>
        <w:t>Respecto a la observación contenida en el numeral 009, se resolvió que las pruebas documentales aportadas por los recurrentes resultaron suficientes para modificar el complemento de su valoración</w:t>
      </w:r>
      <w:r w:rsidR="00CD1A9F" w:rsidRPr="00CD1A9F">
        <w:rPr>
          <w:rFonts w:ascii="Abadi" w:hAnsi="Abadi"/>
          <w:b w:val="0"/>
          <w:bCs w:val="0"/>
          <w:sz w:val="21"/>
          <w:szCs w:val="21"/>
        </w:rPr>
        <w:t xml:space="preserve"> confirmó el sentido de la valoración de la observación como no solventada, se modificó su complemento para quedar únicamente con acciones correctivas pendientes de realizar por el sujeto fiscalizado.</w:t>
      </w:r>
    </w:p>
    <w:p w14:paraId="34EDECE5" w14:textId="77777777" w:rsidR="00CD1A9F" w:rsidRPr="00CD1A9F" w:rsidRDefault="00CD1A9F" w:rsidP="00CD1A9F">
      <w:pPr>
        <w:pStyle w:val="Textoindependiente"/>
        <w:ind w:firstLine="708"/>
        <w:rPr>
          <w:rFonts w:ascii="Abadi" w:hAnsi="Abadi"/>
          <w:b w:val="0"/>
          <w:bCs w:val="0"/>
          <w:sz w:val="21"/>
          <w:szCs w:val="21"/>
        </w:rPr>
      </w:pPr>
    </w:p>
    <w:p w14:paraId="26A5ECCD" w14:textId="77777777" w:rsidR="00CD1A9F" w:rsidRPr="00CD1A9F" w:rsidRDefault="00CD1A9F" w:rsidP="00CD1A9F">
      <w:pPr>
        <w:pStyle w:val="Textoindependiente"/>
        <w:ind w:firstLine="708"/>
        <w:rPr>
          <w:rFonts w:ascii="Abadi" w:hAnsi="Abadi"/>
          <w:b w:val="0"/>
          <w:bCs w:val="0"/>
          <w:sz w:val="21"/>
          <w:szCs w:val="21"/>
        </w:rPr>
      </w:pPr>
      <w:r w:rsidRPr="00CD1A9F">
        <w:rPr>
          <w:rFonts w:ascii="Abadi" w:hAnsi="Abadi"/>
          <w:b w:val="0"/>
          <w:bCs w:val="0"/>
          <w:sz w:val="21"/>
          <w:szCs w:val="21"/>
        </w:rPr>
        <w:t>Finalmente, en cuanto a las recomendaciones establecidas en los numerales 001, 002 y 003, se concluyó que las manifestaciones hechas valer por los recurrentes resultaron insuficientes, de acuerdo a lo señalado en el considerando séptimo. En consecuencia, se confirmó el sentido de su valoración como no atendidas.</w:t>
      </w:r>
    </w:p>
    <w:p w14:paraId="467A459F" w14:textId="77777777" w:rsidR="00CD1A9F" w:rsidRPr="00CD1A9F" w:rsidRDefault="00CD1A9F" w:rsidP="00CD1A9F">
      <w:pPr>
        <w:pStyle w:val="Textoindependiente"/>
        <w:ind w:firstLine="708"/>
        <w:rPr>
          <w:rFonts w:ascii="Abadi" w:hAnsi="Abadi"/>
          <w:b w:val="0"/>
          <w:bCs w:val="0"/>
          <w:sz w:val="21"/>
          <w:szCs w:val="21"/>
        </w:rPr>
      </w:pPr>
    </w:p>
    <w:p w14:paraId="5BCDB3BC" w14:textId="77777777" w:rsidR="00CD1A9F" w:rsidRPr="00CD1A9F" w:rsidRDefault="00CD1A9F" w:rsidP="00CD1A9F">
      <w:pPr>
        <w:pStyle w:val="Textoindependiente"/>
        <w:ind w:firstLine="708"/>
        <w:rPr>
          <w:rFonts w:ascii="Abadi" w:hAnsi="Abadi"/>
          <w:b w:val="0"/>
          <w:bCs w:val="0"/>
          <w:sz w:val="21"/>
          <w:szCs w:val="21"/>
        </w:rPr>
      </w:pPr>
      <w:r w:rsidRPr="00CD1A9F">
        <w:rPr>
          <w:rFonts w:ascii="Abadi" w:hAnsi="Abadi"/>
          <w:b w:val="0"/>
          <w:bCs w:val="0"/>
          <w:sz w:val="21"/>
          <w:szCs w:val="21"/>
        </w:rPr>
        <w:t xml:space="preserve">La referida resolución se notificó al presidente y a la ex presidenta municipales de Pueblo Nuevo, </w:t>
      </w:r>
      <w:proofErr w:type="spellStart"/>
      <w:r w:rsidRPr="00CD1A9F">
        <w:rPr>
          <w:rFonts w:ascii="Abadi" w:hAnsi="Abadi"/>
          <w:b w:val="0"/>
          <w:bCs w:val="0"/>
          <w:sz w:val="21"/>
          <w:szCs w:val="21"/>
        </w:rPr>
        <w:t>Gto</w:t>
      </w:r>
      <w:proofErr w:type="spellEnd"/>
      <w:r w:rsidRPr="00CD1A9F">
        <w:rPr>
          <w:rFonts w:ascii="Abadi" w:hAnsi="Abadi"/>
          <w:b w:val="0"/>
          <w:bCs w:val="0"/>
          <w:sz w:val="21"/>
          <w:szCs w:val="21"/>
        </w:rPr>
        <w:t>., el 13 de abril de 2023.</w:t>
      </w:r>
    </w:p>
    <w:p w14:paraId="4DCAE0EA" w14:textId="7D751E5E" w:rsidR="00AE2C77" w:rsidRPr="00CD1A9F" w:rsidRDefault="00AE2C77" w:rsidP="00CD1A9F">
      <w:pPr>
        <w:pStyle w:val="Textoindependiente"/>
        <w:ind w:firstLine="708"/>
        <w:rPr>
          <w:rFonts w:ascii="Abadi" w:hAnsi="Abadi"/>
          <w:b w:val="0"/>
          <w:bCs w:val="0"/>
          <w:sz w:val="21"/>
          <w:szCs w:val="21"/>
        </w:rPr>
      </w:pPr>
      <w:r w:rsidRPr="00F024AF">
        <w:rPr>
          <w:rFonts w:ascii="Abadi" w:hAnsi="Abadi"/>
          <w:sz w:val="21"/>
          <w:szCs w:val="21"/>
        </w:rPr>
        <w:t xml:space="preserve">, por las razones establecidas en el considerando séptimo. En consecuencia, aun cuando se </w:t>
      </w:r>
    </w:p>
    <w:p w14:paraId="7B233CE8" w14:textId="77777777" w:rsidR="00AE2C77" w:rsidRPr="00F024AF" w:rsidRDefault="00AE2C77" w:rsidP="00AE2C77">
      <w:pPr>
        <w:pStyle w:val="Textoindependiente"/>
        <w:ind w:firstLine="705"/>
        <w:rPr>
          <w:rFonts w:ascii="Abadi" w:hAnsi="Abadi"/>
          <w:sz w:val="21"/>
          <w:szCs w:val="21"/>
        </w:rPr>
      </w:pPr>
    </w:p>
    <w:p w14:paraId="11E49090" w14:textId="77777777" w:rsidR="00AE2C77" w:rsidRPr="00F024AF" w:rsidRDefault="00AE2C77" w:rsidP="00427BD6">
      <w:pPr>
        <w:pStyle w:val="Textoindependiente"/>
        <w:numPr>
          <w:ilvl w:val="0"/>
          <w:numId w:val="9"/>
        </w:numPr>
        <w:autoSpaceDE/>
        <w:autoSpaceDN/>
        <w:rPr>
          <w:rFonts w:ascii="Abadi" w:hAnsi="Abadi"/>
          <w:b w:val="0"/>
          <w:bCs w:val="0"/>
          <w:sz w:val="21"/>
          <w:szCs w:val="21"/>
        </w:rPr>
      </w:pPr>
      <w:r w:rsidRPr="00F024AF">
        <w:rPr>
          <w:rFonts w:ascii="Abadi" w:hAnsi="Abadi"/>
          <w:b w:val="0"/>
          <w:bCs w:val="0"/>
          <w:sz w:val="21"/>
          <w:szCs w:val="21"/>
        </w:rPr>
        <w:t xml:space="preserve">Anexos. </w:t>
      </w:r>
    </w:p>
    <w:p w14:paraId="088A9698" w14:textId="77777777" w:rsidR="00AE2C77" w:rsidRPr="00F024AF" w:rsidRDefault="00AE2C77" w:rsidP="00AE2C77">
      <w:pPr>
        <w:pStyle w:val="Textoindependiente"/>
        <w:ind w:firstLine="705"/>
        <w:rPr>
          <w:rFonts w:ascii="Abadi" w:hAnsi="Abadi"/>
          <w:sz w:val="21"/>
          <w:szCs w:val="21"/>
        </w:rPr>
      </w:pPr>
    </w:p>
    <w:p w14:paraId="47BFF420" w14:textId="77777777" w:rsidR="00AE2C77" w:rsidRPr="00CD1A9F" w:rsidRDefault="00AE2C77" w:rsidP="00AE2C77">
      <w:pPr>
        <w:pStyle w:val="Textoindependiente"/>
        <w:ind w:firstLine="705"/>
        <w:rPr>
          <w:rFonts w:ascii="Abadi" w:hAnsi="Abadi"/>
          <w:b w:val="0"/>
          <w:bCs w:val="0"/>
          <w:sz w:val="21"/>
          <w:szCs w:val="21"/>
        </w:rPr>
      </w:pPr>
      <w:r w:rsidRPr="00CD1A9F">
        <w:rPr>
          <w:rFonts w:ascii="Abadi" w:hAnsi="Abadi"/>
          <w:b w:val="0"/>
          <w:bCs w:val="0"/>
          <w:sz w:val="21"/>
          <w:szCs w:val="21"/>
        </w:rPr>
        <w:t>En esta parte, se adjuntan los anexos técnicos derivados de la revisión practicada.</w:t>
      </w:r>
    </w:p>
    <w:p w14:paraId="2A053E3A" w14:textId="77777777" w:rsidR="00AE2C77" w:rsidRPr="00F024AF" w:rsidRDefault="00AE2C77" w:rsidP="00AE2C77">
      <w:pPr>
        <w:pStyle w:val="Textoindependiente"/>
        <w:ind w:firstLine="705"/>
        <w:rPr>
          <w:rFonts w:ascii="Abadi" w:hAnsi="Abadi"/>
          <w:sz w:val="21"/>
          <w:szCs w:val="21"/>
        </w:rPr>
      </w:pPr>
    </w:p>
    <w:p w14:paraId="72B52D91" w14:textId="77777777" w:rsidR="00AE2C77" w:rsidRPr="00F024AF" w:rsidRDefault="00AE2C77" w:rsidP="00AE2C77">
      <w:pPr>
        <w:ind w:firstLine="708"/>
        <w:jc w:val="both"/>
        <w:rPr>
          <w:rFonts w:ascii="Abadi" w:hAnsi="Abadi" w:cs="Arial"/>
          <w:b/>
          <w:bCs/>
          <w:sz w:val="21"/>
          <w:szCs w:val="21"/>
        </w:rPr>
      </w:pPr>
      <w:r w:rsidRPr="00F024AF">
        <w:rPr>
          <w:rFonts w:ascii="Abadi" w:hAnsi="Abadi" w:cs="Arial"/>
          <w:b/>
          <w:bCs/>
          <w:sz w:val="21"/>
          <w:szCs w:val="21"/>
        </w:rPr>
        <w:t>V. Conclusiones:</w:t>
      </w:r>
    </w:p>
    <w:p w14:paraId="2BA20498" w14:textId="77777777" w:rsidR="00AE2C77" w:rsidRPr="00F024AF" w:rsidRDefault="00AE2C77" w:rsidP="00AE2C77">
      <w:pPr>
        <w:jc w:val="both"/>
        <w:rPr>
          <w:rFonts w:ascii="Abadi" w:hAnsi="Abadi" w:cs="Arial"/>
          <w:sz w:val="21"/>
          <w:szCs w:val="21"/>
        </w:rPr>
      </w:pPr>
    </w:p>
    <w:p w14:paraId="01970ADF" w14:textId="77777777" w:rsidR="00AE2C77" w:rsidRPr="00F024AF" w:rsidRDefault="00AE2C77" w:rsidP="00AE2C77">
      <w:pPr>
        <w:jc w:val="both"/>
        <w:rPr>
          <w:rFonts w:ascii="Abadi" w:hAnsi="Abadi" w:cs="Arial"/>
          <w:sz w:val="21"/>
          <w:szCs w:val="21"/>
        </w:rPr>
      </w:pPr>
      <w:r w:rsidRPr="00F024AF">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F024AF">
          <w:rPr>
            <w:rFonts w:ascii="Abadi" w:hAnsi="Abadi" w:cs="Arial"/>
            <w:sz w:val="21"/>
            <w:szCs w:val="21"/>
          </w:rPr>
          <w:t>la Ley</w:t>
        </w:r>
      </w:smartTag>
      <w:r w:rsidRPr="00F024AF">
        <w:rPr>
          <w:rFonts w:ascii="Abadi" w:hAnsi="Abadi" w:cs="Arial"/>
          <w:sz w:val="21"/>
          <w:szCs w:val="21"/>
        </w:rPr>
        <w:t xml:space="preserve"> de Fiscalización Superior del Estado de Guanajuato establece que los informes de </w:t>
      </w:r>
      <w:r w:rsidRPr="00F024AF">
        <w:rPr>
          <w:rFonts w:ascii="Abadi" w:hAnsi="Abadi" w:cs="Arial"/>
          <w:sz w:val="21"/>
          <w:szCs w:val="21"/>
        </w:rPr>
        <w:t xml:space="preserve">resultados únicamente podrán ser observados por las dos terceras partes de los diputados integrantes del Congreso, cuando no se observen las formalidades esenciales del proceso de fiscalización. </w:t>
      </w:r>
    </w:p>
    <w:p w14:paraId="1A88C3B6" w14:textId="77777777" w:rsidR="00AE2C77" w:rsidRPr="00F024AF" w:rsidRDefault="00AE2C77" w:rsidP="00AE2C77">
      <w:pPr>
        <w:jc w:val="both"/>
        <w:rPr>
          <w:rFonts w:ascii="Abadi" w:hAnsi="Abadi" w:cs="Arial"/>
          <w:sz w:val="21"/>
          <w:szCs w:val="21"/>
        </w:rPr>
      </w:pPr>
    </w:p>
    <w:p w14:paraId="0BC8E787" w14:textId="77777777" w:rsidR="00AE2C77" w:rsidRPr="00F024AF" w:rsidRDefault="00AE2C77" w:rsidP="00AE2C77">
      <w:pPr>
        <w:jc w:val="both"/>
        <w:rPr>
          <w:rFonts w:ascii="Abadi" w:hAnsi="Abadi" w:cs="Arial"/>
          <w:sz w:val="21"/>
          <w:szCs w:val="21"/>
        </w:rPr>
      </w:pPr>
      <w:r w:rsidRPr="00F024AF">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3566CCD2" w14:textId="77777777" w:rsidR="00AE2C77" w:rsidRPr="00F024AF" w:rsidRDefault="00AE2C77" w:rsidP="00AE2C77">
      <w:pPr>
        <w:jc w:val="both"/>
        <w:rPr>
          <w:rFonts w:ascii="Abadi" w:hAnsi="Abadi" w:cs="Arial"/>
          <w:sz w:val="21"/>
          <w:szCs w:val="21"/>
        </w:rPr>
      </w:pPr>
    </w:p>
    <w:p w14:paraId="43CC5AE9"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y a la ex presidenta municipales de Pueblo Nuevo, </w:t>
      </w:r>
      <w:proofErr w:type="spellStart"/>
      <w:r w:rsidRPr="00F024AF">
        <w:rPr>
          <w:rFonts w:ascii="Abadi" w:hAnsi="Abadi" w:cs="Arial"/>
          <w:sz w:val="21"/>
          <w:szCs w:val="21"/>
        </w:rPr>
        <w:t>Gto</w:t>
      </w:r>
      <w:proofErr w:type="spellEnd"/>
      <w:r w:rsidRPr="00F024AF">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F024AF">
          <w:rPr>
            <w:rFonts w:ascii="Abadi" w:hAnsi="Abadi" w:cs="Arial"/>
            <w:sz w:val="21"/>
            <w:szCs w:val="21"/>
          </w:rPr>
          <w:t>la Ley</w:t>
        </w:r>
      </w:smartTag>
      <w:r w:rsidRPr="00F024AF">
        <w:rPr>
          <w:rFonts w:ascii="Abadi" w:hAnsi="Abadi" w:cs="Arial"/>
          <w:sz w:val="21"/>
          <w:szCs w:val="21"/>
        </w:rPr>
        <w:t xml:space="preserve"> para aclarar, atender o solventar documentalmente las observaciones determinadas y las recomendaciones formuladas por el Órgano Técnico. Al respecto cabe mencionar que no se dio respuesta al pliego de observaciones y recomendaciones por parte del sujeto fiscalizado.</w:t>
      </w:r>
    </w:p>
    <w:p w14:paraId="11C86ADF" w14:textId="77777777" w:rsidR="00AE2C77" w:rsidRPr="00F024AF" w:rsidRDefault="00AE2C77" w:rsidP="00AE2C77">
      <w:pPr>
        <w:ind w:firstLine="708"/>
        <w:jc w:val="both"/>
        <w:rPr>
          <w:rFonts w:ascii="Abadi" w:hAnsi="Abadi" w:cs="Arial"/>
          <w:sz w:val="21"/>
          <w:szCs w:val="21"/>
        </w:rPr>
      </w:pPr>
    </w:p>
    <w:p w14:paraId="50B8B8C3"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De igual manera, existe en el informe de resultados la constancia de que este se notificó al presidente y a la ex presidenta municipales de Pueblo Nuevo, </w:t>
      </w:r>
      <w:proofErr w:type="spellStart"/>
      <w:r w:rsidRPr="00F024AF">
        <w:rPr>
          <w:rFonts w:ascii="Abadi" w:hAnsi="Abadi" w:cs="Arial"/>
          <w:sz w:val="21"/>
          <w:szCs w:val="21"/>
        </w:rPr>
        <w:t>Gto</w:t>
      </w:r>
      <w:proofErr w:type="spellEnd"/>
      <w:r w:rsidRPr="00F024AF">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F024AF">
          <w:rPr>
            <w:rFonts w:ascii="Abadi" w:hAnsi="Abadi" w:cs="Arial"/>
            <w:sz w:val="21"/>
            <w:szCs w:val="21"/>
          </w:rPr>
          <w:t>la Ley</w:t>
        </w:r>
      </w:smartTag>
      <w:r w:rsidRPr="00F024AF">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y a la ex presidenta municipales de Pueblo Nuevo, </w:t>
      </w:r>
      <w:proofErr w:type="spellStart"/>
      <w:r w:rsidRPr="00F024AF">
        <w:rPr>
          <w:rFonts w:ascii="Abadi" w:hAnsi="Abadi" w:cs="Arial"/>
          <w:sz w:val="21"/>
          <w:szCs w:val="21"/>
        </w:rPr>
        <w:t>Gto</w:t>
      </w:r>
      <w:proofErr w:type="spellEnd"/>
      <w:r w:rsidRPr="00F024AF">
        <w:rPr>
          <w:rFonts w:ascii="Abadi" w:hAnsi="Abadi" w:cs="Arial"/>
          <w:sz w:val="21"/>
          <w:szCs w:val="21"/>
        </w:rPr>
        <w:t>. En tal virtud, se considera que fue respetado el derecho de audiencia o defensa por parte del Órgano Técnico.</w:t>
      </w:r>
    </w:p>
    <w:p w14:paraId="5995032E" w14:textId="77777777" w:rsidR="00AE2C77" w:rsidRPr="00F024AF" w:rsidRDefault="00AE2C77" w:rsidP="00AE2C77">
      <w:pPr>
        <w:ind w:firstLine="708"/>
        <w:jc w:val="both"/>
        <w:rPr>
          <w:rFonts w:ascii="Abadi" w:hAnsi="Abadi" w:cs="Arial"/>
          <w:sz w:val="21"/>
          <w:szCs w:val="21"/>
        </w:rPr>
      </w:pPr>
    </w:p>
    <w:p w14:paraId="44A7DC98" w14:textId="77777777" w:rsidR="00AE2C77" w:rsidRPr="00F024AF" w:rsidRDefault="00AE2C77" w:rsidP="00AE2C77">
      <w:pPr>
        <w:ind w:firstLine="708"/>
        <w:jc w:val="both"/>
        <w:rPr>
          <w:rFonts w:ascii="Abadi" w:hAnsi="Abadi" w:cs="Arial"/>
          <w:sz w:val="21"/>
          <w:szCs w:val="21"/>
        </w:rPr>
      </w:pPr>
    </w:p>
    <w:p w14:paraId="76C687BC"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Por otra parte, del informe de resultados podemos inferir que el Órgano Técnico en el desarrollo del procedimiento de revisión dio cumplimiento a las formalidades </w:t>
      </w:r>
      <w:r w:rsidRPr="00F024AF">
        <w:rPr>
          <w:rFonts w:ascii="Abadi" w:hAnsi="Abadi" w:cs="Arial"/>
          <w:sz w:val="21"/>
          <w:szCs w:val="21"/>
        </w:rPr>
        <w:lastRenderedPageBreak/>
        <w:t>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952334E" w14:textId="77777777" w:rsidR="00AE2C77" w:rsidRPr="00F024AF" w:rsidRDefault="00AE2C77" w:rsidP="00AE2C77">
      <w:pPr>
        <w:ind w:firstLine="708"/>
        <w:jc w:val="both"/>
        <w:rPr>
          <w:rFonts w:ascii="Abadi" w:hAnsi="Abadi" w:cs="Arial"/>
          <w:sz w:val="21"/>
          <w:szCs w:val="21"/>
        </w:rPr>
      </w:pPr>
    </w:p>
    <w:p w14:paraId="2187027E"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377565E" w14:textId="77777777" w:rsidR="00AE2C77" w:rsidRPr="00F024AF" w:rsidRDefault="00AE2C77" w:rsidP="00AE2C77">
      <w:pPr>
        <w:jc w:val="both"/>
        <w:rPr>
          <w:rFonts w:ascii="Abadi" w:hAnsi="Abadi" w:cs="Arial"/>
          <w:sz w:val="21"/>
          <w:szCs w:val="21"/>
        </w:rPr>
      </w:pPr>
    </w:p>
    <w:p w14:paraId="24392FA3"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40E551BD" w14:textId="77777777" w:rsidR="00AE2C77" w:rsidRPr="00F024AF" w:rsidRDefault="00AE2C77" w:rsidP="00AE2C77">
      <w:pPr>
        <w:ind w:firstLine="708"/>
        <w:jc w:val="both"/>
        <w:rPr>
          <w:rFonts w:ascii="Abadi" w:hAnsi="Abadi" w:cs="Arial"/>
          <w:sz w:val="21"/>
          <w:szCs w:val="21"/>
        </w:rPr>
      </w:pPr>
    </w:p>
    <w:p w14:paraId="387D8B1D"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w:t>
      </w:r>
      <w:r w:rsidRPr="00F024AF">
        <w:rPr>
          <w:rFonts w:ascii="Abadi" w:hAnsi="Abadi" w:cs="Arial"/>
          <w:sz w:val="21"/>
          <w:szCs w:val="21"/>
        </w:rPr>
        <w:t>justas, pacíficas e inclusivas, respecto a la meta 16.6 Crear a todos los niveles instituciones eficaces y transparentes, al abonar a la transparencia y rendición de cuentas.</w:t>
      </w:r>
    </w:p>
    <w:p w14:paraId="434EAE01" w14:textId="77777777" w:rsidR="00AE2C77" w:rsidRPr="00F024AF" w:rsidRDefault="00AE2C77" w:rsidP="00AE2C77">
      <w:pPr>
        <w:ind w:firstLine="708"/>
        <w:jc w:val="both"/>
        <w:rPr>
          <w:rFonts w:ascii="Abadi" w:hAnsi="Abadi" w:cs="Arial"/>
          <w:sz w:val="21"/>
          <w:szCs w:val="21"/>
        </w:rPr>
      </w:pPr>
    </w:p>
    <w:p w14:paraId="3C76275E" w14:textId="77777777" w:rsidR="00AE2C77" w:rsidRPr="00F024AF" w:rsidRDefault="00AE2C77" w:rsidP="00AE2C77">
      <w:pPr>
        <w:ind w:firstLine="708"/>
        <w:jc w:val="both"/>
        <w:rPr>
          <w:rFonts w:ascii="Abadi" w:hAnsi="Abadi" w:cs="Arial"/>
          <w:sz w:val="21"/>
          <w:szCs w:val="21"/>
        </w:rPr>
      </w:pPr>
    </w:p>
    <w:p w14:paraId="1BD1142C"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En razón de lo anteriormente señalado, concluimos que el informe de resultados de la revisión practicada a la cuenta pública municipal de Pueblo Nuevo, </w:t>
      </w:r>
      <w:proofErr w:type="spellStart"/>
      <w:r w:rsidRPr="00F024AF">
        <w:rPr>
          <w:rFonts w:ascii="Abadi" w:hAnsi="Abadi" w:cs="Arial"/>
          <w:sz w:val="21"/>
          <w:szCs w:val="21"/>
        </w:rPr>
        <w:t>Gto</w:t>
      </w:r>
      <w:proofErr w:type="spellEnd"/>
      <w:r w:rsidRPr="00F024AF">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024AF">
          <w:rPr>
            <w:rFonts w:ascii="Abadi" w:hAnsi="Abadi" w:cs="Arial"/>
            <w:sz w:val="21"/>
            <w:szCs w:val="21"/>
          </w:rPr>
          <w:t>la Ley</w:t>
        </w:r>
      </w:smartTag>
      <w:r w:rsidRPr="00F024AF">
        <w:rPr>
          <w:rFonts w:ascii="Abadi" w:hAnsi="Abadi" w:cs="Arial"/>
          <w:sz w:val="21"/>
          <w:szCs w:val="21"/>
        </w:rPr>
        <w:t xml:space="preserve"> de Fiscalización Superior del Estado de Guanajuato, razón por la cual no podría ser observado por el Pleno del Congreso.</w:t>
      </w:r>
    </w:p>
    <w:p w14:paraId="3EFF995A" w14:textId="77777777" w:rsidR="00AE2C77" w:rsidRPr="00F024AF" w:rsidRDefault="00AE2C77" w:rsidP="00AE2C77">
      <w:pPr>
        <w:pStyle w:val="Sangra3detindependiente"/>
        <w:spacing w:line="240" w:lineRule="auto"/>
        <w:rPr>
          <w:rFonts w:ascii="Abadi" w:hAnsi="Abadi"/>
          <w:sz w:val="21"/>
          <w:szCs w:val="21"/>
        </w:rPr>
      </w:pPr>
    </w:p>
    <w:p w14:paraId="6EAAE277" w14:textId="77777777" w:rsidR="00AE2C77" w:rsidRPr="00F024AF" w:rsidRDefault="00AE2C77" w:rsidP="00AE2C77">
      <w:pPr>
        <w:pStyle w:val="Sangra3detindependiente"/>
        <w:spacing w:line="240" w:lineRule="auto"/>
        <w:rPr>
          <w:rFonts w:ascii="Abadi" w:hAnsi="Abadi"/>
          <w:sz w:val="21"/>
          <w:szCs w:val="21"/>
        </w:rPr>
      </w:pPr>
      <w:r w:rsidRPr="00F024AF">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024AF">
          <w:rPr>
            <w:rFonts w:ascii="Abadi" w:hAnsi="Abadi"/>
            <w:sz w:val="21"/>
            <w:szCs w:val="21"/>
          </w:rPr>
          <w:t>la Ley Orgánica</w:t>
        </w:r>
      </w:smartTag>
      <w:r w:rsidRPr="00F024AF">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024AF">
          <w:rPr>
            <w:rFonts w:ascii="Abadi" w:hAnsi="Abadi"/>
            <w:sz w:val="21"/>
            <w:szCs w:val="21"/>
          </w:rPr>
          <w:t>la Asamblea</w:t>
        </w:r>
      </w:smartTag>
      <w:r w:rsidRPr="00F024AF">
        <w:rPr>
          <w:rFonts w:ascii="Abadi" w:hAnsi="Abadi"/>
          <w:sz w:val="21"/>
          <w:szCs w:val="21"/>
        </w:rPr>
        <w:t>, la aprobación del siguiente:</w:t>
      </w:r>
    </w:p>
    <w:p w14:paraId="2CBEE817" w14:textId="77777777" w:rsidR="00AE2C77" w:rsidRPr="00F024AF" w:rsidRDefault="00AE2C77" w:rsidP="00AE2C77">
      <w:pPr>
        <w:pStyle w:val="Ttulo1"/>
        <w:jc w:val="center"/>
        <w:rPr>
          <w:rFonts w:ascii="Abadi" w:hAnsi="Abadi" w:cs="Arial"/>
          <w:smallCaps/>
          <w:sz w:val="21"/>
          <w:szCs w:val="21"/>
        </w:rPr>
      </w:pPr>
    </w:p>
    <w:p w14:paraId="32DA93BF" w14:textId="77777777" w:rsidR="00AE2C77" w:rsidRPr="00F024AF" w:rsidRDefault="00AE2C77" w:rsidP="00AE2C77">
      <w:pPr>
        <w:pStyle w:val="Ttulo1"/>
        <w:jc w:val="center"/>
        <w:rPr>
          <w:rFonts w:ascii="Abadi" w:hAnsi="Abadi" w:cs="Arial"/>
          <w:smallCaps/>
          <w:sz w:val="21"/>
          <w:szCs w:val="21"/>
        </w:rPr>
      </w:pPr>
      <w:r w:rsidRPr="00F024AF">
        <w:rPr>
          <w:rFonts w:ascii="Abadi" w:hAnsi="Abadi" w:cs="Arial"/>
          <w:smallCaps/>
          <w:sz w:val="21"/>
          <w:szCs w:val="21"/>
        </w:rPr>
        <w:t>A c u e r d o</w:t>
      </w:r>
    </w:p>
    <w:p w14:paraId="0662D49E" w14:textId="77777777" w:rsidR="00AE2C77" w:rsidRPr="00F024AF" w:rsidRDefault="00AE2C77" w:rsidP="00AE2C77">
      <w:pPr>
        <w:rPr>
          <w:rFonts w:ascii="Abadi" w:hAnsi="Abadi"/>
          <w:sz w:val="21"/>
          <w:szCs w:val="21"/>
        </w:rPr>
      </w:pPr>
    </w:p>
    <w:p w14:paraId="188356CA" w14:textId="77777777" w:rsidR="00AE2C77" w:rsidRPr="00F024AF" w:rsidRDefault="00AE2C77" w:rsidP="00AE2C77">
      <w:pPr>
        <w:ind w:firstLine="708"/>
        <w:jc w:val="both"/>
        <w:rPr>
          <w:rFonts w:ascii="Abadi" w:hAnsi="Abadi" w:cs="Arial"/>
          <w:sz w:val="21"/>
          <w:szCs w:val="21"/>
        </w:rPr>
      </w:pPr>
      <w:r w:rsidRPr="00F024AF">
        <w:rPr>
          <w:rFonts w:ascii="Abadi" w:hAnsi="Abadi" w:cs="Arial"/>
          <w:b/>
          <w:bCs/>
          <w:sz w:val="21"/>
          <w:szCs w:val="21"/>
        </w:rPr>
        <w:t xml:space="preserve">Único. </w:t>
      </w:r>
      <w:r w:rsidRPr="00F024AF">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F024AF">
          <w:rPr>
            <w:rFonts w:ascii="Abadi" w:hAnsi="Abadi" w:cs="Arial"/>
            <w:sz w:val="21"/>
            <w:szCs w:val="21"/>
          </w:rPr>
          <w:t>la Constitución Política</w:t>
        </w:r>
      </w:smartTag>
      <w:r w:rsidRPr="00F024AF">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Pueblo Nuevo, </w:t>
      </w:r>
      <w:proofErr w:type="spellStart"/>
      <w:r w:rsidRPr="00F024AF">
        <w:rPr>
          <w:rFonts w:ascii="Abadi" w:hAnsi="Abadi" w:cs="Arial"/>
          <w:sz w:val="21"/>
          <w:szCs w:val="21"/>
        </w:rPr>
        <w:t>Gto</w:t>
      </w:r>
      <w:proofErr w:type="spellEnd"/>
      <w:r w:rsidRPr="00F024AF">
        <w:rPr>
          <w:rFonts w:ascii="Abadi" w:hAnsi="Abadi" w:cs="Arial"/>
          <w:sz w:val="21"/>
          <w:szCs w:val="21"/>
        </w:rPr>
        <w:t>., correspondiente al ejercicio fiscal del año 2021, con base en el informe de resultados formulado por la Auditoría Superior del Estado de Guanajuato.</w:t>
      </w:r>
    </w:p>
    <w:p w14:paraId="01A54F5D" w14:textId="77777777" w:rsidR="00AE2C77" w:rsidRPr="00F024AF" w:rsidRDefault="00AE2C77" w:rsidP="00AE2C77">
      <w:pPr>
        <w:ind w:firstLine="708"/>
        <w:jc w:val="both"/>
        <w:rPr>
          <w:rFonts w:ascii="Abadi" w:hAnsi="Abadi" w:cs="Arial"/>
          <w:sz w:val="21"/>
          <w:szCs w:val="21"/>
        </w:rPr>
      </w:pPr>
    </w:p>
    <w:p w14:paraId="3DE25D4E" w14:textId="77777777" w:rsidR="00AE2C77" w:rsidRPr="00F024AF" w:rsidRDefault="00AE2C77" w:rsidP="00AE2C77">
      <w:pPr>
        <w:pStyle w:val="Sangra3detindependiente"/>
        <w:spacing w:line="240" w:lineRule="auto"/>
        <w:rPr>
          <w:rFonts w:ascii="Abadi" w:hAnsi="Abadi"/>
          <w:sz w:val="21"/>
          <w:szCs w:val="21"/>
          <w:lang w:val="es-MX"/>
        </w:rPr>
      </w:pPr>
      <w:r w:rsidRPr="00F024AF">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F024AF">
        <w:rPr>
          <w:rFonts w:ascii="Abadi" w:hAnsi="Abadi"/>
          <w:sz w:val="21"/>
          <w:szCs w:val="21"/>
          <w:lang w:val="es-MX"/>
        </w:rPr>
        <w:t>.</w:t>
      </w:r>
      <w:r w:rsidRPr="00F024AF">
        <w:rPr>
          <w:rFonts w:ascii="Abadi" w:hAnsi="Abadi"/>
          <w:sz w:val="21"/>
          <w:szCs w:val="21"/>
        </w:rPr>
        <w:t xml:space="preserve"> </w:t>
      </w:r>
      <w:r w:rsidRPr="00F024AF">
        <w:rPr>
          <w:rFonts w:ascii="Abadi" w:hAnsi="Abadi"/>
          <w:sz w:val="21"/>
          <w:szCs w:val="21"/>
          <w:lang w:val="es-MX"/>
        </w:rPr>
        <w:t>Asimismo, dará</w:t>
      </w:r>
      <w:r w:rsidRPr="00F024AF">
        <w:rPr>
          <w:rFonts w:ascii="Abadi" w:hAnsi="Abadi"/>
          <w:sz w:val="21"/>
          <w:szCs w:val="21"/>
        </w:rPr>
        <w:t xml:space="preserve"> seguimiento a la</w:t>
      </w:r>
      <w:r w:rsidRPr="00F024AF">
        <w:rPr>
          <w:rFonts w:ascii="Abadi" w:hAnsi="Abadi"/>
          <w:sz w:val="21"/>
          <w:szCs w:val="21"/>
          <w:lang w:val="es-MX"/>
        </w:rPr>
        <w:t>s</w:t>
      </w:r>
      <w:r w:rsidRPr="00F024AF">
        <w:rPr>
          <w:rFonts w:ascii="Abadi" w:hAnsi="Abadi"/>
          <w:sz w:val="21"/>
          <w:szCs w:val="21"/>
        </w:rPr>
        <w:t xml:space="preserve"> </w:t>
      </w:r>
      <w:proofErr w:type="spellStart"/>
      <w:r w:rsidRPr="00F024AF">
        <w:rPr>
          <w:rFonts w:ascii="Abadi" w:hAnsi="Abadi"/>
          <w:sz w:val="21"/>
          <w:szCs w:val="21"/>
        </w:rPr>
        <w:t>observaci</w:t>
      </w:r>
      <w:r w:rsidRPr="00F024AF">
        <w:rPr>
          <w:rFonts w:ascii="Abadi" w:hAnsi="Abadi"/>
          <w:sz w:val="21"/>
          <w:szCs w:val="21"/>
          <w:lang w:val="es-MX"/>
        </w:rPr>
        <w:t>ones</w:t>
      </w:r>
      <w:proofErr w:type="spellEnd"/>
      <w:r w:rsidRPr="00F024AF">
        <w:rPr>
          <w:rFonts w:ascii="Abadi" w:hAnsi="Abadi"/>
          <w:sz w:val="21"/>
          <w:szCs w:val="21"/>
        </w:rPr>
        <w:t xml:space="preserve"> no solventada</w:t>
      </w:r>
      <w:r w:rsidRPr="00F024AF">
        <w:rPr>
          <w:rFonts w:ascii="Abadi" w:hAnsi="Abadi"/>
          <w:sz w:val="21"/>
          <w:szCs w:val="21"/>
          <w:lang w:val="es-MX"/>
        </w:rPr>
        <w:t>s</w:t>
      </w:r>
      <w:r w:rsidRPr="00F024AF">
        <w:rPr>
          <w:rFonts w:ascii="Abadi" w:hAnsi="Abadi"/>
          <w:sz w:val="21"/>
          <w:szCs w:val="21"/>
        </w:rPr>
        <w:t xml:space="preserve"> </w:t>
      </w:r>
      <w:r w:rsidRPr="00F024AF">
        <w:rPr>
          <w:rFonts w:ascii="Abadi" w:hAnsi="Abadi"/>
          <w:sz w:val="21"/>
          <w:szCs w:val="21"/>
          <w:lang w:val="es-MX"/>
        </w:rPr>
        <w:t xml:space="preserve">y a las recomendaciones no atendidas </w:t>
      </w:r>
      <w:r w:rsidRPr="00F024AF">
        <w:rPr>
          <w:rFonts w:ascii="Abadi" w:hAnsi="Abadi"/>
          <w:sz w:val="21"/>
          <w:szCs w:val="21"/>
        </w:rPr>
        <w:t>contenidas en el informe de resultados</w:t>
      </w:r>
      <w:r w:rsidRPr="00F024AF">
        <w:rPr>
          <w:rFonts w:ascii="Abadi" w:hAnsi="Abadi"/>
          <w:sz w:val="21"/>
          <w:szCs w:val="21"/>
          <w:lang w:val="es-MX"/>
        </w:rPr>
        <w:t>.</w:t>
      </w:r>
    </w:p>
    <w:p w14:paraId="30224DDC" w14:textId="77777777" w:rsidR="00AE2C77" w:rsidRPr="00F024AF" w:rsidRDefault="00AE2C77" w:rsidP="00AE2C77">
      <w:pPr>
        <w:pStyle w:val="Sangra3detindependiente"/>
        <w:spacing w:line="240" w:lineRule="auto"/>
        <w:rPr>
          <w:rFonts w:ascii="Abadi" w:hAnsi="Abadi"/>
          <w:sz w:val="21"/>
          <w:szCs w:val="21"/>
          <w:lang w:val="es-MX"/>
        </w:rPr>
      </w:pPr>
    </w:p>
    <w:p w14:paraId="2F11ABAB"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 xml:space="preserve">Se ordena dar vista del informe de resultados al ayuntamiento del municipio de </w:t>
      </w:r>
      <w:r w:rsidRPr="00F024AF">
        <w:rPr>
          <w:rFonts w:ascii="Abadi" w:hAnsi="Abadi" w:cs="Arial"/>
          <w:sz w:val="21"/>
          <w:szCs w:val="21"/>
          <w:lang w:val="es-MX"/>
        </w:rPr>
        <w:t>Pueblo Nuevo,</w:t>
      </w:r>
      <w:r w:rsidRPr="00F024AF">
        <w:rPr>
          <w:rFonts w:ascii="Abadi" w:hAnsi="Abadi" w:cs="Arial"/>
          <w:sz w:val="21"/>
          <w:szCs w:val="21"/>
        </w:rPr>
        <w:t xml:space="preserve"> </w:t>
      </w:r>
      <w:proofErr w:type="spellStart"/>
      <w:r w:rsidRPr="00F024AF">
        <w:rPr>
          <w:rFonts w:ascii="Abadi" w:hAnsi="Abadi" w:cs="Arial"/>
          <w:sz w:val="21"/>
          <w:szCs w:val="21"/>
        </w:rPr>
        <w:t>Gto</w:t>
      </w:r>
      <w:proofErr w:type="spellEnd"/>
      <w:r w:rsidRPr="00F024AF">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F024AF">
          <w:rPr>
            <w:rFonts w:ascii="Abadi" w:hAnsi="Abadi" w:cs="Arial"/>
            <w:sz w:val="21"/>
            <w:szCs w:val="21"/>
          </w:rPr>
          <w:t>la Ley</w:t>
        </w:r>
      </w:smartTag>
      <w:r w:rsidRPr="00F024AF">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53F3822E" w14:textId="77777777" w:rsidR="00AE2C77" w:rsidRPr="00F024AF" w:rsidRDefault="00AE2C77" w:rsidP="00AE2C77">
      <w:pPr>
        <w:ind w:firstLine="708"/>
        <w:jc w:val="both"/>
        <w:rPr>
          <w:rFonts w:ascii="Abadi" w:hAnsi="Abadi" w:cs="Arial"/>
          <w:sz w:val="21"/>
          <w:szCs w:val="21"/>
        </w:rPr>
      </w:pPr>
    </w:p>
    <w:p w14:paraId="3FD60E5B" w14:textId="77777777" w:rsidR="00AE2C77" w:rsidRPr="00F024AF" w:rsidRDefault="00AE2C77" w:rsidP="00AE2C77">
      <w:pPr>
        <w:ind w:firstLine="708"/>
        <w:jc w:val="both"/>
        <w:rPr>
          <w:rFonts w:ascii="Abadi" w:hAnsi="Abadi" w:cs="Arial"/>
          <w:sz w:val="21"/>
          <w:szCs w:val="21"/>
        </w:rPr>
      </w:pPr>
      <w:r w:rsidRPr="00F024AF">
        <w:rPr>
          <w:rFonts w:ascii="Abadi" w:hAnsi="Abadi" w:cs="Arial"/>
          <w:sz w:val="21"/>
          <w:szCs w:val="21"/>
        </w:rPr>
        <w:t>Remítase el presente acuerdo al titular del Poder Ejecutivo del Estado para su publicación en el Periódico Oficial del Gobierno del Estado.</w:t>
      </w:r>
    </w:p>
    <w:p w14:paraId="11F18544" w14:textId="77777777" w:rsidR="00AE2C77" w:rsidRPr="00F024AF" w:rsidRDefault="00AE2C77" w:rsidP="00AE2C77">
      <w:pPr>
        <w:ind w:firstLine="708"/>
        <w:jc w:val="both"/>
        <w:rPr>
          <w:rFonts w:ascii="Abadi" w:hAnsi="Abadi" w:cs="Arial"/>
          <w:sz w:val="21"/>
          <w:szCs w:val="21"/>
        </w:rPr>
      </w:pPr>
    </w:p>
    <w:p w14:paraId="79922AC3" w14:textId="77777777" w:rsidR="00AE2C77" w:rsidRPr="00F024AF" w:rsidRDefault="00AE2C77" w:rsidP="00AE2C77">
      <w:pPr>
        <w:pStyle w:val="Sangra3detindependiente"/>
        <w:spacing w:line="240" w:lineRule="auto"/>
        <w:rPr>
          <w:rFonts w:ascii="Abadi" w:hAnsi="Abadi"/>
          <w:sz w:val="21"/>
          <w:szCs w:val="21"/>
        </w:rPr>
      </w:pPr>
      <w:r w:rsidRPr="00F024AF">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77F695B" w14:textId="77777777" w:rsidR="00AE2C77" w:rsidRPr="00F024AF" w:rsidRDefault="00AE2C77" w:rsidP="00AE2C77">
      <w:pPr>
        <w:jc w:val="center"/>
        <w:rPr>
          <w:rFonts w:ascii="Abadi" w:hAnsi="Abadi" w:cs="Arial"/>
          <w:b/>
          <w:bCs/>
          <w:sz w:val="21"/>
          <w:szCs w:val="21"/>
          <w:lang w:eastAsia="x-none"/>
        </w:rPr>
      </w:pPr>
    </w:p>
    <w:p w14:paraId="6DF9C543" w14:textId="77777777" w:rsidR="00AE2C77" w:rsidRPr="00F024AF" w:rsidRDefault="00AE2C77" w:rsidP="00AE2C77">
      <w:pPr>
        <w:jc w:val="center"/>
        <w:rPr>
          <w:rFonts w:ascii="Abadi" w:hAnsi="Abadi" w:cs="Arial"/>
          <w:b/>
          <w:bCs/>
          <w:sz w:val="21"/>
          <w:szCs w:val="21"/>
          <w:lang w:eastAsia="x-none"/>
        </w:rPr>
      </w:pPr>
      <w:r w:rsidRPr="00F024AF">
        <w:rPr>
          <w:rFonts w:ascii="Abadi" w:hAnsi="Abadi" w:cs="Arial"/>
          <w:b/>
          <w:bCs/>
          <w:sz w:val="21"/>
          <w:szCs w:val="21"/>
          <w:lang w:eastAsia="x-none"/>
        </w:rPr>
        <w:t xml:space="preserve">Guanajuato, </w:t>
      </w:r>
      <w:proofErr w:type="spellStart"/>
      <w:r w:rsidRPr="00F024AF">
        <w:rPr>
          <w:rFonts w:ascii="Abadi" w:hAnsi="Abadi" w:cs="Arial"/>
          <w:b/>
          <w:bCs/>
          <w:sz w:val="21"/>
          <w:szCs w:val="21"/>
          <w:lang w:eastAsia="x-none"/>
        </w:rPr>
        <w:t>Gto</w:t>
      </w:r>
      <w:proofErr w:type="spellEnd"/>
      <w:r w:rsidRPr="00F024AF">
        <w:rPr>
          <w:rFonts w:ascii="Abadi" w:hAnsi="Abadi" w:cs="Arial"/>
          <w:b/>
          <w:bCs/>
          <w:sz w:val="21"/>
          <w:szCs w:val="21"/>
          <w:lang w:eastAsia="x-none"/>
        </w:rPr>
        <w:t>., 19 de junio de 2023</w:t>
      </w:r>
    </w:p>
    <w:p w14:paraId="22118943" w14:textId="77777777" w:rsidR="00AE2C77" w:rsidRPr="00F024AF" w:rsidRDefault="00AE2C77" w:rsidP="00AE2C77">
      <w:pPr>
        <w:jc w:val="center"/>
        <w:rPr>
          <w:rFonts w:ascii="Abadi" w:hAnsi="Abadi" w:cs="Arial"/>
          <w:b/>
          <w:bCs/>
          <w:sz w:val="21"/>
          <w:szCs w:val="21"/>
          <w:lang w:eastAsia="x-none"/>
        </w:rPr>
      </w:pPr>
      <w:smartTag w:uri="urn:schemas-microsoft-com:office:smarttags" w:element="PersonName">
        <w:smartTagPr>
          <w:attr w:name="ProductID" w:val="La Comisi￳n"/>
        </w:smartTagPr>
        <w:r w:rsidRPr="00F024AF">
          <w:rPr>
            <w:rFonts w:ascii="Abadi" w:hAnsi="Abadi" w:cs="Arial"/>
            <w:b/>
            <w:bCs/>
            <w:sz w:val="21"/>
            <w:szCs w:val="21"/>
            <w:lang w:eastAsia="x-none"/>
          </w:rPr>
          <w:t>La Comisión</w:t>
        </w:r>
      </w:smartTag>
      <w:r w:rsidRPr="00F024AF">
        <w:rPr>
          <w:rFonts w:ascii="Abadi" w:hAnsi="Abadi" w:cs="Arial"/>
          <w:b/>
          <w:bCs/>
          <w:sz w:val="21"/>
          <w:szCs w:val="21"/>
          <w:lang w:eastAsia="x-none"/>
        </w:rPr>
        <w:t xml:space="preserve"> de Hacienda y Fiscalización</w:t>
      </w:r>
    </w:p>
    <w:p w14:paraId="15CB94CD" w14:textId="77777777" w:rsidR="00AE2C77" w:rsidRPr="00F024AF" w:rsidRDefault="00AE2C77" w:rsidP="00AE2C77">
      <w:pPr>
        <w:jc w:val="center"/>
        <w:rPr>
          <w:rFonts w:ascii="Abadi" w:hAnsi="Abadi" w:cs="Arial"/>
          <w:sz w:val="21"/>
          <w:szCs w:val="21"/>
        </w:rPr>
      </w:pPr>
    </w:p>
    <w:p w14:paraId="3E183E8F" w14:textId="77777777" w:rsidR="00AE2C77" w:rsidRPr="00F024AF" w:rsidRDefault="00AE2C77" w:rsidP="00AE2C77">
      <w:pPr>
        <w:jc w:val="center"/>
        <w:rPr>
          <w:rFonts w:ascii="Abadi" w:hAnsi="Abadi" w:cs="Arial"/>
          <w:sz w:val="21"/>
          <w:szCs w:val="21"/>
        </w:rPr>
      </w:pPr>
    </w:p>
    <w:p w14:paraId="4324D5BB" w14:textId="77777777" w:rsidR="00AE2C77" w:rsidRPr="00F024AF" w:rsidRDefault="00AE2C77" w:rsidP="00FD2FEE">
      <w:pPr>
        <w:rPr>
          <w:rFonts w:ascii="Abadi" w:hAnsi="Abadi" w:cs="Arial"/>
          <w:sz w:val="21"/>
          <w:szCs w:val="21"/>
        </w:rPr>
      </w:pPr>
      <w:r w:rsidRPr="00F024AF">
        <w:rPr>
          <w:rFonts w:ascii="Abadi" w:hAnsi="Abadi" w:cs="Arial"/>
          <w:b/>
          <w:sz w:val="21"/>
          <w:szCs w:val="21"/>
          <w:lang w:eastAsia="x-none"/>
        </w:rPr>
        <w:t>Diputado Víctor Manuel Zanella Huerta</w:t>
      </w:r>
    </w:p>
    <w:p w14:paraId="0D08A399" w14:textId="77777777" w:rsidR="00AE2C77" w:rsidRPr="00F024AF" w:rsidRDefault="00AE2C77" w:rsidP="00AE2C77">
      <w:pPr>
        <w:rPr>
          <w:rFonts w:ascii="Abadi" w:hAnsi="Abadi" w:cs="Arial"/>
          <w:b/>
          <w:sz w:val="21"/>
          <w:szCs w:val="21"/>
          <w:lang w:eastAsia="x-none"/>
        </w:rPr>
      </w:pPr>
      <w:r w:rsidRPr="00F024AF">
        <w:rPr>
          <w:rFonts w:ascii="Abadi" w:hAnsi="Abadi" w:cs="Arial"/>
          <w:b/>
          <w:sz w:val="21"/>
          <w:szCs w:val="21"/>
          <w:lang w:eastAsia="x-none"/>
        </w:rPr>
        <w:t xml:space="preserve">Diputada Ruth Noemí Tiscareño Agoitia      </w:t>
      </w:r>
    </w:p>
    <w:p w14:paraId="7D75218B" w14:textId="1616D977" w:rsidR="00AE2C77" w:rsidRPr="00F024AF" w:rsidRDefault="00AE2C77" w:rsidP="00FD2FEE">
      <w:pPr>
        <w:rPr>
          <w:rFonts w:ascii="Abadi" w:hAnsi="Abadi" w:cs="Arial"/>
          <w:b/>
          <w:sz w:val="21"/>
          <w:szCs w:val="21"/>
          <w:lang w:eastAsia="x-none"/>
        </w:rPr>
      </w:pPr>
      <w:r w:rsidRPr="00F024AF">
        <w:rPr>
          <w:rFonts w:ascii="Abadi" w:hAnsi="Abadi" w:cs="Arial"/>
          <w:b/>
          <w:sz w:val="21"/>
          <w:szCs w:val="21"/>
          <w:lang w:eastAsia="x-none"/>
        </w:rPr>
        <w:t xml:space="preserve">Diputado Miguel Ángel Salim </w:t>
      </w:r>
      <w:proofErr w:type="spellStart"/>
      <w:r w:rsidRPr="00F024AF">
        <w:rPr>
          <w:rFonts w:ascii="Abadi" w:hAnsi="Abadi" w:cs="Arial"/>
          <w:b/>
          <w:sz w:val="21"/>
          <w:szCs w:val="21"/>
          <w:lang w:eastAsia="x-none"/>
        </w:rPr>
        <w:t>Alle</w:t>
      </w:r>
      <w:proofErr w:type="spellEnd"/>
    </w:p>
    <w:p w14:paraId="4E8F0ABA" w14:textId="77777777" w:rsidR="00AE2C77" w:rsidRPr="00F024AF" w:rsidRDefault="00AE2C77" w:rsidP="00AE2C77">
      <w:pPr>
        <w:rPr>
          <w:rFonts w:ascii="Abadi" w:hAnsi="Abadi" w:cs="Arial"/>
          <w:b/>
          <w:sz w:val="21"/>
          <w:szCs w:val="21"/>
          <w:lang w:eastAsia="x-none"/>
        </w:rPr>
      </w:pPr>
      <w:r w:rsidRPr="00F024AF">
        <w:rPr>
          <w:rFonts w:ascii="Abadi" w:hAnsi="Abadi" w:cs="Arial"/>
          <w:b/>
          <w:sz w:val="21"/>
          <w:szCs w:val="21"/>
          <w:lang w:eastAsia="x-none"/>
        </w:rPr>
        <w:t xml:space="preserve">Diputado José Alfonso Borja Pimentel    </w:t>
      </w:r>
    </w:p>
    <w:p w14:paraId="67641179" w14:textId="77777777" w:rsidR="00AE2C77" w:rsidRPr="00F024AF" w:rsidRDefault="00AE2C77" w:rsidP="00FD2FEE">
      <w:pPr>
        <w:rPr>
          <w:rFonts w:ascii="Abadi" w:hAnsi="Abadi" w:cs="Arial"/>
          <w:b/>
          <w:sz w:val="21"/>
          <w:szCs w:val="21"/>
          <w:lang w:eastAsia="x-none"/>
        </w:rPr>
      </w:pPr>
      <w:r w:rsidRPr="00F024AF">
        <w:rPr>
          <w:rFonts w:ascii="Abadi" w:hAnsi="Abadi" w:cs="Arial"/>
          <w:b/>
          <w:sz w:val="21"/>
          <w:szCs w:val="21"/>
          <w:lang w:eastAsia="x-none"/>
        </w:rPr>
        <w:t>Diputada Alma Edwviges Alcaraz Hernández</w:t>
      </w:r>
    </w:p>
    <w:p w14:paraId="04FF3EE7" w14:textId="77777777" w:rsidR="00AE2C77" w:rsidRPr="00F024AF" w:rsidRDefault="00AE2C77" w:rsidP="00AE2C77">
      <w:pPr>
        <w:pStyle w:val="Textoindependiente2"/>
        <w:rPr>
          <w:rFonts w:ascii="Abadi" w:hAnsi="Abadi"/>
          <w:sz w:val="21"/>
          <w:szCs w:val="21"/>
        </w:rPr>
      </w:pPr>
    </w:p>
    <w:p w14:paraId="4F1CE5A1" w14:textId="77777777" w:rsidR="00AE2C77" w:rsidRPr="00F024AF" w:rsidRDefault="00AE2C77" w:rsidP="00AE2C77">
      <w:pPr>
        <w:pStyle w:val="Textoindependiente2"/>
        <w:rPr>
          <w:rFonts w:ascii="Abadi" w:hAnsi="Abadi"/>
          <w:sz w:val="21"/>
          <w:szCs w:val="21"/>
        </w:rPr>
      </w:pPr>
    </w:p>
    <w:p w14:paraId="1957E13D" w14:textId="77777777" w:rsidR="00374533" w:rsidRPr="00006796" w:rsidRDefault="00374533" w:rsidP="00427BD6">
      <w:pPr>
        <w:pStyle w:val="Prrafodelista"/>
        <w:numPr>
          <w:ilvl w:val="0"/>
          <w:numId w:val="8"/>
        </w:numPr>
        <w:autoSpaceDE w:val="0"/>
        <w:autoSpaceDN w:val="0"/>
        <w:adjustRightInd w:val="0"/>
        <w:contextualSpacing/>
        <w:jc w:val="both"/>
        <w:rPr>
          <w:rFonts w:ascii="Abadi" w:hAnsi="Abadi" w:cs="ArialMT"/>
          <w:b/>
          <w:bCs/>
          <w:sz w:val="21"/>
          <w:szCs w:val="21"/>
        </w:rPr>
      </w:pPr>
      <w:r w:rsidRPr="00006796">
        <w:rPr>
          <w:rFonts w:ascii="Abadi" w:hAnsi="Abadi" w:cs="ArialMT"/>
          <w:b/>
          <w:bCs/>
          <w:sz w:val="21"/>
          <w:szCs w:val="21"/>
        </w:rPr>
        <w:t>DISCUSIÓN Y, EN SU CASO, APROBACIÓN DEL DICTAMEN FORMULADO POR LA COMISIÓN</w:t>
      </w:r>
    </w:p>
    <w:p w14:paraId="5B6898E8" w14:textId="36590A90" w:rsidR="00374533" w:rsidRDefault="00374533" w:rsidP="00374533">
      <w:pPr>
        <w:pStyle w:val="Prrafodelista"/>
        <w:autoSpaceDE w:val="0"/>
        <w:autoSpaceDN w:val="0"/>
        <w:adjustRightInd w:val="0"/>
        <w:ind w:left="720"/>
        <w:jc w:val="both"/>
        <w:rPr>
          <w:noProof/>
        </w:rPr>
      </w:pPr>
      <w:r w:rsidRPr="00006796">
        <w:rPr>
          <w:rFonts w:ascii="Abadi" w:hAnsi="Abadi" w:cs="ArialMT"/>
          <w:b/>
          <w:bCs/>
          <w:sz w:val="21"/>
          <w:szCs w:val="21"/>
        </w:rPr>
        <w:t xml:space="preserve">DE HACIENDA Y FISCALIZACIÓN RELATIVO AL INFORME DE RESULTADOS DE LA REVISIÓN PRACTICADA POR LA AUDITORÍA SUPERIOR DEL ESTADO DE GUANAJUATO, A LA CUENTA PÚBLICA MUNICIPAL DE LEÓN, GTO., </w:t>
      </w:r>
      <w:r>
        <w:rPr>
          <w:noProof/>
        </w:rPr>
        <w:drawing>
          <wp:anchor distT="0" distB="0" distL="114300" distR="114300" simplePos="0" relativeHeight="251658240" behindDoc="0" locked="0" layoutInCell="1" allowOverlap="1" wp14:anchorId="201899B6" wp14:editId="20E22330">
            <wp:simplePos x="0" y="0"/>
            <wp:positionH relativeFrom="column">
              <wp:posOffset>4186389</wp:posOffset>
            </wp:positionH>
            <wp:positionV relativeFrom="paragraph">
              <wp:posOffset>309631</wp:posOffset>
            </wp:positionV>
            <wp:extent cx="607188" cy="298213"/>
            <wp:effectExtent l="0" t="0" r="0" b="0"/>
            <wp:wrapNone/>
            <wp:docPr id="59" name="Imagen 5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n 46" descr="Interfaz de usuario gráfica&#10;&#10;Descripción generada automáticamente con confianza media"/>
                    <pic:cNvPicPr>
                      <a:picLocks noChangeAspect="1"/>
                    </pic:cNvPicPr>
                  </pic:nvPicPr>
                  <pic:blipFill>
                    <a:blip r:embed="rId73" cstate="print"/>
                    <a:stretch>
                      <a:fillRect/>
                    </a:stretch>
                  </pic:blipFill>
                  <pic:spPr>
                    <a:xfrm>
                      <a:off x="0" y="0"/>
                      <a:ext cx="607188" cy="298213"/>
                    </a:xfrm>
                    <a:prstGeom prst="rect">
                      <a:avLst/>
                    </a:prstGeom>
                  </pic:spPr>
                </pic:pic>
              </a:graphicData>
            </a:graphic>
          </wp:anchor>
        </w:drawing>
      </w:r>
      <w:r w:rsidRPr="00006796">
        <w:rPr>
          <w:rFonts w:ascii="Abadi" w:hAnsi="Abadi" w:cs="ArialMT"/>
          <w:b/>
          <w:bCs/>
          <w:sz w:val="21"/>
          <w:szCs w:val="21"/>
        </w:rPr>
        <w:t xml:space="preserve">CORRESPONDIENTE AL EJERCICIO FISCAL DEL AÑO 2021. </w:t>
      </w:r>
      <w:r w:rsidRPr="00006796">
        <w:rPr>
          <w:rFonts w:ascii="Abadi" w:hAnsi="Abadi" w:cs="Arial-ItalicMT"/>
          <w:b/>
          <w:bCs/>
          <w:i/>
          <w:iCs/>
          <w:sz w:val="21"/>
          <w:szCs w:val="21"/>
        </w:rPr>
        <w:t xml:space="preserve">(ELD </w:t>
      </w:r>
      <w:r w:rsidR="008A1143">
        <w:rPr>
          <w:rFonts w:ascii="Abadi" w:hAnsi="Abadi" w:cs="ArialMT"/>
          <w:b/>
          <w:bCs/>
          <w:noProof/>
          <w:sz w:val="21"/>
          <w:szCs w:val="21"/>
        </w:rPr>
        <mc:AlternateContent>
          <mc:Choice Requires="wps">
            <w:drawing>
              <wp:anchor distT="0" distB="0" distL="114300" distR="114300" simplePos="0" relativeHeight="251658241" behindDoc="0" locked="0" layoutInCell="1" allowOverlap="1" wp14:anchorId="02774C84" wp14:editId="5C52C124">
                <wp:simplePos x="0" y="0"/>
                <wp:positionH relativeFrom="column">
                  <wp:posOffset>3657600</wp:posOffset>
                </wp:positionH>
                <wp:positionV relativeFrom="paragraph">
                  <wp:posOffset>627822</wp:posOffset>
                </wp:positionV>
                <wp:extent cx="1530350" cy="390127"/>
                <wp:effectExtent l="0" t="0" r="0" b="0"/>
                <wp:wrapNone/>
                <wp:docPr id="60" name="Cuadro de texto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30350" cy="390127"/>
                        </a:xfrm>
                        <a:prstGeom prst="rect">
                          <a:avLst/>
                        </a:prstGeom>
                        <a:noFill/>
                        <a:ln w="9525">
                          <a:noFill/>
                          <a:miter lim="800000"/>
                          <a:headEnd/>
                          <a:tailEnd/>
                        </a:ln>
                      </wps:spPr>
                      <wps:txbx>
                        <w:txbxContent>
                          <w:p w14:paraId="7D51FC78" w14:textId="77777777" w:rsidR="008A1143" w:rsidRPr="00544C73" w:rsidRDefault="008A1143" w:rsidP="008A114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4D4F72BE" w14:textId="77777777" w:rsidR="008A1143" w:rsidRPr="00EE0581" w:rsidRDefault="008A1143" w:rsidP="008A1143">
                            <w:pPr>
                              <w:rPr>
                                <w:sz w:val="16"/>
                                <w:szCs w:val="16"/>
                              </w:rPr>
                            </w:pPr>
                          </w:p>
                        </w:txbxContent>
                      </wps:txbx>
                      <wps:bodyPr rot="0" vert="horz" wrap="square" lIns="91440" tIns="45720" rIns="91440" bIns="45720" anchor="t" anchorCtr="0">
                        <a:noAutofit/>
                      </wps:bodyPr>
                    </wps:wsp>
                  </a:graphicData>
                </a:graphic>
              </wp:anchor>
            </w:drawing>
          </mc:Choice>
          <mc:Fallback>
            <w:pict>
              <v:shapetype w14:anchorId="02774C84" id="_x0000_t202" coordsize="21600,21600" o:spt="202" path="m,l,21600r21600,l21600,xe">
                <v:stroke joinstyle="miter"/>
                <v:path gradientshapeok="t" o:connecttype="rect"/>
              </v:shapetype>
              <v:shape id="Cuadro de texto 60" o:spid="_x0000_s1026" type="#_x0000_t202" style="position:absolute;left:0;text-align:left;margin-left:4in;margin-top:49.45pt;width:120.5pt;height:30.7pt;z-index:25165824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" filled="f" stroked="f">
                <v:textbox>
                  <w:txbxContent>
                    <w:p w14:paraId="7D51FC78" w14:textId="77777777" w:rsidR="008A1143" w:rsidRPr="00544C73" w:rsidRDefault="008A1143" w:rsidP="008A1143">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4D4F72BE" w14:textId="77777777" w:rsidR="008A1143" w:rsidRPr="00EE0581" w:rsidRDefault="008A1143" w:rsidP="008A1143">
                      <w:pPr>
                        <w:rPr>
                          <w:sz w:val="16"/>
                          <w:szCs w:val="16"/>
                        </w:rPr>
                      </w:pPr>
                    </w:p>
                  </w:txbxContent>
                </v:textbox>
              </v:shape>
            </w:pict>
          </mc:Fallback>
        </mc:AlternateContent>
      </w:r>
      <w:r w:rsidRPr="00006796">
        <w:rPr>
          <w:rFonts w:ascii="Abadi" w:hAnsi="Abadi" w:cs="Arial-ItalicMT"/>
          <w:b/>
          <w:bCs/>
          <w:i/>
          <w:iCs/>
          <w:sz w:val="21"/>
          <w:szCs w:val="21"/>
        </w:rPr>
        <w:t>317/LXV-IRASEG)</w:t>
      </w:r>
      <w:r w:rsidRPr="00374533">
        <w:rPr>
          <w:noProof/>
        </w:rPr>
        <w:t xml:space="preserve"> </w:t>
      </w:r>
      <w:r w:rsidR="008F61E1">
        <w:rPr>
          <w:rStyle w:val="Refdenotaalpie"/>
          <w:noProof/>
        </w:rPr>
        <w:footnoteReference w:id="234"/>
      </w:r>
    </w:p>
    <w:p w14:paraId="56898262" w14:textId="77777777" w:rsidR="00ED0915" w:rsidRDefault="00ED0915" w:rsidP="00374533">
      <w:pPr>
        <w:pStyle w:val="Prrafodelista"/>
        <w:autoSpaceDE w:val="0"/>
        <w:autoSpaceDN w:val="0"/>
        <w:adjustRightInd w:val="0"/>
        <w:ind w:left="720"/>
        <w:jc w:val="both"/>
        <w:rPr>
          <w:rFonts w:ascii="Abadi" w:hAnsi="Abadi" w:cs="Arial-ItalicMT"/>
          <w:b/>
          <w:bCs/>
          <w:i/>
          <w:iCs/>
          <w:sz w:val="21"/>
          <w:szCs w:val="21"/>
        </w:rPr>
      </w:pPr>
    </w:p>
    <w:p w14:paraId="02FD6E58" w14:textId="77777777" w:rsidR="00ED0915" w:rsidRPr="00006796" w:rsidRDefault="00ED0915" w:rsidP="00374533">
      <w:pPr>
        <w:pStyle w:val="Prrafodelista"/>
        <w:autoSpaceDE w:val="0"/>
        <w:autoSpaceDN w:val="0"/>
        <w:adjustRightInd w:val="0"/>
        <w:ind w:left="720"/>
        <w:jc w:val="both"/>
        <w:rPr>
          <w:rFonts w:ascii="Abadi" w:hAnsi="Abadi" w:cs="Arial-ItalicMT"/>
          <w:b/>
          <w:bCs/>
          <w:i/>
          <w:iCs/>
          <w:sz w:val="21"/>
          <w:szCs w:val="21"/>
        </w:rPr>
      </w:pPr>
    </w:p>
    <w:p w14:paraId="56BEDB84" w14:textId="3B70D045" w:rsidR="00374533" w:rsidRDefault="00374533" w:rsidP="00374533">
      <w:pPr>
        <w:autoSpaceDE w:val="0"/>
        <w:autoSpaceDN w:val="0"/>
        <w:adjustRightInd w:val="0"/>
        <w:jc w:val="both"/>
        <w:rPr>
          <w:rFonts w:ascii="Abadi" w:hAnsi="Abadi" w:cs="Arial-ItalicMT"/>
          <w:b/>
          <w:bCs/>
          <w:i/>
          <w:iCs/>
          <w:sz w:val="21"/>
          <w:szCs w:val="21"/>
        </w:rPr>
      </w:pPr>
    </w:p>
    <w:p w14:paraId="3F65FFA5" w14:textId="77777777" w:rsidR="004A0A8A" w:rsidRPr="003F43F9" w:rsidRDefault="004A0A8A" w:rsidP="004A0A8A">
      <w:pPr>
        <w:pStyle w:val="Textoindependiente3"/>
        <w:rPr>
          <w:rFonts w:ascii="Abadi" w:hAnsi="Abadi" w:cs="Arial"/>
          <w:smallCaps/>
          <w:sz w:val="21"/>
          <w:szCs w:val="21"/>
        </w:rPr>
      </w:pPr>
      <w:r w:rsidRPr="003F43F9">
        <w:rPr>
          <w:rFonts w:ascii="Abadi" w:hAnsi="Abadi" w:cs="Arial"/>
          <w:smallCaps/>
          <w:sz w:val="21"/>
          <w:szCs w:val="21"/>
        </w:rPr>
        <w:t>C. Presidenta del Congreso del Estado</w:t>
      </w:r>
    </w:p>
    <w:p w14:paraId="470D3F06" w14:textId="77777777" w:rsidR="004A0A8A" w:rsidRPr="003F43F9" w:rsidRDefault="004A0A8A" w:rsidP="004A0A8A">
      <w:pPr>
        <w:jc w:val="both"/>
        <w:rPr>
          <w:rFonts w:ascii="Abadi" w:hAnsi="Abadi" w:cs="Arial"/>
          <w:b/>
          <w:bCs/>
          <w:smallCaps/>
          <w:sz w:val="21"/>
          <w:szCs w:val="21"/>
        </w:rPr>
      </w:pPr>
      <w:r w:rsidRPr="003F43F9">
        <w:rPr>
          <w:rFonts w:ascii="Abadi" w:hAnsi="Abadi" w:cs="Arial"/>
          <w:b/>
          <w:bCs/>
          <w:smallCaps/>
          <w:sz w:val="21"/>
          <w:szCs w:val="21"/>
        </w:rPr>
        <w:t>P r e s e n t e.</w:t>
      </w:r>
    </w:p>
    <w:p w14:paraId="62379A1A" w14:textId="77777777" w:rsidR="004A0A8A" w:rsidRPr="003F43F9" w:rsidRDefault="004A0A8A" w:rsidP="004A0A8A">
      <w:pPr>
        <w:pStyle w:val="Textoindependiente"/>
        <w:rPr>
          <w:rFonts w:ascii="Abadi" w:hAnsi="Abadi"/>
          <w:sz w:val="21"/>
          <w:szCs w:val="21"/>
        </w:rPr>
      </w:pPr>
    </w:p>
    <w:p w14:paraId="0A1FB7E2" w14:textId="77777777" w:rsidR="004A0A8A" w:rsidRPr="003F43F9" w:rsidRDefault="004A0A8A" w:rsidP="004A0A8A">
      <w:pPr>
        <w:pStyle w:val="Sangra3detindependiente"/>
        <w:spacing w:line="240" w:lineRule="auto"/>
        <w:rPr>
          <w:rFonts w:ascii="Abadi" w:hAnsi="Abadi"/>
          <w:sz w:val="21"/>
          <w:szCs w:val="21"/>
        </w:rPr>
      </w:pPr>
      <w:r w:rsidRPr="003F43F9">
        <w:rPr>
          <w:rFonts w:ascii="Abadi" w:hAnsi="Abadi"/>
          <w:sz w:val="21"/>
          <w:szCs w:val="21"/>
        </w:rPr>
        <w:t xml:space="preserve">A </w:t>
      </w:r>
      <w:r w:rsidRPr="003F43F9">
        <w:rPr>
          <w:rFonts w:ascii="Abadi" w:hAnsi="Abadi"/>
          <w:sz w:val="21"/>
          <w:szCs w:val="21"/>
          <w:lang w:val="es-MX"/>
        </w:rPr>
        <w:t>esta</w:t>
      </w:r>
      <w:r w:rsidRPr="003F43F9">
        <w:rPr>
          <w:rFonts w:ascii="Abadi" w:hAnsi="Abadi"/>
          <w:sz w:val="21"/>
          <w:szCs w:val="21"/>
        </w:rPr>
        <w:t xml:space="preserve"> Comisión de Hacienda y Fiscalización</w:t>
      </w:r>
      <w:r w:rsidRPr="003F43F9">
        <w:rPr>
          <w:rFonts w:ascii="Abadi" w:hAnsi="Abadi"/>
          <w:sz w:val="21"/>
          <w:szCs w:val="21"/>
          <w:lang w:val="es-MX"/>
        </w:rPr>
        <w:t xml:space="preserve">, </w:t>
      </w:r>
      <w:r w:rsidRPr="003F43F9">
        <w:rPr>
          <w:rFonts w:ascii="Abadi" w:hAnsi="Abadi"/>
          <w:sz w:val="21"/>
          <w:szCs w:val="21"/>
        </w:rPr>
        <w:t xml:space="preserve">le fue turnado para su estudio y dictamen, el informe de resultados de la revisión practicada por </w:t>
      </w:r>
      <w:r w:rsidRPr="003F43F9">
        <w:rPr>
          <w:rFonts w:ascii="Abadi" w:hAnsi="Abadi"/>
          <w:sz w:val="21"/>
          <w:szCs w:val="21"/>
          <w:lang w:val="es-MX"/>
        </w:rPr>
        <w:t xml:space="preserve">la </w:t>
      </w:r>
      <w:r w:rsidRPr="003F43F9">
        <w:rPr>
          <w:rFonts w:ascii="Abadi" w:hAnsi="Abadi"/>
          <w:sz w:val="21"/>
          <w:szCs w:val="21"/>
        </w:rPr>
        <w:t xml:space="preserve">Auditoría Superior del Estado de Guanajuato, a la cuenta pública municipal de </w:t>
      </w:r>
      <w:r w:rsidRPr="003F43F9">
        <w:rPr>
          <w:rFonts w:ascii="Abadi" w:hAnsi="Abadi"/>
          <w:sz w:val="21"/>
          <w:szCs w:val="21"/>
          <w:lang w:val="es-MX"/>
        </w:rPr>
        <w:t>León</w:t>
      </w:r>
      <w:r w:rsidRPr="003F43F9">
        <w:rPr>
          <w:rFonts w:ascii="Abadi" w:hAnsi="Abadi"/>
          <w:sz w:val="21"/>
          <w:szCs w:val="21"/>
        </w:rPr>
        <w:t xml:space="preserve">, </w:t>
      </w:r>
      <w:proofErr w:type="spellStart"/>
      <w:r w:rsidRPr="003F43F9">
        <w:rPr>
          <w:rFonts w:ascii="Abadi" w:hAnsi="Abadi"/>
          <w:sz w:val="21"/>
          <w:szCs w:val="21"/>
        </w:rPr>
        <w:t>Gto</w:t>
      </w:r>
      <w:proofErr w:type="spellEnd"/>
      <w:r w:rsidRPr="003F43F9">
        <w:rPr>
          <w:rFonts w:ascii="Abadi" w:hAnsi="Abadi"/>
          <w:sz w:val="21"/>
          <w:szCs w:val="21"/>
        </w:rPr>
        <w:t xml:space="preserve">., correspondiente al ejercicio fiscal del año 2021. (ELD </w:t>
      </w:r>
      <w:r w:rsidRPr="003F43F9">
        <w:rPr>
          <w:rFonts w:ascii="Abadi" w:hAnsi="Abadi"/>
          <w:sz w:val="21"/>
          <w:szCs w:val="21"/>
          <w:lang w:val="es-MX"/>
        </w:rPr>
        <w:t>317</w:t>
      </w:r>
      <w:r w:rsidRPr="003F43F9">
        <w:rPr>
          <w:rFonts w:ascii="Abadi" w:hAnsi="Abadi"/>
          <w:sz w:val="21"/>
          <w:szCs w:val="21"/>
        </w:rPr>
        <w:t>/LXV-IRASEG)</w:t>
      </w:r>
    </w:p>
    <w:p w14:paraId="7DDE03CF" w14:textId="77777777" w:rsidR="004A0A8A" w:rsidRPr="003F43F9" w:rsidRDefault="004A0A8A" w:rsidP="004A0A8A">
      <w:pPr>
        <w:pStyle w:val="Sangra3detindependiente"/>
        <w:spacing w:line="240" w:lineRule="auto"/>
        <w:rPr>
          <w:rFonts w:ascii="Abadi" w:hAnsi="Abadi"/>
          <w:sz w:val="21"/>
          <w:szCs w:val="21"/>
        </w:rPr>
      </w:pPr>
    </w:p>
    <w:p w14:paraId="49450A91" w14:textId="77777777" w:rsidR="004A0A8A" w:rsidRPr="003F43F9" w:rsidRDefault="004A0A8A" w:rsidP="004A0A8A">
      <w:pPr>
        <w:pStyle w:val="Sangra3detindependiente"/>
        <w:spacing w:line="240" w:lineRule="auto"/>
        <w:rPr>
          <w:rFonts w:ascii="Abadi" w:hAnsi="Abadi"/>
          <w:sz w:val="21"/>
          <w:szCs w:val="21"/>
        </w:rPr>
      </w:pPr>
      <w:r w:rsidRPr="003F43F9">
        <w:rPr>
          <w:rFonts w:ascii="Abadi" w:hAnsi="Abadi"/>
          <w:sz w:val="21"/>
          <w:szCs w:val="21"/>
        </w:rPr>
        <w:t>Una vez analizado el referido informe de resultados, con fundamento en lo dispuesto por los artículos 112, fracción XII</w:t>
      </w:r>
      <w:r w:rsidRPr="003F43F9">
        <w:rPr>
          <w:rFonts w:ascii="Abadi" w:hAnsi="Abadi"/>
          <w:sz w:val="21"/>
          <w:szCs w:val="21"/>
          <w:lang w:val="es-MX"/>
        </w:rPr>
        <w:t>, primer párrafo</w:t>
      </w:r>
      <w:r w:rsidRPr="003F43F9">
        <w:rPr>
          <w:rFonts w:ascii="Abadi" w:hAnsi="Abadi"/>
          <w:sz w:val="21"/>
          <w:szCs w:val="21"/>
        </w:rPr>
        <w:t xml:space="preserve"> y 171 de </w:t>
      </w:r>
      <w:smartTag w:uri="urn:schemas-microsoft-com:office:smarttags" w:element="PersonName">
        <w:smartTagPr>
          <w:attr w:name="ProductID" w:val="la Ley Org￡nica"/>
        </w:smartTagPr>
        <w:r w:rsidRPr="003F43F9">
          <w:rPr>
            <w:rFonts w:ascii="Abadi" w:hAnsi="Abadi"/>
            <w:sz w:val="21"/>
            <w:szCs w:val="21"/>
          </w:rPr>
          <w:t>la Ley Orgánica</w:t>
        </w:r>
      </w:smartTag>
      <w:r w:rsidRPr="003F43F9">
        <w:rPr>
          <w:rFonts w:ascii="Abadi" w:hAnsi="Abadi"/>
          <w:sz w:val="21"/>
          <w:szCs w:val="21"/>
        </w:rPr>
        <w:t xml:space="preserve"> del Poder Legislativo, nos permitimos rendir el siguiente:</w:t>
      </w:r>
    </w:p>
    <w:p w14:paraId="78B34BF1" w14:textId="77777777" w:rsidR="004A0A8A" w:rsidRPr="003F43F9" w:rsidRDefault="004A0A8A" w:rsidP="004A0A8A">
      <w:pPr>
        <w:pStyle w:val="Sangra3detindependiente"/>
        <w:spacing w:line="240" w:lineRule="auto"/>
        <w:rPr>
          <w:rFonts w:ascii="Abadi" w:hAnsi="Abadi"/>
          <w:sz w:val="21"/>
          <w:szCs w:val="21"/>
        </w:rPr>
      </w:pPr>
    </w:p>
    <w:p w14:paraId="117552A4" w14:textId="77777777" w:rsidR="004A0A8A" w:rsidRPr="003F43F9" w:rsidRDefault="004A0A8A" w:rsidP="004A0A8A">
      <w:pPr>
        <w:pStyle w:val="Ttulo1"/>
        <w:jc w:val="center"/>
        <w:rPr>
          <w:rFonts w:ascii="Abadi" w:hAnsi="Abadi" w:cs="Arial"/>
          <w:sz w:val="21"/>
          <w:szCs w:val="21"/>
        </w:rPr>
      </w:pPr>
      <w:r w:rsidRPr="003F43F9">
        <w:rPr>
          <w:rFonts w:ascii="Abadi" w:hAnsi="Abadi" w:cs="Arial"/>
          <w:sz w:val="21"/>
          <w:szCs w:val="21"/>
        </w:rPr>
        <w:t>D i c t a m e n</w:t>
      </w:r>
    </w:p>
    <w:p w14:paraId="721996D8" w14:textId="77777777" w:rsidR="008F2F9E" w:rsidRDefault="008F2F9E" w:rsidP="004A0A8A">
      <w:pPr>
        <w:pStyle w:val="Textoindependiente"/>
        <w:ind w:firstLine="708"/>
        <w:rPr>
          <w:rFonts w:ascii="Abadi" w:hAnsi="Abadi"/>
          <w:b w:val="0"/>
          <w:bCs w:val="0"/>
          <w:sz w:val="21"/>
          <w:szCs w:val="21"/>
        </w:rPr>
      </w:pPr>
    </w:p>
    <w:p w14:paraId="5CF01B3E" w14:textId="3503E94A" w:rsidR="004A0A8A" w:rsidRPr="008F2F9E" w:rsidRDefault="004A0A8A" w:rsidP="004A0A8A">
      <w:pPr>
        <w:pStyle w:val="Textoindependiente"/>
        <w:ind w:firstLine="708"/>
        <w:rPr>
          <w:rFonts w:ascii="Abadi" w:hAnsi="Abadi"/>
          <w:sz w:val="21"/>
          <w:szCs w:val="21"/>
        </w:rPr>
      </w:pPr>
      <w:r w:rsidRPr="008F2F9E">
        <w:rPr>
          <w:rFonts w:ascii="Abadi" w:hAnsi="Abadi"/>
          <w:sz w:val="21"/>
          <w:szCs w:val="21"/>
        </w:rPr>
        <w:t>I. Competencia:</w:t>
      </w:r>
    </w:p>
    <w:p w14:paraId="0252062C" w14:textId="77777777" w:rsidR="004A0A8A" w:rsidRPr="008F2F9E" w:rsidRDefault="004A0A8A" w:rsidP="004A0A8A">
      <w:pPr>
        <w:pStyle w:val="Textoindependiente"/>
        <w:ind w:firstLine="708"/>
        <w:rPr>
          <w:rFonts w:ascii="Abadi" w:hAnsi="Abadi"/>
          <w:sz w:val="21"/>
          <w:szCs w:val="21"/>
        </w:rPr>
      </w:pPr>
    </w:p>
    <w:p w14:paraId="1FC38800"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3F43F9">
          <w:rPr>
            <w:rFonts w:ascii="Abadi" w:hAnsi="Abadi" w:cs="Arial"/>
            <w:sz w:val="21"/>
            <w:szCs w:val="21"/>
            <w:lang w:val="es-MX" w:eastAsia="x-none"/>
          </w:rPr>
          <w:t>la Constitución Política</w:t>
        </w:r>
      </w:smartTag>
      <w:r w:rsidRPr="003F43F9">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B451C74" w14:textId="77777777" w:rsidR="004A0A8A" w:rsidRPr="003F43F9" w:rsidRDefault="004A0A8A" w:rsidP="004A0A8A">
      <w:pPr>
        <w:ind w:firstLine="708"/>
        <w:jc w:val="both"/>
        <w:rPr>
          <w:rFonts w:ascii="Abadi" w:hAnsi="Abadi" w:cs="Arial"/>
          <w:sz w:val="21"/>
          <w:szCs w:val="21"/>
          <w:lang w:val="es-MX" w:eastAsia="x-none"/>
        </w:rPr>
      </w:pPr>
    </w:p>
    <w:p w14:paraId="15615E51"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El artículo 74 de la Ley para el Ejercicio y Control de los Recursos Públicos para el Estado y los Municipios de Guanajuato, </w:t>
      </w:r>
      <w:r w:rsidRPr="003F43F9">
        <w:rPr>
          <w:rFonts w:ascii="Abadi" w:hAnsi="Abadi" w:cs="Arial"/>
          <w:sz w:val="21"/>
          <w:szCs w:val="21"/>
          <w:lang w:val="es-MX" w:eastAsia="x-none"/>
        </w:rPr>
        <w:lastRenderedPageBreak/>
        <w:t>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CFAB551" w14:textId="77777777" w:rsidR="004A0A8A" w:rsidRPr="003F43F9" w:rsidRDefault="004A0A8A" w:rsidP="004A0A8A">
      <w:pPr>
        <w:ind w:firstLine="708"/>
        <w:jc w:val="both"/>
        <w:rPr>
          <w:rFonts w:ascii="Abadi" w:hAnsi="Abadi" w:cs="Arial"/>
          <w:sz w:val="21"/>
          <w:szCs w:val="21"/>
          <w:lang w:val="es-MX" w:eastAsia="x-none"/>
        </w:rPr>
      </w:pPr>
    </w:p>
    <w:p w14:paraId="590AB5DF" w14:textId="77777777" w:rsidR="004A0A8A" w:rsidRPr="003F43F9" w:rsidRDefault="004A0A8A" w:rsidP="004A0A8A">
      <w:pPr>
        <w:ind w:firstLine="708"/>
        <w:jc w:val="both"/>
        <w:rPr>
          <w:rFonts w:ascii="Abadi" w:hAnsi="Abadi" w:cs="Arial"/>
          <w:sz w:val="21"/>
          <w:szCs w:val="21"/>
          <w:lang w:val="es-MX" w:eastAsia="x-none"/>
        </w:rPr>
      </w:pPr>
    </w:p>
    <w:p w14:paraId="0AF016DD"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3F43F9">
          <w:rPr>
            <w:rFonts w:ascii="Abadi" w:hAnsi="Abadi" w:cs="Arial"/>
            <w:sz w:val="21"/>
            <w:szCs w:val="21"/>
            <w:lang w:val="es-MX" w:eastAsia="x-none"/>
          </w:rPr>
          <w:t>la Constitución Política</w:t>
        </w:r>
      </w:smartTag>
      <w:r w:rsidRPr="003F43F9">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7A9D083" w14:textId="77777777" w:rsidR="004A0A8A" w:rsidRPr="003F43F9" w:rsidRDefault="004A0A8A" w:rsidP="004A0A8A">
      <w:pPr>
        <w:ind w:firstLine="708"/>
        <w:jc w:val="both"/>
        <w:rPr>
          <w:rFonts w:ascii="Abadi" w:hAnsi="Abadi" w:cs="Arial"/>
          <w:sz w:val="21"/>
          <w:szCs w:val="21"/>
          <w:lang w:val="es-MX" w:eastAsia="x-none"/>
        </w:rPr>
      </w:pPr>
    </w:p>
    <w:p w14:paraId="08B0FC39"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8C8C6E4" w14:textId="77777777" w:rsidR="004A0A8A" w:rsidRPr="008F2F9E" w:rsidRDefault="004A0A8A" w:rsidP="004A0A8A">
      <w:pPr>
        <w:ind w:firstLine="708"/>
        <w:jc w:val="both"/>
        <w:rPr>
          <w:rFonts w:ascii="Abadi" w:hAnsi="Abadi" w:cs="Arial"/>
          <w:sz w:val="21"/>
          <w:szCs w:val="21"/>
          <w:lang w:val="es-MX" w:eastAsia="x-none"/>
        </w:rPr>
      </w:pPr>
    </w:p>
    <w:p w14:paraId="1982C470"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8B6CB96" w14:textId="77777777" w:rsidR="004A0A8A" w:rsidRPr="008F2F9E" w:rsidRDefault="004A0A8A" w:rsidP="004A0A8A">
      <w:pPr>
        <w:pStyle w:val="Textoindependiente"/>
        <w:ind w:firstLine="708"/>
        <w:rPr>
          <w:rFonts w:ascii="Abadi" w:hAnsi="Abadi"/>
          <w:b w:val="0"/>
          <w:bCs w:val="0"/>
          <w:sz w:val="21"/>
          <w:szCs w:val="21"/>
        </w:rPr>
      </w:pPr>
    </w:p>
    <w:p w14:paraId="27AD1D99"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75543D5" w14:textId="77777777" w:rsidR="004A0A8A" w:rsidRPr="008F2F9E" w:rsidRDefault="004A0A8A" w:rsidP="004A0A8A">
      <w:pPr>
        <w:pStyle w:val="Textoindependiente"/>
        <w:ind w:firstLine="708"/>
        <w:rPr>
          <w:rFonts w:ascii="Abadi" w:hAnsi="Abadi"/>
          <w:b w:val="0"/>
          <w:bCs w:val="0"/>
          <w:sz w:val="21"/>
          <w:szCs w:val="21"/>
        </w:rPr>
      </w:pPr>
    </w:p>
    <w:p w14:paraId="5D1826A2"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8F2F9E">
          <w:rPr>
            <w:rFonts w:ascii="Abadi" w:hAnsi="Abadi"/>
            <w:b w:val="0"/>
            <w:bCs w:val="0"/>
            <w:sz w:val="21"/>
            <w:szCs w:val="21"/>
          </w:rPr>
          <w:t>la Ley Orgánica</w:t>
        </w:r>
      </w:smartTag>
      <w:r w:rsidRPr="008F2F9E">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28EF00B" w14:textId="77777777" w:rsidR="004A0A8A" w:rsidRPr="008F2F9E" w:rsidRDefault="004A0A8A" w:rsidP="004A0A8A">
      <w:pPr>
        <w:pStyle w:val="Textoindependiente"/>
        <w:ind w:firstLine="708"/>
        <w:rPr>
          <w:rFonts w:ascii="Abadi" w:hAnsi="Abadi"/>
          <w:b w:val="0"/>
          <w:bCs w:val="0"/>
          <w:sz w:val="21"/>
          <w:szCs w:val="21"/>
        </w:rPr>
      </w:pPr>
    </w:p>
    <w:p w14:paraId="409B8BA5"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A efecto de cumplir con las atribuciones conferidas a esta Comisión, y en</w:t>
      </w:r>
      <w:r w:rsidRPr="003F43F9">
        <w:rPr>
          <w:rFonts w:ascii="Abadi" w:hAnsi="Abadi"/>
          <w:sz w:val="21"/>
          <w:szCs w:val="21"/>
        </w:rPr>
        <w:t xml:space="preserve"> </w:t>
      </w:r>
      <w:r w:rsidRPr="008F2F9E">
        <w:rPr>
          <w:rFonts w:ascii="Abadi" w:hAnsi="Abadi"/>
          <w:b w:val="0"/>
          <w:bCs w:val="0"/>
          <w:sz w:val="21"/>
          <w:szCs w:val="21"/>
        </w:rPr>
        <w:t>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DBC0716" w14:textId="77777777" w:rsidR="008F2F9E" w:rsidRDefault="008F2F9E" w:rsidP="004A0A8A">
      <w:pPr>
        <w:ind w:firstLine="708"/>
        <w:jc w:val="both"/>
        <w:rPr>
          <w:rFonts w:ascii="Abadi" w:hAnsi="Abadi" w:cs="Arial"/>
          <w:b/>
          <w:bCs/>
          <w:sz w:val="21"/>
          <w:szCs w:val="21"/>
          <w:lang w:val="es-MX" w:eastAsia="x-none"/>
        </w:rPr>
      </w:pPr>
    </w:p>
    <w:p w14:paraId="2A4914E2" w14:textId="6931FCCC" w:rsidR="004A0A8A" w:rsidRPr="003F43F9" w:rsidRDefault="004A0A8A" w:rsidP="004A0A8A">
      <w:pPr>
        <w:ind w:firstLine="708"/>
        <w:jc w:val="both"/>
        <w:rPr>
          <w:rFonts w:ascii="Abadi" w:hAnsi="Abadi" w:cs="Arial"/>
          <w:b/>
          <w:bCs/>
          <w:sz w:val="21"/>
          <w:szCs w:val="21"/>
          <w:lang w:val="es-MX" w:eastAsia="x-none"/>
        </w:rPr>
      </w:pPr>
      <w:r w:rsidRPr="003F43F9">
        <w:rPr>
          <w:rFonts w:ascii="Abadi" w:hAnsi="Abadi" w:cs="Arial"/>
          <w:b/>
          <w:bCs/>
          <w:sz w:val="21"/>
          <w:szCs w:val="21"/>
          <w:lang w:val="es-MX" w:eastAsia="x-none"/>
        </w:rPr>
        <w:t>II. Antecedentes:</w:t>
      </w:r>
    </w:p>
    <w:p w14:paraId="50B2E7B6" w14:textId="77777777" w:rsidR="004A0A8A" w:rsidRPr="003F43F9" w:rsidRDefault="004A0A8A" w:rsidP="004A0A8A">
      <w:pPr>
        <w:ind w:firstLine="708"/>
        <w:jc w:val="both"/>
        <w:rPr>
          <w:rFonts w:ascii="Abadi" w:hAnsi="Abadi" w:cs="Arial"/>
          <w:sz w:val="21"/>
          <w:szCs w:val="21"/>
          <w:lang w:val="es-MX" w:eastAsia="x-none"/>
        </w:rPr>
      </w:pPr>
    </w:p>
    <w:p w14:paraId="7A700123"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3F43F9">
          <w:rPr>
            <w:rFonts w:ascii="Abadi" w:hAnsi="Abadi" w:cs="Arial"/>
            <w:sz w:val="21"/>
            <w:szCs w:val="21"/>
            <w:lang w:val="es-MX" w:eastAsia="x-none"/>
          </w:rPr>
          <w:t>la Constitución Política</w:t>
        </w:r>
      </w:smartTag>
      <w:r w:rsidRPr="003F43F9">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35E89B9E" w14:textId="77777777" w:rsidR="004A0A8A" w:rsidRPr="003F43F9" w:rsidRDefault="004A0A8A" w:rsidP="004A0A8A">
      <w:pPr>
        <w:ind w:firstLine="708"/>
        <w:jc w:val="both"/>
        <w:rPr>
          <w:rFonts w:ascii="Abadi" w:hAnsi="Abadi" w:cs="Arial"/>
          <w:sz w:val="21"/>
          <w:szCs w:val="21"/>
          <w:lang w:val="es-MX" w:eastAsia="x-none"/>
        </w:rPr>
      </w:pPr>
    </w:p>
    <w:p w14:paraId="37A6D8A3"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6D1AFB2" w14:textId="77777777" w:rsidR="004A0A8A" w:rsidRPr="008F2F9E" w:rsidRDefault="004A0A8A" w:rsidP="004A0A8A">
      <w:pPr>
        <w:pStyle w:val="Textoindependiente"/>
        <w:ind w:firstLine="708"/>
        <w:rPr>
          <w:rFonts w:ascii="Abadi" w:hAnsi="Abadi"/>
          <w:b w:val="0"/>
          <w:bCs w:val="0"/>
          <w:sz w:val="21"/>
          <w:szCs w:val="21"/>
        </w:rPr>
      </w:pPr>
    </w:p>
    <w:p w14:paraId="054E0846"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1DA01948" w14:textId="77777777" w:rsidR="004A0A8A" w:rsidRPr="008F2F9E" w:rsidRDefault="004A0A8A" w:rsidP="004A0A8A">
      <w:pPr>
        <w:pStyle w:val="Textoindependiente"/>
        <w:ind w:firstLine="708"/>
        <w:rPr>
          <w:rFonts w:ascii="Abadi" w:hAnsi="Abadi"/>
          <w:b w:val="0"/>
          <w:bCs w:val="0"/>
          <w:sz w:val="21"/>
          <w:szCs w:val="21"/>
        </w:rPr>
      </w:pPr>
    </w:p>
    <w:p w14:paraId="21F6AD4F"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w:t>
      </w:r>
      <w:r w:rsidRPr="008F2F9E">
        <w:rPr>
          <w:rFonts w:ascii="Abadi" w:hAnsi="Abadi"/>
          <w:b w:val="0"/>
          <w:bCs w:val="0"/>
          <w:sz w:val="21"/>
          <w:szCs w:val="21"/>
        </w:rPr>
        <w:lastRenderedPageBreak/>
        <w:t>páginas de internet de los sujetos de fiscalización.</w:t>
      </w:r>
    </w:p>
    <w:p w14:paraId="0F63747D" w14:textId="77777777" w:rsidR="004A0A8A" w:rsidRPr="003F43F9" w:rsidRDefault="004A0A8A" w:rsidP="004A0A8A">
      <w:pPr>
        <w:pStyle w:val="Textoindependiente"/>
        <w:ind w:firstLine="708"/>
        <w:rPr>
          <w:rFonts w:ascii="Abadi" w:hAnsi="Abadi"/>
          <w:sz w:val="21"/>
          <w:szCs w:val="21"/>
        </w:rPr>
      </w:pPr>
    </w:p>
    <w:p w14:paraId="75788924"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C3230F3" w14:textId="77777777" w:rsidR="004A0A8A" w:rsidRPr="008F2F9E" w:rsidRDefault="004A0A8A" w:rsidP="004A0A8A">
      <w:pPr>
        <w:ind w:firstLine="708"/>
        <w:jc w:val="both"/>
        <w:rPr>
          <w:rFonts w:ascii="Abadi" w:hAnsi="Abadi" w:cs="Arial"/>
          <w:sz w:val="21"/>
          <w:szCs w:val="21"/>
          <w:lang w:val="es-MX" w:eastAsia="x-none"/>
        </w:rPr>
      </w:pPr>
    </w:p>
    <w:p w14:paraId="1C8CB252"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3F43F9">
          <w:rPr>
            <w:rFonts w:ascii="Abadi" w:hAnsi="Abadi" w:cs="Arial"/>
            <w:sz w:val="21"/>
            <w:szCs w:val="21"/>
            <w:lang w:val="es-MX" w:eastAsia="x-none"/>
          </w:rPr>
          <w:t>la Ley Orgánica</w:t>
        </w:r>
      </w:smartTag>
      <w:r w:rsidRPr="003F43F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5CA1B7AC" w14:textId="77777777" w:rsidR="004A0A8A" w:rsidRPr="003F43F9" w:rsidRDefault="004A0A8A" w:rsidP="004A0A8A">
      <w:pPr>
        <w:ind w:firstLine="708"/>
        <w:jc w:val="both"/>
        <w:rPr>
          <w:rFonts w:ascii="Abadi" w:hAnsi="Abadi" w:cs="Arial"/>
          <w:sz w:val="21"/>
          <w:szCs w:val="21"/>
          <w:lang w:val="es-MX" w:eastAsia="x-none"/>
        </w:rPr>
      </w:pPr>
    </w:p>
    <w:p w14:paraId="398CFB78" w14:textId="77777777" w:rsidR="004A0A8A" w:rsidRPr="003F43F9" w:rsidRDefault="004A0A8A" w:rsidP="004A0A8A">
      <w:pPr>
        <w:ind w:right="60" w:firstLine="709"/>
        <w:jc w:val="both"/>
        <w:rPr>
          <w:rFonts w:ascii="Abadi" w:hAnsi="Abadi" w:cs="Arial"/>
          <w:sz w:val="21"/>
          <w:szCs w:val="21"/>
          <w:lang w:val="es-MX" w:eastAsia="x-none"/>
        </w:rPr>
      </w:pPr>
      <w:r w:rsidRPr="003F43F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097FFB6" w14:textId="77777777" w:rsidR="004A0A8A" w:rsidRPr="003F43F9" w:rsidRDefault="004A0A8A" w:rsidP="004A0A8A">
      <w:pPr>
        <w:ind w:right="58" w:firstLine="709"/>
        <w:jc w:val="both"/>
        <w:rPr>
          <w:rFonts w:ascii="Abadi" w:eastAsia="DejaVu Sans" w:hAnsi="Abadi" w:cs="Tahoma"/>
          <w:iCs/>
          <w:kern w:val="1"/>
          <w:sz w:val="21"/>
          <w:szCs w:val="21"/>
          <w:lang w:eastAsia="ar-SA"/>
        </w:rPr>
      </w:pPr>
    </w:p>
    <w:p w14:paraId="1239D026"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4EF2EBFD" w14:textId="77777777" w:rsidR="004A0A8A" w:rsidRPr="008F2F9E" w:rsidRDefault="004A0A8A" w:rsidP="004A0A8A">
      <w:pPr>
        <w:pStyle w:val="Textoindependiente"/>
        <w:ind w:firstLine="708"/>
        <w:rPr>
          <w:rFonts w:ascii="Abadi" w:hAnsi="Abadi"/>
          <w:b w:val="0"/>
          <w:bCs w:val="0"/>
          <w:sz w:val="21"/>
          <w:szCs w:val="21"/>
        </w:rPr>
      </w:pPr>
    </w:p>
    <w:p w14:paraId="58542CDD"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049FFF7" w14:textId="77777777" w:rsidR="004A0A8A" w:rsidRPr="003F43F9" w:rsidRDefault="004A0A8A" w:rsidP="004A0A8A">
      <w:pPr>
        <w:pStyle w:val="Textoindependiente"/>
        <w:ind w:firstLine="708"/>
        <w:rPr>
          <w:rFonts w:ascii="Abadi" w:hAnsi="Abadi"/>
          <w:sz w:val="21"/>
          <w:szCs w:val="21"/>
        </w:rPr>
      </w:pPr>
    </w:p>
    <w:p w14:paraId="21ED6CDE" w14:textId="77777777" w:rsidR="004A0A8A" w:rsidRPr="003F43F9" w:rsidRDefault="004A0A8A" w:rsidP="004A0A8A">
      <w:pPr>
        <w:ind w:right="60" w:firstLine="709"/>
        <w:jc w:val="both"/>
        <w:rPr>
          <w:rFonts w:ascii="Abadi" w:hAnsi="Abadi" w:cs="Arial"/>
          <w:sz w:val="21"/>
          <w:szCs w:val="21"/>
          <w:lang w:val="es-MX" w:eastAsia="x-none"/>
        </w:rPr>
      </w:pPr>
      <w:r w:rsidRPr="003F43F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2C7634BA" w14:textId="77777777" w:rsidR="004A0A8A" w:rsidRPr="003F43F9" w:rsidRDefault="004A0A8A" w:rsidP="004A0A8A">
      <w:pPr>
        <w:pStyle w:val="Textoindependiente"/>
        <w:ind w:firstLine="708"/>
        <w:rPr>
          <w:rFonts w:ascii="Abadi" w:hAnsi="Abadi"/>
          <w:sz w:val="21"/>
          <w:szCs w:val="21"/>
        </w:rPr>
      </w:pPr>
    </w:p>
    <w:p w14:paraId="4DD18043"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7932691F" w14:textId="77777777" w:rsidR="004A0A8A" w:rsidRPr="003F43F9" w:rsidRDefault="004A0A8A" w:rsidP="004A0A8A">
      <w:pPr>
        <w:pStyle w:val="Textoindependiente"/>
        <w:ind w:firstLine="708"/>
        <w:rPr>
          <w:rFonts w:ascii="Abadi" w:hAnsi="Abadi"/>
          <w:sz w:val="21"/>
          <w:szCs w:val="21"/>
        </w:rPr>
      </w:pPr>
    </w:p>
    <w:p w14:paraId="1DF7C1DA" w14:textId="77777777" w:rsidR="004A0A8A" w:rsidRPr="003F43F9" w:rsidRDefault="004A0A8A" w:rsidP="004A0A8A">
      <w:pPr>
        <w:tabs>
          <w:tab w:val="left" w:pos="709"/>
        </w:tabs>
        <w:jc w:val="both"/>
        <w:rPr>
          <w:rFonts w:ascii="Abadi" w:hAnsi="Abadi" w:cs="Arial"/>
          <w:sz w:val="21"/>
          <w:szCs w:val="21"/>
          <w:lang w:val="es-MX" w:eastAsia="x-none"/>
        </w:rPr>
      </w:pPr>
      <w:r w:rsidRPr="003F43F9">
        <w:rPr>
          <w:rFonts w:ascii="Abadi" w:hAnsi="Abadi" w:cs="Arial"/>
          <w:sz w:val="21"/>
          <w:szCs w:val="21"/>
        </w:rPr>
        <w:tab/>
        <w:t xml:space="preserve">El citado artículo también refiere </w:t>
      </w:r>
      <w:r w:rsidRPr="003F43F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4D477C6" w14:textId="77777777" w:rsidR="004A0A8A" w:rsidRPr="003F43F9" w:rsidRDefault="004A0A8A" w:rsidP="004A0A8A">
      <w:pPr>
        <w:tabs>
          <w:tab w:val="left" w:pos="709"/>
        </w:tabs>
        <w:jc w:val="both"/>
        <w:rPr>
          <w:rFonts w:ascii="Abadi" w:hAnsi="Abadi" w:cs="Arial"/>
          <w:sz w:val="21"/>
          <w:szCs w:val="21"/>
          <w:lang w:val="es-MX" w:eastAsia="x-none"/>
        </w:rPr>
      </w:pPr>
      <w:r w:rsidRPr="003F43F9">
        <w:rPr>
          <w:rFonts w:ascii="Abadi" w:hAnsi="Abadi" w:cs="Arial"/>
          <w:sz w:val="21"/>
          <w:szCs w:val="21"/>
          <w:lang w:val="es-MX" w:eastAsia="x-none"/>
        </w:rPr>
        <w:tab/>
        <w:t xml:space="preserve">En términos del numeral 23 de la </w:t>
      </w:r>
      <w:r w:rsidRPr="003F43F9">
        <w:rPr>
          <w:rFonts w:ascii="Abadi" w:hAnsi="Abadi" w:cs="Arial"/>
          <w:sz w:val="21"/>
          <w:szCs w:val="21"/>
        </w:rPr>
        <w:t>Ley de Fiscalización Superior del Estado de Guanajuato, p</w:t>
      </w:r>
      <w:r w:rsidRPr="003F43F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603CDE2" w14:textId="77777777" w:rsidR="004A0A8A" w:rsidRPr="003F43F9" w:rsidRDefault="004A0A8A" w:rsidP="004A0A8A">
      <w:pPr>
        <w:tabs>
          <w:tab w:val="left" w:pos="709"/>
        </w:tabs>
        <w:jc w:val="both"/>
        <w:rPr>
          <w:rFonts w:ascii="Abadi" w:hAnsi="Abadi" w:cs="Arial"/>
          <w:sz w:val="21"/>
          <w:szCs w:val="21"/>
          <w:lang w:val="es-MX" w:eastAsia="x-none"/>
        </w:rPr>
      </w:pPr>
    </w:p>
    <w:p w14:paraId="7AFE209A" w14:textId="77777777" w:rsidR="004A0A8A" w:rsidRPr="003F43F9" w:rsidRDefault="004A0A8A" w:rsidP="004A0A8A">
      <w:pPr>
        <w:pStyle w:val="Texto"/>
        <w:spacing w:after="0" w:line="240" w:lineRule="auto"/>
        <w:ind w:firstLine="708"/>
        <w:rPr>
          <w:rFonts w:ascii="Abadi" w:hAnsi="Abadi" w:cs="Arial"/>
          <w:sz w:val="21"/>
          <w:szCs w:val="21"/>
          <w:lang w:val="es-MX"/>
        </w:rPr>
      </w:pPr>
      <w:r w:rsidRPr="003F43F9">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w:t>
      </w:r>
      <w:r w:rsidRPr="003F43F9">
        <w:rPr>
          <w:rFonts w:ascii="Abadi" w:hAnsi="Abadi" w:cs="Arial"/>
          <w:sz w:val="21"/>
          <w:szCs w:val="21"/>
          <w:lang w:val="es-MX"/>
        </w:rPr>
        <w:lastRenderedPageBreak/>
        <w:t xml:space="preserve">correspondientes a los ingresos y gastos públicos presupuestarios se elaborarán sobre la base de devengado y, adicionalmente, se presentarán en flujo de efectivo. </w:t>
      </w:r>
    </w:p>
    <w:p w14:paraId="0235BB6B" w14:textId="77777777" w:rsidR="004A0A8A" w:rsidRPr="003F43F9" w:rsidRDefault="004A0A8A" w:rsidP="004A0A8A">
      <w:pPr>
        <w:pStyle w:val="Texto"/>
        <w:spacing w:after="0" w:line="240" w:lineRule="auto"/>
        <w:ind w:firstLine="708"/>
        <w:rPr>
          <w:rFonts w:ascii="Abadi" w:hAnsi="Abadi" w:cs="Arial"/>
          <w:sz w:val="21"/>
          <w:szCs w:val="21"/>
          <w:lang w:val="es-MX"/>
        </w:rPr>
      </w:pPr>
    </w:p>
    <w:p w14:paraId="6263BAEE" w14:textId="77777777" w:rsidR="004A0A8A" w:rsidRPr="003F43F9" w:rsidRDefault="004A0A8A" w:rsidP="004A0A8A">
      <w:pPr>
        <w:pStyle w:val="Texto"/>
        <w:spacing w:after="0" w:line="240" w:lineRule="auto"/>
        <w:ind w:firstLine="708"/>
        <w:rPr>
          <w:rFonts w:ascii="Abadi" w:hAnsi="Abadi" w:cs="Arial"/>
          <w:sz w:val="21"/>
          <w:szCs w:val="21"/>
          <w:lang w:val="es-MX"/>
        </w:rPr>
      </w:pPr>
      <w:r w:rsidRPr="003F43F9">
        <w:rPr>
          <w:rFonts w:ascii="Abadi" w:hAnsi="Abadi" w:cs="Arial"/>
          <w:sz w:val="21"/>
          <w:szCs w:val="21"/>
          <w:lang w:val="es-MX"/>
        </w:rPr>
        <w:t xml:space="preserve">En cumplimiento a los citados preceptos, en su oportunidad se remitió a este Congreso del Estado, la cuenta pública municipal de León, </w:t>
      </w:r>
      <w:proofErr w:type="spellStart"/>
      <w:r w:rsidRPr="003F43F9">
        <w:rPr>
          <w:rFonts w:ascii="Abadi" w:hAnsi="Abadi" w:cs="Arial"/>
          <w:sz w:val="21"/>
          <w:szCs w:val="21"/>
          <w:lang w:val="es-MX"/>
        </w:rPr>
        <w:t>Gto</w:t>
      </w:r>
      <w:proofErr w:type="spellEnd"/>
      <w:r w:rsidRPr="003F43F9">
        <w:rPr>
          <w:rFonts w:ascii="Abadi" w:hAnsi="Abadi" w:cs="Arial"/>
          <w:sz w:val="21"/>
          <w:szCs w:val="21"/>
          <w:lang w:val="es-MX"/>
        </w:rPr>
        <w:t>., correspondiente al ejercicio fiscal del año 2021, turnándose a la Auditoría Superior del Estado para su revisión.</w:t>
      </w:r>
    </w:p>
    <w:p w14:paraId="27072C1C" w14:textId="77777777" w:rsidR="004A0A8A" w:rsidRPr="003F43F9" w:rsidRDefault="004A0A8A" w:rsidP="004A0A8A">
      <w:pPr>
        <w:pStyle w:val="Textoindependiente"/>
        <w:ind w:firstLine="708"/>
        <w:rPr>
          <w:rFonts w:ascii="Abadi" w:hAnsi="Abadi"/>
          <w:sz w:val="21"/>
          <w:szCs w:val="21"/>
        </w:rPr>
      </w:pPr>
    </w:p>
    <w:p w14:paraId="5933EB03"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37CBBED0" w14:textId="77777777" w:rsidR="004A0A8A" w:rsidRPr="003F43F9" w:rsidRDefault="004A0A8A" w:rsidP="004A0A8A">
      <w:pPr>
        <w:pStyle w:val="Textoindependiente"/>
        <w:ind w:firstLine="708"/>
        <w:rPr>
          <w:rFonts w:ascii="Abadi" w:hAnsi="Abadi"/>
          <w:sz w:val="21"/>
          <w:szCs w:val="21"/>
        </w:rPr>
      </w:pPr>
    </w:p>
    <w:p w14:paraId="1E63FA8C"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correspondiente al ejercicio fiscal del año 2021.</w:t>
      </w:r>
    </w:p>
    <w:p w14:paraId="7C8F7D2F" w14:textId="77777777" w:rsidR="004A0A8A" w:rsidRPr="008F2F9E" w:rsidRDefault="004A0A8A" w:rsidP="004A0A8A">
      <w:pPr>
        <w:ind w:firstLine="708"/>
        <w:jc w:val="both"/>
        <w:rPr>
          <w:rFonts w:ascii="Abadi" w:hAnsi="Abadi" w:cs="Arial"/>
          <w:sz w:val="21"/>
          <w:szCs w:val="21"/>
          <w:lang w:val="es-MX" w:eastAsia="x-none"/>
        </w:rPr>
      </w:pPr>
    </w:p>
    <w:p w14:paraId="27C27A59"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3F43F9">
        <w:rPr>
          <w:rFonts w:ascii="Abadi" w:hAnsi="Abadi" w:cs="Arial"/>
          <w:bCs/>
          <w:sz w:val="21"/>
          <w:szCs w:val="21"/>
          <w:lang w:val="es-MX" w:eastAsia="x-none"/>
        </w:rPr>
        <w:t>el 4 de mayo de 2023,</w:t>
      </w:r>
      <w:r w:rsidRPr="003F43F9">
        <w:rPr>
          <w:rFonts w:ascii="Abadi" w:hAnsi="Abadi" w:cs="Arial"/>
          <w:sz w:val="21"/>
          <w:szCs w:val="21"/>
          <w:lang w:val="es-MX" w:eastAsia="x-none"/>
        </w:rPr>
        <w:t xml:space="preserve"> para su estudio y dictamen,</w:t>
      </w:r>
      <w:r w:rsidRPr="003F43F9">
        <w:rPr>
          <w:rFonts w:ascii="Abadi" w:hAnsi="Abadi" w:cs="Arial"/>
          <w:b/>
          <w:sz w:val="21"/>
          <w:szCs w:val="21"/>
          <w:lang w:val="es-MX" w:eastAsia="x-none"/>
        </w:rPr>
        <w:t xml:space="preserve"> </w:t>
      </w:r>
      <w:r w:rsidRPr="003F43F9">
        <w:rPr>
          <w:rFonts w:ascii="Abadi" w:hAnsi="Abadi" w:cs="Arial"/>
          <w:sz w:val="21"/>
          <w:szCs w:val="21"/>
          <w:lang w:val="es-MX" w:eastAsia="x-none"/>
        </w:rPr>
        <w:t>siendo radicado el 9 de mayo del año en curso.</w:t>
      </w:r>
    </w:p>
    <w:p w14:paraId="6ADC6EFD" w14:textId="77777777" w:rsidR="004A0A8A" w:rsidRPr="003F43F9" w:rsidRDefault="004A0A8A" w:rsidP="004A0A8A">
      <w:pPr>
        <w:ind w:firstLine="708"/>
        <w:jc w:val="both"/>
        <w:rPr>
          <w:rFonts w:ascii="Abadi" w:hAnsi="Abadi" w:cs="Arial"/>
          <w:sz w:val="21"/>
          <w:szCs w:val="21"/>
          <w:lang w:val="es-MX" w:eastAsia="x-none"/>
        </w:rPr>
      </w:pPr>
    </w:p>
    <w:p w14:paraId="259AC4C4" w14:textId="77777777" w:rsidR="004A0A8A" w:rsidRPr="003F43F9" w:rsidRDefault="004A0A8A" w:rsidP="004A0A8A">
      <w:pPr>
        <w:ind w:firstLine="708"/>
        <w:jc w:val="both"/>
        <w:rPr>
          <w:rFonts w:ascii="Abadi" w:hAnsi="Abadi" w:cs="Arial"/>
          <w:sz w:val="21"/>
          <w:szCs w:val="21"/>
          <w:lang w:val="es-MX" w:eastAsia="x-none"/>
        </w:rPr>
      </w:pPr>
    </w:p>
    <w:p w14:paraId="3D7B5990" w14:textId="77777777" w:rsidR="004A0A8A" w:rsidRPr="008F2F9E" w:rsidRDefault="004A0A8A" w:rsidP="004A0A8A">
      <w:pPr>
        <w:pStyle w:val="Textoindependiente"/>
        <w:ind w:firstLine="708"/>
        <w:rPr>
          <w:rFonts w:ascii="Abadi" w:hAnsi="Abadi"/>
          <w:sz w:val="21"/>
          <w:szCs w:val="21"/>
        </w:rPr>
      </w:pPr>
      <w:r w:rsidRPr="008F2F9E">
        <w:rPr>
          <w:rFonts w:ascii="Abadi" w:hAnsi="Abadi"/>
          <w:sz w:val="21"/>
          <w:szCs w:val="21"/>
        </w:rPr>
        <w:t>III. Procedimiento de Revisión:</w:t>
      </w:r>
    </w:p>
    <w:p w14:paraId="4027B24B" w14:textId="77777777" w:rsidR="004A0A8A" w:rsidRPr="003F43F9" w:rsidRDefault="004A0A8A" w:rsidP="004A0A8A">
      <w:pPr>
        <w:pStyle w:val="Textoindependiente"/>
        <w:ind w:firstLine="708"/>
        <w:rPr>
          <w:rFonts w:ascii="Abadi" w:hAnsi="Abadi"/>
          <w:sz w:val="21"/>
          <w:szCs w:val="21"/>
        </w:rPr>
      </w:pPr>
    </w:p>
    <w:p w14:paraId="4DEFBDF0"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La revisión de la cuenta pública municipal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0156801A" w14:textId="77777777" w:rsidR="004A0A8A" w:rsidRPr="003F43F9" w:rsidRDefault="004A0A8A" w:rsidP="004A0A8A">
      <w:pPr>
        <w:pStyle w:val="Textoindependiente"/>
        <w:ind w:firstLine="708"/>
        <w:rPr>
          <w:rFonts w:ascii="Abadi" w:hAnsi="Abadi"/>
          <w:sz w:val="21"/>
          <w:szCs w:val="21"/>
        </w:rPr>
      </w:pPr>
    </w:p>
    <w:p w14:paraId="6E7D05BD"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Asimismo, dentro del objetivo de la revisión también se encuentra el de comprobar que la gestión financiera del sujeto </w:t>
      </w:r>
      <w:r w:rsidRPr="008F2F9E">
        <w:rPr>
          <w:rFonts w:ascii="Abadi" w:hAnsi="Abadi"/>
          <w:b w:val="0"/>
          <w:bCs w:val="0"/>
          <w:sz w:val="21"/>
          <w:szCs w:val="21"/>
        </w:rPr>
        <w:t>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w:t>
      </w:r>
      <w:r w:rsidRPr="003F43F9">
        <w:rPr>
          <w:rFonts w:ascii="Abadi" w:hAnsi="Abadi"/>
          <w:sz w:val="21"/>
          <w:szCs w:val="21"/>
        </w:rPr>
        <w:t xml:space="preserve"> </w:t>
      </w:r>
      <w:r w:rsidRPr="008F2F9E">
        <w:rPr>
          <w:rFonts w:ascii="Abadi" w:hAnsi="Abadi"/>
          <w:b w:val="0"/>
          <w:bCs w:val="0"/>
          <w:sz w:val="21"/>
          <w:szCs w:val="21"/>
        </w:rPr>
        <w:t>incluir en la cuenta pública, conforme a las disposiciones aplicables.</w:t>
      </w:r>
    </w:p>
    <w:p w14:paraId="4D520884" w14:textId="77777777" w:rsidR="004A0A8A" w:rsidRPr="008F2F9E" w:rsidRDefault="004A0A8A" w:rsidP="004A0A8A">
      <w:pPr>
        <w:pStyle w:val="Textoindependiente"/>
        <w:ind w:firstLine="708"/>
        <w:rPr>
          <w:rFonts w:ascii="Abadi" w:hAnsi="Abadi"/>
          <w:b w:val="0"/>
          <w:bCs w:val="0"/>
          <w:sz w:val="21"/>
          <w:szCs w:val="21"/>
        </w:rPr>
      </w:pPr>
    </w:p>
    <w:p w14:paraId="5F1D81B3"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63633C42" w14:textId="77777777" w:rsidR="004A0A8A" w:rsidRPr="008F2F9E" w:rsidRDefault="004A0A8A" w:rsidP="004A0A8A">
      <w:pPr>
        <w:pStyle w:val="Textoindependiente"/>
        <w:ind w:firstLine="708"/>
        <w:rPr>
          <w:rFonts w:ascii="Abadi" w:hAnsi="Abadi"/>
          <w:b w:val="0"/>
          <w:bCs w:val="0"/>
          <w:sz w:val="21"/>
          <w:szCs w:val="21"/>
        </w:rPr>
      </w:pPr>
    </w:p>
    <w:p w14:paraId="710B9640" w14:textId="77777777" w:rsidR="004A0A8A" w:rsidRPr="008F2F9E" w:rsidRDefault="004A0A8A" w:rsidP="004A0A8A">
      <w:pPr>
        <w:pStyle w:val="Textoindependiente"/>
        <w:ind w:firstLine="708"/>
        <w:rPr>
          <w:rFonts w:ascii="Abadi" w:hAnsi="Abadi"/>
          <w:b w:val="0"/>
          <w:bCs w:val="0"/>
          <w:sz w:val="21"/>
          <w:szCs w:val="21"/>
        </w:rPr>
      </w:pPr>
    </w:p>
    <w:p w14:paraId="64901321"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w:t>
      </w:r>
      <w:r w:rsidRPr="008F2F9E">
        <w:rPr>
          <w:rFonts w:ascii="Abadi" w:hAnsi="Abadi"/>
          <w:b w:val="0"/>
          <w:bCs w:val="0"/>
          <w:sz w:val="21"/>
          <w:szCs w:val="21"/>
        </w:rPr>
        <w:lastRenderedPageBreak/>
        <w:t>no contienen errores importantes y que están integradas de acuerdo con las bases contables emitidas por el Consejo Nacional de Armonización Contable.</w:t>
      </w:r>
    </w:p>
    <w:p w14:paraId="063AB8D3" w14:textId="77777777" w:rsidR="004A0A8A" w:rsidRPr="003F43F9" w:rsidRDefault="004A0A8A" w:rsidP="004A0A8A">
      <w:pPr>
        <w:pStyle w:val="Textoindependiente"/>
        <w:ind w:firstLine="708"/>
        <w:rPr>
          <w:rFonts w:ascii="Abadi" w:hAnsi="Abadi"/>
          <w:sz w:val="21"/>
          <w:szCs w:val="21"/>
        </w:rPr>
      </w:pPr>
    </w:p>
    <w:p w14:paraId="15D13658"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El informe de resultados establece que se practicó la revisión de la cuenta pública</w:t>
      </w:r>
      <w:r w:rsidRPr="003F43F9">
        <w:rPr>
          <w:rFonts w:ascii="Abadi" w:hAnsi="Abadi"/>
          <w:sz w:val="21"/>
          <w:szCs w:val="21"/>
        </w:rPr>
        <w:t xml:space="preserve"> </w:t>
      </w:r>
      <w:r w:rsidRPr="008F2F9E">
        <w:rPr>
          <w:rFonts w:ascii="Abadi" w:hAnsi="Abadi"/>
          <w:b w:val="0"/>
          <w:bCs w:val="0"/>
          <w:sz w:val="21"/>
          <w:szCs w:val="21"/>
        </w:rPr>
        <w:t xml:space="preserve">respecto de las operaciones realizadas por la administración pública municipal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correspondientes al ejercicio fiscal 2021, en lo referente a los apartados de ingresos y egresos.</w:t>
      </w:r>
    </w:p>
    <w:p w14:paraId="161E9095" w14:textId="77777777" w:rsidR="004A0A8A" w:rsidRPr="003F43F9" w:rsidRDefault="004A0A8A" w:rsidP="004A0A8A">
      <w:pPr>
        <w:pStyle w:val="Textoindependiente"/>
        <w:ind w:firstLine="705"/>
        <w:rPr>
          <w:rFonts w:ascii="Abadi" w:hAnsi="Abadi"/>
          <w:sz w:val="21"/>
          <w:szCs w:val="21"/>
        </w:rPr>
      </w:pPr>
    </w:p>
    <w:p w14:paraId="2D9D69F7" w14:textId="77777777" w:rsidR="004A0A8A" w:rsidRPr="003F43F9" w:rsidRDefault="004A0A8A" w:rsidP="004A0A8A">
      <w:pPr>
        <w:autoSpaceDE w:val="0"/>
        <w:autoSpaceDN w:val="0"/>
        <w:adjustRightInd w:val="0"/>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0AF6E74D" w14:textId="77777777" w:rsidR="004A0A8A" w:rsidRPr="003F43F9" w:rsidRDefault="004A0A8A" w:rsidP="004A0A8A">
      <w:pPr>
        <w:autoSpaceDE w:val="0"/>
        <w:autoSpaceDN w:val="0"/>
        <w:adjustRightInd w:val="0"/>
        <w:ind w:firstLine="708"/>
        <w:jc w:val="both"/>
        <w:rPr>
          <w:rFonts w:ascii="Abadi" w:hAnsi="Abadi" w:cs="Arial"/>
          <w:sz w:val="21"/>
          <w:szCs w:val="21"/>
          <w:lang w:val="es-MX" w:eastAsia="x-none"/>
        </w:rPr>
      </w:pPr>
    </w:p>
    <w:p w14:paraId="2C39D3D6" w14:textId="77777777" w:rsidR="004A0A8A" w:rsidRPr="003F43F9" w:rsidRDefault="004A0A8A" w:rsidP="004A0A8A">
      <w:pPr>
        <w:ind w:firstLine="708"/>
        <w:jc w:val="both"/>
        <w:rPr>
          <w:rFonts w:ascii="Abadi" w:hAnsi="Abadi" w:cs="Arial"/>
          <w:sz w:val="21"/>
          <w:szCs w:val="21"/>
          <w:lang w:val="es-MX" w:eastAsia="x-none"/>
        </w:rPr>
      </w:pPr>
      <w:r w:rsidRPr="003F43F9">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3F43F9">
        <w:rPr>
          <w:rFonts w:ascii="Abadi" w:hAnsi="Abadi" w:cs="Arial"/>
          <w:sz w:val="21"/>
          <w:szCs w:val="21"/>
          <w:lang w:val="es-MX" w:eastAsia="x-none"/>
        </w:rPr>
        <w:t>fiscalizado</w:t>
      </w:r>
      <w:proofErr w:type="spellEnd"/>
      <w:r w:rsidRPr="003F43F9">
        <w:rPr>
          <w:rFonts w:ascii="Abadi" w:hAnsi="Abadi" w:cs="Arial"/>
          <w:sz w:val="21"/>
          <w:szCs w:val="21"/>
          <w:lang w:val="es-MX" w:eastAsia="x-none"/>
        </w:rPr>
        <w:t xml:space="preserve">,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w:t>
      </w:r>
      <w:r w:rsidRPr="003F43F9">
        <w:rPr>
          <w:rFonts w:ascii="Abadi" w:hAnsi="Abadi" w:cs="Arial"/>
          <w:sz w:val="21"/>
          <w:szCs w:val="21"/>
          <w:lang w:val="es-MX" w:eastAsia="x-none"/>
        </w:rPr>
        <w:t>la auditoría, que se refiere sólo a las operaciones revisadas.</w:t>
      </w:r>
    </w:p>
    <w:p w14:paraId="418088EA" w14:textId="77777777" w:rsidR="004A0A8A" w:rsidRPr="003F43F9" w:rsidRDefault="004A0A8A" w:rsidP="004A0A8A">
      <w:pPr>
        <w:ind w:firstLine="708"/>
        <w:jc w:val="both"/>
        <w:rPr>
          <w:rFonts w:ascii="Abadi" w:hAnsi="Abadi" w:cs="Arial"/>
          <w:sz w:val="21"/>
          <w:szCs w:val="21"/>
          <w:lang w:val="es-MX" w:eastAsia="x-none"/>
        </w:rPr>
      </w:pPr>
    </w:p>
    <w:p w14:paraId="7B11607B"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El 30 de junio de 2022 se notificó a la presidenta municipal de León, </w:t>
      </w:r>
      <w:proofErr w:type="spellStart"/>
      <w:r w:rsidRPr="003F43F9">
        <w:rPr>
          <w:rFonts w:ascii="Abadi" w:hAnsi="Abadi" w:cs="Arial"/>
          <w:sz w:val="21"/>
          <w:szCs w:val="21"/>
        </w:rPr>
        <w:t>Gto</w:t>
      </w:r>
      <w:proofErr w:type="spellEnd"/>
      <w:r w:rsidRPr="003F43F9">
        <w:rPr>
          <w:rFonts w:ascii="Abadi" w:hAnsi="Abadi" w:cs="Arial"/>
          <w:sz w:val="21"/>
          <w:szCs w:val="21"/>
        </w:rPr>
        <w:t>., la orden de inicio del procedimiento de revisión de la cuenta pública.</w:t>
      </w:r>
    </w:p>
    <w:p w14:paraId="64AF48F7" w14:textId="77777777" w:rsidR="004A0A8A" w:rsidRPr="003F43F9" w:rsidRDefault="004A0A8A" w:rsidP="004A0A8A">
      <w:pPr>
        <w:ind w:firstLine="708"/>
        <w:jc w:val="both"/>
        <w:rPr>
          <w:rFonts w:ascii="Abadi" w:hAnsi="Abadi" w:cs="Arial"/>
          <w:sz w:val="21"/>
          <w:szCs w:val="21"/>
        </w:rPr>
      </w:pPr>
    </w:p>
    <w:p w14:paraId="338F165B"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El 29 de noviembre de 2022 se notificó a la presidenta municipal de León, </w:t>
      </w:r>
      <w:proofErr w:type="spellStart"/>
      <w:r w:rsidRPr="003F43F9">
        <w:rPr>
          <w:rFonts w:ascii="Abadi" w:hAnsi="Abadi" w:cs="Arial"/>
          <w:sz w:val="21"/>
          <w:szCs w:val="21"/>
        </w:rPr>
        <w:t>Gto</w:t>
      </w:r>
      <w:proofErr w:type="spellEnd"/>
      <w:r w:rsidRPr="003F43F9">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135966BF" w14:textId="77777777" w:rsidR="004A0A8A" w:rsidRPr="003F43F9" w:rsidRDefault="004A0A8A" w:rsidP="004A0A8A">
      <w:pPr>
        <w:ind w:firstLine="708"/>
        <w:jc w:val="both"/>
        <w:rPr>
          <w:rFonts w:ascii="Abadi" w:hAnsi="Abadi" w:cs="Arial"/>
          <w:sz w:val="21"/>
          <w:szCs w:val="21"/>
        </w:rPr>
      </w:pPr>
    </w:p>
    <w:p w14:paraId="67C75E03"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Posteriormente, el 21 de febrero de 2023, se notificó a la presidenta y al ex presidente municipales de León, </w:t>
      </w:r>
      <w:proofErr w:type="spellStart"/>
      <w:r w:rsidRPr="003F43F9">
        <w:rPr>
          <w:rFonts w:ascii="Abadi" w:hAnsi="Abadi" w:cs="Arial"/>
          <w:sz w:val="21"/>
          <w:szCs w:val="21"/>
        </w:rPr>
        <w:t>Gto</w:t>
      </w:r>
      <w:proofErr w:type="spellEnd"/>
      <w:r w:rsidRPr="003F43F9">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el 14 de marzo de 2023, por parte de la presidenta municipal y el 15 de marzo de 2023, por parte del ex presidente y la tesorera municipales de León, </w:t>
      </w:r>
      <w:proofErr w:type="spellStart"/>
      <w:r w:rsidRPr="003F43F9">
        <w:rPr>
          <w:rFonts w:ascii="Abadi" w:hAnsi="Abadi" w:cs="Arial"/>
          <w:sz w:val="21"/>
          <w:szCs w:val="21"/>
        </w:rPr>
        <w:t>Gto</w:t>
      </w:r>
      <w:proofErr w:type="spellEnd"/>
      <w:r w:rsidRPr="003F43F9">
        <w:rPr>
          <w:rFonts w:ascii="Abadi" w:hAnsi="Abadi" w:cs="Arial"/>
          <w:sz w:val="21"/>
          <w:szCs w:val="21"/>
        </w:rPr>
        <w:t>.</w:t>
      </w:r>
    </w:p>
    <w:p w14:paraId="666E94DF" w14:textId="77777777" w:rsidR="004A0A8A" w:rsidRPr="003F43F9" w:rsidRDefault="004A0A8A" w:rsidP="004A0A8A">
      <w:pPr>
        <w:ind w:firstLine="708"/>
        <w:jc w:val="both"/>
        <w:rPr>
          <w:rFonts w:ascii="Abadi" w:hAnsi="Abadi" w:cs="Arial"/>
          <w:sz w:val="21"/>
          <w:szCs w:val="21"/>
        </w:rPr>
      </w:pPr>
    </w:p>
    <w:p w14:paraId="3B520B8C"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El 21 de marzo de 2023, el informe de resultados se notificó a la presidenta y al ex presidente municipales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591E036" w14:textId="77777777" w:rsidR="004A0A8A" w:rsidRPr="003F43F9" w:rsidRDefault="004A0A8A" w:rsidP="004A0A8A">
      <w:pPr>
        <w:pStyle w:val="Textoindependiente"/>
        <w:ind w:firstLine="708"/>
        <w:rPr>
          <w:rFonts w:ascii="Abadi" w:hAnsi="Abadi"/>
          <w:sz w:val="21"/>
          <w:szCs w:val="21"/>
        </w:rPr>
      </w:pPr>
    </w:p>
    <w:p w14:paraId="5853561A"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el ex presidente y la presidenta municipales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w:t>
      </w:r>
    </w:p>
    <w:p w14:paraId="101AFF29" w14:textId="77777777" w:rsidR="004A0A8A" w:rsidRPr="003F43F9" w:rsidRDefault="004A0A8A" w:rsidP="004A0A8A">
      <w:pPr>
        <w:ind w:firstLine="708"/>
        <w:jc w:val="both"/>
        <w:rPr>
          <w:rFonts w:ascii="Abadi" w:hAnsi="Abadi"/>
          <w:sz w:val="21"/>
          <w:szCs w:val="21"/>
        </w:rPr>
      </w:pPr>
    </w:p>
    <w:p w14:paraId="76BB87F5"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lastRenderedPageBreak/>
        <w:t xml:space="preserve">Una vez tramitados los recursos, el Auditor Superior el 24 de abril de 2023 emitió la resolución correspondiente, a la cual haremos referencia en un apartado posterior, misma que se notificó al ex presidente y a la presidenta municipales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el 25 de abril de 2023.</w:t>
      </w:r>
    </w:p>
    <w:p w14:paraId="135BA776" w14:textId="77777777" w:rsidR="004A0A8A" w:rsidRPr="003F43F9" w:rsidRDefault="004A0A8A" w:rsidP="004A0A8A">
      <w:pPr>
        <w:ind w:firstLine="708"/>
        <w:jc w:val="both"/>
        <w:rPr>
          <w:rFonts w:ascii="Abadi" w:hAnsi="Abadi" w:cs="Arial"/>
          <w:bCs/>
          <w:sz w:val="21"/>
          <w:szCs w:val="21"/>
        </w:rPr>
      </w:pPr>
    </w:p>
    <w:p w14:paraId="3E340B3F" w14:textId="77777777" w:rsidR="004A0A8A" w:rsidRPr="008F2F9E" w:rsidRDefault="004A0A8A" w:rsidP="004A0A8A">
      <w:pPr>
        <w:pStyle w:val="Textoindependiente"/>
        <w:ind w:firstLine="708"/>
        <w:rPr>
          <w:rFonts w:ascii="Abadi" w:hAnsi="Abadi"/>
          <w:sz w:val="21"/>
          <w:szCs w:val="21"/>
        </w:rPr>
      </w:pPr>
      <w:r w:rsidRPr="008F2F9E">
        <w:rPr>
          <w:rFonts w:ascii="Abadi" w:hAnsi="Abadi"/>
          <w:sz w:val="21"/>
          <w:szCs w:val="21"/>
        </w:rPr>
        <w:t>IV. Contenido del Informe de Resultados:</w:t>
      </w:r>
    </w:p>
    <w:p w14:paraId="6DA03E42" w14:textId="77777777" w:rsidR="004A0A8A" w:rsidRPr="008F2F9E" w:rsidRDefault="004A0A8A" w:rsidP="004A0A8A">
      <w:pPr>
        <w:pStyle w:val="Textoindependiente"/>
        <w:rPr>
          <w:rFonts w:ascii="Abadi" w:hAnsi="Abadi"/>
          <w:sz w:val="21"/>
          <w:szCs w:val="21"/>
        </w:rPr>
      </w:pPr>
    </w:p>
    <w:p w14:paraId="37816A08" w14:textId="77777777" w:rsidR="004A0A8A" w:rsidRPr="008F2F9E" w:rsidRDefault="004A0A8A" w:rsidP="004A0A8A">
      <w:pPr>
        <w:pStyle w:val="Textoindependiente"/>
        <w:rPr>
          <w:rFonts w:ascii="Abadi" w:hAnsi="Abadi"/>
          <w:b w:val="0"/>
          <w:sz w:val="21"/>
          <w:szCs w:val="21"/>
        </w:rPr>
      </w:pPr>
      <w:r w:rsidRPr="003F43F9">
        <w:rPr>
          <w:rFonts w:ascii="Abadi" w:hAnsi="Abadi"/>
          <w:b w:val="0"/>
          <w:bCs w:val="0"/>
          <w:sz w:val="21"/>
          <w:szCs w:val="21"/>
        </w:rPr>
        <w:tab/>
      </w:r>
      <w:r w:rsidRPr="008F2F9E">
        <w:rPr>
          <w:rFonts w:ascii="Abadi" w:hAnsi="Abadi"/>
          <w:b w:val="0"/>
          <w:sz w:val="21"/>
          <w:szCs w:val="21"/>
        </w:rPr>
        <w:t>En cumplimiento a lo establecido por el artículo 37, fracción III de la Ley de Fiscalización Superior del Estado, el informe de resultados contiene los siguientes apartados:</w:t>
      </w:r>
    </w:p>
    <w:p w14:paraId="7ACD78B7" w14:textId="77777777" w:rsidR="004A0A8A" w:rsidRPr="003F43F9" w:rsidRDefault="004A0A8A" w:rsidP="004A0A8A">
      <w:pPr>
        <w:pStyle w:val="Textoindependiente"/>
        <w:rPr>
          <w:rFonts w:ascii="Abadi" w:hAnsi="Abadi"/>
          <w:sz w:val="21"/>
          <w:szCs w:val="21"/>
        </w:rPr>
      </w:pPr>
    </w:p>
    <w:p w14:paraId="379CED15" w14:textId="77777777" w:rsidR="004A0A8A" w:rsidRPr="008F2F9E" w:rsidRDefault="004A0A8A" w:rsidP="00427BD6">
      <w:pPr>
        <w:pStyle w:val="Textoindependiente"/>
        <w:numPr>
          <w:ilvl w:val="0"/>
          <w:numId w:val="9"/>
        </w:numPr>
        <w:autoSpaceDE/>
        <w:autoSpaceDN/>
        <w:rPr>
          <w:rFonts w:ascii="Abadi" w:hAnsi="Abadi"/>
          <w:sz w:val="21"/>
          <w:szCs w:val="21"/>
        </w:rPr>
      </w:pPr>
      <w:r w:rsidRPr="008F2F9E">
        <w:rPr>
          <w:rFonts w:ascii="Abadi" w:hAnsi="Abadi"/>
          <w:sz w:val="21"/>
          <w:szCs w:val="21"/>
        </w:rPr>
        <w:t>Introducción.</w:t>
      </w:r>
    </w:p>
    <w:p w14:paraId="1A4007FD" w14:textId="77777777" w:rsidR="004A0A8A" w:rsidRPr="003F43F9" w:rsidRDefault="004A0A8A" w:rsidP="004A0A8A">
      <w:pPr>
        <w:pStyle w:val="Textoindependiente"/>
        <w:ind w:left="705"/>
        <w:rPr>
          <w:rFonts w:ascii="Abadi" w:hAnsi="Abadi"/>
          <w:b w:val="0"/>
          <w:bCs w:val="0"/>
          <w:sz w:val="21"/>
          <w:szCs w:val="21"/>
        </w:rPr>
      </w:pPr>
    </w:p>
    <w:p w14:paraId="257F21B8"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193D5B26" w14:textId="77777777" w:rsidR="004A0A8A" w:rsidRPr="008F2F9E" w:rsidRDefault="004A0A8A" w:rsidP="004A0A8A">
      <w:pPr>
        <w:pStyle w:val="Textoindependiente"/>
        <w:ind w:firstLine="705"/>
        <w:rPr>
          <w:rFonts w:ascii="Abadi" w:hAnsi="Abadi"/>
          <w:b w:val="0"/>
          <w:bCs w:val="0"/>
          <w:sz w:val="21"/>
          <w:szCs w:val="21"/>
        </w:rPr>
      </w:pPr>
    </w:p>
    <w:p w14:paraId="61DE8955"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31477B7D" w14:textId="77777777" w:rsidR="004A0A8A" w:rsidRPr="008F2F9E" w:rsidRDefault="004A0A8A" w:rsidP="004A0A8A">
      <w:pPr>
        <w:pStyle w:val="Textoindependiente"/>
        <w:ind w:firstLine="705"/>
        <w:rPr>
          <w:rFonts w:ascii="Abadi" w:hAnsi="Abadi"/>
          <w:b w:val="0"/>
          <w:bCs w:val="0"/>
          <w:sz w:val="21"/>
          <w:szCs w:val="21"/>
        </w:rPr>
      </w:pPr>
    </w:p>
    <w:p w14:paraId="1E593CAF"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6079C9FB" w14:textId="77777777" w:rsidR="004A0A8A" w:rsidRPr="003F43F9" w:rsidRDefault="004A0A8A" w:rsidP="004A0A8A">
      <w:pPr>
        <w:jc w:val="both"/>
        <w:rPr>
          <w:rFonts w:ascii="Abadi" w:hAnsi="Abadi" w:cs="Arial"/>
          <w:i/>
          <w:iCs/>
          <w:sz w:val="21"/>
          <w:szCs w:val="21"/>
          <w:lang w:eastAsia="x-none"/>
        </w:rPr>
      </w:pPr>
    </w:p>
    <w:p w14:paraId="3B469C2B" w14:textId="77777777" w:rsidR="004A0A8A" w:rsidRPr="003F43F9" w:rsidRDefault="004A0A8A" w:rsidP="004A0A8A">
      <w:pPr>
        <w:jc w:val="both"/>
        <w:rPr>
          <w:rFonts w:ascii="Abadi" w:hAnsi="Abadi" w:cs="Arial"/>
          <w:i/>
          <w:iCs/>
          <w:sz w:val="21"/>
          <w:szCs w:val="21"/>
          <w:lang w:eastAsia="x-none"/>
        </w:rPr>
      </w:pPr>
      <w:r w:rsidRPr="003F43F9">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1EE1EC60" w14:textId="77777777" w:rsidR="004A0A8A" w:rsidRPr="003F43F9" w:rsidRDefault="004A0A8A" w:rsidP="004A0A8A">
      <w:pPr>
        <w:rPr>
          <w:rFonts w:ascii="Abadi" w:hAnsi="Abadi" w:cs="Arial"/>
          <w:i/>
          <w:iCs/>
          <w:sz w:val="21"/>
          <w:szCs w:val="21"/>
          <w:lang w:eastAsia="x-none"/>
        </w:rPr>
      </w:pPr>
    </w:p>
    <w:p w14:paraId="5C35CEAE" w14:textId="77777777" w:rsidR="004A0A8A" w:rsidRPr="003F43F9" w:rsidRDefault="004A0A8A" w:rsidP="004A0A8A">
      <w:pPr>
        <w:jc w:val="both"/>
        <w:rPr>
          <w:rFonts w:ascii="Abadi" w:hAnsi="Abadi" w:cs="Arial"/>
          <w:i/>
          <w:iCs/>
          <w:sz w:val="21"/>
          <w:szCs w:val="21"/>
          <w:lang w:eastAsia="x-none"/>
        </w:rPr>
      </w:pPr>
      <w:r w:rsidRPr="003F43F9">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746BEB5" w14:textId="77777777" w:rsidR="004A0A8A" w:rsidRPr="003F43F9" w:rsidRDefault="004A0A8A" w:rsidP="004A0A8A">
      <w:pPr>
        <w:jc w:val="both"/>
        <w:rPr>
          <w:rFonts w:ascii="Abadi" w:hAnsi="Abadi" w:cs="Arial"/>
          <w:i/>
          <w:iCs/>
          <w:sz w:val="21"/>
          <w:szCs w:val="21"/>
          <w:lang w:eastAsia="x-none"/>
        </w:rPr>
      </w:pPr>
    </w:p>
    <w:p w14:paraId="100EE2E6" w14:textId="77777777" w:rsidR="004A0A8A" w:rsidRPr="003F43F9" w:rsidRDefault="004A0A8A" w:rsidP="004A0A8A">
      <w:pPr>
        <w:jc w:val="both"/>
        <w:rPr>
          <w:rFonts w:ascii="Abadi" w:hAnsi="Abadi" w:cs="Arial"/>
          <w:i/>
          <w:iCs/>
          <w:sz w:val="21"/>
          <w:szCs w:val="21"/>
          <w:lang w:eastAsia="x-none"/>
        </w:rPr>
      </w:pPr>
      <w:r w:rsidRPr="003F43F9">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26234D6D" w14:textId="77777777" w:rsidR="004A0A8A" w:rsidRPr="003F43F9" w:rsidRDefault="004A0A8A" w:rsidP="004A0A8A">
      <w:pPr>
        <w:jc w:val="both"/>
        <w:rPr>
          <w:rFonts w:ascii="Abadi" w:hAnsi="Abadi" w:cs="Arial"/>
          <w:i/>
          <w:iCs/>
          <w:sz w:val="21"/>
          <w:szCs w:val="21"/>
          <w:lang w:eastAsia="x-none"/>
        </w:rPr>
      </w:pPr>
    </w:p>
    <w:p w14:paraId="335E0718" w14:textId="77777777" w:rsidR="004A0A8A" w:rsidRPr="003F43F9" w:rsidRDefault="004A0A8A" w:rsidP="004A0A8A">
      <w:pPr>
        <w:ind w:firstLine="705"/>
        <w:jc w:val="both"/>
        <w:rPr>
          <w:rFonts w:ascii="Abadi" w:hAnsi="Abadi" w:cs="Arial"/>
          <w:sz w:val="21"/>
          <w:szCs w:val="21"/>
          <w:lang w:eastAsia="x-none"/>
        </w:rPr>
      </w:pPr>
      <w:r w:rsidRPr="003F43F9">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3F43F9">
        <w:rPr>
          <w:rFonts w:ascii="Abadi" w:hAnsi="Abadi" w:cs="Arial"/>
          <w:sz w:val="21"/>
          <w:szCs w:val="21"/>
          <w:lang w:eastAsia="x-none"/>
        </w:rPr>
        <w:t>fiscalizado</w:t>
      </w:r>
      <w:proofErr w:type="spellEnd"/>
      <w:r w:rsidRPr="003F43F9">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3F43F9">
        <w:rPr>
          <w:rFonts w:ascii="Abadi" w:hAnsi="Abadi" w:cs="Arial"/>
          <w:i/>
          <w:iCs/>
          <w:sz w:val="21"/>
          <w:szCs w:val="21"/>
          <w:lang w:eastAsia="x-none"/>
        </w:rPr>
        <w:t>«Definitivos»,</w:t>
      </w:r>
      <w:r w:rsidRPr="003F43F9">
        <w:rPr>
          <w:rFonts w:ascii="Abadi" w:hAnsi="Abadi" w:cs="Arial"/>
          <w:sz w:val="21"/>
          <w:szCs w:val="21"/>
          <w:lang w:eastAsia="x-none"/>
        </w:rPr>
        <w:t xml:space="preserve"> emitidas por el Servicio de Administración Tributaria.</w:t>
      </w:r>
    </w:p>
    <w:p w14:paraId="3942FBE9" w14:textId="77777777" w:rsidR="004A0A8A" w:rsidRPr="003F43F9" w:rsidRDefault="004A0A8A" w:rsidP="004A0A8A">
      <w:pPr>
        <w:pStyle w:val="Textoindependiente"/>
        <w:ind w:firstLine="705"/>
        <w:rPr>
          <w:rFonts w:ascii="Abadi" w:hAnsi="Abadi"/>
          <w:sz w:val="21"/>
          <w:szCs w:val="21"/>
        </w:rPr>
      </w:pPr>
    </w:p>
    <w:p w14:paraId="59C6EB77" w14:textId="77777777" w:rsidR="004A0A8A" w:rsidRPr="003F43F9" w:rsidRDefault="004A0A8A" w:rsidP="004A0A8A">
      <w:pPr>
        <w:ind w:firstLine="705"/>
        <w:jc w:val="both"/>
        <w:rPr>
          <w:rFonts w:ascii="Abadi" w:hAnsi="Abadi" w:cs="Arial"/>
          <w:sz w:val="21"/>
          <w:szCs w:val="21"/>
          <w:lang w:eastAsia="x-none"/>
        </w:rPr>
      </w:pPr>
      <w:r w:rsidRPr="003F43F9">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3F43F9">
        <w:rPr>
          <w:rFonts w:ascii="Abadi" w:hAnsi="Abadi" w:cs="Arial"/>
          <w:sz w:val="21"/>
          <w:szCs w:val="21"/>
          <w:lang w:eastAsia="x-none"/>
        </w:rPr>
        <w:t>fiscalizado</w:t>
      </w:r>
      <w:proofErr w:type="spellEnd"/>
      <w:r w:rsidRPr="003F43F9">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w:t>
      </w:r>
      <w:r w:rsidRPr="003F43F9">
        <w:rPr>
          <w:rFonts w:ascii="Abadi" w:hAnsi="Abadi" w:cs="Arial"/>
          <w:sz w:val="21"/>
          <w:szCs w:val="21"/>
          <w:lang w:eastAsia="x-none"/>
        </w:rPr>
        <w:lastRenderedPageBreak/>
        <w:t>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F441B8F" w14:textId="77777777" w:rsidR="004A0A8A" w:rsidRPr="003F43F9" w:rsidRDefault="004A0A8A" w:rsidP="004A0A8A">
      <w:pPr>
        <w:ind w:firstLine="705"/>
        <w:jc w:val="both"/>
        <w:rPr>
          <w:rFonts w:ascii="Abadi" w:hAnsi="Abadi" w:cs="Arial"/>
          <w:sz w:val="21"/>
          <w:szCs w:val="21"/>
          <w:lang w:eastAsia="x-none"/>
        </w:rPr>
      </w:pPr>
    </w:p>
    <w:p w14:paraId="32E202EF" w14:textId="77777777" w:rsidR="004A0A8A" w:rsidRPr="003F43F9" w:rsidRDefault="004A0A8A" w:rsidP="004A0A8A">
      <w:pPr>
        <w:ind w:firstLine="705"/>
        <w:jc w:val="both"/>
        <w:rPr>
          <w:rFonts w:ascii="Abadi" w:hAnsi="Abadi" w:cs="Arial"/>
          <w:sz w:val="21"/>
          <w:szCs w:val="21"/>
          <w:lang w:eastAsia="x-none"/>
        </w:rPr>
      </w:pPr>
    </w:p>
    <w:p w14:paraId="23975754" w14:textId="77777777" w:rsidR="004A0A8A" w:rsidRPr="003F43F9" w:rsidRDefault="004A0A8A" w:rsidP="004A0A8A">
      <w:pPr>
        <w:ind w:firstLine="705"/>
        <w:jc w:val="both"/>
        <w:rPr>
          <w:rFonts w:ascii="Abadi" w:hAnsi="Abadi" w:cs="Arial"/>
          <w:sz w:val="21"/>
          <w:szCs w:val="21"/>
          <w:lang w:val="es-MX" w:eastAsia="x-none"/>
        </w:rPr>
      </w:pPr>
      <w:r w:rsidRPr="003F43F9">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3F43F9">
        <w:rPr>
          <w:rFonts w:ascii="Abadi" w:hAnsi="Abadi" w:cs="Arial"/>
          <w:sz w:val="21"/>
          <w:szCs w:val="21"/>
          <w:lang w:val="es-MX" w:eastAsia="x-none"/>
        </w:rPr>
        <w:t>fiscalizado</w:t>
      </w:r>
      <w:proofErr w:type="spellEnd"/>
      <w:r w:rsidRPr="003F43F9">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3F43F9">
        <w:rPr>
          <w:rFonts w:ascii="Abadi" w:hAnsi="Abadi" w:cs="Arial"/>
          <w:sz w:val="21"/>
          <w:szCs w:val="21"/>
          <w:lang w:val="es-MX" w:eastAsia="x-none"/>
        </w:rPr>
        <w:t>fiscalizado</w:t>
      </w:r>
      <w:proofErr w:type="spellEnd"/>
      <w:r w:rsidRPr="003F43F9">
        <w:rPr>
          <w:rFonts w:ascii="Abadi" w:hAnsi="Abadi" w:cs="Arial"/>
          <w:sz w:val="21"/>
          <w:szCs w:val="21"/>
          <w:lang w:val="es-MX" w:eastAsia="x-none"/>
        </w:rPr>
        <w:t>.</w:t>
      </w:r>
    </w:p>
    <w:p w14:paraId="7FFDF672" w14:textId="77777777" w:rsidR="004A0A8A" w:rsidRPr="003F43F9" w:rsidRDefault="004A0A8A" w:rsidP="004A0A8A">
      <w:pPr>
        <w:ind w:firstLine="705"/>
        <w:jc w:val="both"/>
        <w:rPr>
          <w:rFonts w:ascii="Abadi" w:hAnsi="Abadi" w:cs="Arial"/>
          <w:sz w:val="21"/>
          <w:szCs w:val="21"/>
          <w:lang w:val="es-MX" w:eastAsia="x-none"/>
        </w:rPr>
      </w:pPr>
    </w:p>
    <w:p w14:paraId="4CE477D0" w14:textId="77777777" w:rsidR="004A0A8A" w:rsidRPr="003F43F9" w:rsidRDefault="004A0A8A" w:rsidP="004A0A8A">
      <w:pPr>
        <w:ind w:firstLine="705"/>
        <w:jc w:val="both"/>
        <w:rPr>
          <w:rFonts w:ascii="Abadi" w:hAnsi="Abadi" w:cs="Arial"/>
          <w:sz w:val="21"/>
          <w:szCs w:val="21"/>
          <w:lang w:val="es-MX" w:eastAsia="x-none"/>
        </w:rPr>
      </w:pPr>
      <w:r w:rsidRPr="003F43F9">
        <w:rPr>
          <w:rFonts w:ascii="Abadi" w:hAnsi="Abadi" w:cs="Arial"/>
          <w:sz w:val="21"/>
          <w:szCs w:val="21"/>
          <w:lang w:val="es-MX" w:eastAsia="x-none"/>
        </w:rPr>
        <w:t>Cabe señalar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autorizado, entre otros supuestos de procedencia. Derivado de lo cual se recibieron dos solicitudes ciudadanas, de las que, una vez aplicados los procedimientos de auditoría inherentes no se obtuvieron observaciones o recomendaciones para incluir en el informe de resultados.</w:t>
      </w:r>
    </w:p>
    <w:p w14:paraId="73D53EE6" w14:textId="77777777" w:rsidR="004A0A8A" w:rsidRPr="003F43F9" w:rsidRDefault="004A0A8A" w:rsidP="004A0A8A">
      <w:pPr>
        <w:ind w:firstLine="705"/>
        <w:jc w:val="both"/>
        <w:rPr>
          <w:rFonts w:ascii="Abadi" w:hAnsi="Abadi" w:cs="Arial"/>
          <w:sz w:val="21"/>
          <w:szCs w:val="21"/>
          <w:lang w:val="es-MX" w:eastAsia="x-none"/>
        </w:rPr>
      </w:pPr>
    </w:p>
    <w:p w14:paraId="56DB03AD" w14:textId="77777777" w:rsidR="004A0A8A" w:rsidRPr="003F43F9" w:rsidRDefault="004A0A8A" w:rsidP="004A0A8A">
      <w:pPr>
        <w:ind w:firstLine="705"/>
        <w:jc w:val="both"/>
        <w:rPr>
          <w:rFonts w:ascii="Abadi" w:hAnsi="Abadi" w:cs="Arial"/>
          <w:sz w:val="21"/>
          <w:szCs w:val="21"/>
          <w:lang w:val="es-MX" w:eastAsia="x-none"/>
        </w:rPr>
      </w:pPr>
      <w:r w:rsidRPr="003F43F9">
        <w:rPr>
          <w:rFonts w:ascii="Abadi" w:hAnsi="Abadi" w:cs="Arial"/>
          <w:sz w:val="21"/>
          <w:szCs w:val="21"/>
          <w:lang w:val="es-MX" w:eastAsia="x-none"/>
        </w:rPr>
        <w:t xml:space="preserve">Adicionalmente, se analizó el informe general del proceso de entrega recepción 2021 de la administración pública municipal de León, </w:t>
      </w:r>
      <w:proofErr w:type="spellStart"/>
      <w:r w:rsidRPr="003F43F9">
        <w:rPr>
          <w:rFonts w:ascii="Abadi" w:hAnsi="Abadi" w:cs="Arial"/>
          <w:sz w:val="21"/>
          <w:szCs w:val="21"/>
          <w:lang w:val="es-MX" w:eastAsia="x-none"/>
        </w:rPr>
        <w:t>Gto</w:t>
      </w:r>
      <w:proofErr w:type="spellEnd"/>
      <w:r w:rsidRPr="003F43F9">
        <w:rPr>
          <w:rFonts w:ascii="Abadi" w:hAnsi="Abadi" w:cs="Arial"/>
          <w:sz w:val="21"/>
          <w:szCs w:val="21"/>
          <w:lang w:val="es-MX" w:eastAsia="x-none"/>
        </w:rPr>
        <w:t xml:space="preserve">., y en su caso se aplicaron los </w:t>
      </w:r>
      <w:r w:rsidRPr="003F43F9">
        <w:rPr>
          <w:rFonts w:ascii="Abadi" w:hAnsi="Abadi" w:cs="Arial"/>
          <w:sz w:val="21"/>
          <w:szCs w:val="21"/>
          <w:lang w:val="es-MX" w:eastAsia="x-none"/>
        </w:rPr>
        <w:t>procedimientos de auditoría correspondientes.</w:t>
      </w:r>
    </w:p>
    <w:p w14:paraId="2B28E315" w14:textId="77777777" w:rsidR="004A0A8A" w:rsidRPr="003F43F9" w:rsidRDefault="004A0A8A" w:rsidP="004A0A8A">
      <w:pPr>
        <w:ind w:firstLine="705"/>
        <w:jc w:val="both"/>
        <w:rPr>
          <w:rFonts w:ascii="Abadi" w:hAnsi="Abadi" w:cs="Arial"/>
          <w:sz w:val="21"/>
          <w:szCs w:val="21"/>
          <w:lang w:val="es-MX" w:eastAsia="x-none"/>
        </w:rPr>
      </w:pPr>
    </w:p>
    <w:p w14:paraId="5A9C714C" w14:textId="77777777" w:rsidR="004A0A8A" w:rsidRPr="003F43F9" w:rsidRDefault="004A0A8A" w:rsidP="004A0A8A">
      <w:pPr>
        <w:ind w:firstLine="705"/>
        <w:jc w:val="both"/>
        <w:rPr>
          <w:rFonts w:ascii="Abadi" w:hAnsi="Abadi" w:cs="Arial"/>
          <w:sz w:val="21"/>
          <w:szCs w:val="21"/>
          <w:lang w:val="es-MX" w:eastAsia="x-none"/>
        </w:rPr>
      </w:pPr>
      <w:r w:rsidRPr="003F43F9">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León, </w:t>
      </w:r>
      <w:proofErr w:type="spellStart"/>
      <w:r w:rsidRPr="003F43F9">
        <w:rPr>
          <w:rFonts w:ascii="Abadi" w:hAnsi="Abadi" w:cs="Arial"/>
          <w:sz w:val="21"/>
          <w:szCs w:val="21"/>
          <w:lang w:val="es-MX" w:eastAsia="x-none"/>
        </w:rPr>
        <w:t>Gto</w:t>
      </w:r>
      <w:proofErr w:type="spellEnd"/>
      <w:r w:rsidRPr="003F43F9">
        <w:rPr>
          <w:rFonts w:ascii="Abadi" w:hAnsi="Abadi" w:cs="Arial"/>
          <w:sz w:val="21"/>
          <w:szCs w:val="21"/>
          <w:lang w:val="es-MX" w:eastAsia="x-none"/>
        </w:rPr>
        <w:t xml:space="preserve">., cumplió con las disposiciones normativas aplicables, excepto por los resultados que se precisan en el informe de resultados. </w:t>
      </w:r>
    </w:p>
    <w:p w14:paraId="3EB35431" w14:textId="77777777" w:rsidR="004A0A8A" w:rsidRPr="003F43F9" w:rsidRDefault="004A0A8A" w:rsidP="004A0A8A">
      <w:pPr>
        <w:ind w:firstLine="705"/>
        <w:jc w:val="both"/>
        <w:rPr>
          <w:rFonts w:ascii="Abadi" w:hAnsi="Abadi" w:cs="Arial"/>
          <w:sz w:val="21"/>
          <w:szCs w:val="21"/>
          <w:lang w:val="es-MX" w:eastAsia="x-none"/>
        </w:rPr>
      </w:pPr>
    </w:p>
    <w:p w14:paraId="00B19EA4"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7 observaciones, mismas que no fueron solventadas. Asimismo, se formularon 2 recomendaciones que no se atendieron. </w:t>
      </w:r>
    </w:p>
    <w:p w14:paraId="391FADF4" w14:textId="77777777" w:rsidR="004A0A8A" w:rsidRPr="008F2F9E" w:rsidRDefault="004A0A8A" w:rsidP="004A0A8A">
      <w:pPr>
        <w:pStyle w:val="Textoindependiente"/>
        <w:ind w:firstLine="705"/>
        <w:rPr>
          <w:rFonts w:ascii="Abadi" w:hAnsi="Abadi"/>
          <w:b w:val="0"/>
          <w:bCs w:val="0"/>
          <w:sz w:val="21"/>
          <w:szCs w:val="21"/>
        </w:rPr>
      </w:pPr>
    </w:p>
    <w:p w14:paraId="26D41B86"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y 003, existen importes no solventados por la cuantía que ahí se refiere. </w:t>
      </w:r>
    </w:p>
    <w:p w14:paraId="32309AD4" w14:textId="77777777" w:rsidR="004A0A8A" w:rsidRPr="008F2F9E" w:rsidRDefault="004A0A8A" w:rsidP="004A0A8A">
      <w:pPr>
        <w:pStyle w:val="Textoindependiente"/>
        <w:ind w:firstLine="705"/>
        <w:rPr>
          <w:rFonts w:ascii="Abadi" w:hAnsi="Abadi"/>
          <w:b w:val="0"/>
          <w:bCs w:val="0"/>
          <w:sz w:val="21"/>
          <w:szCs w:val="21"/>
        </w:rPr>
      </w:pPr>
    </w:p>
    <w:p w14:paraId="0DB084DF"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 xml:space="preserve">No obstante, mediante la resolución recaída al recurso de reconsideración promovido en contra del informe de resultados, se modificó el sentido de la valoración de las observaciones establecidas en los numerales 004, 006 y 007 y de la recomendación contenida en el numeral 002, para tenerlas por solventadas y atendida respectivamente. Asimismo, a través de dicha resolución se modificó el complemento de la valoración de las observaciones plasmadas en los numerales 001 y 002, para quedar sin acciones pendientes de realizar por el sujeto fiscalizado. </w:t>
      </w:r>
    </w:p>
    <w:p w14:paraId="47E607EC" w14:textId="77777777" w:rsidR="004A0A8A" w:rsidRPr="008F2F9E" w:rsidRDefault="004A0A8A" w:rsidP="004A0A8A">
      <w:pPr>
        <w:pStyle w:val="Textoindependiente"/>
        <w:ind w:firstLine="705"/>
        <w:rPr>
          <w:rFonts w:ascii="Abadi" w:hAnsi="Abadi"/>
          <w:b w:val="0"/>
          <w:bCs w:val="0"/>
          <w:sz w:val="21"/>
          <w:szCs w:val="21"/>
        </w:rPr>
      </w:pPr>
    </w:p>
    <w:p w14:paraId="5ECAC951" w14:textId="77777777" w:rsidR="004A0A8A" w:rsidRPr="008F2F9E" w:rsidRDefault="004A0A8A" w:rsidP="004A0A8A">
      <w:pPr>
        <w:pStyle w:val="Textoindependiente"/>
        <w:ind w:firstLine="705"/>
        <w:rPr>
          <w:rFonts w:ascii="Abadi" w:hAnsi="Abadi"/>
          <w:b w:val="0"/>
          <w:bCs w:val="0"/>
          <w:sz w:val="21"/>
          <w:szCs w:val="21"/>
        </w:rPr>
      </w:pPr>
      <w:r w:rsidRPr="003F43F9">
        <w:rPr>
          <w:rFonts w:ascii="Abadi" w:hAnsi="Abadi"/>
          <w:sz w:val="21"/>
          <w:szCs w:val="21"/>
        </w:rPr>
        <w:t xml:space="preserve">En lo referente al rubro de identificación de operaciones con Empresas que Facturan Operaciones Simuladas (EFOS) u operaciones inexistentes se refiere que como </w:t>
      </w:r>
      <w:r w:rsidRPr="008F2F9E">
        <w:rPr>
          <w:rFonts w:ascii="Abadi" w:hAnsi="Abadi"/>
          <w:b w:val="0"/>
          <w:bCs w:val="0"/>
          <w:sz w:val="21"/>
          <w:szCs w:val="21"/>
        </w:rPr>
        <w:lastRenderedPageBreak/>
        <w:t xml:space="preserve">parte de la planeación de la revisión se realizaron procedimientos analíticos a las personas físicas o morales con las que la administración pública municipal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8F2F9E">
        <w:rPr>
          <w:rFonts w:ascii="Abadi" w:hAnsi="Abadi"/>
          <w:b w:val="0"/>
          <w:bCs w:val="0"/>
          <w:i/>
          <w:iCs/>
          <w:sz w:val="21"/>
          <w:szCs w:val="21"/>
        </w:rPr>
        <w:t>Definitivos»</w:t>
      </w:r>
      <w:r w:rsidRPr="008F2F9E">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249A0770" w14:textId="77777777" w:rsidR="004A0A8A" w:rsidRPr="003F43F9" w:rsidRDefault="004A0A8A" w:rsidP="004A0A8A">
      <w:pPr>
        <w:pStyle w:val="Textoindependiente"/>
        <w:ind w:firstLine="705"/>
        <w:rPr>
          <w:rFonts w:ascii="Abadi" w:hAnsi="Abadi"/>
          <w:sz w:val="21"/>
          <w:szCs w:val="21"/>
        </w:rPr>
      </w:pPr>
    </w:p>
    <w:p w14:paraId="441C1374" w14:textId="77777777" w:rsidR="004A0A8A" w:rsidRPr="008F2F9E" w:rsidRDefault="004A0A8A" w:rsidP="00427BD6">
      <w:pPr>
        <w:pStyle w:val="Textoindependiente"/>
        <w:numPr>
          <w:ilvl w:val="0"/>
          <w:numId w:val="9"/>
        </w:numPr>
        <w:tabs>
          <w:tab w:val="clear" w:pos="1065"/>
          <w:tab w:val="num" w:pos="0"/>
        </w:tabs>
        <w:autoSpaceDE/>
        <w:autoSpaceDN/>
        <w:rPr>
          <w:rFonts w:ascii="Abadi" w:hAnsi="Abadi"/>
          <w:sz w:val="21"/>
          <w:szCs w:val="21"/>
        </w:rPr>
      </w:pPr>
      <w:r w:rsidRPr="008F2F9E">
        <w:rPr>
          <w:rFonts w:ascii="Abadi" w:hAnsi="Abadi"/>
          <w:sz w:val="21"/>
          <w:szCs w:val="21"/>
        </w:rPr>
        <w:t xml:space="preserve">Observaciones y recomendaciones, la respuesta emitida por el sujeto fiscalizado y la valoración correspondiente. </w:t>
      </w:r>
    </w:p>
    <w:p w14:paraId="042312B9" w14:textId="77777777" w:rsidR="004A0A8A" w:rsidRPr="008F2F9E" w:rsidRDefault="004A0A8A" w:rsidP="004A0A8A">
      <w:pPr>
        <w:pStyle w:val="Textoindependiente"/>
        <w:ind w:left="1065"/>
        <w:rPr>
          <w:rFonts w:ascii="Abadi" w:hAnsi="Abadi"/>
          <w:b w:val="0"/>
          <w:bCs w:val="0"/>
          <w:sz w:val="21"/>
          <w:szCs w:val="21"/>
        </w:rPr>
      </w:pPr>
    </w:p>
    <w:p w14:paraId="509204EB"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En esta parte se desglosa la valoración de las observaciones formuladas por el Órgano Técnico, considerando como no solventadas las observaciones plasmadas en los numerales 001, referente a pago de emolumentos a Regidor; 002, correspondiente a pago de sueldos por cambio de puesto; 003, relativo a pago de sueldo a extrabajador; 004, referido a compras consolidadas con recurso estatal; 005, referente a investigación de mercado; 006, correspondiente a compras consolidadas con recurso municipal; y 007, relativo a planeación y programación de adquisiciones.</w:t>
      </w:r>
    </w:p>
    <w:p w14:paraId="0CD390AD" w14:textId="77777777" w:rsidR="004A0A8A" w:rsidRPr="008F2F9E" w:rsidRDefault="004A0A8A" w:rsidP="004A0A8A">
      <w:pPr>
        <w:pStyle w:val="Textoindependiente"/>
        <w:ind w:firstLine="705"/>
        <w:rPr>
          <w:rFonts w:ascii="Abadi" w:hAnsi="Abadi"/>
          <w:b w:val="0"/>
          <w:bCs w:val="0"/>
          <w:sz w:val="21"/>
          <w:szCs w:val="21"/>
        </w:rPr>
      </w:pPr>
    </w:p>
    <w:p w14:paraId="2B620681"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En el apartado de Recomendaciones Generales, no se atendieron los numerales 001, referido a lineamientos para otorgar apoyos; y 002, referente a sentencias de procesos administrativos.</w:t>
      </w:r>
    </w:p>
    <w:p w14:paraId="6AA04B8B" w14:textId="77777777" w:rsidR="004A0A8A" w:rsidRPr="008F2F9E" w:rsidRDefault="004A0A8A" w:rsidP="004A0A8A">
      <w:pPr>
        <w:pStyle w:val="Textoindependiente"/>
        <w:ind w:firstLine="705"/>
        <w:rPr>
          <w:rFonts w:ascii="Abadi" w:hAnsi="Abadi"/>
          <w:b w:val="0"/>
          <w:bCs w:val="0"/>
          <w:sz w:val="21"/>
          <w:szCs w:val="21"/>
        </w:rPr>
      </w:pPr>
    </w:p>
    <w:p w14:paraId="227EF4AE" w14:textId="77777777" w:rsidR="004A0A8A" w:rsidRPr="003F43F9" w:rsidRDefault="004A0A8A" w:rsidP="004A0A8A">
      <w:pPr>
        <w:pStyle w:val="Textoindependiente"/>
        <w:ind w:firstLine="705"/>
        <w:rPr>
          <w:rFonts w:ascii="Abadi" w:hAnsi="Abadi"/>
          <w:sz w:val="21"/>
          <w:szCs w:val="21"/>
        </w:rPr>
      </w:pPr>
      <w:r w:rsidRPr="008F2F9E">
        <w:rPr>
          <w:rFonts w:ascii="Abadi" w:hAnsi="Abadi"/>
          <w:b w:val="0"/>
          <w:bCs w:val="0"/>
          <w:sz w:val="21"/>
          <w:szCs w:val="21"/>
        </w:rPr>
        <w:t>Como se había señalado en el punto anterior, mediante la resolución recaída al recurso de reconsideración promovido en contra del informe de resultados, se modificó el sentido de la valoración de las observaciones establecidas en los numerales 004, 006 y 007 y de la recomendación contenida en el numeral 002, para tenerlas por solventadas y atendida respectivamente</w:t>
      </w:r>
      <w:r w:rsidRPr="003F43F9">
        <w:rPr>
          <w:rFonts w:ascii="Abadi" w:hAnsi="Abadi"/>
          <w:sz w:val="21"/>
          <w:szCs w:val="21"/>
        </w:rPr>
        <w:t>.</w:t>
      </w:r>
    </w:p>
    <w:p w14:paraId="7B7D813D" w14:textId="77777777" w:rsidR="004A0A8A" w:rsidRPr="003F43F9" w:rsidRDefault="004A0A8A" w:rsidP="004A0A8A">
      <w:pPr>
        <w:pStyle w:val="Textoindependiente"/>
        <w:ind w:firstLine="705"/>
        <w:rPr>
          <w:rFonts w:ascii="Abadi" w:hAnsi="Abadi"/>
          <w:sz w:val="21"/>
          <w:szCs w:val="21"/>
        </w:rPr>
      </w:pPr>
    </w:p>
    <w:p w14:paraId="18D3ECAF" w14:textId="77777777" w:rsidR="004A0A8A" w:rsidRPr="008F2F9E" w:rsidRDefault="004A0A8A" w:rsidP="00427BD6">
      <w:pPr>
        <w:pStyle w:val="Textoindependiente"/>
        <w:numPr>
          <w:ilvl w:val="0"/>
          <w:numId w:val="9"/>
        </w:numPr>
        <w:autoSpaceDE/>
        <w:autoSpaceDN/>
        <w:rPr>
          <w:rFonts w:ascii="Abadi" w:hAnsi="Abadi"/>
          <w:sz w:val="21"/>
          <w:szCs w:val="21"/>
        </w:rPr>
      </w:pPr>
      <w:r w:rsidRPr="008F2F9E">
        <w:rPr>
          <w:rFonts w:ascii="Abadi" w:hAnsi="Abadi"/>
          <w:sz w:val="21"/>
          <w:szCs w:val="21"/>
        </w:rPr>
        <w:t xml:space="preserve">Promoción del ejercicio de facultades de comprobación fiscal. </w:t>
      </w:r>
    </w:p>
    <w:p w14:paraId="152BC23B" w14:textId="77777777" w:rsidR="004A0A8A" w:rsidRPr="003F43F9" w:rsidRDefault="004A0A8A" w:rsidP="004A0A8A">
      <w:pPr>
        <w:pStyle w:val="Textoindependiente"/>
        <w:ind w:firstLine="705"/>
        <w:rPr>
          <w:rFonts w:ascii="Abadi" w:hAnsi="Abadi"/>
          <w:sz w:val="21"/>
          <w:szCs w:val="21"/>
        </w:rPr>
      </w:pPr>
    </w:p>
    <w:p w14:paraId="4AC6FDF1"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4F08DC58" w14:textId="77777777" w:rsidR="004A0A8A" w:rsidRPr="003F43F9" w:rsidRDefault="004A0A8A" w:rsidP="004A0A8A">
      <w:pPr>
        <w:pStyle w:val="Textoindependiente"/>
        <w:ind w:firstLine="705"/>
        <w:rPr>
          <w:rFonts w:ascii="Abadi" w:hAnsi="Abadi"/>
          <w:sz w:val="21"/>
          <w:szCs w:val="21"/>
        </w:rPr>
      </w:pPr>
    </w:p>
    <w:p w14:paraId="21F9F4FC" w14:textId="77777777" w:rsidR="004A0A8A" w:rsidRPr="008F2F9E" w:rsidRDefault="004A0A8A" w:rsidP="00427BD6">
      <w:pPr>
        <w:pStyle w:val="Textoindependiente"/>
        <w:numPr>
          <w:ilvl w:val="0"/>
          <w:numId w:val="9"/>
        </w:numPr>
        <w:autoSpaceDE/>
        <w:autoSpaceDN/>
        <w:rPr>
          <w:rFonts w:ascii="Abadi" w:hAnsi="Abadi"/>
          <w:sz w:val="21"/>
          <w:szCs w:val="21"/>
        </w:rPr>
      </w:pPr>
      <w:r w:rsidRPr="008F2F9E">
        <w:rPr>
          <w:rFonts w:ascii="Abadi" w:hAnsi="Abadi"/>
          <w:sz w:val="21"/>
          <w:szCs w:val="21"/>
        </w:rPr>
        <w:t>Comunicado ante órganos de control y autoridades que administran padrones de proveedores y contratistas.</w:t>
      </w:r>
    </w:p>
    <w:p w14:paraId="0D38394C" w14:textId="77777777" w:rsidR="004A0A8A" w:rsidRPr="008F2F9E" w:rsidRDefault="004A0A8A" w:rsidP="004A0A8A">
      <w:pPr>
        <w:pStyle w:val="Textoindependiente"/>
        <w:ind w:firstLine="705"/>
        <w:rPr>
          <w:rFonts w:ascii="Abadi" w:hAnsi="Abadi"/>
          <w:b w:val="0"/>
          <w:bCs w:val="0"/>
          <w:sz w:val="21"/>
          <w:szCs w:val="21"/>
        </w:rPr>
      </w:pPr>
    </w:p>
    <w:p w14:paraId="40FAD29B"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716E4E69" w14:textId="77777777" w:rsidR="004A0A8A" w:rsidRPr="008F2F9E" w:rsidRDefault="004A0A8A" w:rsidP="004A0A8A">
      <w:pPr>
        <w:pStyle w:val="Textoindependiente"/>
        <w:ind w:firstLine="705"/>
        <w:rPr>
          <w:rFonts w:ascii="Abadi" w:hAnsi="Abadi"/>
          <w:b w:val="0"/>
          <w:bCs w:val="0"/>
          <w:sz w:val="21"/>
          <w:szCs w:val="21"/>
        </w:rPr>
      </w:pPr>
    </w:p>
    <w:p w14:paraId="2FC304A3" w14:textId="77777777" w:rsidR="004A0A8A" w:rsidRPr="003F43F9" w:rsidRDefault="004A0A8A" w:rsidP="004A0A8A">
      <w:pPr>
        <w:pStyle w:val="Textoindependiente"/>
        <w:ind w:firstLine="705"/>
        <w:rPr>
          <w:rFonts w:ascii="Abadi" w:hAnsi="Abadi"/>
          <w:sz w:val="21"/>
          <w:szCs w:val="21"/>
        </w:rPr>
      </w:pPr>
    </w:p>
    <w:p w14:paraId="2D9E23E8" w14:textId="77777777" w:rsidR="004A0A8A" w:rsidRPr="008F2F9E" w:rsidRDefault="004A0A8A" w:rsidP="00427BD6">
      <w:pPr>
        <w:pStyle w:val="Textoindependiente"/>
        <w:numPr>
          <w:ilvl w:val="0"/>
          <w:numId w:val="9"/>
        </w:numPr>
        <w:autoSpaceDE/>
        <w:autoSpaceDN/>
        <w:rPr>
          <w:rFonts w:ascii="Abadi" w:hAnsi="Abadi"/>
          <w:sz w:val="21"/>
          <w:szCs w:val="21"/>
        </w:rPr>
      </w:pPr>
      <w:r w:rsidRPr="008F2F9E">
        <w:rPr>
          <w:rFonts w:ascii="Abadi" w:hAnsi="Abadi"/>
          <w:sz w:val="21"/>
          <w:szCs w:val="21"/>
        </w:rPr>
        <w:t xml:space="preserve">Recurso de Reconsideración. </w:t>
      </w:r>
    </w:p>
    <w:p w14:paraId="26D45965" w14:textId="77777777" w:rsidR="004A0A8A" w:rsidRPr="003F43F9" w:rsidRDefault="004A0A8A" w:rsidP="004A0A8A">
      <w:pPr>
        <w:pStyle w:val="Textoindependiente"/>
        <w:ind w:left="705"/>
        <w:rPr>
          <w:rFonts w:ascii="Abadi" w:hAnsi="Abadi"/>
          <w:b w:val="0"/>
          <w:bCs w:val="0"/>
          <w:sz w:val="21"/>
          <w:szCs w:val="21"/>
        </w:rPr>
      </w:pPr>
    </w:p>
    <w:p w14:paraId="3B763090" w14:textId="77777777" w:rsidR="004A0A8A" w:rsidRPr="008F2F9E" w:rsidRDefault="004A0A8A" w:rsidP="004A0A8A">
      <w:pPr>
        <w:pStyle w:val="Textoindependiente"/>
        <w:ind w:firstLine="705"/>
        <w:rPr>
          <w:rFonts w:ascii="Abadi" w:hAnsi="Abadi"/>
          <w:b w:val="0"/>
          <w:bCs w:val="0"/>
          <w:sz w:val="21"/>
          <w:szCs w:val="21"/>
        </w:rPr>
      </w:pPr>
      <w:r w:rsidRPr="008F2F9E">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la presidenta y el ex presidente municipales de León, </w:t>
      </w:r>
      <w:proofErr w:type="spellStart"/>
      <w:r w:rsidRPr="008F2F9E">
        <w:rPr>
          <w:rFonts w:ascii="Abadi" w:hAnsi="Abadi"/>
          <w:b w:val="0"/>
          <w:bCs w:val="0"/>
          <w:sz w:val="21"/>
          <w:szCs w:val="21"/>
        </w:rPr>
        <w:t>Gto</w:t>
      </w:r>
      <w:proofErr w:type="spellEnd"/>
      <w:r w:rsidRPr="008F2F9E">
        <w:rPr>
          <w:rFonts w:ascii="Abadi" w:hAnsi="Abadi"/>
          <w:b w:val="0"/>
          <w:bCs w:val="0"/>
          <w:sz w:val="21"/>
          <w:szCs w:val="21"/>
        </w:rPr>
        <w:t>., interpusieron recursos de reconsideración en contra del informe de resultados de la revisión</w:t>
      </w:r>
      <w:r w:rsidRPr="003F43F9">
        <w:rPr>
          <w:rFonts w:ascii="Abadi" w:hAnsi="Abadi"/>
          <w:sz w:val="21"/>
          <w:szCs w:val="21"/>
        </w:rPr>
        <w:t xml:space="preserve"> practicada </w:t>
      </w:r>
      <w:r w:rsidRPr="008F2F9E">
        <w:rPr>
          <w:rFonts w:ascii="Abadi" w:hAnsi="Abadi"/>
          <w:b w:val="0"/>
          <w:bCs w:val="0"/>
          <w:sz w:val="21"/>
          <w:szCs w:val="21"/>
        </w:rPr>
        <w:t xml:space="preserve">a la cuenta pública de dicho Municipio, correspondiente al ejercicio fiscal del año 2021, concretamente en contra de las observaciones establecidas en los numerales  </w:t>
      </w:r>
      <w:r w:rsidRPr="008F2F9E">
        <w:rPr>
          <w:rFonts w:ascii="Abadi" w:hAnsi="Abadi"/>
          <w:b w:val="0"/>
          <w:bCs w:val="0"/>
          <w:sz w:val="21"/>
          <w:szCs w:val="21"/>
        </w:rPr>
        <w:lastRenderedPageBreak/>
        <w:t xml:space="preserve">001, referente a pago de emolumentos a Regidor; 002, correspondiente a pago de sueldos por cambio de puesto; 003, relativo a pago de sueldo a extrabajador; 004, referido a compras consolidadas con recurso estatal; 005, referente a investigación de mercado; 006, correspondiente a compras consolidadas con recurso municipal; y 007, relativo a planeación y programación de adquisiciones; así como de las recomendaciones contenidas en los numerales 001, referido a lineamientos para otorgar apoyos; y 002, referente a sentencias de procesos administrativos, mismas que se encuentran relacionadas con el Capítulo II, denominado Observaciones y Recomendaciones; Respuesta Emitida por el Sujeto Fiscalizado y Valoración Correspondiente. </w:t>
      </w:r>
    </w:p>
    <w:p w14:paraId="4031D8FB" w14:textId="77777777" w:rsidR="004A0A8A" w:rsidRPr="008F2F9E" w:rsidRDefault="004A0A8A" w:rsidP="004A0A8A">
      <w:pPr>
        <w:pStyle w:val="Textoindependiente"/>
        <w:ind w:firstLine="705"/>
        <w:rPr>
          <w:rFonts w:ascii="Abadi" w:hAnsi="Abadi"/>
          <w:b w:val="0"/>
          <w:bCs w:val="0"/>
          <w:sz w:val="21"/>
          <w:szCs w:val="21"/>
        </w:rPr>
      </w:pPr>
    </w:p>
    <w:p w14:paraId="535DF8C3"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 xml:space="preserve">En tal sentido, mediante los acuerdos de fecha 30 de marzo de 2023,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8F2F9E">
          <w:rPr>
            <w:rFonts w:ascii="Abadi" w:hAnsi="Abadi"/>
            <w:b w:val="0"/>
            <w:bCs w:val="0"/>
            <w:sz w:val="21"/>
            <w:szCs w:val="21"/>
          </w:rPr>
          <w:t>la Ley</w:t>
        </w:r>
      </w:smartTag>
      <w:r w:rsidRPr="008F2F9E">
        <w:rPr>
          <w:rFonts w:ascii="Abadi" w:hAnsi="Abadi"/>
          <w:b w:val="0"/>
          <w:bCs w:val="0"/>
          <w:sz w:val="21"/>
          <w:szCs w:val="21"/>
        </w:rPr>
        <w:t xml:space="preserve"> de Fiscalización Superior del Estado de Guanajuato, instruyendo la integración de los expedientes respectivos y el registro correspondiente. Asimismo, mediante dichos acuerdos se admitieron algunos medios de prueba ofrecidos por la recurrente al tratarse de pruebas novedosas y supervenientes, mientras que otros se desecharon al no tener tal carácter. También a través de dichos acuerdos se suspendió el plazo establecido en el artículo 55 de la Ley de Fiscalización Superior del Estado de Guanajuato por un término de hasta quince días hábiles.</w:t>
      </w:r>
    </w:p>
    <w:p w14:paraId="571D3A0A" w14:textId="77777777" w:rsidR="004A0A8A" w:rsidRPr="003F43F9" w:rsidRDefault="004A0A8A" w:rsidP="004A0A8A">
      <w:pPr>
        <w:pStyle w:val="Textoindependiente"/>
        <w:ind w:firstLine="708"/>
        <w:rPr>
          <w:rFonts w:ascii="Abadi" w:hAnsi="Abadi"/>
          <w:sz w:val="21"/>
          <w:szCs w:val="21"/>
        </w:rPr>
      </w:pPr>
    </w:p>
    <w:p w14:paraId="17486C60" w14:textId="77777777" w:rsidR="004A0A8A" w:rsidRPr="008F2F9E" w:rsidRDefault="004A0A8A" w:rsidP="004A0A8A">
      <w:pPr>
        <w:pStyle w:val="Textoindependiente"/>
        <w:ind w:firstLine="708"/>
        <w:rPr>
          <w:rFonts w:ascii="Abadi" w:hAnsi="Abadi"/>
          <w:b w:val="0"/>
          <w:bCs w:val="0"/>
          <w:sz w:val="21"/>
          <w:szCs w:val="21"/>
        </w:rPr>
      </w:pPr>
      <w:r w:rsidRPr="008F2F9E">
        <w:rPr>
          <w:rFonts w:ascii="Abadi" w:hAnsi="Abadi"/>
          <w:b w:val="0"/>
          <w:bCs w:val="0"/>
          <w:sz w:val="21"/>
          <w:szCs w:val="21"/>
        </w:rPr>
        <w:t>A través del acuerdo de fecha 21 de abril de 2023, el Director General de Asuntos Jurídicos de la Auditoría Superior del Estado ordenó la acumulación de los expedientes integrados con motivo de la interposición de los recursos de reconsideración, al vincularse de manera directa.</w:t>
      </w:r>
    </w:p>
    <w:p w14:paraId="50725114" w14:textId="77777777" w:rsidR="004A0A8A" w:rsidRPr="003F43F9" w:rsidRDefault="004A0A8A" w:rsidP="004A0A8A">
      <w:pPr>
        <w:pStyle w:val="Textoindependiente"/>
        <w:ind w:firstLine="708"/>
        <w:rPr>
          <w:rFonts w:ascii="Abadi" w:hAnsi="Abadi"/>
          <w:sz w:val="21"/>
          <w:szCs w:val="21"/>
        </w:rPr>
      </w:pPr>
    </w:p>
    <w:p w14:paraId="18DBD3EA" w14:textId="77777777" w:rsidR="004A0A8A" w:rsidRPr="003F43F9" w:rsidRDefault="004A0A8A" w:rsidP="004A0A8A">
      <w:pPr>
        <w:pStyle w:val="Textoindependiente"/>
        <w:ind w:firstLine="708"/>
        <w:rPr>
          <w:rFonts w:ascii="Abadi" w:hAnsi="Abadi"/>
          <w:sz w:val="21"/>
          <w:szCs w:val="21"/>
        </w:rPr>
      </w:pPr>
    </w:p>
    <w:p w14:paraId="445D72E7"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 xml:space="preserve">Una vez tramitados los recursos, el Auditor Superior del Estado, el 24 de abril de 2023 emitió la resolución correspondiente, determinándose respecto a las observaciones plasmadas en los numerales 001 y 002, que los agravios hechos valer por los recurrentes resultaron infundados, por los argumentos </w:t>
      </w:r>
      <w:r w:rsidRPr="00352DD1">
        <w:rPr>
          <w:rFonts w:ascii="Abadi" w:hAnsi="Abadi"/>
          <w:b w:val="0"/>
          <w:bCs w:val="0"/>
          <w:sz w:val="21"/>
          <w:szCs w:val="21"/>
        </w:rPr>
        <w:t>señalados en el considerando séptimo. No obstante, la documental aportada resultó suficiente para acreditar las acciones tendientes a la recuperación de los importes observados y así modificar el complemento de su valoración. En razón de lo cual, se confirmó el sentido de la valoración de las observaciones como no solventadas, modificando su complemento para quedar sin acciones pendientes de realizar por el sujeto fiscalizado.</w:t>
      </w:r>
    </w:p>
    <w:p w14:paraId="500DD8EA" w14:textId="77777777" w:rsidR="004A0A8A" w:rsidRPr="003F43F9" w:rsidRDefault="004A0A8A" w:rsidP="004A0A8A">
      <w:pPr>
        <w:pStyle w:val="Textoindependiente"/>
        <w:ind w:firstLine="708"/>
        <w:rPr>
          <w:rFonts w:ascii="Abadi" w:hAnsi="Abadi"/>
          <w:sz w:val="21"/>
          <w:szCs w:val="21"/>
        </w:rPr>
      </w:pPr>
    </w:p>
    <w:p w14:paraId="3E477069"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 xml:space="preserve">En el caso de la observación contenida en el numeral 003, se concluyó que lo expuesto por la recurrente resultó inatendible, por las razones expuestas en el considerando séptimo; razón por la cual se confirmó el sentido de su valoración como no solventada, con acciones de impacto económico pendientes de realizar por el sujeto fiscalizado. </w:t>
      </w:r>
    </w:p>
    <w:p w14:paraId="55B03918" w14:textId="77777777" w:rsidR="004A0A8A" w:rsidRPr="00352DD1" w:rsidRDefault="004A0A8A" w:rsidP="004A0A8A">
      <w:pPr>
        <w:pStyle w:val="Textoindependiente"/>
        <w:ind w:firstLine="708"/>
        <w:rPr>
          <w:rFonts w:ascii="Abadi" w:hAnsi="Abadi"/>
          <w:b w:val="0"/>
          <w:bCs w:val="0"/>
          <w:sz w:val="21"/>
          <w:szCs w:val="21"/>
        </w:rPr>
      </w:pPr>
    </w:p>
    <w:p w14:paraId="648B3C76"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En cuanto a las observaciones establecidas en los numerales 004, 006 y 007, se resolvió que los agravios formulados por los recurrentes resultaron fundados y suficientes, de acuerdo a lo expresado en el considerando séptimo. En consecuencia, se modificó el sentido de la valoración de las observaciones para tenerlas por solventadas.</w:t>
      </w:r>
    </w:p>
    <w:p w14:paraId="4C9B668A" w14:textId="77777777" w:rsidR="004A0A8A" w:rsidRPr="00352DD1" w:rsidRDefault="004A0A8A" w:rsidP="004A0A8A">
      <w:pPr>
        <w:pStyle w:val="Textoindependiente"/>
        <w:ind w:firstLine="708"/>
        <w:rPr>
          <w:rFonts w:ascii="Abadi" w:hAnsi="Abadi"/>
          <w:b w:val="0"/>
          <w:bCs w:val="0"/>
          <w:sz w:val="21"/>
          <w:szCs w:val="21"/>
        </w:rPr>
      </w:pPr>
    </w:p>
    <w:p w14:paraId="00B996A6"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En relación a la observación referida en el numeral 005, se determinó que los agravios hechos valer por los recurrentes resultaron infundados e inoperantes, por los argumentos referidos en el considerando séptimo. Por lo anterior, se confirmó el sentido de la valoración de la observación como no solventada, sin acciones pendientes de realizar por el sujeto fiscalizado.</w:t>
      </w:r>
    </w:p>
    <w:p w14:paraId="6AD521F6" w14:textId="77777777" w:rsidR="004A0A8A" w:rsidRPr="00352DD1" w:rsidRDefault="004A0A8A" w:rsidP="004A0A8A">
      <w:pPr>
        <w:pStyle w:val="Textoindependiente"/>
        <w:ind w:firstLine="708"/>
        <w:rPr>
          <w:rFonts w:ascii="Abadi" w:hAnsi="Abadi"/>
          <w:b w:val="0"/>
          <w:bCs w:val="0"/>
          <w:sz w:val="21"/>
          <w:szCs w:val="21"/>
        </w:rPr>
      </w:pPr>
    </w:p>
    <w:p w14:paraId="0D84DB66"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Por lo que hace a la recomendación plasmada en el numeral 001 se concluyó que el agravio formulado por la recurrente resultó infundado, de acuerdo a lo expresado en el considerando séptimo, en virtud de lo cual se</w:t>
      </w:r>
      <w:r w:rsidRPr="003F43F9">
        <w:rPr>
          <w:rFonts w:ascii="Abadi" w:hAnsi="Abadi"/>
          <w:sz w:val="21"/>
          <w:szCs w:val="21"/>
        </w:rPr>
        <w:t xml:space="preserve"> </w:t>
      </w:r>
      <w:r w:rsidRPr="00352DD1">
        <w:rPr>
          <w:rFonts w:ascii="Abadi" w:hAnsi="Abadi"/>
          <w:b w:val="0"/>
          <w:bCs w:val="0"/>
          <w:sz w:val="21"/>
          <w:szCs w:val="21"/>
        </w:rPr>
        <w:t>confirmó el sentido de la valoración de la recomendación como no atendida.</w:t>
      </w:r>
    </w:p>
    <w:p w14:paraId="3CE18ED4" w14:textId="77777777" w:rsidR="004A0A8A" w:rsidRPr="00352DD1" w:rsidRDefault="004A0A8A" w:rsidP="004A0A8A">
      <w:pPr>
        <w:pStyle w:val="Textoindependiente"/>
        <w:ind w:firstLine="708"/>
        <w:rPr>
          <w:rFonts w:ascii="Abadi" w:hAnsi="Abadi"/>
          <w:b w:val="0"/>
          <w:bCs w:val="0"/>
          <w:sz w:val="21"/>
          <w:szCs w:val="21"/>
        </w:rPr>
      </w:pPr>
    </w:p>
    <w:p w14:paraId="34312C64" w14:textId="77777777" w:rsidR="004A0A8A" w:rsidRPr="00352DD1" w:rsidRDefault="004A0A8A" w:rsidP="004A0A8A">
      <w:pPr>
        <w:pStyle w:val="Textoindependiente"/>
        <w:ind w:firstLine="708"/>
        <w:rPr>
          <w:rFonts w:ascii="Abadi" w:hAnsi="Abadi"/>
          <w:b w:val="0"/>
          <w:bCs w:val="0"/>
          <w:sz w:val="21"/>
          <w:szCs w:val="21"/>
        </w:rPr>
      </w:pPr>
      <w:r w:rsidRPr="00352DD1">
        <w:rPr>
          <w:rFonts w:ascii="Abadi" w:hAnsi="Abadi"/>
          <w:b w:val="0"/>
          <w:bCs w:val="0"/>
          <w:sz w:val="21"/>
          <w:szCs w:val="21"/>
        </w:rPr>
        <w:t xml:space="preserve">Finalmente, respecto a la recomendación contenida en el numeral 002, se resolvió que las pruebas documentales aportadas por la recurrente resultaron suficientes para acreditar el control interno utilizado por el Municipio. En consecuencia, se </w:t>
      </w:r>
      <w:r w:rsidRPr="00352DD1">
        <w:rPr>
          <w:rFonts w:ascii="Abadi" w:hAnsi="Abadi"/>
          <w:b w:val="0"/>
          <w:bCs w:val="0"/>
          <w:sz w:val="21"/>
          <w:szCs w:val="21"/>
        </w:rPr>
        <w:lastRenderedPageBreak/>
        <w:t>modificó el sentido de la valoración de la recomendación para tenerla por atendida.</w:t>
      </w:r>
    </w:p>
    <w:p w14:paraId="5D80B5D8" w14:textId="77777777" w:rsidR="004A0A8A" w:rsidRPr="00352DD1" w:rsidRDefault="004A0A8A" w:rsidP="004A0A8A">
      <w:pPr>
        <w:pStyle w:val="Textoindependiente"/>
        <w:ind w:firstLine="708"/>
        <w:rPr>
          <w:rFonts w:ascii="Abadi" w:hAnsi="Abadi"/>
          <w:b w:val="0"/>
          <w:bCs w:val="0"/>
          <w:sz w:val="21"/>
          <w:szCs w:val="21"/>
        </w:rPr>
      </w:pPr>
    </w:p>
    <w:p w14:paraId="2DCCFE2E" w14:textId="77777777" w:rsidR="004A0A8A" w:rsidRPr="00352DD1" w:rsidRDefault="004A0A8A" w:rsidP="004A0A8A">
      <w:pPr>
        <w:pStyle w:val="Textoindependiente"/>
        <w:ind w:firstLine="705"/>
        <w:rPr>
          <w:rFonts w:ascii="Abadi" w:hAnsi="Abadi"/>
          <w:b w:val="0"/>
          <w:bCs w:val="0"/>
          <w:sz w:val="21"/>
          <w:szCs w:val="21"/>
        </w:rPr>
      </w:pPr>
      <w:r w:rsidRPr="00352DD1">
        <w:rPr>
          <w:rFonts w:ascii="Abadi" w:hAnsi="Abadi"/>
          <w:b w:val="0"/>
          <w:bCs w:val="0"/>
          <w:sz w:val="21"/>
          <w:szCs w:val="21"/>
        </w:rPr>
        <w:t xml:space="preserve">La referida resolución se notificó al ex presidente y a la presidenta municipales de León, </w:t>
      </w:r>
      <w:proofErr w:type="spellStart"/>
      <w:r w:rsidRPr="00352DD1">
        <w:rPr>
          <w:rFonts w:ascii="Abadi" w:hAnsi="Abadi"/>
          <w:b w:val="0"/>
          <w:bCs w:val="0"/>
          <w:sz w:val="21"/>
          <w:szCs w:val="21"/>
        </w:rPr>
        <w:t>Gto</w:t>
      </w:r>
      <w:proofErr w:type="spellEnd"/>
      <w:r w:rsidRPr="00352DD1">
        <w:rPr>
          <w:rFonts w:ascii="Abadi" w:hAnsi="Abadi"/>
          <w:b w:val="0"/>
          <w:bCs w:val="0"/>
          <w:sz w:val="21"/>
          <w:szCs w:val="21"/>
        </w:rPr>
        <w:t>., el 25 de abril de 2023.</w:t>
      </w:r>
    </w:p>
    <w:p w14:paraId="2C3FF4F7" w14:textId="77777777" w:rsidR="004A0A8A" w:rsidRPr="003F43F9" w:rsidRDefault="004A0A8A" w:rsidP="004A0A8A">
      <w:pPr>
        <w:pStyle w:val="Textoindependiente"/>
        <w:ind w:firstLine="705"/>
        <w:rPr>
          <w:rFonts w:ascii="Abadi" w:hAnsi="Abadi"/>
          <w:sz w:val="21"/>
          <w:szCs w:val="21"/>
        </w:rPr>
      </w:pPr>
    </w:p>
    <w:p w14:paraId="2CA581CC" w14:textId="77777777" w:rsidR="004A0A8A" w:rsidRPr="00352DD1" w:rsidRDefault="004A0A8A" w:rsidP="00427BD6">
      <w:pPr>
        <w:pStyle w:val="Textoindependiente"/>
        <w:numPr>
          <w:ilvl w:val="0"/>
          <w:numId w:val="9"/>
        </w:numPr>
        <w:autoSpaceDE/>
        <w:autoSpaceDN/>
        <w:rPr>
          <w:rFonts w:ascii="Abadi" w:hAnsi="Abadi"/>
          <w:sz w:val="21"/>
          <w:szCs w:val="21"/>
        </w:rPr>
      </w:pPr>
      <w:r w:rsidRPr="00352DD1">
        <w:rPr>
          <w:rFonts w:ascii="Abadi" w:hAnsi="Abadi"/>
          <w:sz w:val="21"/>
          <w:szCs w:val="21"/>
        </w:rPr>
        <w:t xml:space="preserve">Anexos. </w:t>
      </w:r>
    </w:p>
    <w:p w14:paraId="64712F52" w14:textId="77777777" w:rsidR="004A0A8A" w:rsidRPr="003F43F9" w:rsidRDefault="004A0A8A" w:rsidP="004A0A8A">
      <w:pPr>
        <w:pStyle w:val="Textoindependiente"/>
        <w:ind w:firstLine="705"/>
        <w:rPr>
          <w:rFonts w:ascii="Abadi" w:hAnsi="Abadi"/>
          <w:sz w:val="21"/>
          <w:szCs w:val="21"/>
        </w:rPr>
      </w:pPr>
    </w:p>
    <w:p w14:paraId="6531502D" w14:textId="77777777" w:rsidR="004A0A8A" w:rsidRPr="00352DD1" w:rsidRDefault="004A0A8A" w:rsidP="004A0A8A">
      <w:pPr>
        <w:pStyle w:val="Textoindependiente"/>
        <w:ind w:firstLine="705"/>
        <w:rPr>
          <w:rFonts w:ascii="Abadi" w:hAnsi="Abadi"/>
          <w:b w:val="0"/>
          <w:bCs w:val="0"/>
          <w:sz w:val="21"/>
          <w:szCs w:val="21"/>
        </w:rPr>
      </w:pPr>
      <w:r w:rsidRPr="00352DD1">
        <w:rPr>
          <w:rFonts w:ascii="Abadi" w:hAnsi="Abadi"/>
          <w:b w:val="0"/>
          <w:bCs w:val="0"/>
          <w:sz w:val="21"/>
          <w:szCs w:val="21"/>
        </w:rPr>
        <w:t>En esta parte, se adjuntan los anexos técnicos derivados de la revisión practicada.</w:t>
      </w:r>
    </w:p>
    <w:p w14:paraId="2FDDC410" w14:textId="77777777" w:rsidR="004A0A8A" w:rsidRPr="003F43F9" w:rsidRDefault="004A0A8A" w:rsidP="004A0A8A">
      <w:pPr>
        <w:pStyle w:val="Textoindependiente"/>
        <w:ind w:firstLine="705"/>
        <w:rPr>
          <w:rFonts w:ascii="Abadi" w:hAnsi="Abadi"/>
          <w:sz w:val="21"/>
          <w:szCs w:val="21"/>
        </w:rPr>
      </w:pPr>
    </w:p>
    <w:p w14:paraId="69B75AFF" w14:textId="77777777" w:rsidR="004A0A8A" w:rsidRPr="003F43F9" w:rsidRDefault="004A0A8A" w:rsidP="004A0A8A">
      <w:pPr>
        <w:ind w:firstLine="708"/>
        <w:jc w:val="both"/>
        <w:rPr>
          <w:rFonts w:ascii="Abadi" w:hAnsi="Abadi" w:cs="Arial"/>
          <w:b/>
          <w:bCs/>
          <w:sz w:val="21"/>
          <w:szCs w:val="21"/>
        </w:rPr>
      </w:pPr>
      <w:r w:rsidRPr="003F43F9">
        <w:rPr>
          <w:rFonts w:ascii="Abadi" w:hAnsi="Abadi" w:cs="Arial"/>
          <w:b/>
          <w:bCs/>
          <w:sz w:val="21"/>
          <w:szCs w:val="21"/>
        </w:rPr>
        <w:t>V. Conclusiones:</w:t>
      </w:r>
    </w:p>
    <w:p w14:paraId="3A2AE9E4" w14:textId="77777777" w:rsidR="004A0A8A" w:rsidRPr="003F43F9" w:rsidRDefault="004A0A8A" w:rsidP="004A0A8A">
      <w:pPr>
        <w:jc w:val="both"/>
        <w:rPr>
          <w:rFonts w:ascii="Abadi" w:hAnsi="Abadi" w:cs="Arial"/>
          <w:sz w:val="21"/>
          <w:szCs w:val="21"/>
        </w:rPr>
      </w:pPr>
    </w:p>
    <w:p w14:paraId="1B5B8FF8" w14:textId="77777777" w:rsidR="004A0A8A" w:rsidRPr="003F43F9" w:rsidRDefault="004A0A8A" w:rsidP="004A0A8A">
      <w:pPr>
        <w:jc w:val="both"/>
        <w:rPr>
          <w:rFonts w:ascii="Abadi" w:hAnsi="Abadi" w:cs="Arial"/>
          <w:sz w:val="21"/>
          <w:szCs w:val="21"/>
        </w:rPr>
      </w:pPr>
      <w:r w:rsidRPr="003F43F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3F43F9">
          <w:rPr>
            <w:rFonts w:ascii="Abadi" w:hAnsi="Abadi" w:cs="Arial"/>
            <w:sz w:val="21"/>
            <w:szCs w:val="21"/>
          </w:rPr>
          <w:t>la Ley</w:t>
        </w:r>
      </w:smartTag>
      <w:r w:rsidRPr="003F43F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2AEE327" w14:textId="77777777" w:rsidR="004A0A8A" w:rsidRPr="003F43F9" w:rsidRDefault="004A0A8A" w:rsidP="004A0A8A">
      <w:pPr>
        <w:jc w:val="both"/>
        <w:rPr>
          <w:rFonts w:ascii="Abadi" w:hAnsi="Abadi" w:cs="Arial"/>
          <w:sz w:val="21"/>
          <w:szCs w:val="21"/>
        </w:rPr>
      </w:pPr>
    </w:p>
    <w:p w14:paraId="2A4D22A4" w14:textId="77777777" w:rsidR="004A0A8A" w:rsidRPr="003F43F9" w:rsidRDefault="004A0A8A" w:rsidP="004A0A8A">
      <w:pPr>
        <w:jc w:val="both"/>
        <w:rPr>
          <w:rFonts w:ascii="Abadi" w:hAnsi="Abadi" w:cs="Arial"/>
          <w:sz w:val="21"/>
          <w:szCs w:val="21"/>
        </w:rPr>
      </w:pPr>
      <w:r w:rsidRPr="003F43F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C36AE64" w14:textId="77777777" w:rsidR="004A0A8A" w:rsidRPr="003F43F9" w:rsidRDefault="004A0A8A" w:rsidP="004A0A8A">
      <w:pPr>
        <w:jc w:val="both"/>
        <w:rPr>
          <w:rFonts w:ascii="Abadi" w:hAnsi="Abadi" w:cs="Arial"/>
          <w:sz w:val="21"/>
          <w:szCs w:val="21"/>
        </w:rPr>
      </w:pPr>
    </w:p>
    <w:p w14:paraId="08CD10BE"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 presidente municipales de León, </w:t>
      </w:r>
      <w:proofErr w:type="spellStart"/>
      <w:r w:rsidRPr="003F43F9">
        <w:rPr>
          <w:rFonts w:ascii="Abadi" w:hAnsi="Abadi" w:cs="Arial"/>
          <w:sz w:val="21"/>
          <w:szCs w:val="21"/>
        </w:rPr>
        <w:t>Gto</w:t>
      </w:r>
      <w:proofErr w:type="spellEnd"/>
      <w:r w:rsidRPr="003F43F9">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3F43F9">
          <w:rPr>
            <w:rFonts w:ascii="Abadi" w:hAnsi="Abadi" w:cs="Arial"/>
            <w:sz w:val="21"/>
            <w:szCs w:val="21"/>
          </w:rPr>
          <w:t>la Ley</w:t>
        </w:r>
      </w:smartTag>
      <w:r w:rsidRPr="003F43F9">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w:t>
      </w:r>
    </w:p>
    <w:p w14:paraId="3E07F768" w14:textId="77777777" w:rsidR="004A0A8A" w:rsidRPr="003F43F9" w:rsidRDefault="004A0A8A" w:rsidP="004A0A8A">
      <w:pPr>
        <w:jc w:val="both"/>
        <w:rPr>
          <w:rFonts w:ascii="Abadi" w:hAnsi="Abadi" w:cs="Arial"/>
          <w:sz w:val="21"/>
          <w:szCs w:val="21"/>
        </w:rPr>
      </w:pPr>
    </w:p>
    <w:p w14:paraId="52AB14F7"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De igual manera, existe en el informe de resultados la constancia de que este se notificó a la presidenta y al ex presidente municipales de León, </w:t>
      </w:r>
      <w:proofErr w:type="spellStart"/>
      <w:r w:rsidRPr="003F43F9">
        <w:rPr>
          <w:rFonts w:ascii="Abadi" w:hAnsi="Abadi" w:cs="Arial"/>
          <w:sz w:val="21"/>
          <w:szCs w:val="21"/>
        </w:rPr>
        <w:t>Gto</w:t>
      </w:r>
      <w:proofErr w:type="spellEnd"/>
      <w:r w:rsidRPr="003F43F9">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3F43F9">
          <w:rPr>
            <w:rFonts w:ascii="Abadi" w:hAnsi="Abadi" w:cs="Arial"/>
            <w:sz w:val="21"/>
            <w:szCs w:val="21"/>
          </w:rPr>
          <w:t>la Ley</w:t>
        </w:r>
      </w:smartTag>
      <w:r w:rsidRPr="003F43F9">
        <w:rPr>
          <w:rFonts w:ascii="Abadi" w:hAnsi="Abadi" w:cs="Arial"/>
          <w:sz w:val="21"/>
          <w:szCs w:val="21"/>
        </w:rPr>
        <w:t xml:space="preserve"> de Fiscalización Superior del Estado de Guanajuato, a efecto de que en su caso, hicieran valer el recurso de reconsideración </w:t>
      </w:r>
      <w:r w:rsidRPr="003F43F9">
        <w:rPr>
          <w:rFonts w:ascii="Abadi" w:hAnsi="Abadi" w:cs="Arial"/>
          <w:sz w:val="21"/>
          <w:szCs w:val="21"/>
        </w:rPr>
        <w:t xml:space="preserve">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ex presidente y a la presidenta municipales de León, </w:t>
      </w:r>
      <w:proofErr w:type="spellStart"/>
      <w:r w:rsidRPr="003F43F9">
        <w:rPr>
          <w:rFonts w:ascii="Abadi" w:hAnsi="Abadi" w:cs="Arial"/>
          <w:sz w:val="21"/>
          <w:szCs w:val="21"/>
        </w:rPr>
        <w:t>Gto</w:t>
      </w:r>
      <w:proofErr w:type="spellEnd"/>
      <w:r w:rsidRPr="003F43F9">
        <w:rPr>
          <w:rFonts w:ascii="Abadi" w:hAnsi="Abadi" w:cs="Arial"/>
          <w:sz w:val="21"/>
          <w:szCs w:val="21"/>
        </w:rPr>
        <w:t>. En tal virtud, se considera que fue respetado el derecho de audiencia o defensa por parte del Órgano Técnico.</w:t>
      </w:r>
    </w:p>
    <w:p w14:paraId="08502CD0" w14:textId="77777777" w:rsidR="004A0A8A" w:rsidRPr="003F43F9" w:rsidRDefault="004A0A8A" w:rsidP="004A0A8A">
      <w:pPr>
        <w:ind w:firstLine="708"/>
        <w:jc w:val="both"/>
        <w:rPr>
          <w:rFonts w:ascii="Abadi" w:hAnsi="Abadi" w:cs="Arial"/>
          <w:sz w:val="21"/>
          <w:szCs w:val="21"/>
        </w:rPr>
      </w:pPr>
    </w:p>
    <w:p w14:paraId="06D3DC51"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8B7BE1C" w14:textId="77777777" w:rsidR="004A0A8A" w:rsidRPr="003F43F9" w:rsidRDefault="004A0A8A" w:rsidP="004A0A8A">
      <w:pPr>
        <w:ind w:firstLine="708"/>
        <w:jc w:val="both"/>
        <w:rPr>
          <w:rFonts w:ascii="Abadi" w:hAnsi="Abadi" w:cs="Arial"/>
          <w:sz w:val="21"/>
          <w:szCs w:val="21"/>
        </w:rPr>
      </w:pPr>
    </w:p>
    <w:p w14:paraId="0C04F1DF"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4BFA63E" w14:textId="77777777" w:rsidR="004A0A8A" w:rsidRPr="003F43F9" w:rsidRDefault="004A0A8A" w:rsidP="004A0A8A">
      <w:pPr>
        <w:jc w:val="both"/>
        <w:rPr>
          <w:rFonts w:ascii="Abadi" w:hAnsi="Abadi" w:cs="Arial"/>
          <w:sz w:val="21"/>
          <w:szCs w:val="21"/>
        </w:rPr>
      </w:pPr>
    </w:p>
    <w:p w14:paraId="37597523"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w:t>
      </w:r>
      <w:r w:rsidRPr="003F43F9">
        <w:rPr>
          <w:rFonts w:ascii="Abadi" w:hAnsi="Abadi" w:cs="Arial"/>
          <w:sz w:val="21"/>
          <w:szCs w:val="21"/>
        </w:rPr>
        <w:lastRenderedPageBreak/>
        <w:t>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7DEF86AB" w14:textId="77777777" w:rsidR="004A0A8A" w:rsidRPr="003F43F9" w:rsidRDefault="004A0A8A" w:rsidP="004A0A8A">
      <w:pPr>
        <w:ind w:firstLine="708"/>
        <w:jc w:val="both"/>
        <w:rPr>
          <w:rFonts w:ascii="Abadi" w:hAnsi="Abadi" w:cs="Arial"/>
          <w:sz w:val="21"/>
          <w:szCs w:val="21"/>
        </w:rPr>
      </w:pPr>
    </w:p>
    <w:p w14:paraId="690E4ED9"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4F3B711"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En razón de lo anteriormente señalado, concluimos que el informe de resultados de la revisión practicada a la cuenta pública municipal de León, </w:t>
      </w:r>
      <w:proofErr w:type="spellStart"/>
      <w:r w:rsidRPr="003F43F9">
        <w:rPr>
          <w:rFonts w:ascii="Abadi" w:hAnsi="Abadi" w:cs="Arial"/>
          <w:sz w:val="21"/>
          <w:szCs w:val="21"/>
        </w:rPr>
        <w:t>Gto</w:t>
      </w:r>
      <w:proofErr w:type="spellEnd"/>
      <w:r w:rsidRPr="003F43F9">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3F43F9">
          <w:rPr>
            <w:rFonts w:ascii="Abadi" w:hAnsi="Abadi" w:cs="Arial"/>
            <w:sz w:val="21"/>
            <w:szCs w:val="21"/>
          </w:rPr>
          <w:t>la Ley</w:t>
        </w:r>
      </w:smartTag>
      <w:r w:rsidRPr="003F43F9">
        <w:rPr>
          <w:rFonts w:ascii="Abadi" w:hAnsi="Abadi" w:cs="Arial"/>
          <w:sz w:val="21"/>
          <w:szCs w:val="21"/>
        </w:rPr>
        <w:t xml:space="preserve"> de Fiscalización Superior del Estado de Guanajuato, razón por la cual no podría ser observado por el Pleno del Congreso.</w:t>
      </w:r>
    </w:p>
    <w:p w14:paraId="74C2F804" w14:textId="77777777" w:rsidR="004A0A8A" w:rsidRPr="003F43F9" w:rsidRDefault="004A0A8A" w:rsidP="004A0A8A">
      <w:pPr>
        <w:pStyle w:val="Sangra3detindependiente"/>
        <w:spacing w:line="240" w:lineRule="auto"/>
        <w:rPr>
          <w:rFonts w:ascii="Abadi" w:hAnsi="Abadi"/>
          <w:sz w:val="21"/>
          <w:szCs w:val="21"/>
        </w:rPr>
      </w:pPr>
    </w:p>
    <w:p w14:paraId="76B1A06B" w14:textId="77777777" w:rsidR="004A0A8A" w:rsidRPr="003F43F9" w:rsidRDefault="004A0A8A" w:rsidP="004A0A8A">
      <w:pPr>
        <w:pStyle w:val="Sangra3detindependiente"/>
        <w:spacing w:line="240" w:lineRule="auto"/>
        <w:rPr>
          <w:rFonts w:ascii="Abadi" w:hAnsi="Abadi"/>
          <w:sz w:val="21"/>
          <w:szCs w:val="21"/>
        </w:rPr>
      </w:pPr>
      <w:r w:rsidRPr="003F43F9">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F43F9">
          <w:rPr>
            <w:rFonts w:ascii="Abadi" w:hAnsi="Abadi"/>
            <w:sz w:val="21"/>
            <w:szCs w:val="21"/>
          </w:rPr>
          <w:t>la Ley Orgánica</w:t>
        </w:r>
      </w:smartTag>
      <w:r w:rsidRPr="003F43F9">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F43F9">
          <w:rPr>
            <w:rFonts w:ascii="Abadi" w:hAnsi="Abadi"/>
            <w:sz w:val="21"/>
            <w:szCs w:val="21"/>
          </w:rPr>
          <w:t>la Asamblea</w:t>
        </w:r>
      </w:smartTag>
      <w:r w:rsidRPr="003F43F9">
        <w:rPr>
          <w:rFonts w:ascii="Abadi" w:hAnsi="Abadi"/>
          <w:sz w:val="21"/>
          <w:szCs w:val="21"/>
        </w:rPr>
        <w:t>, la aprobación del siguiente:</w:t>
      </w:r>
    </w:p>
    <w:p w14:paraId="17642987" w14:textId="77777777" w:rsidR="004A0A8A" w:rsidRPr="003F43F9" w:rsidRDefault="004A0A8A" w:rsidP="004A0A8A">
      <w:pPr>
        <w:pStyle w:val="Ttulo1"/>
        <w:jc w:val="center"/>
        <w:rPr>
          <w:rFonts w:ascii="Abadi" w:hAnsi="Abadi" w:cs="Arial"/>
          <w:smallCaps/>
          <w:sz w:val="21"/>
          <w:szCs w:val="21"/>
        </w:rPr>
      </w:pPr>
    </w:p>
    <w:p w14:paraId="7899CEDF" w14:textId="77777777" w:rsidR="004A0A8A" w:rsidRPr="003F43F9" w:rsidRDefault="004A0A8A" w:rsidP="004A0A8A">
      <w:pPr>
        <w:pStyle w:val="Ttulo1"/>
        <w:jc w:val="center"/>
        <w:rPr>
          <w:rFonts w:ascii="Abadi" w:hAnsi="Abadi" w:cs="Arial"/>
          <w:smallCaps/>
          <w:sz w:val="21"/>
          <w:szCs w:val="21"/>
        </w:rPr>
      </w:pPr>
      <w:r w:rsidRPr="003F43F9">
        <w:rPr>
          <w:rFonts w:ascii="Abadi" w:hAnsi="Abadi" w:cs="Arial"/>
          <w:smallCaps/>
          <w:sz w:val="21"/>
          <w:szCs w:val="21"/>
        </w:rPr>
        <w:t>A c u e r d o</w:t>
      </w:r>
    </w:p>
    <w:p w14:paraId="3FA22F02" w14:textId="77777777" w:rsidR="004A0A8A" w:rsidRPr="003F43F9" w:rsidRDefault="004A0A8A" w:rsidP="004A0A8A">
      <w:pPr>
        <w:rPr>
          <w:rFonts w:ascii="Abadi" w:hAnsi="Abadi"/>
          <w:sz w:val="21"/>
          <w:szCs w:val="21"/>
        </w:rPr>
      </w:pPr>
    </w:p>
    <w:p w14:paraId="4BF22C14" w14:textId="77777777" w:rsidR="004A0A8A" w:rsidRPr="003F43F9" w:rsidRDefault="004A0A8A" w:rsidP="004A0A8A">
      <w:pPr>
        <w:ind w:firstLine="708"/>
        <w:jc w:val="both"/>
        <w:rPr>
          <w:rFonts w:ascii="Abadi" w:hAnsi="Abadi" w:cs="Arial"/>
          <w:sz w:val="21"/>
          <w:szCs w:val="21"/>
        </w:rPr>
      </w:pPr>
      <w:r w:rsidRPr="003F43F9">
        <w:rPr>
          <w:rFonts w:ascii="Abadi" w:hAnsi="Abadi" w:cs="Arial"/>
          <w:b/>
          <w:bCs/>
          <w:sz w:val="21"/>
          <w:szCs w:val="21"/>
        </w:rPr>
        <w:t xml:space="preserve">Único. </w:t>
      </w:r>
      <w:r w:rsidRPr="003F43F9">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3F43F9">
          <w:rPr>
            <w:rFonts w:ascii="Abadi" w:hAnsi="Abadi" w:cs="Arial"/>
            <w:sz w:val="21"/>
            <w:szCs w:val="21"/>
          </w:rPr>
          <w:t>la Constitución Política</w:t>
        </w:r>
      </w:smartTag>
      <w:r w:rsidRPr="003F43F9">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León, </w:t>
      </w:r>
      <w:proofErr w:type="spellStart"/>
      <w:r w:rsidRPr="003F43F9">
        <w:rPr>
          <w:rFonts w:ascii="Abadi" w:hAnsi="Abadi" w:cs="Arial"/>
          <w:sz w:val="21"/>
          <w:szCs w:val="21"/>
        </w:rPr>
        <w:t>Gto</w:t>
      </w:r>
      <w:proofErr w:type="spellEnd"/>
      <w:r w:rsidRPr="003F43F9">
        <w:rPr>
          <w:rFonts w:ascii="Abadi" w:hAnsi="Abadi" w:cs="Arial"/>
          <w:sz w:val="21"/>
          <w:szCs w:val="21"/>
        </w:rPr>
        <w:t>., correspondiente al ejercicio fiscal del año 2021, con base en el informe de resultados formulado por la Auditoría Superior del Estado de Guanajuato.</w:t>
      </w:r>
    </w:p>
    <w:p w14:paraId="2491D8A1" w14:textId="77777777" w:rsidR="004A0A8A" w:rsidRPr="003F43F9" w:rsidRDefault="004A0A8A" w:rsidP="004A0A8A">
      <w:pPr>
        <w:ind w:firstLine="708"/>
        <w:jc w:val="both"/>
        <w:rPr>
          <w:rFonts w:ascii="Abadi" w:hAnsi="Abadi" w:cs="Arial"/>
          <w:sz w:val="21"/>
          <w:szCs w:val="21"/>
        </w:rPr>
      </w:pPr>
    </w:p>
    <w:p w14:paraId="0A305868" w14:textId="77777777" w:rsidR="004A0A8A" w:rsidRPr="003F43F9" w:rsidRDefault="004A0A8A" w:rsidP="004A0A8A">
      <w:pPr>
        <w:pStyle w:val="Sangra3detindependiente"/>
        <w:spacing w:line="240" w:lineRule="auto"/>
        <w:rPr>
          <w:rFonts w:ascii="Abadi" w:hAnsi="Abadi"/>
          <w:sz w:val="21"/>
          <w:szCs w:val="21"/>
          <w:lang w:val="es-MX"/>
        </w:rPr>
      </w:pPr>
      <w:r w:rsidRPr="003F43F9">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3F43F9">
        <w:rPr>
          <w:rFonts w:ascii="Abadi" w:hAnsi="Abadi"/>
          <w:sz w:val="21"/>
          <w:szCs w:val="21"/>
          <w:lang w:val="es-MX"/>
        </w:rPr>
        <w:t>.</w:t>
      </w:r>
      <w:r w:rsidRPr="003F43F9">
        <w:rPr>
          <w:rFonts w:ascii="Abadi" w:hAnsi="Abadi"/>
          <w:sz w:val="21"/>
          <w:szCs w:val="21"/>
        </w:rPr>
        <w:t xml:space="preserve"> </w:t>
      </w:r>
      <w:r w:rsidRPr="003F43F9">
        <w:rPr>
          <w:rFonts w:ascii="Abadi" w:hAnsi="Abadi"/>
          <w:sz w:val="21"/>
          <w:szCs w:val="21"/>
          <w:lang w:val="es-MX"/>
        </w:rPr>
        <w:t>Asimismo, dará</w:t>
      </w:r>
      <w:r w:rsidRPr="003F43F9">
        <w:rPr>
          <w:rFonts w:ascii="Abadi" w:hAnsi="Abadi"/>
          <w:sz w:val="21"/>
          <w:szCs w:val="21"/>
        </w:rPr>
        <w:t xml:space="preserve"> seguimiento a la</w:t>
      </w:r>
      <w:r w:rsidRPr="003F43F9">
        <w:rPr>
          <w:rFonts w:ascii="Abadi" w:hAnsi="Abadi"/>
          <w:sz w:val="21"/>
          <w:szCs w:val="21"/>
          <w:lang w:val="es-MX"/>
        </w:rPr>
        <w:t>s</w:t>
      </w:r>
      <w:r w:rsidRPr="003F43F9">
        <w:rPr>
          <w:rFonts w:ascii="Abadi" w:hAnsi="Abadi"/>
          <w:sz w:val="21"/>
          <w:szCs w:val="21"/>
        </w:rPr>
        <w:t xml:space="preserve"> </w:t>
      </w:r>
      <w:proofErr w:type="spellStart"/>
      <w:r w:rsidRPr="003F43F9">
        <w:rPr>
          <w:rFonts w:ascii="Abadi" w:hAnsi="Abadi"/>
          <w:sz w:val="21"/>
          <w:szCs w:val="21"/>
        </w:rPr>
        <w:t>observaci</w:t>
      </w:r>
      <w:r w:rsidRPr="003F43F9">
        <w:rPr>
          <w:rFonts w:ascii="Abadi" w:hAnsi="Abadi"/>
          <w:sz w:val="21"/>
          <w:szCs w:val="21"/>
          <w:lang w:val="es-MX"/>
        </w:rPr>
        <w:t>ones</w:t>
      </w:r>
      <w:proofErr w:type="spellEnd"/>
      <w:r w:rsidRPr="003F43F9">
        <w:rPr>
          <w:rFonts w:ascii="Abadi" w:hAnsi="Abadi"/>
          <w:sz w:val="21"/>
          <w:szCs w:val="21"/>
        </w:rPr>
        <w:t xml:space="preserve"> no solventada</w:t>
      </w:r>
      <w:r w:rsidRPr="003F43F9">
        <w:rPr>
          <w:rFonts w:ascii="Abadi" w:hAnsi="Abadi"/>
          <w:sz w:val="21"/>
          <w:szCs w:val="21"/>
          <w:lang w:val="es-MX"/>
        </w:rPr>
        <w:t>s</w:t>
      </w:r>
      <w:r w:rsidRPr="003F43F9">
        <w:rPr>
          <w:rFonts w:ascii="Abadi" w:hAnsi="Abadi"/>
          <w:sz w:val="21"/>
          <w:szCs w:val="21"/>
        </w:rPr>
        <w:t xml:space="preserve"> </w:t>
      </w:r>
      <w:r w:rsidRPr="003F43F9">
        <w:rPr>
          <w:rFonts w:ascii="Abadi" w:hAnsi="Abadi"/>
          <w:sz w:val="21"/>
          <w:szCs w:val="21"/>
          <w:lang w:val="es-MX"/>
        </w:rPr>
        <w:t xml:space="preserve">y a la recomendación no atendida </w:t>
      </w:r>
      <w:r w:rsidRPr="003F43F9">
        <w:rPr>
          <w:rFonts w:ascii="Abadi" w:hAnsi="Abadi"/>
          <w:sz w:val="21"/>
          <w:szCs w:val="21"/>
        </w:rPr>
        <w:t>contenidas en el informe de resultados</w:t>
      </w:r>
      <w:r w:rsidRPr="003F43F9">
        <w:rPr>
          <w:rFonts w:ascii="Abadi" w:hAnsi="Abadi"/>
          <w:sz w:val="21"/>
          <w:szCs w:val="21"/>
          <w:lang w:val="es-MX"/>
        </w:rPr>
        <w:t>.</w:t>
      </w:r>
    </w:p>
    <w:p w14:paraId="7BBC3EEE" w14:textId="77777777" w:rsidR="004A0A8A" w:rsidRPr="003F43F9" w:rsidRDefault="004A0A8A" w:rsidP="004A0A8A">
      <w:pPr>
        <w:pStyle w:val="Sangra3detindependiente"/>
        <w:spacing w:line="240" w:lineRule="auto"/>
        <w:rPr>
          <w:rFonts w:ascii="Abadi" w:hAnsi="Abadi"/>
          <w:sz w:val="21"/>
          <w:szCs w:val="21"/>
          <w:lang w:val="es-MX"/>
        </w:rPr>
      </w:pPr>
    </w:p>
    <w:p w14:paraId="7FC736A7"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 xml:space="preserve">Se ordena dar vista del informe de resultados al ayuntamiento del municipio de </w:t>
      </w:r>
      <w:r w:rsidRPr="003F43F9">
        <w:rPr>
          <w:rFonts w:ascii="Abadi" w:hAnsi="Abadi" w:cs="Arial"/>
          <w:sz w:val="21"/>
          <w:szCs w:val="21"/>
          <w:lang w:val="es-MX"/>
        </w:rPr>
        <w:t>León,</w:t>
      </w:r>
      <w:r w:rsidRPr="003F43F9">
        <w:rPr>
          <w:rFonts w:ascii="Abadi" w:hAnsi="Abadi" w:cs="Arial"/>
          <w:sz w:val="21"/>
          <w:szCs w:val="21"/>
        </w:rPr>
        <w:t xml:space="preserve"> </w:t>
      </w:r>
      <w:proofErr w:type="spellStart"/>
      <w:r w:rsidRPr="003F43F9">
        <w:rPr>
          <w:rFonts w:ascii="Abadi" w:hAnsi="Abadi" w:cs="Arial"/>
          <w:sz w:val="21"/>
          <w:szCs w:val="21"/>
        </w:rPr>
        <w:t>Gto</w:t>
      </w:r>
      <w:proofErr w:type="spellEnd"/>
      <w:r w:rsidRPr="003F43F9">
        <w:rPr>
          <w:rFonts w:ascii="Abadi" w:hAnsi="Abadi" w:cs="Arial"/>
          <w:sz w:val="21"/>
          <w:szCs w:val="21"/>
        </w:rPr>
        <w:t xml:space="preserve">., a efecto de que se atienda la recomendación contenida en dicho informe, en el plazo que establece el artículo 66 de </w:t>
      </w:r>
      <w:smartTag w:uri="urn:schemas-microsoft-com:office:smarttags" w:element="PersonName">
        <w:smartTagPr>
          <w:attr w:name="ProductID" w:val="la Ley"/>
        </w:smartTagPr>
        <w:r w:rsidRPr="003F43F9">
          <w:rPr>
            <w:rFonts w:ascii="Abadi" w:hAnsi="Abadi" w:cs="Arial"/>
            <w:sz w:val="21"/>
            <w:szCs w:val="21"/>
          </w:rPr>
          <w:t>la Ley</w:t>
        </w:r>
      </w:smartTag>
      <w:r w:rsidRPr="003F43F9">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1888B129" w14:textId="77777777" w:rsidR="004A0A8A" w:rsidRPr="003F43F9" w:rsidRDefault="004A0A8A" w:rsidP="004A0A8A">
      <w:pPr>
        <w:ind w:firstLine="708"/>
        <w:jc w:val="both"/>
        <w:rPr>
          <w:rFonts w:ascii="Abadi" w:hAnsi="Abadi" w:cs="Arial"/>
          <w:sz w:val="21"/>
          <w:szCs w:val="21"/>
        </w:rPr>
      </w:pPr>
    </w:p>
    <w:p w14:paraId="4F013B8C" w14:textId="77777777" w:rsidR="004A0A8A" w:rsidRPr="003F43F9" w:rsidRDefault="004A0A8A" w:rsidP="004A0A8A">
      <w:pPr>
        <w:ind w:firstLine="708"/>
        <w:jc w:val="both"/>
        <w:rPr>
          <w:rFonts w:ascii="Abadi" w:hAnsi="Abadi" w:cs="Arial"/>
          <w:sz w:val="21"/>
          <w:szCs w:val="21"/>
        </w:rPr>
      </w:pPr>
      <w:r w:rsidRPr="003F43F9">
        <w:rPr>
          <w:rFonts w:ascii="Abadi" w:hAnsi="Abadi" w:cs="Arial"/>
          <w:sz w:val="21"/>
          <w:szCs w:val="21"/>
        </w:rPr>
        <w:t>Remítase el presente acuerdo al titular del Poder Ejecutivo del Estado para su publicación en el Periódico Oficial del Gobierno del Estado.</w:t>
      </w:r>
    </w:p>
    <w:p w14:paraId="7D5658E6" w14:textId="77777777" w:rsidR="004A0A8A" w:rsidRPr="003F43F9" w:rsidRDefault="004A0A8A" w:rsidP="004A0A8A">
      <w:pPr>
        <w:ind w:firstLine="708"/>
        <w:jc w:val="both"/>
        <w:rPr>
          <w:rFonts w:ascii="Abadi" w:hAnsi="Abadi" w:cs="Arial"/>
          <w:sz w:val="21"/>
          <w:szCs w:val="21"/>
        </w:rPr>
      </w:pPr>
    </w:p>
    <w:p w14:paraId="749D7719" w14:textId="77777777" w:rsidR="004A0A8A" w:rsidRPr="003F43F9" w:rsidRDefault="004A0A8A" w:rsidP="004A0A8A">
      <w:pPr>
        <w:pStyle w:val="Sangra3detindependiente"/>
        <w:spacing w:line="240" w:lineRule="auto"/>
        <w:rPr>
          <w:rFonts w:ascii="Abadi" w:hAnsi="Abadi"/>
          <w:sz w:val="21"/>
          <w:szCs w:val="21"/>
        </w:rPr>
      </w:pPr>
      <w:r w:rsidRPr="003F43F9">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57EEEA8C" w14:textId="77777777" w:rsidR="004A0A8A" w:rsidRPr="003F43F9" w:rsidRDefault="004A0A8A" w:rsidP="004A0A8A">
      <w:pPr>
        <w:jc w:val="center"/>
        <w:rPr>
          <w:rFonts w:ascii="Abadi" w:hAnsi="Abadi" w:cs="Arial"/>
          <w:b/>
          <w:bCs/>
          <w:sz w:val="21"/>
          <w:szCs w:val="21"/>
          <w:lang w:eastAsia="x-none"/>
        </w:rPr>
      </w:pPr>
    </w:p>
    <w:p w14:paraId="03A8EF6E" w14:textId="77777777" w:rsidR="004A0A8A" w:rsidRPr="003F43F9" w:rsidRDefault="004A0A8A" w:rsidP="004A0A8A">
      <w:pPr>
        <w:jc w:val="center"/>
        <w:rPr>
          <w:rFonts w:ascii="Abadi" w:hAnsi="Abadi" w:cs="Arial"/>
          <w:b/>
          <w:bCs/>
          <w:sz w:val="21"/>
          <w:szCs w:val="21"/>
          <w:lang w:eastAsia="x-none"/>
        </w:rPr>
      </w:pPr>
      <w:r w:rsidRPr="003F43F9">
        <w:rPr>
          <w:rFonts w:ascii="Abadi" w:hAnsi="Abadi" w:cs="Arial"/>
          <w:b/>
          <w:bCs/>
          <w:sz w:val="21"/>
          <w:szCs w:val="21"/>
          <w:lang w:eastAsia="x-none"/>
        </w:rPr>
        <w:t xml:space="preserve">Guanajuato, </w:t>
      </w:r>
      <w:proofErr w:type="spellStart"/>
      <w:r w:rsidRPr="003F43F9">
        <w:rPr>
          <w:rFonts w:ascii="Abadi" w:hAnsi="Abadi" w:cs="Arial"/>
          <w:b/>
          <w:bCs/>
          <w:sz w:val="21"/>
          <w:szCs w:val="21"/>
          <w:lang w:eastAsia="x-none"/>
        </w:rPr>
        <w:t>Gto</w:t>
      </w:r>
      <w:proofErr w:type="spellEnd"/>
      <w:r w:rsidRPr="003F43F9">
        <w:rPr>
          <w:rFonts w:ascii="Abadi" w:hAnsi="Abadi" w:cs="Arial"/>
          <w:b/>
          <w:bCs/>
          <w:sz w:val="21"/>
          <w:szCs w:val="21"/>
          <w:lang w:eastAsia="x-none"/>
        </w:rPr>
        <w:t>., 19 de junio de 2023</w:t>
      </w:r>
    </w:p>
    <w:p w14:paraId="02F5F807" w14:textId="77777777" w:rsidR="004A0A8A" w:rsidRPr="003F43F9" w:rsidRDefault="004A0A8A" w:rsidP="004A0A8A">
      <w:pPr>
        <w:jc w:val="center"/>
        <w:rPr>
          <w:rFonts w:ascii="Abadi" w:hAnsi="Abadi" w:cs="Arial"/>
          <w:b/>
          <w:bCs/>
          <w:sz w:val="21"/>
          <w:szCs w:val="21"/>
          <w:lang w:eastAsia="x-none"/>
        </w:rPr>
      </w:pPr>
      <w:smartTag w:uri="urn:schemas-microsoft-com:office:smarttags" w:element="PersonName">
        <w:smartTagPr>
          <w:attr w:name="ProductID" w:val="La Comisi￳n"/>
        </w:smartTagPr>
        <w:r w:rsidRPr="003F43F9">
          <w:rPr>
            <w:rFonts w:ascii="Abadi" w:hAnsi="Abadi" w:cs="Arial"/>
            <w:b/>
            <w:bCs/>
            <w:sz w:val="21"/>
            <w:szCs w:val="21"/>
            <w:lang w:eastAsia="x-none"/>
          </w:rPr>
          <w:t>La Comisión</w:t>
        </w:r>
      </w:smartTag>
      <w:r w:rsidRPr="003F43F9">
        <w:rPr>
          <w:rFonts w:ascii="Abadi" w:hAnsi="Abadi" w:cs="Arial"/>
          <w:b/>
          <w:bCs/>
          <w:sz w:val="21"/>
          <w:szCs w:val="21"/>
          <w:lang w:eastAsia="x-none"/>
        </w:rPr>
        <w:t xml:space="preserve"> de Hacienda y Fiscalización</w:t>
      </w:r>
    </w:p>
    <w:p w14:paraId="3138C656" w14:textId="77777777" w:rsidR="004A0A8A" w:rsidRPr="003F43F9" w:rsidRDefault="004A0A8A" w:rsidP="004A0A8A">
      <w:pPr>
        <w:jc w:val="center"/>
        <w:rPr>
          <w:rFonts w:ascii="Abadi" w:hAnsi="Abadi" w:cs="Arial"/>
          <w:sz w:val="21"/>
          <w:szCs w:val="21"/>
        </w:rPr>
      </w:pPr>
    </w:p>
    <w:p w14:paraId="6A1DA802" w14:textId="77777777" w:rsidR="004A0A8A" w:rsidRPr="003F43F9" w:rsidRDefault="004A0A8A" w:rsidP="004A0A8A">
      <w:pPr>
        <w:jc w:val="center"/>
        <w:rPr>
          <w:rFonts w:ascii="Abadi" w:hAnsi="Abadi" w:cs="Arial"/>
          <w:sz w:val="21"/>
          <w:szCs w:val="21"/>
        </w:rPr>
      </w:pPr>
    </w:p>
    <w:p w14:paraId="0EC3529C" w14:textId="77777777" w:rsidR="004A0A8A" w:rsidRPr="003F43F9" w:rsidRDefault="004A0A8A" w:rsidP="004A0A8A">
      <w:pPr>
        <w:jc w:val="center"/>
        <w:rPr>
          <w:rFonts w:ascii="Abadi" w:hAnsi="Abadi" w:cs="Arial"/>
          <w:sz w:val="21"/>
          <w:szCs w:val="21"/>
        </w:rPr>
      </w:pPr>
      <w:r w:rsidRPr="003F43F9">
        <w:rPr>
          <w:rFonts w:ascii="Abadi" w:hAnsi="Abadi" w:cs="Arial"/>
          <w:b/>
          <w:sz w:val="21"/>
          <w:szCs w:val="21"/>
          <w:lang w:eastAsia="x-none"/>
        </w:rPr>
        <w:t>Diputado Víctor Manuel Zanella Huerta</w:t>
      </w:r>
    </w:p>
    <w:p w14:paraId="7644E424" w14:textId="77777777" w:rsidR="004A0A8A" w:rsidRPr="003F43F9" w:rsidRDefault="004A0A8A" w:rsidP="004A0A8A">
      <w:pPr>
        <w:jc w:val="both"/>
        <w:rPr>
          <w:rFonts w:ascii="Abadi" w:hAnsi="Abadi" w:cs="Arial"/>
          <w:sz w:val="21"/>
          <w:szCs w:val="21"/>
          <w:lang w:eastAsia="x-none"/>
        </w:rPr>
      </w:pPr>
    </w:p>
    <w:p w14:paraId="4BF11F21" w14:textId="77777777" w:rsidR="004A0A8A" w:rsidRPr="003F43F9" w:rsidRDefault="004A0A8A" w:rsidP="004A0A8A">
      <w:pPr>
        <w:jc w:val="both"/>
        <w:rPr>
          <w:rFonts w:ascii="Abadi" w:hAnsi="Abadi" w:cs="Arial"/>
          <w:sz w:val="21"/>
          <w:szCs w:val="21"/>
          <w:lang w:eastAsia="x-none"/>
        </w:rPr>
      </w:pPr>
    </w:p>
    <w:p w14:paraId="7C441E1C" w14:textId="77777777" w:rsidR="004A0A8A" w:rsidRPr="003F43F9" w:rsidRDefault="004A0A8A" w:rsidP="004A0A8A">
      <w:pPr>
        <w:rPr>
          <w:rFonts w:ascii="Abadi" w:hAnsi="Abadi" w:cs="Arial"/>
          <w:b/>
          <w:bCs/>
          <w:sz w:val="21"/>
          <w:szCs w:val="21"/>
          <w:lang w:eastAsia="x-none"/>
        </w:rPr>
      </w:pPr>
    </w:p>
    <w:p w14:paraId="5C44124E" w14:textId="77777777" w:rsidR="004A0A8A" w:rsidRPr="003F43F9" w:rsidRDefault="004A0A8A" w:rsidP="004A0A8A">
      <w:pPr>
        <w:rPr>
          <w:rFonts w:ascii="Abadi" w:hAnsi="Abadi" w:cs="Arial"/>
          <w:b/>
          <w:sz w:val="21"/>
          <w:szCs w:val="21"/>
          <w:lang w:eastAsia="x-none"/>
        </w:rPr>
      </w:pPr>
      <w:r w:rsidRPr="003F43F9">
        <w:rPr>
          <w:rFonts w:ascii="Abadi" w:hAnsi="Abadi" w:cs="Arial"/>
          <w:b/>
          <w:sz w:val="21"/>
          <w:szCs w:val="21"/>
          <w:lang w:eastAsia="x-none"/>
        </w:rPr>
        <w:t xml:space="preserve">Diputada Ruth Noemí Tiscareño Agoitia      </w:t>
      </w:r>
    </w:p>
    <w:p w14:paraId="38A8CED9" w14:textId="7ED11578" w:rsidR="004A0A8A" w:rsidRPr="003F43F9" w:rsidRDefault="004A0A8A" w:rsidP="00352DD1">
      <w:pPr>
        <w:rPr>
          <w:rFonts w:ascii="Abadi" w:hAnsi="Abadi" w:cs="Arial"/>
          <w:b/>
          <w:sz w:val="21"/>
          <w:szCs w:val="21"/>
          <w:lang w:eastAsia="x-none"/>
        </w:rPr>
      </w:pPr>
      <w:r w:rsidRPr="003F43F9">
        <w:rPr>
          <w:rFonts w:ascii="Abadi" w:hAnsi="Abadi" w:cs="Arial"/>
          <w:b/>
          <w:sz w:val="21"/>
          <w:szCs w:val="21"/>
          <w:lang w:eastAsia="x-none"/>
        </w:rPr>
        <w:t xml:space="preserve">Diputado Miguel Ángel Salim </w:t>
      </w:r>
      <w:proofErr w:type="spellStart"/>
      <w:r w:rsidRPr="003F43F9">
        <w:rPr>
          <w:rFonts w:ascii="Abadi" w:hAnsi="Abadi" w:cs="Arial"/>
          <w:b/>
          <w:sz w:val="21"/>
          <w:szCs w:val="21"/>
          <w:lang w:eastAsia="x-none"/>
        </w:rPr>
        <w:t>Alle</w:t>
      </w:r>
      <w:proofErr w:type="spellEnd"/>
    </w:p>
    <w:p w14:paraId="60738932" w14:textId="77777777" w:rsidR="004A0A8A" w:rsidRPr="003F43F9" w:rsidRDefault="004A0A8A" w:rsidP="004A0A8A">
      <w:pPr>
        <w:rPr>
          <w:rFonts w:ascii="Abadi" w:hAnsi="Abadi" w:cs="Arial"/>
          <w:b/>
          <w:sz w:val="21"/>
          <w:szCs w:val="21"/>
          <w:lang w:eastAsia="x-none"/>
        </w:rPr>
      </w:pPr>
      <w:r w:rsidRPr="003F43F9">
        <w:rPr>
          <w:rFonts w:ascii="Abadi" w:hAnsi="Abadi" w:cs="Arial"/>
          <w:b/>
          <w:sz w:val="21"/>
          <w:szCs w:val="21"/>
          <w:lang w:eastAsia="x-none"/>
        </w:rPr>
        <w:t xml:space="preserve">Diputado José Alfonso Borja Pimentel    </w:t>
      </w:r>
    </w:p>
    <w:p w14:paraId="6389BD05" w14:textId="77777777" w:rsidR="004A0A8A" w:rsidRPr="003F43F9" w:rsidRDefault="004A0A8A" w:rsidP="00352DD1">
      <w:pPr>
        <w:rPr>
          <w:rFonts w:ascii="Abadi" w:hAnsi="Abadi" w:cs="Arial"/>
          <w:b/>
          <w:sz w:val="21"/>
          <w:szCs w:val="21"/>
          <w:lang w:eastAsia="x-none"/>
        </w:rPr>
      </w:pPr>
      <w:r w:rsidRPr="003F43F9">
        <w:rPr>
          <w:rFonts w:ascii="Abadi" w:hAnsi="Abadi" w:cs="Arial"/>
          <w:b/>
          <w:sz w:val="21"/>
          <w:szCs w:val="21"/>
          <w:lang w:eastAsia="x-none"/>
        </w:rPr>
        <w:t>Diputada Alma Edwviges Alcaraz Hernández</w:t>
      </w:r>
    </w:p>
    <w:p w14:paraId="362554A4" w14:textId="77777777" w:rsidR="004A0A8A" w:rsidRPr="003F43F9" w:rsidRDefault="004A0A8A" w:rsidP="004A0A8A">
      <w:pPr>
        <w:pStyle w:val="Textoindependiente2"/>
        <w:rPr>
          <w:rFonts w:ascii="Abadi" w:hAnsi="Abadi"/>
          <w:sz w:val="21"/>
          <w:szCs w:val="21"/>
        </w:rPr>
      </w:pPr>
    </w:p>
    <w:p w14:paraId="72F82B9F" w14:textId="777B4B79"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PRESENTADO POR LA COMISIÓN DE HACIENDA Y FISCALIZACIÓN </w:t>
      </w:r>
      <w:r w:rsidRPr="00006796">
        <w:rPr>
          <w:rFonts w:ascii="Abadi" w:hAnsi="Abadi" w:cs="ArialMT"/>
          <w:b/>
          <w:bCs/>
          <w:sz w:val="21"/>
          <w:szCs w:val="21"/>
        </w:rPr>
        <w:lastRenderedPageBreak/>
        <w:t xml:space="preserve">RELATIVO AL INFORME DE RESULTADOS DE LA REVISIÓN PRACTICADA POR LA AUDITORÍA SUPERIOR DEL ESTADO DE GUANAJUATO, A LA CUENTA PÚBLICA MUNICIPAL DE APASEO EL ALTO, GTO., CORRESPONDIENTE AL EJERCICIO FISCAL DEL AÑO 2021. </w:t>
      </w:r>
      <w:r w:rsidRPr="00006796">
        <w:rPr>
          <w:rFonts w:ascii="Abadi" w:hAnsi="Abadi" w:cs="Arial-ItalicMT"/>
          <w:b/>
          <w:bCs/>
          <w:i/>
          <w:iCs/>
          <w:sz w:val="21"/>
          <w:szCs w:val="21"/>
        </w:rPr>
        <w:t>(ELD 319/LXV-IRASEG)</w:t>
      </w:r>
      <w:r w:rsidR="009C0757">
        <w:rPr>
          <w:rStyle w:val="Refdenotaalpie"/>
          <w:rFonts w:ascii="Abadi" w:hAnsi="Abadi" w:cs="Arial-ItalicMT"/>
          <w:b/>
          <w:bCs/>
          <w:i/>
          <w:iCs/>
          <w:sz w:val="21"/>
          <w:szCs w:val="21"/>
        </w:rPr>
        <w:footnoteReference w:id="235"/>
      </w:r>
    </w:p>
    <w:p w14:paraId="5F88351E" w14:textId="77777777" w:rsidR="00603294" w:rsidRDefault="00603294" w:rsidP="00603294">
      <w:pPr>
        <w:autoSpaceDE w:val="0"/>
        <w:autoSpaceDN w:val="0"/>
        <w:adjustRightInd w:val="0"/>
        <w:contextualSpacing/>
        <w:jc w:val="both"/>
        <w:rPr>
          <w:rFonts w:ascii="Abadi" w:hAnsi="Abadi" w:cs="Arial-ItalicMT"/>
          <w:b/>
          <w:bCs/>
          <w:i/>
          <w:iCs/>
          <w:sz w:val="21"/>
          <w:szCs w:val="21"/>
        </w:rPr>
      </w:pPr>
    </w:p>
    <w:p w14:paraId="11C4223F" w14:textId="77777777" w:rsidR="00603294" w:rsidRDefault="00603294" w:rsidP="00603294">
      <w:pPr>
        <w:autoSpaceDE w:val="0"/>
        <w:autoSpaceDN w:val="0"/>
        <w:adjustRightInd w:val="0"/>
        <w:contextualSpacing/>
        <w:jc w:val="both"/>
        <w:rPr>
          <w:rFonts w:ascii="Abadi" w:hAnsi="Abadi" w:cs="Arial-ItalicMT"/>
          <w:b/>
          <w:bCs/>
          <w:i/>
          <w:iCs/>
          <w:sz w:val="21"/>
          <w:szCs w:val="21"/>
        </w:rPr>
      </w:pPr>
    </w:p>
    <w:p w14:paraId="50F2EBAD" w14:textId="77777777" w:rsidR="00853087" w:rsidRPr="00144BB3" w:rsidRDefault="00853087" w:rsidP="00853087">
      <w:pPr>
        <w:pStyle w:val="Textoindependiente3"/>
        <w:rPr>
          <w:rFonts w:ascii="Abadi" w:hAnsi="Abadi" w:cs="Arial"/>
          <w:smallCaps/>
          <w:sz w:val="21"/>
          <w:szCs w:val="21"/>
        </w:rPr>
      </w:pPr>
      <w:r w:rsidRPr="00144BB3">
        <w:rPr>
          <w:rFonts w:ascii="Abadi" w:hAnsi="Abadi" w:cs="Arial"/>
          <w:smallCaps/>
          <w:sz w:val="21"/>
          <w:szCs w:val="21"/>
        </w:rPr>
        <w:t>C. Presidenta del Congreso del Estado</w:t>
      </w:r>
    </w:p>
    <w:p w14:paraId="124837AC" w14:textId="77777777" w:rsidR="00853087" w:rsidRPr="00144BB3" w:rsidRDefault="00853087" w:rsidP="00853087">
      <w:pPr>
        <w:jc w:val="both"/>
        <w:rPr>
          <w:rFonts w:ascii="Abadi" w:hAnsi="Abadi" w:cs="Arial"/>
          <w:b/>
          <w:bCs/>
          <w:smallCaps/>
          <w:sz w:val="21"/>
          <w:szCs w:val="21"/>
        </w:rPr>
      </w:pPr>
      <w:r w:rsidRPr="00144BB3">
        <w:rPr>
          <w:rFonts w:ascii="Abadi" w:hAnsi="Abadi" w:cs="Arial"/>
          <w:b/>
          <w:bCs/>
          <w:smallCaps/>
          <w:sz w:val="21"/>
          <w:szCs w:val="21"/>
        </w:rPr>
        <w:t>P r e s e n t e.</w:t>
      </w:r>
    </w:p>
    <w:p w14:paraId="778C8391" w14:textId="77777777" w:rsidR="00853087" w:rsidRPr="00144BB3" w:rsidRDefault="00853087" w:rsidP="00853087">
      <w:pPr>
        <w:pStyle w:val="Textoindependiente"/>
        <w:rPr>
          <w:rFonts w:ascii="Abadi" w:hAnsi="Abadi"/>
          <w:sz w:val="21"/>
          <w:szCs w:val="21"/>
        </w:rPr>
      </w:pPr>
    </w:p>
    <w:p w14:paraId="64A059D2" w14:textId="77777777" w:rsidR="00853087" w:rsidRPr="00144BB3" w:rsidRDefault="00853087" w:rsidP="00853087">
      <w:pPr>
        <w:pStyle w:val="Sangra3detindependiente"/>
        <w:spacing w:line="240" w:lineRule="auto"/>
        <w:rPr>
          <w:rFonts w:ascii="Abadi" w:hAnsi="Abadi"/>
          <w:sz w:val="21"/>
          <w:szCs w:val="21"/>
        </w:rPr>
      </w:pPr>
      <w:r w:rsidRPr="00144BB3">
        <w:rPr>
          <w:rFonts w:ascii="Abadi" w:hAnsi="Abadi"/>
          <w:sz w:val="21"/>
          <w:szCs w:val="21"/>
        </w:rPr>
        <w:t xml:space="preserve">A </w:t>
      </w:r>
      <w:r w:rsidRPr="00144BB3">
        <w:rPr>
          <w:rFonts w:ascii="Abadi" w:hAnsi="Abadi"/>
          <w:sz w:val="21"/>
          <w:szCs w:val="21"/>
          <w:lang w:val="es-MX"/>
        </w:rPr>
        <w:t>esta</w:t>
      </w:r>
      <w:r w:rsidRPr="00144BB3">
        <w:rPr>
          <w:rFonts w:ascii="Abadi" w:hAnsi="Abadi"/>
          <w:sz w:val="21"/>
          <w:szCs w:val="21"/>
        </w:rPr>
        <w:t xml:space="preserve"> Comisión de Hacienda y Fiscalización</w:t>
      </w:r>
      <w:r w:rsidRPr="00144BB3">
        <w:rPr>
          <w:rFonts w:ascii="Abadi" w:hAnsi="Abadi"/>
          <w:sz w:val="21"/>
          <w:szCs w:val="21"/>
          <w:lang w:val="es-MX"/>
        </w:rPr>
        <w:t xml:space="preserve">, </w:t>
      </w:r>
      <w:r w:rsidRPr="00144BB3">
        <w:rPr>
          <w:rFonts w:ascii="Abadi" w:hAnsi="Abadi"/>
          <w:sz w:val="21"/>
          <w:szCs w:val="21"/>
        </w:rPr>
        <w:t xml:space="preserve">le fue turnado para su estudio y dictamen, el informe de resultados de la revisión practicada por </w:t>
      </w:r>
      <w:r w:rsidRPr="00144BB3">
        <w:rPr>
          <w:rFonts w:ascii="Abadi" w:hAnsi="Abadi"/>
          <w:sz w:val="21"/>
          <w:szCs w:val="21"/>
          <w:lang w:val="es-MX"/>
        </w:rPr>
        <w:t xml:space="preserve">la </w:t>
      </w:r>
      <w:r w:rsidRPr="00144BB3">
        <w:rPr>
          <w:rFonts w:ascii="Abadi" w:hAnsi="Abadi"/>
          <w:sz w:val="21"/>
          <w:szCs w:val="21"/>
        </w:rPr>
        <w:t xml:space="preserve">Auditoría Superior del Estado de Guanajuato, a la cuenta pública municipal de </w:t>
      </w:r>
      <w:r w:rsidRPr="00144BB3">
        <w:rPr>
          <w:rFonts w:ascii="Abadi" w:hAnsi="Abadi"/>
          <w:sz w:val="21"/>
          <w:szCs w:val="21"/>
          <w:lang w:val="es-MX"/>
        </w:rPr>
        <w:t>Apaseo el Alto</w:t>
      </w:r>
      <w:r w:rsidRPr="00144BB3">
        <w:rPr>
          <w:rFonts w:ascii="Abadi" w:hAnsi="Abadi"/>
          <w:sz w:val="21"/>
          <w:szCs w:val="21"/>
        </w:rPr>
        <w:t xml:space="preserve">, </w:t>
      </w:r>
      <w:proofErr w:type="spellStart"/>
      <w:r w:rsidRPr="00144BB3">
        <w:rPr>
          <w:rFonts w:ascii="Abadi" w:hAnsi="Abadi"/>
          <w:sz w:val="21"/>
          <w:szCs w:val="21"/>
        </w:rPr>
        <w:t>Gto</w:t>
      </w:r>
      <w:proofErr w:type="spellEnd"/>
      <w:r w:rsidRPr="00144BB3">
        <w:rPr>
          <w:rFonts w:ascii="Abadi" w:hAnsi="Abadi"/>
          <w:sz w:val="21"/>
          <w:szCs w:val="21"/>
        </w:rPr>
        <w:t>., correspondiente al ejercicio fiscal del año 2021. (ELD 319/LXV-IRASEG)</w:t>
      </w:r>
    </w:p>
    <w:p w14:paraId="76A2A8C6" w14:textId="77777777" w:rsidR="00853087" w:rsidRPr="00144BB3" w:rsidRDefault="00853087" w:rsidP="00853087">
      <w:pPr>
        <w:pStyle w:val="Sangra3detindependiente"/>
        <w:spacing w:line="240" w:lineRule="auto"/>
        <w:rPr>
          <w:rFonts w:ascii="Abadi" w:hAnsi="Abadi"/>
          <w:sz w:val="21"/>
          <w:szCs w:val="21"/>
        </w:rPr>
      </w:pPr>
    </w:p>
    <w:p w14:paraId="5931ABD0" w14:textId="77777777" w:rsidR="00853087" w:rsidRPr="00144BB3" w:rsidRDefault="00853087" w:rsidP="00853087">
      <w:pPr>
        <w:pStyle w:val="Sangra3detindependiente"/>
        <w:spacing w:line="240" w:lineRule="auto"/>
        <w:rPr>
          <w:rFonts w:ascii="Abadi" w:hAnsi="Abadi"/>
          <w:sz w:val="21"/>
          <w:szCs w:val="21"/>
        </w:rPr>
      </w:pPr>
      <w:r w:rsidRPr="00144BB3">
        <w:rPr>
          <w:rFonts w:ascii="Abadi" w:hAnsi="Abadi"/>
          <w:sz w:val="21"/>
          <w:szCs w:val="21"/>
        </w:rPr>
        <w:t>Una vez analizado el referido informe de resultados, con fundamento en lo dispuesto por los artículos 112, fracción XII</w:t>
      </w:r>
      <w:r w:rsidRPr="00144BB3">
        <w:rPr>
          <w:rFonts w:ascii="Abadi" w:hAnsi="Abadi"/>
          <w:sz w:val="21"/>
          <w:szCs w:val="21"/>
          <w:lang w:val="es-MX"/>
        </w:rPr>
        <w:t>, primer párrafo</w:t>
      </w:r>
      <w:r w:rsidRPr="00144BB3">
        <w:rPr>
          <w:rFonts w:ascii="Abadi" w:hAnsi="Abadi"/>
          <w:sz w:val="21"/>
          <w:szCs w:val="21"/>
        </w:rPr>
        <w:t xml:space="preserve"> y 171 de </w:t>
      </w:r>
      <w:smartTag w:uri="urn:schemas-microsoft-com:office:smarttags" w:element="PersonName">
        <w:smartTagPr>
          <w:attr w:name="ProductID" w:val="la Ley Org￡nica"/>
        </w:smartTagPr>
        <w:r w:rsidRPr="00144BB3">
          <w:rPr>
            <w:rFonts w:ascii="Abadi" w:hAnsi="Abadi"/>
            <w:sz w:val="21"/>
            <w:szCs w:val="21"/>
          </w:rPr>
          <w:t>la Ley Orgánica</w:t>
        </w:r>
      </w:smartTag>
      <w:r w:rsidRPr="00144BB3">
        <w:rPr>
          <w:rFonts w:ascii="Abadi" w:hAnsi="Abadi"/>
          <w:sz w:val="21"/>
          <w:szCs w:val="21"/>
        </w:rPr>
        <w:t xml:space="preserve"> del Poder Legislativo, nos permitimos rendir el siguiente:</w:t>
      </w:r>
    </w:p>
    <w:p w14:paraId="61993C60" w14:textId="77777777" w:rsidR="00853087" w:rsidRPr="00144BB3" w:rsidRDefault="00853087" w:rsidP="00853087">
      <w:pPr>
        <w:pStyle w:val="Sangra3detindependiente"/>
        <w:spacing w:line="240" w:lineRule="auto"/>
        <w:rPr>
          <w:rFonts w:ascii="Abadi" w:hAnsi="Abadi"/>
          <w:sz w:val="21"/>
          <w:szCs w:val="21"/>
        </w:rPr>
      </w:pPr>
    </w:p>
    <w:p w14:paraId="4EAE2BB4" w14:textId="77777777" w:rsidR="00853087" w:rsidRDefault="00853087" w:rsidP="00853087">
      <w:pPr>
        <w:pStyle w:val="Ttulo1"/>
        <w:jc w:val="center"/>
        <w:rPr>
          <w:rFonts w:ascii="Abadi" w:hAnsi="Abadi" w:cs="Arial"/>
          <w:sz w:val="21"/>
          <w:szCs w:val="21"/>
        </w:rPr>
      </w:pPr>
      <w:r w:rsidRPr="00144BB3">
        <w:rPr>
          <w:rFonts w:ascii="Abadi" w:hAnsi="Abadi" w:cs="Arial"/>
          <w:sz w:val="21"/>
          <w:szCs w:val="21"/>
        </w:rPr>
        <w:t>D i c t a m e n</w:t>
      </w:r>
    </w:p>
    <w:p w14:paraId="65C75CD4" w14:textId="77777777" w:rsidR="00ED0915" w:rsidRPr="00ED0915" w:rsidRDefault="00ED0915" w:rsidP="00ED0915"/>
    <w:p w14:paraId="0ACF89C3" w14:textId="77777777" w:rsidR="00853087" w:rsidRPr="00ED0915" w:rsidRDefault="00853087" w:rsidP="00853087">
      <w:pPr>
        <w:pStyle w:val="Textoindependiente"/>
        <w:ind w:firstLine="708"/>
        <w:rPr>
          <w:rFonts w:ascii="Abadi" w:hAnsi="Abadi"/>
          <w:sz w:val="21"/>
          <w:szCs w:val="21"/>
        </w:rPr>
      </w:pPr>
      <w:r w:rsidRPr="00ED0915">
        <w:rPr>
          <w:rFonts w:ascii="Abadi" w:hAnsi="Abadi"/>
          <w:sz w:val="21"/>
          <w:szCs w:val="21"/>
        </w:rPr>
        <w:t>I. Competencia:</w:t>
      </w:r>
    </w:p>
    <w:p w14:paraId="56E4AA7F" w14:textId="77777777" w:rsidR="00853087" w:rsidRPr="00144BB3" w:rsidRDefault="00853087" w:rsidP="00853087">
      <w:pPr>
        <w:pStyle w:val="Textoindependiente"/>
        <w:ind w:firstLine="708"/>
        <w:rPr>
          <w:rFonts w:ascii="Abadi" w:hAnsi="Abadi"/>
          <w:b w:val="0"/>
          <w:bCs w:val="0"/>
          <w:sz w:val="21"/>
          <w:szCs w:val="21"/>
        </w:rPr>
      </w:pPr>
    </w:p>
    <w:p w14:paraId="1D6DADDE"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144BB3">
          <w:rPr>
            <w:rFonts w:ascii="Abadi" w:hAnsi="Abadi" w:cs="Arial"/>
            <w:sz w:val="21"/>
            <w:szCs w:val="21"/>
            <w:lang w:val="es-MX" w:eastAsia="x-none"/>
          </w:rPr>
          <w:t>la Constitución Política</w:t>
        </w:r>
      </w:smartTag>
      <w:r w:rsidRPr="00144BB3">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w:t>
      </w:r>
      <w:r w:rsidRPr="00144BB3">
        <w:rPr>
          <w:rFonts w:ascii="Abadi" w:hAnsi="Abadi" w:cs="Arial"/>
          <w:sz w:val="21"/>
          <w:szCs w:val="21"/>
          <w:lang w:val="es-MX" w:eastAsia="x-none"/>
        </w:rPr>
        <w:t xml:space="preserve">Periódico Oficial del Gobierno del Estado, auxiliándose para el cumplimiento de dicha facultad por la Auditoría Superior del Estado de Guanajuato. </w:t>
      </w:r>
    </w:p>
    <w:p w14:paraId="13B3EE6D" w14:textId="77777777" w:rsidR="00853087" w:rsidRPr="00144BB3" w:rsidRDefault="00853087" w:rsidP="00853087">
      <w:pPr>
        <w:ind w:firstLine="708"/>
        <w:jc w:val="both"/>
        <w:rPr>
          <w:rFonts w:ascii="Abadi" w:hAnsi="Abadi" w:cs="Arial"/>
          <w:sz w:val="21"/>
          <w:szCs w:val="21"/>
          <w:lang w:val="es-MX" w:eastAsia="x-none"/>
        </w:rPr>
      </w:pPr>
    </w:p>
    <w:p w14:paraId="78CE77BA"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3D41A40" w14:textId="77777777" w:rsidR="00853087" w:rsidRPr="00144BB3" w:rsidRDefault="00853087" w:rsidP="00853087">
      <w:pPr>
        <w:ind w:firstLine="708"/>
        <w:jc w:val="both"/>
        <w:rPr>
          <w:rFonts w:ascii="Abadi" w:hAnsi="Abadi" w:cs="Arial"/>
          <w:sz w:val="21"/>
          <w:szCs w:val="21"/>
          <w:lang w:val="es-MX" w:eastAsia="x-none"/>
        </w:rPr>
      </w:pPr>
    </w:p>
    <w:p w14:paraId="1AFFD082" w14:textId="77777777" w:rsidR="00853087" w:rsidRPr="00144BB3" w:rsidRDefault="00853087" w:rsidP="00853087">
      <w:pPr>
        <w:ind w:firstLine="708"/>
        <w:jc w:val="both"/>
        <w:rPr>
          <w:rFonts w:ascii="Abadi" w:hAnsi="Abadi" w:cs="Arial"/>
          <w:sz w:val="21"/>
          <w:szCs w:val="21"/>
          <w:lang w:val="es-MX" w:eastAsia="x-none"/>
        </w:rPr>
      </w:pPr>
    </w:p>
    <w:p w14:paraId="62EEDB19"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144BB3">
          <w:rPr>
            <w:rFonts w:ascii="Abadi" w:hAnsi="Abadi" w:cs="Arial"/>
            <w:sz w:val="21"/>
            <w:szCs w:val="21"/>
            <w:lang w:val="es-MX" w:eastAsia="x-none"/>
          </w:rPr>
          <w:t>la Constitución Política</w:t>
        </w:r>
      </w:smartTag>
      <w:r w:rsidRPr="00144BB3">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0058400D" w14:textId="77777777" w:rsidR="00853087" w:rsidRPr="00144BB3" w:rsidRDefault="00853087" w:rsidP="00853087">
      <w:pPr>
        <w:ind w:firstLine="708"/>
        <w:jc w:val="both"/>
        <w:rPr>
          <w:rFonts w:ascii="Abadi" w:hAnsi="Abadi" w:cs="Arial"/>
          <w:sz w:val="21"/>
          <w:szCs w:val="21"/>
          <w:lang w:val="es-MX" w:eastAsia="x-none"/>
        </w:rPr>
      </w:pPr>
    </w:p>
    <w:p w14:paraId="549DF0C3"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A2A51F7" w14:textId="77777777" w:rsidR="00853087" w:rsidRPr="00144BB3" w:rsidRDefault="00853087" w:rsidP="00853087">
      <w:pPr>
        <w:ind w:firstLine="708"/>
        <w:jc w:val="both"/>
        <w:rPr>
          <w:rFonts w:ascii="Abadi" w:hAnsi="Abadi" w:cs="Arial"/>
          <w:sz w:val="21"/>
          <w:szCs w:val="21"/>
          <w:lang w:val="es-MX" w:eastAsia="x-none"/>
        </w:rPr>
      </w:pPr>
    </w:p>
    <w:p w14:paraId="549752E3"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ED0915">
          <w:rPr>
            <w:rFonts w:ascii="Abadi" w:hAnsi="Abadi"/>
            <w:b w:val="0"/>
            <w:bCs w:val="0"/>
            <w:sz w:val="21"/>
            <w:szCs w:val="21"/>
          </w:rPr>
          <w:t>la Ley</w:t>
        </w:r>
      </w:smartTag>
      <w:r w:rsidRPr="00ED0915">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C53A65B" w14:textId="77777777" w:rsidR="00853087" w:rsidRPr="00ED0915" w:rsidRDefault="00853087" w:rsidP="00853087">
      <w:pPr>
        <w:pStyle w:val="Textoindependiente"/>
        <w:ind w:firstLine="708"/>
        <w:rPr>
          <w:rFonts w:ascii="Abadi" w:hAnsi="Abadi"/>
          <w:b w:val="0"/>
          <w:bCs w:val="0"/>
          <w:sz w:val="21"/>
          <w:szCs w:val="21"/>
        </w:rPr>
      </w:pPr>
    </w:p>
    <w:p w14:paraId="4021CD5F"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En razón de lo cual, la Ley de Fiscalización Superior del Estado de </w:t>
      </w:r>
      <w:r w:rsidRPr="00ED0915">
        <w:rPr>
          <w:rFonts w:ascii="Abadi" w:hAnsi="Abadi"/>
          <w:b w:val="0"/>
          <w:bCs w:val="0"/>
          <w:sz w:val="21"/>
          <w:szCs w:val="21"/>
        </w:rPr>
        <w:lastRenderedPageBreak/>
        <w:t>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BD086F5" w14:textId="77777777" w:rsidR="00853087" w:rsidRPr="00ED0915" w:rsidRDefault="00853087" w:rsidP="00853087">
      <w:pPr>
        <w:pStyle w:val="Textoindependiente"/>
        <w:ind w:firstLine="708"/>
        <w:rPr>
          <w:rFonts w:ascii="Abadi" w:hAnsi="Abadi"/>
          <w:b w:val="0"/>
          <w:bCs w:val="0"/>
          <w:sz w:val="21"/>
          <w:szCs w:val="21"/>
        </w:rPr>
      </w:pPr>
    </w:p>
    <w:p w14:paraId="39D64FDA"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Con la finalidad de que el Congreso dé cumplimiento a lo señalado en el párrafo</w:t>
      </w:r>
      <w:r w:rsidRPr="00144BB3">
        <w:rPr>
          <w:rFonts w:ascii="Abadi" w:hAnsi="Abadi"/>
          <w:sz w:val="21"/>
          <w:szCs w:val="21"/>
        </w:rPr>
        <w:t xml:space="preserve"> </w:t>
      </w:r>
      <w:r w:rsidRPr="00ED0915">
        <w:rPr>
          <w:rFonts w:ascii="Abadi" w:hAnsi="Abadi"/>
          <w:b w:val="0"/>
          <w:bCs w:val="0"/>
          <w:sz w:val="21"/>
          <w:szCs w:val="21"/>
        </w:rPr>
        <w:t xml:space="preserve">anterior, </w:t>
      </w:r>
      <w:smartTag w:uri="urn:schemas-microsoft-com:office:smarttags" w:element="PersonName">
        <w:smartTagPr>
          <w:attr w:name="ProductID" w:val="la Ley Org￡nica"/>
        </w:smartTagPr>
        <w:r w:rsidRPr="00ED0915">
          <w:rPr>
            <w:rFonts w:ascii="Abadi" w:hAnsi="Abadi"/>
            <w:b w:val="0"/>
            <w:bCs w:val="0"/>
            <w:sz w:val="21"/>
            <w:szCs w:val="21"/>
          </w:rPr>
          <w:t>la Ley Orgánica</w:t>
        </w:r>
      </w:smartTag>
      <w:r w:rsidRPr="00ED0915">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DC238EE" w14:textId="77777777" w:rsidR="00853087" w:rsidRPr="00ED0915" w:rsidRDefault="00853087" w:rsidP="00853087">
      <w:pPr>
        <w:pStyle w:val="Textoindependiente"/>
        <w:ind w:firstLine="708"/>
        <w:rPr>
          <w:rFonts w:ascii="Abadi" w:hAnsi="Abadi"/>
          <w:b w:val="0"/>
          <w:bCs w:val="0"/>
          <w:sz w:val="21"/>
          <w:szCs w:val="21"/>
        </w:rPr>
      </w:pPr>
    </w:p>
    <w:p w14:paraId="4F0F0164"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DB527C8" w14:textId="77777777" w:rsidR="00853087" w:rsidRDefault="00853087" w:rsidP="00853087">
      <w:pPr>
        <w:ind w:firstLine="708"/>
        <w:jc w:val="both"/>
        <w:rPr>
          <w:rFonts w:ascii="Abadi" w:hAnsi="Abadi" w:cs="Arial"/>
          <w:b/>
          <w:bCs/>
          <w:sz w:val="21"/>
          <w:szCs w:val="21"/>
          <w:lang w:val="es-MX" w:eastAsia="x-none"/>
        </w:rPr>
      </w:pPr>
    </w:p>
    <w:p w14:paraId="79C3DDF2" w14:textId="77777777" w:rsidR="00853087" w:rsidRPr="00144BB3" w:rsidRDefault="00853087" w:rsidP="00853087">
      <w:pPr>
        <w:ind w:firstLine="708"/>
        <w:jc w:val="both"/>
        <w:rPr>
          <w:rFonts w:ascii="Abadi" w:hAnsi="Abadi" w:cs="Arial"/>
          <w:b/>
          <w:bCs/>
          <w:sz w:val="21"/>
          <w:szCs w:val="21"/>
          <w:lang w:val="es-MX" w:eastAsia="x-none"/>
        </w:rPr>
      </w:pPr>
      <w:r w:rsidRPr="00144BB3">
        <w:rPr>
          <w:rFonts w:ascii="Abadi" w:hAnsi="Abadi" w:cs="Arial"/>
          <w:b/>
          <w:bCs/>
          <w:sz w:val="21"/>
          <w:szCs w:val="21"/>
          <w:lang w:val="es-MX" w:eastAsia="x-none"/>
        </w:rPr>
        <w:t>II. Antecedentes:</w:t>
      </w:r>
    </w:p>
    <w:p w14:paraId="6A269941" w14:textId="77777777" w:rsidR="00853087" w:rsidRPr="00144BB3" w:rsidRDefault="00853087" w:rsidP="00853087">
      <w:pPr>
        <w:ind w:firstLine="708"/>
        <w:jc w:val="both"/>
        <w:rPr>
          <w:rFonts w:ascii="Abadi" w:hAnsi="Abadi" w:cs="Arial"/>
          <w:sz w:val="21"/>
          <w:szCs w:val="21"/>
          <w:lang w:val="es-MX" w:eastAsia="x-none"/>
        </w:rPr>
      </w:pPr>
    </w:p>
    <w:p w14:paraId="65D234B1"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144BB3">
          <w:rPr>
            <w:rFonts w:ascii="Abadi" w:hAnsi="Abadi" w:cs="Arial"/>
            <w:sz w:val="21"/>
            <w:szCs w:val="21"/>
            <w:lang w:val="es-MX" w:eastAsia="x-none"/>
          </w:rPr>
          <w:t>la Constitución Política</w:t>
        </w:r>
      </w:smartTag>
      <w:r w:rsidRPr="00144BB3">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C3C6196" w14:textId="77777777" w:rsidR="00853087" w:rsidRPr="00144BB3" w:rsidRDefault="00853087" w:rsidP="00853087">
      <w:pPr>
        <w:ind w:firstLine="708"/>
        <w:jc w:val="both"/>
        <w:rPr>
          <w:rFonts w:ascii="Abadi" w:hAnsi="Abadi" w:cs="Arial"/>
          <w:sz w:val="21"/>
          <w:szCs w:val="21"/>
          <w:lang w:val="es-MX" w:eastAsia="x-none"/>
        </w:rPr>
      </w:pPr>
    </w:p>
    <w:p w14:paraId="437897ED"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0469302D" w14:textId="77777777" w:rsidR="00853087" w:rsidRPr="00144BB3" w:rsidRDefault="00853087" w:rsidP="00853087">
      <w:pPr>
        <w:pStyle w:val="Textoindependiente"/>
        <w:ind w:firstLine="708"/>
        <w:rPr>
          <w:rFonts w:ascii="Abadi" w:hAnsi="Abadi"/>
          <w:sz w:val="21"/>
          <w:szCs w:val="21"/>
        </w:rPr>
      </w:pPr>
    </w:p>
    <w:p w14:paraId="5269CFFD"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ED0915">
          <w:rPr>
            <w:rFonts w:ascii="Abadi" w:hAnsi="Abadi"/>
            <w:b w:val="0"/>
            <w:bCs w:val="0"/>
            <w:sz w:val="21"/>
            <w:szCs w:val="21"/>
          </w:rPr>
          <w:t>la Ley</w:t>
        </w:r>
      </w:smartTag>
      <w:r w:rsidRPr="00ED0915">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05D0C1B" w14:textId="77777777" w:rsidR="00853087" w:rsidRPr="00ED0915" w:rsidRDefault="00853087" w:rsidP="00853087">
      <w:pPr>
        <w:pStyle w:val="Textoindependiente"/>
        <w:ind w:firstLine="708"/>
        <w:rPr>
          <w:rFonts w:ascii="Abadi" w:hAnsi="Abadi"/>
          <w:b w:val="0"/>
          <w:bCs w:val="0"/>
          <w:sz w:val="21"/>
          <w:szCs w:val="21"/>
        </w:rPr>
      </w:pPr>
    </w:p>
    <w:p w14:paraId="4CA63090"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EA1EC77" w14:textId="77777777" w:rsidR="00853087" w:rsidRPr="00ED0915" w:rsidRDefault="00853087" w:rsidP="00853087">
      <w:pPr>
        <w:pStyle w:val="Textoindependiente"/>
        <w:ind w:firstLine="708"/>
        <w:rPr>
          <w:rFonts w:ascii="Abadi" w:hAnsi="Abadi"/>
          <w:b w:val="0"/>
          <w:bCs w:val="0"/>
          <w:sz w:val="21"/>
          <w:szCs w:val="21"/>
        </w:rPr>
      </w:pPr>
    </w:p>
    <w:p w14:paraId="44F95723"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2C90C59D" w14:textId="77777777" w:rsidR="00853087" w:rsidRPr="00ED0915" w:rsidRDefault="00853087" w:rsidP="00853087">
      <w:pPr>
        <w:ind w:firstLine="708"/>
        <w:jc w:val="both"/>
        <w:rPr>
          <w:rFonts w:ascii="Abadi" w:hAnsi="Abadi" w:cs="Arial"/>
          <w:sz w:val="21"/>
          <w:szCs w:val="21"/>
          <w:lang w:val="es-MX" w:eastAsia="x-none"/>
        </w:rPr>
      </w:pPr>
    </w:p>
    <w:p w14:paraId="48F9E117" w14:textId="77777777" w:rsidR="00853087" w:rsidRPr="00ED0915" w:rsidRDefault="00853087" w:rsidP="00853087">
      <w:pPr>
        <w:ind w:firstLine="708"/>
        <w:jc w:val="both"/>
        <w:rPr>
          <w:rFonts w:ascii="Abadi" w:hAnsi="Abadi" w:cs="Arial"/>
          <w:sz w:val="21"/>
          <w:szCs w:val="21"/>
          <w:lang w:val="es-MX" w:eastAsia="x-none"/>
        </w:rPr>
      </w:pPr>
      <w:r w:rsidRPr="00ED0915">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D0915">
          <w:rPr>
            <w:rFonts w:ascii="Abadi" w:hAnsi="Abadi" w:cs="Arial"/>
            <w:sz w:val="21"/>
            <w:szCs w:val="21"/>
            <w:lang w:val="es-MX" w:eastAsia="x-none"/>
          </w:rPr>
          <w:t>la Ley Orgánica</w:t>
        </w:r>
      </w:smartTag>
      <w:r w:rsidRPr="00ED0915">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353D0D04" w14:textId="77777777" w:rsidR="00853087" w:rsidRPr="00ED0915" w:rsidRDefault="00853087" w:rsidP="00853087">
      <w:pPr>
        <w:ind w:firstLine="708"/>
        <w:jc w:val="both"/>
        <w:rPr>
          <w:rFonts w:ascii="Abadi" w:hAnsi="Abadi" w:cs="Arial"/>
          <w:sz w:val="21"/>
          <w:szCs w:val="21"/>
          <w:lang w:val="es-MX" w:eastAsia="x-none"/>
        </w:rPr>
      </w:pPr>
    </w:p>
    <w:p w14:paraId="02292E3F" w14:textId="77777777" w:rsidR="00853087" w:rsidRPr="00ED0915" w:rsidRDefault="00853087" w:rsidP="00853087">
      <w:pPr>
        <w:ind w:firstLine="708"/>
        <w:jc w:val="both"/>
        <w:rPr>
          <w:rFonts w:ascii="Abadi" w:hAnsi="Abadi" w:cs="Arial"/>
          <w:sz w:val="21"/>
          <w:szCs w:val="21"/>
          <w:lang w:val="es-MX" w:eastAsia="x-none"/>
        </w:rPr>
      </w:pPr>
    </w:p>
    <w:p w14:paraId="00DFC78F" w14:textId="77777777" w:rsidR="00853087" w:rsidRPr="00ED0915" w:rsidRDefault="00853087" w:rsidP="00853087">
      <w:pPr>
        <w:ind w:right="60" w:firstLine="709"/>
        <w:jc w:val="both"/>
        <w:rPr>
          <w:rFonts w:ascii="Abadi" w:hAnsi="Abadi" w:cs="Arial"/>
          <w:sz w:val="21"/>
          <w:szCs w:val="21"/>
          <w:lang w:val="es-MX" w:eastAsia="x-none"/>
        </w:rPr>
      </w:pPr>
      <w:r w:rsidRPr="00ED0915">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3F773EC" w14:textId="77777777" w:rsidR="00853087" w:rsidRPr="00ED0915" w:rsidRDefault="00853087" w:rsidP="00853087">
      <w:pPr>
        <w:ind w:right="58" w:firstLine="709"/>
        <w:jc w:val="both"/>
        <w:rPr>
          <w:rFonts w:ascii="Abadi" w:eastAsia="DejaVu Sans" w:hAnsi="Abadi" w:cs="Tahoma"/>
          <w:iCs/>
          <w:kern w:val="1"/>
          <w:sz w:val="21"/>
          <w:szCs w:val="21"/>
          <w:lang w:eastAsia="ar-SA"/>
        </w:rPr>
      </w:pPr>
    </w:p>
    <w:p w14:paraId="6726ED55" w14:textId="77777777" w:rsidR="00853087" w:rsidRPr="00ED0915" w:rsidRDefault="00853087" w:rsidP="00853087">
      <w:pPr>
        <w:ind w:firstLine="708"/>
        <w:jc w:val="both"/>
        <w:rPr>
          <w:rFonts w:ascii="Abadi" w:hAnsi="Abadi" w:cs="Arial"/>
          <w:sz w:val="21"/>
          <w:szCs w:val="21"/>
          <w:lang w:val="es-MX" w:eastAsia="x-none"/>
        </w:rPr>
      </w:pPr>
      <w:r w:rsidRPr="00ED0915">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5B6BC34F" w14:textId="77777777" w:rsidR="00853087" w:rsidRPr="00ED0915" w:rsidRDefault="00853087" w:rsidP="00853087">
      <w:pPr>
        <w:pStyle w:val="Textoindependiente"/>
        <w:ind w:firstLine="708"/>
        <w:rPr>
          <w:rFonts w:ascii="Abadi" w:hAnsi="Abadi"/>
          <w:b w:val="0"/>
          <w:bCs w:val="0"/>
          <w:sz w:val="21"/>
          <w:szCs w:val="21"/>
        </w:rPr>
      </w:pPr>
    </w:p>
    <w:p w14:paraId="5030A5BC"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Asimismo, el artículo 19 de la Ley de Fiscalización Superior del Estado prevé que la información financiera y la cuenta pública deberá organizarse, integrarse, sistematizarse, publicarse y difundirse en el tiempo y con la forma que establezca la Ley </w:t>
      </w:r>
      <w:r w:rsidRPr="00ED0915">
        <w:rPr>
          <w:rFonts w:ascii="Abadi" w:hAnsi="Abadi"/>
          <w:b w:val="0"/>
          <w:bCs w:val="0"/>
          <w:sz w:val="21"/>
          <w:szCs w:val="21"/>
        </w:rPr>
        <w:lastRenderedPageBreak/>
        <w:t>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552F6AF" w14:textId="77777777" w:rsidR="00853087" w:rsidRPr="00ED0915" w:rsidRDefault="00853087" w:rsidP="00853087">
      <w:pPr>
        <w:pStyle w:val="Textoindependiente"/>
        <w:ind w:firstLine="708"/>
        <w:rPr>
          <w:rFonts w:ascii="Abadi" w:hAnsi="Abadi"/>
          <w:b w:val="0"/>
          <w:bCs w:val="0"/>
          <w:sz w:val="21"/>
          <w:szCs w:val="21"/>
        </w:rPr>
      </w:pPr>
    </w:p>
    <w:p w14:paraId="0ACE8C2B" w14:textId="77777777" w:rsidR="00853087" w:rsidRPr="00144BB3" w:rsidRDefault="00853087" w:rsidP="00853087">
      <w:pPr>
        <w:ind w:right="60" w:firstLine="709"/>
        <w:jc w:val="both"/>
        <w:rPr>
          <w:rFonts w:ascii="Abadi" w:hAnsi="Abadi" w:cs="Arial"/>
          <w:sz w:val="21"/>
          <w:szCs w:val="21"/>
          <w:lang w:val="es-MX" w:eastAsia="x-none"/>
        </w:rPr>
      </w:pPr>
      <w:r w:rsidRPr="00ED0915">
        <w:rPr>
          <w:rFonts w:ascii="Abadi" w:hAnsi="Abadi" w:cs="Arial"/>
          <w:sz w:val="21"/>
          <w:szCs w:val="21"/>
          <w:lang w:val="es-MX" w:eastAsia="x-none"/>
        </w:rPr>
        <w:t>Por su parte, el artículo 10 de los Lineamientos Generales para la Integración</w:t>
      </w:r>
      <w:r w:rsidRPr="00144BB3">
        <w:rPr>
          <w:rFonts w:ascii="Abadi" w:hAnsi="Abadi" w:cs="Arial"/>
          <w:sz w:val="21"/>
          <w:szCs w:val="21"/>
          <w:lang w:val="es-MX" w:eastAsia="x-none"/>
        </w:rPr>
        <w:t xml:space="preserve">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0E3F303" w14:textId="77777777" w:rsidR="00853087" w:rsidRPr="00ED0915" w:rsidRDefault="00853087" w:rsidP="00853087">
      <w:pPr>
        <w:pStyle w:val="Textoindependiente"/>
        <w:ind w:firstLine="708"/>
        <w:rPr>
          <w:rFonts w:ascii="Abadi" w:hAnsi="Abadi"/>
          <w:b w:val="0"/>
          <w:bCs w:val="0"/>
          <w:sz w:val="21"/>
          <w:szCs w:val="21"/>
        </w:rPr>
      </w:pPr>
    </w:p>
    <w:p w14:paraId="33EE8611"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09A1B0E" w14:textId="77777777" w:rsidR="00853087" w:rsidRPr="00144BB3" w:rsidRDefault="00853087" w:rsidP="00853087">
      <w:pPr>
        <w:pStyle w:val="Textoindependiente"/>
        <w:ind w:firstLine="708"/>
        <w:rPr>
          <w:rFonts w:ascii="Abadi" w:hAnsi="Abadi"/>
          <w:sz w:val="21"/>
          <w:szCs w:val="21"/>
        </w:rPr>
      </w:pPr>
    </w:p>
    <w:p w14:paraId="130CE2F9" w14:textId="77777777" w:rsidR="00853087" w:rsidRPr="00144BB3" w:rsidRDefault="00853087" w:rsidP="00853087">
      <w:pPr>
        <w:tabs>
          <w:tab w:val="left" w:pos="709"/>
        </w:tabs>
        <w:jc w:val="both"/>
        <w:rPr>
          <w:rFonts w:ascii="Abadi" w:hAnsi="Abadi" w:cs="Arial"/>
          <w:sz w:val="21"/>
          <w:szCs w:val="21"/>
          <w:lang w:val="es-MX" w:eastAsia="x-none"/>
        </w:rPr>
      </w:pPr>
      <w:r w:rsidRPr="00144BB3">
        <w:rPr>
          <w:rFonts w:ascii="Abadi" w:hAnsi="Abadi" w:cs="Arial"/>
          <w:sz w:val="21"/>
          <w:szCs w:val="21"/>
        </w:rPr>
        <w:tab/>
        <w:t xml:space="preserve">El citado artículo también refiere </w:t>
      </w:r>
      <w:r w:rsidRPr="00144BB3">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06C19BC" w14:textId="77777777" w:rsidR="00853087" w:rsidRPr="00144BB3" w:rsidRDefault="00853087" w:rsidP="00853087">
      <w:pPr>
        <w:tabs>
          <w:tab w:val="left" w:pos="709"/>
        </w:tabs>
        <w:jc w:val="both"/>
        <w:rPr>
          <w:rFonts w:ascii="Abadi" w:hAnsi="Abadi" w:cs="Arial"/>
          <w:sz w:val="21"/>
          <w:szCs w:val="21"/>
          <w:lang w:val="es-MX" w:eastAsia="x-none"/>
        </w:rPr>
      </w:pPr>
      <w:r w:rsidRPr="00144BB3">
        <w:rPr>
          <w:rFonts w:ascii="Abadi" w:hAnsi="Abadi" w:cs="Arial"/>
          <w:sz w:val="21"/>
          <w:szCs w:val="21"/>
          <w:lang w:val="es-MX" w:eastAsia="x-none"/>
        </w:rPr>
        <w:tab/>
        <w:t xml:space="preserve">En términos del numeral 23 de la </w:t>
      </w:r>
      <w:r w:rsidRPr="00144BB3">
        <w:rPr>
          <w:rFonts w:ascii="Abadi" w:hAnsi="Abadi" w:cs="Arial"/>
          <w:sz w:val="21"/>
          <w:szCs w:val="21"/>
        </w:rPr>
        <w:t>Ley de Fiscalización Superior del Estado de Guanajuato, p</w:t>
      </w:r>
      <w:r w:rsidRPr="00144BB3">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7E2432BC" w14:textId="77777777" w:rsidR="00853087" w:rsidRPr="00144BB3" w:rsidRDefault="00853087" w:rsidP="00853087">
      <w:pPr>
        <w:tabs>
          <w:tab w:val="left" w:pos="709"/>
        </w:tabs>
        <w:jc w:val="both"/>
        <w:rPr>
          <w:rFonts w:ascii="Abadi" w:hAnsi="Abadi" w:cs="Arial"/>
          <w:sz w:val="21"/>
          <w:szCs w:val="21"/>
          <w:lang w:val="es-MX" w:eastAsia="x-none"/>
        </w:rPr>
      </w:pPr>
    </w:p>
    <w:p w14:paraId="4DBB56CC" w14:textId="77777777" w:rsidR="00853087" w:rsidRPr="00144BB3" w:rsidRDefault="00853087" w:rsidP="00853087">
      <w:pPr>
        <w:pStyle w:val="Texto"/>
        <w:spacing w:after="0" w:line="240" w:lineRule="auto"/>
        <w:ind w:firstLine="708"/>
        <w:rPr>
          <w:rFonts w:ascii="Abadi" w:hAnsi="Abadi" w:cs="Arial"/>
          <w:sz w:val="21"/>
          <w:szCs w:val="21"/>
          <w:lang w:val="es-MX"/>
        </w:rPr>
      </w:pPr>
      <w:r w:rsidRPr="00144BB3">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w:t>
      </w:r>
      <w:r w:rsidRPr="00144BB3">
        <w:rPr>
          <w:rFonts w:ascii="Abadi" w:hAnsi="Abadi" w:cs="Arial"/>
          <w:sz w:val="21"/>
          <w:szCs w:val="21"/>
          <w:lang w:val="es-MX"/>
        </w:rPr>
        <w:t xml:space="preserve">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26FDBDBB" w14:textId="77777777" w:rsidR="00853087" w:rsidRPr="00144BB3" w:rsidRDefault="00853087" w:rsidP="00853087">
      <w:pPr>
        <w:pStyle w:val="Texto"/>
        <w:spacing w:after="0" w:line="240" w:lineRule="auto"/>
        <w:ind w:firstLine="708"/>
        <w:rPr>
          <w:rFonts w:ascii="Abadi" w:hAnsi="Abadi" w:cs="Arial"/>
          <w:sz w:val="21"/>
          <w:szCs w:val="21"/>
          <w:lang w:val="es-MX"/>
        </w:rPr>
      </w:pPr>
    </w:p>
    <w:p w14:paraId="6F647ECE" w14:textId="77777777" w:rsidR="00853087" w:rsidRPr="00144BB3" w:rsidRDefault="00853087" w:rsidP="00853087">
      <w:pPr>
        <w:pStyle w:val="Texto"/>
        <w:spacing w:after="0" w:line="240" w:lineRule="auto"/>
        <w:ind w:firstLine="708"/>
        <w:rPr>
          <w:rFonts w:ascii="Abadi" w:hAnsi="Abadi" w:cs="Arial"/>
          <w:sz w:val="21"/>
          <w:szCs w:val="21"/>
          <w:lang w:val="es-MX"/>
        </w:rPr>
      </w:pPr>
      <w:r w:rsidRPr="00144BB3">
        <w:rPr>
          <w:rFonts w:ascii="Abadi" w:hAnsi="Abadi" w:cs="Arial"/>
          <w:sz w:val="21"/>
          <w:szCs w:val="21"/>
          <w:lang w:val="es-MX"/>
        </w:rPr>
        <w:t xml:space="preserve">En cumplimiento a los citados preceptos, en su oportunidad se remitió a este Congreso del Estado, la cuenta pública municipal de Apaseo el Alto, </w:t>
      </w:r>
      <w:proofErr w:type="spellStart"/>
      <w:r w:rsidRPr="00144BB3">
        <w:rPr>
          <w:rFonts w:ascii="Abadi" w:hAnsi="Abadi" w:cs="Arial"/>
          <w:sz w:val="21"/>
          <w:szCs w:val="21"/>
          <w:lang w:val="es-MX"/>
        </w:rPr>
        <w:t>Gto</w:t>
      </w:r>
      <w:proofErr w:type="spellEnd"/>
      <w:r w:rsidRPr="00144BB3">
        <w:rPr>
          <w:rFonts w:ascii="Abadi" w:hAnsi="Abadi" w:cs="Arial"/>
          <w:sz w:val="21"/>
          <w:szCs w:val="21"/>
          <w:lang w:val="es-MX"/>
        </w:rPr>
        <w:t>., correspondiente al ejercicio fiscal del año 2021, turnándose a la Auditoría Superior del Estado para su revisión.</w:t>
      </w:r>
    </w:p>
    <w:p w14:paraId="7D6196CC" w14:textId="77777777" w:rsidR="00853087" w:rsidRPr="00144BB3" w:rsidRDefault="00853087" w:rsidP="00853087">
      <w:pPr>
        <w:pStyle w:val="Textoindependiente"/>
        <w:ind w:firstLine="708"/>
        <w:rPr>
          <w:rFonts w:ascii="Abadi" w:hAnsi="Abadi"/>
          <w:sz w:val="21"/>
          <w:szCs w:val="21"/>
        </w:rPr>
      </w:pPr>
    </w:p>
    <w:p w14:paraId="23E31AF4"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5A8DCC72" w14:textId="77777777" w:rsidR="00853087" w:rsidRPr="00ED0915" w:rsidRDefault="00853087" w:rsidP="00853087">
      <w:pPr>
        <w:pStyle w:val="Textoindependiente"/>
        <w:ind w:firstLine="708"/>
        <w:rPr>
          <w:rFonts w:ascii="Abadi" w:hAnsi="Abadi"/>
          <w:b w:val="0"/>
          <w:bCs w:val="0"/>
          <w:sz w:val="21"/>
          <w:szCs w:val="21"/>
        </w:rPr>
      </w:pPr>
    </w:p>
    <w:p w14:paraId="0CE90809"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Apaseo el Alto, </w:t>
      </w:r>
      <w:proofErr w:type="spellStart"/>
      <w:r w:rsidRPr="00ED0915">
        <w:rPr>
          <w:rFonts w:ascii="Abadi" w:hAnsi="Abadi"/>
          <w:b w:val="0"/>
          <w:bCs w:val="0"/>
          <w:sz w:val="21"/>
          <w:szCs w:val="21"/>
        </w:rPr>
        <w:t>Gto</w:t>
      </w:r>
      <w:proofErr w:type="spellEnd"/>
      <w:r w:rsidRPr="00ED0915">
        <w:rPr>
          <w:rFonts w:ascii="Abadi" w:hAnsi="Abadi"/>
          <w:b w:val="0"/>
          <w:bCs w:val="0"/>
          <w:sz w:val="21"/>
          <w:szCs w:val="21"/>
        </w:rPr>
        <w:t>., correspondiente al ejercicio fiscal del año 2021.</w:t>
      </w:r>
    </w:p>
    <w:p w14:paraId="62E5F3D8" w14:textId="77777777" w:rsidR="00853087" w:rsidRPr="00144BB3" w:rsidRDefault="00853087" w:rsidP="00853087">
      <w:pPr>
        <w:ind w:firstLine="708"/>
        <w:jc w:val="both"/>
        <w:rPr>
          <w:rFonts w:ascii="Abadi" w:hAnsi="Abadi" w:cs="Arial"/>
          <w:sz w:val="21"/>
          <w:szCs w:val="21"/>
          <w:lang w:val="es-MX" w:eastAsia="x-none"/>
        </w:rPr>
      </w:pPr>
    </w:p>
    <w:p w14:paraId="2AC8969D" w14:textId="77777777" w:rsidR="00853087" w:rsidRPr="00144BB3" w:rsidRDefault="00853087" w:rsidP="00853087">
      <w:pPr>
        <w:ind w:firstLine="708"/>
        <w:jc w:val="both"/>
        <w:rPr>
          <w:rFonts w:ascii="Abadi" w:hAnsi="Abadi" w:cs="Arial"/>
          <w:bCs/>
          <w:sz w:val="21"/>
          <w:szCs w:val="21"/>
          <w:lang w:val="es-MX" w:eastAsia="x-none"/>
        </w:rPr>
      </w:pPr>
      <w:r w:rsidRPr="00144BB3">
        <w:rPr>
          <w:rFonts w:ascii="Abadi" w:hAnsi="Abadi" w:cs="Arial"/>
          <w:sz w:val="21"/>
          <w:szCs w:val="21"/>
          <w:lang w:val="es-MX" w:eastAsia="x-none"/>
        </w:rPr>
        <w:t>La revisión concluyó con la elaboración del informe de resultados materia del presente dictamen, remitiéndose al Congreso, el cual se turnó a esta Comisión el 18 de mayo de 2023, para su estudio y dictamen,</w:t>
      </w:r>
      <w:r w:rsidRPr="00144BB3">
        <w:rPr>
          <w:rFonts w:ascii="Abadi" w:hAnsi="Abadi" w:cs="Arial"/>
          <w:b/>
          <w:sz w:val="21"/>
          <w:szCs w:val="21"/>
          <w:lang w:val="es-MX" w:eastAsia="x-none"/>
        </w:rPr>
        <w:t xml:space="preserve"> </w:t>
      </w:r>
      <w:r w:rsidRPr="00144BB3">
        <w:rPr>
          <w:rFonts w:ascii="Abadi" w:hAnsi="Abadi" w:cs="Arial"/>
          <w:bCs/>
          <w:sz w:val="21"/>
          <w:szCs w:val="21"/>
          <w:lang w:val="es-MX" w:eastAsia="x-none"/>
        </w:rPr>
        <w:t>siendo radicado el 22 de mayo del año en curso.</w:t>
      </w:r>
    </w:p>
    <w:p w14:paraId="6C46C326" w14:textId="77777777" w:rsidR="00853087" w:rsidRPr="00144BB3" w:rsidRDefault="00853087" w:rsidP="00853087">
      <w:pPr>
        <w:ind w:firstLine="708"/>
        <w:jc w:val="both"/>
        <w:rPr>
          <w:rFonts w:ascii="Abadi" w:hAnsi="Abadi" w:cs="Arial"/>
          <w:bCs/>
          <w:sz w:val="21"/>
          <w:szCs w:val="21"/>
          <w:lang w:val="es-MX" w:eastAsia="x-none"/>
        </w:rPr>
      </w:pPr>
    </w:p>
    <w:p w14:paraId="71B978E5" w14:textId="77777777" w:rsidR="00853087" w:rsidRPr="00144BB3" w:rsidRDefault="00853087" w:rsidP="00853087">
      <w:pPr>
        <w:ind w:firstLine="708"/>
        <w:jc w:val="both"/>
        <w:rPr>
          <w:rFonts w:ascii="Abadi" w:hAnsi="Abadi" w:cs="Arial"/>
          <w:sz w:val="21"/>
          <w:szCs w:val="21"/>
          <w:lang w:val="es-MX" w:eastAsia="x-none"/>
        </w:rPr>
      </w:pPr>
    </w:p>
    <w:p w14:paraId="735FDF33" w14:textId="77777777" w:rsidR="00853087" w:rsidRPr="00ED0915" w:rsidRDefault="00853087" w:rsidP="00853087">
      <w:pPr>
        <w:pStyle w:val="Textoindependiente"/>
        <w:ind w:firstLine="708"/>
        <w:rPr>
          <w:rFonts w:ascii="Abadi" w:hAnsi="Abadi"/>
          <w:sz w:val="21"/>
          <w:szCs w:val="21"/>
        </w:rPr>
      </w:pPr>
      <w:r w:rsidRPr="00ED0915">
        <w:rPr>
          <w:rFonts w:ascii="Abadi" w:hAnsi="Abadi"/>
          <w:sz w:val="21"/>
          <w:szCs w:val="21"/>
        </w:rPr>
        <w:t>III. Procedimiento de Revisión:</w:t>
      </w:r>
    </w:p>
    <w:p w14:paraId="4002AB07" w14:textId="77777777" w:rsidR="00853087" w:rsidRPr="00144BB3" w:rsidRDefault="00853087" w:rsidP="00853087">
      <w:pPr>
        <w:pStyle w:val="Textoindependiente"/>
        <w:ind w:firstLine="708"/>
        <w:rPr>
          <w:rFonts w:ascii="Abadi" w:hAnsi="Abadi"/>
          <w:sz w:val="21"/>
          <w:szCs w:val="21"/>
        </w:rPr>
      </w:pPr>
    </w:p>
    <w:p w14:paraId="4167FCFE"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La revisión de la cuenta pública municipal de Apaseo el Alto, </w:t>
      </w:r>
      <w:proofErr w:type="spellStart"/>
      <w:r w:rsidRPr="00ED0915">
        <w:rPr>
          <w:rFonts w:ascii="Abadi" w:hAnsi="Abadi"/>
          <w:b w:val="0"/>
          <w:bCs w:val="0"/>
          <w:sz w:val="21"/>
          <w:szCs w:val="21"/>
        </w:rPr>
        <w:t>Gto</w:t>
      </w:r>
      <w:proofErr w:type="spellEnd"/>
      <w:r w:rsidRPr="00ED0915">
        <w:rPr>
          <w:rFonts w:ascii="Abadi" w:hAnsi="Abadi"/>
          <w:b w:val="0"/>
          <w:bCs w:val="0"/>
          <w:sz w:val="21"/>
          <w:szCs w:val="21"/>
        </w:rPr>
        <w:t xml:space="preserve">., correspondiente al ejercicio fiscal del año 2021, tuvo por objetivo, de acuerdo a los principios, conceptos y directrices de las </w:t>
      </w:r>
      <w:r w:rsidRPr="00ED0915">
        <w:rPr>
          <w:rFonts w:ascii="Abadi" w:hAnsi="Abadi"/>
          <w:b w:val="0"/>
          <w:bCs w:val="0"/>
          <w:sz w:val="21"/>
          <w:szCs w:val="21"/>
        </w:rPr>
        <w:lastRenderedPageBreak/>
        <w:t>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D6160C2" w14:textId="77777777" w:rsidR="00853087" w:rsidRPr="00ED0915" w:rsidRDefault="00853087" w:rsidP="00853087">
      <w:pPr>
        <w:pStyle w:val="Textoindependiente"/>
        <w:ind w:firstLine="708"/>
        <w:rPr>
          <w:rFonts w:ascii="Abadi" w:hAnsi="Abadi"/>
          <w:b w:val="0"/>
          <w:bCs w:val="0"/>
          <w:sz w:val="21"/>
          <w:szCs w:val="21"/>
        </w:rPr>
      </w:pPr>
    </w:p>
    <w:p w14:paraId="2BC9CD11"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Asimismo, dentro del objetivo de la revisión también se encuentra el de comprobar que la gestión financiera del sujeto fiscalizado fue realizada con transparencia y</w:t>
      </w:r>
      <w:r w:rsidRPr="00144BB3">
        <w:rPr>
          <w:rFonts w:ascii="Abadi" w:hAnsi="Abadi"/>
          <w:sz w:val="21"/>
          <w:szCs w:val="21"/>
        </w:rPr>
        <w:t xml:space="preserve"> </w:t>
      </w:r>
      <w:r w:rsidRPr="00ED0915">
        <w:rPr>
          <w:rFonts w:ascii="Abadi" w:hAnsi="Abadi"/>
          <w:b w:val="0"/>
          <w:bCs w:val="0"/>
          <w:sz w:val="21"/>
          <w:szCs w:val="21"/>
        </w:rPr>
        <w:t>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77CCCFCD" w14:textId="77777777" w:rsidR="00853087" w:rsidRPr="00ED0915" w:rsidRDefault="00853087" w:rsidP="00853087">
      <w:pPr>
        <w:pStyle w:val="Textoindependiente"/>
        <w:ind w:firstLine="708"/>
        <w:rPr>
          <w:rFonts w:ascii="Abadi" w:hAnsi="Abadi"/>
          <w:b w:val="0"/>
          <w:bCs w:val="0"/>
          <w:sz w:val="21"/>
          <w:szCs w:val="21"/>
        </w:rPr>
      </w:pPr>
    </w:p>
    <w:p w14:paraId="074CE862"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Por otra parte, la revisión se efectuó observando las disposiciones contenidas en la</w:t>
      </w:r>
      <w:r w:rsidRPr="00144BB3">
        <w:rPr>
          <w:rFonts w:ascii="Abadi" w:hAnsi="Abadi"/>
          <w:sz w:val="21"/>
          <w:szCs w:val="21"/>
        </w:rPr>
        <w:t xml:space="preserve"> </w:t>
      </w:r>
      <w:r w:rsidRPr="00ED0915">
        <w:rPr>
          <w:rFonts w:ascii="Abadi" w:hAnsi="Abadi"/>
          <w:b w:val="0"/>
          <w:bCs w:val="0"/>
          <w:sz w:val="21"/>
          <w:szCs w:val="21"/>
        </w:rPr>
        <w:t>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C7BA349" w14:textId="77777777" w:rsidR="00853087" w:rsidRPr="00ED0915" w:rsidRDefault="00853087" w:rsidP="00853087">
      <w:pPr>
        <w:pStyle w:val="Textoindependiente"/>
        <w:ind w:firstLine="708"/>
        <w:rPr>
          <w:rFonts w:ascii="Abadi" w:hAnsi="Abadi"/>
          <w:b w:val="0"/>
          <w:bCs w:val="0"/>
          <w:sz w:val="21"/>
          <w:szCs w:val="21"/>
        </w:rPr>
      </w:pPr>
    </w:p>
    <w:p w14:paraId="1E33FD64" w14:textId="77777777" w:rsidR="00853087" w:rsidRPr="00ED0915" w:rsidRDefault="00853087" w:rsidP="00853087">
      <w:pPr>
        <w:pStyle w:val="Textoindependiente"/>
        <w:ind w:firstLine="708"/>
        <w:rPr>
          <w:rFonts w:ascii="Abadi" w:hAnsi="Abadi"/>
          <w:b w:val="0"/>
          <w:bCs w:val="0"/>
          <w:sz w:val="21"/>
          <w:szCs w:val="21"/>
        </w:rPr>
      </w:pPr>
    </w:p>
    <w:p w14:paraId="4B8C9EF3" w14:textId="77777777" w:rsidR="00853087" w:rsidRPr="00ED0915" w:rsidRDefault="00853087" w:rsidP="00853087">
      <w:pPr>
        <w:pStyle w:val="Textoindependiente"/>
        <w:ind w:firstLine="708"/>
        <w:rPr>
          <w:rFonts w:ascii="Abadi" w:hAnsi="Abadi"/>
          <w:b w:val="0"/>
          <w:bCs w:val="0"/>
          <w:sz w:val="21"/>
          <w:szCs w:val="21"/>
        </w:rPr>
      </w:pPr>
      <w:r w:rsidRPr="00ED0915">
        <w:rPr>
          <w:rFonts w:ascii="Abadi" w:hAnsi="Abadi"/>
          <w:b w:val="0"/>
          <w:bCs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w:t>
      </w:r>
      <w:r w:rsidRPr="00ED0915">
        <w:rPr>
          <w:rFonts w:ascii="Abadi" w:hAnsi="Abadi"/>
          <w:b w:val="0"/>
          <w:bCs w:val="0"/>
          <w:sz w:val="21"/>
          <w:szCs w:val="21"/>
        </w:rPr>
        <w:t>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w:t>
      </w:r>
      <w:r w:rsidRPr="00144BB3">
        <w:rPr>
          <w:rFonts w:ascii="Abadi" w:hAnsi="Abadi"/>
          <w:sz w:val="21"/>
          <w:szCs w:val="21"/>
        </w:rPr>
        <w:t xml:space="preserve"> </w:t>
      </w:r>
      <w:r w:rsidRPr="00ED0915">
        <w:rPr>
          <w:rFonts w:ascii="Abadi" w:hAnsi="Abadi"/>
          <w:b w:val="0"/>
          <w:bCs w:val="0"/>
          <w:sz w:val="21"/>
          <w:szCs w:val="21"/>
        </w:rPr>
        <w:t>integradas de acuerdo con las bases contables emitidas por el Consejo Nacional de Armonización Contable.</w:t>
      </w:r>
    </w:p>
    <w:p w14:paraId="6CBA9DE7" w14:textId="77777777" w:rsidR="00853087" w:rsidRPr="00ED0915" w:rsidRDefault="00853087" w:rsidP="00853087">
      <w:pPr>
        <w:pStyle w:val="Textoindependiente"/>
        <w:ind w:firstLine="708"/>
        <w:rPr>
          <w:rFonts w:ascii="Abadi" w:hAnsi="Abadi"/>
          <w:b w:val="0"/>
          <w:bCs w:val="0"/>
          <w:sz w:val="21"/>
          <w:szCs w:val="21"/>
        </w:rPr>
      </w:pPr>
    </w:p>
    <w:p w14:paraId="4E4887A6" w14:textId="77777777" w:rsidR="00853087" w:rsidRPr="00ED0915" w:rsidRDefault="00853087" w:rsidP="00853087">
      <w:pPr>
        <w:pStyle w:val="Textoindependiente"/>
        <w:ind w:firstLine="705"/>
        <w:rPr>
          <w:rFonts w:ascii="Abadi" w:hAnsi="Abadi"/>
          <w:b w:val="0"/>
          <w:bCs w:val="0"/>
          <w:sz w:val="21"/>
          <w:szCs w:val="21"/>
        </w:rPr>
      </w:pPr>
      <w:r w:rsidRPr="00ED0915">
        <w:rPr>
          <w:rFonts w:ascii="Abadi" w:hAnsi="Abadi"/>
          <w:b w:val="0"/>
          <w:bCs w:val="0"/>
          <w:sz w:val="21"/>
          <w:szCs w:val="21"/>
        </w:rPr>
        <w:t xml:space="preserve">El informe de resultados establece que se practicó la revisión de la cuenta pública respecto de las operaciones realizadas por la administración pública municipal de Apaseo el Alto, </w:t>
      </w:r>
      <w:proofErr w:type="spellStart"/>
      <w:r w:rsidRPr="00ED0915">
        <w:rPr>
          <w:rFonts w:ascii="Abadi" w:hAnsi="Abadi"/>
          <w:b w:val="0"/>
          <w:bCs w:val="0"/>
          <w:sz w:val="21"/>
          <w:szCs w:val="21"/>
        </w:rPr>
        <w:t>Gto</w:t>
      </w:r>
      <w:proofErr w:type="spellEnd"/>
      <w:r w:rsidRPr="00ED0915">
        <w:rPr>
          <w:rFonts w:ascii="Abadi" w:hAnsi="Abadi"/>
          <w:b w:val="0"/>
          <w:bCs w:val="0"/>
          <w:sz w:val="21"/>
          <w:szCs w:val="21"/>
        </w:rPr>
        <w:t>., correspondientes al ejercicio fiscal 2021, en lo referente a los apartados de ingresos y egresos.</w:t>
      </w:r>
    </w:p>
    <w:p w14:paraId="4F88D853" w14:textId="77777777" w:rsidR="00853087" w:rsidRPr="00144BB3" w:rsidRDefault="00853087" w:rsidP="00853087">
      <w:pPr>
        <w:pStyle w:val="Textoindependiente"/>
        <w:ind w:firstLine="705"/>
        <w:rPr>
          <w:rFonts w:ascii="Abadi" w:hAnsi="Abadi"/>
          <w:sz w:val="21"/>
          <w:szCs w:val="21"/>
        </w:rPr>
      </w:pPr>
    </w:p>
    <w:p w14:paraId="4FDFCD01" w14:textId="77777777" w:rsidR="00853087" w:rsidRPr="00144BB3" w:rsidRDefault="00853087" w:rsidP="00853087">
      <w:pPr>
        <w:autoSpaceDE w:val="0"/>
        <w:autoSpaceDN w:val="0"/>
        <w:adjustRightInd w:val="0"/>
        <w:ind w:firstLine="708"/>
        <w:jc w:val="both"/>
        <w:rPr>
          <w:rFonts w:ascii="Abadi" w:hAnsi="Abadi" w:cs="Arial"/>
          <w:sz w:val="21"/>
          <w:szCs w:val="21"/>
          <w:lang w:val="es-MX" w:eastAsia="x-none"/>
        </w:rPr>
      </w:pPr>
      <w:r w:rsidRPr="00144BB3">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57C88BEF" w14:textId="77777777" w:rsidR="00853087" w:rsidRPr="00144BB3" w:rsidRDefault="00853087" w:rsidP="00853087">
      <w:pPr>
        <w:autoSpaceDE w:val="0"/>
        <w:autoSpaceDN w:val="0"/>
        <w:adjustRightInd w:val="0"/>
        <w:ind w:firstLine="708"/>
        <w:jc w:val="both"/>
        <w:rPr>
          <w:rFonts w:ascii="Abadi" w:hAnsi="Abadi" w:cs="Arial"/>
          <w:sz w:val="21"/>
          <w:szCs w:val="21"/>
          <w:lang w:val="es-MX" w:eastAsia="x-none"/>
        </w:rPr>
      </w:pPr>
    </w:p>
    <w:p w14:paraId="43AD313B" w14:textId="77777777" w:rsidR="00853087" w:rsidRPr="00144BB3" w:rsidRDefault="00853087" w:rsidP="00853087">
      <w:pPr>
        <w:autoSpaceDE w:val="0"/>
        <w:autoSpaceDN w:val="0"/>
        <w:adjustRightInd w:val="0"/>
        <w:ind w:firstLine="708"/>
        <w:jc w:val="both"/>
        <w:rPr>
          <w:rFonts w:ascii="Abadi" w:hAnsi="Abadi" w:cs="Arial"/>
          <w:sz w:val="21"/>
          <w:szCs w:val="21"/>
          <w:lang w:val="es-MX" w:eastAsia="x-none"/>
        </w:rPr>
      </w:pPr>
    </w:p>
    <w:p w14:paraId="6646835E" w14:textId="77777777" w:rsidR="00853087" w:rsidRPr="00144BB3" w:rsidRDefault="00853087" w:rsidP="00853087">
      <w:pPr>
        <w:ind w:firstLine="708"/>
        <w:jc w:val="both"/>
        <w:rPr>
          <w:rFonts w:ascii="Abadi" w:hAnsi="Abadi" w:cs="Arial"/>
          <w:sz w:val="21"/>
          <w:szCs w:val="21"/>
          <w:lang w:val="es-MX" w:eastAsia="x-none"/>
        </w:rPr>
      </w:pPr>
      <w:r w:rsidRPr="00144BB3">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w:t>
      </w:r>
      <w:r w:rsidRPr="00144BB3">
        <w:rPr>
          <w:rFonts w:ascii="Abadi" w:hAnsi="Abadi" w:cs="Arial"/>
          <w:sz w:val="21"/>
          <w:szCs w:val="21"/>
          <w:lang w:val="es-MX" w:eastAsia="x-none"/>
        </w:rPr>
        <w:lastRenderedPageBreak/>
        <w:t xml:space="preserve">resultados de la gestión financiera y la incidencia de sus operaciones en la hacienda pública del ente </w:t>
      </w:r>
      <w:proofErr w:type="spellStart"/>
      <w:r w:rsidRPr="00144BB3">
        <w:rPr>
          <w:rFonts w:ascii="Abadi" w:hAnsi="Abadi" w:cs="Arial"/>
          <w:sz w:val="21"/>
          <w:szCs w:val="21"/>
          <w:lang w:val="es-MX" w:eastAsia="x-none"/>
        </w:rPr>
        <w:t>fiscalizado</w:t>
      </w:r>
      <w:proofErr w:type="spellEnd"/>
      <w:r w:rsidRPr="00144BB3">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3A2A8C4F" w14:textId="77777777" w:rsidR="00853087" w:rsidRPr="00144BB3" w:rsidRDefault="00853087" w:rsidP="00853087">
      <w:pPr>
        <w:ind w:firstLine="708"/>
        <w:jc w:val="both"/>
        <w:rPr>
          <w:rFonts w:ascii="Abadi" w:hAnsi="Abadi" w:cs="Arial"/>
          <w:sz w:val="21"/>
          <w:szCs w:val="21"/>
          <w:lang w:val="es-MX" w:eastAsia="x-none"/>
        </w:rPr>
      </w:pPr>
    </w:p>
    <w:p w14:paraId="0D558067"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El 30 de junio de 2022 se notificó a la presidenta municipal de Apaseo el Alto, </w:t>
      </w:r>
      <w:proofErr w:type="spellStart"/>
      <w:r w:rsidRPr="00144BB3">
        <w:rPr>
          <w:rFonts w:ascii="Abadi" w:hAnsi="Abadi" w:cs="Arial"/>
          <w:sz w:val="21"/>
          <w:szCs w:val="21"/>
        </w:rPr>
        <w:t>Gto</w:t>
      </w:r>
      <w:proofErr w:type="spellEnd"/>
      <w:r w:rsidRPr="00144BB3">
        <w:rPr>
          <w:rFonts w:ascii="Abadi" w:hAnsi="Abadi" w:cs="Arial"/>
          <w:sz w:val="21"/>
          <w:szCs w:val="21"/>
        </w:rPr>
        <w:t>., la orden de inicio del procedimiento de revisión de la cuenta pública.</w:t>
      </w:r>
    </w:p>
    <w:p w14:paraId="242BB0C2" w14:textId="77777777" w:rsidR="00853087" w:rsidRPr="00144BB3" w:rsidRDefault="00853087" w:rsidP="00853087">
      <w:pPr>
        <w:ind w:firstLine="708"/>
        <w:jc w:val="both"/>
        <w:rPr>
          <w:rFonts w:ascii="Abadi" w:hAnsi="Abadi" w:cs="Arial"/>
          <w:sz w:val="21"/>
          <w:szCs w:val="21"/>
        </w:rPr>
      </w:pPr>
    </w:p>
    <w:p w14:paraId="3B28C4F0"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El 28 de noviembre de 2022 se notificó a la presidenta municipal de Apaseo el Alto, </w:t>
      </w:r>
      <w:proofErr w:type="spellStart"/>
      <w:r w:rsidRPr="00144BB3">
        <w:rPr>
          <w:rFonts w:ascii="Abadi" w:hAnsi="Abadi" w:cs="Arial"/>
          <w:sz w:val="21"/>
          <w:szCs w:val="21"/>
        </w:rPr>
        <w:t>Gto</w:t>
      </w:r>
      <w:proofErr w:type="spellEnd"/>
      <w:r w:rsidRPr="00144BB3">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26180973" w14:textId="77777777" w:rsidR="00853087" w:rsidRPr="00144BB3" w:rsidRDefault="00853087" w:rsidP="00853087">
      <w:pPr>
        <w:ind w:firstLine="708"/>
        <w:jc w:val="both"/>
        <w:rPr>
          <w:rFonts w:ascii="Abadi" w:hAnsi="Abadi" w:cs="Arial"/>
          <w:sz w:val="21"/>
          <w:szCs w:val="21"/>
        </w:rPr>
      </w:pPr>
    </w:p>
    <w:p w14:paraId="032F4797"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Posteriormente, el 16 de febrero de 2023 se notificó a la presidenta y a la ex presidenta municipales de Apaseo el Alto, </w:t>
      </w:r>
      <w:proofErr w:type="spellStart"/>
      <w:r w:rsidRPr="00144BB3">
        <w:rPr>
          <w:rFonts w:ascii="Abadi" w:hAnsi="Abadi" w:cs="Arial"/>
          <w:sz w:val="21"/>
          <w:szCs w:val="21"/>
        </w:rPr>
        <w:t>Gto</w:t>
      </w:r>
      <w:proofErr w:type="spellEnd"/>
      <w:r w:rsidRPr="00144BB3">
        <w:rPr>
          <w:rFonts w:ascii="Abadi" w:hAnsi="Abadi" w:cs="Arial"/>
          <w:sz w:val="21"/>
          <w:szCs w:val="21"/>
        </w:rPr>
        <w:t xml:space="preserve">., y el 17 de febrero de 2023 al ex presidente municipal interino de dicha localidad, el pliego de observaciones y recomendaciones derivado de la revisión practicada a la cuenta pública de dicho Municipio, correspondiente al ejercicio fiscal del año 2021, al cual se dio respuesta el 9 de marzo de 2023, por parte de la ex presidenta municipal de Apaseo el Alto, </w:t>
      </w:r>
      <w:proofErr w:type="spellStart"/>
      <w:r w:rsidRPr="00144BB3">
        <w:rPr>
          <w:rFonts w:ascii="Abadi" w:hAnsi="Abadi" w:cs="Arial"/>
          <w:sz w:val="21"/>
          <w:szCs w:val="21"/>
        </w:rPr>
        <w:t>Gto</w:t>
      </w:r>
      <w:proofErr w:type="spellEnd"/>
      <w:r w:rsidRPr="00144BB3">
        <w:rPr>
          <w:rFonts w:ascii="Abadi" w:hAnsi="Abadi" w:cs="Arial"/>
          <w:sz w:val="21"/>
          <w:szCs w:val="21"/>
        </w:rPr>
        <w:t>.</w:t>
      </w:r>
    </w:p>
    <w:p w14:paraId="47DA11EB" w14:textId="77777777" w:rsidR="00853087" w:rsidRPr="00144BB3" w:rsidRDefault="00853087" w:rsidP="00853087">
      <w:pPr>
        <w:ind w:firstLine="708"/>
        <w:jc w:val="both"/>
        <w:rPr>
          <w:rFonts w:ascii="Abadi" w:hAnsi="Abadi" w:cs="Arial"/>
          <w:sz w:val="21"/>
          <w:szCs w:val="21"/>
        </w:rPr>
      </w:pPr>
    </w:p>
    <w:p w14:paraId="13EE48B5"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 xml:space="preserve">El 21 de marzo de 2023, el informe de resultados se notificó a la presidenta y a la ex presidenta municipales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xml:space="preserve">., y el 22 de marzo de 2023 al ex presidente municipal interino, para que, en su caso, hicieran valer el recurso de reconsideración previsto por los artículos del 48 al 55 de </w:t>
      </w:r>
      <w:smartTag w:uri="urn:schemas-microsoft-com:office:smarttags" w:element="PersonName">
        <w:smartTagPr>
          <w:attr w:name="ProductID" w:val="la Ley"/>
        </w:smartTagPr>
        <w:r w:rsidRPr="00853087">
          <w:rPr>
            <w:rFonts w:ascii="Abadi" w:hAnsi="Abadi"/>
            <w:b w:val="0"/>
            <w:bCs w:val="0"/>
            <w:sz w:val="21"/>
            <w:szCs w:val="21"/>
          </w:rPr>
          <w:t>la Ley</w:t>
        </w:r>
      </w:smartTag>
      <w:r w:rsidRPr="00853087">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3767F430" w14:textId="77777777" w:rsidR="00853087" w:rsidRPr="00853087" w:rsidRDefault="00853087" w:rsidP="00853087">
      <w:pPr>
        <w:pStyle w:val="Textoindependiente"/>
        <w:ind w:firstLine="708"/>
        <w:rPr>
          <w:rFonts w:ascii="Abadi" w:hAnsi="Abadi"/>
          <w:b w:val="0"/>
          <w:bCs w:val="0"/>
          <w:sz w:val="21"/>
          <w:szCs w:val="21"/>
        </w:rPr>
      </w:pPr>
    </w:p>
    <w:p w14:paraId="351D7B7A"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853087">
          <w:rPr>
            <w:rFonts w:ascii="Abadi" w:hAnsi="Abadi"/>
            <w:b w:val="0"/>
            <w:bCs w:val="0"/>
            <w:sz w:val="21"/>
            <w:szCs w:val="21"/>
          </w:rPr>
          <w:t>la Ley</w:t>
        </w:r>
      </w:smartTag>
      <w:r w:rsidRPr="00853087">
        <w:rPr>
          <w:rFonts w:ascii="Abadi" w:hAnsi="Abadi"/>
          <w:b w:val="0"/>
          <w:bCs w:val="0"/>
          <w:sz w:val="21"/>
          <w:szCs w:val="21"/>
        </w:rPr>
        <w:t xml:space="preserve"> de Fiscalización Superior del Estado de Guanajuato, la presidenta y la ex presidenta municipales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interpusieron recursos de reconsideración en contra del informe de resultados de la revisión practicada a la cuenta pública de dicho Municipio, correspondiente al ejercicio fiscal del año 2021, siendo admitidos dichos recursos, al colmarse los requisitos de</w:t>
      </w:r>
      <w:r w:rsidRPr="00144BB3">
        <w:rPr>
          <w:rFonts w:ascii="Abadi" w:hAnsi="Abadi"/>
          <w:sz w:val="21"/>
          <w:szCs w:val="21"/>
        </w:rPr>
        <w:t xml:space="preserve"> procedibilidad previstos por el artículo 51 de </w:t>
      </w:r>
      <w:smartTag w:uri="urn:schemas-microsoft-com:office:smarttags" w:element="PersonName">
        <w:smartTagPr>
          <w:attr w:name="ProductID" w:val="la Ley"/>
        </w:smartTagPr>
        <w:r w:rsidRPr="00853087">
          <w:rPr>
            <w:rFonts w:ascii="Abadi" w:hAnsi="Abadi"/>
            <w:b w:val="0"/>
            <w:bCs w:val="0"/>
            <w:sz w:val="21"/>
            <w:szCs w:val="21"/>
          </w:rPr>
          <w:t>la Ley</w:t>
        </w:r>
      </w:smartTag>
      <w:r w:rsidRPr="00853087">
        <w:rPr>
          <w:rFonts w:ascii="Abadi" w:hAnsi="Abadi"/>
          <w:b w:val="0"/>
          <w:bCs w:val="0"/>
          <w:sz w:val="21"/>
          <w:szCs w:val="21"/>
        </w:rPr>
        <w:t xml:space="preserve"> de Fiscalización Superior del Estado de Guanajuato.</w:t>
      </w:r>
    </w:p>
    <w:p w14:paraId="4716C8B1" w14:textId="77777777" w:rsidR="00853087" w:rsidRPr="00853087" w:rsidRDefault="00853087" w:rsidP="00853087">
      <w:pPr>
        <w:ind w:firstLine="708"/>
        <w:jc w:val="both"/>
        <w:rPr>
          <w:rFonts w:ascii="Abadi" w:hAnsi="Abadi"/>
          <w:sz w:val="21"/>
          <w:szCs w:val="21"/>
        </w:rPr>
      </w:pPr>
    </w:p>
    <w:p w14:paraId="501E122E" w14:textId="77777777" w:rsid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 xml:space="preserve">Una vez tramitados los recursos, el Auditor Superior el 10 de mayo de 2023 emitió la resolución correspondiente, a la cual haremos referencia en un apartado posterior, misma que se notificó a la presidenta y a la ex presidenta municipales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el 11 de mayo de 2023.</w:t>
      </w:r>
    </w:p>
    <w:p w14:paraId="56D5E5FB" w14:textId="77777777" w:rsidR="00853087" w:rsidRPr="00853087" w:rsidRDefault="00853087" w:rsidP="00853087">
      <w:pPr>
        <w:pStyle w:val="Textoindependiente"/>
        <w:ind w:firstLine="708"/>
        <w:rPr>
          <w:rFonts w:ascii="Abadi" w:hAnsi="Abadi"/>
          <w:b w:val="0"/>
          <w:bCs w:val="0"/>
          <w:sz w:val="21"/>
          <w:szCs w:val="21"/>
        </w:rPr>
      </w:pPr>
    </w:p>
    <w:p w14:paraId="2CAC4D6C" w14:textId="77777777" w:rsidR="00853087" w:rsidRPr="00144BB3" w:rsidRDefault="00853087" w:rsidP="00853087">
      <w:pPr>
        <w:pStyle w:val="Textoindependiente"/>
        <w:ind w:firstLine="708"/>
        <w:rPr>
          <w:rFonts w:ascii="Abadi" w:hAnsi="Abadi"/>
          <w:b w:val="0"/>
          <w:bCs w:val="0"/>
          <w:sz w:val="21"/>
          <w:szCs w:val="21"/>
        </w:rPr>
      </w:pPr>
      <w:r w:rsidRPr="00144BB3">
        <w:rPr>
          <w:rFonts w:ascii="Abadi" w:hAnsi="Abadi"/>
          <w:b w:val="0"/>
          <w:bCs w:val="0"/>
          <w:sz w:val="21"/>
          <w:szCs w:val="21"/>
        </w:rPr>
        <w:t>IV. Contenido del Informe de Resultados:</w:t>
      </w:r>
    </w:p>
    <w:p w14:paraId="6922F27C" w14:textId="77777777" w:rsidR="00853087" w:rsidRPr="00144BB3" w:rsidRDefault="00853087" w:rsidP="00853087">
      <w:pPr>
        <w:pStyle w:val="Textoindependiente"/>
        <w:rPr>
          <w:rFonts w:ascii="Abadi" w:hAnsi="Abadi"/>
          <w:b w:val="0"/>
          <w:bCs w:val="0"/>
          <w:sz w:val="21"/>
          <w:szCs w:val="21"/>
        </w:rPr>
      </w:pPr>
    </w:p>
    <w:p w14:paraId="7CBD7F78" w14:textId="77777777" w:rsidR="00853087" w:rsidRPr="00853087" w:rsidRDefault="00853087" w:rsidP="00853087">
      <w:pPr>
        <w:pStyle w:val="Textoindependiente"/>
        <w:rPr>
          <w:rFonts w:ascii="Abadi" w:hAnsi="Abadi"/>
          <w:b w:val="0"/>
          <w:sz w:val="21"/>
          <w:szCs w:val="21"/>
        </w:rPr>
      </w:pPr>
      <w:r w:rsidRPr="00144BB3">
        <w:rPr>
          <w:rFonts w:ascii="Abadi" w:hAnsi="Abadi"/>
          <w:b w:val="0"/>
          <w:bCs w:val="0"/>
          <w:sz w:val="21"/>
          <w:szCs w:val="21"/>
        </w:rPr>
        <w:tab/>
      </w:r>
      <w:r w:rsidRPr="00853087">
        <w:rPr>
          <w:rFonts w:ascii="Abadi" w:hAnsi="Abadi"/>
          <w:b w:val="0"/>
          <w:sz w:val="21"/>
          <w:szCs w:val="21"/>
        </w:rPr>
        <w:t>En cumplimiento a lo establecido por el artículo 37, fracción III de la Ley de Fiscalización Superior del Estado, el informe de resultados contiene los siguientes apartados:</w:t>
      </w:r>
    </w:p>
    <w:p w14:paraId="0CD02B8A" w14:textId="77777777" w:rsidR="00853087" w:rsidRPr="00144BB3" w:rsidRDefault="00853087" w:rsidP="00853087">
      <w:pPr>
        <w:pStyle w:val="Textoindependiente"/>
        <w:rPr>
          <w:rFonts w:ascii="Abadi" w:hAnsi="Abadi"/>
          <w:sz w:val="21"/>
          <w:szCs w:val="21"/>
        </w:rPr>
      </w:pPr>
    </w:p>
    <w:p w14:paraId="2922F3DF" w14:textId="77777777" w:rsidR="00853087" w:rsidRPr="00853087" w:rsidRDefault="00853087" w:rsidP="00427BD6">
      <w:pPr>
        <w:pStyle w:val="Textoindependiente"/>
        <w:numPr>
          <w:ilvl w:val="0"/>
          <w:numId w:val="9"/>
        </w:numPr>
        <w:autoSpaceDE/>
        <w:autoSpaceDN/>
        <w:rPr>
          <w:rFonts w:ascii="Abadi" w:hAnsi="Abadi"/>
          <w:sz w:val="21"/>
          <w:szCs w:val="21"/>
        </w:rPr>
      </w:pPr>
      <w:r w:rsidRPr="00853087">
        <w:rPr>
          <w:rFonts w:ascii="Abadi" w:hAnsi="Abadi"/>
          <w:sz w:val="21"/>
          <w:szCs w:val="21"/>
        </w:rPr>
        <w:t>Introducción.</w:t>
      </w:r>
    </w:p>
    <w:p w14:paraId="3CF28854" w14:textId="77777777" w:rsidR="00853087" w:rsidRPr="00144BB3" w:rsidRDefault="00853087" w:rsidP="00853087">
      <w:pPr>
        <w:pStyle w:val="Textoindependiente"/>
        <w:ind w:left="705"/>
        <w:rPr>
          <w:rFonts w:ascii="Abadi" w:hAnsi="Abadi"/>
          <w:b w:val="0"/>
          <w:bCs w:val="0"/>
          <w:sz w:val="21"/>
          <w:szCs w:val="21"/>
        </w:rPr>
      </w:pPr>
    </w:p>
    <w:p w14:paraId="3F64E1F2"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1C3CDC2E" w14:textId="77777777" w:rsidR="00853087" w:rsidRPr="00853087" w:rsidRDefault="00853087" w:rsidP="00853087">
      <w:pPr>
        <w:pStyle w:val="Textoindependiente"/>
        <w:ind w:firstLine="705"/>
        <w:rPr>
          <w:rFonts w:ascii="Abadi" w:hAnsi="Abadi"/>
          <w:b w:val="0"/>
          <w:bCs w:val="0"/>
          <w:sz w:val="21"/>
          <w:szCs w:val="21"/>
        </w:rPr>
      </w:pPr>
    </w:p>
    <w:p w14:paraId="65D78D53"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1955A756" w14:textId="77777777" w:rsidR="00853087" w:rsidRPr="00144BB3" w:rsidRDefault="00853087" w:rsidP="00853087">
      <w:pPr>
        <w:pStyle w:val="Textoindependiente"/>
        <w:ind w:firstLine="705"/>
        <w:rPr>
          <w:rFonts w:ascii="Abadi" w:hAnsi="Abadi"/>
          <w:sz w:val="21"/>
          <w:szCs w:val="21"/>
        </w:rPr>
      </w:pPr>
    </w:p>
    <w:p w14:paraId="06013D3A"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Cabe apuntar que en el Programa General de Fiscalización 2022 de la Auditoría Superior del Estado de Guanajuato, en el apartado de seguimiento a mejores prácticas de fiscalización ejecutadas durante el ejercicio </w:t>
      </w:r>
      <w:r w:rsidRPr="00853087">
        <w:rPr>
          <w:rFonts w:ascii="Abadi" w:hAnsi="Abadi"/>
          <w:b w:val="0"/>
          <w:bCs w:val="0"/>
          <w:sz w:val="21"/>
          <w:szCs w:val="21"/>
        </w:rPr>
        <w:lastRenderedPageBreak/>
        <w:t>2021 y prospectiva estratégica para la programación 2022, se estableció:</w:t>
      </w:r>
    </w:p>
    <w:p w14:paraId="78968946" w14:textId="77777777" w:rsidR="00853087" w:rsidRPr="00853087" w:rsidRDefault="00853087" w:rsidP="00853087">
      <w:pPr>
        <w:jc w:val="both"/>
        <w:rPr>
          <w:rFonts w:ascii="Abadi" w:hAnsi="Abadi" w:cs="Arial"/>
          <w:i/>
          <w:iCs/>
          <w:sz w:val="21"/>
          <w:szCs w:val="21"/>
          <w:lang w:eastAsia="x-none"/>
        </w:rPr>
      </w:pPr>
    </w:p>
    <w:p w14:paraId="421D2CE7" w14:textId="77777777" w:rsidR="00853087" w:rsidRPr="00144BB3" w:rsidRDefault="00853087" w:rsidP="00853087">
      <w:pPr>
        <w:jc w:val="both"/>
        <w:rPr>
          <w:rFonts w:ascii="Abadi" w:hAnsi="Abadi" w:cs="Arial"/>
          <w:i/>
          <w:iCs/>
          <w:sz w:val="21"/>
          <w:szCs w:val="21"/>
          <w:lang w:eastAsia="x-none"/>
        </w:rPr>
      </w:pPr>
      <w:r w:rsidRPr="00144BB3">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7450781A" w14:textId="77777777" w:rsidR="00853087" w:rsidRPr="00144BB3" w:rsidRDefault="00853087" w:rsidP="00853087">
      <w:pPr>
        <w:rPr>
          <w:rFonts w:ascii="Abadi" w:hAnsi="Abadi" w:cs="Arial"/>
          <w:i/>
          <w:iCs/>
          <w:sz w:val="21"/>
          <w:szCs w:val="21"/>
          <w:lang w:eastAsia="x-none"/>
        </w:rPr>
      </w:pPr>
    </w:p>
    <w:p w14:paraId="4E1C63A6" w14:textId="77777777" w:rsidR="00853087" w:rsidRPr="00144BB3" w:rsidRDefault="00853087" w:rsidP="00853087">
      <w:pPr>
        <w:jc w:val="both"/>
        <w:rPr>
          <w:rFonts w:ascii="Abadi" w:hAnsi="Abadi" w:cs="Arial"/>
          <w:i/>
          <w:iCs/>
          <w:sz w:val="21"/>
          <w:szCs w:val="21"/>
          <w:lang w:eastAsia="x-none"/>
        </w:rPr>
      </w:pPr>
      <w:r w:rsidRPr="00144BB3">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3227A7DB" w14:textId="77777777" w:rsidR="00853087" w:rsidRPr="00144BB3" w:rsidRDefault="00853087" w:rsidP="00853087">
      <w:pPr>
        <w:jc w:val="both"/>
        <w:rPr>
          <w:rFonts w:ascii="Abadi" w:hAnsi="Abadi" w:cs="Arial"/>
          <w:i/>
          <w:iCs/>
          <w:sz w:val="21"/>
          <w:szCs w:val="21"/>
          <w:lang w:eastAsia="x-none"/>
        </w:rPr>
      </w:pPr>
    </w:p>
    <w:p w14:paraId="365F3A27" w14:textId="77777777" w:rsidR="00853087" w:rsidRPr="00144BB3" w:rsidRDefault="00853087" w:rsidP="00853087">
      <w:pPr>
        <w:jc w:val="both"/>
        <w:rPr>
          <w:rFonts w:ascii="Abadi" w:hAnsi="Abadi" w:cs="Arial"/>
          <w:i/>
          <w:iCs/>
          <w:sz w:val="21"/>
          <w:szCs w:val="21"/>
          <w:lang w:eastAsia="x-none"/>
        </w:rPr>
      </w:pPr>
      <w:r w:rsidRPr="00144BB3">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E46A97B" w14:textId="77777777" w:rsidR="00853087" w:rsidRPr="00144BB3" w:rsidRDefault="00853087" w:rsidP="00853087">
      <w:pPr>
        <w:jc w:val="both"/>
        <w:rPr>
          <w:rFonts w:ascii="Abadi" w:hAnsi="Abadi" w:cs="Arial"/>
          <w:i/>
          <w:iCs/>
          <w:sz w:val="21"/>
          <w:szCs w:val="21"/>
          <w:lang w:eastAsia="x-none"/>
        </w:rPr>
      </w:pPr>
    </w:p>
    <w:p w14:paraId="77E0C02D" w14:textId="77777777" w:rsidR="00853087" w:rsidRPr="00144BB3" w:rsidRDefault="00853087" w:rsidP="00853087">
      <w:pPr>
        <w:ind w:firstLine="705"/>
        <w:jc w:val="both"/>
        <w:rPr>
          <w:rFonts w:ascii="Abadi" w:hAnsi="Abadi" w:cs="Arial"/>
          <w:sz w:val="21"/>
          <w:szCs w:val="21"/>
          <w:lang w:eastAsia="x-none"/>
        </w:rPr>
      </w:pPr>
      <w:r w:rsidRPr="00144BB3">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144BB3">
        <w:rPr>
          <w:rFonts w:ascii="Abadi" w:hAnsi="Abadi" w:cs="Arial"/>
          <w:sz w:val="21"/>
          <w:szCs w:val="21"/>
          <w:lang w:eastAsia="x-none"/>
        </w:rPr>
        <w:t>fiscalizado</w:t>
      </w:r>
      <w:proofErr w:type="spellEnd"/>
      <w:r w:rsidRPr="00144BB3">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144BB3">
        <w:rPr>
          <w:rFonts w:ascii="Abadi" w:hAnsi="Abadi" w:cs="Arial"/>
          <w:i/>
          <w:iCs/>
          <w:sz w:val="21"/>
          <w:szCs w:val="21"/>
          <w:lang w:eastAsia="x-none"/>
        </w:rPr>
        <w:t>«Definitivos»,</w:t>
      </w:r>
      <w:r w:rsidRPr="00144BB3">
        <w:rPr>
          <w:rFonts w:ascii="Abadi" w:hAnsi="Abadi" w:cs="Arial"/>
          <w:sz w:val="21"/>
          <w:szCs w:val="21"/>
          <w:lang w:eastAsia="x-none"/>
        </w:rPr>
        <w:t xml:space="preserve"> emitidas por el Servicio de Administración Tributaria.</w:t>
      </w:r>
    </w:p>
    <w:p w14:paraId="04397F27" w14:textId="77777777" w:rsidR="00853087" w:rsidRPr="00144BB3" w:rsidRDefault="00853087" w:rsidP="00853087">
      <w:pPr>
        <w:pStyle w:val="Textoindependiente"/>
        <w:ind w:firstLine="705"/>
        <w:rPr>
          <w:rFonts w:ascii="Abadi" w:hAnsi="Abadi"/>
          <w:sz w:val="21"/>
          <w:szCs w:val="21"/>
        </w:rPr>
      </w:pPr>
    </w:p>
    <w:p w14:paraId="2CCFB7F0" w14:textId="77777777" w:rsidR="00853087" w:rsidRPr="00144BB3" w:rsidRDefault="00853087" w:rsidP="00853087">
      <w:pPr>
        <w:ind w:firstLine="705"/>
        <w:jc w:val="both"/>
        <w:rPr>
          <w:rFonts w:ascii="Abadi" w:hAnsi="Abadi" w:cs="Arial"/>
          <w:sz w:val="21"/>
          <w:szCs w:val="21"/>
          <w:lang w:eastAsia="x-none"/>
        </w:rPr>
      </w:pPr>
      <w:r w:rsidRPr="00144BB3">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144BB3">
        <w:rPr>
          <w:rFonts w:ascii="Abadi" w:hAnsi="Abadi" w:cs="Arial"/>
          <w:sz w:val="21"/>
          <w:szCs w:val="21"/>
          <w:lang w:eastAsia="x-none"/>
        </w:rPr>
        <w:t>fiscalizado</w:t>
      </w:r>
      <w:proofErr w:type="spellEnd"/>
      <w:r w:rsidRPr="00144BB3">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w:t>
      </w:r>
      <w:r w:rsidRPr="00144BB3">
        <w:rPr>
          <w:rFonts w:ascii="Abadi" w:hAnsi="Abadi" w:cs="Arial"/>
          <w:sz w:val="21"/>
          <w:szCs w:val="21"/>
          <w:lang w:eastAsia="x-none"/>
        </w:rPr>
        <w:t>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37D03194" w14:textId="77777777" w:rsidR="00853087" w:rsidRPr="00144BB3" w:rsidRDefault="00853087" w:rsidP="00853087">
      <w:pPr>
        <w:ind w:firstLine="705"/>
        <w:jc w:val="both"/>
        <w:rPr>
          <w:rFonts w:ascii="Abadi" w:hAnsi="Abadi" w:cs="Arial"/>
          <w:sz w:val="21"/>
          <w:szCs w:val="21"/>
          <w:lang w:eastAsia="x-none"/>
        </w:rPr>
      </w:pPr>
    </w:p>
    <w:p w14:paraId="490AC7DE" w14:textId="77777777" w:rsidR="00853087" w:rsidRPr="00144BB3" w:rsidRDefault="00853087" w:rsidP="00853087">
      <w:pPr>
        <w:ind w:firstLine="705"/>
        <w:jc w:val="both"/>
        <w:rPr>
          <w:rFonts w:ascii="Abadi" w:hAnsi="Abadi" w:cs="Arial"/>
          <w:sz w:val="21"/>
          <w:szCs w:val="21"/>
          <w:lang w:val="es-MX" w:eastAsia="x-none"/>
        </w:rPr>
      </w:pPr>
      <w:r w:rsidRPr="00144BB3">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144BB3">
        <w:rPr>
          <w:rFonts w:ascii="Abadi" w:hAnsi="Abadi" w:cs="Arial"/>
          <w:sz w:val="21"/>
          <w:szCs w:val="21"/>
          <w:lang w:val="es-MX" w:eastAsia="x-none"/>
        </w:rPr>
        <w:t>fiscalizado</w:t>
      </w:r>
      <w:proofErr w:type="spellEnd"/>
      <w:r w:rsidRPr="00144BB3">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144BB3">
        <w:rPr>
          <w:rFonts w:ascii="Abadi" w:hAnsi="Abadi" w:cs="Arial"/>
          <w:sz w:val="21"/>
          <w:szCs w:val="21"/>
          <w:lang w:val="es-MX" w:eastAsia="x-none"/>
        </w:rPr>
        <w:t>fiscalizado</w:t>
      </w:r>
      <w:proofErr w:type="spellEnd"/>
      <w:r w:rsidRPr="00144BB3">
        <w:rPr>
          <w:rFonts w:ascii="Abadi" w:hAnsi="Abadi" w:cs="Arial"/>
          <w:sz w:val="21"/>
          <w:szCs w:val="21"/>
          <w:lang w:val="es-MX" w:eastAsia="x-none"/>
        </w:rPr>
        <w:t>.</w:t>
      </w:r>
    </w:p>
    <w:p w14:paraId="3DA265F7" w14:textId="77777777" w:rsidR="00853087" w:rsidRPr="00144BB3" w:rsidRDefault="00853087" w:rsidP="00853087">
      <w:pPr>
        <w:ind w:firstLine="705"/>
        <w:jc w:val="both"/>
        <w:rPr>
          <w:rFonts w:ascii="Abadi" w:hAnsi="Abadi" w:cs="Arial"/>
          <w:sz w:val="21"/>
          <w:szCs w:val="21"/>
          <w:lang w:val="es-MX" w:eastAsia="x-none"/>
        </w:rPr>
      </w:pPr>
    </w:p>
    <w:p w14:paraId="1A2E982A" w14:textId="77777777" w:rsidR="00853087" w:rsidRPr="00144BB3" w:rsidRDefault="00853087" w:rsidP="00853087">
      <w:pPr>
        <w:ind w:firstLine="705"/>
        <w:jc w:val="both"/>
        <w:rPr>
          <w:rFonts w:ascii="Abadi" w:hAnsi="Abadi" w:cs="Arial"/>
          <w:sz w:val="21"/>
          <w:szCs w:val="21"/>
          <w:lang w:val="es-MX" w:eastAsia="x-none"/>
        </w:rPr>
      </w:pPr>
      <w:r w:rsidRPr="00144BB3">
        <w:rPr>
          <w:rFonts w:ascii="Abadi" w:hAnsi="Abadi" w:cs="Arial"/>
          <w:sz w:val="21"/>
          <w:szCs w:val="21"/>
          <w:lang w:val="es-MX" w:eastAsia="x-none"/>
        </w:rPr>
        <w:t xml:space="preserve">Adicionalmente, se analizó el informe general del proceso de entrega recepción 2021 de la administración pública municipal de Apaseo el Alto, </w:t>
      </w:r>
      <w:proofErr w:type="spellStart"/>
      <w:r w:rsidRPr="00144BB3">
        <w:rPr>
          <w:rFonts w:ascii="Abadi" w:hAnsi="Abadi" w:cs="Arial"/>
          <w:sz w:val="21"/>
          <w:szCs w:val="21"/>
          <w:lang w:val="es-MX" w:eastAsia="x-none"/>
        </w:rPr>
        <w:t>Gto</w:t>
      </w:r>
      <w:proofErr w:type="spellEnd"/>
      <w:r w:rsidRPr="00144BB3">
        <w:rPr>
          <w:rFonts w:ascii="Abadi" w:hAnsi="Abadi" w:cs="Arial"/>
          <w:sz w:val="21"/>
          <w:szCs w:val="21"/>
          <w:lang w:val="es-MX" w:eastAsia="x-none"/>
        </w:rPr>
        <w:t xml:space="preserve">., y en su caso se </w:t>
      </w:r>
      <w:r w:rsidRPr="00144BB3">
        <w:rPr>
          <w:rFonts w:ascii="Abadi" w:hAnsi="Abadi" w:cs="Arial"/>
          <w:sz w:val="21"/>
          <w:szCs w:val="21"/>
          <w:lang w:val="es-MX" w:eastAsia="x-none"/>
        </w:rPr>
        <w:lastRenderedPageBreak/>
        <w:t>aplicaron los procedimientos de auditoría correspondientes.</w:t>
      </w:r>
    </w:p>
    <w:p w14:paraId="08903829" w14:textId="77777777" w:rsidR="00853087" w:rsidRPr="00144BB3" w:rsidRDefault="00853087" w:rsidP="00853087">
      <w:pPr>
        <w:ind w:firstLine="705"/>
        <w:jc w:val="both"/>
        <w:rPr>
          <w:rFonts w:ascii="Abadi" w:hAnsi="Abadi" w:cs="Arial"/>
          <w:sz w:val="21"/>
          <w:szCs w:val="21"/>
          <w:lang w:val="es-MX" w:eastAsia="x-none"/>
        </w:rPr>
      </w:pPr>
    </w:p>
    <w:p w14:paraId="1FC73984" w14:textId="77777777" w:rsidR="00853087" w:rsidRPr="00144BB3" w:rsidRDefault="00853087" w:rsidP="00853087">
      <w:pPr>
        <w:ind w:firstLine="705"/>
        <w:jc w:val="both"/>
        <w:rPr>
          <w:rFonts w:ascii="Abadi" w:hAnsi="Abadi" w:cs="Arial"/>
          <w:sz w:val="21"/>
          <w:szCs w:val="21"/>
          <w:lang w:val="es-MX" w:eastAsia="x-none"/>
        </w:rPr>
      </w:pPr>
      <w:r w:rsidRPr="00144BB3">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Apaseo el Alto, </w:t>
      </w:r>
      <w:proofErr w:type="spellStart"/>
      <w:r w:rsidRPr="00144BB3">
        <w:rPr>
          <w:rFonts w:ascii="Abadi" w:hAnsi="Abadi" w:cs="Arial"/>
          <w:sz w:val="21"/>
          <w:szCs w:val="21"/>
          <w:lang w:val="es-MX" w:eastAsia="x-none"/>
        </w:rPr>
        <w:t>Gto</w:t>
      </w:r>
      <w:proofErr w:type="spellEnd"/>
      <w:r w:rsidRPr="00144BB3">
        <w:rPr>
          <w:rFonts w:ascii="Abadi" w:hAnsi="Abadi" w:cs="Arial"/>
          <w:sz w:val="21"/>
          <w:szCs w:val="21"/>
          <w:lang w:val="es-MX" w:eastAsia="x-none"/>
        </w:rPr>
        <w:t xml:space="preserve">., no cumplió con las disposiciones normativas aplicables, como se precisa en el informe de resultados. </w:t>
      </w:r>
    </w:p>
    <w:p w14:paraId="38F62E68" w14:textId="77777777" w:rsidR="00853087" w:rsidRPr="00144BB3" w:rsidRDefault="00853087" w:rsidP="00853087">
      <w:pPr>
        <w:ind w:firstLine="705"/>
        <w:jc w:val="both"/>
        <w:rPr>
          <w:rFonts w:ascii="Abadi" w:hAnsi="Abadi" w:cs="Arial"/>
          <w:sz w:val="21"/>
          <w:szCs w:val="21"/>
          <w:lang w:val="es-MX" w:eastAsia="x-none"/>
        </w:rPr>
      </w:pPr>
    </w:p>
    <w:p w14:paraId="575F2120"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13 observaciones, de las cuales 1 se solventó y 12 no fueron solventadas. </w:t>
      </w:r>
    </w:p>
    <w:p w14:paraId="77869E31" w14:textId="77777777" w:rsidR="00853087" w:rsidRPr="00144BB3" w:rsidRDefault="00853087" w:rsidP="00853087">
      <w:pPr>
        <w:pStyle w:val="Textoindependiente"/>
        <w:ind w:firstLine="705"/>
        <w:rPr>
          <w:rFonts w:ascii="Abadi" w:hAnsi="Abadi"/>
          <w:sz w:val="21"/>
          <w:szCs w:val="21"/>
        </w:rPr>
      </w:pPr>
    </w:p>
    <w:p w14:paraId="026FA847"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01, 02, 03, 04, 05, 06, 08, 09, 10, 11 y 13, existen importes no solventados por la cuantía que ahí se refiere. No obstante, mediante la resolución recaída al recurso de reconsideración promovido en contra del informe de resultados, se disminuyó el importe del impacto económico derivado de las observaciones plasmadas en los numerales 01, 02, 03, 04, 05 y 09, para quedar en los términos de los resolutivos Segundo, Tercero, Cuarto, Quinto, Sexto y Octavo de la resolución. </w:t>
      </w:r>
    </w:p>
    <w:p w14:paraId="1097639E" w14:textId="77777777" w:rsidR="00853087" w:rsidRPr="00853087" w:rsidRDefault="00853087" w:rsidP="00853087">
      <w:pPr>
        <w:pStyle w:val="Textoindependiente"/>
        <w:ind w:firstLine="705"/>
        <w:rPr>
          <w:rFonts w:ascii="Abadi" w:hAnsi="Abadi"/>
          <w:b w:val="0"/>
          <w:bCs w:val="0"/>
          <w:sz w:val="21"/>
          <w:szCs w:val="21"/>
        </w:rPr>
      </w:pPr>
    </w:p>
    <w:p w14:paraId="1AD5643E"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xml:space="preserve">., celebró operaciones; entre los procedimientos expuestos, se verificó que </w:t>
      </w:r>
      <w:r w:rsidRPr="00853087">
        <w:rPr>
          <w:rFonts w:ascii="Abadi" w:hAnsi="Abadi"/>
          <w:b w:val="0"/>
          <w:bCs w:val="0"/>
          <w:sz w:val="21"/>
          <w:szCs w:val="21"/>
        </w:rPr>
        <w:t>estas no se encontraran en el listado de Empresas que Facturan Operaciones Simuladas (EFOS) u operaciones inexistentes con el carácter de «</w:t>
      </w:r>
      <w:r w:rsidRPr="00853087">
        <w:rPr>
          <w:rFonts w:ascii="Abadi" w:hAnsi="Abadi"/>
          <w:b w:val="0"/>
          <w:bCs w:val="0"/>
          <w:i/>
          <w:iCs/>
          <w:sz w:val="21"/>
          <w:szCs w:val="21"/>
        </w:rPr>
        <w:t>Definitivos»</w:t>
      </w:r>
      <w:r w:rsidRPr="00853087">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07735FB7" w14:textId="77777777" w:rsidR="00853087" w:rsidRPr="00144BB3" w:rsidRDefault="00853087" w:rsidP="00853087">
      <w:pPr>
        <w:pStyle w:val="Textoindependiente"/>
        <w:ind w:firstLine="705"/>
        <w:rPr>
          <w:rFonts w:ascii="Abadi" w:hAnsi="Abadi"/>
          <w:sz w:val="21"/>
          <w:szCs w:val="21"/>
        </w:rPr>
      </w:pPr>
    </w:p>
    <w:p w14:paraId="702BA401" w14:textId="77777777" w:rsidR="00853087" w:rsidRPr="00144BB3" w:rsidRDefault="00853087" w:rsidP="00427BD6">
      <w:pPr>
        <w:pStyle w:val="Textoindependiente"/>
        <w:numPr>
          <w:ilvl w:val="0"/>
          <w:numId w:val="9"/>
        </w:numPr>
        <w:tabs>
          <w:tab w:val="clear" w:pos="1065"/>
          <w:tab w:val="num" w:pos="0"/>
        </w:tabs>
        <w:autoSpaceDE/>
        <w:autoSpaceDN/>
        <w:rPr>
          <w:rFonts w:ascii="Abadi" w:hAnsi="Abadi"/>
          <w:b w:val="0"/>
          <w:bCs w:val="0"/>
          <w:sz w:val="21"/>
          <w:szCs w:val="21"/>
        </w:rPr>
      </w:pPr>
      <w:r w:rsidRPr="00853087">
        <w:rPr>
          <w:rFonts w:ascii="Abadi" w:hAnsi="Abadi"/>
          <w:sz w:val="21"/>
          <w:szCs w:val="21"/>
        </w:rPr>
        <w:t>Observaciones y recomendaciones, la respuesta</w:t>
      </w:r>
      <w:r w:rsidRPr="00144BB3">
        <w:rPr>
          <w:rFonts w:ascii="Abadi" w:hAnsi="Abadi"/>
          <w:b w:val="0"/>
          <w:bCs w:val="0"/>
          <w:sz w:val="21"/>
          <w:szCs w:val="21"/>
        </w:rPr>
        <w:t xml:space="preserve"> emitida por el sujeto fiscalizado y la valoración correspondiente. </w:t>
      </w:r>
    </w:p>
    <w:p w14:paraId="553FA0DD" w14:textId="77777777" w:rsidR="00853087" w:rsidRPr="00144BB3" w:rsidRDefault="00853087" w:rsidP="00853087">
      <w:pPr>
        <w:pStyle w:val="Textoindependiente"/>
        <w:ind w:left="1065"/>
        <w:rPr>
          <w:rFonts w:ascii="Abadi" w:hAnsi="Abadi"/>
          <w:b w:val="0"/>
          <w:bCs w:val="0"/>
          <w:sz w:val="21"/>
          <w:szCs w:val="21"/>
        </w:rPr>
      </w:pPr>
    </w:p>
    <w:p w14:paraId="050B2AB6"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En esta parte se desglosa la valoración de las observaciones formuladas por el Órgano Técnico, considerando como solventada la observación establecida en el numeral 12, referido a pago de servicios.</w:t>
      </w:r>
    </w:p>
    <w:p w14:paraId="1872353A" w14:textId="77777777" w:rsidR="00853087" w:rsidRPr="00853087" w:rsidRDefault="00853087" w:rsidP="00853087">
      <w:pPr>
        <w:pStyle w:val="Textoindependiente"/>
        <w:ind w:firstLine="705"/>
        <w:rPr>
          <w:rFonts w:ascii="Abadi" w:hAnsi="Abadi"/>
          <w:b w:val="0"/>
          <w:bCs w:val="0"/>
          <w:sz w:val="21"/>
          <w:szCs w:val="21"/>
        </w:rPr>
      </w:pPr>
    </w:p>
    <w:p w14:paraId="7070B2E1"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No se solventaron las observaciones plasmadas en los numerales 01, referente a cargos del banco no registrados; 02, correspondiente a traspasos de aportaciones federales; 03, relativo a gastos por comprobar; 04, referido a gastos pendientes por comprobar; 05, referente a anticipos de nómina; 06, correspondiente a contrato PRES/D.O.P.M./12/036-2020; 07, relativo a contrato núm. PRES/D.O.P.M./03/003-2021 PROYECTOS (1 de 2); 08, referido a contrato núm. PRES/D.O.P.M./03/003-2021 PROYECTOS. (2 de 2); 09, referente a otros deudores; 10, correspondiente a pagos posteriores a la baja; 11, relativo a pago de sueldo retroactivo; y 13, referido a liquidaciones.</w:t>
      </w:r>
    </w:p>
    <w:p w14:paraId="2E8B6683" w14:textId="77777777" w:rsidR="00853087" w:rsidRPr="00853087" w:rsidRDefault="00853087" w:rsidP="00853087">
      <w:pPr>
        <w:pStyle w:val="Textoindependiente"/>
        <w:ind w:firstLine="705"/>
        <w:rPr>
          <w:rFonts w:ascii="Abadi" w:hAnsi="Abadi"/>
          <w:b w:val="0"/>
          <w:bCs w:val="0"/>
          <w:sz w:val="21"/>
          <w:szCs w:val="21"/>
        </w:rPr>
      </w:pPr>
    </w:p>
    <w:p w14:paraId="34E88456" w14:textId="77777777" w:rsidR="00853087" w:rsidRPr="00853087" w:rsidRDefault="00853087" w:rsidP="00853087">
      <w:pPr>
        <w:pStyle w:val="Textoindependiente"/>
        <w:ind w:firstLine="705"/>
        <w:rPr>
          <w:rFonts w:ascii="Abadi" w:hAnsi="Abadi" w:cs="ArialNarrow"/>
          <w:b w:val="0"/>
          <w:bCs w:val="0"/>
          <w:sz w:val="21"/>
          <w:szCs w:val="21"/>
          <w:lang w:eastAsia="es-MX"/>
        </w:rPr>
      </w:pPr>
      <w:r w:rsidRPr="00853087">
        <w:rPr>
          <w:rFonts w:ascii="Abadi" w:hAnsi="Abadi"/>
          <w:b w:val="0"/>
          <w:bCs w:val="0"/>
          <w:sz w:val="21"/>
          <w:szCs w:val="21"/>
        </w:rPr>
        <w:t xml:space="preserve">En el apartado de Recomendaciones Generales, se establece que </w:t>
      </w:r>
      <w:r w:rsidRPr="00853087">
        <w:rPr>
          <w:rFonts w:ascii="Abadi" w:hAnsi="Abadi" w:cs="ArialNarrow"/>
          <w:b w:val="0"/>
          <w:bCs w:val="0"/>
          <w:sz w:val="21"/>
          <w:szCs w:val="21"/>
          <w:lang w:eastAsia="es-MX"/>
        </w:rPr>
        <w:t>del proceso de fiscalización efectuado no se desprendieron recomendaciones.</w:t>
      </w:r>
    </w:p>
    <w:p w14:paraId="57299B6D" w14:textId="77777777" w:rsidR="00853087" w:rsidRPr="00144BB3" w:rsidRDefault="00853087" w:rsidP="00853087">
      <w:pPr>
        <w:pStyle w:val="Textoindependiente"/>
        <w:ind w:firstLine="705"/>
        <w:rPr>
          <w:rFonts w:ascii="Abadi" w:hAnsi="Abadi"/>
          <w:sz w:val="21"/>
          <w:szCs w:val="21"/>
        </w:rPr>
      </w:pPr>
    </w:p>
    <w:p w14:paraId="723C89AC" w14:textId="77777777" w:rsidR="00853087" w:rsidRPr="00853087" w:rsidRDefault="00853087" w:rsidP="00427BD6">
      <w:pPr>
        <w:pStyle w:val="Textoindependiente"/>
        <w:numPr>
          <w:ilvl w:val="0"/>
          <w:numId w:val="9"/>
        </w:numPr>
        <w:autoSpaceDE/>
        <w:autoSpaceDN/>
        <w:rPr>
          <w:rFonts w:ascii="Abadi" w:hAnsi="Abadi"/>
          <w:sz w:val="21"/>
          <w:szCs w:val="21"/>
        </w:rPr>
      </w:pPr>
      <w:r w:rsidRPr="00853087">
        <w:rPr>
          <w:rFonts w:ascii="Abadi" w:hAnsi="Abadi"/>
          <w:sz w:val="21"/>
          <w:szCs w:val="21"/>
        </w:rPr>
        <w:t xml:space="preserve">Promoción del ejercicio de facultades de comprobación fiscal. </w:t>
      </w:r>
    </w:p>
    <w:p w14:paraId="177A8CF7" w14:textId="77777777" w:rsidR="00853087" w:rsidRPr="00144BB3" w:rsidRDefault="00853087" w:rsidP="00853087">
      <w:pPr>
        <w:pStyle w:val="Textoindependiente"/>
        <w:ind w:firstLine="705"/>
        <w:rPr>
          <w:rFonts w:ascii="Abadi" w:hAnsi="Abadi"/>
          <w:sz w:val="21"/>
          <w:szCs w:val="21"/>
        </w:rPr>
      </w:pPr>
    </w:p>
    <w:p w14:paraId="537E8E69"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w:t>
      </w:r>
      <w:r w:rsidRPr="00853087">
        <w:rPr>
          <w:rFonts w:ascii="Abadi" w:hAnsi="Abadi"/>
          <w:b w:val="0"/>
          <w:bCs w:val="0"/>
          <w:sz w:val="21"/>
          <w:szCs w:val="21"/>
        </w:rPr>
        <w:lastRenderedPageBreak/>
        <w:t>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92A3234" w14:textId="77777777" w:rsidR="00853087" w:rsidRPr="00853087" w:rsidRDefault="00853087" w:rsidP="00853087">
      <w:pPr>
        <w:pStyle w:val="Textoindependiente"/>
        <w:ind w:firstLine="705"/>
        <w:rPr>
          <w:rFonts w:ascii="Abadi" w:hAnsi="Abadi"/>
          <w:b w:val="0"/>
          <w:bCs w:val="0"/>
          <w:sz w:val="21"/>
          <w:szCs w:val="21"/>
        </w:rPr>
      </w:pPr>
    </w:p>
    <w:p w14:paraId="22D4C97D" w14:textId="77777777" w:rsidR="00853087" w:rsidRPr="00853087" w:rsidRDefault="00853087" w:rsidP="00427BD6">
      <w:pPr>
        <w:pStyle w:val="Textoindependiente"/>
        <w:numPr>
          <w:ilvl w:val="0"/>
          <w:numId w:val="9"/>
        </w:numPr>
        <w:autoSpaceDE/>
        <w:autoSpaceDN/>
        <w:rPr>
          <w:rFonts w:ascii="Abadi" w:hAnsi="Abadi"/>
          <w:sz w:val="21"/>
          <w:szCs w:val="21"/>
        </w:rPr>
      </w:pPr>
      <w:r w:rsidRPr="00853087">
        <w:rPr>
          <w:rFonts w:ascii="Abadi" w:hAnsi="Abadi"/>
          <w:sz w:val="21"/>
          <w:szCs w:val="21"/>
        </w:rPr>
        <w:t>Comunicado ante órganos de control y autoridades que administran padrones de proveedores y contratistas.</w:t>
      </w:r>
    </w:p>
    <w:p w14:paraId="584276A8" w14:textId="77777777" w:rsidR="00853087" w:rsidRPr="00853087" w:rsidRDefault="00853087" w:rsidP="00853087">
      <w:pPr>
        <w:pStyle w:val="Textoindependiente"/>
        <w:ind w:firstLine="705"/>
        <w:rPr>
          <w:rFonts w:ascii="Abadi" w:hAnsi="Abadi"/>
          <w:b w:val="0"/>
          <w:bCs w:val="0"/>
          <w:sz w:val="21"/>
          <w:szCs w:val="21"/>
        </w:rPr>
      </w:pPr>
    </w:p>
    <w:p w14:paraId="08CEF85B"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y de la Secretaría de Infraestructura, Conectividad y Movilidad, del Estado, las presuntas irregularidades o incumplimientos de estos en contrataciones públicas detectadas durante la revisión, precisando los contratistas y las observaciones de las que se desprende su intervención.</w:t>
      </w:r>
    </w:p>
    <w:p w14:paraId="071A6F10" w14:textId="77777777" w:rsidR="00853087" w:rsidRPr="00853087" w:rsidRDefault="00853087" w:rsidP="00853087">
      <w:pPr>
        <w:pStyle w:val="Textoindependiente"/>
        <w:ind w:firstLine="705"/>
        <w:rPr>
          <w:rFonts w:ascii="Abadi" w:hAnsi="Abadi"/>
          <w:b w:val="0"/>
          <w:bCs w:val="0"/>
          <w:sz w:val="21"/>
          <w:szCs w:val="21"/>
        </w:rPr>
      </w:pPr>
    </w:p>
    <w:p w14:paraId="1C236E8A" w14:textId="77777777" w:rsidR="00853087" w:rsidRPr="00853087" w:rsidRDefault="00853087" w:rsidP="00427BD6">
      <w:pPr>
        <w:pStyle w:val="Textoindependiente"/>
        <w:numPr>
          <w:ilvl w:val="0"/>
          <w:numId w:val="9"/>
        </w:numPr>
        <w:autoSpaceDE/>
        <w:autoSpaceDN/>
        <w:rPr>
          <w:rFonts w:ascii="Abadi" w:hAnsi="Abadi"/>
          <w:sz w:val="21"/>
          <w:szCs w:val="21"/>
        </w:rPr>
      </w:pPr>
      <w:r w:rsidRPr="00853087">
        <w:rPr>
          <w:rFonts w:ascii="Abadi" w:hAnsi="Abadi"/>
          <w:sz w:val="21"/>
          <w:szCs w:val="21"/>
        </w:rPr>
        <w:t xml:space="preserve">Recurso de Reconsideración. </w:t>
      </w:r>
    </w:p>
    <w:p w14:paraId="165460AE" w14:textId="77777777" w:rsidR="00853087" w:rsidRPr="00853087" w:rsidRDefault="00853087" w:rsidP="00853087">
      <w:pPr>
        <w:pStyle w:val="Textoindependiente"/>
        <w:ind w:left="705"/>
        <w:rPr>
          <w:rFonts w:ascii="Abadi" w:hAnsi="Abadi"/>
          <w:b w:val="0"/>
          <w:bCs w:val="0"/>
          <w:sz w:val="21"/>
          <w:szCs w:val="21"/>
        </w:rPr>
      </w:pPr>
    </w:p>
    <w:p w14:paraId="3E0D9DB2"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El 28 de marzo de 2023, dentro del plazo que prevé la fracción IV del artículo 37 de </w:t>
      </w:r>
      <w:smartTag w:uri="urn:schemas-microsoft-com:office:smarttags" w:element="PersonName">
        <w:smartTagPr>
          <w:attr w:name="ProductID" w:val="la Ley"/>
        </w:smartTagPr>
        <w:r w:rsidRPr="00853087">
          <w:rPr>
            <w:rFonts w:ascii="Abadi" w:hAnsi="Abadi"/>
            <w:b w:val="0"/>
            <w:bCs w:val="0"/>
            <w:sz w:val="21"/>
            <w:szCs w:val="21"/>
          </w:rPr>
          <w:t>la Ley</w:t>
        </w:r>
      </w:smartTag>
      <w:r w:rsidRPr="00853087">
        <w:rPr>
          <w:rFonts w:ascii="Abadi" w:hAnsi="Abadi"/>
          <w:b w:val="0"/>
          <w:bCs w:val="0"/>
          <w:sz w:val="21"/>
          <w:szCs w:val="21"/>
        </w:rPr>
        <w:t xml:space="preserve"> de Fiscalización Superior del Estado de Guanajuato, la presidenta y la ex presidenta municipales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concretamente en contra de las observaciones establecidas en los numerales 01, referente a cargos del banco no registrados; 02, correspondiente a traspasos </w:t>
      </w:r>
      <w:r w:rsidRPr="00853087">
        <w:rPr>
          <w:rFonts w:ascii="Abadi" w:hAnsi="Abadi"/>
          <w:b w:val="0"/>
          <w:bCs w:val="0"/>
          <w:sz w:val="21"/>
          <w:szCs w:val="21"/>
        </w:rPr>
        <w:t xml:space="preserve">de aportaciones federales; 03, relativo a gastos por comprobar; 04, referido a gastos pendientes por comprobar; 05, referente a anticipos de nómina; 06, correspondiente a contrato PRES/D.O.P.M./12/036-2020; 09, relativo a otros deudores; 10, referido a pagos posteriores a la baja; 11, referente a pago de sueldo retroactivo; y 13, correspondiente a liquidaciones, mismas que se encuentran relacionadas con el Capítulo II, denominado Observaciones y Recomendaciones; Respuesta Emitida por el Sujeto Fiscalizado y Valoración Correspondiente. </w:t>
      </w:r>
    </w:p>
    <w:p w14:paraId="2B678F21" w14:textId="77777777" w:rsidR="00853087" w:rsidRPr="00853087" w:rsidRDefault="00853087" w:rsidP="00853087">
      <w:pPr>
        <w:pStyle w:val="Textoindependiente"/>
        <w:ind w:firstLine="705"/>
        <w:rPr>
          <w:rFonts w:ascii="Abadi" w:hAnsi="Abadi"/>
          <w:b w:val="0"/>
          <w:bCs w:val="0"/>
          <w:sz w:val="21"/>
          <w:szCs w:val="21"/>
        </w:rPr>
      </w:pPr>
    </w:p>
    <w:p w14:paraId="3EEABA2F"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 xml:space="preserve">En tal sentido, mediante los acuerdos de fecha 30 de marzo de 2023,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853087">
          <w:rPr>
            <w:rFonts w:ascii="Abadi" w:hAnsi="Abadi"/>
            <w:b w:val="0"/>
            <w:bCs w:val="0"/>
            <w:sz w:val="21"/>
            <w:szCs w:val="21"/>
          </w:rPr>
          <w:t>la Ley</w:t>
        </w:r>
      </w:smartTag>
      <w:r w:rsidRPr="00853087">
        <w:rPr>
          <w:rFonts w:ascii="Abadi" w:hAnsi="Abadi"/>
          <w:b w:val="0"/>
          <w:bCs w:val="0"/>
          <w:sz w:val="21"/>
          <w:szCs w:val="21"/>
        </w:rPr>
        <w:t xml:space="preserve"> de Fiscalización Superior del Estado de Guanajuato, instruyendo la integración de los expedientes respectivos y el registro correspondiente. Asimismo, mediante dichos acuerdos se admitieron algunos medios de prueba ofrecidos por las recurrentes al tratarse de pruebas novedosas y supervenientes, mientras que otros se desecharon al no tener tal carácter. También a través de dichos acuerdos se suspendió el plazo establecido en el artículo 55 de la Ley de Fiscalización Superior del Estado de Guanajuato por un término de hasta veinticinco días hábiles.</w:t>
      </w:r>
    </w:p>
    <w:p w14:paraId="4DF564B5" w14:textId="77777777" w:rsidR="00853087" w:rsidRPr="00853087" w:rsidRDefault="00853087" w:rsidP="00853087">
      <w:pPr>
        <w:pStyle w:val="Textoindependiente"/>
        <w:ind w:firstLine="708"/>
        <w:rPr>
          <w:rFonts w:ascii="Abadi" w:hAnsi="Abadi"/>
          <w:b w:val="0"/>
          <w:bCs w:val="0"/>
          <w:sz w:val="21"/>
          <w:szCs w:val="21"/>
        </w:rPr>
      </w:pPr>
    </w:p>
    <w:p w14:paraId="5A25401B"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A través del acuerdo de fecha 8 de mayo de 2023, el Director General de Asuntos Jurídicos de la Auditoría Superior del Estado ordenó la acumulación de los expedientes integrados con motivo de la interposición de los recursos de reconsideración, al vincularse de manera directa.</w:t>
      </w:r>
    </w:p>
    <w:p w14:paraId="6219292B" w14:textId="77777777" w:rsidR="00853087" w:rsidRPr="00853087" w:rsidRDefault="00853087" w:rsidP="00853087">
      <w:pPr>
        <w:pStyle w:val="Textoindependiente"/>
        <w:ind w:firstLine="708"/>
        <w:rPr>
          <w:rFonts w:ascii="Abadi" w:hAnsi="Abadi"/>
          <w:b w:val="0"/>
          <w:bCs w:val="0"/>
          <w:sz w:val="21"/>
          <w:szCs w:val="21"/>
        </w:rPr>
      </w:pPr>
    </w:p>
    <w:p w14:paraId="7A4D3CE5"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 xml:space="preserve">Una vez tramitados los recursos, el Auditor Superior del Estado, el 10 de mayo de 2023 emitió la resolución correspondiente, determinándose respecto a las observaciones plasmadas en los numerales 01, 03, 04, 05 y 09, que los agravios hechos valer por las recurrentes resultaron inoperantes e infundados o fundados pero inoperantes, por las razones expresadas en el considerando séptimo. No obstante con relación a las pruebas ofrecidas y los análisis realizados por la Auditoría Superior del Estado se aclaró en parte el impacto económico derivado de </w:t>
      </w:r>
      <w:r w:rsidRPr="00853087">
        <w:rPr>
          <w:rFonts w:ascii="Abadi" w:hAnsi="Abadi"/>
          <w:b w:val="0"/>
          <w:bCs w:val="0"/>
          <w:sz w:val="21"/>
          <w:szCs w:val="21"/>
        </w:rPr>
        <w:lastRenderedPageBreak/>
        <w:t>dichas observaciones. En razón de lo cual, aun cuando se confirmó el sentido de la valoración de las observaciones como no solventadas, con acciones correctivas y de impacto económico pendientes de realizar por el sujeto fiscalizado, se disminuyeron los importes observados para quedar en los términos de los resolutivos Segundo, Cuarto, Quinto, Sexto y Octavo.</w:t>
      </w:r>
    </w:p>
    <w:p w14:paraId="00261B13" w14:textId="77777777" w:rsidR="00853087" w:rsidRPr="00144BB3" w:rsidRDefault="00853087" w:rsidP="00853087">
      <w:pPr>
        <w:pStyle w:val="Textoindependiente"/>
        <w:ind w:firstLine="708"/>
        <w:rPr>
          <w:rFonts w:ascii="Abadi" w:hAnsi="Abadi"/>
          <w:sz w:val="21"/>
          <w:szCs w:val="21"/>
        </w:rPr>
      </w:pPr>
    </w:p>
    <w:p w14:paraId="50E9615F"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En cuanto a la observación establecida en el numeral 02, se resolvió que los agravios formulados por las recurrentes resultaron inoperantes e insuficientes, por los</w:t>
      </w:r>
      <w:r w:rsidRPr="00144BB3">
        <w:rPr>
          <w:rFonts w:ascii="Abadi" w:hAnsi="Abadi"/>
          <w:sz w:val="21"/>
          <w:szCs w:val="21"/>
        </w:rPr>
        <w:t xml:space="preserve"> </w:t>
      </w:r>
      <w:r w:rsidRPr="00853087">
        <w:rPr>
          <w:rFonts w:ascii="Abadi" w:hAnsi="Abadi"/>
          <w:b w:val="0"/>
          <w:bCs w:val="0"/>
          <w:sz w:val="21"/>
          <w:szCs w:val="21"/>
        </w:rPr>
        <w:t>argumentos referidos en el considerando séptimo. Sin embargo, con las pruebas ofrecidas se aclaró en parte el impacto económico derivado de dicha observación. En consecuencia, aun cuando se confirmó el sentido de la valoración de la observación como no solventada, con acciones de impacto económico pendientes de realizar por el sujeto fiscalizado, se disminuyó el importe observado para quedar en los términos del resolutivo Tercero.</w:t>
      </w:r>
    </w:p>
    <w:p w14:paraId="24495F91" w14:textId="77777777" w:rsidR="00853087" w:rsidRPr="00144BB3" w:rsidRDefault="00853087" w:rsidP="00853087">
      <w:pPr>
        <w:pStyle w:val="Textoindependiente"/>
        <w:ind w:firstLine="708"/>
        <w:rPr>
          <w:rFonts w:ascii="Abadi" w:hAnsi="Abadi"/>
          <w:sz w:val="21"/>
          <w:szCs w:val="21"/>
        </w:rPr>
      </w:pPr>
    </w:p>
    <w:p w14:paraId="2DE40EAD"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Por lo que hace a las observaciones contenidas en los numerales 06, 11 y 13, se concluyó que lo expuesto por las recurrentes y la documental aportada resultó insuficiente para su solventación, de acuerdo a lo señalado en el considerando séptimo. En virtud de lo cual, se confirmó el sentido de la valoración de las observaciones como no solventadas, con acciones de impacto económico pendientes de realizar por el sujeto fiscalizado.</w:t>
      </w:r>
    </w:p>
    <w:p w14:paraId="2113C3E3" w14:textId="77777777" w:rsidR="00853087" w:rsidRPr="00144BB3" w:rsidRDefault="00853087" w:rsidP="00853087">
      <w:pPr>
        <w:pStyle w:val="Textoindependiente"/>
        <w:ind w:firstLine="708"/>
        <w:rPr>
          <w:rFonts w:ascii="Abadi" w:hAnsi="Abadi"/>
          <w:sz w:val="21"/>
          <w:szCs w:val="21"/>
        </w:rPr>
      </w:pPr>
    </w:p>
    <w:p w14:paraId="0E4EA86B" w14:textId="77777777" w:rsidR="00853087" w:rsidRPr="00853087" w:rsidRDefault="00853087" w:rsidP="00853087">
      <w:pPr>
        <w:pStyle w:val="Textoindependiente"/>
        <w:ind w:firstLine="708"/>
        <w:rPr>
          <w:rFonts w:ascii="Abadi" w:hAnsi="Abadi"/>
          <w:b w:val="0"/>
          <w:bCs w:val="0"/>
          <w:sz w:val="21"/>
          <w:szCs w:val="21"/>
        </w:rPr>
      </w:pPr>
      <w:r w:rsidRPr="00853087">
        <w:rPr>
          <w:rFonts w:ascii="Abadi" w:hAnsi="Abadi"/>
          <w:b w:val="0"/>
          <w:bCs w:val="0"/>
          <w:sz w:val="21"/>
          <w:szCs w:val="21"/>
        </w:rPr>
        <w:t>Finalmente, en el caso de la observación prevista en el numeral 10, se determinó que lo expuesto por las recurrentes y la documental aportada resultó insuficiente para su solventación, conforme a lo establecido en el considerando séptimo. Razón por la cual, se confirmó el sentido de la valoración de la observación como no solventada, con acciones correctivas y de impacto económico pendientes de realizar por el sujeto fiscalizado.</w:t>
      </w:r>
    </w:p>
    <w:p w14:paraId="7A9FD940" w14:textId="77777777" w:rsidR="00853087" w:rsidRPr="00144BB3" w:rsidRDefault="00853087" w:rsidP="00853087">
      <w:pPr>
        <w:pStyle w:val="Textoindependiente"/>
        <w:ind w:firstLine="708"/>
        <w:rPr>
          <w:rFonts w:ascii="Abadi" w:hAnsi="Abadi"/>
          <w:sz w:val="21"/>
          <w:szCs w:val="21"/>
        </w:rPr>
      </w:pPr>
    </w:p>
    <w:p w14:paraId="615E57EC"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 xml:space="preserve">La referida resolución se notificó a la presidenta y a la ex presidenta municipales de Apaseo el Alto, </w:t>
      </w:r>
      <w:proofErr w:type="spellStart"/>
      <w:r w:rsidRPr="00853087">
        <w:rPr>
          <w:rFonts w:ascii="Abadi" w:hAnsi="Abadi"/>
          <w:b w:val="0"/>
          <w:bCs w:val="0"/>
          <w:sz w:val="21"/>
          <w:szCs w:val="21"/>
        </w:rPr>
        <w:t>Gto</w:t>
      </w:r>
      <w:proofErr w:type="spellEnd"/>
      <w:r w:rsidRPr="00853087">
        <w:rPr>
          <w:rFonts w:ascii="Abadi" w:hAnsi="Abadi"/>
          <w:b w:val="0"/>
          <w:bCs w:val="0"/>
          <w:sz w:val="21"/>
          <w:szCs w:val="21"/>
        </w:rPr>
        <w:t>., el 11 de mayo de 2023.</w:t>
      </w:r>
    </w:p>
    <w:p w14:paraId="7B5FD352" w14:textId="77777777" w:rsidR="00853087" w:rsidRPr="00853087" w:rsidRDefault="00853087" w:rsidP="00853087">
      <w:pPr>
        <w:pStyle w:val="Textoindependiente"/>
        <w:ind w:firstLine="705"/>
        <w:rPr>
          <w:rFonts w:ascii="Abadi" w:hAnsi="Abadi"/>
          <w:b w:val="0"/>
          <w:bCs w:val="0"/>
          <w:sz w:val="21"/>
          <w:szCs w:val="21"/>
        </w:rPr>
      </w:pPr>
    </w:p>
    <w:p w14:paraId="263AE1C8" w14:textId="77777777" w:rsidR="00853087" w:rsidRPr="00853087" w:rsidRDefault="00853087" w:rsidP="00427BD6">
      <w:pPr>
        <w:pStyle w:val="Textoindependiente"/>
        <w:numPr>
          <w:ilvl w:val="0"/>
          <w:numId w:val="9"/>
        </w:numPr>
        <w:autoSpaceDE/>
        <w:autoSpaceDN/>
        <w:rPr>
          <w:rFonts w:ascii="Abadi" w:hAnsi="Abadi"/>
          <w:sz w:val="21"/>
          <w:szCs w:val="21"/>
        </w:rPr>
      </w:pPr>
      <w:r w:rsidRPr="00853087">
        <w:rPr>
          <w:rFonts w:ascii="Abadi" w:hAnsi="Abadi"/>
          <w:sz w:val="21"/>
          <w:szCs w:val="21"/>
        </w:rPr>
        <w:t xml:space="preserve">Anexos. </w:t>
      </w:r>
    </w:p>
    <w:p w14:paraId="3BF48C33" w14:textId="77777777" w:rsidR="00853087" w:rsidRPr="00144BB3" w:rsidRDefault="00853087" w:rsidP="00853087">
      <w:pPr>
        <w:pStyle w:val="Textoindependiente"/>
        <w:ind w:firstLine="705"/>
        <w:rPr>
          <w:rFonts w:ascii="Abadi" w:hAnsi="Abadi"/>
          <w:sz w:val="21"/>
          <w:szCs w:val="21"/>
        </w:rPr>
      </w:pPr>
    </w:p>
    <w:p w14:paraId="2FB35280" w14:textId="77777777" w:rsidR="00853087" w:rsidRPr="00853087" w:rsidRDefault="00853087" w:rsidP="00853087">
      <w:pPr>
        <w:pStyle w:val="Textoindependiente"/>
        <w:ind w:firstLine="705"/>
        <w:rPr>
          <w:rFonts w:ascii="Abadi" w:hAnsi="Abadi"/>
          <w:b w:val="0"/>
          <w:bCs w:val="0"/>
          <w:sz w:val="21"/>
          <w:szCs w:val="21"/>
        </w:rPr>
      </w:pPr>
      <w:r w:rsidRPr="00853087">
        <w:rPr>
          <w:rFonts w:ascii="Abadi" w:hAnsi="Abadi"/>
          <w:b w:val="0"/>
          <w:bCs w:val="0"/>
          <w:sz w:val="21"/>
          <w:szCs w:val="21"/>
        </w:rPr>
        <w:t>En esta parte, se adjuntan los anexos técnicos derivados de la revisión practicada.</w:t>
      </w:r>
    </w:p>
    <w:p w14:paraId="0D70C767" w14:textId="77777777" w:rsidR="00853087" w:rsidRPr="00144BB3" w:rsidRDefault="00853087" w:rsidP="00853087">
      <w:pPr>
        <w:pStyle w:val="Textoindependiente"/>
        <w:ind w:firstLine="705"/>
        <w:rPr>
          <w:rFonts w:ascii="Abadi" w:hAnsi="Abadi"/>
          <w:sz w:val="21"/>
          <w:szCs w:val="21"/>
        </w:rPr>
      </w:pPr>
    </w:p>
    <w:p w14:paraId="3A9E7829" w14:textId="77777777" w:rsidR="00853087" w:rsidRPr="00144BB3" w:rsidRDefault="00853087" w:rsidP="00853087">
      <w:pPr>
        <w:ind w:firstLine="708"/>
        <w:jc w:val="both"/>
        <w:rPr>
          <w:rFonts w:ascii="Abadi" w:hAnsi="Abadi" w:cs="Arial"/>
          <w:b/>
          <w:bCs/>
          <w:sz w:val="21"/>
          <w:szCs w:val="21"/>
        </w:rPr>
      </w:pPr>
      <w:r w:rsidRPr="00144BB3">
        <w:rPr>
          <w:rFonts w:ascii="Abadi" w:hAnsi="Abadi" w:cs="Arial"/>
          <w:b/>
          <w:bCs/>
          <w:sz w:val="21"/>
          <w:szCs w:val="21"/>
        </w:rPr>
        <w:t>V. Conclusiones:</w:t>
      </w:r>
    </w:p>
    <w:p w14:paraId="6C748A25" w14:textId="77777777" w:rsidR="00853087" w:rsidRPr="00144BB3" w:rsidRDefault="00853087" w:rsidP="00853087">
      <w:pPr>
        <w:jc w:val="both"/>
        <w:rPr>
          <w:rFonts w:ascii="Abadi" w:hAnsi="Abadi" w:cs="Arial"/>
          <w:sz w:val="21"/>
          <w:szCs w:val="21"/>
        </w:rPr>
      </w:pPr>
    </w:p>
    <w:p w14:paraId="4DE491B2" w14:textId="77777777" w:rsidR="00853087" w:rsidRPr="00144BB3" w:rsidRDefault="00853087" w:rsidP="00853087">
      <w:pPr>
        <w:jc w:val="both"/>
        <w:rPr>
          <w:rFonts w:ascii="Abadi" w:hAnsi="Abadi" w:cs="Arial"/>
          <w:sz w:val="21"/>
          <w:szCs w:val="21"/>
        </w:rPr>
      </w:pPr>
      <w:r w:rsidRPr="00144BB3">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144BB3">
          <w:rPr>
            <w:rFonts w:ascii="Abadi" w:hAnsi="Abadi" w:cs="Arial"/>
            <w:sz w:val="21"/>
            <w:szCs w:val="21"/>
          </w:rPr>
          <w:t>la Ley</w:t>
        </w:r>
      </w:smartTag>
      <w:r w:rsidRPr="00144BB3">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4B63500" w14:textId="77777777" w:rsidR="00853087" w:rsidRPr="00144BB3" w:rsidRDefault="00853087" w:rsidP="00853087">
      <w:pPr>
        <w:jc w:val="both"/>
        <w:rPr>
          <w:rFonts w:ascii="Abadi" w:hAnsi="Abadi" w:cs="Arial"/>
          <w:sz w:val="21"/>
          <w:szCs w:val="21"/>
        </w:rPr>
      </w:pPr>
    </w:p>
    <w:p w14:paraId="6D1C2AF2" w14:textId="77777777" w:rsidR="00853087" w:rsidRPr="00144BB3" w:rsidRDefault="00853087" w:rsidP="00853087">
      <w:pPr>
        <w:jc w:val="both"/>
        <w:rPr>
          <w:rFonts w:ascii="Abadi" w:hAnsi="Abadi" w:cs="Arial"/>
          <w:sz w:val="21"/>
          <w:szCs w:val="21"/>
        </w:rPr>
      </w:pPr>
      <w:r w:rsidRPr="00144BB3">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CA87FF8" w14:textId="77777777" w:rsidR="00853087" w:rsidRPr="00144BB3" w:rsidRDefault="00853087" w:rsidP="00853087">
      <w:pPr>
        <w:jc w:val="both"/>
        <w:rPr>
          <w:rFonts w:ascii="Abadi" w:hAnsi="Abadi" w:cs="Arial"/>
          <w:sz w:val="21"/>
          <w:szCs w:val="21"/>
        </w:rPr>
      </w:pPr>
    </w:p>
    <w:p w14:paraId="17424941"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revisión a la presidenta y a la ex presidenta municipales, así como al ex presidente municipal interino de Apaseo el Alto, </w:t>
      </w:r>
      <w:proofErr w:type="spellStart"/>
      <w:r w:rsidRPr="00144BB3">
        <w:rPr>
          <w:rFonts w:ascii="Abadi" w:hAnsi="Abadi" w:cs="Arial"/>
          <w:sz w:val="21"/>
          <w:szCs w:val="21"/>
        </w:rPr>
        <w:t>Gto</w:t>
      </w:r>
      <w:proofErr w:type="spellEnd"/>
      <w:r w:rsidRPr="00144BB3">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144BB3">
          <w:rPr>
            <w:rFonts w:ascii="Abadi" w:hAnsi="Abadi" w:cs="Arial"/>
            <w:sz w:val="21"/>
            <w:szCs w:val="21"/>
          </w:rPr>
          <w:t>la Ley</w:t>
        </w:r>
      </w:smartTag>
      <w:r w:rsidRPr="00144BB3">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6500F556" w14:textId="77777777" w:rsidR="00853087" w:rsidRPr="00144BB3" w:rsidRDefault="00853087" w:rsidP="00853087">
      <w:pPr>
        <w:ind w:firstLine="708"/>
        <w:jc w:val="both"/>
        <w:rPr>
          <w:rFonts w:ascii="Abadi" w:hAnsi="Abadi" w:cs="Arial"/>
          <w:sz w:val="21"/>
          <w:szCs w:val="21"/>
        </w:rPr>
      </w:pPr>
    </w:p>
    <w:p w14:paraId="70D0E351"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De igual manera, existe en el informe de resultados la constancia de que este se notificó a la presidenta y a la ex presidenta municipales, así como al ex presidente municipal interino de Apaseo el Alto, </w:t>
      </w:r>
      <w:proofErr w:type="spellStart"/>
      <w:r w:rsidRPr="00144BB3">
        <w:rPr>
          <w:rFonts w:ascii="Abadi" w:hAnsi="Abadi" w:cs="Arial"/>
          <w:sz w:val="21"/>
          <w:szCs w:val="21"/>
        </w:rPr>
        <w:t>Gto</w:t>
      </w:r>
      <w:proofErr w:type="spellEnd"/>
      <w:r w:rsidRPr="00144BB3">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144BB3">
          <w:rPr>
            <w:rFonts w:ascii="Abadi" w:hAnsi="Abadi" w:cs="Arial"/>
            <w:sz w:val="21"/>
            <w:szCs w:val="21"/>
          </w:rPr>
          <w:t>la Ley</w:t>
        </w:r>
      </w:smartTag>
      <w:r w:rsidRPr="00144BB3">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w:t>
      </w:r>
      <w:r w:rsidRPr="00144BB3">
        <w:rPr>
          <w:rFonts w:ascii="Abadi" w:hAnsi="Abadi" w:cs="Arial"/>
          <w:sz w:val="21"/>
          <w:szCs w:val="21"/>
        </w:rPr>
        <w:lastRenderedPageBreak/>
        <w:t xml:space="preserve">y que en su oportunidad se notificó a la presidenta y a la ex presidenta municipales de Apaseo el Alto, </w:t>
      </w:r>
      <w:proofErr w:type="spellStart"/>
      <w:r w:rsidRPr="00144BB3">
        <w:rPr>
          <w:rFonts w:ascii="Abadi" w:hAnsi="Abadi" w:cs="Arial"/>
          <w:sz w:val="21"/>
          <w:szCs w:val="21"/>
        </w:rPr>
        <w:t>Gto</w:t>
      </w:r>
      <w:proofErr w:type="spellEnd"/>
      <w:r w:rsidRPr="00144BB3">
        <w:rPr>
          <w:rFonts w:ascii="Abadi" w:hAnsi="Abadi" w:cs="Arial"/>
          <w:sz w:val="21"/>
          <w:szCs w:val="21"/>
        </w:rPr>
        <w:t>. En tal virtud, se considera que fue respetado el derecho de audiencia o defensa por parte del Órgano Técnico.</w:t>
      </w:r>
    </w:p>
    <w:p w14:paraId="18AD9D07" w14:textId="77777777" w:rsidR="00853087" w:rsidRPr="00144BB3" w:rsidRDefault="00853087" w:rsidP="00853087">
      <w:pPr>
        <w:ind w:firstLine="708"/>
        <w:jc w:val="both"/>
        <w:rPr>
          <w:rFonts w:ascii="Abadi" w:hAnsi="Abadi" w:cs="Arial"/>
          <w:sz w:val="21"/>
          <w:szCs w:val="21"/>
        </w:rPr>
      </w:pPr>
    </w:p>
    <w:p w14:paraId="576DE018"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D3AEEA8" w14:textId="77777777" w:rsidR="00853087" w:rsidRPr="00144BB3" w:rsidRDefault="00853087" w:rsidP="00853087">
      <w:pPr>
        <w:ind w:firstLine="708"/>
        <w:jc w:val="both"/>
        <w:rPr>
          <w:rFonts w:ascii="Abadi" w:hAnsi="Abadi" w:cs="Arial"/>
          <w:sz w:val="21"/>
          <w:szCs w:val="21"/>
        </w:rPr>
      </w:pPr>
    </w:p>
    <w:p w14:paraId="48E27920"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34D8F27" w14:textId="77777777" w:rsidR="00853087" w:rsidRPr="00144BB3" w:rsidRDefault="00853087" w:rsidP="00853087">
      <w:pPr>
        <w:jc w:val="both"/>
        <w:rPr>
          <w:rFonts w:ascii="Abadi" w:hAnsi="Abadi" w:cs="Arial"/>
          <w:sz w:val="21"/>
          <w:szCs w:val="21"/>
        </w:rPr>
      </w:pPr>
    </w:p>
    <w:p w14:paraId="696FE94E"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w:t>
      </w:r>
      <w:r w:rsidRPr="00144BB3">
        <w:rPr>
          <w:rFonts w:ascii="Abadi" w:hAnsi="Abadi" w:cs="Arial"/>
          <w:sz w:val="21"/>
          <w:szCs w:val="21"/>
        </w:rPr>
        <w:t>solventadas contenidas en el informe de resultados.</w:t>
      </w:r>
    </w:p>
    <w:p w14:paraId="05564236" w14:textId="77777777" w:rsidR="00853087" w:rsidRPr="00144BB3" w:rsidRDefault="00853087" w:rsidP="00853087">
      <w:pPr>
        <w:ind w:firstLine="708"/>
        <w:jc w:val="both"/>
        <w:rPr>
          <w:rFonts w:ascii="Abadi" w:hAnsi="Abadi" w:cs="Arial"/>
          <w:sz w:val="21"/>
          <w:szCs w:val="21"/>
        </w:rPr>
      </w:pPr>
    </w:p>
    <w:p w14:paraId="5936C22B"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4C3E070" w14:textId="77777777" w:rsidR="00853087" w:rsidRPr="00144BB3" w:rsidRDefault="00853087" w:rsidP="00853087">
      <w:pPr>
        <w:ind w:firstLine="708"/>
        <w:jc w:val="both"/>
        <w:rPr>
          <w:rFonts w:ascii="Abadi" w:hAnsi="Abadi" w:cs="Arial"/>
          <w:sz w:val="21"/>
          <w:szCs w:val="21"/>
        </w:rPr>
      </w:pPr>
    </w:p>
    <w:p w14:paraId="0985E2FC"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 xml:space="preserve">En razón de lo anteriormente señalado, concluimos que el informe de resultados de la revisión practicada a la cuenta pública municipal de Apaseo el Alto, </w:t>
      </w:r>
      <w:proofErr w:type="spellStart"/>
      <w:r w:rsidRPr="00144BB3">
        <w:rPr>
          <w:rFonts w:ascii="Abadi" w:hAnsi="Abadi" w:cs="Arial"/>
          <w:sz w:val="21"/>
          <w:szCs w:val="21"/>
        </w:rPr>
        <w:t>Gto</w:t>
      </w:r>
      <w:proofErr w:type="spellEnd"/>
      <w:r w:rsidRPr="00144BB3">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144BB3">
          <w:rPr>
            <w:rFonts w:ascii="Abadi" w:hAnsi="Abadi" w:cs="Arial"/>
            <w:sz w:val="21"/>
            <w:szCs w:val="21"/>
          </w:rPr>
          <w:t>la Ley</w:t>
        </w:r>
      </w:smartTag>
      <w:r w:rsidRPr="00144BB3">
        <w:rPr>
          <w:rFonts w:ascii="Abadi" w:hAnsi="Abadi" w:cs="Arial"/>
          <w:sz w:val="21"/>
          <w:szCs w:val="21"/>
        </w:rPr>
        <w:t xml:space="preserve"> de Fiscalización Superior del Estado de Guanajuato, razón por la cual no podría ser observado por el Pleno del Congreso.</w:t>
      </w:r>
    </w:p>
    <w:p w14:paraId="70619D29" w14:textId="77777777" w:rsidR="00853087" w:rsidRPr="00144BB3" w:rsidRDefault="00853087" w:rsidP="00853087">
      <w:pPr>
        <w:pStyle w:val="Sangra3detindependiente"/>
        <w:spacing w:line="240" w:lineRule="auto"/>
        <w:rPr>
          <w:rFonts w:ascii="Abadi" w:hAnsi="Abadi"/>
          <w:sz w:val="21"/>
          <w:szCs w:val="21"/>
        </w:rPr>
      </w:pPr>
    </w:p>
    <w:p w14:paraId="6BD70FE6" w14:textId="77777777" w:rsidR="00853087" w:rsidRPr="00144BB3" w:rsidRDefault="00853087" w:rsidP="00853087">
      <w:pPr>
        <w:pStyle w:val="Sangra3detindependiente"/>
        <w:spacing w:line="240" w:lineRule="auto"/>
        <w:rPr>
          <w:rFonts w:ascii="Abadi" w:hAnsi="Abadi"/>
          <w:sz w:val="21"/>
          <w:szCs w:val="21"/>
        </w:rPr>
      </w:pPr>
      <w:r w:rsidRPr="00144BB3">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144BB3">
          <w:rPr>
            <w:rFonts w:ascii="Abadi" w:hAnsi="Abadi"/>
            <w:sz w:val="21"/>
            <w:szCs w:val="21"/>
          </w:rPr>
          <w:t>la Ley Orgánica</w:t>
        </w:r>
      </w:smartTag>
      <w:r w:rsidRPr="00144BB3">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144BB3">
          <w:rPr>
            <w:rFonts w:ascii="Abadi" w:hAnsi="Abadi"/>
            <w:sz w:val="21"/>
            <w:szCs w:val="21"/>
          </w:rPr>
          <w:t>la Asamblea</w:t>
        </w:r>
      </w:smartTag>
      <w:r w:rsidRPr="00144BB3">
        <w:rPr>
          <w:rFonts w:ascii="Abadi" w:hAnsi="Abadi"/>
          <w:sz w:val="21"/>
          <w:szCs w:val="21"/>
        </w:rPr>
        <w:t>, la aprobación del siguiente:</w:t>
      </w:r>
    </w:p>
    <w:p w14:paraId="3489DAE0" w14:textId="77777777" w:rsidR="00853087" w:rsidRPr="00144BB3" w:rsidRDefault="00853087" w:rsidP="00853087">
      <w:pPr>
        <w:pStyle w:val="Ttulo1"/>
        <w:jc w:val="center"/>
        <w:rPr>
          <w:rFonts w:ascii="Abadi" w:hAnsi="Abadi" w:cs="Arial"/>
          <w:smallCaps/>
          <w:sz w:val="21"/>
          <w:szCs w:val="21"/>
        </w:rPr>
      </w:pPr>
    </w:p>
    <w:p w14:paraId="279E81A4" w14:textId="77777777" w:rsidR="00853087" w:rsidRPr="00144BB3" w:rsidRDefault="00853087" w:rsidP="00853087">
      <w:pPr>
        <w:pStyle w:val="Ttulo1"/>
        <w:jc w:val="center"/>
        <w:rPr>
          <w:rFonts w:ascii="Abadi" w:hAnsi="Abadi" w:cs="Arial"/>
          <w:smallCaps/>
          <w:sz w:val="21"/>
          <w:szCs w:val="21"/>
        </w:rPr>
      </w:pPr>
      <w:r w:rsidRPr="00144BB3">
        <w:rPr>
          <w:rFonts w:ascii="Abadi" w:hAnsi="Abadi" w:cs="Arial"/>
          <w:smallCaps/>
          <w:sz w:val="21"/>
          <w:szCs w:val="21"/>
        </w:rPr>
        <w:t>A c u e r d o</w:t>
      </w:r>
    </w:p>
    <w:p w14:paraId="06E0483F" w14:textId="77777777" w:rsidR="00853087" w:rsidRPr="00144BB3" w:rsidRDefault="00853087" w:rsidP="00853087">
      <w:pPr>
        <w:rPr>
          <w:rFonts w:ascii="Abadi" w:hAnsi="Abadi"/>
          <w:sz w:val="21"/>
          <w:szCs w:val="21"/>
        </w:rPr>
      </w:pPr>
    </w:p>
    <w:p w14:paraId="6540604B" w14:textId="77777777" w:rsidR="00853087" w:rsidRPr="00144BB3" w:rsidRDefault="00853087" w:rsidP="00853087">
      <w:pPr>
        <w:ind w:firstLine="708"/>
        <w:jc w:val="both"/>
        <w:rPr>
          <w:rFonts w:ascii="Abadi" w:hAnsi="Abadi" w:cs="Arial"/>
          <w:sz w:val="21"/>
          <w:szCs w:val="21"/>
        </w:rPr>
      </w:pPr>
      <w:r w:rsidRPr="00144BB3">
        <w:rPr>
          <w:rFonts w:ascii="Abadi" w:hAnsi="Abadi" w:cs="Arial"/>
          <w:b/>
          <w:bCs/>
          <w:sz w:val="21"/>
          <w:szCs w:val="21"/>
        </w:rPr>
        <w:t xml:space="preserve">Único. </w:t>
      </w:r>
      <w:r w:rsidRPr="00144BB3">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144BB3">
          <w:rPr>
            <w:rFonts w:ascii="Abadi" w:hAnsi="Abadi" w:cs="Arial"/>
            <w:sz w:val="21"/>
            <w:szCs w:val="21"/>
          </w:rPr>
          <w:t>la Constitución Política</w:t>
        </w:r>
      </w:smartTag>
      <w:r w:rsidRPr="00144BB3">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Apaseo el Alto, </w:t>
      </w:r>
      <w:proofErr w:type="spellStart"/>
      <w:r w:rsidRPr="00144BB3">
        <w:rPr>
          <w:rFonts w:ascii="Abadi" w:hAnsi="Abadi" w:cs="Arial"/>
          <w:sz w:val="21"/>
          <w:szCs w:val="21"/>
        </w:rPr>
        <w:t>Gto</w:t>
      </w:r>
      <w:proofErr w:type="spellEnd"/>
      <w:r w:rsidRPr="00144BB3">
        <w:rPr>
          <w:rFonts w:ascii="Abadi" w:hAnsi="Abadi" w:cs="Arial"/>
          <w:sz w:val="21"/>
          <w:szCs w:val="21"/>
        </w:rPr>
        <w:t>., correspondiente al ejercicio fiscal del año 2021, con base en el informe de resultados formulado por la Auditoría Superior del Estado de Guanajuato.</w:t>
      </w:r>
    </w:p>
    <w:p w14:paraId="71BAFB0E" w14:textId="77777777" w:rsidR="00853087" w:rsidRPr="00144BB3" w:rsidRDefault="00853087" w:rsidP="00853087">
      <w:pPr>
        <w:ind w:firstLine="708"/>
        <w:jc w:val="both"/>
        <w:rPr>
          <w:rFonts w:ascii="Abadi" w:hAnsi="Abadi" w:cs="Arial"/>
          <w:sz w:val="21"/>
          <w:szCs w:val="21"/>
        </w:rPr>
      </w:pPr>
    </w:p>
    <w:p w14:paraId="2D3E31D0" w14:textId="77777777" w:rsidR="00853087" w:rsidRPr="00144BB3" w:rsidRDefault="00853087" w:rsidP="00853087">
      <w:pPr>
        <w:pStyle w:val="Sangra3detindependiente"/>
        <w:spacing w:line="240" w:lineRule="auto"/>
        <w:rPr>
          <w:rFonts w:ascii="Abadi" w:hAnsi="Abadi"/>
          <w:sz w:val="21"/>
          <w:szCs w:val="21"/>
          <w:lang w:val="es-MX"/>
        </w:rPr>
      </w:pPr>
      <w:r w:rsidRPr="00144BB3">
        <w:rPr>
          <w:rFonts w:ascii="Abadi" w:hAnsi="Abadi"/>
          <w:sz w:val="21"/>
          <w:szCs w:val="21"/>
        </w:rPr>
        <w:t xml:space="preserve">Se ordena dar vista del informe de resultados a la Auditoría Superior del Estado de Guanajuato, a fin de que inicie las acciones de responsabilidad conducentes por la </w:t>
      </w:r>
      <w:r w:rsidRPr="00144BB3">
        <w:rPr>
          <w:rFonts w:ascii="Abadi" w:hAnsi="Abadi"/>
          <w:sz w:val="21"/>
          <w:szCs w:val="21"/>
        </w:rPr>
        <w:lastRenderedPageBreak/>
        <w:t>existencia de presuntas faltas administrativas, en términos de lo previsto en la Ley General de Responsabilidades Administrativas y en la Ley de Responsabilidades Administrativas para el Estado de Guanajuato</w:t>
      </w:r>
      <w:r w:rsidRPr="00144BB3">
        <w:rPr>
          <w:rFonts w:ascii="Abadi" w:hAnsi="Abadi"/>
          <w:sz w:val="21"/>
          <w:szCs w:val="21"/>
          <w:lang w:val="es-MX"/>
        </w:rPr>
        <w:t>.</w:t>
      </w:r>
      <w:r w:rsidRPr="00144BB3">
        <w:rPr>
          <w:rFonts w:ascii="Abadi" w:hAnsi="Abadi"/>
          <w:sz w:val="21"/>
          <w:szCs w:val="21"/>
        </w:rPr>
        <w:t xml:space="preserve"> </w:t>
      </w:r>
      <w:r w:rsidRPr="00144BB3">
        <w:rPr>
          <w:rFonts w:ascii="Abadi" w:hAnsi="Abadi"/>
          <w:sz w:val="21"/>
          <w:szCs w:val="21"/>
          <w:lang w:val="es-MX"/>
        </w:rPr>
        <w:t>Asimismo, dará</w:t>
      </w:r>
      <w:r w:rsidRPr="00144BB3">
        <w:rPr>
          <w:rFonts w:ascii="Abadi" w:hAnsi="Abadi"/>
          <w:sz w:val="21"/>
          <w:szCs w:val="21"/>
        </w:rPr>
        <w:t xml:space="preserve"> seguimiento a la</w:t>
      </w:r>
      <w:r w:rsidRPr="00144BB3">
        <w:rPr>
          <w:rFonts w:ascii="Abadi" w:hAnsi="Abadi"/>
          <w:sz w:val="21"/>
          <w:szCs w:val="21"/>
          <w:lang w:val="es-MX"/>
        </w:rPr>
        <w:t>s</w:t>
      </w:r>
      <w:r w:rsidRPr="00144BB3">
        <w:rPr>
          <w:rFonts w:ascii="Abadi" w:hAnsi="Abadi"/>
          <w:sz w:val="21"/>
          <w:szCs w:val="21"/>
        </w:rPr>
        <w:t xml:space="preserve"> </w:t>
      </w:r>
      <w:proofErr w:type="spellStart"/>
      <w:r w:rsidRPr="00144BB3">
        <w:rPr>
          <w:rFonts w:ascii="Abadi" w:hAnsi="Abadi"/>
          <w:sz w:val="21"/>
          <w:szCs w:val="21"/>
        </w:rPr>
        <w:t>observaci</w:t>
      </w:r>
      <w:r w:rsidRPr="00144BB3">
        <w:rPr>
          <w:rFonts w:ascii="Abadi" w:hAnsi="Abadi"/>
          <w:sz w:val="21"/>
          <w:szCs w:val="21"/>
          <w:lang w:val="es-MX"/>
        </w:rPr>
        <w:t>ones</w:t>
      </w:r>
      <w:proofErr w:type="spellEnd"/>
      <w:r w:rsidRPr="00144BB3">
        <w:rPr>
          <w:rFonts w:ascii="Abadi" w:hAnsi="Abadi"/>
          <w:sz w:val="21"/>
          <w:szCs w:val="21"/>
        </w:rPr>
        <w:t xml:space="preserve"> no solventada</w:t>
      </w:r>
      <w:r w:rsidRPr="00144BB3">
        <w:rPr>
          <w:rFonts w:ascii="Abadi" w:hAnsi="Abadi"/>
          <w:sz w:val="21"/>
          <w:szCs w:val="21"/>
          <w:lang w:val="es-MX"/>
        </w:rPr>
        <w:t>s</w:t>
      </w:r>
      <w:r w:rsidRPr="00144BB3">
        <w:rPr>
          <w:rFonts w:ascii="Abadi" w:hAnsi="Abadi"/>
          <w:sz w:val="21"/>
          <w:szCs w:val="21"/>
        </w:rPr>
        <w:t xml:space="preserve"> contenidas en el informe de resultados</w:t>
      </w:r>
      <w:r w:rsidRPr="00144BB3">
        <w:rPr>
          <w:rFonts w:ascii="Abadi" w:hAnsi="Abadi"/>
          <w:sz w:val="21"/>
          <w:szCs w:val="21"/>
          <w:lang w:val="es-MX"/>
        </w:rPr>
        <w:t>.</w:t>
      </w:r>
    </w:p>
    <w:p w14:paraId="4609B76D" w14:textId="77777777" w:rsidR="00853087" w:rsidRPr="00144BB3" w:rsidRDefault="00853087" w:rsidP="00853087">
      <w:pPr>
        <w:pStyle w:val="Sangra3detindependiente"/>
        <w:spacing w:line="240" w:lineRule="auto"/>
        <w:rPr>
          <w:rFonts w:ascii="Abadi" w:hAnsi="Abadi"/>
          <w:sz w:val="21"/>
          <w:szCs w:val="21"/>
          <w:lang w:val="es-MX"/>
        </w:rPr>
      </w:pPr>
    </w:p>
    <w:p w14:paraId="7DCEB9A5" w14:textId="77777777" w:rsidR="00853087" w:rsidRPr="00144BB3" w:rsidRDefault="00853087" w:rsidP="00853087">
      <w:pPr>
        <w:pStyle w:val="Sangra3detindependiente"/>
        <w:spacing w:line="240" w:lineRule="auto"/>
        <w:rPr>
          <w:rFonts w:ascii="Abadi" w:hAnsi="Abadi"/>
          <w:sz w:val="21"/>
          <w:szCs w:val="21"/>
        </w:rPr>
      </w:pPr>
      <w:r w:rsidRPr="00144BB3">
        <w:rPr>
          <w:rFonts w:ascii="Abadi" w:hAnsi="Abadi"/>
          <w:sz w:val="21"/>
          <w:szCs w:val="21"/>
        </w:rPr>
        <w:t>Del proceso de fiscalización no se desprendieron recomendaciones.</w:t>
      </w:r>
    </w:p>
    <w:p w14:paraId="7EB4E21A" w14:textId="77777777" w:rsidR="00853087" w:rsidRPr="00144BB3" w:rsidRDefault="00853087" w:rsidP="00853087">
      <w:pPr>
        <w:ind w:firstLine="708"/>
        <w:jc w:val="both"/>
        <w:rPr>
          <w:rFonts w:ascii="Abadi" w:hAnsi="Abadi" w:cs="Arial"/>
          <w:sz w:val="21"/>
          <w:szCs w:val="21"/>
        </w:rPr>
      </w:pPr>
    </w:p>
    <w:p w14:paraId="7C5306B0" w14:textId="77777777" w:rsidR="00853087" w:rsidRPr="00144BB3" w:rsidRDefault="00853087" w:rsidP="00853087">
      <w:pPr>
        <w:ind w:firstLine="708"/>
        <w:jc w:val="both"/>
        <w:rPr>
          <w:rFonts w:ascii="Abadi" w:hAnsi="Abadi" w:cs="Arial"/>
          <w:sz w:val="21"/>
          <w:szCs w:val="21"/>
        </w:rPr>
      </w:pPr>
      <w:r w:rsidRPr="00144BB3">
        <w:rPr>
          <w:rFonts w:ascii="Abadi" w:hAnsi="Abadi" w:cs="Arial"/>
          <w:sz w:val="21"/>
          <w:szCs w:val="21"/>
        </w:rPr>
        <w:t>Remítase el presente acuerdo al titular del Poder Ejecutivo del Estado para su publicación en el Periódico Oficial del Gobierno del Estado.</w:t>
      </w:r>
    </w:p>
    <w:p w14:paraId="183488E6" w14:textId="77777777" w:rsidR="00853087" w:rsidRPr="00144BB3" w:rsidRDefault="00853087" w:rsidP="00853087">
      <w:pPr>
        <w:ind w:firstLine="708"/>
        <w:jc w:val="both"/>
        <w:rPr>
          <w:rFonts w:ascii="Abadi" w:hAnsi="Abadi" w:cs="Arial"/>
          <w:sz w:val="21"/>
          <w:szCs w:val="21"/>
        </w:rPr>
      </w:pPr>
    </w:p>
    <w:p w14:paraId="327495E1" w14:textId="77777777" w:rsidR="00853087" w:rsidRPr="00144BB3" w:rsidRDefault="00853087" w:rsidP="00853087">
      <w:pPr>
        <w:pStyle w:val="Sangra3detindependiente"/>
        <w:spacing w:line="240" w:lineRule="auto"/>
        <w:rPr>
          <w:rFonts w:ascii="Abadi" w:hAnsi="Abadi"/>
          <w:sz w:val="21"/>
          <w:szCs w:val="21"/>
        </w:rPr>
      </w:pPr>
      <w:r w:rsidRPr="00144BB3">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3DA6A6AA" w14:textId="77777777" w:rsidR="00853087" w:rsidRPr="00144BB3" w:rsidRDefault="00853087" w:rsidP="00853087">
      <w:pPr>
        <w:jc w:val="center"/>
        <w:rPr>
          <w:rFonts w:ascii="Abadi" w:hAnsi="Abadi" w:cs="Arial"/>
          <w:b/>
          <w:bCs/>
          <w:sz w:val="21"/>
          <w:szCs w:val="21"/>
          <w:lang w:eastAsia="x-none"/>
        </w:rPr>
      </w:pPr>
    </w:p>
    <w:p w14:paraId="3D549E00" w14:textId="77777777" w:rsidR="00853087" w:rsidRPr="00144BB3" w:rsidRDefault="00853087" w:rsidP="00853087">
      <w:pPr>
        <w:jc w:val="center"/>
        <w:rPr>
          <w:rFonts w:ascii="Abadi" w:hAnsi="Abadi" w:cs="Arial"/>
          <w:b/>
          <w:bCs/>
          <w:sz w:val="21"/>
          <w:szCs w:val="21"/>
          <w:lang w:eastAsia="x-none"/>
        </w:rPr>
      </w:pPr>
      <w:r w:rsidRPr="00144BB3">
        <w:rPr>
          <w:rFonts w:ascii="Abadi" w:hAnsi="Abadi" w:cs="Arial"/>
          <w:b/>
          <w:bCs/>
          <w:sz w:val="21"/>
          <w:szCs w:val="21"/>
          <w:lang w:eastAsia="x-none"/>
        </w:rPr>
        <w:t xml:space="preserve">Guanajuato, </w:t>
      </w:r>
      <w:proofErr w:type="spellStart"/>
      <w:r w:rsidRPr="00144BB3">
        <w:rPr>
          <w:rFonts w:ascii="Abadi" w:hAnsi="Abadi" w:cs="Arial"/>
          <w:b/>
          <w:bCs/>
          <w:sz w:val="21"/>
          <w:szCs w:val="21"/>
          <w:lang w:eastAsia="x-none"/>
        </w:rPr>
        <w:t>Gto</w:t>
      </w:r>
      <w:proofErr w:type="spellEnd"/>
      <w:r w:rsidRPr="00144BB3">
        <w:rPr>
          <w:rFonts w:ascii="Abadi" w:hAnsi="Abadi" w:cs="Arial"/>
          <w:b/>
          <w:bCs/>
          <w:sz w:val="21"/>
          <w:szCs w:val="21"/>
          <w:lang w:eastAsia="x-none"/>
        </w:rPr>
        <w:t>., 19 de junio de 2023</w:t>
      </w:r>
    </w:p>
    <w:p w14:paraId="723E4275" w14:textId="77777777" w:rsidR="00853087" w:rsidRPr="00144BB3" w:rsidRDefault="00853087" w:rsidP="00853087">
      <w:pPr>
        <w:jc w:val="center"/>
        <w:rPr>
          <w:rFonts w:ascii="Abadi" w:hAnsi="Abadi" w:cs="Arial"/>
          <w:b/>
          <w:bCs/>
          <w:sz w:val="21"/>
          <w:szCs w:val="21"/>
          <w:lang w:eastAsia="x-none"/>
        </w:rPr>
      </w:pPr>
      <w:smartTag w:uri="urn:schemas-microsoft-com:office:smarttags" w:element="PersonName">
        <w:smartTagPr>
          <w:attr w:name="ProductID" w:val="La Comisi￳n"/>
        </w:smartTagPr>
        <w:r w:rsidRPr="00144BB3">
          <w:rPr>
            <w:rFonts w:ascii="Abadi" w:hAnsi="Abadi" w:cs="Arial"/>
            <w:b/>
            <w:bCs/>
            <w:sz w:val="21"/>
            <w:szCs w:val="21"/>
            <w:lang w:eastAsia="x-none"/>
          </w:rPr>
          <w:t>La Comisión</w:t>
        </w:r>
      </w:smartTag>
      <w:r w:rsidRPr="00144BB3">
        <w:rPr>
          <w:rFonts w:ascii="Abadi" w:hAnsi="Abadi" w:cs="Arial"/>
          <w:b/>
          <w:bCs/>
          <w:sz w:val="21"/>
          <w:szCs w:val="21"/>
          <w:lang w:eastAsia="x-none"/>
        </w:rPr>
        <w:t xml:space="preserve"> de Hacienda y Fiscalización</w:t>
      </w:r>
    </w:p>
    <w:p w14:paraId="59888840" w14:textId="77777777" w:rsidR="00853087" w:rsidRPr="00144BB3" w:rsidRDefault="00853087" w:rsidP="00853087">
      <w:pPr>
        <w:jc w:val="center"/>
        <w:rPr>
          <w:rFonts w:ascii="Abadi" w:hAnsi="Abadi" w:cs="Arial"/>
          <w:sz w:val="21"/>
          <w:szCs w:val="21"/>
        </w:rPr>
      </w:pPr>
    </w:p>
    <w:p w14:paraId="65DFE1EE" w14:textId="77777777" w:rsidR="00853087" w:rsidRPr="00144BB3" w:rsidRDefault="00853087" w:rsidP="00853087">
      <w:pPr>
        <w:jc w:val="center"/>
        <w:rPr>
          <w:rFonts w:ascii="Abadi" w:hAnsi="Abadi" w:cs="Arial"/>
          <w:sz w:val="21"/>
          <w:szCs w:val="21"/>
        </w:rPr>
      </w:pPr>
    </w:p>
    <w:p w14:paraId="58EB49C4" w14:textId="77777777" w:rsidR="00853087" w:rsidRPr="00144BB3" w:rsidRDefault="00853087" w:rsidP="00853087">
      <w:pPr>
        <w:rPr>
          <w:rFonts w:ascii="Abadi" w:hAnsi="Abadi" w:cs="Arial"/>
          <w:sz w:val="21"/>
          <w:szCs w:val="21"/>
        </w:rPr>
      </w:pPr>
      <w:r w:rsidRPr="00144BB3">
        <w:rPr>
          <w:rFonts w:ascii="Abadi" w:hAnsi="Abadi" w:cs="Arial"/>
          <w:b/>
          <w:sz w:val="21"/>
          <w:szCs w:val="21"/>
          <w:lang w:eastAsia="x-none"/>
        </w:rPr>
        <w:t>Diputado Víctor Manuel Zanella Huerta</w:t>
      </w:r>
    </w:p>
    <w:p w14:paraId="54C9AA42" w14:textId="77777777" w:rsidR="00853087" w:rsidRPr="00144BB3" w:rsidRDefault="00853087" w:rsidP="00853087">
      <w:pPr>
        <w:rPr>
          <w:rFonts w:ascii="Abadi" w:hAnsi="Abadi" w:cs="Arial"/>
          <w:b/>
          <w:sz w:val="21"/>
          <w:szCs w:val="21"/>
          <w:lang w:eastAsia="x-none"/>
        </w:rPr>
      </w:pPr>
      <w:r w:rsidRPr="00144BB3">
        <w:rPr>
          <w:rFonts w:ascii="Abadi" w:hAnsi="Abadi" w:cs="Arial"/>
          <w:b/>
          <w:sz w:val="21"/>
          <w:szCs w:val="21"/>
          <w:lang w:eastAsia="x-none"/>
        </w:rPr>
        <w:t xml:space="preserve">Diputada Ruth Noemí Tiscareño Agoitia      </w:t>
      </w:r>
    </w:p>
    <w:p w14:paraId="1D04CA39" w14:textId="6BEAC68D" w:rsidR="00853087" w:rsidRPr="00144BB3" w:rsidRDefault="00853087" w:rsidP="00853087">
      <w:pPr>
        <w:rPr>
          <w:rFonts w:ascii="Abadi" w:hAnsi="Abadi" w:cs="Arial"/>
          <w:b/>
          <w:sz w:val="21"/>
          <w:szCs w:val="21"/>
          <w:lang w:eastAsia="x-none"/>
        </w:rPr>
      </w:pPr>
      <w:r w:rsidRPr="00144BB3">
        <w:rPr>
          <w:rFonts w:ascii="Abadi" w:hAnsi="Abadi" w:cs="Arial"/>
          <w:b/>
          <w:sz w:val="21"/>
          <w:szCs w:val="21"/>
          <w:lang w:eastAsia="x-none"/>
        </w:rPr>
        <w:t xml:space="preserve">Diputado Miguel Ángel Salim </w:t>
      </w:r>
      <w:proofErr w:type="spellStart"/>
      <w:r w:rsidRPr="00144BB3">
        <w:rPr>
          <w:rFonts w:ascii="Abadi" w:hAnsi="Abadi" w:cs="Arial"/>
          <w:b/>
          <w:sz w:val="21"/>
          <w:szCs w:val="21"/>
          <w:lang w:eastAsia="x-none"/>
        </w:rPr>
        <w:t>Alle</w:t>
      </w:r>
      <w:proofErr w:type="spellEnd"/>
    </w:p>
    <w:p w14:paraId="08D73100" w14:textId="77777777" w:rsidR="00853087" w:rsidRPr="00144BB3" w:rsidRDefault="00853087" w:rsidP="00853087">
      <w:pPr>
        <w:rPr>
          <w:rFonts w:ascii="Abadi" w:hAnsi="Abadi" w:cs="Arial"/>
          <w:b/>
          <w:sz w:val="21"/>
          <w:szCs w:val="21"/>
          <w:lang w:eastAsia="x-none"/>
        </w:rPr>
      </w:pPr>
      <w:r w:rsidRPr="00144BB3">
        <w:rPr>
          <w:rFonts w:ascii="Abadi" w:hAnsi="Abadi" w:cs="Arial"/>
          <w:b/>
          <w:sz w:val="21"/>
          <w:szCs w:val="21"/>
          <w:lang w:eastAsia="x-none"/>
        </w:rPr>
        <w:t xml:space="preserve">Diputado José Alfonso Borja Pimentel    </w:t>
      </w:r>
    </w:p>
    <w:p w14:paraId="576E3EB4" w14:textId="77777777" w:rsidR="00853087" w:rsidRPr="00144BB3" w:rsidRDefault="00853087" w:rsidP="00853087">
      <w:pPr>
        <w:rPr>
          <w:rFonts w:ascii="Abadi" w:hAnsi="Abadi" w:cs="Arial"/>
          <w:b/>
          <w:sz w:val="21"/>
          <w:szCs w:val="21"/>
          <w:lang w:eastAsia="x-none"/>
        </w:rPr>
      </w:pPr>
      <w:r w:rsidRPr="00144BB3">
        <w:rPr>
          <w:rFonts w:ascii="Abadi" w:hAnsi="Abadi" w:cs="Arial"/>
          <w:b/>
          <w:sz w:val="21"/>
          <w:szCs w:val="21"/>
          <w:lang w:eastAsia="x-none"/>
        </w:rPr>
        <w:t>Diputada Alma Edwviges Alcaraz Hernández</w:t>
      </w:r>
    </w:p>
    <w:p w14:paraId="509D5386" w14:textId="77777777" w:rsidR="00603294" w:rsidRPr="00603294" w:rsidRDefault="00603294" w:rsidP="00603294">
      <w:pPr>
        <w:autoSpaceDE w:val="0"/>
        <w:autoSpaceDN w:val="0"/>
        <w:adjustRightInd w:val="0"/>
        <w:contextualSpacing/>
        <w:jc w:val="both"/>
        <w:rPr>
          <w:rFonts w:ascii="Abadi" w:hAnsi="Abadi" w:cs="Arial-ItalicMT"/>
          <w:b/>
          <w:bCs/>
          <w:i/>
          <w:iCs/>
          <w:sz w:val="21"/>
          <w:szCs w:val="21"/>
        </w:rPr>
      </w:pPr>
    </w:p>
    <w:p w14:paraId="35AE5658" w14:textId="06781A9B" w:rsidR="00374533" w:rsidRPr="00006796" w:rsidRDefault="00374533" w:rsidP="00374533">
      <w:pPr>
        <w:autoSpaceDE w:val="0"/>
        <w:autoSpaceDN w:val="0"/>
        <w:adjustRightInd w:val="0"/>
        <w:jc w:val="both"/>
        <w:rPr>
          <w:rFonts w:ascii="Abadi" w:hAnsi="Abadi" w:cs="Arial-ItalicMT"/>
          <w:b/>
          <w:bCs/>
          <w:i/>
          <w:iCs/>
          <w:sz w:val="21"/>
          <w:szCs w:val="21"/>
        </w:rPr>
      </w:pPr>
    </w:p>
    <w:p w14:paraId="7C3330E0" w14:textId="491E2BBA" w:rsidR="00374533" w:rsidRPr="00006796"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SIGNADO POR LA COMISIÓN DE HACIENDA Y FISCALIZACIÓN RELATIVO AL INFORME DE RESULTADOS DE LA REVISIÓN PRACTICADA POR LA AUDITORÍA SUPERIOR DEL ESTADO DE GUANAJUATO, A LA CUENTA PÚBLICA MUNICIPAL DE YURIRIA, GTO., CORRESPONDIENTE AL EJERCICIO FISCAL DEL AÑO 2021. </w:t>
      </w:r>
      <w:r w:rsidRPr="00006796">
        <w:rPr>
          <w:rFonts w:ascii="Abadi" w:hAnsi="Abadi" w:cs="Arial-ItalicMT"/>
          <w:b/>
          <w:bCs/>
          <w:i/>
          <w:iCs/>
          <w:sz w:val="21"/>
          <w:szCs w:val="21"/>
        </w:rPr>
        <w:t>(ELD 320/LXV-IRASEG)</w:t>
      </w:r>
      <w:r w:rsidR="00A96C2F">
        <w:rPr>
          <w:rStyle w:val="Refdenotaalpie"/>
          <w:rFonts w:ascii="Abadi" w:hAnsi="Abadi" w:cs="Arial-ItalicMT"/>
          <w:b/>
          <w:bCs/>
          <w:i/>
          <w:iCs/>
          <w:sz w:val="21"/>
          <w:szCs w:val="21"/>
        </w:rPr>
        <w:footnoteReference w:id="236"/>
      </w:r>
    </w:p>
    <w:p w14:paraId="52E70972" w14:textId="77777777" w:rsidR="00374533" w:rsidRPr="00006796" w:rsidRDefault="00374533" w:rsidP="00374533">
      <w:pPr>
        <w:autoSpaceDE w:val="0"/>
        <w:autoSpaceDN w:val="0"/>
        <w:adjustRightInd w:val="0"/>
        <w:jc w:val="both"/>
        <w:rPr>
          <w:rFonts w:ascii="Abadi" w:hAnsi="Abadi" w:cs="Arial-ItalicMT"/>
          <w:b/>
          <w:bCs/>
          <w:i/>
          <w:iCs/>
          <w:sz w:val="21"/>
          <w:szCs w:val="21"/>
        </w:rPr>
      </w:pPr>
    </w:p>
    <w:p w14:paraId="04622EDD" w14:textId="77777777" w:rsidR="00374533" w:rsidRDefault="00374533" w:rsidP="00374533">
      <w:pPr>
        <w:autoSpaceDE w:val="0"/>
        <w:autoSpaceDN w:val="0"/>
        <w:adjustRightInd w:val="0"/>
        <w:jc w:val="both"/>
        <w:rPr>
          <w:rFonts w:ascii="Abadi" w:hAnsi="Abadi" w:cs="Arial-ItalicMT"/>
          <w:b/>
          <w:bCs/>
          <w:i/>
          <w:iCs/>
          <w:sz w:val="21"/>
          <w:szCs w:val="21"/>
        </w:rPr>
      </w:pPr>
    </w:p>
    <w:p w14:paraId="236D2DED" w14:textId="77777777" w:rsidR="007044EB" w:rsidRPr="00EF2D34" w:rsidRDefault="007044EB" w:rsidP="007044EB">
      <w:pPr>
        <w:pStyle w:val="Textoindependiente3"/>
        <w:rPr>
          <w:rFonts w:ascii="Abadi" w:hAnsi="Abadi" w:cs="Arial"/>
          <w:smallCaps/>
          <w:sz w:val="21"/>
          <w:szCs w:val="21"/>
        </w:rPr>
      </w:pPr>
      <w:r w:rsidRPr="00EF2D34">
        <w:rPr>
          <w:rFonts w:ascii="Abadi" w:hAnsi="Abadi" w:cs="Arial"/>
          <w:smallCaps/>
          <w:sz w:val="21"/>
          <w:szCs w:val="21"/>
        </w:rPr>
        <w:t>C. Presidenta del Congreso del Estado</w:t>
      </w:r>
    </w:p>
    <w:p w14:paraId="2E879DC3" w14:textId="77777777" w:rsidR="007044EB" w:rsidRPr="00EF2D34" w:rsidRDefault="007044EB" w:rsidP="007044EB">
      <w:pPr>
        <w:jc w:val="both"/>
        <w:rPr>
          <w:rFonts w:ascii="Abadi" w:hAnsi="Abadi" w:cs="Arial"/>
          <w:b/>
          <w:bCs/>
          <w:smallCaps/>
          <w:sz w:val="21"/>
          <w:szCs w:val="21"/>
        </w:rPr>
      </w:pPr>
      <w:r w:rsidRPr="00EF2D34">
        <w:rPr>
          <w:rFonts w:ascii="Abadi" w:hAnsi="Abadi" w:cs="Arial"/>
          <w:b/>
          <w:bCs/>
          <w:smallCaps/>
          <w:sz w:val="21"/>
          <w:szCs w:val="21"/>
        </w:rPr>
        <w:t>P r e s e n t e.</w:t>
      </w:r>
    </w:p>
    <w:p w14:paraId="23BC1251" w14:textId="77777777" w:rsidR="007044EB" w:rsidRPr="00EF2D34" w:rsidRDefault="007044EB" w:rsidP="007044EB">
      <w:pPr>
        <w:pStyle w:val="Textoindependiente"/>
        <w:rPr>
          <w:rFonts w:ascii="Abadi" w:hAnsi="Abadi"/>
          <w:sz w:val="21"/>
          <w:szCs w:val="21"/>
        </w:rPr>
      </w:pPr>
    </w:p>
    <w:p w14:paraId="0117640D" w14:textId="77777777" w:rsidR="007044EB" w:rsidRPr="00EF2D34" w:rsidRDefault="007044EB" w:rsidP="007044EB">
      <w:pPr>
        <w:pStyle w:val="Sangra3detindependiente"/>
        <w:spacing w:line="240" w:lineRule="auto"/>
        <w:rPr>
          <w:rFonts w:ascii="Abadi" w:hAnsi="Abadi"/>
          <w:sz w:val="21"/>
          <w:szCs w:val="21"/>
        </w:rPr>
      </w:pPr>
      <w:r w:rsidRPr="00EF2D34">
        <w:rPr>
          <w:rFonts w:ascii="Abadi" w:hAnsi="Abadi"/>
          <w:sz w:val="21"/>
          <w:szCs w:val="21"/>
        </w:rPr>
        <w:t xml:space="preserve">A </w:t>
      </w:r>
      <w:r w:rsidRPr="00EF2D34">
        <w:rPr>
          <w:rFonts w:ascii="Abadi" w:hAnsi="Abadi"/>
          <w:sz w:val="21"/>
          <w:szCs w:val="21"/>
          <w:lang w:val="es-MX"/>
        </w:rPr>
        <w:t>esta</w:t>
      </w:r>
      <w:r w:rsidRPr="00EF2D34">
        <w:rPr>
          <w:rFonts w:ascii="Abadi" w:hAnsi="Abadi"/>
          <w:sz w:val="21"/>
          <w:szCs w:val="21"/>
        </w:rPr>
        <w:t xml:space="preserve"> Comisión de Hacienda y Fiscalización</w:t>
      </w:r>
      <w:r w:rsidRPr="00EF2D34">
        <w:rPr>
          <w:rFonts w:ascii="Abadi" w:hAnsi="Abadi"/>
          <w:sz w:val="21"/>
          <w:szCs w:val="21"/>
          <w:lang w:val="es-MX"/>
        </w:rPr>
        <w:t xml:space="preserve">, </w:t>
      </w:r>
      <w:r w:rsidRPr="00EF2D34">
        <w:rPr>
          <w:rFonts w:ascii="Abadi" w:hAnsi="Abadi"/>
          <w:sz w:val="21"/>
          <w:szCs w:val="21"/>
        </w:rPr>
        <w:t xml:space="preserve">le fue turnado para su estudio y dictamen, el informe de resultados de la revisión practicada por </w:t>
      </w:r>
      <w:r w:rsidRPr="00EF2D34">
        <w:rPr>
          <w:rFonts w:ascii="Abadi" w:hAnsi="Abadi"/>
          <w:sz w:val="21"/>
          <w:szCs w:val="21"/>
          <w:lang w:val="es-MX"/>
        </w:rPr>
        <w:t xml:space="preserve">la </w:t>
      </w:r>
      <w:r w:rsidRPr="00EF2D34">
        <w:rPr>
          <w:rFonts w:ascii="Abadi" w:hAnsi="Abadi"/>
          <w:sz w:val="21"/>
          <w:szCs w:val="21"/>
        </w:rPr>
        <w:t xml:space="preserve">Auditoría Superior del Estado de Guanajuato, a la cuenta pública municipal de </w:t>
      </w:r>
      <w:r w:rsidRPr="00EF2D34">
        <w:rPr>
          <w:rFonts w:ascii="Abadi" w:hAnsi="Abadi"/>
          <w:sz w:val="21"/>
          <w:szCs w:val="21"/>
          <w:lang w:val="es-MX"/>
        </w:rPr>
        <w:t>Yuriria</w:t>
      </w:r>
      <w:r w:rsidRPr="00EF2D34">
        <w:rPr>
          <w:rFonts w:ascii="Abadi" w:hAnsi="Abadi"/>
          <w:sz w:val="21"/>
          <w:szCs w:val="21"/>
        </w:rPr>
        <w:t xml:space="preserve">, </w:t>
      </w:r>
      <w:proofErr w:type="spellStart"/>
      <w:r w:rsidRPr="00EF2D34">
        <w:rPr>
          <w:rFonts w:ascii="Abadi" w:hAnsi="Abadi"/>
          <w:sz w:val="21"/>
          <w:szCs w:val="21"/>
        </w:rPr>
        <w:t>Gto</w:t>
      </w:r>
      <w:proofErr w:type="spellEnd"/>
      <w:r w:rsidRPr="00EF2D34">
        <w:rPr>
          <w:rFonts w:ascii="Abadi" w:hAnsi="Abadi"/>
          <w:sz w:val="21"/>
          <w:szCs w:val="21"/>
        </w:rPr>
        <w:t>., correspondiente al ejercicio fiscal del año 2021. (ELD 320/LXV-IRASEG)</w:t>
      </w:r>
    </w:p>
    <w:p w14:paraId="79660A28" w14:textId="77777777" w:rsidR="007044EB" w:rsidRPr="00EF2D34" w:rsidRDefault="007044EB" w:rsidP="007044EB">
      <w:pPr>
        <w:pStyle w:val="Sangra3detindependiente"/>
        <w:spacing w:line="240" w:lineRule="auto"/>
        <w:rPr>
          <w:rFonts w:ascii="Abadi" w:hAnsi="Abadi"/>
          <w:sz w:val="21"/>
          <w:szCs w:val="21"/>
        </w:rPr>
      </w:pPr>
    </w:p>
    <w:p w14:paraId="5AA08CA7" w14:textId="77777777" w:rsidR="007044EB" w:rsidRPr="00EF2D34" w:rsidRDefault="007044EB" w:rsidP="007044EB">
      <w:pPr>
        <w:pStyle w:val="Sangra3detindependiente"/>
        <w:spacing w:line="240" w:lineRule="auto"/>
        <w:rPr>
          <w:rFonts w:ascii="Abadi" w:hAnsi="Abadi"/>
          <w:sz w:val="21"/>
          <w:szCs w:val="21"/>
        </w:rPr>
      </w:pPr>
      <w:r w:rsidRPr="00EF2D34">
        <w:rPr>
          <w:rFonts w:ascii="Abadi" w:hAnsi="Abadi"/>
          <w:sz w:val="21"/>
          <w:szCs w:val="21"/>
        </w:rPr>
        <w:t>Una vez analizado el referido informe de resultados, con fundamento en lo dispuesto por los artículos 112, fracción XII</w:t>
      </w:r>
      <w:r w:rsidRPr="00EF2D34">
        <w:rPr>
          <w:rFonts w:ascii="Abadi" w:hAnsi="Abadi"/>
          <w:sz w:val="21"/>
          <w:szCs w:val="21"/>
          <w:lang w:val="es-MX"/>
        </w:rPr>
        <w:t>, primer párrafo</w:t>
      </w:r>
      <w:r w:rsidRPr="00EF2D34">
        <w:rPr>
          <w:rFonts w:ascii="Abadi" w:hAnsi="Abadi"/>
          <w:sz w:val="21"/>
          <w:szCs w:val="21"/>
        </w:rPr>
        <w:t xml:space="preserve"> y 171 de </w:t>
      </w:r>
      <w:smartTag w:uri="urn:schemas-microsoft-com:office:smarttags" w:element="PersonName">
        <w:smartTagPr>
          <w:attr w:name="ProductID" w:val="la Ley Org￡nica"/>
        </w:smartTagPr>
        <w:r w:rsidRPr="00EF2D34">
          <w:rPr>
            <w:rFonts w:ascii="Abadi" w:hAnsi="Abadi"/>
            <w:sz w:val="21"/>
            <w:szCs w:val="21"/>
          </w:rPr>
          <w:t>la Ley Orgánica</w:t>
        </w:r>
      </w:smartTag>
      <w:r w:rsidRPr="00EF2D34">
        <w:rPr>
          <w:rFonts w:ascii="Abadi" w:hAnsi="Abadi"/>
          <w:sz w:val="21"/>
          <w:szCs w:val="21"/>
        </w:rPr>
        <w:t xml:space="preserve"> del Poder Legislativo, nos permitimos rendir el siguiente:</w:t>
      </w:r>
    </w:p>
    <w:p w14:paraId="55CF142E" w14:textId="77777777" w:rsidR="00DA165F" w:rsidRDefault="00DA165F" w:rsidP="007044EB">
      <w:pPr>
        <w:pStyle w:val="Ttulo1"/>
        <w:jc w:val="center"/>
        <w:rPr>
          <w:rFonts w:ascii="Abadi" w:hAnsi="Abadi" w:cs="Arial"/>
          <w:sz w:val="21"/>
          <w:szCs w:val="21"/>
        </w:rPr>
      </w:pPr>
    </w:p>
    <w:p w14:paraId="3CE83DBE" w14:textId="21730D39" w:rsidR="007044EB" w:rsidRPr="00EF2D34" w:rsidRDefault="007044EB" w:rsidP="007044EB">
      <w:pPr>
        <w:pStyle w:val="Ttulo1"/>
        <w:jc w:val="center"/>
        <w:rPr>
          <w:rFonts w:ascii="Abadi" w:hAnsi="Abadi" w:cs="Arial"/>
          <w:sz w:val="21"/>
          <w:szCs w:val="21"/>
        </w:rPr>
      </w:pPr>
      <w:r w:rsidRPr="00EF2D34">
        <w:rPr>
          <w:rFonts w:ascii="Abadi" w:hAnsi="Abadi" w:cs="Arial"/>
          <w:sz w:val="21"/>
          <w:szCs w:val="21"/>
        </w:rPr>
        <w:t>D i c t a m e n</w:t>
      </w:r>
    </w:p>
    <w:p w14:paraId="0D556777" w14:textId="77777777" w:rsidR="00DA165F" w:rsidRDefault="00DA165F" w:rsidP="007044EB">
      <w:pPr>
        <w:pStyle w:val="Textoindependiente"/>
        <w:ind w:firstLine="708"/>
        <w:rPr>
          <w:rFonts w:ascii="Abadi" w:hAnsi="Abadi"/>
          <w:b w:val="0"/>
          <w:bCs w:val="0"/>
          <w:sz w:val="21"/>
          <w:szCs w:val="21"/>
        </w:rPr>
      </w:pPr>
    </w:p>
    <w:p w14:paraId="349565FC" w14:textId="044605B3" w:rsidR="007044EB" w:rsidRPr="00DA165F" w:rsidRDefault="007044EB" w:rsidP="007044EB">
      <w:pPr>
        <w:pStyle w:val="Textoindependiente"/>
        <w:ind w:firstLine="708"/>
        <w:rPr>
          <w:rFonts w:ascii="Abadi" w:hAnsi="Abadi"/>
          <w:sz w:val="21"/>
          <w:szCs w:val="21"/>
        </w:rPr>
      </w:pPr>
      <w:r w:rsidRPr="00DA165F">
        <w:rPr>
          <w:rFonts w:ascii="Abadi" w:hAnsi="Abadi"/>
          <w:sz w:val="21"/>
          <w:szCs w:val="21"/>
        </w:rPr>
        <w:t>I. Competencia:</w:t>
      </w:r>
    </w:p>
    <w:p w14:paraId="627644B8" w14:textId="77777777" w:rsidR="007044EB" w:rsidRPr="00EF2D34" w:rsidRDefault="007044EB" w:rsidP="007044EB">
      <w:pPr>
        <w:pStyle w:val="Textoindependiente"/>
        <w:ind w:firstLine="708"/>
        <w:rPr>
          <w:rFonts w:ascii="Abadi" w:hAnsi="Abadi"/>
          <w:b w:val="0"/>
          <w:bCs w:val="0"/>
          <w:sz w:val="21"/>
          <w:szCs w:val="21"/>
        </w:rPr>
      </w:pPr>
    </w:p>
    <w:p w14:paraId="6E372E51"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EF2D34">
          <w:rPr>
            <w:rFonts w:ascii="Abadi" w:hAnsi="Abadi" w:cs="Arial"/>
            <w:sz w:val="21"/>
            <w:szCs w:val="21"/>
            <w:lang w:val="es-MX" w:eastAsia="x-none"/>
          </w:rPr>
          <w:t>la Constitución Política</w:t>
        </w:r>
      </w:smartTag>
      <w:r w:rsidRPr="00EF2D34">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55F8D3B5" w14:textId="77777777" w:rsidR="007044EB" w:rsidRPr="00EF2D34" w:rsidRDefault="007044EB" w:rsidP="007044EB">
      <w:pPr>
        <w:ind w:firstLine="708"/>
        <w:jc w:val="both"/>
        <w:rPr>
          <w:rFonts w:ascii="Abadi" w:hAnsi="Abadi" w:cs="Arial"/>
          <w:sz w:val="21"/>
          <w:szCs w:val="21"/>
          <w:lang w:val="es-MX" w:eastAsia="x-none"/>
        </w:rPr>
      </w:pPr>
    </w:p>
    <w:p w14:paraId="45DEB160"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la presentación de los informes financieros </w:t>
      </w:r>
      <w:r w:rsidRPr="00EF2D34">
        <w:rPr>
          <w:rFonts w:ascii="Abadi" w:hAnsi="Abadi" w:cs="Arial"/>
          <w:sz w:val="21"/>
          <w:szCs w:val="21"/>
          <w:lang w:val="es-MX" w:eastAsia="x-none"/>
        </w:rPr>
        <w:lastRenderedPageBreak/>
        <w:t>trimestrales y la cuenta pública informarán al Congreso de la ejecución de su presupuesto, asimismo sobre la situación económica y las finanzas públicas del ejercicio.</w:t>
      </w:r>
    </w:p>
    <w:p w14:paraId="0B479BED" w14:textId="77777777" w:rsidR="007044EB" w:rsidRPr="00EF2D34" w:rsidRDefault="007044EB" w:rsidP="007044EB">
      <w:pPr>
        <w:ind w:firstLine="708"/>
        <w:jc w:val="both"/>
        <w:rPr>
          <w:rFonts w:ascii="Abadi" w:hAnsi="Abadi" w:cs="Arial"/>
          <w:sz w:val="21"/>
          <w:szCs w:val="21"/>
          <w:lang w:val="es-MX" w:eastAsia="x-none"/>
        </w:rPr>
      </w:pPr>
    </w:p>
    <w:p w14:paraId="553583BA" w14:textId="77777777" w:rsidR="007044EB" w:rsidRPr="00EF2D34" w:rsidRDefault="007044EB" w:rsidP="007044EB">
      <w:pPr>
        <w:ind w:firstLine="708"/>
        <w:jc w:val="both"/>
        <w:rPr>
          <w:rFonts w:ascii="Abadi" w:hAnsi="Abadi" w:cs="Arial"/>
          <w:sz w:val="21"/>
          <w:szCs w:val="21"/>
          <w:lang w:val="es-MX" w:eastAsia="x-none"/>
        </w:rPr>
      </w:pPr>
    </w:p>
    <w:p w14:paraId="010B4BFE"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EF2D34">
          <w:rPr>
            <w:rFonts w:ascii="Abadi" w:hAnsi="Abadi" w:cs="Arial"/>
            <w:sz w:val="21"/>
            <w:szCs w:val="21"/>
            <w:lang w:val="es-MX" w:eastAsia="x-none"/>
          </w:rPr>
          <w:t>la Constitución Política</w:t>
        </w:r>
      </w:smartTag>
      <w:r w:rsidRPr="00EF2D34">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96F0573" w14:textId="77777777" w:rsidR="007044EB" w:rsidRPr="00EF2D34" w:rsidRDefault="007044EB" w:rsidP="007044EB">
      <w:pPr>
        <w:ind w:firstLine="708"/>
        <w:jc w:val="both"/>
        <w:rPr>
          <w:rFonts w:ascii="Abadi" w:hAnsi="Abadi" w:cs="Arial"/>
          <w:sz w:val="21"/>
          <w:szCs w:val="21"/>
          <w:lang w:val="es-MX" w:eastAsia="x-none"/>
        </w:rPr>
      </w:pPr>
    </w:p>
    <w:p w14:paraId="2330CCC5"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222C6531" w14:textId="77777777" w:rsidR="007044EB" w:rsidRPr="00EF2D34" w:rsidRDefault="007044EB" w:rsidP="007044EB">
      <w:pPr>
        <w:ind w:firstLine="708"/>
        <w:jc w:val="both"/>
        <w:rPr>
          <w:rFonts w:ascii="Abadi" w:hAnsi="Abadi" w:cs="Arial"/>
          <w:sz w:val="21"/>
          <w:szCs w:val="21"/>
          <w:lang w:val="es-MX" w:eastAsia="x-none"/>
        </w:rPr>
      </w:pPr>
    </w:p>
    <w:p w14:paraId="1C32CCCD" w14:textId="77777777" w:rsidR="007044EB" w:rsidRPr="00DA165F" w:rsidRDefault="007044EB" w:rsidP="007044EB">
      <w:pPr>
        <w:pStyle w:val="Textoindependiente"/>
        <w:ind w:firstLine="708"/>
        <w:rPr>
          <w:rFonts w:ascii="Abadi" w:hAnsi="Abadi"/>
          <w:b w:val="0"/>
          <w:bCs w:val="0"/>
          <w:sz w:val="21"/>
          <w:szCs w:val="21"/>
        </w:rPr>
      </w:pPr>
      <w:r w:rsidRPr="00DA165F">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DA165F">
          <w:rPr>
            <w:rFonts w:ascii="Abadi" w:hAnsi="Abadi"/>
            <w:b w:val="0"/>
            <w:bCs w:val="0"/>
            <w:sz w:val="21"/>
            <w:szCs w:val="21"/>
          </w:rPr>
          <w:t>la Ley</w:t>
        </w:r>
      </w:smartTag>
      <w:r w:rsidRPr="00DA165F">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63E794F2" w14:textId="77777777" w:rsidR="007044EB" w:rsidRPr="00DA165F" w:rsidRDefault="007044EB" w:rsidP="007044EB">
      <w:pPr>
        <w:pStyle w:val="Textoindependiente"/>
        <w:ind w:firstLine="708"/>
        <w:rPr>
          <w:rFonts w:ascii="Abadi" w:hAnsi="Abadi"/>
          <w:b w:val="0"/>
          <w:bCs w:val="0"/>
          <w:sz w:val="21"/>
          <w:szCs w:val="21"/>
        </w:rPr>
      </w:pPr>
    </w:p>
    <w:p w14:paraId="464A0083" w14:textId="77777777" w:rsidR="007044EB" w:rsidRPr="001E30FD" w:rsidRDefault="007044EB" w:rsidP="007044EB">
      <w:pPr>
        <w:pStyle w:val="Textoindependiente"/>
        <w:ind w:firstLine="708"/>
        <w:rPr>
          <w:rFonts w:ascii="Abadi" w:hAnsi="Abadi"/>
          <w:b w:val="0"/>
          <w:bCs w:val="0"/>
          <w:sz w:val="21"/>
          <w:szCs w:val="21"/>
        </w:rPr>
      </w:pPr>
      <w:r w:rsidRPr="00DA165F">
        <w:rPr>
          <w:rFonts w:ascii="Abadi" w:hAnsi="Abadi"/>
          <w:b w:val="0"/>
          <w:bCs w:val="0"/>
          <w:sz w:val="21"/>
          <w:szCs w:val="21"/>
        </w:rPr>
        <w:t>En razón de lo cual, la Ley de</w:t>
      </w:r>
      <w:r w:rsidRPr="00EF2D34">
        <w:rPr>
          <w:rFonts w:ascii="Abadi" w:hAnsi="Abadi"/>
          <w:sz w:val="21"/>
          <w:szCs w:val="21"/>
        </w:rPr>
        <w:t xml:space="preserve"> </w:t>
      </w:r>
      <w:r w:rsidRPr="001E30FD">
        <w:rPr>
          <w:rFonts w:ascii="Abadi" w:hAnsi="Abadi"/>
          <w:b w:val="0"/>
          <w:bCs w:val="0"/>
          <w:sz w:val="21"/>
          <w:szCs w:val="21"/>
        </w:rPr>
        <w:t>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00275A9" w14:textId="77777777" w:rsidR="007044EB" w:rsidRPr="001E30FD" w:rsidRDefault="007044EB" w:rsidP="007044EB">
      <w:pPr>
        <w:pStyle w:val="Textoindependiente"/>
        <w:ind w:firstLine="708"/>
        <w:rPr>
          <w:rFonts w:ascii="Abadi" w:hAnsi="Abadi"/>
          <w:b w:val="0"/>
          <w:bCs w:val="0"/>
          <w:sz w:val="21"/>
          <w:szCs w:val="21"/>
        </w:rPr>
      </w:pPr>
    </w:p>
    <w:p w14:paraId="1968A698" w14:textId="77777777" w:rsidR="007044EB" w:rsidRPr="001E30FD" w:rsidRDefault="007044EB" w:rsidP="007044EB">
      <w:pPr>
        <w:pStyle w:val="Textoindependiente"/>
        <w:ind w:firstLine="708"/>
        <w:rPr>
          <w:rFonts w:ascii="Abadi" w:hAnsi="Abadi"/>
          <w:b w:val="0"/>
          <w:bCs w:val="0"/>
          <w:sz w:val="21"/>
          <w:szCs w:val="21"/>
        </w:rPr>
      </w:pPr>
      <w:r w:rsidRPr="001E30FD">
        <w:rPr>
          <w:rFonts w:ascii="Abadi" w:hAnsi="Abadi"/>
          <w:b w:val="0"/>
          <w:bCs w:val="0"/>
          <w:sz w:val="21"/>
          <w:szCs w:val="21"/>
        </w:rPr>
        <w:t xml:space="preserve">Con la finalidad de que el Congreso dé cumplimiento a lo señalado en el párrafo </w:t>
      </w:r>
      <w:r w:rsidRPr="001E30FD">
        <w:rPr>
          <w:rFonts w:ascii="Abadi" w:hAnsi="Abadi"/>
          <w:b w:val="0"/>
          <w:bCs w:val="0"/>
          <w:sz w:val="21"/>
          <w:szCs w:val="21"/>
        </w:rPr>
        <w:t xml:space="preserve">anterior, </w:t>
      </w:r>
      <w:smartTag w:uri="urn:schemas-microsoft-com:office:smarttags" w:element="PersonName">
        <w:smartTagPr>
          <w:attr w:name="ProductID" w:val="la Ley Org￡nica"/>
        </w:smartTagPr>
        <w:r w:rsidRPr="001E30FD">
          <w:rPr>
            <w:rFonts w:ascii="Abadi" w:hAnsi="Abadi"/>
            <w:b w:val="0"/>
            <w:bCs w:val="0"/>
            <w:sz w:val="21"/>
            <w:szCs w:val="21"/>
          </w:rPr>
          <w:t>la Ley Orgánica</w:t>
        </w:r>
      </w:smartTag>
      <w:r w:rsidRPr="001E30FD">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ECBD2A9" w14:textId="77777777" w:rsidR="007044EB" w:rsidRPr="001E30FD" w:rsidRDefault="007044EB" w:rsidP="007044EB">
      <w:pPr>
        <w:pStyle w:val="Textoindependiente"/>
        <w:ind w:firstLine="708"/>
        <w:rPr>
          <w:rFonts w:ascii="Abadi" w:hAnsi="Abadi"/>
          <w:b w:val="0"/>
          <w:bCs w:val="0"/>
          <w:sz w:val="21"/>
          <w:szCs w:val="21"/>
        </w:rPr>
      </w:pPr>
    </w:p>
    <w:p w14:paraId="4C5D7523" w14:textId="77777777" w:rsidR="007044EB" w:rsidRPr="001E30FD" w:rsidRDefault="007044EB" w:rsidP="007044EB">
      <w:pPr>
        <w:pStyle w:val="Textoindependiente"/>
        <w:ind w:firstLine="708"/>
        <w:rPr>
          <w:rFonts w:ascii="Abadi" w:hAnsi="Abadi"/>
          <w:b w:val="0"/>
          <w:bCs w:val="0"/>
          <w:sz w:val="21"/>
          <w:szCs w:val="21"/>
        </w:rPr>
      </w:pPr>
      <w:r w:rsidRPr="001E30FD">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38638E17" w14:textId="77777777" w:rsidR="007044EB" w:rsidRDefault="007044EB" w:rsidP="007044EB">
      <w:pPr>
        <w:ind w:firstLine="708"/>
        <w:jc w:val="both"/>
        <w:rPr>
          <w:rFonts w:ascii="Abadi" w:hAnsi="Abadi" w:cs="Arial"/>
          <w:b/>
          <w:bCs/>
          <w:sz w:val="21"/>
          <w:szCs w:val="21"/>
          <w:lang w:val="es-MX" w:eastAsia="x-none"/>
        </w:rPr>
      </w:pPr>
    </w:p>
    <w:p w14:paraId="5E4EE20B" w14:textId="77777777" w:rsidR="007044EB" w:rsidRPr="00EF2D34" w:rsidRDefault="007044EB" w:rsidP="007044EB">
      <w:pPr>
        <w:ind w:firstLine="708"/>
        <w:jc w:val="both"/>
        <w:rPr>
          <w:rFonts w:ascii="Abadi" w:hAnsi="Abadi" w:cs="Arial"/>
          <w:b/>
          <w:bCs/>
          <w:sz w:val="21"/>
          <w:szCs w:val="21"/>
          <w:lang w:val="es-MX" w:eastAsia="x-none"/>
        </w:rPr>
      </w:pPr>
      <w:r w:rsidRPr="00EF2D34">
        <w:rPr>
          <w:rFonts w:ascii="Abadi" w:hAnsi="Abadi" w:cs="Arial"/>
          <w:b/>
          <w:bCs/>
          <w:sz w:val="21"/>
          <w:szCs w:val="21"/>
          <w:lang w:val="es-MX" w:eastAsia="x-none"/>
        </w:rPr>
        <w:t>II. Antecedentes:</w:t>
      </w:r>
    </w:p>
    <w:p w14:paraId="1342AA19" w14:textId="77777777" w:rsidR="007044EB" w:rsidRPr="00EF2D34" w:rsidRDefault="007044EB" w:rsidP="007044EB">
      <w:pPr>
        <w:ind w:firstLine="708"/>
        <w:jc w:val="both"/>
        <w:rPr>
          <w:rFonts w:ascii="Abadi" w:hAnsi="Abadi" w:cs="Arial"/>
          <w:sz w:val="21"/>
          <w:szCs w:val="21"/>
          <w:lang w:val="es-MX" w:eastAsia="x-none"/>
        </w:rPr>
      </w:pPr>
    </w:p>
    <w:p w14:paraId="7F843C59"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EF2D34">
          <w:rPr>
            <w:rFonts w:ascii="Abadi" w:hAnsi="Abadi" w:cs="Arial"/>
            <w:sz w:val="21"/>
            <w:szCs w:val="21"/>
            <w:lang w:val="es-MX" w:eastAsia="x-none"/>
          </w:rPr>
          <w:t>la Constitución Política</w:t>
        </w:r>
      </w:smartTag>
      <w:r w:rsidRPr="00EF2D34">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0F0C162D" w14:textId="77777777" w:rsidR="007044EB" w:rsidRPr="00EF2D34" w:rsidRDefault="007044EB" w:rsidP="007044EB">
      <w:pPr>
        <w:ind w:firstLine="708"/>
        <w:jc w:val="both"/>
        <w:rPr>
          <w:rFonts w:ascii="Abadi" w:hAnsi="Abadi" w:cs="Arial"/>
          <w:sz w:val="21"/>
          <w:szCs w:val="21"/>
          <w:lang w:val="es-MX" w:eastAsia="x-none"/>
        </w:rPr>
      </w:pPr>
    </w:p>
    <w:p w14:paraId="5DBB68EE"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9B54F38" w14:textId="77777777" w:rsidR="007044EB" w:rsidRPr="00F752A8" w:rsidRDefault="007044EB" w:rsidP="007044EB">
      <w:pPr>
        <w:pStyle w:val="Textoindependiente"/>
        <w:ind w:firstLine="708"/>
        <w:rPr>
          <w:rFonts w:ascii="Abadi" w:hAnsi="Abadi"/>
          <w:b w:val="0"/>
          <w:bCs w:val="0"/>
          <w:sz w:val="21"/>
          <w:szCs w:val="21"/>
        </w:rPr>
      </w:pPr>
    </w:p>
    <w:p w14:paraId="3BAD129A"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F752A8">
          <w:rPr>
            <w:rFonts w:ascii="Abadi" w:hAnsi="Abadi"/>
            <w:b w:val="0"/>
            <w:bCs w:val="0"/>
            <w:sz w:val="21"/>
            <w:szCs w:val="21"/>
          </w:rPr>
          <w:t>la Ley</w:t>
        </w:r>
      </w:smartTag>
      <w:r w:rsidRPr="00F752A8">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79AF7023" w14:textId="77777777" w:rsidR="007044EB" w:rsidRPr="00F752A8" w:rsidRDefault="007044EB" w:rsidP="007044EB">
      <w:pPr>
        <w:pStyle w:val="Textoindependiente"/>
        <w:ind w:firstLine="708"/>
        <w:rPr>
          <w:rFonts w:ascii="Abadi" w:hAnsi="Abadi"/>
          <w:b w:val="0"/>
          <w:bCs w:val="0"/>
          <w:sz w:val="21"/>
          <w:szCs w:val="21"/>
        </w:rPr>
      </w:pPr>
    </w:p>
    <w:p w14:paraId="5A6DF8E2" w14:textId="77777777" w:rsidR="007044EB" w:rsidRPr="001E30FD" w:rsidRDefault="007044EB" w:rsidP="007044EB">
      <w:pPr>
        <w:pStyle w:val="Textoindependiente"/>
        <w:ind w:firstLine="708"/>
        <w:rPr>
          <w:rFonts w:ascii="Abadi" w:hAnsi="Abadi"/>
          <w:b w:val="0"/>
          <w:bCs w:val="0"/>
          <w:sz w:val="21"/>
          <w:szCs w:val="21"/>
        </w:rPr>
      </w:pPr>
      <w:r w:rsidRPr="001E30FD">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7F1CDD8" w14:textId="77777777" w:rsidR="007044EB" w:rsidRPr="001E30FD" w:rsidRDefault="007044EB" w:rsidP="007044EB">
      <w:pPr>
        <w:pStyle w:val="Textoindependiente"/>
        <w:ind w:firstLine="708"/>
        <w:rPr>
          <w:rFonts w:ascii="Abadi" w:hAnsi="Abadi"/>
          <w:b w:val="0"/>
          <w:bCs w:val="0"/>
          <w:sz w:val="21"/>
          <w:szCs w:val="21"/>
        </w:rPr>
      </w:pPr>
    </w:p>
    <w:p w14:paraId="2272A5D9" w14:textId="77777777" w:rsidR="007044EB" w:rsidRPr="001E30FD" w:rsidRDefault="007044EB" w:rsidP="007044EB">
      <w:pPr>
        <w:pStyle w:val="Textoindependiente"/>
        <w:ind w:firstLine="708"/>
        <w:rPr>
          <w:rFonts w:ascii="Abadi" w:hAnsi="Abadi"/>
          <w:b w:val="0"/>
          <w:bCs w:val="0"/>
          <w:sz w:val="21"/>
          <w:szCs w:val="21"/>
        </w:rPr>
      </w:pPr>
      <w:r w:rsidRPr="001E30FD">
        <w:rPr>
          <w:rFonts w:ascii="Abadi" w:hAnsi="Abadi"/>
          <w:b w:val="0"/>
          <w:bCs w:val="0"/>
          <w:sz w:val="21"/>
          <w:szCs w:val="21"/>
        </w:rPr>
        <w:lastRenderedPageBreak/>
        <w:t>No será impedimento para que la Auditoría Superior del Estado realice la función de fiscalización, si la cuenta pública no está presentada y disponible en los plazos y requisitos señalados en la ley.</w:t>
      </w:r>
    </w:p>
    <w:p w14:paraId="23512929" w14:textId="77777777" w:rsidR="007044EB" w:rsidRPr="001E30FD" w:rsidRDefault="007044EB" w:rsidP="007044EB">
      <w:pPr>
        <w:ind w:firstLine="708"/>
        <w:jc w:val="both"/>
        <w:rPr>
          <w:rFonts w:ascii="Abadi" w:hAnsi="Abadi" w:cs="Arial"/>
          <w:sz w:val="21"/>
          <w:szCs w:val="21"/>
          <w:lang w:val="es-MX" w:eastAsia="x-none"/>
        </w:rPr>
      </w:pPr>
    </w:p>
    <w:p w14:paraId="7BA4CDA0"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EF2D34">
          <w:rPr>
            <w:rFonts w:ascii="Abadi" w:hAnsi="Abadi" w:cs="Arial"/>
            <w:sz w:val="21"/>
            <w:szCs w:val="21"/>
            <w:lang w:val="es-MX" w:eastAsia="x-none"/>
          </w:rPr>
          <w:t>la Ley Orgánica</w:t>
        </w:r>
      </w:smartTag>
      <w:r w:rsidRPr="00EF2D34">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C717B1E" w14:textId="77777777" w:rsidR="007044EB" w:rsidRPr="00EF2D34" w:rsidRDefault="007044EB" w:rsidP="007044EB">
      <w:pPr>
        <w:ind w:firstLine="708"/>
        <w:jc w:val="both"/>
        <w:rPr>
          <w:rFonts w:ascii="Abadi" w:hAnsi="Abadi" w:cs="Arial"/>
          <w:sz w:val="21"/>
          <w:szCs w:val="21"/>
          <w:lang w:val="es-MX" w:eastAsia="x-none"/>
        </w:rPr>
      </w:pPr>
    </w:p>
    <w:p w14:paraId="288D21D0" w14:textId="77777777" w:rsidR="007044EB" w:rsidRPr="00EF2D34" w:rsidRDefault="007044EB" w:rsidP="007044EB">
      <w:pPr>
        <w:ind w:firstLine="708"/>
        <w:jc w:val="both"/>
        <w:rPr>
          <w:rFonts w:ascii="Abadi" w:hAnsi="Abadi" w:cs="Arial"/>
          <w:sz w:val="21"/>
          <w:szCs w:val="21"/>
          <w:lang w:val="es-MX" w:eastAsia="x-none"/>
        </w:rPr>
      </w:pPr>
    </w:p>
    <w:p w14:paraId="49570267" w14:textId="77777777" w:rsidR="007044EB" w:rsidRPr="00EF2D34" w:rsidRDefault="007044EB" w:rsidP="007044EB">
      <w:pPr>
        <w:ind w:right="60" w:firstLine="709"/>
        <w:jc w:val="both"/>
        <w:rPr>
          <w:rFonts w:ascii="Abadi" w:hAnsi="Abadi" w:cs="Arial"/>
          <w:sz w:val="21"/>
          <w:szCs w:val="21"/>
          <w:lang w:val="es-MX" w:eastAsia="x-none"/>
        </w:rPr>
      </w:pPr>
      <w:r w:rsidRPr="00EF2D34">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A03FB17" w14:textId="77777777" w:rsidR="007044EB" w:rsidRPr="00EF2D34" w:rsidRDefault="007044EB" w:rsidP="007044EB">
      <w:pPr>
        <w:ind w:right="58" w:firstLine="709"/>
        <w:jc w:val="both"/>
        <w:rPr>
          <w:rFonts w:ascii="Abadi" w:eastAsia="DejaVu Sans" w:hAnsi="Abadi" w:cs="Tahoma"/>
          <w:iCs/>
          <w:kern w:val="1"/>
          <w:sz w:val="21"/>
          <w:szCs w:val="21"/>
          <w:lang w:eastAsia="ar-SA"/>
        </w:rPr>
      </w:pPr>
    </w:p>
    <w:p w14:paraId="75C47ABE"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0DA5BF9E" w14:textId="77777777" w:rsidR="007044EB" w:rsidRPr="00EF2D34" w:rsidRDefault="007044EB" w:rsidP="007044EB">
      <w:pPr>
        <w:pStyle w:val="Textoindependiente"/>
        <w:ind w:firstLine="708"/>
        <w:rPr>
          <w:rFonts w:ascii="Abadi" w:hAnsi="Abadi"/>
          <w:sz w:val="21"/>
          <w:szCs w:val="21"/>
        </w:rPr>
      </w:pPr>
    </w:p>
    <w:p w14:paraId="2AB4B5CA"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w:t>
      </w:r>
      <w:r w:rsidRPr="00EF2D34">
        <w:rPr>
          <w:rFonts w:ascii="Abadi" w:hAnsi="Abadi"/>
          <w:sz w:val="21"/>
          <w:szCs w:val="21"/>
        </w:rPr>
        <w:t xml:space="preserve"> </w:t>
      </w:r>
      <w:r w:rsidRPr="00F752A8">
        <w:rPr>
          <w:rFonts w:ascii="Abadi" w:hAnsi="Abadi"/>
          <w:b w:val="0"/>
          <w:bCs w:val="0"/>
          <w:sz w:val="21"/>
          <w:szCs w:val="21"/>
        </w:rPr>
        <w:t>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1AED25B" w14:textId="77777777" w:rsidR="007044EB" w:rsidRPr="00EF2D34" w:rsidRDefault="007044EB" w:rsidP="007044EB">
      <w:pPr>
        <w:pStyle w:val="Textoindependiente"/>
        <w:ind w:firstLine="708"/>
        <w:rPr>
          <w:rFonts w:ascii="Abadi" w:hAnsi="Abadi"/>
          <w:sz w:val="21"/>
          <w:szCs w:val="21"/>
        </w:rPr>
      </w:pPr>
    </w:p>
    <w:p w14:paraId="5AC8F44E" w14:textId="77777777" w:rsidR="007044EB" w:rsidRPr="00EF2D34" w:rsidRDefault="007044EB" w:rsidP="007044EB">
      <w:pPr>
        <w:ind w:right="60" w:firstLine="709"/>
        <w:jc w:val="both"/>
        <w:rPr>
          <w:rFonts w:ascii="Abadi" w:hAnsi="Abadi" w:cs="Arial"/>
          <w:sz w:val="21"/>
          <w:szCs w:val="21"/>
          <w:lang w:val="es-MX" w:eastAsia="x-none"/>
        </w:rPr>
      </w:pPr>
      <w:r w:rsidRPr="00EF2D34">
        <w:rPr>
          <w:rFonts w:ascii="Abadi" w:hAnsi="Abadi" w:cs="Arial"/>
          <w:sz w:val="21"/>
          <w:szCs w:val="21"/>
          <w:lang w:val="es-MX" w:eastAsia="x-none"/>
        </w:rPr>
        <w:t xml:space="preserve">Por su parte, el artículo 10 de los Lineamientos Generales para la Integración de la Cuenta Pública del Estado y los </w:t>
      </w:r>
      <w:r w:rsidRPr="00EF2D34">
        <w:rPr>
          <w:rFonts w:ascii="Abadi" w:hAnsi="Abadi" w:cs="Arial"/>
          <w:sz w:val="21"/>
          <w:szCs w:val="21"/>
          <w:lang w:val="es-MX" w:eastAsia="x-none"/>
        </w:rPr>
        <w:t>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A5128ED" w14:textId="77777777" w:rsidR="007044EB" w:rsidRPr="00EF2D34" w:rsidRDefault="007044EB" w:rsidP="007044EB">
      <w:pPr>
        <w:pStyle w:val="Textoindependiente"/>
        <w:ind w:firstLine="708"/>
        <w:rPr>
          <w:rFonts w:ascii="Abadi" w:hAnsi="Abadi"/>
          <w:sz w:val="21"/>
          <w:szCs w:val="21"/>
        </w:rPr>
      </w:pPr>
    </w:p>
    <w:p w14:paraId="469C0F12"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BFB12DB" w14:textId="77777777" w:rsidR="007044EB" w:rsidRPr="00F752A8" w:rsidRDefault="007044EB" w:rsidP="007044EB">
      <w:pPr>
        <w:pStyle w:val="Textoindependiente"/>
        <w:ind w:firstLine="708"/>
        <w:rPr>
          <w:rFonts w:ascii="Abadi" w:hAnsi="Abadi"/>
          <w:b w:val="0"/>
          <w:bCs w:val="0"/>
          <w:sz w:val="21"/>
          <w:szCs w:val="21"/>
        </w:rPr>
      </w:pPr>
    </w:p>
    <w:p w14:paraId="1A0F5C4A" w14:textId="77777777" w:rsidR="007044EB" w:rsidRPr="00EF2D34" w:rsidRDefault="007044EB" w:rsidP="007044EB">
      <w:pPr>
        <w:tabs>
          <w:tab w:val="left" w:pos="709"/>
        </w:tabs>
        <w:jc w:val="both"/>
        <w:rPr>
          <w:rFonts w:ascii="Abadi" w:hAnsi="Abadi" w:cs="Arial"/>
          <w:sz w:val="21"/>
          <w:szCs w:val="21"/>
          <w:lang w:val="es-MX" w:eastAsia="x-none"/>
        </w:rPr>
      </w:pPr>
      <w:r w:rsidRPr="00EF2D34">
        <w:rPr>
          <w:rFonts w:ascii="Abadi" w:hAnsi="Abadi" w:cs="Arial"/>
          <w:sz w:val="21"/>
          <w:szCs w:val="21"/>
        </w:rPr>
        <w:tab/>
        <w:t xml:space="preserve">El citado artículo también refiere </w:t>
      </w:r>
      <w:r w:rsidRPr="00EF2D34">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5A5438C1" w14:textId="77777777" w:rsidR="007044EB" w:rsidRPr="00EF2D34" w:rsidRDefault="007044EB" w:rsidP="007044EB">
      <w:pPr>
        <w:tabs>
          <w:tab w:val="left" w:pos="709"/>
        </w:tabs>
        <w:jc w:val="both"/>
        <w:rPr>
          <w:rFonts w:ascii="Abadi" w:hAnsi="Abadi" w:cs="Arial"/>
          <w:sz w:val="21"/>
          <w:szCs w:val="21"/>
          <w:lang w:val="es-MX" w:eastAsia="x-none"/>
        </w:rPr>
      </w:pPr>
      <w:r w:rsidRPr="00EF2D34">
        <w:rPr>
          <w:rFonts w:ascii="Abadi" w:hAnsi="Abadi" w:cs="Arial"/>
          <w:sz w:val="21"/>
          <w:szCs w:val="21"/>
          <w:lang w:val="es-MX" w:eastAsia="x-none"/>
        </w:rPr>
        <w:tab/>
        <w:t xml:space="preserve">En términos del numeral 23 de la </w:t>
      </w:r>
      <w:r w:rsidRPr="00EF2D34">
        <w:rPr>
          <w:rFonts w:ascii="Abadi" w:hAnsi="Abadi" w:cs="Arial"/>
          <w:sz w:val="21"/>
          <w:szCs w:val="21"/>
        </w:rPr>
        <w:t>Ley de Fiscalización Superior del Estado de Guanajuato, p</w:t>
      </w:r>
      <w:r w:rsidRPr="00EF2D34">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6C1234F4" w14:textId="77777777" w:rsidR="007044EB" w:rsidRPr="00EF2D34" w:rsidRDefault="007044EB" w:rsidP="007044EB">
      <w:pPr>
        <w:tabs>
          <w:tab w:val="left" w:pos="709"/>
        </w:tabs>
        <w:jc w:val="both"/>
        <w:rPr>
          <w:rFonts w:ascii="Abadi" w:hAnsi="Abadi" w:cs="Arial"/>
          <w:sz w:val="21"/>
          <w:szCs w:val="21"/>
          <w:lang w:val="es-MX" w:eastAsia="x-none"/>
        </w:rPr>
      </w:pPr>
    </w:p>
    <w:p w14:paraId="1186639D" w14:textId="77777777" w:rsidR="007044EB" w:rsidRPr="00EF2D34" w:rsidRDefault="007044EB" w:rsidP="007044EB">
      <w:pPr>
        <w:pStyle w:val="Texto"/>
        <w:spacing w:after="0" w:line="240" w:lineRule="auto"/>
        <w:ind w:firstLine="708"/>
        <w:rPr>
          <w:rFonts w:ascii="Abadi" w:hAnsi="Abadi" w:cs="Arial"/>
          <w:sz w:val="21"/>
          <w:szCs w:val="21"/>
          <w:lang w:val="es-MX"/>
        </w:rPr>
      </w:pPr>
      <w:r w:rsidRPr="00EF2D34">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w:t>
      </w:r>
      <w:r w:rsidRPr="00EF2D34">
        <w:rPr>
          <w:rFonts w:ascii="Abadi" w:hAnsi="Abadi" w:cs="Arial"/>
          <w:sz w:val="21"/>
          <w:szCs w:val="21"/>
          <w:lang w:val="es-MX"/>
        </w:rPr>
        <w:lastRenderedPageBreak/>
        <w:t xml:space="preserve">la base de devengado y, adicionalmente, se presentarán en flujo de efectivo. </w:t>
      </w:r>
    </w:p>
    <w:p w14:paraId="6BA831F5" w14:textId="77777777" w:rsidR="007044EB" w:rsidRPr="00EF2D34" w:rsidRDefault="007044EB" w:rsidP="007044EB">
      <w:pPr>
        <w:pStyle w:val="Texto"/>
        <w:spacing w:after="0" w:line="240" w:lineRule="auto"/>
        <w:ind w:firstLine="708"/>
        <w:rPr>
          <w:rFonts w:ascii="Abadi" w:hAnsi="Abadi" w:cs="Arial"/>
          <w:sz w:val="21"/>
          <w:szCs w:val="21"/>
          <w:lang w:val="es-MX"/>
        </w:rPr>
      </w:pPr>
    </w:p>
    <w:p w14:paraId="2E917F7D" w14:textId="77777777" w:rsidR="007044EB" w:rsidRPr="00EF2D34" w:rsidRDefault="007044EB" w:rsidP="007044EB">
      <w:pPr>
        <w:pStyle w:val="Texto"/>
        <w:spacing w:after="0" w:line="240" w:lineRule="auto"/>
        <w:ind w:firstLine="708"/>
        <w:rPr>
          <w:rFonts w:ascii="Abadi" w:hAnsi="Abadi" w:cs="Arial"/>
          <w:sz w:val="21"/>
          <w:szCs w:val="21"/>
          <w:lang w:val="es-MX"/>
        </w:rPr>
      </w:pPr>
      <w:r w:rsidRPr="00EF2D34">
        <w:rPr>
          <w:rFonts w:ascii="Abadi" w:hAnsi="Abadi" w:cs="Arial"/>
          <w:sz w:val="21"/>
          <w:szCs w:val="21"/>
          <w:lang w:val="es-MX"/>
        </w:rPr>
        <w:t xml:space="preserve">En cumplimiento a los citados preceptos, en su oportunidad se remitió a este Congreso del Estado, la cuenta pública municipal de Yuriria, </w:t>
      </w:r>
      <w:proofErr w:type="spellStart"/>
      <w:r w:rsidRPr="00EF2D34">
        <w:rPr>
          <w:rFonts w:ascii="Abadi" w:hAnsi="Abadi" w:cs="Arial"/>
          <w:sz w:val="21"/>
          <w:szCs w:val="21"/>
          <w:lang w:val="es-MX"/>
        </w:rPr>
        <w:t>Gto</w:t>
      </w:r>
      <w:proofErr w:type="spellEnd"/>
      <w:r w:rsidRPr="00EF2D34">
        <w:rPr>
          <w:rFonts w:ascii="Abadi" w:hAnsi="Abadi" w:cs="Arial"/>
          <w:sz w:val="21"/>
          <w:szCs w:val="21"/>
          <w:lang w:val="es-MX"/>
        </w:rPr>
        <w:t>., correspondiente al ejercicio fiscal del año 2021, turnándose a la Auditoría Superior del Estado para su revisión.</w:t>
      </w:r>
    </w:p>
    <w:p w14:paraId="1ED49F13" w14:textId="77777777" w:rsidR="007044EB" w:rsidRPr="00EF2D34" w:rsidRDefault="007044EB" w:rsidP="007044EB">
      <w:pPr>
        <w:pStyle w:val="Textoindependiente"/>
        <w:ind w:firstLine="708"/>
        <w:rPr>
          <w:rFonts w:ascii="Abadi" w:hAnsi="Abadi"/>
          <w:sz w:val="21"/>
          <w:szCs w:val="21"/>
        </w:rPr>
      </w:pPr>
    </w:p>
    <w:p w14:paraId="5DE76C60"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12357BDD" w14:textId="77777777" w:rsidR="007044EB" w:rsidRPr="00F752A8" w:rsidRDefault="007044EB" w:rsidP="007044EB">
      <w:pPr>
        <w:pStyle w:val="Textoindependiente"/>
        <w:ind w:firstLine="708"/>
        <w:rPr>
          <w:rFonts w:ascii="Abadi" w:hAnsi="Abadi"/>
          <w:b w:val="0"/>
          <w:bCs w:val="0"/>
          <w:sz w:val="21"/>
          <w:szCs w:val="21"/>
        </w:rPr>
      </w:pPr>
    </w:p>
    <w:p w14:paraId="28DD90B9" w14:textId="77777777" w:rsidR="007044EB" w:rsidRPr="00F752A8"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Yuriria, </w:t>
      </w:r>
      <w:proofErr w:type="spellStart"/>
      <w:r w:rsidRPr="00F752A8">
        <w:rPr>
          <w:rFonts w:ascii="Abadi" w:hAnsi="Abadi"/>
          <w:b w:val="0"/>
          <w:bCs w:val="0"/>
          <w:sz w:val="21"/>
          <w:szCs w:val="21"/>
        </w:rPr>
        <w:t>Gto</w:t>
      </w:r>
      <w:proofErr w:type="spellEnd"/>
      <w:r w:rsidRPr="00F752A8">
        <w:rPr>
          <w:rFonts w:ascii="Abadi" w:hAnsi="Abadi"/>
          <w:b w:val="0"/>
          <w:bCs w:val="0"/>
          <w:sz w:val="21"/>
          <w:szCs w:val="21"/>
        </w:rPr>
        <w:t>., correspondiente al ejercicio fiscal del año 2021.</w:t>
      </w:r>
    </w:p>
    <w:p w14:paraId="5705CEF7" w14:textId="77777777" w:rsidR="007044EB" w:rsidRPr="00EF2D34" w:rsidRDefault="007044EB" w:rsidP="007044EB">
      <w:pPr>
        <w:ind w:firstLine="708"/>
        <w:jc w:val="both"/>
        <w:rPr>
          <w:rFonts w:ascii="Abadi" w:hAnsi="Abadi" w:cs="Arial"/>
          <w:sz w:val="21"/>
          <w:szCs w:val="21"/>
          <w:lang w:val="es-MX" w:eastAsia="x-none"/>
        </w:rPr>
      </w:pPr>
    </w:p>
    <w:p w14:paraId="14E1B7B2"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EF2D34">
        <w:rPr>
          <w:rFonts w:ascii="Abadi" w:hAnsi="Abadi" w:cs="Arial"/>
          <w:bCs/>
          <w:sz w:val="21"/>
          <w:szCs w:val="21"/>
          <w:lang w:val="es-MX" w:eastAsia="x-none"/>
        </w:rPr>
        <w:t>el 18 de mayo de 2023, para su estudio y dictamen</w:t>
      </w:r>
      <w:r w:rsidRPr="00EF2D34">
        <w:rPr>
          <w:rFonts w:ascii="Abadi" w:hAnsi="Abadi" w:cs="Arial"/>
          <w:sz w:val="21"/>
          <w:szCs w:val="21"/>
          <w:lang w:val="es-MX" w:eastAsia="x-none"/>
        </w:rPr>
        <w:t>, siendo radicado el 22 de mayo del año en curso.</w:t>
      </w:r>
    </w:p>
    <w:p w14:paraId="3250D299" w14:textId="77777777" w:rsidR="007044EB" w:rsidRPr="00EF2D34" w:rsidRDefault="007044EB" w:rsidP="007044EB">
      <w:pPr>
        <w:ind w:firstLine="708"/>
        <w:jc w:val="both"/>
        <w:rPr>
          <w:rFonts w:ascii="Abadi" w:hAnsi="Abadi" w:cs="Arial"/>
          <w:sz w:val="21"/>
          <w:szCs w:val="21"/>
          <w:lang w:val="es-MX" w:eastAsia="x-none"/>
        </w:rPr>
      </w:pPr>
    </w:p>
    <w:p w14:paraId="61AC147E" w14:textId="77777777" w:rsidR="007044EB" w:rsidRPr="00EF2D34" w:rsidRDefault="007044EB" w:rsidP="007044EB">
      <w:pPr>
        <w:ind w:firstLine="708"/>
        <w:jc w:val="both"/>
        <w:rPr>
          <w:rFonts w:ascii="Abadi" w:hAnsi="Abadi" w:cs="Arial"/>
          <w:sz w:val="21"/>
          <w:szCs w:val="21"/>
          <w:lang w:val="es-MX" w:eastAsia="x-none"/>
        </w:rPr>
      </w:pPr>
    </w:p>
    <w:p w14:paraId="219B089B" w14:textId="77777777" w:rsidR="007044EB" w:rsidRPr="00F752A8" w:rsidRDefault="007044EB" w:rsidP="007044EB">
      <w:pPr>
        <w:pStyle w:val="Textoindependiente"/>
        <w:ind w:firstLine="708"/>
        <w:rPr>
          <w:rFonts w:ascii="Abadi" w:hAnsi="Abadi"/>
          <w:sz w:val="21"/>
          <w:szCs w:val="21"/>
        </w:rPr>
      </w:pPr>
      <w:r w:rsidRPr="00F752A8">
        <w:rPr>
          <w:rFonts w:ascii="Abadi" w:hAnsi="Abadi"/>
          <w:sz w:val="21"/>
          <w:szCs w:val="21"/>
        </w:rPr>
        <w:t>III. Procedimiento de Revisión:</w:t>
      </w:r>
    </w:p>
    <w:p w14:paraId="53A5EC30" w14:textId="77777777" w:rsidR="007044EB" w:rsidRPr="00F752A8" w:rsidRDefault="007044EB" w:rsidP="007044EB">
      <w:pPr>
        <w:pStyle w:val="Textoindependiente"/>
        <w:ind w:firstLine="708"/>
        <w:rPr>
          <w:rFonts w:ascii="Abadi" w:hAnsi="Abadi"/>
          <w:sz w:val="21"/>
          <w:szCs w:val="21"/>
        </w:rPr>
      </w:pPr>
    </w:p>
    <w:p w14:paraId="1F62CB06" w14:textId="77777777" w:rsidR="007044EB" w:rsidRPr="00F7530A" w:rsidRDefault="007044EB" w:rsidP="007044EB">
      <w:pPr>
        <w:pStyle w:val="Textoindependiente"/>
        <w:ind w:firstLine="708"/>
        <w:rPr>
          <w:rFonts w:ascii="Abadi" w:hAnsi="Abadi"/>
          <w:b w:val="0"/>
          <w:bCs w:val="0"/>
          <w:sz w:val="21"/>
          <w:szCs w:val="21"/>
        </w:rPr>
      </w:pPr>
      <w:r w:rsidRPr="00F752A8">
        <w:rPr>
          <w:rFonts w:ascii="Abadi" w:hAnsi="Abadi"/>
          <w:b w:val="0"/>
          <w:bCs w:val="0"/>
          <w:sz w:val="21"/>
          <w:szCs w:val="21"/>
        </w:rPr>
        <w:t xml:space="preserve">La revisión de la cuenta pública municipal de Yuriria, </w:t>
      </w:r>
      <w:proofErr w:type="spellStart"/>
      <w:r w:rsidRPr="00F752A8">
        <w:rPr>
          <w:rFonts w:ascii="Abadi" w:hAnsi="Abadi"/>
          <w:b w:val="0"/>
          <w:bCs w:val="0"/>
          <w:sz w:val="21"/>
          <w:szCs w:val="21"/>
        </w:rPr>
        <w:t>Gto</w:t>
      </w:r>
      <w:proofErr w:type="spellEnd"/>
      <w:r w:rsidRPr="00F752A8">
        <w:rPr>
          <w:rFonts w:ascii="Abadi" w:hAnsi="Abadi"/>
          <w:b w:val="0"/>
          <w:bCs w:val="0"/>
          <w:sz w:val="21"/>
          <w:szCs w:val="21"/>
        </w:rPr>
        <w:t>., correspondiente al ejercicio fiscal del año 2021, tuvo por objetivo, de acuerdo a los principios, conceptos y directrices de las Normas Profesionales de Auditoría del Sistema</w:t>
      </w:r>
      <w:r w:rsidRPr="00EF2D34">
        <w:rPr>
          <w:rFonts w:ascii="Abadi" w:hAnsi="Abadi"/>
          <w:sz w:val="21"/>
          <w:szCs w:val="21"/>
        </w:rPr>
        <w:t xml:space="preserve"> </w:t>
      </w:r>
      <w:r w:rsidRPr="00F7530A">
        <w:rPr>
          <w:rFonts w:ascii="Abadi" w:hAnsi="Abadi"/>
          <w:b w:val="0"/>
          <w:bCs w:val="0"/>
          <w:sz w:val="21"/>
          <w:szCs w:val="21"/>
        </w:rPr>
        <w:t>Nacional de Fiscalización, en su tercer nivel, evaluar si los procesos operativos, contables, presupuestales y programáticos cumplen en todos los aspectos significativos, con las disposiciones legales y normativas que rigen al ente público auditado.</w:t>
      </w:r>
    </w:p>
    <w:p w14:paraId="2C137A00" w14:textId="77777777" w:rsidR="007044EB" w:rsidRPr="00F7530A" w:rsidRDefault="007044EB" w:rsidP="007044EB">
      <w:pPr>
        <w:pStyle w:val="Textoindependiente"/>
        <w:ind w:firstLine="708"/>
        <w:rPr>
          <w:rFonts w:ascii="Abadi" w:hAnsi="Abadi"/>
          <w:b w:val="0"/>
          <w:bCs w:val="0"/>
          <w:sz w:val="21"/>
          <w:szCs w:val="21"/>
        </w:rPr>
      </w:pPr>
    </w:p>
    <w:p w14:paraId="023C1D28" w14:textId="77777777" w:rsidR="007044EB" w:rsidRPr="00F7530A" w:rsidRDefault="007044EB" w:rsidP="007044EB">
      <w:pPr>
        <w:pStyle w:val="Textoindependiente"/>
        <w:ind w:firstLine="708"/>
        <w:rPr>
          <w:rFonts w:ascii="Abadi" w:hAnsi="Abadi"/>
          <w:b w:val="0"/>
          <w:bCs w:val="0"/>
          <w:sz w:val="21"/>
          <w:szCs w:val="21"/>
        </w:rPr>
      </w:pPr>
      <w:r w:rsidRPr="00F7530A">
        <w:rPr>
          <w:rFonts w:ascii="Abadi" w:hAnsi="Abadi"/>
          <w:b w:val="0"/>
          <w:bCs w:val="0"/>
          <w:sz w:val="21"/>
          <w:szCs w:val="21"/>
        </w:rPr>
        <w:t xml:space="preserve">Asimismo, dentro del objetivo de la revisión también se encuentra el de comprobar que la gestión financiera del sujeto fiscalizado fue realizada con transparencia y atendiendo a criterios de economía, eficiencia </w:t>
      </w:r>
      <w:r w:rsidRPr="00F7530A">
        <w:rPr>
          <w:rFonts w:ascii="Abadi" w:hAnsi="Abadi"/>
          <w:b w:val="0"/>
          <w:bCs w:val="0"/>
          <w:sz w:val="21"/>
          <w:szCs w:val="21"/>
        </w:rPr>
        <w:t>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7374220" w14:textId="77777777" w:rsidR="007044EB" w:rsidRPr="00F7530A" w:rsidRDefault="007044EB" w:rsidP="007044EB">
      <w:pPr>
        <w:pStyle w:val="Textoindependiente"/>
        <w:ind w:firstLine="708"/>
        <w:rPr>
          <w:rFonts w:ascii="Abadi" w:hAnsi="Abadi"/>
          <w:b w:val="0"/>
          <w:bCs w:val="0"/>
          <w:sz w:val="21"/>
          <w:szCs w:val="21"/>
        </w:rPr>
      </w:pPr>
    </w:p>
    <w:p w14:paraId="7DF0A11D" w14:textId="77777777" w:rsidR="007044EB" w:rsidRPr="00F7530A" w:rsidRDefault="007044EB" w:rsidP="007044EB">
      <w:pPr>
        <w:pStyle w:val="Textoindependiente"/>
        <w:ind w:firstLine="708"/>
        <w:rPr>
          <w:rFonts w:ascii="Abadi" w:hAnsi="Abadi"/>
          <w:b w:val="0"/>
          <w:bCs w:val="0"/>
          <w:sz w:val="21"/>
          <w:szCs w:val="21"/>
        </w:rPr>
      </w:pPr>
      <w:r w:rsidRPr="00F7530A">
        <w:rPr>
          <w:rFonts w:ascii="Abadi" w:hAnsi="Abadi"/>
          <w:b w:val="0"/>
          <w:bCs w:val="0"/>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361BE10" w14:textId="77777777" w:rsidR="007044EB" w:rsidRPr="00EF2D34" w:rsidRDefault="007044EB" w:rsidP="007044EB">
      <w:pPr>
        <w:pStyle w:val="Textoindependiente"/>
        <w:ind w:firstLine="708"/>
        <w:rPr>
          <w:rFonts w:ascii="Abadi" w:hAnsi="Abadi"/>
          <w:sz w:val="21"/>
          <w:szCs w:val="21"/>
        </w:rPr>
      </w:pPr>
    </w:p>
    <w:p w14:paraId="528D11B0" w14:textId="77777777" w:rsidR="007044EB" w:rsidRPr="00EF2D34" w:rsidRDefault="007044EB" w:rsidP="007044EB">
      <w:pPr>
        <w:pStyle w:val="Textoindependiente"/>
        <w:ind w:firstLine="708"/>
        <w:rPr>
          <w:rFonts w:ascii="Abadi" w:hAnsi="Abadi"/>
          <w:sz w:val="21"/>
          <w:szCs w:val="21"/>
        </w:rPr>
      </w:pPr>
    </w:p>
    <w:p w14:paraId="08EC7A1D" w14:textId="77777777" w:rsidR="007044EB" w:rsidRPr="00F752A8" w:rsidRDefault="007044EB" w:rsidP="007044EB">
      <w:pPr>
        <w:pStyle w:val="Textoindependiente"/>
        <w:ind w:firstLine="708"/>
        <w:rPr>
          <w:rFonts w:ascii="Abadi" w:hAnsi="Abadi"/>
          <w:b w:val="0"/>
          <w:bCs w:val="0"/>
          <w:sz w:val="21"/>
          <w:szCs w:val="21"/>
        </w:rPr>
      </w:pPr>
      <w:r w:rsidRPr="00F7530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w:t>
      </w:r>
      <w:r w:rsidRPr="00EF2D34">
        <w:rPr>
          <w:rFonts w:ascii="Abadi" w:hAnsi="Abadi"/>
          <w:sz w:val="21"/>
          <w:szCs w:val="21"/>
        </w:rPr>
        <w:t xml:space="preserve"> Internacional de las Entidades Fiscalizadoras </w:t>
      </w:r>
      <w:r w:rsidRPr="00F752A8">
        <w:rPr>
          <w:rFonts w:ascii="Abadi" w:hAnsi="Abadi"/>
          <w:b w:val="0"/>
          <w:bCs w:val="0"/>
          <w:sz w:val="21"/>
          <w:szCs w:val="21"/>
        </w:rPr>
        <w:t xml:space="preserve">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w:t>
      </w:r>
      <w:r w:rsidRPr="00F752A8">
        <w:rPr>
          <w:rFonts w:ascii="Abadi" w:hAnsi="Abadi"/>
          <w:b w:val="0"/>
          <w:bCs w:val="0"/>
          <w:sz w:val="21"/>
          <w:szCs w:val="21"/>
        </w:rPr>
        <w:lastRenderedPageBreak/>
        <w:t>emitidas por el Consejo Nacional de Armonización Contable.</w:t>
      </w:r>
    </w:p>
    <w:p w14:paraId="73155099" w14:textId="77777777" w:rsidR="007044EB" w:rsidRPr="00F752A8" w:rsidRDefault="007044EB" w:rsidP="007044EB">
      <w:pPr>
        <w:pStyle w:val="Textoindependiente"/>
        <w:ind w:firstLine="708"/>
        <w:rPr>
          <w:rFonts w:ascii="Abadi" w:hAnsi="Abadi"/>
          <w:b w:val="0"/>
          <w:bCs w:val="0"/>
          <w:sz w:val="21"/>
          <w:szCs w:val="21"/>
        </w:rPr>
      </w:pPr>
    </w:p>
    <w:p w14:paraId="13C1E1EA" w14:textId="77777777" w:rsidR="007044EB" w:rsidRPr="00F752A8" w:rsidRDefault="007044EB" w:rsidP="007044EB">
      <w:pPr>
        <w:pStyle w:val="Textoindependiente"/>
        <w:ind w:firstLine="705"/>
        <w:rPr>
          <w:rFonts w:ascii="Abadi" w:hAnsi="Abadi"/>
          <w:b w:val="0"/>
          <w:bCs w:val="0"/>
          <w:sz w:val="21"/>
          <w:szCs w:val="21"/>
        </w:rPr>
      </w:pPr>
      <w:r w:rsidRPr="00F752A8">
        <w:rPr>
          <w:rFonts w:ascii="Abadi" w:hAnsi="Abadi"/>
          <w:b w:val="0"/>
          <w:bCs w:val="0"/>
          <w:sz w:val="21"/>
          <w:szCs w:val="21"/>
        </w:rPr>
        <w:t xml:space="preserve">El informe de resultados establece que se practicó la revisión de la cuenta pública respecto de las operaciones realizadas por la administración pública municipal de Yuriria, </w:t>
      </w:r>
      <w:proofErr w:type="spellStart"/>
      <w:r w:rsidRPr="00F752A8">
        <w:rPr>
          <w:rFonts w:ascii="Abadi" w:hAnsi="Abadi"/>
          <w:b w:val="0"/>
          <w:bCs w:val="0"/>
          <w:sz w:val="21"/>
          <w:szCs w:val="21"/>
        </w:rPr>
        <w:t>Gto</w:t>
      </w:r>
      <w:proofErr w:type="spellEnd"/>
      <w:r w:rsidRPr="00F752A8">
        <w:rPr>
          <w:rFonts w:ascii="Abadi" w:hAnsi="Abadi"/>
          <w:b w:val="0"/>
          <w:bCs w:val="0"/>
          <w:sz w:val="21"/>
          <w:szCs w:val="21"/>
        </w:rPr>
        <w:t>., correspondientes al ejercicio fiscal 2021, en lo referente a los apartados de ingresos y egresos.</w:t>
      </w:r>
    </w:p>
    <w:p w14:paraId="100489E1" w14:textId="77777777" w:rsidR="007044EB" w:rsidRPr="00F752A8" w:rsidRDefault="007044EB" w:rsidP="007044EB">
      <w:pPr>
        <w:pStyle w:val="Textoindependiente"/>
        <w:ind w:firstLine="705"/>
        <w:rPr>
          <w:rFonts w:ascii="Abadi" w:hAnsi="Abadi"/>
          <w:b w:val="0"/>
          <w:bCs w:val="0"/>
          <w:sz w:val="21"/>
          <w:szCs w:val="21"/>
        </w:rPr>
      </w:pPr>
    </w:p>
    <w:p w14:paraId="192A353D" w14:textId="77777777" w:rsidR="007044EB" w:rsidRDefault="007044EB" w:rsidP="007044EB">
      <w:pPr>
        <w:autoSpaceDE w:val="0"/>
        <w:autoSpaceDN w:val="0"/>
        <w:adjustRightInd w:val="0"/>
        <w:ind w:firstLine="708"/>
        <w:jc w:val="both"/>
        <w:rPr>
          <w:rFonts w:ascii="Abadi" w:hAnsi="Abadi" w:cs="Arial"/>
          <w:sz w:val="21"/>
          <w:szCs w:val="21"/>
          <w:lang w:val="es-MX" w:eastAsia="x-none"/>
        </w:rPr>
      </w:pPr>
      <w:r w:rsidRPr="00F752A8">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w:t>
      </w:r>
      <w:r w:rsidRPr="00EF2D34">
        <w:rPr>
          <w:rFonts w:ascii="Abadi" w:hAnsi="Abadi" w:cs="Arial"/>
          <w:sz w:val="21"/>
          <w:szCs w:val="21"/>
          <w:lang w:val="es-MX" w:eastAsia="x-none"/>
        </w:rPr>
        <w:t xml:space="preserve">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39CE5ABE" w14:textId="77777777" w:rsidR="00F7530A" w:rsidRPr="00EF2D34" w:rsidRDefault="00F7530A" w:rsidP="007044EB">
      <w:pPr>
        <w:autoSpaceDE w:val="0"/>
        <w:autoSpaceDN w:val="0"/>
        <w:adjustRightInd w:val="0"/>
        <w:ind w:firstLine="708"/>
        <w:jc w:val="both"/>
        <w:rPr>
          <w:rFonts w:ascii="Abadi" w:hAnsi="Abadi" w:cs="Arial"/>
          <w:sz w:val="21"/>
          <w:szCs w:val="21"/>
          <w:lang w:val="es-MX" w:eastAsia="x-none"/>
        </w:rPr>
      </w:pPr>
    </w:p>
    <w:p w14:paraId="034916FE" w14:textId="77777777" w:rsidR="007044EB" w:rsidRPr="00EF2D34" w:rsidRDefault="007044EB" w:rsidP="007044EB">
      <w:pPr>
        <w:ind w:firstLine="708"/>
        <w:jc w:val="both"/>
        <w:rPr>
          <w:rFonts w:ascii="Abadi" w:hAnsi="Abadi" w:cs="Arial"/>
          <w:sz w:val="21"/>
          <w:szCs w:val="21"/>
          <w:lang w:val="es-MX" w:eastAsia="x-none"/>
        </w:rPr>
      </w:pPr>
      <w:r w:rsidRPr="00EF2D34">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EF2D34">
        <w:rPr>
          <w:rFonts w:ascii="Abadi" w:hAnsi="Abadi" w:cs="Arial"/>
          <w:sz w:val="21"/>
          <w:szCs w:val="21"/>
          <w:lang w:val="es-MX" w:eastAsia="x-none"/>
        </w:rPr>
        <w:t>fiscalizado</w:t>
      </w:r>
      <w:proofErr w:type="spellEnd"/>
      <w:r w:rsidRPr="00EF2D34">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2603B9BC" w14:textId="77777777" w:rsidR="007044EB" w:rsidRPr="00EF2D34" w:rsidRDefault="007044EB" w:rsidP="007044EB">
      <w:pPr>
        <w:ind w:firstLine="708"/>
        <w:jc w:val="both"/>
        <w:rPr>
          <w:rFonts w:ascii="Abadi" w:hAnsi="Abadi" w:cs="Arial"/>
          <w:sz w:val="21"/>
          <w:szCs w:val="21"/>
          <w:lang w:val="es-MX" w:eastAsia="x-none"/>
        </w:rPr>
      </w:pPr>
    </w:p>
    <w:p w14:paraId="77F92242"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El 30 de junio de 2022 se notificó a la presidenta municipal de Yuriria, </w:t>
      </w:r>
      <w:proofErr w:type="spellStart"/>
      <w:r w:rsidRPr="00EF2D34">
        <w:rPr>
          <w:rFonts w:ascii="Abadi" w:hAnsi="Abadi" w:cs="Arial"/>
          <w:sz w:val="21"/>
          <w:szCs w:val="21"/>
        </w:rPr>
        <w:t>Gto</w:t>
      </w:r>
      <w:proofErr w:type="spellEnd"/>
      <w:r w:rsidRPr="00EF2D34">
        <w:rPr>
          <w:rFonts w:ascii="Abadi" w:hAnsi="Abadi" w:cs="Arial"/>
          <w:sz w:val="21"/>
          <w:szCs w:val="21"/>
        </w:rPr>
        <w:t>., la orden de inicio del procedimiento de revisión de la cuenta pública.</w:t>
      </w:r>
    </w:p>
    <w:p w14:paraId="2BA44154" w14:textId="77777777" w:rsidR="007044EB" w:rsidRPr="00EF2D34" w:rsidRDefault="007044EB" w:rsidP="007044EB">
      <w:pPr>
        <w:ind w:firstLine="708"/>
        <w:jc w:val="both"/>
        <w:rPr>
          <w:rFonts w:ascii="Abadi" w:hAnsi="Abadi" w:cs="Arial"/>
          <w:sz w:val="21"/>
          <w:szCs w:val="21"/>
        </w:rPr>
      </w:pPr>
    </w:p>
    <w:p w14:paraId="576AF706"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El 28 de noviembre de 2022 se notificó a la presidenta municipal de Yuriria, </w:t>
      </w:r>
      <w:proofErr w:type="spellStart"/>
      <w:r w:rsidRPr="00EF2D34">
        <w:rPr>
          <w:rFonts w:ascii="Abadi" w:hAnsi="Abadi" w:cs="Arial"/>
          <w:sz w:val="21"/>
          <w:szCs w:val="21"/>
        </w:rPr>
        <w:t>Gto</w:t>
      </w:r>
      <w:proofErr w:type="spellEnd"/>
      <w:r w:rsidRPr="00EF2D34">
        <w:rPr>
          <w:rFonts w:ascii="Abadi" w:hAnsi="Abadi" w:cs="Arial"/>
          <w:sz w:val="21"/>
          <w:szCs w:val="21"/>
        </w:rPr>
        <w:t>., la suspensión del plazo de la revisión materia del presente dictamen, de conformidad con lo establecido en el Acuerdo de Suspensión de Plazos publicado en el Periódico Oficial del Gobierno del Estado de Guanajuato el 24 de noviembre de 2022.</w:t>
      </w:r>
    </w:p>
    <w:p w14:paraId="3D939445" w14:textId="77777777" w:rsidR="007044EB" w:rsidRPr="00EF2D34" w:rsidRDefault="007044EB" w:rsidP="007044EB">
      <w:pPr>
        <w:ind w:firstLine="708"/>
        <w:jc w:val="both"/>
        <w:rPr>
          <w:rFonts w:ascii="Abadi" w:hAnsi="Abadi" w:cs="Arial"/>
          <w:sz w:val="21"/>
          <w:szCs w:val="21"/>
        </w:rPr>
      </w:pPr>
    </w:p>
    <w:p w14:paraId="61ABF4E7"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Posteriormente, en fechas 20 y 21 de febrero de 2023 respectivamente, se notificó a la presidenta y al ex presidente municipales de Yuriria, </w:t>
      </w:r>
      <w:proofErr w:type="spellStart"/>
      <w:r w:rsidRPr="00EF2D34">
        <w:rPr>
          <w:rFonts w:ascii="Abadi" w:hAnsi="Abadi" w:cs="Arial"/>
          <w:sz w:val="21"/>
          <w:szCs w:val="21"/>
        </w:rPr>
        <w:t>Gto</w:t>
      </w:r>
      <w:proofErr w:type="spellEnd"/>
      <w:r w:rsidRPr="00EF2D34">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el 13 de marzo de 2023, por parte de la presidenta municipal y el 14 de marzo de 2023, por parte del ex presidente municipal de Yuriria, </w:t>
      </w:r>
      <w:proofErr w:type="spellStart"/>
      <w:r w:rsidRPr="00EF2D34">
        <w:rPr>
          <w:rFonts w:ascii="Abadi" w:hAnsi="Abadi" w:cs="Arial"/>
          <w:sz w:val="21"/>
          <w:szCs w:val="21"/>
        </w:rPr>
        <w:t>Gto</w:t>
      </w:r>
      <w:proofErr w:type="spellEnd"/>
      <w:r w:rsidRPr="00EF2D34">
        <w:rPr>
          <w:rFonts w:ascii="Abadi" w:hAnsi="Abadi" w:cs="Arial"/>
          <w:sz w:val="21"/>
          <w:szCs w:val="21"/>
        </w:rPr>
        <w:t>.</w:t>
      </w:r>
    </w:p>
    <w:p w14:paraId="1CDF39F5" w14:textId="77777777" w:rsidR="007044EB" w:rsidRPr="00EF2D34" w:rsidRDefault="007044EB" w:rsidP="007044EB">
      <w:pPr>
        <w:ind w:firstLine="708"/>
        <w:jc w:val="both"/>
        <w:rPr>
          <w:rFonts w:ascii="Abadi" w:hAnsi="Abadi" w:cs="Arial"/>
          <w:sz w:val="21"/>
          <w:szCs w:val="21"/>
        </w:rPr>
      </w:pPr>
    </w:p>
    <w:p w14:paraId="3ABF1F08" w14:textId="77777777" w:rsidR="007044EB" w:rsidRPr="003E6EF0" w:rsidRDefault="007044EB" w:rsidP="007044EB">
      <w:pPr>
        <w:pStyle w:val="Textoindependiente"/>
        <w:ind w:firstLine="708"/>
        <w:rPr>
          <w:rFonts w:ascii="Abadi" w:hAnsi="Abadi"/>
          <w:b w:val="0"/>
          <w:bCs w:val="0"/>
          <w:sz w:val="21"/>
          <w:szCs w:val="21"/>
        </w:rPr>
      </w:pPr>
      <w:r w:rsidRPr="003E6EF0">
        <w:rPr>
          <w:rFonts w:ascii="Abadi" w:hAnsi="Abadi"/>
          <w:b w:val="0"/>
          <w:bCs w:val="0"/>
          <w:sz w:val="21"/>
          <w:szCs w:val="21"/>
        </w:rPr>
        <w:t xml:space="preserve">En fechas 21 y 22 de marzo de 2023 respectivamente, el informe de resultados se notificó a la presidenta y al ex presidente municipales de Yuriria, </w:t>
      </w:r>
      <w:proofErr w:type="spellStart"/>
      <w:r w:rsidRPr="003E6EF0">
        <w:rPr>
          <w:rFonts w:ascii="Abadi" w:hAnsi="Abadi"/>
          <w:b w:val="0"/>
          <w:bCs w:val="0"/>
          <w:sz w:val="21"/>
          <w:szCs w:val="21"/>
        </w:rPr>
        <w:t>Gto</w:t>
      </w:r>
      <w:proofErr w:type="spellEnd"/>
      <w:r w:rsidRPr="003E6EF0">
        <w:rPr>
          <w:rFonts w:ascii="Abadi" w:hAnsi="Abadi"/>
          <w:b w:val="0"/>
          <w:bCs w:val="0"/>
          <w:sz w:val="21"/>
          <w:szCs w:val="21"/>
        </w:rPr>
        <w:t xml:space="preserve">., para que, en su caso, hicieran valer el recurso de reconsideración previsto por los artículos del 48 al 55 de </w:t>
      </w:r>
      <w:smartTag w:uri="urn:schemas-microsoft-com:office:smarttags" w:element="PersonName">
        <w:smartTagPr>
          <w:attr w:name="ProductID" w:val="la Ley"/>
        </w:smartTagPr>
        <w:r w:rsidRPr="003E6EF0">
          <w:rPr>
            <w:rFonts w:ascii="Abadi" w:hAnsi="Abadi"/>
            <w:b w:val="0"/>
            <w:bCs w:val="0"/>
            <w:sz w:val="21"/>
            <w:szCs w:val="21"/>
          </w:rPr>
          <w:t>la Ley</w:t>
        </w:r>
      </w:smartTag>
      <w:r w:rsidRPr="003E6EF0">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51164421" w14:textId="77777777" w:rsidR="007044EB" w:rsidRPr="003E6EF0" w:rsidRDefault="007044EB" w:rsidP="007044EB">
      <w:pPr>
        <w:pStyle w:val="Textoindependiente"/>
        <w:ind w:firstLine="708"/>
        <w:rPr>
          <w:rFonts w:ascii="Abadi" w:hAnsi="Abadi"/>
          <w:b w:val="0"/>
          <w:bCs w:val="0"/>
          <w:sz w:val="21"/>
          <w:szCs w:val="21"/>
        </w:rPr>
      </w:pPr>
    </w:p>
    <w:p w14:paraId="5E40981A" w14:textId="77777777" w:rsidR="007044EB" w:rsidRPr="003E6EF0" w:rsidRDefault="007044EB" w:rsidP="007044EB">
      <w:pPr>
        <w:pStyle w:val="Textoindependiente"/>
        <w:ind w:firstLine="708"/>
        <w:rPr>
          <w:rFonts w:ascii="Abadi" w:hAnsi="Abadi"/>
          <w:b w:val="0"/>
          <w:bCs w:val="0"/>
          <w:sz w:val="21"/>
          <w:szCs w:val="21"/>
        </w:rPr>
      </w:pPr>
    </w:p>
    <w:p w14:paraId="6F180FC9" w14:textId="77777777" w:rsidR="007044EB" w:rsidRPr="003E6EF0" w:rsidRDefault="007044EB" w:rsidP="007044EB">
      <w:pPr>
        <w:pStyle w:val="Textoindependiente"/>
        <w:ind w:firstLine="708"/>
        <w:rPr>
          <w:rFonts w:ascii="Abadi" w:hAnsi="Abadi"/>
          <w:b w:val="0"/>
          <w:bCs w:val="0"/>
          <w:sz w:val="21"/>
          <w:szCs w:val="21"/>
        </w:rPr>
      </w:pPr>
      <w:r w:rsidRPr="003E6EF0">
        <w:rPr>
          <w:rFonts w:ascii="Abadi" w:hAnsi="Abadi"/>
          <w:b w:val="0"/>
          <w:bCs w:val="0"/>
          <w:sz w:val="21"/>
          <w:szCs w:val="21"/>
        </w:rPr>
        <w:t xml:space="preserve">En fechas 28 y 29 de marzo de 2023 respectivamente, dentro del plazo que prevé la fracción IV del artículo 37 de </w:t>
      </w:r>
      <w:smartTag w:uri="urn:schemas-microsoft-com:office:smarttags" w:element="PersonName">
        <w:smartTagPr>
          <w:attr w:name="ProductID" w:val="la Ley"/>
        </w:smartTagPr>
        <w:r w:rsidRPr="003E6EF0">
          <w:rPr>
            <w:rFonts w:ascii="Abadi" w:hAnsi="Abadi"/>
            <w:b w:val="0"/>
            <w:bCs w:val="0"/>
            <w:sz w:val="21"/>
            <w:szCs w:val="21"/>
          </w:rPr>
          <w:t>la Ley</w:t>
        </w:r>
      </w:smartTag>
      <w:r w:rsidRPr="003E6EF0">
        <w:rPr>
          <w:rFonts w:ascii="Abadi" w:hAnsi="Abadi"/>
          <w:b w:val="0"/>
          <w:bCs w:val="0"/>
          <w:sz w:val="21"/>
          <w:szCs w:val="21"/>
        </w:rPr>
        <w:t xml:space="preserve"> de Fiscalización Superior del Estado de Guanajuato, la presidenta y el ex presidente municipales de Yuriria, </w:t>
      </w:r>
      <w:proofErr w:type="spellStart"/>
      <w:r w:rsidRPr="003E6EF0">
        <w:rPr>
          <w:rFonts w:ascii="Abadi" w:hAnsi="Abadi"/>
          <w:b w:val="0"/>
          <w:bCs w:val="0"/>
          <w:sz w:val="21"/>
          <w:szCs w:val="21"/>
        </w:rPr>
        <w:t>Gto</w:t>
      </w:r>
      <w:proofErr w:type="spellEnd"/>
      <w:r w:rsidRPr="003E6EF0">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siendo admitidos dichos recursos, al colmarse los requisitos de procedibilidad previstos por el artículo 51 de </w:t>
      </w:r>
      <w:smartTag w:uri="urn:schemas-microsoft-com:office:smarttags" w:element="PersonName">
        <w:smartTagPr>
          <w:attr w:name="ProductID" w:val="la Ley"/>
        </w:smartTagPr>
        <w:r w:rsidRPr="003E6EF0">
          <w:rPr>
            <w:rFonts w:ascii="Abadi" w:hAnsi="Abadi"/>
            <w:b w:val="0"/>
            <w:bCs w:val="0"/>
            <w:sz w:val="21"/>
            <w:szCs w:val="21"/>
          </w:rPr>
          <w:t>la Ley</w:t>
        </w:r>
      </w:smartTag>
      <w:r w:rsidRPr="003E6EF0">
        <w:rPr>
          <w:rFonts w:ascii="Abadi" w:hAnsi="Abadi"/>
          <w:b w:val="0"/>
          <w:bCs w:val="0"/>
          <w:sz w:val="21"/>
          <w:szCs w:val="21"/>
        </w:rPr>
        <w:t xml:space="preserve"> de Fiscalización Superior del Estado de Guanajuato.</w:t>
      </w:r>
    </w:p>
    <w:p w14:paraId="092272E8" w14:textId="77777777" w:rsidR="007044EB" w:rsidRPr="003E6EF0" w:rsidRDefault="007044EB" w:rsidP="007044EB">
      <w:pPr>
        <w:ind w:firstLine="708"/>
        <w:jc w:val="both"/>
        <w:rPr>
          <w:rFonts w:ascii="Abadi" w:hAnsi="Abadi"/>
          <w:sz w:val="21"/>
          <w:szCs w:val="21"/>
        </w:rPr>
      </w:pPr>
    </w:p>
    <w:p w14:paraId="099EDC84" w14:textId="77777777" w:rsidR="007044EB" w:rsidRPr="003E6EF0" w:rsidRDefault="007044EB" w:rsidP="007044EB">
      <w:pPr>
        <w:pStyle w:val="Textoindependiente"/>
        <w:ind w:firstLine="708"/>
        <w:rPr>
          <w:rFonts w:ascii="Abadi" w:hAnsi="Abadi"/>
          <w:b w:val="0"/>
          <w:bCs w:val="0"/>
          <w:sz w:val="21"/>
          <w:szCs w:val="21"/>
        </w:rPr>
      </w:pPr>
      <w:r w:rsidRPr="003E6EF0">
        <w:rPr>
          <w:rFonts w:ascii="Abadi" w:hAnsi="Abadi"/>
          <w:b w:val="0"/>
          <w:bCs w:val="0"/>
          <w:sz w:val="21"/>
          <w:szCs w:val="21"/>
        </w:rPr>
        <w:t xml:space="preserve">Una vez tramitados los recursos, el Auditor Superior el 5 de mayo de 2023 emitió la resolución correspondiente, a la cual haremos referencia en un apartado posterior, misma que se notificó a la presidenta y al ex presidente municipales de Yuriria, </w:t>
      </w:r>
      <w:proofErr w:type="spellStart"/>
      <w:r w:rsidRPr="003E6EF0">
        <w:rPr>
          <w:rFonts w:ascii="Abadi" w:hAnsi="Abadi"/>
          <w:b w:val="0"/>
          <w:bCs w:val="0"/>
          <w:sz w:val="21"/>
          <w:szCs w:val="21"/>
        </w:rPr>
        <w:t>Gto</w:t>
      </w:r>
      <w:proofErr w:type="spellEnd"/>
      <w:r w:rsidRPr="003E6EF0">
        <w:rPr>
          <w:rFonts w:ascii="Abadi" w:hAnsi="Abadi"/>
          <w:b w:val="0"/>
          <w:bCs w:val="0"/>
          <w:sz w:val="21"/>
          <w:szCs w:val="21"/>
        </w:rPr>
        <w:t>., los días 8 y 9 de mayo de 2023 respectivamente.</w:t>
      </w:r>
    </w:p>
    <w:p w14:paraId="2E7E6A34" w14:textId="77777777" w:rsidR="007044EB" w:rsidRPr="003E6EF0" w:rsidRDefault="007044EB" w:rsidP="007044EB">
      <w:pPr>
        <w:ind w:firstLine="708"/>
        <w:jc w:val="both"/>
        <w:rPr>
          <w:rFonts w:ascii="Abadi" w:hAnsi="Abadi" w:cs="Arial"/>
          <w:sz w:val="21"/>
          <w:szCs w:val="21"/>
        </w:rPr>
      </w:pPr>
    </w:p>
    <w:p w14:paraId="42BD13D9" w14:textId="77777777" w:rsidR="007044EB" w:rsidRPr="00F7530A" w:rsidRDefault="007044EB" w:rsidP="007044EB">
      <w:pPr>
        <w:pStyle w:val="Textoindependiente"/>
        <w:ind w:firstLine="708"/>
        <w:rPr>
          <w:rFonts w:ascii="Abadi" w:hAnsi="Abadi"/>
          <w:sz w:val="21"/>
          <w:szCs w:val="21"/>
        </w:rPr>
      </w:pPr>
      <w:r w:rsidRPr="00F7530A">
        <w:rPr>
          <w:rFonts w:ascii="Abadi" w:hAnsi="Abadi"/>
          <w:sz w:val="21"/>
          <w:szCs w:val="21"/>
        </w:rPr>
        <w:t>IV. Contenido del Informe de Resultados:</w:t>
      </w:r>
    </w:p>
    <w:p w14:paraId="6AAF4631" w14:textId="77777777" w:rsidR="007044EB" w:rsidRPr="00F7530A" w:rsidRDefault="007044EB" w:rsidP="007044EB">
      <w:pPr>
        <w:pStyle w:val="Textoindependiente"/>
        <w:rPr>
          <w:rFonts w:ascii="Abadi" w:hAnsi="Abadi"/>
          <w:sz w:val="21"/>
          <w:szCs w:val="21"/>
        </w:rPr>
      </w:pPr>
    </w:p>
    <w:p w14:paraId="6124C840" w14:textId="77777777" w:rsidR="007044EB" w:rsidRPr="003E6EF0" w:rsidRDefault="007044EB" w:rsidP="007044EB">
      <w:pPr>
        <w:pStyle w:val="Textoindependiente"/>
        <w:rPr>
          <w:rFonts w:ascii="Abadi" w:hAnsi="Abadi"/>
          <w:b w:val="0"/>
          <w:bCs w:val="0"/>
          <w:sz w:val="21"/>
          <w:szCs w:val="21"/>
        </w:rPr>
      </w:pPr>
      <w:r w:rsidRPr="003E6EF0">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5B232227" w14:textId="77777777" w:rsidR="007044EB" w:rsidRPr="003E6EF0" w:rsidRDefault="007044EB" w:rsidP="007044EB">
      <w:pPr>
        <w:pStyle w:val="Textoindependiente"/>
        <w:rPr>
          <w:rFonts w:ascii="Abadi" w:hAnsi="Abadi"/>
          <w:b w:val="0"/>
          <w:bCs w:val="0"/>
          <w:sz w:val="21"/>
          <w:szCs w:val="21"/>
        </w:rPr>
      </w:pPr>
    </w:p>
    <w:p w14:paraId="6DE22960" w14:textId="77777777" w:rsidR="007044EB" w:rsidRPr="00F7530A" w:rsidRDefault="007044EB" w:rsidP="00427BD6">
      <w:pPr>
        <w:pStyle w:val="Textoindependiente"/>
        <w:numPr>
          <w:ilvl w:val="0"/>
          <w:numId w:val="9"/>
        </w:numPr>
        <w:autoSpaceDE/>
        <w:autoSpaceDN/>
        <w:rPr>
          <w:rFonts w:ascii="Abadi" w:hAnsi="Abadi"/>
          <w:sz w:val="21"/>
          <w:szCs w:val="21"/>
        </w:rPr>
      </w:pPr>
      <w:r w:rsidRPr="00F7530A">
        <w:rPr>
          <w:rFonts w:ascii="Abadi" w:hAnsi="Abadi"/>
          <w:sz w:val="21"/>
          <w:szCs w:val="21"/>
        </w:rPr>
        <w:t>Introducción.</w:t>
      </w:r>
    </w:p>
    <w:p w14:paraId="185A47B5" w14:textId="77777777" w:rsidR="007044EB" w:rsidRPr="003E6EF0" w:rsidRDefault="007044EB" w:rsidP="007044EB">
      <w:pPr>
        <w:pStyle w:val="Textoindependiente"/>
        <w:ind w:left="705"/>
        <w:rPr>
          <w:rFonts w:ascii="Abadi" w:hAnsi="Abadi"/>
          <w:b w:val="0"/>
          <w:bCs w:val="0"/>
          <w:sz w:val="21"/>
          <w:szCs w:val="21"/>
        </w:rPr>
      </w:pPr>
    </w:p>
    <w:p w14:paraId="5A7D99BC"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Por lo que se refiere a este punto, se establecen los criterios de selección; el objetivo de la revisión; el alcance de la revisión respecto a los apartados de ingresos y egresos, precisando que el detalle de los alcances de la revisión se consigna en el Anexo 01 del informe de resultados.</w:t>
      </w:r>
    </w:p>
    <w:p w14:paraId="1F7F96DE" w14:textId="77777777" w:rsidR="007044EB" w:rsidRPr="003E6EF0" w:rsidRDefault="007044EB" w:rsidP="007044EB">
      <w:pPr>
        <w:pStyle w:val="Textoindependiente"/>
        <w:ind w:firstLine="705"/>
        <w:rPr>
          <w:rFonts w:ascii="Abadi" w:hAnsi="Abadi"/>
          <w:b w:val="0"/>
          <w:bCs w:val="0"/>
          <w:sz w:val="21"/>
          <w:szCs w:val="21"/>
        </w:rPr>
      </w:pPr>
    </w:p>
    <w:p w14:paraId="7CCB86C1"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Por otra parte, en este apartado se precisan los procedimientos de auditoría aplicados, siendo estos: inspección, observación, confirmación externa, recálculo, procedimientos analíticos, re ejecución e indagación.</w:t>
      </w:r>
    </w:p>
    <w:p w14:paraId="26FD9E97" w14:textId="77777777" w:rsidR="007044EB" w:rsidRPr="003E6EF0" w:rsidRDefault="007044EB" w:rsidP="007044EB">
      <w:pPr>
        <w:pStyle w:val="Textoindependiente"/>
        <w:ind w:firstLine="705"/>
        <w:rPr>
          <w:rFonts w:ascii="Abadi" w:hAnsi="Abadi"/>
          <w:b w:val="0"/>
          <w:bCs w:val="0"/>
          <w:sz w:val="21"/>
          <w:szCs w:val="21"/>
        </w:rPr>
      </w:pPr>
    </w:p>
    <w:p w14:paraId="6AB9BFB9"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72FD173D" w14:textId="77777777" w:rsidR="007044EB" w:rsidRPr="003E6EF0" w:rsidRDefault="007044EB" w:rsidP="007044EB">
      <w:pPr>
        <w:jc w:val="both"/>
        <w:rPr>
          <w:rFonts w:ascii="Abadi" w:hAnsi="Abadi" w:cs="Arial"/>
          <w:i/>
          <w:iCs/>
          <w:sz w:val="21"/>
          <w:szCs w:val="21"/>
          <w:lang w:eastAsia="x-none"/>
        </w:rPr>
      </w:pPr>
    </w:p>
    <w:p w14:paraId="727162BD" w14:textId="77777777" w:rsidR="007044EB" w:rsidRPr="00EF2D34" w:rsidRDefault="007044EB" w:rsidP="007044EB">
      <w:pPr>
        <w:jc w:val="both"/>
        <w:rPr>
          <w:rFonts w:ascii="Abadi" w:hAnsi="Abadi" w:cs="Arial"/>
          <w:i/>
          <w:iCs/>
          <w:sz w:val="21"/>
          <w:szCs w:val="21"/>
          <w:lang w:eastAsia="x-none"/>
        </w:rPr>
      </w:pPr>
    </w:p>
    <w:p w14:paraId="02E5D5F0" w14:textId="77777777" w:rsidR="007044EB" w:rsidRPr="00EF2D34" w:rsidRDefault="007044EB" w:rsidP="007044EB">
      <w:pPr>
        <w:jc w:val="both"/>
        <w:rPr>
          <w:rFonts w:ascii="Abadi" w:hAnsi="Abadi" w:cs="Arial"/>
          <w:i/>
          <w:iCs/>
          <w:sz w:val="21"/>
          <w:szCs w:val="21"/>
          <w:lang w:eastAsia="x-none"/>
        </w:rPr>
      </w:pPr>
      <w:r w:rsidRPr="00EF2D34">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w:t>
      </w:r>
      <w:r w:rsidRPr="00EF2D34">
        <w:rPr>
          <w:rFonts w:ascii="Abadi" w:hAnsi="Abadi" w:cs="Arial"/>
          <w:i/>
          <w:iCs/>
          <w:sz w:val="21"/>
          <w:szCs w:val="21"/>
          <w:lang w:eastAsia="x-none"/>
        </w:rPr>
        <w:t xml:space="preserve">elemento relevante en la determinación de los contratos a revisar. </w:t>
      </w:r>
    </w:p>
    <w:p w14:paraId="464D139B" w14:textId="77777777" w:rsidR="007044EB" w:rsidRPr="00EF2D34" w:rsidRDefault="007044EB" w:rsidP="007044EB">
      <w:pPr>
        <w:rPr>
          <w:rFonts w:ascii="Abadi" w:hAnsi="Abadi" w:cs="Arial"/>
          <w:i/>
          <w:iCs/>
          <w:sz w:val="21"/>
          <w:szCs w:val="21"/>
          <w:lang w:eastAsia="x-none"/>
        </w:rPr>
      </w:pPr>
    </w:p>
    <w:p w14:paraId="15F5FCBA" w14:textId="77777777" w:rsidR="007044EB" w:rsidRPr="00EF2D34" w:rsidRDefault="007044EB" w:rsidP="007044EB">
      <w:pPr>
        <w:jc w:val="both"/>
        <w:rPr>
          <w:rFonts w:ascii="Abadi" w:hAnsi="Abadi" w:cs="Arial"/>
          <w:i/>
          <w:iCs/>
          <w:sz w:val="21"/>
          <w:szCs w:val="21"/>
          <w:lang w:eastAsia="x-none"/>
        </w:rPr>
      </w:pPr>
      <w:r w:rsidRPr="00EF2D34">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8ED26C4" w14:textId="77777777" w:rsidR="007044EB" w:rsidRPr="00EF2D34" w:rsidRDefault="007044EB" w:rsidP="007044EB">
      <w:pPr>
        <w:jc w:val="both"/>
        <w:rPr>
          <w:rFonts w:ascii="Abadi" w:hAnsi="Abadi" w:cs="Arial"/>
          <w:i/>
          <w:iCs/>
          <w:sz w:val="21"/>
          <w:szCs w:val="21"/>
          <w:lang w:eastAsia="x-none"/>
        </w:rPr>
      </w:pPr>
    </w:p>
    <w:p w14:paraId="5CF4F3B6" w14:textId="77777777" w:rsidR="007044EB" w:rsidRPr="00EF2D34" w:rsidRDefault="007044EB" w:rsidP="007044EB">
      <w:pPr>
        <w:jc w:val="both"/>
        <w:rPr>
          <w:rFonts w:ascii="Abadi" w:hAnsi="Abadi" w:cs="Arial"/>
          <w:i/>
          <w:iCs/>
          <w:sz w:val="21"/>
          <w:szCs w:val="21"/>
          <w:lang w:eastAsia="x-none"/>
        </w:rPr>
      </w:pPr>
      <w:r w:rsidRPr="00EF2D34">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3C366409" w14:textId="77777777" w:rsidR="007044EB" w:rsidRPr="00EF2D34" w:rsidRDefault="007044EB" w:rsidP="007044EB">
      <w:pPr>
        <w:jc w:val="both"/>
        <w:rPr>
          <w:rFonts w:ascii="Abadi" w:hAnsi="Abadi" w:cs="Arial"/>
          <w:i/>
          <w:iCs/>
          <w:sz w:val="21"/>
          <w:szCs w:val="21"/>
          <w:lang w:eastAsia="x-none"/>
        </w:rPr>
      </w:pPr>
    </w:p>
    <w:p w14:paraId="0DA87BB9" w14:textId="77777777" w:rsidR="007044EB" w:rsidRPr="00EF2D34" w:rsidRDefault="007044EB" w:rsidP="007044EB">
      <w:pPr>
        <w:ind w:firstLine="705"/>
        <w:jc w:val="both"/>
        <w:rPr>
          <w:rFonts w:ascii="Abadi" w:hAnsi="Abadi" w:cs="Arial"/>
          <w:sz w:val="21"/>
          <w:szCs w:val="21"/>
          <w:lang w:eastAsia="x-none"/>
        </w:rPr>
      </w:pPr>
      <w:r w:rsidRPr="00EF2D34">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EF2D34">
        <w:rPr>
          <w:rFonts w:ascii="Abadi" w:hAnsi="Abadi" w:cs="Arial"/>
          <w:sz w:val="21"/>
          <w:szCs w:val="21"/>
          <w:lang w:eastAsia="x-none"/>
        </w:rPr>
        <w:t>fiscalizado</w:t>
      </w:r>
      <w:proofErr w:type="spellEnd"/>
      <w:r w:rsidRPr="00EF2D34">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carácter de </w:t>
      </w:r>
      <w:r w:rsidRPr="00EF2D34">
        <w:rPr>
          <w:rFonts w:ascii="Abadi" w:hAnsi="Abadi" w:cs="Arial"/>
          <w:i/>
          <w:iCs/>
          <w:sz w:val="21"/>
          <w:szCs w:val="21"/>
          <w:lang w:eastAsia="x-none"/>
        </w:rPr>
        <w:t>«Definitivos»,</w:t>
      </w:r>
      <w:r w:rsidRPr="00EF2D34">
        <w:rPr>
          <w:rFonts w:ascii="Abadi" w:hAnsi="Abadi" w:cs="Arial"/>
          <w:sz w:val="21"/>
          <w:szCs w:val="21"/>
          <w:lang w:eastAsia="x-none"/>
        </w:rPr>
        <w:t xml:space="preserve"> emitidas por el Servicio de Administración Tributaria.</w:t>
      </w:r>
    </w:p>
    <w:p w14:paraId="139F2281" w14:textId="77777777" w:rsidR="007044EB" w:rsidRPr="00EF2D34" w:rsidRDefault="007044EB" w:rsidP="007044EB">
      <w:pPr>
        <w:pStyle w:val="Textoindependiente"/>
        <w:ind w:firstLine="705"/>
        <w:rPr>
          <w:rFonts w:ascii="Abadi" w:hAnsi="Abadi"/>
          <w:sz w:val="21"/>
          <w:szCs w:val="21"/>
        </w:rPr>
      </w:pPr>
    </w:p>
    <w:p w14:paraId="5AFB6E7A" w14:textId="77777777" w:rsidR="007044EB" w:rsidRPr="00EF2D34" w:rsidRDefault="007044EB" w:rsidP="007044EB">
      <w:pPr>
        <w:ind w:firstLine="705"/>
        <w:jc w:val="both"/>
        <w:rPr>
          <w:rFonts w:ascii="Abadi" w:hAnsi="Abadi" w:cs="Arial"/>
          <w:sz w:val="21"/>
          <w:szCs w:val="21"/>
          <w:lang w:eastAsia="x-none"/>
        </w:rPr>
      </w:pPr>
      <w:r w:rsidRPr="00EF2D34">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EF2D34">
        <w:rPr>
          <w:rFonts w:ascii="Abadi" w:hAnsi="Abadi" w:cs="Arial"/>
          <w:sz w:val="21"/>
          <w:szCs w:val="21"/>
          <w:lang w:eastAsia="x-none"/>
        </w:rPr>
        <w:t>fiscalizado</w:t>
      </w:r>
      <w:proofErr w:type="spellEnd"/>
      <w:r w:rsidRPr="00EF2D34">
        <w:rPr>
          <w:rFonts w:ascii="Abadi" w:hAnsi="Abadi" w:cs="Arial"/>
          <w:sz w:val="21"/>
          <w:szCs w:val="21"/>
          <w:lang w:eastAsia="x-none"/>
        </w:rPr>
        <w:t xml:space="preserve">,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w:t>
      </w:r>
      <w:r w:rsidRPr="00EF2D34">
        <w:rPr>
          <w:rFonts w:ascii="Abadi" w:hAnsi="Abadi" w:cs="Arial"/>
          <w:sz w:val="21"/>
          <w:szCs w:val="21"/>
          <w:lang w:eastAsia="x-none"/>
        </w:rPr>
        <w:lastRenderedPageBreak/>
        <w:t>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ACA2053" w14:textId="77777777" w:rsidR="007044EB" w:rsidRPr="00EF2D34" w:rsidRDefault="007044EB" w:rsidP="007044EB">
      <w:pPr>
        <w:ind w:firstLine="705"/>
        <w:jc w:val="both"/>
        <w:rPr>
          <w:rFonts w:ascii="Abadi" w:hAnsi="Abadi" w:cs="Arial"/>
          <w:sz w:val="21"/>
          <w:szCs w:val="21"/>
          <w:lang w:eastAsia="x-none"/>
        </w:rPr>
      </w:pPr>
    </w:p>
    <w:p w14:paraId="37470079" w14:textId="77777777" w:rsidR="007044EB" w:rsidRPr="00EF2D34" w:rsidRDefault="007044EB" w:rsidP="007044EB">
      <w:pPr>
        <w:ind w:firstLine="705"/>
        <w:jc w:val="both"/>
        <w:rPr>
          <w:rFonts w:ascii="Abadi" w:hAnsi="Abadi" w:cs="Arial"/>
          <w:sz w:val="21"/>
          <w:szCs w:val="21"/>
          <w:lang w:val="es-MX" w:eastAsia="x-none"/>
        </w:rPr>
      </w:pPr>
      <w:r w:rsidRPr="00EF2D34">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w:t>
      </w:r>
      <w:proofErr w:type="spellStart"/>
      <w:r w:rsidRPr="00EF2D34">
        <w:rPr>
          <w:rFonts w:ascii="Abadi" w:hAnsi="Abadi" w:cs="Arial"/>
          <w:sz w:val="21"/>
          <w:szCs w:val="21"/>
          <w:lang w:val="es-MX" w:eastAsia="x-none"/>
        </w:rPr>
        <w:t>fiscalizado</w:t>
      </w:r>
      <w:proofErr w:type="spellEnd"/>
      <w:r w:rsidRPr="00EF2D34">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EF2D34">
        <w:rPr>
          <w:rFonts w:ascii="Abadi" w:hAnsi="Abadi" w:cs="Arial"/>
          <w:sz w:val="21"/>
          <w:szCs w:val="21"/>
          <w:lang w:val="es-MX" w:eastAsia="x-none"/>
        </w:rPr>
        <w:t>fiscalizado</w:t>
      </w:r>
      <w:proofErr w:type="spellEnd"/>
      <w:r w:rsidRPr="00EF2D34">
        <w:rPr>
          <w:rFonts w:ascii="Abadi" w:hAnsi="Abadi" w:cs="Arial"/>
          <w:sz w:val="21"/>
          <w:szCs w:val="21"/>
          <w:lang w:val="es-MX" w:eastAsia="x-none"/>
        </w:rPr>
        <w:t>.</w:t>
      </w:r>
    </w:p>
    <w:p w14:paraId="39E9E039" w14:textId="77777777" w:rsidR="007044EB" w:rsidRPr="00EF2D34" w:rsidRDefault="007044EB" w:rsidP="007044EB">
      <w:pPr>
        <w:ind w:firstLine="705"/>
        <w:jc w:val="both"/>
        <w:rPr>
          <w:rFonts w:ascii="Abadi" w:hAnsi="Abadi" w:cs="Arial"/>
          <w:sz w:val="21"/>
          <w:szCs w:val="21"/>
          <w:lang w:val="es-MX" w:eastAsia="x-none"/>
        </w:rPr>
      </w:pPr>
    </w:p>
    <w:p w14:paraId="5C4BC25F" w14:textId="77777777" w:rsidR="007044EB" w:rsidRPr="00EF2D34" w:rsidRDefault="007044EB" w:rsidP="007044EB">
      <w:pPr>
        <w:ind w:firstLine="705"/>
        <w:jc w:val="both"/>
        <w:rPr>
          <w:rFonts w:ascii="Abadi" w:hAnsi="Abadi" w:cs="Arial"/>
          <w:sz w:val="21"/>
          <w:szCs w:val="21"/>
          <w:lang w:val="es-MX" w:eastAsia="x-none"/>
        </w:rPr>
      </w:pPr>
      <w:r w:rsidRPr="00EF2D34">
        <w:rPr>
          <w:rFonts w:ascii="Abadi" w:hAnsi="Abadi" w:cs="Arial"/>
          <w:sz w:val="21"/>
          <w:szCs w:val="21"/>
          <w:lang w:val="es-MX" w:eastAsia="x-none"/>
        </w:rPr>
        <w:t xml:space="preserve">Adicionalmente, se analizó el informe general del proceso de entrega recepción 2021 de la administración pública municipal de Yuriria, </w:t>
      </w:r>
      <w:proofErr w:type="spellStart"/>
      <w:r w:rsidRPr="00EF2D34">
        <w:rPr>
          <w:rFonts w:ascii="Abadi" w:hAnsi="Abadi" w:cs="Arial"/>
          <w:sz w:val="21"/>
          <w:szCs w:val="21"/>
          <w:lang w:val="es-MX" w:eastAsia="x-none"/>
        </w:rPr>
        <w:t>Gto</w:t>
      </w:r>
      <w:proofErr w:type="spellEnd"/>
      <w:r w:rsidRPr="00EF2D34">
        <w:rPr>
          <w:rFonts w:ascii="Abadi" w:hAnsi="Abadi" w:cs="Arial"/>
          <w:sz w:val="21"/>
          <w:szCs w:val="21"/>
          <w:lang w:val="es-MX" w:eastAsia="x-none"/>
        </w:rPr>
        <w:t>., y en su caso se aplicaron los procedimientos de auditoría correspondientes.</w:t>
      </w:r>
    </w:p>
    <w:p w14:paraId="616CA448" w14:textId="77777777" w:rsidR="007044EB" w:rsidRPr="00EF2D34" w:rsidRDefault="007044EB" w:rsidP="007044EB">
      <w:pPr>
        <w:ind w:firstLine="705"/>
        <w:jc w:val="both"/>
        <w:rPr>
          <w:rFonts w:ascii="Abadi" w:hAnsi="Abadi" w:cs="Arial"/>
          <w:sz w:val="21"/>
          <w:szCs w:val="21"/>
          <w:lang w:val="es-MX" w:eastAsia="x-none"/>
        </w:rPr>
      </w:pPr>
    </w:p>
    <w:p w14:paraId="1FE73BF8" w14:textId="77777777" w:rsidR="007044EB" w:rsidRPr="00EF2D34" w:rsidRDefault="007044EB" w:rsidP="007044EB">
      <w:pPr>
        <w:ind w:firstLine="705"/>
        <w:jc w:val="both"/>
        <w:rPr>
          <w:rFonts w:ascii="Abadi" w:hAnsi="Abadi" w:cs="Arial"/>
          <w:sz w:val="21"/>
          <w:szCs w:val="21"/>
          <w:lang w:val="es-MX" w:eastAsia="x-none"/>
        </w:rPr>
      </w:pPr>
      <w:r w:rsidRPr="00EF2D34">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Yuriria, </w:t>
      </w:r>
      <w:proofErr w:type="spellStart"/>
      <w:r w:rsidRPr="00EF2D34">
        <w:rPr>
          <w:rFonts w:ascii="Abadi" w:hAnsi="Abadi" w:cs="Arial"/>
          <w:sz w:val="21"/>
          <w:szCs w:val="21"/>
          <w:lang w:val="es-MX" w:eastAsia="x-none"/>
        </w:rPr>
        <w:t>Gto</w:t>
      </w:r>
      <w:proofErr w:type="spellEnd"/>
      <w:r w:rsidRPr="00EF2D34">
        <w:rPr>
          <w:rFonts w:ascii="Abadi" w:hAnsi="Abadi" w:cs="Arial"/>
          <w:sz w:val="21"/>
          <w:szCs w:val="21"/>
          <w:lang w:val="es-MX" w:eastAsia="x-none"/>
        </w:rPr>
        <w:t xml:space="preserve">., cumplió con las disposiciones normativas </w:t>
      </w:r>
      <w:r w:rsidRPr="00EF2D34">
        <w:rPr>
          <w:rFonts w:ascii="Abadi" w:hAnsi="Abadi" w:cs="Arial"/>
          <w:sz w:val="21"/>
          <w:szCs w:val="21"/>
          <w:lang w:val="es-MX" w:eastAsia="x-none"/>
        </w:rPr>
        <w:t xml:space="preserve">aplicables, excepto por los resultados que se precisan en el informe de resultados. </w:t>
      </w:r>
    </w:p>
    <w:p w14:paraId="04F45C75" w14:textId="77777777" w:rsidR="007044EB" w:rsidRPr="00EF2D34" w:rsidRDefault="007044EB" w:rsidP="007044EB">
      <w:pPr>
        <w:ind w:firstLine="705"/>
        <w:jc w:val="both"/>
        <w:rPr>
          <w:rFonts w:ascii="Abadi" w:hAnsi="Abadi" w:cs="Arial"/>
          <w:sz w:val="21"/>
          <w:szCs w:val="21"/>
          <w:lang w:val="es-MX" w:eastAsia="x-none"/>
        </w:rPr>
      </w:pPr>
    </w:p>
    <w:p w14:paraId="2D8BB34C"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6 observaciones, de las cuales 1 se solventó y 5 no fueron solventadas. Asimismo, se formularon 2 recomendaciones que no se atendieron. </w:t>
      </w:r>
    </w:p>
    <w:p w14:paraId="636A2653" w14:textId="77777777" w:rsidR="007044EB" w:rsidRPr="00EF2D34" w:rsidRDefault="007044EB" w:rsidP="007044EB">
      <w:pPr>
        <w:pStyle w:val="Textoindependiente"/>
        <w:ind w:firstLine="705"/>
        <w:rPr>
          <w:rFonts w:ascii="Abadi" w:hAnsi="Abadi"/>
          <w:sz w:val="21"/>
          <w:szCs w:val="21"/>
        </w:rPr>
      </w:pPr>
    </w:p>
    <w:p w14:paraId="7A4D356F" w14:textId="77777777" w:rsidR="007044EB" w:rsidRPr="00EF2D34" w:rsidRDefault="007044EB" w:rsidP="007044EB">
      <w:pPr>
        <w:pStyle w:val="Textoindependiente"/>
        <w:ind w:firstLine="705"/>
        <w:rPr>
          <w:rFonts w:ascii="Abadi" w:hAnsi="Abadi"/>
          <w:sz w:val="21"/>
          <w:szCs w:val="21"/>
        </w:rPr>
      </w:pPr>
    </w:p>
    <w:p w14:paraId="6DAD7868"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002, 003 y 004, existen importes no solventados por la cuantía que ahí se refiere. No obstante, mediante la resolución recaída al recurso de reconsideración promovido en contra del informe de resultados, se modificó el complemento de la valoración de la observación plasmada en el numeral 004, para quedar sin acciones pendientes de realizar por el sujeto fiscalizado. </w:t>
      </w:r>
    </w:p>
    <w:p w14:paraId="32F12332" w14:textId="77777777" w:rsidR="007044EB" w:rsidRPr="003E6EF0" w:rsidRDefault="007044EB" w:rsidP="007044EB">
      <w:pPr>
        <w:pStyle w:val="Textoindependiente"/>
        <w:ind w:firstLine="705"/>
        <w:rPr>
          <w:rFonts w:ascii="Abadi" w:hAnsi="Abadi"/>
          <w:b w:val="0"/>
          <w:bCs w:val="0"/>
          <w:sz w:val="21"/>
          <w:szCs w:val="21"/>
        </w:rPr>
      </w:pPr>
    </w:p>
    <w:p w14:paraId="67E000EA"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 xml:space="preserve">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administración pública municipal de Yuriria, </w:t>
      </w:r>
      <w:proofErr w:type="spellStart"/>
      <w:r w:rsidRPr="003E6EF0">
        <w:rPr>
          <w:rFonts w:ascii="Abadi" w:hAnsi="Abadi"/>
          <w:b w:val="0"/>
          <w:bCs w:val="0"/>
          <w:sz w:val="21"/>
          <w:szCs w:val="21"/>
        </w:rPr>
        <w:t>Gto</w:t>
      </w:r>
      <w:proofErr w:type="spellEnd"/>
      <w:r w:rsidRPr="003E6EF0">
        <w:rPr>
          <w:rFonts w:ascii="Abadi" w:hAnsi="Abadi"/>
          <w:b w:val="0"/>
          <w:bCs w:val="0"/>
          <w:sz w:val="21"/>
          <w:szCs w:val="21"/>
        </w:rPr>
        <w:t>., celebró operaciones; entre los procedimientos expuestos, se verificó que estas no se encontraran en el listado de Empresas que Facturan Operaciones</w:t>
      </w:r>
      <w:r w:rsidRPr="00EF2D34">
        <w:rPr>
          <w:rFonts w:ascii="Abadi" w:hAnsi="Abadi"/>
          <w:sz w:val="21"/>
          <w:szCs w:val="21"/>
        </w:rPr>
        <w:t xml:space="preserve"> Simuladas (EFOS) u operaciones inexistentes </w:t>
      </w:r>
      <w:r w:rsidRPr="003E6EF0">
        <w:rPr>
          <w:rFonts w:ascii="Abadi" w:hAnsi="Abadi"/>
          <w:b w:val="0"/>
          <w:bCs w:val="0"/>
          <w:sz w:val="21"/>
          <w:szCs w:val="21"/>
        </w:rPr>
        <w:t>con el carácter de «</w:t>
      </w:r>
      <w:r w:rsidRPr="003E6EF0">
        <w:rPr>
          <w:rFonts w:ascii="Abadi" w:hAnsi="Abadi"/>
          <w:b w:val="0"/>
          <w:bCs w:val="0"/>
          <w:i/>
          <w:iCs/>
          <w:sz w:val="21"/>
          <w:szCs w:val="21"/>
        </w:rPr>
        <w:t>Definitivos»</w:t>
      </w:r>
      <w:r w:rsidRPr="003E6EF0">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1790035A" w14:textId="77777777" w:rsidR="007044EB" w:rsidRPr="00EF2D34" w:rsidRDefault="007044EB" w:rsidP="007044EB">
      <w:pPr>
        <w:pStyle w:val="Textoindependiente"/>
        <w:ind w:firstLine="705"/>
        <w:rPr>
          <w:rFonts w:ascii="Abadi" w:hAnsi="Abadi"/>
          <w:sz w:val="21"/>
          <w:szCs w:val="21"/>
        </w:rPr>
      </w:pPr>
    </w:p>
    <w:p w14:paraId="0ADD4E38" w14:textId="77777777" w:rsidR="007044EB" w:rsidRPr="003E6EF0" w:rsidRDefault="007044EB" w:rsidP="00427BD6">
      <w:pPr>
        <w:pStyle w:val="Textoindependiente"/>
        <w:numPr>
          <w:ilvl w:val="0"/>
          <w:numId w:val="9"/>
        </w:numPr>
        <w:tabs>
          <w:tab w:val="clear" w:pos="1065"/>
          <w:tab w:val="num" w:pos="0"/>
        </w:tabs>
        <w:autoSpaceDE/>
        <w:autoSpaceDN/>
        <w:rPr>
          <w:rFonts w:ascii="Abadi" w:hAnsi="Abadi"/>
          <w:sz w:val="21"/>
          <w:szCs w:val="21"/>
        </w:rPr>
      </w:pPr>
      <w:r w:rsidRPr="003E6EF0">
        <w:rPr>
          <w:rFonts w:ascii="Abadi" w:hAnsi="Abadi"/>
          <w:sz w:val="21"/>
          <w:szCs w:val="21"/>
        </w:rPr>
        <w:t xml:space="preserve">Observaciones y recomendaciones, la respuesta </w:t>
      </w:r>
      <w:r w:rsidRPr="003E6EF0">
        <w:rPr>
          <w:rFonts w:ascii="Abadi" w:hAnsi="Abadi"/>
          <w:sz w:val="21"/>
          <w:szCs w:val="21"/>
        </w:rPr>
        <w:lastRenderedPageBreak/>
        <w:t xml:space="preserve">emitida por el sujeto fiscalizado y la valoración correspondiente. </w:t>
      </w:r>
    </w:p>
    <w:p w14:paraId="670E687F" w14:textId="77777777" w:rsidR="007044EB" w:rsidRPr="00EF2D34" w:rsidRDefault="007044EB" w:rsidP="007044EB">
      <w:pPr>
        <w:pStyle w:val="Textoindependiente"/>
        <w:ind w:left="1065"/>
        <w:rPr>
          <w:rFonts w:ascii="Abadi" w:hAnsi="Abadi"/>
          <w:b w:val="0"/>
          <w:bCs w:val="0"/>
          <w:sz w:val="21"/>
          <w:szCs w:val="21"/>
        </w:rPr>
      </w:pPr>
    </w:p>
    <w:p w14:paraId="2ECBCC25"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En esta parte se desglosa la valoración de las observaciones formuladas por el Órgano Técnico, considerando como solventada la observación establecida en el numeral 005, referido a compromisos plurianuales.</w:t>
      </w:r>
    </w:p>
    <w:p w14:paraId="5B637285" w14:textId="77777777" w:rsidR="007044EB" w:rsidRPr="00EF2D34" w:rsidRDefault="007044EB" w:rsidP="007044EB">
      <w:pPr>
        <w:pStyle w:val="Textoindependiente"/>
        <w:ind w:firstLine="705"/>
        <w:rPr>
          <w:rFonts w:ascii="Abadi" w:hAnsi="Abadi"/>
          <w:sz w:val="21"/>
          <w:szCs w:val="21"/>
        </w:rPr>
      </w:pPr>
    </w:p>
    <w:p w14:paraId="112D324F"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No se solventaron las observaciones plasmadas en los numerales 001, referente a pago de sueldos; 002, correspondiente a pago de sueldos Dirección de Desarrollo Social; 003, relativo a contrato de honorarios asimilables; 004, referido a gastos médicos; y 006, referente a investigación de mercado.</w:t>
      </w:r>
    </w:p>
    <w:p w14:paraId="0DEFB9F3" w14:textId="77777777" w:rsidR="007044EB" w:rsidRPr="003E6EF0" w:rsidRDefault="007044EB" w:rsidP="007044EB">
      <w:pPr>
        <w:pStyle w:val="Textoindependiente"/>
        <w:ind w:firstLine="705"/>
        <w:rPr>
          <w:rFonts w:ascii="Abadi" w:hAnsi="Abadi"/>
          <w:b w:val="0"/>
          <w:bCs w:val="0"/>
          <w:sz w:val="21"/>
          <w:szCs w:val="21"/>
        </w:rPr>
      </w:pPr>
    </w:p>
    <w:p w14:paraId="40BD4A10"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En el apartado de Recomendaciones Generales, no se atendieron los numerales 001, correspondiente a base de datos de cheques y transferencias; y 002, relativo a lineamientos apoyo médico y de medicamentos.</w:t>
      </w:r>
    </w:p>
    <w:p w14:paraId="38CF16CA" w14:textId="77777777" w:rsidR="007044EB" w:rsidRPr="003E6EF0" w:rsidRDefault="007044EB" w:rsidP="007044EB">
      <w:pPr>
        <w:pStyle w:val="Textoindependiente"/>
        <w:ind w:firstLine="705"/>
        <w:rPr>
          <w:rFonts w:ascii="Abadi" w:hAnsi="Abadi"/>
          <w:b w:val="0"/>
          <w:bCs w:val="0"/>
          <w:sz w:val="21"/>
          <w:szCs w:val="21"/>
        </w:rPr>
      </w:pPr>
    </w:p>
    <w:p w14:paraId="7BAA0817" w14:textId="77777777" w:rsidR="007044EB" w:rsidRPr="00EF2D34" w:rsidRDefault="007044EB" w:rsidP="007044EB">
      <w:pPr>
        <w:pStyle w:val="Textoindependiente"/>
        <w:ind w:firstLine="705"/>
        <w:rPr>
          <w:rFonts w:ascii="Abadi" w:hAnsi="Abadi"/>
          <w:sz w:val="21"/>
          <w:szCs w:val="21"/>
        </w:rPr>
      </w:pPr>
    </w:p>
    <w:p w14:paraId="450549D9" w14:textId="77777777" w:rsidR="007044EB" w:rsidRPr="003E6EF0" w:rsidRDefault="007044EB" w:rsidP="00427BD6">
      <w:pPr>
        <w:pStyle w:val="Textoindependiente"/>
        <w:numPr>
          <w:ilvl w:val="0"/>
          <w:numId w:val="9"/>
        </w:numPr>
        <w:autoSpaceDE/>
        <w:autoSpaceDN/>
        <w:rPr>
          <w:rFonts w:ascii="Abadi" w:hAnsi="Abadi"/>
          <w:sz w:val="21"/>
          <w:szCs w:val="21"/>
        </w:rPr>
      </w:pPr>
      <w:r w:rsidRPr="003E6EF0">
        <w:rPr>
          <w:rFonts w:ascii="Abadi" w:hAnsi="Abadi"/>
          <w:sz w:val="21"/>
          <w:szCs w:val="21"/>
        </w:rPr>
        <w:t xml:space="preserve">Promoción del ejercicio de facultades de comprobación fiscal. </w:t>
      </w:r>
    </w:p>
    <w:p w14:paraId="76EEEE75" w14:textId="77777777" w:rsidR="007044EB" w:rsidRPr="003E6EF0" w:rsidRDefault="007044EB" w:rsidP="007044EB">
      <w:pPr>
        <w:pStyle w:val="Textoindependiente"/>
        <w:ind w:firstLine="705"/>
        <w:rPr>
          <w:rFonts w:ascii="Abadi" w:hAnsi="Abadi"/>
          <w:sz w:val="21"/>
          <w:szCs w:val="21"/>
        </w:rPr>
      </w:pPr>
    </w:p>
    <w:p w14:paraId="473EFC88" w14:textId="77777777" w:rsidR="007044EB" w:rsidRPr="003E6EF0" w:rsidRDefault="007044EB" w:rsidP="007044EB">
      <w:pPr>
        <w:pStyle w:val="Textoindependiente"/>
        <w:ind w:firstLine="705"/>
        <w:rPr>
          <w:rFonts w:ascii="Abadi" w:hAnsi="Abadi"/>
          <w:b w:val="0"/>
          <w:bCs w:val="0"/>
          <w:sz w:val="21"/>
          <w:szCs w:val="21"/>
        </w:rPr>
      </w:pPr>
      <w:r w:rsidRPr="003E6EF0">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566ADB53" w14:textId="77777777" w:rsidR="007044EB" w:rsidRPr="003E6EF0" w:rsidRDefault="007044EB" w:rsidP="007044EB">
      <w:pPr>
        <w:pStyle w:val="Textoindependiente"/>
        <w:ind w:firstLine="705"/>
        <w:rPr>
          <w:rFonts w:ascii="Abadi" w:hAnsi="Abadi"/>
          <w:b w:val="0"/>
          <w:bCs w:val="0"/>
          <w:sz w:val="21"/>
          <w:szCs w:val="21"/>
        </w:rPr>
      </w:pPr>
    </w:p>
    <w:p w14:paraId="5C6CEAE6" w14:textId="77777777" w:rsidR="007044EB" w:rsidRPr="00845320" w:rsidRDefault="007044EB" w:rsidP="00427BD6">
      <w:pPr>
        <w:pStyle w:val="Textoindependiente"/>
        <w:numPr>
          <w:ilvl w:val="0"/>
          <w:numId w:val="9"/>
        </w:numPr>
        <w:autoSpaceDE/>
        <w:autoSpaceDN/>
        <w:rPr>
          <w:rFonts w:ascii="Abadi" w:hAnsi="Abadi"/>
          <w:sz w:val="21"/>
          <w:szCs w:val="21"/>
        </w:rPr>
      </w:pPr>
      <w:r w:rsidRPr="00845320">
        <w:rPr>
          <w:rFonts w:ascii="Abadi" w:hAnsi="Abadi"/>
          <w:sz w:val="21"/>
          <w:szCs w:val="21"/>
        </w:rPr>
        <w:t>Comunicado ante órganos de control y autoridades que administran padrones de proveedores y contratistas.</w:t>
      </w:r>
    </w:p>
    <w:p w14:paraId="597C5B09" w14:textId="77777777" w:rsidR="007044EB" w:rsidRPr="00845320" w:rsidRDefault="007044EB" w:rsidP="007044EB">
      <w:pPr>
        <w:pStyle w:val="Textoindependiente"/>
        <w:ind w:firstLine="705"/>
        <w:rPr>
          <w:rFonts w:ascii="Abadi" w:hAnsi="Abadi"/>
          <w:sz w:val="21"/>
          <w:szCs w:val="21"/>
        </w:rPr>
      </w:pPr>
    </w:p>
    <w:p w14:paraId="12BD4E2D" w14:textId="77777777" w:rsidR="007044EB" w:rsidRPr="00845320" w:rsidRDefault="007044EB" w:rsidP="007044EB">
      <w:pPr>
        <w:pStyle w:val="Textoindependiente"/>
        <w:ind w:firstLine="705"/>
        <w:rPr>
          <w:rFonts w:ascii="Abadi" w:hAnsi="Abadi"/>
          <w:b w:val="0"/>
          <w:bCs w:val="0"/>
          <w:sz w:val="21"/>
          <w:szCs w:val="21"/>
        </w:rPr>
      </w:pPr>
      <w:r w:rsidRPr="00845320">
        <w:rPr>
          <w:rFonts w:ascii="Abadi" w:hAnsi="Abadi"/>
          <w:b w:val="0"/>
          <w:bCs w:val="0"/>
          <w:sz w:val="21"/>
          <w:szCs w:val="21"/>
        </w:rPr>
        <w:t xml:space="preserve">En este punto se señala que de conformidad con lo establecido en los artículos 3, fracción XI de la Ley de Fiscalización Superior del Estado y 23, </w:t>
      </w:r>
      <w:r w:rsidRPr="00845320">
        <w:rPr>
          <w:rFonts w:ascii="Abadi" w:hAnsi="Abadi"/>
          <w:b w:val="0"/>
          <w:bCs w:val="0"/>
          <w:sz w:val="21"/>
          <w:szCs w:val="21"/>
        </w:rPr>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no se identificaron presuntas irregularidades o incumplimientos de proveedores y contratistas que se tengan que hacer de conocimiento a órganos de control y autoridades que administran padrones.</w:t>
      </w:r>
    </w:p>
    <w:p w14:paraId="036CC907" w14:textId="77777777" w:rsidR="007044EB" w:rsidRPr="00845320" w:rsidRDefault="007044EB" w:rsidP="007044EB">
      <w:pPr>
        <w:pStyle w:val="Textoindependiente"/>
        <w:ind w:firstLine="705"/>
        <w:rPr>
          <w:rFonts w:ascii="Abadi" w:hAnsi="Abadi"/>
          <w:b w:val="0"/>
          <w:bCs w:val="0"/>
          <w:sz w:val="21"/>
          <w:szCs w:val="21"/>
        </w:rPr>
      </w:pPr>
    </w:p>
    <w:p w14:paraId="7F68B940" w14:textId="77777777" w:rsidR="007044EB" w:rsidRPr="00845320" w:rsidRDefault="007044EB" w:rsidP="00427BD6">
      <w:pPr>
        <w:pStyle w:val="Textoindependiente"/>
        <w:numPr>
          <w:ilvl w:val="0"/>
          <w:numId w:val="9"/>
        </w:numPr>
        <w:autoSpaceDE/>
        <w:autoSpaceDN/>
        <w:rPr>
          <w:rFonts w:ascii="Abadi" w:hAnsi="Abadi"/>
          <w:sz w:val="21"/>
          <w:szCs w:val="21"/>
        </w:rPr>
      </w:pPr>
      <w:r w:rsidRPr="00845320">
        <w:rPr>
          <w:rFonts w:ascii="Abadi" w:hAnsi="Abadi"/>
          <w:sz w:val="21"/>
          <w:szCs w:val="21"/>
        </w:rPr>
        <w:t xml:space="preserve">Recurso de Reconsideración. </w:t>
      </w:r>
    </w:p>
    <w:p w14:paraId="6F97D6CA" w14:textId="77777777" w:rsidR="007044EB" w:rsidRPr="00845320" w:rsidRDefault="007044EB" w:rsidP="007044EB">
      <w:pPr>
        <w:pStyle w:val="Textoindependiente"/>
        <w:ind w:left="705"/>
        <w:rPr>
          <w:rFonts w:ascii="Abadi" w:hAnsi="Abadi"/>
          <w:sz w:val="21"/>
          <w:szCs w:val="21"/>
        </w:rPr>
      </w:pPr>
    </w:p>
    <w:p w14:paraId="2F17FE0B" w14:textId="77777777" w:rsidR="007044EB" w:rsidRPr="00845320" w:rsidRDefault="007044EB" w:rsidP="007044EB">
      <w:pPr>
        <w:pStyle w:val="Textoindependiente"/>
        <w:ind w:firstLine="705"/>
        <w:rPr>
          <w:rFonts w:ascii="Abadi" w:hAnsi="Abadi"/>
          <w:b w:val="0"/>
          <w:bCs w:val="0"/>
          <w:sz w:val="21"/>
          <w:szCs w:val="21"/>
        </w:rPr>
      </w:pPr>
      <w:r w:rsidRPr="00845320">
        <w:rPr>
          <w:rFonts w:ascii="Abadi" w:hAnsi="Abadi"/>
          <w:b w:val="0"/>
          <w:bCs w:val="0"/>
          <w:sz w:val="21"/>
          <w:szCs w:val="21"/>
        </w:rPr>
        <w:t xml:space="preserve">En fechas 28 y 29 de marzo de 2023 respectivamente, dentro del plazo que prevé la fracción IV del artículo 37 de </w:t>
      </w:r>
      <w:smartTag w:uri="urn:schemas-microsoft-com:office:smarttags" w:element="PersonName">
        <w:smartTagPr>
          <w:attr w:name="ProductID" w:val="la Ley"/>
        </w:smartTagPr>
        <w:r w:rsidRPr="00845320">
          <w:rPr>
            <w:rFonts w:ascii="Abadi" w:hAnsi="Abadi"/>
            <w:b w:val="0"/>
            <w:bCs w:val="0"/>
            <w:sz w:val="21"/>
            <w:szCs w:val="21"/>
          </w:rPr>
          <w:t>la Ley</w:t>
        </w:r>
      </w:smartTag>
      <w:r w:rsidRPr="00845320">
        <w:rPr>
          <w:rFonts w:ascii="Abadi" w:hAnsi="Abadi"/>
          <w:b w:val="0"/>
          <w:bCs w:val="0"/>
          <w:sz w:val="21"/>
          <w:szCs w:val="21"/>
        </w:rPr>
        <w:t xml:space="preserve"> de Fiscalización Superior del Estado de Guanajuato, la presidenta y el ex presidente municipales de Yuriria, </w:t>
      </w:r>
      <w:proofErr w:type="spellStart"/>
      <w:r w:rsidRPr="00845320">
        <w:rPr>
          <w:rFonts w:ascii="Abadi" w:hAnsi="Abadi"/>
          <w:b w:val="0"/>
          <w:bCs w:val="0"/>
          <w:sz w:val="21"/>
          <w:szCs w:val="21"/>
        </w:rPr>
        <w:t>Gto</w:t>
      </w:r>
      <w:proofErr w:type="spellEnd"/>
      <w:r w:rsidRPr="00845320">
        <w:rPr>
          <w:rFonts w:ascii="Abadi" w:hAnsi="Abadi"/>
          <w:b w:val="0"/>
          <w:bCs w:val="0"/>
          <w:sz w:val="21"/>
          <w:szCs w:val="21"/>
        </w:rPr>
        <w:t xml:space="preserve">., interpusieron recursos de reconsideración en contra del informe de resultados de la revisión practicada a la cuenta pública de dicho Municipio, correspondiente al ejercicio fiscal del año 2021, concretamente en contra de las observaciones establecidas en los numerales  001, referente a pago de sueldos; 002, correspondiente a pago de sueldos Dirección de Desarrollo Social; 003, relativo a contrato de honorarios asimilables; 004, referido a gastos médicos; y 006, referente a investigación de mercado; así como de las recomendaciones contenidas en los numerales 001, correspondiente a base de datos de cheques y transferencias; y 002, relativo a lineamientos apoyo médico y de medicamentos, mismas que se encuentran relacionadas con el Capítulo II, denominado Observaciones y Recomendaciones; Respuesta Emitida por el Sujeto Fiscalizado y Valoración Correspondiente. </w:t>
      </w:r>
    </w:p>
    <w:p w14:paraId="4679ACCF" w14:textId="77777777" w:rsidR="007044EB" w:rsidRPr="00845320" w:rsidRDefault="007044EB" w:rsidP="007044EB">
      <w:pPr>
        <w:pStyle w:val="Textoindependiente"/>
        <w:ind w:firstLine="705"/>
        <w:rPr>
          <w:rFonts w:ascii="Abadi" w:hAnsi="Abadi"/>
          <w:b w:val="0"/>
          <w:bCs w:val="0"/>
          <w:sz w:val="21"/>
          <w:szCs w:val="21"/>
        </w:rPr>
      </w:pPr>
    </w:p>
    <w:p w14:paraId="44E75F9C" w14:textId="77777777" w:rsidR="007044EB" w:rsidRPr="009E79E6" w:rsidRDefault="007044EB" w:rsidP="007044EB">
      <w:pPr>
        <w:pStyle w:val="Textoindependiente"/>
        <w:ind w:firstLine="708"/>
        <w:rPr>
          <w:rFonts w:ascii="Abadi" w:hAnsi="Abadi"/>
          <w:b w:val="0"/>
          <w:bCs w:val="0"/>
          <w:sz w:val="21"/>
          <w:szCs w:val="21"/>
        </w:rPr>
      </w:pPr>
      <w:r w:rsidRPr="009E79E6">
        <w:rPr>
          <w:rFonts w:ascii="Abadi" w:hAnsi="Abadi"/>
          <w:b w:val="0"/>
          <w:bCs w:val="0"/>
          <w:sz w:val="21"/>
          <w:szCs w:val="21"/>
        </w:rPr>
        <w:t xml:space="preserve">En tal sentido, mediante los acuerdos de fecha 30 de marzo de 2023, emitidos por el Director General de Asuntos Jurídicos de la Auditoría Superior del Estado, se admitieron los recursos de reconsideración, al colmarse los requisitos de procedibilidad previstos por el artículo 51 de </w:t>
      </w:r>
      <w:smartTag w:uri="urn:schemas-microsoft-com:office:smarttags" w:element="PersonName">
        <w:smartTagPr>
          <w:attr w:name="ProductID" w:val="la Ley"/>
        </w:smartTagPr>
        <w:r w:rsidRPr="009E79E6">
          <w:rPr>
            <w:rFonts w:ascii="Abadi" w:hAnsi="Abadi"/>
            <w:b w:val="0"/>
            <w:bCs w:val="0"/>
            <w:sz w:val="21"/>
            <w:szCs w:val="21"/>
          </w:rPr>
          <w:t>la Ley</w:t>
        </w:r>
      </w:smartTag>
      <w:r w:rsidRPr="009E79E6">
        <w:rPr>
          <w:rFonts w:ascii="Abadi" w:hAnsi="Abadi"/>
          <w:b w:val="0"/>
          <w:bCs w:val="0"/>
          <w:sz w:val="21"/>
          <w:szCs w:val="21"/>
        </w:rPr>
        <w:t xml:space="preserve"> de Fiscalización Superior del Estado de Guanajuato, instruyendo la integración de los expedientes </w:t>
      </w:r>
      <w:r w:rsidRPr="009E79E6">
        <w:rPr>
          <w:rFonts w:ascii="Abadi" w:hAnsi="Abadi"/>
          <w:b w:val="0"/>
          <w:bCs w:val="0"/>
          <w:sz w:val="21"/>
          <w:szCs w:val="21"/>
        </w:rPr>
        <w:lastRenderedPageBreak/>
        <w:t>respectivos y el registro correspondiente. Asimismo, mediante dichos acuerdos se admitieron algunos medios de prueba ofrecidos por los recurrentes al tratarse de pruebas novedosas y supervenientes, mientras que otros se desecharon al no tener tal carácter. También a través de dichos acuerdos se suspendió el plazo establecido en el artículo 55 de la Ley de Fiscalización Superior del Estado de Guanajuato por un término de hasta veinticinco días hábiles.</w:t>
      </w:r>
    </w:p>
    <w:p w14:paraId="7B4BB86A" w14:textId="77777777" w:rsidR="007044EB" w:rsidRPr="009E79E6" w:rsidRDefault="007044EB" w:rsidP="007044EB">
      <w:pPr>
        <w:pStyle w:val="Textoindependiente"/>
        <w:ind w:firstLine="708"/>
        <w:rPr>
          <w:rFonts w:ascii="Abadi" w:hAnsi="Abadi"/>
          <w:b w:val="0"/>
          <w:bCs w:val="0"/>
          <w:sz w:val="21"/>
          <w:szCs w:val="21"/>
        </w:rPr>
      </w:pPr>
    </w:p>
    <w:p w14:paraId="22EEA50F" w14:textId="77777777" w:rsidR="007044EB" w:rsidRPr="009E79E6" w:rsidRDefault="007044EB" w:rsidP="007044EB">
      <w:pPr>
        <w:pStyle w:val="Textoindependiente"/>
        <w:ind w:firstLine="708"/>
        <w:rPr>
          <w:rFonts w:ascii="Abadi" w:hAnsi="Abadi"/>
          <w:b w:val="0"/>
          <w:bCs w:val="0"/>
          <w:sz w:val="21"/>
          <w:szCs w:val="21"/>
        </w:rPr>
      </w:pPr>
      <w:r w:rsidRPr="009E79E6">
        <w:rPr>
          <w:rFonts w:ascii="Abadi" w:hAnsi="Abadi"/>
          <w:b w:val="0"/>
          <w:bCs w:val="0"/>
          <w:sz w:val="21"/>
          <w:szCs w:val="21"/>
        </w:rPr>
        <w:t>A través del acuerdo de fecha 4 de mayo de 2023, el Director General de Asuntos Jurídicos de la Auditoría Superior del Estado ordenó la acumulación de los expedientes integrados con motivo de la interposición de los recursos de reconsideración, al vincularse de manera directa.</w:t>
      </w:r>
    </w:p>
    <w:p w14:paraId="383EEF51" w14:textId="77777777" w:rsidR="007044EB" w:rsidRPr="009E79E6" w:rsidRDefault="007044EB" w:rsidP="007044EB">
      <w:pPr>
        <w:pStyle w:val="Textoindependiente"/>
        <w:ind w:firstLine="708"/>
        <w:rPr>
          <w:rFonts w:ascii="Abadi" w:hAnsi="Abadi"/>
          <w:b w:val="0"/>
          <w:bCs w:val="0"/>
          <w:sz w:val="21"/>
          <w:szCs w:val="21"/>
        </w:rPr>
      </w:pPr>
    </w:p>
    <w:p w14:paraId="616FB91C" w14:textId="77777777" w:rsidR="007044EB" w:rsidRPr="009E79E6" w:rsidRDefault="007044EB" w:rsidP="007044EB">
      <w:pPr>
        <w:pStyle w:val="Textoindependiente"/>
        <w:ind w:firstLine="708"/>
        <w:rPr>
          <w:rFonts w:ascii="Abadi" w:hAnsi="Abadi"/>
          <w:b w:val="0"/>
          <w:bCs w:val="0"/>
          <w:sz w:val="21"/>
          <w:szCs w:val="21"/>
        </w:rPr>
      </w:pPr>
      <w:r w:rsidRPr="009E79E6">
        <w:rPr>
          <w:rFonts w:ascii="Abadi" w:hAnsi="Abadi"/>
          <w:b w:val="0"/>
          <w:bCs w:val="0"/>
          <w:sz w:val="21"/>
          <w:szCs w:val="21"/>
        </w:rPr>
        <w:t>Una vez tramitados los recursos, el Auditor Superior del Estado, el 5 de mayo de 2023 emitió la resolución correspondiente, determinándose respecto a las observaciones plasmadas en los numerales 001, 002 y 003, que las pruebas aportadas por los recurrentes resultaron insuficientes para modificar el sentido de su valoración, de acuerdo a lo expresado en el considerando séptimo. Por este motivo se confirmó el sentido de la valoración de las observaciones como no solventadas, con acciones de impacto económico pendientes de realizar por el sujeto fiscalizado.</w:t>
      </w:r>
    </w:p>
    <w:p w14:paraId="161D5A57" w14:textId="77777777" w:rsidR="007044EB" w:rsidRPr="00EF2D34" w:rsidRDefault="007044EB" w:rsidP="007044EB">
      <w:pPr>
        <w:pStyle w:val="Textoindependiente"/>
        <w:ind w:firstLine="708"/>
        <w:rPr>
          <w:rFonts w:ascii="Abadi" w:hAnsi="Abadi"/>
          <w:sz w:val="21"/>
          <w:szCs w:val="21"/>
        </w:rPr>
      </w:pPr>
    </w:p>
    <w:p w14:paraId="7F1F760C" w14:textId="77777777" w:rsidR="007044EB" w:rsidRPr="002B1298" w:rsidRDefault="007044EB" w:rsidP="007044EB">
      <w:pPr>
        <w:pStyle w:val="Textoindependiente"/>
        <w:ind w:firstLine="708"/>
        <w:rPr>
          <w:rFonts w:ascii="Abadi" w:hAnsi="Abadi"/>
          <w:b w:val="0"/>
          <w:bCs w:val="0"/>
          <w:sz w:val="21"/>
          <w:szCs w:val="21"/>
        </w:rPr>
      </w:pPr>
      <w:r w:rsidRPr="00845320">
        <w:rPr>
          <w:rFonts w:ascii="Abadi" w:hAnsi="Abadi"/>
          <w:b w:val="0"/>
          <w:bCs w:val="0"/>
          <w:sz w:val="21"/>
          <w:szCs w:val="21"/>
        </w:rPr>
        <w:t>En cuanto a la observación establecida en el numeral 004, se resolvió que los agravios hechos valer por los recurrentes resultaron infundados inoperantes e insuficientes para modificar el sentido de su valoración, por los argumentos señalados en el considerando séptimo. No obstante, se determinó que no existen daños y perjuicios a la hacienda pública o al patrimonio del sujeto de fiscalización. derivado de una irregularidad monetaria, es decir, un acto u omisión intencionada que produjera el daño o</w:t>
      </w:r>
      <w:r w:rsidRPr="00EF2D34">
        <w:rPr>
          <w:rFonts w:ascii="Abadi" w:hAnsi="Abadi"/>
          <w:sz w:val="21"/>
          <w:szCs w:val="21"/>
        </w:rPr>
        <w:t xml:space="preserve"> </w:t>
      </w:r>
      <w:r w:rsidRPr="002B1298">
        <w:rPr>
          <w:rFonts w:ascii="Abadi" w:hAnsi="Abadi"/>
          <w:b w:val="0"/>
          <w:bCs w:val="0"/>
          <w:sz w:val="21"/>
          <w:szCs w:val="21"/>
        </w:rPr>
        <w:t>perjuicio. En razón de lo anterior, aun cuando se confirmó el sentido de la valoración de la observación como no solventada, se modificó su complemento para quedar sin acciones pendientes de realizar por el sujeto fiscalizado.</w:t>
      </w:r>
    </w:p>
    <w:p w14:paraId="75009E45" w14:textId="77777777" w:rsidR="007044EB" w:rsidRPr="002B1298" w:rsidRDefault="007044EB" w:rsidP="007044EB">
      <w:pPr>
        <w:pStyle w:val="Textoindependiente"/>
        <w:ind w:firstLine="708"/>
        <w:rPr>
          <w:rFonts w:ascii="Abadi" w:hAnsi="Abadi"/>
          <w:b w:val="0"/>
          <w:bCs w:val="0"/>
          <w:sz w:val="21"/>
          <w:szCs w:val="21"/>
        </w:rPr>
      </w:pPr>
      <w:r w:rsidRPr="002B1298">
        <w:rPr>
          <w:rFonts w:ascii="Abadi" w:hAnsi="Abadi"/>
          <w:b w:val="0"/>
          <w:bCs w:val="0"/>
          <w:sz w:val="21"/>
          <w:szCs w:val="21"/>
        </w:rPr>
        <w:t xml:space="preserve">En el caso de la observación contenida en el numeral 006, se concluyó que los agravios formulados por los recurrentes </w:t>
      </w:r>
      <w:r w:rsidRPr="002B1298">
        <w:rPr>
          <w:rFonts w:ascii="Abadi" w:hAnsi="Abadi"/>
          <w:b w:val="0"/>
          <w:bCs w:val="0"/>
          <w:sz w:val="21"/>
          <w:szCs w:val="21"/>
        </w:rPr>
        <w:t>resultaron infundados e inoperantes, por las razones expresadas en el considerando séptimo, razón por la cual se confirmó el sentido de la valoración como no solventada, sin acciones pendientes de realizar por el sujeto fiscalizado.</w:t>
      </w:r>
    </w:p>
    <w:p w14:paraId="33C4BD45" w14:textId="77777777" w:rsidR="007044EB" w:rsidRPr="002B1298" w:rsidRDefault="007044EB" w:rsidP="007044EB">
      <w:pPr>
        <w:pStyle w:val="Textoindependiente"/>
        <w:ind w:firstLine="708"/>
        <w:rPr>
          <w:rFonts w:ascii="Abadi" w:hAnsi="Abadi"/>
          <w:b w:val="0"/>
          <w:bCs w:val="0"/>
          <w:sz w:val="21"/>
          <w:szCs w:val="21"/>
        </w:rPr>
      </w:pPr>
    </w:p>
    <w:p w14:paraId="1D9DD1D1" w14:textId="77777777" w:rsidR="007044EB" w:rsidRPr="002B1298" w:rsidRDefault="007044EB" w:rsidP="007044EB">
      <w:pPr>
        <w:pStyle w:val="Textoindependiente"/>
        <w:ind w:firstLine="708"/>
        <w:rPr>
          <w:rFonts w:ascii="Abadi" w:hAnsi="Abadi"/>
          <w:b w:val="0"/>
          <w:bCs w:val="0"/>
          <w:sz w:val="21"/>
          <w:szCs w:val="21"/>
        </w:rPr>
      </w:pPr>
      <w:r w:rsidRPr="002B1298">
        <w:rPr>
          <w:rFonts w:ascii="Abadi" w:hAnsi="Abadi"/>
          <w:b w:val="0"/>
          <w:bCs w:val="0"/>
          <w:sz w:val="21"/>
          <w:szCs w:val="21"/>
        </w:rPr>
        <w:t>Finalmente, respecto a las recomendaciones referidas en los numerales 001 y 002, se resolvió que los agravios hechos valer por los recurrentes resultaron infundados e inoperantes y las documentales aportadas fueron insuficientes para modificar el sentido de su valoración, de acuerdo a lo expresado en el considerando séptimo. En consecuencia, se confirmó el sentido de la valoración de las recomendaciones como no atendidas.</w:t>
      </w:r>
    </w:p>
    <w:p w14:paraId="4A86F8EC" w14:textId="77777777" w:rsidR="007044EB" w:rsidRPr="002B1298" w:rsidRDefault="007044EB" w:rsidP="007044EB">
      <w:pPr>
        <w:pStyle w:val="Textoindependiente"/>
        <w:ind w:firstLine="708"/>
        <w:rPr>
          <w:rFonts w:ascii="Abadi" w:hAnsi="Abadi"/>
          <w:b w:val="0"/>
          <w:bCs w:val="0"/>
          <w:sz w:val="21"/>
          <w:szCs w:val="21"/>
        </w:rPr>
      </w:pPr>
    </w:p>
    <w:p w14:paraId="37083FD7" w14:textId="77777777" w:rsidR="007044EB" w:rsidRPr="002B1298" w:rsidRDefault="007044EB" w:rsidP="007044EB">
      <w:pPr>
        <w:pStyle w:val="Textoindependiente"/>
        <w:ind w:firstLine="705"/>
        <w:rPr>
          <w:rFonts w:ascii="Abadi" w:hAnsi="Abadi"/>
          <w:b w:val="0"/>
          <w:bCs w:val="0"/>
          <w:sz w:val="21"/>
          <w:szCs w:val="21"/>
        </w:rPr>
      </w:pPr>
      <w:r w:rsidRPr="002B1298">
        <w:rPr>
          <w:rFonts w:ascii="Abadi" w:hAnsi="Abadi"/>
          <w:b w:val="0"/>
          <w:bCs w:val="0"/>
          <w:sz w:val="21"/>
          <w:szCs w:val="21"/>
        </w:rPr>
        <w:t xml:space="preserve">La referida resolución se notificó a la presidenta y al ex presidente municipales de Yuriria, </w:t>
      </w:r>
      <w:proofErr w:type="spellStart"/>
      <w:r w:rsidRPr="002B1298">
        <w:rPr>
          <w:rFonts w:ascii="Abadi" w:hAnsi="Abadi"/>
          <w:b w:val="0"/>
          <w:bCs w:val="0"/>
          <w:sz w:val="21"/>
          <w:szCs w:val="21"/>
        </w:rPr>
        <w:t>Gto</w:t>
      </w:r>
      <w:proofErr w:type="spellEnd"/>
      <w:r w:rsidRPr="002B1298">
        <w:rPr>
          <w:rFonts w:ascii="Abadi" w:hAnsi="Abadi"/>
          <w:b w:val="0"/>
          <w:bCs w:val="0"/>
          <w:sz w:val="21"/>
          <w:szCs w:val="21"/>
        </w:rPr>
        <w:t>., los días 8 y 9 de mayo de 2023 respectivamente.</w:t>
      </w:r>
    </w:p>
    <w:p w14:paraId="5285E73B" w14:textId="77777777" w:rsidR="007044EB" w:rsidRPr="00EF2D34" w:rsidRDefault="007044EB" w:rsidP="007044EB">
      <w:pPr>
        <w:pStyle w:val="Textoindependiente"/>
        <w:ind w:firstLine="705"/>
        <w:rPr>
          <w:rFonts w:ascii="Abadi" w:hAnsi="Abadi"/>
          <w:sz w:val="21"/>
          <w:szCs w:val="21"/>
        </w:rPr>
      </w:pPr>
    </w:p>
    <w:p w14:paraId="7604B140" w14:textId="77777777" w:rsidR="007044EB" w:rsidRPr="002B1298" w:rsidRDefault="007044EB" w:rsidP="00427BD6">
      <w:pPr>
        <w:pStyle w:val="Textoindependiente"/>
        <w:numPr>
          <w:ilvl w:val="0"/>
          <w:numId w:val="9"/>
        </w:numPr>
        <w:autoSpaceDE/>
        <w:autoSpaceDN/>
        <w:rPr>
          <w:rFonts w:ascii="Abadi" w:hAnsi="Abadi"/>
          <w:sz w:val="21"/>
          <w:szCs w:val="21"/>
        </w:rPr>
      </w:pPr>
      <w:r w:rsidRPr="002B1298">
        <w:rPr>
          <w:rFonts w:ascii="Abadi" w:hAnsi="Abadi"/>
          <w:sz w:val="21"/>
          <w:szCs w:val="21"/>
        </w:rPr>
        <w:t xml:space="preserve">Anexos. </w:t>
      </w:r>
    </w:p>
    <w:p w14:paraId="2D10D6E4" w14:textId="77777777" w:rsidR="007044EB" w:rsidRPr="00EF2D34" w:rsidRDefault="007044EB" w:rsidP="007044EB">
      <w:pPr>
        <w:pStyle w:val="Textoindependiente"/>
        <w:ind w:firstLine="705"/>
        <w:rPr>
          <w:rFonts w:ascii="Abadi" w:hAnsi="Abadi"/>
          <w:sz w:val="21"/>
          <w:szCs w:val="21"/>
        </w:rPr>
      </w:pPr>
    </w:p>
    <w:p w14:paraId="7A10BF5E" w14:textId="77777777" w:rsidR="007044EB" w:rsidRPr="002B1298" w:rsidRDefault="007044EB" w:rsidP="007044EB">
      <w:pPr>
        <w:pStyle w:val="Textoindependiente"/>
        <w:ind w:firstLine="705"/>
        <w:rPr>
          <w:rFonts w:ascii="Abadi" w:hAnsi="Abadi"/>
          <w:b w:val="0"/>
          <w:bCs w:val="0"/>
          <w:sz w:val="21"/>
          <w:szCs w:val="21"/>
        </w:rPr>
      </w:pPr>
      <w:r w:rsidRPr="002B1298">
        <w:rPr>
          <w:rFonts w:ascii="Abadi" w:hAnsi="Abadi"/>
          <w:b w:val="0"/>
          <w:bCs w:val="0"/>
          <w:sz w:val="21"/>
          <w:szCs w:val="21"/>
        </w:rPr>
        <w:t>En esta parte, se adjuntan los anexos técnicos derivados de la revisión practicada.</w:t>
      </w:r>
    </w:p>
    <w:p w14:paraId="6F8A717B" w14:textId="77777777" w:rsidR="007044EB" w:rsidRPr="00EF2D34" w:rsidRDefault="007044EB" w:rsidP="007044EB">
      <w:pPr>
        <w:pStyle w:val="Textoindependiente"/>
        <w:ind w:firstLine="705"/>
        <w:rPr>
          <w:rFonts w:ascii="Abadi" w:hAnsi="Abadi"/>
          <w:sz w:val="21"/>
          <w:szCs w:val="21"/>
        </w:rPr>
      </w:pPr>
    </w:p>
    <w:p w14:paraId="2D307119" w14:textId="77777777" w:rsidR="007044EB" w:rsidRPr="00EF2D34" w:rsidRDefault="007044EB" w:rsidP="007044EB">
      <w:pPr>
        <w:ind w:firstLine="708"/>
        <w:jc w:val="both"/>
        <w:rPr>
          <w:rFonts w:ascii="Abadi" w:hAnsi="Abadi" w:cs="Arial"/>
          <w:b/>
          <w:bCs/>
          <w:sz w:val="21"/>
          <w:szCs w:val="21"/>
        </w:rPr>
      </w:pPr>
      <w:r w:rsidRPr="00EF2D34">
        <w:rPr>
          <w:rFonts w:ascii="Abadi" w:hAnsi="Abadi" w:cs="Arial"/>
          <w:b/>
          <w:bCs/>
          <w:sz w:val="21"/>
          <w:szCs w:val="21"/>
        </w:rPr>
        <w:t>V. Conclusiones:</w:t>
      </w:r>
    </w:p>
    <w:p w14:paraId="366F97D6" w14:textId="77777777" w:rsidR="007044EB" w:rsidRPr="00EF2D34" w:rsidRDefault="007044EB" w:rsidP="007044EB">
      <w:pPr>
        <w:jc w:val="both"/>
        <w:rPr>
          <w:rFonts w:ascii="Abadi" w:hAnsi="Abadi" w:cs="Arial"/>
          <w:sz w:val="21"/>
          <w:szCs w:val="21"/>
        </w:rPr>
      </w:pPr>
    </w:p>
    <w:p w14:paraId="7220B8B7" w14:textId="77777777" w:rsidR="007044EB" w:rsidRPr="00EF2D34" w:rsidRDefault="007044EB" w:rsidP="007044EB">
      <w:pPr>
        <w:jc w:val="both"/>
        <w:rPr>
          <w:rFonts w:ascii="Abadi" w:hAnsi="Abadi" w:cs="Arial"/>
          <w:sz w:val="21"/>
          <w:szCs w:val="21"/>
        </w:rPr>
      </w:pPr>
      <w:r w:rsidRPr="00EF2D34">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EF2D34">
          <w:rPr>
            <w:rFonts w:ascii="Abadi" w:hAnsi="Abadi" w:cs="Arial"/>
            <w:sz w:val="21"/>
            <w:szCs w:val="21"/>
          </w:rPr>
          <w:t>la Ley</w:t>
        </w:r>
      </w:smartTag>
      <w:r w:rsidRPr="00EF2D34">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C5B4BB9" w14:textId="77777777" w:rsidR="007044EB" w:rsidRPr="00EF2D34" w:rsidRDefault="007044EB" w:rsidP="007044EB">
      <w:pPr>
        <w:jc w:val="both"/>
        <w:rPr>
          <w:rFonts w:ascii="Abadi" w:hAnsi="Abadi" w:cs="Arial"/>
          <w:sz w:val="21"/>
          <w:szCs w:val="21"/>
        </w:rPr>
      </w:pPr>
    </w:p>
    <w:p w14:paraId="0574F32B" w14:textId="77777777" w:rsidR="007044EB" w:rsidRPr="00EF2D34" w:rsidRDefault="007044EB" w:rsidP="007044EB">
      <w:pPr>
        <w:jc w:val="both"/>
        <w:rPr>
          <w:rFonts w:ascii="Abadi" w:hAnsi="Abadi" w:cs="Arial"/>
          <w:sz w:val="21"/>
          <w:szCs w:val="21"/>
        </w:rPr>
      </w:pPr>
      <w:r w:rsidRPr="00EF2D34">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2A16EF1" w14:textId="77777777" w:rsidR="007044EB" w:rsidRPr="00EF2D34" w:rsidRDefault="007044EB" w:rsidP="007044EB">
      <w:pPr>
        <w:jc w:val="both"/>
        <w:rPr>
          <w:rFonts w:ascii="Abadi" w:hAnsi="Abadi" w:cs="Arial"/>
          <w:sz w:val="21"/>
          <w:szCs w:val="21"/>
        </w:rPr>
      </w:pPr>
    </w:p>
    <w:p w14:paraId="362A07D7"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presidenta y al ex presidente municipales de Yuriria, </w:t>
      </w:r>
      <w:proofErr w:type="spellStart"/>
      <w:r w:rsidRPr="00EF2D34">
        <w:rPr>
          <w:rFonts w:ascii="Abadi" w:hAnsi="Abadi" w:cs="Arial"/>
          <w:sz w:val="21"/>
          <w:szCs w:val="21"/>
        </w:rPr>
        <w:t>Gto</w:t>
      </w:r>
      <w:proofErr w:type="spellEnd"/>
      <w:r w:rsidRPr="00EF2D34">
        <w:rPr>
          <w:rFonts w:ascii="Abadi" w:hAnsi="Abadi" w:cs="Arial"/>
          <w:sz w:val="21"/>
          <w:szCs w:val="21"/>
        </w:rPr>
        <w:t xml:space="preserve">., concediéndoles el </w:t>
      </w:r>
      <w:r w:rsidRPr="00EF2D34">
        <w:rPr>
          <w:rFonts w:ascii="Abadi" w:hAnsi="Abadi" w:cs="Arial"/>
          <w:sz w:val="21"/>
          <w:szCs w:val="21"/>
        </w:rPr>
        <w:lastRenderedPageBreak/>
        <w:t xml:space="preserve">plazo que establece </w:t>
      </w:r>
      <w:smartTag w:uri="urn:schemas-microsoft-com:office:smarttags" w:element="PersonName">
        <w:smartTagPr>
          <w:attr w:name="ProductID" w:val="la Ley"/>
        </w:smartTagPr>
        <w:r w:rsidRPr="00EF2D34">
          <w:rPr>
            <w:rFonts w:ascii="Abadi" w:hAnsi="Abadi" w:cs="Arial"/>
            <w:sz w:val="21"/>
            <w:szCs w:val="21"/>
          </w:rPr>
          <w:t>la Ley</w:t>
        </w:r>
      </w:smartTag>
      <w:r w:rsidRPr="00EF2D34">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formuladas.</w:t>
      </w:r>
    </w:p>
    <w:p w14:paraId="057B995A" w14:textId="77777777" w:rsidR="007044EB" w:rsidRPr="00EF2D34" w:rsidRDefault="007044EB" w:rsidP="007044EB">
      <w:pPr>
        <w:jc w:val="both"/>
        <w:rPr>
          <w:rFonts w:ascii="Abadi" w:hAnsi="Abadi" w:cs="Arial"/>
          <w:sz w:val="21"/>
          <w:szCs w:val="21"/>
        </w:rPr>
      </w:pPr>
    </w:p>
    <w:p w14:paraId="71B6C7CA"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De igual manera, existe en el informe de resultados la constancia de que este se notificó a la presidenta y al ex presidente municipales de Yuriria, </w:t>
      </w:r>
      <w:proofErr w:type="spellStart"/>
      <w:r w:rsidRPr="00EF2D34">
        <w:rPr>
          <w:rFonts w:ascii="Abadi" w:hAnsi="Abadi" w:cs="Arial"/>
          <w:sz w:val="21"/>
          <w:szCs w:val="21"/>
        </w:rPr>
        <w:t>Gto</w:t>
      </w:r>
      <w:proofErr w:type="spellEnd"/>
      <w:r w:rsidRPr="00EF2D34">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EF2D34">
          <w:rPr>
            <w:rFonts w:ascii="Abadi" w:hAnsi="Abadi" w:cs="Arial"/>
            <w:sz w:val="21"/>
            <w:szCs w:val="21"/>
          </w:rPr>
          <w:t>la Ley</w:t>
        </w:r>
      </w:smartTag>
      <w:r w:rsidRPr="00EF2D34">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presidenta y al ex presidente municipales de Yuriria, </w:t>
      </w:r>
      <w:proofErr w:type="spellStart"/>
      <w:r w:rsidRPr="00EF2D34">
        <w:rPr>
          <w:rFonts w:ascii="Abadi" w:hAnsi="Abadi" w:cs="Arial"/>
          <w:sz w:val="21"/>
          <w:szCs w:val="21"/>
        </w:rPr>
        <w:t>Gto</w:t>
      </w:r>
      <w:proofErr w:type="spellEnd"/>
      <w:r w:rsidRPr="00EF2D34">
        <w:rPr>
          <w:rFonts w:ascii="Abadi" w:hAnsi="Abadi" w:cs="Arial"/>
          <w:sz w:val="21"/>
          <w:szCs w:val="21"/>
        </w:rPr>
        <w:t>. En tal virtud, se considera que fue respetado el derecho de audiencia o defensa por parte del Órgano Técnico.</w:t>
      </w:r>
    </w:p>
    <w:p w14:paraId="0C1B9622" w14:textId="77777777" w:rsidR="007044EB" w:rsidRPr="00EF2D34" w:rsidRDefault="007044EB" w:rsidP="007044EB">
      <w:pPr>
        <w:ind w:firstLine="708"/>
        <w:jc w:val="both"/>
        <w:rPr>
          <w:rFonts w:ascii="Abadi" w:hAnsi="Abadi" w:cs="Arial"/>
          <w:sz w:val="21"/>
          <w:szCs w:val="21"/>
        </w:rPr>
      </w:pPr>
    </w:p>
    <w:p w14:paraId="195B52AC"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F7F4C6D" w14:textId="77777777" w:rsidR="007044EB" w:rsidRPr="00EF2D34" w:rsidRDefault="007044EB" w:rsidP="007044EB">
      <w:pPr>
        <w:ind w:firstLine="708"/>
        <w:jc w:val="both"/>
        <w:rPr>
          <w:rFonts w:ascii="Abadi" w:hAnsi="Abadi" w:cs="Arial"/>
          <w:sz w:val="21"/>
          <w:szCs w:val="21"/>
        </w:rPr>
      </w:pPr>
    </w:p>
    <w:p w14:paraId="31A3D76D"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También, se dio cumplimiento de manera puntual a las fases que se establecen </w:t>
      </w:r>
      <w:r w:rsidRPr="00EF2D34">
        <w:rPr>
          <w:rFonts w:ascii="Abadi" w:hAnsi="Abadi" w:cs="Arial"/>
          <w:sz w:val="21"/>
          <w:szCs w:val="21"/>
        </w:rPr>
        <w:t>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58C44AA" w14:textId="77777777" w:rsidR="007044EB" w:rsidRPr="00EF2D34" w:rsidRDefault="007044EB" w:rsidP="007044EB">
      <w:pPr>
        <w:jc w:val="both"/>
        <w:rPr>
          <w:rFonts w:ascii="Abadi" w:hAnsi="Abadi" w:cs="Arial"/>
          <w:sz w:val="21"/>
          <w:szCs w:val="21"/>
        </w:rPr>
      </w:pPr>
    </w:p>
    <w:p w14:paraId="7FB5C69C"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7B914F18" w14:textId="77777777" w:rsidR="007044EB" w:rsidRPr="00EF2D34" w:rsidRDefault="007044EB" w:rsidP="007044EB">
      <w:pPr>
        <w:ind w:firstLine="708"/>
        <w:jc w:val="both"/>
        <w:rPr>
          <w:rFonts w:ascii="Abadi" w:hAnsi="Abadi" w:cs="Arial"/>
          <w:sz w:val="21"/>
          <w:szCs w:val="21"/>
        </w:rPr>
      </w:pPr>
    </w:p>
    <w:p w14:paraId="109458D0"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261FD83D" w14:textId="77777777" w:rsidR="007044EB" w:rsidRPr="00EF2D34" w:rsidRDefault="007044EB" w:rsidP="007044EB">
      <w:pPr>
        <w:ind w:firstLine="708"/>
        <w:jc w:val="both"/>
        <w:rPr>
          <w:rFonts w:ascii="Abadi" w:hAnsi="Abadi" w:cs="Arial"/>
          <w:sz w:val="21"/>
          <w:szCs w:val="21"/>
        </w:rPr>
      </w:pPr>
    </w:p>
    <w:p w14:paraId="2EB76A3D"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En razón de lo anteriormente señalado, concluimos que el informe de resultados de la revisión practicada a la cuenta pública municipal de Yuriria, </w:t>
      </w:r>
      <w:proofErr w:type="spellStart"/>
      <w:r w:rsidRPr="00EF2D34">
        <w:rPr>
          <w:rFonts w:ascii="Abadi" w:hAnsi="Abadi" w:cs="Arial"/>
          <w:sz w:val="21"/>
          <w:szCs w:val="21"/>
        </w:rPr>
        <w:t>Gto</w:t>
      </w:r>
      <w:proofErr w:type="spellEnd"/>
      <w:r w:rsidRPr="00EF2D34">
        <w:rPr>
          <w:rFonts w:ascii="Abadi" w:hAnsi="Abadi" w:cs="Arial"/>
          <w:sz w:val="21"/>
          <w:szCs w:val="21"/>
        </w:rPr>
        <w:t xml:space="preserve">.,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EF2D34">
          <w:rPr>
            <w:rFonts w:ascii="Abadi" w:hAnsi="Abadi" w:cs="Arial"/>
            <w:sz w:val="21"/>
            <w:szCs w:val="21"/>
          </w:rPr>
          <w:t>la Ley</w:t>
        </w:r>
      </w:smartTag>
      <w:r w:rsidRPr="00EF2D34">
        <w:rPr>
          <w:rFonts w:ascii="Abadi" w:hAnsi="Abadi" w:cs="Arial"/>
          <w:sz w:val="21"/>
          <w:szCs w:val="21"/>
        </w:rPr>
        <w:t xml:space="preserve"> de Fiscalización Superior del Estado de Guanajuato, razón por la cual no podría ser observado por el Pleno del Congreso.</w:t>
      </w:r>
    </w:p>
    <w:p w14:paraId="610FAE77" w14:textId="77777777" w:rsidR="002B1298" w:rsidRDefault="002B1298" w:rsidP="007044EB">
      <w:pPr>
        <w:pStyle w:val="Sangra3detindependiente"/>
        <w:spacing w:line="240" w:lineRule="auto"/>
        <w:rPr>
          <w:rFonts w:ascii="Abadi" w:hAnsi="Abadi"/>
          <w:sz w:val="21"/>
          <w:szCs w:val="21"/>
        </w:rPr>
      </w:pPr>
    </w:p>
    <w:p w14:paraId="5ECF420A" w14:textId="51FC8F3B" w:rsidR="007044EB" w:rsidRPr="00EF2D34" w:rsidRDefault="007044EB" w:rsidP="007044EB">
      <w:pPr>
        <w:pStyle w:val="Sangra3detindependiente"/>
        <w:spacing w:line="240" w:lineRule="auto"/>
        <w:rPr>
          <w:rFonts w:ascii="Abadi" w:hAnsi="Abadi"/>
          <w:sz w:val="21"/>
          <w:szCs w:val="21"/>
        </w:rPr>
      </w:pPr>
      <w:r w:rsidRPr="00EF2D34">
        <w:rPr>
          <w:rFonts w:ascii="Abadi" w:hAnsi="Abadi"/>
          <w:sz w:val="21"/>
          <w:szCs w:val="21"/>
        </w:rPr>
        <w:lastRenderedPageBreak/>
        <w:t xml:space="preserve">Por lo expuesto, con fundamento en el artículo 204 de </w:t>
      </w:r>
      <w:smartTag w:uri="urn:schemas-microsoft-com:office:smarttags" w:element="PersonName">
        <w:smartTagPr>
          <w:attr w:name="ProductID" w:val="la Ley Org￡nica"/>
        </w:smartTagPr>
        <w:r w:rsidRPr="00EF2D34">
          <w:rPr>
            <w:rFonts w:ascii="Abadi" w:hAnsi="Abadi"/>
            <w:sz w:val="21"/>
            <w:szCs w:val="21"/>
          </w:rPr>
          <w:t>la Ley Orgánica</w:t>
        </w:r>
      </w:smartTag>
      <w:r w:rsidRPr="00EF2D34">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EF2D34">
          <w:rPr>
            <w:rFonts w:ascii="Abadi" w:hAnsi="Abadi"/>
            <w:sz w:val="21"/>
            <w:szCs w:val="21"/>
          </w:rPr>
          <w:t>la Asamblea</w:t>
        </w:r>
      </w:smartTag>
      <w:r w:rsidRPr="00EF2D34">
        <w:rPr>
          <w:rFonts w:ascii="Abadi" w:hAnsi="Abadi"/>
          <w:sz w:val="21"/>
          <w:szCs w:val="21"/>
        </w:rPr>
        <w:t>, la aprobación del siguiente:</w:t>
      </w:r>
    </w:p>
    <w:p w14:paraId="502559C4" w14:textId="77777777" w:rsidR="007044EB" w:rsidRPr="00EF2D34" w:rsidRDefault="007044EB" w:rsidP="007044EB">
      <w:pPr>
        <w:pStyle w:val="Ttulo1"/>
        <w:jc w:val="center"/>
        <w:rPr>
          <w:rFonts w:ascii="Abadi" w:hAnsi="Abadi" w:cs="Arial"/>
          <w:smallCaps/>
          <w:sz w:val="21"/>
          <w:szCs w:val="21"/>
        </w:rPr>
      </w:pPr>
    </w:p>
    <w:p w14:paraId="43F18FC4" w14:textId="77777777" w:rsidR="007044EB" w:rsidRPr="00EF2D34" w:rsidRDefault="007044EB" w:rsidP="007044EB">
      <w:pPr>
        <w:pStyle w:val="Ttulo1"/>
        <w:jc w:val="center"/>
        <w:rPr>
          <w:rFonts w:ascii="Abadi" w:hAnsi="Abadi" w:cs="Arial"/>
          <w:smallCaps/>
          <w:sz w:val="21"/>
          <w:szCs w:val="21"/>
        </w:rPr>
      </w:pPr>
      <w:r w:rsidRPr="00EF2D34">
        <w:rPr>
          <w:rFonts w:ascii="Abadi" w:hAnsi="Abadi" w:cs="Arial"/>
          <w:smallCaps/>
          <w:sz w:val="21"/>
          <w:szCs w:val="21"/>
        </w:rPr>
        <w:t>A c u e r d o</w:t>
      </w:r>
    </w:p>
    <w:p w14:paraId="25252AB2" w14:textId="77777777" w:rsidR="007044EB" w:rsidRPr="00EF2D34" w:rsidRDefault="007044EB" w:rsidP="007044EB">
      <w:pPr>
        <w:rPr>
          <w:rFonts w:ascii="Abadi" w:hAnsi="Abadi"/>
          <w:sz w:val="21"/>
          <w:szCs w:val="21"/>
        </w:rPr>
      </w:pPr>
    </w:p>
    <w:p w14:paraId="1DE3B600" w14:textId="77777777" w:rsidR="007044EB" w:rsidRPr="00EF2D34" w:rsidRDefault="007044EB" w:rsidP="007044EB">
      <w:pPr>
        <w:ind w:firstLine="708"/>
        <w:jc w:val="both"/>
        <w:rPr>
          <w:rFonts w:ascii="Abadi" w:hAnsi="Abadi" w:cs="Arial"/>
          <w:sz w:val="21"/>
          <w:szCs w:val="21"/>
        </w:rPr>
      </w:pPr>
      <w:r w:rsidRPr="00EF2D34">
        <w:rPr>
          <w:rFonts w:ascii="Abadi" w:hAnsi="Abadi" w:cs="Arial"/>
          <w:b/>
          <w:bCs/>
          <w:sz w:val="21"/>
          <w:szCs w:val="21"/>
        </w:rPr>
        <w:t xml:space="preserve">Único. </w:t>
      </w:r>
      <w:r w:rsidRPr="00EF2D34">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EF2D34">
          <w:rPr>
            <w:rFonts w:ascii="Abadi" w:hAnsi="Abadi" w:cs="Arial"/>
            <w:sz w:val="21"/>
            <w:szCs w:val="21"/>
          </w:rPr>
          <w:t>la Constitución Política</w:t>
        </w:r>
      </w:smartTag>
      <w:r w:rsidRPr="00EF2D34">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Yuriria, </w:t>
      </w:r>
      <w:proofErr w:type="spellStart"/>
      <w:r w:rsidRPr="00EF2D34">
        <w:rPr>
          <w:rFonts w:ascii="Abadi" w:hAnsi="Abadi" w:cs="Arial"/>
          <w:sz w:val="21"/>
          <w:szCs w:val="21"/>
        </w:rPr>
        <w:t>Gto</w:t>
      </w:r>
      <w:proofErr w:type="spellEnd"/>
      <w:r w:rsidRPr="00EF2D34">
        <w:rPr>
          <w:rFonts w:ascii="Abadi" w:hAnsi="Abadi" w:cs="Arial"/>
          <w:sz w:val="21"/>
          <w:szCs w:val="21"/>
        </w:rPr>
        <w:t>., correspondiente al ejercicio fiscal del año 2021, con base en el informe de resultados formulado por la Auditoría Superior del Estado de Guanajuato.</w:t>
      </w:r>
    </w:p>
    <w:p w14:paraId="43C9CE7B" w14:textId="77777777" w:rsidR="007044EB" w:rsidRPr="00EF2D34" w:rsidRDefault="007044EB" w:rsidP="007044EB">
      <w:pPr>
        <w:ind w:firstLine="708"/>
        <w:jc w:val="both"/>
        <w:rPr>
          <w:rFonts w:ascii="Abadi" w:hAnsi="Abadi" w:cs="Arial"/>
          <w:sz w:val="21"/>
          <w:szCs w:val="21"/>
        </w:rPr>
      </w:pPr>
    </w:p>
    <w:p w14:paraId="30030C2B" w14:textId="77777777" w:rsidR="007044EB" w:rsidRPr="00EF2D34" w:rsidRDefault="007044EB" w:rsidP="007044EB">
      <w:pPr>
        <w:pStyle w:val="Sangra3detindependiente"/>
        <w:spacing w:line="240" w:lineRule="auto"/>
        <w:rPr>
          <w:rFonts w:ascii="Abadi" w:hAnsi="Abadi"/>
          <w:sz w:val="21"/>
          <w:szCs w:val="21"/>
          <w:lang w:val="es-MX"/>
        </w:rPr>
      </w:pPr>
      <w:r w:rsidRPr="00EF2D34">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EF2D34">
        <w:rPr>
          <w:rFonts w:ascii="Abadi" w:hAnsi="Abadi"/>
          <w:sz w:val="21"/>
          <w:szCs w:val="21"/>
          <w:lang w:val="es-MX"/>
        </w:rPr>
        <w:t>.</w:t>
      </w:r>
      <w:r w:rsidRPr="00EF2D34">
        <w:rPr>
          <w:rFonts w:ascii="Abadi" w:hAnsi="Abadi"/>
          <w:sz w:val="21"/>
          <w:szCs w:val="21"/>
        </w:rPr>
        <w:t xml:space="preserve"> </w:t>
      </w:r>
      <w:r w:rsidRPr="00EF2D34">
        <w:rPr>
          <w:rFonts w:ascii="Abadi" w:hAnsi="Abadi"/>
          <w:sz w:val="21"/>
          <w:szCs w:val="21"/>
          <w:lang w:val="es-MX"/>
        </w:rPr>
        <w:t>Asimismo, dará</w:t>
      </w:r>
      <w:r w:rsidRPr="00EF2D34">
        <w:rPr>
          <w:rFonts w:ascii="Abadi" w:hAnsi="Abadi"/>
          <w:sz w:val="21"/>
          <w:szCs w:val="21"/>
        </w:rPr>
        <w:t xml:space="preserve"> seguimiento a la</w:t>
      </w:r>
      <w:r w:rsidRPr="00EF2D34">
        <w:rPr>
          <w:rFonts w:ascii="Abadi" w:hAnsi="Abadi"/>
          <w:sz w:val="21"/>
          <w:szCs w:val="21"/>
          <w:lang w:val="es-MX"/>
        </w:rPr>
        <w:t>s</w:t>
      </w:r>
      <w:r w:rsidRPr="00EF2D34">
        <w:rPr>
          <w:rFonts w:ascii="Abadi" w:hAnsi="Abadi"/>
          <w:sz w:val="21"/>
          <w:szCs w:val="21"/>
        </w:rPr>
        <w:t xml:space="preserve"> </w:t>
      </w:r>
      <w:proofErr w:type="spellStart"/>
      <w:r w:rsidRPr="00EF2D34">
        <w:rPr>
          <w:rFonts w:ascii="Abadi" w:hAnsi="Abadi"/>
          <w:sz w:val="21"/>
          <w:szCs w:val="21"/>
        </w:rPr>
        <w:t>observaci</w:t>
      </w:r>
      <w:r w:rsidRPr="00EF2D34">
        <w:rPr>
          <w:rFonts w:ascii="Abadi" w:hAnsi="Abadi"/>
          <w:sz w:val="21"/>
          <w:szCs w:val="21"/>
          <w:lang w:val="es-MX"/>
        </w:rPr>
        <w:t>ones</w:t>
      </w:r>
      <w:proofErr w:type="spellEnd"/>
      <w:r w:rsidRPr="00EF2D34">
        <w:rPr>
          <w:rFonts w:ascii="Abadi" w:hAnsi="Abadi"/>
          <w:sz w:val="21"/>
          <w:szCs w:val="21"/>
        </w:rPr>
        <w:t xml:space="preserve"> no solventada</w:t>
      </w:r>
      <w:r w:rsidRPr="00EF2D34">
        <w:rPr>
          <w:rFonts w:ascii="Abadi" w:hAnsi="Abadi"/>
          <w:sz w:val="21"/>
          <w:szCs w:val="21"/>
          <w:lang w:val="es-MX"/>
        </w:rPr>
        <w:t>s</w:t>
      </w:r>
      <w:r w:rsidRPr="00EF2D34">
        <w:rPr>
          <w:rFonts w:ascii="Abadi" w:hAnsi="Abadi"/>
          <w:sz w:val="21"/>
          <w:szCs w:val="21"/>
        </w:rPr>
        <w:t xml:space="preserve"> </w:t>
      </w:r>
      <w:r w:rsidRPr="00EF2D34">
        <w:rPr>
          <w:rFonts w:ascii="Abadi" w:hAnsi="Abadi"/>
          <w:sz w:val="21"/>
          <w:szCs w:val="21"/>
          <w:lang w:val="es-MX"/>
        </w:rPr>
        <w:t xml:space="preserve">y a las recomendaciones no atendidas </w:t>
      </w:r>
      <w:r w:rsidRPr="00EF2D34">
        <w:rPr>
          <w:rFonts w:ascii="Abadi" w:hAnsi="Abadi"/>
          <w:sz w:val="21"/>
          <w:szCs w:val="21"/>
        </w:rPr>
        <w:t>contenidas en el informe de resultados</w:t>
      </w:r>
      <w:r w:rsidRPr="00EF2D34">
        <w:rPr>
          <w:rFonts w:ascii="Abadi" w:hAnsi="Abadi"/>
          <w:sz w:val="21"/>
          <w:szCs w:val="21"/>
          <w:lang w:val="es-MX"/>
        </w:rPr>
        <w:t>.</w:t>
      </w:r>
    </w:p>
    <w:p w14:paraId="7FF68C08" w14:textId="77777777" w:rsidR="007044EB" w:rsidRPr="00EF2D34" w:rsidRDefault="007044EB" w:rsidP="007044EB">
      <w:pPr>
        <w:pStyle w:val="Sangra3detindependiente"/>
        <w:spacing w:line="240" w:lineRule="auto"/>
        <w:rPr>
          <w:rFonts w:ascii="Abadi" w:hAnsi="Abadi"/>
          <w:sz w:val="21"/>
          <w:szCs w:val="21"/>
          <w:lang w:val="es-MX"/>
        </w:rPr>
      </w:pPr>
    </w:p>
    <w:p w14:paraId="30671AE0"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 xml:space="preserve">Se ordena dar vista del informe de resultados al ayuntamiento del municipio de </w:t>
      </w:r>
      <w:r w:rsidRPr="00EF2D34">
        <w:rPr>
          <w:rFonts w:ascii="Abadi" w:hAnsi="Abadi" w:cs="Arial"/>
          <w:sz w:val="21"/>
          <w:szCs w:val="21"/>
          <w:lang w:val="es-MX"/>
        </w:rPr>
        <w:t>Yuriria,</w:t>
      </w:r>
      <w:r w:rsidRPr="00EF2D34">
        <w:rPr>
          <w:rFonts w:ascii="Abadi" w:hAnsi="Abadi" w:cs="Arial"/>
          <w:sz w:val="21"/>
          <w:szCs w:val="21"/>
        </w:rPr>
        <w:t xml:space="preserve"> </w:t>
      </w:r>
      <w:proofErr w:type="spellStart"/>
      <w:r w:rsidRPr="00EF2D34">
        <w:rPr>
          <w:rFonts w:ascii="Abadi" w:hAnsi="Abadi" w:cs="Arial"/>
          <w:sz w:val="21"/>
          <w:szCs w:val="21"/>
        </w:rPr>
        <w:t>Gto</w:t>
      </w:r>
      <w:proofErr w:type="spellEnd"/>
      <w:r w:rsidRPr="00EF2D34">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EF2D34">
          <w:rPr>
            <w:rFonts w:ascii="Abadi" w:hAnsi="Abadi" w:cs="Arial"/>
            <w:sz w:val="21"/>
            <w:szCs w:val="21"/>
          </w:rPr>
          <w:t>la Ley</w:t>
        </w:r>
      </w:smartTag>
      <w:r w:rsidRPr="00EF2D34">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7E7EC289" w14:textId="77777777" w:rsidR="007044EB" w:rsidRPr="00EF2D34" w:rsidRDefault="007044EB" w:rsidP="007044EB">
      <w:pPr>
        <w:ind w:firstLine="708"/>
        <w:jc w:val="both"/>
        <w:rPr>
          <w:rFonts w:ascii="Abadi" w:hAnsi="Abadi" w:cs="Arial"/>
          <w:sz w:val="21"/>
          <w:szCs w:val="21"/>
        </w:rPr>
      </w:pPr>
    </w:p>
    <w:p w14:paraId="5FFA06B1" w14:textId="77777777" w:rsidR="007044EB" w:rsidRPr="00EF2D34" w:rsidRDefault="007044EB" w:rsidP="007044EB">
      <w:pPr>
        <w:ind w:firstLine="708"/>
        <w:jc w:val="both"/>
        <w:rPr>
          <w:rFonts w:ascii="Abadi" w:hAnsi="Abadi" w:cs="Arial"/>
          <w:sz w:val="21"/>
          <w:szCs w:val="21"/>
        </w:rPr>
      </w:pPr>
      <w:r w:rsidRPr="00EF2D34">
        <w:rPr>
          <w:rFonts w:ascii="Abadi" w:hAnsi="Abadi" w:cs="Arial"/>
          <w:sz w:val="21"/>
          <w:szCs w:val="21"/>
        </w:rPr>
        <w:t>Remítase el presente acuerdo al titular del Poder Ejecutivo del Estado para su publicación en el Periódico Oficial del Gobierno del Estado.</w:t>
      </w:r>
    </w:p>
    <w:p w14:paraId="15DF9722" w14:textId="77777777" w:rsidR="007044EB" w:rsidRPr="00EF2D34" w:rsidRDefault="007044EB" w:rsidP="007044EB">
      <w:pPr>
        <w:ind w:firstLine="708"/>
        <w:jc w:val="both"/>
        <w:rPr>
          <w:rFonts w:ascii="Abadi" w:hAnsi="Abadi" w:cs="Arial"/>
          <w:sz w:val="21"/>
          <w:szCs w:val="21"/>
        </w:rPr>
      </w:pPr>
    </w:p>
    <w:p w14:paraId="3DB5BD3B" w14:textId="77777777" w:rsidR="007044EB" w:rsidRPr="00EF2D34" w:rsidRDefault="007044EB" w:rsidP="007044EB">
      <w:pPr>
        <w:pStyle w:val="Sangra3detindependiente"/>
        <w:spacing w:line="240" w:lineRule="auto"/>
        <w:rPr>
          <w:rFonts w:ascii="Abadi" w:hAnsi="Abadi"/>
          <w:sz w:val="21"/>
          <w:szCs w:val="21"/>
        </w:rPr>
      </w:pPr>
      <w:r w:rsidRPr="00EF2D34">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45E8F487" w14:textId="77777777" w:rsidR="002B1298" w:rsidRDefault="002B1298" w:rsidP="007044EB">
      <w:pPr>
        <w:jc w:val="center"/>
        <w:rPr>
          <w:rFonts w:ascii="Abadi" w:hAnsi="Abadi" w:cs="Arial"/>
          <w:b/>
          <w:bCs/>
          <w:sz w:val="21"/>
          <w:szCs w:val="21"/>
          <w:lang w:eastAsia="x-none"/>
        </w:rPr>
      </w:pPr>
    </w:p>
    <w:p w14:paraId="00295E06" w14:textId="477DF33B" w:rsidR="007044EB" w:rsidRPr="00EF2D34" w:rsidRDefault="007044EB" w:rsidP="007044EB">
      <w:pPr>
        <w:jc w:val="center"/>
        <w:rPr>
          <w:rFonts w:ascii="Abadi" w:hAnsi="Abadi" w:cs="Arial"/>
          <w:b/>
          <w:bCs/>
          <w:sz w:val="21"/>
          <w:szCs w:val="21"/>
          <w:lang w:eastAsia="x-none"/>
        </w:rPr>
      </w:pPr>
      <w:r w:rsidRPr="00EF2D34">
        <w:rPr>
          <w:rFonts w:ascii="Abadi" w:hAnsi="Abadi" w:cs="Arial"/>
          <w:b/>
          <w:bCs/>
          <w:sz w:val="21"/>
          <w:szCs w:val="21"/>
          <w:lang w:eastAsia="x-none"/>
        </w:rPr>
        <w:t xml:space="preserve">Guanajuato, </w:t>
      </w:r>
      <w:proofErr w:type="spellStart"/>
      <w:r w:rsidRPr="00EF2D34">
        <w:rPr>
          <w:rFonts w:ascii="Abadi" w:hAnsi="Abadi" w:cs="Arial"/>
          <w:b/>
          <w:bCs/>
          <w:sz w:val="21"/>
          <w:szCs w:val="21"/>
          <w:lang w:eastAsia="x-none"/>
        </w:rPr>
        <w:t>Gto</w:t>
      </w:r>
      <w:proofErr w:type="spellEnd"/>
      <w:r w:rsidRPr="00EF2D34">
        <w:rPr>
          <w:rFonts w:ascii="Abadi" w:hAnsi="Abadi" w:cs="Arial"/>
          <w:b/>
          <w:bCs/>
          <w:sz w:val="21"/>
          <w:szCs w:val="21"/>
          <w:lang w:eastAsia="x-none"/>
        </w:rPr>
        <w:t>., 19 de junio de 2023</w:t>
      </w:r>
    </w:p>
    <w:p w14:paraId="4E08BAA2" w14:textId="77777777" w:rsidR="007044EB" w:rsidRPr="00EF2D34" w:rsidRDefault="007044EB" w:rsidP="007044EB">
      <w:pPr>
        <w:jc w:val="center"/>
        <w:rPr>
          <w:rFonts w:ascii="Abadi" w:hAnsi="Abadi" w:cs="Arial"/>
          <w:b/>
          <w:bCs/>
          <w:sz w:val="21"/>
          <w:szCs w:val="21"/>
          <w:lang w:eastAsia="x-none"/>
        </w:rPr>
      </w:pPr>
      <w:smartTag w:uri="urn:schemas-microsoft-com:office:smarttags" w:element="PersonName">
        <w:smartTagPr>
          <w:attr w:name="ProductID" w:val="La Comisi￳n"/>
        </w:smartTagPr>
        <w:r w:rsidRPr="00EF2D34">
          <w:rPr>
            <w:rFonts w:ascii="Abadi" w:hAnsi="Abadi" w:cs="Arial"/>
            <w:b/>
            <w:bCs/>
            <w:sz w:val="21"/>
            <w:szCs w:val="21"/>
            <w:lang w:eastAsia="x-none"/>
          </w:rPr>
          <w:t>La Comisión</w:t>
        </w:r>
      </w:smartTag>
      <w:r w:rsidRPr="00EF2D34">
        <w:rPr>
          <w:rFonts w:ascii="Abadi" w:hAnsi="Abadi" w:cs="Arial"/>
          <w:b/>
          <w:bCs/>
          <w:sz w:val="21"/>
          <w:szCs w:val="21"/>
          <w:lang w:eastAsia="x-none"/>
        </w:rPr>
        <w:t xml:space="preserve"> de Hacienda y Fiscalización</w:t>
      </w:r>
    </w:p>
    <w:p w14:paraId="3FECCA5F" w14:textId="77777777" w:rsidR="007044EB" w:rsidRPr="00EF2D34" w:rsidRDefault="007044EB" w:rsidP="007044EB">
      <w:pPr>
        <w:jc w:val="center"/>
        <w:rPr>
          <w:rFonts w:ascii="Abadi" w:hAnsi="Abadi" w:cs="Arial"/>
          <w:sz w:val="21"/>
          <w:szCs w:val="21"/>
        </w:rPr>
      </w:pPr>
    </w:p>
    <w:p w14:paraId="7A1C677D" w14:textId="77777777" w:rsidR="007044EB" w:rsidRPr="00EF2D34" w:rsidRDefault="007044EB" w:rsidP="007044EB">
      <w:pPr>
        <w:jc w:val="center"/>
        <w:rPr>
          <w:rFonts w:ascii="Abadi" w:hAnsi="Abadi" w:cs="Arial"/>
          <w:sz w:val="21"/>
          <w:szCs w:val="21"/>
        </w:rPr>
      </w:pPr>
    </w:p>
    <w:p w14:paraId="2EBB2378" w14:textId="77777777" w:rsidR="007044EB" w:rsidRPr="00EF2D34" w:rsidRDefault="007044EB" w:rsidP="002B1298">
      <w:pPr>
        <w:rPr>
          <w:rFonts w:ascii="Abadi" w:hAnsi="Abadi" w:cs="Arial"/>
          <w:sz w:val="21"/>
          <w:szCs w:val="21"/>
        </w:rPr>
      </w:pPr>
      <w:r w:rsidRPr="00EF2D34">
        <w:rPr>
          <w:rFonts w:ascii="Abadi" w:hAnsi="Abadi" w:cs="Arial"/>
          <w:b/>
          <w:sz w:val="21"/>
          <w:szCs w:val="21"/>
          <w:lang w:eastAsia="x-none"/>
        </w:rPr>
        <w:t>Diputado Víctor Manuel Zanella Huerta</w:t>
      </w:r>
    </w:p>
    <w:p w14:paraId="0927E60B" w14:textId="77777777" w:rsidR="007044EB" w:rsidRPr="00EF2D34" w:rsidRDefault="007044EB" w:rsidP="007044EB">
      <w:pPr>
        <w:rPr>
          <w:rFonts w:ascii="Abadi" w:hAnsi="Abadi" w:cs="Arial"/>
          <w:b/>
          <w:sz w:val="21"/>
          <w:szCs w:val="21"/>
          <w:lang w:eastAsia="x-none"/>
        </w:rPr>
      </w:pPr>
      <w:r w:rsidRPr="00EF2D34">
        <w:rPr>
          <w:rFonts w:ascii="Abadi" w:hAnsi="Abadi" w:cs="Arial"/>
          <w:b/>
          <w:sz w:val="21"/>
          <w:szCs w:val="21"/>
          <w:lang w:eastAsia="x-none"/>
        </w:rPr>
        <w:t xml:space="preserve">Diputada Ruth Noemí Tiscareño Agoitia      </w:t>
      </w:r>
    </w:p>
    <w:p w14:paraId="528CBD85" w14:textId="2B6FFDA2" w:rsidR="007044EB" w:rsidRPr="00EF2D34" w:rsidRDefault="007044EB" w:rsidP="002B1298">
      <w:pPr>
        <w:rPr>
          <w:rFonts w:ascii="Abadi" w:hAnsi="Abadi" w:cs="Arial"/>
          <w:b/>
          <w:sz w:val="21"/>
          <w:szCs w:val="21"/>
          <w:lang w:eastAsia="x-none"/>
        </w:rPr>
      </w:pPr>
      <w:r w:rsidRPr="00EF2D34">
        <w:rPr>
          <w:rFonts w:ascii="Abadi" w:hAnsi="Abadi" w:cs="Arial"/>
          <w:b/>
          <w:sz w:val="21"/>
          <w:szCs w:val="21"/>
          <w:lang w:eastAsia="x-none"/>
        </w:rPr>
        <w:t xml:space="preserve">Diputado Miguel Ángel Salim </w:t>
      </w:r>
      <w:proofErr w:type="spellStart"/>
      <w:r w:rsidRPr="00EF2D34">
        <w:rPr>
          <w:rFonts w:ascii="Abadi" w:hAnsi="Abadi" w:cs="Arial"/>
          <w:b/>
          <w:sz w:val="21"/>
          <w:szCs w:val="21"/>
          <w:lang w:eastAsia="x-none"/>
        </w:rPr>
        <w:t>Alle</w:t>
      </w:r>
      <w:proofErr w:type="spellEnd"/>
    </w:p>
    <w:p w14:paraId="11837CE0" w14:textId="77777777" w:rsidR="007044EB" w:rsidRPr="00EF2D34" w:rsidRDefault="007044EB" w:rsidP="007044EB">
      <w:pPr>
        <w:rPr>
          <w:rFonts w:ascii="Abadi" w:hAnsi="Abadi" w:cs="Arial"/>
          <w:b/>
          <w:sz w:val="21"/>
          <w:szCs w:val="21"/>
          <w:lang w:eastAsia="x-none"/>
        </w:rPr>
      </w:pPr>
      <w:r w:rsidRPr="00EF2D34">
        <w:rPr>
          <w:rFonts w:ascii="Abadi" w:hAnsi="Abadi" w:cs="Arial"/>
          <w:b/>
          <w:sz w:val="21"/>
          <w:szCs w:val="21"/>
          <w:lang w:eastAsia="x-none"/>
        </w:rPr>
        <w:t xml:space="preserve">Diputado José Alfonso Borja Pimentel    </w:t>
      </w:r>
    </w:p>
    <w:p w14:paraId="30A00413" w14:textId="77777777" w:rsidR="007044EB" w:rsidRPr="00EF2D34" w:rsidRDefault="007044EB" w:rsidP="002B1298">
      <w:pPr>
        <w:rPr>
          <w:rFonts w:ascii="Abadi" w:hAnsi="Abadi" w:cs="Arial"/>
          <w:b/>
          <w:sz w:val="21"/>
          <w:szCs w:val="21"/>
          <w:lang w:eastAsia="x-none"/>
        </w:rPr>
      </w:pPr>
      <w:r w:rsidRPr="00EF2D34">
        <w:rPr>
          <w:rFonts w:ascii="Abadi" w:hAnsi="Abadi" w:cs="Arial"/>
          <w:b/>
          <w:sz w:val="21"/>
          <w:szCs w:val="21"/>
          <w:lang w:eastAsia="x-none"/>
        </w:rPr>
        <w:t>Diputada Alma Edwviges Alcaraz Hernández</w:t>
      </w:r>
    </w:p>
    <w:p w14:paraId="05C91AC2" w14:textId="77777777" w:rsidR="007044EB" w:rsidRPr="00EF2D34" w:rsidRDefault="007044EB" w:rsidP="007044EB">
      <w:pPr>
        <w:pStyle w:val="Textoindependiente2"/>
        <w:rPr>
          <w:rFonts w:ascii="Abadi" w:hAnsi="Abadi"/>
          <w:sz w:val="21"/>
          <w:szCs w:val="21"/>
        </w:rPr>
      </w:pPr>
    </w:p>
    <w:p w14:paraId="30B8901C" w14:textId="77777777" w:rsidR="00F55555" w:rsidRDefault="00F55555" w:rsidP="00374533">
      <w:pPr>
        <w:autoSpaceDE w:val="0"/>
        <w:autoSpaceDN w:val="0"/>
        <w:adjustRightInd w:val="0"/>
        <w:jc w:val="both"/>
        <w:rPr>
          <w:rFonts w:ascii="Abadi" w:hAnsi="Abadi" w:cs="Arial-ItalicMT"/>
          <w:b/>
          <w:bCs/>
          <w:i/>
          <w:iCs/>
          <w:sz w:val="21"/>
          <w:szCs w:val="21"/>
        </w:rPr>
      </w:pPr>
    </w:p>
    <w:p w14:paraId="694007C8" w14:textId="77777777" w:rsidR="00F55555" w:rsidRPr="00006796" w:rsidRDefault="00F55555" w:rsidP="00374533">
      <w:pPr>
        <w:autoSpaceDE w:val="0"/>
        <w:autoSpaceDN w:val="0"/>
        <w:adjustRightInd w:val="0"/>
        <w:jc w:val="both"/>
        <w:rPr>
          <w:rFonts w:ascii="Abadi" w:hAnsi="Abadi" w:cs="Arial-ItalicMT"/>
          <w:b/>
          <w:bCs/>
          <w:i/>
          <w:iCs/>
          <w:sz w:val="21"/>
          <w:szCs w:val="21"/>
        </w:rPr>
      </w:pPr>
    </w:p>
    <w:p w14:paraId="45AC7C99" w14:textId="1A4BA4C6" w:rsidR="00374533" w:rsidRDefault="00374533" w:rsidP="00427BD6">
      <w:pPr>
        <w:pStyle w:val="Prrafodelista"/>
        <w:numPr>
          <w:ilvl w:val="0"/>
          <w:numId w:val="8"/>
        </w:numPr>
        <w:autoSpaceDE w:val="0"/>
        <w:autoSpaceDN w:val="0"/>
        <w:adjustRightInd w:val="0"/>
        <w:contextualSpacing/>
        <w:jc w:val="both"/>
        <w:rPr>
          <w:rFonts w:ascii="Abadi" w:hAnsi="Abadi" w:cs="Arial-ItalicMT"/>
          <w:b/>
          <w:bCs/>
          <w:i/>
          <w:iCs/>
          <w:sz w:val="21"/>
          <w:szCs w:val="21"/>
        </w:rPr>
      </w:pPr>
      <w:r w:rsidRPr="00006796">
        <w:rPr>
          <w:rFonts w:ascii="Abadi" w:hAnsi="Abadi" w:cs="ArialMT"/>
          <w:b/>
          <w:bCs/>
          <w:sz w:val="21"/>
          <w:szCs w:val="21"/>
        </w:rPr>
        <w:t xml:space="preserve">DISCUSIÓN Y, EN SU CASO, APROBACIÓN DEL DICTAMEN EMITIDO POR LA COMISIÓN DE HACIENDA Y FISCALIZACIÓN RELATIVO AL INFORME DE RESULTADOS DE LA REVISIÓN PRACTICADA POR LA AUDITORÍA SUPERIOR DEL ESTADO DE GUANAJUATO, A LA CUENTA PÚBLICA MUNICIPAL DE SAN MIGUEL DE ALLENDE, GTO., CORRESPONDIENTE AL EJERCICIO FISCAL DEL AÑO 2021. </w:t>
      </w:r>
      <w:r w:rsidRPr="00006796">
        <w:rPr>
          <w:rFonts w:ascii="Abadi" w:hAnsi="Abadi" w:cs="Arial-ItalicMT"/>
          <w:b/>
          <w:bCs/>
          <w:i/>
          <w:iCs/>
          <w:sz w:val="21"/>
          <w:szCs w:val="21"/>
        </w:rPr>
        <w:t>(ELD 321/LXV-IRASEG)</w:t>
      </w:r>
      <w:r w:rsidR="004A67B0">
        <w:rPr>
          <w:rStyle w:val="Refdenotaalpie"/>
          <w:rFonts w:ascii="Abadi" w:hAnsi="Abadi" w:cs="Arial-ItalicMT"/>
          <w:b/>
          <w:bCs/>
          <w:i/>
          <w:iCs/>
          <w:sz w:val="21"/>
          <w:szCs w:val="21"/>
        </w:rPr>
        <w:footnoteReference w:id="237"/>
      </w:r>
    </w:p>
    <w:p w14:paraId="0534C8C9" w14:textId="77777777" w:rsidR="00374533" w:rsidRDefault="00374533" w:rsidP="00374533">
      <w:pPr>
        <w:autoSpaceDE w:val="0"/>
        <w:autoSpaceDN w:val="0"/>
        <w:adjustRightInd w:val="0"/>
        <w:jc w:val="both"/>
        <w:rPr>
          <w:rFonts w:ascii="Abadi" w:hAnsi="Abadi" w:cs="Arial-ItalicMT"/>
          <w:b/>
          <w:bCs/>
          <w:i/>
          <w:iCs/>
          <w:sz w:val="21"/>
          <w:szCs w:val="21"/>
        </w:rPr>
      </w:pPr>
    </w:p>
    <w:p w14:paraId="0EB007BC" w14:textId="77777777" w:rsidR="00377939" w:rsidRDefault="00377939" w:rsidP="00374533">
      <w:pPr>
        <w:autoSpaceDE w:val="0"/>
        <w:autoSpaceDN w:val="0"/>
        <w:adjustRightInd w:val="0"/>
        <w:jc w:val="both"/>
        <w:rPr>
          <w:rFonts w:ascii="Abadi" w:hAnsi="Abadi" w:cs="Arial-ItalicMT"/>
          <w:b/>
          <w:bCs/>
          <w:i/>
          <w:iCs/>
          <w:sz w:val="21"/>
          <w:szCs w:val="21"/>
        </w:rPr>
      </w:pPr>
    </w:p>
    <w:p w14:paraId="165DB926" w14:textId="77777777" w:rsidR="00501C2B" w:rsidRPr="005C71B6" w:rsidRDefault="00501C2B" w:rsidP="00501C2B">
      <w:pPr>
        <w:pStyle w:val="Textoindependiente3"/>
        <w:rPr>
          <w:rFonts w:ascii="Abadi" w:hAnsi="Abadi" w:cs="Arial"/>
          <w:smallCaps/>
          <w:sz w:val="21"/>
          <w:szCs w:val="21"/>
        </w:rPr>
      </w:pPr>
      <w:r w:rsidRPr="005C71B6">
        <w:rPr>
          <w:rFonts w:ascii="Abadi" w:hAnsi="Abadi" w:cs="Arial"/>
          <w:smallCaps/>
          <w:sz w:val="21"/>
          <w:szCs w:val="21"/>
        </w:rPr>
        <w:t>C. Presidenta del Congreso del Estado</w:t>
      </w:r>
    </w:p>
    <w:p w14:paraId="24949231" w14:textId="77777777" w:rsidR="00501C2B" w:rsidRPr="005C71B6" w:rsidRDefault="00501C2B" w:rsidP="00501C2B">
      <w:pPr>
        <w:jc w:val="both"/>
        <w:rPr>
          <w:rFonts w:ascii="Abadi" w:hAnsi="Abadi" w:cs="Arial"/>
          <w:b/>
          <w:bCs/>
          <w:smallCaps/>
          <w:sz w:val="21"/>
          <w:szCs w:val="21"/>
        </w:rPr>
      </w:pPr>
      <w:r w:rsidRPr="005C71B6">
        <w:rPr>
          <w:rFonts w:ascii="Abadi" w:hAnsi="Abadi" w:cs="Arial"/>
          <w:b/>
          <w:bCs/>
          <w:smallCaps/>
          <w:sz w:val="21"/>
          <w:szCs w:val="21"/>
        </w:rPr>
        <w:t>P r e s e n t e.</w:t>
      </w:r>
    </w:p>
    <w:p w14:paraId="72B91BCB" w14:textId="77777777" w:rsidR="00501C2B" w:rsidRPr="005C71B6" w:rsidRDefault="00501C2B" w:rsidP="00501C2B">
      <w:pPr>
        <w:pStyle w:val="Textoindependiente"/>
        <w:rPr>
          <w:rFonts w:ascii="Abadi" w:hAnsi="Abadi"/>
          <w:sz w:val="21"/>
          <w:szCs w:val="21"/>
        </w:rPr>
      </w:pPr>
    </w:p>
    <w:p w14:paraId="426C2B37" w14:textId="77777777" w:rsidR="00501C2B" w:rsidRPr="005C71B6" w:rsidRDefault="00501C2B" w:rsidP="00501C2B">
      <w:pPr>
        <w:pStyle w:val="Sangra3detindependiente"/>
        <w:spacing w:line="240" w:lineRule="auto"/>
        <w:rPr>
          <w:rFonts w:ascii="Abadi" w:hAnsi="Abadi"/>
          <w:sz w:val="21"/>
          <w:szCs w:val="21"/>
        </w:rPr>
      </w:pPr>
      <w:r w:rsidRPr="005C71B6">
        <w:rPr>
          <w:rFonts w:ascii="Abadi" w:hAnsi="Abadi"/>
          <w:sz w:val="21"/>
          <w:szCs w:val="21"/>
        </w:rPr>
        <w:t xml:space="preserve">A </w:t>
      </w:r>
      <w:r w:rsidRPr="005C71B6">
        <w:rPr>
          <w:rFonts w:ascii="Abadi" w:hAnsi="Abadi"/>
          <w:sz w:val="21"/>
          <w:szCs w:val="21"/>
          <w:lang w:val="es-MX"/>
        </w:rPr>
        <w:t>esta</w:t>
      </w:r>
      <w:r w:rsidRPr="005C71B6">
        <w:rPr>
          <w:rFonts w:ascii="Abadi" w:hAnsi="Abadi"/>
          <w:sz w:val="21"/>
          <w:szCs w:val="21"/>
        </w:rPr>
        <w:t xml:space="preserve"> Comisión de Hacienda y Fiscalización</w:t>
      </w:r>
      <w:r w:rsidRPr="005C71B6">
        <w:rPr>
          <w:rFonts w:ascii="Abadi" w:hAnsi="Abadi"/>
          <w:sz w:val="21"/>
          <w:szCs w:val="21"/>
          <w:lang w:val="es-MX"/>
        </w:rPr>
        <w:t xml:space="preserve">, </w:t>
      </w:r>
      <w:r w:rsidRPr="005C71B6">
        <w:rPr>
          <w:rFonts w:ascii="Abadi" w:hAnsi="Abadi"/>
          <w:sz w:val="21"/>
          <w:szCs w:val="21"/>
        </w:rPr>
        <w:t xml:space="preserve">le fue turnado para su estudio y dictamen, el informe de resultados de la revisión practicada por </w:t>
      </w:r>
      <w:r w:rsidRPr="005C71B6">
        <w:rPr>
          <w:rFonts w:ascii="Abadi" w:hAnsi="Abadi"/>
          <w:sz w:val="21"/>
          <w:szCs w:val="21"/>
          <w:lang w:val="es-MX"/>
        </w:rPr>
        <w:t xml:space="preserve">la </w:t>
      </w:r>
      <w:r w:rsidRPr="005C71B6">
        <w:rPr>
          <w:rFonts w:ascii="Abadi" w:hAnsi="Abadi"/>
          <w:sz w:val="21"/>
          <w:szCs w:val="21"/>
        </w:rPr>
        <w:t xml:space="preserve">Auditoría Superior del Estado de Guanajuato, a la cuenta pública municipal de </w:t>
      </w:r>
      <w:r w:rsidRPr="005C71B6">
        <w:rPr>
          <w:rFonts w:ascii="Abadi" w:hAnsi="Abadi"/>
          <w:sz w:val="21"/>
          <w:szCs w:val="21"/>
          <w:lang w:val="es-MX"/>
        </w:rPr>
        <w:t>San Miguel de Allende</w:t>
      </w:r>
      <w:r w:rsidRPr="005C71B6">
        <w:rPr>
          <w:rFonts w:ascii="Abadi" w:hAnsi="Abadi"/>
          <w:sz w:val="21"/>
          <w:szCs w:val="21"/>
        </w:rPr>
        <w:t xml:space="preserve">, </w:t>
      </w:r>
      <w:proofErr w:type="spellStart"/>
      <w:r w:rsidRPr="005C71B6">
        <w:rPr>
          <w:rFonts w:ascii="Abadi" w:hAnsi="Abadi"/>
          <w:sz w:val="21"/>
          <w:szCs w:val="21"/>
        </w:rPr>
        <w:t>Gto</w:t>
      </w:r>
      <w:proofErr w:type="spellEnd"/>
      <w:r w:rsidRPr="005C71B6">
        <w:rPr>
          <w:rFonts w:ascii="Abadi" w:hAnsi="Abadi"/>
          <w:sz w:val="21"/>
          <w:szCs w:val="21"/>
        </w:rPr>
        <w:t>., correspondiente al ejercicio fiscal del año 2021. (ELD 321/LXV-IRASEG)</w:t>
      </w:r>
    </w:p>
    <w:p w14:paraId="28E13F80" w14:textId="77777777" w:rsidR="00501C2B" w:rsidRPr="005C71B6" w:rsidRDefault="00501C2B" w:rsidP="00501C2B">
      <w:pPr>
        <w:pStyle w:val="Sangra3detindependiente"/>
        <w:spacing w:line="240" w:lineRule="auto"/>
        <w:rPr>
          <w:rFonts w:ascii="Abadi" w:hAnsi="Abadi"/>
          <w:sz w:val="21"/>
          <w:szCs w:val="21"/>
        </w:rPr>
      </w:pPr>
      <w:r w:rsidRPr="005C71B6">
        <w:rPr>
          <w:rFonts w:ascii="Abadi" w:hAnsi="Abadi"/>
          <w:sz w:val="21"/>
          <w:szCs w:val="21"/>
        </w:rPr>
        <w:t>Una vez analizado el referido informe de resultados, con fundamento en lo dispuesto por los artículos 112, fracción XII</w:t>
      </w:r>
      <w:r w:rsidRPr="005C71B6">
        <w:rPr>
          <w:rFonts w:ascii="Abadi" w:hAnsi="Abadi"/>
          <w:sz w:val="21"/>
          <w:szCs w:val="21"/>
          <w:lang w:val="es-MX"/>
        </w:rPr>
        <w:t>, primer párrafo</w:t>
      </w:r>
      <w:r w:rsidRPr="005C71B6">
        <w:rPr>
          <w:rFonts w:ascii="Abadi" w:hAnsi="Abadi"/>
          <w:sz w:val="21"/>
          <w:szCs w:val="21"/>
        </w:rPr>
        <w:t xml:space="preserve"> y 171 de </w:t>
      </w:r>
      <w:smartTag w:uri="urn:schemas-microsoft-com:office:smarttags" w:element="PersonName">
        <w:smartTagPr>
          <w:attr w:name="ProductID" w:val="la Ley Org￡nica"/>
        </w:smartTagPr>
        <w:r w:rsidRPr="005C71B6">
          <w:rPr>
            <w:rFonts w:ascii="Abadi" w:hAnsi="Abadi"/>
            <w:sz w:val="21"/>
            <w:szCs w:val="21"/>
          </w:rPr>
          <w:t>la Ley Orgánica</w:t>
        </w:r>
      </w:smartTag>
      <w:r w:rsidRPr="005C71B6">
        <w:rPr>
          <w:rFonts w:ascii="Abadi" w:hAnsi="Abadi"/>
          <w:sz w:val="21"/>
          <w:szCs w:val="21"/>
        </w:rPr>
        <w:t xml:space="preserve"> del Poder Legislativo, nos permitimos rendir el siguiente:</w:t>
      </w:r>
    </w:p>
    <w:p w14:paraId="644DD9A7" w14:textId="77777777" w:rsidR="00501C2B" w:rsidRPr="005C71B6" w:rsidRDefault="00501C2B" w:rsidP="00501C2B">
      <w:pPr>
        <w:pStyle w:val="Sangra3detindependiente"/>
        <w:spacing w:line="240" w:lineRule="auto"/>
        <w:rPr>
          <w:rFonts w:ascii="Abadi" w:hAnsi="Abadi"/>
          <w:sz w:val="21"/>
          <w:szCs w:val="21"/>
        </w:rPr>
      </w:pPr>
    </w:p>
    <w:p w14:paraId="57839446" w14:textId="77777777" w:rsidR="00F55555" w:rsidRDefault="00F55555" w:rsidP="00501C2B">
      <w:pPr>
        <w:pStyle w:val="Ttulo1"/>
        <w:jc w:val="center"/>
        <w:rPr>
          <w:rFonts w:ascii="Abadi" w:hAnsi="Abadi" w:cs="Arial"/>
          <w:sz w:val="21"/>
          <w:szCs w:val="21"/>
        </w:rPr>
      </w:pPr>
    </w:p>
    <w:p w14:paraId="19A3D8CD" w14:textId="48A75C0F" w:rsidR="00501C2B" w:rsidRPr="005C71B6" w:rsidRDefault="00501C2B" w:rsidP="00501C2B">
      <w:pPr>
        <w:pStyle w:val="Ttulo1"/>
        <w:jc w:val="center"/>
        <w:rPr>
          <w:rFonts w:ascii="Abadi" w:hAnsi="Abadi" w:cs="Arial"/>
          <w:sz w:val="21"/>
          <w:szCs w:val="21"/>
        </w:rPr>
      </w:pPr>
      <w:r w:rsidRPr="005C71B6">
        <w:rPr>
          <w:rFonts w:ascii="Abadi" w:hAnsi="Abadi" w:cs="Arial"/>
          <w:sz w:val="21"/>
          <w:szCs w:val="21"/>
        </w:rPr>
        <w:t>D i c t a m e n</w:t>
      </w:r>
    </w:p>
    <w:p w14:paraId="3DC0F0FD" w14:textId="77777777" w:rsidR="00501C2B" w:rsidRPr="005C71B6" w:rsidRDefault="00501C2B" w:rsidP="00501C2B">
      <w:pPr>
        <w:pStyle w:val="Textoindependiente"/>
        <w:ind w:firstLine="708"/>
        <w:rPr>
          <w:rFonts w:ascii="Abadi" w:hAnsi="Abadi"/>
          <w:b w:val="0"/>
          <w:bCs w:val="0"/>
          <w:sz w:val="21"/>
          <w:szCs w:val="21"/>
        </w:rPr>
      </w:pPr>
      <w:r w:rsidRPr="005C71B6">
        <w:rPr>
          <w:rFonts w:ascii="Abadi" w:hAnsi="Abadi"/>
          <w:b w:val="0"/>
          <w:bCs w:val="0"/>
          <w:sz w:val="21"/>
          <w:szCs w:val="21"/>
        </w:rPr>
        <w:t>I. Competencia:</w:t>
      </w:r>
    </w:p>
    <w:p w14:paraId="2DE9DC73" w14:textId="77777777" w:rsidR="00501C2B" w:rsidRPr="005C71B6" w:rsidRDefault="00501C2B" w:rsidP="00501C2B">
      <w:pPr>
        <w:pStyle w:val="Textoindependiente"/>
        <w:ind w:firstLine="708"/>
        <w:rPr>
          <w:rFonts w:ascii="Abadi" w:hAnsi="Abadi"/>
          <w:b w:val="0"/>
          <w:bCs w:val="0"/>
          <w:sz w:val="21"/>
          <w:szCs w:val="21"/>
        </w:rPr>
      </w:pPr>
    </w:p>
    <w:p w14:paraId="7FBAE6A3"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5C71B6">
          <w:rPr>
            <w:rFonts w:ascii="Abadi" w:hAnsi="Abadi" w:cs="Arial"/>
            <w:sz w:val="21"/>
            <w:szCs w:val="21"/>
            <w:lang w:val="es-MX" w:eastAsia="x-none"/>
          </w:rPr>
          <w:t>la Constitución Política</w:t>
        </w:r>
      </w:smartTag>
      <w:r w:rsidRPr="005C71B6">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402F0AA1" w14:textId="77777777" w:rsidR="00501C2B" w:rsidRPr="005C71B6" w:rsidRDefault="00501C2B" w:rsidP="00501C2B">
      <w:pPr>
        <w:ind w:firstLine="708"/>
        <w:jc w:val="both"/>
        <w:rPr>
          <w:rFonts w:ascii="Abadi" w:hAnsi="Abadi" w:cs="Arial"/>
          <w:sz w:val="21"/>
          <w:szCs w:val="21"/>
          <w:lang w:val="es-MX" w:eastAsia="x-none"/>
        </w:rPr>
      </w:pPr>
    </w:p>
    <w:p w14:paraId="67B78F70"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806AA6F" w14:textId="77777777" w:rsidR="00501C2B" w:rsidRPr="005C71B6" w:rsidRDefault="00501C2B" w:rsidP="00501C2B">
      <w:pPr>
        <w:ind w:firstLine="708"/>
        <w:jc w:val="both"/>
        <w:rPr>
          <w:rFonts w:ascii="Abadi" w:hAnsi="Abadi" w:cs="Arial"/>
          <w:sz w:val="21"/>
          <w:szCs w:val="21"/>
          <w:lang w:val="es-MX" w:eastAsia="x-none"/>
        </w:rPr>
      </w:pPr>
    </w:p>
    <w:p w14:paraId="74EAEA2D" w14:textId="77777777" w:rsidR="00501C2B" w:rsidRPr="005C71B6" w:rsidRDefault="00501C2B" w:rsidP="00501C2B">
      <w:pPr>
        <w:ind w:firstLine="708"/>
        <w:jc w:val="both"/>
        <w:rPr>
          <w:rFonts w:ascii="Abadi" w:hAnsi="Abadi" w:cs="Arial"/>
          <w:sz w:val="21"/>
          <w:szCs w:val="21"/>
          <w:lang w:val="es-MX" w:eastAsia="x-none"/>
        </w:rPr>
      </w:pPr>
    </w:p>
    <w:p w14:paraId="7326B9F4"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5C71B6">
          <w:rPr>
            <w:rFonts w:ascii="Abadi" w:hAnsi="Abadi" w:cs="Arial"/>
            <w:sz w:val="21"/>
            <w:szCs w:val="21"/>
            <w:lang w:val="es-MX" w:eastAsia="x-none"/>
          </w:rPr>
          <w:t>la Constitución Política</w:t>
        </w:r>
      </w:smartTag>
      <w:r w:rsidRPr="005C71B6">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2FB8BE5A" w14:textId="77777777" w:rsidR="00501C2B" w:rsidRPr="005C71B6" w:rsidRDefault="00501C2B" w:rsidP="00501C2B">
      <w:pPr>
        <w:ind w:firstLine="708"/>
        <w:jc w:val="both"/>
        <w:rPr>
          <w:rFonts w:ascii="Abadi" w:hAnsi="Abadi" w:cs="Arial"/>
          <w:sz w:val="21"/>
          <w:szCs w:val="21"/>
          <w:lang w:val="es-MX" w:eastAsia="x-none"/>
        </w:rPr>
      </w:pPr>
    </w:p>
    <w:p w14:paraId="5D6B4E26"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Asimismo, el artículo 66, fracción VIII de dicho Ordenamiento Constitucional establece que la Auditoría Superior del Estado </w:t>
      </w:r>
      <w:r w:rsidRPr="005C71B6">
        <w:rPr>
          <w:rFonts w:ascii="Abadi" w:hAnsi="Abadi" w:cs="Arial"/>
          <w:sz w:val="21"/>
          <w:szCs w:val="21"/>
          <w:lang w:val="es-MX" w:eastAsia="x-none"/>
        </w:rPr>
        <w:t>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8A1DE45" w14:textId="77777777" w:rsidR="00501C2B" w:rsidRPr="005C71B6" w:rsidRDefault="00501C2B" w:rsidP="00501C2B">
      <w:pPr>
        <w:ind w:firstLine="708"/>
        <w:jc w:val="both"/>
        <w:rPr>
          <w:rFonts w:ascii="Abadi" w:hAnsi="Abadi" w:cs="Arial"/>
          <w:sz w:val="21"/>
          <w:szCs w:val="21"/>
          <w:lang w:val="es-MX" w:eastAsia="x-none"/>
        </w:rPr>
      </w:pPr>
    </w:p>
    <w:p w14:paraId="74D8EE6E"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 xml:space="preserve">De igual forma, el artículo 82, fracción XXIV de </w:t>
      </w:r>
      <w:smartTag w:uri="urn:schemas-microsoft-com:office:smarttags" w:element="PersonName">
        <w:smartTagPr>
          <w:attr w:name="ProductID" w:val="la Ley"/>
        </w:smartTagPr>
        <w:r w:rsidRPr="00950C68">
          <w:rPr>
            <w:rFonts w:ascii="Abadi" w:hAnsi="Abadi"/>
            <w:b w:val="0"/>
            <w:bCs w:val="0"/>
            <w:sz w:val="21"/>
            <w:szCs w:val="21"/>
          </w:rPr>
          <w:t>la Ley</w:t>
        </w:r>
      </w:smartTag>
      <w:r w:rsidRPr="00950C68">
        <w:rPr>
          <w:rFonts w:ascii="Abadi" w:hAnsi="Abadi"/>
          <w:b w:val="0"/>
          <w:bCs w:val="0"/>
          <w:sz w:val="21"/>
          <w:szCs w:val="21"/>
        </w:rPr>
        <w:t xml:space="preserve"> de Fiscalización Superior del Estado de Guanajuato consigna como atribución del Auditor Superior rendir al Congreso del Estado, los informes derivados del ejercicio de la función de fiscalización.</w:t>
      </w:r>
    </w:p>
    <w:p w14:paraId="413FEB6C" w14:textId="77777777" w:rsidR="00501C2B" w:rsidRPr="00950C68" w:rsidRDefault="00501C2B" w:rsidP="00501C2B">
      <w:pPr>
        <w:pStyle w:val="Textoindependiente"/>
        <w:ind w:firstLine="708"/>
        <w:rPr>
          <w:rFonts w:ascii="Abadi" w:hAnsi="Abadi"/>
          <w:b w:val="0"/>
          <w:bCs w:val="0"/>
          <w:sz w:val="21"/>
          <w:szCs w:val="21"/>
        </w:rPr>
      </w:pPr>
    </w:p>
    <w:p w14:paraId="4C3752A5"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16A5791" w14:textId="77777777" w:rsidR="00501C2B" w:rsidRPr="00950C68" w:rsidRDefault="00501C2B" w:rsidP="00501C2B">
      <w:pPr>
        <w:pStyle w:val="Textoindependiente"/>
        <w:ind w:firstLine="708"/>
        <w:rPr>
          <w:rFonts w:ascii="Abadi" w:hAnsi="Abadi"/>
          <w:b w:val="0"/>
          <w:bCs w:val="0"/>
          <w:sz w:val="21"/>
          <w:szCs w:val="21"/>
        </w:rPr>
      </w:pPr>
    </w:p>
    <w:p w14:paraId="67ADFE0F"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50C68">
          <w:rPr>
            <w:rFonts w:ascii="Abadi" w:hAnsi="Abadi"/>
            <w:b w:val="0"/>
            <w:bCs w:val="0"/>
            <w:sz w:val="21"/>
            <w:szCs w:val="21"/>
          </w:rPr>
          <w:t>la Ley Orgánica</w:t>
        </w:r>
      </w:smartTag>
      <w:r w:rsidRPr="00950C68">
        <w:rPr>
          <w:rFonts w:ascii="Abadi" w:hAnsi="Abadi"/>
          <w:b w:val="0"/>
          <w:bCs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8F881FC" w14:textId="77777777" w:rsidR="00501C2B" w:rsidRPr="00950C68" w:rsidRDefault="00501C2B" w:rsidP="00501C2B">
      <w:pPr>
        <w:pStyle w:val="Textoindependiente"/>
        <w:ind w:firstLine="708"/>
        <w:rPr>
          <w:rFonts w:ascii="Abadi" w:hAnsi="Abadi"/>
          <w:b w:val="0"/>
          <w:bCs w:val="0"/>
          <w:sz w:val="21"/>
          <w:szCs w:val="21"/>
        </w:rPr>
      </w:pPr>
    </w:p>
    <w:p w14:paraId="109F5B25"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70F6D71D" w14:textId="77777777" w:rsidR="00F55555" w:rsidRDefault="00F55555" w:rsidP="00501C2B">
      <w:pPr>
        <w:ind w:firstLine="708"/>
        <w:jc w:val="both"/>
        <w:rPr>
          <w:rFonts w:ascii="Abadi" w:hAnsi="Abadi" w:cs="Arial"/>
          <w:sz w:val="21"/>
          <w:szCs w:val="21"/>
          <w:lang w:val="es-MX" w:eastAsia="x-none"/>
        </w:rPr>
      </w:pPr>
    </w:p>
    <w:p w14:paraId="4C784F91" w14:textId="6A12DEB6" w:rsidR="00501C2B" w:rsidRPr="00F55555" w:rsidRDefault="00501C2B" w:rsidP="00501C2B">
      <w:pPr>
        <w:ind w:firstLine="708"/>
        <w:jc w:val="both"/>
        <w:rPr>
          <w:rFonts w:ascii="Abadi" w:hAnsi="Abadi" w:cs="Arial"/>
          <w:b/>
          <w:bCs/>
          <w:sz w:val="21"/>
          <w:szCs w:val="21"/>
          <w:lang w:val="es-MX" w:eastAsia="x-none"/>
        </w:rPr>
      </w:pPr>
      <w:r w:rsidRPr="00F55555">
        <w:rPr>
          <w:rFonts w:ascii="Abadi" w:hAnsi="Abadi" w:cs="Arial"/>
          <w:b/>
          <w:bCs/>
          <w:sz w:val="21"/>
          <w:szCs w:val="21"/>
          <w:lang w:val="es-MX" w:eastAsia="x-none"/>
        </w:rPr>
        <w:t>II. Antecedentes:</w:t>
      </w:r>
    </w:p>
    <w:p w14:paraId="3E913F33" w14:textId="77777777" w:rsidR="00501C2B" w:rsidRPr="00950C68" w:rsidRDefault="00501C2B" w:rsidP="00501C2B">
      <w:pPr>
        <w:ind w:firstLine="708"/>
        <w:jc w:val="both"/>
        <w:rPr>
          <w:rFonts w:ascii="Abadi" w:hAnsi="Abadi" w:cs="Arial"/>
          <w:sz w:val="21"/>
          <w:szCs w:val="21"/>
          <w:lang w:val="es-MX" w:eastAsia="x-none"/>
        </w:rPr>
      </w:pPr>
    </w:p>
    <w:p w14:paraId="653252FA" w14:textId="77777777" w:rsidR="00501C2B" w:rsidRPr="00950C68" w:rsidRDefault="00501C2B" w:rsidP="00501C2B">
      <w:pPr>
        <w:ind w:firstLine="708"/>
        <w:jc w:val="both"/>
        <w:rPr>
          <w:rFonts w:ascii="Abadi" w:hAnsi="Abadi" w:cs="Arial"/>
          <w:sz w:val="21"/>
          <w:szCs w:val="21"/>
          <w:lang w:val="es-MX" w:eastAsia="x-none"/>
        </w:rPr>
      </w:pPr>
      <w:r w:rsidRPr="00950C68">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950C68">
          <w:rPr>
            <w:rFonts w:ascii="Abadi" w:hAnsi="Abadi" w:cs="Arial"/>
            <w:sz w:val="21"/>
            <w:szCs w:val="21"/>
            <w:lang w:val="es-MX" w:eastAsia="x-none"/>
          </w:rPr>
          <w:t>la Constitución Política</w:t>
        </w:r>
      </w:smartTag>
      <w:r w:rsidRPr="00950C68">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w:t>
      </w:r>
      <w:r w:rsidRPr="00950C68">
        <w:rPr>
          <w:rFonts w:ascii="Abadi" w:hAnsi="Abadi" w:cs="Arial"/>
          <w:sz w:val="21"/>
          <w:szCs w:val="21"/>
          <w:lang w:val="es-MX" w:eastAsia="x-none"/>
        </w:rPr>
        <w:lastRenderedPageBreak/>
        <w:t>periodicidad, forma y términos que establezcan las disposiciones aplicables y la Ley.</w:t>
      </w:r>
    </w:p>
    <w:p w14:paraId="56A63DA6" w14:textId="77777777" w:rsidR="00501C2B" w:rsidRPr="00950C68" w:rsidRDefault="00501C2B" w:rsidP="00501C2B">
      <w:pPr>
        <w:ind w:firstLine="708"/>
        <w:jc w:val="both"/>
        <w:rPr>
          <w:rFonts w:ascii="Abadi" w:hAnsi="Abadi" w:cs="Arial"/>
          <w:sz w:val="21"/>
          <w:szCs w:val="21"/>
          <w:lang w:val="es-MX" w:eastAsia="x-none"/>
        </w:rPr>
      </w:pPr>
    </w:p>
    <w:p w14:paraId="4297FAAC"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5B786B81" w14:textId="77777777" w:rsidR="00501C2B" w:rsidRPr="00950C68" w:rsidRDefault="00501C2B" w:rsidP="00501C2B">
      <w:pPr>
        <w:pStyle w:val="Textoindependiente"/>
        <w:ind w:firstLine="708"/>
        <w:rPr>
          <w:rFonts w:ascii="Abadi" w:hAnsi="Abadi"/>
          <w:b w:val="0"/>
          <w:bCs w:val="0"/>
          <w:sz w:val="21"/>
          <w:szCs w:val="21"/>
        </w:rPr>
      </w:pPr>
    </w:p>
    <w:p w14:paraId="35C11798"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 xml:space="preserve">La fracción III del artículo 3 de </w:t>
      </w:r>
      <w:smartTag w:uri="urn:schemas-microsoft-com:office:smarttags" w:element="PersonName">
        <w:smartTagPr>
          <w:attr w:name="ProductID" w:val="la Ley"/>
        </w:smartTagPr>
        <w:r w:rsidRPr="00950C68">
          <w:rPr>
            <w:rFonts w:ascii="Abadi" w:hAnsi="Abadi"/>
            <w:b w:val="0"/>
            <w:bCs w:val="0"/>
            <w:sz w:val="21"/>
            <w:szCs w:val="21"/>
          </w:rPr>
          <w:t>la Ley</w:t>
        </w:r>
      </w:smartTag>
      <w:r w:rsidRPr="00950C68">
        <w:rPr>
          <w:rFonts w:ascii="Abadi" w:hAnsi="Abadi"/>
          <w:b w:val="0"/>
          <w:bCs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4BB2F2FE" w14:textId="77777777" w:rsidR="00501C2B" w:rsidRPr="00950C68" w:rsidRDefault="00501C2B" w:rsidP="00501C2B">
      <w:pPr>
        <w:pStyle w:val="Textoindependiente"/>
        <w:ind w:firstLine="708"/>
        <w:rPr>
          <w:rFonts w:ascii="Abadi" w:hAnsi="Abadi"/>
          <w:b w:val="0"/>
          <w:bCs w:val="0"/>
          <w:sz w:val="21"/>
          <w:szCs w:val="21"/>
        </w:rPr>
      </w:pPr>
    </w:p>
    <w:p w14:paraId="2B20CCC5"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245C7AE2" w14:textId="77777777" w:rsidR="00501C2B" w:rsidRPr="00950C68" w:rsidRDefault="00501C2B" w:rsidP="00501C2B">
      <w:pPr>
        <w:pStyle w:val="Textoindependiente"/>
        <w:ind w:firstLine="708"/>
        <w:rPr>
          <w:rFonts w:ascii="Abadi" w:hAnsi="Abadi"/>
          <w:b w:val="0"/>
          <w:bCs w:val="0"/>
          <w:sz w:val="21"/>
          <w:szCs w:val="21"/>
        </w:rPr>
      </w:pPr>
    </w:p>
    <w:p w14:paraId="0AE2F75D" w14:textId="77777777" w:rsidR="00501C2B" w:rsidRPr="00950C68" w:rsidRDefault="00501C2B" w:rsidP="00501C2B">
      <w:pPr>
        <w:pStyle w:val="Textoindependiente"/>
        <w:ind w:firstLine="708"/>
        <w:rPr>
          <w:rFonts w:ascii="Abadi" w:hAnsi="Abadi"/>
          <w:b w:val="0"/>
          <w:bCs w:val="0"/>
          <w:sz w:val="21"/>
          <w:szCs w:val="21"/>
        </w:rPr>
      </w:pPr>
      <w:r w:rsidRPr="00950C68">
        <w:rPr>
          <w:rFonts w:ascii="Abadi" w:hAnsi="Abadi"/>
          <w:b w:val="0"/>
          <w:bCs w:val="0"/>
          <w:sz w:val="21"/>
          <w:szCs w:val="21"/>
        </w:rPr>
        <w:t>No será impedimento para que la Auditoría Superior del Estado realice la función de fiscalización, si la cuenta pública no está presentada y disponible en los plazos y requisitos señalados en la ley.</w:t>
      </w:r>
    </w:p>
    <w:p w14:paraId="4038544C" w14:textId="77777777" w:rsidR="00501C2B" w:rsidRPr="00950C68" w:rsidRDefault="00501C2B" w:rsidP="00501C2B">
      <w:pPr>
        <w:ind w:firstLine="708"/>
        <w:jc w:val="both"/>
        <w:rPr>
          <w:rFonts w:ascii="Abadi" w:hAnsi="Abadi" w:cs="Arial"/>
          <w:sz w:val="21"/>
          <w:szCs w:val="21"/>
          <w:lang w:val="es-MX" w:eastAsia="x-none"/>
        </w:rPr>
      </w:pPr>
    </w:p>
    <w:p w14:paraId="4C06B336"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5C71B6">
          <w:rPr>
            <w:rFonts w:ascii="Abadi" w:hAnsi="Abadi" w:cs="Arial"/>
            <w:sz w:val="21"/>
            <w:szCs w:val="21"/>
            <w:lang w:val="es-MX" w:eastAsia="x-none"/>
          </w:rPr>
          <w:t>la Ley Orgánica</w:t>
        </w:r>
      </w:smartTag>
      <w:r w:rsidRPr="005C71B6">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28F1D853" w14:textId="77777777" w:rsidR="00501C2B" w:rsidRPr="005C71B6" w:rsidRDefault="00501C2B" w:rsidP="00501C2B">
      <w:pPr>
        <w:ind w:firstLine="708"/>
        <w:jc w:val="both"/>
        <w:rPr>
          <w:rFonts w:ascii="Abadi" w:hAnsi="Abadi" w:cs="Arial"/>
          <w:sz w:val="21"/>
          <w:szCs w:val="21"/>
          <w:lang w:val="es-MX" w:eastAsia="x-none"/>
        </w:rPr>
      </w:pPr>
    </w:p>
    <w:p w14:paraId="61049F00" w14:textId="77777777" w:rsidR="00501C2B" w:rsidRPr="005C71B6" w:rsidRDefault="00501C2B" w:rsidP="00501C2B">
      <w:pPr>
        <w:ind w:right="60" w:firstLine="709"/>
        <w:jc w:val="both"/>
        <w:rPr>
          <w:rFonts w:ascii="Abadi" w:hAnsi="Abadi" w:cs="Arial"/>
          <w:sz w:val="21"/>
          <w:szCs w:val="21"/>
          <w:lang w:val="es-MX" w:eastAsia="x-none"/>
        </w:rPr>
      </w:pPr>
      <w:r w:rsidRPr="005C71B6">
        <w:rPr>
          <w:rFonts w:ascii="Abadi" w:hAnsi="Abadi" w:cs="Arial"/>
          <w:sz w:val="21"/>
          <w:szCs w:val="21"/>
          <w:lang w:val="es-MX" w:eastAsia="x-none"/>
        </w:rPr>
        <w:t xml:space="preserve">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w:t>
      </w:r>
      <w:r w:rsidRPr="005C71B6">
        <w:rPr>
          <w:rFonts w:ascii="Abadi" w:hAnsi="Abadi" w:cs="Arial"/>
          <w:sz w:val="21"/>
          <w:szCs w:val="21"/>
          <w:lang w:val="es-MX" w:eastAsia="x-none"/>
        </w:rPr>
        <w:t>la información financiera del trimestre en que se hayan detectado.</w:t>
      </w:r>
    </w:p>
    <w:p w14:paraId="09549B58" w14:textId="77777777" w:rsidR="00501C2B" w:rsidRPr="005C71B6" w:rsidRDefault="00501C2B" w:rsidP="00501C2B">
      <w:pPr>
        <w:ind w:right="58" w:firstLine="709"/>
        <w:jc w:val="both"/>
        <w:rPr>
          <w:rFonts w:ascii="Abadi" w:eastAsia="DejaVu Sans" w:hAnsi="Abadi" w:cs="Tahoma"/>
          <w:iCs/>
          <w:kern w:val="1"/>
          <w:sz w:val="21"/>
          <w:szCs w:val="21"/>
          <w:lang w:eastAsia="ar-SA"/>
        </w:rPr>
      </w:pPr>
    </w:p>
    <w:p w14:paraId="0DD8385E"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3AF726DF" w14:textId="77777777" w:rsidR="00501C2B" w:rsidRPr="005C71B6" w:rsidRDefault="00501C2B" w:rsidP="00501C2B">
      <w:pPr>
        <w:pStyle w:val="Textoindependiente"/>
        <w:ind w:firstLine="708"/>
        <w:rPr>
          <w:rFonts w:ascii="Abadi" w:hAnsi="Abadi"/>
          <w:sz w:val="21"/>
          <w:szCs w:val="21"/>
        </w:rPr>
      </w:pPr>
    </w:p>
    <w:p w14:paraId="369AFFBF" w14:textId="77777777" w:rsidR="00501C2B" w:rsidRPr="000F38A5" w:rsidRDefault="00501C2B" w:rsidP="00501C2B">
      <w:pPr>
        <w:pStyle w:val="Textoindependiente"/>
        <w:ind w:firstLine="708"/>
        <w:rPr>
          <w:rFonts w:ascii="Abadi" w:hAnsi="Abadi"/>
          <w:b w:val="0"/>
          <w:bCs w:val="0"/>
          <w:sz w:val="21"/>
          <w:szCs w:val="21"/>
        </w:rPr>
      </w:pPr>
      <w:r w:rsidRPr="000F38A5">
        <w:rPr>
          <w:rFonts w:ascii="Abadi" w:hAnsi="Abadi"/>
          <w:b w:val="0"/>
          <w:bCs w:val="0"/>
          <w:sz w:val="21"/>
          <w:szCs w:val="21"/>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35207D8" w14:textId="77777777" w:rsidR="00501C2B" w:rsidRPr="005C71B6" w:rsidRDefault="00501C2B" w:rsidP="00501C2B">
      <w:pPr>
        <w:pStyle w:val="Textoindependiente"/>
        <w:ind w:firstLine="708"/>
        <w:rPr>
          <w:rFonts w:ascii="Abadi" w:hAnsi="Abadi"/>
          <w:sz w:val="21"/>
          <w:szCs w:val="21"/>
        </w:rPr>
      </w:pPr>
    </w:p>
    <w:p w14:paraId="2D03D1EC" w14:textId="77777777" w:rsidR="00501C2B" w:rsidRPr="005C71B6" w:rsidRDefault="00501C2B" w:rsidP="00501C2B">
      <w:pPr>
        <w:ind w:right="60" w:firstLine="709"/>
        <w:jc w:val="both"/>
        <w:rPr>
          <w:rFonts w:ascii="Abadi" w:hAnsi="Abadi" w:cs="Arial"/>
          <w:sz w:val="21"/>
          <w:szCs w:val="21"/>
          <w:lang w:val="es-MX" w:eastAsia="x-none"/>
        </w:rPr>
      </w:pPr>
      <w:r w:rsidRPr="005C71B6">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699064E" w14:textId="77777777" w:rsidR="00501C2B" w:rsidRPr="005C71B6" w:rsidRDefault="00501C2B" w:rsidP="00501C2B">
      <w:pPr>
        <w:pStyle w:val="Textoindependiente"/>
        <w:ind w:firstLine="708"/>
        <w:rPr>
          <w:rFonts w:ascii="Abadi" w:hAnsi="Abadi"/>
          <w:sz w:val="21"/>
          <w:szCs w:val="21"/>
        </w:rPr>
      </w:pPr>
    </w:p>
    <w:p w14:paraId="3793A153" w14:textId="77777777" w:rsidR="00501C2B" w:rsidRPr="000F38A5" w:rsidRDefault="00501C2B" w:rsidP="00501C2B">
      <w:pPr>
        <w:pStyle w:val="Textoindependiente"/>
        <w:ind w:firstLine="708"/>
        <w:rPr>
          <w:rFonts w:ascii="Abadi" w:hAnsi="Abadi"/>
          <w:b w:val="0"/>
          <w:bCs w:val="0"/>
          <w:sz w:val="21"/>
          <w:szCs w:val="21"/>
        </w:rPr>
      </w:pPr>
      <w:r w:rsidRPr="000F38A5">
        <w:rPr>
          <w:rFonts w:ascii="Abadi" w:hAnsi="Abadi"/>
          <w:b w:val="0"/>
          <w:bCs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35A0AF77" w14:textId="77777777" w:rsidR="00501C2B" w:rsidRPr="000F38A5" w:rsidRDefault="00501C2B" w:rsidP="00501C2B">
      <w:pPr>
        <w:pStyle w:val="Textoindependiente"/>
        <w:ind w:firstLine="708"/>
        <w:rPr>
          <w:rFonts w:ascii="Abadi" w:hAnsi="Abadi"/>
          <w:b w:val="0"/>
          <w:bCs w:val="0"/>
          <w:sz w:val="21"/>
          <w:szCs w:val="21"/>
        </w:rPr>
      </w:pPr>
    </w:p>
    <w:p w14:paraId="7078388D" w14:textId="77777777" w:rsidR="00501C2B" w:rsidRPr="005C71B6" w:rsidRDefault="00501C2B" w:rsidP="00501C2B">
      <w:pPr>
        <w:tabs>
          <w:tab w:val="left" w:pos="709"/>
        </w:tabs>
        <w:jc w:val="both"/>
        <w:rPr>
          <w:rFonts w:ascii="Abadi" w:hAnsi="Abadi" w:cs="Arial"/>
          <w:sz w:val="21"/>
          <w:szCs w:val="21"/>
          <w:lang w:val="es-MX" w:eastAsia="x-none"/>
        </w:rPr>
      </w:pPr>
      <w:r w:rsidRPr="005C71B6">
        <w:rPr>
          <w:rFonts w:ascii="Abadi" w:hAnsi="Abadi" w:cs="Arial"/>
          <w:sz w:val="21"/>
          <w:szCs w:val="21"/>
        </w:rPr>
        <w:tab/>
        <w:t xml:space="preserve">El citado artículo también refiere </w:t>
      </w:r>
      <w:r w:rsidRPr="005C71B6">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w:t>
      </w:r>
      <w:r w:rsidRPr="005C71B6">
        <w:rPr>
          <w:rFonts w:ascii="Abadi" w:hAnsi="Abadi" w:cs="Arial"/>
          <w:sz w:val="21"/>
          <w:szCs w:val="21"/>
          <w:lang w:val="es-MX" w:eastAsia="x-none"/>
        </w:rPr>
        <w:lastRenderedPageBreak/>
        <w:t xml:space="preserve">causa justificada para ello y no se haya suscrito el convenio respectivo. </w:t>
      </w:r>
    </w:p>
    <w:p w14:paraId="4F1E6EA2" w14:textId="77777777" w:rsidR="00501C2B" w:rsidRPr="005C71B6" w:rsidRDefault="00501C2B" w:rsidP="00501C2B">
      <w:pPr>
        <w:tabs>
          <w:tab w:val="left" w:pos="709"/>
        </w:tabs>
        <w:jc w:val="both"/>
        <w:rPr>
          <w:rFonts w:ascii="Abadi" w:hAnsi="Abadi" w:cs="Arial"/>
          <w:sz w:val="21"/>
          <w:szCs w:val="21"/>
          <w:lang w:val="es-MX" w:eastAsia="x-none"/>
        </w:rPr>
      </w:pPr>
      <w:r w:rsidRPr="005C71B6">
        <w:rPr>
          <w:rFonts w:ascii="Abadi" w:hAnsi="Abadi" w:cs="Arial"/>
          <w:sz w:val="21"/>
          <w:szCs w:val="21"/>
          <w:lang w:val="es-MX" w:eastAsia="x-none"/>
        </w:rPr>
        <w:tab/>
        <w:t xml:space="preserve">En términos del numeral 23 de la </w:t>
      </w:r>
      <w:r w:rsidRPr="005C71B6">
        <w:rPr>
          <w:rFonts w:ascii="Abadi" w:hAnsi="Abadi" w:cs="Arial"/>
          <w:sz w:val="21"/>
          <w:szCs w:val="21"/>
        </w:rPr>
        <w:t>Ley de Fiscalización Superior del Estado de Guanajuato, p</w:t>
      </w:r>
      <w:r w:rsidRPr="005C71B6">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5D872EF7" w14:textId="77777777" w:rsidR="00501C2B" w:rsidRPr="005C71B6" w:rsidRDefault="00501C2B" w:rsidP="00501C2B">
      <w:pPr>
        <w:tabs>
          <w:tab w:val="left" w:pos="709"/>
        </w:tabs>
        <w:jc w:val="both"/>
        <w:rPr>
          <w:rFonts w:ascii="Abadi" w:hAnsi="Abadi" w:cs="Arial"/>
          <w:sz w:val="21"/>
          <w:szCs w:val="21"/>
          <w:lang w:val="es-MX" w:eastAsia="x-none"/>
        </w:rPr>
      </w:pPr>
    </w:p>
    <w:p w14:paraId="2621AC13" w14:textId="77777777" w:rsidR="00501C2B" w:rsidRPr="005C71B6" w:rsidRDefault="00501C2B" w:rsidP="00501C2B">
      <w:pPr>
        <w:pStyle w:val="Texto"/>
        <w:spacing w:after="0" w:line="240" w:lineRule="auto"/>
        <w:ind w:firstLine="708"/>
        <w:rPr>
          <w:rFonts w:ascii="Abadi" w:hAnsi="Abadi" w:cs="Arial"/>
          <w:sz w:val="21"/>
          <w:szCs w:val="21"/>
          <w:lang w:val="es-MX"/>
        </w:rPr>
      </w:pPr>
      <w:r w:rsidRPr="005C71B6">
        <w:rPr>
          <w:rFonts w:ascii="Abadi" w:hAnsi="Abadi" w:cs="Arial"/>
          <w:sz w:val="21"/>
          <w:szCs w:val="21"/>
          <w:lang w:val="es-MX"/>
        </w:rPr>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74D30F6B" w14:textId="77777777" w:rsidR="00501C2B" w:rsidRPr="005C71B6" w:rsidRDefault="00501C2B" w:rsidP="00501C2B">
      <w:pPr>
        <w:pStyle w:val="Texto"/>
        <w:spacing w:after="0" w:line="240" w:lineRule="auto"/>
        <w:ind w:firstLine="708"/>
        <w:rPr>
          <w:rFonts w:ascii="Abadi" w:hAnsi="Abadi" w:cs="Arial"/>
          <w:sz w:val="21"/>
          <w:szCs w:val="21"/>
          <w:lang w:val="es-MX"/>
        </w:rPr>
      </w:pPr>
    </w:p>
    <w:p w14:paraId="600376C0" w14:textId="77777777" w:rsidR="00501C2B" w:rsidRPr="005C71B6" w:rsidRDefault="00501C2B" w:rsidP="00501C2B">
      <w:pPr>
        <w:pStyle w:val="Texto"/>
        <w:spacing w:after="0" w:line="240" w:lineRule="auto"/>
        <w:ind w:firstLine="708"/>
        <w:rPr>
          <w:rFonts w:ascii="Abadi" w:hAnsi="Abadi" w:cs="Arial"/>
          <w:sz w:val="21"/>
          <w:szCs w:val="21"/>
          <w:lang w:val="es-MX"/>
        </w:rPr>
      </w:pPr>
      <w:r w:rsidRPr="005C71B6">
        <w:rPr>
          <w:rFonts w:ascii="Abadi" w:hAnsi="Abadi" w:cs="Arial"/>
          <w:sz w:val="21"/>
          <w:szCs w:val="21"/>
          <w:lang w:val="es-MX"/>
        </w:rPr>
        <w:t xml:space="preserve">En cumplimiento a los citados preceptos, en su oportunidad se remitió a este Congreso del Estado, la cuenta pública municipal de San Miguel de Allende, </w:t>
      </w:r>
      <w:proofErr w:type="spellStart"/>
      <w:r w:rsidRPr="005C71B6">
        <w:rPr>
          <w:rFonts w:ascii="Abadi" w:hAnsi="Abadi" w:cs="Arial"/>
          <w:sz w:val="21"/>
          <w:szCs w:val="21"/>
          <w:lang w:val="es-MX"/>
        </w:rPr>
        <w:t>Gto</w:t>
      </w:r>
      <w:proofErr w:type="spellEnd"/>
      <w:r w:rsidRPr="005C71B6">
        <w:rPr>
          <w:rFonts w:ascii="Abadi" w:hAnsi="Abadi" w:cs="Arial"/>
          <w:sz w:val="21"/>
          <w:szCs w:val="21"/>
          <w:lang w:val="es-MX"/>
        </w:rPr>
        <w:t>., correspondiente al ejercicio fiscal del año 2021, turnándose a la Auditoría Superior del Estado para su revisión.</w:t>
      </w:r>
    </w:p>
    <w:p w14:paraId="7FEF9FC1" w14:textId="77777777" w:rsidR="00501C2B" w:rsidRPr="005C71B6" w:rsidRDefault="00501C2B" w:rsidP="00501C2B">
      <w:pPr>
        <w:pStyle w:val="Textoindependiente"/>
        <w:ind w:firstLine="708"/>
        <w:rPr>
          <w:rFonts w:ascii="Abadi" w:hAnsi="Abadi"/>
          <w:sz w:val="21"/>
          <w:szCs w:val="21"/>
        </w:rPr>
      </w:pPr>
    </w:p>
    <w:p w14:paraId="26D0A08E" w14:textId="77777777" w:rsidR="00501C2B" w:rsidRPr="009B2D50" w:rsidRDefault="00501C2B" w:rsidP="00501C2B">
      <w:pPr>
        <w:pStyle w:val="Textoindependiente"/>
        <w:ind w:firstLine="708"/>
        <w:rPr>
          <w:rFonts w:ascii="Abadi" w:hAnsi="Abadi"/>
          <w:b w:val="0"/>
          <w:bCs w:val="0"/>
          <w:sz w:val="21"/>
          <w:szCs w:val="21"/>
        </w:rPr>
      </w:pPr>
      <w:r w:rsidRPr="009B2D50">
        <w:rPr>
          <w:rFonts w:ascii="Abadi" w:hAnsi="Abadi"/>
          <w:b w:val="0"/>
          <w:bCs w:val="0"/>
          <w:sz w:val="21"/>
          <w:szCs w:val="21"/>
        </w:rPr>
        <w:t>De igual forma,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2CAC41BA" w14:textId="77777777" w:rsidR="00501C2B" w:rsidRPr="005C71B6" w:rsidRDefault="00501C2B" w:rsidP="00501C2B">
      <w:pPr>
        <w:pStyle w:val="Textoindependiente"/>
        <w:ind w:firstLine="708"/>
        <w:rPr>
          <w:rFonts w:ascii="Abadi" w:hAnsi="Abadi"/>
          <w:sz w:val="21"/>
          <w:szCs w:val="21"/>
        </w:rPr>
      </w:pPr>
    </w:p>
    <w:p w14:paraId="676243C0" w14:textId="77777777" w:rsidR="00501C2B" w:rsidRPr="005C38E1" w:rsidRDefault="00501C2B" w:rsidP="00501C2B">
      <w:pPr>
        <w:pStyle w:val="Textoindependiente"/>
        <w:ind w:firstLine="708"/>
        <w:rPr>
          <w:rFonts w:ascii="Abadi" w:hAnsi="Abadi"/>
          <w:b w:val="0"/>
          <w:bCs w:val="0"/>
          <w:sz w:val="21"/>
          <w:szCs w:val="21"/>
        </w:rPr>
      </w:pPr>
      <w:r w:rsidRPr="005C38E1">
        <w:rPr>
          <w:rFonts w:ascii="Abadi" w:hAnsi="Abadi"/>
          <w:b w:val="0"/>
          <w:bCs w:val="0"/>
          <w:sz w:val="21"/>
          <w:szCs w:val="21"/>
        </w:rPr>
        <w:t xml:space="preserve">En ejercicio de esta función, el Auditor Superior del Estado aprobó el Programa General de Fiscalización 2022. En dicho Programa se contempló la revisión de la cuenta pública municipal de San Miguel de </w:t>
      </w:r>
      <w:r w:rsidRPr="005C38E1">
        <w:rPr>
          <w:rFonts w:ascii="Abadi" w:hAnsi="Abadi"/>
          <w:b w:val="0"/>
          <w:bCs w:val="0"/>
          <w:sz w:val="21"/>
          <w:szCs w:val="21"/>
        </w:rPr>
        <w:t xml:space="preserve">Allende, </w:t>
      </w:r>
      <w:proofErr w:type="spellStart"/>
      <w:r w:rsidRPr="005C38E1">
        <w:rPr>
          <w:rFonts w:ascii="Abadi" w:hAnsi="Abadi"/>
          <w:b w:val="0"/>
          <w:bCs w:val="0"/>
          <w:sz w:val="21"/>
          <w:szCs w:val="21"/>
        </w:rPr>
        <w:t>Gto</w:t>
      </w:r>
      <w:proofErr w:type="spellEnd"/>
      <w:r w:rsidRPr="005C38E1">
        <w:rPr>
          <w:rFonts w:ascii="Abadi" w:hAnsi="Abadi"/>
          <w:b w:val="0"/>
          <w:bCs w:val="0"/>
          <w:sz w:val="21"/>
          <w:szCs w:val="21"/>
        </w:rPr>
        <w:t>., correspondiente al ejercicio fiscal del año 2021.</w:t>
      </w:r>
    </w:p>
    <w:p w14:paraId="3FCE0C05" w14:textId="77777777" w:rsidR="00501C2B" w:rsidRPr="005C71B6" w:rsidRDefault="00501C2B" w:rsidP="00501C2B">
      <w:pPr>
        <w:ind w:firstLine="708"/>
        <w:jc w:val="both"/>
        <w:rPr>
          <w:rFonts w:ascii="Abadi" w:hAnsi="Abadi" w:cs="Arial"/>
          <w:sz w:val="21"/>
          <w:szCs w:val="21"/>
          <w:lang w:val="es-MX" w:eastAsia="x-none"/>
        </w:rPr>
      </w:pPr>
    </w:p>
    <w:p w14:paraId="5EAFEB8A"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La revisión concluyó con la elaboración del informe de resultados materia del presente dictamen, remitiéndose al Congreso, el cual se turnó a esta Comisión el 1 de junio de 2023, para su estudio y dictamen, siendo radicado el 6 de junio del año en curso.</w:t>
      </w:r>
    </w:p>
    <w:p w14:paraId="1DEBF12A" w14:textId="77777777" w:rsidR="00501C2B" w:rsidRPr="005C71B6" w:rsidRDefault="00501C2B" w:rsidP="00501C2B">
      <w:pPr>
        <w:ind w:firstLine="708"/>
        <w:jc w:val="both"/>
        <w:rPr>
          <w:rFonts w:ascii="Abadi" w:hAnsi="Abadi" w:cs="Arial"/>
          <w:sz w:val="21"/>
          <w:szCs w:val="21"/>
          <w:lang w:val="es-MX" w:eastAsia="x-none"/>
        </w:rPr>
      </w:pPr>
    </w:p>
    <w:p w14:paraId="7F8F9E89" w14:textId="77777777" w:rsidR="00501C2B" w:rsidRPr="005C71B6" w:rsidRDefault="00501C2B" w:rsidP="00501C2B">
      <w:pPr>
        <w:ind w:firstLine="708"/>
        <w:jc w:val="both"/>
        <w:rPr>
          <w:rFonts w:ascii="Abadi" w:hAnsi="Abadi" w:cs="Arial"/>
          <w:sz w:val="21"/>
          <w:szCs w:val="21"/>
          <w:lang w:val="es-MX" w:eastAsia="x-none"/>
        </w:rPr>
      </w:pPr>
    </w:p>
    <w:p w14:paraId="43C1FC82" w14:textId="77777777" w:rsidR="00501C2B" w:rsidRPr="005C38E1" w:rsidRDefault="00501C2B" w:rsidP="00501C2B">
      <w:pPr>
        <w:pStyle w:val="Textoindependiente"/>
        <w:ind w:firstLine="708"/>
        <w:rPr>
          <w:rFonts w:ascii="Abadi" w:hAnsi="Abadi"/>
          <w:sz w:val="21"/>
          <w:szCs w:val="21"/>
        </w:rPr>
      </w:pPr>
      <w:r w:rsidRPr="005C38E1">
        <w:rPr>
          <w:rFonts w:ascii="Abadi" w:hAnsi="Abadi"/>
          <w:sz w:val="21"/>
          <w:szCs w:val="21"/>
        </w:rPr>
        <w:t>III. Procedimiento de Revisión:</w:t>
      </w:r>
    </w:p>
    <w:p w14:paraId="0400E21E" w14:textId="77777777" w:rsidR="00501C2B" w:rsidRPr="005C71B6" w:rsidRDefault="00501C2B" w:rsidP="00501C2B">
      <w:pPr>
        <w:pStyle w:val="Textoindependiente"/>
        <w:ind w:firstLine="708"/>
        <w:rPr>
          <w:rFonts w:ascii="Abadi" w:hAnsi="Abadi"/>
          <w:sz w:val="21"/>
          <w:szCs w:val="21"/>
        </w:rPr>
      </w:pPr>
    </w:p>
    <w:p w14:paraId="30EF590A" w14:textId="77777777" w:rsidR="00501C2B" w:rsidRPr="005C38E1" w:rsidRDefault="00501C2B" w:rsidP="00501C2B">
      <w:pPr>
        <w:pStyle w:val="Textoindependiente"/>
        <w:ind w:firstLine="708"/>
        <w:rPr>
          <w:rFonts w:ascii="Abadi" w:hAnsi="Abadi"/>
          <w:b w:val="0"/>
          <w:bCs w:val="0"/>
          <w:sz w:val="21"/>
          <w:szCs w:val="21"/>
        </w:rPr>
      </w:pPr>
      <w:r w:rsidRPr="005C38E1">
        <w:rPr>
          <w:rFonts w:ascii="Abadi" w:hAnsi="Abadi"/>
          <w:b w:val="0"/>
          <w:bCs w:val="0"/>
          <w:sz w:val="21"/>
          <w:szCs w:val="21"/>
        </w:rPr>
        <w:t xml:space="preserve">La revisión de la cuenta pública municipal de San Miguel de Allende, </w:t>
      </w:r>
      <w:proofErr w:type="spellStart"/>
      <w:r w:rsidRPr="005C38E1">
        <w:rPr>
          <w:rFonts w:ascii="Abadi" w:hAnsi="Abadi"/>
          <w:b w:val="0"/>
          <w:bCs w:val="0"/>
          <w:sz w:val="21"/>
          <w:szCs w:val="21"/>
        </w:rPr>
        <w:t>Gto</w:t>
      </w:r>
      <w:proofErr w:type="spellEnd"/>
      <w:r w:rsidRPr="005C38E1">
        <w:rPr>
          <w:rFonts w:ascii="Abadi" w:hAnsi="Abadi"/>
          <w:b w:val="0"/>
          <w:bCs w:val="0"/>
          <w:sz w:val="21"/>
          <w:szCs w:val="21"/>
        </w:rPr>
        <w:t>.,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9379AB0" w14:textId="77777777" w:rsidR="00501C2B" w:rsidRPr="005C38E1" w:rsidRDefault="00501C2B" w:rsidP="00501C2B">
      <w:pPr>
        <w:jc w:val="both"/>
        <w:rPr>
          <w:rFonts w:ascii="Abadi" w:hAnsi="Abadi" w:cs="Arial"/>
          <w:color w:val="000000"/>
          <w:sz w:val="21"/>
          <w:szCs w:val="21"/>
          <w:lang w:val="es-MX" w:eastAsia="en-US"/>
        </w:rPr>
      </w:pPr>
    </w:p>
    <w:p w14:paraId="15364BC6" w14:textId="77777777" w:rsidR="00501C2B" w:rsidRPr="005C38E1" w:rsidRDefault="00501C2B" w:rsidP="00501C2B">
      <w:pPr>
        <w:pStyle w:val="Textoindependiente"/>
        <w:ind w:firstLine="708"/>
        <w:rPr>
          <w:rFonts w:ascii="Abadi" w:hAnsi="Abadi"/>
          <w:b w:val="0"/>
          <w:bCs w:val="0"/>
          <w:sz w:val="21"/>
          <w:szCs w:val="21"/>
        </w:rPr>
      </w:pPr>
      <w:r w:rsidRPr="005C38E1">
        <w:rPr>
          <w:rFonts w:ascii="Abadi" w:hAnsi="Abadi"/>
          <w:b w:val="0"/>
          <w:bCs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5F05ABBE" w14:textId="77777777" w:rsidR="00501C2B" w:rsidRPr="005C38E1" w:rsidRDefault="00501C2B" w:rsidP="00501C2B">
      <w:pPr>
        <w:pStyle w:val="Textoindependiente"/>
        <w:ind w:firstLine="708"/>
        <w:rPr>
          <w:rFonts w:ascii="Abadi" w:hAnsi="Abadi"/>
          <w:b w:val="0"/>
          <w:bCs w:val="0"/>
          <w:sz w:val="21"/>
          <w:szCs w:val="21"/>
        </w:rPr>
      </w:pPr>
    </w:p>
    <w:p w14:paraId="779A766E" w14:textId="77777777" w:rsidR="00501C2B" w:rsidRPr="006562EA" w:rsidRDefault="00501C2B" w:rsidP="00501C2B">
      <w:pPr>
        <w:pStyle w:val="Textoindependiente"/>
        <w:ind w:firstLine="708"/>
        <w:rPr>
          <w:rFonts w:ascii="Abadi" w:hAnsi="Abadi"/>
          <w:b w:val="0"/>
          <w:bCs w:val="0"/>
          <w:sz w:val="21"/>
          <w:szCs w:val="21"/>
        </w:rPr>
      </w:pPr>
      <w:r w:rsidRPr="005C38E1">
        <w:rPr>
          <w:rFonts w:ascii="Abadi" w:hAnsi="Abadi"/>
          <w:b w:val="0"/>
          <w:bCs w:val="0"/>
          <w:sz w:val="21"/>
          <w:szCs w:val="21"/>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w:t>
      </w:r>
      <w:r w:rsidRPr="005C38E1">
        <w:rPr>
          <w:rFonts w:ascii="Abadi" w:hAnsi="Abadi"/>
          <w:b w:val="0"/>
          <w:bCs w:val="0"/>
          <w:sz w:val="21"/>
          <w:szCs w:val="21"/>
        </w:rPr>
        <w:lastRenderedPageBreak/>
        <w:t>así como en el Convenio de Coordinación y Colaboración para la Fiscalización Superior del Gasto Federalizado en el marco del Sistema Nacional de Fiscalización, celebrado entre la Auditoría Superior de la Federación y</w:t>
      </w:r>
      <w:r w:rsidRPr="005C71B6">
        <w:rPr>
          <w:rFonts w:ascii="Abadi" w:hAnsi="Abadi"/>
          <w:sz w:val="21"/>
          <w:szCs w:val="21"/>
        </w:rPr>
        <w:t xml:space="preserve"> </w:t>
      </w:r>
      <w:r w:rsidRPr="00AC0B74">
        <w:rPr>
          <w:rFonts w:ascii="Abadi" w:hAnsi="Abadi"/>
          <w:b w:val="0"/>
          <w:bCs w:val="0"/>
          <w:sz w:val="21"/>
          <w:szCs w:val="21"/>
        </w:rPr>
        <w:t xml:space="preserve">la </w:t>
      </w:r>
      <w:r w:rsidRPr="006562EA">
        <w:rPr>
          <w:rFonts w:ascii="Abadi" w:hAnsi="Abadi"/>
          <w:b w:val="0"/>
          <w:bCs w:val="0"/>
          <w:sz w:val="21"/>
          <w:szCs w:val="21"/>
        </w:rPr>
        <w:t>Auditoría Superior del Estado de Guanajuato y publicado en el Diario Oficial de la Federación y en el Periódico Oficial del Gobierno del Estado, en fechas 25 de enero y 28 de febrero de 2017 respectivamente.</w:t>
      </w:r>
    </w:p>
    <w:p w14:paraId="781BA7D1" w14:textId="77777777" w:rsidR="00501C2B" w:rsidRPr="005C71B6" w:rsidRDefault="00501C2B" w:rsidP="00501C2B">
      <w:pPr>
        <w:pStyle w:val="Textoindependiente"/>
        <w:ind w:firstLine="708"/>
        <w:rPr>
          <w:rFonts w:ascii="Abadi" w:hAnsi="Abadi"/>
          <w:sz w:val="21"/>
          <w:szCs w:val="21"/>
        </w:rPr>
      </w:pPr>
    </w:p>
    <w:p w14:paraId="5802061E" w14:textId="77777777" w:rsidR="00501C2B" w:rsidRPr="005C71B6" w:rsidRDefault="00501C2B" w:rsidP="00501C2B">
      <w:pPr>
        <w:pStyle w:val="Textoindependiente"/>
        <w:ind w:firstLine="708"/>
        <w:rPr>
          <w:rFonts w:ascii="Abadi" w:hAnsi="Abadi"/>
          <w:sz w:val="21"/>
          <w:szCs w:val="21"/>
        </w:rPr>
      </w:pPr>
    </w:p>
    <w:p w14:paraId="60B19D37" w14:textId="77777777" w:rsidR="00501C2B" w:rsidRPr="006562EA" w:rsidRDefault="00501C2B" w:rsidP="00501C2B">
      <w:pPr>
        <w:pStyle w:val="Textoindependiente"/>
        <w:ind w:firstLine="708"/>
        <w:rPr>
          <w:rFonts w:ascii="Abadi" w:hAnsi="Abadi"/>
          <w:b w:val="0"/>
          <w:bCs w:val="0"/>
          <w:sz w:val="21"/>
          <w:szCs w:val="21"/>
        </w:rPr>
      </w:pPr>
      <w:r w:rsidRPr="006562EA">
        <w:rPr>
          <w:rFonts w:ascii="Abadi" w:hAnsi="Abadi"/>
          <w:b w:val="0"/>
          <w:bCs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8E92B89" w14:textId="77777777" w:rsidR="00501C2B" w:rsidRPr="006562EA" w:rsidRDefault="00501C2B" w:rsidP="00501C2B">
      <w:pPr>
        <w:pStyle w:val="Textoindependiente"/>
        <w:ind w:firstLine="708"/>
        <w:rPr>
          <w:rFonts w:ascii="Abadi" w:hAnsi="Abadi"/>
          <w:b w:val="0"/>
          <w:bCs w:val="0"/>
          <w:sz w:val="21"/>
          <w:szCs w:val="21"/>
        </w:rPr>
      </w:pPr>
    </w:p>
    <w:p w14:paraId="4437F778" w14:textId="77777777" w:rsidR="00501C2B" w:rsidRPr="006562EA" w:rsidRDefault="00501C2B" w:rsidP="00501C2B">
      <w:pPr>
        <w:pStyle w:val="Textoindependiente"/>
        <w:ind w:firstLine="705"/>
        <w:rPr>
          <w:rFonts w:ascii="Abadi" w:hAnsi="Abadi"/>
          <w:b w:val="0"/>
          <w:bCs w:val="0"/>
          <w:sz w:val="21"/>
          <w:szCs w:val="21"/>
        </w:rPr>
      </w:pPr>
      <w:r w:rsidRPr="006562EA">
        <w:rPr>
          <w:rFonts w:ascii="Abadi" w:hAnsi="Abadi"/>
          <w:b w:val="0"/>
          <w:bCs w:val="0"/>
          <w:sz w:val="21"/>
          <w:szCs w:val="21"/>
        </w:rPr>
        <w:t xml:space="preserve">El informe de resultados establece que se practicó la revisión de la cuenta pública respecto de las operaciones realizadas por la administración pública municipal de San Miguel de Allende, </w:t>
      </w:r>
      <w:proofErr w:type="spellStart"/>
      <w:r w:rsidRPr="006562EA">
        <w:rPr>
          <w:rFonts w:ascii="Abadi" w:hAnsi="Abadi"/>
          <w:b w:val="0"/>
          <w:bCs w:val="0"/>
          <w:sz w:val="21"/>
          <w:szCs w:val="21"/>
        </w:rPr>
        <w:t>Gto</w:t>
      </w:r>
      <w:proofErr w:type="spellEnd"/>
      <w:r w:rsidRPr="006562EA">
        <w:rPr>
          <w:rFonts w:ascii="Abadi" w:hAnsi="Abadi"/>
          <w:b w:val="0"/>
          <w:bCs w:val="0"/>
          <w:sz w:val="21"/>
          <w:szCs w:val="21"/>
        </w:rPr>
        <w:t>., correspondientes al ejercicio fiscal 2021, en lo referente a los apartados de ingresos y egresos.</w:t>
      </w:r>
    </w:p>
    <w:p w14:paraId="321D821F" w14:textId="77777777" w:rsidR="00501C2B" w:rsidRPr="005C71B6" w:rsidRDefault="00501C2B" w:rsidP="00501C2B">
      <w:pPr>
        <w:pStyle w:val="Textoindependiente"/>
        <w:ind w:firstLine="705"/>
        <w:rPr>
          <w:rFonts w:ascii="Abadi" w:hAnsi="Abadi"/>
          <w:sz w:val="21"/>
          <w:szCs w:val="21"/>
        </w:rPr>
      </w:pPr>
    </w:p>
    <w:p w14:paraId="3115BCB3" w14:textId="77777777" w:rsidR="00501C2B" w:rsidRPr="005C71B6" w:rsidRDefault="00501C2B" w:rsidP="00501C2B">
      <w:pPr>
        <w:autoSpaceDE w:val="0"/>
        <w:autoSpaceDN w:val="0"/>
        <w:adjustRightInd w:val="0"/>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w:t>
      </w:r>
      <w:r w:rsidRPr="005C71B6">
        <w:rPr>
          <w:rFonts w:ascii="Abadi" w:hAnsi="Abadi" w:cs="Arial"/>
          <w:sz w:val="21"/>
          <w:szCs w:val="21"/>
          <w:lang w:val="es-MX" w:eastAsia="x-none"/>
        </w:rPr>
        <w:t xml:space="preserve">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29F4E5E9" w14:textId="77777777" w:rsidR="00501C2B" w:rsidRPr="005C71B6" w:rsidRDefault="00501C2B" w:rsidP="00501C2B">
      <w:pPr>
        <w:autoSpaceDE w:val="0"/>
        <w:autoSpaceDN w:val="0"/>
        <w:adjustRightInd w:val="0"/>
        <w:ind w:firstLine="708"/>
        <w:jc w:val="both"/>
        <w:rPr>
          <w:rFonts w:ascii="Abadi" w:hAnsi="Abadi" w:cs="Arial"/>
          <w:sz w:val="21"/>
          <w:szCs w:val="21"/>
          <w:lang w:val="es-MX" w:eastAsia="x-none"/>
        </w:rPr>
      </w:pPr>
    </w:p>
    <w:p w14:paraId="56757D31" w14:textId="77777777" w:rsidR="00501C2B" w:rsidRPr="005C71B6" w:rsidRDefault="00501C2B" w:rsidP="00501C2B">
      <w:pPr>
        <w:ind w:firstLine="708"/>
        <w:jc w:val="both"/>
        <w:rPr>
          <w:rFonts w:ascii="Abadi" w:hAnsi="Abadi" w:cs="Arial"/>
          <w:sz w:val="21"/>
          <w:szCs w:val="21"/>
          <w:lang w:val="es-MX" w:eastAsia="x-none"/>
        </w:rPr>
      </w:pPr>
      <w:r w:rsidRPr="005C71B6">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proofErr w:type="spellStart"/>
      <w:r w:rsidRPr="005C71B6">
        <w:rPr>
          <w:rFonts w:ascii="Abadi" w:hAnsi="Abadi" w:cs="Arial"/>
          <w:sz w:val="21"/>
          <w:szCs w:val="21"/>
          <w:lang w:val="es-MX" w:eastAsia="x-none"/>
        </w:rPr>
        <w:t>fiscalizado</w:t>
      </w:r>
      <w:proofErr w:type="spellEnd"/>
      <w:r w:rsidRPr="005C71B6">
        <w:rPr>
          <w:rFonts w:ascii="Abadi" w:hAnsi="Abadi" w:cs="Arial"/>
          <w:sz w:val="21"/>
          <w:szCs w:val="21"/>
          <w:lang w:val="es-MX" w:eastAsia="x-none"/>
        </w:rPr>
        <w:t>, de acuerdo a lo dispuesto por los ordenamientos aplicables en la materia, incluyendo las políticas contables aplicables a la institución, utilizadas de acuerdo a los Postulados Básicos de Contabilidad Gubernamental.</w:t>
      </w:r>
    </w:p>
    <w:p w14:paraId="745094CB" w14:textId="77777777" w:rsidR="00501C2B" w:rsidRPr="005C71B6" w:rsidRDefault="00501C2B" w:rsidP="00501C2B">
      <w:pPr>
        <w:ind w:firstLine="708"/>
        <w:jc w:val="both"/>
        <w:rPr>
          <w:rFonts w:ascii="Abadi" w:hAnsi="Abadi" w:cs="Arial"/>
          <w:sz w:val="21"/>
          <w:szCs w:val="21"/>
          <w:lang w:val="es-MX" w:eastAsia="x-none"/>
        </w:rPr>
      </w:pPr>
    </w:p>
    <w:p w14:paraId="52692156"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El 30 de junio de 2022 se notificó al presidente municipal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la orden de inicio del procedimiento de revisión de la cuenta pública.</w:t>
      </w:r>
    </w:p>
    <w:p w14:paraId="2630C82B" w14:textId="77777777" w:rsidR="00501C2B" w:rsidRPr="005C71B6" w:rsidRDefault="00501C2B" w:rsidP="00501C2B">
      <w:pPr>
        <w:ind w:firstLine="708"/>
        <w:jc w:val="both"/>
        <w:rPr>
          <w:rFonts w:ascii="Abadi" w:hAnsi="Abadi" w:cs="Arial"/>
          <w:sz w:val="21"/>
          <w:szCs w:val="21"/>
        </w:rPr>
      </w:pPr>
    </w:p>
    <w:p w14:paraId="387BF0FD"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Los días 28 de noviembre de 2022 y 13 de abril de 2023, se notificó al presidente municipal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la suspensión del plazo de la revisión materia del presente dictamen, de conformidad con lo establecido en los Acuerdos de Suspensión de Plazos publicados en el Periódico Oficial del Gobierno del Estado de Guanajuato en fechas 24 de noviembre de 2022 y 24 de marzo de 2023.</w:t>
      </w:r>
    </w:p>
    <w:p w14:paraId="05D8EBD0" w14:textId="77777777" w:rsidR="00501C2B" w:rsidRPr="005C71B6" w:rsidRDefault="00501C2B" w:rsidP="00501C2B">
      <w:pPr>
        <w:ind w:firstLine="708"/>
        <w:jc w:val="both"/>
        <w:rPr>
          <w:rFonts w:ascii="Abadi" w:hAnsi="Abadi" w:cs="Arial"/>
          <w:sz w:val="21"/>
          <w:szCs w:val="21"/>
        </w:rPr>
      </w:pPr>
    </w:p>
    <w:p w14:paraId="6DDB2C21"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Posteriormente, el 27 de marzo de 2023, se notificó al presidente y al ex presidente municipales, así como al ex presidente municipal interino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xml:space="preserve">., el pliego de observaciones y recomendaciones derivado de la revisión practicada a la cuenta pública de dicho Municipio, correspondiente al ejercicio fiscal del año 2021, al cual se dio respuesta en fechas 25 y 26 de abril de 2023, por parte del presidente y el ex presidente municipales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w:t>
      </w:r>
    </w:p>
    <w:p w14:paraId="0C38D638" w14:textId="77777777" w:rsidR="00501C2B" w:rsidRPr="005C71B6" w:rsidRDefault="00501C2B" w:rsidP="00501C2B">
      <w:pPr>
        <w:ind w:firstLine="708"/>
        <w:jc w:val="both"/>
        <w:rPr>
          <w:rFonts w:ascii="Abadi" w:hAnsi="Abadi" w:cs="Arial"/>
          <w:sz w:val="21"/>
          <w:szCs w:val="21"/>
        </w:rPr>
      </w:pPr>
    </w:p>
    <w:p w14:paraId="7B7EC8EE"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 xml:space="preserve">El 17 de mayo de 2023 se notificó al ex presidente municipal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xml:space="preserve">., y el 18 de mayo de 2023 al presidente municipal y al ex presidente municipal interino de dicha localidad, el informe de resultados materia del presente dictamen, para que, en su caso, hicieran valer el recurso de reconsideración previsto por los artículos del 48 al 55 de </w:t>
      </w:r>
      <w:smartTag w:uri="urn:schemas-microsoft-com:office:smarttags" w:element="PersonName">
        <w:smartTagPr>
          <w:attr w:name="ProductID" w:val="la Ley"/>
        </w:smartTagPr>
        <w:r w:rsidRPr="00BA3AE4">
          <w:rPr>
            <w:rFonts w:ascii="Abadi" w:hAnsi="Abadi"/>
            <w:b w:val="0"/>
            <w:bCs w:val="0"/>
            <w:sz w:val="21"/>
            <w:szCs w:val="21"/>
          </w:rPr>
          <w:t>la Ley</w:t>
        </w:r>
      </w:smartTag>
      <w:r w:rsidRPr="00BA3AE4">
        <w:rPr>
          <w:rFonts w:ascii="Abadi" w:hAnsi="Abadi"/>
          <w:b w:val="0"/>
          <w:bCs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49EF4134" w14:textId="77777777" w:rsidR="00501C2B" w:rsidRPr="00BA3AE4" w:rsidRDefault="00501C2B" w:rsidP="00501C2B">
      <w:pPr>
        <w:pStyle w:val="Textoindependiente"/>
        <w:ind w:firstLine="708"/>
        <w:rPr>
          <w:rFonts w:ascii="Abadi" w:hAnsi="Abadi"/>
          <w:b w:val="0"/>
          <w:bCs w:val="0"/>
          <w:sz w:val="21"/>
          <w:szCs w:val="21"/>
        </w:rPr>
      </w:pPr>
    </w:p>
    <w:p w14:paraId="6EE7F1B4"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 xml:space="preserve">El 25 de mayo de 2023, dentro del plazo que prevé la fracción IV del artículo 37 de </w:t>
      </w:r>
      <w:smartTag w:uri="urn:schemas-microsoft-com:office:smarttags" w:element="PersonName">
        <w:smartTagPr>
          <w:attr w:name="ProductID" w:val="la Ley"/>
        </w:smartTagPr>
        <w:r w:rsidRPr="00BA3AE4">
          <w:rPr>
            <w:rFonts w:ascii="Abadi" w:hAnsi="Abadi"/>
            <w:b w:val="0"/>
            <w:bCs w:val="0"/>
            <w:sz w:val="21"/>
            <w:szCs w:val="21"/>
          </w:rPr>
          <w:t>la Ley</w:t>
        </w:r>
      </w:smartTag>
      <w:r w:rsidRPr="00BA3AE4">
        <w:rPr>
          <w:rFonts w:ascii="Abadi" w:hAnsi="Abadi"/>
          <w:b w:val="0"/>
          <w:bCs w:val="0"/>
          <w:sz w:val="21"/>
          <w:szCs w:val="21"/>
        </w:rPr>
        <w:t xml:space="preserve"> de Fiscalización Superior del Estado de Guanajuato, el presidente municipal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BA3AE4">
          <w:rPr>
            <w:rFonts w:ascii="Abadi" w:hAnsi="Abadi"/>
            <w:b w:val="0"/>
            <w:bCs w:val="0"/>
            <w:sz w:val="21"/>
            <w:szCs w:val="21"/>
          </w:rPr>
          <w:t>la Ley</w:t>
        </w:r>
      </w:smartTag>
      <w:r w:rsidRPr="00BA3AE4">
        <w:rPr>
          <w:rFonts w:ascii="Abadi" w:hAnsi="Abadi"/>
          <w:b w:val="0"/>
          <w:bCs w:val="0"/>
          <w:sz w:val="21"/>
          <w:szCs w:val="21"/>
        </w:rPr>
        <w:t xml:space="preserve"> de Fiscalización Superior del Estado de Guanajuato.</w:t>
      </w:r>
    </w:p>
    <w:p w14:paraId="53307D14" w14:textId="77777777" w:rsidR="00501C2B" w:rsidRPr="00BA3AE4" w:rsidRDefault="00501C2B" w:rsidP="00501C2B">
      <w:pPr>
        <w:ind w:firstLine="708"/>
        <w:jc w:val="both"/>
        <w:rPr>
          <w:rFonts w:ascii="Abadi" w:hAnsi="Abadi"/>
          <w:sz w:val="21"/>
          <w:szCs w:val="21"/>
        </w:rPr>
      </w:pPr>
    </w:p>
    <w:p w14:paraId="063B3752"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 xml:space="preserve">Una vez tramitado el recurso, el Auditor Superior el 29 de mayo de 2023 emitió la resolución correspondiente, a la cual haremos referencia en un apartado posterior, misma que se notificó al presidente municipal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el 30 de mayo de 2023.</w:t>
      </w:r>
    </w:p>
    <w:p w14:paraId="28C5EA1B" w14:textId="77777777" w:rsidR="00501C2B" w:rsidRPr="00BA3AE4" w:rsidRDefault="00501C2B" w:rsidP="00501C2B">
      <w:pPr>
        <w:ind w:firstLine="708"/>
        <w:jc w:val="both"/>
        <w:rPr>
          <w:rFonts w:ascii="Abadi" w:hAnsi="Abadi" w:cs="Arial"/>
          <w:sz w:val="21"/>
          <w:szCs w:val="21"/>
        </w:rPr>
      </w:pPr>
    </w:p>
    <w:p w14:paraId="4BB2D2D1" w14:textId="77777777" w:rsidR="00501C2B" w:rsidRPr="00BA3AE4" w:rsidRDefault="00501C2B" w:rsidP="00501C2B">
      <w:pPr>
        <w:pStyle w:val="Textoindependiente"/>
        <w:ind w:firstLine="708"/>
        <w:rPr>
          <w:rFonts w:ascii="Abadi" w:hAnsi="Abadi"/>
          <w:sz w:val="21"/>
          <w:szCs w:val="21"/>
        </w:rPr>
      </w:pPr>
      <w:r w:rsidRPr="00BA3AE4">
        <w:rPr>
          <w:rFonts w:ascii="Abadi" w:hAnsi="Abadi"/>
          <w:sz w:val="21"/>
          <w:szCs w:val="21"/>
        </w:rPr>
        <w:t>IV. Contenido del Informe de Resultados:</w:t>
      </w:r>
    </w:p>
    <w:p w14:paraId="264E80EE" w14:textId="77777777" w:rsidR="00501C2B" w:rsidRPr="00BA3AE4" w:rsidRDefault="00501C2B" w:rsidP="00501C2B">
      <w:pPr>
        <w:pStyle w:val="Textoindependiente"/>
        <w:rPr>
          <w:rFonts w:ascii="Abadi" w:hAnsi="Abadi"/>
          <w:b w:val="0"/>
          <w:bCs w:val="0"/>
          <w:sz w:val="21"/>
          <w:szCs w:val="21"/>
        </w:rPr>
      </w:pPr>
    </w:p>
    <w:p w14:paraId="2CB4FE9B" w14:textId="77777777" w:rsidR="00501C2B" w:rsidRPr="00BA3AE4" w:rsidRDefault="00501C2B" w:rsidP="00501C2B">
      <w:pPr>
        <w:pStyle w:val="Textoindependiente"/>
        <w:rPr>
          <w:rFonts w:ascii="Abadi" w:hAnsi="Abadi"/>
          <w:b w:val="0"/>
          <w:bCs w:val="0"/>
          <w:sz w:val="21"/>
          <w:szCs w:val="21"/>
        </w:rPr>
      </w:pPr>
      <w:r w:rsidRPr="00BA3AE4">
        <w:rPr>
          <w:rFonts w:ascii="Abadi" w:hAnsi="Abadi"/>
          <w:b w:val="0"/>
          <w:bCs w:val="0"/>
          <w:sz w:val="21"/>
          <w:szCs w:val="21"/>
        </w:rPr>
        <w:tab/>
        <w:t>En cumplimiento a lo establecido por el artículo 37, fracción III de la Ley de Fiscalización Superior del Estado, el informe de resultados contiene los siguientes apartados:</w:t>
      </w:r>
    </w:p>
    <w:p w14:paraId="36985979" w14:textId="77777777" w:rsidR="00501C2B" w:rsidRPr="00BA3AE4" w:rsidRDefault="00501C2B" w:rsidP="00501C2B">
      <w:pPr>
        <w:pStyle w:val="Textoindependiente"/>
        <w:rPr>
          <w:rFonts w:ascii="Abadi" w:hAnsi="Abadi"/>
          <w:b w:val="0"/>
          <w:bCs w:val="0"/>
          <w:sz w:val="21"/>
          <w:szCs w:val="21"/>
        </w:rPr>
      </w:pPr>
    </w:p>
    <w:p w14:paraId="0DAD56A5" w14:textId="77777777" w:rsidR="00501C2B" w:rsidRPr="00BA3AE4" w:rsidRDefault="00501C2B" w:rsidP="00427BD6">
      <w:pPr>
        <w:pStyle w:val="Textoindependiente"/>
        <w:numPr>
          <w:ilvl w:val="0"/>
          <w:numId w:val="9"/>
        </w:numPr>
        <w:autoSpaceDE/>
        <w:autoSpaceDN/>
        <w:rPr>
          <w:rFonts w:ascii="Abadi" w:hAnsi="Abadi"/>
          <w:sz w:val="21"/>
          <w:szCs w:val="21"/>
        </w:rPr>
      </w:pPr>
      <w:r w:rsidRPr="00BA3AE4">
        <w:rPr>
          <w:rFonts w:ascii="Abadi" w:hAnsi="Abadi"/>
          <w:sz w:val="21"/>
          <w:szCs w:val="21"/>
        </w:rPr>
        <w:t>Introducción.</w:t>
      </w:r>
    </w:p>
    <w:p w14:paraId="4DE1A9B1" w14:textId="77777777" w:rsidR="00501C2B" w:rsidRPr="00BA3AE4" w:rsidRDefault="00501C2B" w:rsidP="00501C2B">
      <w:pPr>
        <w:pStyle w:val="Textoindependiente"/>
        <w:ind w:left="705"/>
        <w:rPr>
          <w:rFonts w:ascii="Abadi" w:hAnsi="Abadi"/>
          <w:b w:val="0"/>
          <w:bCs w:val="0"/>
          <w:sz w:val="21"/>
          <w:szCs w:val="21"/>
        </w:rPr>
      </w:pPr>
    </w:p>
    <w:p w14:paraId="6537DC84"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Por lo que se refiere a este punto, se establecen los criterios de selección; el objetivo de la revisión; el alcance de la revisión respecto a los apartados de ingresos y egresos, precisando que el detalle de los </w:t>
      </w:r>
      <w:r w:rsidRPr="00BA3AE4">
        <w:rPr>
          <w:rFonts w:ascii="Abadi" w:hAnsi="Abadi"/>
          <w:b w:val="0"/>
          <w:bCs w:val="0"/>
          <w:sz w:val="21"/>
          <w:szCs w:val="21"/>
        </w:rPr>
        <w:t>alcances de la revisión se consigna en el Anexo 01 del informe de resultados.</w:t>
      </w:r>
    </w:p>
    <w:p w14:paraId="2B139F67" w14:textId="77777777" w:rsidR="00501C2B" w:rsidRPr="00BA3AE4" w:rsidRDefault="00501C2B" w:rsidP="00501C2B">
      <w:pPr>
        <w:pStyle w:val="Textoindependiente"/>
        <w:ind w:firstLine="705"/>
        <w:rPr>
          <w:rFonts w:ascii="Abadi" w:hAnsi="Abadi"/>
          <w:b w:val="0"/>
          <w:bCs w:val="0"/>
          <w:sz w:val="21"/>
          <w:szCs w:val="21"/>
        </w:rPr>
      </w:pPr>
    </w:p>
    <w:p w14:paraId="2AD6F807"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Por otra parte, en este apartado se precisan los procedimientos de auditoría aplicados, siendo estos: inspección,</w:t>
      </w:r>
      <w:r w:rsidRPr="005C71B6">
        <w:rPr>
          <w:rFonts w:ascii="Abadi" w:hAnsi="Abadi"/>
          <w:sz w:val="21"/>
          <w:szCs w:val="21"/>
        </w:rPr>
        <w:t xml:space="preserve"> </w:t>
      </w:r>
      <w:r w:rsidRPr="00BA3AE4">
        <w:rPr>
          <w:rFonts w:ascii="Abadi" w:hAnsi="Abadi"/>
          <w:b w:val="0"/>
          <w:bCs w:val="0"/>
          <w:sz w:val="21"/>
          <w:szCs w:val="21"/>
        </w:rPr>
        <w:t>observación, confirmación externa, recálculo, procedimientos analíticos, re ejecución e indagación.</w:t>
      </w:r>
    </w:p>
    <w:p w14:paraId="13F5F492" w14:textId="77777777" w:rsidR="00501C2B" w:rsidRPr="00BA3AE4" w:rsidRDefault="00501C2B" w:rsidP="00501C2B">
      <w:pPr>
        <w:pStyle w:val="Textoindependiente"/>
        <w:ind w:firstLine="705"/>
        <w:rPr>
          <w:rFonts w:ascii="Abadi" w:hAnsi="Abadi"/>
          <w:b w:val="0"/>
          <w:bCs w:val="0"/>
          <w:sz w:val="21"/>
          <w:szCs w:val="21"/>
        </w:rPr>
      </w:pPr>
      <w:bookmarkStart w:id="27" w:name="_Hlk85484289"/>
    </w:p>
    <w:p w14:paraId="5DB43837"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27"/>
      <w:r w:rsidRPr="00BA3AE4">
        <w:rPr>
          <w:rFonts w:ascii="Abadi" w:hAnsi="Abadi"/>
          <w:b w:val="0"/>
          <w:bCs w:val="0"/>
          <w:sz w:val="21"/>
          <w:szCs w:val="21"/>
        </w:rPr>
        <w:t>:</w:t>
      </w:r>
    </w:p>
    <w:p w14:paraId="65DD7224" w14:textId="77777777" w:rsidR="00501C2B" w:rsidRPr="005C71B6" w:rsidRDefault="00501C2B" w:rsidP="00501C2B">
      <w:pPr>
        <w:jc w:val="both"/>
        <w:rPr>
          <w:rFonts w:ascii="Abadi" w:hAnsi="Abadi" w:cs="Arial"/>
          <w:i/>
          <w:iCs/>
          <w:sz w:val="21"/>
          <w:szCs w:val="21"/>
          <w:lang w:eastAsia="x-none"/>
        </w:rPr>
      </w:pPr>
    </w:p>
    <w:p w14:paraId="6098CC84" w14:textId="77777777" w:rsidR="00501C2B" w:rsidRPr="005C71B6" w:rsidRDefault="00501C2B" w:rsidP="00501C2B">
      <w:pPr>
        <w:jc w:val="both"/>
        <w:rPr>
          <w:rFonts w:ascii="Abadi" w:hAnsi="Abadi" w:cs="Arial"/>
          <w:i/>
          <w:iCs/>
          <w:sz w:val="21"/>
          <w:szCs w:val="21"/>
          <w:lang w:eastAsia="x-none"/>
        </w:rPr>
      </w:pPr>
      <w:r w:rsidRPr="005C71B6">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60EAD88A" w14:textId="77777777" w:rsidR="00501C2B" w:rsidRPr="005C71B6" w:rsidRDefault="00501C2B" w:rsidP="00501C2B">
      <w:pPr>
        <w:rPr>
          <w:rFonts w:ascii="Abadi" w:hAnsi="Abadi" w:cs="Arial"/>
          <w:i/>
          <w:iCs/>
          <w:sz w:val="21"/>
          <w:szCs w:val="21"/>
          <w:lang w:eastAsia="x-none"/>
        </w:rPr>
      </w:pPr>
    </w:p>
    <w:p w14:paraId="2C821840" w14:textId="77777777" w:rsidR="00501C2B" w:rsidRPr="005C71B6" w:rsidRDefault="00501C2B" w:rsidP="00501C2B">
      <w:pPr>
        <w:jc w:val="both"/>
        <w:rPr>
          <w:rFonts w:ascii="Abadi" w:hAnsi="Abadi" w:cs="Arial"/>
          <w:i/>
          <w:iCs/>
          <w:sz w:val="21"/>
          <w:szCs w:val="21"/>
          <w:lang w:eastAsia="x-none"/>
        </w:rPr>
      </w:pPr>
      <w:r w:rsidRPr="005C71B6">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5E91B3B" w14:textId="77777777" w:rsidR="00501C2B" w:rsidRPr="005C71B6" w:rsidRDefault="00501C2B" w:rsidP="00501C2B">
      <w:pPr>
        <w:jc w:val="both"/>
        <w:rPr>
          <w:rFonts w:ascii="Abadi" w:hAnsi="Abadi" w:cs="Arial"/>
          <w:i/>
          <w:iCs/>
          <w:sz w:val="21"/>
          <w:szCs w:val="21"/>
          <w:lang w:eastAsia="x-none"/>
        </w:rPr>
      </w:pPr>
    </w:p>
    <w:p w14:paraId="2AC660F4" w14:textId="77777777" w:rsidR="00501C2B" w:rsidRPr="005C71B6" w:rsidRDefault="00501C2B" w:rsidP="00501C2B">
      <w:pPr>
        <w:jc w:val="both"/>
        <w:rPr>
          <w:rFonts w:ascii="Abadi" w:hAnsi="Abadi" w:cs="Arial"/>
          <w:i/>
          <w:iCs/>
          <w:sz w:val="21"/>
          <w:szCs w:val="21"/>
          <w:lang w:eastAsia="x-none"/>
        </w:rPr>
      </w:pPr>
      <w:r w:rsidRPr="005C71B6">
        <w:rPr>
          <w:rFonts w:ascii="Abadi" w:hAnsi="Abadi" w:cs="Arial"/>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1782452A" w14:textId="77777777" w:rsidR="00501C2B" w:rsidRPr="005C71B6" w:rsidRDefault="00501C2B" w:rsidP="00501C2B">
      <w:pPr>
        <w:jc w:val="both"/>
        <w:rPr>
          <w:rFonts w:ascii="Abadi" w:hAnsi="Abadi" w:cs="Arial"/>
          <w:i/>
          <w:iCs/>
          <w:sz w:val="21"/>
          <w:szCs w:val="21"/>
          <w:lang w:eastAsia="x-none"/>
        </w:rPr>
      </w:pPr>
    </w:p>
    <w:p w14:paraId="7BA40B89" w14:textId="77777777" w:rsidR="00501C2B" w:rsidRPr="005C71B6" w:rsidRDefault="00501C2B" w:rsidP="00501C2B">
      <w:pPr>
        <w:ind w:firstLine="705"/>
        <w:jc w:val="both"/>
        <w:rPr>
          <w:rFonts w:ascii="Abadi" w:hAnsi="Abadi" w:cs="Arial"/>
          <w:sz w:val="21"/>
          <w:szCs w:val="21"/>
          <w:lang w:eastAsia="x-none"/>
        </w:rPr>
      </w:pPr>
      <w:r w:rsidRPr="005C71B6">
        <w:rPr>
          <w:rFonts w:ascii="Abadi" w:hAnsi="Abadi" w:cs="Arial"/>
          <w:sz w:val="21"/>
          <w:szCs w:val="21"/>
          <w:lang w:eastAsia="x-none"/>
        </w:rPr>
        <w:t xml:space="preserve">Derivado de lo anterior, en el proceso de auditoría se inspeccionó que los comprobantes fiscales que soportan las erogaciones del ente </w:t>
      </w:r>
      <w:proofErr w:type="spellStart"/>
      <w:r w:rsidRPr="005C71B6">
        <w:rPr>
          <w:rFonts w:ascii="Abadi" w:hAnsi="Abadi" w:cs="Arial"/>
          <w:sz w:val="21"/>
          <w:szCs w:val="21"/>
          <w:lang w:eastAsia="x-none"/>
        </w:rPr>
        <w:t>fiscalizado</w:t>
      </w:r>
      <w:proofErr w:type="spellEnd"/>
      <w:r w:rsidRPr="005C71B6">
        <w:rPr>
          <w:rFonts w:ascii="Abadi" w:hAnsi="Abadi" w:cs="Arial"/>
          <w:sz w:val="21"/>
          <w:szCs w:val="21"/>
          <w:lang w:eastAsia="x-none"/>
        </w:rPr>
        <w:t xml:space="preserve">, no correspondan a contribuyentes que se encuentren en los supuestos previstos en el artículo 69-B del Código Fiscal de la Federación, empresas que facturan operaciones simuladas o inexistentes con el </w:t>
      </w:r>
      <w:r w:rsidRPr="005C71B6">
        <w:rPr>
          <w:rFonts w:ascii="Abadi" w:hAnsi="Abadi" w:cs="Arial"/>
          <w:sz w:val="21"/>
          <w:szCs w:val="21"/>
          <w:lang w:eastAsia="x-none"/>
        </w:rPr>
        <w:lastRenderedPageBreak/>
        <w:t xml:space="preserve">carácter de </w:t>
      </w:r>
      <w:r w:rsidRPr="005C71B6">
        <w:rPr>
          <w:rFonts w:ascii="Abadi" w:hAnsi="Abadi" w:cs="Arial"/>
          <w:i/>
          <w:iCs/>
          <w:sz w:val="21"/>
          <w:szCs w:val="21"/>
          <w:lang w:eastAsia="x-none"/>
        </w:rPr>
        <w:t>«Definitivos»,</w:t>
      </w:r>
      <w:r w:rsidRPr="005C71B6">
        <w:rPr>
          <w:rFonts w:ascii="Abadi" w:hAnsi="Abadi" w:cs="Arial"/>
          <w:sz w:val="21"/>
          <w:szCs w:val="21"/>
          <w:lang w:eastAsia="x-none"/>
        </w:rPr>
        <w:t xml:space="preserve"> emitidas por el Servicio de Administración Tributaria.</w:t>
      </w:r>
    </w:p>
    <w:p w14:paraId="5F5B7836" w14:textId="77777777" w:rsidR="00501C2B" w:rsidRPr="005C71B6" w:rsidRDefault="00501C2B" w:rsidP="00501C2B">
      <w:pPr>
        <w:pStyle w:val="Textoindependiente"/>
        <w:ind w:firstLine="705"/>
        <w:rPr>
          <w:rFonts w:ascii="Abadi" w:hAnsi="Abadi"/>
          <w:sz w:val="21"/>
          <w:szCs w:val="21"/>
        </w:rPr>
      </w:pPr>
    </w:p>
    <w:p w14:paraId="531F89C1" w14:textId="77777777" w:rsidR="00501C2B" w:rsidRPr="005C71B6" w:rsidRDefault="00501C2B" w:rsidP="00501C2B">
      <w:pPr>
        <w:ind w:firstLine="705"/>
        <w:jc w:val="both"/>
        <w:rPr>
          <w:rFonts w:ascii="Abadi" w:hAnsi="Abadi" w:cs="Arial"/>
          <w:sz w:val="21"/>
          <w:szCs w:val="21"/>
          <w:lang w:eastAsia="x-none"/>
        </w:rPr>
      </w:pPr>
      <w:r w:rsidRPr="005C71B6">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w:t>
      </w:r>
      <w:proofErr w:type="spellStart"/>
      <w:r w:rsidRPr="005C71B6">
        <w:rPr>
          <w:rFonts w:ascii="Abadi" w:hAnsi="Abadi" w:cs="Arial"/>
          <w:sz w:val="21"/>
          <w:szCs w:val="21"/>
          <w:lang w:eastAsia="x-none"/>
        </w:rPr>
        <w:t>fiscalizado</w:t>
      </w:r>
      <w:proofErr w:type="spellEnd"/>
      <w:r w:rsidRPr="005C71B6">
        <w:rPr>
          <w:rFonts w:ascii="Abadi" w:hAnsi="Abadi" w:cs="Arial"/>
          <w:sz w:val="21"/>
          <w:szCs w:val="21"/>
          <w:lang w:eastAsia="x-none"/>
        </w:rPr>
        <w:t>,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7BF49EA8" w14:textId="77777777" w:rsidR="00501C2B" w:rsidRPr="005C71B6" w:rsidRDefault="00501C2B" w:rsidP="00501C2B">
      <w:pPr>
        <w:ind w:firstLine="705"/>
        <w:jc w:val="both"/>
        <w:rPr>
          <w:rFonts w:ascii="Abadi" w:hAnsi="Abadi" w:cs="Arial"/>
          <w:sz w:val="21"/>
          <w:szCs w:val="21"/>
          <w:lang w:eastAsia="x-none"/>
        </w:rPr>
      </w:pPr>
    </w:p>
    <w:p w14:paraId="7277824C" w14:textId="77777777" w:rsidR="00501C2B" w:rsidRPr="005C71B6" w:rsidRDefault="00501C2B" w:rsidP="00501C2B">
      <w:pPr>
        <w:ind w:firstLine="705"/>
        <w:jc w:val="both"/>
        <w:rPr>
          <w:rFonts w:ascii="Abadi" w:hAnsi="Abadi" w:cs="Arial"/>
          <w:sz w:val="21"/>
          <w:szCs w:val="21"/>
          <w:lang w:val="es-MX" w:eastAsia="x-none"/>
        </w:rPr>
      </w:pPr>
      <w:r w:rsidRPr="005C71B6">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w:t>
      </w:r>
      <w:r w:rsidRPr="005C71B6">
        <w:rPr>
          <w:rFonts w:ascii="Abadi" w:hAnsi="Abadi" w:cs="Arial"/>
          <w:sz w:val="21"/>
          <w:szCs w:val="21"/>
          <w:lang w:val="es-MX" w:eastAsia="x-none"/>
        </w:rPr>
        <w:t xml:space="preserve">gobierno federal de determinados socios de personas morales que suministraron bienes o prestaron servicios al ente </w:t>
      </w:r>
      <w:proofErr w:type="spellStart"/>
      <w:r w:rsidRPr="005C71B6">
        <w:rPr>
          <w:rFonts w:ascii="Abadi" w:hAnsi="Abadi" w:cs="Arial"/>
          <w:sz w:val="21"/>
          <w:szCs w:val="21"/>
          <w:lang w:val="es-MX" w:eastAsia="x-none"/>
        </w:rPr>
        <w:t>fiscalizado</w:t>
      </w:r>
      <w:proofErr w:type="spellEnd"/>
      <w:r w:rsidRPr="005C71B6">
        <w:rPr>
          <w:rFonts w:ascii="Abadi" w:hAnsi="Abadi" w:cs="Arial"/>
          <w:sz w:val="21"/>
          <w:szCs w:val="21"/>
          <w:lang w:val="es-MX" w:eastAsia="x-none"/>
        </w:rPr>
        <w:t xml:space="preserve">;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w:t>
      </w:r>
      <w:proofErr w:type="spellStart"/>
      <w:r w:rsidRPr="005C71B6">
        <w:rPr>
          <w:rFonts w:ascii="Abadi" w:hAnsi="Abadi" w:cs="Arial"/>
          <w:sz w:val="21"/>
          <w:szCs w:val="21"/>
          <w:lang w:val="es-MX" w:eastAsia="x-none"/>
        </w:rPr>
        <w:t>fiscalizado</w:t>
      </w:r>
      <w:proofErr w:type="spellEnd"/>
      <w:r w:rsidRPr="005C71B6">
        <w:rPr>
          <w:rFonts w:ascii="Abadi" w:hAnsi="Abadi" w:cs="Arial"/>
          <w:sz w:val="21"/>
          <w:szCs w:val="21"/>
          <w:lang w:val="es-MX" w:eastAsia="x-none"/>
        </w:rPr>
        <w:t>.</w:t>
      </w:r>
    </w:p>
    <w:p w14:paraId="6DCE93C5" w14:textId="77777777" w:rsidR="00501C2B" w:rsidRPr="005C71B6" w:rsidRDefault="00501C2B" w:rsidP="00501C2B">
      <w:pPr>
        <w:ind w:firstLine="705"/>
        <w:jc w:val="both"/>
        <w:rPr>
          <w:rFonts w:ascii="Abadi" w:hAnsi="Abadi" w:cs="Arial"/>
          <w:sz w:val="21"/>
          <w:szCs w:val="21"/>
          <w:lang w:val="es-MX" w:eastAsia="x-none"/>
        </w:rPr>
      </w:pPr>
    </w:p>
    <w:p w14:paraId="2907D7A4" w14:textId="77777777" w:rsidR="00501C2B" w:rsidRPr="005C71B6" w:rsidRDefault="00501C2B" w:rsidP="00501C2B">
      <w:pPr>
        <w:ind w:firstLine="705"/>
        <w:jc w:val="both"/>
        <w:rPr>
          <w:rFonts w:ascii="Abadi" w:hAnsi="Abadi" w:cs="Arial"/>
          <w:sz w:val="21"/>
          <w:szCs w:val="21"/>
          <w:lang w:val="es-MX" w:eastAsia="x-none"/>
        </w:rPr>
      </w:pPr>
      <w:r w:rsidRPr="005C71B6">
        <w:rPr>
          <w:rFonts w:ascii="Abadi" w:hAnsi="Abadi" w:cs="Arial"/>
          <w:sz w:val="21"/>
          <w:szCs w:val="21"/>
          <w:lang w:val="es-MX" w:eastAsia="x-none"/>
        </w:rPr>
        <w:t xml:space="preserve">Adicionalmente, se analizó el informe general del proceso de entrega recepción 2021 de la administración pública municipal de San Miguel de Allende, </w:t>
      </w:r>
      <w:proofErr w:type="spellStart"/>
      <w:r w:rsidRPr="005C71B6">
        <w:rPr>
          <w:rFonts w:ascii="Abadi" w:hAnsi="Abadi" w:cs="Arial"/>
          <w:sz w:val="21"/>
          <w:szCs w:val="21"/>
          <w:lang w:val="es-MX" w:eastAsia="x-none"/>
        </w:rPr>
        <w:t>Gto</w:t>
      </w:r>
      <w:proofErr w:type="spellEnd"/>
      <w:r w:rsidRPr="005C71B6">
        <w:rPr>
          <w:rFonts w:ascii="Abadi" w:hAnsi="Abadi" w:cs="Arial"/>
          <w:sz w:val="21"/>
          <w:szCs w:val="21"/>
          <w:lang w:val="es-MX" w:eastAsia="x-none"/>
        </w:rPr>
        <w:t>., y en su caso se aplicaron los procedimientos de auditoría correspondientes.</w:t>
      </w:r>
    </w:p>
    <w:p w14:paraId="2CE877C9" w14:textId="77777777" w:rsidR="00501C2B" w:rsidRPr="005C71B6" w:rsidRDefault="00501C2B" w:rsidP="00501C2B">
      <w:pPr>
        <w:ind w:firstLine="705"/>
        <w:jc w:val="both"/>
        <w:rPr>
          <w:rFonts w:ascii="Abadi" w:hAnsi="Abadi" w:cs="Arial"/>
          <w:sz w:val="21"/>
          <w:szCs w:val="21"/>
          <w:lang w:val="es-MX" w:eastAsia="x-none"/>
        </w:rPr>
      </w:pPr>
    </w:p>
    <w:p w14:paraId="6D481F40" w14:textId="77777777" w:rsidR="00501C2B" w:rsidRPr="005C71B6" w:rsidRDefault="00501C2B" w:rsidP="00501C2B">
      <w:pPr>
        <w:ind w:firstLine="705"/>
        <w:jc w:val="both"/>
        <w:rPr>
          <w:rFonts w:ascii="Abadi" w:hAnsi="Abadi" w:cs="Arial"/>
          <w:sz w:val="21"/>
          <w:szCs w:val="21"/>
          <w:lang w:val="es-MX" w:eastAsia="x-none"/>
        </w:rPr>
      </w:pPr>
      <w:r w:rsidRPr="005C71B6">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 Miguel de Allende, </w:t>
      </w:r>
      <w:proofErr w:type="spellStart"/>
      <w:r w:rsidRPr="005C71B6">
        <w:rPr>
          <w:rFonts w:ascii="Abadi" w:hAnsi="Abadi" w:cs="Arial"/>
          <w:sz w:val="21"/>
          <w:szCs w:val="21"/>
          <w:lang w:val="es-MX" w:eastAsia="x-none"/>
        </w:rPr>
        <w:t>Gto</w:t>
      </w:r>
      <w:proofErr w:type="spellEnd"/>
      <w:r w:rsidRPr="005C71B6">
        <w:rPr>
          <w:rFonts w:ascii="Abadi" w:hAnsi="Abadi" w:cs="Arial"/>
          <w:sz w:val="21"/>
          <w:szCs w:val="21"/>
          <w:lang w:val="es-MX" w:eastAsia="x-none"/>
        </w:rPr>
        <w:t xml:space="preserve">., no cumplió con las disposiciones normativas aplicables, como se precisa en el informe de resultados. </w:t>
      </w:r>
    </w:p>
    <w:p w14:paraId="02E3D42A" w14:textId="77777777" w:rsidR="00501C2B" w:rsidRPr="005C71B6" w:rsidRDefault="00501C2B" w:rsidP="00501C2B">
      <w:pPr>
        <w:ind w:firstLine="705"/>
        <w:jc w:val="both"/>
        <w:rPr>
          <w:rFonts w:ascii="Abadi" w:hAnsi="Abadi" w:cs="Arial"/>
          <w:sz w:val="21"/>
          <w:szCs w:val="21"/>
          <w:lang w:val="es-MX" w:eastAsia="x-none"/>
        </w:rPr>
      </w:pPr>
    </w:p>
    <w:p w14:paraId="794EF0BF"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En cuanto al rubro de resultados de la fiscalización efectuada, se establece el estatus que guardan las observaciones y recomendaciones, las cuales se agrupan bajo su respectivo tipo y rubro, señalando que se determinaron 12 observaciones, mismas que no fueron solventadas. Asimismo, se formularon 5 recomendaciones, de las cuales 1 se atendió y 4 no se atendieron. </w:t>
      </w:r>
    </w:p>
    <w:p w14:paraId="6BB950C6" w14:textId="77777777" w:rsidR="00501C2B" w:rsidRPr="005C71B6" w:rsidRDefault="00501C2B" w:rsidP="00501C2B">
      <w:pPr>
        <w:pStyle w:val="Textoindependiente"/>
        <w:ind w:firstLine="705"/>
        <w:rPr>
          <w:rFonts w:ascii="Abadi" w:hAnsi="Abadi"/>
          <w:sz w:val="21"/>
          <w:szCs w:val="21"/>
        </w:rPr>
      </w:pPr>
    </w:p>
    <w:p w14:paraId="3F5CABF3" w14:textId="77777777" w:rsidR="00501C2B" w:rsidRPr="005C71B6" w:rsidRDefault="00501C2B" w:rsidP="00501C2B">
      <w:pPr>
        <w:pStyle w:val="Textoindependiente"/>
        <w:ind w:firstLine="705"/>
        <w:rPr>
          <w:rFonts w:ascii="Abadi" w:hAnsi="Abadi"/>
          <w:sz w:val="21"/>
          <w:szCs w:val="21"/>
        </w:rPr>
      </w:pPr>
    </w:p>
    <w:p w14:paraId="613D5208"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010, 011 y 012, existen importes no solventados por la cuantía que ahí se refiere. No obstante, mediante la resolución recaída al recurso de reconsideración promovido en contra del informe de resultados, se modificó el </w:t>
      </w:r>
      <w:r w:rsidRPr="00BA3AE4">
        <w:rPr>
          <w:rFonts w:ascii="Abadi" w:hAnsi="Abadi"/>
          <w:b w:val="0"/>
          <w:bCs w:val="0"/>
          <w:sz w:val="21"/>
          <w:szCs w:val="21"/>
        </w:rPr>
        <w:lastRenderedPageBreak/>
        <w:t xml:space="preserve">complemento de la valoración de la observación plasmada en el numeral 002, para quedar sin acciones pendientes de realizar por el sujeto fiscalizado. </w:t>
      </w:r>
    </w:p>
    <w:p w14:paraId="0880E50F" w14:textId="77777777" w:rsidR="00501C2B" w:rsidRPr="00BA3AE4" w:rsidRDefault="00501C2B" w:rsidP="00501C2B">
      <w:pPr>
        <w:pStyle w:val="Textoindependiente"/>
        <w:ind w:firstLine="705"/>
        <w:rPr>
          <w:rFonts w:ascii="Abadi" w:hAnsi="Abadi"/>
          <w:b w:val="0"/>
          <w:bCs w:val="0"/>
          <w:sz w:val="21"/>
          <w:szCs w:val="21"/>
        </w:rPr>
      </w:pPr>
    </w:p>
    <w:p w14:paraId="53E0365B"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En lo referente al rubro de identificación de operaciones con Empresas</w:t>
      </w:r>
      <w:r w:rsidRPr="005C71B6">
        <w:rPr>
          <w:rFonts w:ascii="Abadi" w:hAnsi="Abadi"/>
          <w:sz w:val="21"/>
          <w:szCs w:val="21"/>
        </w:rPr>
        <w:t xml:space="preserve"> </w:t>
      </w:r>
      <w:r w:rsidRPr="00BA3AE4">
        <w:rPr>
          <w:rFonts w:ascii="Abadi" w:hAnsi="Abadi"/>
          <w:b w:val="0"/>
          <w:bCs w:val="0"/>
          <w:sz w:val="21"/>
          <w:szCs w:val="21"/>
        </w:rPr>
        <w:t xml:space="preserve">que Facturan Operaciones Simuladas (EFOS) u operaciones inexistentes se refiere que como parte de la planeación de la revisión se realizaron procedimientos analíticos a las personas físicas o morales con las que la administración pública municipal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celebró operaciones; entre los procedimientos expuestos, se verificó que estas no se encontraran en el listado de Empresas que Facturan Operaciones Simuladas (EFOS) u operaciones inexistentes con el carácter de «</w:t>
      </w:r>
      <w:r w:rsidRPr="00BA3AE4">
        <w:rPr>
          <w:rFonts w:ascii="Abadi" w:hAnsi="Abadi"/>
          <w:b w:val="0"/>
          <w:bCs w:val="0"/>
          <w:i/>
          <w:iCs/>
          <w:sz w:val="21"/>
          <w:szCs w:val="21"/>
        </w:rPr>
        <w:t>Definitivos»</w:t>
      </w:r>
      <w:r w:rsidRPr="00BA3AE4">
        <w:rPr>
          <w:rFonts w:ascii="Abadi" w:hAnsi="Abadi"/>
          <w:b w:val="0"/>
          <w:bCs w:val="0"/>
          <w:sz w:val="21"/>
          <w:szCs w:val="21"/>
        </w:rPr>
        <w:t xml:space="preserve"> publicados en el Diario Oficial de la Federación y en el sitio de información estadística del Servicio de Administración Tributaria, concluyendo que no se identificaron empresas clasificadas como EFOS.</w:t>
      </w:r>
    </w:p>
    <w:p w14:paraId="5B922CF4" w14:textId="77777777" w:rsidR="00501C2B" w:rsidRPr="005C71B6" w:rsidRDefault="00501C2B" w:rsidP="00501C2B">
      <w:pPr>
        <w:pStyle w:val="Textoindependiente"/>
        <w:ind w:firstLine="705"/>
        <w:rPr>
          <w:rFonts w:ascii="Abadi" w:hAnsi="Abadi"/>
          <w:sz w:val="21"/>
          <w:szCs w:val="21"/>
        </w:rPr>
      </w:pPr>
    </w:p>
    <w:p w14:paraId="11D37C10" w14:textId="77777777" w:rsidR="00501C2B" w:rsidRPr="00BA3AE4" w:rsidRDefault="00501C2B" w:rsidP="00427BD6">
      <w:pPr>
        <w:pStyle w:val="Textoindependiente"/>
        <w:numPr>
          <w:ilvl w:val="0"/>
          <w:numId w:val="9"/>
        </w:numPr>
        <w:tabs>
          <w:tab w:val="clear" w:pos="1065"/>
          <w:tab w:val="num" w:pos="0"/>
        </w:tabs>
        <w:autoSpaceDE/>
        <w:autoSpaceDN/>
        <w:rPr>
          <w:rFonts w:ascii="Abadi" w:hAnsi="Abadi"/>
          <w:sz w:val="21"/>
          <w:szCs w:val="21"/>
        </w:rPr>
      </w:pPr>
      <w:r w:rsidRPr="00BA3AE4">
        <w:rPr>
          <w:rFonts w:ascii="Abadi" w:hAnsi="Abadi"/>
          <w:sz w:val="21"/>
          <w:szCs w:val="21"/>
        </w:rPr>
        <w:t xml:space="preserve">Observaciones y recomendaciones, la respuesta emitida por el sujeto fiscalizado y la valoración correspondiente. </w:t>
      </w:r>
    </w:p>
    <w:p w14:paraId="794B291B" w14:textId="77777777" w:rsidR="00501C2B" w:rsidRPr="005C71B6" w:rsidRDefault="00501C2B" w:rsidP="00501C2B">
      <w:pPr>
        <w:pStyle w:val="Textoindependiente"/>
        <w:ind w:left="1065"/>
        <w:rPr>
          <w:rFonts w:ascii="Abadi" w:hAnsi="Abadi"/>
          <w:b w:val="0"/>
          <w:bCs w:val="0"/>
          <w:sz w:val="21"/>
          <w:szCs w:val="21"/>
        </w:rPr>
      </w:pPr>
    </w:p>
    <w:p w14:paraId="5374F2F5"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En esta parte se desglosa la valoración de las observaciones formuladas por el Órgano Técnico, considerando como no solventadas las observaciones plasmadas en los siguientes apartados: En el de Administración Pública Centralizada, los numerales 001, referente a adquisición autobuses; 002, correspondiente a pago de sueldos; 003, relativo a arrendamiento vehículos; 004, referido a contrato de arrendamiento de semáforos; 005, referente a contrato de compra de semáforos; 006, correspondiente a registro contable e incorporación en inventario; 007, relativo a pena convencional del arrendamiento de semáforos; 008, referido a registro contable de pena convencional; y 009, referente a avalúo. En el rubro de Administración Pública Descentralizada, los numerales 010, correspondiente a precio unitario. Contrato: SAP-ACUAFERICO/AP-RP-2020-35-LP. 011, relativo a cantidades de obra. Contrato: SAP-ACUAFERICO/AP-RP-2020-37-LP. (1 de 2); y </w:t>
      </w:r>
      <w:r w:rsidRPr="00BA3AE4">
        <w:rPr>
          <w:rFonts w:ascii="Abadi" w:hAnsi="Abadi"/>
          <w:b w:val="0"/>
          <w:bCs w:val="0"/>
          <w:sz w:val="21"/>
          <w:szCs w:val="21"/>
        </w:rPr>
        <w:t>012, referido a precio unitario. Contrato: AP-ACUAFERICO/AP-RP-2020-37-LP. (2 de 2).</w:t>
      </w:r>
    </w:p>
    <w:p w14:paraId="48998E79" w14:textId="77777777" w:rsidR="00501C2B" w:rsidRPr="00BA3AE4" w:rsidRDefault="00501C2B" w:rsidP="00501C2B">
      <w:pPr>
        <w:pStyle w:val="Textoindependiente"/>
        <w:ind w:firstLine="705"/>
        <w:rPr>
          <w:rFonts w:ascii="Abadi" w:hAnsi="Abadi"/>
          <w:b w:val="0"/>
          <w:bCs w:val="0"/>
          <w:sz w:val="21"/>
          <w:szCs w:val="21"/>
        </w:rPr>
      </w:pPr>
    </w:p>
    <w:p w14:paraId="45FBA042"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En el apartado de Recomendaciones Generales, se atendió la recomendación contenida en el rubro de Administración Pública Descentralizada, numeral 004, referente a cantidades de obra. Contrato: SAP-ACUAFERICO/AP-RP-2021-23-LP; y no se atendieron las recomendaciones establecidas en los siguientes rubros: En el de Administración Pública Centralizada, los numerales 001, correspondiente a equipo médico; 002, relativo a suministro de recargas de oxígeno; y 003, referido a Reglamento para la vigilancia, respeto y aprovechamiento del derecho de las vías públicas, de comunicación terrestre, municipales y zonas aledañas. Respecto a la Administración Pública Descentralizada, el numeral 005, referente a cuentas de anticipo.</w:t>
      </w:r>
    </w:p>
    <w:p w14:paraId="613FD7D2" w14:textId="77777777" w:rsidR="00501C2B" w:rsidRPr="00BA3AE4" w:rsidRDefault="00501C2B" w:rsidP="00501C2B">
      <w:pPr>
        <w:pStyle w:val="Textoindependiente"/>
        <w:ind w:firstLine="705"/>
        <w:rPr>
          <w:rFonts w:ascii="Abadi" w:hAnsi="Abadi"/>
          <w:b w:val="0"/>
          <w:bCs w:val="0"/>
          <w:sz w:val="21"/>
          <w:szCs w:val="21"/>
        </w:rPr>
      </w:pPr>
    </w:p>
    <w:p w14:paraId="694776F1" w14:textId="77777777" w:rsidR="00501C2B" w:rsidRPr="00BA3AE4" w:rsidRDefault="00501C2B" w:rsidP="00427BD6">
      <w:pPr>
        <w:pStyle w:val="Textoindependiente"/>
        <w:numPr>
          <w:ilvl w:val="0"/>
          <w:numId w:val="9"/>
        </w:numPr>
        <w:autoSpaceDE/>
        <w:autoSpaceDN/>
        <w:rPr>
          <w:rFonts w:ascii="Abadi" w:hAnsi="Abadi"/>
          <w:sz w:val="21"/>
          <w:szCs w:val="21"/>
        </w:rPr>
      </w:pPr>
      <w:r w:rsidRPr="00BA3AE4">
        <w:rPr>
          <w:rFonts w:ascii="Abadi" w:hAnsi="Abadi"/>
          <w:sz w:val="21"/>
          <w:szCs w:val="21"/>
        </w:rPr>
        <w:t xml:space="preserve">Promoción del ejercicio de facultades de comprobación fiscal. </w:t>
      </w:r>
    </w:p>
    <w:p w14:paraId="75AAEBB7" w14:textId="77777777" w:rsidR="00501C2B" w:rsidRPr="005C71B6" w:rsidRDefault="00501C2B" w:rsidP="00501C2B">
      <w:pPr>
        <w:pStyle w:val="Textoindependiente"/>
        <w:ind w:firstLine="705"/>
        <w:rPr>
          <w:rFonts w:ascii="Abadi" w:hAnsi="Abadi"/>
          <w:sz w:val="21"/>
          <w:szCs w:val="21"/>
        </w:rPr>
      </w:pPr>
    </w:p>
    <w:p w14:paraId="3921C876"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60142FCE" w14:textId="77777777" w:rsidR="00501C2B" w:rsidRPr="00BA3AE4" w:rsidRDefault="00501C2B" w:rsidP="00501C2B">
      <w:pPr>
        <w:pStyle w:val="Textoindependiente"/>
        <w:ind w:firstLine="705"/>
        <w:rPr>
          <w:rFonts w:ascii="Abadi" w:hAnsi="Abadi"/>
          <w:b w:val="0"/>
          <w:bCs w:val="0"/>
          <w:sz w:val="21"/>
          <w:szCs w:val="21"/>
        </w:rPr>
      </w:pPr>
    </w:p>
    <w:p w14:paraId="017AE2FB" w14:textId="77777777" w:rsidR="00501C2B" w:rsidRPr="00BA3AE4" w:rsidRDefault="00501C2B" w:rsidP="00427BD6">
      <w:pPr>
        <w:pStyle w:val="Textoindependiente"/>
        <w:numPr>
          <w:ilvl w:val="0"/>
          <w:numId w:val="9"/>
        </w:numPr>
        <w:autoSpaceDE/>
        <w:autoSpaceDN/>
        <w:rPr>
          <w:rFonts w:ascii="Abadi" w:hAnsi="Abadi"/>
          <w:sz w:val="21"/>
          <w:szCs w:val="21"/>
        </w:rPr>
      </w:pPr>
      <w:r w:rsidRPr="00BA3AE4">
        <w:rPr>
          <w:rFonts w:ascii="Abadi" w:hAnsi="Abadi"/>
          <w:sz w:val="21"/>
          <w:szCs w:val="21"/>
        </w:rPr>
        <w:t>Comunicado ante órganos de control y autoridades que administran padrones de proveedores y contratistas.</w:t>
      </w:r>
    </w:p>
    <w:p w14:paraId="6262754C" w14:textId="77777777" w:rsidR="00501C2B" w:rsidRPr="005C71B6" w:rsidRDefault="00501C2B" w:rsidP="00501C2B">
      <w:pPr>
        <w:pStyle w:val="Textoindependiente"/>
        <w:ind w:firstLine="705"/>
        <w:rPr>
          <w:rFonts w:ascii="Abadi" w:hAnsi="Abadi"/>
          <w:sz w:val="21"/>
          <w:szCs w:val="21"/>
        </w:rPr>
      </w:pPr>
    </w:p>
    <w:p w14:paraId="763AD4B3"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w:t>
      </w:r>
      <w:r w:rsidRPr="00BA3AE4">
        <w:rPr>
          <w:rFonts w:ascii="Abadi" w:hAnsi="Abadi"/>
          <w:b w:val="0"/>
          <w:bCs w:val="0"/>
          <w:sz w:val="21"/>
          <w:szCs w:val="21"/>
        </w:rPr>
        <w:lastRenderedPageBreak/>
        <w:t>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Contraloría Municipal y de la Tesorería</w:t>
      </w:r>
      <w:r w:rsidRPr="005C71B6">
        <w:rPr>
          <w:rFonts w:ascii="Abadi" w:hAnsi="Abadi"/>
          <w:sz w:val="21"/>
          <w:szCs w:val="21"/>
        </w:rPr>
        <w:t xml:space="preserve"> </w:t>
      </w:r>
      <w:r w:rsidRPr="00BA3AE4">
        <w:rPr>
          <w:rFonts w:ascii="Abadi" w:hAnsi="Abadi"/>
          <w:b w:val="0"/>
          <w:bCs w:val="0"/>
          <w:sz w:val="21"/>
          <w:szCs w:val="21"/>
        </w:rPr>
        <w:t xml:space="preserve">Municipal en conjunto con la Oficialía Mayor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así como de la Secretaría de Infraestructura, Conectividad y Movilidad del Estado, las presuntas irregularidades o incumplimientos de estos en contrataciones públicas detectadas durante la revisión, precisando los proveedores y contratistas y las observaciones de las que se desprende su intervención.</w:t>
      </w:r>
    </w:p>
    <w:p w14:paraId="49FED881" w14:textId="77777777" w:rsidR="00501C2B" w:rsidRPr="005C71B6" w:rsidRDefault="00501C2B" w:rsidP="00501C2B">
      <w:pPr>
        <w:pStyle w:val="Textoindependiente"/>
        <w:ind w:firstLine="705"/>
        <w:rPr>
          <w:rFonts w:ascii="Abadi" w:hAnsi="Abadi"/>
          <w:sz w:val="21"/>
          <w:szCs w:val="21"/>
        </w:rPr>
      </w:pPr>
    </w:p>
    <w:p w14:paraId="50C4A1E8" w14:textId="77777777" w:rsidR="00501C2B" w:rsidRPr="00BA3AE4" w:rsidRDefault="00501C2B" w:rsidP="00427BD6">
      <w:pPr>
        <w:pStyle w:val="Textoindependiente"/>
        <w:numPr>
          <w:ilvl w:val="0"/>
          <w:numId w:val="9"/>
        </w:numPr>
        <w:autoSpaceDE/>
        <w:autoSpaceDN/>
        <w:rPr>
          <w:rFonts w:ascii="Abadi" w:hAnsi="Abadi"/>
          <w:sz w:val="21"/>
          <w:szCs w:val="21"/>
        </w:rPr>
      </w:pPr>
      <w:r w:rsidRPr="00BA3AE4">
        <w:rPr>
          <w:rFonts w:ascii="Abadi" w:hAnsi="Abadi"/>
          <w:sz w:val="21"/>
          <w:szCs w:val="21"/>
        </w:rPr>
        <w:t xml:space="preserve">Recurso de Reconsideración. </w:t>
      </w:r>
    </w:p>
    <w:p w14:paraId="22842157" w14:textId="77777777" w:rsidR="00501C2B" w:rsidRPr="005C71B6" w:rsidRDefault="00501C2B" w:rsidP="00501C2B">
      <w:pPr>
        <w:pStyle w:val="Textoindependiente"/>
        <w:ind w:left="705"/>
        <w:rPr>
          <w:rFonts w:ascii="Abadi" w:hAnsi="Abadi"/>
          <w:b w:val="0"/>
          <w:bCs w:val="0"/>
          <w:sz w:val="21"/>
          <w:szCs w:val="21"/>
        </w:rPr>
      </w:pPr>
    </w:p>
    <w:p w14:paraId="41FFDB33" w14:textId="77777777" w:rsidR="00501C2B" w:rsidRPr="00BA3AE4" w:rsidRDefault="00501C2B" w:rsidP="00501C2B">
      <w:pPr>
        <w:pStyle w:val="Textoindependiente"/>
        <w:ind w:firstLine="705"/>
        <w:rPr>
          <w:rFonts w:ascii="Abadi" w:hAnsi="Abadi"/>
          <w:b w:val="0"/>
          <w:bCs w:val="0"/>
          <w:sz w:val="21"/>
          <w:szCs w:val="21"/>
        </w:rPr>
      </w:pPr>
      <w:r w:rsidRPr="00BA3AE4">
        <w:rPr>
          <w:rFonts w:ascii="Abadi" w:hAnsi="Abadi"/>
          <w:b w:val="0"/>
          <w:bCs w:val="0"/>
          <w:sz w:val="21"/>
          <w:szCs w:val="21"/>
        </w:rPr>
        <w:t xml:space="preserve">El 25 de mayo de 2023, dentro del plazo que prevé la fracción IV del artículo 37 de </w:t>
      </w:r>
      <w:smartTag w:uri="urn:schemas-microsoft-com:office:smarttags" w:element="PersonName">
        <w:smartTagPr>
          <w:attr w:name="ProductID" w:val="la Ley"/>
        </w:smartTagPr>
        <w:r w:rsidRPr="00BA3AE4">
          <w:rPr>
            <w:rFonts w:ascii="Abadi" w:hAnsi="Abadi"/>
            <w:b w:val="0"/>
            <w:bCs w:val="0"/>
            <w:sz w:val="21"/>
            <w:szCs w:val="21"/>
          </w:rPr>
          <w:t>la Ley</w:t>
        </w:r>
      </w:smartTag>
      <w:r w:rsidRPr="00BA3AE4">
        <w:rPr>
          <w:rFonts w:ascii="Abadi" w:hAnsi="Abadi"/>
          <w:b w:val="0"/>
          <w:bCs w:val="0"/>
          <w:sz w:val="21"/>
          <w:szCs w:val="21"/>
        </w:rPr>
        <w:t xml:space="preserve"> de Fiscalización Superior del Estado de Guanajuato, el  presidente municipal de San Miguel de Allende, </w:t>
      </w:r>
      <w:proofErr w:type="spellStart"/>
      <w:r w:rsidRPr="00BA3AE4">
        <w:rPr>
          <w:rFonts w:ascii="Abadi" w:hAnsi="Abadi"/>
          <w:b w:val="0"/>
          <w:bCs w:val="0"/>
          <w:sz w:val="21"/>
          <w:szCs w:val="21"/>
        </w:rPr>
        <w:t>Gto</w:t>
      </w:r>
      <w:proofErr w:type="spellEnd"/>
      <w:r w:rsidRPr="00BA3AE4">
        <w:rPr>
          <w:rFonts w:ascii="Abadi" w:hAnsi="Abadi"/>
          <w:b w:val="0"/>
          <w:bCs w:val="0"/>
          <w:sz w:val="21"/>
          <w:szCs w:val="21"/>
        </w:rPr>
        <w:t xml:space="preserve">., interpuso recurso de reconsideración en contra del informe de resultados de la revisión practicada a la cuenta pública de dicho Municipio, correspondiente al ejercicio fiscal del año 2021, concretamente en contra de las observaciones establecidas en los numerales 002, correspondiente a pago de sueldos; 004, relativo a contrato de arrendamiento de semáforos; 005, referido a contrato de compra de semáforos; 009, referente a avalúo; 010, correspondiente a precio unitario. Contrato: SAP-ACUAFERICO/AP-RP-2020-35-LP. 011, relativo a cantidades de obra. Contrato: SAP-ACUAFERICO/AP-RP-2020-37-LP. (1 de 2); y 012, referido a precio unitario. Contrato: AP-ACUAFERICO/AP-RP-2020-37-LP. (2 de 2); así como de la recomendación contenida en el numeral 005, referente a cuentas de anticipo, mismas que se encuentran relacionadas con el Capítulo II, denominado Observaciones y Recomendaciones; Respuesta Emitida por el Sujeto Fiscalizado y Valoración Correspondiente. </w:t>
      </w:r>
    </w:p>
    <w:p w14:paraId="0F891024" w14:textId="77777777" w:rsidR="00501C2B" w:rsidRPr="00BA3AE4" w:rsidRDefault="00501C2B" w:rsidP="00501C2B">
      <w:pPr>
        <w:pStyle w:val="Textoindependiente"/>
        <w:ind w:firstLine="705"/>
        <w:rPr>
          <w:rFonts w:ascii="Abadi" w:hAnsi="Abadi"/>
          <w:b w:val="0"/>
          <w:bCs w:val="0"/>
          <w:sz w:val="21"/>
          <w:szCs w:val="21"/>
        </w:rPr>
      </w:pPr>
    </w:p>
    <w:p w14:paraId="183CFC0A"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 xml:space="preserve">En tal sentido, mediante el acuerdo de fecha 26 de mayo de 2023, emitido por el Director General de Asuntos Jurídicos de la Auditoría Superior del Estado, se admitió el </w:t>
      </w:r>
      <w:r w:rsidRPr="00BA3AE4">
        <w:rPr>
          <w:rFonts w:ascii="Abadi" w:hAnsi="Abadi"/>
          <w:b w:val="0"/>
          <w:bCs w:val="0"/>
          <w:sz w:val="21"/>
          <w:szCs w:val="21"/>
        </w:rPr>
        <w:t xml:space="preserve">recurso de reconsideración, al colmarse los requisitos de procedibilidad previstos por el artículo 51 de </w:t>
      </w:r>
      <w:smartTag w:uri="urn:schemas-microsoft-com:office:smarttags" w:element="PersonName">
        <w:smartTagPr>
          <w:attr w:name="ProductID" w:val="la Ley"/>
        </w:smartTagPr>
        <w:r w:rsidRPr="00BA3AE4">
          <w:rPr>
            <w:rFonts w:ascii="Abadi" w:hAnsi="Abadi"/>
            <w:b w:val="0"/>
            <w:bCs w:val="0"/>
            <w:sz w:val="21"/>
            <w:szCs w:val="21"/>
          </w:rPr>
          <w:t>la Ley</w:t>
        </w:r>
      </w:smartTag>
      <w:r w:rsidRPr="00BA3AE4">
        <w:rPr>
          <w:rFonts w:ascii="Abadi" w:hAnsi="Abadi"/>
          <w:b w:val="0"/>
          <w:bCs w:val="0"/>
          <w:sz w:val="21"/>
          <w:szCs w:val="21"/>
        </w:rPr>
        <w:t xml:space="preserve"> de Fiscalización Superior del Estado de Guanajuato, instruyendo la integración del expediente respectivo y el registro correspondiente. Asimismo, mediante dicho acuerdo se admitieron algunos medios de prueba ofrecidos por el recurrente al tratarse de pruebas novedosas y</w:t>
      </w:r>
      <w:r w:rsidRPr="005C71B6">
        <w:rPr>
          <w:rFonts w:ascii="Abadi" w:hAnsi="Abadi"/>
          <w:sz w:val="21"/>
          <w:szCs w:val="21"/>
        </w:rPr>
        <w:t xml:space="preserve"> </w:t>
      </w:r>
      <w:r w:rsidRPr="00BA3AE4">
        <w:rPr>
          <w:rFonts w:ascii="Abadi" w:hAnsi="Abadi"/>
          <w:b w:val="0"/>
          <w:bCs w:val="0"/>
          <w:sz w:val="21"/>
          <w:szCs w:val="21"/>
        </w:rPr>
        <w:t xml:space="preserve">supervenientes, mientras que otros se desecharon al no tener tal carácter. </w:t>
      </w:r>
    </w:p>
    <w:p w14:paraId="769DBFA1" w14:textId="77777777" w:rsidR="00501C2B" w:rsidRPr="00BA3AE4" w:rsidRDefault="00501C2B" w:rsidP="00501C2B">
      <w:pPr>
        <w:pStyle w:val="Textoindependiente"/>
        <w:ind w:firstLine="708"/>
        <w:rPr>
          <w:rFonts w:ascii="Abadi" w:hAnsi="Abadi"/>
          <w:b w:val="0"/>
          <w:bCs w:val="0"/>
          <w:sz w:val="21"/>
          <w:szCs w:val="21"/>
        </w:rPr>
      </w:pPr>
    </w:p>
    <w:p w14:paraId="1CCD85F1"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Una vez tramitado el recurso, el Auditor Superior del Estado, el 29 de mayo de 2023 emitió la resolución correspondiente, determinándose respecto a la observación plasmada en el numeral 002, que, si bien, las manifestaciones realizadas y los documentos aportados por el recurrente resultaron insuficientes para modificar el sentido de la valoración de la observación, las pruebas aportadas se consideraron suficientes para acreditar la recuperación del importe observado. En razón de lo cual, aun cuando se confirmó el sentido de la valoración de la observación como no solventada, se modificó su complemento, para quedar sin acciones pendientes de realizar por el sujeto fiscalizado.</w:t>
      </w:r>
    </w:p>
    <w:p w14:paraId="13982B2C" w14:textId="77777777" w:rsidR="00501C2B" w:rsidRPr="00BA3AE4" w:rsidRDefault="00501C2B" w:rsidP="00501C2B">
      <w:pPr>
        <w:pStyle w:val="Textoindependiente"/>
        <w:ind w:firstLine="708"/>
        <w:rPr>
          <w:rFonts w:ascii="Abadi" w:hAnsi="Abadi"/>
          <w:b w:val="0"/>
          <w:bCs w:val="0"/>
          <w:sz w:val="21"/>
          <w:szCs w:val="21"/>
        </w:rPr>
      </w:pPr>
    </w:p>
    <w:p w14:paraId="4FBCE870"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En cuanto a las observaciones establecidas en los numerales 004 y 005, se resolvió que los argumentos formulados y la documental aportada por el recurrente resultaron inoperantes por insuficientes, por los argumentos plasmados en el considerando séptimo. Por este motivo se confirmó el sentido de la valoración de las observaciones como no solventadas, con acciones correctivas y de impacto económico pendientes de realizar por el sujeto fiscalizado.</w:t>
      </w:r>
    </w:p>
    <w:p w14:paraId="1D2DE609" w14:textId="77777777" w:rsidR="00501C2B" w:rsidRPr="00BA3AE4" w:rsidRDefault="00501C2B" w:rsidP="00501C2B">
      <w:pPr>
        <w:pStyle w:val="Textoindependiente"/>
        <w:ind w:firstLine="708"/>
        <w:rPr>
          <w:rFonts w:ascii="Abadi" w:hAnsi="Abadi"/>
          <w:b w:val="0"/>
          <w:bCs w:val="0"/>
          <w:sz w:val="21"/>
          <w:szCs w:val="21"/>
        </w:rPr>
      </w:pPr>
    </w:p>
    <w:p w14:paraId="04DE967A"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En el caso de la observación contenida en el numeral 009, se concluyó que lo argumentado por el recurrente resultó inoperante, por las razones expresadas en el considerando séptimo, razón por la cual se confirmó el sentido de la valoración de la observación como no solventada, sin acciones pendientes de realizar por el sujeto fiscalizado.</w:t>
      </w:r>
    </w:p>
    <w:p w14:paraId="6A3F8A6E" w14:textId="77777777" w:rsidR="00501C2B" w:rsidRPr="00BA3AE4" w:rsidRDefault="00501C2B" w:rsidP="00501C2B">
      <w:pPr>
        <w:pStyle w:val="Textoindependiente"/>
        <w:ind w:firstLine="708"/>
        <w:rPr>
          <w:rFonts w:ascii="Abadi" w:hAnsi="Abadi"/>
          <w:b w:val="0"/>
          <w:bCs w:val="0"/>
          <w:sz w:val="21"/>
          <w:szCs w:val="21"/>
        </w:rPr>
      </w:pPr>
    </w:p>
    <w:p w14:paraId="22AE7C13" w14:textId="77777777" w:rsidR="00501C2B" w:rsidRPr="00BA3AE4" w:rsidRDefault="00501C2B" w:rsidP="00501C2B">
      <w:pPr>
        <w:pStyle w:val="Textoindependiente"/>
        <w:ind w:firstLine="708"/>
        <w:rPr>
          <w:rFonts w:ascii="Abadi" w:hAnsi="Abadi"/>
          <w:b w:val="0"/>
          <w:bCs w:val="0"/>
          <w:sz w:val="21"/>
          <w:szCs w:val="21"/>
        </w:rPr>
      </w:pPr>
      <w:r w:rsidRPr="00BA3AE4">
        <w:rPr>
          <w:rFonts w:ascii="Abadi" w:hAnsi="Abadi"/>
          <w:b w:val="0"/>
          <w:bCs w:val="0"/>
          <w:sz w:val="21"/>
          <w:szCs w:val="21"/>
        </w:rPr>
        <w:t xml:space="preserve">Por lo que hace a las observaciones plasmadas en los numerales 010, 011 y 012, se determinó que las manifestaciones hechas valer por el recurrente resultaron inatendibles, </w:t>
      </w:r>
      <w:r w:rsidRPr="00BA3AE4">
        <w:rPr>
          <w:rFonts w:ascii="Abadi" w:hAnsi="Abadi"/>
          <w:b w:val="0"/>
          <w:bCs w:val="0"/>
          <w:sz w:val="21"/>
          <w:szCs w:val="21"/>
        </w:rPr>
        <w:lastRenderedPageBreak/>
        <w:t>al no desprenderse el agravio que le causa, aunado a que no aportó pruebas para desvirtuar los hechos observados, de acuerdo a lo señalado en el considerando séptimo. En consecuencia, se confirmó el sentido de la valoración de las observaciones como no solventadas, con acciones de impacto económico pendientes de realizar por el sujeto fiscalizado.</w:t>
      </w:r>
    </w:p>
    <w:p w14:paraId="1ADA9DC7" w14:textId="77777777" w:rsidR="00501C2B" w:rsidRPr="005C71B6" w:rsidRDefault="00501C2B" w:rsidP="00501C2B">
      <w:pPr>
        <w:pStyle w:val="Textoindependiente"/>
        <w:ind w:firstLine="708"/>
        <w:rPr>
          <w:rFonts w:ascii="Abadi" w:hAnsi="Abadi"/>
          <w:sz w:val="21"/>
          <w:szCs w:val="21"/>
        </w:rPr>
      </w:pPr>
    </w:p>
    <w:p w14:paraId="4FE38999" w14:textId="77777777" w:rsidR="00501C2B" w:rsidRPr="00B14C13" w:rsidRDefault="00501C2B" w:rsidP="00501C2B">
      <w:pPr>
        <w:pStyle w:val="Textoindependiente"/>
        <w:ind w:firstLine="708"/>
        <w:rPr>
          <w:rFonts w:ascii="Abadi" w:hAnsi="Abadi"/>
          <w:b w:val="0"/>
          <w:bCs w:val="0"/>
          <w:sz w:val="21"/>
          <w:szCs w:val="21"/>
        </w:rPr>
      </w:pPr>
      <w:r w:rsidRPr="00B14C13">
        <w:rPr>
          <w:rFonts w:ascii="Abadi" w:hAnsi="Abadi"/>
          <w:b w:val="0"/>
          <w:bCs w:val="0"/>
          <w:sz w:val="21"/>
          <w:szCs w:val="21"/>
        </w:rPr>
        <w:t>Finalmente, respecto a la recomendación referida en el numeral 005, se resolvió que las manifestaciones hechas valer por el recurrente resultaron inatendibles, y las documentales aportadas insuficientes, de conformidad con lo expresado en el considerando séptimo. En consecuencia, se confirmó el sentido de la valoración de la recomendación como no atendida.</w:t>
      </w:r>
    </w:p>
    <w:p w14:paraId="67229629" w14:textId="77777777" w:rsidR="00501C2B" w:rsidRPr="00B14C13" w:rsidRDefault="00501C2B" w:rsidP="00501C2B">
      <w:pPr>
        <w:pStyle w:val="Textoindependiente"/>
        <w:ind w:firstLine="708"/>
        <w:rPr>
          <w:rFonts w:ascii="Abadi" w:hAnsi="Abadi"/>
          <w:b w:val="0"/>
          <w:bCs w:val="0"/>
          <w:sz w:val="21"/>
          <w:szCs w:val="21"/>
        </w:rPr>
      </w:pPr>
    </w:p>
    <w:p w14:paraId="34E78C18" w14:textId="77777777" w:rsidR="00501C2B" w:rsidRPr="00B14C13" w:rsidRDefault="00501C2B" w:rsidP="00501C2B">
      <w:pPr>
        <w:pStyle w:val="Textoindependiente"/>
        <w:ind w:firstLine="705"/>
        <w:rPr>
          <w:rFonts w:ascii="Abadi" w:hAnsi="Abadi"/>
          <w:b w:val="0"/>
          <w:bCs w:val="0"/>
          <w:sz w:val="21"/>
          <w:szCs w:val="21"/>
        </w:rPr>
      </w:pPr>
      <w:r w:rsidRPr="00B14C13">
        <w:rPr>
          <w:rFonts w:ascii="Abadi" w:hAnsi="Abadi"/>
          <w:b w:val="0"/>
          <w:bCs w:val="0"/>
          <w:sz w:val="21"/>
          <w:szCs w:val="21"/>
        </w:rPr>
        <w:t xml:space="preserve">La referida resolución se notificó al presidente municipal de San Miguel de Allende, </w:t>
      </w:r>
      <w:proofErr w:type="spellStart"/>
      <w:r w:rsidRPr="00B14C13">
        <w:rPr>
          <w:rFonts w:ascii="Abadi" w:hAnsi="Abadi"/>
          <w:b w:val="0"/>
          <w:bCs w:val="0"/>
          <w:sz w:val="21"/>
          <w:szCs w:val="21"/>
        </w:rPr>
        <w:t>Gto</w:t>
      </w:r>
      <w:proofErr w:type="spellEnd"/>
      <w:r w:rsidRPr="00B14C13">
        <w:rPr>
          <w:rFonts w:ascii="Abadi" w:hAnsi="Abadi"/>
          <w:b w:val="0"/>
          <w:bCs w:val="0"/>
          <w:sz w:val="21"/>
          <w:szCs w:val="21"/>
        </w:rPr>
        <w:t>., el 30 de mayo de 2023.</w:t>
      </w:r>
    </w:p>
    <w:p w14:paraId="31F64F75" w14:textId="77777777" w:rsidR="00501C2B" w:rsidRPr="00B14C13" w:rsidRDefault="00501C2B" w:rsidP="00501C2B">
      <w:pPr>
        <w:pStyle w:val="Textoindependiente"/>
        <w:ind w:firstLine="705"/>
        <w:rPr>
          <w:rFonts w:ascii="Abadi" w:hAnsi="Abadi"/>
          <w:b w:val="0"/>
          <w:bCs w:val="0"/>
          <w:sz w:val="21"/>
          <w:szCs w:val="21"/>
        </w:rPr>
      </w:pPr>
    </w:p>
    <w:p w14:paraId="51531412" w14:textId="77777777" w:rsidR="00501C2B" w:rsidRPr="00B14C13" w:rsidRDefault="00501C2B" w:rsidP="00427BD6">
      <w:pPr>
        <w:pStyle w:val="Textoindependiente"/>
        <w:numPr>
          <w:ilvl w:val="0"/>
          <w:numId w:val="9"/>
        </w:numPr>
        <w:autoSpaceDE/>
        <w:autoSpaceDN/>
        <w:rPr>
          <w:rFonts w:ascii="Abadi" w:hAnsi="Abadi"/>
          <w:sz w:val="21"/>
          <w:szCs w:val="21"/>
        </w:rPr>
      </w:pPr>
      <w:r w:rsidRPr="00B14C13">
        <w:rPr>
          <w:rFonts w:ascii="Abadi" w:hAnsi="Abadi"/>
          <w:sz w:val="21"/>
          <w:szCs w:val="21"/>
        </w:rPr>
        <w:t xml:space="preserve">Anexos. </w:t>
      </w:r>
    </w:p>
    <w:p w14:paraId="7B35C4D6" w14:textId="77777777" w:rsidR="00501C2B" w:rsidRPr="00B14C13" w:rsidRDefault="00501C2B" w:rsidP="00501C2B">
      <w:pPr>
        <w:pStyle w:val="Textoindependiente"/>
        <w:ind w:firstLine="705"/>
        <w:rPr>
          <w:rFonts w:ascii="Abadi" w:hAnsi="Abadi"/>
          <w:b w:val="0"/>
          <w:bCs w:val="0"/>
          <w:sz w:val="21"/>
          <w:szCs w:val="21"/>
        </w:rPr>
      </w:pPr>
    </w:p>
    <w:p w14:paraId="58CD3ED3" w14:textId="77777777" w:rsidR="00501C2B" w:rsidRPr="00B14C13" w:rsidRDefault="00501C2B" w:rsidP="00501C2B">
      <w:pPr>
        <w:pStyle w:val="Textoindependiente"/>
        <w:ind w:firstLine="705"/>
        <w:rPr>
          <w:rFonts w:ascii="Abadi" w:hAnsi="Abadi"/>
          <w:b w:val="0"/>
          <w:bCs w:val="0"/>
          <w:sz w:val="21"/>
          <w:szCs w:val="21"/>
        </w:rPr>
      </w:pPr>
      <w:r w:rsidRPr="00B14C13">
        <w:rPr>
          <w:rFonts w:ascii="Abadi" w:hAnsi="Abadi"/>
          <w:b w:val="0"/>
          <w:bCs w:val="0"/>
          <w:sz w:val="21"/>
          <w:szCs w:val="21"/>
        </w:rPr>
        <w:t>En esta parte, se adjuntan los anexos técnicos derivados de la revisión practicada.</w:t>
      </w:r>
    </w:p>
    <w:p w14:paraId="54F012DF" w14:textId="77777777" w:rsidR="00501C2B" w:rsidRPr="00B14C13" w:rsidRDefault="00501C2B" w:rsidP="00501C2B">
      <w:pPr>
        <w:pStyle w:val="Textoindependiente"/>
        <w:ind w:firstLine="705"/>
        <w:rPr>
          <w:rFonts w:ascii="Abadi" w:hAnsi="Abadi"/>
          <w:b w:val="0"/>
          <w:bCs w:val="0"/>
          <w:sz w:val="21"/>
          <w:szCs w:val="21"/>
        </w:rPr>
      </w:pPr>
    </w:p>
    <w:p w14:paraId="1910D645" w14:textId="77777777" w:rsidR="00501C2B" w:rsidRPr="00B14C13" w:rsidRDefault="00501C2B" w:rsidP="00501C2B">
      <w:pPr>
        <w:pStyle w:val="Textoindependiente"/>
        <w:ind w:firstLine="705"/>
        <w:rPr>
          <w:rFonts w:ascii="Abadi" w:hAnsi="Abadi"/>
          <w:b w:val="0"/>
          <w:bCs w:val="0"/>
          <w:sz w:val="21"/>
          <w:szCs w:val="21"/>
        </w:rPr>
      </w:pPr>
    </w:p>
    <w:p w14:paraId="35F8E611" w14:textId="77777777" w:rsidR="00501C2B" w:rsidRPr="005C71B6" w:rsidRDefault="00501C2B" w:rsidP="00501C2B">
      <w:pPr>
        <w:pStyle w:val="Textoindependiente"/>
        <w:ind w:firstLine="705"/>
        <w:rPr>
          <w:rFonts w:ascii="Abadi" w:hAnsi="Abadi"/>
          <w:sz w:val="21"/>
          <w:szCs w:val="21"/>
        </w:rPr>
      </w:pPr>
    </w:p>
    <w:p w14:paraId="289EDB37" w14:textId="77777777" w:rsidR="00501C2B" w:rsidRPr="005C71B6" w:rsidRDefault="00501C2B" w:rsidP="00501C2B">
      <w:pPr>
        <w:ind w:firstLine="708"/>
        <w:jc w:val="both"/>
        <w:rPr>
          <w:rFonts w:ascii="Abadi" w:hAnsi="Abadi" w:cs="Arial"/>
          <w:b/>
          <w:bCs/>
          <w:sz w:val="21"/>
          <w:szCs w:val="21"/>
        </w:rPr>
      </w:pPr>
      <w:r w:rsidRPr="005C71B6">
        <w:rPr>
          <w:rFonts w:ascii="Abadi" w:hAnsi="Abadi" w:cs="Arial"/>
          <w:b/>
          <w:bCs/>
          <w:sz w:val="21"/>
          <w:szCs w:val="21"/>
        </w:rPr>
        <w:t>V. Conclusiones:</w:t>
      </w:r>
    </w:p>
    <w:p w14:paraId="714C99EE" w14:textId="77777777" w:rsidR="00501C2B" w:rsidRPr="005C71B6" w:rsidRDefault="00501C2B" w:rsidP="00501C2B">
      <w:pPr>
        <w:jc w:val="both"/>
        <w:rPr>
          <w:rFonts w:ascii="Abadi" w:hAnsi="Abadi" w:cs="Arial"/>
          <w:sz w:val="21"/>
          <w:szCs w:val="21"/>
        </w:rPr>
      </w:pPr>
    </w:p>
    <w:p w14:paraId="22BA2E35" w14:textId="77777777" w:rsidR="00501C2B" w:rsidRPr="005C71B6" w:rsidRDefault="00501C2B" w:rsidP="00501C2B">
      <w:pPr>
        <w:jc w:val="both"/>
        <w:rPr>
          <w:rFonts w:ascii="Abadi" w:hAnsi="Abadi" w:cs="Arial"/>
          <w:sz w:val="21"/>
          <w:szCs w:val="21"/>
        </w:rPr>
      </w:pPr>
      <w:r w:rsidRPr="005C71B6">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5C71B6">
          <w:rPr>
            <w:rFonts w:ascii="Abadi" w:hAnsi="Abadi" w:cs="Arial"/>
            <w:sz w:val="21"/>
            <w:szCs w:val="21"/>
          </w:rPr>
          <w:t>la Ley</w:t>
        </w:r>
      </w:smartTag>
      <w:r w:rsidRPr="005C71B6">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B8B6CB6" w14:textId="77777777" w:rsidR="00501C2B" w:rsidRPr="005C71B6" w:rsidRDefault="00501C2B" w:rsidP="00501C2B">
      <w:pPr>
        <w:jc w:val="both"/>
        <w:rPr>
          <w:rFonts w:ascii="Abadi" w:hAnsi="Abadi" w:cs="Arial"/>
          <w:sz w:val="21"/>
          <w:szCs w:val="21"/>
        </w:rPr>
      </w:pPr>
    </w:p>
    <w:p w14:paraId="0ED66A92" w14:textId="77777777" w:rsidR="00501C2B" w:rsidRPr="005C71B6" w:rsidRDefault="00501C2B" w:rsidP="00501C2B">
      <w:pPr>
        <w:jc w:val="both"/>
        <w:rPr>
          <w:rFonts w:ascii="Abadi" w:hAnsi="Abadi" w:cs="Arial"/>
          <w:sz w:val="21"/>
          <w:szCs w:val="21"/>
        </w:rPr>
      </w:pPr>
      <w:r w:rsidRPr="005C71B6">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2C31E75" w14:textId="77777777" w:rsidR="00501C2B" w:rsidRPr="005C71B6" w:rsidRDefault="00501C2B" w:rsidP="00501C2B">
      <w:pPr>
        <w:jc w:val="both"/>
        <w:rPr>
          <w:rFonts w:ascii="Abadi" w:hAnsi="Abadi" w:cs="Arial"/>
          <w:sz w:val="21"/>
          <w:szCs w:val="21"/>
        </w:rPr>
      </w:pPr>
    </w:p>
    <w:p w14:paraId="227449EB"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w:t>
      </w:r>
      <w:r w:rsidRPr="005C71B6">
        <w:rPr>
          <w:rFonts w:ascii="Abadi" w:hAnsi="Abadi" w:cs="Arial"/>
          <w:sz w:val="21"/>
          <w:szCs w:val="21"/>
        </w:rPr>
        <w:t xml:space="preserve">de la revisión al presidente y al ex presidente municipales, así como al ex presidente municipal interino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xml:space="preserve">., concediéndoles el plazo que establece </w:t>
      </w:r>
      <w:smartTag w:uri="urn:schemas-microsoft-com:office:smarttags" w:element="PersonName">
        <w:smartTagPr>
          <w:attr w:name="ProductID" w:val="la Ley"/>
        </w:smartTagPr>
        <w:r w:rsidRPr="005C71B6">
          <w:rPr>
            <w:rFonts w:ascii="Abadi" w:hAnsi="Abadi" w:cs="Arial"/>
            <w:sz w:val="21"/>
            <w:szCs w:val="21"/>
          </w:rPr>
          <w:t>la Ley</w:t>
        </w:r>
      </w:smartTag>
      <w:r w:rsidRPr="005C71B6">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que se consideró suficiente para aclarar y en su caso, solventar las observaciones determinadas y atender las recomendaciones formuladas.</w:t>
      </w:r>
    </w:p>
    <w:p w14:paraId="624486EC" w14:textId="77777777" w:rsidR="00501C2B" w:rsidRPr="005C71B6" w:rsidRDefault="00501C2B" w:rsidP="00501C2B">
      <w:pPr>
        <w:jc w:val="both"/>
        <w:rPr>
          <w:rFonts w:ascii="Abadi" w:hAnsi="Abadi" w:cs="Arial"/>
          <w:sz w:val="21"/>
          <w:szCs w:val="21"/>
        </w:rPr>
      </w:pPr>
    </w:p>
    <w:p w14:paraId="79F901AB"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De igual manera, existe en el informe de resultados la constancia de que este se notificó al presidente y al ex presidente municipales, así como al ex presidente municipal interino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xml:space="preserve">., concediéndoles el término señalado en el artículo 37, fracción IV de </w:t>
      </w:r>
      <w:smartTag w:uri="urn:schemas-microsoft-com:office:smarttags" w:element="PersonName">
        <w:smartTagPr>
          <w:attr w:name="ProductID" w:val="la Ley"/>
        </w:smartTagPr>
        <w:r w:rsidRPr="005C71B6">
          <w:rPr>
            <w:rFonts w:ascii="Abadi" w:hAnsi="Abadi" w:cs="Arial"/>
            <w:sz w:val="21"/>
            <w:szCs w:val="21"/>
          </w:rPr>
          <w:t>la Ley</w:t>
        </w:r>
      </w:smartTag>
      <w:r w:rsidRPr="005C71B6">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presidente municipal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En tal virtud, se considera que fue respetado el derecho de audiencia o defensa por parte del Órgano Técnico.</w:t>
      </w:r>
    </w:p>
    <w:p w14:paraId="60C1F993" w14:textId="77777777" w:rsidR="00501C2B" w:rsidRPr="005C71B6" w:rsidRDefault="00501C2B" w:rsidP="00501C2B">
      <w:pPr>
        <w:ind w:firstLine="708"/>
        <w:jc w:val="both"/>
        <w:rPr>
          <w:rFonts w:ascii="Abadi" w:hAnsi="Abadi" w:cs="Arial"/>
          <w:sz w:val="21"/>
          <w:szCs w:val="21"/>
        </w:rPr>
      </w:pPr>
    </w:p>
    <w:p w14:paraId="0C90715E" w14:textId="77777777" w:rsidR="00501C2B" w:rsidRPr="005C71B6" w:rsidRDefault="00501C2B" w:rsidP="00501C2B">
      <w:pPr>
        <w:ind w:firstLine="708"/>
        <w:jc w:val="both"/>
        <w:rPr>
          <w:rFonts w:ascii="Abadi" w:hAnsi="Abadi" w:cs="Arial"/>
          <w:sz w:val="21"/>
          <w:szCs w:val="21"/>
        </w:rPr>
      </w:pPr>
    </w:p>
    <w:p w14:paraId="1C59EB62"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w:t>
      </w:r>
      <w:r w:rsidRPr="005C71B6">
        <w:rPr>
          <w:rFonts w:ascii="Abadi" w:hAnsi="Abadi" w:cs="Arial"/>
          <w:sz w:val="21"/>
          <w:szCs w:val="21"/>
        </w:rPr>
        <w:lastRenderedPageBreak/>
        <w:t>Fiscalizadoras Superiores, congruentes con los Principios Fundamentales de la Auditoría de las Normas Profesionales de Auditoría del Sistema Nacional de Fiscalización.</w:t>
      </w:r>
    </w:p>
    <w:p w14:paraId="40A7C5F9" w14:textId="77777777" w:rsidR="00501C2B" w:rsidRPr="005C71B6" w:rsidRDefault="00501C2B" w:rsidP="00501C2B">
      <w:pPr>
        <w:ind w:firstLine="708"/>
        <w:jc w:val="both"/>
        <w:rPr>
          <w:rFonts w:ascii="Abadi" w:hAnsi="Abadi" w:cs="Arial"/>
          <w:sz w:val="21"/>
          <w:szCs w:val="21"/>
        </w:rPr>
      </w:pPr>
    </w:p>
    <w:p w14:paraId="7F62C435"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B0E34E5" w14:textId="77777777" w:rsidR="00501C2B" w:rsidRPr="005C71B6" w:rsidRDefault="00501C2B" w:rsidP="00501C2B">
      <w:pPr>
        <w:jc w:val="both"/>
        <w:rPr>
          <w:rFonts w:ascii="Abadi" w:hAnsi="Abadi" w:cs="Arial"/>
          <w:sz w:val="21"/>
          <w:szCs w:val="21"/>
        </w:rPr>
      </w:pPr>
    </w:p>
    <w:p w14:paraId="3B0FF09C"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6D8E6C15" w14:textId="77777777" w:rsidR="00501C2B" w:rsidRPr="005C71B6" w:rsidRDefault="00501C2B" w:rsidP="00501C2B">
      <w:pPr>
        <w:ind w:firstLine="708"/>
        <w:jc w:val="both"/>
        <w:rPr>
          <w:rFonts w:ascii="Abadi" w:hAnsi="Abadi" w:cs="Arial"/>
          <w:sz w:val="21"/>
          <w:szCs w:val="21"/>
        </w:rPr>
      </w:pPr>
    </w:p>
    <w:p w14:paraId="0BD5528D"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11CC9483" w14:textId="77777777" w:rsidR="00501C2B" w:rsidRPr="005C71B6" w:rsidRDefault="00501C2B" w:rsidP="00501C2B">
      <w:pPr>
        <w:ind w:firstLine="708"/>
        <w:jc w:val="both"/>
        <w:rPr>
          <w:rFonts w:ascii="Abadi" w:hAnsi="Abadi" w:cs="Arial"/>
          <w:sz w:val="21"/>
          <w:szCs w:val="21"/>
        </w:rPr>
      </w:pPr>
    </w:p>
    <w:p w14:paraId="31CC0D4A"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En razón de lo anteriormente señalado, concluimos que el informe de resultados de la revisión practicada a la cuenta pública municipal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xml:space="preserve">., correspondiente al ejercicio fiscal del año 2021, debe sancionarse por el Congreso en los términos formulados por la Auditoría Superior del Estado y proceder a su </w:t>
      </w:r>
      <w:r w:rsidRPr="005C71B6">
        <w:rPr>
          <w:rFonts w:ascii="Abadi" w:hAnsi="Abadi" w:cs="Arial"/>
          <w:sz w:val="21"/>
          <w:szCs w:val="21"/>
        </w:rPr>
        <w:t xml:space="preserve">aprobación, considerando que no se presenta el supuesto contenido en el artículo 38 de </w:t>
      </w:r>
      <w:smartTag w:uri="urn:schemas-microsoft-com:office:smarttags" w:element="PersonName">
        <w:smartTagPr>
          <w:attr w:name="ProductID" w:val="la Ley"/>
        </w:smartTagPr>
        <w:r w:rsidRPr="005C71B6">
          <w:rPr>
            <w:rFonts w:ascii="Abadi" w:hAnsi="Abadi" w:cs="Arial"/>
            <w:sz w:val="21"/>
            <w:szCs w:val="21"/>
          </w:rPr>
          <w:t>la Ley</w:t>
        </w:r>
      </w:smartTag>
      <w:r w:rsidRPr="005C71B6">
        <w:rPr>
          <w:rFonts w:ascii="Abadi" w:hAnsi="Abadi" w:cs="Arial"/>
          <w:sz w:val="21"/>
          <w:szCs w:val="21"/>
        </w:rPr>
        <w:t xml:space="preserve"> de Fiscalización Superior del Estado de Guanajuato, razón por la cual no podría ser observado por el Pleno del Congreso.</w:t>
      </w:r>
    </w:p>
    <w:p w14:paraId="7C269197" w14:textId="77777777" w:rsidR="00501C2B" w:rsidRPr="005C71B6" w:rsidRDefault="00501C2B" w:rsidP="00501C2B">
      <w:pPr>
        <w:pStyle w:val="Sangra3detindependiente"/>
        <w:spacing w:line="240" w:lineRule="auto"/>
        <w:rPr>
          <w:rFonts w:ascii="Abadi" w:hAnsi="Abadi"/>
          <w:sz w:val="21"/>
          <w:szCs w:val="21"/>
        </w:rPr>
      </w:pPr>
    </w:p>
    <w:p w14:paraId="6EAC5985" w14:textId="77777777" w:rsidR="00501C2B" w:rsidRPr="005C71B6" w:rsidRDefault="00501C2B" w:rsidP="00501C2B">
      <w:pPr>
        <w:pStyle w:val="Sangra3detindependiente"/>
        <w:spacing w:line="240" w:lineRule="auto"/>
        <w:rPr>
          <w:rFonts w:ascii="Abadi" w:hAnsi="Abadi"/>
          <w:sz w:val="21"/>
          <w:szCs w:val="21"/>
        </w:rPr>
      </w:pPr>
      <w:r w:rsidRPr="005C71B6">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5C71B6">
          <w:rPr>
            <w:rFonts w:ascii="Abadi" w:hAnsi="Abadi"/>
            <w:sz w:val="21"/>
            <w:szCs w:val="21"/>
          </w:rPr>
          <w:t>la Ley Orgánica</w:t>
        </w:r>
      </w:smartTag>
      <w:r w:rsidRPr="005C71B6">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5C71B6">
          <w:rPr>
            <w:rFonts w:ascii="Abadi" w:hAnsi="Abadi"/>
            <w:sz w:val="21"/>
            <w:szCs w:val="21"/>
          </w:rPr>
          <w:t>la Asamblea</w:t>
        </w:r>
      </w:smartTag>
      <w:r w:rsidRPr="005C71B6">
        <w:rPr>
          <w:rFonts w:ascii="Abadi" w:hAnsi="Abadi"/>
          <w:sz w:val="21"/>
          <w:szCs w:val="21"/>
        </w:rPr>
        <w:t>, la aprobación del siguiente:</w:t>
      </w:r>
    </w:p>
    <w:p w14:paraId="64F33355" w14:textId="77777777" w:rsidR="00501C2B" w:rsidRPr="005C71B6" w:rsidRDefault="00501C2B" w:rsidP="00501C2B">
      <w:pPr>
        <w:pStyle w:val="Ttulo1"/>
        <w:jc w:val="center"/>
        <w:rPr>
          <w:rFonts w:ascii="Abadi" w:hAnsi="Abadi" w:cs="Arial"/>
          <w:smallCaps/>
          <w:sz w:val="21"/>
          <w:szCs w:val="21"/>
        </w:rPr>
      </w:pPr>
    </w:p>
    <w:p w14:paraId="610532FF" w14:textId="77777777" w:rsidR="00501C2B" w:rsidRPr="005C71B6" w:rsidRDefault="00501C2B" w:rsidP="00501C2B">
      <w:pPr>
        <w:pStyle w:val="Ttulo1"/>
        <w:jc w:val="center"/>
        <w:rPr>
          <w:rFonts w:ascii="Abadi" w:hAnsi="Abadi" w:cs="Arial"/>
          <w:smallCaps/>
          <w:sz w:val="21"/>
          <w:szCs w:val="21"/>
        </w:rPr>
      </w:pPr>
      <w:r w:rsidRPr="005C71B6">
        <w:rPr>
          <w:rFonts w:ascii="Abadi" w:hAnsi="Abadi" w:cs="Arial"/>
          <w:smallCaps/>
          <w:sz w:val="21"/>
          <w:szCs w:val="21"/>
        </w:rPr>
        <w:t>A c u e r d o</w:t>
      </w:r>
    </w:p>
    <w:p w14:paraId="1F8248CA" w14:textId="77777777" w:rsidR="00501C2B" w:rsidRPr="005C71B6" w:rsidRDefault="00501C2B" w:rsidP="00501C2B">
      <w:pPr>
        <w:rPr>
          <w:rFonts w:ascii="Abadi" w:hAnsi="Abadi"/>
          <w:sz w:val="21"/>
          <w:szCs w:val="21"/>
        </w:rPr>
      </w:pPr>
    </w:p>
    <w:p w14:paraId="642F334A" w14:textId="77777777" w:rsidR="00501C2B" w:rsidRPr="005C71B6" w:rsidRDefault="00501C2B" w:rsidP="00501C2B">
      <w:pPr>
        <w:ind w:firstLine="708"/>
        <w:jc w:val="both"/>
        <w:rPr>
          <w:rFonts w:ascii="Abadi" w:hAnsi="Abadi" w:cs="Arial"/>
          <w:sz w:val="21"/>
          <w:szCs w:val="21"/>
        </w:rPr>
      </w:pPr>
      <w:r w:rsidRPr="005C71B6">
        <w:rPr>
          <w:rFonts w:ascii="Abadi" w:hAnsi="Abadi" w:cs="Arial"/>
          <w:b/>
          <w:bCs/>
          <w:sz w:val="21"/>
          <w:szCs w:val="21"/>
        </w:rPr>
        <w:t xml:space="preserve">Único. </w:t>
      </w:r>
      <w:r w:rsidRPr="005C71B6">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5C71B6">
          <w:rPr>
            <w:rFonts w:ascii="Abadi" w:hAnsi="Abadi" w:cs="Arial"/>
            <w:sz w:val="21"/>
            <w:szCs w:val="21"/>
          </w:rPr>
          <w:t>la Constitución Política</w:t>
        </w:r>
      </w:smartTag>
      <w:r w:rsidRPr="005C71B6">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San Miguel de Allende, </w:t>
      </w:r>
      <w:proofErr w:type="spellStart"/>
      <w:r w:rsidRPr="005C71B6">
        <w:rPr>
          <w:rFonts w:ascii="Abadi" w:hAnsi="Abadi" w:cs="Arial"/>
          <w:sz w:val="21"/>
          <w:szCs w:val="21"/>
        </w:rPr>
        <w:t>Gto</w:t>
      </w:r>
      <w:proofErr w:type="spellEnd"/>
      <w:r w:rsidRPr="005C71B6">
        <w:rPr>
          <w:rFonts w:ascii="Abadi" w:hAnsi="Abadi" w:cs="Arial"/>
          <w:sz w:val="21"/>
          <w:szCs w:val="21"/>
        </w:rPr>
        <w:t>., correspondiente al ejercicio fiscal del año 2021, con base en el informe de resultados formulado por la Auditoría Superior del Estado de Guanajuato.</w:t>
      </w:r>
    </w:p>
    <w:p w14:paraId="01CF89C9" w14:textId="77777777" w:rsidR="00501C2B" w:rsidRPr="005C71B6" w:rsidRDefault="00501C2B" w:rsidP="00501C2B">
      <w:pPr>
        <w:ind w:firstLine="708"/>
        <w:jc w:val="both"/>
        <w:rPr>
          <w:rFonts w:ascii="Abadi" w:hAnsi="Abadi" w:cs="Arial"/>
          <w:sz w:val="21"/>
          <w:szCs w:val="21"/>
        </w:rPr>
      </w:pPr>
    </w:p>
    <w:p w14:paraId="11E586B7" w14:textId="77777777" w:rsidR="00501C2B" w:rsidRPr="005C71B6" w:rsidRDefault="00501C2B" w:rsidP="00501C2B">
      <w:pPr>
        <w:pStyle w:val="Sangra3detindependiente"/>
        <w:spacing w:line="240" w:lineRule="auto"/>
        <w:rPr>
          <w:rFonts w:ascii="Abadi" w:hAnsi="Abadi"/>
          <w:sz w:val="21"/>
          <w:szCs w:val="21"/>
          <w:lang w:val="es-MX"/>
        </w:rPr>
      </w:pPr>
      <w:r w:rsidRPr="005C71B6">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5C71B6">
        <w:rPr>
          <w:rFonts w:ascii="Abadi" w:hAnsi="Abadi"/>
          <w:sz w:val="21"/>
          <w:szCs w:val="21"/>
          <w:lang w:val="es-MX"/>
        </w:rPr>
        <w:t>.</w:t>
      </w:r>
      <w:r w:rsidRPr="005C71B6">
        <w:rPr>
          <w:rFonts w:ascii="Abadi" w:hAnsi="Abadi"/>
          <w:sz w:val="21"/>
          <w:szCs w:val="21"/>
        </w:rPr>
        <w:t xml:space="preserve"> </w:t>
      </w:r>
      <w:r w:rsidRPr="005C71B6">
        <w:rPr>
          <w:rFonts w:ascii="Abadi" w:hAnsi="Abadi"/>
          <w:sz w:val="21"/>
          <w:szCs w:val="21"/>
          <w:lang w:val="es-MX"/>
        </w:rPr>
        <w:t>Asimismo, dará</w:t>
      </w:r>
      <w:r w:rsidRPr="005C71B6">
        <w:rPr>
          <w:rFonts w:ascii="Abadi" w:hAnsi="Abadi"/>
          <w:sz w:val="21"/>
          <w:szCs w:val="21"/>
        </w:rPr>
        <w:t xml:space="preserve"> seguimiento a la</w:t>
      </w:r>
      <w:r w:rsidRPr="005C71B6">
        <w:rPr>
          <w:rFonts w:ascii="Abadi" w:hAnsi="Abadi"/>
          <w:sz w:val="21"/>
          <w:szCs w:val="21"/>
          <w:lang w:val="es-MX"/>
        </w:rPr>
        <w:t>s</w:t>
      </w:r>
      <w:r w:rsidRPr="005C71B6">
        <w:rPr>
          <w:rFonts w:ascii="Abadi" w:hAnsi="Abadi"/>
          <w:sz w:val="21"/>
          <w:szCs w:val="21"/>
        </w:rPr>
        <w:t xml:space="preserve"> </w:t>
      </w:r>
      <w:proofErr w:type="spellStart"/>
      <w:r w:rsidRPr="005C71B6">
        <w:rPr>
          <w:rFonts w:ascii="Abadi" w:hAnsi="Abadi"/>
          <w:sz w:val="21"/>
          <w:szCs w:val="21"/>
        </w:rPr>
        <w:t>observaci</w:t>
      </w:r>
      <w:r w:rsidRPr="005C71B6">
        <w:rPr>
          <w:rFonts w:ascii="Abadi" w:hAnsi="Abadi"/>
          <w:sz w:val="21"/>
          <w:szCs w:val="21"/>
          <w:lang w:val="es-MX"/>
        </w:rPr>
        <w:t>ones</w:t>
      </w:r>
      <w:proofErr w:type="spellEnd"/>
      <w:r w:rsidRPr="005C71B6">
        <w:rPr>
          <w:rFonts w:ascii="Abadi" w:hAnsi="Abadi"/>
          <w:sz w:val="21"/>
          <w:szCs w:val="21"/>
        </w:rPr>
        <w:t xml:space="preserve"> no solventada</w:t>
      </w:r>
      <w:r w:rsidRPr="005C71B6">
        <w:rPr>
          <w:rFonts w:ascii="Abadi" w:hAnsi="Abadi"/>
          <w:sz w:val="21"/>
          <w:szCs w:val="21"/>
          <w:lang w:val="es-MX"/>
        </w:rPr>
        <w:t>s</w:t>
      </w:r>
      <w:r w:rsidRPr="005C71B6">
        <w:rPr>
          <w:rFonts w:ascii="Abadi" w:hAnsi="Abadi"/>
          <w:sz w:val="21"/>
          <w:szCs w:val="21"/>
        </w:rPr>
        <w:t xml:space="preserve"> </w:t>
      </w:r>
      <w:r w:rsidRPr="005C71B6">
        <w:rPr>
          <w:rFonts w:ascii="Abadi" w:hAnsi="Abadi"/>
          <w:sz w:val="21"/>
          <w:szCs w:val="21"/>
          <w:lang w:val="es-MX"/>
        </w:rPr>
        <w:t xml:space="preserve">y a las recomendaciones no atendidas </w:t>
      </w:r>
      <w:r w:rsidRPr="005C71B6">
        <w:rPr>
          <w:rFonts w:ascii="Abadi" w:hAnsi="Abadi"/>
          <w:sz w:val="21"/>
          <w:szCs w:val="21"/>
        </w:rPr>
        <w:t>contenidas en el informe de resultados</w:t>
      </w:r>
      <w:r w:rsidRPr="005C71B6">
        <w:rPr>
          <w:rFonts w:ascii="Abadi" w:hAnsi="Abadi"/>
          <w:sz w:val="21"/>
          <w:szCs w:val="21"/>
          <w:lang w:val="es-MX"/>
        </w:rPr>
        <w:t>.</w:t>
      </w:r>
    </w:p>
    <w:p w14:paraId="2D6DD1C8" w14:textId="77777777" w:rsidR="00501C2B" w:rsidRPr="005C71B6" w:rsidRDefault="00501C2B" w:rsidP="00501C2B">
      <w:pPr>
        <w:pStyle w:val="Sangra3detindependiente"/>
        <w:spacing w:line="240" w:lineRule="auto"/>
        <w:rPr>
          <w:rFonts w:ascii="Abadi" w:hAnsi="Abadi"/>
          <w:sz w:val="21"/>
          <w:szCs w:val="21"/>
          <w:lang w:val="es-MX"/>
        </w:rPr>
      </w:pPr>
    </w:p>
    <w:p w14:paraId="6915B215"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Se ordena dar vista del informe de resultados al ayuntamiento del municipio de </w:t>
      </w:r>
      <w:r w:rsidRPr="005C71B6">
        <w:rPr>
          <w:rFonts w:ascii="Abadi" w:hAnsi="Abadi" w:cs="Arial"/>
          <w:sz w:val="21"/>
          <w:szCs w:val="21"/>
          <w:lang w:val="es-MX"/>
        </w:rPr>
        <w:t>San Miguel de Allende,</w:t>
      </w:r>
      <w:r w:rsidRPr="005C71B6">
        <w:rPr>
          <w:rFonts w:ascii="Abadi" w:hAnsi="Abadi" w:cs="Arial"/>
          <w:sz w:val="21"/>
          <w:szCs w:val="21"/>
        </w:rPr>
        <w:t xml:space="preserve"> </w:t>
      </w:r>
      <w:proofErr w:type="spellStart"/>
      <w:r w:rsidRPr="005C71B6">
        <w:rPr>
          <w:rFonts w:ascii="Abadi" w:hAnsi="Abadi" w:cs="Arial"/>
          <w:sz w:val="21"/>
          <w:szCs w:val="21"/>
        </w:rPr>
        <w:t>Gto</w:t>
      </w:r>
      <w:proofErr w:type="spellEnd"/>
      <w:r w:rsidRPr="005C71B6">
        <w:rPr>
          <w:rFonts w:ascii="Abadi" w:hAnsi="Abadi" w:cs="Arial"/>
          <w:sz w:val="21"/>
          <w:szCs w:val="21"/>
        </w:rPr>
        <w:t xml:space="preserve">., a efecto de que se atiendan las recomendaciones contenidas en dicho informe, en el plazo que establece el artículo 66 de </w:t>
      </w:r>
      <w:smartTag w:uri="urn:schemas-microsoft-com:office:smarttags" w:element="PersonName">
        <w:smartTagPr>
          <w:attr w:name="ProductID" w:val="la Ley"/>
        </w:smartTagPr>
        <w:r w:rsidRPr="005C71B6">
          <w:rPr>
            <w:rFonts w:ascii="Abadi" w:hAnsi="Abadi" w:cs="Arial"/>
            <w:sz w:val="21"/>
            <w:szCs w:val="21"/>
          </w:rPr>
          <w:t>la Ley</w:t>
        </w:r>
      </w:smartTag>
      <w:r w:rsidRPr="005C71B6">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005DB3F6" w14:textId="77777777" w:rsidR="00501C2B" w:rsidRPr="005C71B6" w:rsidRDefault="00501C2B" w:rsidP="00501C2B">
      <w:pPr>
        <w:ind w:firstLine="708"/>
        <w:jc w:val="both"/>
        <w:rPr>
          <w:rFonts w:ascii="Abadi" w:hAnsi="Abadi" w:cs="Arial"/>
          <w:sz w:val="21"/>
          <w:szCs w:val="21"/>
        </w:rPr>
      </w:pPr>
    </w:p>
    <w:p w14:paraId="25CDA029" w14:textId="77777777" w:rsidR="00501C2B" w:rsidRPr="005C71B6" w:rsidRDefault="00501C2B" w:rsidP="00501C2B">
      <w:pPr>
        <w:ind w:firstLine="708"/>
        <w:jc w:val="both"/>
        <w:rPr>
          <w:rFonts w:ascii="Abadi" w:hAnsi="Abadi" w:cs="Arial"/>
          <w:sz w:val="21"/>
          <w:szCs w:val="21"/>
        </w:rPr>
      </w:pPr>
      <w:r w:rsidRPr="005C71B6">
        <w:rPr>
          <w:rFonts w:ascii="Abadi" w:hAnsi="Abadi" w:cs="Arial"/>
          <w:sz w:val="21"/>
          <w:szCs w:val="21"/>
        </w:rPr>
        <w:t xml:space="preserve">Remítase el presente acuerdo al titular del Poder Ejecutivo del Estado para su </w:t>
      </w:r>
      <w:r w:rsidRPr="005C71B6">
        <w:rPr>
          <w:rFonts w:ascii="Abadi" w:hAnsi="Abadi" w:cs="Arial"/>
          <w:sz w:val="21"/>
          <w:szCs w:val="21"/>
        </w:rPr>
        <w:lastRenderedPageBreak/>
        <w:t>publicación en el Periódico Oficial del Gobierno del Estado.</w:t>
      </w:r>
    </w:p>
    <w:p w14:paraId="5C861CC9" w14:textId="77777777" w:rsidR="00501C2B" w:rsidRPr="005C71B6" w:rsidRDefault="00501C2B" w:rsidP="00501C2B">
      <w:pPr>
        <w:pStyle w:val="Sangra3detindependiente"/>
        <w:spacing w:line="240" w:lineRule="auto"/>
        <w:rPr>
          <w:rFonts w:ascii="Abadi" w:hAnsi="Abadi"/>
          <w:sz w:val="21"/>
          <w:szCs w:val="21"/>
        </w:rPr>
      </w:pPr>
      <w:r w:rsidRPr="005C71B6">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00B35B8" w14:textId="7B0B4F3B" w:rsidR="00501C2B" w:rsidRPr="005C71B6" w:rsidRDefault="00501C2B" w:rsidP="00501C2B">
      <w:pPr>
        <w:jc w:val="center"/>
        <w:rPr>
          <w:rFonts w:ascii="Abadi" w:hAnsi="Abadi" w:cs="Arial"/>
          <w:b/>
          <w:bCs/>
          <w:sz w:val="21"/>
          <w:szCs w:val="21"/>
          <w:lang w:eastAsia="x-none"/>
        </w:rPr>
      </w:pPr>
    </w:p>
    <w:p w14:paraId="6918A07E" w14:textId="77777777" w:rsidR="00501C2B" w:rsidRPr="005C71B6" w:rsidRDefault="00501C2B" w:rsidP="00501C2B">
      <w:pPr>
        <w:jc w:val="center"/>
        <w:rPr>
          <w:rFonts w:ascii="Abadi" w:hAnsi="Abadi" w:cs="Arial"/>
          <w:b/>
          <w:bCs/>
          <w:sz w:val="21"/>
          <w:szCs w:val="21"/>
          <w:lang w:eastAsia="x-none"/>
        </w:rPr>
      </w:pPr>
      <w:r w:rsidRPr="005C71B6">
        <w:rPr>
          <w:rFonts w:ascii="Abadi" w:hAnsi="Abadi" w:cs="Arial"/>
          <w:b/>
          <w:bCs/>
          <w:sz w:val="21"/>
          <w:szCs w:val="21"/>
          <w:lang w:eastAsia="x-none"/>
        </w:rPr>
        <w:t xml:space="preserve">Guanajuato, </w:t>
      </w:r>
      <w:proofErr w:type="spellStart"/>
      <w:r w:rsidRPr="005C71B6">
        <w:rPr>
          <w:rFonts w:ascii="Abadi" w:hAnsi="Abadi" w:cs="Arial"/>
          <w:b/>
          <w:bCs/>
          <w:sz w:val="21"/>
          <w:szCs w:val="21"/>
          <w:lang w:eastAsia="x-none"/>
        </w:rPr>
        <w:t>Gto</w:t>
      </w:r>
      <w:proofErr w:type="spellEnd"/>
      <w:r w:rsidRPr="005C71B6">
        <w:rPr>
          <w:rFonts w:ascii="Abadi" w:hAnsi="Abadi" w:cs="Arial"/>
          <w:b/>
          <w:bCs/>
          <w:sz w:val="21"/>
          <w:szCs w:val="21"/>
          <w:lang w:eastAsia="x-none"/>
        </w:rPr>
        <w:t>., 19 de junio de 2023</w:t>
      </w:r>
    </w:p>
    <w:p w14:paraId="70D1FB01" w14:textId="77777777" w:rsidR="00501C2B" w:rsidRPr="005C71B6" w:rsidRDefault="00501C2B" w:rsidP="00501C2B">
      <w:pPr>
        <w:jc w:val="center"/>
        <w:rPr>
          <w:rFonts w:ascii="Abadi" w:hAnsi="Abadi" w:cs="Arial"/>
          <w:b/>
          <w:bCs/>
          <w:sz w:val="21"/>
          <w:szCs w:val="21"/>
          <w:lang w:eastAsia="x-none"/>
        </w:rPr>
      </w:pPr>
      <w:smartTag w:uri="urn:schemas-microsoft-com:office:smarttags" w:element="PersonName">
        <w:smartTagPr>
          <w:attr w:name="ProductID" w:val="La Comisi￳n"/>
        </w:smartTagPr>
        <w:r w:rsidRPr="005C71B6">
          <w:rPr>
            <w:rFonts w:ascii="Abadi" w:hAnsi="Abadi" w:cs="Arial"/>
            <w:b/>
            <w:bCs/>
            <w:sz w:val="21"/>
            <w:szCs w:val="21"/>
            <w:lang w:eastAsia="x-none"/>
          </w:rPr>
          <w:t>La Comisión</w:t>
        </w:r>
      </w:smartTag>
      <w:r w:rsidRPr="005C71B6">
        <w:rPr>
          <w:rFonts w:ascii="Abadi" w:hAnsi="Abadi" w:cs="Arial"/>
          <w:b/>
          <w:bCs/>
          <w:sz w:val="21"/>
          <w:szCs w:val="21"/>
          <w:lang w:eastAsia="x-none"/>
        </w:rPr>
        <w:t xml:space="preserve"> de Hacienda y Fiscalización</w:t>
      </w:r>
    </w:p>
    <w:p w14:paraId="42975185" w14:textId="77777777" w:rsidR="00501C2B" w:rsidRPr="005C71B6" w:rsidRDefault="00501C2B" w:rsidP="00501C2B">
      <w:pPr>
        <w:jc w:val="center"/>
        <w:rPr>
          <w:rFonts w:ascii="Abadi" w:hAnsi="Abadi" w:cs="Arial"/>
          <w:sz w:val="21"/>
          <w:szCs w:val="21"/>
        </w:rPr>
      </w:pPr>
    </w:p>
    <w:p w14:paraId="422A527F" w14:textId="77777777" w:rsidR="00501C2B" w:rsidRPr="005C71B6" w:rsidRDefault="00501C2B" w:rsidP="00531FCA">
      <w:pPr>
        <w:rPr>
          <w:rFonts w:ascii="Abadi" w:hAnsi="Abadi" w:cs="Arial"/>
          <w:sz w:val="21"/>
          <w:szCs w:val="21"/>
        </w:rPr>
      </w:pPr>
      <w:r w:rsidRPr="005C71B6">
        <w:rPr>
          <w:rFonts w:ascii="Abadi" w:hAnsi="Abadi" w:cs="Arial"/>
          <w:b/>
          <w:sz w:val="21"/>
          <w:szCs w:val="21"/>
          <w:lang w:eastAsia="x-none"/>
        </w:rPr>
        <w:t>Diputado Víctor Manuel Zanella Huerta</w:t>
      </w:r>
    </w:p>
    <w:p w14:paraId="7480ADB6" w14:textId="77777777" w:rsidR="00501C2B" w:rsidRPr="005C71B6" w:rsidRDefault="00501C2B" w:rsidP="00501C2B">
      <w:pPr>
        <w:rPr>
          <w:rFonts w:ascii="Abadi" w:hAnsi="Abadi" w:cs="Arial"/>
          <w:b/>
          <w:sz w:val="21"/>
          <w:szCs w:val="21"/>
          <w:lang w:eastAsia="x-none"/>
        </w:rPr>
      </w:pPr>
      <w:r w:rsidRPr="005C71B6">
        <w:rPr>
          <w:rFonts w:ascii="Abadi" w:hAnsi="Abadi" w:cs="Arial"/>
          <w:b/>
          <w:sz w:val="21"/>
          <w:szCs w:val="21"/>
          <w:lang w:eastAsia="x-none"/>
        </w:rPr>
        <w:t xml:space="preserve">Diputada Ruth Noemí Tiscareño Agoitia      </w:t>
      </w:r>
    </w:p>
    <w:p w14:paraId="7BE2C0EF" w14:textId="2B79D6B7" w:rsidR="00501C2B" w:rsidRPr="005C71B6" w:rsidRDefault="00501C2B" w:rsidP="00531FCA">
      <w:pPr>
        <w:rPr>
          <w:rFonts w:ascii="Abadi" w:hAnsi="Abadi" w:cs="Arial"/>
          <w:b/>
          <w:sz w:val="21"/>
          <w:szCs w:val="21"/>
          <w:lang w:eastAsia="x-none"/>
        </w:rPr>
      </w:pPr>
      <w:r w:rsidRPr="005C71B6">
        <w:rPr>
          <w:rFonts w:ascii="Abadi" w:hAnsi="Abadi" w:cs="Arial"/>
          <w:b/>
          <w:sz w:val="21"/>
          <w:szCs w:val="21"/>
          <w:lang w:eastAsia="x-none"/>
        </w:rPr>
        <w:t xml:space="preserve">Diputado Miguel Ángel Salim </w:t>
      </w:r>
      <w:proofErr w:type="spellStart"/>
      <w:r w:rsidRPr="005C71B6">
        <w:rPr>
          <w:rFonts w:ascii="Abadi" w:hAnsi="Abadi" w:cs="Arial"/>
          <w:b/>
          <w:sz w:val="21"/>
          <w:szCs w:val="21"/>
          <w:lang w:eastAsia="x-none"/>
        </w:rPr>
        <w:t>Alle</w:t>
      </w:r>
      <w:proofErr w:type="spellEnd"/>
    </w:p>
    <w:p w14:paraId="341966B2" w14:textId="77777777" w:rsidR="00501C2B" w:rsidRPr="005C71B6" w:rsidRDefault="00501C2B" w:rsidP="00501C2B">
      <w:pPr>
        <w:rPr>
          <w:rFonts w:ascii="Abadi" w:hAnsi="Abadi" w:cs="Arial"/>
          <w:b/>
          <w:sz w:val="21"/>
          <w:szCs w:val="21"/>
          <w:lang w:eastAsia="x-none"/>
        </w:rPr>
      </w:pPr>
      <w:r w:rsidRPr="005C71B6">
        <w:rPr>
          <w:rFonts w:ascii="Abadi" w:hAnsi="Abadi" w:cs="Arial"/>
          <w:b/>
          <w:sz w:val="21"/>
          <w:szCs w:val="21"/>
          <w:lang w:eastAsia="x-none"/>
        </w:rPr>
        <w:t xml:space="preserve">Diputado José Alfonso Borja Pimentel    </w:t>
      </w:r>
    </w:p>
    <w:p w14:paraId="45A11FBE" w14:textId="77777777" w:rsidR="00501C2B" w:rsidRPr="005C71B6" w:rsidRDefault="00501C2B" w:rsidP="00531FCA">
      <w:pPr>
        <w:rPr>
          <w:rFonts w:ascii="Abadi" w:hAnsi="Abadi" w:cs="Arial"/>
          <w:b/>
          <w:sz w:val="21"/>
          <w:szCs w:val="21"/>
          <w:lang w:eastAsia="x-none"/>
        </w:rPr>
      </w:pPr>
      <w:r w:rsidRPr="005C71B6">
        <w:rPr>
          <w:rFonts w:ascii="Abadi" w:hAnsi="Abadi" w:cs="Arial"/>
          <w:b/>
          <w:sz w:val="21"/>
          <w:szCs w:val="21"/>
          <w:lang w:eastAsia="x-none"/>
        </w:rPr>
        <w:t>Diputada Alma Edwviges Alcaraz Hernández</w:t>
      </w:r>
    </w:p>
    <w:p w14:paraId="514B8DB2" w14:textId="77777777" w:rsidR="00501C2B" w:rsidRPr="005C71B6" w:rsidRDefault="00501C2B" w:rsidP="00501C2B">
      <w:pPr>
        <w:pStyle w:val="Textoindependiente2"/>
        <w:rPr>
          <w:rFonts w:ascii="Abadi" w:hAnsi="Abadi"/>
          <w:sz w:val="21"/>
          <w:szCs w:val="21"/>
        </w:rPr>
      </w:pPr>
    </w:p>
    <w:p w14:paraId="55077A45" w14:textId="77777777" w:rsidR="00374533" w:rsidRDefault="00374533" w:rsidP="00427BD6">
      <w:pPr>
        <w:pStyle w:val="Prrafodelista"/>
        <w:numPr>
          <w:ilvl w:val="0"/>
          <w:numId w:val="8"/>
        </w:numPr>
        <w:spacing w:after="160" w:line="259" w:lineRule="auto"/>
        <w:contextualSpacing/>
        <w:jc w:val="both"/>
        <w:rPr>
          <w:rFonts w:ascii="Abadi" w:hAnsi="Abadi" w:cs="ArialMT"/>
          <w:b/>
          <w:bCs/>
          <w:sz w:val="21"/>
          <w:szCs w:val="21"/>
        </w:rPr>
      </w:pPr>
      <w:r w:rsidRPr="00006796">
        <w:rPr>
          <w:rFonts w:ascii="Abadi" w:hAnsi="Abadi" w:cs="ArialMT"/>
          <w:b/>
          <w:bCs/>
          <w:sz w:val="21"/>
          <w:szCs w:val="21"/>
        </w:rPr>
        <w:t>ASUNTOS GENERALES.</w:t>
      </w:r>
    </w:p>
    <w:p w14:paraId="7FD9E1FA" w14:textId="77777777" w:rsidR="00751E3D" w:rsidRDefault="00751E3D" w:rsidP="00751E3D">
      <w:pPr>
        <w:spacing w:after="160" w:line="259" w:lineRule="auto"/>
        <w:contextualSpacing/>
        <w:jc w:val="both"/>
        <w:rPr>
          <w:rFonts w:ascii="Abadi" w:hAnsi="Abadi" w:cs="ArialMT"/>
          <w:b/>
          <w:bCs/>
          <w:sz w:val="21"/>
          <w:szCs w:val="21"/>
        </w:rPr>
      </w:pPr>
    </w:p>
    <w:p w14:paraId="21226A8F" w14:textId="544808FB" w:rsidR="00751E3D" w:rsidRDefault="00751E3D" w:rsidP="00751E3D">
      <w:pPr>
        <w:jc w:val="both"/>
        <w:rPr>
          <w:rFonts w:ascii="Abadi" w:hAnsi="Abadi"/>
          <w:sz w:val="21"/>
          <w:szCs w:val="21"/>
        </w:rPr>
      </w:pPr>
      <w:r>
        <w:rPr>
          <w:rFonts w:ascii="Abadi" w:hAnsi="Abadi"/>
          <w:b/>
          <w:bCs/>
          <w:sz w:val="21"/>
          <w:szCs w:val="21"/>
        </w:rPr>
        <w:tab/>
      </w:r>
      <w:r w:rsidRPr="00EC7416">
        <w:rPr>
          <w:rFonts w:ascii="Abadi" w:hAnsi="Abadi"/>
          <w:b/>
          <w:bCs/>
          <w:sz w:val="21"/>
          <w:szCs w:val="21"/>
        </w:rPr>
        <w:t xml:space="preserve">- La </w:t>
      </w:r>
      <w:proofErr w:type="gramStart"/>
      <w:r w:rsidRPr="00EC7416">
        <w:rPr>
          <w:rFonts w:ascii="Abadi" w:hAnsi="Abadi"/>
          <w:b/>
          <w:bCs/>
          <w:sz w:val="21"/>
          <w:szCs w:val="21"/>
        </w:rPr>
        <w:t>Presidencia.-</w:t>
      </w:r>
      <w:proofErr w:type="gramEnd"/>
      <w:r>
        <w:rPr>
          <w:rFonts w:ascii="Abadi" w:hAnsi="Abadi"/>
          <w:sz w:val="21"/>
          <w:szCs w:val="21"/>
        </w:rPr>
        <w:t xml:space="preserve"> C</w:t>
      </w:r>
      <w:r w:rsidRPr="0030088F">
        <w:rPr>
          <w:rFonts w:ascii="Abadi" w:hAnsi="Abadi"/>
          <w:sz w:val="21"/>
          <w:szCs w:val="21"/>
        </w:rPr>
        <w:t>orresponde abrir el registro para tratar asuntos de interés general</w:t>
      </w:r>
      <w:r>
        <w:rPr>
          <w:rFonts w:ascii="Abadi" w:hAnsi="Abadi"/>
          <w:sz w:val="21"/>
          <w:szCs w:val="21"/>
        </w:rPr>
        <w:t>.</w:t>
      </w:r>
      <w:r w:rsidRPr="0030088F">
        <w:rPr>
          <w:rFonts w:ascii="Abadi" w:hAnsi="Abadi"/>
          <w:sz w:val="21"/>
          <w:szCs w:val="21"/>
        </w:rPr>
        <w:t xml:space="preserve"> me permito informar que previamente se han inscrito la diputada Lilia </w:t>
      </w:r>
      <w:r>
        <w:rPr>
          <w:rFonts w:ascii="Abadi" w:hAnsi="Abadi"/>
          <w:sz w:val="21"/>
          <w:szCs w:val="21"/>
        </w:rPr>
        <w:t>M</w:t>
      </w:r>
      <w:r w:rsidRPr="0030088F">
        <w:rPr>
          <w:rFonts w:ascii="Abadi" w:hAnsi="Abadi"/>
          <w:sz w:val="21"/>
          <w:szCs w:val="21"/>
        </w:rPr>
        <w:t xml:space="preserve">argarita </w:t>
      </w:r>
      <w:r>
        <w:rPr>
          <w:rFonts w:ascii="Abadi" w:hAnsi="Abadi"/>
          <w:sz w:val="21"/>
          <w:szCs w:val="21"/>
        </w:rPr>
        <w:t>Rionda</w:t>
      </w:r>
      <w:r w:rsidRPr="0030088F">
        <w:rPr>
          <w:rFonts w:ascii="Abadi" w:hAnsi="Abadi"/>
          <w:sz w:val="21"/>
          <w:szCs w:val="21"/>
        </w:rPr>
        <w:t xml:space="preserve"> salas con el tema </w:t>
      </w:r>
      <w:r>
        <w:rPr>
          <w:rFonts w:ascii="Abadi" w:hAnsi="Abadi"/>
          <w:sz w:val="21"/>
          <w:szCs w:val="21"/>
        </w:rPr>
        <w:t>“</w:t>
      </w:r>
      <w:r w:rsidRPr="0030088F">
        <w:rPr>
          <w:rFonts w:ascii="Abadi" w:hAnsi="Abadi"/>
          <w:sz w:val="21"/>
          <w:szCs w:val="21"/>
        </w:rPr>
        <w:t>cronistas</w:t>
      </w:r>
      <w:r>
        <w:rPr>
          <w:rFonts w:ascii="Abadi" w:hAnsi="Abadi"/>
          <w:sz w:val="21"/>
          <w:szCs w:val="21"/>
        </w:rPr>
        <w:t>”</w:t>
      </w:r>
      <w:r w:rsidRPr="0030088F">
        <w:rPr>
          <w:rFonts w:ascii="Abadi" w:hAnsi="Abadi"/>
          <w:sz w:val="21"/>
          <w:szCs w:val="21"/>
        </w:rPr>
        <w:t xml:space="preserve"> el diputado Gerardo Fernández González</w:t>
      </w:r>
      <w:r>
        <w:rPr>
          <w:rFonts w:ascii="Abadi" w:hAnsi="Abadi"/>
          <w:sz w:val="21"/>
          <w:szCs w:val="21"/>
        </w:rPr>
        <w:t>,</w:t>
      </w:r>
      <w:r w:rsidRPr="0030088F">
        <w:rPr>
          <w:rFonts w:ascii="Abadi" w:hAnsi="Abadi"/>
          <w:sz w:val="21"/>
          <w:szCs w:val="21"/>
        </w:rPr>
        <w:t xml:space="preserve"> con el tema </w:t>
      </w:r>
      <w:r>
        <w:rPr>
          <w:rFonts w:ascii="Abadi" w:hAnsi="Abadi"/>
          <w:sz w:val="21"/>
          <w:szCs w:val="21"/>
        </w:rPr>
        <w:t>“</w:t>
      </w:r>
      <w:r w:rsidRPr="0030088F">
        <w:rPr>
          <w:rFonts w:ascii="Abadi" w:hAnsi="Abadi"/>
          <w:sz w:val="21"/>
          <w:szCs w:val="21"/>
        </w:rPr>
        <w:t>estas ruinas que ve</w:t>
      </w:r>
      <w:r>
        <w:rPr>
          <w:rFonts w:ascii="Abadi" w:hAnsi="Abadi"/>
          <w:sz w:val="21"/>
          <w:szCs w:val="21"/>
        </w:rPr>
        <w:t>z”</w:t>
      </w:r>
      <w:r w:rsidRPr="0030088F">
        <w:rPr>
          <w:rFonts w:ascii="Abadi" w:hAnsi="Abadi"/>
          <w:sz w:val="21"/>
          <w:szCs w:val="21"/>
        </w:rPr>
        <w:t xml:space="preserve"> la diputada Irma </w:t>
      </w:r>
      <w:r>
        <w:rPr>
          <w:rFonts w:ascii="Abadi" w:hAnsi="Abadi"/>
          <w:sz w:val="21"/>
          <w:szCs w:val="21"/>
        </w:rPr>
        <w:t>L</w:t>
      </w:r>
      <w:r w:rsidRPr="0030088F">
        <w:rPr>
          <w:rFonts w:ascii="Abadi" w:hAnsi="Abadi"/>
          <w:sz w:val="21"/>
          <w:szCs w:val="21"/>
        </w:rPr>
        <w:t xml:space="preserve">eticia González </w:t>
      </w:r>
      <w:r>
        <w:rPr>
          <w:rFonts w:ascii="Abadi" w:hAnsi="Abadi"/>
          <w:sz w:val="21"/>
          <w:szCs w:val="21"/>
        </w:rPr>
        <w:t>S</w:t>
      </w:r>
      <w:r w:rsidRPr="0030088F">
        <w:rPr>
          <w:rFonts w:ascii="Abadi" w:hAnsi="Abadi"/>
          <w:sz w:val="21"/>
          <w:szCs w:val="21"/>
        </w:rPr>
        <w:t xml:space="preserve">ánchez con el tema de </w:t>
      </w:r>
      <w:r>
        <w:rPr>
          <w:rFonts w:ascii="Abadi" w:hAnsi="Abadi"/>
          <w:sz w:val="21"/>
          <w:szCs w:val="21"/>
        </w:rPr>
        <w:t>“</w:t>
      </w:r>
      <w:r w:rsidRPr="0030088F">
        <w:rPr>
          <w:rFonts w:ascii="Abadi" w:hAnsi="Abadi"/>
          <w:sz w:val="21"/>
          <w:szCs w:val="21"/>
        </w:rPr>
        <w:t>derechos</w:t>
      </w:r>
      <w:r>
        <w:rPr>
          <w:rFonts w:ascii="Abadi" w:hAnsi="Abadi"/>
          <w:sz w:val="21"/>
          <w:szCs w:val="21"/>
        </w:rPr>
        <w:t>”</w:t>
      </w:r>
      <w:r w:rsidRPr="0030088F">
        <w:rPr>
          <w:rFonts w:ascii="Abadi" w:hAnsi="Abadi"/>
          <w:sz w:val="21"/>
          <w:szCs w:val="21"/>
        </w:rPr>
        <w:t xml:space="preserve"> la diputada </w:t>
      </w:r>
      <w:r>
        <w:rPr>
          <w:rFonts w:ascii="Abadi" w:hAnsi="Abadi"/>
          <w:sz w:val="21"/>
          <w:szCs w:val="21"/>
        </w:rPr>
        <w:t>A</w:t>
      </w:r>
      <w:r w:rsidRPr="0030088F">
        <w:rPr>
          <w:rFonts w:ascii="Abadi" w:hAnsi="Abadi"/>
          <w:sz w:val="21"/>
          <w:szCs w:val="21"/>
        </w:rPr>
        <w:t xml:space="preserve">lma </w:t>
      </w:r>
      <w:r>
        <w:rPr>
          <w:rFonts w:ascii="Abadi" w:hAnsi="Abadi"/>
          <w:sz w:val="21"/>
          <w:szCs w:val="21"/>
        </w:rPr>
        <w:t>E</w:t>
      </w:r>
      <w:r w:rsidRPr="0030088F">
        <w:rPr>
          <w:rFonts w:ascii="Abadi" w:hAnsi="Abadi"/>
          <w:sz w:val="21"/>
          <w:szCs w:val="21"/>
        </w:rPr>
        <w:t>d</w:t>
      </w:r>
      <w:r>
        <w:rPr>
          <w:rFonts w:ascii="Abadi" w:hAnsi="Abadi"/>
          <w:sz w:val="21"/>
          <w:szCs w:val="21"/>
        </w:rPr>
        <w:t>wv</w:t>
      </w:r>
      <w:r w:rsidRPr="0030088F">
        <w:rPr>
          <w:rFonts w:ascii="Abadi" w:hAnsi="Abadi"/>
          <w:sz w:val="21"/>
          <w:szCs w:val="21"/>
        </w:rPr>
        <w:t xml:space="preserve">iges Alcaraz Hernández con el tema </w:t>
      </w:r>
      <w:r>
        <w:rPr>
          <w:rFonts w:ascii="Abadi" w:hAnsi="Abadi"/>
          <w:sz w:val="21"/>
          <w:szCs w:val="21"/>
        </w:rPr>
        <w:t>“</w:t>
      </w:r>
      <w:r w:rsidRPr="0030088F">
        <w:rPr>
          <w:rFonts w:ascii="Abadi" w:hAnsi="Abadi"/>
          <w:sz w:val="21"/>
          <w:szCs w:val="21"/>
        </w:rPr>
        <w:t>tolerancia</w:t>
      </w:r>
      <w:r>
        <w:rPr>
          <w:rFonts w:ascii="Abadi" w:hAnsi="Abadi"/>
          <w:sz w:val="21"/>
          <w:szCs w:val="21"/>
        </w:rPr>
        <w:t>”</w:t>
      </w:r>
      <w:r w:rsidRPr="0030088F">
        <w:rPr>
          <w:rFonts w:ascii="Abadi" w:hAnsi="Abadi"/>
          <w:sz w:val="21"/>
          <w:szCs w:val="21"/>
        </w:rPr>
        <w:t xml:space="preserve"> y el diputado Alejandro </w:t>
      </w:r>
      <w:r>
        <w:rPr>
          <w:rFonts w:ascii="Abadi" w:hAnsi="Abadi"/>
          <w:sz w:val="21"/>
          <w:szCs w:val="21"/>
        </w:rPr>
        <w:t>A</w:t>
      </w:r>
      <w:r w:rsidRPr="0030088F">
        <w:rPr>
          <w:rFonts w:ascii="Abadi" w:hAnsi="Abadi"/>
          <w:sz w:val="21"/>
          <w:szCs w:val="21"/>
        </w:rPr>
        <w:t xml:space="preserve">rias </w:t>
      </w:r>
      <w:r>
        <w:rPr>
          <w:rFonts w:ascii="Abadi" w:hAnsi="Abadi"/>
          <w:sz w:val="21"/>
          <w:szCs w:val="21"/>
        </w:rPr>
        <w:t>Á</w:t>
      </w:r>
      <w:r w:rsidRPr="0030088F">
        <w:rPr>
          <w:rFonts w:ascii="Abadi" w:hAnsi="Abadi"/>
          <w:sz w:val="21"/>
          <w:szCs w:val="21"/>
        </w:rPr>
        <w:t>vila</w:t>
      </w:r>
      <w:r>
        <w:rPr>
          <w:rFonts w:ascii="Abadi" w:hAnsi="Abadi"/>
          <w:sz w:val="21"/>
          <w:szCs w:val="21"/>
        </w:rPr>
        <w:t>,</w:t>
      </w:r>
      <w:r w:rsidRPr="0030088F">
        <w:rPr>
          <w:rFonts w:ascii="Abadi" w:hAnsi="Abadi"/>
          <w:sz w:val="21"/>
          <w:szCs w:val="21"/>
        </w:rPr>
        <w:t xml:space="preserve"> con el tema </w:t>
      </w:r>
      <w:r>
        <w:rPr>
          <w:rFonts w:ascii="Abadi" w:hAnsi="Abadi"/>
          <w:sz w:val="21"/>
          <w:szCs w:val="21"/>
        </w:rPr>
        <w:t>“</w:t>
      </w:r>
      <w:r w:rsidRPr="0030088F">
        <w:rPr>
          <w:rFonts w:ascii="Abadi" w:hAnsi="Abadi"/>
          <w:sz w:val="21"/>
          <w:szCs w:val="21"/>
        </w:rPr>
        <w:t>soberanía y constitucionalismo</w:t>
      </w:r>
      <w:r>
        <w:rPr>
          <w:rFonts w:ascii="Abadi" w:hAnsi="Abadi"/>
          <w:sz w:val="21"/>
          <w:szCs w:val="21"/>
        </w:rPr>
        <w:t>”</w:t>
      </w:r>
    </w:p>
    <w:p w14:paraId="4CB138C8" w14:textId="77777777" w:rsidR="00751E3D" w:rsidRDefault="00751E3D" w:rsidP="00751E3D">
      <w:pPr>
        <w:jc w:val="both"/>
        <w:rPr>
          <w:rFonts w:ascii="Abadi" w:hAnsi="Abadi"/>
          <w:sz w:val="21"/>
          <w:szCs w:val="21"/>
        </w:rPr>
      </w:pPr>
    </w:p>
    <w:p w14:paraId="405EA4B3" w14:textId="77777777" w:rsidR="00751E3D" w:rsidRDefault="00751E3D" w:rsidP="00751E3D">
      <w:pPr>
        <w:jc w:val="both"/>
        <w:rPr>
          <w:rFonts w:ascii="Abadi" w:hAnsi="Abadi"/>
          <w:sz w:val="21"/>
          <w:szCs w:val="21"/>
        </w:rPr>
      </w:pPr>
      <w:r>
        <w:rPr>
          <w:rFonts w:ascii="Abadi" w:hAnsi="Abadi"/>
          <w:sz w:val="21"/>
          <w:szCs w:val="21"/>
        </w:rPr>
        <w:tab/>
        <w:t>- S</w:t>
      </w:r>
      <w:r w:rsidRPr="0030088F">
        <w:rPr>
          <w:rFonts w:ascii="Abadi" w:hAnsi="Abadi"/>
          <w:sz w:val="21"/>
          <w:szCs w:val="21"/>
        </w:rPr>
        <w:t xml:space="preserve">i algún otro integrante de la </w:t>
      </w:r>
      <w:r>
        <w:rPr>
          <w:rFonts w:ascii="Abadi" w:hAnsi="Abadi"/>
          <w:sz w:val="21"/>
          <w:szCs w:val="21"/>
        </w:rPr>
        <w:t>A</w:t>
      </w:r>
      <w:r w:rsidRPr="0030088F">
        <w:rPr>
          <w:rFonts w:ascii="Abadi" w:hAnsi="Abadi"/>
          <w:sz w:val="21"/>
          <w:szCs w:val="21"/>
        </w:rPr>
        <w:t xml:space="preserve">samblea </w:t>
      </w:r>
      <w:r>
        <w:rPr>
          <w:rFonts w:ascii="Abadi" w:hAnsi="Abadi"/>
          <w:sz w:val="21"/>
          <w:szCs w:val="21"/>
        </w:rPr>
        <w:t>desea inscri</w:t>
      </w:r>
      <w:r w:rsidRPr="0030088F">
        <w:rPr>
          <w:rFonts w:ascii="Abadi" w:hAnsi="Abadi"/>
          <w:sz w:val="21"/>
          <w:szCs w:val="21"/>
        </w:rPr>
        <w:t>birse manifiést</w:t>
      </w:r>
      <w:r>
        <w:rPr>
          <w:rFonts w:ascii="Abadi" w:hAnsi="Abadi"/>
          <w:sz w:val="21"/>
          <w:szCs w:val="21"/>
        </w:rPr>
        <w:t>enlo</w:t>
      </w:r>
      <w:r w:rsidRPr="0030088F">
        <w:rPr>
          <w:rFonts w:ascii="Abadi" w:hAnsi="Abadi"/>
          <w:sz w:val="21"/>
          <w:szCs w:val="21"/>
        </w:rPr>
        <w:t xml:space="preserve"> a esta presidencia indicando el tema de su participación </w:t>
      </w:r>
      <w:r>
        <w:rPr>
          <w:rFonts w:ascii="Abadi" w:hAnsi="Abadi"/>
          <w:sz w:val="21"/>
          <w:szCs w:val="21"/>
        </w:rPr>
        <w:t>¿</w:t>
      </w:r>
      <w:r w:rsidRPr="0030088F">
        <w:rPr>
          <w:rFonts w:ascii="Abadi" w:hAnsi="Abadi"/>
          <w:sz w:val="21"/>
          <w:szCs w:val="21"/>
        </w:rPr>
        <w:t xml:space="preserve">diputado Cuauhtémoc </w:t>
      </w:r>
      <w:r>
        <w:rPr>
          <w:rFonts w:ascii="Abadi" w:hAnsi="Abadi"/>
          <w:sz w:val="21"/>
          <w:szCs w:val="21"/>
        </w:rPr>
        <w:t>Becerra? ¿</w:t>
      </w:r>
      <w:r w:rsidRPr="0030088F">
        <w:rPr>
          <w:rFonts w:ascii="Abadi" w:hAnsi="Abadi"/>
          <w:sz w:val="21"/>
          <w:szCs w:val="21"/>
        </w:rPr>
        <w:t xml:space="preserve">para qué </w:t>
      </w:r>
      <w:r>
        <w:rPr>
          <w:rFonts w:ascii="Abadi" w:hAnsi="Abadi"/>
          <w:sz w:val="21"/>
          <w:szCs w:val="21"/>
        </w:rPr>
        <w:t xml:space="preserve">efecto? </w:t>
      </w:r>
      <w:r w:rsidRPr="004D6339">
        <w:rPr>
          <w:rFonts w:ascii="Abadi" w:hAnsi="Abadi"/>
          <w:b/>
          <w:bCs/>
          <w:sz w:val="21"/>
          <w:szCs w:val="21"/>
        </w:rPr>
        <w:t>(Voz) diputado Cuauhtémoc Becerra</w:t>
      </w:r>
      <w:r w:rsidRPr="0030088F">
        <w:rPr>
          <w:rFonts w:ascii="Abadi" w:hAnsi="Abadi"/>
          <w:sz w:val="21"/>
          <w:szCs w:val="21"/>
        </w:rPr>
        <w:t xml:space="preserve"> </w:t>
      </w:r>
      <w:r>
        <w:rPr>
          <w:rFonts w:ascii="Abadi" w:hAnsi="Abadi"/>
          <w:sz w:val="21"/>
          <w:szCs w:val="21"/>
        </w:rPr>
        <w:t>pues yo también me g</w:t>
      </w:r>
      <w:r w:rsidRPr="0030088F">
        <w:rPr>
          <w:rFonts w:ascii="Abadi" w:hAnsi="Abadi"/>
          <w:sz w:val="21"/>
          <w:szCs w:val="21"/>
        </w:rPr>
        <w:t>ustaría inscribirme president</w:t>
      </w:r>
      <w:r>
        <w:rPr>
          <w:rFonts w:ascii="Abadi" w:hAnsi="Abadi"/>
          <w:sz w:val="21"/>
          <w:szCs w:val="21"/>
        </w:rPr>
        <w:t>a,</w:t>
      </w:r>
      <w:r w:rsidRPr="0030088F">
        <w:rPr>
          <w:rFonts w:ascii="Abadi" w:hAnsi="Abadi"/>
          <w:sz w:val="21"/>
          <w:szCs w:val="21"/>
        </w:rPr>
        <w:t xml:space="preserve"> ya veo que la lista está muy grande</w:t>
      </w:r>
      <w:r>
        <w:rPr>
          <w:rFonts w:ascii="Abadi" w:hAnsi="Abadi"/>
          <w:sz w:val="21"/>
          <w:szCs w:val="21"/>
        </w:rPr>
        <w:t>,</w:t>
      </w:r>
      <w:r w:rsidRPr="0030088F">
        <w:rPr>
          <w:rFonts w:ascii="Abadi" w:hAnsi="Abadi"/>
          <w:sz w:val="21"/>
          <w:szCs w:val="21"/>
        </w:rPr>
        <w:t xml:space="preserve"> pensé que había pocos</w:t>
      </w:r>
      <w:r>
        <w:rPr>
          <w:rFonts w:ascii="Abadi" w:hAnsi="Abadi"/>
          <w:sz w:val="21"/>
          <w:szCs w:val="21"/>
        </w:rPr>
        <w:t xml:space="preserve">, pero podría ver si me inscribe por favor, </w:t>
      </w:r>
      <w:r w:rsidRPr="0064362F">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me indica nada más el tema</w:t>
      </w:r>
      <w:r>
        <w:rPr>
          <w:rFonts w:ascii="Abadi" w:hAnsi="Abadi"/>
          <w:sz w:val="21"/>
          <w:szCs w:val="21"/>
        </w:rPr>
        <w:t>,</w:t>
      </w:r>
      <w:r w:rsidRPr="0030088F">
        <w:rPr>
          <w:rFonts w:ascii="Abadi" w:hAnsi="Abadi"/>
          <w:sz w:val="21"/>
          <w:szCs w:val="21"/>
        </w:rPr>
        <w:t xml:space="preserve"> por favor</w:t>
      </w:r>
      <w:r>
        <w:rPr>
          <w:rFonts w:ascii="Abadi" w:hAnsi="Abadi"/>
          <w:sz w:val="21"/>
          <w:szCs w:val="21"/>
        </w:rPr>
        <w:t>,</w:t>
      </w:r>
      <w:r w:rsidRPr="0030088F">
        <w:rPr>
          <w:rFonts w:ascii="Abadi" w:hAnsi="Abadi"/>
          <w:sz w:val="21"/>
          <w:szCs w:val="21"/>
        </w:rPr>
        <w:t xml:space="preserve"> </w:t>
      </w:r>
      <w:r w:rsidRPr="00F053B1">
        <w:rPr>
          <w:rFonts w:ascii="Abadi" w:hAnsi="Abadi"/>
          <w:b/>
          <w:bCs/>
          <w:sz w:val="21"/>
          <w:szCs w:val="21"/>
        </w:rPr>
        <w:t>(Voz) diputado Cuauhtémoc Becerra,</w:t>
      </w:r>
      <w:r>
        <w:rPr>
          <w:rFonts w:ascii="Abadi" w:hAnsi="Abadi"/>
          <w:sz w:val="21"/>
          <w:szCs w:val="21"/>
        </w:rPr>
        <w:t xml:space="preserve"> con </w:t>
      </w:r>
      <w:r w:rsidRPr="0030088F">
        <w:rPr>
          <w:rFonts w:ascii="Abadi" w:hAnsi="Abadi"/>
          <w:sz w:val="21"/>
          <w:szCs w:val="21"/>
        </w:rPr>
        <w:t xml:space="preserve">gusto </w:t>
      </w:r>
      <w:r>
        <w:rPr>
          <w:rFonts w:ascii="Abadi" w:hAnsi="Abadi"/>
          <w:sz w:val="21"/>
          <w:szCs w:val="21"/>
        </w:rPr>
        <w:t>“</w:t>
      </w:r>
      <w:r w:rsidRPr="0030088F">
        <w:rPr>
          <w:rFonts w:ascii="Abadi" w:hAnsi="Abadi"/>
          <w:sz w:val="21"/>
          <w:szCs w:val="21"/>
        </w:rPr>
        <w:t>pensión universal</w:t>
      </w:r>
      <w:r>
        <w:rPr>
          <w:rFonts w:ascii="Abadi" w:hAnsi="Abadi"/>
          <w:sz w:val="21"/>
          <w:szCs w:val="21"/>
        </w:rPr>
        <w:t>”</w:t>
      </w:r>
      <w:r w:rsidRPr="0030088F">
        <w:rPr>
          <w:rFonts w:ascii="Abadi" w:hAnsi="Abadi"/>
          <w:sz w:val="21"/>
          <w:szCs w:val="21"/>
        </w:rPr>
        <w:t xml:space="preserve"> </w:t>
      </w:r>
      <w:r w:rsidRPr="009C7245">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muchas gracias diputado</w:t>
      </w:r>
      <w:r>
        <w:rPr>
          <w:rFonts w:ascii="Abadi" w:hAnsi="Abadi"/>
          <w:sz w:val="21"/>
          <w:szCs w:val="21"/>
        </w:rPr>
        <w:t>.</w:t>
      </w:r>
    </w:p>
    <w:p w14:paraId="2BE3C9F7" w14:textId="77777777" w:rsidR="00751E3D" w:rsidRDefault="00751E3D" w:rsidP="00751E3D">
      <w:pPr>
        <w:jc w:val="both"/>
        <w:rPr>
          <w:rFonts w:ascii="Abadi" w:hAnsi="Abadi"/>
          <w:sz w:val="21"/>
          <w:szCs w:val="21"/>
        </w:rPr>
      </w:pPr>
    </w:p>
    <w:p w14:paraId="09E13C13" w14:textId="77777777" w:rsidR="00751E3D" w:rsidRDefault="00751E3D" w:rsidP="00751E3D">
      <w:pPr>
        <w:jc w:val="both"/>
        <w:rPr>
          <w:rFonts w:ascii="Abadi" w:hAnsi="Abadi"/>
          <w:sz w:val="21"/>
          <w:szCs w:val="21"/>
        </w:rPr>
      </w:pPr>
      <w:r>
        <w:rPr>
          <w:rFonts w:ascii="Abadi" w:hAnsi="Abadi"/>
          <w:sz w:val="21"/>
          <w:szCs w:val="21"/>
        </w:rPr>
        <w:tab/>
        <w:t>- L</w:t>
      </w:r>
      <w:r w:rsidRPr="0030088F">
        <w:rPr>
          <w:rFonts w:ascii="Abadi" w:hAnsi="Abadi"/>
          <w:sz w:val="21"/>
          <w:szCs w:val="21"/>
        </w:rPr>
        <w:t>a lista de participantes ha quedado conformada la siguiente manera</w:t>
      </w:r>
      <w:r>
        <w:rPr>
          <w:rFonts w:ascii="Abadi" w:hAnsi="Abadi"/>
          <w:sz w:val="21"/>
          <w:szCs w:val="21"/>
        </w:rPr>
        <w:t>:</w:t>
      </w:r>
      <w:r w:rsidRPr="0030088F">
        <w:rPr>
          <w:rFonts w:ascii="Abadi" w:hAnsi="Abadi"/>
          <w:sz w:val="21"/>
          <w:szCs w:val="21"/>
        </w:rPr>
        <w:t xml:space="preserve"> diputada Lilia </w:t>
      </w:r>
      <w:r>
        <w:rPr>
          <w:rFonts w:ascii="Abadi" w:hAnsi="Abadi"/>
          <w:sz w:val="21"/>
          <w:szCs w:val="21"/>
        </w:rPr>
        <w:t>M</w:t>
      </w:r>
      <w:r w:rsidRPr="0030088F">
        <w:rPr>
          <w:rFonts w:ascii="Abadi" w:hAnsi="Abadi"/>
          <w:sz w:val="21"/>
          <w:szCs w:val="21"/>
        </w:rPr>
        <w:t xml:space="preserve">argarita </w:t>
      </w:r>
      <w:r>
        <w:rPr>
          <w:rFonts w:ascii="Abadi" w:hAnsi="Abadi"/>
          <w:sz w:val="21"/>
          <w:szCs w:val="21"/>
        </w:rPr>
        <w:t>Rio</w:t>
      </w:r>
      <w:r w:rsidRPr="0030088F">
        <w:rPr>
          <w:rFonts w:ascii="Abadi" w:hAnsi="Abadi"/>
          <w:sz w:val="21"/>
          <w:szCs w:val="21"/>
        </w:rPr>
        <w:t xml:space="preserve">ndas </w:t>
      </w:r>
      <w:r>
        <w:rPr>
          <w:rFonts w:ascii="Abadi" w:hAnsi="Abadi"/>
          <w:sz w:val="21"/>
          <w:szCs w:val="21"/>
        </w:rPr>
        <w:t>S</w:t>
      </w:r>
      <w:r w:rsidRPr="0030088F">
        <w:rPr>
          <w:rFonts w:ascii="Abadi" w:hAnsi="Abadi"/>
          <w:sz w:val="21"/>
          <w:szCs w:val="21"/>
        </w:rPr>
        <w:t>alas</w:t>
      </w:r>
      <w:r>
        <w:rPr>
          <w:rFonts w:ascii="Abadi" w:hAnsi="Abadi"/>
          <w:sz w:val="21"/>
          <w:szCs w:val="21"/>
        </w:rPr>
        <w:t>,</w:t>
      </w:r>
      <w:r w:rsidRPr="0030088F">
        <w:rPr>
          <w:rFonts w:ascii="Abadi" w:hAnsi="Abadi"/>
          <w:sz w:val="21"/>
          <w:szCs w:val="21"/>
        </w:rPr>
        <w:t xml:space="preserve"> diputado Gerardo Fernández </w:t>
      </w:r>
      <w:r>
        <w:rPr>
          <w:rFonts w:ascii="Abadi" w:hAnsi="Abadi"/>
          <w:sz w:val="21"/>
          <w:szCs w:val="21"/>
        </w:rPr>
        <w:t>G</w:t>
      </w:r>
      <w:r w:rsidRPr="0030088F">
        <w:rPr>
          <w:rFonts w:ascii="Abadi" w:hAnsi="Abadi"/>
          <w:sz w:val="21"/>
          <w:szCs w:val="21"/>
        </w:rPr>
        <w:t>onzález</w:t>
      </w:r>
      <w:r>
        <w:rPr>
          <w:rFonts w:ascii="Abadi" w:hAnsi="Abadi"/>
          <w:sz w:val="21"/>
          <w:szCs w:val="21"/>
        </w:rPr>
        <w:t>,</w:t>
      </w:r>
      <w:r w:rsidRPr="0030088F">
        <w:rPr>
          <w:rFonts w:ascii="Abadi" w:hAnsi="Abadi"/>
          <w:sz w:val="21"/>
          <w:szCs w:val="21"/>
        </w:rPr>
        <w:t xml:space="preserve"> diputada Irma </w:t>
      </w:r>
      <w:r>
        <w:rPr>
          <w:rFonts w:ascii="Abadi" w:hAnsi="Abadi"/>
          <w:sz w:val="21"/>
          <w:szCs w:val="21"/>
        </w:rPr>
        <w:t>L</w:t>
      </w:r>
      <w:r w:rsidRPr="0030088F">
        <w:rPr>
          <w:rFonts w:ascii="Abadi" w:hAnsi="Abadi"/>
          <w:sz w:val="21"/>
          <w:szCs w:val="21"/>
        </w:rPr>
        <w:t>eticia González Sánchez</w:t>
      </w:r>
      <w:r>
        <w:rPr>
          <w:rFonts w:ascii="Abadi" w:hAnsi="Abadi"/>
          <w:sz w:val="21"/>
          <w:szCs w:val="21"/>
        </w:rPr>
        <w:t>,</w:t>
      </w:r>
      <w:r w:rsidRPr="0030088F">
        <w:rPr>
          <w:rFonts w:ascii="Abadi" w:hAnsi="Abadi"/>
          <w:sz w:val="21"/>
          <w:szCs w:val="21"/>
        </w:rPr>
        <w:t xml:space="preserve"> diputada </w:t>
      </w:r>
      <w:r>
        <w:rPr>
          <w:rFonts w:ascii="Abadi" w:hAnsi="Abadi"/>
          <w:sz w:val="21"/>
          <w:szCs w:val="21"/>
        </w:rPr>
        <w:t>A</w:t>
      </w:r>
      <w:r w:rsidRPr="0030088F">
        <w:rPr>
          <w:rFonts w:ascii="Abadi" w:hAnsi="Abadi"/>
          <w:sz w:val="21"/>
          <w:szCs w:val="21"/>
        </w:rPr>
        <w:t>lma Ed</w:t>
      </w:r>
      <w:r>
        <w:rPr>
          <w:rFonts w:ascii="Abadi" w:hAnsi="Abadi"/>
          <w:sz w:val="21"/>
          <w:szCs w:val="21"/>
        </w:rPr>
        <w:t>wv</w:t>
      </w:r>
      <w:r w:rsidRPr="0030088F">
        <w:rPr>
          <w:rFonts w:ascii="Abadi" w:hAnsi="Abadi"/>
          <w:sz w:val="21"/>
          <w:szCs w:val="21"/>
        </w:rPr>
        <w:t>iges Alcaraz Hernández</w:t>
      </w:r>
      <w:r>
        <w:rPr>
          <w:rFonts w:ascii="Abadi" w:hAnsi="Abadi"/>
          <w:sz w:val="21"/>
          <w:szCs w:val="21"/>
        </w:rPr>
        <w:t>,</w:t>
      </w:r>
      <w:r w:rsidRPr="0030088F">
        <w:rPr>
          <w:rFonts w:ascii="Abadi" w:hAnsi="Abadi"/>
          <w:sz w:val="21"/>
          <w:szCs w:val="21"/>
        </w:rPr>
        <w:t xml:space="preserve"> diputado </w:t>
      </w:r>
      <w:r w:rsidRPr="0030088F">
        <w:rPr>
          <w:rFonts w:ascii="Abadi" w:hAnsi="Abadi"/>
          <w:sz w:val="21"/>
          <w:szCs w:val="21"/>
        </w:rPr>
        <w:t xml:space="preserve">Alejandro </w:t>
      </w:r>
      <w:r>
        <w:rPr>
          <w:rFonts w:ascii="Abadi" w:hAnsi="Abadi"/>
          <w:sz w:val="21"/>
          <w:szCs w:val="21"/>
        </w:rPr>
        <w:t>A</w:t>
      </w:r>
      <w:r w:rsidRPr="0030088F">
        <w:rPr>
          <w:rFonts w:ascii="Abadi" w:hAnsi="Abadi"/>
          <w:sz w:val="21"/>
          <w:szCs w:val="21"/>
        </w:rPr>
        <w:t xml:space="preserve">rias </w:t>
      </w:r>
      <w:r>
        <w:rPr>
          <w:rFonts w:ascii="Abadi" w:hAnsi="Abadi"/>
          <w:sz w:val="21"/>
          <w:szCs w:val="21"/>
        </w:rPr>
        <w:t>Á</w:t>
      </w:r>
      <w:r w:rsidRPr="0030088F">
        <w:rPr>
          <w:rFonts w:ascii="Abadi" w:hAnsi="Abadi"/>
          <w:sz w:val="21"/>
          <w:szCs w:val="21"/>
        </w:rPr>
        <w:t>vila</w:t>
      </w:r>
      <w:r>
        <w:rPr>
          <w:rFonts w:ascii="Abadi" w:hAnsi="Abadi"/>
          <w:sz w:val="21"/>
          <w:szCs w:val="21"/>
        </w:rPr>
        <w:t>,</w:t>
      </w:r>
      <w:r w:rsidRPr="0030088F">
        <w:rPr>
          <w:rFonts w:ascii="Abadi" w:hAnsi="Abadi"/>
          <w:sz w:val="21"/>
          <w:szCs w:val="21"/>
        </w:rPr>
        <w:t xml:space="preserve"> diputado Cuauhtémoc </w:t>
      </w:r>
      <w:r>
        <w:rPr>
          <w:rFonts w:ascii="Abadi" w:hAnsi="Abadi"/>
          <w:sz w:val="21"/>
          <w:szCs w:val="21"/>
        </w:rPr>
        <w:t>Becerra G</w:t>
      </w:r>
      <w:r w:rsidRPr="0030088F">
        <w:rPr>
          <w:rFonts w:ascii="Abadi" w:hAnsi="Abadi"/>
          <w:sz w:val="21"/>
          <w:szCs w:val="21"/>
        </w:rPr>
        <w:t>onzález</w:t>
      </w:r>
      <w:r>
        <w:rPr>
          <w:rFonts w:ascii="Abadi" w:hAnsi="Abadi"/>
          <w:sz w:val="21"/>
          <w:szCs w:val="21"/>
        </w:rPr>
        <w:t>.</w:t>
      </w:r>
    </w:p>
    <w:p w14:paraId="767D840F" w14:textId="77777777" w:rsidR="00751E3D" w:rsidRDefault="00751E3D" w:rsidP="00751E3D">
      <w:pPr>
        <w:jc w:val="both"/>
        <w:rPr>
          <w:rFonts w:ascii="Abadi" w:hAnsi="Abadi"/>
          <w:sz w:val="21"/>
          <w:szCs w:val="21"/>
        </w:rPr>
      </w:pPr>
    </w:p>
    <w:p w14:paraId="20CA5E99" w14:textId="77777777" w:rsidR="00751E3D" w:rsidRDefault="00751E3D" w:rsidP="00751E3D">
      <w:pPr>
        <w:jc w:val="both"/>
        <w:rPr>
          <w:rFonts w:ascii="Abadi" w:hAnsi="Abadi"/>
          <w:sz w:val="21"/>
          <w:szCs w:val="21"/>
        </w:rPr>
      </w:pPr>
      <w:r>
        <w:rPr>
          <w:rFonts w:ascii="Abadi" w:hAnsi="Abadi"/>
          <w:sz w:val="21"/>
          <w:szCs w:val="21"/>
        </w:rPr>
        <w:tab/>
        <w:t>- S</w:t>
      </w:r>
      <w:r w:rsidRPr="0030088F">
        <w:rPr>
          <w:rFonts w:ascii="Abadi" w:hAnsi="Abadi"/>
          <w:sz w:val="21"/>
          <w:szCs w:val="21"/>
        </w:rPr>
        <w:t xml:space="preserve">e concede el uso de la palabra la diputada Lilia </w:t>
      </w:r>
      <w:r>
        <w:rPr>
          <w:rFonts w:ascii="Abadi" w:hAnsi="Abadi"/>
          <w:sz w:val="21"/>
          <w:szCs w:val="21"/>
        </w:rPr>
        <w:t>M</w:t>
      </w:r>
      <w:r w:rsidRPr="0030088F">
        <w:rPr>
          <w:rFonts w:ascii="Abadi" w:hAnsi="Abadi"/>
          <w:sz w:val="21"/>
          <w:szCs w:val="21"/>
        </w:rPr>
        <w:t xml:space="preserve">argarita </w:t>
      </w:r>
      <w:r>
        <w:rPr>
          <w:rFonts w:ascii="Abadi" w:hAnsi="Abadi"/>
          <w:sz w:val="21"/>
          <w:szCs w:val="21"/>
        </w:rPr>
        <w:t>Rionda S</w:t>
      </w:r>
      <w:r w:rsidRPr="0030088F">
        <w:rPr>
          <w:rFonts w:ascii="Abadi" w:hAnsi="Abadi"/>
          <w:sz w:val="21"/>
          <w:szCs w:val="21"/>
        </w:rPr>
        <w:t>alas hasta por 10 minutos</w:t>
      </w:r>
      <w:r>
        <w:rPr>
          <w:rFonts w:ascii="Abadi" w:hAnsi="Abadi"/>
          <w:sz w:val="21"/>
          <w:szCs w:val="21"/>
        </w:rPr>
        <w:t>.</w:t>
      </w:r>
    </w:p>
    <w:p w14:paraId="61D6A1BE" w14:textId="77777777" w:rsidR="00751E3D" w:rsidRDefault="00751E3D" w:rsidP="00751E3D">
      <w:pPr>
        <w:jc w:val="both"/>
        <w:rPr>
          <w:rFonts w:ascii="Abadi" w:hAnsi="Abadi"/>
          <w:sz w:val="21"/>
          <w:szCs w:val="21"/>
        </w:rPr>
      </w:pPr>
    </w:p>
    <w:p w14:paraId="0E9BE82E" w14:textId="77777777" w:rsidR="00751E3D" w:rsidRDefault="00751E3D" w:rsidP="00751E3D">
      <w:pPr>
        <w:jc w:val="both"/>
        <w:rPr>
          <w:rFonts w:ascii="Abadi" w:hAnsi="Abadi"/>
          <w:sz w:val="21"/>
          <w:szCs w:val="21"/>
        </w:rPr>
      </w:pPr>
      <w:r>
        <w:rPr>
          <w:rFonts w:ascii="Abadi" w:hAnsi="Abadi"/>
          <w:sz w:val="21"/>
          <w:szCs w:val="21"/>
        </w:rPr>
        <w:tab/>
        <w:t>- A</w:t>
      </w:r>
      <w:r w:rsidRPr="0030088F">
        <w:rPr>
          <w:rFonts w:ascii="Abadi" w:hAnsi="Abadi"/>
          <w:sz w:val="21"/>
          <w:szCs w:val="21"/>
        </w:rPr>
        <w:t>delante</w:t>
      </w:r>
      <w:r>
        <w:rPr>
          <w:rFonts w:ascii="Abadi" w:hAnsi="Abadi"/>
          <w:sz w:val="21"/>
          <w:szCs w:val="21"/>
        </w:rPr>
        <w:t>.</w:t>
      </w:r>
    </w:p>
    <w:p w14:paraId="01567C1B" w14:textId="77777777" w:rsidR="00751E3D" w:rsidRDefault="00751E3D" w:rsidP="00751E3D">
      <w:pPr>
        <w:jc w:val="both"/>
        <w:rPr>
          <w:rFonts w:ascii="Abadi" w:hAnsi="Abadi"/>
          <w:sz w:val="21"/>
          <w:szCs w:val="21"/>
        </w:rPr>
      </w:pPr>
    </w:p>
    <w:p w14:paraId="0E26E2F6" w14:textId="77777777" w:rsidR="00751E3D" w:rsidRDefault="00751E3D" w:rsidP="00751E3D">
      <w:pPr>
        <w:jc w:val="both"/>
        <w:rPr>
          <w:rFonts w:ascii="Abadi" w:hAnsi="Abadi"/>
          <w:b/>
          <w:bCs/>
          <w:sz w:val="21"/>
          <w:szCs w:val="21"/>
        </w:rPr>
      </w:pPr>
      <w:r w:rsidRPr="00F053B1">
        <w:rPr>
          <w:rFonts w:ascii="Abadi" w:hAnsi="Abadi"/>
          <w:b/>
          <w:bCs/>
          <w:sz w:val="21"/>
          <w:szCs w:val="21"/>
        </w:rPr>
        <w:t>(Sube a tribuna la diputada Lilia Margarita Rionda Salas, para hablar asuntos de interés general)</w:t>
      </w:r>
    </w:p>
    <w:p w14:paraId="04DDBE54" w14:textId="77777777" w:rsidR="00751E3D" w:rsidRDefault="00751E3D" w:rsidP="00751E3D">
      <w:pPr>
        <w:jc w:val="both"/>
        <w:rPr>
          <w:rFonts w:ascii="Abadi" w:hAnsi="Abadi"/>
          <w:b/>
          <w:bCs/>
          <w:sz w:val="21"/>
          <w:szCs w:val="21"/>
        </w:rPr>
      </w:pPr>
    </w:p>
    <w:p w14:paraId="4D6D7E7D" w14:textId="77777777" w:rsidR="00751E3D" w:rsidRDefault="00751E3D" w:rsidP="00751E3D">
      <w:pPr>
        <w:jc w:val="both"/>
        <w:rPr>
          <w:rFonts w:ascii="Abadi" w:hAnsi="Abadi"/>
          <w:b/>
          <w:bCs/>
          <w:sz w:val="21"/>
          <w:szCs w:val="21"/>
        </w:rPr>
      </w:pPr>
    </w:p>
    <w:p w14:paraId="48387D18" w14:textId="1EAA1EF9" w:rsidR="00751E3D" w:rsidRDefault="00751E3D" w:rsidP="00751E3D">
      <w:pPr>
        <w:jc w:val="both"/>
        <w:rPr>
          <w:rFonts w:ascii="Abadi" w:hAnsi="Abadi"/>
          <w:b/>
          <w:bCs/>
          <w:sz w:val="21"/>
          <w:szCs w:val="21"/>
        </w:rPr>
      </w:pPr>
      <w:r>
        <w:rPr>
          <w:noProof/>
        </w:rPr>
        <w:drawing>
          <wp:anchor distT="0" distB="0" distL="114300" distR="114300" simplePos="0" relativeHeight="251675670" behindDoc="1" locked="0" layoutInCell="1" allowOverlap="1" wp14:anchorId="5DB68D42" wp14:editId="73960B9C">
            <wp:simplePos x="0" y="0"/>
            <wp:positionH relativeFrom="column">
              <wp:posOffset>751296</wp:posOffset>
            </wp:positionH>
            <wp:positionV relativeFrom="paragraph">
              <wp:posOffset>92710</wp:posOffset>
            </wp:positionV>
            <wp:extent cx="1061720" cy="546735"/>
            <wp:effectExtent l="247650" t="228600" r="252730" b="691515"/>
            <wp:wrapTight wrapText="bothSides">
              <wp:wrapPolygon edited="0">
                <wp:start x="-5038" y="-9031"/>
                <wp:lineTo x="-5038" y="48167"/>
                <wp:lineTo x="26354" y="48167"/>
                <wp:lineTo x="26354" y="-9031"/>
                <wp:lineTo x="-5038" y="-9031"/>
              </wp:wrapPolygon>
            </wp:wrapTight>
            <wp:docPr id="1745771922" name="Imagen 174577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771922" name=""/>
                    <pic:cNvPicPr/>
                  </pic:nvPicPr>
                  <pic:blipFill rotWithShape="1">
                    <a:blip r:embed="rId74" cstate="print">
                      <a:extLst>
                        <a:ext uri="{28A0092B-C50C-407E-A947-70E740481C1C}">
                          <a14:useLocalDpi xmlns:a14="http://schemas.microsoft.com/office/drawing/2010/main" val="0"/>
                        </a:ext>
                      </a:extLst>
                    </a:blip>
                    <a:srcRect b="8419"/>
                    <a:stretch/>
                  </pic:blipFill>
                  <pic:spPr bwMode="auto">
                    <a:xfrm>
                      <a:off x="0" y="0"/>
                      <a:ext cx="1061720" cy="5467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E543B7C" w14:textId="651F5146" w:rsidR="00751E3D" w:rsidRDefault="00751E3D" w:rsidP="00751E3D">
      <w:pPr>
        <w:jc w:val="both"/>
        <w:rPr>
          <w:rFonts w:ascii="Abadi" w:hAnsi="Abadi"/>
          <w:b/>
          <w:bCs/>
          <w:sz w:val="21"/>
          <w:szCs w:val="21"/>
        </w:rPr>
      </w:pPr>
    </w:p>
    <w:p w14:paraId="0F639B68" w14:textId="60460232" w:rsidR="00751E3D" w:rsidRDefault="00751E3D" w:rsidP="00751E3D">
      <w:pPr>
        <w:jc w:val="both"/>
        <w:rPr>
          <w:rFonts w:ascii="Abadi" w:hAnsi="Abadi"/>
          <w:b/>
          <w:bCs/>
          <w:sz w:val="21"/>
          <w:szCs w:val="21"/>
        </w:rPr>
      </w:pPr>
    </w:p>
    <w:p w14:paraId="6B1BEA8B" w14:textId="77777777" w:rsidR="00751E3D" w:rsidRDefault="00751E3D" w:rsidP="00751E3D">
      <w:pPr>
        <w:jc w:val="both"/>
        <w:rPr>
          <w:rFonts w:ascii="Abadi" w:hAnsi="Abadi"/>
          <w:b/>
          <w:bCs/>
          <w:sz w:val="21"/>
          <w:szCs w:val="21"/>
        </w:rPr>
      </w:pPr>
    </w:p>
    <w:p w14:paraId="43380992" w14:textId="77777777" w:rsidR="00751E3D" w:rsidRDefault="00751E3D" w:rsidP="00751E3D">
      <w:pPr>
        <w:jc w:val="both"/>
        <w:rPr>
          <w:rFonts w:ascii="Abadi" w:hAnsi="Abadi"/>
          <w:b/>
          <w:bCs/>
          <w:sz w:val="21"/>
          <w:szCs w:val="21"/>
        </w:rPr>
      </w:pPr>
    </w:p>
    <w:p w14:paraId="7682679F" w14:textId="77777777" w:rsidR="00751E3D" w:rsidRDefault="00751E3D" w:rsidP="00751E3D">
      <w:pPr>
        <w:jc w:val="both"/>
        <w:rPr>
          <w:rFonts w:ascii="Abadi" w:hAnsi="Abadi"/>
          <w:b/>
          <w:bCs/>
          <w:sz w:val="21"/>
          <w:szCs w:val="21"/>
        </w:rPr>
      </w:pPr>
    </w:p>
    <w:p w14:paraId="08217815" w14:textId="77777777" w:rsidR="00751E3D" w:rsidRDefault="00751E3D" w:rsidP="00751E3D">
      <w:pPr>
        <w:jc w:val="both"/>
        <w:rPr>
          <w:rFonts w:ascii="Abadi" w:hAnsi="Abadi"/>
          <w:b/>
          <w:bCs/>
          <w:sz w:val="21"/>
          <w:szCs w:val="21"/>
        </w:rPr>
      </w:pPr>
    </w:p>
    <w:p w14:paraId="692D12E2" w14:textId="77777777" w:rsidR="00751E3D" w:rsidRDefault="00751E3D" w:rsidP="00751E3D">
      <w:pPr>
        <w:jc w:val="both"/>
        <w:rPr>
          <w:rFonts w:ascii="Abadi" w:hAnsi="Abadi"/>
          <w:b/>
          <w:bCs/>
          <w:sz w:val="21"/>
          <w:szCs w:val="21"/>
        </w:rPr>
      </w:pPr>
    </w:p>
    <w:p w14:paraId="49DB5084" w14:textId="04E34A68" w:rsidR="00751E3D" w:rsidRPr="00F053B1" w:rsidRDefault="00751E3D" w:rsidP="00751E3D">
      <w:pPr>
        <w:jc w:val="both"/>
        <w:rPr>
          <w:rFonts w:ascii="Abadi" w:hAnsi="Abadi"/>
          <w:b/>
          <w:bCs/>
          <w:sz w:val="21"/>
          <w:szCs w:val="21"/>
        </w:rPr>
      </w:pPr>
    </w:p>
    <w:p w14:paraId="7DACB409" w14:textId="77777777" w:rsidR="00751E3D" w:rsidRDefault="00751E3D" w:rsidP="00751E3D">
      <w:pPr>
        <w:jc w:val="both"/>
        <w:rPr>
          <w:rFonts w:ascii="Abadi" w:hAnsi="Abadi"/>
          <w:sz w:val="21"/>
          <w:szCs w:val="21"/>
        </w:rPr>
      </w:pPr>
    </w:p>
    <w:p w14:paraId="6583C689" w14:textId="77777777" w:rsidR="00751E3D" w:rsidRDefault="00751E3D" w:rsidP="00751E3D">
      <w:pPr>
        <w:jc w:val="both"/>
        <w:rPr>
          <w:rFonts w:ascii="Abadi" w:hAnsi="Abadi"/>
          <w:sz w:val="21"/>
          <w:szCs w:val="21"/>
        </w:rPr>
      </w:pPr>
      <w:r>
        <w:rPr>
          <w:rFonts w:ascii="Abadi" w:hAnsi="Abadi"/>
          <w:sz w:val="21"/>
          <w:szCs w:val="21"/>
        </w:rPr>
        <w:t>- M</w:t>
      </w:r>
      <w:r w:rsidRPr="0030088F">
        <w:rPr>
          <w:rFonts w:ascii="Abadi" w:hAnsi="Abadi"/>
          <w:sz w:val="21"/>
          <w:szCs w:val="21"/>
        </w:rPr>
        <w:t>uchísimas gracias</w:t>
      </w:r>
      <w:r>
        <w:rPr>
          <w:rFonts w:ascii="Abadi" w:hAnsi="Abadi"/>
          <w:sz w:val="21"/>
          <w:szCs w:val="21"/>
        </w:rPr>
        <w:t>,</w:t>
      </w:r>
      <w:r w:rsidRPr="0030088F">
        <w:rPr>
          <w:rFonts w:ascii="Abadi" w:hAnsi="Abadi"/>
          <w:sz w:val="21"/>
          <w:szCs w:val="21"/>
        </w:rPr>
        <w:t xml:space="preserve"> presidenta con su venia igual de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irectiva seré muy breve y haré uso de la voz en esta tribuna para un tema muy noble</w:t>
      </w:r>
      <w:r>
        <w:rPr>
          <w:rFonts w:ascii="Abadi" w:hAnsi="Abadi"/>
          <w:sz w:val="21"/>
          <w:szCs w:val="21"/>
        </w:rPr>
        <w:t>,</w:t>
      </w:r>
      <w:r w:rsidRPr="0030088F">
        <w:rPr>
          <w:rFonts w:ascii="Abadi" w:hAnsi="Abadi"/>
          <w:sz w:val="21"/>
          <w:szCs w:val="21"/>
        </w:rPr>
        <w:t xml:space="preserve"> la figura del cronista en nuestros municipios de este querido estado de Guanajuato</w:t>
      </w:r>
      <w:r>
        <w:rPr>
          <w:rFonts w:ascii="Abadi" w:hAnsi="Abadi"/>
          <w:sz w:val="21"/>
          <w:szCs w:val="21"/>
        </w:rPr>
        <w:t>,</w:t>
      </w:r>
      <w:r w:rsidRPr="0030088F">
        <w:rPr>
          <w:rFonts w:ascii="Abadi" w:hAnsi="Abadi"/>
          <w:sz w:val="21"/>
          <w:szCs w:val="21"/>
        </w:rPr>
        <w:t xml:space="preserve"> la palabra crónica proviene del griego y que se refiere a quien sigue el orden del t</w:t>
      </w:r>
      <w:r>
        <w:rPr>
          <w:rFonts w:ascii="Abadi" w:hAnsi="Abadi"/>
          <w:sz w:val="21"/>
          <w:szCs w:val="21"/>
        </w:rPr>
        <w:t xml:space="preserve">iempo y crono </w:t>
      </w:r>
      <w:r w:rsidRPr="0030088F">
        <w:rPr>
          <w:rFonts w:ascii="Abadi" w:hAnsi="Abadi"/>
          <w:sz w:val="21"/>
          <w:szCs w:val="21"/>
        </w:rPr>
        <w:t>del relato de los sucesos ocurridos</w:t>
      </w:r>
      <w:r>
        <w:rPr>
          <w:rFonts w:ascii="Abadi" w:hAnsi="Abadi"/>
          <w:sz w:val="21"/>
          <w:szCs w:val="21"/>
        </w:rPr>
        <w:t>,</w:t>
      </w:r>
      <w:r w:rsidRPr="0030088F">
        <w:rPr>
          <w:rFonts w:ascii="Abadi" w:hAnsi="Abadi"/>
          <w:sz w:val="21"/>
          <w:szCs w:val="21"/>
        </w:rPr>
        <w:t xml:space="preserve"> un cronista investiga</w:t>
      </w:r>
      <w:r>
        <w:rPr>
          <w:rFonts w:ascii="Abadi" w:hAnsi="Abadi"/>
          <w:sz w:val="21"/>
          <w:szCs w:val="21"/>
        </w:rPr>
        <w:t>,</w:t>
      </w:r>
      <w:r w:rsidRPr="0030088F">
        <w:rPr>
          <w:rFonts w:ascii="Abadi" w:hAnsi="Abadi"/>
          <w:sz w:val="21"/>
          <w:szCs w:val="21"/>
        </w:rPr>
        <w:t xml:space="preserve"> narra</w:t>
      </w:r>
      <w:r>
        <w:rPr>
          <w:rFonts w:ascii="Abadi" w:hAnsi="Abadi"/>
          <w:sz w:val="21"/>
          <w:szCs w:val="21"/>
        </w:rPr>
        <w:t>,</w:t>
      </w:r>
      <w:r w:rsidRPr="0030088F">
        <w:rPr>
          <w:rFonts w:ascii="Abadi" w:hAnsi="Abadi"/>
          <w:sz w:val="21"/>
          <w:szCs w:val="21"/>
        </w:rPr>
        <w:t xml:space="preserve"> interpreta</w:t>
      </w:r>
      <w:r>
        <w:rPr>
          <w:rFonts w:ascii="Abadi" w:hAnsi="Abadi"/>
          <w:sz w:val="21"/>
          <w:szCs w:val="21"/>
        </w:rPr>
        <w:t>,</w:t>
      </w:r>
      <w:r w:rsidRPr="0030088F">
        <w:rPr>
          <w:rFonts w:ascii="Abadi" w:hAnsi="Abadi"/>
          <w:sz w:val="21"/>
          <w:szCs w:val="21"/>
        </w:rPr>
        <w:t xml:space="preserve"> divulga</w:t>
      </w:r>
      <w:r>
        <w:rPr>
          <w:rFonts w:ascii="Abadi" w:hAnsi="Abadi"/>
          <w:sz w:val="21"/>
          <w:szCs w:val="21"/>
        </w:rPr>
        <w:t>,</w:t>
      </w:r>
      <w:r w:rsidRPr="0030088F">
        <w:rPr>
          <w:rFonts w:ascii="Abadi" w:hAnsi="Abadi"/>
          <w:sz w:val="21"/>
          <w:szCs w:val="21"/>
        </w:rPr>
        <w:t xml:space="preserve"> por diferentes medios los hechos del pasado y del presente de su pueblo</w:t>
      </w:r>
      <w:r>
        <w:rPr>
          <w:rFonts w:ascii="Abadi" w:hAnsi="Abadi"/>
          <w:sz w:val="21"/>
          <w:szCs w:val="21"/>
        </w:rPr>
        <w:t>,</w:t>
      </w:r>
      <w:r w:rsidRPr="0030088F">
        <w:rPr>
          <w:rFonts w:ascii="Abadi" w:hAnsi="Abadi"/>
          <w:sz w:val="21"/>
          <w:szCs w:val="21"/>
        </w:rPr>
        <w:t xml:space="preserve"> con el propósito de preservar la memoria histórica y colectiva en beneficio de las generaciones del futuro</w:t>
      </w:r>
      <w:r>
        <w:rPr>
          <w:rFonts w:ascii="Abadi" w:hAnsi="Abadi"/>
          <w:sz w:val="21"/>
          <w:szCs w:val="21"/>
        </w:rPr>
        <w:t>.</w:t>
      </w:r>
    </w:p>
    <w:p w14:paraId="38952BF3" w14:textId="77777777" w:rsidR="00751E3D" w:rsidRDefault="00751E3D" w:rsidP="00751E3D">
      <w:pPr>
        <w:jc w:val="both"/>
        <w:rPr>
          <w:rFonts w:ascii="Abadi" w:hAnsi="Abadi"/>
          <w:sz w:val="21"/>
          <w:szCs w:val="21"/>
        </w:rPr>
      </w:pPr>
    </w:p>
    <w:p w14:paraId="0B646CFC"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l trabajo de un buen cronista</w:t>
      </w:r>
      <w:r>
        <w:rPr>
          <w:rFonts w:ascii="Abadi" w:hAnsi="Abadi"/>
          <w:sz w:val="21"/>
          <w:szCs w:val="21"/>
        </w:rPr>
        <w:t>,</w:t>
      </w:r>
      <w:r w:rsidRPr="0030088F">
        <w:rPr>
          <w:rFonts w:ascii="Abadi" w:hAnsi="Abadi"/>
          <w:sz w:val="21"/>
          <w:szCs w:val="21"/>
        </w:rPr>
        <w:t xml:space="preserve"> es como un vino fino</w:t>
      </w:r>
      <w:r>
        <w:rPr>
          <w:rFonts w:ascii="Abadi" w:hAnsi="Abadi"/>
          <w:sz w:val="21"/>
          <w:szCs w:val="21"/>
        </w:rPr>
        <w:t>,</w:t>
      </w:r>
      <w:r w:rsidRPr="0030088F">
        <w:rPr>
          <w:rFonts w:ascii="Abadi" w:hAnsi="Abadi"/>
          <w:sz w:val="21"/>
          <w:szCs w:val="21"/>
        </w:rPr>
        <w:t xml:space="preserve"> que con el paso del tiempo adquiere </w:t>
      </w:r>
      <w:r>
        <w:rPr>
          <w:rFonts w:ascii="Abadi" w:hAnsi="Abadi"/>
          <w:sz w:val="21"/>
          <w:szCs w:val="21"/>
        </w:rPr>
        <w:t xml:space="preserve">olores, </w:t>
      </w:r>
      <w:r w:rsidRPr="0030088F">
        <w:rPr>
          <w:rFonts w:ascii="Abadi" w:hAnsi="Abadi"/>
          <w:sz w:val="21"/>
          <w:szCs w:val="21"/>
        </w:rPr>
        <w:t>sabores texturas y que sobre todo sorprende y atrapa a quienes lo captan</w:t>
      </w:r>
      <w:r>
        <w:rPr>
          <w:rFonts w:ascii="Abadi" w:hAnsi="Abadi"/>
          <w:sz w:val="21"/>
          <w:szCs w:val="21"/>
        </w:rPr>
        <w:t>,</w:t>
      </w:r>
      <w:r w:rsidRPr="0030088F">
        <w:rPr>
          <w:rFonts w:ascii="Abadi" w:hAnsi="Abadi"/>
          <w:sz w:val="21"/>
          <w:szCs w:val="21"/>
        </w:rPr>
        <w:t xml:space="preserve"> el cronista es una figura importante para la vida social e institucional de los pueblos</w:t>
      </w:r>
      <w:r>
        <w:rPr>
          <w:rFonts w:ascii="Abadi" w:hAnsi="Abadi"/>
          <w:sz w:val="21"/>
          <w:szCs w:val="21"/>
        </w:rPr>
        <w:t>,</w:t>
      </w:r>
      <w:r w:rsidRPr="0030088F">
        <w:rPr>
          <w:rFonts w:ascii="Abadi" w:hAnsi="Abadi"/>
          <w:sz w:val="21"/>
          <w:szCs w:val="21"/>
        </w:rPr>
        <w:t xml:space="preserve"> de las sociedades y por ser el responsable de conservar la memoria histórica de su comunidad</w:t>
      </w:r>
      <w:r>
        <w:rPr>
          <w:rFonts w:ascii="Abadi" w:hAnsi="Abadi"/>
          <w:sz w:val="21"/>
          <w:szCs w:val="21"/>
        </w:rPr>
        <w:t>,</w:t>
      </w:r>
      <w:r w:rsidRPr="0030088F">
        <w:rPr>
          <w:rFonts w:ascii="Abadi" w:hAnsi="Abadi"/>
          <w:sz w:val="21"/>
          <w:szCs w:val="21"/>
        </w:rPr>
        <w:t xml:space="preserve"> es un importante divulgador de la historia</w:t>
      </w:r>
      <w:r>
        <w:rPr>
          <w:rFonts w:ascii="Abadi" w:hAnsi="Abadi"/>
          <w:sz w:val="21"/>
          <w:szCs w:val="21"/>
        </w:rPr>
        <w:t>,</w:t>
      </w:r>
      <w:r w:rsidRPr="0030088F">
        <w:rPr>
          <w:rFonts w:ascii="Abadi" w:hAnsi="Abadi"/>
          <w:sz w:val="21"/>
          <w:szCs w:val="21"/>
        </w:rPr>
        <w:t xml:space="preserve"> de la tradición de la memoria oral y escrita que fortalece el sentido de pertenencia y lo más importante</w:t>
      </w:r>
      <w:r>
        <w:rPr>
          <w:rFonts w:ascii="Abadi" w:hAnsi="Abadi"/>
          <w:sz w:val="21"/>
          <w:szCs w:val="21"/>
        </w:rPr>
        <w:t>,</w:t>
      </w:r>
      <w:r w:rsidRPr="0030088F">
        <w:rPr>
          <w:rFonts w:ascii="Abadi" w:hAnsi="Abadi"/>
          <w:sz w:val="21"/>
          <w:szCs w:val="21"/>
        </w:rPr>
        <w:t xml:space="preserve"> el sentido de identidad de tu pueblo</w:t>
      </w:r>
      <w:r>
        <w:rPr>
          <w:rFonts w:ascii="Abadi" w:hAnsi="Abadi"/>
          <w:sz w:val="21"/>
          <w:szCs w:val="21"/>
        </w:rPr>
        <w:t>.</w:t>
      </w:r>
    </w:p>
    <w:p w14:paraId="7EDA8F38" w14:textId="77777777" w:rsidR="00DB677B" w:rsidRDefault="00DB677B" w:rsidP="00751E3D">
      <w:pPr>
        <w:jc w:val="both"/>
        <w:rPr>
          <w:rFonts w:ascii="Abadi" w:hAnsi="Abadi"/>
          <w:sz w:val="21"/>
          <w:szCs w:val="21"/>
        </w:rPr>
      </w:pPr>
    </w:p>
    <w:p w14:paraId="26B5B2A6" w14:textId="77777777" w:rsidR="00751E3D" w:rsidRDefault="00751E3D" w:rsidP="00751E3D">
      <w:pPr>
        <w:jc w:val="both"/>
        <w:rPr>
          <w:rFonts w:ascii="Abadi" w:hAnsi="Abadi"/>
          <w:sz w:val="21"/>
          <w:szCs w:val="21"/>
        </w:rPr>
      </w:pPr>
      <w:r>
        <w:rPr>
          <w:rFonts w:ascii="Abadi" w:hAnsi="Abadi"/>
          <w:sz w:val="21"/>
          <w:szCs w:val="21"/>
        </w:rPr>
        <w:t>- L</w:t>
      </w:r>
      <w:r w:rsidRPr="0030088F">
        <w:rPr>
          <w:rFonts w:ascii="Abadi" w:hAnsi="Abadi"/>
          <w:sz w:val="21"/>
          <w:szCs w:val="21"/>
        </w:rPr>
        <w:t>a existencia de la figura del cronista municipal</w:t>
      </w:r>
      <w:r>
        <w:rPr>
          <w:rFonts w:ascii="Abadi" w:hAnsi="Abadi"/>
          <w:sz w:val="21"/>
          <w:szCs w:val="21"/>
        </w:rPr>
        <w:t>,</w:t>
      </w:r>
      <w:r w:rsidRPr="0030088F">
        <w:rPr>
          <w:rFonts w:ascii="Abadi" w:hAnsi="Abadi"/>
          <w:sz w:val="21"/>
          <w:szCs w:val="21"/>
        </w:rPr>
        <w:t xml:space="preserve"> es importante</w:t>
      </w:r>
      <w:r>
        <w:rPr>
          <w:rFonts w:ascii="Abadi" w:hAnsi="Abadi"/>
          <w:sz w:val="21"/>
          <w:szCs w:val="21"/>
        </w:rPr>
        <w:t>,</w:t>
      </w:r>
      <w:r w:rsidRPr="0030088F">
        <w:rPr>
          <w:rFonts w:ascii="Abadi" w:hAnsi="Abadi"/>
          <w:sz w:val="21"/>
          <w:szCs w:val="21"/>
        </w:rPr>
        <w:t xml:space="preserve"> pues se trata de una persona que conserva y divulga la cultura y las </w:t>
      </w:r>
      <w:r w:rsidRPr="0030088F">
        <w:rPr>
          <w:rFonts w:ascii="Abadi" w:hAnsi="Abadi"/>
          <w:sz w:val="21"/>
          <w:szCs w:val="21"/>
        </w:rPr>
        <w:lastRenderedPageBreak/>
        <w:t>tradiciones de su lugar de origen</w:t>
      </w:r>
      <w:r>
        <w:rPr>
          <w:rFonts w:ascii="Abadi" w:hAnsi="Abadi"/>
          <w:sz w:val="21"/>
          <w:szCs w:val="21"/>
        </w:rPr>
        <w:t>,</w:t>
      </w:r>
      <w:r w:rsidRPr="0030088F">
        <w:rPr>
          <w:rFonts w:ascii="Abadi" w:hAnsi="Abadi"/>
          <w:sz w:val="21"/>
          <w:szCs w:val="21"/>
        </w:rPr>
        <w:t xml:space="preserve"> la labor del cronista está ligada estrechamente a la promoción de la identidad de nuestra nación de nuestro estado de nuestros municipios y de nuestras localidades es un trabajo importante para fortalecer a estas personas que en el sentido de pertenencia y el orgullo nos hacen ser mexicanos en el caso de nuestro querido estado de Guanajuato contribuye al orgullo de decir que aquí es donde nació México</w:t>
      </w:r>
      <w:r>
        <w:rPr>
          <w:rFonts w:ascii="Abadi" w:hAnsi="Abadi"/>
          <w:sz w:val="21"/>
          <w:szCs w:val="21"/>
        </w:rPr>
        <w:t xml:space="preserve">, </w:t>
      </w:r>
      <w:r w:rsidRPr="0030088F">
        <w:rPr>
          <w:rFonts w:ascii="Abadi" w:hAnsi="Abadi"/>
          <w:sz w:val="21"/>
          <w:szCs w:val="21"/>
        </w:rPr>
        <w:t>aquí iniciamos a construir la identidad por ser mexicanos porque desde nuestros municipios de Guanajuato se fundó la nación mexicana</w:t>
      </w:r>
      <w:r>
        <w:rPr>
          <w:rFonts w:ascii="Abadi" w:hAnsi="Abadi"/>
          <w:sz w:val="21"/>
          <w:szCs w:val="21"/>
        </w:rPr>
        <w:t>,</w:t>
      </w:r>
      <w:r w:rsidRPr="0030088F">
        <w:rPr>
          <w:rFonts w:ascii="Abadi" w:hAnsi="Abadi"/>
          <w:sz w:val="21"/>
          <w:szCs w:val="21"/>
        </w:rPr>
        <w:t xml:space="preserve"> el cronista es un actor de primera importancia en la lucha contra el olvido que se encuentra en un sector social</w:t>
      </w:r>
      <w:r>
        <w:rPr>
          <w:rFonts w:ascii="Abadi" w:hAnsi="Abadi"/>
          <w:sz w:val="21"/>
          <w:szCs w:val="21"/>
        </w:rPr>
        <w:t>,</w:t>
      </w:r>
      <w:r w:rsidRPr="0030088F">
        <w:rPr>
          <w:rFonts w:ascii="Abadi" w:hAnsi="Abadi"/>
          <w:sz w:val="21"/>
          <w:szCs w:val="21"/>
        </w:rPr>
        <w:t xml:space="preserve"> como un acelerador que atesora y que se encarga de difundir los hechos desde los más importantes hasta lo más simples en su lugar de origen para que así en su localidad se plasme la historia</w:t>
      </w:r>
      <w:r>
        <w:rPr>
          <w:rFonts w:ascii="Abadi" w:hAnsi="Abadi"/>
          <w:sz w:val="21"/>
          <w:szCs w:val="21"/>
        </w:rPr>
        <w:t>,</w:t>
      </w:r>
      <w:r w:rsidRPr="0030088F">
        <w:rPr>
          <w:rFonts w:ascii="Abadi" w:hAnsi="Abadi"/>
          <w:sz w:val="21"/>
          <w:szCs w:val="21"/>
        </w:rPr>
        <w:t xml:space="preserve"> pero también como decíamos</w:t>
      </w:r>
      <w:r>
        <w:rPr>
          <w:rFonts w:ascii="Abadi" w:hAnsi="Abadi"/>
          <w:sz w:val="21"/>
          <w:szCs w:val="21"/>
        </w:rPr>
        <w:t>,</w:t>
      </w:r>
      <w:r w:rsidRPr="0030088F">
        <w:rPr>
          <w:rFonts w:ascii="Abadi" w:hAnsi="Abadi"/>
          <w:sz w:val="21"/>
          <w:szCs w:val="21"/>
        </w:rPr>
        <w:t xml:space="preserve"> capta los momentos más sencillos y cotidianos</w:t>
      </w:r>
      <w:r>
        <w:rPr>
          <w:rFonts w:ascii="Abadi" w:hAnsi="Abadi"/>
          <w:sz w:val="21"/>
          <w:szCs w:val="21"/>
        </w:rPr>
        <w:t>,</w:t>
      </w:r>
      <w:r w:rsidRPr="0030088F">
        <w:rPr>
          <w:rFonts w:ascii="Abadi" w:hAnsi="Abadi"/>
          <w:sz w:val="21"/>
          <w:szCs w:val="21"/>
        </w:rPr>
        <w:t xml:space="preserve"> por ejemplo</w:t>
      </w:r>
      <w:r>
        <w:rPr>
          <w:rFonts w:ascii="Abadi" w:hAnsi="Abadi"/>
          <w:sz w:val="21"/>
          <w:szCs w:val="21"/>
        </w:rPr>
        <w:t>,</w:t>
      </w:r>
      <w:r w:rsidRPr="0030088F">
        <w:rPr>
          <w:rFonts w:ascii="Abadi" w:hAnsi="Abadi"/>
          <w:sz w:val="21"/>
          <w:szCs w:val="21"/>
        </w:rPr>
        <w:t xml:space="preserve"> aquí en nuestra querida ciudad de Guanajuato capital a nuestros boleros el paseo de la clase política en el centro histórico</w:t>
      </w:r>
      <w:r>
        <w:rPr>
          <w:rFonts w:ascii="Abadi" w:hAnsi="Abadi"/>
          <w:sz w:val="21"/>
          <w:szCs w:val="21"/>
        </w:rPr>
        <w:t>,</w:t>
      </w:r>
      <w:r w:rsidRPr="0030088F">
        <w:rPr>
          <w:rFonts w:ascii="Abadi" w:hAnsi="Abadi"/>
          <w:sz w:val="21"/>
          <w:szCs w:val="21"/>
        </w:rPr>
        <w:t xml:space="preserve"> el arte el artesano que baja desde los callejones con su mercancía para tener un ingreso</w:t>
      </w:r>
      <w:r>
        <w:rPr>
          <w:rFonts w:ascii="Abadi" w:hAnsi="Abadi"/>
          <w:sz w:val="21"/>
          <w:szCs w:val="21"/>
        </w:rPr>
        <w:t>,</w:t>
      </w:r>
      <w:r w:rsidRPr="0030088F">
        <w:rPr>
          <w:rFonts w:ascii="Abadi" w:hAnsi="Abadi"/>
          <w:sz w:val="21"/>
          <w:szCs w:val="21"/>
        </w:rPr>
        <w:t xml:space="preserve"> la madre que lleva a su hija</w:t>
      </w:r>
      <w:r>
        <w:rPr>
          <w:rFonts w:ascii="Abadi" w:hAnsi="Abadi"/>
          <w:sz w:val="21"/>
          <w:szCs w:val="21"/>
        </w:rPr>
        <w:t xml:space="preserve"> a</w:t>
      </w:r>
      <w:r w:rsidRPr="0030088F">
        <w:rPr>
          <w:rFonts w:ascii="Abadi" w:hAnsi="Abadi"/>
          <w:sz w:val="21"/>
          <w:szCs w:val="21"/>
        </w:rPr>
        <w:t xml:space="preserve"> su hijo a la escuela para que esta pequeña y este pequeño tengan sueños</w:t>
      </w:r>
      <w:r>
        <w:rPr>
          <w:rFonts w:ascii="Abadi" w:hAnsi="Abadi"/>
          <w:sz w:val="21"/>
          <w:szCs w:val="21"/>
        </w:rPr>
        <w:t>,</w:t>
      </w:r>
      <w:r w:rsidRPr="0030088F">
        <w:rPr>
          <w:rFonts w:ascii="Abadi" w:hAnsi="Abadi"/>
          <w:sz w:val="21"/>
          <w:szCs w:val="21"/>
        </w:rPr>
        <w:t xml:space="preserve"> y también </w:t>
      </w:r>
      <w:r>
        <w:rPr>
          <w:rFonts w:ascii="Abadi" w:hAnsi="Abadi"/>
          <w:sz w:val="21"/>
          <w:szCs w:val="21"/>
        </w:rPr>
        <w:t>-</w:t>
      </w:r>
      <w:r w:rsidRPr="0030088F">
        <w:rPr>
          <w:rFonts w:ascii="Abadi" w:hAnsi="Abadi"/>
          <w:sz w:val="21"/>
          <w:szCs w:val="21"/>
        </w:rPr>
        <w:t>por qué no</w:t>
      </w:r>
      <w:r>
        <w:rPr>
          <w:rFonts w:ascii="Abadi" w:hAnsi="Abadi"/>
          <w:sz w:val="21"/>
          <w:szCs w:val="21"/>
        </w:rPr>
        <w:t>-</w:t>
      </w:r>
      <w:r w:rsidRPr="0030088F">
        <w:rPr>
          <w:rFonts w:ascii="Abadi" w:hAnsi="Abadi"/>
          <w:sz w:val="21"/>
          <w:szCs w:val="21"/>
        </w:rPr>
        <w:t xml:space="preserve"> lo que vivimos en el nuevo Guanajuato que se quede plasmado</w:t>
      </w:r>
      <w:r>
        <w:rPr>
          <w:rFonts w:ascii="Abadi" w:hAnsi="Abadi"/>
          <w:sz w:val="21"/>
          <w:szCs w:val="21"/>
        </w:rPr>
        <w:t>.</w:t>
      </w:r>
    </w:p>
    <w:p w14:paraId="49F315B9" w14:textId="77777777" w:rsidR="00DB677B" w:rsidRDefault="00DB677B" w:rsidP="00751E3D">
      <w:pPr>
        <w:jc w:val="both"/>
        <w:rPr>
          <w:rFonts w:ascii="Abadi" w:hAnsi="Abadi"/>
          <w:sz w:val="21"/>
          <w:szCs w:val="21"/>
        </w:rPr>
      </w:pPr>
    </w:p>
    <w:p w14:paraId="23935F80" w14:textId="77777777" w:rsidR="00751E3D" w:rsidRDefault="00751E3D" w:rsidP="00751E3D">
      <w:pPr>
        <w:jc w:val="both"/>
        <w:rPr>
          <w:rFonts w:ascii="Abadi" w:hAnsi="Abadi"/>
          <w:sz w:val="21"/>
          <w:szCs w:val="21"/>
        </w:rPr>
      </w:pPr>
      <w:r>
        <w:rPr>
          <w:rFonts w:ascii="Abadi" w:hAnsi="Abadi"/>
          <w:sz w:val="21"/>
          <w:szCs w:val="21"/>
        </w:rPr>
        <w:t>- A</w:t>
      </w:r>
      <w:r w:rsidRPr="0030088F">
        <w:rPr>
          <w:rFonts w:ascii="Abadi" w:hAnsi="Abadi"/>
          <w:sz w:val="21"/>
          <w:szCs w:val="21"/>
        </w:rPr>
        <w:t>sí como la vida la obra y las acciones de estos personajes hombres y mujeres que transitan cada día en su municipio también imparten una gran tarea el educar el definir y el más importante de dejar un legado a las nuevas generaciones</w:t>
      </w:r>
      <w:r>
        <w:rPr>
          <w:rFonts w:ascii="Abadi" w:hAnsi="Abadi"/>
          <w:sz w:val="21"/>
          <w:szCs w:val="21"/>
        </w:rPr>
        <w:t>,</w:t>
      </w:r>
      <w:r w:rsidRPr="0030088F">
        <w:rPr>
          <w:rFonts w:ascii="Abadi" w:hAnsi="Abadi"/>
          <w:sz w:val="21"/>
          <w:szCs w:val="21"/>
        </w:rPr>
        <w:t xml:space="preserve"> hoy no podemos dejar de recordar el pasado sin reconocer a quienes han sido los verdaderos mentores de la vida ciudadana y que hacen en sus crónicas un factor fundamental para entender nuestra realidad y sin dejar nunca una reflexión en el pasado los cronistas del estado de Guanajuato</w:t>
      </w:r>
      <w:r>
        <w:rPr>
          <w:rFonts w:ascii="Abadi" w:hAnsi="Abadi"/>
          <w:sz w:val="21"/>
          <w:szCs w:val="21"/>
        </w:rPr>
        <w:t>,</w:t>
      </w:r>
      <w:r w:rsidRPr="0030088F">
        <w:rPr>
          <w:rFonts w:ascii="Abadi" w:hAnsi="Abadi"/>
          <w:sz w:val="21"/>
          <w:szCs w:val="21"/>
        </w:rPr>
        <w:t xml:space="preserve"> se mantienen organizados desde el año de 1992 cuando por iniciativa del maestro </w:t>
      </w:r>
      <w:r>
        <w:rPr>
          <w:rFonts w:ascii="Abadi" w:hAnsi="Abadi"/>
          <w:sz w:val="21"/>
          <w:szCs w:val="21"/>
        </w:rPr>
        <w:t>I</w:t>
      </w:r>
      <w:r w:rsidRPr="0030088F">
        <w:rPr>
          <w:rFonts w:ascii="Abadi" w:hAnsi="Abadi"/>
          <w:sz w:val="21"/>
          <w:szCs w:val="21"/>
        </w:rPr>
        <w:t xml:space="preserve">sauro </w:t>
      </w:r>
      <w:r>
        <w:rPr>
          <w:rFonts w:ascii="Abadi" w:hAnsi="Abadi"/>
          <w:sz w:val="21"/>
          <w:szCs w:val="21"/>
        </w:rPr>
        <w:t>Ri</w:t>
      </w:r>
      <w:r w:rsidRPr="0030088F">
        <w:rPr>
          <w:rFonts w:ascii="Abadi" w:hAnsi="Abadi"/>
          <w:sz w:val="21"/>
          <w:szCs w:val="21"/>
        </w:rPr>
        <w:t xml:space="preserve">onda </w:t>
      </w:r>
      <w:r>
        <w:rPr>
          <w:rFonts w:ascii="Abadi" w:hAnsi="Abadi"/>
          <w:sz w:val="21"/>
          <w:szCs w:val="21"/>
        </w:rPr>
        <w:t>A</w:t>
      </w:r>
      <w:r w:rsidRPr="0030088F">
        <w:rPr>
          <w:rFonts w:ascii="Abadi" w:hAnsi="Abadi"/>
          <w:sz w:val="21"/>
          <w:szCs w:val="21"/>
        </w:rPr>
        <w:t>rreguín agruparon para crear la asociación de cronistas de este estado</w:t>
      </w:r>
      <w:r>
        <w:rPr>
          <w:rFonts w:ascii="Abadi" w:hAnsi="Abadi"/>
          <w:sz w:val="21"/>
          <w:szCs w:val="21"/>
        </w:rPr>
        <w:t>,</w:t>
      </w:r>
      <w:r w:rsidRPr="0030088F">
        <w:rPr>
          <w:rFonts w:ascii="Abadi" w:hAnsi="Abadi"/>
          <w:sz w:val="21"/>
          <w:szCs w:val="21"/>
        </w:rPr>
        <w:t xml:space="preserve"> en el año del 2013 gracias al </w:t>
      </w:r>
      <w:r>
        <w:rPr>
          <w:rFonts w:ascii="Abadi" w:hAnsi="Abadi"/>
          <w:sz w:val="21"/>
          <w:szCs w:val="21"/>
        </w:rPr>
        <w:t>G</w:t>
      </w:r>
      <w:r w:rsidRPr="0030088F">
        <w:rPr>
          <w:rFonts w:ascii="Abadi" w:hAnsi="Abadi"/>
          <w:sz w:val="21"/>
          <w:szCs w:val="21"/>
        </w:rPr>
        <w:t xml:space="preserve">obernador </w:t>
      </w:r>
      <w:r>
        <w:rPr>
          <w:rFonts w:ascii="Abadi" w:hAnsi="Abadi"/>
          <w:sz w:val="21"/>
          <w:szCs w:val="21"/>
        </w:rPr>
        <w:t>C</w:t>
      </w:r>
      <w:r w:rsidRPr="0030088F">
        <w:rPr>
          <w:rFonts w:ascii="Abadi" w:hAnsi="Abadi"/>
          <w:sz w:val="21"/>
          <w:szCs w:val="21"/>
        </w:rPr>
        <w:t xml:space="preserve">onstitucional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Miguel Márquez </w:t>
      </w:r>
      <w:proofErr w:type="spellStart"/>
      <w:r w:rsidRPr="0030088F">
        <w:rPr>
          <w:rFonts w:ascii="Abadi" w:hAnsi="Abadi"/>
          <w:sz w:val="21"/>
          <w:szCs w:val="21"/>
        </w:rPr>
        <w:t>Márquez</w:t>
      </w:r>
      <w:proofErr w:type="spellEnd"/>
      <w:r>
        <w:rPr>
          <w:rFonts w:ascii="Abadi" w:hAnsi="Abadi"/>
          <w:sz w:val="21"/>
          <w:szCs w:val="21"/>
        </w:rPr>
        <w:t>,</w:t>
      </w:r>
      <w:r w:rsidRPr="0030088F">
        <w:rPr>
          <w:rFonts w:ascii="Abadi" w:hAnsi="Abadi"/>
          <w:sz w:val="21"/>
          <w:szCs w:val="21"/>
        </w:rPr>
        <w:t xml:space="preserve"> firmó la iniciativa de decreto para el reconocimiento oficial de la figura del cronista en </w:t>
      </w:r>
      <w:r>
        <w:rPr>
          <w:rFonts w:ascii="Abadi" w:hAnsi="Abadi"/>
          <w:sz w:val="21"/>
          <w:szCs w:val="21"/>
        </w:rPr>
        <w:t>l</w:t>
      </w:r>
      <w:r w:rsidRPr="0030088F">
        <w:rPr>
          <w:rFonts w:ascii="Abadi" w:hAnsi="Abadi"/>
          <w:sz w:val="21"/>
          <w:szCs w:val="21"/>
        </w:rPr>
        <w:t xml:space="preserve">a </w:t>
      </w:r>
      <w:r>
        <w:rPr>
          <w:rFonts w:ascii="Abadi" w:hAnsi="Abadi"/>
          <w:sz w:val="21"/>
          <w:szCs w:val="21"/>
        </w:rPr>
        <w:t>L</w:t>
      </w:r>
      <w:r w:rsidRPr="0030088F">
        <w:rPr>
          <w:rFonts w:ascii="Abadi" w:hAnsi="Abadi"/>
          <w:sz w:val="21"/>
          <w:szCs w:val="21"/>
        </w:rPr>
        <w:t xml:space="preserve">ey </w:t>
      </w:r>
      <w:r>
        <w:rPr>
          <w:rFonts w:ascii="Abadi" w:hAnsi="Abadi"/>
          <w:sz w:val="21"/>
          <w:szCs w:val="21"/>
        </w:rPr>
        <w:t>O</w:t>
      </w:r>
      <w:r w:rsidRPr="0030088F">
        <w:rPr>
          <w:rFonts w:ascii="Abadi" w:hAnsi="Abadi"/>
          <w:sz w:val="21"/>
          <w:szCs w:val="21"/>
        </w:rPr>
        <w:t xml:space="preserve">rgánica </w:t>
      </w:r>
      <w:r>
        <w:rPr>
          <w:rFonts w:ascii="Abadi" w:hAnsi="Abadi"/>
          <w:sz w:val="21"/>
          <w:szCs w:val="21"/>
        </w:rPr>
        <w:t>M</w:t>
      </w:r>
      <w:r w:rsidRPr="0030088F">
        <w:rPr>
          <w:rFonts w:ascii="Abadi" w:hAnsi="Abadi"/>
          <w:sz w:val="21"/>
          <w:szCs w:val="21"/>
        </w:rPr>
        <w:t>unicipal</w:t>
      </w:r>
      <w:r>
        <w:rPr>
          <w:rFonts w:ascii="Abadi" w:hAnsi="Abadi"/>
          <w:sz w:val="21"/>
          <w:szCs w:val="21"/>
        </w:rPr>
        <w:t>,</w:t>
      </w:r>
      <w:r w:rsidRPr="0030088F">
        <w:rPr>
          <w:rFonts w:ascii="Abadi" w:hAnsi="Abadi"/>
          <w:sz w:val="21"/>
          <w:szCs w:val="21"/>
        </w:rPr>
        <w:t xml:space="preserve"> mismo que entró en vigor el 10/05/2014 2014 convirtiéndose así el cronista en una figura oficial que la que la </w:t>
      </w:r>
      <w:r w:rsidRPr="0030088F">
        <w:rPr>
          <w:rFonts w:ascii="Abadi" w:hAnsi="Abadi"/>
          <w:sz w:val="21"/>
          <w:szCs w:val="21"/>
        </w:rPr>
        <w:t>recuperación de la memoria histórica sea para estos pueblos</w:t>
      </w:r>
      <w:r>
        <w:rPr>
          <w:rFonts w:ascii="Abadi" w:hAnsi="Abadi"/>
          <w:sz w:val="21"/>
          <w:szCs w:val="21"/>
        </w:rPr>
        <w:t xml:space="preserve">. </w:t>
      </w:r>
    </w:p>
    <w:p w14:paraId="44F5074B" w14:textId="77777777" w:rsidR="00DB677B" w:rsidRDefault="00DB677B" w:rsidP="00751E3D">
      <w:pPr>
        <w:jc w:val="both"/>
        <w:rPr>
          <w:rFonts w:ascii="Abadi" w:hAnsi="Abadi"/>
          <w:sz w:val="21"/>
          <w:szCs w:val="21"/>
        </w:rPr>
      </w:pPr>
    </w:p>
    <w:p w14:paraId="67C37921" w14:textId="77777777" w:rsidR="00751E3D" w:rsidRDefault="00751E3D" w:rsidP="00751E3D">
      <w:pPr>
        <w:jc w:val="both"/>
        <w:rPr>
          <w:rFonts w:ascii="Abadi" w:hAnsi="Abadi"/>
          <w:sz w:val="21"/>
          <w:szCs w:val="21"/>
        </w:rPr>
      </w:pPr>
      <w:r>
        <w:rPr>
          <w:rFonts w:ascii="Abadi" w:hAnsi="Abadi"/>
          <w:sz w:val="21"/>
          <w:szCs w:val="21"/>
        </w:rPr>
        <w:t>- D</w:t>
      </w:r>
      <w:r w:rsidRPr="0030088F">
        <w:rPr>
          <w:rFonts w:ascii="Abadi" w:hAnsi="Abadi"/>
          <w:sz w:val="21"/>
          <w:szCs w:val="21"/>
        </w:rPr>
        <w:t>e ahí</w:t>
      </w:r>
      <w:r>
        <w:rPr>
          <w:rFonts w:ascii="Abadi" w:hAnsi="Abadi"/>
          <w:sz w:val="21"/>
          <w:szCs w:val="21"/>
        </w:rPr>
        <w:t>,</w:t>
      </w:r>
      <w:r w:rsidRPr="0030088F">
        <w:rPr>
          <w:rFonts w:ascii="Abadi" w:hAnsi="Abadi"/>
          <w:sz w:val="21"/>
          <w:szCs w:val="21"/>
        </w:rPr>
        <w:t xml:space="preserve"> debemos también</w:t>
      </w:r>
      <w:r>
        <w:rPr>
          <w:rFonts w:ascii="Abadi" w:hAnsi="Abadi"/>
          <w:sz w:val="21"/>
          <w:szCs w:val="21"/>
        </w:rPr>
        <w:t>,</w:t>
      </w:r>
      <w:r w:rsidRPr="0030088F">
        <w:rPr>
          <w:rFonts w:ascii="Abadi" w:hAnsi="Abadi"/>
          <w:sz w:val="21"/>
          <w:szCs w:val="21"/>
        </w:rPr>
        <w:t xml:space="preserve"> impulsar que todos los municipios tengan</w:t>
      </w:r>
      <w:r>
        <w:rPr>
          <w:rFonts w:ascii="Abadi" w:hAnsi="Abadi"/>
          <w:sz w:val="21"/>
          <w:szCs w:val="21"/>
        </w:rPr>
        <w:t>,</w:t>
      </w:r>
      <w:r w:rsidRPr="0030088F">
        <w:rPr>
          <w:rFonts w:ascii="Abadi" w:hAnsi="Abadi"/>
          <w:sz w:val="21"/>
          <w:szCs w:val="21"/>
        </w:rPr>
        <w:t xml:space="preserve"> preserven y formalicen a su cronista</w:t>
      </w:r>
      <w:r>
        <w:rPr>
          <w:rFonts w:ascii="Abadi" w:hAnsi="Abadi"/>
          <w:sz w:val="21"/>
          <w:szCs w:val="21"/>
        </w:rPr>
        <w:t>,</w:t>
      </w:r>
      <w:r w:rsidRPr="0030088F">
        <w:rPr>
          <w:rFonts w:ascii="Abadi" w:hAnsi="Abadi"/>
          <w:sz w:val="21"/>
          <w:szCs w:val="21"/>
        </w:rPr>
        <w:t xml:space="preserve"> como sociedad y gobierno se debe de respetar el trabajo del cronista municipal</w:t>
      </w:r>
      <w:r>
        <w:rPr>
          <w:rFonts w:ascii="Abadi" w:hAnsi="Abadi"/>
          <w:sz w:val="21"/>
          <w:szCs w:val="21"/>
        </w:rPr>
        <w:t>,</w:t>
      </w:r>
      <w:r w:rsidRPr="0030088F">
        <w:rPr>
          <w:rFonts w:ascii="Abadi" w:hAnsi="Abadi"/>
          <w:sz w:val="21"/>
          <w:szCs w:val="21"/>
        </w:rPr>
        <w:t xml:space="preserve"> apoyarle que tenga los medios necesarios para el cumplimiento de su función importante</w:t>
      </w:r>
      <w:r>
        <w:rPr>
          <w:rFonts w:ascii="Abadi" w:hAnsi="Abadi"/>
          <w:sz w:val="21"/>
          <w:szCs w:val="21"/>
        </w:rPr>
        <w:t>,</w:t>
      </w:r>
      <w:r w:rsidRPr="0030088F">
        <w:rPr>
          <w:rFonts w:ascii="Abadi" w:hAnsi="Abadi"/>
          <w:sz w:val="21"/>
          <w:szCs w:val="21"/>
        </w:rPr>
        <w:t xml:space="preserve"> el 25 de junio gracias a nuestro</w:t>
      </w:r>
      <w:r>
        <w:rPr>
          <w:rFonts w:ascii="Abadi" w:hAnsi="Abadi"/>
          <w:sz w:val="21"/>
          <w:szCs w:val="21"/>
        </w:rPr>
        <w:t>, del</w:t>
      </w:r>
      <w:r w:rsidRPr="0030088F">
        <w:rPr>
          <w:rFonts w:ascii="Abadi" w:hAnsi="Abadi"/>
          <w:sz w:val="21"/>
          <w:szCs w:val="21"/>
        </w:rPr>
        <w:t xml:space="preserve"> año 2021 gracias a nuestro gobernador Diego Sinhue </w:t>
      </w:r>
      <w:r>
        <w:rPr>
          <w:rFonts w:ascii="Abadi" w:hAnsi="Abadi"/>
          <w:sz w:val="21"/>
          <w:szCs w:val="21"/>
        </w:rPr>
        <w:t>R</w:t>
      </w:r>
      <w:r w:rsidRPr="0030088F">
        <w:rPr>
          <w:rFonts w:ascii="Abadi" w:hAnsi="Abadi"/>
          <w:sz w:val="21"/>
          <w:szCs w:val="21"/>
        </w:rPr>
        <w:t xml:space="preserve">odríguez </w:t>
      </w:r>
      <w:r>
        <w:rPr>
          <w:rFonts w:ascii="Abadi" w:hAnsi="Abadi"/>
          <w:sz w:val="21"/>
          <w:szCs w:val="21"/>
        </w:rPr>
        <w:t>V</w:t>
      </w:r>
      <w:r w:rsidRPr="0030088F">
        <w:rPr>
          <w:rFonts w:ascii="Abadi" w:hAnsi="Abadi"/>
          <w:sz w:val="21"/>
          <w:szCs w:val="21"/>
        </w:rPr>
        <w:t>allejo</w:t>
      </w:r>
      <w:r>
        <w:rPr>
          <w:rFonts w:ascii="Abadi" w:hAnsi="Abadi"/>
          <w:sz w:val="21"/>
          <w:szCs w:val="21"/>
        </w:rPr>
        <w:t>,</w:t>
      </w:r>
      <w:r w:rsidRPr="0030088F">
        <w:rPr>
          <w:rFonts w:ascii="Abadi" w:hAnsi="Abadi"/>
          <w:sz w:val="21"/>
          <w:szCs w:val="21"/>
        </w:rPr>
        <w:t xml:space="preserve"> entregó el decreto gubernativo que formaliza la celebración del </w:t>
      </w:r>
      <w:r>
        <w:rPr>
          <w:rFonts w:ascii="Abadi" w:hAnsi="Abadi"/>
          <w:sz w:val="21"/>
          <w:szCs w:val="21"/>
        </w:rPr>
        <w:t>“D</w:t>
      </w:r>
      <w:r w:rsidRPr="0030088F">
        <w:rPr>
          <w:rFonts w:ascii="Abadi" w:hAnsi="Abadi"/>
          <w:sz w:val="21"/>
          <w:szCs w:val="21"/>
        </w:rPr>
        <w:t xml:space="preserve">ía </w:t>
      </w:r>
      <w:r>
        <w:rPr>
          <w:rFonts w:ascii="Abadi" w:hAnsi="Abadi"/>
          <w:sz w:val="21"/>
          <w:szCs w:val="21"/>
        </w:rPr>
        <w:t>E</w:t>
      </w:r>
      <w:r w:rsidRPr="0030088F">
        <w:rPr>
          <w:rFonts w:ascii="Abadi" w:hAnsi="Abadi"/>
          <w:sz w:val="21"/>
          <w:szCs w:val="21"/>
        </w:rPr>
        <w:t xml:space="preserve">statal del </w:t>
      </w:r>
      <w:r>
        <w:rPr>
          <w:rFonts w:ascii="Abadi" w:hAnsi="Abadi"/>
          <w:sz w:val="21"/>
          <w:szCs w:val="21"/>
        </w:rPr>
        <w:t>C</w:t>
      </w:r>
      <w:r w:rsidRPr="0030088F">
        <w:rPr>
          <w:rFonts w:ascii="Abadi" w:hAnsi="Abadi"/>
          <w:sz w:val="21"/>
          <w:szCs w:val="21"/>
        </w:rPr>
        <w:t>ronista</w:t>
      </w:r>
      <w:r>
        <w:rPr>
          <w:rFonts w:ascii="Abadi" w:hAnsi="Abadi"/>
          <w:sz w:val="21"/>
          <w:szCs w:val="21"/>
        </w:rPr>
        <w:t>”</w:t>
      </w:r>
      <w:r w:rsidRPr="0030088F">
        <w:rPr>
          <w:rFonts w:ascii="Abadi" w:hAnsi="Abadi"/>
          <w:sz w:val="21"/>
          <w:szCs w:val="21"/>
        </w:rPr>
        <w:t xml:space="preserve"> la fecha se eligió porque el 25 de junio del año 1992 se celebró la primera asamblea de cronistas en el estado de Guanajuato</w:t>
      </w:r>
      <w:r>
        <w:rPr>
          <w:rFonts w:ascii="Abadi" w:hAnsi="Abadi"/>
          <w:sz w:val="21"/>
          <w:szCs w:val="21"/>
        </w:rPr>
        <w:t>,</w:t>
      </w:r>
      <w:r w:rsidRPr="0030088F">
        <w:rPr>
          <w:rFonts w:ascii="Abadi" w:hAnsi="Abadi"/>
          <w:sz w:val="21"/>
          <w:szCs w:val="21"/>
        </w:rPr>
        <w:t xml:space="preserve"> por tal motivo</w:t>
      </w:r>
      <w:r>
        <w:rPr>
          <w:rFonts w:ascii="Abadi" w:hAnsi="Abadi"/>
          <w:sz w:val="21"/>
          <w:szCs w:val="21"/>
        </w:rPr>
        <w:t>,</w:t>
      </w:r>
      <w:r w:rsidRPr="0030088F">
        <w:rPr>
          <w:rFonts w:ascii="Abadi" w:hAnsi="Abadi"/>
          <w:sz w:val="21"/>
          <w:szCs w:val="21"/>
        </w:rPr>
        <w:t xml:space="preserve"> deseo felicitar este 25 de junio a todos los cronistas del estado de Guanajuato</w:t>
      </w:r>
      <w:r>
        <w:rPr>
          <w:rFonts w:ascii="Abadi" w:hAnsi="Abadi"/>
          <w:sz w:val="21"/>
          <w:szCs w:val="21"/>
        </w:rPr>
        <w:t>.</w:t>
      </w:r>
    </w:p>
    <w:p w14:paraId="510AD9B4" w14:textId="77777777" w:rsidR="00751E3D" w:rsidRDefault="00751E3D" w:rsidP="00751E3D">
      <w:pPr>
        <w:jc w:val="both"/>
        <w:rPr>
          <w:rFonts w:ascii="Abadi" w:hAnsi="Abadi"/>
          <w:sz w:val="21"/>
          <w:szCs w:val="21"/>
        </w:rPr>
      </w:pPr>
      <w:r>
        <w:rPr>
          <w:rFonts w:ascii="Abadi" w:hAnsi="Abadi"/>
          <w:sz w:val="21"/>
          <w:szCs w:val="21"/>
        </w:rPr>
        <w:t>- A</w:t>
      </w:r>
      <w:r w:rsidRPr="0030088F">
        <w:rPr>
          <w:rFonts w:ascii="Abadi" w:hAnsi="Abadi"/>
          <w:sz w:val="21"/>
          <w:szCs w:val="21"/>
        </w:rPr>
        <w:t>sí hacemos un homenaje para que todas aquellas personas que han entregado su vida y que han apoyado y que han estado orgullosos de cada uno de sus municipios</w:t>
      </w:r>
      <w:r>
        <w:rPr>
          <w:rFonts w:ascii="Abadi" w:hAnsi="Abadi"/>
          <w:sz w:val="21"/>
          <w:szCs w:val="21"/>
        </w:rPr>
        <w:t>,</w:t>
      </w:r>
      <w:r w:rsidRPr="0030088F">
        <w:rPr>
          <w:rFonts w:ascii="Abadi" w:hAnsi="Abadi"/>
          <w:sz w:val="21"/>
          <w:szCs w:val="21"/>
        </w:rPr>
        <w:t xml:space="preserve"> sigan trabajando y gracias a ellos seguir formando ciudadanos de bien porque el ciudadano de bien </w:t>
      </w:r>
      <w:r>
        <w:rPr>
          <w:rFonts w:ascii="Abadi" w:hAnsi="Abadi"/>
          <w:sz w:val="21"/>
          <w:szCs w:val="21"/>
        </w:rPr>
        <w:t>¡</w:t>
      </w:r>
      <w:r w:rsidRPr="0030088F">
        <w:rPr>
          <w:rFonts w:ascii="Abadi" w:hAnsi="Abadi"/>
          <w:sz w:val="21"/>
          <w:szCs w:val="21"/>
        </w:rPr>
        <w:t>es la grandeza de este estado</w:t>
      </w:r>
      <w:r>
        <w:rPr>
          <w:rFonts w:ascii="Abadi" w:hAnsi="Abadi"/>
          <w:sz w:val="21"/>
          <w:szCs w:val="21"/>
        </w:rPr>
        <w:t>!</w:t>
      </w:r>
    </w:p>
    <w:p w14:paraId="32254913" w14:textId="77777777" w:rsidR="00DB677B" w:rsidRDefault="00DB677B" w:rsidP="00751E3D">
      <w:pPr>
        <w:jc w:val="both"/>
        <w:rPr>
          <w:rFonts w:ascii="Abadi" w:hAnsi="Abadi"/>
          <w:sz w:val="21"/>
          <w:szCs w:val="21"/>
        </w:rPr>
      </w:pPr>
    </w:p>
    <w:p w14:paraId="284EABC1"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 cuanto muchas</w:t>
      </w:r>
      <w:r>
        <w:rPr>
          <w:rFonts w:ascii="Abadi" w:hAnsi="Abadi"/>
          <w:sz w:val="21"/>
          <w:szCs w:val="21"/>
        </w:rPr>
        <w:t xml:space="preserve"> gracias.</w:t>
      </w:r>
    </w:p>
    <w:p w14:paraId="1D2D16F9" w14:textId="77777777" w:rsidR="00DB677B" w:rsidRDefault="00DB677B" w:rsidP="00751E3D">
      <w:pPr>
        <w:jc w:val="both"/>
        <w:rPr>
          <w:rFonts w:ascii="Abadi" w:hAnsi="Abadi"/>
          <w:sz w:val="21"/>
          <w:szCs w:val="21"/>
        </w:rPr>
      </w:pPr>
    </w:p>
    <w:p w14:paraId="6D1FCB06" w14:textId="77777777" w:rsidR="00751E3D" w:rsidRDefault="00751E3D" w:rsidP="00751E3D">
      <w:pPr>
        <w:jc w:val="both"/>
        <w:rPr>
          <w:rFonts w:ascii="Abadi" w:hAnsi="Abadi"/>
          <w:sz w:val="21"/>
          <w:szCs w:val="21"/>
        </w:rPr>
      </w:pPr>
      <w:r>
        <w:rPr>
          <w:rFonts w:ascii="Abadi" w:hAnsi="Abadi"/>
          <w:sz w:val="21"/>
          <w:szCs w:val="21"/>
        </w:rPr>
        <w:tab/>
      </w:r>
      <w:r w:rsidRPr="006A6EDA">
        <w:rPr>
          <w:rFonts w:ascii="Abadi" w:hAnsi="Abadi"/>
          <w:b/>
          <w:bCs/>
          <w:sz w:val="21"/>
          <w:szCs w:val="21"/>
        </w:rPr>
        <w:t xml:space="preserve">- La </w:t>
      </w:r>
      <w:proofErr w:type="gramStart"/>
      <w:r w:rsidRPr="006A6EDA">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 se concede el uso de la voz al diputado Gerardo Fernández González hasta por 10 minutos</w:t>
      </w:r>
      <w:r>
        <w:rPr>
          <w:rFonts w:ascii="Abadi" w:hAnsi="Abadi"/>
          <w:sz w:val="21"/>
          <w:szCs w:val="21"/>
        </w:rPr>
        <w:t>.</w:t>
      </w:r>
    </w:p>
    <w:p w14:paraId="77BCA30E" w14:textId="77777777" w:rsidR="00751E3D" w:rsidRDefault="00751E3D" w:rsidP="00751E3D">
      <w:pPr>
        <w:jc w:val="both"/>
        <w:rPr>
          <w:rFonts w:ascii="Abadi" w:hAnsi="Abadi"/>
          <w:sz w:val="21"/>
          <w:szCs w:val="21"/>
        </w:rPr>
      </w:pPr>
      <w:r>
        <w:rPr>
          <w:rFonts w:ascii="Abadi" w:hAnsi="Abadi"/>
          <w:sz w:val="21"/>
          <w:szCs w:val="21"/>
        </w:rPr>
        <w:t>- A</w:t>
      </w:r>
      <w:r w:rsidRPr="0030088F">
        <w:rPr>
          <w:rFonts w:ascii="Abadi" w:hAnsi="Abadi"/>
          <w:sz w:val="21"/>
          <w:szCs w:val="21"/>
        </w:rPr>
        <w:t>delante</w:t>
      </w:r>
      <w:r>
        <w:rPr>
          <w:rFonts w:ascii="Abadi" w:hAnsi="Abadi"/>
          <w:sz w:val="21"/>
          <w:szCs w:val="21"/>
        </w:rPr>
        <w:t>.</w:t>
      </w:r>
    </w:p>
    <w:p w14:paraId="03F66510" w14:textId="77777777" w:rsidR="00DB677B" w:rsidRDefault="00DB677B" w:rsidP="00751E3D">
      <w:pPr>
        <w:jc w:val="both"/>
        <w:rPr>
          <w:rFonts w:ascii="Abadi" w:hAnsi="Abadi"/>
          <w:sz w:val="21"/>
          <w:szCs w:val="21"/>
        </w:rPr>
      </w:pPr>
    </w:p>
    <w:p w14:paraId="1AC85649" w14:textId="77777777" w:rsidR="00751E3D" w:rsidRDefault="00751E3D" w:rsidP="00751E3D">
      <w:pPr>
        <w:jc w:val="both"/>
        <w:rPr>
          <w:noProof/>
        </w:rPr>
      </w:pPr>
      <w:r w:rsidRPr="0021218C">
        <w:rPr>
          <w:rFonts w:ascii="Abadi" w:hAnsi="Abadi"/>
          <w:b/>
          <w:bCs/>
          <w:sz w:val="21"/>
          <w:szCs w:val="21"/>
        </w:rPr>
        <w:t>(Sube a tribuna el diputado Gerardo Fernández González, para hablar en asuntos de interés general)</w:t>
      </w:r>
      <w:r w:rsidRPr="00DF0FBA">
        <w:rPr>
          <w:noProof/>
        </w:rPr>
        <w:t xml:space="preserve"> </w:t>
      </w:r>
    </w:p>
    <w:p w14:paraId="12A2EE49" w14:textId="77777777" w:rsidR="00751E3D" w:rsidRDefault="00751E3D" w:rsidP="00751E3D">
      <w:pPr>
        <w:jc w:val="both"/>
        <w:rPr>
          <w:noProof/>
        </w:rPr>
      </w:pPr>
    </w:p>
    <w:p w14:paraId="0F9C301A" w14:textId="77777777" w:rsidR="00751E3D" w:rsidRPr="0021218C" w:rsidRDefault="00751E3D" w:rsidP="00751E3D">
      <w:pPr>
        <w:jc w:val="both"/>
        <w:rPr>
          <w:rFonts w:ascii="Abadi" w:hAnsi="Abadi"/>
          <w:b/>
          <w:bCs/>
          <w:sz w:val="21"/>
          <w:szCs w:val="21"/>
        </w:rPr>
      </w:pPr>
      <w:r>
        <w:rPr>
          <w:noProof/>
        </w:rPr>
        <w:drawing>
          <wp:inline distT="0" distB="0" distL="0" distR="0" wp14:anchorId="63293C38" wp14:editId="3FF82E60">
            <wp:extent cx="1157910" cy="590550"/>
            <wp:effectExtent l="247650" t="228600" r="252095" b="704850"/>
            <wp:docPr id="30123426" name="Imagen 30123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23426" name=""/>
                    <pic:cNvPicPr/>
                  </pic:nvPicPr>
                  <pic:blipFill rotWithShape="1">
                    <a:blip r:embed="rId75"/>
                    <a:srcRect b="9324"/>
                    <a:stretch/>
                  </pic:blipFill>
                  <pic:spPr bwMode="auto">
                    <a:xfrm>
                      <a:off x="0" y="0"/>
                      <a:ext cx="1171076" cy="5972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5EE1728" w14:textId="77777777" w:rsidR="00751E3D" w:rsidRDefault="00751E3D" w:rsidP="00751E3D">
      <w:pPr>
        <w:jc w:val="both"/>
        <w:rPr>
          <w:rFonts w:ascii="Abadi" w:hAnsi="Abadi"/>
          <w:sz w:val="21"/>
          <w:szCs w:val="21"/>
        </w:rPr>
      </w:pPr>
      <w:r>
        <w:rPr>
          <w:rFonts w:ascii="Abadi" w:hAnsi="Abadi"/>
          <w:sz w:val="21"/>
          <w:szCs w:val="21"/>
        </w:rPr>
        <w:t>- C</w:t>
      </w:r>
      <w:r w:rsidRPr="0030088F">
        <w:rPr>
          <w:rFonts w:ascii="Abadi" w:hAnsi="Abadi"/>
          <w:sz w:val="21"/>
          <w:szCs w:val="21"/>
        </w:rPr>
        <w:t xml:space="preserve">on el permiso de la presidencia 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 xml:space="preserve">irectiva el diputado </w:t>
      </w:r>
      <w:r>
        <w:rPr>
          <w:rFonts w:ascii="Abadi" w:hAnsi="Abadi"/>
          <w:sz w:val="21"/>
          <w:szCs w:val="21"/>
        </w:rPr>
        <w:t xml:space="preserve">Bricio </w:t>
      </w:r>
      <w:r w:rsidRPr="0030088F">
        <w:rPr>
          <w:rFonts w:ascii="Abadi" w:hAnsi="Abadi"/>
          <w:sz w:val="21"/>
          <w:szCs w:val="21"/>
        </w:rPr>
        <w:t>especialmente compañeras compañeros es un gusto poder volver a estar acá en tribuna los habitantes del cuevano suelen mirar a su alrededor y después concluir</w:t>
      </w:r>
      <w:r>
        <w:rPr>
          <w:rFonts w:ascii="Abadi" w:hAnsi="Abadi"/>
          <w:sz w:val="21"/>
          <w:szCs w:val="21"/>
        </w:rPr>
        <w:t>,</w:t>
      </w:r>
      <w:r w:rsidRPr="0030088F">
        <w:rPr>
          <w:rFonts w:ascii="Abadi" w:hAnsi="Abadi"/>
          <w:sz w:val="21"/>
          <w:szCs w:val="21"/>
        </w:rPr>
        <w:t xml:space="preserve"> modestia aparte</w:t>
      </w:r>
      <w:r>
        <w:rPr>
          <w:rFonts w:ascii="Abadi" w:hAnsi="Abadi"/>
          <w:sz w:val="21"/>
          <w:szCs w:val="21"/>
        </w:rPr>
        <w:t>,</w:t>
      </w:r>
      <w:r w:rsidRPr="0030088F">
        <w:rPr>
          <w:rFonts w:ascii="Abadi" w:hAnsi="Abadi"/>
          <w:sz w:val="21"/>
          <w:szCs w:val="21"/>
        </w:rPr>
        <w:t xml:space="preserve"> somos el </w:t>
      </w:r>
      <w:r w:rsidRPr="0030088F">
        <w:rPr>
          <w:rFonts w:ascii="Abadi" w:hAnsi="Abadi"/>
          <w:sz w:val="21"/>
          <w:szCs w:val="21"/>
        </w:rPr>
        <w:lastRenderedPageBreak/>
        <w:t>Atenas de por aquí</w:t>
      </w:r>
      <w:r>
        <w:rPr>
          <w:rFonts w:ascii="Abadi" w:hAnsi="Abadi"/>
          <w:sz w:val="21"/>
          <w:szCs w:val="21"/>
        </w:rPr>
        <w:t>,</w:t>
      </w:r>
      <w:r w:rsidRPr="0030088F">
        <w:rPr>
          <w:rFonts w:ascii="Abadi" w:hAnsi="Abadi"/>
          <w:sz w:val="21"/>
          <w:szCs w:val="21"/>
        </w:rPr>
        <w:t xml:space="preserve"> decía el gran Jorge </w:t>
      </w:r>
      <w:r>
        <w:rPr>
          <w:rFonts w:ascii="Abadi" w:hAnsi="Abadi"/>
          <w:sz w:val="21"/>
          <w:szCs w:val="21"/>
        </w:rPr>
        <w:t>I</w:t>
      </w:r>
      <w:r w:rsidRPr="0030088F">
        <w:rPr>
          <w:rFonts w:ascii="Abadi" w:hAnsi="Abadi"/>
          <w:sz w:val="21"/>
          <w:szCs w:val="21"/>
        </w:rPr>
        <w:t xml:space="preserve">bargüengoitia y aunque hacía referencia a personajes ficticios </w:t>
      </w:r>
      <w:r>
        <w:rPr>
          <w:rFonts w:ascii="Abadi" w:hAnsi="Abadi"/>
          <w:sz w:val="21"/>
          <w:szCs w:val="21"/>
        </w:rPr>
        <w:t>l</w:t>
      </w:r>
      <w:r w:rsidRPr="0030088F">
        <w:rPr>
          <w:rFonts w:ascii="Abadi" w:hAnsi="Abadi"/>
          <w:sz w:val="21"/>
          <w:szCs w:val="21"/>
        </w:rPr>
        <w:t>a historia de Elías</w:t>
      </w:r>
      <w:r>
        <w:rPr>
          <w:rFonts w:ascii="Abadi" w:hAnsi="Abadi"/>
          <w:sz w:val="21"/>
          <w:szCs w:val="21"/>
        </w:rPr>
        <w:t xml:space="preserve">, </w:t>
      </w:r>
      <w:r w:rsidRPr="0030088F">
        <w:rPr>
          <w:rFonts w:ascii="Abadi" w:hAnsi="Abadi"/>
          <w:sz w:val="21"/>
          <w:szCs w:val="21"/>
        </w:rPr>
        <w:t>Trujillo queda corta ante la realidad que vivimos</w:t>
      </w:r>
      <w:r>
        <w:rPr>
          <w:rFonts w:ascii="Abadi" w:hAnsi="Abadi"/>
          <w:sz w:val="21"/>
          <w:szCs w:val="21"/>
        </w:rPr>
        <w:t>,</w:t>
      </w:r>
      <w:r w:rsidRPr="0030088F">
        <w:rPr>
          <w:rFonts w:ascii="Abadi" w:hAnsi="Abadi"/>
          <w:sz w:val="21"/>
          <w:szCs w:val="21"/>
        </w:rPr>
        <w:t xml:space="preserve"> hace unos días vimos cómo el rector de la prestigiosa universidad de Guanajuato</w:t>
      </w:r>
      <w:r>
        <w:rPr>
          <w:rFonts w:ascii="Abadi" w:hAnsi="Abadi"/>
          <w:sz w:val="21"/>
          <w:szCs w:val="21"/>
        </w:rPr>
        <w:t>,</w:t>
      </w:r>
      <w:r w:rsidRPr="0030088F">
        <w:rPr>
          <w:rFonts w:ascii="Abadi" w:hAnsi="Abadi"/>
          <w:sz w:val="21"/>
          <w:szCs w:val="21"/>
        </w:rPr>
        <w:t xml:space="preserve"> dicho sea de paso</w:t>
      </w:r>
      <w:r>
        <w:rPr>
          <w:rFonts w:ascii="Abadi" w:hAnsi="Abadi"/>
          <w:sz w:val="21"/>
          <w:szCs w:val="21"/>
        </w:rPr>
        <w:t>,</w:t>
      </w:r>
      <w:r w:rsidRPr="0030088F">
        <w:rPr>
          <w:rFonts w:ascii="Abadi" w:hAnsi="Abadi"/>
          <w:sz w:val="21"/>
          <w:szCs w:val="21"/>
        </w:rPr>
        <w:t xml:space="preserve"> doctor en derecho</w:t>
      </w:r>
      <w:r>
        <w:rPr>
          <w:rFonts w:ascii="Abadi" w:hAnsi="Abadi"/>
          <w:sz w:val="21"/>
          <w:szCs w:val="21"/>
        </w:rPr>
        <w:t>,</w:t>
      </w:r>
      <w:r w:rsidRPr="0030088F">
        <w:rPr>
          <w:rFonts w:ascii="Abadi" w:hAnsi="Abadi"/>
          <w:sz w:val="21"/>
          <w:szCs w:val="21"/>
        </w:rPr>
        <w:t xml:space="preserve"> irrumpió de forma ilegal en las instalaciones del periódico correo ubicadas aquí en Guanajuato acompañado además de varias personas</w:t>
      </w:r>
      <w:r>
        <w:rPr>
          <w:rFonts w:ascii="Abadi" w:hAnsi="Abadi"/>
          <w:sz w:val="21"/>
          <w:szCs w:val="21"/>
        </w:rPr>
        <w:t>,</w:t>
      </w:r>
      <w:r w:rsidRPr="0030088F">
        <w:rPr>
          <w:rFonts w:ascii="Abadi" w:hAnsi="Abadi"/>
          <w:sz w:val="21"/>
          <w:szCs w:val="21"/>
        </w:rPr>
        <w:t xml:space="preserve"> también con grados académicos premios y reconocimientos</w:t>
      </w:r>
      <w:r>
        <w:rPr>
          <w:rFonts w:ascii="Abadi" w:hAnsi="Abadi"/>
          <w:sz w:val="21"/>
          <w:szCs w:val="21"/>
        </w:rPr>
        <w:t>,</w:t>
      </w:r>
      <w:r w:rsidRPr="0030088F">
        <w:rPr>
          <w:rFonts w:ascii="Abadi" w:hAnsi="Abadi"/>
          <w:sz w:val="21"/>
          <w:szCs w:val="21"/>
        </w:rPr>
        <w:t xml:space="preserve"> ello irónicamente</w:t>
      </w:r>
      <w:r>
        <w:rPr>
          <w:rFonts w:ascii="Abadi" w:hAnsi="Abadi"/>
          <w:sz w:val="21"/>
          <w:szCs w:val="21"/>
        </w:rPr>
        <w:t>,</w:t>
      </w:r>
      <w:r w:rsidRPr="0030088F">
        <w:rPr>
          <w:rFonts w:ascii="Abadi" w:hAnsi="Abadi"/>
          <w:sz w:val="21"/>
          <w:szCs w:val="21"/>
        </w:rPr>
        <w:t xml:space="preserve"> para exigir el derecho de réplica</w:t>
      </w:r>
      <w:r>
        <w:rPr>
          <w:rFonts w:ascii="Abadi" w:hAnsi="Abadi"/>
          <w:sz w:val="21"/>
          <w:szCs w:val="21"/>
        </w:rPr>
        <w:t>,</w:t>
      </w:r>
      <w:r w:rsidRPr="0030088F">
        <w:rPr>
          <w:rFonts w:ascii="Abadi" w:hAnsi="Abadi"/>
          <w:sz w:val="21"/>
          <w:szCs w:val="21"/>
        </w:rPr>
        <w:t xml:space="preserve"> para aclarar una nota periodística</w:t>
      </w:r>
      <w:r>
        <w:rPr>
          <w:rFonts w:ascii="Abadi" w:hAnsi="Abadi"/>
          <w:sz w:val="21"/>
          <w:szCs w:val="21"/>
        </w:rPr>
        <w:t>,</w:t>
      </w:r>
      <w:r w:rsidRPr="0030088F">
        <w:rPr>
          <w:rFonts w:ascii="Abadi" w:hAnsi="Abadi"/>
          <w:sz w:val="21"/>
          <w:szCs w:val="21"/>
        </w:rPr>
        <w:t xml:space="preserve"> que hacía referencia a que la calificación de la universidad había disminuido y estaba lejos de donde se ubicaba cuando el actual rector tomó las riendas </w:t>
      </w:r>
      <w:r>
        <w:rPr>
          <w:rFonts w:ascii="Abadi" w:hAnsi="Abadi"/>
          <w:sz w:val="21"/>
          <w:szCs w:val="21"/>
        </w:rPr>
        <w:t>-</w:t>
      </w:r>
      <w:r w:rsidRPr="0030088F">
        <w:rPr>
          <w:rFonts w:ascii="Abadi" w:hAnsi="Abadi"/>
          <w:sz w:val="21"/>
          <w:szCs w:val="21"/>
        </w:rPr>
        <w:t>y sí</w:t>
      </w:r>
      <w:r>
        <w:rPr>
          <w:rFonts w:ascii="Abadi" w:hAnsi="Abadi"/>
          <w:sz w:val="21"/>
          <w:szCs w:val="21"/>
        </w:rPr>
        <w:t xml:space="preserve">- </w:t>
      </w:r>
      <w:r w:rsidRPr="0030088F">
        <w:rPr>
          <w:rFonts w:ascii="Abadi" w:hAnsi="Abadi"/>
          <w:sz w:val="21"/>
          <w:szCs w:val="21"/>
        </w:rPr>
        <w:t>la ironía está en que</w:t>
      </w:r>
      <w:r>
        <w:rPr>
          <w:rFonts w:ascii="Abadi" w:hAnsi="Abadi"/>
          <w:sz w:val="21"/>
          <w:szCs w:val="21"/>
        </w:rPr>
        <w:t>,</w:t>
      </w:r>
      <w:r w:rsidRPr="0030088F">
        <w:rPr>
          <w:rFonts w:ascii="Abadi" w:hAnsi="Abadi"/>
          <w:sz w:val="21"/>
          <w:szCs w:val="21"/>
        </w:rPr>
        <w:t xml:space="preserve"> pretendiendo salvaguardar el prestigio de la universidad se cometan actos ilegales y tropelías de bravucones a pesar de que existen diferentes conductos legales para garantizar el derecho de réplica</w:t>
      </w:r>
      <w:r>
        <w:rPr>
          <w:rFonts w:ascii="Abadi" w:hAnsi="Abadi"/>
          <w:sz w:val="21"/>
          <w:szCs w:val="21"/>
        </w:rPr>
        <w:t>,</w:t>
      </w:r>
      <w:r w:rsidRPr="0030088F">
        <w:rPr>
          <w:rFonts w:ascii="Abadi" w:hAnsi="Abadi"/>
          <w:sz w:val="21"/>
          <w:szCs w:val="21"/>
        </w:rPr>
        <w:t xml:space="preserve"> por desgracia este comportamiento es solo sistemático de la erótica actuación de quien encabeza la máxima casa de estudios que ha aumentado en estos tiempos</w:t>
      </w:r>
      <w:r>
        <w:rPr>
          <w:rFonts w:ascii="Abadi" w:hAnsi="Abadi"/>
          <w:sz w:val="21"/>
          <w:szCs w:val="21"/>
        </w:rPr>
        <w:t>,</w:t>
      </w:r>
      <w:r w:rsidRPr="0030088F">
        <w:rPr>
          <w:rFonts w:ascii="Abadi" w:hAnsi="Abadi"/>
          <w:sz w:val="21"/>
          <w:szCs w:val="21"/>
        </w:rPr>
        <w:t xml:space="preserve"> señal de su desesperación por no tener control de su sucesión en la rectoría</w:t>
      </w:r>
      <w:r>
        <w:rPr>
          <w:rFonts w:ascii="Abadi" w:hAnsi="Abadi"/>
          <w:sz w:val="21"/>
          <w:szCs w:val="21"/>
        </w:rPr>
        <w:t>.</w:t>
      </w:r>
    </w:p>
    <w:p w14:paraId="0B0E848D" w14:textId="77777777" w:rsidR="00DB677B" w:rsidRDefault="00DB677B" w:rsidP="00751E3D">
      <w:pPr>
        <w:jc w:val="both"/>
        <w:rPr>
          <w:rFonts w:ascii="Abadi" w:hAnsi="Abadi"/>
          <w:sz w:val="21"/>
          <w:szCs w:val="21"/>
        </w:rPr>
      </w:pPr>
    </w:p>
    <w:p w14:paraId="49FB3ED6" w14:textId="77777777" w:rsidR="00751E3D" w:rsidRDefault="00751E3D" w:rsidP="00751E3D">
      <w:pPr>
        <w:jc w:val="both"/>
        <w:rPr>
          <w:rFonts w:ascii="Abadi" w:hAnsi="Abadi"/>
          <w:sz w:val="21"/>
          <w:szCs w:val="21"/>
        </w:rPr>
      </w:pPr>
      <w:r>
        <w:rPr>
          <w:rFonts w:ascii="Abadi" w:hAnsi="Abadi"/>
          <w:sz w:val="21"/>
          <w:szCs w:val="21"/>
        </w:rPr>
        <w:t>- L</w:t>
      </w:r>
      <w:r w:rsidRPr="0030088F">
        <w:rPr>
          <w:rFonts w:ascii="Abadi" w:hAnsi="Abadi"/>
          <w:sz w:val="21"/>
          <w:szCs w:val="21"/>
        </w:rPr>
        <w:t xml:space="preserve">a </w:t>
      </w:r>
      <w:r>
        <w:rPr>
          <w:rFonts w:ascii="Abadi" w:hAnsi="Abadi"/>
          <w:sz w:val="21"/>
          <w:szCs w:val="21"/>
        </w:rPr>
        <w:t>U</w:t>
      </w:r>
      <w:r w:rsidRPr="0030088F">
        <w:rPr>
          <w:rFonts w:ascii="Abadi" w:hAnsi="Abadi"/>
          <w:sz w:val="21"/>
          <w:szCs w:val="21"/>
        </w:rPr>
        <w:t>niversidad de Guanajuato</w:t>
      </w:r>
      <w:r>
        <w:rPr>
          <w:rFonts w:ascii="Abadi" w:hAnsi="Abadi"/>
          <w:sz w:val="21"/>
          <w:szCs w:val="21"/>
        </w:rPr>
        <w:t>,</w:t>
      </w:r>
      <w:r w:rsidRPr="0030088F">
        <w:rPr>
          <w:rFonts w:ascii="Abadi" w:hAnsi="Abadi"/>
          <w:sz w:val="21"/>
          <w:szCs w:val="21"/>
        </w:rPr>
        <w:t xml:space="preserve"> a través de sus catedráticos</w:t>
      </w:r>
      <w:r>
        <w:rPr>
          <w:rFonts w:ascii="Abadi" w:hAnsi="Abadi"/>
          <w:sz w:val="21"/>
          <w:szCs w:val="21"/>
        </w:rPr>
        <w:t>,</w:t>
      </w:r>
      <w:r w:rsidRPr="0030088F">
        <w:rPr>
          <w:rFonts w:ascii="Abadi" w:hAnsi="Abadi"/>
          <w:sz w:val="21"/>
          <w:szCs w:val="21"/>
        </w:rPr>
        <w:t xml:space="preserve"> investigadores egresados estudiantes y personal es motivo de orgullo de las y los guanajuatenses y nos ha dado satisfacción de premios y reconocimientos nacionales e internacionales varios que ponen en alto el nombre de Guanajuato</w:t>
      </w:r>
      <w:r>
        <w:rPr>
          <w:rFonts w:ascii="Abadi" w:hAnsi="Abadi"/>
          <w:sz w:val="21"/>
          <w:szCs w:val="21"/>
        </w:rPr>
        <w:t>,</w:t>
      </w:r>
      <w:r w:rsidRPr="0030088F">
        <w:rPr>
          <w:rFonts w:ascii="Abadi" w:hAnsi="Abadi"/>
          <w:sz w:val="21"/>
          <w:szCs w:val="21"/>
        </w:rPr>
        <w:t xml:space="preserve"> este prestigio se ha puesto en riesgo y se continúa poniendo en riesgo por una gestión cuestionable a punto de concluir está dando muestras de autoritarismo ante la decadencia del liderazgo del rector saliente</w:t>
      </w:r>
      <w:r>
        <w:rPr>
          <w:rFonts w:ascii="Abadi" w:hAnsi="Abadi"/>
          <w:sz w:val="21"/>
          <w:szCs w:val="21"/>
        </w:rPr>
        <w:t>,</w:t>
      </w:r>
      <w:r w:rsidRPr="0030088F">
        <w:rPr>
          <w:rFonts w:ascii="Abadi" w:hAnsi="Abadi"/>
          <w:sz w:val="21"/>
          <w:szCs w:val="21"/>
        </w:rPr>
        <w:t xml:space="preserve"> triste ver</w:t>
      </w:r>
      <w:r>
        <w:rPr>
          <w:rFonts w:ascii="Abadi" w:hAnsi="Abadi"/>
          <w:sz w:val="21"/>
          <w:szCs w:val="21"/>
        </w:rPr>
        <w:t>,</w:t>
      </w:r>
      <w:r w:rsidRPr="0030088F">
        <w:rPr>
          <w:rFonts w:ascii="Abadi" w:hAnsi="Abadi"/>
          <w:sz w:val="21"/>
          <w:szCs w:val="21"/>
        </w:rPr>
        <w:t xml:space="preserve"> que una nota periodística se promueve y se hace uso de métodos violentos para defender el prestigio de la universidad</w:t>
      </w:r>
      <w:r>
        <w:rPr>
          <w:rFonts w:ascii="Abadi" w:hAnsi="Abadi"/>
          <w:sz w:val="21"/>
          <w:szCs w:val="21"/>
        </w:rPr>
        <w:t>,</w:t>
      </w:r>
      <w:r w:rsidRPr="0030088F">
        <w:rPr>
          <w:rFonts w:ascii="Abadi" w:hAnsi="Abadi"/>
          <w:sz w:val="21"/>
          <w:szCs w:val="21"/>
        </w:rPr>
        <w:t xml:space="preserve"> cuando en todos los momentos en que se tuvo la obligación de hacerlo con las circunstancias que llevaron a la huelga</w:t>
      </w:r>
      <w:r>
        <w:rPr>
          <w:rFonts w:ascii="Abadi" w:hAnsi="Abadi"/>
          <w:sz w:val="21"/>
          <w:szCs w:val="21"/>
        </w:rPr>
        <w:t>,</w:t>
      </w:r>
      <w:r w:rsidRPr="0030088F">
        <w:rPr>
          <w:rFonts w:ascii="Abadi" w:hAnsi="Abadi"/>
          <w:sz w:val="21"/>
          <w:szCs w:val="21"/>
        </w:rPr>
        <w:t xml:space="preserve"> como las circunstancias que llevaron a la huelga estudiantil o las constantes acusaciones de acoso y violencia dentro de las aulas de la universidad</w:t>
      </w:r>
      <w:r>
        <w:rPr>
          <w:rFonts w:ascii="Abadi" w:hAnsi="Abadi"/>
          <w:sz w:val="21"/>
          <w:szCs w:val="21"/>
        </w:rPr>
        <w:t>,</w:t>
      </w:r>
      <w:r w:rsidRPr="0030088F">
        <w:rPr>
          <w:rFonts w:ascii="Abadi" w:hAnsi="Abadi"/>
          <w:sz w:val="21"/>
          <w:szCs w:val="21"/>
        </w:rPr>
        <w:t xml:space="preserve"> se eligió no tomar cartas en el asunto</w:t>
      </w:r>
      <w:r>
        <w:rPr>
          <w:rFonts w:ascii="Abadi" w:hAnsi="Abadi"/>
          <w:sz w:val="21"/>
          <w:szCs w:val="21"/>
        </w:rPr>
        <w:t>.</w:t>
      </w:r>
    </w:p>
    <w:p w14:paraId="6119064A" w14:textId="77777777" w:rsidR="00DB677B" w:rsidRDefault="00DB677B" w:rsidP="00751E3D">
      <w:pPr>
        <w:jc w:val="both"/>
        <w:rPr>
          <w:rFonts w:ascii="Abadi" w:hAnsi="Abadi"/>
          <w:sz w:val="21"/>
          <w:szCs w:val="21"/>
        </w:rPr>
      </w:pPr>
    </w:p>
    <w:p w14:paraId="46A66166" w14:textId="3BFDD664" w:rsidR="00751E3D" w:rsidRDefault="00751E3D" w:rsidP="00751E3D">
      <w:pPr>
        <w:jc w:val="both"/>
        <w:rPr>
          <w:rFonts w:ascii="Abadi" w:hAnsi="Abadi"/>
          <w:sz w:val="21"/>
          <w:szCs w:val="21"/>
        </w:rPr>
      </w:pPr>
      <w:r>
        <w:rPr>
          <w:rFonts w:ascii="Abadi" w:hAnsi="Abadi"/>
          <w:sz w:val="21"/>
          <w:szCs w:val="21"/>
        </w:rPr>
        <w:t>- B</w:t>
      </w:r>
      <w:r w:rsidRPr="0030088F">
        <w:rPr>
          <w:rFonts w:ascii="Abadi" w:hAnsi="Abadi"/>
          <w:sz w:val="21"/>
          <w:szCs w:val="21"/>
        </w:rPr>
        <w:t>asta recordar algunos de los peores momentos en la gestión del señor rector</w:t>
      </w:r>
      <w:r>
        <w:rPr>
          <w:rFonts w:ascii="Abadi" w:hAnsi="Abadi"/>
          <w:sz w:val="21"/>
          <w:szCs w:val="21"/>
        </w:rPr>
        <w:t>,</w:t>
      </w:r>
      <w:r w:rsidRPr="0030088F">
        <w:rPr>
          <w:rFonts w:ascii="Abadi" w:hAnsi="Abadi"/>
          <w:sz w:val="21"/>
          <w:szCs w:val="21"/>
        </w:rPr>
        <w:t xml:space="preserve"> como cuando trató de desvincular a la universidad por el feminicidio de una de las </w:t>
      </w:r>
      <w:r w:rsidRPr="0030088F">
        <w:rPr>
          <w:rFonts w:ascii="Abadi" w:hAnsi="Abadi"/>
          <w:sz w:val="21"/>
          <w:szCs w:val="21"/>
        </w:rPr>
        <w:t>estudiantes</w:t>
      </w:r>
      <w:r>
        <w:rPr>
          <w:rFonts w:ascii="Abadi" w:hAnsi="Abadi"/>
          <w:sz w:val="21"/>
          <w:szCs w:val="21"/>
        </w:rPr>
        <w:t>,</w:t>
      </w:r>
      <w:r w:rsidRPr="0030088F">
        <w:rPr>
          <w:rFonts w:ascii="Abadi" w:hAnsi="Abadi"/>
          <w:sz w:val="21"/>
          <w:szCs w:val="21"/>
        </w:rPr>
        <w:t xml:space="preserve"> cuando la universidad jamás generó condiciones de seguridad para sus estudiantes</w:t>
      </w:r>
      <w:r>
        <w:rPr>
          <w:rFonts w:ascii="Abadi" w:hAnsi="Abadi"/>
          <w:sz w:val="21"/>
          <w:szCs w:val="21"/>
        </w:rPr>
        <w:t>,</w:t>
      </w:r>
      <w:r w:rsidRPr="0030088F">
        <w:rPr>
          <w:rFonts w:ascii="Abadi" w:hAnsi="Abadi"/>
          <w:sz w:val="21"/>
          <w:szCs w:val="21"/>
        </w:rPr>
        <w:t xml:space="preserve"> o cuando ante la histórica manifestación hecha por estudiantes de todo el estado se negó a recibirlos</w:t>
      </w:r>
      <w:r>
        <w:rPr>
          <w:rFonts w:ascii="Abadi" w:hAnsi="Abadi"/>
          <w:sz w:val="21"/>
          <w:szCs w:val="21"/>
        </w:rPr>
        <w:t>,</w:t>
      </w:r>
      <w:r w:rsidRPr="0030088F">
        <w:rPr>
          <w:rFonts w:ascii="Abadi" w:hAnsi="Abadi"/>
          <w:sz w:val="21"/>
          <w:szCs w:val="21"/>
        </w:rPr>
        <w:t xml:space="preserve"> hasta que el gobernador</w:t>
      </w:r>
      <w:r>
        <w:rPr>
          <w:rFonts w:ascii="Abadi" w:hAnsi="Abadi"/>
          <w:sz w:val="21"/>
          <w:szCs w:val="21"/>
        </w:rPr>
        <w:t>,</w:t>
      </w:r>
      <w:r w:rsidRPr="0030088F">
        <w:rPr>
          <w:rFonts w:ascii="Abadi" w:hAnsi="Abadi"/>
          <w:sz w:val="21"/>
          <w:szCs w:val="21"/>
        </w:rPr>
        <w:t xml:space="preserve"> los obligó a él y al fiscal y dicho sea de paso</w:t>
      </w:r>
      <w:r>
        <w:rPr>
          <w:rFonts w:ascii="Abadi" w:hAnsi="Abadi"/>
          <w:sz w:val="21"/>
          <w:szCs w:val="21"/>
        </w:rPr>
        <w:t>,</w:t>
      </w:r>
      <w:r w:rsidRPr="0030088F">
        <w:rPr>
          <w:rFonts w:ascii="Abadi" w:hAnsi="Abadi"/>
          <w:sz w:val="21"/>
          <w:szCs w:val="21"/>
        </w:rPr>
        <w:t xml:space="preserve"> jamás cumplió con el acuerdo en la seguridad en los campus externos a Guanajuato y no olvidemos las diversas denuncias sobre maestros acusados de acoso que</w:t>
      </w:r>
      <w:r>
        <w:rPr>
          <w:rFonts w:ascii="Abadi" w:hAnsi="Abadi"/>
          <w:sz w:val="21"/>
          <w:szCs w:val="21"/>
        </w:rPr>
        <w:t>,</w:t>
      </w:r>
      <w:r w:rsidRPr="0030088F">
        <w:rPr>
          <w:rFonts w:ascii="Abadi" w:hAnsi="Abadi"/>
          <w:sz w:val="21"/>
          <w:szCs w:val="21"/>
        </w:rPr>
        <w:t xml:space="preserve"> hasta la fecha siguen sin ser removidos ni un procedimiento interno de investigación lamentable que el rector de una de las mejores universidades del país haya convencido a catedráticos y catedráticas y estudiantes de cometer un delito a plena luz del día</w:t>
      </w:r>
      <w:r>
        <w:rPr>
          <w:rFonts w:ascii="Abadi" w:hAnsi="Abadi"/>
          <w:sz w:val="21"/>
          <w:szCs w:val="21"/>
        </w:rPr>
        <w:t xml:space="preserve">. </w:t>
      </w:r>
    </w:p>
    <w:p w14:paraId="7B6DC694" w14:textId="77777777" w:rsidR="00DB677B" w:rsidRDefault="00DB677B" w:rsidP="00751E3D">
      <w:pPr>
        <w:jc w:val="both"/>
        <w:rPr>
          <w:rFonts w:ascii="Abadi" w:hAnsi="Abadi"/>
          <w:sz w:val="21"/>
          <w:szCs w:val="21"/>
        </w:rPr>
      </w:pPr>
    </w:p>
    <w:p w14:paraId="77F34EBB" w14:textId="77777777" w:rsidR="00751E3D" w:rsidRDefault="00751E3D" w:rsidP="00751E3D">
      <w:pPr>
        <w:jc w:val="both"/>
        <w:rPr>
          <w:rFonts w:ascii="Abadi" w:hAnsi="Abadi"/>
          <w:sz w:val="21"/>
          <w:szCs w:val="21"/>
        </w:rPr>
      </w:pPr>
      <w:r>
        <w:rPr>
          <w:rFonts w:ascii="Abadi" w:hAnsi="Abadi"/>
          <w:sz w:val="21"/>
          <w:szCs w:val="21"/>
        </w:rPr>
        <w:t>- A</w:t>
      </w:r>
      <w:r w:rsidRPr="0030088F">
        <w:rPr>
          <w:rFonts w:ascii="Abadi" w:hAnsi="Abadi"/>
          <w:sz w:val="21"/>
          <w:szCs w:val="21"/>
        </w:rPr>
        <w:t xml:space="preserve">nte su ineficacia de ante de atender los temas que merman el renombre de nuestra máxima casa de estudios la </w:t>
      </w:r>
      <w:r>
        <w:rPr>
          <w:rFonts w:ascii="Abadi" w:hAnsi="Abadi"/>
          <w:sz w:val="21"/>
          <w:szCs w:val="21"/>
        </w:rPr>
        <w:t>U</w:t>
      </w:r>
      <w:r w:rsidRPr="0030088F">
        <w:rPr>
          <w:rFonts w:ascii="Abadi" w:hAnsi="Abadi"/>
          <w:sz w:val="21"/>
          <w:szCs w:val="21"/>
        </w:rPr>
        <w:t>niversidad de Guanajuato</w:t>
      </w:r>
      <w:r>
        <w:rPr>
          <w:rFonts w:ascii="Abadi" w:hAnsi="Abadi"/>
          <w:sz w:val="21"/>
          <w:szCs w:val="21"/>
        </w:rPr>
        <w:t>,</w:t>
      </w:r>
      <w:r w:rsidRPr="0030088F">
        <w:rPr>
          <w:rFonts w:ascii="Abadi" w:hAnsi="Abadi"/>
          <w:sz w:val="21"/>
          <w:szCs w:val="21"/>
        </w:rPr>
        <w:t xml:space="preserve"> ni en los regímenes autoritarios más autoritarios se v</w:t>
      </w:r>
      <w:r>
        <w:rPr>
          <w:rFonts w:ascii="Abadi" w:hAnsi="Abadi"/>
          <w:sz w:val="21"/>
          <w:szCs w:val="21"/>
        </w:rPr>
        <w:t>e</w:t>
      </w:r>
      <w:r w:rsidRPr="0030088F">
        <w:rPr>
          <w:rFonts w:ascii="Abadi" w:hAnsi="Abadi"/>
          <w:sz w:val="21"/>
          <w:szCs w:val="21"/>
        </w:rPr>
        <w:t xml:space="preserve"> a este tipo de desplantes de un líder que notoriamente va en decadencia</w:t>
      </w:r>
      <w:r>
        <w:rPr>
          <w:rFonts w:ascii="Abadi" w:hAnsi="Abadi"/>
          <w:sz w:val="21"/>
          <w:szCs w:val="21"/>
        </w:rPr>
        <w:t>,</w:t>
      </w:r>
      <w:r w:rsidRPr="0030088F">
        <w:rPr>
          <w:rFonts w:ascii="Abadi" w:hAnsi="Abadi"/>
          <w:sz w:val="21"/>
          <w:szCs w:val="21"/>
        </w:rPr>
        <w:t xml:space="preserve"> la autonomía señor rector</w:t>
      </w:r>
      <w:r>
        <w:rPr>
          <w:rFonts w:ascii="Abadi" w:hAnsi="Abadi"/>
          <w:sz w:val="21"/>
          <w:szCs w:val="21"/>
        </w:rPr>
        <w:t>,</w:t>
      </w:r>
      <w:r w:rsidRPr="0030088F">
        <w:rPr>
          <w:rFonts w:ascii="Abadi" w:hAnsi="Abadi"/>
          <w:sz w:val="21"/>
          <w:szCs w:val="21"/>
        </w:rPr>
        <w:t xml:space="preserve"> no lo exime de cumplir la ley y respetar las instituciones el estado de derecho y la libertad de opinión y de expresión</w:t>
      </w:r>
      <w:r>
        <w:rPr>
          <w:rFonts w:ascii="Abadi" w:hAnsi="Abadi"/>
          <w:sz w:val="21"/>
          <w:szCs w:val="21"/>
        </w:rPr>
        <w:t>.</w:t>
      </w:r>
    </w:p>
    <w:p w14:paraId="310A0B52" w14:textId="77777777" w:rsidR="00DB677B" w:rsidRDefault="00DB677B" w:rsidP="00751E3D">
      <w:pPr>
        <w:jc w:val="both"/>
        <w:rPr>
          <w:rFonts w:ascii="Abadi" w:hAnsi="Abadi"/>
          <w:sz w:val="21"/>
          <w:szCs w:val="21"/>
        </w:rPr>
      </w:pPr>
    </w:p>
    <w:p w14:paraId="4C20637A" w14:textId="77777777" w:rsidR="00751E3D" w:rsidRDefault="00751E3D" w:rsidP="00751E3D">
      <w:pPr>
        <w:jc w:val="both"/>
        <w:rPr>
          <w:rFonts w:ascii="Abadi" w:hAnsi="Abadi"/>
          <w:sz w:val="21"/>
          <w:szCs w:val="21"/>
        </w:rPr>
      </w:pPr>
      <w:r>
        <w:rPr>
          <w:rFonts w:ascii="Abadi" w:hAnsi="Abadi"/>
          <w:sz w:val="21"/>
          <w:szCs w:val="21"/>
        </w:rPr>
        <w:t>- O</w:t>
      </w:r>
      <w:r w:rsidRPr="0030088F">
        <w:rPr>
          <w:rFonts w:ascii="Abadi" w:hAnsi="Abadi"/>
          <w:sz w:val="21"/>
          <w:szCs w:val="21"/>
        </w:rPr>
        <w:t>cúpese</w:t>
      </w:r>
      <w:r>
        <w:rPr>
          <w:rFonts w:ascii="Abadi" w:hAnsi="Abadi"/>
          <w:sz w:val="21"/>
          <w:szCs w:val="21"/>
        </w:rPr>
        <w:t>,</w:t>
      </w:r>
      <w:r w:rsidRPr="0030088F">
        <w:rPr>
          <w:rFonts w:ascii="Abadi" w:hAnsi="Abadi"/>
          <w:sz w:val="21"/>
          <w:szCs w:val="21"/>
        </w:rPr>
        <w:t xml:space="preserve"> mejor</w:t>
      </w:r>
      <w:r>
        <w:rPr>
          <w:rFonts w:ascii="Abadi" w:hAnsi="Abadi"/>
          <w:sz w:val="21"/>
          <w:szCs w:val="21"/>
        </w:rPr>
        <w:t>,</w:t>
      </w:r>
      <w:r w:rsidRPr="0030088F">
        <w:rPr>
          <w:rFonts w:ascii="Abadi" w:hAnsi="Abadi"/>
          <w:sz w:val="21"/>
          <w:szCs w:val="21"/>
        </w:rPr>
        <w:t xml:space="preserve"> en que para los alumnos</w:t>
      </w:r>
      <w:r>
        <w:rPr>
          <w:rFonts w:ascii="Abadi" w:hAnsi="Abadi"/>
          <w:sz w:val="21"/>
          <w:szCs w:val="21"/>
        </w:rPr>
        <w:t>,</w:t>
      </w:r>
      <w:r w:rsidRPr="0030088F">
        <w:rPr>
          <w:rFonts w:ascii="Abadi" w:hAnsi="Abadi"/>
          <w:sz w:val="21"/>
          <w:szCs w:val="21"/>
        </w:rPr>
        <w:t xml:space="preserve"> también haya derecho de audiencia</w:t>
      </w:r>
      <w:r>
        <w:rPr>
          <w:rFonts w:ascii="Abadi" w:hAnsi="Abadi"/>
          <w:sz w:val="21"/>
          <w:szCs w:val="21"/>
        </w:rPr>
        <w:t>,</w:t>
      </w:r>
      <w:r w:rsidRPr="0030088F">
        <w:rPr>
          <w:rFonts w:ascii="Abadi" w:hAnsi="Abadi"/>
          <w:sz w:val="21"/>
          <w:szCs w:val="21"/>
        </w:rPr>
        <w:t xml:space="preserve"> derecho de réplica</w:t>
      </w:r>
      <w:r>
        <w:rPr>
          <w:rFonts w:ascii="Abadi" w:hAnsi="Abadi"/>
          <w:sz w:val="21"/>
          <w:szCs w:val="21"/>
        </w:rPr>
        <w:t>,</w:t>
      </w:r>
      <w:r w:rsidRPr="0030088F">
        <w:rPr>
          <w:rFonts w:ascii="Abadi" w:hAnsi="Abadi"/>
          <w:sz w:val="21"/>
          <w:szCs w:val="21"/>
        </w:rPr>
        <w:t xml:space="preserve"> derecho de becas y a programas educativos dignos y si no queda algo de decencia por lo menos por vergüenza absténgase de participar en la </w:t>
      </w:r>
      <w:r>
        <w:rPr>
          <w:rFonts w:ascii="Abadi" w:hAnsi="Abadi"/>
          <w:sz w:val="21"/>
          <w:szCs w:val="21"/>
        </w:rPr>
        <w:t>C</w:t>
      </w:r>
      <w:r w:rsidRPr="0030088F">
        <w:rPr>
          <w:rFonts w:ascii="Abadi" w:hAnsi="Abadi"/>
          <w:sz w:val="21"/>
          <w:szCs w:val="21"/>
        </w:rPr>
        <w:t xml:space="preserve">omisión </w:t>
      </w:r>
      <w:r>
        <w:rPr>
          <w:rFonts w:ascii="Abadi" w:hAnsi="Abadi"/>
          <w:sz w:val="21"/>
          <w:szCs w:val="21"/>
        </w:rPr>
        <w:t>E</w:t>
      </w:r>
      <w:r w:rsidRPr="0030088F">
        <w:rPr>
          <w:rFonts w:ascii="Abadi" w:hAnsi="Abadi"/>
          <w:sz w:val="21"/>
          <w:szCs w:val="21"/>
        </w:rPr>
        <w:t xml:space="preserve">special a cargo del proceso para la designación de la persona titular de la </w:t>
      </w:r>
      <w:r>
        <w:rPr>
          <w:rFonts w:ascii="Abadi" w:hAnsi="Abadi"/>
          <w:sz w:val="21"/>
          <w:szCs w:val="21"/>
        </w:rPr>
        <w:t>R</w:t>
      </w:r>
      <w:r w:rsidRPr="0030088F">
        <w:rPr>
          <w:rFonts w:ascii="Abadi" w:hAnsi="Abadi"/>
          <w:sz w:val="21"/>
          <w:szCs w:val="21"/>
        </w:rPr>
        <w:t xml:space="preserve">ectoría </w:t>
      </w:r>
      <w:r>
        <w:rPr>
          <w:rFonts w:ascii="Abadi" w:hAnsi="Abadi"/>
          <w:sz w:val="21"/>
          <w:szCs w:val="21"/>
        </w:rPr>
        <w:t>G</w:t>
      </w:r>
      <w:r w:rsidRPr="0030088F">
        <w:rPr>
          <w:rFonts w:ascii="Abadi" w:hAnsi="Abadi"/>
          <w:sz w:val="21"/>
          <w:szCs w:val="21"/>
        </w:rPr>
        <w:t>eneral</w:t>
      </w:r>
      <w:r>
        <w:rPr>
          <w:rFonts w:ascii="Abadi" w:hAnsi="Abadi"/>
          <w:sz w:val="21"/>
          <w:szCs w:val="21"/>
        </w:rPr>
        <w:t>.</w:t>
      </w:r>
    </w:p>
    <w:p w14:paraId="4AD9D5EF" w14:textId="77777777" w:rsidR="00DB677B" w:rsidRDefault="00DB677B" w:rsidP="00751E3D">
      <w:pPr>
        <w:jc w:val="both"/>
        <w:rPr>
          <w:rFonts w:ascii="Abadi" w:hAnsi="Abadi"/>
          <w:sz w:val="21"/>
          <w:szCs w:val="21"/>
        </w:rPr>
      </w:pPr>
    </w:p>
    <w:p w14:paraId="11952FCA" w14:textId="77777777" w:rsidR="00751E3D" w:rsidRDefault="00751E3D" w:rsidP="00751E3D">
      <w:pPr>
        <w:jc w:val="both"/>
        <w:rPr>
          <w:rFonts w:ascii="Abadi" w:hAnsi="Abadi"/>
          <w:sz w:val="21"/>
          <w:szCs w:val="21"/>
        </w:rPr>
      </w:pPr>
      <w:r>
        <w:rPr>
          <w:rFonts w:ascii="Abadi" w:hAnsi="Abadi"/>
          <w:sz w:val="21"/>
          <w:szCs w:val="21"/>
        </w:rPr>
        <w:t>- Des</w:t>
      </w:r>
      <w:r w:rsidRPr="0030088F">
        <w:rPr>
          <w:rFonts w:ascii="Abadi" w:hAnsi="Abadi"/>
          <w:sz w:val="21"/>
          <w:szCs w:val="21"/>
        </w:rPr>
        <w:t xml:space="preserve">de 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del </w:t>
      </w:r>
      <w:r>
        <w:rPr>
          <w:rFonts w:ascii="Abadi" w:hAnsi="Abadi"/>
          <w:sz w:val="21"/>
          <w:szCs w:val="21"/>
        </w:rPr>
        <w:t>P</w:t>
      </w:r>
      <w:r w:rsidRPr="0030088F">
        <w:rPr>
          <w:rFonts w:ascii="Abadi" w:hAnsi="Abadi"/>
          <w:sz w:val="21"/>
          <w:szCs w:val="21"/>
        </w:rPr>
        <w:t xml:space="preserve">artido </w:t>
      </w:r>
      <w:r>
        <w:rPr>
          <w:rFonts w:ascii="Abadi" w:hAnsi="Abadi"/>
          <w:sz w:val="21"/>
          <w:szCs w:val="21"/>
        </w:rPr>
        <w:t>V</w:t>
      </w:r>
      <w:r w:rsidRPr="0030088F">
        <w:rPr>
          <w:rFonts w:ascii="Abadi" w:hAnsi="Abadi"/>
          <w:sz w:val="21"/>
          <w:szCs w:val="21"/>
        </w:rPr>
        <w:t xml:space="preserve">erde defendemos siempre la libertad de prensa y en las palabras de Antonio </w:t>
      </w:r>
      <w:r>
        <w:rPr>
          <w:rFonts w:ascii="Abadi" w:hAnsi="Abadi"/>
          <w:sz w:val="21"/>
          <w:szCs w:val="21"/>
        </w:rPr>
        <w:t>G</w:t>
      </w:r>
      <w:r w:rsidRPr="0030088F">
        <w:rPr>
          <w:rFonts w:ascii="Abadi" w:hAnsi="Abadi"/>
          <w:sz w:val="21"/>
          <w:szCs w:val="21"/>
        </w:rPr>
        <w:t>utiérrez</w:t>
      </w:r>
      <w:r>
        <w:rPr>
          <w:rFonts w:ascii="Abadi" w:hAnsi="Abadi"/>
          <w:sz w:val="21"/>
          <w:szCs w:val="21"/>
        </w:rPr>
        <w:t>,</w:t>
      </w:r>
      <w:r w:rsidRPr="0030088F">
        <w:rPr>
          <w:rFonts w:ascii="Abadi" w:hAnsi="Abadi"/>
          <w:sz w:val="21"/>
          <w:szCs w:val="21"/>
        </w:rPr>
        <w:t xml:space="preserve"> </w:t>
      </w:r>
      <w:r>
        <w:rPr>
          <w:rFonts w:ascii="Abadi" w:hAnsi="Abadi"/>
          <w:sz w:val="21"/>
          <w:szCs w:val="21"/>
        </w:rPr>
        <w:t>S</w:t>
      </w:r>
      <w:r w:rsidRPr="0030088F">
        <w:rPr>
          <w:rFonts w:ascii="Abadi" w:hAnsi="Abadi"/>
          <w:sz w:val="21"/>
          <w:szCs w:val="21"/>
        </w:rPr>
        <w:t xml:space="preserve">ecretario </w:t>
      </w:r>
      <w:r>
        <w:rPr>
          <w:rFonts w:ascii="Abadi" w:hAnsi="Abadi"/>
          <w:sz w:val="21"/>
          <w:szCs w:val="21"/>
        </w:rPr>
        <w:t>G</w:t>
      </w:r>
      <w:r w:rsidRPr="0030088F">
        <w:rPr>
          <w:rFonts w:ascii="Abadi" w:hAnsi="Abadi"/>
          <w:sz w:val="21"/>
          <w:szCs w:val="21"/>
        </w:rPr>
        <w:t>eneral de la ONU</w:t>
      </w:r>
      <w:r>
        <w:rPr>
          <w:rFonts w:ascii="Abadi" w:hAnsi="Abadi"/>
          <w:sz w:val="21"/>
          <w:szCs w:val="21"/>
        </w:rPr>
        <w:t>,</w:t>
      </w:r>
      <w:r w:rsidRPr="0030088F">
        <w:rPr>
          <w:rFonts w:ascii="Abadi" w:hAnsi="Abadi"/>
          <w:sz w:val="21"/>
          <w:szCs w:val="21"/>
        </w:rPr>
        <w:t xml:space="preserve"> que la prensa libre es esencial para </w:t>
      </w:r>
      <w:r>
        <w:rPr>
          <w:rFonts w:ascii="Abadi" w:hAnsi="Abadi"/>
          <w:sz w:val="21"/>
          <w:szCs w:val="21"/>
        </w:rPr>
        <w:t>l</w:t>
      </w:r>
      <w:r w:rsidRPr="0030088F">
        <w:rPr>
          <w:rFonts w:ascii="Abadi" w:hAnsi="Abadi"/>
          <w:sz w:val="21"/>
          <w:szCs w:val="21"/>
        </w:rPr>
        <w:t xml:space="preserve">a </w:t>
      </w:r>
      <w:r>
        <w:rPr>
          <w:rFonts w:ascii="Abadi" w:hAnsi="Abadi"/>
          <w:sz w:val="21"/>
          <w:szCs w:val="21"/>
        </w:rPr>
        <w:t>p</w:t>
      </w:r>
      <w:r w:rsidRPr="0030088F">
        <w:rPr>
          <w:rFonts w:ascii="Abadi" w:hAnsi="Abadi"/>
          <w:sz w:val="21"/>
          <w:szCs w:val="21"/>
        </w:rPr>
        <w:t>az</w:t>
      </w:r>
      <w:r>
        <w:rPr>
          <w:rFonts w:ascii="Abadi" w:hAnsi="Abadi"/>
          <w:sz w:val="21"/>
          <w:szCs w:val="21"/>
        </w:rPr>
        <w:t>,</w:t>
      </w:r>
      <w:r w:rsidRPr="0030088F">
        <w:rPr>
          <w:rFonts w:ascii="Abadi" w:hAnsi="Abadi"/>
          <w:sz w:val="21"/>
          <w:szCs w:val="21"/>
        </w:rPr>
        <w:t xml:space="preserve"> la justicia</w:t>
      </w:r>
      <w:r>
        <w:rPr>
          <w:rFonts w:ascii="Abadi" w:hAnsi="Abadi"/>
          <w:sz w:val="21"/>
          <w:szCs w:val="21"/>
        </w:rPr>
        <w:t>,</w:t>
      </w:r>
      <w:r w:rsidRPr="0030088F">
        <w:rPr>
          <w:rFonts w:ascii="Abadi" w:hAnsi="Abadi"/>
          <w:sz w:val="21"/>
          <w:szCs w:val="21"/>
        </w:rPr>
        <w:t xml:space="preserve"> el desarrollo sostenible y los derechos humanos</w:t>
      </w:r>
      <w:r>
        <w:rPr>
          <w:rFonts w:ascii="Abadi" w:hAnsi="Abadi"/>
          <w:sz w:val="21"/>
          <w:szCs w:val="21"/>
        </w:rPr>
        <w:t>,</w:t>
      </w:r>
      <w:r w:rsidRPr="0030088F">
        <w:rPr>
          <w:rFonts w:ascii="Abadi" w:hAnsi="Abadi"/>
          <w:sz w:val="21"/>
          <w:szCs w:val="21"/>
        </w:rPr>
        <w:t xml:space="preserve"> ninguna democracia está completa</w:t>
      </w:r>
      <w:r>
        <w:rPr>
          <w:rFonts w:ascii="Abadi" w:hAnsi="Abadi"/>
          <w:sz w:val="21"/>
          <w:szCs w:val="21"/>
        </w:rPr>
        <w:t>,</w:t>
      </w:r>
      <w:r w:rsidRPr="0030088F">
        <w:rPr>
          <w:rFonts w:ascii="Abadi" w:hAnsi="Abadi"/>
          <w:sz w:val="21"/>
          <w:szCs w:val="21"/>
        </w:rPr>
        <w:t xml:space="preserve"> sin acceso a información transparente y fidedigna</w:t>
      </w:r>
      <w:r>
        <w:rPr>
          <w:rFonts w:ascii="Abadi" w:hAnsi="Abadi"/>
          <w:sz w:val="21"/>
          <w:szCs w:val="21"/>
        </w:rPr>
        <w:t>,</w:t>
      </w:r>
      <w:r w:rsidRPr="0030088F">
        <w:rPr>
          <w:rFonts w:ascii="Abadi" w:hAnsi="Abadi"/>
          <w:sz w:val="21"/>
          <w:szCs w:val="21"/>
        </w:rPr>
        <w:t xml:space="preserve"> que es el pilar clave</w:t>
      </w:r>
      <w:r>
        <w:rPr>
          <w:rFonts w:ascii="Abadi" w:hAnsi="Abadi"/>
          <w:sz w:val="21"/>
          <w:szCs w:val="21"/>
        </w:rPr>
        <w:t>,</w:t>
      </w:r>
      <w:r w:rsidRPr="0030088F">
        <w:rPr>
          <w:rFonts w:ascii="Abadi" w:hAnsi="Abadi"/>
          <w:sz w:val="21"/>
          <w:szCs w:val="21"/>
        </w:rPr>
        <w:t xml:space="preserve"> para crear instituciones justas</w:t>
      </w:r>
      <w:r>
        <w:rPr>
          <w:rFonts w:ascii="Abadi" w:hAnsi="Abadi"/>
          <w:sz w:val="21"/>
          <w:szCs w:val="21"/>
        </w:rPr>
        <w:t>,</w:t>
      </w:r>
      <w:r w:rsidRPr="0030088F">
        <w:rPr>
          <w:rFonts w:ascii="Abadi" w:hAnsi="Abadi"/>
          <w:sz w:val="21"/>
          <w:szCs w:val="21"/>
        </w:rPr>
        <w:t xml:space="preserve"> e imparciales hacer que los líderes rindan cuenta y decirle la verdad a las autoridad</w:t>
      </w:r>
      <w:r>
        <w:rPr>
          <w:rFonts w:ascii="Abadi" w:hAnsi="Abadi"/>
          <w:sz w:val="21"/>
          <w:szCs w:val="21"/>
        </w:rPr>
        <w:t>.</w:t>
      </w:r>
    </w:p>
    <w:p w14:paraId="23572483"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 cuánto</w:t>
      </w:r>
      <w:r>
        <w:rPr>
          <w:rFonts w:ascii="Abadi" w:hAnsi="Abadi"/>
          <w:sz w:val="21"/>
          <w:szCs w:val="21"/>
        </w:rPr>
        <w:t>.</w:t>
      </w:r>
    </w:p>
    <w:p w14:paraId="61207E0B" w14:textId="77777777" w:rsidR="00751E3D" w:rsidRDefault="00751E3D" w:rsidP="00751E3D">
      <w:pPr>
        <w:jc w:val="both"/>
        <w:rPr>
          <w:rFonts w:ascii="Abadi" w:hAnsi="Abadi"/>
          <w:sz w:val="21"/>
          <w:szCs w:val="21"/>
        </w:rPr>
      </w:pPr>
      <w:r>
        <w:rPr>
          <w:rFonts w:ascii="Abadi" w:hAnsi="Abadi"/>
          <w:sz w:val="21"/>
          <w:szCs w:val="21"/>
        </w:rPr>
        <w:tab/>
      </w:r>
      <w:r w:rsidRPr="005F0A04">
        <w:rPr>
          <w:rFonts w:ascii="Abadi" w:hAnsi="Abadi"/>
          <w:b/>
          <w:bCs/>
          <w:sz w:val="21"/>
          <w:szCs w:val="21"/>
        </w:rPr>
        <w:t xml:space="preserve">- La </w:t>
      </w:r>
      <w:proofErr w:type="gramStart"/>
      <w:r w:rsidRPr="005F0A04">
        <w:rPr>
          <w:rFonts w:ascii="Abadi" w:hAnsi="Abadi"/>
          <w:b/>
          <w:bCs/>
          <w:sz w:val="21"/>
          <w:szCs w:val="21"/>
        </w:rPr>
        <w:t>Presidencia.-</w:t>
      </w:r>
      <w:proofErr w:type="gramEnd"/>
      <w:r>
        <w:rPr>
          <w:rFonts w:ascii="Abadi" w:hAnsi="Abadi"/>
          <w:sz w:val="21"/>
          <w:szCs w:val="21"/>
        </w:rPr>
        <w:t xml:space="preserve"> S</w:t>
      </w:r>
      <w:r w:rsidRPr="0030088F">
        <w:rPr>
          <w:rFonts w:ascii="Abadi" w:hAnsi="Abadi"/>
          <w:sz w:val="21"/>
          <w:szCs w:val="21"/>
        </w:rPr>
        <w:t xml:space="preserve">e concede el uso de la palabra la diputada Irma </w:t>
      </w:r>
      <w:r>
        <w:rPr>
          <w:rFonts w:ascii="Abadi" w:hAnsi="Abadi"/>
          <w:sz w:val="21"/>
          <w:szCs w:val="21"/>
        </w:rPr>
        <w:t>L</w:t>
      </w:r>
      <w:r w:rsidRPr="0030088F">
        <w:rPr>
          <w:rFonts w:ascii="Abadi" w:hAnsi="Abadi"/>
          <w:sz w:val="21"/>
          <w:szCs w:val="21"/>
        </w:rPr>
        <w:t xml:space="preserve">eticia </w:t>
      </w:r>
      <w:r>
        <w:rPr>
          <w:rFonts w:ascii="Abadi" w:hAnsi="Abadi"/>
          <w:sz w:val="21"/>
          <w:szCs w:val="21"/>
        </w:rPr>
        <w:t>G</w:t>
      </w:r>
      <w:r w:rsidRPr="0030088F">
        <w:rPr>
          <w:rFonts w:ascii="Abadi" w:hAnsi="Abadi"/>
          <w:sz w:val="21"/>
          <w:szCs w:val="21"/>
        </w:rPr>
        <w:t xml:space="preserve">onzález </w:t>
      </w:r>
      <w:r>
        <w:rPr>
          <w:rFonts w:ascii="Abadi" w:hAnsi="Abadi"/>
          <w:sz w:val="21"/>
          <w:szCs w:val="21"/>
        </w:rPr>
        <w:t>S</w:t>
      </w:r>
      <w:r w:rsidRPr="0030088F">
        <w:rPr>
          <w:rFonts w:ascii="Abadi" w:hAnsi="Abadi"/>
          <w:sz w:val="21"/>
          <w:szCs w:val="21"/>
        </w:rPr>
        <w:t>ánchez hasta por 10 minutos</w:t>
      </w:r>
      <w:r>
        <w:rPr>
          <w:rFonts w:ascii="Abadi" w:hAnsi="Abadi"/>
          <w:sz w:val="21"/>
          <w:szCs w:val="21"/>
        </w:rPr>
        <w:t>.</w:t>
      </w:r>
    </w:p>
    <w:p w14:paraId="6E27F742" w14:textId="77777777" w:rsidR="00DB677B" w:rsidRDefault="00751E3D" w:rsidP="00751E3D">
      <w:pPr>
        <w:jc w:val="both"/>
        <w:rPr>
          <w:rFonts w:ascii="Abadi" w:hAnsi="Abadi"/>
          <w:sz w:val="21"/>
          <w:szCs w:val="21"/>
        </w:rPr>
      </w:pPr>
      <w:r>
        <w:rPr>
          <w:rFonts w:ascii="Abadi" w:hAnsi="Abadi"/>
          <w:sz w:val="21"/>
          <w:szCs w:val="21"/>
        </w:rPr>
        <w:tab/>
      </w:r>
    </w:p>
    <w:p w14:paraId="36905EA3" w14:textId="4E4953FD" w:rsidR="00751E3D" w:rsidRDefault="00751E3D" w:rsidP="00751E3D">
      <w:pPr>
        <w:jc w:val="both"/>
        <w:rPr>
          <w:rFonts w:ascii="Abadi" w:hAnsi="Abadi"/>
          <w:sz w:val="21"/>
          <w:szCs w:val="21"/>
        </w:rPr>
      </w:pPr>
      <w:r>
        <w:rPr>
          <w:rFonts w:ascii="Abadi" w:hAnsi="Abadi"/>
          <w:sz w:val="21"/>
          <w:szCs w:val="21"/>
        </w:rPr>
        <w:t>- A</w:t>
      </w:r>
      <w:r w:rsidRPr="0030088F">
        <w:rPr>
          <w:rFonts w:ascii="Abadi" w:hAnsi="Abadi"/>
          <w:sz w:val="21"/>
          <w:szCs w:val="21"/>
        </w:rPr>
        <w:t>delante</w:t>
      </w:r>
      <w:r>
        <w:rPr>
          <w:rFonts w:ascii="Abadi" w:hAnsi="Abadi"/>
          <w:sz w:val="21"/>
          <w:szCs w:val="21"/>
        </w:rPr>
        <w:t>.</w:t>
      </w:r>
    </w:p>
    <w:p w14:paraId="54F17604" w14:textId="77777777" w:rsidR="00DB677B" w:rsidRDefault="00DB677B" w:rsidP="00751E3D">
      <w:pPr>
        <w:jc w:val="both"/>
        <w:rPr>
          <w:rFonts w:ascii="Abadi" w:hAnsi="Abadi"/>
          <w:sz w:val="21"/>
          <w:szCs w:val="21"/>
        </w:rPr>
      </w:pPr>
    </w:p>
    <w:p w14:paraId="5B8B699B" w14:textId="77777777" w:rsidR="00751E3D" w:rsidRDefault="00751E3D" w:rsidP="00751E3D">
      <w:pPr>
        <w:jc w:val="both"/>
        <w:rPr>
          <w:rFonts w:ascii="Abadi" w:hAnsi="Abadi"/>
          <w:b/>
          <w:bCs/>
          <w:sz w:val="21"/>
          <w:szCs w:val="21"/>
        </w:rPr>
      </w:pPr>
      <w:r w:rsidRPr="003A7899">
        <w:rPr>
          <w:rFonts w:ascii="Abadi" w:hAnsi="Abadi"/>
          <w:b/>
          <w:bCs/>
          <w:sz w:val="21"/>
          <w:szCs w:val="21"/>
        </w:rPr>
        <w:lastRenderedPageBreak/>
        <w:t>(Sube a tribuna la diputada Irma Leticia González Sánchez, para hablar en asuntos de interés general)</w:t>
      </w:r>
    </w:p>
    <w:p w14:paraId="20AAB171" w14:textId="77777777" w:rsidR="00DB677B" w:rsidRDefault="00DB677B" w:rsidP="00751E3D">
      <w:pPr>
        <w:jc w:val="both"/>
        <w:rPr>
          <w:rFonts w:ascii="Abadi" w:hAnsi="Abadi"/>
          <w:b/>
          <w:bCs/>
          <w:sz w:val="21"/>
          <w:szCs w:val="21"/>
        </w:rPr>
      </w:pPr>
    </w:p>
    <w:p w14:paraId="17911DF7" w14:textId="77777777" w:rsidR="00DB677B" w:rsidRDefault="00DB677B" w:rsidP="00751E3D">
      <w:pPr>
        <w:jc w:val="both"/>
        <w:rPr>
          <w:rFonts w:ascii="Abadi" w:hAnsi="Abadi"/>
          <w:b/>
          <w:bCs/>
          <w:sz w:val="21"/>
          <w:szCs w:val="21"/>
        </w:rPr>
      </w:pPr>
    </w:p>
    <w:p w14:paraId="235F2629" w14:textId="1CDBF872" w:rsidR="00DB677B" w:rsidRDefault="00DB677B" w:rsidP="00751E3D">
      <w:pPr>
        <w:jc w:val="both"/>
        <w:rPr>
          <w:rFonts w:ascii="Abadi" w:hAnsi="Abadi"/>
          <w:b/>
          <w:bCs/>
          <w:sz w:val="21"/>
          <w:szCs w:val="21"/>
        </w:rPr>
      </w:pPr>
    </w:p>
    <w:p w14:paraId="0E5F49B6" w14:textId="3DD6DFB1" w:rsidR="00751E3D" w:rsidRDefault="00AF7135" w:rsidP="00751E3D">
      <w:pPr>
        <w:jc w:val="both"/>
        <w:rPr>
          <w:rFonts w:ascii="Abadi" w:hAnsi="Abadi"/>
          <w:b/>
          <w:bCs/>
          <w:sz w:val="21"/>
          <w:szCs w:val="21"/>
        </w:rPr>
      </w:pPr>
      <w:r>
        <w:rPr>
          <w:noProof/>
        </w:rPr>
        <w:drawing>
          <wp:anchor distT="0" distB="0" distL="114300" distR="114300" simplePos="0" relativeHeight="251680790" behindDoc="1" locked="0" layoutInCell="1" allowOverlap="1" wp14:anchorId="3F509D8A" wp14:editId="3E3DB784">
            <wp:simplePos x="0" y="0"/>
            <wp:positionH relativeFrom="column">
              <wp:posOffset>718458</wp:posOffset>
            </wp:positionH>
            <wp:positionV relativeFrom="paragraph">
              <wp:posOffset>142149</wp:posOffset>
            </wp:positionV>
            <wp:extent cx="1219200" cy="630085"/>
            <wp:effectExtent l="247650" t="228600" r="247650" b="722630"/>
            <wp:wrapTight wrapText="bothSides">
              <wp:wrapPolygon edited="0">
                <wp:start x="-4388" y="-7839"/>
                <wp:lineTo x="-4388" y="45726"/>
                <wp:lineTo x="25650" y="45726"/>
                <wp:lineTo x="25650" y="-7839"/>
                <wp:lineTo x="-4388" y="-7839"/>
              </wp:wrapPolygon>
            </wp:wrapTight>
            <wp:docPr id="379966239" name="Imagen 379966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966239" name=""/>
                    <pic:cNvPicPr/>
                  </pic:nvPicPr>
                  <pic:blipFill rotWithShape="1">
                    <a:blip r:embed="rId76" cstate="print">
                      <a:extLst>
                        <a:ext uri="{28A0092B-C50C-407E-A947-70E740481C1C}">
                          <a14:useLocalDpi xmlns:a14="http://schemas.microsoft.com/office/drawing/2010/main" val="0"/>
                        </a:ext>
                      </a:extLst>
                    </a:blip>
                    <a:srcRect b="8117"/>
                    <a:stretch/>
                  </pic:blipFill>
                  <pic:spPr bwMode="auto">
                    <a:xfrm>
                      <a:off x="0" y="0"/>
                      <a:ext cx="1219200" cy="6300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0EDB737" w14:textId="3EA84E02" w:rsidR="00DB677B" w:rsidRDefault="00DB677B" w:rsidP="00751E3D">
      <w:pPr>
        <w:jc w:val="both"/>
        <w:rPr>
          <w:rFonts w:ascii="Abadi" w:hAnsi="Abadi"/>
          <w:b/>
          <w:bCs/>
          <w:sz w:val="21"/>
          <w:szCs w:val="21"/>
        </w:rPr>
      </w:pPr>
    </w:p>
    <w:p w14:paraId="05F6DFDD" w14:textId="77777777" w:rsidR="00DB677B" w:rsidRDefault="00DB677B" w:rsidP="00751E3D">
      <w:pPr>
        <w:jc w:val="both"/>
        <w:rPr>
          <w:rFonts w:ascii="Abadi" w:hAnsi="Abadi"/>
          <w:b/>
          <w:bCs/>
          <w:sz w:val="21"/>
          <w:szCs w:val="21"/>
        </w:rPr>
      </w:pPr>
    </w:p>
    <w:p w14:paraId="4B2FDF56" w14:textId="77777777" w:rsidR="00AF7135" w:rsidRDefault="00AF7135" w:rsidP="00751E3D">
      <w:pPr>
        <w:jc w:val="both"/>
        <w:rPr>
          <w:rFonts w:ascii="Abadi" w:hAnsi="Abadi"/>
          <w:b/>
          <w:bCs/>
          <w:sz w:val="21"/>
          <w:szCs w:val="21"/>
        </w:rPr>
      </w:pPr>
    </w:p>
    <w:p w14:paraId="76CAD63D" w14:textId="77777777" w:rsidR="00AF7135" w:rsidRDefault="00AF7135" w:rsidP="00751E3D">
      <w:pPr>
        <w:jc w:val="both"/>
        <w:rPr>
          <w:rFonts w:ascii="Abadi" w:hAnsi="Abadi"/>
          <w:b/>
          <w:bCs/>
          <w:sz w:val="21"/>
          <w:szCs w:val="21"/>
        </w:rPr>
      </w:pPr>
    </w:p>
    <w:p w14:paraId="68931FF4" w14:textId="77777777" w:rsidR="00AF7135" w:rsidRDefault="00AF7135" w:rsidP="00751E3D">
      <w:pPr>
        <w:jc w:val="both"/>
        <w:rPr>
          <w:rFonts w:ascii="Abadi" w:hAnsi="Abadi"/>
          <w:b/>
          <w:bCs/>
          <w:sz w:val="21"/>
          <w:szCs w:val="21"/>
        </w:rPr>
      </w:pPr>
    </w:p>
    <w:p w14:paraId="30318B72" w14:textId="77777777" w:rsidR="00AF7135" w:rsidRDefault="00AF7135" w:rsidP="00751E3D">
      <w:pPr>
        <w:jc w:val="both"/>
        <w:rPr>
          <w:rFonts w:ascii="Abadi" w:hAnsi="Abadi"/>
          <w:b/>
          <w:bCs/>
          <w:sz w:val="21"/>
          <w:szCs w:val="21"/>
        </w:rPr>
      </w:pPr>
    </w:p>
    <w:p w14:paraId="0520CEDC" w14:textId="77777777" w:rsidR="00AF7135" w:rsidRDefault="00AF7135" w:rsidP="00751E3D">
      <w:pPr>
        <w:jc w:val="both"/>
        <w:rPr>
          <w:rFonts w:ascii="Abadi" w:hAnsi="Abadi"/>
          <w:b/>
          <w:bCs/>
          <w:sz w:val="21"/>
          <w:szCs w:val="21"/>
        </w:rPr>
      </w:pPr>
    </w:p>
    <w:p w14:paraId="3290FBDE" w14:textId="77777777" w:rsidR="00AF7135" w:rsidRDefault="00AF7135" w:rsidP="00751E3D">
      <w:pPr>
        <w:jc w:val="both"/>
        <w:rPr>
          <w:rFonts w:ascii="Abadi" w:hAnsi="Abadi"/>
          <w:b/>
          <w:bCs/>
          <w:sz w:val="21"/>
          <w:szCs w:val="21"/>
        </w:rPr>
      </w:pPr>
    </w:p>
    <w:p w14:paraId="522B6C1A" w14:textId="77777777" w:rsidR="00AF7135" w:rsidRPr="003A7899" w:rsidRDefault="00AF7135" w:rsidP="00751E3D">
      <w:pPr>
        <w:jc w:val="both"/>
        <w:rPr>
          <w:rFonts w:ascii="Abadi" w:hAnsi="Abadi"/>
          <w:b/>
          <w:bCs/>
          <w:sz w:val="21"/>
          <w:szCs w:val="21"/>
        </w:rPr>
      </w:pPr>
    </w:p>
    <w:p w14:paraId="789B7BE4" w14:textId="77777777" w:rsidR="00751E3D" w:rsidRDefault="00751E3D" w:rsidP="00751E3D">
      <w:pPr>
        <w:jc w:val="both"/>
        <w:rPr>
          <w:rFonts w:ascii="Abadi" w:hAnsi="Abadi"/>
          <w:sz w:val="21"/>
          <w:szCs w:val="21"/>
        </w:rPr>
      </w:pPr>
      <w:r>
        <w:rPr>
          <w:rFonts w:ascii="Abadi" w:hAnsi="Abadi"/>
          <w:sz w:val="21"/>
          <w:szCs w:val="21"/>
        </w:rPr>
        <w:t>- M</w:t>
      </w:r>
      <w:r w:rsidRPr="0030088F">
        <w:rPr>
          <w:rFonts w:ascii="Abadi" w:hAnsi="Abadi"/>
          <w:sz w:val="21"/>
          <w:szCs w:val="21"/>
        </w:rPr>
        <w:t>uy buenas tardes</w:t>
      </w:r>
      <w:r>
        <w:rPr>
          <w:rFonts w:ascii="Abadi" w:hAnsi="Abadi"/>
          <w:sz w:val="21"/>
          <w:szCs w:val="21"/>
        </w:rPr>
        <w:t>,</w:t>
      </w:r>
      <w:r w:rsidRPr="0030088F">
        <w:rPr>
          <w:rFonts w:ascii="Abadi" w:hAnsi="Abadi"/>
          <w:sz w:val="21"/>
          <w:szCs w:val="21"/>
        </w:rPr>
        <w:t xml:space="preserve"> nuevamente aquí agradeciéndoles</w:t>
      </w:r>
      <w:r>
        <w:rPr>
          <w:rFonts w:ascii="Abadi" w:hAnsi="Abadi"/>
          <w:sz w:val="21"/>
          <w:szCs w:val="21"/>
        </w:rPr>
        <w:t xml:space="preserve"> a </w:t>
      </w:r>
      <w:r w:rsidRPr="0030088F">
        <w:rPr>
          <w:rFonts w:ascii="Abadi" w:hAnsi="Abadi"/>
          <w:sz w:val="21"/>
          <w:szCs w:val="21"/>
        </w:rPr>
        <w:t xml:space="preserve">la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 xml:space="preserve">irectiva a todas y todos ustedes a quien nos ve a través de las redes sociales medios de comunicación creo que hay alguno este sé que están cansados pero es importante el que tratemos este tema </w:t>
      </w:r>
      <w:r>
        <w:rPr>
          <w:rFonts w:ascii="Abadi" w:hAnsi="Abadi"/>
          <w:sz w:val="21"/>
          <w:szCs w:val="21"/>
        </w:rPr>
        <w:t>-</w:t>
      </w:r>
      <w:r w:rsidRPr="0030088F">
        <w:rPr>
          <w:rFonts w:ascii="Abadi" w:hAnsi="Abadi"/>
          <w:sz w:val="21"/>
          <w:szCs w:val="21"/>
        </w:rPr>
        <w:t>y por qué lo trato</w:t>
      </w:r>
      <w:r>
        <w:rPr>
          <w:rFonts w:ascii="Abadi" w:hAnsi="Abadi"/>
          <w:sz w:val="21"/>
          <w:szCs w:val="21"/>
        </w:rPr>
        <w:t>-</w:t>
      </w:r>
      <w:r w:rsidRPr="0030088F">
        <w:rPr>
          <w:rFonts w:ascii="Abadi" w:hAnsi="Abadi"/>
          <w:sz w:val="21"/>
          <w:szCs w:val="21"/>
        </w:rPr>
        <w:t xml:space="preserve"> porque en la</w:t>
      </w:r>
      <w:r>
        <w:rPr>
          <w:rFonts w:ascii="Abadi" w:hAnsi="Abadi"/>
          <w:sz w:val="21"/>
          <w:szCs w:val="21"/>
        </w:rPr>
        <w:t xml:space="preserve"> </w:t>
      </w:r>
      <w:r w:rsidRPr="0030088F">
        <w:rPr>
          <w:rFonts w:ascii="Abadi" w:hAnsi="Abadi"/>
          <w:sz w:val="21"/>
          <w:szCs w:val="21"/>
        </w:rPr>
        <w:t>63 legislatura</w:t>
      </w:r>
      <w:r>
        <w:rPr>
          <w:rFonts w:ascii="Abadi" w:hAnsi="Abadi"/>
          <w:sz w:val="21"/>
          <w:szCs w:val="21"/>
        </w:rPr>
        <w:t>,</w:t>
      </w:r>
      <w:r w:rsidRPr="0030088F">
        <w:rPr>
          <w:rFonts w:ascii="Abadi" w:hAnsi="Abadi"/>
          <w:sz w:val="21"/>
          <w:szCs w:val="21"/>
        </w:rPr>
        <w:t xml:space="preserve"> este</w:t>
      </w:r>
      <w:r>
        <w:rPr>
          <w:rFonts w:ascii="Abadi" w:hAnsi="Abadi"/>
          <w:sz w:val="21"/>
          <w:szCs w:val="21"/>
        </w:rPr>
        <w:t>,</w:t>
      </w:r>
      <w:r w:rsidRPr="0030088F">
        <w:rPr>
          <w:rFonts w:ascii="Abadi" w:hAnsi="Abadi"/>
          <w:sz w:val="21"/>
          <w:szCs w:val="21"/>
        </w:rPr>
        <w:t xml:space="preserve"> fui la iniciante de la de la </w:t>
      </w:r>
      <w:r>
        <w:rPr>
          <w:rFonts w:ascii="Abadi" w:hAnsi="Abadi"/>
          <w:sz w:val="21"/>
          <w:szCs w:val="21"/>
        </w:rPr>
        <w:t>L</w:t>
      </w:r>
      <w:r w:rsidRPr="0030088F">
        <w:rPr>
          <w:rFonts w:ascii="Abadi" w:hAnsi="Abadi"/>
          <w:sz w:val="21"/>
          <w:szCs w:val="21"/>
        </w:rPr>
        <w:t xml:space="preserve">ey de la </w:t>
      </w:r>
      <w:r>
        <w:rPr>
          <w:rFonts w:ascii="Abadi" w:hAnsi="Abadi"/>
          <w:sz w:val="21"/>
          <w:szCs w:val="21"/>
        </w:rPr>
        <w:t>I</w:t>
      </w:r>
      <w:r w:rsidRPr="0030088F">
        <w:rPr>
          <w:rFonts w:ascii="Abadi" w:hAnsi="Abadi"/>
          <w:sz w:val="21"/>
          <w:szCs w:val="21"/>
        </w:rPr>
        <w:t xml:space="preserve">niciativa de </w:t>
      </w:r>
      <w:r>
        <w:rPr>
          <w:rFonts w:ascii="Abadi" w:hAnsi="Abadi"/>
          <w:sz w:val="21"/>
          <w:szCs w:val="21"/>
        </w:rPr>
        <w:t>L</w:t>
      </w:r>
      <w:r w:rsidRPr="0030088F">
        <w:rPr>
          <w:rFonts w:ascii="Abadi" w:hAnsi="Abadi"/>
          <w:sz w:val="21"/>
          <w:szCs w:val="21"/>
        </w:rPr>
        <w:t xml:space="preserve">ey de </w:t>
      </w:r>
      <w:r>
        <w:rPr>
          <w:rFonts w:ascii="Abadi" w:hAnsi="Abadi"/>
          <w:sz w:val="21"/>
          <w:szCs w:val="21"/>
        </w:rPr>
        <w:t>D</w:t>
      </w:r>
      <w:r w:rsidRPr="0030088F">
        <w:rPr>
          <w:rFonts w:ascii="Abadi" w:hAnsi="Abadi"/>
          <w:sz w:val="21"/>
          <w:szCs w:val="21"/>
        </w:rPr>
        <w:t xml:space="preserve">efensores de </w:t>
      </w:r>
      <w:r>
        <w:rPr>
          <w:rFonts w:ascii="Abadi" w:hAnsi="Abadi"/>
          <w:sz w:val="21"/>
          <w:szCs w:val="21"/>
        </w:rPr>
        <w:t>H</w:t>
      </w:r>
      <w:r w:rsidRPr="0030088F">
        <w:rPr>
          <w:rFonts w:ascii="Abadi" w:hAnsi="Abadi"/>
          <w:sz w:val="21"/>
          <w:szCs w:val="21"/>
        </w:rPr>
        <w:t xml:space="preserve">umanos y </w:t>
      </w:r>
      <w:r>
        <w:rPr>
          <w:rFonts w:ascii="Abadi" w:hAnsi="Abadi"/>
          <w:sz w:val="21"/>
          <w:szCs w:val="21"/>
        </w:rPr>
        <w:t>P</w:t>
      </w:r>
      <w:r w:rsidRPr="0030088F">
        <w:rPr>
          <w:rFonts w:ascii="Abadi" w:hAnsi="Abadi"/>
          <w:sz w:val="21"/>
          <w:szCs w:val="21"/>
        </w:rPr>
        <w:t xml:space="preserve">eriodistas en el </w:t>
      </w:r>
      <w:r>
        <w:rPr>
          <w:rFonts w:ascii="Abadi" w:hAnsi="Abadi"/>
          <w:sz w:val="21"/>
          <w:szCs w:val="21"/>
        </w:rPr>
        <w:t>E</w:t>
      </w:r>
      <w:r w:rsidRPr="0030088F">
        <w:rPr>
          <w:rFonts w:ascii="Abadi" w:hAnsi="Abadi"/>
          <w:sz w:val="21"/>
          <w:szCs w:val="21"/>
        </w:rPr>
        <w:t>stado de Guanajuato y es por ello que tengo que hablarlo y hago el uso de la voz</w:t>
      </w:r>
      <w:r>
        <w:rPr>
          <w:rFonts w:ascii="Abadi" w:hAnsi="Abadi"/>
          <w:sz w:val="21"/>
          <w:szCs w:val="21"/>
        </w:rPr>
        <w:t>.</w:t>
      </w:r>
      <w:r w:rsidRPr="0030088F">
        <w:rPr>
          <w:rFonts w:ascii="Abadi" w:hAnsi="Abadi"/>
          <w:sz w:val="21"/>
          <w:szCs w:val="21"/>
        </w:rPr>
        <w:t xml:space="preserve"> Porque</w:t>
      </w:r>
      <w:r>
        <w:rPr>
          <w:rFonts w:ascii="Abadi" w:hAnsi="Abadi"/>
          <w:sz w:val="21"/>
          <w:szCs w:val="21"/>
        </w:rPr>
        <w:t>.</w:t>
      </w:r>
      <w:r w:rsidRPr="0030088F">
        <w:rPr>
          <w:rFonts w:ascii="Abadi" w:hAnsi="Abadi"/>
          <w:sz w:val="21"/>
          <w:szCs w:val="21"/>
        </w:rPr>
        <w:t xml:space="preserve"> elementos de la F</w:t>
      </w:r>
      <w:r>
        <w:rPr>
          <w:rFonts w:ascii="Abadi" w:hAnsi="Abadi"/>
          <w:sz w:val="21"/>
          <w:szCs w:val="21"/>
        </w:rPr>
        <w:t>SPE</w:t>
      </w:r>
      <w:r w:rsidRPr="0030088F">
        <w:rPr>
          <w:rFonts w:ascii="Abadi" w:hAnsi="Abadi"/>
          <w:sz w:val="21"/>
          <w:szCs w:val="21"/>
        </w:rPr>
        <w:t xml:space="preserve"> </w:t>
      </w:r>
      <w:r>
        <w:rPr>
          <w:rFonts w:ascii="Abadi" w:hAnsi="Abadi"/>
          <w:sz w:val="21"/>
          <w:szCs w:val="21"/>
        </w:rPr>
        <w:t xml:space="preserve">y </w:t>
      </w:r>
      <w:r w:rsidRPr="0030088F">
        <w:rPr>
          <w:rFonts w:ascii="Abadi" w:hAnsi="Abadi"/>
          <w:sz w:val="21"/>
          <w:szCs w:val="21"/>
        </w:rPr>
        <w:t>policía municipal de Irapuato</w:t>
      </w:r>
      <w:r>
        <w:rPr>
          <w:rFonts w:ascii="Abadi" w:hAnsi="Abadi"/>
          <w:sz w:val="21"/>
          <w:szCs w:val="21"/>
        </w:rPr>
        <w:t>,</w:t>
      </w:r>
      <w:r w:rsidRPr="0030088F">
        <w:rPr>
          <w:rFonts w:ascii="Abadi" w:hAnsi="Abadi"/>
          <w:sz w:val="21"/>
          <w:szCs w:val="21"/>
        </w:rPr>
        <w:t xml:space="preserve"> reprimieron con lujo de violencia </w:t>
      </w:r>
      <w:r>
        <w:rPr>
          <w:rFonts w:ascii="Abadi" w:hAnsi="Abadi"/>
          <w:sz w:val="21"/>
          <w:szCs w:val="21"/>
        </w:rPr>
        <w:t>I</w:t>
      </w:r>
      <w:r w:rsidRPr="0030088F">
        <w:rPr>
          <w:rFonts w:ascii="Abadi" w:hAnsi="Abadi"/>
          <w:sz w:val="21"/>
          <w:szCs w:val="21"/>
        </w:rPr>
        <w:t xml:space="preserve">ntegrantes de </w:t>
      </w:r>
      <w:r>
        <w:rPr>
          <w:rFonts w:ascii="Abadi" w:hAnsi="Abadi"/>
          <w:sz w:val="21"/>
          <w:szCs w:val="21"/>
        </w:rPr>
        <w:t>A</w:t>
      </w:r>
      <w:r w:rsidRPr="0030088F">
        <w:rPr>
          <w:rFonts w:ascii="Abadi" w:hAnsi="Abadi"/>
          <w:sz w:val="21"/>
          <w:szCs w:val="21"/>
        </w:rPr>
        <w:t xml:space="preserve">grupación </w:t>
      </w:r>
      <w:r>
        <w:rPr>
          <w:rFonts w:ascii="Abadi" w:hAnsi="Abadi"/>
          <w:sz w:val="21"/>
          <w:szCs w:val="21"/>
        </w:rPr>
        <w:t>D</w:t>
      </w:r>
      <w:r w:rsidRPr="0030088F">
        <w:rPr>
          <w:rFonts w:ascii="Abadi" w:hAnsi="Abadi"/>
          <w:sz w:val="21"/>
          <w:szCs w:val="21"/>
        </w:rPr>
        <w:t xml:space="preserve">ignidad </w:t>
      </w:r>
      <w:r>
        <w:rPr>
          <w:rFonts w:ascii="Abadi" w:hAnsi="Abadi"/>
          <w:sz w:val="21"/>
          <w:szCs w:val="21"/>
        </w:rPr>
        <w:t>C</w:t>
      </w:r>
      <w:r w:rsidRPr="0030088F">
        <w:rPr>
          <w:rFonts w:ascii="Abadi" w:hAnsi="Abadi"/>
          <w:sz w:val="21"/>
          <w:szCs w:val="21"/>
        </w:rPr>
        <w:t xml:space="preserve">omunitaria </w:t>
      </w:r>
      <w:r>
        <w:rPr>
          <w:rFonts w:ascii="Abadi" w:hAnsi="Abadi"/>
          <w:sz w:val="21"/>
          <w:szCs w:val="21"/>
        </w:rPr>
        <w:t>Co</w:t>
      </w:r>
      <w:r w:rsidRPr="0030088F">
        <w:rPr>
          <w:rFonts w:ascii="Abadi" w:hAnsi="Abadi"/>
          <w:sz w:val="21"/>
          <w:szCs w:val="21"/>
        </w:rPr>
        <w:t xml:space="preserve">ronilla </w:t>
      </w:r>
      <w:r>
        <w:rPr>
          <w:rFonts w:ascii="Abadi" w:hAnsi="Abadi"/>
          <w:sz w:val="21"/>
          <w:szCs w:val="21"/>
        </w:rPr>
        <w:t>N</w:t>
      </w:r>
      <w:r w:rsidRPr="0030088F">
        <w:rPr>
          <w:rFonts w:ascii="Abadi" w:hAnsi="Abadi"/>
          <w:sz w:val="21"/>
          <w:szCs w:val="21"/>
        </w:rPr>
        <w:t>assau quienes</w:t>
      </w:r>
      <w:r>
        <w:rPr>
          <w:rFonts w:ascii="Abadi" w:hAnsi="Abadi"/>
          <w:sz w:val="21"/>
          <w:szCs w:val="21"/>
        </w:rPr>
        <w:t>,</w:t>
      </w:r>
      <w:r w:rsidRPr="0030088F">
        <w:rPr>
          <w:rFonts w:ascii="Abadi" w:hAnsi="Abadi"/>
          <w:sz w:val="21"/>
          <w:szCs w:val="21"/>
        </w:rPr>
        <w:t xml:space="preserve"> esperaban al gobernador Diego Sinhue </w:t>
      </w:r>
      <w:r>
        <w:rPr>
          <w:rFonts w:ascii="Abadi" w:hAnsi="Abadi"/>
          <w:sz w:val="21"/>
          <w:szCs w:val="21"/>
        </w:rPr>
        <w:t>R</w:t>
      </w:r>
      <w:r w:rsidRPr="0030088F">
        <w:rPr>
          <w:rFonts w:ascii="Abadi" w:hAnsi="Abadi"/>
          <w:sz w:val="21"/>
          <w:szCs w:val="21"/>
        </w:rPr>
        <w:t xml:space="preserve">odríguez </w:t>
      </w:r>
      <w:r>
        <w:rPr>
          <w:rFonts w:ascii="Abadi" w:hAnsi="Abadi"/>
          <w:sz w:val="21"/>
          <w:szCs w:val="21"/>
        </w:rPr>
        <w:t>V</w:t>
      </w:r>
      <w:r w:rsidRPr="0030088F">
        <w:rPr>
          <w:rFonts w:ascii="Abadi" w:hAnsi="Abadi"/>
          <w:sz w:val="21"/>
          <w:szCs w:val="21"/>
        </w:rPr>
        <w:t xml:space="preserve">allejo y a la alcaldesa Lorena </w:t>
      </w:r>
      <w:r>
        <w:rPr>
          <w:rFonts w:ascii="Abadi" w:hAnsi="Abadi"/>
          <w:sz w:val="21"/>
          <w:szCs w:val="21"/>
        </w:rPr>
        <w:t>A</w:t>
      </w:r>
      <w:r w:rsidRPr="0030088F">
        <w:rPr>
          <w:rFonts w:ascii="Abadi" w:hAnsi="Abadi"/>
          <w:sz w:val="21"/>
          <w:szCs w:val="21"/>
        </w:rPr>
        <w:t>lfaro García para dar solución a un conflicto en la comunidad de lo de Juárez</w:t>
      </w:r>
      <w:r>
        <w:rPr>
          <w:rFonts w:ascii="Abadi" w:hAnsi="Abadi"/>
          <w:sz w:val="21"/>
          <w:szCs w:val="21"/>
        </w:rPr>
        <w:t>,</w:t>
      </w:r>
      <w:r w:rsidRPr="0030088F">
        <w:rPr>
          <w:rFonts w:ascii="Abadi" w:hAnsi="Abadi"/>
          <w:sz w:val="21"/>
          <w:szCs w:val="21"/>
        </w:rPr>
        <w:t xml:space="preserve"> tras el desalojo de 406</w:t>
      </w:r>
      <w:r>
        <w:rPr>
          <w:rFonts w:ascii="Abadi" w:hAnsi="Abadi"/>
          <w:sz w:val="21"/>
          <w:szCs w:val="21"/>
        </w:rPr>
        <w:t>,</w:t>
      </w:r>
      <w:r w:rsidRPr="0030088F">
        <w:rPr>
          <w:rFonts w:ascii="Abadi" w:hAnsi="Abadi"/>
          <w:sz w:val="21"/>
          <w:szCs w:val="21"/>
        </w:rPr>
        <w:t xml:space="preserve"> familias hace casi 3 meses</w:t>
      </w:r>
      <w:r>
        <w:rPr>
          <w:rFonts w:ascii="Abadi" w:hAnsi="Abadi"/>
          <w:sz w:val="21"/>
          <w:szCs w:val="21"/>
        </w:rPr>
        <w:t>,</w:t>
      </w:r>
      <w:r w:rsidRPr="0030088F">
        <w:rPr>
          <w:rFonts w:ascii="Abadi" w:hAnsi="Abadi"/>
          <w:sz w:val="21"/>
          <w:szCs w:val="21"/>
        </w:rPr>
        <w:t xml:space="preserve"> al intentar disolver la manifestación de 25 personas fueron al menos 100 elementos entre policías municipales </w:t>
      </w:r>
      <w:r>
        <w:rPr>
          <w:rFonts w:ascii="Abadi" w:hAnsi="Abadi"/>
          <w:sz w:val="21"/>
          <w:szCs w:val="21"/>
        </w:rPr>
        <w:t>FSPES</w:t>
      </w:r>
      <w:r w:rsidRPr="0030088F">
        <w:rPr>
          <w:rFonts w:ascii="Abadi" w:hAnsi="Abadi"/>
          <w:sz w:val="21"/>
          <w:szCs w:val="21"/>
        </w:rPr>
        <w:t xml:space="preserve"> y antimotines los que usaron bombas de gas y hasta palos de escoba para reprimir a la gente</w:t>
      </w:r>
      <w:r>
        <w:rPr>
          <w:rFonts w:ascii="Abadi" w:hAnsi="Abadi"/>
          <w:sz w:val="21"/>
          <w:szCs w:val="21"/>
        </w:rPr>
        <w:t>,</w:t>
      </w:r>
      <w:r w:rsidRPr="0030088F">
        <w:rPr>
          <w:rFonts w:ascii="Abadi" w:hAnsi="Abadi"/>
          <w:sz w:val="21"/>
          <w:szCs w:val="21"/>
        </w:rPr>
        <w:t xml:space="preserve"> como resultado de estos hechos fueron detenidas cuatro personas entre ellos 2 menores de edad de 14 y 17 años</w:t>
      </w:r>
      <w:r>
        <w:rPr>
          <w:rFonts w:ascii="Abadi" w:hAnsi="Abadi"/>
          <w:sz w:val="21"/>
          <w:szCs w:val="21"/>
        </w:rPr>
        <w:t>,</w:t>
      </w:r>
      <w:r w:rsidRPr="0030088F">
        <w:rPr>
          <w:rFonts w:ascii="Abadi" w:hAnsi="Abadi"/>
          <w:sz w:val="21"/>
          <w:szCs w:val="21"/>
        </w:rPr>
        <w:t xml:space="preserve"> así como resultaron varios heridos entre ellos un hombre de 64 años que usaba bastón para caminar y sin embargo fue esposado y arrastrado por los elementos de las corporaciones policiales</w:t>
      </w:r>
      <w:r>
        <w:rPr>
          <w:rFonts w:ascii="Abadi" w:hAnsi="Abadi"/>
          <w:sz w:val="21"/>
          <w:szCs w:val="21"/>
        </w:rPr>
        <w:t>.</w:t>
      </w:r>
    </w:p>
    <w:p w14:paraId="1FA60F92" w14:textId="77777777" w:rsidR="00DB677B" w:rsidRDefault="00DB677B" w:rsidP="00751E3D">
      <w:pPr>
        <w:jc w:val="both"/>
        <w:rPr>
          <w:rFonts w:ascii="Abadi" w:hAnsi="Abadi"/>
          <w:sz w:val="21"/>
          <w:szCs w:val="21"/>
        </w:rPr>
      </w:pPr>
    </w:p>
    <w:p w14:paraId="7FECE38B" w14:textId="77777777" w:rsidR="00751E3D" w:rsidRDefault="00751E3D" w:rsidP="00751E3D">
      <w:pPr>
        <w:jc w:val="both"/>
        <w:rPr>
          <w:rFonts w:ascii="Abadi" w:hAnsi="Abadi"/>
          <w:sz w:val="21"/>
          <w:szCs w:val="21"/>
        </w:rPr>
      </w:pPr>
      <w:r>
        <w:rPr>
          <w:rFonts w:ascii="Abadi" w:hAnsi="Abadi"/>
          <w:sz w:val="21"/>
          <w:szCs w:val="21"/>
        </w:rPr>
        <w:t>- T</w:t>
      </w:r>
      <w:r w:rsidRPr="0030088F">
        <w:rPr>
          <w:rFonts w:ascii="Abadi" w:hAnsi="Abadi"/>
          <w:sz w:val="21"/>
          <w:szCs w:val="21"/>
        </w:rPr>
        <w:t>ambién</w:t>
      </w:r>
      <w:r>
        <w:rPr>
          <w:rFonts w:ascii="Abadi" w:hAnsi="Abadi"/>
          <w:sz w:val="21"/>
          <w:szCs w:val="21"/>
        </w:rPr>
        <w:t xml:space="preserve"> </w:t>
      </w:r>
      <w:r w:rsidRPr="0030088F">
        <w:rPr>
          <w:rFonts w:ascii="Abadi" w:hAnsi="Abadi"/>
          <w:sz w:val="21"/>
          <w:szCs w:val="21"/>
        </w:rPr>
        <w:t xml:space="preserve">son contabilizados al menos </w:t>
      </w:r>
      <w:r>
        <w:rPr>
          <w:rFonts w:ascii="Abadi" w:hAnsi="Abadi"/>
          <w:sz w:val="21"/>
          <w:szCs w:val="21"/>
        </w:rPr>
        <w:t>tres</w:t>
      </w:r>
      <w:r w:rsidRPr="0030088F">
        <w:rPr>
          <w:rFonts w:ascii="Abadi" w:hAnsi="Abadi"/>
          <w:sz w:val="21"/>
          <w:szCs w:val="21"/>
        </w:rPr>
        <w:t xml:space="preserve"> reporteros lesionados uno de ellos hospitalizado</w:t>
      </w:r>
      <w:r>
        <w:rPr>
          <w:rFonts w:ascii="Abadi" w:hAnsi="Abadi"/>
          <w:sz w:val="21"/>
          <w:szCs w:val="21"/>
        </w:rPr>
        <w:t>,</w:t>
      </w:r>
      <w:r w:rsidRPr="0030088F">
        <w:rPr>
          <w:rFonts w:ascii="Abadi" w:hAnsi="Abadi"/>
          <w:sz w:val="21"/>
          <w:szCs w:val="21"/>
        </w:rPr>
        <w:t xml:space="preserve"> entre el alboroto un reportero fue sometido por al menos 5 elementos y golpeado por ellos mismos</w:t>
      </w:r>
      <w:r>
        <w:rPr>
          <w:rFonts w:ascii="Abadi" w:hAnsi="Abadi"/>
          <w:sz w:val="21"/>
          <w:szCs w:val="21"/>
        </w:rPr>
        <w:t>,</w:t>
      </w:r>
      <w:r w:rsidRPr="0030088F">
        <w:rPr>
          <w:rFonts w:ascii="Abadi" w:hAnsi="Abadi"/>
          <w:sz w:val="21"/>
          <w:szCs w:val="21"/>
        </w:rPr>
        <w:t xml:space="preserve"> quienes lo habían </w:t>
      </w:r>
      <w:r w:rsidRPr="0030088F">
        <w:rPr>
          <w:rFonts w:ascii="Abadi" w:hAnsi="Abadi"/>
          <w:sz w:val="21"/>
          <w:szCs w:val="21"/>
        </w:rPr>
        <w:t xml:space="preserve">amedrentado aventado e insultado para evitar </w:t>
      </w:r>
      <w:r>
        <w:rPr>
          <w:rFonts w:ascii="Abadi" w:hAnsi="Abadi"/>
          <w:sz w:val="21"/>
          <w:szCs w:val="21"/>
        </w:rPr>
        <w:t>-</w:t>
      </w:r>
      <w:r w:rsidRPr="0030088F">
        <w:rPr>
          <w:rFonts w:ascii="Abadi" w:hAnsi="Abadi"/>
          <w:sz w:val="21"/>
          <w:szCs w:val="21"/>
        </w:rPr>
        <w:t>fíjense nada más que tomará fotografías</w:t>
      </w:r>
      <w:r>
        <w:rPr>
          <w:rFonts w:ascii="Abadi" w:hAnsi="Abadi"/>
          <w:sz w:val="21"/>
          <w:szCs w:val="21"/>
        </w:rPr>
        <w:t>-</w:t>
      </w:r>
      <w:r w:rsidRPr="0030088F">
        <w:rPr>
          <w:rFonts w:ascii="Abadi" w:hAnsi="Abadi"/>
          <w:sz w:val="21"/>
          <w:szCs w:val="21"/>
        </w:rPr>
        <w:t xml:space="preserve"> para defenderlo varios reporteros intervinieron y también resultaron golpeados ya que al intentar encapsular a los quejosos los elementos aventaron a todos los presentes sin importar que se identificaran como medios de comunicación</w:t>
      </w:r>
      <w:r>
        <w:rPr>
          <w:rFonts w:ascii="Abadi" w:hAnsi="Abadi"/>
          <w:sz w:val="21"/>
          <w:szCs w:val="21"/>
        </w:rPr>
        <w:t>.</w:t>
      </w:r>
    </w:p>
    <w:p w14:paraId="198F570D" w14:textId="77777777" w:rsidR="00DB677B" w:rsidRDefault="00DB677B" w:rsidP="00751E3D">
      <w:pPr>
        <w:jc w:val="both"/>
        <w:rPr>
          <w:rFonts w:ascii="Abadi" w:hAnsi="Abadi"/>
          <w:sz w:val="21"/>
          <w:szCs w:val="21"/>
        </w:rPr>
      </w:pPr>
    </w:p>
    <w:p w14:paraId="3DE2464E" w14:textId="77777777" w:rsidR="00751E3D" w:rsidRDefault="00751E3D" w:rsidP="00751E3D">
      <w:pPr>
        <w:jc w:val="both"/>
        <w:rPr>
          <w:rFonts w:ascii="Abadi" w:hAnsi="Abadi"/>
          <w:sz w:val="21"/>
          <w:szCs w:val="21"/>
        </w:rPr>
      </w:pPr>
      <w:r>
        <w:rPr>
          <w:rFonts w:ascii="Abadi" w:hAnsi="Abadi"/>
          <w:sz w:val="21"/>
          <w:szCs w:val="21"/>
        </w:rPr>
        <w:t>- L</w:t>
      </w:r>
      <w:r w:rsidRPr="0030088F">
        <w:rPr>
          <w:rFonts w:ascii="Abadi" w:hAnsi="Abadi"/>
          <w:sz w:val="21"/>
          <w:szCs w:val="21"/>
        </w:rPr>
        <w:t>o anterior se ha convertido en un patrón sistemático de los cuerpos de seguridad pública en los municipios que no nos están brindando garantías para que las y los periodistas puedan realizar su trabajo particularmente en manifestaciones en las que se hace uso de la fuerza pública contra civiles en sucesos policiales o delictivos</w:t>
      </w:r>
      <w:r>
        <w:rPr>
          <w:rFonts w:ascii="Abadi" w:hAnsi="Abadi"/>
          <w:sz w:val="21"/>
          <w:szCs w:val="21"/>
        </w:rPr>
        <w:t>,</w:t>
      </w:r>
      <w:r w:rsidRPr="0030088F">
        <w:rPr>
          <w:rFonts w:ascii="Abadi" w:hAnsi="Abadi"/>
          <w:sz w:val="21"/>
          <w:szCs w:val="21"/>
        </w:rPr>
        <w:t xml:space="preserve"> es de verdad verdaderamente preocupante la escalada de violencia e impunidad de las agresiones de diversa índole contra las personas en la entidad</w:t>
      </w:r>
      <w:r>
        <w:rPr>
          <w:rFonts w:ascii="Abadi" w:hAnsi="Abadi"/>
          <w:sz w:val="21"/>
          <w:szCs w:val="21"/>
        </w:rPr>
        <w:t>.</w:t>
      </w:r>
    </w:p>
    <w:p w14:paraId="6A440E06" w14:textId="77777777" w:rsidR="00DB677B" w:rsidRDefault="00DB677B" w:rsidP="00751E3D">
      <w:pPr>
        <w:jc w:val="both"/>
        <w:rPr>
          <w:rFonts w:ascii="Abadi" w:hAnsi="Abadi"/>
          <w:sz w:val="21"/>
          <w:szCs w:val="21"/>
        </w:rPr>
      </w:pPr>
    </w:p>
    <w:p w14:paraId="2CAFED16"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n el último informe de la organización 19 voces contra la indiferencia Guanajuato ya se ubica en el décimo lugar por agresiones contra periodistas ya formamos parte también en esto de los primeros lugares lamentablemente la principal fuente de agresiones en contra de los periodistas son las autoridades ya que el 42.53% de los ataques fueron cometidos en forma directa por funcionarios de distintas áreas y agentes de corporaciones de seguridad pública</w:t>
      </w:r>
      <w:r>
        <w:rPr>
          <w:rFonts w:ascii="Abadi" w:hAnsi="Abadi"/>
          <w:sz w:val="21"/>
          <w:szCs w:val="21"/>
        </w:rPr>
        <w:t>,</w:t>
      </w:r>
      <w:r w:rsidRPr="0030088F">
        <w:rPr>
          <w:rFonts w:ascii="Abadi" w:hAnsi="Abadi"/>
          <w:sz w:val="21"/>
          <w:szCs w:val="21"/>
        </w:rPr>
        <w:t xml:space="preserve"> de acuerdo con la opinión de las y de los periodistas han visto por parte de las autoridades responsables que evaden investigar</w:t>
      </w:r>
      <w:r>
        <w:rPr>
          <w:rFonts w:ascii="Abadi" w:hAnsi="Abadi"/>
          <w:sz w:val="21"/>
          <w:szCs w:val="21"/>
        </w:rPr>
        <w:t xml:space="preserve">, fincar, </w:t>
      </w:r>
      <w:r w:rsidRPr="0030088F">
        <w:rPr>
          <w:rFonts w:ascii="Abadi" w:hAnsi="Abadi"/>
          <w:sz w:val="21"/>
          <w:szCs w:val="21"/>
        </w:rPr>
        <w:t xml:space="preserve">sin cargar responsabilidades y sancionar a los agentes involucrados en los hechos por lo que están solapando dicha impunidad como les decía al inicio de mi intervención en la </w:t>
      </w:r>
      <w:r>
        <w:rPr>
          <w:rFonts w:ascii="Abadi" w:hAnsi="Abadi"/>
          <w:sz w:val="21"/>
          <w:szCs w:val="21"/>
        </w:rPr>
        <w:t>Sexagésima Tercera L</w:t>
      </w:r>
      <w:r w:rsidRPr="0030088F">
        <w:rPr>
          <w:rFonts w:ascii="Abadi" w:hAnsi="Abadi"/>
          <w:sz w:val="21"/>
          <w:szCs w:val="21"/>
        </w:rPr>
        <w:t xml:space="preserve">egislatura me tocó impulsar la </w:t>
      </w:r>
      <w:r>
        <w:rPr>
          <w:rFonts w:ascii="Abadi" w:hAnsi="Abadi"/>
          <w:sz w:val="21"/>
          <w:szCs w:val="21"/>
        </w:rPr>
        <w:t>L</w:t>
      </w:r>
      <w:r w:rsidRPr="0030088F">
        <w:rPr>
          <w:rFonts w:ascii="Abadi" w:hAnsi="Abadi"/>
          <w:sz w:val="21"/>
          <w:szCs w:val="21"/>
        </w:rPr>
        <w:t xml:space="preserve">ey para la </w:t>
      </w:r>
      <w:r>
        <w:rPr>
          <w:rFonts w:ascii="Abadi" w:hAnsi="Abadi"/>
          <w:sz w:val="21"/>
          <w:szCs w:val="21"/>
        </w:rPr>
        <w:t>P</w:t>
      </w:r>
      <w:r w:rsidRPr="0030088F">
        <w:rPr>
          <w:rFonts w:ascii="Abadi" w:hAnsi="Abadi"/>
          <w:sz w:val="21"/>
          <w:szCs w:val="21"/>
        </w:rPr>
        <w:t xml:space="preserve">rotección de </w:t>
      </w:r>
      <w:r>
        <w:rPr>
          <w:rFonts w:ascii="Abadi" w:hAnsi="Abadi"/>
          <w:sz w:val="21"/>
          <w:szCs w:val="21"/>
        </w:rPr>
        <w:t>P</w:t>
      </w:r>
      <w:r w:rsidRPr="0030088F">
        <w:rPr>
          <w:rFonts w:ascii="Abadi" w:hAnsi="Abadi"/>
          <w:sz w:val="21"/>
          <w:szCs w:val="21"/>
        </w:rPr>
        <w:t xml:space="preserve">ersonas </w:t>
      </w:r>
      <w:r>
        <w:rPr>
          <w:rFonts w:ascii="Abadi" w:hAnsi="Abadi"/>
          <w:sz w:val="21"/>
          <w:szCs w:val="21"/>
        </w:rPr>
        <w:t>D</w:t>
      </w:r>
      <w:r w:rsidRPr="0030088F">
        <w:rPr>
          <w:rFonts w:ascii="Abadi" w:hAnsi="Abadi"/>
          <w:sz w:val="21"/>
          <w:szCs w:val="21"/>
        </w:rPr>
        <w:t xml:space="preserve">efensoras de </w:t>
      </w:r>
      <w:r>
        <w:rPr>
          <w:rFonts w:ascii="Abadi" w:hAnsi="Abadi"/>
          <w:sz w:val="21"/>
          <w:szCs w:val="21"/>
        </w:rPr>
        <w:t>D</w:t>
      </w:r>
      <w:r w:rsidRPr="0030088F">
        <w:rPr>
          <w:rFonts w:ascii="Abadi" w:hAnsi="Abadi"/>
          <w:sz w:val="21"/>
          <w:szCs w:val="21"/>
        </w:rPr>
        <w:t xml:space="preserve">erechos </w:t>
      </w:r>
      <w:r>
        <w:rPr>
          <w:rFonts w:ascii="Abadi" w:hAnsi="Abadi"/>
          <w:sz w:val="21"/>
          <w:szCs w:val="21"/>
        </w:rPr>
        <w:t>H</w:t>
      </w:r>
      <w:r w:rsidRPr="0030088F">
        <w:rPr>
          <w:rFonts w:ascii="Abadi" w:hAnsi="Abadi"/>
          <w:sz w:val="21"/>
          <w:szCs w:val="21"/>
        </w:rPr>
        <w:t xml:space="preserve">umanos y </w:t>
      </w:r>
      <w:r>
        <w:rPr>
          <w:rFonts w:ascii="Abadi" w:hAnsi="Abadi"/>
          <w:sz w:val="21"/>
          <w:szCs w:val="21"/>
        </w:rPr>
        <w:t>P</w:t>
      </w:r>
      <w:r w:rsidRPr="0030088F">
        <w:rPr>
          <w:rFonts w:ascii="Abadi" w:hAnsi="Abadi"/>
          <w:sz w:val="21"/>
          <w:szCs w:val="21"/>
        </w:rPr>
        <w:t xml:space="preserve">eriodistas aquí en el </w:t>
      </w:r>
      <w:r>
        <w:rPr>
          <w:rFonts w:ascii="Abadi" w:hAnsi="Abadi"/>
          <w:sz w:val="21"/>
          <w:szCs w:val="21"/>
        </w:rPr>
        <w:t>E</w:t>
      </w:r>
      <w:r w:rsidRPr="0030088F">
        <w:rPr>
          <w:rFonts w:ascii="Abadi" w:hAnsi="Abadi"/>
          <w:sz w:val="21"/>
          <w:szCs w:val="21"/>
        </w:rPr>
        <w:t>stado de Guanajuato a unos cuantos años de su implementación este es reconocerse</w:t>
      </w:r>
      <w:r>
        <w:rPr>
          <w:rFonts w:ascii="Abadi" w:hAnsi="Abadi"/>
          <w:sz w:val="21"/>
          <w:szCs w:val="21"/>
        </w:rPr>
        <w:t>,</w:t>
      </w:r>
      <w:r w:rsidRPr="0030088F">
        <w:rPr>
          <w:rFonts w:ascii="Abadi" w:hAnsi="Abadi"/>
          <w:sz w:val="21"/>
          <w:szCs w:val="21"/>
        </w:rPr>
        <w:t xml:space="preserve"> lo reconocemos que le hacen falta todavía dientes a la</w:t>
      </w:r>
      <w:r>
        <w:rPr>
          <w:rFonts w:ascii="Abadi" w:hAnsi="Abadi"/>
          <w:sz w:val="21"/>
          <w:szCs w:val="21"/>
        </w:rPr>
        <w:t>,</w:t>
      </w:r>
      <w:r w:rsidRPr="0030088F">
        <w:rPr>
          <w:rFonts w:ascii="Abadi" w:hAnsi="Abadi"/>
          <w:sz w:val="21"/>
          <w:szCs w:val="21"/>
        </w:rPr>
        <w:t xml:space="preserve"> a la iniciativa a dicha ley </w:t>
      </w:r>
      <w:r>
        <w:rPr>
          <w:rFonts w:ascii="Abadi" w:hAnsi="Abadi"/>
          <w:sz w:val="21"/>
          <w:szCs w:val="21"/>
        </w:rPr>
        <w:t>¡</w:t>
      </w:r>
      <w:r w:rsidRPr="0030088F">
        <w:rPr>
          <w:rFonts w:ascii="Abadi" w:hAnsi="Abadi"/>
          <w:sz w:val="21"/>
          <w:szCs w:val="21"/>
        </w:rPr>
        <w:t>perdón</w:t>
      </w:r>
      <w:r>
        <w:rPr>
          <w:rFonts w:ascii="Abadi" w:hAnsi="Abadi"/>
          <w:sz w:val="21"/>
          <w:szCs w:val="21"/>
        </w:rPr>
        <w:t>!</w:t>
      </w:r>
      <w:r w:rsidRPr="0030088F">
        <w:rPr>
          <w:rFonts w:ascii="Abadi" w:hAnsi="Abadi"/>
          <w:sz w:val="21"/>
          <w:szCs w:val="21"/>
        </w:rPr>
        <w:t xml:space="preserve"> a la</w:t>
      </w:r>
      <w:r>
        <w:rPr>
          <w:rFonts w:ascii="Abadi" w:hAnsi="Abadi"/>
          <w:sz w:val="21"/>
          <w:szCs w:val="21"/>
        </w:rPr>
        <w:t>,</w:t>
      </w:r>
      <w:r w:rsidRPr="0030088F">
        <w:rPr>
          <w:rFonts w:ascii="Abadi" w:hAnsi="Abadi"/>
          <w:sz w:val="21"/>
          <w:szCs w:val="21"/>
        </w:rPr>
        <w:t xml:space="preserve"> a la ley por lo que invito a las y los periodistas a que trabajemos todos juntos en una ley que sirva</w:t>
      </w:r>
      <w:r>
        <w:rPr>
          <w:rFonts w:ascii="Abadi" w:hAnsi="Abadi"/>
          <w:sz w:val="21"/>
          <w:szCs w:val="21"/>
        </w:rPr>
        <w:t xml:space="preserve"> </w:t>
      </w:r>
      <w:r w:rsidRPr="0030088F">
        <w:rPr>
          <w:rFonts w:ascii="Abadi" w:hAnsi="Abadi"/>
          <w:sz w:val="21"/>
          <w:szCs w:val="21"/>
        </w:rPr>
        <w:t>su gremio</w:t>
      </w:r>
      <w:r>
        <w:rPr>
          <w:rFonts w:ascii="Abadi" w:hAnsi="Abadi"/>
          <w:sz w:val="21"/>
          <w:szCs w:val="21"/>
        </w:rPr>
        <w:t>,</w:t>
      </w:r>
      <w:r w:rsidRPr="0030088F">
        <w:rPr>
          <w:rFonts w:ascii="Abadi" w:hAnsi="Abadi"/>
          <w:sz w:val="21"/>
          <w:szCs w:val="21"/>
        </w:rPr>
        <w:t xml:space="preserve"> una ley que realmente y los proteja</w:t>
      </w:r>
      <w:r>
        <w:rPr>
          <w:rFonts w:ascii="Abadi" w:hAnsi="Abadi"/>
          <w:sz w:val="21"/>
          <w:szCs w:val="21"/>
        </w:rPr>
        <w:t xml:space="preserve">, </w:t>
      </w:r>
      <w:r w:rsidRPr="0030088F">
        <w:rPr>
          <w:rFonts w:ascii="Abadi" w:hAnsi="Abadi"/>
          <w:sz w:val="21"/>
          <w:szCs w:val="21"/>
        </w:rPr>
        <w:t>pero no es no es realmente que los proteja</w:t>
      </w:r>
      <w:r>
        <w:rPr>
          <w:rFonts w:ascii="Abadi" w:hAnsi="Abadi"/>
          <w:sz w:val="21"/>
          <w:szCs w:val="21"/>
        </w:rPr>
        <w:t>,</w:t>
      </w:r>
      <w:r w:rsidRPr="0030088F">
        <w:rPr>
          <w:rFonts w:ascii="Abadi" w:hAnsi="Abadi"/>
          <w:sz w:val="21"/>
          <w:szCs w:val="21"/>
        </w:rPr>
        <w:t xml:space="preserve"> porque esta esta ley que impulse era para protegerlas para protegerlos era tenía todos los protocolos</w:t>
      </w:r>
      <w:r>
        <w:rPr>
          <w:rFonts w:ascii="Abadi" w:hAnsi="Abadi"/>
          <w:sz w:val="21"/>
          <w:szCs w:val="21"/>
        </w:rPr>
        <w:t>,</w:t>
      </w:r>
      <w:r w:rsidRPr="0030088F">
        <w:rPr>
          <w:rFonts w:ascii="Abadi" w:hAnsi="Abadi"/>
          <w:sz w:val="21"/>
          <w:szCs w:val="21"/>
        </w:rPr>
        <w:t xml:space="preserve"> pero desgraciadamente es una ley que no se </w:t>
      </w:r>
      <w:r w:rsidRPr="0030088F">
        <w:rPr>
          <w:rFonts w:ascii="Abadi" w:hAnsi="Abadi"/>
          <w:sz w:val="21"/>
          <w:szCs w:val="21"/>
        </w:rPr>
        <w:lastRenderedPageBreak/>
        <w:t>está cumpliendo</w:t>
      </w:r>
      <w:r>
        <w:rPr>
          <w:rFonts w:ascii="Abadi" w:hAnsi="Abadi"/>
          <w:sz w:val="21"/>
          <w:szCs w:val="21"/>
        </w:rPr>
        <w:t>,</w:t>
      </w:r>
      <w:r w:rsidRPr="0030088F">
        <w:rPr>
          <w:rFonts w:ascii="Abadi" w:hAnsi="Abadi"/>
          <w:sz w:val="21"/>
          <w:szCs w:val="21"/>
        </w:rPr>
        <w:t xml:space="preserve"> una ley que los proteja</w:t>
      </w:r>
      <w:r>
        <w:rPr>
          <w:rFonts w:ascii="Abadi" w:hAnsi="Abadi"/>
          <w:sz w:val="21"/>
          <w:szCs w:val="21"/>
        </w:rPr>
        <w:t>,</w:t>
      </w:r>
      <w:r w:rsidRPr="0030088F">
        <w:rPr>
          <w:rFonts w:ascii="Abadi" w:hAnsi="Abadi"/>
          <w:sz w:val="21"/>
          <w:szCs w:val="21"/>
        </w:rPr>
        <w:t xml:space="preserve"> una ley que les permite ejercer su trabajo y que también les permita informar y como le decía antes una ley que se aplique </w:t>
      </w:r>
      <w:r>
        <w:rPr>
          <w:rFonts w:ascii="Abadi" w:hAnsi="Abadi"/>
          <w:sz w:val="21"/>
          <w:szCs w:val="21"/>
        </w:rPr>
        <w:t>.</w:t>
      </w:r>
    </w:p>
    <w:p w14:paraId="74273B28" w14:textId="77777777" w:rsidR="00751E3D" w:rsidRDefault="00751E3D" w:rsidP="00751E3D">
      <w:pPr>
        <w:jc w:val="both"/>
        <w:rPr>
          <w:rFonts w:ascii="Abadi" w:hAnsi="Abadi"/>
          <w:sz w:val="21"/>
          <w:szCs w:val="21"/>
        </w:rPr>
      </w:pPr>
      <w:r>
        <w:rPr>
          <w:rFonts w:ascii="Abadi" w:hAnsi="Abadi"/>
          <w:sz w:val="21"/>
          <w:szCs w:val="21"/>
        </w:rPr>
        <w:t>- P</w:t>
      </w:r>
      <w:r w:rsidRPr="0030088F">
        <w:rPr>
          <w:rFonts w:ascii="Abadi" w:hAnsi="Abadi"/>
          <w:sz w:val="21"/>
          <w:szCs w:val="21"/>
        </w:rPr>
        <w:t>or lo anterior</w:t>
      </w:r>
      <w:r>
        <w:rPr>
          <w:rFonts w:ascii="Abadi" w:hAnsi="Abadi"/>
          <w:sz w:val="21"/>
          <w:szCs w:val="21"/>
        </w:rPr>
        <w:t>,</w:t>
      </w:r>
      <w:r w:rsidRPr="0030088F">
        <w:rPr>
          <w:rFonts w:ascii="Abadi" w:hAnsi="Abadi"/>
          <w:sz w:val="21"/>
          <w:szCs w:val="21"/>
        </w:rPr>
        <w:t xml:space="preserve"> me permito poner a consideración de esta </w:t>
      </w:r>
      <w:r>
        <w:rPr>
          <w:rFonts w:ascii="Abadi" w:hAnsi="Abadi"/>
          <w:sz w:val="21"/>
          <w:szCs w:val="21"/>
        </w:rPr>
        <w:t>A</w:t>
      </w:r>
      <w:r w:rsidRPr="0030088F">
        <w:rPr>
          <w:rFonts w:ascii="Abadi" w:hAnsi="Abadi"/>
          <w:sz w:val="21"/>
          <w:szCs w:val="21"/>
        </w:rPr>
        <w:t xml:space="preserve">samblea la siguiente propuesta de punto de acuerdo primero la </w:t>
      </w:r>
      <w:r>
        <w:rPr>
          <w:rFonts w:ascii="Abadi" w:hAnsi="Abadi"/>
          <w:sz w:val="21"/>
          <w:szCs w:val="21"/>
        </w:rPr>
        <w:t xml:space="preserve">Sexagésima Quinta Legislatura </w:t>
      </w:r>
      <w:r w:rsidRPr="0030088F">
        <w:rPr>
          <w:rFonts w:ascii="Abadi" w:hAnsi="Abadi"/>
          <w:sz w:val="21"/>
          <w:szCs w:val="21"/>
        </w:rPr>
        <w:t xml:space="preserve">del </w:t>
      </w:r>
      <w:r>
        <w:rPr>
          <w:rFonts w:ascii="Abadi" w:hAnsi="Abadi"/>
          <w:sz w:val="21"/>
          <w:szCs w:val="21"/>
        </w:rPr>
        <w:t>C</w:t>
      </w:r>
      <w:r w:rsidRPr="0030088F">
        <w:rPr>
          <w:rFonts w:ascii="Abadi" w:hAnsi="Abadi"/>
          <w:sz w:val="21"/>
          <w:szCs w:val="21"/>
        </w:rPr>
        <w:t xml:space="preserve">ongreso del </w:t>
      </w:r>
      <w:r>
        <w:rPr>
          <w:rFonts w:ascii="Abadi" w:hAnsi="Abadi"/>
          <w:sz w:val="21"/>
          <w:szCs w:val="21"/>
        </w:rPr>
        <w:t>E</w:t>
      </w:r>
      <w:r w:rsidRPr="0030088F">
        <w:rPr>
          <w:rFonts w:ascii="Abadi" w:hAnsi="Abadi"/>
          <w:sz w:val="21"/>
          <w:szCs w:val="21"/>
        </w:rPr>
        <w:t xml:space="preserve">stado libre y </w:t>
      </w:r>
      <w:r>
        <w:rPr>
          <w:rFonts w:ascii="Abadi" w:hAnsi="Abadi"/>
          <w:sz w:val="21"/>
          <w:szCs w:val="21"/>
        </w:rPr>
        <w:t>S</w:t>
      </w:r>
      <w:r w:rsidRPr="0030088F">
        <w:rPr>
          <w:rFonts w:ascii="Abadi" w:hAnsi="Abadi"/>
          <w:sz w:val="21"/>
          <w:szCs w:val="21"/>
        </w:rPr>
        <w:t>oberano de Guanajuato</w:t>
      </w:r>
      <w:r>
        <w:rPr>
          <w:rFonts w:ascii="Abadi" w:hAnsi="Abadi"/>
          <w:sz w:val="21"/>
          <w:szCs w:val="21"/>
        </w:rPr>
        <w:t>,</w:t>
      </w:r>
      <w:r w:rsidRPr="0030088F">
        <w:rPr>
          <w:rFonts w:ascii="Abadi" w:hAnsi="Abadi"/>
          <w:sz w:val="21"/>
          <w:szCs w:val="21"/>
        </w:rPr>
        <w:t xml:space="preserve"> gira un atento exhorto al </w:t>
      </w:r>
      <w:r>
        <w:rPr>
          <w:rFonts w:ascii="Abadi" w:hAnsi="Abadi"/>
          <w:sz w:val="21"/>
          <w:szCs w:val="21"/>
        </w:rPr>
        <w:t>C</w:t>
      </w:r>
      <w:r w:rsidRPr="0030088F">
        <w:rPr>
          <w:rFonts w:ascii="Abadi" w:hAnsi="Abadi"/>
          <w:sz w:val="21"/>
          <w:szCs w:val="21"/>
        </w:rPr>
        <w:t xml:space="preserve">onsejo </w:t>
      </w:r>
      <w:r>
        <w:rPr>
          <w:rFonts w:ascii="Abadi" w:hAnsi="Abadi"/>
          <w:sz w:val="21"/>
          <w:szCs w:val="21"/>
        </w:rPr>
        <w:t>E</w:t>
      </w:r>
      <w:r w:rsidRPr="0030088F">
        <w:rPr>
          <w:rFonts w:ascii="Abadi" w:hAnsi="Abadi"/>
          <w:sz w:val="21"/>
          <w:szCs w:val="21"/>
        </w:rPr>
        <w:t xml:space="preserve">statal de </w:t>
      </w:r>
      <w:r>
        <w:rPr>
          <w:rFonts w:ascii="Abadi" w:hAnsi="Abadi"/>
          <w:sz w:val="21"/>
          <w:szCs w:val="21"/>
        </w:rPr>
        <w:t>P</w:t>
      </w:r>
      <w:r w:rsidRPr="0030088F">
        <w:rPr>
          <w:rFonts w:ascii="Abadi" w:hAnsi="Abadi"/>
          <w:sz w:val="21"/>
          <w:szCs w:val="21"/>
        </w:rPr>
        <w:t xml:space="preserve">rotección a personas defensoras de derechos humanos y periodistas de Guanajuato para que investigue las agresiones hacia los periodistas de los hechos suscitados en mi municipio en Irapuato segundo un atento exhorto a la presidenta municipal de Irapuato Lorena del Carmen </w:t>
      </w:r>
      <w:r>
        <w:rPr>
          <w:rFonts w:ascii="Abadi" w:hAnsi="Abadi"/>
          <w:sz w:val="21"/>
          <w:szCs w:val="21"/>
        </w:rPr>
        <w:t>A</w:t>
      </w:r>
      <w:r w:rsidRPr="0030088F">
        <w:rPr>
          <w:rFonts w:ascii="Abadi" w:hAnsi="Abadi"/>
          <w:sz w:val="21"/>
          <w:szCs w:val="21"/>
        </w:rPr>
        <w:t>lfaro García</w:t>
      </w:r>
      <w:r>
        <w:rPr>
          <w:rFonts w:ascii="Abadi" w:hAnsi="Abadi"/>
          <w:sz w:val="21"/>
          <w:szCs w:val="21"/>
        </w:rPr>
        <w:t>,</w:t>
      </w:r>
      <w:r w:rsidRPr="0030088F">
        <w:rPr>
          <w:rFonts w:ascii="Abadi" w:hAnsi="Abadi"/>
          <w:sz w:val="21"/>
          <w:szCs w:val="21"/>
        </w:rPr>
        <w:t xml:space="preserve"> para que investigue y sancione a los elementos de seguridad pública que agredieron a los periodistas y a los mandos por supuesto también</w:t>
      </w:r>
      <w:r>
        <w:rPr>
          <w:rFonts w:ascii="Abadi" w:hAnsi="Abadi"/>
          <w:sz w:val="21"/>
          <w:szCs w:val="21"/>
        </w:rPr>
        <w:t>,</w:t>
      </w:r>
      <w:r w:rsidRPr="0030088F">
        <w:rPr>
          <w:rFonts w:ascii="Abadi" w:hAnsi="Abadi"/>
          <w:sz w:val="21"/>
          <w:szCs w:val="21"/>
        </w:rPr>
        <w:t xml:space="preserve"> porque aparte de todo al parecer pues no recibe a los periodistas y cuando van y los puede atender pues están siendo ahorita violentados y tercero un atento exhorto a los 46 ayuntamientos del estado de Guanajuato</w:t>
      </w:r>
      <w:r>
        <w:rPr>
          <w:rFonts w:ascii="Abadi" w:hAnsi="Abadi"/>
          <w:sz w:val="21"/>
          <w:szCs w:val="21"/>
        </w:rPr>
        <w:t>,</w:t>
      </w:r>
      <w:r w:rsidRPr="0030088F">
        <w:rPr>
          <w:rFonts w:ascii="Abadi" w:hAnsi="Abadi"/>
          <w:sz w:val="21"/>
          <w:szCs w:val="21"/>
        </w:rPr>
        <w:t xml:space="preserve"> para que atienda la recomendación de la </w:t>
      </w:r>
      <w:r>
        <w:rPr>
          <w:rFonts w:ascii="Abadi" w:hAnsi="Abadi"/>
          <w:sz w:val="21"/>
          <w:szCs w:val="21"/>
        </w:rPr>
        <w:t>P</w:t>
      </w:r>
      <w:r w:rsidRPr="0030088F">
        <w:rPr>
          <w:rFonts w:ascii="Abadi" w:hAnsi="Abadi"/>
          <w:sz w:val="21"/>
          <w:szCs w:val="21"/>
        </w:rPr>
        <w:t xml:space="preserve">rocuraduría de los </w:t>
      </w:r>
      <w:r>
        <w:rPr>
          <w:rFonts w:ascii="Abadi" w:hAnsi="Abadi"/>
          <w:sz w:val="21"/>
          <w:szCs w:val="21"/>
        </w:rPr>
        <w:t>D</w:t>
      </w:r>
      <w:r w:rsidRPr="0030088F">
        <w:rPr>
          <w:rFonts w:ascii="Abadi" w:hAnsi="Abadi"/>
          <w:sz w:val="21"/>
          <w:szCs w:val="21"/>
        </w:rPr>
        <w:t xml:space="preserve">erechos </w:t>
      </w:r>
      <w:r>
        <w:rPr>
          <w:rFonts w:ascii="Abadi" w:hAnsi="Abadi"/>
          <w:sz w:val="21"/>
          <w:szCs w:val="21"/>
        </w:rPr>
        <w:t>H</w:t>
      </w:r>
      <w:r w:rsidRPr="0030088F">
        <w:rPr>
          <w:rFonts w:ascii="Abadi" w:hAnsi="Abadi"/>
          <w:sz w:val="21"/>
          <w:szCs w:val="21"/>
        </w:rPr>
        <w:t xml:space="preserve">umanos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para elaborar un reglamento para garantizar el derecho de la libre manifestación y cuarto un atento exhorto al</w:t>
      </w:r>
      <w:r>
        <w:rPr>
          <w:rFonts w:ascii="Abadi" w:hAnsi="Abadi"/>
          <w:sz w:val="21"/>
          <w:szCs w:val="21"/>
        </w:rPr>
        <w:t>,</w:t>
      </w:r>
      <w:r w:rsidRPr="0030088F">
        <w:rPr>
          <w:rFonts w:ascii="Abadi" w:hAnsi="Abadi"/>
          <w:sz w:val="21"/>
          <w:szCs w:val="21"/>
        </w:rPr>
        <w:t xml:space="preserve"> al gobernador Diego </w:t>
      </w:r>
      <w:r>
        <w:rPr>
          <w:rFonts w:ascii="Abadi" w:hAnsi="Abadi"/>
          <w:sz w:val="21"/>
          <w:szCs w:val="21"/>
        </w:rPr>
        <w:t>S</w:t>
      </w:r>
      <w:r w:rsidRPr="0030088F">
        <w:rPr>
          <w:rFonts w:ascii="Abadi" w:hAnsi="Abadi"/>
          <w:sz w:val="21"/>
          <w:szCs w:val="21"/>
        </w:rPr>
        <w:t xml:space="preserve">inhue </w:t>
      </w:r>
      <w:r>
        <w:rPr>
          <w:rFonts w:ascii="Abadi" w:hAnsi="Abadi"/>
          <w:sz w:val="21"/>
          <w:szCs w:val="21"/>
        </w:rPr>
        <w:t>Ro</w:t>
      </w:r>
      <w:r w:rsidRPr="0030088F">
        <w:rPr>
          <w:rFonts w:ascii="Abadi" w:hAnsi="Abadi"/>
          <w:sz w:val="21"/>
          <w:szCs w:val="21"/>
        </w:rPr>
        <w:t xml:space="preserve">dríguez </w:t>
      </w:r>
      <w:r>
        <w:rPr>
          <w:rFonts w:ascii="Abadi" w:hAnsi="Abadi"/>
          <w:sz w:val="21"/>
          <w:szCs w:val="21"/>
        </w:rPr>
        <w:t>V</w:t>
      </w:r>
      <w:r w:rsidRPr="0030088F">
        <w:rPr>
          <w:rFonts w:ascii="Abadi" w:hAnsi="Abadi"/>
          <w:sz w:val="21"/>
          <w:szCs w:val="21"/>
        </w:rPr>
        <w:t xml:space="preserve">allejo </w:t>
      </w:r>
      <w:r>
        <w:rPr>
          <w:rFonts w:ascii="Abadi" w:hAnsi="Abadi"/>
          <w:sz w:val="21"/>
          <w:szCs w:val="21"/>
        </w:rPr>
        <w:t>G</w:t>
      </w:r>
      <w:r w:rsidRPr="0030088F">
        <w:rPr>
          <w:rFonts w:ascii="Abadi" w:hAnsi="Abadi"/>
          <w:sz w:val="21"/>
          <w:szCs w:val="21"/>
        </w:rPr>
        <w:t xml:space="preserve">obernador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para que atienda y dé solución a las familias de la comunidad</w:t>
      </w:r>
      <w:r>
        <w:rPr>
          <w:rFonts w:ascii="Abadi" w:hAnsi="Abadi"/>
          <w:sz w:val="21"/>
          <w:szCs w:val="21"/>
        </w:rPr>
        <w:t>,</w:t>
      </w:r>
      <w:r w:rsidRPr="0030088F">
        <w:rPr>
          <w:rFonts w:ascii="Abadi" w:hAnsi="Abadi"/>
          <w:sz w:val="21"/>
          <w:szCs w:val="21"/>
        </w:rPr>
        <w:t xml:space="preserve"> de lo de Juárez una de tantas del municipio de Irapuato</w:t>
      </w:r>
      <w:r>
        <w:rPr>
          <w:rFonts w:ascii="Abadi" w:hAnsi="Abadi"/>
          <w:sz w:val="21"/>
          <w:szCs w:val="21"/>
        </w:rPr>
        <w:t>,</w:t>
      </w:r>
      <w:r w:rsidRPr="0030088F">
        <w:rPr>
          <w:rFonts w:ascii="Abadi" w:hAnsi="Abadi"/>
          <w:sz w:val="21"/>
          <w:szCs w:val="21"/>
        </w:rPr>
        <w:t xml:space="preserve"> porque miren</w:t>
      </w:r>
      <w:r>
        <w:rPr>
          <w:rFonts w:ascii="Abadi" w:hAnsi="Abadi"/>
          <w:sz w:val="21"/>
          <w:szCs w:val="21"/>
        </w:rPr>
        <w:t>,</w:t>
      </w:r>
      <w:r w:rsidRPr="0030088F">
        <w:rPr>
          <w:rFonts w:ascii="Abadi" w:hAnsi="Abadi"/>
          <w:sz w:val="21"/>
          <w:szCs w:val="21"/>
        </w:rPr>
        <w:t xml:space="preserve"> no es el único hecho que está pasando en la comunidad de lo de Juárez</w:t>
      </w:r>
      <w:r>
        <w:rPr>
          <w:rFonts w:ascii="Abadi" w:hAnsi="Abadi"/>
          <w:sz w:val="21"/>
          <w:szCs w:val="21"/>
        </w:rPr>
        <w:t>,</w:t>
      </w:r>
      <w:r w:rsidRPr="0030088F">
        <w:rPr>
          <w:rFonts w:ascii="Abadi" w:hAnsi="Abadi"/>
          <w:sz w:val="21"/>
          <w:szCs w:val="21"/>
        </w:rPr>
        <w:t xml:space="preserve"> son 3 de las comunidades más grandes de Irapuato que están salidas de control que hay violencia</w:t>
      </w:r>
      <w:r>
        <w:rPr>
          <w:rFonts w:ascii="Abadi" w:hAnsi="Abadi"/>
          <w:sz w:val="21"/>
          <w:szCs w:val="21"/>
        </w:rPr>
        <w:t>,</w:t>
      </w:r>
      <w:r w:rsidRPr="0030088F">
        <w:rPr>
          <w:rFonts w:ascii="Abadi" w:hAnsi="Abadi"/>
          <w:sz w:val="21"/>
          <w:szCs w:val="21"/>
        </w:rPr>
        <w:t xml:space="preserve"> que hay violencia</w:t>
      </w:r>
      <w:r>
        <w:rPr>
          <w:rFonts w:ascii="Abadi" w:hAnsi="Abadi"/>
          <w:sz w:val="21"/>
          <w:szCs w:val="21"/>
        </w:rPr>
        <w:t>,</w:t>
      </w:r>
      <w:r w:rsidRPr="0030088F">
        <w:rPr>
          <w:rFonts w:ascii="Abadi" w:hAnsi="Abadi"/>
          <w:sz w:val="21"/>
          <w:szCs w:val="21"/>
        </w:rPr>
        <w:t xml:space="preserve"> que hay revoltura</w:t>
      </w:r>
      <w:r>
        <w:rPr>
          <w:rFonts w:ascii="Abadi" w:hAnsi="Abadi"/>
          <w:sz w:val="21"/>
          <w:szCs w:val="21"/>
        </w:rPr>
        <w:t>,</w:t>
      </w:r>
      <w:r w:rsidRPr="0030088F">
        <w:rPr>
          <w:rFonts w:ascii="Abadi" w:hAnsi="Abadi"/>
          <w:sz w:val="21"/>
          <w:szCs w:val="21"/>
        </w:rPr>
        <w:t xml:space="preserve"> que hay que hay palazos</w:t>
      </w:r>
      <w:r>
        <w:rPr>
          <w:rFonts w:ascii="Abadi" w:hAnsi="Abadi"/>
          <w:sz w:val="21"/>
          <w:szCs w:val="21"/>
        </w:rPr>
        <w:t>,</w:t>
      </w:r>
      <w:r w:rsidRPr="0030088F">
        <w:rPr>
          <w:rFonts w:ascii="Abadi" w:hAnsi="Abadi"/>
          <w:sz w:val="21"/>
          <w:szCs w:val="21"/>
        </w:rPr>
        <w:t xml:space="preserve"> que hay</w:t>
      </w:r>
      <w:r>
        <w:rPr>
          <w:rFonts w:ascii="Abadi" w:hAnsi="Abadi"/>
          <w:sz w:val="21"/>
          <w:szCs w:val="21"/>
        </w:rPr>
        <w:t>,</w:t>
      </w:r>
      <w:r w:rsidRPr="0030088F">
        <w:rPr>
          <w:rFonts w:ascii="Abadi" w:hAnsi="Abadi"/>
          <w:sz w:val="21"/>
          <w:szCs w:val="21"/>
        </w:rPr>
        <w:t xml:space="preserve"> hay enfrentamientos muy graves y que no están siendo atendidos de verdad Irapuato no puede ser Tierra de nadie es por ello que subo a esta tribuna para hacer este exhorto muchísimas gracias y muy buenas tardes</w:t>
      </w:r>
      <w:r>
        <w:rPr>
          <w:rFonts w:ascii="Abadi" w:hAnsi="Abadi"/>
          <w:sz w:val="21"/>
          <w:szCs w:val="21"/>
        </w:rPr>
        <w:t>,</w:t>
      </w:r>
      <w:r w:rsidRPr="0030088F">
        <w:rPr>
          <w:rFonts w:ascii="Abadi" w:hAnsi="Abadi"/>
          <w:sz w:val="21"/>
          <w:szCs w:val="21"/>
        </w:rPr>
        <w:t xml:space="preserve"> cuáles son los</w:t>
      </w:r>
      <w:r>
        <w:rPr>
          <w:rFonts w:ascii="Abadi" w:hAnsi="Abadi"/>
          <w:sz w:val="21"/>
          <w:szCs w:val="21"/>
        </w:rPr>
        <w:t>,</w:t>
      </w:r>
      <w:r w:rsidRPr="0030088F">
        <w:rPr>
          <w:rFonts w:ascii="Abadi" w:hAnsi="Abadi"/>
          <w:sz w:val="21"/>
          <w:szCs w:val="21"/>
        </w:rPr>
        <w:t xml:space="preserve"> los</w:t>
      </w:r>
      <w:r>
        <w:rPr>
          <w:rFonts w:ascii="Abadi" w:hAnsi="Abadi"/>
          <w:sz w:val="21"/>
          <w:szCs w:val="21"/>
        </w:rPr>
        <w:t>,</w:t>
      </w:r>
      <w:r w:rsidRPr="0030088F">
        <w:rPr>
          <w:rFonts w:ascii="Abadi" w:hAnsi="Abadi"/>
          <w:sz w:val="21"/>
          <w:szCs w:val="21"/>
        </w:rPr>
        <w:t xml:space="preserve"> las comuni</w:t>
      </w:r>
      <w:r>
        <w:rPr>
          <w:rFonts w:ascii="Abadi" w:hAnsi="Abadi"/>
          <w:sz w:val="21"/>
          <w:szCs w:val="21"/>
        </w:rPr>
        <w:t xml:space="preserve">dades, para </w:t>
      </w:r>
      <w:r w:rsidRPr="0030088F">
        <w:rPr>
          <w:rFonts w:ascii="Abadi" w:hAnsi="Abadi"/>
          <w:sz w:val="21"/>
          <w:szCs w:val="21"/>
        </w:rPr>
        <w:t>que vean que es verdad ese copal</w:t>
      </w:r>
      <w:r>
        <w:rPr>
          <w:rFonts w:ascii="Abadi" w:hAnsi="Abadi"/>
          <w:sz w:val="21"/>
          <w:szCs w:val="21"/>
        </w:rPr>
        <w:t>,</w:t>
      </w:r>
      <w:r w:rsidRPr="0030088F">
        <w:rPr>
          <w:rFonts w:ascii="Abadi" w:hAnsi="Abadi"/>
          <w:sz w:val="21"/>
          <w:szCs w:val="21"/>
        </w:rPr>
        <w:t xml:space="preserve"> lo de Juárez y </w:t>
      </w:r>
      <w:r>
        <w:rPr>
          <w:rFonts w:ascii="Abadi" w:hAnsi="Abadi"/>
          <w:sz w:val="21"/>
          <w:szCs w:val="21"/>
        </w:rPr>
        <w:t>A</w:t>
      </w:r>
      <w:r w:rsidRPr="0030088F">
        <w:rPr>
          <w:rFonts w:ascii="Abadi" w:hAnsi="Abadi"/>
          <w:sz w:val="21"/>
          <w:szCs w:val="21"/>
        </w:rPr>
        <w:t>ldama</w:t>
      </w:r>
      <w:r>
        <w:rPr>
          <w:rFonts w:ascii="Abadi" w:hAnsi="Abadi"/>
          <w:sz w:val="21"/>
          <w:szCs w:val="21"/>
        </w:rPr>
        <w:t>.</w:t>
      </w:r>
    </w:p>
    <w:p w14:paraId="1D4AE1B6" w14:textId="77777777" w:rsidR="00DB677B" w:rsidRDefault="00DB677B" w:rsidP="00751E3D">
      <w:pPr>
        <w:jc w:val="both"/>
        <w:rPr>
          <w:rFonts w:ascii="Abadi" w:hAnsi="Abadi"/>
          <w:sz w:val="21"/>
          <w:szCs w:val="21"/>
        </w:rPr>
      </w:pPr>
    </w:p>
    <w:p w14:paraId="20156964"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 cuánto</w:t>
      </w:r>
      <w:r>
        <w:rPr>
          <w:rFonts w:ascii="Abadi" w:hAnsi="Abadi"/>
          <w:sz w:val="21"/>
          <w:szCs w:val="21"/>
        </w:rPr>
        <w:t>, m</w:t>
      </w:r>
      <w:r w:rsidRPr="0030088F">
        <w:rPr>
          <w:rFonts w:ascii="Abadi" w:hAnsi="Abadi"/>
          <w:sz w:val="21"/>
          <w:szCs w:val="21"/>
        </w:rPr>
        <w:t>uchas gracias</w:t>
      </w:r>
      <w:r>
        <w:rPr>
          <w:rFonts w:ascii="Abadi" w:hAnsi="Abadi"/>
          <w:sz w:val="21"/>
          <w:szCs w:val="21"/>
        </w:rPr>
        <w:t>.</w:t>
      </w:r>
      <w:r w:rsidRPr="0030088F">
        <w:rPr>
          <w:rFonts w:ascii="Abadi" w:hAnsi="Abadi"/>
          <w:sz w:val="21"/>
          <w:szCs w:val="21"/>
        </w:rPr>
        <w:t xml:space="preserve"> </w:t>
      </w:r>
    </w:p>
    <w:p w14:paraId="0E4D397B" w14:textId="77777777" w:rsidR="00DB677B" w:rsidRDefault="00DB677B" w:rsidP="00751E3D">
      <w:pPr>
        <w:jc w:val="both"/>
        <w:rPr>
          <w:rFonts w:ascii="Abadi" w:hAnsi="Abadi"/>
          <w:sz w:val="21"/>
          <w:szCs w:val="21"/>
        </w:rPr>
      </w:pPr>
    </w:p>
    <w:p w14:paraId="7078DE8B" w14:textId="77777777" w:rsidR="00751E3D" w:rsidRDefault="00751E3D" w:rsidP="00751E3D">
      <w:pPr>
        <w:jc w:val="both"/>
        <w:rPr>
          <w:rFonts w:ascii="Abadi" w:hAnsi="Abadi"/>
          <w:sz w:val="21"/>
          <w:szCs w:val="21"/>
        </w:rPr>
      </w:pPr>
      <w:r>
        <w:rPr>
          <w:rFonts w:ascii="Abadi" w:hAnsi="Abadi"/>
          <w:sz w:val="21"/>
          <w:szCs w:val="21"/>
        </w:rPr>
        <w:tab/>
      </w:r>
      <w:r w:rsidRPr="00C376EF">
        <w:rPr>
          <w:rFonts w:ascii="Abadi" w:hAnsi="Abadi"/>
          <w:b/>
          <w:bCs/>
          <w:sz w:val="21"/>
          <w:szCs w:val="21"/>
        </w:rPr>
        <w:t xml:space="preserve">- La </w:t>
      </w:r>
      <w:proofErr w:type="gramStart"/>
      <w:r w:rsidRPr="00C376EF">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diputada</w:t>
      </w:r>
      <w:r>
        <w:rPr>
          <w:rFonts w:ascii="Abadi" w:hAnsi="Abadi"/>
          <w:sz w:val="21"/>
          <w:szCs w:val="21"/>
        </w:rPr>
        <w:t>.</w:t>
      </w:r>
    </w:p>
    <w:p w14:paraId="59EE4883" w14:textId="77777777" w:rsidR="00DB677B" w:rsidRDefault="00DB677B" w:rsidP="00751E3D">
      <w:pPr>
        <w:jc w:val="both"/>
        <w:rPr>
          <w:rFonts w:ascii="Abadi" w:hAnsi="Abadi"/>
          <w:sz w:val="21"/>
          <w:szCs w:val="21"/>
        </w:rPr>
      </w:pPr>
    </w:p>
    <w:p w14:paraId="67FE63B1" w14:textId="77777777" w:rsidR="00751E3D" w:rsidRDefault="00751E3D" w:rsidP="00751E3D">
      <w:pPr>
        <w:jc w:val="both"/>
        <w:rPr>
          <w:rFonts w:ascii="Abadi" w:hAnsi="Abadi"/>
          <w:sz w:val="21"/>
          <w:szCs w:val="21"/>
        </w:rPr>
      </w:pPr>
      <w:r>
        <w:rPr>
          <w:rFonts w:ascii="Abadi" w:hAnsi="Abadi"/>
          <w:sz w:val="21"/>
          <w:szCs w:val="21"/>
        </w:rPr>
        <w:tab/>
      </w:r>
      <w:r w:rsidRPr="00C376EF">
        <w:rPr>
          <w:rFonts w:ascii="Abadi" w:hAnsi="Abadi"/>
          <w:b/>
          <w:bCs/>
          <w:sz w:val="21"/>
          <w:szCs w:val="21"/>
        </w:rPr>
        <w:t xml:space="preserve">- La </w:t>
      </w:r>
      <w:proofErr w:type="gramStart"/>
      <w:r w:rsidRPr="00C376EF">
        <w:rPr>
          <w:rFonts w:ascii="Abadi" w:hAnsi="Abadi"/>
          <w:b/>
          <w:bCs/>
          <w:sz w:val="21"/>
          <w:szCs w:val="21"/>
        </w:rPr>
        <w:t>Presidencia.-</w:t>
      </w:r>
      <w:proofErr w:type="gramEnd"/>
      <w:r>
        <w:rPr>
          <w:rFonts w:ascii="Abadi" w:hAnsi="Abadi"/>
          <w:sz w:val="21"/>
          <w:szCs w:val="21"/>
        </w:rPr>
        <w:t xml:space="preserve"> S</w:t>
      </w:r>
      <w:r w:rsidRPr="0030088F">
        <w:rPr>
          <w:rFonts w:ascii="Abadi" w:hAnsi="Abadi"/>
          <w:sz w:val="21"/>
          <w:szCs w:val="21"/>
        </w:rPr>
        <w:t xml:space="preserve">e otorga el uso de la voz a la diputada </w:t>
      </w:r>
      <w:r>
        <w:rPr>
          <w:rFonts w:ascii="Abadi" w:hAnsi="Abadi"/>
          <w:sz w:val="21"/>
          <w:szCs w:val="21"/>
        </w:rPr>
        <w:t>A</w:t>
      </w:r>
      <w:r w:rsidRPr="0030088F">
        <w:rPr>
          <w:rFonts w:ascii="Abadi" w:hAnsi="Abadi"/>
          <w:sz w:val="21"/>
          <w:szCs w:val="21"/>
        </w:rPr>
        <w:t xml:space="preserve">lma </w:t>
      </w:r>
      <w:r>
        <w:rPr>
          <w:rFonts w:ascii="Abadi" w:hAnsi="Abadi"/>
          <w:sz w:val="21"/>
          <w:szCs w:val="21"/>
        </w:rPr>
        <w:t>Edwviges</w:t>
      </w:r>
      <w:r w:rsidRPr="0030088F">
        <w:rPr>
          <w:rFonts w:ascii="Abadi" w:hAnsi="Abadi"/>
          <w:sz w:val="21"/>
          <w:szCs w:val="21"/>
        </w:rPr>
        <w:t xml:space="preserve"> Alcaraz </w:t>
      </w:r>
      <w:r>
        <w:rPr>
          <w:rFonts w:ascii="Abadi" w:hAnsi="Abadi"/>
          <w:sz w:val="21"/>
          <w:szCs w:val="21"/>
        </w:rPr>
        <w:t>H</w:t>
      </w:r>
      <w:r w:rsidRPr="0030088F">
        <w:rPr>
          <w:rFonts w:ascii="Abadi" w:hAnsi="Abadi"/>
          <w:sz w:val="21"/>
          <w:szCs w:val="21"/>
        </w:rPr>
        <w:t>ernánde</w:t>
      </w:r>
      <w:r>
        <w:rPr>
          <w:rFonts w:ascii="Abadi" w:hAnsi="Abadi"/>
          <w:sz w:val="21"/>
          <w:szCs w:val="21"/>
        </w:rPr>
        <w:t>z</w:t>
      </w:r>
      <w:r w:rsidRPr="0030088F">
        <w:rPr>
          <w:rFonts w:ascii="Abadi" w:hAnsi="Abadi"/>
          <w:sz w:val="21"/>
          <w:szCs w:val="21"/>
        </w:rPr>
        <w:t xml:space="preserve"> hasta por 10 minutos</w:t>
      </w:r>
      <w:r>
        <w:rPr>
          <w:rFonts w:ascii="Abadi" w:hAnsi="Abadi"/>
          <w:sz w:val="21"/>
          <w:szCs w:val="21"/>
        </w:rPr>
        <w:t>.</w:t>
      </w:r>
    </w:p>
    <w:p w14:paraId="0A1C6599" w14:textId="77777777" w:rsidR="00DB677B" w:rsidRDefault="00DB677B" w:rsidP="00751E3D">
      <w:pPr>
        <w:jc w:val="both"/>
        <w:rPr>
          <w:rFonts w:ascii="Abadi" w:hAnsi="Abadi"/>
          <w:sz w:val="21"/>
          <w:szCs w:val="21"/>
        </w:rPr>
      </w:pPr>
    </w:p>
    <w:p w14:paraId="25437E67" w14:textId="77777777" w:rsidR="00751E3D" w:rsidRDefault="00751E3D" w:rsidP="00751E3D">
      <w:pPr>
        <w:jc w:val="both"/>
        <w:rPr>
          <w:rFonts w:ascii="Abadi" w:hAnsi="Abadi"/>
          <w:sz w:val="21"/>
          <w:szCs w:val="21"/>
        </w:rPr>
      </w:pPr>
      <w:r>
        <w:rPr>
          <w:rFonts w:ascii="Abadi" w:hAnsi="Abadi"/>
          <w:sz w:val="21"/>
          <w:szCs w:val="21"/>
        </w:rPr>
        <w:tab/>
        <w:t xml:space="preserve">- </w:t>
      </w:r>
      <w:r w:rsidRPr="000D20F1">
        <w:rPr>
          <w:rFonts w:ascii="Abadi" w:hAnsi="Abadi"/>
          <w:b/>
          <w:bCs/>
          <w:sz w:val="21"/>
          <w:szCs w:val="21"/>
        </w:rPr>
        <w:t>(Voz) diputada Presidenta,</w:t>
      </w:r>
      <w:r>
        <w:rPr>
          <w:rFonts w:ascii="Abadi" w:hAnsi="Abadi"/>
          <w:sz w:val="21"/>
          <w:szCs w:val="21"/>
        </w:rPr>
        <w:t xml:space="preserve"> s</w:t>
      </w:r>
      <w:r w:rsidRPr="0030088F">
        <w:rPr>
          <w:rFonts w:ascii="Abadi" w:hAnsi="Abadi"/>
          <w:sz w:val="21"/>
          <w:szCs w:val="21"/>
        </w:rPr>
        <w:t>í</w:t>
      </w:r>
      <w:r>
        <w:rPr>
          <w:rFonts w:ascii="Abadi" w:hAnsi="Abadi"/>
          <w:sz w:val="21"/>
          <w:szCs w:val="21"/>
        </w:rPr>
        <w:t>,</w:t>
      </w:r>
      <w:r w:rsidRPr="0030088F">
        <w:rPr>
          <w:rFonts w:ascii="Abadi" w:hAnsi="Abadi"/>
          <w:sz w:val="21"/>
          <w:szCs w:val="21"/>
        </w:rPr>
        <w:t xml:space="preserve"> retiro mi intervención president</w:t>
      </w:r>
      <w:r>
        <w:rPr>
          <w:rFonts w:ascii="Abadi" w:hAnsi="Abadi"/>
          <w:sz w:val="21"/>
          <w:szCs w:val="21"/>
        </w:rPr>
        <w:t>a</w:t>
      </w:r>
      <w:r w:rsidRPr="0030088F">
        <w:rPr>
          <w:rFonts w:ascii="Abadi" w:hAnsi="Abadi"/>
          <w:sz w:val="21"/>
          <w:szCs w:val="21"/>
        </w:rPr>
        <w:t xml:space="preserve"> </w:t>
      </w:r>
      <w:r w:rsidRPr="00E4292D">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gracias diputada</w:t>
      </w:r>
      <w:r>
        <w:rPr>
          <w:rFonts w:ascii="Abadi" w:hAnsi="Abadi"/>
          <w:sz w:val="21"/>
          <w:szCs w:val="21"/>
        </w:rPr>
        <w:t>.</w:t>
      </w:r>
    </w:p>
    <w:p w14:paraId="03F38D6B" w14:textId="77777777" w:rsidR="00DB677B" w:rsidRDefault="00DB677B" w:rsidP="00751E3D">
      <w:pPr>
        <w:jc w:val="both"/>
        <w:rPr>
          <w:rFonts w:ascii="Abadi" w:hAnsi="Abadi"/>
          <w:sz w:val="21"/>
          <w:szCs w:val="21"/>
        </w:rPr>
      </w:pPr>
    </w:p>
    <w:p w14:paraId="29550DFC" w14:textId="77777777" w:rsidR="00751E3D" w:rsidRDefault="00751E3D" w:rsidP="00751E3D">
      <w:pPr>
        <w:jc w:val="both"/>
        <w:rPr>
          <w:rFonts w:ascii="Abadi" w:hAnsi="Abadi"/>
          <w:sz w:val="21"/>
          <w:szCs w:val="21"/>
        </w:rPr>
      </w:pPr>
      <w:r>
        <w:rPr>
          <w:rFonts w:ascii="Abadi" w:hAnsi="Abadi"/>
          <w:sz w:val="21"/>
          <w:szCs w:val="21"/>
        </w:rPr>
        <w:tab/>
        <w:t>- S</w:t>
      </w:r>
      <w:r w:rsidRPr="0030088F">
        <w:rPr>
          <w:rFonts w:ascii="Abadi" w:hAnsi="Abadi"/>
          <w:sz w:val="21"/>
          <w:szCs w:val="21"/>
        </w:rPr>
        <w:t xml:space="preserve">e concede el uso de la palabra el diputado Alejandro </w:t>
      </w:r>
      <w:r>
        <w:rPr>
          <w:rFonts w:ascii="Abadi" w:hAnsi="Abadi"/>
          <w:sz w:val="21"/>
          <w:szCs w:val="21"/>
        </w:rPr>
        <w:t>A</w:t>
      </w:r>
      <w:r w:rsidRPr="0030088F">
        <w:rPr>
          <w:rFonts w:ascii="Abadi" w:hAnsi="Abadi"/>
          <w:sz w:val="21"/>
          <w:szCs w:val="21"/>
        </w:rPr>
        <w:t xml:space="preserve">rias </w:t>
      </w:r>
      <w:r>
        <w:rPr>
          <w:rFonts w:ascii="Abadi" w:hAnsi="Abadi"/>
          <w:sz w:val="21"/>
          <w:szCs w:val="21"/>
        </w:rPr>
        <w:t>Á</w:t>
      </w:r>
      <w:r w:rsidRPr="0030088F">
        <w:rPr>
          <w:rFonts w:ascii="Abadi" w:hAnsi="Abadi"/>
          <w:sz w:val="21"/>
          <w:szCs w:val="21"/>
        </w:rPr>
        <w:t>vila hasta por 10 minutos</w:t>
      </w:r>
      <w:r>
        <w:rPr>
          <w:rFonts w:ascii="Abadi" w:hAnsi="Abadi"/>
          <w:sz w:val="21"/>
          <w:szCs w:val="21"/>
        </w:rPr>
        <w:t>.</w:t>
      </w:r>
    </w:p>
    <w:p w14:paraId="527AC363" w14:textId="77777777" w:rsidR="00DB677B" w:rsidRDefault="00DB677B" w:rsidP="00751E3D">
      <w:pPr>
        <w:jc w:val="both"/>
        <w:rPr>
          <w:rFonts w:ascii="Abadi" w:hAnsi="Abadi"/>
          <w:sz w:val="21"/>
          <w:szCs w:val="21"/>
        </w:rPr>
      </w:pPr>
    </w:p>
    <w:p w14:paraId="3F064AD9" w14:textId="77777777" w:rsidR="00751E3D" w:rsidRDefault="00751E3D" w:rsidP="00751E3D">
      <w:pPr>
        <w:jc w:val="both"/>
        <w:rPr>
          <w:rFonts w:ascii="Abadi" w:hAnsi="Abadi"/>
          <w:b/>
          <w:bCs/>
          <w:sz w:val="21"/>
          <w:szCs w:val="21"/>
        </w:rPr>
      </w:pPr>
      <w:r w:rsidRPr="006D1A90">
        <w:rPr>
          <w:rFonts w:ascii="Abadi" w:hAnsi="Abadi"/>
          <w:b/>
          <w:bCs/>
          <w:sz w:val="21"/>
          <w:szCs w:val="21"/>
        </w:rPr>
        <w:t>(Sube a tribuna el Diputado Alejandro Arias Ávila, para hablar en asuntos de interés general)</w:t>
      </w:r>
    </w:p>
    <w:p w14:paraId="6F72398D" w14:textId="77777777" w:rsidR="00751E3D" w:rsidRDefault="00751E3D" w:rsidP="00751E3D">
      <w:pPr>
        <w:jc w:val="both"/>
        <w:rPr>
          <w:rFonts w:ascii="Abadi" w:hAnsi="Abadi"/>
          <w:b/>
          <w:bCs/>
          <w:sz w:val="21"/>
          <w:szCs w:val="21"/>
        </w:rPr>
      </w:pPr>
    </w:p>
    <w:p w14:paraId="0C16C472" w14:textId="77777777" w:rsidR="00751E3D" w:rsidRPr="006D1A90" w:rsidRDefault="00751E3D" w:rsidP="00751E3D">
      <w:pPr>
        <w:jc w:val="both"/>
        <w:rPr>
          <w:rFonts w:ascii="Abadi" w:hAnsi="Abadi"/>
          <w:b/>
          <w:bCs/>
          <w:sz w:val="21"/>
          <w:szCs w:val="21"/>
        </w:rPr>
      </w:pPr>
      <w:r>
        <w:rPr>
          <w:noProof/>
        </w:rPr>
        <w:drawing>
          <wp:inline distT="0" distB="0" distL="0" distR="0" wp14:anchorId="2FB27875" wp14:editId="6CC3DF4B">
            <wp:extent cx="1128712" cy="634853"/>
            <wp:effectExtent l="247650" t="228600" r="243205" b="718185"/>
            <wp:docPr id="1133174717" name="Imagen 1133174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174717" name=""/>
                    <pic:cNvPicPr/>
                  </pic:nvPicPr>
                  <pic:blipFill>
                    <a:blip r:embed="rId77"/>
                    <a:stretch>
                      <a:fillRect/>
                    </a:stretch>
                  </pic:blipFill>
                  <pic:spPr>
                    <a:xfrm>
                      <a:off x="0" y="0"/>
                      <a:ext cx="1147071" cy="64517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inline>
        </w:drawing>
      </w:r>
    </w:p>
    <w:p w14:paraId="607B0462" w14:textId="77777777" w:rsidR="00751E3D" w:rsidRDefault="00751E3D" w:rsidP="00751E3D">
      <w:pPr>
        <w:jc w:val="both"/>
        <w:rPr>
          <w:rFonts w:ascii="Abadi" w:hAnsi="Abadi"/>
          <w:sz w:val="21"/>
          <w:szCs w:val="21"/>
        </w:rPr>
      </w:pPr>
      <w:r>
        <w:rPr>
          <w:rFonts w:ascii="Abadi" w:hAnsi="Abadi"/>
          <w:sz w:val="21"/>
          <w:szCs w:val="21"/>
        </w:rPr>
        <w:t>- B</w:t>
      </w:r>
      <w:r w:rsidRPr="0030088F">
        <w:rPr>
          <w:rFonts w:ascii="Abadi" w:hAnsi="Abadi"/>
          <w:sz w:val="21"/>
          <w:szCs w:val="21"/>
        </w:rPr>
        <w:t>uenas tardes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sí ya sé hambre</w:t>
      </w:r>
      <w:r>
        <w:rPr>
          <w:rFonts w:ascii="Abadi" w:hAnsi="Abadi"/>
          <w:sz w:val="21"/>
          <w:szCs w:val="21"/>
        </w:rPr>
        <w:t>!</w:t>
      </w:r>
      <w:r w:rsidRPr="0030088F">
        <w:rPr>
          <w:rFonts w:ascii="Abadi" w:hAnsi="Abadi"/>
          <w:sz w:val="21"/>
          <w:szCs w:val="21"/>
        </w:rPr>
        <w:t xml:space="preserve"> todos tenemos cara de hambre</w:t>
      </w:r>
      <w:r>
        <w:rPr>
          <w:rFonts w:ascii="Abadi" w:hAnsi="Abadi"/>
          <w:sz w:val="21"/>
          <w:szCs w:val="21"/>
        </w:rPr>
        <w:t>,</w:t>
      </w:r>
      <w:r w:rsidRPr="0030088F">
        <w:rPr>
          <w:rFonts w:ascii="Abadi" w:hAnsi="Abadi"/>
          <w:sz w:val="21"/>
          <w:szCs w:val="21"/>
        </w:rPr>
        <w:t xml:space="preserve"> menos Gerardo</w:t>
      </w:r>
      <w:r>
        <w:rPr>
          <w:rFonts w:ascii="Abadi" w:hAnsi="Abadi"/>
          <w:sz w:val="21"/>
          <w:szCs w:val="21"/>
        </w:rPr>
        <w:t>,</w:t>
      </w:r>
      <w:r w:rsidRPr="0030088F">
        <w:rPr>
          <w:rFonts w:ascii="Abadi" w:hAnsi="Abadi"/>
          <w:sz w:val="21"/>
          <w:szCs w:val="21"/>
        </w:rPr>
        <w:t xml:space="preserve"> con permiso de la presidencia y de quienes todavía quedan en las redes sociales y en </w:t>
      </w:r>
      <w:r>
        <w:rPr>
          <w:rFonts w:ascii="Abadi" w:hAnsi="Abadi"/>
          <w:sz w:val="21"/>
          <w:szCs w:val="21"/>
        </w:rPr>
        <w:t xml:space="preserve">el público, acudo a esta tribuna para referirme,  sobre un tema de gran trascendencia democrática, e institucional en nuestro país, me refiero a la resolución que hace unos momentos </w:t>
      </w:r>
      <w:r w:rsidRPr="0030088F">
        <w:rPr>
          <w:rFonts w:ascii="Abadi" w:hAnsi="Abadi"/>
          <w:sz w:val="21"/>
          <w:szCs w:val="21"/>
        </w:rPr>
        <w:t xml:space="preserve">emitió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 en donde con 9 votos a favor y 2 en contra invalida en definitiva el llamado plan b</w:t>
      </w:r>
      <w:r>
        <w:rPr>
          <w:rFonts w:ascii="Abadi" w:hAnsi="Abadi"/>
          <w:sz w:val="21"/>
          <w:szCs w:val="21"/>
        </w:rPr>
        <w:t>,</w:t>
      </w:r>
      <w:r w:rsidRPr="0030088F">
        <w:rPr>
          <w:rFonts w:ascii="Abadi" w:hAnsi="Abadi"/>
          <w:sz w:val="21"/>
          <w:szCs w:val="21"/>
        </w:rPr>
        <w:t xml:space="preserve"> electoral</w:t>
      </w:r>
      <w:r>
        <w:rPr>
          <w:rFonts w:ascii="Abadi" w:hAnsi="Abadi"/>
          <w:sz w:val="21"/>
          <w:szCs w:val="21"/>
        </w:rPr>
        <w:t>,</w:t>
      </w:r>
      <w:r w:rsidRPr="0030088F">
        <w:rPr>
          <w:rFonts w:ascii="Abadi" w:hAnsi="Abadi"/>
          <w:sz w:val="21"/>
          <w:szCs w:val="21"/>
        </w:rPr>
        <w:t xml:space="preserve"> y el intento del ejecutivo federal y sus aliados en el </w:t>
      </w:r>
      <w:r>
        <w:rPr>
          <w:rFonts w:ascii="Abadi" w:hAnsi="Abadi"/>
          <w:sz w:val="21"/>
          <w:szCs w:val="21"/>
        </w:rPr>
        <w:t>C</w:t>
      </w:r>
      <w:r w:rsidRPr="0030088F">
        <w:rPr>
          <w:rFonts w:ascii="Abadi" w:hAnsi="Abadi"/>
          <w:sz w:val="21"/>
          <w:szCs w:val="21"/>
        </w:rPr>
        <w:t xml:space="preserve">ongreso de la </w:t>
      </w:r>
      <w:r>
        <w:rPr>
          <w:rFonts w:ascii="Abadi" w:hAnsi="Abadi"/>
          <w:sz w:val="21"/>
          <w:szCs w:val="21"/>
        </w:rPr>
        <w:t>U</w:t>
      </w:r>
      <w:r w:rsidRPr="0030088F">
        <w:rPr>
          <w:rFonts w:ascii="Abadi" w:hAnsi="Abadi"/>
          <w:sz w:val="21"/>
          <w:szCs w:val="21"/>
        </w:rPr>
        <w:t>nión de avasallar a las demás representaciones políticas</w:t>
      </w:r>
      <w:r>
        <w:rPr>
          <w:rFonts w:ascii="Abadi" w:hAnsi="Abadi"/>
          <w:sz w:val="21"/>
          <w:szCs w:val="21"/>
        </w:rPr>
        <w:t>.</w:t>
      </w:r>
    </w:p>
    <w:p w14:paraId="2D56A289" w14:textId="77777777" w:rsidR="0084523A" w:rsidRDefault="0084523A" w:rsidP="00751E3D">
      <w:pPr>
        <w:jc w:val="both"/>
        <w:rPr>
          <w:rFonts w:ascii="Abadi" w:hAnsi="Abadi"/>
          <w:sz w:val="21"/>
          <w:szCs w:val="21"/>
        </w:rPr>
      </w:pPr>
    </w:p>
    <w:p w14:paraId="6A63FB91" w14:textId="77777777" w:rsidR="00751E3D" w:rsidRDefault="00751E3D" w:rsidP="00751E3D">
      <w:pPr>
        <w:jc w:val="both"/>
        <w:rPr>
          <w:rFonts w:ascii="Abadi" w:hAnsi="Abadi"/>
          <w:sz w:val="21"/>
          <w:szCs w:val="21"/>
        </w:rPr>
      </w:pPr>
      <w:r>
        <w:rPr>
          <w:rFonts w:ascii="Abadi" w:hAnsi="Abadi"/>
          <w:sz w:val="21"/>
          <w:szCs w:val="21"/>
        </w:rPr>
        <w:t>- S</w:t>
      </w:r>
      <w:r w:rsidRPr="0030088F">
        <w:rPr>
          <w:rFonts w:ascii="Abadi" w:hAnsi="Abadi"/>
          <w:sz w:val="21"/>
          <w:szCs w:val="21"/>
        </w:rPr>
        <w:t>i bien</w:t>
      </w:r>
      <w:r>
        <w:rPr>
          <w:rFonts w:ascii="Abadi" w:hAnsi="Abadi"/>
          <w:sz w:val="21"/>
          <w:szCs w:val="21"/>
        </w:rPr>
        <w:t>,</w:t>
      </w:r>
      <w:r w:rsidRPr="0030088F">
        <w:rPr>
          <w:rFonts w:ascii="Abadi" w:hAnsi="Abadi"/>
          <w:sz w:val="21"/>
          <w:szCs w:val="21"/>
        </w:rPr>
        <w:t xml:space="preserve"> en una democracia las mayorías son las que en gran medida dirigen el camino que ha de seguir el gobierno y las políticas que emanan de él</w:t>
      </w:r>
      <w:r>
        <w:rPr>
          <w:rFonts w:ascii="Abadi" w:hAnsi="Abadi"/>
          <w:sz w:val="21"/>
          <w:szCs w:val="21"/>
        </w:rPr>
        <w:t xml:space="preserve"> nunca estarán legitimadas para ir en contra del orden, constitucional ni por capricho, ni por instrucción del gobernante, ya lo manifestaron los ministros de la Suprema Corte, violentar el </w:t>
      </w:r>
      <w:r w:rsidRPr="0030088F">
        <w:rPr>
          <w:rFonts w:ascii="Abadi" w:hAnsi="Abadi"/>
          <w:sz w:val="21"/>
          <w:szCs w:val="21"/>
        </w:rPr>
        <w:t xml:space="preserve">proceso legislativo y el principio de democracia deliberativa es una deslealtad a la </w:t>
      </w:r>
      <w:r>
        <w:rPr>
          <w:rFonts w:ascii="Abadi" w:hAnsi="Abadi"/>
          <w:sz w:val="21"/>
          <w:szCs w:val="21"/>
        </w:rPr>
        <w:t>C</w:t>
      </w:r>
      <w:r w:rsidRPr="0030088F">
        <w:rPr>
          <w:rFonts w:ascii="Abadi" w:hAnsi="Abadi"/>
          <w:sz w:val="21"/>
          <w:szCs w:val="21"/>
        </w:rPr>
        <w:t>onstitución</w:t>
      </w:r>
      <w:r>
        <w:rPr>
          <w:rFonts w:ascii="Abadi" w:hAnsi="Abadi"/>
          <w:sz w:val="21"/>
          <w:szCs w:val="21"/>
        </w:rPr>
        <w:t>,</w:t>
      </w:r>
      <w:r w:rsidRPr="0030088F">
        <w:rPr>
          <w:rFonts w:ascii="Abadi" w:hAnsi="Abadi"/>
          <w:sz w:val="21"/>
          <w:szCs w:val="21"/>
        </w:rPr>
        <w:t xml:space="preserve"> transgredir el sistema bicameral de aprobación de leyes constituye un potencial invalidante</w:t>
      </w:r>
      <w:r>
        <w:rPr>
          <w:rFonts w:ascii="Abadi" w:hAnsi="Abadi"/>
          <w:sz w:val="21"/>
          <w:szCs w:val="21"/>
        </w:rPr>
        <w:t>,</w:t>
      </w:r>
      <w:r w:rsidRPr="0030088F">
        <w:rPr>
          <w:rFonts w:ascii="Abadi" w:hAnsi="Abadi"/>
          <w:sz w:val="21"/>
          <w:szCs w:val="21"/>
        </w:rPr>
        <w:t xml:space="preserve"> no se puede vulnerar la voluntad del pueblo expresada en la constitución y los legisladores deben conocer íntegramente y con oportunidad lo que aprueba</w:t>
      </w:r>
      <w:r>
        <w:rPr>
          <w:rFonts w:ascii="Abadi" w:hAnsi="Abadi"/>
          <w:sz w:val="21"/>
          <w:szCs w:val="21"/>
        </w:rPr>
        <w:t>,</w:t>
      </w:r>
      <w:r w:rsidRPr="0030088F">
        <w:rPr>
          <w:rFonts w:ascii="Abadi" w:hAnsi="Abadi"/>
          <w:sz w:val="21"/>
          <w:szCs w:val="21"/>
        </w:rPr>
        <w:t xml:space="preserve"> es su deber</w:t>
      </w:r>
      <w:r>
        <w:rPr>
          <w:rFonts w:ascii="Abadi" w:hAnsi="Abadi"/>
          <w:sz w:val="21"/>
          <w:szCs w:val="21"/>
        </w:rPr>
        <w:t>,</w:t>
      </w:r>
      <w:r w:rsidRPr="0030088F">
        <w:rPr>
          <w:rFonts w:ascii="Abadi" w:hAnsi="Abadi"/>
          <w:sz w:val="21"/>
          <w:szCs w:val="21"/>
        </w:rPr>
        <w:t xml:space="preserve"> para </w:t>
      </w:r>
      <w:r w:rsidRPr="0030088F">
        <w:rPr>
          <w:rFonts w:ascii="Abadi" w:hAnsi="Abadi"/>
          <w:sz w:val="21"/>
          <w:szCs w:val="21"/>
        </w:rPr>
        <w:lastRenderedPageBreak/>
        <w:t xml:space="preserve">con los ciudadanos por eso la forma en que las mexicanas y los mexicanos decidimos regirnos desde 1917 es a través de una república representativa democrática laica y federal en donde la soberanía del pueblo se ejerce a través de los </w:t>
      </w:r>
      <w:r>
        <w:rPr>
          <w:rFonts w:ascii="Abadi" w:hAnsi="Abadi"/>
          <w:sz w:val="21"/>
          <w:szCs w:val="21"/>
        </w:rPr>
        <w:t>tres</w:t>
      </w:r>
      <w:r w:rsidRPr="0030088F">
        <w:rPr>
          <w:rFonts w:ascii="Abadi" w:hAnsi="Abadi"/>
          <w:sz w:val="21"/>
          <w:szCs w:val="21"/>
        </w:rPr>
        <w:t xml:space="preserve"> poderes de la unión no de un supremo líder o sus seguidores así la defensa de nuestro orden constitucional hoy más que nunca encuentra sentido en esa división de poderes pue</w:t>
      </w:r>
      <w:r>
        <w:rPr>
          <w:rFonts w:ascii="Abadi" w:hAnsi="Abadi"/>
          <w:sz w:val="21"/>
          <w:szCs w:val="21"/>
        </w:rPr>
        <w:t xml:space="preserve">s </w:t>
      </w:r>
      <w:r w:rsidRPr="0030088F">
        <w:rPr>
          <w:rFonts w:ascii="Abadi" w:hAnsi="Abadi"/>
          <w:sz w:val="21"/>
          <w:szCs w:val="21"/>
        </w:rPr>
        <w:t xml:space="preserve">viva y vigente merced de sus sucesivas reformas nuestra </w:t>
      </w:r>
      <w:r>
        <w:rPr>
          <w:rFonts w:ascii="Abadi" w:hAnsi="Abadi"/>
          <w:sz w:val="21"/>
          <w:szCs w:val="21"/>
        </w:rPr>
        <w:t>Ca</w:t>
      </w:r>
      <w:r w:rsidRPr="0030088F">
        <w:rPr>
          <w:rFonts w:ascii="Abadi" w:hAnsi="Abadi"/>
          <w:sz w:val="21"/>
          <w:szCs w:val="21"/>
        </w:rPr>
        <w:t xml:space="preserve">rta </w:t>
      </w:r>
      <w:r>
        <w:rPr>
          <w:rFonts w:ascii="Abadi" w:hAnsi="Abadi"/>
          <w:sz w:val="21"/>
          <w:szCs w:val="21"/>
        </w:rPr>
        <w:t>M</w:t>
      </w:r>
      <w:r w:rsidRPr="0030088F">
        <w:rPr>
          <w:rFonts w:ascii="Abadi" w:hAnsi="Abadi"/>
          <w:sz w:val="21"/>
          <w:szCs w:val="21"/>
        </w:rPr>
        <w:t>agna ha ido evolucionando a la par de los tiempos</w:t>
      </w:r>
      <w:r>
        <w:rPr>
          <w:rFonts w:ascii="Abadi" w:hAnsi="Abadi"/>
          <w:sz w:val="21"/>
          <w:szCs w:val="21"/>
        </w:rPr>
        <w:t>,</w:t>
      </w:r>
      <w:r w:rsidRPr="0030088F">
        <w:rPr>
          <w:rFonts w:ascii="Abadi" w:hAnsi="Abadi"/>
          <w:sz w:val="21"/>
          <w:szCs w:val="21"/>
        </w:rPr>
        <w:t xml:space="preserve"> pero sin perder su esencia y principios por eso protegerla ante las ansias autoritarias de quienes ostentan el poder</w:t>
      </w:r>
      <w:r>
        <w:rPr>
          <w:rFonts w:ascii="Abadi" w:hAnsi="Abadi"/>
          <w:sz w:val="21"/>
          <w:szCs w:val="21"/>
        </w:rPr>
        <w:t>,</w:t>
      </w:r>
      <w:r w:rsidRPr="0030088F">
        <w:rPr>
          <w:rFonts w:ascii="Abadi" w:hAnsi="Abadi"/>
          <w:sz w:val="21"/>
          <w:szCs w:val="21"/>
        </w:rPr>
        <w:t xml:space="preserve"> más que una consigna política es un llamado patriótico</w:t>
      </w:r>
      <w:r>
        <w:rPr>
          <w:rFonts w:ascii="Abadi" w:hAnsi="Abadi"/>
          <w:sz w:val="21"/>
          <w:szCs w:val="21"/>
        </w:rPr>
        <w:t>,</w:t>
      </w:r>
      <w:r w:rsidRPr="0030088F">
        <w:rPr>
          <w:rFonts w:ascii="Abadi" w:hAnsi="Abadi"/>
          <w:sz w:val="21"/>
          <w:szCs w:val="21"/>
        </w:rPr>
        <w:t xml:space="preserve"> máxime</w:t>
      </w:r>
      <w:r>
        <w:rPr>
          <w:rFonts w:ascii="Abadi" w:hAnsi="Abadi"/>
          <w:sz w:val="21"/>
          <w:szCs w:val="21"/>
        </w:rPr>
        <w:t>,</w:t>
      </w:r>
      <w:r w:rsidRPr="0030088F">
        <w:rPr>
          <w:rFonts w:ascii="Abadi" w:hAnsi="Abadi"/>
          <w:sz w:val="21"/>
          <w:szCs w:val="21"/>
        </w:rPr>
        <w:t xml:space="preserve"> si lo que se pretende desmantelar son las instituciones nacidas por exigencia del pueblo</w:t>
      </w:r>
      <w:r>
        <w:rPr>
          <w:rFonts w:ascii="Abadi" w:hAnsi="Abadi"/>
          <w:sz w:val="21"/>
          <w:szCs w:val="21"/>
        </w:rPr>
        <w:t>,</w:t>
      </w:r>
      <w:r w:rsidRPr="0030088F">
        <w:rPr>
          <w:rFonts w:ascii="Abadi" w:hAnsi="Abadi"/>
          <w:sz w:val="21"/>
          <w:szCs w:val="21"/>
        </w:rPr>
        <w:t xml:space="preserve"> como son los organismos constitucionales autónomos</w:t>
      </w:r>
      <w:r>
        <w:rPr>
          <w:rFonts w:ascii="Abadi" w:hAnsi="Abadi"/>
          <w:sz w:val="21"/>
          <w:szCs w:val="21"/>
        </w:rPr>
        <w:t>,</w:t>
      </w:r>
      <w:r w:rsidRPr="0030088F">
        <w:rPr>
          <w:rFonts w:ascii="Abadi" w:hAnsi="Abadi"/>
          <w:sz w:val="21"/>
          <w:szCs w:val="21"/>
        </w:rPr>
        <w:t xml:space="preserve"> así lo hemos manifestado millones de mexicanos en todo el país</w:t>
      </w:r>
      <w:r>
        <w:rPr>
          <w:rFonts w:ascii="Abadi" w:hAnsi="Abadi"/>
          <w:sz w:val="21"/>
          <w:szCs w:val="21"/>
        </w:rPr>
        <w:t>,</w:t>
      </w:r>
      <w:r w:rsidRPr="0030088F">
        <w:rPr>
          <w:rFonts w:ascii="Abadi" w:hAnsi="Abadi"/>
          <w:sz w:val="21"/>
          <w:szCs w:val="21"/>
        </w:rPr>
        <w:t xml:space="preserve"> en defensa del </w:t>
      </w:r>
      <w:r>
        <w:rPr>
          <w:rFonts w:ascii="Abadi" w:hAnsi="Abadi"/>
          <w:sz w:val="21"/>
          <w:szCs w:val="21"/>
        </w:rPr>
        <w:t>I</w:t>
      </w:r>
      <w:r w:rsidRPr="0030088F">
        <w:rPr>
          <w:rFonts w:ascii="Abadi" w:hAnsi="Abadi"/>
          <w:sz w:val="21"/>
          <w:szCs w:val="21"/>
        </w:rPr>
        <w:t xml:space="preserve">nstituto </w:t>
      </w:r>
      <w:r>
        <w:rPr>
          <w:rFonts w:ascii="Abadi" w:hAnsi="Abadi"/>
          <w:sz w:val="21"/>
          <w:szCs w:val="21"/>
        </w:rPr>
        <w:t>N</w:t>
      </w:r>
      <w:r w:rsidRPr="0030088F">
        <w:rPr>
          <w:rFonts w:ascii="Abadi" w:hAnsi="Abadi"/>
          <w:sz w:val="21"/>
          <w:szCs w:val="21"/>
        </w:rPr>
        <w:t xml:space="preserve">acional </w:t>
      </w:r>
      <w:r>
        <w:rPr>
          <w:rFonts w:ascii="Abadi" w:hAnsi="Abadi"/>
          <w:sz w:val="21"/>
          <w:szCs w:val="21"/>
        </w:rPr>
        <w:t>E</w:t>
      </w:r>
      <w:r w:rsidRPr="0030088F">
        <w:rPr>
          <w:rFonts w:ascii="Abadi" w:hAnsi="Abadi"/>
          <w:sz w:val="21"/>
          <w:szCs w:val="21"/>
        </w:rPr>
        <w:t>lectoral</w:t>
      </w:r>
      <w:r>
        <w:rPr>
          <w:rFonts w:ascii="Abadi" w:hAnsi="Abadi"/>
          <w:sz w:val="21"/>
          <w:szCs w:val="21"/>
        </w:rPr>
        <w:t>,</w:t>
      </w:r>
      <w:r w:rsidRPr="0030088F">
        <w:rPr>
          <w:rFonts w:ascii="Abadi" w:hAnsi="Abadi"/>
          <w:sz w:val="21"/>
          <w:szCs w:val="21"/>
        </w:rPr>
        <w:t xml:space="preserve"> porque estos organismos se legitiman por su trascendencia y se blindan con el texto constitucional para que su actuar responda fundamentalmente a la nación y no a la conveniencia política o económica antes de nacer nuestro texto fundamental a lo largo de la vida de este país ya se habían gestado como expectativas de nuestra nación elementos como la división de poderes la democracia y el federalismo</w:t>
      </w:r>
      <w:r>
        <w:rPr>
          <w:rFonts w:ascii="Abadi" w:hAnsi="Abadi"/>
          <w:sz w:val="21"/>
          <w:szCs w:val="21"/>
        </w:rPr>
        <w:t>,</w:t>
      </w:r>
      <w:r w:rsidRPr="0030088F">
        <w:rPr>
          <w:rFonts w:ascii="Abadi" w:hAnsi="Abadi"/>
          <w:sz w:val="21"/>
          <w:szCs w:val="21"/>
        </w:rPr>
        <w:t xml:space="preserve"> ya desde los sentimientos de la nación </w:t>
      </w:r>
      <w:r>
        <w:rPr>
          <w:rFonts w:ascii="Abadi" w:hAnsi="Abadi"/>
          <w:sz w:val="21"/>
          <w:szCs w:val="21"/>
        </w:rPr>
        <w:t>M</w:t>
      </w:r>
      <w:r w:rsidRPr="0030088F">
        <w:rPr>
          <w:rFonts w:ascii="Abadi" w:hAnsi="Abadi"/>
          <w:sz w:val="21"/>
          <w:szCs w:val="21"/>
        </w:rPr>
        <w:t xml:space="preserve">orelos pugnaba por la división del </w:t>
      </w:r>
      <w:r>
        <w:rPr>
          <w:rFonts w:ascii="Abadi" w:hAnsi="Abadi"/>
          <w:sz w:val="21"/>
          <w:szCs w:val="21"/>
        </w:rPr>
        <w:t>S</w:t>
      </w:r>
      <w:r w:rsidRPr="0030088F">
        <w:rPr>
          <w:rFonts w:ascii="Abadi" w:hAnsi="Abadi"/>
          <w:sz w:val="21"/>
          <w:szCs w:val="21"/>
        </w:rPr>
        <w:t xml:space="preserve">upremo </w:t>
      </w:r>
      <w:r>
        <w:rPr>
          <w:rFonts w:ascii="Abadi" w:hAnsi="Abadi"/>
          <w:sz w:val="21"/>
          <w:szCs w:val="21"/>
        </w:rPr>
        <w:t>P</w:t>
      </w:r>
      <w:r w:rsidRPr="0030088F">
        <w:rPr>
          <w:rFonts w:ascii="Abadi" w:hAnsi="Abadi"/>
          <w:sz w:val="21"/>
          <w:szCs w:val="21"/>
        </w:rPr>
        <w:t xml:space="preserve">oder de la </w:t>
      </w:r>
      <w:r>
        <w:rPr>
          <w:rFonts w:ascii="Abadi" w:hAnsi="Abadi"/>
          <w:sz w:val="21"/>
          <w:szCs w:val="21"/>
        </w:rPr>
        <w:t>U</w:t>
      </w:r>
      <w:r w:rsidRPr="0030088F">
        <w:rPr>
          <w:rFonts w:ascii="Abadi" w:hAnsi="Abadi"/>
          <w:sz w:val="21"/>
          <w:szCs w:val="21"/>
        </w:rPr>
        <w:t>nión Juárez por su parte restableció el sistema republicano y Carranza recuperó el orden constitucional promulgando en voz del constituyente de 1917</w:t>
      </w:r>
      <w:r>
        <w:rPr>
          <w:rFonts w:ascii="Abadi" w:hAnsi="Abadi"/>
          <w:sz w:val="21"/>
          <w:szCs w:val="21"/>
        </w:rPr>
        <w:t>,</w:t>
      </w:r>
      <w:r w:rsidRPr="0030088F">
        <w:rPr>
          <w:rFonts w:ascii="Abadi" w:hAnsi="Abadi"/>
          <w:sz w:val="21"/>
          <w:szCs w:val="21"/>
        </w:rPr>
        <w:t xml:space="preserve"> la máxima orden ordenanza que actualmente nos rige</w:t>
      </w:r>
      <w:r>
        <w:rPr>
          <w:rFonts w:ascii="Abadi" w:hAnsi="Abadi"/>
          <w:sz w:val="21"/>
          <w:szCs w:val="21"/>
        </w:rPr>
        <w:t>,</w:t>
      </w:r>
      <w:r w:rsidRPr="0030088F">
        <w:rPr>
          <w:rFonts w:ascii="Abadi" w:hAnsi="Abadi"/>
          <w:sz w:val="21"/>
          <w:szCs w:val="21"/>
        </w:rPr>
        <w:t xml:space="preserve"> sin dudar todos estos principios hoy se encuentran en peligro</w:t>
      </w:r>
      <w:r>
        <w:rPr>
          <w:rFonts w:ascii="Abadi" w:hAnsi="Abadi"/>
          <w:sz w:val="21"/>
          <w:szCs w:val="21"/>
        </w:rPr>
        <w:t>,</w:t>
      </w:r>
      <w:r w:rsidRPr="0030088F">
        <w:rPr>
          <w:rFonts w:ascii="Abadi" w:hAnsi="Abadi"/>
          <w:sz w:val="21"/>
          <w:szCs w:val="21"/>
        </w:rPr>
        <w:t xml:space="preserve"> ante las arremetidas de aquel que se ostenta como la encarnación del estado y que vocifera día con día que quien está en contra de sus caprichos está en contra de México</w:t>
      </w:r>
      <w:r>
        <w:rPr>
          <w:rFonts w:ascii="Abadi" w:hAnsi="Abadi"/>
          <w:sz w:val="21"/>
          <w:szCs w:val="21"/>
        </w:rPr>
        <w:t>,</w:t>
      </w:r>
      <w:r w:rsidRPr="0030088F">
        <w:rPr>
          <w:rFonts w:ascii="Abadi" w:hAnsi="Abadi"/>
          <w:sz w:val="21"/>
          <w:szCs w:val="21"/>
        </w:rPr>
        <w:t xml:space="preserve"> olvidando que el único designio que nos hemos dado los mexicanos es la </w:t>
      </w:r>
      <w:r>
        <w:rPr>
          <w:rFonts w:ascii="Abadi" w:hAnsi="Abadi"/>
          <w:sz w:val="21"/>
          <w:szCs w:val="21"/>
        </w:rPr>
        <w:t>C</w:t>
      </w:r>
      <w:r w:rsidRPr="0030088F">
        <w:rPr>
          <w:rFonts w:ascii="Abadi" w:hAnsi="Abadi"/>
          <w:sz w:val="21"/>
          <w:szCs w:val="21"/>
        </w:rPr>
        <w:t>onstitución</w:t>
      </w:r>
      <w:r>
        <w:rPr>
          <w:rFonts w:ascii="Abadi" w:hAnsi="Abadi"/>
          <w:sz w:val="21"/>
          <w:szCs w:val="21"/>
        </w:rPr>
        <w:t>,</w:t>
      </w:r>
      <w:r w:rsidRPr="0030088F">
        <w:rPr>
          <w:rFonts w:ascii="Abadi" w:hAnsi="Abadi"/>
          <w:sz w:val="21"/>
          <w:szCs w:val="21"/>
        </w:rPr>
        <w:t xml:space="preserve"> aquella que juró proteger y guardar patrióticamente</w:t>
      </w:r>
      <w:r>
        <w:rPr>
          <w:rFonts w:ascii="Abadi" w:hAnsi="Abadi"/>
          <w:sz w:val="21"/>
          <w:szCs w:val="21"/>
        </w:rPr>
        <w:t>,</w:t>
      </w:r>
      <w:r w:rsidRPr="0030088F">
        <w:rPr>
          <w:rFonts w:ascii="Abadi" w:hAnsi="Abadi"/>
          <w:sz w:val="21"/>
          <w:szCs w:val="21"/>
        </w:rPr>
        <w:t xml:space="preserve"> no obstante con un nivel de esclarecimiento casi profético el constituyente de Querétaro otorgó a nuestra gran ordenanza pesos y contrapesos</w:t>
      </w:r>
      <w:r>
        <w:rPr>
          <w:rFonts w:ascii="Abadi" w:hAnsi="Abadi"/>
          <w:sz w:val="21"/>
          <w:szCs w:val="21"/>
        </w:rPr>
        <w:t>,</w:t>
      </w:r>
      <w:r w:rsidRPr="0030088F">
        <w:rPr>
          <w:rFonts w:ascii="Abadi" w:hAnsi="Abadi"/>
          <w:sz w:val="21"/>
          <w:szCs w:val="21"/>
        </w:rPr>
        <w:t xml:space="preserve"> en el ejercicio del poder</w:t>
      </w:r>
      <w:r>
        <w:rPr>
          <w:rFonts w:ascii="Abadi" w:hAnsi="Abadi"/>
          <w:sz w:val="21"/>
          <w:szCs w:val="21"/>
        </w:rPr>
        <w:t>,</w:t>
      </w:r>
      <w:r w:rsidRPr="0030088F">
        <w:rPr>
          <w:rFonts w:ascii="Abadi" w:hAnsi="Abadi"/>
          <w:sz w:val="21"/>
          <w:szCs w:val="21"/>
        </w:rPr>
        <w:t xml:space="preserve"> para impedir que quienes tengan el mando trastoquen sus postulados</w:t>
      </w:r>
      <w:r>
        <w:rPr>
          <w:rFonts w:ascii="Abadi" w:hAnsi="Abadi"/>
          <w:sz w:val="21"/>
          <w:szCs w:val="21"/>
        </w:rPr>
        <w:t>,</w:t>
      </w:r>
      <w:r w:rsidRPr="0030088F">
        <w:rPr>
          <w:rFonts w:ascii="Abadi" w:hAnsi="Abadi"/>
          <w:sz w:val="21"/>
          <w:szCs w:val="21"/>
        </w:rPr>
        <w:t xml:space="preserve"> postulados</w:t>
      </w:r>
      <w:r>
        <w:rPr>
          <w:rFonts w:ascii="Abadi" w:hAnsi="Abadi"/>
          <w:sz w:val="21"/>
          <w:szCs w:val="21"/>
        </w:rPr>
        <w:t>,</w:t>
      </w:r>
      <w:r w:rsidRPr="0030088F">
        <w:rPr>
          <w:rFonts w:ascii="Abadi" w:hAnsi="Abadi"/>
          <w:sz w:val="21"/>
          <w:szCs w:val="21"/>
        </w:rPr>
        <w:t xml:space="preserve"> pues como bien lo expresó el historiador británico </w:t>
      </w:r>
      <w:r>
        <w:rPr>
          <w:rFonts w:ascii="Abadi" w:hAnsi="Abadi"/>
          <w:sz w:val="21"/>
          <w:szCs w:val="21"/>
        </w:rPr>
        <w:t>L</w:t>
      </w:r>
      <w:r w:rsidRPr="0030088F">
        <w:rPr>
          <w:rFonts w:ascii="Abadi" w:hAnsi="Abadi"/>
          <w:sz w:val="21"/>
          <w:szCs w:val="21"/>
        </w:rPr>
        <w:t xml:space="preserve">ord </w:t>
      </w:r>
      <w:proofErr w:type="spellStart"/>
      <w:r>
        <w:rPr>
          <w:rFonts w:ascii="Abadi" w:hAnsi="Abadi"/>
          <w:sz w:val="21"/>
          <w:szCs w:val="21"/>
        </w:rPr>
        <w:t>A</w:t>
      </w:r>
      <w:r w:rsidRPr="0030088F">
        <w:rPr>
          <w:rFonts w:ascii="Abadi" w:hAnsi="Abadi"/>
          <w:sz w:val="21"/>
          <w:szCs w:val="21"/>
        </w:rPr>
        <w:t>cton</w:t>
      </w:r>
      <w:proofErr w:type="spellEnd"/>
      <w:r w:rsidRPr="0030088F">
        <w:rPr>
          <w:rFonts w:ascii="Abadi" w:hAnsi="Abadi"/>
          <w:sz w:val="21"/>
          <w:szCs w:val="21"/>
        </w:rPr>
        <w:t xml:space="preserve"> el poder tiende a corromper y el poder absoluto </w:t>
      </w:r>
      <w:r w:rsidRPr="0030088F">
        <w:rPr>
          <w:rFonts w:ascii="Abadi" w:hAnsi="Abadi"/>
          <w:sz w:val="21"/>
          <w:szCs w:val="21"/>
        </w:rPr>
        <w:t>corrompe absolutamente</w:t>
      </w:r>
      <w:r>
        <w:rPr>
          <w:rFonts w:ascii="Abadi" w:hAnsi="Abadi"/>
          <w:sz w:val="21"/>
          <w:szCs w:val="21"/>
        </w:rPr>
        <w:t>,</w:t>
      </w:r>
      <w:r w:rsidRPr="0030088F">
        <w:rPr>
          <w:rFonts w:ascii="Abadi" w:hAnsi="Abadi"/>
          <w:sz w:val="21"/>
          <w:szCs w:val="21"/>
        </w:rPr>
        <w:t xml:space="preserve"> hoy es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w:t>
      </w:r>
      <w:r>
        <w:rPr>
          <w:rFonts w:ascii="Abadi" w:hAnsi="Abadi"/>
          <w:sz w:val="21"/>
          <w:szCs w:val="21"/>
        </w:rPr>
        <w:t>,</w:t>
      </w:r>
      <w:r w:rsidRPr="0030088F">
        <w:rPr>
          <w:rFonts w:ascii="Abadi" w:hAnsi="Abadi"/>
          <w:sz w:val="21"/>
          <w:szCs w:val="21"/>
        </w:rPr>
        <w:t xml:space="preserve"> la que mantiene el equilibrio en la balanza del </w:t>
      </w:r>
      <w:r>
        <w:rPr>
          <w:rFonts w:ascii="Abadi" w:hAnsi="Abadi"/>
          <w:sz w:val="21"/>
          <w:szCs w:val="21"/>
        </w:rPr>
        <w:t>S</w:t>
      </w:r>
      <w:r w:rsidRPr="0030088F">
        <w:rPr>
          <w:rFonts w:ascii="Abadi" w:hAnsi="Abadi"/>
          <w:sz w:val="21"/>
          <w:szCs w:val="21"/>
        </w:rPr>
        <w:t xml:space="preserve">upremo </w:t>
      </w:r>
      <w:r>
        <w:rPr>
          <w:rFonts w:ascii="Abadi" w:hAnsi="Abadi"/>
          <w:sz w:val="21"/>
          <w:szCs w:val="21"/>
        </w:rPr>
        <w:t>P</w:t>
      </w:r>
      <w:r w:rsidRPr="0030088F">
        <w:rPr>
          <w:rFonts w:ascii="Abadi" w:hAnsi="Abadi"/>
          <w:sz w:val="21"/>
          <w:szCs w:val="21"/>
        </w:rPr>
        <w:t xml:space="preserve">oder de la </w:t>
      </w:r>
      <w:r>
        <w:rPr>
          <w:rFonts w:ascii="Abadi" w:hAnsi="Abadi"/>
          <w:sz w:val="21"/>
          <w:szCs w:val="21"/>
        </w:rPr>
        <w:t>U</w:t>
      </w:r>
      <w:r w:rsidRPr="0030088F">
        <w:rPr>
          <w:rFonts w:ascii="Abadi" w:hAnsi="Abadi"/>
          <w:sz w:val="21"/>
          <w:szCs w:val="21"/>
        </w:rPr>
        <w:t>nión</w:t>
      </w:r>
      <w:r>
        <w:rPr>
          <w:rFonts w:ascii="Abadi" w:hAnsi="Abadi"/>
          <w:sz w:val="21"/>
          <w:szCs w:val="21"/>
        </w:rPr>
        <w:t>,</w:t>
      </w:r>
      <w:r w:rsidRPr="0030088F">
        <w:rPr>
          <w:rFonts w:ascii="Abadi" w:hAnsi="Abadi"/>
          <w:sz w:val="21"/>
          <w:szCs w:val="21"/>
        </w:rPr>
        <w:t xml:space="preserve"> pues como centinela del texto fundamental más que nunca tiene un lugar</w:t>
      </w:r>
      <w:r>
        <w:rPr>
          <w:rFonts w:ascii="Abadi" w:hAnsi="Abadi"/>
          <w:sz w:val="21"/>
          <w:szCs w:val="21"/>
        </w:rPr>
        <w:t>,</w:t>
      </w:r>
      <w:r w:rsidRPr="0030088F">
        <w:rPr>
          <w:rFonts w:ascii="Abadi" w:hAnsi="Abadi"/>
          <w:sz w:val="21"/>
          <w:szCs w:val="21"/>
        </w:rPr>
        <w:t xml:space="preserve"> un lugar protagónico y patriótico</w:t>
      </w:r>
      <w:r>
        <w:rPr>
          <w:rFonts w:ascii="Abadi" w:hAnsi="Abadi"/>
          <w:sz w:val="21"/>
          <w:szCs w:val="21"/>
        </w:rPr>
        <w:t>,</w:t>
      </w:r>
      <w:r w:rsidRPr="0030088F">
        <w:rPr>
          <w:rFonts w:ascii="Abadi" w:hAnsi="Abadi"/>
          <w:sz w:val="21"/>
          <w:szCs w:val="21"/>
        </w:rPr>
        <w:t xml:space="preserve"> al margen de las embestidas de un </w:t>
      </w:r>
      <w:r>
        <w:rPr>
          <w:rFonts w:ascii="Abadi" w:hAnsi="Abadi"/>
          <w:sz w:val="21"/>
          <w:szCs w:val="21"/>
        </w:rPr>
        <w:t>P</w:t>
      </w:r>
      <w:r w:rsidRPr="0030088F">
        <w:rPr>
          <w:rFonts w:ascii="Abadi" w:hAnsi="Abadi"/>
          <w:sz w:val="21"/>
          <w:szCs w:val="21"/>
        </w:rPr>
        <w:t xml:space="preserve">oder </w:t>
      </w:r>
      <w:r>
        <w:rPr>
          <w:rFonts w:ascii="Abadi" w:hAnsi="Abadi"/>
          <w:sz w:val="21"/>
          <w:szCs w:val="21"/>
        </w:rPr>
        <w:t>E</w:t>
      </w:r>
      <w:r w:rsidRPr="0030088F">
        <w:rPr>
          <w:rFonts w:ascii="Abadi" w:hAnsi="Abadi"/>
          <w:sz w:val="21"/>
          <w:szCs w:val="21"/>
        </w:rPr>
        <w:t>jecutivo que intenta doblegar hoja por hoja</w:t>
      </w:r>
      <w:r>
        <w:rPr>
          <w:rFonts w:ascii="Abadi" w:hAnsi="Abadi"/>
          <w:sz w:val="21"/>
          <w:szCs w:val="21"/>
        </w:rPr>
        <w:t>,</w:t>
      </w:r>
      <w:r w:rsidRPr="0030088F">
        <w:rPr>
          <w:rFonts w:ascii="Abadi" w:hAnsi="Abadi"/>
          <w:sz w:val="21"/>
          <w:szCs w:val="21"/>
        </w:rPr>
        <w:t xml:space="preserve"> nuestra más importante construcción como sociedad pues en complicidad con sus afines intenta desmantelar los organismos constitucionales autónomos</w:t>
      </w:r>
      <w:r>
        <w:rPr>
          <w:rFonts w:ascii="Abadi" w:hAnsi="Abadi"/>
          <w:sz w:val="21"/>
          <w:szCs w:val="21"/>
        </w:rPr>
        <w:t>,</w:t>
      </w:r>
      <w:r w:rsidRPr="0030088F">
        <w:rPr>
          <w:rFonts w:ascii="Abadi" w:hAnsi="Abadi"/>
          <w:sz w:val="21"/>
          <w:szCs w:val="21"/>
        </w:rPr>
        <w:t xml:space="preserve"> debilitar el orden democrático y por si fuera poco desacreditar al único poder de la </w:t>
      </w:r>
      <w:r>
        <w:rPr>
          <w:rFonts w:ascii="Abadi" w:hAnsi="Abadi"/>
          <w:sz w:val="21"/>
          <w:szCs w:val="21"/>
        </w:rPr>
        <w:t>u</w:t>
      </w:r>
      <w:r w:rsidRPr="0030088F">
        <w:rPr>
          <w:rFonts w:ascii="Abadi" w:hAnsi="Abadi"/>
          <w:sz w:val="21"/>
          <w:szCs w:val="21"/>
        </w:rPr>
        <w:t>nión</w:t>
      </w:r>
      <w:r>
        <w:rPr>
          <w:rFonts w:ascii="Abadi" w:hAnsi="Abadi"/>
          <w:sz w:val="21"/>
          <w:szCs w:val="21"/>
        </w:rPr>
        <w:t>,</w:t>
      </w:r>
      <w:r w:rsidRPr="0030088F">
        <w:rPr>
          <w:rFonts w:ascii="Abadi" w:hAnsi="Abadi"/>
          <w:sz w:val="21"/>
          <w:szCs w:val="21"/>
        </w:rPr>
        <w:t xml:space="preserve"> cuya consigna principal es resguardar la voluntad constitucional del pueblo mexicano</w:t>
      </w:r>
      <w:r>
        <w:rPr>
          <w:rFonts w:ascii="Abadi" w:hAnsi="Abadi"/>
          <w:sz w:val="21"/>
          <w:szCs w:val="21"/>
        </w:rPr>
        <w:t>,</w:t>
      </w:r>
      <w:r w:rsidRPr="0030088F">
        <w:rPr>
          <w:rFonts w:ascii="Abadi" w:hAnsi="Abadi"/>
          <w:sz w:val="21"/>
          <w:szCs w:val="21"/>
        </w:rPr>
        <w:t xml:space="preserve"> por eso</w:t>
      </w:r>
      <w:r>
        <w:rPr>
          <w:rFonts w:ascii="Abadi" w:hAnsi="Abadi"/>
          <w:sz w:val="21"/>
          <w:szCs w:val="21"/>
        </w:rPr>
        <w:t>,</w:t>
      </w:r>
      <w:r w:rsidRPr="0030088F">
        <w:rPr>
          <w:rFonts w:ascii="Abadi" w:hAnsi="Abadi"/>
          <w:sz w:val="21"/>
          <w:szCs w:val="21"/>
        </w:rPr>
        <w:t xml:space="preserve"> hoy quiero pronunciarme en defensa de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orte de su autonomía y de ese tercio de soberanía que todos hemos depositado en ella</w:t>
      </w:r>
      <w:r>
        <w:rPr>
          <w:rFonts w:ascii="Abadi" w:hAnsi="Abadi"/>
          <w:sz w:val="21"/>
          <w:szCs w:val="21"/>
        </w:rPr>
        <w:t>,</w:t>
      </w:r>
      <w:r w:rsidRPr="0030088F">
        <w:rPr>
          <w:rFonts w:ascii="Abadi" w:hAnsi="Abadi"/>
          <w:sz w:val="21"/>
          <w:szCs w:val="21"/>
        </w:rPr>
        <w:t xml:space="preserve"> para que con valor cumpla con su deber como hasta ahora y siga siendo uno de los pilares de nuestro sistema que a pesar de la infiltración de algunos elementos con dudosa ética académica y profesional sigue siendo el protector de nuestra constitución por ello como representantes de los guanajuatenses nos corresponde apuntalar al poder judicial de la federación porque frente al ariete del régimen existimos millones de mexicanas y mexicanos que no vamos a permitir que se siga violentando nuestro máximo ordenamiento y sus principios</w:t>
      </w:r>
      <w:r>
        <w:rPr>
          <w:rFonts w:ascii="Abadi" w:hAnsi="Abadi"/>
          <w:sz w:val="21"/>
          <w:szCs w:val="21"/>
        </w:rPr>
        <w:t>,</w:t>
      </w:r>
      <w:r w:rsidRPr="0030088F">
        <w:rPr>
          <w:rFonts w:ascii="Abadi" w:hAnsi="Abadi"/>
          <w:sz w:val="21"/>
          <w:szCs w:val="21"/>
        </w:rPr>
        <w:t xml:space="preserve"> somos muchos</w:t>
      </w:r>
      <w:r>
        <w:rPr>
          <w:rFonts w:ascii="Abadi" w:hAnsi="Abadi"/>
          <w:sz w:val="21"/>
          <w:szCs w:val="21"/>
        </w:rPr>
        <w:t>,</w:t>
      </w:r>
      <w:r w:rsidRPr="0030088F">
        <w:rPr>
          <w:rFonts w:ascii="Abadi" w:hAnsi="Abadi"/>
          <w:sz w:val="21"/>
          <w:szCs w:val="21"/>
        </w:rPr>
        <w:t xml:space="preserve"> somos más</w:t>
      </w:r>
      <w:r>
        <w:rPr>
          <w:rFonts w:ascii="Abadi" w:hAnsi="Abadi"/>
          <w:sz w:val="21"/>
          <w:szCs w:val="21"/>
        </w:rPr>
        <w:t>,</w:t>
      </w:r>
      <w:r w:rsidRPr="0030088F">
        <w:rPr>
          <w:rFonts w:ascii="Abadi" w:hAnsi="Abadi"/>
          <w:sz w:val="21"/>
          <w:szCs w:val="21"/>
        </w:rPr>
        <w:t xml:space="preserve"> los que sí apostamos por la democracia</w:t>
      </w:r>
      <w:r>
        <w:rPr>
          <w:rFonts w:ascii="Abadi" w:hAnsi="Abadi"/>
          <w:sz w:val="21"/>
          <w:szCs w:val="21"/>
        </w:rPr>
        <w:t>,</w:t>
      </w:r>
      <w:r w:rsidRPr="0030088F">
        <w:rPr>
          <w:rFonts w:ascii="Abadi" w:hAnsi="Abadi"/>
          <w:sz w:val="21"/>
          <w:szCs w:val="21"/>
        </w:rPr>
        <w:t xml:space="preserve"> la fortaleza de las instituciones y un México unido</w:t>
      </w:r>
      <w:r>
        <w:rPr>
          <w:rFonts w:ascii="Abadi" w:hAnsi="Abadi"/>
          <w:sz w:val="21"/>
          <w:szCs w:val="21"/>
        </w:rPr>
        <w:t>.</w:t>
      </w:r>
    </w:p>
    <w:p w14:paraId="524D5AC3" w14:textId="77777777" w:rsidR="0084523A" w:rsidRDefault="0084523A" w:rsidP="00751E3D">
      <w:pPr>
        <w:jc w:val="both"/>
        <w:rPr>
          <w:rFonts w:ascii="Abadi" w:hAnsi="Abadi"/>
          <w:sz w:val="21"/>
          <w:szCs w:val="21"/>
        </w:rPr>
      </w:pPr>
    </w:p>
    <w:p w14:paraId="18B6CCF5" w14:textId="77777777" w:rsidR="00751E3D" w:rsidRDefault="00751E3D" w:rsidP="00751E3D">
      <w:pPr>
        <w:jc w:val="both"/>
        <w:rPr>
          <w:rFonts w:ascii="Abadi" w:hAnsi="Abadi"/>
          <w:sz w:val="21"/>
          <w:szCs w:val="21"/>
        </w:rPr>
      </w:pPr>
      <w:r>
        <w:rPr>
          <w:rFonts w:ascii="Abadi" w:hAnsi="Abadi"/>
          <w:sz w:val="21"/>
          <w:szCs w:val="21"/>
        </w:rPr>
        <w:t>- L</w:t>
      </w:r>
      <w:r w:rsidRPr="0030088F">
        <w:rPr>
          <w:rFonts w:ascii="Abadi" w:hAnsi="Abadi"/>
          <w:sz w:val="21"/>
          <w:szCs w:val="21"/>
        </w:rPr>
        <w:t xml:space="preserve">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orte</w:t>
      </w:r>
      <w:r>
        <w:rPr>
          <w:rFonts w:ascii="Abadi" w:hAnsi="Abadi"/>
          <w:sz w:val="21"/>
          <w:szCs w:val="21"/>
        </w:rPr>
        <w:t>,</w:t>
      </w:r>
      <w:r w:rsidRPr="0030088F">
        <w:rPr>
          <w:rFonts w:ascii="Abadi" w:hAnsi="Abadi"/>
          <w:sz w:val="21"/>
          <w:szCs w:val="21"/>
        </w:rPr>
        <w:t xml:space="preserv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 no es un enemigo del pueblo</w:t>
      </w:r>
      <w:r>
        <w:rPr>
          <w:rFonts w:ascii="Abadi" w:hAnsi="Abadi"/>
          <w:sz w:val="21"/>
          <w:szCs w:val="21"/>
        </w:rPr>
        <w:t>,</w:t>
      </w:r>
      <w:r w:rsidRPr="0030088F">
        <w:rPr>
          <w:rFonts w:ascii="Abadi" w:hAnsi="Abadi"/>
          <w:sz w:val="21"/>
          <w:szCs w:val="21"/>
        </w:rPr>
        <w:t xml:space="preserve"> es la</w:t>
      </w:r>
      <w:r>
        <w:rPr>
          <w:rFonts w:ascii="Abadi" w:hAnsi="Abadi"/>
          <w:sz w:val="21"/>
          <w:szCs w:val="21"/>
        </w:rPr>
        <w:t>,</w:t>
      </w:r>
      <w:r w:rsidRPr="0030088F">
        <w:rPr>
          <w:rFonts w:ascii="Abadi" w:hAnsi="Abadi"/>
          <w:sz w:val="21"/>
          <w:szCs w:val="21"/>
        </w:rPr>
        <w:t xml:space="preserve"> es la columna que hoy resguarda su soberanía y su forma de vida</w:t>
      </w:r>
      <w:r>
        <w:rPr>
          <w:rFonts w:ascii="Abadi" w:hAnsi="Abadi"/>
          <w:sz w:val="21"/>
          <w:szCs w:val="21"/>
        </w:rPr>
        <w:t>,</w:t>
      </w:r>
      <w:r w:rsidRPr="0030088F">
        <w:rPr>
          <w:rFonts w:ascii="Abadi" w:hAnsi="Abadi"/>
          <w:sz w:val="21"/>
          <w:szCs w:val="21"/>
        </w:rPr>
        <w:t xml:space="preserve"> por eso desde este </w:t>
      </w:r>
      <w:r>
        <w:rPr>
          <w:rFonts w:ascii="Abadi" w:hAnsi="Abadi"/>
          <w:sz w:val="21"/>
          <w:szCs w:val="21"/>
        </w:rPr>
        <w:t>C</w:t>
      </w:r>
      <w:r w:rsidRPr="0030088F">
        <w:rPr>
          <w:rFonts w:ascii="Abadi" w:hAnsi="Abadi"/>
          <w:sz w:val="21"/>
          <w:szCs w:val="21"/>
        </w:rPr>
        <w:t xml:space="preserve">ongreso los integrantes del </w:t>
      </w:r>
      <w:r>
        <w:rPr>
          <w:rFonts w:ascii="Abadi" w:hAnsi="Abadi"/>
          <w:sz w:val="21"/>
          <w:szCs w:val="21"/>
        </w:rPr>
        <w:t>G</w:t>
      </w:r>
      <w:r w:rsidRPr="0030088F">
        <w:rPr>
          <w:rFonts w:ascii="Abadi" w:hAnsi="Abadi"/>
          <w:sz w:val="21"/>
          <w:szCs w:val="21"/>
        </w:rPr>
        <w:t xml:space="preserve">rupo </w:t>
      </w:r>
      <w:r>
        <w:rPr>
          <w:rFonts w:ascii="Abadi" w:hAnsi="Abadi"/>
          <w:sz w:val="21"/>
          <w:szCs w:val="21"/>
        </w:rPr>
        <w:t>P</w:t>
      </w:r>
      <w:r w:rsidRPr="0030088F">
        <w:rPr>
          <w:rFonts w:ascii="Abadi" w:hAnsi="Abadi"/>
          <w:sz w:val="21"/>
          <w:szCs w:val="21"/>
        </w:rPr>
        <w:t xml:space="preserve">arlamentario del </w:t>
      </w:r>
      <w:r>
        <w:rPr>
          <w:rFonts w:ascii="Abadi" w:hAnsi="Abadi"/>
          <w:sz w:val="21"/>
          <w:szCs w:val="21"/>
        </w:rPr>
        <w:t>PRI,</w:t>
      </w:r>
      <w:r w:rsidRPr="0030088F">
        <w:rPr>
          <w:rFonts w:ascii="Abadi" w:hAnsi="Abadi"/>
          <w:sz w:val="21"/>
          <w:szCs w:val="21"/>
        </w:rPr>
        <w:t xml:space="preserve"> refrendamos nuestro apoyo a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 xml:space="preserve">ación y pugnamos porque siga haciendo honor a aquella frase del siervo de la nación que permanece inmortal en cada uno de los recintos del </w:t>
      </w:r>
      <w:r>
        <w:rPr>
          <w:rFonts w:ascii="Abadi" w:hAnsi="Abadi"/>
          <w:sz w:val="21"/>
          <w:szCs w:val="21"/>
        </w:rPr>
        <w:t>P</w:t>
      </w:r>
      <w:r w:rsidRPr="0030088F">
        <w:rPr>
          <w:rFonts w:ascii="Abadi" w:hAnsi="Abadi"/>
          <w:sz w:val="21"/>
          <w:szCs w:val="21"/>
        </w:rPr>
        <w:t xml:space="preserve">oder </w:t>
      </w:r>
      <w:r>
        <w:rPr>
          <w:rFonts w:ascii="Abadi" w:hAnsi="Abadi"/>
          <w:sz w:val="21"/>
          <w:szCs w:val="21"/>
        </w:rPr>
        <w:t>J</w:t>
      </w:r>
      <w:r w:rsidRPr="0030088F">
        <w:rPr>
          <w:rFonts w:ascii="Abadi" w:hAnsi="Abadi"/>
          <w:sz w:val="21"/>
          <w:szCs w:val="21"/>
        </w:rPr>
        <w:t xml:space="preserve">udicial de la </w:t>
      </w:r>
      <w:r>
        <w:rPr>
          <w:rFonts w:ascii="Abadi" w:hAnsi="Abadi"/>
          <w:sz w:val="21"/>
          <w:szCs w:val="21"/>
        </w:rPr>
        <w:t>F</w:t>
      </w:r>
      <w:r w:rsidRPr="0030088F">
        <w:rPr>
          <w:rFonts w:ascii="Abadi" w:hAnsi="Abadi"/>
          <w:sz w:val="21"/>
          <w:szCs w:val="21"/>
        </w:rPr>
        <w:t>ederación</w:t>
      </w:r>
      <w:r>
        <w:rPr>
          <w:rFonts w:ascii="Abadi" w:hAnsi="Abadi"/>
          <w:sz w:val="21"/>
          <w:szCs w:val="21"/>
        </w:rPr>
        <w:t>,</w:t>
      </w:r>
      <w:r w:rsidRPr="0030088F">
        <w:rPr>
          <w:rFonts w:ascii="Abadi" w:hAnsi="Abadi"/>
          <w:sz w:val="21"/>
          <w:szCs w:val="21"/>
        </w:rPr>
        <w:t xml:space="preserve"> que todo aquel que se queje con justicia</w:t>
      </w:r>
      <w:r>
        <w:rPr>
          <w:rFonts w:ascii="Abadi" w:hAnsi="Abadi"/>
          <w:sz w:val="21"/>
          <w:szCs w:val="21"/>
        </w:rPr>
        <w:t>,</w:t>
      </w:r>
      <w:r w:rsidRPr="0030088F">
        <w:rPr>
          <w:rFonts w:ascii="Abadi" w:hAnsi="Abadi"/>
          <w:sz w:val="21"/>
          <w:szCs w:val="21"/>
        </w:rPr>
        <w:t xml:space="preserve"> tenga un tribunal que lo escuche</w:t>
      </w:r>
      <w:r>
        <w:rPr>
          <w:rFonts w:ascii="Abadi" w:hAnsi="Abadi"/>
          <w:sz w:val="21"/>
          <w:szCs w:val="21"/>
        </w:rPr>
        <w:t>,</w:t>
      </w:r>
      <w:r w:rsidRPr="0030088F">
        <w:rPr>
          <w:rFonts w:ascii="Abadi" w:hAnsi="Abadi"/>
          <w:sz w:val="21"/>
          <w:szCs w:val="21"/>
        </w:rPr>
        <w:t xml:space="preserve"> lo ampare y lo proteja contra </w:t>
      </w:r>
      <w:r>
        <w:rPr>
          <w:rFonts w:ascii="Abadi" w:hAnsi="Abadi"/>
          <w:sz w:val="21"/>
          <w:szCs w:val="21"/>
        </w:rPr>
        <w:t>e</w:t>
      </w:r>
      <w:r w:rsidRPr="0030088F">
        <w:rPr>
          <w:rFonts w:ascii="Abadi" w:hAnsi="Abadi"/>
          <w:sz w:val="21"/>
          <w:szCs w:val="21"/>
        </w:rPr>
        <w:t xml:space="preserve">l </w:t>
      </w:r>
      <w:r>
        <w:rPr>
          <w:rFonts w:ascii="Abadi" w:hAnsi="Abadi"/>
          <w:sz w:val="21"/>
          <w:szCs w:val="21"/>
        </w:rPr>
        <w:t>f</w:t>
      </w:r>
      <w:r w:rsidRPr="0030088F">
        <w:rPr>
          <w:rFonts w:ascii="Abadi" w:hAnsi="Abadi"/>
          <w:sz w:val="21"/>
          <w:szCs w:val="21"/>
        </w:rPr>
        <w:t>uerte y el arbitrario</w:t>
      </w:r>
      <w:r>
        <w:rPr>
          <w:rFonts w:ascii="Abadi" w:hAnsi="Abadi"/>
          <w:sz w:val="21"/>
          <w:szCs w:val="21"/>
        </w:rPr>
        <w:t xml:space="preserve">. </w:t>
      </w:r>
    </w:p>
    <w:p w14:paraId="1C3CEB5D" w14:textId="77777777" w:rsidR="0084523A" w:rsidRDefault="0084523A" w:rsidP="00751E3D">
      <w:pPr>
        <w:jc w:val="both"/>
        <w:rPr>
          <w:rFonts w:ascii="Abadi" w:hAnsi="Abadi"/>
          <w:sz w:val="21"/>
          <w:szCs w:val="21"/>
        </w:rPr>
      </w:pPr>
    </w:p>
    <w:p w14:paraId="37E1A055"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 cuanto</w:t>
      </w:r>
      <w:r>
        <w:rPr>
          <w:rFonts w:ascii="Abadi" w:hAnsi="Abadi"/>
          <w:sz w:val="21"/>
          <w:szCs w:val="21"/>
        </w:rPr>
        <w:t xml:space="preserve">, </w:t>
      </w:r>
      <w:r w:rsidRPr="0030088F">
        <w:rPr>
          <w:rFonts w:ascii="Abadi" w:hAnsi="Abadi"/>
          <w:sz w:val="21"/>
          <w:szCs w:val="21"/>
        </w:rPr>
        <w:t>muchas gracias</w:t>
      </w:r>
      <w:r>
        <w:rPr>
          <w:rFonts w:ascii="Abadi" w:hAnsi="Abadi"/>
          <w:sz w:val="21"/>
          <w:szCs w:val="21"/>
        </w:rPr>
        <w:t>.</w:t>
      </w:r>
    </w:p>
    <w:p w14:paraId="63520A1D" w14:textId="77777777" w:rsidR="0084523A" w:rsidRDefault="0084523A" w:rsidP="00751E3D">
      <w:pPr>
        <w:jc w:val="both"/>
        <w:rPr>
          <w:rFonts w:ascii="Abadi" w:hAnsi="Abadi"/>
          <w:sz w:val="21"/>
          <w:szCs w:val="21"/>
        </w:rPr>
      </w:pPr>
    </w:p>
    <w:p w14:paraId="65D0A1BC" w14:textId="77777777" w:rsidR="00751E3D" w:rsidRDefault="00751E3D" w:rsidP="00751E3D">
      <w:pPr>
        <w:jc w:val="both"/>
        <w:rPr>
          <w:rFonts w:ascii="Abadi" w:hAnsi="Abadi"/>
          <w:sz w:val="21"/>
          <w:szCs w:val="21"/>
        </w:rPr>
      </w:pPr>
      <w:r>
        <w:rPr>
          <w:rFonts w:ascii="Abadi" w:hAnsi="Abadi"/>
          <w:sz w:val="21"/>
          <w:szCs w:val="21"/>
        </w:rPr>
        <w:tab/>
      </w:r>
      <w:r w:rsidRPr="00195580">
        <w:rPr>
          <w:rFonts w:ascii="Abadi" w:hAnsi="Abadi"/>
          <w:b/>
          <w:bCs/>
          <w:sz w:val="21"/>
          <w:szCs w:val="21"/>
        </w:rPr>
        <w:t xml:space="preserve">- La </w:t>
      </w:r>
      <w:proofErr w:type="gramStart"/>
      <w:r w:rsidRPr="00195580">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w:t>
      </w:r>
    </w:p>
    <w:p w14:paraId="0FD9A6BB" w14:textId="77777777" w:rsidR="00751E3D" w:rsidRDefault="00751E3D" w:rsidP="00751E3D">
      <w:pPr>
        <w:jc w:val="both"/>
        <w:rPr>
          <w:rFonts w:ascii="Abadi" w:hAnsi="Abadi"/>
          <w:sz w:val="21"/>
          <w:szCs w:val="21"/>
        </w:rPr>
      </w:pPr>
      <w:r>
        <w:rPr>
          <w:rFonts w:ascii="Abadi" w:hAnsi="Abadi"/>
          <w:sz w:val="21"/>
          <w:szCs w:val="21"/>
        </w:rPr>
        <w:lastRenderedPageBreak/>
        <w:t>¿</w:t>
      </w:r>
      <w:r w:rsidRPr="0030088F">
        <w:rPr>
          <w:rFonts w:ascii="Abadi" w:hAnsi="Abadi"/>
          <w:sz w:val="21"/>
          <w:szCs w:val="21"/>
        </w:rPr>
        <w:t>diputado David Martínez</w:t>
      </w:r>
      <w:r>
        <w:rPr>
          <w:rFonts w:ascii="Abadi" w:hAnsi="Abadi"/>
          <w:sz w:val="21"/>
          <w:szCs w:val="21"/>
        </w:rPr>
        <w:t>? ¿</w:t>
      </w:r>
      <w:r w:rsidRPr="0030088F">
        <w:rPr>
          <w:rFonts w:ascii="Abadi" w:hAnsi="Abadi"/>
          <w:sz w:val="21"/>
          <w:szCs w:val="21"/>
        </w:rPr>
        <w:t>para qué efecto</w:t>
      </w:r>
      <w:r>
        <w:rPr>
          <w:rFonts w:ascii="Abadi" w:hAnsi="Abadi"/>
          <w:sz w:val="21"/>
          <w:szCs w:val="21"/>
        </w:rPr>
        <w:t>?</w:t>
      </w:r>
      <w:r w:rsidRPr="0030088F">
        <w:rPr>
          <w:rFonts w:ascii="Abadi" w:hAnsi="Abadi"/>
          <w:sz w:val="21"/>
          <w:szCs w:val="21"/>
        </w:rPr>
        <w:t xml:space="preserve"> </w:t>
      </w:r>
      <w:r w:rsidRPr="00812D8D">
        <w:rPr>
          <w:rFonts w:ascii="Abadi" w:hAnsi="Abadi"/>
          <w:b/>
          <w:bCs/>
          <w:sz w:val="21"/>
          <w:szCs w:val="21"/>
        </w:rPr>
        <w:t>(Voz) diputado David,</w:t>
      </w:r>
      <w:r>
        <w:rPr>
          <w:rFonts w:ascii="Abadi" w:hAnsi="Abadi"/>
          <w:sz w:val="21"/>
          <w:szCs w:val="21"/>
        </w:rPr>
        <w:t xml:space="preserve"> para</w:t>
      </w:r>
      <w:r w:rsidRPr="0030088F">
        <w:rPr>
          <w:rFonts w:ascii="Abadi" w:hAnsi="Abadi"/>
          <w:sz w:val="21"/>
          <w:szCs w:val="21"/>
        </w:rPr>
        <w:t xml:space="preserve"> rectificación de hechos</w:t>
      </w:r>
      <w:r>
        <w:rPr>
          <w:rFonts w:ascii="Abadi" w:hAnsi="Abadi"/>
          <w:sz w:val="21"/>
          <w:szCs w:val="21"/>
        </w:rPr>
        <w:t>,</w:t>
      </w:r>
      <w:r w:rsidRPr="0030088F">
        <w:rPr>
          <w:rFonts w:ascii="Abadi" w:hAnsi="Abadi"/>
          <w:sz w:val="21"/>
          <w:szCs w:val="21"/>
        </w:rPr>
        <w:t xml:space="preserve"> ansia de poder y ariete del régi</w:t>
      </w:r>
      <w:r>
        <w:rPr>
          <w:rFonts w:ascii="Abadi" w:hAnsi="Abadi"/>
          <w:sz w:val="21"/>
          <w:szCs w:val="21"/>
        </w:rPr>
        <w:t>men</w:t>
      </w:r>
      <w:r w:rsidRPr="0030088F">
        <w:rPr>
          <w:rFonts w:ascii="Abadi" w:hAnsi="Abadi"/>
          <w:sz w:val="21"/>
          <w:szCs w:val="21"/>
        </w:rPr>
        <w:t xml:space="preserve"> </w:t>
      </w:r>
      <w:r w:rsidRPr="00812D8D">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adelante diputado tiene el uso de la voz hasta por 5 minutos</w:t>
      </w:r>
      <w:r>
        <w:rPr>
          <w:rFonts w:ascii="Abadi" w:hAnsi="Abadi"/>
          <w:sz w:val="21"/>
          <w:szCs w:val="21"/>
        </w:rPr>
        <w:t>.</w:t>
      </w:r>
    </w:p>
    <w:p w14:paraId="012D7191" w14:textId="77777777" w:rsidR="0084523A" w:rsidRDefault="0084523A" w:rsidP="00751E3D">
      <w:pPr>
        <w:jc w:val="both"/>
        <w:rPr>
          <w:rFonts w:ascii="Abadi" w:hAnsi="Abadi"/>
          <w:sz w:val="21"/>
          <w:szCs w:val="21"/>
        </w:rPr>
      </w:pPr>
    </w:p>
    <w:p w14:paraId="2BDE09F5" w14:textId="77777777" w:rsidR="00751E3D" w:rsidRDefault="00751E3D" w:rsidP="00751E3D">
      <w:pPr>
        <w:jc w:val="both"/>
        <w:rPr>
          <w:rFonts w:ascii="Abadi" w:hAnsi="Abadi"/>
          <w:b/>
          <w:bCs/>
          <w:sz w:val="21"/>
          <w:szCs w:val="21"/>
        </w:rPr>
      </w:pPr>
      <w:r w:rsidRPr="00A329A0">
        <w:rPr>
          <w:rFonts w:ascii="Abadi" w:hAnsi="Abadi"/>
          <w:b/>
          <w:bCs/>
          <w:sz w:val="21"/>
          <w:szCs w:val="21"/>
        </w:rPr>
        <w:t>(Sube a tribuna el diputado David Martínez Mendizábal, para rectificación de hechos del diputado que le antecedió en el uso de la voz)</w:t>
      </w:r>
    </w:p>
    <w:p w14:paraId="0030D46C" w14:textId="77777777" w:rsidR="00751E3D" w:rsidRDefault="00751E3D" w:rsidP="00751E3D">
      <w:pPr>
        <w:jc w:val="both"/>
        <w:rPr>
          <w:rFonts w:ascii="Abadi" w:hAnsi="Abadi"/>
          <w:b/>
          <w:bCs/>
          <w:sz w:val="21"/>
          <w:szCs w:val="21"/>
        </w:rPr>
      </w:pPr>
    </w:p>
    <w:p w14:paraId="6C51F398" w14:textId="4C707B17" w:rsidR="00751E3D" w:rsidRDefault="00751E3D" w:rsidP="00751E3D">
      <w:pPr>
        <w:jc w:val="both"/>
        <w:rPr>
          <w:rFonts w:ascii="Abadi" w:hAnsi="Abadi"/>
          <w:b/>
          <w:bCs/>
          <w:sz w:val="21"/>
          <w:szCs w:val="21"/>
        </w:rPr>
      </w:pPr>
    </w:p>
    <w:p w14:paraId="63BF8F65" w14:textId="0F172294" w:rsidR="001832F1" w:rsidRDefault="001832F1" w:rsidP="00751E3D">
      <w:pPr>
        <w:jc w:val="both"/>
        <w:rPr>
          <w:rFonts w:ascii="Abadi" w:hAnsi="Abadi"/>
          <w:b/>
          <w:bCs/>
          <w:sz w:val="21"/>
          <w:szCs w:val="21"/>
        </w:rPr>
      </w:pPr>
      <w:r>
        <w:rPr>
          <w:noProof/>
        </w:rPr>
        <w:drawing>
          <wp:anchor distT="0" distB="0" distL="114300" distR="114300" simplePos="0" relativeHeight="251681814" behindDoc="1" locked="0" layoutInCell="1" allowOverlap="1" wp14:anchorId="315A2254" wp14:editId="438C1A8F">
            <wp:simplePos x="0" y="0"/>
            <wp:positionH relativeFrom="column">
              <wp:posOffset>701947</wp:posOffset>
            </wp:positionH>
            <wp:positionV relativeFrom="paragraph">
              <wp:posOffset>120378</wp:posOffset>
            </wp:positionV>
            <wp:extent cx="1233487" cy="636422"/>
            <wp:effectExtent l="247650" t="228600" r="252730" b="716280"/>
            <wp:wrapTight wrapText="bothSides">
              <wp:wrapPolygon edited="0">
                <wp:start x="-4338" y="-7760"/>
                <wp:lineTo x="-4338" y="45269"/>
                <wp:lineTo x="25693" y="45269"/>
                <wp:lineTo x="25693" y="-7760"/>
                <wp:lineTo x="-4338" y="-7760"/>
              </wp:wrapPolygon>
            </wp:wrapTight>
            <wp:docPr id="1420981149" name="Imagen 142098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981149" name=""/>
                    <pic:cNvPicPr/>
                  </pic:nvPicPr>
                  <pic:blipFill rotWithShape="1">
                    <a:blip r:embed="rId78" cstate="print">
                      <a:extLst>
                        <a:ext uri="{28A0092B-C50C-407E-A947-70E740481C1C}">
                          <a14:useLocalDpi xmlns:a14="http://schemas.microsoft.com/office/drawing/2010/main" val="0"/>
                        </a:ext>
                      </a:extLst>
                    </a:blip>
                    <a:srcRect b="8268"/>
                    <a:stretch/>
                  </pic:blipFill>
                  <pic:spPr bwMode="auto">
                    <a:xfrm>
                      <a:off x="0" y="0"/>
                      <a:ext cx="1233487" cy="63642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C7FB121" w14:textId="77777777" w:rsidR="001832F1" w:rsidRDefault="001832F1" w:rsidP="00751E3D">
      <w:pPr>
        <w:jc w:val="both"/>
        <w:rPr>
          <w:rFonts w:ascii="Abadi" w:hAnsi="Abadi"/>
          <w:b/>
          <w:bCs/>
          <w:sz w:val="21"/>
          <w:szCs w:val="21"/>
        </w:rPr>
      </w:pPr>
    </w:p>
    <w:p w14:paraId="3752EA1B" w14:textId="77777777" w:rsidR="001832F1" w:rsidRDefault="001832F1" w:rsidP="00751E3D">
      <w:pPr>
        <w:jc w:val="both"/>
        <w:rPr>
          <w:rFonts w:ascii="Abadi" w:hAnsi="Abadi"/>
          <w:b/>
          <w:bCs/>
          <w:sz w:val="21"/>
          <w:szCs w:val="21"/>
        </w:rPr>
      </w:pPr>
    </w:p>
    <w:p w14:paraId="6D80014F" w14:textId="77777777" w:rsidR="001832F1" w:rsidRDefault="001832F1" w:rsidP="00751E3D">
      <w:pPr>
        <w:jc w:val="both"/>
        <w:rPr>
          <w:rFonts w:ascii="Abadi" w:hAnsi="Abadi"/>
          <w:b/>
          <w:bCs/>
          <w:sz w:val="21"/>
          <w:szCs w:val="21"/>
        </w:rPr>
      </w:pPr>
    </w:p>
    <w:p w14:paraId="4693774B" w14:textId="77777777" w:rsidR="001832F1" w:rsidRDefault="001832F1" w:rsidP="00751E3D">
      <w:pPr>
        <w:jc w:val="both"/>
        <w:rPr>
          <w:rFonts w:ascii="Abadi" w:hAnsi="Abadi"/>
          <w:b/>
          <w:bCs/>
          <w:sz w:val="21"/>
          <w:szCs w:val="21"/>
        </w:rPr>
      </w:pPr>
    </w:p>
    <w:p w14:paraId="18CF5CCE" w14:textId="77777777" w:rsidR="001832F1" w:rsidRDefault="001832F1" w:rsidP="00751E3D">
      <w:pPr>
        <w:jc w:val="both"/>
        <w:rPr>
          <w:rFonts w:ascii="Abadi" w:hAnsi="Abadi"/>
          <w:b/>
          <w:bCs/>
          <w:sz w:val="21"/>
          <w:szCs w:val="21"/>
        </w:rPr>
      </w:pPr>
    </w:p>
    <w:p w14:paraId="27205710" w14:textId="77777777" w:rsidR="001832F1" w:rsidRDefault="001832F1" w:rsidP="00751E3D">
      <w:pPr>
        <w:jc w:val="both"/>
        <w:rPr>
          <w:rFonts w:ascii="Abadi" w:hAnsi="Abadi"/>
          <w:b/>
          <w:bCs/>
          <w:sz w:val="21"/>
          <w:szCs w:val="21"/>
        </w:rPr>
      </w:pPr>
    </w:p>
    <w:p w14:paraId="34360F84" w14:textId="77777777" w:rsidR="001832F1" w:rsidRDefault="001832F1" w:rsidP="00751E3D">
      <w:pPr>
        <w:jc w:val="both"/>
        <w:rPr>
          <w:rFonts w:ascii="Abadi" w:hAnsi="Abadi"/>
          <w:b/>
          <w:bCs/>
          <w:sz w:val="21"/>
          <w:szCs w:val="21"/>
        </w:rPr>
      </w:pPr>
    </w:p>
    <w:p w14:paraId="2DC3ECC1" w14:textId="4D14A8DF" w:rsidR="001832F1" w:rsidRDefault="001832F1" w:rsidP="00751E3D">
      <w:pPr>
        <w:jc w:val="both"/>
        <w:rPr>
          <w:rFonts w:ascii="Abadi" w:hAnsi="Abadi"/>
          <w:b/>
          <w:bCs/>
          <w:sz w:val="21"/>
          <w:szCs w:val="21"/>
        </w:rPr>
      </w:pPr>
    </w:p>
    <w:p w14:paraId="5536501B" w14:textId="77777777" w:rsidR="001832F1" w:rsidRPr="00A329A0" w:rsidRDefault="001832F1" w:rsidP="00751E3D">
      <w:pPr>
        <w:jc w:val="both"/>
        <w:rPr>
          <w:rFonts w:ascii="Abadi" w:hAnsi="Abadi"/>
          <w:b/>
          <w:bCs/>
          <w:sz w:val="21"/>
          <w:szCs w:val="21"/>
        </w:rPr>
      </w:pPr>
    </w:p>
    <w:p w14:paraId="1EFB0F8C" w14:textId="4BB58E0B" w:rsidR="00751E3D" w:rsidRDefault="00751E3D" w:rsidP="00751E3D">
      <w:pPr>
        <w:jc w:val="both"/>
        <w:rPr>
          <w:rFonts w:ascii="Abadi" w:hAnsi="Abadi"/>
          <w:sz w:val="21"/>
          <w:szCs w:val="21"/>
        </w:rPr>
      </w:pPr>
      <w:r>
        <w:rPr>
          <w:rFonts w:ascii="Abadi" w:hAnsi="Abadi"/>
          <w:sz w:val="21"/>
          <w:szCs w:val="21"/>
        </w:rPr>
        <w:t>- N</w:t>
      </w:r>
      <w:r w:rsidRPr="0030088F">
        <w:rPr>
          <w:rFonts w:ascii="Abadi" w:hAnsi="Abadi"/>
          <w:sz w:val="21"/>
          <w:szCs w:val="21"/>
        </w:rPr>
        <w:t>o se preocupen voy a ser muy breve</w:t>
      </w:r>
      <w:r>
        <w:rPr>
          <w:rFonts w:ascii="Abadi" w:hAnsi="Abadi"/>
          <w:sz w:val="21"/>
          <w:szCs w:val="21"/>
        </w:rPr>
        <w:t>,</w:t>
      </w:r>
      <w:r w:rsidRPr="0030088F">
        <w:rPr>
          <w:rFonts w:ascii="Abadi" w:hAnsi="Abadi"/>
          <w:sz w:val="21"/>
          <w:szCs w:val="21"/>
        </w:rPr>
        <w:t xml:space="preserve"> porque este es un día de contradicciones entre lo que se ha hecho históricamente y lo que se viene a decir en tribuna</w:t>
      </w:r>
      <w:r>
        <w:rPr>
          <w:rFonts w:ascii="Abadi" w:hAnsi="Abadi"/>
          <w:sz w:val="21"/>
          <w:szCs w:val="21"/>
        </w:rPr>
        <w:t>,</w:t>
      </w:r>
      <w:r w:rsidRPr="0030088F">
        <w:rPr>
          <w:rFonts w:ascii="Abadi" w:hAnsi="Abadi"/>
          <w:sz w:val="21"/>
          <w:szCs w:val="21"/>
        </w:rPr>
        <w:t xml:space="preserve"> ahora resulta que los autores del embarazo de urnas</w:t>
      </w:r>
      <w:r>
        <w:rPr>
          <w:rFonts w:ascii="Abadi" w:hAnsi="Abadi"/>
          <w:sz w:val="21"/>
          <w:szCs w:val="21"/>
        </w:rPr>
        <w:t>,</w:t>
      </w:r>
      <w:r w:rsidRPr="0030088F">
        <w:rPr>
          <w:rFonts w:ascii="Abadi" w:hAnsi="Abadi"/>
          <w:sz w:val="21"/>
          <w:szCs w:val="21"/>
        </w:rPr>
        <w:t xml:space="preserve"> de carrusel</w:t>
      </w:r>
      <w:r>
        <w:rPr>
          <w:rFonts w:ascii="Abadi" w:hAnsi="Abadi"/>
          <w:sz w:val="21"/>
          <w:szCs w:val="21"/>
        </w:rPr>
        <w:t>,</w:t>
      </w:r>
      <w:r w:rsidRPr="0030088F">
        <w:rPr>
          <w:rFonts w:ascii="Abadi" w:hAnsi="Abadi"/>
          <w:sz w:val="21"/>
          <w:szCs w:val="21"/>
        </w:rPr>
        <w:t xml:space="preserve"> del ratón loco</w:t>
      </w:r>
      <w:r>
        <w:rPr>
          <w:rFonts w:ascii="Abadi" w:hAnsi="Abadi"/>
          <w:sz w:val="21"/>
          <w:szCs w:val="21"/>
        </w:rPr>
        <w:t>,</w:t>
      </w:r>
      <w:r w:rsidRPr="0030088F">
        <w:rPr>
          <w:rFonts w:ascii="Abadi" w:hAnsi="Abadi"/>
          <w:sz w:val="21"/>
          <w:szCs w:val="21"/>
        </w:rPr>
        <w:t xml:space="preserve"> de la uña negra</w:t>
      </w:r>
      <w:r>
        <w:rPr>
          <w:rFonts w:ascii="Abadi" w:hAnsi="Abadi"/>
          <w:sz w:val="21"/>
          <w:szCs w:val="21"/>
        </w:rPr>
        <w:t>,</w:t>
      </w:r>
      <w:r w:rsidRPr="0030088F">
        <w:rPr>
          <w:rFonts w:ascii="Abadi" w:hAnsi="Abadi"/>
          <w:sz w:val="21"/>
          <w:szCs w:val="21"/>
        </w:rPr>
        <w:t xml:space="preserve"> vienen a hablar de transparencia de las instituciones</w:t>
      </w:r>
      <w:r>
        <w:rPr>
          <w:rFonts w:ascii="Abadi" w:hAnsi="Abadi"/>
          <w:sz w:val="21"/>
          <w:szCs w:val="21"/>
        </w:rPr>
        <w:t>,</w:t>
      </w:r>
      <w:r w:rsidRPr="0030088F">
        <w:rPr>
          <w:rFonts w:ascii="Abadi" w:hAnsi="Abadi"/>
          <w:sz w:val="21"/>
          <w:szCs w:val="21"/>
        </w:rPr>
        <w:t xml:space="preserve"> yo lo he dicho algún día aquí en tribuna</w:t>
      </w:r>
      <w:r>
        <w:rPr>
          <w:rFonts w:ascii="Abadi" w:hAnsi="Abadi"/>
          <w:sz w:val="21"/>
          <w:szCs w:val="21"/>
        </w:rPr>
        <w:t>,</w:t>
      </w:r>
      <w:r w:rsidRPr="0030088F">
        <w:rPr>
          <w:rFonts w:ascii="Abadi" w:hAnsi="Abadi"/>
          <w:sz w:val="21"/>
          <w:szCs w:val="21"/>
        </w:rPr>
        <w:t xml:space="preserve"> yo comencé la vida partidaria en la izquierda en 1987 en las elecciones de León 8687 la casilla que me tocó cuidar sacamos</w:t>
      </w:r>
      <w:r>
        <w:rPr>
          <w:rFonts w:ascii="Abadi" w:hAnsi="Abadi"/>
          <w:sz w:val="21"/>
          <w:szCs w:val="21"/>
        </w:rPr>
        <w:t>,</w:t>
      </w:r>
      <w:r w:rsidRPr="0030088F">
        <w:rPr>
          <w:rFonts w:ascii="Abadi" w:hAnsi="Abadi"/>
          <w:sz w:val="21"/>
          <w:szCs w:val="21"/>
        </w:rPr>
        <w:t xml:space="preserve"> fue la que más sacó la izquierda en el municipio de León</w:t>
      </w:r>
      <w:r>
        <w:rPr>
          <w:rFonts w:ascii="Abadi" w:hAnsi="Abadi"/>
          <w:sz w:val="21"/>
          <w:szCs w:val="21"/>
        </w:rPr>
        <w:t xml:space="preserve">, </w:t>
      </w:r>
      <w:r w:rsidRPr="0030088F">
        <w:rPr>
          <w:rFonts w:ascii="Abadi" w:hAnsi="Abadi"/>
          <w:sz w:val="21"/>
          <w:szCs w:val="21"/>
        </w:rPr>
        <w:t>sacamos 30 votos</w:t>
      </w:r>
      <w:r>
        <w:rPr>
          <w:rFonts w:ascii="Abadi" w:hAnsi="Abadi"/>
          <w:sz w:val="21"/>
          <w:szCs w:val="21"/>
        </w:rPr>
        <w:t xml:space="preserve"> y mi mayorías, </w:t>
      </w:r>
      <w:r w:rsidRPr="0030088F">
        <w:rPr>
          <w:rFonts w:ascii="Abadi" w:hAnsi="Abadi"/>
          <w:sz w:val="21"/>
          <w:szCs w:val="21"/>
        </w:rPr>
        <w:t>venimos de ahí</w:t>
      </w:r>
      <w:r>
        <w:rPr>
          <w:rFonts w:ascii="Abadi" w:hAnsi="Abadi"/>
          <w:sz w:val="21"/>
          <w:szCs w:val="21"/>
        </w:rPr>
        <w:t>,</w:t>
      </w:r>
      <w:r w:rsidRPr="0030088F">
        <w:rPr>
          <w:rFonts w:ascii="Abadi" w:hAnsi="Abadi"/>
          <w:sz w:val="21"/>
          <w:szCs w:val="21"/>
        </w:rPr>
        <w:t xml:space="preserve"> venimos de pintar bardas</w:t>
      </w:r>
      <w:r>
        <w:rPr>
          <w:rFonts w:ascii="Abadi" w:hAnsi="Abadi"/>
          <w:sz w:val="21"/>
          <w:szCs w:val="21"/>
        </w:rPr>
        <w:t>,</w:t>
      </w:r>
      <w:r w:rsidRPr="0030088F">
        <w:rPr>
          <w:rFonts w:ascii="Abadi" w:hAnsi="Abadi"/>
          <w:sz w:val="21"/>
          <w:szCs w:val="21"/>
        </w:rPr>
        <w:t xml:space="preserve"> de pegar clandestinamente con engrudo los postes</w:t>
      </w:r>
      <w:r>
        <w:rPr>
          <w:rFonts w:ascii="Abadi" w:hAnsi="Abadi"/>
          <w:sz w:val="21"/>
          <w:szCs w:val="21"/>
        </w:rPr>
        <w:t>,</w:t>
      </w:r>
      <w:r w:rsidRPr="0030088F">
        <w:rPr>
          <w:rFonts w:ascii="Abadi" w:hAnsi="Abadi"/>
          <w:sz w:val="21"/>
          <w:szCs w:val="21"/>
        </w:rPr>
        <w:t xml:space="preserve"> las paredes</w:t>
      </w:r>
      <w:r>
        <w:rPr>
          <w:rFonts w:ascii="Abadi" w:hAnsi="Abadi"/>
          <w:sz w:val="21"/>
          <w:szCs w:val="21"/>
        </w:rPr>
        <w:t>,</w:t>
      </w:r>
      <w:r w:rsidRPr="0030088F">
        <w:rPr>
          <w:rFonts w:ascii="Abadi" w:hAnsi="Abadi"/>
          <w:sz w:val="21"/>
          <w:szCs w:val="21"/>
        </w:rPr>
        <w:t xml:space="preserve"> sacamos 30 votos y cuando llegamos al centro de votación había </w:t>
      </w:r>
      <w:r>
        <w:rPr>
          <w:rFonts w:ascii="Abadi" w:hAnsi="Abadi"/>
          <w:sz w:val="21"/>
          <w:szCs w:val="21"/>
        </w:rPr>
        <w:t>tres</w:t>
      </w:r>
      <w:r w:rsidRPr="0030088F">
        <w:rPr>
          <w:rFonts w:ascii="Abadi" w:hAnsi="Abadi"/>
          <w:sz w:val="21"/>
          <w:szCs w:val="21"/>
        </w:rPr>
        <w:t xml:space="preserve"> votos</w:t>
      </w:r>
      <w:r>
        <w:rPr>
          <w:rFonts w:ascii="Abadi" w:hAnsi="Abadi"/>
          <w:sz w:val="21"/>
          <w:szCs w:val="21"/>
        </w:rPr>
        <w:t>,</w:t>
      </w:r>
      <w:r w:rsidRPr="0030088F">
        <w:rPr>
          <w:rFonts w:ascii="Abadi" w:hAnsi="Abadi"/>
          <w:sz w:val="21"/>
          <w:szCs w:val="21"/>
        </w:rPr>
        <w:t xml:space="preserve"> le borraron el </w:t>
      </w:r>
      <w:r>
        <w:rPr>
          <w:rFonts w:ascii="Abadi" w:hAnsi="Abadi"/>
          <w:sz w:val="21"/>
          <w:szCs w:val="21"/>
        </w:rPr>
        <w:t>cero</w:t>
      </w:r>
      <w:r w:rsidRPr="0030088F">
        <w:rPr>
          <w:rFonts w:ascii="Abadi" w:hAnsi="Abadi"/>
          <w:sz w:val="21"/>
          <w:szCs w:val="21"/>
        </w:rPr>
        <w:t xml:space="preserve"> y le sacaron los votos de las urnas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quién controlaba los organismos electorales</w:t>
      </w:r>
      <w:r>
        <w:rPr>
          <w:rFonts w:ascii="Abadi" w:hAnsi="Abadi"/>
          <w:sz w:val="21"/>
          <w:szCs w:val="21"/>
        </w:rPr>
        <w:t>?</w:t>
      </w:r>
      <w:r w:rsidRPr="0030088F">
        <w:rPr>
          <w:rFonts w:ascii="Abadi" w:hAnsi="Abadi"/>
          <w:sz w:val="21"/>
          <w:szCs w:val="21"/>
        </w:rPr>
        <w:t xml:space="preserve"> el que ahora viene a hablar de las instituciones</w:t>
      </w:r>
      <w:r>
        <w:rPr>
          <w:rFonts w:ascii="Abadi" w:hAnsi="Abadi"/>
          <w:sz w:val="21"/>
          <w:szCs w:val="21"/>
        </w:rPr>
        <w:t>,</w:t>
      </w:r>
      <w:r w:rsidRPr="0030088F">
        <w:rPr>
          <w:rFonts w:ascii="Abadi" w:hAnsi="Abadi"/>
          <w:sz w:val="21"/>
          <w:szCs w:val="21"/>
        </w:rPr>
        <w:t xml:space="preserve"> de autonomía</w:t>
      </w:r>
      <w:r>
        <w:rPr>
          <w:rFonts w:ascii="Abadi" w:hAnsi="Abadi"/>
          <w:sz w:val="21"/>
          <w:szCs w:val="21"/>
        </w:rPr>
        <w:t>,</w:t>
      </w:r>
      <w:r w:rsidRPr="0030088F">
        <w:rPr>
          <w:rFonts w:ascii="Abadi" w:hAnsi="Abadi"/>
          <w:sz w:val="21"/>
          <w:szCs w:val="21"/>
        </w:rPr>
        <w:t xml:space="preserve"> de respeto</w:t>
      </w:r>
      <w:r>
        <w:rPr>
          <w:rFonts w:ascii="Abadi" w:hAnsi="Abadi"/>
          <w:sz w:val="21"/>
          <w:szCs w:val="21"/>
        </w:rPr>
        <w:t>,</w:t>
      </w:r>
      <w:r w:rsidRPr="0030088F">
        <w:rPr>
          <w:rFonts w:ascii="Abadi" w:hAnsi="Abadi"/>
          <w:sz w:val="21"/>
          <w:szCs w:val="21"/>
        </w:rPr>
        <w:t xml:space="preserve"> de democracia están a punto de perder el registro en el estado de México y vienen a hablar de voluntad y soberanía</w:t>
      </w:r>
      <w:r>
        <w:rPr>
          <w:rFonts w:ascii="Abadi" w:hAnsi="Abadi"/>
          <w:sz w:val="21"/>
          <w:szCs w:val="21"/>
        </w:rPr>
        <w:t>,</w:t>
      </w:r>
      <w:r w:rsidRPr="0030088F">
        <w:rPr>
          <w:rFonts w:ascii="Abadi" w:hAnsi="Abadi"/>
          <w:sz w:val="21"/>
          <w:szCs w:val="21"/>
        </w:rPr>
        <w:t xml:space="preserve"> de veras que es de vergüenza o de tener muy poca memoria histórica para venir para venir a hablar de</w:t>
      </w:r>
      <w:r>
        <w:rPr>
          <w:rFonts w:ascii="Abadi" w:hAnsi="Abadi"/>
          <w:sz w:val="21"/>
          <w:szCs w:val="21"/>
        </w:rPr>
        <w:t>,</w:t>
      </w:r>
      <w:r w:rsidRPr="0030088F">
        <w:rPr>
          <w:rFonts w:ascii="Abadi" w:hAnsi="Abadi"/>
          <w:sz w:val="21"/>
          <w:szCs w:val="21"/>
        </w:rPr>
        <w:t xml:space="preserve"> el respeto a las instituciones</w:t>
      </w:r>
      <w:r>
        <w:rPr>
          <w:rFonts w:ascii="Abadi" w:hAnsi="Abadi"/>
          <w:sz w:val="21"/>
          <w:szCs w:val="21"/>
        </w:rPr>
        <w:t>,</w:t>
      </w:r>
      <w:r w:rsidRPr="0030088F">
        <w:rPr>
          <w:rFonts w:ascii="Abadi" w:hAnsi="Abadi"/>
          <w:sz w:val="21"/>
          <w:szCs w:val="21"/>
        </w:rPr>
        <w:t xml:space="preserve"> cuando fueron los primeros que les destruye</w:t>
      </w:r>
      <w:r>
        <w:rPr>
          <w:rFonts w:ascii="Abadi" w:hAnsi="Abadi"/>
          <w:sz w:val="21"/>
          <w:szCs w:val="21"/>
        </w:rPr>
        <w:t>ron</w:t>
      </w:r>
      <w:r w:rsidRPr="0030088F">
        <w:rPr>
          <w:rFonts w:ascii="Abadi" w:hAnsi="Abadi"/>
          <w:sz w:val="21"/>
          <w:szCs w:val="21"/>
        </w:rPr>
        <w:t xml:space="preserve"> históricamente y por eso perdieron y por eso siguen perdiendo</w:t>
      </w:r>
      <w:r>
        <w:rPr>
          <w:rFonts w:ascii="Abadi" w:hAnsi="Abadi"/>
          <w:sz w:val="21"/>
          <w:szCs w:val="21"/>
        </w:rPr>
        <w:t>,</w:t>
      </w:r>
      <w:r w:rsidRPr="0030088F">
        <w:rPr>
          <w:rFonts w:ascii="Abadi" w:hAnsi="Abadi"/>
          <w:sz w:val="21"/>
          <w:szCs w:val="21"/>
        </w:rPr>
        <w:t xml:space="preserve"> por eso siguen perdiendo</w:t>
      </w:r>
      <w:r>
        <w:rPr>
          <w:rFonts w:ascii="Abadi" w:hAnsi="Abadi"/>
          <w:sz w:val="21"/>
          <w:szCs w:val="21"/>
        </w:rPr>
        <w:t>,</w:t>
      </w:r>
      <w:r w:rsidRPr="0030088F">
        <w:rPr>
          <w:rFonts w:ascii="Abadi" w:hAnsi="Abadi"/>
          <w:sz w:val="21"/>
          <w:szCs w:val="21"/>
        </w:rPr>
        <w:t xml:space="preserve"> porque la gente ya no les cree</w:t>
      </w:r>
      <w:r>
        <w:rPr>
          <w:rFonts w:ascii="Abadi" w:hAnsi="Abadi"/>
          <w:sz w:val="21"/>
          <w:szCs w:val="21"/>
        </w:rPr>
        <w:t>,</w:t>
      </w:r>
      <w:r w:rsidRPr="0030088F">
        <w:rPr>
          <w:rFonts w:ascii="Abadi" w:hAnsi="Abadi"/>
          <w:sz w:val="21"/>
          <w:szCs w:val="21"/>
        </w:rPr>
        <w:t xml:space="preserve"> ni les va a creer que vengan a defender la democracia cuando fueron los principales de </w:t>
      </w:r>
      <w:r>
        <w:rPr>
          <w:rFonts w:ascii="Abadi" w:hAnsi="Abadi"/>
          <w:sz w:val="21"/>
          <w:szCs w:val="21"/>
        </w:rPr>
        <w:t xml:space="preserve">destructores </w:t>
      </w:r>
      <w:r w:rsidRPr="0030088F">
        <w:rPr>
          <w:rFonts w:ascii="Abadi" w:hAnsi="Abadi"/>
          <w:sz w:val="21"/>
          <w:szCs w:val="21"/>
        </w:rPr>
        <w:t>de la democracia y las instituciones en este país</w:t>
      </w:r>
      <w:r>
        <w:rPr>
          <w:rFonts w:ascii="Abadi" w:hAnsi="Abadi"/>
          <w:sz w:val="21"/>
          <w:szCs w:val="21"/>
        </w:rPr>
        <w:t>,</w:t>
      </w:r>
      <w:r w:rsidRPr="0030088F">
        <w:rPr>
          <w:rFonts w:ascii="Abadi" w:hAnsi="Abadi"/>
          <w:sz w:val="21"/>
          <w:szCs w:val="21"/>
        </w:rPr>
        <w:t xml:space="preserve"> que es lo que defendió el plan b</w:t>
      </w:r>
      <w:r>
        <w:rPr>
          <w:rFonts w:ascii="Abadi" w:hAnsi="Abadi"/>
          <w:sz w:val="21"/>
          <w:szCs w:val="21"/>
        </w:rPr>
        <w:t>,</w:t>
      </w:r>
      <w:r w:rsidRPr="0030088F">
        <w:rPr>
          <w:rFonts w:ascii="Abadi" w:hAnsi="Abadi"/>
          <w:sz w:val="21"/>
          <w:szCs w:val="21"/>
        </w:rPr>
        <w:t xml:space="preserve"> del presidente López </w:t>
      </w:r>
      <w:r>
        <w:rPr>
          <w:rFonts w:ascii="Abadi" w:hAnsi="Abadi"/>
          <w:sz w:val="21"/>
          <w:szCs w:val="21"/>
        </w:rPr>
        <w:t>O</w:t>
      </w:r>
      <w:r w:rsidRPr="0030088F">
        <w:rPr>
          <w:rFonts w:ascii="Abadi" w:hAnsi="Abadi"/>
          <w:sz w:val="21"/>
          <w:szCs w:val="21"/>
        </w:rPr>
        <w:t>brador</w:t>
      </w:r>
      <w:r>
        <w:rPr>
          <w:rFonts w:ascii="Abadi" w:hAnsi="Abadi"/>
          <w:sz w:val="21"/>
          <w:szCs w:val="21"/>
        </w:rPr>
        <w:t>,</w:t>
      </w:r>
      <w:r w:rsidRPr="0030088F">
        <w:rPr>
          <w:rFonts w:ascii="Abadi" w:hAnsi="Abadi"/>
          <w:sz w:val="21"/>
          <w:szCs w:val="21"/>
        </w:rPr>
        <w:t xml:space="preserve"> elegir de otro modo a los directivos de los institutos electorales </w:t>
      </w:r>
      <w:r>
        <w:rPr>
          <w:rFonts w:ascii="Abadi" w:hAnsi="Abadi"/>
          <w:sz w:val="21"/>
          <w:szCs w:val="21"/>
        </w:rPr>
        <w:t>¿</w:t>
      </w:r>
      <w:r w:rsidRPr="0030088F">
        <w:rPr>
          <w:rFonts w:ascii="Abadi" w:hAnsi="Abadi"/>
          <w:sz w:val="21"/>
          <w:szCs w:val="21"/>
        </w:rPr>
        <w:t>por qué</w:t>
      </w:r>
      <w:r>
        <w:rPr>
          <w:rFonts w:ascii="Abadi" w:hAnsi="Abadi"/>
          <w:sz w:val="21"/>
          <w:szCs w:val="21"/>
        </w:rPr>
        <w:t>?</w:t>
      </w:r>
      <w:r w:rsidRPr="0030088F">
        <w:rPr>
          <w:rFonts w:ascii="Abadi" w:hAnsi="Abadi"/>
          <w:sz w:val="21"/>
          <w:szCs w:val="21"/>
        </w:rPr>
        <w:t xml:space="preserve"> pues porque gracias a ese partido que hoy viene a hablar en tribuna</w:t>
      </w:r>
      <w:r>
        <w:rPr>
          <w:rFonts w:ascii="Abadi" w:hAnsi="Abadi"/>
          <w:sz w:val="21"/>
          <w:szCs w:val="21"/>
        </w:rPr>
        <w:t>,</w:t>
      </w:r>
      <w:r w:rsidRPr="0030088F">
        <w:rPr>
          <w:rFonts w:ascii="Abadi" w:hAnsi="Abadi"/>
          <w:sz w:val="21"/>
          <w:szCs w:val="21"/>
        </w:rPr>
        <w:t xml:space="preserve"> se repartían los puestos en el </w:t>
      </w:r>
      <w:r>
        <w:rPr>
          <w:rFonts w:ascii="Abadi" w:hAnsi="Abadi"/>
          <w:sz w:val="21"/>
          <w:szCs w:val="21"/>
        </w:rPr>
        <w:t xml:space="preserve">INE </w:t>
      </w:r>
      <w:r w:rsidRPr="0030088F">
        <w:rPr>
          <w:rFonts w:ascii="Abadi" w:hAnsi="Abadi"/>
          <w:sz w:val="21"/>
          <w:szCs w:val="21"/>
        </w:rPr>
        <w:t xml:space="preserve">y en el </w:t>
      </w:r>
      <w:r>
        <w:rPr>
          <w:rFonts w:ascii="Abadi" w:hAnsi="Abadi"/>
          <w:sz w:val="21"/>
          <w:szCs w:val="21"/>
        </w:rPr>
        <w:t xml:space="preserve">IFE, tres para ti, dos </w:t>
      </w:r>
      <w:r w:rsidRPr="0030088F">
        <w:rPr>
          <w:rFonts w:ascii="Abadi" w:hAnsi="Abadi"/>
          <w:sz w:val="21"/>
          <w:szCs w:val="21"/>
        </w:rPr>
        <w:t>para ti</w:t>
      </w:r>
      <w:r>
        <w:rPr>
          <w:rFonts w:ascii="Abadi" w:hAnsi="Abadi"/>
          <w:sz w:val="21"/>
          <w:szCs w:val="21"/>
        </w:rPr>
        <w:t>,</w:t>
      </w:r>
      <w:r w:rsidRPr="0030088F">
        <w:rPr>
          <w:rFonts w:ascii="Abadi" w:hAnsi="Abadi"/>
          <w:sz w:val="21"/>
          <w:szCs w:val="21"/>
        </w:rPr>
        <w:t xml:space="preserve"> dependiendo si había mayoría del </w:t>
      </w:r>
      <w:r>
        <w:rPr>
          <w:rFonts w:ascii="Abadi" w:hAnsi="Abadi"/>
          <w:sz w:val="21"/>
          <w:szCs w:val="21"/>
        </w:rPr>
        <w:t>PAN,</w:t>
      </w:r>
      <w:r w:rsidRPr="0030088F">
        <w:rPr>
          <w:rFonts w:ascii="Abadi" w:hAnsi="Abadi"/>
          <w:sz w:val="21"/>
          <w:szCs w:val="21"/>
        </w:rPr>
        <w:t xml:space="preserve"> en la </w:t>
      </w:r>
      <w:r>
        <w:rPr>
          <w:rFonts w:ascii="Abadi" w:hAnsi="Abadi"/>
          <w:sz w:val="21"/>
          <w:szCs w:val="21"/>
        </w:rPr>
        <w:t>C</w:t>
      </w:r>
      <w:r w:rsidRPr="0030088F">
        <w:rPr>
          <w:rFonts w:ascii="Abadi" w:hAnsi="Abadi"/>
          <w:sz w:val="21"/>
          <w:szCs w:val="21"/>
        </w:rPr>
        <w:t xml:space="preserve">ámara de </w:t>
      </w:r>
      <w:r>
        <w:rPr>
          <w:rFonts w:ascii="Abadi" w:hAnsi="Abadi"/>
          <w:sz w:val="21"/>
          <w:szCs w:val="21"/>
        </w:rPr>
        <w:t>D</w:t>
      </w:r>
      <w:r w:rsidRPr="0030088F">
        <w:rPr>
          <w:rFonts w:ascii="Abadi" w:hAnsi="Abadi"/>
          <w:sz w:val="21"/>
          <w:szCs w:val="21"/>
        </w:rPr>
        <w:t>iputados</w:t>
      </w:r>
      <w:r>
        <w:rPr>
          <w:rFonts w:ascii="Abadi" w:hAnsi="Abadi"/>
          <w:sz w:val="21"/>
          <w:szCs w:val="21"/>
        </w:rPr>
        <w:t xml:space="preserve">, </w:t>
      </w:r>
      <w:r w:rsidRPr="0030088F">
        <w:rPr>
          <w:rFonts w:ascii="Abadi" w:hAnsi="Abadi"/>
          <w:sz w:val="21"/>
          <w:szCs w:val="21"/>
        </w:rPr>
        <w:t>se había más para allá</w:t>
      </w:r>
      <w:r>
        <w:rPr>
          <w:rFonts w:ascii="Abadi" w:hAnsi="Abadi"/>
          <w:sz w:val="21"/>
          <w:szCs w:val="21"/>
        </w:rPr>
        <w:t>,</w:t>
      </w:r>
      <w:r w:rsidRPr="0030088F">
        <w:rPr>
          <w:rFonts w:ascii="Abadi" w:hAnsi="Abadi"/>
          <w:sz w:val="21"/>
          <w:szCs w:val="21"/>
        </w:rPr>
        <w:t xml:space="preserve"> si era el </w:t>
      </w:r>
      <w:r>
        <w:rPr>
          <w:rFonts w:ascii="Abadi" w:hAnsi="Abadi"/>
          <w:sz w:val="21"/>
          <w:szCs w:val="21"/>
        </w:rPr>
        <w:t>PRI,</w:t>
      </w:r>
      <w:r w:rsidRPr="0030088F">
        <w:rPr>
          <w:rFonts w:ascii="Abadi" w:hAnsi="Abadi"/>
          <w:sz w:val="21"/>
          <w:szCs w:val="21"/>
        </w:rPr>
        <w:t xml:space="preserve"> pues había más para allá</w:t>
      </w:r>
      <w:r>
        <w:rPr>
          <w:rFonts w:ascii="Abadi" w:hAnsi="Abadi"/>
          <w:sz w:val="21"/>
          <w:szCs w:val="21"/>
        </w:rPr>
        <w:t>,</w:t>
      </w:r>
      <w:r w:rsidRPr="0030088F">
        <w:rPr>
          <w:rFonts w:ascii="Abadi" w:hAnsi="Abadi"/>
          <w:sz w:val="21"/>
          <w:szCs w:val="21"/>
        </w:rPr>
        <w:t xml:space="preserve"> a eso vienen a defender</w:t>
      </w:r>
      <w:r>
        <w:rPr>
          <w:rFonts w:ascii="Abadi" w:hAnsi="Abadi"/>
          <w:sz w:val="21"/>
          <w:szCs w:val="21"/>
        </w:rPr>
        <w:t>,</w:t>
      </w:r>
      <w:r w:rsidRPr="0030088F">
        <w:rPr>
          <w:rFonts w:ascii="Abadi" w:hAnsi="Abadi"/>
          <w:sz w:val="21"/>
          <w:szCs w:val="21"/>
        </w:rPr>
        <w:t xml:space="preserve"> tantita memoria histórica por favor</w:t>
      </w:r>
      <w:r>
        <w:rPr>
          <w:rFonts w:ascii="Abadi" w:hAnsi="Abadi"/>
          <w:sz w:val="21"/>
          <w:szCs w:val="21"/>
        </w:rPr>
        <w:t>.</w:t>
      </w:r>
    </w:p>
    <w:p w14:paraId="1299CC30" w14:textId="77777777" w:rsidR="001832F1" w:rsidRDefault="001832F1" w:rsidP="00751E3D">
      <w:pPr>
        <w:jc w:val="both"/>
        <w:rPr>
          <w:rFonts w:ascii="Abadi" w:hAnsi="Abadi"/>
          <w:sz w:val="21"/>
          <w:szCs w:val="21"/>
        </w:rPr>
      </w:pPr>
    </w:p>
    <w:p w14:paraId="2090435B" w14:textId="77777777" w:rsidR="00751E3D" w:rsidRDefault="00751E3D" w:rsidP="00751E3D">
      <w:pPr>
        <w:jc w:val="both"/>
        <w:rPr>
          <w:rFonts w:ascii="Abadi" w:hAnsi="Abadi"/>
          <w:sz w:val="21"/>
          <w:szCs w:val="21"/>
        </w:rPr>
      </w:pPr>
      <w:r>
        <w:rPr>
          <w:rFonts w:ascii="Abadi" w:hAnsi="Abadi"/>
          <w:sz w:val="21"/>
          <w:szCs w:val="21"/>
        </w:rPr>
        <w:t>- S</w:t>
      </w:r>
      <w:r w:rsidRPr="0030088F">
        <w:rPr>
          <w:rFonts w:ascii="Abadi" w:hAnsi="Abadi"/>
          <w:sz w:val="21"/>
          <w:szCs w:val="21"/>
        </w:rPr>
        <w:t>egunda cosa</w:t>
      </w:r>
      <w:r>
        <w:rPr>
          <w:rFonts w:ascii="Abadi" w:hAnsi="Abadi"/>
          <w:sz w:val="21"/>
          <w:szCs w:val="21"/>
        </w:rPr>
        <w:t>,</w:t>
      </w:r>
      <w:r w:rsidRPr="0030088F">
        <w:rPr>
          <w:rFonts w:ascii="Abadi" w:hAnsi="Abadi"/>
          <w:sz w:val="21"/>
          <w:szCs w:val="21"/>
        </w:rPr>
        <w:t xml:space="preserve"> venimos a defender también</w:t>
      </w:r>
      <w:r>
        <w:rPr>
          <w:rFonts w:ascii="Abadi" w:hAnsi="Abadi"/>
          <w:sz w:val="21"/>
          <w:szCs w:val="21"/>
        </w:rPr>
        <w:t xml:space="preserve">, </w:t>
      </w:r>
      <w:r w:rsidRPr="0030088F">
        <w:rPr>
          <w:rFonts w:ascii="Abadi" w:hAnsi="Abadi"/>
          <w:sz w:val="21"/>
          <w:szCs w:val="21"/>
        </w:rPr>
        <w:t xml:space="preserve">el poner un poco más ligeras las estructuras de gobierno electoral que lo siguen rigiendo en el país venimos a que se aplique la </w:t>
      </w:r>
      <w:r>
        <w:rPr>
          <w:rFonts w:ascii="Abadi" w:hAnsi="Abadi"/>
          <w:sz w:val="21"/>
          <w:szCs w:val="21"/>
        </w:rPr>
        <w:t>C</w:t>
      </w:r>
      <w:r w:rsidRPr="0030088F">
        <w:rPr>
          <w:rFonts w:ascii="Abadi" w:hAnsi="Abadi"/>
          <w:sz w:val="21"/>
          <w:szCs w:val="21"/>
        </w:rPr>
        <w:t xml:space="preserve">onstitución para que nadie gane más del </w:t>
      </w:r>
      <w:r>
        <w:rPr>
          <w:rFonts w:ascii="Abadi" w:hAnsi="Abadi"/>
          <w:sz w:val="21"/>
          <w:szCs w:val="21"/>
        </w:rPr>
        <w:t>P</w:t>
      </w:r>
      <w:r w:rsidRPr="0030088F">
        <w:rPr>
          <w:rFonts w:ascii="Abadi" w:hAnsi="Abadi"/>
          <w:sz w:val="21"/>
          <w:szCs w:val="21"/>
        </w:rPr>
        <w:t xml:space="preserve">residente de la </w:t>
      </w:r>
      <w:r>
        <w:rPr>
          <w:rFonts w:ascii="Abadi" w:hAnsi="Abadi"/>
          <w:sz w:val="21"/>
          <w:szCs w:val="21"/>
        </w:rPr>
        <w:t>R</w:t>
      </w:r>
      <w:r w:rsidRPr="0030088F">
        <w:rPr>
          <w:rFonts w:ascii="Abadi" w:hAnsi="Abadi"/>
          <w:sz w:val="21"/>
          <w:szCs w:val="21"/>
        </w:rPr>
        <w:t>ep</w:t>
      </w:r>
      <w:r>
        <w:rPr>
          <w:rFonts w:ascii="Abadi" w:hAnsi="Abadi"/>
          <w:sz w:val="21"/>
          <w:szCs w:val="21"/>
        </w:rPr>
        <w:t xml:space="preserve">ública, </w:t>
      </w:r>
      <w:r w:rsidRPr="0030088F">
        <w:rPr>
          <w:rFonts w:ascii="Abadi" w:hAnsi="Abadi"/>
          <w:sz w:val="21"/>
          <w:szCs w:val="21"/>
        </w:rPr>
        <w:t>venimos a defender gastos excesivos en las campañas electorales</w:t>
      </w:r>
      <w:r>
        <w:rPr>
          <w:rFonts w:ascii="Abadi" w:hAnsi="Abadi"/>
          <w:sz w:val="21"/>
          <w:szCs w:val="21"/>
        </w:rPr>
        <w:t>,</w:t>
      </w:r>
      <w:r w:rsidRPr="0030088F">
        <w:rPr>
          <w:rFonts w:ascii="Abadi" w:hAnsi="Abadi"/>
          <w:sz w:val="21"/>
          <w:szCs w:val="21"/>
        </w:rPr>
        <w:t xml:space="preserve"> gastos sobre comunicación</w:t>
      </w:r>
      <w:r>
        <w:rPr>
          <w:rFonts w:ascii="Abadi" w:hAnsi="Abadi"/>
          <w:sz w:val="21"/>
          <w:szCs w:val="21"/>
        </w:rPr>
        <w:t>,</w:t>
      </w:r>
      <w:r w:rsidRPr="0030088F">
        <w:rPr>
          <w:rFonts w:ascii="Abadi" w:hAnsi="Abadi"/>
          <w:sz w:val="21"/>
          <w:szCs w:val="21"/>
        </w:rPr>
        <w:t xml:space="preserve"> eso es lo que venimos a ver</w:t>
      </w:r>
      <w:r>
        <w:rPr>
          <w:rFonts w:ascii="Abadi" w:hAnsi="Abadi"/>
          <w:sz w:val="21"/>
          <w:szCs w:val="21"/>
        </w:rPr>
        <w:t>,</w:t>
      </w:r>
      <w:r w:rsidRPr="0030088F">
        <w:rPr>
          <w:rFonts w:ascii="Abadi" w:hAnsi="Abadi"/>
          <w:sz w:val="21"/>
          <w:szCs w:val="21"/>
        </w:rPr>
        <w:t xml:space="preserve"> lo que pasa es que quienes están perdiendo privilegios y quien históricamente destruyeron las instituciones</w:t>
      </w:r>
      <w:r>
        <w:rPr>
          <w:rFonts w:ascii="Abadi" w:hAnsi="Abadi"/>
          <w:sz w:val="21"/>
          <w:szCs w:val="21"/>
        </w:rPr>
        <w:t>,</w:t>
      </w:r>
      <w:r w:rsidRPr="0030088F">
        <w:rPr>
          <w:rFonts w:ascii="Abadi" w:hAnsi="Abadi"/>
          <w:sz w:val="21"/>
          <w:szCs w:val="21"/>
        </w:rPr>
        <w:t xml:space="preserve"> bien hablar de un mensaje que no tiene que ver con el plan </w:t>
      </w:r>
      <w:r>
        <w:rPr>
          <w:rFonts w:ascii="Abadi" w:hAnsi="Abadi"/>
          <w:sz w:val="21"/>
          <w:szCs w:val="21"/>
        </w:rPr>
        <w:t>b,</w:t>
      </w:r>
      <w:r w:rsidRPr="0030088F">
        <w:rPr>
          <w:rFonts w:ascii="Abadi" w:hAnsi="Abadi"/>
          <w:sz w:val="21"/>
          <w:szCs w:val="21"/>
        </w:rPr>
        <w:t xml:space="preserve"> si hubo</w:t>
      </w:r>
      <w:r>
        <w:rPr>
          <w:rFonts w:ascii="Abadi" w:hAnsi="Abadi"/>
          <w:sz w:val="21"/>
          <w:szCs w:val="21"/>
        </w:rPr>
        <w:t>,</w:t>
      </w:r>
      <w:r w:rsidRPr="0030088F">
        <w:rPr>
          <w:rFonts w:ascii="Abadi" w:hAnsi="Abadi"/>
          <w:sz w:val="21"/>
          <w:szCs w:val="21"/>
        </w:rPr>
        <w:t xml:space="preserve"> alguna falla en el debido proceso electoral</w:t>
      </w:r>
      <w:r>
        <w:rPr>
          <w:rFonts w:ascii="Abadi" w:hAnsi="Abadi"/>
          <w:sz w:val="21"/>
          <w:szCs w:val="21"/>
        </w:rPr>
        <w:t>,</w:t>
      </w:r>
      <w:r w:rsidRPr="0030088F">
        <w:rPr>
          <w:rFonts w:ascii="Abadi" w:hAnsi="Abadi"/>
          <w:sz w:val="21"/>
          <w:szCs w:val="21"/>
        </w:rPr>
        <w:t xml:space="preserve"> lo asumimos</w:t>
      </w:r>
      <w:r>
        <w:rPr>
          <w:rFonts w:ascii="Abadi" w:hAnsi="Abadi"/>
          <w:sz w:val="21"/>
          <w:szCs w:val="21"/>
        </w:rPr>
        <w:t>,</w:t>
      </w:r>
      <w:r w:rsidRPr="0030088F">
        <w:rPr>
          <w:rFonts w:ascii="Abadi" w:hAnsi="Abadi"/>
          <w:sz w:val="21"/>
          <w:szCs w:val="21"/>
        </w:rPr>
        <w:t xml:space="preserve"> pero el mensaje demagógico</w:t>
      </w:r>
      <w:r>
        <w:rPr>
          <w:rFonts w:ascii="Abadi" w:hAnsi="Abadi"/>
          <w:sz w:val="21"/>
          <w:szCs w:val="21"/>
        </w:rPr>
        <w:t>,</w:t>
      </w:r>
      <w:r w:rsidRPr="0030088F">
        <w:rPr>
          <w:rFonts w:ascii="Abadi" w:hAnsi="Abadi"/>
          <w:sz w:val="21"/>
          <w:szCs w:val="21"/>
        </w:rPr>
        <w:t xml:space="preserve"> de quien históricamente es una podredura y una vergüenza</w:t>
      </w:r>
      <w:r>
        <w:rPr>
          <w:rFonts w:ascii="Abadi" w:hAnsi="Abadi"/>
          <w:sz w:val="21"/>
          <w:szCs w:val="21"/>
        </w:rPr>
        <w:t>,</w:t>
      </w:r>
      <w:r w:rsidRPr="0030088F">
        <w:rPr>
          <w:rFonts w:ascii="Abadi" w:hAnsi="Abadi"/>
          <w:sz w:val="21"/>
          <w:szCs w:val="21"/>
        </w:rPr>
        <w:t xml:space="preserve"> tiene que manifestarse aquí con un acto total de incongruencia histórica</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quieren que les dé más datos históricos</w:t>
      </w:r>
      <w:r>
        <w:rPr>
          <w:rFonts w:ascii="Abadi" w:hAnsi="Abadi"/>
          <w:sz w:val="21"/>
          <w:szCs w:val="21"/>
        </w:rPr>
        <w:t>?</w:t>
      </w:r>
      <w:r w:rsidRPr="0030088F">
        <w:rPr>
          <w:rFonts w:ascii="Abadi" w:hAnsi="Abadi"/>
          <w:sz w:val="21"/>
          <w:szCs w:val="21"/>
        </w:rPr>
        <w:t xml:space="preserve"> acuérdense del 68</w:t>
      </w:r>
      <w:r>
        <w:rPr>
          <w:rFonts w:ascii="Abadi" w:hAnsi="Abadi"/>
          <w:sz w:val="21"/>
          <w:szCs w:val="21"/>
        </w:rPr>
        <w:t>,</w:t>
      </w:r>
      <w:r w:rsidRPr="0030088F">
        <w:rPr>
          <w:rFonts w:ascii="Abadi" w:hAnsi="Abadi"/>
          <w:sz w:val="21"/>
          <w:szCs w:val="21"/>
        </w:rPr>
        <w:t xml:space="preserve"> acuérdese del 10 de junio</w:t>
      </w:r>
      <w:r>
        <w:rPr>
          <w:rFonts w:ascii="Abadi" w:hAnsi="Abadi"/>
          <w:sz w:val="21"/>
          <w:szCs w:val="21"/>
        </w:rPr>
        <w:t>,</w:t>
      </w:r>
      <w:r w:rsidRPr="0030088F">
        <w:rPr>
          <w:rFonts w:ascii="Abadi" w:hAnsi="Abadi"/>
          <w:sz w:val="21"/>
          <w:szCs w:val="21"/>
        </w:rPr>
        <w:t xml:space="preserve"> </w:t>
      </w:r>
      <w:r>
        <w:rPr>
          <w:rFonts w:ascii="Abadi" w:hAnsi="Abadi"/>
          <w:sz w:val="21"/>
          <w:szCs w:val="21"/>
        </w:rPr>
        <w:t xml:space="preserve">acuérdense de Ayotzinapa, </w:t>
      </w:r>
      <w:r w:rsidRPr="0030088F">
        <w:rPr>
          <w:rFonts w:ascii="Abadi" w:hAnsi="Abadi"/>
          <w:sz w:val="21"/>
          <w:szCs w:val="21"/>
        </w:rPr>
        <w:t>acuérdense de Atlacomulco</w:t>
      </w:r>
      <w:r>
        <w:rPr>
          <w:rFonts w:ascii="Abadi" w:hAnsi="Abadi"/>
          <w:sz w:val="21"/>
          <w:szCs w:val="21"/>
        </w:rPr>
        <w:t xml:space="preserve">, </w:t>
      </w:r>
      <w:r w:rsidRPr="0030088F">
        <w:rPr>
          <w:rFonts w:ascii="Abadi" w:hAnsi="Abadi"/>
          <w:sz w:val="21"/>
          <w:szCs w:val="21"/>
        </w:rPr>
        <w:t xml:space="preserve">acuérdense de la golpiza que les pusieron a los pobladores de </w:t>
      </w:r>
      <w:r>
        <w:rPr>
          <w:rFonts w:ascii="Abadi" w:hAnsi="Abadi"/>
          <w:sz w:val="21"/>
          <w:szCs w:val="21"/>
        </w:rPr>
        <w:t>A</w:t>
      </w:r>
      <w:r w:rsidRPr="0030088F">
        <w:rPr>
          <w:rFonts w:ascii="Abadi" w:hAnsi="Abadi"/>
          <w:sz w:val="21"/>
          <w:szCs w:val="21"/>
        </w:rPr>
        <w:t xml:space="preserve">tenco </w:t>
      </w:r>
      <w:r>
        <w:rPr>
          <w:rFonts w:ascii="Abadi" w:hAnsi="Abadi"/>
          <w:sz w:val="21"/>
          <w:szCs w:val="21"/>
        </w:rPr>
        <w:t>con</w:t>
      </w:r>
      <w:r w:rsidRPr="0030088F">
        <w:rPr>
          <w:rFonts w:ascii="Abadi" w:hAnsi="Abadi"/>
          <w:sz w:val="21"/>
          <w:szCs w:val="21"/>
        </w:rPr>
        <w:t xml:space="preserve"> aeropuerto </w:t>
      </w:r>
      <w:r>
        <w:rPr>
          <w:rFonts w:ascii="Abadi" w:hAnsi="Abadi"/>
          <w:sz w:val="21"/>
          <w:szCs w:val="21"/>
        </w:rPr>
        <w:t>donde P</w:t>
      </w:r>
      <w:r w:rsidRPr="0030088F">
        <w:rPr>
          <w:rFonts w:ascii="Abadi" w:hAnsi="Abadi"/>
          <w:sz w:val="21"/>
          <w:szCs w:val="21"/>
        </w:rPr>
        <w:t xml:space="preserve">eña </w:t>
      </w:r>
      <w:r>
        <w:rPr>
          <w:rFonts w:ascii="Abadi" w:hAnsi="Abadi"/>
          <w:sz w:val="21"/>
          <w:szCs w:val="21"/>
        </w:rPr>
        <w:t>N</w:t>
      </w:r>
      <w:r w:rsidRPr="0030088F">
        <w:rPr>
          <w:rFonts w:ascii="Abadi" w:hAnsi="Abadi"/>
          <w:sz w:val="21"/>
          <w:szCs w:val="21"/>
        </w:rPr>
        <w:t xml:space="preserve">ieto </w:t>
      </w:r>
      <w:r>
        <w:rPr>
          <w:rFonts w:ascii="Abadi" w:hAnsi="Abadi"/>
          <w:sz w:val="21"/>
          <w:szCs w:val="21"/>
        </w:rPr>
        <w:t xml:space="preserve">se en orgulloso dijo, </w:t>
      </w:r>
      <w:r w:rsidRPr="0030088F">
        <w:rPr>
          <w:rFonts w:ascii="Abadi" w:hAnsi="Abadi"/>
          <w:sz w:val="21"/>
          <w:szCs w:val="21"/>
        </w:rPr>
        <w:t>soy responsable de este evento</w:t>
      </w:r>
      <w:r>
        <w:rPr>
          <w:rFonts w:ascii="Abadi" w:hAnsi="Abadi"/>
          <w:sz w:val="21"/>
          <w:szCs w:val="21"/>
        </w:rPr>
        <w:t>,</w:t>
      </w:r>
      <w:r w:rsidRPr="0030088F">
        <w:rPr>
          <w:rFonts w:ascii="Abadi" w:hAnsi="Abadi"/>
          <w:sz w:val="21"/>
          <w:szCs w:val="21"/>
        </w:rPr>
        <w:t xml:space="preserve"> esos son los que vienen </w:t>
      </w:r>
      <w:r>
        <w:rPr>
          <w:rFonts w:ascii="Abadi" w:hAnsi="Abadi"/>
          <w:sz w:val="21"/>
          <w:szCs w:val="21"/>
        </w:rPr>
        <w:t>hablar aquí de transparencia, más seriedad.</w:t>
      </w:r>
    </w:p>
    <w:p w14:paraId="4264E2BD" w14:textId="77777777" w:rsidR="001832F1" w:rsidRDefault="001832F1" w:rsidP="00751E3D">
      <w:pPr>
        <w:jc w:val="both"/>
        <w:rPr>
          <w:rFonts w:ascii="Abadi" w:hAnsi="Abadi"/>
          <w:sz w:val="21"/>
          <w:szCs w:val="21"/>
        </w:rPr>
      </w:pPr>
    </w:p>
    <w:p w14:paraId="4C8A7241" w14:textId="77777777" w:rsidR="001832F1" w:rsidRDefault="00751E3D" w:rsidP="00751E3D">
      <w:pPr>
        <w:jc w:val="both"/>
        <w:rPr>
          <w:rFonts w:ascii="Abadi" w:hAnsi="Abadi"/>
          <w:sz w:val="21"/>
          <w:szCs w:val="21"/>
        </w:rPr>
      </w:pPr>
      <w:r>
        <w:rPr>
          <w:rFonts w:ascii="Abadi" w:hAnsi="Abadi"/>
          <w:sz w:val="21"/>
          <w:szCs w:val="21"/>
        </w:rPr>
        <w:tab/>
      </w:r>
      <w:r w:rsidRPr="003920BB">
        <w:rPr>
          <w:rFonts w:ascii="Abadi" w:hAnsi="Abadi"/>
          <w:b/>
          <w:bCs/>
          <w:sz w:val="21"/>
          <w:szCs w:val="21"/>
        </w:rPr>
        <w:t xml:space="preserve">- La </w:t>
      </w:r>
      <w:proofErr w:type="gramStart"/>
      <w:r w:rsidRPr="003920BB">
        <w:rPr>
          <w:rFonts w:ascii="Abadi" w:hAnsi="Abadi"/>
          <w:b/>
          <w:bCs/>
          <w:sz w:val="21"/>
          <w:szCs w:val="21"/>
        </w:rPr>
        <w:t>Presidencia.-</w:t>
      </w:r>
      <w:proofErr w:type="gramEnd"/>
      <w:r>
        <w:rPr>
          <w:rFonts w:ascii="Abadi" w:hAnsi="Abadi"/>
          <w:sz w:val="21"/>
          <w:szCs w:val="21"/>
        </w:rPr>
        <w:t xml:space="preserve"> ¿D</w:t>
      </w:r>
      <w:r w:rsidRPr="0030088F">
        <w:rPr>
          <w:rFonts w:ascii="Abadi" w:hAnsi="Abadi"/>
          <w:sz w:val="21"/>
          <w:szCs w:val="21"/>
        </w:rPr>
        <w:t xml:space="preserve">iputado Alejandro </w:t>
      </w:r>
      <w:r>
        <w:rPr>
          <w:rFonts w:ascii="Abadi" w:hAnsi="Abadi"/>
          <w:sz w:val="21"/>
          <w:szCs w:val="21"/>
        </w:rPr>
        <w:t>A</w:t>
      </w:r>
      <w:r w:rsidRPr="0030088F">
        <w:rPr>
          <w:rFonts w:ascii="Abadi" w:hAnsi="Abadi"/>
          <w:sz w:val="21"/>
          <w:szCs w:val="21"/>
        </w:rPr>
        <w:t>rias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 xml:space="preserve">para </w:t>
      </w:r>
      <w:proofErr w:type="spellStart"/>
      <w:r w:rsidRPr="0030088F">
        <w:rPr>
          <w:rFonts w:ascii="Abadi" w:hAnsi="Abadi"/>
          <w:sz w:val="21"/>
          <w:szCs w:val="21"/>
        </w:rPr>
        <w:t>que</w:t>
      </w:r>
      <w:proofErr w:type="spellEnd"/>
      <w:r w:rsidRPr="0030088F">
        <w:rPr>
          <w:rFonts w:ascii="Abadi" w:hAnsi="Abadi"/>
          <w:sz w:val="21"/>
          <w:szCs w:val="21"/>
        </w:rPr>
        <w:t xml:space="preserve"> efecto</w:t>
      </w:r>
      <w:r>
        <w:rPr>
          <w:rFonts w:ascii="Abadi" w:hAnsi="Abadi"/>
          <w:sz w:val="21"/>
          <w:szCs w:val="21"/>
        </w:rPr>
        <w:t>?</w:t>
      </w:r>
      <w:r w:rsidRPr="0030088F">
        <w:rPr>
          <w:rFonts w:ascii="Abadi" w:hAnsi="Abadi"/>
          <w:sz w:val="21"/>
          <w:szCs w:val="21"/>
        </w:rPr>
        <w:t xml:space="preserve"> </w:t>
      </w:r>
      <w:r w:rsidRPr="003920BB">
        <w:rPr>
          <w:rFonts w:ascii="Abadi" w:hAnsi="Abadi"/>
          <w:b/>
          <w:bCs/>
          <w:sz w:val="21"/>
          <w:szCs w:val="21"/>
        </w:rPr>
        <w:t>(Voz) diputado Alejandro Arias,</w:t>
      </w:r>
      <w:r>
        <w:rPr>
          <w:rFonts w:ascii="Abadi" w:hAnsi="Abadi"/>
          <w:sz w:val="21"/>
          <w:szCs w:val="21"/>
        </w:rPr>
        <w:t xml:space="preserve"> </w:t>
      </w:r>
      <w:r w:rsidRPr="0030088F">
        <w:rPr>
          <w:rFonts w:ascii="Abadi" w:hAnsi="Abadi"/>
          <w:sz w:val="21"/>
          <w:szCs w:val="21"/>
        </w:rPr>
        <w:t>para rectificación de hechos si se pueden todos</w:t>
      </w:r>
      <w:r>
        <w:rPr>
          <w:rFonts w:ascii="Abadi" w:hAnsi="Abadi"/>
          <w:sz w:val="21"/>
          <w:szCs w:val="21"/>
        </w:rPr>
        <w:t>,</w:t>
      </w:r>
      <w:r w:rsidRPr="0030088F">
        <w:rPr>
          <w:rFonts w:ascii="Abadi" w:hAnsi="Abadi"/>
          <w:sz w:val="21"/>
          <w:szCs w:val="21"/>
        </w:rPr>
        <w:t xml:space="preserve"> todos</w:t>
      </w:r>
      <w:r>
        <w:rPr>
          <w:rFonts w:ascii="Abadi" w:hAnsi="Abadi"/>
          <w:sz w:val="21"/>
          <w:szCs w:val="21"/>
        </w:rPr>
        <w:t xml:space="preserve">, </w:t>
      </w:r>
      <w:r w:rsidRPr="0030088F">
        <w:rPr>
          <w:rFonts w:ascii="Abadi" w:hAnsi="Abadi"/>
          <w:sz w:val="21"/>
          <w:szCs w:val="21"/>
        </w:rPr>
        <w:t>si no le apunto</w:t>
      </w:r>
      <w:r>
        <w:rPr>
          <w:rFonts w:ascii="Abadi" w:hAnsi="Abadi"/>
          <w:sz w:val="21"/>
          <w:szCs w:val="21"/>
        </w:rPr>
        <w:t xml:space="preserve"> </w:t>
      </w:r>
      <w:r w:rsidRPr="00C33FCE">
        <w:rPr>
          <w:rFonts w:ascii="Abadi" w:hAnsi="Abadi"/>
          <w:b/>
          <w:bCs/>
          <w:sz w:val="21"/>
          <w:szCs w:val="21"/>
        </w:rPr>
        <w:t xml:space="preserve">(Voz) diputada </w:t>
      </w:r>
      <w:proofErr w:type="gramStart"/>
      <w:r w:rsidRPr="00C33FCE">
        <w:rPr>
          <w:rFonts w:ascii="Abadi" w:hAnsi="Abadi"/>
          <w:b/>
          <w:bCs/>
          <w:sz w:val="21"/>
          <w:szCs w:val="21"/>
        </w:rPr>
        <w:t>Presidenta,</w:t>
      </w:r>
      <w:r>
        <w:rPr>
          <w:rFonts w:ascii="Abadi" w:hAnsi="Abadi"/>
          <w:sz w:val="21"/>
          <w:szCs w:val="21"/>
        </w:rPr>
        <w:t xml:space="preserve"> </w:t>
      </w:r>
      <w:r w:rsidRPr="0030088F">
        <w:rPr>
          <w:rFonts w:ascii="Abadi" w:hAnsi="Abadi"/>
          <w:sz w:val="21"/>
          <w:szCs w:val="21"/>
        </w:rPr>
        <w:t xml:space="preserve"> apúntame</w:t>
      </w:r>
      <w:proofErr w:type="gramEnd"/>
      <w:r w:rsidRPr="0030088F">
        <w:rPr>
          <w:rFonts w:ascii="Abadi" w:hAnsi="Abadi"/>
          <w:sz w:val="21"/>
          <w:szCs w:val="21"/>
        </w:rPr>
        <w:t xml:space="preserve"> unos pocos</w:t>
      </w:r>
      <w:r>
        <w:rPr>
          <w:rFonts w:ascii="Abadi" w:hAnsi="Abadi"/>
          <w:sz w:val="21"/>
          <w:szCs w:val="21"/>
        </w:rPr>
        <w:t xml:space="preserve">, </w:t>
      </w:r>
      <w:r w:rsidRPr="00C33FCE">
        <w:rPr>
          <w:rFonts w:ascii="Abadi" w:hAnsi="Abadi"/>
          <w:b/>
          <w:bCs/>
          <w:sz w:val="21"/>
          <w:szCs w:val="21"/>
        </w:rPr>
        <w:t>(Voz) diputado Alejandro Arias,</w:t>
      </w:r>
      <w:r>
        <w:rPr>
          <w:rFonts w:ascii="Abadi" w:hAnsi="Abadi"/>
          <w:sz w:val="21"/>
          <w:szCs w:val="21"/>
        </w:rPr>
        <w:t xml:space="preserve"> ok, </w:t>
      </w:r>
      <w:r w:rsidRPr="0030088F">
        <w:rPr>
          <w:rFonts w:ascii="Abadi" w:hAnsi="Abadi"/>
          <w:sz w:val="21"/>
          <w:szCs w:val="21"/>
        </w:rPr>
        <w:t xml:space="preserve">centrémonos sobre el tema Andrés Manuel </w:t>
      </w:r>
      <w:r>
        <w:rPr>
          <w:rFonts w:ascii="Abadi" w:hAnsi="Abadi"/>
          <w:sz w:val="21"/>
          <w:szCs w:val="21"/>
        </w:rPr>
        <w:t>E</w:t>
      </w:r>
      <w:r w:rsidRPr="0030088F">
        <w:rPr>
          <w:rFonts w:ascii="Abadi" w:hAnsi="Abadi"/>
          <w:sz w:val="21"/>
          <w:szCs w:val="21"/>
        </w:rPr>
        <w:t>stado de México</w:t>
      </w:r>
      <w:r>
        <w:rPr>
          <w:rFonts w:ascii="Abadi" w:hAnsi="Abadi"/>
          <w:sz w:val="21"/>
          <w:szCs w:val="21"/>
        </w:rPr>
        <w:t>,</w:t>
      </w:r>
      <w:r w:rsidRPr="0030088F">
        <w:rPr>
          <w:rFonts w:ascii="Abadi" w:hAnsi="Abadi"/>
          <w:sz w:val="21"/>
          <w:szCs w:val="21"/>
        </w:rPr>
        <w:t xml:space="preserve"> pérdida de registro</w:t>
      </w:r>
      <w:r>
        <w:rPr>
          <w:rFonts w:ascii="Abadi" w:hAnsi="Abadi"/>
          <w:sz w:val="21"/>
          <w:szCs w:val="21"/>
        </w:rPr>
        <w:t>,</w:t>
      </w:r>
      <w:r w:rsidRPr="0030088F">
        <w:rPr>
          <w:rFonts w:ascii="Abadi" w:hAnsi="Abadi"/>
          <w:sz w:val="21"/>
          <w:szCs w:val="21"/>
        </w:rPr>
        <w:t xml:space="preserve"> en contra de la democracia</w:t>
      </w:r>
      <w:r>
        <w:rPr>
          <w:rFonts w:ascii="Abadi" w:hAnsi="Abadi"/>
          <w:sz w:val="21"/>
          <w:szCs w:val="21"/>
        </w:rPr>
        <w:t>,</w:t>
      </w:r>
      <w:r w:rsidRPr="0030088F">
        <w:rPr>
          <w:rFonts w:ascii="Abadi" w:hAnsi="Abadi"/>
          <w:sz w:val="21"/>
          <w:szCs w:val="21"/>
        </w:rPr>
        <w:t xml:space="preserve"> la incongruencia</w:t>
      </w:r>
      <w:r>
        <w:rPr>
          <w:rFonts w:ascii="Abadi" w:hAnsi="Abadi"/>
          <w:sz w:val="21"/>
          <w:szCs w:val="21"/>
        </w:rPr>
        <w:t>,</w:t>
      </w:r>
      <w:r w:rsidRPr="0030088F">
        <w:rPr>
          <w:rFonts w:ascii="Abadi" w:hAnsi="Abadi"/>
          <w:sz w:val="21"/>
          <w:szCs w:val="21"/>
        </w:rPr>
        <w:t xml:space="preserve"> </w:t>
      </w:r>
      <w:r w:rsidRPr="00F00283">
        <w:rPr>
          <w:rFonts w:ascii="Abadi" w:hAnsi="Abadi"/>
          <w:b/>
          <w:bCs/>
          <w:sz w:val="21"/>
          <w:szCs w:val="21"/>
        </w:rPr>
        <w:t>(Voz) diputada Presidenta,</w:t>
      </w:r>
      <w:r>
        <w:rPr>
          <w:rFonts w:ascii="Abadi" w:hAnsi="Abadi"/>
          <w:sz w:val="21"/>
          <w:szCs w:val="21"/>
        </w:rPr>
        <w:t xml:space="preserve"> </w:t>
      </w:r>
      <w:r w:rsidRPr="0030088F">
        <w:rPr>
          <w:rFonts w:ascii="Abadi" w:hAnsi="Abadi"/>
          <w:sz w:val="21"/>
          <w:szCs w:val="21"/>
        </w:rPr>
        <w:t>muy bien gracias diputado tiene el uso de la voz hasta por 5 minutos</w:t>
      </w:r>
      <w:r>
        <w:rPr>
          <w:rFonts w:ascii="Abadi" w:hAnsi="Abadi"/>
          <w:sz w:val="21"/>
          <w:szCs w:val="21"/>
        </w:rPr>
        <w:t>.</w:t>
      </w:r>
    </w:p>
    <w:p w14:paraId="5974B733" w14:textId="335B3198" w:rsidR="00751E3D" w:rsidRDefault="00751E3D" w:rsidP="00751E3D">
      <w:pPr>
        <w:jc w:val="both"/>
        <w:rPr>
          <w:rFonts w:ascii="Abadi" w:hAnsi="Abadi"/>
          <w:sz w:val="21"/>
          <w:szCs w:val="21"/>
        </w:rPr>
      </w:pPr>
      <w:r>
        <w:rPr>
          <w:rFonts w:ascii="Abadi" w:hAnsi="Abadi"/>
          <w:sz w:val="21"/>
          <w:szCs w:val="21"/>
        </w:rPr>
        <w:t xml:space="preserve"> </w:t>
      </w:r>
    </w:p>
    <w:p w14:paraId="6DA501C2" w14:textId="77777777" w:rsidR="00751E3D" w:rsidRDefault="00751E3D" w:rsidP="00751E3D">
      <w:pPr>
        <w:jc w:val="both"/>
        <w:rPr>
          <w:rFonts w:ascii="Abadi" w:hAnsi="Abadi"/>
          <w:sz w:val="21"/>
          <w:szCs w:val="21"/>
        </w:rPr>
      </w:pPr>
      <w:r>
        <w:rPr>
          <w:rFonts w:ascii="Abadi" w:hAnsi="Abadi"/>
          <w:sz w:val="21"/>
          <w:szCs w:val="21"/>
        </w:rPr>
        <w:t>- N</w:t>
      </w:r>
      <w:r w:rsidRPr="0030088F">
        <w:rPr>
          <w:rFonts w:ascii="Abadi" w:hAnsi="Abadi"/>
          <w:sz w:val="21"/>
          <w:szCs w:val="21"/>
        </w:rPr>
        <w:t>i modo</w:t>
      </w:r>
      <w:r>
        <w:rPr>
          <w:rFonts w:ascii="Abadi" w:hAnsi="Abadi"/>
          <w:sz w:val="21"/>
          <w:szCs w:val="21"/>
        </w:rPr>
        <w:t>,</w:t>
      </w:r>
      <w:r w:rsidRPr="0030088F">
        <w:rPr>
          <w:rFonts w:ascii="Abadi" w:hAnsi="Abadi"/>
          <w:sz w:val="21"/>
          <w:szCs w:val="21"/>
        </w:rPr>
        <w:t xml:space="preserve"> yo no quería pasar ya</w:t>
      </w:r>
      <w:r>
        <w:rPr>
          <w:rFonts w:ascii="Abadi" w:hAnsi="Abadi"/>
          <w:sz w:val="21"/>
          <w:szCs w:val="21"/>
        </w:rPr>
        <w:t>,</w:t>
      </w:r>
      <w:r w:rsidRPr="0030088F">
        <w:rPr>
          <w:rFonts w:ascii="Abadi" w:hAnsi="Abadi"/>
          <w:sz w:val="21"/>
          <w:szCs w:val="21"/>
        </w:rPr>
        <w:t xml:space="preserve"> pero</w:t>
      </w:r>
      <w:r>
        <w:rPr>
          <w:rFonts w:ascii="Abadi" w:hAnsi="Abadi"/>
          <w:sz w:val="21"/>
          <w:szCs w:val="21"/>
        </w:rPr>
        <w:t>,</w:t>
      </w:r>
      <w:r w:rsidRPr="0030088F">
        <w:rPr>
          <w:rFonts w:ascii="Abadi" w:hAnsi="Abadi"/>
          <w:sz w:val="21"/>
          <w:szCs w:val="21"/>
        </w:rPr>
        <w:t xml:space="preserve"> hay que</w:t>
      </w:r>
      <w:r>
        <w:rPr>
          <w:rFonts w:ascii="Abadi" w:hAnsi="Abadi"/>
          <w:sz w:val="21"/>
          <w:szCs w:val="21"/>
        </w:rPr>
        <w:t>,</w:t>
      </w:r>
      <w:r w:rsidRPr="0030088F">
        <w:rPr>
          <w:rFonts w:ascii="Abadi" w:hAnsi="Abadi"/>
          <w:sz w:val="21"/>
          <w:szCs w:val="21"/>
        </w:rPr>
        <w:t xml:space="preserve"> hay que mantenernos tranquilos</w:t>
      </w:r>
      <w:r>
        <w:rPr>
          <w:rFonts w:ascii="Abadi" w:hAnsi="Abadi"/>
          <w:sz w:val="21"/>
          <w:szCs w:val="21"/>
        </w:rPr>
        <w:t>,</w:t>
      </w:r>
      <w:r w:rsidRPr="0030088F">
        <w:rPr>
          <w:rFonts w:ascii="Abadi" w:hAnsi="Abadi"/>
          <w:sz w:val="21"/>
          <w:szCs w:val="21"/>
        </w:rPr>
        <w:t xml:space="preserve"> no hay que enseñar la vise</w:t>
      </w:r>
      <w:r>
        <w:rPr>
          <w:rFonts w:ascii="Abadi" w:hAnsi="Abadi"/>
          <w:sz w:val="21"/>
          <w:szCs w:val="21"/>
        </w:rPr>
        <w:t>ra</w:t>
      </w:r>
      <w:r w:rsidRPr="0030088F">
        <w:rPr>
          <w:rFonts w:ascii="Abadi" w:hAnsi="Abadi"/>
          <w:sz w:val="21"/>
          <w:szCs w:val="21"/>
        </w:rPr>
        <w:t xml:space="preserve"> tan pronto y cen</w:t>
      </w:r>
      <w:r>
        <w:rPr>
          <w:rFonts w:ascii="Abadi" w:hAnsi="Abadi"/>
          <w:sz w:val="21"/>
          <w:szCs w:val="21"/>
        </w:rPr>
        <w:t xml:space="preserve">trémonos sobre el tema que estamos </w:t>
      </w:r>
      <w:r>
        <w:rPr>
          <w:rFonts w:ascii="Abadi" w:hAnsi="Abadi"/>
          <w:sz w:val="21"/>
          <w:szCs w:val="21"/>
        </w:rPr>
        <w:lastRenderedPageBreak/>
        <w:t xml:space="preserve">tocando, </w:t>
      </w:r>
      <w:r w:rsidRPr="0030088F">
        <w:rPr>
          <w:rFonts w:ascii="Abadi" w:hAnsi="Abadi"/>
          <w:sz w:val="21"/>
          <w:szCs w:val="21"/>
        </w:rPr>
        <w:t>los errores del pasado</w:t>
      </w:r>
      <w:r>
        <w:rPr>
          <w:rFonts w:ascii="Abadi" w:hAnsi="Abadi"/>
          <w:sz w:val="21"/>
          <w:szCs w:val="21"/>
        </w:rPr>
        <w:t>,</w:t>
      </w:r>
      <w:r w:rsidRPr="0030088F">
        <w:rPr>
          <w:rFonts w:ascii="Abadi" w:hAnsi="Abadi"/>
          <w:sz w:val="21"/>
          <w:szCs w:val="21"/>
        </w:rPr>
        <w:t xml:space="preserve"> no te condenan a impedirte hablar</w:t>
      </w:r>
      <w:r>
        <w:rPr>
          <w:rFonts w:ascii="Abadi" w:hAnsi="Abadi"/>
          <w:sz w:val="21"/>
          <w:szCs w:val="21"/>
        </w:rPr>
        <w:t>,</w:t>
      </w:r>
      <w:r w:rsidRPr="0030088F">
        <w:rPr>
          <w:rFonts w:ascii="Abadi" w:hAnsi="Abadi"/>
          <w:sz w:val="21"/>
          <w:szCs w:val="21"/>
        </w:rPr>
        <w:t xml:space="preserve"> a no poder criticar</w:t>
      </w:r>
      <w:r>
        <w:rPr>
          <w:rFonts w:ascii="Abadi" w:hAnsi="Abadi"/>
          <w:sz w:val="21"/>
          <w:szCs w:val="21"/>
        </w:rPr>
        <w:t>,</w:t>
      </w:r>
      <w:r w:rsidRPr="0030088F">
        <w:rPr>
          <w:rFonts w:ascii="Abadi" w:hAnsi="Abadi"/>
          <w:sz w:val="21"/>
          <w:szCs w:val="21"/>
        </w:rPr>
        <w:t xml:space="preserve"> a no poder cuestionar</w:t>
      </w:r>
      <w:r>
        <w:rPr>
          <w:rFonts w:ascii="Abadi" w:hAnsi="Abadi"/>
          <w:sz w:val="21"/>
          <w:szCs w:val="21"/>
        </w:rPr>
        <w:t>,</w:t>
      </w:r>
      <w:r w:rsidRPr="0030088F">
        <w:rPr>
          <w:rFonts w:ascii="Abadi" w:hAnsi="Abadi"/>
          <w:sz w:val="21"/>
          <w:szCs w:val="21"/>
        </w:rPr>
        <w:t xml:space="preserve"> entonces me parece que lo que aquí está muy </w:t>
      </w:r>
      <w:r>
        <w:rPr>
          <w:rFonts w:ascii="Abadi" w:hAnsi="Abadi"/>
          <w:sz w:val="21"/>
          <w:szCs w:val="21"/>
        </w:rPr>
        <w:t>c</w:t>
      </w:r>
      <w:r w:rsidRPr="0030088F">
        <w:rPr>
          <w:rFonts w:ascii="Abadi" w:hAnsi="Abadi"/>
          <w:sz w:val="21"/>
          <w:szCs w:val="21"/>
        </w:rPr>
        <w:t>laro</w:t>
      </w:r>
      <w:r>
        <w:rPr>
          <w:rFonts w:ascii="Abadi" w:hAnsi="Abadi"/>
          <w:sz w:val="21"/>
          <w:szCs w:val="21"/>
        </w:rPr>
        <w:t>,</w:t>
      </w:r>
      <w:r w:rsidRPr="0030088F">
        <w:rPr>
          <w:rFonts w:ascii="Abadi" w:hAnsi="Abadi"/>
          <w:sz w:val="21"/>
          <w:szCs w:val="21"/>
        </w:rPr>
        <w:t xml:space="preserve"> es que hoy</w:t>
      </w:r>
      <w:r>
        <w:rPr>
          <w:rFonts w:ascii="Abadi" w:hAnsi="Abadi"/>
          <w:sz w:val="21"/>
          <w:szCs w:val="21"/>
        </w:rPr>
        <w:t>,</w:t>
      </w:r>
      <w:r w:rsidRPr="0030088F">
        <w:rPr>
          <w:rFonts w:ascii="Abadi" w:hAnsi="Abadi"/>
          <w:sz w:val="21"/>
          <w:szCs w:val="21"/>
        </w:rPr>
        <w:t xml:space="preserv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de la </w:t>
      </w:r>
      <w:r>
        <w:rPr>
          <w:rFonts w:ascii="Abadi" w:hAnsi="Abadi"/>
          <w:sz w:val="21"/>
          <w:szCs w:val="21"/>
        </w:rPr>
        <w:t>N</w:t>
      </w:r>
      <w:r w:rsidRPr="0030088F">
        <w:rPr>
          <w:rFonts w:ascii="Abadi" w:hAnsi="Abadi"/>
          <w:sz w:val="21"/>
          <w:szCs w:val="21"/>
        </w:rPr>
        <w:t>ación</w:t>
      </w:r>
      <w:r>
        <w:rPr>
          <w:rFonts w:ascii="Abadi" w:hAnsi="Abadi"/>
          <w:sz w:val="21"/>
          <w:szCs w:val="21"/>
        </w:rPr>
        <w:t xml:space="preserve">, </w:t>
      </w:r>
      <w:r w:rsidRPr="0030088F">
        <w:rPr>
          <w:rFonts w:ascii="Abadi" w:hAnsi="Abadi"/>
          <w:sz w:val="21"/>
          <w:szCs w:val="21"/>
        </w:rPr>
        <w:t>votó en contra un famoso plan b</w:t>
      </w:r>
      <w:r>
        <w:rPr>
          <w:rFonts w:ascii="Abadi" w:hAnsi="Abadi"/>
          <w:sz w:val="21"/>
          <w:szCs w:val="21"/>
        </w:rPr>
        <w:t>,</w:t>
      </w:r>
      <w:r w:rsidRPr="0030088F">
        <w:rPr>
          <w:rFonts w:ascii="Abadi" w:hAnsi="Abadi"/>
          <w:sz w:val="21"/>
          <w:szCs w:val="21"/>
        </w:rPr>
        <w:t xml:space="preserve"> que ya vinieron a hablar como lo han venido a hacer en cada una de las veces</w:t>
      </w:r>
      <w:r>
        <w:rPr>
          <w:rFonts w:ascii="Abadi" w:hAnsi="Abadi"/>
          <w:sz w:val="21"/>
          <w:szCs w:val="21"/>
        </w:rPr>
        <w:t>,</w:t>
      </w:r>
      <w:r w:rsidRPr="0030088F">
        <w:rPr>
          <w:rFonts w:ascii="Abadi" w:hAnsi="Abadi"/>
          <w:sz w:val="21"/>
          <w:szCs w:val="21"/>
        </w:rPr>
        <w:t xml:space="preserve"> que quieren defender lo indefendible y que hoy la realidad se les estrella en la cara</w:t>
      </w:r>
      <w:r>
        <w:rPr>
          <w:rFonts w:ascii="Abadi" w:hAnsi="Abadi"/>
          <w:sz w:val="21"/>
          <w:szCs w:val="21"/>
        </w:rPr>
        <w:t>,</w:t>
      </w:r>
      <w:r w:rsidRPr="0030088F">
        <w:rPr>
          <w:rFonts w:ascii="Abadi" w:hAnsi="Abadi"/>
          <w:sz w:val="21"/>
          <w:szCs w:val="21"/>
        </w:rPr>
        <w:t xml:space="preserv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usticia por mayoría de votos 9 a 2 declaró inconstitucional las tropelías que estaban propon</w:t>
      </w:r>
      <w:r>
        <w:rPr>
          <w:rFonts w:ascii="Abadi" w:hAnsi="Abadi"/>
          <w:sz w:val="21"/>
          <w:szCs w:val="21"/>
        </w:rPr>
        <w:t>iendo,</w:t>
      </w:r>
      <w:r w:rsidRPr="0030088F">
        <w:rPr>
          <w:rFonts w:ascii="Abadi" w:hAnsi="Abadi"/>
          <w:sz w:val="21"/>
          <w:szCs w:val="21"/>
        </w:rPr>
        <w:t xml:space="preserve"> sacar como vino hacerlo aquí quien me antecedió en la palabra otras cuestiones</w:t>
      </w:r>
      <w:r>
        <w:rPr>
          <w:rFonts w:ascii="Abadi" w:hAnsi="Abadi"/>
          <w:sz w:val="21"/>
          <w:szCs w:val="21"/>
        </w:rPr>
        <w:t>,</w:t>
      </w:r>
      <w:r w:rsidRPr="0030088F">
        <w:rPr>
          <w:rFonts w:ascii="Abadi" w:hAnsi="Abadi"/>
          <w:sz w:val="21"/>
          <w:szCs w:val="21"/>
        </w:rPr>
        <w:t xml:space="preserve"> ni nos enoja</w:t>
      </w:r>
      <w:r>
        <w:rPr>
          <w:rFonts w:ascii="Abadi" w:hAnsi="Abadi"/>
          <w:sz w:val="21"/>
          <w:szCs w:val="21"/>
        </w:rPr>
        <w:t>,</w:t>
      </w:r>
      <w:r w:rsidRPr="0030088F">
        <w:rPr>
          <w:rFonts w:ascii="Abadi" w:hAnsi="Abadi"/>
          <w:sz w:val="21"/>
          <w:szCs w:val="21"/>
        </w:rPr>
        <w:t xml:space="preserve"> ni nos molesta</w:t>
      </w:r>
      <w:r>
        <w:rPr>
          <w:rFonts w:ascii="Abadi" w:hAnsi="Abadi"/>
          <w:sz w:val="21"/>
          <w:szCs w:val="21"/>
        </w:rPr>
        <w:t>,</w:t>
      </w:r>
      <w:r w:rsidRPr="0030088F">
        <w:rPr>
          <w:rFonts w:ascii="Abadi" w:hAnsi="Abadi"/>
          <w:sz w:val="21"/>
          <w:szCs w:val="21"/>
        </w:rPr>
        <w:t xml:space="preserve"> simplemente nos da la razón de lo que hoy venimos a plantear</w:t>
      </w:r>
      <w:r>
        <w:rPr>
          <w:rFonts w:ascii="Abadi" w:hAnsi="Abadi"/>
          <w:sz w:val="21"/>
          <w:szCs w:val="21"/>
        </w:rPr>
        <w:t>,</w:t>
      </w:r>
      <w:r w:rsidRPr="0030088F">
        <w:rPr>
          <w:rFonts w:ascii="Abadi" w:hAnsi="Abadi"/>
          <w:sz w:val="21"/>
          <w:szCs w:val="21"/>
        </w:rPr>
        <w:t xml:space="preserve"> muchas gracias</w:t>
      </w:r>
      <w:r>
        <w:rPr>
          <w:rFonts w:ascii="Abadi" w:hAnsi="Abadi"/>
          <w:sz w:val="21"/>
          <w:szCs w:val="21"/>
        </w:rPr>
        <w:t>.</w:t>
      </w:r>
    </w:p>
    <w:p w14:paraId="295E3388" w14:textId="77777777" w:rsidR="001832F1" w:rsidRDefault="001832F1" w:rsidP="00751E3D">
      <w:pPr>
        <w:jc w:val="both"/>
        <w:rPr>
          <w:rFonts w:ascii="Abadi" w:hAnsi="Abadi"/>
          <w:sz w:val="21"/>
          <w:szCs w:val="21"/>
        </w:rPr>
      </w:pPr>
    </w:p>
    <w:p w14:paraId="6E414E55" w14:textId="77777777" w:rsidR="00751E3D" w:rsidRDefault="00751E3D" w:rsidP="00751E3D">
      <w:pPr>
        <w:jc w:val="both"/>
        <w:rPr>
          <w:rFonts w:ascii="Abadi" w:hAnsi="Abadi"/>
          <w:sz w:val="21"/>
          <w:szCs w:val="21"/>
        </w:rPr>
      </w:pPr>
      <w:r>
        <w:rPr>
          <w:rFonts w:ascii="Abadi" w:hAnsi="Abadi"/>
          <w:sz w:val="21"/>
          <w:szCs w:val="21"/>
        </w:rPr>
        <w:tab/>
      </w:r>
      <w:r w:rsidRPr="006A1D41">
        <w:rPr>
          <w:rFonts w:ascii="Abadi" w:hAnsi="Abadi"/>
          <w:b/>
          <w:bCs/>
          <w:sz w:val="21"/>
          <w:szCs w:val="21"/>
        </w:rPr>
        <w:t xml:space="preserve">- La </w:t>
      </w:r>
      <w:proofErr w:type="gramStart"/>
      <w:r w:rsidRPr="006A1D41">
        <w:rPr>
          <w:rFonts w:ascii="Abadi" w:hAnsi="Abadi"/>
          <w:b/>
          <w:bCs/>
          <w:sz w:val="21"/>
          <w:szCs w:val="21"/>
        </w:rPr>
        <w:t>Presidencia.-</w:t>
      </w:r>
      <w:proofErr w:type="gramEnd"/>
      <w:r w:rsidRPr="006A1D41">
        <w:rPr>
          <w:rFonts w:ascii="Abadi" w:hAnsi="Abadi"/>
          <w:b/>
          <w:bCs/>
          <w:sz w:val="21"/>
          <w:szCs w:val="21"/>
        </w:rPr>
        <w:t xml:space="preserve"> </w:t>
      </w:r>
      <w:r>
        <w:rPr>
          <w:rFonts w:ascii="Abadi" w:hAnsi="Abadi"/>
          <w:sz w:val="21"/>
          <w:szCs w:val="21"/>
        </w:rPr>
        <w:t>G</w:t>
      </w:r>
      <w:r w:rsidRPr="0030088F">
        <w:rPr>
          <w:rFonts w:ascii="Abadi" w:hAnsi="Abadi"/>
          <w:sz w:val="21"/>
          <w:szCs w:val="21"/>
        </w:rPr>
        <w:t>racias diputado</w:t>
      </w:r>
      <w:r>
        <w:rPr>
          <w:rFonts w:ascii="Abadi" w:hAnsi="Abadi"/>
          <w:sz w:val="21"/>
          <w:szCs w:val="21"/>
        </w:rPr>
        <w:t>.</w:t>
      </w:r>
    </w:p>
    <w:p w14:paraId="306550A4" w14:textId="77777777" w:rsidR="001832F1" w:rsidRDefault="001832F1" w:rsidP="00751E3D">
      <w:pPr>
        <w:jc w:val="both"/>
        <w:rPr>
          <w:rFonts w:ascii="Abadi" w:hAnsi="Abadi"/>
          <w:sz w:val="21"/>
          <w:szCs w:val="21"/>
        </w:rPr>
      </w:pPr>
    </w:p>
    <w:p w14:paraId="5A671195" w14:textId="77777777" w:rsidR="00751E3D" w:rsidRDefault="00751E3D" w:rsidP="00751E3D">
      <w:pPr>
        <w:jc w:val="both"/>
        <w:rPr>
          <w:rFonts w:ascii="Abadi" w:hAnsi="Abadi"/>
          <w:sz w:val="21"/>
          <w:szCs w:val="21"/>
        </w:rPr>
      </w:pPr>
      <w:r>
        <w:rPr>
          <w:rFonts w:ascii="Abadi" w:hAnsi="Abadi"/>
          <w:sz w:val="21"/>
          <w:szCs w:val="21"/>
        </w:rPr>
        <w:t>- D</w:t>
      </w:r>
      <w:r w:rsidRPr="0030088F">
        <w:rPr>
          <w:rFonts w:ascii="Abadi" w:hAnsi="Abadi"/>
          <w:sz w:val="21"/>
          <w:szCs w:val="21"/>
        </w:rPr>
        <w:t xml:space="preserve">iputado David Martínez </w:t>
      </w:r>
      <w:r>
        <w:rPr>
          <w:rFonts w:ascii="Abadi" w:hAnsi="Abadi"/>
          <w:sz w:val="21"/>
          <w:szCs w:val="21"/>
        </w:rPr>
        <w:t>M</w:t>
      </w:r>
      <w:r w:rsidRPr="0030088F">
        <w:rPr>
          <w:rFonts w:ascii="Abadi" w:hAnsi="Abadi"/>
          <w:sz w:val="21"/>
          <w:szCs w:val="21"/>
        </w:rPr>
        <w:t xml:space="preserve">endizábal </w:t>
      </w:r>
      <w:r>
        <w:rPr>
          <w:rFonts w:ascii="Abadi" w:hAnsi="Abadi"/>
          <w:sz w:val="21"/>
          <w:szCs w:val="21"/>
        </w:rPr>
        <w:t>¿</w:t>
      </w:r>
      <w:r w:rsidRPr="0030088F">
        <w:rPr>
          <w:rFonts w:ascii="Abadi" w:hAnsi="Abadi"/>
          <w:sz w:val="21"/>
          <w:szCs w:val="21"/>
        </w:rPr>
        <w:t xml:space="preserve">para </w:t>
      </w:r>
      <w:proofErr w:type="spellStart"/>
      <w:r w:rsidRPr="0030088F">
        <w:rPr>
          <w:rFonts w:ascii="Abadi" w:hAnsi="Abadi"/>
          <w:sz w:val="21"/>
          <w:szCs w:val="21"/>
        </w:rPr>
        <w:t>que</w:t>
      </w:r>
      <w:proofErr w:type="spellEnd"/>
      <w:r w:rsidRPr="0030088F">
        <w:rPr>
          <w:rFonts w:ascii="Abadi" w:hAnsi="Abadi"/>
          <w:sz w:val="21"/>
          <w:szCs w:val="21"/>
        </w:rPr>
        <w:t xml:space="preserve"> efecto</w:t>
      </w:r>
      <w:r>
        <w:rPr>
          <w:rFonts w:ascii="Abadi" w:hAnsi="Abadi"/>
          <w:sz w:val="21"/>
          <w:szCs w:val="21"/>
        </w:rPr>
        <w:t>?</w:t>
      </w:r>
      <w:r w:rsidRPr="0030088F">
        <w:rPr>
          <w:rFonts w:ascii="Abadi" w:hAnsi="Abadi"/>
          <w:sz w:val="21"/>
          <w:szCs w:val="21"/>
        </w:rPr>
        <w:t xml:space="preserve">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 xml:space="preserve">usticia y </w:t>
      </w:r>
      <w:r>
        <w:rPr>
          <w:rFonts w:ascii="Abadi" w:hAnsi="Abadi"/>
          <w:sz w:val="21"/>
          <w:szCs w:val="21"/>
        </w:rPr>
        <w:t>E</w:t>
      </w:r>
      <w:r w:rsidRPr="0030088F">
        <w:rPr>
          <w:rFonts w:ascii="Abadi" w:hAnsi="Abadi"/>
          <w:sz w:val="21"/>
          <w:szCs w:val="21"/>
        </w:rPr>
        <w:t>nojo</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rectificación de hechos verdad</w:t>
      </w:r>
      <w:r>
        <w:rPr>
          <w:rFonts w:ascii="Abadi" w:hAnsi="Abadi"/>
          <w:sz w:val="21"/>
          <w:szCs w:val="21"/>
        </w:rPr>
        <w:t xml:space="preserve">? </w:t>
      </w:r>
      <w:r w:rsidRPr="0037432D">
        <w:rPr>
          <w:rFonts w:ascii="Abadi" w:hAnsi="Abadi"/>
          <w:b/>
          <w:bCs/>
          <w:sz w:val="21"/>
          <w:szCs w:val="21"/>
        </w:rPr>
        <w:t>(Voz) diputado David,</w:t>
      </w:r>
      <w:r>
        <w:rPr>
          <w:rFonts w:ascii="Abadi" w:hAnsi="Abadi"/>
          <w:sz w:val="21"/>
          <w:szCs w:val="21"/>
        </w:rPr>
        <w:t xml:space="preserve"> de </w:t>
      </w:r>
      <w:r w:rsidRPr="0030088F">
        <w:rPr>
          <w:rFonts w:ascii="Abadi" w:hAnsi="Abadi"/>
          <w:sz w:val="21"/>
          <w:szCs w:val="21"/>
        </w:rPr>
        <w:t>hecho</w:t>
      </w:r>
      <w:r>
        <w:rPr>
          <w:rFonts w:ascii="Abadi" w:hAnsi="Abadi"/>
          <w:sz w:val="21"/>
          <w:szCs w:val="21"/>
        </w:rPr>
        <w:t>s,</w:t>
      </w:r>
      <w:r w:rsidRPr="0030088F">
        <w:rPr>
          <w:rFonts w:ascii="Abadi" w:hAnsi="Abadi"/>
          <w:sz w:val="21"/>
          <w:szCs w:val="21"/>
        </w:rPr>
        <w:t xml:space="preserve"> sí </w:t>
      </w:r>
      <w:r>
        <w:rPr>
          <w:rFonts w:ascii="Abadi" w:hAnsi="Abadi"/>
          <w:sz w:val="21"/>
          <w:szCs w:val="21"/>
        </w:rPr>
        <w:t>¡</w:t>
      </w:r>
      <w:r w:rsidRPr="0030088F">
        <w:rPr>
          <w:rFonts w:ascii="Abadi" w:hAnsi="Abadi"/>
          <w:sz w:val="21"/>
          <w:szCs w:val="21"/>
        </w:rPr>
        <w:t>perdón</w:t>
      </w:r>
      <w:r>
        <w:rPr>
          <w:rFonts w:ascii="Abadi" w:hAnsi="Abadi"/>
          <w:sz w:val="21"/>
          <w:szCs w:val="21"/>
        </w:rPr>
        <w:t xml:space="preserve">! </w:t>
      </w:r>
      <w:r w:rsidRPr="0037432D">
        <w:rPr>
          <w:rFonts w:ascii="Abadi" w:hAnsi="Abadi"/>
          <w:b/>
          <w:bCs/>
          <w:sz w:val="21"/>
          <w:szCs w:val="21"/>
        </w:rPr>
        <w:t>(Voz) diputad</w:t>
      </w:r>
      <w:r>
        <w:rPr>
          <w:rFonts w:ascii="Abadi" w:hAnsi="Abadi"/>
          <w:b/>
          <w:bCs/>
          <w:sz w:val="21"/>
          <w:szCs w:val="21"/>
        </w:rPr>
        <w:t>a</w:t>
      </w:r>
      <w:r w:rsidRPr="0037432D">
        <w:rPr>
          <w:rFonts w:ascii="Abadi" w:hAnsi="Abadi"/>
          <w:b/>
          <w:bCs/>
          <w:sz w:val="21"/>
          <w:szCs w:val="21"/>
        </w:rPr>
        <w:t xml:space="preserve"> Presidenta,</w:t>
      </w:r>
      <w:r>
        <w:rPr>
          <w:rFonts w:ascii="Abadi" w:hAnsi="Abadi"/>
          <w:sz w:val="21"/>
          <w:szCs w:val="21"/>
        </w:rPr>
        <w:t xml:space="preserve"> </w:t>
      </w:r>
      <w:r w:rsidRPr="0030088F">
        <w:rPr>
          <w:rFonts w:ascii="Abadi" w:hAnsi="Abadi"/>
          <w:sz w:val="21"/>
          <w:szCs w:val="21"/>
        </w:rPr>
        <w:t>gracias tiene el uso de la voz hasta por 5 minutos</w:t>
      </w:r>
      <w:r>
        <w:rPr>
          <w:rFonts w:ascii="Abadi" w:hAnsi="Abadi"/>
          <w:sz w:val="21"/>
          <w:szCs w:val="21"/>
        </w:rPr>
        <w:t>.</w:t>
      </w:r>
    </w:p>
    <w:p w14:paraId="74322E7A" w14:textId="77777777" w:rsidR="001832F1" w:rsidRDefault="001832F1" w:rsidP="00751E3D">
      <w:pPr>
        <w:jc w:val="both"/>
        <w:rPr>
          <w:rFonts w:ascii="Abadi" w:hAnsi="Abadi"/>
          <w:sz w:val="21"/>
          <w:szCs w:val="21"/>
        </w:rPr>
      </w:pPr>
    </w:p>
    <w:p w14:paraId="3F1A60F6" w14:textId="77777777" w:rsidR="00751E3D" w:rsidRDefault="00751E3D" w:rsidP="00751E3D">
      <w:pPr>
        <w:jc w:val="both"/>
        <w:rPr>
          <w:rFonts w:ascii="Abadi" w:hAnsi="Abadi"/>
          <w:b/>
          <w:bCs/>
          <w:sz w:val="21"/>
          <w:szCs w:val="21"/>
        </w:rPr>
      </w:pPr>
      <w:r w:rsidRPr="0037432D">
        <w:rPr>
          <w:rFonts w:ascii="Abadi" w:hAnsi="Abadi"/>
          <w:b/>
          <w:bCs/>
          <w:sz w:val="21"/>
          <w:szCs w:val="21"/>
        </w:rPr>
        <w:t xml:space="preserve">(Sube a tribuna el diputado David Martínez Mendizabal, para recertificación de hechos del diputado que le antecedió en el uso de la voz) </w:t>
      </w:r>
    </w:p>
    <w:p w14:paraId="51EA6CCA" w14:textId="77777777" w:rsidR="001832F1" w:rsidRDefault="001832F1" w:rsidP="00751E3D">
      <w:pPr>
        <w:jc w:val="both"/>
        <w:rPr>
          <w:rFonts w:ascii="Abadi" w:hAnsi="Abadi"/>
          <w:b/>
          <w:bCs/>
          <w:sz w:val="21"/>
          <w:szCs w:val="21"/>
        </w:rPr>
      </w:pPr>
    </w:p>
    <w:p w14:paraId="7206A36B" w14:textId="7CD80B18" w:rsidR="00751E3D" w:rsidRDefault="00751E3D" w:rsidP="00751E3D">
      <w:pPr>
        <w:jc w:val="both"/>
        <w:rPr>
          <w:rFonts w:ascii="Abadi" w:hAnsi="Abadi"/>
          <w:b/>
          <w:bCs/>
          <w:sz w:val="21"/>
          <w:szCs w:val="21"/>
        </w:rPr>
      </w:pPr>
    </w:p>
    <w:p w14:paraId="55486272" w14:textId="44697EE9" w:rsidR="001832F1" w:rsidRDefault="001832F1" w:rsidP="00751E3D">
      <w:pPr>
        <w:jc w:val="both"/>
        <w:rPr>
          <w:rFonts w:ascii="Abadi" w:hAnsi="Abadi"/>
          <w:b/>
          <w:bCs/>
          <w:sz w:val="21"/>
          <w:szCs w:val="21"/>
        </w:rPr>
      </w:pPr>
    </w:p>
    <w:p w14:paraId="6C657FD9" w14:textId="375FDE02" w:rsidR="001832F1" w:rsidRDefault="001832F1" w:rsidP="00751E3D">
      <w:pPr>
        <w:jc w:val="both"/>
        <w:rPr>
          <w:rFonts w:ascii="Abadi" w:hAnsi="Abadi"/>
          <w:b/>
          <w:bCs/>
          <w:sz w:val="21"/>
          <w:szCs w:val="21"/>
        </w:rPr>
      </w:pPr>
      <w:r>
        <w:rPr>
          <w:noProof/>
        </w:rPr>
        <w:drawing>
          <wp:anchor distT="0" distB="0" distL="114300" distR="114300" simplePos="0" relativeHeight="251683862" behindDoc="1" locked="0" layoutInCell="1" allowOverlap="1" wp14:anchorId="6183A5FD" wp14:editId="2D7ABFD9">
            <wp:simplePos x="0" y="0"/>
            <wp:positionH relativeFrom="column">
              <wp:posOffset>691424</wp:posOffset>
            </wp:positionH>
            <wp:positionV relativeFrom="paragraph">
              <wp:posOffset>20229</wp:posOffset>
            </wp:positionV>
            <wp:extent cx="1090612" cy="569183"/>
            <wp:effectExtent l="247650" t="228600" r="243205" b="688340"/>
            <wp:wrapTight wrapText="bothSides">
              <wp:wrapPolygon edited="0">
                <wp:start x="-4906" y="-8679"/>
                <wp:lineTo x="-4906" y="47009"/>
                <wp:lineTo x="26041" y="47009"/>
                <wp:lineTo x="26041" y="-8679"/>
                <wp:lineTo x="-4906" y="-8679"/>
              </wp:wrapPolygon>
            </wp:wrapTight>
            <wp:docPr id="539006830" name="Imagen 53900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006830" name=""/>
                    <pic:cNvPicPr/>
                  </pic:nvPicPr>
                  <pic:blipFill rotWithShape="1">
                    <a:blip r:embed="rId79" cstate="print">
                      <a:extLst>
                        <a:ext uri="{28A0092B-C50C-407E-A947-70E740481C1C}">
                          <a14:useLocalDpi xmlns:a14="http://schemas.microsoft.com/office/drawing/2010/main" val="0"/>
                        </a:ext>
                      </a:extLst>
                    </a:blip>
                    <a:srcRect b="7212"/>
                    <a:stretch/>
                  </pic:blipFill>
                  <pic:spPr bwMode="auto">
                    <a:xfrm>
                      <a:off x="0" y="0"/>
                      <a:ext cx="1090612" cy="56918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7E031FC" w14:textId="21BE0697" w:rsidR="001832F1" w:rsidRDefault="001832F1" w:rsidP="00751E3D">
      <w:pPr>
        <w:jc w:val="both"/>
        <w:rPr>
          <w:rFonts w:ascii="Abadi" w:hAnsi="Abadi"/>
          <w:b/>
          <w:bCs/>
          <w:sz w:val="21"/>
          <w:szCs w:val="21"/>
        </w:rPr>
      </w:pPr>
    </w:p>
    <w:p w14:paraId="3E09774A" w14:textId="70DBCE97" w:rsidR="001832F1" w:rsidRDefault="001832F1" w:rsidP="00751E3D">
      <w:pPr>
        <w:jc w:val="both"/>
        <w:rPr>
          <w:rFonts w:ascii="Abadi" w:hAnsi="Abadi"/>
          <w:b/>
          <w:bCs/>
          <w:sz w:val="21"/>
          <w:szCs w:val="21"/>
        </w:rPr>
      </w:pPr>
    </w:p>
    <w:p w14:paraId="421DF1DD" w14:textId="77777777" w:rsidR="001832F1" w:rsidRDefault="001832F1" w:rsidP="00751E3D">
      <w:pPr>
        <w:jc w:val="both"/>
        <w:rPr>
          <w:rFonts w:ascii="Abadi" w:hAnsi="Abadi"/>
          <w:b/>
          <w:bCs/>
          <w:sz w:val="21"/>
          <w:szCs w:val="21"/>
        </w:rPr>
      </w:pPr>
    </w:p>
    <w:p w14:paraId="66C1B831" w14:textId="77777777" w:rsidR="001832F1" w:rsidRDefault="001832F1" w:rsidP="00751E3D">
      <w:pPr>
        <w:jc w:val="both"/>
        <w:rPr>
          <w:rFonts w:ascii="Abadi" w:hAnsi="Abadi"/>
          <w:b/>
          <w:bCs/>
          <w:sz w:val="21"/>
          <w:szCs w:val="21"/>
        </w:rPr>
      </w:pPr>
    </w:p>
    <w:p w14:paraId="6F7E3E89" w14:textId="77777777" w:rsidR="001832F1" w:rsidRDefault="001832F1" w:rsidP="00751E3D">
      <w:pPr>
        <w:jc w:val="both"/>
        <w:rPr>
          <w:rFonts w:ascii="Abadi" w:hAnsi="Abadi"/>
          <w:b/>
          <w:bCs/>
          <w:sz w:val="21"/>
          <w:szCs w:val="21"/>
        </w:rPr>
      </w:pPr>
    </w:p>
    <w:p w14:paraId="6E777069" w14:textId="77777777" w:rsidR="001832F1" w:rsidRDefault="001832F1" w:rsidP="00751E3D">
      <w:pPr>
        <w:jc w:val="both"/>
        <w:rPr>
          <w:rFonts w:ascii="Abadi" w:hAnsi="Abadi"/>
          <w:b/>
          <w:bCs/>
          <w:sz w:val="21"/>
          <w:szCs w:val="21"/>
        </w:rPr>
      </w:pPr>
    </w:p>
    <w:p w14:paraId="7B3D0FF4" w14:textId="77777777" w:rsidR="001832F1" w:rsidRDefault="001832F1" w:rsidP="00751E3D">
      <w:pPr>
        <w:jc w:val="both"/>
        <w:rPr>
          <w:rFonts w:ascii="Abadi" w:hAnsi="Abadi"/>
          <w:b/>
          <w:bCs/>
          <w:sz w:val="21"/>
          <w:szCs w:val="21"/>
        </w:rPr>
      </w:pPr>
    </w:p>
    <w:p w14:paraId="5FC8E4D5" w14:textId="77777777" w:rsidR="001832F1" w:rsidRDefault="001832F1" w:rsidP="00751E3D">
      <w:pPr>
        <w:jc w:val="both"/>
        <w:rPr>
          <w:rFonts w:ascii="Abadi" w:hAnsi="Abadi"/>
          <w:b/>
          <w:bCs/>
          <w:sz w:val="21"/>
          <w:szCs w:val="21"/>
        </w:rPr>
      </w:pPr>
    </w:p>
    <w:p w14:paraId="4271B653" w14:textId="2190D84C" w:rsidR="001832F1" w:rsidRPr="0037432D" w:rsidRDefault="001832F1" w:rsidP="00751E3D">
      <w:pPr>
        <w:jc w:val="both"/>
        <w:rPr>
          <w:rFonts w:ascii="Abadi" w:hAnsi="Abadi"/>
          <w:b/>
          <w:bCs/>
          <w:sz w:val="21"/>
          <w:szCs w:val="21"/>
        </w:rPr>
      </w:pPr>
    </w:p>
    <w:p w14:paraId="03B828DA" w14:textId="53B08EB7" w:rsidR="00751E3D" w:rsidRDefault="00751E3D" w:rsidP="00751E3D">
      <w:pPr>
        <w:jc w:val="both"/>
        <w:rPr>
          <w:rFonts w:ascii="Abadi" w:hAnsi="Abadi"/>
          <w:sz w:val="21"/>
          <w:szCs w:val="21"/>
        </w:rPr>
      </w:pPr>
      <w:r>
        <w:rPr>
          <w:rFonts w:ascii="Abadi" w:hAnsi="Abadi"/>
          <w:sz w:val="21"/>
          <w:szCs w:val="21"/>
        </w:rPr>
        <w:t>- N</w:t>
      </w:r>
      <w:r w:rsidRPr="0030088F">
        <w:rPr>
          <w:rFonts w:ascii="Abadi" w:hAnsi="Abadi"/>
          <w:sz w:val="21"/>
          <w:szCs w:val="21"/>
        </w:rPr>
        <w:t>o mire</w:t>
      </w:r>
      <w:r>
        <w:rPr>
          <w:rFonts w:ascii="Abadi" w:hAnsi="Abadi"/>
          <w:sz w:val="21"/>
          <w:szCs w:val="21"/>
        </w:rPr>
        <w:t>,</w:t>
      </w:r>
      <w:r w:rsidRPr="0030088F">
        <w:rPr>
          <w:rFonts w:ascii="Abadi" w:hAnsi="Abadi"/>
          <w:sz w:val="21"/>
          <w:szCs w:val="21"/>
        </w:rPr>
        <w:t xml:space="preserve"> no hay gente que confunde el enojo con la firmeza creo que les resulta muy complicado entender que uno hable de manera firme</w:t>
      </w:r>
      <w:r>
        <w:rPr>
          <w:rFonts w:ascii="Abadi" w:hAnsi="Abadi"/>
          <w:sz w:val="21"/>
          <w:szCs w:val="21"/>
        </w:rPr>
        <w:t>,</w:t>
      </w:r>
      <w:r w:rsidRPr="0030088F">
        <w:rPr>
          <w:rFonts w:ascii="Abadi" w:hAnsi="Abadi"/>
          <w:sz w:val="21"/>
          <w:szCs w:val="21"/>
        </w:rPr>
        <w:t xml:space="preserve"> clara y contundente</w:t>
      </w:r>
      <w:r>
        <w:rPr>
          <w:rFonts w:ascii="Abadi" w:hAnsi="Abadi"/>
          <w:sz w:val="21"/>
          <w:szCs w:val="21"/>
        </w:rPr>
        <w:t>,</w:t>
      </w:r>
      <w:r w:rsidRPr="0030088F">
        <w:rPr>
          <w:rFonts w:ascii="Abadi" w:hAnsi="Abadi"/>
          <w:sz w:val="21"/>
          <w:szCs w:val="21"/>
        </w:rPr>
        <w:t xml:space="preserve"> sobre los hechos históricos</w:t>
      </w:r>
      <w:r>
        <w:rPr>
          <w:rFonts w:ascii="Abadi" w:hAnsi="Abadi"/>
          <w:sz w:val="21"/>
          <w:szCs w:val="21"/>
        </w:rPr>
        <w:t>,</w:t>
      </w:r>
      <w:r w:rsidRPr="0030088F">
        <w:rPr>
          <w:rFonts w:ascii="Abadi" w:hAnsi="Abadi"/>
          <w:sz w:val="21"/>
          <w:szCs w:val="21"/>
        </w:rPr>
        <w:t xml:space="preserve"> obviamente </w:t>
      </w:r>
      <w:r>
        <w:rPr>
          <w:rFonts w:ascii="Abadi" w:hAnsi="Abadi"/>
          <w:sz w:val="21"/>
          <w:szCs w:val="21"/>
        </w:rPr>
        <w:t>M</w:t>
      </w:r>
      <w:r w:rsidRPr="0030088F">
        <w:rPr>
          <w:rFonts w:ascii="Abadi" w:hAnsi="Abadi"/>
          <w:sz w:val="21"/>
          <w:szCs w:val="21"/>
        </w:rPr>
        <w:t xml:space="preserve">orena va a acatar </w:t>
      </w:r>
      <w:r>
        <w:rPr>
          <w:rFonts w:ascii="Abadi" w:hAnsi="Abadi"/>
          <w:sz w:val="21"/>
          <w:szCs w:val="21"/>
        </w:rPr>
        <w:t>que la Suprema Corte de la J</w:t>
      </w:r>
      <w:r w:rsidRPr="0030088F">
        <w:rPr>
          <w:rFonts w:ascii="Abadi" w:hAnsi="Abadi"/>
          <w:sz w:val="21"/>
          <w:szCs w:val="21"/>
        </w:rPr>
        <w:t>usticia determine no somos un partido de la ilegalidad como otros</w:t>
      </w:r>
      <w:r>
        <w:rPr>
          <w:rFonts w:ascii="Abadi" w:hAnsi="Abadi"/>
          <w:sz w:val="21"/>
          <w:szCs w:val="21"/>
        </w:rPr>
        <w:t>, c</w:t>
      </w:r>
      <w:r w:rsidRPr="0030088F">
        <w:rPr>
          <w:rFonts w:ascii="Abadi" w:hAnsi="Abadi"/>
          <w:sz w:val="21"/>
          <w:szCs w:val="21"/>
        </w:rPr>
        <w:t>laro que vamos a aceptar lo que se designe a ese destino hoy</w:t>
      </w:r>
      <w:r>
        <w:rPr>
          <w:rFonts w:ascii="Abadi" w:hAnsi="Abadi"/>
          <w:sz w:val="21"/>
          <w:szCs w:val="21"/>
        </w:rPr>
        <w:t xml:space="preserve">, </w:t>
      </w:r>
      <w:r w:rsidRPr="0030088F">
        <w:rPr>
          <w:rFonts w:ascii="Abadi" w:hAnsi="Abadi"/>
          <w:sz w:val="21"/>
          <w:szCs w:val="21"/>
        </w:rPr>
        <w:t>eso no quiere decir que estemos de acuerdo a ver una cosa es acatar y otra es estar de acuerdo con el razonamiento</w:t>
      </w:r>
      <w:r>
        <w:rPr>
          <w:rFonts w:ascii="Abadi" w:hAnsi="Abadi"/>
          <w:sz w:val="21"/>
          <w:szCs w:val="21"/>
        </w:rPr>
        <w:t>,</w:t>
      </w:r>
      <w:r w:rsidRPr="0030088F">
        <w:rPr>
          <w:rFonts w:ascii="Abadi" w:hAnsi="Abadi"/>
          <w:sz w:val="21"/>
          <w:szCs w:val="21"/>
        </w:rPr>
        <w:t xml:space="preserve"> tenemos razonamientos distintos</w:t>
      </w:r>
      <w:r>
        <w:rPr>
          <w:rFonts w:ascii="Abadi" w:hAnsi="Abadi"/>
          <w:sz w:val="21"/>
          <w:szCs w:val="21"/>
        </w:rPr>
        <w:t>,</w:t>
      </w:r>
      <w:r w:rsidRPr="0030088F">
        <w:rPr>
          <w:rFonts w:ascii="Abadi" w:hAnsi="Abadi"/>
          <w:sz w:val="21"/>
          <w:szCs w:val="21"/>
        </w:rPr>
        <w:t xml:space="preserve"> se vale en la </w:t>
      </w:r>
      <w:r w:rsidRPr="0030088F">
        <w:rPr>
          <w:rFonts w:ascii="Abadi" w:hAnsi="Abadi"/>
          <w:sz w:val="21"/>
          <w:szCs w:val="21"/>
        </w:rPr>
        <w:t>democracia</w:t>
      </w:r>
      <w:r>
        <w:rPr>
          <w:rFonts w:ascii="Abadi" w:hAnsi="Abadi"/>
          <w:sz w:val="21"/>
          <w:szCs w:val="21"/>
        </w:rPr>
        <w:t>,</w:t>
      </w:r>
      <w:r w:rsidRPr="0030088F">
        <w:rPr>
          <w:rFonts w:ascii="Abadi" w:hAnsi="Abadi"/>
          <w:sz w:val="21"/>
          <w:szCs w:val="21"/>
        </w:rPr>
        <w:t xml:space="preserve"> no</w:t>
      </w:r>
      <w:r>
        <w:rPr>
          <w:rFonts w:ascii="Abadi" w:hAnsi="Abadi"/>
          <w:sz w:val="21"/>
          <w:szCs w:val="21"/>
        </w:rPr>
        <w:t>,</w:t>
      </w:r>
      <w:r w:rsidRPr="0030088F">
        <w:rPr>
          <w:rFonts w:ascii="Abadi" w:hAnsi="Abadi"/>
          <w:sz w:val="21"/>
          <w:szCs w:val="21"/>
        </w:rPr>
        <w:t xml:space="preserve"> es</w:t>
      </w:r>
      <w:r>
        <w:rPr>
          <w:rFonts w:ascii="Abadi" w:hAnsi="Abadi"/>
          <w:sz w:val="21"/>
          <w:szCs w:val="21"/>
        </w:rPr>
        <w:t xml:space="preserve"> decir porque la Suprema Corte de la J</w:t>
      </w:r>
      <w:r w:rsidRPr="0030088F">
        <w:rPr>
          <w:rFonts w:ascii="Abadi" w:hAnsi="Abadi"/>
          <w:sz w:val="21"/>
          <w:szCs w:val="21"/>
        </w:rPr>
        <w:t>usticia</w:t>
      </w:r>
      <w:r>
        <w:rPr>
          <w:rFonts w:ascii="Abadi" w:hAnsi="Abadi"/>
          <w:sz w:val="21"/>
          <w:szCs w:val="21"/>
        </w:rPr>
        <w:t>,</w:t>
      </w:r>
      <w:r w:rsidRPr="0030088F">
        <w:rPr>
          <w:rFonts w:ascii="Abadi" w:hAnsi="Abadi"/>
          <w:sz w:val="21"/>
          <w:szCs w:val="21"/>
        </w:rPr>
        <w:t xml:space="preserve"> diga que es</w:t>
      </w:r>
      <w:r>
        <w:rPr>
          <w:rFonts w:ascii="Abadi" w:hAnsi="Abadi"/>
          <w:sz w:val="21"/>
          <w:szCs w:val="21"/>
        </w:rPr>
        <w:t>,</w:t>
      </w:r>
      <w:r w:rsidRPr="0030088F">
        <w:rPr>
          <w:rFonts w:ascii="Abadi" w:hAnsi="Abadi"/>
          <w:sz w:val="21"/>
          <w:szCs w:val="21"/>
        </w:rPr>
        <w:t xml:space="preserve"> este</w:t>
      </w:r>
      <w:r>
        <w:rPr>
          <w:rFonts w:ascii="Abadi" w:hAnsi="Abadi"/>
          <w:sz w:val="21"/>
          <w:szCs w:val="21"/>
        </w:rPr>
        <w:t>,</w:t>
      </w:r>
      <w:r w:rsidRPr="0030088F">
        <w:rPr>
          <w:rFonts w:ascii="Abadi" w:hAnsi="Abadi"/>
          <w:sz w:val="21"/>
          <w:szCs w:val="21"/>
        </w:rPr>
        <w:t xml:space="preserve"> quedó en el plan b</w:t>
      </w:r>
      <w:r>
        <w:rPr>
          <w:rFonts w:ascii="Abadi" w:hAnsi="Abadi"/>
          <w:sz w:val="21"/>
          <w:szCs w:val="21"/>
        </w:rPr>
        <w:t>,</w:t>
      </w:r>
      <w:r w:rsidRPr="0030088F">
        <w:rPr>
          <w:rFonts w:ascii="Abadi" w:hAnsi="Abadi"/>
          <w:sz w:val="21"/>
          <w:szCs w:val="21"/>
        </w:rPr>
        <w:t xml:space="preserve"> que no vale</w:t>
      </w:r>
      <w:r>
        <w:rPr>
          <w:rFonts w:ascii="Abadi" w:hAnsi="Abadi"/>
          <w:sz w:val="21"/>
          <w:szCs w:val="21"/>
        </w:rPr>
        <w:t>,</w:t>
      </w:r>
      <w:r w:rsidRPr="0030088F">
        <w:rPr>
          <w:rFonts w:ascii="Abadi" w:hAnsi="Abadi"/>
          <w:sz w:val="21"/>
          <w:szCs w:val="21"/>
        </w:rPr>
        <w:t xml:space="preserve"> que no pasa</w:t>
      </w:r>
      <w:r>
        <w:rPr>
          <w:rFonts w:ascii="Abadi" w:hAnsi="Abadi"/>
          <w:sz w:val="21"/>
          <w:szCs w:val="21"/>
        </w:rPr>
        <w:t>,</w:t>
      </w:r>
      <w:r w:rsidRPr="0030088F">
        <w:rPr>
          <w:rFonts w:ascii="Abadi" w:hAnsi="Abadi"/>
          <w:sz w:val="21"/>
          <w:szCs w:val="21"/>
        </w:rPr>
        <w:t xml:space="preserve"> está bien</w:t>
      </w:r>
      <w:r>
        <w:rPr>
          <w:rFonts w:ascii="Abadi" w:hAnsi="Abadi"/>
          <w:sz w:val="21"/>
          <w:szCs w:val="21"/>
        </w:rPr>
        <w:t>,</w:t>
      </w:r>
      <w:r w:rsidRPr="0030088F">
        <w:rPr>
          <w:rFonts w:ascii="Abadi" w:hAnsi="Abadi"/>
          <w:sz w:val="21"/>
          <w:szCs w:val="21"/>
        </w:rPr>
        <w:t xml:space="preserve"> está bien</w:t>
      </w:r>
      <w:r>
        <w:rPr>
          <w:rFonts w:ascii="Abadi" w:hAnsi="Abadi"/>
          <w:sz w:val="21"/>
          <w:szCs w:val="21"/>
        </w:rPr>
        <w:t>,</w:t>
      </w:r>
      <w:r w:rsidRPr="0030088F">
        <w:rPr>
          <w:rFonts w:ascii="Abadi" w:hAnsi="Abadi"/>
          <w:sz w:val="21"/>
          <w:szCs w:val="21"/>
        </w:rPr>
        <w:t xml:space="preserve"> esperemos niveles mayores de reflexión porque se considera que las instituciones y quienes las integran son neutros ideológicamente y eso no es cierto</w:t>
      </w:r>
      <w:r>
        <w:rPr>
          <w:rFonts w:ascii="Abadi" w:hAnsi="Abadi"/>
          <w:sz w:val="21"/>
          <w:szCs w:val="21"/>
        </w:rPr>
        <w:t>,</w:t>
      </w:r>
      <w:r w:rsidRPr="0030088F">
        <w:rPr>
          <w:rFonts w:ascii="Abadi" w:hAnsi="Abadi"/>
          <w:sz w:val="21"/>
          <w:szCs w:val="21"/>
        </w:rPr>
        <w:t xml:space="preserve"> no hay neutralidad ideológica cada quien tiene también su corazoncito y su manera de pensar</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se va a acatar la decisión</w:t>
      </w:r>
      <w:r>
        <w:rPr>
          <w:rFonts w:ascii="Abadi" w:hAnsi="Abadi"/>
          <w:sz w:val="21"/>
          <w:szCs w:val="21"/>
        </w:rPr>
        <w:t>,</w:t>
      </w:r>
      <w:r w:rsidRPr="0030088F">
        <w:rPr>
          <w:rFonts w:ascii="Abadi" w:hAnsi="Abadi"/>
          <w:sz w:val="21"/>
          <w:szCs w:val="21"/>
        </w:rPr>
        <w:t xml:space="preserve"> que hoy se tomó</w:t>
      </w:r>
      <w:r>
        <w:rPr>
          <w:rFonts w:ascii="Abadi" w:hAnsi="Abadi"/>
          <w:sz w:val="21"/>
          <w:szCs w:val="21"/>
        </w:rPr>
        <w:t>,</w:t>
      </w:r>
      <w:r w:rsidRPr="0030088F">
        <w:rPr>
          <w:rFonts w:ascii="Abadi" w:hAnsi="Abadi"/>
          <w:sz w:val="21"/>
          <w:szCs w:val="21"/>
        </w:rPr>
        <w:t xml:space="preserve"> ahí</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nada le quita al </w:t>
      </w:r>
      <w:r>
        <w:rPr>
          <w:rFonts w:ascii="Abadi" w:hAnsi="Abadi"/>
          <w:sz w:val="21"/>
          <w:szCs w:val="21"/>
        </w:rPr>
        <w:t>P</w:t>
      </w:r>
      <w:r w:rsidRPr="0030088F">
        <w:rPr>
          <w:rFonts w:ascii="Abadi" w:hAnsi="Abadi"/>
          <w:sz w:val="21"/>
          <w:szCs w:val="21"/>
        </w:rPr>
        <w:t xml:space="preserve">artido </w:t>
      </w:r>
      <w:r>
        <w:rPr>
          <w:rFonts w:ascii="Abadi" w:hAnsi="Abadi"/>
          <w:sz w:val="21"/>
          <w:szCs w:val="21"/>
        </w:rPr>
        <w:t>R</w:t>
      </w:r>
      <w:r w:rsidRPr="0030088F">
        <w:rPr>
          <w:rFonts w:ascii="Abadi" w:hAnsi="Abadi"/>
          <w:sz w:val="21"/>
          <w:szCs w:val="21"/>
        </w:rPr>
        <w:t xml:space="preserve">evolucionario </w:t>
      </w:r>
      <w:r>
        <w:rPr>
          <w:rFonts w:ascii="Abadi" w:hAnsi="Abadi"/>
          <w:sz w:val="21"/>
          <w:szCs w:val="21"/>
        </w:rPr>
        <w:t>I</w:t>
      </w:r>
      <w:r w:rsidRPr="0030088F">
        <w:rPr>
          <w:rFonts w:ascii="Abadi" w:hAnsi="Abadi"/>
          <w:sz w:val="21"/>
          <w:szCs w:val="21"/>
        </w:rPr>
        <w:t>nstitucional su época de dinosaurio</w:t>
      </w:r>
      <w:r>
        <w:rPr>
          <w:rFonts w:ascii="Abadi" w:hAnsi="Abadi"/>
          <w:sz w:val="21"/>
          <w:szCs w:val="21"/>
        </w:rPr>
        <w:t>,</w:t>
      </w:r>
      <w:r w:rsidRPr="0030088F">
        <w:rPr>
          <w:rFonts w:ascii="Abadi" w:hAnsi="Abadi"/>
          <w:sz w:val="21"/>
          <w:szCs w:val="21"/>
        </w:rPr>
        <w:t xml:space="preserve"> su época de destructor de instituciones</w:t>
      </w:r>
      <w:r>
        <w:rPr>
          <w:rFonts w:ascii="Abadi" w:hAnsi="Abadi"/>
          <w:sz w:val="21"/>
          <w:szCs w:val="21"/>
        </w:rPr>
        <w:t>,</w:t>
      </w:r>
      <w:r w:rsidRPr="0030088F">
        <w:rPr>
          <w:rFonts w:ascii="Abadi" w:hAnsi="Abadi"/>
          <w:sz w:val="21"/>
          <w:szCs w:val="21"/>
        </w:rPr>
        <w:t xml:space="preserve"> de cooptación</w:t>
      </w:r>
      <w:r>
        <w:rPr>
          <w:rFonts w:ascii="Abadi" w:hAnsi="Abadi"/>
          <w:sz w:val="21"/>
          <w:szCs w:val="21"/>
        </w:rPr>
        <w:t>,</w:t>
      </w:r>
      <w:r w:rsidRPr="0030088F">
        <w:rPr>
          <w:rFonts w:ascii="Abadi" w:hAnsi="Abadi"/>
          <w:sz w:val="21"/>
          <w:szCs w:val="21"/>
        </w:rPr>
        <w:t xml:space="preserve"> que compra de votos y no sí</w:t>
      </w:r>
      <w:r>
        <w:rPr>
          <w:rFonts w:ascii="Abadi" w:hAnsi="Abadi"/>
          <w:sz w:val="21"/>
          <w:szCs w:val="21"/>
        </w:rPr>
        <w:t>,</w:t>
      </w:r>
      <w:r w:rsidRPr="0030088F">
        <w:rPr>
          <w:rFonts w:ascii="Abadi" w:hAnsi="Abadi"/>
          <w:sz w:val="21"/>
          <w:szCs w:val="21"/>
        </w:rPr>
        <w:t xml:space="preserve"> es decir</w:t>
      </w:r>
      <w:r>
        <w:rPr>
          <w:rFonts w:ascii="Abadi" w:hAnsi="Abadi"/>
          <w:sz w:val="21"/>
          <w:szCs w:val="21"/>
        </w:rPr>
        <w:t>,</w:t>
      </w:r>
      <w:r w:rsidRPr="0030088F">
        <w:rPr>
          <w:rFonts w:ascii="Abadi" w:hAnsi="Abadi"/>
          <w:sz w:val="21"/>
          <w:szCs w:val="21"/>
        </w:rPr>
        <w:t xml:space="preserve"> el pasado como decía Santiago Ramírez la infancia</w:t>
      </w:r>
      <w:r>
        <w:rPr>
          <w:rFonts w:ascii="Abadi" w:hAnsi="Abadi"/>
          <w:sz w:val="21"/>
          <w:szCs w:val="21"/>
        </w:rPr>
        <w:t>,</w:t>
      </w:r>
      <w:r w:rsidRPr="0030088F">
        <w:rPr>
          <w:rFonts w:ascii="Abadi" w:hAnsi="Abadi"/>
          <w:sz w:val="21"/>
          <w:szCs w:val="21"/>
        </w:rPr>
        <w:t xml:space="preserve"> es destino</w:t>
      </w:r>
      <w:r>
        <w:rPr>
          <w:rFonts w:ascii="Abadi" w:hAnsi="Abadi"/>
          <w:sz w:val="21"/>
          <w:szCs w:val="21"/>
        </w:rPr>
        <w:t>,</w:t>
      </w:r>
      <w:r w:rsidRPr="0030088F">
        <w:rPr>
          <w:rFonts w:ascii="Abadi" w:hAnsi="Abadi"/>
          <w:sz w:val="21"/>
          <w:szCs w:val="21"/>
        </w:rPr>
        <w:t xml:space="preserve"> tendrá que ser un milagro enorme para que la ciudadanía vuelva a confiar en el </w:t>
      </w:r>
      <w:r>
        <w:rPr>
          <w:rFonts w:ascii="Abadi" w:hAnsi="Abadi"/>
          <w:sz w:val="21"/>
          <w:szCs w:val="21"/>
        </w:rPr>
        <w:t>PRI,</w:t>
      </w:r>
      <w:r w:rsidRPr="0030088F">
        <w:rPr>
          <w:rFonts w:ascii="Abadi" w:hAnsi="Abadi"/>
          <w:sz w:val="21"/>
          <w:szCs w:val="21"/>
        </w:rPr>
        <w:t xml:space="preserve"> esperemos un milagro para que esto ocurra en beneficio de los pocos priistas</w:t>
      </w:r>
      <w:r>
        <w:rPr>
          <w:rFonts w:ascii="Abadi" w:hAnsi="Abadi"/>
          <w:sz w:val="21"/>
          <w:szCs w:val="21"/>
        </w:rPr>
        <w:t xml:space="preserve"> </w:t>
      </w:r>
      <w:r w:rsidRPr="0030088F">
        <w:rPr>
          <w:rFonts w:ascii="Abadi" w:hAnsi="Abadi"/>
          <w:sz w:val="21"/>
          <w:szCs w:val="21"/>
        </w:rPr>
        <w:t>que pueden todavía estar convencidos de la voluntad y los principios que enarbolaron durante mucho tiempo</w:t>
      </w:r>
      <w:r>
        <w:rPr>
          <w:rFonts w:ascii="Abadi" w:hAnsi="Abadi"/>
          <w:sz w:val="21"/>
          <w:szCs w:val="21"/>
        </w:rPr>
        <w:t>,</w:t>
      </w:r>
      <w:r w:rsidRPr="0030088F">
        <w:rPr>
          <w:rFonts w:ascii="Abadi" w:hAnsi="Abadi"/>
          <w:sz w:val="21"/>
          <w:szCs w:val="21"/>
        </w:rPr>
        <w:t xml:space="preserve"> gracias</w:t>
      </w:r>
      <w:r>
        <w:rPr>
          <w:rFonts w:ascii="Abadi" w:hAnsi="Abadi"/>
          <w:sz w:val="21"/>
          <w:szCs w:val="21"/>
        </w:rPr>
        <w:t xml:space="preserve">. </w:t>
      </w:r>
    </w:p>
    <w:p w14:paraId="7D2C9554" w14:textId="77777777" w:rsidR="001832F1" w:rsidRDefault="001832F1" w:rsidP="00751E3D">
      <w:pPr>
        <w:jc w:val="both"/>
        <w:rPr>
          <w:rFonts w:ascii="Abadi" w:hAnsi="Abadi"/>
          <w:sz w:val="21"/>
          <w:szCs w:val="21"/>
        </w:rPr>
      </w:pPr>
    </w:p>
    <w:p w14:paraId="4B03D2BD" w14:textId="77777777" w:rsidR="00751E3D" w:rsidRDefault="00751E3D" w:rsidP="00751E3D">
      <w:pPr>
        <w:jc w:val="both"/>
        <w:rPr>
          <w:rFonts w:ascii="Abadi" w:hAnsi="Abadi"/>
          <w:sz w:val="21"/>
          <w:szCs w:val="21"/>
        </w:rPr>
      </w:pPr>
      <w:r>
        <w:rPr>
          <w:rFonts w:ascii="Abadi" w:hAnsi="Abadi"/>
          <w:sz w:val="21"/>
          <w:szCs w:val="21"/>
        </w:rPr>
        <w:tab/>
      </w:r>
      <w:r w:rsidRPr="0050098D">
        <w:rPr>
          <w:rFonts w:ascii="Abadi" w:hAnsi="Abadi"/>
          <w:b/>
          <w:bCs/>
          <w:sz w:val="21"/>
          <w:szCs w:val="21"/>
        </w:rPr>
        <w:t xml:space="preserve">- La </w:t>
      </w:r>
      <w:proofErr w:type="gramStart"/>
      <w:r w:rsidRPr="0050098D">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w:t>
      </w:r>
      <w:r>
        <w:rPr>
          <w:rFonts w:ascii="Abadi" w:hAnsi="Abadi"/>
          <w:sz w:val="21"/>
          <w:szCs w:val="21"/>
        </w:rPr>
        <w:t>,</w:t>
      </w:r>
      <w:r w:rsidRPr="0030088F">
        <w:rPr>
          <w:rFonts w:ascii="Abadi" w:hAnsi="Abadi"/>
          <w:sz w:val="21"/>
          <w:szCs w:val="21"/>
        </w:rPr>
        <w:t xml:space="preserve"> diputado</w:t>
      </w:r>
      <w:r>
        <w:rPr>
          <w:rFonts w:ascii="Abadi" w:hAnsi="Abadi"/>
          <w:sz w:val="21"/>
          <w:szCs w:val="21"/>
        </w:rPr>
        <w:t>.</w:t>
      </w:r>
    </w:p>
    <w:p w14:paraId="6CB8888E" w14:textId="77777777" w:rsidR="00751E3D" w:rsidRDefault="00751E3D" w:rsidP="00751E3D">
      <w:pPr>
        <w:jc w:val="both"/>
        <w:rPr>
          <w:rFonts w:ascii="Abadi" w:hAnsi="Abadi"/>
          <w:sz w:val="21"/>
          <w:szCs w:val="21"/>
        </w:rPr>
      </w:pPr>
      <w:r>
        <w:rPr>
          <w:rFonts w:ascii="Abadi" w:hAnsi="Abadi"/>
          <w:sz w:val="21"/>
          <w:szCs w:val="21"/>
        </w:rPr>
        <w:tab/>
        <w:t>- D</w:t>
      </w:r>
      <w:r w:rsidRPr="0030088F">
        <w:rPr>
          <w:rFonts w:ascii="Abadi" w:hAnsi="Abadi"/>
          <w:sz w:val="21"/>
          <w:szCs w:val="21"/>
        </w:rPr>
        <w:t xml:space="preserve">iputado Alejandro </w:t>
      </w:r>
      <w:r>
        <w:rPr>
          <w:rFonts w:ascii="Abadi" w:hAnsi="Abadi"/>
          <w:sz w:val="21"/>
          <w:szCs w:val="21"/>
        </w:rPr>
        <w:t>A</w:t>
      </w:r>
      <w:r w:rsidRPr="0030088F">
        <w:rPr>
          <w:rFonts w:ascii="Abadi" w:hAnsi="Abadi"/>
          <w:sz w:val="21"/>
          <w:szCs w:val="21"/>
        </w:rPr>
        <w:t>rias</w:t>
      </w:r>
      <w:r>
        <w:rPr>
          <w:rFonts w:ascii="Abadi" w:hAnsi="Abadi"/>
          <w:sz w:val="21"/>
          <w:szCs w:val="21"/>
        </w:rPr>
        <w:t>,</w:t>
      </w:r>
      <w:r w:rsidRPr="0030088F">
        <w:rPr>
          <w:rFonts w:ascii="Abadi" w:hAnsi="Abadi"/>
          <w:sz w:val="21"/>
          <w:szCs w:val="21"/>
        </w:rPr>
        <w:t xml:space="preserve"> </w:t>
      </w:r>
      <w:r>
        <w:rPr>
          <w:rFonts w:ascii="Abadi" w:hAnsi="Abadi"/>
          <w:sz w:val="21"/>
          <w:szCs w:val="21"/>
        </w:rPr>
        <w:t>¿</w:t>
      </w:r>
      <w:r w:rsidRPr="0030088F">
        <w:rPr>
          <w:rFonts w:ascii="Abadi" w:hAnsi="Abadi"/>
          <w:sz w:val="21"/>
          <w:szCs w:val="21"/>
        </w:rPr>
        <w:t>para qué afect</w:t>
      </w:r>
      <w:r>
        <w:rPr>
          <w:rFonts w:ascii="Abadi" w:hAnsi="Abadi"/>
          <w:sz w:val="21"/>
          <w:szCs w:val="21"/>
        </w:rPr>
        <w:t>o?</w:t>
      </w:r>
      <w:r w:rsidRPr="0030088F">
        <w:rPr>
          <w:rFonts w:ascii="Abadi" w:hAnsi="Abadi"/>
          <w:sz w:val="21"/>
          <w:szCs w:val="21"/>
        </w:rPr>
        <w:t xml:space="preserve"> me podría precisar los hechos por favor </w:t>
      </w:r>
      <w:r w:rsidRPr="00BE2743">
        <w:rPr>
          <w:rFonts w:ascii="Abadi" w:hAnsi="Abadi"/>
          <w:b/>
          <w:bCs/>
          <w:sz w:val="21"/>
          <w:szCs w:val="21"/>
        </w:rPr>
        <w:t>(Voz) Diputado Alejandro Arias,</w:t>
      </w:r>
      <w:r w:rsidRPr="0030088F">
        <w:rPr>
          <w:rFonts w:ascii="Abadi" w:hAnsi="Abadi"/>
          <w:sz w:val="21"/>
          <w:szCs w:val="21"/>
        </w:rPr>
        <w:t xml:space="preserve"> acatar la decisión de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usticia</w:t>
      </w:r>
      <w:r>
        <w:rPr>
          <w:rFonts w:ascii="Abadi" w:hAnsi="Abadi"/>
          <w:sz w:val="21"/>
          <w:szCs w:val="21"/>
        </w:rPr>
        <w:t>,</w:t>
      </w:r>
      <w:r w:rsidRPr="0030088F">
        <w:rPr>
          <w:rFonts w:ascii="Abadi" w:hAnsi="Abadi"/>
          <w:sz w:val="21"/>
          <w:szCs w:val="21"/>
        </w:rPr>
        <w:t xml:space="preserve"> destructor de instituciones y confianza en el </w:t>
      </w:r>
      <w:r>
        <w:rPr>
          <w:rFonts w:ascii="Abadi" w:hAnsi="Abadi"/>
          <w:sz w:val="21"/>
          <w:szCs w:val="21"/>
        </w:rPr>
        <w:t xml:space="preserve">PRI. </w:t>
      </w:r>
    </w:p>
    <w:p w14:paraId="7E5B9F00" w14:textId="77777777" w:rsidR="00751E3D" w:rsidRDefault="00751E3D" w:rsidP="00751E3D">
      <w:pPr>
        <w:jc w:val="both"/>
        <w:rPr>
          <w:rFonts w:ascii="Abadi" w:hAnsi="Abadi"/>
          <w:sz w:val="21"/>
          <w:szCs w:val="21"/>
        </w:rPr>
      </w:pPr>
      <w:r>
        <w:rPr>
          <w:rFonts w:ascii="Abadi" w:hAnsi="Abadi"/>
          <w:sz w:val="21"/>
          <w:szCs w:val="21"/>
        </w:rPr>
        <w:tab/>
        <w:t>- A</w:t>
      </w:r>
      <w:r w:rsidRPr="0030088F">
        <w:rPr>
          <w:rFonts w:ascii="Abadi" w:hAnsi="Abadi"/>
          <w:sz w:val="21"/>
          <w:szCs w:val="21"/>
        </w:rPr>
        <w:t>delante diputado tiene el uso de la voz hasta por 5 minutos</w:t>
      </w:r>
      <w:r>
        <w:rPr>
          <w:rFonts w:ascii="Abadi" w:hAnsi="Abadi"/>
          <w:sz w:val="21"/>
          <w:szCs w:val="21"/>
        </w:rPr>
        <w:t xml:space="preserve">. </w:t>
      </w:r>
    </w:p>
    <w:p w14:paraId="3E310615" w14:textId="77777777" w:rsidR="001832F1" w:rsidRDefault="001832F1" w:rsidP="00751E3D">
      <w:pPr>
        <w:jc w:val="both"/>
        <w:rPr>
          <w:rFonts w:ascii="Abadi" w:hAnsi="Abadi"/>
          <w:sz w:val="21"/>
          <w:szCs w:val="21"/>
        </w:rPr>
      </w:pPr>
    </w:p>
    <w:p w14:paraId="1BEFC71A" w14:textId="77777777" w:rsidR="00751E3D" w:rsidRDefault="00751E3D" w:rsidP="00751E3D">
      <w:pPr>
        <w:jc w:val="both"/>
        <w:rPr>
          <w:rFonts w:ascii="Abadi" w:hAnsi="Abadi"/>
          <w:b/>
          <w:bCs/>
          <w:sz w:val="21"/>
          <w:szCs w:val="21"/>
        </w:rPr>
      </w:pPr>
      <w:r w:rsidRPr="001E6199">
        <w:rPr>
          <w:rFonts w:ascii="Abadi" w:hAnsi="Abadi"/>
          <w:b/>
          <w:bCs/>
          <w:sz w:val="21"/>
          <w:szCs w:val="21"/>
        </w:rPr>
        <w:t>(Sube a tribuna el diputado Alejandro Arias, para rectificación de hechos)</w:t>
      </w:r>
    </w:p>
    <w:p w14:paraId="58B5ECE9" w14:textId="5AF1E5A7" w:rsidR="00751E3D" w:rsidRPr="001E6199" w:rsidRDefault="001832F1" w:rsidP="00751E3D">
      <w:pPr>
        <w:jc w:val="both"/>
        <w:rPr>
          <w:rFonts w:ascii="Abadi" w:hAnsi="Abadi"/>
          <w:b/>
          <w:bCs/>
          <w:sz w:val="21"/>
          <w:szCs w:val="21"/>
        </w:rPr>
      </w:pPr>
      <w:r>
        <w:rPr>
          <w:noProof/>
        </w:rPr>
        <w:drawing>
          <wp:anchor distT="0" distB="0" distL="114300" distR="114300" simplePos="0" relativeHeight="251682838" behindDoc="1" locked="0" layoutInCell="1" allowOverlap="1" wp14:anchorId="658B4F73" wp14:editId="54CB50EE">
            <wp:simplePos x="0" y="0"/>
            <wp:positionH relativeFrom="column">
              <wp:posOffset>742950</wp:posOffset>
            </wp:positionH>
            <wp:positionV relativeFrom="paragraph">
              <wp:posOffset>331379</wp:posOffset>
            </wp:positionV>
            <wp:extent cx="1166055" cy="600075"/>
            <wp:effectExtent l="247650" t="228600" r="243840" b="695325"/>
            <wp:wrapTight wrapText="bothSides">
              <wp:wrapPolygon edited="0">
                <wp:start x="-4588" y="-8229"/>
                <wp:lineTo x="-4588" y="45943"/>
                <wp:lineTo x="25765" y="45943"/>
                <wp:lineTo x="25765" y="-8229"/>
                <wp:lineTo x="-4588" y="-8229"/>
              </wp:wrapPolygon>
            </wp:wrapTight>
            <wp:docPr id="21189072" name="Imagen 21189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9072" name=""/>
                    <pic:cNvPicPr/>
                  </pic:nvPicPr>
                  <pic:blipFill rotWithShape="1">
                    <a:blip r:embed="rId80" cstate="print">
                      <a:extLst>
                        <a:ext uri="{28A0092B-C50C-407E-A947-70E740481C1C}">
                          <a14:useLocalDpi xmlns:a14="http://schemas.microsoft.com/office/drawing/2010/main" val="0"/>
                        </a:ext>
                      </a:extLst>
                    </a:blip>
                    <a:srcRect b="8505"/>
                    <a:stretch/>
                  </pic:blipFill>
                  <pic:spPr bwMode="auto">
                    <a:xfrm>
                      <a:off x="0" y="0"/>
                      <a:ext cx="1166055" cy="60007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64E96E3" w14:textId="317E7241" w:rsidR="00751E3D" w:rsidRDefault="00751E3D" w:rsidP="00751E3D">
      <w:pPr>
        <w:jc w:val="both"/>
        <w:rPr>
          <w:rFonts w:ascii="Abadi" w:hAnsi="Abadi"/>
          <w:sz w:val="21"/>
          <w:szCs w:val="21"/>
        </w:rPr>
      </w:pPr>
      <w:r>
        <w:rPr>
          <w:rFonts w:ascii="Abadi" w:hAnsi="Abadi"/>
          <w:sz w:val="21"/>
          <w:szCs w:val="21"/>
        </w:rPr>
        <w:tab/>
        <w:t>- M</w:t>
      </w:r>
      <w:r w:rsidRPr="0030088F">
        <w:rPr>
          <w:rFonts w:ascii="Abadi" w:hAnsi="Abadi"/>
          <w:sz w:val="21"/>
          <w:szCs w:val="21"/>
        </w:rPr>
        <w:t xml:space="preserve">e parece que la confesión que </w:t>
      </w:r>
      <w:r>
        <w:rPr>
          <w:rFonts w:ascii="Abadi" w:hAnsi="Abadi"/>
          <w:sz w:val="21"/>
          <w:szCs w:val="21"/>
        </w:rPr>
        <w:t xml:space="preserve">hoy hace </w:t>
      </w:r>
      <w:r w:rsidRPr="0030088F">
        <w:rPr>
          <w:rFonts w:ascii="Abadi" w:hAnsi="Abadi"/>
          <w:sz w:val="21"/>
          <w:szCs w:val="21"/>
        </w:rPr>
        <w:t>aquí David</w:t>
      </w:r>
      <w:r>
        <w:rPr>
          <w:rFonts w:ascii="Abadi" w:hAnsi="Abadi"/>
          <w:sz w:val="21"/>
          <w:szCs w:val="21"/>
        </w:rPr>
        <w:t>,</w:t>
      </w:r>
      <w:r w:rsidRPr="0030088F">
        <w:rPr>
          <w:rFonts w:ascii="Abadi" w:hAnsi="Abadi"/>
          <w:sz w:val="21"/>
          <w:szCs w:val="21"/>
        </w:rPr>
        <w:t xml:space="preserve"> debe de valorarse</w:t>
      </w:r>
      <w:r>
        <w:rPr>
          <w:rFonts w:ascii="Abadi" w:hAnsi="Abadi"/>
          <w:sz w:val="21"/>
          <w:szCs w:val="21"/>
        </w:rPr>
        <w:t>,</w:t>
      </w:r>
      <w:r w:rsidRPr="0030088F">
        <w:rPr>
          <w:rFonts w:ascii="Abadi" w:hAnsi="Abadi"/>
          <w:sz w:val="21"/>
          <w:szCs w:val="21"/>
        </w:rPr>
        <w:t xml:space="preserve"> porque hubo hace algún tiempo</w:t>
      </w:r>
      <w:r>
        <w:rPr>
          <w:rFonts w:ascii="Abadi" w:hAnsi="Abadi"/>
          <w:sz w:val="21"/>
          <w:szCs w:val="21"/>
        </w:rPr>
        <w:t>,</w:t>
      </w:r>
      <w:r w:rsidRPr="0030088F">
        <w:rPr>
          <w:rFonts w:ascii="Abadi" w:hAnsi="Abadi"/>
          <w:sz w:val="21"/>
          <w:szCs w:val="21"/>
        </w:rPr>
        <w:t xml:space="preserve"> quien dijo que no me vengan con que la ley</w:t>
      </w:r>
      <w:r>
        <w:rPr>
          <w:rFonts w:ascii="Abadi" w:hAnsi="Abadi"/>
          <w:sz w:val="21"/>
          <w:szCs w:val="21"/>
        </w:rPr>
        <w:t xml:space="preserve">, </w:t>
      </w:r>
      <w:r w:rsidRPr="0030088F">
        <w:rPr>
          <w:rFonts w:ascii="Abadi" w:hAnsi="Abadi"/>
          <w:sz w:val="21"/>
          <w:szCs w:val="21"/>
        </w:rPr>
        <w:t>es la ley</w:t>
      </w:r>
      <w:r>
        <w:rPr>
          <w:rFonts w:ascii="Abadi" w:hAnsi="Abadi"/>
          <w:sz w:val="21"/>
          <w:szCs w:val="21"/>
        </w:rPr>
        <w:t>,</w:t>
      </w:r>
      <w:r w:rsidRPr="0030088F">
        <w:rPr>
          <w:rFonts w:ascii="Abadi" w:hAnsi="Abadi"/>
          <w:sz w:val="21"/>
          <w:szCs w:val="21"/>
        </w:rPr>
        <w:t xml:space="preserve"> qué bueno que vienen y dicen que van a acatar la resolución de la </w:t>
      </w:r>
      <w:r>
        <w:rPr>
          <w:rFonts w:ascii="Abadi" w:hAnsi="Abadi"/>
          <w:sz w:val="21"/>
          <w:szCs w:val="21"/>
        </w:rPr>
        <w:t>S</w:t>
      </w:r>
      <w:r w:rsidRPr="0030088F">
        <w:rPr>
          <w:rFonts w:ascii="Abadi" w:hAnsi="Abadi"/>
          <w:sz w:val="21"/>
          <w:szCs w:val="21"/>
        </w:rPr>
        <w:t xml:space="preserve">uprema </w:t>
      </w:r>
      <w:r>
        <w:rPr>
          <w:rFonts w:ascii="Abadi" w:hAnsi="Abadi"/>
          <w:sz w:val="21"/>
          <w:szCs w:val="21"/>
        </w:rPr>
        <w:t>C</w:t>
      </w:r>
      <w:r w:rsidRPr="0030088F">
        <w:rPr>
          <w:rFonts w:ascii="Abadi" w:hAnsi="Abadi"/>
          <w:sz w:val="21"/>
          <w:szCs w:val="21"/>
        </w:rPr>
        <w:t xml:space="preserve">orte de </w:t>
      </w:r>
      <w:r>
        <w:rPr>
          <w:rFonts w:ascii="Abadi" w:hAnsi="Abadi"/>
          <w:sz w:val="21"/>
          <w:szCs w:val="21"/>
        </w:rPr>
        <w:t>J</w:t>
      </w:r>
      <w:r w:rsidRPr="0030088F">
        <w:rPr>
          <w:rFonts w:ascii="Abadi" w:hAnsi="Abadi"/>
          <w:sz w:val="21"/>
          <w:szCs w:val="21"/>
        </w:rPr>
        <w:t>usticia</w:t>
      </w:r>
      <w:r>
        <w:rPr>
          <w:rFonts w:ascii="Abadi" w:hAnsi="Abadi"/>
          <w:sz w:val="21"/>
          <w:szCs w:val="21"/>
        </w:rPr>
        <w:t>,</w:t>
      </w:r>
      <w:r w:rsidRPr="0030088F">
        <w:rPr>
          <w:rFonts w:ascii="Abadi" w:hAnsi="Abadi"/>
          <w:sz w:val="21"/>
          <w:szCs w:val="21"/>
        </w:rPr>
        <w:t xml:space="preserve"> de verdad</w:t>
      </w:r>
      <w:r>
        <w:rPr>
          <w:rFonts w:ascii="Abadi" w:hAnsi="Abadi"/>
          <w:sz w:val="21"/>
          <w:szCs w:val="21"/>
        </w:rPr>
        <w:t>,</w:t>
      </w:r>
      <w:r w:rsidRPr="0030088F">
        <w:rPr>
          <w:rFonts w:ascii="Abadi" w:hAnsi="Abadi"/>
          <w:sz w:val="21"/>
          <w:szCs w:val="21"/>
        </w:rPr>
        <w:t xml:space="preserve"> que me da mucho gusto</w:t>
      </w:r>
      <w:r>
        <w:rPr>
          <w:rFonts w:ascii="Abadi" w:hAnsi="Abadi"/>
          <w:sz w:val="21"/>
          <w:szCs w:val="21"/>
        </w:rPr>
        <w:t>,</w:t>
      </w:r>
      <w:r w:rsidRPr="0030088F">
        <w:rPr>
          <w:rFonts w:ascii="Abadi" w:hAnsi="Abadi"/>
          <w:sz w:val="21"/>
          <w:szCs w:val="21"/>
        </w:rPr>
        <w:t xml:space="preserve"> que la acaten</w:t>
      </w:r>
      <w:r>
        <w:rPr>
          <w:rFonts w:ascii="Abadi" w:hAnsi="Abadi"/>
          <w:sz w:val="21"/>
          <w:szCs w:val="21"/>
        </w:rPr>
        <w:t>,</w:t>
      </w:r>
      <w:r w:rsidRPr="0030088F">
        <w:rPr>
          <w:rFonts w:ascii="Abadi" w:hAnsi="Abadi"/>
          <w:sz w:val="21"/>
          <w:szCs w:val="21"/>
        </w:rPr>
        <w:t xml:space="preserve"> yo hasta no ver no creer</w:t>
      </w:r>
      <w:r>
        <w:rPr>
          <w:rFonts w:ascii="Abadi" w:hAnsi="Abadi"/>
          <w:sz w:val="21"/>
          <w:szCs w:val="21"/>
        </w:rPr>
        <w:t>,</w:t>
      </w:r>
      <w:r w:rsidRPr="0030088F">
        <w:rPr>
          <w:rFonts w:ascii="Abadi" w:hAnsi="Abadi"/>
          <w:sz w:val="21"/>
          <w:szCs w:val="21"/>
        </w:rPr>
        <w:t xml:space="preserve"> por lo que ha sucedido</w:t>
      </w:r>
      <w:r>
        <w:rPr>
          <w:rFonts w:ascii="Abadi" w:hAnsi="Abadi"/>
          <w:sz w:val="21"/>
          <w:szCs w:val="21"/>
        </w:rPr>
        <w:t>,</w:t>
      </w:r>
      <w:r w:rsidRPr="0030088F">
        <w:rPr>
          <w:rFonts w:ascii="Abadi" w:hAnsi="Abadi"/>
          <w:sz w:val="21"/>
          <w:szCs w:val="21"/>
        </w:rPr>
        <w:t xml:space="preserve"> en cuanto a destructor de </w:t>
      </w:r>
      <w:r w:rsidRPr="0030088F">
        <w:rPr>
          <w:rFonts w:ascii="Abadi" w:hAnsi="Abadi"/>
          <w:sz w:val="21"/>
          <w:szCs w:val="21"/>
        </w:rPr>
        <w:lastRenderedPageBreak/>
        <w:t>instituciones</w:t>
      </w:r>
      <w:r>
        <w:rPr>
          <w:rFonts w:ascii="Abadi" w:hAnsi="Abadi"/>
          <w:sz w:val="21"/>
          <w:szCs w:val="21"/>
        </w:rPr>
        <w:t>,</w:t>
      </w:r>
      <w:r w:rsidRPr="0030088F">
        <w:rPr>
          <w:rFonts w:ascii="Abadi" w:hAnsi="Abadi"/>
          <w:sz w:val="21"/>
          <w:szCs w:val="21"/>
        </w:rPr>
        <w:t xml:space="preserve"> híjole pues habrá que hacer un recuento de cuántos de aquellos responsables de la mala fama del </w:t>
      </w:r>
      <w:r>
        <w:rPr>
          <w:rFonts w:ascii="Abadi" w:hAnsi="Abadi"/>
          <w:sz w:val="21"/>
          <w:szCs w:val="21"/>
        </w:rPr>
        <w:t xml:space="preserve">PRI, </w:t>
      </w:r>
      <w:r w:rsidRPr="0030088F">
        <w:rPr>
          <w:rFonts w:ascii="Abadi" w:hAnsi="Abadi"/>
          <w:sz w:val="21"/>
          <w:szCs w:val="21"/>
        </w:rPr>
        <w:t xml:space="preserve">hoy están en el partido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santificados</w:t>
      </w:r>
      <w:r>
        <w:rPr>
          <w:rFonts w:ascii="Abadi" w:hAnsi="Abadi"/>
          <w:sz w:val="21"/>
          <w:szCs w:val="21"/>
        </w:rPr>
        <w:t>,</w:t>
      </w:r>
      <w:r w:rsidRPr="0030088F">
        <w:rPr>
          <w:rFonts w:ascii="Abadi" w:hAnsi="Abadi"/>
          <w:sz w:val="21"/>
          <w:szCs w:val="21"/>
        </w:rPr>
        <w:t xml:space="preserve"> perdonados por el mesías de este país y secretario</w:t>
      </w:r>
      <w:r>
        <w:rPr>
          <w:rFonts w:ascii="Abadi" w:hAnsi="Abadi"/>
          <w:sz w:val="21"/>
          <w:szCs w:val="21"/>
        </w:rPr>
        <w:t>s</w:t>
      </w:r>
      <w:r w:rsidRPr="0030088F">
        <w:rPr>
          <w:rFonts w:ascii="Abadi" w:hAnsi="Abadi"/>
          <w:sz w:val="21"/>
          <w:szCs w:val="21"/>
        </w:rPr>
        <w:t xml:space="preserve"> de estado</w:t>
      </w:r>
      <w:r>
        <w:rPr>
          <w:rFonts w:ascii="Abadi" w:hAnsi="Abadi"/>
          <w:sz w:val="21"/>
          <w:szCs w:val="21"/>
        </w:rPr>
        <w:t>,</w:t>
      </w:r>
      <w:r w:rsidRPr="0030088F">
        <w:rPr>
          <w:rFonts w:ascii="Abadi" w:hAnsi="Abadi"/>
          <w:sz w:val="21"/>
          <w:szCs w:val="21"/>
        </w:rPr>
        <w:t xml:space="preserve"> candidatos gobernadores</w:t>
      </w:r>
      <w:r>
        <w:rPr>
          <w:rFonts w:ascii="Abadi" w:hAnsi="Abadi"/>
          <w:sz w:val="21"/>
          <w:szCs w:val="21"/>
        </w:rPr>
        <w:t>,</w:t>
      </w:r>
      <w:r w:rsidRPr="0030088F">
        <w:rPr>
          <w:rFonts w:ascii="Abadi" w:hAnsi="Abadi"/>
          <w:sz w:val="21"/>
          <w:szCs w:val="21"/>
        </w:rPr>
        <w:t xml:space="preserve"> esa es la congruencia</w:t>
      </w:r>
      <w:r>
        <w:rPr>
          <w:rFonts w:ascii="Abadi" w:hAnsi="Abadi"/>
          <w:sz w:val="21"/>
          <w:szCs w:val="21"/>
        </w:rPr>
        <w:t xml:space="preserve">. </w:t>
      </w:r>
    </w:p>
    <w:p w14:paraId="292DC211" w14:textId="77777777" w:rsidR="004014E5" w:rsidRDefault="004014E5" w:rsidP="00751E3D">
      <w:pPr>
        <w:jc w:val="both"/>
        <w:rPr>
          <w:rFonts w:ascii="Abadi" w:hAnsi="Abadi"/>
          <w:sz w:val="21"/>
          <w:szCs w:val="21"/>
        </w:rPr>
      </w:pPr>
    </w:p>
    <w:p w14:paraId="1FFF600D" w14:textId="77777777" w:rsidR="00751E3D" w:rsidRDefault="00751E3D" w:rsidP="00751E3D">
      <w:pPr>
        <w:jc w:val="both"/>
        <w:rPr>
          <w:rFonts w:ascii="Abadi" w:hAnsi="Abadi"/>
          <w:sz w:val="21"/>
          <w:szCs w:val="21"/>
        </w:rPr>
      </w:pPr>
      <w:r>
        <w:rPr>
          <w:rFonts w:ascii="Abadi" w:hAnsi="Abadi"/>
          <w:sz w:val="21"/>
          <w:szCs w:val="21"/>
        </w:rPr>
        <w:tab/>
        <w:t>- E</w:t>
      </w:r>
      <w:r w:rsidRPr="0030088F">
        <w:rPr>
          <w:rFonts w:ascii="Abadi" w:hAnsi="Abadi"/>
          <w:sz w:val="21"/>
          <w:szCs w:val="21"/>
        </w:rPr>
        <w:t>s cuánto</w:t>
      </w:r>
      <w:r>
        <w:rPr>
          <w:rFonts w:ascii="Abadi" w:hAnsi="Abadi"/>
          <w:sz w:val="21"/>
          <w:szCs w:val="21"/>
        </w:rPr>
        <w:t xml:space="preserve">. </w:t>
      </w:r>
    </w:p>
    <w:p w14:paraId="137DD04D" w14:textId="77777777" w:rsidR="004014E5" w:rsidRDefault="004014E5" w:rsidP="00751E3D">
      <w:pPr>
        <w:jc w:val="both"/>
        <w:rPr>
          <w:rFonts w:ascii="Abadi" w:hAnsi="Abadi"/>
          <w:sz w:val="21"/>
          <w:szCs w:val="21"/>
        </w:rPr>
      </w:pPr>
    </w:p>
    <w:p w14:paraId="2314A78B" w14:textId="77777777" w:rsidR="00751E3D" w:rsidRDefault="00751E3D" w:rsidP="00751E3D">
      <w:pPr>
        <w:jc w:val="both"/>
        <w:rPr>
          <w:rFonts w:ascii="Abadi" w:hAnsi="Abadi"/>
          <w:sz w:val="21"/>
          <w:szCs w:val="21"/>
        </w:rPr>
      </w:pPr>
      <w:r>
        <w:rPr>
          <w:rFonts w:ascii="Abadi" w:hAnsi="Abadi"/>
          <w:sz w:val="21"/>
          <w:szCs w:val="21"/>
        </w:rPr>
        <w:tab/>
      </w:r>
      <w:r w:rsidRPr="00497448">
        <w:rPr>
          <w:rFonts w:ascii="Abadi" w:hAnsi="Abadi"/>
          <w:b/>
          <w:bCs/>
          <w:sz w:val="21"/>
          <w:szCs w:val="21"/>
        </w:rPr>
        <w:t xml:space="preserve">- La </w:t>
      </w:r>
      <w:proofErr w:type="gramStart"/>
      <w:r w:rsidRPr="00497448">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 xml:space="preserve">. </w:t>
      </w:r>
    </w:p>
    <w:p w14:paraId="6DF63391" w14:textId="77777777" w:rsidR="004014E5" w:rsidRDefault="004014E5" w:rsidP="00751E3D">
      <w:pPr>
        <w:jc w:val="both"/>
        <w:rPr>
          <w:rFonts w:ascii="Abadi" w:hAnsi="Abadi"/>
          <w:sz w:val="21"/>
          <w:szCs w:val="21"/>
        </w:rPr>
      </w:pPr>
    </w:p>
    <w:p w14:paraId="6A6C4AA6" w14:textId="77777777" w:rsidR="00751E3D" w:rsidRDefault="00751E3D" w:rsidP="00751E3D">
      <w:pPr>
        <w:jc w:val="both"/>
        <w:rPr>
          <w:rFonts w:ascii="Abadi" w:hAnsi="Abadi"/>
          <w:sz w:val="21"/>
          <w:szCs w:val="21"/>
        </w:rPr>
      </w:pPr>
      <w:r>
        <w:rPr>
          <w:rFonts w:ascii="Abadi" w:hAnsi="Abadi"/>
          <w:sz w:val="21"/>
          <w:szCs w:val="21"/>
        </w:rPr>
        <w:tab/>
        <w:t>- E</w:t>
      </w:r>
      <w:r w:rsidRPr="0030088F">
        <w:rPr>
          <w:rFonts w:ascii="Abadi" w:hAnsi="Abadi"/>
          <w:sz w:val="21"/>
          <w:szCs w:val="21"/>
        </w:rPr>
        <w:t xml:space="preserve">nseguida se concede el uso de la voz al diputado Cuauhtémoc </w:t>
      </w:r>
      <w:r>
        <w:rPr>
          <w:rFonts w:ascii="Abadi" w:hAnsi="Abadi"/>
          <w:sz w:val="21"/>
          <w:szCs w:val="21"/>
        </w:rPr>
        <w:t>B</w:t>
      </w:r>
      <w:r w:rsidRPr="0030088F">
        <w:rPr>
          <w:rFonts w:ascii="Abadi" w:hAnsi="Abadi"/>
          <w:sz w:val="21"/>
          <w:szCs w:val="21"/>
        </w:rPr>
        <w:t xml:space="preserve">ecerra </w:t>
      </w:r>
      <w:r>
        <w:rPr>
          <w:rFonts w:ascii="Abadi" w:hAnsi="Abadi"/>
          <w:sz w:val="21"/>
          <w:szCs w:val="21"/>
        </w:rPr>
        <w:t>G</w:t>
      </w:r>
      <w:r w:rsidRPr="0030088F">
        <w:rPr>
          <w:rFonts w:ascii="Abadi" w:hAnsi="Abadi"/>
          <w:sz w:val="21"/>
          <w:szCs w:val="21"/>
        </w:rPr>
        <w:t>onzález hasta por 10 minutos</w:t>
      </w:r>
      <w:r>
        <w:rPr>
          <w:rFonts w:ascii="Abadi" w:hAnsi="Abadi"/>
          <w:sz w:val="21"/>
          <w:szCs w:val="21"/>
        </w:rPr>
        <w:t xml:space="preserve">. </w:t>
      </w:r>
    </w:p>
    <w:p w14:paraId="415DD486" w14:textId="77777777" w:rsidR="004014E5" w:rsidRDefault="004014E5" w:rsidP="00751E3D">
      <w:pPr>
        <w:jc w:val="both"/>
        <w:rPr>
          <w:rFonts w:ascii="Abadi" w:hAnsi="Abadi"/>
          <w:sz w:val="21"/>
          <w:szCs w:val="21"/>
        </w:rPr>
      </w:pPr>
    </w:p>
    <w:p w14:paraId="5778A343" w14:textId="77777777" w:rsidR="00751E3D" w:rsidRDefault="00751E3D" w:rsidP="00751E3D">
      <w:pPr>
        <w:jc w:val="both"/>
        <w:rPr>
          <w:rFonts w:ascii="Abadi" w:hAnsi="Abadi"/>
          <w:sz w:val="21"/>
          <w:szCs w:val="21"/>
        </w:rPr>
      </w:pPr>
      <w:r>
        <w:rPr>
          <w:rFonts w:ascii="Abadi" w:hAnsi="Abadi"/>
          <w:sz w:val="21"/>
          <w:szCs w:val="21"/>
        </w:rPr>
        <w:tab/>
        <w:t>- A</w:t>
      </w:r>
      <w:r w:rsidRPr="0030088F">
        <w:rPr>
          <w:rFonts w:ascii="Abadi" w:hAnsi="Abadi"/>
          <w:sz w:val="21"/>
          <w:szCs w:val="21"/>
        </w:rPr>
        <w:t>delante</w:t>
      </w:r>
      <w:r>
        <w:rPr>
          <w:rFonts w:ascii="Abadi" w:hAnsi="Abadi"/>
          <w:sz w:val="21"/>
          <w:szCs w:val="21"/>
        </w:rPr>
        <w:t xml:space="preserve">. </w:t>
      </w:r>
    </w:p>
    <w:p w14:paraId="1FF92EB4" w14:textId="77777777" w:rsidR="004014E5" w:rsidRDefault="004014E5" w:rsidP="00751E3D">
      <w:pPr>
        <w:jc w:val="both"/>
        <w:rPr>
          <w:rFonts w:ascii="Abadi" w:hAnsi="Abadi"/>
          <w:sz w:val="21"/>
          <w:szCs w:val="21"/>
        </w:rPr>
      </w:pPr>
    </w:p>
    <w:p w14:paraId="4A1C1CD4" w14:textId="77777777" w:rsidR="00751E3D" w:rsidRDefault="00751E3D" w:rsidP="00751E3D">
      <w:pPr>
        <w:jc w:val="both"/>
        <w:rPr>
          <w:rFonts w:ascii="Abadi" w:hAnsi="Abadi"/>
          <w:b/>
          <w:bCs/>
          <w:sz w:val="21"/>
          <w:szCs w:val="21"/>
        </w:rPr>
      </w:pPr>
      <w:r w:rsidRPr="00435D8F">
        <w:rPr>
          <w:rFonts w:ascii="Abadi" w:hAnsi="Abadi"/>
          <w:b/>
          <w:bCs/>
          <w:sz w:val="21"/>
          <w:szCs w:val="21"/>
        </w:rPr>
        <w:t xml:space="preserve">(Sube a tribuna el diputado Cuauhtémoc Becerra González, para hablar en asuntos de interés general) </w:t>
      </w:r>
    </w:p>
    <w:p w14:paraId="4194FAFB" w14:textId="77777777" w:rsidR="004014E5" w:rsidRDefault="004014E5" w:rsidP="00751E3D">
      <w:pPr>
        <w:jc w:val="both"/>
        <w:rPr>
          <w:rFonts w:ascii="Abadi" w:hAnsi="Abadi"/>
          <w:b/>
          <w:bCs/>
          <w:sz w:val="21"/>
          <w:szCs w:val="21"/>
        </w:rPr>
      </w:pPr>
    </w:p>
    <w:p w14:paraId="338AC28A" w14:textId="0678ABC7" w:rsidR="00751E3D" w:rsidRDefault="00751E3D" w:rsidP="00751E3D">
      <w:pPr>
        <w:jc w:val="both"/>
        <w:rPr>
          <w:rFonts w:ascii="Abadi" w:hAnsi="Abadi"/>
          <w:b/>
          <w:bCs/>
          <w:sz w:val="21"/>
          <w:szCs w:val="21"/>
        </w:rPr>
      </w:pPr>
    </w:p>
    <w:p w14:paraId="1EA1F2A9" w14:textId="77777777" w:rsidR="004014E5" w:rsidRDefault="004014E5" w:rsidP="00751E3D">
      <w:pPr>
        <w:jc w:val="both"/>
        <w:rPr>
          <w:rFonts w:ascii="Abadi" w:hAnsi="Abadi"/>
          <w:b/>
          <w:bCs/>
          <w:sz w:val="21"/>
          <w:szCs w:val="21"/>
        </w:rPr>
      </w:pPr>
    </w:p>
    <w:p w14:paraId="4BA73F29" w14:textId="6DACCE1B" w:rsidR="004014E5" w:rsidRDefault="004014E5" w:rsidP="00751E3D">
      <w:pPr>
        <w:jc w:val="both"/>
        <w:rPr>
          <w:rFonts w:ascii="Abadi" w:hAnsi="Abadi"/>
          <w:b/>
          <w:bCs/>
          <w:sz w:val="21"/>
          <w:szCs w:val="21"/>
        </w:rPr>
      </w:pPr>
      <w:r>
        <w:rPr>
          <w:noProof/>
        </w:rPr>
        <w:drawing>
          <wp:anchor distT="0" distB="0" distL="114300" distR="114300" simplePos="0" relativeHeight="251684886" behindDoc="1" locked="0" layoutInCell="1" allowOverlap="1" wp14:anchorId="7390484A" wp14:editId="58B226C7">
            <wp:simplePos x="0" y="0"/>
            <wp:positionH relativeFrom="column">
              <wp:posOffset>593597</wp:posOffset>
            </wp:positionH>
            <wp:positionV relativeFrom="paragraph">
              <wp:posOffset>42817</wp:posOffset>
            </wp:positionV>
            <wp:extent cx="1412421" cy="737135"/>
            <wp:effectExtent l="247650" t="228600" r="245110" b="768350"/>
            <wp:wrapTight wrapText="bothSides">
              <wp:wrapPolygon edited="0">
                <wp:start x="-3788" y="-6703"/>
                <wp:lineTo x="-3788" y="43572"/>
                <wp:lineTo x="25058" y="43572"/>
                <wp:lineTo x="25058" y="31283"/>
                <wp:lineTo x="21270" y="29048"/>
                <wp:lineTo x="20978" y="29048"/>
                <wp:lineTo x="25058" y="26255"/>
                <wp:lineTo x="25058" y="-6703"/>
                <wp:lineTo x="-3788" y="-6703"/>
              </wp:wrapPolygon>
            </wp:wrapTight>
            <wp:docPr id="1657533482" name="Imagen 1657533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533482" name=""/>
                    <pic:cNvPicPr/>
                  </pic:nvPicPr>
                  <pic:blipFill rotWithShape="1">
                    <a:blip r:embed="rId81" cstate="print">
                      <a:extLst>
                        <a:ext uri="{28A0092B-C50C-407E-A947-70E740481C1C}">
                          <a14:useLocalDpi xmlns:a14="http://schemas.microsoft.com/office/drawing/2010/main" val="0"/>
                        </a:ext>
                      </a:extLst>
                    </a:blip>
                    <a:srcRect b="7212"/>
                    <a:stretch/>
                  </pic:blipFill>
                  <pic:spPr bwMode="auto">
                    <a:xfrm>
                      <a:off x="0" y="0"/>
                      <a:ext cx="1412421" cy="7371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4996F55" w14:textId="21023526" w:rsidR="004014E5" w:rsidRDefault="004014E5" w:rsidP="00751E3D">
      <w:pPr>
        <w:jc w:val="both"/>
        <w:rPr>
          <w:rFonts w:ascii="Abadi" w:hAnsi="Abadi"/>
          <w:b/>
          <w:bCs/>
          <w:sz w:val="21"/>
          <w:szCs w:val="21"/>
        </w:rPr>
      </w:pPr>
    </w:p>
    <w:p w14:paraId="103AB686" w14:textId="11AC4DDE" w:rsidR="004014E5" w:rsidRDefault="004014E5" w:rsidP="00751E3D">
      <w:pPr>
        <w:jc w:val="both"/>
        <w:rPr>
          <w:rFonts w:ascii="Abadi" w:hAnsi="Abadi"/>
          <w:b/>
          <w:bCs/>
          <w:sz w:val="21"/>
          <w:szCs w:val="21"/>
        </w:rPr>
      </w:pPr>
    </w:p>
    <w:p w14:paraId="364485A2" w14:textId="75312635" w:rsidR="004014E5" w:rsidRDefault="004014E5" w:rsidP="00751E3D">
      <w:pPr>
        <w:jc w:val="both"/>
        <w:rPr>
          <w:rFonts w:ascii="Abadi" w:hAnsi="Abadi"/>
          <w:b/>
          <w:bCs/>
          <w:sz w:val="21"/>
          <w:szCs w:val="21"/>
        </w:rPr>
      </w:pPr>
    </w:p>
    <w:p w14:paraId="64F480E8" w14:textId="596D6066" w:rsidR="004014E5" w:rsidRDefault="004014E5" w:rsidP="00751E3D">
      <w:pPr>
        <w:jc w:val="both"/>
        <w:rPr>
          <w:rFonts w:ascii="Abadi" w:hAnsi="Abadi"/>
          <w:b/>
          <w:bCs/>
          <w:sz w:val="21"/>
          <w:szCs w:val="21"/>
        </w:rPr>
      </w:pPr>
    </w:p>
    <w:p w14:paraId="587479BC" w14:textId="77777777" w:rsidR="004014E5" w:rsidRDefault="004014E5" w:rsidP="00751E3D">
      <w:pPr>
        <w:jc w:val="both"/>
        <w:rPr>
          <w:rFonts w:ascii="Abadi" w:hAnsi="Abadi"/>
          <w:b/>
          <w:bCs/>
          <w:sz w:val="21"/>
          <w:szCs w:val="21"/>
        </w:rPr>
      </w:pPr>
    </w:p>
    <w:p w14:paraId="6617AD64" w14:textId="77777777" w:rsidR="004014E5" w:rsidRDefault="004014E5" w:rsidP="00751E3D">
      <w:pPr>
        <w:jc w:val="both"/>
        <w:rPr>
          <w:rFonts w:ascii="Abadi" w:hAnsi="Abadi"/>
          <w:b/>
          <w:bCs/>
          <w:sz w:val="21"/>
          <w:szCs w:val="21"/>
        </w:rPr>
      </w:pPr>
    </w:p>
    <w:p w14:paraId="4F7CD12D" w14:textId="77777777" w:rsidR="004014E5" w:rsidRDefault="004014E5" w:rsidP="00751E3D">
      <w:pPr>
        <w:jc w:val="both"/>
        <w:rPr>
          <w:rFonts w:ascii="Abadi" w:hAnsi="Abadi"/>
          <w:b/>
          <w:bCs/>
          <w:sz w:val="21"/>
          <w:szCs w:val="21"/>
        </w:rPr>
      </w:pPr>
    </w:p>
    <w:p w14:paraId="58F829A2" w14:textId="77777777" w:rsidR="004014E5" w:rsidRDefault="004014E5" w:rsidP="00751E3D">
      <w:pPr>
        <w:jc w:val="both"/>
        <w:rPr>
          <w:rFonts w:ascii="Abadi" w:hAnsi="Abadi"/>
          <w:b/>
          <w:bCs/>
          <w:sz w:val="21"/>
          <w:szCs w:val="21"/>
        </w:rPr>
      </w:pPr>
    </w:p>
    <w:p w14:paraId="2427CCF7" w14:textId="77777777" w:rsidR="004014E5" w:rsidRDefault="004014E5" w:rsidP="00751E3D">
      <w:pPr>
        <w:jc w:val="both"/>
        <w:rPr>
          <w:rFonts w:ascii="Abadi" w:hAnsi="Abadi"/>
          <w:b/>
          <w:bCs/>
          <w:sz w:val="21"/>
          <w:szCs w:val="21"/>
        </w:rPr>
      </w:pPr>
    </w:p>
    <w:p w14:paraId="5BAFAA4C" w14:textId="77777777" w:rsidR="004014E5" w:rsidRDefault="004014E5" w:rsidP="00751E3D">
      <w:pPr>
        <w:jc w:val="both"/>
        <w:rPr>
          <w:rFonts w:ascii="Abadi" w:hAnsi="Abadi"/>
          <w:b/>
          <w:bCs/>
          <w:sz w:val="21"/>
          <w:szCs w:val="21"/>
        </w:rPr>
      </w:pPr>
    </w:p>
    <w:p w14:paraId="5469D000" w14:textId="77777777" w:rsidR="004014E5" w:rsidRPr="00435D8F" w:rsidRDefault="004014E5" w:rsidP="00751E3D">
      <w:pPr>
        <w:jc w:val="both"/>
        <w:rPr>
          <w:rFonts w:ascii="Abadi" w:hAnsi="Abadi"/>
          <w:b/>
          <w:bCs/>
          <w:sz w:val="21"/>
          <w:szCs w:val="21"/>
        </w:rPr>
      </w:pPr>
    </w:p>
    <w:p w14:paraId="6D55F395" w14:textId="7C3739AE" w:rsidR="00751E3D" w:rsidRDefault="00751E3D" w:rsidP="00751E3D">
      <w:pPr>
        <w:jc w:val="both"/>
        <w:rPr>
          <w:rFonts w:ascii="Abadi" w:hAnsi="Abadi"/>
          <w:sz w:val="21"/>
          <w:szCs w:val="21"/>
        </w:rPr>
      </w:pPr>
      <w:r>
        <w:rPr>
          <w:rFonts w:ascii="Abadi" w:hAnsi="Abadi"/>
          <w:sz w:val="21"/>
          <w:szCs w:val="21"/>
        </w:rPr>
        <w:t>- C</w:t>
      </w:r>
      <w:r w:rsidRPr="0030088F">
        <w:rPr>
          <w:rFonts w:ascii="Abadi" w:hAnsi="Abadi"/>
          <w:sz w:val="21"/>
          <w:szCs w:val="21"/>
        </w:rPr>
        <w:t xml:space="preserve">on el permiso de la presidenta y su </w:t>
      </w:r>
      <w:r>
        <w:rPr>
          <w:rFonts w:ascii="Abadi" w:hAnsi="Abadi"/>
          <w:sz w:val="21"/>
          <w:szCs w:val="21"/>
        </w:rPr>
        <w:t>M</w:t>
      </w:r>
      <w:r w:rsidRPr="0030088F">
        <w:rPr>
          <w:rFonts w:ascii="Abadi" w:hAnsi="Abadi"/>
          <w:sz w:val="21"/>
          <w:szCs w:val="21"/>
        </w:rPr>
        <w:t xml:space="preserve">esa </w:t>
      </w:r>
      <w:r>
        <w:rPr>
          <w:rFonts w:ascii="Abadi" w:hAnsi="Abadi"/>
          <w:sz w:val="21"/>
          <w:szCs w:val="21"/>
        </w:rPr>
        <w:t>D</w:t>
      </w:r>
      <w:r w:rsidRPr="0030088F">
        <w:rPr>
          <w:rFonts w:ascii="Abadi" w:hAnsi="Abadi"/>
          <w:sz w:val="21"/>
          <w:szCs w:val="21"/>
        </w:rPr>
        <w:t xml:space="preserve">irectiva saludo a mis compañeros diputados quienes aún quedan aquí a quienes también permanecen en el </w:t>
      </w:r>
      <w:r>
        <w:rPr>
          <w:rFonts w:ascii="Abadi" w:hAnsi="Abadi"/>
          <w:sz w:val="21"/>
          <w:szCs w:val="21"/>
        </w:rPr>
        <w:t>P</w:t>
      </w:r>
      <w:r w:rsidRPr="0030088F">
        <w:rPr>
          <w:rFonts w:ascii="Abadi" w:hAnsi="Abadi"/>
          <w:sz w:val="21"/>
          <w:szCs w:val="21"/>
        </w:rPr>
        <w:t>leno y pues bueno nos quejamos de que ya prisa</w:t>
      </w:r>
      <w:r>
        <w:rPr>
          <w:rFonts w:ascii="Abadi" w:hAnsi="Abadi"/>
          <w:sz w:val="21"/>
          <w:szCs w:val="21"/>
        </w:rPr>
        <w:t>,</w:t>
      </w:r>
      <w:r w:rsidRPr="0030088F">
        <w:rPr>
          <w:rFonts w:ascii="Abadi" w:hAnsi="Abadi"/>
          <w:sz w:val="21"/>
          <w:szCs w:val="21"/>
        </w:rPr>
        <w:t xml:space="preserve"> y que el reloj</w:t>
      </w:r>
      <w:r>
        <w:rPr>
          <w:rFonts w:ascii="Abadi" w:hAnsi="Abadi"/>
          <w:sz w:val="21"/>
          <w:szCs w:val="21"/>
        </w:rPr>
        <w:t>,</w:t>
      </w:r>
      <w:r w:rsidRPr="0030088F">
        <w:rPr>
          <w:rFonts w:ascii="Abadi" w:hAnsi="Abadi"/>
          <w:sz w:val="21"/>
          <w:szCs w:val="21"/>
        </w:rPr>
        <w:t xml:space="preserve"> pues queríamos ser diputados </w:t>
      </w:r>
      <w:r>
        <w:rPr>
          <w:rFonts w:ascii="Abadi" w:hAnsi="Abadi"/>
          <w:sz w:val="21"/>
          <w:szCs w:val="21"/>
        </w:rPr>
        <w:t>¿</w:t>
      </w:r>
      <w:r w:rsidRPr="0030088F">
        <w:rPr>
          <w:rFonts w:ascii="Abadi" w:hAnsi="Abadi"/>
          <w:sz w:val="21"/>
          <w:szCs w:val="21"/>
        </w:rPr>
        <w:t>no</w:t>
      </w:r>
      <w:r>
        <w:rPr>
          <w:rFonts w:ascii="Abadi" w:hAnsi="Abadi"/>
          <w:sz w:val="21"/>
          <w:szCs w:val="21"/>
        </w:rPr>
        <w:t>?</w:t>
      </w:r>
      <w:r w:rsidRPr="0030088F">
        <w:rPr>
          <w:rFonts w:ascii="Abadi" w:hAnsi="Abadi"/>
          <w:sz w:val="21"/>
          <w:szCs w:val="21"/>
        </w:rPr>
        <w:t xml:space="preserve"> aquí estamos</w:t>
      </w:r>
      <w:r>
        <w:rPr>
          <w:rFonts w:ascii="Abadi" w:hAnsi="Abadi"/>
          <w:sz w:val="21"/>
          <w:szCs w:val="21"/>
        </w:rPr>
        <w:t>,</w:t>
      </w:r>
      <w:r w:rsidRPr="0030088F">
        <w:rPr>
          <w:rFonts w:ascii="Abadi" w:hAnsi="Abadi"/>
          <w:sz w:val="21"/>
          <w:szCs w:val="21"/>
        </w:rPr>
        <w:t xml:space="preserve"> con mucho gusto y que vengan a rectificaciones de hechos y que venga más</w:t>
      </w:r>
      <w:r>
        <w:rPr>
          <w:rFonts w:ascii="Abadi" w:hAnsi="Abadi"/>
          <w:sz w:val="21"/>
          <w:szCs w:val="21"/>
        </w:rPr>
        <w:t>,</w:t>
      </w:r>
      <w:r w:rsidRPr="0030088F">
        <w:rPr>
          <w:rFonts w:ascii="Abadi" w:hAnsi="Abadi"/>
          <w:sz w:val="21"/>
          <w:szCs w:val="21"/>
        </w:rPr>
        <w:t xml:space="preserve"> mi asunto va a ser muy breve</w:t>
      </w:r>
      <w:r>
        <w:rPr>
          <w:rFonts w:ascii="Abadi" w:hAnsi="Abadi"/>
          <w:sz w:val="21"/>
          <w:szCs w:val="21"/>
        </w:rPr>
        <w:t>,</w:t>
      </w:r>
      <w:r w:rsidRPr="0030088F">
        <w:rPr>
          <w:rFonts w:ascii="Abadi" w:hAnsi="Abadi"/>
          <w:sz w:val="21"/>
          <w:szCs w:val="21"/>
        </w:rPr>
        <w:t xml:space="preserve"> voy a hablar sobre la pensión universal para personas con discapacidad</w:t>
      </w:r>
      <w:r>
        <w:rPr>
          <w:rFonts w:ascii="Abadi" w:hAnsi="Abadi"/>
          <w:sz w:val="21"/>
          <w:szCs w:val="21"/>
        </w:rPr>
        <w:t>,</w:t>
      </w:r>
      <w:r w:rsidRPr="0030088F">
        <w:rPr>
          <w:rFonts w:ascii="Abadi" w:hAnsi="Abadi"/>
          <w:sz w:val="21"/>
          <w:szCs w:val="21"/>
        </w:rPr>
        <w:t xml:space="preserve"> estas personitas incluyen a todos aquellos quienes tienen alguna limitación física</w:t>
      </w:r>
      <w:r>
        <w:rPr>
          <w:rFonts w:ascii="Abadi" w:hAnsi="Abadi"/>
          <w:sz w:val="21"/>
          <w:szCs w:val="21"/>
        </w:rPr>
        <w:t>,</w:t>
      </w:r>
      <w:r w:rsidRPr="0030088F">
        <w:rPr>
          <w:rFonts w:ascii="Abadi" w:hAnsi="Abadi"/>
          <w:sz w:val="21"/>
          <w:szCs w:val="21"/>
        </w:rPr>
        <w:t xml:space="preserve"> mental</w:t>
      </w:r>
      <w:r>
        <w:rPr>
          <w:rFonts w:ascii="Abadi" w:hAnsi="Abadi"/>
          <w:sz w:val="21"/>
          <w:szCs w:val="21"/>
        </w:rPr>
        <w:t>,</w:t>
      </w:r>
      <w:r w:rsidRPr="0030088F">
        <w:rPr>
          <w:rFonts w:ascii="Abadi" w:hAnsi="Abadi"/>
          <w:sz w:val="21"/>
          <w:szCs w:val="21"/>
        </w:rPr>
        <w:t xml:space="preserve"> intelectual o sensorial</w:t>
      </w:r>
      <w:r>
        <w:rPr>
          <w:rFonts w:ascii="Abadi" w:hAnsi="Abadi"/>
          <w:sz w:val="21"/>
          <w:szCs w:val="21"/>
        </w:rPr>
        <w:t>,</w:t>
      </w:r>
      <w:r w:rsidRPr="0030088F">
        <w:rPr>
          <w:rFonts w:ascii="Abadi" w:hAnsi="Abadi"/>
          <w:sz w:val="21"/>
          <w:szCs w:val="21"/>
        </w:rPr>
        <w:t xml:space="preserve"> cosa que les permite interactuar porque les genera barreras y les impide su participación plena en la sociedad los derechos humanos de estas personas tienen como barrera general la inclusión efectiva de este grupo social por lo cual toda perspectiva de derechos humanos supone la necesidad de que se realicen ajustes </w:t>
      </w:r>
      <w:r w:rsidRPr="0030088F">
        <w:rPr>
          <w:rFonts w:ascii="Abadi" w:hAnsi="Abadi"/>
          <w:sz w:val="21"/>
          <w:szCs w:val="21"/>
        </w:rPr>
        <w:t>específicos para que todos ellos disfruten de todos los bienes y servicios necesarios para una vida digna</w:t>
      </w:r>
      <w:r>
        <w:rPr>
          <w:rFonts w:ascii="Abadi" w:hAnsi="Abadi"/>
          <w:sz w:val="21"/>
          <w:szCs w:val="21"/>
        </w:rPr>
        <w:t>.</w:t>
      </w:r>
    </w:p>
    <w:p w14:paraId="1031E766" w14:textId="77777777" w:rsidR="004014E5" w:rsidRDefault="004014E5" w:rsidP="00751E3D">
      <w:pPr>
        <w:jc w:val="both"/>
        <w:rPr>
          <w:rFonts w:ascii="Abadi" w:hAnsi="Abadi"/>
          <w:sz w:val="21"/>
          <w:szCs w:val="21"/>
        </w:rPr>
      </w:pPr>
    </w:p>
    <w:p w14:paraId="156E97F6"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ntre los principales problemas que enfrentan para su inclusión</w:t>
      </w:r>
      <w:r>
        <w:rPr>
          <w:rFonts w:ascii="Abadi" w:hAnsi="Abadi"/>
          <w:sz w:val="21"/>
          <w:szCs w:val="21"/>
        </w:rPr>
        <w:t>,</w:t>
      </w:r>
      <w:r w:rsidRPr="0030088F">
        <w:rPr>
          <w:rFonts w:ascii="Abadi" w:hAnsi="Abadi"/>
          <w:sz w:val="21"/>
          <w:szCs w:val="21"/>
        </w:rPr>
        <w:t xml:space="preserve"> se encuentran las barreras de acceso a la participación económica</w:t>
      </w:r>
      <w:r>
        <w:rPr>
          <w:rFonts w:ascii="Abadi" w:hAnsi="Abadi"/>
          <w:sz w:val="21"/>
          <w:szCs w:val="21"/>
        </w:rPr>
        <w:t>,</w:t>
      </w:r>
      <w:r w:rsidRPr="0030088F">
        <w:rPr>
          <w:rFonts w:ascii="Abadi" w:hAnsi="Abadi"/>
          <w:sz w:val="21"/>
          <w:szCs w:val="21"/>
        </w:rPr>
        <w:t xml:space="preserve"> lo cual suele colocarlos en situación de vulnerabilidad</w:t>
      </w:r>
      <w:r>
        <w:rPr>
          <w:rFonts w:ascii="Abadi" w:hAnsi="Abadi"/>
          <w:sz w:val="21"/>
          <w:szCs w:val="21"/>
        </w:rPr>
        <w:t>,</w:t>
      </w:r>
      <w:r w:rsidRPr="0030088F">
        <w:rPr>
          <w:rFonts w:ascii="Abadi" w:hAnsi="Abadi"/>
          <w:sz w:val="21"/>
          <w:szCs w:val="21"/>
        </w:rPr>
        <w:t xml:space="preserve"> por no tener ingresos suficientes</w:t>
      </w:r>
      <w:r>
        <w:rPr>
          <w:rFonts w:ascii="Abadi" w:hAnsi="Abadi"/>
          <w:sz w:val="21"/>
          <w:szCs w:val="21"/>
        </w:rPr>
        <w:t xml:space="preserve"> </w:t>
      </w:r>
      <w:r w:rsidRPr="0030088F">
        <w:rPr>
          <w:rFonts w:ascii="Abadi" w:hAnsi="Abadi"/>
          <w:sz w:val="21"/>
          <w:szCs w:val="21"/>
        </w:rPr>
        <w:t xml:space="preserve"> en el año del 2020 se reflejó la gravedad de este problema</w:t>
      </w:r>
      <w:r>
        <w:rPr>
          <w:rFonts w:ascii="Abadi" w:hAnsi="Abadi"/>
          <w:sz w:val="21"/>
          <w:szCs w:val="21"/>
        </w:rPr>
        <w:t xml:space="preserve">, seis de cada diez </w:t>
      </w:r>
      <w:r w:rsidRPr="0030088F">
        <w:rPr>
          <w:rFonts w:ascii="Abadi" w:hAnsi="Abadi"/>
          <w:sz w:val="21"/>
          <w:szCs w:val="21"/>
        </w:rPr>
        <w:t>personas con discapacidad</w:t>
      </w:r>
      <w:r>
        <w:rPr>
          <w:rFonts w:ascii="Abadi" w:hAnsi="Abadi"/>
          <w:sz w:val="21"/>
          <w:szCs w:val="21"/>
        </w:rPr>
        <w:t>,</w:t>
      </w:r>
      <w:r w:rsidRPr="0030088F">
        <w:rPr>
          <w:rFonts w:ascii="Abadi" w:hAnsi="Abadi"/>
          <w:sz w:val="21"/>
          <w:szCs w:val="21"/>
        </w:rPr>
        <w:t xml:space="preserve"> mayores de 15 años</w:t>
      </w:r>
      <w:r>
        <w:rPr>
          <w:rFonts w:ascii="Abadi" w:hAnsi="Abadi"/>
          <w:sz w:val="21"/>
          <w:szCs w:val="21"/>
        </w:rPr>
        <w:t>,</w:t>
      </w:r>
      <w:r w:rsidRPr="0030088F">
        <w:rPr>
          <w:rFonts w:ascii="Abadi" w:hAnsi="Abadi"/>
          <w:sz w:val="21"/>
          <w:szCs w:val="21"/>
        </w:rPr>
        <w:t xml:space="preserve"> no tienen participación económica</w:t>
      </w:r>
      <w:r>
        <w:rPr>
          <w:rFonts w:ascii="Abadi" w:hAnsi="Abadi"/>
          <w:sz w:val="21"/>
          <w:szCs w:val="21"/>
        </w:rPr>
        <w:t>,</w:t>
      </w:r>
      <w:r w:rsidRPr="0030088F">
        <w:rPr>
          <w:rFonts w:ascii="Abadi" w:hAnsi="Abadi"/>
          <w:sz w:val="21"/>
          <w:szCs w:val="21"/>
        </w:rPr>
        <w:t xml:space="preserve"> en este sentido una de las medidas que tomó el gobierno federal</w:t>
      </w:r>
      <w:r>
        <w:rPr>
          <w:rFonts w:ascii="Abadi" w:hAnsi="Abadi"/>
          <w:sz w:val="21"/>
          <w:szCs w:val="21"/>
        </w:rPr>
        <w:t>,</w:t>
      </w:r>
      <w:r w:rsidRPr="0030088F">
        <w:rPr>
          <w:rFonts w:ascii="Abadi" w:hAnsi="Abadi"/>
          <w:sz w:val="21"/>
          <w:szCs w:val="21"/>
        </w:rPr>
        <w:t xml:space="preserve"> emanado de la cuarta transformación</w:t>
      </w:r>
      <w:r>
        <w:rPr>
          <w:rFonts w:ascii="Abadi" w:hAnsi="Abadi"/>
          <w:sz w:val="21"/>
          <w:szCs w:val="21"/>
        </w:rPr>
        <w:t>,</w:t>
      </w:r>
      <w:r w:rsidRPr="0030088F">
        <w:rPr>
          <w:rFonts w:ascii="Abadi" w:hAnsi="Abadi"/>
          <w:sz w:val="21"/>
          <w:szCs w:val="21"/>
        </w:rPr>
        <w:t xml:space="preserve"> para contribuir en la e inclusión efectiva para estas personas fue el reconocimiento constitucional del derecho de las personas con discapacidad permanente a recibir un apoyo económico priorizando a los mayores de 18 años</w:t>
      </w:r>
      <w:r>
        <w:rPr>
          <w:rFonts w:ascii="Abadi" w:hAnsi="Abadi"/>
          <w:sz w:val="21"/>
          <w:szCs w:val="21"/>
        </w:rPr>
        <w:t>,</w:t>
      </w:r>
      <w:r w:rsidRPr="0030088F">
        <w:rPr>
          <w:rFonts w:ascii="Abadi" w:hAnsi="Abadi"/>
          <w:sz w:val="21"/>
          <w:szCs w:val="21"/>
        </w:rPr>
        <w:t xml:space="preserve"> así como a las personas en situación de pobreza extrema</w:t>
      </w:r>
      <w:r>
        <w:rPr>
          <w:rFonts w:ascii="Abadi" w:hAnsi="Abadi"/>
          <w:sz w:val="21"/>
          <w:szCs w:val="21"/>
        </w:rPr>
        <w:t>,</w:t>
      </w:r>
      <w:r w:rsidRPr="0030088F">
        <w:rPr>
          <w:rFonts w:ascii="Abadi" w:hAnsi="Abadi"/>
          <w:sz w:val="21"/>
          <w:szCs w:val="21"/>
        </w:rPr>
        <w:t xml:space="preserve"> indígenas y afro mexicanas de hasta 64 años de edad</w:t>
      </w:r>
      <w:r>
        <w:rPr>
          <w:rFonts w:ascii="Abadi" w:hAnsi="Abadi"/>
          <w:sz w:val="21"/>
          <w:szCs w:val="21"/>
        </w:rPr>
        <w:t>,</w:t>
      </w:r>
      <w:r w:rsidRPr="0030088F">
        <w:rPr>
          <w:rFonts w:ascii="Abadi" w:hAnsi="Abadi"/>
          <w:sz w:val="21"/>
          <w:szCs w:val="21"/>
        </w:rPr>
        <w:t xml:space="preserve"> por cierto</w:t>
      </w:r>
      <w:r>
        <w:rPr>
          <w:rFonts w:ascii="Abadi" w:hAnsi="Abadi"/>
          <w:sz w:val="21"/>
          <w:szCs w:val="21"/>
        </w:rPr>
        <w:t>,</w:t>
      </w:r>
      <w:r w:rsidRPr="0030088F">
        <w:rPr>
          <w:rFonts w:ascii="Abadi" w:hAnsi="Abadi"/>
          <w:sz w:val="21"/>
          <w:szCs w:val="21"/>
        </w:rPr>
        <w:t xml:space="preserve"> dicho sea de paso</w:t>
      </w:r>
      <w:r>
        <w:rPr>
          <w:rFonts w:ascii="Abadi" w:hAnsi="Abadi"/>
          <w:sz w:val="21"/>
          <w:szCs w:val="21"/>
        </w:rPr>
        <w:t>,</w:t>
      </w:r>
      <w:r w:rsidRPr="0030088F">
        <w:rPr>
          <w:rFonts w:ascii="Abadi" w:hAnsi="Abadi"/>
          <w:sz w:val="21"/>
          <w:szCs w:val="21"/>
        </w:rPr>
        <w:t xml:space="preserve"> este reconocimiento fue respaldado por todas las legislaturas locales</w:t>
      </w:r>
      <w:r>
        <w:rPr>
          <w:rFonts w:ascii="Abadi" w:hAnsi="Abadi"/>
          <w:sz w:val="21"/>
          <w:szCs w:val="21"/>
        </w:rPr>
        <w:t>,</w:t>
      </w:r>
      <w:r w:rsidRPr="0030088F">
        <w:rPr>
          <w:rFonts w:ascii="Abadi" w:hAnsi="Abadi"/>
          <w:sz w:val="21"/>
          <w:szCs w:val="21"/>
        </w:rPr>
        <w:t xml:space="preserve"> incluyendo este </w:t>
      </w:r>
      <w:r>
        <w:rPr>
          <w:rFonts w:ascii="Abadi" w:hAnsi="Abadi"/>
          <w:sz w:val="21"/>
          <w:szCs w:val="21"/>
        </w:rPr>
        <w:t>H</w:t>
      </w:r>
      <w:r w:rsidRPr="0030088F">
        <w:rPr>
          <w:rFonts w:ascii="Abadi" w:hAnsi="Abadi"/>
          <w:sz w:val="21"/>
          <w:szCs w:val="21"/>
        </w:rPr>
        <w:t xml:space="preserve">onorable </w:t>
      </w:r>
      <w:r>
        <w:rPr>
          <w:rFonts w:ascii="Abadi" w:hAnsi="Abadi"/>
          <w:sz w:val="21"/>
          <w:szCs w:val="21"/>
        </w:rPr>
        <w:t>C</w:t>
      </w:r>
      <w:r w:rsidRPr="0030088F">
        <w:rPr>
          <w:rFonts w:ascii="Abadi" w:hAnsi="Abadi"/>
          <w:sz w:val="21"/>
          <w:szCs w:val="21"/>
        </w:rPr>
        <w:t>ongreso de Guanajuato</w:t>
      </w:r>
      <w:r>
        <w:rPr>
          <w:rFonts w:ascii="Abadi" w:hAnsi="Abadi"/>
          <w:sz w:val="21"/>
          <w:szCs w:val="21"/>
        </w:rPr>
        <w:t>,</w:t>
      </w:r>
      <w:r w:rsidRPr="0030088F">
        <w:rPr>
          <w:rFonts w:ascii="Abadi" w:hAnsi="Abadi"/>
          <w:sz w:val="21"/>
          <w:szCs w:val="21"/>
        </w:rPr>
        <w:t xml:space="preserve"> quienes respaldaron</w:t>
      </w:r>
      <w:r>
        <w:rPr>
          <w:rFonts w:ascii="Abadi" w:hAnsi="Abadi"/>
          <w:sz w:val="21"/>
          <w:szCs w:val="21"/>
        </w:rPr>
        <w:t>,</w:t>
      </w:r>
      <w:r w:rsidRPr="0030088F">
        <w:rPr>
          <w:rFonts w:ascii="Abadi" w:hAnsi="Abadi"/>
          <w:sz w:val="21"/>
          <w:szCs w:val="21"/>
        </w:rPr>
        <w:t xml:space="preserve"> quienes respalda</w:t>
      </w:r>
      <w:r>
        <w:rPr>
          <w:rFonts w:ascii="Abadi" w:hAnsi="Abadi"/>
          <w:sz w:val="21"/>
          <w:szCs w:val="21"/>
        </w:rPr>
        <w:t xml:space="preserve">ron, </w:t>
      </w:r>
      <w:r w:rsidRPr="0030088F">
        <w:rPr>
          <w:rFonts w:ascii="Abadi" w:hAnsi="Abadi"/>
          <w:sz w:val="21"/>
          <w:szCs w:val="21"/>
        </w:rPr>
        <w:t>votando a favor de dicha minuta</w:t>
      </w:r>
      <w:r>
        <w:rPr>
          <w:rFonts w:ascii="Abadi" w:hAnsi="Abadi"/>
          <w:sz w:val="21"/>
          <w:szCs w:val="21"/>
        </w:rPr>
        <w:t>.</w:t>
      </w:r>
    </w:p>
    <w:p w14:paraId="061EFF0B" w14:textId="77777777" w:rsidR="004014E5" w:rsidRDefault="004014E5" w:rsidP="00751E3D">
      <w:pPr>
        <w:jc w:val="both"/>
        <w:rPr>
          <w:rFonts w:ascii="Abadi" w:hAnsi="Abadi"/>
          <w:sz w:val="21"/>
          <w:szCs w:val="21"/>
        </w:rPr>
      </w:pPr>
    </w:p>
    <w:p w14:paraId="4EC88385"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ste derecho ya</w:t>
      </w:r>
      <w:r>
        <w:rPr>
          <w:rFonts w:ascii="Abadi" w:hAnsi="Abadi"/>
          <w:sz w:val="21"/>
          <w:szCs w:val="21"/>
        </w:rPr>
        <w:t>,</w:t>
      </w:r>
      <w:r w:rsidRPr="0030088F">
        <w:rPr>
          <w:rFonts w:ascii="Abadi" w:hAnsi="Abadi"/>
          <w:sz w:val="21"/>
          <w:szCs w:val="21"/>
        </w:rPr>
        <w:t xml:space="preserve"> ya</w:t>
      </w:r>
      <w:r>
        <w:rPr>
          <w:rFonts w:ascii="Abadi" w:hAnsi="Abadi"/>
          <w:sz w:val="21"/>
          <w:szCs w:val="21"/>
        </w:rPr>
        <w:t>,</w:t>
      </w:r>
      <w:r w:rsidRPr="0030088F">
        <w:rPr>
          <w:rFonts w:ascii="Abadi" w:hAnsi="Abadi"/>
          <w:sz w:val="21"/>
          <w:szCs w:val="21"/>
        </w:rPr>
        <w:t xml:space="preserve"> se echó a andar en todo el país</w:t>
      </w:r>
      <w:r>
        <w:rPr>
          <w:rFonts w:ascii="Abadi" w:hAnsi="Abadi"/>
          <w:sz w:val="21"/>
          <w:szCs w:val="21"/>
        </w:rPr>
        <w:t>,</w:t>
      </w:r>
      <w:r w:rsidRPr="0030088F">
        <w:rPr>
          <w:rFonts w:ascii="Abadi" w:hAnsi="Abadi"/>
          <w:sz w:val="21"/>
          <w:szCs w:val="21"/>
        </w:rPr>
        <w:t xml:space="preserve"> a través del programa de pensión para el bienestar de las personas con discapacidad permanente</w:t>
      </w:r>
      <w:r>
        <w:rPr>
          <w:rFonts w:ascii="Abadi" w:hAnsi="Abadi"/>
          <w:sz w:val="21"/>
          <w:szCs w:val="21"/>
        </w:rPr>
        <w:t>,</w:t>
      </w:r>
      <w:r w:rsidRPr="0030088F">
        <w:rPr>
          <w:rFonts w:ascii="Abadi" w:hAnsi="Abadi"/>
          <w:sz w:val="21"/>
          <w:szCs w:val="21"/>
        </w:rPr>
        <w:t xml:space="preserve"> mediante el cual el gobierno federal otorga a los apoyos económicos a quienes tienen derecho</w:t>
      </w:r>
      <w:r>
        <w:rPr>
          <w:rFonts w:ascii="Abadi" w:hAnsi="Abadi"/>
          <w:sz w:val="21"/>
          <w:szCs w:val="21"/>
        </w:rPr>
        <w:t>,</w:t>
      </w:r>
      <w:r w:rsidRPr="0030088F">
        <w:rPr>
          <w:rFonts w:ascii="Abadi" w:hAnsi="Abadi"/>
          <w:sz w:val="21"/>
          <w:szCs w:val="21"/>
        </w:rPr>
        <w:t xml:space="preserve"> así como apoyos en especie para rehabilitación</w:t>
      </w:r>
      <w:r>
        <w:rPr>
          <w:rFonts w:ascii="Abadi" w:hAnsi="Abadi"/>
          <w:sz w:val="21"/>
          <w:szCs w:val="21"/>
        </w:rPr>
        <w:t>.</w:t>
      </w:r>
    </w:p>
    <w:p w14:paraId="035531ED" w14:textId="77777777" w:rsidR="004014E5" w:rsidRDefault="004014E5" w:rsidP="00751E3D">
      <w:pPr>
        <w:jc w:val="both"/>
        <w:rPr>
          <w:rFonts w:ascii="Abadi" w:hAnsi="Abadi"/>
          <w:sz w:val="21"/>
          <w:szCs w:val="21"/>
        </w:rPr>
      </w:pPr>
    </w:p>
    <w:p w14:paraId="7D6A6645"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n total</w:t>
      </w:r>
      <w:r>
        <w:rPr>
          <w:rFonts w:ascii="Abadi" w:hAnsi="Abadi"/>
          <w:sz w:val="21"/>
          <w:szCs w:val="21"/>
        </w:rPr>
        <w:t xml:space="preserve">, </w:t>
      </w:r>
      <w:r w:rsidRPr="0030088F">
        <w:rPr>
          <w:rFonts w:ascii="Abadi" w:hAnsi="Abadi"/>
          <w:sz w:val="21"/>
          <w:szCs w:val="21"/>
        </w:rPr>
        <w:t xml:space="preserve">el </w:t>
      </w:r>
      <w:r>
        <w:rPr>
          <w:rFonts w:ascii="Abadi" w:hAnsi="Abadi"/>
          <w:sz w:val="21"/>
          <w:szCs w:val="21"/>
        </w:rPr>
        <w:t>G</w:t>
      </w:r>
      <w:r w:rsidRPr="0030088F">
        <w:rPr>
          <w:rFonts w:ascii="Abadi" w:hAnsi="Abadi"/>
          <w:sz w:val="21"/>
          <w:szCs w:val="21"/>
        </w:rPr>
        <w:t xml:space="preserve">obierno </w:t>
      </w:r>
      <w:r>
        <w:rPr>
          <w:rFonts w:ascii="Abadi" w:hAnsi="Abadi"/>
          <w:sz w:val="21"/>
          <w:szCs w:val="21"/>
        </w:rPr>
        <w:t>F</w:t>
      </w:r>
      <w:r w:rsidRPr="0030088F">
        <w:rPr>
          <w:rFonts w:ascii="Abadi" w:hAnsi="Abadi"/>
          <w:sz w:val="21"/>
          <w:szCs w:val="21"/>
        </w:rPr>
        <w:t>ederal está beneficiando a más de 994</w:t>
      </w:r>
      <w:r>
        <w:rPr>
          <w:rFonts w:ascii="Abadi" w:hAnsi="Abadi"/>
          <w:sz w:val="21"/>
          <w:szCs w:val="21"/>
        </w:rPr>
        <w:t xml:space="preserve"> mil</w:t>
      </w:r>
      <w:r w:rsidRPr="0030088F">
        <w:rPr>
          <w:rFonts w:ascii="Abadi" w:hAnsi="Abadi"/>
          <w:sz w:val="21"/>
          <w:szCs w:val="21"/>
        </w:rPr>
        <w:t xml:space="preserve"> personas en este programa</w:t>
      </w:r>
      <w:r>
        <w:rPr>
          <w:rFonts w:ascii="Abadi" w:hAnsi="Abadi"/>
          <w:sz w:val="21"/>
          <w:szCs w:val="21"/>
        </w:rPr>
        <w:t>,</w:t>
      </w:r>
      <w:r w:rsidRPr="0030088F">
        <w:rPr>
          <w:rFonts w:ascii="Abadi" w:hAnsi="Abadi"/>
          <w:sz w:val="21"/>
          <w:szCs w:val="21"/>
        </w:rPr>
        <w:t xml:space="preserve"> de las cuales 46</w:t>
      </w:r>
      <w:r>
        <w:rPr>
          <w:rFonts w:ascii="Abadi" w:hAnsi="Abadi"/>
          <w:sz w:val="21"/>
          <w:szCs w:val="21"/>
        </w:rPr>
        <w:t xml:space="preserve"> mil 1</w:t>
      </w:r>
      <w:r w:rsidRPr="0030088F">
        <w:rPr>
          <w:rFonts w:ascii="Abadi" w:hAnsi="Abadi"/>
          <w:sz w:val="21"/>
          <w:szCs w:val="21"/>
        </w:rPr>
        <w:t>95 son guanajuatenses</w:t>
      </w:r>
      <w:r>
        <w:rPr>
          <w:rFonts w:ascii="Abadi" w:hAnsi="Abadi"/>
          <w:sz w:val="21"/>
          <w:szCs w:val="21"/>
        </w:rPr>
        <w:t>,</w:t>
      </w:r>
      <w:r w:rsidRPr="0030088F">
        <w:rPr>
          <w:rFonts w:ascii="Abadi" w:hAnsi="Abadi"/>
          <w:sz w:val="21"/>
          <w:szCs w:val="21"/>
        </w:rPr>
        <w:t xml:space="preserve"> el problema es que en nuestro estado hay aproximadamente 166</w:t>
      </w:r>
      <w:r>
        <w:rPr>
          <w:rFonts w:ascii="Abadi" w:hAnsi="Abadi"/>
          <w:sz w:val="21"/>
          <w:szCs w:val="21"/>
        </w:rPr>
        <w:t xml:space="preserve"> mil </w:t>
      </w:r>
      <w:r w:rsidRPr="0030088F">
        <w:rPr>
          <w:rFonts w:ascii="Abadi" w:hAnsi="Abadi"/>
          <w:sz w:val="21"/>
          <w:szCs w:val="21"/>
        </w:rPr>
        <w:t>personas con discapacidad</w:t>
      </w:r>
      <w:r>
        <w:rPr>
          <w:rFonts w:ascii="Abadi" w:hAnsi="Abadi"/>
          <w:sz w:val="21"/>
          <w:szCs w:val="21"/>
        </w:rPr>
        <w:t>,</w:t>
      </w:r>
      <w:r w:rsidRPr="0030088F">
        <w:rPr>
          <w:rFonts w:ascii="Abadi" w:hAnsi="Abadi"/>
          <w:sz w:val="21"/>
          <w:szCs w:val="21"/>
        </w:rPr>
        <w:t xml:space="preserve"> menores de 65 años</w:t>
      </w:r>
      <w:r>
        <w:rPr>
          <w:rFonts w:ascii="Abadi" w:hAnsi="Abadi"/>
          <w:sz w:val="21"/>
          <w:szCs w:val="21"/>
        </w:rPr>
        <w:t>,</w:t>
      </w:r>
      <w:r w:rsidRPr="0030088F">
        <w:rPr>
          <w:rFonts w:ascii="Abadi" w:hAnsi="Abadi"/>
          <w:sz w:val="21"/>
          <w:szCs w:val="21"/>
        </w:rPr>
        <w:t xml:space="preserve"> que podrían recibir esta pensión</w:t>
      </w:r>
      <w:r>
        <w:rPr>
          <w:rFonts w:ascii="Abadi" w:hAnsi="Abadi"/>
          <w:sz w:val="21"/>
          <w:szCs w:val="21"/>
        </w:rPr>
        <w:t>,</w:t>
      </w:r>
      <w:r w:rsidRPr="0030088F">
        <w:rPr>
          <w:rFonts w:ascii="Abadi" w:hAnsi="Abadi"/>
          <w:sz w:val="21"/>
          <w:szCs w:val="21"/>
        </w:rPr>
        <w:t xml:space="preserve"> sin embargo</w:t>
      </w:r>
      <w:r>
        <w:rPr>
          <w:rFonts w:ascii="Abadi" w:hAnsi="Abadi"/>
          <w:sz w:val="21"/>
          <w:szCs w:val="21"/>
        </w:rPr>
        <w:t>,</w:t>
      </w:r>
      <w:r w:rsidRPr="0030088F">
        <w:rPr>
          <w:rFonts w:ascii="Abadi" w:hAnsi="Abadi"/>
          <w:sz w:val="21"/>
          <w:szCs w:val="21"/>
        </w:rPr>
        <w:t xml:space="preserve"> para lograrlo</w:t>
      </w:r>
      <w:r>
        <w:rPr>
          <w:rFonts w:ascii="Abadi" w:hAnsi="Abadi"/>
          <w:sz w:val="21"/>
          <w:szCs w:val="21"/>
        </w:rPr>
        <w:t>,</w:t>
      </w:r>
      <w:r w:rsidRPr="0030088F">
        <w:rPr>
          <w:rFonts w:ascii="Abadi" w:hAnsi="Abadi"/>
          <w:sz w:val="21"/>
          <w:szCs w:val="21"/>
        </w:rPr>
        <w:t xml:space="preserve"> es necesario universalizar este derecho</w:t>
      </w:r>
      <w:r>
        <w:rPr>
          <w:rFonts w:ascii="Abadi" w:hAnsi="Abadi"/>
          <w:sz w:val="21"/>
          <w:szCs w:val="21"/>
        </w:rPr>
        <w:t>.</w:t>
      </w:r>
    </w:p>
    <w:p w14:paraId="3396E776" w14:textId="77777777" w:rsidR="004014E5" w:rsidRDefault="004014E5" w:rsidP="00751E3D">
      <w:pPr>
        <w:jc w:val="both"/>
        <w:rPr>
          <w:rFonts w:ascii="Abadi" w:hAnsi="Abadi"/>
          <w:sz w:val="21"/>
          <w:szCs w:val="21"/>
        </w:rPr>
      </w:pPr>
    </w:p>
    <w:p w14:paraId="75E266EA" w14:textId="77777777" w:rsidR="00751E3D" w:rsidRDefault="00751E3D" w:rsidP="00751E3D">
      <w:pPr>
        <w:jc w:val="both"/>
        <w:rPr>
          <w:rFonts w:ascii="Abadi" w:hAnsi="Abadi"/>
          <w:sz w:val="21"/>
          <w:szCs w:val="21"/>
        </w:rPr>
      </w:pPr>
      <w:r>
        <w:rPr>
          <w:rFonts w:ascii="Abadi" w:hAnsi="Abadi"/>
          <w:sz w:val="21"/>
          <w:szCs w:val="21"/>
        </w:rPr>
        <w:t>- C</w:t>
      </w:r>
      <w:r w:rsidRPr="0030088F">
        <w:rPr>
          <w:rFonts w:ascii="Abadi" w:hAnsi="Abadi"/>
          <w:sz w:val="21"/>
          <w:szCs w:val="21"/>
        </w:rPr>
        <w:t>on la finalidad de consolidar esa universalidad</w:t>
      </w:r>
      <w:r>
        <w:rPr>
          <w:rFonts w:ascii="Abadi" w:hAnsi="Abadi"/>
          <w:sz w:val="21"/>
          <w:szCs w:val="21"/>
        </w:rPr>
        <w:t>,</w:t>
      </w:r>
      <w:r w:rsidRPr="0030088F">
        <w:rPr>
          <w:rFonts w:ascii="Abadi" w:hAnsi="Abadi"/>
          <w:sz w:val="21"/>
          <w:szCs w:val="21"/>
        </w:rPr>
        <w:t xml:space="preserve"> es decir</w:t>
      </w:r>
      <w:r>
        <w:rPr>
          <w:rFonts w:ascii="Abadi" w:hAnsi="Abadi"/>
          <w:sz w:val="21"/>
          <w:szCs w:val="21"/>
        </w:rPr>
        <w:t>,</w:t>
      </w:r>
      <w:r w:rsidRPr="0030088F">
        <w:rPr>
          <w:rFonts w:ascii="Abadi" w:hAnsi="Abadi"/>
          <w:sz w:val="21"/>
          <w:szCs w:val="21"/>
        </w:rPr>
        <w:t xml:space="preserve"> de que llegue a todas las personas con discapacidad el propio gobierno federal propuso un convenio de colaboración entre la federación y los gobiernos de las entidades federativas</w:t>
      </w:r>
      <w:r>
        <w:rPr>
          <w:rFonts w:ascii="Abadi" w:hAnsi="Abadi"/>
          <w:sz w:val="21"/>
          <w:szCs w:val="21"/>
        </w:rPr>
        <w:t>,</w:t>
      </w:r>
      <w:r w:rsidRPr="0030088F">
        <w:rPr>
          <w:rFonts w:ascii="Abadi" w:hAnsi="Abadi"/>
          <w:sz w:val="21"/>
          <w:szCs w:val="21"/>
        </w:rPr>
        <w:t xml:space="preserve"> la segunda cláusula de este convenio</w:t>
      </w:r>
      <w:r>
        <w:rPr>
          <w:rFonts w:ascii="Abadi" w:hAnsi="Abadi"/>
          <w:sz w:val="21"/>
          <w:szCs w:val="21"/>
        </w:rPr>
        <w:t>,</w:t>
      </w:r>
      <w:r w:rsidRPr="0030088F">
        <w:rPr>
          <w:rFonts w:ascii="Abadi" w:hAnsi="Abadi"/>
          <w:sz w:val="21"/>
          <w:szCs w:val="21"/>
        </w:rPr>
        <w:t xml:space="preserve"> establece que las personas titulares del </w:t>
      </w:r>
      <w:r>
        <w:rPr>
          <w:rFonts w:ascii="Abadi" w:hAnsi="Abadi"/>
          <w:sz w:val="21"/>
          <w:szCs w:val="21"/>
        </w:rPr>
        <w:t>P</w:t>
      </w:r>
      <w:r w:rsidRPr="0030088F">
        <w:rPr>
          <w:rFonts w:ascii="Abadi" w:hAnsi="Abadi"/>
          <w:sz w:val="21"/>
          <w:szCs w:val="21"/>
        </w:rPr>
        <w:t xml:space="preserve">oder </w:t>
      </w:r>
      <w:r>
        <w:rPr>
          <w:rFonts w:ascii="Abadi" w:hAnsi="Abadi"/>
          <w:sz w:val="21"/>
          <w:szCs w:val="21"/>
        </w:rPr>
        <w:t>E</w:t>
      </w:r>
      <w:r w:rsidRPr="0030088F">
        <w:rPr>
          <w:rFonts w:ascii="Abadi" w:hAnsi="Abadi"/>
          <w:sz w:val="21"/>
          <w:szCs w:val="21"/>
        </w:rPr>
        <w:t xml:space="preserve">jecutivo </w:t>
      </w:r>
      <w:r w:rsidRPr="0030088F">
        <w:rPr>
          <w:rFonts w:ascii="Abadi" w:hAnsi="Abadi"/>
          <w:sz w:val="21"/>
          <w:szCs w:val="21"/>
        </w:rPr>
        <w:lastRenderedPageBreak/>
        <w:t>de cada una de cada una de las entidades propondrá el monto de aportación de los recursos mismos que se establecieran en los anexos que serán firmados por cada entidad federativa que así convenga</w:t>
      </w:r>
      <w:r>
        <w:rPr>
          <w:rFonts w:ascii="Abadi" w:hAnsi="Abadi"/>
          <w:sz w:val="21"/>
          <w:szCs w:val="21"/>
        </w:rPr>
        <w:t>.</w:t>
      </w:r>
    </w:p>
    <w:p w14:paraId="4166E0EB" w14:textId="77777777" w:rsidR="00612345" w:rsidRDefault="00612345" w:rsidP="00751E3D">
      <w:pPr>
        <w:jc w:val="both"/>
        <w:rPr>
          <w:rFonts w:ascii="Abadi" w:hAnsi="Abadi"/>
          <w:sz w:val="21"/>
          <w:szCs w:val="21"/>
        </w:rPr>
      </w:pPr>
    </w:p>
    <w:p w14:paraId="099316F9" w14:textId="77777777" w:rsidR="00751E3D" w:rsidRDefault="00751E3D" w:rsidP="00751E3D">
      <w:pPr>
        <w:jc w:val="both"/>
        <w:rPr>
          <w:rFonts w:ascii="Abadi" w:hAnsi="Abadi"/>
          <w:sz w:val="21"/>
          <w:szCs w:val="21"/>
        </w:rPr>
      </w:pPr>
      <w:r>
        <w:rPr>
          <w:rFonts w:ascii="Abadi" w:hAnsi="Abadi"/>
          <w:sz w:val="21"/>
          <w:szCs w:val="21"/>
        </w:rPr>
        <w:t>- P</w:t>
      </w:r>
      <w:r w:rsidRPr="0030088F">
        <w:rPr>
          <w:rFonts w:ascii="Abadi" w:hAnsi="Abadi"/>
          <w:sz w:val="21"/>
          <w:szCs w:val="21"/>
        </w:rPr>
        <w:t>or su parte</w:t>
      </w:r>
      <w:r>
        <w:rPr>
          <w:rFonts w:ascii="Abadi" w:hAnsi="Abadi"/>
          <w:sz w:val="21"/>
          <w:szCs w:val="21"/>
        </w:rPr>
        <w:t>,</w:t>
      </w:r>
      <w:r w:rsidRPr="0030088F">
        <w:rPr>
          <w:rFonts w:ascii="Abadi" w:hAnsi="Abadi"/>
          <w:sz w:val="21"/>
          <w:szCs w:val="21"/>
        </w:rPr>
        <w:t xml:space="preserve"> la tercer cláusula establece que la federación y las entidades federativas asignarán por partes iguales las cantidades específicas señaladas en estos anexos</w:t>
      </w:r>
      <w:r>
        <w:rPr>
          <w:rFonts w:ascii="Abadi" w:hAnsi="Abadi"/>
          <w:sz w:val="21"/>
          <w:szCs w:val="21"/>
        </w:rPr>
        <w:t>,</w:t>
      </w:r>
      <w:r w:rsidRPr="0030088F">
        <w:rPr>
          <w:rFonts w:ascii="Abadi" w:hAnsi="Abadi"/>
          <w:sz w:val="21"/>
          <w:szCs w:val="21"/>
        </w:rPr>
        <w:t xml:space="preserve"> pudiendo modificarse de forma progresiva</w:t>
      </w:r>
      <w:r>
        <w:rPr>
          <w:rFonts w:ascii="Abadi" w:hAnsi="Abadi"/>
          <w:sz w:val="21"/>
          <w:szCs w:val="21"/>
        </w:rPr>
        <w:t>,</w:t>
      </w:r>
      <w:r w:rsidRPr="0030088F">
        <w:rPr>
          <w:rFonts w:ascii="Abadi" w:hAnsi="Abadi"/>
          <w:sz w:val="21"/>
          <w:szCs w:val="21"/>
        </w:rPr>
        <w:t xml:space="preserve"> es decir</w:t>
      </w:r>
      <w:r>
        <w:rPr>
          <w:rFonts w:ascii="Abadi" w:hAnsi="Abadi"/>
          <w:sz w:val="21"/>
          <w:szCs w:val="21"/>
        </w:rPr>
        <w:t>,</w:t>
      </w:r>
      <w:r w:rsidRPr="0030088F">
        <w:rPr>
          <w:rFonts w:ascii="Abadi" w:hAnsi="Abadi"/>
          <w:sz w:val="21"/>
          <w:szCs w:val="21"/>
        </w:rPr>
        <w:t xml:space="preserve"> el gobierno federal pondrá un peso por cada peso que aporten las entidades federativas con intención de aportar cada vez más hasta lograr que sea universal</w:t>
      </w:r>
      <w:r>
        <w:rPr>
          <w:rFonts w:ascii="Abadi" w:hAnsi="Abadi"/>
          <w:sz w:val="21"/>
          <w:szCs w:val="21"/>
        </w:rPr>
        <w:t>.</w:t>
      </w:r>
    </w:p>
    <w:p w14:paraId="0A770EFF" w14:textId="77777777" w:rsidR="00612345" w:rsidRDefault="00612345" w:rsidP="00751E3D">
      <w:pPr>
        <w:jc w:val="both"/>
        <w:rPr>
          <w:rFonts w:ascii="Abadi" w:hAnsi="Abadi"/>
          <w:sz w:val="21"/>
          <w:szCs w:val="21"/>
        </w:rPr>
      </w:pPr>
    </w:p>
    <w:p w14:paraId="6AE4FA96" w14:textId="77777777" w:rsidR="00751E3D" w:rsidRDefault="00751E3D" w:rsidP="00751E3D">
      <w:pPr>
        <w:jc w:val="both"/>
        <w:rPr>
          <w:rFonts w:ascii="Abadi" w:hAnsi="Abadi"/>
          <w:sz w:val="21"/>
          <w:szCs w:val="21"/>
        </w:rPr>
      </w:pPr>
      <w:r>
        <w:rPr>
          <w:rFonts w:ascii="Abadi" w:hAnsi="Abadi"/>
          <w:sz w:val="21"/>
          <w:szCs w:val="21"/>
        </w:rPr>
        <w:t>- P</w:t>
      </w:r>
      <w:r w:rsidRPr="0030088F">
        <w:rPr>
          <w:rFonts w:ascii="Abadi" w:hAnsi="Abadi"/>
          <w:sz w:val="21"/>
          <w:szCs w:val="21"/>
        </w:rPr>
        <w:t>ara lograr</w:t>
      </w:r>
      <w:r>
        <w:rPr>
          <w:rFonts w:ascii="Abadi" w:hAnsi="Abadi"/>
          <w:sz w:val="21"/>
          <w:szCs w:val="21"/>
        </w:rPr>
        <w:t>,</w:t>
      </w:r>
      <w:r w:rsidRPr="0030088F">
        <w:rPr>
          <w:rFonts w:ascii="Abadi" w:hAnsi="Abadi"/>
          <w:sz w:val="21"/>
          <w:szCs w:val="21"/>
        </w:rPr>
        <w:t xml:space="preserve"> que nuestro estado de Guanajuato</w:t>
      </w:r>
      <w:r>
        <w:rPr>
          <w:rFonts w:ascii="Abadi" w:hAnsi="Abadi"/>
          <w:sz w:val="21"/>
          <w:szCs w:val="21"/>
        </w:rPr>
        <w:t>,</w:t>
      </w:r>
      <w:r w:rsidRPr="0030088F">
        <w:rPr>
          <w:rFonts w:ascii="Abadi" w:hAnsi="Abadi"/>
          <w:sz w:val="21"/>
          <w:szCs w:val="21"/>
        </w:rPr>
        <w:t xml:space="preserve"> aportará recursos y contribuyera a garantizar este derecho</w:t>
      </w:r>
      <w:r>
        <w:rPr>
          <w:rFonts w:ascii="Abadi" w:hAnsi="Abadi"/>
          <w:sz w:val="21"/>
          <w:szCs w:val="21"/>
        </w:rPr>
        <w:t>,</w:t>
      </w:r>
      <w:r w:rsidRPr="0030088F">
        <w:rPr>
          <w:rFonts w:ascii="Abadi" w:hAnsi="Abadi"/>
          <w:sz w:val="21"/>
          <w:szCs w:val="21"/>
        </w:rPr>
        <w:t xml:space="preserve"> desde el </w:t>
      </w:r>
      <w:r>
        <w:rPr>
          <w:rFonts w:ascii="Abadi" w:hAnsi="Abadi"/>
          <w:sz w:val="21"/>
          <w:szCs w:val="21"/>
        </w:rPr>
        <w:t>P</w:t>
      </w:r>
      <w:r w:rsidRPr="0030088F">
        <w:rPr>
          <w:rFonts w:ascii="Abadi" w:hAnsi="Abadi"/>
          <w:sz w:val="21"/>
          <w:szCs w:val="21"/>
        </w:rPr>
        <w:t xml:space="preserve">artido </w:t>
      </w:r>
      <w:r>
        <w:rPr>
          <w:rFonts w:ascii="Abadi" w:hAnsi="Abadi"/>
          <w:sz w:val="21"/>
          <w:szCs w:val="21"/>
        </w:rPr>
        <w:t>M</w:t>
      </w:r>
      <w:r w:rsidRPr="0030088F">
        <w:rPr>
          <w:rFonts w:ascii="Abadi" w:hAnsi="Abadi"/>
          <w:sz w:val="21"/>
          <w:szCs w:val="21"/>
        </w:rPr>
        <w:t>orena propusimos reconocerlo como derecho constitucional local sin embargo el grupo mayoritario aquí en el pleno votó en contra argumentando que ya se había firmado un convenio y por tanto no sería necesario impactar nuestra constitución</w:t>
      </w:r>
      <w:r>
        <w:rPr>
          <w:rFonts w:ascii="Abadi" w:hAnsi="Abadi"/>
          <w:sz w:val="21"/>
          <w:szCs w:val="21"/>
        </w:rPr>
        <w:t xml:space="preserve">. </w:t>
      </w:r>
    </w:p>
    <w:p w14:paraId="1B63DB77" w14:textId="77777777" w:rsidR="00612345" w:rsidRDefault="00612345" w:rsidP="00751E3D">
      <w:pPr>
        <w:jc w:val="both"/>
        <w:rPr>
          <w:rFonts w:ascii="Abadi" w:hAnsi="Abadi"/>
          <w:sz w:val="21"/>
          <w:szCs w:val="21"/>
        </w:rPr>
      </w:pPr>
    </w:p>
    <w:p w14:paraId="6D6E4C2B" w14:textId="77777777" w:rsidR="00751E3D" w:rsidRDefault="00751E3D" w:rsidP="00751E3D">
      <w:pPr>
        <w:jc w:val="both"/>
        <w:rPr>
          <w:rFonts w:ascii="Abadi" w:hAnsi="Abadi"/>
          <w:sz w:val="21"/>
          <w:szCs w:val="21"/>
        </w:rPr>
      </w:pPr>
      <w:r>
        <w:rPr>
          <w:rFonts w:ascii="Abadi" w:hAnsi="Abadi"/>
          <w:sz w:val="21"/>
          <w:szCs w:val="21"/>
        </w:rPr>
        <w:t>-S</w:t>
      </w:r>
      <w:r w:rsidRPr="0030088F">
        <w:rPr>
          <w:rFonts w:ascii="Abadi" w:hAnsi="Abadi"/>
          <w:sz w:val="21"/>
          <w:szCs w:val="21"/>
        </w:rPr>
        <w:t>in embargo</w:t>
      </w:r>
      <w:r>
        <w:rPr>
          <w:rFonts w:ascii="Abadi" w:hAnsi="Abadi"/>
          <w:sz w:val="21"/>
          <w:szCs w:val="21"/>
        </w:rPr>
        <w:t>,</w:t>
      </w:r>
      <w:r w:rsidRPr="0030088F">
        <w:rPr>
          <w:rFonts w:ascii="Abadi" w:hAnsi="Abadi"/>
          <w:sz w:val="21"/>
          <w:szCs w:val="21"/>
        </w:rPr>
        <w:t xml:space="preserve"> con información del gobierno federal supimos que el gobierno para la universalidad de la pensión para personas con discapacidad ha sido firmado por un total de 29 entidades federativas y efectivamente entre ellas está 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quien lo firmó desde diciembre del 2021</w:t>
      </w:r>
      <w:r>
        <w:rPr>
          <w:rFonts w:ascii="Abadi" w:hAnsi="Abadi"/>
          <w:sz w:val="21"/>
          <w:szCs w:val="21"/>
        </w:rPr>
        <w:t>,</w:t>
      </w:r>
      <w:r w:rsidRPr="0030088F">
        <w:rPr>
          <w:rFonts w:ascii="Abadi" w:hAnsi="Abadi"/>
          <w:sz w:val="21"/>
          <w:szCs w:val="21"/>
        </w:rPr>
        <w:t xml:space="preserve"> lamentablemente como tantas cosas que en este gobierno local</w:t>
      </w:r>
      <w:r>
        <w:rPr>
          <w:rFonts w:ascii="Abadi" w:hAnsi="Abadi"/>
          <w:sz w:val="21"/>
          <w:szCs w:val="21"/>
        </w:rPr>
        <w:t>,</w:t>
      </w:r>
      <w:r w:rsidRPr="0030088F">
        <w:rPr>
          <w:rFonts w:ascii="Abadi" w:hAnsi="Abadi"/>
          <w:sz w:val="21"/>
          <w:szCs w:val="21"/>
        </w:rPr>
        <w:t xml:space="preserve"> la suscripción de este convenio por parte del gobierno</w:t>
      </w:r>
      <w:r>
        <w:rPr>
          <w:rFonts w:ascii="Abadi" w:hAnsi="Abadi"/>
          <w:sz w:val="21"/>
          <w:szCs w:val="21"/>
        </w:rPr>
        <w:t>,</w:t>
      </w:r>
      <w:r w:rsidRPr="0030088F">
        <w:rPr>
          <w:rFonts w:ascii="Abadi" w:hAnsi="Abadi"/>
          <w:sz w:val="21"/>
          <w:szCs w:val="21"/>
        </w:rPr>
        <w:t xml:space="preserve"> fue mera simulación</w:t>
      </w:r>
      <w:r>
        <w:rPr>
          <w:rFonts w:ascii="Abadi" w:hAnsi="Abadi"/>
          <w:sz w:val="21"/>
          <w:szCs w:val="21"/>
        </w:rPr>
        <w:t>,</w:t>
      </w:r>
      <w:r w:rsidRPr="0030088F">
        <w:rPr>
          <w:rFonts w:ascii="Abadi" w:hAnsi="Abadi"/>
          <w:sz w:val="21"/>
          <w:szCs w:val="21"/>
        </w:rPr>
        <w:t xml:space="preserve"> tan es así</w:t>
      </w:r>
      <w:r>
        <w:rPr>
          <w:rFonts w:ascii="Abadi" w:hAnsi="Abadi"/>
          <w:sz w:val="21"/>
          <w:szCs w:val="21"/>
        </w:rPr>
        <w:t>,</w:t>
      </w:r>
      <w:r w:rsidRPr="0030088F">
        <w:rPr>
          <w:rFonts w:ascii="Abadi" w:hAnsi="Abadi"/>
          <w:sz w:val="21"/>
          <w:szCs w:val="21"/>
        </w:rPr>
        <w:t xml:space="preserve"> que ni siquiera el propio </w:t>
      </w:r>
      <w:r>
        <w:rPr>
          <w:rFonts w:ascii="Abadi" w:hAnsi="Abadi"/>
          <w:sz w:val="21"/>
          <w:szCs w:val="21"/>
        </w:rPr>
        <w:t xml:space="preserve">INGUDIS, </w:t>
      </w:r>
      <w:r w:rsidRPr="0030088F">
        <w:rPr>
          <w:rFonts w:ascii="Abadi" w:hAnsi="Abadi"/>
          <w:sz w:val="21"/>
          <w:szCs w:val="21"/>
        </w:rPr>
        <w:t xml:space="preserve"> sabía que se había firmado y esto se confirma con el hecho de que la propia secretaría de bienestar informó que no hay registro de que el gobierno del </w:t>
      </w:r>
      <w:r>
        <w:rPr>
          <w:rFonts w:ascii="Abadi" w:hAnsi="Abadi"/>
          <w:sz w:val="21"/>
          <w:szCs w:val="21"/>
        </w:rPr>
        <w:t>E</w:t>
      </w:r>
      <w:r w:rsidRPr="0030088F">
        <w:rPr>
          <w:rFonts w:ascii="Abadi" w:hAnsi="Abadi"/>
          <w:sz w:val="21"/>
          <w:szCs w:val="21"/>
        </w:rPr>
        <w:t>stado de Guanajuato</w:t>
      </w:r>
      <w:r>
        <w:rPr>
          <w:rFonts w:ascii="Abadi" w:hAnsi="Abadi"/>
          <w:sz w:val="21"/>
          <w:szCs w:val="21"/>
        </w:rPr>
        <w:t>,</w:t>
      </w:r>
      <w:r w:rsidRPr="0030088F">
        <w:rPr>
          <w:rFonts w:ascii="Abadi" w:hAnsi="Abadi"/>
          <w:sz w:val="21"/>
          <w:szCs w:val="21"/>
        </w:rPr>
        <w:t xml:space="preserve"> haya remitido la propuesta de aportación de recursos necesarios para iniciar este programa</w:t>
      </w:r>
      <w:r>
        <w:rPr>
          <w:rFonts w:ascii="Abadi" w:hAnsi="Abadi"/>
          <w:sz w:val="21"/>
          <w:szCs w:val="21"/>
        </w:rPr>
        <w:t xml:space="preserve">, sí, </w:t>
      </w:r>
      <w:r w:rsidRPr="0030088F">
        <w:rPr>
          <w:rFonts w:ascii="Abadi" w:hAnsi="Abadi"/>
          <w:sz w:val="21"/>
          <w:szCs w:val="21"/>
        </w:rPr>
        <w:t>firmaron el convenio pero nunca pusieron los centavos o el dinero</w:t>
      </w:r>
      <w:r>
        <w:rPr>
          <w:rFonts w:ascii="Abadi" w:hAnsi="Abadi"/>
          <w:sz w:val="21"/>
          <w:szCs w:val="21"/>
        </w:rPr>
        <w:t>,</w:t>
      </w:r>
      <w:r w:rsidRPr="0030088F">
        <w:rPr>
          <w:rFonts w:ascii="Abadi" w:hAnsi="Abadi"/>
          <w:sz w:val="21"/>
          <w:szCs w:val="21"/>
        </w:rPr>
        <w:t xml:space="preserve"> en cambio han decidido mantener gastos innecesarios</w:t>
      </w:r>
      <w:r>
        <w:rPr>
          <w:rFonts w:ascii="Abadi" w:hAnsi="Abadi"/>
          <w:sz w:val="21"/>
          <w:szCs w:val="21"/>
        </w:rPr>
        <w:t>,</w:t>
      </w:r>
      <w:r w:rsidRPr="0030088F">
        <w:rPr>
          <w:rFonts w:ascii="Abadi" w:hAnsi="Abadi"/>
          <w:sz w:val="21"/>
          <w:szCs w:val="21"/>
        </w:rPr>
        <w:t xml:space="preserve"> como los destinados a comunicación social el año pasado o los que se han gastado en eventos o algunos otros de tinte electoral</w:t>
      </w:r>
      <w:r>
        <w:rPr>
          <w:rFonts w:ascii="Abadi" w:hAnsi="Abadi"/>
          <w:sz w:val="21"/>
          <w:szCs w:val="21"/>
        </w:rPr>
        <w:t>.</w:t>
      </w:r>
    </w:p>
    <w:p w14:paraId="08D2E4B7" w14:textId="77777777" w:rsidR="00612345" w:rsidRDefault="00612345" w:rsidP="00751E3D">
      <w:pPr>
        <w:jc w:val="both"/>
        <w:rPr>
          <w:rFonts w:ascii="Abadi" w:hAnsi="Abadi"/>
          <w:sz w:val="21"/>
          <w:szCs w:val="21"/>
        </w:rPr>
      </w:pPr>
    </w:p>
    <w:p w14:paraId="3B6CFB3E" w14:textId="77777777" w:rsidR="00751E3D" w:rsidRDefault="00751E3D" w:rsidP="00751E3D">
      <w:pPr>
        <w:jc w:val="both"/>
        <w:rPr>
          <w:rFonts w:ascii="Abadi" w:hAnsi="Abadi"/>
          <w:sz w:val="21"/>
          <w:szCs w:val="21"/>
        </w:rPr>
      </w:pPr>
      <w:r>
        <w:rPr>
          <w:rFonts w:ascii="Abadi" w:hAnsi="Abadi"/>
          <w:sz w:val="21"/>
          <w:szCs w:val="21"/>
        </w:rPr>
        <w:t>- D</w:t>
      </w:r>
      <w:r w:rsidRPr="0030088F">
        <w:rPr>
          <w:rFonts w:ascii="Abadi" w:hAnsi="Abadi"/>
          <w:sz w:val="21"/>
          <w:szCs w:val="21"/>
        </w:rPr>
        <w:t xml:space="preserve">esde </w:t>
      </w:r>
      <w:r>
        <w:rPr>
          <w:rFonts w:ascii="Abadi" w:hAnsi="Abadi"/>
          <w:sz w:val="21"/>
          <w:szCs w:val="21"/>
        </w:rPr>
        <w:t>M</w:t>
      </w:r>
      <w:r w:rsidRPr="0030088F">
        <w:rPr>
          <w:rFonts w:ascii="Abadi" w:hAnsi="Abadi"/>
          <w:sz w:val="21"/>
          <w:szCs w:val="21"/>
        </w:rPr>
        <w:t>orena</w:t>
      </w:r>
      <w:r>
        <w:rPr>
          <w:rFonts w:ascii="Abadi" w:hAnsi="Abadi"/>
          <w:sz w:val="21"/>
          <w:szCs w:val="21"/>
        </w:rPr>
        <w:t>,</w:t>
      </w:r>
      <w:r w:rsidRPr="0030088F">
        <w:rPr>
          <w:rFonts w:ascii="Abadi" w:hAnsi="Abadi"/>
          <w:sz w:val="21"/>
          <w:szCs w:val="21"/>
        </w:rPr>
        <w:t xml:space="preserve"> seguiremos insistiendo en la necesidad de que el estado colabore</w:t>
      </w:r>
      <w:r>
        <w:rPr>
          <w:rFonts w:ascii="Abadi" w:hAnsi="Abadi"/>
          <w:sz w:val="21"/>
          <w:szCs w:val="21"/>
        </w:rPr>
        <w:t>,</w:t>
      </w:r>
      <w:r w:rsidRPr="0030088F">
        <w:rPr>
          <w:rFonts w:ascii="Abadi" w:hAnsi="Abadi"/>
          <w:sz w:val="21"/>
          <w:szCs w:val="21"/>
        </w:rPr>
        <w:t xml:space="preserve"> para que todas las personas con discapacidad tengan </w:t>
      </w:r>
      <w:r w:rsidRPr="0030088F">
        <w:rPr>
          <w:rFonts w:ascii="Abadi" w:hAnsi="Abadi"/>
          <w:sz w:val="21"/>
          <w:szCs w:val="21"/>
        </w:rPr>
        <w:t>acceso efectivo a su derecho constitucional</w:t>
      </w:r>
      <w:r>
        <w:rPr>
          <w:rFonts w:ascii="Abadi" w:hAnsi="Abadi"/>
          <w:sz w:val="21"/>
          <w:szCs w:val="21"/>
        </w:rPr>
        <w:t>,</w:t>
      </w:r>
      <w:r w:rsidRPr="0030088F">
        <w:rPr>
          <w:rFonts w:ascii="Abadi" w:hAnsi="Abadi"/>
          <w:sz w:val="21"/>
          <w:szCs w:val="21"/>
        </w:rPr>
        <w:t xml:space="preserve"> por eso reprobamos el incumplimiento del mismo que ha que ya ha sido firmado y pues compañeras y compañeros son tiempos de definiciones</w:t>
      </w:r>
      <w:r>
        <w:rPr>
          <w:rFonts w:ascii="Abadi" w:hAnsi="Abadi"/>
          <w:sz w:val="21"/>
          <w:szCs w:val="21"/>
        </w:rPr>
        <w:t>,</w:t>
      </w:r>
      <w:r w:rsidRPr="0030088F">
        <w:rPr>
          <w:rFonts w:ascii="Abadi" w:hAnsi="Abadi"/>
          <w:sz w:val="21"/>
          <w:szCs w:val="21"/>
        </w:rPr>
        <w:t xml:space="preserve"> yo quisiera preguntarles </w:t>
      </w:r>
      <w:r>
        <w:rPr>
          <w:rFonts w:ascii="Abadi" w:hAnsi="Abadi"/>
          <w:sz w:val="21"/>
          <w:szCs w:val="21"/>
        </w:rPr>
        <w:t>¿</w:t>
      </w:r>
      <w:r w:rsidRPr="0030088F">
        <w:rPr>
          <w:rFonts w:ascii="Abadi" w:hAnsi="Abadi"/>
          <w:sz w:val="21"/>
          <w:szCs w:val="21"/>
        </w:rPr>
        <w:t xml:space="preserve">esta </w:t>
      </w:r>
      <w:r w:rsidRPr="003A7EF5">
        <w:rPr>
          <w:rFonts w:ascii="Abadi" w:hAnsi="Abadi"/>
          <w:sz w:val="21"/>
          <w:szCs w:val="21"/>
        </w:rPr>
        <w:t xml:space="preserve">Sexagésima </w:t>
      </w:r>
      <w:r>
        <w:rPr>
          <w:rFonts w:ascii="Abadi" w:hAnsi="Abadi"/>
          <w:sz w:val="21"/>
          <w:szCs w:val="21"/>
        </w:rPr>
        <w:t>Quinta L</w:t>
      </w:r>
      <w:r w:rsidRPr="0030088F">
        <w:rPr>
          <w:rFonts w:ascii="Abadi" w:hAnsi="Abadi"/>
          <w:sz w:val="21"/>
          <w:szCs w:val="21"/>
        </w:rPr>
        <w:t>egislatura respalda o no respalda el derecho constitucional de las personas con discapacidad</w:t>
      </w:r>
      <w:r>
        <w:rPr>
          <w:rFonts w:ascii="Abadi" w:hAnsi="Abadi"/>
          <w:sz w:val="21"/>
          <w:szCs w:val="21"/>
        </w:rPr>
        <w:t xml:space="preserve">’? </w:t>
      </w:r>
    </w:p>
    <w:p w14:paraId="0ADAFA6E" w14:textId="77777777" w:rsidR="00612345" w:rsidRDefault="00612345" w:rsidP="00751E3D">
      <w:pPr>
        <w:jc w:val="both"/>
        <w:rPr>
          <w:rFonts w:ascii="Abadi" w:hAnsi="Abadi"/>
          <w:sz w:val="21"/>
          <w:szCs w:val="21"/>
        </w:rPr>
      </w:pPr>
    </w:p>
    <w:p w14:paraId="5EEF4978" w14:textId="77777777" w:rsidR="00751E3D" w:rsidRDefault="00751E3D" w:rsidP="00751E3D">
      <w:pPr>
        <w:jc w:val="both"/>
        <w:rPr>
          <w:rFonts w:ascii="Abadi" w:hAnsi="Abadi"/>
          <w:sz w:val="21"/>
          <w:szCs w:val="21"/>
        </w:rPr>
      </w:pPr>
      <w:r>
        <w:rPr>
          <w:rFonts w:ascii="Abadi" w:hAnsi="Abadi"/>
          <w:sz w:val="21"/>
          <w:szCs w:val="21"/>
        </w:rPr>
        <w:t>- E</w:t>
      </w:r>
      <w:r w:rsidRPr="0030088F">
        <w:rPr>
          <w:rFonts w:ascii="Abadi" w:hAnsi="Abadi"/>
          <w:sz w:val="21"/>
          <w:szCs w:val="21"/>
        </w:rPr>
        <w:t>s cuánto</w:t>
      </w:r>
      <w:r>
        <w:rPr>
          <w:rFonts w:ascii="Abadi" w:hAnsi="Abadi"/>
          <w:sz w:val="21"/>
          <w:szCs w:val="21"/>
        </w:rPr>
        <w:t xml:space="preserve">.  </w:t>
      </w:r>
    </w:p>
    <w:p w14:paraId="5ACFBA15" w14:textId="77777777" w:rsidR="00612345" w:rsidRDefault="00612345" w:rsidP="00751E3D">
      <w:pPr>
        <w:jc w:val="both"/>
        <w:rPr>
          <w:rFonts w:ascii="Abadi" w:hAnsi="Abadi"/>
          <w:sz w:val="21"/>
          <w:szCs w:val="21"/>
        </w:rPr>
      </w:pPr>
    </w:p>
    <w:p w14:paraId="02A49B2C" w14:textId="77777777" w:rsidR="00612345" w:rsidRDefault="00751E3D" w:rsidP="00751E3D">
      <w:pPr>
        <w:jc w:val="both"/>
        <w:rPr>
          <w:rFonts w:ascii="Abadi" w:hAnsi="Abadi"/>
          <w:sz w:val="21"/>
          <w:szCs w:val="21"/>
        </w:rPr>
      </w:pPr>
      <w:r>
        <w:rPr>
          <w:rFonts w:ascii="Abadi" w:hAnsi="Abadi"/>
          <w:sz w:val="21"/>
          <w:szCs w:val="21"/>
        </w:rPr>
        <w:t>- Q</w:t>
      </w:r>
      <w:r w:rsidRPr="0030088F">
        <w:rPr>
          <w:rFonts w:ascii="Abadi" w:hAnsi="Abadi"/>
          <w:sz w:val="21"/>
          <w:szCs w:val="21"/>
        </w:rPr>
        <w:t xml:space="preserve">ueda la pregunta en </w:t>
      </w:r>
      <w:r>
        <w:rPr>
          <w:rFonts w:ascii="Abadi" w:hAnsi="Abadi"/>
          <w:sz w:val="21"/>
          <w:szCs w:val="21"/>
        </w:rPr>
        <w:t>el aire.</w:t>
      </w:r>
    </w:p>
    <w:p w14:paraId="1CE27988" w14:textId="0DC611C6" w:rsidR="00751E3D" w:rsidRDefault="00751E3D" w:rsidP="00751E3D">
      <w:pPr>
        <w:jc w:val="both"/>
        <w:rPr>
          <w:rFonts w:ascii="Abadi" w:hAnsi="Abadi"/>
          <w:sz w:val="21"/>
          <w:szCs w:val="21"/>
        </w:rPr>
      </w:pPr>
      <w:r>
        <w:rPr>
          <w:rFonts w:ascii="Abadi" w:hAnsi="Abadi"/>
          <w:sz w:val="21"/>
          <w:szCs w:val="21"/>
        </w:rPr>
        <w:t xml:space="preserve"> </w:t>
      </w:r>
    </w:p>
    <w:p w14:paraId="375D1054" w14:textId="77777777" w:rsidR="00751E3D" w:rsidRDefault="00751E3D" w:rsidP="00751E3D">
      <w:pPr>
        <w:jc w:val="both"/>
        <w:rPr>
          <w:rFonts w:ascii="Abadi" w:hAnsi="Abadi"/>
          <w:sz w:val="21"/>
          <w:szCs w:val="21"/>
        </w:rPr>
      </w:pPr>
      <w:r>
        <w:rPr>
          <w:rFonts w:ascii="Abadi" w:hAnsi="Abadi"/>
          <w:sz w:val="21"/>
          <w:szCs w:val="21"/>
        </w:rPr>
        <w:tab/>
      </w:r>
      <w:r w:rsidRPr="00EA226D">
        <w:rPr>
          <w:rFonts w:ascii="Abadi" w:hAnsi="Abadi"/>
          <w:b/>
          <w:bCs/>
          <w:sz w:val="21"/>
          <w:szCs w:val="21"/>
        </w:rPr>
        <w:t xml:space="preserve">- La </w:t>
      </w:r>
      <w:proofErr w:type="gramStart"/>
      <w:r w:rsidRPr="00EA226D">
        <w:rPr>
          <w:rFonts w:ascii="Abadi" w:hAnsi="Abadi"/>
          <w:b/>
          <w:bCs/>
          <w:sz w:val="21"/>
          <w:szCs w:val="21"/>
        </w:rPr>
        <w:t>Secretaría.-</w:t>
      </w:r>
      <w:proofErr w:type="gramEnd"/>
      <w:r>
        <w:rPr>
          <w:rFonts w:ascii="Abadi" w:hAnsi="Abadi"/>
          <w:sz w:val="21"/>
          <w:szCs w:val="21"/>
        </w:rPr>
        <w:t xml:space="preserve"> Presidenta me permito informales, </w:t>
      </w:r>
      <w:r w:rsidRPr="0030088F">
        <w:rPr>
          <w:rFonts w:ascii="Abadi" w:hAnsi="Abadi"/>
          <w:sz w:val="21"/>
          <w:szCs w:val="21"/>
        </w:rPr>
        <w:t>que se han agotado los asuntos listados en el orden del día</w:t>
      </w:r>
      <w:r>
        <w:rPr>
          <w:rFonts w:ascii="Abadi" w:hAnsi="Abadi"/>
          <w:sz w:val="21"/>
          <w:szCs w:val="21"/>
        </w:rPr>
        <w:t>,</w:t>
      </w:r>
      <w:r w:rsidRPr="0030088F">
        <w:rPr>
          <w:rFonts w:ascii="Abadi" w:hAnsi="Abadi"/>
          <w:sz w:val="21"/>
          <w:szCs w:val="21"/>
        </w:rPr>
        <w:t xml:space="preserve"> así no le informo que la asistencia la presente sesión fue de 36 diputadas y diputados</w:t>
      </w:r>
      <w:r>
        <w:rPr>
          <w:rFonts w:ascii="Abadi" w:hAnsi="Abadi"/>
          <w:sz w:val="21"/>
          <w:szCs w:val="21"/>
        </w:rPr>
        <w:t>.</w:t>
      </w:r>
    </w:p>
    <w:p w14:paraId="20C99B49" w14:textId="77777777" w:rsidR="00612345" w:rsidRDefault="00612345" w:rsidP="00751E3D">
      <w:pPr>
        <w:jc w:val="both"/>
        <w:rPr>
          <w:rFonts w:ascii="Abadi" w:hAnsi="Abadi"/>
          <w:sz w:val="21"/>
          <w:szCs w:val="21"/>
        </w:rPr>
      </w:pPr>
    </w:p>
    <w:p w14:paraId="084829A8" w14:textId="77777777" w:rsidR="00751E3D" w:rsidRDefault="00751E3D" w:rsidP="00751E3D">
      <w:pPr>
        <w:jc w:val="both"/>
        <w:rPr>
          <w:rFonts w:ascii="Abadi" w:hAnsi="Abadi"/>
          <w:sz w:val="21"/>
          <w:szCs w:val="21"/>
        </w:rPr>
      </w:pPr>
      <w:r>
        <w:rPr>
          <w:rFonts w:ascii="Abadi" w:hAnsi="Abadi"/>
          <w:sz w:val="21"/>
          <w:szCs w:val="21"/>
        </w:rPr>
        <w:tab/>
        <w:t>- D</w:t>
      </w:r>
      <w:r w:rsidRPr="0030088F">
        <w:rPr>
          <w:rFonts w:ascii="Abadi" w:hAnsi="Abadi"/>
          <w:sz w:val="21"/>
          <w:szCs w:val="21"/>
        </w:rPr>
        <w:t xml:space="preserve">e igual manera le informo que se retiraron con permiso de la presidencia el diputado Ernesto Alejandro </w:t>
      </w:r>
      <w:r>
        <w:rPr>
          <w:rFonts w:ascii="Abadi" w:hAnsi="Abadi"/>
          <w:sz w:val="21"/>
          <w:szCs w:val="21"/>
        </w:rPr>
        <w:t>P</w:t>
      </w:r>
      <w:r w:rsidRPr="0030088F">
        <w:rPr>
          <w:rFonts w:ascii="Abadi" w:hAnsi="Abadi"/>
          <w:sz w:val="21"/>
          <w:szCs w:val="21"/>
        </w:rPr>
        <w:t xml:space="preserve">rieto </w:t>
      </w:r>
      <w:r>
        <w:rPr>
          <w:rFonts w:ascii="Abadi" w:hAnsi="Abadi"/>
          <w:sz w:val="21"/>
          <w:szCs w:val="21"/>
        </w:rPr>
        <w:t>G</w:t>
      </w:r>
      <w:r w:rsidRPr="0030088F">
        <w:rPr>
          <w:rFonts w:ascii="Abadi" w:hAnsi="Abadi"/>
          <w:sz w:val="21"/>
          <w:szCs w:val="21"/>
        </w:rPr>
        <w:t>allardo</w:t>
      </w:r>
      <w:r>
        <w:rPr>
          <w:rFonts w:ascii="Abadi" w:hAnsi="Abadi"/>
          <w:sz w:val="21"/>
          <w:szCs w:val="21"/>
        </w:rPr>
        <w:t>,</w:t>
      </w:r>
      <w:r w:rsidRPr="0030088F">
        <w:rPr>
          <w:rFonts w:ascii="Abadi" w:hAnsi="Abadi"/>
          <w:sz w:val="21"/>
          <w:szCs w:val="21"/>
        </w:rPr>
        <w:t xml:space="preserve"> la diputada </w:t>
      </w:r>
      <w:r>
        <w:rPr>
          <w:rFonts w:ascii="Abadi" w:hAnsi="Abadi"/>
          <w:sz w:val="21"/>
          <w:szCs w:val="21"/>
        </w:rPr>
        <w:t>H</w:t>
      </w:r>
      <w:r w:rsidRPr="0030088F">
        <w:rPr>
          <w:rFonts w:ascii="Abadi" w:hAnsi="Abadi"/>
          <w:sz w:val="21"/>
          <w:szCs w:val="21"/>
        </w:rPr>
        <w:t xml:space="preserve">ades </w:t>
      </w:r>
      <w:r>
        <w:rPr>
          <w:rFonts w:ascii="Abadi" w:hAnsi="Abadi"/>
          <w:sz w:val="21"/>
          <w:szCs w:val="21"/>
        </w:rPr>
        <w:t>B</w:t>
      </w:r>
      <w:r w:rsidRPr="0030088F">
        <w:rPr>
          <w:rFonts w:ascii="Abadi" w:hAnsi="Abadi"/>
          <w:sz w:val="21"/>
          <w:szCs w:val="21"/>
        </w:rPr>
        <w:t xml:space="preserve">erenice </w:t>
      </w:r>
      <w:r>
        <w:rPr>
          <w:rFonts w:ascii="Abadi" w:hAnsi="Abadi"/>
          <w:sz w:val="21"/>
          <w:szCs w:val="21"/>
        </w:rPr>
        <w:t>A</w:t>
      </w:r>
      <w:r w:rsidRPr="0030088F">
        <w:rPr>
          <w:rFonts w:ascii="Abadi" w:hAnsi="Abadi"/>
          <w:sz w:val="21"/>
          <w:szCs w:val="21"/>
        </w:rPr>
        <w:t xml:space="preserve">guilar </w:t>
      </w:r>
      <w:r>
        <w:rPr>
          <w:rFonts w:ascii="Abadi" w:hAnsi="Abadi"/>
          <w:sz w:val="21"/>
          <w:szCs w:val="21"/>
        </w:rPr>
        <w:t>C</w:t>
      </w:r>
      <w:r w:rsidRPr="0030088F">
        <w:rPr>
          <w:rFonts w:ascii="Abadi" w:hAnsi="Abadi"/>
          <w:sz w:val="21"/>
          <w:szCs w:val="21"/>
        </w:rPr>
        <w:t>astillo</w:t>
      </w:r>
      <w:r>
        <w:rPr>
          <w:rFonts w:ascii="Abadi" w:hAnsi="Abadi"/>
          <w:sz w:val="21"/>
          <w:szCs w:val="21"/>
        </w:rPr>
        <w:t>,</w:t>
      </w:r>
      <w:r w:rsidRPr="0030088F">
        <w:rPr>
          <w:rFonts w:ascii="Abadi" w:hAnsi="Abadi"/>
          <w:sz w:val="21"/>
          <w:szCs w:val="21"/>
        </w:rPr>
        <w:t xml:space="preserve"> el diputado Gustavo </w:t>
      </w:r>
      <w:r>
        <w:rPr>
          <w:rFonts w:ascii="Abadi" w:hAnsi="Abadi"/>
          <w:sz w:val="21"/>
          <w:szCs w:val="21"/>
        </w:rPr>
        <w:t>A</w:t>
      </w:r>
      <w:r w:rsidRPr="0030088F">
        <w:rPr>
          <w:rFonts w:ascii="Abadi" w:hAnsi="Abadi"/>
          <w:sz w:val="21"/>
          <w:szCs w:val="21"/>
        </w:rPr>
        <w:t>dolfo Alfaro</w:t>
      </w:r>
      <w:r>
        <w:rPr>
          <w:rFonts w:ascii="Abadi" w:hAnsi="Abadi"/>
          <w:sz w:val="21"/>
          <w:szCs w:val="21"/>
        </w:rPr>
        <w:t xml:space="preserve"> R</w:t>
      </w:r>
      <w:r w:rsidRPr="0030088F">
        <w:rPr>
          <w:rFonts w:ascii="Abadi" w:hAnsi="Abadi"/>
          <w:sz w:val="21"/>
          <w:szCs w:val="21"/>
        </w:rPr>
        <w:t>eyes</w:t>
      </w:r>
      <w:r>
        <w:rPr>
          <w:rFonts w:ascii="Abadi" w:hAnsi="Abadi"/>
          <w:sz w:val="21"/>
          <w:szCs w:val="21"/>
        </w:rPr>
        <w:t>,</w:t>
      </w:r>
      <w:r w:rsidRPr="0030088F">
        <w:rPr>
          <w:rFonts w:ascii="Abadi" w:hAnsi="Abadi"/>
          <w:sz w:val="21"/>
          <w:szCs w:val="21"/>
        </w:rPr>
        <w:t xml:space="preserve"> la diputada Martha </w:t>
      </w:r>
      <w:r>
        <w:rPr>
          <w:rFonts w:ascii="Abadi" w:hAnsi="Abadi"/>
          <w:sz w:val="21"/>
          <w:szCs w:val="21"/>
        </w:rPr>
        <w:t>E</w:t>
      </w:r>
      <w:r w:rsidRPr="0030088F">
        <w:rPr>
          <w:rFonts w:ascii="Abadi" w:hAnsi="Abadi"/>
          <w:sz w:val="21"/>
          <w:szCs w:val="21"/>
        </w:rPr>
        <w:t xml:space="preserve">dith </w:t>
      </w:r>
      <w:r>
        <w:rPr>
          <w:rFonts w:ascii="Abadi" w:hAnsi="Abadi"/>
          <w:sz w:val="21"/>
          <w:szCs w:val="21"/>
        </w:rPr>
        <w:t>M</w:t>
      </w:r>
      <w:r w:rsidRPr="0030088F">
        <w:rPr>
          <w:rFonts w:ascii="Abadi" w:hAnsi="Abadi"/>
          <w:sz w:val="21"/>
          <w:szCs w:val="21"/>
        </w:rPr>
        <w:t>oreno Valencia</w:t>
      </w:r>
      <w:r>
        <w:rPr>
          <w:rFonts w:ascii="Abadi" w:hAnsi="Abadi"/>
          <w:sz w:val="21"/>
          <w:szCs w:val="21"/>
        </w:rPr>
        <w:t>,</w:t>
      </w:r>
      <w:r w:rsidRPr="0030088F">
        <w:rPr>
          <w:rFonts w:ascii="Abadi" w:hAnsi="Abadi"/>
          <w:sz w:val="21"/>
          <w:szCs w:val="21"/>
        </w:rPr>
        <w:t xml:space="preserve"> diputada </w:t>
      </w:r>
      <w:r>
        <w:rPr>
          <w:rFonts w:ascii="Abadi" w:hAnsi="Abadi"/>
          <w:sz w:val="21"/>
          <w:szCs w:val="21"/>
        </w:rPr>
        <w:t>K</w:t>
      </w:r>
      <w:r w:rsidRPr="0030088F">
        <w:rPr>
          <w:rFonts w:ascii="Abadi" w:hAnsi="Abadi"/>
          <w:sz w:val="21"/>
          <w:szCs w:val="21"/>
        </w:rPr>
        <w:t>at</w:t>
      </w:r>
      <w:r>
        <w:rPr>
          <w:rFonts w:ascii="Abadi" w:hAnsi="Abadi"/>
          <w:sz w:val="21"/>
          <w:szCs w:val="21"/>
        </w:rPr>
        <w:t>ya</w:t>
      </w:r>
      <w:r w:rsidRPr="0030088F">
        <w:rPr>
          <w:rFonts w:ascii="Abadi" w:hAnsi="Abadi"/>
          <w:sz w:val="21"/>
          <w:szCs w:val="21"/>
        </w:rPr>
        <w:t xml:space="preserve"> Cristina Soto </w:t>
      </w:r>
      <w:r>
        <w:rPr>
          <w:rFonts w:ascii="Abadi" w:hAnsi="Abadi"/>
          <w:sz w:val="21"/>
          <w:szCs w:val="21"/>
        </w:rPr>
        <w:t>E</w:t>
      </w:r>
      <w:r w:rsidRPr="0030088F">
        <w:rPr>
          <w:rFonts w:ascii="Abadi" w:hAnsi="Abadi"/>
          <w:sz w:val="21"/>
          <w:szCs w:val="21"/>
        </w:rPr>
        <w:t>scamilla</w:t>
      </w:r>
      <w:r>
        <w:rPr>
          <w:rFonts w:ascii="Abadi" w:hAnsi="Abadi"/>
          <w:sz w:val="21"/>
          <w:szCs w:val="21"/>
        </w:rPr>
        <w:t>,</w:t>
      </w:r>
      <w:r w:rsidRPr="0030088F">
        <w:rPr>
          <w:rFonts w:ascii="Abadi" w:hAnsi="Abadi"/>
          <w:sz w:val="21"/>
          <w:szCs w:val="21"/>
        </w:rPr>
        <w:t xml:space="preserve"> la diputada </w:t>
      </w:r>
      <w:r>
        <w:rPr>
          <w:rFonts w:ascii="Abadi" w:hAnsi="Abadi"/>
          <w:sz w:val="21"/>
          <w:szCs w:val="21"/>
        </w:rPr>
        <w:t xml:space="preserve">Margarita Rionda Salas, </w:t>
      </w:r>
      <w:r w:rsidRPr="0030088F">
        <w:rPr>
          <w:rFonts w:ascii="Abadi" w:hAnsi="Abadi"/>
          <w:sz w:val="21"/>
          <w:szCs w:val="21"/>
        </w:rPr>
        <w:t xml:space="preserve">el diputado </w:t>
      </w:r>
      <w:r>
        <w:rPr>
          <w:rFonts w:ascii="Abadi" w:hAnsi="Abadi"/>
          <w:sz w:val="21"/>
          <w:szCs w:val="21"/>
        </w:rPr>
        <w:t>A</w:t>
      </w:r>
      <w:r w:rsidRPr="0030088F">
        <w:rPr>
          <w:rFonts w:ascii="Abadi" w:hAnsi="Abadi"/>
          <w:sz w:val="21"/>
          <w:szCs w:val="21"/>
        </w:rPr>
        <w:t xml:space="preserve">rmando </w:t>
      </w:r>
      <w:r>
        <w:rPr>
          <w:rFonts w:ascii="Abadi" w:hAnsi="Abadi"/>
          <w:sz w:val="21"/>
          <w:szCs w:val="21"/>
        </w:rPr>
        <w:t>R</w:t>
      </w:r>
      <w:r w:rsidRPr="0030088F">
        <w:rPr>
          <w:rFonts w:ascii="Abadi" w:hAnsi="Abadi"/>
          <w:sz w:val="21"/>
          <w:szCs w:val="21"/>
        </w:rPr>
        <w:t xml:space="preserve">angel la diputada </w:t>
      </w:r>
      <w:r>
        <w:rPr>
          <w:rFonts w:ascii="Abadi" w:hAnsi="Abadi"/>
          <w:sz w:val="21"/>
          <w:szCs w:val="21"/>
        </w:rPr>
        <w:t>M</w:t>
      </w:r>
      <w:r w:rsidRPr="0030088F">
        <w:rPr>
          <w:rFonts w:ascii="Abadi" w:hAnsi="Abadi"/>
          <w:sz w:val="21"/>
          <w:szCs w:val="21"/>
        </w:rPr>
        <w:t xml:space="preserve">artha </w:t>
      </w:r>
      <w:r>
        <w:rPr>
          <w:rFonts w:ascii="Abadi" w:hAnsi="Abadi"/>
          <w:sz w:val="21"/>
          <w:szCs w:val="21"/>
        </w:rPr>
        <w:t>H</w:t>
      </w:r>
      <w:r w:rsidRPr="0030088F">
        <w:rPr>
          <w:rFonts w:ascii="Abadi" w:hAnsi="Abadi"/>
          <w:sz w:val="21"/>
          <w:szCs w:val="21"/>
        </w:rPr>
        <w:t xml:space="preserve">ernández y el diputado </w:t>
      </w:r>
      <w:r>
        <w:rPr>
          <w:rFonts w:ascii="Abadi" w:hAnsi="Abadi"/>
          <w:sz w:val="21"/>
          <w:szCs w:val="21"/>
        </w:rPr>
        <w:t>M</w:t>
      </w:r>
      <w:r w:rsidRPr="0030088F">
        <w:rPr>
          <w:rFonts w:ascii="Abadi" w:hAnsi="Abadi"/>
          <w:sz w:val="21"/>
          <w:szCs w:val="21"/>
        </w:rPr>
        <w:t xml:space="preserve">artín López </w:t>
      </w:r>
      <w:r>
        <w:rPr>
          <w:rFonts w:ascii="Abadi" w:hAnsi="Abadi"/>
          <w:sz w:val="21"/>
          <w:szCs w:val="21"/>
        </w:rPr>
        <w:t>C</w:t>
      </w:r>
      <w:r w:rsidRPr="0030088F">
        <w:rPr>
          <w:rFonts w:ascii="Abadi" w:hAnsi="Abadi"/>
          <w:sz w:val="21"/>
          <w:szCs w:val="21"/>
        </w:rPr>
        <w:t>amacho</w:t>
      </w:r>
      <w:r>
        <w:rPr>
          <w:rFonts w:ascii="Abadi" w:hAnsi="Abadi"/>
          <w:sz w:val="21"/>
          <w:szCs w:val="21"/>
        </w:rPr>
        <w:t>.</w:t>
      </w:r>
    </w:p>
    <w:p w14:paraId="30AC2730" w14:textId="77777777" w:rsidR="00612345" w:rsidRDefault="00612345" w:rsidP="00751E3D">
      <w:pPr>
        <w:jc w:val="both"/>
        <w:rPr>
          <w:rFonts w:ascii="Abadi" w:hAnsi="Abadi"/>
          <w:sz w:val="21"/>
          <w:szCs w:val="21"/>
        </w:rPr>
      </w:pPr>
    </w:p>
    <w:p w14:paraId="5372BBEA" w14:textId="77777777" w:rsidR="00751E3D" w:rsidRDefault="00751E3D" w:rsidP="00751E3D">
      <w:pPr>
        <w:jc w:val="both"/>
        <w:rPr>
          <w:rFonts w:ascii="Abadi" w:hAnsi="Abadi"/>
          <w:sz w:val="21"/>
          <w:szCs w:val="21"/>
        </w:rPr>
      </w:pPr>
      <w:r>
        <w:rPr>
          <w:rFonts w:ascii="Abadi" w:hAnsi="Abadi"/>
          <w:sz w:val="21"/>
          <w:szCs w:val="21"/>
        </w:rPr>
        <w:tab/>
      </w:r>
      <w:r w:rsidRPr="004E1EF4">
        <w:rPr>
          <w:rFonts w:ascii="Abadi" w:hAnsi="Abadi"/>
          <w:b/>
          <w:bCs/>
          <w:sz w:val="21"/>
          <w:szCs w:val="21"/>
        </w:rPr>
        <w:t xml:space="preserve">- La </w:t>
      </w:r>
      <w:proofErr w:type="gramStart"/>
      <w:r w:rsidRPr="004E1EF4">
        <w:rPr>
          <w:rFonts w:ascii="Abadi" w:hAnsi="Abadi"/>
          <w:b/>
          <w:bCs/>
          <w:sz w:val="21"/>
          <w:szCs w:val="21"/>
        </w:rPr>
        <w:t>Presidencia.-</w:t>
      </w:r>
      <w:proofErr w:type="gramEnd"/>
      <w:r>
        <w:rPr>
          <w:rFonts w:ascii="Abadi" w:hAnsi="Abadi"/>
          <w:sz w:val="21"/>
          <w:szCs w:val="21"/>
        </w:rPr>
        <w:t xml:space="preserve"> G</w:t>
      </w:r>
      <w:r w:rsidRPr="0030088F">
        <w:rPr>
          <w:rFonts w:ascii="Abadi" w:hAnsi="Abadi"/>
          <w:sz w:val="21"/>
          <w:szCs w:val="21"/>
        </w:rPr>
        <w:t>racias diputado</w:t>
      </w:r>
      <w:r>
        <w:rPr>
          <w:rFonts w:ascii="Abadi" w:hAnsi="Abadi"/>
          <w:sz w:val="21"/>
          <w:szCs w:val="21"/>
        </w:rPr>
        <w:t>.</w:t>
      </w:r>
    </w:p>
    <w:p w14:paraId="52872405" w14:textId="77777777" w:rsidR="00612345" w:rsidRDefault="00612345" w:rsidP="00751E3D">
      <w:pPr>
        <w:jc w:val="both"/>
        <w:rPr>
          <w:rFonts w:ascii="Abadi" w:hAnsi="Abadi"/>
          <w:sz w:val="21"/>
          <w:szCs w:val="21"/>
        </w:rPr>
      </w:pPr>
    </w:p>
    <w:p w14:paraId="739FEE73" w14:textId="77777777" w:rsidR="00751E3D" w:rsidRDefault="00751E3D" w:rsidP="00751E3D">
      <w:pPr>
        <w:jc w:val="both"/>
        <w:rPr>
          <w:rFonts w:ascii="Abadi" w:hAnsi="Abadi"/>
          <w:sz w:val="21"/>
          <w:szCs w:val="21"/>
        </w:rPr>
      </w:pPr>
      <w:r>
        <w:rPr>
          <w:rFonts w:ascii="Abadi" w:hAnsi="Abadi"/>
          <w:sz w:val="21"/>
          <w:szCs w:val="21"/>
        </w:rPr>
        <w:tab/>
        <w:t>- E</w:t>
      </w:r>
      <w:r w:rsidRPr="0030088F">
        <w:rPr>
          <w:rFonts w:ascii="Abadi" w:hAnsi="Abadi"/>
          <w:sz w:val="21"/>
          <w:szCs w:val="21"/>
        </w:rPr>
        <w:t xml:space="preserve">n virtud de que el </w:t>
      </w:r>
      <w:r>
        <w:rPr>
          <w:rFonts w:ascii="Abadi" w:hAnsi="Abadi"/>
          <w:sz w:val="21"/>
          <w:szCs w:val="21"/>
        </w:rPr>
        <w:t>c</w:t>
      </w:r>
      <w:r w:rsidRPr="0030088F">
        <w:rPr>
          <w:rFonts w:ascii="Abadi" w:hAnsi="Abadi"/>
          <w:sz w:val="21"/>
          <w:szCs w:val="21"/>
        </w:rPr>
        <w:t>uórum de asistencia a la presente sesión</w:t>
      </w:r>
      <w:r>
        <w:rPr>
          <w:rFonts w:ascii="Abadi" w:hAnsi="Abadi"/>
          <w:sz w:val="21"/>
          <w:szCs w:val="21"/>
        </w:rPr>
        <w:t>,</w:t>
      </w:r>
      <w:r w:rsidRPr="0030088F">
        <w:rPr>
          <w:rFonts w:ascii="Abadi" w:hAnsi="Abadi"/>
          <w:sz w:val="21"/>
          <w:szCs w:val="21"/>
        </w:rPr>
        <w:t xml:space="preserve"> se ha mantenido hasta el momento no procede instruir un nuevo pase de lista</w:t>
      </w:r>
      <w:r>
        <w:rPr>
          <w:rFonts w:ascii="Abadi" w:hAnsi="Abadi"/>
          <w:sz w:val="21"/>
          <w:szCs w:val="21"/>
        </w:rPr>
        <w:t>.</w:t>
      </w:r>
    </w:p>
    <w:p w14:paraId="5FFAA908" w14:textId="77777777" w:rsidR="00612345" w:rsidRDefault="00612345" w:rsidP="00751E3D">
      <w:pPr>
        <w:jc w:val="both"/>
        <w:rPr>
          <w:rFonts w:ascii="Abadi" w:hAnsi="Abadi"/>
          <w:sz w:val="21"/>
          <w:szCs w:val="21"/>
        </w:rPr>
      </w:pPr>
    </w:p>
    <w:p w14:paraId="192C9B92" w14:textId="73A1DDCF" w:rsidR="00751E3D" w:rsidRPr="00751E3D" w:rsidRDefault="00751E3D" w:rsidP="00751E3D">
      <w:pPr>
        <w:spacing w:after="160" w:line="259" w:lineRule="auto"/>
        <w:contextualSpacing/>
        <w:jc w:val="both"/>
        <w:rPr>
          <w:rFonts w:ascii="Abadi" w:hAnsi="Abadi" w:cs="ArialMT"/>
          <w:b/>
          <w:bCs/>
          <w:sz w:val="21"/>
          <w:szCs w:val="21"/>
        </w:rPr>
      </w:pPr>
      <w:r>
        <w:rPr>
          <w:rFonts w:ascii="Abadi" w:hAnsi="Abadi"/>
          <w:sz w:val="21"/>
          <w:szCs w:val="21"/>
        </w:rPr>
        <w:tab/>
        <w:t>- S</w:t>
      </w:r>
      <w:r w:rsidRPr="0030088F">
        <w:rPr>
          <w:rFonts w:ascii="Abadi" w:hAnsi="Abadi"/>
          <w:sz w:val="21"/>
          <w:szCs w:val="21"/>
        </w:rPr>
        <w:t xml:space="preserve">e levanta la sesión siendo las </w:t>
      </w:r>
      <w:r w:rsidRPr="00150EA2">
        <w:rPr>
          <w:rFonts w:ascii="Abadi" w:hAnsi="Abadi"/>
          <w:b/>
          <w:bCs/>
          <w:sz w:val="21"/>
          <w:szCs w:val="21"/>
        </w:rPr>
        <w:t>15:59</w:t>
      </w:r>
      <w:r>
        <w:rPr>
          <w:rFonts w:ascii="Abadi" w:hAnsi="Abadi"/>
          <w:sz w:val="21"/>
          <w:szCs w:val="21"/>
        </w:rPr>
        <w:t xml:space="preserve"> </w:t>
      </w:r>
      <w:r w:rsidRPr="003A7EF5">
        <w:rPr>
          <w:rFonts w:ascii="Abadi" w:hAnsi="Abadi"/>
          <w:b/>
          <w:bCs/>
          <w:sz w:val="21"/>
          <w:szCs w:val="21"/>
        </w:rPr>
        <w:t xml:space="preserve">(quince horas con </w:t>
      </w:r>
      <w:r>
        <w:rPr>
          <w:rFonts w:ascii="Abadi" w:hAnsi="Abadi"/>
          <w:b/>
          <w:bCs/>
          <w:sz w:val="21"/>
          <w:szCs w:val="21"/>
        </w:rPr>
        <w:t xml:space="preserve">cincuenta y </w:t>
      </w:r>
      <w:r w:rsidRPr="003A7EF5">
        <w:rPr>
          <w:rFonts w:ascii="Abadi" w:hAnsi="Abadi"/>
          <w:b/>
          <w:bCs/>
          <w:sz w:val="21"/>
          <w:szCs w:val="21"/>
        </w:rPr>
        <w:t xml:space="preserve">nueve minutos) </w:t>
      </w:r>
      <w:r w:rsidRPr="0030088F">
        <w:rPr>
          <w:rFonts w:ascii="Abadi" w:hAnsi="Abadi"/>
          <w:sz w:val="21"/>
          <w:szCs w:val="21"/>
        </w:rPr>
        <w:t xml:space="preserve">y se les comunica a diputadas diputados que se les citará para la siguiente por conducto de la </w:t>
      </w:r>
      <w:r>
        <w:rPr>
          <w:rFonts w:ascii="Abadi" w:hAnsi="Abadi"/>
          <w:sz w:val="21"/>
          <w:szCs w:val="21"/>
        </w:rPr>
        <w:t>S</w:t>
      </w:r>
      <w:r w:rsidRPr="0030088F">
        <w:rPr>
          <w:rFonts w:ascii="Abadi" w:hAnsi="Abadi"/>
          <w:sz w:val="21"/>
          <w:szCs w:val="21"/>
        </w:rPr>
        <w:t xml:space="preserve">ecretaría </w:t>
      </w:r>
      <w:r>
        <w:rPr>
          <w:rFonts w:ascii="Abadi" w:hAnsi="Abadi"/>
          <w:sz w:val="21"/>
          <w:szCs w:val="21"/>
        </w:rPr>
        <w:t>G</w:t>
      </w:r>
      <w:r w:rsidRPr="0030088F">
        <w:rPr>
          <w:rFonts w:ascii="Abadi" w:hAnsi="Abadi"/>
          <w:sz w:val="21"/>
          <w:szCs w:val="21"/>
        </w:rPr>
        <w:t xml:space="preserve">eneral tengan todos y todas </w:t>
      </w:r>
      <w:r>
        <w:rPr>
          <w:rFonts w:ascii="Abadi" w:hAnsi="Abadi"/>
          <w:sz w:val="21"/>
          <w:szCs w:val="21"/>
        </w:rPr>
        <w:t>¡</w:t>
      </w:r>
      <w:r w:rsidRPr="0030088F">
        <w:rPr>
          <w:rFonts w:ascii="Abadi" w:hAnsi="Abadi"/>
          <w:sz w:val="21"/>
          <w:szCs w:val="21"/>
        </w:rPr>
        <w:t>muy buena tarde</w:t>
      </w:r>
      <w:r>
        <w:rPr>
          <w:rFonts w:ascii="Abadi" w:hAnsi="Abadi"/>
          <w:sz w:val="21"/>
          <w:szCs w:val="21"/>
        </w:rPr>
        <w:t>!</w:t>
      </w:r>
      <w:r w:rsidR="00DA05F3">
        <w:rPr>
          <w:rStyle w:val="Refdenotaalpie"/>
          <w:rFonts w:ascii="Abadi" w:hAnsi="Abadi"/>
          <w:sz w:val="21"/>
          <w:szCs w:val="21"/>
        </w:rPr>
        <w:footnoteReference w:id="238"/>
      </w:r>
    </w:p>
    <w:p w14:paraId="00E4DEA3" w14:textId="77777777" w:rsidR="00374533" w:rsidRPr="00AB2CA6" w:rsidRDefault="00374533" w:rsidP="00817D58">
      <w:pPr>
        <w:pStyle w:val="Textoindependiente"/>
        <w:kinsoku w:val="0"/>
        <w:overflowPunct w:val="0"/>
        <w:spacing w:before="9"/>
        <w:rPr>
          <w:rFonts w:ascii="Abadi" w:hAnsi="Abadi"/>
          <w:b w:val="0"/>
          <w:bCs w:val="0"/>
          <w:sz w:val="21"/>
          <w:szCs w:val="21"/>
        </w:rPr>
      </w:pPr>
    </w:p>
    <w:p w14:paraId="23C73327" w14:textId="27449043" w:rsidR="00817D58" w:rsidRDefault="00817D58" w:rsidP="00817D58">
      <w:pPr>
        <w:pStyle w:val="Textoindependiente"/>
        <w:kinsoku w:val="0"/>
        <w:overflowPunct w:val="0"/>
        <w:spacing w:before="2"/>
        <w:rPr>
          <w:rFonts w:ascii="Abadi" w:hAnsi="Abadi"/>
          <w:b w:val="0"/>
          <w:bCs w:val="0"/>
          <w:sz w:val="21"/>
          <w:szCs w:val="21"/>
        </w:rPr>
      </w:pPr>
    </w:p>
    <w:p w14:paraId="0E4BE314" w14:textId="77777777" w:rsidR="0083430E" w:rsidRDefault="0083430E" w:rsidP="00817D58">
      <w:pPr>
        <w:pStyle w:val="Textoindependiente"/>
        <w:kinsoku w:val="0"/>
        <w:overflowPunct w:val="0"/>
        <w:spacing w:before="2"/>
        <w:rPr>
          <w:rFonts w:ascii="Abadi" w:hAnsi="Abadi"/>
          <w:b w:val="0"/>
          <w:bCs w:val="0"/>
          <w:sz w:val="21"/>
          <w:szCs w:val="21"/>
        </w:rPr>
      </w:pPr>
    </w:p>
    <w:p w14:paraId="6318DCD0" w14:textId="77777777" w:rsidR="0083430E" w:rsidRDefault="0083430E" w:rsidP="00817D58">
      <w:pPr>
        <w:pStyle w:val="Textoindependiente"/>
        <w:kinsoku w:val="0"/>
        <w:overflowPunct w:val="0"/>
        <w:spacing w:before="2"/>
        <w:rPr>
          <w:rFonts w:ascii="Abadi" w:hAnsi="Abadi"/>
          <w:b w:val="0"/>
          <w:bCs w:val="0"/>
          <w:sz w:val="21"/>
          <w:szCs w:val="21"/>
        </w:rPr>
      </w:pPr>
    </w:p>
    <w:p w14:paraId="518939EA" w14:textId="77777777" w:rsidR="0083430E" w:rsidRDefault="0083430E" w:rsidP="00817D58">
      <w:pPr>
        <w:pStyle w:val="Textoindependiente"/>
        <w:kinsoku w:val="0"/>
        <w:overflowPunct w:val="0"/>
        <w:spacing w:before="2"/>
        <w:rPr>
          <w:rFonts w:ascii="Abadi" w:hAnsi="Abadi"/>
          <w:b w:val="0"/>
          <w:bCs w:val="0"/>
          <w:sz w:val="21"/>
          <w:szCs w:val="21"/>
        </w:rPr>
      </w:pPr>
    </w:p>
    <w:p w14:paraId="74774A3E" w14:textId="77777777" w:rsidR="0083430E" w:rsidRDefault="0083430E" w:rsidP="00817D58">
      <w:pPr>
        <w:pStyle w:val="Textoindependiente"/>
        <w:kinsoku w:val="0"/>
        <w:overflowPunct w:val="0"/>
        <w:spacing w:before="2"/>
        <w:rPr>
          <w:rFonts w:ascii="Abadi" w:hAnsi="Abadi"/>
          <w:b w:val="0"/>
          <w:bCs w:val="0"/>
          <w:sz w:val="21"/>
          <w:szCs w:val="21"/>
        </w:rPr>
      </w:pPr>
    </w:p>
    <w:p w14:paraId="7694DAD6" w14:textId="77777777" w:rsidR="0083430E" w:rsidRDefault="0083430E" w:rsidP="00817D58">
      <w:pPr>
        <w:pStyle w:val="Textoindependiente"/>
        <w:kinsoku w:val="0"/>
        <w:overflowPunct w:val="0"/>
        <w:spacing w:before="2"/>
        <w:rPr>
          <w:rFonts w:ascii="Abadi" w:hAnsi="Abadi"/>
          <w:b w:val="0"/>
          <w:bCs w:val="0"/>
          <w:sz w:val="21"/>
          <w:szCs w:val="21"/>
        </w:rPr>
      </w:pPr>
    </w:p>
    <w:p w14:paraId="50CD8DE6" w14:textId="77777777" w:rsidR="0083430E" w:rsidRDefault="0083430E" w:rsidP="00817D58">
      <w:pPr>
        <w:pStyle w:val="Textoindependiente"/>
        <w:kinsoku w:val="0"/>
        <w:overflowPunct w:val="0"/>
        <w:spacing w:before="2"/>
        <w:rPr>
          <w:rFonts w:ascii="Abadi" w:hAnsi="Abadi"/>
          <w:b w:val="0"/>
          <w:bCs w:val="0"/>
          <w:sz w:val="21"/>
          <w:szCs w:val="21"/>
        </w:rPr>
      </w:pPr>
    </w:p>
    <w:p w14:paraId="68A3A148" w14:textId="77777777" w:rsidR="0083430E" w:rsidRDefault="0083430E" w:rsidP="00817D58">
      <w:pPr>
        <w:pStyle w:val="Textoindependiente"/>
        <w:kinsoku w:val="0"/>
        <w:overflowPunct w:val="0"/>
        <w:spacing w:before="2"/>
        <w:rPr>
          <w:rFonts w:ascii="Abadi" w:hAnsi="Abadi"/>
          <w:b w:val="0"/>
          <w:bCs w:val="0"/>
          <w:sz w:val="21"/>
          <w:szCs w:val="21"/>
        </w:rPr>
      </w:pPr>
    </w:p>
    <w:p w14:paraId="0D14C87F" w14:textId="77777777" w:rsidR="0083430E" w:rsidRPr="00AB2CA6" w:rsidRDefault="0083430E" w:rsidP="00817D58">
      <w:pPr>
        <w:pStyle w:val="Textoindependiente"/>
        <w:kinsoku w:val="0"/>
        <w:overflowPunct w:val="0"/>
        <w:spacing w:before="2"/>
        <w:rPr>
          <w:rFonts w:ascii="Abadi" w:hAnsi="Abadi"/>
          <w:b w:val="0"/>
          <w:bCs w:val="0"/>
          <w:sz w:val="21"/>
          <w:szCs w:val="21"/>
        </w:rPr>
      </w:pPr>
    </w:p>
    <w:p w14:paraId="67D40720" w14:textId="1DE5BFA1" w:rsidR="00817D58" w:rsidRDefault="00697C8F" w:rsidP="00817D58">
      <w:pPr>
        <w:pStyle w:val="Textoindependiente"/>
        <w:kinsoku w:val="0"/>
        <w:overflowPunct w:val="0"/>
        <w:spacing w:before="70"/>
        <w:rPr>
          <w:rFonts w:ascii="Abadi" w:hAnsi="Abadi"/>
          <w:b w:val="0"/>
          <w:bCs w:val="0"/>
          <w:sz w:val="21"/>
          <w:szCs w:val="21"/>
        </w:rPr>
      </w:pPr>
      <w:r w:rsidRPr="00F374C8">
        <w:rPr>
          <w:rFonts w:ascii="Abadi" w:hAnsi="Abadi"/>
          <w:noProof/>
          <w:sz w:val="21"/>
          <w:szCs w:val="21"/>
        </w:rPr>
        <mc:AlternateContent>
          <mc:Choice Requires="wpg">
            <w:drawing>
              <wp:anchor distT="0" distB="0" distL="114300" distR="114300" simplePos="0" relativeHeight="251686934" behindDoc="0" locked="0" layoutInCell="1" allowOverlap="1" wp14:anchorId="0A3912BB" wp14:editId="48270C9A">
                <wp:simplePos x="0" y="0"/>
                <wp:positionH relativeFrom="column">
                  <wp:posOffset>1905</wp:posOffset>
                </wp:positionH>
                <wp:positionV relativeFrom="paragraph">
                  <wp:posOffset>197485</wp:posOffset>
                </wp:positionV>
                <wp:extent cx="2479040" cy="4114800"/>
                <wp:effectExtent l="0" t="0" r="16510" b="19050"/>
                <wp:wrapNone/>
                <wp:docPr id="716590040" name="Grupo 7165900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79040" cy="4114800"/>
                          <a:chOff x="2227311" y="-300304"/>
                          <a:chExt cx="3261646" cy="3609294"/>
                        </a:xfrm>
                      </wpg:grpSpPr>
                      <wps:wsp>
                        <wps:cNvPr id="1797349352" name="Diagrama de flujo: multidocumento 45"/>
                        <wps:cNvSpPr/>
                        <wps:spPr>
                          <a:xfrm>
                            <a:off x="2227311" y="-288285"/>
                            <a:ext cx="3261646" cy="3597275"/>
                          </a:xfrm>
                          <a:prstGeom prst="flowChartMultidocument">
                            <a:avLst/>
                          </a:prstGeom>
                          <a:noFill/>
                          <a:ln w="12700" cap="flat" cmpd="sng" algn="ctr">
                            <a:solidFill>
                              <a:sysClr val="windowText" lastClr="000000"/>
                            </a:solidFill>
                            <a:prstDash val="solid"/>
                          </a:ln>
                          <a:effectLst/>
                        </wps:spPr>
                        <wps:txbx>
                          <w:txbxContent>
                            <w:p w14:paraId="22BC3D34" w14:textId="77777777" w:rsidR="0083430E" w:rsidRPr="001040DC" w:rsidRDefault="0083430E" w:rsidP="0083430E">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A84BF7F" w14:textId="77777777" w:rsidR="0083430E"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41B3292D"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13F8C7A"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4DFCD1BA" w14:textId="77777777" w:rsidR="0083430E" w:rsidRPr="001040DC" w:rsidRDefault="0083430E" w:rsidP="0083430E">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7706A941" w14:textId="77777777" w:rsidR="0083430E" w:rsidRPr="001040DC" w:rsidRDefault="0083430E" w:rsidP="0083430E">
                              <w:pPr>
                                <w:suppressOverlap/>
                                <w:jc w:val="center"/>
                                <w:rPr>
                                  <w:rFonts w:ascii="Abadi" w:hAnsi="Abadi" w:cs="Arial"/>
                                  <w:b/>
                                  <w:sz w:val="18"/>
                                  <w:szCs w:val="18"/>
                                  <w:lang w:val="pt-PT"/>
                                </w:rPr>
                              </w:pPr>
                            </w:p>
                            <w:p w14:paraId="559816E7"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6B37229"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6D2F6B5B"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F366171" w14:textId="77777777" w:rsidR="0083430E" w:rsidRPr="001040DC" w:rsidRDefault="0083430E" w:rsidP="0083430E">
                              <w:pPr>
                                <w:suppressOverlap/>
                                <w:jc w:val="center"/>
                                <w:rPr>
                                  <w:rFonts w:ascii="Abadi" w:hAnsi="Abadi" w:cs="Arial"/>
                                  <w:b/>
                                  <w:sz w:val="18"/>
                                  <w:szCs w:val="18"/>
                                  <w:lang w:val="pt-PT"/>
                                </w:rPr>
                              </w:pPr>
                            </w:p>
                            <w:p w14:paraId="7F0941DC"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213082FE"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5D1E1DAB" w14:textId="77777777" w:rsidR="00697C8F" w:rsidRDefault="00697C8F" w:rsidP="00697C8F">
                              <w:pPr>
                                <w:suppressOverlap/>
                                <w:jc w:val="center"/>
                                <w:rPr>
                                  <w:rFonts w:ascii="Abadi" w:hAnsi="Abadi" w:cs="Arial"/>
                                  <w:b/>
                                  <w:sz w:val="18"/>
                                  <w:szCs w:val="18"/>
                                  <w:lang w:val="pt-PT"/>
                                </w:rPr>
                              </w:pPr>
                            </w:p>
                            <w:p w14:paraId="67650954"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A23BE0C"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2F04FFD" w14:textId="77777777" w:rsidR="0083430E" w:rsidRPr="001040DC" w:rsidRDefault="0083430E" w:rsidP="0083430E">
                              <w:pPr>
                                <w:suppressOverlap/>
                                <w:jc w:val="center"/>
                                <w:rPr>
                                  <w:rFonts w:ascii="Abadi" w:hAnsi="Abadi" w:cs="Arial"/>
                                  <w:b/>
                                  <w:sz w:val="18"/>
                                  <w:szCs w:val="18"/>
                                  <w:lang w:val="pt-PT"/>
                                </w:rPr>
                              </w:pPr>
                            </w:p>
                            <w:p w14:paraId="183970FC"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EB01F61"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5B0B00A" w14:textId="77777777" w:rsidR="0083430E" w:rsidRPr="001040DC" w:rsidRDefault="0083430E" w:rsidP="0083430E">
                              <w:pPr>
                                <w:jc w:val="center"/>
                              </w:pPr>
                            </w:p>
                            <w:p w14:paraId="165E6DBD" w14:textId="77777777" w:rsidR="0083430E" w:rsidRPr="00495760" w:rsidRDefault="0083430E" w:rsidP="0083430E">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3FA4BA1C" w14:textId="77777777" w:rsidR="0083430E" w:rsidRPr="001040DC" w:rsidRDefault="0083430E" w:rsidP="0083430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30850298" name="Imagen 46" descr="Interfaz de usuario gráfica&#10;&#10;Descripción generada automáticamente con confianza media"/>
                          <pic:cNvPicPr>
                            <a:picLocks noChangeAspect="1"/>
                          </pic:cNvPicPr>
                        </pic:nvPicPr>
                        <pic:blipFill>
                          <a:blip r:embed="rId73" cstate="print"/>
                          <a:stretch>
                            <a:fillRect/>
                          </a:stretch>
                        </pic:blipFill>
                        <pic:spPr>
                          <a:xfrm>
                            <a:off x="3724460" y="-300304"/>
                            <a:ext cx="772913" cy="263112"/>
                          </a:xfrm>
                          <a:prstGeom prst="rect">
                            <a:avLst/>
                          </a:prstGeom>
                        </pic:spPr>
                      </pic:pic>
                      <wps:wsp>
                        <wps:cNvPr id="1738956737" name="Cuadro de texto 2"/>
                        <wps:cNvSpPr txBox="1">
                          <a:spLocks noChangeArrowheads="1"/>
                        </wps:cNvSpPr>
                        <wps:spPr bwMode="auto">
                          <a:xfrm>
                            <a:off x="3010329" y="-1786"/>
                            <a:ext cx="2095501" cy="390525"/>
                          </a:xfrm>
                          <a:prstGeom prst="rect">
                            <a:avLst/>
                          </a:prstGeom>
                          <a:noFill/>
                          <a:ln w="9525">
                            <a:noFill/>
                            <a:miter lim="800000"/>
                            <a:headEnd/>
                            <a:tailEnd/>
                          </a:ln>
                        </wps:spPr>
                        <wps:txbx>
                          <w:txbxContent>
                            <w:p w14:paraId="2D84A4D5" w14:textId="77777777" w:rsidR="0083430E" w:rsidRPr="00544C73" w:rsidRDefault="0083430E" w:rsidP="0083430E">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54B43EFE" w14:textId="77777777" w:rsidR="0083430E" w:rsidRPr="00EE0581" w:rsidRDefault="0083430E" w:rsidP="0083430E">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0A3912BB" id="Grupo 716590040" o:spid="_x0000_s1027" style="position:absolute;left:0;text-align:left;margin-left:.15pt;margin-top:15.55pt;width:195.2pt;height:324pt;z-index:251686934;mso-width-relative:margin" coordorigin="22273,-3003" coordsize="32616,36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45" o:spid="_x0000_s1028" type="#_x0000_t115" style="position:absolute;left:22273;top:-2882;width:32616;height:359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" filled="f" strokecolor="windowText" strokeweight="1pt">
                  <v:textbox>
                    <w:txbxContent>
                      <w:p w14:paraId="22BC3D34" w14:textId="77777777" w:rsidR="0083430E" w:rsidRPr="001040DC" w:rsidRDefault="0083430E" w:rsidP="0083430E">
                        <w:pPr>
                          <w:pStyle w:val="Textoindependiente"/>
                          <w:ind w:firstLine="284"/>
                          <w:suppressOverlap/>
                          <w:rPr>
                            <w:rFonts w:ascii="Abadi" w:hAnsi="Abadi"/>
                            <w:sz w:val="18"/>
                            <w:szCs w:val="18"/>
                            <w:lang w:val="es-MX"/>
                          </w:rPr>
                        </w:pPr>
                        <w:r w:rsidRPr="001040DC">
                          <w:rPr>
                            <w:rFonts w:ascii="Abadi" w:hAnsi="Abadi"/>
                            <w:sz w:val="18"/>
                            <w:szCs w:val="18"/>
                            <w:lang w:val="pt-PT"/>
                          </w:rPr>
                          <w:t xml:space="preserve">Dip. </w:t>
                        </w:r>
                        <w:r w:rsidRPr="001040DC">
                          <w:rPr>
                            <w:rFonts w:ascii="Abadi" w:hAnsi="Abadi"/>
                            <w:sz w:val="18"/>
                            <w:szCs w:val="18"/>
                            <w:lang w:val="es-MX"/>
                          </w:rPr>
                          <w:t xml:space="preserve"> Luis Ernesto Ayala Torres</w:t>
                        </w:r>
                      </w:p>
                      <w:p w14:paraId="2A84BF7F" w14:textId="77777777" w:rsidR="0083430E"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Dip. </w:t>
                        </w:r>
                        <w:r>
                          <w:rPr>
                            <w:rFonts w:ascii="Abadi" w:hAnsi="Abadi" w:cs="Arial"/>
                            <w:b/>
                            <w:sz w:val="18"/>
                            <w:szCs w:val="18"/>
                            <w:lang w:val="pt-PT"/>
                          </w:rPr>
                          <w:t>David Martínez Mendizával</w:t>
                        </w:r>
                      </w:p>
                      <w:p w14:paraId="41B3292D"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Dip.  Alejandro Arias Ávila  </w:t>
                        </w:r>
                      </w:p>
                      <w:p w14:paraId="113F8C7A"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Dip. Gerardo Fernández González</w:t>
                        </w:r>
                      </w:p>
                      <w:p w14:paraId="4DFCD1BA" w14:textId="77777777" w:rsidR="0083430E" w:rsidRPr="001040DC" w:rsidRDefault="0083430E" w:rsidP="0083430E">
                        <w:pPr>
                          <w:suppressOverlap/>
                          <w:jc w:val="center"/>
                          <w:rPr>
                            <w:rFonts w:ascii="Abadi" w:hAnsi="Abadi" w:cs="Arial"/>
                            <w:b/>
                            <w:sz w:val="18"/>
                            <w:szCs w:val="18"/>
                            <w:lang w:val="pt-PT"/>
                          </w:rPr>
                        </w:pPr>
                        <w:r>
                          <w:rPr>
                            <w:rFonts w:ascii="Abadi" w:hAnsi="Abadi" w:cs="Arial"/>
                            <w:b/>
                            <w:sz w:val="18"/>
                            <w:szCs w:val="18"/>
                            <w:lang w:val="pt-PT"/>
                          </w:rPr>
                          <w:t xml:space="preserve">Dip. </w:t>
                        </w:r>
                        <w:r w:rsidRPr="001040DC">
                          <w:rPr>
                            <w:rFonts w:ascii="Abadi" w:hAnsi="Abadi" w:cs="Arial"/>
                            <w:b/>
                            <w:sz w:val="18"/>
                            <w:szCs w:val="18"/>
                            <w:lang w:val="pt-PT"/>
                          </w:rPr>
                          <w:t>Dessir</w:t>
                        </w:r>
                        <w:r>
                          <w:rPr>
                            <w:rFonts w:ascii="Abadi" w:hAnsi="Abadi" w:cs="Arial"/>
                            <w:b/>
                            <w:sz w:val="18"/>
                            <w:szCs w:val="18"/>
                            <w:lang w:val="pt-PT"/>
                          </w:rPr>
                          <w:t>e</w:t>
                        </w:r>
                        <w:r w:rsidRPr="001040DC">
                          <w:rPr>
                            <w:rFonts w:ascii="Abadi" w:hAnsi="Abadi" w:cs="Arial"/>
                            <w:b/>
                            <w:sz w:val="18"/>
                            <w:szCs w:val="18"/>
                            <w:lang w:val="pt-PT"/>
                          </w:rPr>
                          <w:t xml:space="preserve"> </w:t>
                        </w:r>
                        <w:r>
                          <w:rPr>
                            <w:rFonts w:ascii="Abadi" w:hAnsi="Abadi" w:cs="Arial"/>
                            <w:b/>
                            <w:sz w:val="18"/>
                            <w:szCs w:val="18"/>
                            <w:lang w:val="pt-PT"/>
                          </w:rPr>
                          <w:t>A</w:t>
                        </w:r>
                        <w:r w:rsidRPr="001040DC">
                          <w:rPr>
                            <w:rFonts w:ascii="Abadi" w:hAnsi="Abadi" w:cs="Arial"/>
                            <w:b/>
                            <w:sz w:val="18"/>
                            <w:szCs w:val="18"/>
                            <w:lang w:val="pt-PT"/>
                          </w:rPr>
                          <w:t xml:space="preserve">ngel Rocha </w:t>
                        </w:r>
                      </w:p>
                      <w:p w14:paraId="7706A941" w14:textId="77777777" w:rsidR="0083430E" w:rsidRPr="001040DC" w:rsidRDefault="0083430E" w:rsidP="0083430E">
                        <w:pPr>
                          <w:suppressOverlap/>
                          <w:jc w:val="center"/>
                          <w:rPr>
                            <w:rFonts w:ascii="Abadi" w:hAnsi="Abadi" w:cs="Arial"/>
                            <w:b/>
                            <w:sz w:val="18"/>
                            <w:szCs w:val="18"/>
                            <w:lang w:val="pt-PT"/>
                          </w:rPr>
                        </w:pPr>
                      </w:p>
                      <w:p w14:paraId="559816E7"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 xml:space="preserve">Secretario General del </w:t>
                        </w:r>
                      </w:p>
                      <w:p w14:paraId="46B37229"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H. Congreso del Estado</w:t>
                        </w:r>
                      </w:p>
                      <w:p w14:paraId="6D2F6B5B"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Mtro. C</w:t>
                        </w:r>
                        <w:r>
                          <w:rPr>
                            <w:rFonts w:ascii="Abadi" w:hAnsi="Abadi" w:cs="Arial"/>
                            <w:b/>
                            <w:sz w:val="18"/>
                            <w:szCs w:val="18"/>
                            <w:lang w:val="pt-PT"/>
                          </w:rPr>
                          <w:t xml:space="preserve">hristian </w:t>
                        </w:r>
                        <w:r w:rsidRPr="001040DC">
                          <w:rPr>
                            <w:rFonts w:ascii="Abadi" w:hAnsi="Abadi" w:cs="Arial"/>
                            <w:b/>
                            <w:sz w:val="18"/>
                            <w:szCs w:val="18"/>
                            <w:lang w:val="pt-PT"/>
                          </w:rPr>
                          <w:t xml:space="preserve">Javier Cruz Villegas </w:t>
                        </w:r>
                      </w:p>
                      <w:p w14:paraId="4F366171" w14:textId="77777777" w:rsidR="0083430E" w:rsidRPr="001040DC" w:rsidRDefault="0083430E" w:rsidP="0083430E">
                        <w:pPr>
                          <w:suppressOverlap/>
                          <w:jc w:val="center"/>
                          <w:rPr>
                            <w:rFonts w:ascii="Abadi" w:hAnsi="Abadi" w:cs="Arial"/>
                            <w:b/>
                            <w:sz w:val="18"/>
                            <w:szCs w:val="18"/>
                            <w:lang w:val="pt-PT"/>
                          </w:rPr>
                        </w:pPr>
                      </w:p>
                      <w:p w14:paraId="7F0941DC"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213082FE"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5D1E1DAB" w14:textId="77777777" w:rsidR="00697C8F" w:rsidRDefault="00697C8F" w:rsidP="00697C8F">
                        <w:pPr>
                          <w:suppressOverlap/>
                          <w:jc w:val="center"/>
                          <w:rPr>
                            <w:rFonts w:ascii="Abadi" w:hAnsi="Abadi" w:cs="Arial"/>
                            <w:b/>
                            <w:sz w:val="18"/>
                            <w:szCs w:val="18"/>
                            <w:lang w:val="pt-PT"/>
                          </w:rPr>
                        </w:pPr>
                      </w:p>
                      <w:p w14:paraId="67650954"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2A23BE0C" w14:textId="77777777" w:rsidR="00697C8F" w:rsidRPr="00107BEA" w:rsidRDefault="00697C8F" w:rsidP="00697C8F">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42F04FFD" w14:textId="77777777" w:rsidR="0083430E" w:rsidRPr="001040DC" w:rsidRDefault="0083430E" w:rsidP="0083430E">
                        <w:pPr>
                          <w:suppressOverlap/>
                          <w:jc w:val="center"/>
                          <w:rPr>
                            <w:rFonts w:ascii="Abadi" w:hAnsi="Abadi" w:cs="Arial"/>
                            <w:b/>
                            <w:sz w:val="18"/>
                            <w:szCs w:val="18"/>
                            <w:lang w:val="pt-PT"/>
                          </w:rPr>
                        </w:pPr>
                      </w:p>
                      <w:p w14:paraId="183970FC"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Transcripción y Corrección de Estilo</w:t>
                        </w:r>
                      </w:p>
                      <w:p w14:paraId="6EB01F61" w14:textId="77777777" w:rsidR="0083430E" w:rsidRPr="001040DC" w:rsidRDefault="0083430E" w:rsidP="0083430E">
                        <w:pPr>
                          <w:suppressOverlap/>
                          <w:jc w:val="center"/>
                          <w:rPr>
                            <w:rFonts w:ascii="Abadi" w:hAnsi="Abadi" w:cs="Arial"/>
                            <w:b/>
                            <w:sz w:val="18"/>
                            <w:szCs w:val="18"/>
                            <w:lang w:val="pt-PT"/>
                          </w:rPr>
                        </w:pPr>
                        <w:r w:rsidRPr="001040DC">
                          <w:rPr>
                            <w:rFonts w:ascii="Abadi" w:hAnsi="Abadi" w:cs="Arial"/>
                            <w:b/>
                            <w:sz w:val="18"/>
                            <w:szCs w:val="18"/>
                            <w:lang w:val="pt-PT"/>
                          </w:rPr>
                          <w:t>C. Marysol Vizguerra Olmos</w:t>
                        </w:r>
                      </w:p>
                      <w:p w14:paraId="75B0B00A" w14:textId="77777777" w:rsidR="0083430E" w:rsidRPr="001040DC" w:rsidRDefault="0083430E" w:rsidP="0083430E">
                        <w:pPr>
                          <w:jc w:val="center"/>
                        </w:pPr>
                      </w:p>
                      <w:p w14:paraId="165E6DBD" w14:textId="77777777" w:rsidR="0083430E" w:rsidRPr="00495760" w:rsidRDefault="0083430E" w:rsidP="0083430E">
                        <w:pPr>
                          <w:pStyle w:val="Prrafodelista"/>
                          <w:numPr>
                            <w:ilvl w:val="0"/>
                            <w:numId w:val="7"/>
                          </w:numPr>
                          <w:tabs>
                            <w:tab w:val="num" w:pos="360"/>
                          </w:tabs>
                          <w:spacing w:after="160" w:line="259" w:lineRule="auto"/>
                          <w:ind w:left="0" w:firstLine="0"/>
                          <w:suppressOverlap/>
                          <w:jc w:val="center"/>
                          <w:rPr>
                            <w:rFonts w:ascii="Abadi" w:hAnsi="Abadi" w:cs="Arial"/>
                            <w:b/>
                            <w:sz w:val="18"/>
                            <w:szCs w:val="18"/>
                            <w:lang w:val="pt-PT"/>
                          </w:rPr>
                        </w:pPr>
                      </w:p>
                      <w:p w14:paraId="3FA4BA1C" w14:textId="77777777" w:rsidR="0083430E" w:rsidRPr="001040DC" w:rsidRDefault="0083430E" w:rsidP="0083430E"/>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6" o:spid="_x0000_s1029" type="#_x0000_t75" alt="Interfaz de usuario gráfica&#10;&#10;Descripción generada automáticamente con confianza media" style="position:absolute;left:37244;top:-3003;width:7729;height:26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">
                  <v:imagedata r:id="rId82" o:title="Interfaz de usuario gráfica&#10;&#10;Descripción generada automáticamente con confianza media"/>
                </v:shape>
                <v:shape id="Cuadro de texto 2" o:spid="_x0000_s1030" type="#_x0000_t202" style="position:absolute;left:30103;top:-17;width:20955;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" filled="f" stroked="f">
                  <v:textbox>
                    <w:txbxContent>
                      <w:p w14:paraId="2D84A4D5" w14:textId="77777777" w:rsidR="0083430E" w:rsidRPr="00544C73" w:rsidRDefault="0083430E" w:rsidP="0083430E">
                        <w:pPr>
                          <w:suppressOverlap/>
                          <w:jc w:val="center"/>
                          <w:rPr>
                            <w:rFonts w:ascii="Abadi" w:hAnsi="Abadi" w:cs="Arial"/>
                            <w:b/>
                            <w:sz w:val="18"/>
                            <w:szCs w:val="18"/>
                            <w:lang w:val="pt-PT"/>
                          </w:rPr>
                        </w:pPr>
                        <w:r w:rsidRPr="00544C73">
                          <w:rPr>
                            <w:rFonts w:ascii="Abadi" w:hAnsi="Abadi" w:cs="Arial"/>
                            <w:b/>
                            <w:sz w:val="18"/>
                            <w:szCs w:val="18"/>
                            <w:lang w:val="pt-PT"/>
                          </w:rPr>
                          <w:t>Junta de Gobierno y Coordinación Política</w:t>
                        </w:r>
                      </w:p>
                      <w:p w14:paraId="54B43EFE" w14:textId="77777777" w:rsidR="0083430E" w:rsidRPr="00EE0581" w:rsidRDefault="0083430E" w:rsidP="0083430E">
                        <w:pPr>
                          <w:rPr>
                            <w:sz w:val="16"/>
                            <w:szCs w:val="16"/>
                          </w:rPr>
                        </w:pPr>
                      </w:p>
                    </w:txbxContent>
                  </v:textbox>
                </v:shape>
              </v:group>
            </w:pict>
          </mc:Fallback>
        </mc:AlternateContent>
      </w:r>
    </w:p>
    <w:p w14:paraId="53E254CF" w14:textId="08E03F36" w:rsidR="00E355B3" w:rsidRPr="008A6A37" w:rsidRDefault="00E355B3" w:rsidP="008A6A37">
      <w:pPr>
        <w:autoSpaceDE w:val="0"/>
        <w:autoSpaceDN w:val="0"/>
        <w:adjustRightInd w:val="0"/>
        <w:jc w:val="both"/>
        <w:rPr>
          <w:rFonts w:ascii="Abadi" w:hAnsi="Abadi"/>
          <w:sz w:val="21"/>
          <w:szCs w:val="21"/>
        </w:rPr>
      </w:pPr>
    </w:p>
    <w:sectPr w:rsidR="00E355B3" w:rsidRPr="008A6A37" w:rsidSect="006828DB">
      <w:type w:val="continuous"/>
      <w:pgSz w:w="12240" w:h="15840" w:code="1"/>
      <w:pgMar w:top="426" w:right="1701"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616"/>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C441B46" w14:textId="77777777" w:rsidR="003C738A" w:rsidRDefault="003C738A">
      <w:r>
        <w:separator/>
      </w:r>
    </w:p>
  </w:endnote>
  <w:endnote w:type="continuationSeparator" w:id="0">
    <w:p w14:paraId="75829227" w14:textId="77777777" w:rsidR="003C738A" w:rsidRDefault="003C738A">
      <w:r>
        <w:continuationSeparator/>
      </w:r>
    </w:p>
  </w:endnote>
  <w:endnote w:type="continuationNotice" w:id="1">
    <w:p w14:paraId="52F37809" w14:textId="77777777" w:rsidR="003C738A" w:rsidRDefault="003C738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masis MT Pro">
    <w:charset w:val="00"/>
    <w:family w:val="roman"/>
    <w:pitch w:val="variable"/>
    <w:sig w:usb0="A00000AF" w:usb1="4000205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Arial Unicode MS">
    <w:panose1 w:val="020B0604020202020204"/>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Helvetica Neue">
    <w:altName w:val="Arial"/>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ErasITC-Bold">
    <w:altName w:val="Calibri"/>
    <w:panose1 w:val="00000000000000000000"/>
    <w:charset w:val="00"/>
    <w:family w:val="swiss"/>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David">
    <w:charset w:val="B1"/>
    <w:family w:val="swiss"/>
    <w:pitch w:val="variable"/>
    <w:sig w:usb0="00000803" w:usb1="00000000" w:usb2="00000000" w:usb3="00000000" w:csb0="00000021" w:csb1="00000000"/>
  </w:font>
  <w:font w:name="Wingdings-Regular">
    <w:altName w:val="Klee One"/>
    <w:panose1 w:val="00000000000000000000"/>
    <w:charset w:val="80"/>
    <w:family w:val="auto"/>
    <w:notTrueType/>
    <w:pitch w:val="default"/>
    <w:sig w:usb0="00000001" w:usb1="08070000" w:usb2="00000010" w:usb3="00000000" w:csb0="00020000" w:csb1="00000000"/>
  </w:font>
  <w:font w:name="SymbolMT">
    <w:altName w:val="Calibri"/>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DejaVu Sans">
    <w:altName w:val="Times New Roman"/>
    <w:charset w:val="80"/>
    <w:family w:val="auto"/>
    <w:pitch w:val="variable"/>
  </w:font>
  <w:font w:name="Century Gothic">
    <w:panose1 w:val="020B0502020202020204"/>
    <w:charset w:val="00"/>
    <w:family w:val="swiss"/>
    <w:pitch w:val="variable"/>
    <w:sig w:usb0="00000287" w:usb1="00000000" w:usb2="00000000" w:usb3="00000000" w:csb0="0000009F" w:csb1="00000000"/>
  </w:font>
  <w:font w:name="Calibri-Italic">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Narrow">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2"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DE6E63" w14:textId="778230DF" w:rsidR="00E7344B" w:rsidRPr="00E7344B" w:rsidRDefault="007D2245" w:rsidP="00E7344B">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E7344B" w:rsidRPr="00E7344B">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E7344B" w:rsidRPr="002A15D3">
      <w:rPr>
        <w:rFonts w:ascii="Abadi" w:hAnsi="Abadi"/>
        <w:sz w:val="12"/>
        <w:szCs w:val="12"/>
      </w:rPr>
      <w:t>»</w:t>
    </w:r>
  </w:p>
  <w:p w14:paraId="353D8091" w14:textId="77777777" w:rsidR="00E7344B" w:rsidRPr="00E7344B" w:rsidRDefault="00E7344B" w:rsidP="00E7344B">
    <w:pPr>
      <w:ind w:right="5436"/>
      <w:jc w:val="both"/>
      <w:rPr>
        <w:rFonts w:ascii="CG Times" w:hAnsi="CG Times"/>
        <w:lang w:val="es-MX" w:eastAsia="en-US"/>
      </w:rPr>
    </w:pPr>
  </w:p>
  <w:p w14:paraId="0E33E8D0" w14:textId="137A01C9"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E739499" w14:textId="77777777" w:rsidR="003C738A" w:rsidRDefault="003C738A">
      <w:r>
        <w:separator/>
      </w:r>
    </w:p>
  </w:footnote>
  <w:footnote w:type="continuationSeparator" w:id="0">
    <w:p w14:paraId="0FCBFE5C" w14:textId="77777777" w:rsidR="003C738A" w:rsidRDefault="003C738A">
      <w:r>
        <w:continuationSeparator/>
      </w:r>
    </w:p>
  </w:footnote>
  <w:footnote w:type="continuationNotice" w:id="1">
    <w:p w14:paraId="6431D6E2" w14:textId="77777777" w:rsidR="003C738A" w:rsidRDefault="003C738A"/>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7B1628E4" w14:textId="77777777" w:rsidR="003A118B" w:rsidRDefault="003A118B" w:rsidP="003A118B">
      <w:pPr>
        <w:pStyle w:val="Textonotapie"/>
      </w:pPr>
      <w:r>
        <w:rPr>
          <w:rStyle w:val="Refdenotaalpie"/>
        </w:rPr>
        <w:footnoteRef/>
      </w:r>
      <w:r>
        <w:t xml:space="preserve"> </w:t>
      </w:r>
      <w:hyperlink r:id="rId1" w:history="1">
        <w:r w:rsidRPr="00E2177E">
          <w:rPr>
            <w:rStyle w:val="Hipervnculo"/>
            <w:rFonts w:ascii="Abadi" w:hAnsi="Abadi"/>
            <w:sz w:val="16"/>
            <w:szCs w:val="16"/>
          </w:rPr>
          <w:t>https://congreso-gto.s3.amazonaws.com/uploads/orden_archivo/archivo/29931/01_Orden_del_di_a_22__junio_2023_v2.pdf</w:t>
        </w:r>
      </w:hyperlink>
    </w:p>
  </w:footnote>
  <w:footnote w:id="4">
    <w:p w14:paraId="56C30923" w14:textId="679F142E" w:rsidR="003C3303" w:rsidRDefault="003C3303">
      <w:pPr>
        <w:pStyle w:val="Textonotapie"/>
      </w:pPr>
      <w:r>
        <w:rPr>
          <w:rStyle w:val="Refdenotaalpie"/>
        </w:rPr>
        <w:footnoteRef/>
      </w:r>
      <w:r>
        <w:t xml:space="preserve"> </w:t>
      </w:r>
      <w:hyperlink r:id="rId2" w:history="1">
        <w:r w:rsidRPr="003C3303">
          <w:rPr>
            <w:rStyle w:val="Hipervnculo"/>
            <w:rFonts w:ascii="Abadi" w:hAnsi="Abadi"/>
            <w:sz w:val="16"/>
            <w:szCs w:val="16"/>
          </w:rPr>
          <w:t>https://congreso-gto.s3.amazonaws.com/uploads/orden_archivo/archivo/29932/02__Acta_nu_mero_70_sesio_n_ordinaria_del_15_de_junio_de_2023.pdf</w:t>
        </w:r>
      </w:hyperlink>
    </w:p>
  </w:footnote>
  <w:footnote w:id="5">
    <w:p w14:paraId="1F0A7D80" w14:textId="268990B6" w:rsidR="007E1D0E" w:rsidRDefault="007E1D0E">
      <w:pPr>
        <w:pStyle w:val="Textonotapie"/>
      </w:pPr>
      <w:r>
        <w:rPr>
          <w:rStyle w:val="Refdenotaalpie"/>
        </w:rPr>
        <w:footnoteRef/>
      </w:r>
      <w:r>
        <w:t xml:space="preserve"> </w:t>
      </w:r>
      <w:hyperlink r:id="rId3" w:history="1">
        <w:r w:rsidR="005132AB" w:rsidRPr="005132AB">
          <w:rPr>
            <w:rStyle w:val="Hipervnculo"/>
            <w:rFonts w:ascii="Abadi" w:hAnsi="Abadi"/>
            <w:sz w:val="16"/>
            <w:szCs w:val="16"/>
          </w:rPr>
          <w:t>https://congreso-gto.s3.amazonaws.com/uploads/orden_archivo/archivo/29933/03_Extracto_22_junio_2023.pdf</w:t>
        </w:r>
      </w:hyperlink>
    </w:p>
  </w:footnote>
  <w:footnote w:id="6">
    <w:p w14:paraId="089DE0FE" w14:textId="357F6597" w:rsidR="005132AB" w:rsidRPr="00F530FF" w:rsidRDefault="005132AB">
      <w:pPr>
        <w:pStyle w:val="Textonotapie"/>
        <w:rPr>
          <w:rFonts w:ascii="Abadi" w:hAnsi="Abadi"/>
          <w:sz w:val="16"/>
          <w:szCs w:val="16"/>
        </w:rPr>
      </w:pPr>
      <w:r>
        <w:rPr>
          <w:rStyle w:val="Refdenotaalpie"/>
        </w:rPr>
        <w:footnoteRef/>
      </w:r>
      <w:r>
        <w:t xml:space="preserve"> </w:t>
      </w:r>
      <w:hyperlink r:id="rId4" w:history="1">
        <w:r w:rsidR="00F530FF" w:rsidRPr="00F530FF">
          <w:rPr>
            <w:rStyle w:val="Hipervnculo"/>
            <w:rFonts w:ascii="Abadi" w:hAnsi="Abadi"/>
            <w:sz w:val="16"/>
            <w:szCs w:val="16"/>
          </w:rPr>
          <w:t>https://congreso-gto.s3.amazonaws.com/uploads/orden_archivo/archivo/29934/04_Iniciativa_GPPAN_Ley_para_la_Protec_Animal_56897__22_JUNIO_2023_.pdf</w:t>
        </w:r>
      </w:hyperlink>
    </w:p>
  </w:footnote>
  <w:footnote w:id="7">
    <w:p w14:paraId="7CE0DC82" w14:textId="77777777" w:rsidR="00D00189" w:rsidRPr="00AE05AE" w:rsidRDefault="00D00189" w:rsidP="00D00189">
      <w:pPr>
        <w:pStyle w:val="Textonotapie"/>
        <w:rPr>
          <w:rFonts w:ascii="Abadi" w:hAnsi="Abadi"/>
          <w:sz w:val="16"/>
          <w:szCs w:val="16"/>
        </w:rPr>
      </w:pPr>
      <w:r>
        <w:rPr>
          <w:rStyle w:val="Refdenotaalpie"/>
        </w:rPr>
        <w:footnoteRef/>
      </w:r>
      <w:r>
        <w:t xml:space="preserve"> </w:t>
      </w:r>
      <w:r w:rsidRPr="00AE05AE">
        <w:rPr>
          <w:rFonts w:ascii="Abadi" w:hAnsi="Abadi"/>
          <w:sz w:val="16"/>
          <w:szCs w:val="16"/>
        </w:rPr>
        <w:t xml:space="preserve">Recuperado de: </w:t>
      </w:r>
      <w:hyperlink r:id="rId5" w:history="1">
        <w:r w:rsidRPr="00AE05AE">
          <w:rPr>
            <w:rStyle w:val="Hipervnculo"/>
            <w:rFonts w:ascii="Abadi" w:hAnsi="Abadi"/>
            <w:sz w:val="16"/>
            <w:szCs w:val="16"/>
          </w:rPr>
          <w:t>https://www.inegi.org.mx/contenidos/saladeprensa/boletines/2021/EstSociodemo/ENBIARE_2021.pdf</w:t>
        </w:r>
      </w:hyperlink>
      <w:r w:rsidRPr="00AE05AE">
        <w:rPr>
          <w:rFonts w:ascii="Abadi" w:hAnsi="Abadi"/>
          <w:sz w:val="16"/>
          <w:szCs w:val="16"/>
        </w:rPr>
        <w:t xml:space="preserve"> </w:t>
      </w:r>
    </w:p>
  </w:footnote>
  <w:footnote w:id="8">
    <w:p w14:paraId="5978596B" w14:textId="77777777" w:rsidR="00D00189" w:rsidRPr="00AE05AE" w:rsidRDefault="00D00189" w:rsidP="00D00189">
      <w:pPr>
        <w:pStyle w:val="Textonotapie"/>
        <w:rPr>
          <w:rFonts w:ascii="Abadi" w:hAnsi="Abadi"/>
          <w:sz w:val="16"/>
          <w:szCs w:val="16"/>
        </w:rPr>
      </w:pPr>
      <w:r w:rsidRPr="00AE05AE">
        <w:rPr>
          <w:rStyle w:val="Refdenotaalpie"/>
          <w:rFonts w:ascii="Abadi" w:hAnsi="Abadi"/>
          <w:sz w:val="16"/>
          <w:szCs w:val="16"/>
        </w:rPr>
        <w:footnoteRef/>
      </w:r>
      <w:r w:rsidRPr="00AE05AE">
        <w:rPr>
          <w:rFonts w:ascii="Abadi" w:hAnsi="Abadi"/>
          <w:sz w:val="16"/>
          <w:szCs w:val="16"/>
        </w:rPr>
        <w:t xml:space="preserve"> Recuperado </w:t>
      </w:r>
      <w:proofErr w:type="gramStart"/>
      <w:r w:rsidRPr="00AE05AE">
        <w:rPr>
          <w:rFonts w:ascii="Abadi" w:hAnsi="Abadi"/>
          <w:sz w:val="16"/>
          <w:szCs w:val="16"/>
        </w:rPr>
        <w:t>de :</w:t>
      </w:r>
      <w:proofErr w:type="gramEnd"/>
      <w:r w:rsidRPr="00AE05AE">
        <w:rPr>
          <w:rFonts w:ascii="Abadi" w:hAnsi="Abadi"/>
          <w:sz w:val="16"/>
          <w:szCs w:val="16"/>
        </w:rPr>
        <w:t xml:space="preserve"> </w:t>
      </w:r>
      <w:hyperlink r:id="rId6" w:history="1">
        <w:r w:rsidRPr="00AE05AE">
          <w:rPr>
            <w:rStyle w:val="Hipervnculo"/>
            <w:rFonts w:ascii="Abadi" w:hAnsi="Abadi"/>
            <w:sz w:val="16"/>
            <w:szCs w:val="16"/>
          </w:rPr>
          <w:t>https://www.inegi.org.mx/rnm/index.php/catalog/334/datafile/F79/V753</w:t>
        </w:r>
      </w:hyperlink>
      <w:r w:rsidRPr="00AE05AE">
        <w:rPr>
          <w:rStyle w:val="Hipervnculo"/>
          <w:rFonts w:ascii="Abadi" w:hAnsi="Abadi"/>
          <w:sz w:val="16"/>
          <w:szCs w:val="16"/>
        </w:rPr>
        <w:t xml:space="preserve"> </w:t>
      </w:r>
    </w:p>
  </w:footnote>
  <w:footnote w:id="9">
    <w:p w14:paraId="790B30D0" w14:textId="77777777" w:rsidR="00D00189" w:rsidRPr="00AE05AE" w:rsidRDefault="00D00189" w:rsidP="00D00189">
      <w:pPr>
        <w:pStyle w:val="Textonotapie"/>
        <w:rPr>
          <w:rFonts w:ascii="Abadi" w:hAnsi="Abadi"/>
          <w:sz w:val="16"/>
          <w:szCs w:val="16"/>
        </w:rPr>
      </w:pPr>
      <w:r w:rsidRPr="00AE05AE">
        <w:rPr>
          <w:rStyle w:val="Refdenotaalpie"/>
          <w:rFonts w:ascii="Abadi" w:hAnsi="Abadi"/>
          <w:sz w:val="16"/>
          <w:szCs w:val="16"/>
        </w:rPr>
        <w:footnoteRef/>
      </w:r>
      <w:r w:rsidRPr="00AE05AE">
        <w:rPr>
          <w:rFonts w:ascii="Abadi" w:hAnsi="Abadi"/>
          <w:sz w:val="16"/>
          <w:szCs w:val="16"/>
        </w:rPr>
        <w:t xml:space="preserve"> Recuperado de: </w:t>
      </w:r>
      <w:hyperlink r:id="rId7" w:history="1">
        <w:r w:rsidRPr="00AE05AE">
          <w:rPr>
            <w:rStyle w:val="Hipervnculo"/>
            <w:rFonts w:ascii="Abadi" w:hAnsi="Abadi"/>
            <w:sz w:val="16"/>
            <w:szCs w:val="16"/>
          </w:rPr>
          <w:t>https://www.gob.mx/conanp/articulos/proclamacion-de-la-declaracion-universal-de-los-derechos-de-los-animales-223028</w:t>
        </w:r>
      </w:hyperlink>
      <w:r w:rsidRPr="00AE05AE">
        <w:rPr>
          <w:rFonts w:ascii="Abadi" w:hAnsi="Abadi"/>
          <w:sz w:val="16"/>
          <w:szCs w:val="16"/>
        </w:rPr>
        <w:t xml:space="preserve"> </w:t>
      </w:r>
    </w:p>
  </w:footnote>
  <w:footnote w:id="10">
    <w:p w14:paraId="3D5C9EB0" w14:textId="77777777" w:rsidR="00D00189" w:rsidRDefault="00D00189" w:rsidP="00D00189">
      <w:pPr>
        <w:pStyle w:val="Textonotapie"/>
      </w:pPr>
      <w:r w:rsidRPr="00AE05AE">
        <w:rPr>
          <w:rStyle w:val="Refdenotaalpie"/>
          <w:rFonts w:ascii="Abadi" w:hAnsi="Abadi"/>
          <w:sz w:val="16"/>
          <w:szCs w:val="16"/>
        </w:rPr>
        <w:footnoteRef/>
      </w:r>
      <w:r w:rsidRPr="00AE05AE">
        <w:rPr>
          <w:rFonts w:ascii="Abadi" w:hAnsi="Abadi"/>
          <w:sz w:val="16"/>
          <w:szCs w:val="16"/>
        </w:rPr>
        <w:t xml:space="preserve"> Recuperado de: </w:t>
      </w:r>
      <w:hyperlink r:id="rId8" w:history="1">
        <w:r w:rsidRPr="00AE05AE">
          <w:rPr>
            <w:rFonts w:ascii="Abadi" w:hAnsi="Abadi"/>
            <w:sz w:val="16"/>
            <w:szCs w:val="16"/>
          </w:rPr>
          <w:t>https://noticias.imer.mx/blog/columna-la-justicia-social-para-los-animales/</w:t>
        </w:r>
      </w:hyperlink>
    </w:p>
  </w:footnote>
  <w:footnote w:id="11">
    <w:p w14:paraId="25409AFC" w14:textId="77777777" w:rsidR="00D00189" w:rsidRDefault="00D00189" w:rsidP="00D00189">
      <w:pPr>
        <w:pStyle w:val="Textonotapie"/>
      </w:pPr>
      <w:r>
        <w:rPr>
          <w:rStyle w:val="Refdenotaalpie"/>
        </w:rPr>
        <w:footnoteRef/>
      </w:r>
      <w:r>
        <w:t xml:space="preserve"> </w:t>
      </w:r>
      <w:r w:rsidRPr="00AE05AE">
        <w:rPr>
          <w:rFonts w:ascii="Abadi" w:hAnsi="Abadi"/>
          <w:sz w:val="16"/>
          <w:szCs w:val="16"/>
        </w:rPr>
        <w:t>Recuperado de: https://www.pensamientocivil.com.ar/doctrina/4529-justicia-social-para</w:t>
      </w:r>
      <w:r w:rsidRPr="002D7C8D">
        <w:rPr>
          <w:sz w:val="16"/>
          <w:szCs w:val="16"/>
        </w:rPr>
        <w:t>-animales#:~:text=Los%20animales%20no%20humanos%20al,como%20leg%C3%ADtimos%20sujetos%20de%20justicia.</w:t>
      </w:r>
    </w:p>
  </w:footnote>
  <w:footnote w:id="12">
    <w:p w14:paraId="607C3911" w14:textId="23EF1761" w:rsidR="00F530FF" w:rsidRPr="008E6F34" w:rsidRDefault="00F530FF">
      <w:pPr>
        <w:pStyle w:val="Textonotapie"/>
        <w:rPr>
          <w:rFonts w:ascii="Abadi" w:hAnsi="Abadi"/>
          <w:sz w:val="16"/>
          <w:szCs w:val="16"/>
        </w:rPr>
      </w:pPr>
      <w:r>
        <w:rPr>
          <w:rStyle w:val="Refdenotaalpie"/>
        </w:rPr>
        <w:footnoteRef/>
      </w:r>
      <w:r>
        <w:t xml:space="preserve"> </w:t>
      </w:r>
      <w:hyperlink r:id="rId9" w:history="1">
        <w:r w:rsidR="008E6F34" w:rsidRPr="008E6F34">
          <w:rPr>
            <w:rStyle w:val="Hipervnculo"/>
            <w:rFonts w:ascii="Abadi" w:hAnsi="Abadi"/>
            <w:sz w:val="16"/>
            <w:szCs w:val="16"/>
          </w:rPr>
          <w:t>https://congreso-gto.s3.amazonaws.com/uploads/orden_archivo/archivo/29935/05_Iniciativa_GPPRI_ref_y_adici_Ley_de_Cultura_Fi_sica_y_Dep_56895__22_JUNIO_23_.pdf</w:t>
        </w:r>
      </w:hyperlink>
    </w:p>
  </w:footnote>
  <w:footnote w:id="13">
    <w:p w14:paraId="24262EB9" w14:textId="77777777" w:rsidR="00BF55D3" w:rsidRPr="008814CC" w:rsidRDefault="00BF55D3" w:rsidP="00BF55D3">
      <w:pPr>
        <w:pStyle w:val="footnotedescription"/>
        <w:ind w:right="11"/>
        <w:jc w:val="both"/>
        <w:rPr>
          <w:rFonts w:ascii="Abadi" w:hAnsi="Abadi"/>
          <w:sz w:val="16"/>
          <w:szCs w:val="16"/>
        </w:rPr>
      </w:pPr>
      <w:r>
        <w:rPr>
          <w:rStyle w:val="footnotemark"/>
        </w:rPr>
        <w:footnoteRef/>
      </w:r>
      <w:r>
        <w:t xml:space="preserve"> </w:t>
      </w:r>
      <w:r w:rsidRPr="008814CC">
        <w:rPr>
          <w:rFonts w:ascii="Abadi" w:hAnsi="Abadi"/>
          <w:sz w:val="16"/>
          <w:szCs w:val="16"/>
        </w:rPr>
        <w:t xml:space="preserve">ACTITUDES HACIA LA DIVERSIDAD SEXUAL EN EL DEPORTE. NÁLISIS DE LA SITUACIÓN ENTRE ESTUDIANTES UNIVERSITARIOS. Joaquín Piedra de la Cuadra Departamento de Educación Física y Deporte. Universidad de Sevilla. Consultable en: </w:t>
      </w:r>
      <w:hyperlink r:id="rId10">
        <w:r w:rsidRPr="008814CC">
          <w:rPr>
            <w:rFonts w:ascii="Abadi" w:hAnsi="Abadi"/>
            <w:sz w:val="16"/>
            <w:szCs w:val="16"/>
            <w:u w:color="000000"/>
          </w:rPr>
          <w:t xml:space="preserve">Microsoft PowerPoint </w:t>
        </w:r>
      </w:hyperlink>
      <w:hyperlink r:id="rId11">
        <w:r w:rsidRPr="008814CC">
          <w:rPr>
            <w:rFonts w:ascii="Abadi" w:hAnsi="Abadi"/>
            <w:sz w:val="16"/>
            <w:szCs w:val="16"/>
            <w:u w:color="000000"/>
          </w:rPr>
          <w:t xml:space="preserve">- </w:t>
        </w:r>
      </w:hyperlink>
      <w:hyperlink r:id="rId12">
        <w:r w:rsidRPr="008814CC">
          <w:rPr>
            <w:rFonts w:ascii="Abadi" w:hAnsi="Abadi"/>
            <w:sz w:val="16"/>
            <w:szCs w:val="16"/>
            <w:u w:color="000000"/>
          </w:rPr>
          <w:t>carátula v2 270215.ppt (us.es)</w:t>
        </w:r>
      </w:hyperlink>
      <w:hyperlink r:id="rId13">
        <w:r w:rsidRPr="008814CC">
          <w:rPr>
            <w:rFonts w:ascii="Abadi" w:hAnsi="Abadi"/>
            <w:sz w:val="16"/>
            <w:szCs w:val="16"/>
          </w:rPr>
          <w:t>.</w:t>
        </w:r>
      </w:hyperlink>
      <w:r w:rsidRPr="008814CC">
        <w:rPr>
          <w:rFonts w:ascii="Abadi" w:hAnsi="Abadi"/>
          <w:sz w:val="16"/>
          <w:szCs w:val="16"/>
        </w:rPr>
        <w:t xml:space="preserve"> Consultado en junio de 2023. </w:t>
      </w:r>
    </w:p>
  </w:footnote>
  <w:footnote w:id="14">
    <w:p w14:paraId="67DB27A0" w14:textId="77777777" w:rsidR="00BF55D3" w:rsidRPr="008814CC" w:rsidRDefault="00BF55D3" w:rsidP="00BF55D3">
      <w:pPr>
        <w:pStyle w:val="footnotedescription"/>
        <w:spacing w:after="5"/>
        <w:rPr>
          <w:rFonts w:ascii="Abadi" w:hAnsi="Abadi"/>
          <w:sz w:val="16"/>
          <w:szCs w:val="16"/>
        </w:rPr>
      </w:pPr>
      <w:r w:rsidRPr="008814CC">
        <w:rPr>
          <w:rStyle w:val="footnotemark"/>
          <w:rFonts w:ascii="Abadi" w:hAnsi="Abadi"/>
          <w:sz w:val="16"/>
          <w:szCs w:val="16"/>
        </w:rPr>
        <w:footnoteRef/>
      </w:r>
      <w:r w:rsidRPr="008814CC">
        <w:rPr>
          <w:rFonts w:ascii="Abadi" w:hAnsi="Abadi"/>
          <w:sz w:val="16"/>
          <w:szCs w:val="16"/>
        </w:rPr>
        <w:t xml:space="preserve"> </w:t>
      </w:r>
      <w:proofErr w:type="spellStart"/>
      <w:r w:rsidRPr="008814CC">
        <w:rPr>
          <w:rFonts w:ascii="Abadi" w:hAnsi="Abadi"/>
          <w:sz w:val="16"/>
          <w:szCs w:val="16"/>
        </w:rPr>
        <w:t>Idem</w:t>
      </w:r>
      <w:proofErr w:type="spellEnd"/>
      <w:r w:rsidRPr="008814CC">
        <w:rPr>
          <w:rFonts w:ascii="Abadi" w:hAnsi="Abadi"/>
          <w:sz w:val="16"/>
          <w:szCs w:val="16"/>
        </w:rPr>
        <w:t xml:space="preserve">.  </w:t>
      </w:r>
    </w:p>
  </w:footnote>
  <w:footnote w:id="15">
    <w:p w14:paraId="5D8C1CB6" w14:textId="77777777" w:rsidR="00BF55D3" w:rsidRPr="008814CC" w:rsidRDefault="00BF55D3" w:rsidP="00BF55D3">
      <w:pPr>
        <w:pStyle w:val="footnotedescription"/>
        <w:spacing w:after="7"/>
        <w:rPr>
          <w:rFonts w:ascii="Abadi" w:hAnsi="Abadi"/>
          <w:sz w:val="16"/>
          <w:szCs w:val="16"/>
        </w:rPr>
      </w:pPr>
      <w:r w:rsidRPr="008814CC">
        <w:rPr>
          <w:rStyle w:val="footnotemark"/>
          <w:rFonts w:ascii="Abadi" w:hAnsi="Abadi"/>
          <w:sz w:val="16"/>
          <w:szCs w:val="16"/>
        </w:rPr>
        <w:footnoteRef/>
      </w:r>
      <w:r w:rsidRPr="008814CC">
        <w:rPr>
          <w:rFonts w:ascii="Abadi" w:hAnsi="Abadi"/>
          <w:sz w:val="16"/>
          <w:szCs w:val="16"/>
        </w:rPr>
        <w:t xml:space="preserve"> </w:t>
      </w:r>
      <w:proofErr w:type="spellStart"/>
      <w:r w:rsidRPr="008814CC">
        <w:rPr>
          <w:rFonts w:ascii="Abadi" w:hAnsi="Abadi"/>
          <w:sz w:val="16"/>
          <w:szCs w:val="16"/>
        </w:rPr>
        <w:t>Idem</w:t>
      </w:r>
      <w:proofErr w:type="spellEnd"/>
      <w:r w:rsidRPr="008814CC">
        <w:rPr>
          <w:rFonts w:ascii="Abadi" w:hAnsi="Abadi"/>
          <w:sz w:val="16"/>
          <w:szCs w:val="16"/>
        </w:rPr>
        <w:t xml:space="preserve">. Ver ACTITUDES HACIA LA DIVERSIDAD... </w:t>
      </w:r>
    </w:p>
  </w:footnote>
  <w:footnote w:id="16">
    <w:p w14:paraId="6336480F" w14:textId="77777777" w:rsidR="00BF55D3" w:rsidRPr="00BF55D3" w:rsidRDefault="00BF55D3" w:rsidP="00BF55D3">
      <w:pPr>
        <w:pStyle w:val="footnotedescription"/>
        <w:spacing w:after="31"/>
        <w:rPr>
          <w:rFonts w:ascii="Abadi" w:hAnsi="Abadi"/>
          <w:sz w:val="16"/>
          <w:szCs w:val="16"/>
        </w:rPr>
      </w:pPr>
      <w:r w:rsidRPr="00BF55D3">
        <w:rPr>
          <w:rStyle w:val="footnotemark"/>
          <w:rFonts w:ascii="Abadi" w:hAnsi="Abadi"/>
          <w:sz w:val="16"/>
          <w:szCs w:val="16"/>
        </w:rPr>
        <w:footnoteRef/>
      </w:r>
      <w:r w:rsidRPr="00BF55D3">
        <w:rPr>
          <w:rFonts w:ascii="Abadi" w:hAnsi="Abadi"/>
          <w:sz w:val="16"/>
          <w:szCs w:val="16"/>
        </w:rPr>
        <w:t xml:space="preserve"> </w:t>
      </w:r>
      <w:proofErr w:type="spellStart"/>
      <w:r w:rsidRPr="00BF55D3">
        <w:rPr>
          <w:rFonts w:ascii="Abadi" w:hAnsi="Abadi"/>
          <w:sz w:val="16"/>
          <w:szCs w:val="16"/>
        </w:rPr>
        <w:t>Idem</w:t>
      </w:r>
      <w:proofErr w:type="spellEnd"/>
      <w:r w:rsidRPr="00BF55D3">
        <w:rPr>
          <w:rFonts w:ascii="Abadi" w:hAnsi="Abadi"/>
          <w:sz w:val="16"/>
          <w:szCs w:val="16"/>
        </w:rPr>
        <w:t xml:space="preserve">. </w:t>
      </w:r>
    </w:p>
  </w:footnote>
  <w:footnote w:id="17">
    <w:p w14:paraId="34774E67" w14:textId="77777777" w:rsidR="00BF55D3" w:rsidRPr="00BF55D3" w:rsidRDefault="00BF55D3" w:rsidP="00BF55D3">
      <w:pPr>
        <w:pStyle w:val="footnotedescription"/>
        <w:rPr>
          <w:rFonts w:ascii="Abadi" w:hAnsi="Abadi"/>
          <w:sz w:val="16"/>
          <w:szCs w:val="16"/>
        </w:rPr>
      </w:pPr>
      <w:r w:rsidRPr="00BF55D3">
        <w:rPr>
          <w:rStyle w:val="footnotemark"/>
          <w:rFonts w:ascii="Abadi" w:hAnsi="Abadi"/>
          <w:sz w:val="16"/>
          <w:szCs w:val="16"/>
        </w:rPr>
        <w:footnoteRef/>
      </w:r>
      <w:r w:rsidRPr="00BF55D3">
        <w:rPr>
          <w:rFonts w:ascii="Abadi" w:hAnsi="Abadi"/>
          <w:sz w:val="16"/>
          <w:szCs w:val="16"/>
        </w:rPr>
        <w:t xml:space="preserve"> Ver Nota 1. ACTITUDES HACIA LA DIVERSIDAD SEXUAL EN... </w:t>
      </w:r>
    </w:p>
  </w:footnote>
  <w:footnote w:id="18">
    <w:p w14:paraId="60078EEC" w14:textId="77777777" w:rsidR="00BF55D3" w:rsidRDefault="00BF55D3" w:rsidP="00BF55D3">
      <w:pPr>
        <w:pStyle w:val="footnotedescription"/>
        <w:spacing w:line="269" w:lineRule="auto"/>
        <w:ind w:right="23"/>
        <w:jc w:val="both"/>
      </w:pPr>
      <w:r w:rsidRPr="00BF55D3">
        <w:rPr>
          <w:rStyle w:val="footnotemark"/>
          <w:rFonts w:ascii="Abadi" w:hAnsi="Abadi"/>
          <w:sz w:val="16"/>
          <w:szCs w:val="16"/>
        </w:rPr>
        <w:footnoteRef/>
      </w:r>
      <w:r w:rsidRPr="00BF55D3">
        <w:rPr>
          <w:rFonts w:ascii="Abadi" w:hAnsi="Abadi"/>
          <w:sz w:val="16"/>
          <w:szCs w:val="16"/>
        </w:rPr>
        <w:t xml:space="preserve"> </w:t>
      </w:r>
      <w:proofErr w:type="spellStart"/>
      <w:proofErr w:type="gramStart"/>
      <w:r w:rsidRPr="00BF55D3">
        <w:rPr>
          <w:rFonts w:ascii="Abadi" w:hAnsi="Abadi"/>
          <w:sz w:val="16"/>
          <w:szCs w:val="16"/>
        </w:rPr>
        <w:t>Bullying</w:t>
      </w:r>
      <w:proofErr w:type="spellEnd"/>
      <w:proofErr w:type="gramEnd"/>
      <w:r w:rsidRPr="00BF55D3">
        <w:rPr>
          <w:rFonts w:ascii="Abadi" w:hAnsi="Abadi"/>
          <w:sz w:val="16"/>
          <w:szCs w:val="16"/>
        </w:rPr>
        <w:t xml:space="preserve"> y desigualdad de género en el deporte en México.  Colegio de Tlaxcala y la Comisión Nacional de Derechos Humanos. Consultable en: </w:t>
      </w:r>
      <w:hyperlink r:id="rId14">
        <w:r w:rsidRPr="00BF55D3">
          <w:rPr>
            <w:rFonts w:ascii="Abadi" w:hAnsi="Abadi"/>
            <w:sz w:val="16"/>
            <w:szCs w:val="16"/>
            <w:u w:color="000000"/>
          </w:rPr>
          <w:t>Bullying</w:t>
        </w:r>
      </w:hyperlink>
      <w:hyperlink r:id="rId15">
        <w:r w:rsidRPr="00BF55D3">
          <w:rPr>
            <w:rFonts w:ascii="Abadi" w:hAnsi="Abadi"/>
            <w:sz w:val="16"/>
            <w:szCs w:val="16"/>
            <w:u w:color="000000"/>
          </w:rPr>
          <w:t>-</w:t>
        </w:r>
      </w:hyperlink>
      <w:hyperlink r:id="rId16">
        <w:r w:rsidRPr="00BF55D3">
          <w:rPr>
            <w:rFonts w:ascii="Abadi" w:hAnsi="Abadi"/>
            <w:sz w:val="16"/>
            <w:szCs w:val="16"/>
            <w:u w:color="000000"/>
          </w:rPr>
          <w:t>equidad</w:t>
        </w:r>
      </w:hyperlink>
      <w:hyperlink r:id="rId17">
        <w:r w:rsidRPr="00BF55D3">
          <w:rPr>
            <w:rFonts w:ascii="Abadi" w:hAnsi="Abadi"/>
            <w:sz w:val="16"/>
            <w:szCs w:val="16"/>
            <w:u w:color="000000"/>
          </w:rPr>
          <w:t>-</w:t>
        </w:r>
      </w:hyperlink>
      <w:hyperlink r:id="rId18">
        <w:r w:rsidRPr="00BF55D3">
          <w:rPr>
            <w:rFonts w:ascii="Abadi" w:hAnsi="Abadi"/>
            <w:sz w:val="16"/>
            <w:szCs w:val="16"/>
            <w:u w:color="000000"/>
          </w:rPr>
          <w:t>genero</w:t>
        </w:r>
      </w:hyperlink>
      <w:hyperlink r:id="rId19">
        <w:r w:rsidRPr="00BF55D3">
          <w:rPr>
            <w:rFonts w:ascii="Abadi" w:hAnsi="Abadi"/>
            <w:sz w:val="16"/>
            <w:szCs w:val="16"/>
            <w:u w:color="000000"/>
          </w:rPr>
          <w:t>-</w:t>
        </w:r>
      </w:hyperlink>
      <w:hyperlink r:id="rId20">
        <w:r w:rsidRPr="00BF55D3">
          <w:rPr>
            <w:rFonts w:ascii="Abadi" w:hAnsi="Abadi"/>
            <w:sz w:val="16"/>
            <w:szCs w:val="16"/>
            <w:u w:color="000000"/>
          </w:rPr>
          <w:t>deporte</w:t>
        </w:r>
      </w:hyperlink>
      <w:hyperlink r:id="rId21">
        <w:r w:rsidRPr="00BF55D3">
          <w:rPr>
            <w:rFonts w:ascii="Abadi" w:hAnsi="Abadi"/>
            <w:sz w:val="16"/>
            <w:szCs w:val="16"/>
            <w:u w:color="000000"/>
          </w:rPr>
          <w:t>-</w:t>
        </w:r>
      </w:hyperlink>
      <w:hyperlink r:id="rId22">
        <w:r w:rsidRPr="00BF55D3">
          <w:rPr>
            <w:rFonts w:ascii="Abadi" w:hAnsi="Abadi"/>
            <w:sz w:val="16"/>
            <w:szCs w:val="16"/>
            <w:u w:color="000000"/>
          </w:rPr>
          <w:t>Mexico.pdf (cndh.org.mx)</w:t>
        </w:r>
      </w:hyperlink>
      <w:hyperlink r:id="rId23">
        <w:r w:rsidRPr="00BF55D3">
          <w:rPr>
            <w:rFonts w:ascii="Abadi" w:hAnsi="Abadi"/>
            <w:sz w:val="16"/>
            <w:szCs w:val="16"/>
          </w:rPr>
          <w:t xml:space="preserve"> </w:t>
        </w:r>
      </w:hyperlink>
      <w:r w:rsidRPr="00BF55D3">
        <w:rPr>
          <w:rFonts w:ascii="Abadi" w:hAnsi="Abadi"/>
          <w:sz w:val="16"/>
          <w:szCs w:val="16"/>
          <w:vertAlign w:val="superscript"/>
        </w:rPr>
        <w:t>7</w:t>
      </w:r>
      <w:r w:rsidRPr="00BF55D3">
        <w:rPr>
          <w:rFonts w:ascii="Abadi" w:hAnsi="Abadi"/>
          <w:sz w:val="16"/>
          <w:szCs w:val="16"/>
        </w:rPr>
        <w:t xml:space="preserve"> </w:t>
      </w:r>
      <w:proofErr w:type="spellStart"/>
      <w:r w:rsidRPr="00BF55D3">
        <w:rPr>
          <w:rFonts w:ascii="Abadi" w:hAnsi="Abadi"/>
          <w:sz w:val="16"/>
          <w:szCs w:val="16"/>
        </w:rPr>
        <w:t>Idem</w:t>
      </w:r>
      <w:proofErr w:type="spellEnd"/>
      <w:r w:rsidRPr="00BF55D3">
        <w:rPr>
          <w:rFonts w:ascii="Abadi" w:hAnsi="Abadi"/>
          <w:sz w:val="16"/>
          <w:szCs w:val="16"/>
        </w:rPr>
        <w:t>.</w:t>
      </w:r>
      <w:r>
        <w:t xml:space="preserve">  </w:t>
      </w:r>
    </w:p>
  </w:footnote>
  <w:footnote w:id="19">
    <w:p w14:paraId="1D02D4D8" w14:textId="77777777" w:rsidR="00BF55D3" w:rsidRPr="008814CC" w:rsidRDefault="00BF55D3" w:rsidP="00BF55D3">
      <w:pPr>
        <w:pStyle w:val="footnotedescription"/>
        <w:rPr>
          <w:rFonts w:ascii="Abadi" w:hAnsi="Abadi"/>
          <w:sz w:val="16"/>
          <w:szCs w:val="16"/>
        </w:rPr>
      </w:pPr>
      <w:r w:rsidRPr="008814CC">
        <w:rPr>
          <w:rStyle w:val="footnotemark"/>
          <w:rFonts w:ascii="Abadi" w:hAnsi="Abadi"/>
          <w:sz w:val="16"/>
          <w:szCs w:val="16"/>
        </w:rPr>
        <w:footnoteRef/>
      </w:r>
      <w:r w:rsidRPr="008814CC">
        <w:rPr>
          <w:rFonts w:ascii="Abadi" w:hAnsi="Abadi"/>
          <w:sz w:val="16"/>
          <w:szCs w:val="16"/>
        </w:rPr>
        <w:t xml:space="preserve"> </w:t>
      </w:r>
      <w:proofErr w:type="spellStart"/>
      <w:r w:rsidRPr="008814CC">
        <w:rPr>
          <w:rFonts w:ascii="Abadi" w:hAnsi="Abadi"/>
          <w:sz w:val="16"/>
          <w:szCs w:val="16"/>
        </w:rPr>
        <w:t>Idem</w:t>
      </w:r>
      <w:proofErr w:type="spellEnd"/>
      <w:r w:rsidRPr="008814CC">
        <w:rPr>
          <w:rFonts w:ascii="Abadi" w:hAnsi="Abadi"/>
          <w:sz w:val="16"/>
          <w:szCs w:val="16"/>
        </w:rPr>
        <w:t xml:space="preserve">. Ver </w:t>
      </w:r>
      <w:proofErr w:type="spellStart"/>
      <w:proofErr w:type="gramStart"/>
      <w:r w:rsidRPr="008814CC">
        <w:rPr>
          <w:rFonts w:ascii="Abadi" w:hAnsi="Abadi"/>
          <w:sz w:val="16"/>
          <w:szCs w:val="16"/>
        </w:rPr>
        <w:t>Bullying</w:t>
      </w:r>
      <w:proofErr w:type="spellEnd"/>
      <w:proofErr w:type="gramEnd"/>
      <w:r w:rsidRPr="008814CC">
        <w:rPr>
          <w:rFonts w:ascii="Abadi" w:hAnsi="Abadi"/>
          <w:sz w:val="16"/>
          <w:szCs w:val="16"/>
        </w:rPr>
        <w:t xml:space="preserve"> y desigualdad de género. </w:t>
      </w:r>
    </w:p>
  </w:footnote>
  <w:footnote w:id="20">
    <w:p w14:paraId="10AC2588" w14:textId="77777777" w:rsidR="00BF55D3" w:rsidRDefault="00BF55D3" w:rsidP="00BF55D3">
      <w:pPr>
        <w:pStyle w:val="footnotedescription"/>
        <w:spacing w:line="300" w:lineRule="auto"/>
        <w:jc w:val="both"/>
      </w:pPr>
      <w:r>
        <w:rPr>
          <w:rStyle w:val="footnotemark"/>
        </w:rPr>
        <w:footnoteRef/>
      </w:r>
      <w:r>
        <w:t xml:space="preserve"> </w:t>
      </w:r>
      <w:r w:rsidRPr="00BF55D3">
        <w:rPr>
          <w:rFonts w:ascii="Abadi" w:hAnsi="Abadi"/>
          <w:sz w:val="16"/>
          <w:szCs w:val="16"/>
        </w:rPr>
        <w:t>Carta Internacional de la Educación Física, la Actividad Física y el Deporte. Organización de las Naciones Unidas para la Educación, la Ciencia y la Cultura. 2015.</w:t>
      </w:r>
      <w:r>
        <w:t xml:space="preserve"> </w:t>
      </w:r>
    </w:p>
  </w:footnote>
  <w:footnote w:id="21">
    <w:p w14:paraId="37289BB0" w14:textId="77777777" w:rsidR="00BF55D3" w:rsidRPr="00BF55D3" w:rsidRDefault="00BF55D3" w:rsidP="00BF55D3">
      <w:pPr>
        <w:pStyle w:val="footnotedescription"/>
        <w:spacing w:line="291" w:lineRule="auto"/>
        <w:jc w:val="both"/>
        <w:rPr>
          <w:rFonts w:ascii="Abadi" w:hAnsi="Abadi"/>
          <w:sz w:val="16"/>
          <w:szCs w:val="16"/>
        </w:rPr>
      </w:pPr>
      <w:r>
        <w:rPr>
          <w:rStyle w:val="footnotemark"/>
        </w:rPr>
        <w:footnoteRef/>
      </w:r>
      <w:r>
        <w:t xml:space="preserve"> </w:t>
      </w:r>
      <w:r w:rsidRPr="00BF55D3">
        <w:rPr>
          <w:rFonts w:ascii="Abadi" w:hAnsi="Abadi"/>
          <w:sz w:val="16"/>
          <w:szCs w:val="16"/>
        </w:rPr>
        <w:t xml:space="preserve">Convención sobre los derechos del niño. Fondo de las Naciones Unidas para la Infancia. Entrada en vigor en 1990. </w:t>
      </w:r>
    </w:p>
  </w:footnote>
  <w:footnote w:id="22">
    <w:p w14:paraId="2BE97B24" w14:textId="77777777" w:rsidR="00BF55D3" w:rsidRPr="008814CC" w:rsidRDefault="00BF55D3" w:rsidP="00BF55D3">
      <w:pPr>
        <w:pStyle w:val="footnotedescription"/>
        <w:spacing w:line="300" w:lineRule="auto"/>
        <w:jc w:val="both"/>
        <w:rPr>
          <w:rFonts w:ascii="Abadi" w:hAnsi="Abadi"/>
          <w:sz w:val="16"/>
          <w:szCs w:val="16"/>
        </w:rPr>
      </w:pPr>
      <w:r w:rsidRPr="00BF55D3">
        <w:rPr>
          <w:rStyle w:val="footnotemark"/>
          <w:rFonts w:ascii="Abadi" w:hAnsi="Abadi"/>
          <w:sz w:val="16"/>
          <w:szCs w:val="16"/>
        </w:rPr>
        <w:footnoteRef/>
      </w:r>
      <w:r w:rsidRPr="00BF55D3">
        <w:rPr>
          <w:rFonts w:ascii="Abadi" w:hAnsi="Abadi"/>
          <w:sz w:val="16"/>
          <w:szCs w:val="16"/>
        </w:rPr>
        <w:t xml:space="preserve"> </w:t>
      </w:r>
      <w:r w:rsidRPr="008814CC">
        <w:rPr>
          <w:rFonts w:ascii="Abadi" w:hAnsi="Abadi"/>
          <w:sz w:val="16"/>
          <w:szCs w:val="16"/>
        </w:rPr>
        <w:t>Los derechos de los niños, niñas y adolescentes en la jurisprudencia de la Corte Interamericana de Derechos Humanos* Juana María Ibáñez Rivas. Consultable en</w:t>
      </w:r>
      <w:hyperlink r:id="rId24">
        <w:r w:rsidRPr="008814CC">
          <w:rPr>
            <w:rFonts w:ascii="Abadi" w:hAnsi="Abadi"/>
            <w:sz w:val="16"/>
            <w:szCs w:val="16"/>
          </w:rPr>
          <w:t xml:space="preserve">: </w:t>
        </w:r>
      </w:hyperlink>
      <w:hyperlink r:id="rId25">
        <w:r w:rsidRPr="008814CC">
          <w:rPr>
            <w:rFonts w:ascii="Abadi" w:hAnsi="Abadi"/>
            <w:sz w:val="16"/>
            <w:szCs w:val="16"/>
            <w:u w:color="000000"/>
          </w:rPr>
          <w:t>Revista</w:t>
        </w:r>
      </w:hyperlink>
      <w:hyperlink r:id="rId26">
        <w:r w:rsidRPr="008814CC">
          <w:rPr>
            <w:rFonts w:ascii="Abadi" w:hAnsi="Abadi"/>
            <w:sz w:val="16"/>
            <w:szCs w:val="16"/>
            <w:u w:color="000000"/>
          </w:rPr>
          <w:t>-</w:t>
        </w:r>
      </w:hyperlink>
      <w:hyperlink r:id="rId27">
        <w:r w:rsidRPr="008814CC">
          <w:rPr>
            <w:rFonts w:ascii="Abadi" w:hAnsi="Abadi"/>
            <w:sz w:val="16"/>
            <w:szCs w:val="16"/>
            <w:u w:color="000000"/>
          </w:rPr>
          <w:t>IIDH</w:t>
        </w:r>
      </w:hyperlink>
      <w:hyperlink r:id="rId28">
        <w:r w:rsidRPr="008814CC">
          <w:rPr>
            <w:rFonts w:ascii="Abadi" w:hAnsi="Abadi"/>
            <w:sz w:val="16"/>
            <w:szCs w:val="16"/>
            <w:u w:color="000000"/>
          </w:rPr>
          <w:t>-</w:t>
        </w:r>
      </w:hyperlink>
      <w:hyperlink r:id="rId29">
        <w:r w:rsidRPr="008814CC">
          <w:rPr>
            <w:rFonts w:ascii="Abadi" w:hAnsi="Abadi"/>
            <w:sz w:val="16"/>
            <w:szCs w:val="16"/>
            <w:u w:color="000000"/>
          </w:rPr>
          <w:t>51baja.pdf (corteidh.or.cr)</w:t>
        </w:r>
      </w:hyperlink>
      <w:hyperlink r:id="rId30">
        <w:r w:rsidRPr="008814CC">
          <w:rPr>
            <w:rFonts w:ascii="Abadi" w:hAnsi="Abadi"/>
            <w:sz w:val="16"/>
            <w:szCs w:val="16"/>
          </w:rPr>
          <w:t>.</w:t>
        </w:r>
      </w:hyperlink>
      <w:r w:rsidRPr="008814CC">
        <w:rPr>
          <w:rFonts w:ascii="Abadi" w:hAnsi="Abadi"/>
          <w:sz w:val="16"/>
          <w:szCs w:val="16"/>
        </w:rPr>
        <w:t xml:space="preserve"> </w:t>
      </w:r>
    </w:p>
  </w:footnote>
  <w:footnote w:id="23">
    <w:p w14:paraId="3725E381" w14:textId="77777777" w:rsidR="00BF55D3" w:rsidRPr="008814CC" w:rsidRDefault="00BF55D3" w:rsidP="00BF55D3">
      <w:pPr>
        <w:pStyle w:val="footnotedescription"/>
        <w:rPr>
          <w:rFonts w:ascii="Abadi" w:hAnsi="Abadi"/>
        </w:rPr>
      </w:pPr>
      <w:r w:rsidRPr="008814CC">
        <w:rPr>
          <w:rStyle w:val="footnotemark"/>
          <w:rFonts w:ascii="Abadi" w:hAnsi="Abadi"/>
          <w:sz w:val="16"/>
          <w:szCs w:val="16"/>
        </w:rPr>
        <w:footnoteRef/>
      </w:r>
      <w:r w:rsidRPr="008814CC">
        <w:rPr>
          <w:rFonts w:ascii="Abadi" w:hAnsi="Abadi"/>
          <w:sz w:val="16"/>
          <w:szCs w:val="16"/>
        </w:rPr>
        <w:t xml:space="preserve"> Amparo en Revisión número 155/2021, emitido por el Pleno de la Suprema Corte de Justicia de la Nación.</w:t>
      </w:r>
      <w:r w:rsidRPr="008814CC">
        <w:rPr>
          <w:rFonts w:ascii="Abadi" w:hAnsi="Abadi"/>
        </w:rPr>
        <w:t xml:space="preserve"> </w:t>
      </w:r>
    </w:p>
  </w:footnote>
  <w:footnote w:id="24">
    <w:p w14:paraId="34A349CC" w14:textId="77777777" w:rsidR="0049186B" w:rsidRPr="0049186B" w:rsidRDefault="0049186B" w:rsidP="0049186B">
      <w:pPr>
        <w:pStyle w:val="Textonotapie"/>
        <w:rPr>
          <w:rFonts w:ascii="Abadi" w:hAnsi="Abadi"/>
          <w:sz w:val="16"/>
          <w:szCs w:val="16"/>
        </w:rPr>
      </w:pPr>
      <w:r w:rsidRPr="0049186B">
        <w:rPr>
          <w:rStyle w:val="Refdenotaalpie"/>
          <w:rFonts w:ascii="Abadi" w:hAnsi="Abadi"/>
          <w:sz w:val="16"/>
          <w:szCs w:val="16"/>
        </w:rPr>
        <w:footnoteRef/>
      </w:r>
      <w:r w:rsidRPr="0049186B">
        <w:rPr>
          <w:rFonts w:ascii="Abadi" w:hAnsi="Abadi"/>
          <w:sz w:val="16"/>
          <w:szCs w:val="16"/>
        </w:rPr>
        <w:t xml:space="preserve"> 14 Convención sobre los derechos de las personas con discapacidad. Organización de las Naciones Unidas. 2007.</w:t>
      </w:r>
    </w:p>
  </w:footnote>
  <w:footnote w:id="25">
    <w:p w14:paraId="43959405" w14:textId="77777777" w:rsidR="00BF55D3" w:rsidRDefault="00BF55D3" w:rsidP="00BF55D3">
      <w:pPr>
        <w:pStyle w:val="footnotedescription"/>
        <w:spacing w:line="300" w:lineRule="auto"/>
      </w:pPr>
      <w:r>
        <w:rPr>
          <w:rStyle w:val="footnotemark"/>
        </w:rPr>
        <w:footnoteRef/>
      </w:r>
      <w:r>
        <w:t xml:space="preserve"> Así señalado en textos jurídicos y notas periodísticas, y de modo alguno denominación que los iniciantes estemos otorgando a ciertos grupos sociales. </w:t>
      </w:r>
    </w:p>
  </w:footnote>
  <w:footnote w:id="26">
    <w:p w14:paraId="5C5C5A95" w14:textId="77777777" w:rsidR="00BF55D3" w:rsidRPr="004B32DA" w:rsidRDefault="00BF55D3" w:rsidP="00BF55D3">
      <w:pPr>
        <w:pStyle w:val="footnotedescription"/>
        <w:spacing w:line="257" w:lineRule="auto"/>
        <w:jc w:val="both"/>
        <w:rPr>
          <w:rFonts w:ascii="Abadi" w:hAnsi="Abadi" w:cs="David"/>
          <w:sz w:val="16"/>
          <w:szCs w:val="16"/>
        </w:rPr>
      </w:pPr>
      <w:r>
        <w:rPr>
          <w:rStyle w:val="footnotemark"/>
        </w:rPr>
        <w:footnoteRef/>
      </w:r>
      <w:r>
        <w:t xml:space="preserve"> </w:t>
      </w:r>
      <w:r w:rsidRPr="004B32DA">
        <w:rPr>
          <w:rFonts w:ascii="Abadi" w:hAnsi="Abadi" w:cs="David"/>
          <w:sz w:val="16"/>
          <w:szCs w:val="16"/>
        </w:rPr>
        <w:t xml:space="preserve">Hacia la consolidación de la perspectiva de género en el Sistema Interamericano: avances y desafíos a la luz de la reciente jurisprudencia de la Corte de San José. </w:t>
      </w:r>
      <w:proofErr w:type="spellStart"/>
      <w:r w:rsidRPr="004B32DA">
        <w:rPr>
          <w:rFonts w:ascii="Abadi" w:hAnsi="Abadi" w:cs="David"/>
          <w:sz w:val="16"/>
          <w:szCs w:val="16"/>
        </w:rPr>
        <w:t>Enzamaria</w:t>
      </w:r>
      <w:proofErr w:type="spellEnd"/>
      <w:r w:rsidRPr="004B32DA">
        <w:rPr>
          <w:rFonts w:ascii="Abadi" w:hAnsi="Abadi" w:cs="David"/>
          <w:sz w:val="16"/>
          <w:szCs w:val="16"/>
        </w:rPr>
        <w:t xml:space="preserve"> Tramontana. Consultable en: </w:t>
      </w:r>
      <w:hyperlink r:id="rId31">
        <w:r w:rsidRPr="004B32DA">
          <w:rPr>
            <w:rFonts w:ascii="Abadi" w:hAnsi="Abadi" w:cs="David"/>
            <w:sz w:val="16"/>
            <w:szCs w:val="16"/>
            <w:u w:color="000000"/>
          </w:rPr>
          <w:t>6664.pdf</w:t>
        </w:r>
      </w:hyperlink>
      <w:hyperlink r:id="rId32">
        <w:r w:rsidRPr="004B32DA">
          <w:rPr>
            <w:rFonts w:ascii="Abadi" w:hAnsi="Abadi" w:cs="David"/>
            <w:sz w:val="16"/>
            <w:szCs w:val="16"/>
          </w:rPr>
          <w:t xml:space="preserve"> </w:t>
        </w:r>
      </w:hyperlink>
    </w:p>
    <w:p w14:paraId="5E0BED01" w14:textId="77777777" w:rsidR="00BF55D3" w:rsidRPr="004B32DA" w:rsidRDefault="00000000" w:rsidP="00BF55D3">
      <w:pPr>
        <w:pStyle w:val="footnotedescription"/>
        <w:spacing w:line="273" w:lineRule="auto"/>
        <w:jc w:val="both"/>
        <w:rPr>
          <w:rFonts w:ascii="Abadi" w:hAnsi="Abadi" w:cs="David"/>
          <w:sz w:val="16"/>
          <w:szCs w:val="16"/>
        </w:rPr>
      </w:pPr>
      <w:hyperlink r:id="rId33">
        <w:r w:rsidR="00BF55D3" w:rsidRPr="004B32DA">
          <w:rPr>
            <w:rFonts w:ascii="Abadi" w:hAnsi="Abadi" w:cs="David"/>
            <w:sz w:val="16"/>
            <w:szCs w:val="16"/>
            <w:u w:color="000000"/>
          </w:rPr>
          <w:t>(corteidh.or.cr)</w:t>
        </w:r>
      </w:hyperlink>
      <w:hyperlink r:id="rId34">
        <w:r w:rsidR="00BF55D3" w:rsidRPr="004B32DA">
          <w:rPr>
            <w:rFonts w:ascii="Abadi" w:hAnsi="Abadi" w:cs="David"/>
            <w:sz w:val="16"/>
            <w:szCs w:val="16"/>
          </w:rPr>
          <w:t>.</w:t>
        </w:r>
      </w:hyperlink>
      <w:r w:rsidR="00BF55D3" w:rsidRPr="004B32DA">
        <w:rPr>
          <w:rFonts w:ascii="Abadi" w:hAnsi="Abadi" w:cs="David"/>
          <w:sz w:val="16"/>
          <w:szCs w:val="16"/>
        </w:rPr>
        <w:t xml:space="preserve"> Doctoranda en Derecho Internacional y de la Unión Europea en la Universidad “La </w:t>
      </w:r>
      <w:proofErr w:type="spellStart"/>
      <w:r w:rsidR="00BF55D3" w:rsidRPr="004B32DA">
        <w:rPr>
          <w:rFonts w:ascii="Abadi" w:hAnsi="Abadi" w:cs="David"/>
          <w:sz w:val="16"/>
          <w:szCs w:val="16"/>
        </w:rPr>
        <w:t>Sapienza</w:t>
      </w:r>
      <w:proofErr w:type="spellEnd"/>
      <w:r w:rsidR="00BF55D3" w:rsidRPr="004B32DA">
        <w:rPr>
          <w:rFonts w:ascii="Abadi" w:hAnsi="Abadi" w:cs="David"/>
          <w:sz w:val="16"/>
          <w:szCs w:val="16"/>
        </w:rPr>
        <w:t xml:space="preserve">”, Roma. </w:t>
      </w:r>
    </w:p>
  </w:footnote>
  <w:footnote w:id="27">
    <w:p w14:paraId="0A902844" w14:textId="77777777" w:rsidR="00BF55D3" w:rsidRDefault="00BF55D3" w:rsidP="00BF55D3">
      <w:pPr>
        <w:pStyle w:val="footnotedescription"/>
      </w:pPr>
      <w:r w:rsidRPr="004B32DA">
        <w:rPr>
          <w:rStyle w:val="footnotemark"/>
          <w:rFonts w:ascii="Abadi" w:hAnsi="Abadi" w:cs="David"/>
          <w:sz w:val="16"/>
          <w:szCs w:val="16"/>
        </w:rPr>
        <w:footnoteRef/>
      </w:r>
      <w:r w:rsidRPr="004B32DA">
        <w:rPr>
          <w:rFonts w:ascii="Abadi" w:hAnsi="Abadi" w:cs="David"/>
          <w:sz w:val="16"/>
          <w:szCs w:val="16"/>
        </w:rPr>
        <w:t xml:space="preserve"> </w:t>
      </w:r>
      <w:proofErr w:type="spellStart"/>
      <w:r w:rsidRPr="004B32DA">
        <w:rPr>
          <w:rFonts w:ascii="Abadi" w:hAnsi="Abadi" w:cs="David"/>
          <w:sz w:val="16"/>
          <w:szCs w:val="16"/>
        </w:rPr>
        <w:t>Idem</w:t>
      </w:r>
      <w:proofErr w:type="spellEnd"/>
      <w:r w:rsidRPr="004B32DA">
        <w:rPr>
          <w:rFonts w:ascii="Abadi" w:hAnsi="Abadi" w:cs="David"/>
          <w:sz w:val="16"/>
          <w:szCs w:val="16"/>
        </w:rPr>
        <w:t>.</w:t>
      </w:r>
      <w:r>
        <w:t xml:space="preserve">  </w:t>
      </w:r>
    </w:p>
  </w:footnote>
  <w:footnote w:id="28">
    <w:p w14:paraId="57657791" w14:textId="77777777" w:rsidR="00BF55D3" w:rsidRPr="0049186B" w:rsidRDefault="00BF55D3" w:rsidP="00BF55D3">
      <w:pPr>
        <w:pStyle w:val="footnotedescription"/>
        <w:spacing w:line="255" w:lineRule="auto"/>
        <w:ind w:right="13"/>
        <w:jc w:val="both"/>
        <w:rPr>
          <w:rFonts w:ascii="Abadi" w:hAnsi="Abadi"/>
          <w:sz w:val="16"/>
          <w:szCs w:val="16"/>
        </w:rPr>
      </w:pPr>
      <w:r>
        <w:rPr>
          <w:rStyle w:val="footnotemark"/>
        </w:rPr>
        <w:footnoteRef/>
      </w:r>
      <w:r>
        <w:t xml:space="preserve"> </w:t>
      </w:r>
      <w:r w:rsidRPr="0049186B">
        <w:rPr>
          <w:rFonts w:ascii="Abadi" w:hAnsi="Abadi"/>
          <w:sz w:val="16"/>
          <w:szCs w:val="16"/>
        </w:rPr>
        <w:t xml:space="preserve">Véase, </w:t>
      </w:r>
      <w:proofErr w:type="spellStart"/>
      <w:r w:rsidRPr="0049186B">
        <w:rPr>
          <w:rFonts w:ascii="Abadi" w:hAnsi="Abadi"/>
          <w:sz w:val="16"/>
          <w:szCs w:val="16"/>
        </w:rPr>
        <w:t>Charlesworth</w:t>
      </w:r>
      <w:proofErr w:type="spellEnd"/>
      <w:r w:rsidRPr="0049186B">
        <w:rPr>
          <w:rFonts w:ascii="Abadi" w:hAnsi="Abadi"/>
          <w:sz w:val="16"/>
          <w:szCs w:val="16"/>
        </w:rPr>
        <w:t>, Hilary, “</w:t>
      </w:r>
      <w:proofErr w:type="spellStart"/>
      <w:r w:rsidRPr="0049186B">
        <w:rPr>
          <w:rFonts w:ascii="Abadi" w:hAnsi="Abadi"/>
          <w:sz w:val="16"/>
          <w:szCs w:val="16"/>
        </w:rPr>
        <w:t>Not</w:t>
      </w:r>
      <w:proofErr w:type="spellEnd"/>
      <w:r w:rsidRPr="0049186B">
        <w:rPr>
          <w:rFonts w:ascii="Abadi" w:hAnsi="Abadi"/>
          <w:sz w:val="16"/>
          <w:szCs w:val="16"/>
        </w:rPr>
        <w:t xml:space="preserve"> </w:t>
      </w:r>
      <w:proofErr w:type="spellStart"/>
      <w:r w:rsidRPr="0049186B">
        <w:rPr>
          <w:rFonts w:ascii="Abadi" w:hAnsi="Abadi"/>
          <w:sz w:val="16"/>
          <w:szCs w:val="16"/>
        </w:rPr>
        <w:t>Waving</w:t>
      </w:r>
      <w:proofErr w:type="spellEnd"/>
      <w:r w:rsidRPr="0049186B">
        <w:rPr>
          <w:rFonts w:ascii="Abadi" w:hAnsi="Abadi"/>
          <w:sz w:val="16"/>
          <w:szCs w:val="16"/>
        </w:rPr>
        <w:t xml:space="preserve"> </w:t>
      </w:r>
      <w:proofErr w:type="spellStart"/>
      <w:r w:rsidRPr="0049186B">
        <w:rPr>
          <w:rFonts w:ascii="Abadi" w:hAnsi="Abadi"/>
          <w:sz w:val="16"/>
          <w:szCs w:val="16"/>
        </w:rPr>
        <w:t>but</w:t>
      </w:r>
      <w:proofErr w:type="spellEnd"/>
      <w:r w:rsidRPr="0049186B">
        <w:rPr>
          <w:rFonts w:ascii="Abadi" w:hAnsi="Abadi"/>
          <w:sz w:val="16"/>
          <w:szCs w:val="16"/>
        </w:rPr>
        <w:t xml:space="preserve"> </w:t>
      </w:r>
      <w:proofErr w:type="spellStart"/>
      <w:r w:rsidRPr="0049186B">
        <w:rPr>
          <w:rFonts w:ascii="Abadi" w:hAnsi="Abadi"/>
          <w:sz w:val="16"/>
          <w:szCs w:val="16"/>
        </w:rPr>
        <w:t>Drowning</w:t>
      </w:r>
      <w:proofErr w:type="spellEnd"/>
      <w:r w:rsidRPr="0049186B">
        <w:rPr>
          <w:rFonts w:ascii="Abadi" w:hAnsi="Abadi"/>
          <w:sz w:val="16"/>
          <w:szCs w:val="16"/>
        </w:rPr>
        <w:t xml:space="preserve">: </w:t>
      </w:r>
      <w:proofErr w:type="spellStart"/>
      <w:r w:rsidRPr="0049186B">
        <w:rPr>
          <w:rFonts w:ascii="Abadi" w:hAnsi="Abadi"/>
          <w:sz w:val="16"/>
          <w:szCs w:val="16"/>
        </w:rPr>
        <w:t>Gender</w:t>
      </w:r>
      <w:proofErr w:type="spellEnd"/>
      <w:r w:rsidRPr="0049186B">
        <w:rPr>
          <w:rFonts w:ascii="Abadi" w:hAnsi="Abadi"/>
          <w:sz w:val="16"/>
          <w:szCs w:val="16"/>
        </w:rPr>
        <w:t xml:space="preserve"> Mainstreaming and Human </w:t>
      </w:r>
      <w:proofErr w:type="spellStart"/>
      <w:r w:rsidRPr="0049186B">
        <w:rPr>
          <w:rFonts w:ascii="Abadi" w:hAnsi="Abadi"/>
          <w:sz w:val="16"/>
          <w:szCs w:val="16"/>
        </w:rPr>
        <w:t>Rights</w:t>
      </w:r>
      <w:proofErr w:type="spellEnd"/>
      <w:r w:rsidRPr="0049186B">
        <w:rPr>
          <w:rFonts w:ascii="Abadi" w:hAnsi="Abadi"/>
          <w:sz w:val="16"/>
          <w:szCs w:val="16"/>
        </w:rPr>
        <w:t xml:space="preserve"> in </w:t>
      </w:r>
      <w:proofErr w:type="spellStart"/>
      <w:r w:rsidRPr="0049186B">
        <w:rPr>
          <w:rFonts w:ascii="Abadi" w:hAnsi="Abadi"/>
          <w:sz w:val="16"/>
          <w:szCs w:val="16"/>
        </w:rPr>
        <w:t>the</w:t>
      </w:r>
      <w:proofErr w:type="spellEnd"/>
      <w:r w:rsidRPr="0049186B">
        <w:rPr>
          <w:rFonts w:ascii="Abadi" w:hAnsi="Abadi"/>
          <w:sz w:val="16"/>
          <w:szCs w:val="16"/>
        </w:rPr>
        <w:t xml:space="preserve"> </w:t>
      </w:r>
      <w:proofErr w:type="spellStart"/>
      <w:r w:rsidRPr="0049186B">
        <w:rPr>
          <w:rFonts w:ascii="Abadi" w:hAnsi="Abadi"/>
          <w:sz w:val="16"/>
          <w:szCs w:val="16"/>
        </w:rPr>
        <w:t>United</w:t>
      </w:r>
      <w:proofErr w:type="spellEnd"/>
      <w:r w:rsidRPr="0049186B">
        <w:rPr>
          <w:rFonts w:ascii="Abadi" w:hAnsi="Abadi"/>
          <w:sz w:val="16"/>
          <w:szCs w:val="16"/>
        </w:rPr>
        <w:t xml:space="preserve"> </w:t>
      </w:r>
      <w:proofErr w:type="spellStart"/>
      <w:r w:rsidRPr="0049186B">
        <w:rPr>
          <w:rFonts w:ascii="Abadi" w:hAnsi="Abadi"/>
          <w:sz w:val="16"/>
          <w:szCs w:val="16"/>
        </w:rPr>
        <w:t>Nations</w:t>
      </w:r>
      <w:proofErr w:type="spellEnd"/>
      <w:r w:rsidRPr="0049186B">
        <w:rPr>
          <w:rFonts w:ascii="Abadi" w:hAnsi="Abadi"/>
          <w:sz w:val="16"/>
          <w:szCs w:val="16"/>
        </w:rPr>
        <w:t xml:space="preserve">”, en: Harvard Human </w:t>
      </w:r>
      <w:proofErr w:type="spellStart"/>
      <w:r w:rsidRPr="0049186B">
        <w:rPr>
          <w:rFonts w:ascii="Abadi" w:hAnsi="Abadi"/>
          <w:sz w:val="16"/>
          <w:szCs w:val="16"/>
        </w:rPr>
        <w:t>Rights</w:t>
      </w:r>
      <w:proofErr w:type="spellEnd"/>
      <w:r w:rsidRPr="0049186B">
        <w:rPr>
          <w:rFonts w:ascii="Abadi" w:hAnsi="Abadi"/>
          <w:sz w:val="16"/>
          <w:szCs w:val="16"/>
        </w:rPr>
        <w:t xml:space="preserve"> </w:t>
      </w:r>
      <w:proofErr w:type="spellStart"/>
      <w:r w:rsidRPr="0049186B">
        <w:rPr>
          <w:rFonts w:ascii="Abadi" w:hAnsi="Abadi"/>
          <w:sz w:val="16"/>
          <w:szCs w:val="16"/>
        </w:rPr>
        <w:t>Journal</w:t>
      </w:r>
      <w:proofErr w:type="spellEnd"/>
      <w:r w:rsidRPr="0049186B">
        <w:rPr>
          <w:rFonts w:ascii="Abadi" w:hAnsi="Abadi"/>
          <w:sz w:val="16"/>
          <w:szCs w:val="16"/>
        </w:rPr>
        <w:t xml:space="preserve"> vol. 18. Harvard </w:t>
      </w:r>
      <w:proofErr w:type="spellStart"/>
      <w:r w:rsidRPr="0049186B">
        <w:rPr>
          <w:rFonts w:ascii="Abadi" w:hAnsi="Abadi"/>
          <w:sz w:val="16"/>
          <w:szCs w:val="16"/>
        </w:rPr>
        <w:t>Law</w:t>
      </w:r>
      <w:proofErr w:type="spellEnd"/>
      <w:r w:rsidRPr="0049186B">
        <w:rPr>
          <w:rFonts w:ascii="Abadi" w:hAnsi="Abadi"/>
          <w:sz w:val="16"/>
          <w:szCs w:val="16"/>
        </w:rPr>
        <w:t xml:space="preserve"> </w:t>
      </w:r>
      <w:proofErr w:type="spellStart"/>
      <w:r w:rsidRPr="0049186B">
        <w:rPr>
          <w:rFonts w:ascii="Abadi" w:hAnsi="Abadi"/>
          <w:sz w:val="16"/>
          <w:szCs w:val="16"/>
        </w:rPr>
        <w:t>School</w:t>
      </w:r>
      <w:proofErr w:type="spellEnd"/>
      <w:r w:rsidRPr="0049186B">
        <w:rPr>
          <w:rFonts w:ascii="Abadi" w:hAnsi="Abadi"/>
          <w:sz w:val="16"/>
          <w:szCs w:val="16"/>
        </w:rPr>
        <w:t xml:space="preserve">, Cambridge, Massachusetts, 2005, págs. 1-18; </w:t>
      </w:r>
      <w:proofErr w:type="spellStart"/>
      <w:r w:rsidRPr="0049186B">
        <w:rPr>
          <w:rFonts w:ascii="Abadi" w:hAnsi="Abadi"/>
          <w:sz w:val="16"/>
          <w:szCs w:val="16"/>
        </w:rPr>
        <w:t>Ainetter-Brautigam</w:t>
      </w:r>
      <w:proofErr w:type="spellEnd"/>
      <w:r w:rsidRPr="0049186B">
        <w:rPr>
          <w:rFonts w:ascii="Abadi" w:hAnsi="Abadi"/>
          <w:sz w:val="16"/>
          <w:szCs w:val="16"/>
        </w:rPr>
        <w:t xml:space="preserve">, Christine, “International Human </w:t>
      </w:r>
      <w:proofErr w:type="spellStart"/>
      <w:r w:rsidRPr="0049186B">
        <w:rPr>
          <w:rFonts w:ascii="Abadi" w:hAnsi="Abadi"/>
          <w:sz w:val="16"/>
          <w:szCs w:val="16"/>
        </w:rPr>
        <w:t>Rights</w:t>
      </w:r>
      <w:proofErr w:type="spellEnd"/>
      <w:r w:rsidRPr="0049186B">
        <w:rPr>
          <w:rFonts w:ascii="Abadi" w:hAnsi="Abadi"/>
          <w:sz w:val="16"/>
          <w:szCs w:val="16"/>
        </w:rPr>
        <w:t xml:space="preserve"> </w:t>
      </w:r>
      <w:proofErr w:type="spellStart"/>
      <w:r w:rsidRPr="0049186B">
        <w:rPr>
          <w:rFonts w:ascii="Abadi" w:hAnsi="Abadi"/>
          <w:sz w:val="16"/>
          <w:szCs w:val="16"/>
        </w:rPr>
        <w:t>Law</w:t>
      </w:r>
      <w:proofErr w:type="spellEnd"/>
      <w:r w:rsidRPr="0049186B">
        <w:rPr>
          <w:rFonts w:ascii="Abadi" w:hAnsi="Abadi"/>
          <w:sz w:val="16"/>
          <w:szCs w:val="16"/>
        </w:rPr>
        <w:t xml:space="preserve">: </w:t>
      </w:r>
      <w:proofErr w:type="spellStart"/>
      <w:r w:rsidRPr="0049186B">
        <w:rPr>
          <w:rFonts w:ascii="Abadi" w:hAnsi="Abadi"/>
          <w:sz w:val="16"/>
          <w:szCs w:val="16"/>
        </w:rPr>
        <w:t>The</w:t>
      </w:r>
      <w:proofErr w:type="spellEnd"/>
      <w:r w:rsidRPr="0049186B">
        <w:rPr>
          <w:rFonts w:ascii="Abadi" w:hAnsi="Abadi"/>
          <w:sz w:val="16"/>
          <w:szCs w:val="16"/>
        </w:rPr>
        <w:t xml:space="preserve"> </w:t>
      </w:r>
      <w:proofErr w:type="spellStart"/>
      <w:r w:rsidRPr="0049186B">
        <w:rPr>
          <w:rFonts w:ascii="Abadi" w:hAnsi="Abadi"/>
          <w:sz w:val="16"/>
          <w:szCs w:val="16"/>
        </w:rPr>
        <w:t>Relevance</w:t>
      </w:r>
      <w:proofErr w:type="spellEnd"/>
      <w:r w:rsidRPr="0049186B">
        <w:rPr>
          <w:rFonts w:ascii="Abadi" w:hAnsi="Abadi"/>
          <w:sz w:val="16"/>
          <w:szCs w:val="16"/>
        </w:rPr>
        <w:t xml:space="preserve"> </w:t>
      </w:r>
      <w:proofErr w:type="spellStart"/>
      <w:r w:rsidRPr="0049186B">
        <w:rPr>
          <w:rFonts w:ascii="Abadi" w:hAnsi="Abadi"/>
          <w:sz w:val="16"/>
          <w:szCs w:val="16"/>
        </w:rPr>
        <w:t>of</w:t>
      </w:r>
      <w:proofErr w:type="spellEnd"/>
      <w:r w:rsidRPr="0049186B">
        <w:rPr>
          <w:rFonts w:ascii="Abadi" w:hAnsi="Abadi"/>
          <w:sz w:val="16"/>
          <w:szCs w:val="16"/>
        </w:rPr>
        <w:t xml:space="preserve"> </w:t>
      </w:r>
      <w:proofErr w:type="spellStart"/>
      <w:r w:rsidRPr="0049186B">
        <w:rPr>
          <w:rFonts w:ascii="Abadi" w:hAnsi="Abadi"/>
          <w:sz w:val="16"/>
          <w:szCs w:val="16"/>
        </w:rPr>
        <w:t>Gender</w:t>
      </w:r>
      <w:proofErr w:type="spellEnd"/>
      <w:r w:rsidRPr="0049186B">
        <w:rPr>
          <w:rFonts w:ascii="Abadi" w:hAnsi="Abadi"/>
          <w:sz w:val="16"/>
          <w:szCs w:val="16"/>
        </w:rPr>
        <w:t xml:space="preserve">”, en: </w:t>
      </w:r>
      <w:proofErr w:type="spellStart"/>
      <w:r w:rsidRPr="0049186B">
        <w:rPr>
          <w:rFonts w:ascii="Abadi" w:hAnsi="Abadi"/>
          <w:sz w:val="16"/>
          <w:szCs w:val="16"/>
        </w:rPr>
        <w:t>Benedek</w:t>
      </w:r>
      <w:proofErr w:type="spellEnd"/>
      <w:r w:rsidRPr="0049186B">
        <w:rPr>
          <w:rFonts w:ascii="Abadi" w:hAnsi="Abadi"/>
          <w:sz w:val="16"/>
          <w:szCs w:val="16"/>
        </w:rPr>
        <w:t xml:space="preserve">, </w:t>
      </w:r>
      <w:proofErr w:type="spellStart"/>
      <w:r w:rsidRPr="0049186B">
        <w:rPr>
          <w:rFonts w:ascii="Abadi" w:hAnsi="Abadi"/>
          <w:sz w:val="16"/>
          <w:szCs w:val="16"/>
        </w:rPr>
        <w:t>Wolgang</w:t>
      </w:r>
      <w:proofErr w:type="spellEnd"/>
      <w:r w:rsidRPr="0049186B">
        <w:rPr>
          <w:rFonts w:ascii="Abadi" w:hAnsi="Abadi"/>
          <w:sz w:val="16"/>
          <w:szCs w:val="16"/>
        </w:rPr>
        <w:t xml:space="preserve">, et al (eds.), </w:t>
      </w:r>
      <w:proofErr w:type="spellStart"/>
      <w:r w:rsidRPr="0049186B">
        <w:rPr>
          <w:rFonts w:ascii="Abadi" w:hAnsi="Abadi"/>
          <w:sz w:val="16"/>
          <w:szCs w:val="16"/>
        </w:rPr>
        <w:t>The</w:t>
      </w:r>
      <w:proofErr w:type="spellEnd"/>
      <w:r w:rsidRPr="0049186B">
        <w:rPr>
          <w:rFonts w:ascii="Abadi" w:hAnsi="Abadi"/>
          <w:sz w:val="16"/>
          <w:szCs w:val="16"/>
        </w:rPr>
        <w:t xml:space="preserve"> Human </w:t>
      </w:r>
      <w:proofErr w:type="spellStart"/>
      <w:r w:rsidRPr="0049186B">
        <w:rPr>
          <w:rFonts w:ascii="Abadi" w:hAnsi="Abadi"/>
          <w:sz w:val="16"/>
          <w:szCs w:val="16"/>
        </w:rPr>
        <w:t>Rights</w:t>
      </w:r>
      <w:proofErr w:type="spellEnd"/>
      <w:r w:rsidRPr="0049186B">
        <w:rPr>
          <w:rFonts w:ascii="Abadi" w:hAnsi="Abadi"/>
          <w:sz w:val="16"/>
          <w:szCs w:val="16"/>
        </w:rPr>
        <w:t xml:space="preserve"> </w:t>
      </w:r>
      <w:proofErr w:type="spellStart"/>
      <w:r w:rsidRPr="0049186B">
        <w:rPr>
          <w:rFonts w:ascii="Abadi" w:hAnsi="Abadi"/>
          <w:sz w:val="16"/>
          <w:szCs w:val="16"/>
        </w:rPr>
        <w:t>of</w:t>
      </w:r>
      <w:proofErr w:type="spellEnd"/>
      <w:r w:rsidRPr="0049186B">
        <w:rPr>
          <w:rFonts w:ascii="Abadi" w:hAnsi="Abadi"/>
          <w:sz w:val="16"/>
          <w:szCs w:val="16"/>
        </w:rPr>
        <w:t xml:space="preserve"> </w:t>
      </w:r>
      <w:proofErr w:type="spellStart"/>
      <w:r w:rsidRPr="0049186B">
        <w:rPr>
          <w:rFonts w:ascii="Abadi" w:hAnsi="Abadi"/>
          <w:sz w:val="16"/>
          <w:szCs w:val="16"/>
        </w:rPr>
        <w:t>Women</w:t>
      </w:r>
      <w:proofErr w:type="spellEnd"/>
      <w:r w:rsidRPr="0049186B">
        <w:rPr>
          <w:rFonts w:ascii="Abadi" w:hAnsi="Abadi"/>
          <w:sz w:val="16"/>
          <w:szCs w:val="16"/>
        </w:rPr>
        <w:t xml:space="preserve">: International Instruments and </w:t>
      </w:r>
      <w:proofErr w:type="spellStart"/>
      <w:r w:rsidRPr="0049186B">
        <w:rPr>
          <w:rFonts w:ascii="Abadi" w:hAnsi="Abadi"/>
          <w:sz w:val="16"/>
          <w:szCs w:val="16"/>
        </w:rPr>
        <w:t>African</w:t>
      </w:r>
      <w:proofErr w:type="spellEnd"/>
      <w:r w:rsidRPr="0049186B">
        <w:rPr>
          <w:rFonts w:ascii="Abadi" w:hAnsi="Abadi"/>
          <w:sz w:val="16"/>
          <w:szCs w:val="16"/>
        </w:rPr>
        <w:t xml:space="preserve"> </w:t>
      </w:r>
      <w:proofErr w:type="spellStart"/>
      <w:r w:rsidRPr="0049186B">
        <w:rPr>
          <w:rFonts w:ascii="Abadi" w:hAnsi="Abadi"/>
          <w:sz w:val="16"/>
          <w:szCs w:val="16"/>
        </w:rPr>
        <w:t>Experiences</w:t>
      </w:r>
      <w:proofErr w:type="spellEnd"/>
      <w:r w:rsidRPr="0049186B">
        <w:rPr>
          <w:rFonts w:ascii="Abadi" w:hAnsi="Abadi"/>
          <w:sz w:val="16"/>
          <w:szCs w:val="16"/>
        </w:rPr>
        <w:t xml:space="preserve">. </w:t>
      </w:r>
      <w:proofErr w:type="spellStart"/>
      <w:r w:rsidRPr="0049186B">
        <w:rPr>
          <w:rFonts w:ascii="Abadi" w:hAnsi="Abadi"/>
          <w:sz w:val="16"/>
          <w:szCs w:val="16"/>
        </w:rPr>
        <w:t>Zed</w:t>
      </w:r>
      <w:proofErr w:type="spellEnd"/>
      <w:r w:rsidRPr="0049186B">
        <w:rPr>
          <w:rFonts w:ascii="Abadi" w:hAnsi="Abadi"/>
          <w:sz w:val="16"/>
          <w:szCs w:val="16"/>
        </w:rPr>
        <w:t xml:space="preserve"> </w:t>
      </w:r>
      <w:proofErr w:type="spellStart"/>
      <w:r w:rsidRPr="0049186B">
        <w:rPr>
          <w:rFonts w:ascii="Abadi" w:hAnsi="Abadi"/>
          <w:sz w:val="16"/>
          <w:szCs w:val="16"/>
        </w:rPr>
        <w:t>Books</w:t>
      </w:r>
      <w:proofErr w:type="spellEnd"/>
      <w:r w:rsidRPr="0049186B">
        <w:rPr>
          <w:rFonts w:ascii="Abadi" w:hAnsi="Abadi"/>
          <w:sz w:val="16"/>
          <w:szCs w:val="16"/>
        </w:rPr>
        <w:t xml:space="preserve">, Londres, 2002, pág. 8 y ss. </w:t>
      </w:r>
      <w:r w:rsidRPr="0049186B">
        <w:rPr>
          <w:rFonts w:ascii="Abadi" w:hAnsi="Abadi"/>
          <w:sz w:val="16"/>
          <w:szCs w:val="16"/>
          <w:vertAlign w:val="superscript"/>
        </w:rPr>
        <w:t>18</w:t>
      </w:r>
      <w:r w:rsidRPr="0049186B">
        <w:rPr>
          <w:rFonts w:ascii="Abadi" w:hAnsi="Abadi"/>
          <w:sz w:val="16"/>
          <w:szCs w:val="16"/>
        </w:rPr>
        <w:t xml:space="preserve"> </w:t>
      </w:r>
      <w:proofErr w:type="spellStart"/>
      <w:r w:rsidRPr="0049186B">
        <w:rPr>
          <w:rFonts w:ascii="Abadi" w:hAnsi="Abadi"/>
          <w:sz w:val="16"/>
          <w:szCs w:val="16"/>
        </w:rPr>
        <w:t>Idem</w:t>
      </w:r>
      <w:proofErr w:type="spellEnd"/>
      <w:r w:rsidRPr="0049186B">
        <w:rPr>
          <w:rFonts w:ascii="Abadi" w:hAnsi="Abadi"/>
          <w:sz w:val="16"/>
          <w:szCs w:val="16"/>
        </w:rPr>
        <w:t xml:space="preserve">.  </w:t>
      </w:r>
    </w:p>
  </w:footnote>
  <w:footnote w:id="29">
    <w:p w14:paraId="6AA8DEB9" w14:textId="77777777" w:rsidR="00BF55D3" w:rsidRPr="0049186B" w:rsidRDefault="00BF55D3" w:rsidP="00BF55D3">
      <w:pPr>
        <w:pStyle w:val="footnotedescription"/>
        <w:rPr>
          <w:rFonts w:ascii="Abadi" w:hAnsi="Abadi"/>
          <w:sz w:val="16"/>
          <w:szCs w:val="16"/>
        </w:rPr>
      </w:pPr>
      <w:r w:rsidRPr="0049186B">
        <w:rPr>
          <w:rStyle w:val="footnotemark"/>
          <w:rFonts w:ascii="Abadi" w:hAnsi="Abadi"/>
          <w:sz w:val="16"/>
          <w:szCs w:val="16"/>
        </w:rPr>
        <w:footnoteRef/>
      </w:r>
      <w:r w:rsidRPr="0049186B">
        <w:rPr>
          <w:rFonts w:ascii="Abadi" w:hAnsi="Abadi"/>
          <w:sz w:val="16"/>
          <w:szCs w:val="16"/>
        </w:rPr>
        <w:t xml:space="preserve"> </w:t>
      </w:r>
      <w:proofErr w:type="spellStart"/>
      <w:r w:rsidRPr="0049186B">
        <w:rPr>
          <w:rFonts w:ascii="Abadi" w:hAnsi="Abadi"/>
          <w:sz w:val="16"/>
          <w:szCs w:val="16"/>
        </w:rPr>
        <w:t>Idem</w:t>
      </w:r>
      <w:proofErr w:type="spellEnd"/>
      <w:r w:rsidRPr="0049186B">
        <w:rPr>
          <w:rFonts w:ascii="Abadi" w:hAnsi="Abadi"/>
          <w:sz w:val="16"/>
          <w:szCs w:val="16"/>
        </w:rPr>
        <w:t xml:space="preserve">: Véase, </w:t>
      </w:r>
      <w:proofErr w:type="spellStart"/>
      <w:r w:rsidRPr="0049186B">
        <w:rPr>
          <w:rFonts w:ascii="Abadi" w:hAnsi="Abadi"/>
          <w:sz w:val="16"/>
          <w:szCs w:val="16"/>
        </w:rPr>
        <w:t>Charlesworth</w:t>
      </w:r>
      <w:proofErr w:type="spellEnd"/>
      <w:r w:rsidRPr="0049186B">
        <w:rPr>
          <w:rFonts w:ascii="Abadi" w:hAnsi="Abadi"/>
          <w:sz w:val="16"/>
          <w:szCs w:val="16"/>
        </w:rPr>
        <w:t>, Hilary, “</w:t>
      </w:r>
      <w:proofErr w:type="spellStart"/>
      <w:r w:rsidRPr="0049186B">
        <w:rPr>
          <w:rFonts w:ascii="Abadi" w:hAnsi="Abadi"/>
          <w:sz w:val="16"/>
          <w:szCs w:val="16"/>
        </w:rPr>
        <w:t>Not</w:t>
      </w:r>
      <w:proofErr w:type="spellEnd"/>
      <w:r w:rsidRPr="0049186B">
        <w:rPr>
          <w:rFonts w:ascii="Abadi" w:hAnsi="Abadi"/>
          <w:sz w:val="16"/>
          <w:szCs w:val="16"/>
        </w:rPr>
        <w:t xml:space="preserve"> </w:t>
      </w:r>
      <w:proofErr w:type="spellStart"/>
      <w:r w:rsidRPr="0049186B">
        <w:rPr>
          <w:rFonts w:ascii="Abadi" w:hAnsi="Abadi"/>
          <w:sz w:val="16"/>
          <w:szCs w:val="16"/>
        </w:rPr>
        <w:t>Waving</w:t>
      </w:r>
      <w:proofErr w:type="spellEnd"/>
      <w:r w:rsidRPr="0049186B">
        <w:rPr>
          <w:rFonts w:ascii="Abadi" w:hAnsi="Abadi"/>
          <w:sz w:val="16"/>
          <w:szCs w:val="16"/>
        </w:rPr>
        <w:t xml:space="preserve"> </w:t>
      </w:r>
      <w:proofErr w:type="spellStart"/>
      <w:r w:rsidRPr="0049186B">
        <w:rPr>
          <w:rFonts w:ascii="Abadi" w:hAnsi="Abadi"/>
          <w:sz w:val="16"/>
          <w:szCs w:val="16"/>
        </w:rPr>
        <w:t>but</w:t>
      </w:r>
      <w:proofErr w:type="spellEnd"/>
      <w:r w:rsidRPr="0049186B">
        <w:rPr>
          <w:rFonts w:ascii="Abadi" w:hAnsi="Abadi"/>
          <w:sz w:val="16"/>
          <w:szCs w:val="16"/>
        </w:rPr>
        <w:t xml:space="preserve"> </w:t>
      </w:r>
      <w:proofErr w:type="spellStart"/>
      <w:r w:rsidRPr="0049186B">
        <w:rPr>
          <w:rFonts w:ascii="Abadi" w:hAnsi="Abadi"/>
          <w:sz w:val="16"/>
          <w:szCs w:val="16"/>
        </w:rPr>
        <w:t>Drowning</w:t>
      </w:r>
      <w:proofErr w:type="spellEnd"/>
      <w:r w:rsidRPr="0049186B">
        <w:rPr>
          <w:rFonts w:ascii="Abadi" w:hAnsi="Abadi"/>
          <w:sz w:val="16"/>
          <w:szCs w:val="16"/>
        </w:rPr>
        <w:t xml:space="preserve">.  </w:t>
      </w:r>
    </w:p>
  </w:footnote>
  <w:footnote w:id="30">
    <w:p w14:paraId="6B75525F" w14:textId="77777777" w:rsidR="00BF55D3" w:rsidRDefault="00BF55D3" w:rsidP="00BF55D3">
      <w:pPr>
        <w:pStyle w:val="footnotedescription"/>
      </w:pPr>
      <w:r w:rsidRPr="0049186B">
        <w:rPr>
          <w:rStyle w:val="footnotemark"/>
          <w:rFonts w:ascii="Abadi" w:hAnsi="Abadi"/>
          <w:sz w:val="16"/>
          <w:szCs w:val="16"/>
        </w:rPr>
        <w:footnoteRef/>
      </w:r>
      <w:r w:rsidRPr="0049186B">
        <w:rPr>
          <w:rFonts w:ascii="Abadi" w:hAnsi="Abadi"/>
          <w:sz w:val="16"/>
          <w:szCs w:val="16"/>
        </w:rPr>
        <w:t xml:space="preserve"> </w:t>
      </w:r>
      <w:proofErr w:type="spellStart"/>
      <w:r w:rsidRPr="0049186B">
        <w:rPr>
          <w:rFonts w:ascii="Abadi" w:hAnsi="Abadi"/>
          <w:sz w:val="16"/>
          <w:szCs w:val="16"/>
        </w:rPr>
        <w:t>Idem</w:t>
      </w:r>
      <w:proofErr w:type="spellEnd"/>
      <w:r w:rsidRPr="0049186B">
        <w:rPr>
          <w:rFonts w:ascii="Abadi" w:hAnsi="Abadi"/>
          <w:sz w:val="16"/>
          <w:szCs w:val="16"/>
        </w:rPr>
        <w:t xml:space="preserve"> </w:t>
      </w:r>
      <w:proofErr w:type="spellStart"/>
      <w:proofErr w:type="gramStart"/>
      <w:r w:rsidRPr="0049186B">
        <w:rPr>
          <w:rFonts w:ascii="Abadi" w:hAnsi="Abadi"/>
          <w:sz w:val="16"/>
          <w:szCs w:val="16"/>
        </w:rPr>
        <w:t>Bullying</w:t>
      </w:r>
      <w:proofErr w:type="spellEnd"/>
      <w:proofErr w:type="gramEnd"/>
      <w:r w:rsidRPr="0049186B">
        <w:rPr>
          <w:rFonts w:ascii="Abadi" w:hAnsi="Abadi"/>
          <w:sz w:val="16"/>
          <w:szCs w:val="16"/>
        </w:rPr>
        <w:t xml:space="preserve"> y desigualdad...</w:t>
      </w:r>
      <w:r>
        <w:t xml:space="preserve">  </w:t>
      </w:r>
    </w:p>
  </w:footnote>
  <w:footnote w:id="31">
    <w:p w14:paraId="0EE5E753" w14:textId="77777777" w:rsidR="00BF55D3" w:rsidRDefault="00BF55D3" w:rsidP="00BF55D3">
      <w:pPr>
        <w:pStyle w:val="footnotedescription"/>
      </w:pPr>
      <w:r>
        <w:rPr>
          <w:rStyle w:val="footnotemark"/>
        </w:rPr>
        <w:footnoteRef/>
      </w:r>
      <w:r>
        <w:t xml:space="preserve"> </w:t>
      </w:r>
      <w:proofErr w:type="spellStart"/>
      <w:r>
        <w:t>Idem</w:t>
      </w:r>
      <w:proofErr w:type="spellEnd"/>
      <w:r>
        <w:t xml:space="preserve">. </w:t>
      </w:r>
    </w:p>
  </w:footnote>
  <w:footnote w:id="32">
    <w:p w14:paraId="24E80258" w14:textId="77777777" w:rsidR="00BF55D3" w:rsidRPr="00BF55D3" w:rsidRDefault="00BF55D3" w:rsidP="00BF55D3">
      <w:pPr>
        <w:pStyle w:val="footnotedescription"/>
        <w:spacing w:line="284" w:lineRule="auto"/>
        <w:ind w:right="142"/>
        <w:rPr>
          <w:rFonts w:ascii="Abadi" w:hAnsi="Abadi"/>
          <w:sz w:val="16"/>
          <w:szCs w:val="16"/>
        </w:rPr>
      </w:pPr>
      <w:r w:rsidRPr="00BF55D3">
        <w:rPr>
          <w:rStyle w:val="footnotemark"/>
          <w:rFonts w:ascii="Abadi" w:hAnsi="Abadi"/>
          <w:sz w:val="16"/>
          <w:szCs w:val="16"/>
        </w:rPr>
        <w:footnoteRef/>
      </w:r>
      <w:r w:rsidRPr="00BF55D3">
        <w:rPr>
          <w:rFonts w:ascii="Abadi" w:hAnsi="Abadi"/>
          <w:sz w:val="16"/>
          <w:szCs w:val="16"/>
        </w:rPr>
        <w:t xml:space="preserve"> </w:t>
      </w:r>
      <w:proofErr w:type="spellStart"/>
      <w:r w:rsidRPr="00BF55D3">
        <w:rPr>
          <w:rFonts w:ascii="Abadi" w:hAnsi="Abadi"/>
          <w:sz w:val="16"/>
          <w:szCs w:val="16"/>
        </w:rPr>
        <w:t>Idem</w:t>
      </w:r>
      <w:proofErr w:type="spellEnd"/>
      <w:r w:rsidRPr="00BF55D3">
        <w:rPr>
          <w:rFonts w:ascii="Abadi" w:hAnsi="Abadi"/>
          <w:sz w:val="16"/>
          <w:szCs w:val="16"/>
        </w:rPr>
        <w:t xml:space="preserve">. Véase, </w:t>
      </w:r>
      <w:proofErr w:type="spellStart"/>
      <w:r w:rsidRPr="00BF55D3">
        <w:rPr>
          <w:rFonts w:ascii="Abadi" w:hAnsi="Abadi"/>
          <w:sz w:val="16"/>
          <w:szCs w:val="16"/>
        </w:rPr>
        <w:t>Charlesworth</w:t>
      </w:r>
      <w:proofErr w:type="spellEnd"/>
      <w:r w:rsidRPr="00BF55D3">
        <w:rPr>
          <w:rFonts w:ascii="Abadi" w:hAnsi="Abadi"/>
          <w:sz w:val="16"/>
          <w:szCs w:val="16"/>
        </w:rPr>
        <w:t>, Hilary, “</w:t>
      </w:r>
      <w:proofErr w:type="spellStart"/>
      <w:r w:rsidRPr="00BF55D3">
        <w:rPr>
          <w:rFonts w:ascii="Abadi" w:hAnsi="Abadi"/>
          <w:sz w:val="16"/>
          <w:szCs w:val="16"/>
        </w:rPr>
        <w:t>Not</w:t>
      </w:r>
      <w:proofErr w:type="spellEnd"/>
      <w:r w:rsidRPr="00BF55D3">
        <w:rPr>
          <w:rFonts w:ascii="Abadi" w:hAnsi="Abadi"/>
          <w:sz w:val="16"/>
          <w:szCs w:val="16"/>
        </w:rPr>
        <w:t xml:space="preserve"> </w:t>
      </w:r>
      <w:proofErr w:type="spellStart"/>
      <w:r w:rsidRPr="00BF55D3">
        <w:rPr>
          <w:rFonts w:ascii="Abadi" w:hAnsi="Abadi"/>
          <w:sz w:val="16"/>
          <w:szCs w:val="16"/>
        </w:rPr>
        <w:t>Waving</w:t>
      </w:r>
      <w:proofErr w:type="spellEnd"/>
      <w:r w:rsidRPr="00BF55D3">
        <w:rPr>
          <w:rFonts w:ascii="Abadi" w:hAnsi="Abadi"/>
          <w:sz w:val="16"/>
          <w:szCs w:val="16"/>
        </w:rPr>
        <w:t xml:space="preserve"> </w:t>
      </w:r>
      <w:proofErr w:type="spellStart"/>
      <w:r w:rsidRPr="00BF55D3">
        <w:rPr>
          <w:rFonts w:ascii="Abadi" w:hAnsi="Abadi"/>
          <w:sz w:val="16"/>
          <w:szCs w:val="16"/>
        </w:rPr>
        <w:t>but</w:t>
      </w:r>
      <w:proofErr w:type="spellEnd"/>
      <w:r w:rsidRPr="00BF55D3">
        <w:rPr>
          <w:rFonts w:ascii="Abadi" w:hAnsi="Abadi"/>
          <w:sz w:val="16"/>
          <w:szCs w:val="16"/>
        </w:rPr>
        <w:t xml:space="preserve"> </w:t>
      </w:r>
      <w:proofErr w:type="spellStart"/>
      <w:r w:rsidRPr="00BF55D3">
        <w:rPr>
          <w:rFonts w:ascii="Abadi" w:hAnsi="Abadi"/>
          <w:sz w:val="16"/>
          <w:szCs w:val="16"/>
        </w:rPr>
        <w:t>Drowning</w:t>
      </w:r>
      <w:proofErr w:type="spellEnd"/>
      <w:r w:rsidRPr="00BF55D3">
        <w:rPr>
          <w:rFonts w:ascii="Abadi" w:hAnsi="Abadi"/>
          <w:sz w:val="16"/>
          <w:szCs w:val="16"/>
        </w:rPr>
        <w:t xml:space="preserve">. </w:t>
      </w:r>
      <w:r w:rsidRPr="00BF55D3">
        <w:rPr>
          <w:rFonts w:ascii="Abadi" w:hAnsi="Abadi"/>
          <w:sz w:val="16"/>
          <w:szCs w:val="16"/>
          <w:vertAlign w:val="superscript"/>
        </w:rPr>
        <w:t>23</w:t>
      </w:r>
      <w:r w:rsidRPr="00BF55D3">
        <w:rPr>
          <w:rFonts w:ascii="Abadi" w:hAnsi="Abadi"/>
          <w:sz w:val="16"/>
          <w:szCs w:val="16"/>
        </w:rPr>
        <w:t xml:space="preserve"> </w:t>
      </w:r>
      <w:proofErr w:type="spellStart"/>
      <w:r w:rsidRPr="00BF55D3">
        <w:rPr>
          <w:rFonts w:ascii="Abadi" w:hAnsi="Abadi"/>
          <w:sz w:val="16"/>
          <w:szCs w:val="16"/>
        </w:rPr>
        <w:t>Idem</w:t>
      </w:r>
      <w:proofErr w:type="spellEnd"/>
      <w:r w:rsidRPr="00BF55D3">
        <w:rPr>
          <w:rFonts w:ascii="Abadi" w:hAnsi="Abadi"/>
          <w:sz w:val="16"/>
          <w:szCs w:val="16"/>
        </w:rPr>
        <w:t xml:space="preserve">. </w:t>
      </w:r>
      <w:r w:rsidRPr="00BF55D3">
        <w:rPr>
          <w:rFonts w:ascii="Abadi" w:hAnsi="Abadi"/>
          <w:i/>
          <w:sz w:val="16"/>
          <w:szCs w:val="16"/>
        </w:rPr>
        <w:t>Cfr</w:t>
      </w:r>
      <w:r w:rsidRPr="00BF55D3">
        <w:rPr>
          <w:rFonts w:ascii="Abadi" w:hAnsi="Abadi"/>
          <w:sz w:val="16"/>
          <w:szCs w:val="16"/>
        </w:rPr>
        <w:t xml:space="preserve">. </w:t>
      </w:r>
      <w:proofErr w:type="spellStart"/>
      <w:r w:rsidRPr="00BF55D3">
        <w:rPr>
          <w:rFonts w:ascii="Abadi" w:hAnsi="Abadi"/>
          <w:sz w:val="16"/>
          <w:szCs w:val="16"/>
        </w:rPr>
        <w:t>Charlesworth</w:t>
      </w:r>
      <w:proofErr w:type="spellEnd"/>
      <w:r w:rsidRPr="00BF55D3">
        <w:rPr>
          <w:rFonts w:ascii="Abadi" w:hAnsi="Abadi"/>
          <w:sz w:val="16"/>
          <w:szCs w:val="16"/>
        </w:rPr>
        <w:t>, Hilary, “</w:t>
      </w:r>
      <w:proofErr w:type="spellStart"/>
      <w:r w:rsidRPr="00BF55D3">
        <w:rPr>
          <w:rFonts w:ascii="Abadi" w:hAnsi="Abadi"/>
          <w:sz w:val="16"/>
          <w:szCs w:val="16"/>
        </w:rPr>
        <w:t>Not</w:t>
      </w:r>
      <w:proofErr w:type="spellEnd"/>
      <w:r w:rsidRPr="00BF55D3">
        <w:rPr>
          <w:rFonts w:ascii="Abadi" w:hAnsi="Abadi"/>
          <w:sz w:val="16"/>
          <w:szCs w:val="16"/>
        </w:rPr>
        <w:t xml:space="preserve"> </w:t>
      </w:r>
      <w:proofErr w:type="spellStart"/>
      <w:r w:rsidRPr="00BF55D3">
        <w:rPr>
          <w:rFonts w:ascii="Abadi" w:hAnsi="Abadi"/>
          <w:sz w:val="16"/>
          <w:szCs w:val="16"/>
        </w:rPr>
        <w:t>Waving</w:t>
      </w:r>
      <w:proofErr w:type="spellEnd"/>
      <w:r w:rsidRPr="00BF55D3">
        <w:rPr>
          <w:rFonts w:ascii="Abadi" w:hAnsi="Abadi"/>
          <w:sz w:val="16"/>
          <w:szCs w:val="16"/>
        </w:rPr>
        <w:t xml:space="preserve"> </w:t>
      </w:r>
      <w:proofErr w:type="spellStart"/>
      <w:r w:rsidRPr="00BF55D3">
        <w:rPr>
          <w:rFonts w:ascii="Abadi" w:hAnsi="Abadi"/>
          <w:sz w:val="16"/>
          <w:szCs w:val="16"/>
        </w:rPr>
        <w:t>but</w:t>
      </w:r>
      <w:proofErr w:type="spellEnd"/>
      <w:r w:rsidRPr="00BF55D3">
        <w:rPr>
          <w:rFonts w:ascii="Abadi" w:hAnsi="Abadi"/>
          <w:sz w:val="16"/>
          <w:szCs w:val="16"/>
        </w:rPr>
        <w:t xml:space="preserve"> </w:t>
      </w:r>
      <w:proofErr w:type="spellStart"/>
      <w:r w:rsidRPr="00BF55D3">
        <w:rPr>
          <w:rFonts w:ascii="Abadi" w:hAnsi="Abadi"/>
          <w:sz w:val="16"/>
          <w:szCs w:val="16"/>
        </w:rPr>
        <w:t>Drowning</w:t>
      </w:r>
      <w:proofErr w:type="spellEnd"/>
      <w:r w:rsidRPr="00BF55D3">
        <w:rPr>
          <w:rFonts w:ascii="Abadi" w:hAnsi="Abadi"/>
          <w:sz w:val="16"/>
          <w:szCs w:val="16"/>
        </w:rPr>
        <w:t xml:space="preserve">. </w:t>
      </w:r>
    </w:p>
  </w:footnote>
  <w:footnote w:id="33">
    <w:p w14:paraId="78E7AC6C" w14:textId="27372D24" w:rsidR="0049061B" w:rsidRDefault="0049061B">
      <w:pPr>
        <w:pStyle w:val="Textonotapie"/>
      </w:pPr>
      <w:r>
        <w:rPr>
          <w:rStyle w:val="Refdenotaalpie"/>
        </w:rPr>
        <w:footnoteRef/>
      </w:r>
      <w:r w:rsidRPr="009C6C3E">
        <w:rPr>
          <w:rFonts w:ascii="Abadi" w:hAnsi="Abadi"/>
          <w:sz w:val="16"/>
          <w:szCs w:val="16"/>
        </w:rPr>
        <w:t xml:space="preserve"> </w:t>
      </w:r>
      <w:hyperlink r:id="rId35" w:history="1">
        <w:r w:rsidR="009C6C3E" w:rsidRPr="009C6C3E">
          <w:rPr>
            <w:rStyle w:val="Hipervnculo"/>
            <w:rFonts w:ascii="Abadi" w:hAnsi="Abadi"/>
            <w:sz w:val="16"/>
            <w:szCs w:val="16"/>
          </w:rPr>
          <w:t>https://congreso-gto.s3.amazonaws.com/uploads/orden_archivo/archivo/29936/06_Iniciativa_GPPMORENA_ref_y_adic_Ley_de_Cultura_Fi_sica_y_Dep_56894__22_JUNIO_23_.pdf</w:t>
        </w:r>
      </w:hyperlink>
    </w:p>
  </w:footnote>
  <w:footnote w:id="34">
    <w:p w14:paraId="4DB4C632" w14:textId="77777777" w:rsidR="00D4074D" w:rsidRPr="00C54947" w:rsidRDefault="00D4074D" w:rsidP="00D4074D">
      <w:pPr>
        <w:pStyle w:val="footnotedescription"/>
        <w:spacing w:after="35" w:line="254" w:lineRule="auto"/>
        <w:rPr>
          <w:rFonts w:ascii="Abadi" w:hAnsi="Abadi"/>
          <w:sz w:val="16"/>
          <w:szCs w:val="16"/>
        </w:rPr>
      </w:pPr>
      <w:r>
        <w:rPr>
          <w:rStyle w:val="footnotemark"/>
        </w:rPr>
        <w:footnoteRef/>
      </w:r>
      <w:r>
        <w:t xml:space="preserve"> </w:t>
      </w:r>
      <w:r w:rsidRPr="00C54947">
        <w:rPr>
          <w:rFonts w:ascii="Abadi" w:hAnsi="Abadi"/>
          <w:color w:val="000000"/>
          <w:sz w:val="16"/>
          <w:szCs w:val="16"/>
          <w:u w:val="none" w:color="000000"/>
        </w:rPr>
        <w:t xml:space="preserve">Disponible en: </w:t>
      </w:r>
      <w:hyperlink r:id="rId36">
        <w:r w:rsidRPr="00C54947">
          <w:rPr>
            <w:rFonts w:ascii="Abadi" w:hAnsi="Abadi"/>
            <w:sz w:val="16"/>
            <w:szCs w:val="16"/>
          </w:rPr>
          <w:t>https://www.elfinanciero.com.mx/deportes/2022/03/19/vivo</w:t>
        </w:r>
      </w:hyperlink>
      <w:hyperlink r:id="rId37">
        <w:r w:rsidRPr="00C54947">
          <w:rPr>
            <w:rFonts w:ascii="Abadi" w:hAnsi="Abadi"/>
            <w:sz w:val="16"/>
            <w:szCs w:val="16"/>
          </w:rPr>
          <w:t>-</w:t>
        </w:r>
      </w:hyperlink>
      <w:hyperlink r:id="rId38">
        <w:r w:rsidRPr="00C54947">
          <w:rPr>
            <w:rFonts w:ascii="Abadi" w:hAnsi="Abadi"/>
            <w:sz w:val="16"/>
            <w:szCs w:val="16"/>
          </w:rPr>
          <w:t>con</w:t>
        </w:r>
      </w:hyperlink>
      <w:hyperlink r:id="rId39">
        <w:r w:rsidRPr="00C54947">
          <w:rPr>
            <w:rFonts w:ascii="Abadi" w:hAnsi="Abadi"/>
            <w:sz w:val="16"/>
            <w:szCs w:val="16"/>
          </w:rPr>
          <w:t>-</w:t>
        </w:r>
      </w:hyperlink>
      <w:hyperlink r:id="rId40">
        <w:r w:rsidRPr="00C54947">
          <w:rPr>
            <w:rFonts w:ascii="Abadi" w:hAnsi="Abadi"/>
            <w:sz w:val="16"/>
            <w:szCs w:val="16"/>
          </w:rPr>
          <w:t>miedo</w:t>
        </w:r>
      </w:hyperlink>
      <w:hyperlink r:id="rId41">
        <w:r w:rsidRPr="00C54947">
          <w:rPr>
            <w:rFonts w:ascii="Abadi" w:hAnsi="Abadi"/>
            <w:sz w:val="16"/>
            <w:szCs w:val="16"/>
          </w:rPr>
          <w:t>-</w:t>
        </w:r>
      </w:hyperlink>
      <w:hyperlink r:id="rId42">
        <w:r w:rsidRPr="00C54947">
          <w:rPr>
            <w:rFonts w:ascii="Abadi" w:hAnsi="Abadi"/>
            <w:sz w:val="16"/>
            <w:szCs w:val="16"/>
          </w:rPr>
          <w:t>la</w:t>
        </w:r>
      </w:hyperlink>
      <w:hyperlink r:id="rId43">
        <w:r w:rsidRPr="00C54947">
          <w:rPr>
            <w:rFonts w:ascii="Abadi" w:hAnsi="Abadi"/>
            <w:sz w:val="16"/>
            <w:szCs w:val="16"/>
          </w:rPr>
          <w:t>-</w:t>
        </w:r>
      </w:hyperlink>
      <w:hyperlink r:id="rId44">
        <w:r w:rsidRPr="00C54947">
          <w:rPr>
            <w:rFonts w:ascii="Abadi" w:hAnsi="Abadi"/>
            <w:sz w:val="16"/>
            <w:szCs w:val="16"/>
          </w:rPr>
          <w:t>futbolista</w:t>
        </w:r>
      </w:hyperlink>
      <w:hyperlink r:id="rId45"/>
      <w:hyperlink r:id="rId46">
        <w:r w:rsidRPr="00C54947">
          <w:rPr>
            <w:rFonts w:ascii="Abadi" w:hAnsi="Abadi"/>
            <w:sz w:val="16"/>
            <w:szCs w:val="16"/>
          </w:rPr>
          <w:t>nailea</w:t>
        </w:r>
      </w:hyperlink>
      <w:hyperlink r:id="rId47">
        <w:r w:rsidRPr="00C54947">
          <w:rPr>
            <w:rFonts w:ascii="Abadi" w:hAnsi="Abadi"/>
            <w:sz w:val="16"/>
            <w:szCs w:val="16"/>
          </w:rPr>
          <w:t>-</w:t>
        </w:r>
      </w:hyperlink>
      <w:hyperlink r:id="rId48">
        <w:r w:rsidRPr="00C54947">
          <w:rPr>
            <w:rFonts w:ascii="Abadi" w:hAnsi="Abadi"/>
            <w:sz w:val="16"/>
            <w:szCs w:val="16"/>
          </w:rPr>
          <w:t>vidrio</w:t>
        </w:r>
      </w:hyperlink>
      <w:hyperlink r:id="rId49">
        <w:r w:rsidRPr="00C54947">
          <w:rPr>
            <w:rFonts w:ascii="Abadi" w:hAnsi="Abadi"/>
            <w:sz w:val="16"/>
            <w:szCs w:val="16"/>
          </w:rPr>
          <w:t>-</w:t>
        </w:r>
      </w:hyperlink>
      <w:hyperlink r:id="rId50">
        <w:r w:rsidRPr="00C54947">
          <w:rPr>
            <w:rFonts w:ascii="Abadi" w:hAnsi="Abadi"/>
            <w:sz w:val="16"/>
            <w:szCs w:val="16"/>
          </w:rPr>
          <w:t>habla</w:t>
        </w:r>
      </w:hyperlink>
      <w:hyperlink r:id="rId51">
        <w:r w:rsidRPr="00C54947">
          <w:rPr>
            <w:rFonts w:ascii="Abadi" w:hAnsi="Abadi"/>
            <w:sz w:val="16"/>
            <w:szCs w:val="16"/>
          </w:rPr>
          <w:t>-</w:t>
        </w:r>
      </w:hyperlink>
      <w:hyperlink r:id="rId52">
        <w:r w:rsidRPr="00C54947">
          <w:rPr>
            <w:rFonts w:ascii="Abadi" w:hAnsi="Abadi"/>
            <w:sz w:val="16"/>
            <w:szCs w:val="16"/>
          </w:rPr>
          <w:t>del</w:t>
        </w:r>
      </w:hyperlink>
      <w:hyperlink r:id="rId53">
        <w:r w:rsidRPr="00C54947">
          <w:rPr>
            <w:rFonts w:ascii="Abadi" w:hAnsi="Abadi"/>
            <w:sz w:val="16"/>
            <w:szCs w:val="16"/>
          </w:rPr>
          <w:t>-</w:t>
        </w:r>
      </w:hyperlink>
      <w:hyperlink r:id="rId54">
        <w:r w:rsidRPr="00C54947">
          <w:rPr>
            <w:rFonts w:ascii="Abadi" w:hAnsi="Abadi"/>
            <w:sz w:val="16"/>
            <w:szCs w:val="16"/>
          </w:rPr>
          <w:t>acoso</w:t>
        </w:r>
      </w:hyperlink>
      <w:hyperlink r:id="rId55">
        <w:r w:rsidRPr="00C54947">
          <w:rPr>
            <w:rFonts w:ascii="Abadi" w:hAnsi="Abadi"/>
            <w:sz w:val="16"/>
            <w:szCs w:val="16"/>
          </w:rPr>
          <w:t>-</w:t>
        </w:r>
      </w:hyperlink>
      <w:hyperlink r:id="rId56">
        <w:r w:rsidRPr="00C54947">
          <w:rPr>
            <w:rFonts w:ascii="Abadi" w:hAnsi="Abadi"/>
            <w:sz w:val="16"/>
            <w:szCs w:val="16"/>
          </w:rPr>
          <w:t>que</w:t>
        </w:r>
      </w:hyperlink>
      <w:hyperlink r:id="rId57">
        <w:r w:rsidRPr="00C54947">
          <w:rPr>
            <w:rFonts w:ascii="Abadi" w:hAnsi="Abadi"/>
            <w:sz w:val="16"/>
            <w:szCs w:val="16"/>
          </w:rPr>
          <w:t>-</w:t>
        </w:r>
      </w:hyperlink>
      <w:hyperlink r:id="rId58">
        <w:r w:rsidRPr="00C54947">
          <w:rPr>
            <w:rFonts w:ascii="Abadi" w:hAnsi="Abadi"/>
            <w:sz w:val="16"/>
            <w:szCs w:val="16"/>
          </w:rPr>
          <w:t>sufrio</w:t>
        </w:r>
      </w:hyperlink>
      <w:hyperlink r:id="rId59">
        <w:r w:rsidRPr="00C54947">
          <w:rPr>
            <w:rFonts w:ascii="Abadi" w:hAnsi="Abadi"/>
            <w:sz w:val="16"/>
            <w:szCs w:val="16"/>
          </w:rPr>
          <w:t>-</w:t>
        </w:r>
      </w:hyperlink>
      <w:hyperlink r:id="rId60">
        <w:r w:rsidRPr="00C54947">
          <w:rPr>
            <w:rFonts w:ascii="Abadi" w:hAnsi="Abadi"/>
            <w:sz w:val="16"/>
            <w:szCs w:val="16"/>
          </w:rPr>
          <w:t>en</w:t>
        </w:r>
      </w:hyperlink>
      <w:hyperlink r:id="rId61">
        <w:r w:rsidRPr="00C54947">
          <w:rPr>
            <w:rFonts w:ascii="Abadi" w:hAnsi="Abadi"/>
            <w:sz w:val="16"/>
            <w:szCs w:val="16"/>
          </w:rPr>
          <w:t>-</w:t>
        </w:r>
      </w:hyperlink>
      <w:hyperlink r:id="rId62">
        <w:r w:rsidRPr="00C54947">
          <w:rPr>
            <w:rFonts w:ascii="Abadi" w:hAnsi="Abadi"/>
            <w:sz w:val="16"/>
            <w:szCs w:val="16"/>
          </w:rPr>
          <w:t>el</w:t>
        </w:r>
      </w:hyperlink>
      <w:hyperlink r:id="rId63">
        <w:r w:rsidRPr="00C54947">
          <w:rPr>
            <w:rFonts w:ascii="Abadi" w:hAnsi="Abadi"/>
            <w:sz w:val="16"/>
            <w:szCs w:val="16"/>
          </w:rPr>
          <w:t>-</w:t>
        </w:r>
      </w:hyperlink>
      <w:hyperlink r:id="rId64">
        <w:r w:rsidRPr="00C54947">
          <w:rPr>
            <w:rFonts w:ascii="Abadi" w:hAnsi="Abadi"/>
            <w:sz w:val="16"/>
            <w:szCs w:val="16"/>
          </w:rPr>
          <w:t>nou</w:t>
        </w:r>
      </w:hyperlink>
      <w:hyperlink r:id="rId65">
        <w:r w:rsidRPr="00C54947">
          <w:rPr>
            <w:rFonts w:ascii="Abadi" w:hAnsi="Abadi"/>
            <w:sz w:val="16"/>
            <w:szCs w:val="16"/>
          </w:rPr>
          <w:t>-</w:t>
        </w:r>
      </w:hyperlink>
      <w:hyperlink r:id="rId66">
        <w:r w:rsidRPr="00C54947">
          <w:rPr>
            <w:rFonts w:ascii="Abadi" w:hAnsi="Abadi"/>
            <w:sz w:val="16"/>
            <w:szCs w:val="16"/>
          </w:rPr>
          <w:t>camp/</w:t>
        </w:r>
      </w:hyperlink>
      <w:hyperlink r:id="rId67">
        <w:r w:rsidRPr="00C54947">
          <w:rPr>
            <w:rFonts w:ascii="Abadi" w:hAnsi="Abadi"/>
            <w:color w:val="000000"/>
            <w:sz w:val="16"/>
            <w:szCs w:val="16"/>
            <w:u w:val="none" w:color="000000"/>
          </w:rPr>
          <w:t xml:space="preserve"> </w:t>
        </w:r>
      </w:hyperlink>
      <w:r w:rsidRPr="00C54947">
        <w:rPr>
          <w:rFonts w:ascii="Abadi" w:hAnsi="Abadi"/>
          <w:color w:val="000000"/>
          <w:sz w:val="16"/>
          <w:szCs w:val="16"/>
          <w:u w:val="none" w:color="000000"/>
        </w:rPr>
        <w:t xml:space="preserve">Fecha de consulta: 16/06/2023 </w:t>
      </w:r>
    </w:p>
  </w:footnote>
  <w:footnote w:id="35">
    <w:p w14:paraId="2B243E10" w14:textId="77777777" w:rsidR="00D4074D" w:rsidRPr="00C54947" w:rsidRDefault="00D4074D" w:rsidP="002754B3">
      <w:pPr>
        <w:pStyle w:val="footnotedescription"/>
        <w:spacing w:after="0" w:line="252" w:lineRule="auto"/>
        <w:jc w:val="both"/>
        <w:rPr>
          <w:rFonts w:ascii="Abadi" w:hAnsi="Abadi"/>
          <w:sz w:val="16"/>
          <w:szCs w:val="16"/>
        </w:rPr>
      </w:pPr>
      <w:r w:rsidRPr="00C54947">
        <w:rPr>
          <w:rStyle w:val="footnotemark"/>
          <w:rFonts w:ascii="Abadi" w:hAnsi="Abadi"/>
          <w:sz w:val="16"/>
          <w:szCs w:val="16"/>
        </w:rPr>
        <w:footnoteRef/>
      </w:r>
      <w:r w:rsidRPr="00C54947">
        <w:rPr>
          <w:rFonts w:ascii="Abadi" w:hAnsi="Abadi"/>
          <w:sz w:val="16"/>
          <w:szCs w:val="16"/>
        </w:rPr>
        <w:t xml:space="preserve"> </w:t>
      </w:r>
      <w:r w:rsidRPr="00C54947">
        <w:rPr>
          <w:rFonts w:ascii="Abadi" w:hAnsi="Abadi"/>
          <w:color w:val="000000"/>
          <w:sz w:val="16"/>
          <w:szCs w:val="16"/>
          <w:u w:val="none" w:color="000000"/>
        </w:rPr>
        <w:t xml:space="preserve">Disponible en:  </w:t>
      </w:r>
      <w:hyperlink r:id="rId68">
        <w:r w:rsidRPr="00C54947">
          <w:rPr>
            <w:rFonts w:ascii="Abadi" w:hAnsi="Abadi"/>
            <w:sz w:val="16"/>
            <w:szCs w:val="16"/>
          </w:rPr>
          <w:t>https://periodicocorreo.com.mx/vida</w:t>
        </w:r>
      </w:hyperlink>
      <w:hyperlink r:id="rId69">
        <w:r w:rsidRPr="00C54947">
          <w:rPr>
            <w:rFonts w:ascii="Abadi" w:hAnsi="Abadi"/>
            <w:sz w:val="16"/>
            <w:szCs w:val="16"/>
          </w:rPr>
          <w:t>-</w:t>
        </w:r>
      </w:hyperlink>
      <w:hyperlink r:id="rId70">
        <w:r w:rsidRPr="00C54947">
          <w:rPr>
            <w:rFonts w:ascii="Abadi" w:hAnsi="Abadi"/>
            <w:sz w:val="16"/>
            <w:szCs w:val="16"/>
          </w:rPr>
          <w:t>publica/destapan</w:t>
        </w:r>
      </w:hyperlink>
      <w:hyperlink r:id="rId71">
        <w:r w:rsidRPr="00C54947">
          <w:rPr>
            <w:rFonts w:ascii="Abadi" w:hAnsi="Abadi"/>
            <w:sz w:val="16"/>
            <w:szCs w:val="16"/>
          </w:rPr>
          <w:t>-</w:t>
        </w:r>
      </w:hyperlink>
      <w:hyperlink r:id="rId72">
        <w:r w:rsidRPr="00C54947">
          <w:rPr>
            <w:rFonts w:ascii="Abadi" w:hAnsi="Abadi"/>
            <w:sz w:val="16"/>
            <w:szCs w:val="16"/>
          </w:rPr>
          <w:t>caso</w:t>
        </w:r>
      </w:hyperlink>
      <w:hyperlink r:id="rId73">
        <w:r w:rsidRPr="00C54947">
          <w:rPr>
            <w:rFonts w:ascii="Abadi" w:hAnsi="Abadi"/>
            <w:sz w:val="16"/>
            <w:szCs w:val="16"/>
          </w:rPr>
          <w:t>-</w:t>
        </w:r>
      </w:hyperlink>
      <w:hyperlink r:id="rId74">
        <w:r w:rsidRPr="00C54947">
          <w:rPr>
            <w:rFonts w:ascii="Abadi" w:hAnsi="Abadi"/>
            <w:sz w:val="16"/>
            <w:szCs w:val="16"/>
          </w:rPr>
          <w:t>de</w:t>
        </w:r>
      </w:hyperlink>
      <w:hyperlink r:id="rId75">
        <w:r w:rsidRPr="00C54947">
          <w:rPr>
            <w:rFonts w:ascii="Abadi" w:hAnsi="Abadi"/>
            <w:sz w:val="16"/>
            <w:szCs w:val="16"/>
          </w:rPr>
          <w:t>-</w:t>
        </w:r>
      </w:hyperlink>
      <w:hyperlink r:id="rId76">
        <w:r w:rsidRPr="00C54947">
          <w:rPr>
            <w:rFonts w:ascii="Abadi" w:hAnsi="Abadi"/>
            <w:sz w:val="16"/>
            <w:szCs w:val="16"/>
          </w:rPr>
          <w:t>abuso</w:t>
        </w:r>
      </w:hyperlink>
      <w:hyperlink r:id="rId77">
        <w:r w:rsidRPr="00C54947">
          <w:rPr>
            <w:rFonts w:ascii="Abadi" w:hAnsi="Abadi"/>
            <w:sz w:val="16"/>
            <w:szCs w:val="16"/>
          </w:rPr>
          <w:t>-</w:t>
        </w:r>
      </w:hyperlink>
      <w:hyperlink r:id="rId78">
        <w:r w:rsidRPr="00C54947">
          <w:rPr>
            <w:rFonts w:ascii="Abadi" w:hAnsi="Abadi"/>
            <w:sz w:val="16"/>
            <w:szCs w:val="16"/>
          </w:rPr>
          <w:t>sexual</w:t>
        </w:r>
      </w:hyperlink>
      <w:hyperlink r:id="rId79">
        <w:r w:rsidRPr="00C54947">
          <w:rPr>
            <w:rFonts w:ascii="Abadi" w:hAnsi="Abadi"/>
            <w:sz w:val="16"/>
            <w:szCs w:val="16"/>
          </w:rPr>
          <w:t>-</w:t>
        </w:r>
      </w:hyperlink>
      <w:hyperlink r:id="rId80">
        <w:r w:rsidRPr="00C54947">
          <w:rPr>
            <w:rFonts w:ascii="Abadi" w:hAnsi="Abadi"/>
            <w:sz w:val="16"/>
            <w:szCs w:val="16"/>
          </w:rPr>
          <w:t>a</w:t>
        </w:r>
      </w:hyperlink>
      <w:hyperlink r:id="rId81">
        <w:r w:rsidRPr="00C54947">
          <w:rPr>
            <w:rFonts w:ascii="Abadi" w:hAnsi="Abadi"/>
            <w:sz w:val="16"/>
            <w:szCs w:val="16"/>
          </w:rPr>
          <w:t>-</w:t>
        </w:r>
      </w:hyperlink>
      <w:hyperlink r:id="rId82">
        <w:r w:rsidRPr="00C54947">
          <w:rPr>
            <w:rFonts w:ascii="Abadi" w:hAnsi="Abadi"/>
            <w:sz w:val="16"/>
            <w:szCs w:val="16"/>
          </w:rPr>
          <w:t>clavadista</w:t>
        </w:r>
      </w:hyperlink>
      <w:hyperlink r:id="rId83"/>
      <w:hyperlink r:id="rId84">
        <w:r w:rsidRPr="00C54947">
          <w:rPr>
            <w:rFonts w:ascii="Abadi" w:hAnsi="Abadi"/>
            <w:sz w:val="16"/>
            <w:szCs w:val="16"/>
          </w:rPr>
          <w:t>representante</w:t>
        </w:r>
      </w:hyperlink>
      <w:hyperlink r:id="rId85">
        <w:r w:rsidRPr="00C54947">
          <w:rPr>
            <w:rFonts w:ascii="Abadi" w:hAnsi="Abadi"/>
            <w:sz w:val="16"/>
            <w:szCs w:val="16"/>
          </w:rPr>
          <w:t>-</w:t>
        </w:r>
      </w:hyperlink>
      <w:hyperlink r:id="rId86">
        <w:r w:rsidRPr="00C54947">
          <w:rPr>
            <w:rFonts w:ascii="Abadi" w:hAnsi="Abadi"/>
            <w:sz w:val="16"/>
            <w:szCs w:val="16"/>
          </w:rPr>
          <w:t>de</w:t>
        </w:r>
      </w:hyperlink>
      <w:hyperlink r:id="rId87">
        <w:r w:rsidRPr="00C54947">
          <w:rPr>
            <w:rFonts w:ascii="Abadi" w:hAnsi="Abadi"/>
            <w:sz w:val="16"/>
            <w:szCs w:val="16"/>
          </w:rPr>
          <w:t>-</w:t>
        </w:r>
      </w:hyperlink>
      <w:hyperlink r:id="rId88">
        <w:r w:rsidRPr="00C54947">
          <w:rPr>
            <w:rFonts w:ascii="Abadi" w:hAnsi="Abadi"/>
            <w:sz w:val="16"/>
            <w:szCs w:val="16"/>
          </w:rPr>
          <w:t>guanajuato</w:t>
        </w:r>
      </w:hyperlink>
      <w:hyperlink r:id="rId89">
        <w:r w:rsidRPr="00C54947">
          <w:rPr>
            <w:rFonts w:ascii="Abadi" w:hAnsi="Abadi"/>
            <w:sz w:val="16"/>
            <w:szCs w:val="16"/>
          </w:rPr>
          <w:t>-</w:t>
        </w:r>
      </w:hyperlink>
      <w:hyperlink r:id="rId90">
        <w:r w:rsidRPr="00C54947">
          <w:rPr>
            <w:rFonts w:ascii="Abadi" w:hAnsi="Abadi"/>
            <w:sz w:val="16"/>
            <w:szCs w:val="16"/>
          </w:rPr>
          <w:t>20220816</w:t>
        </w:r>
      </w:hyperlink>
      <w:hyperlink r:id="rId91">
        <w:r w:rsidRPr="00C54947">
          <w:rPr>
            <w:rFonts w:ascii="Abadi" w:hAnsi="Abadi"/>
            <w:sz w:val="16"/>
            <w:szCs w:val="16"/>
          </w:rPr>
          <w:t>-</w:t>
        </w:r>
      </w:hyperlink>
      <w:hyperlink r:id="rId92">
        <w:r w:rsidRPr="00C54947">
          <w:rPr>
            <w:rFonts w:ascii="Abadi" w:hAnsi="Abadi"/>
            <w:sz w:val="16"/>
            <w:szCs w:val="16"/>
          </w:rPr>
          <w:t>61002.html</w:t>
        </w:r>
      </w:hyperlink>
      <w:hyperlink r:id="rId93">
        <w:r w:rsidRPr="00C54947">
          <w:rPr>
            <w:rFonts w:ascii="Abadi" w:hAnsi="Abadi"/>
            <w:color w:val="000000"/>
            <w:sz w:val="16"/>
            <w:szCs w:val="16"/>
            <w:u w:val="none" w:color="000000"/>
          </w:rPr>
          <w:t xml:space="preserve"> </w:t>
        </w:r>
      </w:hyperlink>
      <w:r w:rsidRPr="00C54947">
        <w:rPr>
          <w:rFonts w:ascii="Abadi" w:hAnsi="Abadi"/>
          <w:color w:val="000000"/>
          <w:sz w:val="16"/>
          <w:szCs w:val="16"/>
          <w:u w:val="none" w:color="000000"/>
        </w:rPr>
        <w:t xml:space="preserve">Fecha de consulta: 16/06/2023 </w:t>
      </w:r>
    </w:p>
  </w:footnote>
  <w:footnote w:id="36">
    <w:p w14:paraId="4CACF24D" w14:textId="02957195" w:rsidR="00956525" w:rsidRDefault="00956525">
      <w:pPr>
        <w:pStyle w:val="Textonotapie"/>
      </w:pPr>
      <w:r>
        <w:rPr>
          <w:rStyle w:val="Refdenotaalpie"/>
        </w:rPr>
        <w:footnoteRef/>
      </w:r>
      <w:r>
        <w:t xml:space="preserve"> </w:t>
      </w:r>
    </w:p>
  </w:footnote>
  <w:footnote w:id="37">
    <w:p w14:paraId="56427366" w14:textId="77777777" w:rsidR="00670E07" w:rsidRDefault="00670E07" w:rsidP="00670E07">
      <w:pPr>
        <w:pStyle w:val="footnotedescription"/>
        <w:spacing w:line="259" w:lineRule="auto"/>
        <w:jc w:val="both"/>
      </w:pPr>
      <w:r>
        <w:rPr>
          <w:rStyle w:val="footnotemark"/>
        </w:rPr>
        <w:footnoteRef/>
      </w:r>
      <w:r>
        <w:t xml:space="preserve"> El estado de Baja California Sur cuenta con un plan de Ley de Movilidad y Seguridad Vial para 2024. Revisar: </w:t>
      </w:r>
    </w:p>
    <w:p w14:paraId="4E51F941" w14:textId="77777777" w:rsidR="00670E07" w:rsidRDefault="00000000" w:rsidP="00670E07">
      <w:pPr>
        <w:pStyle w:val="footnotedescription"/>
        <w:spacing w:line="241" w:lineRule="auto"/>
      </w:pPr>
      <w:hyperlink r:id="rId94">
        <w:r w:rsidR="00670E07">
          <w:rPr>
            <w:color w:val="0563C1"/>
            <w:u w:color="0563C1"/>
          </w:rPr>
          <w:t>https://www.cbcs.gob.mx/index.php/boletines</w:t>
        </w:r>
      </w:hyperlink>
      <w:hyperlink r:id="rId95">
        <w:r w:rsidR="00670E07">
          <w:rPr>
            <w:color w:val="0563C1"/>
            <w:u w:color="0563C1"/>
          </w:rPr>
          <w:t>-</w:t>
        </w:r>
      </w:hyperlink>
      <w:hyperlink r:id="rId96">
        <w:r w:rsidR="00670E07">
          <w:rPr>
            <w:color w:val="0563C1"/>
            <w:u w:color="0563C1"/>
          </w:rPr>
          <w:t>2023</w:t>
        </w:r>
      </w:hyperlink>
      <w:hyperlink r:id="rId97">
        <w:r w:rsidR="00670E07">
          <w:rPr>
            <w:color w:val="0563C1"/>
            <w:u w:color="0563C1"/>
          </w:rPr>
          <w:t>-</w:t>
        </w:r>
      </w:hyperlink>
      <w:hyperlink r:id="rId98">
        <w:r w:rsidR="00670E07">
          <w:rPr>
            <w:color w:val="0563C1"/>
            <w:u w:color="0563C1"/>
          </w:rPr>
          <w:t>1/6701</w:t>
        </w:r>
      </w:hyperlink>
      <w:hyperlink r:id="rId99">
        <w:r w:rsidR="00670E07">
          <w:rPr>
            <w:color w:val="0563C1"/>
            <w:u w:color="0563C1"/>
          </w:rPr>
          <w:t>-</w:t>
        </w:r>
      </w:hyperlink>
      <w:hyperlink r:id="rId100">
        <w:r w:rsidR="00670E07">
          <w:rPr>
            <w:color w:val="0563C1"/>
            <w:u w:color="0563C1"/>
          </w:rPr>
          <w:t>la</w:t>
        </w:r>
      </w:hyperlink>
      <w:hyperlink r:id="rId101">
        <w:r w:rsidR="00670E07">
          <w:rPr>
            <w:color w:val="0563C1"/>
            <w:u w:color="0563C1"/>
          </w:rPr>
          <w:t>-</w:t>
        </w:r>
      </w:hyperlink>
      <w:hyperlink r:id="rId102">
        <w:r w:rsidR="00670E07">
          <w:rPr>
            <w:color w:val="0563C1"/>
            <w:u w:color="0563C1"/>
          </w:rPr>
          <w:t>ley</w:t>
        </w:r>
      </w:hyperlink>
      <w:hyperlink r:id="rId103">
        <w:r w:rsidR="00670E07">
          <w:rPr>
            <w:color w:val="0563C1"/>
            <w:u w:color="0563C1"/>
          </w:rPr>
          <w:t>-</w:t>
        </w:r>
      </w:hyperlink>
      <w:hyperlink r:id="rId104">
        <w:r w:rsidR="00670E07">
          <w:rPr>
            <w:color w:val="0563C1"/>
            <w:u w:color="0563C1"/>
          </w:rPr>
          <w:t>de</w:t>
        </w:r>
      </w:hyperlink>
      <w:hyperlink r:id="rId105">
        <w:r w:rsidR="00670E07">
          <w:rPr>
            <w:color w:val="0563C1"/>
            <w:u w:color="0563C1"/>
          </w:rPr>
          <w:t>-</w:t>
        </w:r>
      </w:hyperlink>
      <w:hyperlink r:id="rId106">
        <w:r w:rsidR="00670E07">
          <w:rPr>
            <w:color w:val="0563C1"/>
            <w:u w:color="0563C1"/>
          </w:rPr>
          <w:t>movilidad</w:t>
        </w:r>
      </w:hyperlink>
      <w:hyperlink r:id="rId107">
        <w:r w:rsidR="00670E07">
          <w:rPr>
            <w:color w:val="0563C1"/>
            <w:u w:color="0563C1"/>
          </w:rPr>
          <w:t>-</w:t>
        </w:r>
      </w:hyperlink>
      <w:hyperlink r:id="rId108">
        <w:r w:rsidR="00670E07">
          <w:rPr>
            <w:color w:val="0563C1"/>
            <w:u w:color="0563C1"/>
          </w:rPr>
          <w:t>y</w:t>
        </w:r>
      </w:hyperlink>
      <w:hyperlink r:id="rId109">
        <w:r w:rsidR="00670E07">
          <w:rPr>
            <w:color w:val="0563C1"/>
            <w:u w:color="0563C1"/>
          </w:rPr>
          <w:t>-</w:t>
        </w:r>
      </w:hyperlink>
      <w:hyperlink r:id="rId110">
        <w:r w:rsidR="00670E07">
          <w:rPr>
            <w:color w:val="0563C1"/>
            <w:u w:color="0563C1"/>
          </w:rPr>
          <w:t>seguridad</w:t>
        </w:r>
      </w:hyperlink>
      <w:hyperlink r:id="rId111">
        <w:r w:rsidR="00670E07">
          <w:rPr>
            <w:color w:val="0563C1"/>
            <w:u w:color="0563C1"/>
          </w:rPr>
          <w:t>-</w:t>
        </w:r>
      </w:hyperlink>
      <w:hyperlink r:id="rId112">
        <w:r w:rsidR="00670E07">
          <w:rPr>
            <w:color w:val="0563C1"/>
            <w:u w:color="0563C1"/>
          </w:rPr>
          <w:t>vial</w:t>
        </w:r>
      </w:hyperlink>
      <w:hyperlink r:id="rId113">
        <w:r w:rsidR="00670E07">
          <w:rPr>
            <w:color w:val="0563C1"/>
            <w:u w:color="0563C1"/>
          </w:rPr>
          <w:t>-</w:t>
        </w:r>
      </w:hyperlink>
      <w:hyperlink r:id="rId114">
        <w:r w:rsidR="00670E07">
          <w:rPr>
            <w:color w:val="0563C1"/>
            <w:u w:color="0563C1"/>
          </w:rPr>
          <w:t>contara</w:t>
        </w:r>
      </w:hyperlink>
      <w:hyperlink r:id="rId115">
        <w:r w:rsidR="00670E07">
          <w:rPr>
            <w:color w:val="0563C1"/>
            <w:u w:color="0563C1"/>
          </w:rPr>
          <w:t>-</w:t>
        </w:r>
      </w:hyperlink>
      <w:hyperlink r:id="rId116">
        <w:r w:rsidR="00670E07">
          <w:rPr>
            <w:color w:val="0563C1"/>
            <w:u w:color="0563C1"/>
          </w:rPr>
          <w:t>con</w:t>
        </w:r>
      </w:hyperlink>
      <w:hyperlink r:id="rId117">
        <w:r w:rsidR="00670E07">
          <w:rPr>
            <w:color w:val="0563C1"/>
            <w:u w:color="0563C1"/>
          </w:rPr>
          <w:t>-</w:t>
        </w:r>
      </w:hyperlink>
      <w:hyperlink r:id="rId118">
        <w:r w:rsidR="00670E07">
          <w:rPr>
            <w:color w:val="0563C1"/>
            <w:u w:color="0563C1"/>
          </w:rPr>
          <w:t>techo</w:t>
        </w:r>
      </w:hyperlink>
      <w:hyperlink r:id="rId119">
        <w:r w:rsidR="00670E07">
          <w:rPr>
            <w:color w:val="0563C1"/>
            <w:u w:color="0563C1"/>
          </w:rPr>
          <w:t>-</w:t>
        </w:r>
      </w:hyperlink>
      <w:hyperlink r:id="rId120">
        <w:r w:rsidR="00670E07">
          <w:rPr>
            <w:color w:val="0563C1"/>
            <w:u w:color="0563C1"/>
          </w:rPr>
          <w:t>financiero</w:t>
        </w:r>
      </w:hyperlink>
      <w:hyperlink r:id="rId121"/>
      <w:hyperlink r:id="rId122">
        <w:r w:rsidR="00670E07">
          <w:rPr>
            <w:color w:val="0563C1"/>
            <w:u w:color="0563C1"/>
          </w:rPr>
          <w:t>para</w:t>
        </w:r>
      </w:hyperlink>
      <w:hyperlink r:id="rId123">
        <w:r w:rsidR="00670E07">
          <w:rPr>
            <w:color w:val="0563C1"/>
            <w:u w:color="0563C1"/>
          </w:rPr>
          <w:t>-</w:t>
        </w:r>
      </w:hyperlink>
      <w:hyperlink r:id="rId124">
        <w:r w:rsidR="00670E07">
          <w:rPr>
            <w:color w:val="0563C1"/>
            <w:u w:color="0563C1"/>
          </w:rPr>
          <w:t>el</w:t>
        </w:r>
      </w:hyperlink>
      <w:hyperlink r:id="rId125">
        <w:r w:rsidR="00670E07">
          <w:rPr>
            <w:color w:val="0563C1"/>
            <w:u w:color="0563C1"/>
          </w:rPr>
          <w:t>-</w:t>
        </w:r>
      </w:hyperlink>
      <w:hyperlink r:id="rId126">
        <w:r w:rsidR="00670E07">
          <w:rPr>
            <w:color w:val="0563C1"/>
            <w:u w:color="0563C1"/>
          </w:rPr>
          <w:t>2024</w:t>
        </w:r>
      </w:hyperlink>
      <w:hyperlink r:id="rId127">
        <w:r w:rsidR="00670E07">
          <w:rPr>
            <w:color w:val="0563C1"/>
            <w:u w:color="0563C1"/>
          </w:rPr>
          <w:t>-</w:t>
        </w:r>
      </w:hyperlink>
      <w:hyperlink r:id="rId128">
        <w:r w:rsidR="00670E07">
          <w:rPr>
            <w:color w:val="0563C1"/>
            <w:u w:color="0563C1"/>
          </w:rPr>
          <w:t>diputado</w:t>
        </w:r>
      </w:hyperlink>
      <w:hyperlink r:id="rId129">
        <w:r w:rsidR="00670E07">
          <w:rPr>
            <w:color w:val="0563C1"/>
            <w:u w:color="0563C1"/>
          </w:rPr>
          <w:t>-</w:t>
        </w:r>
      </w:hyperlink>
      <w:hyperlink r:id="rId130">
        <w:r w:rsidR="00670E07">
          <w:rPr>
            <w:color w:val="0563C1"/>
            <w:u w:color="0563C1"/>
          </w:rPr>
          <w:t>denny</w:t>
        </w:r>
      </w:hyperlink>
      <w:hyperlink r:id="rId131">
        <w:r w:rsidR="00670E07">
          <w:rPr>
            <w:color w:val="0563C1"/>
            <w:u w:color="0563C1"/>
          </w:rPr>
          <w:t>-</w:t>
        </w:r>
      </w:hyperlink>
      <w:hyperlink r:id="rId132">
        <w:r w:rsidR="00670E07">
          <w:rPr>
            <w:color w:val="0563C1"/>
            <w:u w:color="0563C1"/>
          </w:rPr>
          <w:t>manuel</w:t>
        </w:r>
      </w:hyperlink>
      <w:hyperlink r:id="rId133">
        <w:r w:rsidR="00670E07">
          <w:rPr>
            <w:color w:val="0563C1"/>
            <w:u w:color="0563C1"/>
          </w:rPr>
          <w:t>-</w:t>
        </w:r>
      </w:hyperlink>
      <w:hyperlink r:id="rId134">
        <w:r w:rsidR="00670E07">
          <w:rPr>
            <w:color w:val="0563C1"/>
            <w:u w:color="0563C1"/>
          </w:rPr>
          <w:t>guerrero</w:t>
        </w:r>
      </w:hyperlink>
      <w:hyperlink r:id="rId135">
        <w:r w:rsidR="00670E07">
          <w:t xml:space="preserve"> </w:t>
        </w:r>
      </w:hyperlink>
      <w:r w:rsidR="00670E07">
        <w:t xml:space="preserve"> </w:t>
      </w:r>
    </w:p>
  </w:footnote>
  <w:footnote w:id="38">
    <w:p w14:paraId="39D40D5A" w14:textId="77777777" w:rsidR="00670E07" w:rsidRPr="00393EC0" w:rsidRDefault="00670E07" w:rsidP="00670E07">
      <w:pPr>
        <w:pStyle w:val="footnotedescription"/>
        <w:spacing w:line="252" w:lineRule="auto"/>
        <w:rPr>
          <w:rFonts w:ascii="Abadi" w:hAnsi="Abadi"/>
          <w:sz w:val="16"/>
          <w:szCs w:val="16"/>
        </w:rPr>
      </w:pPr>
      <w:r>
        <w:rPr>
          <w:rStyle w:val="footnotemark"/>
        </w:rPr>
        <w:footnoteRef/>
      </w:r>
      <w:r>
        <w:t xml:space="preserve"> </w:t>
      </w:r>
      <w:r w:rsidRPr="00393EC0">
        <w:rPr>
          <w:rFonts w:ascii="Abadi" w:hAnsi="Abadi"/>
          <w:sz w:val="16"/>
          <w:szCs w:val="16"/>
        </w:rPr>
        <w:t xml:space="preserve">En Michoacán se aprobó el decreto para expedir una nueva Ley de Movilidad y Seguridad Vial. Revisar: </w:t>
      </w:r>
      <w:hyperlink r:id="rId136">
        <w:r w:rsidRPr="00393EC0">
          <w:rPr>
            <w:rFonts w:ascii="Abadi" w:hAnsi="Abadi"/>
            <w:color w:val="0563C1"/>
            <w:sz w:val="16"/>
            <w:szCs w:val="16"/>
            <w:u w:color="0563C1"/>
          </w:rPr>
          <w:t>http://congresomich.gob.mx/aprueba</w:t>
        </w:r>
      </w:hyperlink>
      <w:hyperlink r:id="rId137">
        <w:r w:rsidRPr="00393EC0">
          <w:rPr>
            <w:rFonts w:ascii="Abadi" w:hAnsi="Abadi"/>
            <w:color w:val="0563C1"/>
            <w:sz w:val="16"/>
            <w:szCs w:val="16"/>
            <w:u w:color="0563C1"/>
          </w:rPr>
          <w:t>-</w:t>
        </w:r>
      </w:hyperlink>
      <w:hyperlink r:id="rId138">
        <w:r w:rsidRPr="00393EC0">
          <w:rPr>
            <w:rFonts w:ascii="Abadi" w:hAnsi="Abadi"/>
            <w:color w:val="0563C1"/>
            <w:sz w:val="16"/>
            <w:szCs w:val="16"/>
            <w:u w:color="0563C1"/>
          </w:rPr>
          <w:t>75</w:t>
        </w:r>
      </w:hyperlink>
      <w:hyperlink r:id="rId139">
        <w:r w:rsidRPr="00393EC0">
          <w:rPr>
            <w:rFonts w:ascii="Abadi" w:hAnsi="Abadi"/>
            <w:color w:val="0563C1"/>
            <w:sz w:val="16"/>
            <w:szCs w:val="16"/>
            <w:u w:color="0563C1"/>
          </w:rPr>
          <w:t>-</w:t>
        </w:r>
      </w:hyperlink>
      <w:hyperlink r:id="rId140">
        <w:r w:rsidRPr="00393EC0">
          <w:rPr>
            <w:rFonts w:ascii="Abadi" w:hAnsi="Abadi"/>
            <w:color w:val="0563C1"/>
            <w:sz w:val="16"/>
            <w:szCs w:val="16"/>
            <w:u w:color="0563C1"/>
          </w:rPr>
          <w:t>legislatura</w:t>
        </w:r>
      </w:hyperlink>
      <w:hyperlink r:id="rId141">
        <w:r w:rsidRPr="00393EC0">
          <w:rPr>
            <w:rFonts w:ascii="Abadi" w:hAnsi="Abadi"/>
            <w:color w:val="0563C1"/>
            <w:sz w:val="16"/>
            <w:szCs w:val="16"/>
            <w:u w:color="0563C1"/>
          </w:rPr>
          <w:t>-</w:t>
        </w:r>
      </w:hyperlink>
      <w:hyperlink r:id="rId142">
        <w:r w:rsidRPr="00393EC0">
          <w:rPr>
            <w:rFonts w:ascii="Abadi" w:hAnsi="Abadi"/>
            <w:color w:val="0563C1"/>
            <w:sz w:val="16"/>
            <w:szCs w:val="16"/>
            <w:u w:color="0563C1"/>
          </w:rPr>
          <w:t>ley</w:t>
        </w:r>
      </w:hyperlink>
      <w:hyperlink r:id="rId143">
        <w:r w:rsidRPr="00393EC0">
          <w:rPr>
            <w:rFonts w:ascii="Abadi" w:hAnsi="Abadi"/>
            <w:color w:val="0563C1"/>
            <w:sz w:val="16"/>
            <w:szCs w:val="16"/>
            <w:u w:color="0563C1"/>
          </w:rPr>
          <w:t>-</w:t>
        </w:r>
      </w:hyperlink>
      <w:hyperlink r:id="rId144">
        <w:r w:rsidRPr="00393EC0">
          <w:rPr>
            <w:rFonts w:ascii="Abadi" w:hAnsi="Abadi"/>
            <w:color w:val="0563C1"/>
            <w:sz w:val="16"/>
            <w:szCs w:val="16"/>
            <w:u w:color="0563C1"/>
          </w:rPr>
          <w:t>de</w:t>
        </w:r>
      </w:hyperlink>
      <w:hyperlink r:id="rId145">
        <w:r w:rsidRPr="00393EC0">
          <w:rPr>
            <w:rFonts w:ascii="Abadi" w:hAnsi="Abadi"/>
            <w:color w:val="0563C1"/>
            <w:sz w:val="16"/>
            <w:szCs w:val="16"/>
            <w:u w:color="0563C1"/>
          </w:rPr>
          <w:t>-</w:t>
        </w:r>
      </w:hyperlink>
      <w:hyperlink r:id="rId146">
        <w:r w:rsidRPr="00393EC0">
          <w:rPr>
            <w:rFonts w:ascii="Abadi" w:hAnsi="Abadi"/>
            <w:color w:val="0563C1"/>
            <w:sz w:val="16"/>
            <w:szCs w:val="16"/>
            <w:u w:color="0563C1"/>
          </w:rPr>
          <w:t>movilidad</w:t>
        </w:r>
      </w:hyperlink>
      <w:hyperlink r:id="rId147">
        <w:r w:rsidRPr="00393EC0">
          <w:rPr>
            <w:rFonts w:ascii="Abadi" w:hAnsi="Abadi"/>
            <w:color w:val="0563C1"/>
            <w:sz w:val="16"/>
            <w:szCs w:val="16"/>
            <w:u w:color="0563C1"/>
          </w:rPr>
          <w:t>-</w:t>
        </w:r>
      </w:hyperlink>
      <w:hyperlink r:id="rId148">
        <w:r w:rsidRPr="00393EC0">
          <w:rPr>
            <w:rFonts w:ascii="Abadi" w:hAnsi="Abadi"/>
            <w:color w:val="0563C1"/>
            <w:sz w:val="16"/>
            <w:szCs w:val="16"/>
            <w:u w:color="0563C1"/>
          </w:rPr>
          <w:t>y</w:t>
        </w:r>
      </w:hyperlink>
      <w:hyperlink r:id="rId149">
        <w:r w:rsidRPr="00393EC0">
          <w:rPr>
            <w:rFonts w:ascii="Abadi" w:hAnsi="Abadi"/>
            <w:color w:val="0563C1"/>
            <w:sz w:val="16"/>
            <w:szCs w:val="16"/>
            <w:u w:color="0563C1"/>
          </w:rPr>
          <w:t>-</w:t>
        </w:r>
      </w:hyperlink>
      <w:hyperlink r:id="rId150">
        <w:r w:rsidRPr="00393EC0">
          <w:rPr>
            <w:rFonts w:ascii="Abadi" w:hAnsi="Abadi"/>
            <w:color w:val="0563C1"/>
            <w:sz w:val="16"/>
            <w:szCs w:val="16"/>
            <w:u w:color="0563C1"/>
          </w:rPr>
          <w:t>seguridad</w:t>
        </w:r>
      </w:hyperlink>
      <w:hyperlink r:id="rId151">
        <w:r w:rsidRPr="00393EC0">
          <w:rPr>
            <w:rFonts w:ascii="Abadi" w:hAnsi="Abadi"/>
            <w:color w:val="0563C1"/>
            <w:sz w:val="16"/>
            <w:szCs w:val="16"/>
            <w:u w:color="0563C1"/>
          </w:rPr>
          <w:t>-</w:t>
        </w:r>
      </w:hyperlink>
      <w:hyperlink r:id="rId152">
        <w:r w:rsidRPr="00393EC0">
          <w:rPr>
            <w:rFonts w:ascii="Abadi" w:hAnsi="Abadi"/>
            <w:color w:val="0563C1"/>
            <w:sz w:val="16"/>
            <w:szCs w:val="16"/>
            <w:u w:color="0563C1"/>
          </w:rPr>
          <w:t>vial/</w:t>
        </w:r>
      </w:hyperlink>
      <w:hyperlink r:id="rId153">
        <w:r w:rsidRPr="00393EC0">
          <w:rPr>
            <w:rFonts w:ascii="Abadi" w:hAnsi="Abadi"/>
            <w:sz w:val="16"/>
            <w:szCs w:val="16"/>
          </w:rPr>
          <w:t xml:space="preserve"> </w:t>
        </w:r>
      </w:hyperlink>
      <w:r w:rsidRPr="00393EC0">
        <w:rPr>
          <w:rFonts w:ascii="Abadi" w:hAnsi="Abadi"/>
          <w:sz w:val="16"/>
          <w:szCs w:val="16"/>
        </w:rPr>
        <w:t xml:space="preserve"> </w:t>
      </w:r>
    </w:p>
  </w:footnote>
  <w:footnote w:id="39">
    <w:p w14:paraId="17110E43" w14:textId="77777777" w:rsidR="00670E07" w:rsidRPr="00393EC0" w:rsidRDefault="00670E07" w:rsidP="00670E07">
      <w:pPr>
        <w:pStyle w:val="footnotedescription"/>
        <w:spacing w:line="260" w:lineRule="auto"/>
        <w:rPr>
          <w:rFonts w:ascii="Abadi" w:hAnsi="Abadi"/>
          <w:sz w:val="16"/>
          <w:szCs w:val="16"/>
        </w:rPr>
      </w:pPr>
      <w:r>
        <w:rPr>
          <w:rStyle w:val="footnotemark"/>
        </w:rPr>
        <w:footnoteRef/>
      </w:r>
      <w:r>
        <w:t xml:space="preserve"> </w:t>
      </w:r>
      <w:r w:rsidRPr="00393EC0">
        <w:rPr>
          <w:rFonts w:ascii="Abadi" w:hAnsi="Abadi"/>
          <w:sz w:val="16"/>
          <w:szCs w:val="16"/>
        </w:rPr>
        <w:t xml:space="preserve">Coalición Movilidad Segura (2022). </w:t>
      </w:r>
      <w:r w:rsidRPr="00393EC0">
        <w:rPr>
          <w:rFonts w:ascii="Abadi" w:hAnsi="Abadi"/>
          <w:i/>
          <w:sz w:val="16"/>
          <w:szCs w:val="16"/>
        </w:rPr>
        <w:t xml:space="preserve">Código Abierto para Leyes Estatales de Movilidad y Seguridad Vial. Elementos para una elaboración </w:t>
      </w:r>
      <w:r w:rsidRPr="00393EC0">
        <w:rPr>
          <w:rFonts w:ascii="Abadi" w:hAnsi="Abadi"/>
          <w:i/>
          <w:sz w:val="16"/>
          <w:szCs w:val="16"/>
        </w:rPr>
        <w:tab/>
        <w:t>colaborativa,</w:t>
      </w:r>
      <w:r w:rsidRPr="00393EC0">
        <w:rPr>
          <w:rFonts w:ascii="Abadi" w:hAnsi="Abadi"/>
          <w:sz w:val="16"/>
          <w:szCs w:val="16"/>
        </w:rPr>
        <w:t xml:space="preserve"> </w:t>
      </w:r>
      <w:r w:rsidRPr="00393EC0">
        <w:rPr>
          <w:rFonts w:ascii="Abadi" w:hAnsi="Abadi"/>
          <w:sz w:val="16"/>
          <w:szCs w:val="16"/>
        </w:rPr>
        <w:tab/>
        <w:t xml:space="preserve">México, </w:t>
      </w:r>
      <w:r w:rsidRPr="00393EC0">
        <w:rPr>
          <w:rFonts w:ascii="Abadi" w:hAnsi="Abadi"/>
          <w:sz w:val="16"/>
          <w:szCs w:val="16"/>
        </w:rPr>
        <w:tab/>
        <w:t xml:space="preserve">octubre </w:t>
      </w:r>
      <w:r w:rsidRPr="00393EC0">
        <w:rPr>
          <w:rFonts w:ascii="Abadi" w:hAnsi="Abadi"/>
          <w:sz w:val="16"/>
          <w:szCs w:val="16"/>
        </w:rPr>
        <w:tab/>
        <w:t xml:space="preserve">2022. </w:t>
      </w:r>
      <w:r w:rsidRPr="00393EC0">
        <w:rPr>
          <w:rFonts w:ascii="Abadi" w:hAnsi="Abadi"/>
          <w:sz w:val="16"/>
          <w:szCs w:val="16"/>
        </w:rPr>
        <w:tab/>
        <w:t xml:space="preserve">Disponible </w:t>
      </w:r>
      <w:r w:rsidRPr="00393EC0">
        <w:rPr>
          <w:rFonts w:ascii="Abadi" w:hAnsi="Abadi"/>
          <w:sz w:val="16"/>
          <w:szCs w:val="16"/>
        </w:rPr>
        <w:tab/>
        <w:t xml:space="preserve">en: </w:t>
      </w:r>
      <w:r w:rsidRPr="00393EC0">
        <w:rPr>
          <w:rFonts w:ascii="Abadi" w:hAnsi="Abadi"/>
          <w:sz w:val="16"/>
          <w:szCs w:val="16"/>
        </w:rPr>
        <w:tab/>
      </w:r>
      <w:hyperlink r:id="rId154">
        <w:r w:rsidRPr="00393EC0">
          <w:rPr>
            <w:rFonts w:ascii="Abadi" w:hAnsi="Abadi"/>
            <w:color w:val="0563C1"/>
            <w:sz w:val="16"/>
            <w:szCs w:val="16"/>
            <w:u w:color="0563C1"/>
          </w:rPr>
          <w:t>https://coalicionmovilidadsegura.mx/wp</w:t>
        </w:r>
      </w:hyperlink>
      <w:hyperlink r:id="rId155"/>
      <w:hyperlink r:id="rId156">
        <w:r w:rsidRPr="00393EC0">
          <w:rPr>
            <w:rFonts w:ascii="Abadi" w:hAnsi="Abadi"/>
            <w:color w:val="0563C1"/>
            <w:sz w:val="16"/>
            <w:szCs w:val="16"/>
            <w:u w:color="0563C1"/>
          </w:rPr>
          <w:t>content/uploads/2022/10/Codigo_abierto_Leyes_Movilidad_y</w:t>
        </w:r>
      </w:hyperlink>
      <w:hyperlink r:id="rId157">
        <w:r w:rsidRPr="00393EC0">
          <w:rPr>
            <w:rFonts w:ascii="Abadi" w:hAnsi="Abadi"/>
            <w:color w:val="0563C1"/>
            <w:sz w:val="16"/>
            <w:szCs w:val="16"/>
            <w:u w:color="0563C1"/>
          </w:rPr>
          <w:t>-</w:t>
        </w:r>
      </w:hyperlink>
      <w:hyperlink r:id="rId158">
        <w:r w:rsidRPr="00393EC0">
          <w:rPr>
            <w:rFonts w:ascii="Abadi" w:hAnsi="Abadi"/>
            <w:color w:val="0563C1"/>
            <w:sz w:val="16"/>
            <w:szCs w:val="16"/>
            <w:u w:color="0563C1"/>
          </w:rPr>
          <w:t>_Seguridad</w:t>
        </w:r>
      </w:hyperlink>
      <w:hyperlink r:id="rId159">
        <w:r w:rsidRPr="00393EC0">
          <w:rPr>
            <w:rFonts w:ascii="Abadi" w:hAnsi="Abadi"/>
            <w:color w:val="0563C1"/>
            <w:sz w:val="16"/>
            <w:szCs w:val="16"/>
            <w:u w:color="0563C1"/>
          </w:rPr>
          <w:t>-</w:t>
        </w:r>
      </w:hyperlink>
      <w:hyperlink r:id="rId160">
        <w:r w:rsidRPr="00393EC0">
          <w:rPr>
            <w:rFonts w:ascii="Abadi" w:hAnsi="Abadi"/>
            <w:color w:val="0563C1"/>
            <w:sz w:val="16"/>
            <w:szCs w:val="16"/>
            <w:u w:color="0563C1"/>
          </w:rPr>
          <w:t>_vial_V1.0_Oct_2022.pdf</w:t>
        </w:r>
      </w:hyperlink>
      <w:hyperlink r:id="rId161">
        <w:r w:rsidRPr="00393EC0">
          <w:rPr>
            <w:rFonts w:ascii="Abadi" w:hAnsi="Abadi"/>
            <w:sz w:val="16"/>
            <w:szCs w:val="16"/>
          </w:rPr>
          <w:t xml:space="preserve"> </w:t>
        </w:r>
      </w:hyperlink>
      <w:r w:rsidRPr="00393EC0">
        <w:rPr>
          <w:rFonts w:ascii="Abadi" w:hAnsi="Abadi"/>
          <w:sz w:val="16"/>
          <w:szCs w:val="16"/>
        </w:rPr>
        <w:t xml:space="preserve"> </w:t>
      </w:r>
    </w:p>
  </w:footnote>
  <w:footnote w:id="40">
    <w:p w14:paraId="045CEEA5" w14:textId="77777777" w:rsidR="00670E07" w:rsidRPr="00393EC0" w:rsidRDefault="00670E07" w:rsidP="00670E07">
      <w:pPr>
        <w:pStyle w:val="footnotedescription"/>
        <w:spacing w:line="248" w:lineRule="auto"/>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Grupo </w:t>
      </w:r>
      <w:r w:rsidRPr="00393EC0">
        <w:rPr>
          <w:rFonts w:ascii="Abadi" w:hAnsi="Abadi"/>
          <w:sz w:val="16"/>
          <w:szCs w:val="16"/>
        </w:rPr>
        <w:tab/>
        <w:t xml:space="preserve">Parlamentario </w:t>
      </w:r>
      <w:r w:rsidRPr="00393EC0">
        <w:rPr>
          <w:rFonts w:ascii="Abadi" w:hAnsi="Abadi"/>
          <w:sz w:val="16"/>
          <w:szCs w:val="16"/>
        </w:rPr>
        <w:tab/>
        <w:t xml:space="preserve">del </w:t>
      </w:r>
      <w:r w:rsidRPr="00393EC0">
        <w:rPr>
          <w:rFonts w:ascii="Abadi" w:hAnsi="Abadi"/>
          <w:sz w:val="16"/>
          <w:szCs w:val="16"/>
        </w:rPr>
        <w:tab/>
        <w:t xml:space="preserve">Partido </w:t>
      </w:r>
      <w:r w:rsidRPr="00393EC0">
        <w:rPr>
          <w:rFonts w:ascii="Abadi" w:hAnsi="Abadi"/>
          <w:sz w:val="16"/>
          <w:szCs w:val="16"/>
        </w:rPr>
        <w:tab/>
        <w:t xml:space="preserve">Acción </w:t>
      </w:r>
      <w:r w:rsidRPr="00393EC0">
        <w:rPr>
          <w:rFonts w:ascii="Abadi" w:hAnsi="Abadi"/>
          <w:sz w:val="16"/>
          <w:szCs w:val="16"/>
        </w:rPr>
        <w:tab/>
        <w:t xml:space="preserve">Nacional </w:t>
      </w:r>
      <w:r w:rsidRPr="00393EC0">
        <w:rPr>
          <w:rFonts w:ascii="Abadi" w:hAnsi="Abadi"/>
          <w:sz w:val="16"/>
          <w:szCs w:val="16"/>
        </w:rPr>
        <w:tab/>
        <w:t xml:space="preserve">(2023). </w:t>
      </w:r>
      <w:r w:rsidRPr="00393EC0">
        <w:rPr>
          <w:rFonts w:ascii="Abadi" w:hAnsi="Abadi"/>
          <w:sz w:val="16"/>
          <w:szCs w:val="16"/>
        </w:rPr>
        <w:tab/>
      </w:r>
      <w:r w:rsidRPr="00393EC0">
        <w:rPr>
          <w:rFonts w:ascii="Abadi" w:hAnsi="Abadi"/>
          <w:i/>
          <w:sz w:val="16"/>
          <w:szCs w:val="16"/>
        </w:rPr>
        <w:t xml:space="preserve">Iniciativa </w:t>
      </w:r>
      <w:r w:rsidRPr="00393EC0">
        <w:rPr>
          <w:rFonts w:ascii="Abadi" w:hAnsi="Abadi"/>
          <w:i/>
          <w:sz w:val="16"/>
          <w:szCs w:val="16"/>
        </w:rPr>
        <w:tab/>
        <w:t>509/LXV-I</w:t>
      </w:r>
      <w:r w:rsidRPr="00393EC0">
        <w:rPr>
          <w:rFonts w:ascii="Abadi" w:hAnsi="Abadi"/>
          <w:sz w:val="16"/>
          <w:szCs w:val="16"/>
        </w:rPr>
        <w:t xml:space="preserve">. </w:t>
      </w:r>
      <w:r w:rsidRPr="00393EC0">
        <w:rPr>
          <w:rFonts w:ascii="Abadi" w:hAnsi="Abadi"/>
          <w:sz w:val="16"/>
          <w:szCs w:val="16"/>
        </w:rPr>
        <w:tab/>
        <w:t xml:space="preserve">Disponible </w:t>
      </w:r>
      <w:r w:rsidRPr="00393EC0">
        <w:rPr>
          <w:rFonts w:ascii="Abadi" w:hAnsi="Abadi"/>
          <w:sz w:val="16"/>
          <w:szCs w:val="16"/>
        </w:rPr>
        <w:tab/>
        <w:t xml:space="preserve">en: </w:t>
      </w:r>
      <w:hyperlink r:id="rId162">
        <w:r w:rsidRPr="00393EC0">
          <w:rPr>
            <w:rFonts w:ascii="Abadi" w:hAnsi="Abadi"/>
            <w:color w:val="0563C1"/>
            <w:sz w:val="16"/>
            <w:szCs w:val="16"/>
            <w:u w:color="0563C1"/>
          </w:rPr>
          <w:t>https://www.congresogto.gob.mx/expedientes_legislativos_digitales/iniciativas/5886</w:t>
        </w:r>
      </w:hyperlink>
      <w:hyperlink r:id="rId163">
        <w:r w:rsidRPr="00393EC0">
          <w:rPr>
            <w:rFonts w:ascii="Abadi" w:hAnsi="Abadi"/>
            <w:sz w:val="16"/>
            <w:szCs w:val="16"/>
          </w:rPr>
          <w:t xml:space="preserve"> </w:t>
        </w:r>
      </w:hyperlink>
      <w:r w:rsidRPr="00393EC0">
        <w:rPr>
          <w:rFonts w:ascii="Abadi" w:hAnsi="Abadi"/>
          <w:sz w:val="16"/>
          <w:szCs w:val="16"/>
        </w:rPr>
        <w:t xml:space="preserve"> </w:t>
      </w:r>
    </w:p>
  </w:footnote>
  <w:footnote w:id="41">
    <w:p w14:paraId="7C3BDC4C" w14:textId="77777777" w:rsidR="00670E07" w:rsidRDefault="00670E07" w:rsidP="00670E07">
      <w:pPr>
        <w:pStyle w:val="footnotedescription"/>
        <w:spacing w:line="256" w:lineRule="auto"/>
      </w:pPr>
      <w:r w:rsidRPr="00393EC0">
        <w:rPr>
          <w:rStyle w:val="footnotemark"/>
          <w:rFonts w:ascii="Abadi" w:hAnsi="Abadi"/>
          <w:sz w:val="16"/>
          <w:szCs w:val="16"/>
        </w:rPr>
        <w:footnoteRef/>
      </w:r>
      <w:r w:rsidRPr="00393EC0">
        <w:rPr>
          <w:rFonts w:ascii="Abadi" w:hAnsi="Abadi"/>
          <w:sz w:val="16"/>
          <w:szCs w:val="16"/>
        </w:rPr>
        <w:t xml:space="preserve"> Comisión Económica para América Latina y el Caribe (CEPAL, 2019). </w:t>
      </w:r>
      <w:r w:rsidRPr="00393EC0">
        <w:rPr>
          <w:rFonts w:ascii="Abadi" w:hAnsi="Abadi"/>
          <w:i/>
          <w:sz w:val="16"/>
          <w:szCs w:val="16"/>
        </w:rPr>
        <w:t>La autonomía de las mujeres en escenarios económicos cambiantes</w:t>
      </w:r>
      <w:r w:rsidRPr="00393EC0">
        <w:rPr>
          <w:rFonts w:ascii="Abadi" w:hAnsi="Abadi"/>
          <w:sz w:val="16"/>
          <w:szCs w:val="16"/>
        </w:rPr>
        <w:t xml:space="preserve"> </w:t>
      </w:r>
      <w:r w:rsidRPr="00393EC0">
        <w:rPr>
          <w:rFonts w:ascii="Abadi" w:hAnsi="Abadi"/>
          <w:sz w:val="16"/>
          <w:szCs w:val="16"/>
        </w:rPr>
        <w:tab/>
        <w:t xml:space="preserve">(LC/CRM.14/3). </w:t>
      </w:r>
      <w:r w:rsidRPr="00393EC0">
        <w:rPr>
          <w:rFonts w:ascii="Abadi" w:hAnsi="Abadi"/>
          <w:sz w:val="16"/>
          <w:szCs w:val="16"/>
        </w:rPr>
        <w:tab/>
        <w:t xml:space="preserve">Santiago </w:t>
      </w:r>
      <w:r w:rsidRPr="00393EC0">
        <w:rPr>
          <w:rFonts w:ascii="Abadi" w:hAnsi="Abadi"/>
          <w:sz w:val="16"/>
          <w:szCs w:val="16"/>
        </w:rPr>
        <w:tab/>
        <w:t xml:space="preserve">de </w:t>
      </w:r>
      <w:r w:rsidRPr="00393EC0">
        <w:rPr>
          <w:rFonts w:ascii="Abadi" w:hAnsi="Abadi"/>
          <w:sz w:val="16"/>
          <w:szCs w:val="16"/>
        </w:rPr>
        <w:tab/>
        <w:t xml:space="preserve">Chile. </w:t>
      </w:r>
      <w:r w:rsidRPr="00393EC0">
        <w:rPr>
          <w:rFonts w:ascii="Abadi" w:hAnsi="Abadi"/>
          <w:sz w:val="16"/>
          <w:szCs w:val="16"/>
        </w:rPr>
        <w:tab/>
        <w:t xml:space="preserve">Disponible </w:t>
      </w:r>
      <w:r w:rsidRPr="00393EC0">
        <w:rPr>
          <w:rFonts w:ascii="Abadi" w:hAnsi="Abadi"/>
          <w:sz w:val="16"/>
          <w:szCs w:val="16"/>
        </w:rPr>
        <w:tab/>
        <w:t xml:space="preserve">para </w:t>
      </w:r>
      <w:r w:rsidRPr="00393EC0">
        <w:rPr>
          <w:rFonts w:ascii="Abadi" w:hAnsi="Abadi"/>
          <w:sz w:val="16"/>
          <w:szCs w:val="16"/>
        </w:rPr>
        <w:tab/>
        <w:t xml:space="preserve">su </w:t>
      </w:r>
      <w:r w:rsidRPr="00393EC0">
        <w:rPr>
          <w:rFonts w:ascii="Abadi" w:hAnsi="Abadi"/>
          <w:sz w:val="16"/>
          <w:szCs w:val="16"/>
        </w:rPr>
        <w:tab/>
        <w:t xml:space="preserve">consulta </w:t>
      </w:r>
      <w:r w:rsidRPr="00393EC0">
        <w:rPr>
          <w:rFonts w:ascii="Abadi" w:hAnsi="Abadi"/>
          <w:sz w:val="16"/>
          <w:szCs w:val="16"/>
        </w:rPr>
        <w:tab/>
        <w:t xml:space="preserve">en: </w:t>
      </w:r>
      <w:hyperlink r:id="rId164">
        <w:r w:rsidRPr="00393EC0">
          <w:rPr>
            <w:rFonts w:ascii="Abadi" w:hAnsi="Abadi"/>
            <w:color w:val="0563C1"/>
            <w:sz w:val="16"/>
            <w:szCs w:val="16"/>
            <w:u w:color="0563C1"/>
          </w:rPr>
          <w:t>https://repositorio.cepal.org/bitstream/handle/11362/45032/4/S1900723_es.pdf</w:t>
        </w:r>
      </w:hyperlink>
      <w:hyperlink r:id="rId165">
        <w:r w:rsidRPr="00393EC0">
          <w:rPr>
            <w:rFonts w:ascii="Abadi" w:hAnsi="Abadi"/>
            <w:sz w:val="16"/>
            <w:szCs w:val="16"/>
          </w:rPr>
          <w:t xml:space="preserve"> </w:t>
        </w:r>
      </w:hyperlink>
      <w:r w:rsidRPr="00393EC0">
        <w:rPr>
          <w:rFonts w:ascii="Abadi" w:hAnsi="Abadi"/>
          <w:sz w:val="16"/>
          <w:szCs w:val="16"/>
        </w:rPr>
        <w:t xml:space="preserve"> </w:t>
      </w:r>
    </w:p>
  </w:footnote>
  <w:footnote w:id="42">
    <w:p w14:paraId="1F7F3DD5" w14:textId="77777777" w:rsidR="00670E07" w:rsidRPr="00393EC0" w:rsidRDefault="00670E07" w:rsidP="00670E07">
      <w:pPr>
        <w:pStyle w:val="footnotedescription"/>
        <w:jc w:val="both"/>
        <w:rPr>
          <w:rFonts w:ascii="Abadi" w:hAnsi="Abadi"/>
          <w:sz w:val="16"/>
          <w:szCs w:val="16"/>
        </w:rPr>
      </w:pPr>
      <w:r>
        <w:rPr>
          <w:rStyle w:val="footnotemark"/>
        </w:rPr>
        <w:footnoteRef/>
      </w:r>
      <w:r>
        <w:t xml:space="preserve"> </w:t>
      </w:r>
      <w:r w:rsidRPr="00393EC0">
        <w:rPr>
          <w:rFonts w:ascii="Abadi" w:hAnsi="Abadi"/>
          <w:sz w:val="16"/>
          <w:szCs w:val="16"/>
        </w:rPr>
        <w:t xml:space="preserve">Banco de Desarrollo de América Latina, CAF (2020). </w:t>
      </w:r>
      <w:r w:rsidRPr="00393EC0">
        <w:rPr>
          <w:rFonts w:ascii="Abadi" w:hAnsi="Abadi"/>
          <w:i/>
          <w:sz w:val="16"/>
          <w:szCs w:val="16"/>
        </w:rPr>
        <w:t>Movilidad Cotidiana con Perspectiva de Género: Guía metodológica para la planificación y el diseño del sistema de movilidad y transporte</w:t>
      </w:r>
      <w:r w:rsidRPr="00393EC0">
        <w:rPr>
          <w:rFonts w:ascii="Abadi" w:hAnsi="Abadi"/>
          <w:sz w:val="16"/>
          <w:szCs w:val="16"/>
        </w:rPr>
        <w:t xml:space="preserve">. Buenos Aires, Argentina.  </w:t>
      </w:r>
    </w:p>
  </w:footnote>
  <w:footnote w:id="43">
    <w:p w14:paraId="6F73CF58" w14:textId="77777777" w:rsidR="00670E07" w:rsidRPr="00393EC0" w:rsidRDefault="00670E07" w:rsidP="00670E07">
      <w:pPr>
        <w:pStyle w:val="footnotedescription"/>
        <w:spacing w:line="246" w:lineRule="auto"/>
        <w:ind w:right="63"/>
        <w:jc w:val="both"/>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Palacios, Angie (2018). </w:t>
      </w:r>
      <w:r w:rsidRPr="00393EC0">
        <w:rPr>
          <w:rFonts w:ascii="Abadi" w:hAnsi="Abadi"/>
          <w:i/>
          <w:sz w:val="16"/>
          <w:szCs w:val="16"/>
        </w:rPr>
        <w:t xml:space="preserve">Oportunidades y desafíos para la movilidad urbana sostenible en América Latina y el Caribe ¿Dónde estamos y cómo </w:t>
      </w:r>
      <w:proofErr w:type="gramStart"/>
      <w:r w:rsidRPr="00393EC0">
        <w:rPr>
          <w:rFonts w:ascii="Abadi" w:hAnsi="Abadi"/>
          <w:i/>
          <w:sz w:val="16"/>
          <w:szCs w:val="16"/>
        </w:rPr>
        <w:t>avanzamos?</w:t>
      </w:r>
      <w:r w:rsidRPr="00393EC0">
        <w:rPr>
          <w:rFonts w:ascii="Abadi" w:hAnsi="Abadi"/>
          <w:sz w:val="16"/>
          <w:szCs w:val="16"/>
        </w:rPr>
        <w:t>.</w:t>
      </w:r>
      <w:proofErr w:type="gramEnd"/>
      <w:r w:rsidRPr="00393EC0">
        <w:rPr>
          <w:rFonts w:ascii="Abadi" w:hAnsi="Abadi"/>
          <w:sz w:val="16"/>
          <w:szCs w:val="16"/>
        </w:rPr>
        <w:t xml:space="preserve"> Presentación realizada en la Segunda Conferencia de las Ciudades: Hacia una Movilidad Segura, Asequible y Sostenible en América Latina y el Caribe. Santiago de Chile.  </w:t>
      </w:r>
    </w:p>
  </w:footnote>
  <w:footnote w:id="44">
    <w:p w14:paraId="48E6614C" w14:textId="77777777" w:rsidR="00670E07" w:rsidRPr="00393EC0" w:rsidRDefault="00670E07" w:rsidP="00670E07">
      <w:pPr>
        <w:pStyle w:val="footnotedescription"/>
        <w:spacing w:line="259" w:lineRule="auto"/>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w:t>
      </w:r>
      <w:r w:rsidRPr="00393EC0">
        <w:rPr>
          <w:rFonts w:ascii="Abadi" w:hAnsi="Abadi"/>
          <w:i/>
          <w:sz w:val="16"/>
          <w:szCs w:val="16"/>
        </w:rPr>
        <w:t>Ibidem</w:t>
      </w:r>
      <w:r w:rsidRPr="00393EC0">
        <w:rPr>
          <w:rFonts w:ascii="Abadi" w:hAnsi="Abadi"/>
          <w:sz w:val="16"/>
          <w:szCs w:val="16"/>
        </w:rPr>
        <w:t xml:space="preserve">, Banco de Desarrollo de América Latina, CAF (2020), pág. 19. </w:t>
      </w:r>
    </w:p>
  </w:footnote>
  <w:footnote w:id="45">
    <w:p w14:paraId="492F840A" w14:textId="77777777" w:rsidR="00670E07" w:rsidRPr="00393EC0" w:rsidRDefault="00670E07" w:rsidP="00670E07">
      <w:pPr>
        <w:pStyle w:val="footnotedescription"/>
        <w:spacing w:line="244" w:lineRule="auto"/>
        <w:ind w:right="56"/>
        <w:jc w:val="both"/>
        <w:rPr>
          <w:rFonts w:ascii="Abadi" w:hAnsi="Abadi"/>
          <w:sz w:val="16"/>
          <w:szCs w:val="16"/>
        </w:rPr>
      </w:pPr>
      <w:r>
        <w:rPr>
          <w:rStyle w:val="footnotemark"/>
        </w:rPr>
        <w:footnoteRef/>
      </w:r>
      <w:r>
        <w:t xml:space="preserve"> </w:t>
      </w:r>
      <w:r w:rsidRPr="00393EC0">
        <w:rPr>
          <w:rFonts w:ascii="Abadi" w:hAnsi="Abadi"/>
          <w:sz w:val="16"/>
          <w:szCs w:val="16"/>
        </w:rPr>
        <w:t xml:space="preserve">Allen, Helen., Cárdenas, G., Pereyra, L., </w:t>
      </w:r>
      <w:proofErr w:type="spellStart"/>
      <w:r w:rsidRPr="00393EC0">
        <w:rPr>
          <w:rFonts w:ascii="Abadi" w:hAnsi="Abadi"/>
          <w:sz w:val="16"/>
          <w:szCs w:val="16"/>
        </w:rPr>
        <w:t>Sagaris</w:t>
      </w:r>
      <w:proofErr w:type="spellEnd"/>
      <w:r w:rsidRPr="00393EC0">
        <w:rPr>
          <w:rFonts w:ascii="Abadi" w:hAnsi="Abadi"/>
          <w:sz w:val="16"/>
          <w:szCs w:val="16"/>
        </w:rPr>
        <w:t xml:space="preserve">, L. (2018). </w:t>
      </w:r>
      <w:r w:rsidRPr="00393EC0">
        <w:rPr>
          <w:rFonts w:ascii="Abadi" w:hAnsi="Abadi"/>
          <w:i/>
          <w:sz w:val="16"/>
          <w:szCs w:val="16"/>
        </w:rPr>
        <w:t>Ella se mueve segura (ESMS) – Un estudio sobre la seguridad personal de las mujeres y el transporte público en tres ciudades de América Latina</w:t>
      </w:r>
      <w:r w:rsidRPr="00393EC0">
        <w:rPr>
          <w:rFonts w:ascii="Abadi" w:hAnsi="Abadi"/>
          <w:sz w:val="16"/>
          <w:szCs w:val="16"/>
        </w:rPr>
        <w:t xml:space="preserve">. Caracas: CAF and FIA </w:t>
      </w:r>
      <w:proofErr w:type="spellStart"/>
      <w:r w:rsidRPr="00393EC0">
        <w:rPr>
          <w:rFonts w:ascii="Abadi" w:hAnsi="Abadi"/>
          <w:sz w:val="16"/>
          <w:szCs w:val="16"/>
        </w:rPr>
        <w:t>Foundation</w:t>
      </w:r>
      <w:proofErr w:type="spellEnd"/>
      <w:r w:rsidRPr="00393EC0">
        <w:rPr>
          <w:rFonts w:ascii="Abadi" w:hAnsi="Abadi"/>
          <w:sz w:val="16"/>
          <w:szCs w:val="16"/>
        </w:rPr>
        <w:t xml:space="preserve">. </w:t>
      </w:r>
      <w:proofErr w:type="spellStart"/>
      <w:r w:rsidRPr="00393EC0">
        <w:rPr>
          <w:rFonts w:ascii="Abadi" w:hAnsi="Abadi"/>
          <w:sz w:val="16"/>
          <w:szCs w:val="16"/>
        </w:rPr>
        <w:t>Retrieved</w:t>
      </w:r>
      <w:proofErr w:type="spellEnd"/>
      <w:r w:rsidRPr="00393EC0">
        <w:rPr>
          <w:rFonts w:ascii="Abadi" w:hAnsi="Abadi"/>
          <w:sz w:val="16"/>
          <w:szCs w:val="16"/>
        </w:rPr>
        <w:t xml:space="preserve"> </w:t>
      </w:r>
      <w:proofErr w:type="spellStart"/>
      <w:r w:rsidRPr="00393EC0">
        <w:rPr>
          <w:rFonts w:ascii="Abadi" w:hAnsi="Abadi"/>
          <w:sz w:val="16"/>
          <w:szCs w:val="16"/>
        </w:rPr>
        <w:t>from</w:t>
      </w:r>
      <w:proofErr w:type="spellEnd"/>
      <w:r w:rsidRPr="00393EC0">
        <w:rPr>
          <w:rFonts w:ascii="Abadi" w:hAnsi="Abadi"/>
          <w:sz w:val="16"/>
          <w:szCs w:val="16"/>
        </w:rPr>
        <w:t xml:space="preserve"> </w:t>
      </w:r>
      <w:hyperlink r:id="rId166">
        <w:r w:rsidRPr="00393EC0">
          <w:rPr>
            <w:rFonts w:ascii="Abadi" w:hAnsi="Abadi"/>
            <w:color w:val="0563C1"/>
            <w:sz w:val="16"/>
            <w:szCs w:val="16"/>
            <w:u w:color="0563C1"/>
          </w:rPr>
          <w:t>http://scioteca.caf.com/handle/123456789/1405</w:t>
        </w:r>
      </w:hyperlink>
      <w:hyperlink r:id="rId167">
        <w:r w:rsidRPr="00393EC0">
          <w:rPr>
            <w:rFonts w:ascii="Abadi" w:hAnsi="Abadi"/>
            <w:sz w:val="16"/>
            <w:szCs w:val="16"/>
          </w:rPr>
          <w:t xml:space="preserve"> </w:t>
        </w:r>
      </w:hyperlink>
      <w:r w:rsidRPr="00393EC0">
        <w:rPr>
          <w:rFonts w:ascii="Abadi" w:hAnsi="Abadi"/>
          <w:sz w:val="16"/>
          <w:szCs w:val="16"/>
        </w:rPr>
        <w:t xml:space="preserve"> </w:t>
      </w:r>
    </w:p>
  </w:footnote>
  <w:footnote w:id="46">
    <w:p w14:paraId="3EE94EE5" w14:textId="77777777" w:rsidR="00670E07" w:rsidRPr="00393EC0" w:rsidRDefault="00670E07" w:rsidP="00670E07">
      <w:pPr>
        <w:pStyle w:val="footnotedescription"/>
        <w:spacing w:line="260" w:lineRule="auto"/>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IMUG. (2022). Acoso callejero a mujeres en el estado de Guanajuato. Gobierno del Estado de Guanajuato. Consultar en: </w:t>
      </w:r>
      <w:hyperlink r:id="rId168">
        <w:r w:rsidRPr="00393EC0">
          <w:rPr>
            <w:rFonts w:ascii="Abadi" w:hAnsi="Abadi"/>
            <w:color w:val="0563C1"/>
            <w:sz w:val="16"/>
            <w:szCs w:val="16"/>
            <w:u w:color="0563C1"/>
          </w:rPr>
          <w:t>https://imug.guanajuato.gob.mx/wp</w:t>
        </w:r>
      </w:hyperlink>
      <w:hyperlink r:id="rId169">
        <w:r w:rsidRPr="00393EC0">
          <w:rPr>
            <w:rFonts w:ascii="Abadi" w:hAnsi="Abadi"/>
            <w:color w:val="0563C1"/>
            <w:sz w:val="16"/>
            <w:szCs w:val="16"/>
            <w:u w:color="0563C1"/>
          </w:rPr>
          <w:t>-</w:t>
        </w:r>
      </w:hyperlink>
      <w:hyperlink r:id="rId170">
        <w:r w:rsidRPr="00393EC0">
          <w:rPr>
            <w:rFonts w:ascii="Abadi" w:hAnsi="Abadi"/>
            <w:color w:val="0563C1"/>
            <w:sz w:val="16"/>
            <w:szCs w:val="16"/>
            <w:u w:color="0563C1"/>
          </w:rPr>
          <w:t>content/uploads/2022/09/Acoso</w:t>
        </w:r>
      </w:hyperlink>
      <w:hyperlink r:id="rId171">
        <w:r w:rsidRPr="00393EC0">
          <w:rPr>
            <w:rFonts w:ascii="Abadi" w:hAnsi="Abadi"/>
            <w:color w:val="0563C1"/>
            <w:sz w:val="16"/>
            <w:szCs w:val="16"/>
            <w:u w:color="0563C1"/>
          </w:rPr>
          <w:t>-</w:t>
        </w:r>
      </w:hyperlink>
      <w:hyperlink r:id="rId172">
        <w:r w:rsidRPr="00393EC0">
          <w:rPr>
            <w:rFonts w:ascii="Abadi" w:hAnsi="Abadi"/>
            <w:color w:val="0563C1"/>
            <w:sz w:val="16"/>
            <w:szCs w:val="16"/>
            <w:u w:color="0563C1"/>
          </w:rPr>
          <w:t>callejero</w:t>
        </w:r>
      </w:hyperlink>
      <w:hyperlink r:id="rId173">
        <w:r w:rsidRPr="00393EC0">
          <w:rPr>
            <w:rFonts w:ascii="Abadi" w:hAnsi="Abadi"/>
            <w:color w:val="0563C1"/>
            <w:sz w:val="16"/>
            <w:szCs w:val="16"/>
            <w:u w:color="0563C1"/>
          </w:rPr>
          <w:t>-</w:t>
        </w:r>
      </w:hyperlink>
      <w:hyperlink r:id="rId174">
        <w:r w:rsidRPr="00393EC0">
          <w:rPr>
            <w:rFonts w:ascii="Abadi" w:hAnsi="Abadi"/>
            <w:color w:val="0563C1"/>
            <w:sz w:val="16"/>
            <w:szCs w:val="16"/>
            <w:u w:color="0563C1"/>
          </w:rPr>
          <w:t>a</w:t>
        </w:r>
      </w:hyperlink>
      <w:hyperlink r:id="rId175">
        <w:r w:rsidRPr="00393EC0">
          <w:rPr>
            <w:rFonts w:ascii="Abadi" w:hAnsi="Abadi"/>
            <w:color w:val="0563C1"/>
            <w:sz w:val="16"/>
            <w:szCs w:val="16"/>
            <w:u w:color="0563C1"/>
          </w:rPr>
          <w:t>-</w:t>
        </w:r>
      </w:hyperlink>
      <w:hyperlink r:id="rId176">
        <w:r w:rsidRPr="00393EC0">
          <w:rPr>
            <w:rFonts w:ascii="Abadi" w:hAnsi="Abadi"/>
            <w:color w:val="0563C1"/>
            <w:sz w:val="16"/>
            <w:szCs w:val="16"/>
            <w:u w:color="0563C1"/>
          </w:rPr>
          <w:t>mujeres</w:t>
        </w:r>
      </w:hyperlink>
      <w:hyperlink r:id="rId177">
        <w:r w:rsidRPr="00393EC0">
          <w:rPr>
            <w:rFonts w:ascii="Abadi" w:hAnsi="Abadi"/>
            <w:color w:val="0563C1"/>
            <w:sz w:val="16"/>
            <w:szCs w:val="16"/>
            <w:u w:color="0563C1"/>
          </w:rPr>
          <w:t>-</w:t>
        </w:r>
      </w:hyperlink>
      <w:hyperlink r:id="rId178">
        <w:r w:rsidRPr="00393EC0">
          <w:rPr>
            <w:rFonts w:ascii="Abadi" w:hAnsi="Abadi"/>
            <w:color w:val="0563C1"/>
            <w:sz w:val="16"/>
            <w:szCs w:val="16"/>
            <w:u w:color="0563C1"/>
          </w:rPr>
          <w:t>en</w:t>
        </w:r>
      </w:hyperlink>
      <w:hyperlink r:id="rId179">
        <w:r w:rsidRPr="00393EC0">
          <w:rPr>
            <w:rFonts w:ascii="Abadi" w:hAnsi="Abadi"/>
            <w:color w:val="0563C1"/>
            <w:sz w:val="16"/>
            <w:szCs w:val="16"/>
            <w:u w:color="0563C1"/>
          </w:rPr>
          <w:t>-</w:t>
        </w:r>
      </w:hyperlink>
      <w:hyperlink r:id="rId180">
        <w:r w:rsidRPr="00393EC0">
          <w:rPr>
            <w:rFonts w:ascii="Abadi" w:hAnsi="Abadi"/>
            <w:color w:val="0563C1"/>
            <w:sz w:val="16"/>
            <w:szCs w:val="16"/>
            <w:u w:color="0563C1"/>
          </w:rPr>
          <w:t>el</w:t>
        </w:r>
      </w:hyperlink>
      <w:hyperlink r:id="rId181">
        <w:r w:rsidRPr="00393EC0">
          <w:rPr>
            <w:rFonts w:ascii="Abadi" w:hAnsi="Abadi"/>
            <w:color w:val="0563C1"/>
            <w:sz w:val="16"/>
            <w:szCs w:val="16"/>
            <w:u w:color="0563C1"/>
          </w:rPr>
          <w:t>-</w:t>
        </w:r>
      </w:hyperlink>
      <w:hyperlink r:id="rId182">
        <w:r w:rsidRPr="00393EC0">
          <w:rPr>
            <w:rFonts w:ascii="Abadi" w:hAnsi="Abadi"/>
            <w:color w:val="0563C1"/>
            <w:sz w:val="16"/>
            <w:szCs w:val="16"/>
            <w:u w:color="0563C1"/>
          </w:rPr>
          <w:t>estado</w:t>
        </w:r>
      </w:hyperlink>
      <w:hyperlink r:id="rId183">
        <w:r w:rsidRPr="00393EC0">
          <w:rPr>
            <w:rFonts w:ascii="Abadi" w:hAnsi="Abadi"/>
            <w:color w:val="0563C1"/>
            <w:sz w:val="16"/>
            <w:szCs w:val="16"/>
            <w:u w:color="0563C1"/>
          </w:rPr>
          <w:t>-</w:t>
        </w:r>
      </w:hyperlink>
      <w:hyperlink r:id="rId184">
        <w:r w:rsidRPr="00393EC0">
          <w:rPr>
            <w:rFonts w:ascii="Abadi" w:hAnsi="Abadi"/>
            <w:color w:val="0563C1"/>
            <w:sz w:val="16"/>
            <w:szCs w:val="16"/>
            <w:u w:color="0563C1"/>
          </w:rPr>
          <w:t>de</w:t>
        </w:r>
      </w:hyperlink>
      <w:hyperlink r:id="rId185">
        <w:r w:rsidRPr="00393EC0">
          <w:rPr>
            <w:rFonts w:ascii="Abadi" w:hAnsi="Abadi"/>
            <w:color w:val="0563C1"/>
            <w:sz w:val="16"/>
            <w:szCs w:val="16"/>
            <w:u w:color="0563C1"/>
          </w:rPr>
          <w:t>-</w:t>
        </w:r>
      </w:hyperlink>
      <w:hyperlink r:id="rId186">
        <w:r w:rsidRPr="00393EC0">
          <w:rPr>
            <w:rFonts w:ascii="Abadi" w:hAnsi="Abadi"/>
            <w:color w:val="0563C1"/>
            <w:sz w:val="16"/>
            <w:szCs w:val="16"/>
            <w:u w:color="0563C1"/>
          </w:rPr>
          <w:t>Guanajuato</w:t>
        </w:r>
      </w:hyperlink>
      <w:hyperlink r:id="rId187">
        <w:r w:rsidRPr="00393EC0">
          <w:rPr>
            <w:rFonts w:ascii="Abadi" w:hAnsi="Abadi"/>
            <w:color w:val="0563C1"/>
            <w:sz w:val="16"/>
            <w:szCs w:val="16"/>
            <w:u w:color="0563C1"/>
          </w:rPr>
          <w:t>-</w:t>
        </w:r>
      </w:hyperlink>
      <w:hyperlink r:id="rId188">
        <w:r w:rsidRPr="00393EC0">
          <w:rPr>
            <w:rFonts w:ascii="Abadi" w:hAnsi="Abadi"/>
            <w:color w:val="0563C1"/>
            <w:sz w:val="16"/>
            <w:szCs w:val="16"/>
            <w:u w:color="0563C1"/>
          </w:rPr>
          <w:t>1.pdf</w:t>
        </w:r>
      </w:hyperlink>
      <w:hyperlink r:id="rId189">
        <w:r w:rsidRPr="00393EC0">
          <w:rPr>
            <w:rFonts w:ascii="Abadi" w:hAnsi="Abadi"/>
            <w:sz w:val="16"/>
            <w:szCs w:val="16"/>
          </w:rPr>
          <w:t xml:space="preserve"> </w:t>
        </w:r>
      </w:hyperlink>
      <w:r w:rsidRPr="00393EC0">
        <w:rPr>
          <w:rFonts w:ascii="Abadi" w:hAnsi="Abadi"/>
          <w:sz w:val="16"/>
          <w:szCs w:val="16"/>
        </w:rPr>
        <w:t xml:space="preserve"> </w:t>
      </w:r>
    </w:p>
  </w:footnote>
  <w:footnote w:id="47">
    <w:p w14:paraId="17848A2D" w14:textId="77777777" w:rsidR="00670E07" w:rsidRPr="00393EC0" w:rsidRDefault="00670E07" w:rsidP="00393EC0">
      <w:pPr>
        <w:pStyle w:val="footnotedescription"/>
        <w:spacing w:line="249" w:lineRule="auto"/>
        <w:jc w:val="both"/>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Consultar </w:t>
      </w:r>
      <w:r w:rsidRPr="00393EC0">
        <w:rPr>
          <w:rFonts w:ascii="Abadi" w:hAnsi="Abadi"/>
          <w:sz w:val="16"/>
          <w:szCs w:val="16"/>
        </w:rPr>
        <w:tab/>
        <w:t xml:space="preserve">en: </w:t>
      </w:r>
      <w:r w:rsidRPr="00393EC0">
        <w:rPr>
          <w:rFonts w:ascii="Abadi" w:hAnsi="Abadi"/>
          <w:sz w:val="16"/>
          <w:szCs w:val="16"/>
        </w:rPr>
        <w:tab/>
      </w:r>
      <w:hyperlink r:id="rId190">
        <w:r w:rsidRPr="00393EC0">
          <w:rPr>
            <w:rFonts w:ascii="Abadi" w:hAnsi="Abadi"/>
            <w:color w:val="0563C1"/>
            <w:sz w:val="16"/>
            <w:szCs w:val="16"/>
            <w:u w:color="0563C1"/>
          </w:rPr>
          <w:t>https://transport.ec.europa.eu/transport</w:t>
        </w:r>
      </w:hyperlink>
      <w:hyperlink r:id="rId191">
        <w:r w:rsidRPr="00393EC0">
          <w:rPr>
            <w:rFonts w:ascii="Abadi" w:hAnsi="Abadi"/>
            <w:color w:val="0563C1"/>
            <w:sz w:val="16"/>
            <w:szCs w:val="16"/>
            <w:u w:color="0563C1"/>
          </w:rPr>
          <w:t>-</w:t>
        </w:r>
      </w:hyperlink>
      <w:hyperlink r:id="rId192">
        <w:r w:rsidRPr="00393EC0">
          <w:rPr>
            <w:rFonts w:ascii="Abadi" w:hAnsi="Abadi"/>
            <w:color w:val="0563C1"/>
            <w:sz w:val="16"/>
            <w:szCs w:val="16"/>
            <w:u w:color="0563C1"/>
          </w:rPr>
          <w:t>themes/social</w:t>
        </w:r>
      </w:hyperlink>
      <w:hyperlink r:id="rId193">
        <w:r w:rsidRPr="00393EC0">
          <w:rPr>
            <w:rFonts w:ascii="Abadi" w:hAnsi="Abadi"/>
            <w:color w:val="0563C1"/>
            <w:sz w:val="16"/>
            <w:szCs w:val="16"/>
            <w:u w:color="0563C1"/>
          </w:rPr>
          <w:t>-</w:t>
        </w:r>
      </w:hyperlink>
      <w:hyperlink r:id="rId194">
        <w:r w:rsidRPr="00393EC0">
          <w:rPr>
            <w:rFonts w:ascii="Abadi" w:hAnsi="Abadi"/>
            <w:color w:val="0563C1"/>
            <w:sz w:val="16"/>
            <w:szCs w:val="16"/>
            <w:u w:color="0563C1"/>
          </w:rPr>
          <w:t>issues</w:t>
        </w:r>
      </w:hyperlink>
      <w:hyperlink r:id="rId195">
        <w:r w:rsidRPr="00393EC0">
          <w:rPr>
            <w:rFonts w:ascii="Abadi" w:hAnsi="Abadi"/>
            <w:color w:val="0563C1"/>
            <w:sz w:val="16"/>
            <w:szCs w:val="16"/>
            <w:u w:color="0563C1"/>
          </w:rPr>
          <w:t>-</w:t>
        </w:r>
      </w:hyperlink>
      <w:hyperlink r:id="rId196">
        <w:r w:rsidRPr="00393EC0">
          <w:rPr>
            <w:rFonts w:ascii="Abadi" w:hAnsi="Abadi"/>
            <w:color w:val="0563C1"/>
            <w:sz w:val="16"/>
            <w:szCs w:val="16"/>
            <w:u w:color="0563C1"/>
          </w:rPr>
          <w:t>equality</w:t>
        </w:r>
      </w:hyperlink>
      <w:hyperlink r:id="rId197">
        <w:r w:rsidRPr="00393EC0">
          <w:rPr>
            <w:rFonts w:ascii="Abadi" w:hAnsi="Abadi"/>
            <w:color w:val="0563C1"/>
            <w:sz w:val="16"/>
            <w:szCs w:val="16"/>
            <w:u w:color="0563C1"/>
          </w:rPr>
          <w:t>-</w:t>
        </w:r>
      </w:hyperlink>
      <w:hyperlink r:id="rId198">
        <w:r w:rsidRPr="00393EC0">
          <w:rPr>
            <w:rFonts w:ascii="Abadi" w:hAnsi="Abadi"/>
            <w:color w:val="0563C1"/>
            <w:sz w:val="16"/>
            <w:szCs w:val="16"/>
            <w:u w:color="0563C1"/>
          </w:rPr>
          <w:t>and</w:t>
        </w:r>
      </w:hyperlink>
      <w:hyperlink r:id="rId199">
        <w:r w:rsidRPr="00393EC0">
          <w:rPr>
            <w:rFonts w:ascii="Abadi" w:hAnsi="Abadi"/>
            <w:color w:val="0563C1"/>
            <w:sz w:val="16"/>
            <w:szCs w:val="16"/>
            <w:u w:color="0563C1"/>
          </w:rPr>
          <w:t>-</w:t>
        </w:r>
      </w:hyperlink>
      <w:hyperlink r:id="rId200">
        <w:r w:rsidRPr="00393EC0">
          <w:rPr>
            <w:rFonts w:ascii="Abadi" w:hAnsi="Abadi"/>
            <w:color w:val="0563C1"/>
            <w:sz w:val="16"/>
            <w:szCs w:val="16"/>
            <w:u w:color="0563C1"/>
          </w:rPr>
          <w:t>attractiveness</w:t>
        </w:r>
      </w:hyperlink>
      <w:hyperlink r:id="rId201">
        <w:r>
          <w:rPr>
            <w:color w:val="0563C1"/>
            <w:u w:color="0563C1"/>
          </w:rPr>
          <w:t>-</w:t>
        </w:r>
      </w:hyperlink>
      <w:hyperlink r:id="rId202">
        <w:r w:rsidRPr="00393EC0">
          <w:rPr>
            <w:rFonts w:ascii="Abadi" w:hAnsi="Abadi"/>
            <w:color w:val="0563C1"/>
            <w:sz w:val="16"/>
            <w:szCs w:val="16"/>
            <w:u w:color="0563C1"/>
          </w:rPr>
          <w:t>transport</w:t>
        </w:r>
      </w:hyperlink>
      <w:hyperlink r:id="rId203"/>
      <w:hyperlink r:id="rId204">
        <w:r w:rsidRPr="00393EC0">
          <w:rPr>
            <w:rFonts w:ascii="Abadi" w:hAnsi="Abadi"/>
            <w:color w:val="0563C1"/>
            <w:sz w:val="16"/>
            <w:szCs w:val="16"/>
            <w:u w:color="0563C1"/>
          </w:rPr>
          <w:t>sector/equality/women</w:t>
        </w:r>
      </w:hyperlink>
      <w:hyperlink r:id="rId205">
        <w:r w:rsidRPr="00393EC0">
          <w:rPr>
            <w:rFonts w:ascii="Abadi" w:hAnsi="Abadi"/>
            <w:color w:val="0563C1"/>
            <w:sz w:val="16"/>
            <w:szCs w:val="16"/>
            <w:u w:color="0563C1"/>
          </w:rPr>
          <w:t>-</w:t>
        </w:r>
      </w:hyperlink>
      <w:hyperlink r:id="rId206">
        <w:r w:rsidRPr="00393EC0">
          <w:rPr>
            <w:rFonts w:ascii="Abadi" w:hAnsi="Abadi"/>
            <w:color w:val="0563C1"/>
            <w:sz w:val="16"/>
            <w:szCs w:val="16"/>
            <w:u w:color="0563C1"/>
          </w:rPr>
          <w:t>transport_en</w:t>
        </w:r>
      </w:hyperlink>
      <w:hyperlink r:id="rId207">
        <w:r w:rsidRPr="00393EC0">
          <w:rPr>
            <w:rFonts w:ascii="Abadi" w:hAnsi="Abadi"/>
            <w:sz w:val="16"/>
            <w:szCs w:val="16"/>
          </w:rPr>
          <w:t xml:space="preserve"> </w:t>
        </w:r>
      </w:hyperlink>
      <w:r w:rsidRPr="00393EC0">
        <w:rPr>
          <w:rFonts w:ascii="Abadi" w:hAnsi="Abadi"/>
          <w:sz w:val="16"/>
          <w:szCs w:val="16"/>
        </w:rPr>
        <w:t xml:space="preserve"> </w:t>
      </w:r>
    </w:p>
  </w:footnote>
  <w:footnote w:id="48">
    <w:p w14:paraId="52B591CD" w14:textId="77777777" w:rsidR="00670E07" w:rsidRPr="00393EC0" w:rsidRDefault="00670E07" w:rsidP="00393EC0">
      <w:pPr>
        <w:pStyle w:val="footnotedescription"/>
        <w:spacing w:line="259" w:lineRule="auto"/>
        <w:jc w:val="both"/>
        <w:rPr>
          <w:rFonts w:ascii="Abadi" w:hAnsi="Abadi"/>
          <w:sz w:val="16"/>
          <w:szCs w:val="16"/>
        </w:rPr>
      </w:pPr>
      <w:r w:rsidRPr="00393EC0">
        <w:rPr>
          <w:rStyle w:val="footnotemark"/>
          <w:rFonts w:ascii="Abadi" w:hAnsi="Abadi"/>
          <w:sz w:val="16"/>
          <w:szCs w:val="16"/>
        </w:rPr>
        <w:footnoteRef/>
      </w:r>
      <w:r w:rsidRPr="00393EC0">
        <w:rPr>
          <w:rFonts w:ascii="Abadi" w:hAnsi="Abadi"/>
          <w:sz w:val="16"/>
          <w:szCs w:val="16"/>
        </w:rPr>
        <w:t xml:space="preserve"> Consultar en: </w:t>
      </w:r>
      <w:hyperlink r:id="rId208">
        <w:r w:rsidRPr="00393EC0">
          <w:rPr>
            <w:rFonts w:ascii="Abadi" w:hAnsi="Abadi"/>
            <w:color w:val="0563C1"/>
            <w:sz w:val="16"/>
            <w:szCs w:val="16"/>
            <w:u w:color="0563C1"/>
          </w:rPr>
          <w:t>https://eurecat.org/es/portfolio</w:t>
        </w:r>
      </w:hyperlink>
      <w:hyperlink r:id="rId209">
        <w:r w:rsidRPr="00393EC0">
          <w:rPr>
            <w:rFonts w:ascii="Abadi" w:hAnsi="Abadi"/>
            <w:color w:val="0563C1"/>
            <w:sz w:val="16"/>
            <w:szCs w:val="16"/>
            <w:u w:color="0563C1"/>
          </w:rPr>
          <w:t>-</w:t>
        </w:r>
      </w:hyperlink>
      <w:hyperlink r:id="rId210">
        <w:r w:rsidRPr="00393EC0">
          <w:rPr>
            <w:rFonts w:ascii="Abadi" w:hAnsi="Abadi"/>
            <w:color w:val="0563C1"/>
            <w:sz w:val="16"/>
            <w:szCs w:val="16"/>
            <w:u w:color="0563C1"/>
          </w:rPr>
          <w:t>items/diamond/</w:t>
        </w:r>
      </w:hyperlink>
      <w:hyperlink r:id="rId211">
        <w:r w:rsidRPr="00393EC0">
          <w:rPr>
            <w:rFonts w:ascii="Abadi" w:hAnsi="Abadi"/>
            <w:sz w:val="16"/>
            <w:szCs w:val="16"/>
          </w:rPr>
          <w:t xml:space="preserve"> </w:t>
        </w:r>
      </w:hyperlink>
      <w:r w:rsidRPr="00393EC0">
        <w:rPr>
          <w:rFonts w:ascii="Abadi" w:hAnsi="Abadi"/>
          <w:sz w:val="16"/>
          <w:szCs w:val="16"/>
        </w:rPr>
        <w:t xml:space="preserve"> </w:t>
      </w:r>
    </w:p>
  </w:footnote>
  <w:footnote w:id="49">
    <w:p w14:paraId="0B4E5C7D" w14:textId="7D3DF99F" w:rsidR="000A771B" w:rsidRDefault="000A771B">
      <w:pPr>
        <w:pStyle w:val="Textonotapie"/>
      </w:pPr>
      <w:r>
        <w:rPr>
          <w:rStyle w:val="Refdenotaalpie"/>
        </w:rPr>
        <w:footnoteRef/>
      </w:r>
      <w:r>
        <w:t xml:space="preserve"> </w:t>
      </w:r>
      <w:hyperlink r:id="rId212" w:history="1">
        <w:r w:rsidR="00104BAA" w:rsidRPr="00F82570">
          <w:rPr>
            <w:rStyle w:val="Hipervnculo"/>
            <w:rFonts w:ascii="Abadi" w:hAnsi="Abadi"/>
            <w:sz w:val="16"/>
            <w:szCs w:val="16"/>
          </w:rPr>
          <w:t>https://congreso-gto.s3.amazonaws.com/uploads/orden_archivo/archivo/29938/08_Iniciativa_GPPMORENA_Co_digo_Penal_56904__22_JUNIO_2023_.pdf</w:t>
        </w:r>
      </w:hyperlink>
    </w:p>
  </w:footnote>
  <w:footnote w:id="50">
    <w:p w14:paraId="0B6F88EE" w14:textId="77777777" w:rsidR="001C5EDF" w:rsidRDefault="001C5EDF" w:rsidP="001C5EDF">
      <w:pPr>
        <w:pStyle w:val="footnotedescription"/>
        <w:spacing w:line="282" w:lineRule="auto"/>
      </w:pPr>
      <w:r>
        <w:rPr>
          <w:rStyle w:val="footnotemark"/>
        </w:rPr>
        <w:footnoteRef/>
      </w:r>
      <w:r>
        <w:t xml:space="preserve"> Consúltese: https://www.gob.mx/capufe/articulos/accidentes-de-transito-un-problema-de-saludpublica#:~:text=Entre%20los%20accidentes%20que%20tienen,heridas%2C%20incluso%20con%20afectaciones%20disc </w:t>
      </w:r>
      <w:proofErr w:type="spellStart"/>
      <w:r>
        <w:t>apacitantes</w:t>
      </w:r>
      <w:proofErr w:type="spellEnd"/>
      <w:r>
        <w:t xml:space="preserve">. </w:t>
      </w:r>
    </w:p>
  </w:footnote>
  <w:footnote w:id="51">
    <w:p w14:paraId="50E4C70F" w14:textId="77777777" w:rsidR="001C5EDF" w:rsidRDefault="001C5EDF" w:rsidP="001C5EDF">
      <w:pPr>
        <w:pStyle w:val="footnotedescription"/>
        <w:spacing w:after="159" w:line="216" w:lineRule="auto"/>
        <w:ind w:left="65" w:right="9815" w:hanging="65"/>
      </w:pPr>
      <w:r>
        <w:rPr>
          <w:rStyle w:val="footnotemark"/>
        </w:rPr>
        <w:footnoteRef/>
      </w:r>
      <w:r>
        <w:t xml:space="preserve"> Ídem. </w:t>
      </w:r>
    </w:p>
  </w:footnote>
  <w:footnote w:id="52">
    <w:p w14:paraId="0C2CFE4A" w14:textId="77777777" w:rsidR="00D8654E" w:rsidRDefault="00D8654E" w:rsidP="00D8654E">
      <w:pPr>
        <w:pStyle w:val="footnotedescription"/>
      </w:pPr>
      <w:r>
        <w:rPr>
          <w:rStyle w:val="footnotemark"/>
        </w:rPr>
        <w:footnoteRef/>
      </w:r>
      <w:r>
        <w:t xml:space="preserve"> Consúltese: https://www3.paho.org/hq/index.php?option=com_content&amp;view=article&amp;id=14857:new-who-reporthighlights-insufficient-progress-to-tackle-lack-of-safety-on-the-world-s-roads&amp;Itemid=0&amp;lang=es#gsc.tab=0 </w:t>
      </w:r>
    </w:p>
  </w:footnote>
  <w:footnote w:id="53">
    <w:p w14:paraId="352406FE" w14:textId="77777777" w:rsidR="00D8654E" w:rsidRDefault="00D8654E" w:rsidP="00D8654E">
      <w:pPr>
        <w:pStyle w:val="footnotedescription"/>
      </w:pPr>
      <w:r>
        <w:rPr>
          <w:rStyle w:val="footnotemark"/>
        </w:rPr>
        <w:footnoteRef/>
      </w:r>
      <w:r>
        <w:t xml:space="preserve"> Véase: https://www.who.int/es/news-room/fact-sheets/detail/road-traffic-injuries </w:t>
      </w:r>
    </w:p>
  </w:footnote>
  <w:footnote w:id="54">
    <w:p w14:paraId="422D1B42" w14:textId="77777777" w:rsidR="00D8654E" w:rsidRDefault="00D8654E" w:rsidP="00D8654E">
      <w:pPr>
        <w:pStyle w:val="footnotedescription"/>
      </w:pPr>
      <w:r>
        <w:rPr>
          <w:rStyle w:val="footnotemark"/>
        </w:rPr>
        <w:footnoteRef/>
      </w:r>
      <w:r>
        <w:t xml:space="preserve"> </w:t>
      </w:r>
      <w:proofErr w:type="spellStart"/>
      <w:r>
        <w:t>Íbidem</w:t>
      </w:r>
      <w:proofErr w:type="spellEnd"/>
      <w:r>
        <w:t xml:space="preserve">. </w:t>
      </w:r>
    </w:p>
  </w:footnote>
  <w:footnote w:id="55">
    <w:p w14:paraId="577B9CC6" w14:textId="77777777" w:rsidR="00D8654E" w:rsidRDefault="00D8654E" w:rsidP="00D8654E">
      <w:pPr>
        <w:pStyle w:val="footnotedescription"/>
      </w:pPr>
      <w:r>
        <w:rPr>
          <w:rStyle w:val="footnotemark"/>
        </w:rPr>
        <w:footnoteRef/>
      </w:r>
      <w:r>
        <w:t xml:space="preserve"> Ídem. </w:t>
      </w:r>
    </w:p>
  </w:footnote>
  <w:footnote w:id="56">
    <w:p w14:paraId="08CCB190" w14:textId="0AEAB1E0" w:rsidR="004F55D4" w:rsidRDefault="004F55D4">
      <w:pPr>
        <w:pStyle w:val="Textonotapie"/>
      </w:pPr>
      <w:r>
        <w:rPr>
          <w:rStyle w:val="Refdenotaalpie"/>
        </w:rPr>
        <w:footnoteRef/>
      </w:r>
      <w:r>
        <w:t xml:space="preserve"> </w:t>
      </w:r>
      <w:hyperlink r:id="rId213" w:history="1">
        <w:r w:rsidR="00D7472F" w:rsidRPr="00D7472F">
          <w:rPr>
            <w:rStyle w:val="Hipervnculo"/>
            <w:rFonts w:ascii="Abadi" w:hAnsi="Abadi"/>
            <w:sz w:val="16"/>
            <w:szCs w:val="16"/>
          </w:rPr>
          <w:t>https://congreso-gto.s3.amazonaws.com/uploads/orden_archivo/archivo/29939/09_INFORME_ASEG.pdf</w:t>
        </w:r>
      </w:hyperlink>
    </w:p>
  </w:footnote>
  <w:footnote w:id="57">
    <w:p w14:paraId="65E64827" w14:textId="7F5B8566" w:rsidR="004B37F5" w:rsidRDefault="004B37F5">
      <w:pPr>
        <w:pStyle w:val="Textonotapie"/>
      </w:pPr>
      <w:r>
        <w:rPr>
          <w:rStyle w:val="Refdenotaalpie"/>
        </w:rPr>
        <w:footnoteRef/>
      </w:r>
      <w:r>
        <w:t xml:space="preserve"> </w:t>
      </w:r>
      <w:hyperlink r:id="rId214" w:history="1">
        <w:r w:rsidR="006E420E" w:rsidRPr="006E420E">
          <w:rPr>
            <w:rStyle w:val="Hipervnculo"/>
            <w:rFonts w:ascii="Abadi" w:hAnsi="Abadi"/>
            <w:sz w:val="16"/>
            <w:szCs w:val="16"/>
          </w:rPr>
          <w:t>https://congreso-gto.s3.amazonaws.com/uploads/orden_archivo/archivo/29940/10_PPA_GPPMORENA_ISAPEG_56898__22_JUN_23_.pdf</w:t>
        </w:r>
      </w:hyperlink>
    </w:p>
  </w:footnote>
  <w:footnote w:id="58">
    <w:p w14:paraId="0E4F8ADC" w14:textId="7BC46844" w:rsidR="00832D5F" w:rsidRPr="005726E7" w:rsidRDefault="00832D5F">
      <w:pPr>
        <w:pStyle w:val="Textonotapie"/>
        <w:rPr>
          <w:rFonts w:ascii="Abadi" w:hAnsi="Abadi"/>
          <w:sz w:val="16"/>
          <w:szCs w:val="16"/>
        </w:rPr>
      </w:pPr>
      <w:r>
        <w:rPr>
          <w:rStyle w:val="Refdenotaalpie"/>
        </w:rPr>
        <w:footnoteRef/>
      </w:r>
      <w:r>
        <w:t xml:space="preserve"> </w:t>
      </w:r>
      <w:r w:rsidR="00EE6353" w:rsidRPr="005726E7">
        <w:rPr>
          <w:rFonts w:ascii="Abadi" w:hAnsi="Abadi"/>
          <w:spacing w:val="-6"/>
          <w:sz w:val="16"/>
          <w:szCs w:val="16"/>
        </w:rPr>
        <w:t>Sinhue,</w:t>
      </w:r>
      <w:r w:rsidR="00EE6353" w:rsidRPr="005726E7">
        <w:rPr>
          <w:rFonts w:ascii="Abadi" w:hAnsi="Abadi"/>
          <w:spacing w:val="-5"/>
          <w:sz w:val="16"/>
          <w:szCs w:val="16"/>
        </w:rPr>
        <w:t xml:space="preserve"> </w:t>
      </w:r>
      <w:r w:rsidR="00EE6353" w:rsidRPr="005726E7">
        <w:rPr>
          <w:rFonts w:ascii="Abadi" w:hAnsi="Abadi"/>
          <w:spacing w:val="-6"/>
          <w:sz w:val="16"/>
          <w:szCs w:val="16"/>
        </w:rPr>
        <w:t>Diego.</w:t>
      </w:r>
      <w:r w:rsidR="00EE6353" w:rsidRPr="005726E7">
        <w:rPr>
          <w:rFonts w:ascii="Abadi" w:hAnsi="Abadi"/>
          <w:spacing w:val="-4"/>
          <w:sz w:val="16"/>
          <w:szCs w:val="16"/>
        </w:rPr>
        <w:t xml:space="preserve"> </w:t>
      </w:r>
      <w:r w:rsidR="00EE6353" w:rsidRPr="005726E7">
        <w:rPr>
          <w:rFonts w:ascii="Abadi" w:hAnsi="Abadi"/>
          <w:spacing w:val="-6"/>
          <w:sz w:val="16"/>
          <w:szCs w:val="16"/>
        </w:rPr>
        <w:t>(2020).</w:t>
      </w:r>
      <w:r w:rsidR="00EE6353" w:rsidRPr="005726E7">
        <w:rPr>
          <w:rFonts w:ascii="Abadi" w:hAnsi="Abadi"/>
          <w:spacing w:val="-2"/>
          <w:sz w:val="16"/>
          <w:szCs w:val="16"/>
        </w:rPr>
        <w:t xml:space="preserve"> </w:t>
      </w:r>
      <w:r w:rsidR="00EE6353" w:rsidRPr="005726E7">
        <w:rPr>
          <w:rFonts w:ascii="Abadi" w:hAnsi="Abadi"/>
          <w:i/>
          <w:spacing w:val="-6"/>
          <w:sz w:val="16"/>
          <w:szCs w:val="16"/>
        </w:rPr>
        <w:t>Anuncio de</w:t>
      </w:r>
      <w:r w:rsidR="00EE6353" w:rsidRPr="005726E7">
        <w:rPr>
          <w:rFonts w:ascii="Abadi" w:hAnsi="Abadi"/>
          <w:i/>
          <w:spacing w:val="-5"/>
          <w:sz w:val="16"/>
          <w:szCs w:val="16"/>
        </w:rPr>
        <w:t xml:space="preserve"> </w:t>
      </w:r>
      <w:r w:rsidR="00EE6353" w:rsidRPr="005726E7">
        <w:rPr>
          <w:rFonts w:ascii="Abadi" w:hAnsi="Abadi"/>
          <w:i/>
          <w:spacing w:val="-6"/>
          <w:sz w:val="16"/>
          <w:szCs w:val="16"/>
        </w:rPr>
        <w:t>basificación</w:t>
      </w:r>
      <w:r w:rsidR="00EE6353" w:rsidRPr="005726E7">
        <w:rPr>
          <w:rFonts w:ascii="Abadi" w:hAnsi="Abadi"/>
          <w:i/>
          <w:spacing w:val="-5"/>
          <w:sz w:val="16"/>
          <w:szCs w:val="16"/>
        </w:rPr>
        <w:t xml:space="preserve"> </w:t>
      </w:r>
      <w:r w:rsidR="00EE6353" w:rsidRPr="005726E7">
        <w:rPr>
          <w:rFonts w:ascii="Abadi" w:hAnsi="Abadi"/>
          <w:i/>
          <w:spacing w:val="-6"/>
          <w:sz w:val="16"/>
          <w:szCs w:val="16"/>
        </w:rPr>
        <w:t>de</w:t>
      </w:r>
      <w:r w:rsidR="00EE6353" w:rsidRPr="005726E7">
        <w:rPr>
          <w:rFonts w:ascii="Abadi" w:hAnsi="Abadi"/>
          <w:i/>
          <w:spacing w:val="-5"/>
          <w:sz w:val="16"/>
          <w:szCs w:val="16"/>
        </w:rPr>
        <w:t xml:space="preserve"> </w:t>
      </w:r>
      <w:r w:rsidR="00EE6353" w:rsidRPr="005726E7">
        <w:rPr>
          <w:rFonts w:ascii="Abadi" w:hAnsi="Abadi"/>
          <w:i/>
          <w:spacing w:val="-6"/>
          <w:sz w:val="16"/>
          <w:szCs w:val="16"/>
        </w:rPr>
        <w:t>los</w:t>
      </w:r>
      <w:r w:rsidR="00EE6353" w:rsidRPr="005726E7">
        <w:rPr>
          <w:rFonts w:ascii="Abadi" w:hAnsi="Abadi"/>
          <w:i/>
          <w:spacing w:val="-5"/>
          <w:sz w:val="16"/>
          <w:szCs w:val="16"/>
        </w:rPr>
        <w:t xml:space="preserve"> </w:t>
      </w:r>
      <w:r w:rsidR="00EE6353" w:rsidRPr="005726E7">
        <w:rPr>
          <w:rFonts w:ascii="Abadi" w:hAnsi="Abadi"/>
          <w:i/>
          <w:spacing w:val="-6"/>
          <w:sz w:val="16"/>
          <w:szCs w:val="16"/>
        </w:rPr>
        <w:t>colaboradores</w:t>
      </w:r>
      <w:r w:rsidR="00EE6353" w:rsidRPr="005726E7">
        <w:rPr>
          <w:rFonts w:ascii="Abadi" w:hAnsi="Abadi"/>
          <w:i/>
          <w:spacing w:val="-5"/>
          <w:sz w:val="16"/>
          <w:szCs w:val="16"/>
        </w:rPr>
        <w:t xml:space="preserve"> </w:t>
      </w:r>
      <w:r w:rsidR="00EE6353" w:rsidRPr="005726E7">
        <w:rPr>
          <w:rFonts w:ascii="Abadi" w:hAnsi="Abadi"/>
          <w:i/>
          <w:spacing w:val="-6"/>
          <w:sz w:val="16"/>
          <w:szCs w:val="16"/>
        </w:rPr>
        <w:t>del</w:t>
      </w:r>
      <w:r w:rsidR="00EE6353" w:rsidRPr="005726E7">
        <w:rPr>
          <w:rFonts w:ascii="Abadi" w:hAnsi="Abadi"/>
          <w:i/>
          <w:spacing w:val="-5"/>
          <w:sz w:val="16"/>
          <w:szCs w:val="16"/>
        </w:rPr>
        <w:t xml:space="preserve"> </w:t>
      </w:r>
      <w:r w:rsidR="00EE6353" w:rsidRPr="005726E7">
        <w:rPr>
          <w:rFonts w:ascii="Abadi" w:hAnsi="Abadi"/>
          <w:i/>
          <w:spacing w:val="-6"/>
          <w:sz w:val="16"/>
          <w:szCs w:val="16"/>
        </w:rPr>
        <w:t>Sistema</w:t>
      </w:r>
      <w:r w:rsidR="00EE6353" w:rsidRPr="005726E7">
        <w:rPr>
          <w:rFonts w:ascii="Abadi" w:hAnsi="Abadi"/>
          <w:i/>
          <w:spacing w:val="-5"/>
          <w:sz w:val="16"/>
          <w:szCs w:val="16"/>
        </w:rPr>
        <w:t xml:space="preserve"> </w:t>
      </w:r>
      <w:r w:rsidR="00EE6353" w:rsidRPr="005726E7">
        <w:rPr>
          <w:rFonts w:ascii="Abadi" w:hAnsi="Abadi"/>
          <w:i/>
          <w:spacing w:val="-6"/>
          <w:sz w:val="16"/>
          <w:szCs w:val="16"/>
        </w:rPr>
        <w:t>de</w:t>
      </w:r>
      <w:r w:rsidR="00EE6353" w:rsidRPr="005726E7">
        <w:rPr>
          <w:rFonts w:ascii="Abadi" w:hAnsi="Abadi"/>
          <w:i/>
          <w:spacing w:val="-5"/>
          <w:sz w:val="16"/>
          <w:szCs w:val="16"/>
        </w:rPr>
        <w:t xml:space="preserve"> </w:t>
      </w:r>
      <w:r w:rsidR="00EE6353" w:rsidRPr="005726E7">
        <w:rPr>
          <w:rFonts w:ascii="Abadi" w:hAnsi="Abadi"/>
          <w:i/>
          <w:spacing w:val="-6"/>
          <w:sz w:val="16"/>
          <w:szCs w:val="16"/>
        </w:rPr>
        <w:t>Salud.</w:t>
      </w:r>
      <w:r w:rsidR="00EE6353" w:rsidRPr="005726E7">
        <w:rPr>
          <w:rFonts w:ascii="Abadi" w:hAnsi="Abadi"/>
          <w:i/>
          <w:spacing w:val="-2"/>
          <w:sz w:val="16"/>
          <w:szCs w:val="16"/>
        </w:rPr>
        <w:t xml:space="preserve"> </w:t>
      </w:r>
      <w:r w:rsidR="00EE6353" w:rsidRPr="005726E7">
        <w:rPr>
          <w:rFonts w:ascii="Abadi" w:hAnsi="Abadi"/>
          <w:spacing w:val="-6"/>
          <w:sz w:val="16"/>
          <w:szCs w:val="16"/>
        </w:rPr>
        <w:t>En publicación</w:t>
      </w:r>
      <w:r w:rsidR="00EE6353" w:rsidRPr="005726E7">
        <w:rPr>
          <w:rFonts w:ascii="Abadi" w:hAnsi="Abadi"/>
          <w:spacing w:val="-2"/>
          <w:sz w:val="16"/>
          <w:szCs w:val="16"/>
        </w:rPr>
        <w:t xml:space="preserve"> </w:t>
      </w:r>
      <w:r w:rsidR="00EE6353" w:rsidRPr="005726E7">
        <w:rPr>
          <w:rFonts w:ascii="Abadi" w:hAnsi="Abadi"/>
          <w:spacing w:val="-6"/>
          <w:sz w:val="16"/>
          <w:szCs w:val="16"/>
        </w:rPr>
        <w:t>de</w:t>
      </w:r>
      <w:r w:rsidR="00EE6353" w:rsidRPr="005726E7">
        <w:rPr>
          <w:rFonts w:ascii="Abadi" w:hAnsi="Abadi"/>
          <w:spacing w:val="-3"/>
          <w:sz w:val="16"/>
          <w:szCs w:val="16"/>
        </w:rPr>
        <w:t xml:space="preserve"> </w:t>
      </w:r>
      <w:r w:rsidR="00EE6353" w:rsidRPr="005726E7">
        <w:rPr>
          <w:rFonts w:ascii="Abadi" w:hAnsi="Abadi"/>
          <w:spacing w:val="-6"/>
          <w:sz w:val="16"/>
          <w:szCs w:val="16"/>
        </w:rPr>
        <w:t>Red</w:t>
      </w:r>
      <w:r w:rsidR="00EE6353" w:rsidRPr="005726E7">
        <w:rPr>
          <w:rFonts w:ascii="Abadi" w:hAnsi="Abadi"/>
          <w:spacing w:val="-2"/>
          <w:sz w:val="16"/>
          <w:szCs w:val="16"/>
        </w:rPr>
        <w:t xml:space="preserve"> Social</w:t>
      </w:r>
      <w:r w:rsidR="00EE6353" w:rsidRPr="005726E7">
        <w:rPr>
          <w:rFonts w:ascii="Abadi" w:hAnsi="Abadi"/>
          <w:sz w:val="16"/>
          <w:szCs w:val="16"/>
        </w:rPr>
        <w:tab/>
      </w:r>
      <w:r w:rsidR="00EE6353" w:rsidRPr="005726E7">
        <w:rPr>
          <w:rFonts w:ascii="Abadi" w:hAnsi="Abadi"/>
          <w:spacing w:val="-2"/>
          <w:sz w:val="16"/>
          <w:szCs w:val="16"/>
        </w:rPr>
        <w:t>Oficial</w:t>
      </w:r>
      <w:r w:rsidR="00EE6353" w:rsidRPr="005726E7">
        <w:rPr>
          <w:rFonts w:ascii="Abadi" w:hAnsi="Abadi"/>
          <w:sz w:val="16"/>
          <w:szCs w:val="16"/>
        </w:rPr>
        <w:tab/>
      </w:r>
      <w:r w:rsidR="00EE6353" w:rsidRPr="005726E7">
        <w:rPr>
          <w:rFonts w:ascii="Abadi" w:hAnsi="Abadi"/>
          <w:spacing w:val="-2"/>
          <w:sz w:val="16"/>
          <w:szCs w:val="16"/>
        </w:rPr>
        <w:t>(verificada)</w:t>
      </w:r>
      <w:r w:rsidR="00EE6353" w:rsidRPr="005726E7">
        <w:rPr>
          <w:rFonts w:ascii="Abadi" w:hAnsi="Abadi"/>
          <w:sz w:val="16"/>
          <w:szCs w:val="16"/>
        </w:rPr>
        <w:tab/>
      </w:r>
      <w:r w:rsidR="00EE6353" w:rsidRPr="005726E7">
        <w:rPr>
          <w:rFonts w:ascii="Abadi" w:hAnsi="Abadi"/>
          <w:spacing w:val="-6"/>
          <w:sz w:val="16"/>
          <w:szCs w:val="16"/>
        </w:rPr>
        <w:t>de</w:t>
      </w:r>
      <w:r w:rsidR="00EE6353" w:rsidRPr="005726E7">
        <w:rPr>
          <w:rFonts w:ascii="Abadi" w:hAnsi="Abadi"/>
          <w:sz w:val="16"/>
          <w:szCs w:val="16"/>
        </w:rPr>
        <w:tab/>
      </w:r>
      <w:r w:rsidR="00EE6353" w:rsidRPr="005726E7">
        <w:rPr>
          <w:rFonts w:ascii="Abadi" w:hAnsi="Abadi"/>
          <w:spacing w:val="-4"/>
          <w:sz w:val="16"/>
          <w:szCs w:val="16"/>
        </w:rPr>
        <w:t>fecha</w:t>
      </w:r>
      <w:r w:rsidR="00EE6353" w:rsidRPr="005726E7">
        <w:rPr>
          <w:rFonts w:ascii="Abadi" w:hAnsi="Abadi"/>
          <w:sz w:val="16"/>
          <w:szCs w:val="16"/>
        </w:rPr>
        <w:tab/>
      </w:r>
      <w:r w:rsidR="00EE6353" w:rsidRPr="005726E7">
        <w:rPr>
          <w:rFonts w:ascii="Abadi" w:hAnsi="Abadi"/>
          <w:spacing w:val="-6"/>
          <w:sz w:val="16"/>
          <w:szCs w:val="16"/>
        </w:rPr>
        <w:t>11</w:t>
      </w:r>
      <w:r w:rsidR="00EE6353" w:rsidRPr="005726E7">
        <w:rPr>
          <w:rFonts w:ascii="Abadi" w:hAnsi="Abadi"/>
          <w:sz w:val="16"/>
          <w:szCs w:val="16"/>
        </w:rPr>
        <w:tab/>
      </w:r>
      <w:r w:rsidR="00EE6353" w:rsidRPr="005726E7">
        <w:rPr>
          <w:rFonts w:ascii="Abadi" w:hAnsi="Abadi"/>
          <w:spacing w:val="-6"/>
          <w:sz w:val="16"/>
          <w:szCs w:val="16"/>
        </w:rPr>
        <w:t>de</w:t>
      </w:r>
      <w:r w:rsidR="00EE6353" w:rsidRPr="005726E7">
        <w:rPr>
          <w:rFonts w:ascii="Abadi" w:hAnsi="Abadi"/>
          <w:sz w:val="16"/>
          <w:szCs w:val="16"/>
        </w:rPr>
        <w:tab/>
      </w:r>
      <w:r w:rsidR="00EE6353" w:rsidRPr="005726E7">
        <w:rPr>
          <w:rFonts w:ascii="Abadi" w:hAnsi="Abadi"/>
          <w:spacing w:val="-2"/>
          <w:sz w:val="16"/>
          <w:szCs w:val="16"/>
        </w:rPr>
        <w:t>febrero,</w:t>
      </w:r>
      <w:r w:rsidR="00EE6353" w:rsidRPr="005726E7">
        <w:rPr>
          <w:rFonts w:ascii="Abadi" w:hAnsi="Abadi"/>
          <w:sz w:val="16"/>
          <w:szCs w:val="16"/>
        </w:rPr>
        <w:tab/>
      </w:r>
      <w:r w:rsidR="00EE6353" w:rsidRPr="005726E7">
        <w:rPr>
          <w:rFonts w:ascii="Abadi" w:hAnsi="Abadi"/>
          <w:spacing w:val="-2"/>
          <w:sz w:val="16"/>
          <w:szCs w:val="16"/>
        </w:rPr>
        <w:t>disponible</w:t>
      </w:r>
      <w:r w:rsidR="00EE6353" w:rsidRPr="005726E7">
        <w:rPr>
          <w:rFonts w:ascii="Abadi" w:hAnsi="Abadi"/>
          <w:sz w:val="16"/>
          <w:szCs w:val="16"/>
        </w:rPr>
        <w:tab/>
      </w:r>
      <w:r w:rsidR="00EE6353" w:rsidRPr="005726E7">
        <w:rPr>
          <w:rFonts w:ascii="Abadi" w:hAnsi="Abadi"/>
          <w:spacing w:val="-12"/>
          <w:sz w:val="16"/>
          <w:szCs w:val="16"/>
        </w:rPr>
        <w:t>en:</w:t>
      </w:r>
      <w:r w:rsidR="00EE6353" w:rsidRPr="005726E7">
        <w:rPr>
          <w:rFonts w:ascii="Abadi" w:hAnsi="Abadi"/>
          <w:sz w:val="16"/>
          <w:szCs w:val="16"/>
        </w:rPr>
        <w:t xml:space="preserve"> </w:t>
      </w:r>
      <w:hyperlink r:id="rId215">
        <w:r w:rsidR="00EE6353" w:rsidRPr="005726E7">
          <w:rPr>
            <w:rFonts w:ascii="Abadi" w:hAnsi="Abadi"/>
            <w:color w:val="0562C1"/>
            <w:spacing w:val="-4"/>
            <w:sz w:val="16"/>
            <w:szCs w:val="16"/>
            <w:u w:val="single" w:color="0562C1"/>
          </w:rPr>
          <w:t>https://www.facebook.com/watch/?ref=external&amp;v=621096662046234</w:t>
        </w:r>
      </w:hyperlink>
    </w:p>
  </w:footnote>
  <w:footnote w:id="59">
    <w:p w14:paraId="28DF3FDE" w14:textId="77777777" w:rsidR="004E6638" w:rsidRPr="009B7A89" w:rsidRDefault="005726E7" w:rsidP="004E6638">
      <w:pPr>
        <w:spacing w:before="3"/>
        <w:jc w:val="both"/>
        <w:rPr>
          <w:rFonts w:ascii="Abadi" w:hAnsi="Abadi"/>
          <w:sz w:val="21"/>
          <w:szCs w:val="21"/>
        </w:rPr>
      </w:pPr>
      <w:r>
        <w:rPr>
          <w:rStyle w:val="Refdenotaalpie"/>
        </w:rPr>
        <w:footnoteRef/>
      </w:r>
      <w:r>
        <w:t xml:space="preserve"> </w:t>
      </w:r>
      <w:r w:rsidR="004E6638" w:rsidRPr="00914CED">
        <w:rPr>
          <w:rFonts w:ascii="Abadi" w:hAnsi="Abadi"/>
          <w:spacing w:val="-4"/>
          <w:sz w:val="16"/>
          <w:szCs w:val="16"/>
        </w:rPr>
        <w:t>El</w:t>
      </w:r>
      <w:r w:rsidR="004E6638" w:rsidRPr="00914CED">
        <w:rPr>
          <w:rFonts w:ascii="Abadi" w:hAnsi="Abadi"/>
          <w:spacing w:val="-7"/>
          <w:sz w:val="16"/>
          <w:szCs w:val="16"/>
        </w:rPr>
        <w:t xml:space="preserve"> </w:t>
      </w:r>
      <w:r w:rsidR="004E6638" w:rsidRPr="00914CED">
        <w:rPr>
          <w:rFonts w:ascii="Abadi" w:hAnsi="Abadi"/>
          <w:spacing w:val="-4"/>
          <w:sz w:val="16"/>
          <w:szCs w:val="16"/>
        </w:rPr>
        <w:t>Financiero.</w:t>
      </w:r>
      <w:r w:rsidR="004E6638" w:rsidRPr="00914CED">
        <w:rPr>
          <w:rFonts w:ascii="Abadi" w:hAnsi="Abadi"/>
          <w:spacing w:val="-6"/>
          <w:sz w:val="16"/>
          <w:szCs w:val="16"/>
        </w:rPr>
        <w:t xml:space="preserve"> </w:t>
      </w:r>
      <w:r w:rsidR="004E6638" w:rsidRPr="00914CED">
        <w:rPr>
          <w:rFonts w:ascii="Abadi" w:hAnsi="Abadi"/>
          <w:spacing w:val="-4"/>
          <w:sz w:val="16"/>
          <w:szCs w:val="16"/>
        </w:rPr>
        <w:t>(2020).</w:t>
      </w:r>
      <w:r w:rsidR="004E6638" w:rsidRPr="00914CED">
        <w:rPr>
          <w:rFonts w:ascii="Abadi" w:hAnsi="Abadi"/>
          <w:spacing w:val="-8"/>
          <w:sz w:val="16"/>
          <w:szCs w:val="16"/>
        </w:rPr>
        <w:t xml:space="preserve"> </w:t>
      </w:r>
      <w:r w:rsidR="004E6638" w:rsidRPr="00914CED">
        <w:rPr>
          <w:rFonts w:ascii="Abadi" w:hAnsi="Abadi"/>
          <w:spacing w:val="-4"/>
          <w:sz w:val="16"/>
          <w:szCs w:val="16"/>
        </w:rPr>
        <w:t>“Guanajuato</w:t>
      </w:r>
      <w:r w:rsidR="004E6638" w:rsidRPr="00914CED">
        <w:rPr>
          <w:rFonts w:ascii="Abadi" w:hAnsi="Abadi"/>
          <w:spacing w:val="-7"/>
          <w:sz w:val="16"/>
          <w:szCs w:val="16"/>
        </w:rPr>
        <w:t xml:space="preserve"> </w:t>
      </w:r>
      <w:r w:rsidR="004E6638" w:rsidRPr="00914CED">
        <w:rPr>
          <w:rFonts w:ascii="Abadi" w:hAnsi="Abadi"/>
          <w:spacing w:val="-4"/>
          <w:sz w:val="16"/>
          <w:szCs w:val="16"/>
        </w:rPr>
        <w:t>anuncia</w:t>
      </w:r>
      <w:r w:rsidR="004E6638" w:rsidRPr="00914CED">
        <w:rPr>
          <w:rFonts w:ascii="Abadi" w:hAnsi="Abadi"/>
          <w:spacing w:val="-6"/>
          <w:sz w:val="16"/>
          <w:szCs w:val="16"/>
        </w:rPr>
        <w:t xml:space="preserve"> </w:t>
      </w:r>
      <w:r w:rsidR="004E6638" w:rsidRPr="00914CED">
        <w:rPr>
          <w:rFonts w:ascii="Abadi" w:hAnsi="Abadi"/>
          <w:spacing w:val="-4"/>
          <w:sz w:val="16"/>
          <w:szCs w:val="16"/>
        </w:rPr>
        <w:t>fondo</w:t>
      </w:r>
      <w:r w:rsidR="004E6638" w:rsidRPr="00914CED">
        <w:rPr>
          <w:rFonts w:ascii="Abadi" w:hAnsi="Abadi"/>
          <w:spacing w:val="-8"/>
          <w:sz w:val="16"/>
          <w:szCs w:val="16"/>
        </w:rPr>
        <w:t xml:space="preserve"> </w:t>
      </w:r>
      <w:r w:rsidR="004E6638" w:rsidRPr="00914CED">
        <w:rPr>
          <w:rFonts w:ascii="Abadi" w:hAnsi="Abadi"/>
          <w:spacing w:val="-4"/>
          <w:sz w:val="16"/>
          <w:szCs w:val="16"/>
        </w:rPr>
        <w:t>económico</w:t>
      </w:r>
      <w:r w:rsidR="004E6638" w:rsidRPr="00914CED">
        <w:rPr>
          <w:rFonts w:ascii="Abadi" w:hAnsi="Abadi"/>
          <w:spacing w:val="-7"/>
          <w:sz w:val="16"/>
          <w:szCs w:val="16"/>
        </w:rPr>
        <w:t xml:space="preserve"> </w:t>
      </w:r>
      <w:r w:rsidR="004E6638" w:rsidRPr="00914CED">
        <w:rPr>
          <w:rFonts w:ascii="Abadi" w:hAnsi="Abadi"/>
          <w:spacing w:val="-4"/>
          <w:sz w:val="16"/>
          <w:szCs w:val="16"/>
        </w:rPr>
        <w:t>para</w:t>
      </w:r>
      <w:r w:rsidR="004E6638" w:rsidRPr="00914CED">
        <w:rPr>
          <w:rFonts w:ascii="Abadi" w:hAnsi="Abadi"/>
          <w:spacing w:val="-5"/>
          <w:sz w:val="16"/>
          <w:szCs w:val="16"/>
        </w:rPr>
        <w:t xml:space="preserve"> </w:t>
      </w:r>
      <w:r w:rsidR="004E6638" w:rsidRPr="00914CED">
        <w:rPr>
          <w:rFonts w:ascii="Abadi" w:hAnsi="Abadi"/>
          <w:spacing w:val="-4"/>
          <w:sz w:val="16"/>
          <w:szCs w:val="16"/>
        </w:rPr>
        <w:t>trabajadores</w:t>
      </w:r>
      <w:r w:rsidR="004E6638" w:rsidRPr="00914CED">
        <w:rPr>
          <w:rFonts w:ascii="Abadi" w:hAnsi="Abadi"/>
          <w:spacing w:val="-7"/>
          <w:sz w:val="16"/>
          <w:szCs w:val="16"/>
        </w:rPr>
        <w:t xml:space="preserve"> </w:t>
      </w:r>
      <w:r w:rsidR="004E6638" w:rsidRPr="00914CED">
        <w:rPr>
          <w:rFonts w:ascii="Abadi" w:hAnsi="Abadi"/>
          <w:spacing w:val="-4"/>
          <w:sz w:val="16"/>
          <w:szCs w:val="16"/>
        </w:rPr>
        <w:t>de</w:t>
      </w:r>
      <w:r w:rsidR="004E6638" w:rsidRPr="00914CED">
        <w:rPr>
          <w:rFonts w:ascii="Abadi" w:hAnsi="Abadi"/>
          <w:spacing w:val="-6"/>
          <w:sz w:val="16"/>
          <w:szCs w:val="16"/>
        </w:rPr>
        <w:t xml:space="preserve"> </w:t>
      </w:r>
      <w:r w:rsidR="004E6638" w:rsidRPr="00914CED">
        <w:rPr>
          <w:rFonts w:ascii="Abadi" w:hAnsi="Abadi"/>
          <w:spacing w:val="-4"/>
          <w:sz w:val="16"/>
          <w:szCs w:val="16"/>
        </w:rPr>
        <w:t>la</w:t>
      </w:r>
      <w:r w:rsidR="004E6638" w:rsidRPr="00914CED">
        <w:rPr>
          <w:rFonts w:ascii="Abadi" w:hAnsi="Abadi"/>
          <w:spacing w:val="-7"/>
          <w:sz w:val="16"/>
          <w:szCs w:val="16"/>
        </w:rPr>
        <w:t xml:space="preserve"> </w:t>
      </w:r>
      <w:r w:rsidR="004E6638" w:rsidRPr="00914CED">
        <w:rPr>
          <w:rFonts w:ascii="Abadi" w:hAnsi="Abadi"/>
          <w:spacing w:val="-4"/>
          <w:sz w:val="16"/>
          <w:szCs w:val="16"/>
        </w:rPr>
        <w:t>Salud</w:t>
      </w:r>
      <w:r w:rsidR="004E6638" w:rsidRPr="00914CED">
        <w:rPr>
          <w:rFonts w:ascii="Abadi" w:hAnsi="Abadi"/>
          <w:spacing w:val="-8"/>
          <w:sz w:val="16"/>
          <w:szCs w:val="16"/>
        </w:rPr>
        <w:t xml:space="preserve"> </w:t>
      </w:r>
      <w:r w:rsidR="004E6638" w:rsidRPr="00914CED">
        <w:rPr>
          <w:rFonts w:ascii="Abadi" w:hAnsi="Abadi"/>
          <w:spacing w:val="-4"/>
          <w:sz w:val="16"/>
          <w:szCs w:val="16"/>
        </w:rPr>
        <w:t>en</w:t>
      </w:r>
      <w:r w:rsidR="004E6638" w:rsidRPr="00914CED">
        <w:rPr>
          <w:rFonts w:ascii="Abadi" w:hAnsi="Abadi"/>
          <w:spacing w:val="-7"/>
          <w:sz w:val="16"/>
          <w:szCs w:val="16"/>
        </w:rPr>
        <w:t xml:space="preserve"> </w:t>
      </w:r>
      <w:r w:rsidR="004E6638" w:rsidRPr="00914CED">
        <w:rPr>
          <w:rFonts w:ascii="Abadi" w:hAnsi="Abadi"/>
          <w:spacing w:val="-4"/>
          <w:sz w:val="16"/>
          <w:szCs w:val="16"/>
        </w:rPr>
        <w:t>el</w:t>
      </w:r>
      <w:r w:rsidR="004E6638" w:rsidRPr="00914CED">
        <w:rPr>
          <w:rFonts w:ascii="Abadi" w:hAnsi="Abadi"/>
          <w:spacing w:val="-5"/>
          <w:sz w:val="16"/>
          <w:szCs w:val="16"/>
        </w:rPr>
        <w:t xml:space="preserve"> </w:t>
      </w:r>
      <w:r w:rsidR="004E6638" w:rsidRPr="00914CED">
        <w:rPr>
          <w:rFonts w:ascii="Abadi" w:hAnsi="Abadi"/>
          <w:spacing w:val="-4"/>
          <w:sz w:val="16"/>
          <w:szCs w:val="16"/>
        </w:rPr>
        <w:t>Estado”.</w:t>
      </w:r>
      <w:r w:rsidR="004E6638" w:rsidRPr="00914CED">
        <w:rPr>
          <w:rFonts w:ascii="Abadi" w:hAnsi="Abadi"/>
          <w:spacing w:val="-6"/>
          <w:sz w:val="16"/>
          <w:szCs w:val="16"/>
        </w:rPr>
        <w:t xml:space="preserve"> </w:t>
      </w:r>
      <w:r w:rsidR="004E6638" w:rsidRPr="00914CED">
        <w:rPr>
          <w:rFonts w:ascii="Abadi" w:hAnsi="Abadi"/>
          <w:spacing w:val="-4"/>
          <w:sz w:val="16"/>
          <w:szCs w:val="16"/>
        </w:rPr>
        <w:t>En</w:t>
      </w:r>
      <w:r w:rsidR="004E6638" w:rsidRPr="00914CED">
        <w:rPr>
          <w:rFonts w:ascii="Abadi" w:hAnsi="Abadi"/>
          <w:sz w:val="16"/>
          <w:szCs w:val="16"/>
        </w:rPr>
        <w:t xml:space="preserve"> </w:t>
      </w:r>
      <w:r w:rsidR="004E6638" w:rsidRPr="00914CED">
        <w:rPr>
          <w:rFonts w:ascii="Abadi" w:hAnsi="Abadi"/>
          <w:i/>
          <w:w w:val="90"/>
          <w:sz w:val="16"/>
          <w:szCs w:val="16"/>
        </w:rPr>
        <w:t xml:space="preserve">El Financiero. </w:t>
      </w:r>
      <w:r w:rsidR="004E6638" w:rsidRPr="00914CED">
        <w:rPr>
          <w:rFonts w:ascii="Abadi" w:hAnsi="Abadi"/>
          <w:w w:val="90"/>
          <w:sz w:val="16"/>
          <w:szCs w:val="16"/>
        </w:rPr>
        <w:t>Disponible</w:t>
      </w:r>
      <w:r w:rsidR="004E6638" w:rsidRPr="00914CED">
        <w:rPr>
          <w:rFonts w:ascii="Abadi" w:hAnsi="Abadi"/>
          <w:sz w:val="16"/>
          <w:szCs w:val="16"/>
        </w:rPr>
        <w:t xml:space="preserve"> </w:t>
      </w:r>
      <w:r w:rsidR="004E6638" w:rsidRPr="00914CED">
        <w:rPr>
          <w:rFonts w:ascii="Abadi" w:hAnsi="Abadi"/>
          <w:w w:val="90"/>
          <w:sz w:val="16"/>
          <w:szCs w:val="16"/>
        </w:rPr>
        <w:t>en:</w:t>
      </w:r>
      <w:r w:rsidR="004E6638" w:rsidRPr="00914CED">
        <w:rPr>
          <w:rFonts w:ascii="Abadi" w:hAnsi="Abadi"/>
          <w:sz w:val="16"/>
          <w:szCs w:val="16"/>
        </w:rPr>
        <w:t xml:space="preserve"> </w:t>
      </w:r>
      <w:hyperlink r:id="rId216">
        <w:r w:rsidR="004E6638" w:rsidRPr="00914CED">
          <w:rPr>
            <w:rFonts w:ascii="Abadi" w:hAnsi="Abadi"/>
            <w:color w:val="0562C1"/>
            <w:w w:val="90"/>
            <w:sz w:val="16"/>
            <w:szCs w:val="16"/>
            <w:u w:val="single" w:color="0562C1"/>
          </w:rPr>
          <w:t>https://www.elfinanciero.com.mx/nacional/gobernador-de-guanajuato-anuncia-</w:t>
        </w:r>
      </w:hyperlink>
      <w:r w:rsidR="004E6638" w:rsidRPr="00914CED">
        <w:rPr>
          <w:rFonts w:ascii="Abadi" w:hAnsi="Abadi"/>
          <w:color w:val="0562C1"/>
          <w:spacing w:val="80"/>
          <w:w w:val="150"/>
          <w:sz w:val="16"/>
          <w:szCs w:val="16"/>
        </w:rPr>
        <w:t xml:space="preserve"> </w:t>
      </w:r>
      <w:hyperlink r:id="rId217">
        <w:r w:rsidR="004E6638" w:rsidRPr="00914CED">
          <w:rPr>
            <w:rFonts w:ascii="Abadi" w:hAnsi="Abadi"/>
            <w:color w:val="0562C1"/>
            <w:spacing w:val="-4"/>
            <w:sz w:val="16"/>
            <w:szCs w:val="16"/>
            <w:u w:val="single" w:color="0562C1"/>
          </w:rPr>
          <w:t>un-fondo-</w:t>
        </w:r>
        <w:proofErr w:type="spellStart"/>
        <w:r w:rsidR="004E6638" w:rsidRPr="00914CED">
          <w:rPr>
            <w:rFonts w:ascii="Abadi" w:hAnsi="Abadi"/>
            <w:color w:val="0562C1"/>
            <w:spacing w:val="-4"/>
            <w:sz w:val="16"/>
            <w:szCs w:val="16"/>
            <w:u w:val="single" w:color="0562C1"/>
          </w:rPr>
          <w:t>economico</w:t>
        </w:r>
        <w:proofErr w:type="spellEnd"/>
        <w:r w:rsidR="004E6638" w:rsidRPr="00914CED">
          <w:rPr>
            <w:rFonts w:ascii="Abadi" w:hAnsi="Abadi"/>
            <w:color w:val="0562C1"/>
            <w:spacing w:val="-4"/>
            <w:sz w:val="16"/>
            <w:szCs w:val="16"/>
            <w:u w:val="single" w:color="0562C1"/>
          </w:rPr>
          <w:t>-</w:t>
        </w:r>
        <w:proofErr w:type="spellStart"/>
        <w:r w:rsidR="004E6638" w:rsidRPr="00914CED">
          <w:rPr>
            <w:rFonts w:ascii="Abadi" w:hAnsi="Abadi"/>
            <w:color w:val="0562C1"/>
            <w:spacing w:val="-4"/>
            <w:sz w:val="16"/>
            <w:szCs w:val="16"/>
            <w:u w:val="single" w:color="0562C1"/>
          </w:rPr>
          <w:t>para-trabajadores-de-la-salud-en-el-estado</w:t>
        </w:r>
        <w:proofErr w:type="spellEnd"/>
        <w:r w:rsidR="004E6638" w:rsidRPr="00914CED">
          <w:rPr>
            <w:rFonts w:ascii="Abadi" w:hAnsi="Abadi"/>
            <w:color w:val="0562C1"/>
            <w:spacing w:val="-4"/>
            <w:sz w:val="16"/>
            <w:szCs w:val="16"/>
            <w:u w:val="single" w:color="0562C1"/>
          </w:rPr>
          <w:t>/</w:t>
        </w:r>
      </w:hyperlink>
    </w:p>
    <w:p w14:paraId="0E459F68" w14:textId="17A1F008" w:rsidR="005726E7" w:rsidRDefault="005726E7">
      <w:pPr>
        <w:pStyle w:val="Textonotapie"/>
      </w:pPr>
    </w:p>
  </w:footnote>
  <w:footnote w:id="60">
    <w:p w14:paraId="72F5CB57" w14:textId="7233F92E" w:rsidR="00211B17" w:rsidRPr="00CE0EB0" w:rsidRDefault="00211B17">
      <w:pPr>
        <w:pStyle w:val="Textonotapie"/>
        <w:rPr>
          <w:rFonts w:ascii="Abadi" w:hAnsi="Abadi"/>
          <w:sz w:val="16"/>
          <w:szCs w:val="16"/>
        </w:rPr>
      </w:pPr>
      <w:r w:rsidRPr="00CE0EB0">
        <w:rPr>
          <w:rStyle w:val="Refdenotaalpie"/>
          <w:rFonts w:ascii="Abadi" w:hAnsi="Abadi"/>
          <w:sz w:val="16"/>
          <w:szCs w:val="16"/>
        </w:rPr>
        <w:footnoteRef/>
      </w:r>
      <w:r w:rsidRPr="00CE0EB0">
        <w:rPr>
          <w:rFonts w:ascii="Abadi" w:hAnsi="Abadi"/>
          <w:sz w:val="16"/>
          <w:szCs w:val="16"/>
        </w:rPr>
        <w:t xml:space="preserve"> </w:t>
      </w:r>
      <w:r w:rsidR="00BB484E" w:rsidRPr="00CE0EB0">
        <w:rPr>
          <w:rFonts w:ascii="Abadi" w:hAnsi="Abadi"/>
          <w:spacing w:val="-4"/>
          <w:sz w:val="16"/>
          <w:szCs w:val="16"/>
        </w:rPr>
        <w:t>Pizano, Carmen.</w:t>
      </w:r>
      <w:r w:rsidR="00BB484E" w:rsidRPr="00CE0EB0">
        <w:rPr>
          <w:rFonts w:ascii="Abadi" w:hAnsi="Abadi"/>
          <w:spacing w:val="-7"/>
          <w:sz w:val="16"/>
          <w:szCs w:val="16"/>
        </w:rPr>
        <w:t xml:space="preserve"> </w:t>
      </w:r>
      <w:r w:rsidR="00BB484E" w:rsidRPr="00CE0EB0">
        <w:rPr>
          <w:rFonts w:ascii="Abadi" w:hAnsi="Abadi"/>
          <w:spacing w:val="-4"/>
          <w:sz w:val="16"/>
          <w:szCs w:val="16"/>
        </w:rPr>
        <w:t>(2023).</w:t>
      </w:r>
      <w:r w:rsidR="00BB484E" w:rsidRPr="00CE0EB0">
        <w:rPr>
          <w:rFonts w:ascii="Abadi" w:hAnsi="Abadi"/>
          <w:spacing w:val="-7"/>
          <w:sz w:val="16"/>
          <w:szCs w:val="16"/>
        </w:rPr>
        <w:t xml:space="preserve"> </w:t>
      </w:r>
      <w:r w:rsidR="00BB484E" w:rsidRPr="00CE0EB0">
        <w:rPr>
          <w:rFonts w:ascii="Abadi" w:hAnsi="Abadi"/>
          <w:spacing w:val="-4"/>
          <w:sz w:val="16"/>
          <w:szCs w:val="16"/>
        </w:rPr>
        <w:t>“Fueron</w:t>
      </w:r>
      <w:r w:rsidR="00BB484E" w:rsidRPr="00CE0EB0">
        <w:rPr>
          <w:rFonts w:ascii="Abadi" w:hAnsi="Abadi"/>
          <w:spacing w:val="-7"/>
          <w:sz w:val="16"/>
          <w:szCs w:val="16"/>
        </w:rPr>
        <w:t xml:space="preserve"> </w:t>
      </w:r>
      <w:r w:rsidR="00BB484E" w:rsidRPr="00CE0EB0">
        <w:rPr>
          <w:rFonts w:ascii="Abadi" w:hAnsi="Abadi"/>
          <w:spacing w:val="-4"/>
          <w:sz w:val="16"/>
          <w:szCs w:val="16"/>
        </w:rPr>
        <w:t>héroes</w:t>
      </w:r>
      <w:r w:rsidR="00BB484E" w:rsidRPr="00CE0EB0">
        <w:rPr>
          <w:rFonts w:ascii="Abadi" w:hAnsi="Abadi"/>
          <w:spacing w:val="-5"/>
          <w:sz w:val="16"/>
          <w:szCs w:val="16"/>
        </w:rPr>
        <w:t xml:space="preserve"> </w:t>
      </w:r>
      <w:r w:rsidR="00BB484E" w:rsidRPr="00CE0EB0">
        <w:rPr>
          <w:rFonts w:ascii="Abadi" w:hAnsi="Abadi"/>
          <w:spacing w:val="-4"/>
          <w:sz w:val="16"/>
          <w:szCs w:val="16"/>
        </w:rPr>
        <w:t>en</w:t>
      </w:r>
      <w:r w:rsidR="00BB484E" w:rsidRPr="00CE0EB0">
        <w:rPr>
          <w:rFonts w:ascii="Abadi" w:hAnsi="Abadi"/>
          <w:spacing w:val="-6"/>
          <w:sz w:val="16"/>
          <w:szCs w:val="16"/>
        </w:rPr>
        <w:t xml:space="preserve"> </w:t>
      </w:r>
      <w:r w:rsidR="00BB484E" w:rsidRPr="00CE0EB0">
        <w:rPr>
          <w:rFonts w:ascii="Abadi" w:hAnsi="Abadi"/>
          <w:spacing w:val="-4"/>
          <w:sz w:val="16"/>
          <w:szCs w:val="16"/>
        </w:rPr>
        <w:t>la</w:t>
      </w:r>
      <w:r w:rsidR="00BB484E" w:rsidRPr="00CE0EB0">
        <w:rPr>
          <w:rFonts w:ascii="Abadi" w:hAnsi="Abadi"/>
          <w:spacing w:val="-5"/>
          <w:sz w:val="16"/>
          <w:szCs w:val="16"/>
        </w:rPr>
        <w:t xml:space="preserve"> </w:t>
      </w:r>
      <w:r w:rsidR="00BB484E" w:rsidRPr="00CE0EB0">
        <w:rPr>
          <w:rFonts w:ascii="Abadi" w:hAnsi="Abadi"/>
          <w:spacing w:val="-4"/>
          <w:sz w:val="16"/>
          <w:szCs w:val="16"/>
        </w:rPr>
        <w:t>pandemia,</w:t>
      </w:r>
      <w:r w:rsidR="00BB484E" w:rsidRPr="00CE0EB0">
        <w:rPr>
          <w:rFonts w:ascii="Abadi" w:hAnsi="Abadi"/>
          <w:spacing w:val="-6"/>
          <w:sz w:val="16"/>
          <w:szCs w:val="16"/>
        </w:rPr>
        <w:t xml:space="preserve"> </w:t>
      </w:r>
      <w:r w:rsidR="00BB484E" w:rsidRPr="00CE0EB0">
        <w:rPr>
          <w:rFonts w:ascii="Abadi" w:hAnsi="Abadi"/>
          <w:spacing w:val="-4"/>
          <w:sz w:val="16"/>
          <w:szCs w:val="16"/>
        </w:rPr>
        <w:t>hoy</w:t>
      </w:r>
      <w:r w:rsidR="00BB484E" w:rsidRPr="00CE0EB0">
        <w:rPr>
          <w:rFonts w:ascii="Abadi" w:hAnsi="Abadi"/>
          <w:spacing w:val="-5"/>
          <w:sz w:val="16"/>
          <w:szCs w:val="16"/>
        </w:rPr>
        <w:t xml:space="preserve"> </w:t>
      </w:r>
      <w:r w:rsidR="00BB484E" w:rsidRPr="00CE0EB0">
        <w:rPr>
          <w:rFonts w:ascii="Abadi" w:hAnsi="Abadi"/>
          <w:spacing w:val="-4"/>
          <w:sz w:val="16"/>
          <w:szCs w:val="16"/>
        </w:rPr>
        <w:t>el</w:t>
      </w:r>
      <w:r w:rsidR="00BB484E" w:rsidRPr="00CE0EB0">
        <w:rPr>
          <w:rFonts w:ascii="Abadi" w:hAnsi="Abadi"/>
          <w:spacing w:val="-1"/>
          <w:sz w:val="16"/>
          <w:szCs w:val="16"/>
        </w:rPr>
        <w:t xml:space="preserve"> </w:t>
      </w:r>
      <w:r w:rsidR="00BB484E" w:rsidRPr="00CE0EB0">
        <w:rPr>
          <w:rFonts w:ascii="Abadi" w:hAnsi="Abadi"/>
          <w:spacing w:val="-4"/>
          <w:sz w:val="16"/>
          <w:szCs w:val="16"/>
        </w:rPr>
        <w:t>gobierno</w:t>
      </w:r>
      <w:r w:rsidR="00BB484E" w:rsidRPr="00CE0EB0">
        <w:rPr>
          <w:rFonts w:ascii="Abadi" w:hAnsi="Abadi"/>
          <w:spacing w:val="-6"/>
          <w:sz w:val="16"/>
          <w:szCs w:val="16"/>
        </w:rPr>
        <w:t xml:space="preserve"> </w:t>
      </w:r>
      <w:r w:rsidR="00BB484E" w:rsidRPr="00CE0EB0">
        <w:rPr>
          <w:rFonts w:ascii="Abadi" w:hAnsi="Abadi"/>
          <w:spacing w:val="-4"/>
          <w:sz w:val="16"/>
          <w:szCs w:val="16"/>
        </w:rPr>
        <w:t>les</w:t>
      </w:r>
      <w:r w:rsidR="00BB484E" w:rsidRPr="00CE0EB0">
        <w:rPr>
          <w:rFonts w:ascii="Abadi" w:hAnsi="Abadi"/>
          <w:spacing w:val="-5"/>
          <w:sz w:val="16"/>
          <w:szCs w:val="16"/>
        </w:rPr>
        <w:t xml:space="preserve"> </w:t>
      </w:r>
      <w:r w:rsidR="00BB484E" w:rsidRPr="00CE0EB0">
        <w:rPr>
          <w:rFonts w:ascii="Abadi" w:hAnsi="Abadi"/>
          <w:spacing w:val="-4"/>
          <w:sz w:val="16"/>
          <w:szCs w:val="16"/>
        </w:rPr>
        <w:t>regatea derechos</w:t>
      </w:r>
      <w:r w:rsidR="00BB484E" w:rsidRPr="00CE0EB0">
        <w:rPr>
          <w:rFonts w:ascii="Abadi" w:hAnsi="Abadi"/>
          <w:spacing w:val="-6"/>
          <w:sz w:val="16"/>
          <w:szCs w:val="16"/>
        </w:rPr>
        <w:t xml:space="preserve"> </w:t>
      </w:r>
      <w:r w:rsidR="00BB484E" w:rsidRPr="00CE0EB0">
        <w:rPr>
          <w:rFonts w:ascii="Abadi" w:hAnsi="Abadi"/>
          <w:spacing w:val="-4"/>
          <w:sz w:val="16"/>
          <w:szCs w:val="16"/>
        </w:rPr>
        <w:t>prometidos</w:t>
      </w:r>
      <w:r w:rsidR="00BB484E" w:rsidRPr="00CE0EB0">
        <w:rPr>
          <w:rFonts w:ascii="Abadi" w:hAnsi="Abadi"/>
          <w:spacing w:val="-6"/>
          <w:sz w:val="16"/>
          <w:szCs w:val="16"/>
        </w:rPr>
        <w:t xml:space="preserve"> </w:t>
      </w:r>
      <w:r w:rsidR="00BB484E" w:rsidRPr="00CE0EB0">
        <w:rPr>
          <w:rFonts w:ascii="Abadi" w:hAnsi="Abadi"/>
          <w:spacing w:val="-4"/>
          <w:sz w:val="16"/>
          <w:szCs w:val="16"/>
        </w:rPr>
        <w:t>e</w:t>
      </w:r>
      <w:r w:rsidR="00BB484E" w:rsidRPr="00CE0EB0">
        <w:rPr>
          <w:rFonts w:ascii="Abadi" w:hAnsi="Abadi"/>
          <w:spacing w:val="-2"/>
          <w:sz w:val="16"/>
          <w:szCs w:val="16"/>
        </w:rPr>
        <w:t xml:space="preserve"> inicia</w:t>
      </w:r>
      <w:r w:rsidR="00BB484E" w:rsidRPr="00CE0EB0">
        <w:rPr>
          <w:rFonts w:ascii="Abadi" w:hAnsi="Abadi"/>
          <w:spacing w:val="-5"/>
          <w:sz w:val="16"/>
          <w:szCs w:val="16"/>
        </w:rPr>
        <w:t xml:space="preserve"> </w:t>
      </w:r>
      <w:r w:rsidR="00BB484E" w:rsidRPr="00CE0EB0">
        <w:rPr>
          <w:rFonts w:ascii="Abadi" w:hAnsi="Abadi"/>
          <w:spacing w:val="-2"/>
          <w:sz w:val="16"/>
          <w:szCs w:val="16"/>
        </w:rPr>
        <w:t>represión”.</w:t>
      </w:r>
      <w:r w:rsidR="00BB484E" w:rsidRPr="00CE0EB0">
        <w:rPr>
          <w:rFonts w:ascii="Abadi" w:hAnsi="Abadi"/>
          <w:spacing w:val="-6"/>
          <w:sz w:val="16"/>
          <w:szCs w:val="16"/>
        </w:rPr>
        <w:t xml:space="preserve"> </w:t>
      </w:r>
      <w:r w:rsidR="00BB484E" w:rsidRPr="00CE0EB0">
        <w:rPr>
          <w:rFonts w:ascii="Abadi" w:hAnsi="Abadi"/>
          <w:spacing w:val="-2"/>
          <w:sz w:val="16"/>
          <w:szCs w:val="16"/>
        </w:rPr>
        <w:t>En</w:t>
      </w:r>
      <w:r w:rsidR="00BB484E" w:rsidRPr="00CE0EB0">
        <w:rPr>
          <w:rFonts w:ascii="Abadi" w:hAnsi="Abadi"/>
          <w:spacing w:val="-5"/>
          <w:sz w:val="16"/>
          <w:szCs w:val="16"/>
        </w:rPr>
        <w:t xml:space="preserve"> </w:t>
      </w:r>
      <w:proofErr w:type="spellStart"/>
      <w:r w:rsidR="00BB484E" w:rsidRPr="00CE0EB0">
        <w:rPr>
          <w:rFonts w:ascii="Abadi" w:hAnsi="Abadi"/>
          <w:i/>
          <w:spacing w:val="-2"/>
          <w:sz w:val="16"/>
          <w:szCs w:val="16"/>
        </w:rPr>
        <w:t>Poblab</w:t>
      </w:r>
      <w:proofErr w:type="spellEnd"/>
      <w:r w:rsidR="00BB484E" w:rsidRPr="00CE0EB0">
        <w:rPr>
          <w:rFonts w:ascii="Abadi" w:hAnsi="Abadi"/>
          <w:i/>
          <w:spacing w:val="-2"/>
          <w:sz w:val="16"/>
          <w:szCs w:val="16"/>
        </w:rPr>
        <w:t>,</w:t>
      </w:r>
      <w:r w:rsidR="00BB484E" w:rsidRPr="00CE0EB0">
        <w:rPr>
          <w:rFonts w:ascii="Abadi" w:hAnsi="Abadi"/>
          <w:i/>
          <w:spacing w:val="-8"/>
          <w:sz w:val="16"/>
          <w:szCs w:val="16"/>
        </w:rPr>
        <w:t xml:space="preserve"> </w:t>
      </w:r>
      <w:r w:rsidR="00BB484E" w:rsidRPr="00CE0EB0">
        <w:rPr>
          <w:rFonts w:ascii="Abadi" w:hAnsi="Abadi"/>
          <w:spacing w:val="-2"/>
          <w:sz w:val="16"/>
          <w:szCs w:val="16"/>
        </w:rPr>
        <w:t>24</w:t>
      </w:r>
      <w:r w:rsidR="00BB484E" w:rsidRPr="00CE0EB0">
        <w:rPr>
          <w:rFonts w:ascii="Abadi" w:hAnsi="Abadi"/>
          <w:spacing w:val="-5"/>
          <w:sz w:val="16"/>
          <w:szCs w:val="16"/>
        </w:rPr>
        <w:t xml:space="preserve"> </w:t>
      </w:r>
      <w:r w:rsidR="00BB484E" w:rsidRPr="00CE0EB0">
        <w:rPr>
          <w:rFonts w:ascii="Abadi" w:hAnsi="Abadi"/>
          <w:spacing w:val="-2"/>
          <w:sz w:val="16"/>
          <w:szCs w:val="16"/>
        </w:rPr>
        <w:t>de</w:t>
      </w:r>
      <w:r w:rsidR="00BB484E" w:rsidRPr="00CE0EB0">
        <w:rPr>
          <w:rFonts w:ascii="Abadi" w:hAnsi="Abadi"/>
          <w:spacing w:val="-6"/>
          <w:sz w:val="16"/>
          <w:szCs w:val="16"/>
        </w:rPr>
        <w:t xml:space="preserve"> </w:t>
      </w:r>
      <w:r w:rsidR="00BB484E" w:rsidRPr="00CE0EB0">
        <w:rPr>
          <w:rFonts w:ascii="Abadi" w:hAnsi="Abadi"/>
          <w:spacing w:val="-2"/>
          <w:sz w:val="16"/>
          <w:szCs w:val="16"/>
        </w:rPr>
        <w:t>abril,</w:t>
      </w:r>
      <w:r w:rsidR="00BB484E" w:rsidRPr="00CE0EB0">
        <w:rPr>
          <w:rFonts w:ascii="Abadi" w:hAnsi="Abadi"/>
          <w:spacing w:val="-6"/>
          <w:sz w:val="16"/>
          <w:szCs w:val="16"/>
        </w:rPr>
        <w:t xml:space="preserve"> </w:t>
      </w:r>
      <w:r w:rsidR="00BB484E" w:rsidRPr="00CE0EB0">
        <w:rPr>
          <w:rFonts w:ascii="Abadi" w:hAnsi="Abadi"/>
          <w:spacing w:val="-2"/>
          <w:sz w:val="16"/>
          <w:szCs w:val="16"/>
        </w:rPr>
        <w:t>disponible</w:t>
      </w:r>
      <w:r w:rsidR="00BB484E" w:rsidRPr="00CE0EB0">
        <w:rPr>
          <w:rFonts w:ascii="Abadi" w:hAnsi="Abadi"/>
          <w:spacing w:val="-5"/>
          <w:sz w:val="16"/>
          <w:szCs w:val="16"/>
        </w:rPr>
        <w:t xml:space="preserve"> </w:t>
      </w:r>
      <w:r w:rsidR="00BB484E" w:rsidRPr="00CE0EB0">
        <w:rPr>
          <w:rFonts w:ascii="Abadi" w:hAnsi="Abadi"/>
          <w:spacing w:val="-2"/>
          <w:sz w:val="16"/>
          <w:szCs w:val="16"/>
        </w:rPr>
        <w:t>en:</w:t>
      </w:r>
      <w:r w:rsidR="00BB484E" w:rsidRPr="00CE0EB0">
        <w:rPr>
          <w:rFonts w:ascii="Abadi" w:hAnsi="Abadi"/>
          <w:spacing w:val="-5"/>
          <w:sz w:val="16"/>
          <w:szCs w:val="16"/>
        </w:rPr>
        <w:t xml:space="preserve"> </w:t>
      </w:r>
      <w:hyperlink r:id="rId218">
        <w:r w:rsidR="00BB484E" w:rsidRPr="00CE0EB0">
          <w:rPr>
            <w:rFonts w:ascii="Abadi" w:hAnsi="Abadi"/>
            <w:color w:val="0562C1"/>
            <w:spacing w:val="-2"/>
            <w:sz w:val="16"/>
            <w:szCs w:val="16"/>
            <w:u w:val="single" w:color="0562C1"/>
          </w:rPr>
          <w:t>https://poplab.mx/v2/story/Fueron-heroes-en-la-</w:t>
        </w:r>
      </w:hyperlink>
      <w:r w:rsidR="00BB484E" w:rsidRPr="00CE0EB0">
        <w:rPr>
          <w:rFonts w:ascii="Abadi" w:hAnsi="Abadi"/>
          <w:color w:val="0562C1"/>
          <w:spacing w:val="-2"/>
          <w:sz w:val="16"/>
          <w:szCs w:val="16"/>
        </w:rPr>
        <w:t xml:space="preserve"> </w:t>
      </w:r>
      <w:hyperlink r:id="rId219">
        <w:r w:rsidR="00BB484E" w:rsidRPr="00CE0EB0">
          <w:rPr>
            <w:rFonts w:ascii="Abadi" w:hAnsi="Abadi"/>
            <w:color w:val="0562C1"/>
            <w:spacing w:val="-4"/>
            <w:sz w:val="16"/>
            <w:szCs w:val="16"/>
            <w:u w:val="single" w:color="0562C1"/>
          </w:rPr>
          <w:t>pandemia-hoy-el-gobierno-les-regatea-derechos-prometidos-e-inicia-represion</w:t>
        </w:r>
      </w:hyperlink>
    </w:p>
  </w:footnote>
  <w:footnote w:id="61">
    <w:p w14:paraId="2E26FB12" w14:textId="77777777" w:rsidR="0048299D" w:rsidRPr="00CE0EB0" w:rsidRDefault="00BB484E" w:rsidP="009749A0">
      <w:pPr>
        <w:spacing w:before="3"/>
        <w:jc w:val="both"/>
        <w:rPr>
          <w:rFonts w:ascii="Abadi" w:hAnsi="Abadi"/>
          <w:sz w:val="16"/>
          <w:szCs w:val="16"/>
        </w:rPr>
      </w:pPr>
      <w:r w:rsidRPr="00CE0EB0">
        <w:rPr>
          <w:rStyle w:val="Refdenotaalpie"/>
          <w:rFonts w:ascii="Abadi" w:hAnsi="Abadi"/>
          <w:sz w:val="16"/>
          <w:szCs w:val="16"/>
        </w:rPr>
        <w:footnoteRef/>
      </w:r>
      <w:r w:rsidRPr="00CE0EB0">
        <w:rPr>
          <w:rFonts w:ascii="Abadi" w:hAnsi="Abadi"/>
          <w:sz w:val="16"/>
          <w:szCs w:val="16"/>
        </w:rPr>
        <w:t xml:space="preserve"> </w:t>
      </w:r>
      <w:r w:rsidR="0048299D" w:rsidRPr="00CE0EB0">
        <w:rPr>
          <w:rFonts w:ascii="Abadi" w:hAnsi="Abadi"/>
          <w:spacing w:val="-4"/>
          <w:sz w:val="16"/>
          <w:szCs w:val="16"/>
        </w:rPr>
        <w:t>Ídem.</w:t>
      </w:r>
    </w:p>
    <w:p w14:paraId="3DE347A9" w14:textId="287AA640" w:rsidR="00BB484E" w:rsidRDefault="00BB484E">
      <w:pPr>
        <w:pStyle w:val="Textonotapie"/>
      </w:pPr>
    </w:p>
  </w:footnote>
  <w:footnote w:id="62">
    <w:p w14:paraId="13C162F3" w14:textId="2696BD44" w:rsidR="00B67727" w:rsidRDefault="00B67727">
      <w:pPr>
        <w:pStyle w:val="Textonotapie"/>
      </w:pPr>
      <w:r>
        <w:rPr>
          <w:rStyle w:val="Refdenotaalpie"/>
        </w:rPr>
        <w:footnoteRef/>
      </w:r>
      <w:r>
        <w:t xml:space="preserve"> </w:t>
      </w:r>
      <w:r w:rsidR="009B540D" w:rsidRPr="009B540D">
        <w:rPr>
          <w:rFonts w:ascii="Abadi" w:hAnsi="Abadi"/>
          <w:spacing w:val="-6"/>
          <w:sz w:val="16"/>
          <w:szCs w:val="16"/>
        </w:rPr>
        <w:t>Pizano,</w:t>
      </w:r>
      <w:r w:rsidR="009B540D" w:rsidRPr="009B540D">
        <w:rPr>
          <w:rFonts w:ascii="Abadi" w:hAnsi="Abadi"/>
          <w:sz w:val="16"/>
          <w:szCs w:val="16"/>
        </w:rPr>
        <w:t xml:space="preserve"> </w:t>
      </w:r>
      <w:r w:rsidR="009B540D" w:rsidRPr="009B540D">
        <w:rPr>
          <w:rFonts w:ascii="Abadi" w:hAnsi="Abadi"/>
          <w:spacing w:val="-6"/>
          <w:sz w:val="16"/>
          <w:szCs w:val="16"/>
        </w:rPr>
        <w:t>Carmen.</w:t>
      </w:r>
      <w:r w:rsidR="009B540D" w:rsidRPr="009B540D">
        <w:rPr>
          <w:rFonts w:ascii="Abadi" w:hAnsi="Abadi"/>
          <w:spacing w:val="-2"/>
          <w:sz w:val="16"/>
          <w:szCs w:val="16"/>
        </w:rPr>
        <w:t xml:space="preserve"> </w:t>
      </w:r>
      <w:r w:rsidR="009B540D" w:rsidRPr="009B540D">
        <w:rPr>
          <w:rFonts w:ascii="Abadi" w:hAnsi="Abadi"/>
          <w:spacing w:val="-6"/>
          <w:sz w:val="16"/>
          <w:szCs w:val="16"/>
        </w:rPr>
        <w:t>(2023).</w:t>
      </w:r>
      <w:r w:rsidR="009B540D" w:rsidRPr="009B540D">
        <w:rPr>
          <w:rFonts w:ascii="Abadi" w:hAnsi="Abadi"/>
          <w:spacing w:val="-2"/>
          <w:sz w:val="16"/>
          <w:szCs w:val="16"/>
        </w:rPr>
        <w:t xml:space="preserve"> </w:t>
      </w:r>
      <w:r w:rsidR="009B540D" w:rsidRPr="009B540D">
        <w:rPr>
          <w:rFonts w:ascii="Abadi" w:hAnsi="Abadi"/>
          <w:spacing w:val="-6"/>
          <w:sz w:val="16"/>
          <w:szCs w:val="16"/>
        </w:rPr>
        <w:t>“Promesa</w:t>
      </w:r>
      <w:r w:rsidR="009B540D" w:rsidRPr="009B540D">
        <w:rPr>
          <w:rFonts w:ascii="Abadi" w:hAnsi="Abadi"/>
          <w:spacing w:val="-1"/>
          <w:sz w:val="16"/>
          <w:szCs w:val="16"/>
        </w:rPr>
        <w:t xml:space="preserve"> </w:t>
      </w:r>
      <w:r w:rsidR="009B540D" w:rsidRPr="009B540D">
        <w:rPr>
          <w:rFonts w:ascii="Abadi" w:hAnsi="Abadi"/>
          <w:spacing w:val="-6"/>
          <w:sz w:val="16"/>
          <w:szCs w:val="16"/>
        </w:rPr>
        <w:t>de</w:t>
      </w:r>
      <w:r w:rsidR="009B540D" w:rsidRPr="009B540D">
        <w:rPr>
          <w:rFonts w:ascii="Abadi" w:hAnsi="Abadi"/>
          <w:spacing w:val="-2"/>
          <w:sz w:val="16"/>
          <w:szCs w:val="16"/>
        </w:rPr>
        <w:t xml:space="preserve"> </w:t>
      </w:r>
      <w:r w:rsidR="009B540D" w:rsidRPr="009B540D">
        <w:rPr>
          <w:rFonts w:ascii="Abadi" w:hAnsi="Abadi"/>
          <w:spacing w:val="-6"/>
          <w:sz w:val="16"/>
          <w:szCs w:val="16"/>
        </w:rPr>
        <w:t>plazas</w:t>
      </w:r>
      <w:r w:rsidR="009B540D" w:rsidRPr="009B540D">
        <w:rPr>
          <w:rFonts w:ascii="Abadi" w:hAnsi="Abadi"/>
          <w:spacing w:val="-1"/>
          <w:sz w:val="16"/>
          <w:szCs w:val="16"/>
        </w:rPr>
        <w:t xml:space="preserve"> </w:t>
      </w:r>
      <w:r w:rsidR="009B540D" w:rsidRPr="009B540D">
        <w:rPr>
          <w:rFonts w:ascii="Abadi" w:hAnsi="Abadi"/>
          <w:spacing w:val="-6"/>
          <w:sz w:val="16"/>
          <w:szCs w:val="16"/>
        </w:rPr>
        <w:t>no</w:t>
      </w:r>
      <w:r w:rsidR="009B540D" w:rsidRPr="009B540D">
        <w:rPr>
          <w:rFonts w:ascii="Abadi" w:hAnsi="Abadi"/>
          <w:spacing w:val="-2"/>
          <w:sz w:val="16"/>
          <w:szCs w:val="16"/>
        </w:rPr>
        <w:t xml:space="preserve"> </w:t>
      </w:r>
      <w:r w:rsidR="009B540D" w:rsidRPr="009B540D">
        <w:rPr>
          <w:rFonts w:ascii="Abadi" w:hAnsi="Abadi"/>
          <w:spacing w:val="-6"/>
          <w:sz w:val="16"/>
          <w:szCs w:val="16"/>
        </w:rPr>
        <w:t>basta:</w:t>
      </w:r>
      <w:r w:rsidR="009B540D" w:rsidRPr="009B540D">
        <w:rPr>
          <w:rFonts w:ascii="Abadi" w:hAnsi="Abadi"/>
          <w:sz w:val="16"/>
          <w:szCs w:val="16"/>
        </w:rPr>
        <w:t xml:space="preserve"> </w:t>
      </w:r>
      <w:r w:rsidR="009B540D" w:rsidRPr="009B540D">
        <w:rPr>
          <w:rFonts w:ascii="Abadi" w:hAnsi="Abadi"/>
          <w:spacing w:val="-6"/>
          <w:sz w:val="16"/>
          <w:szCs w:val="16"/>
        </w:rPr>
        <w:t>trabajadores</w:t>
      </w:r>
      <w:r w:rsidR="009B540D" w:rsidRPr="009B540D">
        <w:rPr>
          <w:rFonts w:ascii="Abadi" w:hAnsi="Abadi"/>
          <w:spacing w:val="-1"/>
          <w:sz w:val="16"/>
          <w:szCs w:val="16"/>
        </w:rPr>
        <w:t xml:space="preserve"> </w:t>
      </w:r>
      <w:r w:rsidR="009B540D" w:rsidRPr="009B540D">
        <w:rPr>
          <w:rFonts w:ascii="Abadi" w:hAnsi="Abadi"/>
          <w:spacing w:val="-6"/>
          <w:sz w:val="16"/>
          <w:szCs w:val="16"/>
        </w:rPr>
        <w:t>de</w:t>
      </w:r>
      <w:r w:rsidR="009B540D" w:rsidRPr="009B540D">
        <w:rPr>
          <w:rFonts w:ascii="Abadi" w:hAnsi="Abadi"/>
          <w:sz w:val="16"/>
          <w:szCs w:val="16"/>
        </w:rPr>
        <w:t xml:space="preserve"> </w:t>
      </w:r>
      <w:r w:rsidR="009B540D" w:rsidRPr="009B540D">
        <w:rPr>
          <w:rFonts w:ascii="Abadi" w:hAnsi="Abadi"/>
          <w:spacing w:val="-6"/>
          <w:sz w:val="16"/>
          <w:szCs w:val="16"/>
        </w:rPr>
        <w:t>salud</w:t>
      </w:r>
      <w:r w:rsidR="009B540D" w:rsidRPr="009B540D">
        <w:rPr>
          <w:rFonts w:ascii="Abadi" w:hAnsi="Abadi"/>
          <w:spacing w:val="-2"/>
          <w:sz w:val="16"/>
          <w:szCs w:val="16"/>
        </w:rPr>
        <w:t xml:space="preserve"> </w:t>
      </w:r>
      <w:r w:rsidR="009B540D" w:rsidRPr="009B540D">
        <w:rPr>
          <w:rFonts w:ascii="Abadi" w:hAnsi="Abadi"/>
          <w:spacing w:val="-6"/>
          <w:sz w:val="16"/>
          <w:szCs w:val="16"/>
        </w:rPr>
        <w:t>mantienen</w:t>
      </w:r>
      <w:r w:rsidR="009B540D" w:rsidRPr="009B540D">
        <w:rPr>
          <w:rFonts w:ascii="Abadi" w:hAnsi="Abadi"/>
          <w:spacing w:val="-2"/>
          <w:sz w:val="16"/>
          <w:szCs w:val="16"/>
        </w:rPr>
        <w:t xml:space="preserve"> </w:t>
      </w:r>
      <w:r w:rsidR="009B540D" w:rsidRPr="009B540D">
        <w:rPr>
          <w:rFonts w:ascii="Abadi" w:hAnsi="Abadi"/>
          <w:spacing w:val="-6"/>
          <w:sz w:val="16"/>
          <w:szCs w:val="16"/>
        </w:rPr>
        <w:t>lucha”.</w:t>
      </w:r>
      <w:r w:rsidR="009B540D" w:rsidRPr="009B540D">
        <w:rPr>
          <w:rFonts w:ascii="Abadi" w:hAnsi="Abadi"/>
          <w:spacing w:val="-2"/>
          <w:sz w:val="16"/>
          <w:szCs w:val="16"/>
        </w:rPr>
        <w:t xml:space="preserve"> </w:t>
      </w:r>
      <w:r w:rsidR="009B540D" w:rsidRPr="009B540D">
        <w:rPr>
          <w:rFonts w:ascii="Abadi" w:hAnsi="Abadi"/>
          <w:spacing w:val="-6"/>
          <w:sz w:val="16"/>
          <w:szCs w:val="16"/>
        </w:rPr>
        <w:t>En</w:t>
      </w:r>
      <w:r w:rsidR="009B540D" w:rsidRPr="009B540D">
        <w:rPr>
          <w:rFonts w:ascii="Abadi" w:hAnsi="Abadi"/>
          <w:spacing w:val="7"/>
          <w:sz w:val="16"/>
          <w:szCs w:val="16"/>
        </w:rPr>
        <w:t xml:space="preserve"> </w:t>
      </w:r>
      <w:proofErr w:type="spellStart"/>
      <w:r w:rsidR="009B540D" w:rsidRPr="009B540D">
        <w:rPr>
          <w:rFonts w:ascii="Abadi" w:hAnsi="Abadi"/>
          <w:i/>
          <w:spacing w:val="-6"/>
          <w:sz w:val="16"/>
          <w:szCs w:val="16"/>
        </w:rPr>
        <w:t>Poplab</w:t>
      </w:r>
      <w:proofErr w:type="spellEnd"/>
      <w:r w:rsidR="009B540D" w:rsidRPr="009B540D">
        <w:rPr>
          <w:rFonts w:ascii="Abadi" w:hAnsi="Abadi"/>
          <w:i/>
          <w:spacing w:val="-6"/>
          <w:sz w:val="16"/>
          <w:szCs w:val="16"/>
        </w:rPr>
        <w:t>,</w:t>
      </w:r>
      <w:r w:rsidR="009B540D" w:rsidRPr="009B540D">
        <w:rPr>
          <w:rFonts w:ascii="Abadi" w:hAnsi="Abadi"/>
          <w:i/>
          <w:spacing w:val="-2"/>
          <w:sz w:val="16"/>
          <w:szCs w:val="16"/>
        </w:rPr>
        <w:t xml:space="preserve"> </w:t>
      </w:r>
      <w:r w:rsidR="009B540D" w:rsidRPr="009B540D">
        <w:rPr>
          <w:rFonts w:ascii="Abadi" w:hAnsi="Abadi"/>
          <w:spacing w:val="-6"/>
          <w:sz w:val="16"/>
          <w:szCs w:val="16"/>
        </w:rPr>
        <w:t>28</w:t>
      </w:r>
      <w:r w:rsidR="009B540D" w:rsidRPr="009B540D">
        <w:rPr>
          <w:rFonts w:ascii="Abadi" w:hAnsi="Abadi"/>
          <w:spacing w:val="-2"/>
          <w:sz w:val="16"/>
          <w:szCs w:val="16"/>
        </w:rPr>
        <w:t xml:space="preserve"> de</w:t>
      </w:r>
      <w:r w:rsidR="009B540D" w:rsidRPr="009B540D">
        <w:rPr>
          <w:rFonts w:ascii="Abadi" w:hAnsi="Abadi"/>
          <w:spacing w:val="-10"/>
          <w:sz w:val="16"/>
          <w:szCs w:val="16"/>
        </w:rPr>
        <w:t xml:space="preserve"> </w:t>
      </w:r>
      <w:r w:rsidR="009B540D" w:rsidRPr="009B540D">
        <w:rPr>
          <w:rFonts w:ascii="Abadi" w:hAnsi="Abadi"/>
          <w:spacing w:val="-2"/>
          <w:sz w:val="16"/>
          <w:szCs w:val="16"/>
        </w:rPr>
        <w:t>abril,</w:t>
      </w:r>
      <w:r w:rsidR="009B540D" w:rsidRPr="009B540D">
        <w:rPr>
          <w:rFonts w:ascii="Abadi" w:hAnsi="Abadi"/>
          <w:spacing w:val="-9"/>
          <w:sz w:val="16"/>
          <w:szCs w:val="16"/>
        </w:rPr>
        <w:t xml:space="preserve"> </w:t>
      </w:r>
      <w:r w:rsidR="009B540D" w:rsidRPr="009B540D">
        <w:rPr>
          <w:rFonts w:ascii="Abadi" w:hAnsi="Abadi"/>
          <w:spacing w:val="-2"/>
          <w:sz w:val="16"/>
          <w:szCs w:val="16"/>
        </w:rPr>
        <w:t>disponible</w:t>
      </w:r>
      <w:r w:rsidR="009B540D" w:rsidRPr="009B540D">
        <w:rPr>
          <w:rFonts w:ascii="Abadi" w:hAnsi="Abadi"/>
          <w:spacing w:val="-9"/>
          <w:sz w:val="16"/>
          <w:szCs w:val="16"/>
        </w:rPr>
        <w:t xml:space="preserve"> </w:t>
      </w:r>
      <w:r w:rsidR="009B540D" w:rsidRPr="009B540D">
        <w:rPr>
          <w:rFonts w:ascii="Abadi" w:hAnsi="Abadi"/>
          <w:spacing w:val="-2"/>
          <w:sz w:val="16"/>
          <w:szCs w:val="16"/>
        </w:rPr>
        <w:t>en:</w:t>
      </w:r>
      <w:r w:rsidR="009B540D" w:rsidRPr="009B540D">
        <w:rPr>
          <w:rFonts w:ascii="Abadi" w:hAnsi="Abadi"/>
          <w:spacing w:val="-9"/>
          <w:sz w:val="16"/>
          <w:szCs w:val="16"/>
        </w:rPr>
        <w:t xml:space="preserve"> </w:t>
      </w:r>
      <w:r w:rsidR="009B540D" w:rsidRPr="009B540D">
        <w:rPr>
          <w:rFonts w:ascii="Abadi" w:hAnsi="Abadi"/>
          <w:color w:val="0562C1"/>
          <w:spacing w:val="-2"/>
          <w:sz w:val="16"/>
          <w:szCs w:val="16"/>
          <w:u w:val="single" w:color="0562C1"/>
        </w:rPr>
        <w:t>https://poplab.mx/v2/story/Promesa-de-</w:t>
      </w:r>
      <w:r w:rsidR="009B540D" w:rsidRPr="009B7A89">
        <w:rPr>
          <w:rFonts w:ascii="Abadi" w:hAnsi="Abadi"/>
          <w:color w:val="0562C1"/>
          <w:spacing w:val="-2"/>
          <w:sz w:val="21"/>
          <w:szCs w:val="21"/>
          <w:u w:val="single" w:color="0562C1"/>
        </w:rPr>
        <w:t>plazas-no-basta:-trabajadores-de-Salud-</w:t>
      </w:r>
      <w:r w:rsidR="009B540D" w:rsidRPr="009B7A89">
        <w:rPr>
          <w:rFonts w:ascii="Abadi" w:hAnsi="Abadi"/>
          <w:color w:val="0562C1"/>
          <w:spacing w:val="-2"/>
          <w:sz w:val="21"/>
          <w:szCs w:val="21"/>
        </w:rPr>
        <w:t xml:space="preserve"> </w:t>
      </w:r>
      <w:r w:rsidR="009B540D" w:rsidRPr="009B7A89">
        <w:rPr>
          <w:rFonts w:ascii="Abadi" w:hAnsi="Abadi"/>
          <w:color w:val="0562C1"/>
          <w:spacing w:val="-2"/>
          <w:sz w:val="21"/>
          <w:szCs w:val="21"/>
          <w:u w:val="single" w:color="0562C1"/>
        </w:rPr>
        <w:t>mantienen-lucha</w:t>
      </w:r>
    </w:p>
  </w:footnote>
  <w:footnote w:id="63">
    <w:p w14:paraId="2607F83D" w14:textId="77777777" w:rsidR="0033692A" w:rsidRPr="00BC25BA" w:rsidRDefault="00371ECD" w:rsidP="00BC25BA">
      <w:pPr>
        <w:spacing w:before="102"/>
        <w:ind w:right="142"/>
        <w:jc w:val="both"/>
        <w:rPr>
          <w:rFonts w:ascii="Abadi" w:hAnsi="Abadi"/>
          <w:sz w:val="16"/>
          <w:szCs w:val="16"/>
        </w:rPr>
      </w:pPr>
      <w:r>
        <w:rPr>
          <w:rStyle w:val="Refdenotaalpie"/>
        </w:rPr>
        <w:footnoteRef/>
      </w:r>
      <w:r>
        <w:t xml:space="preserve"> </w:t>
      </w:r>
      <w:r w:rsidR="0033692A" w:rsidRPr="00BC25BA">
        <w:rPr>
          <w:rFonts w:ascii="Abadi" w:hAnsi="Abadi"/>
          <w:spacing w:val="-4"/>
          <w:sz w:val="16"/>
          <w:szCs w:val="16"/>
        </w:rPr>
        <w:t>Pizano</w:t>
      </w:r>
      <w:r w:rsidR="0033692A" w:rsidRPr="00BC25BA">
        <w:rPr>
          <w:rFonts w:ascii="Abadi" w:hAnsi="Abadi"/>
          <w:spacing w:val="-6"/>
          <w:sz w:val="16"/>
          <w:szCs w:val="16"/>
        </w:rPr>
        <w:t xml:space="preserve"> </w:t>
      </w:r>
      <w:r w:rsidR="0033692A" w:rsidRPr="00BC25BA">
        <w:rPr>
          <w:rFonts w:ascii="Abadi" w:hAnsi="Abadi"/>
          <w:spacing w:val="-4"/>
          <w:sz w:val="16"/>
          <w:szCs w:val="16"/>
        </w:rPr>
        <w:t>Carmen.</w:t>
      </w:r>
      <w:r w:rsidR="0033692A" w:rsidRPr="00BC25BA">
        <w:rPr>
          <w:rFonts w:ascii="Abadi" w:hAnsi="Abadi"/>
          <w:spacing w:val="-6"/>
          <w:sz w:val="16"/>
          <w:szCs w:val="16"/>
        </w:rPr>
        <w:t xml:space="preserve"> </w:t>
      </w:r>
      <w:r w:rsidR="0033692A" w:rsidRPr="00BC25BA">
        <w:rPr>
          <w:rFonts w:ascii="Abadi" w:hAnsi="Abadi"/>
          <w:spacing w:val="-4"/>
          <w:sz w:val="16"/>
          <w:szCs w:val="16"/>
        </w:rPr>
        <w:t>(2023).</w:t>
      </w:r>
      <w:r w:rsidR="0033692A" w:rsidRPr="00BC25BA">
        <w:rPr>
          <w:rFonts w:ascii="Abadi" w:hAnsi="Abadi"/>
          <w:spacing w:val="-8"/>
          <w:sz w:val="16"/>
          <w:szCs w:val="16"/>
        </w:rPr>
        <w:t xml:space="preserve"> </w:t>
      </w:r>
      <w:r w:rsidR="0033692A" w:rsidRPr="00BC25BA">
        <w:rPr>
          <w:rFonts w:ascii="Abadi" w:hAnsi="Abadi"/>
          <w:spacing w:val="-4"/>
          <w:sz w:val="16"/>
          <w:szCs w:val="16"/>
        </w:rPr>
        <w:t>“Protesta</w:t>
      </w:r>
      <w:r w:rsidR="0033692A" w:rsidRPr="00BC25BA">
        <w:rPr>
          <w:rFonts w:ascii="Abadi" w:hAnsi="Abadi"/>
          <w:spacing w:val="-7"/>
          <w:sz w:val="16"/>
          <w:szCs w:val="16"/>
        </w:rPr>
        <w:t xml:space="preserve"> </w:t>
      </w:r>
      <w:r w:rsidR="0033692A" w:rsidRPr="00BC25BA">
        <w:rPr>
          <w:rFonts w:ascii="Abadi" w:hAnsi="Abadi"/>
          <w:spacing w:val="-4"/>
          <w:sz w:val="16"/>
          <w:szCs w:val="16"/>
        </w:rPr>
        <w:t>histórica</w:t>
      </w:r>
      <w:r w:rsidR="0033692A" w:rsidRPr="00BC25BA">
        <w:rPr>
          <w:rFonts w:ascii="Abadi" w:hAnsi="Abadi"/>
          <w:spacing w:val="-6"/>
          <w:sz w:val="16"/>
          <w:szCs w:val="16"/>
        </w:rPr>
        <w:t xml:space="preserve"> </w:t>
      </w:r>
      <w:r w:rsidR="0033692A" w:rsidRPr="00BC25BA">
        <w:rPr>
          <w:rFonts w:ascii="Abadi" w:hAnsi="Abadi"/>
          <w:spacing w:val="-4"/>
          <w:sz w:val="16"/>
          <w:szCs w:val="16"/>
        </w:rPr>
        <w:t>de</w:t>
      </w:r>
      <w:r w:rsidR="0033692A" w:rsidRPr="00BC25BA">
        <w:rPr>
          <w:rFonts w:ascii="Abadi" w:hAnsi="Abadi"/>
          <w:spacing w:val="-6"/>
          <w:sz w:val="16"/>
          <w:szCs w:val="16"/>
        </w:rPr>
        <w:t xml:space="preserve"> </w:t>
      </w:r>
      <w:r w:rsidR="0033692A" w:rsidRPr="00BC25BA">
        <w:rPr>
          <w:rFonts w:ascii="Abadi" w:hAnsi="Abadi"/>
          <w:spacing w:val="-4"/>
          <w:sz w:val="16"/>
          <w:szCs w:val="16"/>
        </w:rPr>
        <w:t>personal</w:t>
      </w:r>
      <w:r w:rsidR="0033692A" w:rsidRPr="00BC25BA">
        <w:rPr>
          <w:rFonts w:ascii="Abadi" w:hAnsi="Abadi"/>
          <w:spacing w:val="-6"/>
          <w:sz w:val="16"/>
          <w:szCs w:val="16"/>
        </w:rPr>
        <w:t xml:space="preserve"> </w:t>
      </w:r>
      <w:r w:rsidR="0033692A" w:rsidRPr="00BC25BA">
        <w:rPr>
          <w:rFonts w:ascii="Abadi" w:hAnsi="Abadi"/>
          <w:spacing w:val="-4"/>
          <w:sz w:val="16"/>
          <w:szCs w:val="16"/>
        </w:rPr>
        <w:t>de</w:t>
      </w:r>
      <w:r w:rsidR="0033692A" w:rsidRPr="00BC25BA">
        <w:rPr>
          <w:rFonts w:ascii="Abadi" w:hAnsi="Abadi"/>
          <w:spacing w:val="-6"/>
          <w:sz w:val="16"/>
          <w:szCs w:val="16"/>
        </w:rPr>
        <w:t xml:space="preserve"> </w:t>
      </w:r>
      <w:r w:rsidR="0033692A" w:rsidRPr="00BC25BA">
        <w:rPr>
          <w:rFonts w:ascii="Abadi" w:hAnsi="Abadi"/>
          <w:spacing w:val="-4"/>
          <w:sz w:val="16"/>
          <w:szCs w:val="16"/>
        </w:rPr>
        <w:t>Salud</w:t>
      </w:r>
      <w:r w:rsidR="0033692A" w:rsidRPr="00BC25BA">
        <w:rPr>
          <w:rFonts w:ascii="Abadi" w:hAnsi="Abadi"/>
          <w:spacing w:val="-8"/>
          <w:sz w:val="16"/>
          <w:szCs w:val="16"/>
        </w:rPr>
        <w:t xml:space="preserve"> </w:t>
      </w:r>
      <w:r w:rsidR="0033692A" w:rsidRPr="00BC25BA">
        <w:rPr>
          <w:rFonts w:ascii="Abadi" w:hAnsi="Abadi"/>
          <w:spacing w:val="-4"/>
          <w:sz w:val="16"/>
          <w:szCs w:val="16"/>
        </w:rPr>
        <w:t>expande</w:t>
      </w:r>
      <w:r w:rsidR="0033692A" w:rsidRPr="00BC25BA">
        <w:rPr>
          <w:rFonts w:ascii="Abadi" w:hAnsi="Abadi"/>
          <w:spacing w:val="-7"/>
          <w:sz w:val="16"/>
          <w:szCs w:val="16"/>
        </w:rPr>
        <w:t xml:space="preserve"> </w:t>
      </w:r>
      <w:r w:rsidR="0033692A" w:rsidRPr="00BC25BA">
        <w:rPr>
          <w:rFonts w:ascii="Abadi" w:hAnsi="Abadi"/>
          <w:spacing w:val="-4"/>
          <w:sz w:val="16"/>
          <w:szCs w:val="16"/>
        </w:rPr>
        <w:t>movimiento</w:t>
      </w:r>
      <w:r w:rsidR="0033692A" w:rsidRPr="00BC25BA">
        <w:rPr>
          <w:rFonts w:ascii="Abadi" w:hAnsi="Abadi"/>
          <w:spacing w:val="-5"/>
          <w:sz w:val="16"/>
          <w:szCs w:val="16"/>
        </w:rPr>
        <w:t xml:space="preserve"> </w:t>
      </w:r>
      <w:r w:rsidR="0033692A" w:rsidRPr="00BC25BA">
        <w:rPr>
          <w:rFonts w:ascii="Abadi" w:hAnsi="Abadi"/>
          <w:spacing w:val="-4"/>
          <w:sz w:val="16"/>
          <w:szCs w:val="16"/>
        </w:rPr>
        <w:t>laboral”.</w:t>
      </w:r>
      <w:r w:rsidR="0033692A" w:rsidRPr="00BC25BA">
        <w:rPr>
          <w:rFonts w:ascii="Abadi" w:hAnsi="Abadi"/>
          <w:spacing w:val="-6"/>
          <w:sz w:val="16"/>
          <w:szCs w:val="16"/>
        </w:rPr>
        <w:t xml:space="preserve"> </w:t>
      </w:r>
      <w:r w:rsidR="0033692A" w:rsidRPr="00BC25BA">
        <w:rPr>
          <w:rFonts w:ascii="Abadi" w:hAnsi="Abadi"/>
          <w:spacing w:val="-4"/>
          <w:sz w:val="16"/>
          <w:szCs w:val="16"/>
        </w:rPr>
        <w:t>En</w:t>
      </w:r>
      <w:r w:rsidR="0033692A" w:rsidRPr="00BC25BA">
        <w:rPr>
          <w:rFonts w:ascii="Abadi" w:hAnsi="Abadi"/>
          <w:sz w:val="16"/>
          <w:szCs w:val="16"/>
        </w:rPr>
        <w:t xml:space="preserve"> </w:t>
      </w:r>
      <w:proofErr w:type="spellStart"/>
      <w:r w:rsidR="0033692A" w:rsidRPr="00BC25BA">
        <w:rPr>
          <w:rFonts w:ascii="Abadi" w:hAnsi="Abadi"/>
          <w:i/>
          <w:spacing w:val="-4"/>
          <w:sz w:val="16"/>
          <w:szCs w:val="16"/>
        </w:rPr>
        <w:t>Poplab</w:t>
      </w:r>
      <w:proofErr w:type="spellEnd"/>
      <w:r w:rsidR="0033692A" w:rsidRPr="00BC25BA">
        <w:rPr>
          <w:rFonts w:ascii="Abadi" w:hAnsi="Abadi"/>
          <w:i/>
          <w:spacing w:val="-4"/>
          <w:sz w:val="16"/>
          <w:szCs w:val="16"/>
        </w:rPr>
        <w:t>,</w:t>
      </w:r>
      <w:r w:rsidR="0033692A" w:rsidRPr="00BC25BA">
        <w:rPr>
          <w:rFonts w:ascii="Abadi" w:hAnsi="Abadi"/>
          <w:i/>
          <w:spacing w:val="-8"/>
          <w:sz w:val="16"/>
          <w:szCs w:val="16"/>
        </w:rPr>
        <w:t xml:space="preserve"> </w:t>
      </w:r>
      <w:r w:rsidR="0033692A" w:rsidRPr="00BC25BA">
        <w:rPr>
          <w:rFonts w:ascii="Abadi" w:hAnsi="Abadi"/>
          <w:spacing w:val="-4"/>
          <w:sz w:val="16"/>
          <w:szCs w:val="16"/>
        </w:rPr>
        <w:t>2</w:t>
      </w:r>
      <w:r w:rsidR="0033692A" w:rsidRPr="00BC25BA">
        <w:rPr>
          <w:rFonts w:ascii="Abadi" w:hAnsi="Abadi"/>
          <w:sz w:val="16"/>
          <w:szCs w:val="16"/>
        </w:rPr>
        <w:t xml:space="preserve"> de</w:t>
      </w:r>
      <w:r w:rsidR="0033692A" w:rsidRPr="00BC25BA">
        <w:rPr>
          <w:rFonts w:ascii="Abadi" w:hAnsi="Abadi"/>
          <w:spacing w:val="-6"/>
          <w:sz w:val="16"/>
          <w:szCs w:val="16"/>
        </w:rPr>
        <w:t xml:space="preserve"> </w:t>
      </w:r>
      <w:r w:rsidR="0033692A" w:rsidRPr="00BC25BA">
        <w:rPr>
          <w:rFonts w:ascii="Abadi" w:hAnsi="Abadi"/>
          <w:sz w:val="16"/>
          <w:szCs w:val="16"/>
        </w:rPr>
        <w:t>mayo</w:t>
      </w:r>
      <w:r w:rsidR="0033692A" w:rsidRPr="00BC25BA">
        <w:rPr>
          <w:rFonts w:ascii="Abadi" w:hAnsi="Abadi"/>
          <w:spacing w:val="-7"/>
          <w:sz w:val="16"/>
          <w:szCs w:val="16"/>
        </w:rPr>
        <w:t xml:space="preserve"> </w:t>
      </w:r>
      <w:r w:rsidR="0033692A" w:rsidRPr="00BC25BA">
        <w:rPr>
          <w:rFonts w:ascii="Abadi" w:hAnsi="Abadi"/>
          <w:sz w:val="16"/>
          <w:szCs w:val="16"/>
        </w:rPr>
        <w:t>de</w:t>
      </w:r>
      <w:r w:rsidR="0033692A" w:rsidRPr="00BC25BA">
        <w:rPr>
          <w:rFonts w:ascii="Abadi" w:hAnsi="Abadi"/>
          <w:spacing w:val="-6"/>
          <w:sz w:val="16"/>
          <w:szCs w:val="16"/>
        </w:rPr>
        <w:t xml:space="preserve"> </w:t>
      </w:r>
      <w:r w:rsidR="0033692A" w:rsidRPr="00BC25BA">
        <w:rPr>
          <w:rFonts w:ascii="Abadi" w:hAnsi="Abadi"/>
          <w:sz w:val="16"/>
          <w:szCs w:val="16"/>
        </w:rPr>
        <w:t>2023,</w:t>
      </w:r>
      <w:r w:rsidR="0033692A" w:rsidRPr="00BC25BA">
        <w:rPr>
          <w:rFonts w:ascii="Abadi" w:hAnsi="Abadi"/>
          <w:spacing w:val="-7"/>
          <w:sz w:val="16"/>
          <w:szCs w:val="16"/>
        </w:rPr>
        <w:t xml:space="preserve"> </w:t>
      </w:r>
      <w:r w:rsidR="0033692A" w:rsidRPr="00BC25BA">
        <w:rPr>
          <w:rFonts w:ascii="Abadi" w:hAnsi="Abadi"/>
          <w:sz w:val="16"/>
          <w:szCs w:val="16"/>
        </w:rPr>
        <w:t>disponible</w:t>
      </w:r>
      <w:r w:rsidR="0033692A" w:rsidRPr="00BC25BA">
        <w:rPr>
          <w:rFonts w:ascii="Abadi" w:hAnsi="Abadi"/>
          <w:spacing w:val="-6"/>
          <w:sz w:val="16"/>
          <w:szCs w:val="16"/>
        </w:rPr>
        <w:t xml:space="preserve"> </w:t>
      </w:r>
      <w:r w:rsidR="0033692A" w:rsidRPr="00BC25BA">
        <w:rPr>
          <w:rFonts w:ascii="Abadi" w:hAnsi="Abadi"/>
          <w:sz w:val="16"/>
          <w:szCs w:val="16"/>
        </w:rPr>
        <w:t>en:</w:t>
      </w:r>
      <w:r w:rsidR="0033692A" w:rsidRPr="00BC25BA">
        <w:rPr>
          <w:rFonts w:ascii="Abadi" w:hAnsi="Abadi"/>
          <w:spacing w:val="-6"/>
          <w:sz w:val="16"/>
          <w:szCs w:val="16"/>
        </w:rPr>
        <w:t xml:space="preserve"> </w:t>
      </w:r>
      <w:hyperlink r:id="rId220">
        <w:r w:rsidR="0033692A" w:rsidRPr="00BC25BA">
          <w:rPr>
            <w:rFonts w:ascii="Abadi" w:hAnsi="Abadi"/>
            <w:color w:val="0562C1"/>
            <w:sz w:val="16"/>
            <w:szCs w:val="16"/>
            <w:u w:val="single" w:color="0562C1"/>
          </w:rPr>
          <w:t>https://poplab.mx/v2/story/Protesta-historica-de-personal-de-Salud-</w:t>
        </w:r>
      </w:hyperlink>
      <w:r w:rsidR="0033692A" w:rsidRPr="00BC25BA">
        <w:rPr>
          <w:rFonts w:ascii="Abadi" w:hAnsi="Abadi"/>
          <w:color w:val="0562C1"/>
          <w:sz w:val="16"/>
          <w:szCs w:val="16"/>
        </w:rPr>
        <w:t xml:space="preserve"> </w:t>
      </w:r>
      <w:hyperlink r:id="rId221">
        <w:r w:rsidR="0033692A" w:rsidRPr="00BC25BA">
          <w:rPr>
            <w:rFonts w:ascii="Abadi" w:hAnsi="Abadi"/>
            <w:color w:val="0562C1"/>
            <w:spacing w:val="-2"/>
            <w:sz w:val="16"/>
            <w:szCs w:val="16"/>
            <w:u w:val="single" w:color="0562C1"/>
          </w:rPr>
          <w:t>expande-movimiento-laboral-</w:t>
        </w:r>
      </w:hyperlink>
    </w:p>
    <w:p w14:paraId="4D3A3442" w14:textId="1ACB08BD" w:rsidR="00371ECD" w:rsidRPr="00BC25BA" w:rsidRDefault="00371ECD" w:rsidP="00BC25BA">
      <w:pPr>
        <w:pStyle w:val="Textonotapie"/>
        <w:ind w:right="142"/>
        <w:rPr>
          <w:rFonts w:ascii="Abadi" w:hAnsi="Abadi"/>
          <w:sz w:val="16"/>
          <w:szCs w:val="16"/>
        </w:rPr>
      </w:pPr>
    </w:p>
  </w:footnote>
  <w:footnote w:id="64">
    <w:p w14:paraId="032977B5" w14:textId="77777777" w:rsidR="006D25FA" w:rsidRPr="00BC25BA" w:rsidRDefault="0033692A" w:rsidP="00BC25BA">
      <w:pPr>
        <w:spacing w:before="3"/>
        <w:ind w:right="142"/>
        <w:jc w:val="both"/>
        <w:rPr>
          <w:rFonts w:ascii="Abadi" w:hAnsi="Abadi"/>
          <w:sz w:val="16"/>
          <w:szCs w:val="16"/>
        </w:rPr>
      </w:pPr>
      <w:r w:rsidRPr="00BC25BA">
        <w:rPr>
          <w:rStyle w:val="Refdenotaalpie"/>
          <w:rFonts w:ascii="Abadi" w:hAnsi="Abadi"/>
          <w:sz w:val="16"/>
          <w:szCs w:val="16"/>
        </w:rPr>
        <w:footnoteRef/>
      </w:r>
      <w:r w:rsidRPr="00BC25BA">
        <w:rPr>
          <w:rFonts w:ascii="Abadi" w:hAnsi="Abadi"/>
          <w:sz w:val="16"/>
          <w:szCs w:val="16"/>
        </w:rPr>
        <w:t xml:space="preserve"> </w:t>
      </w:r>
      <w:r w:rsidR="006D25FA" w:rsidRPr="00BC25BA">
        <w:rPr>
          <w:rFonts w:ascii="Abadi" w:hAnsi="Abadi"/>
          <w:sz w:val="16"/>
          <w:szCs w:val="16"/>
        </w:rPr>
        <w:t>De</w:t>
      </w:r>
      <w:r w:rsidR="006D25FA" w:rsidRPr="00BC25BA">
        <w:rPr>
          <w:rFonts w:ascii="Abadi" w:hAnsi="Abadi"/>
          <w:spacing w:val="-11"/>
          <w:sz w:val="16"/>
          <w:szCs w:val="16"/>
        </w:rPr>
        <w:t xml:space="preserve"> </w:t>
      </w:r>
      <w:r w:rsidR="006D25FA" w:rsidRPr="00BC25BA">
        <w:rPr>
          <w:rFonts w:ascii="Abadi" w:hAnsi="Abadi"/>
          <w:sz w:val="16"/>
          <w:szCs w:val="16"/>
        </w:rPr>
        <w:t>la</w:t>
      </w:r>
      <w:r w:rsidR="006D25FA" w:rsidRPr="00BC25BA">
        <w:rPr>
          <w:rFonts w:ascii="Abadi" w:hAnsi="Abadi"/>
          <w:spacing w:val="-11"/>
          <w:sz w:val="16"/>
          <w:szCs w:val="16"/>
        </w:rPr>
        <w:t xml:space="preserve"> </w:t>
      </w:r>
      <w:r w:rsidR="006D25FA" w:rsidRPr="00BC25BA">
        <w:rPr>
          <w:rFonts w:ascii="Abadi" w:hAnsi="Abadi"/>
          <w:sz w:val="16"/>
          <w:szCs w:val="16"/>
        </w:rPr>
        <w:t>Cruz,</w:t>
      </w:r>
      <w:r w:rsidR="006D25FA" w:rsidRPr="00BC25BA">
        <w:rPr>
          <w:rFonts w:ascii="Abadi" w:hAnsi="Abadi"/>
          <w:spacing w:val="-11"/>
          <w:sz w:val="16"/>
          <w:szCs w:val="16"/>
        </w:rPr>
        <w:t xml:space="preserve"> </w:t>
      </w:r>
      <w:r w:rsidR="006D25FA" w:rsidRPr="00BC25BA">
        <w:rPr>
          <w:rFonts w:ascii="Abadi" w:hAnsi="Abadi"/>
          <w:sz w:val="16"/>
          <w:szCs w:val="16"/>
        </w:rPr>
        <w:t>Jessica.</w:t>
      </w:r>
      <w:r w:rsidR="006D25FA" w:rsidRPr="00BC25BA">
        <w:rPr>
          <w:rFonts w:ascii="Abadi" w:hAnsi="Abadi"/>
          <w:spacing w:val="-11"/>
          <w:sz w:val="16"/>
          <w:szCs w:val="16"/>
        </w:rPr>
        <w:t xml:space="preserve"> </w:t>
      </w:r>
      <w:r w:rsidR="006D25FA" w:rsidRPr="00BC25BA">
        <w:rPr>
          <w:rFonts w:ascii="Abadi" w:hAnsi="Abadi"/>
          <w:sz w:val="16"/>
          <w:szCs w:val="16"/>
        </w:rPr>
        <w:t>(2023).</w:t>
      </w:r>
      <w:r w:rsidR="006D25FA" w:rsidRPr="00BC25BA">
        <w:rPr>
          <w:rFonts w:ascii="Abadi" w:hAnsi="Abadi"/>
          <w:spacing w:val="-11"/>
          <w:sz w:val="16"/>
          <w:szCs w:val="16"/>
        </w:rPr>
        <w:t xml:space="preserve"> </w:t>
      </w:r>
      <w:r w:rsidR="006D25FA" w:rsidRPr="00BC25BA">
        <w:rPr>
          <w:rFonts w:ascii="Abadi" w:hAnsi="Abadi"/>
          <w:sz w:val="16"/>
          <w:szCs w:val="16"/>
        </w:rPr>
        <w:t>“Serán</w:t>
      </w:r>
      <w:r w:rsidR="006D25FA" w:rsidRPr="00BC25BA">
        <w:rPr>
          <w:rFonts w:ascii="Abadi" w:hAnsi="Abadi"/>
          <w:spacing w:val="-11"/>
          <w:sz w:val="16"/>
          <w:szCs w:val="16"/>
        </w:rPr>
        <w:t xml:space="preserve"> </w:t>
      </w:r>
      <w:r w:rsidR="006D25FA" w:rsidRPr="00BC25BA">
        <w:rPr>
          <w:rFonts w:ascii="Abadi" w:hAnsi="Abadi"/>
          <w:sz w:val="16"/>
          <w:szCs w:val="16"/>
        </w:rPr>
        <w:t>mil</w:t>
      </w:r>
      <w:r w:rsidR="006D25FA" w:rsidRPr="00BC25BA">
        <w:rPr>
          <w:rFonts w:ascii="Abadi" w:hAnsi="Abadi"/>
          <w:spacing w:val="-11"/>
          <w:sz w:val="16"/>
          <w:szCs w:val="16"/>
        </w:rPr>
        <w:t xml:space="preserve"> </w:t>
      </w:r>
      <w:r w:rsidR="006D25FA" w:rsidRPr="00BC25BA">
        <w:rPr>
          <w:rFonts w:ascii="Abadi" w:hAnsi="Abadi"/>
          <w:sz w:val="16"/>
          <w:szCs w:val="16"/>
        </w:rPr>
        <w:t>875</w:t>
      </w:r>
      <w:r w:rsidR="006D25FA" w:rsidRPr="00BC25BA">
        <w:rPr>
          <w:rFonts w:ascii="Abadi" w:hAnsi="Abadi"/>
          <w:spacing w:val="-11"/>
          <w:sz w:val="16"/>
          <w:szCs w:val="16"/>
        </w:rPr>
        <w:t xml:space="preserve"> </w:t>
      </w:r>
      <w:r w:rsidR="006D25FA" w:rsidRPr="00BC25BA">
        <w:rPr>
          <w:rFonts w:ascii="Abadi" w:hAnsi="Abadi"/>
          <w:sz w:val="16"/>
          <w:szCs w:val="16"/>
        </w:rPr>
        <w:t>bases</w:t>
      </w:r>
      <w:r w:rsidR="006D25FA" w:rsidRPr="00BC25BA">
        <w:rPr>
          <w:rFonts w:ascii="Abadi" w:hAnsi="Abadi"/>
          <w:spacing w:val="-11"/>
          <w:sz w:val="16"/>
          <w:szCs w:val="16"/>
        </w:rPr>
        <w:t xml:space="preserve"> </w:t>
      </w:r>
      <w:r w:rsidR="006D25FA" w:rsidRPr="00BC25BA">
        <w:rPr>
          <w:rFonts w:ascii="Abadi" w:hAnsi="Abadi"/>
          <w:sz w:val="16"/>
          <w:szCs w:val="16"/>
        </w:rPr>
        <w:t>la</w:t>
      </w:r>
      <w:r w:rsidR="006D25FA" w:rsidRPr="00BC25BA">
        <w:rPr>
          <w:rFonts w:ascii="Abadi" w:hAnsi="Abadi"/>
          <w:spacing w:val="-11"/>
          <w:sz w:val="16"/>
          <w:szCs w:val="16"/>
        </w:rPr>
        <w:t xml:space="preserve"> </w:t>
      </w:r>
      <w:r w:rsidR="006D25FA" w:rsidRPr="00BC25BA">
        <w:rPr>
          <w:rFonts w:ascii="Abadi" w:hAnsi="Abadi"/>
          <w:sz w:val="16"/>
          <w:szCs w:val="16"/>
        </w:rPr>
        <w:t>primera</w:t>
      </w:r>
      <w:r w:rsidR="006D25FA" w:rsidRPr="00BC25BA">
        <w:rPr>
          <w:rFonts w:ascii="Abadi" w:hAnsi="Abadi"/>
          <w:spacing w:val="-11"/>
          <w:sz w:val="16"/>
          <w:szCs w:val="16"/>
        </w:rPr>
        <w:t xml:space="preserve"> </w:t>
      </w:r>
      <w:r w:rsidR="006D25FA" w:rsidRPr="00BC25BA">
        <w:rPr>
          <w:rFonts w:ascii="Abadi" w:hAnsi="Abadi"/>
          <w:sz w:val="16"/>
          <w:szCs w:val="16"/>
        </w:rPr>
        <w:t>etapa</w:t>
      </w:r>
      <w:r w:rsidR="006D25FA" w:rsidRPr="00BC25BA">
        <w:rPr>
          <w:rFonts w:ascii="Abadi" w:hAnsi="Abadi"/>
          <w:spacing w:val="-11"/>
          <w:sz w:val="16"/>
          <w:szCs w:val="16"/>
        </w:rPr>
        <w:t xml:space="preserve"> </w:t>
      </w:r>
      <w:r w:rsidR="006D25FA" w:rsidRPr="00BC25BA">
        <w:rPr>
          <w:rFonts w:ascii="Abadi" w:hAnsi="Abadi"/>
          <w:sz w:val="16"/>
          <w:szCs w:val="16"/>
        </w:rPr>
        <w:t>para</w:t>
      </w:r>
      <w:r w:rsidR="006D25FA" w:rsidRPr="00BC25BA">
        <w:rPr>
          <w:rFonts w:ascii="Abadi" w:hAnsi="Abadi"/>
          <w:spacing w:val="-11"/>
          <w:sz w:val="16"/>
          <w:szCs w:val="16"/>
        </w:rPr>
        <w:t xml:space="preserve"> </w:t>
      </w:r>
      <w:r w:rsidR="006D25FA" w:rsidRPr="00BC25BA">
        <w:rPr>
          <w:rFonts w:ascii="Abadi" w:hAnsi="Abadi"/>
          <w:sz w:val="16"/>
          <w:szCs w:val="16"/>
        </w:rPr>
        <w:t>trabajadores</w:t>
      </w:r>
      <w:r w:rsidR="006D25FA" w:rsidRPr="00BC25BA">
        <w:rPr>
          <w:rFonts w:ascii="Abadi" w:hAnsi="Abadi"/>
          <w:spacing w:val="-11"/>
          <w:sz w:val="16"/>
          <w:szCs w:val="16"/>
        </w:rPr>
        <w:t xml:space="preserve"> </w:t>
      </w:r>
      <w:r w:rsidR="006D25FA" w:rsidRPr="00BC25BA">
        <w:rPr>
          <w:rFonts w:ascii="Abadi" w:hAnsi="Abadi"/>
          <w:sz w:val="16"/>
          <w:szCs w:val="16"/>
        </w:rPr>
        <w:t>del</w:t>
      </w:r>
      <w:r w:rsidR="006D25FA" w:rsidRPr="00BC25BA">
        <w:rPr>
          <w:rFonts w:ascii="Abadi" w:hAnsi="Abadi"/>
          <w:spacing w:val="-11"/>
          <w:sz w:val="16"/>
          <w:szCs w:val="16"/>
        </w:rPr>
        <w:t xml:space="preserve"> </w:t>
      </w:r>
      <w:r w:rsidR="006D25FA" w:rsidRPr="00BC25BA">
        <w:rPr>
          <w:rFonts w:ascii="Abadi" w:hAnsi="Abadi"/>
          <w:sz w:val="16"/>
          <w:szCs w:val="16"/>
        </w:rPr>
        <w:t>ISAPEG”.</w:t>
      </w:r>
      <w:r w:rsidR="006D25FA" w:rsidRPr="00BC25BA">
        <w:rPr>
          <w:rFonts w:ascii="Abadi" w:hAnsi="Abadi"/>
          <w:spacing w:val="-11"/>
          <w:sz w:val="16"/>
          <w:szCs w:val="16"/>
        </w:rPr>
        <w:t xml:space="preserve"> </w:t>
      </w:r>
      <w:r w:rsidR="006D25FA" w:rsidRPr="00BC25BA">
        <w:rPr>
          <w:rFonts w:ascii="Abadi" w:hAnsi="Abadi"/>
          <w:sz w:val="16"/>
          <w:szCs w:val="16"/>
        </w:rPr>
        <w:t>En</w:t>
      </w:r>
      <w:r w:rsidR="006D25FA" w:rsidRPr="00BC25BA">
        <w:rPr>
          <w:rFonts w:ascii="Abadi" w:hAnsi="Abadi"/>
          <w:spacing w:val="-11"/>
          <w:sz w:val="16"/>
          <w:szCs w:val="16"/>
        </w:rPr>
        <w:t xml:space="preserve"> </w:t>
      </w:r>
      <w:r w:rsidR="006D25FA" w:rsidRPr="00BC25BA">
        <w:rPr>
          <w:rFonts w:ascii="Abadi" w:hAnsi="Abadi"/>
          <w:i/>
          <w:sz w:val="16"/>
          <w:szCs w:val="16"/>
        </w:rPr>
        <w:t xml:space="preserve">Zona </w:t>
      </w:r>
      <w:r w:rsidR="006D25FA" w:rsidRPr="00BC25BA">
        <w:rPr>
          <w:rFonts w:ascii="Abadi" w:hAnsi="Abadi"/>
          <w:i/>
          <w:spacing w:val="-4"/>
          <w:sz w:val="16"/>
          <w:szCs w:val="16"/>
        </w:rPr>
        <w:t>Franca,</w:t>
      </w:r>
      <w:r w:rsidR="006D25FA" w:rsidRPr="00BC25BA">
        <w:rPr>
          <w:rFonts w:ascii="Abadi" w:hAnsi="Abadi"/>
          <w:i/>
          <w:spacing w:val="-8"/>
          <w:sz w:val="16"/>
          <w:szCs w:val="16"/>
        </w:rPr>
        <w:t xml:space="preserve"> </w:t>
      </w:r>
      <w:r w:rsidR="006D25FA" w:rsidRPr="00BC25BA">
        <w:rPr>
          <w:rFonts w:ascii="Abadi" w:hAnsi="Abadi"/>
          <w:spacing w:val="-4"/>
          <w:sz w:val="16"/>
          <w:szCs w:val="16"/>
        </w:rPr>
        <w:t>21</w:t>
      </w:r>
      <w:r w:rsidR="006D25FA" w:rsidRPr="00BC25BA">
        <w:rPr>
          <w:rFonts w:ascii="Abadi" w:hAnsi="Abadi"/>
          <w:spacing w:val="-7"/>
          <w:sz w:val="16"/>
          <w:szCs w:val="16"/>
        </w:rPr>
        <w:t xml:space="preserve"> </w:t>
      </w:r>
      <w:r w:rsidR="006D25FA" w:rsidRPr="00BC25BA">
        <w:rPr>
          <w:rFonts w:ascii="Abadi" w:hAnsi="Abadi"/>
          <w:spacing w:val="-4"/>
          <w:sz w:val="16"/>
          <w:szCs w:val="16"/>
        </w:rPr>
        <w:t>de</w:t>
      </w:r>
      <w:r w:rsidR="006D25FA" w:rsidRPr="00BC25BA">
        <w:rPr>
          <w:rFonts w:ascii="Abadi" w:hAnsi="Abadi"/>
          <w:spacing w:val="-7"/>
          <w:sz w:val="16"/>
          <w:szCs w:val="16"/>
        </w:rPr>
        <w:t xml:space="preserve"> </w:t>
      </w:r>
      <w:r w:rsidR="006D25FA" w:rsidRPr="00BC25BA">
        <w:rPr>
          <w:rFonts w:ascii="Abadi" w:hAnsi="Abadi"/>
          <w:spacing w:val="-4"/>
          <w:sz w:val="16"/>
          <w:szCs w:val="16"/>
        </w:rPr>
        <w:t>mayo,</w:t>
      </w:r>
      <w:r w:rsidR="006D25FA" w:rsidRPr="00BC25BA">
        <w:rPr>
          <w:rFonts w:ascii="Abadi" w:hAnsi="Abadi"/>
          <w:spacing w:val="-7"/>
          <w:sz w:val="16"/>
          <w:szCs w:val="16"/>
        </w:rPr>
        <w:t xml:space="preserve"> </w:t>
      </w:r>
      <w:r w:rsidR="006D25FA" w:rsidRPr="00BC25BA">
        <w:rPr>
          <w:rFonts w:ascii="Abadi" w:hAnsi="Abadi"/>
          <w:spacing w:val="-4"/>
          <w:sz w:val="16"/>
          <w:szCs w:val="16"/>
        </w:rPr>
        <w:t>disponible</w:t>
      </w:r>
      <w:r w:rsidR="006D25FA" w:rsidRPr="00BC25BA">
        <w:rPr>
          <w:rFonts w:ascii="Abadi" w:hAnsi="Abadi"/>
          <w:spacing w:val="-7"/>
          <w:sz w:val="16"/>
          <w:szCs w:val="16"/>
        </w:rPr>
        <w:t xml:space="preserve"> </w:t>
      </w:r>
      <w:r w:rsidR="006D25FA" w:rsidRPr="00BC25BA">
        <w:rPr>
          <w:rFonts w:ascii="Abadi" w:hAnsi="Abadi"/>
          <w:spacing w:val="-4"/>
          <w:sz w:val="16"/>
          <w:szCs w:val="16"/>
        </w:rPr>
        <w:t>en:</w:t>
      </w:r>
      <w:r w:rsidR="006D25FA" w:rsidRPr="00BC25BA">
        <w:rPr>
          <w:rFonts w:ascii="Abadi" w:hAnsi="Abadi"/>
          <w:spacing w:val="-7"/>
          <w:sz w:val="16"/>
          <w:szCs w:val="16"/>
        </w:rPr>
        <w:t xml:space="preserve"> </w:t>
      </w:r>
      <w:hyperlink r:id="rId222">
        <w:r w:rsidR="006D25FA" w:rsidRPr="00BC25BA">
          <w:rPr>
            <w:rFonts w:ascii="Abadi" w:hAnsi="Abadi"/>
            <w:color w:val="0562C1"/>
            <w:spacing w:val="-4"/>
            <w:sz w:val="16"/>
            <w:szCs w:val="16"/>
            <w:u w:val="single" w:color="0562C1"/>
          </w:rPr>
          <w:t>https://zonafranca.mx/politica-sociedad/salud/seran-mil-875-bases-en-</w:t>
        </w:r>
      </w:hyperlink>
      <w:r w:rsidR="006D25FA" w:rsidRPr="00BC25BA">
        <w:rPr>
          <w:rFonts w:ascii="Abadi" w:hAnsi="Abadi"/>
          <w:color w:val="0562C1"/>
          <w:sz w:val="16"/>
          <w:szCs w:val="16"/>
        </w:rPr>
        <w:t xml:space="preserve"> </w:t>
      </w:r>
      <w:hyperlink r:id="rId223">
        <w:r w:rsidR="006D25FA" w:rsidRPr="00BC25BA">
          <w:rPr>
            <w:rFonts w:ascii="Abadi" w:hAnsi="Abadi"/>
            <w:color w:val="0562C1"/>
            <w:spacing w:val="-4"/>
            <w:sz w:val="16"/>
            <w:szCs w:val="16"/>
            <w:u w:val="single" w:color="0562C1"/>
          </w:rPr>
          <w:t>la-primera-etapa-para-trabajadores-del-</w:t>
        </w:r>
        <w:proofErr w:type="spellStart"/>
        <w:r w:rsidR="006D25FA" w:rsidRPr="00BC25BA">
          <w:rPr>
            <w:rFonts w:ascii="Abadi" w:hAnsi="Abadi"/>
            <w:color w:val="0562C1"/>
            <w:spacing w:val="-4"/>
            <w:sz w:val="16"/>
            <w:szCs w:val="16"/>
            <w:u w:val="single" w:color="0562C1"/>
          </w:rPr>
          <w:t>isapeg</w:t>
        </w:r>
        <w:proofErr w:type="spellEnd"/>
        <w:r w:rsidR="006D25FA" w:rsidRPr="00BC25BA">
          <w:rPr>
            <w:rFonts w:ascii="Abadi" w:hAnsi="Abadi"/>
            <w:color w:val="0562C1"/>
            <w:spacing w:val="-4"/>
            <w:sz w:val="16"/>
            <w:szCs w:val="16"/>
            <w:u w:val="single" w:color="0562C1"/>
          </w:rPr>
          <w:t>/</w:t>
        </w:r>
      </w:hyperlink>
    </w:p>
    <w:p w14:paraId="584AE0E6" w14:textId="68E21293" w:rsidR="0033692A" w:rsidRPr="00BC25BA" w:rsidRDefault="0033692A">
      <w:pPr>
        <w:pStyle w:val="Textonotapie"/>
        <w:rPr>
          <w:sz w:val="16"/>
          <w:szCs w:val="16"/>
        </w:rPr>
      </w:pPr>
    </w:p>
  </w:footnote>
  <w:footnote w:id="65">
    <w:p w14:paraId="58819A00" w14:textId="77777777" w:rsidR="00B233EA" w:rsidRPr="00BC25BA" w:rsidRDefault="006C2674" w:rsidP="00BC25BA">
      <w:pPr>
        <w:spacing w:before="2"/>
        <w:jc w:val="both"/>
        <w:rPr>
          <w:rFonts w:ascii="Abadi" w:hAnsi="Abadi"/>
          <w:sz w:val="16"/>
          <w:szCs w:val="16"/>
        </w:rPr>
      </w:pPr>
      <w:r w:rsidRPr="00BC25BA">
        <w:rPr>
          <w:rStyle w:val="Refdenotaalpie"/>
          <w:rFonts w:ascii="Abadi" w:hAnsi="Abadi"/>
          <w:sz w:val="16"/>
          <w:szCs w:val="16"/>
        </w:rPr>
        <w:footnoteRef/>
      </w:r>
      <w:r w:rsidRPr="00BC25BA">
        <w:rPr>
          <w:rFonts w:ascii="Abadi" w:hAnsi="Abadi"/>
          <w:sz w:val="16"/>
          <w:szCs w:val="16"/>
        </w:rPr>
        <w:t xml:space="preserve"> </w:t>
      </w:r>
      <w:r w:rsidR="00B233EA" w:rsidRPr="00BC25BA">
        <w:rPr>
          <w:rFonts w:ascii="Abadi" w:hAnsi="Abadi"/>
          <w:sz w:val="16"/>
          <w:szCs w:val="16"/>
        </w:rPr>
        <w:t>Respuesta</w:t>
      </w:r>
      <w:r w:rsidR="00B233EA" w:rsidRPr="00BC25BA">
        <w:rPr>
          <w:rFonts w:ascii="Abadi" w:hAnsi="Abadi"/>
          <w:spacing w:val="-11"/>
          <w:sz w:val="16"/>
          <w:szCs w:val="16"/>
        </w:rPr>
        <w:t xml:space="preserve"> </w:t>
      </w:r>
      <w:r w:rsidR="00B233EA" w:rsidRPr="00BC25BA">
        <w:rPr>
          <w:rFonts w:ascii="Abadi" w:hAnsi="Abadi"/>
          <w:sz w:val="16"/>
          <w:szCs w:val="16"/>
        </w:rPr>
        <w:t>a</w:t>
      </w:r>
      <w:r w:rsidR="00B233EA" w:rsidRPr="00BC25BA">
        <w:rPr>
          <w:rFonts w:ascii="Abadi" w:hAnsi="Abadi"/>
          <w:spacing w:val="-11"/>
          <w:sz w:val="16"/>
          <w:szCs w:val="16"/>
        </w:rPr>
        <w:t xml:space="preserve"> </w:t>
      </w:r>
      <w:r w:rsidR="00B233EA" w:rsidRPr="00BC25BA">
        <w:rPr>
          <w:rFonts w:ascii="Abadi" w:hAnsi="Abadi"/>
          <w:sz w:val="16"/>
          <w:szCs w:val="16"/>
        </w:rPr>
        <w:t>solicitud</w:t>
      </w:r>
      <w:r w:rsidR="00B233EA" w:rsidRPr="00BC25BA">
        <w:rPr>
          <w:rFonts w:ascii="Abadi" w:hAnsi="Abadi"/>
          <w:spacing w:val="-11"/>
          <w:sz w:val="16"/>
          <w:szCs w:val="16"/>
        </w:rPr>
        <w:t xml:space="preserve"> </w:t>
      </w:r>
      <w:r w:rsidR="00B233EA" w:rsidRPr="00BC25BA">
        <w:rPr>
          <w:rFonts w:ascii="Abadi" w:hAnsi="Abadi"/>
          <w:sz w:val="16"/>
          <w:szCs w:val="16"/>
        </w:rPr>
        <w:t>de</w:t>
      </w:r>
      <w:r w:rsidR="00B233EA" w:rsidRPr="00BC25BA">
        <w:rPr>
          <w:rFonts w:ascii="Abadi" w:hAnsi="Abadi"/>
          <w:spacing w:val="-11"/>
          <w:sz w:val="16"/>
          <w:szCs w:val="16"/>
        </w:rPr>
        <w:t xml:space="preserve"> </w:t>
      </w:r>
      <w:r w:rsidR="00B233EA" w:rsidRPr="00BC25BA">
        <w:rPr>
          <w:rFonts w:ascii="Abadi" w:hAnsi="Abadi"/>
          <w:sz w:val="16"/>
          <w:szCs w:val="16"/>
        </w:rPr>
        <w:t>acceso</w:t>
      </w:r>
      <w:r w:rsidR="00B233EA" w:rsidRPr="00BC25BA">
        <w:rPr>
          <w:rFonts w:ascii="Abadi" w:hAnsi="Abadi"/>
          <w:spacing w:val="-11"/>
          <w:sz w:val="16"/>
          <w:szCs w:val="16"/>
        </w:rPr>
        <w:t xml:space="preserve"> </w:t>
      </w:r>
      <w:r w:rsidR="00B233EA" w:rsidRPr="00BC25BA">
        <w:rPr>
          <w:rFonts w:ascii="Abadi" w:hAnsi="Abadi"/>
          <w:sz w:val="16"/>
          <w:szCs w:val="16"/>
        </w:rPr>
        <w:t>a</w:t>
      </w:r>
      <w:r w:rsidR="00B233EA" w:rsidRPr="00BC25BA">
        <w:rPr>
          <w:rFonts w:ascii="Abadi" w:hAnsi="Abadi"/>
          <w:spacing w:val="-11"/>
          <w:sz w:val="16"/>
          <w:szCs w:val="16"/>
        </w:rPr>
        <w:t xml:space="preserve"> </w:t>
      </w:r>
      <w:r w:rsidR="00B233EA" w:rsidRPr="00BC25BA">
        <w:rPr>
          <w:rFonts w:ascii="Abadi" w:hAnsi="Abadi"/>
          <w:sz w:val="16"/>
          <w:szCs w:val="16"/>
        </w:rPr>
        <w:t>la</w:t>
      </w:r>
      <w:r w:rsidR="00B233EA" w:rsidRPr="00BC25BA">
        <w:rPr>
          <w:rFonts w:ascii="Abadi" w:hAnsi="Abadi"/>
          <w:spacing w:val="-11"/>
          <w:sz w:val="16"/>
          <w:szCs w:val="16"/>
        </w:rPr>
        <w:t xml:space="preserve"> </w:t>
      </w:r>
      <w:r w:rsidR="00B233EA" w:rsidRPr="00BC25BA">
        <w:rPr>
          <w:rFonts w:ascii="Abadi" w:hAnsi="Abadi"/>
          <w:sz w:val="16"/>
          <w:szCs w:val="16"/>
        </w:rPr>
        <w:t>información</w:t>
      </w:r>
      <w:r w:rsidR="00B233EA" w:rsidRPr="00BC25BA">
        <w:rPr>
          <w:rFonts w:ascii="Abadi" w:hAnsi="Abadi"/>
          <w:spacing w:val="-11"/>
          <w:sz w:val="16"/>
          <w:szCs w:val="16"/>
        </w:rPr>
        <w:t xml:space="preserve"> </w:t>
      </w:r>
      <w:r w:rsidR="00B233EA" w:rsidRPr="00BC25BA">
        <w:rPr>
          <w:rFonts w:ascii="Abadi" w:hAnsi="Abadi"/>
          <w:sz w:val="16"/>
          <w:szCs w:val="16"/>
        </w:rPr>
        <w:t>con</w:t>
      </w:r>
      <w:r w:rsidR="00B233EA" w:rsidRPr="00BC25BA">
        <w:rPr>
          <w:rFonts w:ascii="Abadi" w:hAnsi="Abadi"/>
          <w:spacing w:val="-11"/>
          <w:sz w:val="16"/>
          <w:szCs w:val="16"/>
        </w:rPr>
        <w:t xml:space="preserve"> </w:t>
      </w:r>
      <w:r w:rsidR="00B233EA" w:rsidRPr="00BC25BA">
        <w:rPr>
          <w:rFonts w:ascii="Abadi" w:hAnsi="Abadi"/>
          <w:sz w:val="16"/>
          <w:szCs w:val="16"/>
        </w:rPr>
        <w:t>folio</w:t>
      </w:r>
      <w:r w:rsidR="00B233EA" w:rsidRPr="00BC25BA">
        <w:rPr>
          <w:rFonts w:ascii="Abadi" w:hAnsi="Abadi"/>
          <w:spacing w:val="-11"/>
          <w:sz w:val="16"/>
          <w:szCs w:val="16"/>
        </w:rPr>
        <w:t xml:space="preserve"> </w:t>
      </w:r>
      <w:r w:rsidR="00B233EA" w:rsidRPr="00BC25BA">
        <w:rPr>
          <w:rFonts w:ascii="Abadi" w:hAnsi="Abadi"/>
          <w:sz w:val="16"/>
          <w:szCs w:val="16"/>
        </w:rPr>
        <w:t>de</w:t>
      </w:r>
      <w:r w:rsidR="00B233EA" w:rsidRPr="00BC25BA">
        <w:rPr>
          <w:rFonts w:ascii="Abadi" w:hAnsi="Abadi"/>
          <w:spacing w:val="-11"/>
          <w:sz w:val="16"/>
          <w:szCs w:val="16"/>
        </w:rPr>
        <w:t xml:space="preserve"> </w:t>
      </w:r>
      <w:r w:rsidR="00B233EA" w:rsidRPr="00BC25BA">
        <w:rPr>
          <w:rFonts w:ascii="Abadi" w:hAnsi="Abadi"/>
          <w:sz w:val="16"/>
          <w:szCs w:val="16"/>
        </w:rPr>
        <w:t>referencia</w:t>
      </w:r>
      <w:r w:rsidR="00B233EA" w:rsidRPr="00BC25BA">
        <w:rPr>
          <w:rFonts w:ascii="Abadi" w:hAnsi="Abadi"/>
          <w:spacing w:val="-11"/>
          <w:sz w:val="16"/>
          <w:szCs w:val="16"/>
        </w:rPr>
        <w:t xml:space="preserve"> </w:t>
      </w:r>
      <w:r w:rsidR="00B233EA" w:rsidRPr="00BC25BA">
        <w:rPr>
          <w:rFonts w:ascii="Abadi" w:hAnsi="Abadi"/>
          <w:sz w:val="16"/>
          <w:szCs w:val="16"/>
        </w:rPr>
        <w:t>111100500142223</w:t>
      </w:r>
      <w:r w:rsidR="00B233EA" w:rsidRPr="00BC25BA">
        <w:rPr>
          <w:rFonts w:ascii="Abadi" w:hAnsi="Abadi"/>
          <w:spacing w:val="-11"/>
          <w:sz w:val="16"/>
          <w:szCs w:val="16"/>
        </w:rPr>
        <w:t xml:space="preserve"> </w:t>
      </w:r>
      <w:r w:rsidR="00B233EA" w:rsidRPr="00BC25BA">
        <w:rPr>
          <w:rFonts w:ascii="Abadi" w:hAnsi="Abadi"/>
          <w:sz w:val="16"/>
          <w:szCs w:val="16"/>
        </w:rPr>
        <w:t>de</w:t>
      </w:r>
      <w:r w:rsidR="00B233EA" w:rsidRPr="00BC25BA">
        <w:rPr>
          <w:rFonts w:ascii="Abadi" w:hAnsi="Abadi"/>
          <w:spacing w:val="-11"/>
          <w:sz w:val="16"/>
          <w:szCs w:val="16"/>
        </w:rPr>
        <w:t xml:space="preserve"> </w:t>
      </w:r>
      <w:r w:rsidR="00B233EA" w:rsidRPr="00BC25BA">
        <w:rPr>
          <w:rFonts w:ascii="Abadi" w:hAnsi="Abadi"/>
          <w:sz w:val="16"/>
          <w:szCs w:val="16"/>
        </w:rPr>
        <w:t>fecha</w:t>
      </w:r>
      <w:r w:rsidR="00B233EA" w:rsidRPr="00BC25BA">
        <w:rPr>
          <w:rFonts w:ascii="Abadi" w:hAnsi="Abadi"/>
          <w:spacing w:val="-11"/>
          <w:sz w:val="16"/>
          <w:szCs w:val="16"/>
        </w:rPr>
        <w:t xml:space="preserve"> </w:t>
      </w:r>
      <w:r w:rsidR="00B233EA" w:rsidRPr="00BC25BA">
        <w:rPr>
          <w:rFonts w:ascii="Abadi" w:hAnsi="Abadi"/>
          <w:sz w:val="16"/>
          <w:szCs w:val="16"/>
        </w:rPr>
        <w:t>8</w:t>
      </w:r>
      <w:r w:rsidR="00B233EA" w:rsidRPr="00BC25BA">
        <w:rPr>
          <w:rFonts w:ascii="Abadi" w:hAnsi="Abadi"/>
          <w:spacing w:val="-11"/>
          <w:sz w:val="16"/>
          <w:szCs w:val="16"/>
        </w:rPr>
        <w:t xml:space="preserve"> </w:t>
      </w:r>
      <w:r w:rsidR="00B233EA" w:rsidRPr="00BC25BA">
        <w:rPr>
          <w:rFonts w:ascii="Abadi" w:hAnsi="Abadi"/>
          <w:sz w:val="16"/>
          <w:szCs w:val="16"/>
        </w:rPr>
        <w:t>de mayo de 2023.</w:t>
      </w:r>
    </w:p>
    <w:p w14:paraId="52F01DFA" w14:textId="7EFDD341" w:rsidR="006C2674" w:rsidRPr="00BC25BA" w:rsidRDefault="006C2674" w:rsidP="00BC25BA">
      <w:pPr>
        <w:pStyle w:val="Textonotapie"/>
        <w:rPr>
          <w:rFonts w:ascii="Abadi" w:hAnsi="Abadi"/>
          <w:sz w:val="16"/>
          <w:szCs w:val="16"/>
        </w:rPr>
      </w:pPr>
    </w:p>
  </w:footnote>
  <w:footnote w:id="66">
    <w:p w14:paraId="30D4F89A" w14:textId="77777777" w:rsidR="00BC25BA" w:rsidRPr="00BC25BA" w:rsidRDefault="00B233EA" w:rsidP="00BC25BA">
      <w:pPr>
        <w:spacing w:before="2"/>
        <w:jc w:val="both"/>
        <w:rPr>
          <w:rFonts w:ascii="Abadi" w:hAnsi="Abadi"/>
          <w:sz w:val="16"/>
          <w:szCs w:val="16"/>
        </w:rPr>
      </w:pPr>
      <w:r w:rsidRPr="00BC25BA">
        <w:rPr>
          <w:rStyle w:val="Refdenotaalpie"/>
          <w:rFonts w:ascii="Abadi" w:hAnsi="Abadi"/>
          <w:sz w:val="16"/>
          <w:szCs w:val="16"/>
        </w:rPr>
        <w:footnoteRef/>
      </w:r>
      <w:r w:rsidRPr="00BC25BA">
        <w:rPr>
          <w:rFonts w:ascii="Abadi" w:hAnsi="Abadi"/>
          <w:sz w:val="16"/>
          <w:szCs w:val="16"/>
        </w:rPr>
        <w:t xml:space="preserve"> </w:t>
      </w:r>
      <w:r w:rsidR="00BC25BA" w:rsidRPr="00BC25BA">
        <w:rPr>
          <w:rFonts w:ascii="Abadi" w:hAnsi="Abadi"/>
          <w:spacing w:val="-4"/>
          <w:sz w:val="16"/>
          <w:szCs w:val="16"/>
        </w:rPr>
        <w:t>Artículo</w:t>
      </w:r>
      <w:r w:rsidR="00BC25BA" w:rsidRPr="00BC25BA">
        <w:rPr>
          <w:rFonts w:ascii="Abadi" w:hAnsi="Abadi"/>
          <w:spacing w:val="-5"/>
          <w:sz w:val="16"/>
          <w:szCs w:val="16"/>
        </w:rPr>
        <w:t xml:space="preserve"> </w:t>
      </w:r>
      <w:r w:rsidR="00BC25BA" w:rsidRPr="00BC25BA">
        <w:rPr>
          <w:rFonts w:ascii="Abadi" w:hAnsi="Abadi"/>
          <w:spacing w:val="-4"/>
          <w:sz w:val="16"/>
          <w:szCs w:val="16"/>
        </w:rPr>
        <w:t>13, fracción</w:t>
      </w:r>
      <w:r w:rsidR="00BC25BA" w:rsidRPr="00BC25BA">
        <w:rPr>
          <w:rFonts w:ascii="Abadi" w:hAnsi="Abadi"/>
          <w:spacing w:val="-5"/>
          <w:sz w:val="16"/>
          <w:szCs w:val="16"/>
        </w:rPr>
        <w:t xml:space="preserve"> </w:t>
      </w:r>
      <w:r w:rsidR="00BC25BA" w:rsidRPr="00BC25BA">
        <w:rPr>
          <w:rFonts w:ascii="Abadi" w:hAnsi="Abadi"/>
          <w:spacing w:val="-4"/>
          <w:sz w:val="16"/>
          <w:szCs w:val="16"/>
        </w:rPr>
        <w:t>V, Ley</w:t>
      </w:r>
      <w:r w:rsidR="00BC25BA" w:rsidRPr="00BC25BA">
        <w:rPr>
          <w:rFonts w:ascii="Abadi" w:hAnsi="Abadi"/>
          <w:spacing w:val="-3"/>
          <w:sz w:val="16"/>
          <w:szCs w:val="16"/>
        </w:rPr>
        <w:t xml:space="preserve"> </w:t>
      </w:r>
      <w:r w:rsidR="00BC25BA" w:rsidRPr="00BC25BA">
        <w:rPr>
          <w:rFonts w:ascii="Abadi" w:hAnsi="Abadi"/>
          <w:spacing w:val="-4"/>
          <w:sz w:val="16"/>
          <w:szCs w:val="16"/>
        </w:rPr>
        <w:t>de Disciplina Financiera</w:t>
      </w:r>
      <w:r w:rsidR="00BC25BA" w:rsidRPr="00BC25BA">
        <w:rPr>
          <w:rFonts w:ascii="Abadi" w:hAnsi="Abadi"/>
          <w:spacing w:val="-3"/>
          <w:sz w:val="16"/>
          <w:szCs w:val="16"/>
        </w:rPr>
        <w:t xml:space="preserve"> </w:t>
      </w:r>
      <w:r w:rsidR="00BC25BA" w:rsidRPr="00BC25BA">
        <w:rPr>
          <w:rFonts w:ascii="Abadi" w:hAnsi="Abadi"/>
          <w:spacing w:val="-4"/>
          <w:sz w:val="16"/>
          <w:szCs w:val="16"/>
        </w:rPr>
        <w:t>de las</w:t>
      </w:r>
      <w:r w:rsidR="00BC25BA" w:rsidRPr="00BC25BA">
        <w:rPr>
          <w:rFonts w:ascii="Abadi" w:hAnsi="Abadi"/>
          <w:spacing w:val="-1"/>
          <w:sz w:val="16"/>
          <w:szCs w:val="16"/>
        </w:rPr>
        <w:t xml:space="preserve"> </w:t>
      </w:r>
      <w:r w:rsidR="00BC25BA" w:rsidRPr="00BC25BA">
        <w:rPr>
          <w:rFonts w:ascii="Abadi" w:hAnsi="Abadi"/>
          <w:spacing w:val="-4"/>
          <w:sz w:val="16"/>
          <w:szCs w:val="16"/>
        </w:rPr>
        <w:t>Entidades Federativas y los</w:t>
      </w:r>
      <w:r w:rsidR="00BC25BA" w:rsidRPr="00BC25BA">
        <w:rPr>
          <w:rFonts w:ascii="Abadi" w:hAnsi="Abadi"/>
          <w:spacing w:val="-3"/>
          <w:sz w:val="16"/>
          <w:szCs w:val="16"/>
        </w:rPr>
        <w:t xml:space="preserve"> </w:t>
      </w:r>
      <w:r w:rsidR="00BC25BA" w:rsidRPr="00BC25BA">
        <w:rPr>
          <w:rFonts w:ascii="Abadi" w:hAnsi="Abadi"/>
          <w:spacing w:val="-4"/>
          <w:sz w:val="16"/>
          <w:szCs w:val="16"/>
        </w:rPr>
        <w:t>Municipios.</w:t>
      </w:r>
    </w:p>
    <w:p w14:paraId="156CA2D8" w14:textId="7552081B" w:rsidR="00B233EA" w:rsidRPr="00BC25BA" w:rsidRDefault="00B233EA">
      <w:pPr>
        <w:pStyle w:val="Textonotapie"/>
        <w:rPr>
          <w:sz w:val="16"/>
          <w:szCs w:val="16"/>
        </w:rPr>
      </w:pPr>
    </w:p>
  </w:footnote>
  <w:footnote w:id="67">
    <w:p w14:paraId="7612BF6F" w14:textId="77777777" w:rsidR="00B178F5" w:rsidRPr="00B178F5" w:rsidRDefault="008B2885" w:rsidP="00B178F5">
      <w:pPr>
        <w:spacing w:before="102"/>
        <w:rPr>
          <w:rFonts w:ascii="Abadi" w:hAnsi="Abadi"/>
          <w:sz w:val="16"/>
          <w:szCs w:val="16"/>
        </w:rPr>
      </w:pPr>
      <w:r>
        <w:rPr>
          <w:rStyle w:val="Refdenotaalpie"/>
        </w:rPr>
        <w:footnoteRef/>
      </w:r>
      <w:r>
        <w:t xml:space="preserve"> </w:t>
      </w:r>
      <w:r w:rsidR="00B178F5" w:rsidRPr="00B178F5">
        <w:rPr>
          <w:rFonts w:ascii="Abadi" w:hAnsi="Abadi"/>
          <w:spacing w:val="-2"/>
          <w:sz w:val="16"/>
          <w:szCs w:val="16"/>
        </w:rPr>
        <w:t>Respuesta</w:t>
      </w:r>
      <w:r w:rsidR="00B178F5" w:rsidRPr="00B178F5">
        <w:rPr>
          <w:rFonts w:ascii="Abadi" w:hAnsi="Abadi"/>
          <w:spacing w:val="-4"/>
          <w:sz w:val="16"/>
          <w:szCs w:val="16"/>
        </w:rPr>
        <w:t xml:space="preserve"> </w:t>
      </w:r>
      <w:r w:rsidR="00B178F5" w:rsidRPr="00B178F5">
        <w:rPr>
          <w:rFonts w:ascii="Abadi" w:hAnsi="Abadi"/>
          <w:spacing w:val="-2"/>
          <w:sz w:val="16"/>
          <w:szCs w:val="16"/>
        </w:rPr>
        <w:t>a</w:t>
      </w:r>
      <w:r w:rsidR="00B178F5" w:rsidRPr="00B178F5">
        <w:rPr>
          <w:rFonts w:ascii="Abadi" w:hAnsi="Abadi"/>
          <w:spacing w:val="-3"/>
          <w:sz w:val="16"/>
          <w:szCs w:val="16"/>
        </w:rPr>
        <w:t xml:space="preserve"> </w:t>
      </w:r>
      <w:r w:rsidR="00B178F5" w:rsidRPr="00B178F5">
        <w:rPr>
          <w:rFonts w:ascii="Abadi" w:hAnsi="Abadi"/>
          <w:spacing w:val="-2"/>
          <w:sz w:val="16"/>
          <w:szCs w:val="16"/>
        </w:rPr>
        <w:t>solicitud</w:t>
      </w:r>
      <w:r w:rsidR="00B178F5" w:rsidRPr="00B178F5">
        <w:rPr>
          <w:rFonts w:ascii="Abadi" w:hAnsi="Abadi"/>
          <w:spacing w:val="-5"/>
          <w:sz w:val="16"/>
          <w:szCs w:val="16"/>
        </w:rPr>
        <w:t xml:space="preserve"> </w:t>
      </w:r>
      <w:r w:rsidR="00B178F5" w:rsidRPr="00B178F5">
        <w:rPr>
          <w:rFonts w:ascii="Abadi" w:hAnsi="Abadi"/>
          <w:spacing w:val="-2"/>
          <w:sz w:val="16"/>
          <w:szCs w:val="16"/>
        </w:rPr>
        <w:t>de</w:t>
      </w:r>
      <w:r w:rsidR="00B178F5" w:rsidRPr="00B178F5">
        <w:rPr>
          <w:rFonts w:ascii="Abadi" w:hAnsi="Abadi"/>
          <w:spacing w:val="-3"/>
          <w:sz w:val="16"/>
          <w:szCs w:val="16"/>
        </w:rPr>
        <w:t xml:space="preserve"> </w:t>
      </w:r>
      <w:r w:rsidR="00B178F5" w:rsidRPr="00B178F5">
        <w:rPr>
          <w:rFonts w:ascii="Abadi" w:hAnsi="Abadi"/>
          <w:spacing w:val="-2"/>
          <w:sz w:val="16"/>
          <w:szCs w:val="16"/>
        </w:rPr>
        <w:t>acceso</w:t>
      </w:r>
      <w:r w:rsidR="00B178F5" w:rsidRPr="00B178F5">
        <w:rPr>
          <w:rFonts w:ascii="Abadi" w:hAnsi="Abadi"/>
          <w:spacing w:val="-3"/>
          <w:sz w:val="16"/>
          <w:szCs w:val="16"/>
        </w:rPr>
        <w:t xml:space="preserve"> </w:t>
      </w:r>
      <w:r w:rsidR="00B178F5" w:rsidRPr="00B178F5">
        <w:rPr>
          <w:rFonts w:ascii="Abadi" w:hAnsi="Abadi"/>
          <w:spacing w:val="-2"/>
          <w:sz w:val="16"/>
          <w:szCs w:val="16"/>
        </w:rPr>
        <w:t>a</w:t>
      </w:r>
      <w:r w:rsidR="00B178F5" w:rsidRPr="00B178F5">
        <w:rPr>
          <w:rFonts w:ascii="Abadi" w:hAnsi="Abadi"/>
          <w:spacing w:val="-4"/>
          <w:sz w:val="16"/>
          <w:szCs w:val="16"/>
        </w:rPr>
        <w:t xml:space="preserve"> </w:t>
      </w:r>
      <w:r w:rsidR="00B178F5" w:rsidRPr="00B178F5">
        <w:rPr>
          <w:rFonts w:ascii="Abadi" w:hAnsi="Abadi"/>
          <w:spacing w:val="-2"/>
          <w:sz w:val="16"/>
          <w:szCs w:val="16"/>
        </w:rPr>
        <w:t>la</w:t>
      </w:r>
      <w:r w:rsidR="00B178F5" w:rsidRPr="00B178F5">
        <w:rPr>
          <w:rFonts w:ascii="Abadi" w:hAnsi="Abadi"/>
          <w:spacing w:val="-3"/>
          <w:sz w:val="16"/>
          <w:szCs w:val="16"/>
        </w:rPr>
        <w:t xml:space="preserve"> </w:t>
      </w:r>
      <w:r w:rsidR="00B178F5" w:rsidRPr="00B178F5">
        <w:rPr>
          <w:rFonts w:ascii="Abadi" w:hAnsi="Abadi"/>
          <w:spacing w:val="-2"/>
          <w:sz w:val="16"/>
          <w:szCs w:val="16"/>
        </w:rPr>
        <w:t>información</w:t>
      </w:r>
      <w:r w:rsidR="00B178F5" w:rsidRPr="00B178F5">
        <w:rPr>
          <w:rFonts w:ascii="Abadi" w:hAnsi="Abadi"/>
          <w:spacing w:val="-5"/>
          <w:sz w:val="16"/>
          <w:szCs w:val="16"/>
        </w:rPr>
        <w:t xml:space="preserve"> </w:t>
      </w:r>
      <w:r w:rsidR="00B178F5" w:rsidRPr="00B178F5">
        <w:rPr>
          <w:rFonts w:ascii="Abadi" w:hAnsi="Abadi"/>
          <w:spacing w:val="-2"/>
          <w:sz w:val="16"/>
          <w:szCs w:val="16"/>
        </w:rPr>
        <w:t>con</w:t>
      </w:r>
      <w:r w:rsidR="00B178F5" w:rsidRPr="00B178F5">
        <w:rPr>
          <w:rFonts w:ascii="Abadi" w:hAnsi="Abadi"/>
          <w:spacing w:val="-4"/>
          <w:sz w:val="16"/>
          <w:szCs w:val="16"/>
        </w:rPr>
        <w:t xml:space="preserve"> </w:t>
      </w:r>
      <w:r w:rsidR="00B178F5" w:rsidRPr="00B178F5">
        <w:rPr>
          <w:rFonts w:ascii="Abadi" w:hAnsi="Abadi"/>
          <w:spacing w:val="-2"/>
          <w:sz w:val="16"/>
          <w:szCs w:val="16"/>
        </w:rPr>
        <w:t>folio</w:t>
      </w:r>
      <w:r w:rsidR="00B178F5" w:rsidRPr="00B178F5">
        <w:rPr>
          <w:rFonts w:ascii="Abadi" w:hAnsi="Abadi"/>
          <w:spacing w:val="-4"/>
          <w:sz w:val="16"/>
          <w:szCs w:val="16"/>
        </w:rPr>
        <w:t xml:space="preserve"> </w:t>
      </w:r>
      <w:r w:rsidR="00B178F5" w:rsidRPr="00B178F5">
        <w:rPr>
          <w:rFonts w:ascii="Abadi" w:hAnsi="Abadi"/>
          <w:spacing w:val="-2"/>
          <w:sz w:val="16"/>
          <w:szCs w:val="16"/>
        </w:rPr>
        <w:t>de</w:t>
      </w:r>
      <w:r w:rsidR="00B178F5" w:rsidRPr="00B178F5">
        <w:rPr>
          <w:rFonts w:ascii="Abadi" w:hAnsi="Abadi"/>
          <w:spacing w:val="-4"/>
          <w:sz w:val="16"/>
          <w:szCs w:val="16"/>
        </w:rPr>
        <w:t xml:space="preserve"> </w:t>
      </w:r>
      <w:r w:rsidR="00B178F5" w:rsidRPr="00B178F5">
        <w:rPr>
          <w:rFonts w:ascii="Abadi" w:hAnsi="Abadi"/>
          <w:spacing w:val="-2"/>
          <w:sz w:val="16"/>
          <w:szCs w:val="16"/>
        </w:rPr>
        <w:t>referencia</w:t>
      </w:r>
      <w:r w:rsidR="00B178F5" w:rsidRPr="00B178F5">
        <w:rPr>
          <w:rFonts w:ascii="Abadi" w:hAnsi="Abadi"/>
          <w:spacing w:val="-4"/>
          <w:sz w:val="16"/>
          <w:szCs w:val="16"/>
        </w:rPr>
        <w:t xml:space="preserve"> </w:t>
      </w:r>
      <w:r w:rsidR="00B178F5" w:rsidRPr="00B178F5">
        <w:rPr>
          <w:rFonts w:ascii="Abadi" w:hAnsi="Abadi"/>
          <w:spacing w:val="-2"/>
          <w:sz w:val="16"/>
          <w:szCs w:val="16"/>
        </w:rPr>
        <w:t>111100500142223</w:t>
      </w:r>
      <w:r w:rsidR="00B178F5" w:rsidRPr="00B178F5">
        <w:rPr>
          <w:rFonts w:ascii="Abadi" w:hAnsi="Abadi"/>
          <w:spacing w:val="-5"/>
          <w:sz w:val="16"/>
          <w:szCs w:val="16"/>
        </w:rPr>
        <w:t xml:space="preserve"> </w:t>
      </w:r>
      <w:r w:rsidR="00B178F5" w:rsidRPr="00B178F5">
        <w:rPr>
          <w:rFonts w:ascii="Abadi" w:hAnsi="Abadi"/>
          <w:spacing w:val="-2"/>
          <w:sz w:val="16"/>
          <w:szCs w:val="16"/>
        </w:rPr>
        <w:t>de</w:t>
      </w:r>
      <w:r w:rsidR="00B178F5" w:rsidRPr="00B178F5">
        <w:rPr>
          <w:rFonts w:ascii="Abadi" w:hAnsi="Abadi"/>
          <w:spacing w:val="-4"/>
          <w:sz w:val="16"/>
          <w:szCs w:val="16"/>
        </w:rPr>
        <w:t xml:space="preserve"> </w:t>
      </w:r>
      <w:r w:rsidR="00B178F5" w:rsidRPr="00B178F5">
        <w:rPr>
          <w:rFonts w:ascii="Abadi" w:hAnsi="Abadi"/>
          <w:spacing w:val="-2"/>
          <w:sz w:val="16"/>
          <w:szCs w:val="16"/>
        </w:rPr>
        <w:t>fecha</w:t>
      </w:r>
      <w:r w:rsidR="00B178F5" w:rsidRPr="00B178F5">
        <w:rPr>
          <w:rFonts w:ascii="Abadi" w:hAnsi="Abadi"/>
          <w:spacing w:val="-3"/>
          <w:sz w:val="16"/>
          <w:szCs w:val="16"/>
        </w:rPr>
        <w:t xml:space="preserve"> </w:t>
      </w:r>
      <w:r w:rsidR="00B178F5" w:rsidRPr="00B178F5">
        <w:rPr>
          <w:rFonts w:ascii="Abadi" w:hAnsi="Abadi"/>
          <w:spacing w:val="-2"/>
          <w:sz w:val="16"/>
          <w:szCs w:val="16"/>
        </w:rPr>
        <w:t>8</w:t>
      </w:r>
      <w:r w:rsidR="00B178F5" w:rsidRPr="00B178F5">
        <w:rPr>
          <w:rFonts w:ascii="Abadi" w:hAnsi="Abadi"/>
          <w:spacing w:val="-5"/>
          <w:sz w:val="16"/>
          <w:szCs w:val="16"/>
        </w:rPr>
        <w:t xml:space="preserve"> </w:t>
      </w:r>
      <w:r w:rsidR="00B178F5" w:rsidRPr="00B178F5">
        <w:rPr>
          <w:rFonts w:ascii="Abadi" w:hAnsi="Abadi"/>
          <w:spacing w:val="-2"/>
          <w:sz w:val="16"/>
          <w:szCs w:val="16"/>
        </w:rPr>
        <w:t xml:space="preserve">de </w:t>
      </w:r>
      <w:r w:rsidR="00B178F5" w:rsidRPr="00B178F5">
        <w:rPr>
          <w:rFonts w:ascii="Abadi" w:hAnsi="Abadi"/>
          <w:sz w:val="16"/>
          <w:szCs w:val="16"/>
        </w:rPr>
        <w:t>mayo de 2023.</w:t>
      </w:r>
    </w:p>
    <w:p w14:paraId="31E6A795" w14:textId="48470108" w:rsidR="008B2885" w:rsidRPr="00B178F5" w:rsidRDefault="008B2885" w:rsidP="00B178F5">
      <w:pPr>
        <w:pStyle w:val="Textonotapie"/>
        <w:rPr>
          <w:rFonts w:ascii="Abadi" w:hAnsi="Abadi"/>
          <w:b/>
          <w:bCs/>
          <w:sz w:val="16"/>
          <w:szCs w:val="16"/>
        </w:rPr>
      </w:pPr>
    </w:p>
  </w:footnote>
  <w:footnote w:id="68">
    <w:p w14:paraId="3C333121" w14:textId="0E72BB39" w:rsidR="0075047F" w:rsidRPr="00804D81" w:rsidRDefault="0075047F" w:rsidP="00D41819">
      <w:pPr>
        <w:pStyle w:val="Textonotapie"/>
        <w:jc w:val="both"/>
        <w:rPr>
          <w:rFonts w:ascii="Abadi" w:hAnsi="Abadi"/>
          <w:sz w:val="16"/>
          <w:szCs w:val="16"/>
        </w:rPr>
      </w:pPr>
      <w:r>
        <w:rPr>
          <w:rStyle w:val="Refdenotaalpie"/>
        </w:rPr>
        <w:footnoteRef/>
      </w:r>
      <w:r>
        <w:t xml:space="preserve"> </w:t>
      </w:r>
      <w:r w:rsidR="006B3911" w:rsidRPr="009B7A89">
        <w:rPr>
          <w:rFonts w:ascii="Abadi" w:hAnsi="Abadi"/>
          <w:spacing w:val="-6"/>
          <w:sz w:val="21"/>
          <w:szCs w:val="21"/>
        </w:rPr>
        <w:t>Secretaría</w:t>
      </w:r>
      <w:r w:rsidR="006B3911" w:rsidRPr="009B7A89">
        <w:rPr>
          <w:rFonts w:ascii="Abadi" w:hAnsi="Abadi"/>
          <w:spacing w:val="-1"/>
          <w:sz w:val="21"/>
          <w:szCs w:val="21"/>
        </w:rPr>
        <w:t xml:space="preserve"> </w:t>
      </w:r>
      <w:r w:rsidR="006B3911" w:rsidRPr="009B7A89">
        <w:rPr>
          <w:rFonts w:ascii="Abadi" w:hAnsi="Abadi"/>
          <w:spacing w:val="-6"/>
          <w:sz w:val="21"/>
          <w:szCs w:val="21"/>
        </w:rPr>
        <w:t>de</w:t>
      </w:r>
      <w:r w:rsidR="006B3911" w:rsidRPr="009B7A89">
        <w:rPr>
          <w:rFonts w:ascii="Abadi" w:hAnsi="Abadi"/>
          <w:spacing w:val="-3"/>
          <w:sz w:val="21"/>
          <w:szCs w:val="21"/>
        </w:rPr>
        <w:t xml:space="preserve"> </w:t>
      </w:r>
      <w:r w:rsidR="006B3911" w:rsidRPr="009B7A89">
        <w:rPr>
          <w:rFonts w:ascii="Abadi" w:hAnsi="Abadi"/>
          <w:spacing w:val="-6"/>
          <w:sz w:val="21"/>
          <w:szCs w:val="21"/>
        </w:rPr>
        <w:t>Salud</w:t>
      </w:r>
      <w:r w:rsidR="006B3911" w:rsidRPr="009B7A89">
        <w:rPr>
          <w:rFonts w:ascii="Abadi" w:hAnsi="Abadi"/>
          <w:spacing w:val="-2"/>
          <w:sz w:val="21"/>
          <w:szCs w:val="21"/>
        </w:rPr>
        <w:t xml:space="preserve"> </w:t>
      </w:r>
      <w:r w:rsidR="006B3911" w:rsidRPr="009B7A89">
        <w:rPr>
          <w:rFonts w:ascii="Abadi" w:hAnsi="Abadi"/>
          <w:spacing w:val="-6"/>
          <w:sz w:val="21"/>
          <w:szCs w:val="21"/>
        </w:rPr>
        <w:t>de</w:t>
      </w:r>
      <w:r w:rsidR="006B3911" w:rsidRPr="009B7A89">
        <w:rPr>
          <w:rFonts w:ascii="Abadi" w:hAnsi="Abadi"/>
          <w:spacing w:val="-3"/>
          <w:sz w:val="21"/>
          <w:szCs w:val="21"/>
        </w:rPr>
        <w:t xml:space="preserve"> </w:t>
      </w:r>
      <w:r w:rsidR="006B3911" w:rsidRPr="00804D81">
        <w:rPr>
          <w:rFonts w:ascii="Abadi" w:hAnsi="Abadi"/>
          <w:spacing w:val="-6"/>
          <w:sz w:val="16"/>
          <w:szCs w:val="16"/>
        </w:rPr>
        <w:t>Guanajuato.</w:t>
      </w:r>
      <w:r w:rsidR="006B3911" w:rsidRPr="00804D81">
        <w:rPr>
          <w:rFonts w:ascii="Abadi" w:hAnsi="Abadi"/>
          <w:spacing w:val="-3"/>
          <w:sz w:val="16"/>
          <w:szCs w:val="16"/>
        </w:rPr>
        <w:t xml:space="preserve"> </w:t>
      </w:r>
      <w:r w:rsidR="006B3911" w:rsidRPr="00804D81">
        <w:rPr>
          <w:rFonts w:ascii="Abadi" w:hAnsi="Abadi"/>
          <w:spacing w:val="-6"/>
          <w:sz w:val="16"/>
          <w:szCs w:val="16"/>
        </w:rPr>
        <w:t>(2023).</w:t>
      </w:r>
      <w:r w:rsidR="006B3911" w:rsidRPr="00804D81">
        <w:rPr>
          <w:rFonts w:ascii="Abadi" w:hAnsi="Abadi"/>
          <w:sz w:val="16"/>
          <w:szCs w:val="16"/>
        </w:rPr>
        <w:t xml:space="preserve"> </w:t>
      </w:r>
      <w:r w:rsidR="006B3911" w:rsidRPr="00804D81">
        <w:rPr>
          <w:rFonts w:ascii="Abadi" w:hAnsi="Abadi"/>
          <w:i/>
          <w:spacing w:val="-6"/>
          <w:sz w:val="16"/>
          <w:szCs w:val="16"/>
        </w:rPr>
        <w:t>3 mil</w:t>
      </w:r>
      <w:r w:rsidR="006B3911" w:rsidRPr="00804D81">
        <w:rPr>
          <w:rFonts w:ascii="Abadi" w:hAnsi="Abadi"/>
          <w:i/>
          <w:spacing w:val="-5"/>
          <w:sz w:val="16"/>
          <w:szCs w:val="16"/>
        </w:rPr>
        <w:t xml:space="preserve"> </w:t>
      </w:r>
      <w:r w:rsidR="006B3911" w:rsidRPr="00804D81">
        <w:rPr>
          <w:rFonts w:ascii="Abadi" w:hAnsi="Abadi"/>
          <w:i/>
          <w:spacing w:val="-6"/>
          <w:sz w:val="16"/>
          <w:szCs w:val="16"/>
        </w:rPr>
        <w:t>600</w:t>
      </w:r>
      <w:r w:rsidR="006B3911" w:rsidRPr="00804D81">
        <w:rPr>
          <w:rFonts w:ascii="Abadi" w:hAnsi="Abadi"/>
          <w:i/>
          <w:spacing w:val="-4"/>
          <w:sz w:val="16"/>
          <w:szCs w:val="16"/>
        </w:rPr>
        <w:t xml:space="preserve"> </w:t>
      </w:r>
      <w:r w:rsidR="006B3911" w:rsidRPr="00804D81">
        <w:rPr>
          <w:rFonts w:ascii="Abadi" w:hAnsi="Abadi"/>
          <w:i/>
          <w:spacing w:val="-6"/>
          <w:sz w:val="16"/>
          <w:szCs w:val="16"/>
        </w:rPr>
        <w:t>bases laborales,</w:t>
      </w:r>
      <w:r w:rsidR="006B3911" w:rsidRPr="00804D81">
        <w:rPr>
          <w:rFonts w:ascii="Abadi" w:hAnsi="Abadi"/>
          <w:i/>
          <w:spacing w:val="-5"/>
          <w:sz w:val="16"/>
          <w:szCs w:val="16"/>
        </w:rPr>
        <w:t xml:space="preserve"> </w:t>
      </w:r>
      <w:r w:rsidR="006B3911" w:rsidRPr="00804D81">
        <w:rPr>
          <w:rFonts w:ascii="Abadi" w:hAnsi="Abadi"/>
          <w:i/>
          <w:spacing w:val="-6"/>
          <w:sz w:val="16"/>
          <w:szCs w:val="16"/>
        </w:rPr>
        <w:t>800</w:t>
      </w:r>
      <w:r w:rsidR="006B3911" w:rsidRPr="00804D81">
        <w:rPr>
          <w:rFonts w:ascii="Abadi" w:hAnsi="Abadi"/>
          <w:i/>
          <w:spacing w:val="-5"/>
          <w:sz w:val="16"/>
          <w:szCs w:val="16"/>
        </w:rPr>
        <w:t xml:space="preserve"> </w:t>
      </w:r>
      <w:r w:rsidR="006B3911" w:rsidRPr="00804D81">
        <w:rPr>
          <w:rFonts w:ascii="Abadi" w:hAnsi="Abadi"/>
          <w:i/>
          <w:spacing w:val="-6"/>
          <w:sz w:val="16"/>
          <w:szCs w:val="16"/>
        </w:rPr>
        <w:t>espacios</w:t>
      </w:r>
      <w:r w:rsidR="006B3911" w:rsidRPr="00804D81">
        <w:rPr>
          <w:rFonts w:ascii="Abadi" w:hAnsi="Abadi"/>
          <w:i/>
          <w:spacing w:val="-5"/>
          <w:sz w:val="16"/>
          <w:szCs w:val="16"/>
        </w:rPr>
        <w:t xml:space="preserve"> </w:t>
      </w:r>
      <w:r w:rsidR="006B3911" w:rsidRPr="00804D81">
        <w:rPr>
          <w:rFonts w:ascii="Abadi" w:hAnsi="Abadi"/>
          <w:i/>
          <w:spacing w:val="-6"/>
          <w:sz w:val="16"/>
          <w:szCs w:val="16"/>
        </w:rPr>
        <w:t>más</w:t>
      </w:r>
      <w:r w:rsidR="006B3911" w:rsidRPr="00804D81">
        <w:rPr>
          <w:rFonts w:ascii="Abadi" w:hAnsi="Abadi"/>
          <w:i/>
          <w:spacing w:val="-4"/>
          <w:sz w:val="16"/>
          <w:szCs w:val="16"/>
        </w:rPr>
        <w:t xml:space="preserve"> </w:t>
      </w:r>
      <w:r w:rsidR="006B3911" w:rsidRPr="00804D81">
        <w:rPr>
          <w:rFonts w:ascii="Abadi" w:hAnsi="Abadi"/>
          <w:i/>
          <w:spacing w:val="-6"/>
          <w:sz w:val="16"/>
          <w:szCs w:val="16"/>
        </w:rPr>
        <w:t>que las</w:t>
      </w:r>
      <w:r w:rsidR="006B3911" w:rsidRPr="00804D81">
        <w:rPr>
          <w:rFonts w:ascii="Abadi" w:hAnsi="Abadi"/>
          <w:i/>
          <w:spacing w:val="-5"/>
          <w:sz w:val="16"/>
          <w:szCs w:val="16"/>
        </w:rPr>
        <w:t xml:space="preserve"> </w:t>
      </w:r>
      <w:r w:rsidR="006B3911" w:rsidRPr="00804D81">
        <w:rPr>
          <w:rFonts w:ascii="Abadi" w:hAnsi="Abadi"/>
          <w:i/>
          <w:spacing w:val="-6"/>
          <w:sz w:val="16"/>
          <w:szCs w:val="16"/>
        </w:rPr>
        <w:t>anunciadas</w:t>
      </w:r>
      <w:r w:rsidR="006B3911" w:rsidRPr="00804D81">
        <w:rPr>
          <w:rFonts w:ascii="Abadi" w:hAnsi="Abadi"/>
          <w:i/>
          <w:spacing w:val="-5"/>
          <w:sz w:val="16"/>
          <w:szCs w:val="16"/>
        </w:rPr>
        <w:t xml:space="preserve"> </w:t>
      </w:r>
      <w:r w:rsidR="006B3911" w:rsidRPr="00804D81">
        <w:rPr>
          <w:rFonts w:ascii="Abadi" w:hAnsi="Abadi"/>
          <w:i/>
          <w:spacing w:val="-6"/>
          <w:sz w:val="16"/>
          <w:szCs w:val="16"/>
        </w:rPr>
        <w:t>con</w:t>
      </w:r>
      <w:r w:rsidR="006B3911" w:rsidRPr="00804D81">
        <w:rPr>
          <w:rFonts w:ascii="Abadi" w:hAnsi="Abadi"/>
          <w:i/>
          <w:sz w:val="16"/>
          <w:szCs w:val="16"/>
        </w:rPr>
        <w:t xml:space="preserve"> </w:t>
      </w:r>
      <w:r w:rsidR="006B3911" w:rsidRPr="00804D81">
        <w:rPr>
          <w:rFonts w:ascii="Abadi" w:hAnsi="Abadi"/>
          <w:i/>
          <w:w w:val="90"/>
          <w:sz w:val="16"/>
          <w:szCs w:val="16"/>
        </w:rPr>
        <w:t>anterioridad, el personal de salud por medio de las áreas de Recursos Humanos están firmando su regularización de</w:t>
      </w:r>
      <w:r w:rsidR="006B3911" w:rsidRPr="00804D81">
        <w:rPr>
          <w:rFonts w:ascii="Abadi" w:hAnsi="Abadi"/>
          <w:i/>
          <w:sz w:val="16"/>
          <w:szCs w:val="16"/>
        </w:rPr>
        <w:t xml:space="preserve"> manera paulatina. </w:t>
      </w:r>
      <w:r w:rsidR="006B3911" w:rsidRPr="00804D81">
        <w:rPr>
          <w:rFonts w:ascii="Abadi" w:hAnsi="Abadi"/>
          <w:sz w:val="16"/>
          <w:szCs w:val="16"/>
        </w:rPr>
        <w:t xml:space="preserve">En publicación de Red Social Oficial (verificada) de fecha 2 de junio, disponible en: </w:t>
      </w:r>
      <w:hyperlink r:id="rId224">
        <w:r w:rsidR="006B3911" w:rsidRPr="00804D81">
          <w:rPr>
            <w:rFonts w:ascii="Abadi" w:hAnsi="Abadi"/>
            <w:color w:val="0562C1"/>
            <w:spacing w:val="-4"/>
            <w:sz w:val="16"/>
            <w:szCs w:val="16"/>
            <w:u w:val="single" w:color="0562C1"/>
          </w:rPr>
          <w:t>https://www.facebook.com/watch/?v=975780833553289</w:t>
        </w:r>
      </w:hyperlink>
    </w:p>
  </w:footnote>
  <w:footnote w:id="69">
    <w:p w14:paraId="7FA71465" w14:textId="77777777" w:rsidR="00804D81" w:rsidRPr="00804D81" w:rsidRDefault="00D41819" w:rsidP="00804D81">
      <w:pPr>
        <w:spacing w:before="3"/>
        <w:jc w:val="both"/>
        <w:rPr>
          <w:rFonts w:ascii="Abadi" w:hAnsi="Abadi"/>
          <w:sz w:val="16"/>
          <w:szCs w:val="16"/>
        </w:rPr>
      </w:pPr>
      <w:r w:rsidRPr="00804D81">
        <w:rPr>
          <w:rStyle w:val="Refdenotaalpie"/>
          <w:rFonts w:ascii="Abadi" w:hAnsi="Abadi"/>
          <w:sz w:val="16"/>
          <w:szCs w:val="16"/>
        </w:rPr>
        <w:footnoteRef/>
      </w:r>
      <w:r w:rsidRPr="00804D81">
        <w:rPr>
          <w:rFonts w:ascii="Abadi" w:hAnsi="Abadi"/>
          <w:sz w:val="16"/>
          <w:szCs w:val="16"/>
        </w:rPr>
        <w:t xml:space="preserve"> </w:t>
      </w:r>
      <w:r w:rsidR="00804D81" w:rsidRPr="00804D81">
        <w:rPr>
          <w:rFonts w:ascii="Abadi" w:hAnsi="Abadi"/>
          <w:spacing w:val="-6"/>
          <w:sz w:val="16"/>
          <w:szCs w:val="16"/>
        </w:rPr>
        <w:t>Gobierno</w:t>
      </w:r>
      <w:r w:rsidR="00804D81" w:rsidRPr="00804D81">
        <w:rPr>
          <w:rFonts w:ascii="Abadi" w:hAnsi="Abadi"/>
          <w:spacing w:val="-2"/>
          <w:sz w:val="16"/>
          <w:szCs w:val="16"/>
        </w:rPr>
        <w:t xml:space="preserve"> </w:t>
      </w:r>
      <w:r w:rsidR="00804D81" w:rsidRPr="00804D81">
        <w:rPr>
          <w:rFonts w:ascii="Abadi" w:hAnsi="Abadi"/>
          <w:spacing w:val="-6"/>
          <w:sz w:val="16"/>
          <w:szCs w:val="16"/>
        </w:rPr>
        <w:t>del</w:t>
      </w:r>
      <w:r w:rsidR="00804D81" w:rsidRPr="00804D81">
        <w:rPr>
          <w:rFonts w:ascii="Abadi" w:hAnsi="Abadi"/>
          <w:spacing w:val="-1"/>
          <w:sz w:val="16"/>
          <w:szCs w:val="16"/>
        </w:rPr>
        <w:t xml:space="preserve"> </w:t>
      </w:r>
      <w:r w:rsidR="00804D81" w:rsidRPr="00804D81">
        <w:rPr>
          <w:rFonts w:ascii="Abadi" w:hAnsi="Abadi"/>
          <w:spacing w:val="-6"/>
          <w:sz w:val="16"/>
          <w:szCs w:val="16"/>
        </w:rPr>
        <w:t>Estado</w:t>
      </w:r>
      <w:r w:rsidR="00804D81" w:rsidRPr="00804D81">
        <w:rPr>
          <w:rFonts w:ascii="Abadi" w:hAnsi="Abadi"/>
          <w:spacing w:val="-2"/>
          <w:sz w:val="16"/>
          <w:szCs w:val="16"/>
        </w:rPr>
        <w:t xml:space="preserve"> </w:t>
      </w:r>
      <w:r w:rsidR="00804D81" w:rsidRPr="00804D81">
        <w:rPr>
          <w:rFonts w:ascii="Abadi" w:hAnsi="Abadi"/>
          <w:spacing w:val="-6"/>
          <w:sz w:val="16"/>
          <w:szCs w:val="16"/>
        </w:rPr>
        <w:t>de</w:t>
      </w:r>
      <w:r w:rsidR="00804D81" w:rsidRPr="00804D81">
        <w:rPr>
          <w:rFonts w:ascii="Abadi" w:hAnsi="Abadi"/>
          <w:spacing w:val="-1"/>
          <w:sz w:val="16"/>
          <w:szCs w:val="16"/>
        </w:rPr>
        <w:t xml:space="preserve"> </w:t>
      </w:r>
      <w:r w:rsidR="00804D81" w:rsidRPr="00804D81">
        <w:rPr>
          <w:rFonts w:ascii="Abadi" w:hAnsi="Abadi"/>
          <w:spacing w:val="-6"/>
          <w:sz w:val="16"/>
          <w:szCs w:val="16"/>
        </w:rPr>
        <w:t>Guanajuato.</w:t>
      </w:r>
      <w:r w:rsidR="00804D81" w:rsidRPr="00804D81">
        <w:rPr>
          <w:rFonts w:ascii="Abadi" w:hAnsi="Abadi"/>
          <w:spacing w:val="-2"/>
          <w:sz w:val="16"/>
          <w:szCs w:val="16"/>
        </w:rPr>
        <w:t xml:space="preserve"> </w:t>
      </w:r>
      <w:r w:rsidR="00804D81" w:rsidRPr="00804D81">
        <w:rPr>
          <w:rFonts w:ascii="Abadi" w:hAnsi="Abadi"/>
          <w:spacing w:val="-6"/>
          <w:sz w:val="16"/>
          <w:szCs w:val="16"/>
        </w:rPr>
        <w:t>(2023).</w:t>
      </w:r>
      <w:r w:rsidR="00804D81" w:rsidRPr="00804D81">
        <w:rPr>
          <w:rFonts w:ascii="Abadi" w:hAnsi="Abadi"/>
          <w:spacing w:val="2"/>
          <w:sz w:val="16"/>
          <w:szCs w:val="16"/>
        </w:rPr>
        <w:t xml:space="preserve"> </w:t>
      </w:r>
      <w:r w:rsidR="00804D81" w:rsidRPr="00804D81">
        <w:rPr>
          <w:rFonts w:ascii="Abadi" w:hAnsi="Abadi"/>
          <w:i/>
          <w:spacing w:val="-6"/>
          <w:sz w:val="16"/>
          <w:szCs w:val="16"/>
        </w:rPr>
        <w:t>SSG</w:t>
      </w:r>
      <w:r w:rsidR="00804D81" w:rsidRPr="00804D81">
        <w:rPr>
          <w:rFonts w:ascii="Abadi" w:hAnsi="Abadi"/>
          <w:i/>
          <w:spacing w:val="-5"/>
          <w:sz w:val="16"/>
          <w:szCs w:val="16"/>
        </w:rPr>
        <w:t xml:space="preserve"> </w:t>
      </w:r>
      <w:r w:rsidR="00804D81" w:rsidRPr="00804D81">
        <w:rPr>
          <w:rFonts w:ascii="Abadi" w:hAnsi="Abadi"/>
          <w:i/>
          <w:spacing w:val="-6"/>
          <w:sz w:val="16"/>
          <w:szCs w:val="16"/>
        </w:rPr>
        <w:t>otorgó</w:t>
      </w:r>
      <w:r w:rsidR="00804D81" w:rsidRPr="00804D81">
        <w:rPr>
          <w:rFonts w:ascii="Abadi" w:hAnsi="Abadi"/>
          <w:i/>
          <w:spacing w:val="-5"/>
          <w:sz w:val="16"/>
          <w:szCs w:val="16"/>
        </w:rPr>
        <w:t xml:space="preserve"> </w:t>
      </w:r>
      <w:r w:rsidR="00804D81" w:rsidRPr="00804D81">
        <w:rPr>
          <w:rFonts w:ascii="Abadi" w:hAnsi="Abadi"/>
          <w:i/>
          <w:spacing w:val="-6"/>
          <w:sz w:val="16"/>
          <w:szCs w:val="16"/>
        </w:rPr>
        <w:t>3</w:t>
      </w:r>
      <w:r w:rsidR="00804D81" w:rsidRPr="00804D81">
        <w:rPr>
          <w:rFonts w:ascii="Abadi" w:hAnsi="Abadi"/>
          <w:i/>
          <w:spacing w:val="-4"/>
          <w:sz w:val="16"/>
          <w:szCs w:val="16"/>
        </w:rPr>
        <w:t xml:space="preserve"> </w:t>
      </w:r>
      <w:r w:rsidR="00804D81" w:rsidRPr="00804D81">
        <w:rPr>
          <w:rFonts w:ascii="Abadi" w:hAnsi="Abadi"/>
          <w:i/>
          <w:spacing w:val="-6"/>
          <w:sz w:val="16"/>
          <w:szCs w:val="16"/>
        </w:rPr>
        <w:t>mil</w:t>
      </w:r>
      <w:r w:rsidR="00804D81" w:rsidRPr="00804D81">
        <w:rPr>
          <w:rFonts w:ascii="Abadi" w:hAnsi="Abadi"/>
          <w:i/>
          <w:spacing w:val="-5"/>
          <w:sz w:val="16"/>
          <w:szCs w:val="16"/>
        </w:rPr>
        <w:t xml:space="preserve"> </w:t>
      </w:r>
      <w:r w:rsidR="00804D81" w:rsidRPr="00804D81">
        <w:rPr>
          <w:rFonts w:ascii="Abadi" w:hAnsi="Abadi"/>
          <w:i/>
          <w:spacing w:val="-6"/>
          <w:sz w:val="16"/>
          <w:szCs w:val="16"/>
        </w:rPr>
        <w:t>600</w:t>
      </w:r>
      <w:r w:rsidR="00804D81" w:rsidRPr="00804D81">
        <w:rPr>
          <w:rFonts w:ascii="Abadi" w:hAnsi="Abadi"/>
          <w:i/>
          <w:spacing w:val="-5"/>
          <w:sz w:val="16"/>
          <w:szCs w:val="16"/>
        </w:rPr>
        <w:t xml:space="preserve"> </w:t>
      </w:r>
      <w:r w:rsidR="00804D81" w:rsidRPr="00804D81">
        <w:rPr>
          <w:rFonts w:ascii="Abadi" w:hAnsi="Abadi"/>
          <w:i/>
          <w:spacing w:val="-6"/>
          <w:sz w:val="16"/>
          <w:szCs w:val="16"/>
        </w:rPr>
        <w:t>bases</w:t>
      </w:r>
      <w:r w:rsidR="00804D81" w:rsidRPr="00804D81">
        <w:rPr>
          <w:rFonts w:ascii="Abadi" w:hAnsi="Abadi"/>
          <w:i/>
          <w:spacing w:val="-5"/>
          <w:sz w:val="16"/>
          <w:szCs w:val="16"/>
        </w:rPr>
        <w:t xml:space="preserve"> </w:t>
      </w:r>
      <w:r w:rsidR="00804D81" w:rsidRPr="00804D81">
        <w:rPr>
          <w:rFonts w:ascii="Abadi" w:hAnsi="Abadi"/>
          <w:i/>
          <w:spacing w:val="-6"/>
          <w:sz w:val="16"/>
          <w:szCs w:val="16"/>
        </w:rPr>
        <w:t>a</w:t>
      </w:r>
      <w:r w:rsidR="00804D81" w:rsidRPr="00804D81">
        <w:rPr>
          <w:rFonts w:ascii="Abadi" w:hAnsi="Abadi"/>
          <w:i/>
          <w:spacing w:val="-4"/>
          <w:sz w:val="16"/>
          <w:szCs w:val="16"/>
        </w:rPr>
        <w:t xml:space="preserve"> </w:t>
      </w:r>
      <w:r w:rsidR="00804D81" w:rsidRPr="00804D81">
        <w:rPr>
          <w:rFonts w:ascii="Abadi" w:hAnsi="Abadi"/>
          <w:i/>
          <w:spacing w:val="-6"/>
          <w:sz w:val="16"/>
          <w:szCs w:val="16"/>
        </w:rPr>
        <w:t>personal</w:t>
      </w:r>
      <w:r w:rsidR="00804D81" w:rsidRPr="00804D81">
        <w:rPr>
          <w:rFonts w:ascii="Abadi" w:hAnsi="Abadi"/>
          <w:i/>
          <w:spacing w:val="-5"/>
          <w:sz w:val="16"/>
          <w:szCs w:val="16"/>
        </w:rPr>
        <w:t xml:space="preserve"> </w:t>
      </w:r>
      <w:r w:rsidR="00804D81" w:rsidRPr="00804D81">
        <w:rPr>
          <w:rFonts w:ascii="Abadi" w:hAnsi="Abadi"/>
          <w:i/>
          <w:spacing w:val="-6"/>
          <w:sz w:val="16"/>
          <w:szCs w:val="16"/>
        </w:rPr>
        <w:t>de</w:t>
      </w:r>
      <w:r w:rsidR="00804D81" w:rsidRPr="00804D81">
        <w:rPr>
          <w:rFonts w:ascii="Abadi" w:hAnsi="Abadi"/>
          <w:i/>
          <w:spacing w:val="-5"/>
          <w:sz w:val="16"/>
          <w:szCs w:val="16"/>
        </w:rPr>
        <w:t xml:space="preserve"> </w:t>
      </w:r>
      <w:r w:rsidR="00804D81" w:rsidRPr="00804D81">
        <w:rPr>
          <w:rFonts w:ascii="Abadi" w:hAnsi="Abadi"/>
          <w:i/>
          <w:spacing w:val="-6"/>
          <w:sz w:val="16"/>
          <w:szCs w:val="16"/>
        </w:rPr>
        <w:t>salud.</w:t>
      </w:r>
      <w:r w:rsidR="00804D81" w:rsidRPr="00804D81">
        <w:rPr>
          <w:rFonts w:ascii="Abadi" w:hAnsi="Abadi"/>
          <w:i/>
          <w:spacing w:val="-3"/>
          <w:sz w:val="16"/>
          <w:szCs w:val="16"/>
        </w:rPr>
        <w:t xml:space="preserve"> </w:t>
      </w:r>
      <w:r w:rsidR="00804D81" w:rsidRPr="00804D81">
        <w:rPr>
          <w:rFonts w:ascii="Abadi" w:hAnsi="Abadi"/>
          <w:spacing w:val="-6"/>
          <w:sz w:val="16"/>
          <w:szCs w:val="16"/>
        </w:rPr>
        <w:t>En</w:t>
      </w:r>
      <w:r w:rsidR="00804D81" w:rsidRPr="00804D81">
        <w:rPr>
          <w:rFonts w:ascii="Abadi" w:hAnsi="Abadi"/>
          <w:spacing w:val="-2"/>
          <w:sz w:val="16"/>
          <w:szCs w:val="16"/>
        </w:rPr>
        <w:t xml:space="preserve"> </w:t>
      </w:r>
      <w:r w:rsidR="00804D81" w:rsidRPr="00804D81">
        <w:rPr>
          <w:rFonts w:ascii="Abadi" w:hAnsi="Abadi"/>
          <w:spacing w:val="-6"/>
          <w:sz w:val="16"/>
          <w:szCs w:val="16"/>
        </w:rPr>
        <w:t>boletín</w:t>
      </w:r>
      <w:r w:rsidR="00804D81" w:rsidRPr="00804D81">
        <w:rPr>
          <w:rFonts w:ascii="Abadi" w:hAnsi="Abadi"/>
          <w:spacing w:val="-2"/>
          <w:sz w:val="16"/>
          <w:szCs w:val="16"/>
        </w:rPr>
        <w:t xml:space="preserve"> </w:t>
      </w:r>
      <w:r w:rsidR="00804D81" w:rsidRPr="00804D81">
        <w:rPr>
          <w:rFonts w:ascii="Abadi" w:hAnsi="Abadi"/>
          <w:spacing w:val="-6"/>
          <w:sz w:val="16"/>
          <w:szCs w:val="16"/>
        </w:rPr>
        <w:t>oficial,</w:t>
      </w:r>
    </w:p>
    <w:p w14:paraId="37DFD17F" w14:textId="47C654FC" w:rsidR="00D41819" w:rsidRPr="0007235C" w:rsidRDefault="00804D81" w:rsidP="00804D81">
      <w:pPr>
        <w:spacing w:before="3"/>
        <w:jc w:val="both"/>
        <w:rPr>
          <w:rFonts w:ascii="Abadi" w:hAnsi="Abadi"/>
          <w:sz w:val="16"/>
          <w:szCs w:val="16"/>
        </w:rPr>
      </w:pPr>
      <w:r w:rsidRPr="00804D81">
        <w:rPr>
          <w:rFonts w:ascii="Abadi" w:hAnsi="Abadi"/>
          <w:spacing w:val="-4"/>
          <w:sz w:val="16"/>
          <w:szCs w:val="16"/>
        </w:rPr>
        <w:t xml:space="preserve">2 de junio, disponible en: </w:t>
      </w:r>
      <w:hyperlink r:id="rId225">
        <w:r w:rsidRPr="0007235C">
          <w:rPr>
            <w:rFonts w:ascii="Abadi" w:hAnsi="Abadi"/>
            <w:color w:val="0562C1"/>
            <w:spacing w:val="-4"/>
            <w:sz w:val="16"/>
            <w:szCs w:val="16"/>
            <w:u w:val="single" w:color="0562C1"/>
          </w:rPr>
          <w:t>https://boletines.guanajuato.gob.mx/2023/06/02/ssg-otorgo-3-mil-600-bases-a-</w:t>
        </w:r>
      </w:hyperlink>
      <w:r w:rsidRPr="0007235C">
        <w:rPr>
          <w:rFonts w:ascii="Abadi" w:hAnsi="Abadi"/>
          <w:color w:val="0562C1"/>
          <w:spacing w:val="-2"/>
          <w:sz w:val="16"/>
          <w:szCs w:val="16"/>
        </w:rPr>
        <w:t xml:space="preserve"> </w:t>
      </w:r>
      <w:hyperlink r:id="rId226">
        <w:r w:rsidRPr="0007235C">
          <w:rPr>
            <w:rFonts w:ascii="Abadi" w:hAnsi="Abadi"/>
            <w:color w:val="0562C1"/>
            <w:spacing w:val="-2"/>
            <w:sz w:val="16"/>
            <w:szCs w:val="16"/>
            <w:u w:val="single" w:color="0562C1"/>
          </w:rPr>
          <w:t>personal-de-salud/?fbclid=IwAR0WbaTNeB-ezsveGZw95kgKQXdy_s6f5BD5DH9tn5ZfjZGG4uCgKIFtSzo</w:t>
        </w:r>
      </w:hyperlink>
    </w:p>
    <w:p w14:paraId="60136D04" w14:textId="2074C503" w:rsidR="00D41819" w:rsidRPr="0007235C" w:rsidRDefault="00D41819">
      <w:pPr>
        <w:pStyle w:val="Textonotapie"/>
        <w:rPr>
          <w:rFonts w:ascii="Abadi" w:hAnsi="Abadi"/>
          <w:sz w:val="16"/>
          <w:szCs w:val="16"/>
        </w:rPr>
      </w:pPr>
    </w:p>
  </w:footnote>
  <w:footnote w:id="70">
    <w:p w14:paraId="3246614D" w14:textId="6E948B63" w:rsidR="00C03311" w:rsidRPr="0007235C" w:rsidRDefault="00C03311">
      <w:pPr>
        <w:pStyle w:val="Textonotapie"/>
        <w:rPr>
          <w:rFonts w:ascii="Abadi" w:hAnsi="Abadi"/>
          <w:sz w:val="16"/>
          <w:szCs w:val="16"/>
        </w:rPr>
      </w:pPr>
      <w:r w:rsidRPr="0007235C">
        <w:rPr>
          <w:rStyle w:val="Refdenotaalpie"/>
          <w:rFonts w:ascii="Abadi" w:hAnsi="Abadi"/>
          <w:sz w:val="16"/>
          <w:szCs w:val="16"/>
        </w:rPr>
        <w:footnoteRef/>
      </w:r>
      <w:r w:rsidRPr="0007235C">
        <w:rPr>
          <w:rFonts w:ascii="Abadi" w:hAnsi="Abadi"/>
          <w:sz w:val="16"/>
          <w:szCs w:val="16"/>
        </w:rPr>
        <w:t xml:space="preserve"> </w:t>
      </w:r>
      <w:r w:rsidR="0007235C" w:rsidRPr="0007235C">
        <w:rPr>
          <w:rFonts w:ascii="Abadi" w:hAnsi="Abadi"/>
          <w:spacing w:val="-4"/>
          <w:sz w:val="16"/>
          <w:szCs w:val="16"/>
        </w:rPr>
        <w:t>De</w:t>
      </w:r>
      <w:r w:rsidR="0007235C" w:rsidRPr="0007235C">
        <w:rPr>
          <w:rFonts w:ascii="Abadi" w:hAnsi="Abadi"/>
          <w:spacing w:val="-5"/>
          <w:sz w:val="16"/>
          <w:szCs w:val="16"/>
        </w:rPr>
        <w:t xml:space="preserve"> </w:t>
      </w:r>
      <w:r w:rsidR="0007235C" w:rsidRPr="0007235C">
        <w:rPr>
          <w:rFonts w:ascii="Abadi" w:hAnsi="Abadi"/>
          <w:spacing w:val="-4"/>
          <w:sz w:val="16"/>
          <w:szCs w:val="16"/>
        </w:rPr>
        <w:t>la</w:t>
      </w:r>
      <w:r w:rsidR="0007235C" w:rsidRPr="0007235C">
        <w:rPr>
          <w:rFonts w:ascii="Abadi" w:hAnsi="Abadi"/>
          <w:spacing w:val="-5"/>
          <w:sz w:val="16"/>
          <w:szCs w:val="16"/>
        </w:rPr>
        <w:t xml:space="preserve"> </w:t>
      </w:r>
      <w:r w:rsidR="0007235C" w:rsidRPr="0007235C">
        <w:rPr>
          <w:rFonts w:ascii="Abadi" w:hAnsi="Abadi"/>
          <w:spacing w:val="-4"/>
          <w:sz w:val="16"/>
          <w:szCs w:val="16"/>
        </w:rPr>
        <w:t>Cruz,</w:t>
      </w:r>
      <w:r w:rsidR="0007235C" w:rsidRPr="0007235C">
        <w:rPr>
          <w:rFonts w:ascii="Abadi" w:hAnsi="Abadi"/>
          <w:spacing w:val="-6"/>
          <w:sz w:val="16"/>
          <w:szCs w:val="16"/>
        </w:rPr>
        <w:t xml:space="preserve"> </w:t>
      </w:r>
      <w:r w:rsidR="0007235C" w:rsidRPr="0007235C">
        <w:rPr>
          <w:rFonts w:ascii="Abadi" w:hAnsi="Abadi"/>
          <w:spacing w:val="-4"/>
          <w:sz w:val="16"/>
          <w:szCs w:val="16"/>
        </w:rPr>
        <w:t>Jessica.</w:t>
      </w:r>
      <w:r w:rsidR="0007235C" w:rsidRPr="0007235C">
        <w:rPr>
          <w:rFonts w:ascii="Abadi" w:hAnsi="Abadi"/>
          <w:spacing w:val="-6"/>
          <w:sz w:val="16"/>
          <w:szCs w:val="16"/>
        </w:rPr>
        <w:t xml:space="preserve"> </w:t>
      </w:r>
      <w:r w:rsidR="0007235C" w:rsidRPr="0007235C">
        <w:rPr>
          <w:rFonts w:ascii="Abadi" w:hAnsi="Abadi"/>
          <w:spacing w:val="-4"/>
          <w:sz w:val="16"/>
          <w:szCs w:val="16"/>
        </w:rPr>
        <w:t>(2023).</w:t>
      </w:r>
      <w:r w:rsidR="0007235C" w:rsidRPr="0007235C">
        <w:rPr>
          <w:rFonts w:ascii="Abadi" w:hAnsi="Abadi"/>
          <w:spacing w:val="-6"/>
          <w:sz w:val="16"/>
          <w:szCs w:val="16"/>
        </w:rPr>
        <w:t xml:space="preserve"> </w:t>
      </w:r>
      <w:r w:rsidR="0007235C" w:rsidRPr="0007235C">
        <w:rPr>
          <w:rFonts w:ascii="Abadi" w:hAnsi="Abadi"/>
          <w:spacing w:val="-4"/>
          <w:sz w:val="16"/>
          <w:szCs w:val="16"/>
        </w:rPr>
        <w:t>“Personal</w:t>
      </w:r>
      <w:r w:rsidR="0007235C" w:rsidRPr="0007235C">
        <w:rPr>
          <w:rFonts w:ascii="Abadi" w:hAnsi="Abadi"/>
          <w:spacing w:val="-5"/>
          <w:sz w:val="16"/>
          <w:szCs w:val="16"/>
        </w:rPr>
        <w:t xml:space="preserve"> </w:t>
      </w:r>
      <w:r w:rsidR="0007235C" w:rsidRPr="0007235C">
        <w:rPr>
          <w:rFonts w:ascii="Abadi" w:hAnsi="Abadi"/>
          <w:spacing w:val="-4"/>
          <w:sz w:val="16"/>
          <w:szCs w:val="16"/>
        </w:rPr>
        <w:t>de</w:t>
      </w:r>
      <w:r w:rsidR="0007235C" w:rsidRPr="0007235C">
        <w:rPr>
          <w:rFonts w:ascii="Abadi" w:hAnsi="Abadi"/>
          <w:spacing w:val="-5"/>
          <w:sz w:val="16"/>
          <w:szCs w:val="16"/>
        </w:rPr>
        <w:t xml:space="preserve"> </w:t>
      </w:r>
      <w:r w:rsidR="0007235C" w:rsidRPr="0007235C">
        <w:rPr>
          <w:rFonts w:ascii="Abadi" w:hAnsi="Abadi"/>
          <w:spacing w:val="-4"/>
          <w:sz w:val="16"/>
          <w:szCs w:val="16"/>
        </w:rPr>
        <w:t>salud</w:t>
      </w:r>
      <w:r w:rsidR="0007235C" w:rsidRPr="0007235C">
        <w:rPr>
          <w:rFonts w:ascii="Abadi" w:hAnsi="Abadi"/>
          <w:spacing w:val="-6"/>
          <w:sz w:val="16"/>
          <w:szCs w:val="16"/>
        </w:rPr>
        <w:t xml:space="preserve"> </w:t>
      </w:r>
      <w:r w:rsidR="0007235C" w:rsidRPr="0007235C">
        <w:rPr>
          <w:rFonts w:ascii="Abadi" w:hAnsi="Abadi"/>
          <w:spacing w:val="-4"/>
          <w:sz w:val="16"/>
          <w:szCs w:val="16"/>
        </w:rPr>
        <w:t>manifiesta</w:t>
      </w:r>
      <w:r w:rsidR="0007235C" w:rsidRPr="0007235C">
        <w:rPr>
          <w:rFonts w:ascii="Abadi" w:hAnsi="Abadi"/>
          <w:spacing w:val="-5"/>
          <w:sz w:val="16"/>
          <w:szCs w:val="16"/>
        </w:rPr>
        <w:t xml:space="preserve"> </w:t>
      </w:r>
      <w:r w:rsidR="0007235C" w:rsidRPr="0007235C">
        <w:rPr>
          <w:rFonts w:ascii="Abadi" w:hAnsi="Abadi"/>
          <w:spacing w:val="-4"/>
          <w:sz w:val="16"/>
          <w:szCs w:val="16"/>
        </w:rPr>
        <w:t>inconformidad</w:t>
      </w:r>
      <w:r w:rsidR="0007235C" w:rsidRPr="0007235C">
        <w:rPr>
          <w:rFonts w:ascii="Abadi" w:hAnsi="Abadi"/>
          <w:spacing w:val="-6"/>
          <w:sz w:val="16"/>
          <w:szCs w:val="16"/>
        </w:rPr>
        <w:t xml:space="preserve"> </w:t>
      </w:r>
      <w:r w:rsidR="0007235C" w:rsidRPr="0007235C">
        <w:rPr>
          <w:rFonts w:ascii="Abadi" w:hAnsi="Abadi"/>
          <w:spacing w:val="-4"/>
          <w:sz w:val="16"/>
          <w:szCs w:val="16"/>
        </w:rPr>
        <w:t>en</w:t>
      </w:r>
      <w:r w:rsidR="0007235C" w:rsidRPr="0007235C">
        <w:rPr>
          <w:rFonts w:ascii="Abadi" w:hAnsi="Abadi"/>
          <w:spacing w:val="-6"/>
          <w:sz w:val="16"/>
          <w:szCs w:val="16"/>
        </w:rPr>
        <w:t xml:space="preserve"> </w:t>
      </w:r>
      <w:r w:rsidR="0007235C" w:rsidRPr="0007235C">
        <w:rPr>
          <w:rFonts w:ascii="Abadi" w:hAnsi="Abadi"/>
          <w:spacing w:val="-4"/>
          <w:sz w:val="16"/>
          <w:szCs w:val="16"/>
        </w:rPr>
        <w:t>redes</w:t>
      </w:r>
      <w:r w:rsidR="0007235C" w:rsidRPr="0007235C">
        <w:rPr>
          <w:rFonts w:ascii="Abadi" w:hAnsi="Abadi"/>
          <w:spacing w:val="-5"/>
          <w:sz w:val="16"/>
          <w:szCs w:val="16"/>
        </w:rPr>
        <w:t xml:space="preserve"> </w:t>
      </w:r>
      <w:r w:rsidR="0007235C" w:rsidRPr="0007235C">
        <w:rPr>
          <w:rFonts w:ascii="Abadi" w:hAnsi="Abadi"/>
          <w:spacing w:val="-4"/>
          <w:sz w:val="16"/>
          <w:szCs w:val="16"/>
        </w:rPr>
        <w:t>sociales</w:t>
      </w:r>
      <w:r w:rsidR="0007235C" w:rsidRPr="0007235C">
        <w:rPr>
          <w:rFonts w:ascii="Abadi" w:hAnsi="Abadi"/>
          <w:spacing w:val="-5"/>
          <w:sz w:val="16"/>
          <w:szCs w:val="16"/>
        </w:rPr>
        <w:t xml:space="preserve"> </w:t>
      </w:r>
      <w:r w:rsidR="0007235C" w:rsidRPr="0007235C">
        <w:rPr>
          <w:rFonts w:ascii="Abadi" w:hAnsi="Abadi"/>
          <w:spacing w:val="-4"/>
          <w:sz w:val="16"/>
          <w:szCs w:val="16"/>
        </w:rPr>
        <w:t>por</w:t>
      </w:r>
      <w:r w:rsidR="0007235C" w:rsidRPr="0007235C">
        <w:rPr>
          <w:rFonts w:ascii="Abadi" w:hAnsi="Abadi"/>
          <w:spacing w:val="-5"/>
          <w:sz w:val="16"/>
          <w:szCs w:val="16"/>
        </w:rPr>
        <w:t xml:space="preserve"> </w:t>
      </w:r>
      <w:r w:rsidR="0007235C" w:rsidRPr="0007235C">
        <w:rPr>
          <w:rFonts w:ascii="Abadi" w:hAnsi="Abadi"/>
          <w:spacing w:val="-4"/>
          <w:sz w:val="16"/>
          <w:szCs w:val="16"/>
        </w:rPr>
        <w:t>bases”.</w:t>
      </w:r>
      <w:r w:rsidR="0007235C" w:rsidRPr="0007235C">
        <w:rPr>
          <w:rFonts w:ascii="Abadi" w:hAnsi="Abadi"/>
          <w:spacing w:val="-6"/>
          <w:sz w:val="16"/>
          <w:szCs w:val="16"/>
        </w:rPr>
        <w:t xml:space="preserve"> </w:t>
      </w:r>
      <w:r w:rsidR="0007235C" w:rsidRPr="0007235C">
        <w:rPr>
          <w:rFonts w:ascii="Abadi" w:hAnsi="Abadi"/>
          <w:spacing w:val="-4"/>
          <w:sz w:val="16"/>
          <w:szCs w:val="16"/>
        </w:rPr>
        <w:t>En</w:t>
      </w:r>
      <w:r w:rsidR="0007235C" w:rsidRPr="0007235C">
        <w:rPr>
          <w:rFonts w:ascii="Abadi" w:hAnsi="Abadi"/>
          <w:sz w:val="16"/>
          <w:szCs w:val="16"/>
        </w:rPr>
        <w:t xml:space="preserve"> </w:t>
      </w:r>
      <w:r w:rsidR="0007235C" w:rsidRPr="0007235C">
        <w:rPr>
          <w:rFonts w:ascii="Abadi" w:hAnsi="Abadi"/>
          <w:i/>
          <w:spacing w:val="-6"/>
          <w:sz w:val="16"/>
          <w:szCs w:val="16"/>
        </w:rPr>
        <w:t>Zona</w:t>
      </w:r>
      <w:r w:rsidR="0007235C" w:rsidRPr="0007235C">
        <w:rPr>
          <w:rFonts w:ascii="Abadi" w:hAnsi="Abadi"/>
          <w:i/>
          <w:sz w:val="16"/>
          <w:szCs w:val="16"/>
        </w:rPr>
        <w:t xml:space="preserve"> </w:t>
      </w:r>
      <w:r w:rsidR="0007235C" w:rsidRPr="0007235C">
        <w:rPr>
          <w:rFonts w:ascii="Abadi" w:hAnsi="Abadi"/>
          <w:i/>
          <w:spacing w:val="-6"/>
          <w:sz w:val="16"/>
          <w:szCs w:val="16"/>
        </w:rPr>
        <w:t>Franca,</w:t>
      </w:r>
      <w:r w:rsidR="0007235C" w:rsidRPr="0007235C">
        <w:rPr>
          <w:rFonts w:ascii="Abadi" w:hAnsi="Abadi"/>
          <w:i/>
          <w:sz w:val="16"/>
          <w:szCs w:val="16"/>
        </w:rPr>
        <w:t xml:space="preserve"> </w:t>
      </w:r>
      <w:r w:rsidR="0007235C" w:rsidRPr="0007235C">
        <w:rPr>
          <w:rFonts w:ascii="Abadi" w:hAnsi="Abadi"/>
          <w:spacing w:val="-6"/>
          <w:sz w:val="16"/>
          <w:szCs w:val="16"/>
        </w:rPr>
        <w:t>4</w:t>
      </w:r>
      <w:r w:rsidR="0007235C" w:rsidRPr="0007235C">
        <w:rPr>
          <w:rFonts w:ascii="Abadi" w:hAnsi="Abadi"/>
          <w:sz w:val="16"/>
          <w:szCs w:val="16"/>
        </w:rPr>
        <w:t xml:space="preserve"> </w:t>
      </w:r>
      <w:r w:rsidR="0007235C" w:rsidRPr="0007235C">
        <w:rPr>
          <w:rFonts w:ascii="Abadi" w:hAnsi="Abadi"/>
          <w:spacing w:val="-6"/>
          <w:sz w:val="16"/>
          <w:szCs w:val="16"/>
        </w:rPr>
        <w:t>de</w:t>
      </w:r>
      <w:r w:rsidR="0007235C" w:rsidRPr="0007235C">
        <w:rPr>
          <w:rFonts w:ascii="Abadi" w:hAnsi="Abadi"/>
          <w:sz w:val="16"/>
          <w:szCs w:val="16"/>
        </w:rPr>
        <w:t xml:space="preserve"> </w:t>
      </w:r>
      <w:r w:rsidR="0007235C" w:rsidRPr="0007235C">
        <w:rPr>
          <w:rFonts w:ascii="Abadi" w:hAnsi="Abadi"/>
          <w:spacing w:val="-6"/>
          <w:sz w:val="16"/>
          <w:szCs w:val="16"/>
        </w:rPr>
        <w:t>junio,</w:t>
      </w:r>
      <w:r w:rsidR="0007235C" w:rsidRPr="0007235C">
        <w:rPr>
          <w:rFonts w:ascii="Abadi" w:hAnsi="Abadi"/>
          <w:sz w:val="16"/>
          <w:szCs w:val="16"/>
        </w:rPr>
        <w:t xml:space="preserve"> </w:t>
      </w:r>
      <w:r w:rsidR="0007235C" w:rsidRPr="0007235C">
        <w:rPr>
          <w:rFonts w:ascii="Abadi" w:hAnsi="Abadi"/>
          <w:spacing w:val="-6"/>
          <w:sz w:val="16"/>
          <w:szCs w:val="16"/>
        </w:rPr>
        <w:t>disponible</w:t>
      </w:r>
      <w:r w:rsidR="0007235C" w:rsidRPr="0007235C">
        <w:rPr>
          <w:rFonts w:ascii="Abadi" w:hAnsi="Abadi"/>
          <w:sz w:val="16"/>
          <w:szCs w:val="16"/>
        </w:rPr>
        <w:t xml:space="preserve"> </w:t>
      </w:r>
      <w:r w:rsidR="0007235C" w:rsidRPr="0007235C">
        <w:rPr>
          <w:rFonts w:ascii="Abadi" w:hAnsi="Abadi"/>
          <w:spacing w:val="-6"/>
          <w:sz w:val="16"/>
          <w:szCs w:val="16"/>
        </w:rPr>
        <w:t>en:</w:t>
      </w:r>
      <w:r w:rsidR="0007235C" w:rsidRPr="0007235C">
        <w:rPr>
          <w:rFonts w:ascii="Abadi" w:hAnsi="Abadi"/>
          <w:sz w:val="16"/>
          <w:szCs w:val="16"/>
        </w:rPr>
        <w:t xml:space="preserve"> </w:t>
      </w:r>
      <w:hyperlink r:id="rId227">
        <w:r w:rsidR="0007235C" w:rsidRPr="0007235C">
          <w:rPr>
            <w:rFonts w:ascii="Abadi" w:hAnsi="Abadi"/>
            <w:color w:val="0562C1"/>
            <w:spacing w:val="-6"/>
            <w:sz w:val="16"/>
            <w:szCs w:val="16"/>
            <w:u w:val="single" w:color="0562C1"/>
          </w:rPr>
          <w:t>https://zonafranca.mx/politica-sociedad/ddhh/personal-de-salud-</w:t>
        </w:r>
      </w:hyperlink>
      <w:r w:rsidR="0007235C" w:rsidRPr="0007235C">
        <w:rPr>
          <w:rFonts w:ascii="Abadi" w:hAnsi="Abadi"/>
          <w:color w:val="0562C1"/>
          <w:sz w:val="16"/>
          <w:szCs w:val="16"/>
        </w:rPr>
        <w:t xml:space="preserve"> </w:t>
      </w:r>
      <w:hyperlink r:id="rId228">
        <w:r w:rsidR="0007235C" w:rsidRPr="0007235C">
          <w:rPr>
            <w:rFonts w:ascii="Abadi" w:hAnsi="Abadi"/>
            <w:color w:val="0562C1"/>
            <w:spacing w:val="-4"/>
            <w:sz w:val="16"/>
            <w:szCs w:val="16"/>
            <w:u w:val="single" w:color="0562C1"/>
          </w:rPr>
          <w:t>manifiesta-inconformidad-en-redes-sociales-por-bases/</w:t>
        </w:r>
      </w:hyperlink>
    </w:p>
  </w:footnote>
  <w:footnote w:id="71">
    <w:p w14:paraId="247D6458" w14:textId="469FCA20" w:rsidR="00AB7664" w:rsidRDefault="00AB7664">
      <w:pPr>
        <w:pStyle w:val="Textonotapie"/>
      </w:pPr>
      <w:r>
        <w:rPr>
          <w:rStyle w:val="Refdenotaalpie"/>
        </w:rPr>
        <w:footnoteRef/>
      </w:r>
      <w:r>
        <w:t xml:space="preserve"> </w:t>
      </w:r>
      <w:r w:rsidR="00615265" w:rsidRPr="00615265">
        <w:rPr>
          <w:rFonts w:ascii="Abadi" w:hAnsi="Abadi"/>
          <w:sz w:val="16"/>
          <w:szCs w:val="16"/>
        </w:rPr>
        <w:t>https://congreso-gto.s3.amazonaws.com/uploads/orden_archivo/archivo/29941/11_PPA_GPPAN_Protec_</w:t>
      </w:r>
      <w:hyperlink r:id="rId229" w:history="1">
        <w:r w:rsidR="00615265" w:rsidRPr="00615265">
          <w:rPr>
            <w:rStyle w:val="Hipervnculo"/>
            <w:rFonts w:ascii="Abadi" w:hAnsi="Abadi"/>
            <w:sz w:val="16"/>
            <w:szCs w:val="16"/>
          </w:rPr>
          <w:t>Civil</w:t>
        </w:r>
      </w:hyperlink>
      <w:r w:rsidR="00615265" w:rsidRPr="00615265">
        <w:rPr>
          <w:rFonts w:ascii="Abadi" w:hAnsi="Abadi"/>
          <w:sz w:val="16"/>
          <w:szCs w:val="16"/>
        </w:rPr>
        <w:t>_Bom_y_Seg_Cdana_56896__22_JUNIO_23_.pdf</w:t>
      </w:r>
    </w:p>
  </w:footnote>
  <w:footnote w:id="72">
    <w:p w14:paraId="2A8F4808" w14:textId="77777777" w:rsidR="00F855E0" w:rsidRPr="00123FB1" w:rsidRDefault="00DB25D7" w:rsidP="00F855E0">
      <w:pPr>
        <w:rPr>
          <w:rFonts w:ascii="Abadi" w:hAnsi="Abadi"/>
          <w:sz w:val="16"/>
          <w:szCs w:val="16"/>
        </w:rPr>
      </w:pPr>
      <w:r>
        <w:rPr>
          <w:rStyle w:val="Refdenotaalpie"/>
        </w:rPr>
        <w:footnoteRef/>
      </w:r>
      <w:r>
        <w:t xml:space="preserve"> </w:t>
      </w:r>
      <w:hyperlink r:id="rId230">
        <w:r w:rsidR="00F855E0" w:rsidRPr="00123FB1">
          <w:rPr>
            <w:rFonts w:ascii="Abadi" w:hAnsi="Abadi"/>
            <w:color w:val="0562C1"/>
            <w:spacing w:val="-2"/>
            <w:sz w:val="16"/>
            <w:szCs w:val="16"/>
            <w:u w:val="single" w:color="0562C1"/>
          </w:rPr>
          <w:t>https://www.diputados.gob.mx/LeyesBiblio/pdf/LGIPD.pdf</w:t>
        </w:r>
      </w:hyperlink>
    </w:p>
    <w:p w14:paraId="6C6A4A42" w14:textId="55CB277B" w:rsidR="00DB25D7" w:rsidRPr="00123FB1" w:rsidRDefault="00DB25D7">
      <w:pPr>
        <w:pStyle w:val="Textonotapie"/>
        <w:rPr>
          <w:rFonts w:ascii="Abadi" w:hAnsi="Abadi"/>
          <w:sz w:val="16"/>
          <w:szCs w:val="16"/>
        </w:rPr>
      </w:pPr>
    </w:p>
  </w:footnote>
  <w:footnote w:id="73">
    <w:p w14:paraId="78381962" w14:textId="77777777" w:rsidR="00D45610" w:rsidRPr="00123FB1" w:rsidRDefault="00F855E0" w:rsidP="00D45610">
      <w:pPr>
        <w:rPr>
          <w:rFonts w:ascii="Abadi" w:hAnsi="Abadi"/>
          <w:sz w:val="16"/>
          <w:szCs w:val="16"/>
        </w:rPr>
      </w:pPr>
      <w:r w:rsidRPr="00123FB1">
        <w:rPr>
          <w:rStyle w:val="Refdenotaalpie"/>
          <w:rFonts w:ascii="Abadi" w:hAnsi="Abadi"/>
          <w:sz w:val="16"/>
          <w:szCs w:val="16"/>
        </w:rPr>
        <w:footnoteRef/>
      </w:r>
      <w:r w:rsidRPr="00123FB1">
        <w:rPr>
          <w:rFonts w:ascii="Abadi" w:hAnsi="Abadi"/>
          <w:sz w:val="16"/>
          <w:szCs w:val="16"/>
        </w:rPr>
        <w:t xml:space="preserve"> </w:t>
      </w:r>
      <w:hyperlink r:id="rId231">
        <w:r w:rsidR="00D45610" w:rsidRPr="00123FB1">
          <w:rPr>
            <w:rFonts w:ascii="Abadi" w:hAnsi="Abadi"/>
            <w:color w:val="0562C1"/>
            <w:spacing w:val="-2"/>
            <w:sz w:val="16"/>
            <w:szCs w:val="16"/>
            <w:u w:val="single" w:color="0562C1"/>
          </w:rPr>
          <w:t>https://www.un.org/esa/socdev/enable/documents/tccconvs.pdf</w:t>
        </w:r>
      </w:hyperlink>
    </w:p>
    <w:p w14:paraId="5EFE672B" w14:textId="1B32C70E" w:rsidR="00F855E0" w:rsidRPr="00123FB1" w:rsidRDefault="00F855E0">
      <w:pPr>
        <w:pStyle w:val="Textonotapie"/>
        <w:rPr>
          <w:rFonts w:ascii="Abadi" w:hAnsi="Abadi"/>
          <w:sz w:val="16"/>
          <w:szCs w:val="16"/>
        </w:rPr>
      </w:pPr>
    </w:p>
  </w:footnote>
  <w:footnote w:id="74">
    <w:p w14:paraId="36238176" w14:textId="77777777" w:rsidR="0079518C" w:rsidRPr="00123FB1" w:rsidRDefault="0025046D" w:rsidP="0079518C">
      <w:pPr>
        <w:rPr>
          <w:rFonts w:ascii="Abadi" w:hAnsi="Abadi"/>
          <w:sz w:val="16"/>
          <w:szCs w:val="16"/>
        </w:rPr>
      </w:pPr>
      <w:r w:rsidRPr="00123FB1">
        <w:rPr>
          <w:rStyle w:val="Refdenotaalpie"/>
          <w:rFonts w:ascii="Abadi" w:hAnsi="Abadi"/>
          <w:sz w:val="16"/>
          <w:szCs w:val="16"/>
        </w:rPr>
        <w:footnoteRef/>
      </w:r>
      <w:r w:rsidRPr="00123FB1">
        <w:rPr>
          <w:rFonts w:ascii="Abadi" w:hAnsi="Abadi"/>
          <w:sz w:val="16"/>
          <w:szCs w:val="16"/>
        </w:rPr>
        <w:t xml:space="preserve"> </w:t>
      </w:r>
      <w:hyperlink r:id="rId232">
        <w:r w:rsidR="0079518C" w:rsidRPr="00123FB1">
          <w:rPr>
            <w:rFonts w:ascii="Abadi" w:hAnsi="Abadi"/>
            <w:color w:val="0562C1"/>
            <w:spacing w:val="-2"/>
            <w:sz w:val="16"/>
            <w:szCs w:val="16"/>
            <w:u w:val="single" w:color="0562C1"/>
          </w:rPr>
          <w:t>https://www.diputados.gob.mx/LeyesBiblio/pdf/LFPED.pdf</w:t>
        </w:r>
      </w:hyperlink>
    </w:p>
    <w:p w14:paraId="4D7BE712" w14:textId="0B2A499D" w:rsidR="0025046D" w:rsidRPr="00123FB1" w:rsidRDefault="0025046D">
      <w:pPr>
        <w:pStyle w:val="Textonotapie"/>
        <w:rPr>
          <w:rFonts w:ascii="Abadi" w:hAnsi="Abadi"/>
          <w:sz w:val="16"/>
          <w:szCs w:val="16"/>
        </w:rPr>
      </w:pPr>
    </w:p>
  </w:footnote>
  <w:footnote w:id="75">
    <w:p w14:paraId="4FD180C8" w14:textId="617AF4A9" w:rsidR="00EA0AF5" w:rsidRPr="00123FB1" w:rsidRDefault="00EA0AF5">
      <w:pPr>
        <w:pStyle w:val="Textonotapie"/>
        <w:rPr>
          <w:sz w:val="16"/>
          <w:szCs w:val="16"/>
        </w:rPr>
      </w:pPr>
      <w:r w:rsidRPr="00123FB1">
        <w:rPr>
          <w:rStyle w:val="Refdenotaalpie"/>
          <w:sz w:val="16"/>
          <w:szCs w:val="16"/>
        </w:rPr>
        <w:footnoteRef/>
      </w:r>
      <w:r w:rsidRPr="00123FB1">
        <w:rPr>
          <w:sz w:val="16"/>
          <w:szCs w:val="16"/>
        </w:rPr>
        <w:t xml:space="preserve"> </w:t>
      </w:r>
      <w:hyperlink r:id="rId233" w:anchor="Tabulados">
        <w:r w:rsidR="009918E6" w:rsidRPr="00123FB1">
          <w:rPr>
            <w:rFonts w:ascii="Abadi" w:hAnsi="Abadi"/>
            <w:color w:val="0562C1"/>
            <w:spacing w:val="-2"/>
            <w:sz w:val="16"/>
            <w:szCs w:val="16"/>
            <w:u w:val="single" w:color="0562C1"/>
          </w:rPr>
          <w:t>https://www.inegi.org.mx/programas/ccpv/2020/#Tabulados</w:t>
        </w:r>
      </w:hyperlink>
    </w:p>
  </w:footnote>
  <w:footnote w:id="76">
    <w:p w14:paraId="65A6BD74" w14:textId="77777777" w:rsidR="007C2A6A" w:rsidRPr="00123FB1" w:rsidRDefault="005E1658" w:rsidP="007C2A6A">
      <w:pPr>
        <w:rPr>
          <w:rFonts w:ascii="Abadi" w:hAnsi="Abadi"/>
          <w:sz w:val="16"/>
          <w:szCs w:val="16"/>
        </w:rPr>
      </w:pPr>
      <w:r>
        <w:rPr>
          <w:rStyle w:val="Refdenotaalpie"/>
        </w:rPr>
        <w:footnoteRef/>
      </w:r>
      <w:r>
        <w:t xml:space="preserve"> </w:t>
      </w:r>
      <w:r w:rsidR="007C2A6A" w:rsidRPr="00123FB1">
        <w:rPr>
          <w:rFonts w:ascii="Abadi" w:hAnsi="Abadi"/>
          <w:spacing w:val="-2"/>
          <w:sz w:val="16"/>
          <w:szCs w:val="16"/>
        </w:rPr>
        <w:t>Ainscow,</w:t>
      </w:r>
      <w:r w:rsidR="007C2A6A" w:rsidRPr="00123FB1">
        <w:rPr>
          <w:rFonts w:ascii="Abadi" w:hAnsi="Abadi"/>
          <w:spacing w:val="-1"/>
          <w:sz w:val="16"/>
          <w:szCs w:val="16"/>
        </w:rPr>
        <w:t xml:space="preserve"> </w:t>
      </w:r>
      <w:r w:rsidR="007C2A6A" w:rsidRPr="00123FB1">
        <w:rPr>
          <w:rFonts w:ascii="Abadi" w:hAnsi="Abadi"/>
          <w:spacing w:val="-2"/>
          <w:sz w:val="16"/>
          <w:szCs w:val="16"/>
        </w:rPr>
        <w:t>2008; Echeita,</w:t>
      </w:r>
      <w:r w:rsidR="007C2A6A" w:rsidRPr="00123FB1">
        <w:rPr>
          <w:rFonts w:ascii="Abadi" w:hAnsi="Abadi"/>
          <w:spacing w:val="-1"/>
          <w:sz w:val="16"/>
          <w:szCs w:val="16"/>
        </w:rPr>
        <w:t xml:space="preserve"> </w:t>
      </w:r>
      <w:r w:rsidR="007C2A6A" w:rsidRPr="00123FB1">
        <w:rPr>
          <w:rFonts w:ascii="Abadi" w:hAnsi="Abadi"/>
          <w:spacing w:val="-2"/>
          <w:sz w:val="16"/>
          <w:szCs w:val="16"/>
        </w:rPr>
        <w:t>2006;</w:t>
      </w:r>
      <w:r w:rsidR="007C2A6A" w:rsidRPr="00123FB1">
        <w:rPr>
          <w:rFonts w:ascii="Abadi" w:hAnsi="Abadi"/>
          <w:spacing w:val="1"/>
          <w:sz w:val="16"/>
          <w:szCs w:val="16"/>
        </w:rPr>
        <w:t xml:space="preserve"> </w:t>
      </w:r>
      <w:r w:rsidR="007C2A6A" w:rsidRPr="00123FB1">
        <w:rPr>
          <w:rFonts w:ascii="Abadi" w:hAnsi="Abadi"/>
          <w:spacing w:val="-2"/>
          <w:sz w:val="16"/>
          <w:szCs w:val="16"/>
        </w:rPr>
        <w:t>Powers,</w:t>
      </w:r>
      <w:r w:rsidR="007C2A6A" w:rsidRPr="00123FB1">
        <w:rPr>
          <w:rFonts w:ascii="Abadi" w:hAnsi="Abadi"/>
          <w:spacing w:val="-1"/>
          <w:sz w:val="16"/>
          <w:szCs w:val="16"/>
        </w:rPr>
        <w:t xml:space="preserve"> </w:t>
      </w:r>
      <w:r w:rsidR="007C2A6A" w:rsidRPr="00123FB1">
        <w:rPr>
          <w:rFonts w:ascii="Abadi" w:hAnsi="Abadi"/>
          <w:spacing w:val="-4"/>
          <w:sz w:val="16"/>
          <w:szCs w:val="16"/>
        </w:rPr>
        <w:t>1996.</w:t>
      </w:r>
    </w:p>
    <w:p w14:paraId="6FFB5831" w14:textId="48BF099F" w:rsidR="005E1658" w:rsidRDefault="005E1658">
      <w:pPr>
        <w:pStyle w:val="Textonotapie"/>
      </w:pPr>
    </w:p>
  </w:footnote>
  <w:footnote w:id="77">
    <w:p w14:paraId="3267B649" w14:textId="5AC1895B" w:rsidR="003E720F" w:rsidRDefault="003E720F">
      <w:pPr>
        <w:pStyle w:val="Textonotapie"/>
      </w:pPr>
      <w:r>
        <w:rPr>
          <w:rStyle w:val="Refdenotaalpie"/>
        </w:rPr>
        <w:footnoteRef/>
      </w:r>
      <w:r>
        <w:t xml:space="preserve"> </w:t>
      </w:r>
      <w:r w:rsidR="00DF3969" w:rsidRPr="00DF3969">
        <w:rPr>
          <w:rFonts w:ascii="Abadi" w:hAnsi="Abadi"/>
          <w:sz w:val="16"/>
          <w:szCs w:val="16"/>
        </w:rPr>
        <w:t>https://congreso-gto.s3.</w:t>
      </w:r>
      <w:hyperlink r:id="rId234" w:history="1">
        <w:r w:rsidR="00DF3969" w:rsidRPr="00DF3969">
          <w:rPr>
            <w:rStyle w:val="Hipervnculo"/>
            <w:rFonts w:ascii="Abadi" w:hAnsi="Abadi"/>
            <w:sz w:val="16"/>
            <w:szCs w:val="16"/>
          </w:rPr>
          <w:t>amazonaws</w:t>
        </w:r>
      </w:hyperlink>
      <w:r w:rsidR="00DF3969" w:rsidRPr="00DF3969">
        <w:rPr>
          <w:rFonts w:ascii="Abadi" w:hAnsi="Abadi"/>
          <w:sz w:val="16"/>
          <w:szCs w:val="16"/>
        </w:rPr>
        <w:t>.com/uploads/orden_archivo/archivo/29942/12_PPA_GPMORENA_UG_56900__22_JUNIO_23_.pdf</w:t>
      </w:r>
    </w:p>
  </w:footnote>
  <w:footnote w:id="78">
    <w:p w14:paraId="3010E412" w14:textId="55EF437A" w:rsidR="00A90EF6" w:rsidRPr="009937BC" w:rsidRDefault="00A90EF6">
      <w:pPr>
        <w:pStyle w:val="Textonotapie"/>
        <w:rPr>
          <w:rFonts w:ascii="Abadi" w:hAnsi="Abadi"/>
          <w:sz w:val="16"/>
          <w:szCs w:val="16"/>
        </w:rPr>
      </w:pPr>
      <w:r>
        <w:rPr>
          <w:rStyle w:val="Refdenotaalpie"/>
        </w:rPr>
        <w:footnoteRef/>
      </w:r>
      <w:r>
        <w:t xml:space="preserve"> </w:t>
      </w:r>
      <w:r w:rsidR="009937BC" w:rsidRPr="009937BC">
        <w:rPr>
          <w:rFonts w:ascii="Abadi" w:hAnsi="Abadi"/>
          <w:sz w:val="16"/>
          <w:szCs w:val="16"/>
        </w:rPr>
        <w:t>Encuesta</w:t>
      </w:r>
      <w:r w:rsidR="009937BC" w:rsidRPr="009937BC">
        <w:rPr>
          <w:rFonts w:ascii="Abadi" w:hAnsi="Abadi"/>
          <w:spacing w:val="-4"/>
          <w:sz w:val="16"/>
          <w:szCs w:val="16"/>
        </w:rPr>
        <w:t xml:space="preserve"> </w:t>
      </w:r>
      <w:r w:rsidR="009937BC" w:rsidRPr="009937BC">
        <w:rPr>
          <w:rFonts w:ascii="Abadi" w:hAnsi="Abadi"/>
          <w:sz w:val="16"/>
          <w:szCs w:val="16"/>
        </w:rPr>
        <w:t>Nacional</w:t>
      </w:r>
      <w:r w:rsidR="009937BC" w:rsidRPr="009937BC">
        <w:rPr>
          <w:rFonts w:ascii="Abadi" w:hAnsi="Abadi"/>
          <w:spacing w:val="-3"/>
          <w:sz w:val="16"/>
          <w:szCs w:val="16"/>
        </w:rPr>
        <w:t xml:space="preserve"> </w:t>
      </w:r>
      <w:r w:rsidR="009937BC" w:rsidRPr="009937BC">
        <w:rPr>
          <w:rFonts w:ascii="Abadi" w:hAnsi="Abadi"/>
          <w:sz w:val="16"/>
          <w:szCs w:val="16"/>
        </w:rPr>
        <w:t>Sobre</w:t>
      </w:r>
      <w:r w:rsidR="009937BC" w:rsidRPr="009937BC">
        <w:rPr>
          <w:rFonts w:ascii="Abadi" w:hAnsi="Abadi"/>
          <w:spacing w:val="-4"/>
          <w:sz w:val="16"/>
          <w:szCs w:val="16"/>
        </w:rPr>
        <w:t xml:space="preserve"> </w:t>
      </w:r>
      <w:r w:rsidR="009937BC" w:rsidRPr="009937BC">
        <w:rPr>
          <w:rFonts w:ascii="Abadi" w:hAnsi="Abadi"/>
          <w:sz w:val="16"/>
          <w:szCs w:val="16"/>
        </w:rPr>
        <w:t>la</w:t>
      </w:r>
      <w:r w:rsidR="009937BC" w:rsidRPr="009937BC">
        <w:rPr>
          <w:rFonts w:ascii="Abadi" w:hAnsi="Abadi"/>
          <w:spacing w:val="-2"/>
          <w:sz w:val="16"/>
          <w:szCs w:val="16"/>
        </w:rPr>
        <w:t xml:space="preserve"> </w:t>
      </w:r>
      <w:r w:rsidR="009937BC" w:rsidRPr="009937BC">
        <w:rPr>
          <w:rFonts w:ascii="Abadi" w:hAnsi="Abadi"/>
          <w:sz w:val="16"/>
          <w:szCs w:val="16"/>
        </w:rPr>
        <w:t>Dinámica</w:t>
      </w:r>
      <w:r w:rsidR="009937BC" w:rsidRPr="009937BC">
        <w:rPr>
          <w:rFonts w:ascii="Abadi" w:hAnsi="Abadi"/>
          <w:spacing w:val="-4"/>
          <w:sz w:val="16"/>
          <w:szCs w:val="16"/>
        </w:rPr>
        <w:t xml:space="preserve"> </w:t>
      </w:r>
      <w:r w:rsidR="009937BC" w:rsidRPr="009937BC">
        <w:rPr>
          <w:rFonts w:ascii="Abadi" w:hAnsi="Abadi"/>
          <w:sz w:val="16"/>
          <w:szCs w:val="16"/>
        </w:rPr>
        <w:t>de</w:t>
      </w:r>
      <w:r w:rsidR="009937BC" w:rsidRPr="009937BC">
        <w:rPr>
          <w:rFonts w:ascii="Abadi" w:hAnsi="Abadi"/>
          <w:spacing w:val="-4"/>
          <w:sz w:val="16"/>
          <w:szCs w:val="16"/>
        </w:rPr>
        <w:t xml:space="preserve"> </w:t>
      </w:r>
      <w:r w:rsidR="009937BC" w:rsidRPr="009937BC">
        <w:rPr>
          <w:rFonts w:ascii="Abadi" w:hAnsi="Abadi"/>
          <w:sz w:val="16"/>
          <w:szCs w:val="16"/>
        </w:rPr>
        <w:t>las</w:t>
      </w:r>
      <w:r w:rsidR="009937BC" w:rsidRPr="009937BC">
        <w:rPr>
          <w:rFonts w:ascii="Abadi" w:hAnsi="Abadi"/>
          <w:spacing w:val="-3"/>
          <w:sz w:val="16"/>
          <w:szCs w:val="16"/>
        </w:rPr>
        <w:t xml:space="preserve"> </w:t>
      </w:r>
      <w:r w:rsidR="009937BC" w:rsidRPr="009937BC">
        <w:rPr>
          <w:rFonts w:ascii="Abadi" w:hAnsi="Abadi"/>
          <w:sz w:val="16"/>
          <w:szCs w:val="16"/>
        </w:rPr>
        <w:t>relaciones</w:t>
      </w:r>
      <w:r w:rsidR="009937BC" w:rsidRPr="009937BC">
        <w:rPr>
          <w:rFonts w:ascii="Abadi" w:hAnsi="Abadi"/>
          <w:spacing w:val="-3"/>
          <w:sz w:val="16"/>
          <w:szCs w:val="16"/>
        </w:rPr>
        <w:t xml:space="preserve"> </w:t>
      </w:r>
      <w:r w:rsidR="009937BC" w:rsidRPr="009937BC">
        <w:rPr>
          <w:rFonts w:ascii="Abadi" w:hAnsi="Abadi"/>
          <w:sz w:val="16"/>
          <w:szCs w:val="16"/>
        </w:rPr>
        <w:t>en</w:t>
      </w:r>
      <w:r w:rsidR="009937BC" w:rsidRPr="009937BC">
        <w:rPr>
          <w:rFonts w:ascii="Abadi" w:hAnsi="Abadi"/>
          <w:spacing w:val="-3"/>
          <w:sz w:val="16"/>
          <w:szCs w:val="16"/>
        </w:rPr>
        <w:t xml:space="preserve"> </w:t>
      </w:r>
      <w:r w:rsidR="009937BC" w:rsidRPr="009937BC">
        <w:rPr>
          <w:rFonts w:ascii="Abadi" w:hAnsi="Abadi"/>
          <w:sz w:val="16"/>
          <w:szCs w:val="16"/>
        </w:rPr>
        <w:t>los</w:t>
      </w:r>
      <w:r w:rsidR="009937BC" w:rsidRPr="009937BC">
        <w:rPr>
          <w:rFonts w:ascii="Abadi" w:hAnsi="Abadi"/>
          <w:spacing w:val="-3"/>
          <w:sz w:val="16"/>
          <w:szCs w:val="16"/>
        </w:rPr>
        <w:t xml:space="preserve"> </w:t>
      </w:r>
      <w:r w:rsidR="009937BC" w:rsidRPr="009937BC">
        <w:rPr>
          <w:rFonts w:ascii="Abadi" w:hAnsi="Abadi"/>
          <w:sz w:val="16"/>
          <w:szCs w:val="16"/>
        </w:rPr>
        <w:t>hogares</w:t>
      </w:r>
      <w:r w:rsidR="009937BC" w:rsidRPr="009937BC">
        <w:rPr>
          <w:rFonts w:ascii="Abadi" w:hAnsi="Abadi"/>
          <w:spacing w:val="-1"/>
          <w:sz w:val="16"/>
          <w:szCs w:val="16"/>
        </w:rPr>
        <w:t xml:space="preserve"> </w:t>
      </w:r>
      <w:r w:rsidR="009937BC" w:rsidRPr="009937BC">
        <w:rPr>
          <w:rFonts w:ascii="Abadi" w:hAnsi="Abadi"/>
          <w:sz w:val="16"/>
          <w:szCs w:val="16"/>
        </w:rPr>
        <w:t>(ENDIREH).</w:t>
      </w:r>
      <w:r w:rsidR="009937BC" w:rsidRPr="009937BC">
        <w:rPr>
          <w:rFonts w:ascii="Abadi" w:hAnsi="Abadi"/>
          <w:spacing w:val="-4"/>
          <w:sz w:val="16"/>
          <w:szCs w:val="16"/>
        </w:rPr>
        <w:t xml:space="preserve"> </w:t>
      </w:r>
      <w:r w:rsidR="009937BC" w:rsidRPr="009937BC">
        <w:rPr>
          <w:rFonts w:ascii="Abadi" w:hAnsi="Abadi"/>
          <w:sz w:val="16"/>
          <w:szCs w:val="16"/>
        </w:rPr>
        <w:t>INEGI</w:t>
      </w:r>
      <w:r w:rsidR="009937BC" w:rsidRPr="009937BC">
        <w:rPr>
          <w:rFonts w:ascii="Abadi" w:hAnsi="Abadi"/>
          <w:spacing w:val="-4"/>
          <w:sz w:val="16"/>
          <w:szCs w:val="16"/>
        </w:rPr>
        <w:t xml:space="preserve"> </w:t>
      </w:r>
      <w:r w:rsidR="009937BC" w:rsidRPr="009937BC">
        <w:rPr>
          <w:rFonts w:ascii="Abadi" w:hAnsi="Abadi"/>
          <w:sz w:val="16"/>
          <w:szCs w:val="16"/>
        </w:rPr>
        <w:t xml:space="preserve">2022. Disponible en: </w:t>
      </w:r>
      <w:hyperlink r:id="rId235">
        <w:r w:rsidR="009937BC" w:rsidRPr="009937BC">
          <w:rPr>
            <w:rFonts w:ascii="Abadi" w:hAnsi="Abadi"/>
            <w:color w:val="0562C1"/>
            <w:spacing w:val="-2"/>
            <w:sz w:val="16"/>
            <w:szCs w:val="16"/>
            <w:u w:val="single" w:color="0562C1"/>
          </w:rPr>
          <w:t>https://www.inegi.org.mx/contenidos/saladeprensa/boletines/2022/endireh/Endireh2021_Nal.pdf</w:t>
        </w:r>
      </w:hyperlink>
      <w:r w:rsidR="009937BC" w:rsidRPr="009937BC">
        <w:rPr>
          <w:rFonts w:ascii="Abadi" w:hAnsi="Abadi"/>
          <w:color w:val="0562C1"/>
          <w:spacing w:val="-2"/>
          <w:sz w:val="16"/>
          <w:szCs w:val="16"/>
        </w:rPr>
        <w:t xml:space="preserve"> </w:t>
      </w:r>
      <w:r w:rsidR="009937BC" w:rsidRPr="009937BC">
        <w:rPr>
          <w:rFonts w:ascii="Abadi" w:hAnsi="Abadi"/>
          <w:sz w:val="16"/>
          <w:szCs w:val="16"/>
        </w:rPr>
        <w:t>Fecha de consulta: 20/06/2023</w:t>
      </w:r>
    </w:p>
  </w:footnote>
  <w:footnote w:id="79">
    <w:p w14:paraId="51DC0DD8" w14:textId="5DB0C9B6" w:rsidR="001138FD" w:rsidRDefault="001138FD">
      <w:pPr>
        <w:pStyle w:val="Textonotapie"/>
      </w:pPr>
      <w:r>
        <w:rPr>
          <w:rStyle w:val="Refdenotaalpie"/>
        </w:rPr>
        <w:footnoteRef/>
      </w:r>
      <w:r>
        <w:t xml:space="preserve"> </w:t>
      </w:r>
      <w:r w:rsidR="006C0982" w:rsidRPr="006C0982">
        <w:rPr>
          <w:rFonts w:ascii="Abadi" w:hAnsi="Abadi"/>
          <w:sz w:val="16"/>
          <w:szCs w:val="16"/>
        </w:rPr>
        <w:t>https://congreso-gto.s3.amazonaws.com/</w:t>
      </w:r>
      <w:hyperlink r:id="rId236" w:history="1">
        <w:r w:rsidR="006C0982" w:rsidRPr="006C0982">
          <w:rPr>
            <w:rStyle w:val="Hipervnculo"/>
            <w:rFonts w:ascii="Abadi" w:hAnsi="Abadi"/>
            <w:sz w:val="16"/>
            <w:szCs w:val="16"/>
          </w:rPr>
          <w:t>uploads</w:t>
        </w:r>
      </w:hyperlink>
      <w:r w:rsidR="006C0982" w:rsidRPr="006C0982">
        <w:rPr>
          <w:rFonts w:ascii="Abadi" w:hAnsi="Abadi"/>
          <w:sz w:val="16"/>
          <w:szCs w:val="16"/>
        </w:rPr>
        <w:t>/orden_archivo/archivo/29943/13_PPA_GPPVEM_vapeadores_56901__22_JUNIO_23_.pdf</w:t>
      </w:r>
    </w:p>
  </w:footnote>
  <w:footnote w:id="80">
    <w:p w14:paraId="65CF6260" w14:textId="4CCD7109" w:rsidR="00862A1B" w:rsidRDefault="00862A1B">
      <w:pPr>
        <w:pStyle w:val="Textonotapie"/>
      </w:pPr>
      <w:r>
        <w:rPr>
          <w:rStyle w:val="Refdenotaalpie"/>
        </w:rPr>
        <w:footnoteRef/>
      </w:r>
      <w:r>
        <w:t xml:space="preserve"> </w:t>
      </w:r>
      <w:proofErr w:type="spellStart"/>
      <w:r w:rsidR="00076F94" w:rsidRPr="00076F94">
        <w:rPr>
          <w:rFonts w:ascii="Abadi" w:hAnsi="Abadi"/>
          <w:sz w:val="16"/>
          <w:szCs w:val="16"/>
        </w:rPr>
        <w:t>Znyk</w:t>
      </w:r>
      <w:proofErr w:type="spellEnd"/>
      <w:r w:rsidR="00076F94" w:rsidRPr="00076F94">
        <w:rPr>
          <w:rFonts w:ascii="Abadi" w:hAnsi="Abadi"/>
          <w:spacing w:val="-2"/>
          <w:sz w:val="16"/>
          <w:szCs w:val="16"/>
        </w:rPr>
        <w:t xml:space="preserve"> </w:t>
      </w:r>
      <w:r w:rsidR="00076F94" w:rsidRPr="00076F94">
        <w:rPr>
          <w:rFonts w:ascii="Abadi" w:hAnsi="Abadi"/>
          <w:sz w:val="16"/>
          <w:szCs w:val="16"/>
        </w:rPr>
        <w:t xml:space="preserve">M, </w:t>
      </w:r>
      <w:proofErr w:type="spellStart"/>
      <w:r w:rsidR="00076F94" w:rsidRPr="00076F94">
        <w:rPr>
          <w:rFonts w:ascii="Abadi" w:hAnsi="Abadi"/>
          <w:sz w:val="16"/>
          <w:szCs w:val="16"/>
        </w:rPr>
        <w:t>Jurewicz</w:t>
      </w:r>
      <w:proofErr w:type="spellEnd"/>
      <w:r w:rsidR="00076F94" w:rsidRPr="00076F94">
        <w:rPr>
          <w:rFonts w:ascii="Abadi" w:hAnsi="Abadi"/>
          <w:sz w:val="16"/>
          <w:szCs w:val="16"/>
        </w:rPr>
        <w:t xml:space="preserve"> J, </w:t>
      </w:r>
      <w:proofErr w:type="spellStart"/>
      <w:r w:rsidR="00076F94" w:rsidRPr="00076F94">
        <w:rPr>
          <w:rFonts w:ascii="Abadi" w:hAnsi="Abadi"/>
          <w:sz w:val="16"/>
          <w:szCs w:val="16"/>
        </w:rPr>
        <w:t>Kaleta</w:t>
      </w:r>
      <w:proofErr w:type="spellEnd"/>
      <w:r w:rsidR="00076F94" w:rsidRPr="00076F94">
        <w:rPr>
          <w:rFonts w:ascii="Abadi" w:hAnsi="Abadi"/>
          <w:sz w:val="16"/>
          <w:szCs w:val="16"/>
        </w:rPr>
        <w:t xml:space="preserve"> D. Exposición a</w:t>
      </w:r>
      <w:r w:rsidR="00076F94" w:rsidRPr="00076F94">
        <w:rPr>
          <w:rFonts w:ascii="Abadi" w:hAnsi="Abadi"/>
          <w:spacing w:val="-3"/>
          <w:sz w:val="16"/>
          <w:szCs w:val="16"/>
        </w:rPr>
        <w:t xml:space="preserve"> </w:t>
      </w:r>
      <w:r w:rsidR="00076F94" w:rsidRPr="00076F94">
        <w:rPr>
          <w:rFonts w:ascii="Abadi" w:hAnsi="Abadi"/>
          <w:sz w:val="16"/>
          <w:szCs w:val="16"/>
        </w:rPr>
        <w:t>productos de tabaco</w:t>
      </w:r>
      <w:r w:rsidR="00076F94" w:rsidRPr="00076F94">
        <w:rPr>
          <w:rFonts w:ascii="Abadi" w:hAnsi="Abadi"/>
          <w:spacing w:val="-2"/>
          <w:sz w:val="16"/>
          <w:szCs w:val="16"/>
        </w:rPr>
        <w:t xml:space="preserve"> </w:t>
      </w:r>
      <w:r w:rsidR="00076F94" w:rsidRPr="00076F94">
        <w:rPr>
          <w:rFonts w:ascii="Abadi" w:hAnsi="Abadi"/>
          <w:sz w:val="16"/>
          <w:szCs w:val="16"/>
        </w:rPr>
        <w:t>calentados y</w:t>
      </w:r>
      <w:r w:rsidR="00076F94" w:rsidRPr="00076F94">
        <w:rPr>
          <w:rFonts w:ascii="Abadi" w:hAnsi="Abadi"/>
          <w:spacing w:val="-2"/>
          <w:sz w:val="16"/>
          <w:szCs w:val="16"/>
        </w:rPr>
        <w:t xml:space="preserve"> </w:t>
      </w:r>
      <w:r w:rsidR="00076F94" w:rsidRPr="00076F94">
        <w:rPr>
          <w:rFonts w:ascii="Abadi" w:hAnsi="Abadi"/>
          <w:sz w:val="16"/>
          <w:szCs w:val="16"/>
        </w:rPr>
        <w:t>efectos</w:t>
      </w:r>
      <w:r w:rsidR="00076F94" w:rsidRPr="00076F94">
        <w:rPr>
          <w:rFonts w:ascii="Abadi" w:hAnsi="Abadi"/>
          <w:spacing w:val="-4"/>
          <w:sz w:val="16"/>
          <w:szCs w:val="16"/>
        </w:rPr>
        <w:t xml:space="preserve"> </w:t>
      </w:r>
      <w:r w:rsidR="00076F94" w:rsidRPr="00076F94">
        <w:rPr>
          <w:rFonts w:ascii="Abadi" w:hAnsi="Abadi"/>
          <w:sz w:val="16"/>
          <w:szCs w:val="16"/>
        </w:rPr>
        <w:t>adversos para</w:t>
      </w:r>
      <w:r w:rsidR="00076F94" w:rsidRPr="00076F94">
        <w:rPr>
          <w:rFonts w:ascii="Abadi" w:hAnsi="Abadi"/>
          <w:spacing w:val="-3"/>
          <w:sz w:val="16"/>
          <w:szCs w:val="16"/>
        </w:rPr>
        <w:t xml:space="preserve"> </w:t>
      </w:r>
      <w:r w:rsidR="00076F94" w:rsidRPr="00076F94">
        <w:rPr>
          <w:rFonts w:ascii="Abadi" w:hAnsi="Abadi"/>
          <w:sz w:val="16"/>
          <w:szCs w:val="16"/>
        </w:rPr>
        <w:t xml:space="preserve">la salud, </w:t>
      </w:r>
      <w:proofErr w:type="gramStart"/>
      <w:r w:rsidR="00076F94" w:rsidRPr="00076F94">
        <w:rPr>
          <w:rFonts w:ascii="Abadi" w:hAnsi="Abadi"/>
          <w:sz w:val="16"/>
          <w:szCs w:val="16"/>
        </w:rPr>
        <w:t>una</w:t>
      </w:r>
      <w:r w:rsidR="00076F94" w:rsidRPr="00076F94">
        <w:rPr>
          <w:rFonts w:ascii="Abadi" w:hAnsi="Abadi"/>
          <w:spacing w:val="80"/>
          <w:sz w:val="16"/>
          <w:szCs w:val="16"/>
        </w:rPr>
        <w:t xml:space="preserve">  </w:t>
      </w:r>
      <w:r w:rsidR="00076F94" w:rsidRPr="00076F94">
        <w:rPr>
          <w:rFonts w:ascii="Abadi" w:hAnsi="Abadi"/>
          <w:sz w:val="16"/>
          <w:szCs w:val="16"/>
        </w:rPr>
        <w:t>revisión</w:t>
      </w:r>
      <w:proofErr w:type="gramEnd"/>
      <w:r w:rsidR="00076F94" w:rsidRPr="00076F94">
        <w:rPr>
          <w:rFonts w:ascii="Abadi" w:hAnsi="Abadi"/>
          <w:spacing w:val="80"/>
          <w:sz w:val="16"/>
          <w:szCs w:val="16"/>
        </w:rPr>
        <w:t xml:space="preserve">  </w:t>
      </w:r>
      <w:r w:rsidR="00076F94" w:rsidRPr="00076F94">
        <w:rPr>
          <w:rFonts w:ascii="Abadi" w:hAnsi="Abadi"/>
          <w:sz w:val="16"/>
          <w:szCs w:val="16"/>
        </w:rPr>
        <w:t xml:space="preserve">sistemática. </w:t>
      </w:r>
      <w:proofErr w:type="gramStart"/>
      <w:r w:rsidR="00076F94" w:rsidRPr="00076F94">
        <w:rPr>
          <w:rFonts w:ascii="Abadi" w:hAnsi="Abadi"/>
          <w:i/>
          <w:sz w:val="16"/>
          <w:szCs w:val="16"/>
        </w:rPr>
        <w:t>Revista</w:t>
      </w:r>
      <w:r w:rsidR="00076F94" w:rsidRPr="00076F94">
        <w:rPr>
          <w:rFonts w:ascii="Abadi" w:hAnsi="Abadi"/>
          <w:i/>
          <w:spacing w:val="80"/>
          <w:sz w:val="16"/>
          <w:szCs w:val="16"/>
        </w:rPr>
        <w:t xml:space="preserve">  </w:t>
      </w:r>
      <w:r w:rsidR="00076F94" w:rsidRPr="00076F94">
        <w:rPr>
          <w:rFonts w:ascii="Abadi" w:hAnsi="Abadi"/>
          <w:i/>
          <w:sz w:val="16"/>
          <w:szCs w:val="16"/>
        </w:rPr>
        <w:t>Internacional</w:t>
      </w:r>
      <w:proofErr w:type="gramEnd"/>
      <w:r w:rsidR="00076F94" w:rsidRPr="00076F94">
        <w:rPr>
          <w:rFonts w:ascii="Abadi" w:hAnsi="Abadi"/>
          <w:i/>
          <w:spacing w:val="80"/>
          <w:sz w:val="16"/>
          <w:szCs w:val="16"/>
        </w:rPr>
        <w:t xml:space="preserve">  </w:t>
      </w:r>
      <w:r w:rsidR="00076F94" w:rsidRPr="00076F94">
        <w:rPr>
          <w:rFonts w:ascii="Abadi" w:hAnsi="Abadi"/>
          <w:i/>
          <w:sz w:val="16"/>
          <w:szCs w:val="16"/>
        </w:rPr>
        <w:t>de</w:t>
      </w:r>
      <w:r w:rsidR="00076F94" w:rsidRPr="00076F94">
        <w:rPr>
          <w:rFonts w:ascii="Abadi" w:hAnsi="Abadi"/>
          <w:i/>
          <w:spacing w:val="80"/>
          <w:sz w:val="16"/>
          <w:szCs w:val="16"/>
        </w:rPr>
        <w:t xml:space="preserve">  </w:t>
      </w:r>
      <w:r w:rsidR="00076F94" w:rsidRPr="00076F94">
        <w:rPr>
          <w:rFonts w:ascii="Abadi" w:hAnsi="Abadi"/>
          <w:i/>
          <w:sz w:val="16"/>
          <w:szCs w:val="16"/>
        </w:rPr>
        <w:t>Investigación</w:t>
      </w:r>
      <w:r w:rsidR="00076F94" w:rsidRPr="00076F94">
        <w:rPr>
          <w:rFonts w:ascii="Abadi" w:hAnsi="Abadi"/>
          <w:i/>
          <w:spacing w:val="80"/>
          <w:sz w:val="16"/>
          <w:szCs w:val="16"/>
        </w:rPr>
        <w:t xml:space="preserve">  </w:t>
      </w:r>
      <w:r w:rsidR="00076F94" w:rsidRPr="00076F94">
        <w:rPr>
          <w:rFonts w:ascii="Abadi" w:hAnsi="Abadi"/>
          <w:i/>
          <w:sz w:val="16"/>
          <w:szCs w:val="16"/>
        </w:rPr>
        <w:t>Ambiental</w:t>
      </w:r>
      <w:r w:rsidR="00076F94" w:rsidRPr="00076F94">
        <w:rPr>
          <w:rFonts w:ascii="Abadi" w:hAnsi="Abadi"/>
          <w:i/>
          <w:spacing w:val="80"/>
          <w:sz w:val="16"/>
          <w:szCs w:val="16"/>
        </w:rPr>
        <w:t xml:space="preserve">  </w:t>
      </w:r>
      <w:r w:rsidR="00076F94" w:rsidRPr="00076F94">
        <w:rPr>
          <w:rFonts w:ascii="Abadi" w:hAnsi="Abadi"/>
          <w:i/>
          <w:sz w:val="16"/>
          <w:szCs w:val="16"/>
        </w:rPr>
        <w:t>y</w:t>
      </w:r>
      <w:r w:rsidR="00076F94" w:rsidRPr="00076F94">
        <w:rPr>
          <w:rFonts w:ascii="Abadi" w:hAnsi="Abadi"/>
          <w:i/>
          <w:spacing w:val="80"/>
          <w:sz w:val="16"/>
          <w:szCs w:val="16"/>
        </w:rPr>
        <w:t xml:space="preserve">  </w:t>
      </w:r>
      <w:r w:rsidR="00076F94" w:rsidRPr="00076F94">
        <w:rPr>
          <w:rFonts w:ascii="Abadi" w:hAnsi="Abadi"/>
          <w:i/>
          <w:sz w:val="16"/>
          <w:szCs w:val="16"/>
        </w:rPr>
        <w:t xml:space="preserve">Salud Pública </w:t>
      </w:r>
      <w:r w:rsidR="00076F94" w:rsidRPr="00076F94">
        <w:rPr>
          <w:rFonts w:ascii="Abadi" w:hAnsi="Abadi"/>
          <w:sz w:val="16"/>
          <w:szCs w:val="16"/>
        </w:rPr>
        <w:t>. 2021; 18(12):6651. https://doi.org/10.3390/ijerph18126651</w:t>
      </w:r>
    </w:p>
  </w:footnote>
  <w:footnote w:id="81">
    <w:p w14:paraId="7E05C9F3" w14:textId="77777777" w:rsidR="00F17541" w:rsidRPr="0066785A" w:rsidRDefault="003B16BA" w:rsidP="0066785A">
      <w:pPr>
        <w:rPr>
          <w:rFonts w:ascii="Abadi" w:hAnsi="Abadi"/>
          <w:sz w:val="16"/>
          <w:szCs w:val="16"/>
        </w:rPr>
      </w:pPr>
      <w:r w:rsidRPr="0066785A">
        <w:rPr>
          <w:rStyle w:val="Refdenotaalpie"/>
          <w:rFonts w:ascii="Abadi" w:hAnsi="Abadi"/>
          <w:sz w:val="16"/>
          <w:szCs w:val="16"/>
        </w:rPr>
        <w:footnoteRef/>
      </w:r>
      <w:r w:rsidRPr="0066785A">
        <w:rPr>
          <w:rFonts w:ascii="Abadi" w:hAnsi="Abadi"/>
          <w:sz w:val="16"/>
          <w:szCs w:val="16"/>
        </w:rPr>
        <w:t xml:space="preserve"> </w:t>
      </w:r>
      <w:r w:rsidR="00F17541" w:rsidRPr="0066785A">
        <w:rPr>
          <w:rFonts w:ascii="Abadi" w:hAnsi="Abadi"/>
          <w:spacing w:val="-2"/>
          <w:sz w:val="16"/>
          <w:szCs w:val="16"/>
        </w:rPr>
        <w:t>https://boletines.guanajuato.gob.mx/2022/07/12/ssg-presenta-el-panorama-de-adicciones-en-jovenes-de- la-encuesta-juventud-y-bienestar-2022-planet-youth/</w:t>
      </w:r>
    </w:p>
    <w:p w14:paraId="6D3988C8" w14:textId="3F2169C9" w:rsidR="003B16BA" w:rsidRPr="0066785A" w:rsidRDefault="003B16BA" w:rsidP="0066785A">
      <w:pPr>
        <w:pStyle w:val="Textonotapie"/>
        <w:rPr>
          <w:rFonts w:ascii="Abadi" w:hAnsi="Abadi"/>
          <w:sz w:val="16"/>
          <w:szCs w:val="16"/>
        </w:rPr>
      </w:pPr>
    </w:p>
  </w:footnote>
  <w:footnote w:id="82">
    <w:p w14:paraId="7CCA4F0D" w14:textId="77777777" w:rsidR="000F772E" w:rsidRPr="0066785A" w:rsidRDefault="00A32B1A" w:rsidP="0066785A">
      <w:pPr>
        <w:rPr>
          <w:rFonts w:ascii="Abadi" w:hAnsi="Abadi"/>
          <w:sz w:val="16"/>
          <w:szCs w:val="16"/>
        </w:rPr>
      </w:pPr>
      <w:r w:rsidRPr="0066785A">
        <w:rPr>
          <w:rStyle w:val="Refdenotaalpie"/>
          <w:rFonts w:ascii="Abadi" w:hAnsi="Abadi"/>
          <w:sz w:val="16"/>
          <w:szCs w:val="16"/>
        </w:rPr>
        <w:footnoteRef/>
      </w:r>
      <w:r w:rsidRPr="0066785A">
        <w:rPr>
          <w:rFonts w:ascii="Abadi" w:hAnsi="Abadi"/>
          <w:sz w:val="16"/>
          <w:szCs w:val="16"/>
        </w:rPr>
        <w:t xml:space="preserve"> </w:t>
      </w:r>
      <w:r w:rsidR="000F772E" w:rsidRPr="0066785A">
        <w:rPr>
          <w:rFonts w:ascii="Abadi" w:hAnsi="Abadi"/>
          <w:spacing w:val="-2"/>
          <w:sz w:val="16"/>
          <w:szCs w:val="16"/>
        </w:rPr>
        <w:t>https://periodicocorreo.com.mx/vida-publica/dia-mundial-sin-tabaco-2023-ninos-en-guanajuato-usan- vapeadores-desde-los-10-anos-20230531-74785.html</w:t>
      </w:r>
    </w:p>
    <w:p w14:paraId="17173C3A" w14:textId="784794D7" w:rsidR="00A32B1A" w:rsidRDefault="00A32B1A">
      <w:pPr>
        <w:pStyle w:val="Textonotapie"/>
      </w:pPr>
    </w:p>
  </w:footnote>
  <w:footnote w:id="83">
    <w:p w14:paraId="061BFCC5" w14:textId="3D0D8D4B" w:rsidR="003B2DBA" w:rsidRDefault="003B2DBA">
      <w:pPr>
        <w:pStyle w:val="Textonotapie"/>
      </w:pPr>
      <w:r>
        <w:rPr>
          <w:rStyle w:val="Refdenotaalpie"/>
        </w:rPr>
        <w:footnoteRef/>
      </w:r>
      <w:r>
        <w:t xml:space="preserve"> </w:t>
      </w:r>
      <w:hyperlink r:id="rId237" w:history="1">
        <w:r w:rsidR="009A71A7" w:rsidRPr="009A71A7">
          <w:rPr>
            <w:rStyle w:val="Hipervnculo"/>
            <w:rFonts w:ascii="Abadi" w:hAnsi="Abadi"/>
            <w:sz w:val="16"/>
            <w:szCs w:val="16"/>
          </w:rPr>
          <w:t>https://congreso-gto.s3.amazonaws.com/uploads/orden_archivo/archivo/29944/14_PPA_GPPMORENA_Ayttos_y_Com_Estatal_de_Bu_squeda_de_personas_56905__22_JUN_23_.pdf</w:t>
        </w:r>
      </w:hyperlink>
    </w:p>
  </w:footnote>
  <w:footnote w:id="84">
    <w:p w14:paraId="76145906" w14:textId="77777777" w:rsidR="00001679" w:rsidRDefault="00001679" w:rsidP="00001679">
      <w:pPr>
        <w:pStyle w:val="footnotedescription"/>
        <w:spacing w:line="251" w:lineRule="auto"/>
        <w:ind w:right="294"/>
      </w:pPr>
      <w:r w:rsidRPr="00E74E2F">
        <w:rPr>
          <w:rStyle w:val="footnotemark"/>
          <w:rFonts w:ascii="Abadi" w:hAnsi="Abadi"/>
          <w:sz w:val="16"/>
          <w:szCs w:val="16"/>
        </w:rPr>
        <w:footnoteRef/>
      </w:r>
      <w:r w:rsidRPr="00E74E2F">
        <w:rPr>
          <w:rFonts w:ascii="Abadi" w:hAnsi="Abadi"/>
          <w:sz w:val="16"/>
          <w:szCs w:val="16"/>
        </w:rPr>
        <w:t xml:space="preserve"> La medición es con base en la tasa de personas desaparecidas por cada cien mil habitantes. </w:t>
      </w:r>
      <w:r w:rsidRPr="00E74E2F">
        <w:rPr>
          <w:rFonts w:ascii="Abadi" w:hAnsi="Abadi"/>
          <w:sz w:val="16"/>
          <w:szCs w:val="16"/>
          <w:vertAlign w:val="superscript"/>
        </w:rPr>
        <w:t>2</w:t>
      </w:r>
      <w:r w:rsidRPr="00E74E2F">
        <w:rPr>
          <w:rFonts w:ascii="Abadi" w:hAnsi="Abadi"/>
          <w:sz w:val="16"/>
          <w:szCs w:val="16"/>
        </w:rPr>
        <w:t xml:space="preserve"> IMDHD. </w:t>
      </w:r>
      <w:r w:rsidRPr="00E74E2F">
        <w:rPr>
          <w:rFonts w:ascii="Abadi" w:hAnsi="Abadi"/>
          <w:i/>
          <w:sz w:val="16"/>
          <w:szCs w:val="16"/>
        </w:rPr>
        <w:t xml:space="preserve"> Mujeres desaparecidas en el estado de Guanajuato: historias de olvido y estigmatización sin acceso a la justicia. </w:t>
      </w:r>
      <w:r w:rsidRPr="00E74E2F">
        <w:rPr>
          <w:rFonts w:ascii="Abadi" w:hAnsi="Abadi"/>
          <w:sz w:val="16"/>
          <w:szCs w:val="16"/>
        </w:rPr>
        <w:t xml:space="preserve">(abril 2023, CDMX). Pág. 23. Obtenido de: https://www.imdhd.org/wpcontent/uploads/2023/05/IMDHD-Guanajuato_04052023.pdf </w:t>
      </w:r>
      <w:r w:rsidRPr="00E74E2F">
        <w:rPr>
          <w:rFonts w:ascii="Abadi" w:hAnsi="Abadi"/>
          <w:sz w:val="16"/>
          <w:szCs w:val="16"/>
          <w:vertAlign w:val="superscript"/>
        </w:rPr>
        <w:t>3</w:t>
      </w:r>
      <w:r w:rsidRPr="00E74E2F">
        <w:rPr>
          <w:rFonts w:ascii="Abadi" w:hAnsi="Abadi"/>
          <w:sz w:val="16"/>
          <w:szCs w:val="16"/>
        </w:rPr>
        <w:t xml:space="preserve"> </w:t>
      </w:r>
      <w:proofErr w:type="spellStart"/>
      <w:r w:rsidRPr="00E74E2F">
        <w:rPr>
          <w:rFonts w:ascii="Abadi" w:hAnsi="Abadi"/>
          <w:sz w:val="16"/>
          <w:szCs w:val="16"/>
        </w:rPr>
        <w:t>Ibídem</w:t>
      </w:r>
      <w:proofErr w:type="spellEnd"/>
      <w:r w:rsidRPr="00E74E2F">
        <w:rPr>
          <w:rFonts w:ascii="Abadi" w:hAnsi="Abadi"/>
          <w:sz w:val="16"/>
          <w:szCs w:val="16"/>
        </w:rPr>
        <w:t>. Énfasis personal</w:t>
      </w:r>
      <w:r>
        <w:t xml:space="preserve">. </w:t>
      </w:r>
    </w:p>
  </w:footnote>
  <w:footnote w:id="85">
    <w:p w14:paraId="05A82223" w14:textId="77777777" w:rsidR="00001679" w:rsidRPr="00E74E2F" w:rsidRDefault="00001679" w:rsidP="0040011F">
      <w:pPr>
        <w:pStyle w:val="footnotedescription"/>
        <w:spacing w:line="249" w:lineRule="auto"/>
        <w:jc w:val="both"/>
        <w:rPr>
          <w:rFonts w:ascii="Abadi" w:hAnsi="Abadi"/>
          <w:sz w:val="16"/>
          <w:szCs w:val="16"/>
        </w:rPr>
      </w:pPr>
      <w:r>
        <w:rPr>
          <w:rStyle w:val="footnotemark"/>
        </w:rPr>
        <w:footnoteRef/>
      </w:r>
      <w:r>
        <w:t xml:space="preserve"> </w:t>
      </w:r>
      <w:r w:rsidRPr="00E74E2F">
        <w:rPr>
          <w:rFonts w:ascii="Abadi" w:hAnsi="Abadi"/>
          <w:sz w:val="16"/>
          <w:szCs w:val="16"/>
        </w:rPr>
        <w:t xml:space="preserve">LORUSSO </w:t>
      </w:r>
      <w:proofErr w:type="spellStart"/>
      <w:r w:rsidRPr="00E74E2F">
        <w:rPr>
          <w:rFonts w:ascii="Abadi" w:hAnsi="Abadi"/>
          <w:sz w:val="16"/>
          <w:szCs w:val="16"/>
        </w:rPr>
        <w:t>Fabrizio</w:t>
      </w:r>
      <w:proofErr w:type="spellEnd"/>
      <w:r w:rsidRPr="00E74E2F">
        <w:rPr>
          <w:rFonts w:ascii="Abadi" w:hAnsi="Abadi"/>
          <w:sz w:val="16"/>
          <w:szCs w:val="16"/>
        </w:rPr>
        <w:t xml:space="preserve">. </w:t>
      </w:r>
      <w:r w:rsidRPr="00E74E2F">
        <w:rPr>
          <w:rFonts w:ascii="Abadi" w:hAnsi="Abadi"/>
          <w:i/>
          <w:sz w:val="16"/>
          <w:szCs w:val="16"/>
        </w:rPr>
        <w:t xml:space="preserve">Cifras y crisis, discursos y vacíos: los laberintos de la desaparición en Guanajuato. </w:t>
      </w:r>
      <w:r w:rsidRPr="00E74E2F">
        <w:rPr>
          <w:rFonts w:ascii="Abadi" w:hAnsi="Abadi"/>
          <w:sz w:val="16"/>
          <w:szCs w:val="16"/>
        </w:rPr>
        <w:t xml:space="preserve">(16/06/2022). Consultado en: https://adondevanlosdesaparecidos.org/2022/06/16/los-laberintos-de-ladesaparicion-en-guanajuato/ </w:t>
      </w:r>
    </w:p>
  </w:footnote>
  <w:footnote w:id="86">
    <w:p w14:paraId="1E323C02" w14:textId="77777777" w:rsidR="00001679" w:rsidRPr="00E74E2F" w:rsidRDefault="00001679" w:rsidP="0040011F">
      <w:pPr>
        <w:pStyle w:val="footnotedescription"/>
        <w:spacing w:line="263" w:lineRule="auto"/>
        <w:jc w:val="both"/>
        <w:rPr>
          <w:sz w:val="16"/>
          <w:szCs w:val="16"/>
        </w:rPr>
      </w:pPr>
      <w:r w:rsidRPr="00E74E2F">
        <w:rPr>
          <w:rStyle w:val="footnotemark"/>
          <w:rFonts w:ascii="Abadi" w:hAnsi="Abadi"/>
          <w:sz w:val="16"/>
          <w:szCs w:val="16"/>
        </w:rPr>
        <w:footnoteRef/>
      </w:r>
      <w:r w:rsidRPr="00E74E2F">
        <w:rPr>
          <w:rFonts w:ascii="Abadi" w:hAnsi="Abadi"/>
          <w:sz w:val="16"/>
          <w:szCs w:val="16"/>
        </w:rPr>
        <w:t xml:space="preserve"> Página web creada para apoyar a las familias de las personas desaparecidas para publicar y difundir la información de sus familiares y lograr el</w:t>
      </w:r>
      <w:r w:rsidRPr="00E74E2F">
        <w:rPr>
          <w:sz w:val="16"/>
          <w:szCs w:val="16"/>
        </w:rPr>
        <w:t xml:space="preserve"> mayor alcance posible. </w:t>
      </w:r>
    </w:p>
  </w:footnote>
  <w:footnote w:id="87">
    <w:p w14:paraId="5444C710" w14:textId="77777777" w:rsidR="000978B4" w:rsidRPr="00E74E2F" w:rsidRDefault="000978B4" w:rsidP="0040011F">
      <w:pPr>
        <w:pStyle w:val="footnotedescription"/>
        <w:spacing w:line="249" w:lineRule="auto"/>
        <w:jc w:val="both"/>
        <w:rPr>
          <w:sz w:val="16"/>
          <w:szCs w:val="16"/>
        </w:rPr>
      </w:pPr>
      <w:r w:rsidRPr="00E74E2F">
        <w:rPr>
          <w:rStyle w:val="footnotemark"/>
          <w:sz w:val="16"/>
          <w:szCs w:val="16"/>
        </w:rPr>
        <w:footnoteRef/>
      </w:r>
      <w:r w:rsidRPr="00E74E2F">
        <w:rPr>
          <w:sz w:val="16"/>
          <w:szCs w:val="16"/>
        </w:rPr>
        <w:t xml:space="preserve"> Anexo Único que reforma parte del dictamen mediante el cual se aprueban reformas, adiciones y derogaciones al Reglamento de Movilidad para el Municipio de León, Guanajuato. Artículos 9 y 84. Obtenido de: https://www.leon.gob.mx/adminayuntamiento/archivos_gaceta/anexo-116-1771881617Dictamen_iniciativa_reformas_Reglamento_de_Movilidad.docx </w:t>
      </w:r>
    </w:p>
  </w:footnote>
  <w:footnote w:id="88">
    <w:p w14:paraId="3EAA23CF" w14:textId="12F55345" w:rsidR="00582303" w:rsidRDefault="00582303">
      <w:pPr>
        <w:pStyle w:val="Textonotapie"/>
      </w:pPr>
      <w:r>
        <w:rPr>
          <w:rStyle w:val="Refdenotaalpie"/>
        </w:rPr>
        <w:footnoteRef/>
      </w:r>
      <w:r>
        <w:t xml:space="preserve"> </w:t>
      </w:r>
      <w:hyperlink r:id="rId238" w:history="1">
        <w:r w:rsidR="00BF437C" w:rsidRPr="00BF437C">
          <w:rPr>
            <w:rStyle w:val="Hipervnculo"/>
            <w:rFonts w:ascii="Abadi" w:hAnsi="Abadi"/>
            <w:sz w:val="16"/>
            <w:szCs w:val="16"/>
          </w:rPr>
          <w:t>https://congreso-gto.s3.amazonaws.com/uploads/orden_archivo/archivo/29945/15_PPA_GPPMORENA_Pedro_Fco_Rguez_San_Felipe-_Tlaxcala_56899__22_JUN_2023_.pdf</w:t>
        </w:r>
      </w:hyperlink>
    </w:p>
  </w:footnote>
  <w:footnote w:id="89">
    <w:p w14:paraId="12A1280C" w14:textId="45C01E5C" w:rsidR="007D233F" w:rsidRPr="00BF7772" w:rsidRDefault="007D233F">
      <w:pPr>
        <w:pStyle w:val="Textonotapie"/>
        <w:rPr>
          <w:sz w:val="16"/>
          <w:szCs w:val="16"/>
        </w:rPr>
      </w:pPr>
      <w:r>
        <w:rPr>
          <w:rStyle w:val="Refdenotaalpie"/>
        </w:rPr>
        <w:footnoteRef/>
      </w:r>
      <w:r>
        <w:t xml:space="preserve"> </w:t>
      </w:r>
      <w:hyperlink r:id="rId239" w:history="1">
        <w:r w:rsidR="007B0530" w:rsidRPr="00BF7772">
          <w:rPr>
            <w:rStyle w:val="Hipervnculo"/>
            <w:rFonts w:ascii="Abadi" w:hAnsi="Abadi"/>
            <w:sz w:val="16"/>
            <w:szCs w:val="16"/>
          </w:rPr>
          <w:t>https://congreso-gto.s3.amazonaws.com/uploads/orden_archivo/archivo/29946/16_PPA_GPPMORENA_ASEG-FIDESSEG_56902__22_JUNIO_23_.pdf</w:t>
        </w:r>
      </w:hyperlink>
    </w:p>
  </w:footnote>
  <w:footnote w:id="90">
    <w:p w14:paraId="5C230674" w14:textId="77777777" w:rsidR="002231ED" w:rsidRPr="00BF7772" w:rsidRDefault="002231ED" w:rsidP="002231ED">
      <w:pPr>
        <w:pStyle w:val="footnotedescription"/>
        <w:spacing w:line="265" w:lineRule="auto"/>
        <w:jc w:val="both"/>
        <w:rPr>
          <w:rFonts w:ascii="Abadi" w:hAnsi="Abadi"/>
          <w:sz w:val="16"/>
          <w:szCs w:val="16"/>
        </w:rPr>
      </w:pPr>
      <w:r w:rsidRPr="00BF7772">
        <w:rPr>
          <w:rStyle w:val="footnotemark"/>
          <w:rFonts w:ascii="Abadi" w:hAnsi="Abadi"/>
          <w:sz w:val="16"/>
          <w:szCs w:val="16"/>
        </w:rPr>
        <w:footnoteRef/>
      </w:r>
      <w:r w:rsidRPr="00BF7772">
        <w:rPr>
          <w:rFonts w:ascii="Abadi" w:hAnsi="Abadi"/>
          <w:sz w:val="16"/>
          <w:szCs w:val="16"/>
        </w:rPr>
        <w:t xml:space="preserve"> Decreto gubernativo número 21 publicado en el Periódico Oficial del Gobierno del Estado de Guanajuato número 75. </w:t>
      </w:r>
    </w:p>
  </w:footnote>
  <w:footnote w:id="91">
    <w:p w14:paraId="46BB7DE9" w14:textId="5082E22D" w:rsidR="002231ED" w:rsidRPr="00BF7772" w:rsidRDefault="002231ED" w:rsidP="002231ED">
      <w:pPr>
        <w:pStyle w:val="footnotedescription"/>
        <w:rPr>
          <w:rFonts w:ascii="Abadi" w:hAnsi="Abadi"/>
          <w:sz w:val="16"/>
          <w:szCs w:val="16"/>
        </w:rPr>
      </w:pPr>
      <w:r w:rsidRPr="00BF7772">
        <w:rPr>
          <w:rStyle w:val="footnotemark"/>
          <w:rFonts w:ascii="Abadi" w:hAnsi="Abadi"/>
          <w:sz w:val="16"/>
          <w:szCs w:val="16"/>
        </w:rPr>
        <w:footnoteRef/>
      </w:r>
      <w:r w:rsidRPr="00BF7772">
        <w:rPr>
          <w:rFonts w:ascii="Abadi" w:hAnsi="Abadi"/>
          <w:sz w:val="16"/>
          <w:szCs w:val="16"/>
        </w:rPr>
        <w:t xml:space="preserve"> Reporte de cuenta pública sobre aplicación de recursos de impuestos. FIDESSEG. Disponible en: </w:t>
      </w:r>
      <w:hyperlink r:id="rId240" w:history="1">
        <w:r w:rsidR="006C5CDD" w:rsidRPr="00925361">
          <w:rPr>
            <w:rStyle w:val="Hipervnculo"/>
            <w:rFonts w:ascii="Abadi" w:hAnsi="Abadi"/>
            <w:sz w:val="16"/>
            <w:szCs w:val="16"/>
          </w:rPr>
          <w:t xml:space="preserve">https://portaldgi.guanajuato.gob.mx/CuentaPub </w:t>
        </w:r>
        <w:proofErr w:type="spellStart"/>
        <w:r w:rsidR="006C5CDD" w:rsidRPr="00925361">
          <w:rPr>
            <w:rStyle w:val="Hipervnculo"/>
            <w:rFonts w:ascii="Abadi" w:hAnsi="Abadi"/>
            <w:sz w:val="16"/>
            <w:szCs w:val="16"/>
          </w:rPr>
          <w:t>vlica</w:t>
        </w:r>
        <w:proofErr w:type="spellEnd"/>
        <w:r w:rsidR="006C5CDD" w:rsidRPr="00925361">
          <w:rPr>
            <w:rStyle w:val="Hipervnculo"/>
            <w:rFonts w:ascii="Abadi" w:hAnsi="Abadi"/>
            <w:sz w:val="16"/>
            <w:szCs w:val="16"/>
          </w:rPr>
          <w:t>/</w:t>
        </w:r>
        <w:proofErr w:type="spellStart"/>
        <w:r w:rsidR="006C5CDD" w:rsidRPr="00925361">
          <w:rPr>
            <w:rStyle w:val="Hipervnculo"/>
            <w:rFonts w:ascii="Abadi" w:hAnsi="Abadi"/>
            <w:sz w:val="16"/>
            <w:szCs w:val="16"/>
          </w:rPr>
          <w:t>public</w:t>
        </w:r>
        <w:proofErr w:type="spellEnd"/>
        <w:r w:rsidR="006C5CDD" w:rsidRPr="00925361">
          <w:rPr>
            <w:rStyle w:val="Hipervnculo"/>
            <w:rFonts w:ascii="Abadi" w:hAnsi="Abadi"/>
            <w:sz w:val="16"/>
            <w:szCs w:val="16"/>
          </w:rPr>
          <w:t>/</w:t>
        </w:r>
        <w:proofErr w:type="spellStart"/>
        <w:r w:rsidR="006C5CDD" w:rsidRPr="00925361">
          <w:rPr>
            <w:rStyle w:val="Hipervnculo"/>
            <w:rFonts w:ascii="Abadi" w:hAnsi="Abadi"/>
            <w:sz w:val="16"/>
            <w:szCs w:val="16"/>
          </w:rPr>
          <w:t>uploads</w:t>
        </w:r>
        <w:proofErr w:type="spellEnd"/>
        <w:r w:rsidR="006C5CDD" w:rsidRPr="00925361">
          <w:rPr>
            <w:rStyle w:val="Hipervnculo"/>
            <w:rFonts w:ascii="Abadi" w:hAnsi="Abadi"/>
            <w:sz w:val="16"/>
            <w:szCs w:val="16"/>
          </w:rPr>
          <w:t xml:space="preserve">/2020/CPA/52.2_FIDESSEG/04%20Im </w:t>
        </w:r>
      </w:hyperlink>
      <w:hyperlink r:id="rId241">
        <w:r w:rsidRPr="00BF7772">
          <w:rPr>
            <w:rFonts w:ascii="Abadi" w:hAnsi="Abadi"/>
            <w:color w:val="0563C1"/>
            <w:sz w:val="16"/>
            <w:szCs w:val="16"/>
            <w:u w:color="0563C1"/>
          </w:rPr>
          <w:t>puestos%20FIDESSEG%2065</w:t>
        </w:r>
      </w:hyperlink>
      <w:hyperlink r:id="rId242">
        <w:r w:rsidRPr="00BF7772">
          <w:rPr>
            <w:rFonts w:ascii="Abadi" w:hAnsi="Abadi"/>
            <w:color w:val="0563C1"/>
            <w:sz w:val="16"/>
            <w:szCs w:val="16"/>
            <w:u w:color="0563C1"/>
          </w:rPr>
          <w:t>-</w:t>
        </w:r>
      </w:hyperlink>
      <w:hyperlink r:id="rId243">
        <w:r w:rsidRPr="00BF7772">
          <w:rPr>
            <w:rFonts w:ascii="Abadi" w:hAnsi="Abadi"/>
            <w:color w:val="0563C1"/>
            <w:sz w:val="16"/>
            <w:szCs w:val="16"/>
            <w:u w:color="0563C1"/>
          </w:rPr>
          <w:t>66.pdf</w:t>
        </w:r>
      </w:hyperlink>
      <w:hyperlink r:id="rId244">
        <w:r w:rsidRPr="00BF7772">
          <w:rPr>
            <w:rFonts w:ascii="Abadi" w:hAnsi="Abadi"/>
            <w:sz w:val="16"/>
            <w:szCs w:val="16"/>
          </w:rPr>
          <w:t xml:space="preserve"> </w:t>
        </w:r>
      </w:hyperlink>
      <w:r w:rsidRPr="00BF7772">
        <w:rPr>
          <w:rFonts w:ascii="Abadi" w:hAnsi="Abadi"/>
          <w:sz w:val="16"/>
          <w:szCs w:val="16"/>
        </w:rPr>
        <w:t xml:space="preserve"> </w:t>
      </w:r>
    </w:p>
  </w:footnote>
  <w:footnote w:id="92">
    <w:p w14:paraId="21DA3175" w14:textId="77777777" w:rsidR="002231ED" w:rsidRPr="00BF7772" w:rsidRDefault="002231ED" w:rsidP="003D2AD7">
      <w:pPr>
        <w:pStyle w:val="footnotedescription"/>
        <w:jc w:val="both"/>
        <w:rPr>
          <w:rFonts w:ascii="Abadi" w:hAnsi="Abadi"/>
          <w:sz w:val="16"/>
          <w:szCs w:val="16"/>
        </w:rPr>
      </w:pPr>
      <w:r w:rsidRPr="00BF7772">
        <w:rPr>
          <w:rStyle w:val="footnotemark"/>
          <w:rFonts w:ascii="Abadi" w:hAnsi="Abadi"/>
          <w:sz w:val="16"/>
          <w:szCs w:val="16"/>
        </w:rPr>
        <w:footnoteRef/>
      </w:r>
      <w:r w:rsidRPr="00BF7772">
        <w:rPr>
          <w:rFonts w:ascii="Abadi" w:hAnsi="Abadi"/>
          <w:sz w:val="16"/>
          <w:szCs w:val="16"/>
        </w:rPr>
        <w:t xml:space="preserve"> Artículo 9, Decreto gubernativo número 21, </w:t>
      </w:r>
      <w:proofErr w:type="spellStart"/>
      <w:r w:rsidRPr="00BF7772">
        <w:rPr>
          <w:rFonts w:ascii="Abadi" w:hAnsi="Abadi"/>
          <w:sz w:val="16"/>
          <w:szCs w:val="16"/>
        </w:rPr>
        <w:t>Op</w:t>
      </w:r>
      <w:proofErr w:type="spellEnd"/>
      <w:r w:rsidRPr="00BF7772">
        <w:rPr>
          <w:rFonts w:ascii="Abadi" w:hAnsi="Abadi"/>
          <w:sz w:val="16"/>
          <w:szCs w:val="16"/>
        </w:rPr>
        <w:t xml:space="preserve">. Cit.  </w:t>
      </w:r>
    </w:p>
  </w:footnote>
  <w:footnote w:id="93">
    <w:p w14:paraId="4AA818DD" w14:textId="77777777" w:rsidR="002231ED" w:rsidRPr="00BF7772" w:rsidRDefault="002231ED" w:rsidP="003D2AD7">
      <w:pPr>
        <w:pStyle w:val="footnotedescription"/>
        <w:jc w:val="both"/>
        <w:rPr>
          <w:rFonts w:ascii="Abadi" w:hAnsi="Abadi"/>
          <w:sz w:val="16"/>
          <w:szCs w:val="16"/>
        </w:rPr>
      </w:pPr>
      <w:r w:rsidRPr="00BF7772">
        <w:rPr>
          <w:rStyle w:val="footnotemark"/>
          <w:rFonts w:ascii="Abadi" w:hAnsi="Abadi"/>
          <w:sz w:val="16"/>
          <w:szCs w:val="16"/>
        </w:rPr>
        <w:footnoteRef/>
      </w:r>
      <w:r w:rsidRPr="00BF7772">
        <w:rPr>
          <w:rFonts w:ascii="Abadi" w:hAnsi="Abadi"/>
          <w:sz w:val="16"/>
          <w:szCs w:val="16"/>
        </w:rPr>
        <w:t xml:space="preserve"> Artículo 13, Decreto gubernativo 21, </w:t>
      </w:r>
      <w:proofErr w:type="spellStart"/>
      <w:r w:rsidRPr="00BF7772">
        <w:rPr>
          <w:rFonts w:ascii="Abadi" w:hAnsi="Abadi"/>
          <w:sz w:val="16"/>
          <w:szCs w:val="16"/>
        </w:rPr>
        <w:t>Op</w:t>
      </w:r>
      <w:proofErr w:type="spellEnd"/>
      <w:r w:rsidRPr="00BF7772">
        <w:rPr>
          <w:rFonts w:ascii="Abadi" w:hAnsi="Abadi"/>
          <w:sz w:val="16"/>
          <w:szCs w:val="16"/>
        </w:rPr>
        <w:t xml:space="preserve">. Cit. </w:t>
      </w:r>
    </w:p>
  </w:footnote>
  <w:footnote w:id="94">
    <w:p w14:paraId="2DCEBB71" w14:textId="77777777" w:rsidR="002231ED" w:rsidRPr="00BF7772" w:rsidRDefault="002231ED" w:rsidP="003D2AD7">
      <w:pPr>
        <w:pStyle w:val="footnotedescription"/>
        <w:jc w:val="both"/>
        <w:rPr>
          <w:sz w:val="16"/>
          <w:szCs w:val="16"/>
        </w:rPr>
      </w:pPr>
      <w:r w:rsidRPr="00BF7772">
        <w:rPr>
          <w:rStyle w:val="footnotemark"/>
          <w:sz w:val="16"/>
          <w:szCs w:val="16"/>
        </w:rPr>
        <w:footnoteRef/>
      </w:r>
      <w:r w:rsidRPr="00BF7772">
        <w:rPr>
          <w:sz w:val="16"/>
          <w:szCs w:val="16"/>
        </w:rPr>
        <w:t xml:space="preserve"> Artículo 5, Decreto gubernativo 21, </w:t>
      </w:r>
      <w:proofErr w:type="spellStart"/>
      <w:r w:rsidRPr="00BF7772">
        <w:rPr>
          <w:sz w:val="16"/>
          <w:szCs w:val="16"/>
        </w:rPr>
        <w:t>Op</w:t>
      </w:r>
      <w:proofErr w:type="spellEnd"/>
      <w:r w:rsidRPr="00BF7772">
        <w:rPr>
          <w:sz w:val="16"/>
          <w:szCs w:val="16"/>
        </w:rPr>
        <w:t xml:space="preserve">. Cit.  </w:t>
      </w:r>
    </w:p>
    <w:p w14:paraId="6EF999C4" w14:textId="77777777" w:rsidR="002231ED" w:rsidRPr="00BF7772" w:rsidRDefault="002231ED" w:rsidP="003D2AD7">
      <w:pPr>
        <w:pStyle w:val="footnotedescription"/>
        <w:jc w:val="both"/>
        <w:rPr>
          <w:sz w:val="16"/>
          <w:szCs w:val="16"/>
        </w:rPr>
      </w:pPr>
      <w:r w:rsidRPr="00BF7772">
        <w:rPr>
          <w:sz w:val="16"/>
          <w:szCs w:val="16"/>
        </w:rPr>
        <w:t xml:space="preserve">Artículo 1, Reglas de Operación del FIDESSEG.  </w:t>
      </w:r>
    </w:p>
  </w:footnote>
  <w:footnote w:id="95">
    <w:p w14:paraId="788CEB7C" w14:textId="77777777" w:rsidR="002231ED" w:rsidRPr="00BF7772" w:rsidRDefault="002231ED" w:rsidP="003D2AD7">
      <w:pPr>
        <w:pStyle w:val="footnotedescription"/>
        <w:spacing w:line="247" w:lineRule="auto"/>
        <w:jc w:val="both"/>
        <w:rPr>
          <w:sz w:val="16"/>
          <w:szCs w:val="16"/>
        </w:rPr>
      </w:pPr>
      <w:r w:rsidRPr="00BF7772">
        <w:rPr>
          <w:rStyle w:val="footnotemark"/>
          <w:sz w:val="16"/>
          <w:szCs w:val="16"/>
        </w:rPr>
        <w:footnoteRef/>
      </w:r>
      <w:r w:rsidRPr="00BF7772">
        <w:rPr>
          <w:sz w:val="16"/>
          <w:szCs w:val="16"/>
        </w:rPr>
        <w:t xml:space="preserve"> Solicitud de acceso a la información con folio 111100500150623. </w:t>
      </w:r>
      <w:r w:rsidRPr="00BF7772">
        <w:rPr>
          <w:sz w:val="16"/>
          <w:szCs w:val="16"/>
          <w:vertAlign w:val="superscript"/>
        </w:rPr>
        <w:t>7</w:t>
      </w:r>
      <w:r w:rsidRPr="00BF7772">
        <w:rPr>
          <w:sz w:val="16"/>
          <w:szCs w:val="16"/>
        </w:rPr>
        <w:t xml:space="preserve"> Ídem. </w:t>
      </w:r>
    </w:p>
  </w:footnote>
  <w:footnote w:id="96">
    <w:p w14:paraId="5132FAD8" w14:textId="77777777" w:rsidR="002231ED" w:rsidRPr="00493623" w:rsidRDefault="002231ED" w:rsidP="002231ED">
      <w:pPr>
        <w:pStyle w:val="footnotedescription"/>
        <w:spacing w:line="265" w:lineRule="auto"/>
        <w:rPr>
          <w:sz w:val="16"/>
          <w:szCs w:val="16"/>
        </w:rPr>
      </w:pPr>
      <w:r>
        <w:rPr>
          <w:rStyle w:val="footnotemark"/>
        </w:rPr>
        <w:footnoteRef/>
      </w:r>
      <w:r>
        <w:t xml:space="preserve"> </w:t>
      </w:r>
      <w:r w:rsidRPr="00493623">
        <w:rPr>
          <w:sz w:val="16"/>
          <w:szCs w:val="16"/>
        </w:rPr>
        <w:t xml:space="preserve">Respuesta a la solicitud de acceso a la información con folio 110194400026723, de fecha 16 de mayo de 2023. </w:t>
      </w:r>
    </w:p>
  </w:footnote>
  <w:footnote w:id="97">
    <w:p w14:paraId="2BCE019E" w14:textId="77777777" w:rsidR="002231ED" w:rsidRPr="00BD25EC" w:rsidRDefault="002231ED" w:rsidP="002231ED">
      <w:pPr>
        <w:pStyle w:val="footnotedescription"/>
        <w:spacing w:line="256" w:lineRule="auto"/>
        <w:jc w:val="both"/>
        <w:rPr>
          <w:rFonts w:ascii="Abadi" w:hAnsi="Abadi"/>
          <w:sz w:val="16"/>
          <w:szCs w:val="16"/>
        </w:rPr>
      </w:pPr>
      <w:r>
        <w:rPr>
          <w:rStyle w:val="footnotemark"/>
        </w:rPr>
        <w:footnoteRef/>
      </w:r>
      <w:r>
        <w:t xml:space="preserve"> </w:t>
      </w:r>
      <w:r w:rsidRPr="00BD25EC">
        <w:rPr>
          <w:rFonts w:ascii="Abadi" w:hAnsi="Abadi"/>
          <w:sz w:val="16"/>
          <w:szCs w:val="16"/>
        </w:rPr>
        <w:t xml:space="preserve">ASEG. (2023). </w:t>
      </w:r>
      <w:r w:rsidRPr="00BD25EC">
        <w:rPr>
          <w:rFonts w:ascii="Abadi" w:hAnsi="Abadi"/>
          <w:i/>
          <w:sz w:val="16"/>
          <w:szCs w:val="16"/>
        </w:rPr>
        <w:t>Informe de Revisión de Cuenta Pública del Poder Ejecutivo para el ejercicio fiscal de 2021</w:t>
      </w:r>
      <w:r w:rsidRPr="00BD25EC">
        <w:rPr>
          <w:rFonts w:ascii="Abadi" w:hAnsi="Abadi"/>
          <w:sz w:val="16"/>
          <w:szCs w:val="16"/>
        </w:rPr>
        <w:t xml:space="preserve">. ASEG: Guanajuato. </w:t>
      </w:r>
    </w:p>
  </w:footnote>
  <w:footnote w:id="98">
    <w:p w14:paraId="0AB9C6A6" w14:textId="2B794342" w:rsidR="00E72DDD" w:rsidRDefault="00E72DDD">
      <w:pPr>
        <w:pStyle w:val="Textonotapie"/>
      </w:pPr>
      <w:r>
        <w:rPr>
          <w:rStyle w:val="Refdenotaalpie"/>
        </w:rPr>
        <w:footnoteRef/>
      </w:r>
      <w:r>
        <w:t xml:space="preserve"> </w:t>
      </w:r>
      <w:hyperlink r:id="rId245" w:history="1">
        <w:r w:rsidR="00FA563B" w:rsidRPr="00FA563B">
          <w:rPr>
            <w:rStyle w:val="Hipervnculo"/>
            <w:rFonts w:ascii="Abadi" w:hAnsi="Abadi"/>
            <w:sz w:val="16"/>
            <w:szCs w:val="16"/>
          </w:rPr>
          <w:t>https://congreso-gto.s3.amazonaws.com/uploads/orden_archivo/archivo/29949/19_Informe_conceptos_gral_edos_financieros_de_los_recursos_presup_mayo_2023.pdf</w:t>
        </w:r>
      </w:hyperlink>
    </w:p>
  </w:footnote>
  <w:footnote w:id="99">
    <w:p w14:paraId="41E36450" w14:textId="638FC186" w:rsidR="00A96C7E" w:rsidRPr="009346B9" w:rsidRDefault="00A96C7E">
      <w:pPr>
        <w:pStyle w:val="Textonotapie"/>
        <w:rPr>
          <w:rFonts w:ascii="Abadi" w:hAnsi="Abadi"/>
          <w:sz w:val="16"/>
          <w:szCs w:val="16"/>
        </w:rPr>
      </w:pPr>
      <w:r>
        <w:rPr>
          <w:rStyle w:val="Refdenotaalpie"/>
        </w:rPr>
        <w:footnoteRef/>
      </w:r>
      <w:r>
        <w:t xml:space="preserve"> </w:t>
      </w:r>
      <w:hyperlink r:id="rId246" w:history="1">
        <w:r w:rsidR="009346B9" w:rsidRPr="00FD1D52">
          <w:rPr>
            <w:rStyle w:val="Hipervnculo"/>
            <w:rFonts w:ascii="Abadi" w:hAnsi="Abadi"/>
            <w:sz w:val="16"/>
            <w:szCs w:val="16"/>
          </w:rPr>
          <w:t>https://congreso-gto.s3.amazonaws.com/uploads/orden_archivo/archivo/29948/18_Inf_conceptos_grales_y_transferencias_abril_2023.pdf</w:t>
        </w:r>
      </w:hyperlink>
    </w:p>
  </w:footnote>
  <w:footnote w:id="100">
    <w:p w14:paraId="1523397A" w14:textId="3EB4E124" w:rsidR="00CD47A5" w:rsidRDefault="00CD47A5">
      <w:pPr>
        <w:pStyle w:val="Textonotapie"/>
      </w:pPr>
      <w:r>
        <w:rPr>
          <w:rStyle w:val="Refdenotaalpie"/>
        </w:rPr>
        <w:footnoteRef/>
      </w:r>
      <w:r>
        <w:t xml:space="preserve"> </w:t>
      </w:r>
      <w:hyperlink r:id="rId247" w:history="1">
        <w:r w:rsidR="00490821" w:rsidRPr="003E54E0">
          <w:rPr>
            <w:rStyle w:val="Hipervnculo"/>
            <w:rFonts w:ascii="Abadi" w:hAnsi="Abadi"/>
            <w:sz w:val="16"/>
            <w:szCs w:val="16"/>
          </w:rPr>
          <w:t>https://congreso-gto.s3.amazonaws.com/uploads/orden_archivo/archivo/29949/19_Informe_conceptos_gral_edos_financieros_de_los_recursos_presup_mayo_2023.pdf</w:t>
        </w:r>
      </w:hyperlink>
    </w:p>
  </w:footnote>
  <w:footnote w:id="101">
    <w:p w14:paraId="532D4228" w14:textId="2185F56E" w:rsidR="00C96D50" w:rsidRDefault="00C96D50">
      <w:pPr>
        <w:pStyle w:val="Textonotapie"/>
      </w:pPr>
      <w:r>
        <w:rPr>
          <w:rStyle w:val="Refdenotaalpie"/>
        </w:rPr>
        <w:footnoteRef/>
      </w:r>
      <w:r>
        <w:t xml:space="preserve"> </w:t>
      </w:r>
      <w:hyperlink r:id="rId248" w:history="1">
        <w:r w:rsidR="00131613" w:rsidRPr="00947793">
          <w:rPr>
            <w:rStyle w:val="Hipervnculo"/>
            <w:rFonts w:ascii="Abadi" w:hAnsi="Abadi"/>
            <w:sz w:val="16"/>
            <w:szCs w:val="16"/>
          </w:rPr>
          <w:t>https://congreso-gto.s3.amazonaws.com/uploads/orden_archivo/archivo/29950/20_Dictamen_ELD_263_LXV-PPA_130623_firmado.pdf</w:t>
        </w:r>
      </w:hyperlink>
    </w:p>
  </w:footnote>
  <w:footnote w:id="102">
    <w:p w14:paraId="3B839473" w14:textId="77777777" w:rsidR="00067240" w:rsidRPr="009C74C9" w:rsidRDefault="00067240" w:rsidP="00067240">
      <w:pPr>
        <w:widowControl w:val="0"/>
        <w:autoSpaceDE w:val="0"/>
        <w:autoSpaceDN w:val="0"/>
        <w:adjustRightInd w:val="0"/>
        <w:jc w:val="both"/>
        <w:rPr>
          <w:rFonts w:ascii="Abadi" w:hAnsi="Abadi"/>
          <w:i/>
          <w:iCs/>
          <w:sz w:val="16"/>
          <w:szCs w:val="16"/>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9C74C9">
        <w:rPr>
          <w:rFonts w:ascii="Abadi" w:eastAsiaTheme="minorHAnsi" w:hAnsi="Abadi"/>
          <w:i/>
          <w:iCs/>
          <w:color w:val="000000"/>
          <w:sz w:val="16"/>
          <w:szCs w:val="16"/>
          <w:lang w:val="es-MX"/>
          <w14:ligatures w14:val="standardContextual"/>
        </w:rPr>
        <w:t xml:space="preserve">Constitución Política de los Estados Unidos Mexicanos, Obtenida de: </w:t>
      </w:r>
      <w:hyperlink r:id="rId249" w:history="1">
        <w:r w:rsidRPr="009C74C9">
          <w:rPr>
            <w:rStyle w:val="Hipervnculo"/>
            <w:rFonts w:ascii="Abadi" w:eastAsiaTheme="minorHAnsi" w:hAnsi="Abadi"/>
            <w:i/>
            <w:iCs/>
            <w:sz w:val="16"/>
            <w:szCs w:val="16"/>
            <w:lang w:val="es-MX"/>
            <w14:ligatures w14:val="standardContextual"/>
          </w:rPr>
          <w:t>https://www.diputados.gob.mx/LeyesBiblio/ref/cpeum.htm</w:t>
        </w:r>
      </w:hyperlink>
    </w:p>
  </w:footnote>
  <w:footnote w:id="103">
    <w:p w14:paraId="41E2D07A" w14:textId="77777777" w:rsidR="00067240" w:rsidRPr="00376FA9" w:rsidRDefault="00067240" w:rsidP="00067240">
      <w:pPr>
        <w:widowControl w:val="0"/>
        <w:autoSpaceDE w:val="0"/>
        <w:autoSpaceDN w:val="0"/>
        <w:adjustRightInd w:val="0"/>
        <w:jc w:val="both"/>
        <w:rPr>
          <w:rFonts w:ascii="Verdana" w:hAnsi="Verdana"/>
          <w:i/>
          <w:iCs/>
          <w:sz w:val="14"/>
          <w:szCs w:val="14"/>
          <w:lang w:val="es-MX"/>
        </w:rPr>
      </w:pPr>
      <w:r w:rsidRPr="009C74C9">
        <w:rPr>
          <w:rStyle w:val="Refdenotaalpie"/>
          <w:rFonts w:ascii="Abadi" w:hAnsi="Abadi"/>
          <w:i/>
          <w:iCs/>
          <w:sz w:val="16"/>
          <w:szCs w:val="16"/>
        </w:rPr>
        <w:footnoteRef/>
      </w:r>
      <w:r w:rsidRPr="009C74C9">
        <w:rPr>
          <w:rFonts w:ascii="Abadi" w:hAnsi="Abadi"/>
          <w:i/>
          <w:iCs/>
          <w:sz w:val="16"/>
          <w:szCs w:val="16"/>
          <w:lang w:val="es-MX"/>
        </w:rPr>
        <w:t xml:space="preserve"> </w:t>
      </w:r>
      <w:r w:rsidRPr="009C74C9">
        <w:rPr>
          <w:rFonts w:ascii="Abadi" w:eastAsiaTheme="minorHAnsi" w:hAnsi="Abadi"/>
          <w:i/>
          <w:iCs/>
          <w:color w:val="000000"/>
          <w:sz w:val="16"/>
          <w:szCs w:val="16"/>
          <w:lang w:val="es-MX"/>
          <w14:ligatures w14:val="standardContextual"/>
        </w:rPr>
        <w:t xml:space="preserve">Ley Federal de Derechos, Título Primero, Capítulo XIII, Sección Segunda Servicios Relacionados con el Agua y sus Bienes Inherentes, obtenido de: </w:t>
      </w:r>
      <w:hyperlink r:id="rId250" w:history="1">
        <w:r w:rsidRPr="009C74C9">
          <w:rPr>
            <w:rStyle w:val="Hipervnculo"/>
            <w:rFonts w:ascii="Abadi" w:eastAsiaTheme="minorHAnsi" w:hAnsi="Abadi"/>
            <w:i/>
            <w:iCs/>
            <w:sz w:val="16"/>
            <w:szCs w:val="16"/>
            <w:lang w:val="es-MX"/>
            <w14:ligatures w14:val="standardContextual"/>
          </w:rPr>
          <w:t>https://www.diputados.gob.mx/LeyesBiblio/ref/lfd.htm</w:t>
        </w:r>
      </w:hyperlink>
    </w:p>
  </w:footnote>
  <w:footnote w:id="104">
    <w:p w14:paraId="3564A3D9" w14:textId="77777777" w:rsidR="00067240" w:rsidRPr="009C74C9" w:rsidRDefault="00067240" w:rsidP="00067240">
      <w:pPr>
        <w:widowControl w:val="0"/>
        <w:autoSpaceDE w:val="0"/>
        <w:autoSpaceDN w:val="0"/>
        <w:adjustRightInd w:val="0"/>
        <w:jc w:val="both"/>
        <w:rPr>
          <w:rFonts w:ascii="Abadi" w:hAnsi="Abadi"/>
          <w:i/>
          <w:iCs/>
          <w:sz w:val="16"/>
          <w:szCs w:val="16"/>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9C74C9">
        <w:rPr>
          <w:rFonts w:ascii="Abadi" w:eastAsiaTheme="minorHAnsi" w:hAnsi="Abadi"/>
          <w:i/>
          <w:iCs/>
          <w:color w:val="000000"/>
          <w:sz w:val="16"/>
          <w:szCs w:val="16"/>
          <w:lang w:val="es-MX"/>
          <w14:ligatures w14:val="standardContextual"/>
        </w:rPr>
        <w:t xml:space="preserve">Decreto por el que se Declara reformado el párrafo quinto y se adiciona un párrafo sexto recorriéndose en su orden los subsecuentes, al artículo 4o. de la Constitución Política de los Estados Unidos Mexicanos (2012), Diario Oficial de la Federación obtenido de: </w:t>
      </w:r>
      <w:hyperlink r:id="rId251" w:anchor="gsc.tab=0" w:history="1">
        <w:r w:rsidRPr="009C74C9">
          <w:rPr>
            <w:rStyle w:val="Hipervnculo"/>
            <w:rFonts w:ascii="Abadi" w:eastAsiaTheme="minorHAnsi" w:hAnsi="Abadi"/>
            <w:i/>
            <w:iCs/>
            <w:sz w:val="16"/>
            <w:szCs w:val="16"/>
            <w:lang w:val="es-MX"/>
            <w14:ligatures w14:val="standardContextual"/>
          </w:rPr>
          <w:t>https://dof.gob.mx/nota_detalle.php?codigo=5232952&amp;fecha=08/02/2012#gsc.tab=0</w:t>
        </w:r>
      </w:hyperlink>
    </w:p>
  </w:footnote>
  <w:footnote w:id="105">
    <w:p w14:paraId="70EE9944" w14:textId="77777777" w:rsidR="00067240" w:rsidRPr="009C74C9" w:rsidRDefault="00067240" w:rsidP="00067240">
      <w:pPr>
        <w:widowControl w:val="0"/>
        <w:autoSpaceDE w:val="0"/>
        <w:autoSpaceDN w:val="0"/>
        <w:adjustRightInd w:val="0"/>
        <w:jc w:val="both"/>
        <w:rPr>
          <w:rFonts w:ascii="Abadi" w:hAnsi="Abadi"/>
          <w:i/>
          <w:iCs/>
          <w:sz w:val="16"/>
          <w:szCs w:val="16"/>
          <w:lang w:val="es-MX"/>
        </w:rPr>
      </w:pPr>
      <w:r w:rsidRPr="009C74C9">
        <w:rPr>
          <w:rStyle w:val="Refdenotaalpie"/>
          <w:rFonts w:ascii="Abadi" w:hAnsi="Abadi"/>
          <w:i/>
          <w:iCs/>
          <w:sz w:val="16"/>
          <w:szCs w:val="16"/>
        </w:rPr>
        <w:footnoteRef/>
      </w:r>
      <w:r w:rsidRPr="009C74C9">
        <w:rPr>
          <w:rFonts w:ascii="Abadi" w:hAnsi="Abadi"/>
          <w:i/>
          <w:iCs/>
          <w:sz w:val="16"/>
          <w:szCs w:val="16"/>
          <w:lang w:val="es-MX"/>
        </w:rPr>
        <w:t xml:space="preserve"> D</w:t>
      </w:r>
      <w:r w:rsidRPr="009C74C9">
        <w:rPr>
          <w:rFonts w:ascii="Abadi" w:eastAsiaTheme="minorHAnsi" w:hAnsi="Abadi"/>
          <w:i/>
          <w:iCs/>
          <w:color w:val="000000"/>
          <w:sz w:val="16"/>
          <w:szCs w:val="16"/>
          <w:lang w:val="es-MX"/>
          <w14:ligatures w14:val="standardContextual"/>
        </w:rPr>
        <w:t xml:space="preserve">iario Oficial de la Federación (2022), Suprema Corte de Justicia de la Nación, SENTENCIA dictada por el Tribunal Pleno de la Suprema Corte de Justicia de la Nación en la Controversia Constitucional 56/2020, así como los Votos Concurrente de la señora Ministra Loretta Ortiz </w:t>
      </w:r>
      <w:proofErr w:type="spellStart"/>
      <w:r w:rsidRPr="009C74C9">
        <w:rPr>
          <w:rFonts w:ascii="Abadi" w:eastAsiaTheme="minorHAnsi" w:hAnsi="Abadi"/>
          <w:i/>
          <w:iCs/>
          <w:color w:val="000000"/>
          <w:sz w:val="16"/>
          <w:szCs w:val="16"/>
          <w:lang w:val="es-MX"/>
          <w14:ligatures w14:val="standardContextual"/>
        </w:rPr>
        <w:t>Ahlf</w:t>
      </w:r>
      <w:proofErr w:type="spellEnd"/>
      <w:r w:rsidRPr="009C74C9">
        <w:rPr>
          <w:rFonts w:ascii="Abadi" w:eastAsiaTheme="minorHAnsi" w:hAnsi="Abadi"/>
          <w:i/>
          <w:iCs/>
          <w:color w:val="000000"/>
          <w:sz w:val="16"/>
          <w:szCs w:val="16"/>
          <w:lang w:val="es-MX"/>
          <w14:ligatures w14:val="standardContextual"/>
        </w:rPr>
        <w:t xml:space="preserve"> y del señor Ministro Javier Laynez Potisek, Concurrente del señor Ministro Presidente Arturo Zaldívar Lelo de Larrea y Particulares de los señores Ministros Juan Luis González Alcántara Carrancá y Presidente Arturo Zaldívar Lelo de Larrea, Diario Oficial de la Federación obtenida de: </w:t>
      </w:r>
      <w:hyperlink r:id="rId252" w:anchor="gsc.tab=0" w:history="1">
        <w:r w:rsidRPr="009C74C9">
          <w:rPr>
            <w:rStyle w:val="Hipervnculo"/>
            <w:rFonts w:ascii="Abadi" w:eastAsiaTheme="minorHAnsi" w:hAnsi="Abadi"/>
            <w:i/>
            <w:iCs/>
            <w:sz w:val="16"/>
            <w:szCs w:val="16"/>
            <w:lang w:val="es-MX"/>
            <w14:ligatures w14:val="standardContextual"/>
          </w:rPr>
          <w:t>https://www.dof.gob.mx/nota_detalle.php?codigo=5652868&amp;fecha=23/05/2022#gsc.tab=0</w:t>
        </w:r>
      </w:hyperlink>
    </w:p>
  </w:footnote>
  <w:footnote w:id="106">
    <w:p w14:paraId="0C7AB2F4" w14:textId="77777777" w:rsidR="00067240" w:rsidRPr="009C74C9" w:rsidRDefault="00067240" w:rsidP="00067240">
      <w:pPr>
        <w:widowControl w:val="0"/>
        <w:autoSpaceDE w:val="0"/>
        <w:autoSpaceDN w:val="0"/>
        <w:adjustRightInd w:val="0"/>
        <w:jc w:val="both"/>
        <w:rPr>
          <w:rFonts w:ascii="Abadi" w:hAnsi="Abadi"/>
          <w:i/>
          <w:iCs/>
          <w:sz w:val="16"/>
          <w:szCs w:val="16"/>
          <w:lang w:val="es-MX"/>
        </w:rPr>
      </w:pPr>
      <w:r w:rsidRPr="009C74C9">
        <w:rPr>
          <w:rStyle w:val="Refdenotaalpie"/>
          <w:rFonts w:ascii="Abadi" w:hAnsi="Abadi"/>
          <w:i/>
          <w:iCs/>
          <w:sz w:val="16"/>
          <w:szCs w:val="16"/>
        </w:rPr>
        <w:footnoteRef/>
      </w:r>
      <w:r w:rsidRPr="009C74C9">
        <w:rPr>
          <w:rFonts w:ascii="Abadi" w:hAnsi="Abadi"/>
          <w:i/>
          <w:iCs/>
          <w:sz w:val="16"/>
          <w:szCs w:val="16"/>
          <w:lang w:val="es-MX"/>
        </w:rPr>
        <w:t xml:space="preserve"> </w:t>
      </w:r>
      <w:r w:rsidRPr="009C74C9">
        <w:rPr>
          <w:rFonts w:ascii="Abadi" w:eastAsiaTheme="minorHAnsi" w:hAnsi="Abadi"/>
          <w:i/>
          <w:iCs/>
          <w:color w:val="000000"/>
          <w:sz w:val="16"/>
          <w:szCs w:val="16"/>
          <w:lang w:val="es-MX"/>
          <w14:ligatures w14:val="standardContextual"/>
        </w:rPr>
        <w:t xml:space="preserve">Suprema Corte de Justicia de la Nación (2022), Comunicado de Prensa No. 026/2022 A SCJN CONCLUYE EL ESTUDIO DE LAS CONTROVERSIAS CONSTITUCIONALES RELACIONADAS CON LA OMISIÓN DEL CONGRESO DE LA UNIÓN DE EXPEDIR LA LEY GENERAL DE AGUAS, ASÍ COMO CON LAS ÓRDENES DE DISPONER DEL AGUA DE LAS PRESAS </w:t>
      </w:r>
      <w:r w:rsidRPr="009C74C9">
        <w:rPr>
          <w:rFonts w:ascii="Abadi" w:eastAsiaTheme="minorHAnsi" w:hAnsi="Abadi" w:cs="TimesNewRomanPSMT"/>
          <w:i/>
          <w:iCs/>
          <w:color w:val="000000"/>
          <w:sz w:val="16"/>
          <w:szCs w:val="16"/>
          <w:lang w:val="es-MX"/>
          <w14:ligatures w14:val="standardContextual"/>
        </w:rPr>
        <w:t xml:space="preserve">“LA BOQUILLA” </w:t>
      </w:r>
      <w:r w:rsidRPr="009C74C9">
        <w:rPr>
          <w:rFonts w:ascii="Abadi" w:eastAsiaTheme="minorHAnsi" w:hAnsi="Abadi"/>
          <w:i/>
          <w:iCs/>
          <w:color w:val="000000"/>
          <w:sz w:val="16"/>
          <w:szCs w:val="16"/>
          <w:lang w:val="es-MX"/>
          <w14:ligatures w14:val="standardContextual"/>
        </w:rPr>
        <w:t xml:space="preserve">Y </w:t>
      </w:r>
      <w:r w:rsidRPr="009C74C9">
        <w:rPr>
          <w:rFonts w:ascii="Abadi" w:eastAsiaTheme="minorHAnsi" w:hAnsi="Abadi" w:cs="TimesNewRomanPSMT"/>
          <w:i/>
          <w:iCs/>
          <w:color w:val="000000"/>
          <w:sz w:val="16"/>
          <w:szCs w:val="16"/>
          <w:lang w:val="es-MX"/>
          <w14:ligatures w14:val="standardContextual"/>
        </w:rPr>
        <w:t xml:space="preserve">“EL GRANERO” </w:t>
      </w:r>
      <w:r w:rsidRPr="009C74C9">
        <w:rPr>
          <w:rFonts w:ascii="Abadi" w:eastAsiaTheme="minorHAnsi" w:hAnsi="Abadi"/>
          <w:i/>
          <w:iCs/>
          <w:color w:val="000000"/>
          <w:sz w:val="16"/>
          <w:szCs w:val="16"/>
          <w:lang w:val="es-MX"/>
          <w14:ligatures w14:val="standardContextual"/>
        </w:rPr>
        <w:t xml:space="preserve">PARA CUMPLIR UN TRATADO INTERNACIONAL, obtenido de: </w:t>
      </w:r>
      <w:hyperlink r:id="rId253" w:history="1">
        <w:r w:rsidRPr="009C74C9">
          <w:rPr>
            <w:rStyle w:val="Hipervnculo"/>
            <w:rFonts w:ascii="Abadi" w:eastAsiaTheme="minorHAnsi" w:hAnsi="Abadi"/>
            <w:i/>
            <w:iCs/>
            <w:sz w:val="16"/>
            <w:szCs w:val="16"/>
            <w:lang w:val="es-MX"/>
            <w14:ligatures w14:val="standardContextual"/>
          </w:rPr>
          <w:t>https://www.internet2.scjn.gob.mx/red2/comunicados/noticia.asp?id=6746</w:t>
        </w:r>
      </w:hyperlink>
    </w:p>
  </w:footnote>
  <w:footnote w:id="107">
    <w:p w14:paraId="5A2FE7D2" w14:textId="77777777" w:rsidR="00067240" w:rsidRPr="00376FA9" w:rsidRDefault="00067240" w:rsidP="00067240">
      <w:pPr>
        <w:widowControl w:val="0"/>
        <w:autoSpaceDE w:val="0"/>
        <w:autoSpaceDN w:val="0"/>
        <w:adjustRightInd w:val="0"/>
        <w:jc w:val="both"/>
        <w:rPr>
          <w:rFonts w:ascii="Verdana" w:hAnsi="Verdana"/>
          <w:i/>
          <w:iCs/>
          <w:sz w:val="14"/>
          <w:szCs w:val="14"/>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376FA9">
        <w:rPr>
          <w:rFonts w:ascii="Verdana" w:eastAsiaTheme="minorHAnsi" w:hAnsi="Verdana"/>
          <w:i/>
          <w:iCs/>
          <w:color w:val="000000"/>
          <w:sz w:val="14"/>
          <w:szCs w:val="14"/>
          <w:lang w:val="es-MX"/>
          <w14:ligatures w14:val="standardContextual"/>
        </w:rPr>
        <w:t xml:space="preserve">Cámara de Diputados LXIII Legislatura (2013), El Agua: Derecho Humano y Fundamental en México. Obtenido de: </w:t>
      </w:r>
      <w:hyperlink r:id="rId254" w:history="1">
        <w:r w:rsidRPr="00376FA9">
          <w:rPr>
            <w:rStyle w:val="Hipervnculo"/>
            <w:rFonts w:ascii="Verdana" w:eastAsiaTheme="minorHAnsi" w:hAnsi="Verdana"/>
            <w:i/>
            <w:iCs/>
            <w:sz w:val="14"/>
            <w:szCs w:val="14"/>
            <w:lang w:val="es-MX"/>
            <w14:ligatures w14:val="standardContextual"/>
          </w:rPr>
          <w:t>http://www3.diputados.gob.mx/camara/001_diputados/012_comisioneslxii/01_ordinarias/042_recursos_hidraulicos/12_foros_consultas_y_eventos_realizados</w:t>
        </w:r>
      </w:hyperlink>
    </w:p>
  </w:footnote>
  <w:footnote w:id="108">
    <w:p w14:paraId="7ADD516E" w14:textId="77777777" w:rsidR="00067240" w:rsidRPr="00376FA9" w:rsidRDefault="00067240" w:rsidP="00067240">
      <w:pPr>
        <w:widowControl w:val="0"/>
        <w:autoSpaceDE w:val="0"/>
        <w:autoSpaceDN w:val="0"/>
        <w:adjustRightInd w:val="0"/>
        <w:jc w:val="both"/>
        <w:rPr>
          <w:rFonts w:ascii="Verdana" w:hAnsi="Verdana"/>
          <w:i/>
          <w:iCs/>
          <w:sz w:val="14"/>
          <w:szCs w:val="14"/>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376FA9">
        <w:rPr>
          <w:rFonts w:ascii="Verdana" w:eastAsiaTheme="minorHAnsi" w:hAnsi="Verdana"/>
          <w:i/>
          <w:iCs/>
          <w:color w:val="000000"/>
          <w:sz w:val="14"/>
          <w:szCs w:val="14"/>
          <w:lang w:val="es-MX"/>
          <w14:ligatures w14:val="standardContextual"/>
        </w:rPr>
        <w:t xml:space="preserve">Banco de México (2022), Sequía en México y su Potencial Impacto en la Actividad Económica. Obtenido de: </w:t>
      </w:r>
      <w:hyperlink r:id="rId255" w:history="1">
        <w:r w:rsidRPr="00376FA9">
          <w:rPr>
            <w:rStyle w:val="Hipervnculo"/>
            <w:rFonts w:ascii="Verdana" w:eastAsiaTheme="minorHAnsi" w:hAnsi="Verdana"/>
            <w:i/>
            <w:iCs/>
            <w:sz w:val="14"/>
            <w:szCs w:val="14"/>
            <w:lang w:val="es-MX"/>
            <w14:ligatures w14:val="standardContextual"/>
          </w:rPr>
          <w:t>https://www.banxico.org.mx/publicaciones-y-prensa/informes-trimestrales/recuadros/%7B3A0127A1-D0C9-7D61-C9AE-E57E127FB39B%7D.pdf</w:t>
        </w:r>
      </w:hyperlink>
    </w:p>
  </w:footnote>
  <w:footnote w:id="109">
    <w:p w14:paraId="1789E99E" w14:textId="77777777" w:rsidR="00067240" w:rsidRPr="00376FA9" w:rsidRDefault="00067240" w:rsidP="00067240">
      <w:pPr>
        <w:widowControl w:val="0"/>
        <w:autoSpaceDE w:val="0"/>
        <w:autoSpaceDN w:val="0"/>
        <w:adjustRightInd w:val="0"/>
        <w:jc w:val="both"/>
        <w:rPr>
          <w:rFonts w:ascii="Verdana" w:hAnsi="Verdana"/>
          <w:i/>
          <w:iCs/>
          <w:sz w:val="14"/>
          <w:szCs w:val="14"/>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376FA9">
        <w:rPr>
          <w:rFonts w:ascii="Verdana" w:eastAsiaTheme="minorHAnsi" w:hAnsi="Verdana"/>
          <w:i/>
          <w:iCs/>
          <w:color w:val="000000"/>
          <w:sz w:val="14"/>
          <w:szCs w:val="14"/>
          <w:lang w:val="es-MX"/>
          <w14:ligatures w14:val="standardContextual"/>
        </w:rPr>
        <w:t xml:space="preserve">Servicio Meteorológico Nacional. (2023), Monitor de Sequía de América del Norte, obtenido de: </w:t>
      </w:r>
      <w:hyperlink r:id="rId256" w:history="1">
        <w:r w:rsidRPr="00376FA9">
          <w:rPr>
            <w:rStyle w:val="Hipervnculo"/>
            <w:rFonts w:ascii="Verdana" w:eastAsiaTheme="minorHAnsi" w:hAnsi="Verdana"/>
            <w:i/>
            <w:iCs/>
            <w:sz w:val="14"/>
            <w:szCs w:val="14"/>
            <w:lang w:val="es-MX"/>
            <w14:ligatures w14:val="standardContextual"/>
          </w:rPr>
          <w:t>https://smn.conagua.gob.mx/es/climatologia/monitor-de-sequia/monitor-de-sequia-de-america-del-norte</w:t>
        </w:r>
      </w:hyperlink>
    </w:p>
  </w:footnote>
  <w:footnote w:id="110">
    <w:p w14:paraId="20D4013B" w14:textId="77777777" w:rsidR="00067240" w:rsidRPr="00376FA9" w:rsidRDefault="00067240" w:rsidP="00067240">
      <w:pPr>
        <w:widowControl w:val="0"/>
        <w:autoSpaceDE w:val="0"/>
        <w:autoSpaceDN w:val="0"/>
        <w:adjustRightInd w:val="0"/>
        <w:jc w:val="both"/>
        <w:rPr>
          <w:rFonts w:ascii="Verdana" w:hAnsi="Verdana"/>
          <w:i/>
          <w:iCs/>
          <w:sz w:val="14"/>
          <w:szCs w:val="14"/>
          <w:lang w:val="es-MX"/>
        </w:rPr>
      </w:pPr>
      <w:r w:rsidRPr="00376FA9">
        <w:rPr>
          <w:rStyle w:val="Refdenotaalpie"/>
          <w:rFonts w:ascii="Verdana" w:hAnsi="Verdana"/>
          <w:i/>
          <w:iCs/>
          <w:sz w:val="14"/>
          <w:szCs w:val="14"/>
        </w:rPr>
        <w:footnoteRef/>
      </w:r>
      <w:r w:rsidRPr="00376FA9">
        <w:rPr>
          <w:rFonts w:ascii="Verdana" w:hAnsi="Verdana"/>
          <w:i/>
          <w:iCs/>
          <w:sz w:val="14"/>
          <w:szCs w:val="14"/>
          <w:lang w:val="es-MX"/>
        </w:rPr>
        <w:t xml:space="preserve"> </w:t>
      </w:r>
      <w:r w:rsidRPr="00376FA9">
        <w:rPr>
          <w:rFonts w:ascii="Verdana" w:eastAsiaTheme="minorHAnsi" w:hAnsi="Verdana"/>
          <w:i/>
          <w:iCs/>
          <w:color w:val="000000"/>
          <w:sz w:val="14"/>
          <w:szCs w:val="14"/>
          <w:lang w:val="es-MX"/>
          <w14:ligatures w14:val="standardContextual"/>
        </w:rPr>
        <w:t xml:space="preserve">Servicio Meteorológico Nacional. (2023), Monitor de Sequía de México al 31 de marzo de 2023, obtenido de: </w:t>
      </w:r>
      <w:hyperlink r:id="rId257" w:history="1">
        <w:r w:rsidRPr="00376FA9">
          <w:rPr>
            <w:rStyle w:val="Hipervnculo"/>
            <w:rFonts w:ascii="Verdana" w:eastAsiaTheme="minorHAnsi" w:hAnsi="Verdana"/>
            <w:i/>
            <w:iCs/>
            <w:sz w:val="14"/>
            <w:szCs w:val="14"/>
            <w:lang w:val="es-MX"/>
            <w14:ligatures w14:val="standardContextual"/>
          </w:rPr>
          <w:t>https://smn.conagua.gob.mx/es/climatologia/monitor-de-sequia/monitor-de-sequia-en-mexico</w:t>
        </w:r>
      </w:hyperlink>
    </w:p>
  </w:footnote>
  <w:footnote w:id="111">
    <w:p w14:paraId="003FFC12" w14:textId="77777777" w:rsidR="00067240" w:rsidRPr="00376FA9" w:rsidRDefault="00067240" w:rsidP="00067240">
      <w:pPr>
        <w:pStyle w:val="Textonotapie"/>
        <w:jc w:val="both"/>
        <w:rPr>
          <w:rFonts w:ascii="Verdana" w:hAnsi="Verdana"/>
          <w:i/>
          <w:iCs/>
          <w:sz w:val="14"/>
          <w:szCs w:val="14"/>
        </w:rPr>
      </w:pPr>
      <w:r w:rsidRPr="00376FA9">
        <w:rPr>
          <w:rStyle w:val="Refdenotaalpie"/>
          <w:rFonts w:ascii="Verdana" w:hAnsi="Verdana"/>
          <w:i/>
          <w:iCs/>
          <w:sz w:val="14"/>
          <w:szCs w:val="14"/>
        </w:rPr>
        <w:footnoteRef/>
      </w:r>
      <w:r w:rsidRPr="00376FA9">
        <w:rPr>
          <w:rFonts w:ascii="Verdana" w:hAnsi="Verdana"/>
          <w:i/>
          <w:iCs/>
          <w:sz w:val="14"/>
          <w:szCs w:val="14"/>
        </w:rPr>
        <w:t xml:space="preserve"> </w:t>
      </w:r>
      <w:r w:rsidRPr="00376FA9">
        <w:rPr>
          <w:rFonts w:ascii="Verdana" w:hAnsi="Verdana" w:cs="Arial"/>
          <w:i/>
          <w:iCs/>
          <w:sz w:val="14"/>
          <w:szCs w:val="14"/>
          <w:shd w:val="clear" w:color="auto" w:fill="FFFFFF"/>
        </w:rPr>
        <w:t xml:space="preserve">Gaceta Parlamentaria, año XIV, número 3249-III, miércoles 27 de abril de 2011. Consultable en: </w:t>
      </w:r>
      <w:hyperlink r:id="rId258" w:history="1">
        <w:r w:rsidRPr="00376FA9">
          <w:rPr>
            <w:rStyle w:val="Hipervnculo"/>
            <w:rFonts w:ascii="Verdana" w:hAnsi="Verdana" w:cs="Arial"/>
            <w:i/>
            <w:iCs/>
            <w:sz w:val="14"/>
            <w:szCs w:val="14"/>
            <w:shd w:val="clear" w:color="auto" w:fill="FFFFFF"/>
          </w:rPr>
          <w:t>http://gaceta.diputados.gob.mx/Gaceta/61/2011/abr/20110427-III.html</w:t>
        </w:r>
      </w:hyperlink>
    </w:p>
  </w:footnote>
  <w:footnote w:id="112">
    <w:p w14:paraId="43A314F9" w14:textId="47DDFD5E" w:rsidR="00BC7C94" w:rsidRDefault="00BC7C94">
      <w:pPr>
        <w:pStyle w:val="Textonotapie"/>
      </w:pPr>
      <w:r>
        <w:rPr>
          <w:rStyle w:val="Refdenotaalpie"/>
        </w:rPr>
        <w:footnoteRef/>
      </w:r>
      <w:r>
        <w:t xml:space="preserve"> </w:t>
      </w:r>
      <w:hyperlink r:id="rId259" w:history="1">
        <w:r w:rsidR="00436D74" w:rsidRPr="002711C6">
          <w:rPr>
            <w:rStyle w:val="Hipervnculo"/>
            <w:rFonts w:ascii="Abadi" w:hAnsi="Abadi"/>
            <w:sz w:val="16"/>
            <w:szCs w:val="16"/>
          </w:rPr>
          <w:t>https://congreso-gto.s3.amazonaws.com/uploads/orden_archivo/archivo/29951/21_Dictamen_Exhorto_Municipios_y_PC_seguridad_en_eventos_con_aeronaves.pdf</w:t>
        </w:r>
      </w:hyperlink>
    </w:p>
  </w:footnote>
  <w:footnote w:id="113">
    <w:p w14:paraId="5AD6B607" w14:textId="16D3C243" w:rsidR="004F530E" w:rsidRDefault="004F530E">
      <w:pPr>
        <w:pStyle w:val="Textonotapie"/>
      </w:pPr>
      <w:r>
        <w:rPr>
          <w:rStyle w:val="Refdenotaalpie"/>
        </w:rPr>
        <w:footnoteRef/>
      </w:r>
      <w:r>
        <w:t xml:space="preserve"> </w:t>
      </w:r>
      <w:hyperlink r:id="rId260" w:history="1">
        <w:r w:rsidR="005E1044" w:rsidRPr="005E1044">
          <w:rPr>
            <w:rStyle w:val="Hipervnculo"/>
            <w:rFonts w:ascii="Abadi" w:hAnsi="Abadi"/>
            <w:sz w:val="16"/>
            <w:szCs w:val="16"/>
          </w:rPr>
          <w:t>https://congreso-gto.s3.amazonaws.com/uploads/orden_archivo/archivo/29952/22_Dictamen_positivo_CPEGTO_suspension_derechos_19062023_VB.pdf</w:t>
        </w:r>
      </w:hyperlink>
    </w:p>
  </w:footnote>
  <w:footnote w:id="114">
    <w:p w14:paraId="77278F68" w14:textId="77777777" w:rsidR="00427BD6" w:rsidRPr="00AE265B" w:rsidRDefault="00427BD6" w:rsidP="00427BD6">
      <w:pPr>
        <w:pStyle w:val="Textonotapie"/>
        <w:jc w:val="both"/>
        <w:rPr>
          <w:rFonts w:ascii="Abadi" w:hAnsi="Abadi"/>
          <w:sz w:val="16"/>
          <w:szCs w:val="16"/>
        </w:rPr>
      </w:pPr>
      <w:r w:rsidRPr="006B243F">
        <w:rPr>
          <w:rStyle w:val="Refdenotaalpie"/>
          <w:rFonts w:eastAsia="Calibri"/>
          <w:sz w:val="14"/>
          <w:szCs w:val="14"/>
        </w:rPr>
        <w:footnoteRef/>
      </w:r>
      <w:r>
        <w:t xml:space="preserve"> </w:t>
      </w:r>
      <w:r w:rsidRPr="00AE265B">
        <w:rPr>
          <w:rFonts w:ascii="Abadi" w:hAnsi="Abadi"/>
          <w:sz w:val="16"/>
          <w:szCs w:val="16"/>
        </w:rPr>
        <w:t>Puede consultarse en: https://www.congresogto.gob.mx/expedientes_legislativos_digitales/iniciativas/4986</w:t>
      </w:r>
    </w:p>
  </w:footnote>
  <w:footnote w:id="115">
    <w:p w14:paraId="43B57427" w14:textId="77777777" w:rsidR="00427BD6" w:rsidRPr="00AE265B" w:rsidRDefault="00427BD6" w:rsidP="00427BD6">
      <w:pPr>
        <w:pStyle w:val="Textonotapie"/>
        <w:rPr>
          <w:rFonts w:ascii="Abadi" w:hAnsi="Abadi"/>
          <w:sz w:val="16"/>
          <w:szCs w:val="16"/>
        </w:rPr>
      </w:pPr>
      <w:r w:rsidRPr="00AE265B">
        <w:rPr>
          <w:rStyle w:val="Refdenotaalpie"/>
          <w:rFonts w:ascii="Abadi" w:eastAsia="Calibri" w:hAnsi="Abadi"/>
          <w:sz w:val="16"/>
          <w:szCs w:val="16"/>
        </w:rPr>
        <w:footnoteRef/>
      </w:r>
      <w:r w:rsidRPr="00AE265B">
        <w:rPr>
          <w:rStyle w:val="Refdenotaalpie"/>
          <w:rFonts w:ascii="Abadi" w:eastAsia="Calibri" w:hAnsi="Abadi"/>
          <w:sz w:val="16"/>
          <w:szCs w:val="16"/>
        </w:rPr>
        <w:t xml:space="preserve"> </w:t>
      </w:r>
      <w:r w:rsidRPr="00AE265B">
        <w:rPr>
          <w:rFonts w:ascii="Abadi" w:hAnsi="Abadi"/>
          <w:sz w:val="16"/>
          <w:szCs w:val="16"/>
        </w:rPr>
        <w:t>Diputados, gobernador, presidentes municipales, síndicos o regidores.</w:t>
      </w:r>
    </w:p>
  </w:footnote>
  <w:footnote w:id="116">
    <w:p w14:paraId="2335E140" w14:textId="77777777" w:rsidR="00427BD6" w:rsidRPr="00AE265B" w:rsidRDefault="00427BD6" w:rsidP="00427BD6">
      <w:pPr>
        <w:pStyle w:val="Textonotapie"/>
        <w:jc w:val="both"/>
        <w:rPr>
          <w:rFonts w:ascii="Abadi" w:hAnsi="Abadi"/>
          <w:sz w:val="16"/>
          <w:szCs w:val="16"/>
        </w:rPr>
      </w:pPr>
      <w:r w:rsidRPr="00AE265B">
        <w:rPr>
          <w:rStyle w:val="Refdenotaalpie"/>
          <w:rFonts w:ascii="Abadi" w:eastAsia="Calibri" w:hAnsi="Abadi"/>
          <w:sz w:val="16"/>
          <w:szCs w:val="16"/>
        </w:rPr>
        <w:footnoteRef/>
      </w:r>
      <w:r w:rsidRPr="00AE265B">
        <w:rPr>
          <w:rFonts w:ascii="Abadi" w:hAnsi="Abadi"/>
          <w:sz w:val="16"/>
          <w:szCs w:val="16"/>
        </w:rPr>
        <w:t xml:space="preserve"> Consultada el 3 de mayo de 2023 en: https://www.cndh.org.mx/documento/accion-de-inconstitucionalidad-1262021</w:t>
      </w:r>
    </w:p>
  </w:footnote>
  <w:footnote w:id="117">
    <w:p w14:paraId="650F08FF" w14:textId="77777777" w:rsidR="00427BD6" w:rsidRPr="00801750" w:rsidRDefault="00427BD6" w:rsidP="00427BD6">
      <w:pPr>
        <w:pStyle w:val="Textonotapie"/>
        <w:jc w:val="both"/>
        <w:rPr>
          <w:sz w:val="14"/>
          <w:szCs w:val="14"/>
        </w:rPr>
      </w:pPr>
      <w:r>
        <w:rPr>
          <w:rStyle w:val="Refdenotaalpie"/>
          <w:rFonts w:eastAsia="Calibri"/>
        </w:rPr>
        <w:footnoteRef/>
      </w:r>
      <w:r>
        <w:t xml:space="preserve"> </w:t>
      </w:r>
      <w:r w:rsidRPr="00AE265B">
        <w:rPr>
          <w:rFonts w:ascii="Abadi" w:hAnsi="Abadi"/>
          <w:sz w:val="16"/>
          <w:szCs w:val="16"/>
        </w:rPr>
        <w:t>Ana María Ibarra Olguín (Coordinadora), Discriminación. Piezas para armar, Centro de Estudios Constitucionales de la Suprema Corte de Justicia de la Nación, México, 2021, pág. 145.</w:t>
      </w:r>
    </w:p>
  </w:footnote>
  <w:footnote w:id="118">
    <w:p w14:paraId="0CD91A0C" w14:textId="77777777" w:rsidR="00427BD6" w:rsidRPr="00AE265B" w:rsidRDefault="00427BD6" w:rsidP="00427BD6">
      <w:pPr>
        <w:pStyle w:val="Textonotapie"/>
        <w:rPr>
          <w:rFonts w:ascii="Abadi" w:hAnsi="Abadi"/>
          <w:sz w:val="16"/>
          <w:szCs w:val="16"/>
        </w:rPr>
      </w:pPr>
      <w:r w:rsidRPr="0073456B">
        <w:rPr>
          <w:rStyle w:val="Refdenotaalpie"/>
          <w:rFonts w:eastAsia="Calibri"/>
          <w:sz w:val="14"/>
          <w:szCs w:val="14"/>
        </w:rPr>
        <w:footnoteRef/>
      </w:r>
      <w:r>
        <w:t xml:space="preserve"> </w:t>
      </w:r>
      <w:r w:rsidRPr="00AE265B">
        <w:rPr>
          <w:rFonts w:ascii="Abadi" w:hAnsi="Abadi"/>
          <w:sz w:val="16"/>
          <w:szCs w:val="16"/>
        </w:rPr>
        <w:t xml:space="preserve">Cfr. https://www.dof.gob.mx/nota </w:t>
      </w:r>
      <w:proofErr w:type="spellStart"/>
      <w:r w:rsidRPr="00AE265B">
        <w:rPr>
          <w:rFonts w:ascii="Abadi" w:hAnsi="Abadi"/>
          <w:sz w:val="16"/>
          <w:szCs w:val="16"/>
        </w:rPr>
        <w:t>detalle.php?codigo</w:t>
      </w:r>
      <w:proofErr w:type="spellEnd"/>
      <w:r w:rsidRPr="00AE265B">
        <w:rPr>
          <w:rFonts w:ascii="Abadi" w:hAnsi="Abadi"/>
          <w:sz w:val="16"/>
          <w:szCs w:val="16"/>
        </w:rPr>
        <w:t>=5604597&amp;fecha=10/11 /2020#gsc.tab=0</w:t>
      </w:r>
    </w:p>
  </w:footnote>
  <w:footnote w:id="119">
    <w:p w14:paraId="7FC8F80D" w14:textId="77777777" w:rsidR="00427BD6" w:rsidRPr="00AE265B" w:rsidRDefault="00427BD6" w:rsidP="00427BD6">
      <w:pPr>
        <w:pStyle w:val="Textonotapie"/>
        <w:rPr>
          <w:rFonts w:ascii="Abadi" w:hAnsi="Abadi"/>
          <w:sz w:val="16"/>
          <w:szCs w:val="16"/>
        </w:rPr>
      </w:pPr>
      <w:r w:rsidRPr="00AE265B">
        <w:rPr>
          <w:rStyle w:val="Refdenotaalpie"/>
          <w:rFonts w:ascii="Abadi" w:eastAsia="Calibri" w:hAnsi="Abadi"/>
          <w:sz w:val="16"/>
          <w:szCs w:val="16"/>
        </w:rPr>
        <w:footnoteRef/>
      </w:r>
      <w:r w:rsidRPr="00AE265B">
        <w:rPr>
          <w:rFonts w:ascii="Abadi" w:hAnsi="Abadi"/>
          <w:sz w:val="16"/>
          <w:szCs w:val="16"/>
        </w:rPr>
        <w:t xml:space="preserve"> Capítulo VIII. Del 3 de 3 contra la violencia</w:t>
      </w:r>
    </w:p>
    <w:p w14:paraId="5BE105AE" w14:textId="77777777" w:rsidR="00427BD6" w:rsidRPr="00AE265B" w:rsidRDefault="00427BD6" w:rsidP="00427BD6">
      <w:pPr>
        <w:pStyle w:val="Textonotapie"/>
        <w:jc w:val="both"/>
        <w:rPr>
          <w:rFonts w:ascii="Abadi" w:hAnsi="Abadi"/>
          <w:sz w:val="16"/>
          <w:szCs w:val="16"/>
        </w:rPr>
      </w:pPr>
      <w:r w:rsidRPr="00AE265B">
        <w:rPr>
          <w:rFonts w:ascii="Abadi" w:hAnsi="Abadi"/>
          <w:sz w:val="16"/>
          <w:szCs w:val="16"/>
        </w:rPr>
        <w:t xml:space="preserve">Artículo 32. En concordancia y corresponsabilidad con la obligación señalada en el artículo 1° de la Constitución Política de los Estados Unidos Mexicanos de promover, respetar, proteger, y garantizar los derechos humanos de las mujeres, y como garantía de protección, las y los sujetos obligados por los presentes Lineamientos, deberán solicitar a las y los aspirantes a una candidatura firmar un formato, de buena fe y bajo protesta de decir verdad, donde se establezca que no se encuentran bajo ninguno de los siguientes supuestos: </w:t>
      </w:r>
    </w:p>
    <w:p w14:paraId="62A3C0E5" w14:textId="77777777" w:rsidR="00427BD6" w:rsidRPr="00AE265B" w:rsidRDefault="00427BD6" w:rsidP="00427BD6">
      <w:pPr>
        <w:pStyle w:val="Textonotapie"/>
        <w:jc w:val="both"/>
        <w:rPr>
          <w:rFonts w:ascii="Abadi" w:hAnsi="Abadi"/>
          <w:sz w:val="16"/>
          <w:szCs w:val="16"/>
        </w:rPr>
      </w:pPr>
      <w:r w:rsidRPr="00AE265B">
        <w:rPr>
          <w:rFonts w:ascii="Abadi" w:hAnsi="Abadi"/>
          <w:sz w:val="16"/>
          <w:szCs w:val="16"/>
        </w:rPr>
        <w:t>[ ... )</w:t>
      </w:r>
    </w:p>
    <w:p w14:paraId="3F2C057B" w14:textId="77777777" w:rsidR="00427BD6" w:rsidRPr="00AE265B" w:rsidRDefault="00427BD6" w:rsidP="00427BD6">
      <w:pPr>
        <w:pStyle w:val="Textonotapie"/>
        <w:jc w:val="both"/>
        <w:rPr>
          <w:rFonts w:ascii="Abadi" w:hAnsi="Abadi"/>
          <w:sz w:val="16"/>
          <w:szCs w:val="16"/>
        </w:rPr>
      </w:pPr>
      <w:r w:rsidRPr="00AE265B">
        <w:rPr>
          <w:rFonts w:ascii="Abadi" w:hAnsi="Abadi"/>
          <w:sz w:val="16"/>
          <w:szCs w:val="16"/>
        </w:rPr>
        <w:t xml:space="preserve">111. No haber </w:t>
      </w:r>
      <w:proofErr w:type="spellStart"/>
      <w:r w:rsidRPr="00AE265B">
        <w:rPr>
          <w:rFonts w:ascii="Abadi" w:hAnsi="Abadi"/>
          <w:sz w:val="16"/>
          <w:szCs w:val="16"/>
        </w:rPr>
        <w:t>sído</w:t>
      </w:r>
      <w:proofErr w:type="spellEnd"/>
      <w:r w:rsidRPr="00AE265B">
        <w:rPr>
          <w:rFonts w:ascii="Abadi" w:hAnsi="Abadi"/>
          <w:sz w:val="16"/>
          <w:szCs w:val="16"/>
        </w:rPr>
        <w:t xml:space="preserve"> persona condenada o sancionada mediante Resolución firme como deudor alimentario o moroso que atenten contra las obligaciones alimentarias, salvo que acredite estar al corriente del pago o que cancele en su totalidad la deuda, y que no cuente con registro vigente en algún padrón de deudores alimentarios.</w:t>
      </w:r>
    </w:p>
  </w:footnote>
  <w:footnote w:id="120">
    <w:p w14:paraId="16DB15EE" w14:textId="77777777" w:rsidR="00427BD6" w:rsidRPr="00AE265B" w:rsidRDefault="00427BD6" w:rsidP="00427BD6">
      <w:pPr>
        <w:pStyle w:val="Textonotapie"/>
        <w:jc w:val="both"/>
        <w:rPr>
          <w:rFonts w:ascii="Abadi" w:hAnsi="Abadi"/>
          <w:sz w:val="16"/>
          <w:szCs w:val="16"/>
        </w:rPr>
      </w:pPr>
      <w:r w:rsidRPr="00AE265B">
        <w:rPr>
          <w:rStyle w:val="Refdenotaalpie"/>
          <w:rFonts w:ascii="Abadi" w:eastAsia="Calibri" w:hAnsi="Abadi"/>
          <w:sz w:val="16"/>
          <w:szCs w:val="16"/>
        </w:rPr>
        <w:footnoteRef/>
      </w:r>
      <w:r w:rsidRPr="00AE265B">
        <w:rPr>
          <w:rFonts w:ascii="Abadi" w:hAnsi="Abadi"/>
          <w:sz w:val="16"/>
          <w:szCs w:val="16"/>
        </w:rPr>
        <w:t xml:space="preserve">Vid.http://www.conqreso-hidalqo.qob.mx/bibliotecalegislativa/leyescintillo/Ley%20de%20Transparencia%20y%20Acceso%20a%20Ia%20Informacion%20Publica%20para%20el%20Estado %20de%20Hidalgo. </w:t>
      </w:r>
      <w:proofErr w:type="spellStart"/>
      <w:r w:rsidRPr="00AE265B">
        <w:rPr>
          <w:rFonts w:ascii="Abadi" w:hAnsi="Abadi"/>
          <w:sz w:val="16"/>
          <w:szCs w:val="16"/>
        </w:rPr>
        <w:t>pdf</w:t>
      </w:r>
      <w:proofErr w:type="spellEnd"/>
    </w:p>
  </w:footnote>
  <w:footnote w:id="121">
    <w:p w14:paraId="6DE5018F" w14:textId="77777777" w:rsidR="00427BD6" w:rsidRPr="00AE265B" w:rsidRDefault="00427BD6" w:rsidP="00427BD6">
      <w:pPr>
        <w:pStyle w:val="Textonotapie"/>
        <w:jc w:val="both"/>
        <w:rPr>
          <w:rFonts w:ascii="Abadi" w:hAnsi="Abadi"/>
          <w:sz w:val="16"/>
          <w:szCs w:val="16"/>
        </w:rPr>
      </w:pPr>
      <w:r w:rsidRPr="00AE265B">
        <w:rPr>
          <w:rStyle w:val="Refdenotaalpie"/>
          <w:rFonts w:ascii="Abadi" w:eastAsia="Calibri" w:hAnsi="Abadi"/>
          <w:sz w:val="16"/>
          <w:szCs w:val="16"/>
        </w:rPr>
        <w:footnoteRef/>
      </w:r>
      <w:r w:rsidRPr="00AE265B">
        <w:rPr>
          <w:rFonts w:ascii="Abadi" w:hAnsi="Abadi"/>
          <w:sz w:val="16"/>
          <w:szCs w:val="16"/>
        </w:rPr>
        <w:t xml:space="preserve"> Sentencia dictada el 4 de octubre de 2022. Disponible en: </w:t>
      </w:r>
    </w:p>
    <w:p w14:paraId="0579AA56" w14:textId="77777777" w:rsidR="00427BD6" w:rsidRPr="00AE265B" w:rsidRDefault="00427BD6" w:rsidP="00427BD6">
      <w:pPr>
        <w:pStyle w:val="Textonotapie"/>
        <w:jc w:val="both"/>
        <w:rPr>
          <w:rFonts w:ascii="Abadi" w:hAnsi="Abadi"/>
          <w:sz w:val="16"/>
          <w:szCs w:val="16"/>
        </w:rPr>
      </w:pPr>
      <w:r w:rsidRPr="00AE265B">
        <w:rPr>
          <w:rFonts w:ascii="Abadi" w:hAnsi="Abadi"/>
          <w:sz w:val="16"/>
          <w:szCs w:val="16"/>
        </w:rPr>
        <w:t>https://www2.scjn.qob.mx/ConsultaTematica/PaqinasPub/DetallePub.aspx?AsuntolD=287147</w:t>
      </w:r>
    </w:p>
  </w:footnote>
  <w:footnote w:id="122">
    <w:p w14:paraId="27886190" w14:textId="77777777" w:rsidR="00427BD6" w:rsidRPr="00AE265B" w:rsidRDefault="00427BD6" w:rsidP="00427BD6">
      <w:pPr>
        <w:pStyle w:val="Textonotapie"/>
        <w:rPr>
          <w:rFonts w:ascii="Abadi" w:hAnsi="Abadi"/>
          <w:sz w:val="16"/>
          <w:szCs w:val="16"/>
        </w:rPr>
      </w:pPr>
      <w:r w:rsidRPr="00E078BE">
        <w:rPr>
          <w:rStyle w:val="Refdenotaalpie"/>
          <w:rFonts w:eastAsia="Calibri"/>
          <w:sz w:val="14"/>
          <w:szCs w:val="14"/>
        </w:rPr>
        <w:footnoteRef/>
      </w:r>
      <w:r>
        <w:t xml:space="preserve"> </w:t>
      </w:r>
      <w:r w:rsidRPr="00AE265B">
        <w:rPr>
          <w:rFonts w:ascii="Abadi" w:hAnsi="Abadi"/>
          <w:sz w:val="16"/>
          <w:szCs w:val="16"/>
        </w:rPr>
        <w:t>Acción de inconstitucionalidad 126/2021. Páginas 24, 26, 36 y 37.</w:t>
      </w:r>
    </w:p>
  </w:footnote>
  <w:footnote w:id="123">
    <w:p w14:paraId="36138D42" w14:textId="77777777" w:rsidR="00427BD6" w:rsidRPr="00AE265B" w:rsidRDefault="00427BD6" w:rsidP="00427BD6">
      <w:pPr>
        <w:pStyle w:val="Textonotapie"/>
        <w:jc w:val="both"/>
        <w:rPr>
          <w:rFonts w:ascii="Abadi" w:hAnsi="Abadi"/>
          <w:sz w:val="16"/>
          <w:szCs w:val="16"/>
        </w:rPr>
      </w:pPr>
      <w:r w:rsidRPr="00AE265B">
        <w:rPr>
          <w:rStyle w:val="Refdenotaalpie"/>
          <w:rFonts w:ascii="Abadi" w:eastAsia="Calibri" w:hAnsi="Abadi"/>
          <w:sz w:val="16"/>
          <w:szCs w:val="16"/>
        </w:rPr>
        <w:footnoteRef/>
      </w:r>
      <w:r w:rsidRPr="00AE265B">
        <w:rPr>
          <w:rFonts w:ascii="Abadi" w:hAnsi="Abadi"/>
          <w:sz w:val="16"/>
          <w:szCs w:val="16"/>
        </w:rPr>
        <w:t xml:space="preserve"> Y la Acción de inconstitucionalidad 98/2022, sobe los artículos 15, fracción XI, de la Ley de la Comisión de Derechos Humanos; 55, fracción 11, de la Ley de Instituciones y Procedimientos Electorales; y 26, fracción VII, del Código de la Administración Pública, todos ordenamientos del Estado de Yucatán. Ver comunicado de prensa, de fecha 17 de enero de 2023. https://www.internet2.scjn.gob.mx/red2/comun </w:t>
      </w:r>
      <w:proofErr w:type="spellStart"/>
      <w:r w:rsidRPr="00AE265B">
        <w:rPr>
          <w:rFonts w:ascii="Abadi" w:hAnsi="Abadi"/>
          <w:sz w:val="16"/>
          <w:szCs w:val="16"/>
        </w:rPr>
        <w:t>icados</w:t>
      </w:r>
      <w:proofErr w:type="spellEnd"/>
      <w:r w:rsidRPr="00AE265B">
        <w:rPr>
          <w:rFonts w:ascii="Abadi" w:hAnsi="Abadi"/>
          <w:sz w:val="16"/>
          <w:szCs w:val="16"/>
        </w:rPr>
        <w:t>/</w:t>
      </w:r>
      <w:proofErr w:type="spellStart"/>
      <w:r w:rsidRPr="00AE265B">
        <w:rPr>
          <w:rFonts w:ascii="Abadi" w:hAnsi="Abadi"/>
          <w:sz w:val="16"/>
          <w:szCs w:val="16"/>
        </w:rPr>
        <w:t>noticia.asp?id</w:t>
      </w:r>
      <w:proofErr w:type="spellEnd"/>
      <w:r w:rsidRPr="00AE265B">
        <w:rPr>
          <w:rFonts w:ascii="Abadi" w:hAnsi="Abadi"/>
          <w:sz w:val="16"/>
          <w:szCs w:val="16"/>
        </w:rPr>
        <w:t>= 7198</w:t>
      </w:r>
    </w:p>
  </w:footnote>
  <w:footnote w:id="124">
    <w:p w14:paraId="271EDC71" w14:textId="77777777" w:rsidR="00427BD6" w:rsidRPr="00EF7206" w:rsidRDefault="00427BD6" w:rsidP="00427BD6">
      <w:pPr>
        <w:pStyle w:val="Textonotapie"/>
        <w:jc w:val="both"/>
        <w:rPr>
          <w:rFonts w:ascii="Abadi" w:hAnsi="Abadi"/>
          <w:sz w:val="16"/>
          <w:szCs w:val="16"/>
        </w:rPr>
      </w:pPr>
      <w:r w:rsidRPr="00EF7206">
        <w:rPr>
          <w:rStyle w:val="Refdenotaalpie"/>
          <w:rFonts w:ascii="Abadi" w:eastAsia="Calibri" w:hAnsi="Abadi"/>
          <w:sz w:val="16"/>
          <w:szCs w:val="16"/>
        </w:rPr>
        <w:footnoteRef/>
      </w:r>
      <w:r w:rsidRPr="00EF7206">
        <w:rPr>
          <w:rFonts w:ascii="Abadi" w:hAnsi="Abadi"/>
          <w:sz w:val="16"/>
          <w:szCs w:val="16"/>
        </w:rPr>
        <w:t xml:space="preserve"> Publicado en el Diario Oficial de la Federación, el día 8 de mayo de 2023. Véase: https://www.dof.gob.mx/nota </w:t>
      </w:r>
      <w:proofErr w:type="spellStart"/>
      <w:r w:rsidRPr="00EF7206">
        <w:rPr>
          <w:rFonts w:ascii="Abadi" w:hAnsi="Abadi"/>
          <w:sz w:val="16"/>
          <w:szCs w:val="16"/>
        </w:rPr>
        <w:t>detalle.php?codigo</w:t>
      </w:r>
      <w:proofErr w:type="spellEnd"/>
      <w:r w:rsidRPr="00EF7206">
        <w:rPr>
          <w:rFonts w:ascii="Abadi" w:hAnsi="Abadi"/>
          <w:sz w:val="16"/>
          <w:szCs w:val="16"/>
        </w:rPr>
        <w:t>=5687925&amp;fecha=08/05/2023#gsc.tab=0</w:t>
      </w:r>
    </w:p>
  </w:footnote>
  <w:footnote w:id="125">
    <w:p w14:paraId="65FBAF1E" w14:textId="77777777" w:rsidR="00427BD6" w:rsidRPr="00EF7206" w:rsidRDefault="00427BD6" w:rsidP="00427BD6">
      <w:pPr>
        <w:pStyle w:val="Textonotapie"/>
        <w:jc w:val="both"/>
        <w:rPr>
          <w:rFonts w:ascii="Abadi" w:hAnsi="Abadi"/>
          <w:sz w:val="16"/>
          <w:szCs w:val="16"/>
        </w:rPr>
      </w:pPr>
      <w:r w:rsidRPr="00EF7206">
        <w:rPr>
          <w:rStyle w:val="Refdenotaalpie"/>
          <w:rFonts w:ascii="Abadi" w:eastAsia="Calibri" w:hAnsi="Abadi"/>
          <w:sz w:val="16"/>
          <w:szCs w:val="16"/>
        </w:rPr>
        <w:footnoteRef/>
      </w:r>
      <w:r w:rsidRPr="00EF7206">
        <w:rPr>
          <w:rFonts w:ascii="Abadi" w:hAnsi="Abadi"/>
          <w:sz w:val="16"/>
          <w:szCs w:val="16"/>
        </w:rPr>
        <w:t xml:space="preserve"> Disponible en: https://infosen.senado.gob.mx/sgsp/qaceta/65/2/2023-04-28-1/assets/documentos/Dict </w:t>
      </w:r>
      <w:proofErr w:type="spellStart"/>
      <w:r w:rsidRPr="00EF7206">
        <w:rPr>
          <w:rFonts w:ascii="Abadi" w:hAnsi="Abadi"/>
          <w:sz w:val="16"/>
          <w:szCs w:val="16"/>
        </w:rPr>
        <w:t>Com</w:t>
      </w:r>
      <w:proofErr w:type="spellEnd"/>
      <w:r w:rsidRPr="00EF7206">
        <w:rPr>
          <w:rFonts w:ascii="Abadi" w:hAnsi="Abadi"/>
          <w:sz w:val="16"/>
          <w:szCs w:val="16"/>
        </w:rPr>
        <w:t xml:space="preserve"> Puntos </w:t>
      </w:r>
      <w:proofErr w:type="spellStart"/>
      <w:r w:rsidRPr="00EF7206">
        <w:rPr>
          <w:rFonts w:ascii="Abadi" w:hAnsi="Abadi"/>
          <w:sz w:val="16"/>
          <w:szCs w:val="16"/>
        </w:rPr>
        <w:t>Const</w:t>
      </w:r>
      <w:proofErr w:type="spellEnd"/>
      <w:r w:rsidRPr="00EF7206">
        <w:rPr>
          <w:rFonts w:ascii="Abadi" w:hAnsi="Abadi"/>
          <w:sz w:val="16"/>
          <w:szCs w:val="16"/>
        </w:rPr>
        <w:t xml:space="preserve"> Art 38 Suspensión Derechos.pdf</w:t>
      </w:r>
    </w:p>
  </w:footnote>
  <w:footnote w:id="126">
    <w:p w14:paraId="037A0A76" w14:textId="77777777" w:rsidR="00427BD6" w:rsidRDefault="00427BD6" w:rsidP="00427BD6">
      <w:pPr>
        <w:pStyle w:val="Textonotapie"/>
      </w:pPr>
      <w:r>
        <w:rPr>
          <w:rStyle w:val="Refdenotaalpie"/>
          <w:rFonts w:eastAsia="Calibri"/>
        </w:rPr>
        <w:footnoteRef/>
      </w:r>
      <w:r>
        <w:t xml:space="preserve"> </w:t>
      </w:r>
      <w:r>
        <w:rPr>
          <w:rFonts w:ascii="ArialMT" w:hAnsi="ArialMT" w:cs="ArialMT"/>
          <w:color w:val="000000"/>
          <w:sz w:val="16"/>
          <w:szCs w:val="16"/>
          <w:lang w:eastAsia="es-MX"/>
        </w:rPr>
        <w:t xml:space="preserve">Consultada el 29 de mayo de 2023 en: </w:t>
      </w:r>
      <w:r>
        <w:rPr>
          <w:rFonts w:ascii="ArialMT" w:hAnsi="ArialMT" w:cs="ArialMT"/>
          <w:color w:val="0563C2"/>
          <w:sz w:val="16"/>
          <w:szCs w:val="16"/>
          <w:lang w:eastAsia="es-MX"/>
        </w:rPr>
        <w:t>https://www.dof.gob.mx/nota_detalle.php?codigo=5690265&amp;fecha=29/05/2023#gsc.tab=0</w:t>
      </w:r>
    </w:p>
  </w:footnote>
  <w:footnote w:id="127">
    <w:p w14:paraId="7BF00E4E" w14:textId="77777777" w:rsidR="00427BD6" w:rsidRPr="008064A0" w:rsidRDefault="00427BD6" w:rsidP="00427BD6">
      <w:pPr>
        <w:pStyle w:val="Textonotapie"/>
        <w:jc w:val="both"/>
        <w:rPr>
          <w:sz w:val="16"/>
          <w:szCs w:val="16"/>
        </w:rPr>
      </w:pPr>
      <w:r>
        <w:rPr>
          <w:rStyle w:val="Refdenotaalpie"/>
          <w:rFonts w:eastAsia="Calibri"/>
        </w:rPr>
        <w:footnoteRef/>
      </w:r>
      <w:r>
        <w:t xml:space="preserve"> </w:t>
      </w:r>
      <w:r w:rsidRPr="008064A0">
        <w:rPr>
          <w:sz w:val="16"/>
          <w:szCs w:val="16"/>
        </w:rPr>
        <w:t>Organizaciones Unidas para la Educación, la Ciencia y la Cultura. (s.f.). Resolución 48/104 de la Asamblea General de las Naciones Unidas. Recuperado el 14 de noviembre del 2021, de UNESCO Sitio web: https://undocs.org/es/A/RES/48/104</w:t>
      </w:r>
    </w:p>
  </w:footnote>
  <w:footnote w:id="128">
    <w:p w14:paraId="4361C471" w14:textId="77777777" w:rsidR="00427BD6" w:rsidRPr="000C3B54" w:rsidRDefault="00427BD6" w:rsidP="00427BD6">
      <w:pPr>
        <w:pStyle w:val="Textonotapie"/>
        <w:rPr>
          <w:sz w:val="16"/>
          <w:szCs w:val="16"/>
        </w:rPr>
      </w:pPr>
      <w:r>
        <w:rPr>
          <w:rStyle w:val="Refdenotaalpie"/>
          <w:rFonts w:eastAsia="Calibri"/>
        </w:rPr>
        <w:footnoteRef/>
      </w:r>
      <w:r>
        <w:t xml:space="preserve"> </w:t>
      </w:r>
      <w:r w:rsidRPr="000C3B54">
        <w:rPr>
          <w:sz w:val="16"/>
          <w:szCs w:val="16"/>
        </w:rPr>
        <w:t>Convención De Belem Do Pará”. Recuperada el 12 de noviembre del 2021, de Organización de los Estados Americanos Sitio web: http://www.oas.org/juridico/spanish/tratados/a-61.html</w:t>
      </w:r>
    </w:p>
  </w:footnote>
  <w:footnote w:id="129">
    <w:p w14:paraId="18B9F181" w14:textId="77777777" w:rsidR="00427BD6" w:rsidRPr="00E512DE" w:rsidRDefault="00427BD6" w:rsidP="00427BD6">
      <w:pPr>
        <w:pStyle w:val="Textonotapie"/>
        <w:jc w:val="both"/>
        <w:rPr>
          <w:rFonts w:ascii="Abadi" w:hAnsi="Abad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Artículo 5, Fracción XI de la Ley de Acceso de las Mujeres a una Vida Libre de Violencia para el Estado de Guanajuato.</w:t>
      </w:r>
    </w:p>
  </w:footnote>
  <w:footnote w:id="130">
    <w:p w14:paraId="30729C29" w14:textId="77777777" w:rsidR="00427BD6" w:rsidRPr="00E512DE" w:rsidRDefault="00427BD6" w:rsidP="00427BD6">
      <w:pPr>
        <w:pStyle w:val="Textonotapie"/>
        <w:rPr>
          <w:rFonts w:ascii="Abadi" w:hAnsi="Abad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Libro Segundo “Parte Especial”, Sección Primera “Delitos contra las personas”, Título Tercero “De los delitos contra la libertad sexual” del Código Penal del Estado de Guanajuato</w:t>
      </w:r>
    </w:p>
  </w:footnote>
  <w:footnote w:id="131">
    <w:p w14:paraId="37DD9082" w14:textId="77777777" w:rsidR="00427BD6" w:rsidRPr="00B44366" w:rsidRDefault="00427BD6" w:rsidP="00427BD6">
      <w:pPr>
        <w:pStyle w:val="Textonotapie"/>
        <w:jc w:val="both"/>
        <w:rPr>
          <w:rFonts w:ascii="Avant Garde" w:hAnsi="Avant Garde"/>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Dulce Camacho </w:t>
      </w:r>
      <w:proofErr w:type="spellStart"/>
      <w:r w:rsidRPr="00E512DE">
        <w:rPr>
          <w:rFonts w:ascii="Abadi" w:hAnsi="Abadi"/>
          <w:sz w:val="16"/>
          <w:szCs w:val="16"/>
        </w:rPr>
        <w:t>Ortíz</w:t>
      </w:r>
      <w:proofErr w:type="spellEnd"/>
      <w:r w:rsidRPr="00E512DE">
        <w:rPr>
          <w:rFonts w:ascii="Abadi" w:hAnsi="Abadi"/>
          <w:sz w:val="16"/>
          <w:szCs w:val="16"/>
        </w:rPr>
        <w:t>. (2022). Paridad, violencia de género y acceso a la justicia electoral: avances en la construcción de Índice sobre la democracia paritaria en Guanajuato. Guanajuato: s.n.</w:t>
      </w:r>
    </w:p>
  </w:footnote>
  <w:footnote w:id="132">
    <w:p w14:paraId="49FDAD3C"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Consejo General. (2020). Acuerdo Del Consejo General Del Instituto Nacional Electoral por el que se aprueban Los Lineamientos Para Que Los Partidos Políticos Nacionales y, en su caso, los Partidos Políticos locales, prevengan, atiendan, sancionen, reparen y erradiquen la Violencia Política contra las mujeres en razón de género. Recuperado el 25 de febrero del 2022, de Instituto Nacional Electoral Sitio web: https://repositoriodocumental.ine.mx/xmlui/bitstream/handle/123456789/115101/CGor202010-28- ap-9-Gaceta.pdf</w:t>
      </w:r>
    </w:p>
  </w:footnote>
  <w:footnote w:id="133">
    <w:p w14:paraId="23EBA0C1" w14:textId="77777777" w:rsidR="00427BD6" w:rsidRPr="00AC4C42" w:rsidRDefault="00427BD6" w:rsidP="00427BD6">
      <w:pPr>
        <w:pStyle w:val="Textonotapie"/>
        <w:jc w:val="both"/>
        <w:rPr>
          <w:rFonts w:ascii="Avant Garde" w:hAnsi="Avant Garde" w:cs="Calibri"/>
          <w:bCs/>
          <w:i/>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Sala Superior del Tribunal. Electoral del Poder Judicial de la Federación. (2018). SENTENCIA que: a) confirma la resolución de la Sala Regional Xalapa del Tribunal Electoral del Poder Judicial de la Federación, en cuanto a dejar sin efectos el registro del recurrente Juan García Arias como candidato a Presidente Municipal de San Juan Colorado, Oaxaca, y b) asume medidas de protección a favor de la víctima de violencia política por razones de género. Recuperado el 26 de febrero del 2022, de Tribunal Electoral del Poder Judicial de la Federación Sitio web: https://www.te.gob.mx/sentenciasHTML/convertir/expediente/SUP-REC-0531- 2018#_Toc518147556</w:t>
      </w:r>
    </w:p>
  </w:footnote>
  <w:footnote w:id="134">
    <w:p w14:paraId="2182CA4E"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 xml:space="preserve">Sala Superior del Tribunal. Electoral del Poder Judicial de la Federación. (2018). SENTENCIA que: a) confirma la resolución de la Sala Regional Xalapa del Tribunal Electoral del Poder Judicial de la Federación, en cuanto a dejar sin efectos el registro del recurrente Juan García Arias como candidato a Presidente Municipal de San Juan Colorado, </w:t>
      </w:r>
      <w:proofErr w:type="gramStart"/>
      <w:r w:rsidRPr="00E512DE">
        <w:rPr>
          <w:rFonts w:ascii="Abadi" w:hAnsi="Abadi" w:cs="Calibri"/>
          <w:bCs/>
          <w:i/>
          <w:sz w:val="16"/>
          <w:szCs w:val="16"/>
        </w:rPr>
        <w:t>Oaxaca[</w:t>
      </w:r>
      <w:proofErr w:type="gramEnd"/>
      <w:r w:rsidRPr="00E512DE">
        <w:rPr>
          <w:rFonts w:ascii="Abadi" w:hAnsi="Abadi" w:cs="Calibri"/>
          <w:bCs/>
          <w:i/>
          <w:sz w:val="16"/>
          <w:szCs w:val="16"/>
        </w:rPr>
        <w:t>1], y b) asume medidas de protección a favor de la víctima de violencia política por razones de género. Recuperado el 26 de febrero del 2022, de Tribunal Electoral del Poder Judicial de la Federación Sitio web: https://www.te.gob.mx/sentenciasHTML/convertir/expediente/SUP-REC-0531- 2018#_Toc518147556</w:t>
      </w:r>
    </w:p>
  </w:footnote>
  <w:footnote w:id="135">
    <w:p w14:paraId="3197E309" w14:textId="77777777" w:rsidR="00427BD6" w:rsidRPr="00E512DE" w:rsidRDefault="00427BD6" w:rsidP="00427BD6">
      <w:pPr>
        <w:pStyle w:val="Textonotapie"/>
        <w:jc w:val="both"/>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Tribunal Electoral del Poder Judicial de la Federación (2001). Jurisprudencia 18/2001 Modo honesto de vivir como requisito para ser ciudadano mexicano. Concepto. Recuperado el 5 de marzo del 2022 de https://www.te.gob.mx/IUSEapp/tesisjur.aspx?idtesis=18/2001&amp;tpoBusqueda=S&amp;sWord=#:~:text=E l%20modo%20honesto%20de%20</w:t>
      </w:r>
      <w:proofErr w:type="gramStart"/>
      <w:r w:rsidRPr="00E512DE">
        <w:rPr>
          <w:rFonts w:ascii="Abadi" w:hAnsi="Abadi" w:cs="Calibri"/>
          <w:bCs/>
          <w:i/>
          <w:sz w:val="16"/>
          <w:szCs w:val="16"/>
        </w:rPr>
        <w:t>vivir,b</w:t>
      </w:r>
      <w:proofErr w:type="gramEnd"/>
      <w:r w:rsidRPr="00E512DE">
        <w:rPr>
          <w:rFonts w:ascii="Abadi" w:hAnsi="Abadi" w:cs="Calibri"/>
          <w:bCs/>
          <w:i/>
          <w:sz w:val="16"/>
          <w:szCs w:val="16"/>
        </w:rPr>
        <w:t>%C3%A1sicos%20del%20derecho%3A%20vivir%20honestamente.</w:t>
      </w:r>
    </w:p>
  </w:footnote>
  <w:footnote w:id="136">
    <w:p w14:paraId="2AED9BCD" w14:textId="77777777" w:rsidR="00427BD6" w:rsidRPr="003D15F8" w:rsidRDefault="00427BD6" w:rsidP="00427BD6">
      <w:pPr>
        <w:pStyle w:val="Textonotapie"/>
        <w:jc w:val="both"/>
        <w:rPr>
          <w:rFonts w:ascii="Avant Garde" w:hAnsi="Avant Garde" w:cs="Calibri"/>
          <w:bCs/>
          <w:i/>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Tribunal Electoral del Poder Judicial de la Federación. (2021). EXPEDIENTE: SUP-JDC-552/2021 Juicio Para La Protección De Los Derechos Político-Electorales Del Ciudadano. Recuperado el 23defebrero del 2022, de Tribunal Electoral del Poder Judicial de la Federación Sitio web: https://www.te.gob.mx/salasreg/ejecutoria/sentencias/df/SCM-JDC-0552-2021.pdf</w:t>
      </w:r>
    </w:p>
  </w:footnote>
  <w:footnote w:id="137">
    <w:p w14:paraId="787EBE8B"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 xml:space="preserve">ONU Mujeres. (2018). Adhesiones a la Campaña </w:t>
      </w:r>
      <w:proofErr w:type="spellStart"/>
      <w:r w:rsidRPr="00E512DE">
        <w:rPr>
          <w:rFonts w:ascii="Abadi" w:hAnsi="Abadi" w:cs="Calibri"/>
          <w:bCs/>
          <w:i/>
          <w:sz w:val="16"/>
          <w:szCs w:val="16"/>
        </w:rPr>
        <w:t>HeForShe</w:t>
      </w:r>
      <w:proofErr w:type="spellEnd"/>
      <w:r w:rsidRPr="00E512DE">
        <w:rPr>
          <w:rFonts w:ascii="Abadi" w:hAnsi="Abadi" w:cs="Calibri"/>
          <w:bCs/>
          <w:i/>
          <w:sz w:val="16"/>
          <w:szCs w:val="16"/>
        </w:rPr>
        <w:t xml:space="preserve"> en México 2014-2018. Recuperado el 25 de febrero del 2022, de ONU Mujeres Sitio web: https://mexico.unwomen.org/es/noticias-yeventos/articulos/2016/08/adhesiones-heforshe-mexico</w:t>
      </w:r>
    </w:p>
  </w:footnote>
  <w:footnote w:id="138">
    <w:p w14:paraId="3160C7BE" w14:textId="77777777" w:rsidR="00427BD6" w:rsidRPr="00376BF4" w:rsidRDefault="00427BD6" w:rsidP="00427BD6">
      <w:pPr>
        <w:pStyle w:val="Textonotapie"/>
        <w:jc w:val="both"/>
        <w:rPr>
          <w:rFonts w:ascii="Avant Garde" w:hAnsi="Avant Garde" w:cs="Calibri"/>
          <w:bCs/>
          <w:i/>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 xml:space="preserve">Las </w:t>
      </w:r>
      <w:proofErr w:type="spellStart"/>
      <w:r w:rsidRPr="00E512DE">
        <w:rPr>
          <w:rFonts w:ascii="Abadi" w:hAnsi="Abadi" w:cs="Calibri"/>
          <w:bCs/>
          <w:i/>
          <w:sz w:val="16"/>
          <w:szCs w:val="16"/>
        </w:rPr>
        <w:t>ConstituyentesMX</w:t>
      </w:r>
      <w:proofErr w:type="spellEnd"/>
      <w:r w:rsidRPr="00E512DE">
        <w:rPr>
          <w:rFonts w:ascii="Abadi" w:hAnsi="Abadi" w:cs="Calibri"/>
          <w:bCs/>
          <w:i/>
          <w:sz w:val="16"/>
          <w:szCs w:val="16"/>
        </w:rPr>
        <w:t xml:space="preserve"> Feministas. (s.f.). #3de3vsViolencia. Recuperado el 30 de noviembre del 2021, de Las </w:t>
      </w:r>
      <w:proofErr w:type="spellStart"/>
      <w:r w:rsidRPr="00E512DE">
        <w:rPr>
          <w:rFonts w:ascii="Abadi" w:hAnsi="Abadi" w:cs="Calibri"/>
          <w:bCs/>
          <w:i/>
          <w:sz w:val="16"/>
          <w:szCs w:val="16"/>
        </w:rPr>
        <w:t>ConstituyentesMX</w:t>
      </w:r>
      <w:proofErr w:type="spellEnd"/>
      <w:r w:rsidRPr="00E512DE">
        <w:rPr>
          <w:rFonts w:ascii="Abadi" w:hAnsi="Abadi" w:cs="Calibri"/>
          <w:bCs/>
          <w:i/>
          <w:sz w:val="16"/>
          <w:szCs w:val="16"/>
        </w:rPr>
        <w:t xml:space="preserve"> Feministas Sitio web: https://lasconstituyentescdmx.org/3d3/</w:t>
      </w:r>
    </w:p>
  </w:footnote>
  <w:footnote w:id="139">
    <w:p w14:paraId="68DB9791"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Consejo General. (2020). Acuerdo Del Consejo General Del Instituto Nacional Electoral por el que se aprueban Los Lineamientos Para Que Los Partidos Políticos Nacionales y, en su caso, los Partidos Políticos locales, prevengan, atiendan, sancionen, reparen y erradiquen la Violencia Política contra las mujeres en razón de género. Recuperado el 25 de febrero del 2022, de Instituto Nacional Electoral Sitio web: https://repositoriodocumental.ine.mx/xmlui/bitstream/handle/123456789/115101/CGor202010-28- ap-9-Gaceta.pdf</w:t>
      </w:r>
    </w:p>
  </w:footnote>
  <w:footnote w:id="140">
    <w:p w14:paraId="4B5283D2" w14:textId="77777777" w:rsidR="00427BD6" w:rsidRPr="00E512DE" w:rsidRDefault="00427BD6" w:rsidP="00427BD6">
      <w:pPr>
        <w:pStyle w:val="Textonotapie"/>
        <w:jc w:val="both"/>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Instituto Electoral del Estado de Guanajuato. (2021). Lineamientos Contra la Violencia Política. 30 de noviembre del 2021, de IEEG Sitio web: https://www.ieeg.mx/documentos/lineamientos-contra-laviolencia-politica/</w:t>
      </w:r>
    </w:p>
  </w:footnote>
  <w:footnote w:id="141">
    <w:p w14:paraId="3797E994" w14:textId="77777777" w:rsidR="00427BD6" w:rsidRPr="00D964D2" w:rsidRDefault="00427BD6" w:rsidP="00427BD6">
      <w:pPr>
        <w:pStyle w:val="Textonotapie"/>
        <w:jc w:val="both"/>
        <w:rPr>
          <w:rFonts w:ascii="Avant Garde" w:hAnsi="Avant Garde" w:cs="Calibri"/>
          <w:bCs/>
          <w:i/>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w:t>
      </w:r>
      <w:proofErr w:type="spellStart"/>
      <w:r w:rsidRPr="00E512DE">
        <w:rPr>
          <w:rFonts w:ascii="Abadi" w:hAnsi="Abadi" w:cs="Calibri"/>
          <w:bCs/>
          <w:i/>
          <w:sz w:val="16"/>
          <w:szCs w:val="16"/>
        </w:rPr>
        <w:t>Neldy</w:t>
      </w:r>
      <w:proofErr w:type="spellEnd"/>
      <w:r w:rsidRPr="00E512DE">
        <w:rPr>
          <w:rFonts w:ascii="Abadi" w:hAnsi="Abadi" w:cs="Calibri"/>
          <w:bCs/>
          <w:i/>
          <w:sz w:val="16"/>
          <w:szCs w:val="16"/>
        </w:rPr>
        <w:t xml:space="preserve"> San Martín. (2021). 78 candidatos y contando... en la lista negra del proceso electoral. Recuperado el 30 noviembre 2021, de Proceso Sitio web:</w:t>
      </w:r>
      <w:r w:rsidRPr="00E512DE">
        <w:rPr>
          <w:rFonts w:ascii="Abadi" w:hAnsi="Abadi"/>
          <w:sz w:val="16"/>
          <w:szCs w:val="16"/>
        </w:rPr>
        <w:t xml:space="preserve"> </w:t>
      </w:r>
      <w:r w:rsidRPr="00E512DE">
        <w:rPr>
          <w:rFonts w:ascii="Abadi" w:hAnsi="Abadi" w:cs="Calibri"/>
          <w:bCs/>
          <w:i/>
          <w:sz w:val="16"/>
          <w:szCs w:val="16"/>
        </w:rPr>
        <w:t>https://www.proceso.com.mx/reportajes/2021/4/28/78-candidatos-contando-en-la-lista-negra-delproceso-electoral-262913.html</w:t>
      </w:r>
    </w:p>
  </w:footnote>
  <w:footnote w:id="142">
    <w:p w14:paraId="59E8A7E2" w14:textId="77777777" w:rsidR="00427BD6" w:rsidRPr="00E512DE" w:rsidRDefault="00427BD6" w:rsidP="00427BD6">
      <w:pPr>
        <w:pStyle w:val="Textonotapie"/>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Montoya Pérez, Disponible en: https://archivos.juridicas.unam.mx/www/bjv/libros/8/3833/9.pdf</w:t>
      </w:r>
    </w:p>
  </w:footnote>
  <w:footnote w:id="143">
    <w:p w14:paraId="4D7D7021"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Artículo 362, Código Civil para el Estado de Guanajuato.</w:t>
      </w:r>
    </w:p>
  </w:footnote>
  <w:footnote w:id="144">
    <w:p w14:paraId="60437276" w14:textId="77777777" w:rsidR="00427BD6" w:rsidRPr="00E512DE" w:rsidRDefault="00427BD6" w:rsidP="00427BD6">
      <w:pPr>
        <w:pStyle w:val="Textonotapie"/>
        <w:jc w:val="both"/>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 xml:space="preserve">SCJN, Tesis con número de registro 2013967. Disponible en:   </w:t>
      </w:r>
    </w:p>
    <w:p w14:paraId="168AF5DB" w14:textId="77777777" w:rsidR="00427BD6" w:rsidRPr="009D3FF4" w:rsidRDefault="00427BD6" w:rsidP="00427BD6">
      <w:pPr>
        <w:pStyle w:val="Textonotapie"/>
        <w:jc w:val="both"/>
        <w:rPr>
          <w:rFonts w:ascii="Avant Garde" w:hAnsi="Avant Garde" w:cs="Calibri"/>
          <w:bCs/>
          <w:i/>
          <w:sz w:val="14"/>
          <w:szCs w:val="14"/>
        </w:rPr>
      </w:pPr>
      <w:r w:rsidRPr="00E512DE">
        <w:rPr>
          <w:rFonts w:ascii="Abadi" w:hAnsi="Abadi" w:cs="Calibri"/>
          <w:bCs/>
          <w:i/>
          <w:sz w:val="16"/>
          <w:szCs w:val="16"/>
        </w:rPr>
        <w:t>https://sjf.scjn.gob.mx/SJFSem/Paginas/Reportes/ReporteDE.aspx?idius=2013967&amp;Tipo=1</w:t>
      </w:r>
    </w:p>
  </w:footnote>
  <w:footnote w:id="145">
    <w:p w14:paraId="6C0695FE" w14:textId="77777777" w:rsidR="00427BD6" w:rsidRPr="00E512DE" w:rsidRDefault="00427BD6" w:rsidP="00427BD6">
      <w:pPr>
        <w:pStyle w:val="Textonotapie"/>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Artículo 363, Código Civil para el Estado de Guanajuato.</w:t>
      </w:r>
    </w:p>
  </w:footnote>
  <w:footnote w:id="146">
    <w:p w14:paraId="53B51D65" w14:textId="77777777" w:rsidR="00427BD6" w:rsidRPr="00E512DE" w:rsidRDefault="00427BD6" w:rsidP="00427BD6">
      <w:pPr>
        <w:pStyle w:val="Textonotapie"/>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Consultable en: https://www.unwomen.org/es/what-we-do/ending-violence-against-women/faqs/types-of-violence</w:t>
      </w:r>
    </w:p>
  </w:footnote>
  <w:footnote w:id="147">
    <w:p w14:paraId="663589B9"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https://www.unwomen.org/es</w:t>
      </w:r>
    </w:p>
  </w:footnote>
  <w:footnote w:id="148">
    <w:p w14:paraId="2EF17CD6"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https://www.unwomen.org/es/what-we-do/ending-violence-against-women</w:t>
      </w:r>
    </w:p>
  </w:footnote>
  <w:footnote w:id="149">
    <w:p w14:paraId="014EF689"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https://www.paho.org/es/temas/violencia-contra-mujer</w:t>
      </w:r>
    </w:p>
  </w:footnote>
  <w:footnote w:id="150">
    <w:p w14:paraId="4D54A29C" w14:textId="77777777" w:rsidR="00427BD6" w:rsidRPr="00E512DE" w:rsidRDefault="00427BD6" w:rsidP="00427BD6">
      <w:pPr>
        <w:pStyle w:val="Textonotapie"/>
        <w:jc w:val="both"/>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https://www.congresogto.gob.mx/leyes/ley-de-acceso-de-las-mujeres-a-una-vida-libre-de-violencia-para-el-estado-de-guanajuato</w:t>
      </w:r>
    </w:p>
  </w:footnote>
  <w:footnote w:id="151">
    <w:p w14:paraId="42EF2765" w14:textId="77777777" w:rsidR="00427BD6" w:rsidRPr="00CC536E" w:rsidRDefault="00427BD6" w:rsidP="00427BD6">
      <w:pPr>
        <w:pStyle w:val="Textonotapie"/>
        <w:jc w:val="both"/>
        <w:rPr>
          <w:rFonts w:ascii="Avant Garde" w:hAnsi="Avant Garde" w:cs="Calibri"/>
          <w:bCs/>
          <w:i/>
          <w:sz w:val="14"/>
          <w:szCs w:val="14"/>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 xml:space="preserve">Consultable en: </w:t>
      </w:r>
      <w:hyperlink r:id="rId261" w:history="1">
        <w:r w:rsidRPr="00E512DE">
          <w:rPr>
            <w:rFonts w:ascii="Abadi" w:hAnsi="Abadi" w:cs="Calibri"/>
            <w:bCs/>
            <w:i/>
            <w:sz w:val="16"/>
            <w:szCs w:val="16"/>
          </w:rPr>
          <w:t>https://www.ohchr.org/es/treaty-bodies/cedaw/general-recommendations</w:t>
        </w:r>
      </w:hyperlink>
      <w:r w:rsidRPr="00E512DE">
        <w:rPr>
          <w:rFonts w:ascii="Abadi" w:hAnsi="Abadi" w:cs="Calibri"/>
          <w:bCs/>
          <w:i/>
          <w:sz w:val="16"/>
          <w:szCs w:val="16"/>
        </w:rPr>
        <w:t>. El Comité para la Eliminación de la Discriminación contra la Mujer formula recomendaciones sobre cualquier cuestión que afecte a las mujeres y a la que, a su juicio, los Estados parte deban prestar más atención. Hasta diciembre de 2021, el Comité ha adoptado 38 recomendaciones generales. La lista completa de las recomendaciones generales definitivas está disponible en la </w:t>
      </w:r>
      <w:hyperlink r:id="rId262" w:history="1">
        <w:r w:rsidRPr="00E512DE">
          <w:rPr>
            <w:rFonts w:ascii="Abadi" w:hAnsi="Abadi" w:cs="Calibri"/>
            <w:bCs/>
            <w:i/>
            <w:sz w:val="16"/>
            <w:szCs w:val="16"/>
          </w:rPr>
          <w:t>base de datos</w:t>
        </w:r>
      </w:hyperlink>
      <w:r w:rsidRPr="00E512DE">
        <w:rPr>
          <w:rFonts w:ascii="Abadi" w:hAnsi="Abadi" w:cs="Calibri"/>
          <w:bCs/>
          <w:i/>
          <w:sz w:val="16"/>
          <w:szCs w:val="16"/>
        </w:rPr>
        <w:t>, con documentos de apoyo sobre las recomendaciones generales</w:t>
      </w:r>
      <w:r w:rsidRPr="00CC536E">
        <w:rPr>
          <w:rFonts w:ascii="Avant Garde" w:hAnsi="Avant Garde" w:cs="Calibri"/>
          <w:bCs/>
          <w:i/>
          <w:sz w:val="14"/>
          <w:szCs w:val="14"/>
        </w:rPr>
        <w:t>.</w:t>
      </w:r>
    </w:p>
    <w:p w14:paraId="6BC72222" w14:textId="77777777" w:rsidR="00427BD6" w:rsidRDefault="00427BD6" w:rsidP="00427BD6">
      <w:pPr>
        <w:pStyle w:val="Textonotapie"/>
      </w:pPr>
    </w:p>
  </w:footnote>
  <w:footnote w:id="152">
    <w:p w14:paraId="51756764"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Convención sobre los Derechos del Niño de 1989. ACNUR (2008). Directrices del ACNUR para la determinación del interés superior del niño. Mayo de 2008.</w:t>
      </w:r>
    </w:p>
  </w:footnote>
  <w:footnote w:id="153">
    <w:p w14:paraId="200C36AE"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https://www.diputados.gob.mx/servicios/datorele/cmprtvs/iniciativas/Inic/136/2.htm</w:t>
      </w:r>
    </w:p>
  </w:footnote>
  <w:footnote w:id="154">
    <w:p w14:paraId="0F9A7267" w14:textId="77777777" w:rsidR="00427BD6" w:rsidRPr="00E512DE"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E512DE">
        <w:rPr>
          <w:rFonts w:ascii="Abadi" w:hAnsi="Abadi" w:cs="Calibri"/>
          <w:bCs/>
          <w:i/>
          <w:sz w:val="16"/>
          <w:szCs w:val="16"/>
        </w:rPr>
        <w:t xml:space="preserve">Consultable en: </w:t>
      </w:r>
      <w:hyperlink r:id="rId263" w:history="1">
        <w:r w:rsidRPr="00E512DE">
          <w:rPr>
            <w:rFonts w:ascii="Abadi" w:hAnsi="Abadi" w:cs="Calibri"/>
            <w:bCs/>
            <w:i/>
            <w:sz w:val="16"/>
            <w:szCs w:val="16"/>
          </w:rPr>
          <w:t>https://igualdad.ine.mx/mujeres-en-la-politica/violencia-politica/</w:t>
        </w:r>
      </w:hyperlink>
      <w:r w:rsidRPr="00E512DE">
        <w:rPr>
          <w:rFonts w:ascii="Abadi" w:hAnsi="Abadi" w:cs="Calibri"/>
          <w:bCs/>
          <w:i/>
          <w:sz w:val="16"/>
          <w:szCs w:val="16"/>
        </w:rPr>
        <w:t xml:space="preserve"> </w:t>
      </w:r>
    </w:p>
    <w:p w14:paraId="33238DF2" w14:textId="77777777" w:rsidR="00427BD6" w:rsidRPr="00E512DE" w:rsidRDefault="00427BD6" w:rsidP="00427BD6">
      <w:pPr>
        <w:pStyle w:val="Textonotapie"/>
        <w:jc w:val="both"/>
        <w:rPr>
          <w:rFonts w:ascii="Abadi" w:hAnsi="Abadi"/>
          <w:sz w:val="16"/>
          <w:szCs w:val="16"/>
        </w:rPr>
      </w:pPr>
      <w:r w:rsidRPr="00E512DE">
        <w:rPr>
          <w:rFonts w:ascii="Abadi" w:hAnsi="Abadi" w:cs="Calibri"/>
          <w:bCs/>
          <w:i/>
          <w:sz w:val="16"/>
          <w:szCs w:val="16"/>
        </w:rPr>
        <w:t>A partir de la reforma a diversas leyes en materia de violencia política contra las mujeres en razón de género que fue publicada el 13 de abril de 2020 en el Diario Oficial de la Federación, las áreas del Instituto Nacional Electoral (INE), analizaron el impacto normativo y propusieron al Consejo General las reformas necesarias para actualizar y armonizar el Reglamento Interior, así como, en su caso, otros cuerpos normativos que debían ser modificados con</w:t>
      </w:r>
      <w:r w:rsidRPr="00E512DE">
        <w:rPr>
          <w:rFonts w:ascii="Abadi" w:hAnsi="Abadi"/>
          <w:sz w:val="16"/>
          <w:szCs w:val="16"/>
        </w:rPr>
        <w:t xml:space="preserve"> </w:t>
      </w:r>
      <w:r w:rsidRPr="00E512DE">
        <w:rPr>
          <w:rFonts w:ascii="Abadi" w:hAnsi="Abadi" w:cs="Calibri"/>
          <w:bCs/>
          <w:i/>
          <w:sz w:val="16"/>
          <w:szCs w:val="16"/>
        </w:rPr>
        <w:t>ese motivo. Lineamientos para que los partidos nacionales y, en su caso, locales, prevengan, atiendan, sancionen, reparen y erradiquen la violencia política contra las mujeres en razón de género.</w:t>
      </w:r>
    </w:p>
  </w:footnote>
  <w:footnote w:id="155">
    <w:p w14:paraId="76093D0D" w14:textId="77777777" w:rsidR="00427BD6" w:rsidRPr="00E512DE" w:rsidRDefault="00427BD6" w:rsidP="00427BD6">
      <w:pPr>
        <w:pStyle w:val="Textonotapie"/>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Consultable en: https://dle.rae.es/punitivo 1. adj. Perteneciente o relativo al castigo. Justicia punitiva.</w:t>
      </w:r>
    </w:p>
  </w:footnote>
  <w:footnote w:id="156">
    <w:p w14:paraId="5B780824" w14:textId="77777777" w:rsidR="00427BD6" w:rsidRPr="00E512DE" w:rsidRDefault="00427BD6" w:rsidP="00427BD6">
      <w:pPr>
        <w:pStyle w:val="Textonotapie"/>
        <w:jc w:val="both"/>
        <w:rPr>
          <w:rFonts w:ascii="Abadi" w:hAnsi="Abadi" w:cs="Calibri"/>
          <w:bCs/>
          <w:i/>
          <w:sz w:val="16"/>
          <w:szCs w:val="16"/>
        </w:rPr>
      </w:pPr>
      <w:r w:rsidRPr="00E512DE">
        <w:rPr>
          <w:rStyle w:val="Refdenotaalpie"/>
          <w:rFonts w:ascii="Abadi" w:eastAsia="Calibri" w:hAnsi="Abadi"/>
          <w:sz w:val="16"/>
          <w:szCs w:val="16"/>
        </w:rPr>
        <w:footnoteRef/>
      </w:r>
      <w:r w:rsidRPr="00E512DE">
        <w:rPr>
          <w:rFonts w:ascii="Abadi" w:hAnsi="Abadi"/>
          <w:sz w:val="16"/>
          <w:szCs w:val="16"/>
        </w:rPr>
        <w:t xml:space="preserve"> </w:t>
      </w:r>
      <w:r w:rsidRPr="00E512DE">
        <w:rPr>
          <w:rFonts w:ascii="Abadi" w:hAnsi="Abadi" w:cs="Calibri"/>
          <w:bCs/>
          <w:i/>
          <w:sz w:val="16"/>
          <w:szCs w:val="16"/>
        </w:rPr>
        <w:t xml:space="preserve">Consultable en: </w:t>
      </w:r>
      <w:hyperlink r:id="rId264" w:history="1">
        <w:r w:rsidRPr="00E512DE">
          <w:rPr>
            <w:rFonts w:ascii="Abadi" w:hAnsi="Abadi" w:cs="Calibri"/>
            <w:bCs/>
            <w:i/>
            <w:sz w:val="16"/>
            <w:szCs w:val="16"/>
          </w:rPr>
          <w:t>https://www.defensorianinez.cl/preguntas_frecuentes/que-se-entiende-por-vulneracion-de-derechos/</w:t>
        </w:r>
      </w:hyperlink>
    </w:p>
    <w:p w14:paraId="26DD46FD" w14:textId="77777777" w:rsidR="00427BD6" w:rsidRPr="00E512DE" w:rsidRDefault="00427BD6" w:rsidP="00427BD6">
      <w:pPr>
        <w:pStyle w:val="Textonotapie"/>
        <w:jc w:val="both"/>
        <w:rPr>
          <w:rFonts w:ascii="Abadi" w:hAnsi="Abadi" w:cs="Calibri"/>
          <w:bCs/>
          <w:i/>
          <w:sz w:val="16"/>
          <w:szCs w:val="16"/>
        </w:rPr>
      </w:pPr>
      <w:r w:rsidRPr="00E512DE">
        <w:rPr>
          <w:rFonts w:ascii="Abadi" w:hAnsi="Abadi" w:cs="Calibri"/>
          <w:bCs/>
          <w:i/>
          <w:sz w:val="16"/>
          <w:szCs w:val="16"/>
        </w:rPr>
        <w:t>El concepto de “vulneración de derechos” corresponde a cualquier transgresión a los derechos de niños, niñas y adolescentes establecidos en la Convención sobre los Derechos del Niño, la cual puede ser constitutiva de delito o no, dependiendo de nuestra legislación. Independientemente de ello, cualquier vulneración de derechos es grave, por lo que los Estados deben realizar todas las acciones destinadas a prevenir estos hechos y a entregar mecanismos de restitución de derechos una vez ya vulnerados.</w:t>
      </w:r>
    </w:p>
  </w:footnote>
  <w:footnote w:id="157">
    <w:p w14:paraId="11F91FB2" w14:textId="77777777" w:rsidR="00427BD6" w:rsidRPr="00431439" w:rsidRDefault="00427BD6" w:rsidP="00427BD6">
      <w:pPr>
        <w:pStyle w:val="Textonotapie"/>
        <w:rPr>
          <w:rFonts w:ascii="Abadi" w:hAnsi="Abadi" w:cs="Calibri"/>
          <w:bCs/>
          <w:i/>
          <w:sz w:val="16"/>
          <w:szCs w:val="16"/>
        </w:rPr>
      </w:pPr>
      <w:r>
        <w:rPr>
          <w:rStyle w:val="Refdenotaalpie"/>
          <w:rFonts w:eastAsia="Calibri"/>
        </w:rPr>
        <w:footnoteRef/>
      </w:r>
      <w:r>
        <w:t xml:space="preserve"> </w:t>
      </w:r>
      <w:r w:rsidRPr="00431439">
        <w:rPr>
          <w:rFonts w:ascii="Abadi" w:hAnsi="Abadi" w:cs="Calibri"/>
          <w:bCs/>
          <w:i/>
          <w:sz w:val="16"/>
          <w:szCs w:val="16"/>
        </w:rPr>
        <w:t>Consultable en: https://www.senado.gob.mx/65/gaceta_del_senado/documento/133696</w:t>
      </w:r>
    </w:p>
  </w:footnote>
  <w:footnote w:id="158">
    <w:p w14:paraId="1D41A398" w14:textId="77777777" w:rsidR="00427BD6" w:rsidRPr="00431439" w:rsidRDefault="00427BD6" w:rsidP="00427BD6">
      <w:pPr>
        <w:pStyle w:val="Textonotapie"/>
        <w:jc w:val="both"/>
        <w:rPr>
          <w:rFonts w:ascii="Abadi" w:hAnsi="Abadi" w:cs="Calibri"/>
          <w:bCs/>
          <w:i/>
          <w:sz w:val="16"/>
          <w:szCs w:val="16"/>
        </w:rPr>
      </w:pPr>
      <w:r>
        <w:rPr>
          <w:rStyle w:val="Refdenotaalpie"/>
          <w:rFonts w:eastAsia="Calibri"/>
        </w:rPr>
        <w:footnoteRef/>
      </w:r>
      <w:r w:rsidRPr="00431439">
        <w:rPr>
          <w:rFonts w:ascii="Abadi" w:hAnsi="Abadi" w:cs="Calibri"/>
          <w:bCs/>
          <w:i/>
          <w:sz w:val="16"/>
          <w:szCs w:val="16"/>
        </w:rPr>
        <w:t xml:space="preserve">Consultable en: </w:t>
      </w:r>
    </w:p>
    <w:p w14:paraId="7A2DACF9" w14:textId="77777777" w:rsidR="00427BD6" w:rsidRPr="00431439" w:rsidRDefault="00000000" w:rsidP="00427BD6">
      <w:pPr>
        <w:pStyle w:val="Textonotapie"/>
        <w:jc w:val="both"/>
        <w:rPr>
          <w:rFonts w:ascii="Abadi" w:hAnsi="Abadi" w:cs="Calibri"/>
          <w:bCs/>
          <w:i/>
          <w:sz w:val="16"/>
          <w:szCs w:val="16"/>
        </w:rPr>
      </w:pPr>
      <w:hyperlink r:id="rId265" w:history="1">
        <w:r w:rsidR="00427BD6" w:rsidRPr="00431439">
          <w:rPr>
            <w:rFonts w:ascii="Abadi" w:hAnsi="Abadi"/>
            <w:sz w:val="16"/>
            <w:szCs w:val="16"/>
          </w:rPr>
          <w:t>https://www.congresogto.gob.mx/expedientes_legislativos_digitales/iniciativas?utf8=%E2%9C%93&amp;filtro_id=&amp;query=182A%2FLXV-I</w:t>
        </w:r>
      </w:hyperlink>
    </w:p>
    <w:p w14:paraId="4551B37C" w14:textId="77777777" w:rsidR="00427BD6" w:rsidRPr="00431439" w:rsidRDefault="00427BD6" w:rsidP="00427BD6">
      <w:pPr>
        <w:pStyle w:val="Textonotapie"/>
        <w:jc w:val="both"/>
        <w:rPr>
          <w:rFonts w:ascii="Abadi" w:hAnsi="Abadi" w:cs="Calibri"/>
          <w:bCs/>
          <w:i/>
          <w:sz w:val="16"/>
          <w:szCs w:val="16"/>
        </w:rPr>
      </w:pPr>
      <w:r w:rsidRPr="00431439">
        <w:rPr>
          <w:rFonts w:ascii="Abadi" w:hAnsi="Abadi" w:cs="Calibri"/>
          <w:bCs/>
          <w:i/>
          <w:sz w:val="16"/>
          <w:szCs w:val="16"/>
        </w:rPr>
        <w:t xml:space="preserve">Iniciativa establecer como requisitos de elegibilidad que las personas candidatas no estén condenadas por delitos de violencia ELD 182A/LXV-I, suscrita por las diputadas Yulma Rocha Aguilar, Martha Lourdes Ortega Roque y Dessire </w:t>
      </w:r>
      <w:proofErr w:type="spellStart"/>
      <w:r w:rsidRPr="00431439">
        <w:rPr>
          <w:rFonts w:ascii="Abadi" w:hAnsi="Abadi" w:cs="Calibri"/>
          <w:bCs/>
          <w:i/>
          <w:sz w:val="16"/>
          <w:szCs w:val="16"/>
        </w:rPr>
        <w:t>Angel</w:t>
      </w:r>
      <w:proofErr w:type="spellEnd"/>
      <w:r w:rsidRPr="00431439">
        <w:rPr>
          <w:rFonts w:ascii="Abadi" w:hAnsi="Abadi" w:cs="Calibri"/>
          <w:bCs/>
          <w:i/>
          <w:sz w:val="16"/>
          <w:szCs w:val="16"/>
        </w:rPr>
        <w:t xml:space="preserve"> Rocha por la que se reforman los artículos 46, 69 y 111 de la Constitución Política para el Estado de Guanajuato (…)</w:t>
      </w:r>
    </w:p>
    <w:p w14:paraId="6A5F6C98" w14:textId="77777777" w:rsidR="00427BD6" w:rsidRDefault="00427BD6" w:rsidP="00427BD6">
      <w:pPr>
        <w:pStyle w:val="Textonotapie"/>
      </w:pPr>
    </w:p>
  </w:footnote>
  <w:footnote w:id="159">
    <w:p w14:paraId="69D5E72C" w14:textId="77777777" w:rsidR="00427BD6" w:rsidRPr="00431439" w:rsidRDefault="00427BD6" w:rsidP="00427BD6">
      <w:pPr>
        <w:pStyle w:val="Textonotapie"/>
        <w:jc w:val="both"/>
        <w:rPr>
          <w:rFonts w:ascii="Abadi" w:hAnsi="Abadi" w:cs="Calibri"/>
          <w:bCs/>
          <w:i/>
          <w:sz w:val="16"/>
          <w:szCs w:val="16"/>
        </w:rPr>
      </w:pPr>
      <w:r>
        <w:rPr>
          <w:rStyle w:val="Refdenotaalpie"/>
          <w:rFonts w:eastAsia="Calibri"/>
        </w:rPr>
        <w:footnoteRef/>
      </w:r>
      <w:r>
        <w:t xml:space="preserve"> </w:t>
      </w:r>
      <w:r w:rsidRPr="00431439">
        <w:rPr>
          <w:rFonts w:ascii="Abadi" w:hAnsi="Abadi" w:cs="Calibri"/>
          <w:bCs/>
          <w:i/>
          <w:sz w:val="16"/>
          <w:szCs w:val="16"/>
        </w:rPr>
        <w:t>Consultable en: https://repositoriodocumental.ine.mx/xmlui/bitstream/handle/123456789/115101/CGor202010-28-ap-9-Gaceta.pdf</w:t>
      </w:r>
    </w:p>
  </w:footnote>
  <w:footnote w:id="160">
    <w:p w14:paraId="4E1268A9" w14:textId="77777777" w:rsidR="00427BD6" w:rsidRPr="00431439" w:rsidRDefault="00427BD6" w:rsidP="00427BD6">
      <w:pPr>
        <w:pStyle w:val="Textonotapie"/>
        <w:jc w:val="both"/>
        <w:rPr>
          <w:rFonts w:ascii="Abadi" w:hAnsi="Abadi" w:cs="Calibri"/>
          <w:bCs/>
          <w:i/>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cs="Calibri"/>
          <w:bCs/>
          <w:i/>
          <w:sz w:val="16"/>
          <w:szCs w:val="16"/>
        </w:rPr>
        <w:t>Consultable en: https://repositoriodocumental.ine.mx/xmlui/bitstream/handle/123456789/115101tCGor202010-28- ap-9-a.pdf</w:t>
      </w:r>
    </w:p>
  </w:footnote>
  <w:footnote w:id="161">
    <w:p w14:paraId="334607E4" w14:textId="77777777" w:rsidR="00427BD6" w:rsidRPr="00431439" w:rsidRDefault="00427BD6" w:rsidP="00427BD6">
      <w:pPr>
        <w:pStyle w:val="Textonotapie"/>
        <w:jc w:val="both"/>
        <w:rPr>
          <w:rFonts w:ascii="Abadi" w:hAnsi="Abadi" w:cs="Calibri"/>
          <w:bCs/>
          <w:i/>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cs="Calibri"/>
          <w:bCs/>
          <w:i/>
          <w:sz w:val="16"/>
          <w:szCs w:val="16"/>
        </w:rPr>
        <w:t>Consultable en: DICTAMEN DE LA COMISIÓN DE PUNTOS CONSTITUOONALES, A LAS INICIATIVAS CON PROYECTO DE DECRETO QUE PROPONEN MODIACAR LOS ARTÍCULOS 381 41, 55, 82, 95, 102 Y 108 DE LA CONSTITOOÓN POÚTICA DE LOS ESTADOS UNIDOS MEXICANOS, EN MATERIA DE SUSPENSIÓN DE DERECHOS PARA OCUPAR CARGO, EMPLEO O COMISIÓN DEL SERVICIO PÚBUCO.</w:t>
      </w:r>
    </w:p>
  </w:footnote>
  <w:footnote w:id="162">
    <w:p w14:paraId="20A99045"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 xml:space="preserve">Ley General de Acceso de las Mujeres a una Vida Libre de Violencia. (2022). https://www.diputados.gob.mx/leyesBiblio/pdf/LGAMVLV, </w:t>
      </w:r>
      <w:proofErr w:type="spellStart"/>
      <w:r w:rsidRPr="00431439">
        <w:rPr>
          <w:rFonts w:ascii="Abadi" w:hAnsi="Abadi"/>
          <w:i/>
          <w:iCs/>
          <w:sz w:val="16"/>
          <w:szCs w:val="16"/>
        </w:rPr>
        <w:t>pdf</w:t>
      </w:r>
      <w:proofErr w:type="spellEnd"/>
    </w:p>
  </w:footnote>
  <w:footnote w:id="163">
    <w:p w14:paraId="241063C3" w14:textId="77777777" w:rsidR="00427BD6" w:rsidRPr="00431439" w:rsidRDefault="00427BD6" w:rsidP="00427BD6">
      <w:pPr>
        <w:pStyle w:val="Textonotapie"/>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SESNSP. (2023). https://Www,gob.mx/sesnsp/acciones-y-prograrnas/incidencia-delictiva-del­fuero-comun-nueva-metodologiastate-published</w:t>
      </w:r>
    </w:p>
  </w:footnote>
  <w:footnote w:id="164">
    <w:p w14:paraId="23CFE843" w14:textId="77777777" w:rsidR="00427BD6" w:rsidRPr="00055B2F" w:rsidRDefault="00427BD6" w:rsidP="00427BD6">
      <w:pPr>
        <w:pStyle w:val="Textonotapie"/>
        <w:rPr>
          <w:i/>
          <w:iCs/>
          <w:sz w:val="14"/>
          <w:szCs w:val="14"/>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Consultable en: https://iieg.gob.mx/ns/wp-content/uploads/2023/01/ResultadosENDIREH2021Parte3.pdf</w:t>
      </w:r>
    </w:p>
  </w:footnote>
  <w:footnote w:id="165">
    <w:p w14:paraId="7A0E238F"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 xml:space="preserve">Ley General de Acceso de las Mujeres a una Vida Libre de Violencia. (2022). https://www.diputados.gob.mx/leyesBiblio/pdf/LGAMVLV, </w:t>
      </w:r>
      <w:proofErr w:type="spellStart"/>
      <w:r w:rsidRPr="00431439">
        <w:rPr>
          <w:rFonts w:ascii="Abadi" w:hAnsi="Abadi"/>
          <w:i/>
          <w:iCs/>
          <w:sz w:val="16"/>
          <w:szCs w:val="16"/>
        </w:rPr>
        <w:t>pdf</w:t>
      </w:r>
      <w:proofErr w:type="spellEnd"/>
    </w:p>
    <w:p w14:paraId="0B772142" w14:textId="77777777" w:rsidR="00427BD6" w:rsidRPr="00431439" w:rsidRDefault="00427BD6" w:rsidP="00427BD6">
      <w:pPr>
        <w:pStyle w:val="Textonotapie"/>
        <w:rPr>
          <w:rFonts w:ascii="Abadi" w:hAnsi="Abadi"/>
          <w:sz w:val="16"/>
          <w:szCs w:val="16"/>
        </w:rPr>
      </w:pPr>
    </w:p>
  </w:footnote>
  <w:footnote w:id="166">
    <w:p w14:paraId="7443A1A3"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INEGI A CNPJFE. (2022). https://www.inegi.org.rnx/contenidos/programas/cnpje/2022/doc/cnpje 2022 resultados.pdf</w:t>
      </w:r>
    </w:p>
  </w:footnote>
  <w:footnote w:id="167">
    <w:p w14:paraId="619CE10D"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 xml:space="preserve">INEGI. (2022A). </w:t>
      </w:r>
      <w:proofErr w:type="spellStart"/>
      <w:r w:rsidRPr="00431439">
        <w:rPr>
          <w:rFonts w:ascii="Abadi" w:hAnsi="Abadi"/>
          <w:i/>
          <w:iCs/>
          <w:sz w:val="16"/>
          <w:szCs w:val="16"/>
        </w:rPr>
        <w:t>lbid</w:t>
      </w:r>
      <w:proofErr w:type="spellEnd"/>
      <w:r w:rsidRPr="00431439">
        <w:rPr>
          <w:rFonts w:ascii="Abadi" w:hAnsi="Abadi"/>
          <w:i/>
          <w:iCs/>
          <w:sz w:val="16"/>
          <w:szCs w:val="16"/>
        </w:rPr>
        <w:t>. httos://www.inegj.org.mx/contenidos/programas/cnpie/2022/doc/cnpie 2022 resullados.pdf</w:t>
      </w:r>
    </w:p>
  </w:footnote>
  <w:footnote w:id="168">
    <w:p w14:paraId="5A728CDB" w14:textId="77777777" w:rsidR="00427BD6" w:rsidRPr="00431439" w:rsidRDefault="00427BD6" w:rsidP="00427BD6">
      <w:pPr>
        <w:pStyle w:val="Textonotapie"/>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 xml:space="preserve">Consultable en: </w:t>
      </w:r>
      <w:proofErr w:type="gramStart"/>
      <w:r w:rsidRPr="00431439">
        <w:rPr>
          <w:rFonts w:ascii="Abadi" w:hAnsi="Abadi"/>
          <w:i/>
          <w:iCs/>
          <w:sz w:val="16"/>
          <w:szCs w:val="16"/>
        </w:rPr>
        <w:t>https:/lwww.inegl,org.mx/contenidos/saladeprensa/botetines120221EstPiYLPivorcios2o21.pdf</w:t>
      </w:r>
      <w:proofErr w:type="gramEnd"/>
    </w:p>
  </w:footnote>
  <w:footnote w:id="169">
    <w:p w14:paraId="7792A54A" w14:textId="77777777" w:rsidR="00427BD6" w:rsidRPr="00431439" w:rsidRDefault="00427BD6" w:rsidP="00427BD6">
      <w:pPr>
        <w:pStyle w:val="Textonotapie"/>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Consultable en: https://www.inegi.org.mx/contenidos/programas/ccpv/2020/doc/cpv2020_pres_res_gto.pdf</w:t>
      </w:r>
    </w:p>
  </w:footnote>
  <w:footnote w:id="170">
    <w:p w14:paraId="4FDC1220"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proofErr w:type="gramStart"/>
      <w:r w:rsidRPr="00431439">
        <w:rPr>
          <w:rFonts w:ascii="Abadi" w:hAnsi="Abadi"/>
          <w:i/>
          <w:iCs/>
          <w:sz w:val="16"/>
          <w:szCs w:val="16"/>
        </w:rPr>
        <w:t>Consultableen:ttps:/lwww.inegi.org.mx/contenidos/saladeprensa/aproposito/2022/EAPPadre22</w:t>
      </w:r>
      <w:proofErr w:type="gramEnd"/>
      <w:r w:rsidRPr="00431439">
        <w:rPr>
          <w:rFonts w:ascii="Abadi" w:hAnsi="Abadi"/>
          <w:i/>
          <w:iCs/>
          <w:sz w:val="16"/>
          <w:szCs w:val="16"/>
        </w:rPr>
        <w:t>,docx#:-:text-Estad%C3%ADsticas%20a%2Dprop%C3%B3sito%20delo/o20D%C3%ADa%20del%20Padre&amp;text-De%20acuerdoo/o20con%20elo/o20Censo.reside%20en%20la%20misma%20vjvienda.</w:t>
      </w:r>
    </w:p>
  </w:footnote>
  <w:footnote w:id="171">
    <w:p w14:paraId="48B03469" w14:textId="77777777" w:rsidR="00427BD6" w:rsidRPr="00431439" w:rsidRDefault="00427BD6" w:rsidP="00427BD6">
      <w:pPr>
        <w:pStyle w:val="Textonotapie"/>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Consultable en: https://www.oas.org/juridico/spanish/tratados/a-61.html</w:t>
      </w:r>
    </w:p>
  </w:footnote>
  <w:footnote w:id="172">
    <w:p w14:paraId="2AD7715E"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 xml:space="preserve">Consultables sus exposiciones de motivos, además de este dictamen a través de los </w:t>
      </w:r>
      <w:proofErr w:type="spellStart"/>
      <w:r w:rsidRPr="00431439">
        <w:rPr>
          <w:rFonts w:ascii="Abadi" w:hAnsi="Abadi"/>
          <w:i/>
          <w:iCs/>
          <w:sz w:val="16"/>
          <w:szCs w:val="16"/>
        </w:rPr>
        <w:t>ELD´s</w:t>
      </w:r>
      <w:proofErr w:type="spellEnd"/>
      <w:r w:rsidRPr="00431439">
        <w:rPr>
          <w:rFonts w:ascii="Abadi" w:hAnsi="Abadi"/>
          <w:i/>
          <w:iCs/>
          <w:sz w:val="16"/>
          <w:szCs w:val="16"/>
        </w:rPr>
        <w:t xml:space="preserve"> 182A/LXV-I, 449/LXV-I Y 507/LXV-I en https://www.congresogto.gob.mx/expedientes-legislativos-digitales</w:t>
      </w:r>
    </w:p>
  </w:footnote>
  <w:footnote w:id="173">
    <w:p w14:paraId="2624F918" w14:textId="77777777" w:rsidR="00427BD6" w:rsidRPr="00DB7A20" w:rsidRDefault="00427BD6" w:rsidP="00427BD6">
      <w:pPr>
        <w:pStyle w:val="Textonotapie"/>
        <w:jc w:val="both"/>
        <w:rPr>
          <w:i/>
          <w:iCs/>
          <w:sz w:val="14"/>
          <w:szCs w:val="14"/>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DECRETO LEGISLATIVO POR EL QUE</w:t>
      </w:r>
      <w:r w:rsidRPr="00431439">
        <w:rPr>
          <w:rFonts w:ascii="Abadi" w:hAnsi="Abadi"/>
          <w:sz w:val="16"/>
          <w:szCs w:val="16"/>
        </w:rPr>
        <w:t xml:space="preserve"> </w:t>
      </w:r>
      <w:r w:rsidRPr="00431439">
        <w:rPr>
          <w:rFonts w:ascii="Abadi" w:hAnsi="Abadi"/>
          <w:i/>
          <w:iCs/>
          <w:sz w:val="16"/>
          <w:szCs w:val="16"/>
        </w:rPr>
        <w:t>SE REFORMAN Y ADICIONAN LOS ARTÍCULOS 38 Y 102 DE LA CONSTITUCIÓN POLÍTICA DE LOS ESTADOS UNIDOS MEXICANOS, EN MATERIA DE SUSPENSIÓN DE DERECHOS PARA OCUPAR CARGO, EMPLEO O COMISIÓN DEL SERVICIO PÚBLICO. DOF: 29/05/2023 Consultable en https://www.dof.gob.mx/nota_detalle.php?codigo=5690265&amp;fecha=29/05/2023#gsc.tab=0</w:t>
      </w:r>
    </w:p>
  </w:footnote>
  <w:footnote w:id="174">
    <w:p w14:paraId="7374CE4E" w14:textId="77777777" w:rsidR="00427BD6" w:rsidRPr="00431439" w:rsidRDefault="00427BD6" w:rsidP="00427BD6">
      <w:pPr>
        <w:pStyle w:val="Textonotapie"/>
        <w:jc w:val="both"/>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El reconocimiento de los derechos humanos y fundamentales y su realización, se ha fortalecido a partir de la reforma de 10 junio de 2011, al mutar la base filosófica de la Constitución que tornó la vocación positivista de la Ley Fundamental a una visión de corte axiológico que pugna por realizar los bienes y valores fundamentales, en la visión de corte axiológico que pugna por realizar los bienes y valores fundamentales, en la cual justamente se comprenden aquellos que la iniciativa que se analiza busca proteger.</w:t>
      </w:r>
    </w:p>
  </w:footnote>
  <w:footnote w:id="175">
    <w:p w14:paraId="631B7634" w14:textId="77777777" w:rsidR="00427BD6" w:rsidRPr="00431439" w:rsidRDefault="00427BD6" w:rsidP="00427BD6">
      <w:pPr>
        <w:pStyle w:val="Textonotapie"/>
        <w:rPr>
          <w:rFonts w:ascii="Abadi" w:hAnsi="Abadi"/>
          <w:i/>
          <w:iCs/>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w:t>
      </w:r>
      <w:r w:rsidRPr="00431439">
        <w:rPr>
          <w:rFonts w:ascii="Abadi" w:hAnsi="Abadi"/>
          <w:i/>
          <w:iCs/>
          <w:sz w:val="16"/>
          <w:szCs w:val="16"/>
        </w:rPr>
        <w:t>Consultable en:</w:t>
      </w:r>
      <w:r w:rsidRPr="00431439">
        <w:rPr>
          <w:rFonts w:ascii="Abadi" w:hAnsi="Abadi"/>
          <w:sz w:val="16"/>
          <w:szCs w:val="16"/>
        </w:rPr>
        <w:t xml:space="preserve"> </w:t>
      </w:r>
      <w:hyperlink r:id="rId266" w:anchor="gsc.tab=0" w:history="1">
        <w:r w:rsidRPr="00431439">
          <w:rPr>
            <w:rStyle w:val="Hipervnculo"/>
            <w:rFonts w:ascii="Abadi" w:hAnsi="Abadi"/>
            <w:i/>
            <w:iCs/>
            <w:sz w:val="16"/>
            <w:szCs w:val="16"/>
          </w:rPr>
          <w:t>https://www.dof.gob.mx/nota_detalle.php?codigo=5690265&amp;fecha=29/05/2023#gsc.tab=0</w:t>
        </w:r>
      </w:hyperlink>
    </w:p>
    <w:p w14:paraId="2F928A13" w14:textId="77777777" w:rsidR="00427BD6" w:rsidRPr="00431439" w:rsidRDefault="00427BD6" w:rsidP="00427BD6">
      <w:pPr>
        <w:pStyle w:val="Textonotapie"/>
        <w:jc w:val="both"/>
        <w:rPr>
          <w:rFonts w:ascii="Abadi" w:hAnsi="Abadi"/>
          <w:i/>
          <w:iCs/>
          <w:sz w:val="16"/>
          <w:szCs w:val="16"/>
        </w:rPr>
      </w:pPr>
      <w:r w:rsidRPr="00431439">
        <w:rPr>
          <w:rFonts w:ascii="Abadi" w:hAnsi="Abadi"/>
          <w:i/>
          <w:iCs/>
          <w:sz w:val="16"/>
          <w:szCs w:val="16"/>
        </w:rPr>
        <w:t>Establece ese decreto legislativo en su Artículo Segundo Transitorio que: Dentro de los 180 días naturales siguientes a su entrada en vigor, el Congreso de la Unión y las Legislaturas de las Entidades Federativas, deberán ajustar sus Constituciones y demás legislación que sea necesaria, a fin de dar cumplimiento al presente Decreto.</w:t>
      </w:r>
    </w:p>
  </w:footnote>
  <w:footnote w:id="176">
    <w:p w14:paraId="23C7C4EF" w14:textId="77777777" w:rsidR="00427BD6" w:rsidRPr="006C4DCB" w:rsidRDefault="00427BD6" w:rsidP="00427BD6">
      <w:pPr>
        <w:pStyle w:val="NormalWeb"/>
        <w:shd w:val="clear" w:color="auto" w:fill="FFFFFF"/>
        <w:spacing w:before="0" w:beforeAutospacing="0" w:after="0" w:afterAutospacing="0"/>
        <w:rPr>
          <w:i/>
          <w:iCs/>
          <w:sz w:val="14"/>
          <w:szCs w:val="14"/>
        </w:rPr>
      </w:pPr>
      <w:r w:rsidRPr="00431439">
        <w:rPr>
          <w:rStyle w:val="Refdenotaalpie"/>
          <w:rFonts w:ascii="Abadi" w:eastAsia="Calibri" w:hAnsi="Abadi"/>
          <w:sz w:val="16"/>
          <w:szCs w:val="16"/>
          <w:lang w:eastAsia="en-US"/>
        </w:rPr>
        <w:footnoteRef/>
      </w:r>
      <w:r w:rsidRPr="00431439">
        <w:rPr>
          <w:rFonts w:ascii="Abadi" w:hAnsi="Abadi"/>
          <w:sz w:val="16"/>
          <w:szCs w:val="16"/>
        </w:rPr>
        <w:t xml:space="preserve"> </w:t>
      </w:r>
      <w:r w:rsidRPr="00431439">
        <w:rPr>
          <w:rFonts w:ascii="Abadi" w:hAnsi="Abadi"/>
          <w:i/>
          <w:iCs/>
          <w:sz w:val="16"/>
          <w:szCs w:val="16"/>
        </w:rPr>
        <w:t xml:space="preserve">Por mencionar un ejemplo, los requisitos para ser Diputado Federal y Senador. Fuente: Artículos: </w:t>
      </w:r>
      <w:hyperlink r:id="rId267" w:anchor="t3_c2_s1_txt" w:history="1">
        <w:r w:rsidRPr="00431439">
          <w:rPr>
            <w:rFonts w:ascii="Abadi" w:hAnsi="Abadi"/>
            <w:i/>
            <w:iCs/>
            <w:sz w:val="16"/>
            <w:szCs w:val="16"/>
          </w:rPr>
          <w:t>55 y 58 de la CPEUM.</w:t>
        </w:r>
      </w:hyperlink>
      <w:r w:rsidRPr="00431439">
        <w:rPr>
          <w:rFonts w:ascii="Abadi" w:hAnsi="Abadi"/>
          <w:i/>
          <w:iCs/>
          <w:sz w:val="16"/>
          <w:szCs w:val="16"/>
        </w:rPr>
        <w:t xml:space="preserve"> </w:t>
      </w:r>
      <w:hyperlink r:id="rId268" w:anchor="l2_c2_txt" w:history="1">
        <w:r w:rsidRPr="00431439">
          <w:rPr>
            <w:rFonts w:ascii="Abadi" w:hAnsi="Abadi"/>
            <w:i/>
            <w:iCs/>
            <w:sz w:val="16"/>
            <w:szCs w:val="16"/>
          </w:rPr>
          <w:t>10 y 381 de la LGIPE</w:t>
        </w:r>
      </w:hyperlink>
      <w:r w:rsidRPr="00431439">
        <w:rPr>
          <w:rFonts w:ascii="Abadi" w:hAnsi="Abadi"/>
          <w:i/>
          <w:iCs/>
          <w:sz w:val="16"/>
          <w:szCs w:val="16"/>
        </w:rPr>
        <w:t>. Consultable en: https://www.te.gob.mx/candidaturas-independientes/content/requisitos-de-elegibilidad</w:t>
      </w:r>
    </w:p>
  </w:footnote>
  <w:footnote w:id="177">
    <w:p w14:paraId="41DAC9FC" w14:textId="3BE35E90" w:rsidR="00427BD6" w:rsidRPr="00B523A3" w:rsidRDefault="00427BD6" w:rsidP="00427BD6">
      <w:pPr>
        <w:pStyle w:val="Textonotapie"/>
        <w:jc w:val="both"/>
        <w:rPr>
          <w:sz w:val="16"/>
          <w:szCs w:val="16"/>
        </w:rPr>
      </w:pPr>
      <w:r w:rsidRPr="00431439">
        <w:rPr>
          <w:rStyle w:val="Refdenotaalpie"/>
          <w:rFonts w:ascii="Abadi" w:eastAsia="Calibri" w:hAnsi="Abadi"/>
          <w:sz w:val="16"/>
          <w:szCs w:val="16"/>
        </w:rPr>
        <w:footnoteRef/>
      </w:r>
      <w:r w:rsidRPr="00431439">
        <w:rPr>
          <w:rFonts w:ascii="Abadi" w:hAnsi="Abadi"/>
          <w:sz w:val="16"/>
          <w:szCs w:val="16"/>
        </w:rPr>
        <w:t xml:space="preserve">  Rodríguez y Rodríguez, Jesús, “Derechos Humanos”, Diccionario Jurídico Mexicano, </w:t>
      </w:r>
      <w:proofErr w:type="spellStart"/>
      <w:r w:rsidRPr="00431439">
        <w:rPr>
          <w:rFonts w:ascii="Abadi" w:hAnsi="Abadi"/>
          <w:sz w:val="16"/>
          <w:szCs w:val="16"/>
        </w:rPr>
        <w:t>Op</w:t>
      </w:r>
      <w:proofErr w:type="spellEnd"/>
      <w:r w:rsidRPr="00431439">
        <w:rPr>
          <w:rFonts w:ascii="Abadi" w:hAnsi="Abadi"/>
          <w:sz w:val="16"/>
          <w:szCs w:val="16"/>
        </w:rPr>
        <w:t>. cit., nota 25, pág. 1268. Una de las nobles características de los derechos humanos consiste en que se reconocen a todos los seres humanos sin distinción de origen, credo, nacionalidad, orientación sexual, ni ningún otro criterio que le discrimine</w:t>
      </w:r>
      <w:r w:rsidRPr="00B523A3">
        <w:rPr>
          <w:sz w:val="16"/>
          <w:szCs w:val="16"/>
        </w:rPr>
        <w:t>.</w:t>
      </w:r>
    </w:p>
  </w:footnote>
  <w:footnote w:id="178">
    <w:p w14:paraId="01839521" w14:textId="77777777" w:rsidR="00427BD6" w:rsidRPr="008B326D" w:rsidRDefault="00427BD6" w:rsidP="00427BD6">
      <w:pPr>
        <w:pStyle w:val="Textonotapie"/>
        <w:rPr>
          <w:rFonts w:ascii="Abadi" w:hAnsi="Abadi"/>
          <w:sz w:val="16"/>
          <w:szCs w:val="16"/>
        </w:rPr>
      </w:pPr>
      <w:r>
        <w:rPr>
          <w:rStyle w:val="Refdenotaalpie"/>
          <w:rFonts w:eastAsia="Calibri"/>
        </w:rPr>
        <w:footnoteRef/>
      </w:r>
      <w:r>
        <w:t xml:space="preserve"> </w:t>
      </w:r>
      <w:r w:rsidRPr="008B326D">
        <w:rPr>
          <w:rFonts w:ascii="Abadi" w:hAnsi="Abadi"/>
          <w:i/>
          <w:iCs/>
          <w:sz w:val="16"/>
          <w:szCs w:val="16"/>
          <w:lang w:eastAsia="es-MX"/>
        </w:rPr>
        <w:t>Consultable en:</w:t>
      </w:r>
      <w:r w:rsidRPr="008B326D">
        <w:rPr>
          <w:rFonts w:ascii="Abadi" w:hAnsi="Abadi"/>
          <w:sz w:val="16"/>
          <w:szCs w:val="16"/>
        </w:rPr>
        <w:t xml:space="preserve"> </w:t>
      </w:r>
      <w:r w:rsidRPr="008B326D">
        <w:rPr>
          <w:rFonts w:ascii="Abadi" w:hAnsi="Abadi"/>
          <w:i/>
          <w:iCs/>
          <w:sz w:val="16"/>
          <w:szCs w:val="16"/>
          <w:lang w:eastAsia="es-MX"/>
        </w:rPr>
        <w:t>https://www.congresogto.gob.mx/constitucion-politica-del-estado-de-guanajuato</w:t>
      </w:r>
    </w:p>
  </w:footnote>
  <w:footnote w:id="179">
    <w:p w14:paraId="2FFCB887" w14:textId="77777777" w:rsidR="00427BD6" w:rsidRPr="008B326D" w:rsidRDefault="00427BD6" w:rsidP="00427BD6">
      <w:pPr>
        <w:pStyle w:val="Textoindependiente"/>
        <w:rPr>
          <w:rFonts w:ascii="Abadi" w:hAnsi="Abadi"/>
          <w:b w:val="0"/>
          <w:bCs w:val="0"/>
          <w:sz w:val="16"/>
          <w:szCs w:val="16"/>
        </w:rPr>
      </w:pPr>
      <w:r w:rsidRPr="008B326D">
        <w:rPr>
          <w:rStyle w:val="Refdenotaalpie"/>
          <w:rFonts w:ascii="Abadi" w:eastAsia="Calibri" w:hAnsi="Abadi" w:cs="Times New Roman"/>
          <w:b w:val="0"/>
          <w:bCs w:val="0"/>
          <w:sz w:val="16"/>
          <w:szCs w:val="16"/>
          <w:lang w:val="es-MX" w:eastAsia="en-US"/>
        </w:rPr>
        <w:footnoteRef/>
      </w:r>
      <w:r w:rsidRPr="008B326D">
        <w:rPr>
          <w:rFonts w:ascii="Abadi" w:eastAsia="Calibri" w:hAnsi="Abadi" w:cs="Times New Roman"/>
          <w:b w:val="0"/>
          <w:bCs w:val="0"/>
          <w:i/>
          <w:iCs/>
          <w:sz w:val="16"/>
          <w:szCs w:val="16"/>
          <w:lang w:val="es-MX" w:eastAsia="en-US"/>
        </w:rPr>
        <w:t>La elegibilidad es un calificativo que denota la posibilidad de ser elegido o electo dentro de una República representativa, democrática y federal; se entiende que existen cargos de elección popular, que cada tres o seis años se deberán elegir mediante elecciones auténticas, libres y periódicas. Tanto a nivel federal como local, la posibilidad de ser votado a cualquiera de los cargos de elección popular está supeditada a los requisitos que enmarcan tanto la Constitución Política de los Estados Unidos Mexicanos como la Constitución Política del Estado (…) </w:t>
      </w:r>
      <w:r w:rsidRPr="008B326D">
        <w:rPr>
          <w:rFonts w:ascii="Abadi" w:eastAsia="Calibri" w:hAnsi="Abadi" w:cs="Times New Roman"/>
          <w:b w:val="0"/>
          <w:bCs w:val="0"/>
          <w:sz w:val="16"/>
          <w:szCs w:val="16"/>
          <w:lang w:val="es-MX" w:eastAsia="en-US"/>
        </w:rPr>
        <w:t>Consultable en: https://www.scielo.br/j/rinc/a/cj6hgxbtFCZDpXSW743dK6R/</w:t>
      </w:r>
    </w:p>
  </w:footnote>
  <w:footnote w:id="180">
    <w:p w14:paraId="0D3FECF6" w14:textId="77777777" w:rsidR="00427BD6" w:rsidRPr="008B326D" w:rsidRDefault="00427BD6" w:rsidP="00427BD6">
      <w:pPr>
        <w:pStyle w:val="Textonotapie"/>
        <w:rPr>
          <w:rFonts w:ascii="Abadi" w:hAnsi="Abadi"/>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Consultable en: https://www.te.gob.mx/IUSEapp/</w:t>
      </w:r>
    </w:p>
  </w:footnote>
  <w:footnote w:id="181">
    <w:p w14:paraId="68725725" w14:textId="77777777" w:rsidR="00427BD6" w:rsidRPr="008B326D" w:rsidRDefault="00427BD6" w:rsidP="00427BD6">
      <w:pPr>
        <w:pStyle w:val="Textonotapie"/>
        <w:rPr>
          <w:rFonts w:ascii="Abadi" w:hAnsi="Abadi"/>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Consultable en: </w:t>
      </w:r>
      <w:hyperlink r:id="rId269" w:history="1">
        <w:r w:rsidRPr="008B326D">
          <w:rPr>
            <w:rStyle w:val="Hipervnculo"/>
            <w:rFonts w:ascii="Abadi" w:hAnsi="Abadi"/>
            <w:sz w:val="16"/>
            <w:szCs w:val="16"/>
          </w:rPr>
          <w:t>https://www.cndh.org.mx/documento/accion-de-inconstitucionalidad-552022</w:t>
        </w:r>
      </w:hyperlink>
    </w:p>
    <w:p w14:paraId="05860A5D" w14:textId="77777777" w:rsidR="00427BD6" w:rsidRPr="008B326D" w:rsidRDefault="00427BD6" w:rsidP="00427BD6">
      <w:pPr>
        <w:pStyle w:val="Textonotapie"/>
        <w:jc w:val="both"/>
        <w:rPr>
          <w:rFonts w:ascii="Abadi" w:hAnsi="Abadi"/>
          <w:sz w:val="16"/>
          <w:szCs w:val="16"/>
        </w:rPr>
      </w:pPr>
      <w:r w:rsidRPr="008B326D">
        <w:rPr>
          <w:rFonts w:ascii="Abadi" w:hAnsi="Abadi"/>
          <w:sz w:val="16"/>
          <w:szCs w:val="16"/>
        </w:rPr>
        <w:t>CUARTO. Se reconoce la validez de los artículos 9 -al tenor de la interpretación conforme, en virtud de la cual, el impedimento relativo a estar condenada o condenado por los delitos que se prevén en el citado numeral se refiere necesariamente a una sentencia de condena definitiva y solamente durante el tiempo en que se cumpla la pena aplicada-, 81 Bis 2, en su porción normativa “mismo que presentarán para su registro ante el Presidente de la Comisión Estatal Electoral, a más tardar treinta días antes del inicio del periodo de precampaña de la elección de que se trate.”, 81 Bis 3, fracción II, 144, párrafo tercero -al tenor de la interpretación conforme, en virtud de la cual, el impedimento relativo a estar condenada o condenado por los delitos que se prevén en el citado numeral se refiere necesariamente a una sentencia de condena definitiva y solamente durante el tiempo en que se cumpla la pena aplicada-, 144 bis 2, 144 bis 3, y 239,fracción II, en su porción normativa “como un círculo o sombreado”, de la Ley Electoral para el Estado de Nuevo León, reformados y adicionados mediante el Decreto número 097 publicado en el Periódico Oficial de dicha entidad federativa el cuatro de marzo de dos mil veintidós, conforme a lo expuesto en el apartado VI de esta determinación.</w:t>
      </w:r>
    </w:p>
  </w:footnote>
  <w:footnote w:id="182">
    <w:p w14:paraId="02483A66" w14:textId="77777777" w:rsidR="00427BD6" w:rsidRPr="008B326D" w:rsidRDefault="00427BD6" w:rsidP="00427BD6">
      <w:pPr>
        <w:pStyle w:val="Textonotapie"/>
        <w:rPr>
          <w:rFonts w:ascii="Abadi" w:hAnsi="Abadi"/>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Consultable en: https://journals.openedition.org/polis/6581</w:t>
      </w:r>
    </w:p>
  </w:footnote>
  <w:footnote w:id="183">
    <w:p w14:paraId="27F51FC4" w14:textId="77777777" w:rsidR="00427BD6" w:rsidRPr="008B326D" w:rsidRDefault="00427BD6" w:rsidP="00427BD6">
      <w:pPr>
        <w:pStyle w:val="Textonotapie"/>
        <w:jc w:val="both"/>
        <w:rPr>
          <w:rFonts w:ascii="Abadi" w:hAnsi="Abadi"/>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Ídem. Hernández-Rubio, 1987:398). Con todo, se enfatiza un aspecto medular de la ciudadanía: “la ciudadanía encierra, pues, una relación de la persona con el Estado. La misma no se agota por la mera nacionalidad, que puede darse sin aquélla. El hombre ciudadano es, a diferencia del simple súbdito, un ser que participa de algún modo en la sociedad política (</w:t>
      </w:r>
      <w:proofErr w:type="spellStart"/>
      <w:r w:rsidRPr="008B326D">
        <w:rPr>
          <w:rFonts w:ascii="Abadi" w:hAnsi="Abadi"/>
          <w:sz w:val="16"/>
          <w:szCs w:val="16"/>
        </w:rPr>
        <w:t>Ibid</w:t>
      </w:r>
      <w:proofErr w:type="spellEnd"/>
      <w:r w:rsidRPr="008B326D">
        <w:rPr>
          <w:rFonts w:ascii="Abadi" w:hAnsi="Abadi"/>
          <w:sz w:val="16"/>
          <w:szCs w:val="16"/>
        </w:rPr>
        <w:t>: 399)</w:t>
      </w:r>
    </w:p>
    <w:p w14:paraId="01D06B57" w14:textId="77777777" w:rsidR="00427BD6" w:rsidRPr="008B326D" w:rsidRDefault="00427BD6" w:rsidP="00427BD6">
      <w:pPr>
        <w:pStyle w:val="Textonotapie"/>
        <w:jc w:val="both"/>
        <w:rPr>
          <w:rFonts w:ascii="Abadi" w:hAnsi="Abadi"/>
          <w:sz w:val="16"/>
          <w:szCs w:val="16"/>
        </w:rPr>
      </w:pPr>
      <w:r w:rsidRPr="008B326D">
        <w:rPr>
          <w:rFonts w:ascii="Abadi" w:hAnsi="Abadi"/>
          <w:sz w:val="16"/>
          <w:szCs w:val="16"/>
        </w:rPr>
        <w:t>No se deben confundir los conceptos nacionalidad y ciudadanía. La nacionalidad es una especial condición de sometimiento político de una persona a un Estado determinado, sea por haber nacido en su territorio, sea por descender de padres naturales de ese Estado, sea por haber convenido voluntariamente en sujetarse políticamente a él. La ciudadanía, en cambio, es la calidad que adquiere el que, teniendo una nacionalidad y habiendo cumplido las condiciones legales requeridas, asume el ejercicio de los derechos políticos que le habilitan para tomar parte activa en la vida pública del Estado y se somete a los deberes que le impone su calidad. Por tanto, está claro que no puede haber ciudadanía sin nacionalidad, puesto que ésta es condición necesaria para aquélla, pero sí puede haber nacionalidad sin ciudadanía, como en el caso de los menores de edad o de los adultos interdictos por cualquier causa, que pertenecen al Estado pero que no tienen el uso de los derechos políticos (Borja, 2002: 177).</w:t>
      </w:r>
    </w:p>
    <w:p w14:paraId="33B29783" w14:textId="77777777" w:rsidR="00427BD6" w:rsidRPr="008B326D" w:rsidRDefault="00427BD6" w:rsidP="00427BD6">
      <w:pPr>
        <w:pStyle w:val="Textonotapie"/>
        <w:jc w:val="both"/>
        <w:rPr>
          <w:rFonts w:ascii="Abadi" w:hAnsi="Abadi"/>
          <w:sz w:val="16"/>
          <w:szCs w:val="16"/>
        </w:rPr>
      </w:pPr>
    </w:p>
  </w:footnote>
  <w:footnote w:id="184">
    <w:p w14:paraId="656B4B31" w14:textId="77777777" w:rsidR="00427BD6" w:rsidRPr="00415560" w:rsidRDefault="00427BD6" w:rsidP="00427BD6">
      <w:pPr>
        <w:pStyle w:val="Textonotapie"/>
        <w:jc w:val="both"/>
        <w:rPr>
          <w:sz w:val="16"/>
          <w:szCs w:val="16"/>
        </w:rPr>
      </w:pPr>
      <w:r>
        <w:rPr>
          <w:rStyle w:val="Refdenotaalpie"/>
          <w:rFonts w:eastAsia="Calibri"/>
        </w:rPr>
        <w:footnoteRef/>
      </w:r>
      <w:r>
        <w:t xml:space="preserve"> </w:t>
      </w:r>
      <w:r w:rsidRPr="008B326D">
        <w:rPr>
          <w:rFonts w:ascii="Abadi" w:hAnsi="Abadi"/>
          <w:sz w:val="16"/>
          <w:szCs w:val="16"/>
        </w:rPr>
        <w:t xml:space="preserve">Ensayo Problemas del Derecho Antidiscriminatorio: Subordinación Versus Discriminación y Acción Positiva Versus Igualdad de Oportunidades, por M. </w:t>
      </w:r>
      <w:proofErr w:type="spellStart"/>
      <w:r w:rsidRPr="008B326D">
        <w:rPr>
          <w:rFonts w:ascii="Abadi" w:hAnsi="Abadi"/>
          <w:sz w:val="16"/>
          <w:szCs w:val="16"/>
        </w:rPr>
        <w:t>Barrére</w:t>
      </w:r>
      <w:proofErr w:type="spellEnd"/>
      <w:r w:rsidRPr="008B326D">
        <w:rPr>
          <w:rFonts w:ascii="Abadi" w:hAnsi="Abadi"/>
          <w:sz w:val="16"/>
          <w:szCs w:val="16"/>
        </w:rPr>
        <w:t xml:space="preserve"> Unzueta, de la Universidad del País Vasco. Consultable en: https://www.uv.es/cefd/9/barrere3.pdf</w:t>
      </w:r>
    </w:p>
  </w:footnote>
  <w:footnote w:id="185">
    <w:p w14:paraId="60307608" w14:textId="77777777" w:rsidR="00427BD6" w:rsidRPr="008B326D" w:rsidRDefault="00427BD6" w:rsidP="00427BD6">
      <w:pPr>
        <w:pStyle w:val="Textonotapie"/>
        <w:jc w:val="both"/>
        <w:rPr>
          <w:rFonts w:ascii="Abadi" w:hAnsi="Abadi" w:cs="Arial"/>
          <w:bCs/>
          <w:sz w:val="16"/>
          <w:szCs w:val="16"/>
        </w:rPr>
      </w:pPr>
      <w:r>
        <w:rPr>
          <w:rStyle w:val="Refdenotaalpie"/>
          <w:rFonts w:eastAsia="Calibri"/>
        </w:rPr>
        <w:footnoteRef/>
      </w:r>
      <w:r>
        <w:t xml:space="preserve"> </w:t>
      </w:r>
      <w:r w:rsidRPr="008B326D">
        <w:rPr>
          <w:rFonts w:ascii="Abadi" w:hAnsi="Abadi"/>
          <w:i/>
          <w:iCs/>
          <w:sz w:val="16"/>
          <w:szCs w:val="16"/>
        </w:rPr>
        <w:t>Artículo escrito por la Consejera Norma de la Cruz, de fecha 28 de febrero de 2023. Consultable en: https://www.ine.mx/cuadernos-divulgacion-la-cultura-democratica/</w:t>
      </w:r>
      <w:r w:rsidRPr="008B326D">
        <w:rPr>
          <w:rFonts w:ascii="Abadi" w:hAnsi="Abadi" w:cs="Arial"/>
          <w:bCs/>
          <w:sz w:val="16"/>
          <w:szCs w:val="16"/>
        </w:rPr>
        <w:t xml:space="preserve"> </w:t>
      </w:r>
    </w:p>
    <w:p w14:paraId="3E2D0BF0"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 xml:space="preserve">Del 14 de abril de 2020 al 20 de febrero de 2023, se recibieron un total de 261 denuncias por violencia política en razón de género, identificando un total de 343 víctimas y 579 probables infractores; de esos 579 probables infractores, el 18.5% son personas morales, partidos políticos y medios digitales, mientras que el 81.5% son personas físicas, 471 personas. De lo anterior, se destaca que son los hombres quienes más ejercen violencia, ya que representan el 75% de la totalidad de las personas físicas denunciadas; resaltando que, el 25% restante son mujeres </w:t>
      </w:r>
      <w:r w:rsidRPr="008B326D">
        <w:rPr>
          <w:rFonts w:ascii="Arial" w:hAnsi="Arial" w:cs="Arial"/>
          <w:i/>
          <w:iCs/>
          <w:sz w:val="16"/>
          <w:szCs w:val="16"/>
        </w:rPr>
        <w:t>―</w:t>
      </w:r>
      <w:r w:rsidRPr="008B326D">
        <w:rPr>
          <w:rFonts w:ascii="Abadi" w:hAnsi="Abadi"/>
          <w:i/>
          <w:iCs/>
          <w:sz w:val="16"/>
          <w:szCs w:val="16"/>
        </w:rPr>
        <w:t>353 hombres y 118 mujeres</w:t>
      </w:r>
      <w:r w:rsidRPr="008B326D">
        <w:rPr>
          <w:rFonts w:ascii="Arial" w:hAnsi="Arial" w:cs="Arial"/>
          <w:i/>
          <w:iCs/>
          <w:sz w:val="16"/>
          <w:szCs w:val="16"/>
        </w:rPr>
        <w:t>―</w:t>
      </w:r>
      <w:r w:rsidRPr="008B326D">
        <w:rPr>
          <w:rFonts w:ascii="Abadi" w:hAnsi="Abadi"/>
          <w:i/>
          <w:iCs/>
          <w:sz w:val="16"/>
          <w:szCs w:val="16"/>
        </w:rPr>
        <w:t>. De todos estos casos, han recibido sanci</w:t>
      </w:r>
      <w:r w:rsidRPr="008B326D">
        <w:rPr>
          <w:rFonts w:ascii="Abadi" w:hAnsi="Abadi" w:cs="Abadi"/>
          <w:i/>
          <w:iCs/>
          <w:sz w:val="16"/>
          <w:szCs w:val="16"/>
        </w:rPr>
        <w:t>ó</w:t>
      </w:r>
      <w:r w:rsidRPr="008B326D">
        <w:rPr>
          <w:rFonts w:ascii="Abadi" w:hAnsi="Abadi"/>
          <w:i/>
          <w:iCs/>
          <w:sz w:val="16"/>
          <w:szCs w:val="16"/>
        </w:rPr>
        <w:t xml:space="preserve">n </w:t>
      </w:r>
      <w:r w:rsidRPr="008B326D">
        <w:rPr>
          <w:rFonts w:ascii="Abadi" w:hAnsi="Abadi" w:cs="Abadi"/>
          <w:i/>
          <w:iCs/>
          <w:sz w:val="16"/>
          <w:szCs w:val="16"/>
        </w:rPr>
        <w:t>ú</w:t>
      </w:r>
      <w:r w:rsidRPr="008B326D">
        <w:rPr>
          <w:rFonts w:ascii="Abadi" w:hAnsi="Abadi"/>
          <w:i/>
          <w:iCs/>
          <w:sz w:val="16"/>
          <w:szCs w:val="16"/>
        </w:rPr>
        <w:t>nicamente del tipo administrativo y no del tipo penal; lo que implica que habría 579 personas generadoras de violencia contra las mujeres participando en el próximo proceso electoral.</w:t>
      </w:r>
    </w:p>
  </w:footnote>
  <w:footnote w:id="186">
    <w:p w14:paraId="612FD9C4" w14:textId="77777777" w:rsidR="00427BD6" w:rsidRPr="008B326D" w:rsidRDefault="00427BD6" w:rsidP="00427BD6">
      <w:pPr>
        <w:pStyle w:val="Textonotapie"/>
        <w:jc w:val="both"/>
        <w:rPr>
          <w:rFonts w:ascii="Abadi" w:hAnsi="Abadi"/>
          <w:i/>
          <w:iCs/>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w:t>
      </w:r>
      <w:r w:rsidRPr="008B326D">
        <w:rPr>
          <w:rFonts w:ascii="Abadi" w:hAnsi="Abadi"/>
          <w:i/>
          <w:iCs/>
          <w:sz w:val="16"/>
          <w:szCs w:val="16"/>
        </w:rPr>
        <w:t>Los artículos 3 y 4 de la Convención sobre los Derechos del Niño #CDN, firmada en 1989 y ratificada por México en 1990, indican como obligación de los Estados firmantes, la consideración del #InterésSuperior de la niñez en todas las medidas dirigidas a este grupo en instituciones públicas y privadas, a fin de garantizar su desarrollo integral y disfrute efectivo de sus derechos.   </w:t>
      </w:r>
    </w:p>
    <w:p w14:paraId="03C21D68"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Conoce y comparte 5 claves para comprender la importancia de vigilar y aplicar el #InterésSuperior de la niñez:</w:t>
      </w:r>
    </w:p>
    <w:p w14:paraId="48EED328"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 xml:space="preserve">1.    Contrapone la visión </w:t>
      </w:r>
      <w:proofErr w:type="spellStart"/>
      <w:r w:rsidRPr="008B326D">
        <w:rPr>
          <w:rFonts w:ascii="Abadi" w:hAnsi="Abadi"/>
          <w:i/>
          <w:iCs/>
          <w:sz w:val="16"/>
          <w:szCs w:val="16"/>
        </w:rPr>
        <w:t>adultocéntrica</w:t>
      </w:r>
      <w:proofErr w:type="spellEnd"/>
      <w:r w:rsidRPr="008B326D">
        <w:rPr>
          <w:rFonts w:ascii="Abadi" w:hAnsi="Abadi"/>
          <w:i/>
          <w:iCs/>
          <w:sz w:val="16"/>
          <w:szCs w:val="16"/>
        </w:rPr>
        <w:t> de las decisiones que se toman para niñas, niños y adolescentes, porque pone el mejor interés de esta población por encima de la visión de lo que las personas adultas consideran que es lo mejor para ellas y ellos.</w:t>
      </w:r>
    </w:p>
    <w:p w14:paraId="0D277E1A"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2.    Es un parámetro para que las personas encargadas de tomar decisiones públicas o en el ámbito privado, dirijan su labor y acciones observando, en primera instancia, el impacto que tendrían las medidas adoptadas, en todos los ámbitos de su vida.</w:t>
      </w:r>
    </w:p>
    <w:p w14:paraId="3F1D5362"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3.    Obliga a que los gobiernos de los tres niveles (federal, estatales y municipales), y que los poderes legislativo y judicial, adopten las medidas para la asignación o reorientación de recursos económicos y materiales suficientes para hacer plenamente efectivo este derecho.</w:t>
      </w:r>
    </w:p>
    <w:p w14:paraId="6314A952"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4.    Dispone que en casos donde esté de por medio el bienestar físico y emocional de niñas, niños o adolescentes, se tomará la decisión que mejor convenga para proteger y garantizar su desarrollo integral.</w:t>
      </w:r>
    </w:p>
    <w:p w14:paraId="2AB09D03"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5.    Reafirma a las niñas, niños y adolescentes como titulares de derechos y que todos sus derechos sean plenamente garantizados a lo largo de su niñez y en todos los aspectos de su vida.</w:t>
      </w:r>
    </w:p>
    <w:p w14:paraId="548436FC"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En México, el artículo 4 de la Constitución Política y el artículo 6 de la Ley General de Derechos de Niñas, Niños y Adolescentes #LGDNNA, en atención a lo establecido en la #CDN, establece al #InterésSuperior de la niñez como uno de los principios rectores, lo cual obliga a autoridades, sector privado, y poderes legislativo y judicial a acatar y atender esta disposición en todos los casos que se requiera.</w:t>
      </w:r>
    </w:p>
    <w:p w14:paraId="6F3E328B" w14:textId="77777777" w:rsidR="00427BD6" w:rsidRPr="008B326D" w:rsidRDefault="00427BD6" w:rsidP="00427BD6">
      <w:pPr>
        <w:pStyle w:val="Textonotapie"/>
        <w:jc w:val="both"/>
        <w:rPr>
          <w:rFonts w:ascii="Abadi" w:hAnsi="Abadi"/>
          <w:i/>
          <w:iCs/>
          <w:sz w:val="16"/>
          <w:szCs w:val="16"/>
        </w:rPr>
      </w:pPr>
      <w:r w:rsidRPr="008B326D">
        <w:rPr>
          <w:rFonts w:ascii="Abadi" w:hAnsi="Abadi"/>
          <w:i/>
          <w:iCs/>
          <w:sz w:val="16"/>
          <w:szCs w:val="16"/>
        </w:rPr>
        <w:t>El Sistema Nacional de Protección Integral de Niñas, Niños y Adolescentes #SIPINNA, es el órgano articulador creado a partir de la #LGDNNA, en donde participan instituciones de la Administración Pública Federal, las 32 entidades federativas, órganos autónomos, organizaciones de la sociedad civil #OSC, los poderes legislativo y judicial, así como las y los titulares de derechos (niñas, niños y adolescentes), que tiene la tarea de garantizar y vigilar que se atienda  el #InterésSuperior de las personas de 0 a 17 años de edad. Consultable en: https://www.gob.mx/segob/articulos/5-claves-para-entender-que-es-el-interessuperior-de-la-ninez</w:t>
      </w:r>
    </w:p>
  </w:footnote>
  <w:footnote w:id="187">
    <w:p w14:paraId="4025E5E6" w14:textId="77777777" w:rsidR="00427BD6" w:rsidRPr="008B326D" w:rsidRDefault="00427BD6" w:rsidP="00427BD6">
      <w:pPr>
        <w:pStyle w:val="Textonotapie"/>
        <w:jc w:val="both"/>
        <w:rPr>
          <w:rFonts w:ascii="Abadi" w:hAnsi="Abadi"/>
          <w:i/>
          <w:iCs/>
          <w:sz w:val="16"/>
          <w:szCs w:val="16"/>
        </w:rPr>
      </w:pPr>
      <w:r w:rsidRPr="008B326D">
        <w:rPr>
          <w:rStyle w:val="Refdenotaalpie"/>
          <w:rFonts w:ascii="Abadi" w:eastAsia="Calibri" w:hAnsi="Abadi"/>
          <w:sz w:val="16"/>
          <w:szCs w:val="16"/>
        </w:rPr>
        <w:footnoteRef/>
      </w:r>
      <w:r w:rsidRPr="008B326D">
        <w:rPr>
          <w:rFonts w:ascii="Abadi" w:hAnsi="Abadi"/>
          <w:sz w:val="16"/>
          <w:szCs w:val="16"/>
        </w:rPr>
        <w:t xml:space="preserve"> </w:t>
      </w:r>
      <w:r w:rsidRPr="008B326D">
        <w:rPr>
          <w:rFonts w:ascii="Abadi" w:hAnsi="Abadi"/>
          <w:i/>
          <w:iCs/>
          <w:sz w:val="16"/>
          <w:szCs w:val="16"/>
        </w:rPr>
        <w:t>Artículo 31. Son obligaciones de los mexicanos: I. Ser responsables de que sus hijas, hijos o pupilos menores de dieciocho años concurran a las escuelas, para recibir la educación obligatoria y, en su caso, reciban la militar, en los términos que establezca la ley, así como participar en su proceso educativo, al revisar su progreso y desempeño, velando siempre por su bienestar y desarrollo; (…) Consultable en: https://www.diputados.gob.mx/LeyesBiblio/pdf/CPEUM.pdf</w:t>
      </w:r>
    </w:p>
  </w:footnote>
  <w:footnote w:id="188">
    <w:p w14:paraId="08F17582" w14:textId="77777777" w:rsidR="00427BD6" w:rsidRPr="008B326D" w:rsidRDefault="00427BD6" w:rsidP="00427BD6">
      <w:pPr>
        <w:pStyle w:val="Textonotapie"/>
        <w:rPr>
          <w:rFonts w:ascii="Abadi" w:hAnsi="Abadi"/>
          <w:sz w:val="16"/>
          <w:szCs w:val="16"/>
        </w:rPr>
      </w:pPr>
      <w:r w:rsidRPr="008B326D">
        <w:rPr>
          <w:rStyle w:val="Refdenotaalpie"/>
          <w:rFonts w:ascii="Abadi" w:eastAsia="Calibri" w:hAnsi="Abadi"/>
          <w:sz w:val="16"/>
          <w:szCs w:val="16"/>
        </w:rPr>
        <w:footnoteRef/>
      </w:r>
      <w:r w:rsidRPr="008B326D">
        <w:rPr>
          <w:rFonts w:ascii="Abadi" w:hAnsi="Abadi"/>
          <w:sz w:val="16"/>
          <w:szCs w:val="16"/>
        </w:rPr>
        <w:t>ELIZONDO GASPERÍN, Rafael (2017), óp. cit., nota 2, p. 44.</w:t>
      </w:r>
    </w:p>
  </w:footnote>
  <w:footnote w:id="189">
    <w:p w14:paraId="4F5EF355" w14:textId="5690356E" w:rsidR="00805A4C" w:rsidRDefault="00805A4C">
      <w:pPr>
        <w:pStyle w:val="Textonotapie"/>
      </w:pPr>
      <w:r>
        <w:rPr>
          <w:rStyle w:val="Refdenotaalpie"/>
        </w:rPr>
        <w:footnoteRef/>
      </w:r>
      <w:r>
        <w:t xml:space="preserve"> </w:t>
      </w:r>
      <w:hyperlink r:id="rId270" w:history="1">
        <w:r w:rsidR="00704A48" w:rsidRPr="00704A48">
          <w:rPr>
            <w:rStyle w:val="Hipervnculo"/>
            <w:rFonts w:ascii="Abadi" w:hAnsi="Abadi"/>
            <w:sz w:val="16"/>
            <w:szCs w:val="16"/>
          </w:rPr>
          <w:t>https://congreso-gto.s3.amazonaws.com/uploads/orden_archivo/archivo/29953/23_ELD_329_LXV-I_Dictamen_iniciativa_CC_asambleas_generales_GPPAN.pdf</w:t>
        </w:r>
      </w:hyperlink>
    </w:p>
  </w:footnote>
  <w:footnote w:id="190">
    <w:p w14:paraId="67E214E0" w14:textId="77777777" w:rsidR="007D28B0" w:rsidRPr="00EF7206" w:rsidRDefault="007D28B0" w:rsidP="007D28B0">
      <w:pPr>
        <w:autoSpaceDE w:val="0"/>
        <w:autoSpaceDN w:val="0"/>
        <w:adjustRightInd w:val="0"/>
        <w:jc w:val="both"/>
        <w:rPr>
          <w:rFonts w:ascii="Abadi" w:hAnsi="Abadi"/>
          <w:i/>
          <w:iCs/>
          <w:sz w:val="16"/>
          <w:szCs w:val="16"/>
        </w:rPr>
      </w:pPr>
      <w:r w:rsidRPr="00EF7206">
        <w:rPr>
          <w:rStyle w:val="Refdenotaalpie"/>
          <w:rFonts w:ascii="Abadi" w:hAnsi="Abadi"/>
          <w:sz w:val="16"/>
          <w:szCs w:val="16"/>
        </w:rPr>
        <w:footnoteRef/>
      </w:r>
      <w:r w:rsidRPr="00EF7206">
        <w:rPr>
          <w:rFonts w:ascii="Abadi" w:hAnsi="Abadi"/>
          <w:sz w:val="16"/>
          <w:szCs w:val="16"/>
        </w:rPr>
        <w:t xml:space="preserve"> </w:t>
      </w:r>
      <w:r w:rsidRPr="00EF7206">
        <w:rPr>
          <w:rFonts w:ascii="Abadi" w:hAnsi="Abadi" w:cs="Calibri"/>
          <w:iCs/>
          <w:sz w:val="16"/>
          <w:szCs w:val="16"/>
        </w:rPr>
        <w:t xml:space="preserve">Disponible en: </w:t>
      </w:r>
      <w:r w:rsidRPr="00EF7206">
        <w:rPr>
          <w:rFonts w:ascii="Abadi" w:hAnsi="Abadi" w:cs="Calibri-Italic"/>
          <w:iCs/>
          <w:sz w:val="16"/>
          <w:szCs w:val="16"/>
        </w:rPr>
        <w:t>https://data.consejeria.cdmx.gob.mx/index.php/leyes/codigos/32-codigo-civil-para-eldistrito-federal#c%C3%B3digo-civil-para-el-distrito-federal</w:t>
      </w:r>
    </w:p>
  </w:footnote>
  <w:footnote w:id="191">
    <w:p w14:paraId="6747CBFC" w14:textId="77777777" w:rsidR="007D28B0" w:rsidRPr="0060548E" w:rsidRDefault="007D28B0" w:rsidP="007D28B0">
      <w:pPr>
        <w:autoSpaceDE w:val="0"/>
        <w:autoSpaceDN w:val="0"/>
        <w:adjustRightInd w:val="0"/>
        <w:jc w:val="both"/>
        <w:rPr>
          <w:rFonts w:ascii="Abadi" w:hAnsi="Abadi" w:cs="Calibri"/>
          <w:i/>
          <w:iCs/>
          <w:sz w:val="16"/>
          <w:szCs w:val="16"/>
        </w:rPr>
      </w:pPr>
      <w:r w:rsidRPr="00117F9B">
        <w:rPr>
          <w:rStyle w:val="Refdenotaalpie"/>
          <w:sz w:val="16"/>
          <w:szCs w:val="16"/>
        </w:rPr>
        <w:footnoteRef/>
      </w:r>
      <w:r>
        <w:t xml:space="preserve"> </w:t>
      </w:r>
      <w:r w:rsidRPr="0060548E">
        <w:rPr>
          <w:rFonts w:ascii="Abadi" w:hAnsi="Abadi" w:cs="Calibri"/>
          <w:iCs/>
          <w:sz w:val="16"/>
          <w:szCs w:val="16"/>
        </w:rPr>
        <w:t xml:space="preserve">Amparo en revisión 94/2021. 12 de agosto de 2021. Unanimidad de votos. Ponente: Alberto Díaz </w:t>
      </w:r>
      <w:proofErr w:type="spellStart"/>
      <w:r w:rsidRPr="0060548E">
        <w:rPr>
          <w:rFonts w:ascii="Abadi" w:hAnsi="Abadi" w:cs="Calibri"/>
          <w:iCs/>
          <w:sz w:val="16"/>
          <w:szCs w:val="16"/>
        </w:rPr>
        <w:t>Díaz</w:t>
      </w:r>
      <w:proofErr w:type="spellEnd"/>
      <w:r w:rsidRPr="0060548E">
        <w:rPr>
          <w:rFonts w:ascii="Abadi" w:hAnsi="Abadi" w:cs="Calibri"/>
          <w:iCs/>
          <w:sz w:val="16"/>
          <w:szCs w:val="16"/>
        </w:rPr>
        <w:t>.</w:t>
      </w:r>
    </w:p>
    <w:p w14:paraId="486970FE" w14:textId="77777777" w:rsidR="007D28B0" w:rsidRPr="0060548E" w:rsidRDefault="007D28B0" w:rsidP="007D28B0">
      <w:pPr>
        <w:autoSpaceDE w:val="0"/>
        <w:autoSpaceDN w:val="0"/>
        <w:adjustRightInd w:val="0"/>
        <w:jc w:val="both"/>
        <w:rPr>
          <w:rFonts w:ascii="Abadi" w:hAnsi="Abadi" w:cs="Calibri-Italic"/>
          <w:iCs/>
          <w:sz w:val="16"/>
          <w:szCs w:val="16"/>
        </w:rPr>
      </w:pPr>
      <w:r w:rsidRPr="0060548E">
        <w:rPr>
          <w:rFonts w:ascii="Abadi" w:hAnsi="Abadi" w:cs="Calibri"/>
          <w:iCs/>
          <w:sz w:val="16"/>
          <w:szCs w:val="16"/>
        </w:rPr>
        <w:t>Secretaria: Karla Azucena López González, disponible en: https://sjf2.scjn.gob.mx/detalle/tesis/2023728</w:t>
      </w:r>
    </w:p>
  </w:footnote>
  <w:footnote w:id="192">
    <w:p w14:paraId="10209013" w14:textId="77777777" w:rsidR="007D28B0" w:rsidRPr="0060548E" w:rsidRDefault="007D28B0" w:rsidP="007D28B0">
      <w:pPr>
        <w:pStyle w:val="Default"/>
        <w:jc w:val="both"/>
        <w:rPr>
          <w:rFonts w:ascii="Abadi" w:hAnsi="Abadi" w:cs="Calibri"/>
          <w:iCs/>
          <w:color w:val="auto"/>
          <w:sz w:val="16"/>
          <w:szCs w:val="16"/>
        </w:rPr>
      </w:pPr>
      <w:r w:rsidRPr="00117F9B">
        <w:rPr>
          <w:rStyle w:val="Refdenotaalpie"/>
          <w:rFonts w:ascii="Verdana" w:hAnsi="Verdana" w:cs="Times New Roman"/>
          <w:i/>
          <w:color w:val="auto"/>
          <w:sz w:val="16"/>
          <w:szCs w:val="16"/>
        </w:rPr>
        <w:footnoteRef/>
      </w:r>
      <w:r w:rsidRPr="00117F9B">
        <w:rPr>
          <w:rStyle w:val="Refdenotaalpie"/>
          <w:rFonts w:ascii="Verdana" w:hAnsi="Verdana" w:cs="Times New Roman"/>
          <w:i/>
          <w:color w:val="auto"/>
          <w:sz w:val="16"/>
          <w:szCs w:val="16"/>
        </w:rPr>
        <w:t xml:space="preserve"> </w:t>
      </w:r>
      <w:r w:rsidRPr="0060548E">
        <w:rPr>
          <w:rFonts w:ascii="Abadi" w:hAnsi="Abadi" w:cs="Calibri"/>
          <w:iCs/>
          <w:color w:val="auto"/>
          <w:sz w:val="16"/>
          <w:szCs w:val="16"/>
        </w:rPr>
        <w:t xml:space="preserve">Organización Mundial de la Salud. (30 de enero de 2020). Declaración sobre la segunda reunión del Comité de Emergencias del Reglamento Sanitario Internacional (2005) acerca del brote del nuevo coronavirus (2019-nCoV).  </w:t>
      </w:r>
    </w:p>
  </w:footnote>
  <w:footnote w:id="193">
    <w:p w14:paraId="4C43ED89" w14:textId="77777777" w:rsidR="007D28B0" w:rsidRPr="0060548E" w:rsidRDefault="007D28B0" w:rsidP="007D28B0">
      <w:pPr>
        <w:pStyle w:val="Textonotapie"/>
        <w:jc w:val="both"/>
        <w:rPr>
          <w:rFonts w:ascii="Abadi" w:hAnsi="Abadi" w:cs="Calibri"/>
          <w:i/>
          <w:iCs/>
          <w:sz w:val="16"/>
          <w:szCs w:val="16"/>
        </w:rPr>
      </w:pPr>
      <w:r w:rsidRPr="0060548E">
        <w:rPr>
          <w:rStyle w:val="Refdenotaalpie"/>
          <w:rFonts w:ascii="Abadi" w:hAnsi="Abadi"/>
          <w:sz w:val="16"/>
          <w:szCs w:val="16"/>
        </w:rPr>
        <w:footnoteRef/>
      </w:r>
      <w:r w:rsidRPr="0060548E">
        <w:rPr>
          <w:rFonts w:ascii="Abadi" w:hAnsi="Abadi" w:cs="Calibri"/>
          <w:iCs/>
          <w:sz w:val="16"/>
          <w:szCs w:val="16"/>
        </w:rPr>
        <w:t xml:space="preserve"> De acuerdo a la OMS: i) en las dos semanas anteriores el número de casos fuera de China se había multiplicado por 13 y el número de países afectados se había triplicado; </w:t>
      </w:r>
      <w:proofErr w:type="spellStart"/>
      <w:r w:rsidRPr="0060548E">
        <w:rPr>
          <w:rFonts w:ascii="Abadi" w:hAnsi="Abadi" w:cs="Calibri"/>
          <w:iCs/>
          <w:sz w:val="16"/>
          <w:szCs w:val="16"/>
        </w:rPr>
        <w:t>ii</w:t>
      </w:r>
      <w:proofErr w:type="spellEnd"/>
      <w:r w:rsidRPr="0060548E">
        <w:rPr>
          <w:rFonts w:ascii="Abadi" w:hAnsi="Abadi" w:cs="Calibri"/>
          <w:iCs/>
          <w:sz w:val="16"/>
          <w:szCs w:val="16"/>
        </w:rPr>
        <w:t xml:space="preserve">) había más de 118,000 casos en 114 países, y 4,291 personas habían perdido la vida; </w:t>
      </w:r>
      <w:proofErr w:type="spellStart"/>
      <w:r w:rsidRPr="0060548E">
        <w:rPr>
          <w:rFonts w:ascii="Abadi" w:hAnsi="Abadi" w:cs="Calibri"/>
          <w:iCs/>
          <w:sz w:val="16"/>
          <w:szCs w:val="16"/>
        </w:rPr>
        <w:t>iii</w:t>
      </w:r>
      <w:proofErr w:type="spellEnd"/>
      <w:r w:rsidRPr="0060548E">
        <w:rPr>
          <w:rFonts w:ascii="Abadi" w:hAnsi="Abadi" w:cs="Calibri"/>
          <w:iCs/>
          <w:sz w:val="16"/>
          <w:szCs w:val="16"/>
        </w:rPr>
        <w:t>) más del 90% de los casos reportados se encontraban en solo cuatro países. Dos de ellos (China y Corea del Sur) reportaban epidemias</w:t>
      </w:r>
      <w:r w:rsidRPr="0060548E">
        <w:rPr>
          <w:rFonts w:ascii="Abadi" w:hAnsi="Abadi"/>
          <w:sz w:val="16"/>
          <w:szCs w:val="16"/>
        </w:rPr>
        <w:t xml:space="preserve"> </w:t>
      </w:r>
      <w:r w:rsidRPr="0060548E">
        <w:rPr>
          <w:rFonts w:ascii="Abadi" w:hAnsi="Abadi" w:cs="Calibri"/>
          <w:iCs/>
          <w:sz w:val="16"/>
          <w:szCs w:val="16"/>
        </w:rPr>
        <w:t xml:space="preserve">significativamente decrecientes. 81 países no habían reportado ningún caso, y 57 países habían reportado 10 casos o menos; y </w:t>
      </w:r>
      <w:proofErr w:type="spellStart"/>
      <w:r w:rsidRPr="0060548E">
        <w:rPr>
          <w:rFonts w:ascii="Abadi" w:hAnsi="Abadi" w:cs="Calibri"/>
          <w:iCs/>
          <w:sz w:val="16"/>
          <w:szCs w:val="16"/>
        </w:rPr>
        <w:t>iv</w:t>
      </w:r>
      <w:proofErr w:type="spellEnd"/>
      <w:r w:rsidRPr="0060548E">
        <w:rPr>
          <w:rFonts w:ascii="Abadi" w:hAnsi="Abadi" w:cs="Calibri"/>
          <w:iCs/>
          <w:sz w:val="16"/>
          <w:szCs w:val="16"/>
        </w:rPr>
        <w:t xml:space="preserve">) en las siguientes semanas se esperaba un incremento mayor en el número de casos, muertes y países afectados.  </w:t>
      </w:r>
    </w:p>
  </w:footnote>
  <w:footnote w:id="194">
    <w:p w14:paraId="64FC894B" w14:textId="77777777" w:rsidR="007D28B0" w:rsidRPr="0060548E" w:rsidRDefault="007D28B0" w:rsidP="007D28B0">
      <w:pPr>
        <w:pStyle w:val="Textonotapie"/>
        <w:rPr>
          <w:rFonts w:ascii="Abadi" w:hAnsi="Abadi"/>
          <w:sz w:val="16"/>
          <w:szCs w:val="16"/>
        </w:rPr>
      </w:pPr>
      <w:r w:rsidRPr="0060548E">
        <w:rPr>
          <w:rStyle w:val="Refdenotaalpie"/>
          <w:rFonts w:ascii="Abadi" w:hAnsi="Abadi"/>
          <w:sz w:val="16"/>
          <w:szCs w:val="16"/>
        </w:rPr>
        <w:footnoteRef/>
      </w:r>
      <w:r w:rsidRPr="0060548E">
        <w:rPr>
          <w:rFonts w:ascii="Abadi" w:hAnsi="Abadi"/>
          <w:sz w:val="16"/>
          <w:szCs w:val="16"/>
        </w:rPr>
        <w:t xml:space="preserve"> </w:t>
      </w:r>
      <w:r w:rsidRPr="0060548E">
        <w:rPr>
          <w:rFonts w:ascii="Abadi" w:hAnsi="Abadi" w:cs="Calibri"/>
          <w:iCs/>
          <w:sz w:val="16"/>
          <w:szCs w:val="16"/>
        </w:rPr>
        <w:t>Consultable en: https://www.dof.gob.mx/nota_detalle.php?codigo=5590161&amp;fecha=23/03/2020.</w:t>
      </w:r>
      <w:r w:rsidRPr="0060548E">
        <w:rPr>
          <w:rFonts w:ascii="Abadi" w:hAnsi="Abadi"/>
          <w:sz w:val="16"/>
          <w:szCs w:val="16"/>
        </w:rPr>
        <w:t xml:space="preserve">  </w:t>
      </w:r>
    </w:p>
  </w:footnote>
  <w:footnote w:id="195">
    <w:p w14:paraId="472BEAFF" w14:textId="77777777" w:rsidR="007D28B0" w:rsidRPr="0060548E" w:rsidRDefault="007D28B0" w:rsidP="007D28B0">
      <w:pPr>
        <w:pStyle w:val="Textonotapie"/>
        <w:jc w:val="both"/>
        <w:rPr>
          <w:rFonts w:ascii="Abadi" w:hAnsi="Abadi" w:cs="Calibri"/>
          <w:i/>
          <w:iCs/>
          <w:sz w:val="16"/>
          <w:szCs w:val="16"/>
        </w:rPr>
      </w:pPr>
      <w:r w:rsidRPr="00554474">
        <w:rPr>
          <w:rStyle w:val="Refdenotaalpie"/>
          <w:sz w:val="16"/>
          <w:szCs w:val="16"/>
        </w:rPr>
        <w:footnoteRef/>
      </w:r>
      <w:r w:rsidRPr="00554474">
        <w:rPr>
          <w:sz w:val="16"/>
          <w:szCs w:val="16"/>
        </w:rPr>
        <w:t xml:space="preserve"> </w:t>
      </w:r>
      <w:r w:rsidRPr="0060548E">
        <w:rPr>
          <w:rFonts w:ascii="Abadi" w:hAnsi="Abadi" w:cs="Calibri"/>
          <w:b/>
          <w:bCs/>
          <w:iCs/>
          <w:sz w:val="16"/>
          <w:szCs w:val="16"/>
        </w:rPr>
        <w:t>JUNG</w:t>
      </w:r>
      <w:r w:rsidRPr="0060548E">
        <w:rPr>
          <w:rFonts w:ascii="Abadi" w:hAnsi="Abadi" w:cs="Calibri"/>
          <w:iCs/>
          <w:sz w:val="16"/>
          <w:szCs w:val="16"/>
        </w:rPr>
        <w:t xml:space="preserve">, Juan, y </w:t>
      </w:r>
      <w:r w:rsidRPr="0060548E">
        <w:rPr>
          <w:rFonts w:ascii="Abadi" w:hAnsi="Abadi" w:cs="Calibri"/>
          <w:b/>
          <w:bCs/>
          <w:iCs/>
          <w:sz w:val="16"/>
          <w:szCs w:val="16"/>
        </w:rPr>
        <w:t>KATZ</w:t>
      </w:r>
      <w:r w:rsidRPr="0060548E">
        <w:rPr>
          <w:rFonts w:ascii="Abadi" w:hAnsi="Abadi" w:cs="Calibri"/>
          <w:iCs/>
          <w:sz w:val="16"/>
          <w:szCs w:val="16"/>
        </w:rPr>
        <w:t xml:space="preserve">, Raúl, Impacto del COVID-19 en la digitalización de América Latina, CEPAL, ONU, Santiago, 2022, p. 5. Consultable en: </w:t>
      </w:r>
    </w:p>
    <w:p w14:paraId="7AE30FED" w14:textId="77777777" w:rsidR="007D28B0" w:rsidRPr="0060548E" w:rsidRDefault="007D28B0" w:rsidP="007D28B0">
      <w:pPr>
        <w:pStyle w:val="Textonotapie"/>
        <w:jc w:val="both"/>
        <w:rPr>
          <w:rFonts w:ascii="Abadi" w:hAnsi="Abadi" w:cs="Calibri"/>
          <w:i/>
          <w:iCs/>
          <w:sz w:val="16"/>
          <w:szCs w:val="16"/>
        </w:rPr>
      </w:pPr>
      <w:r w:rsidRPr="0060548E">
        <w:rPr>
          <w:rFonts w:ascii="Abadi" w:hAnsi="Abadi" w:cs="Calibri"/>
          <w:iCs/>
          <w:sz w:val="16"/>
          <w:szCs w:val="16"/>
        </w:rPr>
        <w:t xml:space="preserve">https://repositorio.cepal.org/bitstream/handle/11362/48486/5/S2201067_es.pdf.  </w:t>
      </w:r>
    </w:p>
  </w:footnote>
  <w:footnote w:id="196">
    <w:p w14:paraId="73E6E863" w14:textId="77777777" w:rsidR="007D28B0" w:rsidRPr="0060548E" w:rsidRDefault="007D28B0" w:rsidP="007D28B0">
      <w:pPr>
        <w:pStyle w:val="Textonotapie"/>
        <w:jc w:val="both"/>
        <w:rPr>
          <w:rFonts w:ascii="Abadi" w:hAnsi="Abadi" w:cs="Calibri"/>
          <w:i/>
          <w:iCs/>
          <w:sz w:val="16"/>
          <w:szCs w:val="16"/>
        </w:rPr>
      </w:pPr>
      <w:r w:rsidRPr="0060548E">
        <w:rPr>
          <w:rStyle w:val="Refdenotaalpie"/>
          <w:rFonts w:ascii="Abadi" w:hAnsi="Abadi"/>
          <w:sz w:val="16"/>
          <w:szCs w:val="16"/>
        </w:rPr>
        <w:footnoteRef/>
      </w:r>
      <w:r w:rsidRPr="0060548E">
        <w:rPr>
          <w:rFonts w:ascii="Abadi" w:hAnsi="Abadi"/>
          <w:sz w:val="16"/>
          <w:szCs w:val="16"/>
        </w:rPr>
        <w:t xml:space="preserve"> </w:t>
      </w:r>
      <w:r w:rsidRPr="0060548E">
        <w:rPr>
          <w:rFonts w:ascii="Abadi" w:hAnsi="Abadi" w:cs="Calibri"/>
          <w:iCs/>
          <w:sz w:val="16"/>
          <w:szCs w:val="16"/>
        </w:rPr>
        <w:t xml:space="preserve">Ibidem, pp. 5 y 7.  </w:t>
      </w:r>
    </w:p>
  </w:footnote>
  <w:footnote w:id="197">
    <w:p w14:paraId="7C6E1061" w14:textId="77777777" w:rsidR="007D28B0" w:rsidRPr="0060548E" w:rsidRDefault="007D28B0" w:rsidP="007D28B0">
      <w:pPr>
        <w:pStyle w:val="Textonotapie"/>
        <w:jc w:val="both"/>
        <w:rPr>
          <w:rFonts w:ascii="Abadi" w:hAnsi="Abadi" w:cs="Calibri"/>
          <w:i/>
          <w:iCs/>
          <w:sz w:val="16"/>
          <w:szCs w:val="16"/>
        </w:rPr>
      </w:pPr>
      <w:r w:rsidRPr="0060548E">
        <w:rPr>
          <w:rStyle w:val="Refdenotaalpie"/>
          <w:rFonts w:ascii="Abadi" w:hAnsi="Abadi"/>
          <w:sz w:val="16"/>
          <w:szCs w:val="16"/>
        </w:rPr>
        <w:footnoteRef/>
      </w:r>
      <w:r w:rsidRPr="0060548E">
        <w:rPr>
          <w:rFonts w:ascii="Abadi" w:hAnsi="Abadi"/>
          <w:sz w:val="16"/>
          <w:szCs w:val="16"/>
        </w:rPr>
        <w:t xml:space="preserve"> </w:t>
      </w:r>
      <w:r w:rsidRPr="0060548E">
        <w:rPr>
          <w:rFonts w:ascii="Abadi" w:hAnsi="Abadi" w:cs="Calibri"/>
          <w:iCs/>
          <w:sz w:val="16"/>
          <w:szCs w:val="16"/>
        </w:rPr>
        <w:t xml:space="preserve">El Estado garantizará el derecho de acceso a las tecnologías de la información y comunicación, así como a los servicios de radiodifusión y telecomunicaciones, incluido el de banda ancha e Internet. Para tales efectos, el Estado establecerá condiciones de competencia efectiva en la prestación de dichos servicios.  </w:t>
      </w:r>
    </w:p>
  </w:footnote>
  <w:footnote w:id="198">
    <w:p w14:paraId="2577412A" w14:textId="77777777" w:rsidR="007D28B0" w:rsidRPr="0060548E" w:rsidRDefault="007D28B0" w:rsidP="007D28B0">
      <w:pPr>
        <w:pStyle w:val="Textonotapie"/>
        <w:jc w:val="both"/>
        <w:rPr>
          <w:rFonts w:ascii="Abadi" w:hAnsi="Abadi"/>
          <w:sz w:val="16"/>
          <w:szCs w:val="16"/>
        </w:rPr>
      </w:pPr>
      <w:r w:rsidRPr="0060548E">
        <w:rPr>
          <w:rStyle w:val="Refdenotaalpie"/>
          <w:rFonts w:ascii="Abadi" w:hAnsi="Abadi"/>
          <w:sz w:val="16"/>
          <w:szCs w:val="16"/>
        </w:rPr>
        <w:footnoteRef/>
      </w:r>
      <w:r w:rsidRPr="0060548E">
        <w:rPr>
          <w:rFonts w:ascii="Abadi" w:hAnsi="Abadi"/>
          <w:sz w:val="16"/>
          <w:szCs w:val="16"/>
        </w:rPr>
        <w:t xml:space="preserve"> </w:t>
      </w:r>
      <w:r w:rsidRPr="0060548E">
        <w:rPr>
          <w:rFonts w:ascii="Abadi" w:hAnsi="Abadi" w:cs="Calibri"/>
          <w:iCs/>
          <w:sz w:val="16"/>
          <w:szCs w:val="16"/>
        </w:rPr>
        <w:t>Consultable en: https://www.inegi.org.mx/programas/dutih/2019/.</w:t>
      </w:r>
      <w:r w:rsidRPr="0060548E">
        <w:rPr>
          <w:rFonts w:ascii="Abadi" w:hAnsi="Abadi"/>
          <w:sz w:val="16"/>
          <w:szCs w:val="16"/>
        </w:rPr>
        <w:t xml:space="preserve">  </w:t>
      </w:r>
    </w:p>
  </w:footnote>
  <w:footnote w:id="199">
    <w:p w14:paraId="6B0BBFB2" w14:textId="77777777" w:rsidR="007D28B0" w:rsidRPr="0060548E" w:rsidRDefault="007D28B0" w:rsidP="007D28B0">
      <w:pPr>
        <w:pStyle w:val="Textonotapie"/>
        <w:jc w:val="both"/>
        <w:rPr>
          <w:rFonts w:ascii="Abadi" w:hAnsi="Abadi"/>
          <w:sz w:val="16"/>
          <w:szCs w:val="16"/>
        </w:rPr>
      </w:pPr>
      <w:r w:rsidRPr="0060548E">
        <w:rPr>
          <w:rStyle w:val="Refdenotaalpie"/>
          <w:rFonts w:ascii="Abadi" w:hAnsi="Abadi"/>
          <w:sz w:val="16"/>
          <w:szCs w:val="16"/>
        </w:rPr>
        <w:footnoteRef/>
      </w:r>
      <w:r w:rsidRPr="0060548E">
        <w:rPr>
          <w:rFonts w:ascii="Abadi" w:hAnsi="Abadi"/>
          <w:sz w:val="16"/>
          <w:szCs w:val="16"/>
        </w:rPr>
        <w:t xml:space="preserve"> </w:t>
      </w:r>
      <w:proofErr w:type="spellStart"/>
      <w:r w:rsidRPr="0060548E">
        <w:rPr>
          <w:rFonts w:ascii="Abadi" w:hAnsi="Abadi" w:cs="Calibri"/>
          <w:iCs/>
          <w:sz w:val="16"/>
          <w:szCs w:val="16"/>
        </w:rPr>
        <w:t>Idem</w:t>
      </w:r>
      <w:proofErr w:type="spellEnd"/>
      <w:r w:rsidRPr="0060548E">
        <w:rPr>
          <w:rFonts w:ascii="Abadi" w:hAnsi="Abadi" w:cs="Calibri"/>
          <w:iCs/>
          <w:sz w:val="16"/>
          <w:szCs w:val="16"/>
        </w:rPr>
        <w:t>.</w:t>
      </w:r>
      <w:r w:rsidRPr="0060548E">
        <w:rPr>
          <w:rFonts w:ascii="Abadi" w:hAnsi="Abadi"/>
          <w:iCs/>
          <w:sz w:val="16"/>
          <w:szCs w:val="16"/>
        </w:rPr>
        <w:t xml:space="preserve"> </w:t>
      </w:r>
      <w:r w:rsidRPr="0060548E">
        <w:rPr>
          <w:rFonts w:ascii="Abadi" w:hAnsi="Abadi"/>
          <w:sz w:val="16"/>
          <w:szCs w:val="16"/>
        </w:rPr>
        <w:t xml:space="preserve"> </w:t>
      </w:r>
    </w:p>
  </w:footnote>
  <w:footnote w:id="200">
    <w:p w14:paraId="3CC60EE5" w14:textId="77777777" w:rsidR="007D28B0" w:rsidRPr="009D4870" w:rsidRDefault="007D28B0" w:rsidP="007D28B0">
      <w:pPr>
        <w:pStyle w:val="Textonotapie"/>
        <w:jc w:val="both"/>
        <w:rPr>
          <w:rFonts w:ascii="Abadi" w:hAnsi="Abadi" w:cs="Calibri"/>
          <w:i/>
          <w:iCs/>
          <w:sz w:val="16"/>
          <w:szCs w:val="16"/>
        </w:rPr>
      </w:pPr>
      <w:r w:rsidRPr="0060548E">
        <w:rPr>
          <w:rStyle w:val="Refdenotaalpie"/>
          <w:rFonts w:ascii="Abadi" w:hAnsi="Abadi"/>
          <w:sz w:val="16"/>
          <w:szCs w:val="16"/>
        </w:rPr>
        <w:footnoteRef/>
      </w:r>
      <w:r w:rsidRPr="0060548E">
        <w:rPr>
          <w:rFonts w:ascii="Abadi" w:hAnsi="Abadi"/>
          <w:sz w:val="16"/>
          <w:szCs w:val="16"/>
        </w:rPr>
        <w:t xml:space="preserve"> </w:t>
      </w:r>
      <w:r w:rsidRPr="0060548E">
        <w:rPr>
          <w:rFonts w:ascii="Abadi" w:hAnsi="Abadi" w:cs="Calibri"/>
          <w:b/>
          <w:bCs/>
          <w:iCs/>
          <w:sz w:val="16"/>
          <w:szCs w:val="16"/>
        </w:rPr>
        <w:t>VACA Trigo</w:t>
      </w:r>
      <w:r w:rsidRPr="0060548E">
        <w:rPr>
          <w:rFonts w:ascii="Abadi" w:hAnsi="Abadi" w:cs="Calibri"/>
          <w:iCs/>
          <w:sz w:val="16"/>
          <w:szCs w:val="16"/>
        </w:rPr>
        <w:t xml:space="preserve">, Iliana, y </w:t>
      </w:r>
      <w:r w:rsidRPr="0060548E">
        <w:rPr>
          <w:rFonts w:ascii="Abadi" w:hAnsi="Abadi" w:cs="Calibri"/>
          <w:b/>
          <w:bCs/>
          <w:iCs/>
          <w:sz w:val="16"/>
          <w:szCs w:val="16"/>
        </w:rPr>
        <w:t>VALENZUELA</w:t>
      </w:r>
      <w:r w:rsidRPr="0060548E">
        <w:rPr>
          <w:rFonts w:ascii="Abadi" w:hAnsi="Abadi" w:cs="Calibri"/>
          <w:iCs/>
          <w:sz w:val="16"/>
          <w:szCs w:val="16"/>
        </w:rPr>
        <w:t>, María Elena, Digitalización de las mujeres en América Latina y el Caribe Acción urgente para una recuperación transformadora y con igualdad, CEPAL, ONU, Santiago, 2022, p. 5. Consultable en: https://repositorio.cepal.org/bitstream/handle/11362/47940/4/S2200375_es.pdf.</w:t>
      </w:r>
      <w:r w:rsidRPr="009D4870">
        <w:rPr>
          <w:rFonts w:ascii="Abadi" w:hAnsi="Abadi" w:cs="Calibri"/>
          <w:iCs/>
          <w:sz w:val="16"/>
          <w:szCs w:val="16"/>
        </w:rPr>
        <w:t xml:space="preserve">  </w:t>
      </w:r>
    </w:p>
  </w:footnote>
  <w:footnote w:id="201">
    <w:p w14:paraId="6CC64E68" w14:textId="012F1721" w:rsidR="006C6747" w:rsidRDefault="006C6747">
      <w:pPr>
        <w:pStyle w:val="Textonotapie"/>
      </w:pPr>
      <w:r>
        <w:rPr>
          <w:rStyle w:val="Refdenotaalpie"/>
        </w:rPr>
        <w:footnoteRef/>
      </w:r>
      <w:r>
        <w:t xml:space="preserve"> </w:t>
      </w:r>
      <w:hyperlink r:id="rId271" w:history="1">
        <w:r w:rsidR="00F755EC" w:rsidRPr="00F755EC">
          <w:rPr>
            <w:rStyle w:val="Hipervnculo"/>
            <w:rFonts w:ascii="Abadi" w:hAnsi="Abadi"/>
            <w:sz w:val="16"/>
            <w:szCs w:val="16"/>
          </w:rPr>
          <w:t>https://congreso-gto.s3.amazonaws.com/uploads/orden_archivo/archivo/30002/24__Dictamen_337_LXV_I.pdf</w:t>
        </w:r>
      </w:hyperlink>
    </w:p>
  </w:footnote>
  <w:footnote w:id="202">
    <w:p w14:paraId="6B2BB962" w14:textId="5979D183" w:rsidR="00216FBD" w:rsidRDefault="00216FBD">
      <w:pPr>
        <w:pStyle w:val="Textonotapie"/>
      </w:pPr>
      <w:r>
        <w:rPr>
          <w:rStyle w:val="Refdenotaalpie"/>
        </w:rPr>
        <w:footnoteRef/>
      </w:r>
      <w:r>
        <w:t xml:space="preserve"> </w:t>
      </w:r>
      <w:hyperlink r:id="rId272" w:history="1">
        <w:r w:rsidR="00864C62" w:rsidRPr="00864C62">
          <w:rPr>
            <w:rStyle w:val="Hipervnculo"/>
            <w:rFonts w:ascii="Abadi" w:hAnsi="Abadi"/>
            <w:sz w:val="16"/>
            <w:szCs w:val="16"/>
          </w:rPr>
          <w:t>https://congreso-gto.s3.amazonaws.com/uploads/orden_archivo/archivo/30003/25__Dictamen_309_LXV_I.pdf</w:t>
        </w:r>
      </w:hyperlink>
    </w:p>
  </w:footnote>
  <w:footnote w:id="203">
    <w:p w14:paraId="59BE4366" w14:textId="77777777" w:rsidR="00962D70" w:rsidRDefault="00962D70" w:rsidP="00962D70">
      <w:pPr>
        <w:pStyle w:val="Textonotapie"/>
      </w:pPr>
      <w:r>
        <w:rPr>
          <w:rStyle w:val="Refdenotaalpie"/>
        </w:rPr>
        <w:footnoteRef/>
      </w:r>
      <w:r>
        <w:t xml:space="preserve"> </w:t>
      </w:r>
      <w:r w:rsidRPr="00813CBE">
        <w:rPr>
          <w:rFonts w:ascii="Abadi" w:hAnsi="Abadi"/>
          <w:sz w:val="16"/>
          <w:szCs w:val="16"/>
        </w:rPr>
        <w:t xml:space="preserve">Consultable en: </w:t>
      </w:r>
      <w:hyperlink r:id="rId273" w:history="1">
        <w:r w:rsidRPr="00813CBE">
          <w:rPr>
            <w:rStyle w:val="Hipervnculo"/>
            <w:rFonts w:ascii="Abadi" w:hAnsi="Abadi"/>
            <w:sz w:val="16"/>
            <w:szCs w:val="16"/>
          </w:rPr>
          <w:t>https://www.cndh.org.mx/noticia/dia-internacional-de-las-mujeres-rurales</w:t>
        </w:r>
      </w:hyperlink>
    </w:p>
    <w:p w14:paraId="732C74DF" w14:textId="77777777" w:rsidR="00962D70" w:rsidRDefault="00962D70" w:rsidP="00962D70">
      <w:pPr>
        <w:pStyle w:val="Textonotapie"/>
      </w:pPr>
    </w:p>
  </w:footnote>
  <w:footnote w:id="204">
    <w:p w14:paraId="0B8C8088" w14:textId="77777777" w:rsidR="00962D70" w:rsidRPr="00813CBE" w:rsidRDefault="00962D70" w:rsidP="00962D70">
      <w:pPr>
        <w:pStyle w:val="Textonotapie"/>
        <w:rPr>
          <w:rFonts w:ascii="Abadi" w:hAnsi="Abadi"/>
          <w:sz w:val="16"/>
          <w:szCs w:val="16"/>
        </w:rPr>
      </w:pPr>
      <w:r w:rsidRPr="00813CBE">
        <w:rPr>
          <w:rStyle w:val="Refdenotaalpie"/>
          <w:rFonts w:ascii="Abadi" w:hAnsi="Abadi"/>
          <w:sz w:val="16"/>
          <w:szCs w:val="16"/>
        </w:rPr>
        <w:footnoteRef/>
      </w:r>
      <w:r w:rsidRPr="00813CBE">
        <w:rPr>
          <w:rFonts w:ascii="Abadi" w:hAnsi="Abadi"/>
          <w:sz w:val="16"/>
          <w:szCs w:val="16"/>
        </w:rPr>
        <w:t xml:space="preserve"> Fracción VI, artículo 5 de la Ley General para la Igualdad entre mujeres y hombres.</w:t>
      </w:r>
    </w:p>
  </w:footnote>
  <w:footnote w:id="205">
    <w:p w14:paraId="1F669530" w14:textId="768FCA5F" w:rsidR="006C2AF7" w:rsidRDefault="006C2AF7">
      <w:pPr>
        <w:pStyle w:val="Textonotapie"/>
      </w:pPr>
      <w:r>
        <w:rPr>
          <w:rStyle w:val="Refdenotaalpie"/>
        </w:rPr>
        <w:footnoteRef/>
      </w:r>
      <w:r>
        <w:t xml:space="preserve"> </w:t>
      </w:r>
      <w:hyperlink r:id="rId274" w:history="1">
        <w:r w:rsidR="001F3A23" w:rsidRPr="001F3A23">
          <w:rPr>
            <w:rStyle w:val="Hipervnculo"/>
            <w:rFonts w:ascii="Abadi" w:hAnsi="Abadi"/>
            <w:sz w:val="16"/>
            <w:szCs w:val="16"/>
          </w:rPr>
          <w:t>https://congreso-gto.s3.amazonaws.com/uploads/orden_archivo/archivo/29954/24_Dictamen_exhorto_contralor_mpal_SMA_cuenta_pu_blica_2019.pdf</w:t>
        </w:r>
      </w:hyperlink>
    </w:p>
  </w:footnote>
  <w:footnote w:id="206">
    <w:p w14:paraId="2CAC2E77" w14:textId="77777777" w:rsidR="005D1C4E" w:rsidRPr="009C0C20" w:rsidRDefault="005D1C4E" w:rsidP="005D1C4E">
      <w:pPr>
        <w:pStyle w:val="Textonotapie"/>
        <w:jc w:val="both"/>
        <w:rPr>
          <w:rFonts w:ascii="Abadi" w:hAnsi="Abadi"/>
          <w:sz w:val="16"/>
          <w:szCs w:val="16"/>
        </w:rPr>
      </w:pPr>
      <w:r>
        <w:rPr>
          <w:rStyle w:val="Refdenotaalpie"/>
        </w:rPr>
        <w:footnoteRef/>
      </w:r>
      <w:r>
        <w:t xml:space="preserve"> </w:t>
      </w:r>
      <w:r w:rsidRPr="009C0C20">
        <w:rPr>
          <w:rFonts w:ascii="Abadi" w:hAnsi="Abadi"/>
          <w:sz w:val="16"/>
          <w:szCs w:val="16"/>
        </w:rPr>
        <w:t>El órgano interno de control informa el estatus de la observación 003 con esa denominación, no obstante, la correcta de acuerdo al informe de resultados es: Costo beneficio en los arrendamientos.</w:t>
      </w:r>
    </w:p>
  </w:footnote>
  <w:footnote w:id="207">
    <w:p w14:paraId="647F5F00" w14:textId="77777777" w:rsidR="005D1C4E" w:rsidRPr="009C0C20" w:rsidRDefault="005D1C4E" w:rsidP="005D1C4E">
      <w:pPr>
        <w:pStyle w:val="Textonotapie"/>
        <w:jc w:val="both"/>
        <w:rPr>
          <w:rFonts w:ascii="Abadi" w:hAnsi="Abadi"/>
          <w:sz w:val="16"/>
          <w:szCs w:val="16"/>
        </w:rPr>
      </w:pPr>
      <w:r w:rsidRPr="009C0C20">
        <w:rPr>
          <w:rStyle w:val="Refdenotaalpie"/>
          <w:rFonts w:ascii="Abadi" w:hAnsi="Abadi"/>
          <w:sz w:val="16"/>
          <w:szCs w:val="16"/>
        </w:rPr>
        <w:footnoteRef/>
      </w:r>
      <w:r w:rsidRPr="009C0C20">
        <w:rPr>
          <w:rFonts w:ascii="Abadi" w:hAnsi="Abadi"/>
          <w:sz w:val="16"/>
          <w:szCs w:val="16"/>
        </w:rPr>
        <w:t xml:space="preserve"> Observación 001. Contrato de arrendamiento de semáforos, en la cual se observaron pagos en cantidad de $19,058,800.00 (Diecinueve millones cincuenta y ocho mil ochocientos pesos 001100 m.n.) de los cuales no existe evidencia de que se haya dado cumplimiento al contrato de arrendamiento puro con las empresas </w:t>
      </w:r>
      <w:proofErr w:type="spellStart"/>
      <w:r w:rsidRPr="009C0C20">
        <w:rPr>
          <w:rFonts w:ascii="Abadi" w:hAnsi="Abadi"/>
          <w:sz w:val="16"/>
          <w:szCs w:val="16"/>
        </w:rPr>
        <w:t>Bercale</w:t>
      </w:r>
      <w:proofErr w:type="spellEnd"/>
      <w:r w:rsidRPr="009C0C20">
        <w:rPr>
          <w:rFonts w:ascii="Abadi" w:hAnsi="Abadi"/>
          <w:sz w:val="16"/>
          <w:szCs w:val="16"/>
        </w:rPr>
        <w:t xml:space="preserve"> </w:t>
      </w:r>
      <w:proofErr w:type="spellStart"/>
      <w:r w:rsidRPr="009C0C20">
        <w:rPr>
          <w:rFonts w:ascii="Abadi" w:hAnsi="Abadi"/>
          <w:sz w:val="16"/>
          <w:szCs w:val="16"/>
        </w:rPr>
        <w:t>Services</w:t>
      </w:r>
      <w:proofErr w:type="spellEnd"/>
      <w:r w:rsidRPr="009C0C20">
        <w:rPr>
          <w:rFonts w:ascii="Abadi" w:hAnsi="Abadi"/>
          <w:sz w:val="16"/>
          <w:szCs w:val="16"/>
        </w:rPr>
        <w:t>, S.A. de C.V. y Lumo Financiera del Centro, S.A. de C.V., número SSP-001-07-2019 del 22 de julio de 2019 y su modificatorio del 5 de agosto del mismo año, para la contratación del Servicio Integral de Arrendamiento Puro, Suministro, Mantenimiento y Puesta en Operación de Equipos de Alta Tecnología en Materia de Movilidad y Seguridad Pública por 27 meses.</w:t>
      </w:r>
    </w:p>
  </w:footnote>
  <w:footnote w:id="208">
    <w:p w14:paraId="056C76B1" w14:textId="77777777" w:rsidR="005D1C4E" w:rsidRPr="009C0C20" w:rsidRDefault="005D1C4E" w:rsidP="005D1C4E">
      <w:pPr>
        <w:pStyle w:val="Textonotapie"/>
        <w:jc w:val="both"/>
        <w:rPr>
          <w:rFonts w:ascii="Abadi" w:hAnsi="Abadi"/>
          <w:sz w:val="16"/>
          <w:szCs w:val="16"/>
        </w:rPr>
      </w:pPr>
      <w:r w:rsidRPr="009C0C20">
        <w:rPr>
          <w:rStyle w:val="Refdenotaalpie"/>
          <w:rFonts w:ascii="Abadi" w:hAnsi="Abadi"/>
          <w:sz w:val="16"/>
          <w:szCs w:val="16"/>
        </w:rPr>
        <w:footnoteRef/>
      </w:r>
      <w:r w:rsidRPr="009C0C20">
        <w:rPr>
          <w:rFonts w:ascii="Abadi" w:hAnsi="Abadi"/>
          <w:sz w:val="16"/>
          <w:szCs w:val="16"/>
        </w:rPr>
        <w:t xml:space="preserve"> Particularmente con las observaciones 003. Costo beneficio en los arrendamientos, 004. Contrato de arrendamiento de semáforos y 005. Pena convencional del arrendamiento de semáforos.</w:t>
      </w:r>
    </w:p>
  </w:footnote>
  <w:footnote w:id="209">
    <w:p w14:paraId="348F127C" w14:textId="257AB8A2" w:rsidR="00701B1E" w:rsidRDefault="00701B1E">
      <w:pPr>
        <w:pStyle w:val="Textonotapie"/>
      </w:pPr>
      <w:r>
        <w:rPr>
          <w:rStyle w:val="Refdenotaalpie"/>
        </w:rPr>
        <w:footnoteRef/>
      </w:r>
      <w:r>
        <w:t xml:space="preserve"> </w:t>
      </w:r>
      <w:hyperlink r:id="rId275" w:history="1">
        <w:r w:rsidR="005C4081" w:rsidRPr="005C4081">
          <w:rPr>
            <w:rStyle w:val="Hipervnculo"/>
            <w:rFonts w:ascii="Abadi" w:hAnsi="Abadi"/>
            <w:sz w:val="16"/>
            <w:szCs w:val="16"/>
          </w:rPr>
          <w:t>https://congreso-gto.s3.amazonaws.com/uploads/orden_archivo/archivo/29955/25_Dictamen_ampliacio_n_destino_Decreto_317.pdf</w:t>
        </w:r>
      </w:hyperlink>
    </w:p>
  </w:footnote>
  <w:footnote w:id="210">
    <w:p w14:paraId="68AF449D" w14:textId="77777777" w:rsidR="00BE2406" w:rsidRDefault="00BE2406" w:rsidP="00BE2406">
      <w:pPr>
        <w:pStyle w:val="Textonotapie"/>
        <w:jc w:val="both"/>
        <w:rPr>
          <w:rFonts w:ascii="Abadi" w:hAnsi="Abadi" w:cs="Calibri"/>
          <w:sz w:val="16"/>
          <w:szCs w:val="16"/>
        </w:rPr>
      </w:pPr>
      <w:r w:rsidRPr="00CB74B2">
        <w:rPr>
          <w:rStyle w:val="Refdenotaalpie"/>
          <w:sz w:val="14"/>
          <w:szCs w:val="14"/>
        </w:rPr>
        <w:footnoteRef/>
      </w:r>
      <w:r w:rsidRPr="00CB74B2">
        <w:rPr>
          <w:sz w:val="14"/>
          <w:szCs w:val="14"/>
        </w:rPr>
        <w:t xml:space="preserve"> </w:t>
      </w:r>
      <w:r w:rsidRPr="00BE2406">
        <w:rPr>
          <w:rFonts w:ascii="Abadi" w:hAnsi="Abadi" w:cs="Calibri"/>
          <w:sz w:val="16"/>
          <w:szCs w:val="16"/>
        </w:rPr>
        <w:t>Acuerdo del C. Gobernador del Estado por el cual se aprueba la actualización del Programa de Gobierno 2018-2024, y su anexo contenido en el documento denominado «Actualización del Programa de Gobierno 2018-2024». Publicado en el Periódico Oficial del Gobierno del Estado de Guanajuato número 134, Segunda y Tercera Partes, del 07 de julio de 2021.</w:t>
      </w:r>
    </w:p>
    <w:p w14:paraId="4412CE9A" w14:textId="77777777" w:rsidR="00BE2406" w:rsidRPr="0022579E" w:rsidRDefault="00BE2406" w:rsidP="00BE2406">
      <w:pPr>
        <w:pStyle w:val="Textonotapie"/>
        <w:jc w:val="both"/>
        <w:rPr>
          <w:rFonts w:ascii="Verdana" w:hAnsi="Verdana" w:cs="Calibri"/>
          <w:sz w:val="16"/>
          <w:szCs w:val="16"/>
        </w:rPr>
      </w:pPr>
    </w:p>
  </w:footnote>
  <w:footnote w:id="211">
    <w:p w14:paraId="3925A504" w14:textId="42EE685C" w:rsidR="005069CC" w:rsidRDefault="005069CC">
      <w:pPr>
        <w:pStyle w:val="Textonotapie"/>
      </w:pPr>
      <w:r>
        <w:rPr>
          <w:rStyle w:val="Refdenotaalpie"/>
        </w:rPr>
        <w:footnoteRef/>
      </w:r>
      <w:r>
        <w:t xml:space="preserve"> </w:t>
      </w:r>
      <w:hyperlink r:id="rId276" w:history="1">
        <w:r w:rsidR="00330604" w:rsidRPr="00330604">
          <w:rPr>
            <w:rStyle w:val="Hipervnculo"/>
            <w:rFonts w:ascii="Abadi" w:hAnsi="Abadi"/>
            <w:sz w:val="16"/>
            <w:szCs w:val="16"/>
          </w:rPr>
          <w:t>https://congreso-gto.s3.amazonaws.com/uploads/orden_archivo/archivo/29956/26_Dictamen_donacio_n_Asociacio_n_de_Bomberos.pdf</w:t>
        </w:r>
      </w:hyperlink>
    </w:p>
  </w:footnote>
  <w:footnote w:id="212">
    <w:p w14:paraId="1C4FD6FD" w14:textId="77777777" w:rsidR="00C702D8" w:rsidRPr="000750A3" w:rsidRDefault="00C702D8" w:rsidP="00C702D8">
      <w:pPr>
        <w:pStyle w:val="Textonotapie"/>
        <w:jc w:val="both"/>
        <w:rPr>
          <w:rFonts w:ascii="Abadi" w:hAnsi="Abadi" w:cs="Calibri"/>
          <w:sz w:val="16"/>
          <w:szCs w:val="16"/>
        </w:rPr>
      </w:pPr>
      <w:r w:rsidRPr="000750A3">
        <w:rPr>
          <w:rStyle w:val="Refdenotaalpie"/>
          <w:rFonts w:ascii="Abadi" w:hAnsi="Abadi" w:cs="Calibri"/>
          <w:sz w:val="16"/>
          <w:szCs w:val="16"/>
        </w:rPr>
        <w:footnoteRef/>
      </w:r>
      <w:r w:rsidRPr="000750A3">
        <w:rPr>
          <w:rFonts w:ascii="Abadi" w:hAnsi="Abadi" w:cs="Calibri"/>
          <w:sz w:val="16"/>
          <w:szCs w:val="16"/>
        </w:rPr>
        <w:t xml:space="preserve"> Acuerdo del C. Gobernador del Estado por el cual se aprueba la Actualización del Programa de Gobierno 2018-2024, Publicado en el Periódico Oficial del Gobierno del Estado de Guanajuato número 134, Segunda Parte, del 7 de julio de 2021.</w:t>
      </w:r>
    </w:p>
  </w:footnote>
  <w:footnote w:id="213">
    <w:p w14:paraId="3DF7722A" w14:textId="77777777" w:rsidR="00C702D8" w:rsidRPr="007C7F3D" w:rsidRDefault="00C702D8" w:rsidP="00C702D8">
      <w:pPr>
        <w:pStyle w:val="Textonotapie"/>
        <w:jc w:val="both"/>
        <w:rPr>
          <w:rFonts w:ascii="Calibri" w:hAnsi="Calibri" w:cs="Calibri"/>
        </w:rPr>
      </w:pPr>
      <w:r w:rsidRPr="000750A3">
        <w:rPr>
          <w:rStyle w:val="Refdenotaalpie"/>
          <w:rFonts w:ascii="Abadi" w:hAnsi="Abadi" w:cs="Calibri"/>
          <w:sz w:val="16"/>
          <w:szCs w:val="16"/>
        </w:rPr>
        <w:footnoteRef/>
      </w:r>
      <w:r w:rsidRPr="000750A3">
        <w:rPr>
          <w:rFonts w:ascii="Abadi" w:hAnsi="Abadi" w:cs="Calibri"/>
          <w:sz w:val="16"/>
          <w:szCs w:val="16"/>
        </w:rPr>
        <w:t xml:space="preserve"> Acuerdo del C. Gobernador del Estado por el cual se aprueba la Actualización del Plan Estatal de Desarrollo del Estado de Guanajuato, contenida en el documento denominado «Plan Estatal de Desarrollo Guanajuato 2040. Construyendo el Futuro», así como el documento citado anexo. Periódico Oficial del Gobierno del Estado de Guanajuato número 45, Segunda Parte, del 2 de marzo de 2018.</w:t>
      </w:r>
    </w:p>
  </w:footnote>
  <w:footnote w:id="214">
    <w:p w14:paraId="25A80D43" w14:textId="09A44808" w:rsidR="00A6749A" w:rsidRDefault="00A6749A">
      <w:pPr>
        <w:pStyle w:val="Textonotapie"/>
      </w:pPr>
      <w:r>
        <w:rPr>
          <w:rStyle w:val="Refdenotaalpie"/>
        </w:rPr>
        <w:footnoteRef/>
      </w:r>
      <w:r>
        <w:t xml:space="preserve"> </w:t>
      </w:r>
      <w:hyperlink r:id="rId277" w:history="1">
        <w:r w:rsidRPr="00A6749A">
          <w:rPr>
            <w:rStyle w:val="Hipervnculo"/>
            <w:rFonts w:ascii="Abadi" w:hAnsi="Abadi"/>
            <w:sz w:val="16"/>
            <w:szCs w:val="16"/>
          </w:rPr>
          <w:t>https://congreso-gto.s3.amazonaws.com/uploads/orden_archivo/archivo/29957/27_Dictamen_aportacio_n_bienes_Parque_Guanajuato_Bicentenario__ISSEG.pdf</w:t>
        </w:r>
      </w:hyperlink>
    </w:p>
  </w:footnote>
  <w:footnote w:id="215">
    <w:p w14:paraId="3A6C2C3E" w14:textId="7025BD25" w:rsidR="008C693C" w:rsidRDefault="008C693C">
      <w:pPr>
        <w:pStyle w:val="Textonotapie"/>
      </w:pPr>
      <w:r>
        <w:rPr>
          <w:rStyle w:val="Refdenotaalpie"/>
        </w:rPr>
        <w:footnoteRef/>
      </w:r>
      <w:r>
        <w:t xml:space="preserve"> </w:t>
      </w:r>
      <w:hyperlink r:id="rId278" w:history="1">
        <w:r w:rsidR="00175794" w:rsidRPr="00175794">
          <w:rPr>
            <w:rStyle w:val="Hipervnculo"/>
            <w:rFonts w:ascii="Abadi" w:hAnsi="Abadi"/>
            <w:sz w:val="16"/>
            <w:szCs w:val="16"/>
          </w:rPr>
          <w:t>https://congreso-gto.s3.amazonaws.com/uploads/orden_archivo/archivo/29958/28_Dictamen_iniciativa_Gobernador_donacio_n_Irapuato.pdf</w:t>
        </w:r>
      </w:hyperlink>
    </w:p>
  </w:footnote>
  <w:footnote w:id="216">
    <w:p w14:paraId="57528118" w14:textId="77777777" w:rsidR="00C202AD" w:rsidRPr="009155E0" w:rsidRDefault="00C202AD" w:rsidP="00C202AD">
      <w:pPr>
        <w:pStyle w:val="Textonotapie"/>
        <w:jc w:val="both"/>
        <w:rPr>
          <w:rFonts w:ascii="Abadi" w:hAnsi="Abadi"/>
          <w:sz w:val="16"/>
          <w:szCs w:val="16"/>
        </w:rPr>
      </w:pPr>
      <w:r w:rsidRPr="009155E0">
        <w:rPr>
          <w:rStyle w:val="Refdenotaalpie"/>
          <w:rFonts w:ascii="Abadi" w:hAnsi="Abadi"/>
          <w:sz w:val="16"/>
          <w:szCs w:val="16"/>
        </w:rPr>
        <w:footnoteRef/>
      </w:r>
      <w:r w:rsidRPr="009155E0">
        <w:rPr>
          <w:rFonts w:ascii="Abadi" w:hAnsi="Abadi"/>
          <w:sz w:val="16"/>
          <w:szCs w:val="16"/>
        </w:rPr>
        <w:t xml:space="preserve"> </w:t>
      </w:r>
      <w:r w:rsidRPr="009155E0">
        <w:rPr>
          <w:rFonts w:ascii="Abadi" w:hAnsi="Abadi" w:cs="Arial"/>
          <w:sz w:val="16"/>
          <w:szCs w:val="16"/>
        </w:rPr>
        <w:t>Acuerdo del C. Gobernador del Estado por el cual se aprueba la actualización del Programa de Gobierno2018-2024, y su anexo contenido en el documento denominado «Actualización del Programa de Gobierno 2018-2024», publicado en el Periódico Oficial del Gobierno del Estado de Guanajuato número 134, segunda y tercera partes, del 7 de julio de 2021.</w:t>
      </w:r>
    </w:p>
  </w:footnote>
  <w:footnote w:id="217">
    <w:p w14:paraId="31151947" w14:textId="1AA74C83" w:rsidR="00850DBE" w:rsidRPr="00850DBE" w:rsidRDefault="00850DBE">
      <w:pPr>
        <w:pStyle w:val="Textonotapie"/>
        <w:rPr>
          <w:rFonts w:ascii="Abadi" w:hAnsi="Abadi"/>
          <w:sz w:val="16"/>
          <w:szCs w:val="16"/>
        </w:rPr>
      </w:pPr>
      <w:r>
        <w:rPr>
          <w:rStyle w:val="Refdenotaalpie"/>
        </w:rPr>
        <w:footnoteRef/>
      </w:r>
      <w:r>
        <w:t xml:space="preserve"> </w:t>
      </w:r>
      <w:hyperlink r:id="rId279" w:history="1">
        <w:r w:rsidRPr="00430028">
          <w:rPr>
            <w:rStyle w:val="Hipervnculo"/>
            <w:rFonts w:ascii="Abadi" w:hAnsi="Abadi"/>
            <w:sz w:val="16"/>
            <w:szCs w:val="16"/>
          </w:rPr>
          <w:t>https://congreso-gto.s3.amazonaws.com/uploads/orden_archivo/archivo/29959/29_Dictamen_punto_acuerdo_Dip_Prieto.pdf</w:t>
        </w:r>
      </w:hyperlink>
    </w:p>
  </w:footnote>
  <w:footnote w:id="218">
    <w:p w14:paraId="504FD0A3" w14:textId="53C8092C" w:rsidR="00DA453E" w:rsidRDefault="00DA453E">
      <w:pPr>
        <w:pStyle w:val="Textonotapie"/>
      </w:pPr>
      <w:r>
        <w:rPr>
          <w:rStyle w:val="Refdenotaalpie"/>
        </w:rPr>
        <w:footnoteRef/>
      </w:r>
      <w:r>
        <w:t xml:space="preserve"> </w:t>
      </w:r>
      <w:hyperlink r:id="rId280" w:history="1">
        <w:r w:rsidR="00D173FD" w:rsidRPr="00D173FD">
          <w:rPr>
            <w:rStyle w:val="Hipervnculo"/>
            <w:rFonts w:ascii="Abadi" w:hAnsi="Abadi"/>
            <w:sz w:val="16"/>
            <w:szCs w:val="16"/>
          </w:rPr>
          <w:t>https://congreso-gto.s3.amazonaws.com/uploads/orden_archivo/archivo/29960/30_Auditori_a_integral_Salamanca_2018-2021.pdf</w:t>
        </w:r>
      </w:hyperlink>
    </w:p>
  </w:footnote>
  <w:footnote w:id="219">
    <w:p w14:paraId="13B74D23" w14:textId="698CB895" w:rsidR="006D1D41" w:rsidRDefault="006D1D41">
      <w:pPr>
        <w:pStyle w:val="Textonotapie"/>
      </w:pPr>
      <w:r>
        <w:rPr>
          <w:rStyle w:val="Refdenotaalpie"/>
        </w:rPr>
        <w:footnoteRef/>
      </w:r>
      <w:r>
        <w:t xml:space="preserve"> </w:t>
      </w:r>
      <w:hyperlink r:id="rId281" w:history="1">
        <w:r w:rsidR="00B7095C" w:rsidRPr="00B7095C">
          <w:rPr>
            <w:rStyle w:val="Hipervnculo"/>
            <w:rFonts w:ascii="Abadi" w:hAnsi="Abadi"/>
            <w:sz w:val="16"/>
            <w:szCs w:val="16"/>
          </w:rPr>
          <w:t>https://congreso-gto.s3.amazonaws.com/uploads/orden_archivo/archivo/29961/31_Dictamen_auditori_a_integral_Aca_mbaro.pdf</w:t>
        </w:r>
      </w:hyperlink>
    </w:p>
  </w:footnote>
  <w:footnote w:id="220">
    <w:p w14:paraId="14917F83" w14:textId="0F5EFD85" w:rsidR="00EC0F98" w:rsidRDefault="00EC0F98">
      <w:pPr>
        <w:pStyle w:val="Textonotapie"/>
      </w:pPr>
      <w:r>
        <w:rPr>
          <w:rStyle w:val="Refdenotaalpie"/>
        </w:rPr>
        <w:footnoteRef/>
      </w:r>
      <w:r>
        <w:t xml:space="preserve"> </w:t>
      </w:r>
      <w:hyperlink r:id="rId282" w:history="1">
        <w:r w:rsidR="00132764" w:rsidRPr="00132764">
          <w:rPr>
            <w:rStyle w:val="Hipervnculo"/>
            <w:rFonts w:ascii="Abadi" w:hAnsi="Abadi"/>
            <w:sz w:val="16"/>
            <w:szCs w:val="16"/>
          </w:rPr>
          <w:t>https://congreso-gto.s3.amazonaws.com/uploads/orden_archivo/archivo/29962/34__ELD_313_LXV_IRASEG_Audit_Dolores_Hidalgo_infraestructura_pu_blica_2021.pdf</w:t>
        </w:r>
      </w:hyperlink>
    </w:p>
  </w:footnote>
  <w:footnote w:id="221">
    <w:p w14:paraId="4E6DE248" w14:textId="1E849AA1" w:rsidR="005127C5" w:rsidRDefault="005127C5">
      <w:pPr>
        <w:pStyle w:val="Textonotapie"/>
      </w:pPr>
      <w:r>
        <w:rPr>
          <w:rStyle w:val="Refdenotaalpie"/>
        </w:rPr>
        <w:footnoteRef/>
      </w:r>
      <w:r>
        <w:t xml:space="preserve"> </w:t>
      </w:r>
      <w:hyperlink r:id="rId283" w:history="1">
        <w:r w:rsidR="005A11AB" w:rsidRPr="005A11AB">
          <w:rPr>
            <w:rStyle w:val="Hipervnculo"/>
            <w:rFonts w:ascii="Abadi" w:hAnsi="Abadi"/>
            <w:sz w:val="16"/>
            <w:szCs w:val="16"/>
          </w:rPr>
          <w:t>https://congreso-gto.s3.amazonaws.com/uploads/orden_archivo/archivo/29963/33_Audit_San_Miguel_de_Allende_infraestructura_pu_blica_2021.pdf</w:t>
        </w:r>
      </w:hyperlink>
    </w:p>
  </w:footnote>
  <w:footnote w:id="222">
    <w:p w14:paraId="77F6178B" w14:textId="7B474D45" w:rsidR="005A11AB" w:rsidRDefault="005A11AB">
      <w:pPr>
        <w:pStyle w:val="Textonotapie"/>
      </w:pPr>
      <w:r>
        <w:rPr>
          <w:rStyle w:val="Refdenotaalpie"/>
        </w:rPr>
        <w:footnoteRef/>
      </w:r>
      <w:r>
        <w:t xml:space="preserve"> </w:t>
      </w:r>
      <w:hyperlink r:id="rId284" w:history="1">
        <w:r w:rsidR="00485603" w:rsidRPr="00485603">
          <w:rPr>
            <w:rStyle w:val="Hipervnculo"/>
            <w:rFonts w:ascii="Abadi" w:hAnsi="Abadi"/>
            <w:sz w:val="16"/>
            <w:szCs w:val="16"/>
          </w:rPr>
          <w:t>https://congreso-gto.s3.amazonaws.com/uploads/orden_archivo/archivo/29964/34_Audit_Leo_n_infraestructura_pu_blica_2021.pdf</w:t>
        </w:r>
      </w:hyperlink>
    </w:p>
  </w:footnote>
  <w:footnote w:id="223">
    <w:p w14:paraId="0E15D003" w14:textId="4E111F72" w:rsidR="007C2B71" w:rsidRDefault="007C2B71">
      <w:pPr>
        <w:pStyle w:val="Textonotapie"/>
      </w:pPr>
      <w:r>
        <w:rPr>
          <w:rStyle w:val="Refdenotaalpie"/>
        </w:rPr>
        <w:footnoteRef/>
      </w:r>
      <w:r>
        <w:t xml:space="preserve"> </w:t>
      </w:r>
      <w:hyperlink r:id="rId285" w:history="1">
        <w:r w:rsidR="00DA6BC0" w:rsidRPr="00DA6BC0">
          <w:rPr>
            <w:rStyle w:val="Hipervnculo"/>
            <w:rFonts w:ascii="Abadi" w:hAnsi="Abadi"/>
            <w:sz w:val="16"/>
            <w:szCs w:val="16"/>
          </w:rPr>
          <w:t>https://congreso-gto.s3.amazonaws.com/uploads/orden_archivo/archivo/29965/35_San_Diego_de_la_Unio_n_cuenta_pu_blica_2021.pdf</w:t>
        </w:r>
      </w:hyperlink>
    </w:p>
  </w:footnote>
  <w:footnote w:id="224">
    <w:p w14:paraId="7966301E" w14:textId="3AD1A6D4" w:rsidR="0009633E" w:rsidRDefault="0009633E">
      <w:pPr>
        <w:pStyle w:val="Textonotapie"/>
      </w:pPr>
      <w:r>
        <w:rPr>
          <w:rStyle w:val="Refdenotaalpie"/>
        </w:rPr>
        <w:footnoteRef/>
      </w:r>
      <w:r>
        <w:t xml:space="preserve"> </w:t>
      </w:r>
      <w:hyperlink r:id="rId286" w:history="1">
        <w:r w:rsidR="0099329F" w:rsidRPr="0099329F">
          <w:rPr>
            <w:rStyle w:val="Hipervnculo"/>
            <w:rFonts w:ascii="Abadi" w:hAnsi="Abadi"/>
            <w:sz w:val="16"/>
            <w:szCs w:val="16"/>
          </w:rPr>
          <w:t>https://congreso-gto.s3.amazonaws.com/uploads/orden_archivo/archivo/29966/36_Silao_de_la_Victoria_cuenta_pu_blica_2021.pdf</w:t>
        </w:r>
      </w:hyperlink>
    </w:p>
  </w:footnote>
  <w:footnote w:id="225">
    <w:p w14:paraId="58CDFEB2" w14:textId="507499EB" w:rsidR="00147C35" w:rsidRDefault="00147C35">
      <w:pPr>
        <w:pStyle w:val="Textonotapie"/>
      </w:pPr>
      <w:r>
        <w:rPr>
          <w:rStyle w:val="Refdenotaalpie"/>
        </w:rPr>
        <w:footnoteRef/>
      </w:r>
      <w:r>
        <w:t xml:space="preserve"> </w:t>
      </w:r>
      <w:hyperlink r:id="rId287" w:history="1">
        <w:r w:rsidRPr="00147C35">
          <w:rPr>
            <w:rStyle w:val="Hipervnculo"/>
            <w:rFonts w:ascii="Abadi" w:hAnsi="Abadi"/>
            <w:sz w:val="16"/>
            <w:szCs w:val="16"/>
          </w:rPr>
          <w:t>https://congreso-gto.s3.amazonaws.com/uploads/orden_archivo/archivo/29967/37_Pe_njamo_cuenta_pu_blica_2021.pdf</w:t>
        </w:r>
      </w:hyperlink>
    </w:p>
  </w:footnote>
  <w:footnote w:id="226">
    <w:p w14:paraId="35802894" w14:textId="6980D107" w:rsidR="00CA2A81" w:rsidRDefault="00CA2A81">
      <w:pPr>
        <w:pStyle w:val="Textonotapie"/>
      </w:pPr>
      <w:r>
        <w:rPr>
          <w:rStyle w:val="Refdenotaalpie"/>
        </w:rPr>
        <w:footnoteRef/>
      </w:r>
      <w:r>
        <w:t xml:space="preserve"> </w:t>
      </w:r>
      <w:hyperlink r:id="rId288" w:history="1">
        <w:r w:rsidR="009B52DF" w:rsidRPr="009B52DF">
          <w:rPr>
            <w:rStyle w:val="Hipervnculo"/>
            <w:rFonts w:ascii="Abadi" w:hAnsi="Abadi"/>
            <w:sz w:val="16"/>
            <w:szCs w:val="16"/>
          </w:rPr>
          <w:t>https://congreso-gto.s3.amazonaws.com/uploads/orden_archivo/archivo/29968/38_Irapuato_cuenta_pu_blica_2021.pdf</w:t>
        </w:r>
      </w:hyperlink>
    </w:p>
  </w:footnote>
  <w:footnote w:id="227">
    <w:p w14:paraId="69B31F90" w14:textId="76511C36" w:rsidR="00113452" w:rsidRDefault="00113452">
      <w:pPr>
        <w:pStyle w:val="Textonotapie"/>
      </w:pPr>
      <w:r>
        <w:rPr>
          <w:rStyle w:val="Refdenotaalpie"/>
        </w:rPr>
        <w:footnoteRef/>
      </w:r>
      <w:r>
        <w:t xml:space="preserve"> </w:t>
      </w:r>
      <w:hyperlink r:id="rId289" w:history="1">
        <w:r w:rsidR="00D9336F" w:rsidRPr="00D9336F">
          <w:rPr>
            <w:rStyle w:val="Hipervnculo"/>
            <w:rFonts w:ascii="Abadi" w:hAnsi="Abadi"/>
            <w:sz w:val="16"/>
            <w:szCs w:val="16"/>
          </w:rPr>
          <w:t>https://congreso-gto.s3.amazonaws.com/uploads/orden_archivo/archivo/29969/41__ELD_303_LXV_IRASEG_Puri_sima_del_Rinco_n_cuenta_pu_blica_2021.pdf</w:t>
        </w:r>
      </w:hyperlink>
    </w:p>
  </w:footnote>
  <w:footnote w:id="228">
    <w:p w14:paraId="6B28F2ED" w14:textId="1865B9FC" w:rsidR="008D343D" w:rsidRDefault="008D343D">
      <w:pPr>
        <w:pStyle w:val="Textonotapie"/>
      </w:pPr>
      <w:r>
        <w:rPr>
          <w:rStyle w:val="Refdenotaalpie"/>
        </w:rPr>
        <w:footnoteRef/>
      </w:r>
      <w:r>
        <w:t xml:space="preserve"> </w:t>
      </w:r>
      <w:hyperlink r:id="rId290" w:history="1">
        <w:r w:rsidR="00DD3AD5" w:rsidRPr="00DD3AD5">
          <w:rPr>
            <w:rStyle w:val="Hipervnculo"/>
            <w:rFonts w:ascii="Abadi" w:hAnsi="Abadi"/>
            <w:sz w:val="16"/>
            <w:szCs w:val="16"/>
          </w:rPr>
          <w:t>https://congreso-gto.s3.amazonaws.com/uploads/orden_archivo/archivo/29970/40_Tierra_Blanca_cuenta_pu_blica_2021.pdf</w:t>
        </w:r>
      </w:hyperlink>
    </w:p>
  </w:footnote>
  <w:footnote w:id="229">
    <w:p w14:paraId="566625E1" w14:textId="090FEE47" w:rsidR="00313205" w:rsidRDefault="00313205">
      <w:pPr>
        <w:pStyle w:val="Textonotapie"/>
      </w:pPr>
      <w:r>
        <w:rPr>
          <w:rStyle w:val="Refdenotaalpie"/>
        </w:rPr>
        <w:footnoteRef/>
      </w:r>
      <w:r>
        <w:t xml:space="preserve"> </w:t>
      </w:r>
      <w:hyperlink r:id="rId291" w:history="1">
        <w:r w:rsidRPr="00313205">
          <w:rPr>
            <w:rStyle w:val="Hipervnculo"/>
            <w:rFonts w:ascii="Abadi" w:hAnsi="Abadi"/>
            <w:sz w:val="16"/>
            <w:szCs w:val="16"/>
          </w:rPr>
          <w:t>https://congreso-gto.s3.amazonaws.com/uploads/orden_archivo/archivo/29971/41_Dictamen_cuenta_pu_blica_Xichu__2021.pdf</w:t>
        </w:r>
      </w:hyperlink>
    </w:p>
  </w:footnote>
  <w:footnote w:id="230">
    <w:p w14:paraId="6D53D769" w14:textId="5B69F87D" w:rsidR="006228E9" w:rsidRDefault="006228E9">
      <w:pPr>
        <w:pStyle w:val="Textonotapie"/>
      </w:pPr>
      <w:r>
        <w:rPr>
          <w:rStyle w:val="Refdenotaalpie"/>
        </w:rPr>
        <w:footnoteRef/>
      </w:r>
      <w:r>
        <w:t xml:space="preserve"> </w:t>
      </w:r>
      <w:hyperlink r:id="rId292" w:history="1">
        <w:r w:rsidR="00F2543C" w:rsidRPr="00F2543C">
          <w:rPr>
            <w:rStyle w:val="Hipervnculo"/>
            <w:rFonts w:ascii="Abadi" w:hAnsi="Abadi"/>
            <w:sz w:val="16"/>
            <w:szCs w:val="16"/>
          </w:rPr>
          <w:t>https://congreso-gto.s3.amazonaws.com/uploads/orden_archivo/archivo/29972/44__ELD_311_LXV_IRASEG_Dictamen_cuenta_pu_blica_Dolores_Hidalgo_2021.pdf</w:t>
        </w:r>
      </w:hyperlink>
    </w:p>
  </w:footnote>
  <w:footnote w:id="231">
    <w:p w14:paraId="19099CD7" w14:textId="4C21F724" w:rsidR="00EC33D7" w:rsidRDefault="00EC33D7">
      <w:pPr>
        <w:pStyle w:val="Textonotapie"/>
      </w:pPr>
      <w:r>
        <w:rPr>
          <w:rStyle w:val="Refdenotaalpie"/>
        </w:rPr>
        <w:footnoteRef/>
      </w:r>
      <w:r>
        <w:t xml:space="preserve"> </w:t>
      </w:r>
      <w:hyperlink r:id="rId293" w:history="1">
        <w:r w:rsidR="002C4968" w:rsidRPr="002C4968">
          <w:rPr>
            <w:rStyle w:val="Hipervnculo"/>
            <w:rFonts w:ascii="Abadi" w:hAnsi="Abadi"/>
            <w:sz w:val="16"/>
            <w:szCs w:val="16"/>
          </w:rPr>
          <w:t>https://congreso-gto.s3.amazonaws.com/uploads/orden_archivo/archivo/29973/43_Dictamen_cuenta_pu_blica_Santa_Cruz_de_Juventino_Rosas_2021.pdf</w:t>
        </w:r>
      </w:hyperlink>
    </w:p>
  </w:footnote>
  <w:footnote w:id="232">
    <w:p w14:paraId="699707DA" w14:textId="5581FBBF" w:rsidR="001848CF" w:rsidRDefault="001848CF">
      <w:pPr>
        <w:pStyle w:val="Textonotapie"/>
      </w:pPr>
      <w:r>
        <w:rPr>
          <w:rStyle w:val="Refdenotaalpie"/>
        </w:rPr>
        <w:footnoteRef/>
      </w:r>
      <w:r>
        <w:t xml:space="preserve"> </w:t>
      </w:r>
      <w:hyperlink r:id="rId294" w:history="1">
        <w:r w:rsidR="00907B55" w:rsidRPr="00907B55">
          <w:rPr>
            <w:rStyle w:val="Hipervnculo"/>
            <w:rFonts w:ascii="Abadi" w:hAnsi="Abadi"/>
            <w:sz w:val="16"/>
            <w:szCs w:val="16"/>
          </w:rPr>
          <w:t>https://congreso-gto.s3.amazonaws.com/uploads/orden_archivo/archivo/29974/44_Dictamen_cuenta_pu_blica_Abasolo_2021.pdf</w:t>
        </w:r>
      </w:hyperlink>
    </w:p>
  </w:footnote>
  <w:footnote w:id="233">
    <w:p w14:paraId="481D1B83" w14:textId="27340AD5" w:rsidR="00DD55E5" w:rsidRDefault="00DD55E5">
      <w:pPr>
        <w:pStyle w:val="Textonotapie"/>
      </w:pPr>
      <w:r>
        <w:rPr>
          <w:rStyle w:val="Refdenotaalpie"/>
        </w:rPr>
        <w:footnoteRef/>
      </w:r>
      <w:r>
        <w:t xml:space="preserve"> </w:t>
      </w:r>
      <w:hyperlink r:id="rId295" w:history="1">
        <w:r w:rsidRPr="00DD55E5">
          <w:rPr>
            <w:rStyle w:val="Hipervnculo"/>
            <w:rFonts w:ascii="Abadi" w:hAnsi="Abadi"/>
            <w:sz w:val="16"/>
            <w:szCs w:val="16"/>
          </w:rPr>
          <w:t>https://congreso-gto.s3.amazonaws.com/uploads/orden_archivo/archivo/29975/45_Dictamen_cuenta_pu_blica_Pueblo_Nuevo_2021.pdf</w:t>
        </w:r>
      </w:hyperlink>
    </w:p>
  </w:footnote>
  <w:footnote w:id="234">
    <w:p w14:paraId="10F70537" w14:textId="3B043930" w:rsidR="008F61E1" w:rsidRDefault="008F61E1">
      <w:pPr>
        <w:pStyle w:val="Textonotapie"/>
      </w:pPr>
      <w:r>
        <w:rPr>
          <w:rStyle w:val="Refdenotaalpie"/>
        </w:rPr>
        <w:footnoteRef/>
      </w:r>
      <w:r>
        <w:t xml:space="preserve"> </w:t>
      </w:r>
      <w:hyperlink r:id="rId296" w:history="1">
        <w:r w:rsidRPr="008F61E1">
          <w:rPr>
            <w:rStyle w:val="Hipervnculo"/>
            <w:rFonts w:ascii="Abadi" w:hAnsi="Abadi"/>
            <w:sz w:val="16"/>
            <w:szCs w:val="16"/>
          </w:rPr>
          <w:t>https://congreso-gto.s3.amazonaws.com/uploads/orden_archivo/archivo/29976/46_Dictamen_cuenta_pu_blica_Leo_n_2021.pdf</w:t>
        </w:r>
      </w:hyperlink>
    </w:p>
  </w:footnote>
  <w:footnote w:id="235">
    <w:p w14:paraId="500B491B" w14:textId="249FA752" w:rsidR="009C0757" w:rsidRDefault="009C0757">
      <w:pPr>
        <w:pStyle w:val="Textonotapie"/>
      </w:pPr>
      <w:r>
        <w:rPr>
          <w:rStyle w:val="Refdenotaalpie"/>
        </w:rPr>
        <w:footnoteRef/>
      </w:r>
      <w:r>
        <w:t xml:space="preserve"> </w:t>
      </w:r>
      <w:hyperlink r:id="rId297" w:history="1">
        <w:r w:rsidRPr="009C0757">
          <w:rPr>
            <w:rStyle w:val="Hipervnculo"/>
            <w:rFonts w:ascii="Abadi" w:hAnsi="Abadi"/>
            <w:sz w:val="16"/>
            <w:szCs w:val="16"/>
          </w:rPr>
          <w:t>https://congreso-gto.s3.amazonaws.com/uploads/orden_archivo/archivo/29977/47_Dictamen_cuenta_pu_blica_Apaseo_el_Alto_2021.pdf</w:t>
        </w:r>
      </w:hyperlink>
    </w:p>
  </w:footnote>
  <w:footnote w:id="236">
    <w:p w14:paraId="2580496D" w14:textId="3FAA74AC" w:rsidR="00A96C2F" w:rsidRDefault="00A96C2F">
      <w:pPr>
        <w:pStyle w:val="Textonotapie"/>
      </w:pPr>
      <w:r>
        <w:rPr>
          <w:rStyle w:val="Refdenotaalpie"/>
        </w:rPr>
        <w:footnoteRef/>
      </w:r>
      <w:r>
        <w:t xml:space="preserve"> </w:t>
      </w:r>
      <w:hyperlink r:id="rId298" w:history="1">
        <w:r w:rsidR="003B395E" w:rsidRPr="003B395E">
          <w:rPr>
            <w:rStyle w:val="Hipervnculo"/>
            <w:rFonts w:ascii="Abadi" w:hAnsi="Abadi"/>
            <w:sz w:val="16"/>
            <w:szCs w:val="16"/>
          </w:rPr>
          <w:t>https://congreso-gto.s3.amazonaws.com/uploads/orden_archivo/archivo/29978/48_Dictamen_cuenta_pu_blica_Yuriria_2021.pdf</w:t>
        </w:r>
      </w:hyperlink>
    </w:p>
  </w:footnote>
  <w:footnote w:id="237">
    <w:p w14:paraId="62FD0CBB" w14:textId="093D1460" w:rsidR="004A67B0" w:rsidRDefault="004A67B0">
      <w:pPr>
        <w:pStyle w:val="Textonotapie"/>
      </w:pPr>
      <w:r>
        <w:rPr>
          <w:rStyle w:val="Refdenotaalpie"/>
        </w:rPr>
        <w:footnoteRef/>
      </w:r>
      <w:r>
        <w:t xml:space="preserve"> </w:t>
      </w:r>
      <w:hyperlink r:id="rId299" w:history="1">
        <w:r w:rsidRPr="004A67B0">
          <w:rPr>
            <w:rStyle w:val="Hipervnculo"/>
            <w:rFonts w:ascii="Abadi" w:hAnsi="Abadi"/>
            <w:sz w:val="16"/>
            <w:szCs w:val="16"/>
          </w:rPr>
          <w:t>https://congreso-gto.s3.amazonaws.com/uploads/orden_archivo/archivo/29979/49_Dictamen_cuenta_pu_blica_San_Miguel_de_Allende_2021.pdf</w:t>
        </w:r>
      </w:hyperlink>
    </w:p>
  </w:footnote>
  <w:footnote w:id="238">
    <w:p w14:paraId="23C7372D" w14:textId="6714CFCD" w:rsidR="00DA05F3" w:rsidRPr="00947822" w:rsidRDefault="00DA05F3">
      <w:pPr>
        <w:pStyle w:val="Textonotapie"/>
        <w:rPr>
          <w:rFonts w:ascii="Abadi" w:hAnsi="Abadi"/>
          <w:sz w:val="16"/>
          <w:szCs w:val="16"/>
        </w:rPr>
      </w:pPr>
      <w:r w:rsidRPr="00947822">
        <w:rPr>
          <w:rStyle w:val="Refdenotaalpie"/>
          <w:rFonts w:ascii="Abadi" w:hAnsi="Abadi"/>
          <w:sz w:val="16"/>
          <w:szCs w:val="16"/>
        </w:rPr>
        <w:footnoteRef/>
      </w:r>
      <w:r w:rsidRPr="00947822">
        <w:rPr>
          <w:rFonts w:ascii="Abadi" w:hAnsi="Abadi"/>
          <w:sz w:val="16"/>
          <w:szCs w:val="16"/>
        </w:rPr>
        <w:t xml:space="preserve"> </w:t>
      </w:r>
      <w:r w:rsidRPr="00D63EEB">
        <w:rPr>
          <w:rFonts w:ascii="Abadi" w:hAnsi="Abadi"/>
          <w:b/>
          <w:bCs/>
          <w:sz w:val="16"/>
          <w:szCs w:val="16"/>
        </w:rPr>
        <w:t xml:space="preserve">(Duración </w:t>
      </w:r>
      <w:r w:rsidR="00947822" w:rsidRPr="00D63EEB">
        <w:rPr>
          <w:rFonts w:ascii="Abadi" w:hAnsi="Abadi"/>
          <w:b/>
          <w:bCs/>
          <w:sz w:val="16"/>
          <w:szCs w:val="16"/>
        </w:rPr>
        <w:t>de la</w:t>
      </w:r>
      <w:r w:rsidRPr="00D63EEB">
        <w:rPr>
          <w:rFonts w:ascii="Abadi" w:hAnsi="Abadi"/>
          <w:b/>
          <w:bCs/>
          <w:sz w:val="16"/>
          <w:szCs w:val="16"/>
        </w:rPr>
        <w:t xml:space="preserve"> sesión)</w:t>
      </w:r>
      <w:r w:rsidRPr="00947822">
        <w:rPr>
          <w:rFonts w:ascii="Abadi" w:hAnsi="Abadi"/>
          <w:sz w:val="16"/>
          <w:szCs w:val="16"/>
        </w:rPr>
        <w:t xml:space="preserve"> seis horas </w:t>
      </w:r>
      <w:r w:rsidR="0083430E" w:rsidRPr="00947822">
        <w:rPr>
          <w:rFonts w:ascii="Abadi" w:hAnsi="Abadi"/>
          <w:sz w:val="16"/>
          <w:szCs w:val="16"/>
        </w:rPr>
        <w:t>con nueve</w:t>
      </w:r>
      <w:r w:rsidR="00947822" w:rsidRPr="00947822">
        <w:rPr>
          <w:rFonts w:ascii="Abadi" w:hAnsi="Abadi"/>
          <w:sz w:val="16"/>
          <w:szCs w:val="16"/>
        </w:rPr>
        <w:t xml:space="preserve"> segundos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1349170641" name="Imagen 1349170641"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1"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5BB820BE"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1033190914" name="Imagen 1033190914"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1408409152" name="Imagen 140840915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650508">
      <w:rPr>
        <w:rFonts w:ascii="Maiandra GD" w:hAnsi="Maiandra GD"/>
        <w:i/>
        <w:iCs/>
        <w:sz w:val="16"/>
        <w:szCs w:val="16"/>
        <w:shd w:val="clear" w:color="auto" w:fill="D9D9D9" w:themeFill="background1" w:themeFillShade="D9"/>
      </w:rPr>
      <w:t>2</w:t>
    </w:r>
    <w:r w:rsidR="005573C0">
      <w:rPr>
        <w:rFonts w:ascii="Maiandra GD" w:hAnsi="Maiandra GD"/>
        <w:i/>
        <w:iCs/>
        <w:sz w:val="16"/>
        <w:szCs w:val="16"/>
        <w:shd w:val="clear" w:color="auto" w:fill="D9D9D9" w:themeFill="background1" w:themeFillShade="D9"/>
      </w:rPr>
      <w:t>2</w:t>
    </w:r>
    <w:r w:rsidR="00650508">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de </w:t>
    </w:r>
    <w:r w:rsidR="005573C0">
      <w:rPr>
        <w:rFonts w:ascii="Maiandra GD" w:hAnsi="Maiandra GD"/>
        <w:i/>
        <w:iCs/>
        <w:sz w:val="16"/>
        <w:szCs w:val="16"/>
        <w:shd w:val="clear" w:color="auto" w:fill="D9D9D9" w:themeFill="background1" w:themeFillShade="D9"/>
      </w:rPr>
      <w:t>junio de 2023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1634544738" name="Imagen 163454473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78FF737D">
                    <wp:simplePos x="0" y="0"/>
                    <wp:positionH relativeFrom="column">
                      <wp:posOffset>4445</wp:posOffset>
                    </wp:positionH>
                    <wp:positionV relativeFrom="paragraph">
                      <wp:posOffset>-555625</wp:posOffset>
                    </wp:positionV>
                    <wp:extent cx="4812030" cy="533400"/>
                    <wp:effectExtent l="19050" t="0" r="0" b="57150"/>
                    <wp:wrapSquare wrapText="bothSides"/>
                    <wp:docPr id="9" name="Cuadro de texto 9"/>
                    <wp:cNvGraphicFramePr/>
                    <a:graphic xmlns:a="http://schemas.openxmlformats.org/drawingml/2006/main">
                      <a:graphicData uri="http://schemas.microsoft.com/office/word/2010/wordprocessingShape">
                        <wps:wsp>
                          <wps:cNvSpPr txBox="1"/>
                          <wps:spPr>
                            <a:xfrm>
                              <a:off x="0" y="0"/>
                              <a:ext cx="4812030" cy="533400"/>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3" type="#_x0000_t202" style="position:absolute;left:0;text-align:left;margin-left:.35pt;margin-top:-43.75pt;width:378.9pt;height:4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4B1F5A92"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1A2C08">
            <w:rPr>
              <w:rFonts w:ascii="Maiandra GD" w:hAnsi="Maiandra GD"/>
              <w:b/>
              <w:i/>
              <w:sz w:val="16"/>
              <w:szCs w:val="16"/>
            </w:rPr>
            <w:t>SEGUNDO</w:t>
          </w:r>
          <w:r w:rsidR="00430878">
            <w:rPr>
              <w:rFonts w:ascii="Maiandra GD" w:hAnsi="Maiandra GD"/>
              <w:b/>
              <w:i/>
              <w:sz w:val="16"/>
              <w:szCs w:val="16"/>
            </w:rPr>
            <w:t xml:space="preserve">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4A31D341"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1A2C08">
            <w:rPr>
              <w:rFonts w:ascii="Maiandra GD" w:hAnsi="Maiandra GD"/>
              <w:b/>
              <w:i/>
              <w:sz w:val="18"/>
              <w:szCs w:val="18"/>
              <w:shd w:val="clear" w:color="auto" w:fill="D9D9D9" w:themeFill="background1" w:themeFillShade="D9"/>
            </w:rPr>
            <w:t xml:space="preserve">22 DE JUNIO DE </w:t>
          </w:r>
          <w:r w:rsidRPr="0038730F">
            <w:rPr>
              <w:rFonts w:ascii="Maiandra GD" w:hAnsi="Maiandra GD"/>
              <w:b/>
              <w:i/>
              <w:sz w:val="18"/>
              <w:szCs w:val="18"/>
              <w:shd w:val="clear" w:color="auto" w:fill="D9D9D9" w:themeFill="background1" w:themeFillShade="D9"/>
            </w:rPr>
            <w:t>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B67903">
            <w:rPr>
              <w:rFonts w:ascii="Maiandra GD" w:hAnsi="Maiandra GD"/>
              <w:b/>
              <w:i/>
              <w:sz w:val="18"/>
              <w:szCs w:val="18"/>
              <w:shd w:val="clear" w:color="auto" w:fill="D9D9D9" w:themeFill="background1" w:themeFillShade="D9"/>
            </w:rPr>
            <w:t>72</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540450419" name="Imagen 1540450419"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1"/>
    <w:multiLevelType w:val="singleLevel"/>
    <w:tmpl w:val="39B08BCC"/>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3" w15:restartNumberingAfterBreak="0">
    <w:nsid w:val="FFFFFF89"/>
    <w:multiLevelType w:val="singleLevel"/>
    <w:tmpl w:val="9E861218"/>
    <w:lvl w:ilvl="0">
      <w:start w:val="1"/>
      <w:numFmt w:val="bullet"/>
      <w:pStyle w:val="Listaconvietas"/>
      <w:lvlText w:val=""/>
      <w:lvlJc w:val="left"/>
      <w:pPr>
        <w:tabs>
          <w:tab w:val="num" w:pos="360"/>
        </w:tabs>
        <w:ind w:left="360" w:hanging="360"/>
      </w:pPr>
      <w:rPr>
        <w:rFonts w:ascii="Symbol" w:hAnsi="Symbol" w:hint="default"/>
      </w:rPr>
    </w:lvl>
  </w:abstractNum>
  <w:abstractNum w:abstractNumId="4" w15:restartNumberingAfterBreak="0">
    <w:nsid w:val="005B52FE"/>
    <w:multiLevelType w:val="hybridMultilevel"/>
    <w:tmpl w:val="2856DF08"/>
    <w:lvl w:ilvl="0" w:tplc="B6660332">
      <w:start w:val="11"/>
      <w:numFmt w:val="upperRoman"/>
      <w:lvlText w:val="%1."/>
      <w:lvlJc w:val="left"/>
      <w:pPr>
        <w:ind w:left="1788"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009B74C3"/>
    <w:multiLevelType w:val="hybridMultilevel"/>
    <w:tmpl w:val="61D239BA"/>
    <w:lvl w:ilvl="0" w:tplc="6E60C42E">
      <w:start w:val="1"/>
      <w:numFmt w:val="upperRoman"/>
      <w:lvlText w:val="%1."/>
      <w:lvlJc w:val="left"/>
      <w:pPr>
        <w:ind w:left="1788"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01084514"/>
    <w:multiLevelType w:val="hybridMultilevel"/>
    <w:tmpl w:val="DB74695C"/>
    <w:lvl w:ilvl="0" w:tplc="2B2EC9EC">
      <w:numFmt w:val="bullet"/>
      <w:lvlText w:val="-"/>
      <w:lvlJc w:val="left"/>
      <w:pPr>
        <w:ind w:left="1068" w:hanging="360"/>
      </w:pPr>
      <w:rPr>
        <w:rFonts w:ascii="Abadi" w:eastAsiaTheme="minorHAnsi" w:hAnsi="Abadi" w:cstheme="minorBidi"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7" w15:restartNumberingAfterBreak="0">
    <w:nsid w:val="011C4F78"/>
    <w:multiLevelType w:val="hybridMultilevel"/>
    <w:tmpl w:val="21A2AD6A"/>
    <w:lvl w:ilvl="0" w:tplc="44B2EC1C">
      <w:start w:val="1"/>
      <w:numFmt w:val="lowerLetter"/>
      <w:lvlText w:val="%1)"/>
      <w:lvlJc w:val="left"/>
      <w:pPr>
        <w:ind w:left="1428" w:hanging="360"/>
      </w:pPr>
      <w:rPr>
        <w:b/>
        <w:bCs/>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8" w15:restartNumberingAfterBreak="0">
    <w:nsid w:val="0159733B"/>
    <w:multiLevelType w:val="hybridMultilevel"/>
    <w:tmpl w:val="0980DE9C"/>
    <w:lvl w:ilvl="0" w:tplc="2752C452">
      <w:start w:val="13"/>
      <w:numFmt w:val="upperRoman"/>
      <w:lvlText w:val="%1."/>
      <w:lvlJc w:val="left"/>
      <w:pPr>
        <w:ind w:left="0"/>
      </w:pPr>
      <w:rPr>
        <w:rFonts w:ascii="Verdana" w:hAnsi="Verdana" w:cs="Verdana" w:hint="default"/>
        <w:b/>
        <w:bCs/>
        <w:i w:val="0"/>
        <w:strike w:val="0"/>
        <w:dstrike w:val="0"/>
        <w:color w:val="000000"/>
        <w:sz w:val="18"/>
        <w:szCs w:val="20"/>
        <w:u w:val="none" w:color="000000"/>
        <w:bdr w:val="none" w:sz="0" w:space="0" w:color="auto"/>
        <w:shd w:val="clear" w:color="auto" w:fill="auto"/>
        <w:vertAlign w:val="baseline"/>
      </w:rPr>
    </w:lvl>
    <w:lvl w:ilvl="1" w:tplc="0B0ABA2A">
      <w:start w:val="1"/>
      <w:numFmt w:val="lowerLetter"/>
      <w:lvlText w:val="%2"/>
      <w:lvlJc w:val="left"/>
      <w:pPr>
        <w:ind w:left="118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75189A6C">
      <w:start w:val="1"/>
      <w:numFmt w:val="lowerRoman"/>
      <w:lvlText w:val="%3"/>
      <w:lvlJc w:val="left"/>
      <w:pPr>
        <w:ind w:left="190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A2C28362">
      <w:start w:val="1"/>
      <w:numFmt w:val="decimal"/>
      <w:lvlText w:val="%4"/>
      <w:lvlJc w:val="left"/>
      <w:pPr>
        <w:ind w:left="262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B0960176">
      <w:start w:val="1"/>
      <w:numFmt w:val="lowerLetter"/>
      <w:lvlText w:val="%5"/>
      <w:lvlJc w:val="left"/>
      <w:pPr>
        <w:ind w:left="334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83165EAE">
      <w:start w:val="1"/>
      <w:numFmt w:val="lowerRoman"/>
      <w:lvlText w:val="%6"/>
      <w:lvlJc w:val="left"/>
      <w:pPr>
        <w:ind w:left="406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8C32C564">
      <w:start w:val="1"/>
      <w:numFmt w:val="decimal"/>
      <w:lvlText w:val="%7"/>
      <w:lvlJc w:val="left"/>
      <w:pPr>
        <w:ind w:left="478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396C3C1E">
      <w:start w:val="1"/>
      <w:numFmt w:val="lowerLetter"/>
      <w:lvlText w:val="%8"/>
      <w:lvlJc w:val="left"/>
      <w:pPr>
        <w:ind w:left="550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CF4AFE66">
      <w:start w:val="1"/>
      <w:numFmt w:val="lowerRoman"/>
      <w:lvlText w:val="%9"/>
      <w:lvlJc w:val="left"/>
      <w:pPr>
        <w:ind w:left="622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032135EA"/>
    <w:multiLevelType w:val="hybridMultilevel"/>
    <w:tmpl w:val="A3404E0C"/>
    <w:lvl w:ilvl="0" w:tplc="533484BA">
      <w:start w:val="3"/>
      <w:numFmt w:val="lowerLetter"/>
      <w:lvlText w:val="%1)"/>
      <w:lvlJc w:val="left"/>
      <w:pPr>
        <w:ind w:left="580"/>
      </w:pPr>
      <w:rPr>
        <w:rFonts w:ascii="Arial" w:hAnsi="Arial" w:cs="Arial" w:hint="default"/>
        <w:b/>
        <w:bCs/>
        <w:i w:val="0"/>
        <w:strike w:val="0"/>
        <w:dstrike w:val="0"/>
        <w:color w:val="000000"/>
        <w:sz w:val="20"/>
        <w:szCs w:val="26"/>
        <w:u w:val="none" w:color="000000"/>
        <w:bdr w:val="none" w:sz="0" w:space="0" w:color="auto"/>
        <w:shd w:val="clear" w:color="auto" w:fill="auto"/>
        <w:vertAlign w:val="baseline"/>
      </w:rPr>
    </w:lvl>
    <w:lvl w:ilvl="1" w:tplc="CB5E8B54">
      <w:start w:val="1"/>
      <w:numFmt w:val="lowerLetter"/>
      <w:lvlText w:val="%2"/>
      <w:lvlJc w:val="left"/>
      <w:pPr>
        <w:ind w:left="10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8D789DA6">
      <w:start w:val="1"/>
      <w:numFmt w:val="lowerRoman"/>
      <w:lvlText w:val="%3"/>
      <w:lvlJc w:val="left"/>
      <w:pPr>
        <w:ind w:left="18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79B468C6">
      <w:start w:val="1"/>
      <w:numFmt w:val="decimal"/>
      <w:lvlText w:val="%4"/>
      <w:lvlJc w:val="left"/>
      <w:pPr>
        <w:ind w:left="25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EEE8FF66">
      <w:start w:val="1"/>
      <w:numFmt w:val="lowerLetter"/>
      <w:lvlText w:val="%5"/>
      <w:lvlJc w:val="left"/>
      <w:pPr>
        <w:ind w:left="32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A06AA80A">
      <w:start w:val="1"/>
      <w:numFmt w:val="lowerRoman"/>
      <w:lvlText w:val="%6"/>
      <w:lvlJc w:val="left"/>
      <w:pPr>
        <w:ind w:left="39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3458893C">
      <w:start w:val="1"/>
      <w:numFmt w:val="decimal"/>
      <w:lvlText w:val="%7"/>
      <w:lvlJc w:val="left"/>
      <w:pPr>
        <w:ind w:left="46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6C6E2EA4">
      <w:start w:val="1"/>
      <w:numFmt w:val="lowerLetter"/>
      <w:lvlText w:val="%8"/>
      <w:lvlJc w:val="left"/>
      <w:pPr>
        <w:ind w:left="54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941C91FE">
      <w:start w:val="1"/>
      <w:numFmt w:val="lowerRoman"/>
      <w:lvlText w:val="%9"/>
      <w:lvlJc w:val="left"/>
      <w:pPr>
        <w:ind w:left="61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10" w15:restartNumberingAfterBreak="0">
    <w:nsid w:val="03516DB7"/>
    <w:multiLevelType w:val="hybridMultilevel"/>
    <w:tmpl w:val="F8986A12"/>
    <w:lvl w:ilvl="0" w:tplc="BA12FD74">
      <w:start w:val="1"/>
      <w:numFmt w:val="upperRoman"/>
      <w:lvlText w:val="%1."/>
      <w:lvlJc w:val="left"/>
      <w:pPr>
        <w:ind w:left="718"/>
      </w:pPr>
      <w:rPr>
        <w:rFonts w:ascii="Amasis MT Pro" w:hAnsi="Amasis MT Pro" w:cs="Amasis MT Pro" w:hint="default"/>
        <w:b w:val="0"/>
        <w:i w:val="0"/>
        <w:strike w:val="0"/>
        <w:dstrike w:val="0"/>
        <w:color w:val="000000"/>
        <w:sz w:val="20"/>
        <w:szCs w:val="24"/>
        <w:u w:val="none" w:color="000000"/>
        <w:bdr w:val="none" w:sz="0" w:space="0" w:color="auto"/>
        <w:shd w:val="clear" w:color="auto" w:fill="auto"/>
        <w:vertAlign w:val="baseline"/>
      </w:rPr>
    </w:lvl>
    <w:lvl w:ilvl="1" w:tplc="F8CC5442">
      <w:start w:val="1"/>
      <w:numFmt w:val="lowerLetter"/>
      <w:lvlText w:val="%2)"/>
      <w:lvlJc w:val="left"/>
      <w:pPr>
        <w:ind w:left="1786" w:hanging="360"/>
      </w:pPr>
      <w:rPr>
        <w:rFonts w:ascii="Arial" w:hAnsi="Arial" w:cs="Arial" w:hint="default"/>
      </w:rPr>
    </w:lvl>
    <w:lvl w:ilvl="2" w:tplc="43D0F620">
      <w:start w:val="1"/>
      <w:numFmt w:val="lowerRoman"/>
      <w:lvlText w:val="%3"/>
      <w:lvlJc w:val="left"/>
      <w:pPr>
        <w:ind w:left="249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3" w:tplc="E6F274A2">
      <w:start w:val="1"/>
      <w:numFmt w:val="decimal"/>
      <w:lvlText w:val="%4"/>
      <w:lvlJc w:val="left"/>
      <w:pPr>
        <w:ind w:left="321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4" w:tplc="C8A61B06">
      <w:start w:val="1"/>
      <w:numFmt w:val="lowerLetter"/>
      <w:lvlText w:val="%5"/>
      <w:lvlJc w:val="left"/>
      <w:pPr>
        <w:ind w:left="393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5" w:tplc="FE3CF778">
      <w:start w:val="1"/>
      <w:numFmt w:val="lowerRoman"/>
      <w:lvlText w:val="%6"/>
      <w:lvlJc w:val="left"/>
      <w:pPr>
        <w:ind w:left="465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6" w:tplc="74BEF9D6">
      <w:start w:val="1"/>
      <w:numFmt w:val="decimal"/>
      <w:lvlText w:val="%7"/>
      <w:lvlJc w:val="left"/>
      <w:pPr>
        <w:ind w:left="537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7" w:tplc="1D7ED158">
      <w:start w:val="1"/>
      <w:numFmt w:val="lowerLetter"/>
      <w:lvlText w:val="%8"/>
      <w:lvlJc w:val="left"/>
      <w:pPr>
        <w:ind w:left="609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lvl w:ilvl="8" w:tplc="BB66C984">
      <w:start w:val="1"/>
      <w:numFmt w:val="lowerRoman"/>
      <w:lvlText w:val="%9"/>
      <w:lvlJc w:val="left"/>
      <w:pPr>
        <w:ind w:left="6816"/>
      </w:pPr>
      <w:rPr>
        <w:rFonts w:ascii="Amasis MT Pro" w:eastAsia="Amasis MT Pro" w:hAnsi="Amasis MT Pro" w:cs="Amasis MT Pro"/>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03AE5883"/>
    <w:multiLevelType w:val="hybridMultilevel"/>
    <w:tmpl w:val="D13A2110"/>
    <w:lvl w:ilvl="0" w:tplc="D95061C8">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4904413"/>
    <w:multiLevelType w:val="hybridMultilevel"/>
    <w:tmpl w:val="2E80289E"/>
    <w:lvl w:ilvl="0" w:tplc="A93E221A">
      <w:start w:val="1"/>
      <w:numFmt w:val="lowerRoman"/>
      <w:lvlText w:val="%1."/>
      <w:lvlJc w:val="left"/>
      <w:pPr>
        <w:ind w:left="122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4354553C">
      <w:start w:val="1"/>
      <w:numFmt w:val="lowerLetter"/>
      <w:lvlText w:val="%2"/>
      <w:lvlJc w:val="left"/>
      <w:pPr>
        <w:ind w:left="1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3DE6F4E6">
      <w:start w:val="1"/>
      <w:numFmt w:val="lowerRoman"/>
      <w:lvlText w:val="%3"/>
      <w:lvlJc w:val="left"/>
      <w:pPr>
        <w:ind w:left="21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A0FC5338">
      <w:start w:val="1"/>
      <w:numFmt w:val="decimal"/>
      <w:lvlText w:val="%4"/>
      <w:lvlJc w:val="left"/>
      <w:pPr>
        <w:ind w:left="28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2EAADDA">
      <w:start w:val="1"/>
      <w:numFmt w:val="lowerLetter"/>
      <w:lvlText w:val="%5"/>
      <w:lvlJc w:val="left"/>
      <w:pPr>
        <w:ind w:left="36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21AC2684">
      <w:start w:val="1"/>
      <w:numFmt w:val="lowerRoman"/>
      <w:lvlText w:val="%6"/>
      <w:lvlJc w:val="left"/>
      <w:pPr>
        <w:ind w:left="43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10865C6">
      <w:start w:val="1"/>
      <w:numFmt w:val="decimal"/>
      <w:lvlText w:val="%7"/>
      <w:lvlJc w:val="left"/>
      <w:pPr>
        <w:ind w:left="50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DCE2725C">
      <w:start w:val="1"/>
      <w:numFmt w:val="lowerLetter"/>
      <w:lvlText w:val="%8"/>
      <w:lvlJc w:val="left"/>
      <w:pPr>
        <w:ind w:left="57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A01269E6">
      <w:start w:val="1"/>
      <w:numFmt w:val="lowerRoman"/>
      <w:lvlText w:val="%9"/>
      <w:lvlJc w:val="left"/>
      <w:pPr>
        <w:ind w:left="64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3" w15:restartNumberingAfterBreak="0">
    <w:nsid w:val="04A9075A"/>
    <w:multiLevelType w:val="hybridMultilevel"/>
    <w:tmpl w:val="FFFFFFFF"/>
    <w:lvl w:ilvl="0" w:tplc="67967336">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CDC40C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A6EC2F4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11961EC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1EF2803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AC467E8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2670F9D0">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5E24E02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0556FD4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04B415CE"/>
    <w:multiLevelType w:val="hybridMultilevel"/>
    <w:tmpl w:val="FFFFFFFF"/>
    <w:lvl w:ilvl="0" w:tplc="855A4286">
      <w:start w:val="1"/>
      <w:numFmt w:val="upperRoman"/>
      <w:lvlText w:val="%1."/>
      <w:lvlJc w:val="left"/>
      <w:pPr>
        <w:ind w:left="12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EB09072">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E3805864">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62CCA6FE">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E1CC11DC">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87ECE2A8">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E0408504">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7BBA0B26">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2CE0F9F2">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5" w15:restartNumberingAfterBreak="0">
    <w:nsid w:val="06D37F1B"/>
    <w:multiLevelType w:val="hybridMultilevel"/>
    <w:tmpl w:val="FFFFFFFF"/>
    <w:lvl w:ilvl="0" w:tplc="F5C67080">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828D89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D9A0DE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CDDC294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6B1EE6F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947AB97A">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116CBCF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DC0718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A3B26B9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6" w15:restartNumberingAfterBreak="0">
    <w:nsid w:val="09E25CC8"/>
    <w:multiLevelType w:val="hybridMultilevel"/>
    <w:tmpl w:val="FFFFFFFF"/>
    <w:lvl w:ilvl="0" w:tplc="676ABCAE">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08B8CD6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40A675A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72EC6B6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CB30640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98B4BCC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FC8E6A6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FD96ED1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75B8B21A">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0AF33FC5"/>
    <w:multiLevelType w:val="hybridMultilevel"/>
    <w:tmpl w:val="81484AE6"/>
    <w:lvl w:ilvl="0" w:tplc="45C88014">
      <w:start w:val="1"/>
      <w:numFmt w:val="upperRoman"/>
      <w:lvlText w:val="%1."/>
      <w:lvlJc w:val="left"/>
      <w:pPr>
        <w:ind w:left="659"/>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58AE80CE">
      <w:start w:val="1"/>
      <w:numFmt w:val="lowerLetter"/>
      <w:lvlText w:val="%2"/>
      <w:lvlJc w:val="left"/>
      <w:pPr>
        <w:ind w:left="111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BC827E7E">
      <w:start w:val="1"/>
      <w:numFmt w:val="lowerRoman"/>
      <w:lvlText w:val="%3"/>
      <w:lvlJc w:val="left"/>
      <w:pPr>
        <w:ind w:left="183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1A8E0246">
      <w:start w:val="1"/>
      <w:numFmt w:val="decimal"/>
      <w:lvlText w:val="%4"/>
      <w:lvlJc w:val="left"/>
      <w:pPr>
        <w:ind w:left="255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8B608530">
      <w:start w:val="1"/>
      <w:numFmt w:val="lowerLetter"/>
      <w:lvlText w:val="%5"/>
      <w:lvlJc w:val="left"/>
      <w:pPr>
        <w:ind w:left="327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E6DE6CA0">
      <w:start w:val="1"/>
      <w:numFmt w:val="lowerRoman"/>
      <w:lvlText w:val="%6"/>
      <w:lvlJc w:val="left"/>
      <w:pPr>
        <w:ind w:left="399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99665EC8">
      <w:start w:val="1"/>
      <w:numFmt w:val="decimal"/>
      <w:lvlText w:val="%7"/>
      <w:lvlJc w:val="left"/>
      <w:pPr>
        <w:ind w:left="471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30C7596">
      <w:start w:val="1"/>
      <w:numFmt w:val="lowerLetter"/>
      <w:lvlText w:val="%8"/>
      <w:lvlJc w:val="left"/>
      <w:pPr>
        <w:ind w:left="543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761A2D10">
      <w:start w:val="1"/>
      <w:numFmt w:val="lowerRoman"/>
      <w:lvlText w:val="%9"/>
      <w:lvlJc w:val="left"/>
      <w:pPr>
        <w:ind w:left="6159"/>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8" w15:restartNumberingAfterBreak="0">
    <w:nsid w:val="0B671F8B"/>
    <w:multiLevelType w:val="hybridMultilevel"/>
    <w:tmpl w:val="FFFFFFFF"/>
    <w:lvl w:ilvl="0" w:tplc="9D8C72FC">
      <w:start w:val="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9AEE7A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DE08611A">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94AE8082">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5A68CB94">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62AA98D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01EAEF98">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1BC0026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F3187DA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0BCE118F"/>
    <w:multiLevelType w:val="hybridMultilevel"/>
    <w:tmpl w:val="007E4932"/>
    <w:lvl w:ilvl="0" w:tplc="080A0001">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20" w15:restartNumberingAfterBreak="0">
    <w:nsid w:val="0C901032"/>
    <w:multiLevelType w:val="hybridMultilevel"/>
    <w:tmpl w:val="FFFFFFFF"/>
    <w:lvl w:ilvl="0" w:tplc="DF94DAC4">
      <w:start w:val="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165C32C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845E684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BB52EDC2">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CB9A6BF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7466F7E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136C6BB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9F90D87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03C574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1" w15:restartNumberingAfterBreak="0">
    <w:nsid w:val="0CB936EE"/>
    <w:multiLevelType w:val="hybridMultilevel"/>
    <w:tmpl w:val="E2B6F0A4"/>
    <w:lvl w:ilvl="0" w:tplc="869205B0">
      <w:start w:val="1"/>
      <w:numFmt w:val="upperRoman"/>
      <w:lvlText w:val="%1."/>
      <w:lvlJc w:val="left"/>
      <w:pPr>
        <w:ind w:left="1007"/>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FFFFFFFF">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22" w15:restartNumberingAfterBreak="0">
    <w:nsid w:val="0D005AEB"/>
    <w:multiLevelType w:val="hybridMultilevel"/>
    <w:tmpl w:val="4314E050"/>
    <w:lvl w:ilvl="0" w:tplc="15189F68">
      <w:start w:val="1"/>
      <w:numFmt w:val="decimal"/>
      <w:lvlText w:val="%1."/>
      <w:lvlJc w:val="left"/>
      <w:pPr>
        <w:ind w:left="1494" w:hanging="360"/>
      </w:pPr>
      <w:rPr>
        <w:rFonts w:hint="default"/>
        <w:b/>
        <w:bCs/>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3" w15:restartNumberingAfterBreak="0">
    <w:nsid w:val="0D1D3C87"/>
    <w:multiLevelType w:val="hybridMultilevel"/>
    <w:tmpl w:val="FFFFFFFF"/>
    <w:lvl w:ilvl="0" w:tplc="A8AA1CCA">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C880C8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B21680B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F7ECDB2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23CE169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60CDCC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33B4CD4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BD2C16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B5AEC8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4" w15:restartNumberingAfterBreak="0">
    <w:nsid w:val="0DDF488B"/>
    <w:multiLevelType w:val="hybridMultilevel"/>
    <w:tmpl w:val="4E8CB976"/>
    <w:lvl w:ilvl="0" w:tplc="729AE6B2">
      <w:start w:val="1"/>
      <w:numFmt w:val="decimal"/>
      <w:lvlText w:val="%1."/>
      <w:lvlJc w:val="left"/>
      <w:pPr>
        <w:ind w:left="1494" w:hanging="360"/>
      </w:pPr>
      <w:rPr>
        <w:rFonts w:hint="default"/>
        <w:b/>
        <w:bCs/>
      </w:rPr>
    </w:lvl>
    <w:lvl w:ilvl="1" w:tplc="080A0019" w:tentative="1">
      <w:start w:val="1"/>
      <w:numFmt w:val="lowerLetter"/>
      <w:lvlText w:val="%2."/>
      <w:lvlJc w:val="left"/>
      <w:pPr>
        <w:ind w:left="2214" w:hanging="360"/>
      </w:pPr>
    </w:lvl>
    <w:lvl w:ilvl="2" w:tplc="080A001B" w:tentative="1">
      <w:start w:val="1"/>
      <w:numFmt w:val="lowerRoman"/>
      <w:lvlText w:val="%3."/>
      <w:lvlJc w:val="right"/>
      <w:pPr>
        <w:ind w:left="2934" w:hanging="180"/>
      </w:pPr>
    </w:lvl>
    <w:lvl w:ilvl="3" w:tplc="080A000F" w:tentative="1">
      <w:start w:val="1"/>
      <w:numFmt w:val="decimal"/>
      <w:lvlText w:val="%4."/>
      <w:lvlJc w:val="left"/>
      <w:pPr>
        <w:ind w:left="3654" w:hanging="360"/>
      </w:pPr>
    </w:lvl>
    <w:lvl w:ilvl="4" w:tplc="080A0019" w:tentative="1">
      <w:start w:val="1"/>
      <w:numFmt w:val="lowerLetter"/>
      <w:lvlText w:val="%5."/>
      <w:lvlJc w:val="left"/>
      <w:pPr>
        <w:ind w:left="4374" w:hanging="360"/>
      </w:pPr>
    </w:lvl>
    <w:lvl w:ilvl="5" w:tplc="080A001B" w:tentative="1">
      <w:start w:val="1"/>
      <w:numFmt w:val="lowerRoman"/>
      <w:lvlText w:val="%6."/>
      <w:lvlJc w:val="right"/>
      <w:pPr>
        <w:ind w:left="5094" w:hanging="180"/>
      </w:pPr>
    </w:lvl>
    <w:lvl w:ilvl="6" w:tplc="080A000F" w:tentative="1">
      <w:start w:val="1"/>
      <w:numFmt w:val="decimal"/>
      <w:lvlText w:val="%7."/>
      <w:lvlJc w:val="left"/>
      <w:pPr>
        <w:ind w:left="5814" w:hanging="360"/>
      </w:pPr>
    </w:lvl>
    <w:lvl w:ilvl="7" w:tplc="080A0019" w:tentative="1">
      <w:start w:val="1"/>
      <w:numFmt w:val="lowerLetter"/>
      <w:lvlText w:val="%8."/>
      <w:lvlJc w:val="left"/>
      <w:pPr>
        <w:ind w:left="6534" w:hanging="360"/>
      </w:pPr>
    </w:lvl>
    <w:lvl w:ilvl="8" w:tplc="080A001B" w:tentative="1">
      <w:start w:val="1"/>
      <w:numFmt w:val="lowerRoman"/>
      <w:lvlText w:val="%9."/>
      <w:lvlJc w:val="right"/>
      <w:pPr>
        <w:ind w:left="7254" w:hanging="180"/>
      </w:pPr>
    </w:lvl>
  </w:abstractNum>
  <w:abstractNum w:abstractNumId="25" w15:restartNumberingAfterBreak="0">
    <w:nsid w:val="0E0462B8"/>
    <w:multiLevelType w:val="hybridMultilevel"/>
    <w:tmpl w:val="FFFFFFFF"/>
    <w:lvl w:ilvl="0" w:tplc="E8D2761E">
      <w:start w:val="9"/>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00168AAA">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260C0468">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7370FA5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D834E89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2044A2C">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E8581D2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E6A041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9E2EE7C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0F2D6F62"/>
    <w:multiLevelType w:val="hybridMultilevel"/>
    <w:tmpl w:val="E736A476"/>
    <w:lvl w:ilvl="0" w:tplc="BAB2E2B4">
      <w:start w:val="1"/>
      <w:numFmt w:val="lowerLetter"/>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7" w15:restartNumberingAfterBreak="0">
    <w:nsid w:val="1047191F"/>
    <w:multiLevelType w:val="hybridMultilevel"/>
    <w:tmpl w:val="FFFFFFFF"/>
    <w:lvl w:ilvl="0" w:tplc="EF3A050A">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B3E60BA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5C84B850">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7BC806C0">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6A8881D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9ADEE06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212CDBE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4BFC5956">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9C642C1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8" w15:restartNumberingAfterBreak="0">
    <w:nsid w:val="11215942"/>
    <w:multiLevelType w:val="hybridMultilevel"/>
    <w:tmpl w:val="FFFFFFFF"/>
    <w:lvl w:ilvl="0" w:tplc="0A5CD13A">
      <w:start w:val="3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14AA0F74">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16CE6098">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FB7420B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10A6046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043E086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B420BAF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5C8CD160">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906701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29" w15:restartNumberingAfterBreak="0">
    <w:nsid w:val="14EF5188"/>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30" w15:restartNumberingAfterBreak="0">
    <w:nsid w:val="15663138"/>
    <w:multiLevelType w:val="hybridMultilevel"/>
    <w:tmpl w:val="CF5EFC50"/>
    <w:lvl w:ilvl="0" w:tplc="A03E02AE">
      <w:start w:val="1"/>
      <w:numFmt w:val="upperRoman"/>
      <w:lvlText w:val="%1."/>
      <w:lvlJc w:val="left"/>
      <w:pPr>
        <w:ind w:left="1080"/>
      </w:pPr>
      <w:rPr>
        <w:rFonts w:ascii="Abadi" w:hAnsi="Abadi" w:cs="Arial" w:hint="default"/>
        <w:b w:val="0"/>
        <w:i w:val="0"/>
        <w:strike w:val="0"/>
        <w:dstrike w:val="0"/>
        <w:color w:val="000000"/>
        <w:sz w:val="20"/>
        <w:szCs w:val="24"/>
        <w:u w:val="none" w:color="000000"/>
        <w:bdr w:val="none" w:sz="0" w:space="0" w:color="auto"/>
        <w:shd w:val="clear" w:color="auto" w:fill="auto"/>
        <w:vertAlign w:val="baseline"/>
      </w:rPr>
    </w:lvl>
    <w:lvl w:ilvl="1" w:tplc="C9BA78B6">
      <w:start w:val="1"/>
      <w:numFmt w:val="lowerLetter"/>
      <w:lvlText w:val="%2"/>
      <w:lvlJc w:val="left"/>
      <w:pPr>
        <w:ind w:left="14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2" w:tplc="484CFC10">
      <w:start w:val="1"/>
      <w:numFmt w:val="lowerRoman"/>
      <w:lvlText w:val="%3"/>
      <w:lvlJc w:val="left"/>
      <w:pPr>
        <w:ind w:left="21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3" w:tplc="79A419FE">
      <w:start w:val="1"/>
      <w:numFmt w:val="decimal"/>
      <w:lvlText w:val="%4"/>
      <w:lvlJc w:val="left"/>
      <w:pPr>
        <w:ind w:left="28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A21A490E">
      <w:start w:val="1"/>
      <w:numFmt w:val="lowerLetter"/>
      <w:lvlText w:val="%5"/>
      <w:lvlJc w:val="left"/>
      <w:pPr>
        <w:ind w:left="360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5" w:tplc="F4B08448">
      <w:start w:val="1"/>
      <w:numFmt w:val="lowerRoman"/>
      <w:lvlText w:val="%6"/>
      <w:lvlJc w:val="left"/>
      <w:pPr>
        <w:ind w:left="43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6" w:tplc="2836ED90">
      <w:start w:val="1"/>
      <w:numFmt w:val="decimal"/>
      <w:lvlText w:val="%7"/>
      <w:lvlJc w:val="left"/>
      <w:pPr>
        <w:ind w:left="504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66682AB2">
      <w:start w:val="1"/>
      <w:numFmt w:val="lowerLetter"/>
      <w:lvlText w:val="%8"/>
      <w:lvlJc w:val="left"/>
      <w:pPr>
        <w:ind w:left="57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8" w:tplc="3A600596">
      <w:start w:val="1"/>
      <w:numFmt w:val="lowerRoman"/>
      <w:lvlText w:val="%9"/>
      <w:lvlJc w:val="left"/>
      <w:pPr>
        <w:ind w:left="64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abstractNum>
  <w:abstractNum w:abstractNumId="31" w15:restartNumberingAfterBreak="0">
    <w:nsid w:val="17554465"/>
    <w:multiLevelType w:val="hybridMultilevel"/>
    <w:tmpl w:val="1FBCAFA8"/>
    <w:lvl w:ilvl="0" w:tplc="869205B0">
      <w:start w:val="1"/>
      <w:numFmt w:val="upperRoman"/>
      <w:lvlText w:val="%1."/>
      <w:lvlJc w:val="left"/>
      <w:pPr>
        <w:ind w:left="883"/>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2C10DDCC">
      <w:start w:val="1"/>
      <w:numFmt w:val="lowerLetter"/>
      <w:lvlText w:val="%2"/>
      <w:lvlJc w:val="left"/>
      <w:pPr>
        <w:ind w:left="116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6E5E8E20">
      <w:start w:val="1"/>
      <w:numFmt w:val="lowerRoman"/>
      <w:lvlText w:val="%3"/>
      <w:lvlJc w:val="left"/>
      <w:pPr>
        <w:ind w:left="188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F8A459D4">
      <w:start w:val="1"/>
      <w:numFmt w:val="decimal"/>
      <w:lvlText w:val="%4"/>
      <w:lvlJc w:val="left"/>
      <w:pPr>
        <w:ind w:left="260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7B50469E">
      <w:start w:val="1"/>
      <w:numFmt w:val="lowerLetter"/>
      <w:lvlText w:val="%5"/>
      <w:lvlJc w:val="left"/>
      <w:pPr>
        <w:ind w:left="332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7D9C3178">
      <w:start w:val="1"/>
      <w:numFmt w:val="lowerRoman"/>
      <w:lvlText w:val="%6"/>
      <w:lvlJc w:val="left"/>
      <w:pPr>
        <w:ind w:left="404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27007632">
      <w:start w:val="1"/>
      <w:numFmt w:val="decimal"/>
      <w:lvlText w:val="%7"/>
      <w:lvlJc w:val="left"/>
      <w:pPr>
        <w:ind w:left="476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B6F8C8F8">
      <w:start w:val="1"/>
      <w:numFmt w:val="lowerLetter"/>
      <w:lvlText w:val="%8"/>
      <w:lvlJc w:val="left"/>
      <w:pPr>
        <w:ind w:left="548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8AF8E586">
      <w:start w:val="1"/>
      <w:numFmt w:val="lowerRoman"/>
      <w:lvlText w:val="%9"/>
      <w:lvlJc w:val="left"/>
      <w:pPr>
        <w:ind w:left="6206"/>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32" w15:restartNumberingAfterBreak="0">
    <w:nsid w:val="1821718D"/>
    <w:multiLevelType w:val="hybridMultilevel"/>
    <w:tmpl w:val="FFFFFFFF"/>
    <w:lvl w:ilvl="0" w:tplc="1FE267D4">
      <w:start w:val="16"/>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0388EC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23C2142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B2DAEE46">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448B92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4830ECC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7EE2B6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2D8AA5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01F8C726">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3" w15:restartNumberingAfterBreak="0">
    <w:nsid w:val="1872799E"/>
    <w:multiLevelType w:val="hybridMultilevel"/>
    <w:tmpl w:val="FFFFFFFF"/>
    <w:lvl w:ilvl="0" w:tplc="F3DA9EEE">
      <w:start w:val="9"/>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36618C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C49ABA1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D2D2796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12884C22">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96E0C2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C0A9D7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61CA08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86C94DA">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19DF355C"/>
    <w:multiLevelType w:val="hybridMultilevel"/>
    <w:tmpl w:val="FFFFFFFF"/>
    <w:lvl w:ilvl="0" w:tplc="7FB22E18">
      <w:start w:val="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CAA4AE6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011AB54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ABBCDD7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E07C7E5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F58E48A">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254671E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268637D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1A569A2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1A85168D"/>
    <w:multiLevelType w:val="hybridMultilevel"/>
    <w:tmpl w:val="1C428742"/>
    <w:lvl w:ilvl="0" w:tplc="869205B0">
      <w:start w:val="1"/>
      <w:numFmt w:val="upperRoman"/>
      <w:lvlText w:val="%1."/>
      <w:lvlJc w:val="left"/>
      <w:pPr>
        <w:ind w:left="1222"/>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B3EE2B0A">
      <w:start w:val="1"/>
      <w:numFmt w:val="lowerLetter"/>
      <w:lvlText w:val="%2"/>
      <w:lvlJc w:val="left"/>
      <w:pPr>
        <w:ind w:left="14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90184D4E">
      <w:start w:val="1"/>
      <w:numFmt w:val="lowerRoman"/>
      <w:lvlText w:val="%3"/>
      <w:lvlJc w:val="left"/>
      <w:pPr>
        <w:ind w:left="21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1F16127E">
      <w:start w:val="1"/>
      <w:numFmt w:val="decimal"/>
      <w:lvlText w:val="%4"/>
      <w:lvlJc w:val="left"/>
      <w:pPr>
        <w:ind w:left="28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B9E0408C">
      <w:start w:val="1"/>
      <w:numFmt w:val="lowerLetter"/>
      <w:lvlText w:val="%5"/>
      <w:lvlJc w:val="left"/>
      <w:pPr>
        <w:ind w:left="36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A694EFF6">
      <w:start w:val="1"/>
      <w:numFmt w:val="lowerRoman"/>
      <w:lvlText w:val="%6"/>
      <w:lvlJc w:val="left"/>
      <w:pPr>
        <w:ind w:left="43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4CE43DFC">
      <w:start w:val="1"/>
      <w:numFmt w:val="decimal"/>
      <w:lvlText w:val="%7"/>
      <w:lvlJc w:val="left"/>
      <w:pPr>
        <w:ind w:left="50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5A54A4C4">
      <w:start w:val="1"/>
      <w:numFmt w:val="lowerLetter"/>
      <w:lvlText w:val="%8"/>
      <w:lvlJc w:val="left"/>
      <w:pPr>
        <w:ind w:left="57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5FDA925E">
      <w:start w:val="1"/>
      <w:numFmt w:val="lowerRoman"/>
      <w:lvlText w:val="%9"/>
      <w:lvlJc w:val="left"/>
      <w:pPr>
        <w:ind w:left="64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36" w15:restartNumberingAfterBreak="0">
    <w:nsid w:val="1A9B741B"/>
    <w:multiLevelType w:val="hybridMultilevel"/>
    <w:tmpl w:val="78F245DE"/>
    <w:lvl w:ilvl="0" w:tplc="C9EE2B3A">
      <w:start w:val="1"/>
      <w:numFmt w:val="lowerRoman"/>
      <w:lvlText w:val="%1."/>
      <w:lvlJc w:val="left"/>
      <w:pPr>
        <w:ind w:left="38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EEC9256">
      <w:start w:val="1"/>
      <w:numFmt w:val="lowerRoman"/>
      <w:lvlText w:val="%2."/>
      <w:lvlJc w:val="left"/>
      <w:pPr>
        <w:ind w:left="1222"/>
      </w:pPr>
      <w:rPr>
        <w:rFonts w:ascii="Arial" w:eastAsia="Arial" w:hAnsi="Arial" w:cs="Arial"/>
        <w:b/>
        <w:bCs/>
        <w:i w:val="0"/>
        <w:strike w:val="0"/>
        <w:dstrike w:val="0"/>
        <w:color w:val="000000"/>
        <w:sz w:val="20"/>
        <w:szCs w:val="20"/>
        <w:u w:val="none" w:color="000000"/>
        <w:bdr w:val="none" w:sz="0" w:space="0" w:color="auto"/>
        <w:shd w:val="clear" w:color="auto" w:fill="auto"/>
        <w:vertAlign w:val="baseline"/>
      </w:rPr>
    </w:lvl>
    <w:lvl w:ilvl="2" w:tplc="541E580A">
      <w:start w:val="1"/>
      <w:numFmt w:val="lowerRoman"/>
      <w:lvlText w:val="%3"/>
      <w:lvlJc w:val="left"/>
      <w:pPr>
        <w:ind w:left="14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EE748D04">
      <w:start w:val="1"/>
      <w:numFmt w:val="decimal"/>
      <w:lvlText w:val="%4"/>
      <w:lvlJc w:val="left"/>
      <w:pPr>
        <w:ind w:left="21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37CCE5B4">
      <w:start w:val="1"/>
      <w:numFmt w:val="lowerLetter"/>
      <w:lvlText w:val="%5"/>
      <w:lvlJc w:val="left"/>
      <w:pPr>
        <w:ind w:left="28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BFDCF686">
      <w:start w:val="1"/>
      <w:numFmt w:val="lowerRoman"/>
      <w:lvlText w:val="%6"/>
      <w:lvlJc w:val="left"/>
      <w:pPr>
        <w:ind w:left="36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10BA2A34">
      <w:start w:val="1"/>
      <w:numFmt w:val="decimal"/>
      <w:lvlText w:val="%7"/>
      <w:lvlJc w:val="left"/>
      <w:pPr>
        <w:ind w:left="43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95BA75A2">
      <w:start w:val="1"/>
      <w:numFmt w:val="lowerLetter"/>
      <w:lvlText w:val="%8"/>
      <w:lvlJc w:val="left"/>
      <w:pPr>
        <w:ind w:left="50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4D0C5E36">
      <w:start w:val="1"/>
      <w:numFmt w:val="lowerRoman"/>
      <w:lvlText w:val="%9"/>
      <w:lvlJc w:val="left"/>
      <w:pPr>
        <w:ind w:left="57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37" w15:restartNumberingAfterBreak="0">
    <w:nsid w:val="1CF92F85"/>
    <w:multiLevelType w:val="hybridMultilevel"/>
    <w:tmpl w:val="02B2C426"/>
    <w:lvl w:ilvl="0" w:tplc="7EC02648">
      <w:numFmt w:val="bullet"/>
      <w:lvlText w:val="-"/>
      <w:lvlJc w:val="left"/>
      <w:pPr>
        <w:ind w:left="4572" w:hanging="360"/>
      </w:pPr>
      <w:rPr>
        <w:rFonts w:ascii="Abadi" w:eastAsiaTheme="minorHAnsi" w:hAnsi="Abadi" w:cstheme="minorBidi" w:hint="default"/>
      </w:rPr>
    </w:lvl>
    <w:lvl w:ilvl="1" w:tplc="080A0003">
      <w:start w:val="1"/>
      <w:numFmt w:val="bullet"/>
      <w:lvlText w:val="o"/>
      <w:lvlJc w:val="left"/>
      <w:pPr>
        <w:ind w:left="5292" w:hanging="360"/>
      </w:pPr>
      <w:rPr>
        <w:rFonts w:ascii="Courier New" w:hAnsi="Courier New" w:cs="Courier New" w:hint="default"/>
      </w:rPr>
    </w:lvl>
    <w:lvl w:ilvl="2" w:tplc="080A0005" w:tentative="1">
      <w:start w:val="1"/>
      <w:numFmt w:val="bullet"/>
      <w:lvlText w:val=""/>
      <w:lvlJc w:val="left"/>
      <w:pPr>
        <w:ind w:left="6012" w:hanging="360"/>
      </w:pPr>
      <w:rPr>
        <w:rFonts w:ascii="Wingdings" w:hAnsi="Wingdings" w:hint="default"/>
      </w:rPr>
    </w:lvl>
    <w:lvl w:ilvl="3" w:tplc="080A0001" w:tentative="1">
      <w:start w:val="1"/>
      <w:numFmt w:val="bullet"/>
      <w:lvlText w:val=""/>
      <w:lvlJc w:val="left"/>
      <w:pPr>
        <w:ind w:left="6732" w:hanging="360"/>
      </w:pPr>
      <w:rPr>
        <w:rFonts w:ascii="Symbol" w:hAnsi="Symbol" w:hint="default"/>
      </w:rPr>
    </w:lvl>
    <w:lvl w:ilvl="4" w:tplc="080A0003" w:tentative="1">
      <w:start w:val="1"/>
      <w:numFmt w:val="bullet"/>
      <w:lvlText w:val="o"/>
      <w:lvlJc w:val="left"/>
      <w:pPr>
        <w:ind w:left="7452" w:hanging="360"/>
      </w:pPr>
      <w:rPr>
        <w:rFonts w:ascii="Courier New" w:hAnsi="Courier New" w:cs="Courier New" w:hint="default"/>
      </w:rPr>
    </w:lvl>
    <w:lvl w:ilvl="5" w:tplc="080A0005" w:tentative="1">
      <w:start w:val="1"/>
      <w:numFmt w:val="bullet"/>
      <w:lvlText w:val=""/>
      <w:lvlJc w:val="left"/>
      <w:pPr>
        <w:ind w:left="8172" w:hanging="360"/>
      </w:pPr>
      <w:rPr>
        <w:rFonts w:ascii="Wingdings" w:hAnsi="Wingdings" w:hint="default"/>
      </w:rPr>
    </w:lvl>
    <w:lvl w:ilvl="6" w:tplc="080A0001" w:tentative="1">
      <w:start w:val="1"/>
      <w:numFmt w:val="bullet"/>
      <w:lvlText w:val=""/>
      <w:lvlJc w:val="left"/>
      <w:pPr>
        <w:ind w:left="8892" w:hanging="360"/>
      </w:pPr>
      <w:rPr>
        <w:rFonts w:ascii="Symbol" w:hAnsi="Symbol" w:hint="default"/>
      </w:rPr>
    </w:lvl>
    <w:lvl w:ilvl="7" w:tplc="080A0003" w:tentative="1">
      <w:start w:val="1"/>
      <w:numFmt w:val="bullet"/>
      <w:lvlText w:val="o"/>
      <w:lvlJc w:val="left"/>
      <w:pPr>
        <w:ind w:left="9612" w:hanging="360"/>
      </w:pPr>
      <w:rPr>
        <w:rFonts w:ascii="Courier New" w:hAnsi="Courier New" w:cs="Courier New" w:hint="default"/>
      </w:rPr>
    </w:lvl>
    <w:lvl w:ilvl="8" w:tplc="080A0005" w:tentative="1">
      <w:start w:val="1"/>
      <w:numFmt w:val="bullet"/>
      <w:lvlText w:val=""/>
      <w:lvlJc w:val="left"/>
      <w:pPr>
        <w:ind w:left="10332" w:hanging="360"/>
      </w:pPr>
      <w:rPr>
        <w:rFonts w:ascii="Wingdings" w:hAnsi="Wingdings" w:hint="default"/>
      </w:rPr>
    </w:lvl>
  </w:abstractNum>
  <w:abstractNum w:abstractNumId="38" w15:restartNumberingAfterBreak="0">
    <w:nsid w:val="1CFE0633"/>
    <w:multiLevelType w:val="hybridMultilevel"/>
    <w:tmpl w:val="FFFFFFFF"/>
    <w:lvl w:ilvl="0" w:tplc="2312C9EE">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240104A">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47B20F9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D87C8582">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5F7687B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EB9A09C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D0945E1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D52A361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F02A164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1DD233FE"/>
    <w:multiLevelType w:val="hybridMultilevel"/>
    <w:tmpl w:val="312CE776"/>
    <w:lvl w:ilvl="0" w:tplc="CD70F72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0" w15:restartNumberingAfterBreak="0">
    <w:nsid w:val="1E112426"/>
    <w:multiLevelType w:val="hybridMultilevel"/>
    <w:tmpl w:val="48566BAE"/>
    <w:lvl w:ilvl="0" w:tplc="54DE5FF8">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1" w15:restartNumberingAfterBreak="0">
    <w:nsid w:val="1EB9650C"/>
    <w:multiLevelType w:val="hybridMultilevel"/>
    <w:tmpl w:val="B2D07130"/>
    <w:lvl w:ilvl="0" w:tplc="080A0001">
      <w:start w:val="1"/>
      <w:numFmt w:val="bullet"/>
      <w:lvlText w:val=""/>
      <w:lvlJc w:val="left"/>
      <w:pPr>
        <w:ind w:left="778" w:hanging="360"/>
      </w:pPr>
      <w:rPr>
        <w:rFonts w:ascii="Symbol" w:hAnsi="Symbol" w:hint="default"/>
      </w:rPr>
    </w:lvl>
    <w:lvl w:ilvl="1" w:tplc="080A0003" w:tentative="1">
      <w:start w:val="1"/>
      <w:numFmt w:val="bullet"/>
      <w:lvlText w:val="o"/>
      <w:lvlJc w:val="left"/>
      <w:pPr>
        <w:ind w:left="1498" w:hanging="360"/>
      </w:pPr>
      <w:rPr>
        <w:rFonts w:ascii="Courier New" w:hAnsi="Courier New" w:cs="Courier New" w:hint="default"/>
      </w:rPr>
    </w:lvl>
    <w:lvl w:ilvl="2" w:tplc="080A0005" w:tentative="1">
      <w:start w:val="1"/>
      <w:numFmt w:val="bullet"/>
      <w:lvlText w:val=""/>
      <w:lvlJc w:val="left"/>
      <w:pPr>
        <w:ind w:left="2218" w:hanging="360"/>
      </w:pPr>
      <w:rPr>
        <w:rFonts w:ascii="Wingdings" w:hAnsi="Wingdings" w:hint="default"/>
      </w:rPr>
    </w:lvl>
    <w:lvl w:ilvl="3" w:tplc="080A0001" w:tentative="1">
      <w:start w:val="1"/>
      <w:numFmt w:val="bullet"/>
      <w:lvlText w:val=""/>
      <w:lvlJc w:val="left"/>
      <w:pPr>
        <w:ind w:left="2938" w:hanging="360"/>
      </w:pPr>
      <w:rPr>
        <w:rFonts w:ascii="Symbol" w:hAnsi="Symbol" w:hint="default"/>
      </w:rPr>
    </w:lvl>
    <w:lvl w:ilvl="4" w:tplc="080A0003" w:tentative="1">
      <w:start w:val="1"/>
      <w:numFmt w:val="bullet"/>
      <w:lvlText w:val="o"/>
      <w:lvlJc w:val="left"/>
      <w:pPr>
        <w:ind w:left="3658" w:hanging="360"/>
      </w:pPr>
      <w:rPr>
        <w:rFonts w:ascii="Courier New" w:hAnsi="Courier New" w:cs="Courier New" w:hint="default"/>
      </w:rPr>
    </w:lvl>
    <w:lvl w:ilvl="5" w:tplc="080A0005" w:tentative="1">
      <w:start w:val="1"/>
      <w:numFmt w:val="bullet"/>
      <w:lvlText w:val=""/>
      <w:lvlJc w:val="left"/>
      <w:pPr>
        <w:ind w:left="4378" w:hanging="360"/>
      </w:pPr>
      <w:rPr>
        <w:rFonts w:ascii="Wingdings" w:hAnsi="Wingdings" w:hint="default"/>
      </w:rPr>
    </w:lvl>
    <w:lvl w:ilvl="6" w:tplc="080A0001" w:tentative="1">
      <w:start w:val="1"/>
      <w:numFmt w:val="bullet"/>
      <w:lvlText w:val=""/>
      <w:lvlJc w:val="left"/>
      <w:pPr>
        <w:ind w:left="5098" w:hanging="360"/>
      </w:pPr>
      <w:rPr>
        <w:rFonts w:ascii="Symbol" w:hAnsi="Symbol" w:hint="default"/>
      </w:rPr>
    </w:lvl>
    <w:lvl w:ilvl="7" w:tplc="080A0003" w:tentative="1">
      <w:start w:val="1"/>
      <w:numFmt w:val="bullet"/>
      <w:lvlText w:val="o"/>
      <w:lvlJc w:val="left"/>
      <w:pPr>
        <w:ind w:left="5818" w:hanging="360"/>
      </w:pPr>
      <w:rPr>
        <w:rFonts w:ascii="Courier New" w:hAnsi="Courier New" w:cs="Courier New" w:hint="default"/>
      </w:rPr>
    </w:lvl>
    <w:lvl w:ilvl="8" w:tplc="080A0005" w:tentative="1">
      <w:start w:val="1"/>
      <w:numFmt w:val="bullet"/>
      <w:lvlText w:val=""/>
      <w:lvlJc w:val="left"/>
      <w:pPr>
        <w:ind w:left="6538" w:hanging="360"/>
      </w:pPr>
      <w:rPr>
        <w:rFonts w:ascii="Wingdings" w:hAnsi="Wingdings" w:hint="default"/>
      </w:rPr>
    </w:lvl>
  </w:abstractNum>
  <w:abstractNum w:abstractNumId="42" w15:restartNumberingAfterBreak="0">
    <w:nsid w:val="1FA94DE9"/>
    <w:multiLevelType w:val="hybridMultilevel"/>
    <w:tmpl w:val="CC7082CA"/>
    <w:lvl w:ilvl="0" w:tplc="FFFFFFFF">
      <w:start w:val="1"/>
      <w:numFmt w:val="decimal"/>
      <w:lvlText w:val="%1)"/>
      <w:lvlJc w:val="left"/>
      <w:pPr>
        <w:ind w:left="1902" w:hanging="360"/>
      </w:pPr>
      <w:rPr>
        <w:rFonts w:ascii="Abadi" w:hAnsi="Abadi" w:cs="Cambria" w:hint="default"/>
        <w:b w:val="0"/>
        <w:bCs w:val="0"/>
        <w:i w:val="0"/>
        <w:iCs w:val="0"/>
        <w:spacing w:val="0"/>
        <w:w w:val="83"/>
        <w:sz w:val="20"/>
        <w:szCs w:val="26"/>
        <w:lang w:val="es-ES" w:eastAsia="en-US" w:bidi="ar-SA"/>
      </w:rPr>
    </w:lvl>
    <w:lvl w:ilvl="1" w:tplc="FFFFFFFF">
      <w:numFmt w:val="bullet"/>
      <w:lvlText w:val=""/>
      <w:lvlJc w:val="left"/>
      <w:pPr>
        <w:ind w:left="1902" w:hanging="360"/>
      </w:pPr>
      <w:rPr>
        <w:rFonts w:ascii="Symbol" w:eastAsia="Symbol" w:hAnsi="Symbol" w:cs="Symbol" w:hint="default"/>
        <w:b w:val="0"/>
        <w:bCs w:val="0"/>
        <w:i w:val="0"/>
        <w:iCs w:val="0"/>
        <w:spacing w:val="0"/>
        <w:w w:val="99"/>
        <w:sz w:val="26"/>
        <w:szCs w:val="26"/>
        <w:lang w:val="es-ES" w:eastAsia="en-US" w:bidi="ar-SA"/>
      </w:rPr>
    </w:lvl>
    <w:lvl w:ilvl="2" w:tplc="FFFFFFFF">
      <w:numFmt w:val="bullet"/>
      <w:lvlText w:val="•"/>
      <w:lvlJc w:val="left"/>
      <w:pPr>
        <w:ind w:left="4665" w:hanging="102"/>
      </w:pPr>
      <w:rPr>
        <w:rFonts w:ascii="Segoe UI" w:eastAsia="Segoe UI" w:hAnsi="Segoe UI" w:cs="Segoe UI" w:hint="default"/>
        <w:b w:val="0"/>
        <w:bCs w:val="0"/>
        <w:i w:val="0"/>
        <w:iCs w:val="0"/>
        <w:color w:val="444444"/>
        <w:spacing w:val="0"/>
        <w:w w:val="100"/>
        <w:sz w:val="15"/>
        <w:szCs w:val="15"/>
        <w:lang w:val="es-ES" w:eastAsia="en-US" w:bidi="ar-SA"/>
      </w:rPr>
    </w:lvl>
    <w:lvl w:ilvl="3" w:tplc="FFFFFFFF">
      <w:numFmt w:val="bullet"/>
      <w:lvlText w:val="•"/>
      <w:lvlJc w:val="left"/>
      <w:pPr>
        <w:ind w:left="6113" w:hanging="102"/>
      </w:pPr>
      <w:rPr>
        <w:rFonts w:hint="default"/>
        <w:lang w:val="es-ES" w:eastAsia="en-US" w:bidi="ar-SA"/>
      </w:rPr>
    </w:lvl>
    <w:lvl w:ilvl="4" w:tplc="FFFFFFFF">
      <w:numFmt w:val="bullet"/>
      <w:lvlText w:val="•"/>
      <w:lvlJc w:val="left"/>
      <w:pPr>
        <w:ind w:left="6840" w:hanging="102"/>
      </w:pPr>
      <w:rPr>
        <w:rFonts w:hint="default"/>
        <w:lang w:val="es-ES" w:eastAsia="en-US" w:bidi="ar-SA"/>
      </w:rPr>
    </w:lvl>
    <w:lvl w:ilvl="5" w:tplc="FFFFFFFF">
      <w:numFmt w:val="bullet"/>
      <w:lvlText w:val="•"/>
      <w:lvlJc w:val="left"/>
      <w:pPr>
        <w:ind w:left="7566" w:hanging="102"/>
      </w:pPr>
      <w:rPr>
        <w:rFonts w:hint="default"/>
        <w:lang w:val="es-ES" w:eastAsia="en-US" w:bidi="ar-SA"/>
      </w:rPr>
    </w:lvl>
    <w:lvl w:ilvl="6" w:tplc="FFFFFFFF">
      <w:numFmt w:val="bullet"/>
      <w:lvlText w:val="•"/>
      <w:lvlJc w:val="left"/>
      <w:pPr>
        <w:ind w:left="8293" w:hanging="102"/>
      </w:pPr>
      <w:rPr>
        <w:rFonts w:hint="default"/>
        <w:lang w:val="es-ES" w:eastAsia="en-US" w:bidi="ar-SA"/>
      </w:rPr>
    </w:lvl>
    <w:lvl w:ilvl="7" w:tplc="FFFFFFFF">
      <w:numFmt w:val="bullet"/>
      <w:lvlText w:val="•"/>
      <w:lvlJc w:val="left"/>
      <w:pPr>
        <w:ind w:left="9020" w:hanging="102"/>
      </w:pPr>
      <w:rPr>
        <w:rFonts w:hint="default"/>
        <w:lang w:val="es-ES" w:eastAsia="en-US" w:bidi="ar-SA"/>
      </w:rPr>
    </w:lvl>
    <w:lvl w:ilvl="8" w:tplc="FFFFFFFF">
      <w:numFmt w:val="bullet"/>
      <w:lvlText w:val="•"/>
      <w:lvlJc w:val="left"/>
      <w:pPr>
        <w:ind w:left="9746" w:hanging="102"/>
      </w:pPr>
      <w:rPr>
        <w:rFonts w:hint="default"/>
        <w:lang w:val="es-ES" w:eastAsia="en-US" w:bidi="ar-SA"/>
      </w:rPr>
    </w:lvl>
  </w:abstractNum>
  <w:abstractNum w:abstractNumId="43" w15:restartNumberingAfterBreak="0">
    <w:nsid w:val="1FB2377B"/>
    <w:multiLevelType w:val="hybridMultilevel"/>
    <w:tmpl w:val="5810F8D0"/>
    <w:lvl w:ilvl="0" w:tplc="869205B0">
      <w:start w:val="1"/>
      <w:numFmt w:val="upperRoman"/>
      <w:lvlText w:val="%1."/>
      <w:lvlJc w:val="left"/>
      <w:pPr>
        <w:ind w:left="832"/>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45C88014">
      <w:start w:val="1"/>
      <w:numFmt w:val="upperRoman"/>
      <w:lvlText w:val="%2."/>
      <w:lvlJc w:val="left"/>
      <w:pPr>
        <w:ind w:left="1207" w:hanging="360"/>
      </w:pPr>
      <w:rPr>
        <w:rFonts w:ascii="Arial" w:hAnsi="Arial" w:cs="Arial" w:hint="default"/>
        <w:b/>
        <w:bCs/>
        <w:i w:val="0"/>
        <w:strike w:val="0"/>
        <w:dstrike w:val="0"/>
        <w:color w:val="000000"/>
        <w:sz w:val="20"/>
        <w:szCs w:val="24"/>
        <w:u w:val="none" w:color="000000"/>
        <w:vertAlign w:val="baseline"/>
      </w:rPr>
    </w:lvl>
    <w:lvl w:ilvl="2" w:tplc="5D26E06A">
      <w:start w:val="1"/>
      <w:numFmt w:val="lowerRoman"/>
      <w:lvlText w:val="%3"/>
      <w:lvlJc w:val="left"/>
      <w:pPr>
        <w:ind w:left="1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E603B20">
      <w:start w:val="1"/>
      <w:numFmt w:val="decimal"/>
      <w:lvlText w:val="%4"/>
      <w:lvlJc w:val="left"/>
      <w:pPr>
        <w:ind w:left="18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ACAE48C">
      <w:start w:val="1"/>
      <w:numFmt w:val="lowerLetter"/>
      <w:lvlText w:val="%5"/>
      <w:lvlJc w:val="left"/>
      <w:pPr>
        <w:ind w:left="25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8582364C">
      <w:start w:val="1"/>
      <w:numFmt w:val="lowerRoman"/>
      <w:lvlText w:val="%6"/>
      <w:lvlJc w:val="left"/>
      <w:pPr>
        <w:ind w:left="32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913E7C7A">
      <w:start w:val="1"/>
      <w:numFmt w:val="decimal"/>
      <w:lvlText w:val="%7"/>
      <w:lvlJc w:val="left"/>
      <w:pPr>
        <w:ind w:left="40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EEBC42B0">
      <w:start w:val="1"/>
      <w:numFmt w:val="lowerLetter"/>
      <w:lvlText w:val="%8"/>
      <w:lvlJc w:val="left"/>
      <w:pPr>
        <w:ind w:left="47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BB86BD9E">
      <w:start w:val="1"/>
      <w:numFmt w:val="lowerRoman"/>
      <w:lvlText w:val="%9"/>
      <w:lvlJc w:val="left"/>
      <w:pPr>
        <w:ind w:left="54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44" w15:restartNumberingAfterBreak="0">
    <w:nsid w:val="20B86DC9"/>
    <w:multiLevelType w:val="hybridMultilevel"/>
    <w:tmpl w:val="FFFFFFFF"/>
    <w:lvl w:ilvl="0" w:tplc="3252E7EC">
      <w:start w:val="16"/>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9A4F83A">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4A62193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C556E9B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869EF34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87F4124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A950E25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924E46E6">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DB8BC3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6"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15:restartNumberingAfterBreak="0">
    <w:nsid w:val="250F5D7F"/>
    <w:multiLevelType w:val="hybridMultilevel"/>
    <w:tmpl w:val="F61C57FC"/>
    <w:lvl w:ilvl="0" w:tplc="869205B0">
      <w:start w:val="1"/>
      <w:numFmt w:val="upperRoman"/>
      <w:lvlText w:val="%1."/>
      <w:lvlJc w:val="left"/>
      <w:pPr>
        <w:ind w:left="832"/>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0166F146">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B842694E">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42E0E416">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B98CD672">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591285F4">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5538C1CE">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9580EA0A">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0F8236F0">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48" w15:restartNumberingAfterBreak="0">
    <w:nsid w:val="26716AD4"/>
    <w:multiLevelType w:val="hybridMultilevel"/>
    <w:tmpl w:val="FFFFFFFF"/>
    <w:lvl w:ilvl="0" w:tplc="2EBEAB8C">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B748C19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23560BB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8FAC2D60">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0CE9D3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EEC6A4C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E64211C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0734AC82">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CE6208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49" w15:restartNumberingAfterBreak="0">
    <w:nsid w:val="26C17D06"/>
    <w:multiLevelType w:val="hybridMultilevel"/>
    <w:tmpl w:val="FFFFFFFF"/>
    <w:lvl w:ilvl="0" w:tplc="5A447C46">
      <w:start w:val="14"/>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EFBCB470">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D50227A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E43ED86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A804553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91ACF49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01BAA4D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1B2CDB7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D0C6C22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50" w15:restartNumberingAfterBreak="0">
    <w:nsid w:val="29A30BBD"/>
    <w:multiLevelType w:val="hybridMultilevel"/>
    <w:tmpl w:val="FFFFFFFF"/>
    <w:lvl w:ilvl="0" w:tplc="2C50695E">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0AC735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630CDC0">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E80CC200">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23003F80">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717E82A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F3C0B0C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E2CD7F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16E582A">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51" w15:restartNumberingAfterBreak="0">
    <w:nsid w:val="2C2E1493"/>
    <w:multiLevelType w:val="hybridMultilevel"/>
    <w:tmpl w:val="FFFFFFFF"/>
    <w:lvl w:ilvl="0" w:tplc="146A64D0">
      <w:start w:val="1"/>
      <w:numFmt w:val="bullet"/>
      <w:lvlText w:val=""/>
      <w:lvlJc w:val="left"/>
      <w:pPr>
        <w:ind w:left="708"/>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1" w:tplc="0D5CEFC0">
      <w:start w:val="1"/>
      <w:numFmt w:val="bullet"/>
      <w:lvlText w:val="o"/>
      <w:lvlJc w:val="left"/>
      <w:pPr>
        <w:ind w:left="12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2" w:tplc="47865F9C">
      <w:start w:val="1"/>
      <w:numFmt w:val="bullet"/>
      <w:lvlText w:val="▪"/>
      <w:lvlJc w:val="left"/>
      <w:pPr>
        <w:ind w:left="19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3" w:tplc="3E7EE176">
      <w:start w:val="1"/>
      <w:numFmt w:val="bullet"/>
      <w:lvlText w:val="•"/>
      <w:lvlJc w:val="left"/>
      <w:pPr>
        <w:ind w:left="26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4" w:tplc="04E4EC18">
      <w:start w:val="1"/>
      <w:numFmt w:val="bullet"/>
      <w:lvlText w:val="o"/>
      <w:lvlJc w:val="left"/>
      <w:pPr>
        <w:ind w:left="336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5" w:tplc="0A86F95A">
      <w:start w:val="1"/>
      <w:numFmt w:val="bullet"/>
      <w:lvlText w:val="▪"/>
      <w:lvlJc w:val="left"/>
      <w:pPr>
        <w:ind w:left="408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6" w:tplc="BB86A630">
      <w:start w:val="1"/>
      <w:numFmt w:val="bullet"/>
      <w:lvlText w:val="•"/>
      <w:lvlJc w:val="left"/>
      <w:pPr>
        <w:ind w:left="480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7" w:tplc="11E2711C">
      <w:start w:val="1"/>
      <w:numFmt w:val="bullet"/>
      <w:lvlText w:val="o"/>
      <w:lvlJc w:val="left"/>
      <w:pPr>
        <w:ind w:left="552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lvl w:ilvl="8" w:tplc="B9F8E2FE">
      <w:start w:val="1"/>
      <w:numFmt w:val="bullet"/>
      <w:lvlText w:val="▪"/>
      <w:lvlJc w:val="left"/>
      <w:pPr>
        <w:ind w:left="6240"/>
      </w:pPr>
      <w:rPr>
        <w:rFonts w:ascii="Wingdings" w:eastAsia="Wingdings" w:hAnsi="Wingdings" w:cs="Wingdings"/>
        <w:b w:val="0"/>
        <w:i w:val="0"/>
        <w:strike w:val="0"/>
        <w:dstrike w:val="0"/>
        <w:color w:val="000000"/>
        <w:sz w:val="24"/>
        <w:szCs w:val="24"/>
        <w:u w:val="none" w:color="000000"/>
        <w:bdr w:val="none" w:sz="0" w:space="0" w:color="auto"/>
        <w:shd w:val="clear" w:color="auto" w:fill="auto"/>
        <w:vertAlign w:val="baseline"/>
      </w:rPr>
    </w:lvl>
  </w:abstractNum>
  <w:abstractNum w:abstractNumId="52" w15:restartNumberingAfterBreak="0">
    <w:nsid w:val="2C4B07E8"/>
    <w:multiLevelType w:val="hybridMultilevel"/>
    <w:tmpl w:val="12DE4576"/>
    <w:lvl w:ilvl="0" w:tplc="869205B0">
      <w:start w:val="1"/>
      <w:numFmt w:val="upperRoman"/>
      <w:lvlText w:val="%1."/>
      <w:lvlJc w:val="left"/>
      <w:pPr>
        <w:ind w:left="1068" w:hanging="360"/>
      </w:pPr>
      <w:rPr>
        <w:rFonts w:ascii="Trebuchet MS" w:hAnsi="Trebuchet MS" w:cs="Trebuchet MS" w:hint="default"/>
        <w:b/>
        <w:bCs/>
        <w:i w:val="0"/>
        <w:strike w:val="0"/>
        <w:dstrike w:val="0"/>
        <w:color w:val="000000"/>
        <w:sz w:val="20"/>
        <w:szCs w:val="24"/>
        <w:u w:val="none" w:color="000000"/>
        <w:vertAlign w:val="baseline"/>
      </w:rPr>
    </w:lvl>
    <w:lvl w:ilvl="1" w:tplc="FFFFFFFF" w:tentative="1">
      <w:start w:val="1"/>
      <w:numFmt w:val="lowerLetter"/>
      <w:lvlText w:val="%2."/>
      <w:lvlJc w:val="left"/>
      <w:pPr>
        <w:ind w:left="1788" w:hanging="360"/>
      </w:pPr>
    </w:lvl>
    <w:lvl w:ilvl="2" w:tplc="FFFFFFFF" w:tentative="1">
      <w:start w:val="1"/>
      <w:numFmt w:val="lowerRoman"/>
      <w:lvlText w:val="%3."/>
      <w:lvlJc w:val="right"/>
      <w:pPr>
        <w:ind w:left="2508" w:hanging="180"/>
      </w:pPr>
    </w:lvl>
    <w:lvl w:ilvl="3" w:tplc="FFFFFFFF" w:tentative="1">
      <w:start w:val="1"/>
      <w:numFmt w:val="decimal"/>
      <w:lvlText w:val="%4."/>
      <w:lvlJc w:val="left"/>
      <w:pPr>
        <w:ind w:left="3228" w:hanging="360"/>
      </w:pPr>
    </w:lvl>
    <w:lvl w:ilvl="4" w:tplc="FFFFFFFF" w:tentative="1">
      <w:start w:val="1"/>
      <w:numFmt w:val="lowerLetter"/>
      <w:lvlText w:val="%5."/>
      <w:lvlJc w:val="left"/>
      <w:pPr>
        <w:ind w:left="3948" w:hanging="360"/>
      </w:pPr>
    </w:lvl>
    <w:lvl w:ilvl="5" w:tplc="FFFFFFFF" w:tentative="1">
      <w:start w:val="1"/>
      <w:numFmt w:val="lowerRoman"/>
      <w:lvlText w:val="%6."/>
      <w:lvlJc w:val="right"/>
      <w:pPr>
        <w:ind w:left="4668" w:hanging="180"/>
      </w:pPr>
    </w:lvl>
    <w:lvl w:ilvl="6" w:tplc="FFFFFFFF" w:tentative="1">
      <w:start w:val="1"/>
      <w:numFmt w:val="decimal"/>
      <w:lvlText w:val="%7."/>
      <w:lvlJc w:val="left"/>
      <w:pPr>
        <w:ind w:left="5388" w:hanging="360"/>
      </w:pPr>
    </w:lvl>
    <w:lvl w:ilvl="7" w:tplc="FFFFFFFF" w:tentative="1">
      <w:start w:val="1"/>
      <w:numFmt w:val="lowerLetter"/>
      <w:lvlText w:val="%8."/>
      <w:lvlJc w:val="left"/>
      <w:pPr>
        <w:ind w:left="6108" w:hanging="360"/>
      </w:pPr>
    </w:lvl>
    <w:lvl w:ilvl="8" w:tplc="FFFFFFFF" w:tentative="1">
      <w:start w:val="1"/>
      <w:numFmt w:val="lowerRoman"/>
      <w:lvlText w:val="%9."/>
      <w:lvlJc w:val="right"/>
      <w:pPr>
        <w:ind w:left="6828" w:hanging="180"/>
      </w:pPr>
    </w:lvl>
  </w:abstractNum>
  <w:abstractNum w:abstractNumId="53" w15:restartNumberingAfterBreak="0">
    <w:nsid w:val="2CCB2CF3"/>
    <w:multiLevelType w:val="hybridMultilevel"/>
    <w:tmpl w:val="B03EE276"/>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2CDA5B32"/>
    <w:multiLevelType w:val="hybridMultilevel"/>
    <w:tmpl w:val="FFFFFFFF"/>
    <w:lvl w:ilvl="0" w:tplc="94DA0676">
      <w:start w:val="19"/>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26E084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EAF0864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AF5E35F6">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804207D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07C8CFE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ED4F89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BDBE9C7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91A5EB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55" w15:restartNumberingAfterBreak="0">
    <w:nsid w:val="2E3D08D7"/>
    <w:multiLevelType w:val="hybridMultilevel"/>
    <w:tmpl w:val="FFFFFFFF"/>
    <w:lvl w:ilvl="0" w:tplc="BB3804AA">
      <w:start w:val="9"/>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53CACE80">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AEEE561A">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7568B3C4">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07A46354">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0629B26">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FB809C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05C0C3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DCDED102">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56" w15:restartNumberingAfterBreak="0">
    <w:nsid w:val="2F020C88"/>
    <w:multiLevelType w:val="multilevel"/>
    <w:tmpl w:val="68AAB018"/>
    <w:lvl w:ilvl="0">
      <w:start w:val="1"/>
      <w:numFmt w:val="decimal"/>
      <w:lvlText w:val="%1."/>
      <w:lvlJc w:val="left"/>
      <w:pPr>
        <w:ind w:left="720" w:hanging="360"/>
      </w:pPr>
      <w:rPr>
        <w:rFonts w:ascii="Calibri" w:eastAsia="Calibri" w:hAnsi="Calibri" w:cs="Times New Roman" w:hint="default"/>
        <w:b/>
        <w:sz w:val="16"/>
        <w:szCs w:val="16"/>
      </w:rPr>
    </w:lvl>
    <w:lvl w:ilvl="1">
      <w:start w:val="5"/>
      <w:numFmt w:val="decimal"/>
      <w:isLgl/>
      <w:lvlText w:val="%1.%2"/>
      <w:lvlJc w:val="left"/>
      <w:pPr>
        <w:ind w:left="1080" w:hanging="720"/>
      </w:pPr>
      <w:rPr>
        <w:rFonts w:hint="default"/>
        <w:color w:val="4D4D4D"/>
      </w:rPr>
    </w:lvl>
    <w:lvl w:ilvl="2">
      <w:start w:val="1"/>
      <w:numFmt w:val="decimal"/>
      <w:isLgl/>
      <w:lvlText w:val="%1.%2.%3"/>
      <w:lvlJc w:val="left"/>
      <w:pPr>
        <w:ind w:left="1080" w:hanging="720"/>
      </w:pPr>
      <w:rPr>
        <w:rFonts w:hint="default"/>
        <w:color w:val="4D4D4D"/>
      </w:rPr>
    </w:lvl>
    <w:lvl w:ilvl="3">
      <w:start w:val="1"/>
      <w:numFmt w:val="decimal"/>
      <w:isLgl/>
      <w:lvlText w:val="%1.%2.%3.%4"/>
      <w:lvlJc w:val="left"/>
      <w:pPr>
        <w:ind w:left="1440" w:hanging="1080"/>
      </w:pPr>
      <w:rPr>
        <w:rFonts w:hint="default"/>
        <w:color w:val="4D4D4D"/>
      </w:rPr>
    </w:lvl>
    <w:lvl w:ilvl="4">
      <w:start w:val="1"/>
      <w:numFmt w:val="decimal"/>
      <w:isLgl/>
      <w:lvlText w:val="%1.%2.%3.%4.%5"/>
      <w:lvlJc w:val="left"/>
      <w:pPr>
        <w:ind w:left="1440" w:hanging="1080"/>
      </w:pPr>
      <w:rPr>
        <w:rFonts w:hint="default"/>
        <w:color w:val="4D4D4D"/>
      </w:rPr>
    </w:lvl>
    <w:lvl w:ilvl="5">
      <w:start w:val="1"/>
      <w:numFmt w:val="decimal"/>
      <w:isLgl/>
      <w:lvlText w:val="%1.%2.%3.%4.%5.%6"/>
      <w:lvlJc w:val="left"/>
      <w:pPr>
        <w:ind w:left="1800" w:hanging="1440"/>
      </w:pPr>
      <w:rPr>
        <w:rFonts w:hint="default"/>
        <w:color w:val="4D4D4D"/>
      </w:rPr>
    </w:lvl>
    <w:lvl w:ilvl="6">
      <w:start w:val="1"/>
      <w:numFmt w:val="decimal"/>
      <w:isLgl/>
      <w:lvlText w:val="%1.%2.%3.%4.%5.%6.%7"/>
      <w:lvlJc w:val="left"/>
      <w:pPr>
        <w:ind w:left="2160" w:hanging="1800"/>
      </w:pPr>
      <w:rPr>
        <w:rFonts w:hint="default"/>
        <w:color w:val="4D4D4D"/>
      </w:rPr>
    </w:lvl>
    <w:lvl w:ilvl="7">
      <w:start w:val="1"/>
      <w:numFmt w:val="decimal"/>
      <w:isLgl/>
      <w:lvlText w:val="%1.%2.%3.%4.%5.%6.%7.%8"/>
      <w:lvlJc w:val="left"/>
      <w:pPr>
        <w:ind w:left="2160" w:hanging="1800"/>
      </w:pPr>
      <w:rPr>
        <w:rFonts w:hint="default"/>
        <w:color w:val="4D4D4D"/>
      </w:rPr>
    </w:lvl>
    <w:lvl w:ilvl="8">
      <w:start w:val="1"/>
      <w:numFmt w:val="decimal"/>
      <w:isLgl/>
      <w:lvlText w:val="%1.%2.%3.%4.%5.%6.%7.%8.%9"/>
      <w:lvlJc w:val="left"/>
      <w:pPr>
        <w:ind w:left="2520" w:hanging="2160"/>
      </w:pPr>
      <w:rPr>
        <w:rFonts w:hint="default"/>
        <w:color w:val="4D4D4D"/>
      </w:rPr>
    </w:lvl>
  </w:abstractNum>
  <w:abstractNum w:abstractNumId="57"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8" w15:restartNumberingAfterBreak="0">
    <w:nsid w:val="30CD5717"/>
    <w:multiLevelType w:val="hybridMultilevel"/>
    <w:tmpl w:val="FFFFFFFF"/>
    <w:lvl w:ilvl="0" w:tplc="85CA38B2">
      <w:start w:val="14"/>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540815E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A6C506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D6E842D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D4F44E4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C1A3B2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394A228E">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07E4370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A0044762">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59" w15:restartNumberingAfterBreak="0">
    <w:nsid w:val="30EA45D3"/>
    <w:multiLevelType w:val="hybridMultilevel"/>
    <w:tmpl w:val="FFFFFFFF"/>
    <w:lvl w:ilvl="0" w:tplc="F7AE98C4">
      <w:start w:val="6"/>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185A792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D0CDC0A">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2B8E347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EC16A670">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C99ACE8A">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06764CE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917A806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5C54672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60" w15:restartNumberingAfterBreak="0">
    <w:nsid w:val="32DC5EA2"/>
    <w:multiLevelType w:val="hybridMultilevel"/>
    <w:tmpl w:val="FFFFFFFF"/>
    <w:lvl w:ilvl="0" w:tplc="75B2AA46">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CD29E54">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802A559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9A4E355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ACE65E54">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C80A49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A96E645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93209DE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6C0A32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61" w15:restartNumberingAfterBreak="0">
    <w:nsid w:val="34461F8F"/>
    <w:multiLevelType w:val="hybridMultilevel"/>
    <w:tmpl w:val="DAE65FC4"/>
    <w:lvl w:ilvl="0" w:tplc="869205B0">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35D26DF1"/>
    <w:multiLevelType w:val="hybridMultilevel"/>
    <w:tmpl w:val="FFFFFFFF"/>
    <w:lvl w:ilvl="0" w:tplc="F2487CD4">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A36B17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92FA276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0EC85C9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F6A8116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0B32C3C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E696BFD8">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7830376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41AFC9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63" w15:restartNumberingAfterBreak="0">
    <w:nsid w:val="37295674"/>
    <w:multiLevelType w:val="hybridMultilevel"/>
    <w:tmpl w:val="4396333C"/>
    <w:lvl w:ilvl="0" w:tplc="01CC636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4" w15:restartNumberingAfterBreak="0">
    <w:nsid w:val="37E64389"/>
    <w:multiLevelType w:val="hybridMultilevel"/>
    <w:tmpl w:val="609A68FA"/>
    <w:lvl w:ilvl="0" w:tplc="0054D8A8">
      <w:start w:val="10"/>
      <w:numFmt w:val="upperRoman"/>
      <w:lvlText w:val="%1."/>
      <w:lvlJc w:val="left"/>
      <w:pPr>
        <w:ind w:left="1788"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5" w15:restartNumberingAfterBreak="0">
    <w:nsid w:val="37F15D4C"/>
    <w:multiLevelType w:val="hybridMultilevel"/>
    <w:tmpl w:val="2B129B6E"/>
    <w:lvl w:ilvl="0" w:tplc="869205B0">
      <w:start w:val="1"/>
      <w:numFmt w:val="upperRoman"/>
      <w:lvlText w:val="%1."/>
      <w:lvlJc w:val="left"/>
      <w:pPr>
        <w:ind w:left="516"/>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FFFFFFFF">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66" w15:restartNumberingAfterBreak="0">
    <w:nsid w:val="39763229"/>
    <w:multiLevelType w:val="hybridMultilevel"/>
    <w:tmpl w:val="24A42AEA"/>
    <w:lvl w:ilvl="0" w:tplc="B2529CA8">
      <w:start w:val="1"/>
      <w:numFmt w:val="upperRoman"/>
      <w:lvlText w:val="%1."/>
      <w:lvlJc w:val="left"/>
      <w:pPr>
        <w:ind w:left="735" w:hanging="720"/>
      </w:pPr>
      <w:rPr>
        <w:rFonts w:hint="default"/>
        <w:b/>
        <w:color w:val="auto"/>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67" w15:restartNumberingAfterBreak="0">
    <w:nsid w:val="3B1960F6"/>
    <w:multiLevelType w:val="hybridMultilevel"/>
    <w:tmpl w:val="FFFFFFFF"/>
    <w:lvl w:ilvl="0" w:tplc="12884F0E">
      <w:start w:val="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03E6470">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B728F9B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3AD45F26">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C9E950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D17ADB8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84C0D7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9274FE5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AE7A177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68" w15:restartNumberingAfterBreak="0">
    <w:nsid w:val="3CE011BC"/>
    <w:multiLevelType w:val="hybridMultilevel"/>
    <w:tmpl w:val="0B48198C"/>
    <w:lvl w:ilvl="0" w:tplc="FFFFFFFF">
      <w:start w:val="2"/>
      <w:numFmt w:val="decimal"/>
      <w:lvlText w:val="%1."/>
      <w:lvlJc w:val="left"/>
      <w:pPr>
        <w:ind w:left="249"/>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1" w:tplc="080A000F">
      <w:start w:val="1"/>
      <w:numFmt w:val="decimal"/>
      <w:lvlText w:val="%2."/>
      <w:lvlJc w:val="left"/>
      <w:pPr>
        <w:ind w:left="1080" w:hanging="360"/>
      </w:pPr>
    </w:lvl>
    <w:lvl w:ilvl="2" w:tplc="FFFFFFFF">
      <w:start w:val="1"/>
      <w:numFmt w:val="lowerRoman"/>
      <w:lvlText w:val="%3"/>
      <w:lvlJc w:val="left"/>
      <w:pPr>
        <w:ind w:left="14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1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28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6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3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0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57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69" w15:restartNumberingAfterBreak="0">
    <w:nsid w:val="3D774D81"/>
    <w:multiLevelType w:val="hybridMultilevel"/>
    <w:tmpl w:val="0A001C98"/>
    <w:lvl w:ilvl="0" w:tplc="495C9CF8">
      <w:start w:val="1"/>
      <w:numFmt w:val="lowerRoman"/>
      <w:lvlText w:val="%1)"/>
      <w:lvlJc w:val="left"/>
      <w:pPr>
        <w:ind w:left="1428" w:hanging="360"/>
      </w:pPr>
      <w:rPr>
        <w:rFonts w:ascii="Calibri" w:hAnsi="Calibri" w:cs="Calibri" w:hint="default"/>
        <w:b/>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70" w15:restartNumberingAfterBreak="0">
    <w:nsid w:val="3E5D3609"/>
    <w:multiLevelType w:val="hybridMultilevel"/>
    <w:tmpl w:val="FFFFFFFF"/>
    <w:lvl w:ilvl="0" w:tplc="774ABF9E">
      <w:start w:val="1"/>
      <w:numFmt w:val="lowerLetter"/>
      <w:lvlText w:val="%1)"/>
      <w:lvlJc w:val="left"/>
      <w:pPr>
        <w:ind w:left="0"/>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1" w:tplc="8466AF34">
      <w:start w:val="1"/>
      <w:numFmt w:val="lowerLetter"/>
      <w:lvlText w:val="%2"/>
      <w:lvlJc w:val="left"/>
      <w:pPr>
        <w:ind w:left="118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2" w:tplc="C9C65C40">
      <w:start w:val="1"/>
      <w:numFmt w:val="lowerRoman"/>
      <w:lvlText w:val="%3"/>
      <w:lvlJc w:val="left"/>
      <w:pPr>
        <w:ind w:left="190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3" w:tplc="5DBA1ECA">
      <w:start w:val="1"/>
      <w:numFmt w:val="decimal"/>
      <w:lvlText w:val="%4"/>
      <w:lvlJc w:val="left"/>
      <w:pPr>
        <w:ind w:left="262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4" w:tplc="A94EB532">
      <w:start w:val="1"/>
      <w:numFmt w:val="lowerLetter"/>
      <w:lvlText w:val="%5"/>
      <w:lvlJc w:val="left"/>
      <w:pPr>
        <w:ind w:left="334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5" w:tplc="BAFABB46">
      <w:start w:val="1"/>
      <w:numFmt w:val="lowerRoman"/>
      <w:lvlText w:val="%6"/>
      <w:lvlJc w:val="left"/>
      <w:pPr>
        <w:ind w:left="406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6" w:tplc="0322AA48">
      <w:start w:val="1"/>
      <w:numFmt w:val="decimal"/>
      <w:lvlText w:val="%7"/>
      <w:lvlJc w:val="left"/>
      <w:pPr>
        <w:ind w:left="478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7" w:tplc="2C4E358E">
      <w:start w:val="1"/>
      <w:numFmt w:val="lowerLetter"/>
      <w:lvlText w:val="%8"/>
      <w:lvlJc w:val="left"/>
      <w:pPr>
        <w:ind w:left="550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lvl w:ilvl="8" w:tplc="152ED30C">
      <w:start w:val="1"/>
      <w:numFmt w:val="lowerRoman"/>
      <w:lvlText w:val="%9"/>
      <w:lvlJc w:val="left"/>
      <w:pPr>
        <w:ind w:left="6228"/>
      </w:pPr>
      <w:rPr>
        <w:rFonts w:ascii="Verdana" w:eastAsia="Verdana" w:hAnsi="Verdana" w:cs="Verdana"/>
        <w:b/>
        <w:bCs/>
        <w:i w:val="0"/>
        <w:strike w:val="0"/>
        <w:dstrike w:val="0"/>
        <w:color w:val="000000"/>
        <w:sz w:val="20"/>
        <w:szCs w:val="20"/>
        <w:u w:val="none" w:color="000000"/>
        <w:bdr w:val="none" w:sz="0" w:space="0" w:color="auto"/>
        <w:shd w:val="clear" w:color="auto" w:fill="auto"/>
        <w:vertAlign w:val="baseline"/>
      </w:rPr>
    </w:lvl>
  </w:abstractNum>
  <w:abstractNum w:abstractNumId="71" w15:restartNumberingAfterBreak="0">
    <w:nsid w:val="3F950169"/>
    <w:multiLevelType w:val="hybridMultilevel"/>
    <w:tmpl w:val="27E868D4"/>
    <w:lvl w:ilvl="0" w:tplc="F8CC5442">
      <w:start w:val="1"/>
      <w:numFmt w:val="lowerLetter"/>
      <w:lvlText w:val="%1)"/>
      <w:lvlJc w:val="left"/>
      <w:pPr>
        <w:tabs>
          <w:tab w:val="num" w:pos="1065"/>
        </w:tabs>
        <w:ind w:left="1065" w:hanging="360"/>
      </w:pPr>
      <w:rPr>
        <w:rFonts w:ascii="Arial" w:hAnsi="Arial" w:cs="Arial"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72" w15:restartNumberingAfterBreak="0">
    <w:nsid w:val="3FDF1E82"/>
    <w:multiLevelType w:val="hybridMultilevel"/>
    <w:tmpl w:val="B04A9076"/>
    <w:lvl w:ilvl="0" w:tplc="45C88014">
      <w:start w:val="1"/>
      <w:numFmt w:val="upperRoman"/>
      <w:lvlText w:val="%1."/>
      <w:lvlJc w:val="left"/>
      <w:pPr>
        <w:ind w:left="659"/>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6FD8209E">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C1D4810E">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669CE652">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78EEC3AE">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71BEFC42">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05A8822A">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0D8D298">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8EACC8BC">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73" w15:restartNumberingAfterBreak="0">
    <w:nsid w:val="412D1026"/>
    <w:multiLevelType w:val="hybridMultilevel"/>
    <w:tmpl w:val="493AA5E8"/>
    <w:lvl w:ilvl="0" w:tplc="C5DC3E20">
      <w:start w:val="5"/>
      <w:numFmt w:val="upperRoman"/>
      <w:lvlText w:val="%1."/>
      <w:lvlJc w:val="left"/>
      <w:pPr>
        <w:ind w:left="735"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4" w15:restartNumberingAfterBreak="0">
    <w:nsid w:val="434D1418"/>
    <w:multiLevelType w:val="hybridMultilevel"/>
    <w:tmpl w:val="FFFFFFFF"/>
    <w:lvl w:ilvl="0" w:tplc="FDB49BC0">
      <w:start w:val="5"/>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9BD49E0E">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0472EE6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5B9E513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321E261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29CA912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77CE5D0">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172A159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9CFC04F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75" w15:restartNumberingAfterBreak="0">
    <w:nsid w:val="43A422FD"/>
    <w:multiLevelType w:val="hybridMultilevel"/>
    <w:tmpl w:val="FFFFFFFF"/>
    <w:lvl w:ilvl="0" w:tplc="D518B6E4">
      <w:start w:val="5"/>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6F0305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A3FC9D5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908E29F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6C0C840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639A94D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AAE6B1A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0A6421B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EE6C3ED2">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76"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77" w15:restartNumberingAfterBreak="0">
    <w:nsid w:val="45B14E61"/>
    <w:multiLevelType w:val="hybridMultilevel"/>
    <w:tmpl w:val="D1426A7A"/>
    <w:lvl w:ilvl="0" w:tplc="869205B0">
      <w:start w:val="1"/>
      <w:numFmt w:val="upperRoman"/>
      <w:lvlText w:val="%1."/>
      <w:lvlJc w:val="left"/>
      <w:pPr>
        <w:ind w:left="861"/>
      </w:pPr>
      <w:rPr>
        <w:rFonts w:ascii="Trebuchet MS" w:hAnsi="Trebuchet MS" w:cs="Trebuchet MS" w:hint="default"/>
        <w:b/>
        <w:bCs/>
        <w:i w:val="0"/>
        <w:strike w:val="0"/>
        <w:dstrike w:val="0"/>
        <w:color w:val="000000"/>
        <w:sz w:val="20"/>
        <w:szCs w:val="24"/>
        <w:u w:val="none" w:color="000000"/>
        <w:bdr w:val="none" w:sz="0" w:space="0" w:color="auto"/>
        <w:shd w:val="clear" w:color="auto" w:fill="auto"/>
        <w:vertAlign w:val="baseline"/>
      </w:rPr>
    </w:lvl>
    <w:lvl w:ilvl="1" w:tplc="323A6724">
      <w:start w:val="1"/>
      <w:numFmt w:val="lowerLetter"/>
      <w:lvlText w:val="%2"/>
      <w:lvlJc w:val="left"/>
      <w:pPr>
        <w:ind w:left="121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57FE318A">
      <w:start w:val="1"/>
      <w:numFmt w:val="lowerRoman"/>
      <w:lvlText w:val="%3"/>
      <w:lvlJc w:val="left"/>
      <w:pPr>
        <w:ind w:left="193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D2B8766A">
      <w:start w:val="1"/>
      <w:numFmt w:val="decimal"/>
      <w:lvlText w:val="%4"/>
      <w:lvlJc w:val="left"/>
      <w:pPr>
        <w:ind w:left="26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30DCC89A">
      <w:start w:val="1"/>
      <w:numFmt w:val="lowerLetter"/>
      <w:lvlText w:val="%5"/>
      <w:lvlJc w:val="left"/>
      <w:pPr>
        <w:ind w:left="337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5C3600B0">
      <w:start w:val="1"/>
      <w:numFmt w:val="lowerRoman"/>
      <w:lvlText w:val="%6"/>
      <w:lvlJc w:val="left"/>
      <w:pPr>
        <w:ind w:left="409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E02451D2">
      <w:start w:val="1"/>
      <w:numFmt w:val="decimal"/>
      <w:lvlText w:val="%7"/>
      <w:lvlJc w:val="left"/>
      <w:pPr>
        <w:ind w:left="481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5C768DBC">
      <w:start w:val="1"/>
      <w:numFmt w:val="lowerLetter"/>
      <w:lvlText w:val="%8"/>
      <w:lvlJc w:val="left"/>
      <w:pPr>
        <w:ind w:left="553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092A1150">
      <w:start w:val="1"/>
      <w:numFmt w:val="lowerRoman"/>
      <w:lvlText w:val="%9"/>
      <w:lvlJc w:val="left"/>
      <w:pPr>
        <w:ind w:left="625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78" w15:restartNumberingAfterBreak="0">
    <w:nsid w:val="46D93426"/>
    <w:multiLevelType w:val="hybridMultilevel"/>
    <w:tmpl w:val="B9B4BD58"/>
    <w:lvl w:ilvl="0" w:tplc="45C88014">
      <w:start w:val="1"/>
      <w:numFmt w:val="upperRoman"/>
      <w:lvlText w:val="%1."/>
      <w:lvlJc w:val="left"/>
      <w:pPr>
        <w:ind w:left="720" w:hanging="360"/>
      </w:pPr>
      <w:rPr>
        <w:rFonts w:ascii="Arial" w:hAnsi="Arial" w:cs="Arial"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9" w15:restartNumberingAfterBreak="0">
    <w:nsid w:val="477D4009"/>
    <w:multiLevelType w:val="hybridMultilevel"/>
    <w:tmpl w:val="FFFFFFFF"/>
    <w:lvl w:ilvl="0" w:tplc="B08214D8">
      <w:start w:val="5"/>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055283D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FBE05ED8">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EBCCA86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9098BD2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7F295F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684D41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AAAADD40">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67E4220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80" w15:restartNumberingAfterBreak="0">
    <w:nsid w:val="4ADE68F0"/>
    <w:multiLevelType w:val="hybridMultilevel"/>
    <w:tmpl w:val="867CE8BA"/>
    <w:lvl w:ilvl="0" w:tplc="8018B882">
      <w:start w:val="1"/>
      <w:numFmt w:val="decimal"/>
      <w:lvlText w:val="%1."/>
      <w:lvlJc w:val="left"/>
      <w:pPr>
        <w:ind w:left="1902" w:hanging="360"/>
      </w:pPr>
      <w:rPr>
        <w:rFonts w:ascii="Abadi" w:hAnsi="Abadi" w:cs="Arial" w:hint="default"/>
        <w:b w:val="0"/>
        <w:bCs w:val="0"/>
        <w:i w:val="0"/>
        <w:iCs w:val="0"/>
        <w:spacing w:val="0"/>
        <w:w w:val="100"/>
        <w:sz w:val="20"/>
        <w:szCs w:val="24"/>
        <w:lang w:val="es-ES" w:eastAsia="en-US" w:bidi="ar-SA"/>
      </w:rPr>
    </w:lvl>
    <w:lvl w:ilvl="1" w:tplc="76D8ABDE">
      <w:numFmt w:val="bullet"/>
      <w:lvlText w:val="•"/>
      <w:lvlJc w:val="left"/>
      <w:pPr>
        <w:ind w:left="2830" w:hanging="360"/>
      </w:pPr>
      <w:rPr>
        <w:rFonts w:hint="default"/>
        <w:lang w:val="es-ES" w:eastAsia="en-US" w:bidi="ar-SA"/>
      </w:rPr>
    </w:lvl>
    <w:lvl w:ilvl="2" w:tplc="F470028A">
      <w:numFmt w:val="bullet"/>
      <w:lvlText w:val="•"/>
      <w:lvlJc w:val="left"/>
      <w:pPr>
        <w:ind w:left="3760" w:hanging="360"/>
      </w:pPr>
      <w:rPr>
        <w:rFonts w:hint="default"/>
        <w:lang w:val="es-ES" w:eastAsia="en-US" w:bidi="ar-SA"/>
      </w:rPr>
    </w:lvl>
    <w:lvl w:ilvl="3" w:tplc="B97C52B6">
      <w:numFmt w:val="bullet"/>
      <w:lvlText w:val="•"/>
      <w:lvlJc w:val="left"/>
      <w:pPr>
        <w:ind w:left="4690" w:hanging="360"/>
      </w:pPr>
      <w:rPr>
        <w:rFonts w:hint="default"/>
        <w:lang w:val="es-ES" w:eastAsia="en-US" w:bidi="ar-SA"/>
      </w:rPr>
    </w:lvl>
    <w:lvl w:ilvl="4" w:tplc="6B564EF6">
      <w:numFmt w:val="bullet"/>
      <w:lvlText w:val="•"/>
      <w:lvlJc w:val="left"/>
      <w:pPr>
        <w:ind w:left="5620" w:hanging="360"/>
      </w:pPr>
      <w:rPr>
        <w:rFonts w:hint="default"/>
        <w:lang w:val="es-ES" w:eastAsia="en-US" w:bidi="ar-SA"/>
      </w:rPr>
    </w:lvl>
    <w:lvl w:ilvl="5" w:tplc="BCBE64F2">
      <w:numFmt w:val="bullet"/>
      <w:lvlText w:val="•"/>
      <w:lvlJc w:val="left"/>
      <w:pPr>
        <w:ind w:left="6550" w:hanging="360"/>
      </w:pPr>
      <w:rPr>
        <w:rFonts w:hint="default"/>
        <w:lang w:val="es-ES" w:eastAsia="en-US" w:bidi="ar-SA"/>
      </w:rPr>
    </w:lvl>
    <w:lvl w:ilvl="6" w:tplc="2BDCEB56">
      <w:numFmt w:val="bullet"/>
      <w:lvlText w:val="•"/>
      <w:lvlJc w:val="left"/>
      <w:pPr>
        <w:ind w:left="7480" w:hanging="360"/>
      </w:pPr>
      <w:rPr>
        <w:rFonts w:hint="default"/>
        <w:lang w:val="es-ES" w:eastAsia="en-US" w:bidi="ar-SA"/>
      </w:rPr>
    </w:lvl>
    <w:lvl w:ilvl="7" w:tplc="E3C0EC6C">
      <w:numFmt w:val="bullet"/>
      <w:lvlText w:val="•"/>
      <w:lvlJc w:val="left"/>
      <w:pPr>
        <w:ind w:left="8410" w:hanging="360"/>
      </w:pPr>
      <w:rPr>
        <w:rFonts w:hint="default"/>
        <w:lang w:val="es-ES" w:eastAsia="en-US" w:bidi="ar-SA"/>
      </w:rPr>
    </w:lvl>
    <w:lvl w:ilvl="8" w:tplc="A912B4F0">
      <w:numFmt w:val="bullet"/>
      <w:lvlText w:val="•"/>
      <w:lvlJc w:val="left"/>
      <w:pPr>
        <w:ind w:left="9340" w:hanging="360"/>
      </w:pPr>
      <w:rPr>
        <w:rFonts w:hint="default"/>
        <w:lang w:val="es-ES" w:eastAsia="en-US" w:bidi="ar-SA"/>
      </w:rPr>
    </w:lvl>
  </w:abstractNum>
  <w:abstractNum w:abstractNumId="81" w15:restartNumberingAfterBreak="0">
    <w:nsid w:val="4D0502D5"/>
    <w:multiLevelType w:val="hybridMultilevel"/>
    <w:tmpl w:val="FFFFFFFF"/>
    <w:lvl w:ilvl="0" w:tplc="C630CB68">
      <w:start w:val="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0F84979E">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168EBE5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27E660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6ABE7AA4">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7A3495C6">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4978012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E42E65F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8C58A286">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82" w15:restartNumberingAfterBreak="0">
    <w:nsid w:val="4FAC32B3"/>
    <w:multiLevelType w:val="hybridMultilevel"/>
    <w:tmpl w:val="EA8E0BFA"/>
    <w:lvl w:ilvl="0" w:tplc="63EE3432">
      <w:start w:val="1"/>
      <w:numFmt w:val="lowerLetter"/>
      <w:lvlText w:val="%1)"/>
      <w:lvlJc w:val="left"/>
      <w:pPr>
        <w:ind w:left="1900" w:hanging="360"/>
      </w:pPr>
      <w:rPr>
        <w:rFonts w:hint="default"/>
        <w:b w:val="0"/>
        <w:bCs w:val="0"/>
        <w:i w:val="0"/>
        <w:iCs w:val="0"/>
        <w:spacing w:val="-2"/>
        <w:w w:val="99"/>
        <w:sz w:val="20"/>
        <w:szCs w:val="28"/>
        <w:lang w:val="es-ES" w:eastAsia="en-US" w:bidi="ar-SA"/>
      </w:rPr>
    </w:lvl>
    <w:lvl w:ilvl="1" w:tplc="FFFFFFFF">
      <w:numFmt w:val="bullet"/>
      <w:lvlText w:val="•"/>
      <w:lvlJc w:val="left"/>
      <w:pPr>
        <w:ind w:left="2830" w:hanging="360"/>
      </w:pPr>
      <w:rPr>
        <w:rFonts w:hint="default"/>
        <w:lang w:val="es-ES" w:eastAsia="en-US" w:bidi="ar-SA"/>
      </w:rPr>
    </w:lvl>
    <w:lvl w:ilvl="2" w:tplc="FFFFFFFF">
      <w:numFmt w:val="bullet"/>
      <w:lvlText w:val="•"/>
      <w:lvlJc w:val="left"/>
      <w:pPr>
        <w:ind w:left="3760" w:hanging="360"/>
      </w:pPr>
      <w:rPr>
        <w:rFonts w:hint="default"/>
        <w:lang w:val="es-ES" w:eastAsia="en-US" w:bidi="ar-SA"/>
      </w:rPr>
    </w:lvl>
    <w:lvl w:ilvl="3" w:tplc="FFFFFFFF">
      <w:numFmt w:val="bullet"/>
      <w:lvlText w:val="•"/>
      <w:lvlJc w:val="left"/>
      <w:pPr>
        <w:ind w:left="4690" w:hanging="360"/>
      </w:pPr>
      <w:rPr>
        <w:rFonts w:hint="default"/>
        <w:lang w:val="es-ES" w:eastAsia="en-US" w:bidi="ar-SA"/>
      </w:rPr>
    </w:lvl>
    <w:lvl w:ilvl="4" w:tplc="FFFFFFFF">
      <w:numFmt w:val="bullet"/>
      <w:lvlText w:val="•"/>
      <w:lvlJc w:val="left"/>
      <w:pPr>
        <w:ind w:left="5620" w:hanging="360"/>
      </w:pPr>
      <w:rPr>
        <w:rFonts w:hint="default"/>
        <w:lang w:val="es-ES" w:eastAsia="en-US" w:bidi="ar-SA"/>
      </w:rPr>
    </w:lvl>
    <w:lvl w:ilvl="5" w:tplc="FFFFFFFF">
      <w:numFmt w:val="bullet"/>
      <w:lvlText w:val="•"/>
      <w:lvlJc w:val="left"/>
      <w:pPr>
        <w:ind w:left="6550" w:hanging="360"/>
      </w:pPr>
      <w:rPr>
        <w:rFonts w:hint="default"/>
        <w:lang w:val="es-ES" w:eastAsia="en-US" w:bidi="ar-SA"/>
      </w:rPr>
    </w:lvl>
    <w:lvl w:ilvl="6" w:tplc="FFFFFFFF">
      <w:numFmt w:val="bullet"/>
      <w:lvlText w:val="•"/>
      <w:lvlJc w:val="left"/>
      <w:pPr>
        <w:ind w:left="7480" w:hanging="360"/>
      </w:pPr>
      <w:rPr>
        <w:rFonts w:hint="default"/>
        <w:lang w:val="es-ES" w:eastAsia="en-US" w:bidi="ar-SA"/>
      </w:rPr>
    </w:lvl>
    <w:lvl w:ilvl="7" w:tplc="FFFFFFFF">
      <w:numFmt w:val="bullet"/>
      <w:lvlText w:val="•"/>
      <w:lvlJc w:val="left"/>
      <w:pPr>
        <w:ind w:left="8410" w:hanging="360"/>
      </w:pPr>
      <w:rPr>
        <w:rFonts w:hint="default"/>
        <w:lang w:val="es-ES" w:eastAsia="en-US" w:bidi="ar-SA"/>
      </w:rPr>
    </w:lvl>
    <w:lvl w:ilvl="8" w:tplc="FFFFFFFF">
      <w:numFmt w:val="bullet"/>
      <w:lvlText w:val="•"/>
      <w:lvlJc w:val="left"/>
      <w:pPr>
        <w:ind w:left="9340" w:hanging="360"/>
      </w:pPr>
      <w:rPr>
        <w:rFonts w:hint="default"/>
        <w:lang w:val="es-ES" w:eastAsia="en-US" w:bidi="ar-SA"/>
      </w:rPr>
    </w:lvl>
  </w:abstractNum>
  <w:abstractNum w:abstractNumId="83" w15:restartNumberingAfterBreak="0">
    <w:nsid w:val="4FF121FC"/>
    <w:multiLevelType w:val="hybridMultilevel"/>
    <w:tmpl w:val="BBC03DCC"/>
    <w:lvl w:ilvl="0" w:tplc="5F1A0622">
      <w:start w:val="1"/>
      <w:numFmt w:val="lowerLetter"/>
      <w:lvlText w:val="%1)"/>
      <w:lvlJc w:val="left"/>
      <w:pPr>
        <w:ind w:left="137"/>
      </w:pPr>
      <w:rPr>
        <w:rFonts w:ascii="Arial" w:hAnsi="Arial" w:cs="Arial" w:hint="default"/>
        <w:b/>
        <w:bCs/>
        <w:i w:val="0"/>
        <w:strike w:val="0"/>
        <w:dstrike w:val="0"/>
        <w:color w:val="000000"/>
        <w:sz w:val="20"/>
        <w:szCs w:val="26"/>
        <w:u w:val="none" w:color="000000"/>
        <w:bdr w:val="none" w:sz="0" w:space="0" w:color="auto"/>
        <w:shd w:val="clear" w:color="auto" w:fill="auto"/>
        <w:vertAlign w:val="baseline"/>
      </w:rPr>
    </w:lvl>
    <w:lvl w:ilvl="1" w:tplc="A3020DCC">
      <w:start w:val="1"/>
      <w:numFmt w:val="lowerLetter"/>
      <w:lvlText w:val="%2"/>
      <w:lvlJc w:val="left"/>
      <w:pPr>
        <w:ind w:left="10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C8366A2A">
      <w:start w:val="1"/>
      <w:numFmt w:val="lowerRoman"/>
      <w:lvlText w:val="%3"/>
      <w:lvlJc w:val="left"/>
      <w:pPr>
        <w:ind w:left="18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650269FC">
      <w:start w:val="1"/>
      <w:numFmt w:val="decimal"/>
      <w:lvlText w:val="%4"/>
      <w:lvlJc w:val="left"/>
      <w:pPr>
        <w:ind w:left="25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6F825FF2">
      <w:start w:val="1"/>
      <w:numFmt w:val="lowerLetter"/>
      <w:lvlText w:val="%5"/>
      <w:lvlJc w:val="left"/>
      <w:pPr>
        <w:ind w:left="32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5358C0C0">
      <w:start w:val="1"/>
      <w:numFmt w:val="lowerRoman"/>
      <w:lvlText w:val="%6"/>
      <w:lvlJc w:val="left"/>
      <w:pPr>
        <w:ind w:left="39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34D426A4">
      <w:start w:val="1"/>
      <w:numFmt w:val="decimal"/>
      <w:lvlText w:val="%7"/>
      <w:lvlJc w:val="left"/>
      <w:pPr>
        <w:ind w:left="46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EB6650A4">
      <w:start w:val="1"/>
      <w:numFmt w:val="lowerLetter"/>
      <w:lvlText w:val="%8"/>
      <w:lvlJc w:val="left"/>
      <w:pPr>
        <w:ind w:left="54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31A4DBA4">
      <w:start w:val="1"/>
      <w:numFmt w:val="lowerRoman"/>
      <w:lvlText w:val="%9"/>
      <w:lvlJc w:val="left"/>
      <w:pPr>
        <w:ind w:left="61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84" w15:restartNumberingAfterBreak="0">
    <w:nsid w:val="51B54336"/>
    <w:multiLevelType w:val="hybridMultilevel"/>
    <w:tmpl w:val="FFFFFFFF"/>
    <w:lvl w:ilvl="0" w:tplc="6C3495A4">
      <w:start w:val="9"/>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1E3AF06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7E88AED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1B305AA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8B98AFD8">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65D8940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1D28F18">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27F09F86">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793A07F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85" w15:restartNumberingAfterBreak="0">
    <w:nsid w:val="520C695A"/>
    <w:multiLevelType w:val="hybridMultilevel"/>
    <w:tmpl w:val="C666F094"/>
    <w:lvl w:ilvl="0" w:tplc="5F1A0622">
      <w:start w:val="1"/>
      <w:numFmt w:val="lowerLetter"/>
      <w:lvlText w:val="%1)"/>
      <w:lvlJc w:val="left"/>
      <w:pPr>
        <w:ind w:left="137"/>
      </w:pPr>
      <w:rPr>
        <w:rFonts w:ascii="Arial" w:hAnsi="Arial" w:cs="Arial" w:hint="default"/>
        <w:b/>
        <w:bCs/>
        <w:i w:val="0"/>
        <w:strike w:val="0"/>
        <w:dstrike w:val="0"/>
        <w:color w:val="000000"/>
        <w:sz w:val="20"/>
        <w:szCs w:val="26"/>
        <w:u w:val="none" w:color="000000"/>
        <w:bdr w:val="none" w:sz="0" w:space="0" w:color="auto"/>
        <w:shd w:val="clear" w:color="auto" w:fill="auto"/>
        <w:vertAlign w:val="baseline"/>
      </w:rPr>
    </w:lvl>
    <w:lvl w:ilvl="1" w:tplc="767E2980">
      <w:start w:val="1"/>
      <w:numFmt w:val="lowerLetter"/>
      <w:lvlText w:val="%2"/>
      <w:lvlJc w:val="left"/>
      <w:pPr>
        <w:ind w:left="10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2" w:tplc="A18052A0">
      <w:start w:val="1"/>
      <w:numFmt w:val="lowerRoman"/>
      <w:lvlText w:val="%3"/>
      <w:lvlJc w:val="left"/>
      <w:pPr>
        <w:ind w:left="18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3" w:tplc="3574F0BA">
      <w:start w:val="1"/>
      <w:numFmt w:val="decimal"/>
      <w:lvlText w:val="%4"/>
      <w:lvlJc w:val="left"/>
      <w:pPr>
        <w:ind w:left="25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4" w:tplc="DA6ACB18">
      <w:start w:val="1"/>
      <w:numFmt w:val="lowerLetter"/>
      <w:lvlText w:val="%5"/>
      <w:lvlJc w:val="left"/>
      <w:pPr>
        <w:ind w:left="324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5" w:tplc="D0C46970">
      <w:start w:val="1"/>
      <w:numFmt w:val="lowerRoman"/>
      <w:lvlText w:val="%6"/>
      <w:lvlJc w:val="left"/>
      <w:pPr>
        <w:ind w:left="396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6" w:tplc="7284B97E">
      <w:start w:val="1"/>
      <w:numFmt w:val="decimal"/>
      <w:lvlText w:val="%7"/>
      <w:lvlJc w:val="left"/>
      <w:pPr>
        <w:ind w:left="468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7" w:tplc="CD7229CE">
      <w:start w:val="1"/>
      <w:numFmt w:val="lowerLetter"/>
      <w:lvlText w:val="%8"/>
      <w:lvlJc w:val="left"/>
      <w:pPr>
        <w:ind w:left="540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lvl w:ilvl="8" w:tplc="509287C6">
      <w:start w:val="1"/>
      <w:numFmt w:val="lowerRoman"/>
      <w:lvlText w:val="%9"/>
      <w:lvlJc w:val="left"/>
      <w:pPr>
        <w:ind w:left="6120"/>
      </w:pPr>
      <w:rPr>
        <w:rFonts w:ascii="Arial" w:eastAsia="Arial" w:hAnsi="Arial" w:cs="Arial"/>
        <w:b/>
        <w:bCs/>
        <w:i w:val="0"/>
        <w:strike w:val="0"/>
        <w:dstrike w:val="0"/>
        <w:color w:val="000000"/>
        <w:sz w:val="26"/>
        <w:szCs w:val="26"/>
        <w:u w:val="none" w:color="000000"/>
        <w:bdr w:val="none" w:sz="0" w:space="0" w:color="auto"/>
        <w:shd w:val="clear" w:color="auto" w:fill="auto"/>
        <w:vertAlign w:val="baseline"/>
      </w:rPr>
    </w:lvl>
  </w:abstractNum>
  <w:abstractNum w:abstractNumId="86" w15:restartNumberingAfterBreak="0">
    <w:nsid w:val="524E5298"/>
    <w:multiLevelType w:val="hybridMultilevel"/>
    <w:tmpl w:val="0136EAB8"/>
    <w:lvl w:ilvl="0" w:tplc="7234BFEA">
      <w:start w:val="1"/>
      <w:numFmt w:val="decimal"/>
      <w:lvlText w:val="%1."/>
      <w:lvlJc w:val="left"/>
      <w:pPr>
        <w:ind w:left="1068" w:hanging="36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87" w15:restartNumberingAfterBreak="0">
    <w:nsid w:val="5320462B"/>
    <w:multiLevelType w:val="hybridMultilevel"/>
    <w:tmpl w:val="C19AA57C"/>
    <w:lvl w:ilvl="0" w:tplc="45C88014">
      <w:start w:val="1"/>
      <w:numFmt w:val="upperRoman"/>
      <w:lvlText w:val="%1."/>
      <w:lvlJc w:val="left"/>
      <w:pPr>
        <w:ind w:left="832"/>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869205B0">
      <w:start w:val="1"/>
      <w:numFmt w:val="upperRoman"/>
      <w:lvlText w:val="%2."/>
      <w:lvlJc w:val="left"/>
      <w:pPr>
        <w:ind w:left="1207" w:hanging="360"/>
      </w:pPr>
      <w:rPr>
        <w:rFonts w:ascii="Trebuchet MS" w:hAnsi="Trebuchet MS" w:cs="Trebuchet MS" w:hint="default"/>
        <w:b/>
        <w:bCs/>
        <w:i w:val="0"/>
        <w:strike w:val="0"/>
        <w:dstrike w:val="0"/>
        <w:color w:val="000000"/>
        <w:sz w:val="20"/>
        <w:szCs w:val="24"/>
        <w:u w:val="none" w:color="000000"/>
        <w:vertAlign w:val="baseline"/>
      </w:rPr>
    </w:lvl>
    <w:lvl w:ilvl="2" w:tplc="16147E1A">
      <w:start w:val="1"/>
      <w:numFmt w:val="lowerRoman"/>
      <w:lvlText w:val="%3"/>
      <w:lvlJc w:val="left"/>
      <w:pPr>
        <w:ind w:left="112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134ED6D0">
      <w:start w:val="1"/>
      <w:numFmt w:val="decimal"/>
      <w:lvlText w:val="%4"/>
      <w:lvlJc w:val="left"/>
      <w:pPr>
        <w:ind w:left="184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F389ABE">
      <w:start w:val="1"/>
      <w:numFmt w:val="lowerLetter"/>
      <w:lvlText w:val="%5"/>
      <w:lvlJc w:val="left"/>
      <w:pPr>
        <w:ind w:left="256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DD3837F6">
      <w:start w:val="1"/>
      <w:numFmt w:val="lowerRoman"/>
      <w:lvlText w:val="%6"/>
      <w:lvlJc w:val="left"/>
      <w:pPr>
        <w:ind w:left="328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59B2793E">
      <w:start w:val="1"/>
      <w:numFmt w:val="decimal"/>
      <w:lvlText w:val="%7"/>
      <w:lvlJc w:val="left"/>
      <w:pPr>
        <w:ind w:left="400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B1885D36">
      <w:start w:val="1"/>
      <w:numFmt w:val="lowerLetter"/>
      <w:lvlText w:val="%8"/>
      <w:lvlJc w:val="left"/>
      <w:pPr>
        <w:ind w:left="472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60C8572E">
      <w:start w:val="1"/>
      <w:numFmt w:val="lowerRoman"/>
      <w:lvlText w:val="%9"/>
      <w:lvlJc w:val="left"/>
      <w:pPr>
        <w:ind w:left="5445"/>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88" w15:restartNumberingAfterBreak="0">
    <w:nsid w:val="53A05638"/>
    <w:multiLevelType w:val="hybridMultilevel"/>
    <w:tmpl w:val="FFFFFFFF"/>
    <w:lvl w:ilvl="0" w:tplc="C8367518">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8A08F860">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082864F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D24AF1F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32A8E182">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FC5018E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A468BA42">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0FCE95C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FA26154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89" w15:restartNumberingAfterBreak="0">
    <w:nsid w:val="54550988"/>
    <w:multiLevelType w:val="hybridMultilevel"/>
    <w:tmpl w:val="AC64EAAE"/>
    <w:lvl w:ilvl="0" w:tplc="869205B0">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0" w15:restartNumberingAfterBreak="0">
    <w:nsid w:val="55BF56E8"/>
    <w:multiLevelType w:val="hybridMultilevel"/>
    <w:tmpl w:val="FFFFFFFF"/>
    <w:lvl w:ilvl="0" w:tplc="A6F20180">
      <w:start w:val="2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6AAC55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5F82934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3883DF4">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20AA88B2">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A31ACFF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306ADB8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F81A97F0">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36826514">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91" w15:restartNumberingAfterBreak="0">
    <w:nsid w:val="58B54D85"/>
    <w:multiLevelType w:val="hybridMultilevel"/>
    <w:tmpl w:val="4BE87D42"/>
    <w:lvl w:ilvl="0" w:tplc="45C88014">
      <w:start w:val="1"/>
      <w:numFmt w:val="upperRoman"/>
      <w:lvlText w:val="%1."/>
      <w:lvlJc w:val="left"/>
      <w:pPr>
        <w:ind w:left="688"/>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FFFFFFFF">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92" w15:restartNumberingAfterBreak="0">
    <w:nsid w:val="5A6D5740"/>
    <w:multiLevelType w:val="hybridMultilevel"/>
    <w:tmpl w:val="1D4A1DD0"/>
    <w:lvl w:ilvl="0" w:tplc="13668E16">
      <w:start w:val="1"/>
      <w:numFmt w:val="decimal"/>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93" w15:restartNumberingAfterBreak="0">
    <w:nsid w:val="5BE35556"/>
    <w:multiLevelType w:val="hybridMultilevel"/>
    <w:tmpl w:val="2BFA8C04"/>
    <w:lvl w:ilvl="0" w:tplc="869205B0">
      <w:start w:val="1"/>
      <w:numFmt w:val="upperRoman"/>
      <w:lvlText w:val="%1."/>
      <w:lvlJc w:val="left"/>
      <w:pPr>
        <w:ind w:left="720" w:hanging="360"/>
      </w:pPr>
      <w:rPr>
        <w:rFonts w:ascii="Trebuchet MS" w:hAnsi="Trebuchet MS" w:cs="Trebuchet MS" w:hint="default"/>
        <w:b/>
        <w:bCs/>
        <w:i w:val="0"/>
        <w:strike w:val="0"/>
        <w:dstrike w:val="0"/>
        <w:color w:val="000000"/>
        <w:sz w:val="20"/>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4" w15:restartNumberingAfterBreak="0">
    <w:nsid w:val="5C237C19"/>
    <w:multiLevelType w:val="hybridMultilevel"/>
    <w:tmpl w:val="FFFFFFFF"/>
    <w:lvl w:ilvl="0" w:tplc="3A16BC40">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7AA6A66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30B4BA6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FDFE8CA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2A850AA">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EA1E2CA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9E488A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60EC4B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59BC176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95" w15:restartNumberingAfterBreak="0">
    <w:nsid w:val="5DD91BBF"/>
    <w:multiLevelType w:val="hybridMultilevel"/>
    <w:tmpl w:val="C576C8AA"/>
    <w:lvl w:ilvl="0" w:tplc="45C88014">
      <w:start w:val="1"/>
      <w:numFmt w:val="upperRoman"/>
      <w:lvlText w:val="%1."/>
      <w:lvlJc w:val="left"/>
      <w:pPr>
        <w:ind w:left="515"/>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7480AF62">
      <w:start w:val="1"/>
      <w:numFmt w:val="lowerLetter"/>
      <w:lvlText w:val="%2"/>
      <w:lvlJc w:val="left"/>
      <w:pPr>
        <w:ind w:left="115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DAB4ECEA">
      <w:start w:val="1"/>
      <w:numFmt w:val="lowerRoman"/>
      <w:lvlText w:val="%3"/>
      <w:lvlJc w:val="left"/>
      <w:pPr>
        <w:ind w:left="187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7396C20A">
      <w:start w:val="1"/>
      <w:numFmt w:val="decimal"/>
      <w:lvlText w:val="%4"/>
      <w:lvlJc w:val="left"/>
      <w:pPr>
        <w:ind w:left="259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92380EEC">
      <w:start w:val="1"/>
      <w:numFmt w:val="lowerLetter"/>
      <w:lvlText w:val="%5"/>
      <w:lvlJc w:val="left"/>
      <w:pPr>
        <w:ind w:left="331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260DA7E">
      <w:start w:val="1"/>
      <w:numFmt w:val="lowerRoman"/>
      <w:lvlText w:val="%6"/>
      <w:lvlJc w:val="left"/>
      <w:pPr>
        <w:ind w:left="403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A24A9BF2">
      <w:start w:val="1"/>
      <w:numFmt w:val="decimal"/>
      <w:lvlText w:val="%7"/>
      <w:lvlJc w:val="left"/>
      <w:pPr>
        <w:ind w:left="475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0D86392A">
      <w:start w:val="1"/>
      <w:numFmt w:val="lowerLetter"/>
      <w:lvlText w:val="%8"/>
      <w:lvlJc w:val="left"/>
      <w:pPr>
        <w:ind w:left="547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4C26B582">
      <w:start w:val="1"/>
      <w:numFmt w:val="lowerRoman"/>
      <w:lvlText w:val="%9"/>
      <w:lvlJc w:val="left"/>
      <w:pPr>
        <w:ind w:left="6191"/>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96" w15:restartNumberingAfterBreak="0">
    <w:nsid w:val="5E6522F2"/>
    <w:multiLevelType w:val="hybridMultilevel"/>
    <w:tmpl w:val="FFFFFFFF"/>
    <w:lvl w:ilvl="0" w:tplc="8DB4AC4A">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CAACD14">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35DEEC4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E15407E4">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02E8CE00">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4FF03A4A">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A6027F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04C8C92">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5FE0B0C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97" w15:restartNumberingAfterBreak="0">
    <w:nsid w:val="5F7F4D43"/>
    <w:multiLevelType w:val="hybridMultilevel"/>
    <w:tmpl w:val="BD529510"/>
    <w:lvl w:ilvl="0" w:tplc="45C88014">
      <w:start w:val="1"/>
      <w:numFmt w:val="upperRoman"/>
      <w:lvlText w:val="%1."/>
      <w:lvlJc w:val="left"/>
      <w:pPr>
        <w:ind w:left="127"/>
      </w:pPr>
      <w:rPr>
        <w:rFonts w:ascii="Arial" w:hAnsi="Arial" w:cs="Arial" w:hint="default"/>
        <w:b/>
        <w:bCs/>
        <w:i w:val="0"/>
        <w:strike w:val="0"/>
        <w:dstrike w:val="0"/>
        <w:color w:val="000000"/>
        <w:sz w:val="20"/>
        <w:szCs w:val="24"/>
        <w:u w:val="none" w:color="000000"/>
        <w:bdr w:val="none" w:sz="0" w:space="0" w:color="auto"/>
        <w:shd w:val="clear" w:color="auto" w:fill="auto"/>
        <w:vertAlign w:val="baseline"/>
      </w:rPr>
    </w:lvl>
    <w:lvl w:ilvl="1" w:tplc="FFFFFFFF">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98" w15:restartNumberingAfterBreak="0">
    <w:nsid w:val="601F46EB"/>
    <w:multiLevelType w:val="hybridMultilevel"/>
    <w:tmpl w:val="FFFFFFFF"/>
    <w:lvl w:ilvl="0" w:tplc="EDF0BB0A">
      <w:start w:val="13"/>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63892C2">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A0685EAE">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8F264DB4">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7CD6A590">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5DE455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324AA3F0">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B21A078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F2CAC8E6">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99" w15:restartNumberingAfterBreak="0">
    <w:nsid w:val="609F737F"/>
    <w:multiLevelType w:val="hybridMultilevel"/>
    <w:tmpl w:val="FFFFFFFF"/>
    <w:lvl w:ilvl="0" w:tplc="31B2EE66">
      <w:start w:val="5"/>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63A29FE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8C74C15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A93CF19E">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D96CAD0">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271000A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9132AD9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D3A8568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08D6658A">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00" w15:restartNumberingAfterBreak="0">
    <w:nsid w:val="621C0F06"/>
    <w:multiLevelType w:val="hybridMultilevel"/>
    <w:tmpl w:val="1A30172E"/>
    <w:lvl w:ilvl="0" w:tplc="7F0E9FC0">
      <w:start w:val="1"/>
      <w:numFmt w:val="lowerRoman"/>
      <w:lvlText w:val="%1)"/>
      <w:lvlJc w:val="left"/>
      <w:pPr>
        <w:ind w:left="1638" w:hanging="93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01" w15:restartNumberingAfterBreak="0">
    <w:nsid w:val="625A6E64"/>
    <w:multiLevelType w:val="hybridMultilevel"/>
    <w:tmpl w:val="FFFFFFFF"/>
    <w:lvl w:ilvl="0" w:tplc="932697F6">
      <w:start w:val="10"/>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1EF2859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4EAA1D8C">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FAE8273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D8442EC2">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C9E20E2">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EF4018C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00C325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88825A4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02" w15:restartNumberingAfterBreak="0">
    <w:nsid w:val="62E83205"/>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03" w15:restartNumberingAfterBreak="0">
    <w:nsid w:val="63632B7D"/>
    <w:multiLevelType w:val="hybridMultilevel"/>
    <w:tmpl w:val="FFFFFFFF"/>
    <w:lvl w:ilvl="0" w:tplc="3BD48AC6">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44E8FA8E">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B7F49348">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DBDC4552">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C5F27AA8">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0AD83D3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EF10DCF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7E76E55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1D04A266">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04" w15:restartNumberingAfterBreak="0">
    <w:nsid w:val="63725D7E"/>
    <w:multiLevelType w:val="hybridMultilevel"/>
    <w:tmpl w:val="DA64B71E"/>
    <w:lvl w:ilvl="0" w:tplc="E4C64330">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5" w15:restartNumberingAfterBreak="0">
    <w:nsid w:val="64420A71"/>
    <w:multiLevelType w:val="hybridMultilevel"/>
    <w:tmpl w:val="A8E8683E"/>
    <w:lvl w:ilvl="0" w:tplc="BB08CC9A">
      <w:start w:val="11"/>
      <w:numFmt w:val="upperRoman"/>
      <w:lvlText w:val="%1."/>
      <w:lvlJc w:val="left"/>
      <w:pPr>
        <w:ind w:left="1788"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6" w15:restartNumberingAfterBreak="0">
    <w:nsid w:val="6451502C"/>
    <w:multiLevelType w:val="hybridMultilevel"/>
    <w:tmpl w:val="FFFFFFFF"/>
    <w:lvl w:ilvl="0" w:tplc="BD865CE8">
      <w:start w:val="13"/>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96F6C37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1520F58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ADC26956">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8E40A098">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4DA87E84">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FC280CFE">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E73CA03A">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3127A4A">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07" w15:restartNumberingAfterBreak="0">
    <w:nsid w:val="650F2B21"/>
    <w:multiLevelType w:val="hybridMultilevel"/>
    <w:tmpl w:val="FFFFFFFF"/>
    <w:lvl w:ilvl="0" w:tplc="9A7E423E">
      <w:start w:val="22"/>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90627464">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8AA662BA">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0E44CAE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12EEA2A6">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5978D97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4EDEFC6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0C101AF2">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FE081628">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08"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9" w15:restartNumberingAfterBreak="0">
    <w:nsid w:val="66A81578"/>
    <w:multiLevelType w:val="hybridMultilevel"/>
    <w:tmpl w:val="FFFFFFFF"/>
    <w:lvl w:ilvl="0" w:tplc="ACC454BA">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D25C9FA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1430FAE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34D059B0">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33C0A94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3AE6F07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110E41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45761E32">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EBCEF0E0">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10" w15:restartNumberingAfterBreak="0">
    <w:nsid w:val="6854210D"/>
    <w:multiLevelType w:val="hybridMultilevel"/>
    <w:tmpl w:val="719C0C96"/>
    <w:lvl w:ilvl="0" w:tplc="6F78B286">
      <w:start w:val="1"/>
      <w:numFmt w:val="upperRoman"/>
      <w:lvlText w:val="%1."/>
      <w:lvlJc w:val="left"/>
      <w:pPr>
        <w:ind w:left="735" w:hanging="720"/>
      </w:pPr>
      <w:rPr>
        <w:rFonts w:hint="default"/>
        <w:b/>
      </w:rPr>
    </w:lvl>
    <w:lvl w:ilvl="1" w:tplc="080A0019" w:tentative="1">
      <w:start w:val="1"/>
      <w:numFmt w:val="lowerLetter"/>
      <w:lvlText w:val="%2."/>
      <w:lvlJc w:val="left"/>
      <w:pPr>
        <w:ind w:left="1095" w:hanging="360"/>
      </w:pPr>
    </w:lvl>
    <w:lvl w:ilvl="2" w:tplc="080A001B" w:tentative="1">
      <w:start w:val="1"/>
      <w:numFmt w:val="lowerRoman"/>
      <w:lvlText w:val="%3."/>
      <w:lvlJc w:val="right"/>
      <w:pPr>
        <w:ind w:left="1815" w:hanging="180"/>
      </w:pPr>
    </w:lvl>
    <w:lvl w:ilvl="3" w:tplc="080A000F" w:tentative="1">
      <w:start w:val="1"/>
      <w:numFmt w:val="decimal"/>
      <w:lvlText w:val="%4."/>
      <w:lvlJc w:val="left"/>
      <w:pPr>
        <w:ind w:left="2535" w:hanging="360"/>
      </w:pPr>
    </w:lvl>
    <w:lvl w:ilvl="4" w:tplc="080A0019" w:tentative="1">
      <w:start w:val="1"/>
      <w:numFmt w:val="lowerLetter"/>
      <w:lvlText w:val="%5."/>
      <w:lvlJc w:val="left"/>
      <w:pPr>
        <w:ind w:left="3255" w:hanging="360"/>
      </w:pPr>
    </w:lvl>
    <w:lvl w:ilvl="5" w:tplc="080A001B" w:tentative="1">
      <w:start w:val="1"/>
      <w:numFmt w:val="lowerRoman"/>
      <w:lvlText w:val="%6."/>
      <w:lvlJc w:val="right"/>
      <w:pPr>
        <w:ind w:left="3975" w:hanging="180"/>
      </w:pPr>
    </w:lvl>
    <w:lvl w:ilvl="6" w:tplc="080A000F" w:tentative="1">
      <w:start w:val="1"/>
      <w:numFmt w:val="decimal"/>
      <w:lvlText w:val="%7."/>
      <w:lvlJc w:val="left"/>
      <w:pPr>
        <w:ind w:left="4695" w:hanging="360"/>
      </w:pPr>
    </w:lvl>
    <w:lvl w:ilvl="7" w:tplc="080A0019" w:tentative="1">
      <w:start w:val="1"/>
      <w:numFmt w:val="lowerLetter"/>
      <w:lvlText w:val="%8."/>
      <w:lvlJc w:val="left"/>
      <w:pPr>
        <w:ind w:left="5415" w:hanging="360"/>
      </w:pPr>
    </w:lvl>
    <w:lvl w:ilvl="8" w:tplc="080A001B" w:tentative="1">
      <w:start w:val="1"/>
      <w:numFmt w:val="lowerRoman"/>
      <w:lvlText w:val="%9."/>
      <w:lvlJc w:val="right"/>
      <w:pPr>
        <w:ind w:left="6135" w:hanging="180"/>
      </w:pPr>
    </w:lvl>
  </w:abstractNum>
  <w:abstractNum w:abstractNumId="111" w15:restartNumberingAfterBreak="0">
    <w:nsid w:val="6890345E"/>
    <w:multiLevelType w:val="hybridMultilevel"/>
    <w:tmpl w:val="DB92FE28"/>
    <w:lvl w:ilvl="0" w:tplc="76BEE588">
      <w:start w:val="13"/>
      <w:numFmt w:val="upperRoman"/>
      <w:lvlText w:val="%1."/>
      <w:lvlJc w:val="left"/>
      <w:pPr>
        <w:ind w:left="0"/>
      </w:pPr>
      <w:rPr>
        <w:rFonts w:ascii="Verdana" w:hAnsi="Verdana" w:cs="Verdana" w:hint="default"/>
        <w:b w:val="0"/>
        <w:i w:val="0"/>
        <w:strike w:val="0"/>
        <w:dstrike w:val="0"/>
        <w:color w:val="000000"/>
        <w:sz w:val="20"/>
        <w:szCs w:val="20"/>
        <w:u w:val="none" w:color="000000"/>
        <w:bdr w:val="none" w:sz="0" w:space="0" w:color="auto"/>
        <w:shd w:val="clear" w:color="auto" w:fill="auto"/>
        <w:vertAlign w:val="baseline"/>
      </w:rPr>
    </w:lvl>
    <w:lvl w:ilvl="1" w:tplc="801AE7E8">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63688B6">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8F095B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D6E9A1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0921F2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730ABD10">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8564C218">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A5E33B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12" w15:restartNumberingAfterBreak="0">
    <w:nsid w:val="69D26877"/>
    <w:multiLevelType w:val="hybridMultilevel"/>
    <w:tmpl w:val="FFFFFFFF"/>
    <w:lvl w:ilvl="0" w:tplc="B39E5174">
      <w:start w:val="1"/>
      <w:numFmt w:val="bullet"/>
      <w:lvlText w:val="•"/>
      <w:lvlJc w:val="left"/>
      <w:pPr>
        <w:ind w:left="862"/>
      </w:pPr>
      <w:rPr>
        <w:rFonts w:ascii="Arial" w:eastAsia="Arial" w:hAnsi="Arial" w:cs="Arial"/>
        <w:b w:val="0"/>
        <w:i w:val="0"/>
        <w:strike w:val="0"/>
        <w:dstrike w:val="0"/>
        <w:color w:val="212529"/>
        <w:sz w:val="20"/>
        <w:szCs w:val="20"/>
        <w:u w:val="none" w:color="000000"/>
        <w:bdr w:val="none" w:sz="0" w:space="0" w:color="auto"/>
        <w:shd w:val="clear" w:color="auto" w:fill="auto"/>
        <w:vertAlign w:val="baseline"/>
      </w:rPr>
    </w:lvl>
    <w:lvl w:ilvl="1" w:tplc="619C033C">
      <w:start w:val="1"/>
      <w:numFmt w:val="bullet"/>
      <w:lvlText w:val="o"/>
      <w:lvlJc w:val="left"/>
      <w:pPr>
        <w:ind w:left="144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lvl w:ilvl="2" w:tplc="95E2A89C">
      <w:start w:val="1"/>
      <w:numFmt w:val="bullet"/>
      <w:lvlText w:val="▪"/>
      <w:lvlJc w:val="left"/>
      <w:pPr>
        <w:ind w:left="216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lvl w:ilvl="3" w:tplc="14D0C078">
      <w:start w:val="1"/>
      <w:numFmt w:val="bullet"/>
      <w:lvlText w:val="•"/>
      <w:lvlJc w:val="left"/>
      <w:pPr>
        <w:ind w:left="2880"/>
      </w:pPr>
      <w:rPr>
        <w:rFonts w:ascii="Arial" w:eastAsia="Arial" w:hAnsi="Arial" w:cs="Arial"/>
        <w:b w:val="0"/>
        <w:i w:val="0"/>
        <w:strike w:val="0"/>
        <w:dstrike w:val="0"/>
        <w:color w:val="212529"/>
        <w:sz w:val="20"/>
        <w:szCs w:val="20"/>
        <w:u w:val="none" w:color="000000"/>
        <w:bdr w:val="none" w:sz="0" w:space="0" w:color="auto"/>
        <w:shd w:val="clear" w:color="auto" w:fill="auto"/>
        <w:vertAlign w:val="baseline"/>
      </w:rPr>
    </w:lvl>
    <w:lvl w:ilvl="4" w:tplc="4D7E39C2">
      <w:start w:val="1"/>
      <w:numFmt w:val="bullet"/>
      <w:lvlText w:val="o"/>
      <w:lvlJc w:val="left"/>
      <w:pPr>
        <w:ind w:left="360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lvl w:ilvl="5" w:tplc="109EE75C">
      <w:start w:val="1"/>
      <w:numFmt w:val="bullet"/>
      <w:lvlText w:val="▪"/>
      <w:lvlJc w:val="left"/>
      <w:pPr>
        <w:ind w:left="432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lvl w:ilvl="6" w:tplc="33107EE6">
      <w:start w:val="1"/>
      <w:numFmt w:val="bullet"/>
      <w:lvlText w:val="•"/>
      <w:lvlJc w:val="left"/>
      <w:pPr>
        <w:ind w:left="5040"/>
      </w:pPr>
      <w:rPr>
        <w:rFonts w:ascii="Arial" w:eastAsia="Arial" w:hAnsi="Arial" w:cs="Arial"/>
        <w:b w:val="0"/>
        <w:i w:val="0"/>
        <w:strike w:val="0"/>
        <w:dstrike w:val="0"/>
        <w:color w:val="212529"/>
        <w:sz w:val="20"/>
        <w:szCs w:val="20"/>
        <w:u w:val="none" w:color="000000"/>
        <w:bdr w:val="none" w:sz="0" w:space="0" w:color="auto"/>
        <w:shd w:val="clear" w:color="auto" w:fill="auto"/>
        <w:vertAlign w:val="baseline"/>
      </w:rPr>
    </w:lvl>
    <w:lvl w:ilvl="7" w:tplc="CDF85C8E">
      <w:start w:val="1"/>
      <w:numFmt w:val="bullet"/>
      <w:lvlText w:val="o"/>
      <w:lvlJc w:val="left"/>
      <w:pPr>
        <w:ind w:left="576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lvl w:ilvl="8" w:tplc="254A1532">
      <w:start w:val="1"/>
      <w:numFmt w:val="bullet"/>
      <w:lvlText w:val="▪"/>
      <w:lvlJc w:val="left"/>
      <w:pPr>
        <w:ind w:left="6480"/>
      </w:pPr>
      <w:rPr>
        <w:rFonts w:ascii="Segoe UI Symbol" w:eastAsia="Segoe UI Symbol" w:hAnsi="Segoe UI Symbol" w:cs="Segoe UI Symbol"/>
        <w:b w:val="0"/>
        <w:i w:val="0"/>
        <w:strike w:val="0"/>
        <w:dstrike w:val="0"/>
        <w:color w:val="212529"/>
        <w:sz w:val="20"/>
        <w:szCs w:val="20"/>
        <w:u w:val="none" w:color="000000"/>
        <w:bdr w:val="none" w:sz="0" w:space="0" w:color="auto"/>
        <w:shd w:val="clear" w:color="auto" w:fill="auto"/>
        <w:vertAlign w:val="baseline"/>
      </w:rPr>
    </w:lvl>
  </w:abstractNum>
  <w:abstractNum w:abstractNumId="113" w15:restartNumberingAfterBreak="0">
    <w:nsid w:val="6A674D1F"/>
    <w:multiLevelType w:val="hybridMultilevel"/>
    <w:tmpl w:val="FFFFFFFF"/>
    <w:lvl w:ilvl="0" w:tplc="DD9073FA">
      <w:start w:val="6"/>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5262210">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2D325BD4">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40067C36">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BBAA1CCC">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18C4901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72861970">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435EC54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8D52FC8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14" w15:restartNumberingAfterBreak="0">
    <w:nsid w:val="6BDB096B"/>
    <w:multiLevelType w:val="hybridMultilevel"/>
    <w:tmpl w:val="FFFFFFFF"/>
    <w:lvl w:ilvl="0" w:tplc="013CDB10">
      <w:start w:val="1"/>
      <w:numFmt w:val="upperRoman"/>
      <w:lvlText w:val="%1."/>
      <w:lvlJc w:val="left"/>
      <w:pPr>
        <w:ind w:left="1007"/>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1" w:tplc="8F2ADC9E">
      <w:start w:val="1"/>
      <w:numFmt w:val="lowerLetter"/>
      <w:lvlText w:val="%2"/>
      <w:lvlJc w:val="left"/>
      <w:pPr>
        <w:ind w:left="10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2" w:tplc="365E41CE">
      <w:start w:val="1"/>
      <w:numFmt w:val="lowerRoman"/>
      <w:lvlText w:val="%3"/>
      <w:lvlJc w:val="left"/>
      <w:pPr>
        <w:ind w:left="18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3" w:tplc="CBDC2A68">
      <w:start w:val="1"/>
      <w:numFmt w:val="decimal"/>
      <w:lvlText w:val="%4"/>
      <w:lvlJc w:val="left"/>
      <w:pPr>
        <w:ind w:left="25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4" w:tplc="5AF25126">
      <w:start w:val="1"/>
      <w:numFmt w:val="lowerLetter"/>
      <w:lvlText w:val="%5"/>
      <w:lvlJc w:val="left"/>
      <w:pPr>
        <w:ind w:left="324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5" w:tplc="9C9C8386">
      <w:start w:val="1"/>
      <w:numFmt w:val="lowerRoman"/>
      <w:lvlText w:val="%6"/>
      <w:lvlJc w:val="left"/>
      <w:pPr>
        <w:ind w:left="396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6" w:tplc="35E04F32">
      <w:start w:val="1"/>
      <w:numFmt w:val="decimal"/>
      <w:lvlText w:val="%7"/>
      <w:lvlJc w:val="left"/>
      <w:pPr>
        <w:ind w:left="468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7" w:tplc="C9B602C4">
      <w:start w:val="1"/>
      <w:numFmt w:val="lowerLetter"/>
      <w:lvlText w:val="%8"/>
      <w:lvlJc w:val="left"/>
      <w:pPr>
        <w:ind w:left="540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lvl w:ilvl="8" w:tplc="53A67B9A">
      <w:start w:val="1"/>
      <w:numFmt w:val="lowerRoman"/>
      <w:lvlText w:val="%9"/>
      <w:lvlJc w:val="left"/>
      <w:pPr>
        <w:ind w:left="6120"/>
      </w:pPr>
      <w:rPr>
        <w:rFonts w:ascii="Arial" w:eastAsia="Arial" w:hAnsi="Arial" w:cs="Arial"/>
        <w:b w:val="0"/>
        <w:i w:val="0"/>
        <w:strike w:val="0"/>
        <w:dstrike w:val="0"/>
        <w:color w:val="000000"/>
        <w:sz w:val="26"/>
        <w:szCs w:val="26"/>
        <w:u w:val="none" w:color="000000"/>
        <w:bdr w:val="none" w:sz="0" w:space="0" w:color="auto"/>
        <w:shd w:val="clear" w:color="auto" w:fill="auto"/>
        <w:vertAlign w:val="baseline"/>
      </w:rPr>
    </w:lvl>
  </w:abstractNum>
  <w:abstractNum w:abstractNumId="115" w15:restartNumberingAfterBreak="0">
    <w:nsid w:val="6FA861E1"/>
    <w:multiLevelType w:val="hybridMultilevel"/>
    <w:tmpl w:val="68BC7948"/>
    <w:lvl w:ilvl="0" w:tplc="F5D48432">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30F6434"/>
    <w:multiLevelType w:val="hybridMultilevel"/>
    <w:tmpl w:val="2962DC8E"/>
    <w:lvl w:ilvl="0" w:tplc="ED4CFFA4">
      <w:start w:val="1"/>
      <w:numFmt w:val="lowerLetter"/>
      <w:lvlText w:val="%1)"/>
      <w:lvlJc w:val="left"/>
      <w:pPr>
        <w:ind w:left="1428" w:hanging="360"/>
      </w:pPr>
      <w:rPr>
        <w:b/>
        <w:bCs w:val="0"/>
      </w:rPr>
    </w:lvl>
    <w:lvl w:ilvl="1" w:tplc="080A0019" w:tentative="1">
      <w:start w:val="1"/>
      <w:numFmt w:val="lowerLetter"/>
      <w:lvlText w:val="%2."/>
      <w:lvlJc w:val="left"/>
      <w:pPr>
        <w:ind w:left="2148" w:hanging="360"/>
      </w:pPr>
    </w:lvl>
    <w:lvl w:ilvl="2" w:tplc="080A001B" w:tentative="1">
      <w:start w:val="1"/>
      <w:numFmt w:val="lowerRoman"/>
      <w:lvlText w:val="%3."/>
      <w:lvlJc w:val="right"/>
      <w:pPr>
        <w:ind w:left="2868" w:hanging="180"/>
      </w:pPr>
    </w:lvl>
    <w:lvl w:ilvl="3" w:tplc="080A000F" w:tentative="1">
      <w:start w:val="1"/>
      <w:numFmt w:val="decimal"/>
      <w:lvlText w:val="%4."/>
      <w:lvlJc w:val="left"/>
      <w:pPr>
        <w:ind w:left="3588" w:hanging="360"/>
      </w:pPr>
    </w:lvl>
    <w:lvl w:ilvl="4" w:tplc="080A0019" w:tentative="1">
      <w:start w:val="1"/>
      <w:numFmt w:val="lowerLetter"/>
      <w:lvlText w:val="%5."/>
      <w:lvlJc w:val="left"/>
      <w:pPr>
        <w:ind w:left="4308" w:hanging="360"/>
      </w:pPr>
    </w:lvl>
    <w:lvl w:ilvl="5" w:tplc="080A001B" w:tentative="1">
      <w:start w:val="1"/>
      <w:numFmt w:val="lowerRoman"/>
      <w:lvlText w:val="%6."/>
      <w:lvlJc w:val="right"/>
      <w:pPr>
        <w:ind w:left="5028" w:hanging="180"/>
      </w:pPr>
    </w:lvl>
    <w:lvl w:ilvl="6" w:tplc="080A000F" w:tentative="1">
      <w:start w:val="1"/>
      <w:numFmt w:val="decimal"/>
      <w:lvlText w:val="%7."/>
      <w:lvlJc w:val="left"/>
      <w:pPr>
        <w:ind w:left="5748" w:hanging="360"/>
      </w:pPr>
    </w:lvl>
    <w:lvl w:ilvl="7" w:tplc="080A0019" w:tentative="1">
      <w:start w:val="1"/>
      <w:numFmt w:val="lowerLetter"/>
      <w:lvlText w:val="%8."/>
      <w:lvlJc w:val="left"/>
      <w:pPr>
        <w:ind w:left="6468" w:hanging="360"/>
      </w:pPr>
    </w:lvl>
    <w:lvl w:ilvl="8" w:tplc="080A001B" w:tentative="1">
      <w:start w:val="1"/>
      <w:numFmt w:val="lowerRoman"/>
      <w:lvlText w:val="%9."/>
      <w:lvlJc w:val="right"/>
      <w:pPr>
        <w:ind w:left="7188" w:hanging="180"/>
      </w:pPr>
    </w:lvl>
  </w:abstractNum>
  <w:abstractNum w:abstractNumId="117" w15:restartNumberingAfterBreak="0">
    <w:nsid w:val="73460C19"/>
    <w:multiLevelType w:val="hybridMultilevel"/>
    <w:tmpl w:val="64E04014"/>
    <w:lvl w:ilvl="0" w:tplc="FC1A39C6">
      <w:start w:val="1"/>
      <w:numFmt w:val="decimal"/>
      <w:lvlText w:val="%1)"/>
      <w:lvlJc w:val="left"/>
      <w:pPr>
        <w:ind w:left="720" w:hanging="360"/>
      </w:pPr>
      <w:rPr>
        <w:rFonts w:ascii="Abadi" w:hAnsi="Abadi" w:cs="Cambria" w:hint="default"/>
        <w:b w:val="0"/>
        <w:bCs w:val="0"/>
        <w:i w:val="0"/>
        <w:iCs w:val="0"/>
        <w:spacing w:val="0"/>
        <w:w w:val="83"/>
        <w:sz w:val="20"/>
        <w:szCs w:val="26"/>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8" w15:restartNumberingAfterBreak="0">
    <w:nsid w:val="740241D7"/>
    <w:multiLevelType w:val="hybridMultilevel"/>
    <w:tmpl w:val="FFFFFFFF"/>
    <w:lvl w:ilvl="0" w:tplc="33CA2A96">
      <w:start w:val="1"/>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285A73EA">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47F6395A">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80942AF8">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D48800E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2CC6233E">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8228BC64">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C5D407D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C612264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19" w15:restartNumberingAfterBreak="0">
    <w:nsid w:val="77B0622E"/>
    <w:multiLevelType w:val="hybridMultilevel"/>
    <w:tmpl w:val="FFFFFFFF"/>
    <w:lvl w:ilvl="0" w:tplc="7E3053C8">
      <w:start w:val="18"/>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88CC5DAC">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F86CF28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1BDC2C7C">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119A9EA8">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44C0EC20">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1A663BE6">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33B8760E">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8C7E324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20" w15:restartNumberingAfterBreak="0">
    <w:nsid w:val="7B083681"/>
    <w:multiLevelType w:val="hybridMultilevel"/>
    <w:tmpl w:val="FFFFFFFF"/>
    <w:lvl w:ilvl="0" w:tplc="7D78FEB2">
      <w:start w:val="10"/>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A5542C86">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618CA9E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F63CEB5A">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69C0464E">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7BF84CB8">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A3A8F92C">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CC0EA874">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D6BA50DC">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abstractNum w:abstractNumId="121" w15:restartNumberingAfterBreak="0">
    <w:nsid w:val="7C0E0267"/>
    <w:multiLevelType w:val="hybridMultilevel"/>
    <w:tmpl w:val="C1E4CF44"/>
    <w:lvl w:ilvl="0" w:tplc="E8C8C4BC">
      <w:start w:val="1"/>
      <w:numFmt w:val="upperRoman"/>
      <w:lvlText w:val="%1."/>
      <w:lvlJc w:val="right"/>
      <w:pPr>
        <w:ind w:left="1080"/>
      </w:pPr>
      <w:rPr>
        <w:rFonts w:hint="default"/>
        <w:b w:val="0"/>
        <w:i w:val="0"/>
        <w:strike w:val="0"/>
        <w:dstrike w:val="0"/>
        <w:color w:val="000000"/>
        <w:sz w:val="20"/>
        <w:szCs w:val="26"/>
        <w:u w:val="none" w:color="000000"/>
        <w:bdr w:val="none" w:sz="0" w:space="0" w:color="auto"/>
        <w:shd w:val="clear" w:color="auto" w:fill="auto"/>
        <w:vertAlign w:val="baseline"/>
      </w:rPr>
    </w:lvl>
    <w:lvl w:ilvl="1" w:tplc="FFFFFFFF">
      <w:start w:val="1"/>
      <w:numFmt w:val="lowerLetter"/>
      <w:lvlText w:val="%2"/>
      <w:lvlJc w:val="left"/>
      <w:pPr>
        <w:ind w:left="14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FFFFFFFF">
      <w:start w:val="1"/>
      <w:numFmt w:val="lowerRoman"/>
      <w:lvlText w:val="%3"/>
      <w:lvlJc w:val="left"/>
      <w:pPr>
        <w:ind w:left="21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FFFFFFFF">
      <w:start w:val="1"/>
      <w:numFmt w:val="decimal"/>
      <w:lvlText w:val="%4"/>
      <w:lvlJc w:val="left"/>
      <w:pPr>
        <w:ind w:left="28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FFFFFFFF">
      <w:start w:val="1"/>
      <w:numFmt w:val="lowerLetter"/>
      <w:lvlText w:val="%5"/>
      <w:lvlJc w:val="left"/>
      <w:pPr>
        <w:ind w:left="36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FFFFFFFF">
      <w:start w:val="1"/>
      <w:numFmt w:val="lowerRoman"/>
      <w:lvlText w:val="%6"/>
      <w:lvlJc w:val="left"/>
      <w:pPr>
        <w:ind w:left="43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FFFFFFFF">
      <w:start w:val="1"/>
      <w:numFmt w:val="decimal"/>
      <w:lvlText w:val="%7"/>
      <w:lvlJc w:val="left"/>
      <w:pPr>
        <w:ind w:left="50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FFFFFFFF">
      <w:start w:val="1"/>
      <w:numFmt w:val="lowerLetter"/>
      <w:lvlText w:val="%8"/>
      <w:lvlJc w:val="left"/>
      <w:pPr>
        <w:ind w:left="57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FFFFFFFF">
      <w:start w:val="1"/>
      <w:numFmt w:val="lowerRoman"/>
      <w:lvlText w:val="%9"/>
      <w:lvlJc w:val="left"/>
      <w:pPr>
        <w:ind w:left="64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122" w15:restartNumberingAfterBreak="0">
    <w:nsid w:val="7D880FBB"/>
    <w:multiLevelType w:val="hybridMultilevel"/>
    <w:tmpl w:val="FFFFFFFF"/>
    <w:lvl w:ilvl="0" w:tplc="74B6F99E">
      <w:start w:val="2"/>
      <w:numFmt w:val="decimal"/>
      <w:lvlText w:val="%1."/>
      <w:lvlJc w:val="left"/>
      <w:pPr>
        <w:ind w:left="249"/>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1" w:tplc="D70ECFF2">
      <w:start w:val="1"/>
      <w:numFmt w:val="decimal"/>
      <w:lvlText w:val="%2."/>
      <w:lvlJc w:val="left"/>
      <w:pPr>
        <w:ind w:left="7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2" w:tplc="073A84F2">
      <w:start w:val="1"/>
      <w:numFmt w:val="lowerRoman"/>
      <w:lvlText w:val="%3"/>
      <w:lvlJc w:val="left"/>
      <w:pPr>
        <w:ind w:left="14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3" w:tplc="D74E788A">
      <w:start w:val="1"/>
      <w:numFmt w:val="decimal"/>
      <w:lvlText w:val="%4"/>
      <w:lvlJc w:val="left"/>
      <w:pPr>
        <w:ind w:left="21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4" w:tplc="B186F6FA">
      <w:start w:val="1"/>
      <w:numFmt w:val="lowerLetter"/>
      <w:lvlText w:val="%5"/>
      <w:lvlJc w:val="left"/>
      <w:pPr>
        <w:ind w:left="288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5" w:tplc="A112BA94">
      <w:start w:val="1"/>
      <w:numFmt w:val="lowerRoman"/>
      <w:lvlText w:val="%6"/>
      <w:lvlJc w:val="left"/>
      <w:pPr>
        <w:ind w:left="360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6" w:tplc="464C308E">
      <w:start w:val="1"/>
      <w:numFmt w:val="decimal"/>
      <w:lvlText w:val="%7"/>
      <w:lvlJc w:val="left"/>
      <w:pPr>
        <w:ind w:left="432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7" w:tplc="365A9B90">
      <w:start w:val="1"/>
      <w:numFmt w:val="lowerLetter"/>
      <w:lvlText w:val="%8"/>
      <w:lvlJc w:val="left"/>
      <w:pPr>
        <w:ind w:left="504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lvl w:ilvl="8" w:tplc="921E2848">
      <w:start w:val="1"/>
      <w:numFmt w:val="lowerRoman"/>
      <w:lvlText w:val="%9"/>
      <w:lvlJc w:val="left"/>
      <w:pPr>
        <w:ind w:left="5760"/>
      </w:pPr>
      <w:rPr>
        <w:rFonts w:ascii="Amasis MT Pro" w:eastAsia="Amasis MT Pro" w:hAnsi="Amasis MT Pro" w:cs="Amasis MT Pro"/>
        <w:b w:val="0"/>
        <w:i w:val="0"/>
        <w:strike w:val="0"/>
        <w:dstrike w:val="0"/>
        <w:color w:val="000000"/>
        <w:sz w:val="26"/>
        <w:szCs w:val="26"/>
        <w:u w:val="none" w:color="000000"/>
        <w:bdr w:val="none" w:sz="0" w:space="0" w:color="auto"/>
        <w:shd w:val="clear" w:color="auto" w:fill="auto"/>
        <w:vertAlign w:val="baseline"/>
      </w:rPr>
    </w:lvl>
  </w:abstractNum>
  <w:abstractNum w:abstractNumId="123" w15:restartNumberingAfterBreak="0">
    <w:nsid w:val="7DE80866"/>
    <w:multiLevelType w:val="hybridMultilevel"/>
    <w:tmpl w:val="5B10EC32"/>
    <w:lvl w:ilvl="0" w:tplc="90940288">
      <w:start w:val="39"/>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4" w15:restartNumberingAfterBreak="0">
    <w:nsid w:val="7E270405"/>
    <w:multiLevelType w:val="hybridMultilevel"/>
    <w:tmpl w:val="E5F239FE"/>
    <w:lvl w:ilvl="0" w:tplc="91201988">
      <w:start w:val="1"/>
      <w:numFmt w:val="upperRoman"/>
      <w:lvlText w:val="%1."/>
      <w:lvlJc w:val="left"/>
      <w:pPr>
        <w:ind w:left="1428" w:hanging="72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25" w15:restartNumberingAfterBreak="0">
    <w:nsid w:val="7FB40397"/>
    <w:multiLevelType w:val="hybridMultilevel"/>
    <w:tmpl w:val="FFFFFFFF"/>
    <w:lvl w:ilvl="0" w:tplc="C5527894">
      <w:start w:val="5"/>
      <w:numFmt w:val="upperRoman"/>
      <w:lvlText w:val="%1."/>
      <w:lvlJc w:val="left"/>
      <w:pPr>
        <w:ind w:left="0"/>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1" w:tplc="3C668E62">
      <w:start w:val="1"/>
      <w:numFmt w:val="lowerLetter"/>
      <w:lvlText w:val="%2"/>
      <w:lvlJc w:val="left"/>
      <w:pPr>
        <w:ind w:left="11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2" w:tplc="ABF8DC32">
      <w:start w:val="1"/>
      <w:numFmt w:val="lowerRoman"/>
      <w:lvlText w:val="%3"/>
      <w:lvlJc w:val="left"/>
      <w:pPr>
        <w:ind w:left="19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3" w:tplc="05A86A80">
      <w:start w:val="1"/>
      <w:numFmt w:val="decimal"/>
      <w:lvlText w:val="%4"/>
      <w:lvlJc w:val="left"/>
      <w:pPr>
        <w:ind w:left="26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4" w:tplc="4094D4C2">
      <w:start w:val="1"/>
      <w:numFmt w:val="lowerLetter"/>
      <w:lvlText w:val="%5"/>
      <w:lvlJc w:val="left"/>
      <w:pPr>
        <w:ind w:left="334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5" w:tplc="A7DAD1CA">
      <w:start w:val="1"/>
      <w:numFmt w:val="lowerRoman"/>
      <w:lvlText w:val="%6"/>
      <w:lvlJc w:val="left"/>
      <w:pPr>
        <w:ind w:left="406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6" w:tplc="B4E8D48A">
      <w:start w:val="1"/>
      <w:numFmt w:val="decimal"/>
      <w:lvlText w:val="%7"/>
      <w:lvlJc w:val="left"/>
      <w:pPr>
        <w:ind w:left="478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7" w:tplc="6FEAD24C">
      <w:start w:val="1"/>
      <w:numFmt w:val="lowerLetter"/>
      <w:lvlText w:val="%8"/>
      <w:lvlJc w:val="left"/>
      <w:pPr>
        <w:ind w:left="550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lvl w:ilvl="8" w:tplc="42B228EE">
      <w:start w:val="1"/>
      <w:numFmt w:val="lowerRoman"/>
      <w:lvlText w:val="%9"/>
      <w:lvlJc w:val="left"/>
      <w:pPr>
        <w:ind w:left="6228"/>
      </w:pPr>
      <w:rPr>
        <w:rFonts w:ascii="Verdana" w:eastAsia="Verdana" w:hAnsi="Verdana" w:cs="Verdana"/>
        <w:b w:val="0"/>
        <w:i w:val="0"/>
        <w:strike w:val="0"/>
        <w:dstrike w:val="0"/>
        <w:color w:val="000000"/>
        <w:sz w:val="20"/>
        <w:szCs w:val="20"/>
        <w:u w:val="none" w:color="000000"/>
        <w:bdr w:val="none" w:sz="0" w:space="0" w:color="auto"/>
        <w:shd w:val="clear" w:color="auto" w:fill="auto"/>
        <w:vertAlign w:val="baseline"/>
      </w:rPr>
    </w:lvl>
  </w:abstractNum>
  <w:num w:numId="1" w16cid:durableId="667370669">
    <w:abstractNumId w:val="2"/>
  </w:num>
  <w:num w:numId="2" w16cid:durableId="1488744923">
    <w:abstractNumId w:val="1"/>
  </w:num>
  <w:num w:numId="3" w16cid:durableId="1054426673">
    <w:abstractNumId w:val="108"/>
  </w:num>
  <w:num w:numId="4" w16cid:durableId="447285099">
    <w:abstractNumId w:val="46"/>
  </w:num>
  <w:num w:numId="5" w16cid:durableId="443579004">
    <w:abstractNumId w:val="45"/>
  </w:num>
  <w:num w:numId="6" w16cid:durableId="1720324638">
    <w:abstractNumId w:val="76"/>
  </w:num>
  <w:num w:numId="7" w16cid:durableId="376244609">
    <w:abstractNumId w:val="57"/>
  </w:num>
  <w:num w:numId="8" w16cid:durableId="299848264">
    <w:abstractNumId w:val="115"/>
  </w:num>
  <w:num w:numId="9" w16cid:durableId="1201817124">
    <w:abstractNumId w:val="71"/>
  </w:num>
  <w:num w:numId="10" w16cid:durableId="371997698">
    <w:abstractNumId w:val="26"/>
  </w:num>
  <w:num w:numId="11" w16cid:durableId="812212826">
    <w:abstractNumId w:val="104"/>
  </w:num>
  <w:num w:numId="12" w16cid:durableId="1770394225">
    <w:abstractNumId w:val="39"/>
  </w:num>
  <w:num w:numId="13" w16cid:durableId="1044672789">
    <w:abstractNumId w:val="123"/>
  </w:num>
  <w:num w:numId="14" w16cid:durableId="1539463801">
    <w:abstractNumId w:val="121"/>
  </w:num>
  <w:num w:numId="15" w16cid:durableId="1501776710">
    <w:abstractNumId w:val="30"/>
  </w:num>
  <w:num w:numId="16" w16cid:durableId="1849320810">
    <w:abstractNumId w:val="51"/>
  </w:num>
  <w:num w:numId="17" w16cid:durableId="625895775">
    <w:abstractNumId w:val="42"/>
  </w:num>
  <w:num w:numId="18" w16cid:durableId="1276521365">
    <w:abstractNumId w:val="117"/>
  </w:num>
  <w:num w:numId="19" w16cid:durableId="1011763190">
    <w:abstractNumId w:val="80"/>
  </w:num>
  <w:num w:numId="20" w16cid:durableId="1099789697">
    <w:abstractNumId w:val="82"/>
  </w:num>
  <w:num w:numId="21" w16cid:durableId="1392970731">
    <w:abstractNumId w:val="122"/>
  </w:num>
  <w:num w:numId="22" w16cid:durableId="1776628295">
    <w:abstractNumId w:val="10"/>
  </w:num>
  <w:num w:numId="23" w16cid:durableId="435369236">
    <w:abstractNumId w:val="68"/>
  </w:num>
  <w:num w:numId="24" w16cid:durableId="781262136">
    <w:abstractNumId w:val="41"/>
  </w:num>
  <w:num w:numId="25" w16cid:durableId="287594348">
    <w:abstractNumId w:val="56"/>
  </w:num>
  <w:num w:numId="26" w16cid:durableId="181405285">
    <w:abstractNumId w:val="19"/>
  </w:num>
  <w:num w:numId="27" w16cid:durableId="687634968">
    <w:abstractNumId w:val="22"/>
  </w:num>
  <w:num w:numId="28" w16cid:durableId="1283805190">
    <w:abstractNumId w:val="24"/>
  </w:num>
  <w:num w:numId="29" w16cid:durableId="1175463635">
    <w:abstractNumId w:val="92"/>
  </w:num>
  <w:num w:numId="30" w16cid:durableId="329449588">
    <w:abstractNumId w:val="63"/>
  </w:num>
  <w:num w:numId="31" w16cid:durableId="1952861045">
    <w:abstractNumId w:val="69"/>
  </w:num>
  <w:num w:numId="32" w16cid:durableId="19604940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03426020">
    <w:abstractNumId w:val="52"/>
  </w:num>
  <w:num w:numId="34" w16cid:durableId="237595638">
    <w:abstractNumId w:val="100"/>
  </w:num>
  <w:num w:numId="35" w16cid:durableId="158082450">
    <w:abstractNumId w:val="124"/>
  </w:num>
  <w:num w:numId="36" w16cid:durableId="2088502197">
    <w:abstractNumId w:val="86"/>
  </w:num>
  <w:num w:numId="37" w16cid:durableId="1770464582">
    <w:abstractNumId w:val="66"/>
  </w:num>
  <w:num w:numId="38" w16cid:durableId="638845285">
    <w:abstractNumId w:val="29"/>
  </w:num>
  <w:num w:numId="39" w16cid:durableId="592053324">
    <w:abstractNumId w:val="102"/>
  </w:num>
  <w:num w:numId="40" w16cid:durableId="36202064">
    <w:abstractNumId w:val="110"/>
  </w:num>
  <w:num w:numId="41" w16cid:durableId="1481921902">
    <w:abstractNumId w:val="73"/>
  </w:num>
  <w:num w:numId="42" w16cid:durableId="974023717">
    <w:abstractNumId w:val="116"/>
  </w:num>
  <w:num w:numId="43" w16cid:durableId="92361537">
    <w:abstractNumId w:val="7"/>
  </w:num>
  <w:num w:numId="44" w16cid:durableId="761416271">
    <w:abstractNumId w:val="64"/>
  </w:num>
  <w:num w:numId="45" w16cid:durableId="190382126">
    <w:abstractNumId w:val="4"/>
  </w:num>
  <w:num w:numId="46" w16cid:durableId="115568327">
    <w:abstractNumId w:val="5"/>
  </w:num>
  <w:num w:numId="47" w16cid:durableId="179467561">
    <w:abstractNumId w:val="105"/>
  </w:num>
  <w:num w:numId="48" w16cid:durableId="2022270711">
    <w:abstractNumId w:val="53"/>
  </w:num>
  <w:num w:numId="49" w16cid:durableId="1298149832">
    <w:abstractNumId w:val="35"/>
  </w:num>
  <w:num w:numId="50" w16cid:durableId="16590117">
    <w:abstractNumId w:val="36"/>
  </w:num>
  <w:num w:numId="51" w16cid:durableId="660961517">
    <w:abstractNumId w:val="85"/>
  </w:num>
  <w:num w:numId="52" w16cid:durableId="1586570763">
    <w:abstractNumId w:val="9"/>
  </w:num>
  <w:num w:numId="53" w16cid:durableId="978263796">
    <w:abstractNumId w:val="112"/>
  </w:num>
  <w:num w:numId="54" w16cid:durableId="532230194">
    <w:abstractNumId w:val="12"/>
  </w:num>
  <w:num w:numId="55" w16cid:durableId="695617575">
    <w:abstractNumId w:val="31"/>
  </w:num>
  <w:num w:numId="56" w16cid:durableId="1268200628">
    <w:abstractNumId w:val="17"/>
  </w:num>
  <w:num w:numId="57" w16cid:durableId="283462902">
    <w:abstractNumId w:val="77"/>
  </w:num>
  <w:num w:numId="58" w16cid:durableId="1310983757">
    <w:abstractNumId w:val="95"/>
  </w:num>
  <w:num w:numId="59" w16cid:durableId="1738935092">
    <w:abstractNumId w:val="72"/>
  </w:num>
  <w:num w:numId="60" w16cid:durableId="2063360701">
    <w:abstractNumId w:val="47"/>
  </w:num>
  <w:num w:numId="61" w16cid:durableId="632291714">
    <w:abstractNumId w:val="14"/>
  </w:num>
  <w:num w:numId="62" w16cid:durableId="1253002850">
    <w:abstractNumId w:val="87"/>
  </w:num>
  <w:num w:numId="63" w16cid:durableId="1543589342">
    <w:abstractNumId w:val="43"/>
  </w:num>
  <w:num w:numId="64" w16cid:durableId="2005353026">
    <w:abstractNumId w:val="114"/>
  </w:num>
  <w:num w:numId="65" w16cid:durableId="1762218828">
    <w:abstractNumId w:val="83"/>
  </w:num>
  <w:num w:numId="66" w16cid:durableId="1475218037">
    <w:abstractNumId w:val="50"/>
  </w:num>
  <w:num w:numId="67" w16cid:durableId="1499610053">
    <w:abstractNumId w:val="23"/>
  </w:num>
  <w:num w:numId="68" w16cid:durableId="629240009">
    <w:abstractNumId w:val="75"/>
  </w:num>
  <w:num w:numId="69" w16cid:durableId="450636125">
    <w:abstractNumId w:val="79"/>
  </w:num>
  <w:num w:numId="70" w16cid:durableId="1928542071">
    <w:abstractNumId w:val="84"/>
  </w:num>
  <w:num w:numId="71" w16cid:durableId="24447871">
    <w:abstractNumId w:val="55"/>
  </w:num>
  <w:num w:numId="72" w16cid:durableId="616329554">
    <w:abstractNumId w:val="60"/>
  </w:num>
  <w:num w:numId="73" w16cid:durableId="1864397148">
    <w:abstractNumId w:val="99"/>
  </w:num>
  <w:num w:numId="74" w16cid:durableId="364133364">
    <w:abstractNumId w:val="111"/>
  </w:num>
  <w:num w:numId="75" w16cid:durableId="1389646943">
    <w:abstractNumId w:val="8"/>
  </w:num>
  <w:num w:numId="76" w16cid:durableId="229004338">
    <w:abstractNumId w:val="27"/>
  </w:num>
  <w:num w:numId="77" w16cid:durableId="1193762889">
    <w:abstractNumId w:val="94"/>
  </w:num>
  <w:num w:numId="78" w16cid:durableId="556205106">
    <w:abstractNumId w:val="91"/>
  </w:num>
  <w:num w:numId="79" w16cid:durableId="171770522">
    <w:abstractNumId w:val="21"/>
  </w:num>
  <w:num w:numId="80" w16cid:durableId="1324313741">
    <w:abstractNumId w:val="61"/>
  </w:num>
  <w:num w:numId="81" w16cid:durableId="960040411">
    <w:abstractNumId w:val="78"/>
  </w:num>
  <w:num w:numId="82" w16cid:durableId="124666474">
    <w:abstractNumId w:val="65"/>
  </w:num>
  <w:num w:numId="83" w16cid:durableId="1171680278">
    <w:abstractNumId w:val="97"/>
  </w:num>
  <w:num w:numId="84" w16cid:durableId="301472167">
    <w:abstractNumId w:val="89"/>
  </w:num>
  <w:num w:numId="85" w16cid:durableId="2095858968">
    <w:abstractNumId w:val="93"/>
  </w:num>
  <w:num w:numId="86" w16cid:durableId="1076586000">
    <w:abstractNumId w:val="20"/>
  </w:num>
  <w:num w:numId="87" w16cid:durableId="1209564255">
    <w:abstractNumId w:val="40"/>
  </w:num>
  <w:num w:numId="88" w16cid:durableId="1270547174">
    <w:abstractNumId w:val="34"/>
  </w:num>
  <w:num w:numId="89" w16cid:durableId="92671510">
    <w:abstractNumId w:val="67"/>
  </w:num>
  <w:num w:numId="90" w16cid:durableId="1413425936">
    <w:abstractNumId w:val="33"/>
  </w:num>
  <w:num w:numId="91" w16cid:durableId="503399462">
    <w:abstractNumId w:val="25"/>
  </w:num>
  <w:num w:numId="92" w16cid:durableId="1396589354">
    <w:abstractNumId w:val="32"/>
  </w:num>
  <w:num w:numId="93" w16cid:durableId="759571775">
    <w:abstractNumId w:val="44"/>
  </w:num>
  <w:num w:numId="94" w16cid:durableId="1254053272">
    <w:abstractNumId w:val="88"/>
  </w:num>
  <w:num w:numId="95" w16cid:durableId="73823254">
    <w:abstractNumId w:val="103"/>
  </w:num>
  <w:num w:numId="96" w16cid:durableId="276647961">
    <w:abstractNumId w:val="16"/>
  </w:num>
  <w:num w:numId="97" w16cid:durableId="300043713">
    <w:abstractNumId w:val="38"/>
  </w:num>
  <w:num w:numId="98" w16cid:durableId="479739104">
    <w:abstractNumId w:val="59"/>
  </w:num>
  <w:num w:numId="99" w16cid:durableId="1710370582">
    <w:abstractNumId w:val="113"/>
  </w:num>
  <w:num w:numId="100" w16cid:durableId="2043627201">
    <w:abstractNumId w:val="58"/>
  </w:num>
  <w:num w:numId="101" w16cid:durableId="749811778">
    <w:abstractNumId w:val="54"/>
  </w:num>
  <w:num w:numId="102" w16cid:durableId="1754819635">
    <w:abstractNumId w:val="49"/>
  </w:num>
  <w:num w:numId="103" w16cid:durableId="509376630">
    <w:abstractNumId w:val="119"/>
  </w:num>
  <w:num w:numId="104" w16cid:durableId="1703508817">
    <w:abstractNumId w:val="107"/>
  </w:num>
  <w:num w:numId="105" w16cid:durableId="1090546619">
    <w:abstractNumId w:val="90"/>
  </w:num>
  <w:num w:numId="106" w16cid:durableId="1911386439">
    <w:abstractNumId w:val="28"/>
  </w:num>
  <w:num w:numId="107" w16cid:durableId="948245868">
    <w:abstractNumId w:val="15"/>
  </w:num>
  <w:num w:numId="108" w16cid:durableId="1201893166">
    <w:abstractNumId w:val="118"/>
  </w:num>
  <w:num w:numId="109" w16cid:durableId="727414028">
    <w:abstractNumId w:val="120"/>
  </w:num>
  <w:num w:numId="110" w16cid:durableId="1399280331">
    <w:abstractNumId w:val="101"/>
  </w:num>
  <w:num w:numId="111" w16cid:durableId="249194275">
    <w:abstractNumId w:val="62"/>
  </w:num>
  <w:num w:numId="112" w16cid:durableId="1844320967">
    <w:abstractNumId w:val="48"/>
  </w:num>
  <w:num w:numId="113" w16cid:durableId="1737167582">
    <w:abstractNumId w:val="109"/>
  </w:num>
  <w:num w:numId="114" w16cid:durableId="421682209">
    <w:abstractNumId w:val="96"/>
  </w:num>
  <w:num w:numId="115" w16cid:durableId="891429624">
    <w:abstractNumId w:val="125"/>
  </w:num>
  <w:num w:numId="116" w16cid:durableId="1960260739">
    <w:abstractNumId w:val="74"/>
  </w:num>
  <w:num w:numId="117" w16cid:durableId="1763598256">
    <w:abstractNumId w:val="98"/>
  </w:num>
  <w:num w:numId="118" w16cid:durableId="1988319654">
    <w:abstractNumId w:val="106"/>
  </w:num>
  <w:num w:numId="119" w16cid:durableId="499472348">
    <w:abstractNumId w:val="13"/>
  </w:num>
  <w:num w:numId="120" w16cid:durableId="1051537209">
    <w:abstractNumId w:val="18"/>
  </w:num>
  <w:num w:numId="121" w16cid:durableId="532156736">
    <w:abstractNumId w:val="81"/>
  </w:num>
  <w:num w:numId="122" w16cid:durableId="1292319826">
    <w:abstractNumId w:val="70"/>
  </w:num>
  <w:num w:numId="123" w16cid:durableId="1729303754">
    <w:abstractNumId w:val="3"/>
  </w:num>
  <w:num w:numId="124" w16cid:durableId="734355549">
    <w:abstractNumId w:val="0"/>
  </w:num>
  <w:num w:numId="125" w16cid:durableId="1252545828">
    <w:abstractNumId w:val="37"/>
  </w:num>
  <w:num w:numId="126" w16cid:durableId="283971187">
    <w:abstractNumId w:val="6"/>
  </w:num>
  <w:numIdMacAtCleanup w:val="1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6C1"/>
    <w:rsid w:val="00000DE3"/>
    <w:rsid w:val="000010EF"/>
    <w:rsid w:val="0000112F"/>
    <w:rsid w:val="00001679"/>
    <w:rsid w:val="000018C3"/>
    <w:rsid w:val="00001912"/>
    <w:rsid w:val="00001B59"/>
    <w:rsid w:val="00002075"/>
    <w:rsid w:val="0000226B"/>
    <w:rsid w:val="00002522"/>
    <w:rsid w:val="00002972"/>
    <w:rsid w:val="000029D7"/>
    <w:rsid w:val="00002BD8"/>
    <w:rsid w:val="00003161"/>
    <w:rsid w:val="00003DBD"/>
    <w:rsid w:val="00004089"/>
    <w:rsid w:val="0000408F"/>
    <w:rsid w:val="00004748"/>
    <w:rsid w:val="0000527F"/>
    <w:rsid w:val="00005456"/>
    <w:rsid w:val="00005727"/>
    <w:rsid w:val="0000581B"/>
    <w:rsid w:val="00005A0B"/>
    <w:rsid w:val="00005EB9"/>
    <w:rsid w:val="000061DD"/>
    <w:rsid w:val="000079E9"/>
    <w:rsid w:val="00007C41"/>
    <w:rsid w:val="00010693"/>
    <w:rsid w:val="00011764"/>
    <w:rsid w:val="00011F9F"/>
    <w:rsid w:val="0001233C"/>
    <w:rsid w:val="000128B1"/>
    <w:rsid w:val="00012B97"/>
    <w:rsid w:val="00012DBE"/>
    <w:rsid w:val="00012E15"/>
    <w:rsid w:val="00013190"/>
    <w:rsid w:val="00013277"/>
    <w:rsid w:val="00013387"/>
    <w:rsid w:val="0001369A"/>
    <w:rsid w:val="000138A6"/>
    <w:rsid w:val="00013CF3"/>
    <w:rsid w:val="000142E8"/>
    <w:rsid w:val="00014394"/>
    <w:rsid w:val="00014895"/>
    <w:rsid w:val="00014EE5"/>
    <w:rsid w:val="00014F12"/>
    <w:rsid w:val="00015172"/>
    <w:rsid w:val="000154FF"/>
    <w:rsid w:val="000163F4"/>
    <w:rsid w:val="00016CEF"/>
    <w:rsid w:val="00016DFD"/>
    <w:rsid w:val="00016EAE"/>
    <w:rsid w:val="0001709A"/>
    <w:rsid w:val="000170DC"/>
    <w:rsid w:val="0001720F"/>
    <w:rsid w:val="0001745B"/>
    <w:rsid w:val="00017588"/>
    <w:rsid w:val="000203DA"/>
    <w:rsid w:val="000207E6"/>
    <w:rsid w:val="00020878"/>
    <w:rsid w:val="00020B80"/>
    <w:rsid w:val="00020CA4"/>
    <w:rsid w:val="00020DE7"/>
    <w:rsid w:val="0002131B"/>
    <w:rsid w:val="00021919"/>
    <w:rsid w:val="0002239A"/>
    <w:rsid w:val="0002264C"/>
    <w:rsid w:val="0002303B"/>
    <w:rsid w:val="000235E3"/>
    <w:rsid w:val="00023646"/>
    <w:rsid w:val="00023733"/>
    <w:rsid w:val="000245C6"/>
    <w:rsid w:val="000246AD"/>
    <w:rsid w:val="00024797"/>
    <w:rsid w:val="00024F7B"/>
    <w:rsid w:val="000253F4"/>
    <w:rsid w:val="00025580"/>
    <w:rsid w:val="0002558C"/>
    <w:rsid w:val="00026D98"/>
    <w:rsid w:val="00027E37"/>
    <w:rsid w:val="0003082D"/>
    <w:rsid w:val="00030A87"/>
    <w:rsid w:val="00030B29"/>
    <w:rsid w:val="00030FF0"/>
    <w:rsid w:val="00031106"/>
    <w:rsid w:val="000312B8"/>
    <w:rsid w:val="0003132E"/>
    <w:rsid w:val="0003175C"/>
    <w:rsid w:val="000318C7"/>
    <w:rsid w:val="000319D6"/>
    <w:rsid w:val="00031DD9"/>
    <w:rsid w:val="00031ECE"/>
    <w:rsid w:val="00032588"/>
    <w:rsid w:val="00032E93"/>
    <w:rsid w:val="00032EEE"/>
    <w:rsid w:val="000334C3"/>
    <w:rsid w:val="00033C18"/>
    <w:rsid w:val="00033DD6"/>
    <w:rsid w:val="00034515"/>
    <w:rsid w:val="00034A33"/>
    <w:rsid w:val="000350B8"/>
    <w:rsid w:val="000352B6"/>
    <w:rsid w:val="00035855"/>
    <w:rsid w:val="00035AB1"/>
    <w:rsid w:val="000362B4"/>
    <w:rsid w:val="000369CA"/>
    <w:rsid w:val="00036F03"/>
    <w:rsid w:val="00037073"/>
    <w:rsid w:val="00037084"/>
    <w:rsid w:val="000373FB"/>
    <w:rsid w:val="000378C9"/>
    <w:rsid w:val="0004003B"/>
    <w:rsid w:val="00040606"/>
    <w:rsid w:val="000407E1"/>
    <w:rsid w:val="00041958"/>
    <w:rsid w:val="0004195B"/>
    <w:rsid w:val="00041FB3"/>
    <w:rsid w:val="0004223C"/>
    <w:rsid w:val="00042990"/>
    <w:rsid w:val="00042B38"/>
    <w:rsid w:val="00042C3F"/>
    <w:rsid w:val="000435E9"/>
    <w:rsid w:val="0004410D"/>
    <w:rsid w:val="000450B6"/>
    <w:rsid w:val="000454BF"/>
    <w:rsid w:val="000457C0"/>
    <w:rsid w:val="00045BDD"/>
    <w:rsid w:val="00045CF7"/>
    <w:rsid w:val="00046070"/>
    <w:rsid w:val="000469D6"/>
    <w:rsid w:val="00046AB9"/>
    <w:rsid w:val="00046ED3"/>
    <w:rsid w:val="000477D2"/>
    <w:rsid w:val="00047890"/>
    <w:rsid w:val="00050267"/>
    <w:rsid w:val="0005062C"/>
    <w:rsid w:val="00050705"/>
    <w:rsid w:val="0005076C"/>
    <w:rsid w:val="00050CD6"/>
    <w:rsid w:val="00051177"/>
    <w:rsid w:val="0005144C"/>
    <w:rsid w:val="00051488"/>
    <w:rsid w:val="0005182E"/>
    <w:rsid w:val="00051EFD"/>
    <w:rsid w:val="00052157"/>
    <w:rsid w:val="000522AD"/>
    <w:rsid w:val="00052891"/>
    <w:rsid w:val="00053014"/>
    <w:rsid w:val="000530C4"/>
    <w:rsid w:val="0005355E"/>
    <w:rsid w:val="00053EDF"/>
    <w:rsid w:val="000556D7"/>
    <w:rsid w:val="00055CC6"/>
    <w:rsid w:val="00055DAF"/>
    <w:rsid w:val="00055DBD"/>
    <w:rsid w:val="0005635F"/>
    <w:rsid w:val="00056818"/>
    <w:rsid w:val="00056932"/>
    <w:rsid w:val="00056BB2"/>
    <w:rsid w:val="0005720C"/>
    <w:rsid w:val="00060684"/>
    <w:rsid w:val="00061223"/>
    <w:rsid w:val="000618D6"/>
    <w:rsid w:val="00062667"/>
    <w:rsid w:val="0006290A"/>
    <w:rsid w:val="00062A07"/>
    <w:rsid w:val="00062BC8"/>
    <w:rsid w:val="00063CD9"/>
    <w:rsid w:val="0006442B"/>
    <w:rsid w:val="00064C68"/>
    <w:rsid w:val="00065B35"/>
    <w:rsid w:val="00065CAB"/>
    <w:rsid w:val="00066200"/>
    <w:rsid w:val="0006627E"/>
    <w:rsid w:val="00066309"/>
    <w:rsid w:val="00066D2E"/>
    <w:rsid w:val="00066E2B"/>
    <w:rsid w:val="00067240"/>
    <w:rsid w:val="00067505"/>
    <w:rsid w:val="0006764A"/>
    <w:rsid w:val="0006770A"/>
    <w:rsid w:val="00067B91"/>
    <w:rsid w:val="0007142D"/>
    <w:rsid w:val="000715CB"/>
    <w:rsid w:val="0007176D"/>
    <w:rsid w:val="000717BC"/>
    <w:rsid w:val="00071DA9"/>
    <w:rsid w:val="0007235C"/>
    <w:rsid w:val="000727C6"/>
    <w:rsid w:val="00072834"/>
    <w:rsid w:val="000728B5"/>
    <w:rsid w:val="0007291B"/>
    <w:rsid w:val="00072DC6"/>
    <w:rsid w:val="00073545"/>
    <w:rsid w:val="00073A6E"/>
    <w:rsid w:val="00073C2D"/>
    <w:rsid w:val="00073CE1"/>
    <w:rsid w:val="00074402"/>
    <w:rsid w:val="00074774"/>
    <w:rsid w:val="000750A3"/>
    <w:rsid w:val="000751C6"/>
    <w:rsid w:val="000757FA"/>
    <w:rsid w:val="00075BB5"/>
    <w:rsid w:val="00076162"/>
    <w:rsid w:val="00076220"/>
    <w:rsid w:val="00076ACC"/>
    <w:rsid w:val="00076ACE"/>
    <w:rsid w:val="00076F07"/>
    <w:rsid w:val="00076F94"/>
    <w:rsid w:val="0007702A"/>
    <w:rsid w:val="00077039"/>
    <w:rsid w:val="00077327"/>
    <w:rsid w:val="000773B7"/>
    <w:rsid w:val="000778D6"/>
    <w:rsid w:val="0007796D"/>
    <w:rsid w:val="00077D3D"/>
    <w:rsid w:val="00077E3B"/>
    <w:rsid w:val="00077F7E"/>
    <w:rsid w:val="000819DE"/>
    <w:rsid w:val="00081C8B"/>
    <w:rsid w:val="000820AB"/>
    <w:rsid w:val="000822B4"/>
    <w:rsid w:val="00082D95"/>
    <w:rsid w:val="000835A7"/>
    <w:rsid w:val="00083693"/>
    <w:rsid w:val="00083BAB"/>
    <w:rsid w:val="00084029"/>
    <w:rsid w:val="00084181"/>
    <w:rsid w:val="00084968"/>
    <w:rsid w:val="00084ACB"/>
    <w:rsid w:val="00084BB7"/>
    <w:rsid w:val="00085286"/>
    <w:rsid w:val="00085E45"/>
    <w:rsid w:val="00085EE6"/>
    <w:rsid w:val="000863BC"/>
    <w:rsid w:val="00086A17"/>
    <w:rsid w:val="00086A4F"/>
    <w:rsid w:val="00086C4A"/>
    <w:rsid w:val="00086CE0"/>
    <w:rsid w:val="00086E37"/>
    <w:rsid w:val="000877C6"/>
    <w:rsid w:val="000907C5"/>
    <w:rsid w:val="00090B60"/>
    <w:rsid w:val="00090DD0"/>
    <w:rsid w:val="0009114F"/>
    <w:rsid w:val="0009127F"/>
    <w:rsid w:val="000914B5"/>
    <w:rsid w:val="000918DE"/>
    <w:rsid w:val="00091BB2"/>
    <w:rsid w:val="00091CA4"/>
    <w:rsid w:val="00091CED"/>
    <w:rsid w:val="00091D53"/>
    <w:rsid w:val="00091FDB"/>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D69"/>
    <w:rsid w:val="00095E21"/>
    <w:rsid w:val="00095F01"/>
    <w:rsid w:val="0009633E"/>
    <w:rsid w:val="0009633F"/>
    <w:rsid w:val="00096649"/>
    <w:rsid w:val="00097391"/>
    <w:rsid w:val="000978B4"/>
    <w:rsid w:val="00097DF8"/>
    <w:rsid w:val="00097F75"/>
    <w:rsid w:val="000A0157"/>
    <w:rsid w:val="000A02A7"/>
    <w:rsid w:val="000A0845"/>
    <w:rsid w:val="000A255E"/>
    <w:rsid w:val="000A274F"/>
    <w:rsid w:val="000A341A"/>
    <w:rsid w:val="000A45D9"/>
    <w:rsid w:val="000A4FA2"/>
    <w:rsid w:val="000A516A"/>
    <w:rsid w:val="000A5518"/>
    <w:rsid w:val="000A5C65"/>
    <w:rsid w:val="000A7498"/>
    <w:rsid w:val="000A771B"/>
    <w:rsid w:val="000A7810"/>
    <w:rsid w:val="000A7908"/>
    <w:rsid w:val="000B062C"/>
    <w:rsid w:val="000B0A11"/>
    <w:rsid w:val="000B0AE8"/>
    <w:rsid w:val="000B0CCE"/>
    <w:rsid w:val="000B1232"/>
    <w:rsid w:val="000B13DD"/>
    <w:rsid w:val="000B1622"/>
    <w:rsid w:val="000B1B93"/>
    <w:rsid w:val="000B1F09"/>
    <w:rsid w:val="000B2442"/>
    <w:rsid w:val="000B32C8"/>
    <w:rsid w:val="000B38C7"/>
    <w:rsid w:val="000B3D97"/>
    <w:rsid w:val="000B4474"/>
    <w:rsid w:val="000B4668"/>
    <w:rsid w:val="000B4EED"/>
    <w:rsid w:val="000B5095"/>
    <w:rsid w:val="000B5568"/>
    <w:rsid w:val="000B599F"/>
    <w:rsid w:val="000B629B"/>
    <w:rsid w:val="000B631A"/>
    <w:rsid w:val="000B65CD"/>
    <w:rsid w:val="000B6B7F"/>
    <w:rsid w:val="000B6CE0"/>
    <w:rsid w:val="000B76A1"/>
    <w:rsid w:val="000C0B30"/>
    <w:rsid w:val="000C0F10"/>
    <w:rsid w:val="000C0F71"/>
    <w:rsid w:val="000C117B"/>
    <w:rsid w:val="000C12F2"/>
    <w:rsid w:val="000C138E"/>
    <w:rsid w:val="000C1823"/>
    <w:rsid w:val="000C19E0"/>
    <w:rsid w:val="000C1BE1"/>
    <w:rsid w:val="000C1EA0"/>
    <w:rsid w:val="000C20B3"/>
    <w:rsid w:val="000C20DB"/>
    <w:rsid w:val="000C28AA"/>
    <w:rsid w:val="000C30DB"/>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16B"/>
    <w:rsid w:val="000D5220"/>
    <w:rsid w:val="000D5224"/>
    <w:rsid w:val="000D56D8"/>
    <w:rsid w:val="000D587B"/>
    <w:rsid w:val="000D5FAC"/>
    <w:rsid w:val="000D61C1"/>
    <w:rsid w:val="000D62E7"/>
    <w:rsid w:val="000D6402"/>
    <w:rsid w:val="000D67C6"/>
    <w:rsid w:val="000D69C2"/>
    <w:rsid w:val="000D6C19"/>
    <w:rsid w:val="000D7347"/>
    <w:rsid w:val="000D7872"/>
    <w:rsid w:val="000D7879"/>
    <w:rsid w:val="000D79AD"/>
    <w:rsid w:val="000D7A5A"/>
    <w:rsid w:val="000D7E50"/>
    <w:rsid w:val="000E0101"/>
    <w:rsid w:val="000E01C7"/>
    <w:rsid w:val="000E0D2A"/>
    <w:rsid w:val="000E11B9"/>
    <w:rsid w:val="000E22C7"/>
    <w:rsid w:val="000E26F7"/>
    <w:rsid w:val="000E299F"/>
    <w:rsid w:val="000E2CF7"/>
    <w:rsid w:val="000E2FB8"/>
    <w:rsid w:val="000E3062"/>
    <w:rsid w:val="000E3375"/>
    <w:rsid w:val="000E3444"/>
    <w:rsid w:val="000E368C"/>
    <w:rsid w:val="000E3736"/>
    <w:rsid w:val="000E3C3A"/>
    <w:rsid w:val="000E424F"/>
    <w:rsid w:val="000E46BD"/>
    <w:rsid w:val="000E4B20"/>
    <w:rsid w:val="000E4D60"/>
    <w:rsid w:val="000E4D9F"/>
    <w:rsid w:val="000E553A"/>
    <w:rsid w:val="000E5CA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38A5"/>
    <w:rsid w:val="000F41A0"/>
    <w:rsid w:val="000F4643"/>
    <w:rsid w:val="000F4EB9"/>
    <w:rsid w:val="000F51EA"/>
    <w:rsid w:val="000F5219"/>
    <w:rsid w:val="000F54D6"/>
    <w:rsid w:val="000F579E"/>
    <w:rsid w:val="000F5C80"/>
    <w:rsid w:val="000F604D"/>
    <w:rsid w:val="000F64AB"/>
    <w:rsid w:val="000F6F5B"/>
    <w:rsid w:val="000F7168"/>
    <w:rsid w:val="000F772E"/>
    <w:rsid w:val="000F7938"/>
    <w:rsid w:val="0010140E"/>
    <w:rsid w:val="00101543"/>
    <w:rsid w:val="0010178D"/>
    <w:rsid w:val="00101A6C"/>
    <w:rsid w:val="00101B20"/>
    <w:rsid w:val="00101CC8"/>
    <w:rsid w:val="00101DD0"/>
    <w:rsid w:val="001025FA"/>
    <w:rsid w:val="001029FC"/>
    <w:rsid w:val="0010345B"/>
    <w:rsid w:val="001036E0"/>
    <w:rsid w:val="0010387D"/>
    <w:rsid w:val="00103C2B"/>
    <w:rsid w:val="0010408D"/>
    <w:rsid w:val="00104189"/>
    <w:rsid w:val="00104BAA"/>
    <w:rsid w:val="00104E76"/>
    <w:rsid w:val="00104E8E"/>
    <w:rsid w:val="001051E9"/>
    <w:rsid w:val="001056E4"/>
    <w:rsid w:val="001058C4"/>
    <w:rsid w:val="00105B1F"/>
    <w:rsid w:val="00106F77"/>
    <w:rsid w:val="00106FFD"/>
    <w:rsid w:val="0010703F"/>
    <w:rsid w:val="0010788C"/>
    <w:rsid w:val="001079D5"/>
    <w:rsid w:val="00107C1C"/>
    <w:rsid w:val="001101EA"/>
    <w:rsid w:val="001108E4"/>
    <w:rsid w:val="00110FBC"/>
    <w:rsid w:val="00111459"/>
    <w:rsid w:val="00111940"/>
    <w:rsid w:val="00111E96"/>
    <w:rsid w:val="00111ED1"/>
    <w:rsid w:val="00112B0C"/>
    <w:rsid w:val="00112C68"/>
    <w:rsid w:val="00113124"/>
    <w:rsid w:val="0011322D"/>
    <w:rsid w:val="00113452"/>
    <w:rsid w:val="001138FD"/>
    <w:rsid w:val="00113D9C"/>
    <w:rsid w:val="0011453E"/>
    <w:rsid w:val="001148A9"/>
    <w:rsid w:val="00114A9E"/>
    <w:rsid w:val="001151CE"/>
    <w:rsid w:val="00115487"/>
    <w:rsid w:val="00115C2B"/>
    <w:rsid w:val="00115D6B"/>
    <w:rsid w:val="00115F57"/>
    <w:rsid w:val="00115F88"/>
    <w:rsid w:val="001163DE"/>
    <w:rsid w:val="001163FD"/>
    <w:rsid w:val="001169AA"/>
    <w:rsid w:val="00116AB3"/>
    <w:rsid w:val="00116F5A"/>
    <w:rsid w:val="00117276"/>
    <w:rsid w:val="00117B1A"/>
    <w:rsid w:val="00117BC9"/>
    <w:rsid w:val="0012024E"/>
    <w:rsid w:val="0012046E"/>
    <w:rsid w:val="001208C5"/>
    <w:rsid w:val="001211E9"/>
    <w:rsid w:val="00121781"/>
    <w:rsid w:val="00121931"/>
    <w:rsid w:val="00121A0B"/>
    <w:rsid w:val="0012242F"/>
    <w:rsid w:val="00122F73"/>
    <w:rsid w:val="001236FC"/>
    <w:rsid w:val="00123A3D"/>
    <w:rsid w:val="00123FB1"/>
    <w:rsid w:val="0012414E"/>
    <w:rsid w:val="00124298"/>
    <w:rsid w:val="001243F6"/>
    <w:rsid w:val="00124ECF"/>
    <w:rsid w:val="00125A89"/>
    <w:rsid w:val="00126030"/>
    <w:rsid w:val="001267D6"/>
    <w:rsid w:val="00126BD5"/>
    <w:rsid w:val="001270AF"/>
    <w:rsid w:val="00127545"/>
    <w:rsid w:val="001276EE"/>
    <w:rsid w:val="001302D8"/>
    <w:rsid w:val="0013080F"/>
    <w:rsid w:val="00131613"/>
    <w:rsid w:val="001317DB"/>
    <w:rsid w:val="00131B7D"/>
    <w:rsid w:val="001322D6"/>
    <w:rsid w:val="001326D7"/>
    <w:rsid w:val="00132764"/>
    <w:rsid w:val="00132ED1"/>
    <w:rsid w:val="00132F1C"/>
    <w:rsid w:val="00132FAE"/>
    <w:rsid w:val="00132FC8"/>
    <w:rsid w:val="001335ED"/>
    <w:rsid w:val="001339E4"/>
    <w:rsid w:val="00133B77"/>
    <w:rsid w:val="00133B8D"/>
    <w:rsid w:val="001350A8"/>
    <w:rsid w:val="00135490"/>
    <w:rsid w:val="001356F6"/>
    <w:rsid w:val="00135A3A"/>
    <w:rsid w:val="00136192"/>
    <w:rsid w:val="00136653"/>
    <w:rsid w:val="0013691B"/>
    <w:rsid w:val="00137105"/>
    <w:rsid w:val="00137F83"/>
    <w:rsid w:val="00140136"/>
    <w:rsid w:val="00140251"/>
    <w:rsid w:val="001403B3"/>
    <w:rsid w:val="00140474"/>
    <w:rsid w:val="00140569"/>
    <w:rsid w:val="001407CA"/>
    <w:rsid w:val="00140964"/>
    <w:rsid w:val="00141553"/>
    <w:rsid w:val="00141B42"/>
    <w:rsid w:val="00141BD1"/>
    <w:rsid w:val="00141D15"/>
    <w:rsid w:val="00142969"/>
    <w:rsid w:val="0014373A"/>
    <w:rsid w:val="00143DC0"/>
    <w:rsid w:val="00143EE3"/>
    <w:rsid w:val="00143F4D"/>
    <w:rsid w:val="00143FFC"/>
    <w:rsid w:val="00144145"/>
    <w:rsid w:val="001441CF"/>
    <w:rsid w:val="0014433E"/>
    <w:rsid w:val="00144531"/>
    <w:rsid w:val="00144545"/>
    <w:rsid w:val="001448C0"/>
    <w:rsid w:val="00145241"/>
    <w:rsid w:val="001458B9"/>
    <w:rsid w:val="00145A79"/>
    <w:rsid w:val="00145AEE"/>
    <w:rsid w:val="00145FF7"/>
    <w:rsid w:val="00146480"/>
    <w:rsid w:val="00146BC7"/>
    <w:rsid w:val="0014779C"/>
    <w:rsid w:val="00147807"/>
    <w:rsid w:val="0014797E"/>
    <w:rsid w:val="00147C35"/>
    <w:rsid w:val="00147D56"/>
    <w:rsid w:val="00147EAA"/>
    <w:rsid w:val="00147F6B"/>
    <w:rsid w:val="00150135"/>
    <w:rsid w:val="00150142"/>
    <w:rsid w:val="00150228"/>
    <w:rsid w:val="00150CF0"/>
    <w:rsid w:val="001511D9"/>
    <w:rsid w:val="00151527"/>
    <w:rsid w:val="00151969"/>
    <w:rsid w:val="00151B79"/>
    <w:rsid w:val="0015217B"/>
    <w:rsid w:val="001521C5"/>
    <w:rsid w:val="00152401"/>
    <w:rsid w:val="0015272D"/>
    <w:rsid w:val="00152B59"/>
    <w:rsid w:val="00152BB6"/>
    <w:rsid w:val="00152BE9"/>
    <w:rsid w:val="00152D1A"/>
    <w:rsid w:val="00152F98"/>
    <w:rsid w:val="00152F9F"/>
    <w:rsid w:val="001530F6"/>
    <w:rsid w:val="00153C4D"/>
    <w:rsid w:val="001542A5"/>
    <w:rsid w:val="0015497E"/>
    <w:rsid w:val="00154F0A"/>
    <w:rsid w:val="00155159"/>
    <w:rsid w:val="00155833"/>
    <w:rsid w:val="00155BB5"/>
    <w:rsid w:val="00156176"/>
    <w:rsid w:val="00156A09"/>
    <w:rsid w:val="00156A10"/>
    <w:rsid w:val="00156A34"/>
    <w:rsid w:val="00156A8A"/>
    <w:rsid w:val="001571F4"/>
    <w:rsid w:val="00160819"/>
    <w:rsid w:val="00160F93"/>
    <w:rsid w:val="00161522"/>
    <w:rsid w:val="0016192A"/>
    <w:rsid w:val="00161F13"/>
    <w:rsid w:val="00162AEE"/>
    <w:rsid w:val="00162CE6"/>
    <w:rsid w:val="00162E7A"/>
    <w:rsid w:val="0016342E"/>
    <w:rsid w:val="00163703"/>
    <w:rsid w:val="001637E3"/>
    <w:rsid w:val="00163CF2"/>
    <w:rsid w:val="001642F6"/>
    <w:rsid w:val="001646DF"/>
    <w:rsid w:val="001653BF"/>
    <w:rsid w:val="00165910"/>
    <w:rsid w:val="00165B70"/>
    <w:rsid w:val="00165CF8"/>
    <w:rsid w:val="00165FFB"/>
    <w:rsid w:val="001673FC"/>
    <w:rsid w:val="0016754D"/>
    <w:rsid w:val="00167A45"/>
    <w:rsid w:val="00170128"/>
    <w:rsid w:val="00170279"/>
    <w:rsid w:val="0017035B"/>
    <w:rsid w:val="0017072F"/>
    <w:rsid w:val="00170AE4"/>
    <w:rsid w:val="001716DA"/>
    <w:rsid w:val="00171799"/>
    <w:rsid w:val="00171FF8"/>
    <w:rsid w:val="00172802"/>
    <w:rsid w:val="00172C20"/>
    <w:rsid w:val="0017303B"/>
    <w:rsid w:val="00173B19"/>
    <w:rsid w:val="00173C8D"/>
    <w:rsid w:val="00174A38"/>
    <w:rsid w:val="00174CBF"/>
    <w:rsid w:val="00174DB9"/>
    <w:rsid w:val="00174EDE"/>
    <w:rsid w:val="00175794"/>
    <w:rsid w:val="00175984"/>
    <w:rsid w:val="00175ACE"/>
    <w:rsid w:val="001761F5"/>
    <w:rsid w:val="00177023"/>
    <w:rsid w:val="001773E8"/>
    <w:rsid w:val="00177566"/>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2ABE"/>
    <w:rsid w:val="001832DB"/>
    <w:rsid w:val="001832F1"/>
    <w:rsid w:val="00183430"/>
    <w:rsid w:val="00183AB2"/>
    <w:rsid w:val="0018414D"/>
    <w:rsid w:val="00184442"/>
    <w:rsid w:val="001848CF"/>
    <w:rsid w:val="00184959"/>
    <w:rsid w:val="0018553B"/>
    <w:rsid w:val="00185847"/>
    <w:rsid w:val="00187148"/>
    <w:rsid w:val="00187810"/>
    <w:rsid w:val="00187897"/>
    <w:rsid w:val="00187FCE"/>
    <w:rsid w:val="00191858"/>
    <w:rsid w:val="001919F5"/>
    <w:rsid w:val="00191A57"/>
    <w:rsid w:val="00192527"/>
    <w:rsid w:val="00192E95"/>
    <w:rsid w:val="00192ECD"/>
    <w:rsid w:val="00193093"/>
    <w:rsid w:val="00193138"/>
    <w:rsid w:val="00193363"/>
    <w:rsid w:val="00194809"/>
    <w:rsid w:val="00194C97"/>
    <w:rsid w:val="00194CA3"/>
    <w:rsid w:val="0019588E"/>
    <w:rsid w:val="001958E0"/>
    <w:rsid w:val="00195BAF"/>
    <w:rsid w:val="00195CB6"/>
    <w:rsid w:val="00195CC0"/>
    <w:rsid w:val="00197291"/>
    <w:rsid w:val="0019765D"/>
    <w:rsid w:val="001977F9"/>
    <w:rsid w:val="00197DE6"/>
    <w:rsid w:val="001A0206"/>
    <w:rsid w:val="001A0CC6"/>
    <w:rsid w:val="001A0DF7"/>
    <w:rsid w:val="001A1791"/>
    <w:rsid w:val="001A1BF9"/>
    <w:rsid w:val="001A1EE6"/>
    <w:rsid w:val="001A25DB"/>
    <w:rsid w:val="001A27F9"/>
    <w:rsid w:val="001A2C08"/>
    <w:rsid w:val="001A2F41"/>
    <w:rsid w:val="001A3611"/>
    <w:rsid w:val="001A3723"/>
    <w:rsid w:val="001A377B"/>
    <w:rsid w:val="001A3E40"/>
    <w:rsid w:val="001A42ED"/>
    <w:rsid w:val="001A4B67"/>
    <w:rsid w:val="001A591D"/>
    <w:rsid w:val="001A5A56"/>
    <w:rsid w:val="001A5B28"/>
    <w:rsid w:val="001A5E0A"/>
    <w:rsid w:val="001A615D"/>
    <w:rsid w:val="001A6168"/>
    <w:rsid w:val="001A6CFD"/>
    <w:rsid w:val="001A6EFF"/>
    <w:rsid w:val="001A745E"/>
    <w:rsid w:val="001A77A8"/>
    <w:rsid w:val="001A78E2"/>
    <w:rsid w:val="001A791D"/>
    <w:rsid w:val="001A7B66"/>
    <w:rsid w:val="001B08E6"/>
    <w:rsid w:val="001B0D50"/>
    <w:rsid w:val="001B14F1"/>
    <w:rsid w:val="001B1904"/>
    <w:rsid w:val="001B2CB9"/>
    <w:rsid w:val="001B2F4A"/>
    <w:rsid w:val="001B32FC"/>
    <w:rsid w:val="001B368B"/>
    <w:rsid w:val="001B4544"/>
    <w:rsid w:val="001B46FD"/>
    <w:rsid w:val="001B4E86"/>
    <w:rsid w:val="001B5422"/>
    <w:rsid w:val="001B5607"/>
    <w:rsid w:val="001B5934"/>
    <w:rsid w:val="001B59D9"/>
    <w:rsid w:val="001B5FF2"/>
    <w:rsid w:val="001B6716"/>
    <w:rsid w:val="001B69F2"/>
    <w:rsid w:val="001B6B7D"/>
    <w:rsid w:val="001B7087"/>
    <w:rsid w:val="001B70B5"/>
    <w:rsid w:val="001B70FA"/>
    <w:rsid w:val="001B7C0D"/>
    <w:rsid w:val="001C0934"/>
    <w:rsid w:val="001C0EE5"/>
    <w:rsid w:val="001C1193"/>
    <w:rsid w:val="001C1682"/>
    <w:rsid w:val="001C1815"/>
    <w:rsid w:val="001C1F75"/>
    <w:rsid w:val="001C1F8F"/>
    <w:rsid w:val="001C28C5"/>
    <w:rsid w:val="001C2ECC"/>
    <w:rsid w:val="001C3CEF"/>
    <w:rsid w:val="001C3CF8"/>
    <w:rsid w:val="001C4417"/>
    <w:rsid w:val="001C4B3E"/>
    <w:rsid w:val="001C4C6F"/>
    <w:rsid w:val="001C4D8D"/>
    <w:rsid w:val="001C4E23"/>
    <w:rsid w:val="001C514D"/>
    <w:rsid w:val="001C56B5"/>
    <w:rsid w:val="001C5EDF"/>
    <w:rsid w:val="001C7126"/>
    <w:rsid w:val="001C7580"/>
    <w:rsid w:val="001C79D1"/>
    <w:rsid w:val="001C7B6D"/>
    <w:rsid w:val="001D0856"/>
    <w:rsid w:val="001D08DD"/>
    <w:rsid w:val="001D0F6B"/>
    <w:rsid w:val="001D11F1"/>
    <w:rsid w:val="001D12A6"/>
    <w:rsid w:val="001D2609"/>
    <w:rsid w:val="001D26FF"/>
    <w:rsid w:val="001D2921"/>
    <w:rsid w:val="001D2A05"/>
    <w:rsid w:val="001D2A5D"/>
    <w:rsid w:val="001D2CC4"/>
    <w:rsid w:val="001D3336"/>
    <w:rsid w:val="001D4026"/>
    <w:rsid w:val="001D46AD"/>
    <w:rsid w:val="001D58C2"/>
    <w:rsid w:val="001D599E"/>
    <w:rsid w:val="001D5C94"/>
    <w:rsid w:val="001D6B7D"/>
    <w:rsid w:val="001D6C47"/>
    <w:rsid w:val="001D7086"/>
    <w:rsid w:val="001D73EF"/>
    <w:rsid w:val="001D7767"/>
    <w:rsid w:val="001D784F"/>
    <w:rsid w:val="001D7901"/>
    <w:rsid w:val="001D7A45"/>
    <w:rsid w:val="001D7BC1"/>
    <w:rsid w:val="001D7EF0"/>
    <w:rsid w:val="001E0691"/>
    <w:rsid w:val="001E0ECC"/>
    <w:rsid w:val="001E0F94"/>
    <w:rsid w:val="001E10AA"/>
    <w:rsid w:val="001E1FA0"/>
    <w:rsid w:val="001E21E5"/>
    <w:rsid w:val="001E2E72"/>
    <w:rsid w:val="001E30FD"/>
    <w:rsid w:val="001E321F"/>
    <w:rsid w:val="001E44D3"/>
    <w:rsid w:val="001E4B86"/>
    <w:rsid w:val="001E4FA8"/>
    <w:rsid w:val="001E5849"/>
    <w:rsid w:val="001E6114"/>
    <w:rsid w:val="001E649A"/>
    <w:rsid w:val="001E654A"/>
    <w:rsid w:val="001E6853"/>
    <w:rsid w:val="001E6AFB"/>
    <w:rsid w:val="001E70BE"/>
    <w:rsid w:val="001E731A"/>
    <w:rsid w:val="001E77B0"/>
    <w:rsid w:val="001E7B30"/>
    <w:rsid w:val="001E7FD8"/>
    <w:rsid w:val="001F0C34"/>
    <w:rsid w:val="001F1079"/>
    <w:rsid w:val="001F1664"/>
    <w:rsid w:val="001F1BC4"/>
    <w:rsid w:val="001F1D99"/>
    <w:rsid w:val="001F2620"/>
    <w:rsid w:val="001F2B97"/>
    <w:rsid w:val="001F2C3E"/>
    <w:rsid w:val="001F2DF3"/>
    <w:rsid w:val="001F2DF9"/>
    <w:rsid w:val="001F3A23"/>
    <w:rsid w:val="001F3AEC"/>
    <w:rsid w:val="001F3BB8"/>
    <w:rsid w:val="001F403B"/>
    <w:rsid w:val="001F4177"/>
    <w:rsid w:val="001F4342"/>
    <w:rsid w:val="001F441A"/>
    <w:rsid w:val="001F4736"/>
    <w:rsid w:val="001F49E2"/>
    <w:rsid w:val="001F553E"/>
    <w:rsid w:val="001F5617"/>
    <w:rsid w:val="001F5C14"/>
    <w:rsid w:val="001F5DFF"/>
    <w:rsid w:val="001F5F1E"/>
    <w:rsid w:val="001F5F58"/>
    <w:rsid w:val="001F606A"/>
    <w:rsid w:val="001F64C8"/>
    <w:rsid w:val="001F694F"/>
    <w:rsid w:val="001F6F4D"/>
    <w:rsid w:val="001F7140"/>
    <w:rsid w:val="001F7AC9"/>
    <w:rsid w:val="0020023E"/>
    <w:rsid w:val="00200542"/>
    <w:rsid w:val="0020070F"/>
    <w:rsid w:val="00200A54"/>
    <w:rsid w:val="00200E2C"/>
    <w:rsid w:val="002018ED"/>
    <w:rsid w:val="00201A46"/>
    <w:rsid w:val="002020D0"/>
    <w:rsid w:val="00202278"/>
    <w:rsid w:val="002025AB"/>
    <w:rsid w:val="00202B13"/>
    <w:rsid w:val="00202EA7"/>
    <w:rsid w:val="002030BF"/>
    <w:rsid w:val="002032B1"/>
    <w:rsid w:val="0020378E"/>
    <w:rsid w:val="00203E4D"/>
    <w:rsid w:val="00204399"/>
    <w:rsid w:val="002043CE"/>
    <w:rsid w:val="00204834"/>
    <w:rsid w:val="0020483B"/>
    <w:rsid w:val="0020513C"/>
    <w:rsid w:val="00205ABC"/>
    <w:rsid w:val="00205F3B"/>
    <w:rsid w:val="0020668A"/>
    <w:rsid w:val="0020687A"/>
    <w:rsid w:val="00206A09"/>
    <w:rsid w:val="00206F2E"/>
    <w:rsid w:val="0020765E"/>
    <w:rsid w:val="0020799F"/>
    <w:rsid w:val="00207EAB"/>
    <w:rsid w:val="00207F3D"/>
    <w:rsid w:val="00210C68"/>
    <w:rsid w:val="00210E2A"/>
    <w:rsid w:val="00211279"/>
    <w:rsid w:val="00211B17"/>
    <w:rsid w:val="00211E61"/>
    <w:rsid w:val="00211F75"/>
    <w:rsid w:val="00212163"/>
    <w:rsid w:val="0021218A"/>
    <w:rsid w:val="0021218E"/>
    <w:rsid w:val="002122C6"/>
    <w:rsid w:val="0021270C"/>
    <w:rsid w:val="00212C9C"/>
    <w:rsid w:val="00212F90"/>
    <w:rsid w:val="002135BF"/>
    <w:rsid w:val="00213626"/>
    <w:rsid w:val="00213878"/>
    <w:rsid w:val="00213C8D"/>
    <w:rsid w:val="00213D05"/>
    <w:rsid w:val="00213E0F"/>
    <w:rsid w:val="00213E39"/>
    <w:rsid w:val="0021402F"/>
    <w:rsid w:val="002143C1"/>
    <w:rsid w:val="00214A29"/>
    <w:rsid w:val="00214D8D"/>
    <w:rsid w:val="0021524A"/>
    <w:rsid w:val="0021563C"/>
    <w:rsid w:val="00215947"/>
    <w:rsid w:val="002159DA"/>
    <w:rsid w:val="0021600B"/>
    <w:rsid w:val="00216309"/>
    <w:rsid w:val="00216950"/>
    <w:rsid w:val="00216D24"/>
    <w:rsid w:val="00216FBD"/>
    <w:rsid w:val="00217180"/>
    <w:rsid w:val="00217FC2"/>
    <w:rsid w:val="00220BDC"/>
    <w:rsid w:val="00220FA5"/>
    <w:rsid w:val="00221650"/>
    <w:rsid w:val="00222E15"/>
    <w:rsid w:val="002231ED"/>
    <w:rsid w:val="00223449"/>
    <w:rsid w:val="0022398B"/>
    <w:rsid w:val="00223B11"/>
    <w:rsid w:val="00223FFE"/>
    <w:rsid w:val="002243D0"/>
    <w:rsid w:val="00224855"/>
    <w:rsid w:val="00224A41"/>
    <w:rsid w:val="00224B08"/>
    <w:rsid w:val="0022514A"/>
    <w:rsid w:val="00225216"/>
    <w:rsid w:val="002252DB"/>
    <w:rsid w:val="00225BD3"/>
    <w:rsid w:val="00225C26"/>
    <w:rsid w:val="00226026"/>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37FD"/>
    <w:rsid w:val="002338C6"/>
    <w:rsid w:val="002339B6"/>
    <w:rsid w:val="00233A35"/>
    <w:rsid w:val="00233D5E"/>
    <w:rsid w:val="00233FDB"/>
    <w:rsid w:val="0023456B"/>
    <w:rsid w:val="0023562B"/>
    <w:rsid w:val="00235D99"/>
    <w:rsid w:val="00235EF4"/>
    <w:rsid w:val="00235F90"/>
    <w:rsid w:val="0023636E"/>
    <w:rsid w:val="00236711"/>
    <w:rsid w:val="0023694A"/>
    <w:rsid w:val="002369F2"/>
    <w:rsid w:val="00236CB4"/>
    <w:rsid w:val="00236D38"/>
    <w:rsid w:val="00237327"/>
    <w:rsid w:val="00237480"/>
    <w:rsid w:val="0023750C"/>
    <w:rsid w:val="00237AAB"/>
    <w:rsid w:val="00237B89"/>
    <w:rsid w:val="00237F75"/>
    <w:rsid w:val="00240643"/>
    <w:rsid w:val="00240F28"/>
    <w:rsid w:val="002412E3"/>
    <w:rsid w:val="002417AE"/>
    <w:rsid w:val="00241B62"/>
    <w:rsid w:val="0024217C"/>
    <w:rsid w:val="0024450E"/>
    <w:rsid w:val="00244690"/>
    <w:rsid w:val="002447DD"/>
    <w:rsid w:val="00244E95"/>
    <w:rsid w:val="00244FBC"/>
    <w:rsid w:val="00245547"/>
    <w:rsid w:val="0024555C"/>
    <w:rsid w:val="002456A6"/>
    <w:rsid w:val="002461FB"/>
    <w:rsid w:val="0024639D"/>
    <w:rsid w:val="002463F1"/>
    <w:rsid w:val="002467BB"/>
    <w:rsid w:val="002470A8"/>
    <w:rsid w:val="0024733C"/>
    <w:rsid w:val="0025003A"/>
    <w:rsid w:val="0025046D"/>
    <w:rsid w:val="00250BDE"/>
    <w:rsid w:val="00250CEC"/>
    <w:rsid w:val="00250FF5"/>
    <w:rsid w:val="002514CB"/>
    <w:rsid w:val="002519E2"/>
    <w:rsid w:val="00252379"/>
    <w:rsid w:val="002523DC"/>
    <w:rsid w:val="0025293D"/>
    <w:rsid w:val="00253021"/>
    <w:rsid w:val="0025315E"/>
    <w:rsid w:val="00253336"/>
    <w:rsid w:val="00254AA1"/>
    <w:rsid w:val="00254C2E"/>
    <w:rsid w:val="00255160"/>
    <w:rsid w:val="002557A9"/>
    <w:rsid w:val="0025603E"/>
    <w:rsid w:val="00256362"/>
    <w:rsid w:val="00256463"/>
    <w:rsid w:val="002566FC"/>
    <w:rsid w:val="00256BA7"/>
    <w:rsid w:val="00257475"/>
    <w:rsid w:val="00260633"/>
    <w:rsid w:val="00261082"/>
    <w:rsid w:val="002613D4"/>
    <w:rsid w:val="00261EA1"/>
    <w:rsid w:val="002624DA"/>
    <w:rsid w:val="00262B81"/>
    <w:rsid w:val="00263FA3"/>
    <w:rsid w:val="00264A0D"/>
    <w:rsid w:val="00264BC9"/>
    <w:rsid w:val="00264C9B"/>
    <w:rsid w:val="00264E83"/>
    <w:rsid w:val="00264FFE"/>
    <w:rsid w:val="0026505D"/>
    <w:rsid w:val="00265383"/>
    <w:rsid w:val="00266812"/>
    <w:rsid w:val="00267061"/>
    <w:rsid w:val="002670D1"/>
    <w:rsid w:val="00267BC9"/>
    <w:rsid w:val="002702E3"/>
    <w:rsid w:val="0027072C"/>
    <w:rsid w:val="00270859"/>
    <w:rsid w:val="00270D94"/>
    <w:rsid w:val="002711C6"/>
    <w:rsid w:val="00271623"/>
    <w:rsid w:val="00271687"/>
    <w:rsid w:val="00271782"/>
    <w:rsid w:val="00271A14"/>
    <w:rsid w:val="00271A54"/>
    <w:rsid w:val="00272002"/>
    <w:rsid w:val="0027220C"/>
    <w:rsid w:val="0027226F"/>
    <w:rsid w:val="002722BE"/>
    <w:rsid w:val="00272F9E"/>
    <w:rsid w:val="0027314E"/>
    <w:rsid w:val="00273F61"/>
    <w:rsid w:val="00273FFC"/>
    <w:rsid w:val="00274562"/>
    <w:rsid w:val="00274695"/>
    <w:rsid w:val="00274AB7"/>
    <w:rsid w:val="00274B7E"/>
    <w:rsid w:val="00274E61"/>
    <w:rsid w:val="002754B3"/>
    <w:rsid w:val="00276317"/>
    <w:rsid w:val="002765A9"/>
    <w:rsid w:val="0027663F"/>
    <w:rsid w:val="002768E9"/>
    <w:rsid w:val="00277384"/>
    <w:rsid w:val="00277C93"/>
    <w:rsid w:val="00280AF6"/>
    <w:rsid w:val="00281037"/>
    <w:rsid w:val="00281C99"/>
    <w:rsid w:val="00281CD1"/>
    <w:rsid w:val="0028206E"/>
    <w:rsid w:val="00282826"/>
    <w:rsid w:val="00283670"/>
    <w:rsid w:val="00283B2C"/>
    <w:rsid w:val="00283E92"/>
    <w:rsid w:val="00284C3A"/>
    <w:rsid w:val="00285358"/>
    <w:rsid w:val="0028536F"/>
    <w:rsid w:val="00285534"/>
    <w:rsid w:val="00285B46"/>
    <w:rsid w:val="00285BC3"/>
    <w:rsid w:val="002861C5"/>
    <w:rsid w:val="00286491"/>
    <w:rsid w:val="002867D2"/>
    <w:rsid w:val="00286B0A"/>
    <w:rsid w:val="0028716F"/>
    <w:rsid w:val="002873B1"/>
    <w:rsid w:val="00287583"/>
    <w:rsid w:val="002877F8"/>
    <w:rsid w:val="00287896"/>
    <w:rsid w:val="00287DCF"/>
    <w:rsid w:val="00287F6C"/>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A0167"/>
    <w:rsid w:val="002A08E0"/>
    <w:rsid w:val="002A0F10"/>
    <w:rsid w:val="002A15D3"/>
    <w:rsid w:val="002A1707"/>
    <w:rsid w:val="002A1EC9"/>
    <w:rsid w:val="002A209C"/>
    <w:rsid w:val="002A20D6"/>
    <w:rsid w:val="002A2E3E"/>
    <w:rsid w:val="002A2E76"/>
    <w:rsid w:val="002A3BC6"/>
    <w:rsid w:val="002A3E9F"/>
    <w:rsid w:val="002A425E"/>
    <w:rsid w:val="002A45C4"/>
    <w:rsid w:val="002A4735"/>
    <w:rsid w:val="002A4CD5"/>
    <w:rsid w:val="002A56E9"/>
    <w:rsid w:val="002A5C96"/>
    <w:rsid w:val="002A5E60"/>
    <w:rsid w:val="002A5E81"/>
    <w:rsid w:val="002A61AB"/>
    <w:rsid w:val="002A7563"/>
    <w:rsid w:val="002A7927"/>
    <w:rsid w:val="002A7A24"/>
    <w:rsid w:val="002A7CC3"/>
    <w:rsid w:val="002B0388"/>
    <w:rsid w:val="002B0629"/>
    <w:rsid w:val="002B0739"/>
    <w:rsid w:val="002B0A2C"/>
    <w:rsid w:val="002B0A8D"/>
    <w:rsid w:val="002B0E38"/>
    <w:rsid w:val="002B1298"/>
    <w:rsid w:val="002B148D"/>
    <w:rsid w:val="002B1538"/>
    <w:rsid w:val="002B20F5"/>
    <w:rsid w:val="002B298E"/>
    <w:rsid w:val="002B2D4E"/>
    <w:rsid w:val="002B2DE1"/>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218"/>
    <w:rsid w:val="002B78FC"/>
    <w:rsid w:val="002B790B"/>
    <w:rsid w:val="002B7AAC"/>
    <w:rsid w:val="002C06A2"/>
    <w:rsid w:val="002C06D5"/>
    <w:rsid w:val="002C1DA1"/>
    <w:rsid w:val="002C2225"/>
    <w:rsid w:val="002C22AA"/>
    <w:rsid w:val="002C2D80"/>
    <w:rsid w:val="002C2DDC"/>
    <w:rsid w:val="002C3016"/>
    <w:rsid w:val="002C330B"/>
    <w:rsid w:val="002C4968"/>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0D4"/>
    <w:rsid w:val="002D1176"/>
    <w:rsid w:val="002D1626"/>
    <w:rsid w:val="002D170B"/>
    <w:rsid w:val="002D1C8F"/>
    <w:rsid w:val="002D1E9D"/>
    <w:rsid w:val="002D2A55"/>
    <w:rsid w:val="002D2AC4"/>
    <w:rsid w:val="002D4630"/>
    <w:rsid w:val="002D4DEE"/>
    <w:rsid w:val="002D5083"/>
    <w:rsid w:val="002D56B3"/>
    <w:rsid w:val="002D5BA6"/>
    <w:rsid w:val="002D5ED2"/>
    <w:rsid w:val="002D5FD7"/>
    <w:rsid w:val="002D6281"/>
    <w:rsid w:val="002D633A"/>
    <w:rsid w:val="002D65EA"/>
    <w:rsid w:val="002D6A77"/>
    <w:rsid w:val="002D6A8A"/>
    <w:rsid w:val="002D6C0F"/>
    <w:rsid w:val="002D7CE8"/>
    <w:rsid w:val="002D7FE5"/>
    <w:rsid w:val="002E02F0"/>
    <w:rsid w:val="002E04EA"/>
    <w:rsid w:val="002E117F"/>
    <w:rsid w:val="002E150E"/>
    <w:rsid w:val="002E1736"/>
    <w:rsid w:val="002E197E"/>
    <w:rsid w:val="002E1A3C"/>
    <w:rsid w:val="002E1B27"/>
    <w:rsid w:val="002E1EEF"/>
    <w:rsid w:val="002E2082"/>
    <w:rsid w:val="002E20C6"/>
    <w:rsid w:val="002E261F"/>
    <w:rsid w:val="002E274E"/>
    <w:rsid w:val="002E28E7"/>
    <w:rsid w:val="002E2A9A"/>
    <w:rsid w:val="002E3207"/>
    <w:rsid w:val="002E36C7"/>
    <w:rsid w:val="002E37D7"/>
    <w:rsid w:val="002E3AB7"/>
    <w:rsid w:val="002E3CA5"/>
    <w:rsid w:val="002E3CFB"/>
    <w:rsid w:val="002E4EC1"/>
    <w:rsid w:val="002E5314"/>
    <w:rsid w:val="002E5BCD"/>
    <w:rsid w:val="002E5DA9"/>
    <w:rsid w:val="002E6281"/>
    <w:rsid w:val="002E6733"/>
    <w:rsid w:val="002E6EAB"/>
    <w:rsid w:val="002E6F44"/>
    <w:rsid w:val="002E6FC1"/>
    <w:rsid w:val="002E7305"/>
    <w:rsid w:val="002E7E82"/>
    <w:rsid w:val="002F00EB"/>
    <w:rsid w:val="002F0243"/>
    <w:rsid w:val="002F14AC"/>
    <w:rsid w:val="002F18F3"/>
    <w:rsid w:val="002F25E5"/>
    <w:rsid w:val="002F260D"/>
    <w:rsid w:val="002F2C63"/>
    <w:rsid w:val="002F35D9"/>
    <w:rsid w:val="002F38DF"/>
    <w:rsid w:val="002F39C3"/>
    <w:rsid w:val="002F458E"/>
    <w:rsid w:val="002F463B"/>
    <w:rsid w:val="002F4A44"/>
    <w:rsid w:val="002F4F0C"/>
    <w:rsid w:val="002F4F21"/>
    <w:rsid w:val="002F51C6"/>
    <w:rsid w:val="002F54F5"/>
    <w:rsid w:val="002F5F68"/>
    <w:rsid w:val="002F64F4"/>
    <w:rsid w:val="002F6545"/>
    <w:rsid w:val="002F6AFF"/>
    <w:rsid w:val="002F6C15"/>
    <w:rsid w:val="002F6E4D"/>
    <w:rsid w:val="002F75ED"/>
    <w:rsid w:val="00300270"/>
    <w:rsid w:val="003005AC"/>
    <w:rsid w:val="00300619"/>
    <w:rsid w:val="00300E56"/>
    <w:rsid w:val="00301874"/>
    <w:rsid w:val="00301893"/>
    <w:rsid w:val="003024F8"/>
    <w:rsid w:val="00302957"/>
    <w:rsid w:val="00302BE7"/>
    <w:rsid w:val="00302FD2"/>
    <w:rsid w:val="00303F43"/>
    <w:rsid w:val="003046B1"/>
    <w:rsid w:val="003048AC"/>
    <w:rsid w:val="00305075"/>
    <w:rsid w:val="00305165"/>
    <w:rsid w:val="00305DBF"/>
    <w:rsid w:val="00306BE8"/>
    <w:rsid w:val="00306C38"/>
    <w:rsid w:val="00306D71"/>
    <w:rsid w:val="00307B42"/>
    <w:rsid w:val="00310AC2"/>
    <w:rsid w:val="00311079"/>
    <w:rsid w:val="00311275"/>
    <w:rsid w:val="00311370"/>
    <w:rsid w:val="003114E2"/>
    <w:rsid w:val="00311644"/>
    <w:rsid w:val="00311C54"/>
    <w:rsid w:val="003120FC"/>
    <w:rsid w:val="00312690"/>
    <w:rsid w:val="00313205"/>
    <w:rsid w:val="00313A18"/>
    <w:rsid w:val="00313B1E"/>
    <w:rsid w:val="00313BF8"/>
    <w:rsid w:val="00314586"/>
    <w:rsid w:val="003148BD"/>
    <w:rsid w:val="0031491C"/>
    <w:rsid w:val="00314D2D"/>
    <w:rsid w:val="00314F43"/>
    <w:rsid w:val="00315FB2"/>
    <w:rsid w:val="003161DF"/>
    <w:rsid w:val="003163C1"/>
    <w:rsid w:val="00316885"/>
    <w:rsid w:val="00316932"/>
    <w:rsid w:val="00317054"/>
    <w:rsid w:val="003171DA"/>
    <w:rsid w:val="00317449"/>
    <w:rsid w:val="003175DB"/>
    <w:rsid w:val="00317B38"/>
    <w:rsid w:val="003200D3"/>
    <w:rsid w:val="00320372"/>
    <w:rsid w:val="00321177"/>
    <w:rsid w:val="00321666"/>
    <w:rsid w:val="003218F5"/>
    <w:rsid w:val="00321BF0"/>
    <w:rsid w:val="00321EA8"/>
    <w:rsid w:val="00322266"/>
    <w:rsid w:val="00322E3F"/>
    <w:rsid w:val="00323D21"/>
    <w:rsid w:val="00323F10"/>
    <w:rsid w:val="0032492E"/>
    <w:rsid w:val="00324A9E"/>
    <w:rsid w:val="00324B5A"/>
    <w:rsid w:val="003250BF"/>
    <w:rsid w:val="003253A6"/>
    <w:rsid w:val="003255F0"/>
    <w:rsid w:val="003255FE"/>
    <w:rsid w:val="00325839"/>
    <w:rsid w:val="00326735"/>
    <w:rsid w:val="00326BFE"/>
    <w:rsid w:val="00327B02"/>
    <w:rsid w:val="003302A3"/>
    <w:rsid w:val="00330604"/>
    <w:rsid w:val="0033066B"/>
    <w:rsid w:val="003307FF"/>
    <w:rsid w:val="0033089A"/>
    <w:rsid w:val="00330E3D"/>
    <w:rsid w:val="00331262"/>
    <w:rsid w:val="003313ED"/>
    <w:rsid w:val="003314F2"/>
    <w:rsid w:val="00331EBB"/>
    <w:rsid w:val="00331F3D"/>
    <w:rsid w:val="00332250"/>
    <w:rsid w:val="003328A8"/>
    <w:rsid w:val="003329AE"/>
    <w:rsid w:val="00332DCE"/>
    <w:rsid w:val="00332F31"/>
    <w:rsid w:val="00332FA0"/>
    <w:rsid w:val="00333854"/>
    <w:rsid w:val="00334249"/>
    <w:rsid w:val="00334502"/>
    <w:rsid w:val="00334A9A"/>
    <w:rsid w:val="00334ACE"/>
    <w:rsid w:val="00335273"/>
    <w:rsid w:val="003354DE"/>
    <w:rsid w:val="003358B3"/>
    <w:rsid w:val="00335AD7"/>
    <w:rsid w:val="00335F23"/>
    <w:rsid w:val="0033655B"/>
    <w:rsid w:val="00336780"/>
    <w:rsid w:val="003367F1"/>
    <w:rsid w:val="0033692A"/>
    <w:rsid w:val="00337484"/>
    <w:rsid w:val="00337A20"/>
    <w:rsid w:val="00337B85"/>
    <w:rsid w:val="00340061"/>
    <w:rsid w:val="00340078"/>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581B"/>
    <w:rsid w:val="0034620C"/>
    <w:rsid w:val="0034666F"/>
    <w:rsid w:val="00346B33"/>
    <w:rsid w:val="00346C36"/>
    <w:rsid w:val="00346DCE"/>
    <w:rsid w:val="00346F0B"/>
    <w:rsid w:val="00347305"/>
    <w:rsid w:val="00347670"/>
    <w:rsid w:val="00347FE4"/>
    <w:rsid w:val="00350C4B"/>
    <w:rsid w:val="00350CED"/>
    <w:rsid w:val="00351159"/>
    <w:rsid w:val="00351351"/>
    <w:rsid w:val="003515A7"/>
    <w:rsid w:val="00351933"/>
    <w:rsid w:val="00351DBA"/>
    <w:rsid w:val="00352192"/>
    <w:rsid w:val="003521CC"/>
    <w:rsid w:val="003523B9"/>
    <w:rsid w:val="0035247B"/>
    <w:rsid w:val="0035263B"/>
    <w:rsid w:val="00352C44"/>
    <w:rsid w:val="00352DD1"/>
    <w:rsid w:val="00352E67"/>
    <w:rsid w:val="0035324F"/>
    <w:rsid w:val="003535F6"/>
    <w:rsid w:val="0035368C"/>
    <w:rsid w:val="00353C71"/>
    <w:rsid w:val="00353F4D"/>
    <w:rsid w:val="0035437F"/>
    <w:rsid w:val="00354AF2"/>
    <w:rsid w:val="00354B5D"/>
    <w:rsid w:val="00355D3C"/>
    <w:rsid w:val="003560ED"/>
    <w:rsid w:val="00356DB7"/>
    <w:rsid w:val="0035710D"/>
    <w:rsid w:val="0035778E"/>
    <w:rsid w:val="003600D1"/>
    <w:rsid w:val="00360158"/>
    <w:rsid w:val="0036031B"/>
    <w:rsid w:val="00360B43"/>
    <w:rsid w:val="00360F46"/>
    <w:rsid w:val="00360FE1"/>
    <w:rsid w:val="00361A6E"/>
    <w:rsid w:val="00362052"/>
    <w:rsid w:val="003620E5"/>
    <w:rsid w:val="003621CF"/>
    <w:rsid w:val="0036230B"/>
    <w:rsid w:val="00363292"/>
    <w:rsid w:val="00363703"/>
    <w:rsid w:val="00363B73"/>
    <w:rsid w:val="00364279"/>
    <w:rsid w:val="00364BBC"/>
    <w:rsid w:val="00364E06"/>
    <w:rsid w:val="0036521B"/>
    <w:rsid w:val="00365222"/>
    <w:rsid w:val="00366322"/>
    <w:rsid w:val="00366883"/>
    <w:rsid w:val="00367365"/>
    <w:rsid w:val="003673F4"/>
    <w:rsid w:val="00367DDE"/>
    <w:rsid w:val="00367F3E"/>
    <w:rsid w:val="0037087E"/>
    <w:rsid w:val="003709F9"/>
    <w:rsid w:val="00370AF3"/>
    <w:rsid w:val="00370D7F"/>
    <w:rsid w:val="0037103E"/>
    <w:rsid w:val="003719AB"/>
    <w:rsid w:val="00371BA5"/>
    <w:rsid w:val="00371DB7"/>
    <w:rsid w:val="00371ECD"/>
    <w:rsid w:val="0037208A"/>
    <w:rsid w:val="0037264F"/>
    <w:rsid w:val="0037268C"/>
    <w:rsid w:val="00372E72"/>
    <w:rsid w:val="0037389E"/>
    <w:rsid w:val="00373EEC"/>
    <w:rsid w:val="00374533"/>
    <w:rsid w:val="00374593"/>
    <w:rsid w:val="003746E1"/>
    <w:rsid w:val="00374E55"/>
    <w:rsid w:val="00374F44"/>
    <w:rsid w:val="00374F45"/>
    <w:rsid w:val="003750ED"/>
    <w:rsid w:val="00375BCF"/>
    <w:rsid w:val="00375F4E"/>
    <w:rsid w:val="00375FC9"/>
    <w:rsid w:val="00376080"/>
    <w:rsid w:val="00376725"/>
    <w:rsid w:val="00376889"/>
    <w:rsid w:val="00377939"/>
    <w:rsid w:val="00377C29"/>
    <w:rsid w:val="00380BB2"/>
    <w:rsid w:val="0038101C"/>
    <w:rsid w:val="00381471"/>
    <w:rsid w:val="003814BD"/>
    <w:rsid w:val="00381F3E"/>
    <w:rsid w:val="00381F70"/>
    <w:rsid w:val="0038214E"/>
    <w:rsid w:val="003823AB"/>
    <w:rsid w:val="00382C81"/>
    <w:rsid w:val="00383147"/>
    <w:rsid w:val="00383E2B"/>
    <w:rsid w:val="00383E46"/>
    <w:rsid w:val="00383F39"/>
    <w:rsid w:val="00384416"/>
    <w:rsid w:val="0038472F"/>
    <w:rsid w:val="00384D07"/>
    <w:rsid w:val="003851CF"/>
    <w:rsid w:val="003851DF"/>
    <w:rsid w:val="003854C1"/>
    <w:rsid w:val="00385F9F"/>
    <w:rsid w:val="00386298"/>
    <w:rsid w:val="0038730F"/>
    <w:rsid w:val="0038793F"/>
    <w:rsid w:val="00387F82"/>
    <w:rsid w:val="00387FE6"/>
    <w:rsid w:val="003902DE"/>
    <w:rsid w:val="0039112C"/>
    <w:rsid w:val="00391184"/>
    <w:rsid w:val="00391454"/>
    <w:rsid w:val="00391520"/>
    <w:rsid w:val="00391521"/>
    <w:rsid w:val="00391770"/>
    <w:rsid w:val="003917CD"/>
    <w:rsid w:val="003917D7"/>
    <w:rsid w:val="00391A34"/>
    <w:rsid w:val="0039213B"/>
    <w:rsid w:val="0039284B"/>
    <w:rsid w:val="00392A5C"/>
    <w:rsid w:val="00392AC3"/>
    <w:rsid w:val="0039311D"/>
    <w:rsid w:val="003932CB"/>
    <w:rsid w:val="003933AA"/>
    <w:rsid w:val="00393566"/>
    <w:rsid w:val="00393712"/>
    <w:rsid w:val="00393B0F"/>
    <w:rsid w:val="00393EC0"/>
    <w:rsid w:val="00394BBE"/>
    <w:rsid w:val="00394F2D"/>
    <w:rsid w:val="0039535A"/>
    <w:rsid w:val="003958A5"/>
    <w:rsid w:val="00395B5D"/>
    <w:rsid w:val="00395BA0"/>
    <w:rsid w:val="00395C29"/>
    <w:rsid w:val="003964EE"/>
    <w:rsid w:val="00396B2C"/>
    <w:rsid w:val="00396CE0"/>
    <w:rsid w:val="00397100"/>
    <w:rsid w:val="003972DE"/>
    <w:rsid w:val="003977EA"/>
    <w:rsid w:val="00397A67"/>
    <w:rsid w:val="00397F05"/>
    <w:rsid w:val="003A0459"/>
    <w:rsid w:val="003A08EB"/>
    <w:rsid w:val="003A0B92"/>
    <w:rsid w:val="003A0CA4"/>
    <w:rsid w:val="003A0DB9"/>
    <w:rsid w:val="003A118B"/>
    <w:rsid w:val="003A1253"/>
    <w:rsid w:val="003A17EB"/>
    <w:rsid w:val="003A1876"/>
    <w:rsid w:val="003A2776"/>
    <w:rsid w:val="003A2958"/>
    <w:rsid w:val="003A30FF"/>
    <w:rsid w:val="003A3448"/>
    <w:rsid w:val="003A3662"/>
    <w:rsid w:val="003A3A54"/>
    <w:rsid w:val="003A3E40"/>
    <w:rsid w:val="003A3FD1"/>
    <w:rsid w:val="003A4116"/>
    <w:rsid w:val="003A42CA"/>
    <w:rsid w:val="003A45B6"/>
    <w:rsid w:val="003A480E"/>
    <w:rsid w:val="003A48DB"/>
    <w:rsid w:val="003A48F8"/>
    <w:rsid w:val="003A4BE9"/>
    <w:rsid w:val="003A5F44"/>
    <w:rsid w:val="003A669C"/>
    <w:rsid w:val="003A67BF"/>
    <w:rsid w:val="003A683C"/>
    <w:rsid w:val="003A6BE2"/>
    <w:rsid w:val="003A6E26"/>
    <w:rsid w:val="003A70D0"/>
    <w:rsid w:val="003A70DA"/>
    <w:rsid w:val="003A70F6"/>
    <w:rsid w:val="003A7A11"/>
    <w:rsid w:val="003A7C7D"/>
    <w:rsid w:val="003B02EA"/>
    <w:rsid w:val="003B0C0D"/>
    <w:rsid w:val="003B104C"/>
    <w:rsid w:val="003B1401"/>
    <w:rsid w:val="003B16BA"/>
    <w:rsid w:val="003B1975"/>
    <w:rsid w:val="003B1DE0"/>
    <w:rsid w:val="003B1EA4"/>
    <w:rsid w:val="003B24F3"/>
    <w:rsid w:val="003B29D5"/>
    <w:rsid w:val="003B2C77"/>
    <w:rsid w:val="003B2D2A"/>
    <w:rsid w:val="003B2DBA"/>
    <w:rsid w:val="003B395E"/>
    <w:rsid w:val="003B3F78"/>
    <w:rsid w:val="003B42BB"/>
    <w:rsid w:val="003B479B"/>
    <w:rsid w:val="003B4E1F"/>
    <w:rsid w:val="003B4F3A"/>
    <w:rsid w:val="003B56C8"/>
    <w:rsid w:val="003B59BA"/>
    <w:rsid w:val="003B59C8"/>
    <w:rsid w:val="003B5BFF"/>
    <w:rsid w:val="003B5E9B"/>
    <w:rsid w:val="003B60BC"/>
    <w:rsid w:val="003B6799"/>
    <w:rsid w:val="003B6878"/>
    <w:rsid w:val="003B6933"/>
    <w:rsid w:val="003B6BE6"/>
    <w:rsid w:val="003B6C2D"/>
    <w:rsid w:val="003B779E"/>
    <w:rsid w:val="003B7EF3"/>
    <w:rsid w:val="003C0C86"/>
    <w:rsid w:val="003C0D7B"/>
    <w:rsid w:val="003C0ECE"/>
    <w:rsid w:val="003C1141"/>
    <w:rsid w:val="003C15E5"/>
    <w:rsid w:val="003C20B5"/>
    <w:rsid w:val="003C25A5"/>
    <w:rsid w:val="003C2626"/>
    <w:rsid w:val="003C2A25"/>
    <w:rsid w:val="003C3303"/>
    <w:rsid w:val="003C382A"/>
    <w:rsid w:val="003C386A"/>
    <w:rsid w:val="003C3935"/>
    <w:rsid w:val="003C5176"/>
    <w:rsid w:val="003C518B"/>
    <w:rsid w:val="003C52D1"/>
    <w:rsid w:val="003C5533"/>
    <w:rsid w:val="003C5FF5"/>
    <w:rsid w:val="003C657E"/>
    <w:rsid w:val="003C6843"/>
    <w:rsid w:val="003C6F1F"/>
    <w:rsid w:val="003C738A"/>
    <w:rsid w:val="003C766D"/>
    <w:rsid w:val="003C766F"/>
    <w:rsid w:val="003C7A10"/>
    <w:rsid w:val="003D0974"/>
    <w:rsid w:val="003D1604"/>
    <w:rsid w:val="003D20B7"/>
    <w:rsid w:val="003D27A7"/>
    <w:rsid w:val="003D2AD7"/>
    <w:rsid w:val="003D47E8"/>
    <w:rsid w:val="003D4C19"/>
    <w:rsid w:val="003D4CEE"/>
    <w:rsid w:val="003D54DF"/>
    <w:rsid w:val="003D5807"/>
    <w:rsid w:val="003D5D11"/>
    <w:rsid w:val="003D5DB8"/>
    <w:rsid w:val="003D601F"/>
    <w:rsid w:val="003D61F4"/>
    <w:rsid w:val="003D63C1"/>
    <w:rsid w:val="003D6980"/>
    <w:rsid w:val="003D6D37"/>
    <w:rsid w:val="003D72A8"/>
    <w:rsid w:val="003D75B3"/>
    <w:rsid w:val="003E05A4"/>
    <w:rsid w:val="003E086F"/>
    <w:rsid w:val="003E0AC7"/>
    <w:rsid w:val="003E11EA"/>
    <w:rsid w:val="003E194D"/>
    <w:rsid w:val="003E1DAF"/>
    <w:rsid w:val="003E2161"/>
    <w:rsid w:val="003E2349"/>
    <w:rsid w:val="003E242C"/>
    <w:rsid w:val="003E2564"/>
    <w:rsid w:val="003E2DF0"/>
    <w:rsid w:val="003E328B"/>
    <w:rsid w:val="003E34AC"/>
    <w:rsid w:val="003E401F"/>
    <w:rsid w:val="003E424A"/>
    <w:rsid w:val="003E466D"/>
    <w:rsid w:val="003E4C45"/>
    <w:rsid w:val="003E4C6B"/>
    <w:rsid w:val="003E4DCA"/>
    <w:rsid w:val="003E5142"/>
    <w:rsid w:val="003E547F"/>
    <w:rsid w:val="003E54E0"/>
    <w:rsid w:val="003E60B2"/>
    <w:rsid w:val="003E68E0"/>
    <w:rsid w:val="003E6965"/>
    <w:rsid w:val="003E6EF0"/>
    <w:rsid w:val="003E6FC7"/>
    <w:rsid w:val="003E720F"/>
    <w:rsid w:val="003E74D8"/>
    <w:rsid w:val="003E75D8"/>
    <w:rsid w:val="003E7F94"/>
    <w:rsid w:val="003F010D"/>
    <w:rsid w:val="003F019A"/>
    <w:rsid w:val="003F06D7"/>
    <w:rsid w:val="003F07F8"/>
    <w:rsid w:val="003F0EF9"/>
    <w:rsid w:val="003F0FF4"/>
    <w:rsid w:val="003F12DD"/>
    <w:rsid w:val="003F18BB"/>
    <w:rsid w:val="003F20EB"/>
    <w:rsid w:val="003F23D1"/>
    <w:rsid w:val="003F3014"/>
    <w:rsid w:val="003F3B24"/>
    <w:rsid w:val="003F3D4C"/>
    <w:rsid w:val="003F48A1"/>
    <w:rsid w:val="003F4EBB"/>
    <w:rsid w:val="003F4F0B"/>
    <w:rsid w:val="003F4F1F"/>
    <w:rsid w:val="003F5114"/>
    <w:rsid w:val="003F5691"/>
    <w:rsid w:val="003F573F"/>
    <w:rsid w:val="003F5810"/>
    <w:rsid w:val="003F59BF"/>
    <w:rsid w:val="003F5D8D"/>
    <w:rsid w:val="003F67A0"/>
    <w:rsid w:val="003F70B7"/>
    <w:rsid w:val="003F7132"/>
    <w:rsid w:val="003F7C70"/>
    <w:rsid w:val="0040011F"/>
    <w:rsid w:val="00400E13"/>
    <w:rsid w:val="00400F48"/>
    <w:rsid w:val="004014E5"/>
    <w:rsid w:val="0040217F"/>
    <w:rsid w:val="004021D9"/>
    <w:rsid w:val="004022DF"/>
    <w:rsid w:val="0040243B"/>
    <w:rsid w:val="0040275F"/>
    <w:rsid w:val="00402B71"/>
    <w:rsid w:val="00402B7E"/>
    <w:rsid w:val="0040309C"/>
    <w:rsid w:val="00403965"/>
    <w:rsid w:val="0040403B"/>
    <w:rsid w:val="0040422E"/>
    <w:rsid w:val="00404321"/>
    <w:rsid w:val="00404C1C"/>
    <w:rsid w:val="004055CA"/>
    <w:rsid w:val="0040578D"/>
    <w:rsid w:val="00405883"/>
    <w:rsid w:val="0040635F"/>
    <w:rsid w:val="00406FB3"/>
    <w:rsid w:val="0040711A"/>
    <w:rsid w:val="00407256"/>
    <w:rsid w:val="00407B68"/>
    <w:rsid w:val="004103E4"/>
    <w:rsid w:val="004106E8"/>
    <w:rsid w:val="00410AA5"/>
    <w:rsid w:val="00410D52"/>
    <w:rsid w:val="004117D7"/>
    <w:rsid w:val="004119B8"/>
    <w:rsid w:val="00414291"/>
    <w:rsid w:val="00414340"/>
    <w:rsid w:val="0041473F"/>
    <w:rsid w:val="00414B1B"/>
    <w:rsid w:val="00414D34"/>
    <w:rsid w:val="004155AA"/>
    <w:rsid w:val="0041560B"/>
    <w:rsid w:val="00415CB0"/>
    <w:rsid w:val="00416242"/>
    <w:rsid w:val="004167F1"/>
    <w:rsid w:val="00416BCF"/>
    <w:rsid w:val="00416CC6"/>
    <w:rsid w:val="004171E4"/>
    <w:rsid w:val="0042096B"/>
    <w:rsid w:val="00420C34"/>
    <w:rsid w:val="004212FB"/>
    <w:rsid w:val="00421456"/>
    <w:rsid w:val="00421D7F"/>
    <w:rsid w:val="00421FAB"/>
    <w:rsid w:val="00422CEE"/>
    <w:rsid w:val="00423FDF"/>
    <w:rsid w:val="004241A6"/>
    <w:rsid w:val="0042427A"/>
    <w:rsid w:val="004244B5"/>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27BD6"/>
    <w:rsid w:val="00430028"/>
    <w:rsid w:val="0043002D"/>
    <w:rsid w:val="00430250"/>
    <w:rsid w:val="00430267"/>
    <w:rsid w:val="00430665"/>
    <w:rsid w:val="00430681"/>
    <w:rsid w:val="004307F3"/>
    <w:rsid w:val="00430878"/>
    <w:rsid w:val="00430B59"/>
    <w:rsid w:val="00430D0F"/>
    <w:rsid w:val="00430DBA"/>
    <w:rsid w:val="00430DC4"/>
    <w:rsid w:val="00431439"/>
    <w:rsid w:val="00431E31"/>
    <w:rsid w:val="004321D9"/>
    <w:rsid w:val="0043261E"/>
    <w:rsid w:val="00432662"/>
    <w:rsid w:val="004330EE"/>
    <w:rsid w:val="004337E2"/>
    <w:rsid w:val="00433AFD"/>
    <w:rsid w:val="00433B54"/>
    <w:rsid w:val="00434C40"/>
    <w:rsid w:val="0043533A"/>
    <w:rsid w:val="00435A56"/>
    <w:rsid w:val="00435C00"/>
    <w:rsid w:val="00435E97"/>
    <w:rsid w:val="00436744"/>
    <w:rsid w:val="00436D74"/>
    <w:rsid w:val="0043707F"/>
    <w:rsid w:val="004371D9"/>
    <w:rsid w:val="004379CF"/>
    <w:rsid w:val="004403ED"/>
    <w:rsid w:val="004410D1"/>
    <w:rsid w:val="004412E4"/>
    <w:rsid w:val="004415C4"/>
    <w:rsid w:val="00441A68"/>
    <w:rsid w:val="00441D70"/>
    <w:rsid w:val="00441E2C"/>
    <w:rsid w:val="00442004"/>
    <w:rsid w:val="00442882"/>
    <w:rsid w:val="004432AD"/>
    <w:rsid w:val="0044354A"/>
    <w:rsid w:val="00443B1E"/>
    <w:rsid w:val="00443B7E"/>
    <w:rsid w:val="00444230"/>
    <w:rsid w:val="004442E9"/>
    <w:rsid w:val="004446CE"/>
    <w:rsid w:val="00444DEA"/>
    <w:rsid w:val="00445A83"/>
    <w:rsid w:val="00445BDD"/>
    <w:rsid w:val="0044640D"/>
    <w:rsid w:val="004467FC"/>
    <w:rsid w:val="00446BC7"/>
    <w:rsid w:val="00446BD0"/>
    <w:rsid w:val="00446E64"/>
    <w:rsid w:val="004470AB"/>
    <w:rsid w:val="004474FB"/>
    <w:rsid w:val="00447955"/>
    <w:rsid w:val="00447CEE"/>
    <w:rsid w:val="00447DB7"/>
    <w:rsid w:val="00447F26"/>
    <w:rsid w:val="004503CC"/>
    <w:rsid w:val="00450904"/>
    <w:rsid w:val="00450959"/>
    <w:rsid w:val="00450DAC"/>
    <w:rsid w:val="0045130B"/>
    <w:rsid w:val="004514D6"/>
    <w:rsid w:val="00451BCC"/>
    <w:rsid w:val="0045202C"/>
    <w:rsid w:val="00452ACD"/>
    <w:rsid w:val="00452D8C"/>
    <w:rsid w:val="00453620"/>
    <w:rsid w:val="004537BB"/>
    <w:rsid w:val="00453DBF"/>
    <w:rsid w:val="00453DF2"/>
    <w:rsid w:val="00453F9D"/>
    <w:rsid w:val="00454264"/>
    <w:rsid w:val="00454C2D"/>
    <w:rsid w:val="00454D44"/>
    <w:rsid w:val="00454E4A"/>
    <w:rsid w:val="0045515F"/>
    <w:rsid w:val="00455623"/>
    <w:rsid w:val="004556DC"/>
    <w:rsid w:val="00455806"/>
    <w:rsid w:val="00455C14"/>
    <w:rsid w:val="00455FEA"/>
    <w:rsid w:val="00456009"/>
    <w:rsid w:val="0045606B"/>
    <w:rsid w:val="00456247"/>
    <w:rsid w:val="0045676B"/>
    <w:rsid w:val="00456902"/>
    <w:rsid w:val="0045692C"/>
    <w:rsid w:val="00456A6A"/>
    <w:rsid w:val="00456DCB"/>
    <w:rsid w:val="00456DCE"/>
    <w:rsid w:val="00457726"/>
    <w:rsid w:val="00457D59"/>
    <w:rsid w:val="004601F3"/>
    <w:rsid w:val="00460C81"/>
    <w:rsid w:val="004616FC"/>
    <w:rsid w:val="00461733"/>
    <w:rsid w:val="00461B13"/>
    <w:rsid w:val="004620E3"/>
    <w:rsid w:val="00462497"/>
    <w:rsid w:val="00462710"/>
    <w:rsid w:val="0046288F"/>
    <w:rsid w:val="00463627"/>
    <w:rsid w:val="00463BE6"/>
    <w:rsid w:val="00463DFF"/>
    <w:rsid w:val="0046430D"/>
    <w:rsid w:val="00464403"/>
    <w:rsid w:val="00464D40"/>
    <w:rsid w:val="004659F9"/>
    <w:rsid w:val="00465BFA"/>
    <w:rsid w:val="004663E1"/>
    <w:rsid w:val="0046689F"/>
    <w:rsid w:val="00467168"/>
    <w:rsid w:val="004674BD"/>
    <w:rsid w:val="00467EDB"/>
    <w:rsid w:val="00467FC4"/>
    <w:rsid w:val="00470B48"/>
    <w:rsid w:val="00470CC6"/>
    <w:rsid w:val="004710EB"/>
    <w:rsid w:val="00471547"/>
    <w:rsid w:val="004715AC"/>
    <w:rsid w:val="00471940"/>
    <w:rsid w:val="004719BB"/>
    <w:rsid w:val="00471CF0"/>
    <w:rsid w:val="004723A6"/>
    <w:rsid w:val="00472540"/>
    <w:rsid w:val="00472548"/>
    <w:rsid w:val="00472B9E"/>
    <w:rsid w:val="00472E65"/>
    <w:rsid w:val="00472E89"/>
    <w:rsid w:val="004731AF"/>
    <w:rsid w:val="0047357D"/>
    <w:rsid w:val="00473AF7"/>
    <w:rsid w:val="00473CC9"/>
    <w:rsid w:val="00473EAF"/>
    <w:rsid w:val="004747C1"/>
    <w:rsid w:val="00474C54"/>
    <w:rsid w:val="00474E02"/>
    <w:rsid w:val="00475428"/>
    <w:rsid w:val="0047576D"/>
    <w:rsid w:val="00475B99"/>
    <w:rsid w:val="00475E02"/>
    <w:rsid w:val="00475E8E"/>
    <w:rsid w:val="00475F00"/>
    <w:rsid w:val="00475F0F"/>
    <w:rsid w:val="00476064"/>
    <w:rsid w:val="0047614F"/>
    <w:rsid w:val="00476181"/>
    <w:rsid w:val="00476316"/>
    <w:rsid w:val="00477204"/>
    <w:rsid w:val="00477315"/>
    <w:rsid w:val="004777C4"/>
    <w:rsid w:val="00480609"/>
    <w:rsid w:val="0048060B"/>
    <w:rsid w:val="00480655"/>
    <w:rsid w:val="00480B1E"/>
    <w:rsid w:val="00480EBD"/>
    <w:rsid w:val="00481217"/>
    <w:rsid w:val="00481409"/>
    <w:rsid w:val="00481B86"/>
    <w:rsid w:val="00481F8E"/>
    <w:rsid w:val="004824E8"/>
    <w:rsid w:val="0048299D"/>
    <w:rsid w:val="00482BD4"/>
    <w:rsid w:val="00482CF9"/>
    <w:rsid w:val="00482D8B"/>
    <w:rsid w:val="00483135"/>
    <w:rsid w:val="0048364C"/>
    <w:rsid w:val="0048365F"/>
    <w:rsid w:val="004839CF"/>
    <w:rsid w:val="00484336"/>
    <w:rsid w:val="0048493D"/>
    <w:rsid w:val="00484F5C"/>
    <w:rsid w:val="00485603"/>
    <w:rsid w:val="00485BE4"/>
    <w:rsid w:val="00485F61"/>
    <w:rsid w:val="00485FCA"/>
    <w:rsid w:val="00486560"/>
    <w:rsid w:val="0048679C"/>
    <w:rsid w:val="004874EA"/>
    <w:rsid w:val="00487BEB"/>
    <w:rsid w:val="004905F8"/>
    <w:rsid w:val="0049061B"/>
    <w:rsid w:val="00490821"/>
    <w:rsid w:val="00491282"/>
    <w:rsid w:val="00491437"/>
    <w:rsid w:val="00491627"/>
    <w:rsid w:val="0049186B"/>
    <w:rsid w:val="00491C27"/>
    <w:rsid w:val="00491C30"/>
    <w:rsid w:val="00491CB5"/>
    <w:rsid w:val="00491FCE"/>
    <w:rsid w:val="00492797"/>
    <w:rsid w:val="004929B5"/>
    <w:rsid w:val="00492C0A"/>
    <w:rsid w:val="00492C25"/>
    <w:rsid w:val="00492E07"/>
    <w:rsid w:val="004934F6"/>
    <w:rsid w:val="00493623"/>
    <w:rsid w:val="00493770"/>
    <w:rsid w:val="00494342"/>
    <w:rsid w:val="004943DE"/>
    <w:rsid w:val="00494B94"/>
    <w:rsid w:val="00495C0E"/>
    <w:rsid w:val="00496910"/>
    <w:rsid w:val="00496EE4"/>
    <w:rsid w:val="004970B7"/>
    <w:rsid w:val="00497640"/>
    <w:rsid w:val="004A00E1"/>
    <w:rsid w:val="004A05EA"/>
    <w:rsid w:val="004A05FD"/>
    <w:rsid w:val="004A0807"/>
    <w:rsid w:val="004A0A8A"/>
    <w:rsid w:val="004A0F0F"/>
    <w:rsid w:val="004A12BB"/>
    <w:rsid w:val="004A12DF"/>
    <w:rsid w:val="004A165C"/>
    <w:rsid w:val="004A1F9C"/>
    <w:rsid w:val="004A2081"/>
    <w:rsid w:val="004A2879"/>
    <w:rsid w:val="004A28CA"/>
    <w:rsid w:val="004A3994"/>
    <w:rsid w:val="004A3B3C"/>
    <w:rsid w:val="004A4281"/>
    <w:rsid w:val="004A44AA"/>
    <w:rsid w:val="004A4754"/>
    <w:rsid w:val="004A4BAD"/>
    <w:rsid w:val="004A4BD1"/>
    <w:rsid w:val="004A5025"/>
    <w:rsid w:val="004A5206"/>
    <w:rsid w:val="004A5330"/>
    <w:rsid w:val="004A5ACE"/>
    <w:rsid w:val="004A67B0"/>
    <w:rsid w:val="004A6934"/>
    <w:rsid w:val="004A6EF7"/>
    <w:rsid w:val="004A6F8D"/>
    <w:rsid w:val="004A767A"/>
    <w:rsid w:val="004A7FE3"/>
    <w:rsid w:val="004B0159"/>
    <w:rsid w:val="004B128D"/>
    <w:rsid w:val="004B1822"/>
    <w:rsid w:val="004B1A60"/>
    <w:rsid w:val="004B1A96"/>
    <w:rsid w:val="004B1F3A"/>
    <w:rsid w:val="004B23C8"/>
    <w:rsid w:val="004B266A"/>
    <w:rsid w:val="004B283B"/>
    <w:rsid w:val="004B296E"/>
    <w:rsid w:val="004B2EC9"/>
    <w:rsid w:val="004B32DA"/>
    <w:rsid w:val="004B35F0"/>
    <w:rsid w:val="004B3729"/>
    <w:rsid w:val="004B37F5"/>
    <w:rsid w:val="004B3C28"/>
    <w:rsid w:val="004B43F1"/>
    <w:rsid w:val="004B4720"/>
    <w:rsid w:val="004B490F"/>
    <w:rsid w:val="004B496F"/>
    <w:rsid w:val="004B4A44"/>
    <w:rsid w:val="004B53AB"/>
    <w:rsid w:val="004B62AD"/>
    <w:rsid w:val="004B6924"/>
    <w:rsid w:val="004B6D8D"/>
    <w:rsid w:val="004B7734"/>
    <w:rsid w:val="004B7B4F"/>
    <w:rsid w:val="004C0129"/>
    <w:rsid w:val="004C0433"/>
    <w:rsid w:val="004C04C6"/>
    <w:rsid w:val="004C1025"/>
    <w:rsid w:val="004C1653"/>
    <w:rsid w:val="004C1747"/>
    <w:rsid w:val="004C18BE"/>
    <w:rsid w:val="004C22FC"/>
    <w:rsid w:val="004C28CC"/>
    <w:rsid w:val="004C298C"/>
    <w:rsid w:val="004C2B5E"/>
    <w:rsid w:val="004C34F9"/>
    <w:rsid w:val="004C3A23"/>
    <w:rsid w:val="004C4314"/>
    <w:rsid w:val="004C51F5"/>
    <w:rsid w:val="004C5B5D"/>
    <w:rsid w:val="004C6070"/>
    <w:rsid w:val="004C6B9D"/>
    <w:rsid w:val="004C6F22"/>
    <w:rsid w:val="004C710C"/>
    <w:rsid w:val="004C79F9"/>
    <w:rsid w:val="004C7A60"/>
    <w:rsid w:val="004C7E55"/>
    <w:rsid w:val="004C7E62"/>
    <w:rsid w:val="004D1AA5"/>
    <w:rsid w:val="004D2D0A"/>
    <w:rsid w:val="004D3175"/>
    <w:rsid w:val="004D3295"/>
    <w:rsid w:val="004D33DC"/>
    <w:rsid w:val="004D349E"/>
    <w:rsid w:val="004D3800"/>
    <w:rsid w:val="004D4408"/>
    <w:rsid w:val="004D54BC"/>
    <w:rsid w:val="004D6C18"/>
    <w:rsid w:val="004D6D6D"/>
    <w:rsid w:val="004D6FDF"/>
    <w:rsid w:val="004D79C4"/>
    <w:rsid w:val="004D7CE2"/>
    <w:rsid w:val="004D7D6F"/>
    <w:rsid w:val="004D7EA8"/>
    <w:rsid w:val="004E0326"/>
    <w:rsid w:val="004E053A"/>
    <w:rsid w:val="004E0542"/>
    <w:rsid w:val="004E0B32"/>
    <w:rsid w:val="004E0DAF"/>
    <w:rsid w:val="004E138C"/>
    <w:rsid w:val="004E14EB"/>
    <w:rsid w:val="004E16B1"/>
    <w:rsid w:val="004E1800"/>
    <w:rsid w:val="004E228F"/>
    <w:rsid w:val="004E24F3"/>
    <w:rsid w:val="004E282D"/>
    <w:rsid w:val="004E2EF5"/>
    <w:rsid w:val="004E34B3"/>
    <w:rsid w:val="004E37BC"/>
    <w:rsid w:val="004E3959"/>
    <w:rsid w:val="004E3A93"/>
    <w:rsid w:val="004E4139"/>
    <w:rsid w:val="004E4569"/>
    <w:rsid w:val="004E46BB"/>
    <w:rsid w:val="004E4872"/>
    <w:rsid w:val="004E53F9"/>
    <w:rsid w:val="004E5445"/>
    <w:rsid w:val="004E54B0"/>
    <w:rsid w:val="004E587F"/>
    <w:rsid w:val="004E5D12"/>
    <w:rsid w:val="004E6330"/>
    <w:rsid w:val="004E63C4"/>
    <w:rsid w:val="004E6634"/>
    <w:rsid w:val="004E6638"/>
    <w:rsid w:val="004E67EB"/>
    <w:rsid w:val="004E6B9A"/>
    <w:rsid w:val="004E7BF8"/>
    <w:rsid w:val="004E7C9E"/>
    <w:rsid w:val="004E7D66"/>
    <w:rsid w:val="004E7F98"/>
    <w:rsid w:val="004F04E0"/>
    <w:rsid w:val="004F081F"/>
    <w:rsid w:val="004F0F2E"/>
    <w:rsid w:val="004F14F4"/>
    <w:rsid w:val="004F1A6C"/>
    <w:rsid w:val="004F2306"/>
    <w:rsid w:val="004F242C"/>
    <w:rsid w:val="004F2712"/>
    <w:rsid w:val="004F27B2"/>
    <w:rsid w:val="004F2A7A"/>
    <w:rsid w:val="004F2D84"/>
    <w:rsid w:val="004F2DB6"/>
    <w:rsid w:val="004F3213"/>
    <w:rsid w:val="004F329A"/>
    <w:rsid w:val="004F331B"/>
    <w:rsid w:val="004F37B4"/>
    <w:rsid w:val="004F397A"/>
    <w:rsid w:val="004F3F9D"/>
    <w:rsid w:val="004F4008"/>
    <w:rsid w:val="004F41D6"/>
    <w:rsid w:val="004F4CDF"/>
    <w:rsid w:val="004F530E"/>
    <w:rsid w:val="004F55D4"/>
    <w:rsid w:val="004F5610"/>
    <w:rsid w:val="004F5E0C"/>
    <w:rsid w:val="004F66CD"/>
    <w:rsid w:val="004F6762"/>
    <w:rsid w:val="004F679C"/>
    <w:rsid w:val="004F67AA"/>
    <w:rsid w:val="004F766B"/>
    <w:rsid w:val="004F77B6"/>
    <w:rsid w:val="00500766"/>
    <w:rsid w:val="0050077D"/>
    <w:rsid w:val="005014ED"/>
    <w:rsid w:val="0050169D"/>
    <w:rsid w:val="00501C2B"/>
    <w:rsid w:val="00502256"/>
    <w:rsid w:val="00502E9F"/>
    <w:rsid w:val="00503BFB"/>
    <w:rsid w:val="00504315"/>
    <w:rsid w:val="00505092"/>
    <w:rsid w:val="00505500"/>
    <w:rsid w:val="00505E1C"/>
    <w:rsid w:val="005069CC"/>
    <w:rsid w:val="00506A49"/>
    <w:rsid w:val="0050719D"/>
    <w:rsid w:val="00507CB6"/>
    <w:rsid w:val="00507DCF"/>
    <w:rsid w:val="00510138"/>
    <w:rsid w:val="00510FA9"/>
    <w:rsid w:val="005112BB"/>
    <w:rsid w:val="0051265A"/>
    <w:rsid w:val="005127C5"/>
    <w:rsid w:val="00513156"/>
    <w:rsid w:val="0051325C"/>
    <w:rsid w:val="005132AB"/>
    <w:rsid w:val="00513340"/>
    <w:rsid w:val="00514614"/>
    <w:rsid w:val="00514777"/>
    <w:rsid w:val="005152E9"/>
    <w:rsid w:val="00516117"/>
    <w:rsid w:val="00516CB3"/>
    <w:rsid w:val="00516DB5"/>
    <w:rsid w:val="00517019"/>
    <w:rsid w:val="005170ED"/>
    <w:rsid w:val="00517105"/>
    <w:rsid w:val="0051763B"/>
    <w:rsid w:val="00517FC9"/>
    <w:rsid w:val="005209A4"/>
    <w:rsid w:val="00520A30"/>
    <w:rsid w:val="00520A65"/>
    <w:rsid w:val="00521480"/>
    <w:rsid w:val="00521EA2"/>
    <w:rsid w:val="00521F34"/>
    <w:rsid w:val="0052200C"/>
    <w:rsid w:val="0052205A"/>
    <w:rsid w:val="005225DF"/>
    <w:rsid w:val="005229AD"/>
    <w:rsid w:val="00522BA8"/>
    <w:rsid w:val="00523F90"/>
    <w:rsid w:val="005248DA"/>
    <w:rsid w:val="00524BC7"/>
    <w:rsid w:val="00525024"/>
    <w:rsid w:val="005250D6"/>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E91"/>
    <w:rsid w:val="00531E9C"/>
    <w:rsid w:val="00531FCA"/>
    <w:rsid w:val="0053246A"/>
    <w:rsid w:val="005326F2"/>
    <w:rsid w:val="00532B7B"/>
    <w:rsid w:val="00532DAC"/>
    <w:rsid w:val="00532FCF"/>
    <w:rsid w:val="0053314D"/>
    <w:rsid w:val="0053333C"/>
    <w:rsid w:val="005337AC"/>
    <w:rsid w:val="005337D3"/>
    <w:rsid w:val="00533CCC"/>
    <w:rsid w:val="00533D22"/>
    <w:rsid w:val="00533E4B"/>
    <w:rsid w:val="00533E8A"/>
    <w:rsid w:val="00534628"/>
    <w:rsid w:val="00534BBE"/>
    <w:rsid w:val="00534E8B"/>
    <w:rsid w:val="00535419"/>
    <w:rsid w:val="005359B8"/>
    <w:rsid w:val="00535B2F"/>
    <w:rsid w:val="00535E85"/>
    <w:rsid w:val="005362B4"/>
    <w:rsid w:val="0053663D"/>
    <w:rsid w:val="0053667E"/>
    <w:rsid w:val="00536ED9"/>
    <w:rsid w:val="00537082"/>
    <w:rsid w:val="0053776E"/>
    <w:rsid w:val="0053790B"/>
    <w:rsid w:val="00537C9A"/>
    <w:rsid w:val="00540001"/>
    <w:rsid w:val="005401BB"/>
    <w:rsid w:val="00540645"/>
    <w:rsid w:val="00540666"/>
    <w:rsid w:val="00540B35"/>
    <w:rsid w:val="00541A36"/>
    <w:rsid w:val="00542CE4"/>
    <w:rsid w:val="005437AF"/>
    <w:rsid w:val="00543882"/>
    <w:rsid w:val="005439F0"/>
    <w:rsid w:val="005446AA"/>
    <w:rsid w:val="00544BC7"/>
    <w:rsid w:val="005452D7"/>
    <w:rsid w:val="005453C7"/>
    <w:rsid w:val="00545535"/>
    <w:rsid w:val="00545576"/>
    <w:rsid w:val="005457BD"/>
    <w:rsid w:val="0054596E"/>
    <w:rsid w:val="00545DA0"/>
    <w:rsid w:val="0054615C"/>
    <w:rsid w:val="00546E8C"/>
    <w:rsid w:val="0054784E"/>
    <w:rsid w:val="005504D2"/>
    <w:rsid w:val="005507F5"/>
    <w:rsid w:val="005513AE"/>
    <w:rsid w:val="005514C4"/>
    <w:rsid w:val="005515B3"/>
    <w:rsid w:val="00551897"/>
    <w:rsid w:val="005521F4"/>
    <w:rsid w:val="005529C6"/>
    <w:rsid w:val="00552A3C"/>
    <w:rsid w:val="0055338F"/>
    <w:rsid w:val="005537E9"/>
    <w:rsid w:val="00553C67"/>
    <w:rsid w:val="00553D89"/>
    <w:rsid w:val="00553F0A"/>
    <w:rsid w:val="00553F77"/>
    <w:rsid w:val="00554022"/>
    <w:rsid w:val="00554CA8"/>
    <w:rsid w:val="00555164"/>
    <w:rsid w:val="00555194"/>
    <w:rsid w:val="0055567C"/>
    <w:rsid w:val="0055584D"/>
    <w:rsid w:val="00555970"/>
    <w:rsid w:val="00555C92"/>
    <w:rsid w:val="00555D6C"/>
    <w:rsid w:val="005573C0"/>
    <w:rsid w:val="005573FE"/>
    <w:rsid w:val="00557AD3"/>
    <w:rsid w:val="00560055"/>
    <w:rsid w:val="00560603"/>
    <w:rsid w:val="00561CA2"/>
    <w:rsid w:val="00561E18"/>
    <w:rsid w:val="00561EA1"/>
    <w:rsid w:val="00562484"/>
    <w:rsid w:val="00562855"/>
    <w:rsid w:val="005630F2"/>
    <w:rsid w:val="00563402"/>
    <w:rsid w:val="00563C7D"/>
    <w:rsid w:val="00564300"/>
    <w:rsid w:val="00564990"/>
    <w:rsid w:val="00564C4D"/>
    <w:rsid w:val="00564E3E"/>
    <w:rsid w:val="00564F31"/>
    <w:rsid w:val="005650E6"/>
    <w:rsid w:val="005651B2"/>
    <w:rsid w:val="0056537E"/>
    <w:rsid w:val="005656FD"/>
    <w:rsid w:val="0056575E"/>
    <w:rsid w:val="00565A66"/>
    <w:rsid w:val="00565CAB"/>
    <w:rsid w:val="00565E59"/>
    <w:rsid w:val="0056673C"/>
    <w:rsid w:val="005669B6"/>
    <w:rsid w:val="00566E50"/>
    <w:rsid w:val="00567048"/>
    <w:rsid w:val="00567193"/>
    <w:rsid w:val="0056780D"/>
    <w:rsid w:val="00567C22"/>
    <w:rsid w:val="00570367"/>
    <w:rsid w:val="00570511"/>
    <w:rsid w:val="005725AA"/>
    <w:rsid w:val="00572638"/>
    <w:rsid w:val="005726E7"/>
    <w:rsid w:val="00572F2A"/>
    <w:rsid w:val="00573275"/>
    <w:rsid w:val="005738FF"/>
    <w:rsid w:val="005739AC"/>
    <w:rsid w:val="0057417F"/>
    <w:rsid w:val="005743CD"/>
    <w:rsid w:val="00574416"/>
    <w:rsid w:val="00574510"/>
    <w:rsid w:val="00574A06"/>
    <w:rsid w:val="00574B96"/>
    <w:rsid w:val="00574D1E"/>
    <w:rsid w:val="005751EB"/>
    <w:rsid w:val="00575BFE"/>
    <w:rsid w:val="00575D18"/>
    <w:rsid w:val="0057601E"/>
    <w:rsid w:val="005765CB"/>
    <w:rsid w:val="005766C8"/>
    <w:rsid w:val="00576B99"/>
    <w:rsid w:val="0057731B"/>
    <w:rsid w:val="00577B30"/>
    <w:rsid w:val="00577E3A"/>
    <w:rsid w:val="005805AA"/>
    <w:rsid w:val="00581975"/>
    <w:rsid w:val="00581A27"/>
    <w:rsid w:val="00581DBB"/>
    <w:rsid w:val="00582303"/>
    <w:rsid w:val="005823E7"/>
    <w:rsid w:val="00582555"/>
    <w:rsid w:val="0058265A"/>
    <w:rsid w:val="00582B3A"/>
    <w:rsid w:val="00582C14"/>
    <w:rsid w:val="005847FA"/>
    <w:rsid w:val="00584D92"/>
    <w:rsid w:val="0058578B"/>
    <w:rsid w:val="00585998"/>
    <w:rsid w:val="00586FA9"/>
    <w:rsid w:val="0058709A"/>
    <w:rsid w:val="00587620"/>
    <w:rsid w:val="005904BC"/>
    <w:rsid w:val="005904C1"/>
    <w:rsid w:val="00590731"/>
    <w:rsid w:val="00590A24"/>
    <w:rsid w:val="005912A7"/>
    <w:rsid w:val="0059158F"/>
    <w:rsid w:val="00591768"/>
    <w:rsid w:val="00591933"/>
    <w:rsid w:val="005931A5"/>
    <w:rsid w:val="0059325E"/>
    <w:rsid w:val="0059476F"/>
    <w:rsid w:val="00594A4F"/>
    <w:rsid w:val="00594CA4"/>
    <w:rsid w:val="00594F14"/>
    <w:rsid w:val="00595EAE"/>
    <w:rsid w:val="005960A5"/>
    <w:rsid w:val="005960F3"/>
    <w:rsid w:val="005965AB"/>
    <w:rsid w:val="00596AF6"/>
    <w:rsid w:val="00596FDE"/>
    <w:rsid w:val="00597547"/>
    <w:rsid w:val="005A012C"/>
    <w:rsid w:val="005A11AB"/>
    <w:rsid w:val="005A1C9F"/>
    <w:rsid w:val="005A1DD9"/>
    <w:rsid w:val="005A2A32"/>
    <w:rsid w:val="005A2E9F"/>
    <w:rsid w:val="005A35D4"/>
    <w:rsid w:val="005A36C5"/>
    <w:rsid w:val="005A3BD1"/>
    <w:rsid w:val="005A3C7A"/>
    <w:rsid w:val="005A3FA2"/>
    <w:rsid w:val="005A4186"/>
    <w:rsid w:val="005A4734"/>
    <w:rsid w:val="005A4789"/>
    <w:rsid w:val="005A5310"/>
    <w:rsid w:val="005A5834"/>
    <w:rsid w:val="005A5857"/>
    <w:rsid w:val="005A68C9"/>
    <w:rsid w:val="005A70AB"/>
    <w:rsid w:val="005A7163"/>
    <w:rsid w:val="005A77BD"/>
    <w:rsid w:val="005A7D54"/>
    <w:rsid w:val="005B02E9"/>
    <w:rsid w:val="005B0D35"/>
    <w:rsid w:val="005B0E27"/>
    <w:rsid w:val="005B0E5A"/>
    <w:rsid w:val="005B115B"/>
    <w:rsid w:val="005B1208"/>
    <w:rsid w:val="005B16F3"/>
    <w:rsid w:val="005B2472"/>
    <w:rsid w:val="005B2B02"/>
    <w:rsid w:val="005B2B99"/>
    <w:rsid w:val="005B2D4E"/>
    <w:rsid w:val="005B33ED"/>
    <w:rsid w:val="005B385B"/>
    <w:rsid w:val="005B4988"/>
    <w:rsid w:val="005B4FA2"/>
    <w:rsid w:val="005B68E6"/>
    <w:rsid w:val="005B6F93"/>
    <w:rsid w:val="005B7182"/>
    <w:rsid w:val="005B747D"/>
    <w:rsid w:val="005B7864"/>
    <w:rsid w:val="005B7A4A"/>
    <w:rsid w:val="005B7C13"/>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38E1"/>
    <w:rsid w:val="005C4081"/>
    <w:rsid w:val="005C45A2"/>
    <w:rsid w:val="005C4690"/>
    <w:rsid w:val="005C4B0B"/>
    <w:rsid w:val="005C5E73"/>
    <w:rsid w:val="005C6769"/>
    <w:rsid w:val="005C6EE5"/>
    <w:rsid w:val="005D04E6"/>
    <w:rsid w:val="005D0781"/>
    <w:rsid w:val="005D08A4"/>
    <w:rsid w:val="005D1038"/>
    <w:rsid w:val="005D1265"/>
    <w:rsid w:val="005D1399"/>
    <w:rsid w:val="005D178B"/>
    <w:rsid w:val="005D1982"/>
    <w:rsid w:val="005D1C4E"/>
    <w:rsid w:val="005D1DA6"/>
    <w:rsid w:val="005D2339"/>
    <w:rsid w:val="005D2D6D"/>
    <w:rsid w:val="005D2EB0"/>
    <w:rsid w:val="005D302E"/>
    <w:rsid w:val="005D3462"/>
    <w:rsid w:val="005D3531"/>
    <w:rsid w:val="005D3A68"/>
    <w:rsid w:val="005D3E0A"/>
    <w:rsid w:val="005D3F07"/>
    <w:rsid w:val="005D43B8"/>
    <w:rsid w:val="005D4BE5"/>
    <w:rsid w:val="005D52F6"/>
    <w:rsid w:val="005D55CC"/>
    <w:rsid w:val="005D5BD9"/>
    <w:rsid w:val="005D60A1"/>
    <w:rsid w:val="005D61E4"/>
    <w:rsid w:val="005D6261"/>
    <w:rsid w:val="005D6384"/>
    <w:rsid w:val="005D648C"/>
    <w:rsid w:val="005D651B"/>
    <w:rsid w:val="005D673D"/>
    <w:rsid w:val="005D6B3C"/>
    <w:rsid w:val="005E01E3"/>
    <w:rsid w:val="005E0891"/>
    <w:rsid w:val="005E09EF"/>
    <w:rsid w:val="005E0F0E"/>
    <w:rsid w:val="005E1044"/>
    <w:rsid w:val="005E1199"/>
    <w:rsid w:val="005E122E"/>
    <w:rsid w:val="005E1658"/>
    <w:rsid w:val="005E1C05"/>
    <w:rsid w:val="005E2755"/>
    <w:rsid w:val="005E28C5"/>
    <w:rsid w:val="005E2977"/>
    <w:rsid w:val="005E2F67"/>
    <w:rsid w:val="005E3370"/>
    <w:rsid w:val="005E39D3"/>
    <w:rsid w:val="005E3A46"/>
    <w:rsid w:val="005E4287"/>
    <w:rsid w:val="005E443A"/>
    <w:rsid w:val="005E467D"/>
    <w:rsid w:val="005E52C8"/>
    <w:rsid w:val="005E5937"/>
    <w:rsid w:val="005E5D6E"/>
    <w:rsid w:val="005E5FA8"/>
    <w:rsid w:val="005E602A"/>
    <w:rsid w:val="005E65CD"/>
    <w:rsid w:val="005E6879"/>
    <w:rsid w:val="005E6AF0"/>
    <w:rsid w:val="005E6D6A"/>
    <w:rsid w:val="005E78E0"/>
    <w:rsid w:val="005F0032"/>
    <w:rsid w:val="005F089C"/>
    <w:rsid w:val="005F08A3"/>
    <w:rsid w:val="005F11ED"/>
    <w:rsid w:val="005F1E92"/>
    <w:rsid w:val="005F1EC9"/>
    <w:rsid w:val="005F1F12"/>
    <w:rsid w:val="005F23D2"/>
    <w:rsid w:val="005F2654"/>
    <w:rsid w:val="005F350F"/>
    <w:rsid w:val="005F36D2"/>
    <w:rsid w:val="005F3700"/>
    <w:rsid w:val="005F3E4B"/>
    <w:rsid w:val="005F44CB"/>
    <w:rsid w:val="005F4A23"/>
    <w:rsid w:val="005F4CBF"/>
    <w:rsid w:val="005F4F8A"/>
    <w:rsid w:val="005F57D0"/>
    <w:rsid w:val="005F61FE"/>
    <w:rsid w:val="005F64AB"/>
    <w:rsid w:val="005F65A4"/>
    <w:rsid w:val="005F6E79"/>
    <w:rsid w:val="005F732A"/>
    <w:rsid w:val="005F735C"/>
    <w:rsid w:val="005F74AF"/>
    <w:rsid w:val="005F77BB"/>
    <w:rsid w:val="00600430"/>
    <w:rsid w:val="006009E8"/>
    <w:rsid w:val="00601404"/>
    <w:rsid w:val="00602189"/>
    <w:rsid w:val="00602532"/>
    <w:rsid w:val="00603005"/>
    <w:rsid w:val="00603294"/>
    <w:rsid w:val="006033AC"/>
    <w:rsid w:val="006044ED"/>
    <w:rsid w:val="006047FC"/>
    <w:rsid w:val="00604C4B"/>
    <w:rsid w:val="00604EF7"/>
    <w:rsid w:val="006053A4"/>
    <w:rsid w:val="0060548E"/>
    <w:rsid w:val="006054C0"/>
    <w:rsid w:val="006055FE"/>
    <w:rsid w:val="0060564C"/>
    <w:rsid w:val="0060608A"/>
    <w:rsid w:val="00606117"/>
    <w:rsid w:val="0060679C"/>
    <w:rsid w:val="00606828"/>
    <w:rsid w:val="00606891"/>
    <w:rsid w:val="00606F50"/>
    <w:rsid w:val="0060705B"/>
    <w:rsid w:val="00607641"/>
    <w:rsid w:val="00607644"/>
    <w:rsid w:val="00607A05"/>
    <w:rsid w:val="00607A55"/>
    <w:rsid w:val="00607AA9"/>
    <w:rsid w:val="00607ED9"/>
    <w:rsid w:val="0061014B"/>
    <w:rsid w:val="006103C3"/>
    <w:rsid w:val="0061047B"/>
    <w:rsid w:val="00610799"/>
    <w:rsid w:val="0061173F"/>
    <w:rsid w:val="00611C8B"/>
    <w:rsid w:val="00611E68"/>
    <w:rsid w:val="00612345"/>
    <w:rsid w:val="0061243F"/>
    <w:rsid w:val="00612460"/>
    <w:rsid w:val="00612737"/>
    <w:rsid w:val="00613181"/>
    <w:rsid w:val="00613615"/>
    <w:rsid w:val="00613F5A"/>
    <w:rsid w:val="006145CD"/>
    <w:rsid w:val="006146ED"/>
    <w:rsid w:val="006150E0"/>
    <w:rsid w:val="00615265"/>
    <w:rsid w:val="00615EB6"/>
    <w:rsid w:val="00616D41"/>
    <w:rsid w:val="00616E57"/>
    <w:rsid w:val="00617284"/>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28E9"/>
    <w:rsid w:val="006234DC"/>
    <w:rsid w:val="00623890"/>
    <w:rsid w:val="006240CB"/>
    <w:rsid w:val="006244DC"/>
    <w:rsid w:val="00624831"/>
    <w:rsid w:val="006249B0"/>
    <w:rsid w:val="00624C55"/>
    <w:rsid w:val="00624EF2"/>
    <w:rsid w:val="0062502F"/>
    <w:rsid w:val="00626299"/>
    <w:rsid w:val="00626BF8"/>
    <w:rsid w:val="0062752A"/>
    <w:rsid w:val="006279D2"/>
    <w:rsid w:val="00630C4F"/>
    <w:rsid w:val="00630E43"/>
    <w:rsid w:val="00630E4F"/>
    <w:rsid w:val="00630F59"/>
    <w:rsid w:val="0063186F"/>
    <w:rsid w:val="006319D9"/>
    <w:rsid w:val="0063247A"/>
    <w:rsid w:val="006328F9"/>
    <w:rsid w:val="00632CA0"/>
    <w:rsid w:val="00632DBF"/>
    <w:rsid w:val="00632ECB"/>
    <w:rsid w:val="00633378"/>
    <w:rsid w:val="0063465A"/>
    <w:rsid w:val="00634740"/>
    <w:rsid w:val="006349AC"/>
    <w:rsid w:val="00634EF3"/>
    <w:rsid w:val="006357B2"/>
    <w:rsid w:val="006361A6"/>
    <w:rsid w:val="00636B0A"/>
    <w:rsid w:val="00637016"/>
    <w:rsid w:val="00637845"/>
    <w:rsid w:val="00640297"/>
    <w:rsid w:val="0064157F"/>
    <w:rsid w:val="006416C3"/>
    <w:rsid w:val="00642743"/>
    <w:rsid w:val="006428FE"/>
    <w:rsid w:val="00642EA4"/>
    <w:rsid w:val="006433FB"/>
    <w:rsid w:val="0064347E"/>
    <w:rsid w:val="006435B5"/>
    <w:rsid w:val="00644267"/>
    <w:rsid w:val="0064432B"/>
    <w:rsid w:val="00644522"/>
    <w:rsid w:val="00644681"/>
    <w:rsid w:val="00644947"/>
    <w:rsid w:val="00644964"/>
    <w:rsid w:val="006451AF"/>
    <w:rsid w:val="006454C1"/>
    <w:rsid w:val="006457C2"/>
    <w:rsid w:val="00645939"/>
    <w:rsid w:val="006461D6"/>
    <w:rsid w:val="0064648F"/>
    <w:rsid w:val="006468C8"/>
    <w:rsid w:val="0064692B"/>
    <w:rsid w:val="00646D51"/>
    <w:rsid w:val="00647074"/>
    <w:rsid w:val="006470DE"/>
    <w:rsid w:val="00647B7F"/>
    <w:rsid w:val="00650238"/>
    <w:rsid w:val="00650508"/>
    <w:rsid w:val="00650F27"/>
    <w:rsid w:val="00650FA6"/>
    <w:rsid w:val="00650FAF"/>
    <w:rsid w:val="0065142A"/>
    <w:rsid w:val="00651CA2"/>
    <w:rsid w:val="00651D2D"/>
    <w:rsid w:val="00651EDB"/>
    <w:rsid w:val="0065205D"/>
    <w:rsid w:val="00652108"/>
    <w:rsid w:val="00652DE3"/>
    <w:rsid w:val="006535C0"/>
    <w:rsid w:val="0065364F"/>
    <w:rsid w:val="00653BD1"/>
    <w:rsid w:val="0065485A"/>
    <w:rsid w:val="006549BC"/>
    <w:rsid w:val="00654AFC"/>
    <w:rsid w:val="00654CA4"/>
    <w:rsid w:val="00654FAA"/>
    <w:rsid w:val="0065522D"/>
    <w:rsid w:val="00655314"/>
    <w:rsid w:val="006554CA"/>
    <w:rsid w:val="00655A96"/>
    <w:rsid w:val="00655B0E"/>
    <w:rsid w:val="006562EA"/>
    <w:rsid w:val="0065631A"/>
    <w:rsid w:val="00656C3C"/>
    <w:rsid w:val="00656EE0"/>
    <w:rsid w:val="006571F3"/>
    <w:rsid w:val="0066004B"/>
    <w:rsid w:val="006600EF"/>
    <w:rsid w:val="00660279"/>
    <w:rsid w:val="00660F84"/>
    <w:rsid w:val="00661093"/>
    <w:rsid w:val="006611BD"/>
    <w:rsid w:val="00661E55"/>
    <w:rsid w:val="00661FAD"/>
    <w:rsid w:val="0066249B"/>
    <w:rsid w:val="0066269B"/>
    <w:rsid w:val="00662B0B"/>
    <w:rsid w:val="006630AD"/>
    <w:rsid w:val="00663304"/>
    <w:rsid w:val="0066330F"/>
    <w:rsid w:val="00663A3C"/>
    <w:rsid w:val="00663AED"/>
    <w:rsid w:val="00663B11"/>
    <w:rsid w:val="00663E0E"/>
    <w:rsid w:val="0066418E"/>
    <w:rsid w:val="0066481F"/>
    <w:rsid w:val="00665189"/>
    <w:rsid w:val="00665524"/>
    <w:rsid w:val="006659C2"/>
    <w:rsid w:val="00665ED4"/>
    <w:rsid w:val="006660E6"/>
    <w:rsid w:val="00666246"/>
    <w:rsid w:val="006665F2"/>
    <w:rsid w:val="0066686A"/>
    <w:rsid w:val="0066698E"/>
    <w:rsid w:val="00666C6D"/>
    <w:rsid w:val="006677B1"/>
    <w:rsid w:val="0066785A"/>
    <w:rsid w:val="00667CA7"/>
    <w:rsid w:val="00667CF7"/>
    <w:rsid w:val="00670240"/>
    <w:rsid w:val="006709A8"/>
    <w:rsid w:val="00670E07"/>
    <w:rsid w:val="00671849"/>
    <w:rsid w:val="00671FEF"/>
    <w:rsid w:val="0067206C"/>
    <w:rsid w:val="00672233"/>
    <w:rsid w:val="006723CF"/>
    <w:rsid w:val="00672421"/>
    <w:rsid w:val="00672779"/>
    <w:rsid w:val="00672D31"/>
    <w:rsid w:val="00672EB0"/>
    <w:rsid w:val="00672F99"/>
    <w:rsid w:val="00673009"/>
    <w:rsid w:val="006730A6"/>
    <w:rsid w:val="0067346E"/>
    <w:rsid w:val="006742E0"/>
    <w:rsid w:val="006744A6"/>
    <w:rsid w:val="00674BAC"/>
    <w:rsid w:val="00674E73"/>
    <w:rsid w:val="00674FD9"/>
    <w:rsid w:val="006754E1"/>
    <w:rsid w:val="006756F3"/>
    <w:rsid w:val="00675939"/>
    <w:rsid w:val="00675F2E"/>
    <w:rsid w:val="0067625D"/>
    <w:rsid w:val="00676CA0"/>
    <w:rsid w:val="00676D8C"/>
    <w:rsid w:val="00676E41"/>
    <w:rsid w:val="00676ED6"/>
    <w:rsid w:val="00677A1B"/>
    <w:rsid w:val="00677C88"/>
    <w:rsid w:val="0068008E"/>
    <w:rsid w:val="00680B8F"/>
    <w:rsid w:val="00680F7F"/>
    <w:rsid w:val="00681892"/>
    <w:rsid w:val="006818F8"/>
    <w:rsid w:val="00682115"/>
    <w:rsid w:val="00682558"/>
    <w:rsid w:val="006827A1"/>
    <w:rsid w:val="006828DB"/>
    <w:rsid w:val="0068360E"/>
    <w:rsid w:val="00683970"/>
    <w:rsid w:val="006845DC"/>
    <w:rsid w:val="00684896"/>
    <w:rsid w:val="00684993"/>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0C2A"/>
    <w:rsid w:val="006912F4"/>
    <w:rsid w:val="006917C6"/>
    <w:rsid w:val="00692372"/>
    <w:rsid w:val="00693179"/>
    <w:rsid w:val="0069333B"/>
    <w:rsid w:val="006946E5"/>
    <w:rsid w:val="006949ED"/>
    <w:rsid w:val="00694C82"/>
    <w:rsid w:val="00694CEB"/>
    <w:rsid w:val="006950FF"/>
    <w:rsid w:val="00695393"/>
    <w:rsid w:val="00695491"/>
    <w:rsid w:val="00695C02"/>
    <w:rsid w:val="00696073"/>
    <w:rsid w:val="0069640E"/>
    <w:rsid w:val="006969A8"/>
    <w:rsid w:val="00696ECB"/>
    <w:rsid w:val="0069730F"/>
    <w:rsid w:val="00697C8F"/>
    <w:rsid w:val="00697E16"/>
    <w:rsid w:val="006A0903"/>
    <w:rsid w:val="006A094F"/>
    <w:rsid w:val="006A0C95"/>
    <w:rsid w:val="006A0DCF"/>
    <w:rsid w:val="006A0EDD"/>
    <w:rsid w:val="006A208F"/>
    <w:rsid w:val="006A21B6"/>
    <w:rsid w:val="006A285B"/>
    <w:rsid w:val="006A2AE1"/>
    <w:rsid w:val="006A2D0C"/>
    <w:rsid w:val="006A2F75"/>
    <w:rsid w:val="006A362F"/>
    <w:rsid w:val="006A3AC0"/>
    <w:rsid w:val="006A3D5B"/>
    <w:rsid w:val="006A4285"/>
    <w:rsid w:val="006A43B5"/>
    <w:rsid w:val="006A4538"/>
    <w:rsid w:val="006A4B0D"/>
    <w:rsid w:val="006A4ECC"/>
    <w:rsid w:val="006A4F41"/>
    <w:rsid w:val="006A5414"/>
    <w:rsid w:val="006A5A9D"/>
    <w:rsid w:val="006A5E0A"/>
    <w:rsid w:val="006A5E95"/>
    <w:rsid w:val="006A603A"/>
    <w:rsid w:val="006A6ABE"/>
    <w:rsid w:val="006A6B2E"/>
    <w:rsid w:val="006A6F00"/>
    <w:rsid w:val="006A7646"/>
    <w:rsid w:val="006A7E56"/>
    <w:rsid w:val="006B04F7"/>
    <w:rsid w:val="006B0676"/>
    <w:rsid w:val="006B0942"/>
    <w:rsid w:val="006B0E64"/>
    <w:rsid w:val="006B0FE4"/>
    <w:rsid w:val="006B1043"/>
    <w:rsid w:val="006B113F"/>
    <w:rsid w:val="006B1C45"/>
    <w:rsid w:val="006B1CC5"/>
    <w:rsid w:val="006B1D27"/>
    <w:rsid w:val="006B1DF4"/>
    <w:rsid w:val="006B2106"/>
    <w:rsid w:val="006B21DB"/>
    <w:rsid w:val="006B2AE9"/>
    <w:rsid w:val="006B2E66"/>
    <w:rsid w:val="006B3430"/>
    <w:rsid w:val="006B346D"/>
    <w:rsid w:val="006B3911"/>
    <w:rsid w:val="006B3AE9"/>
    <w:rsid w:val="006B3B5D"/>
    <w:rsid w:val="006B54CA"/>
    <w:rsid w:val="006B5E23"/>
    <w:rsid w:val="006B5F71"/>
    <w:rsid w:val="006B661F"/>
    <w:rsid w:val="006B66A2"/>
    <w:rsid w:val="006B66E0"/>
    <w:rsid w:val="006B71B0"/>
    <w:rsid w:val="006B7B4B"/>
    <w:rsid w:val="006B7CC9"/>
    <w:rsid w:val="006B7D15"/>
    <w:rsid w:val="006B7E91"/>
    <w:rsid w:val="006B7FDA"/>
    <w:rsid w:val="006C0189"/>
    <w:rsid w:val="006C05A6"/>
    <w:rsid w:val="006C0982"/>
    <w:rsid w:val="006C0D53"/>
    <w:rsid w:val="006C175C"/>
    <w:rsid w:val="006C1984"/>
    <w:rsid w:val="006C2174"/>
    <w:rsid w:val="006C2233"/>
    <w:rsid w:val="006C2474"/>
    <w:rsid w:val="006C2674"/>
    <w:rsid w:val="006C26DF"/>
    <w:rsid w:val="006C29BF"/>
    <w:rsid w:val="006C2A28"/>
    <w:rsid w:val="006C2AF7"/>
    <w:rsid w:val="006C2B5B"/>
    <w:rsid w:val="006C2C71"/>
    <w:rsid w:val="006C2C97"/>
    <w:rsid w:val="006C2D94"/>
    <w:rsid w:val="006C40FD"/>
    <w:rsid w:val="006C422F"/>
    <w:rsid w:val="006C440D"/>
    <w:rsid w:val="006C456A"/>
    <w:rsid w:val="006C4737"/>
    <w:rsid w:val="006C4A12"/>
    <w:rsid w:val="006C517C"/>
    <w:rsid w:val="006C5438"/>
    <w:rsid w:val="006C58A6"/>
    <w:rsid w:val="006C5CDD"/>
    <w:rsid w:val="006C5E04"/>
    <w:rsid w:val="006C6067"/>
    <w:rsid w:val="006C60B5"/>
    <w:rsid w:val="006C6747"/>
    <w:rsid w:val="006C6C5D"/>
    <w:rsid w:val="006C728A"/>
    <w:rsid w:val="006C7634"/>
    <w:rsid w:val="006C7B34"/>
    <w:rsid w:val="006D0464"/>
    <w:rsid w:val="006D058C"/>
    <w:rsid w:val="006D0757"/>
    <w:rsid w:val="006D07CE"/>
    <w:rsid w:val="006D0828"/>
    <w:rsid w:val="006D0B64"/>
    <w:rsid w:val="006D0F8F"/>
    <w:rsid w:val="006D0F9C"/>
    <w:rsid w:val="006D1062"/>
    <w:rsid w:val="006D118B"/>
    <w:rsid w:val="006D13BA"/>
    <w:rsid w:val="006D1C2E"/>
    <w:rsid w:val="006D1D41"/>
    <w:rsid w:val="006D25FA"/>
    <w:rsid w:val="006D2644"/>
    <w:rsid w:val="006D2989"/>
    <w:rsid w:val="006D2AEF"/>
    <w:rsid w:val="006D3132"/>
    <w:rsid w:val="006D329E"/>
    <w:rsid w:val="006D3593"/>
    <w:rsid w:val="006D44B8"/>
    <w:rsid w:val="006D45D3"/>
    <w:rsid w:val="006D4C0B"/>
    <w:rsid w:val="006D4EF1"/>
    <w:rsid w:val="006D52CC"/>
    <w:rsid w:val="006D5B03"/>
    <w:rsid w:val="006D5C91"/>
    <w:rsid w:val="006D60CB"/>
    <w:rsid w:val="006D6DA1"/>
    <w:rsid w:val="006D7460"/>
    <w:rsid w:val="006D7BFE"/>
    <w:rsid w:val="006D7C58"/>
    <w:rsid w:val="006E0012"/>
    <w:rsid w:val="006E05D7"/>
    <w:rsid w:val="006E0DF6"/>
    <w:rsid w:val="006E10F9"/>
    <w:rsid w:val="006E186F"/>
    <w:rsid w:val="006E1A58"/>
    <w:rsid w:val="006E1F5D"/>
    <w:rsid w:val="006E23A2"/>
    <w:rsid w:val="006E255A"/>
    <w:rsid w:val="006E280C"/>
    <w:rsid w:val="006E28CD"/>
    <w:rsid w:val="006E3644"/>
    <w:rsid w:val="006E3A2F"/>
    <w:rsid w:val="006E420E"/>
    <w:rsid w:val="006E55BF"/>
    <w:rsid w:val="006E6119"/>
    <w:rsid w:val="006E652C"/>
    <w:rsid w:val="006E6AF4"/>
    <w:rsid w:val="006E6F30"/>
    <w:rsid w:val="006E7B7A"/>
    <w:rsid w:val="006E7FD7"/>
    <w:rsid w:val="006F0364"/>
    <w:rsid w:val="006F0406"/>
    <w:rsid w:val="006F041B"/>
    <w:rsid w:val="006F05DA"/>
    <w:rsid w:val="006F0F65"/>
    <w:rsid w:val="006F0FDE"/>
    <w:rsid w:val="006F10E0"/>
    <w:rsid w:val="006F1451"/>
    <w:rsid w:val="006F17BE"/>
    <w:rsid w:val="006F1CCA"/>
    <w:rsid w:val="006F201B"/>
    <w:rsid w:val="006F21D4"/>
    <w:rsid w:val="006F2715"/>
    <w:rsid w:val="006F2A81"/>
    <w:rsid w:val="006F2E46"/>
    <w:rsid w:val="006F3497"/>
    <w:rsid w:val="006F3798"/>
    <w:rsid w:val="006F3961"/>
    <w:rsid w:val="006F39C1"/>
    <w:rsid w:val="006F3D32"/>
    <w:rsid w:val="006F444C"/>
    <w:rsid w:val="006F4EE5"/>
    <w:rsid w:val="006F5A9A"/>
    <w:rsid w:val="006F60EA"/>
    <w:rsid w:val="006F6AE6"/>
    <w:rsid w:val="006F6F1C"/>
    <w:rsid w:val="006F70AE"/>
    <w:rsid w:val="007003DB"/>
    <w:rsid w:val="0070070F"/>
    <w:rsid w:val="00700B49"/>
    <w:rsid w:val="00701700"/>
    <w:rsid w:val="00701A2F"/>
    <w:rsid w:val="00701B1E"/>
    <w:rsid w:val="007027F5"/>
    <w:rsid w:val="007033A7"/>
    <w:rsid w:val="00703BDF"/>
    <w:rsid w:val="007044EB"/>
    <w:rsid w:val="00704632"/>
    <w:rsid w:val="00704A48"/>
    <w:rsid w:val="00704B6B"/>
    <w:rsid w:val="00704C27"/>
    <w:rsid w:val="00706AD5"/>
    <w:rsid w:val="00707BBE"/>
    <w:rsid w:val="00707F4B"/>
    <w:rsid w:val="0071033D"/>
    <w:rsid w:val="00710A59"/>
    <w:rsid w:val="00711102"/>
    <w:rsid w:val="007114B9"/>
    <w:rsid w:val="007121F9"/>
    <w:rsid w:val="00712A05"/>
    <w:rsid w:val="0071346A"/>
    <w:rsid w:val="00713A99"/>
    <w:rsid w:val="007142AA"/>
    <w:rsid w:val="00714786"/>
    <w:rsid w:val="0071543D"/>
    <w:rsid w:val="00715463"/>
    <w:rsid w:val="007159C2"/>
    <w:rsid w:val="00715A17"/>
    <w:rsid w:val="00715E52"/>
    <w:rsid w:val="00716002"/>
    <w:rsid w:val="007166BA"/>
    <w:rsid w:val="0071691D"/>
    <w:rsid w:val="00716D2A"/>
    <w:rsid w:val="00717120"/>
    <w:rsid w:val="007174C1"/>
    <w:rsid w:val="0071763A"/>
    <w:rsid w:val="007178CD"/>
    <w:rsid w:val="0071797D"/>
    <w:rsid w:val="0071798E"/>
    <w:rsid w:val="00717F1B"/>
    <w:rsid w:val="007200EF"/>
    <w:rsid w:val="00720244"/>
    <w:rsid w:val="0072026E"/>
    <w:rsid w:val="007202BA"/>
    <w:rsid w:val="0072062D"/>
    <w:rsid w:val="007206C0"/>
    <w:rsid w:val="00720F7F"/>
    <w:rsid w:val="00721100"/>
    <w:rsid w:val="007213AF"/>
    <w:rsid w:val="007214F2"/>
    <w:rsid w:val="00721527"/>
    <w:rsid w:val="007229DD"/>
    <w:rsid w:val="00722A3B"/>
    <w:rsid w:val="00723BBB"/>
    <w:rsid w:val="00723E30"/>
    <w:rsid w:val="00724133"/>
    <w:rsid w:val="0072429F"/>
    <w:rsid w:val="00724831"/>
    <w:rsid w:val="00724835"/>
    <w:rsid w:val="00724F36"/>
    <w:rsid w:val="007256AE"/>
    <w:rsid w:val="00725BD3"/>
    <w:rsid w:val="00725C65"/>
    <w:rsid w:val="00726822"/>
    <w:rsid w:val="00726DE5"/>
    <w:rsid w:val="007271E8"/>
    <w:rsid w:val="0072737B"/>
    <w:rsid w:val="00727697"/>
    <w:rsid w:val="007276DB"/>
    <w:rsid w:val="0072789B"/>
    <w:rsid w:val="00727E27"/>
    <w:rsid w:val="00730825"/>
    <w:rsid w:val="007308A2"/>
    <w:rsid w:val="00731465"/>
    <w:rsid w:val="0073157F"/>
    <w:rsid w:val="00731769"/>
    <w:rsid w:val="007325FA"/>
    <w:rsid w:val="00732BD2"/>
    <w:rsid w:val="00732C31"/>
    <w:rsid w:val="00732E52"/>
    <w:rsid w:val="00732F3C"/>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EB7"/>
    <w:rsid w:val="00741051"/>
    <w:rsid w:val="00741097"/>
    <w:rsid w:val="007418CE"/>
    <w:rsid w:val="00741F19"/>
    <w:rsid w:val="0074272D"/>
    <w:rsid w:val="0074295A"/>
    <w:rsid w:val="00742A35"/>
    <w:rsid w:val="00742E0F"/>
    <w:rsid w:val="0074364E"/>
    <w:rsid w:val="0074370E"/>
    <w:rsid w:val="0074379E"/>
    <w:rsid w:val="00744254"/>
    <w:rsid w:val="0074453E"/>
    <w:rsid w:val="0074458D"/>
    <w:rsid w:val="00744804"/>
    <w:rsid w:val="00744A69"/>
    <w:rsid w:val="00744CFB"/>
    <w:rsid w:val="00744FCA"/>
    <w:rsid w:val="00745A37"/>
    <w:rsid w:val="00745A61"/>
    <w:rsid w:val="00745E1B"/>
    <w:rsid w:val="0074609C"/>
    <w:rsid w:val="00746268"/>
    <w:rsid w:val="00746765"/>
    <w:rsid w:val="007467FF"/>
    <w:rsid w:val="00746D74"/>
    <w:rsid w:val="00746D81"/>
    <w:rsid w:val="00746FDC"/>
    <w:rsid w:val="007474BD"/>
    <w:rsid w:val="00747533"/>
    <w:rsid w:val="0075033C"/>
    <w:rsid w:val="0075047F"/>
    <w:rsid w:val="007508E3"/>
    <w:rsid w:val="007509AA"/>
    <w:rsid w:val="00750F69"/>
    <w:rsid w:val="00750FD2"/>
    <w:rsid w:val="00751E3D"/>
    <w:rsid w:val="0075217F"/>
    <w:rsid w:val="0075223D"/>
    <w:rsid w:val="00752519"/>
    <w:rsid w:val="0075282C"/>
    <w:rsid w:val="00752D32"/>
    <w:rsid w:val="00752FB0"/>
    <w:rsid w:val="0075363E"/>
    <w:rsid w:val="007545E8"/>
    <w:rsid w:val="00754883"/>
    <w:rsid w:val="00754E98"/>
    <w:rsid w:val="00755325"/>
    <w:rsid w:val="00755D0B"/>
    <w:rsid w:val="00756043"/>
    <w:rsid w:val="007567CB"/>
    <w:rsid w:val="00757AB7"/>
    <w:rsid w:val="007611EE"/>
    <w:rsid w:val="0076135E"/>
    <w:rsid w:val="0076184C"/>
    <w:rsid w:val="00761932"/>
    <w:rsid w:val="00761BAD"/>
    <w:rsid w:val="00761DAF"/>
    <w:rsid w:val="0076240C"/>
    <w:rsid w:val="007624CB"/>
    <w:rsid w:val="00762557"/>
    <w:rsid w:val="0076268E"/>
    <w:rsid w:val="00762FFA"/>
    <w:rsid w:val="00763599"/>
    <w:rsid w:val="00763BCC"/>
    <w:rsid w:val="00763E5B"/>
    <w:rsid w:val="00764488"/>
    <w:rsid w:val="007648CF"/>
    <w:rsid w:val="00764A43"/>
    <w:rsid w:val="007652BD"/>
    <w:rsid w:val="007654CF"/>
    <w:rsid w:val="0076657E"/>
    <w:rsid w:val="0076680E"/>
    <w:rsid w:val="00766C6C"/>
    <w:rsid w:val="00767373"/>
    <w:rsid w:val="00767652"/>
    <w:rsid w:val="007677A0"/>
    <w:rsid w:val="00767A0B"/>
    <w:rsid w:val="00770303"/>
    <w:rsid w:val="00770411"/>
    <w:rsid w:val="0077128C"/>
    <w:rsid w:val="0077142E"/>
    <w:rsid w:val="00771C8D"/>
    <w:rsid w:val="00771F7A"/>
    <w:rsid w:val="007725AD"/>
    <w:rsid w:val="00772CB2"/>
    <w:rsid w:val="00772E50"/>
    <w:rsid w:val="0077300D"/>
    <w:rsid w:val="00773060"/>
    <w:rsid w:val="00773745"/>
    <w:rsid w:val="00773B61"/>
    <w:rsid w:val="00773BB4"/>
    <w:rsid w:val="007744CE"/>
    <w:rsid w:val="0077459C"/>
    <w:rsid w:val="00774E10"/>
    <w:rsid w:val="00774F6D"/>
    <w:rsid w:val="007752D4"/>
    <w:rsid w:val="007753CC"/>
    <w:rsid w:val="0077553F"/>
    <w:rsid w:val="00775742"/>
    <w:rsid w:val="00776825"/>
    <w:rsid w:val="00777F35"/>
    <w:rsid w:val="007805F2"/>
    <w:rsid w:val="00780DAB"/>
    <w:rsid w:val="007814DB"/>
    <w:rsid w:val="007819A2"/>
    <w:rsid w:val="00781A3C"/>
    <w:rsid w:val="00781E4F"/>
    <w:rsid w:val="00782128"/>
    <w:rsid w:val="007821A3"/>
    <w:rsid w:val="0078309E"/>
    <w:rsid w:val="0078382E"/>
    <w:rsid w:val="00784FF2"/>
    <w:rsid w:val="00785082"/>
    <w:rsid w:val="007857FB"/>
    <w:rsid w:val="00785806"/>
    <w:rsid w:val="007859D0"/>
    <w:rsid w:val="00785A39"/>
    <w:rsid w:val="00786036"/>
    <w:rsid w:val="00786128"/>
    <w:rsid w:val="0078623A"/>
    <w:rsid w:val="00786632"/>
    <w:rsid w:val="007871B0"/>
    <w:rsid w:val="007878C6"/>
    <w:rsid w:val="00787D3A"/>
    <w:rsid w:val="0079058F"/>
    <w:rsid w:val="00790AC0"/>
    <w:rsid w:val="00790B29"/>
    <w:rsid w:val="00790CE6"/>
    <w:rsid w:val="00790F9C"/>
    <w:rsid w:val="00791264"/>
    <w:rsid w:val="0079177E"/>
    <w:rsid w:val="00791C0A"/>
    <w:rsid w:val="00791EAB"/>
    <w:rsid w:val="00792209"/>
    <w:rsid w:val="00792351"/>
    <w:rsid w:val="00792D68"/>
    <w:rsid w:val="00793411"/>
    <w:rsid w:val="0079352D"/>
    <w:rsid w:val="007936F2"/>
    <w:rsid w:val="0079398E"/>
    <w:rsid w:val="00793E99"/>
    <w:rsid w:val="00793ECE"/>
    <w:rsid w:val="0079409F"/>
    <w:rsid w:val="00794221"/>
    <w:rsid w:val="007942AE"/>
    <w:rsid w:val="0079513E"/>
    <w:rsid w:val="0079518C"/>
    <w:rsid w:val="00795357"/>
    <w:rsid w:val="00795546"/>
    <w:rsid w:val="007964EC"/>
    <w:rsid w:val="00797141"/>
    <w:rsid w:val="00797342"/>
    <w:rsid w:val="0079745C"/>
    <w:rsid w:val="00797852"/>
    <w:rsid w:val="007979B0"/>
    <w:rsid w:val="00797DC4"/>
    <w:rsid w:val="007A048C"/>
    <w:rsid w:val="007A08A0"/>
    <w:rsid w:val="007A0EB8"/>
    <w:rsid w:val="007A0FE5"/>
    <w:rsid w:val="007A1BB6"/>
    <w:rsid w:val="007A1EF6"/>
    <w:rsid w:val="007A216D"/>
    <w:rsid w:val="007A232A"/>
    <w:rsid w:val="007A264D"/>
    <w:rsid w:val="007A4583"/>
    <w:rsid w:val="007A45DA"/>
    <w:rsid w:val="007A4CC0"/>
    <w:rsid w:val="007A56CB"/>
    <w:rsid w:val="007A5D5F"/>
    <w:rsid w:val="007A5FC2"/>
    <w:rsid w:val="007A6236"/>
    <w:rsid w:val="007A6D77"/>
    <w:rsid w:val="007A7441"/>
    <w:rsid w:val="007B0530"/>
    <w:rsid w:val="007B0718"/>
    <w:rsid w:val="007B07F7"/>
    <w:rsid w:val="007B0AA6"/>
    <w:rsid w:val="007B0BF7"/>
    <w:rsid w:val="007B0BFC"/>
    <w:rsid w:val="007B0D3A"/>
    <w:rsid w:val="007B0DB2"/>
    <w:rsid w:val="007B1516"/>
    <w:rsid w:val="007B1583"/>
    <w:rsid w:val="007B18F1"/>
    <w:rsid w:val="007B2170"/>
    <w:rsid w:val="007B30EF"/>
    <w:rsid w:val="007B3196"/>
    <w:rsid w:val="007B3286"/>
    <w:rsid w:val="007B3337"/>
    <w:rsid w:val="007B33B8"/>
    <w:rsid w:val="007B35C2"/>
    <w:rsid w:val="007B35F6"/>
    <w:rsid w:val="007B4947"/>
    <w:rsid w:val="007B4AB4"/>
    <w:rsid w:val="007B5436"/>
    <w:rsid w:val="007B54E6"/>
    <w:rsid w:val="007B5525"/>
    <w:rsid w:val="007B58DC"/>
    <w:rsid w:val="007B5A51"/>
    <w:rsid w:val="007B5C8F"/>
    <w:rsid w:val="007B62A3"/>
    <w:rsid w:val="007B6438"/>
    <w:rsid w:val="007B6898"/>
    <w:rsid w:val="007B6FEA"/>
    <w:rsid w:val="007B7AFE"/>
    <w:rsid w:val="007B7DB9"/>
    <w:rsid w:val="007B7E06"/>
    <w:rsid w:val="007C088D"/>
    <w:rsid w:val="007C0A28"/>
    <w:rsid w:val="007C1A45"/>
    <w:rsid w:val="007C1F10"/>
    <w:rsid w:val="007C2445"/>
    <w:rsid w:val="007C26B3"/>
    <w:rsid w:val="007C2894"/>
    <w:rsid w:val="007C2A6A"/>
    <w:rsid w:val="007C2B71"/>
    <w:rsid w:val="007C3452"/>
    <w:rsid w:val="007C3BC4"/>
    <w:rsid w:val="007C3E6C"/>
    <w:rsid w:val="007C43F4"/>
    <w:rsid w:val="007C45BC"/>
    <w:rsid w:val="007C48F4"/>
    <w:rsid w:val="007C4C67"/>
    <w:rsid w:val="007C4C6F"/>
    <w:rsid w:val="007C501A"/>
    <w:rsid w:val="007C527E"/>
    <w:rsid w:val="007C5594"/>
    <w:rsid w:val="007C6680"/>
    <w:rsid w:val="007C6747"/>
    <w:rsid w:val="007C688F"/>
    <w:rsid w:val="007C70F4"/>
    <w:rsid w:val="007C7304"/>
    <w:rsid w:val="007C78CC"/>
    <w:rsid w:val="007D0075"/>
    <w:rsid w:val="007D123E"/>
    <w:rsid w:val="007D16EB"/>
    <w:rsid w:val="007D1C02"/>
    <w:rsid w:val="007D2245"/>
    <w:rsid w:val="007D233F"/>
    <w:rsid w:val="007D26A0"/>
    <w:rsid w:val="007D27D6"/>
    <w:rsid w:val="007D27F1"/>
    <w:rsid w:val="007D28B0"/>
    <w:rsid w:val="007D299B"/>
    <w:rsid w:val="007D2D02"/>
    <w:rsid w:val="007D325C"/>
    <w:rsid w:val="007D3524"/>
    <w:rsid w:val="007D4805"/>
    <w:rsid w:val="007D4C54"/>
    <w:rsid w:val="007D4C6F"/>
    <w:rsid w:val="007D4E83"/>
    <w:rsid w:val="007D4EA6"/>
    <w:rsid w:val="007D5890"/>
    <w:rsid w:val="007D6025"/>
    <w:rsid w:val="007D6E16"/>
    <w:rsid w:val="007D71F3"/>
    <w:rsid w:val="007D725C"/>
    <w:rsid w:val="007D75BE"/>
    <w:rsid w:val="007D7A7E"/>
    <w:rsid w:val="007D7EFC"/>
    <w:rsid w:val="007E0D6A"/>
    <w:rsid w:val="007E17F6"/>
    <w:rsid w:val="007E1C9B"/>
    <w:rsid w:val="007E1D0E"/>
    <w:rsid w:val="007E23A7"/>
    <w:rsid w:val="007E243B"/>
    <w:rsid w:val="007E2828"/>
    <w:rsid w:val="007E2DFF"/>
    <w:rsid w:val="007E2FBA"/>
    <w:rsid w:val="007E30D6"/>
    <w:rsid w:val="007E39EB"/>
    <w:rsid w:val="007E3D20"/>
    <w:rsid w:val="007E44BA"/>
    <w:rsid w:val="007E44BD"/>
    <w:rsid w:val="007E4C8A"/>
    <w:rsid w:val="007E4DD3"/>
    <w:rsid w:val="007E4F49"/>
    <w:rsid w:val="007E5313"/>
    <w:rsid w:val="007E59A3"/>
    <w:rsid w:val="007E5F03"/>
    <w:rsid w:val="007E61CA"/>
    <w:rsid w:val="007E634D"/>
    <w:rsid w:val="007E66DC"/>
    <w:rsid w:val="007E68C1"/>
    <w:rsid w:val="007E68CD"/>
    <w:rsid w:val="007E6996"/>
    <w:rsid w:val="007E6ADB"/>
    <w:rsid w:val="007E73B7"/>
    <w:rsid w:val="007E740F"/>
    <w:rsid w:val="007E7B06"/>
    <w:rsid w:val="007E7DA4"/>
    <w:rsid w:val="007E7F8D"/>
    <w:rsid w:val="007F042B"/>
    <w:rsid w:val="007F0609"/>
    <w:rsid w:val="007F0FAB"/>
    <w:rsid w:val="007F16C6"/>
    <w:rsid w:val="007F1CF4"/>
    <w:rsid w:val="007F1D57"/>
    <w:rsid w:val="007F1DB8"/>
    <w:rsid w:val="007F2188"/>
    <w:rsid w:val="007F29A2"/>
    <w:rsid w:val="007F2A6E"/>
    <w:rsid w:val="007F33E0"/>
    <w:rsid w:val="007F374C"/>
    <w:rsid w:val="007F38E8"/>
    <w:rsid w:val="007F38F5"/>
    <w:rsid w:val="007F3AAF"/>
    <w:rsid w:val="007F3AD5"/>
    <w:rsid w:val="007F3BE6"/>
    <w:rsid w:val="007F4389"/>
    <w:rsid w:val="007F43DA"/>
    <w:rsid w:val="007F498A"/>
    <w:rsid w:val="007F4F3A"/>
    <w:rsid w:val="007F50A6"/>
    <w:rsid w:val="007F5312"/>
    <w:rsid w:val="007F54E1"/>
    <w:rsid w:val="007F5CEB"/>
    <w:rsid w:val="007F6453"/>
    <w:rsid w:val="007F6E49"/>
    <w:rsid w:val="007F73D2"/>
    <w:rsid w:val="00800288"/>
    <w:rsid w:val="008017A0"/>
    <w:rsid w:val="00801858"/>
    <w:rsid w:val="00801878"/>
    <w:rsid w:val="00801B57"/>
    <w:rsid w:val="00801C18"/>
    <w:rsid w:val="00801EBE"/>
    <w:rsid w:val="00801EEA"/>
    <w:rsid w:val="0080228D"/>
    <w:rsid w:val="00802472"/>
    <w:rsid w:val="0080295B"/>
    <w:rsid w:val="00802C4F"/>
    <w:rsid w:val="008033FE"/>
    <w:rsid w:val="00803C4F"/>
    <w:rsid w:val="0080403D"/>
    <w:rsid w:val="00804177"/>
    <w:rsid w:val="008045E4"/>
    <w:rsid w:val="00804D81"/>
    <w:rsid w:val="00804F49"/>
    <w:rsid w:val="0080525C"/>
    <w:rsid w:val="00805A4C"/>
    <w:rsid w:val="00805C43"/>
    <w:rsid w:val="00806127"/>
    <w:rsid w:val="008062A1"/>
    <w:rsid w:val="00806918"/>
    <w:rsid w:val="00806A8D"/>
    <w:rsid w:val="00806B63"/>
    <w:rsid w:val="008078B5"/>
    <w:rsid w:val="00807D4C"/>
    <w:rsid w:val="0081016A"/>
    <w:rsid w:val="0081018F"/>
    <w:rsid w:val="008108DD"/>
    <w:rsid w:val="00811C01"/>
    <w:rsid w:val="00812201"/>
    <w:rsid w:val="0081260F"/>
    <w:rsid w:val="00812804"/>
    <w:rsid w:val="00813554"/>
    <w:rsid w:val="008136F3"/>
    <w:rsid w:val="00813CBE"/>
    <w:rsid w:val="00813E15"/>
    <w:rsid w:val="00814CE9"/>
    <w:rsid w:val="00814D3A"/>
    <w:rsid w:val="008156D3"/>
    <w:rsid w:val="00815858"/>
    <w:rsid w:val="00815CAC"/>
    <w:rsid w:val="008165F9"/>
    <w:rsid w:val="00816DBF"/>
    <w:rsid w:val="00816E21"/>
    <w:rsid w:val="00816F14"/>
    <w:rsid w:val="008171FF"/>
    <w:rsid w:val="008172EE"/>
    <w:rsid w:val="00817816"/>
    <w:rsid w:val="008178D9"/>
    <w:rsid w:val="00817D58"/>
    <w:rsid w:val="00820049"/>
    <w:rsid w:val="008202A0"/>
    <w:rsid w:val="00820F46"/>
    <w:rsid w:val="0082102F"/>
    <w:rsid w:val="00821143"/>
    <w:rsid w:val="00821277"/>
    <w:rsid w:val="008217CF"/>
    <w:rsid w:val="00821B73"/>
    <w:rsid w:val="00821D2F"/>
    <w:rsid w:val="00821E4A"/>
    <w:rsid w:val="008222B3"/>
    <w:rsid w:val="008222C0"/>
    <w:rsid w:val="00823477"/>
    <w:rsid w:val="00823579"/>
    <w:rsid w:val="0082384E"/>
    <w:rsid w:val="0082385D"/>
    <w:rsid w:val="008238A6"/>
    <w:rsid w:val="00823DD1"/>
    <w:rsid w:val="00824650"/>
    <w:rsid w:val="00824BD9"/>
    <w:rsid w:val="008259D4"/>
    <w:rsid w:val="00826548"/>
    <w:rsid w:val="008269C4"/>
    <w:rsid w:val="00826A36"/>
    <w:rsid w:val="00826DA4"/>
    <w:rsid w:val="00826E71"/>
    <w:rsid w:val="0082771F"/>
    <w:rsid w:val="00827D37"/>
    <w:rsid w:val="00827DC4"/>
    <w:rsid w:val="008305DC"/>
    <w:rsid w:val="008306A7"/>
    <w:rsid w:val="00830DA6"/>
    <w:rsid w:val="0083101B"/>
    <w:rsid w:val="00831278"/>
    <w:rsid w:val="00831A43"/>
    <w:rsid w:val="00831C9D"/>
    <w:rsid w:val="00831D6D"/>
    <w:rsid w:val="0083202D"/>
    <w:rsid w:val="00832CF9"/>
    <w:rsid w:val="00832D5F"/>
    <w:rsid w:val="0083333A"/>
    <w:rsid w:val="00833488"/>
    <w:rsid w:val="00833798"/>
    <w:rsid w:val="00833E76"/>
    <w:rsid w:val="0083430E"/>
    <w:rsid w:val="00834345"/>
    <w:rsid w:val="00835055"/>
    <w:rsid w:val="0083517F"/>
    <w:rsid w:val="0083565F"/>
    <w:rsid w:val="008356F0"/>
    <w:rsid w:val="00836134"/>
    <w:rsid w:val="00836611"/>
    <w:rsid w:val="00836980"/>
    <w:rsid w:val="00836CA3"/>
    <w:rsid w:val="00836E17"/>
    <w:rsid w:val="008374D7"/>
    <w:rsid w:val="008374F8"/>
    <w:rsid w:val="0083752C"/>
    <w:rsid w:val="00837709"/>
    <w:rsid w:val="0083781E"/>
    <w:rsid w:val="00837C19"/>
    <w:rsid w:val="008400BF"/>
    <w:rsid w:val="008409D0"/>
    <w:rsid w:val="00840B47"/>
    <w:rsid w:val="00841462"/>
    <w:rsid w:val="008414B6"/>
    <w:rsid w:val="008417DA"/>
    <w:rsid w:val="008425B9"/>
    <w:rsid w:val="008429AF"/>
    <w:rsid w:val="00843756"/>
    <w:rsid w:val="00843DFC"/>
    <w:rsid w:val="00844061"/>
    <w:rsid w:val="00844161"/>
    <w:rsid w:val="008443A4"/>
    <w:rsid w:val="0084481A"/>
    <w:rsid w:val="00844D9E"/>
    <w:rsid w:val="00844F4F"/>
    <w:rsid w:val="0084523A"/>
    <w:rsid w:val="00845320"/>
    <w:rsid w:val="008453EE"/>
    <w:rsid w:val="00845DFE"/>
    <w:rsid w:val="00846352"/>
    <w:rsid w:val="00846830"/>
    <w:rsid w:val="0084692A"/>
    <w:rsid w:val="00846AE3"/>
    <w:rsid w:val="00846F28"/>
    <w:rsid w:val="00847333"/>
    <w:rsid w:val="00847B0F"/>
    <w:rsid w:val="00850DBE"/>
    <w:rsid w:val="00850E0E"/>
    <w:rsid w:val="00851546"/>
    <w:rsid w:val="00851A93"/>
    <w:rsid w:val="00851C7B"/>
    <w:rsid w:val="00852756"/>
    <w:rsid w:val="00852861"/>
    <w:rsid w:val="00852F4F"/>
    <w:rsid w:val="00853087"/>
    <w:rsid w:val="008531F2"/>
    <w:rsid w:val="00854016"/>
    <w:rsid w:val="00854315"/>
    <w:rsid w:val="00854622"/>
    <w:rsid w:val="0085470E"/>
    <w:rsid w:val="008556A7"/>
    <w:rsid w:val="00855B19"/>
    <w:rsid w:val="00855FD0"/>
    <w:rsid w:val="00856268"/>
    <w:rsid w:val="008564B1"/>
    <w:rsid w:val="0085669E"/>
    <w:rsid w:val="008568E5"/>
    <w:rsid w:val="00856B03"/>
    <w:rsid w:val="00856BCF"/>
    <w:rsid w:val="008570DB"/>
    <w:rsid w:val="0085757D"/>
    <w:rsid w:val="00860160"/>
    <w:rsid w:val="00860BE1"/>
    <w:rsid w:val="00861457"/>
    <w:rsid w:val="008614D1"/>
    <w:rsid w:val="00861D3A"/>
    <w:rsid w:val="0086252E"/>
    <w:rsid w:val="00862658"/>
    <w:rsid w:val="00862A1B"/>
    <w:rsid w:val="00862E27"/>
    <w:rsid w:val="00863686"/>
    <w:rsid w:val="008639B0"/>
    <w:rsid w:val="008644C4"/>
    <w:rsid w:val="008644FE"/>
    <w:rsid w:val="00864547"/>
    <w:rsid w:val="008648A0"/>
    <w:rsid w:val="00864BA7"/>
    <w:rsid w:val="00864C62"/>
    <w:rsid w:val="00865279"/>
    <w:rsid w:val="00865BE4"/>
    <w:rsid w:val="00865EE9"/>
    <w:rsid w:val="0086668C"/>
    <w:rsid w:val="008669A9"/>
    <w:rsid w:val="00866AE8"/>
    <w:rsid w:val="00867D54"/>
    <w:rsid w:val="008703B2"/>
    <w:rsid w:val="008705B0"/>
    <w:rsid w:val="008717BC"/>
    <w:rsid w:val="0087188F"/>
    <w:rsid w:val="00871898"/>
    <w:rsid w:val="00871B71"/>
    <w:rsid w:val="00871C6B"/>
    <w:rsid w:val="00872483"/>
    <w:rsid w:val="00872D65"/>
    <w:rsid w:val="008735C9"/>
    <w:rsid w:val="0087391A"/>
    <w:rsid w:val="00873DAD"/>
    <w:rsid w:val="0087478D"/>
    <w:rsid w:val="00875161"/>
    <w:rsid w:val="00875569"/>
    <w:rsid w:val="00875C51"/>
    <w:rsid w:val="00876144"/>
    <w:rsid w:val="0087633C"/>
    <w:rsid w:val="00876FF3"/>
    <w:rsid w:val="00877FBA"/>
    <w:rsid w:val="00880AFE"/>
    <w:rsid w:val="00880B81"/>
    <w:rsid w:val="00881431"/>
    <w:rsid w:val="008814CC"/>
    <w:rsid w:val="0088254F"/>
    <w:rsid w:val="00882DD6"/>
    <w:rsid w:val="008838BC"/>
    <w:rsid w:val="00883EBB"/>
    <w:rsid w:val="00883EE5"/>
    <w:rsid w:val="00884150"/>
    <w:rsid w:val="008845CA"/>
    <w:rsid w:val="008848F3"/>
    <w:rsid w:val="00884EB2"/>
    <w:rsid w:val="0088517F"/>
    <w:rsid w:val="008852AD"/>
    <w:rsid w:val="00885324"/>
    <w:rsid w:val="00885632"/>
    <w:rsid w:val="00885999"/>
    <w:rsid w:val="00885C2F"/>
    <w:rsid w:val="00886BDD"/>
    <w:rsid w:val="00886C57"/>
    <w:rsid w:val="00886F4D"/>
    <w:rsid w:val="00886FA8"/>
    <w:rsid w:val="008874E5"/>
    <w:rsid w:val="008877A1"/>
    <w:rsid w:val="00887C06"/>
    <w:rsid w:val="00887EFA"/>
    <w:rsid w:val="0089087A"/>
    <w:rsid w:val="00890C25"/>
    <w:rsid w:val="00890D79"/>
    <w:rsid w:val="00891A8E"/>
    <w:rsid w:val="00891BFA"/>
    <w:rsid w:val="008921C2"/>
    <w:rsid w:val="00892A7B"/>
    <w:rsid w:val="00892B30"/>
    <w:rsid w:val="00892EBB"/>
    <w:rsid w:val="00893E4E"/>
    <w:rsid w:val="00893ECF"/>
    <w:rsid w:val="0089422F"/>
    <w:rsid w:val="00894658"/>
    <w:rsid w:val="00894ABE"/>
    <w:rsid w:val="00895283"/>
    <w:rsid w:val="0089557A"/>
    <w:rsid w:val="00895F06"/>
    <w:rsid w:val="00896A49"/>
    <w:rsid w:val="00897020"/>
    <w:rsid w:val="008973B4"/>
    <w:rsid w:val="00897752"/>
    <w:rsid w:val="00897860"/>
    <w:rsid w:val="008A0619"/>
    <w:rsid w:val="008A0948"/>
    <w:rsid w:val="008A1143"/>
    <w:rsid w:val="008A11A0"/>
    <w:rsid w:val="008A16EB"/>
    <w:rsid w:val="008A187F"/>
    <w:rsid w:val="008A1E15"/>
    <w:rsid w:val="008A29C7"/>
    <w:rsid w:val="008A3087"/>
    <w:rsid w:val="008A3136"/>
    <w:rsid w:val="008A3D18"/>
    <w:rsid w:val="008A442C"/>
    <w:rsid w:val="008A44E2"/>
    <w:rsid w:val="008A4508"/>
    <w:rsid w:val="008A4791"/>
    <w:rsid w:val="008A47BD"/>
    <w:rsid w:val="008A4BFA"/>
    <w:rsid w:val="008A571D"/>
    <w:rsid w:val="008A6121"/>
    <w:rsid w:val="008A625A"/>
    <w:rsid w:val="008A6303"/>
    <w:rsid w:val="008A6A37"/>
    <w:rsid w:val="008A6ACF"/>
    <w:rsid w:val="008A6B3E"/>
    <w:rsid w:val="008A6B82"/>
    <w:rsid w:val="008A6BBD"/>
    <w:rsid w:val="008A6ED3"/>
    <w:rsid w:val="008A787B"/>
    <w:rsid w:val="008A7EDB"/>
    <w:rsid w:val="008B0260"/>
    <w:rsid w:val="008B14F1"/>
    <w:rsid w:val="008B1758"/>
    <w:rsid w:val="008B186C"/>
    <w:rsid w:val="008B21D5"/>
    <w:rsid w:val="008B24DC"/>
    <w:rsid w:val="008B283C"/>
    <w:rsid w:val="008B2885"/>
    <w:rsid w:val="008B326D"/>
    <w:rsid w:val="008B3450"/>
    <w:rsid w:val="008B3557"/>
    <w:rsid w:val="008B3DB3"/>
    <w:rsid w:val="008B417A"/>
    <w:rsid w:val="008B4AEB"/>
    <w:rsid w:val="008B54B6"/>
    <w:rsid w:val="008B56B9"/>
    <w:rsid w:val="008B5AAE"/>
    <w:rsid w:val="008B5E42"/>
    <w:rsid w:val="008B658E"/>
    <w:rsid w:val="008B6A4B"/>
    <w:rsid w:val="008B6B91"/>
    <w:rsid w:val="008B6D3D"/>
    <w:rsid w:val="008B6D50"/>
    <w:rsid w:val="008B6D9A"/>
    <w:rsid w:val="008B758C"/>
    <w:rsid w:val="008B761E"/>
    <w:rsid w:val="008B7AEE"/>
    <w:rsid w:val="008C0599"/>
    <w:rsid w:val="008C08A1"/>
    <w:rsid w:val="008C09B2"/>
    <w:rsid w:val="008C0D20"/>
    <w:rsid w:val="008C1061"/>
    <w:rsid w:val="008C171A"/>
    <w:rsid w:val="008C180C"/>
    <w:rsid w:val="008C2127"/>
    <w:rsid w:val="008C2CA5"/>
    <w:rsid w:val="008C2D92"/>
    <w:rsid w:val="008C2E3D"/>
    <w:rsid w:val="008C2F6F"/>
    <w:rsid w:val="008C3544"/>
    <w:rsid w:val="008C374C"/>
    <w:rsid w:val="008C4B00"/>
    <w:rsid w:val="008C4C4E"/>
    <w:rsid w:val="008C4CB0"/>
    <w:rsid w:val="008C4FCD"/>
    <w:rsid w:val="008C5184"/>
    <w:rsid w:val="008C575C"/>
    <w:rsid w:val="008C5865"/>
    <w:rsid w:val="008C5FE0"/>
    <w:rsid w:val="008C693C"/>
    <w:rsid w:val="008C6981"/>
    <w:rsid w:val="008C6D8D"/>
    <w:rsid w:val="008C7641"/>
    <w:rsid w:val="008C769F"/>
    <w:rsid w:val="008C7C53"/>
    <w:rsid w:val="008D00B3"/>
    <w:rsid w:val="008D0FC7"/>
    <w:rsid w:val="008D18D0"/>
    <w:rsid w:val="008D257E"/>
    <w:rsid w:val="008D3083"/>
    <w:rsid w:val="008D343D"/>
    <w:rsid w:val="008D363B"/>
    <w:rsid w:val="008D382A"/>
    <w:rsid w:val="008D39B8"/>
    <w:rsid w:val="008D39E9"/>
    <w:rsid w:val="008D3F4E"/>
    <w:rsid w:val="008D46DD"/>
    <w:rsid w:val="008D504D"/>
    <w:rsid w:val="008D515E"/>
    <w:rsid w:val="008D51AE"/>
    <w:rsid w:val="008D52BE"/>
    <w:rsid w:val="008D531D"/>
    <w:rsid w:val="008D53D0"/>
    <w:rsid w:val="008D5E12"/>
    <w:rsid w:val="008D640C"/>
    <w:rsid w:val="008D65B2"/>
    <w:rsid w:val="008D6A8B"/>
    <w:rsid w:val="008D6AEB"/>
    <w:rsid w:val="008D6B07"/>
    <w:rsid w:val="008D728C"/>
    <w:rsid w:val="008D76DB"/>
    <w:rsid w:val="008D7EBF"/>
    <w:rsid w:val="008D7F2A"/>
    <w:rsid w:val="008E10DE"/>
    <w:rsid w:val="008E1C25"/>
    <w:rsid w:val="008E2120"/>
    <w:rsid w:val="008E327C"/>
    <w:rsid w:val="008E3AF9"/>
    <w:rsid w:val="008E418D"/>
    <w:rsid w:val="008E4B88"/>
    <w:rsid w:val="008E4D18"/>
    <w:rsid w:val="008E55DB"/>
    <w:rsid w:val="008E586F"/>
    <w:rsid w:val="008E59C1"/>
    <w:rsid w:val="008E5ED0"/>
    <w:rsid w:val="008E6041"/>
    <w:rsid w:val="008E6214"/>
    <w:rsid w:val="008E6B7A"/>
    <w:rsid w:val="008E6F34"/>
    <w:rsid w:val="008E797A"/>
    <w:rsid w:val="008E7E14"/>
    <w:rsid w:val="008F0963"/>
    <w:rsid w:val="008F0A7B"/>
    <w:rsid w:val="008F116A"/>
    <w:rsid w:val="008F19BE"/>
    <w:rsid w:val="008F24A9"/>
    <w:rsid w:val="008F26E9"/>
    <w:rsid w:val="008F2F9E"/>
    <w:rsid w:val="008F3285"/>
    <w:rsid w:val="008F3532"/>
    <w:rsid w:val="008F36F3"/>
    <w:rsid w:val="008F3E99"/>
    <w:rsid w:val="008F3F26"/>
    <w:rsid w:val="008F45B8"/>
    <w:rsid w:val="008F5179"/>
    <w:rsid w:val="008F536F"/>
    <w:rsid w:val="008F564E"/>
    <w:rsid w:val="008F5926"/>
    <w:rsid w:val="008F5955"/>
    <w:rsid w:val="008F5A13"/>
    <w:rsid w:val="008F5A5F"/>
    <w:rsid w:val="008F61E1"/>
    <w:rsid w:val="008F6491"/>
    <w:rsid w:val="008F6511"/>
    <w:rsid w:val="008F676E"/>
    <w:rsid w:val="008F6F11"/>
    <w:rsid w:val="008F713E"/>
    <w:rsid w:val="008F754D"/>
    <w:rsid w:val="008F78A1"/>
    <w:rsid w:val="008F7EC4"/>
    <w:rsid w:val="00900978"/>
    <w:rsid w:val="009009B5"/>
    <w:rsid w:val="009009F7"/>
    <w:rsid w:val="00900CD7"/>
    <w:rsid w:val="00900EF9"/>
    <w:rsid w:val="00901C50"/>
    <w:rsid w:val="00901FF8"/>
    <w:rsid w:val="009021AE"/>
    <w:rsid w:val="009027C8"/>
    <w:rsid w:val="00902A84"/>
    <w:rsid w:val="0090386D"/>
    <w:rsid w:val="00903D7F"/>
    <w:rsid w:val="009041A6"/>
    <w:rsid w:val="00904318"/>
    <w:rsid w:val="009060C2"/>
    <w:rsid w:val="009060E3"/>
    <w:rsid w:val="00906366"/>
    <w:rsid w:val="00906CEF"/>
    <w:rsid w:val="0090793D"/>
    <w:rsid w:val="00907B55"/>
    <w:rsid w:val="00910053"/>
    <w:rsid w:val="0091012E"/>
    <w:rsid w:val="0091063D"/>
    <w:rsid w:val="00910C9D"/>
    <w:rsid w:val="00911BC0"/>
    <w:rsid w:val="00912773"/>
    <w:rsid w:val="00912A97"/>
    <w:rsid w:val="00912BFA"/>
    <w:rsid w:val="009132B9"/>
    <w:rsid w:val="00913F78"/>
    <w:rsid w:val="00914CED"/>
    <w:rsid w:val="00914ED5"/>
    <w:rsid w:val="0091518B"/>
    <w:rsid w:val="009152C3"/>
    <w:rsid w:val="009155E0"/>
    <w:rsid w:val="00915F8C"/>
    <w:rsid w:val="00916466"/>
    <w:rsid w:val="00916D48"/>
    <w:rsid w:val="00916DD0"/>
    <w:rsid w:val="00917298"/>
    <w:rsid w:val="00920779"/>
    <w:rsid w:val="00920BB1"/>
    <w:rsid w:val="00920CA9"/>
    <w:rsid w:val="009211A4"/>
    <w:rsid w:val="009216A1"/>
    <w:rsid w:val="0092171C"/>
    <w:rsid w:val="00923159"/>
    <w:rsid w:val="009232CC"/>
    <w:rsid w:val="009239EF"/>
    <w:rsid w:val="00923C93"/>
    <w:rsid w:val="00923F42"/>
    <w:rsid w:val="00924198"/>
    <w:rsid w:val="00924283"/>
    <w:rsid w:val="00924492"/>
    <w:rsid w:val="0092519D"/>
    <w:rsid w:val="009258D2"/>
    <w:rsid w:val="00925C04"/>
    <w:rsid w:val="00926176"/>
    <w:rsid w:val="00926432"/>
    <w:rsid w:val="00926550"/>
    <w:rsid w:val="00926554"/>
    <w:rsid w:val="00926771"/>
    <w:rsid w:val="0092681B"/>
    <w:rsid w:val="00926D34"/>
    <w:rsid w:val="00927AD1"/>
    <w:rsid w:val="00927ED1"/>
    <w:rsid w:val="009307F2"/>
    <w:rsid w:val="00931815"/>
    <w:rsid w:val="00931F59"/>
    <w:rsid w:val="0093245B"/>
    <w:rsid w:val="009329E7"/>
    <w:rsid w:val="00933054"/>
    <w:rsid w:val="00933149"/>
    <w:rsid w:val="00933BA6"/>
    <w:rsid w:val="00933BCA"/>
    <w:rsid w:val="00934674"/>
    <w:rsid w:val="009346B9"/>
    <w:rsid w:val="009349F7"/>
    <w:rsid w:val="009355A8"/>
    <w:rsid w:val="00935702"/>
    <w:rsid w:val="00936166"/>
    <w:rsid w:val="00936528"/>
    <w:rsid w:val="00936C7C"/>
    <w:rsid w:val="00936E78"/>
    <w:rsid w:val="009373EB"/>
    <w:rsid w:val="00937B29"/>
    <w:rsid w:val="00937B98"/>
    <w:rsid w:val="00937DB9"/>
    <w:rsid w:val="00937DDE"/>
    <w:rsid w:val="00940215"/>
    <w:rsid w:val="00940266"/>
    <w:rsid w:val="00940434"/>
    <w:rsid w:val="00940D82"/>
    <w:rsid w:val="00940F0E"/>
    <w:rsid w:val="00941202"/>
    <w:rsid w:val="0094182E"/>
    <w:rsid w:val="00942502"/>
    <w:rsid w:val="0094253A"/>
    <w:rsid w:val="00942589"/>
    <w:rsid w:val="009429F0"/>
    <w:rsid w:val="00942C2D"/>
    <w:rsid w:val="00942C54"/>
    <w:rsid w:val="009430E6"/>
    <w:rsid w:val="0094361C"/>
    <w:rsid w:val="00943ADA"/>
    <w:rsid w:val="00943D90"/>
    <w:rsid w:val="00943F52"/>
    <w:rsid w:val="00944538"/>
    <w:rsid w:val="00944957"/>
    <w:rsid w:val="009452C0"/>
    <w:rsid w:val="009455EB"/>
    <w:rsid w:val="00945756"/>
    <w:rsid w:val="00945A90"/>
    <w:rsid w:val="00945D67"/>
    <w:rsid w:val="00945D8D"/>
    <w:rsid w:val="00946138"/>
    <w:rsid w:val="009468D8"/>
    <w:rsid w:val="00946C8A"/>
    <w:rsid w:val="00946D81"/>
    <w:rsid w:val="00946DBC"/>
    <w:rsid w:val="0094719C"/>
    <w:rsid w:val="0094753A"/>
    <w:rsid w:val="00947793"/>
    <w:rsid w:val="00947822"/>
    <w:rsid w:val="0095017A"/>
    <w:rsid w:val="00950514"/>
    <w:rsid w:val="0095053B"/>
    <w:rsid w:val="00950BAA"/>
    <w:rsid w:val="00950C68"/>
    <w:rsid w:val="009511C5"/>
    <w:rsid w:val="00951234"/>
    <w:rsid w:val="00951E8F"/>
    <w:rsid w:val="00951F6D"/>
    <w:rsid w:val="00952201"/>
    <w:rsid w:val="00952E8E"/>
    <w:rsid w:val="00953815"/>
    <w:rsid w:val="0095412C"/>
    <w:rsid w:val="0095464D"/>
    <w:rsid w:val="0095477A"/>
    <w:rsid w:val="00954EBA"/>
    <w:rsid w:val="00955647"/>
    <w:rsid w:val="00955831"/>
    <w:rsid w:val="00955DC0"/>
    <w:rsid w:val="009561EA"/>
    <w:rsid w:val="00956525"/>
    <w:rsid w:val="00956776"/>
    <w:rsid w:val="009567C9"/>
    <w:rsid w:val="0095691F"/>
    <w:rsid w:val="00957A03"/>
    <w:rsid w:val="009604F9"/>
    <w:rsid w:val="00960C0C"/>
    <w:rsid w:val="00960C16"/>
    <w:rsid w:val="00961ADB"/>
    <w:rsid w:val="00961F24"/>
    <w:rsid w:val="009627FE"/>
    <w:rsid w:val="00962D70"/>
    <w:rsid w:val="00963106"/>
    <w:rsid w:val="009639CF"/>
    <w:rsid w:val="00963B1D"/>
    <w:rsid w:val="00963E70"/>
    <w:rsid w:val="009644FD"/>
    <w:rsid w:val="00964DB7"/>
    <w:rsid w:val="00964E0E"/>
    <w:rsid w:val="00964FAE"/>
    <w:rsid w:val="00965370"/>
    <w:rsid w:val="009653F9"/>
    <w:rsid w:val="009664EA"/>
    <w:rsid w:val="00966C30"/>
    <w:rsid w:val="0096736D"/>
    <w:rsid w:val="00967618"/>
    <w:rsid w:val="009701DE"/>
    <w:rsid w:val="009709B7"/>
    <w:rsid w:val="00970E21"/>
    <w:rsid w:val="009717C1"/>
    <w:rsid w:val="00971BB4"/>
    <w:rsid w:val="00971CCD"/>
    <w:rsid w:val="00971F11"/>
    <w:rsid w:val="009720BA"/>
    <w:rsid w:val="0097273D"/>
    <w:rsid w:val="0097295C"/>
    <w:rsid w:val="00972E33"/>
    <w:rsid w:val="0097339C"/>
    <w:rsid w:val="0097363C"/>
    <w:rsid w:val="009737B3"/>
    <w:rsid w:val="00973983"/>
    <w:rsid w:val="00973A30"/>
    <w:rsid w:val="00973AE6"/>
    <w:rsid w:val="00973E9F"/>
    <w:rsid w:val="00974300"/>
    <w:rsid w:val="0097494C"/>
    <w:rsid w:val="009749A0"/>
    <w:rsid w:val="00974A0F"/>
    <w:rsid w:val="00974B85"/>
    <w:rsid w:val="00974E9F"/>
    <w:rsid w:val="009753C9"/>
    <w:rsid w:val="00975782"/>
    <w:rsid w:val="009757CB"/>
    <w:rsid w:val="00975CCD"/>
    <w:rsid w:val="00975F8B"/>
    <w:rsid w:val="0097677D"/>
    <w:rsid w:val="00976C90"/>
    <w:rsid w:val="009772BA"/>
    <w:rsid w:val="009772FA"/>
    <w:rsid w:val="00977687"/>
    <w:rsid w:val="00977870"/>
    <w:rsid w:val="00980293"/>
    <w:rsid w:val="009805B6"/>
    <w:rsid w:val="0098275E"/>
    <w:rsid w:val="00982A3A"/>
    <w:rsid w:val="00982E60"/>
    <w:rsid w:val="00983277"/>
    <w:rsid w:val="00983B74"/>
    <w:rsid w:val="00983B8C"/>
    <w:rsid w:val="009842EE"/>
    <w:rsid w:val="00984C5E"/>
    <w:rsid w:val="009858A8"/>
    <w:rsid w:val="00985D83"/>
    <w:rsid w:val="00985D8D"/>
    <w:rsid w:val="00986CA2"/>
    <w:rsid w:val="009872C6"/>
    <w:rsid w:val="00987314"/>
    <w:rsid w:val="0098745F"/>
    <w:rsid w:val="00987780"/>
    <w:rsid w:val="00987D0F"/>
    <w:rsid w:val="00990420"/>
    <w:rsid w:val="009906D5"/>
    <w:rsid w:val="009906FB"/>
    <w:rsid w:val="00990878"/>
    <w:rsid w:val="00990DEE"/>
    <w:rsid w:val="0099132B"/>
    <w:rsid w:val="0099142D"/>
    <w:rsid w:val="009916F5"/>
    <w:rsid w:val="009918E6"/>
    <w:rsid w:val="00991967"/>
    <w:rsid w:val="0099285B"/>
    <w:rsid w:val="00992CE5"/>
    <w:rsid w:val="00992E6E"/>
    <w:rsid w:val="00992F8E"/>
    <w:rsid w:val="009930B9"/>
    <w:rsid w:val="0099329F"/>
    <w:rsid w:val="00993328"/>
    <w:rsid w:val="009937BC"/>
    <w:rsid w:val="00993C8B"/>
    <w:rsid w:val="00993E31"/>
    <w:rsid w:val="00993E61"/>
    <w:rsid w:val="00994516"/>
    <w:rsid w:val="00994E34"/>
    <w:rsid w:val="00994F8B"/>
    <w:rsid w:val="00994FA8"/>
    <w:rsid w:val="0099525F"/>
    <w:rsid w:val="00995278"/>
    <w:rsid w:val="00995408"/>
    <w:rsid w:val="00995525"/>
    <w:rsid w:val="00995666"/>
    <w:rsid w:val="00996239"/>
    <w:rsid w:val="0099641E"/>
    <w:rsid w:val="00996D57"/>
    <w:rsid w:val="00996EDA"/>
    <w:rsid w:val="00996EDE"/>
    <w:rsid w:val="00996F96"/>
    <w:rsid w:val="00997166"/>
    <w:rsid w:val="00997415"/>
    <w:rsid w:val="009976B8"/>
    <w:rsid w:val="009977F2"/>
    <w:rsid w:val="00997837"/>
    <w:rsid w:val="00997FA5"/>
    <w:rsid w:val="009A0D00"/>
    <w:rsid w:val="009A0DF2"/>
    <w:rsid w:val="009A17D6"/>
    <w:rsid w:val="009A1A5D"/>
    <w:rsid w:val="009A1FC7"/>
    <w:rsid w:val="009A2433"/>
    <w:rsid w:val="009A2457"/>
    <w:rsid w:val="009A25B9"/>
    <w:rsid w:val="009A2621"/>
    <w:rsid w:val="009A2C64"/>
    <w:rsid w:val="009A32BC"/>
    <w:rsid w:val="009A347E"/>
    <w:rsid w:val="009A3951"/>
    <w:rsid w:val="009A3E55"/>
    <w:rsid w:val="009A4379"/>
    <w:rsid w:val="009A4BAE"/>
    <w:rsid w:val="009A4E1C"/>
    <w:rsid w:val="009A4F10"/>
    <w:rsid w:val="009A5735"/>
    <w:rsid w:val="009A5E03"/>
    <w:rsid w:val="009A6BD8"/>
    <w:rsid w:val="009A6CF1"/>
    <w:rsid w:val="009A71A7"/>
    <w:rsid w:val="009A72E1"/>
    <w:rsid w:val="009A7307"/>
    <w:rsid w:val="009A7350"/>
    <w:rsid w:val="009A738E"/>
    <w:rsid w:val="009A7E9F"/>
    <w:rsid w:val="009A7EF2"/>
    <w:rsid w:val="009B0079"/>
    <w:rsid w:val="009B0728"/>
    <w:rsid w:val="009B0E23"/>
    <w:rsid w:val="009B0E7A"/>
    <w:rsid w:val="009B16EC"/>
    <w:rsid w:val="009B17EE"/>
    <w:rsid w:val="009B194B"/>
    <w:rsid w:val="009B194C"/>
    <w:rsid w:val="009B1A21"/>
    <w:rsid w:val="009B1B67"/>
    <w:rsid w:val="009B1C98"/>
    <w:rsid w:val="009B1E4C"/>
    <w:rsid w:val="009B2270"/>
    <w:rsid w:val="009B23D3"/>
    <w:rsid w:val="009B2D50"/>
    <w:rsid w:val="009B3279"/>
    <w:rsid w:val="009B328D"/>
    <w:rsid w:val="009B3500"/>
    <w:rsid w:val="009B3740"/>
    <w:rsid w:val="009B4171"/>
    <w:rsid w:val="009B44C3"/>
    <w:rsid w:val="009B4840"/>
    <w:rsid w:val="009B4888"/>
    <w:rsid w:val="009B5106"/>
    <w:rsid w:val="009B52DF"/>
    <w:rsid w:val="009B53F5"/>
    <w:rsid w:val="009B540D"/>
    <w:rsid w:val="009B54EB"/>
    <w:rsid w:val="009B5769"/>
    <w:rsid w:val="009B5F28"/>
    <w:rsid w:val="009B628D"/>
    <w:rsid w:val="009B679C"/>
    <w:rsid w:val="009B6E82"/>
    <w:rsid w:val="009B79B7"/>
    <w:rsid w:val="009B7A9F"/>
    <w:rsid w:val="009C0757"/>
    <w:rsid w:val="009C0845"/>
    <w:rsid w:val="009C0C20"/>
    <w:rsid w:val="009C0C7B"/>
    <w:rsid w:val="009C11EE"/>
    <w:rsid w:val="009C1E60"/>
    <w:rsid w:val="009C21C6"/>
    <w:rsid w:val="009C25AE"/>
    <w:rsid w:val="009C25E7"/>
    <w:rsid w:val="009C2C86"/>
    <w:rsid w:val="009C300B"/>
    <w:rsid w:val="009C31F1"/>
    <w:rsid w:val="009C3379"/>
    <w:rsid w:val="009C410B"/>
    <w:rsid w:val="009C41C5"/>
    <w:rsid w:val="009C4508"/>
    <w:rsid w:val="009C4630"/>
    <w:rsid w:val="009C4670"/>
    <w:rsid w:val="009C521A"/>
    <w:rsid w:val="009C5783"/>
    <w:rsid w:val="009C5796"/>
    <w:rsid w:val="009C6274"/>
    <w:rsid w:val="009C67EF"/>
    <w:rsid w:val="009C6C3E"/>
    <w:rsid w:val="009C74C9"/>
    <w:rsid w:val="009C7571"/>
    <w:rsid w:val="009C7845"/>
    <w:rsid w:val="009D0648"/>
    <w:rsid w:val="009D06D3"/>
    <w:rsid w:val="009D0712"/>
    <w:rsid w:val="009D0CDA"/>
    <w:rsid w:val="009D0D70"/>
    <w:rsid w:val="009D0DBD"/>
    <w:rsid w:val="009D0DD3"/>
    <w:rsid w:val="009D1108"/>
    <w:rsid w:val="009D1580"/>
    <w:rsid w:val="009D22E0"/>
    <w:rsid w:val="009D25B1"/>
    <w:rsid w:val="009D2A44"/>
    <w:rsid w:val="009D387F"/>
    <w:rsid w:val="009D42CE"/>
    <w:rsid w:val="009D435D"/>
    <w:rsid w:val="009D4870"/>
    <w:rsid w:val="009D4F64"/>
    <w:rsid w:val="009D536D"/>
    <w:rsid w:val="009D544C"/>
    <w:rsid w:val="009D59EF"/>
    <w:rsid w:val="009D6B51"/>
    <w:rsid w:val="009D6CB5"/>
    <w:rsid w:val="009D6E6D"/>
    <w:rsid w:val="009D7373"/>
    <w:rsid w:val="009D7A07"/>
    <w:rsid w:val="009E000B"/>
    <w:rsid w:val="009E00BF"/>
    <w:rsid w:val="009E0BCE"/>
    <w:rsid w:val="009E10FC"/>
    <w:rsid w:val="009E1F2C"/>
    <w:rsid w:val="009E1F34"/>
    <w:rsid w:val="009E21CB"/>
    <w:rsid w:val="009E25CE"/>
    <w:rsid w:val="009E29AD"/>
    <w:rsid w:val="009E2A44"/>
    <w:rsid w:val="009E304E"/>
    <w:rsid w:val="009E3077"/>
    <w:rsid w:val="009E340F"/>
    <w:rsid w:val="009E3429"/>
    <w:rsid w:val="009E3788"/>
    <w:rsid w:val="009E406D"/>
    <w:rsid w:val="009E4F11"/>
    <w:rsid w:val="009E61F5"/>
    <w:rsid w:val="009E6428"/>
    <w:rsid w:val="009E7089"/>
    <w:rsid w:val="009E70B4"/>
    <w:rsid w:val="009E79E6"/>
    <w:rsid w:val="009E7CF6"/>
    <w:rsid w:val="009E7FEC"/>
    <w:rsid w:val="009F054C"/>
    <w:rsid w:val="009F0BF7"/>
    <w:rsid w:val="009F1218"/>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670F"/>
    <w:rsid w:val="009F6824"/>
    <w:rsid w:val="009F70CC"/>
    <w:rsid w:val="009F7768"/>
    <w:rsid w:val="009F786F"/>
    <w:rsid w:val="009F7FE2"/>
    <w:rsid w:val="00A0087E"/>
    <w:rsid w:val="00A00C9D"/>
    <w:rsid w:val="00A00DF8"/>
    <w:rsid w:val="00A0104B"/>
    <w:rsid w:val="00A012E9"/>
    <w:rsid w:val="00A01ED5"/>
    <w:rsid w:val="00A0235B"/>
    <w:rsid w:val="00A0278B"/>
    <w:rsid w:val="00A02FB2"/>
    <w:rsid w:val="00A03691"/>
    <w:rsid w:val="00A03871"/>
    <w:rsid w:val="00A040A8"/>
    <w:rsid w:val="00A046CE"/>
    <w:rsid w:val="00A0483E"/>
    <w:rsid w:val="00A04B53"/>
    <w:rsid w:val="00A0528C"/>
    <w:rsid w:val="00A07207"/>
    <w:rsid w:val="00A07B79"/>
    <w:rsid w:val="00A10797"/>
    <w:rsid w:val="00A1116A"/>
    <w:rsid w:val="00A11215"/>
    <w:rsid w:val="00A1128D"/>
    <w:rsid w:val="00A113FD"/>
    <w:rsid w:val="00A1187F"/>
    <w:rsid w:val="00A11D16"/>
    <w:rsid w:val="00A11EA1"/>
    <w:rsid w:val="00A12765"/>
    <w:rsid w:val="00A133D2"/>
    <w:rsid w:val="00A137EC"/>
    <w:rsid w:val="00A137ED"/>
    <w:rsid w:val="00A13BD8"/>
    <w:rsid w:val="00A13BE8"/>
    <w:rsid w:val="00A13F30"/>
    <w:rsid w:val="00A14283"/>
    <w:rsid w:val="00A14895"/>
    <w:rsid w:val="00A14969"/>
    <w:rsid w:val="00A14B2F"/>
    <w:rsid w:val="00A153CC"/>
    <w:rsid w:val="00A15E5F"/>
    <w:rsid w:val="00A16E2F"/>
    <w:rsid w:val="00A17214"/>
    <w:rsid w:val="00A2003B"/>
    <w:rsid w:val="00A20900"/>
    <w:rsid w:val="00A20B91"/>
    <w:rsid w:val="00A20BC0"/>
    <w:rsid w:val="00A22093"/>
    <w:rsid w:val="00A22234"/>
    <w:rsid w:val="00A2312C"/>
    <w:rsid w:val="00A234B3"/>
    <w:rsid w:val="00A23517"/>
    <w:rsid w:val="00A2390D"/>
    <w:rsid w:val="00A245B3"/>
    <w:rsid w:val="00A24CFF"/>
    <w:rsid w:val="00A25006"/>
    <w:rsid w:val="00A25390"/>
    <w:rsid w:val="00A25C03"/>
    <w:rsid w:val="00A26871"/>
    <w:rsid w:val="00A26F6C"/>
    <w:rsid w:val="00A27F29"/>
    <w:rsid w:val="00A3006B"/>
    <w:rsid w:val="00A30EC8"/>
    <w:rsid w:val="00A31F7E"/>
    <w:rsid w:val="00A324EC"/>
    <w:rsid w:val="00A32864"/>
    <w:rsid w:val="00A32B1A"/>
    <w:rsid w:val="00A33203"/>
    <w:rsid w:val="00A3374D"/>
    <w:rsid w:val="00A33E18"/>
    <w:rsid w:val="00A3400E"/>
    <w:rsid w:val="00A348D2"/>
    <w:rsid w:val="00A354D5"/>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52"/>
    <w:rsid w:val="00A41D80"/>
    <w:rsid w:val="00A41F07"/>
    <w:rsid w:val="00A42E4E"/>
    <w:rsid w:val="00A4341A"/>
    <w:rsid w:val="00A43460"/>
    <w:rsid w:val="00A4359B"/>
    <w:rsid w:val="00A43E96"/>
    <w:rsid w:val="00A43FBA"/>
    <w:rsid w:val="00A447F8"/>
    <w:rsid w:val="00A44D8F"/>
    <w:rsid w:val="00A44EAB"/>
    <w:rsid w:val="00A46082"/>
    <w:rsid w:val="00A46418"/>
    <w:rsid w:val="00A46574"/>
    <w:rsid w:val="00A466F3"/>
    <w:rsid w:val="00A46CC4"/>
    <w:rsid w:val="00A46EB5"/>
    <w:rsid w:val="00A477BD"/>
    <w:rsid w:val="00A47F23"/>
    <w:rsid w:val="00A504CB"/>
    <w:rsid w:val="00A5099F"/>
    <w:rsid w:val="00A50A6A"/>
    <w:rsid w:val="00A51999"/>
    <w:rsid w:val="00A528F1"/>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7C47"/>
    <w:rsid w:val="00A57D6F"/>
    <w:rsid w:val="00A6057A"/>
    <w:rsid w:val="00A60A1F"/>
    <w:rsid w:val="00A60E7A"/>
    <w:rsid w:val="00A620DB"/>
    <w:rsid w:val="00A62CA9"/>
    <w:rsid w:val="00A630B5"/>
    <w:rsid w:val="00A63174"/>
    <w:rsid w:val="00A637EB"/>
    <w:rsid w:val="00A6406F"/>
    <w:rsid w:val="00A64768"/>
    <w:rsid w:val="00A64EF5"/>
    <w:rsid w:val="00A650F5"/>
    <w:rsid w:val="00A65574"/>
    <w:rsid w:val="00A65622"/>
    <w:rsid w:val="00A65890"/>
    <w:rsid w:val="00A65ABB"/>
    <w:rsid w:val="00A65BBC"/>
    <w:rsid w:val="00A65D2C"/>
    <w:rsid w:val="00A660C6"/>
    <w:rsid w:val="00A6612C"/>
    <w:rsid w:val="00A66BA4"/>
    <w:rsid w:val="00A66C81"/>
    <w:rsid w:val="00A6749A"/>
    <w:rsid w:val="00A67D86"/>
    <w:rsid w:val="00A701AF"/>
    <w:rsid w:val="00A701CE"/>
    <w:rsid w:val="00A7083C"/>
    <w:rsid w:val="00A70E4A"/>
    <w:rsid w:val="00A711B9"/>
    <w:rsid w:val="00A714B9"/>
    <w:rsid w:val="00A71624"/>
    <w:rsid w:val="00A717F5"/>
    <w:rsid w:val="00A71BFE"/>
    <w:rsid w:val="00A720CD"/>
    <w:rsid w:val="00A731FB"/>
    <w:rsid w:val="00A7324E"/>
    <w:rsid w:val="00A73B9E"/>
    <w:rsid w:val="00A73C56"/>
    <w:rsid w:val="00A7403F"/>
    <w:rsid w:val="00A7489A"/>
    <w:rsid w:val="00A74A4C"/>
    <w:rsid w:val="00A74F7C"/>
    <w:rsid w:val="00A75A3B"/>
    <w:rsid w:val="00A75F5E"/>
    <w:rsid w:val="00A75FF7"/>
    <w:rsid w:val="00A7698E"/>
    <w:rsid w:val="00A76A94"/>
    <w:rsid w:val="00A76D03"/>
    <w:rsid w:val="00A771FC"/>
    <w:rsid w:val="00A77722"/>
    <w:rsid w:val="00A778B5"/>
    <w:rsid w:val="00A8000B"/>
    <w:rsid w:val="00A803F1"/>
    <w:rsid w:val="00A80D39"/>
    <w:rsid w:val="00A81207"/>
    <w:rsid w:val="00A817F0"/>
    <w:rsid w:val="00A81CF1"/>
    <w:rsid w:val="00A82283"/>
    <w:rsid w:val="00A82AFE"/>
    <w:rsid w:val="00A831DE"/>
    <w:rsid w:val="00A83589"/>
    <w:rsid w:val="00A83BC7"/>
    <w:rsid w:val="00A83CD2"/>
    <w:rsid w:val="00A83F0B"/>
    <w:rsid w:val="00A840FE"/>
    <w:rsid w:val="00A8533F"/>
    <w:rsid w:val="00A856A5"/>
    <w:rsid w:val="00A85770"/>
    <w:rsid w:val="00A85D48"/>
    <w:rsid w:val="00A86046"/>
    <w:rsid w:val="00A8680A"/>
    <w:rsid w:val="00A86983"/>
    <w:rsid w:val="00A86A05"/>
    <w:rsid w:val="00A86D5D"/>
    <w:rsid w:val="00A86E23"/>
    <w:rsid w:val="00A870D9"/>
    <w:rsid w:val="00A872D6"/>
    <w:rsid w:val="00A873C4"/>
    <w:rsid w:val="00A87DFB"/>
    <w:rsid w:val="00A87E8B"/>
    <w:rsid w:val="00A90207"/>
    <w:rsid w:val="00A90860"/>
    <w:rsid w:val="00A90B78"/>
    <w:rsid w:val="00A90EF6"/>
    <w:rsid w:val="00A91F96"/>
    <w:rsid w:val="00A92103"/>
    <w:rsid w:val="00A92642"/>
    <w:rsid w:val="00A926C4"/>
    <w:rsid w:val="00A9293E"/>
    <w:rsid w:val="00A92A7E"/>
    <w:rsid w:val="00A92E43"/>
    <w:rsid w:val="00A930D7"/>
    <w:rsid w:val="00A9364E"/>
    <w:rsid w:val="00A937B3"/>
    <w:rsid w:val="00A93B81"/>
    <w:rsid w:val="00A9464E"/>
    <w:rsid w:val="00A95356"/>
    <w:rsid w:val="00A95397"/>
    <w:rsid w:val="00A955FB"/>
    <w:rsid w:val="00A95A85"/>
    <w:rsid w:val="00A95CB3"/>
    <w:rsid w:val="00A95E30"/>
    <w:rsid w:val="00A95F28"/>
    <w:rsid w:val="00A969DC"/>
    <w:rsid w:val="00A96C2F"/>
    <w:rsid w:val="00A96C7E"/>
    <w:rsid w:val="00A96F34"/>
    <w:rsid w:val="00A973A1"/>
    <w:rsid w:val="00A973C9"/>
    <w:rsid w:val="00A97487"/>
    <w:rsid w:val="00A974E1"/>
    <w:rsid w:val="00AA00BB"/>
    <w:rsid w:val="00AA012C"/>
    <w:rsid w:val="00AA032A"/>
    <w:rsid w:val="00AA08D1"/>
    <w:rsid w:val="00AA10A1"/>
    <w:rsid w:val="00AA117F"/>
    <w:rsid w:val="00AA1716"/>
    <w:rsid w:val="00AA1FAF"/>
    <w:rsid w:val="00AA29E3"/>
    <w:rsid w:val="00AA2CB4"/>
    <w:rsid w:val="00AA2D13"/>
    <w:rsid w:val="00AA3B03"/>
    <w:rsid w:val="00AA41BC"/>
    <w:rsid w:val="00AA4AFB"/>
    <w:rsid w:val="00AA5467"/>
    <w:rsid w:val="00AA591E"/>
    <w:rsid w:val="00AA65D3"/>
    <w:rsid w:val="00AA6666"/>
    <w:rsid w:val="00AA7A4D"/>
    <w:rsid w:val="00AB03EC"/>
    <w:rsid w:val="00AB068D"/>
    <w:rsid w:val="00AB07FC"/>
    <w:rsid w:val="00AB0FB7"/>
    <w:rsid w:val="00AB1831"/>
    <w:rsid w:val="00AB1975"/>
    <w:rsid w:val="00AB29CD"/>
    <w:rsid w:val="00AB2A15"/>
    <w:rsid w:val="00AB2B4E"/>
    <w:rsid w:val="00AB31A4"/>
    <w:rsid w:val="00AB3C9B"/>
    <w:rsid w:val="00AB3CF4"/>
    <w:rsid w:val="00AB41AA"/>
    <w:rsid w:val="00AB46AA"/>
    <w:rsid w:val="00AB479D"/>
    <w:rsid w:val="00AB519B"/>
    <w:rsid w:val="00AB5340"/>
    <w:rsid w:val="00AB6185"/>
    <w:rsid w:val="00AB6262"/>
    <w:rsid w:val="00AB6595"/>
    <w:rsid w:val="00AB65A6"/>
    <w:rsid w:val="00AB6B2C"/>
    <w:rsid w:val="00AB6F03"/>
    <w:rsid w:val="00AB7664"/>
    <w:rsid w:val="00AB7A18"/>
    <w:rsid w:val="00AB7E01"/>
    <w:rsid w:val="00AB7FEE"/>
    <w:rsid w:val="00AC03EA"/>
    <w:rsid w:val="00AC0661"/>
    <w:rsid w:val="00AC0B74"/>
    <w:rsid w:val="00AC145E"/>
    <w:rsid w:val="00AC19AD"/>
    <w:rsid w:val="00AC1B93"/>
    <w:rsid w:val="00AC1EFF"/>
    <w:rsid w:val="00AC22C4"/>
    <w:rsid w:val="00AC28A3"/>
    <w:rsid w:val="00AC29DE"/>
    <w:rsid w:val="00AC30C5"/>
    <w:rsid w:val="00AC31A6"/>
    <w:rsid w:val="00AC3409"/>
    <w:rsid w:val="00AC36B5"/>
    <w:rsid w:val="00AC392A"/>
    <w:rsid w:val="00AC40BD"/>
    <w:rsid w:val="00AC40D1"/>
    <w:rsid w:val="00AC4B50"/>
    <w:rsid w:val="00AC5575"/>
    <w:rsid w:val="00AC5679"/>
    <w:rsid w:val="00AC5AA0"/>
    <w:rsid w:val="00AC7234"/>
    <w:rsid w:val="00AC738C"/>
    <w:rsid w:val="00AC7658"/>
    <w:rsid w:val="00AC78D1"/>
    <w:rsid w:val="00AC7E94"/>
    <w:rsid w:val="00AD0069"/>
    <w:rsid w:val="00AD0220"/>
    <w:rsid w:val="00AD03D7"/>
    <w:rsid w:val="00AD043E"/>
    <w:rsid w:val="00AD04E1"/>
    <w:rsid w:val="00AD0AFC"/>
    <w:rsid w:val="00AD0F51"/>
    <w:rsid w:val="00AD0F76"/>
    <w:rsid w:val="00AD17AD"/>
    <w:rsid w:val="00AD17C3"/>
    <w:rsid w:val="00AD1E6D"/>
    <w:rsid w:val="00AD20A1"/>
    <w:rsid w:val="00AD2492"/>
    <w:rsid w:val="00AD2752"/>
    <w:rsid w:val="00AD29F1"/>
    <w:rsid w:val="00AD2E61"/>
    <w:rsid w:val="00AD31FC"/>
    <w:rsid w:val="00AD360D"/>
    <w:rsid w:val="00AD3A0D"/>
    <w:rsid w:val="00AD3E17"/>
    <w:rsid w:val="00AD4077"/>
    <w:rsid w:val="00AD40AF"/>
    <w:rsid w:val="00AD4941"/>
    <w:rsid w:val="00AD5477"/>
    <w:rsid w:val="00AD62D5"/>
    <w:rsid w:val="00AD66B8"/>
    <w:rsid w:val="00AD6F82"/>
    <w:rsid w:val="00AE0535"/>
    <w:rsid w:val="00AE05AE"/>
    <w:rsid w:val="00AE0C53"/>
    <w:rsid w:val="00AE0D64"/>
    <w:rsid w:val="00AE17F3"/>
    <w:rsid w:val="00AE196A"/>
    <w:rsid w:val="00AE1A6F"/>
    <w:rsid w:val="00AE1B0C"/>
    <w:rsid w:val="00AE1CDD"/>
    <w:rsid w:val="00AE25A9"/>
    <w:rsid w:val="00AE265B"/>
    <w:rsid w:val="00AE2C77"/>
    <w:rsid w:val="00AE2F5F"/>
    <w:rsid w:val="00AE34FE"/>
    <w:rsid w:val="00AE36C3"/>
    <w:rsid w:val="00AE3727"/>
    <w:rsid w:val="00AE39A7"/>
    <w:rsid w:val="00AE3A84"/>
    <w:rsid w:val="00AE3E35"/>
    <w:rsid w:val="00AE4517"/>
    <w:rsid w:val="00AE469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959"/>
    <w:rsid w:val="00AF14E4"/>
    <w:rsid w:val="00AF155C"/>
    <w:rsid w:val="00AF1605"/>
    <w:rsid w:val="00AF160B"/>
    <w:rsid w:val="00AF18F6"/>
    <w:rsid w:val="00AF2189"/>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6079"/>
    <w:rsid w:val="00AF69F8"/>
    <w:rsid w:val="00AF6FE0"/>
    <w:rsid w:val="00AF7135"/>
    <w:rsid w:val="00AF7A74"/>
    <w:rsid w:val="00AF7DA9"/>
    <w:rsid w:val="00AF7EB8"/>
    <w:rsid w:val="00B005A2"/>
    <w:rsid w:val="00B00AD1"/>
    <w:rsid w:val="00B00D3F"/>
    <w:rsid w:val="00B00D5A"/>
    <w:rsid w:val="00B01013"/>
    <w:rsid w:val="00B015DA"/>
    <w:rsid w:val="00B01B4F"/>
    <w:rsid w:val="00B01DAB"/>
    <w:rsid w:val="00B02600"/>
    <w:rsid w:val="00B02D6C"/>
    <w:rsid w:val="00B02DA3"/>
    <w:rsid w:val="00B02EF5"/>
    <w:rsid w:val="00B03713"/>
    <w:rsid w:val="00B03D24"/>
    <w:rsid w:val="00B04161"/>
    <w:rsid w:val="00B0416C"/>
    <w:rsid w:val="00B04228"/>
    <w:rsid w:val="00B04A31"/>
    <w:rsid w:val="00B04AFD"/>
    <w:rsid w:val="00B04BA4"/>
    <w:rsid w:val="00B04ECD"/>
    <w:rsid w:val="00B0502B"/>
    <w:rsid w:val="00B05340"/>
    <w:rsid w:val="00B053E1"/>
    <w:rsid w:val="00B05C19"/>
    <w:rsid w:val="00B05F28"/>
    <w:rsid w:val="00B0621C"/>
    <w:rsid w:val="00B06418"/>
    <w:rsid w:val="00B06B14"/>
    <w:rsid w:val="00B101B0"/>
    <w:rsid w:val="00B1047B"/>
    <w:rsid w:val="00B1084A"/>
    <w:rsid w:val="00B10EFE"/>
    <w:rsid w:val="00B11D50"/>
    <w:rsid w:val="00B12736"/>
    <w:rsid w:val="00B12CC6"/>
    <w:rsid w:val="00B13043"/>
    <w:rsid w:val="00B135D8"/>
    <w:rsid w:val="00B13823"/>
    <w:rsid w:val="00B13A21"/>
    <w:rsid w:val="00B13BBE"/>
    <w:rsid w:val="00B13C33"/>
    <w:rsid w:val="00B13F01"/>
    <w:rsid w:val="00B13F11"/>
    <w:rsid w:val="00B140E9"/>
    <w:rsid w:val="00B1441F"/>
    <w:rsid w:val="00B14C13"/>
    <w:rsid w:val="00B14FA5"/>
    <w:rsid w:val="00B150AD"/>
    <w:rsid w:val="00B1517E"/>
    <w:rsid w:val="00B15228"/>
    <w:rsid w:val="00B157B2"/>
    <w:rsid w:val="00B15957"/>
    <w:rsid w:val="00B15B63"/>
    <w:rsid w:val="00B15E64"/>
    <w:rsid w:val="00B16431"/>
    <w:rsid w:val="00B1644D"/>
    <w:rsid w:val="00B16457"/>
    <w:rsid w:val="00B16CBE"/>
    <w:rsid w:val="00B17643"/>
    <w:rsid w:val="00B178F5"/>
    <w:rsid w:val="00B17EFD"/>
    <w:rsid w:val="00B20EB3"/>
    <w:rsid w:val="00B20ECE"/>
    <w:rsid w:val="00B21C78"/>
    <w:rsid w:val="00B21E27"/>
    <w:rsid w:val="00B22AD4"/>
    <w:rsid w:val="00B22E80"/>
    <w:rsid w:val="00B22EC2"/>
    <w:rsid w:val="00B233EA"/>
    <w:rsid w:val="00B23EE4"/>
    <w:rsid w:val="00B2405E"/>
    <w:rsid w:val="00B243E4"/>
    <w:rsid w:val="00B24892"/>
    <w:rsid w:val="00B25632"/>
    <w:rsid w:val="00B25808"/>
    <w:rsid w:val="00B25871"/>
    <w:rsid w:val="00B25EE2"/>
    <w:rsid w:val="00B25EE7"/>
    <w:rsid w:val="00B274E2"/>
    <w:rsid w:val="00B27A69"/>
    <w:rsid w:val="00B30AA8"/>
    <w:rsid w:val="00B31366"/>
    <w:rsid w:val="00B31F9A"/>
    <w:rsid w:val="00B32AEA"/>
    <w:rsid w:val="00B3309B"/>
    <w:rsid w:val="00B33174"/>
    <w:rsid w:val="00B332BD"/>
    <w:rsid w:val="00B33B90"/>
    <w:rsid w:val="00B33F0D"/>
    <w:rsid w:val="00B34F8B"/>
    <w:rsid w:val="00B35035"/>
    <w:rsid w:val="00B3514F"/>
    <w:rsid w:val="00B35198"/>
    <w:rsid w:val="00B352E4"/>
    <w:rsid w:val="00B35BFB"/>
    <w:rsid w:val="00B3750B"/>
    <w:rsid w:val="00B3762E"/>
    <w:rsid w:val="00B37C9D"/>
    <w:rsid w:val="00B40D75"/>
    <w:rsid w:val="00B41516"/>
    <w:rsid w:val="00B41525"/>
    <w:rsid w:val="00B41B11"/>
    <w:rsid w:val="00B4227C"/>
    <w:rsid w:val="00B42D1F"/>
    <w:rsid w:val="00B4444E"/>
    <w:rsid w:val="00B44705"/>
    <w:rsid w:val="00B4498A"/>
    <w:rsid w:val="00B4664F"/>
    <w:rsid w:val="00B4690E"/>
    <w:rsid w:val="00B46A98"/>
    <w:rsid w:val="00B46B32"/>
    <w:rsid w:val="00B46CC6"/>
    <w:rsid w:val="00B479F1"/>
    <w:rsid w:val="00B47EA7"/>
    <w:rsid w:val="00B509D2"/>
    <w:rsid w:val="00B512A4"/>
    <w:rsid w:val="00B51CF7"/>
    <w:rsid w:val="00B52137"/>
    <w:rsid w:val="00B52CF4"/>
    <w:rsid w:val="00B53016"/>
    <w:rsid w:val="00B530CB"/>
    <w:rsid w:val="00B53155"/>
    <w:rsid w:val="00B53899"/>
    <w:rsid w:val="00B53C9D"/>
    <w:rsid w:val="00B53D19"/>
    <w:rsid w:val="00B53D50"/>
    <w:rsid w:val="00B54ACD"/>
    <w:rsid w:val="00B54CA7"/>
    <w:rsid w:val="00B552B2"/>
    <w:rsid w:val="00B555A7"/>
    <w:rsid w:val="00B567BB"/>
    <w:rsid w:val="00B56A75"/>
    <w:rsid w:val="00B56AD9"/>
    <w:rsid w:val="00B57272"/>
    <w:rsid w:val="00B57641"/>
    <w:rsid w:val="00B57725"/>
    <w:rsid w:val="00B57E41"/>
    <w:rsid w:val="00B60165"/>
    <w:rsid w:val="00B60377"/>
    <w:rsid w:val="00B60523"/>
    <w:rsid w:val="00B6065A"/>
    <w:rsid w:val="00B60E59"/>
    <w:rsid w:val="00B60F2C"/>
    <w:rsid w:val="00B61090"/>
    <w:rsid w:val="00B61C48"/>
    <w:rsid w:val="00B61CBD"/>
    <w:rsid w:val="00B624BB"/>
    <w:rsid w:val="00B628C7"/>
    <w:rsid w:val="00B62AA3"/>
    <w:rsid w:val="00B62CC2"/>
    <w:rsid w:val="00B62FAC"/>
    <w:rsid w:val="00B62FDF"/>
    <w:rsid w:val="00B6380B"/>
    <w:rsid w:val="00B643C7"/>
    <w:rsid w:val="00B64647"/>
    <w:rsid w:val="00B65391"/>
    <w:rsid w:val="00B65680"/>
    <w:rsid w:val="00B666ED"/>
    <w:rsid w:val="00B67413"/>
    <w:rsid w:val="00B676FA"/>
    <w:rsid w:val="00B67727"/>
    <w:rsid w:val="00B677AA"/>
    <w:rsid w:val="00B6782F"/>
    <w:rsid w:val="00B67903"/>
    <w:rsid w:val="00B67E56"/>
    <w:rsid w:val="00B67F8D"/>
    <w:rsid w:val="00B7095C"/>
    <w:rsid w:val="00B70BFA"/>
    <w:rsid w:val="00B70FF4"/>
    <w:rsid w:val="00B711A7"/>
    <w:rsid w:val="00B71687"/>
    <w:rsid w:val="00B717DB"/>
    <w:rsid w:val="00B726A5"/>
    <w:rsid w:val="00B72C19"/>
    <w:rsid w:val="00B73096"/>
    <w:rsid w:val="00B731B7"/>
    <w:rsid w:val="00B73C10"/>
    <w:rsid w:val="00B73D82"/>
    <w:rsid w:val="00B73ED6"/>
    <w:rsid w:val="00B73F7C"/>
    <w:rsid w:val="00B748A4"/>
    <w:rsid w:val="00B74A31"/>
    <w:rsid w:val="00B7511A"/>
    <w:rsid w:val="00B755F5"/>
    <w:rsid w:val="00B75D4E"/>
    <w:rsid w:val="00B76238"/>
    <w:rsid w:val="00B764A8"/>
    <w:rsid w:val="00B771C1"/>
    <w:rsid w:val="00B77225"/>
    <w:rsid w:val="00B77CA6"/>
    <w:rsid w:val="00B77EEE"/>
    <w:rsid w:val="00B801BD"/>
    <w:rsid w:val="00B802D7"/>
    <w:rsid w:val="00B80B6A"/>
    <w:rsid w:val="00B80F7E"/>
    <w:rsid w:val="00B8106A"/>
    <w:rsid w:val="00B81D0F"/>
    <w:rsid w:val="00B822CE"/>
    <w:rsid w:val="00B82FB1"/>
    <w:rsid w:val="00B8309A"/>
    <w:rsid w:val="00B83300"/>
    <w:rsid w:val="00B83585"/>
    <w:rsid w:val="00B83627"/>
    <w:rsid w:val="00B83A38"/>
    <w:rsid w:val="00B83CBD"/>
    <w:rsid w:val="00B83D7B"/>
    <w:rsid w:val="00B848F7"/>
    <w:rsid w:val="00B84F76"/>
    <w:rsid w:val="00B8505C"/>
    <w:rsid w:val="00B8554E"/>
    <w:rsid w:val="00B8571C"/>
    <w:rsid w:val="00B85D7C"/>
    <w:rsid w:val="00B868D2"/>
    <w:rsid w:val="00B86B5B"/>
    <w:rsid w:val="00B87609"/>
    <w:rsid w:val="00B87778"/>
    <w:rsid w:val="00B87D9C"/>
    <w:rsid w:val="00B90534"/>
    <w:rsid w:val="00B9107B"/>
    <w:rsid w:val="00B919E7"/>
    <w:rsid w:val="00B91B41"/>
    <w:rsid w:val="00B91E51"/>
    <w:rsid w:val="00B928A6"/>
    <w:rsid w:val="00B928B1"/>
    <w:rsid w:val="00B92D94"/>
    <w:rsid w:val="00B93357"/>
    <w:rsid w:val="00B93E02"/>
    <w:rsid w:val="00B940AC"/>
    <w:rsid w:val="00B943B3"/>
    <w:rsid w:val="00B94546"/>
    <w:rsid w:val="00B945DB"/>
    <w:rsid w:val="00B94768"/>
    <w:rsid w:val="00B94A50"/>
    <w:rsid w:val="00B94B28"/>
    <w:rsid w:val="00B94BD9"/>
    <w:rsid w:val="00B94C1D"/>
    <w:rsid w:val="00B94F68"/>
    <w:rsid w:val="00B9506A"/>
    <w:rsid w:val="00B95879"/>
    <w:rsid w:val="00B95920"/>
    <w:rsid w:val="00B96388"/>
    <w:rsid w:val="00B96707"/>
    <w:rsid w:val="00B97C12"/>
    <w:rsid w:val="00BA017E"/>
    <w:rsid w:val="00BA09AF"/>
    <w:rsid w:val="00BA0E2D"/>
    <w:rsid w:val="00BA1393"/>
    <w:rsid w:val="00BA14ED"/>
    <w:rsid w:val="00BA15D8"/>
    <w:rsid w:val="00BA1D51"/>
    <w:rsid w:val="00BA21CA"/>
    <w:rsid w:val="00BA2CA3"/>
    <w:rsid w:val="00BA36CE"/>
    <w:rsid w:val="00BA36E4"/>
    <w:rsid w:val="00BA3AE4"/>
    <w:rsid w:val="00BA3E94"/>
    <w:rsid w:val="00BA3ECC"/>
    <w:rsid w:val="00BA42AB"/>
    <w:rsid w:val="00BA48E1"/>
    <w:rsid w:val="00BA49C1"/>
    <w:rsid w:val="00BA4F00"/>
    <w:rsid w:val="00BA50F2"/>
    <w:rsid w:val="00BA5246"/>
    <w:rsid w:val="00BA538A"/>
    <w:rsid w:val="00BA593C"/>
    <w:rsid w:val="00BA5958"/>
    <w:rsid w:val="00BA5FBA"/>
    <w:rsid w:val="00BA779D"/>
    <w:rsid w:val="00BB001C"/>
    <w:rsid w:val="00BB0409"/>
    <w:rsid w:val="00BB045D"/>
    <w:rsid w:val="00BB0871"/>
    <w:rsid w:val="00BB0BFE"/>
    <w:rsid w:val="00BB0CB7"/>
    <w:rsid w:val="00BB10DE"/>
    <w:rsid w:val="00BB1239"/>
    <w:rsid w:val="00BB1505"/>
    <w:rsid w:val="00BB20D7"/>
    <w:rsid w:val="00BB23FF"/>
    <w:rsid w:val="00BB32AF"/>
    <w:rsid w:val="00BB4131"/>
    <w:rsid w:val="00BB43DD"/>
    <w:rsid w:val="00BB44E2"/>
    <w:rsid w:val="00BB484E"/>
    <w:rsid w:val="00BB4D6C"/>
    <w:rsid w:val="00BB51A0"/>
    <w:rsid w:val="00BB5525"/>
    <w:rsid w:val="00BB5920"/>
    <w:rsid w:val="00BB5C9D"/>
    <w:rsid w:val="00BB64AC"/>
    <w:rsid w:val="00BB65A4"/>
    <w:rsid w:val="00BB6801"/>
    <w:rsid w:val="00BB6CF0"/>
    <w:rsid w:val="00BB6E72"/>
    <w:rsid w:val="00BB6FA1"/>
    <w:rsid w:val="00BB718B"/>
    <w:rsid w:val="00BC02FB"/>
    <w:rsid w:val="00BC03B0"/>
    <w:rsid w:val="00BC0E8F"/>
    <w:rsid w:val="00BC1A65"/>
    <w:rsid w:val="00BC1A7D"/>
    <w:rsid w:val="00BC21AA"/>
    <w:rsid w:val="00BC242E"/>
    <w:rsid w:val="00BC2466"/>
    <w:rsid w:val="00BC25BA"/>
    <w:rsid w:val="00BC267F"/>
    <w:rsid w:val="00BC277D"/>
    <w:rsid w:val="00BC3091"/>
    <w:rsid w:val="00BC3F48"/>
    <w:rsid w:val="00BC4038"/>
    <w:rsid w:val="00BC440B"/>
    <w:rsid w:val="00BC460E"/>
    <w:rsid w:val="00BC4ED1"/>
    <w:rsid w:val="00BC506B"/>
    <w:rsid w:val="00BC57FC"/>
    <w:rsid w:val="00BC60F2"/>
    <w:rsid w:val="00BC642C"/>
    <w:rsid w:val="00BC6894"/>
    <w:rsid w:val="00BC6B8E"/>
    <w:rsid w:val="00BC7C94"/>
    <w:rsid w:val="00BD056D"/>
    <w:rsid w:val="00BD0A9D"/>
    <w:rsid w:val="00BD1098"/>
    <w:rsid w:val="00BD12B3"/>
    <w:rsid w:val="00BD16D0"/>
    <w:rsid w:val="00BD1756"/>
    <w:rsid w:val="00BD17B0"/>
    <w:rsid w:val="00BD1E02"/>
    <w:rsid w:val="00BD20BF"/>
    <w:rsid w:val="00BD25EC"/>
    <w:rsid w:val="00BD328F"/>
    <w:rsid w:val="00BD3828"/>
    <w:rsid w:val="00BD3961"/>
    <w:rsid w:val="00BD3D35"/>
    <w:rsid w:val="00BD489C"/>
    <w:rsid w:val="00BD4A6A"/>
    <w:rsid w:val="00BD5117"/>
    <w:rsid w:val="00BD51DB"/>
    <w:rsid w:val="00BD5220"/>
    <w:rsid w:val="00BD5940"/>
    <w:rsid w:val="00BD5E78"/>
    <w:rsid w:val="00BD66A1"/>
    <w:rsid w:val="00BD6E18"/>
    <w:rsid w:val="00BD73ED"/>
    <w:rsid w:val="00BE0350"/>
    <w:rsid w:val="00BE042E"/>
    <w:rsid w:val="00BE0566"/>
    <w:rsid w:val="00BE193A"/>
    <w:rsid w:val="00BE1EBA"/>
    <w:rsid w:val="00BE2406"/>
    <w:rsid w:val="00BE2811"/>
    <w:rsid w:val="00BE29B9"/>
    <w:rsid w:val="00BE2AA5"/>
    <w:rsid w:val="00BE2E4B"/>
    <w:rsid w:val="00BE39DA"/>
    <w:rsid w:val="00BE3F9B"/>
    <w:rsid w:val="00BE41FF"/>
    <w:rsid w:val="00BE4253"/>
    <w:rsid w:val="00BE4453"/>
    <w:rsid w:val="00BE4658"/>
    <w:rsid w:val="00BE4721"/>
    <w:rsid w:val="00BE4A90"/>
    <w:rsid w:val="00BE4E3D"/>
    <w:rsid w:val="00BE5088"/>
    <w:rsid w:val="00BE5A77"/>
    <w:rsid w:val="00BE5E51"/>
    <w:rsid w:val="00BE627F"/>
    <w:rsid w:val="00BE665D"/>
    <w:rsid w:val="00BE690C"/>
    <w:rsid w:val="00BE6CE3"/>
    <w:rsid w:val="00BE6D89"/>
    <w:rsid w:val="00BE721D"/>
    <w:rsid w:val="00BE7F0E"/>
    <w:rsid w:val="00BF025C"/>
    <w:rsid w:val="00BF02AC"/>
    <w:rsid w:val="00BF0461"/>
    <w:rsid w:val="00BF0BE1"/>
    <w:rsid w:val="00BF0CD0"/>
    <w:rsid w:val="00BF263B"/>
    <w:rsid w:val="00BF26BA"/>
    <w:rsid w:val="00BF29CC"/>
    <w:rsid w:val="00BF2B80"/>
    <w:rsid w:val="00BF2F7C"/>
    <w:rsid w:val="00BF33A3"/>
    <w:rsid w:val="00BF34B5"/>
    <w:rsid w:val="00BF3C7B"/>
    <w:rsid w:val="00BF437C"/>
    <w:rsid w:val="00BF441D"/>
    <w:rsid w:val="00BF442F"/>
    <w:rsid w:val="00BF53AB"/>
    <w:rsid w:val="00BF55D3"/>
    <w:rsid w:val="00BF7772"/>
    <w:rsid w:val="00BF7D02"/>
    <w:rsid w:val="00BF7EE3"/>
    <w:rsid w:val="00C0023F"/>
    <w:rsid w:val="00C0040E"/>
    <w:rsid w:val="00C0060B"/>
    <w:rsid w:val="00C0080C"/>
    <w:rsid w:val="00C0132D"/>
    <w:rsid w:val="00C0174F"/>
    <w:rsid w:val="00C019E1"/>
    <w:rsid w:val="00C02389"/>
    <w:rsid w:val="00C027C5"/>
    <w:rsid w:val="00C0307E"/>
    <w:rsid w:val="00C03231"/>
    <w:rsid w:val="00C03311"/>
    <w:rsid w:val="00C037DC"/>
    <w:rsid w:val="00C03C1B"/>
    <w:rsid w:val="00C03C95"/>
    <w:rsid w:val="00C03E8A"/>
    <w:rsid w:val="00C03EDC"/>
    <w:rsid w:val="00C0425F"/>
    <w:rsid w:val="00C04468"/>
    <w:rsid w:val="00C0545A"/>
    <w:rsid w:val="00C054AC"/>
    <w:rsid w:val="00C05562"/>
    <w:rsid w:val="00C057EF"/>
    <w:rsid w:val="00C05CEC"/>
    <w:rsid w:val="00C061DA"/>
    <w:rsid w:val="00C063E7"/>
    <w:rsid w:val="00C066C6"/>
    <w:rsid w:val="00C06B9C"/>
    <w:rsid w:val="00C07131"/>
    <w:rsid w:val="00C073AE"/>
    <w:rsid w:val="00C074CF"/>
    <w:rsid w:val="00C076B5"/>
    <w:rsid w:val="00C07C01"/>
    <w:rsid w:val="00C07E7F"/>
    <w:rsid w:val="00C07EC1"/>
    <w:rsid w:val="00C10207"/>
    <w:rsid w:val="00C102EE"/>
    <w:rsid w:val="00C108E4"/>
    <w:rsid w:val="00C11185"/>
    <w:rsid w:val="00C11A46"/>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2AD"/>
    <w:rsid w:val="00C204C5"/>
    <w:rsid w:val="00C20DAF"/>
    <w:rsid w:val="00C20EC7"/>
    <w:rsid w:val="00C2149D"/>
    <w:rsid w:val="00C216CA"/>
    <w:rsid w:val="00C22489"/>
    <w:rsid w:val="00C228CA"/>
    <w:rsid w:val="00C22AE6"/>
    <w:rsid w:val="00C231B9"/>
    <w:rsid w:val="00C23341"/>
    <w:rsid w:val="00C23979"/>
    <w:rsid w:val="00C23BD7"/>
    <w:rsid w:val="00C24AB8"/>
    <w:rsid w:val="00C24BFC"/>
    <w:rsid w:val="00C24EBA"/>
    <w:rsid w:val="00C251D5"/>
    <w:rsid w:val="00C25A61"/>
    <w:rsid w:val="00C266EE"/>
    <w:rsid w:val="00C26B6A"/>
    <w:rsid w:val="00C26CBF"/>
    <w:rsid w:val="00C27168"/>
    <w:rsid w:val="00C27EA5"/>
    <w:rsid w:val="00C27F1F"/>
    <w:rsid w:val="00C30152"/>
    <w:rsid w:val="00C301A7"/>
    <w:rsid w:val="00C30B27"/>
    <w:rsid w:val="00C30E26"/>
    <w:rsid w:val="00C30E9B"/>
    <w:rsid w:val="00C318BD"/>
    <w:rsid w:val="00C31BB0"/>
    <w:rsid w:val="00C31E12"/>
    <w:rsid w:val="00C31E82"/>
    <w:rsid w:val="00C31F76"/>
    <w:rsid w:val="00C31FDE"/>
    <w:rsid w:val="00C32042"/>
    <w:rsid w:val="00C32721"/>
    <w:rsid w:val="00C32780"/>
    <w:rsid w:val="00C328D0"/>
    <w:rsid w:val="00C32916"/>
    <w:rsid w:val="00C32A58"/>
    <w:rsid w:val="00C32B18"/>
    <w:rsid w:val="00C33496"/>
    <w:rsid w:val="00C339D0"/>
    <w:rsid w:val="00C33BF6"/>
    <w:rsid w:val="00C33DBE"/>
    <w:rsid w:val="00C34228"/>
    <w:rsid w:val="00C34ABA"/>
    <w:rsid w:val="00C34B46"/>
    <w:rsid w:val="00C351C4"/>
    <w:rsid w:val="00C35209"/>
    <w:rsid w:val="00C35A03"/>
    <w:rsid w:val="00C35B7F"/>
    <w:rsid w:val="00C35BE1"/>
    <w:rsid w:val="00C35C74"/>
    <w:rsid w:val="00C362AB"/>
    <w:rsid w:val="00C36410"/>
    <w:rsid w:val="00C36526"/>
    <w:rsid w:val="00C367E1"/>
    <w:rsid w:val="00C36A22"/>
    <w:rsid w:val="00C36BB5"/>
    <w:rsid w:val="00C36CC4"/>
    <w:rsid w:val="00C36E1F"/>
    <w:rsid w:val="00C370E8"/>
    <w:rsid w:val="00C371D8"/>
    <w:rsid w:val="00C37835"/>
    <w:rsid w:val="00C3786A"/>
    <w:rsid w:val="00C37CF7"/>
    <w:rsid w:val="00C40305"/>
    <w:rsid w:val="00C4047A"/>
    <w:rsid w:val="00C4062E"/>
    <w:rsid w:val="00C40F2A"/>
    <w:rsid w:val="00C411CC"/>
    <w:rsid w:val="00C4123F"/>
    <w:rsid w:val="00C41473"/>
    <w:rsid w:val="00C414F7"/>
    <w:rsid w:val="00C41E19"/>
    <w:rsid w:val="00C41F57"/>
    <w:rsid w:val="00C42551"/>
    <w:rsid w:val="00C425A8"/>
    <w:rsid w:val="00C429BE"/>
    <w:rsid w:val="00C43A17"/>
    <w:rsid w:val="00C43C91"/>
    <w:rsid w:val="00C43D3D"/>
    <w:rsid w:val="00C44260"/>
    <w:rsid w:val="00C44BBB"/>
    <w:rsid w:val="00C44C8A"/>
    <w:rsid w:val="00C44C9A"/>
    <w:rsid w:val="00C45078"/>
    <w:rsid w:val="00C450B5"/>
    <w:rsid w:val="00C451BB"/>
    <w:rsid w:val="00C451C7"/>
    <w:rsid w:val="00C45556"/>
    <w:rsid w:val="00C462FD"/>
    <w:rsid w:val="00C46301"/>
    <w:rsid w:val="00C46941"/>
    <w:rsid w:val="00C46BE5"/>
    <w:rsid w:val="00C46CCA"/>
    <w:rsid w:val="00C470D3"/>
    <w:rsid w:val="00C47E49"/>
    <w:rsid w:val="00C47FF2"/>
    <w:rsid w:val="00C5015C"/>
    <w:rsid w:val="00C50727"/>
    <w:rsid w:val="00C5090D"/>
    <w:rsid w:val="00C50B92"/>
    <w:rsid w:val="00C50C29"/>
    <w:rsid w:val="00C51369"/>
    <w:rsid w:val="00C5158D"/>
    <w:rsid w:val="00C51856"/>
    <w:rsid w:val="00C5186A"/>
    <w:rsid w:val="00C51F43"/>
    <w:rsid w:val="00C525B3"/>
    <w:rsid w:val="00C52FDA"/>
    <w:rsid w:val="00C53C05"/>
    <w:rsid w:val="00C53DCE"/>
    <w:rsid w:val="00C54947"/>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807"/>
    <w:rsid w:val="00C60ACB"/>
    <w:rsid w:val="00C61233"/>
    <w:rsid w:val="00C6138E"/>
    <w:rsid w:val="00C6190B"/>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1DC"/>
    <w:rsid w:val="00C702D8"/>
    <w:rsid w:val="00C70EF3"/>
    <w:rsid w:val="00C710B0"/>
    <w:rsid w:val="00C7153B"/>
    <w:rsid w:val="00C719F5"/>
    <w:rsid w:val="00C71DF7"/>
    <w:rsid w:val="00C72CA7"/>
    <w:rsid w:val="00C735CC"/>
    <w:rsid w:val="00C73B13"/>
    <w:rsid w:val="00C73D07"/>
    <w:rsid w:val="00C73DB9"/>
    <w:rsid w:val="00C74146"/>
    <w:rsid w:val="00C7452A"/>
    <w:rsid w:val="00C746BC"/>
    <w:rsid w:val="00C746E9"/>
    <w:rsid w:val="00C74CEE"/>
    <w:rsid w:val="00C76354"/>
    <w:rsid w:val="00C763DF"/>
    <w:rsid w:val="00C76434"/>
    <w:rsid w:val="00C76BBE"/>
    <w:rsid w:val="00C770FB"/>
    <w:rsid w:val="00C77200"/>
    <w:rsid w:val="00C7735C"/>
    <w:rsid w:val="00C7763A"/>
    <w:rsid w:val="00C77D22"/>
    <w:rsid w:val="00C77D88"/>
    <w:rsid w:val="00C80838"/>
    <w:rsid w:val="00C80AAF"/>
    <w:rsid w:val="00C80C24"/>
    <w:rsid w:val="00C80DC3"/>
    <w:rsid w:val="00C81307"/>
    <w:rsid w:val="00C81A7C"/>
    <w:rsid w:val="00C81F3A"/>
    <w:rsid w:val="00C824E7"/>
    <w:rsid w:val="00C82AE0"/>
    <w:rsid w:val="00C8310C"/>
    <w:rsid w:val="00C835D9"/>
    <w:rsid w:val="00C838F3"/>
    <w:rsid w:val="00C84090"/>
    <w:rsid w:val="00C84243"/>
    <w:rsid w:val="00C852C5"/>
    <w:rsid w:val="00C8567B"/>
    <w:rsid w:val="00C86566"/>
    <w:rsid w:val="00C86B0C"/>
    <w:rsid w:val="00C86F92"/>
    <w:rsid w:val="00C87457"/>
    <w:rsid w:val="00C87878"/>
    <w:rsid w:val="00C87948"/>
    <w:rsid w:val="00C87A9A"/>
    <w:rsid w:val="00C9027C"/>
    <w:rsid w:val="00C903E4"/>
    <w:rsid w:val="00C90D1C"/>
    <w:rsid w:val="00C90DA7"/>
    <w:rsid w:val="00C90DC3"/>
    <w:rsid w:val="00C90DD1"/>
    <w:rsid w:val="00C9144C"/>
    <w:rsid w:val="00C9153C"/>
    <w:rsid w:val="00C917B3"/>
    <w:rsid w:val="00C91BCF"/>
    <w:rsid w:val="00C91FB0"/>
    <w:rsid w:val="00C929E2"/>
    <w:rsid w:val="00C92A1F"/>
    <w:rsid w:val="00C92C1E"/>
    <w:rsid w:val="00C92F62"/>
    <w:rsid w:val="00C93E7A"/>
    <w:rsid w:val="00C93F41"/>
    <w:rsid w:val="00C93F74"/>
    <w:rsid w:val="00C95A6B"/>
    <w:rsid w:val="00C96133"/>
    <w:rsid w:val="00C962AC"/>
    <w:rsid w:val="00C96D50"/>
    <w:rsid w:val="00C975F1"/>
    <w:rsid w:val="00C97705"/>
    <w:rsid w:val="00C97C4C"/>
    <w:rsid w:val="00CA060B"/>
    <w:rsid w:val="00CA0845"/>
    <w:rsid w:val="00CA10A7"/>
    <w:rsid w:val="00CA1189"/>
    <w:rsid w:val="00CA122B"/>
    <w:rsid w:val="00CA1515"/>
    <w:rsid w:val="00CA1677"/>
    <w:rsid w:val="00CA1909"/>
    <w:rsid w:val="00CA1F0A"/>
    <w:rsid w:val="00CA2A81"/>
    <w:rsid w:val="00CA2B3C"/>
    <w:rsid w:val="00CA2F77"/>
    <w:rsid w:val="00CA3559"/>
    <w:rsid w:val="00CA3D8C"/>
    <w:rsid w:val="00CA4985"/>
    <w:rsid w:val="00CA508D"/>
    <w:rsid w:val="00CA530E"/>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36D"/>
    <w:rsid w:val="00CB379E"/>
    <w:rsid w:val="00CB37B6"/>
    <w:rsid w:val="00CB3ABC"/>
    <w:rsid w:val="00CB3D79"/>
    <w:rsid w:val="00CB41D0"/>
    <w:rsid w:val="00CB42F6"/>
    <w:rsid w:val="00CB45AC"/>
    <w:rsid w:val="00CB55BE"/>
    <w:rsid w:val="00CB5B91"/>
    <w:rsid w:val="00CB637D"/>
    <w:rsid w:val="00CB6F35"/>
    <w:rsid w:val="00CB7374"/>
    <w:rsid w:val="00CB7C44"/>
    <w:rsid w:val="00CC04CF"/>
    <w:rsid w:val="00CC05A2"/>
    <w:rsid w:val="00CC0BF5"/>
    <w:rsid w:val="00CC15A7"/>
    <w:rsid w:val="00CC195D"/>
    <w:rsid w:val="00CC2B1A"/>
    <w:rsid w:val="00CC34F3"/>
    <w:rsid w:val="00CC35A2"/>
    <w:rsid w:val="00CC3B64"/>
    <w:rsid w:val="00CC3CC7"/>
    <w:rsid w:val="00CC4A56"/>
    <w:rsid w:val="00CC4B5C"/>
    <w:rsid w:val="00CC6316"/>
    <w:rsid w:val="00CC6735"/>
    <w:rsid w:val="00CC6CC4"/>
    <w:rsid w:val="00CC7D59"/>
    <w:rsid w:val="00CC7EE6"/>
    <w:rsid w:val="00CD0258"/>
    <w:rsid w:val="00CD0B44"/>
    <w:rsid w:val="00CD0CCA"/>
    <w:rsid w:val="00CD1A79"/>
    <w:rsid w:val="00CD1A9F"/>
    <w:rsid w:val="00CD2109"/>
    <w:rsid w:val="00CD262A"/>
    <w:rsid w:val="00CD2EEB"/>
    <w:rsid w:val="00CD2FA1"/>
    <w:rsid w:val="00CD32A0"/>
    <w:rsid w:val="00CD3588"/>
    <w:rsid w:val="00CD47A5"/>
    <w:rsid w:val="00CD4932"/>
    <w:rsid w:val="00CD5A96"/>
    <w:rsid w:val="00CD5C6D"/>
    <w:rsid w:val="00CD5D98"/>
    <w:rsid w:val="00CD5E95"/>
    <w:rsid w:val="00CD6E86"/>
    <w:rsid w:val="00CD72CF"/>
    <w:rsid w:val="00CD75BB"/>
    <w:rsid w:val="00CD79CC"/>
    <w:rsid w:val="00CD7C1D"/>
    <w:rsid w:val="00CE006E"/>
    <w:rsid w:val="00CE023F"/>
    <w:rsid w:val="00CE0EB0"/>
    <w:rsid w:val="00CE122C"/>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0A"/>
    <w:rsid w:val="00CE4C9A"/>
    <w:rsid w:val="00CE51EF"/>
    <w:rsid w:val="00CE525E"/>
    <w:rsid w:val="00CE56A1"/>
    <w:rsid w:val="00CE594D"/>
    <w:rsid w:val="00CE5D86"/>
    <w:rsid w:val="00CE6045"/>
    <w:rsid w:val="00CE6E5A"/>
    <w:rsid w:val="00CE7254"/>
    <w:rsid w:val="00CE7556"/>
    <w:rsid w:val="00CE7773"/>
    <w:rsid w:val="00CE78AD"/>
    <w:rsid w:val="00CF0794"/>
    <w:rsid w:val="00CF0BCE"/>
    <w:rsid w:val="00CF0EAD"/>
    <w:rsid w:val="00CF1384"/>
    <w:rsid w:val="00CF1729"/>
    <w:rsid w:val="00CF1ADF"/>
    <w:rsid w:val="00CF203D"/>
    <w:rsid w:val="00CF2432"/>
    <w:rsid w:val="00CF2AFB"/>
    <w:rsid w:val="00CF2B49"/>
    <w:rsid w:val="00CF2CFF"/>
    <w:rsid w:val="00CF3374"/>
    <w:rsid w:val="00CF3925"/>
    <w:rsid w:val="00CF438C"/>
    <w:rsid w:val="00CF4A91"/>
    <w:rsid w:val="00CF4BE8"/>
    <w:rsid w:val="00CF594E"/>
    <w:rsid w:val="00CF6003"/>
    <w:rsid w:val="00CF638C"/>
    <w:rsid w:val="00CF6C36"/>
    <w:rsid w:val="00CF76C4"/>
    <w:rsid w:val="00CF7FCB"/>
    <w:rsid w:val="00D00189"/>
    <w:rsid w:val="00D007E1"/>
    <w:rsid w:val="00D00B38"/>
    <w:rsid w:val="00D00BDA"/>
    <w:rsid w:val="00D01004"/>
    <w:rsid w:val="00D0103F"/>
    <w:rsid w:val="00D027A5"/>
    <w:rsid w:val="00D03185"/>
    <w:rsid w:val="00D034BA"/>
    <w:rsid w:val="00D037F3"/>
    <w:rsid w:val="00D03A00"/>
    <w:rsid w:val="00D04691"/>
    <w:rsid w:val="00D04DFD"/>
    <w:rsid w:val="00D05DB9"/>
    <w:rsid w:val="00D069EB"/>
    <w:rsid w:val="00D06B6C"/>
    <w:rsid w:val="00D07145"/>
    <w:rsid w:val="00D07255"/>
    <w:rsid w:val="00D07DF5"/>
    <w:rsid w:val="00D10583"/>
    <w:rsid w:val="00D10672"/>
    <w:rsid w:val="00D10CD3"/>
    <w:rsid w:val="00D10F8F"/>
    <w:rsid w:val="00D112BF"/>
    <w:rsid w:val="00D1144F"/>
    <w:rsid w:val="00D118F1"/>
    <w:rsid w:val="00D12944"/>
    <w:rsid w:val="00D1300D"/>
    <w:rsid w:val="00D13050"/>
    <w:rsid w:val="00D13605"/>
    <w:rsid w:val="00D1398C"/>
    <w:rsid w:val="00D14029"/>
    <w:rsid w:val="00D14B7F"/>
    <w:rsid w:val="00D15079"/>
    <w:rsid w:val="00D159B7"/>
    <w:rsid w:val="00D15E81"/>
    <w:rsid w:val="00D16435"/>
    <w:rsid w:val="00D166A0"/>
    <w:rsid w:val="00D16D2B"/>
    <w:rsid w:val="00D17071"/>
    <w:rsid w:val="00D17167"/>
    <w:rsid w:val="00D173FD"/>
    <w:rsid w:val="00D17591"/>
    <w:rsid w:val="00D17943"/>
    <w:rsid w:val="00D17C88"/>
    <w:rsid w:val="00D201D9"/>
    <w:rsid w:val="00D2023A"/>
    <w:rsid w:val="00D20647"/>
    <w:rsid w:val="00D20A6D"/>
    <w:rsid w:val="00D20AB1"/>
    <w:rsid w:val="00D20CE5"/>
    <w:rsid w:val="00D20E7E"/>
    <w:rsid w:val="00D2104C"/>
    <w:rsid w:val="00D21082"/>
    <w:rsid w:val="00D215B5"/>
    <w:rsid w:val="00D215BA"/>
    <w:rsid w:val="00D21866"/>
    <w:rsid w:val="00D219F2"/>
    <w:rsid w:val="00D21AAE"/>
    <w:rsid w:val="00D21F65"/>
    <w:rsid w:val="00D2221C"/>
    <w:rsid w:val="00D226C1"/>
    <w:rsid w:val="00D2282F"/>
    <w:rsid w:val="00D2286B"/>
    <w:rsid w:val="00D23386"/>
    <w:rsid w:val="00D234F9"/>
    <w:rsid w:val="00D23E7F"/>
    <w:rsid w:val="00D2429B"/>
    <w:rsid w:val="00D24BD4"/>
    <w:rsid w:val="00D252DB"/>
    <w:rsid w:val="00D2581C"/>
    <w:rsid w:val="00D25E20"/>
    <w:rsid w:val="00D26093"/>
    <w:rsid w:val="00D26364"/>
    <w:rsid w:val="00D26533"/>
    <w:rsid w:val="00D26E09"/>
    <w:rsid w:val="00D26E77"/>
    <w:rsid w:val="00D2734B"/>
    <w:rsid w:val="00D27BDA"/>
    <w:rsid w:val="00D301B0"/>
    <w:rsid w:val="00D30930"/>
    <w:rsid w:val="00D30BE9"/>
    <w:rsid w:val="00D317C7"/>
    <w:rsid w:val="00D328FE"/>
    <w:rsid w:val="00D32B1E"/>
    <w:rsid w:val="00D331E1"/>
    <w:rsid w:val="00D34453"/>
    <w:rsid w:val="00D34DC7"/>
    <w:rsid w:val="00D3523D"/>
    <w:rsid w:val="00D352A8"/>
    <w:rsid w:val="00D355B1"/>
    <w:rsid w:val="00D362F3"/>
    <w:rsid w:val="00D367E3"/>
    <w:rsid w:val="00D36A25"/>
    <w:rsid w:val="00D36CA5"/>
    <w:rsid w:val="00D37BDA"/>
    <w:rsid w:val="00D4010A"/>
    <w:rsid w:val="00D4074D"/>
    <w:rsid w:val="00D40A42"/>
    <w:rsid w:val="00D41457"/>
    <w:rsid w:val="00D416FC"/>
    <w:rsid w:val="00D41819"/>
    <w:rsid w:val="00D419F3"/>
    <w:rsid w:val="00D429F3"/>
    <w:rsid w:val="00D42CD2"/>
    <w:rsid w:val="00D43D0C"/>
    <w:rsid w:val="00D43E26"/>
    <w:rsid w:val="00D44637"/>
    <w:rsid w:val="00D4476B"/>
    <w:rsid w:val="00D44D41"/>
    <w:rsid w:val="00D4554F"/>
    <w:rsid w:val="00D45610"/>
    <w:rsid w:val="00D45B4A"/>
    <w:rsid w:val="00D45D6F"/>
    <w:rsid w:val="00D45E8F"/>
    <w:rsid w:val="00D45F0F"/>
    <w:rsid w:val="00D47C86"/>
    <w:rsid w:val="00D47D97"/>
    <w:rsid w:val="00D5026A"/>
    <w:rsid w:val="00D502BE"/>
    <w:rsid w:val="00D50818"/>
    <w:rsid w:val="00D51011"/>
    <w:rsid w:val="00D51285"/>
    <w:rsid w:val="00D525CF"/>
    <w:rsid w:val="00D526BB"/>
    <w:rsid w:val="00D528CC"/>
    <w:rsid w:val="00D52C2C"/>
    <w:rsid w:val="00D52D32"/>
    <w:rsid w:val="00D5323E"/>
    <w:rsid w:val="00D53351"/>
    <w:rsid w:val="00D5360D"/>
    <w:rsid w:val="00D53957"/>
    <w:rsid w:val="00D53A38"/>
    <w:rsid w:val="00D54007"/>
    <w:rsid w:val="00D542BA"/>
    <w:rsid w:val="00D5438C"/>
    <w:rsid w:val="00D54412"/>
    <w:rsid w:val="00D54949"/>
    <w:rsid w:val="00D549C4"/>
    <w:rsid w:val="00D554DF"/>
    <w:rsid w:val="00D555F5"/>
    <w:rsid w:val="00D55B71"/>
    <w:rsid w:val="00D55B7F"/>
    <w:rsid w:val="00D56430"/>
    <w:rsid w:val="00D5678F"/>
    <w:rsid w:val="00D56EDF"/>
    <w:rsid w:val="00D57263"/>
    <w:rsid w:val="00D57353"/>
    <w:rsid w:val="00D576E3"/>
    <w:rsid w:val="00D57A71"/>
    <w:rsid w:val="00D57AFA"/>
    <w:rsid w:val="00D57C80"/>
    <w:rsid w:val="00D60463"/>
    <w:rsid w:val="00D60EAB"/>
    <w:rsid w:val="00D611E2"/>
    <w:rsid w:val="00D616B5"/>
    <w:rsid w:val="00D616E6"/>
    <w:rsid w:val="00D61704"/>
    <w:rsid w:val="00D618ED"/>
    <w:rsid w:val="00D62740"/>
    <w:rsid w:val="00D62BE1"/>
    <w:rsid w:val="00D6337B"/>
    <w:rsid w:val="00D63EEB"/>
    <w:rsid w:val="00D653F0"/>
    <w:rsid w:val="00D6579A"/>
    <w:rsid w:val="00D658A4"/>
    <w:rsid w:val="00D65BF8"/>
    <w:rsid w:val="00D6662D"/>
    <w:rsid w:val="00D66A3B"/>
    <w:rsid w:val="00D66E99"/>
    <w:rsid w:val="00D66F48"/>
    <w:rsid w:val="00D6796C"/>
    <w:rsid w:val="00D67AD1"/>
    <w:rsid w:val="00D67E6E"/>
    <w:rsid w:val="00D703F8"/>
    <w:rsid w:val="00D70850"/>
    <w:rsid w:val="00D70B24"/>
    <w:rsid w:val="00D718BE"/>
    <w:rsid w:val="00D719A6"/>
    <w:rsid w:val="00D721BD"/>
    <w:rsid w:val="00D723EE"/>
    <w:rsid w:val="00D732CD"/>
    <w:rsid w:val="00D73338"/>
    <w:rsid w:val="00D73850"/>
    <w:rsid w:val="00D73A76"/>
    <w:rsid w:val="00D73DF0"/>
    <w:rsid w:val="00D74128"/>
    <w:rsid w:val="00D7461C"/>
    <w:rsid w:val="00D7472F"/>
    <w:rsid w:val="00D75F5F"/>
    <w:rsid w:val="00D76324"/>
    <w:rsid w:val="00D76758"/>
    <w:rsid w:val="00D779E1"/>
    <w:rsid w:val="00D77AB8"/>
    <w:rsid w:val="00D77BD8"/>
    <w:rsid w:val="00D77C74"/>
    <w:rsid w:val="00D77C84"/>
    <w:rsid w:val="00D800C2"/>
    <w:rsid w:val="00D800E6"/>
    <w:rsid w:val="00D8097C"/>
    <w:rsid w:val="00D80A26"/>
    <w:rsid w:val="00D80A90"/>
    <w:rsid w:val="00D80B01"/>
    <w:rsid w:val="00D80C2F"/>
    <w:rsid w:val="00D80E81"/>
    <w:rsid w:val="00D810B1"/>
    <w:rsid w:val="00D818B4"/>
    <w:rsid w:val="00D81BEA"/>
    <w:rsid w:val="00D8229E"/>
    <w:rsid w:val="00D822D2"/>
    <w:rsid w:val="00D83787"/>
    <w:rsid w:val="00D8460C"/>
    <w:rsid w:val="00D85035"/>
    <w:rsid w:val="00D853E4"/>
    <w:rsid w:val="00D859EF"/>
    <w:rsid w:val="00D85EC0"/>
    <w:rsid w:val="00D8618E"/>
    <w:rsid w:val="00D861D8"/>
    <w:rsid w:val="00D8648C"/>
    <w:rsid w:val="00D8654E"/>
    <w:rsid w:val="00D8692A"/>
    <w:rsid w:val="00D869EC"/>
    <w:rsid w:val="00D86AF2"/>
    <w:rsid w:val="00D86FA4"/>
    <w:rsid w:val="00D870A0"/>
    <w:rsid w:val="00D87212"/>
    <w:rsid w:val="00D87B15"/>
    <w:rsid w:val="00D87C27"/>
    <w:rsid w:val="00D902F4"/>
    <w:rsid w:val="00D9045A"/>
    <w:rsid w:val="00D9066A"/>
    <w:rsid w:val="00D90774"/>
    <w:rsid w:val="00D90A09"/>
    <w:rsid w:val="00D90B32"/>
    <w:rsid w:val="00D90C1D"/>
    <w:rsid w:val="00D90F98"/>
    <w:rsid w:val="00D91600"/>
    <w:rsid w:val="00D918BD"/>
    <w:rsid w:val="00D91EB4"/>
    <w:rsid w:val="00D926DF"/>
    <w:rsid w:val="00D92922"/>
    <w:rsid w:val="00D9336F"/>
    <w:rsid w:val="00D935D0"/>
    <w:rsid w:val="00D93951"/>
    <w:rsid w:val="00D93DAF"/>
    <w:rsid w:val="00D93EB8"/>
    <w:rsid w:val="00D94ED8"/>
    <w:rsid w:val="00D95070"/>
    <w:rsid w:val="00D95472"/>
    <w:rsid w:val="00D956D0"/>
    <w:rsid w:val="00D95950"/>
    <w:rsid w:val="00D95D92"/>
    <w:rsid w:val="00D95F13"/>
    <w:rsid w:val="00D95FE6"/>
    <w:rsid w:val="00D962AF"/>
    <w:rsid w:val="00D9649C"/>
    <w:rsid w:val="00D9686F"/>
    <w:rsid w:val="00D96D4A"/>
    <w:rsid w:val="00D97526"/>
    <w:rsid w:val="00D976F8"/>
    <w:rsid w:val="00DA01B1"/>
    <w:rsid w:val="00DA05F3"/>
    <w:rsid w:val="00DA1125"/>
    <w:rsid w:val="00DA165F"/>
    <w:rsid w:val="00DA18D9"/>
    <w:rsid w:val="00DA19FD"/>
    <w:rsid w:val="00DA1C24"/>
    <w:rsid w:val="00DA238D"/>
    <w:rsid w:val="00DA2797"/>
    <w:rsid w:val="00DA2D30"/>
    <w:rsid w:val="00DA2E8B"/>
    <w:rsid w:val="00DA2F7C"/>
    <w:rsid w:val="00DA311D"/>
    <w:rsid w:val="00DA3182"/>
    <w:rsid w:val="00DA3F77"/>
    <w:rsid w:val="00DA44A2"/>
    <w:rsid w:val="00DA453E"/>
    <w:rsid w:val="00DA4A84"/>
    <w:rsid w:val="00DA4AC9"/>
    <w:rsid w:val="00DA4B17"/>
    <w:rsid w:val="00DA4BFD"/>
    <w:rsid w:val="00DA4F79"/>
    <w:rsid w:val="00DA5C8F"/>
    <w:rsid w:val="00DA5E44"/>
    <w:rsid w:val="00DA6092"/>
    <w:rsid w:val="00DA67F1"/>
    <w:rsid w:val="00DA6BC0"/>
    <w:rsid w:val="00DA74CE"/>
    <w:rsid w:val="00DA7B09"/>
    <w:rsid w:val="00DA7CA5"/>
    <w:rsid w:val="00DB032A"/>
    <w:rsid w:val="00DB0854"/>
    <w:rsid w:val="00DB1769"/>
    <w:rsid w:val="00DB2328"/>
    <w:rsid w:val="00DB25D7"/>
    <w:rsid w:val="00DB274F"/>
    <w:rsid w:val="00DB281A"/>
    <w:rsid w:val="00DB2EB5"/>
    <w:rsid w:val="00DB3248"/>
    <w:rsid w:val="00DB39B1"/>
    <w:rsid w:val="00DB3D55"/>
    <w:rsid w:val="00DB3E32"/>
    <w:rsid w:val="00DB4117"/>
    <w:rsid w:val="00DB4217"/>
    <w:rsid w:val="00DB4685"/>
    <w:rsid w:val="00DB55D1"/>
    <w:rsid w:val="00DB55DC"/>
    <w:rsid w:val="00DB5968"/>
    <w:rsid w:val="00DB63D8"/>
    <w:rsid w:val="00DB677B"/>
    <w:rsid w:val="00DB6C1D"/>
    <w:rsid w:val="00DB7454"/>
    <w:rsid w:val="00DB7558"/>
    <w:rsid w:val="00DB76FE"/>
    <w:rsid w:val="00DB77DA"/>
    <w:rsid w:val="00DC00F0"/>
    <w:rsid w:val="00DC0126"/>
    <w:rsid w:val="00DC0521"/>
    <w:rsid w:val="00DC056B"/>
    <w:rsid w:val="00DC079D"/>
    <w:rsid w:val="00DC0828"/>
    <w:rsid w:val="00DC1B41"/>
    <w:rsid w:val="00DC1EBF"/>
    <w:rsid w:val="00DC2124"/>
    <w:rsid w:val="00DC232D"/>
    <w:rsid w:val="00DC2947"/>
    <w:rsid w:val="00DC3336"/>
    <w:rsid w:val="00DC39E8"/>
    <w:rsid w:val="00DC3AEC"/>
    <w:rsid w:val="00DC3F71"/>
    <w:rsid w:val="00DC46CF"/>
    <w:rsid w:val="00DC4C08"/>
    <w:rsid w:val="00DC4E6C"/>
    <w:rsid w:val="00DC4F16"/>
    <w:rsid w:val="00DC5166"/>
    <w:rsid w:val="00DC56E1"/>
    <w:rsid w:val="00DC62A2"/>
    <w:rsid w:val="00DC6C14"/>
    <w:rsid w:val="00DC6F16"/>
    <w:rsid w:val="00DC71D4"/>
    <w:rsid w:val="00DC73B6"/>
    <w:rsid w:val="00DC7419"/>
    <w:rsid w:val="00DD0042"/>
    <w:rsid w:val="00DD0889"/>
    <w:rsid w:val="00DD0A88"/>
    <w:rsid w:val="00DD0CE5"/>
    <w:rsid w:val="00DD1173"/>
    <w:rsid w:val="00DD15AF"/>
    <w:rsid w:val="00DD1FF8"/>
    <w:rsid w:val="00DD20A4"/>
    <w:rsid w:val="00DD2826"/>
    <w:rsid w:val="00DD2B33"/>
    <w:rsid w:val="00DD2DC0"/>
    <w:rsid w:val="00DD3236"/>
    <w:rsid w:val="00DD3289"/>
    <w:rsid w:val="00DD33D6"/>
    <w:rsid w:val="00DD37C9"/>
    <w:rsid w:val="00DD3AD5"/>
    <w:rsid w:val="00DD491C"/>
    <w:rsid w:val="00DD4F20"/>
    <w:rsid w:val="00DD5066"/>
    <w:rsid w:val="00DD517A"/>
    <w:rsid w:val="00DD55BF"/>
    <w:rsid w:val="00DD55E5"/>
    <w:rsid w:val="00DD5AFA"/>
    <w:rsid w:val="00DD6094"/>
    <w:rsid w:val="00DD6802"/>
    <w:rsid w:val="00DD6F3F"/>
    <w:rsid w:val="00DD736F"/>
    <w:rsid w:val="00DD73D5"/>
    <w:rsid w:val="00DE03C7"/>
    <w:rsid w:val="00DE04F4"/>
    <w:rsid w:val="00DE0A29"/>
    <w:rsid w:val="00DE0B43"/>
    <w:rsid w:val="00DE0E16"/>
    <w:rsid w:val="00DE1015"/>
    <w:rsid w:val="00DE10A7"/>
    <w:rsid w:val="00DE142D"/>
    <w:rsid w:val="00DE1515"/>
    <w:rsid w:val="00DE1643"/>
    <w:rsid w:val="00DE1656"/>
    <w:rsid w:val="00DE185A"/>
    <w:rsid w:val="00DE1EEF"/>
    <w:rsid w:val="00DE2426"/>
    <w:rsid w:val="00DE280E"/>
    <w:rsid w:val="00DE5376"/>
    <w:rsid w:val="00DE60B7"/>
    <w:rsid w:val="00DE697E"/>
    <w:rsid w:val="00DE6BB7"/>
    <w:rsid w:val="00DE7957"/>
    <w:rsid w:val="00DE7F2E"/>
    <w:rsid w:val="00DF0151"/>
    <w:rsid w:val="00DF062A"/>
    <w:rsid w:val="00DF0D66"/>
    <w:rsid w:val="00DF1053"/>
    <w:rsid w:val="00DF13E1"/>
    <w:rsid w:val="00DF1CF7"/>
    <w:rsid w:val="00DF1D55"/>
    <w:rsid w:val="00DF1ED1"/>
    <w:rsid w:val="00DF2665"/>
    <w:rsid w:val="00DF359E"/>
    <w:rsid w:val="00DF3969"/>
    <w:rsid w:val="00DF39F3"/>
    <w:rsid w:val="00DF3D84"/>
    <w:rsid w:val="00DF4526"/>
    <w:rsid w:val="00DF4CE5"/>
    <w:rsid w:val="00DF4D38"/>
    <w:rsid w:val="00DF5401"/>
    <w:rsid w:val="00DF5FB5"/>
    <w:rsid w:val="00DF629E"/>
    <w:rsid w:val="00DF6EA4"/>
    <w:rsid w:val="00DF7000"/>
    <w:rsid w:val="00DF7064"/>
    <w:rsid w:val="00DF710A"/>
    <w:rsid w:val="00DF7B4D"/>
    <w:rsid w:val="00DF7E46"/>
    <w:rsid w:val="00E000F7"/>
    <w:rsid w:val="00E003AB"/>
    <w:rsid w:val="00E00BB7"/>
    <w:rsid w:val="00E0134A"/>
    <w:rsid w:val="00E0194C"/>
    <w:rsid w:val="00E0199C"/>
    <w:rsid w:val="00E01FFC"/>
    <w:rsid w:val="00E0208E"/>
    <w:rsid w:val="00E025E1"/>
    <w:rsid w:val="00E02640"/>
    <w:rsid w:val="00E02BB9"/>
    <w:rsid w:val="00E03320"/>
    <w:rsid w:val="00E04ABF"/>
    <w:rsid w:val="00E0546C"/>
    <w:rsid w:val="00E05699"/>
    <w:rsid w:val="00E057A8"/>
    <w:rsid w:val="00E06907"/>
    <w:rsid w:val="00E06A72"/>
    <w:rsid w:val="00E06DF7"/>
    <w:rsid w:val="00E06E12"/>
    <w:rsid w:val="00E078F1"/>
    <w:rsid w:val="00E07E9B"/>
    <w:rsid w:val="00E101A7"/>
    <w:rsid w:val="00E101CF"/>
    <w:rsid w:val="00E10383"/>
    <w:rsid w:val="00E10B76"/>
    <w:rsid w:val="00E10C45"/>
    <w:rsid w:val="00E10CF9"/>
    <w:rsid w:val="00E10EF4"/>
    <w:rsid w:val="00E11211"/>
    <w:rsid w:val="00E11770"/>
    <w:rsid w:val="00E1199D"/>
    <w:rsid w:val="00E11B60"/>
    <w:rsid w:val="00E120B5"/>
    <w:rsid w:val="00E12977"/>
    <w:rsid w:val="00E12B98"/>
    <w:rsid w:val="00E12D26"/>
    <w:rsid w:val="00E12F2B"/>
    <w:rsid w:val="00E137DE"/>
    <w:rsid w:val="00E13806"/>
    <w:rsid w:val="00E13D1D"/>
    <w:rsid w:val="00E13FAF"/>
    <w:rsid w:val="00E143C4"/>
    <w:rsid w:val="00E14975"/>
    <w:rsid w:val="00E14DDD"/>
    <w:rsid w:val="00E1540A"/>
    <w:rsid w:val="00E154EE"/>
    <w:rsid w:val="00E158A6"/>
    <w:rsid w:val="00E15F86"/>
    <w:rsid w:val="00E16029"/>
    <w:rsid w:val="00E161F1"/>
    <w:rsid w:val="00E166A0"/>
    <w:rsid w:val="00E1697B"/>
    <w:rsid w:val="00E17286"/>
    <w:rsid w:val="00E174D6"/>
    <w:rsid w:val="00E175B9"/>
    <w:rsid w:val="00E20024"/>
    <w:rsid w:val="00E201E2"/>
    <w:rsid w:val="00E21565"/>
    <w:rsid w:val="00E215D8"/>
    <w:rsid w:val="00E2177E"/>
    <w:rsid w:val="00E21A3B"/>
    <w:rsid w:val="00E22436"/>
    <w:rsid w:val="00E22A94"/>
    <w:rsid w:val="00E233BB"/>
    <w:rsid w:val="00E23647"/>
    <w:rsid w:val="00E23BC6"/>
    <w:rsid w:val="00E2411A"/>
    <w:rsid w:val="00E2414D"/>
    <w:rsid w:val="00E24210"/>
    <w:rsid w:val="00E24588"/>
    <w:rsid w:val="00E24894"/>
    <w:rsid w:val="00E25028"/>
    <w:rsid w:val="00E25051"/>
    <w:rsid w:val="00E25600"/>
    <w:rsid w:val="00E25988"/>
    <w:rsid w:val="00E25B2F"/>
    <w:rsid w:val="00E26678"/>
    <w:rsid w:val="00E26A60"/>
    <w:rsid w:val="00E27AD4"/>
    <w:rsid w:val="00E27CD3"/>
    <w:rsid w:val="00E27FB4"/>
    <w:rsid w:val="00E30720"/>
    <w:rsid w:val="00E3141A"/>
    <w:rsid w:val="00E31573"/>
    <w:rsid w:val="00E3239E"/>
    <w:rsid w:val="00E32587"/>
    <w:rsid w:val="00E32A79"/>
    <w:rsid w:val="00E32DFC"/>
    <w:rsid w:val="00E32FD5"/>
    <w:rsid w:val="00E330F6"/>
    <w:rsid w:val="00E3314A"/>
    <w:rsid w:val="00E33235"/>
    <w:rsid w:val="00E33882"/>
    <w:rsid w:val="00E343A7"/>
    <w:rsid w:val="00E34575"/>
    <w:rsid w:val="00E3458F"/>
    <w:rsid w:val="00E34755"/>
    <w:rsid w:val="00E3475C"/>
    <w:rsid w:val="00E34970"/>
    <w:rsid w:val="00E34A5F"/>
    <w:rsid w:val="00E34DCD"/>
    <w:rsid w:val="00E353E4"/>
    <w:rsid w:val="00E355B3"/>
    <w:rsid w:val="00E3582B"/>
    <w:rsid w:val="00E35D3B"/>
    <w:rsid w:val="00E36796"/>
    <w:rsid w:val="00E3691F"/>
    <w:rsid w:val="00E36BB5"/>
    <w:rsid w:val="00E37071"/>
    <w:rsid w:val="00E3708D"/>
    <w:rsid w:val="00E370A8"/>
    <w:rsid w:val="00E37576"/>
    <w:rsid w:val="00E3794A"/>
    <w:rsid w:val="00E37BCC"/>
    <w:rsid w:val="00E37F9A"/>
    <w:rsid w:val="00E4015E"/>
    <w:rsid w:val="00E416E5"/>
    <w:rsid w:val="00E41946"/>
    <w:rsid w:val="00E41F00"/>
    <w:rsid w:val="00E4201A"/>
    <w:rsid w:val="00E42C61"/>
    <w:rsid w:val="00E43C4B"/>
    <w:rsid w:val="00E43C63"/>
    <w:rsid w:val="00E44421"/>
    <w:rsid w:val="00E4524D"/>
    <w:rsid w:val="00E4562A"/>
    <w:rsid w:val="00E45747"/>
    <w:rsid w:val="00E45802"/>
    <w:rsid w:val="00E45979"/>
    <w:rsid w:val="00E45ADE"/>
    <w:rsid w:val="00E45F67"/>
    <w:rsid w:val="00E46051"/>
    <w:rsid w:val="00E460E1"/>
    <w:rsid w:val="00E4620C"/>
    <w:rsid w:val="00E466AE"/>
    <w:rsid w:val="00E467E2"/>
    <w:rsid w:val="00E47125"/>
    <w:rsid w:val="00E471D6"/>
    <w:rsid w:val="00E4796C"/>
    <w:rsid w:val="00E5007D"/>
    <w:rsid w:val="00E50F74"/>
    <w:rsid w:val="00E51138"/>
    <w:rsid w:val="00E512DE"/>
    <w:rsid w:val="00E513DB"/>
    <w:rsid w:val="00E51919"/>
    <w:rsid w:val="00E51DA5"/>
    <w:rsid w:val="00E51DDA"/>
    <w:rsid w:val="00E53545"/>
    <w:rsid w:val="00E5366B"/>
    <w:rsid w:val="00E53A31"/>
    <w:rsid w:val="00E5432F"/>
    <w:rsid w:val="00E546EF"/>
    <w:rsid w:val="00E548FD"/>
    <w:rsid w:val="00E54E90"/>
    <w:rsid w:val="00E55684"/>
    <w:rsid w:val="00E55805"/>
    <w:rsid w:val="00E55B69"/>
    <w:rsid w:val="00E5624A"/>
    <w:rsid w:val="00E5656A"/>
    <w:rsid w:val="00E5678E"/>
    <w:rsid w:val="00E56D9A"/>
    <w:rsid w:val="00E5745D"/>
    <w:rsid w:val="00E6029C"/>
    <w:rsid w:val="00E60769"/>
    <w:rsid w:val="00E6096F"/>
    <w:rsid w:val="00E61235"/>
    <w:rsid w:val="00E614F0"/>
    <w:rsid w:val="00E618B3"/>
    <w:rsid w:val="00E61F75"/>
    <w:rsid w:val="00E6269B"/>
    <w:rsid w:val="00E6299D"/>
    <w:rsid w:val="00E62E58"/>
    <w:rsid w:val="00E63659"/>
    <w:rsid w:val="00E639E5"/>
    <w:rsid w:val="00E63CAC"/>
    <w:rsid w:val="00E63E20"/>
    <w:rsid w:val="00E645AF"/>
    <w:rsid w:val="00E65444"/>
    <w:rsid w:val="00E6592B"/>
    <w:rsid w:val="00E659CD"/>
    <w:rsid w:val="00E65B6D"/>
    <w:rsid w:val="00E66829"/>
    <w:rsid w:val="00E66D7F"/>
    <w:rsid w:val="00E67202"/>
    <w:rsid w:val="00E675BC"/>
    <w:rsid w:val="00E7021D"/>
    <w:rsid w:val="00E704AC"/>
    <w:rsid w:val="00E708A7"/>
    <w:rsid w:val="00E713BC"/>
    <w:rsid w:val="00E714EB"/>
    <w:rsid w:val="00E716CD"/>
    <w:rsid w:val="00E72A81"/>
    <w:rsid w:val="00E72AF5"/>
    <w:rsid w:val="00E72DDD"/>
    <w:rsid w:val="00E72FF3"/>
    <w:rsid w:val="00E733F8"/>
    <w:rsid w:val="00E7344B"/>
    <w:rsid w:val="00E7379C"/>
    <w:rsid w:val="00E73901"/>
    <w:rsid w:val="00E73ECD"/>
    <w:rsid w:val="00E74080"/>
    <w:rsid w:val="00E740CB"/>
    <w:rsid w:val="00E74450"/>
    <w:rsid w:val="00E745B7"/>
    <w:rsid w:val="00E74E2F"/>
    <w:rsid w:val="00E74ED1"/>
    <w:rsid w:val="00E7548B"/>
    <w:rsid w:val="00E7612A"/>
    <w:rsid w:val="00E76486"/>
    <w:rsid w:val="00E76625"/>
    <w:rsid w:val="00E76DC4"/>
    <w:rsid w:val="00E777B2"/>
    <w:rsid w:val="00E8028C"/>
    <w:rsid w:val="00E8033C"/>
    <w:rsid w:val="00E80DFE"/>
    <w:rsid w:val="00E8142D"/>
    <w:rsid w:val="00E817E6"/>
    <w:rsid w:val="00E81CDF"/>
    <w:rsid w:val="00E8215F"/>
    <w:rsid w:val="00E82B2A"/>
    <w:rsid w:val="00E82CC6"/>
    <w:rsid w:val="00E83108"/>
    <w:rsid w:val="00E833C3"/>
    <w:rsid w:val="00E837E4"/>
    <w:rsid w:val="00E83C92"/>
    <w:rsid w:val="00E846E9"/>
    <w:rsid w:val="00E853C9"/>
    <w:rsid w:val="00E8553B"/>
    <w:rsid w:val="00E85F4E"/>
    <w:rsid w:val="00E85FFF"/>
    <w:rsid w:val="00E86AD2"/>
    <w:rsid w:val="00E86CC0"/>
    <w:rsid w:val="00E86D2B"/>
    <w:rsid w:val="00E8717D"/>
    <w:rsid w:val="00E8750E"/>
    <w:rsid w:val="00E87A55"/>
    <w:rsid w:val="00E87B19"/>
    <w:rsid w:val="00E87D63"/>
    <w:rsid w:val="00E90072"/>
    <w:rsid w:val="00E9051D"/>
    <w:rsid w:val="00E908E2"/>
    <w:rsid w:val="00E90EF2"/>
    <w:rsid w:val="00E9194E"/>
    <w:rsid w:val="00E92009"/>
    <w:rsid w:val="00E920C4"/>
    <w:rsid w:val="00E92D48"/>
    <w:rsid w:val="00E931E7"/>
    <w:rsid w:val="00E93438"/>
    <w:rsid w:val="00E934A0"/>
    <w:rsid w:val="00E9360D"/>
    <w:rsid w:val="00E938BD"/>
    <w:rsid w:val="00E93C63"/>
    <w:rsid w:val="00E93C76"/>
    <w:rsid w:val="00E9412C"/>
    <w:rsid w:val="00E9419A"/>
    <w:rsid w:val="00E95344"/>
    <w:rsid w:val="00E95366"/>
    <w:rsid w:val="00E956B1"/>
    <w:rsid w:val="00E958B5"/>
    <w:rsid w:val="00E95AA4"/>
    <w:rsid w:val="00E974BF"/>
    <w:rsid w:val="00E977F4"/>
    <w:rsid w:val="00E97C90"/>
    <w:rsid w:val="00EA0041"/>
    <w:rsid w:val="00EA0051"/>
    <w:rsid w:val="00EA066B"/>
    <w:rsid w:val="00EA0AF5"/>
    <w:rsid w:val="00EA0FD7"/>
    <w:rsid w:val="00EA11D1"/>
    <w:rsid w:val="00EA1850"/>
    <w:rsid w:val="00EA30B6"/>
    <w:rsid w:val="00EA3AEE"/>
    <w:rsid w:val="00EA4277"/>
    <w:rsid w:val="00EA42C8"/>
    <w:rsid w:val="00EA4E49"/>
    <w:rsid w:val="00EA579A"/>
    <w:rsid w:val="00EA587F"/>
    <w:rsid w:val="00EA5AC4"/>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4D5"/>
    <w:rsid w:val="00EB2D59"/>
    <w:rsid w:val="00EB31D2"/>
    <w:rsid w:val="00EB3260"/>
    <w:rsid w:val="00EB3502"/>
    <w:rsid w:val="00EB3551"/>
    <w:rsid w:val="00EB3EE6"/>
    <w:rsid w:val="00EB403E"/>
    <w:rsid w:val="00EB4302"/>
    <w:rsid w:val="00EB4B3B"/>
    <w:rsid w:val="00EB4B4E"/>
    <w:rsid w:val="00EB4D50"/>
    <w:rsid w:val="00EB5869"/>
    <w:rsid w:val="00EB5945"/>
    <w:rsid w:val="00EB5CAD"/>
    <w:rsid w:val="00EB5F4C"/>
    <w:rsid w:val="00EB61F0"/>
    <w:rsid w:val="00EB6300"/>
    <w:rsid w:val="00EB7007"/>
    <w:rsid w:val="00EB74FC"/>
    <w:rsid w:val="00EB75AA"/>
    <w:rsid w:val="00EB7C9C"/>
    <w:rsid w:val="00EC00B6"/>
    <w:rsid w:val="00EC01FF"/>
    <w:rsid w:val="00EC0904"/>
    <w:rsid w:val="00EC0AFD"/>
    <w:rsid w:val="00EC0F98"/>
    <w:rsid w:val="00EC2473"/>
    <w:rsid w:val="00EC2665"/>
    <w:rsid w:val="00EC29B1"/>
    <w:rsid w:val="00EC2B2E"/>
    <w:rsid w:val="00EC2C64"/>
    <w:rsid w:val="00EC33D7"/>
    <w:rsid w:val="00EC37B3"/>
    <w:rsid w:val="00EC3C3A"/>
    <w:rsid w:val="00EC3F84"/>
    <w:rsid w:val="00EC43BB"/>
    <w:rsid w:val="00EC45CA"/>
    <w:rsid w:val="00EC48B9"/>
    <w:rsid w:val="00EC4CC6"/>
    <w:rsid w:val="00EC5087"/>
    <w:rsid w:val="00EC5834"/>
    <w:rsid w:val="00EC5E1B"/>
    <w:rsid w:val="00EC6455"/>
    <w:rsid w:val="00EC647C"/>
    <w:rsid w:val="00EC6509"/>
    <w:rsid w:val="00EC69DF"/>
    <w:rsid w:val="00EC6B20"/>
    <w:rsid w:val="00EC6B7C"/>
    <w:rsid w:val="00EC6C7D"/>
    <w:rsid w:val="00EC6F80"/>
    <w:rsid w:val="00ED083B"/>
    <w:rsid w:val="00ED08E8"/>
    <w:rsid w:val="00ED0915"/>
    <w:rsid w:val="00ED0E38"/>
    <w:rsid w:val="00ED1DE5"/>
    <w:rsid w:val="00ED1FFF"/>
    <w:rsid w:val="00ED2747"/>
    <w:rsid w:val="00ED2811"/>
    <w:rsid w:val="00ED2A10"/>
    <w:rsid w:val="00ED325B"/>
    <w:rsid w:val="00ED33AC"/>
    <w:rsid w:val="00ED3937"/>
    <w:rsid w:val="00ED3DF2"/>
    <w:rsid w:val="00ED446F"/>
    <w:rsid w:val="00ED49A1"/>
    <w:rsid w:val="00ED4ACB"/>
    <w:rsid w:val="00ED4E53"/>
    <w:rsid w:val="00ED5556"/>
    <w:rsid w:val="00ED623D"/>
    <w:rsid w:val="00ED6878"/>
    <w:rsid w:val="00ED6E60"/>
    <w:rsid w:val="00ED70DC"/>
    <w:rsid w:val="00ED749D"/>
    <w:rsid w:val="00ED7B61"/>
    <w:rsid w:val="00EE020C"/>
    <w:rsid w:val="00EE0414"/>
    <w:rsid w:val="00EE0553"/>
    <w:rsid w:val="00EE0D06"/>
    <w:rsid w:val="00EE12DB"/>
    <w:rsid w:val="00EE14D2"/>
    <w:rsid w:val="00EE2730"/>
    <w:rsid w:val="00EE27E7"/>
    <w:rsid w:val="00EE2994"/>
    <w:rsid w:val="00EE29AA"/>
    <w:rsid w:val="00EE2F14"/>
    <w:rsid w:val="00EE304D"/>
    <w:rsid w:val="00EE336B"/>
    <w:rsid w:val="00EE4283"/>
    <w:rsid w:val="00EE4980"/>
    <w:rsid w:val="00EE51D0"/>
    <w:rsid w:val="00EE5AC9"/>
    <w:rsid w:val="00EE6353"/>
    <w:rsid w:val="00EE67C7"/>
    <w:rsid w:val="00EE6A90"/>
    <w:rsid w:val="00EE70C4"/>
    <w:rsid w:val="00EE72F1"/>
    <w:rsid w:val="00EE744D"/>
    <w:rsid w:val="00EF04F0"/>
    <w:rsid w:val="00EF0A36"/>
    <w:rsid w:val="00EF0D67"/>
    <w:rsid w:val="00EF0EB2"/>
    <w:rsid w:val="00EF1E23"/>
    <w:rsid w:val="00EF215C"/>
    <w:rsid w:val="00EF229C"/>
    <w:rsid w:val="00EF2B03"/>
    <w:rsid w:val="00EF2B3D"/>
    <w:rsid w:val="00EF46BE"/>
    <w:rsid w:val="00EF4C1A"/>
    <w:rsid w:val="00EF505D"/>
    <w:rsid w:val="00EF5472"/>
    <w:rsid w:val="00EF55C3"/>
    <w:rsid w:val="00EF5C9B"/>
    <w:rsid w:val="00EF6092"/>
    <w:rsid w:val="00EF693F"/>
    <w:rsid w:val="00EF6E71"/>
    <w:rsid w:val="00EF6F07"/>
    <w:rsid w:val="00EF7206"/>
    <w:rsid w:val="00EF7D10"/>
    <w:rsid w:val="00EF7D5C"/>
    <w:rsid w:val="00EF7EC1"/>
    <w:rsid w:val="00F000D4"/>
    <w:rsid w:val="00F000DF"/>
    <w:rsid w:val="00F00130"/>
    <w:rsid w:val="00F00312"/>
    <w:rsid w:val="00F00680"/>
    <w:rsid w:val="00F009E8"/>
    <w:rsid w:val="00F00F21"/>
    <w:rsid w:val="00F0120B"/>
    <w:rsid w:val="00F013B8"/>
    <w:rsid w:val="00F01613"/>
    <w:rsid w:val="00F01A68"/>
    <w:rsid w:val="00F01C5B"/>
    <w:rsid w:val="00F01E62"/>
    <w:rsid w:val="00F032A0"/>
    <w:rsid w:val="00F035BF"/>
    <w:rsid w:val="00F037C4"/>
    <w:rsid w:val="00F03954"/>
    <w:rsid w:val="00F0413A"/>
    <w:rsid w:val="00F04220"/>
    <w:rsid w:val="00F0476E"/>
    <w:rsid w:val="00F0488A"/>
    <w:rsid w:val="00F05789"/>
    <w:rsid w:val="00F06B13"/>
    <w:rsid w:val="00F075E9"/>
    <w:rsid w:val="00F075EA"/>
    <w:rsid w:val="00F07C38"/>
    <w:rsid w:val="00F07D0E"/>
    <w:rsid w:val="00F11019"/>
    <w:rsid w:val="00F1144A"/>
    <w:rsid w:val="00F1160B"/>
    <w:rsid w:val="00F1169F"/>
    <w:rsid w:val="00F12118"/>
    <w:rsid w:val="00F123B7"/>
    <w:rsid w:val="00F12839"/>
    <w:rsid w:val="00F12B7C"/>
    <w:rsid w:val="00F12D85"/>
    <w:rsid w:val="00F12EFB"/>
    <w:rsid w:val="00F13C12"/>
    <w:rsid w:val="00F14117"/>
    <w:rsid w:val="00F147A0"/>
    <w:rsid w:val="00F152F7"/>
    <w:rsid w:val="00F1557C"/>
    <w:rsid w:val="00F15594"/>
    <w:rsid w:val="00F15977"/>
    <w:rsid w:val="00F15A4B"/>
    <w:rsid w:val="00F15C6E"/>
    <w:rsid w:val="00F16031"/>
    <w:rsid w:val="00F168D9"/>
    <w:rsid w:val="00F16A2D"/>
    <w:rsid w:val="00F16C91"/>
    <w:rsid w:val="00F16D8F"/>
    <w:rsid w:val="00F16DB9"/>
    <w:rsid w:val="00F16F31"/>
    <w:rsid w:val="00F1701C"/>
    <w:rsid w:val="00F17541"/>
    <w:rsid w:val="00F17E2F"/>
    <w:rsid w:val="00F17F35"/>
    <w:rsid w:val="00F20437"/>
    <w:rsid w:val="00F2066F"/>
    <w:rsid w:val="00F20BF0"/>
    <w:rsid w:val="00F21191"/>
    <w:rsid w:val="00F211BF"/>
    <w:rsid w:val="00F2144F"/>
    <w:rsid w:val="00F214D3"/>
    <w:rsid w:val="00F217DC"/>
    <w:rsid w:val="00F2220C"/>
    <w:rsid w:val="00F222FF"/>
    <w:rsid w:val="00F2246E"/>
    <w:rsid w:val="00F2291A"/>
    <w:rsid w:val="00F22D45"/>
    <w:rsid w:val="00F233B9"/>
    <w:rsid w:val="00F235C1"/>
    <w:rsid w:val="00F2391D"/>
    <w:rsid w:val="00F23970"/>
    <w:rsid w:val="00F23B5C"/>
    <w:rsid w:val="00F252A5"/>
    <w:rsid w:val="00F2543C"/>
    <w:rsid w:val="00F25444"/>
    <w:rsid w:val="00F25F18"/>
    <w:rsid w:val="00F27A73"/>
    <w:rsid w:val="00F27A78"/>
    <w:rsid w:val="00F30206"/>
    <w:rsid w:val="00F30222"/>
    <w:rsid w:val="00F30AB6"/>
    <w:rsid w:val="00F3136C"/>
    <w:rsid w:val="00F315E2"/>
    <w:rsid w:val="00F31692"/>
    <w:rsid w:val="00F316C8"/>
    <w:rsid w:val="00F318FB"/>
    <w:rsid w:val="00F31CDD"/>
    <w:rsid w:val="00F32017"/>
    <w:rsid w:val="00F321FA"/>
    <w:rsid w:val="00F32228"/>
    <w:rsid w:val="00F32804"/>
    <w:rsid w:val="00F32DBD"/>
    <w:rsid w:val="00F334EE"/>
    <w:rsid w:val="00F3358E"/>
    <w:rsid w:val="00F33A81"/>
    <w:rsid w:val="00F33B16"/>
    <w:rsid w:val="00F34104"/>
    <w:rsid w:val="00F34269"/>
    <w:rsid w:val="00F3458D"/>
    <w:rsid w:val="00F347EF"/>
    <w:rsid w:val="00F34866"/>
    <w:rsid w:val="00F34B20"/>
    <w:rsid w:val="00F34B29"/>
    <w:rsid w:val="00F34F27"/>
    <w:rsid w:val="00F350A3"/>
    <w:rsid w:val="00F3526F"/>
    <w:rsid w:val="00F352CA"/>
    <w:rsid w:val="00F35312"/>
    <w:rsid w:val="00F355B6"/>
    <w:rsid w:val="00F359F0"/>
    <w:rsid w:val="00F35F42"/>
    <w:rsid w:val="00F36030"/>
    <w:rsid w:val="00F366DA"/>
    <w:rsid w:val="00F366E6"/>
    <w:rsid w:val="00F36A5D"/>
    <w:rsid w:val="00F375F9"/>
    <w:rsid w:val="00F37E54"/>
    <w:rsid w:val="00F40335"/>
    <w:rsid w:val="00F40EE0"/>
    <w:rsid w:val="00F41195"/>
    <w:rsid w:val="00F419AD"/>
    <w:rsid w:val="00F41B2D"/>
    <w:rsid w:val="00F422EB"/>
    <w:rsid w:val="00F42A6F"/>
    <w:rsid w:val="00F42B5F"/>
    <w:rsid w:val="00F42BF6"/>
    <w:rsid w:val="00F43155"/>
    <w:rsid w:val="00F4377A"/>
    <w:rsid w:val="00F43909"/>
    <w:rsid w:val="00F43937"/>
    <w:rsid w:val="00F439F6"/>
    <w:rsid w:val="00F44613"/>
    <w:rsid w:val="00F44870"/>
    <w:rsid w:val="00F4498C"/>
    <w:rsid w:val="00F44C71"/>
    <w:rsid w:val="00F451EE"/>
    <w:rsid w:val="00F4548B"/>
    <w:rsid w:val="00F45AE3"/>
    <w:rsid w:val="00F45CDA"/>
    <w:rsid w:val="00F45E45"/>
    <w:rsid w:val="00F46FC3"/>
    <w:rsid w:val="00F4775C"/>
    <w:rsid w:val="00F50654"/>
    <w:rsid w:val="00F51546"/>
    <w:rsid w:val="00F516CC"/>
    <w:rsid w:val="00F51768"/>
    <w:rsid w:val="00F5187A"/>
    <w:rsid w:val="00F519EF"/>
    <w:rsid w:val="00F51F35"/>
    <w:rsid w:val="00F523E6"/>
    <w:rsid w:val="00F52BA8"/>
    <w:rsid w:val="00F52C40"/>
    <w:rsid w:val="00F52FA8"/>
    <w:rsid w:val="00F530FF"/>
    <w:rsid w:val="00F534B1"/>
    <w:rsid w:val="00F537F1"/>
    <w:rsid w:val="00F538A0"/>
    <w:rsid w:val="00F53982"/>
    <w:rsid w:val="00F53AE9"/>
    <w:rsid w:val="00F5432D"/>
    <w:rsid w:val="00F54B08"/>
    <w:rsid w:val="00F54BC8"/>
    <w:rsid w:val="00F55541"/>
    <w:rsid w:val="00F55555"/>
    <w:rsid w:val="00F55591"/>
    <w:rsid w:val="00F5569F"/>
    <w:rsid w:val="00F55CDD"/>
    <w:rsid w:val="00F5600F"/>
    <w:rsid w:val="00F561E6"/>
    <w:rsid w:val="00F56683"/>
    <w:rsid w:val="00F56D75"/>
    <w:rsid w:val="00F57083"/>
    <w:rsid w:val="00F57BA1"/>
    <w:rsid w:val="00F61AC2"/>
    <w:rsid w:val="00F61B02"/>
    <w:rsid w:val="00F61C3C"/>
    <w:rsid w:val="00F61DE9"/>
    <w:rsid w:val="00F6254E"/>
    <w:rsid w:val="00F6266A"/>
    <w:rsid w:val="00F62E07"/>
    <w:rsid w:val="00F644E5"/>
    <w:rsid w:val="00F64BF9"/>
    <w:rsid w:val="00F650C6"/>
    <w:rsid w:val="00F6517F"/>
    <w:rsid w:val="00F65477"/>
    <w:rsid w:val="00F658C7"/>
    <w:rsid w:val="00F66F6D"/>
    <w:rsid w:val="00F67264"/>
    <w:rsid w:val="00F67F4A"/>
    <w:rsid w:val="00F70108"/>
    <w:rsid w:val="00F70373"/>
    <w:rsid w:val="00F7121F"/>
    <w:rsid w:val="00F722B9"/>
    <w:rsid w:val="00F724B1"/>
    <w:rsid w:val="00F724B2"/>
    <w:rsid w:val="00F72750"/>
    <w:rsid w:val="00F72DF3"/>
    <w:rsid w:val="00F72FEB"/>
    <w:rsid w:val="00F73B06"/>
    <w:rsid w:val="00F74724"/>
    <w:rsid w:val="00F74869"/>
    <w:rsid w:val="00F752A8"/>
    <w:rsid w:val="00F7530A"/>
    <w:rsid w:val="00F7532F"/>
    <w:rsid w:val="00F755EB"/>
    <w:rsid w:val="00F755EC"/>
    <w:rsid w:val="00F75FE7"/>
    <w:rsid w:val="00F76020"/>
    <w:rsid w:val="00F772E7"/>
    <w:rsid w:val="00F77AB0"/>
    <w:rsid w:val="00F80AE0"/>
    <w:rsid w:val="00F80AE3"/>
    <w:rsid w:val="00F81BB4"/>
    <w:rsid w:val="00F820BB"/>
    <w:rsid w:val="00F82570"/>
    <w:rsid w:val="00F84145"/>
    <w:rsid w:val="00F84363"/>
    <w:rsid w:val="00F845B4"/>
    <w:rsid w:val="00F8481D"/>
    <w:rsid w:val="00F849A4"/>
    <w:rsid w:val="00F84EF5"/>
    <w:rsid w:val="00F855E0"/>
    <w:rsid w:val="00F8566B"/>
    <w:rsid w:val="00F85B16"/>
    <w:rsid w:val="00F85D84"/>
    <w:rsid w:val="00F85DAB"/>
    <w:rsid w:val="00F867B1"/>
    <w:rsid w:val="00F86811"/>
    <w:rsid w:val="00F91792"/>
    <w:rsid w:val="00F923A4"/>
    <w:rsid w:val="00F93065"/>
    <w:rsid w:val="00F933C7"/>
    <w:rsid w:val="00F9396F"/>
    <w:rsid w:val="00F93C54"/>
    <w:rsid w:val="00F93F3C"/>
    <w:rsid w:val="00F94EA9"/>
    <w:rsid w:val="00F94FE7"/>
    <w:rsid w:val="00F95906"/>
    <w:rsid w:val="00F966A9"/>
    <w:rsid w:val="00F96953"/>
    <w:rsid w:val="00F96C87"/>
    <w:rsid w:val="00F96D76"/>
    <w:rsid w:val="00F96FD2"/>
    <w:rsid w:val="00F973D5"/>
    <w:rsid w:val="00F9794F"/>
    <w:rsid w:val="00F97D98"/>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BC0"/>
    <w:rsid w:val="00FA4D64"/>
    <w:rsid w:val="00FA4EC4"/>
    <w:rsid w:val="00FA51B2"/>
    <w:rsid w:val="00FA5276"/>
    <w:rsid w:val="00FA55BF"/>
    <w:rsid w:val="00FA563B"/>
    <w:rsid w:val="00FA594F"/>
    <w:rsid w:val="00FA5C75"/>
    <w:rsid w:val="00FA6445"/>
    <w:rsid w:val="00FA64C8"/>
    <w:rsid w:val="00FA660C"/>
    <w:rsid w:val="00FA6E5F"/>
    <w:rsid w:val="00FA71BD"/>
    <w:rsid w:val="00FA720F"/>
    <w:rsid w:val="00FA7274"/>
    <w:rsid w:val="00FA79C4"/>
    <w:rsid w:val="00FA7C78"/>
    <w:rsid w:val="00FA7CA0"/>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51BD"/>
    <w:rsid w:val="00FB5EAB"/>
    <w:rsid w:val="00FB60A5"/>
    <w:rsid w:val="00FB60CC"/>
    <w:rsid w:val="00FB630E"/>
    <w:rsid w:val="00FB6535"/>
    <w:rsid w:val="00FB6DB5"/>
    <w:rsid w:val="00FB708F"/>
    <w:rsid w:val="00FB7477"/>
    <w:rsid w:val="00FB775A"/>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92F"/>
    <w:rsid w:val="00FC4CBE"/>
    <w:rsid w:val="00FC5621"/>
    <w:rsid w:val="00FC5910"/>
    <w:rsid w:val="00FC61EE"/>
    <w:rsid w:val="00FC6377"/>
    <w:rsid w:val="00FC69DE"/>
    <w:rsid w:val="00FC7120"/>
    <w:rsid w:val="00FC7A92"/>
    <w:rsid w:val="00FC7DE1"/>
    <w:rsid w:val="00FC7EBB"/>
    <w:rsid w:val="00FD01B5"/>
    <w:rsid w:val="00FD0387"/>
    <w:rsid w:val="00FD0CC7"/>
    <w:rsid w:val="00FD1609"/>
    <w:rsid w:val="00FD1AE7"/>
    <w:rsid w:val="00FD1C78"/>
    <w:rsid w:val="00FD1D52"/>
    <w:rsid w:val="00FD21F2"/>
    <w:rsid w:val="00FD22B1"/>
    <w:rsid w:val="00FD22C4"/>
    <w:rsid w:val="00FD256C"/>
    <w:rsid w:val="00FD25F0"/>
    <w:rsid w:val="00FD2C38"/>
    <w:rsid w:val="00FD2C75"/>
    <w:rsid w:val="00FD2D70"/>
    <w:rsid w:val="00FD2D85"/>
    <w:rsid w:val="00FD2FEE"/>
    <w:rsid w:val="00FD31B1"/>
    <w:rsid w:val="00FD3A1C"/>
    <w:rsid w:val="00FD3C49"/>
    <w:rsid w:val="00FD3D48"/>
    <w:rsid w:val="00FD3F98"/>
    <w:rsid w:val="00FD459F"/>
    <w:rsid w:val="00FD529A"/>
    <w:rsid w:val="00FD5355"/>
    <w:rsid w:val="00FD5465"/>
    <w:rsid w:val="00FD5BA6"/>
    <w:rsid w:val="00FD5ECF"/>
    <w:rsid w:val="00FD633F"/>
    <w:rsid w:val="00FD722E"/>
    <w:rsid w:val="00FD739C"/>
    <w:rsid w:val="00FD763C"/>
    <w:rsid w:val="00FD7D14"/>
    <w:rsid w:val="00FE025A"/>
    <w:rsid w:val="00FE03F9"/>
    <w:rsid w:val="00FE16D0"/>
    <w:rsid w:val="00FE24C9"/>
    <w:rsid w:val="00FE2A22"/>
    <w:rsid w:val="00FE2AA1"/>
    <w:rsid w:val="00FE2AA7"/>
    <w:rsid w:val="00FE2D33"/>
    <w:rsid w:val="00FE37DD"/>
    <w:rsid w:val="00FE390F"/>
    <w:rsid w:val="00FE496A"/>
    <w:rsid w:val="00FE4AD4"/>
    <w:rsid w:val="00FE4B45"/>
    <w:rsid w:val="00FE4DB6"/>
    <w:rsid w:val="00FE4E3C"/>
    <w:rsid w:val="00FE55EA"/>
    <w:rsid w:val="00FE5A4E"/>
    <w:rsid w:val="00FE5C19"/>
    <w:rsid w:val="00FE5CD1"/>
    <w:rsid w:val="00FE5D25"/>
    <w:rsid w:val="00FE5E5E"/>
    <w:rsid w:val="00FE5EAF"/>
    <w:rsid w:val="00FE6673"/>
    <w:rsid w:val="00FE6948"/>
    <w:rsid w:val="00FE6B80"/>
    <w:rsid w:val="00FE6CA4"/>
    <w:rsid w:val="00FE6D1C"/>
    <w:rsid w:val="00FE71D5"/>
    <w:rsid w:val="00FE73F1"/>
    <w:rsid w:val="00FE74DA"/>
    <w:rsid w:val="00FE7C41"/>
    <w:rsid w:val="00FE7CA3"/>
    <w:rsid w:val="00FE7DB8"/>
    <w:rsid w:val="00FF0429"/>
    <w:rsid w:val="00FF0952"/>
    <w:rsid w:val="00FF0D2D"/>
    <w:rsid w:val="00FF0E16"/>
    <w:rsid w:val="00FF1076"/>
    <w:rsid w:val="00FF147E"/>
    <w:rsid w:val="00FF160E"/>
    <w:rsid w:val="00FF17D0"/>
    <w:rsid w:val="00FF1A1B"/>
    <w:rsid w:val="00FF1D96"/>
    <w:rsid w:val="00FF21F8"/>
    <w:rsid w:val="00FF247B"/>
    <w:rsid w:val="00FF2667"/>
    <w:rsid w:val="00FF2799"/>
    <w:rsid w:val="00FF2A98"/>
    <w:rsid w:val="00FF4013"/>
    <w:rsid w:val="00FF5265"/>
    <w:rsid w:val="00FF5549"/>
    <w:rsid w:val="00FF5A16"/>
    <w:rsid w:val="00FF6281"/>
    <w:rsid w:val="00FF6978"/>
    <w:rsid w:val="00FF70B9"/>
    <w:rsid w:val="00FF7363"/>
    <w:rsid w:val="00FF73DA"/>
    <w:rsid w:val="00FF74F6"/>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8F5B8600-4363-48A5-8031-5BC2355FD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iPriority="9" w:unhideWhenUsed="1" w:qFormat="1"/>
    <w:lsdException w:name="heading 4" w:semiHidden="1" w:uiPriority="9" w:unhideWhenUsed="1" w:qFormat="1"/>
    <w:lsdException w:name="heading 5" w:semiHidden="1" w:unhideWhenUsed="1" w:qFormat="1"/>
    <w:lsdException w:name="heading 6" w:semiHidden="1" w:uiPriority="99" w:unhideWhenUsed="1" w:qFormat="1"/>
    <w:lsdException w:name="heading 7" w:semiHidden="1" w:uiPriority="99" w:unhideWhenUsed="1" w:qFormat="1"/>
    <w:lsdException w:name="heading 8" w:semiHidden="1"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B015DA"/>
    <w:rPr>
      <w:sz w:val="24"/>
      <w:szCs w:val="24"/>
      <w:lang w:val="es-ES" w:eastAsia="es-ES"/>
    </w:rPr>
  </w:style>
  <w:style w:type="paragraph" w:styleId="Ttulo1">
    <w:name w:val="heading 1"/>
    <w:basedOn w:val="Normal"/>
    <w:next w:val="Normal"/>
    <w:link w:val="Ttulo1Car"/>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
    <w:unhideWhenUsed/>
    <w:qFormat/>
    <w:rsid w:val="007D4805"/>
    <w:pPr>
      <w:keepNext/>
      <w:keepLines/>
      <w:spacing w:before="40" w:line="264" w:lineRule="auto"/>
      <w:outlineLvl w:val="3"/>
    </w:pPr>
    <w:rPr>
      <w:rFonts w:ascii="Calibri Light" w:hAnsi="Calibri Light"/>
      <w:i/>
      <w:iCs/>
      <w:color w:val="2E74B5"/>
      <w:szCs w:val="20"/>
    </w:rPr>
  </w:style>
  <w:style w:type="paragraph" w:styleId="Ttulo5">
    <w:name w:val="heading 5"/>
    <w:basedOn w:val="Normal"/>
    <w:next w:val="Normal"/>
    <w:link w:val="Ttulo5Car"/>
    <w:unhideWhenUsed/>
    <w:qFormat/>
    <w:rsid w:val="00427BD6"/>
    <w:pPr>
      <w:keepNext/>
      <w:keepLines/>
      <w:spacing w:before="40"/>
      <w:outlineLvl w:val="4"/>
    </w:pPr>
    <w:rPr>
      <w:rFonts w:asciiTheme="majorHAnsi" w:eastAsiaTheme="majorEastAsia" w:hAnsiTheme="majorHAnsi" w:cstheme="majorBidi"/>
      <w:color w:val="365F91" w:themeColor="accent1" w:themeShade="BF"/>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427BD6"/>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qFormat/>
    <w:rsid w:val="00427BD6"/>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427BD6"/>
    <w:pPr>
      <w:keepNext/>
      <w:autoSpaceDE w:val="0"/>
      <w:autoSpaceDN w:val="0"/>
      <w:ind w:firstLine="709"/>
      <w:jc w:val="center"/>
      <w:outlineLvl w:val="8"/>
    </w:pPr>
    <w:rPr>
      <w:rFonts w:ascii="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R"/>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rsid w:val="002E36C7"/>
    <w:pPr>
      <w:autoSpaceDE w:val="0"/>
      <w:autoSpaceDN w:val="0"/>
      <w:spacing w:after="120" w:line="480" w:lineRule="auto"/>
      <w:ind w:left="283"/>
    </w:pPr>
    <w:rPr>
      <w:sz w:val="20"/>
      <w:szCs w:val="20"/>
    </w:rPr>
  </w:style>
  <w:style w:type="character" w:styleId="Hipervnculo">
    <w:name w:val="Hyperlink"/>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
    <w:basedOn w:val="Normal"/>
    <w:link w:val="PrrafodelistaCar"/>
    <w:uiPriority w:val="34"/>
    <w:qFormat/>
    <w:rsid w:val="00293879"/>
    <w:pPr>
      <w:ind w:left="708"/>
    </w:pPr>
  </w:style>
  <w:style w:type="character" w:customStyle="1" w:styleId="Ttulo1Car">
    <w:name w:val="Título 1 Car"/>
    <w:link w:val="Ttulo1"/>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uiPriority w:val="10"/>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
    <w:link w:val="Prrafodelista"/>
    <w:uiPriority w:val="34"/>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customStyle="1" w:styleId="Sangra3detindependienteCar">
    <w:name w:val="Sangría 3 de t. independiente Car"/>
    <w:link w:val="Sangra3detindependiente"/>
    <w:rsid w:val="00501C2B"/>
    <w:rPr>
      <w:rFonts w:ascii="Arial" w:hAnsi="Arial" w:cs="Arial"/>
      <w:sz w:val="24"/>
      <w:szCs w:val="24"/>
      <w:lang w:val="es-ES" w:eastAsia="es-ES"/>
    </w:rPr>
  </w:style>
  <w:style w:type="character" w:customStyle="1" w:styleId="Textoindependiente2Car">
    <w:name w:val="Texto independiente 2 Car"/>
    <w:link w:val="Textoindependiente2"/>
    <w:rsid w:val="00501C2B"/>
    <w:rPr>
      <w:rFonts w:ascii="Arial" w:hAnsi="Arial" w:cs="Arial"/>
      <w:i/>
      <w:iCs/>
      <w:noProof/>
      <w:sz w:val="22"/>
      <w:lang w:val="es-ES_tradnl" w:eastAsia="es-ES"/>
    </w:rPr>
  </w:style>
  <w:style w:type="character" w:customStyle="1" w:styleId="Ttulo3Car">
    <w:name w:val="Título 3 Car"/>
    <w:link w:val="Ttulo3"/>
    <w:uiPriority w:val="9"/>
    <w:rsid w:val="00501C2B"/>
    <w:rPr>
      <w:rFonts w:ascii="Arial" w:hAnsi="Arial" w:cs="Arial"/>
      <w:b/>
      <w:bCs/>
      <w:sz w:val="26"/>
      <w:szCs w:val="26"/>
      <w:lang w:val="es-ES" w:eastAsia="es-ES"/>
    </w:rPr>
  </w:style>
  <w:style w:type="character" w:customStyle="1" w:styleId="TextodegloboCar">
    <w:name w:val="Texto de globo Car"/>
    <w:link w:val="Textodeglobo"/>
    <w:rsid w:val="00501C2B"/>
    <w:rPr>
      <w:rFonts w:ascii="Tahoma" w:hAnsi="Tahoma" w:cs="Tahoma"/>
      <w:sz w:val="16"/>
      <w:szCs w:val="16"/>
      <w:lang w:val="es-ES" w:eastAsia="es-ES"/>
    </w:rPr>
  </w:style>
  <w:style w:type="character" w:customStyle="1" w:styleId="Ttulo2Car">
    <w:name w:val="Título 2 Car"/>
    <w:link w:val="Ttulo2"/>
    <w:rsid w:val="00501C2B"/>
    <w:rPr>
      <w:rFonts w:ascii="Arial" w:hAnsi="Arial" w:cs="Arial"/>
      <w:b/>
      <w:bCs/>
      <w:lang w:val="es-ES" w:eastAsia="es-ES"/>
    </w:rPr>
  </w:style>
  <w:style w:type="paragraph" w:customStyle="1" w:styleId="Texto">
    <w:name w:val="Texto"/>
    <w:basedOn w:val="Normal"/>
    <w:link w:val="TextoCar"/>
    <w:rsid w:val="00501C2B"/>
    <w:pPr>
      <w:spacing w:after="101" w:line="216" w:lineRule="exact"/>
      <w:ind w:firstLine="288"/>
      <w:jc w:val="both"/>
    </w:pPr>
    <w:rPr>
      <w:rFonts w:ascii="Arial" w:hAnsi="Arial"/>
      <w:sz w:val="18"/>
      <w:szCs w:val="18"/>
      <w:lang w:val="x-none" w:eastAsia="x-none"/>
    </w:rPr>
  </w:style>
  <w:style w:type="character" w:customStyle="1" w:styleId="TextoCar">
    <w:name w:val="Texto Car"/>
    <w:link w:val="Texto"/>
    <w:locked/>
    <w:rsid w:val="00501C2B"/>
    <w:rPr>
      <w:rFonts w:ascii="Arial" w:hAnsi="Arial"/>
      <w:sz w:val="18"/>
      <w:szCs w:val="18"/>
      <w:lang w:val="x-none" w:eastAsia="x-none"/>
    </w:rPr>
  </w:style>
  <w:style w:type="character" w:customStyle="1" w:styleId="Sangra2detindependienteCar">
    <w:name w:val="Sangría 2 de t. independiente Car"/>
    <w:link w:val="Sangra2detindependiente"/>
    <w:rsid w:val="00501C2B"/>
    <w:rPr>
      <w:lang w:val="es-ES" w:eastAsia="es-ES"/>
    </w:rPr>
  </w:style>
  <w:style w:type="character" w:customStyle="1" w:styleId="Textoindependiente3Car">
    <w:name w:val="Texto independiente 3 Car"/>
    <w:basedOn w:val="Fuentedeprrafopredeter"/>
    <w:link w:val="Textoindependiente3"/>
    <w:rsid w:val="00F93F3C"/>
    <w:rPr>
      <w:rFonts w:ascii="Arial" w:hAnsi="Arial"/>
      <w:b/>
      <w:sz w:val="22"/>
      <w:szCs w:val="24"/>
      <w:lang w:val="es-ES" w:eastAsia="es-ES"/>
    </w:rPr>
  </w:style>
  <w:style w:type="paragraph" w:customStyle="1" w:styleId="Titulo1">
    <w:name w:val="Titulo 1"/>
    <w:basedOn w:val="Normal"/>
    <w:rsid w:val="00D20CE5"/>
    <w:pPr>
      <w:pBdr>
        <w:bottom w:val="single" w:sz="12" w:space="1" w:color="auto"/>
      </w:pBdr>
      <w:spacing w:before="120"/>
      <w:jc w:val="both"/>
      <w:outlineLvl w:val="0"/>
    </w:pPr>
    <w:rPr>
      <w:b/>
      <w:sz w:val="18"/>
      <w:szCs w:val="18"/>
      <w:lang w:val="es-MX" w:eastAsia="es-MX"/>
    </w:rPr>
  </w:style>
  <w:style w:type="character" w:styleId="Referenciaintensa">
    <w:name w:val="Intense Reference"/>
    <w:uiPriority w:val="32"/>
    <w:qFormat/>
    <w:rsid w:val="00AE36C3"/>
    <w:rPr>
      <w:b/>
      <w:bCs/>
      <w:smallCaps/>
      <w:color w:val="5B9BD5"/>
      <w:spacing w:val="5"/>
    </w:rPr>
  </w:style>
  <w:style w:type="character" w:customStyle="1" w:styleId="Ttulo4Car">
    <w:name w:val="Título 4 Car"/>
    <w:basedOn w:val="Fuentedeprrafopredeter"/>
    <w:link w:val="Ttulo4"/>
    <w:uiPriority w:val="9"/>
    <w:rsid w:val="007D4805"/>
    <w:rPr>
      <w:rFonts w:ascii="Calibri Light" w:hAnsi="Calibri Light"/>
      <w:i/>
      <w:iCs/>
      <w:color w:val="2E74B5"/>
      <w:sz w:val="24"/>
      <w:lang w:val="es-ES" w:eastAsia="es-ES"/>
    </w:rPr>
  </w:style>
  <w:style w:type="paragraph" w:styleId="Textosinformato">
    <w:name w:val="Plain Text"/>
    <w:basedOn w:val="Normal"/>
    <w:link w:val="TextosinformatoCar"/>
    <w:uiPriority w:val="99"/>
    <w:rsid w:val="007D4805"/>
    <w:pPr>
      <w:spacing w:line="360" w:lineRule="auto"/>
      <w:jc w:val="both"/>
    </w:pPr>
    <w:rPr>
      <w:rFonts w:ascii="Courier New" w:eastAsia="Calibri" w:hAnsi="Courier New" w:cs="Courier New"/>
      <w:sz w:val="20"/>
      <w:szCs w:val="20"/>
    </w:rPr>
  </w:style>
  <w:style w:type="character" w:customStyle="1" w:styleId="TextosinformatoCar">
    <w:name w:val="Texto sin formato Car"/>
    <w:basedOn w:val="Fuentedeprrafopredeter"/>
    <w:link w:val="Textosinformato"/>
    <w:uiPriority w:val="99"/>
    <w:rsid w:val="007D4805"/>
    <w:rPr>
      <w:rFonts w:ascii="Courier New" w:eastAsia="Calibri" w:hAnsi="Courier New" w:cs="Courier New"/>
      <w:lang w:val="es-ES" w:eastAsia="es-ES"/>
    </w:rPr>
  </w:style>
  <w:style w:type="character" w:customStyle="1" w:styleId="Ninguno">
    <w:name w:val="Ninguno"/>
    <w:rsid w:val="00D00189"/>
  </w:style>
  <w:style w:type="paragraph" w:customStyle="1" w:styleId="Cuerpo">
    <w:name w:val="Cuerpo"/>
    <w:rsid w:val="00D00189"/>
    <w:pPr>
      <w:pBdr>
        <w:top w:val="nil"/>
        <w:left w:val="nil"/>
        <w:bottom w:val="nil"/>
        <w:right w:val="nil"/>
        <w:between w:val="nil"/>
        <w:bar w:val="nil"/>
      </w:pBdr>
      <w:spacing w:after="160" w:line="259" w:lineRule="auto"/>
    </w:pPr>
    <w:rPr>
      <w:rFonts w:ascii="Calibri" w:eastAsia="Arial Unicode MS" w:hAnsi="Calibri" w:cs="Arial Unicode MS"/>
      <w:b/>
      <w:bCs/>
      <w:color w:val="000000"/>
      <w:sz w:val="22"/>
      <w:szCs w:val="22"/>
      <w:u w:color="000000"/>
      <w:bdr w:val="nil"/>
      <w:lang w:val="pt-PT"/>
    </w:rPr>
  </w:style>
  <w:style w:type="paragraph" w:customStyle="1" w:styleId="footnotedescription">
    <w:name w:val="footnote description"/>
    <w:next w:val="Normal"/>
    <w:link w:val="footnotedescriptionChar"/>
    <w:hidden/>
    <w:rsid w:val="00D4074D"/>
    <w:pPr>
      <w:spacing w:after="18" w:line="253" w:lineRule="auto"/>
    </w:pPr>
    <w:rPr>
      <w:rFonts w:ascii="Calibri" w:eastAsia="Calibri" w:hAnsi="Calibri" w:cs="Calibri"/>
      <w:color w:val="0000FF"/>
      <w:szCs w:val="22"/>
      <w:u w:val="single" w:color="0000FF"/>
      <w:lang w:val="es-US"/>
    </w:rPr>
  </w:style>
  <w:style w:type="character" w:customStyle="1" w:styleId="footnotedescriptionChar">
    <w:name w:val="footnote description Char"/>
    <w:link w:val="footnotedescription"/>
    <w:rsid w:val="00D4074D"/>
    <w:rPr>
      <w:rFonts w:ascii="Calibri" w:eastAsia="Calibri" w:hAnsi="Calibri" w:cs="Calibri"/>
      <w:color w:val="0000FF"/>
      <w:szCs w:val="22"/>
      <w:u w:val="single" w:color="0000FF"/>
      <w:lang w:val="es-US"/>
    </w:rPr>
  </w:style>
  <w:style w:type="character" w:customStyle="1" w:styleId="footnotemark">
    <w:name w:val="footnote mark"/>
    <w:hidden/>
    <w:rsid w:val="00D4074D"/>
    <w:rPr>
      <w:rFonts w:ascii="Calibri" w:eastAsia="Calibri" w:hAnsi="Calibri" w:cs="Calibri"/>
      <w:color w:val="000000"/>
      <w:sz w:val="20"/>
      <w:vertAlign w:val="superscript"/>
    </w:rPr>
  </w:style>
  <w:style w:type="table" w:customStyle="1" w:styleId="TableGrid">
    <w:name w:val="TableGrid"/>
    <w:rsid w:val="00670E07"/>
    <w:rPr>
      <w:rFonts w:asciiTheme="minorHAnsi" w:eastAsiaTheme="minorEastAsia" w:hAnsiTheme="minorHAnsi" w:cstheme="minorBidi"/>
      <w:sz w:val="22"/>
      <w:szCs w:val="22"/>
      <w:lang w:val="es-US"/>
    </w:rPr>
    <w:tblPr>
      <w:tblCellMar>
        <w:top w:w="0" w:type="dxa"/>
        <w:left w:w="0" w:type="dxa"/>
        <w:bottom w:w="0" w:type="dxa"/>
        <w:right w:w="0" w:type="dxa"/>
      </w:tblCellMar>
    </w:tblPr>
  </w:style>
  <w:style w:type="character" w:customStyle="1" w:styleId="Ttulo5Car">
    <w:name w:val="Título 5 Car"/>
    <w:basedOn w:val="Fuentedeprrafopredeter"/>
    <w:link w:val="Ttulo5"/>
    <w:rsid w:val="00427BD6"/>
    <w:rPr>
      <w:rFonts w:asciiTheme="majorHAnsi" w:eastAsiaTheme="majorEastAsia" w:hAnsiTheme="majorHAnsi" w:cstheme="majorBidi"/>
      <w:color w:val="365F91" w:themeColor="accent1" w:themeShade="BF"/>
      <w:sz w:val="24"/>
      <w:szCs w:val="24"/>
      <w:lang w:val="es-ES" w:eastAsia="es-ES"/>
    </w:rPr>
  </w:style>
  <w:style w:type="character" w:customStyle="1" w:styleId="Ttulo7Car">
    <w:name w:val="Título 7 Car"/>
    <w:basedOn w:val="Fuentedeprrafopredeter"/>
    <w:link w:val="Ttulo7"/>
    <w:uiPriority w:val="99"/>
    <w:rsid w:val="00427BD6"/>
    <w:rPr>
      <w:rFonts w:ascii="Arial" w:hAnsi="Arial" w:cs="Arial"/>
      <w:lang w:val="es-ES" w:eastAsia="es-ES"/>
    </w:rPr>
  </w:style>
  <w:style w:type="character" w:customStyle="1" w:styleId="Ttulo8Car">
    <w:name w:val="Título 8 Car"/>
    <w:basedOn w:val="Fuentedeprrafopredeter"/>
    <w:link w:val="Ttulo8"/>
    <w:rsid w:val="00427BD6"/>
    <w:rPr>
      <w:rFonts w:ascii="Arial" w:hAnsi="Arial"/>
      <w:sz w:val="24"/>
      <w:lang w:val="es-ES_tradnl" w:eastAsia="es-ES"/>
    </w:rPr>
  </w:style>
  <w:style w:type="character" w:customStyle="1" w:styleId="Ttulo9Car">
    <w:name w:val="Título 9 Car"/>
    <w:basedOn w:val="Fuentedeprrafopredeter"/>
    <w:link w:val="Ttulo9"/>
    <w:uiPriority w:val="99"/>
    <w:rsid w:val="00427BD6"/>
    <w:rPr>
      <w:rFonts w:ascii="Arial" w:hAnsi="Arial" w:cs="Arial"/>
      <w:b/>
      <w:bCs/>
      <w:lang w:val="es-ES" w:eastAsia="es-ES"/>
    </w:rPr>
  </w:style>
  <w:style w:type="paragraph" w:customStyle="1" w:styleId="Style13">
    <w:name w:val="Style 13"/>
    <w:uiPriority w:val="99"/>
    <w:rsid w:val="00427BD6"/>
    <w:pPr>
      <w:widowControl w:val="0"/>
      <w:autoSpaceDE w:val="0"/>
      <w:autoSpaceDN w:val="0"/>
      <w:spacing w:before="360" w:line="360" w:lineRule="auto"/>
      <w:ind w:left="288" w:right="288"/>
      <w:jc w:val="both"/>
    </w:pPr>
    <w:rPr>
      <w:sz w:val="24"/>
      <w:szCs w:val="24"/>
      <w:lang w:val="en-US"/>
    </w:rPr>
  </w:style>
  <w:style w:type="paragraph" w:customStyle="1" w:styleId="Style1">
    <w:name w:val="Style 1"/>
    <w:uiPriority w:val="99"/>
    <w:rsid w:val="00427BD6"/>
    <w:pPr>
      <w:widowControl w:val="0"/>
      <w:autoSpaceDE w:val="0"/>
      <w:autoSpaceDN w:val="0"/>
      <w:adjustRightInd w:val="0"/>
    </w:pPr>
    <w:rPr>
      <w:lang w:val="en-US"/>
    </w:rPr>
  </w:style>
  <w:style w:type="character" w:customStyle="1" w:styleId="CharacterStyle1">
    <w:name w:val="Character Style 1"/>
    <w:uiPriority w:val="99"/>
    <w:rsid w:val="00427BD6"/>
    <w:rPr>
      <w:sz w:val="20"/>
    </w:rPr>
  </w:style>
  <w:style w:type="paragraph" w:customStyle="1" w:styleId="Style19">
    <w:name w:val="Style 19"/>
    <w:uiPriority w:val="99"/>
    <w:rsid w:val="00427BD6"/>
    <w:pPr>
      <w:widowControl w:val="0"/>
      <w:autoSpaceDE w:val="0"/>
      <w:autoSpaceDN w:val="0"/>
      <w:spacing w:before="216" w:line="360" w:lineRule="auto"/>
      <w:ind w:left="1080" w:right="1152"/>
      <w:jc w:val="both"/>
    </w:pPr>
    <w:rPr>
      <w:rFonts w:ascii="Arial" w:hAnsi="Arial" w:cs="Arial"/>
      <w:sz w:val="24"/>
      <w:szCs w:val="24"/>
      <w:lang w:val="en-US"/>
    </w:rPr>
  </w:style>
  <w:style w:type="character" w:customStyle="1" w:styleId="CharacterStyle5">
    <w:name w:val="Character Style 5"/>
    <w:uiPriority w:val="99"/>
    <w:rsid w:val="00427BD6"/>
    <w:rPr>
      <w:rFonts w:ascii="Arial" w:hAnsi="Arial"/>
      <w:sz w:val="24"/>
    </w:rPr>
  </w:style>
  <w:style w:type="paragraph" w:customStyle="1" w:styleId="Style20">
    <w:name w:val="Style 20"/>
    <w:uiPriority w:val="99"/>
    <w:rsid w:val="00427BD6"/>
    <w:pPr>
      <w:widowControl w:val="0"/>
      <w:autoSpaceDE w:val="0"/>
      <w:autoSpaceDN w:val="0"/>
      <w:spacing w:before="72" w:line="360" w:lineRule="auto"/>
      <w:ind w:left="1080" w:right="1152" w:firstLine="72"/>
      <w:jc w:val="both"/>
    </w:pPr>
    <w:rPr>
      <w:rFonts w:ascii="Bookman Old Style" w:hAnsi="Bookman Old Style" w:cs="Bookman Old Style"/>
      <w:i/>
      <w:iCs/>
      <w:sz w:val="26"/>
      <w:szCs w:val="26"/>
      <w:lang w:val="en-US"/>
    </w:rPr>
  </w:style>
  <w:style w:type="paragraph" w:customStyle="1" w:styleId="Style21">
    <w:name w:val="Style 21"/>
    <w:uiPriority w:val="99"/>
    <w:rsid w:val="00427BD6"/>
    <w:pPr>
      <w:widowControl w:val="0"/>
      <w:autoSpaceDE w:val="0"/>
      <w:autoSpaceDN w:val="0"/>
      <w:spacing w:before="612" w:line="360" w:lineRule="auto"/>
      <w:ind w:left="1080" w:right="1152"/>
      <w:jc w:val="both"/>
    </w:pPr>
    <w:rPr>
      <w:sz w:val="24"/>
      <w:szCs w:val="24"/>
      <w:lang w:val="en-US"/>
    </w:rPr>
  </w:style>
  <w:style w:type="character" w:customStyle="1" w:styleId="CharacterStyle6">
    <w:name w:val="Character Style 6"/>
    <w:uiPriority w:val="99"/>
    <w:rsid w:val="00427BD6"/>
    <w:rPr>
      <w:rFonts w:ascii="Bookman Old Style" w:hAnsi="Bookman Old Style"/>
      <w:i/>
      <w:sz w:val="26"/>
    </w:rPr>
  </w:style>
  <w:style w:type="paragraph" w:customStyle="1" w:styleId="Style23">
    <w:name w:val="Style 23"/>
    <w:uiPriority w:val="99"/>
    <w:rsid w:val="00427BD6"/>
    <w:pPr>
      <w:widowControl w:val="0"/>
      <w:autoSpaceDE w:val="0"/>
      <w:autoSpaceDN w:val="0"/>
      <w:spacing w:before="288" w:line="360" w:lineRule="auto"/>
      <w:ind w:left="1008"/>
    </w:pPr>
    <w:rPr>
      <w:sz w:val="24"/>
      <w:szCs w:val="24"/>
      <w:lang w:val="en-US"/>
    </w:rPr>
  </w:style>
  <w:style w:type="paragraph" w:customStyle="1" w:styleId="Style24">
    <w:name w:val="Style 24"/>
    <w:uiPriority w:val="99"/>
    <w:rsid w:val="00427BD6"/>
    <w:pPr>
      <w:widowControl w:val="0"/>
      <w:autoSpaceDE w:val="0"/>
      <w:autoSpaceDN w:val="0"/>
      <w:spacing w:before="396" w:line="360" w:lineRule="auto"/>
      <w:ind w:left="1152" w:right="72"/>
      <w:jc w:val="both"/>
    </w:pPr>
    <w:rPr>
      <w:sz w:val="24"/>
      <w:szCs w:val="24"/>
      <w:lang w:val="en-US"/>
    </w:rPr>
  </w:style>
  <w:style w:type="paragraph" w:customStyle="1" w:styleId="Style25">
    <w:name w:val="Style 25"/>
    <w:uiPriority w:val="99"/>
    <w:rsid w:val="00427BD6"/>
    <w:pPr>
      <w:widowControl w:val="0"/>
      <w:autoSpaceDE w:val="0"/>
      <w:autoSpaceDN w:val="0"/>
      <w:spacing w:before="504" w:line="360" w:lineRule="auto"/>
      <w:ind w:left="504" w:right="504"/>
      <w:jc w:val="both"/>
    </w:pPr>
    <w:rPr>
      <w:sz w:val="24"/>
      <w:szCs w:val="24"/>
      <w:lang w:val="en-US"/>
    </w:rPr>
  </w:style>
  <w:style w:type="paragraph" w:customStyle="1" w:styleId="Style26">
    <w:name w:val="Style 26"/>
    <w:uiPriority w:val="99"/>
    <w:rsid w:val="00427BD6"/>
    <w:pPr>
      <w:widowControl w:val="0"/>
      <w:autoSpaceDE w:val="0"/>
      <w:autoSpaceDN w:val="0"/>
      <w:spacing w:before="72" w:line="360" w:lineRule="auto"/>
      <w:jc w:val="both"/>
    </w:pPr>
    <w:rPr>
      <w:sz w:val="24"/>
      <w:szCs w:val="24"/>
      <w:lang w:val="en-US"/>
    </w:rPr>
  </w:style>
  <w:style w:type="paragraph" w:customStyle="1" w:styleId="Style27">
    <w:name w:val="Style 27"/>
    <w:uiPriority w:val="99"/>
    <w:rsid w:val="00427BD6"/>
    <w:pPr>
      <w:widowControl w:val="0"/>
      <w:autoSpaceDE w:val="0"/>
      <w:autoSpaceDN w:val="0"/>
      <w:spacing w:before="612" w:line="360" w:lineRule="auto"/>
      <w:jc w:val="both"/>
    </w:pPr>
    <w:rPr>
      <w:sz w:val="24"/>
      <w:szCs w:val="24"/>
      <w:lang w:val="en-US"/>
    </w:rPr>
  </w:style>
  <w:style w:type="paragraph" w:customStyle="1" w:styleId="Style28">
    <w:name w:val="Style 28"/>
    <w:uiPriority w:val="99"/>
    <w:rsid w:val="00427BD6"/>
    <w:pPr>
      <w:widowControl w:val="0"/>
      <w:autoSpaceDE w:val="0"/>
      <w:autoSpaceDN w:val="0"/>
      <w:spacing w:before="432" w:line="360" w:lineRule="auto"/>
      <w:ind w:left="1296" w:right="144"/>
    </w:pPr>
    <w:rPr>
      <w:sz w:val="24"/>
      <w:szCs w:val="24"/>
      <w:lang w:val="en-US"/>
    </w:rPr>
  </w:style>
  <w:style w:type="character" w:customStyle="1" w:styleId="CharacterStyle2">
    <w:name w:val="Character Style 2"/>
    <w:uiPriority w:val="99"/>
    <w:rsid w:val="00427BD6"/>
    <w:rPr>
      <w:sz w:val="20"/>
      <w:szCs w:val="20"/>
    </w:rPr>
  </w:style>
  <w:style w:type="character" w:customStyle="1" w:styleId="Textodemarcadordeposicin">
    <w:name w:val="Texto de marcador de posición"/>
    <w:uiPriority w:val="99"/>
    <w:semiHidden/>
    <w:rsid w:val="00427BD6"/>
    <w:rPr>
      <w:color w:val="808080"/>
    </w:rPr>
  </w:style>
  <w:style w:type="character" w:styleId="Textoennegrita">
    <w:name w:val="Strong"/>
    <w:uiPriority w:val="22"/>
    <w:qFormat/>
    <w:rsid w:val="00427BD6"/>
    <w:rPr>
      <w:b/>
      <w:bCs/>
    </w:rPr>
  </w:style>
  <w:style w:type="character" w:customStyle="1" w:styleId="A6">
    <w:name w:val="A6"/>
    <w:uiPriority w:val="99"/>
    <w:rsid w:val="00427BD6"/>
    <w:rPr>
      <w:rFonts w:cs="Calibri"/>
      <w:color w:val="000000"/>
      <w:sz w:val="22"/>
      <w:szCs w:val="22"/>
    </w:rPr>
  </w:style>
  <w:style w:type="character" w:customStyle="1" w:styleId="Ttulo6Car">
    <w:name w:val="Título 6 Car"/>
    <w:link w:val="Ttulo6"/>
    <w:uiPriority w:val="99"/>
    <w:rsid w:val="00427BD6"/>
    <w:rPr>
      <w:b/>
      <w:bCs/>
      <w:sz w:val="22"/>
      <w:szCs w:val="22"/>
      <w:lang w:val="es-ES" w:eastAsia="es-ES"/>
    </w:rPr>
  </w:style>
  <w:style w:type="paragraph" w:customStyle="1" w:styleId="ROMANOS">
    <w:name w:val="ROMANOS"/>
    <w:basedOn w:val="Normal"/>
    <w:link w:val="ROMANOSCar"/>
    <w:rsid w:val="00427BD6"/>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427BD6"/>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427BD6"/>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427BD6"/>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427BD6"/>
    <w:rPr>
      <w:color w:val="auto"/>
      <w:lang w:val="es-MX"/>
    </w:rPr>
  </w:style>
  <w:style w:type="paragraph" w:customStyle="1" w:styleId="Titulo">
    <w:name w:val="Titulo"/>
    <w:basedOn w:val="Default"/>
    <w:next w:val="Default"/>
    <w:uiPriority w:val="99"/>
    <w:rsid w:val="00427BD6"/>
    <w:rPr>
      <w:color w:val="auto"/>
      <w:lang w:val="es-MX"/>
    </w:rPr>
  </w:style>
  <w:style w:type="paragraph" w:customStyle="1" w:styleId="NombreTitulo">
    <w:name w:val="NombreTitulo"/>
    <w:basedOn w:val="Default"/>
    <w:next w:val="Default"/>
    <w:uiPriority w:val="99"/>
    <w:rsid w:val="00427BD6"/>
    <w:rPr>
      <w:color w:val="auto"/>
      <w:lang w:val="es-MX"/>
    </w:rPr>
  </w:style>
  <w:style w:type="paragraph" w:customStyle="1" w:styleId="Capitulo">
    <w:name w:val="Capitulo"/>
    <w:basedOn w:val="Default"/>
    <w:next w:val="Default"/>
    <w:uiPriority w:val="99"/>
    <w:rsid w:val="00427BD6"/>
    <w:rPr>
      <w:color w:val="auto"/>
      <w:lang w:val="es-MX"/>
    </w:rPr>
  </w:style>
  <w:style w:type="paragraph" w:customStyle="1" w:styleId="NombreCapitulo">
    <w:name w:val="NombreCapitulo"/>
    <w:basedOn w:val="Default"/>
    <w:next w:val="Default"/>
    <w:uiPriority w:val="99"/>
    <w:rsid w:val="00427BD6"/>
    <w:rPr>
      <w:color w:val="auto"/>
      <w:lang w:val="es-MX"/>
    </w:rPr>
  </w:style>
  <w:style w:type="paragraph" w:customStyle="1" w:styleId="Seccion">
    <w:name w:val="Seccion"/>
    <w:basedOn w:val="Default"/>
    <w:next w:val="Default"/>
    <w:uiPriority w:val="99"/>
    <w:rsid w:val="00427BD6"/>
    <w:rPr>
      <w:color w:val="auto"/>
      <w:lang w:val="es-MX"/>
    </w:rPr>
  </w:style>
  <w:style w:type="paragraph" w:customStyle="1" w:styleId="TituloTransitorios">
    <w:name w:val="TituloTransitorios"/>
    <w:basedOn w:val="Default"/>
    <w:next w:val="Default"/>
    <w:uiPriority w:val="99"/>
    <w:rsid w:val="00427BD6"/>
    <w:rPr>
      <w:color w:val="auto"/>
      <w:lang w:val="es-MX"/>
    </w:rPr>
  </w:style>
  <w:style w:type="paragraph" w:customStyle="1" w:styleId="ArtTransitorio">
    <w:name w:val="ArtTransitorio"/>
    <w:basedOn w:val="Default"/>
    <w:next w:val="Default"/>
    <w:uiPriority w:val="99"/>
    <w:rsid w:val="00427BD6"/>
    <w:rPr>
      <w:color w:val="auto"/>
      <w:lang w:val="es-MX"/>
    </w:rPr>
  </w:style>
  <w:style w:type="paragraph" w:customStyle="1" w:styleId="Style2">
    <w:name w:val="Style 2"/>
    <w:uiPriority w:val="99"/>
    <w:rsid w:val="00427BD6"/>
    <w:pPr>
      <w:widowControl w:val="0"/>
      <w:autoSpaceDE w:val="0"/>
      <w:autoSpaceDN w:val="0"/>
      <w:spacing w:before="288"/>
      <w:ind w:firstLine="2016"/>
      <w:jc w:val="both"/>
    </w:pPr>
    <w:rPr>
      <w:sz w:val="24"/>
      <w:szCs w:val="24"/>
      <w:lang w:val="en-US"/>
    </w:rPr>
  </w:style>
  <w:style w:type="paragraph" w:customStyle="1" w:styleId="Style3">
    <w:name w:val="Style 3"/>
    <w:uiPriority w:val="99"/>
    <w:rsid w:val="00427BD6"/>
    <w:pPr>
      <w:widowControl w:val="0"/>
      <w:autoSpaceDE w:val="0"/>
      <w:autoSpaceDN w:val="0"/>
      <w:spacing w:before="360"/>
      <w:ind w:left="144" w:firstLine="1872"/>
      <w:jc w:val="both"/>
    </w:pPr>
    <w:rPr>
      <w:sz w:val="24"/>
      <w:szCs w:val="24"/>
      <w:lang w:val="en-US"/>
    </w:rPr>
  </w:style>
  <w:style w:type="paragraph" w:customStyle="1" w:styleId="Style4">
    <w:name w:val="Style 4"/>
    <w:uiPriority w:val="99"/>
    <w:rsid w:val="00427BD6"/>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427BD6"/>
    <w:pPr>
      <w:widowControl w:val="0"/>
      <w:autoSpaceDE w:val="0"/>
      <w:autoSpaceDN w:val="0"/>
      <w:spacing w:before="324"/>
      <w:ind w:firstLine="648"/>
      <w:jc w:val="both"/>
    </w:pPr>
    <w:rPr>
      <w:sz w:val="24"/>
      <w:szCs w:val="24"/>
      <w:lang w:val="en-US"/>
    </w:rPr>
  </w:style>
  <w:style w:type="paragraph" w:customStyle="1" w:styleId="Style6">
    <w:name w:val="Style 6"/>
    <w:uiPriority w:val="99"/>
    <w:rsid w:val="00427BD6"/>
    <w:pPr>
      <w:widowControl w:val="0"/>
      <w:autoSpaceDE w:val="0"/>
      <w:autoSpaceDN w:val="0"/>
      <w:spacing w:before="360" w:after="540"/>
      <w:jc w:val="both"/>
    </w:pPr>
    <w:rPr>
      <w:sz w:val="24"/>
      <w:szCs w:val="24"/>
      <w:lang w:val="en-US"/>
    </w:rPr>
  </w:style>
  <w:style w:type="character" w:styleId="Refdecomentario">
    <w:name w:val="annotation reference"/>
    <w:uiPriority w:val="99"/>
    <w:unhideWhenUsed/>
    <w:rsid w:val="00427BD6"/>
    <w:rPr>
      <w:sz w:val="16"/>
      <w:szCs w:val="16"/>
    </w:rPr>
  </w:style>
  <w:style w:type="character" w:customStyle="1" w:styleId="TextocomentarioCar">
    <w:name w:val="Texto comentario Car"/>
    <w:link w:val="Textocomentario"/>
    <w:uiPriority w:val="99"/>
    <w:rsid w:val="00427BD6"/>
    <w:rPr>
      <w:lang w:val="es-ES" w:eastAsia="es-ES"/>
    </w:rPr>
  </w:style>
  <w:style w:type="character" w:customStyle="1" w:styleId="AsuntodelcomentarioCar">
    <w:name w:val="Asunto del comentario Car"/>
    <w:link w:val="Asuntodelcomentario"/>
    <w:uiPriority w:val="99"/>
    <w:rsid w:val="00427BD6"/>
    <w:rPr>
      <w:b/>
      <w:bCs/>
      <w:lang w:val="es-ES" w:eastAsia="es-ES"/>
    </w:rPr>
  </w:style>
  <w:style w:type="paragraph" w:customStyle="1" w:styleId="Textoindependiente21">
    <w:name w:val="Texto independiente 21"/>
    <w:basedOn w:val="Normal"/>
    <w:rsid w:val="00427BD6"/>
    <w:pPr>
      <w:tabs>
        <w:tab w:val="left" w:pos="0"/>
      </w:tabs>
      <w:overflowPunct w:val="0"/>
      <w:autoSpaceDE w:val="0"/>
      <w:autoSpaceDN w:val="0"/>
      <w:adjustRightInd w:val="0"/>
      <w:jc w:val="both"/>
    </w:pPr>
    <w:rPr>
      <w:szCs w:val="20"/>
    </w:rPr>
  </w:style>
  <w:style w:type="paragraph" w:customStyle="1" w:styleId="leyes">
    <w:name w:val="leyes"/>
    <w:basedOn w:val="Normal"/>
    <w:rsid w:val="00427BD6"/>
    <w:pPr>
      <w:spacing w:before="240" w:after="240"/>
      <w:ind w:firstLine="720"/>
      <w:jc w:val="both"/>
    </w:pPr>
    <w:rPr>
      <w:szCs w:val="20"/>
      <w:lang w:val="es-MX"/>
    </w:rPr>
  </w:style>
  <w:style w:type="character" w:customStyle="1" w:styleId="TtuloCar1">
    <w:name w:val="Título Car1"/>
    <w:uiPriority w:val="10"/>
    <w:rsid w:val="00427BD6"/>
    <w:rPr>
      <w:rFonts w:ascii="Calibri Light" w:eastAsia="Times New Roman" w:hAnsi="Calibri Light" w:cs="Times New Roman"/>
      <w:b/>
      <w:bCs/>
      <w:kern w:val="28"/>
      <w:sz w:val="32"/>
      <w:szCs w:val="32"/>
      <w:lang w:val="es-ES" w:eastAsia="en-US"/>
    </w:rPr>
  </w:style>
  <w:style w:type="character" w:customStyle="1" w:styleId="apple-converted-space">
    <w:name w:val="apple-converted-space"/>
    <w:rsid w:val="00427BD6"/>
  </w:style>
  <w:style w:type="paragraph" w:customStyle="1" w:styleId="EstilotextoPrimeralnea0">
    <w:name w:val="Estilo texto + Primera línea:  0&quot;"/>
    <w:basedOn w:val="Normal"/>
    <w:rsid w:val="00427BD6"/>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427BD6"/>
    <w:rPr>
      <w:rFonts w:ascii="Arial" w:hAnsi="Arial" w:cs="Arial"/>
      <w:sz w:val="18"/>
      <w:szCs w:val="18"/>
      <w:lang w:val="es-ES" w:eastAsia="es-ES"/>
    </w:rPr>
  </w:style>
  <w:style w:type="character" w:customStyle="1" w:styleId="ANOTACIONCar">
    <w:name w:val="ANOTACION Car"/>
    <w:link w:val="ANOTACION"/>
    <w:locked/>
    <w:rsid w:val="00427BD6"/>
    <w:rPr>
      <w:rFonts w:ascii="CG Palacio (WN)" w:hAnsi="CG Palacio (WN)"/>
      <w:b/>
      <w:sz w:val="18"/>
      <w:lang w:val="es-ES_tradnl" w:eastAsia="es-ES"/>
    </w:rPr>
  </w:style>
  <w:style w:type="paragraph" w:customStyle="1" w:styleId="BodyText21">
    <w:name w:val="Body Text 21"/>
    <w:basedOn w:val="Normal"/>
    <w:rsid w:val="00427BD6"/>
    <w:pPr>
      <w:widowControl w:val="0"/>
      <w:snapToGrid w:val="0"/>
      <w:jc w:val="both"/>
    </w:pPr>
    <w:rPr>
      <w:szCs w:val="20"/>
      <w:lang w:val="es-ES_tradnl"/>
    </w:rPr>
  </w:style>
  <w:style w:type="character" w:customStyle="1" w:styleId="SangradetextonormalCar">
    <w:name w:val="Sangría de texto normal Car"/>
    <w:link w:val="Sangradetextonormal"/>
    <w:rsid w:val="00427BD6"/>
    <w:rPr>
      <w:lang w:val="es-ES" w:eastAsia="es-ES"/>
    </w:rPr>
  </w:style>
  <w:style w:type="paragraph" w:customStyle="1" w:styleId="Sinespaciado4">
    <w:name w:val="Sin espaciado4"/>
    <w:rsid w:val="00427BD6"/>
    <w:rPr>
      <w:rFonts w:ascii="Calibri" w:hAnsi="Calibri"/>
      <w:sz w:val="22"/>
      <w:szCs w:val="22"/>
      <w:lang w:eastAsia="en-US"/>
    </w:rPr>
  </w:style>
  <w:style w:type="paragraph" w:customStyle="1" w:styleId="Body1">
    <w:name w:val="Body 1"/>
    <w:rsid w:val="00427BD6"/>
    <w:rPr>
      <w:rFonts w:ascii="Helvetica" w:eastAsia="ヒラギノ角ゴ Pro W3" w:hAnsi="Helvetica"/>
      <w:color w:val="000000"/>
      <w:sz w:val="24"/>
      <w:lang w:val="en-US"/>
    </w:rPr>
  </w:style>
  <w:style w:type="paragraph" w:customStyle="1" w:styleId="Sinespaciado2">
    <w:name w:val="Sin espaciado2"/>
    <w:rsid w:val="00427BD6"/>
    <w:rPr>
      <w:rFonts w:ascii="Calibri" w:hAnsi="Calibri"/>
      <w:sz w:val="22"/>
      <w:szCs w:val="22"/>
      <w:lang w:eastAsia="en-US"/>
    </w:rPr>
  </w:style>
  <w:style w:type="character" w:customStyle="1" w:styleId="EstiloCar">
    <w:name w:val="Estilo Car"/>
    <w:link w:val="Estilo"/>
    <w:locked/>
    <w:rsid w:val="00427BD6"/>
    <w:rPr>
      <w:rFonts w:ascii="Arial" w:hAnsi="Arial" w:cs="Arial"/>
      <w:sz w:val="24"/>
    </w:rPr>
  </w:style>
  <w:style w:type="paragraph" w:customStyle="1" w:styleId="Estilo">
    <w:name w:val="Estilo"/>
    <w:basedOn w:val="Sinespaciado"/>
    <w:link w:val="EstiloCar"/>
    <w:qFormat/>
    <w:rsid w:val="00427BD6"/>
    <w:pPr>
      <w:jc w:val="both"/>
    </w:pPr>
    <w:rPr>
      <w:rFonts w:ascii="Arial" w:eastAsia="Times New Roman" w:hAnsi="Arial" w:cs="Arial"/>
      <w:sz w:val="24"/>
    </w:rPr>
  </w:style>
  <w:style w:type="paragraph" w:customStyle="1" w:styleId="paragraph">
    <w:name w:val="paragraph"/>
    <w:basedOn w:val="Normal"/>
    <w:rsid w:val="00427BD6"/>
    <w:pPr>
      <w:spacing w:before="100" w:beforeAutospacing="1" w:after="100" w:afterAutospacing="1"/>
    </w:pPr>
    <w:rPr>
      <w:lang w:val="es-MX" w:eastAsia="es-MX"/>
    </w:rPr>
  </w:style>
  <w:style w:type="character" w:customStyle="1" w:styleId="normaltextrun">
    <w:name w:val="normaltextrun"/>
    <w:basedOn w:val="Fuentedeprrafopredeter"/>
    <w:rsid w:val="00427BD6"/>
  </w:style>
  <w:style w:type="character" w:customStyle="1" w:styleId="eop">
    <w:name w:val="eop"/>
    <w:basedOn w:val="Fuentedeprrafopredeter"/>
    <w:rsid w:val="00427BD6"/>
  </w:style>
  <w:style w:type="character" w:customStyle="1" w:styleId="superscript">
    <w:name w:val="superscript"/>
    <w:basedOn w:val="Fuentedeprrafopredeter"/>
    <w:rsid w:val="00427BD6"/>
  </w:style>
  <w:style w:type="paragraph" w:customStyle="1" w:styleId="temp">
    <w:name w:val="temp"/>
    <w:basedOn w:val="Normal"/>
    <w:rsid w:val="00427BD6"/>
    <w:pPr>
      <w:spacing w:before="100" w:beforeAutospacing="1" w:after="100" w:afterAutospacing="1"/>
    </w:pPr>
    <w:rPr>
      <w:lang w:val="es-MX" w:eastAsia="es-MX"/>
    </w:rPr>
  </w:style>
  <w:style w:type="character" w:customStyle="1" w:styleId="bold">
    <w:name w:val="bold"/>
    <w:basedOn w:val="Fuentedeprrafopredeter"/>
    <w:rsid w:val="00427BD6"/>
  </w:style>
  <w:style w:type="character" w:customStyle="1" w:styleId="ng-star-inserted">
    <w:name w:val="ng-star-inserted"/>
    <w:basedOn w:val="Fuentedeprrafopredeter"/>
    <w:rsid w:val="00427BD6"/>
  </w:style>
  <w:style w:type="paragraph" w:customStyle="1" w:styleId="xmsonormal">
    <w:name w:val="x_msonormal"/>
    <w:basedOn w:val="Normal"/>
    <w:uiPriority w:val="99"/>
    <w:semiHidden/>
    <w:rsid w:val="00427BD6"/>
    <w:rPr>
      <w:rFonts w:ascii="Calibri" w:eastAsia="Calibri" w:hAnsi="Calibri" w:cs="Calibri"/>
      <w:sz w:val="22"/>
      <w:szCs w:val="22"/>
      <w:lang w:val="es-MX" w:eastAsia="es-MX"/>
    </w:rPr>
  </w:style>
  <w:style w:type="paragraph" w:customStyle="1" w:styleId="gmail-msolistparagraph">
    <w:name w:val="gmail-msolistparagraph"/>
    <w:basedOn w:val="Normal"/>
    <w:rsid w:val="00427BD6"/>
    <w:pPr>
      <w:spacing w:before="100" w:beforeAutospacing="1" w:after="100" w:afterAutospacing="1"/>
    </w:pPr>
    <w:rPr>
      <w:rFonts w:ascii="Calibri" w:eastAsia="Calibri" w:hAnsi="Calibri" w:cs="Calibri"/>
      <w:sz w:val="22"/>
      <w:szCs w:val="22"/>
      <w:lang w:val="es-MX" w:eastAsia="es-MX"/>
    </w:rPr>
  </w:style>
  <w:style w:type="character" w:customStyle="1" w:styleId="gmail-msofootnotereference">
    <w:name w:val="gmail-msofootnotereference"/>
    <w:basedOn w:val="Fuentedeprrafopredeter"/>
    <w:rsid w:val="00427BD6"/>
  </w:style>
  <w:style w:type="paragraph" w:customStyle="1" w:styleId="gmail-msofootnotetext">
    <w:name w:val="gmail-msofootnotetext"/>
    <w:basedOn w:val="Normal"/>
    <w:rsid w:val="00427BD6"/>
    <w:pPr>
      <w:spacing w:before="100" w:beforeAutospacing="1" w:after="100" w:afterAutospacing="1"/>
    </w:pPr>
    <w:rPr>
      <w:rFonts w:ascii="Calibri" w:eastAsia="Calibri" w:hAnsi="Calibri" w:cs="Calibri"/>
      <w:sz w:val="22"/>
      <w:szCs w:val="22"/>
      <w:lang w:val="es-MX" w:eastAsia="es-MX"/>
    </w:rPr>
  </w:style>
  <w:style w:type="paragraph" w:customStyle="1" w:styleId="Textoindependiente22">
    <w:name w:val="Texto independiente 22"/>
    <w:basedOn w:val="Normal"/>
    <w:rsid w:val="00427BD6"/>
    <w:pPr>
      <w:tabs>
        <w:tab w:val="left" w:pos="0"/>
      </w:tabs>
      <w:overflowPunct w:val="0"/>
      <w:autoSpaceDE w:val="0"/>
      <w:autoSpaceDN w:val="0"/>
      <w:adjustRightInd w:val="0"/>
      <w:jc w:val="both"/>
    </w:pPr>
    <w:rPr>
      <w:szCs w:val="20"/>
    </w:rPr>
  </w:style>
  <w:style w:type="character" w:customStyle="1" w:styleId="PuestoCar">
    <w:name w:val="Puesto Car"/>
    <w:uiPriority w:val="10"/>
    <w:rsid w:val="00427BD6"/>
    <w:rPr>
      <w:rFonts w:ascii="Calibri Light" w:eastAsia="Times New Roman" w:hAnsi="Calibri Light" w:cs="Times New Roman"/>
      <w:b/>
      <w:bCs/>
      <w:kern w:val="28"/>
      <w:sz w:val="32"/>
      <w:szCs w:val="32"/>
      <w:lang w:val="es-ES" w:eastAsia="en-US"/>
    </w:rPr>
  </w:style>
  <w:style w:type="paragraph" w:customStyle="1" w:styleId="Predeterminado">
    <w:name w:val="Predeterminado"/>
    <w:rsid w:val="00427BD6"/>
    <w:pPr>
      <w:pBdr>
        <w:top w:val="nil"/>
        <w:left w:val="nil"/>
        <w:bottom w:val="nil"/>
        <w:right w:val="nil"/>
        <w:between w:val="nil"/>
        <w:bar w:val="nil"/>
      </w:pBdr>
    </w:pPr>
    <w:rPr>
      <w:rFonts w:ascii="Helvetica Neue" w:eastAsia="Arial Unicode MS" w:hAnsi="Helvetica Neue" w:cs="Arial Unicode MS"/>
      <w:color w:val="000000"/>
      <w:sz w:val="22"/>
      <w:szCs w:val="22"/>
      <w:u w:color="000000"/>
      <w:bdr w:val="nil"/>
      <w:lang w:val="es-ES_tradnl"/>
    </w:rPr>
  </w:style>
  <w:style w:type="paragraph" w:styleId="Revisin">
    <w:name w:val="Revision"/>
    <w:hidden/>
    <w:uiPriority w:val="99"/>
    <w:semiHidden/>
    <w:rsid w:val="003C20B5"/>
    <w:rPr>
      <w:rFonts w:ascii="Arial" w:hAnsi="Arial" w:cs="Arial"/>
      <w:szCs w:val="24"/>
      <w:lang w:eastAsia="es-ES"/>
    </w:rPr>
  </w:style>
  <w:style w:type="table" w:customStyle="1" w:styleId="TableNormal2">
    <w:name w:val="Table Normal2"/>
    <w:uiPriority w:val="2"/>
    <w:semiHidden/>
    <w:unhideWhenUsed/>
    <w:qFormat/>
    <w:rsid w:val="005B68E6"/>
    <w:pPr>
      <w:widowControl w:val="0"/>
      <w:autoSpaceDE w:val="0"/>
      <w:autoSpaceDN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Lista">
    <w:name w:val="List"/>
    <w:basedOn w:val="Normal"/>
    <w:unhideWhenUsed/>
    <w:rsid w:val="00B53C9D"/>
    <w:pPr>
      <w:ind w:left="283" w:hanging="283"/>
      <w:contextualSpacing/>
    </w:pPr>
  </w:style>
  <w:style w:type="paragraph" w:styleId="Encabezadodemensaje">
    <w:name w:val="Message Header"/>
    <w:basedOn w:val="Normal"/>
    <w:link w:val="EncabezadodemensajeCar"/>
    <w:rsid w:val="00B53C9D"/>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rPr>
  </w:style>
  <w:style w:type="character" w:customStyle="1" w:styleId="EncabezadodemensajeCar">
    <w:name w:val="Encabezado de mensaje Car"/>
    <w:basedOn w:val="Fuentedeprrafopredeter"/>
    <w:link w:val="Encabezadodemensaje"/>
    <w:rsid w:val="00B53C9D"/>
    <w:rPr>
      <w:rFonts w:asciiTheme="majorHAnsi" w:eastAsiaTheme="majorEastAsia" w:hAnsiTheme="majorHAnsi" w:cstheme="majorBidi"/>
      <w:sz w:val="24"/>
      <w:szCs w:val="24"/>
      <w:shd w:val="pct20" w:color="auto" w:fill="auto"/>
      <w:lang w:val="es-ES" w:eastAsia="es-ES"/>
    </w:rPr>
  </w:style>
  <w:style w:type="paragraph" w:styleId="Listaconvietas">
    <w:name w:val="List Bullet"/>
    <w:basedOn w:val="Normal"/>
    <w:rsid w:val="00B53C9D"/>
    <w:pPr>
      <w:numPr>
        <w:numId w:val="123"/>
      </w:numPr>
      <w:contextualSpacing/>
    </w:pPr>
  </w:style>
  <w:style w:type="paragraph" w:styleId="Listaconvietas4">
    <w:name w:val="List Bullet 4"/>
    <w:basedOn w:val="Normal"/>
    <w:unhideWhenUsed/>
    <w:rsid w:val="00B53C9D"/>
    <w:pPr>
      <w:numPr>
        <w:numId w:val="124"/>
      </w:numPr>
      <w:contextualSpacing/>
    </w:pPr>
  </w:style>
  <w:style w:type="paragraph" w:styleId="Continuarlista">
    <w:name w:val="List Continue"/>
    <w:basedOn w:val="Normal"/>
    <w:unhideWhenUsed/>
    <w:rsid w:val="00B53C9D"/>
    <w:pPr>
      <w:spacing w:after="120"/>
      <w:ind w:left="283"/>
      <w:contextualSpacing/>
    </w:pPr>
  </w:style>
  <w:style w:type="paragraph" w:styleId="Continuarlista2">
    <w:name w:val="List Continue 2"/>
    <w:basedOn w:val="Normal"/>
    <w:unhideWhenUsed/>
    <w:rsid w:val="00B53C9D"/>
    <w:pPr>
      <w:spacing w:after="120"/>
      <w:ind w:left="566"/>
      <w:contextualSpacing/>
    </w:pPr>
  </w:style>
  <w:style w:type="paragraph" w:customStyle="1" w:styleId="elementtoproof">
    <w:name w:val="elementtoproof"/>
    <w:basedOn w:val="Normal"/>
    <w:uiPriority w:val="99"/>
    <w:semiHidden/>
    <w:rsid w:val="00E7344B"/>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9379623">
      <w:bodyDiv w:val="1"/>
      <w:marLeft w:val="0"/>
      <w:marRight w:val="0"/>
      <w:marTop w:val="0"/>
      <w:marBottom w:val="0"/>
      <w:divBdr>
        <w:top w:val="none" w:sz="0" w:space="0" w:color="auto"/>
        <w:left w:val="none" w:sz="0" w:space="0" w:color="auto"/>
        <w:bottom w:val="none" w:sz="0" w:space="0" w:color="auto"/>
        <w:right w:val="none" w:sz="0" w:space="0" w:color="auto"/>
      </w:divBdr>
    </w:div>
    <w:div w:id="10424848">
      <w:bodyDiv w:val="1"/>
      <w:marLeft w:val="0"/>
      <w:marRight w:val="0"/>
      <w:marTop w:val="0"/>
      <w:marBottom w:val="0"/>
      <w:divBdr>
        <w:top w:val="none" w:sz="0" w:space="0" w:color="auto"/>
        <w:left w:val="none" w:sz="0" w:space="0" w:color="auto"/>
        <w:bottom w:val="none" w:sz="0" w:space="0" w:color="auto"/>
        <w:right w:val="none" w:sz="0" w:space="0" w:color="auto"/>
      </w:divBdr>
    </w:div>
    <w:div w:id="15468558">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056933">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243991">
      <w:bodyDiv w:val="1"/>
      <w:marLeft w:val="0"/>
      <w:marRight w:val="0"/>
      <w:marTop w:val="0"/>
      <w:marBottom w:val="0"/>
      <w:divBdr>
        <w:top w:val="none" w:sz="0" w:space="0" w:color="auto"/>
        <w:left w:val="none" w:sz="0" w:space="0" w:color="auto"/>
        <w:bottom w:val="none" w:sz="0" w:space="0" w:color="auto"/>
        <w:right w:val="none" w:sz="0" w:space="0" w:color="auto"/>
      </w:divBdr>
    </w:div>
    <w:div w:id="56393220">
      <w:bodyDiv w:val="1"/>
      <w:marLeft w:val="0"/>
      <w:marRight w:val="0"/>
      <w:marTop w:val="0"/>
      <w:marBottom w:val="0"/>
      <w:divBdr>
        <w:top w:val="none" w:sz="0" w:space="0" w:color="auto"/>
        <w:left w:val="none" w:sz="0" w:space="0" w:color="auto"/>
        <w:bottom w:val="none" w:sz="0" w:space="0" w:color="auto"/>
        <w:right w:val="none" w:sz="0" w:space="0" w:color="auto"/>
      </w:divBdr>
    </w:div>
    <w:div w:id="75395763">
      <w:bodyDiv w:val="1"/>
      <w:marLeft w:val="0"/>
      <w:marRight w:val="0"/>
      <w:marTop w:val="0"/>
      <w:marBottom w:val="0"/>
      <w:divBdr>
        <w:top w:val="none" w:sz="0" w:space="0" w:color="auto"/>
        <w:left w:val="none" w:sz="0" w:space="0" w:color="auto"/>
        <w:bottom w:val="none" w:sz="0" w:space="0" w:color="auto"/>
        <w:right w:val="none" w:sz="0" w:space="0" w:color="auto"/>
      </w:divBdr>
    </w:div>
    <w:div w:id="84571281">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597562">
      <w:bodyDiv w:val="1"/>
      <w:marLeft w:val="0"/>
      <w:marRight w:val="0"/>
      <w:marTop w:val="0"/>
      <w:marBottom w:val="0"/>
      <w:divBdr>
        <w:top w:val="none" w:sz="0" w:space="0" w:color="auto"/>
        <w:left w:val="none" w:sz="0" w:space="0" w:color="auto"/>
        <w:bottom w:val="none" w:sz="0" w:space="0" w:color="auto"/>
        <w:right w:val="none" w:sz="0" w:space="0" w:color="auto"/>
      </w:divBdr>
    </w:div>
    <w:div w:id="102308513">
      <w:bodyDiv w:val="1"/>
      <w:marLeft w:val="0"/>
      <w:marRight w:val="0"/>
      <w:marTop w:val="0"/>
      <w:marBottom w:val="0"/>
      <w:divBdr>
        <w:top w:val="none" w:sz="0" w:space="0" w:color="auto"/>
        <w:left w:val="none" w:sz="0" w:space="0" w:color="auto"/>
        <w:bottom w:val="none" w:sz="0" w:space="0" w:color="auto"/>
        <w:right w:val="none" w:sz="0" w:space="0" w:color="auto"/>
      </w:divBdr>
    </w:div>
    <w:div w:id="108134805">
      <w:bodyDiv w:val="1"/>
      <w:marLeft w:val="0"/>
      <w:marRight w:val="0"/>
      <w:marTop w:val="0"/>
      <w:marBottom w:val="0"/>
      <w:divBdr>
        <w:top w:val="none" w:sz="0" w:space="0" w:color="auto"/>
        <w:left w:val="none" w:sz="0" w:space="0" w:color="auto"/>
        <w:bottom w:val="none" w:sz="0" w:space="0" w:color="auto"/>
        <w:right w:val="none" w:sz="0" w:space="0" w:color="auto"/>
      </w:divBdr>
    </w:div>
    <w:div w:id="134563538">
      <w:bodyDiv w:val="1"/>
      <w:marLeft w:val="0"/>
      <w:marRight w:val="0"/>
      <w:marTop w:val="0"/>
      <w:marBottom w:val="0"/>
      <w:divBdr>
        <w:top w:val="none" w:sz="0" w:space="0" w:color="auto"/>
        <w:left w:val="none" w:sz="0" w:space="0" w:color="auto"/>
        <w:bottom w:val="none" w:sz="0" w:space="0" w:color="auto"/>
        <w:right w:val="none" w:sz="0" w:space="0" w:color="auto"/>
      </w:divBdr>
    </w:div>
    <w:div w:id="141511475">
      <w:bodyDiv w:val="1"/>
      <w:marLeft w:val="0"/>
      <w:marRight w:val="0"/>
      <w:marTop w:val="0"/>
      <w:marBottom w:val="0"/>
      <w:divBdr>
        <w:top w:val="none" w:sz="0" w:space="0" w:color="auto"/>
        <w:left w:val="none" w:sz="0" w:space="0" w:color="auto"/>
        <w:bottom w:val="none" w:sz="0" w:space="0" w:color="auto"/>
        <w:right w:val="none" w:sz="0" w:space="0" w:color="auto"/>
      </w:divBdr>
    </w:div>
    <w:div w:id="147138689">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4589166">
      <w:bodyDiv w:val="1"/>
      <w:marLeft w:val="0"/>
      <w:marRight w:val="0"/>
      <w:marTop w:val="0"/>
      <w:marBottom w:val="0"/>
      <w:divBdr>
        <w:top w:val="none" w:sz="0" w:space="0" w:color="auto"/>
        <w:left w:val="none" w:sz="0" w:space="0" w:color="auto"/>
        <w:bottom w:val="none" w:sz="0" w:space="0" w:color="auto"/>
        <w:right w:val="none" w:sz="0" w:space="0" w:color="auto"/>
      </w:divBdr>
    </w:div>
    <w:div w:id="168982087">
      <w:bodyDiv w:val="1"/>
      <w:marLeft w:val="0"/>
      <w:marRight w:val="0"/>
      <w:marTop w:val="0"/>
      <w:marBottom w:val="0"/>
      <w:divBdr>
        <w:top w:val="none" w:sz="0" w:space="0" w:color="auto"/>
        <w:left w:val="none" w:sz="0" w:space="0" w:color="auto"/>
        <w:bottom w:val="none" w:sz="0" w:space="0" w:color="auto"/>
        <w:right w:val="none" w:sz="0" w:space="0" w:color="auto"/>
      </w:divBdr>
    </w:div>
    <w:div w:id="193883346">
      <w:bodyDiv w:val="1"/>
      <w:marLeft w:val="0"/>
      <w:marRight w:val="0"/>
      <w:marTop w:val="0"/>
      <w:marBottom w:val="0"/>
      <w:divBdr>
        <w:top w:val="none" w:sz="0" w:space="0" w:color="auto"/>
        <w:left w:val="none" w:sz="0" w:space="0" w:color="auto"/>
        <w:bottom w:val="none" w:sz="0" w:space="0" w:color="auto"/>
        <w:right w:val="none" w:sz="0" w:space="0" w:color="auto"/>
      </w:divBdr>
    </w:div>
    <w:div w:id="194540066">
      <w:bodyDiv w:val="1"/>
      <w:marLeft w:val="0"/>
      <w:marRight w:val="0"/>
      <w:marTop w:val="0"/>
      <w:marBottom w:val="0"/>
      <w:divBdr>
        <w:top w:val="none" w:sz="0" w:space="0" w:color="auto"/>
        <w:left w:val="none" w:sz="0" w:space="0" w:color="auto"/>
        <w:bottom w:val="none" w:sz="0" w:space="0" w:color="auto"/>
        <w:right w:val="none" w:sz="0" w:space="0" w:color="auto"/>
      </w:divBdr>
    </w:div>
    <w:div w:id="210963000">
      <w:bodyDiv w:val="1"/>
      <w:marLeft w:val="0"/>
      <w:marRight w:val="0"/>
      <w:marTop w:val="0"/>
      <w:marBottom w:val="0"/>
      <w:divBdr>
        <w:top w:val="none" w:sz="0" w:space="0" w:color="auto"/>
        <w:left w:val="none" w:sz="0" w:space="0" w:color="auto"/>
        <w:bottom w:val="none" w:sz="0" w:space="0" w:color="auto"/>
        <w:right w:val="none" w:sz="0" w:space="0" w:color="auto"/>
      </w:divBdr>
    </w:div>
    <w:div w:id="220747621">
      <w:bodyDiv w:val="1"/>
      <w:marLeft w:val="0"/>
      <w:marRight w:val="0"/>
      <w:marTop w:val="0"/>
      <w:marBottom w:val="0"/>
      <w:divBdr>
        <w:top w:val="none" w:sz="0" w:space="0" w:color="auto"/>
        <w:left w:val="none" w:sz="0" w:space="0" w:color="auto"/>
        <w:bottom w:val="none" w:sz="0" w:space="0" w:color="auto"/>
        <w:right w:val="none" w:sz="0" w:space="0" w:color="auto"/>
      </w:divBdr>
    </w:div>
    <w:div w:id="232276504">
      <w:bodyDiv w:val="1"/>
      <w:marLeft w:val="0"/>
      <w:marRight w:val="0"/>
      <w:marTop w:val="0"/>
      <w:marBottom w:val="0"/>
      <w:divBdr>
        <w:top w:val="none" w:sz="0" w:space="0" w:color="auto"/>
        <w:left w:val="none" w:sz="0" w:space="0" w:color="auto"/>
        <w:bottom w:val="none" w:sz="0" w:space="0" w:color="auto"/>
        <w:right w:val="none" w:sz="0" w:space="0" w:color="auto"/>
      </w:divBdr>
    </w:div>
    <w:div w:id="234626479">
      <w:bodyDiv w:val="1"/>
      <w:marLeft w:val="0"/>
      <w:marRight w:val="0"/>
      <w:marTop w:val="0"/>
      <w:marBottom w:val="0"/>
      <w:divBdr>
        <w:top w:val="none" w:sz="0" w:space="0" w:color="auto"/>
        <w:left w:val="none" w:sz="0" w:space="0" w:color="auto"/>
        <w:bottom w:val="none" w:sz="0" w:space="0" w:color="auto"/>
        <w:right w:val="none" w:sz="0" w:space="0" w:color="auto"/>
      </w:divBdr>
    </w:div>
    <w:div w:id="243532169">
      <w:bodyDiv w:val="1"/>
      <w:marLeft w:val="0"/>
      <w:marRight w:val="0"/>
      <w:marTop w:val="0"/>
      <w:marBottom w:val="0"/>
      <w:divBdr>
        <w:top w:val="none" w:sz="0" w:space="0" w:color="auto"/>
        <w:left w:val="none" w:sz="0" w:space="0" w:color="auto"/>
        <w:bottom w:val="none" w:sz="0" w:space="0" w:color="auto"/>
        <w:right w:val="none" w:sz="0" w:space="0" w:color="auto"/>
      </w:divBdr>
    </w:div>
    <w:div w:id="243611413">
      <w:bodyDiv w:val="1"/>
      <w:marLeft w:val="0"/>
      <w:marRight w:val="0"/>
      <w:marTop w:val="0"/>
      <w:marBottom w:val="0"/>
      <w:divBdr>
        <w:top w:val="none" w:sz="0" w:space="0" w:color="auto"/>
        <w:left w:val="none" w:sz="0" w:space="0" w:color="auto"/>
        <w:bottom w:val="none" w:sz="0" w:space="0" w:color="auto"/>
        <w:right w:val="none" w:sz="0" w:space="0" w:color="auto"/>
      </w:divBdr>
    </w:div>
    <w:div w:id="269901304">
      <w:bodyDiv w:val="1"/>
      <w:marLeft w:val="0"/>
      <w:marRight w:val="0"/>
      <w:marTop w:val="0"/>
      <w:marBottom w:val="0"/>
      <w:divBdr>
        <w:top w:val="none" w:sz="0" w:space="0" w:color="auto"/>
        <w:left w:val="none" w:sz="0" w:space="0" w:color="auto"/>
        <w:bottom w:val="none" w:sz="0" w:space="0" w:color="auto"/>
        <w:right w:val="none" w:sz="0" w:space="0" w:color="auto"/>
      </w:divBdr>
    </w:div>
    <w:div w:id="276521734">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828300">
      <w:bodyDiv w:val="1"/>
      <w:marLeft w:val="0"/>
      <w:marRight w:val="0"/>
      <w:marTop w:val="0"/>
      <w:marBottom w:val="0"/>
      <w:divBdr>
        <w:top w:val="none" w:sz="0" w:space="0" w:color="auto"/>
        <w:left w:val="none" w:sz="0" w:space="0" w:color="auto"/>
        <w:bottom w:val="none" w:sz="0" w:space="0" w:color="auto"/>
        <w:right w:val="none" w:sz="0" w:space="0" w:color="auto"/>
      </w:divBdr>
    </w:div>
    <w:div w:id="299700615">
      <w:bodyDiv w:val="1"/>
      <w:marLeft w:val="0"/>
      <w:marRight w:val="0"/>
      <w:marTop w:val="0"/>
      <w:marBottom w:val="0"/>
      <w:divBdr>
        <w:top w:val="none" w:sz="0" w:space="0" w:color="auto"/>
        <w:left w:val="none" w:sz="0" w:space="0" w:color="auto"/>
        <w:bottom w:val="none" w:sz="0" w:space="0" w:color="auto"/>
        <w:right w:val="none" w:sz="0" w:space="0" w:color="auto"/>
      </w:divBdr>
    </w:div>
    <w:div w:id="304087507">
      <w:bodyDiv w:val="1"/>
      <w:marLeft w:val="0"/>
      <w:marRight w:val="0"/>
      <w:marTop w:val="0"/>
      <w:marBottom w:val="0"/>
      <w:divBdr>
        <w:top w:val="none" w:sz="0" w:space="0" w:color="auto"/>
        <w:left w:val="none" w:sz="0" w:space="0" w:color="auto"/>
        <w:bottom w:val="none" w:sz="0" w:space="0" w:color="auto"/>
        <w:right w:val="none" w:sz="0" w:space="0" w:color="auto"/>
      </w:divBdr>
    </w:div>
    <w:div w:id="360205213">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98863386">
      <w:bodyDiv w:val="1"/>
      <w:marLeft w:val="0"/>
      <w:marRight w:val="0"/>
      <w:marTop w:val="0"/>
      <w:marBottom w:val="0"/>
      <w:divBdr>
        <w:top w:val="none" w:sz="0" w:space="0" w:color="auto"/>
        <w:left w:val="none" w:sz="0" w:space="0" w:color="auto"/>
        <w:bottom w:val="none" w:sz="0" w:space="0" w:color="auto"/>
        <w:right w:val="none" w:sz="0" w:space="0" w:color="auto"/>
      </w:divBdr>
    </w:div>
    <w:div w:id="402071618">
      <w:bodyDiv w:val="1"/>
      <w:marLeft w:val="0"/>
      <w:marRight w:val="0"/>
      <w:marTop w:val="0"/>
      <w:marBottom w:val="0"/>
      <w:divBdr>
        <w:top w:val="none" w:sz="0" w:space="0" w:color="auto"/>
        <w:left w:val="none" w:sz="0" w:space="0" w:color="auto"/>
        <w:bottom w:val="none" w:sz="0" w:space="0" w:color="auto"/>
        <w:right w:val="none" w:sz="0" w:space="0" w:color="auto"/>
      </w:divBdr>
    </w:div>
    <w:div w:id="433945397">
      <w:bodyDiv w:val="1"/>
      <w:marLeft w:val="0"/>
      <w:marRight w:val="0"/>
      <w:marTop w:val="0"/>
      <w:marBottom w:val="0"/>
      <w:divBdr>
        <w:top w:val="none" w:sz="0" w:space="0" w:color="auto"/>
        <w:left w:val="none" w:sz="0" w:space="0" w:color="auto"/>
        <w:bottom w:val="none" w:sz="0" w:space="0" w:color="auto"/>
        <w:right w:val="none" w:sz="0" w:space="0" w:color="auto"/>
      </w:divBdr>
    </w:div>
    <w:div w:id="435752206">
      <w:bodyDiv w:val="1"/>
      <w:marLeft w:val="0"/>
      <w:marRight w:val="0"/>
      <w:marTop w:val="0"/>
      <w:marBottom w:val="0"/>
      <w:divBdr>
        <w:top w:val="none" w:sz="0" w:space="0" w:color="auto"/>
        <w:left w:val="none" w:sz="0" w:space="0" w:color="auto"/>
        <w:bottom w:val="none" w:sz="0" w:space="0" w:color="auto"/>
        <w:right w:val="none" w:sz="0" w:space="0" w:color="auto"/>
      </w:divBdr>
    </w:div>
    <w:div w:id="441725421">
      <w:bodyDiv w:val="1"/>
      <w:marLeft w:val="0"/>
      <w:marRight w:val="0"/>
      <w:marTop w:val="0"/>
      <w:marBottom w:val="0"/>
      <w:divBdr>
        <w:top w:val="none" w:sz="0" w:space="0" w:color="auto"/>
        <w:left w:val="none" w:sz="0" w:space="0" w:color="auto"/>
        <w:bottom w:val="none" w:sz="0" w:space="0" w:color="auto"/>
        <w:right w:val="none" w:sz="0" w:space="0" w:color="auto"/>
      </w:divBdr>
    </w:div>
    <w:div w:id="455030191">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3351800">
      <w:bodyDiv w:val="1"/>
      <w:marLeft w:val="0"/>
      <w:marRight w:val="0"/>
      <w:marTop w:val="0"/>
      <w:marBottom w:val="0"/>
      <w:divBdr>
        <w:top w:val="none" w:sz="0" w:space="0" w:color="auto"/>
        <w:left w:val="none" w:sz="0" w:space="0" w:color="auto"/>
        <w:bottom w:val="none" w:sz="0" w:space="0" w:color="auto"/>
        <w:right w:val="none" w:sz="0" w:space="0" w:color="auto"/>
      </w:divBdr>
    </w:div>
    <w:div w:id="466893733">
      <w:bodyDiv w:val="1"/>
      <w:marLeft w:val="0"/>
      <w:marRight w:val="0"/>
      <w:marTop w:val="0"/>
      <w:marBottom w:val="0"/>
      <w:divBdr>
        <w:top w:val="none" w:sz="0" w:space="0" w:color="auto"/>
        <w:left w:val="none" w:sz="0" w:space="0" w:color="auto"/>
        <w:bottom w:val="none" w:sz="0" w:space="0" w:color="auto"/>
        <w:right w:val="none" w:sz="0" w:space="0" w:color="auto"/>
      </w:divBdr>
    </w:div>
    <w:div w:id="468787444">
      <w:bodyDiv w:val="1"/>
      <w:marLeft w:val="0"/>
      <w:marRight w:val="0"/>
      <w:marTop w:val="0"/>
      <w:marBottom w:val="0"/>
      <w:divBdr>
        <w:top w:val="none" w:sz="0" w:space="0" w:color="auto"/>
        <w:left w:val="none" w:sz="0" w:space="0" w:color="auto"/>
        <w:bottom w:val="none" w:sz="0" w:space="0" w:color="auto"/>
        <w:right w:val="none" w:sz="0" w:space="0" w:color="auto"/>
      </w:divBdr>
    </w:div>
    <w:div w:id="471023624">
      <w:bodyDiv w:val="1"/>
      <w:marLeft w:val="0"/>
      <w:marRight w:val="0"/>
      <w:marTop w:val="0"/>
      <w:marBottom w:val="0"/>
      <w:divBdr>
        <w:top w:val="none" w:sz="0" w:space="0" w:color="auto"/>
        <w:left w:val="none" w:sz="0" w:space="0" w:color="auto"/>
        <w:bottom w:val="none" w:sz="0" w:space="0" w:color="auto"/>
        <w:right w:val="none" w:sz="0" w:space="0" w:color="auto"/>
      </w:divBdr>
    </w:div>
    <w:div w:id="474686195">
      <w:bodyDiv w:val="1"/>
      <w:marLeft w:val="0"/>
      <w:marRight w:val="0"/>
      <w:marTop w:val="0"/>
      <w:marBottom w:val="0"/>
      <w:divBdr>
        <w:top w:val="none" w:sz="0" w:space="0" w:color="auto"/>
        <w:left w:val="none" w:sz="0" w:space="0" w:color="auto"/>
        <w:bottom w:val="none" w:sz="0" w:space="0" w:color="auto"/>
        <w:right w:val="none" w:sz="0" w:space="0" w:color="auto"/>
      </w:divBdr>
    </w:div>
    <w:div w:id="476999031">
      <w:bodyDiv w:val="1"/>
      <w:marLeft w:val="0"/>
      <w:marRight w:val="0"/>
      <w:marTop w:val="0"/>
      <w:marBottom w:val="0"/>
      <w:divBdr>
        <w:top w:val="none" w:sz="0" w:space="0" w:color="auto"/>
        <w:left w:val="none" w:sz="0" w:space="0" w:color="auto"/>
        <w:bottom w:val="none" w:sz="0" w:space="0" w:color="auto"/>
        <w:right w:val="none" w:sz="0" w:space="0" w:color="auto"/>
      </w:divBdr>
    </w:div>
    <w:div w:id="492381667">
      <w:bodyDiv w:val="1"/>
      <w:marLeft w:val="0"/>
      <w:marRight w:val="0"/>
      <w:marTop w:val="0"/>
      <w:marBottom w:val="0"/>
      <w:divBdr>
        <w:top w:val="none" w:sz="0" w:space="0" w:color="auto"/>
        <w:left w:val="none" w:sz="0" w:space="0" w:color="auto"/>
        <w:bottom w:val="none" w:sz="0" w:space="0" w:color="auto"/>
        <w:right w:val="none" w:sz="0" w:space="0" w:color="auto"/>
      </w:divBdr>
    </w:div>
    <w:div w:id="494534818">
      <w:bodyDiv w:val="1"/>
      <w:marLeft w:val="0"/>
      <w:marRight w:val="0"/>
      <w:marTop w:val="0"/>
      <w:marBottom w:val="0"/>
      <w:divBdr>
        <w:top w:val="none" w:sz="0" w:space="0" w:color="auto"/>
        <w:left w:val="none" w:sz="0" w:space="0" w:color="auto"/>
        <w:bottom w:val="none" w:sz="0" w:space="0" w:color="auto"/>
        <w:right w:val="none" w:sz="0" w:space="0" w:color="auto"/>
      </w:divBdr>
    </w:div>
    <w:div w:id="510416691">
      <w:bodyDiv w:val="1"/>
      <w:marLeft w:val="0"/>
      <w:marRight w:val="0"/>
      <w:marTop w:val="0"/>
      <w:marBottom w:val="0"/>
      <w:divBdr>
        <w:top w:val="none" w:sz="0" w:space="0" w:color="auto"/>
        <w:left w:val="none" w:sz="0" w:space="0" w:color="auto"/>
        <w:bottom w:val="none" w:sz="0" w:space="0" w:color="auto"/>
        <w:right w:val="none" w:sz="0" w:space="0" w:color="auto"/>
      </w:divBdr>
    </w:div>
    <w:div w:id="530263583">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2231410">
      <w:bodyDiv w:val="1"/>
      <w:marLeft w:val="0"/>
      <w:marRight w:val="0"/>
      <w:marTop w:val="0"/>
      <w:marBottom w:val="0"/>
      <w:divBdr>
        <w:top w:val="none" w:sz="0" w:space="0" w:color="auto"/>
        <w:left w:val="none" w:sz="0" w:space="0" w:color="auto"/>
        <w:bottom w:val="none" w:sz="0" w:space="0" w:color="auto"/>
        <w:right w:val="none" w:sz="0" w:space="0" w:color="auto"/>
      </w:divBdr>
    </w:div>
    <w:div w:id="564293494">
      <w:bodyDiv w:val="1"/>
      <w:marLeft w:val="0"/>
      <w:marRight w:val="0"/>
      <w:marTop w:val="0"/>
      <w:marBottom w:val="0"/>
      <w:divBdr>
        <w:top w:val="none" w:sz="0" w:space="0" w:color="auto"/>
        <w:left w:val="none" w:sz="0" w:space="0" w:color="auto"/>
        <w:bottom w:val="none" w:sz="0" w:space="0" w:color="auto"/>
        <w:right w:val="none" w:sz="0" w:space="0" w:color="auto"/>
      </w:divBdr>
    </w:div>
    <w:div w:id="568687626">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79797886">
      <w:bodyDiv w:val="1"/>
      <w:marLeft w:val="0"/>
      <w:marRight w:val="0"/>
      <w:marTop w:val="0"/>
      <w:marBottom w:val="0"/>
      <w:divBdr>
        <w:top w:val="none" w:sz="0" w:space="0" w:color="auto"/>
        <w:left w:val="none" w:sz="0" w:space="0" w:color="auto"/>
        <w:bottom w:val="none" w:sz="0" w:space="0" w:color="auto"/>
        <w:right w:val="none" w:sz="0" w:space="0" w:color="auto"/>
      </w:divBdr>
    </w:div>
    <w:div w:id="596331798">
      <w:bodyDiv w:val="1"/>
      <w:marLeft w:val="0"/>
      <w:marRight w:val="0"/>
      <w:marTop w:val="0"/>
      <w:marBottom w:val="0"/>
      <w:divBdr>
        <w:top w:val="none" w:sz="0" w:space="0" w:color="auto"/>
        <w:left w:val="none" w:sz="0" w:space="0" w:color="auto"/>
        <w:bottom w:val="none" w:sz="0" w:space="0" w:color="auto"/>
        <w:right w:val="none" w:sz="0" w:space="0" w:color="auto"/>
      </w:divBdr>
    </w:div>
    <w:div w:id="602761603">
      <w:bodyDiv w:val="1"/>
      <w:marLeft w:val="0"/>
      <w:marRight w:val="0"/>
      <w:marTop w:val="0"/>
      <w:marBottom w:val="0"/>
      <w:divBdr>
        <w:top w:val="none" w:sz="0" w:space="0" w:color="auto"/>
        <w:left w:val="none" w:sz="0" w:space="0" w:color="auto"/>
        <w:bottom w:val="none" w:sz="0" w:space="0" w:color="auto"/>
        <w:right w:val="none" w:sz="0" w:space="0" w:color="auto"/>
      </w:divBdr>
    </w:div>
    <w:div w:id="615523593">
      <w:bodyDiv w:val="1"/>
      <w:marLeft w:val="0"/>
      <w:marRight w:val="0"/>
      <w:marTop w:val="0"/>
      <w:marBottom w:val="0"/>
      <w:divBdr>
        <w:top w:val="none" w:sz="0" w:space="0" w:color="auto"/>
        <w:left w:val="none" w:sz="0" w:space="0" w:color="auto"/>
        <w:bottom w:val="none" w:sz="0" w:space="0" w:color="auto"/>
        <w:right w:val="none" w:sz="0" w:space="0" w:color="auto"/>
      </w:divBdr>
    </w:div>
    <w:div w:id="637875873">
      <w:bodyDiv w:val="1"/>
      <w:marLeft w:val="0"/>
      <w:marRight w:val="0"/>
      <w:marTop w:val="0"/>
      <w:marBottom w:val="0"/>
      <w:divBdr>
        <w:top w:val="none" w:sz="0" w:space="0" w:color="auto"/>
        <w:left w:val="none" w:sz="0" w:space="0" w:color="auto"/>
        <w:bottom w:val="none" w:sz="0" w:space="0" w:color="auto"/>
        <w:right w:val="none" w:sz="0" w:space="0" w:color="auto"/>
      </w:divBdr>
    </w:div>
    <w:div w:id="640811695">
      <w:bodyDiv w:val="1"/>
      <w:marLeft w:val="0"/>
      <w:marRight w:val="0"/>
      <w:marTop w:val="0"/>
      <w:marBottom w:val="0"/>
      <w:divBdr>
        <w:top w:val="none" w:sz="0" w:space="0" w:color="auto"/>
        <w:left w:val="none" w:sz="0" w:space="0" w:color="auto"/>
        <w:bottom w:val="none" w:sz="0" w:space="0" w:color="auto"/>
        <w:right w:val="none" w:sz="0" w:space="0" w:color="auto"/>
      </w:divBdr>
    </w:div>
    <w:div w:id="650869484">
      <w:bodyDiv w:val="1"/>
      <w:marLeft w:val="0"/>
      <w:marRight w:val="0"/>
      <w:marTop w:val="0"/>
      <w:marBottom w:val="0"/>
      <w:divBdr>
        <w:top w:val="none" w:sz="0" w:space="0" w:color="auto"/>
        <w:left w:val="none" w:sz="0" w:space="0" w:color="auto"/>
        <w:bottom w:val="none" w:sz="0" w:space="0" w:color="auto"/>
        <w:right w:val="none" w:sz="0" w:space="0" w:color="auto"/>
      </w:divBdr>
    </w:div>
    <w:div w:id="664824263">
      <w:bodyDiv w:val="1"/>
      <w:marLeft w:val="0"/>
      <w:marRight w:val="0"/>
      <w:marTop w:val="0"/>
      <w:marBottom w:val="0"/>
      <w:divBdr>
        <w:top w:val="none" w:sz="0" w:space="0" w:color="auto"/>
        <w:left w:val="none" w:sz="0" w:space="0" w:color="auto"/>
        <w:bottom w:val="none" w:sz="0" w:space="0" w:color="auto"/>
        <w:right w:val="none" w:sz="0" w:space="0" w:color="auto"/>
      </w:divBdr>
    </w:div>
    <w:div w:id="671562971">
      <w:bodyDiv w:val="1"/>
      <w:marLeft w:val="0"/>
      <w:marRight w:val="0"/>
      <w:marTop w:val="0"/>
      <w:marBottom w:val="0"/>
      <w:divBdr>
        <w:top w:val="none" w:sz="0" w:space="0" w:color="auto"/>
        <w:left w:val="none" w:sz="0" w:space="0" w:color="auto"/>
        <w:bottom w:val="none" w:sz="0" w:space="0" w:color="auto"/>
        <w:right w:val="none" w:sz="0" w:space="0" w:color="auto"/>
      </w:divBdr>
    </w:div>
    <w:div w:id="673843469">
      <w:bodyDiv w:val="1"/>
      <w:marLeft w:val="0"/>
      <w:marRight w:val="0"/>
      <w:marTop w:val="0"/>
      <w:marBottom w:val="0"/>
      <w:divBdr>
        <w:top w:val="none" w:sz="0" w:space="0" w:color="auto"/>
        <w:left w:val="none" w:sz="0" w:space="0" w:color="auto"/>
        <w:bottom w:val="none" w:sz="0" w:space="0" w:color="auto"/>
        <w:right w:val="none" w:sz="0" w:space="0" w:color="auto"/>
      </w:divBdr>
    </w:div>
    <w:div w:id="678435836">
      <w:bodyDiv w:val="1"/>
      <w:marLeft w:val="0"/>
      <w:marRight w:val="0"/>
      <w:marTop w:val="0"/>
      <w:marBottom w:val="0"/>
      <w:divBdr>
        <w:top w:val="none" w:sz="0" w:space="0" w:color="auto"/>
        <w:left w:val="none" w:sz="0" w:space="0" w:color="auto"/>
        <w:bottom w:val="none" w:sz="0" w:space="0" w:color="auto"/>
        <w:right w:val="none" w:sz="0" w:space="0" w:color="auto"/>
      </w:divBdr>
    </w:div>
    <w:div w:id="692074593">
      <w:bodyDiv w:val="1"/>
      <w:marLeft w:val="0"/>
      <w:marRight w:val="0"/>
      <w:marTop w:val="0"/>
      <w:marBottom w:val="0"/>
      <w:divBdr>
        <w:top w:val="none" w:sz="0" w:space="0" w:color="auto"/>
        <w:left w:val="none" w:sz="0" w:space="0" w:color="auto"/>
        <w:bottom w:val="none" w:sz="0" w:space="0" w:color="auto"/>
        <w:right w:val="none" w:sz="0" w:space="0" w:color="auto"/>
      </w:divBdr>
    </w:div>
    <w:div w:id="715087753">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264371">
      <w:bodyDiv w:val="1"/>
      <w:marLeft w:val="0"/>
      <w:marRight w:val="0"/>
      <w:marTop w:val="0"/>
      <w:marBottom w:val="0"/>
      <w:divBdr>
        <w:top w:val="none" w:sz="0" w:space="0" w:color="auto"/>
        <w:left w:val="none" w:sz="0" w:space="0" w:color="auto"/>
        <w:bottom w:val="none" w:sz="0" w:space="0" w:color="auto"/>
        <w:right w:val="none" w:sz="0" w:space="0" w:color="auto"/>
      </w:divBdr>
    </w:div>
    <w:div w:id="737242764">
      <w:bodyDiv w:val="1"/>
      <w:marLeft w:val="0"/>
      <w:marRight w:val="0"/>
      <w:marTop w:val="0"/>
      <w:marBottom w:val="0"/>
      <w:divBdr>
        <w:top w:val="none" w:sz="0" w:space="0" w:color="auto"/>
        <w:left w:val="none" w:sz="0" w:space="0" w:color="auto"/>
        <w:bottom w:val="none" w:sz="0" w:space="0" w:color="auto"/>
        <w:right w:val="none" w:sz="0" w:space="0" w:color="auto"/>
      </w:divBdr>
    </w:div>
    <w:div w:id="741759129">
      <w:bodyDiv w:val="1"/>
      <w:marLeft w:val="0"/>
      <w:marRight w:val="0"/>
      <w:marTop w:val="0"/>
      <w:marBottom w:val="0"/>
      <w:divBdr>
        <w:top w:val="none" w:sz="0" w:space="0" w:color="auto"/>
        <w:left w:val="none" w:sz="0" w:space="0" w:color="auto"/>
        <w:bottom w:val="none" w:sz="0" w:space="0" w:color="auto"/>
        <w:right w:val="none" w:sz="0" w:space="0" w:color="auto"/>
      </w:divBdr>
    </w:div>
    <w:div w:id="778987053">
      <w:bodyDiv w:val="1"/>
      <w:marLeft w:val="0"/>
      <w:marRight w:val="0"/>
      <w:marTop w:val="0"/>
      <w:marBottom w:val="0"/>
      <w:divBdr>
        <w:top w:val="none" w:sz="0" w:space="0" w:color="auto"/>
        <w:left w:val="none" w:sz="0" w:space="0" w:color="auto"/>
        <w:bottom w:val="none" w:sz="0" w:space="0" w:color="auto"/>
        <w:right w:val="none" w:sz="0" w:space="0" w:color="auto"/>
      </w:divBdr>
    </w:div>
    <w:div w:id="779881684">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369891">
      <w:bodyDiv w:val="1"/>
      <w:marLeft w:val="0"/>
      <w:marRight w:val="0"/>
      <w:marTop w:val="0"/>
      <w:marBottom w:val="0"/>
      <w:divBdr>
        <w:top w:val="none" w:sz="0" w:space="0" w:color="auto"/>
        <w:left w:val="none" w:sz="0" w:space="0" w:color="auto"/>
        <w:bottom w:val="none" w:sz="0" w:space="0" w:color="auto"/>
        <w:right w:val="none" w:sz="0" w:space="0" w:color="auto"/>
      </w:divBdr>
    </w:div>
    <w:div w:id="802843910">
      <w:bodyDiv w:val="1"/>
      <w:marLeft w:val="0"/>
      <w:marRight w:val="0"/>
      <w:marTop w:val="0"/>
      <w:marBottom w:val="0"/>
      <w:divBdr>
        <w:top w:val="none" w:sz="0" w:space="0" w:color="auto"/>
        <w:left w:val="none" w:sz="0" w:space="0" w:color="auto"/>
        <w:bottom w:val="none" w:sz="0" w:space="0" w:color="auto"/>
        <w:right w:val="none" w:sz="0" w:space="0" w:color="auto"/>
      </w:divBdr>
    </w:div>
    <w:div w:id="806357396">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30172522">
      <w:bodyDiv w:val="1"/>
      <w:marLeft w:val="0"/>
      <w:marRight w:val="0"/>
      <w:marTop w:val="0"/>
      <w:marBottom w:val="0"/>
      <w:divBdr>
        <w:top w:val="none" w:sz="0" w:space="0" w:color="auto"/>
        <w:left w:val="none" w:sz="0" w:space="0" w:color="auto"/>
        <w:bottom w:val="none" w:sz="0" w:space="0" w:color="auto"/>
        <w:right w:val="none" w:sz="0" w:space="0" w:color="auto"/>
      </w:divBdr>
    </w:div>
    <w:div w:id="837040388">
      <w:bodyDiv w:val="1"/>
      <w:marLeft w:val="0"/>
      <w:marRight w:val="0"/>
      <w:marTop w:val="0"/>
      <w:marBottom w:val="0"/>
      <w:divBdr>
        <w:top w:val="none" w:sz="0" w:space="0" w:color="auto"/>
        <w:left w:val="none" w:sz="0" w:space="0" w:color="auto"/>
        <w:bottom w:val="none" w:sz="0" w:space="0" w:color="auto"/>
        <w:right w:val="none" w:sz="0" w:space="0" w:color="auto"/>
      </w:divBdr>
    </w:div>
    <w:div w:id="845747235">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5406820">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79122854">
      <w:bodyDiv w:val="1"/>
      <w:marLeft w:val="0"/>
      <w:marRight w:val="0"/>
      <w:marTop w:val="0"/>
      <w:marBottom w:val="0"/>
      <w:divBdr>
        <w:top w:val="none" w:sz="0" w:space="0" w:color="auto"/>
        <w:left w:val="none" w:sz="0" w:space="0" w:color="auto"/>
        <w:bottom w:val="none" w:sz="0" w:space="0" w:color="auto"/>
        <w:right w:val="none" w:sz="0" w:space="0" w:color="auto"/>
      </w:divBdr>
    </w:div>
    <w:div w:id="885723801">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250399">
      <w:bodyDiv w:val="1"/>
      <w:marLeft w:val="0"/>
      <w:marRight w:val="0"/>
      <w:marTop w:val="0"/>
      <w:marBottom w:val="0"/>
      <w:divBdr>
        <w:top w:val="none" w:sz="0" w:space="0" w:color="auto"/>
        <w:left w:val="none" w:sz="0" w:space="0" w:color="auto"/>
        <w:bottom w:val="none" w:sz="0" w:space="0" w:color="auto"/>
        <w:right w:val="none" w:sz="0" w:space="0" w:color="auto"/>
      </w:divBdr>
    </w:div>
    <w:div w:id="903877163">
      <w:bodyDiv w:val="1"/>
      <w:marLeft w:val="0"/>
      <w:marRight w:val="0"/>
      <w:marTop w:val="0"/>
      <w:marBottom w:val="0"/>
      <w:divBdr>
        <w:top w:val="none" w:sz="0" w:space="0" w:color="auto"/>
        <w:left w:val="none" w:sz="0" w:space="0" w:color="auto"/>
        <w:bottom w:val="none" w:sz="0" w:space="0" w:color="auto"/>
        <w:right w:val="none" w:sz="0" w:space="0" w:color="auto"/>
      </w:divBdr>
    </w:div>
    <w:div w:id="905337805">
      <w:bodyDiv w:val="1"/>
      <w:marLeft w:val="0"/>
      <w:marRight w:val="0"/>
      <w:marTop w:val="0"/>
      <w:marBottom w:val="0"/>
      <w:divBdr>
        <w:top w:val="none" w:sz="0" w:space="0" w:color="auto"/>
        <w:left w:val="none" w:sz="0" w:space="0" w:color="auto"/>
        <w:bottom w:val="none" w:sz="0" w:space="0" w:color="auto"/>
        <w:right w:val="none" w:sz="0" w:space="0" w:color="auto"/>
      </w:divBdr>
    </w:div>
    <w:div w:id="905529425">
      <w:bodyDiv w:val="1"/>
      <w:marLeft w:val="0"/>
      <w:marRight w:val="0"/>
      <w:marTop w:val="0"/>
      <w:marBottom w:val="0"/>
      <w:divBdr>
        <w:top w:val="none" w:sz="0" w:space="0" w:color="auto"/>
        <w:left w:val="none" w:sz="0" w:space="0" w:color="auto"/>
        <w:bottom w:val="none" w:sz="0" w:space="0" w:color="auto"/>
        <w:right w:val="none" w:sz="0" w:space="0" w:color="auto"/>
      </w:divBdr>
    </w:div>
    <w:div w:id="919368008">
      <w:bodyDiv w:val="1"/>
      <w:marLeft w:val="0"/>
      <w:marRight w:val="0"/>
      <w:marTop w:val="0"/>
      <w:marBottom w:val="0"/>
      <w:divBdr>
        <w:top w:val="none" w:sz="0" w:space="0" w:color="auto"/>
        <w:left w:val="none" w:sz="0" w:space="0" w:color="auto"/>
        <w:bottom w:val="none" w:sz="0" w:space="0" w:color="auto"/>
        <w:right w:val="none" w:sz="0" w:space="0" w:color="auto"/>
      </w:divBdr>
    </w:div>
    <w:div w:id="934479626">
      <w:bodyDiv w:val="1"/>
      <w:marLeft w:val="0"/>
      <w:marRight w:val="0"/>
      <w:marTop w:val="0"/>
      <w:marBottom w:val="0"/>
      <w:divBdr>
        <w:top w:val="none" w:sz="0" w:space="0" w:color="auto"/>
        <w:left w:val="none" w:sz="0" w:space="0" w:color="auto"/>
        <w:bottom w:val="none" w:sz="0" w:space="0" w:color="auto"/>
        <w:right w:val="none" w:sz="0" w:space="0" w:color="auto"/>
      </w:divBdr>
    </w:div>
    <w:div w:id="949046135">
      <w:bodyDiv w:val="1"/>
      <w:marLeft w:val="0"/>
      <w:marRight w:val="0"/>
      <w:marTop w:val="0"/>
      <w:marBottom w:val="0"/>
      <w:divBdr>
        <w:top w:val="none" w:sz="0" w:space="0" w:color="auto"/>
        <w:left w:val="none" w:sz="0" w:space="0" w:color="auto"/>
        <w:bottom w:val="none" w:sz="0" w:space="0" w:color="auto"/>
        <w:right w:val="none" w:sz="0" w:space="0" w:color="auto"/>
      </w:divBdr>
    </w:div>
    <w:div w:id="951127588">
      <w:bodyDiv w:val="1"/>
      <w:marLeft w:val="0"/>
      <w:marRight w:val="0"/>
      <w:marTop w:val="0"/>
      <w:marBottom w:val="0"/>
      <w:divBdr>
        <w:top w:val="none" w:sz="0" w:space="0" w:color="auto"/>
        <w:left w:val="none" w:sz="0" w:space="0" w:color="auto"/>
        <w:bottom w:val="none" w:sz="0" w:space="0" w:color="auto"/>
        <w:right w:val="none" w:sz="0" w:space="0" w:color="auto"/>
      </w:divBdr>
    </w:div>
    <w:div w:id="956136723">
      <w:bodyDiv w:val="1"/>
      <w:marLeft w:val="0"/>
      <w:marRight w:val="0"/>
      <w:marTop w:val="0"/>
      <w:marBottom w:val="0"/>
      <w:divBdr>
        <w:top w:val="none" w:sz="0" w:space="0" w:color="auto"/>
        <w:left w:val="none" w:sz="0" w:space="0" w:color="auto"/>
        <w:bottom w:val="none" w:sz="0" w:space="0" w:color="auto"/>
        <w:right w:val="none" w:sz="0" w:space="0" w:color="auto"/>
      </w:divBdr>
    </w:div>
    <w:div w:id="960307717">
      <w:bodyDiv w:val="1"/>
      <w:marLeft w:val="0"/>
      <w:marRight w:val="0"/>
      <w:marTop w:val="0"/>
      <w:marBottom w:val="0"/>
      <w:divBdr>
        <w:top w:val="none" w:sz="0" w:space="0" w:color="auto"/>
        <w:left w:val="none" w:sz="0" w:space="0" w:color="auto"/>
        <w:bottom w:val="none" w:sz="0" w:space="0" w:color="auto"/>
        <w:right w:val="none" w:sz="0" w:space="0" w:color="auto"/>
      </w:divBdr>
    </w:div>
    <w:div w:id="968513364">
      <w:bodyDiv w:val="1"/>
      <w:marLeft w:val="0"/>
      <w:marRight w:val="0"/>
      <w:marTop w:val="0"/>
      <w:marBottom w:val="0"/>
      <w:divBdr>
        <w:top w:val="none" w:sz="0" w:space="0" w:color="auto"/>
        <w:left w:val="none" w:sz="0" w:space="0" w:color="auto"/>
        <w:bottom w:val="none" w:sz="0" w:space="0" w:color="auto"/>
        <w:right w:val="none" w:sz="0" w:space="0" w:color="auto"/>
      </w:divBdr>
    </w:div>
    <w:div w:id="982153454">
      <w:bodyDiv w:val="1"/>
      <w:marLeft w:val="0"/>
      <w:marRight w:val="0"/>
      <w:marTop w:val="0"/>
      <w:marBottom w:val="0"/>
      <w:divBdr>
        <w:top w:val="none" w:sz="0" w:space="0" w:color="auto"/>
        <w:left w:val="none" w:sz="0" w:space="0" w:color="auto"/>
        <w:bottom w:val="none" w:sz="0" w:space="0" w:color="auto"/>
        <w:right w:val="none" w:sz="0" w:space="0" w:color="auto"/>
      </w:divBdr>
    </w:div>
    <w:div w:id="984286143">
      <w:bodyDiv w:val="1"/>
      <w:marLeft w:val="0"/>
      <w:marRight w:val="0"/>
      <w:marTop w:val="0"/>
      <w:marBottom w:val="0"/>
      <w:divBdr>
        <w:top w:val="none" w:sz="0" w:space="0" w:color="auto"/>
        <w:left w:val="none" w:sz="0" w:space="0" w:color="auto"/>
        <w:bottom w:val="none" w:sz="0" w:space="0" w:color="auto"/>
        <w:right w:val="none" w:sz="0" w:space="0" w:color="auto"/>
      </w:divBdr>
    </w:div>
    <w:div w:id="996808611">
      <w:bodyDiv w:val="1"/>
      <w:marLeft w:val="0"/>
      <w:marRight w:val="0"/>
      <w:marTop w:val="0"/>
      <w:marBottom w:val="0"/>
      <w:divBdr>
        <w:top w:val="none" w:sz="0" w:space="0" w:color="auto"/>
        <w:left w:val="none" w:sz="0" w:space="0" w:color="auto"/>
        <w:bottom w:val="none" w:sz="0" w:space="0" w:color="auto"/>
        <w:right w:val="none" w:sz="0" w:space="0" w:color="auto"/>
      </w:divBdr>
    </w:div>
    <w:div w:id="1002510381">
      <w:bodyDiv w:val="1"/>
      <w:marLeft w:val="0"/>
      <w:marRight w:val="0"/>
      <w:marTop w:val="0"/>
      <w:marBottom w:val="0"/>
      <w:divBdr>
        <w:top w:val="none" w:sz="0" w:space="0" w:color="auto"/>
        <w:left w:val="none" w:sz="0" w:space="0" w:color="auto"/>
        <w:bottom w:val="none" w:sz="0" w:space="0" w:color="auto"/>
        <w:right w:val="none" w:sz="0" w:space="0" w:color="auto"/>
      </w:divBdr>
    </w:div>
    <w:div w:id="1014529267">
      <w:bodyDiv w:val="1"/>
      <w:marLeft w:val="0"/>
      <w:marRight w:val="0"/>
      <w:marTop w:val="0"/>
      <w:marBottom w:val="0"/>
      <w:divBdr>
        <w:top w:val="none" w:sz="0" w:space="0" w:color="auto"/>
        <w:left w:val="none" w:sz="0" w:space="0" w:color="auto"/>
        <w:bottom w:val="none" w:sz="0" w:space="0" w:color="auto"/>
        <w:right w:val="none" w:sz="0" w:space="0" w:color="auto"/>
      </w:divBdr>
    </w:div>
    <w:div w:id="1027872152">
      <w:bodyDiv w:val="1"/>
      <w:marLeft w:val="0"/>
      <w:marRight w:val="0"/>
      <w:marTop w:val="0"/>
      <w:marBottom w:val="0"/>
      <w:divBdr>
        <w:top w:val="none" w:sz="0" w:space="0" w:color="auto"/>
        <w:left w:val="none" w:sz="0" w:space="0" w:color="auto"/>
        <w:bottom w:val="none" w:sz="0" w:space="0" w:color="auto"/>
        <w:right w:val="none" w:sz="0" w:space="0" w:color="auto"/>
      </w:divBdr>
    </w:div>
    <w:div w:id="1029332099">
      <w:bodyDiv w:val="1"/>
      <w:marLeft w:val="0"/>
      <w:marRight w:val="0"/>
      <w:marTop w:val="0"/>
      <w:marBottom w:val="0"/>
      <w:divBdr>
        <w:top w:val="none" w:sz="0" w:space="0" w:color="auto"/>
        <w:left w:val="none" w:sz="0" w:space="0" w:color="auto"/>
        <w:bottom w:val="none" w:sz="0" w:space="0" w:color="auto"/>
        <w:right w:val="none" w:sz="0" w:space="0" w:color="auto"/>
      </w:divBdr>
    </w:div>
    <w:div w:id="1037123753">
      <w:bodyDiv w:val="1"/>
      <w:marLeft w:val="0"/>
      <w:marRight w:val="0"/>
      <w:marTop w:val="0"/>
      <w:marBottom w:val="0"/>
      <w:divBdr>
        <w:top w:val="none" w:sz="0" w:space="0" w:color="auto"/>
        <w:left w:val="none" w:sz="0" w:space="0" w:color="auto"/>
        <w:bottom w:val="none" w:sz="0" w:space="0" w:color="auto"/>
        <w:right w:val="none" w:sz="0" w:space="0" w:color="auto"/>
      </w:divBdr>
    </w:div>
    <w:div w:id="1044406865">
      <w:bodyDiv w:val="1"/>
      <w:marLeft w:val="0"/>
      <w:marRight w:val="0"/>
      <w:marTop w:val="0"/>
      <w:marBottom w:val="0"/>
      <w:divBdr>
        <w:top w:val="none" w:sz="0" w:space="0" w:color="auto"/>
        <w:left w:val="none" w:sz="0" w:space="0" w:color="auto"/>
        <w:bottom w:val="none" w:sz="0" w:space="0" w:color="auto"/>
        <w:right w:val="none" w:sz="0" w:space="0" w:color="auto"/>
      </w:divBdr>
    </w:div>
    <w:div w:id="1045371277">
      <w:bodyDiv w:val="1"/>
      <w:marLeft w:val="0"/>
      <w:marRight w:val="0"/>
      <w:marTop w:val="0"/>
      <w:marBottom w:val="0"/>
      <w:divBdr>
        <w:top w:val="none" w:sz="0" w:space="0" w:color="auto"/>
        <w:left w:val="none" w:sz="0" w:space="0" w:color="auto"/>
        <w:bottom w:val="none" w:sz="0" w:space="0" w:color="auto"/>
        <w:right w:val="none" w:sz="0" w:space="0" w:color="auto"/>
      </w:divBdr>
    </w:div>
    <w:div w:id="1052003487">
      <w:bodyDiv w:val="1"/>
      <w:marLeft w:val="0"/>
      <w:marRight w:val="0"/>
      <w:marTop w:val="0"/>
      <w:marBottom w:val="0"/>
      <w:divBdr>
        <w:top w:val="none" w:sz="0" w:space="0" w:color="auto"/>
        <w:left w:val="none" w:sz="0" w:space="0" w:color="auto"/>
        <w:bottom w:val="none" w:sz="0" w:space="0" w:color="auto"/>
        <w:right w:val="none" w:sz="0" w:space="0" w:color="auto"/>
      </w:divBdr>
    </w:div>
    <w:div w:id="1054083542">
      <w:bodyDiv w:val="1"/>
      <w:marLeft w:val="0"/>
      <w:marRight w:val="0"/>
      <w:marTop w:val="0"/>
      <w:marBottom w:val="0"/>
      <w:divBdr>
        <w:top w:val="none" w:sz="0" w:space="0" w:color="auto"/>
        <w:left w:val="none" w:sz="0" w:space="0" w:color="auto"/>
        <w:bottom w:val="none" w:sz="0" w:space="0" w:color="auto"/>
        <w:right w:val="none" w:sz="0" w:space="0" w:color="auto"/>
      </w:divBdr>
    </w:div>
    <w:div w:id="1054278078">
      <w:bodyDiv w:val="1"/>
      <w:marLeft w:val="0"/>
      <w:marRight w:val="0"/>
      <w:marTop w:val="0"/>
      <w:marBottom w:val="0"/>
      <w:divBdr>
        <w:top w:val="none" w:sz="0" w:space="0" w:color="auto"/>
        <w:left w:val="none" w:sz="0" w:space="0" w:color="auto"/>
        <w:bottom w:val="none" w:sz="0" w:space="0" w:color="auto"/>
        <w:right w:val="none" w:sz="0" w:space="0" w:color="auto"/>
      </w:divBdr>
    </w:div>
    <w:div w:id="1060593648">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98209987">
      <w:bodyDiv w:val="1"/>
      <w:marLeft w:val="0"/>
      <w:marRight w:val="0"/>
      <w:marTop w:val="0"/>
      <w:marBottom w:val="0"/>
      <w:divBdr>
        <w:top w:val="none" w:sz="0" w:space="0" w:color="auto"/>
        <w:left w:val="none" w:sz="0" w:space="0" w:color="auto"/>
        <w:bottom w:val="none" w:sz="0" w:space="0" w:color="auto"/>
        <w:right w:val="none" w:sz="0" w:space="0" w:color="auto"/>
      </w:divBdr>
    </w:div>
    <w:div w:id="1110928890">
      <w:bodyDiv w:val="1"/>
      <w:marLeft w:val="0"/>
      <w:marRight w:val="0"/>
      <w:marTop w:val="0"/>
      <w:marBottom w:val="0"/>
      <w:divBdr>
        <w:top w:val="none" w:sz="0" w:space="0" w:color="auto"/>
        <w:left w:val="none" w:sz="0" w:space="0" w:color="auto"/>
        <w:bottom w:val="none" w:sz="0" w:space="0" w:color="auto"/>
        <w:right w:val="none" w:sz="0" w:space="0" w:color="auto"/>
      </w:divBdr>
    </w:div>
    <w:div w:id="1112750914">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34442394">
      <w:bodyDiv w:val="1"/>
      <w:marLeft w:val="0"/>
      <w:marRight w:val="0"/>
      <w:marTop w:val="0"/>
      <w:marBottom w:val="0"/>
      <w:divBdr>
        <w:top w:val="none" w:sz="0" w:space="0" w:color="auto"/>
        <w:left w:val="none" w:sz="0" w:space="0" w:color="auto"/>
        <w:bottom w:val="none" w:sz="0" w:space="0" w:color="auto"/>
        <w:right w:val="none" w:sz="0" w:space="0" w:color="auto"/>
      </w:divBdr>
    </w:div>
    <w:div w:id="1141380986">
      <w:bodyDiv w:val="1"/>
      <w:marLeft w:val="0"/>
      <w:marRight w:val="0"/>
      <w:marTop w:val="0"/>
      <w:marBottom w:val="0"/>
      <w:divBdr>
        <w:top w:val="none" w:sz="0" w:space="0" w:color="auto"/>
        <w:left w:val="none" w:sz="0" w:space="0" w:color="auto"/>
        <w:bottom w:val="none" w:sz="0" w:space="0" w:color="auto"/>
        <w:right w:val="none" w:sz="0" w:space="0" w:color="auto"/>
      </w:divBdr>
    </w:div>
    <w:div w:id="1154638125">
      <w:bodyDiv w:val="1"/>
      <w:marLeft w:val="0"/>
      <w:marRight w:val="0"/>
      <w:marTop w:val="0"/>
      <w:marBottom w:val="0"/>
      <w:divBdr>
        <w:top w:val="none" w:sz="0" w:space="0" w:color="auto"/>
        <w:left w:val="none" w:sz="0" w:space="0" w:color="auto"/>
        <w:bottom w:val="none" w:sz="0" w:space="0" w:color="auto"/>
        <w:right w:val="none" w:sz="0" w:space="0" w:color="auto"/>
      </w:divBdr>
    </w:div>
    <w:div w:id="1174343132">
      <w:bodyDiv w:val="1"/>
      <w:marLeft w:val="0"/>
      <w:marRight w:val="0"/>
      <w:marTop w:val="0"/>
      <w:marBottom w:val="0"/>
      <w:divBdr>
        <w:top w:val="none" w:sz="0" w:space="0" w:color="auto"/>
        <w:left w:val="none" w:sz="0" w:space="0" w:color="auto"/>
        <w:bottom w:val="none" w:sz="0" w:space="0" w:color="auto"/>
        <w:right w:val="none" w:sz="0" w:space="0" w:color="auto"/>
      </w:divBdr>
    </w:div>
    <w:div w:id="1185553944">
      <w:bodyDiv w:val="1"/>
      <w:marLeft w:val="0"/>
      <w:marRight w:val="0"/>
      <w:marTop w:val="0"/>
      <w:marBottom w:val="0"/>
      <w:divBdr>
        <w:top w:val="none" w:sz="0" w:space="0" w:color="auto"/>
        <w:left w:val="none" w:sz="0" w:space="0" w:color="auto"/>
        <w:bottom w:val="none" w:sz="0" w:space="0" w:color="auto"/>
        <w:right w:val="none" w:sz="0" w:space="0" w:color="auto"/>
      </w:divBdr>
    </w:div>
    <w:div w:id="1192961824">
      <w:bodyDiv w:val="1"/>
      <w:marLeft w:val="0"/>
      <w:marRight w:val="0"/>
      <w:marTop w:val="0"/>
      <w:marBottom w:val="0"/>
      <w:divBdr>
        <w:top w:val="none" w:sz="0" w:space="0" w:color="auto"/>
        <w:left w:val="none" w:sz="0" w:space="0" w:color="auto"/>
        <w:bottom w:val="none" w:sz="0" w:space="0" w:color="auto"/>
        <w:right w:val="none" w:sz="0" w:space="0" w:color="auto"/>
      </w:divBdr>
    </w:div>
    <w:div w:id="1194264557">
      <w:bodyDiv w:val="1"/>
      <w:marLeft w:val="0"/>
      <w:marRight w:val="0"/>
      <w:marTop w:val="0"/>
      <w:marBottom w:val="0"/>
      <w:divBdr>
        <w:top w:val="none" w:sz="0" w:space="0" w:color="auto"/>
        <w:left w:val="none" w:sz="0" w:space="0" w:color="auto"/>
        <w:bottom w:val="none" w:sz="0" w:space="0" w:color="auto"/>
        <w:right w:val="none" w:sz="0" w:space="0" w:color="auto"/>
      </w:divBdr>
    </w:div>
    <w:div w:id="1198158177">
      <w:bodyDiv w:val="1"/>
      <w:marLeft w:val="0"/>
      <w:marRight w:val="0"/>
      <w:marTop w:val="0"/>
      <w:marBottom w:val="0"/>
      <w:divBdr>
        <w:top w:val="none" w:sz="0" w:space="0" w:color="auto"/>
        <w:left w:val="none" w:sz="0" w:space="0" w:color="auto"/>
        <w:bottom w:val="none" w:sz="0" w:space="0" w:color="auto"/>
        <w:right w:val="none" w:sz="0" w:space="0" w:color="auto"/>
      </w:divBdr>
    </w:div>
    <w:div w:id="1203055304">
      <w:bodyDiv w:val="1"/>
      <w:marLeft w:val="0"/>
      <w:marRight w:val="0"/>
      <w:marTop w:val="0"/>
      <w:marBottom w:val="0"/>
      <w:divBdr>
        <w:top w:val="none" w:sz="0" w:space="0" w:color="auto"/>
        <w:left w:val="none" w:sz="0" w:space="0" w:color="auto"/>
        <w:bottom w:val="none" w:sz="0" w:space="0" w:color="auto"/>
        <w:right w:val="none" w:sz="0" w:space="0" w:color="auto"/>
      </w:divBdr>
    </w:div>
    <w:div w:id="1212300744">
      <w:bodyDiv w:val="1"/>
      <w:marLeft w:val="0"/>
      <w:marRight w:val="0"/>
      <w:marTop w:val="0"/>
      <w:marBottom w:val="0"/>
      <w:divBdr>
        <w:top w:val="none" w:sz="0" w:space="0" w:color="auto"/>
        <w:left w:val="none" w:sz="0" w:space="0" w:color="auto"/>
        <w:bottom w:val="none" w:sz="0" w:space="0" w:color="auto"/>
        <w:right w:val="none" w:sz="0" w:space="0" w:color="auto"/>
      </w:divBdr>
    </w:div>
    <w:div w:id="1225680921">
      <w:bodyDiv w:val="1"/>
      <w:marLeft w:val="0"/>
      <w:marRight w:val="0"/>
      <w:marTop w:val="0"/>
      <w:marBottom w:val="0"/>
      <w:divBdr>
        <w:top w:val="none" w:sz="0" w:space="0" w:color="auto"/>
        <w:left w:val="none" w:sz="0" w:space="0" w:color="auto"/>
        <w:bottom w:val="none" w:sz="0" w:space="0" w:color="auto"/>
        <w:right w:val="none" w:sz="0" w:space="0" w:color="auto"/>
      </w:divBdr>
    </w:div>
    <w:div w:id="1256012589">
      <w:bodyDiv w:val="1"/>
      <w:marLeft w:val="0"/>
      <w:marRight w:val="0"/>
      <w:marTop w:val="0"/>
      <w:marBottom w:val="0"/>
      <w:divBdr>
        <w:top w:val="none" w:sz="0" w:space="0" w:color="auto"/>
        <w:left w:val="none" w:sz="0" w:space="0" w:color="auto"/>
        <w:bottom w:val="none" w:sz="0" w:space="0" w:color="auto"/>
        <w:right w:val="none" w:sz="0" w:space="0" w:color="auto"/>
      </w:divBdr>
    </w:div>
    <w:div w:id="1260679531">
      <w:bodyDiv w:val="1"/>
      <w:marLeft w:val="0"/>
      <w:marRight w:val="0"/>
      <w:marTop w:val="0"/>
      <w:marBottom w:val="0"/>
      <w:divBdr>
        <w:top w:val="none" w:sz="0" w:space="0" w:color="auto"/>
        <w:left w:val="none" w:sz="0" w:space="0" w:color="auto"/>
        <w:bottom w:val="none" w:sz="0" w:space="0" w:color="auto"/>
        <w:right w:val="none" w:sz="0" w:space="0" w:color="auto"/>
      </w:divBdr>
    </w:div>
    <w:div w:id="1264991395">
      <w:bodyDiv w:val="1"/>
      <w:marLeft w:val="0"/>
      <w:marRight w:val="0"/>
      <w:marTop w:val="0"/>
      <w:marBottom w:val="0"/>
      <w:divBdr>
        <w:top w:val="none" w:sz="0" w:space="0" w:color="auto"/>
        <w:left w:val="none" w:sz="0" w:space="0" w:color="auto"/>
        <w:bottom w:val="none" w:sz="0" w:space="0" w:color="auto"/>
        <w:right w:val="none" w:sz="0" w:space="0" w:color="auto"/>
      </w:divBdr>
    </w:div>
    <w:div w:id="1267736820">
      <w:bodyDiv w:val="1"/>
      <w:marLeft w:val="0"/>
      <w:marRight w:val="0"/>
      <w:marTop w:val="0"/>
      <w:marBottom w:val="0"/>
      <w:divBdr>
        <w:top w:val="none" w:sz="0" w:space="0" w:color="auto"/>
        <w:left w:val="none" w:sz="0" w:space="0" w:color="auto"/>
        <w:bottom w:val="none" w:sz="0" w:space="0" w:color="auto"/>
        <w:right w:val="none" w:sz="0" w:space="0" w:color="auto"/>
      </w:divBdr>
    </w:div>
    <w:div w:id="1268464652">
      <w:bodyDiv w:val="1"/>
      <w:marLeft w:val="0"/>
      <w:marRight w:val="0"/>
      <w:marTop w:val="0"/>
      <w:marBottom w:val="0"/>
      <w:divBdr>
        <w:top w:val="none" w:sz="0" w:space="0" w:color="auto"/>
        <w:left w:val="none" w:sz="0" w:space="0" w:color="auto"/>
        <w:bottom w:val="none" w:sz="0" w:space="0" w:color="auto"/>
        <w:right w:val="none" w:sz="0" w:space="0" w:color="auto"/>
      </w:divBdr>
    </w:div>
    <w:div w:id="1272736364">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76909130">
      <w:bodyDiv w:val="1"/>
      <w:marLeft w:val="0"/>
      <w:marRight w:val="0"/>
      <w:marTop w:val="0"/>
      <w:marBottom w:val="0"/>
      <w:divBdr>
        <w:top w:val="none" w:sz="0" w:space="0" w:color="auto"/>
        <w:left w:val="none" w:sz="0" w:space="0" w:color="auto"/>
        <w:bottom w:val="none" w:sz="0" w:space="0" w:color="auto"/>
        <w:right w:val="none" w:sz="0" w:space="0" w:color="auto"/>
      </w:divBdr>
    </w:div>
    <w:div w:id="1334260256">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51759412">
      <w:bodyDiv w:val="1"/>
      <w:marLeft w:val="0"/>
      <w:marRight w:val="0"/>
      <w:marTop w:val="0"/>
      <w:marBottom w:val="0"/>
      <w:divBdr>
        <w:top w:val="none" w:sz="0" w:space="0" w:color="auto"/>
        <w:left w:val="none" w:sz="0" w:space="0" w:color="auto"/>
        <w:bottom w:val="none" w:sz="0" w:space="0" w:color="auto"/>
        <w:right w:val="none" w:sz="0" w:space="0" w:color="auto"/>
      </w:divBdr>
    </w:div>
    <w:div w:id="1357149802">
      <w:bodyDiv w:val="1"/>
      <w:marLeft w:val="0"/>
      <w:marRight w:val="0"/>
      <w:marTop w:val="0"/>
      <w:marBottom w:val="0"/>
      <w:divBdr>
        <w:top w:val="none" w:sz="0" w:space="0" w:color="auto"/>
        <w:left w:val="none" w:sz="0" w:space="0" w:color="auto"/>
        <w:bottom w:val="none" w:sz="0" w:space="0" w:color="auto"/>
        <w:right w:val="none" w:sz="0" w:space="0" w:color="auto"/>
      </w:divBdr>
    </w:div>
    <w:div w:id="1374186346">
      <w:bodyDiv w:val="1"/>
      <w:marLeft w:val="0"/>
      <w:marRight w:val="0"/>
      <w:marTop w:val="0"/>
      <w:marBottom w:val="0"/>
      <w:divBdr>
        <w:top w:val="none" w:sz="0" w:space="0" w:color="auto"/>
        <w:left w:val="none" w:sz="0" w:space="0" w:color="auto"/>
        <w:bottom w:val="none" w:sz="0" w:space="0" w:color="auto"/>
        <w:right w:val="none" w:sz="0" w:space="0" w:color="auto"/>
      </w:divBdr>
    </w:div>
    <w:div w:id="1388144186">
      <w:bodyDiv w:val="1"/>
      <w:marLeft w:val="0"/>
      <w:marRight w:val="0"/>
      <w:marTop w:val="0"/>
      <w:marBottom w:val="0"/>
      <w:divBdr>
        <w:top w:val="none" w:sz="0" w:space="0" w:color="auto"/>
        <w:left w:val="none" w:sz="0" w:space="0" w:color="auto"/>
        <w:bottom w:val="none" w:sz="0" w:space="0" w:color="auto"/>
        <w:right w:val="none" w:sz="0" w:space="0" w:color="auto"/>
      </w:divBdr>
    </w:div>
    <w:div w:id="1395397887">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694277">
      <w:bodyDiv w:val="1"/>
      <w:marLeft w:val="0"/>
      <w:marRight w:val="0"/>
      <w:marTop w:val="0"/>
      <w:marBottom w:val="0"/>
      <w:divBdr>
        <w:top w:val="none" w:sz="0" w:space="0" w:color="auto"/>
        <w:left w:val="none" w:sz="0" w:space="0" w:color="auto"/>
        <w:bottom w:val="none" w:sz="0" w:space="0" w:color="auto"/>
        <w:right w:val="none" w:sz="0" w:space="0" w:color="auto"/>
      </w:divBdr>
    </w:div>
    <w:div w:id="1429082263">
      <w:bodyDiv w:val="1"/>
      <w:marLeft w:val="0"/>
      <w:marRight w:val="0"/>
      <w:marTop w:val="0"/>
      <w:marBottom w:val="0"/>
      <w:divBdr>
        <w:top w:val="none" w:sz="0" w:space="0" w:color="auto"/>
        <w:left w:val="none" w:sz="0" w:space="0" w:color="auto"/>
        <w:bottom w:val="none" w:sz="0" w:space="0" w:color="auto"/>
        <w:right w:val="none" w:sz="0" w:space="0" w:color="auto"/>
      </w:divBdr>
    </w:div>
    <w:div w:id="1439988626">
      <w:bodyDiv w:val="1"/>
      <w:marLeft w:val="0"/>
      <w:marRight w:val="0"/>
      <w:marTop w:val="0"/>
      <w:marBottom w:val="0"/>
      <w:divBdr>
        <w:top w:val="none" w:sz="0" w:space="0" w:color="auto"/>
        <w:left w:val="none" w:sz="0" w:space="0" w:color="auto"/>
        <w:bottom w:val="none" w:sz="0" w:space="0" w:color="auto"/>
        <w:right w:val="none" w:sz="0" w:space="0" w:color="auto"/>
      </w:divBdr>
    </w:div>
    <w:div w:id="1480461254">
      <w:bodyDiv w:val="1"/>
      <w:marLeft w:val="0"/>
      <w:marRight w:val="0"/>
      <w:marTop w:val="0"/>
      <w:marBottom w:val="0"/>
      <w:divBdr>
        <w:top w:val="none" w:sz="0" w:space="0" w:color="auto"/>
        <w:left w:val="none" w:sz="0" w:space="0" w:color="auto"/>
        <w:bottom w:val="none" w:sz="0" w:space="0" w:color="auto"/>
        <w:right w:val="none" w:sz="0" w:space="0" w:color="auto"/>
      </w:divBdr>
    </w:div>
    <w:div w:id="1504706951">
      <w:bodyDiv w:val="1"/>
      <w:marLeft w:val="0"/>
      <w:marRight w:val="0"/>
      <w:marTop w:val="0"/>
      <w:marBottom w:val="0"/>
      <w:divBdr>
        <w:top w:val="none" w:sz="0" w:space="0" w:color="auto"/>
        <w:left w:val="none" w:sz="0" w:space="0" w:color="auto"/>
        <w:bottom w:val="none" w:sz="0" w:space="0" w:color="auto"/>
        <w:right w:val="none" w:sz="0" w:space="0" w:color="auto"/>
      </w:divBdr>
    </w:div>
    <w:div w:id="1517428026">
      <w:bodyDiv w:val="1"/>
      <w:marLeft w:val="0"/>
      <w:marRight w:val="0"/>
      <w:marTop w:val="0"/>
      <w:marBottom w:val="0"/>
      <w:divBdr>
        <w:top w:val="none" w:sz="0" w:space="0" w:color="auto"/>
        <w:left w:val="none" w:sz="0" w:space="0" w:color="auto"/>
        <w:bottom w:val="none" w:sz="0" w:space="0" w:color="auto"/>
        <w:right w:val="none" w:sz="0" w:space="0" w:color="auto"/>
      </w:divBdr>
    </w:div>
    <w:div w:id="1535535753">
      <w:bodyDiv w:val="1"/>
      <w:marLeft w:val="0"/>
      <w:marRight w:val="0"/>
      <w:marTop w:val="0"/>
      <w:marBottom w:val="0"/>
      <w:divBdr>
        <w:top w:val="none" w:sz="0" w:space="0" w:color="auto"/>
        <w:left w:val="none" w:sz="0" w:space="0" w:color="auto"/>
        <w:bottom w:val="none" w:sz="0" w:space="0" w:color="auto"/>
        <w:right w:val="none" w:sz="0" w:space="0" w:color="auto"/>
      </w:divBdr>
    </w:div>
    <w:div w:id="1544950098">
      <w:bodyDiv w:val="1"/>
      <w:marLeft w:val="0"/>
      <w:marRight w:val="0"/>
      <w:marTop w:val="0"/>
      <w:marBottom w:val="0"/>
      <w:divBdr>
        <w:top w:val="none" w:sz="0" w:space="0" w:color="auto"/>
        <w:left w:val="none" w:sz="0" w:space="0" w:color="auto"/>
        <w:bottom w:val="none" w:sz="0" w:space="0" w:color="auto"/>
        <w:right w:val="none" w:sz="0" w:space="0" w:color="auto"/>
      </w:divBdr>
    </w:div>
    <w:div w:id="1546481921">
      <w:bodyDiv w:val="1"/>
      <w:marLeft w:val="0"/>
      <w:marRight w:val="0"/>
      <w:marTop w:val="0"/>
      <w:marBottom w:val="0"/>
      <w:divBdr>
        <w:top w:val="none" w:sz="0" w:space="0" w:color="auto"/>
        <w:left w:val="none" w:sz="0" w:space="0" w:color="auto"/>
        <w:bottom w:val="none" w:sz="0" w:space="0" w:color="auto"/>
        <w:right w:val="none" w:sz="0" w:space="0" w:color="auto"/>
      </w:divBdr>
    </w:div>
    <w:div w:id="1550219344">
      <w:bodyDiv w:val="1"/>
      <w:marLeft w:val="0"/>
      <w:marRight w:val="0"/>
      <w:marTop w:val="0"/>
      <w:marBottom w:val="0"/>
      <w:divBdr>
        <w:top w:val="none" w:sz="0" w:space="0" w:color="auto"/>
        <w:left w:val="none" w:sz="0" w:space="0" w:color="auto"/>
        <w:bottom w:val="none" w:sz="0" w:space="0" w:color="auto"/>
        <w:right w:val="none" w:sz="0" w:space="0" w:color="auto"/>
      </w:divBdr>
    </w:div>
    <w:div w:id="1566140426">
      <w:bodyDiv w:val="1"/>
      <w:marLeft w:val="0"/>
      <w:marRight w:val="0"/>
      <w:marTop w:val="0"/>
      <w:marBottom w:val="0"/>
      <w:divBdr>
        <w:top w:val="none" w:sz="0" w:space="0" w:color="auto"/>
        <w:left w:val="none" w:sz="0" w:space="0" w:color="auto"/>
        <w:bottom w:val="none" w:sz="0" w:space="0" w:color="auto"/>
        <w:right w:val="none" w:sz="0" w:space="0" w:color="auto"/>
      </w:divBdr>
    </w:div>
    <w:div w:id="1577206264">
      <w:bodyDiv w:val="1"/>
      <w:marLeft w:val="0"/>
      <w:marRight w:val="0"/>
      <w:marTop w:val="0"/>
      <w:marBottom w:val="0"/>
      <w:divBdr>
        <w:top w:val="none" w:sz="0" w:space="0" w:color="auto"/>
        <w:left w:val="none" w:sz="0" w:space="0" w:color="auto"/>
        <w:bottom w:val="none" w:sz="0" w:space="0" w:color="auto"/>
        <w:right w:val="none" w:sz="0" w:space="0" w:color="auto"/>
      </w:divBdr>
    </w:div>
    <w:div w:id="1599944253">
      <w:bodyDiv w:val="1"/>
      <w:marLeft w:val="0"/>
      <w:marRight w:val="0"/>
      <w:marTop w:val="0"/>
      <w:marBottom w:val="0"/>
      <w:divBdr>
        <w:top w:val="none" w:sz="0" w:space="0" w:color="auto"/>
        <w:left w:val="none" w:sz="0" w:space="0" w:color="auto"/>
        <w:bottom w:val="none" w:sz="0" w:space="0" w:color="auto"/>
        <w:right w:val="none" w:sz="0" w:space="0" w:color="auto"/>
      </w:divBdr>
    </w:div>
    <w:div w:id="1603108647">
      <w:bodyDiv w:val="1"/>
      <w:marLeft w:val="0"/>
      <w:marRight w:val="0"/>
      <w:marTop w:val="0"/>
      <w:marBottom w:val="0"/>
      <w:divBdr>
        <w:top w:val="none" w:sz="0" w:space="0" w:color="auto"/>
        <w:left w:val="none" w:sz="0" w:space="0" w:color="auto"/>
        <w:bottom w:val="none" w:sz="0" w:space="0" w:color="auto"/>
        <w:right w:val="none" w:sz="0" w:space="0" w:color="auto"/>
      </w:divBdr>
    </w:div>
    <w:div w:id="1622685409">
      <w:bodyDiv w:val="1"/>
      <w:marLeft w:val="0"/>
      <w:marRight w:val="0"/>
      <w:marTop w:val="0"/>
      <w:marBottom w:val="0"/>
      <w:divBdr>
        <w:top w:val="none" w:sz="0" w:space="0" w:color="auto"/>
        <w:left w:val="none" w:sz="0" w:space="0" w:color="auto"/>
        <w:bottom w:val="none" w:sz="0" w:space="0" w:color="auto"/>
        <w:right w:val="none" w:sz="0" w:space="0" w:color="auto"/>
      </w:divBdr>
    </w:div>
    <w:div w:id="1642342257">
      <w:bodyDiv w:val="1"/>
      <w:marLeft w:val="0"/>
      <w:marRight w:val="0"/>
      <w:marTop w:val="0"/>
      <w:marBottom w:val="0"/>
      <w:divBdr>
        <w:top w:val="none" w:sz="0" w:space="0" w:color="auto"/>
        <w:left w:val="none" w:sz="0" w:space="0" w:color="auto"/>
        <w:bottom w:val="none" w:sz="0" w:space="0" w:color="auto"/>
        <w:right w:val="none" w:sz="0" w:space="0" w:color="auto"/>
      </w:divBdr>
    </w:div>
    <w:div w:id="1644043024">
      <w:bodyDiv w:val="1"/>
      <w:marLeft w:val="0"/>
      <w:marRight w:val="0"/>
      <w:marTop w:val="0"/>
      <w:marBottom w:val="0"/>
      <w:divBdr>
        <w:top w:val="none" w:sz="0" w:space="0" w:color="auto"/>
        <w:left w:val="none" w:sz="0" w:space="0" w:color="auto"/>
        <w:bottom w:val="none" w:sz="0" w:space="0" w:color="auto"/>
        <w:right w:val="none" w:sz="0" w:space="0" w:color="auto"/>
      </w:divBdr>
    </w:div>
    <w:div w:id="1662809953">
      <w:bodyDiv w:val="1"/>
      <w:marLeft w:val="0"/>
      <w:marRight w:val="0"/>
      <w:marTop w:val="0"/>
      <w:marBottom w:val="0"/>
      <w:divBdr>
        <w:top w:val="none" w:sz="0" w:space="0" w:color="auto"/>
        <w:left w:val="none" w:sz="0" w:space="0" w:color="auto"/>
        <w:bottom w:val="none" w:sz="0" w:space="0" w:color="auto"/>
        <w:right w:val="none" w:sz="0" w:space="0" w:color="auto"/>
      </w:divBdr>
    </w:div>
    <w:div w:id="1701777860">
      <w:bodyDiv w:val="1"/>
      <w:marLeft w:val="0"/>
      <w:marRight w:val="0"/>
      <w:marTop w:val="0"/>
      <w:marBottom w:val="0"/>
      <w:divBdr>
        <w:top w:val="none" w:sz="0" w:space="0" w:color="auto"/>
        <w:left w:val="none" w:sz="0" w:space="0" w:color="auto"/>
        <w:bottom w:val="none" w:sz="0" w:space="0" w:color="auto"/>
        <w:right w:val="none" w:sz="0" w:space="0" w:color="auto"/>
      </w:divBdr>
    </w:div>
    <w:div w:id="1709644322">
      <w:bodyDiv w:val="1"/>
      <w:marLeft w:val="0"/>
      <w:marRight w:val="0"/>
      <w:marTop w:val="0"/>
      <w:marBottom w:val="0"/>
      <w:divBdr>
        <w:top w:val="none" w:sz="0" w:space="0" w:color="auto"/>
        <w:left w:val="none" w:sz="0" w:space="0" w:color="auto"/>
        <w:bottom w:val="none" w:sz="0" w:space="0" w:color="auto"/>
        <w:right w:val="none" w:sz="0" w:space="0" w:color="auto"/>
      </w:divBdr>
    </w:div>
    <w:div w:id="1716390125">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28332290">
      <w:bodyDiv w:val="1"/>
      <w:marLeft w:val="0"/>
      <w:marRight w:val="0"/>
      <w:marTop w:val="0"/>
      <w:marBottom w:val="0"/>
      <w:divBdr>
        <w:top w:val="none" w:sz="0" w:space="0" w:color="auto"/>
        <w:left w:val="none" w:sz="0" w:space="0" w:color="auto"/>
        <w:bottom w:val="none" w:sz="0" w:space="0" w:color="auto"/>
        <w:right w:val="none" w:sz="0" w:space="0" w:color="auto"/>
      </w:divBdr>
    </w:div>
    <w:div w:id="1738360922">
      <w:bodyDiv w:val="1"/>
      <w:marLeft w:val="0"/>
      <w:marRight w:val="0"/>
      <w:marTop w:val="0"/>
      <w:marBottom w:val="0"/>
      <w:divBdr>
        <w:top w:val="none" w:sz="0" w:space="0" w:color="auto"/>
        <w:left w:val="none" w:sz="0" w:space="0" w:color="auto"/>
        <w:bottom w:val="none" w:sz="0" w:space="0" w:color="auto"/>
        <w:right w:val="none" w:sz="0" w:space="0" w:color="auto"/>
      </w:divBdr>
    </w:div>
    <w:div w:id="1739940093">
      <w:bodyDiv w:val="1"/>
      <w:marLeft w:val="0"/>
      <w:marRight w:val="0"/>
      <w:marTop w:val="0"/>
      <w:marBottom w:val="0"/>
      <w:divBdr>
        <w:top w:val="none" w:sz="0" w:space="0" w:color="auto"/>
        <w:left w:val="none" w:sz="0" w:space="0" w:color="auto"/>
        <w:bottom w:val="none" w:sz="0" w:space="0" w:color="auto"/>
        <w:right w:val="none" w:sz="0" w:space="0" w:color="auto"/>
      </w:divBdr>
    </w:div>
    <w:div w:id="1740203191">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8483369">
      <w:bodyDiv w:val="1"/>
      <w:marLeft w:val="0"/>
      <w:marRight w:val="0"/>
      <w:marTop w:val="0"/>
      <w:marBottom w:val="0"/>
      <w:divBdr>
        <w:top w:val="none" w:sz="0" w:space="0" w:color="auto"/>
        <w:left w:val="none" w:sz="0" w:space="0" w:color="auto"/>
        <w:bottom w:val="none" w:sz="0" w:space="0" w:color="auto"/>
        <w:right w:val="none" w:sz="0" w:space="0" w:color="auto"/>
      </w:divBdr>
    </w:div>
    <w:div w:id="1774518648">
      <w:bodyDiv w:val="1"/>
      <w:marLeft w:val="0"/>
      <w:marRight w:val="0"/>
      <w:marTop w:val="0"/>
      <w:marBottom w:val="0"/>
      <w:divBdr>
        <w:top w:val="none" w:sz="0" w:space="0" w:color="auto"/>
        <w:left w:val="none" w:sz="0" w:space="0" w:color="auto"/>
        <w:bottom w:val="none" w:sz="0" w:space="0" w:color="auto"/>
        <w:right w:val="none" w:sz="0" w:space="0" w:color="auto"/>
      </w:divBdr>
    </w:div>
    <w:div w:id="1778941573">
      <w:bodyDiv w:val="1"/>
      <w:marLeft w:val="0"/>
      <w:marRight w:val="0"/>
      <w:marTop w:val="0"/>
      <w:marBottom w:val="0"/>
      <w:divBdr>
        <w:top w:val="none" w:sz="0" w:space="0" w:color="auto"/>
        <w:left w:val="none" w:sz="0" w:space="0" w:color="auto"/>
        <w:bottom w:val="none" w:sz="0" w:space="0" w:color="auto"/>
        <w:right w:val="none" w:sz="0" w:space="0" w:color="auto"/>
      </w:divBdr>
    </w:div>
    <w:div w:id="1792549930">
      <w:bodyDiv w:val="1"/>
      <w:marLeft w:val="0"/>
      <w:marRight w:val="0"/>
      <w:marTop w:val="0"/>
      <w:marBottom w:val="0"/>
      <w:divBdr>
        <w:top w:val="none" w:sz="0" w:space="0" w:color="auto"/>
        <w:left w:val="none" w:sz="0" w:space="0" w:color="auto"/>
        <w:bottom w:val="none" w:sz="0" w:space="0" w:color="auto"/>
        <w:right w:val="none" w:sz="0" w:space="0" w:color="auto"/>
      </w:divBdr>
    </w:div>
    <w:div w:id="1811284547">
      <w:bodyDiv w:val="1"/>
      <w:marLeft w:val="0"/>
      <w:marRight w:val="0"/>
      <w:marTop w:val="0"/>
      <w:marBottom w:val="0"/>
      <w:divBdr>
        <w:top w:val="none" w:sz="0" w:space="0" w:color="auto"/>
        <w:left w:val="none" w:sz="0" w:space="0" w:color="auto"/>
        <w:bottom w:val="none" w:sz="0" w:space="0" w:color="auto"/>
        <w:right w:val="none" w:sz="0" w:space="0" w:color="auto"/>
      </w:divBdr>
    </w:div>
    <w:div w:id="1825076331">
      <w:bodyDiv w:val="1"/>
      <w:marLeft w:val="0"/>
      <w:marRight w:val="0"/>
      <w:marTop w:val="0"/>
      <w:marBottom w:val="0"/>
      <w:divBdr>
        <w:top w:val="none" w:sz="0" w:space="0" w:color="auto"/>
        <w:left w:val="none" w:sz="0" w:space="0" w:color="auto"/>
        <w:bottom w:val="none" w:sz="0" w:space="0" w:color="auto"/>
        <w:right w:val="none" w:sz="0" w:space="0" w:color="auto"/>
      </w:divBdr>
    </w:div>
    <w:div w:id="1825316645">
      <w:bodyDiv w:val="1"/>
      <w:marLeft w:val="0"/>
      <w:marRight w:val="0"/>
      <w:marTop w:val="0"/>
      <w:marBottom w:val="0"/>
      <w:divBdr>
        <w:top w:val="none" w:sz="0" w:space="0" w:color="auto"/>
        <w:left w:val="none" w:sz="0" w:space="0" w:color="auto"/>
        <w:bottom w:val="none" w:sz="0" w:space="0" w:color="auto"/>
        <w:right w:val="none" w:sz="0" w:space="0" w:color="auto"/>
      </w:divBdr>
    </w:div>
    <w:div w:id="1834032289">
      <w:bodyDiv w:val="1"/>
      <w:marLeft w:val="0"/>
      <w:marRight w:val="0"/>
      <w:marTop w:val="0"/>
      <w:marBottom w:val="0"/>
      <w:divBdr>
        <w:top w:val="none" w:sz="0" w:space="0" w:color="auto"/>
        <w:left w:val="none" w:sz="0" w:space="0" w:color="auto"/>
        <w:bottom w:val="none" w:sz="0" w:space="0" w:color="auto"/>
        <w:right w:val="none" w:sz="0" w:space="0" w:color="auto"/>
      </w:divBdr>
    </w:div>
    <w:div w:id="1885562784">
      <w:bodyDiv w:val="1"/>
      <w:marLeft w:val="0"/>
      <w:marRight w:val="0"/>
      <w:marTop w:val="0"/>
      <w:marBottom w:val="0"/>
      <w:divBdr>
        <w:top w:val="none" w:sz="0" w:space="0" w:color="auto"/>
        <w:left w:val="none" w:sz="0" w:space="0" w:color="auto"/>
        <w:bottom w:val="none" w:sz="0" w:space="0" w:color="auto"/>
        <w:right w:val="none" w:sz="0" w:space="0" w:color="auto"/>
      </w:divBdr>
    </w:div>
    <w:div w:id="1895464322">
      <w:bodyDiv w:val="1"/>
      <w:marLeft w:val="0"/>
      <w:marRight w:val="0"/>
      <w:marTop w:val="0"/>
      <w:marBottom w:val="0"/>
      <w:divBdr>
        <w:top w:val="none" w:sz="0" w:space="0" w:color="auto"/>
        <w:left w:val="none" w:sz="0" w:space="0" w:color="auto"/>
        <w:bottom w:val="none" w:sz="0" w:space="0" w:color="auto"/>
        <w:right w:val="none" w:sz="0" w:space="0" w:color="auto"/>
      </w:divBdr>
    </w:div>
    <w:div w:id="1902280439">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11504989">
      <w:bodyDiv w:val="1"/>
      <w:marLeft w:val="0"/>
      <w:marRight w:val="0"/>
      <w:marTop w:val="0"/>
      <w:marBottom w:val="0"/>
      <w:divBdr>
        <w:top w:val="none" w:sz="0" w:space="0" w:color="auto"/>
        <w:left w:val="none" w:sz="0" w:space="0" w:color="auto"/>
        <w:bottom w:val="none" w:sz="0" w:space="0" w:color="auto"/>
        <w:right w:val="none" w:sz="0" w:space="0" w:color="auto"/>
      </w:divBdr>
    </w:div>
    <w:div w:id="1917006483">
      <w:bodyDiv w:val="1"/>
      <w:marLeft w:val="0"/>
      <w:marRight w:val="0"/>
      <w:marTop w:val="0"/>
      <w:marBottom w:val="0"/>
      <w:divBdr>
        <w:top w:val="none" w:sz="0" w:space="0" w:color="auto"/>
        <w:left w:val="none" w:sz="0" w:space="0" w:color="auto"/>
        <w:bottom w:val="none" w:sz="0" w:space="0" w:color="auto"/>
        <w:right w:val="none" w:sz="0" w:space="0" w:color="auto"/>
      </w:divBdr>
    </w:div>
    <w:div w:id="1920826732">
      <w:bodyDiv w:val="1"/>
      <w:marLeft w:val="0"/>
      <w:marRight w:val="0"/>
      <w:marTop w:val="0"/>
      <w:marBottom w:val="0"/>
      <w:divBdr>
        <w:top w:val="none" w:sz="0" w:space="0" w:color="auto"/>
        <w:left w:val="none" w:sz="0" w:space="0" w:color="auto"/>
        <w:bottom w:val="none" w:sz="0" w:space="0" w:color="auto"/>
        <w:right w:val="none" w:sz="0" w:space="0" w:color="auto"/>
      </w:divBdr>
    </w:div>
    <w:div w:id="1932546163">
      <w:bodyDiv w:val="1"/>
      <w:marLeft w:val="0"/>
      <w:marRight w:val="0"/>
      <w:marTop w:val="0"/>
      <w:marBottom w:val="0"/>
      <w:divBdr>
        <w:top w:val="none" w:sz="0" w:space="0" w:color="auto"/>
        <w:left w:val="none" w:sz="0" w:space="0" w:color="auto"/>
        <w:bottom w:val="none" w:sz="0" w:space="0" w:color="auto"/>
        <w:right w:val="none" w:sz="0" w:space="0" w:color="auto"/>
      </w:divBdr>
    </w:div>
    <w:div w:id="1948778990">
      <w:bodyDiv w:val="1"/>
      <w:marLeft w:val="0"/>
      <w:marRight w:val="0"/>
      <w:marTop w:val="0"/>
      <w:marBottom w:val="0"/>
      <w:divBdr>
        <w:top w:val="none" w:sz="0" w:space="0" w:color="auto"/>
        <w:left w:val="none" w:sz="0" w:space="0" w:color="auto"/>
        <w:bottom w:val="none" w:sz="0" w:space="0" w:color="auto"/>
        <w:right w:val="none" w:sz="0" w:space="0" w:color="auto"/>
      </w:divBdr>
    </w:div>
    <w:div w:id="1960452373">
      <w:bodyDiv w:val="1"/>
      <w:marLeft w:val="0"/>
      <w:marRight w:val="0"/>
      <w:marTop w:val="0"/>
      <w:marBottom w:val="0"/>
      <w:divBdr>
        <w:top w:val="none" w:sz="0" w:space="0" w:color="auto"/>
        <w:left w:val="none" w:sz="0" w:space="0" w:color="auto"/>
        <w:bottom w:val="none" w:sz="0" w:space="0" w:color="auto"/>
        <w:right w:val="none" w:sz="0" w:space="0" w:color="auto"/>
      </w:divBdr>
    </w:div>
    <w:div w:id="1960842486">
      <w:bodyDiv w:val="1"/>
      <w:marLeft w:val="0"/>
      <w:marRight w:val="0"/>
      <w:marTop w:val="0"/>
      <w:marBottom w:val="0"/>
      <w:divBdr>
        <w:top w:val="none" w:sz="0" w:space="0" w:color="auto"/>
        <w:left w:val="none" w:sz="0" w:space="0" w:color="auto"/>
        <w:bottom w:val="none" w:sz="0" w:space="0" w:color="auto"/>
        <w:right w:val="none" w:sz="0" w:space="0" w:color="auto"/>
      </w:divBdr>
    </w:div>
    <w:div w:id="1962413736">
      <w:bodyDiv w:val="1"/>
      <w:marLeft w:val="0"/>
      <w:marRight w:val="0"/>
      <w:marTop w:val="0"/>
      <w:marBottom w:val="0"/>
      <w:divBdr>
        <w:top w:val="none" w:sz="0" w:space="0" w:color="auto"/>
        <w:left w:val="none" w:sz="0" w:space="0" w:color="auto"/>
        <w:bottom w:val="none" w:sz="0" w:space="0" w:color="auto"/>
        <w:right w:val="none" w:sz="0" w:space="0" w:color="auto"/>
      </w:divBdr>
    </w:div>
    <w:div w:id="1975673049">
      <w:bodyDiv w:val="1"/>
      <w:marLeft w:val="0"/>
      <w:marRight w:val="0"/>
      <w:marTop w:val="0"/>
      <w:marBottom w:val="0"/>
      <w:divBdr>
        <w:top w:val="none" w:sz="0" w:space="0" w:color="auto"/>
        <w:left w:val="none" w:sz="0" w:space="0" w:color="auto"/>
        <w:bottom w:val="none" w:sz="0" w:space="0" w:color="auto"/>
        <w:right w:val="none" w:sz="0" w:space="0" w:color="auto"/>
      </w:divBdr>
    </w:div>
    <w:div w:id="1989239265">
      <w:bodyDiv w:val="1"/>
      <w:marLeft w:val="0"/>
      <w:marRight w:val="0"/>
      <w:marTop w:val="0"/>
      <w:marBottom w:val="0"/>
      <w:divBdr>
        <w:top w:val="none" w:sz="0" w:space="0" w:color="auto"/>
        <w:left w:val="none" w:sz="0" w:space="0" w:color="auto"/>
        <w:bottom w:val="none" w:sz="0" w:space="0" w:color="auto"/>
        <w:right w:val="none" w:sz="0" w:space="0" w:color="auto"/>
      </w:divBdr>
    </w:div>
    <w:div w:id="2012096247">
      <w:bodyDiv w:val="1"/>
      <w:marLeft w:val="0"/>
      <w:marRight w:val="0"/>
      <w:marTop w:val="0"/>
      <w:marBottom w:val="0"/>
      <w:divBdr>
        <w:top w:val="none" w:sz="0" w:space="0" w:color="auto"/>
        <w:left w:val="none" w:sz="0" w:space="0" w:color="auto"/>
        <w:bottom w:val="none" w:sz="0" w:space="0" w:color="auto"/>
        <w:right w:val="none" w:sz="0" w:space="0" w:color="auto"/>
      </w:divBdr>
    </w:div>
    <w:div w:id="2014407288">
      <w:bodyDiv w:val="1"/>
      <w:marLeft w:val="0"/>
      <w:marRight w:val="0"/>
      <w:marTop w:val="0"/>
      <w:marBottom w:val="0"/>
      <w:divBdr>
        <w:top w:val="none" w:sz="0" w:space="0" w:color="auto"/>
        <w:left w:val="none" w:sz="0" w:space="0" w:color="auto"/>
        <w:bottom w:val="none" w:sz="0" w:space="0" w:color="auto"/>
        <w:right w:val="none" w:sz="0" w:space="0" w:color="auto"/>
      </w:divBdr>
    </w:div>
    <w:div w:id="2026592868">
      <w:bodyDiv w:val="1"/>
      <w:marLeft w:val="0"/>
      <w:marRight w:val="0"/>
      <w:marTop w:val="0"/>
      <w:marBottom w:val="0"/>
      <w:divBdr>
        <w:top w:val="none" w:sz="0" w:space="0" w:color="auto"/>
        <w:left w:val="none" w:sz="0" w:space="0" w:color="auto"/>
        <w:bottom w:val="none" w:sz="0" w:space="0" w:color="auto"/>
        <w:right w:val="none" w:sz="0" w:space="0" w:color="auto"/>
      </w:divBdr>
    </w:div>
    <w:div w:id="2032339896">
      <w:bodyDiv w:val="1"/>
      <w:marLeft w:val="0"/>
      <w:marRight w:val="0"/>
      <w:marTop w:val="0"/>
      <w:marBottom w:val="0"/>
      <w:divBdr>
        <w:top w:val="none" w:sz="0" w:space="0" w:color="auto"/>
        <w:left w:val="none" w:sz="0" w:space="0" w:color="auto"/>
        <w:bottom w:val="none" w:sz="0" w:space="0" w:color="auto"/>
        <w:right w:val="none" w:sz="0" w:space="0" w:color="auto"/>
      </w:divBdr>
    </w:div>
    <w:div w:id="2050378059">
      <w:bodyDiv w:val="1"/>
      <w:marLeft w:val="0"/>
      <w:marRight w:val="0"/>
      <w:marTop w:val="0"/>
      <w:marBottom w:val="0"/>
      <w:divBdr>
        <w:top w:val="none" w:sz="0" w:space="0" w:color="auto"/>
        <w:left w:val="none" w:sz="0" w:space="0" w:color="auto"/>
        <w:bottom w:val="none" w:sz="0" w:space="0" w:color="auto"/>
        <w:right w:val="none" w:sz="0" w:space="0" w:color="auto"/>
      </w:divBdr>
    </w:div>
    <w:div w:id="2057123061">
      <w:bodyDiv w:val="1"/>
      <w:marLeft w:val="0"/>
      <w:marRight w:val="0"/>
      <w:marTop w:val="0"/>
      <w:marBottom w:val="0"/>
      <w:divBdr>
        <w:top w:val="none" w:sz="0" w:space="0" w:color="auto"/>
        <w:left w:val="none" w:sz="0" w:space="0" w:color="auto"/>
        <w:bottom w:val="none" w:sz="0" w:space="0" w:color="auto"/>
        <w:right w:val="none" w:sz="0" w:space="0" w:color="auto"/>
      </w:divBdr>
    </w:div>
    <w:div w:id="2072844317">
      <w:bodyDiv w:val="1"/>
      <w:marLeft w:val="0"/>
      <w:marRight w:val="0"/>
      <w:marTop w:val="0"/>
      <w:marBottom w:val="0"/>
      <w:divBdr>
        <w:top w:val="none" w:sz="0" w:space="0" w:color="auto"/>
        <w:left w:val="none" w:sz="0" w:space="0" w:color="auto"/>
        <w:bottom w:val="none" w:sz="0" w:space="0" w:color="auto"/>
        <w:right w:val="none" w:sz="0" w:space="0" w:color="auto"/>
      </w:divBdr>
    </w:div>
    <w:div w:id="2073771584">
      <w:bodyDiv w:val="1"/>
      <w:marLeft w:val="0"/>
      <w:marRight w:val="0"/>
      <w:marTop w:val="0"/>
      <w:marBottom w:val="0"/>
      <w:divBdr>
        <w:top w:val="none" w:sz="0" w:space="0" w:color="auto"/>
        <w:left w:val="none" w:sz="0" w:space="0" w:color="auto"/>
        <w:bottom w:val="none" w:sz="0" w:space="0" w:color="auto"/>
        <w:right w:val="none" w:sz="0" w:space="0" w:color="auto"/>
      </w:divBdr>
    </w:div>
    <w:div w:id="2077046693">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2673577">
      <w:bodyDiv w:val="1"/>
      <w:marLeft w:val="0"/>
      <w:marRight w:val="0"/>
      <w:marTop w:val="0"/>
      <w:marBottom w:val="0"/>
      <w:divBdr>
        <w:top w:val="none" w:sz="0" w:space="0" w:color="auto"/>
        <w:left w:val="none" w:sz="0" w:space="0" w:color="auto"/>
        <w:bottom w:val="none" w:sz="0" w:space="0" w:color="auto"/>
        <w:right w:val="none" w:sz="0" w:space="0" w:color="auto"/>
      </w:divBdr>
    </w:div>
    <w:div w:id="2090693688">
      <w:bodyDiv w:val="1"/>
      <w:marLeft w:val="0"/>
      <w:marRight w:val="0"/>
      <w:marTop w:val="0"/>
      <w:marBottom w:val="0"/>
      <w:divBdr>
        <w:top w:val="none" w:sz="0" w:space="0" w:color="auto"/>
        <w:left w:val="none" w:sz="0" w:space="0" w:color="auto"/>
        <w:bottom w:val="none" w:sz="0" w:space="0" w:color="auto"/>
        <w:right w:val="none" w:sz="0" w:space="0" w:color="auto"/>
      </w:divBdr>
    </w:div>
    <w:div w:id="2139108044">
      <w:bodyDiv w:val="1"/>
      <w:marLeft w:val="0"/>
      <w:marRight w:val="0"/>
      <w:marTop w:val="0"/>
      <w:marBottom w:val="0"/>
      <w:divBdr>
        <w:top w:val="none" w:sz="0" w:space="0" w:color="auto"/>
        <w:left w:val="none" w:sz="0" w:space="0" w:color="auto"/>
        <w:bottom w:val="none" w:sz="0" w:space="0" w:color="auto"/>
        <w:right w:val="none" w:sz="0" w:space="0" w:color="auto"/>
      </w:divBdr>
    </w:div>
    <w:div w:id="213990856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eg"/><Relationship Id="rId21" Type="http://schemas.openxmlformats.org/officeDocument/2006/relationships/image" Target="media/image10.jpeg"/><Relationship Id="rId42" Type="http://schemas.openxmlformats.org/officeDocument/2006/relationships/image" Target="media/image28.jpeg"/><Relationship Id="rId47" Type="http://schemas.openxmlformats.org/officeDocument/2006/relationships/image" Target="media/image33.jpeg"/><Relationship Id="rId63" Type="http://schemas.openxmlformats.org/officeDocument/2006/relationships/image" Target="media/image47.jpeg"/><Relationship Id="rId68" Type="http://schemas.openxmlformats.org/officeDocument/2006/relationships/image" Target="media/image52.png"/><Relationship Id="rId84" Type="http://schemas.openxmlformats.org/officeDocument/2006/relationships/glossaryDocument" Target="glossary/document.xml"/><Relationship Id="rId16" Type="http://schemas.openxmlformats.org/officeDocument/2006/relationships/image" Target="media/image5.jpeg"/><Relationship Id="rId11" Type="http://schemas.openxmlformats.org/officeDocument/2006/relationships/footer" Target="footer2.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7.jpeg"/><Relationship Id="rId58" Type="http://schemas.openxmlformats.org/officeDocument/2006/relationships/image" Target="media/image42.jpeg"/><Relationship Id="rId74" Type="http://schemas.openxmlformats.org/officeDocument/2006/relationships/image" Target="media/image58.jpeg"/><Relationship Id="rId79" Type="http://schemas.openxmlformats.org/officeDocument/2006/relationships/image" Target="media/image63.jpeg"/><Relationship Id="rId5" Type="http://schemas.openxmlformats.org/officeDocument/2006/relationships/webSettings" Target="webSettings.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hyperlink" Target="https://portal.fgeguanajuato.gob.mx/" TargetMode="External"/><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0.jpeg"/><Relationship Id="rId64" Type="http://schemas.openxmlformats.org/officeDocument/2006/relationships/image" Target="media/image48.png"/><Relationship Id="rId69" Type="http://schemas.openxmlformats.org/officeDocument/2006/relationships/image" Target="media/image53.png"/><Relationship Id="rId77" Type="http://schemas.openxmlformats.org/officeDocument/2006/relationships/image" Target="media/image61.png"/><Relationship Id="rId8" Type="http://schemas.openxmlformats.org/officeDocument/2006/relationships/header" Target="header1.xml"/><Relationship Id="rId51" Type="http://schemas.openxmlformats.org/officeDocument/2006/relationships/hyperlink" Target="https://diccionario.cear-euskadi.org/desarrollo/" TargetMode="External"/><Relationship Id="rId72" Type="http://schemas.openxmlformats.org/officeDocument/2006/relationships/image" Target="media/image56.png"/><Relationship Id="rId80" Type="http://schemas.openxmlformats.org/officeDocument/2006/relationships/image" Target="media/image64.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png"/><Relationship Id="rId59" Type="http://schemas.openxmlformats.org/officeDocument/2006/relationships/image" Target="media/image43.jpeg"/><Relationship Id="rId67" Type="http://schemas.openxmlformats.org/officeDocument/2006/relationships/image" Target="media/image51.png"/><Relationship Id="rId20" Type="http://schemas.openxmlformats.org/officeDocument/2006/relationships/image" Target="media/image9.jpe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6.png"/><Relationship Id="rId70" Type="http://schemas.openxmlformats.org/officeDocument/2006/relationships/image" Target="media/image54.png"/><Relationship Id="rId75" Type="http://schemas.openxmlformats.org/officeDocument/2006/relationships/image" Target="media/image5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hyperlink" Target="https://portal.fgeguanajuato.gob.mx/" TargetMode="External"/><Relationship Id="rId28" Type="http://schemas.openxmlformats.org/officeDocument/2006/relationships/image" Target="media/image14.jpe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1.jpeg"/><Relationship Id="rId10" Type="http://schemas.openxmlformats.org/officeDocument/2006/relationships/footer" Target="footer1.xm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6.jpe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jpeg"/><Relationship Id="rId81" Type="http://schemas.openxmlformats.org/officeDocument/2006/relationships/image" Target="media/image65.jpe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hyperlink" Target="https://diccionario.cear-euskadi.org/menor/" TargetMode="External"/><Relationship Id="rId55" Type="http://schemas.openxmlformats.org/officeDocument/2006/relationships/image" Target="media/image39.jpeg"/><Relationship Id="rId76" Type="http://schemas.openxmlformats.org/officeDocument/2006/relationships/image" Target="media/image60.jpeg"/><Relationship Id="rId7" Type="http://schemas.openxmlformats.org/officeDocument/2006/relationships/endnotes" Target="endnotes.xml"/><Relationship Id="rId71" Type="http://schemas.openxmlformats.org/officeDocument/2006/relationships/image" Target="media/image55.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hyperlink" Target="https://portal.fgeguanajuato.gob.mx/" TargetMode="External"/><Relationship Id="rId40" Type="http://schemas.openxmlformats.org/officeDocument/2006/relationships/image" Target="media/image26.png"/><Relationship Id="rId45" Type="http://schemas.openxmlformats.org/officeDocument/2006/relationships/image" Target="media/image31.jpeg"/><Relationship Id="rId66" Type="http://schemas.openxmlformats.org/officeDocument/2006/relationships/image" Target="media/image50.jpeg"/><Relationship Id="rId61" Type="http://schemas.openxmlformats.org/officeDocument/2006/relationships/image" Target="media/image45.jpeg"/><Relationship Id="rId82" Type="http://schemas.openxmlformats.org/officeDocument/2006/relationships/image" Target="media/image66.png"/></Relationships>
</file>

<file path=word/_rels/footnotes.xml.rels><?xml version="1.0" encoding="UTF-8" standalone="yes"?>
<Relationships xmlns="http://schemas.openxmlformats.org/package/2006/relationships"><Relationship Id="rId117" Type="http://schemas.openxmlformats.org/officeDocument/2006/relationships/hyperlink" Target="https://www.cbcs.gob.mx/index.php/boletines-2023-1/6701-la-ley-de-movilidad-y-seguridad-vial-contara-con-techo-financiero-para-el-2024-diputado-denny-manuel-guerrero" TargetMode="External"/><Relationship Id="rId299" Type="http://schemas.openxmlformats.org/officeDocument/2006/relationships/hyperlink" Target="https://congreso-gto.s3.amazonaws.com/uploads/orden_archivo/archivo/29979/49_Dictamen_cuenta_pu_blica_San_Miguel_de_Allende_2021.pdf" TargetMode="External"/><Relationship Id="rId21" Type="http://schemas.openxmlformats.org/officeDocument/2006/relationships/hyperlink" Target="https://www.cndh.org.mx/sites/default/files/documentos/2019-11/Bullying-equidad-genero-deporte-Mexico.pdf" TargetMode="External"/><Relationship Id="rId63" Type="http://schemas.openxmlformats.org/officeDocument/2006/relationships/hyperlink" Target="https://www.elfinanciero.com.mx/deportes/2022/03/19/vivo-con-miedo-la-futbolista-nailea-vidrio-habla-del-acoso-que-sufrio-en-el-nou-camp/" TargetMode="External"/><Relationship Id="rId159" Type="http://schemas.openxmlformats.org/officeDocument/2006/relationships/hyperlink" Target="https://coalicionmovilidadsegura.mx/wp-content/uploads/2022/10/Codigo_abierto_Leyes_Movilidad_y-_Seguridad-_vial_V1.0_Oct_2022.pdf" TargetMode="External"/><Relationship Id="rId170" Type="http://schemas.openxmlformats.org/officeDocument/2006/relationships/hyperlink" Target="https://imug.guanajuato.gob.mx/wp-content/uploads/2022/09/Acoso-callejero-a-mujeres-en-el-estado-de-Guanajuato-1.pdf" TargetMode="External"/><Relationship Id="rId226" Type="http://schemas.openxmlformats.org/officeDocument/2006/relationships/hyperlink" Target="https://boletines.guanajuato.gob.mx/2023/06/02/ssg-otorgo-3-mil-600-bases-a-personal-de-salud/?fbclid=IwAR0WbaTNeB-ezsveGZw95kgKQXdy_s6f5BD5DH9tn5ZfjZGG4uCgKIFtSzo" TargetMode="External"/><Relationship Id="rId268" Type="http://schemas.openxmlformats.org/officeDocument/2006/relationships/hyperlink" Target="http://portal.te.gob.mx/legislacion-jurisprudencia/catalogo/2015-ley-general-de-instituciones-y-procedimientos" TargetMode="External"/><Relationship Id="rId32" Type="http://schemas.openxmlformats.org/officeDocument/2006/relationships/hyperlink" Target="https://www.corteidh.or.cr/tablas/r26677.pdf" TargetMode="External"/><Relationship Id="rId74" Type="http://schemas.openxmlformats.org/officeDocument/2006/relationships/hyperlink" Target="https://periodicocorreo.com.mx/vida-publica/destapan-caso-de-abuso-sexual-a-clavadista-representante-de-guanajuato-20220816-61002.html" TargetMode="External"/><Relationship Id="rId128" Type="http://schemas.openxmlformats.org/officeDocument/2006/relationships/hyperlink" Target="https://www.cbcs.gob.mx/index.php/boletines-2023-1/6701-la-ley-de-movilidad-y-seguridad-vial-contara-con-techo-financiero-para-el-2024-diputado-denny-manuel-guerrero" TargetMode="External"/><Relationship Id="rId5" Type="http://schemas.openxmlformats.org/officeDocument/2006/relationships/hyperlink" Target="https://www.inegi.org.mx/contenidos/saladeprensa/boletines/2021/EstSociodemo/ENBIARE_2021.pdf" TargetMode="External"/><Relationship Id="rId181" Type="http://schemas.openxmlformats.org/officeDocument/2006/relationships/hyperlink" Target="https://imug.guanajuato.gob.mx/wp-content/uploads/2022/09/Acoso-callejero-a-mujeres-en-el-estado-de-Guanajuato-1.pdf" TargetMode="External"/><Relationship Id="rId237" Type="http://schemas.openxmlformats.org/officeDocument/2006/relationships/hyperlink" Target="https://congreso-gto.s3.amazonaws.com/uploads/orden_archivo/archivo/29944/14_PPA_GPPMORENA_Ayttos_y_Com_Estatal_de_Bu_squeda_de_personas_56905__22_JUN_23_.pdf" TargetMode="External"/><Relationship Id="rId279" Type="http://schemas.openxmlformats.org/officeDocument/2006/relationships/hyperlink" Target="https://congreso-gto.s3.amazonaws.com/uploads/orden_archivo/archivo/29959/29_Dictamen_punto_acuerdo_Dip_Prieto.pdf" TargetMode="External"/><Relationship Id="rId43" Type="http://schemas.openxmlformats.org/officeDocument/2006/relationships/hyperlink" Target="https://www.elfinanciero.com.mx/deportes/2022/03/19/vivo-con-miedo-la-futbolista-nailea-vidrio-habla-del-acoso-que-sufrio-en-el-nou-camp/" TargetMode="External"/><Relationship Id="rId139" Type="http://schemas.openxmlformats.org/officeDocument/2006/relationships/hyperlink" Target="http://congresomich.gob.mx/aprueba-75-legislatura-ley-de-movilidad-y-seguridad-vial/" TargetMode="External"/><Relationship Id="rId290" Type="http://schemas.openxmlformats.org/officeDocument/2006/relationships/hyperlink" Target="https://congreso-gto.s3.amazonaws.com/uploads/orden_archivo/archivo/29970/40_Tierra_Blanca_cuenta_pu_blica_2021.pdf" TargetMode="External"/><Relationship Id="rId85" Type="http://schemas.openxmlformats.org/officeDocument/2006/relationships/hyperlink" Target="https://periodicocorreo.com.mx/vida-publica/destapan-caso-de-abuso-sexual-a-clavadista-representante-de-guanajuato-20220816-61002.html" TargetMode="External"/><Relationship Id="rId150" Type="http://schemas.openxmlformats.org/officeDocument/2006/relationships/hyperlink" Target="http://congresomich.gob.mx/aprueba-75-legislatura-ley-de-movilidad-y-seguridad-vial/" TargetMode="External"/><Relationship Id="rId192" Type="http://schemas.openxmlformats.org/officeDocument/2006/relationships/hyperlink" Target="https://transport.ec.europa.eu/transport-themes/social-issues-equality-and-attractiveness-transport-sector/equality/women-transport_en" TargetMode="External"/><Relationship Id="rId206" Type="http://schemas.openxmlformats.org/officeDocument/2006/relationships/hyperlink" Target="https://transport.ec.europa.eu/transport-themes/social-issues-equality-and-attractiveness-transport-sector/equality/women-transport_en" TargetMode="External"/><Relationship Id="rId248" Type="http://schemas.openxmlformats.org/officeDocument/2006/relationships/hyperlink" Target="https://congreso-gto.s3.amazonaws.com/uploads/orden_archivo/archivo/29950/20_Dictamen_ELD_263_LXV-PPA_130623_firmado.pdf" TargetMode="External"/><Relationship Id="rId12" Type="http://schemas.openxmlformats.org/officeDocument/2006/relationships/hyperlink" Target="https://idus.us.es/bitstream/handle/11441/41137/Pages%20from%20Investigacion_Genero_14-2-3.pdf?sequence=1&amp;isAllowed=y" TargetMode="External"/><Relationship Id="rId108" Type="http://schemas.openxmlformats.org/officeDocument/2006/relationships/hyperlink" Target="https://www.cbcs.gob.mx/index.php/boletines-2023-1/6701-la-ley-de-movilidad-y-seguridad-vial-contara-con-techo-financiero-para-el-2024-diputado-denny-manuel-guerrero" TargetMode="External"/><Relationship Id="rId54" Type="http://schemas.openxmlformats.org/officeDocument/2006/relationships/hyperlink" Target="https://www.elfinanciero.com.mx/deportes/2022/03/19/vivo-con-miedo-la-futbolista-nailea-vidrio-habla-del-acoso-que-sufrio-en-el-nou-camp/" TargetMode="External"/><Relationship Id="rId75" Type="http://schemas.openxmlformats.org/officeDocument/2006/relationships/hyperlink" Target="https://periodicocorreo.com.mx/vida-publica/destapan-caso-de-abuso-sexual-a-clavadista-representante-de-guanajuato-20220816-61002.html" TargetMode="External"/><Relationship Id="rId96" Type="http://schemas.openxmlformats.org/officeDocument/2006/relationships/hyperlink" Target="https://www.cbcs.gob.mx/index.php/boletines-2023-1/6701-la-ley-de-movilidad-y-seguridad-vial-contara-con-techo-financiero-para-el-2024-diputado-denny-manuel-guerrero" TargetMode="External"/><Relationship Id="rId140" Type="http://schemas.openxmlformats.org/officeDocument/2006/relationships/hyperlink" Target="http://congresomich.gob.mx/aprueba-75-legislatura-ley-de-movilidad-y-seguridad-vial/" TargetMode="External"/><Relationship Id="rId161" Type="http://schemas.openxmlformats.org/officeDocument/2006/relationships/hyperlink" Target="https://coalicionmovilidadsegura.mx/wp-content/uploads/2022/10/Codigo_abierto_Leyes_Movilidad_y-_Seguridad-_vial_V1.0_Oct_2022.pdf" TargetMode="External"/><Relationship Id="rId182" Type="http://schemas.openxmlformats.org/officeDocument/2006/relationships/hyperlink" Target="https://imug.guanajuato.gob.mx/wp-content/uploads/2022/09/Acoso-callejero-a-mujeres-en-el-estado-de-Guanajuato-1.pdf" TargetMode="External"/><Relationship Id="rId217" Type="http://schemas.openxmlformats.org/officeDocument/2006/relationships/hyperlink" Target="https://www.elfinanciero.com.mx/nacional/gobernador-de-guanajuato-anuncia-un-fondo-economico-para-trabajadores-de-la-salud-en-el-estado/" TargetMode="External"/><Relationship Id="rId6" Type="http://schemas.openxmlformats.org/officeDocument/2006/relationships/hyperlink" Target="https://www.inegi.org.mx/rnm/index.php/catalog/334/datafile/F79/V753" TargetMode="External"/><Relationship Id="rId238" Type="http://schemas.openxmlformats.org/officeDocument/2006/relationships/hyperlink" Target="https://congreso-gto.s3.amazonaws.com/uploads/orden_archivo/archivo/29945/15_PPA_GPPMORENA_Pedro_Fco_Rguez_San_Felipe-_Tlaxcala_56899__22_JUN_2023_.pdf" TargetMode="External"/><Relationship Id="rId259" Type="http://schemas.openxmlformats.org/officeDocument/2006/relationships/hyperlink" Target="https://congreso-gto.s3.amazonaws.com/uploads/orden_archivo/archivo/29951/21_Dictamen_Exhorto_Municipios_y_PC_seguridad_en_eventos_con_aeronaves.pdf" TargetMode="External"/><Relationship Id="rId23" Type="http://schemas.openxmlformats.org/officeDocument/2006/relationships/hyperlink" Target="https://www.cndh.org.mx/sites/default/files/documentos/2019-11/Bullying-equidad-genero-deporte-Mexico.pdf" TargetMode="External"/><Relationship Id="rId119" Type="http://schemas.openxmlformats.org/officeDocument/2006/relationships/hyperlink" Target="https://www.cbcs.gob.mx/index.php/boletines-2023-1/6701-la-ley-de-movilidad-y-seguridad-vial-contara-con-techo-financiero-para-el-2024-diputado-denny-manuel-guerrero" TargetMode="External"/><Relationship Id="rId270" Type="http://schemas.openxmlformats.org/officeDocument/2006/relationships/hyperlink" Target="https://congreso-gto.s3.amazonaws.com/uploads/orden_archivo/archivo/29953/23_ELD_329_LXV-I_Dictamen_iniciativa_CC_asambleas_generales_GPPAN.pdf" TargetMode="External"/><Relationship Id="rId291" Type="http://schemas.openxmlformats.org/officeDocument/2006/relationships/hyperlink" Target="https://congreso-gto.s3.amazonaws.com/uploads/orden_archivo/archivo/29971/41_Dictamen_cuenta_pu_blica_Xichu__2021.pdf" TargetMode="External"/><Relationship Id="rId44" Type="http://schemas.openxmlformats.org/officeDocument/2006/relationships/hyperlink" Target="https://www.elfinanciero.com.mx/deportes/2022/03/19/vivo-con-miedo-la-futbolista-nailea-vidrio-habla-del-acoso-que-sufrio-en-el-nou-camp/" TargetMode="External"/><Relationship Id="rId65" Type="http://schemas.openxmlformats.org/officeDocument/2006/relationships/hyperlink" Target="https://www.elfinanciero.com.mx/deportes/2022/03/19/vivo-con-miedo-la-futbolista-nailea-vidrio-habla-del-acoso-que-sufrio-en-el-nou-camp/" TargetMode="External"/><Relationship Id="rId86" Type="http://schemas.openxmlformats.org/officeDocument/2006/relationships/hyperlink" Target="https://periodicocorreo.com.mx/vida-publica/destapan-caso-de-abuso-sexual-a-clavadista-representante-de-guanajuato-20220816-61002.html" TargetMode="External"/><Relationship Id="rId130" Type="http://schemas.openxmlformats.org/officeDocument/2006/relationships/hyperlink" Target="https://www.cbcs.gob.mx/index.php/boletines-2023-1/6701-la-ley-de-movilidad-y-seguridad-vial-contara-con-techo-financiero-para-el-2024-diputado-denny-manuel-guerrero" TargetMode="External"/><Relationship Id="rId151" Type="http://schemas.openxmlformats.org/officeDocument/2006/relationships/hyperlink" Target="http://congresomich.gob.mx/aprueba-75-legislatura-ley-de-movilidad-y-seguridad-vial/" TargetMode="External"/><Relationship Id="rId172" Type="http://schemas.openxmlformats.org/officeDocument/2006/relationships/hyperlink" Target="https://imug.guanajuato.gob.mx/wp-content/uploads/2022/09/Acoso-callejero-a-mujeres-en-el-estado-de-Guanajuato-1.pdf" TargetMode="External"/><Relationship Id="rId193" Type="http://schemas.openxmlformats.org/officeDocument/2006/relationships/hyperlink" Target="https://transport.ec.europa.eu/transport-themes/social-issues-equality-and-attractiveness-transport-sector/equality/women-transport_en" TargetMode="External"/><Relationship Id="rId207" Type="http://schemas.openxmlformats.org/officeDocument/2006/relationships/hyperlink" Target="https://transport.ec.europa.eu/transport-themes/social-issues-equality-and-attractiveness-transport-sector/equality/women-transport_en" TargetMode="External"/><Relationship Id="rId228" Type="http://schemas.openxmlformats.org/officeDocument/2006/relationships/hyperlink" Target="https://zonafranca.mx/politica-sociedad/ddhh/personal-de-salud-manifiesta-inconformidad-en-redes-sociales-por-bases/" TargetMode="External"/><Relationship Id="rId249" Type="http://schemas.openxmlformats.org/officeDocument/2006/relationships/hyperlink" Target="https://www.diputados.gob.mx/LeyesBiblio/ref/cpeum.htm" TargetMode="External"/><Relationship Id="rId13" Type="http://schemas.openxmlformats.org/officeDocument/2006/relationships/hyperlink" Target="https://idus.us.es/bitstream/handle/11441/41137/Pages%20from%20Investigacion_Genero_14-2-3.pdf?sequence=1&amp;isAllowed=y" TargetMode="External"/><Relationship Id="rId109" Type="http://schemas.openxmlformats.org/officeDocument/2006/relationships/hyperlink" Target="https://www.cbcs.gob.mx/index.php/boletines-2023-1/6701-la-ley-de-movilidad-y-seguridad-vial-contara-con-techo-financiero-para-el-2024-diputado-denny-manuel-guerrero" TargetMode="External"/><Relationship Id="rId260" Type="http://schemas.openxmlformats.org/officeDocument/2006/relationships/hyperlink" Target="https://congreso-gto.s3.amazonaws.com/uploads/orden_archivo/archivo/29952/22_Dictamen_positivo_CPEGTO_suspension_derechos_19062023_VB.pdf" TargetMode="External"/><Relationship Id="rId281" Type="http://schemas.openxmlformats.org/officeDocument/2006/relationships/hyperlink" Target="https://congreso-gto.s3.amazonaws.com/uploads/orden_archivo/archivo/29961/31_Dictamen_auditori_a_integral_Aca_mbaro.pdf" TargetMode="External"/><Relationship Id="rId34" Type="http://schemas.openxmlformats.org/officeDocument/2006/relationships/hyperlink" Target="https://www.corteidh.or.cr/tablas/r26677.pdf" TargetMode="External"/><Relationship Id="rId55" Type="http://schemas.openxmlformats.org/officeDocument/2006/relationships/hyperlink" Target="https://www.elfinanciero.com.mx/deportes/2022/03/19/vivo-con-miedo-la-futbolista-nailea-vidrio-habla-del-acoso-que-sufrio-en-el-nou-camp/" TargetMode="External"/><Relationship Id="rId76" Type="http://schemas.openxmlformats.org/officeDocument/2006/relationships/hyperlink" Target="https://periodicocorreo.com.mx/vida-publica/destapan-caso-de-abuso-sexual-a-clavadista-representante-de-guanajuato-20220816-61002.html" TargetMode="External"/><Relationship Id="rId97" Type="http://schemas.openxmlformats.org/officeDocument/2006/relationships/hyperlink" Target="https://www.cbcs.gob.mx/index.php/boletines-2023-1/6701-la-ley-de-movilidad-y-seguridad-vial-contara-con-techo-financiero-para-el-2024-diputado-denny-manuel-guerrero" TargetMode="External"/><Relationship Id="rId120" Type="http://schemas.openxmlformats.org/officeDocument/2006/relationships/hyperlink" Target="https://www.cbcs.gob.mx/index.php/boletines-2023-1/6701-la-ley-de-movilidad-y-seguridad-vial-contara-con-techo-financiero-para-el-2024-diputado-denny-manuel-guerrero" TargetMode="External"/><Relationship Id="rId141" Type="http://schemas.openxmlformats.org/officeDocument/2006/relationships/hyperlink" Target="http://congresomich.gob.mx/aprueba-75-legislatura-ley-de-movilidad-y-seguridad-vial/" TargetMode="External"/><Relationship Id="rId7" Type="http://schemas.openxmlformats.org/officeDocument/2006/relationships/hyperlink" Target="https://www.gob.mx/conanp/articulos/proclamacion-de-la-declaracion-universal-de-los-derechos-de-los-animales-223028" TargetMode="External"/><Relationship Id="rId162" Type="http://schemas.openxmlformats.org/officeDocument/2006/relationships/hyperlink" Target="https://www.congresogto.gob.mx/expedientes_legislativos_digitales/iniciativas/5886" TargetMode="External"/><Relationship Id="rId183" Type="http://schemas.openxmlformats.org/officeDocument/2006/relationships/hyperlink" Target="https://imug.guanajuato.gob.mx/wp-content/uploads/2022/09/Acoso-callejero-a-mujeres-en-el-estado-de-Guanajuato-1.pdf" TargetMode="External"/><Relationship Id="rId218" Type="http://schemas.openxmlformats.org/officeDocument/2006/relationships/hyperlink" Target="https://poplab.mx/v2/story/Fueron-heroes-en-la-pandemia-hoy-el-gobierno-les-regatea-derechos-prometidos-e-inicia-represion" TargetMode="External"/><Relationship Id="rId239" Type="http://schemas.openxmlformats.org/officeDocument/2006/relationships/hyperlink" Target="https://congreso-gto.s3.amazonaws.com/uploads/orden_archivo/archivo/29946/16_PPA_GPPMORENA_ASEG-FIDESSEG_56902__22_JUNIO_23_.pdf" TargetMode="External"/><Relationship Id="rId250" Type="http://schemas.openxmlformats.org/officeDocument/2006/relationships/hyperlink" Target="https://www.diputados.gob.mx/LeyesBiblio/ref/lfd.htm" TargetMode="External"/><Relationship Id="rId271" Type="http://schemas.openxmlformats.org/officeDocument/2006/relationships/hyperlink" Target="https://congreso-gto.s3.amazonaws.com/uploads/orden_archivo/archivo/30002/24__Dictamen_337_LXV_I.pdf" TargetMode="External"/><Relationship Id="rId292" Type="http://schemas.openxmlformats.org/officeDocument/2006/relationships/hyperlink" Target="https://congreso-gto.s3.amazonaws.com/uploads/orden_archivo/archivo/29972/44__ELD_311_LXV_IRASEG_Dictamen_cuenta_pu_blica_Dolores_Hidalgo_2021.pdf" TargetMode="External"/><Relationship Id="rId24" Type="http://schemas.openxmlformats.org/officeDocument/2006/relationships/hyperlink" Target="https://www.corteidh.or.cr/tablas/r25555.pdf" TargetMode="External"/><Relationship Id="rId45" Type="http://schemas.openxmlformats.org/officeDocument/2006/relationships/hyperlink" Target="https://www.elfinanciero.com.mx/deportes/2022/03/19/vivo-con-miedo-la-futbolista-nailea-vidrio-habla-del-acoso-que-sufrio-en-el-nou-camp/" TargetMode="External"/><Relationship Id="rId66" Type="http://schemas.openxmlformats.org/officeDocument/2006/relationships/hyperlink" Target="https://www.elfinanciero.com.mx/deportes/2022/03/19/vivo-con-miedo-la-futbolista-nailea-vidrio-habla-del-acoso-que-sufrio-en-el-nou-camp/" TargetMode="External"/><Relationship Id="rId87" Type="http://schemas.openxmlformats.org/officeDocument/2006/relationships/hyperlink" Target="https://periodicocorreo.com.mx/vida-publica/destapan-caso-de-abuso-sexual-a-clavadista-representante-de-guanajuato-20220816-61002.html" TargetMode="External"/><Relationship Id="rId110" Type="http://schemas.openxmlformats.org/officeDocument/2006/relationships/hyperlink" Target="https://www.cbcs.gob.mx/index.php/boletines-2023-1/6701-la-ley-de-movilidad-y-seguridad-vial-contara-con-techo-financiero-para-el-2024-diputado-denny-manuel-guerrero" TargetMode="External"/><Relationship Id="rId131" Type="http://schemas.openxmlformats.org/officeDocument/2006/relationships/hyperlink" Target="https://www.cbcs.gob.mx/index.php/boletines-2023-1/6701-la-ley-de-movilidad-y-seguridad-vial-contara-con-techo-financiero-para-el-2024-diputado-denny-manuel-guerrero" TargetMode="External"/><Relationship Id="rId152" Type="http://schemas.openxmlformats.org/officeDocument/2006/relationships/hyperlink" Target="http://congresomich.gob.mx/aprueba-75-legislatura-ley-de-movilidad-y-seguridad-vial/" TargetMode="External"/><Relationship Id="rId173" Type="http://schemas.openxmlformats.org/officeDocument/2006/relationships/hyperlink" Target="https://imug.guanajuato.gob.mx/wp-content/uploads/2022/09/Acoso-callejero-a-mujeres-en-el-estado-de-Guanajuato-1.pdf" TargetMode="External"/><Relationship Id="rId194" Type="http://schemas.openxmlformats.org/officeDocument/2006/relationships/hyperlink" Target="https://transport.ec.europa.eu/transport-themes/social-issues-equality-and-attractiveness-transport-sector/equality/women-transport_en" TargetMode="External"/><Relationship Id="rId208" Type="http://schemas.openxmlformats.org/officeDocument/2006/relationships/hyperlink" Target="https://eurecat.org/es/portfolio-items/diamond/" TargetMode="External"/><Relationship Id="rId229" Type="http://schemas.openxmlformats.org/officeDocument/2006/relationships/hyperlink" Target="https://congreso-gto.s3.amazonaws.com/uploads/orden_archivo/archivo/29941/11_PPA_GPPAN_Protec_Civil_Bom_y_Seg_Cdana_56896__22_JUNIO_23_.pdf" TargetMode="External"/><Relationship Id="rId240" Type="http://schemas.openxmlformats.org/officeDocument/2006/relationships/hyperlink" Target="https://portaldgi.guanajuato.gob.mx/CuentaPub%20vlica/public/uploads/2020/CPA/52.2_FIDESSEG/04%20Im%20" TargetMode="External"/><Relationship Id="rId261" Type="http://schemas.openxmlformats.org/officeDocument/2006/relationships/hyperlink" Target="https://www.ohchr.org/es/treaty-bodies/cedaw/general-recommendations" TargetMode="External"/><Relationship Id="rId14" Type="http://schemas.openxmlformats.org/officeDocument/2006/relationships/hyperlink" Target="https://www.cndh.org.mx/sites/default/files/documentos/2019-11/Bullying-equidad-genero-deporte-Mexico.pdf" TargetMode="External"/><Relationship Id="rId35" Type="http://schemas.openxmlformats.org/officeDocument/2006/relationships/hyperlink" Target="https://congreso-gto.s3.amazonaws.com/uploads/orden_archivo/archivo/29936/06_Iniciativa_GPPMORENA_ref_y_adic_Ley_de_Cultura_Fi_sica_y_Dep_56894__22_JUNIO_23_.pdf" TargetMode="External"/><Relationship Id="rId56" Type="http://schemas.openxmlformats.org/officeDocument/2006/relationships/hyperlink" Target="https://www.elfinanciero.com.mx/deportes/2022/03/19/vivo-con-miedo-la-futbolista-nailea-vidrio-habla-del-acoso-que-sufrio-en-el-nou-camp/" TargetMode="External"/><Relationship Id="rId77" Type="http://schemas.openxmlformats.org/officeDocument/2006/relationships/hyperlink" Target="https://periodicocorreo.com.mx/vida-publica/destapan-caso-de-abuso-sexual-a-clavadista-representante-de-guanajuato-20220816-61002.html" TargetMode="External"/><Relationship Id="rId100" Type="http://schemas.openxmlformats.org/officeDocument/2006/relationships/hyperlink" Target="https://www.cbcs.gob.mx/index.php/boletines-2023-1/6701-la-ley-de-movilidad-y-seguridad-vial-contara-con-techo-financiero-para-el-2024-diputado-denny-manuel-guerrero" TargetMode="External"/><Relationship Id="rId282" Type="http://schemas.openxmlformats.org/officeDocument/2006/relationships/hyperlink" Target="https://congreso-gto.s3.amazonaws.com/uploads/orden_archivo/archivo/29962/34__ELD_313_LXV_IRASEG_Audit_Dolores_Hidalgo_infraestructura_pu_blica_2021.pdf" TargetMode="External"/><Relationship Id="rId8" Type="http://schemas.openxmlformats.org/officeDocument/2006/relationships/hyperlink" Target="https://noticias.imer.mx/blog/columna-la-justicia-social-para-los-animales/" TargetMode="External"/><Relationship Id="rId98" Type="http://schemas.openxmlformats.org/officeDocument/2006/relationships/hyperlink" Target="https://www.cbcs.gob.mx/index.php/boletines-2023-1/6701-la-ley-de-movilidad-y-seguridad-vial-contara-con-techo-financiero-para-el-2024-diputado-denny-manuel-guerrero" TargetMode="External"/><Relationship Id="rId121" Type="http://schemas.openxmlformats.org/officeDocument/2006/relationships/hyperlink" Target="https://www.cbcs.gob.mx/index.php/boletines-2023-1/6701-la-ley-de-movilidad-y-seguridad-vial-contara-con-techo-financiero-para-el-2024-diputado-denny-manuel-guerrero" TargetMode="External"/><Relationship Id="rId142" Type="http://schemas.openxmlformats.org/officeDocument/2006/relationships/hyperlink" Target="http://congresomich.gob.mx/aprueba-75-legislatura-ley-de-movilidad-y-seguridad-vial/" TargetMode="External"/><Relationship Id="rId163" Type="http://schemas.openxmlformats.org/officeDocument/2006/relationships/hyperlink" Target="https://www.congresogto.gob.mx/expedientes_legislativos_digitales/iniciativas/5886" TargetMode="External"/><Relationship Id="rId184" Type="http://schemas.openxmlformats.org/officeDocument/2006/relationships/hyperlink" Target="https://imug.guanajuato.gob.mx/wp-content/uploads/2022/09/Acoso-callejero-a-mujeres-en-el-estado-de-Guanajuato-1.pdf" TargetMode="External"/><Relationship Id="rId219" Type="http://schemas.openxmlformats.org/officeDocument/2006/relationships/hyperlink" Target="https://poplab.mx/v2/story/Fueron-heroes-en-la-pandemia-hoy-el-gobierno-les-regatea-derechos-prometidos-e-inicia-represion" TargetMode="External"/><Relationship Id="rId230" Type="http://schemas.openxmlformats.org/officeDocument/2006/relationships/hyperlink" Target="https://www.diputados.gob.mx/LeyesBiblio/pdf/LGIPD.pdf" TargetMode="External"/><Relationship Id="rId251" Type="http://schemas.openxmlformats.org/officeDocument/2006/relationships/hyperlink" Target="https://dof.gob.mx/nota_detalle.php?codigo=5232952&amp;fecha=08/02/2012" TargetMode="External"/><Relationship Id="rId25" Type="http://schemas.openxmlformats.org/officeDocument/2006/relationships/hyperlink" Target="https://www.corteidh.or.cr/tablas/r25555.pdf" TargetMode="External"/><Relationship Id="rId46" Type="http://schemas.openxmlformats.org/officeDocument/2006/relationships/hyperlink" Target="https://www.elfinanciero.com.mx/deportes/2022/03/19/vivo-con-miedo-la-futbolista-nailea-vidrio-habla-del-acoso-que-sufrio-en-el-nou-camp/" TargetMode="External"/><Relationship Id="rId67" Type="http://schemas.openxmlformats.org/officeDocument/2006/relationships/hyperlink" Target="https://www.elfinanciero.com.mx/deportes/2022/03/19/vivo-con-miedo-la-futbolista-nailea-vidrio-habla-del-acoso-que-sufrio-en-el-nou-camp/" TargetMode="External"/><Relationship Id="rId272" Type="http://schemas.openxmlformats.org/officeDocument/2006/relationships/hyperlink" Target="https://congreso-gto.s3.amazonaws.com/uploads/orden_archivo/archivo/30003/25__Dictamen_309_LXV_I.pdf" TargetMode="External"/><Relationship Id="rId293" Type="http://schemas.openxmlformats.org/officeDocument/2006/relationships/hyperlink" Target="https://congreso-gto.s3.amazonaws.com/uploads/orden_archivo/archivo/29973/43_Dictamen_cuenta_pu_blica_Santa_Cruz_de_Juventino_Rosas_2021.pdf" TargetMode="External"/><Relationship Id="rId88" Type="http://schemas.openxmlformats.org/officeDocument/2006/relationships/hyperlink" Target="https://periodicocorreo.com.mx/vida-publica/destapan-caso-de-abuso-sexual-a-clavadista-representante-de-guanajuato-20220816-61002.html" TargetMode="External"/><Relationship Id="rId111" Type="http://schemas.openxmlformats.org/officeDocument/2006/relationships/hyperlink" Target="https://www.cbcs.gob.mx/index.php/boletines-2023-1/6701-la-ley-de-movilidad-y-seguridad-vial-contara-con-techo-financiero-para-el-2024-diputado-denny-manuel-guerrero" TargetMode="External"/><Relationship Id="rId132" Type="http://schemas.openxmlformats.org/officeDocument/2006/relationships/hyperlink" Target="https://www.cbcs.gob.mx/index.php/boletines-2023-1/6701-la-ley-de-movilidad-y-seguridad-vial-contara-con-techo-financiero-para-el-2024-diputado-denny-manuel-guerrero" TargetMode="External"/><Relationship Id="rId153" Type="http://schemas.openxmlformats.org/officeDocument/2006/relationships/hyperlink" Target="http://congresomich.gob.mx/aprueba-75-legislatura-ley-de-movilidad-y-seguridad-vial/" TargetMode="External"/><Relationship Id="rId174" Type="http://schemas.openxmlformats.org/officeDocument/2006/relationships/hyperlink" Target="https://imug.guanajuato.gob.mx/wp-content/uploads/2022/09/Acoso-callejero-a-mujeres-en-el-estado-de-Guanajuato-1.pdf" TargetMode="External"/><Relationship Id="rId195" Type="http://schemas.openxmlformats.org/officeDocument/2006/relationships/hyperlink" Target="https://transport.ec.europa.eu/transport-themes/social-issues-equality-and-attractiveness-transport-sector/equality/women-transport_en" TargetMode="External"/><Relationship Id="rId209" Type="http://schemas.openxmlformats.org/officeDocument/2006/relationships/hyperlink" Target="https://eurecat.org/es/portfolio-items/diamond/" TargetMode="External"/><Relationship Id="rId220" Type="http://schemas.openxmlformats.org/officeDocument/2006/relationships/hyperlink" Target="https://poplab.mx/v2/story/Protesta-historica-de-personal-de-Salud-expande-movimiento-laboral-" TargetMode="External"/><Relationship Id="rId241" Type="http://schemas.openxmlformats.org/officeDocument/2006/relationships/hyperlink" Target="https://portaldgi.guanajuato.gob.mx/CuentaPublica/public/uploads/2020/CPA/52.2_FIDESSEG/04%20Impuestos%20FIDESSEG%2065-66.pdf" TargetMode="External"/><Relationship Id="rId15" Type="http://schemas.openxmlformats.org/officeDocument/2006/relationships/hyperlink" Target="https://www.cndh.org.mx/sites/default/files/documentos/2019-11/Bullying-equidad-genero-deporte-Mexico.pdf" TargetMode="External"/><Relationship Id="rId36" Type="http://schemas.openxmlformats.org/officeDocument/2006/relationships/hyperlink" Target="https://www.elfinanciero.com.mx/deportes/2022/03/19/vivo-con-miedo-la-futbolista-nailea-vidrio-habla-del-acoso-que-sufrio-en-el-nou-camp/" TargetMode="External"/><Relationship Id="rId57" Type="http://schemas.openxmlformats.org/officeDocument/2006/relationships/hyperlink" Target="https://www.elfinanciero.com.mx/deportes/2022/03/19/vivo-con-miedo-la-futbolista-nailea-vidrio-habla-del-acoso-que-sufrio-en-el-nou-camp/" TargetMode="External"/><Relationship Id="rId262" Type="http://schemas.openxmlformats.org/officeDocument/2006/relationships/hyperlink" Target="https://tbinternet.ohchr.org/_layouts/15/treatybodyexternal/TBSearch.aspx?Lang=en&amp;TreatyID=3&amp;DocTypeID=11" TargetMode="External"/><Relationship Id="rId283" Type="http://schemas.openxmlformats.org/officeDocument/2006/relationships/hyperlink" Target="https://congreso-gto.s3.amazonaws.com/uploads/orden_archivo/archivo/29963/33_Audit_San_Miguel_de_Allende_infraestructura_pu_blica_2021.pdf" TargetMode="External"/><Relationship Id="rId78" Type="http://schemas.openxmlformats.org/officeDocument/2006/relationships/hyperlink" Target="https://periodicocorreo.com.mx/vida-publica/destapan-caso-de-abuso-sexual-a-clavadista-representante-de-guanajuato-20220816-61002.html" TargetMode="External"/><Relationship Id="rId99" Type="http://schemas.openxmlformats.org/officeDocument/2006/relationships/hyperlink" Target="https://www.cbcs.gob.mx/index.php/boletines-2023-1/6701-la-ley-de-movilidad-y-seguridad-vial-contara-con-techo-financiero-para-el-2024-diputado-denny-manuel-guerrero" TargetMode="External"/><Relationship Id="rId101" Type="http://schemas.openxmlformats.org/officeDocument/2006/relationships/hyperlink" Target="https://www.cbcs.gob.mx/index.php/boletines-2023-1/6701-la-ley-de-movilidad-y-seguridad-vial-contara-con-techo-financiero-para-el-2024-diputado-denny-manuel-guerrero" TargetMode="External"/><Relationship Id="rId122" Type="http://schemas.openxmlformats.org/officeDocument/2006/relationships/hyperlink" Target="https://www.cbcs.gob.mx/index.php/boletines-2023-1/6701-la-ley-de-movilidad-y-seguridad-vial-contara-con-techo-financiero-para-el-2024-diputado-denny-manuel-guerrero" TargetMode="External"/><Relationship Id="rId143" Type="http://schemas.openxmlformats.org/officeDocument/2006/relationships/hyperlink" Target="http://congresomich.gob.mx/aprueba-75-legislatura-ley-de-movilidad-y-seguridad-vial/" TargetMode="External"/><Relationship Id="rId164" Type="http://schemas.openxmlformats.org/officeDocument/2006/relationships/hyperlink" Target="https://repositorio.cepal.org/bitstream/handle/11362/45032/4/S1900723_es.pdf" TargetMode="External"/><Relationship Id="rId185" Type="http://schemas.openxmlformats.org/officeDocument/2006/relationships/hyperlink" Target="https://imug.guanajuato.gob.mx/wp-content/uploads/2022/09/Acoso-callejero-a-mujeres-en-el-estado-de-Guanajuato-1.pdf" TargetMode="External"/><Relationship Id="rId9" Type="http://schemas.openxmlformats.org/officeDocument/2006/relationships/hyperlink" Target="https://congreso-gto.s3.amazonaws.com/uploads/orden_archivo/archivo/29935/05_Iniciativa_GPPRI_ref_y_adici_Ley_de_Cultura_Fi_sica_y_Dep_56895__22_JUNIO_23_.pdf" TargetMode="External"/><Relationship Id="rId210" Type="http://schemas.openxmlformats.org/officeDocument/2006/relationships/hyperlink" Target="https://eurecat.org/es/portfolio-items/diamond/" TargetMode="External"/><Relationship Id="rId26" Type="http://schemas.openxmlformats.org/officeDocument/2006/relationships/hyperlink" Target="https://www.corteidh.or.cr/tablas/r25555.pdf" TargetMode="External"/><Relationship Id="rId231" Type="http://schemas.openxmlformats.org/officeDocument/2006/relationships/hyperlink" Target="https://www.un.org/esa/socdev/enable/documents/tccconvs.pdf" TargetMode="External"/><Relationship Id="rId252" Type="http://schemas.openxmlformats.org/officeDocument/2006/relationships/hyperlink" Target="https://www.dof.gob.mx/nota_detalle.php?codigo=5652868&amp;fecha=23/05/2022" TargetMode="External"/><Relationship Id="rId273" Type="http://schemas.openxmlformats.org/officeDocument/2006/relationships/hyperlink" Target="https://www.cndh.org.mx/noticia/dia-internacional-de-las-mujeres-rurales" TargetMode="External"/><Relationship Id="rId294" Type="http://schemas.openxmlformats.org/officeDocument/2006/relationships/hyperlink" Target="https://congreso-gto.s3.amazonaws.com/uploads/orden_archivo/archivo/29974/44_Dictamen_cuenta_pu_blica_Abasolo_2021.pdf" TargetMode="External"/><Relationship Id="rId47" Type="http://schemas.openxmlformats.org/officeDocument/2006/relationships/hyperlink" Target="https://www.elfinanciero.com.mx/deportes/2022/03/19/vivo-con-miedo-la-futbolista-nailea-vidrio-habla-del-acoso-que-sufrio-en-el-nou-camp/" TargetMode="External"/><Relationship Id="rId68" Type="http://schemas.openxmlformats.org/officeDocument/2006/relationships/hyperlink" Target="https://periodicocorreo.com.mx/vida-publica/destapan-caso-de-abuso-sexual-a-clavadista-representante-de-guanajuato-20220816-61002.html" TargetMode="External"/><Relationship Id="rId89" Type="http://schemas.openxmlformats.org/officeDocument/2006/relationships/hyperlink" Target="https://periodicocorreo.com.mx/vida-publica/destapan-caso-de-abuso-sexual-a-clavadista-representante-de-guanajuato-20220816-61002.html" TargetMode="External"/><Relationship Id="rId112" Type="http://schemas.openxmlformats.org/officeDocument/2006/relationships/hyperlink" Target="https://www.cbcs.gob.mx/index.php/boletines-2023-1/6701-la-ley-de-movilidad-y-seguridad-vial-contara-con-techo-financiero-para-el-2024-diputado-denny-manuel-guerrero" TargetMode="External"/><Relationship Id="rId133" Type="http://schemas.openxmlformats.org/officeDocument/2006/relationships/hyperlink" Target="https://www.cbcs.gob.mx/index.php/boletines-2023-1/6701-la-ley-de-movilidad-y-seguridad-vial-contara-con-techo-financiero-para-el-2024-diputado-denny-manuel-guerrero" TargetMode="External"/><Relationship Id="rId154" Type="http://schemas.openxmlformats.org/officeDocument/2006/relationships/hyperlink" Target="https://coalicionmovilidadsegura.mx/wp-content/uploads/2022/10/Codigo_abierto_Leyes_Movilidad_y-_Seguridad-_vial_V1.0_Oct_2022.pdf" TargetMode="External"/><Relationship Id="rId175" Type="http://schemas.openxmlformats.org/officeDocument/2006/relationships/hyperlink" Target="https://imug.guanajuato.gob.mx/wp-content/uploads/2022/09/Acoso-callejero-a-mujeres-en-el-estado-de-Guanajuato-1.pdf" TargetMode="External"/><Relationship Id="rId196" Type="http://schemas.openxmlformats.org/officeDocument/2006/relationships/hyperlink" Target="https://transport.ec.europa.eu/transport-themes/social-issues-equality-and-attractiveness-transport-sector/equality/women-transport_en" TargetMode="External"/><Relationship Id="rId200" Type="http://schemas.openxmlformats.org/officeDocument/2006/relationships/hyperlink" Target="https://transport.ec.europa.eu/transport-themes/social-issues-equality-and-attractiveness-transport-sector/equality/women-transport_en" TargetMode="External"/><Relationship Id="rId16" Type="http://schemas.openxmlformats.org/officeDocument/2006/relationships/hyperlink" Target="https://www.cndh.org.mx/sites/default/files/documentos/2019-11/Bullying-equidad-genero-deporte-Mexico.pdf" TargetMode="External"/><Relationship Id="rId221" Type="http://schemas.openxmlformats.org/officeDocument/2006/relationships/hyperlink" Target="https://poplab.mx/v2/story/Protesta-historica-de-personal-de-Salud-expande-movimiento-laboral-" TargetMode="External"/><Relationship Id="rId242" Type="http://schemas.openxmlformats.org/officeDocument/2006/relationships/hyperlink" Target="https://portaldgi.guanajuato.gob.mx/CuentaPublica/public/uploads/2020/CPA/52.2_FIDESSEG/04%20Impuestos%20FIDESSEG%2065-66.pdf" TargetMode="External"/><Relationship Id="rId263" Type="http://schemas.openxmlformats.org/officeDocument/2006/relationships/hyperlink" Target="https://igualdad.ine.mx/mujeres-en-la-politica/violencia-politica/" TargetMode="External"/><Relationship Id="rId284" Type="http://schemas.openxmlformats.org/officeDocument/2006/relationships/hyperlink" Target="https://congreso-gto.s3.amazonaws.com/uploads/orden_archivo/archivo/29964/34_Audit_Leo_n_infraestructura_pu_blica_2021.pdf" TargetMode="External"/><Relationship Id="rId37" Type="http://schemas.openxmlformats.org/officeDocument/2006/relationships/hyperlink" Target="https://www.elfinanciero.com.mx/deportes/2022/03/19/vivo-con-miedo-la-futbolista-nailea-vidrio-habla-del-acoso-que-sufrio-en-el-nou-camp/" TargetMode="External"/><Relationship Id="rId58" Type="http://schemas.openxmlformats.org/officeDocument/2006/relationships/hyperlink" Target="https://www.elfinanciero.com.mx/deportes/2022/03/19/vivo-con-miedo-la-futbolista-nailea-vidrio-habla-del-acoso-que-sufrio-en-el-nou-camp/" TargetMode="External"/><Relationship Id="rId79" Type="http://schemas.openxmlformats.org/officeDocument/2006/relationships/hyperlink" Target="https://periodicocorreo.com.mx/vida-publica/destapan-caso-de-abuso-sexual-a-clavadista-representante-de-guanajuato-20220816-61002.html" TargetMode="External"/><Relationship Id="rId102" Type="http://schemas.openxmlformats.org/officeDocument/2006/relationships/hyperlink" Target="https://www.cbcs.gob.mx/index.php/boletines-2023-1/6701-la-ley-de-movilidad-y-seguridad-vial-contara-con-techo-financiero-para-el-2024-diputado-denny-manuel-guerrero" TargetMode="External"/><Relationship Id="rId123" Type="http://schemas.openxmlformats.org/officeDocument/2006/relationships/hyperlink" Target="https://www.cbcs.gob.mx/index.php/boletines-2023-1/6701-la-ley-de-movilidad-y-seguridad-vial-contara-con-techo-financiero-para-el-2024-diputado-denny-manuel-guerrero" TargetMode="External"/><Relationship Id="rId144" Type="http://schemas.openxmlformats.org/officeDocument/2006/relationships/hyperlink" Target="http://congresomich.gob.mx/aprueba-75-legislatura-ley-de-movilidad-y-seguridad-vial/" TargetMode="External"/><Relationship Id="rId90" Type="http://schemas.openxmlformats.org/officeDocument/2006/relationships/hyperlink" Target="https://periodicocorreo.com.mx/vida-publica/destapan-caso-de-abuso-sexual-a-clavadista-representante-de-guanajuato-20220816-61002.html" TargetMode="External"/><Relationship Id="rId165" Type="http://schemas.openxmlformats.org/officeDocument/2006/relationships/hyperlink" Target="https://repositorio.cepal.org/bitstream/handle/11362/45032/4/S1900723_es.pdf" TargetMode="External"/><Relationship Id="rId186" Type="http://schemas.openxmlformats.org/officeDocument/2006/relationships/hyperlink" Target="https://imug.guanajuato.gob.mx/wp-content/uploads/2022/09/Acoso-callejero-a-mujeres-en-el-estado-de-Guanajuato-1.pdf" TargetMode="External"/><Relationship Id="rId211" Type="http://schemas.openxmlformats.org/officeDocument/2006/relationships/hyperlink" Target="https://eurecat.org/es/portfolio-items/diamond/" TargetMode="External"/><Relationship Id="rId232" Type="http://schemas.openxmlformats.org/officeDocument/2006/relationships/hyperlink" Target="https://www.diputados.gob.mx/LeyesBiblio/pdf/LFPED.pdf" TargetMode="External"/><Relationship Id="rId253" Type="http://schemas.openxmlformats.org/officeDocument/2006/relationships/hyperlink" Target="https://www.internet2.scjn.gob.mx/red2/comunicados/noticia.asp?id=6746" TargetMode="External"/><Relationship Id="rId274" Type="http://schemas.openxmlformats.org/officeDocument/2006/relationships/hyperlink" Target="https://congreso-gto.s3.amazonaws.com/uploads/orden_archivo/archivo/29954/24_Dictamen_exhorto_contralor_mpal_SMA_cuenta_pu_blica_2019.pdf" TargetMode="External"/><Relationship Id="rId295" Type="http://schemas.openxmlformats.org/officeDocument/2006/relationships/hyperlink" Target="https://congreso-gto.s3.amazonaws.com/uploads/orden_archivo/archivo/29975/45_Dictamen_cuenta_pu_blica_Pueblo_Nuevo_2021.pdf" TargetMode="External"/><Relationship Id="rId27" Type="http://schemas.openxmlformats.org/officeDocument/2006/relationships/hyperlink" Target="https://www.corteidh.or.cr/tablas/r25555.pdf" TargetMode="External"/><Relationship Id="rId48" Type="http://schemas.openxmlformats.org/officeDocument/2006/relationships/hyperlink" Target="https://www.elfinanciero.com.mx/deportes/2022/03/19/vivo-con-miedo-la-futbolista-nailea-vidrio-habla-del-acoso-que-sufrio-en-el-nou-camp/" TargetMode="External"/><Relationship Id="rId69" Type="http://schemas.openxmlformats.org/officeDocument/2006/relationships/hyperlink" Target="https://periodicocorreo.com.mx/vida-publica/destapan-caso-de-abuso-sexual-a-clavadista-representante-de-guanajuato-20220816-61002.html" TargetMode="External"/><Relationship Id="rId113" Type="http://schemas.openxmlformats.org/officeDocument/2006/relationships/hyperlink" Target="https://www.cbcs.gob.mx/index.php/boletines-2023-1/6701-la-ley-de-movilidad-y-seguridad-vial-contara-con-techo-financiero-para-el-2024-diputado-denny-manuel-guerrero" TargetMode="External"/><Relationship Id="rId134" Type="http://schemas.openxmlformats.org/officeDocument/2006/relationships/hyperlink" Target="https://www.cbcs.gob.mx/index.php/boletines-2023-1/6701-la-ley-de-movilidad-y-seguridad-vial-contara-con-techo-financiero-para-el-2024-diputado-denny-manuel-guerrero" TargetMode="External"/><Relationship Id="rId80" Type="http://schemas.openxmlformats.org/officeDocument/2006/relationships/hyperlink" Target="https://periodicocorreo.com.mx/vida-publica/destapan-caso-de-abuso-sexual-a-clavadista-representante-de-guanajuato-20220816-61002.html" TargetMode="External"/><Relationship Id="rId155" Type="http://schemas.openxmlformats.org/officeDocument/2006/relationships/hyperlink" Target="https://coalicionmovilidadsegura.mx/wp-content/uploads/2022/10/Codigo_abierto_Leyes_Movilidad_y-_Seguridad-_vial_V1.0_Oct_2022.pdf" TargetMode="External"/><Relationship Id="rId176" Type="http://schemas.openxmlformats.org/officeDocument/2006/relationships/hyperlink" Target="https://imug.guanajuato.gob.mx/wp-content/uploads/2022/09/Acoso-callejero-a-mujeres-en-el-estado-de-Guanajuato-1.pdf" TargetMode="External"/><Relationship Id="rId197" Type="http://schemas.openxmlformats.org/officeDocument/2006/relationships/hyperlink" Target="https://transport.ec.europa.eu/transport-themes/social-issues-equality-and-attractiveness-transport-sector/equality/women-transport_en" TargetMode="External"/><Relationship Id="rId201" Type="http://schemas.openxmlformats.org/officeDocument/2006/relationships/hyperlink" Target="https://transport.ec.europa.eu/transport-themes/social-issues-equality-and-attractiveness-transport-sector/equality/women-transport_en" TargetMode="External"/><Relationship Id="rId222" Type="http://schemas.openxmlformats.org/officeDocument/2006/relationships/hyperlink" Target="https://zonafranca.mx/politica-sociedad/salud/seran-mil-875-bases-en-la-primera-etapa-para-trabajadores-del-isapeg/" TargetMode="External"/><Relationship Id="rId243" Type="http://schemas.openxmlformats.org/officeDocument/2006/relationships/hyperlink" Target="https://portaldgi.guanajuato.gob.mx/CuentaPublica/public/uploads/2020/CPA/52.2_FIDESSEG/04%20Impuestos%20FIDESSEG%2065-66.pdf" TargetMode="External"/><Relationship Id="rId264" Type="http://schemas.openxmlformats.org/officeDocument/2006/relationships/hyperlink" Target="https://www.defensorianinez.cl/preguntas_frecuentes/que-se-entiende-por-vulneracion-de-derechos/" TargetMode="External"/><Relationship Id="rId285" Type="http://schemas.openxmlformats.org/officeDocument/2006/relationships/hyperlink" Target="https://congreso-gto.s3.amazonaws.com/uploads/orden_archivo/archivo/29965/35_San_Diego_de_la_Unio_n_cuenta_pu_blica_2021.pdf" TargetMode="External"/><Relationship Id="rId17" Type="http://schemas.openxmlformats.org/officeDocument/2006/relationships/hyperlink" Target="https://www.cndh.org.mx/sites/default/files/documentos/2019-11/Bullying-equidad-genero-deporte-Mexico.pdf" TargetMode="External"/><Relationship Id="rId38" Type="http://schemas.openxmlformats.org/officeDocument/2006/relationships/hyperlink" Target="https://www.elfinanciero.com.mx/deportes/2022/03/19/vivo-con-miedo-la-futbolista-nailea-vidrio-habla-del-acoso-que-sufrio-en-el-nou-camp/" TargetMode="External"/><Relationship Id="rId59" Type="http://schemas.openxmlformats.org/officeDocument/2006/relationships/hyperlink" Target="https://www.elfinanciero.com.mx/deportes/2022/03/19/vivo-con-miedo-la-futbolista-nailea-vidrio-habla-del-acoso-que-sufrio-en-el-nou-camp/" TargetMode="External"/><Relationship Id="rId103" Type="http://schemas.openxmlformats.org/officeDocument/2006/relationships/hyperlink" Target="https://www.cbcs.gob.mx/index.php/boletines-2023-1/6701-la-ley-de-movilidad-y-seguridad-vial-contara-con-techo-financiero-para-el-2024-diputado-denny-manuel-guerrero" TargetMode="External"/><Relationship Id="rId124" Type="http://schemas.openxmlformats.org/officeDocument/2006/relationships/hyperlink" Target="https://www.cbcs.gob.mx/index.php/boletines-2023-1/6701-la-ley-de-movilidad-y-seguridad-vial-contara-con-techo-financiero-para-el-2024-diputado-denny-manuel-guerrero" TargetMode="External"/><Relationship Id="rId70" Type="http://schemas.openxmlformats.org/officeDocument/2006/relationships/hyperlink" Target="https://periodicocorreo.com.mx/vida-publica/destapan-caso-de-abuso-sexual-a-clavadista-representante-de-guanajuato-20220816-61002.html" TargetMode="External"/><Relationship Id="rId91" Type="http://schemas.openxmlformats.org/officeDocument/2006/relationships/hyperlink" Target="https://periodicocorreo.com.mx/vida-publica/destapan-caso-de-abuso-sexual-a-clavadista-representante-de-guanajuato-20220816-61002.html" TargetMode="External"/><Relationship Id="rId145" Type="http://schemas.openxmlformats.org/officeDocument/2006/relationships/hyperlink" Target="http://congresomich.gob.mx/aprueba-75-legislatura-ley-de-movilidad-y-seguridad-vial/" TargetMode="External"/><Relationship Id="rId166" Type="http://schemas.openxmlformats.org/officeDocument/2006/relationships/hyperlink" Target="http://scioteca.caf.com/handle/123456789/1405" TargetMode="External"/><Relationship Id="rId187" Type="http://schemas.openxmlformats.org/officeDocument/2006/relationships/hyperlink" Target="https://imug.guanajuato.gob.mx/wp-content/uploads/2022/09/Acoso-callejero-a-mujeres-en-el-estado-de-Guanajuato-1.pdf" TargetMode="External"/><Relationship Id="rId1" Type="http://schemas.openxmlformats.org/officeDocument/2006/relationships/hyperlink" Target="https://congreso-gto.s3.amazonaws.com/uploads/orden_archivo/archivo/29931/01_Orden_del_di_a_22__junio_2023_v2.pdf" TargetMode="External"/><Relationship Id="rId212" Type="http://schemas.openxmlformats.org/officeDocument/2006/relationships/hyperlink" Target="https://congreso-gto.s3.amazonaws.com/uploads/orden_archivo/archivo/29938/08_Iniciativa_GPPMORENA_Co_digo_Penal_56904__22_JUNIO_2023_.pdf" TargetMode="External"/><Relationship Id="rId233" Type="http://schemas.openxmlformats.org/officeDocument/2006/relationships/hyperlink" Target="https://www.inegi.org.mx/programas/ccpv/2020/" TargetMode="External"/><Relationship Id="rId254" Type="http://schemas.openxmlformats.org/officeDocument/2006/relationships/hyperlink" Target="http://www3.diputados.gob.mx/camara/001_diputados/012_comisioneslxii/01_ordinarias/042_recursos_hidraulicos/12_foros_consultas_y_eventos_realizados" TargetMode="External"/><Relationship Id="rId28" Type="http://schemas.openxmlformats.org/officeDocument/2006/relationships/hyperlink" Target="https://www.corteidh.or.cr/tablas/r25555.pdf" TargetMode="External"/><Relationship Id="rId49" Type="http://schemas.openxmlformats.org/officeDocument/2006/relationships/hyperlink" Target="https://www.elfinanciero.com.mx/deportes/2022/03/19/vivo-con-miedo-la-futbolista-nailea-vidrio-habla-del-acoso-que-sufrio-en-el-nou-camp/" TargetMode="External"/><Relationship Id="rId114" Type="http://schemas.openxmlformats.org/officeDocument/2006/relationships/hyperlink" Target="https://www.cbcs.gob.mx/index.php/boletines-2023-1/6701-la-ley-de-movilidad-y-seguridad-vial-contara-con-techo-financiero-para-el-2024-diputado-denny-manuel-guerrero" TargetMode="External"/><Relationship Id="rId275" Type="http://schemas.openxmlformats.org/officeDocument/2006/relationships/hyperlink" Target="https://congreso-gto.s3.amazonaws.com/uploads/orden_archivo/archivo/29955/25_Dictamen_ampliacio_n_destino_Decreto_317.pdf" TargetMode="External"/><Relationship Id="rId296" Type="http://schemas.openxmlformats.org/officeDocument/2006/relationships/hyperlink" Target="https://congreso-gto.s3.amazonaws.com/uploads/orden_archivo/archivo/29976/46_Dictamen_cuenta_pu_blica_Leo_n_2021.pdf" TargetMode="External"/><Relationship Id="rId60" Type="http://schemas.openxmlformats.org/officeDocument/2006/relationships/hyperlink" Target="https://www.elfinanciero.com.mx/deportes/2022/03/19/vivo-con-miedo-la-futbolista-nailea-vidrio-habla-del-acoso-que-sufrio-en-el-nou-camp/" TargetMode="External"/><Relationship Id="rId81" Type="http://schemas.openxmlformats.org/officeDocument/2006/relationships/hyperlink" Target="https://periodicocorreo.com.mx/vida-publica/destapan-caso-de-abuso-sexual-a-clavadista-representante-de-guanajuato-20220816-61002.html" TargetMode="External"/><Relationship Id="rId135" Type="http://schemas.openxmlformats.org/officeDocument/2006/relationships/hyperlink" Target="https://www.cbcs.gob.mx/index.php/boletines-2023-1/6701-la-ley-de-movilidad-y-seguridad-vial-contara-con-techo-financiero-para-el-2024-diputado-denny-manuel-guerrero" TargetMode="External"/><Relationship Id="rId156" Type="http://schemas.openxmlformats.org/officeDocument/2006/relationships/hyperlink" Target="https://coalicionmovilidadsegura.mx/wp-content/uploads/2022/10/Codigo_abierto_Leyes_Movilidad_y-_Seguridad-_vial_V1.0_Oct_2022.pdf" TargetMode="External"/><Relationship Id="rId177" Type="http://schemas.openxmlformats.org/officeDocument/2006/relationships/hyperlink" Target="https://imug.guanajuato.gob.mx/wp-content/uploads/2022/09/Acoso-callejero-a-mujeres-en-el-estado-de-Guanajuato-1.pdf" TargetMode="External"/><Relationship Id="rId198" Type="http://schemas.openxmlformats.org/officeDocument/2006/relationships/hyperlink" Target="https://transport.ec.europa.eu/transport-themes/social-issues-equality-and-attractiveness-transport-sector/equality/women-transport_en" TargetMode="External"/><Relationship Id="rId202" Type="http://schemas.openxmlformats.org/officeDocument/2006/relationships/hyperlink" Target="https://transport.ec.europa.eu/transport-themes/social-issues-equality-and-attractiveness-transport-sector/equality/women-transport_en" TargetMode="External"/><Relationship Id="rId223" Type="http://schemas.openxmlformats.org/officeDocument/2006/relationships/hyperlink" Target="https://zonafranca.mx/politica-sociedad/salud/seran-mil-875-bases-en-la-primera-etapa-para-trabajadores-del-isapeg/" TargetMode="External"/><Relationship Id="rId244" Type="http://schemas.openxmlformats.org/officeDocument/2006/relationships/hyperlink" Target="https://portaldgi.guanajuato.gob.mx/CuentaPublica/public/uploads/2020/CPA/52.2_FIDESSEG/04%20Impuestos%20FIDESSEG%2065-66.pdf" TargetMode="External"/><Relationship Id="rId18" Type="http://schemas.openxmlformats.org/officeDocument/2006/relationships/hyperlink" Target="https://www.cndh.org.mx/sites/default/files/documentos/2019-11/Bullying-equidad-genero-deporte-Mexico.pdf" TargetMode="External"/><Relationship Id="rId39" Type="http://schemas.openxmlformats.org/officeDocument/2006/relationships/hyperlink" Target="https://www.elfinanciero.com.mx/deportes/2022/03/19/vivo-con-miedo-la-futbolista-nailea-vidrio-habla-del-acoso-que-sufrio-en-el-nou-camp/" TargetMode="External"/><Relationship Id="rId265" Type="http://schemas.openxmlformats.org/officeDocument/2006/relationships/hyperlink" Target="https://www.congresogto.gob.mx/expedientes_legislativos_digitales/iniciativas?utf8=%E2%9C%93&amp;filtro_id=&amp;query=182A%2FLXV-I" TargetMode="External"/><Relationship Id="rId286" Type="http://schemas.openxmlformats.org/officeDocument/2006/relationships/hyperlink" Target="https://congreso-gto.s3.amazonaws.com/uploads/orden_archivo/archivo/29966/36_Silao_de_la_Victoria_cuenta_pu_blica_2021.pdf" TargetMode="External"/><Relationship Id="rId50" Type="http://schemas.openxmlformats.org/officeDocument/2006/relationships/hyperlink" Target="https://www.elfinanciero.com.mx/deportes/2022/03/19/vivo-con-miedo-la-futbolista-nailea-vidrio-habla-del-acoso-que-sufrio-en-el-nou-camp/" TargetMode="External"/><Relationship Id="rId104" Type="http://schemas.openxmlformats.org/officeDocument/2006/relationships/hyperlink" Target="https://www.cbcs.gob.mx/index.php/boletines-2023-1/6701-la-ley-de-movilidad-y-seguridad-vial-contara-con-techo-financiero-para-el-2024-diputado-denny-manuel-guerrero" TargetMode="External"/><Relationship Id="rId125" Type="http://schemas.openxmlformats.org/officeDocument/2006/relationships/hyperlink" Target="https://www.cbcs.gob.mx/index.php/boletines-2023-1/6701-la-ley-de-movilidad-y-seguridad-vial-contara-con-techo-financiero-para-el-2024-diputado-denny-manuel-guerrero" TargetMode="External"/><Relationship Id="rId146" Type="http://schemas.openxmlformats.org/officeDocument/2006/relationships/hyperlink" Target="http://congresomich.gob.mx/aprueba-75-legislatura-ley-de-movilidad-y-seguridad-vial/" TargetMode="External"/><Relationship Id="rId167" Type="http://schemas.openxmlformats.org/officeDocument/2006/relationships/hyperlink" Target="http://scioteca.caf.com/handle/123456789/1405" TargetMode="External"/><Relationship Id="rId188" Type="http://schemas.openxmlformats.org/officeDocument/2006/relationships/hyperlink" Target="https://imug.guanajuato.gob.mx/wp-content/uploads/2022/09/Acoso-callejero-a-mujeres-en-el-estado-de-Guanajuato-1.pdf" TargetMode="External"/><Relationship Id="rId71" Type="http://schemas.openxmlformats.org/officeDocument/2006/relationships/hyperlink" Target="https://periodicocorreo.com.mx/vida-publica/destapan-caso-de-abuso-sexual-a-clavadista-representante-de-guanajuato-20220816-61002.html" TargetMode="External"/><Relationship Id="rId92" Type="http://schemas.openxmlformats.org/officeDocument/2006/relationships/hyperlink" Target="https://periodicocorreo.com.mx/vida-publica/destapan-caso-de-abuso-sexual-a-clavadista-representante-de-guanajuato-20220816-61002.html" TargetMode="External"/><Relationship Id="rId213" Type="http://schemas.openxmlformats.org/officeDocument/2006/relationships/hyperlink" Target="https://congreso-gto.s3.amazonaws.com/uploads/orden_archivo/archivo/29939/09_INFORME_ASEG.pdf" TargetMode="External"/><Relationship Id="rId234" Type="http://schemas.openxmlformats.org/officeDocument/2006/relationships/hyperlink" Target="https://congreso-gto.s3.amazonaws.com/uploads/orden_archivo/archivo/29942/12_PPA_GPMORENA_UG_56900__22_JUNIO_23_.pdf" TargetMode="External"/><Relationship Id="rId2" Type="http://schemas.openxmlformats.org/officeDocument/2006/relationships/hyperlink" Target="https://congreso-gto.s3.amazonaws.com/uploads/orden_archivo/archivo/29932/02__Acta_nu_mero_70_sesio_n_ordinaria_del_15_de_junio_de_2023.pdf" TargetMode="External"/><Relationship Id="rId29" Type="http://schemas.openxmlformats.org/officeDocument/2006/relationships/hyperlink" Target="https://www.corteidh.or.cr/tablas/r25555.pdf" TargetMode="External"/><Relationship Id="rId255" Type="http://schemas.openxmlformats.org/officeDocument/2006/relationships/hyperlink" Target="https://www.banxico.org.mx/publicaciones-y-prensa/informes-trimestrales/recuadros/%7B3A0127A1-D0C9-7D61-C9AE-E57E127FB39B%7D.pdf" TargetMode="External"/><Relationship Id="rId276" Type="http://schemas.openxmlformats.org/officeDocument/2006/relationships/hyperlink" Target="https://congreso-gto.s3.amazonaws.com/uploads/orden_archivo/archivo/29956/26_Dictamen_donacio_n_Asociacio_n_de_Bomberos.pdf" TargetMode="External"/><Relationship Id="rId297" Type="http://schemas.openxmlformats.org/officeDocument/2006/relationships/hyperlink" Target="https://congreso-gto.s3.amazonaws.com/uploads/orden_archivo/archivo/29977/47_Dictamen_cuenta_pu_blica_Apaseo_el_Alto_2021.pdf" TargetMode="External"/><Relationship Id="rId40" Type="http://schemas.openxmlformats.org/officeDocument/2006/relationships/hyperlink" Target="https://www.elfinanciero.com.mx/deportes/2022/03/19/vivo-con-miedo-la-futbolista-nailea-vidrio-habla-del-acoso-que-sufrio-en-el-nou-camp/" TargetMode="External"/><Relationship Id="rId115" Type="http://schemas.openxmlformats.org/officeDocument/2006/relationships/hyperlink" Target="https://www.cbcs.gob.mx/index.php/boletines-2023-1/6701-la-ley-de-movilidad-y-seguridad-vial-contara-con-techo-financiero-para-el-2024-diputado-denny-manuel-guerrero" TargetMode="External"/><Relationship Id="rId136" Type="http://schemas.openxmlformats.org/officeDocument/2006/relationships/hyperlink" Target="http://congresomich.gob.mx/aprueba-75-legislatura-ley-de-movilidad-y-seguridad-vial/" TargetMode="External"/><Relationship Id="rId157" Type="http://schemas.openxmlformats.org/officeDocument/2006/relationships/hyperlink" Target="https://coalicionmovilidadsegura.mx/wp-content/uploads/2022/10/Codigo_abierto_Leyes_Movilidad_y-_Seguridad-_vial_V1.0_Oct_2022.pdf" TargetMode="External"/><Relationship Id="rId178" Type="http://schemas.openxmlformats.org/officeDocument/2006/relationships/hyperlink" Target="https://imug.guanajuato.gob.mx/wp-content/uploads/2022/09/Acoso-callejero-a-mujeres-en-el-estado-de-Guanajuato-1.pdf" TargetMode="External"/><Relationship Id="rId61" Type="http://schemas.openxmlformats.org/officeDocument/2006/relationships/hyperlink" Target="https://www.elfinanciero.com.mx/deportes/2022/03/19/vivo-con-miedo-la-futbolista-nailea-vidrio-habla-del-acoso-que-sufrio-en-el-nou-camp/" TargetMode="External"/><Relationship Id="rId82" Type="http://schemas.openxmlformats.org/officeDocument/2006/relationships/hyperlink" Target="https://periodicocorreo.com.mx/vida-publica/destapan-caso-de-abuso-sexual-a-clavadista-representante-de-guanajuato-20220816-61002.html" TargetMode="External"/><Relationship Id="rId199" Type="http://schemas.openxmlformats.org/officeDocument/2006/relationships/hyperlink" Target="https://transport.ec.europa.eu/transport-themes/social-issues-equality-and-attractiveness-transport-sector/equality/women-transport_en" TargetMode="External"/><Relationship Id="rId203" Type="http://schemas.openxmlformats.org/officeDocument/2006/relationships/hyperlink" Target="https://transport.ec.europa.eu/transport-themes/social-issues-equality-and-attractiveness-transport-sector/equality/women-transport_en" TargetMode="External"/><Relationship Id="rId19" Type="http://schemas.openxmlformats.org/officeDocument/2006/relationships/hyperlink" Target="https://www.cndh.org.mx/sites/default/files/documentos/2019-11/Bullying-equidad-genero-deporte-Mexico.pdf" TargetMode="External"/><Relationship Id="rId224" Type="http://schemas.openxmlformats.org/officeDocument/2006/relationships/hyperlink" Target="https://www.facebook.com/watch/?v=975780833553289" TargetMode="External"/><Relationship Id="rId245" Type="http://schemas.openxmlformats.org/officeDocument/2006/relationships/hyperlink" Target="https://congreso-gto.s3.amazonaws.com/uploads/orden_archivo/archivo/29949/19_Informe_conceptos_gral_edos_financieros_de_los_recursos_presup_mayo_2023.pdf" TargetMode="External"/><Relationship Id="rId266" Type="http://schemas.openxmlformats.org/officeDocument/2006/relationships/hyperlink" Target="https://www.dof.gob.mx/nota_detalle.php?codigo=5690265&amp;fecha=29/05/2023" TargetMode="External"/><Relationship Id="rId287" Type="http://schemas.openxmlformats.org/officeDocument/2006/relationships/hyperlink" Target="https://congreso-gto.s3.amazonaws.com/uploads/orden_archivo/archivo/29967/37_Pe_njamo_cuenta_pu_blica_2021.pdf" TargetMode="External"/><Relationship Id="rId30" Type="http://schemas.openxmlformats.org/officeDocument/2006/relationships/hyperlink" Target="https://www.corteidh.or.cr/tablas/r25555.pdf" TargetMode="External"/><Relationship Id="rId105" Type="http://schemas.openxmlformats.org/officeDocument/2006/relationships/hyperlink" Target="https://www.cbcs.gob.mx/index.php/boletines-2023-1/6701-la-ley-de-movilidad-y-seguridad-vial-contara-con-techo-financiero-para-el-2024-diputado-denny-manuel-guerrero" TargetMode="External"/><Relationship Id="rId126" Type="http://schemas.openxmlformats.org/officeDocument/2006/relationships/hyperlink" Target="https://www.cbcs.gob.mx/index.php/boletines-2023-1/6701-la-ley-de-movilidad-y-seguridad-vial-contara-con-techo-financiero-para-el-2024-diputado-denny-manuel-guerrero" TargetMode="External"/><Relationship Id="rId147" Type="http://schemas.openxmlformats.org/officeDocument/2006/relationships/hyperlink" Target="http://congresomich.gob.mx/aprueba-75-legislatura-ley-de-movilidad-y-seguridad-vial/" TargetMode="External"/><Relationship Id="rId168" Type="http://schemas.openxmlformats.org/officeDocument/2006/relationships/hyperlink" Target="https://imug.guanajuato.gob.mx/wp-content/uploads/2022/09/Acoso-callejero-a-mujeres-en-el-estado-de-Guanajuato-1.pdf" TargetMode="External"/><Relationship Id="rId51" Type="http://schemas.openxmlformats.org/officeDocument/2006/relationships/hyperlink" Target="https://www.elfinanciero.com.mx/deportes/2022/03/19/vivo-con-miedo-la-futbolista-nailea-vidrio-habla-del-acoso-que-sufrio-en-el-nou-camp/" TargetMode="External"/><Relationship Id="rId72" Type="http://schemas.openxmlformats.org/officeDocument/2006/relationships/hyperlink" Target="https://periodicocorreo.com.mx/vida-publica/destapan-caso-de-abuso-sexual-a-clavadista-representante-de-guanajuato-20220816-61002.html" TargetMode="External"/><Relationship Id="rId93" Type="http://schemas.openxmlformats.org/officeDocument/2006/relationships/hyperlink" Target="https://periodicocorreo.com.mx/vida-publica/destapan-caso-de-abuso-sexual-a-clavadista-representante-de-guanajuato-20220816-61002.html" TargetMode="External"/><Relationship Id="rId189" Type="http://schemas.openxmlformats.org/officeDocument/2006/relationships/hyperlink" Target="https://imug.guanajuato.gob.mx/wp-content/uploads/2022/09/Acoso-callejero-a-mujeres-en-el-estado-de-Guanajuato-1.pdf" TargetMode="External"/><Relationship Id="rId3" Type="http://schemas.openxmlformats.org/officeDocument/2006/relationships/hyperlink" Target="https://congreso-gto.s3.amazonaws.com/uploads/orden_archivo/archivo/29933/03_Extracto_22_junio_2023.pdf" TargetMode="External"/><Relationship Id="rId214" Type="http://schemas.openxmlformats.org/officeDocument/2006/relationships/hyperlink" Target="https://congreso-gto.s3.amazonaws.com/uploads/orden_archivo/archivo/29940/10_PPA_GPPMORENA_ISAPEG_56898__22_JUN_23_.pdf" TargetMode="External"/><Relationship Id="rId235" Type="http://schemas.openxmlformats.org/officeDocument/2006/relationships/hyperlink" Target="https://www.inegi.org.mx/contenidos/saladeprensa/boletines/2022/endireh/Endireh2021_Nal.pdf" TargetMode="External"/><Relationship Id="rId256" Type="http://schemas.openxmlformats.org/officeDocument/2006/relationships/hyperlink" Target="https://smn.conagua.gob.mx/es/climatologia/monitor-de-sequia/monitor-de-sequia-de-america-del-norte" TargetMode="External"/><Relationship Id="rId277" Type="http://schemas.openxmlformats.org/officeDocument/2006/relationships/hyperlink" Target="https://congreso-gto.s3.amazonaws.com/uploads/orden_archivo/archivo/29957/27_Dictamen_aportacio_n_bienes_Parque_Guanajuato_Bicentenario__ISSEG.pdf" TargetMode="External"/><Relationship Id="rId298" Type="http://schemas.openxmlformats.org/officeDocument/2006/relationships/hyperlink" Target="https://congreso-gto.s3.amazonaws.com/uploads/orden_archivo/archivo/29978/48_Dictamen_cuenta_pu_blica_Yuriria_2021.pdf" TargetMode="External"/><Relationship Id="rId116" Type="http://schemas.openxmlformats.org/officeDocument/2006/relationships/hyperlink" Target="https://www.cbcs.gob.mx/index.php/boletines-2023-1/6701-la-ley-de-movilidad-y-seguridad-vial-contara-con-techo-financiero-para-el-2024-diputado-denny-manuel-guerrero" TargetMode="External"/><Relationship Id="rId137" Type="http://schemas.openxmlformats.org/officeDocument/2006/relationships/hyperlink" Target="http://congresomich.gob.mx/aprueba-75-legislatura-ley-de-movilidad-y-seguridad-vial/" TargetMode="External"/><Relationship Id="rId158" Type="http://schemas.openxmlformats.org/officeDocument/2006/relationships/hyperlink" Target="https://coalicionmovilidadsegura.mx/wp-content/uploads/2022/10/Codigo_abierto_Leyes_Movilidad_y-_Seguridad-_vial_V1.0_Oct_2022.pdf" TargetMode="External"/><Relationship Id="rId20" Type="http://schemas.openxmlformats.org/officeDocument/2006/relationships/hyperlink" Target="https://www.cndh.org.mx/sites/default/files/documentos/2019-11/Bullying-equidad-genero-deporte-Mexico.pdf" TargetMode="External"/><Relationship Id="rId41" Type="http://schemas.openxmlformats.org/officeDocument/2006/relationships/hyperlink" Target="https://www.elfinanciero.com.mx/deportes/2022/03/19/vivo-con-miedo-la-futbolista-nailea-vidrio-habla-del-acoso-que-sufrio-en-el-nou-camp/" TargetMode="External"/><Relationship Id="rId62" Type="http://schemas.openxmlformats.org/officeDocument/2006/relationships/hyperlink" Target="https://www.elfinanciero.com.mx/deportes/2022/03/19/vivo-con-miedo-la-futbolista-nailea-vidrio-habla-del-acoso-que-sufrio-en-el-nou-camp/" TargetMode="External"/><Relationship Id="rId83" Type="http://schemas.openxmlformats.org/officeDocument/2006/relationships/hyperlink" Target="https://periodicocorreo.com.mx/vida-publica/destapan-caso-de-abuso-sexual-a-clavadista-representante-de-guanajuato-20220816-61002.html" TargetMode="External"/><Relationship Id="rId179" Type="http://schemas.openxmlformats.org/officeDocument/2006/relationships/hyperlink" Target="https://imug.guanajuato.gob.mx/wp-content/uploads/2022/09/Acoso-callejero-a-mujeres-en-el-estado-de-Guanajuato-1.pdf" TargetMode="External"/><Relationship Id="rId190" Type="http://schemas.openxmlformats.org/officeDocument/2006/relationships/hyperlink" Target="https://transport.ec.europa.eu/transport-themes/social-issues-equality-and-attractiveness-transport-sector/equality/women-transport_en" TargetMode="External"/><Relationship Id="rId204" Type="http://schemas.openxmlformats.org/officeDocument/2006/relationships/hyperlink" Target="https://transport.ec.europa.eu/transport-themes/social-issues-equality-and-attractiveness-transport-sector/equality/women-transport_en" TargetMode="External"/><Relationship Id="rId225" Type="http://schemas.openxmlformats.org/officeDocument/2006/relationships/hyperlink" Target="https://boletines.guanajuato.gob.mx/2023/06/02/ssg-otorgo-3-mil-600-bases-a-personal-de-salud/?fbclid=IwAR0WbaTNeB-ezsveGZw95kgKQXdy_s6f5BD5DH9tn5ZfjZGG4uCgKIFtSzo" TargetMode="External"/><Relationship Id="rId246" Type="http://schemas.openxmlformats.org/officeDocument/2006/relationships/hyperlink" Target="https://congreso-gto.s3.amazonaws.com/uploads/orden_archivo/archivo/29948/18_Inf_conceptos_grales_y_transferencias_abril_2023.pdf" TargetMode="External"/><Relationship Id="rId267" Type="http://schemas.openxmlformats.org/officeDocument/2006/relationships/hyperlink" Target="http://portal.te.gob.mx/legislacion-jurisprudencia/catalogo/2014-constitucion-politica-de-los-estados-unidos-m" TargetMode="External"/><Relationship Id="rId288" Type="http://schemas.openxmlformats.org/officeDocument/2006/relationships/hyperlink" Target="https://congreso-gto.s3.amazonaws.com/uploads/orden_archivo/archivo/29968/38_Irapuato_cuenta_pu_blica_2021.pdf" TargetMode="External"/><Relationship Id="rId106" Type="http://schemas.openxmlformats.org/officeDocument/2006/relationships/hyperlink" Target="https://www.cbcs.gob.mx/index.php/boletines-2023-1/6701-la-ley-de-movilidad-y-seguridad-vial-contara-con-techo-financiero-para-el-2024-diputado-denny-manuel-guerrero" TargetMode="External"/><Relationship Id="rId127" Type="http://schemas.openxmlformats.org/officeDocument/2006/relationships/hyperlink" Target="https://www.cbcs.gob.mx/index.php/boletines-2023-1/6701-la-ley-de-movilidad-y-seguridad-vial-contara-con-techo-financiero-para-el-2024-diputado-denny-manuel-guerrero" TargetMode="External"/><Relationship Id="rId10" Type="http://schemas.openxmlformats.org/officeDocument/2006/relationships/hyperlink" Target="https://idus.us.es/bitstream/handle/11441/41137/Pages%20from%20Investigacion_Genero_14-2-3.pdf?sequence=1&amp;isAllowed=y" TargetMode="External"/><Relationship Id="rId31" Type="http://schemas.openxmlformats.org/officeDocument/2006/relationships/hyperlink" Target="https://www.corteidh.or.cr/tablas/r26677.pdf" TargetMode="External"/><Relationship Id="rId52" Type="http://schemas.openxmlformats.org/officeDocument/2006/relationships/hyperlink" Target="https://www.elfinanciero.com.mx/deportes/2022/03/19/vivo-con-miedo-la-futbolista-nailea-vidrio-habla-del-acoso-que-sufrio-en-el-nou-camp/" TargetMode="External"/><Relationship Id="rId73" Type="http://schemas.openxmlformats.org/officeDocument/2006/relationships/hyperlink" Target="https://periodicocorreo.com.mx/vida-publica/destapan-caso-de-abuso-sexual-a-clavadista-representante-de-guanajuato-20220816-61002.html" TargetMode="External"/><Relationship Id="rId94" Type="http://schemas.openxmlformats.org/officeDocument/2006/relationships/hyperlink" Target="https://www.cbcs.gob.mx/index.php/boletines-2023-1/6701-la-ley-de-movilidad-y-seguridad-vial-contara-con-techo-financiero-para-el-2024-diputado-denny-manuel-guerrero" TargetMode="External"/><Relationship Id="rId148" Type="http://schemas.openxmlformats.org/officeDocument/2006/relationships/hyperlink" Target="http://congresomich.gob.mx/aprueba-75-legislatura-ley-de-movilidad-y-seguridad-vial/" TargetMode="External"/><Relationship Id="rId169" Type="http://schemas.openxmlformats.org/officeDocument/2006/relationships/hyperlink" Target="https://imug.guanajuato.gob.mx/wp-content/uploads/2022/09/Acoso-callejero-a-mujeres-en-el-estado-de-Guanajuato-1.pdf" TargetMode="External"/><Relationship Id="rId4" Type="http://schemas.openxmlformats.org/officeDocument/2006/relationships/hyperlink" Target="https://congreso-gto.s3.amazonaws.com/uploads/orden_archivo/archivo/29934/04_Iniciativa_GPPAN_Ley_para_la_Protec_Animal_56897__22_JUNIO_2023_.pdf" TargetMode="External"/><Relationship Id="rId180" Type="http://schemas.openxmlformats.org/officeDocument/2006/relationships/hyperlink" Target="https://imug.guanajuato.gob.mx/wp-content/uploads/2022/09/Acoso-callejero-a-mujeres-en-el-estado-de-Guanajuato-1.pdf" TargetMode="External"/><Relationship Id="rId215" Type="http://schemas.openxmlformats.org/officeDocument/2006/relationships/hyperlink" Target="https://www.facebook.com/watch/?ref=external&amp;v=621096662046234" TargetMode="External"/><Relationship Id="rId236" Type="http://schemas.openxmlformats.org/officeDocument/2006/relationships/hyperlink" Target="https://congreso-gto.s3.amazonaws.com/uploads/orden_archivo/archivo/29943/13_PPA_GPPVEM_vapeadores_56901__22_JUNIO_23_.pdf" TargetMode="External"/><Relationship Id="rId257" Type="http://schemas.openxmlformats.org/officeDocument/2006/relationships/hyperlink" Target="https://smn.conagua.gob.mx/es/climatologia/monitor-de-sequia/monitor-de-sequia-en-mexico" TargetMode="External"/><Relationship Id="rId278" Type="http://schemas.openxmlformats.org/officeDocument/2006/relationships/hyperlink" Target="https://congreso-gto.s3.amazonaws.com/uploads/orden_archivo/archivo/29958/28_Dictamen_iniciativa_Gobernador_donacio_n_Irapuato.pdf" TargetMode="External"/><Relationship Id="rId42" Type="http://schemas.openxmlformats.org/officeDocument/2006/relationships/hyperlink" Target="https://www.elfinanciero.com.mx/deportes/2022/03/19/vivo-con-miedo-la-futbolista-nailea-vidrio-habla-del-acoso-que-sufrio-en-el-nou-camp/" TargetMode="External"/><Relationship Id="rId84" Type="http://schemas.openxmlformats.org/officeDocument/2006/relationships/hyperlink" Target="https://periodicocorreo.com.mx/vida-publica/destapan-caso-de-abuso-sexual-a-clavadista-representante-de-guanajuato-20220816-61002.html" TargetMode="External"/><Relationship Id="rId138" Type="http://schemas.openxmlformats.org/officeDocument/2006/relationships/hyperlink" Target="http://congresomich.gob.mx/aprueba-75-legislatura-ley-de-movilidad-y-seguridad-vial/" TargetMode="External"/><Relationship Id="rId191" Type="http://schemas.openxmlformats.org/officeDocument/2006/relationships/hyperlink" Target="https://transport.ec.europa.eu/transport-themes/social-issues-equality-and-attractiveness-transport-sector/equality/women-transport_en" TargetMode="External"/><Relationship Id="rId205" Type="http://schemas.openxmlformats.org/officeDocument/2006/relationships/hyperlink" Target="https://transport.ec.europa.eu/transport-themes/social-issues-equality-and-attractiveness-transport-sector/equality/women-transport_en" TargetMode="External"/><Relationship Id="rId247" Type="http://schemas.openxmlformats.org/officeDocument/2006/relationships/hyperlink" Target="https://congreso-gto.s3.amazonaws.com/uploads/orden_archivo/archivo/29949/19_Informe_conceptos_gral_edos_financieros_de_los_recursos_presup_mayo_2023.pdf" TargetMode="External"/><Relationship Id="rId107" Type="http://schemas.openxmlformats.org/officeDocument/2006/relationships/hyperlink" Target="https://www.cbcs.gob.mx/index.php/boletines-2023-1/6701-la-ley-de-movilidad-y-seguridad-vial-contara-con-techo-financiero-para-el-2024-diputado-denny-manuel-guerrero" TargetMode="External"/><Relationship Id="rId289" Type="http://schemas.openxmlformats.org/officeDocument/2006/relationships/hyperlink" Target="https://congreso-gto.s3.amazonaws.com/uploads/orden_archivo/archivo/29969/41__ELD_303_LXV_IRASEG_Puri_sima_del_Rinco_n_cuenta_pu_blica_2021.pdf" TargetMode="External"/><Relationship Id="rId11" Type="http://schemas.openxmlformats.org/officeDocument/2006/relationships/hyperlink" Target="https://idus.us.es/bitstream/handle/11441/41137/Pages%20from%20Investigacion_Genero_14-2-3.pdf?sequence=1&amp;isAllowed=y" TargetMode="External"/><Relationship Id="rId53" Type="http://schemas.openxmlformats.org/officeDocument/2006/relationships/hyperlink" Target="https://www.elfinanciero.com.mx/deportes/2022/03/19/vivo-con-miedo-la-futbolista-nailea-vidrio-habla-del-acoso-que-sufrio-en-el-nou-camp/" TargetMode="External"/><Relationship Id="rId149" Type="http://schemas.openxmlformats.org/officeDocument/2006/relationships/hyperlink" Target="http://congresomich.gob.mx/aprueba-75-legislatura-ley-de-movilidad-y-seguridad-vial/" TargetMode="External"/><Relationship Id="rId95" Type="http://schemas.openxmlformats.org/officeDocument/2006/relationships/hyperlink" Target="https://www.cbcs.gob.mx/index.php/boletines-2023-1/6701-la-ley-de-movilidad-y-seguridad-vial-contara-con-techo-financiero-para-el-2024-diputado-denny-manuel-guerrero" TargetMode="External"/><Relationship Id="rId160" Type="http://schemas.openxmlformats.org/officeDocument/2006/relationships/hyperlink" Target="https://coalicionmovilidadsegura.mx/wp-content/uploads/2022/10/Codigo_abierto_Leyes_Movilidad_y-_Seguridad-_vial_V1.0_Oct_2022.pdf" TargetMode="External"/><Relationship Id="rId216" Type="http://schemas.openxmlformats.org/officeDocument/2006/relationships/hyperlink" Target="https://www.elfinanciero.com.mx/nacional/gobernador-de-guanajuato-anuncia-un-fondo-economico-para-trabajadores-de-la-salud-en-el-estado/" TargetMode="External"/><Relationship Id="rId258" Type="http://schemas.openxmlformats.org/officeDocument/2006/relationships/hyperlink" Target="http://gaceta.diputados.gob.mx/Gaceta/61/2011/abr/20110427-III.html" TargetMode="External"/><Relationship Id="rId22" Type="http://schemas.openxmlformats.org/officeDocument/2006/relationships/hyperlink" Target="https://www.cndh.org.mx/sites/default/files/documentos/2019-11/Bullying-equidad-genero-deporte-Mexico.pdf" TargetMode="External"/><Relationship Id="rId64" Type="http://schemas.openxmlformats.org/officeDocument/2006/relationships/hyperlink" Target="https://www.elfinanciero.com.mx/deportes/2022/03/19/vivo-con-miedo-la-futbolista-nailea-vidrio-habla-del-acoso-que-sufrio-en-el-nou-camp/" TargetMode="External"/><Relationship Id="rId118" Type="http://schemas.openxmlformats.org/officeDocument/2006/relationships/hyperlink" Target="https://www.cbcs.gob.mx/index.php/boletines-2023-1/6701-la-ley-de-movilidad-y-seguridad-vial-contara-con-techo-financiero-para-el-2024-diputado-denny-manuel-guerrero" TargetMode="External"/><Relationship Id="rId171" Type="http://schemas.openxmlformats.org/officeDocument/2006/relationships/hyperlink" Target="https://imug.guanajuato.gob.mx/wp-content/uploads/2022/09/Acoso-callejero-a-mujeres-en-el-estado-de-Guanajuato-1.pdf" TargetMode="External"/><Relationship Id="rId227" Type="http://schemas.openxmlformats.org/officeDocument/2006/relationships/hyperlink" Target="https://zonafranca.mx/politica-sociedad/ddhh/personal-de-salud-manifiesta-inconformidad-en-redes-sociales-por-bases/" TargetMode="External"/><Relationship Id="rId269" Type="http://schemas.openxmlformats.org/officeDocument/2006/relationships/hyperlink" Target="https://www.cndh.org.mx/documento/accion-de-inconstitucionalidad-552022" TargetMode="External"/><Relationship Id="rId33" Type="http://schemas.openxmlformats.org/officeDocument/2006/relationships/hyperlink" Target="https://www.corteidh.or.cr/tablas/r26677.pdf" TargetMode="External"/><Relationship Id="rId129" Type="http://schemas.openxmlformats.org/officeDocument/2006/relationships/hyperlink" Target="https://www.cbcs.gob.mx/index.php/boletines-2023-1/6701-la-ley-de-movilidad-y-seguridad-vial-contara-con-techo-financiero-para-el-2024-diputado-denny-manuel-guerrero" TargetMode="External"/><Relationship Id="rId280" Type="http://schemas.openxmlformats.org/officeDocument/2006/relationships/hyperlink" Target="https://congreso-gto.s3.amazonaws.com/uploads/orden_archivo/archivo/29960/30_Auditori_a_integral_Salamanca_2018-2021.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badi">
    <w:charset w:val="00"/>
    <w:family w:val="swiss"/>
    <w:pitch w:val="variable"/>
    <w:sig w:usb0="8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Amasis MT Pro">
    <w:charset w:val="00"/>
    <w:family w:val="roman"/>
    <w:pitch w:val="variable"/>
    <w:sig w:usb0="A00000AF" w:usb1="4000205B" w:usb2="00000000" w:usb3="00000000" w:csb0="00000093"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Arial Unicode MS">
    <w:panose1 w:val="020B0604020202020204"/>
    <w:charset w:val="00"/>
    <w:family w:val="roman"/>
    <w:pitch w:val="default"/>
  </w:font>
  <w:font w:name="Bookman Old Style">
    <w:panose1 w:val="02050604050505020204"/>
    <w:charset w:val="00"/>
    <w:family w:val="roman"/>
    <w:pitch w:val="variable"/>
    <w:sig w:usb0="00000287" w:usb1="00000000" w:usb2="00000000" w:usb3="00000000" w:csb0="0000009F" w:csb1="00000000"/>
  </w:font>
  <w:font w:name="CG Palacio (WN)">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ヒラギノ角ゴ Pro W3">
    <w:charset w:val="00"/>
    <w:family w:val="roman"/>
    <w:pitch w:val="default"/>
  </w:font>
  <w:font w:name="Helvetica Neue">
    <w:altName w:val="Arial"/>
    <w:charset w:val="00"/>
    <w:family w:val="roman"/>
    <w:pitch w:val="default"/>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ErasITC-Bold">
    <w:altName w:val="Calibri"/>
    <w:panose1 w:val="00000000000000000000"/>
    <w:charset w:val="00"/>
    <w:family w:val="swiss"/>
    <w:notTrueType/>
    <w:pitch w:val="default"/>
    <w:sig w:usb0="00000003" w:usb1="00000000" w:usb2="00000000" w:usb3="00000000" w:csb0="00000001" w:csb1="00000000"/>
  </w:font>
  <w:font w:name="Verdana-Italic">
    <w:altName w:val="Verdana"/>
    <w:panose1 w:val="00000000000000000000"/>
    <w:charset w:val="00"/>
    <w:family w:val="swiss"/>
    <w:notTrueType/>
    <w:pitch w:val="default"/>
    <w:sig w:usb0="00000003" w:usb1="00000000" w:usb2="00000000" w:usb3="00000000" w:csb0="00000001" w:csb1="00000000"/>
  </w:font>
  <w:font w:name="Verdana-Bold">
    <w:altName w:val="Verdana"/>
    <w:panose1 w:val="00000000000000000000"/>
    <w:charset w:val="00"/>
    <w:family w:val="swiss"/>
    <w:notTrueType/>
    <w:pitch w:val="default"/>
    <w:sig w:usb0="00000003" w:usb1="00000000" w:usb2="00000000" w:usb3="00000000" w:csb0="00000001" w:csb1="00000000"/>
  </w:font>
  <w:font w:name="Roboto">
    <w:charset w:val="00"/>
    <w:family w:val="auto"/>
    <w:pitch w:val="variable"/>
    <w:sig w:usb0="E0000AFF" w:usb1="5000217F" w:usb2="00000021" w:usb3="00000000" w:csb0="0000019F" w:csb1="00000000"/>
  </w:font>
  <w:font w:name="David">
    <w:charset w:val="B1"/>
    <w:family w:val="swiss"/>
    <w:pitch w:val="variable"/>
    <w:sig w:usb0="00000803" w:usb1="00000000" w:usb2="00000000" w:usb3="00000000" w:csb0="00000021" w:csb1="00000000"/>
  </w:font>
  <w:font w:name="Wingdings-Regular">
    <w:altName w:val="Klee One"/>
    <w:panose1 w:val="00000000000000000000"/>
    <w:charset w:val="80"/>
    <w:family w:val="auto"/>
    <w:notTrueType/>
    <w:pitch w:val="default"/>
    <w:sig w:usb0="00000001" w:usb1="08070000" w:usb2="00000010" w:usb3="00000000" w:csb0="00020000" w:csb1="00000000"/>
  </w:font>
  <w:font w:name="SymbolMT">
    <w:altName w:val="Calibri"/>
    <w:panose1 w:val="00000000000000000000"/>
    <w:charset w:val="00"/>
    <w:family w:val="swiss"/>
    <w:notTrueType/>
    <w:pitch w:val="default"/>
    <w:sig w:usb0="00000003" w:usb1="00000000" w:usb2="00000000" w:usb3="00000000" w:csb0="00000001" w:csb1="00000000"/>
  </w:font>
  <w:font w:name="TimesNewRomanPSMT">
    <w:altName w:val="Times New Roman"/>
    <w:panose1 w:val="00000000000000000000"/>
    <w:charset w:val="00"/>
    <w:family w:val="auto"/>
    <w:notTrueType/>
    <w:pitch w:val="default"/>
    <w:sig w:usb0="00000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Avant Garde">
    <w:altName w:val="Century Gothic"/>
    <w:panose1 w:val="00000000000000000000"/>
    <w:charset w:val="00"/>
    <w:family w:val="roman"/>
    <w:notTrueType/>
    <w:pitch w:val="default"/>
    <w:sig w:usb0="00000003" w:usb1="00000000" w:usb2="00000000" w:usb3="00000000" w:csb0="00000001" w:csb1="00000000"/>
  </w:font>
  <w:font w:name="DejaVu Sans">
    <w:altName w:val="Times New Roman"/>
    <w:charset w:val="80"/>
    <w:family w:val="auto"/>
    <w:pitch w:val="variable"/>
  </w:font>
  <w:font w:name="Century Gothic">
    <w:panose1 w:val="020B0502020202020204"/>
    <w:charset w:val="00"/>
    <w:family w:val="swiss"/>
    <w:pitch w:val="variable"/>
    <w:sig w:usb0="00000287" w:usb1="00000000" w:usb2="00000000" w:usb3="00000000" w:csb0="0000009F" w:csb1="00000000"/>
  </w:font>
  <w:font w:name="Calibri-Italic">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Narrow">
    <w:altName w:val="Arial"/>
    <w:panose1 w:val="00000000000000000000"/>
    <w:charset w:val="00"/>
    <w:family w:val="swiss"/>
    <w:notTrueType/>
    <w:pitch w:val="default"/>
    <w:sig w:usb0="00000003" w:usb1="00000000" w:usb2="00000000" w:usb3="00000000" w:csb0="00000001"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D6363"/>
    <w:rsid w:val="0010651B"/>
    <w:rsid w:val="0014596D"/>
    <w:rsid w:val="00186280"/>
    <w:rsid w:val="00186C75"/>
    <w:rsid w:val="00197A7F"/>
    <w:rsid w:val="001A500B"/>
    <w:rsid w:val="001A6E13"/>
    <w:rsid w:val="001E3037"/>
    <w:rsid w:val="002B59B7"/>
    <w:rsid w:val="00380BF8"/>
    <w:rsid w:val="003A51CE"/>
    <w:rsid w:val="003E047F"/>
    <w:rsid w:val="003F3665"/>
    <w:rsid w:val="00461AE3"/>
    <w:rsid w:val="004776E6"/>
    <w:rsid w:val="00507B55"/>
    <w:rsid w:val="0053705C"/>
    <w:rsid w:val="005427E0"/>
    <w:rsid w:val="005C4A6C"/>
    <w:rsid w:val="005F32B0"/>
    <w:rsid w:val="00653C9B"/>
    <w:rsid w:val="00680B08"/>
    <w:rsid w:val="006A7866"/>
    <w:rsid w:val="006E0508"/>
    <w:rsid w:val="00701706"/>
    <w:rsid w:val="00765C15"/>
    <w:rsid w:val="007A698C"/>
    <w:rsid w:val="008B7C75"/>
    <w:rsid w:val="009113EA"/>
    <w:rsid w:val="00983677"/>
    <w:rsid w:val="009C5FED"/>
    <w:rsid w:val="00A4251A"/>
    <w:rsid w:val="00A679F8"/>
    <w:rsid w:val="00AA468D"/>
    <w:rsid w:val="00AC19AD"/>
    <w:rsid w:val="00AD3760"/>
    <w:rsid w:val="00B549A9"/>
    <w:rsid w:val="00B574D9"/>
    <w:rsid w:val="00B85CC2"/>
    <w:rsid w:val="00BA2FAD"/>
    <w:rsid w:val="00BE7105"/>
    <w:rsid w:val="00BF55D0"/>
    <w:rsid w:val="00C124F2"/>
    <w:rsid w:val="00C81A41"/>
    <w:rsid w:val="00CD0488"/>
    <w:rsid w:val="00CD16E8"/>
    <w:rsid w:val="00CD7E08"/>
    <w:rsid w:val="00CE0D16"/>
    <w:rsid w:val="00CE1CEE"/>
    <w:rsid w:val="00CF3271"/>
    <w:rsid w:val="00D058A6"/>
    <w:rsid w:val="00D739D9"/>
    <w:rsid w:val="00DD4940"/>
    <w:rsid w:val="00DF3734"/>
    <w:rsid w:val="00E60997"/>
    <w:rsid w:val="00E9131D"/>
    <w:rsid w:val="00EC156F"/>
    <w:rsid w:val="00EE56EF"/>
    <w:rsid w:val="00F0003E"/>
    <w:rsid w:val="00F570E8"/>
    <w:rsid w:val="00F7387B"/>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1725</TotalTime>
  <Pages>557</Pages>
  <Words>299054</Words>
  <Characters>1644800</Characters>
  <Application>Microsoft Office Word</Application>
  <DocSecurity>0</DocSecurity>
  <Lines>13706</Lines>
  <Paragraphs>3879</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1939975</CharactersWithSpaces>
  <SharedDoc>false</SharedDoc>
  <HLinks>
    <vt:vector size="1656" baseType="variant">
      <vt:variant>
        <vt:i4>1703950</vt:i4>
      </vt:variant>
      <vt:variant>
        <vt:i4>12</vt:i4>
      </vt:variant>
      <vt:variant>
        <vt:i4>0</vt:i4>
      </vt:variant>
      <vt:variant>
        <vt:i4>5</vt:i4>
      </vt:variant>
      <vt:variant>
        <vt:lpwstr>https://diccionario.cear-euskadi.org/desarrollo/</vt:lpwstr>
      </vt:variant>
      <vt:variant>
        <vt:lpwstr/>
      </vt:variant>
      <vt:variant>
        <vt:i4>2228337</vt:i4>
      </vt:variant>
      <vt:variant>
        <vt:i4>9</vt:i4>
      </vt:variant>
      <vt:variant>
        <vt:i4>0</vt:i4>
      </vt:variant>
      <vt:variant>
        <vt:i4>5</vt:i4>
      </vt:variant>
      <vt:variant>
        <vt:lpwstr>https://diccionario.cear-euskadi.org/menor/</vt:lpwstr>
      </vt:variant>
      <vt:variant>
        <vt:lpwstr/>
      </vt:variant>
      <vt:variant>
        <vt:i4>6094875</vt:i4>
      </vt:variant>
      <vt:variant>
        <vt:i4>6</vt:i4>
      </vt:variant>
      <vt:variant>
        <vt:i4>0</vt:i4>
      </vt:variant>
      <vt:variant>
        <vt:i4>5</vt:i4>
      </vt:variant>
      <vt:variant>
        <vt:lpwstr>https://portal.fgeguanajuato.gob.mx/</vt:lpwstr>
      </vt:variant>
      <vt:variant>
        <vt:lpwstr/>
      </vt:variant>
      <vt:variant>
        <vt:i4>6094875</vt:i4>
      </vt:variant>
      <vt:variant>
        <vt:i4>3</vt:i4>
      </vt:variant>
      <vt:variant>
        <vt:i4>0</vt:i4>
      </vt:variant>
      <vt:variant>
        <vt:i4>5</vt:i4>
      </vt:variant>
      <vt:variant>
        <vt:lpwstr>https://portal.fgeguanajuato.gob.mx/</vt:lpwstr>
      </vt:variant>
      <vt:variant>
        <vt:lpwstr/>
      </vt:variant>
      <vt:variant>
        <vt:i4>6094875</vt:i4>
      </vt:variant>
      <vt:variant>
        <vt:i4>0</vt:i4>
      </vt:variant>
      <vt:variant>
        <vt:i4>0</vt:i4>
      </vt:variant>
      <vt:variant>
        <vt:i4>5</vt:i4>
      </vt:variant>
      <vt:variant>
        <vt:lpwstr>https://portal.fgeguanajuato.gob.mx/</vt:lpwstr>
      </vt:variant>
      <vt:variant>
        <vt:lpwstr/>
      </vt:variant>
      <vt:variant>
        <vt:i4>4587545</vt:i4>
      </vt:variant>
      <vt:variant>
        <vt:i4>810</vt:i4>
      </vt:variant>
      <vt:variant>
        <vt:i4>0</vt:i4>
      </vt:variant>
      <vt:variant>
        <vt:i4>5</vt:i4>
      </vt:variant>
      <vt:variant>
        <vt:lpwstr>https://www.cndh.org.mx/noticia/dia-internacional-de-las-mujeres-rurales</vt:lpwstr>
      </vt:variant>
      <vt:variant>
        <vt:lpwstr/>
      </vt:variant>
      <vt:variant>
        <vt:i4>1704004</vt:i4>
      </vt:variant>
      <vt:variant>
        <vt:i4>807</vt:i4>
      </vt:variant>
      <vt:variant>
        <vt:i4>0</vt:i4>
      </vt:variant>
      <vt:variant>
        <vt:i4>5</vt:i4>
      </vt:variant>
      <vt:variant>
        <vt:lpwstr>https://congreso-gto.s3.amazonaws.com/uploads/orden_archivo/archivo/29953/23_ELD_329_LXV-I_Dictamen_iniciativa_CC_asambleas_generales_GPPAN.pdf</vt:lpwstr>
      </vt:variant>
      <vt:variant>
        <vt:lpwstr/>
      </vt:variant>
      <vt:variant>
        <vt:i4>3997738</vt:i4>
      </vt:variant>
      <vt:variant>
        <vt:i4>804</vt:i4>
      </vt:variant>
      <vt:variant>
        <vt:i4>0</vt:i4>
      </vt:variant>
      <vt:variant>
        <vt:i4>5</vt:i4>
      </vt:variant>
      <vt:variant>
        <vt:lpwstr>https://www.cndh.org.mx/documento/accion-de-inconstitucionalidad-552022</vt:lpwstr>
      </vt:variant>
      <vt:variant>
        <vt:lpwstr/>
      </vt:variant>
      <vt:variant>
        <vt:i4>851996</vt:i4>
      </vt:variant>
      <vt:variant>
        <vt:i4>801</vt:i4>
      </vt:variant>
      <vt:variant>
        <vt:i4>0</vt:i4>
      </vt:variant>
      <vt:variant>
        <vt:i4>5</vt:i4>
      </vt:variant>
      <vt:variant>
        <vt:lpwstr>http://portal.te.gob.mx/legislacion-jurisprudencia/catalogo/2015-ley-general-de-instituciones-y-procedimientos</vt:lpwstr>
      </vt:variant>
      <vt:variant>
        <vt:lpwstr>l2_c2_txt</vt:lpwstr>
      </vt:variant>
      <vt:variant>
        <vt:i4>2031670</vt:i4>
      </vt:variant>
      <vt:variant>
        <vt:i4>798</vt:i4>
      </vt:variant>
      <vt:variant>
        <vt:i4>0</vt:i4>
      </vt:variant>
      <vt:variant>
        <vt:i4>5</vt:i4>
      </vt:variant>
      <vt:variant>
        <vt:lpwstr>http://portal.te.gob.mx/legislacion-jurisprudencia/catalogo/2014-constitucion-politica-de-los-estados-unidos-m</vt:lpwstr>
      </vt:variant>
      <vt:variant>
        <vt:lpwstr>t3_c2_s1_txt</vt:lpwstr>
      </vt:variant>
      <vt:variant>
        <vt:i4>4915309</vt:i4>
      </vt:variant>
      <vt:variant>
        <vt:i4>795</vt:i4>
      </vt:variant>
      <vt:variant>
        <vt:i4>0</vt:i4>
      </vt:variant>
      <vt:variant>
        <vt:i4>5</vt:i4>
      </vt:variant>
      <vt:variant>
        <vt:lpwstr>https://www.dof.gob.mx/nota_detalle.php?codigo=5690265&amp;fecha=29/05/2023</vt:lpwstr>
      </vt:variant>
      <vt:variant>
        <vt:lpwstr>gsc.tab=0</vt:lpwstr>
      </vt:variant>
      <vt:variant>
        <vt:i4>3735566</vt:i4>
      </vt:variant>
      <vt:variant>
        <vt:i4>792</vt:i4>
      </vt:variant>
      <vt:variant>
        <vt:i4>0</vt:i4>
      </vt:variant>
      <vt:variant>
        <vt:i4>5</vt:i4>
      </vt:variant>
      <vt:variant>
        <vt:lpwstr>https://www.congresogto.gob.mx/expedientes_legislativos_digitales/iniciativas?utf8=%E2%9C%93&amp;filtro_id=&amp;query=182A%2FLXV-I</vt:lpwstr>
      </vt:variant>
      <vt:variant>
        <vt:lpwstr/>
      </vt:variant>
      <vt:variant>
        <vt:i4>589861</vt:i4>
      </vt:variant>
      <vt:variant>
        <vt:i4>789</vt:i4>
      </vt:variant>
      <vt:variant>
        <vt:i4>0</vt:i4>
      </vt:variant>
      <vt:variant>
        <vt:i4>5</vt:i4>
      </vt:variant>
      <vt:variant>
        <vt:lpwstr>https://www.defensorianinez.cl/preguntas_frecuentes/que-se-entiende-por-vulneracion-de-derechos/</vt:lpwstr>
      </vt:variant>
      <vt:variant>
        <vt:lpwstr/>
      </vt:variant>
      <vt:variant>
        <vt:i4>7995501</vt:i4>
      </vt:variant>
      <vt:variant>
        <vt:i4>786</vt:i4>
      </vt:variant>
      <vt:variant>
        <vt:i4>0</vt:i4>
      </vt:variant>
      <vt:variant>
        <vt:i4>5</vt:i4>
      </vt:variant>
      <vt:variant>
        <vt:lpwstr>https://igualdad.ine.mx/mujeres-en-la-politica/violencia-politica/</vt:lpwstr>
      </vt:variant>
      <vt:variant>
        <vt:lpwstr/>
      </vt:variant>
      <vt:variant>
        <vt:i4>6291540</vt:i4>
      </vt:variant>
      <vt:variant>
        <vt:i4>783</vt:i4>
      </vt:variant>
      <vt:variant>
        <vt:i4>0</vt:i4>
      </vt:variant>
      <vt:variant>
        <vt:i4>5</vt:i4>
      </vt:variant>
      <vt:variant>
        <vt:lpwstr>https://tbinternet.ohchr.org/_layouts/15/treatybodyexternal/TBSearch.aspx?Lang=en&amp;TreatyID=3&amp;DocTypeID=11</vt:lpwstr>
      </vt:variant>
      <vt:variant>
        <vt:lpwstr/>
      </vt:variant>
      <vt:variant>
        <vt:i4>458834</vt:i4>
      </vt:variant>
      <vt:variant>
        <vt:i4>780</vt:i4>
      </vt:variant>
      <vt:variant>
        <vt:i4>0</vt:i4>
      </vt:variant>
      <vt:variant>
        <vt:i4>5</vt:i4>
      </vt:variant>
      <vt:variant>
        <vt:lpwstr>https://www.ohchr.org/es/treaty-bodies/cedaw/general-recommendations</vt:lpwstr>
      </vt:variant>
      <vt:variant>
        <vt:lpwstr/>
      </vt:variant>
      <vt:variant>
        <vt:i4>4390920</vt:i4>
      </vt:variant>
      <vt:variant>
        <vt:i4>777</vt:i4>
      </vt:variant>
      <vt:variant>
        <vt:i4>0</vt:i4>
      </vt:variant>
      <vt:variant>
        <vt:i4>5</vt:i4>
      </vt:variant>
      <vt:variant>
        <vt:lpwstr>https://congreso-gto.s3.amazonaws.com/uploads/orden_archivo/archivo/29952/22_Dictamen_positivo_CPEGTO_suspension_derechos_19062023_VB.pdf</vt:lpwstr>
      </vt:variant>
      <vt:variant>
        <vt:lpwstr/>
      </vt:variant>
      <vt:variant>
        <vt:i4>3932240</vt:i4>
      </vt:variant>
      <vt:variant>
        <vt:i4>774</vt:i4>
      </vt:variant>
      <vt:variant>
        <vt:i4>0</vt:i4>
      </vt:variant>
      <vt:variant>
        <vt:i4>5</vt:i4>
      </vt:variant>
      <vt:variant>
        <vt:lpwstr>https://congreso-gto.s3.amazonaws.com/uploads/orden_archivo/archivo/29951/21_Dictamen_Exhorto_Municipios_y_PC_seguridad_en_eventos_con_aeronaves.pdf</vt:lpwstr>
      </vt:variant>
      <vt:variant>
        <vt:lpwstr/>
      </vt:variant>
      <vt:variant>
        <vt:i4>7864365</vt:i4>
      </vt:variant>
      <vt:variant>
        <vt:i4>771</vt:i4>
      </vt:variant>
      <vt:variant>
        <vt:i4>0</vt:i4>
      </vt:variant>
      <vt:variant>
        <vt:i4>5</vt:i4>
      </vt:variant>
      <vt:variant>
        <vt:lpwstr>http://gaceta.diputados.gob.mx/Gaceta/61/2011/abr/20110427-III.html</vt:lpwstr>
      </vt:variant>
      <vt:variant>
        <vt:lpwstr/>
      </vt:variant>
      <vt:variant>
        <vt:i4>4194389</vt:i4>
      </vt:variant>
      <vt:variant>
        <vt:i4>768</vt:i4>
      </vt:variant>
      <vt:variant>
        <vt:i4>0</vt:i4>
      </vt:variant>
      <vt:variant>
        <vt:i4>5</vt:i4>
      </vt:variant>
      <vt:variant>
        <vt:lpwstr>https://smn.conagua.gob.mx/es/climatologia/monitor-de-sequia/monitor-de-sequia-en-mexico</vt:lpwstr>
      </vt:variant>
      <vt:variant>
        <vt:lpwstr/>
      </vt:variant>
      <vt:variant>
        <vt:i4>2097200</vt:i4>
      </vt:variant>
      <vt:variant>
        <vt:i4>765</vt:i4>
      </vt:variant>
      <vt:variant>
        <vt:i4>0</vt:i4>
      </vt:variant>
      <vt:variant>
        <vt:i4>5</vt:i4>
      </vt:variant>
      <vt:variant>
        <vt:lpwstr>https://smn.conagua.gob.mx/es/climatologia/monitor-de-sequia/monitor-de-sequia-de-america-del-norte</vt:lpwstr>
      </vt:variant>
      <vt:variant>
        <vt:lpwstr/>
      </vt:variant>
      <vt:variant>
        <vt:i4>65602</vt:i4>
      </vt:variant>
      <vt:variant>
        <vt:i4>762</vt:i4>
      </vt:variant>
      <vt:variant>
        <vt:i4>0</vt:i4>
      </vt:variant>
      <vt:variant>
        <vt:i4>5</vt:i4>
      </vt:variant>
      <vt:variant>
        <vt:lpwstr>https://www.banxico.org.mx/publicaciones-y-prensa/informes-trimestrales/recuadros/%7B3A0127A1-D0C9-7D61-C9AE-E57E127FB39B%7D.pdf</vt:lpwstr>
      </vt:variant>
      <vt:variant>
        <vt:lpwstr/>
      </vt:variant>
      <vt:variant>
        <vt:i4>3473448</vt:i4>
      </vt:variant>
      <vt:variant>
        <vt:i4>759</vt:i4>
      </vt:variant>
      <vt:variant>
        <vt:i4>0</vt:i4>
      </vt:variant>
      <vt:variant>
        <vt:i4>5</vt:i4>
      </vt:variant>
      <vt:variant>
        <vt:lpwstr>http://www3.diputados.gob.mx/camara/001_diputados/012_comisioneslxii/01_ordinarias/042_recursos_hidraulicos/12_foros_consultas_y_eventos_realizados</vt:lpwstr>
      </vt:variant>
      <vt:variant>
        <vt:lpwstr/>
      </vt:variant>
      <vt:variant>
        <vt:i4>2228342</vt:i4>
      </vt:variant>
      <vt:variant>
        <vt:i4>756</vt:i4>
      </vt:variant>
      <vt:variant>
        <vt:i4>0</vt:i4>
      </vt:variant>
      <vt:variant>
        <vt:i4>5</vt:i4>
      </vt:variant>
      <vt:variant>
        <vt:lpwstr>https://www.internet2.scjn.gob.mx/red2/comunicados/noticia.asp?id=6746</vt:lpwstr>
      </vt:variant>
      <vt:variant>
        <vt:lpwstr/>
      </vt:variant>
      <vt:variant>
        <vt:i4>4194405</vt:i4>
      </vt:variant>
      <vt:variant>
        <vt:i4>753</vt:i4>
      </vt:variant>
      <vt:variant>
        <vt:i4>0</vt:i4>
      </vt:variant>
      <vt:variant>
        <vt:i4>5</vt:i4>
      </vt:variant>
      <vt:variant>
        <vt:lpwstr>https://www.dof.gob.mx/nota_detalle.php?codigo=5652868&amp;fecha=23/05/2022</vt:lpwstr>
      </vt:variant>
      <vt:variant>
        <vt:lpwstr>gsc.tab=0</vt:lpwstr>
      </vt:variant>
      <vt:variant>
        <vt:i4>1179753</vt:i4>
      </vt:variant>
      <vt:variant>
        <vt:i4>750</vt:i4>
      </vt:variant>
      <vt:variant>
        <vt:i4>0</vt:i4>
      </vt:variant>
      <vt:variant>
        <vt:i4>5</vt:i4>
      </vt:variant>
      <vt:variant>
        <vt:lpwstr>https://dof.gob.mx/nota_detalle.php?codigo=5232952&amp;fecha=08/02/2012</vt:lpwstr>
      </vt:variant>
      <vt:variant>
        <vt:lpwstr>gsc.tab=0</vt:lpwstr>
      </vt:variant>
      <vt:variant>
        <vt:i4>5767232</vt:i4>
      </vt:variant>
      <vt:variant>
        <vt:i4>747</vt:i4>
      </vt:variant>
      <vt:variant>
        <vt:i4>0</vt:i4>
      </vt:variant>
      <vt:variant>
        <vt:i4>5</vt:i4>
      </vt:variant>
      <vt:variant>
        <vt:lpwstr>https://www.diputados.gob.mx/LeyesBiblio/ref/lfd.htm</vt:lpwstr>
      </vt:variant>
      <vt:variant>
        <vt:lpwstr/>
      </vt:variant>
      <vt:variant>
        <vt:i4>3866659</vt:i4>
      </vt:variant>
      <vt:variant>
        <vt:i4>744</vt:i4>
      </vt:variant>
      <vt:variant>
        <vt:i4>0</vt:i4>
      </vt:variant>
      <vt:variant>
        <vt:i4>5</vt:i4>
      </vt:variant>
      <vt:variant>
        <vt:lpwstr>https://www.diputados.gob.mx/LeyesBiblio/ref/cpeum.htm</vt:lpwstr>
      </vt:variant>
      <vt:variant>
        <vt:lpwstr/>
      </vt:variant>
      <vt:variant>
        <vt:i4>7274512</vt:i4>
      </vt:variant>
      <vt:variant>
        <vt:i4>741</vt:i4>
      </vt:variant>
      <vt:variant>
        <vt:i4>0</vt:i4>
      </vt:variant>
      <vt:variant>
        <vt:i4>5</vt:i4>
      </vt:variant>
      <vt:variant>
        <vt:lpwstr>https://congreso-gto.s3.amazonaws.com/uploads/orden_archivo/archivo/29950/20_Dictamen_ELD_263_LXV-PPA_130623_firmado.pdf</vt:lpwstr>
      </vt:variant>
      <vt:variant>
        <vt:lpwstr/>
      </vt:variant>
      <vt:variant>
        <vt:i4>7733283</vt:i4>
      </vt:variant>
      <vt:variant>
        <vt:i4>738</vt:i4>
      </vt:variant>
      <vt:variant>
        <vt:i4>0</vt:i4>
      </vt:variant>
      <vt:variant>
        <vt:i4>5</vt:i4>
      </vt:variant>
      <vt:variant>
        <vt:lpwstr>https://congreso-gto.s3.amazonaws.com/uploads/orden_archivo/archivo/29949/19_Informe_conceptos_gral_edos_financieros_de_los_recursos_presup_mayo_2023.pdf</vt:lpwstr>
      </vt:variant>
      <vt:variant>
        <vt:lpwstr/>
      </vt:variant>
      <vt:variant>
        <vt:i4>6946877</vt:i4>
      </vt:variant>
      <vt:variant>
        <vt:i4>735</vt:i4>
      </vt:variant>
      <vt:variant>
        <vt:i4>0</vt:i4>
      </vt:variant>
      <vt:variant>
        <vt:i4>5</vt:i4>
      </vt:variant>
      <vt:variant>
        <vt:lpwstr>https://congreso-gto.s3.amazonaws.com/uploads/orden_archivo/archivo/29948/18_Inf_conceptos_grales_y_transferencias_abril_2023.pdf</vt:lpwstr>
      </vt:variant>
      <vt:variant>
        <vt:lpwstr/>
      </vt:variant>
      <vt:variant>
        <vt:i4>7733283</vt:i4>
      </vt:variant>
      <vt:variant>
        <vt:i4>732</vt:i4>
      </vt:variant>
      <vt:variant>
        <vt:i4>0</vt:i4>
      </vt:variant>
      <vt:variant>
        <vt:i4>5</vt:i4>
      </vt:variant>
      <vt:variant>
        <vt:lpwstr>https://congreso-gto.s3.amazonaws.com/uploads/orden_archivo/archivo/29949/19_Informe_conceptos_gral_edos_financieros_de_los_recursos_presup_mayo_2023.pdf</vt:lpwstr>
      </vt:variant>
      <vt:variant>
        <vt:lpwstr/>
      </vt:variant>
      <vt:variant>
        <vt:i4>3145752</vt:i4>
      </vt:variant>
      <vt:variant>
        <vt:i4>729</vt:i4>
      </vt:variant>
      <vt:variant>
        <vt:i4>0</vt:i4>
      </vt:variant>
      <vt:variant>
        <vt:i4>5</vt:i4>
      </vt:variant>
      <vt:variant>
        <vt:lpwstr>https://portaldgi.guanajuato.gob.mx/CuentaPublica/public/uploads/2020/CPA/52.2_FIDESSEG/04 Impuestos FIDESSEG 65-66.pdf</vt:lpwstr>
      </vt:variant>
      <vt:variant>
        <vt:lpwstr/>
      </vt:variant>
      <vt:variant>
        <vt:i4>3145752</vt:i4>
      </vt:variant>
      <vt:variant>
        <vt:i4>726</vt:i4>
      </vt:variant>
      <vt:variant>
        <vt:i4>0</vt:i4>
      </vt:variant>
      <vt:variant>
        <vt:i4>5</vt:i4>
      </vt:variant>
      <vt:variant>
        <vt:lpwstr>https://portaldgi.guanajuato.gob.mx/CuentaPublica/public/uploads/2020/CPA/52.2_FIDESSEG/04 Impuestos FIDESSEG 65-66.pdf</vt:lpwstr>
      </vt:variant>
      <vt:variant>
        <vt:lpwstr/>
      </vt:variant>
      <vt:variant>
        <vt:i4>3145752</vt:i4>
      </vt:variant>
      <vt:variant>
        <vt:i4>723</vt:i4>
      </vt:variant>
      <vt:variant>
        <vt:i4>0</vt:i4>
      </vt:variant>
      <vt:variant>
        <vt:i4>5</vt:i4>
      </vt:variant>
      <vt:variant>
        <vt:lpwstr>https://portaldgi.guanajuato.gob.mx/CuentaPublica/public/uploads/2020/CPA/52.2_FIDESSEG/04 Impuestos FIDESSEG 65-66.pdf</vt:lpwstr>
      </vt:variant>
      <vt:variant>
        <vt:lpwstr/>
      </vt:variant>
      <vt:variant>
        <vt:i4>3145752</vt:i4>
      </vt:variant>
      <vt:variant>
        <vt:i4>720</vt:i4>
      </vt:variant>
      <vt:variant>
        <vt:i4>0</vt:i4>
      </vt:variant>
      <vt:variant>
        <vt:i4>5</vt:i4>
      </vt:variant>
      <vt:variant>
        <vt:lpwstr>https://portaldgi.guanajuato.gob.mx/CuentaPublica/public/uploads/2020/CPA/52.2_FIDESSEG/04 Impuestos FIDESSEG 65-66.pdf</vt:lpwstr>
      </vt:variant>
      <vt:variant>
        <vt:lpwstr/>
      </vt:variant>
      <vt:variant>
        <vt:i4>3145752</vt:i4>
      </vt:variant>
      <vt:variant>
        <vt:i4>717</vt:i4>
      </vt:variant>
      <vt:variant>
        <vt:i4>0</vt:i4>
      </vt:variant>
      <vt:variant>
        <vt:i4>5</vt:i4>
      </vt:variant>
      <vt:variant>
        <vt:lpwstr>https://portaldgi.guanajuato.gob.mx/CuentaPublica/public/uploads/2020/CPA/52.2_FIDESSEG/04 Impuestos FIDESSEG 65-66.pdf</vt:lpwstr>
      </vt:variant>
      <vt:variant>
        <vt:lpwstr/>
      </vt:variant>
      <vt:variant>
        <vt:i4>3211366</vt:i4>
      </vt:variant>
      <vt:variant>
        <vt:i4>714</vt:i4>
      </vt:variant>
      <vt:variant>
        <vt:i4>0</vt:i4>
      </vt:variant>
      <vt:variant>
        <vt:i4>5</vt:i4>
      </vt:variant>
      <vt:variant>
        <vt:lpwstr>https://congreso-gto.s3.amazonaws.com/uploads/orden_archivo/archivo/29946/16_PPA_GPPMORENA_ASEG-FIDESSEG_56902__22_JUNIO_23_.pdf</vt:lpwstr>
      </vt:variant>
      <vt:variant>
        <vt:lpwstr/>
      </vt:variant>
      <vt:variant>
        <vt:i4>1966195</vt:i4>
      </vt:variant>
      <vt:variant>
        <vt:i4>711</vt:i4>
      </vt:variant>
      <vt:variant>
        <vt:i4>0</vt:i4>
      </vt:variant>
      <vt:variant>
        <vt:i4>5</vt:i4>
      </vt:variant>
      <vt:variant>
        <vt:lpwstr>https://congreso-gto.s3.amazonaws.com/uploads/orden_archivo/archivo/29945/15_PPA_GPPMORENA_Pedro_Fco_Rguez_San_Felipe-_Tlaxcala_56899__22_JUN_2023_.pdf</vt:lpwstr>
      </vt:variant>
      <vt:variant>
        <vt:lpwstr/>
      </vt:variant>
      <vt:variant>
        <vt:i4>1114135</vt:i4>
      </vt:variant>
      <vt:variant>
        <vt:i4>708</vt:i4>
      </vt:variant>
      <vt:variant>
        <vt:i4>0</vt:i4>
      </vt:variant>
      <vt:variant>
        <vt:i4>5</vt:i4>
      </vt:variant>
      <vt:variant>
        <vt:lpwstr>https://congreso-gto.s3.amazonaws.com/uploads/orden_archivo/archivo/29944/14_PPA_GPPMORENA_Ayttos_y_Com_Estatal_de_Bu_squeda_de_personas_56905__22_JUN_23_.pdf</vt:lpwstr>
      </vt:variant>
      <vt:variant>
        <vt:lpwstr/>
      </vt:variant>
      <vt:variant>
        <vt:i4>3539003</vt:i4>
      </vt:variant>
      <vt:variant>
        <vt:i4>705</vt:i4>
      </vt:variant>
      <vt:variant>
        <vt:i4>0</vt:i4>
      </vt:variant>
      <vt:variant>
        <vt:i4>5</vt:i4>
      </vt:variant>
      <vt:variant>
        <vt:lpwstr>https://congreso-gto.s3.amazonaws.com/uploads/orden_archivo/archivo/29943/13_PPA_GPPVEM_vapeadores_56901__22_JUNIO_23_.pdf</vt:lpwstr>
      </vt:variant>
      <vt:variant>
        <vt:lpwstr/>
      </vt:variant>
      <vt:variant>
        <vt:i4>65639</vt:i4>
      </vt:variant>
      <vt:variant>
        <vt:i4>702</vt:i4>
      </vt:variant>
      <vt:variant>
        <vt:i4>0</vt:i4>
      </vt:variant>
      <vt:variant>
        <vt:i4>5</vt:i4>
      </vt:variant>
      <vt:variant>
        <vt:lpwstr>https://www.inegi.org.mx/contenidos/saladeprensa/boletines/2022/endireh/Endireh2021_Nal.pdf</vt:lpwstr>
      </vt:variant>
      <vt:variant>
        <vt:lpwstr/>
      </vt:variant>
      <vt:variant>
        <vt:i4>5505106</vt:i4>
      </vt:variant>
      <vt:variant>
        <vt:i4>699</vt:i4>
      </vt:variant>
      <vt:variant>
        <vt:i4>0</vt:i4>
      </vt:variant>
      <vt:variant>
        <vt:i4>5</vt:i4>
      </vt:variant>
      <vt:variant>
        <vt:lpwstr>https://congreso-gto.s3.amazonaws.com/uploads/orden_archivo/archivo/29942/12_PPA_GPMORENA_UG_56900__22_JUNIO_23_.pdf</vt:lpwstr>
      </vt:variant>
      <vt:variant>
        <vt:lpwstr/>
      </vt:variant>
      <vt:variant>
        <vt:i4>1966174</vt:i4>
      </vt:variant>
      <vt:variant>
        <vt:i4>696</vt:i4>
      </vt:variant>
      <vt:variant>
        <vt:i4>0</vt:i4>
      </vt:variant>
      <vt:variant>
        <vt:i4>5</vt:i4>
      </vt:variant>
      <vt:variant>
        <vt:lpwstr>https://www.inegi.org.mx/programas/ccpv/2020/</vt:lpwstr>
      </vt:variant>
      <vt:variant>
        <vt:lpwstr>Tabulados</vt:lpwstr>
      </vt:variant>
      <vt:variant>
        <vt:i4>3735604</vt:i4>
      </vt:variant>
      <vt:variant>
        <vt:i4>693</vt:i4>
      </vt:variant>
      <vt:variant>
        <vt:i4>0</vt:i4>
      </vt:variant>
      <vt:variant>
        <vt:i4>5</vt:i4>
      </vt:variant>
      <vt:variant>
        <vt:lpwstr>https://www.diputados.gob.mx/LeyesBiblio/pdf/LFPED.pdf</vt:lpwstr>
      </vt:variant>
      <vt:variant>
        <vt:lpwstr/>
      </vt:variant>
      <vt:variant>
        <vt:i4>2752617</vt:i4>
      </vt:variant>
      <vt:variant>
        <vt:i4>690</vt:i4>
      </vt:variant>
      <vt:variant>
        <vt:i4>0</vt:i4>
      </vt:variant>
      <vt:variant>
        <vt:i4>5</vt:i4>
      </vt:variant>
      <vt:variant>
        <vt:lpwstr>https://www.un.org/esa/socdev/enable/documents/tccconvs.pdf</vt:lpwstr>
      </vt:variant>
      <vt:variant>
        <vt:lpwstr/>
      </vt:variant>
      <vt:variant>
        <vt:i4>2097184</vt:i4>
      </vt:variant>
      <vt:variant>
        <vt:i4>687</vt:i4>
      </vt:variant>
      <vt:variant>
        <vt:i4>0</vt:i4>
      </vt:variant>
      <vt:variant>
        <vt:i4>5</vt:i4>
      </vt:variant>
      <vt:variant>
        <vt:lpwstr>https://www.diputados.gob.mx/LeyesBiblio/pdf/LGIPD.pdf</vt:lpwstr>
      </vt:variant>
      <vt:variant>
        <vt:lpwstr/>
      </vt:variant>
      <vt:variant>
        <vt:i4>3932189</vt:i4>
      </vt:variant>
      <vt:variant>
        <vt:i4>684</vt:i4>
      </vt:variant>
      <vt:variant>
        <vt:i4>0</vt:i4>
      </vt:variant>
      <vt:variant>
        <vt:i4>5</vt:i4>
      </vt:variant>
      <vt:variant>
        <vt:lpwstr>https://congreso-gto.s3.amazonaws.com/uploads/orden_archivo/archivo/29941/11_PPA_GPPAN_Protec_Civil_Bom_y_Seg_Cdana_56896__22_JUNIO_23_.pdf</vt:lpwstr>
      </vt:variant>
      <vt:variant>
        <vt:lpwstr/>
      </vt:variant>
      <vt:variant>
        <vt:i4>1310728</vt:i4>
      </vt:variant>
      <vt:variant>
        <vt:i4>681</vt:i4>
      </vt:variant>
      <vt:variant>
        <vt:i4>0</vt:i4>
      </vt:variant>
      <vt:variant>
        <vt:i4>5</vt:i4>
      </vt:variant>
      <vt:variant>
        <vt:lpwstr>https://zonafranca.mx/politica-sociedad/ddhh/personal-de-salud-manifiesta-inconformidad-en-redes-sociales-por-bases/</vt:lpwstr>
      </vt:variant>
      <vt:variant>
        <vt:lpwstr/>
      </vt:variant>
      <vt:variant>
        <vt:i4>1310728</vt:i4>
      </vt:variant>
      <vt:variant>
        <vt:i4>678</vt:i4>
      </vt:variant>
      <vt:variant>
        <vt:i4>0</vt:i4>
      </vt:variant>
      <vt:variant>
        <vt:i4>5</vt:i4>
      </vt:variant>
      <vt:variant>
        <vt:lpwstr>https://zonafranca.mx/politica-sociedad/ddhh/personal-de-salud-manifiesta-inconformidad-en-redes-sociales-por-bases/</vt:lpwstr>
      </vt:variant>
      <vt:variant>
        <vt:lpwstr/>
      </vt:variant>
      <vt:variant>
        <vt:i4>8192082</vt:i4>
      </vt:variant>
      <vt:variant>
        <vt:i4>675</vt:i4>
      </vt:variant>
      <vt:variant>
        <vt:i4>0</vt:i4>
      </vt:variant>
      <vt:variant>
        <vt:i4>5</vt:i4>
      </vt:variant>
      <vt:variant>
        <vt:lpwstr>https://boletines.guanajuato.gob.mx/2023/06/02/ssg-otorgo-3-mil-600-bases-a-personal-de-salud/?fbclid=IwAR0WbaTNeB-ezsveGZw95kgKQXdy_s6f5BD5DH9tn5ZfjZGG4uCgKIFtSzo</vt:lpwstr>
      </vt:variant>
      <vt:variant>
        <vt:lpwstr/>
      </vt:variant>
      <vt:variant>
        <vt:i4>8192082</vt:i4>
      </vt:variant>
      <vt:variant>
        <vt:i4>672</vt:i4>
      </vt:variant>
      <vt:variant>
        <vt:i4>0</vt:i4>
      </vt:variant>
      <vt:variant>
        <vt:i4>5</vt:i4>
      </vt:variant>
      <vt:variant>
        <vt:lpwstr>https://boletines.guanajuato.gob.mx/2023/06/02/ssg-otorgo-3-mil-600-bases-a-personal-de-salud/?fbclid=IwAR0WbaTNeB-ezsveGZw95kgKQXdy_s6f5BD5DH9tn5ZfjZGG4uCgKIFtSzo</vt:lpwstr>
      </vt:variant>
      <vt:variant>
        <vt:lpwstr/>
      </vt:variant>
      <vt:variant>
        <vt:i4>1179717</vt:i4>
      </vt:variant>
      <vt:variant>
        <vt:i4>669</vt:i4>
      </vt:variant>
      <vt:variant>
        <vt:i4>0</vt:i4>
      </vt:variant>
      <vt:variant>
        <vt:i4>5</vt:i4>
      </vt:variant>
      <vt:variant>
        <vt:lpwstr>https://www.facebook.com/watch/?v=975780833553289</vt:lpwstr>
      </vt:variant>
      <vt:variant>
        <vt:lpwstr/>
      </vt:variant>
      <vt:variant>
        <vt:i4>2621496</vt:i4>
      </vt:variant>
      <vt:variant>
        <vt:i4>666</vt:i4>
      </vt:variant>
      <vt:variant>
        <vt:i4>0</vt:i4>
      </vt:variant>
      <vt:variant>
        <vt:i4>5</vt:i4>
      </vt:variant>
      <vt:variant>
        <vt:lpwstr>https://zonafranca.mx/politica-sociedad/salud/seran-mil-875-bases-en-la-primera-etapa-para-trabajadores-del-isapeg/</vt:lpwstr>
      </vt:variant>
      <vt:variant>
        <vt:lpwstr/>
      </vt:variant>
      <vt:variant>
        <vt:i4>2621496</vt:i4>
      </vt:variant>
      <vt:variant>
        <vt:i4>663</vt:i4>
      </vt:variant>
      <vt:variant>
        <vt:i4>0</vt:i4>
      </vt:variant>
      <vt:variant>
        <vt:i4>5</vt:i4>
      </vt:variant>
      <vt:variant>
        <vt:lpwstr>https://zonafranca.mx/politica-sociedad/salud/seran-mil-875-bases-en-la-primera-etapa-para-trabajadores-del-isapeg/</vt:lpwstr>
      </vt:variant>
      <vt:variant>
        <vt:lpwstr/>
      </vt:variant>
      <vt:variant>
        <vt:i4>2818156</vt:i4>
      </vt:variant>
      <vt:variant>
        <vt:i4>660</vt:i4>
      </vt:variant>
      <vt:variant>
        <vt:i4>0</vt:i4>
      </vt:variant>
      <vt:variant>
        <vt:i4>5</vt:i4>
      </vt:variant>
      <vt:variant>
        <vt:lpwstr>https://poplab.mx/v2/story/Protesta-historica-de-personal-de-Salud-expande-movimiento-laboral-</vt:lpwstr>
      </vt:variant>
      <vt:variant>
        <vt:lpwstr/>
      </vt:variant>
      <vt:variant>
        <vt:i4>2818156</vt:i4>
      </vt:variant>
      <vt:variant>
        <vt:i4>657</vt:i4>
      </vt:variant>
      <vt:variant>
        <vt:i4>0</vt:i4>
      </vt:variant>
      <vt:variant>
        <vt:i4>5</vt:i4>
      </vt:variant>
      <vt:variant>
        <vt:lpwstr>https://poplab.mx/v2/story/Protesta-historica-de-personal-de-Salud-expande-movimiento-laboral-</vt:lpwstr>
      </vt:variant>
      <vt:variant>
        <vt:lpwstr/>
      </vt:variant>
      <vt:variant>
        <vt:i4>2687014</vt:i4>
      </vt:variant>
      <vt:variant>
        <vt:i4>654</vt:i4>
      </vt:variant>
      <vt:variant>
        <vt:i4>0</vt:i4>
      </vt:variant>
      <vt:variant>
        <vt:i4>5</vt:i4>
      </vt:variant>
      <vt:variant>
        <vt:lpwstr>https://poplab.mx/v2/story/Fueron-heroes-en-la-pandemia-hoy-el-gobierno-les-regatea-derechos-prometidos-e-inicia-represion</vt:lpwstr>
      </vt:variant>
      <vt:variant>
        <vt:lpwstr/>
      </vt:variant>
      <vt:variant>
        <vt:i4>2687014</vt:i4>
      </vt:variant>
      <vt:variant>
        <vt:i4>651</vt:i4>
      </vt:variant>
      <vt:variant>
        <vt:i4>0</vt:i4>
      </vt:variant>
      <vt:variant>
        <vt:i4>5</vt:i4>
      </vt:variant>
      <vt:variant>
        <vt:lpwstr>https://poplab.mx/v2/story/Fueron-heroes-en-la-pandemia-hoy-el-gobierno-les-regatea-derechos-prometidos-e-inicia-represion</vt:lpwstr>
      </vt:variant>
      <vt:variant>
        <vt:lpwstr/>
      </vt:variant>
      <vt:variant>
        <vt:i4>4849685</vt:i4>
      </vt:variant>
      <vt:variant>
        <vt:i4>648</vt:i4>
      </vt:variant>
      <vt:variant>
        <vt:i4>0</vt:i4>
      </vt:variant>
      <vt:variant>
        <vt:i4>5</vt:i4>
      </vt:variant>
      <vt:variant>
        <vt:lpwstr>https://www.elfinanciero.com.mx/nacional/gobernador-de-guanajuato-anuncia-un-fondo-economico-para-trabajadores-de-la-salud-en-el-estado/</vt:lpwstr>
      </vt:variant>
      <vt:variant>
        <vt:lpwstr/>
      </vt:variant>
      <vt:variant>
        <vt:i4>4849685</vt:i4>
      </vt:variant>
      <vt:variant>
        <vt:i4>645</vt:i4>
      </vt:variant>
      <vt:variant>
        <vt:i4>0</vt:i4>
      </vt:variant>
      <vt:variant>
        <vt:i4>5</vt:i4>
      </vt:variant>
      <vt:variant>
        <vt:lpwstr>https://www.elfinanciero.com.mx/nacional/gobernador-de-guanajuato-anuncia-un-fondo-economico-para-trabajadores-de-la-salud-en-el-estado/</vt:lpwstr>
      </vt:variant>
      <vt:variant>
        <vt:lpwstr/>
      </vt:variant>
      <vt:variant>
        <vt:i4>2818097</vt:i4>
      </vt:variant>
      <vt:variant>
        <vt:i4>642</vt:i4>
      </vt:variant>
      <vt:variant>
        <vt:i4>0</vt:i4>
      </vt:variant>
      <vt:variant>
        <vt:i4>5</vt:i4>
      </vt:variant>
      <vt:variant>
        <vt:lpwstr>https://www.facebook.com/watch/?ref=external&amp;v=621096662046234</vt:lpwstr>
      </vt:variant>
      <vt:variant>
        <vt:lpwstr/>
      </vt:variant>
      <vt:variant>
        <vt:i4>1638420</vt:i4>
      </vt:variant>
      <vt:variant>
        <vt:i4>639</vt:i4>
      </vt:variant>
      <vt:variant>
        <vt:i4>0</vt:i4>
      </vt:variant>
      <vt:variant>
        <vt:i4>5</vt:i4>
      </vt:variant>
      <vt:variant>
        <vt:lpwstr>https://congreso-gto.s3.amazonaws.com/uploads/orden_archivo/archivo/29940/10_PPA_GPPMORENA_ISAPEG_56898__22_JUN_23_.pdf</vt:lpwstr>
      </vt:variant>
      <vt:variant>
        <vt:lpwstr/>
      </vt:variant>
      <vt:variant>
        <vt:i4>7340063</vt:i4>
      </vt:variant>
      <vt:variant>
        <vt:i4>636</vt:i4>
      </vt:variant>
      <vt:variant>
        <vt:i4>0</vt:i4>
      </vt:variant>
      <vt:variant>
        <vt:i4>5</vt:i4>
      </vt:variant>
      <vt:variant>
        <vt:lpwstr>https://congreso-gto.s3.amazonaws.com/uploads/orden_archivo/archivo/29939/09_INFORME_ASEG.pdf</vt:lpwstr>
      </vt:variant>
      <vt:variant>
        <vt:lpwstr/>
      </vt:variant>
      <vt:variant>
        <vt:i4>1769480</vt:i4>
      </vt:variant>
      <vt:variant>
        <vt:i4>633</vt:i4>
      </vt:variant>
      <vt:variant>
        <vt:i4>0</vt:i4>
      </vt:variant>
      <vt:variant>
        <vt:i4>5</vt:i4>
      </vt:variant>
      <vt:variant>
        <vt:lpwstr>https://congreso-gto.s3.amazonaws.com/uploads/orden_archivo/archivo/29938/08_Iniciativa_GPPMORENA_Co_digo_Penal_56904__22_JUNIO_2023_.pdf</vt:lpwstr>
      </vt:variant>
      <vt:variant>
        <vt:lpwstr/>
      </vt:variant>
      <vt:variant>
        <vt:i4>7733358</vt:i4>
      </vt:variant>
      <vt:variant>
        <vt:i4>630</vt:i4>
      </vt:variant>
      <vt:variant>
        <vt:i4>0</vt:i4>
      </vt:variant>
      <vt:variant>
        <vt:i4>5</vt:i4>
      </vt:variant>
      <vt:variant>
        <vt:lpwstr>https://eurecat.org/es/portfolio-items/diamond/</vt:lpwstr>
      </vt:variant>
      <vt:variant>
        <vt:lpwstr/>
      </vt:variant>
      <vt:variant>
        <vt:i4>7733358</vt:i4>
      </vt:variant>
      <vt:variant>
        <vt:i4>627</vt:i4>
      </vt:variant>
      <vt:variant>
        <vt:i4>0</vt:i4>
      </vt:variant>
      <vt:variant>
        <vt:i4>5</vt:i4>
      </vt:variant>
      <vt:variant>
        <vt:lpwstr>https://eurecat.org/es/portfolio-items/diamond/</vt:lpwstr>
      </vt:variant>
      <vt:variant>
        <vt:lpwstr/>
      </vt:variant>
      <vt:variant>
        <vt:i4>7733358</vt:i4>
      </vt:variant>
      <vt:variant>
        <vt:i4>624</vt:i4>
      </vt:variant>
      <vt:variant>
        <vt:i4>0</vt:i4>
      </vt:variant>
      <vt:variant>
        <vt:i4>5</vt:i4>
      </vt:variant>
      <vt:variant>
        <vt:lpwstr>https://eurecat.org/es/portfolio-items/diamond/</vt:lpwstr>
      </vt:variant>
      <vt:variant>
        <vt:lpwstr/>
      </vt:variant>
      <vt:variant>
        <vt:i4>7733358</vt:i4>
      </vt:variant>
      <vt:variant>
        <vt:i4>621</vt:i4>
      </vt:variant>
      <vt:variant>
        <vt:i4>0</vt:i4>
      </vt:variant>
      <vt:variant>
        <vt:i4>5</vt:i4>
      </vt:variant>
      <vt:variant>
        <vt:lpwstr>https://eurecat.org/es/portfolio-items/diamond/</vt:lpwstr>
      </vt:variant>
      <vt:variant>
        <vt:lpwstr/>
      </vt:variant>
      <vt:variant>
        <vt:i4>6029427</vt:i4>
      </vt:variant>
      <vt:variant>
        <vt:i4>618</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615</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612</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609</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606</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603</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600</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597</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594</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591</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588</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585</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582</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579</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576</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573</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570</vt:i4>
      </vt:variant>
      <vt:variant>
        <vt:i4>0</vt:i4>
      </vt:variant>
      <vt:variant>
        <vt:i4>5</vt:i4>
      </vt:variant>
      <vt:variant>
        <vt:lpwstr>https://transport.ec.europa.eu/transport-themes/social-issues-equality-and-attractiveness-transport-sector/equality/women-transport_en</vt:lpwstr>
      </vt:variant>
      <vt:variant>
        <vt:lpwstr/>
      </vt:variant>
      <vt:variant>
        <vt:i4>6029427</vt:i4>
      </vt:variant>
      <vt:variant>
        <vt:i4>567</vt:i4>
      </vt:variant>
      <vt:variant>
        <vt:i4>0</vt:i4>
      </vt:variant>
      <vt:variant>
        <vt:i4>5</vt:i4>
      </vt:variant>
      <vt:variant>
        <vt:lpwstr>https://transport.ec.europa.eu/transport-themes/social-issues-equality-and-attractiveness-transport-sector/equality/women-transport_en</vt:lpwstr>
      </vt:variant>
      <vt:variant>
        <vt:lpwstr/>
      </vt:variant>
      <vt:variant>
        <vt:i4>1638469</vt:i4>
      </vt:variant>
      <vt:variant>
        <vt:i4>564</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561</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558</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555</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552</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549</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546</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543</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540</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537</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534</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531</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528</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525</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522</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519</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516</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513</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510</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507</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504</vt:i4>
      </vt:variant>
      <vt:variant>
        <vt:i4>0</vt:i4>
      </vt:variant>
      <vt:variant>
        <vt:i4>5</vt:i4>
      </vt:variant>
      <vt:variant>
        <vt:lpwstr>https://imug.guanajuato.gob.mx/wp-content/uploads/2022/09/Acoso-callejero-a-mujeres-en-el-estado-de-Guanajuato-1.pdf</vt:lpwstr>
      </vt:variant>
      <vt:variant>
        <vt:lpwstr/>
      </vt:variant>
      <vt:variant>
        <vt:i4>1638469</vt:i4>
      </vt:variant>
      <vt:variant>
        <vt:i4>501</vt:i4>
      </vt:variant>
      <vt:variant>
        <vt:i4>0</vt:i4>
      </vt:variant>
      <vt:variant>
        <vt:i4>5</vt:i4>
      </vt:variant>
      <vt:variant>
        <vt:lpwstr>https://imug.guanajuato.gob.mx/wp-content/uploads/2022/09/Acoso-callejero-a-mujeres-en-el-estado-de-Guanajuato-1.pdf</vt:lpwstr>
      </vt:variant>
      <vt:variant>
        <vt:lpwstr/>
      </vt:variant>
      <vt:variant>
        <vt:i4>6226012</vt:i4>
      </vt:variant>
      <vt:variant>
        <vt:i4>498</vt:i4>
      </vt:variant>
      <vt:variant>
        <vt:i4>0</vt:i4>
      </vt:variant>
      <vt:variant>
        <vt:i4>5</vt:i4>
      </vt:variant>
      <vt:variant>
        <vt:lpwstr>http://scioteca.caf.com/handle/123456789/1405</vt:lpwstr>
      </vt:variant>
      <vt:variant>
        <vt:lpwstr/>
      </vt:variant>
      <vt:variant>
        <vt:i4>6226012</vt:i4>
      </vt:variant>
      <vt:variant>
        <vt:i4>495</vt:i4>
      </vt:variant>
      <vt:variant>
        <vt:i4>0</vt:i4>
      </vt:variant>
      <vt:variant>
        <vt:i4>5</vt:i4>
      </vt:variant>
      <vt:variant>
        <vt:lpwstr>http://scioteca.caf.com/handle/123456789/1405</vt:lpwstr>
      </vt:variant>
      <vt:variant>
        <vt:lpwstr/>
      </vt:variant>
      <vt:variant>
        <vt:i4>2818052</vt:i4>
      </vt:variant>
      <vt:variant>
        <vt:i4>492</vt:i4>
      </vt:variant>
      <vt:variant>
        <vt:i4>0</vt:i4>
      </vt:variant>
      <vt:variant>
        <vt:i4>5</vt:i4>
      </vt:variant>
      <vt:variant>
        <vt:lpwstr>https://repositorio.cepal.org/bitstream/handle/11362/45032/4/S1900723_es.pdf</vt:lpwstr>
      </vt:variant>
      <vt:variant>
        <vt:lpwstr/>
      </vt:variant>
      <vt:variant>
        <vt:i4>2818052</vt:i4>
      </vt:variant>
      <vt:variant>
        <vt:i4>489</vt:i4>
      </vt:variant>
      <vt:variant>
        <vt:i4>0</vt:i4>
      </vt:variant>
      <vt:variant>
        <vt:i4>5</vt:i4>
      </vt:variant>
      <vt:variant>
        <vt:lpwstr>https://repositorio.cepal.org/bitstream/handle/11362/45032/4/S1900723_es.pdf</vt:lpwstr>
      </vt:variant>
      <vt:variant>
        <vt:lpwstr/>
      </vt:variant>
      <vt:variant>
        <vt:i4>1310799</vt:i4>
      </vt:variant>
      <vt:variant>
        <vt:i4>486</vt:i4>
      </vt:variant>
      <vt:variant>
        <vt:i4>0</vt:i4>
      </vt:variant>
      <vt:variant>
        <vt:i4>5</vt:i4>
      </vt:variant>
      <vt:variant>
        <vt:lpwstr>https://www.congresogto.gob.mx/expedientes_legislativos_digitales/iniciativas/5886</vt:lpwstr>
      </vt:variant>
      <vt:variant>
        <vt:lpwstr/>
      </vt:variant>
      <vt:variant>
        <vt:i4>1310799</vt:i4>
      </vt:variant>
      <vt:variant>
        <vt:i4>483</vt:i4>
      </vt:variant>
      <vt:variant>
        <vt:i4>0</vt:i4>
      </vt:variant>
      <vt:variant>
        <vt:i4>5</vt:i4>
      </vt:variant>
      <vt:variant>
        <vt:lpwstr>https://www.congresogto.gob.mx/expedientes_legislativos_digitales/iniciativas/5886</vt:lpwstr>
      </vt:variant>
      <vt:variant>
        <vt:lpwstr/>
      </vt:variant>
      <vt:variant>
        <vt:i4>65596</vt:i4>
      </vt:variant>
      <vt:variant>
        <vt:i4>480</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477</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474</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471</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468</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465</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462</vt:i4>
      </vt:variant>
      <vt:variant>
        <vt:i4>0</vt:i4>
      </vt:variant>
      <vt:variant>
        <vt:i4>5</vt:i4>
      </vt:variant>
      <vt:variant>
        <vt:lpwstr>https://coalicionmovilidadsegura.mx/wp-content/uploads/2022/10/Codigo_abierto_Leyes_Movilidad_y-_Seguridad-_vial_V1.0_Oct_2022.pdf</vt:lpwstr>
      </vt:variant>
      <vt:variant>
        <vt:lpwstr/>
      </vt:variant>
      <vt:variant>
        <vt:i4>65596</vt:i4>
      </vt:variant>
      <vt:variant>
        <vt:i4>459</vt:i4>
      </vt:variant>
      <vt:variant>
        <vt:i4>0</vt:i4>
      </vt:variant>
      <vt:variant>
        <vt:i4>5</vt:i4>
      </vt:variant>
      <vt:variant>
        <vt:lpwstr>https://coalicionmovilidadsegura.mx/wp-content/uploads/2022/10/Codigo_abierto_Leyes_Movilidad_y-_Seguridad-_vial_V1.0_Oct_2022.pdf</vt:lpwstr>
      </vt:variant>
      <vt:variant>
        <vt:lpwstr/>
      </vt:variant>
      <vt:variant>
        <vt:i4>327773</vt:i4>
      </vt:variant>
      <vt:variant>
        <vt:i4>456</vt:i4>
      </vt:variant>
      <vt:variant>
        <vt:i4>0</vt:i4>
      </vt:variant>
      <vt:variant>
        <vt:i4>5</vt:i4>
      </vt:variant>
      <vt:variant>
        <vt:lpwstr>http://congresomich.gob.mx/aprueba-75-legislatura-ley-de-movilidad-y-seguridad-vial/</vt:lpwstr>
      </vt:variant>
      <vt:variant>
        <vt:lpwstr/>
      </vt:variant>
      <vt:variant>
        <vt:i4>327773</vt:i4>
      </vt:variant>
      <vt:variant>
        <vt:i4>453</vt:i4>
      </vt:variant>
      <vt:variant>
        <vt:i4>0</vt:i4>
      </vt:variant>
      <vt:variant>
        <vt:i4>5</vt:i4>
      </vt:variant>
      <vt:variant>
        <vt:lpwstr>http://congresomich.gob.mx/aprueba-75-legislatura-ley-de-movilidad-y-seguridad-vial/</vt:lpwstr>
      </vt:variant>
      <vt:variant>
        <vt:lpwstr/>
      </vt:variant>
      <vt:variant>
        <vt:i4>327773</vt:i4>
      </vt:variant>
      <vt:variant>
        <vt:i4>450</vt:i4>
      </vt:variant>
      <vt:variant>
        <vt:i4>0</vt:i4>
      </vt:variant>
      <vt:variant>
        <vt:i4>5</vt:i4>
      </vt:variant>
      <vt:variant>
        <vt:lpwstr>http://congresomich.gob.mx/aprueba-75-legislatura-ley-de-movilidad-y-seguridad-vial/</vt:lpwstr>
      </vt:variant>
      <vt:variant>
        <vt:lpwstr/>
      </vt:variant>
      <vt:variant>
        <vt:i4>327773</vt:i4>
      </vt:variant>
      <vt:variant>
        <vt:i4>447</vt:i4>
      </vt:variant>
      <vt:variant>
        <vt:i4>0</vt:i4>
      </vt:variant>
      <vt:variant>
        <vt:i4>5</vt:i4>
      </vt:variant>
      <vt:variant>
        <vt:lpwstr>http://congresomich.gob.mx/aprueba-75-legislatura-ley-de-movilidad-y-seguridad-vial/</vt:lpwstr>
      </vt:variant>
      <vt:variant>
        <vt:lpwstr/>
      </vt:variant>
      <vt:variant>
        <vt:i4>327773</vt:i4>
      </vt:variant>
      <vt:variant>
        <vt:i4>444</vt:i4>
      </vt:variant>
      <vt:variant>
        <vt:i4>0</vt:i4>
      </vt:variant>
      <vt:variant>
        <vt:i4>5</vt:i4>
      </vt:variant>
      <vt:variant>
        <vt:lpwstr>http://congresomich.gob.mx/aprueba-75-legislatura-ley-de-movilidad-y-seguridad-vial/</vt:lpwstr>
      </vt:variant>
      <vt:variant>
        <vt:lpwstr/>
      </vt:variant>
      <vt:variant>
        <vt:i4>327773</vt:i4>
      </vt:variant>
      <vt:variant>
        <vt:i4>441</vt:i4>
      </vt:variant>
      <vt:variant>
        <vt:i4>0</vt:i4>
      </vt:variant>
      <vt:variant>
        <vt:i4>5</vt:i4>
      </vt:variant>
      <vt:variant>
        <vt:lpwstr>http://congresomich.gob.mx/aprueba-75-legislatura-ley-de-movilidad-y-seguridad-vial/</vt:lpwstr>
      </vt:variant>
      <vt:variant>
        <vt:lpwstr/>
      </vt:variant>
      <vt:variant>
        <vt:i4>327773</vt:i4>
      </vt:variant>
      <vt:variant>
        <vt:i4>438</vt:i4>
      </vt:variant>
      <vt:variant>
        <vt:i4>0</vt:i4>
      </vt:variant>
      <vt:variant>
        <vt:i4>5</vt:i4>
      </vt:variant>
      <vt:variant>
        <vt:lpwstr>http://congresomich.gob.mx/aprueba-75-legislatura-ley-de-movilidad-y-seguridad-vial/</vt:lpwstr>
      </vt:variant>
      <vt:variant>
        <vt:lpwstr/>
      </vt:variant>
      <vt:variant>
        <vt:i4>327773</vt:i4>
      </vt:variant>
      <vt:variant>
        <vt:i4>435</vt:i4>
      </vt:variant>
      <vt:variant>
        <vt:i4>0</vt:i4>
      </vt:variant>
      <vt:variant>
        <vt:i4>5</vt:i4>
      </vt:variant>
      <vt:variant>
        <vt:lpwstr>http://congresomich.gob.mx/aprueba-75-legislatura-ley-de-movilidad-y-seguridad-vial/</vt:lpwstr>
      </vt:variant>
      <vt:variant>
        <vt:lpwstr/>
      </vt:variant>
      <vt:variant>
        <vt:i4>327773</vt:i4>
      </vt:variant>
      <vt:variant>
        <vt:i4>432</vt:i4>
      </vt:variant>
      <vt:variant>
        <vt:i4>0</vt:i4>
      </vt:variant>
      <vt:variant>
        <vt:i4>5</vt:i4>
      </vt:variant>
      <vt:variant>
        <vt:lpwstr>http://congresomich.gob.mx/aprueba-75-legislatura-ley-de-movilidad-y-seguridad-vial/</vt:lpwstr>
      </vt:variant>
      <vt:variant>
        <vt:lpwstr/>
      </vt:variant>
      <vt:variant>
        <vt:i4>327773</vt:i4>
      </vt:variant>
      <vt:variant>
        <vt:i4>429</vt:i4>
      </vt:variant>
      <vt:variant>
        <vt:i4>0</vt:i4>
      </vt:variant>
      <vt:variant>
        <vt:i4>5</vt:i4>
      </vt:variant>
      <vt:variant>
        <vt:lpwstr>http://congresomich.gob.mx/aprueba-75-legislatura-ley-de-movilidad-y-seguridad-vial/</vt:lpwstr>
      </vt:variant>
      <vt:variant>
        <vt:lpwstr/>
      </vt:variant>
      <vt:variant>
        <vt:i4>327773</vt:i4>
      </vt:variant>
      <vt:variant>
        <vt:i4>426</vt:i4>
      </vt:variant>
      <vt:variant>
        <vt:i4>0</vt:i4>
      </vt:variant>
      <vt:variant>
        <vt:i4>5</vt:i4>
      </vt:variant>
      <vt:variant>
        <vt:lpwstr>http://congresomich.gob.mx/aprueba-75-legislatura-ley-de-movilidad-y-seguridad-vial/</vt:lpwstr>
      </vt:variant>
      <vt:variant>
        <vt:lpwstr/>
      </vt:variant>
      <vt:variant>
        <vt:i4>327773</vt:i4>
      </vt:variant>
      <vt:variant>
        <vt:i4>423</vt:i4>
      </vt:variant>
      <vt:variant>
        <vt:i4>0</vt:i4>
      </vt:variant>
      <vt:variant>
        <vt:i4>5</vt:i4>
      </vt:variant>
      <vt:variant>
        <vt:lpwstr>http://congresomich.gob.mx/aprueba-75-legislatura-ley-de-movilidad-y-seguridad-vial/</vt:lpwstr>
      </vt:variant>
      <vt:variant>
        <vt:lpwstr/>
      </vt:variant>
      <vt:variant>
        <vt:i4>327773</vt:i4>
      </vt:variant>
      <vt:variant>
        <vt:i4>420</vt:i4>
      </vt:variant>
      <vt:variant>
        <vt:i4>0</vt:i4>
      </vt:variant>
      <vt:variant>
        <vt:i4>5</vt:i4>
      </vt:variant>
      <vt:variant>
        <vt:lpwstr>http://congresomich.gob.mx/aprueba-75-legislatura-ley-de-movilidad-y-seguridad-vial/</vt:lpwstr>
      </vt:variant>
      <vt:variant>
        <vt:lpwstr/>
      </vt:variant>
      <vt:variant>
        <vt:i4>327773</vt:i4>
      </vt:variant>
      <vt:variant>
        <vt:i4>417</vt:i4>
      </vt:variant>
      <vt:variant>
        <vt:i4>0</vt:i4>
      </vt:variant>
      <vt:variant>
        <vt:i4>5</vt:i4>
      </vt:variant>
      <vt:variant>
        <vt:lpwstr>http://congresomich.gob.mx/aprueba-75-legislatura-ley-de-movilidad-y-seguridad-vial/</vt:lpwstr>
      </vt:variant>
      <vt:variant>
        <vt:lpwstr/>
      </vt:variant>
      <vt:variant>
        <vt:i4>327773</vt:i4>
      </vt:variant>
      <vt:variant>
        <vt:i4>414</vt:i4>
      </vt:variant>
      <vt:variant>
        <vt:i4>0</vt:i4>
      </vt:variant>
      <vt:variant>
        <vt:i4>5</vt:i4>
      </vt:variant>
      <vt:variant>
        <vt:lpwstr>http://congresomich.gob.mx/aprueba-75-legislatura-ley-de-movilidad-y-seguridad-vial/</vt:lpwstr>
      </vt:variant>
      <vt:variant>
        <vt:lpwstr/>
      </vt:variant>
      <vt:variant>
        <vt:i4>327773</vt:i4>
      </vt:variant>
      <vt:variant>
        <vt:i4>411</vt:i4>
      </vt:variant>
      <vt:variant>
        <vt:i4>0</vt:i4>
      </vt:variant>
      <vt:variant>
        <vt:i4>5</vt:i4>
      </vt:variant>
      <vt:variant>
        <vt:lpwstr>http://congresomich.gob.mx/aprueba-75-legislatura-ley-de-movilidad-y-seguridad-vial/</vt:lpwstr>
      </vt:variant>
      <vt:variant>
        <vt:lpwstr/>
      </vt:variant>
      <vt:variant>
        <vt:i4>327773</vt:i4>
      </vt:variant>
      <vt:variant>
        <vt:i4>408</vt:i4>
      </vt:variant>
      <vt:variant>
        <vt:i4>0</vt:i4>
      </vt:variant>
      <vt:variant>
        <vt:i4>5</vt:i4>
      </vt:variant>
      <vt:variant>
        <vt:lpwstr>http://congresomich.gob.mx/aprueba-75-legislatura-ley-de-movilidad-y-seguridad-vial/</vt:lpwstr>
      </vt:variant>
      <vt:variant>
        <vt:lpwstr/>
      </vt:variant>
      <vt:variant>
        <vt:i4>327773</vt:i4>
      </vt:variant>
      <vt:variant>
        <vt:i4>405</vt:i4>
      </vt:variant>
      <vt:variant>
        <vt:i4>0</vt:i4>
      </vt:variant>
      <vt:variant>
        <vt:i4>5</vt:i4>
      </vt:variant>
      <vt:variant>
        <vt:lpwstr>http://congresomich.gob.mx/aprueba-75-legislatura-ley-de-movilidad-y-seguridad-vial/</vt:lpwstr>
      </vt:variant>
      <vt:variant>
        <vt:lpwstr/>
      </vt:variant>
      <vt:variant>
        <vt:i4>6029342</vt:i4>
      </vt:variant>
      <vt:variant>
        <vt:i4>402</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399</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396</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393</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390</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387</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384</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381</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378</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375</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372</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369</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366</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363</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360</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357</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354</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351</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348</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345</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342</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339</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336</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333</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330</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327</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324</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321</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318</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315</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312</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309</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306</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303</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300</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297</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294</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291</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288</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285</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282</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6029342</vt:i4>
      </vt:variant>
      <vt:variant>
        <vt:i4>279</vt:i4>
      </vt:variant>
      <vt:variant>
        <vt:i4>0</vt:i4>
      </vt:variant>
      <vt:variant>
        <vt:i4>5</vt:i4>
      </vt:variant>
      <vt:variant>
        <vt:lpwstr>https://www.cbcs.gob.mx/index.php/boletines-2023-1/6701-la-ley-de-movilidad-y-seguridad-vial-contara-con-techo-financiero-para-el-2024-diputado-denny-manuel-guerrero</vt:lpwstr>
      </vt:variant>
      <vt:variant>
        <vt:lpwstr/>
      </vt:variant>
      <vt:variant>
        <vt:i4>6881321</vt:i4>
      </vt:variant>
      <vt:variant>
        <vt:i4>276</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273</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270</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267</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264</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261</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258</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255</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252</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249</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246</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243</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240</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237</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234</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231</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228</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225</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222</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219</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216</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213</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210</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207</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204</vt:i4>
      </vt:variant>
      <vt:variant>
        <vt:i4>0</vt:i4>
      </vt:variant>
      <vt:variant>
        <vt:i4>5</vt:i4>
      </vt:variant>
      <vt:variant>
        <vt:lpwstr>https://periodicocorreo.com.mx/vida-publica/destapan-caso-de-abuso-sexual-a-clavadista-representante-de-guanajuato-20220816-61002.html</vt:lpwstr>
      </vt:variant>
      <vt:variant>
        <vt:lpwstr/>
      </vt:variant>
      <vt:variant>
        <vt:i4>6881321</vt:i4>
      </vt:variant>
      <vt:variant>
        <vt:i4>201</vt:i4>
      </vt:variant>
      <vt:variant>
        <vt:i4>0</vt:i4>
      </vt:variant>
      <vt:variant>
        <vt:i4>5</vt:i4>
      </vt:variant>
      <vt:variant>
        <vt:lpwstr>https://periodicocorreo.com.mx/vida-publica/destapan-caso-de-abuso-sexual-a-clavadista-representante-de-guanajuato-20220816-61002.html</vt:lpwstr>
      </vt:variant>
      <vt:variant>
        <vt:lpwstr/>
      </vt:variant>
      <vt:variant>
        <vt:i4>4915274</vt:i4>
      </vt:variant>
      <vt:variant>
        <vt:i4>198</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195</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192</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189</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186</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183</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180</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177</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174</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171</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168</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165</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162</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159</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156</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153</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150</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147</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144</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141</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138</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135</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132</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129</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126</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123</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120</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117</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114</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111</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108</vt:i4>
      </vt:variant>
      <vt:variant>
        <vt:i4>0</vt:i4>
      </vt:variant>
      <vt:variant>
        <vt:i4>5</vt:i4>
      </vt:variant>
      <vt:variant>
        <vt:lpwstr>https://www.elfinanciero.com.mx/deportes/2022/03/19/vivo-con-miedo-la-futbolista-nailea-vidrio-habla-del-acoso-que-sufrio-en-el-nou-camp/</vt:lpwstr>
      </vt:variant>
      <vt:variant>
        <vt:lpwstr/>
      </vt:variant>
      <vt:variant>
        <vt:i4>4915274</vt:i4>
      </vt:variant>
      <vt:variant>
        <vt:i4>105</vt:i4>
      </vt:variant>
      <vt:variant>
        <vt:i4>0</vt:i4>
      </vt:variant>
      <vt:variant>
        <vt:i4>5</vt:i4>
      </vt:variant>
      <vt:variant>
        <vt:lpwstr>https://www.elfinanciero.com.mx/deportes/2022/03/19/vivo-con-miedo-la-futbolista-nailea-vidrio-habla-del-acoso-que-sufrio-en-el-nou-camp/</vt:lpwstr>
      </vt:variant>
      <vt:variant>
        <vt:lpwstr/>
      </vt:variant>
      <vt:variant>
        <vt:i4>6750303</vt:i4>
      </vt:variant>
      <vt:variant>
        <vt:i4>102</vt:i4>
      </vt:variant>
      <vt:variant>
        <vt:i4>0</vt:i4>
      </vt:variant>
      <vt:variant>
        <vt:i4>5</vt:i4>
      </vt:variant>
      <vt:variant>
        <vt:lpwstr>https://congreso-gto.s3.amazonaws.com/uploads/orden_archivo/archivo/29936/06_Iniciativa_GPPMORENA_ref_y_adic_Ley_de_Cultura_Fi_sica_y_Dep_56894__22_JUNIO_23_.pdf</vt:lpwstr>
      </vt:variant>
      <vt:variant>
        <vt:lpwstr/>
      </vt:variant>
      <vt:variant>
        <vt:i4>1835015</vt:i4>
      </vt:variant>
      <vt:variant>
        <vt:i4>99</vt:i4>
      </vt:variant>
      <vt:variant>
        <vt:i4>0</vt:i4>
      </vt:variant>
      <vt:variant>
        <vt:i4>5</vt:i4>
      </vt:variant>
      <vt:variant>
        <vt:lpwstr>https://www.corteidh.or.cr/tablas/r26677.pdf</vt:lpwstr>
      </vt:variant>
      <vt:variant>
        <vt:lpwstr/>
      </vt:variant>
      <vt:variant>
        <vt:i4>1835015</vt:i4>
      </vt:variant>
      <vt:variant>
        <vt:i4>96</vt:i4>
      </vt:variant>
      <vt:variant>
        <vt:i4>0</vt:i4>
      </vt:variant>
      <vt:variant>
        <vt:i4>5</vt:i4>
      </vt:variant>
      <vt:variant>
        <vt:lpwstr>https://www.corteidh.or.cr/tablas/r26677.pdf</vt:lpwstr>
      </vt:variant>
      <vt:variant>
        <vt:lpwstr/>
      </vt:variant>
      <vt:variant>
        <vt:i4>1835015</vt:i4>
      </vt:variant>
      <vt:variant>
        <vt:i4>93</vt:i4>
      </vt:variant>
      <vt:variant>
        <vt:i4>0</vt:i4>
      </vt:variant>
      <vt:variant>
        <vt:i4>5</vt:i4>
      </vt:variant>
      <vt:variant>
        <vt:lpwstr>https://www.corteidh.or.cr/tablas/r26677.pdf</vt:lpwstr>
      </vt:variant>
      <vt:variant>
        <vt:lpwstr/>
      </vt:variant>
      <vt:variant>
        <vt:i4>1835015</vt:i4>
      </vt:variant>
      <vt:variant>
        <vt:i4>90</vt:i4>
      </vt:variant>
      <vt:variant>
        <vt:i4>0</vt:i4>
      </vt:variant>
      <vt:variant>
        <vt:i4>5</vt:i4>
      </vt:variant>
      <vt:variant>
        <vt:lpwstr>https://www.corteidh.or.cr/tablas/r26677.pdf</vt:lpwstr>
      </vt:variant>
      <vt:variant>
        <vt:lpwstr/>
      </vt:variant>
      <vt:variant>
        <vt:i4>1900550</vt:i4>
      </vt:variant>
      <vt:variant>
        <vt:i4>87</vt:i4>
      </vt:variant>
      <vt:variant>
        <vt:i4>0</vt:i4>
      </vt:variant>
      <vt:variant>
        <vt:i4>5</vt:i4>
      </vt:variant>
      <vt:variant>
        <vt:lpwstr>https://www.corteidh.or.cr/tablas/r25555.pdf</vt:lpwstr>
      </vt:variant>
      <vt:variant>
        <vt:lpwstr/>
      </vt:variant>
      <vt:variant>
        <vt:i4>1900550</vt:i4>
      </vt:variant>
      <vt:variant>
        <vt:i4>84</vt:i4>
      </vt:variant>
      <vt:variant>
        <vt:i4>0</vt:i4>
      </vt:variant>
      <vt:variant>
        <vt:i4>5</vt:i4>
      </vt:variant>
      <vt:variant>
        <vt:lpwstr>https://www.corteidh.or.cr/tablas/r25555.pdf</vt:lpwstr>
      </vt:variant>
      <vt:variant>
        <vt:lpwstr/>
      </vt:variant>
      <vt:variant>
        <vt:i4>1900550</vt:i4>
      </vt:variant>
      <vt:variant>
        <vt:i4>81</vt:i4>
      </vt:variant>
      <vt:variant>
        <vt:i4>0</vt:i4>
      </vt:variant>
      <vt:variant>
        <vt:i4>5</vt:i4>
      </vt:variant>
      <vt:variant>
        <vt:lpwstr>https://www.corteidh.or.cr/tablas/r25555.pdf</vt:lpwstr>
      </vt:variant>
      <vt:variant>
        <vt:lpwstr/>
      </vt:variant>
      <vt:variant>
        <vt:i4>1900550</vt:i4>
      </vt:variant>
      <vt:variant>
        <vt:i4>78</vt:i4>
      </vt:variant>
      <vt:variant>
        <vt:i4>0</vt:i4>
      </vt:variant>
      <vt:variant>
        <vt:i4>5</vt:i4>
      </vt:variant>
      <vt:variant>
        <vt:lpwstr>https://www.corteidh.or.cr/tablas/r25555.pdf</vt:lpwstr>
      </vt:variant>
      <vt:variant>
        <vt:lpwstr/>
      </vt:variant>
      <vt:variant>
        <vt:i4>1900550</vt:i4>
      </vt:variant>
      <vt:variant>
        <vt:i4>75</vt:i4>
      </vt:variant>
      <vt:variant>
        <vt:i4>0</vt:i4>
      </vt:variant>
      <vt:variant>
        <vt:i4>5</vt:i4>
      </vt:variant>
      <vt:variant>
        <vt:lpwstr>https://www.corteidh.or.cr/tablas/r25555.pdf</vt:lpwstr>
      </vt:variant>
      <vt:variant>
        <vt:lpwstr/>
      </vt:variant>
      <vt:variant>
        <vt:i4>1900550</vt:i4>
      </vt:variant>
      <vt:variant>
        <vt:i4>72</vt:i4>
      </vt:variant>
      <vt:variant>
        <vt:i4>0</vt:i4>
      </vt:variant>
      <vt:variant>
        <vt:i4>5</vt:i4>
      </vt:variant>
      <vt:variant>
        <vt:lpwstr>https://www.corteidh.or.cr/tablas/r25555.pdf</vt:lpwstr>
      </vt:variant>
      <vt:variant>
        <vt:lpwstr/>
      </vt:variant>
      <vt:variant>
        <vt:i4>1900550</vt:i4>
      </vt:variant>
      <vt:variant>
        <vt:i4>69</vt:i4>
      </vt:variant>
      <vt:variant>
        <vt:i4>0</vt:i4>
      </vt:variant>
      <vt:variant>
        <vt:i4>5</vt:i4>
      </vt:variant>
      <vt:variant>
        <vt:lpwstr>https://www.corteidh.or.cr/tablas/r25555.pdf</vt:lpwstr>
      </vt:variant>
      <vt:variant>
        <vt:lpwstr/>
      </vt:variant>
      <vt:variant>
        <vt:i4>1310721</vt:i4>
      </vt:variant>
      <vt:variant>
        <vt:i4>66</vt:i4>
      </vt:variant>
      <vt:variant>
        <vt:i4>0</vt:i4>
      </vt:variant>
      <vt:variant>
        <vt:i4>5</vt:i4>
      </vt:variant>
      <vt:variant>
        <vt:lpwstr>https://www.cndh.org.mx/sites/default/files/documentos/2019-11/Bullying-equidad-genero-deporte-Mexico.pdf</vt:lpwstr>
      </vt:variant>
      <vt:variant>
        <vt:lpwstr/>
      </vt:variant>
      <vt:variant>
        <vt:i4>1310721</vt:i4>
      </vt:variant>
      <vt:variant>
        <vt:i4>63</vt:i4>
      </vt:variant>
      <vt:variant>
        <vt:i4>0</vt:i4>
      </vt:variant>
      <vt:variant>
        <vt:i4>5</vt:i4>
      </vt:variant>
      <vt:variant>
        <vt:lpwstr>https://www.cndh.org.mx/sites/default/files/documentos/2019-11/Bullying-equidad-genero-deporte-Mexico.pdf</vt:lpwstr>
      </vt:variant>
      <vt:variant>
        <vt:lpwstr/>
      </vt:variant>
      <vt:variant>
        <vt:i4>1310721</vt:i4>
      </vt:variant>
      <vt:variant>
        <vt:i4>60</vt:i4>
      </vt:variant>
      <vt:variant>
        <vt:i4>0</vt:i4>
      </vt:variant>
      <vt:variant>
        <vt:i4>5</vt:i4>
      </vt:variant>
      <vt:variant>
        <vt:lpwstr>https://www.cndh.org.mx/sites/default/files/documentos/2019-11/Bullying-equidad-genero-deporte-Mexico.pdf</vt:lpwstr>
      </vt:variant>
      <vt:variant>
        <vt:lpwstr/>
      </vt:variant>
      <vt:variant>
        <vt:i4>1310721</vt:i4>
      </vt:variant>
      <vt:variant>
        <vt:i4>57</vt:i4>
      </vt:variant>
      <vt:variant>
        <vt:i4>0</vt:i4>
      </vt:variant>
      <vt:variant>
        <vt:i4>5</vt:i4>
      </vt:variant>
      <vt:variant>
        <vt:lpwstr>https://www.cndh.org.mx/sites/default/files/documentos/2019-11/Bullying-equidad-genero-deporte-Mexico.pdf</vt:lpwstr>
      </vt:variant>
      <vt:variant>
        <vt:lpwstr/>
      </vt:variant>
      <vt:variant>
        <vt:i4>1310721</vt:i4>
      </vt:variant>
      <vt:variant>
        <vt:i4>54</vt:i4>
      </vt:variant>
      <vt:variant>
        <vt:i4>0</vt:i4>
      </vt:variant>
      <vt:variant>
        <vt:i4>5</vt:i4>
      </vt:variant>
      <vt:variant>
        <vt:lpwstr>https://www.cndh.org.mx/sites/default/files/documentos/2019-11/Bullying-equidad-genero-deporte-Mexico.pdf</vt:lpwstr>
      </vt:variant>
      <vt:variant>
        <vt:lpwstr/>
      </vt:variant>
      <vt:variant>
        <vt:i4>1310721</vt:i4>
      </vt:variant>
      <vt:variant>
        <vt:i4>51</vt:i4>
      </vt:variant>
      <vt:variant>
        <vt:i4>0</vt:i4>
      </vt:variant>
      <vt:variant>
        <vt:i4>5</vt:i4>
      </vt:variant>
      <vt:variant>
        <vt:lpwstr>https://www.cndh.org.mx/sites/default/files/documentos/2019-11/Bullying-equidad-genero-deporte-Mexico.pdf</vt:lpwstr>
      </vt:variant>
      <vt:variant>
        <vt:lpwstr/>
      </vt:variant>
      <vt:variant>
        <vt:i4>1310721</vt:i4>
      </vt:variant>
      <vt:variant>
        <vt:i4>48</vt:i4>
      </vt:variant>
      <vt:variant>
        <vt:i4>0</vt:i4>
      </vt:variant>
      <vt:variant>
        <vt:i4>5</vt:i4>
      </vt:variant>
      <vt:variant>
        <vt:lpwstr>https://www.cndh.org.mx/sites/default/files/documentos/2019-11/Bullying-equidad-genero-deporte-Mexico.pdf</vt:lpwstr>
      </vt:variant>
      <vt:variant>
        <vt:lpwstr/>
      </vt:variant>
      <vt:variant>
        <vt:i4>1310721</vt:i4>
      </vt:variant>
      <vt:variant>
        <vt:i4>45</vt:i4>
      </vt:variant>
      <vt:variant>
        <vt:i4>0</vt:i4>
      </vt:variant>
      <vt:variant>
        <vt:i4>5</vt:i4>
      </vt:variant>
      <vt:variant>
        <vt:lpwstr>https://www.cndh.org.mx/sites/default/files/documentos/2019-11/Bullying-equidad-genero-deporte-Mexico.pdf</vt:lpwstr>
      </vt:variant>
      <vt:variant>
        <vt:lpwstr/>
      </vt:variant>
      <vt:variant>
        <vt:i4>1310721</vt:i4>
      </vt:variant>
      <vt:variant>
        <vt:i4>42</vt:i4>
      </vt:variant>
      <vt:variant>
        <vt:i4>0</vt:i4>
      </vt:variant>
      <vt:variant>
        <vt:i4>5</vt:i4>
      </vt:variant>
      <vt:variant>
        <vt:lpwstr>https://www.cndh.org.mx/sites/default/files/documentos/2019-11/Bullying-equidad-genero-deporte-Mexico.pdf</vt:lpwstr>
      </vt:variant>
      <vt:variant>
        <vt:lpwstr/>
      </vt:variant>
      <vt:variant>
        <vt:i4>1310721</vt:i4>
      </vt:variant>
      <vt:variant>
        <vt:i4>39</vt:i4>
      </vt:variant>
      <vt:variant>
        <vt:i4>0</vt:i4>
      </vt:variant>
      <vt:variant>
        <vt:i4>5</vt:i4>
      </vt:variant>
      <vt:variant>
        <vt:lpwstr>https://www.cndh.org.mx/sites/default/files/documentos/2019-11/Bullying-equidad-genero-deporte-Mexico.pdf</vt:lpwstr>
      </vt:variant>
      <vt:variant>
        <vt:lpwstr/>
      </vt:variant>
      <vt:variant>
        <vt:i4>7209083</vt:i4>
      </vt:variant>
      <vt:variant>
        <vt:i4>36</vt:i4>
      </vt:variant>
      <vt:variant>
        <vt:i4>0</vt:i4>
      </vt:variant>
      <vt:variant>
        <vt:i4>5</vt:i4>
      </vt:variant>
      <vt:variant>
        <vt:lpwstr>https://idus.us.es/bitstream/handle/11441/41137/Pages from Investigacion_Genero_14-2-3.pdf?sequence=1&amp;isAllowed=y</vt:lpwstr>
      </vt:variant>
      <vt:variant>
        <vt:lpwstr/>
      </vt:variant>
      <vt:variant>
        <vt:i4>7209083</vt:i4>
      </vt:variant>
      <vt:variant>
        <vt:i4>33</vt:i4>
      </vt:variant>
      <vt:variant>
        <vt:i4>0</vt:i4>
      </vt:variant>
      <vt:variant>
        <vt:i4>5</vt:i4>
      </vt:variant>
      <vt:variant>
        <vt:lpwstr>https://idus.us.es/bitstream/handle/11441/41137/Pages from Investigacion_Genero_14-2-3.pdf?sequence=1&amp;isAllowed=y</vt:lpwstr>
      </vt:variant>
      <vt:variant>
        <vt:lpwstr/>
      </vt:variant>
      <vt:variant>
        <vt:i4>7209083</vt:i4>
      </vt:variant>
      <vt:variant>
        <vt:i4>30</vt:i4>
      </vt:variant>
      <vt:variant>
        <vt:i4>0</vt:i4>
      </vt:variant>
      <vt:variant>
        <vt:i4>5</vt:i4>
      </vt:variant>
      <vt:variant>
        <vt:lpwstr>https://idus.us.es/bitstream/handle/11441/41137/Pages from Investigacion_Genero_14-2-3.pdf?sequence=1&amp;isAllowed=y</vt:lpwstr>
      </vt:variant>
      <vt:variant>
        <vt:lpwstr/>
      </vt:variant>
      <vt:variant>
        <vt:i4>7209083</vt:i4>
      </vt:variant>
      <vt:variant>
        <vt:i4>27</vt:i4>
      </vt:variant>
      <vt:variant>
        <vt:i4>0</vt:i4>
      </vt:variant>
      <vt:variant>
        <vt:i4>5</vt:i4>
      </vt:variant>
      <vt:variant>
        <vt:lpwstr>https://idus.us.es/bitstream/handle/11441/41137/Pages from Investigacion_Genero_14-2-3.pdf?sequence=1&amp;isAllowed=y</vt:lpwstr>
      </vt:variant>
      <vt:variant>
        <vt:lpwstr/>
      </vt:variant>
      <vt:variant>
        <vt:i4>2293780</vt:i4>
      </vt:variant>
      <vt:variant>
        <vt:i4>24</vt:i4>
      </vt:variant>
      <vt:variant>
        <vt:i4>0</vt:i4>
      </vt:variant>
      <vt:variant>
        <vt:i4>5</vt:i4>
      </vt:variant>
      <vt:variant>
        <vt:lpwstr>https://congreso-gto.s3.amazonaws.com/uploads/orden_archivo/archivo/29935/05_Iniciativa_GPPRI_ref_y_adici_Ley_de_Cultura_Fi_sica_y_Dep_56895__22_JUNIO_23_.pdf</vt:lpwstr>
      </vt:variant>
      <vt:variant>
        <vt:lpwstr/>
      </vt:variant>
      <vt:variant>
        <vt:i4>6422574</vt:i4>
      </vt:variant>
      <vt:variant>
        <vt:i4>21</vt:i4>
      </vt:variant>
      <vt:variant>
        <vt:i4>0</vt:i4>
      </vt:variant>
      <vt:variant>
        <vt:i4>5</vt:i4>
      </vt:variant>
      <vt:variant>
        <vt:lpwstr>https://noticias.imer.mx/blog/columna-la-justicia-social-para-los-animales/</vt:lpwstr>
      </vt:variant>
      <vt:variant>
        <vt:lpwstr/>
      </vt:variant>
      <vt:variant>
        <vt:i4>8323171</vt:i4>
      </vt:variant>
      <vt:variant>
        <vt:i4>18</vt:i4>
      </vt:variant>
      <vt:variant>
        <vt:i4>0</vt:i4>
      </vt:variant>
      <vt:variant>
        <vt:i4>5</vt:i4>
      </vt:variant>
      <vt:variant>
        <vt:lpwstr>https://www.gob.mx/conanp/articulos/proclamacion-de-la-declaracion-universal-de-los-derechos-de-los-animales-223028</vt:lpwstr>
      </vt:variant>
      <vt:variant>
        <vt:lpwstr/>
      </vt:variant>
      <vt:variant>
        <vt:i4>1245184</vt:i4>
      </vt:variant>
      <vt:variant>
        <vt:i4>15</vt:i4>
      </vt:variant>
      <vt:variant>
        <vt:i4>0</vt:i4>
      </vt:variant>
      <vt:variant>
        <vt:i4>5</vt:i4>
      </vt:variant>
      <vt:variant>
        <vt:lpwstr>https://www.inegi.org.mx/rnm/index.php/catalog/334/datafile/F79/V753</vt:lpwstr>
      </vt:variant>
      <vt:variant>
        <vt:lpwstr/>
      </vt:variant>
      <vt:variant>
        <vt:i4>1376381</vt:i4>
      </vt:variant>
      <vt:variant>
        <vt:i4>12</vt:i4>
      </vt:variant>
      <vt:variant>
        <vt:i4>0</vt:i4>
      </vt:variant>
      <vt:variant>
        <vt:i4>5</vt:i4>
      </vt:variant>
      <vt:variant>
        <vt:lpwstr>https://www.inegi.org.mx/contenidos/saladeprensa/boletines/2021/EstSociodemo/ENBIARE_2021.pdf</vt:lpwstr>
      </vt:variant>
      <vt:variant>
        <vt:lpwstr/>
      </vt:variant>
      <vt:variant>
        <vt:i4>3932200</vt:i4>
      </vt:variant>
      <vt:variant>
        <vt:i4>9</vt:i4>
      </vt:variant>
      <vt:variant>
        <vt:i4>0</vt:i4>
      </vt:variant>
      <vt:variant>
        <vt:i4>5</vt:i4>
      </vt:variant>
      <vt:variant>
        <vt:lpwstr>https://congreso-gto.s3.amazonaws.com/uploads/orden_archivo/archivo/29934/04_Iniciativa_GPPAN_Ley_para_la_Protec_Animal_56897__22_JUNIO_2023_.pdf</vt:lpwstr>
      </vt:variant>
      <vt:variant>
        <vt:lpwstr/>
      </vt:variant>
      <vt:variant>
        <vt:i4>6553625</vt:i4>
      </vt:variant>
      <vt:variant>
        <vt:i4>6</vt:i4>
      </vt:variant>
      <vt:variant>
        <vt:i4>0</vt:i4>
      </vt:variant>
      <vt:variant>
        <vt:i4>5</vt:i4>
      </vt:variant>
      <vt:variant>
        <vt:lpwstr>https://congreso-gto.s3.amazonaws.com/uploads/orden_archivo/archivo/29933/03_Extracto_22_junio_2023.pdf</vt:lpwstr>
      </vt:variant>
      <vt:variant>
        <vt:lpwstr/>
      </vt:variant>
      <vt:variant>
        <vt:i4>3866715</vt:i4>
      </vt:variant>
      <vt:variant>
        <vt:i4>3</vt:i4>
      </vt:variant>
      <vt:variant>
        <vt:i4>0</vt:i4>
      </vt:variant>
      <vt:variant>
        <vt:i4>5</vt:i4>
      </vt:variant>
      <vt:variant>
        <vt:lpwstr>https://congreso-gto.s3.amazonaws.com/uploads/orden_archivo/archivo/29932/02__Acta_nu_mero_70_sesio_n_ordinaria_del_15_de_junio_de_2023.pdf</vt:lpwstr>
      </vt:variant>
      <vt:variant>
        <vt:lpwstr/>
      </vt:variant>
      <vt:variant>
        <vt:i4>3538977</vt:i4>
      </vt:variant>
      <vt:variant>
        <vt:i4>0</vt:i4>
      </vt:variant>
      <vt:variant>
        <vt:i4>0</vt:i4>
      </vt:variant>
      <vt:variant>
        <vt:i4>5</vt:i4>
      </vt:variant>
      <vt:variant>
        <vt:lpwstr>https://congreso-gto.s3.amazonaws.com/uploads/orden_archivo/archivo/29931/01_Orden_del_di_a_22__junio_2023_v2.pdf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1128</cp:revision>
  <cp:lastPrinted>2022-07-24T03:12:00Z</cp:lastPrinted>
  <dcterms:created xsi:type="dcterms:W3CDTF">2023-06-21T22:38:00Z</dcterms:created>
  <dcterms:modified xsi:type="dcterms:W3CDTF">2024-05-16T18:48:00Z</dcterms:modified>
</cp:coreProperties>
</file>